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drawings/drawing4.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drawings/drawing5.xml" ContentType="application/vnd.openxmlformats-officedocument.drawingml.chartshapes+xml"/>
  <Override PartName="/word/charts/chart19.xml" ContentType="application/vnd.openxmlformats-officedocument.drawingml.chart+xml"/>
  <Override PartName="/word/theme/themeOverride19.xml" ContentType="application/vnd.openxmlformats-officedocument.themeOverride+xml"/>
  <Override PartName="/word/drawings/drawing6.xml" ContentType="application/vnd.openxmlformats-officedocument.drawingml.chartshapes+xml"/>
  <Override PartName="/word/charts/chart20.xml" ContentType="application/vnd.openxmlformats-officedocument.drawingml.chart+xml"/>
  <Override PartName="/word/theme/themeOverride20.xml" ContentType="application/vnd.openxmlformats-officedocument.themeOverride+xml"/>
  <Override PartName="/word/drawings/drawing7.xml" ContentType="application/vnd.openxmlformats-officedocument.drawingml.chartshapes+xml"/>
  <Override PartName="/word/charts/chart21.xml" ContentType="application/vnd.openxmlformats-officedocument.drawingml.chart+xml"/>
  <Override PartName="/word/theme/themeOverride21.xml" ContentType="application/vnd.openxmlformats-officedocument.themeOverride+xml"/>
  <Override PartName="/word/drawings/drawing8.xml" ContentType="application/vnd.openxmlformats-officedocument.drawingml.chartshapes+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drawings/drawing9.xml" ContentType="application/vnd.openxmlformats-officedocument.drawingml.chartshapes+xml"/>
  <Override PartName="/word/charts/chart25.xml" ContentType="application/vnd.openxmlformats-officedocument.drawingml.chart+xml"/>
  <Override PartName="/word/theme/themeOverride25.xml" ContentType="application/vnd.openxmlformats-officedocument.themeOverride+xml"/>
  <Override PartName="/word/drawings/drawing10.xml" ContentType="application/vnd.openxmlformats-officedocument.drawingml.chartshapes+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drawings/drawing11.xml" ContentType="application/vnd.openxmlformats-officedocument.drawingml.chartshapes+xml"/>
  <Override PartName="/word/charts/chart29.xml" ContentType="application/vnd.openxmlformats-officedocument.drawingml.chart+xml"/>
  <Override PartName="/word/theme/themeOverride29.xml" ContentType="application/vnd.openxmlformats-officedocument.themeOverride+xml"/>
  <Override PartName="/word/drawings/drawing12.xml" ContentType="application/vnd.openxmlformats-officedocument.drawingml.chartshapes+xml"/>
  <Override PartName="/word/charts/chart30.xml" ContentType="application/vnd.openxmlformats-officedocument.drawingml.chart+xml"/>
  <Override PartName="/word/theme/themeOverride30.xml" ContentType="application/vnd.openxmlformats-officedocument.themeOverride+xml"/>
  <Override PartName="/word/drawings/drawing13.xml" ContentType="application/vnd.openxmlformats-officedocument.drawingml.chartshapes+xml"/>
  <Override PartName="/word/charts/chart31.xml" ContentType="application/vnd.openxmlformats-officedocument.drawingml.chart+xml"/>
  <Override PartName="/word/theme/themeOverride31.xml" ContentType="application/vnd.openxmlformats-officedocument.themeOverride+xml"/>
  <Override PartName="/word/drawings/drawing14.xml" ContentType="application/vnd.openxmlformats-officedocument.drawingml.chartshapes+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drawings/drawing15.xml" ContentType="application/vnd.openxmlformats-officedocument.drawingml.chartshapes+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drawings/drawing16.xml" ContentType="application/vnd.openxmlformats-officedocument.drawingml.chartshapes+xml"/>
  <Override PartName="/word/charts/chart42.xml" ContentType="application/vnd.openxmlformats-officedocument.drawingml.chart+xml"/>
  <Override PartName="/word/theme/themeOverride42.xml" ContentType="application/vnd.openxmlformats-officedocument.themeOverride+xml"/>
  <Override PartName="/word/drawings/drawing17.xml" ContentType="application/vnd.openxmlformats-officedocument.drawingml.chartshapes+xml"/>
  <Override PartName="/word/charts/chart43.xml" ContentType="application/vnd.openxmlformats-officedocument.drawingml.chart+xml"/>
  <Override PartName="/word/theme/themeOverride43.xml" ContentType="application/vnd.openxmlformats-officedocument.themeOverride+xml"/>
  <Override PartName="/word/drawings/drawing18.xml" ContentType="application/vnd.openxmlformats-officedocument.drawingml.chartshapes+xml"/>
  <Override PartName="/word/charts/chart44.xml" ContentType="application/vnd.openxmlformats-officedocument.drawingml.chart+xml"/>
  <Override PartName="/word/theme/themeOverride44.xml" ContentType="application/vnd.openxmlformats-officedocument.themeOverride+xml"/>
  <Override PartName="/word/drawings/drawing19.xml" ContentType="application/vnd.openxmlformats-officedocument.drawingml.chartshapes+xml"/>
  <Override PartName="/word/charts/chart45.xml" ContentType="application/vnd.openxmlformats-officedocument.drawingml.chart+xml"/>
  <Override PartName="/word/theme/themeOverride45.xml" ContentType="application/vnd.openxmlformats-officedocument.themeOverride+xml"/>
  <Override PartName="/word/drawings/drawing20.xml" ContentType="application/vnd.openxmlformats-officedocument.drawingml.chartshapes+xml"/>
  <Override PartName="/word/charts/chart46.xml" ContentType="application/vnd.openxmlformats-officedocument.drawingml.chart+xml"/>
  <Override PartName="/word/theme/themeOverride46.xml" ContentType="application/vnd.openxmlformats-officedocument.themeOverride+xml"/>
  <Override PartName="/word/drawings/drawing21.xml" ContentType="application/vnd.openxmlformats-officedocument.drawingml.chartshapes+xml"/>
  <Override PartName="/word/charts/chart47.xml" ContentType="application/vnd.openxmlformats-officedocument.drawingml.chart+xml"/>
  <Override PartName="/word/theme/themeOverride47.xml" ContentType="application/vnd.openxmlformats-officedocument.themeOverride+xml"/>
  <Override PartName="/word/drawings/drawing22.xml" ContentType="application/vnd.openxmlformats-officedocument.drawingml.chartshapes+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drawings/drawing23.xml" ContentType="application/vnd.openxmlformats-officedocument.drawingml.chartshapes+xml"/>
  <Override PartName="/word/charts/chart51.xml" ContentType="application/vnd.openxmlformats-officedocument.drawingml.chart+xml"/>
  <Override PartName="/word/theme/themeOverride51.xml" ContentType="application/vnd.openxmlformats-officedocument.themeOverride+xml"/>
  <Override PartName="/word/drawings/drawing24.xml" ContentType="application/vnd.openxmlformats-officedocument.drawingml.chartshapes+xml"/>
  <Override PartName="/word/charts/chart52.xml" ContentType="application/vnd.openxmlformats-officedocument.drawingml.chart+xml"/>
  <Override PartName="/word/theme/themeOverride52.xml" ContentType="application/vnd.openxmlformats-officedocument.themeOverride+xml"/>
  <Override PartName="/word/drawings/drawing25.xml" ContentType="application/vnd.openxmlformats-officedocument.drawingml.chartshapes+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theme/themeOverride55.xml" ContentType="application/vnd.openxmlformats-officedocument.themeOverride+xml"/>
  <Override PartName="/word/charts/chart60.xml" ContentType="application/vnd.openxmlformats-officedocument.drawingml.chart+xml"/>
  <Override PartName="/word/theme/themeOverride56.xml" ContentType="application/vnd.openxmlformats-officedocument.themeOverride+xml"/>
  <Override PartName="/word/charts/chart61.xml" ContentType="application/vnd.openxmlformats-officedocument.drawingml.chart+xml"/>
  <Override PartName="/word/theme/themeOverride57.xml" ContentType="application/vnd.openxmlformats-officedocument.themeOverride+xml"/>
  <Override PartName="/word/charts/chart62.xml" ContentType="application/vnd.openxmlformats-officedocument.drawingml.chart+xml"/>
  <Override PartName="/word/theme/themeOverride58.xml" ContentType="application/vnd.openxmlformats-officedocument.themeOverride+xml"/>
  <Override PartName="/word/charts/chart63.xml" ContentType="application/vnd.openxmlformats-officedocument.drawingml.chart+xml"/>
  <Override PartName="/word/theme/themeOverride59.xml" ContentType="application/vnd.openxmlformats-officedocument.themeOverride+xml"/>
  <Override PartName="/word/charts/chart64.xml" ContentType="application/vnd.openxmlformats-officedocument.drawingml.chart+xml"/>
  <Override PartName="/word/theme/themeOverride60.xml" ContentType="application/vnd.openxmlformats-officedocument.themeOverride+xml"/>
  <Override PartName="/word/charts/chart65.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61.xml" ContentType="application/vnd.openxmlformats-officedocument.themeOverride+xml"/>
  <Override PartName="/word/charts/chart66.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62.xml" ContentType="application/vnd.openxmlformats-officedocument.themeOverride+xml"/>
  <Override PartName="/word/charts/chart67.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6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126A" w:rsidRPr="007955BB" w:rsidRDefault="00DC6C4E" w:rsidP="004349F3">
      <w:pPr>
        <w:pStyle w:val="TableTitleCharCharCharCharCharCharCharCharCharChar1"/>
        <w:rPr>
          <w:lang w:val="en-US"/>
        </w:rPr>
      </w:pPr>
      <w:r w:rsidRPr="007955BB">
        <w:rPr>
          <w:noProof/>
          <w:lang w:val="en-US" w:eastAsia="en-US"/>
        </w:rPr>
        <w:drawing>
          <wp:inline distT="0" distB="0" distL="0" distR="0" wp14:anchorId="3C862C86" wp14:editId="3EACAB9D">
            <wp:extent cx="6195060" cy="3097530"/>
            <wp:effectExtent l="0" t="0" r="0" b="7620"/>
            <wp:docPr id="5" name="Picture 5" descr="https://www.gov.am/new_images/gov_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ov.am/new_images/gov_buildi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5060" cy="3097530"/>
                    </a:xfrm>
                    <a:prstGeom prst="rect">
                      <a:avLst/>
                    </a:prstGeom>
                    <a:noFill/>
                    <a:ln>
                      <a:noFill/>
                    </a:ln>
                  </pic:spPr>
                </pic:pic>
              </a:graphicData>
            </a:graphic>
          </wp:inline>
        </w:drawing>
      </w:r>
    </w:p>
    <w:p w:rsidR="004A4189" w:rsidRPr="007955BB" w:rsidRDefault="004A4189" w:rsidP="007730AA">
      <w:pPr>
        <w:spacing w:before="0" w:line="276" w:lineRule="auto"/>
        <w:ind w:firstLine="0"/>
        <w:jc w:val="center"/>
        <w:rPr>
          <w:sz w:val="52"/>
          <w:szCs w:val="52"/>
          <w:lang w:val="en-US"/>
        </w:rPr>
      </w:pPr>
    </w:p>
    <w:p w:rsidR="0021126A" w:rsidRPr="007955BB" w:rsidRDefault="0021126A" w:rsidP="007730AA">
      <w:pPr>
        <w:spacing w:before="0" w:line="276" w:lineRule="auto"/>
        <w:ind w:firstLine="0"/>
        <w:jc w:val="center"/>
        <w:rPr>
          <w:b w:val="0"/>
          <w:sz w:val="52"/>
          <w:szCs w:val="52"/>
          <w:lang w:val="en-US"/>
        </w:rPr>
      </w:pPr>
      <w:r w:rsidRPr="007955BB">
        <w:rPr>
          <w:sz w:val="52"/>
          <w:szCs w:val="52"/>
        </w:rPr>
        <w:t>ՀԱՅԱՍՏԱՆԻ</w:t>
      </w:r>
      <w:r w:rsidR="001E6978" w:rsidRPr="007955BB">
        <w:rPr>
          <w:sz w:val="52"/>
          <w:szCs w:val="52"/>
          <w:lang w:val="en-US"/>
        </w:rPr>
        <w:t xml:space="preserve"> </w:t>
      </w:r>
      <w:r w:rsidR="00932A00" w:rsidRPr="007955BB">
        <w:rPr>
          <w:sz w:val="52"/>
          <w:szCs w:val="52"/>
          <w:lang w:val="en-US"/>
        </w:rPr>
        <w:t>Հ</w:t>
      </w:r>
      <w:r w:rsidRPr="007955BB">
        <w:rPr>
          <w:sz w:val="52"/>
          <w:szCs w:val="52"/>
        </w:rPr>
        <w:t>ԱՆՐԱՊԵՏՈՒԹՅԱՆ</w:t>
      </w:r>
    </w:p>
    <w:p w:rsidR="0021126A" w:rsidRPr="00C33313" w:rsidRDefault="0021126A" w:rsidP="007730AA">
      <w:pPr>
        <w:spacing w:before="0" w:line="276" w:lineRule="auto"/>
        <w:ind w:firstLine="0"/>
        <w:jc w:val="center"/>
        <w:rPr>
          <w:b w:val="0"/>
          <w:sz w:val="52"/>
          <w:szCs w:val="52"/>
          <w:lang w:val="hy-AM"/>
        </w:rPr>
      </w:pPr>
      <w:r w:rsidRPr="007955BB">
        <w:rPr>
          <w:sz w:val="52"/>
          <w:szCs w:val="52"/>
        </w:rPr>
        <w:t>ԿԱՌԱՎԱՐՈՒԹՅԱՆ</w:t>
      </w:r>
    </w:p>
    <w:p w:rsidR="0021126A" w:rsidRPr="007955BB" w:rsidRDefault="0021126A" w:rsidP="007730AA">
      <w:pPr>
        <w:spacing w:before="0" w:line="276" w:lineRule="auto"/>
        <w:ind w:firstLine="0"/>
        <w:jc w:val="center"/>
        <w:rPr>
          <w:b w:val="0"/>
          <w:sz w:val="52"/>
          <w:szCs w:val="52"/>
          <w:lang w:val="en-US"/>
        </w:rPr>
      </w:pPr>
    </w:p>
    <w:p w:rsidR="0021126A" w:rsidRPr="007955BB" w:rsidRDefault="00BB3288" w:rsidP="007730AA">
      <w:pPr>
        <w:spacing w:before="0" w:line="276" w:lineRule="auto"/>
        <w:ind w:firstLine="0"/>
        <w:jc w:val="center"/>
        <w:rPr>
          <w:b w:val="0"/>
          <w:sz w:val="52"/>
          <w:szCs w:val="52"/>
          <w:lang w:val="en-US"/>
        </w:rPr>
      </w:pPr>
      <w:r w:rsidRPr="007955BB">
        <w:rPr>
          <w:sz w:val="52"/>
          <w:szCs w:val="52"/>
          <w:lang w:val="en-US"/>
        </w:rPr>
        <w:t>202</w:t>
      </w:r>
      <w:r w:rsidR="00C34FE1" w:rsidRPr="007955BB">
        <w:rPr>
          <w:sz w:val="52"/>
          <w:szCs w:val="52"/>
          <w:lang w:val="en-US"/>
        </w:rPr>
        <w:t>3</w:t>
      </w:r>
      <w:r w:rsidR="00D63A2E" w:rsidRPr="007955BB">
        <w:rPr>
          <w:sz w:val="52"/>
          <w:szCs w:val="52"/>
          <w:lang w:val="en-US"/>
        </w:rPr>
        <w:t xml:space="preserve"> </w:t>
      </w:r>
      <w:r w:rsidR="0021126A" w:rsidRPr="007955BB">
        <w:rPr>
          <w:sz w:val="52"/>
          <w:szCs w:val="52"/>
        </w:rPr>
        <w:t>ԹՎԱԿԱՆԻ</w:t>
      </w:r>
      <w:r w:rsidR="0021126A" w:rsidRPr="007955BB">
        <w:rPr>
          <w:sz w:val="52"/>
          <w:szCs w:val="52"/>
          <w:lang w:val="en-US"/>
        </w:rPr>
        <w:t xml:space="preserve"> </w:t>
      </w:r>
      <w:r w:rsidR="0021126A" w:rsidRPr="007955BB">
        <w:rPr>
          <w:sz w:val="52"/>
          <w:szCs w:val="52"/>
        </w:rPr>
        <w:t>ԲՅՈՒՋԵՏԱՅԻՆ</w:t>
      </w:r>
      <w:r w:rsidR="0021126A" w:rsidRPr="007955BB">
        <w:rPr>
          <w:sz w:val="52"/>
          <w:szCs w:val="52"/>
          <w:lang w:val="en-US"/>
        </w:rPr>
        <w:t xml:space="preserve"> </w:t>
      </w:r>
    </w:p>
    <w:p w:rsidR="0021126A" w:rsidRPr="007955BB" w:rsidRDefault="0021126A" w:rsidP="007730AA">
      <w:pPr>
        <w:spacing w:before="0" w:line="276" w:lineRule="auto"/>
        <w:ind w:firstLine="0"/>
        <w:jc w:val="center"/>
        <w:rPr>
          <w:sz w:val="72"/>
          <w:szCs w:val="72"/>
          <w:lang w:val="en-US"/>
        </w:rPr>
      </w:pPr>
    </w:p>
    <w:p w:rsidR="0021126A" w:rsidRPr="00350BC4" w:rsidRDefault="0021126A" w:rsidP="007730AA">
      <w:pPr>
        <w:spacing w:before="0" w:line="276" w:lineRule="auto"/>
        <w:ind w:firstLine="0"/>
        <w:jc w:val="center"/>
        <w:rPr>
          <w:b w:val="0"/>
          <w:sz w:val="72"/>
          <w:szCs w:val="72"/>
          <w:lang w:val="hy-AM"/>
        </w:rPr>
      </w:pPr>
      <w:r w:rsidRPr="007955BB">
        <w:rPr>
          <w:sz w:val="72"/>
          <w:szCs w:val="72"/>
        </w:rPr>
        <w:t>ՈՒ</w:t>
      </w:r>
      <w:r w:rsidRPr="007955BB">
        <w:rPr>
          <w:sz w:val="72"/>
          <w:szCs w:val="72"/>
          <w:lang w:val="en-US"/>
        </w:rPr>
        <w:t xml:space="preserve"> </w:t>
      </w:r>
      <w:r w:rsidRPr="007955BB">
        <w:rPr>
          <w:sz w:val="72"/>
          <w:szCs w:val="72"/>
        </w:rPr>
        <w:t>Ղ</w:t>
      </w:r>
      <w:r w:rsidRPr="007955BB">
        <w:rPr>
          <w:sz w:val="72"/>
          <w:szCs w:val="72"/>
          <w:lang w:val="en-US"/>
        </w:rPr>
        <w:t xml:space="preserve"> </w:t>
      </w:r>
      <w:r w:rsidRPr="007955BB">
        <w:rPr>
          <w:sz w:val="72"/>
          <w:szCs w:val="72"/>
        </w:rPr>
        <w:t>Ե</w:t>
      </w:r>
      <w:r w:rsidRPr="007955BB">
        <w:rPr>
          <w:sz w:val="72"/>
          <w:szCs w:val="72"/>
          <w:lang w:val="en-US"/>
        </w:rPr>
        <w:t xml:space="preserve"> </w:t>
      </w:r>
      <w:r w:rsidRPr="007955BB">
        <w:rPr>
          <w:sz w:val="72"/>
          <w:szCs w:val="72"/>
        </w:rPr>
        <w:t>Ր</w:t>
      </w:r>
      <w:r w:rsidRPr="007955BB">
        <w:rPr>
          <w:sz w:val="72"/>
          <w:szCs w:val="72"/>
          <w:lang w:val="en-US"/>
        </w:rPr>
        <w:t xml:space="preserve"> </w:t>
      </w:r>
      <w:r w:rsidRPr="007955BB">
        <w:rPr>
          <w:sz w:val="72"/>
          <w:szCs w:val="72"/>
        </w:rPr>
        <w:t>Ձ</w:t>
      </w:r>
    </w:p>
    <w:p w:rsidR="0021126A" w:rsidRPr="007955BB" w:rsidRDefault="0021126A" w:rsidP="007730AA">
      <w:pPr>
        <w:spacing w:before="0" w:line="276" w:lineRule="auto"/>
        <w:ind w:firstLine="0"/>
        <w:jc w:val="center"/>
        <w:rPr>
          <w:b w:val="0"/>
          <w:sz w:val="32"/>
          <w:szCs w:val="32"/>
          <w:lang w:val="en-US"/>
        </w:rPr>
      </w:pPr>
    </w:p>
    <w:p w:rsidR="00140251" w:rsidRPr="007955BB" w:rsidRDefault="00140251" w:rsidP="007730AA">
      <w:pPr>
        <w:spacing w:before="0" w:line="276" w:lineRule="auto"/>
        <w:ind w:firstLine="0"/>
        <w:jc w:val="center"/>
        <w:rPr>
          <w:b w:val="0"/>
          <w:sz w:val="32"/>
          <w:szCs w:val="32"/>
          <w:lang w:val="en-US"/>
        </w:rPr>
      </w:pPr>
    </w:p>
    <w:p w:rsidR="00140251" w:rsidRPr="007955BB" w:rsidRDefault="00140251" w:rsidP="007730AA">
      <w:pPr>
        <w:spacing w:before="0" w:line="276" w:lineRule="auto"/>
        <w:ind w:firstLine="0"/>
        <w:jc w:val="center"/>
        <w:rPr>
          <w:b w:val="0"/>
          <w:sz w:val="32"/>
          <w:szCs w:val="32"/>
          <w:lang w:val="en-US"/>
        </w:rPr>
      </w:pPr>
    </w:p>
    <w:p w:rsidR="0021126A" w:rsidRPr="007955BB" w:rsidRDefault="0021126A" w:rsidP="007730AA">
      <w:pPr>
        <w:spacing w:before="0" w:line="276" w:lineRule="auto"/>
        <w:ind w:firstLine="0"/>
        <w:jc w:val="center"/>
        <w:rPr>
          <w:sz w:val="32"/>
          <w:szCs w:val="32"/>
          <w:lang w:val="en-US"/>
        </w:rPr>
      </w:pPr>
    </w:p>
    <w:p w:rsidR="0021126A" w:rsidRPr="007955BB" w:rsidRDefault="0021126A" w:rsidP="007730AA">
      <w:pPr>
        <w:spacing w:before="0" w:line="276" w:lineRule="auto"/>
        <w:ind w:firstLine="0"/>
        <w:jc w:val="center"/>
        <w:rPr>
          <w:rFonts w:ascii="Arial Unicode" w:hAnsi="Arial Unicode"/>
          <w:sz w:val="32"/>
          <w:szCs w:val="32"/>
          <w:lang w:val="en-US"/>
        </w:rPr>
      </w:pPr>
    </w:p>
    <w:p w:rsidR="0021126A" w:rsidRPr="007955BB" w:rsidRDefault="0021126A" w:rsidP="007730AA">
      <w:pPr>
        <w:spacing w:before="0" w:line="276" w:lineRule="auto"/>
        <w:ind w:firstLine="0"/>
        <w:jc w:val="center"/>
        <w:rPr>
          <w:lang w:val="en-US"/>
        </w:rPr>
      </w:pPr>
      <w:r w:rsidRPr="007955BB">
        <w:rPr>
          <w:sz w:val="32"/>
          <w:szCs w:val="32"/>
        </w:rPr>
        <w:t>ԵՐԵՎԱՆ</w:t>
      </w:r>
      <w:r w:rsidRPr="007955BB">
        <w:rPr>
          <w:sz w:val="32"/>
          <w:szCs w:val="32"/>
          <w:lang w:val="en-US"/>
        </w:rPr>
        <w:t xml:space="preserve"> </w:t>
      </w:r>
      <w:r w:rsidR="00BB3288" w:rsidRPr="007955BB">
        <w:rPr>
          <w:sz w:val="32"/>
          <w:szCs w:val="32"/>
          <w:lang w:val="en-US"/>
        </w:rPr>
        <w:t>20</w:t>
      </w:r>
      <w:r w:rsidR="00BB3288" w:rsidRPr="007955BB">
        <w:rPr>
          <w:sz w:val="32"/>
          <w:szCs w:val="32"/>
          <w:lang w:val="hy-AM"/>
        </w:rPr>
        <w:t>2</w:t>
      </w:r>
      <w:r w:rsidR="00C34FE1" w:rsidRPr="007955BB">
        <w:rPr>
          <w:sz w:val="32"/>
          <w:szCs w:val="32"/>
          <w:lang w:val="en-US"/>
        </w:rPr>
        <w:t>2</w:t>
      </w:r>
      <w:r w:rsidR="00BB3288" w:rsidRPr="007955BB">
        <w:rPr>
          <w:sz w:val="32"/>
          <w:szCs w:val="32"/>
        </w:rPr>
        <w:t>թ</w:t>
      </w:r>
      <w:r w:rsidRPr="007955BB">
        <w:rPr>
          <w:sz w:val="32"/>
          <w:szCs w:val="32"/>
          <w:lang w:val="en-US"/>
        </w:rPr>
        <w:t>.</w:t>
      </w:r>
    </w:p>
    <w:p w:rsidR="0021126A" w:rsidRPr="007955BB" w:rsidRDefault="0021126A" w:rsidP="007730AA">
      <w:pPr>
        <w:spacing w:before="0" w:line="276" w:lineRule="auto"/>
        <w:ind w:firstLine="0"/>
        <w:contextualSpacing w:val="0"/>
        <w:jc w:val="left"/>
        <w:rPr>
          <w:b w:val="0"/>
          <w:sz w:val="32"/>
          <w:szCs w:val="32"/>
          <w:lang w:val="en-US"/>
        </w:rPr>
      </w:pPr>
      <w:r w:rsidRPr="007955BB">
        <w:rPr>
          <w:sz w:val="32"/>
          <w:szCs w:val="32"/>
          <w:lang w:val="en-US"/>
        </w:rPr>
        <w:br w:type="page"/>
      </w:r>
    </w:p>
    <w:p w:rsidR="00925FDB" w:rsidRPr="007955BB" w:rsidRDefault="00925FDB" w:rsidP="007730AA">
      <w:pPr>
        <w:spacing w:before="0" w:line="276" w:lineRule="auto"/>
        <w:jc w:val="center"/>
        <w:rPr>
          <w:b w:val="0"/>
          <w:sz w:val="32"/>
          <w:szCs w:val="32"/>
        </w:rPr>
      </w:pPr>
      <w:r w:rsidRPr="007955BB">
        <w:rPr>
          <w:sz w:val="32"/>
          <w:szCs w:val="32"/>
        </w:rPr>
        <w:lastRenderedPageBreak/>
        <w:t>ԲՈՎԱՆԴԱԿՈՒԹՅՈՒՆ</w:t>
      </w:r>
    </w:p>
    <w:p w:rsidR="00BA2D53" w:rsidRPr="007955BB" w:rsidRDefault="00BA2D53" w:rsidP="007730AA">
      <w:pPr>
        <w:spacing w:before="0" w:line="276" w:lineRule="auto"/>
      </w:pPr>
    </w:p>
    <w:p w:rsidR="00CA7B0A" w:rsidRDefault="003C3925">
      <w:pPr>
        <w:pStyle w:val="TOC3"/>
        <w:rPr>
          <w:rFonts w:asciiTheme="minorHAnsi" w:eastAsiaTheme="minorEastAsia" w:hAnsiTheme="minorHAnsi" w:cstheme="minorBidi"/>
          <w:b w:val="0"/>
          <w:noProof/>
          <w:szCs w:val="22"/>
          <w:lang w:val="en-US" w:eastAsia="en-US"/>
        </w:rPr>
      </w:pPr>
      <w:r w:rsidRPr="007955BB">
        <w:rPr>
          <w:rFonts w:cs="Sylfaen"/>
          <w:szCs w:val="22"/>
        </w:rPr>
        <w:fldChar w:fldCharType="begin"/>
      </w:r>
      <w:r w:rsidR="00BA2D53" w:rsidRPr="007955BB">
        <w:rPr>
          <w:rFonts w:cs="Sylfaen"/>
          <w:szCs w:val="22"/>
        </w:rPr>
        <w:instrText xml:space="preserve"> TOC \o "1-4" \h \z \u </w:instrText>
      </w:r>
      <w:r w:rsidRPr="007955BB">
        <w:rPr>
          <w:rFonts w:cs="Sylfaen"/>
          <w:szCs w:val="22"/>
        </w:rPr>
        <w:fldChar w:fldCharType="separate"/>
      </w:r>
      <w:hyperlink w:anchor="_Toc120805155" w:history="1">
        <w:r w:rsidR="00CA7B0A" w:rsidRPr="00966AF3">
          <w:rPr>
            <w:rStyle w:val="Hyperlink"/>
            <w:noProof/>
            <w:lang w:val="hy-AM"/>
          </w:rPr>
          <w:t>ՕԳՏԱԳՈՐԾՎԱԾ ՀԱՊԱՎՈՒՄՆԵՐԻ ՑԱՆԿ</w:t>
        </w:r>
        <w:r w:rsidR="00CA7B0A">
          <w:rPr>
            <w:noProof/>
            <w:webHidden/>
          </w:rPr>
          <w:tab/>
        </w:r>
        <w:r w:rsidR="00CA7B0A">
          <w:rPr>
            <w:noProof/>
            <w:webHidden/>
          </w:rPr>
          <w:fldChar w:fldCharType="begin"/>
        </w:r>
        <w:r w:rsidR="00CA7B0A">
          <w:rPr>
            <w:noProof/>
            <w:webHidden/>
          </w:rPr>
          <w:instrText xml:space="preserve"> PAGEREF _Toc120805155 \h </w:instrText>
        </w:r>
        <w:r w:rsidR="00CA7B0A">
          <w:rPr>
            <w:noProof/>
            <w:webHidden/>
          </w:rPr>
        </w:r>
        <w:r w:rsidR="00CA7B0A">
          <w:rPr>
            <w:noProof/>
            <w:webHidden/>
          </w:rPr>
          <w:fldChar w:fldCharType="separate"/>
        </w:r>
        <w:r w:rsidR="00CA7B0A">
          <w:rPr>
            <w:noProof/>
            <w:webHidden/>
          </w:rPr>
          <w:t>6</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156" w:history="1">
        <w:r w:rsidR="00CA7B0A" w:rsidRPr="00966AF3">
          <w:rPr>
            <w:rStyle w:val="Hyperlink"/>
            <w:noProof/>
            <w:lang w:val="hy-AM"/>
          </w:rPr>
          <w:t>ՎԱՐՉԱՊԵՏ ՆԻԿՈԼ ՓԱՇԻՆՅԱՆԻ ՈՒՂԵՐՁԸ 2023 ԹՎԱԿԱՆԻ ՀԱՅԱՍՏԱՆԻ ՀԱՆՐԱՊԵՏՈՒԹՅԱՆ ՊԵՏԱԿԱՆ ԲՅՈՒՋԵԻ ԸՆԴՈՒՆՄԱՆ ԱՌԻԹՈՎ</w:t>
        </w:r>
        <w:r w:rsidR="00CA7B0A">
          <w:rPr>
            <w:noProof/>
            <w:webHidden/>
          </w:rPr>
          <w:tab/>
        </w:r>
        <w:r w:rsidR="00CA7B0A">
          <w:rPr>
            <w:noProof/>
            <w:webHidden/>
          </w:rPr>
          <w:fldChar w:fldCharType="begin"/>
        </w:r>
        <w:r w:rsidR="00CA7B0A">
          <w:rPr>
            <w:noProof/>
            <w:webHidden/>
          </w:rPr>
          <w:instrText xml:space="preserve"> PAGEREF _Toc120805156 \h </w:instrText>
        </w:r>
        <w:r w:rsidR="00CA7B0A">
          <w:rPr>
            <w:noProof/>
            <w:webHidden/>
          </w:rPr>
        </w:r>
        <w:r w:rsidR="00CA7B0A">
          <w:rPr>
            <w:noProof/>
            <w:webHidden/>
          </w:rPr>
          <w:fldChar w:fldCharType="separate"/>
        </w:r>
        <w:r w:rsidR="00CA7B0A">
          <w:rPr>
            <w:noProof/>
            <w:webHidden/>
          </w:rPr>
          <w:t>8</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157" w:history="1">
        <w:r w:rsidR="00CA7B0A" w:rsidRPr="00966AF3">
          <w:rPr>
            <w:rStyle w:val="Hyperlink"/>
            <w:noProof/>
            <w:lang w:val="hy-AM"/>
          </w:rPr>
          <w:t>ՆԵՐԱԾՈՒԹՅՈՒՆ</w:t>
        </w:r>
        <w:r w:rsidR="00CA7B0A">
          <w:rPr>
            <w:noProof/>
            <w:webHidden/>
          </w:rPr>
          <w:tab/>
        </w:r>
        <w:r w:rsidR="00CA7B0A">
          <w:rPr>
            <w:noProof/>
            <w:webHidden/>
          </w:rPr>
          <w:fldChar w:fldCharType="begin"/>
        </w:r>
        <w:r w:rsidR="00CA7B0A">
          <w:rPr>
            <w:noProof/>
            <w:webHidden/>
          </w:rPr>
          <w:instrText xml:space="preserve"> PAGEREF _Toc120805157 \h </w:instrText>
        </w:r>
        <w:r w:rsidR="00CA7B0A">
          <w:rPr>
            <w:noProof/>
            <w:webHidden/>
          </w:rPr>
        </w:r>
        <w:r w:rsidR="00CA7B0A">
          <w:rPr>
            <w:noProof/>
            <w:webHidden/>
          </w:rPr>
          <w:fldChar w:fldCharType="separate"/>
        </w:r>
        <w:r w:rsidR="00CA7B0A">
          <w:rPr>
            <w:noProof/>
            <w:webHidden/>
          </w:rPr>
          <w:t>10</w:t>
        </w:r>
        <w:r w:rsidR="00CA7B0A">
          <w:rPr>
            <w:noProof/>
            <w:webHidden/>
          </w:rPr>
          <w:fldChar w:fldCharType="end"/>
        </w:r>
      </w:hyperlink>
    </w:p>
    <w:p w:rsidR="00CA7B0A" w:rsidRDefault="00C43BF7">
      <w:pPr>
        <w:pStyle w:val="TOC1"/>
        <w:rPr>
          <w:rFonts w:asciiTheme="minorHAnsi" w:eastAsiaTheme="minorEastAsia" w:hAnsiTheme="minorHAnsi" w:cstheme="minorBidi"/>
          <w:b w:val="0"/>
          <w:noProof/>
          <w:szCs w:val="22"/>
          <w:lang w:val="en-US" w:eastAsia="en-US"/>
        </w:rPr>
      </w:pPr>
      <w:hyperlink w:anchor="_Toc120805158" w:history="1">
        <w:r w:rsidR="00CA7B0A" w:rsidRPr="00966AF3">
          <w:rPr>
            <w:rStyle w:val="Hyperlink"/>
            <w:noProof/>
            <w:lang w:val="hy-AM"/>
          </w:rPr>
          <w:t>ՄԱՍ I–Ա. ՍՈՑԻԱԼ-ՏՆՏԵՍԱԿԱՆ ԶԱՐԳԱՑՄԱՆ ԵՎ ՀԱՐԿԱԲՅՈՒՋԵՏԱՅԻՆ ՔԱՂԱՔԱԿԱՆՈՒԹՅԱՆ ՀԻՄՆԱԿԱՆ ՈՒՂՂՈՒԹՅՈՒՆՆԵՐԻ ՄԱՍԻՆ</w:t>
        </w:r>
        <w:r w:rsidR="00CA7B0A">
          <w:rPr>
            <w:noProof/>
            <w:webHidden/>
          </w:rPr>
          <w:tab/>
        </w:r>
        <w:r w:rsidR="00CA7B0A">
          <w:rPr>
            <w:noProof/>
            <w:webHidden/>
          </w:rPr>
          <w:fldChar w:fldCharType="begin"/>
        </w:r>
        <w:r w:rsidR="00CA7B0A">
          <w:rPr>
            <w:noProof/>
            <w:webHidden/>
          </w:rPr>
          <w:instrText xml:space="preserve"> PAGEREF _Toc120805158 \h </w:instrText>
        </w:r>
        <w:r w:rsidR="00CA7B0A">
          <w:rPr>
            <w:noProof/>
            <w:webHidden/>
          </w:rPr>
        </w:r>
        <w:r w:rsidR="00CA7B0A">
          <w:rPr>
            <w:noProof/>
            <w:webHidden/>
          </w:rPr>
          <w:fldChar w:fldCharType="separate"/>
        </w:r>
        <w:r w:rsidR="00CA7B0A">
          <w:rPr>
            <w:noProof/>
            <w:webHidden/>
          </w:rPr>
          <w:t>11</w:t>
        </w:r>
        <w:r w:rsidR="00CA7B0A">
          <w:rPr>
            <w:noProof/>
            <w:webHidden/>
          </w:rPr>
          <w:fldChar w:fldCharType="end"/>
        </w:r>
      </w:hyperlink>
    </w:p>
    <w:p w:rsidR="00CA7B0A" w:rsidRDefault="00C43BF7">
      <w:pPr>
        <w:pStyle w:val="TOC1"/>
        <w:rPr>
          <w:rFonts w:asciiTheme="minorHAnsi" w:eastAsiaTheme="minorEastAsia" w:hAnsiTheme="minorHAnsi" w:cstheme="minorBidi"/>
          <w:b w:val="0"/>
          <w:noProof/>
          <w:szCs w:val="22"/>
          <w:lang w:val="en-US" w:eastAsia="en-US"/>
        </w:rPr>
      </w:pPr>
      <w:hyperlink w:anchor="_Toc120805159" w:history="1">
        <w:r w:rsidR="00CA7B0A" w:rsidRPr="00966AF3">
          <w:rPr>
            <w:rStyle w:val="Hyperlink"/>
            <w:rFonts w:cs="Times LatArm"/>
            <w:noProof/>
            <w:lang w:val="hy-AM"/>
          </w:rPr>
          <w:t xml:space="preserve">2023 </w:t>
        </w:r>
        <w:r w:rsidR="00CA7B0A" w:rsidRPr="00966AF3">
          <w:rPr>
            <w:rStyle w:val="Hyperlink"/>
            <w:rFonts w:cs="Sylfaen"/>
            <w:noProof/>
            <w:lang w:val="hy-AM"/>
          </w:rPr>
          <w:t>թվականի</w:t>
        </w:r>
        <w:r w:rsidR="00CA7B0A" w:rsidRPr="00966AF3">
          <w:rPr>
            <w:rStyle w:val="Hyperlink"/>
            <w:rFonts w:cs="Times LatArm"/>
            <w:noProof/>
            <w:lang w:val="hy-AM"/>
          </w:rPr>
          <w:t xml:space="preserve"> </w:t>
        </w:r>
        <w:r w:rsidR="00CA7B0A" w:rsidRPr="00966AF3">
          <w:rPr>
            <w:rStyle w:val="Hyperlink"/>
            <w:rFonts w:cs="Sylfaen"/>
            <w:noProof/>
            <w:lang w:val="hy-AM"/>
          </w:rPr>
          <w:t>սոցիալ</w:t>
        </w:r>
        <w:r w:rsidR="00CA7B0A" w:rsidRPr="00966AF3">
          <w:rPr>
            <w:rStyle w:val="Hyperlink"/>
            <w:rFonts w:cs="Times LatArm"/>
            <w:noProof/>
            <w:lang w:val="hy-AM"/>
          </w:rPr>
          <w:t>-</w:t>
        </w:r>
        <w:r w:rsidR="00CA7B0A" w:rsidRPr="00966AF3">
          <w:rPr>
            <w:rStyle w:val="Hyperlink"/>
            <w:rFonts w:cs="Sylfaen"/>
            <w:noProof/>
            <w:lang w:val="hy-AM"/>
          </w:rPr>
          <w:t>տնտեսական</w:t>
        </w:r>
        <w:r w:rsidR="00CA7B0A" w:rsidRPr="00966AF3">
          <w:rPr>
            <w:rStyle w:val="Hyperlink"/>
            <w:rFonts w:cs="Times LatArm"/>
            <w:noProof/>
            <w:lang w:val="hy-AM"/>
          </w:rPr>
          <w:t xml:space="preserve"> </w:t>
        </w:r>
        <w:r w:rsidR="00CA7B0A" w:rsidRPr="00966AF3">
          <w:rPr>
            <w:rStyle w:val="Hyperlink"/>
            <w:rFonts w:cs="Sylfaen"/>
            <w:noProof/>
            <w:lang w:val="hy-AM"/>
          </w:rPr>
          <w:t>զարգացման</w:t>
        </w:r>
        <w:r w:rsidR="00CA7B0A" w:rsidRPr="00966AF3">
          <w:rPr>
            <w:rStyle w:val="Hyperlink"/>
            <w:rFonts w:cs="Times LatArm"/>
            <w:noProof/>
            <w:lang w:val="hy-AM"/>
          </w:rPr>
          <w:t xml:space="preserve"> </w:t>
        </w:r>
        <w:r w:rsidR="00CA7B0A" w:rsidRPr="00966AF3">
          <w:rPr>
            <w:rStyle w:val="Hyperlink"/>
            <w:rFonts w:cs="Sylfaen"/>
            <w:noProof/>
            <w:lang w:val="hy-AM"/>
          </w:rPr>
          <w:t>և հարկաբյուջետային քաղաքականության հիմնական</w:t>
        </w:r>
        <w:r w:rsidR="00CA7B0A" w:rsidRPr="00966AF3">
          <w:rPr>
            <w:rStyle w:val="Hyperlink"/>
            <w:rFonts w:cs="Times LatArm"/>
            <w:noProof/>
            <w:lang w:val="hy-AM"/>
          </w:rPr>
          <w:t xml:space="preserve"> </w:t>
        </w:r>
        <w:r w:rsidR="00CA7B0A" w:rsidRPr="00966AF3">
          <w:rPr>
            <w:rStyle w:val="Hyperlink"/>
            <w:rFonts w:cs="Sylfaen"/>
            <w:noProof/>
            <w:lang w:val="hy-AM"/>
          </w:rPr>
          <w:t>ուղղությունները</w:t>
        </w:r>
        <w:r w:rsidR="00CA7B0A">
          <w:rPr>
            <w:noProof/>
            <w:webHidden/>
          </w:rPr>
          <w:tab/>
        </w:r>
        <w:r w:rsidR="00CA7B0A">
          <w:rPr>
            <w:noProof/>
            <w:webHidden/>
          </w:rPr>
          <w:fldChar w:fldCharType="begin"/>
        </w:r>
        <w:r w:rsidR="00CA7B0A">
          <w:rPr>
            <w:noProof/>
            <w:webHidden/>
          </w:rPr>
          <w:instrText xml:space="preserve"> PAGEREF _Toc120805159 \h </w:instrText>
        </w:r>
        <w:r w:rsidR="00CA7B0A">
          <w:rPr>
            <w:noProof/>
            <w:webHidden/>
          </w:rPr>
        </w:r>
        <w:r w:rsidR="00CA7B0A">
          <w:rPr>
            <w:noProof/>
            <w:webHidden/>
          </w:rPr>
          <w:fldChar w:fldCharType="separate"/>
        </w:r>
        <w:r w:rsidR="00CA7B0A">
          <w:rPr>
            <w:noProof/>
            <w:webHidden/>
          </w:rPr>
          <w:t>11</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160" w:history="1">
        <w:r w:rsidR="00CA7B0A" w:rsidRPr="00966AF3">
          <w:rPr>
            <w:rStyle w:val="Hyperlink"/>
            <w:rFonts w:cs="Arial"/>
            <w:noProof/>
            <w:lang w:val="hy-AM" w:eastAsia="en-US"/>
          </w:rPr>
          <w:t>Տնտեսական զարգացում</w:t>
        </w:r>
        <w:r w:rsidR="00CA7B0A">
          <w:rPr>
            <w:noProof/>
            <w:webHidden/>
          </w:rPr>
          <w:tab/>
        </w:r>
        <w:r w:rsidR="00CA7B0A">
          <w:rPr>
            <w:noProof/>
            <w:webHidden/>
          </w:rPr>
          <w:fldChar w:fldCharType="begin"/>
        </w:r>
        <w:r w:rsidR="00CA7B0A">
          <w:rPr>
            <w:noProof/>
            <w:webHidden/>
          </w:rPr>
          <w:instrText xml:space="preserve"> PAGEREF _Toc120805160 \h </w:instrText>
        </w:r>
        <w:r w:rsidR="00CA7B0A">
          <w:rPr>
            <w:noProof/>
            <w:webHidden/>
          </w:rPr>
        </w:r>
        <w:r w:rsidR="00CA7B0A">
          <w:rPr>
            <w:noProof/>
            <w:webHidden/>
          </w:rPr>
          <w:fldChar w:fldCharType="separate"/>
        </w:r>
        <w:r w:rsidR="00CA7B0A">
          <w:rPr>
            <w:noProof/>
            <w:webHidden/>
          </w:rPr>
          <w:t>11</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161" w:history="1">
        <w:r w:rsidR="00CA7B0A" w:rsidRPr="00966AF3">
          <w:rPr>
            <w:rStyle w:val="Hyperlink"/>
            <w:rFonts w:cs="Arial"/>
            <w:noProof/>
            <w:lang w:val="hy-AM" w:eastAsia="en-US"/>
          </w:rPr>
          <w:t>Տարածքային կառավարում և տեղական ինքնակառավարում</w:t>
        </w:r>
        <w:r w:rsidR="00CA7B0A">
          <w:rPr>
            <w:noProof/>
            <w:webHidden/>
          </w:rPr>
          <w:tab/>
        </w:r>
        <w:r w:rsidR="00CA7B0A">
          <w:rPr>
            <w:noProof/>
            <w:webHidden/>
          </w:rPr>
          <w:fldChar w:fldCharType="begin"/>
        </w:r>
        <w:r w:rsidR="00CA7B0A">
          <w:rPr>
            <w:noProof/>
            <w:webHidden/>
          </w:rPr>
          <w:instrText xml:space="preserve"> PAGEREF _Toc120805161 \h </w:instrText>
        </w:r>
        <w:r w:rsidR="00CA7B0A">
          <w:rPr>
            <w:noProof/>
            <w:webHidden/>
          </w:rPr>
        </w:r>
        <w:r w:rsidR="00CA7B0A">
          <w:rPr>
            <w:noProof/>
            <w:webHidden/>
          </w:rPr>
          <w:fldChar w:fldCharType="separate"/>
        </w:r>
        <w:r w:rsidR="00CA7B0A">
          <w:rPr>
            <w:noProof/>
            <w:webHidden/>
          </w:rPr>
          <w:t>15</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162" w:history="1">
        <w:r w:rsidR="00CA7B0A" w:rsidRPr="00966AF3">
          <w:rPr>
            <w:rStyle w:val="Hyperlink"/>
            <w:rFonts w:cs="Arial"/>
            <w:noProof/>
            <w:lang w:val="hy-AM" w:eastAsia="en-US"/>
          </w:rPr>
          <w:t>Ճանապարհային տնտեսություն</w:t>
        </w:r>
        <w:r w:rsidR="00CA7B0A">
          <w:rPr>
            <w:noProof/>
            <w:webHidden/>
          </w:rPr>
          <w:tab/>
        </w:r>
        <w:r w:rsidR="00CA7B0A">
          <w:rPr>
            <w:noProof/>
            <w:webHidden/>
          </w:rPr>
          <w:fldChar w:fldCharType="begin"/>
        </w:r>
        <w:r w:rsidR="00CA7B0A">
          <w:rPr>
            <w:noProof/>
            <w:webHidden/>
          </w:rPr>
          <w:instrText xml:space="preserve"> PAGEREF _Toc120805162 \h </w:instrText>
        </w:r>
        <w:r w:rsidR="00CA7B0A">
          <w:rPr>
            <w:noProof/>
            <w:webHidden/>
          </w:rPr>
        </w:r>
        <w:r w:rsidR="00CA7B0A">
          <w:rPr>
            <w:noProof/>
            <w:webHidden/>
          </w:rPr>
          <w:fldChar w:fldCharType="separate"/>
        </w:r>
        <w:r w:rsidR="00CA7B0A">
          <w:rPr>
            <w:noProof/>
            <w:webHidden/>
          </w:rPr>
          <w:t>16</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163" w:history="1">
        <w:r w:rsidR="00CA7B0A" w:rsidRPr="00966AF3">
          <w:rPr>
            <w:rStyle w:val="Hyperlink"/>
            <w:rFonts w:cs="Arial"/>
            <w:noProof/>
            <w:lang w:val="hy-AM" w:eastAsia="en-US"/>
          </w:rPr>
          <w:t>Էներգետիկա</w:t>
        </w:r>
        <w:r w:rsidR="00CA7B0A">
          <w:rPr>
            <w:noProof/>
            <w:webHidden/>
          </w:rPr>
          <w:tab/>
        </w:r>
        <w:r w:rsidR="00CA7B0A">
          <w:rPr>
            <w:noProof/>
            <w:webHidden/>
          </w:rPr>
          <w:fldChar w:fldCharType="begin"/>
        </w:r>
        <w:r w:rsidR="00CA7B0A">
          <w:rPr>
            <w:noProof/>
            <w:webHidden/>
          </w:rPr>
          <w:instrText xml:space="preserve"> PAGEREF _Toc120805163 \h </w:instrText>
        </w:r>
        <w:r w:rsidR="00CA7B0A">
          <w:rPr>
            <w:noProof/>
            <w:webHidden/>
          </w:rPr>
        </w:r>
        <w:r w:rsidR="00CA7B0A">
          <w:rPr>
            <w:noProof/>
            <w:webHidden/>
          </w:rPr>
          <w:fldChar w:fldCharType="separate"/>
        </w:r>
        <w:r w:rsidR="00CA7B0A">
          <w:rPr>
            <w:noProof/>
            <w:webHidden/>
          </w:rPr>
          <w:t>16</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164" w:history="1">
        <w:r w:rsidR="00CA7B0A" w:rsidRPr="00966AF3">
          <w:rPr>
            <w:rStyle w:val="Hyperlink"/>
            <w:rFonts w:cs="Arial"/>
            <w:noProof/>
            <w:lang w:val="hy-AM" w:eastAsia="en-US"/>
          </w:rPr>
          <w:t>Ջրային տնտեսություն</w:t>
        </w:r>
        <w:r w:rsidR="00CA7B0A">
          <w:rPr>
            <w:noProof/>
            <w:webHidden/>
          </w:rPr>
          <w:tab/>
        </w:r>
        <w:r w:rsidR="00CA7B0A">
          <w:rPr>
            <w:noProof/>
            <w:webHidden/>
          </w:rPr>
          <w:fldChar w:fldCharType="begin"/>
        </w:r>
        <w:r w:rsidR="00CA7B0A">
          <w:rPr>
            <w:noProof/>
            <w:webHidden/>
          </w:rPr>
          <w:instrText xml:space="preserve"> PAGEREF _Toc120805164 \h </w:instrText>
        </w:r>
        <w:r w:rsidR="00CA7B0A">
          <w:rPr>
            <w:noProof/>
            <w:webHidden/>
          </w:rPr>
        </w:r>
        <w:r w:rsidR="00CA7B0A">
          <w:rPr>
            <w:noProof/>
            <w:webHidden/>
          </w:rPr>
          <w:fldChar w:fldCharType="separate"/>
        </w:r>
        <w:r w:rsidR="00CA7B0A">
          <w:rPr>
            <w:noProof/>
            <w:webHidden/>
          </w:rPr>
          <w:t>17</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165" w:history="1">
        <w:r w:rsidR="00CA7B0A" w:rsidRPr="00966AF3">
          <w:rPr>
            <w:rStyle w:val="Hyperlink"/>
            <w:rFonts w:cs="Arial"/>
            <w:noProof/>
            <w:lang w:val="hy-AM" w:eastAsia="en-US"/>
          </w:rPr>
          <w:t>Հանրային ծառայությունների կարգավորում</w:t>
        </w:r>
        <w:r w:rsidR="00CA7B0A">
          <w:rPr>
            <w:noProof/>
            <w:webHidden/>
          </w:rPr>
          <w:tab/>
        </w:r>
        <w:r w:rsidR="00CA7B0A">
          <w:rPr>
            <w:noProof/>
            <w:webHidden/>
          </w:rPr>
          <w:fldChar w:fldCharType="begin"/>
        </w:r>
        <w:r w:rsidR="00CA7B0A">
          <w:rPr>
            <w:noProof/>
            <w:webHidden/>
          </w:rPr>
          <w:instrText xml:space="preserve"> PAGEREF _Toc120805165 \h </w:instrText>
        </w:r>
        <w:r w:rsidR="00CA7B0A">
          <w:rPr>
            <w:noProof/>
            <w:webHidden/>
          </w:rPr>
        </w:r>
        <w:r w:rsidR="00CA7B0A">
          <w:rPr>
            <w:noProof/>
            <w:webHidden/>
          </w:rPr>
          <w:fldChar w:fldCharType="separate"/>
        </w:r>
        <w:r w:rsidR="00CA7B0A">
          <w:rPr>
            <w:noProof/>
            <w:webHidden/>
          </w:rPr>
          <w:t>19</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166" w:history="1">
        <w:r w:rsidR="00CA7B0A" w:rsidRPr="00966AF3">
          <w:rPr>
            <w:rStyle w:val="Hyperlink"/>
            <w:rFonts w:cs="Arial"/>
            <w:noProof/>
            <w:lang w:val="hy-AM" w:eastAsia="en-US"/>
          </w:rPr>
          <w:t>Քաղաքացիական ավիացիա</w:t>
        </w:r>
        <w:r w:rsidR="00CA7B0A">
          <w:rPr>
            <w:noProof/>
            <w:webHidden/>
          </w:rPr>
          <w:tab/>
        </w:r>
        <w:r w:rsidR="00CA7B0A">
          <w:rPr>
            <w:noProof/>
            <w:webHidden/>
          </w:rPr>
          <w:fldChar w:fldCharType="begin"/>
        </w:r>
        <w:r w:rsidR="00CA7B0A">
          <w:rPr>
            <w:noProof/>
            <w:webHidden/>
          </w:rPr>
          <w:instrText xml:space="preserve"> PAGEREF _Toc120805166 \h </w:instrText>
        </w:r>
        <w:r w:rsidR="00CA7B0A">
          <w:rPr>
            <w:noProof/>
            <w:webHidden/>
          </w:rPr>
        </w:r>
        <w:r w:rsidR="00CA7B0A">
          <w:rPr>
            <w:noProof/>
            <w:webHidden/>
          </w:rPr>
          <w:fldChar w:fldCharType="separate"/>
        </w:r>
        <w:r w:rsidR="00CA7B0A">
          <w:rPr>
            <w:noProof/>
            <w:webHidden/>
          </w:rPr>
          <w:t>19</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167" w:history="1">
        <w:r w:rsidR="00CA7B0A" w:rsidRPr="00966AF3">
          <w:rPr>
            <w:rStyle w:val="Hyperlink"/>
            <w:rFonts w:cs="Arial"/>
            <w:noProof/>
            <w:lang w:val="hy-AM" w:eastAsia="en-US"/>
          </w:rPr>
          <w:t>Պետական գույքի կառավարման ոլորտ</w:t>
        </w:r>
        <w:r w:rsidR="00CA7B0A">
          <w:rPr>
            <w:noProof/>
            <w:webHidden/>
          </w:rPr>
          <w:tab/>
        </w:r>
        <w:r w:rsidR="00CA7B0A">
          <w:rPr>
            <w:noProof/>
            <w:webHidden/>
          </w:rPr>
          <w:fldChar w:fldCharType="begin"/>
        </w:r>
        <w:r w:rsidR="00CA7B0A">
          <w:rPr>
            <w:noProof/>
            <w:webHidden/>
          </w:rPr>
          <w:instrText xml:space="preserve"> PAGEREF _Toc120805167 \h </w:instrText>
        </w:r>
        <w:r w:rsidR="00CA7B0A">
          <w:rPr>
            <w:noProof/>
            <w:webHidden/>
          </w:rPr>
        </w:r>
        <w:r w:rsidR="00CA7B0A">
          <w:rPr>
            <w:noProof/>
            <w:webHidden/>
          </w:rPr>
          <w:fldChar w:fldCharType="separate"/>
        </w:r>
        <w:r w:rsidR="00CA7B0A">
          <w:rPr>
            <w:noProof/>
            <w:webHidden/>
          </w:rPr>
          <w:t>19</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168" w:history="1">
        <w:r w:rsidR="00CA7B0A" w:rsidRPr="00966AF3">
          <w:rPr>
            <w:rStyle w:val="Hyperlink"/>
            <w:rFonts w:cs="Arial"/>
            <w:noProof/>
            <w:lang w:val="hy-AM"/>
          </w:rPr>
          <w:t>Միգրացիա</w:t>
        </w:r>
        <w:r w:rsidR="00CA7B0A">
          <w:rPr>
            <w:noProof/>
            <w:webHidden/>
          </w:rPr>
          <w:tab/>
        </w:r>
        <w:r w:rsidR="00CA7B0A">
          <w:rPr>
            <w:noProof/>
            <w:webHidden/>
          </w:rPr>
          <w:fldChar w:fldCharType="begin"/>
        </w:r>
        <w:r w:rsidR="00CA7B0A">
          <w:rPr>
            <w:noProof/>
            <w:webHidden/>
          </w:rPr>
          <w:instrText xml:space="preserve"> PAGEREF _Toc120805168 \h </w:instrText>
        </w:r>
        <w:r w:rsidR="00CA7B0A">
          <w:rPr>
            <w:noProof/>
            <w:webHidden/>
          </w:rPr>
        </w:r>
        <w:r w:rsidR="00CA7B0A">
          <w:rPr>
            <w:noProof/>
            <w:webHidden/>
          </w:rPr>
          <w:fldChar w:fldCharType="separate"/>
        </w:r>
        <w:r w:rsidR="00CA7B0A">
          <w:rPr>
            <w:noProof/>
            <w:webHidden/>
          </w:rPr>
          <w:t>20</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169" w:history="1">
        <w:r w:rsidR="00CA7B0A" w:rsidRPr="00966AF3">
          <w:rPr>
            <w:rStyle w:val="Hyperlink"/>
            <w:rFonts w:cs="Arial"/>
            <w:noProof/>
            <w:lang w:val="hy-AM" w:eastAsia="en-US"/>
          </w:rPr>
          <w:t>Բարձր տեխնոլոգիական արդյունաբերություն</w:t>
        </w:r>
        <w:r w:rsidR="00CA7B0A">
          <w:rPr>
            <w:noProof/>
            <w:webHidden/>
          </w:rPr>
          <w:tab/>
        </w:r>
        <w:r w:rsidR="00CA7B0A">
          <w:rPr>
            <w:noProof/>
            <w:webHidden/>
          </w:rPr>
          <w:fldChar w:fldCharType="begin"/>
        </w:r>
        <w:r w:rsidR="00CA7B0A">
          <w:rPr>
            <w:noProof/>
            <w:webHidden/>
          </w:rPr>
          <w:instrText xml:space="preserve"> PAGEREF _Toc120805169 \h </w:instrText>
        </w:r>
        <w:r w:rsidR="00CA7B0A">
          <w:rPr>
            <w:noProof/>
            <w:webHidden/>
          </w:rPr>
        </w:r>
        <w:r w:rsidR="00CA7B0A">
          <w:rPr>
            <w:noProof/>
            <w:webHidden/>
          </w:rPr>
          <w:fldChar w:fldCharType="separate"/>
        </w:r>
        <w:r w:rsidR="00CA7B0A">
          <w:rPr>
            <w:noProof/>
            <w:webHidden/>
          </w:rPr>
          <w:t>20</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170" w:history="1">
        <w:r w:rsidR="00CA7B0A" w:rsidRPr="00966AF3">
          <w:rPr>
            <w:rStyle w:val="Hyperlink"/>
            <w:rFonts w:cs="Arial"/>
            <w:noProof/>
            <w:lang w:val="hy-AM" w:eastAsia="en-US"/>
          </w:rPr>
          <w:t>Քաղաքաշինություն</w:t>
        </w:r>
        <w:r w:rsidR="00CA7B0A">
          <w:rPr>
            <w:noProof/>
            <w:webHidden/>
          </w:rPr>
          <w:tab/>
        </w:r>
        <w:r w:rsidR="00CA7B0A">
          <w:rPr>
            <w:noProof/>
            <w:webHidden/>
          </w:rPr>
          <w:fldChar w:fldCharType="begin"/>
        </w:r>
        <w:r w:rsidR="00CA7B0A">
          <w:rPr>
            <w:noProof/>
            <w:webHidden/>
          </w:rPr>
          <w:instrText xml:space="preserve"> PAGEREF _Toc120805170 \h </w:instrText>
        </w:r>
        <w:r w:rsidR="00CA7B0A">
          <w:rPr>
            <w:noProof/>
            <w:webHidden/>
          </w:rPr>
        </w:r>
        <w:r w:rsidR="00CA7B0A">
          <w:rPr>
            <w:noProof/>
            <w:webHidden/>
          </w:rPr>
          <w:fldChar w:fldCharType="separate"/>
        </w:r>
        <w:r w:rsidR="00CA7B0A">
          <w:rPr>
            <w:noProof/>
            <w:webHidden/>
          </w:rPr>
          <w:t>21</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171" w:history="1">
        <w:r w:rsidR="00CA7B0A" w:rsidRPr="00966AF3">
          <w:rPr>
            <w:rStyle w:val="Hyperlink"/>
            <w:rFonts w:cs="Arial"/>
            <w:noProof/>
            <w:lang w:val="hy-AM" w:eastAsia="en-US"/>
          </w:rPr>
          <w:t>Արտակարգ իրավիճակների բնագավառ</w:t>
        </w:r>
        <w:r w:rsidR="00CA7B0A">
          <w:rPr>
            <w:noProof/>
            <w:webHidden/>
          </w:rPr>
          <w:tab/>
        </w:r>
        <w:r w:rsidR="00CA7B0A">
          <w:rPr>
            <w:noProof/>
            <w:webHidden/>
          </w:rPr>
          <w:fldChar w:fldCharType="begin"/>
        </w:r>
        <w:r w:rsidR="00CA7B0A">
          <w:rPr>
            <w:noProof/>
            <w:webHidden/>
          </w:rPr>
          <w:instrText xml:space="preserve"> PAGEREF _Toc120805171 \h </w:instrText>
        </w:r>
        <w:r w:rsidR="00CA7B0A">
          <w:rPr>
            <w:noProof/>
            <w:webHidden/>
          </w:rPr>
        </w:r>
        <w:r w:rsidR="00CA7B0A">
          <w:rPr>
            <w:noProof/>
            <w:webHidden/>
          </w:rPr>
          <w:fldChar w:fldCharType="separate"/>
        </w:r>
        <w:r w:rsidR="00CA7B0A">
          <w:rPr>
            <w:noProof/>
            <w:webHidden/>
          </w:rPr>
          <w:t>21</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172" w:history="1">
        <w:r w:rsidR="00CA7B0A" w:rsidRPr="00966AF3">
          <w:rPr>
            <w:rStyle w:val="Hyperlink"/>
            <w:rFonts w:cs="Arial"/>
            <w:noProof/>
            <w:lang w:val="hy-AM" w:eastAsia="en-US"/>
          </w:rPr>
          <w:t>Արտաքին քաղաքականություն</w:t>
        </w:r>
        <w:r w:rsidR="00CA7B0A">
          <w:rPr>
            <w:noProof/>
            <w:webHidden/>
          </w:rPr>
          <w:tab/>
        </w:r>
        <w:r w:rsidR="00CA7B0A">
          <w:rPr>
            <w:noProof/>
            <w:webHidden/>
          </w:rPr>
          <w:fldChar w:fldCharType="begin"/>
        </w:r>
        <w:r w:rsidR="00CA7B0A">
          <w:rPr>
            <w:noProof/>
            <w:webHidden/>
          </w:rPr>
          <w:instrText xml:space="preserve"> PAGEREF _Toc120805172 \h </w:instrText>
        </w:r>
        <w:r w:rsidR="00CA7B0A">
          <w:rPr>
            <w:noProof/>
            <w:webHidden/>
          </w:rPr>
        </w:r>
        <w:r w:rsidR="00CA7B0A">
          <w:rPr>
            <w:noProof/>
            <w:webHidden/>
          </w:rPr>
          <w:fldChar w:fldCharType="separate"/>
        </w:r>
        <w:r w:rsidR="00CA7B0A">
          <w:rPr>
            <w:noProof/>
            <w:webHidden/>
          </w:rPr>
          <w:t>22</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173" w:history="1">
        <w:r w:rsidR="00CA7B0A" w:rsidRPr="00966AF3">
          <w:rPr>
            <w:rStyle w:val="Hyperlink"/>
            <w:rFonts w:cs="Arial"/>
            <w:noProof/>
            <w:lang w:val="hy-AM" w:eastAsia="en-US"/>
          </w:rPr>
          <w:t>Սփյուռք</w:t>
        </w:r>
        <w:r w:rsidR="00CA7B0A">
          <w:rPr>
            <w:noProof/>
            <w:webHidden/>
          </w:rPr>
          <w:tab/>
        </w:r>
        <w:r w:rsidR="00CA7B0A">
          <w:rPr>
            <w:noProof/>
            <w:webHidden/>
          </w:rPr>
          <w:fldChar w:fldCharType="begin"/>
        </w:r>
        <w:r w:rsidR="00CA7B0A">
          <w:rPr>
            <w:noProof/>
            <w:webHidden/>
          </w:rPr>
          <w:instrText xml:space="preserve"> PAGEREF _Toc120805173 \h </w:instrText>
        </w:r>
        <w:r w:rsidR="00CA7B0A">
          <w:rPr>
            <w:noProof/>
            <w:webHidden/>
          </w:rPr>
        </w:r>
        <w:r w:rsidR="00CA7B0A">
          <w:rPr>
            <w:noProof/>
            <w:webHidden/>
          </w:rPr>
          <w:fldChar w:fldCharType="separate"/>
        </w:r>
        <w:r w:rsidR="00CA7B0A">
          <w:rPr>
            <w:noProof/>
            <w:webHidden/>
          </w:rPr>
          <w:t>23</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174" w:history="1">
        <w:r w:rsidR="00CA7B0A" w:rsidRPr="00966AF3">
          <w:rPr>
            <w:rStyle w:val="Hyperlink"/>
            <w:rFonts w:cs="Arial"/>
            <w:noProof/>
            <w:lang w:val="hy-AM" w:eastAsia="en-US"/>
          </w:rPr>
          <w:t>Արդարադատություն</w:t>
        </w:r>
        <w:r w:rsidR="00CA7B0A">
          <w:rPr>
            <w:noProof/>
            <w:webHidden/>
          </w:rPr>
          <w:tab/>
        </w:r>
        <w:r w:rsidR="00CA7B0A">
          <w:rPr>
            <w:noProof/>
            <w:webHidden/>
          </w:rPr>
          <w:fldChar w:fldCharType="begin"/>
        </w:r>
        <w:r w:rsidR="00CA7B0A">
          <w:rPr>
            <w:noProof/>
            <w:webHidden/>
          </w:rPr>
          <w:instrText xml:space="preserve"> PAGEREF _Toc120805174 \h </w:instrText>
        </w:r>
        <w:r w:rsidR="00CA7B0A">
          <w:rPr>
            <w:noProof/>
            <w:webHidden/>
          </w:rPr>
        </w:r>
        <w:r w:rsidR="00CA7B0A">
          <w:rPr>
            <w:noProof/>
            <w:webHidden/>
          </w:rPr>
          <w:fldChar w:fldCharType="separate"/>
        </w:r>
        <w:r w:rsidR="00CA7B0A">
          <w:rPr>
            <w:noProof/>
            <w:webHidden/>
          </w:rPr>
          <w:t>24</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175" w:history="1">
        <w:r w:rsidR="00CA7B0A" w:rsidRPr="00966AF3">
          <w:rPr>
            <w:rStyle w:val="Hyperlink"/>
            <w:rFonts w:cs="Arial"/>
            <w:noProof/>
            <w:lang w:val="hy-AM" w:eastAsia="en-US"/>
          </w:rPr>
          <w:t>Կրթություն</w:t>
        </w:r>
        <w:r w:rsidR="00CA7B0A">
          <w:rPr>
            <w:noProof/>
            <w:webHidden/>
          </w:rPr>
          <w:tab/>
        </w:r>
        <w:r w:rsidR="00CA7B0A">
          <w:rPr>
            <w:noProof/>
            <w:webHidden/>
          </w:rPr>
          <w:fldChar w:fldCharType="begin"/>
        </w:r>
        <w:r w:rsidR="00CA7B0A">
          <w:rPr>
            <w:noProof/>
            <w:webHidden/>
          </w:rPr>
          <w:instrText xml:space="preserve"> PAGEREF _Toc120805175 \h </w:instrText>
        </w:r>
        <w:r w:rsidR="00CA7B0A">
          <w:rPr>
            <w:noProof/>
            <w:webHidden/>
          </w:rPr>
        </w:r>
        <w:r w:rsidR="00CA7B0A">
          <w:rPr>
            <w:noProof/>
            <w:webHidden/>
          </w:rPr>
          <w:fldChar w:fldCharType="separate"/>
        </w:r>
        <w:r w:rsidR="00CA7B0A">
          <w:rPr>
            <w:noProof/>
            <w:webHidden/>
          </w:rPr>
          <w:t>29</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176" w:history="1">
        <w:r w:rsidR="00CA7B0A" w:rsidRPr="00966AF3">
          <w:rPr>
            <w:rStyle w:val="Hyperlink"/>
            <w:rFonts w:cs="Arial"/>
            <w:noProof/>
            <w:lang w:val="hy-AM" w:eastAsia="en-US"/>
          </w:rPr>
          <w:t>Գիտություն</w:t>
        </w:r>
        <w:r w:rsidR="00CA7B0A">
          <w:rPr>
            <w:noProof/>
            <w:webHidden/>
          </w:rPr>
          <w:tab/>
        </w:r>
        <w:r w:rsidR="00CA7B0A">
          <w:rPr>
            <w:noProof/>
            <w:webHidden/>
          </w:rPr>
          <w:fldChar w:fldCharType="begin"/>
        </w:r>
        <w:r w:rsidR="00CA7B0A">
          <w:rPr>
            <w:noProof/>
            <w:webHidden/>
          </w:rPr>
          <w:instrText xml:space="preserve"> PAGEREF _Toc120805176 \h </w:instrText>
        </w:r>
        <w:r w:rsidR="00CA7B0A">
          <w:rPr>
            <w:noProof/>
            <w:webHidden/>
          </w:rPr>
        </w:r>
        <w:r w:rsidR="00CA7B0A">
          <w:rPr>
            <w:noProof/>
            <w:webHidden/>
          </w:rPr>
          <w:fldChar w:fldCharType="separate"/>
        </w:r>
        <w:r w:rsidR="00CA7B0A">
          <w:rPr>
            <w:noProof/>
            <w:webHidden/>
          </w:rPr>
          <w:t>30</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177" w:history="1">
        <w:r w:rsidR="00CA7B0A" w:rsidRPr="00966AF3">
          <w:rPr>
            <w:rStyle w:val="Hyperlink"/>
            <w:rFonts w:cs="Arial"/>
            <w:noProof/>
            <w:lang w:val="hy-AM" w:eastAsia="en-US"/>
          </w:rPr>
          <w:t>Մշակույթ</w:t>
        </w:r>
        <w:r w:rsidR="00CA7B0A">
          <w:rPr>
            <w:noProof/>
            <w:webHidden/>
          </w:rPr>
          <w:tab/>
        </w:r>
        <w:r w:rsidR="00CA7B0A">
          <w:rPr>
            <w:noProof/>
            <w:webHidden/>
          </w:rPr>
          <w:fldChar w:fldCharType="begin"/>
        </w:r>
        <w:r w:rsidR="00CA7B0A">
          <w:rPr>
            <w:noProof/>
            <w:webHidden/>
          </w:rPr>
          <w:instrText xml:space="preserve"> PAGEREF _Toc120805177 \h </w:instrText>
        </w:r>
        <w:r w:rsidR="00CA7B0A">
          <w:rPr>
            <w:noProof/>
            <w:webHidden/>
          </w:rPr>
        </w:r>
        <w:r w:rsidR="00CA7B0A">
          <w:rPr>
            <w:noProof/>
            <w:webHidden/>
          </w:rPr>
          <w:fldChar w:fldCharType="separate"/>
        </w:r>
        <w:r w:rsidR="00CA7B0A">
          <w:rPr>
            <w:noProof/>
            <w:webHidden/>
          </w:rPr>
          <w:t>31</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178" w:history="1">
        <w:r w:rsidR="00CA7B0A" w:rsidRPr="00966AF3">
          <w:rPr>
            <w:rStyle w:val="Hyperlink"/>
            <w:rFonts w:cs="Arial"/>
            <w:noProof/>
            <w:lang w:val="hy-AM" w:eastAsia="en-US"/>
          </w:rPr>
          <w:t>Սպորտ</w:t>
        </w:r>
        <w:r w:rsidR="00CA7B0A">
          <w:rPr>
            <w:noProof/>
            <w:webHidden/>
          </w:rPr>
          <w:tab/>
        </w:r>
        <w:r w:rsidR="00CA7B0A">
          <w:rPr>
            <w:noProof/>
            <w:webHidden/>
          </w:rPr>
          <w:fldChar w:fldCharType="begin"/>
        </w:r>
        <w:r w:rsidR="00CA7B0A">
          <w:rPr>
            <w:noProof/>
            <w:webHidden/>
          </w:rPr>
          <w:instrText xml:space="preserve"> PAGEREF _Toc120805178 \h </w:instrText>
        </w:r>
        <w:r w:rsidR="00CA7B0A">
          <w:rPr>
            <w:noProof/>
            <w:webHidden/>
          </w:rPr>
        </w:r>
        <w:r w:rsidR="00CA7B0A">
          <w:rPr>
            <w:noProof/>
            <w:webHidden/>
          </w:rPr>
          <w:fldChar w:fldCharType="separate"/>
        </w:r>
        <w:r w:rsidR="00CA7B0A">
          <w:rPr>
            <w:noProof/>
            <w:webHidden/>
          </w:rPr>
          <w:t>32</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179" w:history="1">
        <w:r w:rsidR="00CA7B0A" w:rsidRPr="00966AF3">
          <w:rPr>
            <w:rStyle w:val="Hyperlink"/>
            <w:rFonts w:cs="Arial"/>
            <w:noProof/>
            <w:lang w:val="hy-AM" w:eastAsia="en-US"/>
          </w:rPr>
          <w:t>Երիտասարդություն</w:t>
        </w:r>
        <w:r w:rsidR="00CA7B0A">
          <w:rPr>
            <w:noProof/>
            <w:webHidden/>
          </w:rPr>
          <w:tab/>
        </w:r>
        <w:r w:rsidR="00CA7B0A">
          <w:rPr>
            <w:noProof/>
            <w:webHidden/>
          </w:rPr>
          <w:fldChar w:fldCharType="begin"/>
        </w:r>
        <w:r w:rsidR="00CA7B0A">
          <w:rPr>
            <w:noProof/>
            <w:webHidden/>
          </w:rPr>
          <w:instrText xml:space="preserve"> PAGEREF _Toc120805179 \h </w:instrText>
        </w:r>
        <w:r w:rsidR="00CA7B0A">
          <w:rPr>
            <w:noProof/>
            <w:webHidden/>
          </w:rPr>
        </w:r>
        <w:r w:rsidR="00CA7B0A">
          <w:rPr>
            <w:noProof/>
            <w:webHidden/>
          </w:rPr>
          <w:fldChar w:fldCharType="separate"/>
        </w:r>
        <w:r w:rsidR="00CA7B0A">
          <w:rPr>
            <w:noProof/>
            <w:webHidden/>
          </w:rPr>
          <w:t>32</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180" w:history="1">
        <w:r w:rsidR="00CA7B0A" w:rsidRPr="00966AF3">
          <w:rPr>
            <w:rStyle w:val="Hyperlink"/>
            <w:rFonts w:cs="Arial"/>
            <w:noProof/>
            <w:lang w:val="hy-AM" w:eastAsia="en-US"/>
          </w:rPr>
          <w:t>Առողջապահություն</w:t>
        </w:r>
        <w:r w:rsidR="00CA7B0A">
          <w:rPr>
            <w:noProof/>
            <w:webHidden/>
          </w:rPr>
          <w:tab/>
        </w:r>
        <w:r w:rsidR="00CA7B0A">
          <w:rPr>
            <w:noProof/>
            <w:webHidden/>
          </w:rPr>
          <w:fldChar w:fldCharType="begin"/>
        </w:r>
        <w:r w:rsidR="00CA7B0A">
          <w:rPr>
            <w:noProof/>
            <w:webHidden/>
          </w:rPr>
          <w:instrText xml:space="preserve"> PAGEREF _Toc120805180 \h </w:instrText>
        </w:r>
        <w:r w:rsidR="00CA7B0A">
          <w:rPr>
            <w:noProof/>
            <w:webHidden/>
          </w:rPr>
        </w:r>
        <w:r w:rsidR="00CA7B0A">
          <w:rPr>
            <w:noProof/>
            <w:webHidden/>
          </w:rPr>
          <w:fldChar w:fldCharType="separate"/>
        </w:r>
        <w:r w:rsidR="00CA7B0A">
          <w:rPr>
            <w:noProof/>
            <w:webHidden/>
          </w:rPr>
          <w:t>33</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181" w:history="1">
        <w:r w:rsidR="00CA7B0A" w:rsidRPr="00966AF3">
          <w:rPr>
            <w:rStyle w:val="Hyperlink"/>
            <w:rFonts w:cs="Arial"/>
            <w:noProof/>
            <w:lang w:val="hy-AM" w:eastAsia="en-US"/>
          </w:rPr>
          <w:t>Աշխատանքի և սոցիալական պաշտպանություն</w:t>
        </w:r>
        <w:r w:rsidR="00CA7B0A">
          <w:rPr>
            <w:noProof/>
            <w:webHidden/>
          </w:rPr>
          <w:tab/>
        </w:r>
        <w:r w:rsidR="00CA7B0A">
          <w:rPr>
            <w:noProof/>
            <w:webHidden/>
          </w:rPr>
          <w:fldChar w:fldCharType="begin"/>
        </w:r>
        <w:r w:rsidR="00CA7B0A">
          <w:rPr>
            <w:noProof/>
            <w:webHidden/>
          </w:rPr>
          <w:instrText xml:space="preserve"> PAGEREF _Toc120805181 \h </w:instrText>
        </w:r>
        <w:r w:rsidR="00CA7B0A">
          <w:rPr>
            <w:noProof/>
            <w:webHidden/>
          </w:rPr>
        </w:r>
        <w:r w:rsidR="00CA7B0A">
          <w:rPr>
            <w:noProof/>
            <w:webHidden/>
          </w:rPr>
          <w:fldChar w:fldCharType="separate"/>
        </w:r>
        <w:r w:rsidR="00CA7B0A">
          <w:rPr>
            <w:noProof/>
            <w:webHidden/>
          </w:rPr>
          <w:t>34</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182" w:history="1">
        <w:r w:rsidR="00CA7B0A" w:rsidRPr="00966AF3">
          <w:rPr>
            <w:rStyle w:val="Hyperlink"/>
            <w:rFonts w:cs="Arial"/>
            <w:noProof/>
            <w:lang w:val="hy-AM" w:eastAsia="en-US"/>
          </w:rPr>
          <w:t>Շրջակա միջավայր</w:t>
        </w:r>
        <w:r w:rsidR="00CA7B0A">
          <w:rPr>
            <w:noProof/>
            <w:webHidden/>
          </w:rPr>
          <w:tab/>
        </w:r>
        <w:r w:rsidR="00CA7B0A">
          <w:rPr>
            <w:noProof/>
            <w:webHidden/>
          </w:rPr>
          <w:fldChar w:fldCharType="begin"/>
        </w:r>
        <w:r w:rsidR="00CA7B0A">
          <w:rPr>
            <w:noProof/>
            <w:webHidden/>
          </w:rPr>
          <w:instrText xml:space="preserve"> PAGEREF _Toc120805182 \h </w:instrText>
        </w:r>
        <w:r w:rsidR="00CA7B0A">
          <w:rPr>
            <w:noProof/>
            <w:webHidden/>
          </w:rPr>
        </w:r>
        <w:r w:rsidR="00CA7B0A">
          <w:rPr>
            <w:noProof/>
            <w:webHidden/>
          </w:rPr>
          <w:fldChar w:fldCharType="separate"/>
        </w:r>
        <w:r w:rsidR="00CA7B0A">
          <w:rPr>
            <w:noProof/>
            <w:webHidden/>
          </w:rPr>
          <w:t>38</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183" w:history="1">
        <w:r w:rsidR="00CA7B0A" w:rsidRPr="00966AF3">
          <w:rPr>
            <w:rStyle w:val="Hyperlink"/>
            <w:rFonts w:cs="Arial"/>
            <w:noProof/>
            <w:lang w:val="hy-AM" w:eastAsia="en-US"/>
          </w:rPr>
          <w:t>Բյուջեների կազմման բնագավառ</w:t>
        </w:r>
        <w:r w:rsidR="00CA7B0A">
          <w:rPr>
            <w:noProof/>
            <w:webHidden/>
          </w:rPr>
          <w:tab/>
        </w:r>
        <w:r w:rsidR="00CA7B0A">
          <w:rPr>
            <w:noProof/>
            <w:webHidden/>
          </w:rPr>
          <w:fldChar w:fldCharType="begin"/>
        </w:r>
        <w:r w:rsidR="00CA7B0A">
          <w:rPr>
            <w:noProof/>
            <w:webHidden/>
          </w:rPr>
          <w:instrText xml:space="preserve"> PAGEREF _Toc120805183 \h </w:instrText>
        </w:r>
        <w:r w:rsidR="00CA7B0A">
          <w:rPr>
            <w:noProof/>
            <w:webHidden/>
          </w:rPr>
        </w:r>
        <w:r w:rsidR="00CA7B0A">
          <w:rPr>
            <w:noProof/>
            <w:webHidden/>
          </w:rPr>
          <w:fldChar w:fldCharType="separate"/>
        </w:r>
        <w:r w:rsidR="00CA7B0A">
          <w:rPr>
            <w:noProof/>
            <w:webHidden/>
          </w:rPr>
          <w:t>39</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184" w:history="1">
        <w:r w:rsidR="00CA7B0A" w:rsidRPr="00966AF3">
          <w:rPr>
            <w:rStyle w:val="Hyperlink"/>
            <w:rFonts w:cs="Arial"/>
            <w:noProof/>
            <w:lang w:val="hy-AM"/>
          </w:rPr>
          <w:t>Հաշվապահական հաշվառում և աուդիտորական գործունեություն</w:t>
        </w:r>
        <w:r w:rsidR="00CA7B0A">
          <w:rPr>
            <w:noProof/>
            <w:webHidden/>
          </w:rPr>
          <w:tab/>
        </w:r>
        <w:r w:rsidR="00CA7B0A">
          <w:rPr>
            <w:noProof/>
            <w:webHidden/>
          </w:rPr>
          <w:fldChar w:fldCharType="begin"/>
        </w:r>
        <w:r w:rsidR="00CA7B0A">
          <w:rPr>
            <w:noProof/>
            <w:webHidden/>
          </w:rPr>
          <w:instrText xml:space="preserve"> PAGEREF _Toc120805184 \h </w:instrText>
        </w:r>
        <w:r w:rsidR="00CA7B0A">
          <w:rPr>
            <w:noProof/>
            <w:webHidden/>
          </w:rPr>
        </w:r>
        <w:r w:rsidR="00CA7B0A">
          <w:rPr>
            <w:noProof/>
            <w:webHidden/>
          </w:rPr>
          <w:fldChar w:fldCharType="separate"/>
        </w:r>
        <w:r w:rsidR="00CA7B0A">
          <w:rPr>
            <w:noProof/>
            <w:webHidden/>
          </w:rPr>
          <w:t>40</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185" w:history="1">
        <w:r w:rsidR="00CA7B0A" w:rsidRPr="00966AF3">
          <w:rPr>
            <w:rStyle w:val="Hyperlink"/>
            <w:rFonts w:cs="Arial"/>
            <w:noProof/>
            <w:lang w:val="hy-AM"/>
          </w:rPr>
          <w:t>Եկամուտների քաղաքականության ոլորտ</w:t>
        </w:r>
        <w:r w:rsidR="00CA7B0A">
          <w:rPr>
            <w:noProof/>
            <w:webHidden/>
          </w:rPr>
          <w:tab/>
        </w:r>
        <w:r w:rsidR="00CA7B0A">
          <w:rPr>
            <w:noProof/>
            <w:webHidden/>
          </w:rPr>
          <w:fldChar w:fldCharType="begin"/>
        </w:r>
        <w:r w:rsidR="00CA7B0A">
          <w:rPr>
            <w:noProof/>
            <w:webHidden/>
          </w:rPr>
          <w:instrText xml:space="preserve"> PAGEREF _Toc120805185 \h </w:instrText>
        </w:r>
        <w:r w:rsidR="00CA7B0A">
          <w:rPr>
            <w:noProof/>
            <w:webHidden/>
          </w:rPr>
        </w:r>
        <w:r w:rsidR="00CA7B0A">
          <w:rPr>
            <w:noProof/>
            <w:webHidden/>
          </w:rPr>
          <w:fldChar w:fldCharType="separate"/>
        </w:r>
        <w:r w:rsidR="00CA7B0A">
          <w:rPr>
            <w:noProof/>
            <w:webHidden/>
          </w:rPr>
          <w:t>40</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186" w:history="1">
        <w:r w:rsidR="00CA7B0A" w:rsidRPr="00966AF3">
          <w:rPr>
            <w:rStyle w:val="Hyperlink"/>
            <w:rFonts w:cs="Arial"/>
            <w:noProof/>
            <w:lang w:val="hy-AM" w:eastAsia="en-US"/>
          </w:rPr>
          <w:t>Պետական եկամուտների վարչարարություն</w:t>
        </w:r>
        <w:r w:rsidR="00CA7B0A">
          <w:rPr>
            <w:noProof/>
            <w:webHidden/>
          </w:rPr>
          <w:tab/>
        </w:r>
        <w:r w:rsidR="00CA7B0A">
          <w:rPr>
            <w:noProof/>
            <w:webHidden/>
          </w:rPr>
          <w:fldChar w:fldCharType="begin"/>
        </w:r>
        <w:r w:rsidR="00CA7B0A">
          <w:rPr>
            <w:noProof/>
            <w:webHidden/>
          </w:rPr>
          <w:instrText xml:space="preserve"> PAGEREF _Toc120805186 \h </w:instrText>
        </w:r>
        <w:r w:rsidR="00CA7B0A">
          <w:rPr>
            <w:noProof/>
            <w:webHidden/>
          </w:rPr>
        </w:r>
        <w:r w:rsidR="00CA7B0A">
          <w:rPr>
            <w:noProof/>
            <w:webHidden/>
          </w:rPr>
          <w:fldChar w:fldCharType="separate"/>
        </w:r>
        <w:r w:rsidR="00CA7B0A">
          <w:rPr>
            <w:noProof/>
            <w:webHidden/>
          </w:rPr>
          <w:t>41</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187" w:history="1">
        <w:r w:rsidR="00CA7B0A" w:rsidRPr="00966AF3">
          <w:rPr>
            <w:rStyle w:val="Hyperlink"/>
            <w:rFonts w:cs="Arial"/>
            <w:noProof/>
            <w:lang w:val="hy-AM" w:eastAsia="en-US"/>
          </w:rPr>
          <w:t>Անշարժ գույքի կադաստր</w:t>
        </w:r>
        <w:r w:rsidR="00CA7B0A">
          <w:rPr>
            <w:noProof/>
            <w:webHidden/>
          </w:rPr>
          <w:tab/>
        </w:r>
        <w:r w:rsidR="00CA7B0A">
          <w:rPr>
            <w:noProof/>
            <w:webHidden/>
          </w:rPr>
          <w:fldChar w:fldCharType="begin"/>
        </w:r>
        <w:r w:rsidR="00CA7B0A">
          <w:rPr>
            <w:noProof/>
            <w:webHidden/>
          </w:rPr>
          <w:instrText xml:space="preserve"> PAGEREF _Toc120805187 \h </w:instrText>
        </w:r>
        <w:r w:rsidR="00CA7B0A">
          <w:rPr>
            <w:noProof/>
            <w:webHidden/>
          </w:rPr>
        </w:r>
        <w:r w:rsidR="00CA7B0A">
          <w:rPr>
            <w:noProof/>
            <w:webHidden/>
          </w:rPr>
          <w:fldChar w:fldCharType="separate"/>
        </w:r>
        <w:r w:rsidR="00CA7B0A">
          <w:rPr>
            <w:noProof/>
            <w:webHidden/>
          </w:rPr>
          <w:t>43</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188" w:history="1">
        <w:r w:rsidR="00CA7B0A" w:rsidRPr="00966AF3">
          <w:rPr>
            <w:rStyle w:val="Hyperlink"/>
            <w:rFonts w:cs="Arial"/>
            <w:noProof/>
            <w:lang w:val="hy-AM" w:eastAsia="en-US"/>
          </w:rPr>
          <w:t>Հասարակական կարգի պահպանություն</w:t>
        </w:r>
        <w:r w:rsidR="00CA7B0A">
          <w:rPr>
            <w:noProof/>
            <w:webHidden/>
          </w:rPr>
          <w:tab/>
        </w:r>
        <w:r w:rsidR="00CA7B0A">
          <w:rPr>
            <w:noProof/>
            <w:webHidden/>
          </w:rPr>
          <w:fldChar w:fldCharType="begin"/>
        </w:r>
        <w:r w:rsidR="00CA7B0A">
          <w:rPr>
            <w:noProof/>
            <w:webHidden/>
          </w:rPr>
          <w:instrText xml:space="preserve"> PAGEREF _Toc120805188 \h </w:instrText>
        </w:r>
        <w:r w:rsidR="00CA7B0A">
          <w:rPr>
            <w:noProof/>
            <w:webHidden/>
          </w:rPr>
        </w:r>
        <w:r w:rsidR="00CA7B0A">
          <w:rPr>
            <w:noProof/>
            <w:webHidden/>
          </w:rPr>
          <w:fldChar w:fldCharType="separate"/>
        </w:r>
        <w:r w:rsidR="00CA7B0A">
          <w:rPr>
            <w:noProof/>
            <w:webHidden/>
          </w:rPr>
          <w:t>43</w:t>
        </w:r>
        <w:r w:rsidR="00CA7B0A">
          <w:rPr>
            <w:noProof/>
            <w:webHidden/>
          </w:rPr>
          <w:fldChar w:fldCharType="end"/>
        </w:r>
      </w:hyperlink>
    </w:p>
    <w:p w:rsidR="00CA7B0A" w:rsidRDefault="00C43BF7">
      <w:pPr>
        <w:pStyle w:val="TOC1"/>
        <w:rPr>
          <w:rFonts w:asciiTheme="minorHAnsi" w:eastAsiaTheme="minorEastAsia" w:hAnsiTheme="minorHAnsi" w:cstheme="minorBidi"/>
          <w:b w:val="0"/>
          <w:noProof/>
          <w:szCs w:val="22"/>
          <w:lang w:val="en-US" w:eastAsia="en-US"/>
        </w:rPr>
      </w:pPr>
      <w:hyperlink w:anchor="_Toc120805189" w:history="1">
        <w:r w:rsidR="00CA7B0A" w:rsidRPr="00966AF3">
          <w:rPr>
            <w:rStyle w:val="Hyperlink"/>
            <w:noProof/>
            <w:lang w:val="hy-AM"/>
          </w:rPr>
          <w:t>ՄԱՍ I - Բ. ՄԱԿՐՈՏՆՏԵՍԱԿԱՆ ԶԱՐԳԱՑՈՒՄՆԵՐ ԵՎ ԿԱՆԽԱՏԵՍՈՒՄՆԵՐ</w:t>
        </w:r>
        <w:r w:rsidR="00CA7B0A">
          <w:rPr>
            <w:noProof/>
            <w:webHidden/>
          </w:rPr>
          <w:tab/>
        </w:r>
        <w:r w:rsidR="00CA7B0A">
          <w:rPr>
            <w:noProof/>
            <w:webHidden/>
          </w:rPr>
          <w:fldChar w:fldCharType="begin"/>
        </w:r>
        <w:r w:rsidR="00CA7B0A">
          <w:rPr>
            <w:noProof/>
            <w:webHidden/>
          </w:rPr>
          <w:instrText xml:space="preserve"> PAGEREF _Toc120805189 \h </w:instrText>
        </w:r>
        <w:r w:rsidR="00CA7B0A">
          <w:rPr>
            <w:noProof/>
            <w:webHidden/>
          </w:rPr>
        </w:r>
        <w:r w:rsidR="00CA7B0A">
          <w:rPr>
            <w:noProof/>
            <w:webHidden/>
          </w:rPr>
          <w:fldChar w:fldCharType="separate"/>
        </w:r>
        <w:r w:rsidR="00CA7B0A">
          <w:rPr>
            <w:noProof/>
            <w:webHidden/>
          </w:rPr>
          <w:t>48</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190" w:history="1">
        <w:r w:rsidR="00CA7B0A" w:rsidRPr="00966AF3">
          <w:rPr>
            <w:rStyle w:val="Hyperlink"/>
            <w:bCs/>
            <w:noProof/>
            <w:lang w:val="hy-AM"/>
          </w:rPr>
          <w:t>1.1 ՄԱԿՐՈՏՆՏԵՍԱԿԱՆ ԱՄՓՈՓԱԳԻՐ ԵՎ ՇՐՋԱՆԱԿ</w:t>
        </w:r>
        <w:r w:rsidR="00CA7B0A">
          <w:rPr>
            <w:noProof/>
            <w:webHidden/>
          </w:rPr>
          <w:tab/>
        </w:r>
        <w:r w:rsidR="00CA7B0A">
          <w:rPr>
            <w:noProof/>
            <w:webHidden/>
          </w:rPr>
          <w:fldChar w:fldCharType="begin"/>
        </w:r>
        <w:r w:rsidR="00CA7B0A">
          <w:rPr>
            <w:noProof/>
            <w:webHidden/>
          </w:rPr>
          <w:instrText xml:space="preserve"> PAGEREF _Toc120805190 \h </w:instrText>
        </w:r>
        <w:r w:rsidR="00CA7B0A">
          <w:rPr>
            <w:noProof/>
            <w:webHidden/>
          </w:rPr>
        </w:r>
        <w:r w:rsidR="00CA7B0A">
          <w:rPr>
            <w:noProof/>
            <w:webHidden/>
          </w:rPr>
          <w:fldChar w:fldCharType="separate"/>
        </w:r>
        <w:r w:rsidR="00CA7B0A">
          <w:rPr>
            <w:noProof/>
            <w:webHidden/>
          </w:rPr>
          <w:t>48</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191" w:history="1">
        <w:r w:rsidR="00CA7B0A" w:rsidRPr="00966AF3">
          <w:rPr>
            <w:rStyle w:val="Hyperlink"/>
            <w:bCs/>
            <w:noProof/>
            <w:lang w:val="hy-AM"/>
          </w:rPr>
          <w:t>1.2. ՀԱՄԱՇԽԱՐՀԱՅԻՆ ՏՆՏԵՍՈՒԹՅԱՆ ԵՎ ԳՈՐԾԸՆԿԵՐ ԵՐԿՐՆԵՐԻ ԶԱՐԳԱՑՈՒՄՆԵՐ ԵՎ ԿԱՆԽԱՏԵՍՈՒՄՆԵՐ</w:t>
        </w:r>
        <w:r w:rsidR="00CA7B0A">
          <w:rPr>
            <w:noProof/>
            <w:webHidden/>
          </w:rPr>
          <w:tab/>
        </w:r>
        <w:r w:rsidR="00CA7B0A">
          <w:rPr>
            <w:noProof/>
            <w:webHidden/>
          </w:rPr>
          <w:fldChar w:fldCharType="begin"/>
        </w:r>
        <w:r w:rsidR="00CA7B0A">
          <w:rPr>
            <w:noProof/>
            <w:webHidden/>
          </w:rPr>
          <w:instrText xml:space="preserve"> PAGEREF _Toc120805191 \h </w:instrText>
        </w:r>
        <w:r w:rsidR="00CA7B0A">
          <w:rPr>
            <w:noProof/>
            <w:webHidden/>
          </w:rPr>
        </w:r>
        <w:r w:rsidR="00CA7B0A">
          <w:rPr>
            <w:noProof/>
            <w:webHidden/>
          </w:rPr>
          <w:fldChar w:fldCharType="separate"/>
        </w:r>
        <w:r w:rsidR="00CA7B0A">
          <w:rPr>
            <w:noProof/>
            <w:webHidden/>
          </w:rPr>
          <w:t>51</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192" w:history="1">
        <w:r w:rsidR="00CA7B0A" w:rsidRPr="00966AF3">
          <w:rPr>
            <w:rStyle w:val="Hyperlink"/>
            <w:bCs/>
            <w:noProof/>
            <w:lang w:val="hy-AM" w:eastAsia="en-US"/>
          </w:rPr>
          <w:t>1.3. ՀՀ ՄԱԿՐՈՏՆՏԵՍԱԿԱՆ ԶԱՐԳԱՑՈՒՄՆԵՐ ԵՎ ԿԱՆԽԱՏԵՍՈՒՄՆԵՐ</w:t>
        </w:r>
        <w:r w:rsidR="00CA7B0A">
          <w:rPr>
            <w:noProof/>
            <w:webHidden/>
          </w:rPr>
          <w:tab/>
        </w:r>
        <w:r w:rsidR="00CA7B0A">
          <w:rPr>
            <w:noProof/>
            <w:webHidden/>
          </w:rPr>
          <w:fldChar w:fldCharType="begin"/>
        </w:r>
        <w:r w:rsidR="00CA7B0A">
          <w:rPr>
            <w:noProof/>
            <w:webHidden/>
          </w:rPr>
          <w:instrText xml:space="preserve"> PAGEREF _Toc120805192 \h </w:instrText>
        </w:r>
        <w:r w:rsidR="00CA7B0A">
          <w:rPr>
            <w:noProof/>
            <w:webHidden/>
          </w:rPr>
        </w:r>
        <w:r w:rsidR="00CA7B0A">
          <w:rPr>
            <w:noProof/>
            <w:webHidden/>
          </w:rPr>
          <w:fldChar w:fldCharType="separate"/>
        </w:r>
        <w:r w:rsidR="00CA7B0A">
          <w:rPr>
            <w:noProof/>
            <w:webHidden/>
          </w:rPr>
          <w:t>56</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193" w:history="1">
        <w:r w:rsidR="00CA7B0A" w:rsidRPr="00966AF3">
          <w:rPr>
            <w:rStyle w:val="Hyperlink"/>
            <w:bCs/>
            <w:noProof/>
            <w:lang w:val="hy-AM"/>
          </w:rPr>
          <w:t>1.4. ԿԱՆԽԱՏԵՍՈՒՄՆԵՐԻ ՀԻՄՔՈՒՄ ԸՆԿԱԾ ԵՆԹԱԴՐՈՒԹՅՈՒՆՆԵՐԸ</w:t>
        </w:r>
        <w:r w:rsidR="00CA7B0A">
          <w:rPr>
            <w:noProof/>
            <w:webHidden/>
          </w:rPr>
          <w:tab/>
        </w:r>
        <w:r w:rsidR="00CA7B0A">
          <w:rPr>
            <w:noProof/>
            <w:webHidden/>
          </w:rPr>
          <w:fldChar w:fldCharType="begin"/>
        </w:r>
        <w:r w:rsidR="00CA7B0A">
          <w:rPr>
            <w:noProof/>
            <w:webHidden/>
          </w:rPr>
          <w:instrText xml:space="preserve"> PAGEREF _Toc120805193 \h </w:instrText>
        </w:r>
        <w:r w:rsidR="00CA7B0A">
          <w:rPr>
            <w:noProof/>
            <w:webHidden/>
          </w:rPr>
        </w:r>
        <w:r w:rsidR="00CA7B0A">
          <w:rPr>
            <w:noProof/>
            <w:webHidden/>
          </w:rPr>
          <w:fldChar w:fldCharType="separate"/>
        </w:r>
        <w:r w:rsidR="00CA7B0A">
          <w:rPr>
            <w:noProof/>
            <w:webHidden/>
          </w:rPr>
          <w:t>67</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194" w:history="1">
        <w:r w:rsidR="00CA7B0A" w:rsidRPr="00966AF3">
          <w:rPr>
            <w:rStyle w:val="Hyperlink"/>
            <w:bCs/>
            <w:noProof/>
            <w:lang w:val="hy-AM" w:eastAsia="en-US"/>
          </w:rPr>
          <w:t>1.5. ՄԱԿՐՈՏՆՏԵՍԱԿԱՆ ԿԱՆԽԱՏԵՍՈՒՄՆԵՐԻ ՌԻՍԿԵՐԸ</w:t>
        </w:r>
        <w:r w:rsidR="00CA7B0A">
          <w:rPr>
            <w:noProof/>
            <w:webHidden/>
          </w:rPr>
          <w:tab/>
        </w:r>
        <w:r w:rsidR="00CA7B0A">
          <w:rPr>
            <w:noProof/>
            <w:webHidden/>
          </w:rPr>
          <w:fldChar w:fldCharType="begin"/>
        </w:r>
        <w:r w:rsidR="00CA7B0A">
          <w:rPr>
            <w:noProof/>
            <w:webHidden/>
          </w:rPr>
          <w:instrText xml:space="preserve"> PAGEREF _Toc120805194 \h </w:instrText>
        </w:r>
        <w:r w:rsidR="00CA7B0A">
          <w:rPr>
            <w:noProof/>
            <w:webHidden/>
          </w:rPr>
        </w:r>
        <w:r w:rsidR="00CA7B0A">
          <w:rPr>
            <w:noProof/>
            <w:webHidden/>
          </w:rPr>
          <w:fldChar w:fldCharType="separate"/>
        </w:r>
        <w:r w:rsidR="00CA7B0A">
          <w:rPr>
            <w:noProof/>
            <w:webHidden/>
          </w:rPr>
          <w:t>71</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195" w:history="1">
        <w:r w:rsidR="00CA7B0A" w:rsidRPr="00966AF3">
          <w:rPr>
            <w:rStyle w:val="Hyperlink"/>
            <w:noProof/>
            <w:lang w:val="hy-AM" w:eastAsia="en-US"/>
          </w:rPr>
          <w:t>1.5.1. ՀՀ տնտեսական աճի դեպի ներքև ուղղությամբ ռիսկեր</w:t>
        </w:r>
        <w:r w:rsidR="00CA7B0A">
          <w:rPr>
            <w:noProof/>
            <w:webHidden/>
          </w:rPr>
          <w:tab/>
        </w:r>
        <w:r w:rsidR="00CA7B0A">
          <w:rPr>
            <w:noProof/>
            <w:webHidden/>
          </w:rPr>
          <w:fldChar w:fldCharType="begin"/>
        </w:r>
        <w:r w:rsidR="00CA7B0A">
          <w:rPr>
            <w:noProof/>
            <w:webHidden/>
          </w:rPr>
          <w:instrText xml:space="preserve"> PAGEREF _Toc120805195 \h </w:instrText>
        </w:r>
        <w:r w:rsidR="00CA7B0A">
          <w:rPr>
            <w:noProof/>
            <w:webHidden/>
          </w:rPr>
        </w:r>
        <w:r w:rsidR="00CA7B0A">
          <w:rPr>
            <w:noProof/>
            <w:webHidden/>
          </w:rPr>
          <w:fldChar w:fldCharType="separate"/>
        </w:r>
        <w:r w:rsidR="00CA7B0A">
          <w:rPr>
            <w:noProof/>
            <w:webHidden/>
          </w:rPr>
          <w:t>71</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196" w:history="1">
        <w:r w:rsidR="00CA7B0A" w:rsidRPr="00966AF3">
          <w:rPr>
            <w:rStyle w:val="Hyperlink"/>
            <w:noProof/>
            <w:lang w:val="hy-AM" w:eastAsia="en-US"/>
          </w:rPr>
          <w:t>1.5.2. Տնտեսական աճի դեպի վերև ուղղությամբ ռիսկեր</w:t>
        </w:r>
        <w:r w:rsidR="00CA7B0A">
          <w:rPr>
            <w:noProof/>
            <w:webHidden/>
          </w:rPr>
          <w:tab/>
        </w:r>
        <w:r w:rsidR="00CA7B0A">
          <w:rPr>
            <w:noProof/>
            <w:webHidden/>
          </w:rPr>
          <w:fldChar w:fldCharType="begin"/>
        </w:r>
        <w:r w:rsidR="00CA7B0A">
          <w:rPr>
            <w:noProof/>
            <w:webHidden/>
          </w:rPr>
          <w:instrText xml:space="preserve"> PAGEREF _Toc120805196 \h </w:instrText>
        </w:r>
        <w:r w:rsidR="00CA7B0A">
          <w:rPr>
            <w:noProof/>
            <w:webHidden/>
          </w:rPr>
        </w:r>
        <w:r w:rsidR="00CA7B0A">
          <w:rPr>
            <w:noProof/>
            <w:webHidden/>
          </w:rPr>
          <w:fldChar w:fldCharType="separate"/>
        </w:r>
        <w:r w:rsidR="00CA7B0A">
          <w:rPr>
            <w:noProof/>
            <w:webHidden/>
          </w:rPr>
          <w:t>72</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197" w:history="1">
        <w:r w:rsidR="00CA7B0A" w:rsidRPr="00966AF3">
          <w:rPr>
            <w:rStyle w:val="Hyperlink"/>
            <w:bCs/>
            <w:noProof/>
            <w:lang w:val="hy-AM"/>
          </w:rPr>
          <w:t>1.6. ՀԱՄԵՄԱՏՈՒԹՅՈՒՆ ՆԱԽՈՐԴ ԿԱՆԽԱՏԵՍՈՒՄՆԵՐԻ ՀԵՏ</w:t>
        </w:r>
        <w:r w:rsidR="00CA7B0A">
          <w:rPr>
            <w:noProof/>
            <w:webHidden/>
          </w:rPr>
          <w:tab/>
        </w:r>
        <w:r w:rsidR="00CA7B0A">
          <w:rPr>
            <w:noProof/>
            <w:webHidden/>
          </w:rPr>
          <w:fldChar w:fldCharType="begin"/>
        </w:r>
        <w:r w:rsidR="00CA7B0A">
          <w:rPr>
            <w:noProof/>
            <w:webHidden/>
          </w:rPr>
          <w:instrText xml:space="preserve"> PAGEREF _Toc120805197 \h </w:instrText>
        </w:r>
        <w:r w:rsidR="00CA7B0A">
          <w:rPr>
            <w:noProof/>
            <w:webHidden/>
          </w:rPr>
        </w:r>
        <w:r w:rsidR="00CA7B0A">
          <w:rPr>
            <w:noProof/>
            <w:webHidden/>
          </w:rPr>
          <w:fldChar w:fldCharType="separate"/>
        </w:r>
        <w:r w:rsidR="00CA7B0A">
          <w:rPr>
            <w:noProof/>
            <w:webHidden/>
          </w:rPr>
          <w:t>75</w:t>
        </w:r>
        <w:r w:rsidR="00CA7B0A">
          <w:rPr>
            <w:noProof/>
            <w:webHidden/>
          </w:rPr>
          <w:fldChar w:fldCharType="end"/>
        </w:r>
      </w:hyperlink>
    </w:p>
    <w:p w:rsidR="00CA7B0A" w:rsidRDefault="00C43BF7">
      <w:pPr>
        <w:pStyle w:val="TOC1"/>
        <w:rPr>
          <w:rFonts w:asciiTheme="minorHAnsi" w:eastAsiaTheme="minorEastAsia" w:hAnsiTheme="minorHAnsi" w:cstheme="minorBidi"/>
          <w:b w:val="0"/>
          <w:noProof/>
          <w:szCs w:val="22"/>
          <w:lang w:val="en-US" w:eastAsia="en-US"/>
        </w:rPr>
      </w:pPr>
      <w:hyperlink w:anchor="_Toc120805198" w:history="1">
        <w:r w:rsidR="00CA7B0A" w:rsidRPr="00966AF3">
          <w:rPr>
            <w:rStyle w:val="Hyperlink"/>
            <w:noProof/>
            <w:lang w:val="hy-AM"/>
          </w:rPr>
          <w:t>ՄԱՍ I-Գ. ՀԱՐԿԱԲՅՈՒՋԵՏԱՅԻՆ ՔԱՂԱՔԱԿԱՆՈՒԹՅԱՆ ՀԻՄՆԱԿԱՆ ՈՒՂՂՈՒԹՅՈՒՆՆԵՐԸ ԵՎ ԿԱՆԽԱՏԵՍՈՒՄՆԵՐԸ</w:t>
        </w:r>
        <w:r w:rsidR="00CA7B0A">
          <w:rPr>
            <w:noProof/>
            <w:webHidden/>
          </w:rPr>
          <w:tab/>
        </w:r>
        <w:r w:rsidR="00CA7B0A">
          <w:rPr>
            <w:noProof/>
            <w:webHidden/>
          </w:rPr>
          <w:fldChar w:fldCharType="begin"/>
        </w:r>
        <w:r w:rsidR="00CA7B0A">
          <w:rPr>
            <w:noProof/>
            <w:webHidden/>
          </w:rPr>
          <w:instrText xml:space="preserve"> PAGEREF _Toc120805198 \h </w:instrText>
        </w:r>
        <w:r w:rsidR="00CA7B0A">
          <w:rPr>
            <w:noProof/>
            <w:webHidden/>
          </w:rPr>
        </w:r>
        <w:r w:rsidR="00CA7B0A">
          <w:rPr>
            <w:noProof/>
            <w:webHidden/>
          </w:rPr>
          <w:fldChar w:fldCharType="separate"/>
        </w:r>
        <w:r w:rsidR="00CA7B0A">
          <w:rPr>
            <w:noProof/>
            <w:webHidden/>
          </w:rPr>
          <w:t>76</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199" w:history="1">
        <w:r w:rsidR="00CA7B0A" w:rsidRPr="00966AF3">
          <w:rPr>
            <w:rStyle w:val="Hyperlink"/>
            <w:noProof/>
            <w:lang w:val="hy-AM" w:eastAsia="en-US"/>
          </w:rPr>
          <w:t>2.1. ՀԱՐԿԱԲՅՈՒՋԵՏԱՅԻՆ ԸՆԴՀԱՆՈՒՐ ԱԿՆԱՐԿ ԵՎ ՀԱՐԿԱԲՅՈՒՋԵՏԱՅԻՆ ՇՐՋԱՆԱԿ</w:t>
        </w:r>
        <w:r w:rsidR="00CA7B0A">
          <w:rPr>
            <w:noProof/>
            <w:webHidden/>
          </w:rPr>
          <w:tab/>
        </w:r>
        <w:r w:rsidR="00CA7B0A">
          <w:rPr>
            <w:noProof/>
            <w:webHidden/>
          </w:rPr>
          <w:fldChar w:fldCharType="begin"/>
        </w:r>
        <w:r w:rsidR="00CA7B0A">
          <w:rPr>
            <w:noProof/>
            <w:webHidden/>
          </w:rPr>
          <w:instrText xml:space="preserve"> PAGEREF _Toc120805199 \h </w:instrText>
        </w:r>
        <w:r w:rsidR="00CA7B0A">
          <w:rPr>
            <w:noProof/>
            <w:webHidden/>
          </w:rPr>
        </w:r>
        <w:r w:rsidR="00CA7B0A">
          <w:rPr>
            <w:noProof/>
            <w:webHidden/>
          </w:rPr>
          <w:fldChar w:fldCharType="separate"/>
        </w:r>
        <w:r w:rsidR="00CA7B0A">
          <w:rPr>
            <w:noProof/>
            <w:webHidden/>
          </w:rPr>
          <w:t>76</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00" w:history="1">
        <w:r w:rsidR="00CA7B0A" w:rsidRPr="00966AF3">
          <w:rPr>
            <w:rStyle w:val="Hyperlink"/>
            <w:noProof/>
            <w:lang w:val="hy-AM" w:eastAsia="en-US"/>
          </w:rPr>
          <w:t>2</w:t>
        </w:r>
        <w:r w:rsidR="00CA7B0A" w:rsidRPr="00966AF3">
          <w:rPr>
            <w:rStyle w:val="Hyperlink"/>
            <w:rFonts w:cs="Cambria Math"/>
            <w:noProof/>
            <w:lang w:val="hy-AM" w:eastAsia="en-US"/>
          </w:rPr>
          <w:t>.</w:t>
        </w:r>
        <w:r w:rsidR="00CA7B0A" w:rsidRPr="00966AF3">
          <w:rPr>
            <w:rStyle w:val="Hyperlink"/>
            <w:noProof/>
            <w:lang w:val="hy-AM" w:eastAsia="en-US"/>
          </w:rPr>
          <w:t>2</w:t>
        </w:r>
        <w:r w:rsidR="00CA7B0A" w:rsidRPr="00966AF3">
          <w:rPr>
            <w:rStyle w:val="Hyperlink"/>
            <w:rFonts w:cs="Cambria Math"/>
            <w:noProof/>
            <w:lang w:val="hy-AM" w:eastAsia="en-US"/>
          </w:rPr>
          <w:t>.</w:t>
        </w:r>
        <w:r w:rsidR="00CA7B0A" w:rsidRPr="00966AF3">
          <w:rPr>
            <w:rStyle w:val="Hyperlink"/>
            <w:noProof/>
            <w:lang w:val="hy-AM" w:eastAsia="en-US"/>
          </w:rPr>
          <w:t xml:space="preserve"> ՀԱՐԿԱԲՅՈՒՋԵՏԱՅԻՆ ՔԱՂԱՔԱԿԱՆՈՒԹՅԱՆ ՄԻՏՈՒՄՆԵՐԸ ԵՎ ԿԱՆԽԱՏԵՍՈՒՄՆԵՐԸ</w:t>
        </w:r>
        <w:r w:rsidR="00CA7B0A">
          <w:rPr>
            <w:noProof/>
            <w:webHidden/>
          </w:rPr>
          <w:tab/>
        </w:r>
        <w:r w:rsidR="00CA7B0A">
          <w:rPr>
            <w:noProof/>
            <w:webHidden/>
          </w:rPr>
          <w:fldChar w:fldCharType="begin"/>
        </w:r>
        <w:r w:rsidR="00CA7B0A">
          <w:rPr>
            <w:noProof/>
            <w:webHidden/>
          </w:rPr>
          <w:instrText xml:space="preserve"> PAGEREF _Toc120805200 \h </w:instrText>
        </w:r>
        <w:r w:rsidR="00CA7B0A">
          <w:rPr>
            <w:noProof/>
            <w:webHidden/>
          </w:rPr>
        </w:r>
        <w:r w:rsidR="00CA7B0A">
          <w:rPr>
            <w:noProof/>
            <w:webHidden/>
          </w:rPr>
          <w:fldChar w:fldCharType="separate"/>
        </w:r>
        <w:r w:rsidR="00CA7B0A">
          <w:rPr>
            <w:noProof/>
            <w:webHidden/>
          </w:rPr>
          <w:t>78</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01" w:history="1">
        <w:r w:rsidR="00CA7B0A" w:rsidRPr="00966AF3">
          <w:rPr>
            <w:rStyle w:val="Hyperlink"/>
            <w:noProof/>
            <w:lang w:val="hy-AM" w:eastAsia="en-US"/>
          </w:rPr>
          <w:t>2.3. ՀԱՐԿԱԲՅՈՒՋԵՏԱՅԻՆ ՌԻՍԿԵՐ</w:t>
        </w:r>
        <w:r w:rsidR="00CA7B0A">
          <w:rPr>
            <w:noProof/>
            <w:webHidden/>
          </w:rPr>
          <w:tab/>
        </w:r>
        <w:r w:rsidR="00CA7B0A">
          <w:rPr>
            <w:noProof/>
            <w:webHidden/>
          </w:rPr>
          <w:fldChar w:fldCharType="begin"/>
        </w:r>
        <w:r w:rsidR="00CA7B0A">
          <w:rPr>
            <w:noProof/>
            <w:webHidden/>
          </w:rPr>
          <w:instrText xml:space="preserve"> PAGEREF _Toc120805201 \h </w:instrText>
        </w:r>
        <w:r w:rsidR="00CA7B0A">
          <w:rPr>
            <w:noProof/>
            <w:webHidden/>
          </w:rPr>
        </w:r>
        <w:r w:rsidR="00CA7B0A">
          <w:rPr>
            <w:noProof/>
            <w:webHidden/>
          </w:rPr>
          <w:fldChar w:fldCharType="separate"/>
        </w:r>
        <w:r w:rsidR="00CA7B0A">
          <w:rPr>
            <w:noProof/>
            <w:webHidden/>
          </w:rPr>
          <w:t>83</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02" w:history="1">
        <w:r w:rsidR="00CA7B0A" w:rsidRPr="00966AF3">
          <w:rPr>
            <w:rStyle w:val="Hyperlink"/>
            <w:rFonts w:eastAsia="Calibri"/>
            <w:noProof/>
            <w:lang w:val="hy-AM" w:eastAsia="en-US"/>
          </w:rPr>
          <w:t>2.4. ՀԱՐԿԱԲՅՈՒՋԵՏԱՅԻՆ  ՔԱՂԱՔԱԿԱՆՈՒԹՅԱՆ ՀԱՄԱՊԱՏԱՍԽԱՆՈՒԹՅՈՒՆԸ ՀԱՐԿԱԲՅՈՒՋԵՏԱՅԻՆ ԿԱՆՈՆՆԵՐԻՆ</w:t>
        </w:r>
        <w:r w:rsidR="00CA7B0A">
          <w:rPr>
            <w:noProof/>
            <w:webHidden/>
          </w:rPr>
          <w:tab/>
        </w:r>
        <w:r w:rsidR="00CA7B0A">
          <w:rPr>
            <w:noProof/>
            <w:webHidden/>
          </w:rPr>
          <w:fldChar w:fldCharType="begin"/>
        </w:r>
        <w:r w:rsidR="00CA7B0A">
          <w:rPr>
            <w:noProof/>
            <w:webHidden/>
          </w:rPr>
          <w:instrText xml:space="preserve"> PAGEREF _Toc120805202 \h </w:instrText>
        </w:r>
        <w:r w:rsidR="00CA7B0A">
          <w:rPr>
            <w:noProof/>
            <w:webHidden/>
          </w:rPr>
        </w:r>
        <w:r w:rsidR="00CA7B0A">
          <w:rPr>
            <w:noProof/>
            <w:webHidden/>
          </w:rPr>
          <w:fldChar w:fldCharType="separate"/>
        </w:r>
        <w:r w:rsidR="00CA7B0A">
          <w:rPr>
            <w:noProof/>
            <w:webHidden/>
          </w:rPr>
          <w:t>85</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03" w:history="1">
        <w:r w:rsidR="00CA7B0A" w:rsidRPr="00966AF3">
          <w:rPr>
            <w:rStyle w:val="Hyperlink"/>
            <w:noProof/>
            <w:lang w:val="hy-AM" w:eastAsia="en-US"/>
          </w:rPr>
          <w:t>2.5. ՊԵՏԱԿԱՆ ԲՅՈՒՋԵԻ ՑՈՒՑԱՆԻՇՆԵՐԻ ԿԱՆԽԱՏԵՍՈՒՄՆԵՐԻ ՀԱՄԵՄԱՏԱԿԱՆ ԱՂՅՈՒՍԱԿՆԵՐ</w:t>
        </w:r>
        <w:r w:rsidR="00CA7B0A">
          <w:rPr>
            <w:noProof/>
            <w:webHidden/>
          </w:rPr>
          <w:tab/>
        </w:r>
        <w:r w:rsidR="00CA7B0A">
          <w:rPr>
            <w:noProof/>
            <w:webHidden/>
          </w:rPr>
          <w:fldChar w:fldCharType="begin"/>
        </w:r>
        <w:r w:rsidR="00CA7B0A">
          <w:rPr>
            <w:noProof/>
            <w:webHidden/>
          </w:rPr>
          <w:instrText xml:space="preserve"> PAGEREF _Toc120805203 \h </w:instrText>
        </w:r>
        <w:r w:rsidR="00CA7B0A">
          <w:rPr>
            <w:noProof/>
            <w:webHidden/>
          </w:rPr>
        </w:r>
        <w:r w:rsidR="00CA7B0A">
          <w:rPr>
            <w:noProof/>
            <w:webHidden/>
          </w:rPr>
          <w:fldChar w:fldCharType="separate"/>
        </w:r>
        <w:r w:rsidR="00CA7B0A">
          <w:rPr>
            <w:noProof/>
            <w:webHidden/>
          </w:rPr>
          <w:t>87</w:t>
        </w:r>
        <w:r w:rsidR="00CA7B0A">
          <w:rPr>
            <w:noProof/>
            <w:webHidden/>
          </w:rPr>
          <w:fldChar w:fldCharType="end"/>
        </w:r>
      </w:hyperlink>
    </w:p>
    <w:p w:rsidR="00CA7B0A" w:rsidRDefault="00C43BF7">
      <w:pPr>
        <w:pStyle w:val="TOC1"/>
        <w:rPr>
          <w:rFonts w:asciiTheme="minorHAnsi" w:eastAsiaTheme="minorEastAsia" w:hAnsiTheme="minorHAnsi" w:cstheme="minorBidi"/>
          <w:b w:val="0"/>
          <w:noProof/>
          <w:szCs w:val="22"/>
          <w:lang w:val="en-US" w:eastAsia="en-US"/>
        </w:rPr>
      </w:pPr>
      <w:hyperlink w:anchor="_Toc120805204" w:history="1">
        <w:r w:rsidR="00CA7B0A" w:rsidRPr="00966AF3">
          <w:rPr>
            <w:rStyle w:val="Hyperlink"/>
            <w:noProof/>
            <w:lang w:val="hy-AM"/>
          </w:rPr>
          <w:t>ՄԱՍ</w:t>
        </w:r>
        <w:r w:rsidR="00CA7B0A" w:rsidRPr="00966AF3">
          <w:rPr>
            <w:rStyle w:val="Hyperlink"/>
            <w:noProof/>
            <w:lang w:val="sk-SK"/>
          </w:rPr>
          <w:t xml:space="preserve"> II-</w:t>
        </w:r>
        <w:r w:rsidR="00CA7B0A" w:rsidRPr="00966AF3">
          <w:rPr>
            <w:rStyle w:val="Hyperlink"/>
            <w:noProof/>
            <w:lang w:val="hy-AM"/>
          </w:rPr>
          <w:t>Ա</w:t>
        </w:r>
        <w:r w:rsidR="00CA7B0A" w:rsidRPr="00966AF3">
          <w:rPr>
            <w:rStyle w:val="Hyperlink"/>
            <w:noProof/>
            <w:lang w:val="sk-SK"/>
          </w:rPr>
          <w:t xml:space="preserve"> </w:t>
        </w:r>
        <w:r w:rsidR="00CA7B0A" w:rsidRPr="00966AF3">
          <w:rPr>
            <w:rStyle w:val="Hyperlink"/>
            <w:noProof/>
            <w:lang w:val="hy-AM"/>
          </w:rPr>
          <w:t>ՊԵՏԱԿԱՆ</w:t>
        </w:r>
        <w:r w:rsidR="00CA7B0A" w:rsidRPr="00966AF3">
          <w:rPr>
            <w:rStyle w:val="Hyperlink"/>
            <w:noProof/>
            <w:lang w:val="sk-SK"/>
          </w:rPr>
          <w:t xml:space="preserve"> </w:t>
        </w:r>
        <w:r w:rsidR="00CA7B0A" w:rsidRPr="00966AF3">
          <w:rPr>
            <w:rStyle w:val="Hyperlink"/>
            <w:noProof/>
            <w:lang w:val="hy-AM"/>
          </w:rPr>
          <w:t>ԲՅՈՒՋԵԻ</w:t>
        </w:r>
        <w:r w:rsidR="00CA7B0A" w:rsidRPr="00966AF3">
          <w:rPr>
            <w:rStyle w:val="Hyperlink"/>
            <w:noProof/>
            <w:lang w:val="sk-SK"/>
          </w:rPr>
          <w:t xml:space="preserve"> </w:t>
        </w:r>
        <w:r w:rsidR="00CA7B0A" w:rsidRPr="00966AF3">
          <w:rPr>
            <w:rStyle w:val="Hyperlink"/>
            <w:noProof/>
            <w:lang w:val="hy-AM"/>
          </w:rPr>
          <w:t>ՑՈՒՑԱՆԻՇՆԵՐԻ</w:t>
        </w:r>
        <w:r w:rsidR="00CA7B0A" w:rsidRPr="00966AF3">
          <w:rPr>
            <w:rStyle w:val="Hyperlink"/>
            <w:noProof/>
            <w:lang w:val="sk-SK"/>
          </w:rPr>
          <w:t xml:space="preserve"> </w:t>
        </w:r>
        <w:r w:rsidR="00CA7B0A" w:rsidRPr="00966AF3">
          <w:rPr>
            <w:rStyle w:val="Hyperlink"/>
            <w:noProof/>
            <w:lang w:val="hy-AM"/>
          </w:rPr>
          <w:t>ԿԱՆԽԱՏԵՍՈՒՄՆԵՐ</w:t>
        </w:r>
        <w:r w:rsidR="00CA7B0A">
          <w:rPr>
            <w:noProof/>
            <w:webHidden/>
          </w:rPr>
          <w:tab/>
        </w:r>
        <w:r w:rsidR="00CA7B0A">
          <w:rPr>
            <w:noProof/>
            <w:webHidden/>
          </w:rPr>
          <w:fldChar w:fldCharType="begin"/>
        </w:r>
        <w:r w:rsidR="00CA7B0A">
          <w:rPr>
            <w:noProof/>
            <w:webHidden/>
          </w:rPr>
          <w:instrText xml:space="preserve"> PAGEREF _Toc120805204 \h </w:instrText>
        </w:r>
        <w:r w:rsidR="00CA7B0A">
          <w:rPr>
            <w:noProof/>
            <w:webHidden/>
          </w:rPr>
        </w:r>
        <w:r w:rsidR="00CA7B0A">
          <w:rPr>
            <w:noProof/>
            <w:webHidden/>
          </w:rPr>
          <w:fldChar w:fldCharType="separate"/>
        </w:r>
        <w:r w:rsidR="00CA7B0A">
          <w:rPr>
            <w:noProof/>
            <w:webHidden/>
          </w:rPr>
          <w:t>91</w:t>
        </w:r>
        <w:r w:rsidR="00CA7B0A">
          <w:rPr>
            <w:noProof/>
            <w:webHidden/>
          </w:rPr>
          <w:fldChar w:fldCharType="end"/>
        </w:r>
      </w:hyperlink>
    </w:p>
    <w:p w:rsidR="00CA7B0A" w:rsidRDefault="00C43BF7">
      <w:pPr>
        <w:pStyle w:val="TOC2"/>
        <w:rPr>
          <w:rFonts w:asciiTheme="minorHAnsi" w:eastAsiaTheme="minorEastAsia" w:hAnsiTheme="minorHAnsi" w:cstheme="minorBidi"/>
          <w:b w:val="0"/>
          <w:noProof/>
          <w:szCs w:val="22"/>
          <w:lang w:val="en-US" w:eastAsia="en-US"/>
        </w:rPr>
      </w:pPr>
      <w:hyperlink w:anchor="_Toc120805205" w:history="1">
        <w:r w:rsidR="00CA7B0A" w:rsidRPr="00966AF3">
          <w:rPr>
            <w:rStyle w:val="Hyperlink"/>
            <w:rFonts w:eastAsia="Calibri" w:cs="Times LatArm"/>
            <w:noProof/>
            <w:lang w:val="hy-AM" w:eastAsia="en-US"/>
          </w:rPr>
          <w:t>Հարկաբյուջետային սկզբունքները և ցուցանիշները</w:t>
        </w:r>
        <w:r w:rsidR="00CA7B0A">
          <w:rPr>
            <w:noProof/>
            <w:webHidden/>
          </w:rPr>
          <w:tab/>
        </w:r>
        <w:r w:rsidR="00CA7B0A">
          <w:rPr>
            <w:noProof/>
            <w:webHidden/>
          </w:rPr>
          <w:fldChar w:fldCharType="begin"/>
        </w:r>
        <w:r w:rsidR="00CA7B0A">
          <w:rPr>
            <w:noProof/>
            <w:webHidden/>
          </w:rPr>
          <w:instrText xml:space="preserve"> PAGEREF _Toc120805205 \h </w:instrText>
        </w:r>
        <w:r w:rsidR="00CA7B0A">
          <w:rPr>
            <w:noProof/>
            <w:webHidden/>
          </w:rPr>
        </w:r>
        <w:r w:rsidR="00CA7B0A">
          <w:rPr>
            <w:noProof/>
            <w:webHidden/>
          </w:rPr>
          <w:fldChar w:fldCharType="separate"/>
        </w:r>
        <w:r w:rsidR="00CA7B0A">
          <w:rPr>
            <w:noProof/>
            <w:webHidden/>
          </w:rPr>
          <w:t>91</w:t>
        </w:r>
        <w:r w:rsidR="00CA7B0A">
          <w:rPr>
            <w:noProof/>
            <w:webHidden/>
          </w:rPr>
          <w:fldChar w:fldCharType="end"/>
        </w:r>
      </w:hyperlink>
    </w:p>
    <w:p w:rsidR="00CA7B0A" w:rsidRDefault="00C43BF7">
      <w:pPr>
        <w:pStyle w:val="TOC1"/>
        <w:rPr>
          <w:rFonts w:asciiTheme="minorHAnsi" w:eastAsiaTheme="minorEastAsia" w:hAnsiTheme="minorHAnsi" w:cstheme="minorBidi"/>
          <w:b w:val="0"/>
          <w:noProof/>
          <w:szCs w:val="22"/>
          <w:lang w:val="en-US" w:eastAsia="en-US"/>
        </w:rPr>
      </w:pPr>
      <w:hyperlink w:anchor="_Toc120805206" w:history="1">
        <w:r w:rsidR="00CA7B0A" w:rsidRPr="00966AF3">
          <w:rPr>
            <w:rStyle w:val="Hyperlink"/>
            <w:noProof/>
            <w:lang w:val="hy-AM"/>
          </w:rPr>
          <w:t>ՄԱՍ II – Բ. ՀԱՐԿԱԲՅՈՒՋԵՏԱՅԻՆ ՑՈՒՑԱՆԻՇՆԵՐԻ ԿԱՆԽԱՏԵՍՈՒՄ</w:t>
        </w:r>
        <w:r w:rsidR="00CA7B0A">
          <w:rPr>
            <w:noProof/>
            <w:webHidden/>
          </w:rPr>
          <w:tab/>
        </w:r>
        <w:r w:rsidR="00CA7B0A">
          <w:rPr>
            <w:noProof/>
            <w:webHidden/>
          </w:rPr>
          <w:fldChar w:fldCharType="begin"/>
        </w:r>
        <w:r w:rsidR="00CA7B0A">
          <w:rPr>
            <w:noProof/>
            <w:webHidden/>
          </w:rPr>
          <w:instrText xml:space="preserve"> PAGEREF _Toc120805206 \h </w:instrText>
        </w:r>
        <w:r w:rsidR="00CA7B0A">
          <w:rPr>
            <w:noProof/>
            <w:webHidden/>
          </w:rPr>
        </w:r>
        <w:r w:rsidR="00CA7B0A">
          <w:rPr>
            <w:noProof/>
            <w:webHidden/>
          </w:rPr>
          <w:fldChar w:fldCharType="separate"/>
        </w:r>
        <w:r w:rsidR="00CA7B0A">
          <w:rPr>
            <w:noProof/>
            <w:webHidden/>
          </w:rPr>
          <w:t>92</w:t>
        </w:r>
        <w:r w:rsidR="00CA7B0A">
          <w:rPr>
            <w:noProof/>
            <w:webHidden/>
          </w:rPr>
          <w:fldChar w:fldCharType="end"/>
        </w:r>
      </w:hyperlink>
    </w:p>
    <w:p w:rsidR="00CA7B0A" w:rsidRDefault="00C43BF7">
      <w:pPr>
        <w:pStyle w:val="TOC2"/>
        <w:rPr>
          <w:rFonts w:asciiTheme="minorHAnsi" w:eastAsiaTheme="minorEastAsia" w:hAnsiTheme="minorHAnsi" w:cstheme="minorBidi"/>
          <w:b w:val="0"/>
          <w:noProof/>
          <w:szCs w:val="22"/>
          <w:lang w:val="en-US" w:eastAsia="en-US"/>
        </w:rPr>
      </w:pPr>
      <w:hyperlink w:anchor="_Toc120805207" w:history="1">
        <w:r w:rsidR="00CA7B0A" w:rsidRPr="00966AF3">
          <w:rPr>
            <w:rStyle w:val="Hyperlink"/>
            <w:rFonts w:eastAsia="Calibri" w:cs="Times LatArm"/>
            <w:noProof/>
            <w:lang w:val="hy-AM" w:eastAsia="en-US"/>
          </w:rPr>
          <w:t>2023 ԹՎԱԿԱՆԻ ԾԱԽՍԵՐԻ ՄԱԿԱՐԴԱԿԸ ԵՎ ԳԵՐԱԿԱՅՈՒԹՅՈՒՆՆԵՐԸ</w:t>
        </w:r>
        <w:r w:rsidR="00CA7B0A">
          <w:rPr>
            <w:noProof/>
            <w:webHidden/>
          </w:rPr>
          <w:tab/>
        </w:r>
        <w:r w:rsidR="00CA7B0A">
          <w:rPr>
            <w:noProof/>
            <w:webHidden/>
          </w:rPr>
          <w:fldChar w:fldCharType="begin"/>
        </w:r>
        <w:r w:rsidR="00CA7B0A">
          <w:rPr>
            <w:noProof/>
            <w:webHidden/>
          </w:rPr>
          <w:instrText xml:space="preserve"> PAGEREF _Toc120805207 \h </w:instrText>
        </w:r>
        <w:r w:rsidR="00CA7B0A">
          <w:rPr>
            <w:noProof/>
            <w:webHidden/>
          </w:rPr>
        </w:r>
        <w:r w:rsidR="00CA7B0A">
          <w:rPr>
            <w:noProof/>
            <w:webHidden/>
          </w:rPr>
          <w:fldChar w:fldCharType="separate"/>
        </w:r>
        <w:r w:rsidR="00CA7B0A">
          <w:rPr>
            <w:noProof/>
            <w:webHidden/>
          </w:rPr>
          <w:t>92</w:t>
        </w:r>
        <w:r w:rsidR="00CA7B0A">
          <w:rPr>
            <w:noProof/>
            <w:webHidden/>
          </w:rPr>
          <w:fldChar w:fldCharType="end"/>
        </w:r>
      </w:hyperlink>
    </w:p>
    <w:p w:rsidR="00CA7B0A" w:rsidRDefault="00C43BF7">
      <w:pPr>
        <w:pStyle w:val="TOC2"/>
        <w:rPr>
          <w:rFonts w:asciiTheme="minorHAnsi" w:eastAsiaTheme="minorEastAsia" w:hAnsiTheme="minorHAnsi" w:cstheme="minorBidi"/>
          <w:b w:val="0"/>
          <w:noProof/>
          <w:szCs w:val="22"/>
          <w:lang w:val="en-US" w:eastAsia="en-US"/>
        </w:rPr>
      </w:pPr>
      <w:hyperlink w:anchor="_Toc120805208" w:history="1">
        <w:r w:rsidR="00CA7B0A" w:rsidRPr="00966AF3">
          <w:rPr>
            <w:rStyle w:val="Hyperlink"/>
            <w:rFonts w:eastAsia="Calibri" w:cs="Times LatArm"/>
            <w:noProof/>
            <w:lang w:val="hy-AM" w:eastAsia="en-US"/>
          </w:rPr>
          <w:t>ՊԵՏԱԿԱՆ</w:t>
        </w:r>
        <w:r w:rsidR="00CA7B0A" w:rsidRPr="00966AF3">
          <w:rPr>
            <w:rStyle w:val="Hyperlink"/>
            <w:rFonts w:eastAsia="Calibri" w:cs="Times LatArm"/>
            <w:noProof/>
            <w:lang w:val="es-ES" w:eastAsia="en-US"/>
          </w:rPr>
          <w:t xml:space="preserve"> </w:t>
        </w:r>
        <w:r w:rsidR="00CA7B0A" w:rsidRPr="00966AF3">
          <w:rPr>
            <w:rStyle w:val="Hyperlink"/>
            <w:rFonts w:eastAsia="Calibri" w:cs="Times LatArm"/>
            <w:noProof/>
            <w:lang w:val="hy-AM" w:eastAsia="en-US"/>
          </w:rPr>
          <w:t>ԲՅՈՒՋԵԻ</w:t>
        </w:r>
        <w:r w:rsidR="00CA7B0A" w:rsidRPr="00966AF3">
          <w:rPr>
            <w:rStyle w:val="Hyperlink"/>
            <w:rFonts w:eastAsia="Calibri" w:cs="Times LatArm"/>
            <w:noProof/>
            <w:lang w:val="es-ES" w:eastAsia="en-US"/>
          </w:rPr>
          <w:t xml:space="preserve"> </w:t>
        </w:r>
        <w:r w:rsidR="00CA7B0A" w:rsidRPr="00966AF3">
          <w:rPr>
            <w:rStyle w:val="Hyperlink"/>
            <w:rFonts w:eastAsia="Calibri" w:cs="Times LatArm"/>
            <w:noProof/>
            <w:lang w:val="hy-AM" w:eastAsia="en-US"/>
          </w:rPr>
          <w:t>ԴԵՖԻՑԻՏԻ</w:t>
        </w:r>
        <w:r w:rsidR="00CA7B0A" w:rsidRPr="00966AF3">
          <w:rPr>
            <w:rStyle w:val="Hyperlink"/>
            <w:rFonts w:eastAsia="Calibri" w:cs="Times LatArm"/>
            <w:noProof/>
            <w:lang w:val="es-ES" w:eastAsia="en-US"/>
          </w:rPr>
          <w:t xml:space="preserve"> (</w:t>
        </w:r>
        <w:r w:rsidR="00CA7B0A" w:rsidRPr="00966AF3">
          <w:rPr>
            <w:rStyle w:val="Hyperlink"/>
            <w:rFonts w:eastAsia="Calibri" w:cs="Times LatArm"/>
            <w:noProof/>
            <w:lang w:val="hy-AM" w:eastAsia="en-US"/>
          </w:rPr>
          <w:t>ՊԱԿԱՍՈՒՐԴԻ</w:t>
        </w:r>
        <w:r w:rsidR="00CA7B0A" w:rsidRPr="00966AF3">
          <w:rPr>
            <w:rStyle w:val="Hyperlink"/>
            <w:rFonts w:eastAsia="Calibri" w:cs="Times LatArm"/>
            <w:noProof/>
            <w:lang w:val="es-ES" w:eastAsia="en-US"/>
          </w:rPr>
          <w:t xml:space="preserve">) </w:t>
        </w:r>
        <w:r w:rsidR="00CA7B0A" w:rsidRPr="00966AF3">
          <w:rPr>
            <w:rStyle w:val="Hyperlink"/>
            <w:rFonts w:eastAsia="Calibri" w:cs="Times LatArm"/>
            <w:noProof/>
            <w:lang w:val="hy-AM" w:eastAsia="en-US"/>
          </w:rPr>
          <w:t>ԵՎ</w:t>
        </w:r>
        <w:r w:rsidR="00CA7B0A" w:rsidRPr="00966AF3">
          <w:rPr>
            <w:rStyle w:val="Hyperlink"/>
            <w:rFonts w:eastAsia="Calibri" w:cs="Times LatArm"/>
            <w:noProof/>
            <w:lang w:val="es-ES" w:eastAsia="en-US"/>
          </w:rPr>
          <w:t xml:space="preserve"> </w:t>
        </w:r>
        <w:r w:rsidR="00CA7B0A" w:rsidRPr="00966AF3">
          <w:rPr>
            <w:rStyle w:val="Hyperlink"/>
            <w:rFonts w:eastAsia="Calibri" w:cs="Times LatArm"/>
            <w:noProof/>
            <w:lang w:val="hy-AM" w:eastAsia="en-US"/>
          </w:rPr>
          <w:t>ՊԱՐՏՔԻ</w:t>
        </w:r>
        <w:r w:rsidR="00CA7B0A" w:rsidRPr="00966AF3">
          <w:rPr>
            <w:rStyle w:val="Hyperlink"/>
            <w:rFonts w:eastAsia="Calibri" w:cs="Times LatArm"/>
            <w:noProof/>
            <w:lang w:val="es-ES" w:eastAsia="en-US"/>
          </w:rPr>
          <w:t xml:space="preserve"> </w:t>
        </w:r>
        <w:r w:rsidR="00CA7B0A" w:rsidRPr="00966AF3">
          <w:rPr>
            <w:rStyle w:val="Hyperlink"/>
            <w:rFonts w:eastAsia="Calibri" w:cs="Times LatArm"/>
            <w:noProof/>
            <w:lang w:val="hy-AM" w:eastAsia="en-US"/>
          </w:rPr>
          <w:t>ՄԱԿԱՐԴԱԿԸ</w:t>
        </w:r>
        <w:r w:rsidR="00CA7B0A">
          <w:rPr>
            <w:noProof/>
            <w:webHidden/>
          </w:rPr>
          <w:tab/>
        </w:r>
        <w:r w:rsidR="00CA7B0A">
          <w:rPr>
            <w:noProof/>
            <w:webHidden/>
          </w:rPr>
          <w:fldChar w:fldCharType="begin"/>
        </w:r>
        <w:r w:rsidR="00CA7B0A">
          <w:rPr>
            <w:noProof/>
            <w:webHidden/>
          </w:rPr>
          <w:instrText xml:space="preserve"> PAGEREF _Toc120805208 \h </w:instrText>
        </w:r>
        <w:r w:rsidR="00CA7B0A">
          <w:rPr>
            <w:noProof/>
            <w:webHidden/>
          </w:rPr>
        </w:r>
        <w:r w:rsidR="00CA7B0A">
          <w:rPr>
            <w:noProof/>
            <w:webHidden/>
          </w:rPr>
          <w:fldChar w:fldCharType="separate"/>
        </w:r>
        <w:r w:rsidR="00CA7B0A">
          <w:rPr>
            <w:noProof/>
            <w:webHidden/>
          </w:rPr>
          <w:t>92</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09" w:history="1">
        <w:r w:rsidR="00CA7B0A" w:rsidRPr="00966AF3">
          <w:rPr>
            <w:rStyle w:val="Hyperlink"/>
            <w:noProof/>
          </w:rPr>
          <w:t>Պետական բյուջեի դեֆիցիտի ֆինանսավորման աղբյուրները</w:t>
        </w:r>
        <w:r w:rsidR="00CA7B0A">
          <w:rPr>
            <w:noProof/>
            <w:webHidden/>
          </w:rPr>
          <w:tab/>
        </w:r>
        <w:r w:rsidR="00CA7B0A">
          <w:rPr>
            <w:noProof/>
            <w:webHidden/>
          </w:rPr>
          <w:fldChar w:fldCharType="begin"/>
        </w:r>
        <w:r w:rsidR="00CA7B0A">
          <w:rPr>
            <w:noProof/>
            <w:webHidden/>
          </w:rPr>
          <w:instrText xml:space="preserve"> PAGEREF _Toc120805209 \h </w:instrText>
        </w:r>
        <w:r w:rsidR="00CA7B0A">
          <w:rPr>
            <w:noProof/>
            <w:webHidden/>
          </w:rPr>
        </w:r>
        <w:r w:rsidR="00CA7B0A">
          <w:rPr>
            <w:noProof/>
            <w:webHidden/>
          </w:rPr>
          <w:fldChar w:fldCharType="separate"/>
        </w:r>
        <w:r w:rsidR="00CA7B0A">
          <w:rPr>
            <w:noProof/>
            <w:webHidden/>
          </w:rPr>
          <w:t>94</w:t>
        </w:r>
        <w:r w:rsidR="00CA7B0A">
          <w:rPr>
            <w:noProof/>
            <w:webHidden/>
          </w:rPr>
          <w:fldChar w:fldCharType="end"/>
        </w:r>
      </w:hyperlink>
    </w:p>
    <w:p w:rsidR="00CA7B0A" w:rsidRDefault="00C43BF7">
      <w:pPr>
        <w:pStyle w:val="TOC1"/>
        <w:rPr>
          <w:rFonts w:asciiTheme="minorHAnsi" w:eastAsiaTheme="minorEastAsia" w:hAnsiTheme="minorHAnsi" w:cstheme="minorBidi"/>
          <w:b w:val="0"/>
          <w:noProof/>
          <w:szCs w:val="22"/>
          <w:lang w:val="en-US" w:eastAsia="en-US"/>
        </w:rPr>
      </w:pPr>
      <w:hyperlink w:anchor="_Toc120805210" w:history="1">
        <w:r w:rsidR="00CA7B0A" w:rsidRPr="00966AF3">
          <w:rPr>
            <w:rStyle w:val="Hyperlink"/>
            <w:noProof/>
          </w:rPr>
          <w:t>ՄԱՍ III. «ՀԱՅԱՍՏԱՆԻ ՀԱՆՐԱՊԵՏՈՒԹՅԱՆ 2023 ԹՎԱԿԱՆԻ ՊԵՏԱԿԱՆ ԲՅՈՒՋԵԻ ՄԱՍԻՆ» ՀԱՅԱՍՏԱՆԻ ՀԱՆՐԱՊԵՏՈՒԹՅԱՆ ՕՐԵՆՔԻ ՆԱԽԱԳԾԻ ԲԱՑԱՏՐԱԳԻՐ</w:t>
        </w:r>
        <w:r w:rsidR="00CA7B0A">
          <w:rPr>
            <w:noProof/>
            <w:webHidden/>
          </w:rPr>
          <w:tab/>
        </w:r>
        <w:r w:rsidR="00CA7B0A">
          <w:rPr>
            <w:noProof/>
            <w:webHidden/>
          </w:rPr>
          <w:fldChar w:fldCharType="begin"/>
        </w:r>
        <w:r w:rsidR="00CA7B0A">
          <w:rPr>
            <w:noProof/>
            <w:webHidden/>
          </w:rPr>
          <w:instrText xml:space="preserve"> PAGEREF _Toc120805210 \h </w:instrText>
        </w:r>
        <w:r w:rsidR="00CA7B0A">
          <w:rPr>
            <w:noProof/>
            <w:webHidden/>
          </w:rPr>
        </w:r>
        <w:r w:rsidR="00CA7B0A">
          <w:rPr>
            <w:noProof/>
            <w:webHidden/>
          </w:rPr>
          <w:fldChar w:fldCharType="separate"/>
        </w:r>
        <w:r w:rsidR="00CA7B0A">
          <w:rPr>
            <w:noProof/>
            <w:webHidden/>
          </w:rPr>
          <w:t>96</w:t>
        </w:r>
        <w:r w:rsidR="00CA7B0A">
          <w:rPr>
            <w:noProof/>
            <w:webHidden/>
          </w:rPr>
          <w:fldChar w:fldCharType="end"/>
        </w:r>
      </w:hyperlink>
    </w:p>
    <w:p w:rsidR="00CA7B0A" w:rsidRDefault="00C43BF7">
      <w:pPr>
        <w:pStyle w:val="TOC1"/>
        <w:rPr>
          <w:rFonts w:asciiTheme="minorHAnsi" w:eastAsiaTheme="minorEastAsia" w:hAnsiTheme="minorHAnsi" w:cstheme="minorBidi"/>
          <w:b w:val="0"/>
          <w:noProof/>
          <w:szCs w:val="22"/>
          <w:lang w:val="en-US" w:eastAsia="en-US"/>
        </w:rPr>
      </w:pPr>
      <w:hyperlink w:anchor="_Toc120805211" w:history="1">
        <w:r w:rsidR="00CA7B0A" w:rsidRPr="00966AF3">
          <w:rPr>
            <w:rStyle w:val="Hyperlink"/>
            <w:noProof/>
            <w:lang w:val="hy-AM"/>
          </w:rPr>
          <w:t>ՄԱՍ</w:t>
        </w:r>
        <w:r w:rsidR="00CA7B0A" w:rsidRPr="00966AF3">
          <w:rPr>
            <w:rStyle w:val="Hyperlink"/>
            <w:noProof/>
            <w:lang w:val="af-ZA"/>
          </w:rPr>
          <w:t xml:space="preserve"> III-</w:t>
        </w:r>
        <w:r w:rsidR="00CA7B0A" w:rsidRPr="00966AF3">
          <w:rPr>
            <w:rStyle w:val="Hyperlink"/>
            <w:noProof/>
            <w:lang w:val="hy-AM"/>
          </w:rPr>
          <w:t>Ա</w:t>
        </w:r>
        <w:r w:rsidR="00CA7B0A" w:rsidRPr="00966AF3">
          <w:rPr>
            <w:rStyle w:val="Hyperlink"/>
            <w:noProof/>
            <w:lang w:val="af-ZA"/>
          </w:rPr>
          <w:t xml:space="preserve">. </w:t>
        </w:r>
        <w:r w:rsidR="00CA7B0A" w:rsidRPr="00966AF3">
          <w:rPr>
            <w:rStyle w:val="Hyperlink"/>
            <w:noProof/>
            <w:lang w:val="hy-AM"/>
          </w:rPr>
          <w:t>ԵԿԱՄՈՒՏՆԵՐԻ</w:t>
        </w:r>
        <w:r w:rsidR="00CA7B0A" w:rsidRPr="00966AF3">
          <w:rPr>
            <w:rStyle w:val="Hyperlink"/>
            <w:noProof/>
            <w:lang w:val="af-ZA"/>
          </w:rPr>
          <w:t xml:space="preserve"> </w:t>
        </w:r>
        <w:r w:rsidR="00CA7B0A" w:rsidRPr="00966AF3">
          <w:rPr>
            <w:rStyle w:val="Hyperlink"/>
            <w:noProof/>
            <w:lang w:val="hy-AM"/>
          </w:rPr>
          <w:t>ԿԱՆԽԱՏԵՍՈՒՄ</w:t>
        </w:r>
        <w:r w:rsidR="00CA7B0A">
          <w:rPr>
            <w:noProof/>
            <w:webHidden/>
          </w:rPr>
          <w:tab/>
        </w:r>
        <w:r w:rsidR="00CA7B0A">
          <w:rPr>
            <w:noProof/>
            <w:webHidden/>
          </w:rPr>
          <w:fldChar w:fldCharType="begin"/>
        </w:r>
        <w:r w:rsidR="00CA7B0A">
          <w:rPr>
            <w:noProof/>
            <w:webHidden/>
          </w:rPr>
          <w:instrText xml:space="preserve"> PAGEREF _Toc120805211 \h </w:instrText>
        </w:r>
        <w:r w:rsidR="00CA7B0A">
          <w:rPr>
            <w:noProof/>
            <w:webHidden/>
          </w:rPr>
        </w:r>
        <w:r w:rsidR="00CA7B0A">
          <w:rPr>
            <w:noProof/>
            <w:webHidden/>
          </w:rPr>
          <w:fldChar w:fldCharType="separate"/>
        </w:r>
        <w:r w:rsidR="00CA7B0A">
          <w:rPr>
            <w:noProof/>
            <w:webHidden/>
          </w:rPr>
          <w:t>96</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12" w:history="1">
        <w:r w:rsidR="00CA7B0A" w:rsidRPr="00966AF3">
          <w:rPr>
            <w:rStyle w:val="Hyperlink"/>
            <w:rFonts w:eastAsia="Calibri" w:cs="GHEA Grapalat"/>
            <w:bCs/>
            <w:noProof/>
            <w:lang w:val="hy-AM" w:eastAsia="en-US"/>
          </w:rPr>
          <w:t>Հարկային եկամուտներ և պետական տուրքեր</w:t>
        </w:r>
        <w:r w:rsidR="00CA7B0A">
          <w:rPr>
            <w:noProof/>
            <w:webHidden/>
          </w:rPr>
          <w:tab/>
        </w:r>
        <w:r w:rsidR="00CA7B0A">
          <w:rPr>
            <w:noProof/>
            <w:webHidden/>
          </w:rPr>
          <w:fldChar w:fldCharType="begin"/>
        </w:r>
        <w:r w:rsidR="00CA7B0A">
          <w:rPr>
            <w:noProof/>
            <w:webHidden/>
          </w:rPr>
          <w:instrText xml:space="preserve"> PAGEREF _Toc120805212 \h </w:instrText>
        </w:r>
        <w:r w:rsidR="00CA7B0A">
          <w:rPr>
            <w:noProof/>
            <w:webHidden/>
          </w:rPr>
        </w:r>
        <w:r w:rsidR="00CA7B0A">
          <w:rPr>
            <w:noProof/>
            <w:webHidden/>
          </w:rPr>
          <w:fldChar w:fldCharType="separate"/>
        </w:r>
        <w:r w:rsidR="00CA7B0A">
          <w:rPr>
            <w:noProof/>
            <w:webHidden/>
          </w:rPr>
          <w:t>97</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13" w:history="1">
        <w:r w:rsidR="00CA7B0A" w:rsidRPr="00966AF3">
          <w:rPr>
            <w:rStyle w:val="Hyperlink"/>
            <w:rFonts w:eastAsia="Calibri" w:cs="GHEA Grapalat"/>
            <w:bCs/>
            <w:noProof/>
            <w:lang w:val="hy-AM" w:eastAsia="en-US"/>
          </w:rPr>
          <w:t>Այլ եկամուտներ</w:t>
        </w:r>
        <w:r w:rsidR="00CA7B0A">
          <w:rPr>
            <w:noProof/>
            <w:webHidden/>
          </w:rPr>
          <w:tab/>
        </w:r>
        <w:r w:rsidR="00CA7B0A">
          <w:rPr>
            <w:noProof/>
            <w:webHidden/>
          </w:rPr>
          <w:fldChar w:fldCharType="begin"/>
        </w:r>
        <w:r w:rsidR="00CA7B0A">
          <w:rPr>
            <w:noProof/>
            <w:webHidden/>
          </w:rPr>
          <w:instrText xml:space="preserve"> PAGEREF _Toc120805213 \h </w:instrText>
        </w:r>
        <w:r w:rsidR="00CA7B0A">
          <w:rPr>
            <w:noProof/>
            <w:webHidden/>
          </w:rPr>
        </w:r>
        <w:r w:rsidR="00CA7B0A">
          <w:rPr>
            <w:noProof/>
            <w:webHidden/>
          </w:rPr>
          <w:fldChar w:fldCharType="separate"/>
        </w:r>
        <w:r w:rsidR="00CA7B0A">
          <w:rPr>
            <w:noProof/>
            <w:webHidden/>
          </w:rPr>
          <w:t>103</w:t>
        </w:r>
        <w:r w:rsidR="00CA7B0A">
          <w:rPr>
            <w:noProof/>
            <w:webHidden/>
          </w:rPr>
          <w:fldChar w:fldCharType="end"/>
        </w:r>
      </w:hyperlink>
    </w:p>
    <w:p w:rsidR="00CA7B0A" w:rsidRDefault="00C43BF7">
      <w:pPr>
        <w:pStyle w:val="TOC1"/>
        <w:rPr>
          <w:rFonts w:asciiTheme="minorHAnsi" w:eastAsiaTheme="minorEastAsia" w:hAnsiTheme="minorHAnsi" w:cstheme="minorBidi"/>
          <w:b w:val="0"/>
          <w:noProof/>
          <w:szCs w:val="22"/>
          <w:lang w:val="en-US" w:eastAsia="en-US"/>
        </w:rPr>
      </w:pPr>
      <w:hyperlink w:anchor="_Toc120805214" w:history="1">
        <w:r w:rsidR="00CA7B0A" w:rsidRPr="00966AF3">
          <w:rPr>
            <w:rStyle w:val="Hyperlink"/>
            <w:noProof/>
          </w:rPr>
          <w:t>Մ</w:t>
        </w:r>
        <w:r w:rsidR="00CA7B0A" w:rsidRPr="00966AF3">
          <w:rPr>
            <w:rStyle w:val="Hyperlink"/>
            <w:noProof/>
            <w:lang w:val="af-ZA"/>
          </w:rPr>
          <w:t xml:space="preserve"> </w:t>
        </w:r>
        <w:r w:rsidR="00CA7B0A" w:rsidRPr="00966AF3">
          <w:rPr>
            <w:rStyle w:val="Hyperlink"/>
            <w:noProof/>
          </w:rPr>
          <w:t>Ա</w:t>
        </w:r>
        <w:r w:rsidR="00CA7B0A" w:rsidRPr="00966AF3">
          <w:rPr>
            <w:rStyle w:val="Hyperlink"/>
            <w:noProof/>
            <w:lang w:val="af-ZA"/>
          </w:rPr>
          <w:t xml:space="preserve"> </w:t>
        </w:r>
        <w:r w:rsidR="00CA7B0A" w:rsidRPr="00966AF3">
          <w:rPr>
            <w:rStyle w:val="Hyperlink"/>
            <w:noProof/>
          </w:rPr>
          <w:t>Ս</w:t>
        </w:r>
        <w:r w:rsidR="00CA7B0A" w:rsidRPr="00966AF3">
          <w:rPr>
            <w:rStyle w:val="Hyperlink"/>
            <w:noProof/>
            <w:lang w:val="af-ZA"/>
          </w:rPr>
          <w:t xml:space="preserve"> III – </w:t>
        </w:r>
        <w:r w:rsidR="00CA7B0A" w:rsidRPr="00966AF3">
          <w:rPr>
            <w:rStyle w:val="Hyperlink"/>
            <w:noProof/>
          </w:rPr>
          <w:t>Բ</w:t>
        </w:r>
        <w:r w:rsidR="00CA7B0A" w:rsidRPr="00966AF3">
          <w:rPr>
            <w:rStyle w:val="Hyperlink"/>
            <w:noProof/>
            <w:lang w:val="af-ZA"/>
          </w:rPr>
          <w:t xml:space="preserve">. </w:t>
        </w:r>
        <w:r w:rsidR="00CA7B0A" w:rsidRPr="00966AF3">
          <w:rPr>
            <w:rStyle w:val="Hyperlink"/>
            <w:noProof/>
          </w:rPr>
          <w:t>Ծ</w:t>
        </w:r>
        <w:r w:rsidR="00CA7B0A" w:rsidRPr="00966AF3">
          <w:rPr>
            <w:rStyle w:val="Hyperlink"/>
            <w:noProof/>
            <w:lang w:val="af-ZA"/>
          </w:rPr>
          <w:t xml:space="preserve"> </w:t>
        </w:r>
        <w:r w:rsidR="00CA7B0A" w:rsidRPr="00966AF3">
          <w:rPr>
            <w:rStyle w:val="Hyperlink"/>
            <w:noProof/>
          </w:rPr>
          <w:t>Ա</w:t>
        </w:r>
        <w:r w:rsidR="00CA7B0A" w:rsidRPr="00966AF3">
          <w:rPr>
            <w:rStyle w:val="Hyperlink"/>
            <w:noProof/>
            <w:lang w:val="af-ZA"/>
          </w:rPr>
          <w:t xml:space="preserve"> </w:t>
        </w:r>
        <w:r w:rsidR="00CA7B0A" w:rsidRPr="00966AF3">
          <w:rPr>
            <w:rStyle w:val="Hyperlink"/>
            <w:noProof/>
          </w:rPr>
          <w:t>Խ</w:t>
        </w:r>
        <w:r w:rsidR="00CA7B0A" w:rsidRPr="00966AF3">
          <w:rPr>
            <w:rStyle w:val="Hyperlink"/>
            <w:noProof/>
            <w:lang w:val="af-ZA"/>
          </w:rPr>
          <w:t xml:space="preserve"> </w:t>
        </w:r>
        <w:r w:rsidR="00CA7B0A" w:rsidRPr="00966AF3">
          <w:rPr>
            <w:rStyle w:val="Hyperlink"/>
            <w:noProof/>
          </w:rPr>
          <w:t>Ս</w:t>
        </w:r>
        <w:r w:rsidR="00CA7B0A" w:rsidRPr="00966AF3">
          <w:rPr>
            <w:rStyle w:val="Hyperlink"/>
            <w:noProof/>
            <w:lang w:val="af-ZA"/>
          </w:rPr>
          <w:t xml:space="preserve"> </w:t>
        </w:r>
        <w:r w:rsidR="00CA7B0A" w:rsidRPr="00966AF3">
          <w:rPr>
            <w:rStyle w:val="Hyperlink"/>
            <w:noProof/>
          </w:rPr>
          <w:t>Ե</w:t>
        </w:r>
        <w:r w:rsidR="00CA7B0A" w:rsidRPr="00966AF3">
          <w:rPr>
            <w:rStyle w:val="Hyperlink"/>
            <w:noProof/>
            <w:lang w:val="af-ZA"/>
          </w:rPr>
          <w:t xml:space="preserve"> </w:t>
        </w:r>
        <w:r w:rsidR="00CA7B0A" w:rsidRPr="00966AF3">
          <w:rPr>
            <w:rStyle w:val="Hyperlink"/>
            <w:noProof/>
          </w:rPr>
          <w:t>Ր</w:t>
        </w:r>
        <w:r w:rsidR="00CA7B0A" w:rsidRPr="00966AF3">
          <w:rPr>
            <w:rStyle w:val="Hyperlink"/>
            <w:noProof/>
            <w:lang w:val="af-ZA"/>
          </w:rPr>
          <w:t xml:space="preserve"> </w:t>
        </w:r>
        <w:r w:rsidR="00CA7B0A" w:rsidRPr="00966AF3">
          <w:rPr>
            <w:rStyle w:val="Hyperlink"/>
            <w:noProof/>
          </w:rPr>
          <w:t>Ի</w:t>
        </w:r>
        <w:r w:rsidR="00CA7B0A" w:rsidRPr="00966AF3">
          <w:rPr>
            <w:rStyle w:val="Hyperlink"/>
            <w:noProof/>
            <w:lang w:val="af-ZA"/>
          </w:rPr>
          <w:t xml:space="preserve">  </w:t>
        </w:r>
        <w:r w:rsidR="00CA7B0A" w:rsidRPr="00966AF3">
          <w:rPr>
            <w:rStyle w:val="Hyperlink"/>
            <w:noProof/>
          </w:rPr>
          <w:t>Կ</w:t>
        </w:r>
        <w:r w:rsidR="00CA7B0A" w:rsidRPr="00966AF3">
          <w:rPr>
            <w:rStyle w:val="Hyperlink"/>
            <w:noProof/>
            <w:lang w:val="af-ZA"/>
          </w:rPr>
          <w:t xml:space="preserve"> </w:t>
        </w:r>
        <w:r w:rsidR="00CA7B0A" w:rsidRPr="00966AF3">
          <w:rPr>
            <w:rStyle w:val="Hyperlink"/>
            <w:noProof/>
          </w:rPr>
          <w:t>Ա</w:t>
        </w:r>
        <w:r w:rsidR="00CA7B0A" w:rsidRPr="00966AF3">
          <w:rPr>
            <w:rStyle w:val="Hyperlink"/>
            <w:noProof/>
            <w:lang w:val="af-ZA"/>
          </w:rPr>
          <w:t xml:space="preserve"> </w:t>
        </w:r>
        <w:r w:rsidR="00CA7B0A" w:rsidRPr="00966AF3">
          <w:rPr>
            <w:rStyle w:val="Hyperlink"/>
            <w:noProof/>
          </w:rPr>
          <w:t>Ն</w:t>
        </w:r>
        <w:r w:rsidR="00CA7B0A" w:rsidRPr="00966AF3">
          <w:rPr>
            <w:rStyle w:val="Hyperlink"/>
            <w:noProof/>
            <w:lang w:val="af-ZA"/>
          </w:rPr>
          <w:t xml:space="preserve"> </w:t>
        </w:r>
        <w:r w:rsidR="00CA7B0A" w:rsidRPr="00966AF3">
          <w:rPr>
            <w:rStyle w:val="Hyperlink"/>
            <w:noProof/>
          </w:rPr>
          <w:t>Խ</w:t>
        </w:r>
        <w:r w:rsidR="00CA7B0A" w:rsidRPr="00966AF3">
          <w:rPr>
            <w:rStyle w:val="Hyperlink"/>
            <w:noProof/>
            <w:lang w:val="af-ZA"/>
          </w:rPr>
          <w:t xml:space="preserve"> </w:t>
        </w:r>
        <w:r w:rsidR="00CA7B0A" w:rsidRPr="00966AF3">
          <w:rPr>
            <w:rStyle w:val="Hyperlink"/>
            <w:noProof/>
          </w:rPr>
          <w:t>Ա</w:t>
        </w:r>
        <w:r w:rsidR="00CA7B0A" w:rsidRPr="00966AF3">
          <w:rPr>
            <w:rStyle w:val="Hyperlink"/>
            <w:noProof/>
            <w:lang w:val="af-ZA"/>
          </w:rPr>
          <w:t xml:space="preserve"> </w:t>
        </w:r>
        <w:r w:rsidR="00CA7B0A" w:rsidRPr="00966AF3">
          <w:rPr>
            <w:rStyle w:val="Hyperlink"/>
            <w:noProof/>
          </w:rPr>
          <w:t>Տ</w:t>
        </w:r>
        <w:r w:rsidR="00CA7B0A" w:rsidRPr="00966AF3">
          <w:rPr>
            <w:rStyle w:val="Hyperlink"/>
            <w:noProof/>
            <w:lang w:val="af-ZA"/>
          </w:rPr>
          <w:t xml:space="preserve"> </w:t>
        </w:r>
        <w:r w:rsidR="00CA7B0A" w:rsidRPr="00966AF3">
          <w:rPr>
            <w:rStyle w:val="Hyperlink"/>
            <w:noProof/>
          </w:rPr>
          <w:t>Ե</w:t>
        </w:r>
        <w:r w:rsidR="00CA7B0A" w:rsidRPr="00966AF3">
          <w:rPr>
            <w:rStyle w:val="Hyperlink"/>
            <w:noProof/>
            <w:lang w:val="af-ZA"/>
          </w:rPr>
          <w:t xml:space="preserve"> </w:t>
        </w:r>
        <w:r w:rsidR="00CA7B0A" w:rsidRPr="00966AF3">
          <w:rPr>
            <w:rStyle w:val="Hyperlink"/>
            <w:noProof/>
          </w:rPr>
          <w:t>Ս</w:t>
        </w:r>
        <w:r w:rsidR="00CA7B0A" w:rsidRPr="00966AF3">
          <w:rPr>
            <w:rStyle w:val="Hyperlink"/>
            <w:noProof/>
            <w:lang w:val="af-ZA"/>
          </w:rPr>
          <w:t xml:space="preserve"> </w:t>
        </w:r>
        <w:r w:rsidR="00CA7B0A" w:rsidRPr="00966AF3">
          <w:rPr>
            <w:rStyle w:val="Hyperlink"/>
            <w:noProof/>
          </w:rPr>
          <w:t>Ո</w:t>
        </w:r>
        <w:r w:rsidR="00CA7B0A" w:rsidRPr="00966AF3">
          <w:rPr>
            <w:rStyle w:val="Hyperlink"/>
            <w:noProof/>
            <w:lang w:val="af-ZA"/>
          </w:rPr>
          <w:t xml:space="preserve"> </w:t>
        </w:r>
        <w:r w:rsidR="00CA7B0A" w:rsidRPr="00966AF3">
          <w:rPr>
            <w:rStyle w:val="Hyperlink"/>
            <w:noProof/>
          </w:rPr>
          <w:t>Ւ</w:t>
        </w:r>
        <w:r w:rsidR="00CA7B0A" w:rsidRPr="00966AF3">
          <w:rPr>
            <w:rStyle w:val="Hyperlink"/>
            <w:noProof/>
            <w:lang w:val="af-ZA"/>
          </w:rPr>
          <w:t xml:space="preserve"> </w:t>
        </w:r>
        <w:r w:rsidR="00CA7B0A" w:rsidRPr="00966AF3">
          <w:rPr>
            <w:rStyle w:val="Hyperlink"/>
            <w:noProof/>
          </w:rPr>
          <w:t>Մ</w:t>
        </w:r>
        <w:r w:rsidR="00CA7B0A">
          <w:rPr>
            <w:noProof/>
            <w:webHidden/>
          </w:rPr>
          <w:tab/>
        </w:r>
        <w:r w:rsidR="00CA7B0A">
          <w:rPr>
            <w:noProof/>
            <w:webHidden/>
          </w:rPr>
          <w:fldChar w:fldCharType="begin"/>
        </w:r>
        <w:r w:rsidR="00CA7B0A">
          <w:rPr>
            <w:noProof/>
            <w:webHidden/>
          </w:rPr>
          <w:instrText xml:space="preserve"> PAGEREF _Toc120805214 \h </w:instrText>
        </w:r>
        <w:r w:rsidR="00CA7B0A">
          <w:rPr>
            <w:noProof/>
            <w:webHidden/>
          </w:rPr>
        </w:r>
        <w:r w:rsidR="00CA7B0A">
          <w:rPr>
            <w:noProof/>
            <w:webHidden/>
          </w:rPr>
          <w:fldChar w:fldCharType="separate"/>
        </w:r>
        <w:r w:rsidR="00CA7B0A">
          <w:rPr>
            <w:noProof/>
            <w:webHidden/>
          </w:rPr>
          <w:t>107</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15" w:history="1">
        <w:r w:rsidR="00CA7B0A" w:rsidRPr="00966AF3">
          <w:rPr>
            <w:rStyle w:val="Hyperlink"/>
            <w:rFonts w:eastAsia="Calibri" w:cs="GHEA Grapalat"/>
            <w:bCs/>
            <w:noProof/>
            <w:lang w:val="af-ZA" w:eastAsia="en-US"/>
          </w:rPr>
          <w:t>ԾԱԽՍԵՐՆ ԸՍՏ ՏՆՏԵՍԱԳԻՏԱԿԱՆ ԴԱՍԱԿԱՐԳՄԱՆ</w:t>
        </w:r>
        <w:r w:rsidR="00CA7B0A">
          <w:rPr>
            <w:noProof/>
            <w:webHidden/>
          </w:rPr>
          <w:tab/>
        </w:r>
        <w:r w:rsidR="00CA7B0A">
          <w:rPr>
            <w:noProof/>
            <w:webHidden/>
          </w:rPr>
          <w:fldChar w:fldCharType="begin"/>
        </w:r>
        <w:r w:rsidR="00CA7B0A">
          <w:rPr>
            <w:noProof/>
            <w:webHidden/>
          </w:rPr>
          <w:instrText xml:space="preserve"> PAGEREF _Toc120805215 \h </w:instrText>
        </w:r>
        <w:r w:rsidR="00CA7B0A">
          <w:rPr>
            <w:noProof/>
            <w:webHidden/>
          </w:rPr>
        </w:r>
        <w:r w:rsidR="00CA7B0A">
          <w:rPr>
            <w:noProof/>
            <w:webHidden/>
          </w:rPr>
          <w:fldChar w:fldCharType="separate"/>
        </w:r>
        <w:r w:rsidR="00CA7B0A">
          <w:rPr>
            <w:noProof/>
            <w:webHidden/>
          </w:rPr>
          <w:t>108</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16" w:history="1">
        <w:r w:rsidR="00CA7B0A" w:rsidRPr="00966AF3">
          <w:rPr>
            <w:rStyle w:val="Hyperlink"/>
            <w:rFonts w:eastAsia="Calibri" w:cs="GHEA Grapalat"/>
            <w:bCs/>
            <w:noProof/>
            <w:lang w:val="af-ZA" w:eastAsia="en-US"/>
          </w:rPr>
          <w:t>ԾԱԽՍԵՐՆ ԸՍՏ ԳՈՐԾԱՌԱԿԱՆ ԴԱՍԱԿԱՐԳՄԱՆ</w:t>
        </w:r>
        <w:r w:rsidR="00CA7B0A">
          <w:rPr>
            <w:noProof/>
            <w:webHidden/>
          </w:rPr>
          <w:tab/>
        </w:r>
        <w:r w:rsidR="00CA7B0A">
          <w:rPr>
            <w:noProof/>
            <w:webHidden/>
          </w:rPr>
          <w:fldChar w:fldCharType="begin"/>
        </w:r>
        <w:r w:rsidR="00CA7B0A">
          <w:rPr>
            <w:noProof/>
            <w:webHidden/>
          </w:rPr>
          <w:instrText xml:space="preserve"> PAGEREF _Toc120805216 \h </w:instrText>
        </w:r>
        <w:r w:rsidR="00CA7B0A">
          <w:rPr>
            <w:noProof/>
            <w:webHidden/>
          </w:rPr>
        </w:r>
        <w:r w:rsidR="00CA7B0A">
          <w:rPr>
            <w:noProof/>
            <w:webHidden/>
          </w:rPr>
          <w:fldChar w:fldCharType="separate"/>
        </w:r>
        <w:r w:rsidR="00CA7B0A">
          <w:rPr>
            <w:noProof/>
            <w:webHidden/>
          </w:rPr>
          <w:t>114</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17" w:history="1">
        <w:r w:rsidR="00CA7B0A" w:rsidRPr="00966AF3">
          <w:rPr>
            <w:rStyle w:val="Hyperlink"/>
            <w:rFonts w:eastAsia="Calibri" w:cs="GHEA Grapalat"/>
            <w:bCs/>
            <w:noProof/>
            <w:lang w:val="af-ZA" w:eastAsia="en-US"/>
          </w:rPr>
          <w:t xml:space="preserve">ԾԱԽՍԵՐՆ ԸՍՏ </w:t>
        </w:r>
        <w:r w:rsidR="00CA7B0A" w:rsidRPr="00966AF3">
          <w:rPr>
            <w:rStyle w:val="Hyperlink"/>
            <w:rFonts w:eastAsia="Calibri" w:cs="GHEA Grapalat"/>
            <w:bCs/>
            <w:noProof/>
            <w:lang w:val="hy-AM" w:eastAsia="en-US"/>
          </w:rPr>
          <w:t>ԲՅՈՒՋԵՏԱՅԻՆ ԳԼԽԱՎՈՐ ԿԱՐԳԱԴՐԻՉՆԵՐԻ</w:t>
        </w:r>
        <w:r w:rsidR="00CA7B0A">
          <w:rPr>
            <w:noProof/>
            <w:webHidden/>
          </w:rPr>
          <w:tab/>
        </w:r>
        <w:r w:rsidR="00CA7B0A">
          <w:rPr>
            <w:noProof/>
            <w:webHidden/>
          </w:rPr>
          <w:fldChar w:fldCharType="begin"/>
        </w:r>
        <w:r w:rsidR="00CA7B0A">
          <w:rPr>
            <w:noProof/>
            <w:webHidden/>
          </w:rPr>
          <w:instrText xml:space="preserve"> PAGEREF _Toc120805217 \h </w:instrText>
        </w:r>
        <w:r w:rsidR="00CA7B0A">
          <w:rPr>
            <w:noProof/>
            <w:webHidden/>
          </w:rPr>
        </w:r>
        <w:r w:rsidR="00CA7B0A">
          <w:rPr>
            <w:noProof/>
            <w:webHidden/>
          </w:rPr>
          <w:fldChar w:fldCharType="separate"/>
        </w:r>
        <w:r w:rsidR="00CA7B0A">
          <w:rPr>
            <w:noProof/>
            <w:webHidden/>
          </w:rPr>
          <w:t>121</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18" w:history="1">
        <w:r w:rsidR="00CA7B0A" w:rsidRPr="00966AF3">
          <w:rPr>
            <w:rStyle w:val="Hyperlink"/>
            <w:rFonts w:eastAsia="Calibri" w:cs="GHEA Grapalat"/>
            <w:noProof/>
            <w:lang w:val="af-ZA" w:eastAsia="en-US"/>
          </w:rPr>
          <w:t>Հանրային իշխանության մարմինների պահպանման ծախսեր</w:t>
        </w:r>
        <w:r w:rsidR="00CA7B0A">
          <w:rPr>
            <w:noProof/>
            <w:webHidden/>
          </w:rPr>
          <w:tab/>
        </w:r>
        <w:r w:rsidR="00CA7B0A">
          <w:rPr>
            <w:noProof/>
            <w:webHidden/>
          </w:rPr>
          <w:fldChar w:fldCharType="begin"/>
        </w:r>
        <w:r w:rsidR="00CA7B0A">
          <w:rPr>
            <w:noProof/>
            <w:webHidden/>
          </w:rPr>
          <w:instrText xml:space="preserve"> PAGEREF _Toc120805218 \h </w:instrText>
        </w:r>
        <w:r w:rsidR="00CA7B0A">
          <w:rPr>
            <w:noProof/>
            <w:webHidden/>
          </w:rPr>
        </w:r>
        <w:r w:rsidR="00CA7B0A">
          <w:rPr>
            <w:noProof/>
            <w:webHidden/>
          </w:rPr>
          <w:fldChar w:fldCharType="separate"/>
        </w:r>
        <w:r w:rsidR="00CA7B0A">
          <w:rPr>
            <w:noProof/>
            <w:webHidden/>
          </w:rPr>
          <w:t>121</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19" w:history="1">
        <w:r w:rsidR="00CA7B0A" w:rsidRPr="00966AF3">
          <w:rPr>
            <w:rStyle w:val="Hyperlink"/>
            <w:noProof/>
          </w:rPr>
          <w:t>ՀՀ առողջապահության նախարարություն</w:t>
        </w:r>
        <w:r w:rsidR="00CA7B0A">
          <w:rPr>
            <w:noProof/>
            <w:webHidden/>
          </w:rPr>
          <w:tab/>
        </w:r>
        <w:r w:rsidR="00CA7B0A">
          <w:rPr>
            <w:noProof/>
            <w:webHidden/>
          </w:rPr>
          <w:fldChar w:fldCharType="begin"/>
        </w:r>
        <w:r w:rsidR="00CA7B0A">
          <w:rPr>
            <w:noProof/>
            <w:webHidden/>
          </w:rPr>
          <w:instrText xml:space="preserve"> PAGEREF _Toc120805219 \h </w:instrText>
        </w:r>
        <w:r w:rsidR="00CA7B0A">
          <w:rPr>
            <w:noProof/>
            <w:webHidden/>
          </w:rPr>
        </w:r>
        <w:r w:rsidR="00CA7B0A">
          <w:rPr>
            <w:noProof/>
            <w:webHidden/>
          </w:rPr>
          <w:fldChar w:fldCharType="separate"/>
        </w:r>
        <w:r w:rsidR="00CA7B0A">
          <w:rPr>
            <w:noProof/>
            <w:webHidden/>
          </w:rPr>
          <w:t>127</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20" w:history="1">
        <w:r w:rsidR="00CA7B0A" w:rsidRPr="00966AF3">
          <w:rPr>
            <w:rStyle w:val="Hyperlink"/>
            <w:noProof/>
          </w:rPr>
          <w:t>ՀՀ կրթության, գիտության, մշակույթի և սպորտի նախարարություն</w:t>
        </w:r>
        <w:r w:rsidR="00CA7B0A">
          <w:rPr>
            <w:noProof/>
            <w:webHidden/>
          </w:rPr>
          <w:tab/>
        </w:r>
        <w:r w:rsidR="00CA7B0A">
          <w:rPr>
            <w:noProof/>
            <w:webHidden/>
          </w:rPr>
          <w:fldChar w:fldCharType="begin"/>
        </w:r>
        <w:r w:rsidR="00CA7B0A">
          <w:rPr>
            <w:noProof/>
            <w:webHidden/>
          </w:rPr>
          <w:instrText xml:space="preserve"> PAGEREF _Toc120805220 \h </w:instrText>
        </w:r>
        <w:r w:rsidR="00CA7B0A">
          <w:rPr>
            <w:noProof/>
            <w:webHidden/>
          </w:rPr>
        </w:r>
        <w:r w:rsidR="00CA7B0A">
          <w:rPr>
            <w:noProof/>
            <w:webHidden/>
          </w:rPr>
          <w:fldChar w:fldCharType="separate"/>
        </w:r>
        <w:r w:rsidR="00CA7B0A">
          <w:rPr>
            <w:noProof/>
            <w:webHidden/>
          </w:rPr>
          <w:t>131</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21" w:history="1">
        <w:r w:rsidR="00CA7B0A" w:rsidRPr="00966AF3">
          <w:rPr>
            <w:rStyle w:val="Hyperlink"/>
            <w:noProof/>
          </w:rPr>
          <w:t>ՀՀ աշխատանքի և սոցիալական հարցերի նախարարություն</w:t>
        </w:r>
        <w:r w:rsidR="00CA7B0A">
          <w:rPr>
            <w:noProof/>
            <w:webHidden/>
          </w:rPr>
          <w:tab/>
        </w:r>
        <w:r w:rsidR="00CA7B0A">
          <w:rPr>
            <w:noProof/>
            <w:webHidden/>
          </w:rPr>
          <w:fldChar w:fldCharType="begin"/>
        </w:r>
        <w:r w:rsidR="00CA7B0A">
          <w:rPr>
            <w:noProof/>
            <w:webHidden/>
          </w:rPr>
          <w:instrText xml:space="preserve"> PAGEREF _Toc120805221 \h </w:instrText>
        </w:r>
        <w:r w:rsidR="00CA7B0A">
          <w:rPr>
            <w:noProof/>
            <w:webHidden/>
          </w:rPr>
        </w:r>
        <w:r w:rsidR="00CA7B0A">
          <w:rPr>
            <w:noProof/>
            <w:webHidden/>
          </w:rPr>
          <w:fldChar w:fldCharType="separate"/>
        </w:r>
        <w:r w:rsidR="00CA7B0A">
          <w:rPr>
            <w:noProof/>
            <w:webHidden/>
          </w:rPr>
          <w:t>138</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22" w:history="1">
        <w:r w:rsidR="00CA7B0A" w:rsidRPr="00966AF3">
          <w:rPr>
            <w:rStyle w:val="Hyperlink"/>
            <w:noProof/>
          </w:rPr>
          <w:t>ՀՀ տարածքային կառավարման և ենթակառուցվածքների նախարարություն</w:t>
        </w:r>
        <w:r w:rsidR="00CA7B0A">
          <w:rPr>
            <w:noProof/>
            <w:webHidden/>
          </w:rPr>
          <w:tab/>
        </w:r>
        <w:r w:rsidR="00CA7B0A">
          <w:rPr>
            <w:noProof/>
            <w:webHidden/>
          </w:rPr>
          <w:fldChar w:fldCharType="begin"/>
        </w:r>
        <w:r w:rsidR="00CA7B0A">
          <w:rPr>
            <w:noProof/>
            <w:webHidden/>
          </w:rPr>
          <w:instrText xml:space="preserve"> PAGEREF _Toc120805222 \h </w:instrText>
        </w:r>
        <w:r w:rsidR="00CA7B0A">
          <w:rPr>
            <w:noProof/>
            <w:webHidden/>
          </w:rPr>
        </w:r>
        <w:r w:rsidR="00CA7B0A">
          <w:rPr>
            <w:noProof/>
            <w:webHidden/>
          </w:rPr>
          <w:fldChar w:fldCharType="separate"/>
        </w:r>
        <w:r w:rsidR="00CA7B0A">
          <w:rPr>
            <w:noProof/>
            <w:webHidden/>
          </w:rPr>
          <w:t>145</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23" w:history="1">
        <w:r w:rsidR="00CA7B0A" w:rsidRPr="00966AF3">
          <w:rPr>
            <w:rStyle w:val="Hyperlink"/>
            <w:noProof/>
          </w:rPr>
          <w:t>ՀՀ բարձր տեխնոլոգիական արդյունաբերության նախարարություն</w:t>
        </w:r>
        <w:r w:rsidR="00CA7B0A">
          <w:rPr>
            <w:noProof/>
            <w:webHidden/>
          </w:rPr>
          <w:tab/>
        </w:r>
        <w:r w:rsidR="00CA7B0A">
          <w:rPr>
            <w:noProof/>
            <w:webHidden/>
          </w:rPr>
          <w:fldChar w:fldCharType="begin"/>
        </w:r>
        <w:r w:rsidR="00CA7B0A">
          <w:rPr>
            <w:noProof/>
            <w:webHidden/>
          </w:rPr>
          <w:instrText xml:space="preserve"> PAGEREF _Toc120805223 \h </w:instrText>
        </w:r>
        <w:r w:rsidR="00CA7B0A">
          <w:rPr>
            <w:noProof/>
            <w:webHidden/>
          </w:rPr>
        </w:r>
        <w:r w:rsidR="00CA7B0A">
          <w:rPr>
            <w:noProof/>
            <w:webHidden/>
          </w:rPr>
          <w:fldChar w:fldCharType="separate"/>
        </w:r>
        <w:r w:rsidR="00CA7B0A">
          <w:rPr>
            <w:noProof/>
            <w:webHidden/>
          </w:rPr>
          <w:t>152</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24" w:history="1">
        <w:r w:rsidR="00CA7B0A" w:rsidRPr="00966AF3">
          <w:rPr>
            <w:rStyle w:val="Hyperlink"/>
            <w:rFonts w:cs="Arial"/>
            <w:noProof/>
            <w:lang w:val="hy-AM" w:eastAsia="en-US"/>
          </w:rPr>
          <w:t>ՀՀ շրջակա միջավայրի նախարարություն</w:t>
        </w:r>
        <w:r w:rsidR="00CA7B0A">
          <w:rPr>
            <w:noProof/>
            <w:webHidden/>
          </w:rPr>
          <w:tab/>
        </w:r>
        <w:r w:rsidR="00CA7B0A">
          <w:rPr>
            <w:noProof/>
            <w:webHidden/>
          </w:rPr>
          <w:fldChar w:fldCharType="begin"/>
        </w:r>
        <w:r w:rsidR="00CA7B0A">
          <w:rPr>
            <w:noProof/>
            <w:webHidden/>
          </w:rPr>
          <w:instrText xml:space="preserve"> PAGEREF _Toc120805224 \h </w:instrText>
        </w:r>
        <w:r w:rsidR="00CA7B0A">
          <w:rPr>
            <w:noProof/>
            <w:webHidden/>
          </w:rPr>
        </w:r>
        <w:r w:rsidR="00CA7B0A">
          <w:rPr>
            <w:noProof/>
            <w:webHidden/>
          </w:rPr>
          <w:fldChar w:fldCharType="separate"/>
        </w:r>
        <w:r w:rsidR="00CA7B0A">
          <w:rPr>
            <w:noProof/>
            <w:webHidden/>
          </w:rPr>
          <w:t>154</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25" w:history="1">
        <w:r w:rsidR="00CA7B0A" w:rsidRPr="00966AF3">
          <w:rPr>
            <w:rStyle w:val="Hyperlink"/>
            <w:rFonts w:cs="Arial"/>
            <w:noProof/>
            <w:lang w:val="hy-AM" w:eastAsia="en-US"/>
          </w:rPr>
          <w:t>ՀՀ էկոնոմիկայի նախարարություն</w:t>
        </w:r>
        <w:r w:rsidR="00CA7B0A">
          <w:rPr>
            <w:noProof/>
            <w:webHidden/>
          </w:rPr>
          <w:tab/>
        </w:r>
        <w:r w:rsidR="00CA7B0A">
          <w:rPr>
            <w:noProof/>
            <w:webHidden/>
          </w:rPr>
          <w:fldChar w:fldCharType="begin"/>
        </w:r>
        <w:r w:rsidR="00CA7B0A">
          <w:rPr>
            <w:noProof/>
            <w:webHidden/>
          </w:rPr>
          <w:instrText xml:space="preserve"> PAGEREF _Toc120805225 \h </w:instrText>
        </w:r>
        <w:r w:rsidR="00CA7B0A">
          <w:rPr>
            <w:noProof/>
            <w:webHidden/>
          </w:rPr>
        </w:r>
        <w:r w:rsidR="00CA7B0A">
          <w:rPr>
            <w:noProof/>
            <w:webHidden/>
          </w:rPr>
          <w:fldChar w:fldCharType="separate"/>
        </w:r>
        <w:r w:rsidR="00CA7B0A">
          <w:rPr>
            <w:noProof/>
            <w:webHidden/>
          </w:rPr>
          <w:t>156</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26" w:history="1">
        <w:r w:rsidR="00CA7B0A" w:rsidRPr="00966AF3">
          <w:rPr>
            <w:rStyle w:val="Hyperlink"/>
            <w:rFonts w:cs="Arial"/>
            <w:noProof/>
            <w:lang w:val="hy-AM" w:eastAsia="en-US"/>
          </w:rPr>
          <w:t>ՀՀ ֆինանսների նախարարություն</w:t>
        </w:r>
        <w:r w:rsidR="00CA7B0A">
          <w:rPr>
            <w:noProof/>
            <w:webHidden/>
          </w:rPr>
          <w:tab/>
        </w:r>
        <w:r w:rsidR="00CA7B0A">
          <w:rPr>
            <w:noProof/>
            <w:webHidden/>
          </w:rPr>
          <w:fldChar w:fldCharType="begin"/>
        </w:r>
        <w:r w:rsidR="00CA7B0A">
          <w:rPr>
            <w:noProof/>
            <w:webHidden/>
          </w:rPr>
          <w:instrText xml:space="preserve"> PAGEREF _Toc120805226 \h </w:instrText>
        </w:r>
        <w:r w:rsidR="00CA7B0A">
          <w:rPr>
            <w:noProof/>
            <w:webHidden/>
          </w:rPr>
        </w:r>
        <w:r w:rsidR="00CA7B0A">
          <w:rPr>
            <w:noProof/>
            <w:webHidden/>
          </w:rPr>
          <w:fldChar w:fldCharType="separate"/>
        </w:r>
        <w:r w:rsidR="00CA7B0A">
          <w:rPr>
            <w:noProof/>
            <w:webHidden/>
          </w:rPr>
          <w:t>159</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27" w:history="1">
        <w:r w:rsidR="00CA7B0A" w:rsidRPr="00966AF3">
          <w:rPr>
            <w:rStyle w:val="Hyperlink"/>
            <w:rFonts w:cs="Arial"/>
            <w:noProof/>
            <w:lang w:val="hy-AM" w:eastAsia="en-US"/>
          </w:rPr>
          <w:t>ՀՀ արտակարգ իրավիճակների նախարարություն</w:t>
        </w:r>
        <w:r w:rsidR="00CA7B0A">
          <w:rPr>
            <w:noProof/>
            <w:webHidden/>
          </w:rPr>
          <w:tab/>
        </w:r>
        <w:r w:rsidR="00CA7B0A">
          <w:rPr>
            <w:noProof/>
            <w:webHidden/>
          </w:rPr>
          <w:fldChar w:fldCharType="begin"/>
        </w:r>
        <w:r w:rsidR="00CA7B0A">
          <w:rPr>
            <w:noProof/>
            <w:webHidden/>
          </w:rPr>
          <w:instrText xml:space="preserve"> PAGEREF _Toc120805227 \h </w:instrText>
        </w:r>
        <w:r w:rsidR="00CA7B0A">
          <w:rPr>
            <w:noProof/>
            <w:webHidden/>
          </w:rPr>
        </w:r>
        <w:r w:rsidR="00CA7B0A">
          <w:rPr>
            <w:noProof/>
            <w:webHidden/>
          </w:rPr>
          <w:fldChar w:fldCharType="separate"/>
        </w:r>
        <w:r w:rsidR="00CA7B0A">
          <w:rPr>
            <w:noProof/>
            <w:webHidden/>
          </w:rPr>
          <w:t>160</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28" w:history="1">
        <w:r w:rsidR="00CA7B0A" w:rsidRPr="00966AF3">
          <w:rPr>
            <w:rStyle w:val="Hyperlink"/>
            <w:rFonts w:cs="Arial"/>
            <w:noProof/>
            <w:lang w:val="hy-AM" w:eastAsia="en-US"/>
          </w:rPr>
          <w:t>ՀՀ արդարադատության նախարարություն</w:t>
        </w:r>
        <w:r w:rsidR="00CA7B0A">
          <w:rPr>
            <w:noProof/>
            <w:webHidden/>
          </w:rPr>
          <w:tab/>
        </w:r>
        <w:r w:rsidR="00CA7B0A">
          <w:rPr>
            <w:noProof/>
            <w:webHidden/>
          </w:rPr>
          <w:fldChar w:fldCharType="begin"/>
        </w:r>
        <w:r w:rsidR="00CA7B0A">
          <w:rPr>
            <w:noProof/>
            <w:webHidden/>
          </w:rPr>
          <w:instrText xml:space="preserve"> PAGEREF _Toc120805228 \h </w:instrText>
        </w:r>
        <w:r w:rsidR="00CA7B0A">
          <w:rPr>
            <w:noProof/>
            <w:webHidden/>
          </w:rPr>
        </w:r>
        <w:r w:rsidR="00CA7B0A">
          <w:rPr>
            <w:noProof/>
            <w:webHidden/>
          </w:rPr>
          <w:fldChar w:fldCharType="separate"/>
        </w:r>
        <w:r w:rsidR="00CA7B0A">
          <w:rPr>
            <w:noProof/>
            <w:webHidden/>
          </w:rPr>
          <w:t>162</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29" w:history="1">
        <w:r w:rsidR="00CA7B0A" w:rsidRPr="00966AF3">
          <w:rPr>
            <w:rStyle w:val="Hyperlink"/>
            <w:rFonts w:cs="Arial"/>
            <w:noProof/>
            <w:lang w:val="hy-AM" w:eastAsia="en-US"/>
          </w:rPr>
          <w:t>ՀՀ արտաքին գործերի նախարարություն</w:t>
        </w:r>
        <w:r w:rsidR="00CA7B0A">
          <w:rPr>
            <w:noProof/>
            <w:webHidden/>
          </w:rPr>
          <w:tab/>
        </w:r>
        <w:r w:rsidR="00CA7B0A">
          <w:rPr>
            <w:noProof/>
            <w:webHidden/>
          </w:rPr>
          <w:fldChar w:fldCharType="begin"/>
        </w:r>
        <w:r w:rsidR="00CA7B0A">
          <w:rPr>
            <w:noProof/>
            <w:webHidden/>
          </w:rPr>
          <w:instrText xml:space="preserve"> PAGEREF _Toc120805229 \h </w:instrText>
        </w:r>
        <w:r w:rsidR="00CA7B0A">
          <w:rPr>
            <w:noProof/>
            <w:webHidden/>
          </w:rPr>
        </w:r>
        <w:r w:rsidR="00CA7B0A">
          <w:rPr>
            <w:noProof/>
            <w:webHidden/>
          </w:rPr>
          <w:fldChar w:fldCharType="separate"/>
        </w:r>
        <w:r w:rsidR="00CA7B0A">
          <w:rPr>
            <w:noProof/>
            <w:webHidden/>
          </w:rPr>
          <w:t>165</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30" w:history="1">
        <w:r w:rsidR="00CA7B0A" w:rsidRPr="00966AF3">
          <w:rPr>
            <w:rStyle w:val="Hyperlink"/>
            <w:rFonts w:cs="Arial"/>
            <w:noProof/>
            <w:lang w:val="hy-AM" w:eastAsia="en-US"/>
          </w:rPr>
          <w:t>ՀՀ պաշտպանության նախարարություն</w:t>
        </w:r>
        <w:r w:rsidR="00CA7B0A">
          <w:rPr>
            <w:noProof/>
            <w:webHidden/>
          </w:rPr>
          <w:tab/>
        </w:r>
        <w:r w:rsidR="00CA7B0A">
          <w:rPr>
            <w:noProof/>
            <w:webHidden/>
          </w:rPr>
          <w:fldChar w:fldCharType="begin"/>
        </w:r>
        <w:r w:rsidR="00CA7B0A">
          <w:rPr>
            <w:noProof/>
            <w:webHidden/>
          </w:rPr>
          <w:instrText xml:space="preserve"> PAGEREF _Toc120805230 \h </w:instrText>
        </w:r>
        <w:r w:rsidR="00CA7B0A">
          <w:rPr>
            <w:noProof/>
            <w:webHidden/>
          </w:rPr>
        </w:r>
        <w:r w:rsidR="00CA7B0A">
          <w:rPr>
            <w:noProof/>
            <w:webHidden/>
          </w:rPr>
          <w:fldChar w:fldCharType="separate"/>
        </w:r>
        <w:r w:rsidR="00CA7B0A">
          <w:rPr>
            <w:noProof/>
            <w:webHidden/>
          </w:rPr>
          <w:t>166</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31" w:history="1">
        <w:r w:rsidR="00CA7B0A" w:rsidRPr="00966AF3">
          <w:rPr>
            <w:rStyle w:val="Hyperlink"/>
            <w:rFonts w:cs="Arial"/>
            <w:noProof/>
            <w:lang w:val="hy-AM" w:eastAsia="en-US"/>
          </w:rPr>
          <w:t>ՀՀ Ոստիկանություն</w:t>
        </w:r>
        <w:r w:rsidR="00CA7B0A">
          <w:rPr>
            <w:noProof/>
            <w:webHidden/>
          </w:rPr>
          <w:tab/>
        </w:r>
        <w:r w:rsidR="00CA7B0A">
          <w:rPr>
            <w:noProof/>
            <w:webHidden/>
          </w:rPr>
          <w:fldChar w:fldCharType="begin"/>
        </w:r>
        <w:r w:rsidR="00CA7B0A">
          <w:rPr>
            <w:noProof/>
            <w:webHidden/>
          </w:rPr>
          <w:instrText xml:space="preserve"> PAGEREF _Toc120805231 \h </w:instrText>
        </w:r>
        <w:r w:rsidR="00CA7B0A">
          <w:rPr>
            <w:noProof/>
            <w:webHidden/>
          </w:rPr>
        </w:r>
        <w:r w:rsidR="00CA7B0A">
          <w:rPr>
            <w:noProof/>
            <w:webHidden/>
          </w:rPr>
          <w:fldChar w:fldCharType="separate"/>
        </w:r>
        <w:r w:rsidR="00CA7B0A">
          <w:rPr>
            <w:noProof/>
            <w:webHidden/>
          </w:rPr>
          <w:t>167</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32" w:history="1">
        <w:r w:rsidR="00CA7B0A" w:rsidRPr="00966AF3">
          <w:rPr>
            <w:rStyle w:val="Hyperlink"/>
            <w:rFonts w:cs="Arial"/>
            <w:noProof/>
            <w:lang w:val="hy-AM" w:eastAsia="en-US"/>
          </w:rPr>
          <w:t>ՀՀ ազգային անվտանգության ծառայություն</w:t>
        </w:r>
        <w:r w:rsidR="00CA7B0A">
          <w:rPr>
            <w:noProof/>
            <w:webHidden/>
          </w:rPr>
          <w:tab/>
        </w:r>
        <w:r w:rsidR="00CA7B0A">
          <w:rPr>
            <w:noProof/>
            <w:webHidden/>
          </w:rPr>
          <w:fldChar w:fldCharType="begin"/>
        </w:r>
        <w:r w:rsidR="00CA7B0A">
          <w:rPr>
            <w:noProof/>
            <w:webHidden/>
          </w:rPr>
          <w:instrText xml:space="preserve"> PAGEREF _Toc120805232 \h </w:instrText>
        </w:r>
        <w:r w:rsidR="00CA7B0A">
          <w:rPr>
            <w:noProof/>
            <w:webHidden/>
          </w:rPr>
        </w:r>
        <w:r w:rsidR="00CA7B0A">
          <w:rPr>
            <w:noProof/>
            <w:webHidden/>
          </w:rPr>
          <w:fldChar w:fldCharType="separate"/>
        </w:r>
        <w:r w:rsidR="00CA7B0A">
          <w:rPr>
            <w:noProof/>
            <w:webHidden/>
          </w:rPr>
          <w:t>168</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33" w:history="1">
        <w:r w:rsidR="00CA7B0A" w:rsidRPr="00966AF3">
          <w:rPr>
            <w:rStyle w:val="Hyperlink"/>
            <w:rFonts w:cs="Arial"/>
            <w:noProof/>
            <w:lang w:val="hy-AM" w:eastAsia="en-US"/>
          </w:rPr>
          <w:t>ՀՀ վարչապետի աշխատակազմ</w:t>
        </w:r>
        <w:r w:rsidR="00CA7B0A">
          <w:rPr>
            <w:noProof/>
            <w:webHidden/>
          </w:rPr>
          <w:tab/>
        </w:r>
        <w:r w:rsidR="00CA7B0A">
          <w:rPr>
            <w:noProof/>
            <w:webHidden/>
          </w:rPr>
          <w:fldChar w:fldCharType="begin"/>
        </w:r>
        <w:r w:rsidR="00CA7B0A">
          <w:rPr>
            <w:noProof/>
            <w:webHidden/>
          </w:rPr>
          <w:instrText xml:space="preserve"> PAGEREF _Toc120805233 \h </w:instrText>
        </w:r>
        <w:r w:rsidR="00CA7B0A">
          <w:rPr>
            <w:noProof/>
            <w:webHidden/>
          </w:rPr>
        </w:r>
        <w:r w:rsidR="00CA7B0A">
          <w:rPr>
            <w:noProof/>
            <w:webHidden/>
          </w:rPr>
          <w:fldChar w:fldCharType="separate"/>
        </w:r>
        <w:r w:rsidR="00CA7B0A">
          <w:rPr>
            <w:noProof/>
            <w:webHidden/>
          </w:rPr>
          <w:t>170</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34" w:history="1">
        <w:r w:rsidR="00CA7B0A" w:rsidRPr="00966AF3">
          <w:rPr>
            <w:rStyle w:val="Hyperlink"/>
            <w:rFonts w:cs="Arial"/>
            <w:noProof/>
            <w:lang w:val="hy-AM" w:eastAsia="en-US"/>
          </w:rPr>
          <w:t>ՀՀ պետական եկամուտների կոմիտե</w:t>
        </w:r>
        <w:r w:rsidR="00CA7B0A">
          <w:rPr>
            <w:noProof/>
            <w:webHidden/>
          </w:rPr>
          <w:tab/>
        </w:r>
        <w:r w:rsidR="00CA7B0A">
          <w:rPr>
            <w:noProof/>
            <w:webHidden/>
          </w:rPr>
          <w:fldChar w:fldCharType="begin"/>
        </w:r>
        <w:r w:rsidR="00CA7B0A">
          <w:rPr>
            <w:noProof/>
            <w:webHidden/>
          </w:rPr>
          <w:instrText xml:space="preserve"> PAGEREF _Toc120805234 \h </w:instrText>
        </w:r>
        <w:r w:rsidR="00CA7B0A">
          <w:rPr>
            <w:noProof/>
            <w:webHidden/>
          </w:rPr>
        </w:r>
        <w:r w:rsidR="00CA7B0A">
          <w:rPr>
            <w:noProof/>
            <w:webHidden/>
          </w:rPr>
          <w:fldChar w:fldCharType="separate"/>
        </w:r>
        <w:r w:rsidR="00CA7B0A">
          <w:rPr>
            <w:noProof/>
            <w:webHidden/>
          </w:rPr>
          <w:t>173</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35" w:history="1">
        <w:r w:rsidR="00CA7B0A" w:rsidRPr="00966AF3">
          <w:rPr>
            <w:rStyle w:val="Hyperlink"/>
            <w:rFonts w:cs="Arial"/>
            <w:noProof/>
            <w:lang w:val="hy-AM" w:eastAsia="en-US"/>
          </w:rPr>
          <w:t>ՀՀ կադաստրի կոմիտե</w:t>
        </w:r>
        <w:r w:rsidR="00CA7B0A">
          <w:rPr>
            <w:noProof/>
            <w:webHidden/>
          </w:rPr>
          <w:tab/>
        </w:r>
        <w:r w:rsidR="00CA7B0A">
          <w:rPr>
            <w:noProof/>
            <w:webHidden/>
          </w:rPr>
          <w:fldChar w:fldCharType="begin"/>
        </w:r>
        <w:r w:rsidR="00CA7B0A">
          <w:rPr>
            <w:noProof/>
            <w:webHidden/>
          </w:rPr>
          <w:instrText xml:space="preserve"> PAGEREF _Toc120805235 \h </w:instrText>
        </w:r>
        <w:r w:rsidR="00CA7B0A">
          <w:rPr>
            <w:noProof/>
            <w:webHidden/>
          </w:rPr>
        </w:r>
        <w:r w:rsidR="00CA7B0A">
          <w:rPr>
            <w:noProof/>
            <w:webHidden/>
          </w:rPr>
          <w:fldChar w:fldCharType="separate"/>
        </w:r>
        <w:r w:rsidR="00CA7B0A">
          <w:rPr>
            <w:noProof/>
            <w:webHidden/>
          </w:rPr>
          <w:t>173</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36" w:history="1">
        <w:r w:rsidR="00CA7B0A" w:rsidRPr="00966AF3">
          <w:rPr>
            <w:rStyle w:val="Hyperlink"/>
            <w:rFonts w:cs="Arial"/>
            <w:noProof/>
            <w:lang w:val="hy-AM" w:eastAsia="en-US"/>
          </w:rPr>
          <w:t>ՀՀ վիճակագրական կոմիտե</w:t>
        </w:r>
        <w:r w:rsidR="00CA7B0A">
          <w:rPr>
            <w:noProof/>
            <w:webHidden/>
          </w:rPr>
          <w:tab/>
        </w:r>
        <w:r w:rsidR="00CA7B0A">
          <w:rPr>
            <w:noProof/>
            <w:webHidden/>
          </w:rPr>
          <w:fldChar w:fldCharType="begin"/>
        </w:r>
        <w:r w:rsidR="00CA7B0A">
          <w:rPr>
            <w:noProof/>
            <w:webHidden/>
          </w:rPr>
          <w:instrText xml:space="preserve"> PAGEREF _Toc120805236 \h </w:instrText>
        </w:r>
        <w:r w:rsidR="00CA7B0A">
          <w:rPr>
            <w:noProof/>
            <w:webHidden/>
          </w:rPr>
        </w:r>
        <w:r w:rsidR="00CA7B0A">
          <w:rPr>
            <w:noProof/>
            <w:webHidden/>
          </w:rPr>
          <w:fldChar w:fldCharType="separate"/>
        </w:r>
        <w:r w:rsidR="00CA7B0A">
          <w:rPr>
            <w:noProof/>
            <w:webHidden/>
          </w:rPr>
          <w:t>174</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37" w:history="1">
        <w:r w:rsidR="00CA7B0A" w:rsidRPr="00966AF3">
          <w:rPr>
            <w:rStyle w:val="Hyperlink"/>
            <w:rFonts w:cs="Arial"/>
            <w:noProof/>
            <w:lang w:val="hy-AM" w:eastAsia="en-US"/>
          </w:rPr>
          <w:t>ՀՀ քաղաքաշինության կոմիտե</w:t>
        </w:r>
        <w:r w:rsidR="00CA7B0A">
          <w:rPr>
            <w:noProof/>
            <w:webHidden/>
          </w:rPr>
          <w:tab/>
        </w:r>
        <w:r w:rsidR="00CA7B0A">
          <w:rPr>
            <w:noProof/>
            <w:webHidden/>
          </w:rPr>
          <w:fldChar w:fldCharType="begin"/>
        </w:r>
        <w:r w:rsidR="00CA7B0A">
          <w:rPr>
            <w:noProof/>
            <w:webHidden/>
          </w:rPr>
          <w:instrText xml:space="preserve"> PAGEREF _Toc120805237 \h </w:instrText>
        </w:r>
        <w:r w:rsidR="00CA7B0A">
          <w:rPr>
            <w:noProof/>
            <w:webHidden/>
          </w:rPr>
        </w:r>
        <w:r w:rsidR="00CA7B0A">
          <w:rPr>
            <w:noProof/>
            <w:webHidden/>
          </w:rPr>
          <w:fldChar w:fldCharType="separate"/>
        </w:r>
        <w:r w:rsidR="00CA7B0A">
          <w:rPr>
            <w:noProof/>
            <w:webHidden/>
          </w:rPr>
          <w:t>174</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38" w:history="1">
        <w:r w:rsidR="00CA7B0A" w:rsidRPr="00966AF3">
          <w:rPr>
            <w:rStyle w:val="Hyperlink"/>
            <w:rFonts w:cs="Arial"/>
            <w:noProof/>
            <w:lang w:val="hy-AM" w:eastAsia="en-US"/>
          </w:rPr>
          <w:t>ՀՀ սահմանադրական դատարան</w:t>
        </w:r>
        <w:r w:rsidR="00CA7B0A">
          <w:rPr>
            <w:noProof/>
            <w:webHidden/>
          </w:rPr>
          <w:tab/>
        </w:r>
        <w:r w:rsidR="00CA7B0A">
          <w:rPr>
            <w:noProof/>
            <w:webHidden/>
          </w:rPr>
          <w:fldChar w:fldCharType="begin"/>
        </w:r>
        <w:r w:rsidR="00CA7B0A">
          <w:rPr>
            <w:noProof/>
            <w:webHidden/>
          </w:rPr>
          <w:instrText xml:space="preserve"> PAGEREF _Toc120805238 \h </w:instrText>
        </w:r>
        <w:r w:rsidR="00CA7B0A">
          <w:rPr>
            <w:noProof/>
            <w:webHidden/>
          </w:rPr>
        </w:r>
        <w:r w:rsidR="00CA7B0A">
          <w:rPr>
            <w:noProof/>
            <w:webHidden/>
          </w:rPr>
          <w:fldChar w:fldCharType="separate"/>
        </w:r>
        <w:r w:rsidR="00CA7B0A">
          <w:rPr>
            <w:noProof/>
            <w:webHidden/>
          </w:rPr>
          <w:t>175</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39" w:history="1">
        <w:r w:rsidR="00CA7B0A" w:rsidRPr="00966AF3">
          <w:rPr>
            <w:rStyle w:val="Hyperlink"/>
            <w:rFonts w:cs="Arial"/>
            <w:noProof/>
            <w:lang w:val="hy-AM" w:eastAsia="en-US"/>
          </w:rPr>
          <w:t>Բարձրագույն դատական խորհուրդ</w:t>
        </w:r>
        <w:r w:rsidR="00CA7B0A">
          <w:rPr>
            <w:noProof/>
            <w:webHidden/>
          </w:rPr>
          <w:tab/>
        </w:r>
        <w:r w:rsidR="00CA7B0A">
          <w:rPr>
            <w:noProof/>
            <w:webHidden/>
          </w:rPr>
          <w:fldChar w:fldCharType="begin"/>
        </w:r>
        <w:r w:rsidR="00CA7B0A">
          <w:rPr>
            <w:noProof/>
            <w:webHidden/>
          </w:rPr>
          <w:instrText xml:space="preserve"> PAGEREF _Toc120805239 \h </w:instrText>
        </w:r>
        <w:r w:rsidR="00CA7B0A">
          <w:rPr>
            <w:noProof/>
            <w:webHidden/>
          </w:rPr>
        </w:r>
        <w:r w:rsidR="00CA7B0A">
          <w:rPr>
            <w:noProof/>
            <w:webHidden/>
          </w:rPr>
          <w:fldChar w:fldCharType="separate"/>
        </w:r>
        <w:r w:rsidR="00CA7B0A">
          <w:rPr>
            <w:noProof/>
            <w:webHidden/>
          </w:rPr>
          <w:t>176</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40" w:history="1">
        <w:r w:rsidR="00CA7B0A" w:rsidRPr="00966AF3">
          <w:rPr>
            <w:rStyle w:val="Hyperlink"/>
            <w:rFonts w:cs="Arial"/>
            <w:noProof/>
            <w:lang w:val="hy-AM" w:eastAsia="en-US"/>
          </w:rPr>
          <w:t>ՀՀ հակակոռուպցիոն կոմիտե</w:t>
        </w:r>
        <w:r w:rsidR="00CA7B0A">
          <w:rPr>
            <w:noProof/>
            <w:webHidden/>
          </w:rPr>
          <w:tab/>
        </w:r>
        <w:r w:rsidR="00CA7B0A">
          <w:rPr>
            <w:noProof/>
            <w:webHidden/>
          </w:rPr>
          <w:fldChar w:fldCharType="begin"/>
        </w:r>
        <w:r w:rsidR="00CA7B0A">
          <w:rPr>
            <w:noProof/>
            <w:webHidden/>
          </w:rPr>
          <w:instrText xml:space="preserve"> PAGEREF _Toc120805240 \h </w:instrText>
        </w:r>
        <w:r w:rsidR="00CA7B0A">
          <w:rPr>
            <w:noProof/>
            <w:webHidden/>
          </w:rPr>
        </w:r>
        <w:r w:rsidR="00CA7B0A">
          <w:rPr>
            <w:noProof/>
            <w:webHidden/>
          </w:rPr>
          <w:fldChar w:fldCharType="separate"/>
        </w:r>
        <w:r w:rsidR="00CA7B0A">
          <w:rPr>
            <w:noProof/>
            <w:webHidden/>
          </w:rPr>
          <w:t>176</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41" w:history="1">
        <w:r w:rsidR="00CA7B0A" w:rsidRPr="00966AF3">
          <w:rPr>
            <w:rStyle w:val="Hyperlink"/>
            <w:rFonts w:cs="Arial"/>
            <w:noProof/>
            <w:lang w:val="hy-AM" w:eastAsia="en-US"/>
          </w:rPr>
          <w:t>ՀՀ դատախազություն</w:t>
        </w:r>
        <w:r w:rsidR="00CA7B0A">
          <w:rPr>
            <w:noProof/>
            <w:webHidden/>
          </w:rPr>
          <w:tab/>
        </w:r>
        <w:r w:rsidR="00CA7B0A">
          <w:rPr>
            <w:noProof/>
            <w:webHidden/>
          </w:rPr>
          <w:fldChar w:fldCharType="begin"/>
        </w:r>
        <w:r w:rsidR="00CA7B0A">
          <w:rPr>
            <w:noProof/>
            <w:webHidden/>
          </w:rPr>
          <w:instrText xml:space="preserve"> PAGEREF _Toc120805241 \h </w:instrText>
        </w:r>
        <w:r w:rsidR="00CA7B0A">
          <w:rPr>
            <w:noProof/>
            <w:webHidden/>
          </w:rPr>
        </w:r>
        <w:r w:rsidR="00CA7B0A">
          <w:rPr>
            <w:noProof/>
            <w:webHidden/>
          </w:rPr>
          <w:fldChar w:fldCharType="separate"/>
        </w:r>
        <w:r w:rsidR="00CA7B0A">
          <w:rPr>
            <w:noProof/>
            <w:webHidden/>
          </w:rPr>
          <w:t>177</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42" w:history="1">
        <w:r w:rsidR="00CA7B0A" w:rsidRPr="00966AF3">
          <w:rPr>
            <w:rStyle w:val="Hyperlink"/>
            <w:rFonts w:cs="Arial"/>
            <w:noProof/>
            <w:lang w:val="hy-AM" w:eastAsia="en-US"/>
          </w:rPr>
          <w:t>ՀՀ քննչական կոմիտե</w:t>
        </w:r>
        <w:r w:rsidR="00CA7B0A">
          <w:rPr>
            <w:noProof/>
            <w:webHidden/>
          </w:rPr>
          <w:tab/>
        </w:r>
        <w:r w:rsidR="00CA7B0A">
          <w:rPr>
            <w:noProof/>
            <w:webHidden/>
          </w:rPr>
          <w:fldChar w:fldCharType="begin"/>
        </w:r>
        <w:r w:rsidR="00CA7B0A">
          <w:rPr>
            <w:noProof/>
            <w:webHidden/>
          </w:rPr>
          <w:instrText xml:space="preserve"> PAGEREF _Toc120805242 \h </w:instrText>
        </w:r>
        <w:r w:rsidR="00CA7B0A">
          <w:rPr>
            <w:noProof/>
            <w:webHidden/>
          </w:rPr>
        </w:r>
        <w:r w:rsidR="00CA7B0A">
          <w:rPr>
            <w:noProof/>
            <w:webHidden/>
          </w:rPr>
          <w:fldChar w:fldCharType="separate"/>
        </w:r>
        <w:r w:rsidR="00CA7B0A">
          <w:rPr>
            <w:noProof/>
            <w:webHidden/>
          </w:rPr>
          <w:t>178</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43" w:history="1">
        <w:r w:rsidR="00CA7B0A" w:rsidRPr="00966AF3">
          <w:rPr>
            <w:rStyle w:val="Hyperlink"/>
            <w:rFonts w:cs="Arial"/>
            <w:noProof/>
            <w:lang w:val="hy-AM" w:eastAsia="en-US"/>
          </w:rPr>
          <w:t>ՀՀ պետական վերահսկողական ծառայություն</w:t>
        </w:r>
        <w:r w:rsidR="00CA7B0A">
          <w:rPr>
            <w:noProof/>
            <w:webHidden/>
          </w:rPr>
          <w:tab/>
        </w:r>
        <w:r w:rsidR="00CA7B0A">
          <w:rPr>
            <w:noProof/>
            <w:webHidden/>
          </w:rPr>
          <w:fldChar w:fldCharType="begin"/>
        </w:r>
        <w:r w:rsidR="00CA7B0A">
          <w:rPr>
            <w:noProof/>
            <w:webHidden/>
          </w:rPr>
          <w:instrText xml:space="preserve"> PAGEREF _Toc120805243 \h </w:instrText>
        </w:r>
        <w:r w:rsidR="00CA7B0A">
          <w:rPr>
            <w:noProof/>
            <w:webHidden/>
          </w:rPr>
        </w:r>
        <w:r w:rsidR="00CA7B0A">
          <w:rPr>
            <w:noProof/>
            <w:webHidden/>
          </w:rPr>
          <w:fldChar w:fldCharType="separate"/>
        </w:r>
        <w:r w:rsidR="00CA7B0A">
          <w:rPr>
            <w:noProof/>
            <w:webHidden/>
          </w:rPr>
          <w:t>179</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44" w:history="1">
        <w:r w:rsidR="00CA7B0A" w:rsidRPr="00966AF3">
          <w:rPr>
            <w:rStyle w:val="Hyperlink"/>
            <w:rFonts w:cs="Arial"/>
            <w:noProof/>
            <w:lang w:val="hy-AM" w:eastAsia="en-US"/>
          </w:rPr>
          <w:t>Հեռուստատեսության և ռադիոյի հանձնաժողով</w:t>
        </w:r>
        <w:r w:rsidR="00CA7B0A">
          <w:rPr>
            <w:noProof/>
            <w:webHidden/>
          </w:rPr>
          <w:tab/>
        </w:r>
        <w:r w:rsidR="00CA7B0A">
          <w:rPr>
            <w:noProof/>
            <w:webHidden/>
          </w:rPr>
          <w:fldChar w:fldCharType="begin"/>
        </w:r>
        <w:r w:rsidR="00CA7B0A">
          <w:rPr>
            <w:noProof/>
            <w:webHidden/>
          </w:rPr>
          <w:instrText xml:space="preserve"> PAGEREF _Toc120805244 \h </w:instrText>
        </w:r>
        <w:r w:rsidR="00CA7B0A">
          <w:rPr>
            <w:noProof/>
            <w:webHidden/>
          </w:rPr>
        </w:r>
        <w:r w:rsidR="00CA7B0A">
          <w:rPr>
            <w:noProof/>
            <w:webHidden/>
          </w:rPr>
          <w:fldChar w:fldCharType="separate"/>
        </w:r>
        <w:r w:rsidR="00CA7B0A">
          <w:rPr>
            <w:noProof/>
            <w:webHidden/>
          </w:rPr>
          <w:t>180</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45" w:history="1">
        <w:r w:rsidR="00CA7B0A" w:rsidRPr="00966AF3">
          <w:rPr>
            <w:rStyle w:val="Hyperlink"/>
            <w:rFonts w:cs="Arial"/>
            <w:noProof/>
            <w:lang w:val="hy-AM" w:eastAsia="en-US"/>
          </w:rPr>
          <w:t>Հանրային հեռարձակողի խորհուրդ</w:t>
        </w:r>
        <w:r w:rsidR="00CA7B0A">
          <w:rPr>
            <w:noProof/>
            <w:webHidden/>
          </w:rPr>
          <w:tab/>
        </w:r>
        <w:r w:rsidR="00CA7B0A">
          <w:rPr>
            <w:noProof/>
            <w:webHidden/>
          </w:rPr>
          <w:fldChar w:fldCharType="begin"/>
        </w:r>
        <w:r w:rsidR="00CA7B0A">
          <w:rPr>
            <w:noProof/>
            <w:webHidden/>
          </w:rPr>
          <w:instrText xml:space="preserve"> PAGEREF _Toc120805245 \h </w:instrText>
        </w:r>
        <w:r w:rsidR="00CA7B0A">
          <w:rPr>
            <w:noProof/>
            <w:webHidden/>
          </w:rPr>
        </w:r>
        <w:r w:rsidR="00CA7B0A">
          <w:rPr>
            <w:noProof/>
            <w:webHidden/>
          </w:rPr>
          <w:fldChar w:fldCharType="separate"/>
        </w:r>
        <w:r w:rsidR="00CA7B0A">
          <w:rPr>
            <w:noProof/>
            <w:webHidden/>
          </w:rPr>
          <w:t>180</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46" w:history="1">
        <w:r w:rsidR="00CA7B0A" w:rsidRPr="00966AF3">
          <w:rPr>
            <w:rStyle w:val="Hyperlink"/>
            <w:rFonts w:cs="Arial"/>
            <w:noProof/>
            <w:lang w:val="hy-AM" w:eastAsia="en-US"/>
          </w:rPr>
          <w:t>ՀՀ մրցակցության պաշտպանության հանձնաժողով</w:t>
        </w:r>
        <w:r w:rsidR="00CA7B0A">
          <w:rPr>
            <w:noProof/>
            <w:webHidden/>
          </w:rPr>
          <w:tab/>
        </w:r>
        <w:r w:rsidR="00CA7B0A">
          <w:rPr>
            <w:noProof/>
            <w:webHidden/>
          </w:rPr>
          <w:fldChar w:fldCharType="begin"/>
        </w:r>
        <w:r w:rsidR="00CA7B0A">
          <w:rPr>
            <w:noProof/>
            <w:webHidden/>
          </w:rPr>
          <w:instrText xml:space="preserve"> PAGEREF _Toc120805246 \h </w:instrText>
        </w:r>
        <w:r w:rsidR="00CA7B0A">
          <w:rPr>
            <w:noProof/>
            <w:webHidden/>
          </w:rPr>
        </w:r>
        <w:r w:rsidR="00CA7B0A">
          <w:rPr>
            <w:noProof/>
            <w:webHidden/>
          </w:rPr>
          <w:fldChar w:fldCharType="separate"/>
        </w:r>
        <w:r w:rsidR="00CA7B0A">
          <w:rPr>
            <w:noProof/>
            <w:webHidden/>
          </w:rPr>
          <w:t>180</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47" w:history="1">
        <w:r w:rsidR="00CA7B0A" w:rsidRPr="00966AF3">
          <w:rPr>
            <w:rStyle w:val="Hyperlink"/>
            <w:rFonts w:cs="Arial"/>
            <w:noProof/>
            <w:lang w:val="hy-AM" w:eastAsia="en-US"/>
          </w:rPr>
          <w:t>ՀՀ կոռուպցիայի կանխարգելման հանձնաժողով</w:t>
        </w:r>
        <w:r w:rsidR="00CA7B0A">
          <w:rPr>
            <w:noProof/>
            <w:webHidden/>
          </w:rPr>
          <w:tab/>
        </w:r>
        <w:r w:rsidR="00CA7B0A">
          <w:rPr>
            <w:noProof/>
            <w:webHidden/>
          </w:rPr>
          <w:fldChar w:fldCharType="begin"/>
        </w:r>
        <w:r w:rsidR="00CA7B0A">
          <w:rPr>
            <w:noProof/>
            <w:webHidden/>
          </w:rPr>
          <w:instrText xml:space="preserve"> PAGEREF _Toc120805247 \h </w:instrText>
        </w:r>
        <w:r w:rsidR="00CA7B0A">
          <w:rPr>
            <w:noProof/>
            <w:webHidden/>
          </w:rPr>
        </w:r>
        <w:r w:rsidR="00CA7B0A">
          <w:rPr>
            <w:noProof/>
            <w:webHidden/>
          </w:rPr>
          <w:fldChar w:fldCharType="separate"/>
        </w:r>
        <w:r w:rsidR="00CA7B0A">
          <w:rPr>
            <w:noProof/>
            <w:webHidden/>
          </w:rPr>
          <w:t>181</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48" w:history="1">
        <w:r w:rsidR="00CA7B0A" w:rsidRPr="00966AF3">
          <w:rPr>
            <w:rStyle w:val="Hyperlink"/>
            <w:rFonts w:cs="Arial"/>
            <w:noProof/>
            <w:lang w:val="hy-AM" w:eastAsia="en-US"/>
          </w:rPr>
          <w:t>ՀՀ մարդու իրավունքների պաշտպանի աշխատակազմ</w:t>
        </w:r>
        <w:r w:rsidR="00CA7B0A">
          <w:rPr>
            <w:noProof/>
            <w:webHidden/>
          </w:rPr>
          <w:tab/>
        </w:r>
        <w:r w:rsidR="00CA7B0A">
          <w:rPr>
            <w:noProof/>
            <w:webHidden/>
          </w:rPr>
          <w:fldChar w:fldCharType="begin"/>
        </w:r>
        <w:r w:rsidR="00CA7B0A">
          <w:rPr>
            <w:noProof/>
            <w:webHidden/>
          </w:rPr>
          <w:instrText xml:space="preserve"> PAGEREF _Toc120805248 \h </w:instrText>
        </w:r>
        <w:r w:rsidR="00CA7B0A">
          <w:rPr>
            <w:noProof/>
            <w:webHidden/>
          </w:rPr>
        </w:r>
        <w:r w:rsidR="00CA7B0A">
          <w:rPr>
            <w:noProof/>
            <w:webHidden/>
          </w:rPr>
          <w:fldChar w:fldCharType="separate"/>
        </w:r>
        <w:r w:rsidR="00CA7B0A">
          <w:rPr>
            <w:noProof/>
            <w:webHidden/>
          </w:rPr>
          <w:t>182</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49" w:history="1">
        <w:r w:rsidR="00CA7B0A" w:rsidRPr="00966AF3">
          <w:rPr>
            <w:rStyle w:val="Hyperlink"/>
            <w:rFonts w:cs="Arial"/>
            <w:noProof/>
            <w:lang w:val="hy-AM" w:eastAsia="en-US"/>
          </w:rPr>
          <w:t>ՀՀ հաշվեքննիչ պալատ</w:t>
        </w:r>
        <w:r w:rsidR="00CA7B0A">
          <w:rPr>
            <w:noProof/>
            <w:webHidden/>
          </w:rPr>
          <w:tab/>
        </w:r>
        <w:r w:rsidR="00CA7B0A">
          <w:rPr>
            <w:noProof/>
            <w:webHidden/>
          </w:rPr>
          <w:fldChar w:fldCharType="begin"/>
        </w:r>
        <w:r w:rsidR="00CA7B0A">
          <w:rPr>
            <w:noProof/>
            <w:webHidden/>
          </w:rPr>
          <w:instrText xml:space="preserve"> PAGEREF _Toc120805249 \h </w:instrText>
        </w:r>
        <w:r w:rsidR="00CA7B0A">
          <w:rPr>
            <w:noProof/>
            <w:webHidden/>
          </w:rPr>
        </w:r>
        <w:r w:rsidR="00CA7B0A">
          <w:rPr>
            <w:noProof/>
            <w:webHidden/>
          </w:rPr>
          <w:fldChar w:fldCharType="separate"/>
        </w:r>
        <w:r w:rsidR="00CA7B0A">
          <w:rPr>
            <w:noProof/>
            <w:webHidden/>
          </w:rPr>
          <w:t>184</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50" w:history="1">
        <w:r w:rsidR="00CA7B0A" w:rsidRPr="00966AF3">
          <w:rPr>
            <w:rStyle w:val="Hyperlink"/>
            <w:rFonts w:cs="Arial"/>
            <w:noProof/>
            <w:lang w:val="hy-AM" w:eastAsia="en-US"/>
          </w:rPr>
          <w:t>ՀՀ կենտրոնական ընտրական հանձնաժողով</w:t>
        </w:r>
        <w:r w:rsidR="00CA7B0A">
          <w:rPr>
            <w:noProof/>
            <w:webHidden/>
          </w:rPr>
          <w:tab/>
        </w:r>
        <w:r w:rsidR="00CA7B0A">
          <w:rPr>
            <w:noProof/>
            <w:webHidden/>
          </w:rPr>
          <w:fldChar w:fldCharType="begin"/>
        </w:r>
        <w:r w:rsidR="00CA7B0A">
          <w:rPr>
            <w:noProof/>
            <w:webHidden/>
          </w:rPr>
          <w:instrText xml:space="preserve"> PAGEREF _Toc120805250 \h </w:instrText>
        </w:r>
        <w:r w:rsidR="00CA7B0A">
          <w:rPr>
            <w:noProof/>
            <w:webHidden/>
          </w:rPr>
        </w:r>
        <w:r w:rsidR="00CA7B0A">
          <w:rPr>
            <w:noProof/>
            <w:webHidden/>
          </w:rPr>
          <w:fldChar w:fldCharType="separate"/>
        </w:r>
        <w:r w:rsidR="00CA7B0A">
          <w:rPr>
            <w:noProof/>
            <w:webHidden/>
          </w:rPr>
          <w:t>185</w:t>
        </w:r>
        <w:r w:rsidR="00CA7B0A">
          <w:rPr>
            <w:noProof/>
            <w:webHidden/>
          </w:rPr>
          <w:fldChar w:fldCharType="end"/>
        </w:r>
      </w:hyperlink>
    </w:p>
    <w:p w:rsidR="00CA7B0A" w:rsidRDefault="00C43BF7">
      <w:pPr>
        <w:pStyle w:val="TOC1"/>
        <w:rPr>
          <w:rFonts w:asciiTheme="minorHAnsi" w:eastAsiaTheme="minorEastAsia" w:hAnsiTheme="minorHAnsi" w:cstheme="minorBidi"/>
          <w:b w:val="0"/>
          <w:noProof/>
          <w:szCs w:val="22"/>
          <w:lang w:val="en-US" w:eastAsia="en-US"/>
        </w:rPr>
      </w:pPr>
      <w:hyperlink w:anchor="_Toc120805251" w:history="1">
        <w:r w:rsidR="00CA7B0A" w:rsidRPr="00966AF3">
          <w:rPr>
            <w:rStyle w:val="Hyperlink"/>
            <w:noProof/>
            <w:lang w:val="hy-AM"/>
          </w:rPr>
          <w:t>ՎԵՐԼՈՒԾՈՒԹՅՈՒՆՆԵՐ</w:t>
        </w:r>
        <w:r w:rsidR="00CA7B0A">
          <w:rPr>
            <w:noProof/>
            <w:webHidden/>
          </w:rPr>
          <w:tab/>
        </w:r>
        <w:r w:rsidR="00CA7B0A">
          <w:rPr>
            <w:noProof/>
            <w:webHidden/>
          </w:rPr>
          <w:fldChar w:fldCharType="begin"/>
        </w:r>
        <w:r w:rsidR="00CA7B0A">
          <w:rPr>
            <w:noProof/>
            <w:webHidden/>
          </w:rPr>
          <w:instrText xml:space="preserve"> PAGEREF _Toc120805251 \h </w:instrText>
        </w:r>
        <w:r w:rsidR="00CA7B0A">
          <w:rPr>
            <w:noProof/>
            <w:webHidden/>
          </w:rPr>
        </w:r>
        <w:r w:rsidR="00CA7B0A">
          <w:rPr>
            <w:noProof/>
            <w:webHidden/>
          </w:rPr>
          <w:fldChar w:fldCharType="separate"/>
        </w:r>
        <w:r w:rsidR="00CA7B0A">
          <w:rPr>
            <w:noProof/>
            <w:webHidden/>
          </w:rPr>
          <w:t>186</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52" w:history="1">
        <w:r w:rsidR="00CA7B0A" w:rsidRPr="00966AF3">
          <w:rPr>
            <w:rStyle w:val="Hyperlink"/>
            <w:noProof/>
          </w:rPr>
          <w:t>1. ՀԱՅԱՍՏԱՆԻ ՀԱՆՐԱՊԵՏՈՒԹՅԱՆ ՊԵՏԱԿԱՆ ՊԱՐՏՔԸ</w:t>
        </w:r>
        <w:r w:rsidR="00CA7B0A">
          <w:rPr>
            <w:noProof/>
            <w:webHidden/>
          </w:rPr>
          <w:tab/>
        </w:r>
        <w:r w:rsidR="00CA7B0A">
          <w:rPr>
            <w:noProof/>
            <w:webHidden/>
          </w:rPr>
          <w:fldChar w:fldCharType="begin"/>
        </w:r>
        <w:r w:rsidR="00CA7B0A">
          <w:rPr>
            <w:noProof/>
            <w:webHidden/>
          </w:rPr>
          <w:instrText xml:space="preserve"> PAGEREF _Toc120805252 \h </w:instrText>
        </w:r>
        <w:r w:rsidR="00CA7B0A">
          <w:rPr>
            <w:noProof/>
            <w:webHidden/>
          </w:rPr>
        </w:r>
        <w:r w:rsidR="00CA7B0A">
          <w:rPr>
            <w:noProof/>
            <w:webHidden/>
          </w:rPr>
          <w:fldChar w:fldCharType="separate"/>
        </w:r>
        <w:r w:rsidR="00CA7B0A">
          <w:rPr>
            <w:noProof/>
            <w:webHidden/>
          </w:rPr>
          <w:t>186</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53" w:history="1">
        <w:r w:rsidR="00CA7B0A" w:rsidRPr="00966AF3">
          <w:rPr>
            <w:rStyle w:val="Hyperlink"/>
            <w:rFonts w:eastAsia="Calibri" w:cs="GHEA Grapalat"/>
            <w:bCs/>
            <w:noProof/>
            <w:lang w:val="hy-AM" w:eastAsia="en-US"/>
          </w:rPr>
          <w:t>ՀԱՅԱՍՏԱՆԻ ՀԱՆՐԱՊԵՏՈՒԹՅԱՆ ԿԱՌԱՎԱՐՈՒԹՅԱՆ ՊԱՐՏՔԸ</w:t>
        </w:r>
        <w:r w:rsidR="00CA7B0A">
          <w:rPr>
            <w:noProof/>
            <w:webHidden/>
          </w:rPr>
          <w:tab/>
        </w:r>
        <w:r w:rsidR="00CA7B0A">
          <w:rPr>
            <w:noProof/>
            <w:webHidden/>
          </w:rPr>
          <w:fldChar w:fldCharType="begin"/>
        </w:r>
        <w:r w:rsidR="00CA7B0A">
          <w:rPr>
            <w:noProof/>
            <w:webHidden/>
          </w:rPr>
          <w:instrText xml:space="preserve"> PAGEREF _Toc120805253 \h </w:instrText>
        </w:r>
        <w:r w:rsidR="00CA7B0A">
          <w:rPr>
            <w:noProof/>
            <w:webHidden/>
          </w:rPr>
        </w:r>
        <w:r w:rsidR="00CA7B0A">
          <w:rPr>
            <w:noProof/>
            <w:webHidden/>
          </w:rPr>
          <w:fldChar w:fldCharType="separate"/>
        </w:r>
        <w:r w:rsidR="00CA7B0A">
          <w:rPr>
            <w:noProof/>
            <w:webHidden/>
          </w:rPr>
          <w:t>186</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54" w:history="1">
        <w:r w:rsidR="00CA7B0A" w:rsidRPr="00966AF3">
          <w:rPr>
            <w:rStyle w:val="Hyperlink"/>
            <w:noProof/>
            <w:lang w:val="hy-AM" w:eastAsia="en-US"/>
          </w:rPr>
          <w:t>2. ՊԵՏԱԿԱՆ ԲՅՈՒՋԵԻ ՎՐԱ ՄԱԿՐՈՏՆՏԵՍԱԿԱՆ ԿԱՆԽԱՏԵՍՎԱԾ ՑՈՒՑԱՆԻՇՆԵՐԻՑ ՇԵՂՄԱՆ ՌԻՍԿԵՐԻ ԱԶԴԵՑՈՒԹՅԱՆ ՔԱՆԱԿԱԿԱՆ ԳՆԱՀԱՏՈՒՄ</w:t>
        </w:r>
        <w:r w:rsidR="00CA7B0A">
          <w:rPr>
            <w:noProof/>
            <w:webHidden/>
          </w:rPr>
          <w:tab/>
        </w:r>
        <w:r w:rsidR="00CA7B0A">
          <w:rPr>
            <w:noProof/>
            <w:webHidden/>
          </w:rPr>
          <w:fldChar w:fldCharType="begin"/>
        </w:r>
        <w:r w:rsidR="00CA7B0A">
          <w:rPr>
            <w:noProof/>
            <w:webHidden/>
          </w:rPr>
          <w:instrText xml:space="preserve"> PAGEREF _Toc120805254 \h </w:instrText>
        </w:r>
        <w:r w:rsidR="00CA7B0A">
          <w:rPr>
            <w:noProof/>
            <w:webHidden/>
          </w:rPr>
        </w:r>
        <w:r w:rsidR="00CA7B0A">
          <w:rPr>
            <w:noProof/>
            <w:webHidden/>
          </w:rPr>
          <w:fldChar w:fldCharType="separate"/>
        </w:r>
        <w:r w:rsidR="00CA7B0A">
          <w:rPr>
            <w:noProof/>
            <w:webHidden/>
          </w:rPr>
          <w:t>194</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55" w:history="1">
        <w:r w:rsidR="00CA7B0A" w:rsidRPr="00966AF3">
          <w:rPr>
            <w:rStyle w:val="Hyperlink"/>
            <w:noProof/>
            <w:lang w:val="hy-AM" w:eastAsia="en-US"/>
          </w:rPr>
          <w:t>3. ԱՅԼ ԿԱՌՈՒՅՑՆԵՐԻ ԿՈՂՄԻՑ ՀՀ ՏՆՏԵՍԱԿԱՆ ԱՃԻ ԿԱՆԽԱՏԵՍՈՒՄՆԵՐԻ ՀԵՏ ՀԱՄԵՄԱՏԱԿԱՆ</w:t>
        </w:r>
        <w:r w:rsidR="00CA7B0A">
          <w:rPr>
            <w:noProof/>
            <w:webHidden/>
          </w:rPr>
          <w:tab/>
        </w:r>
        <w:r w:rsidR="00CA7B0A">
          <w:rPr>
            <w:noProof/>
            <w:webHidden/>
          </w:rPr>
          <w:fldChar w:fldCharType="begin"/>
        </w:r>
        <w:r w:rsidR="00CA7B0A">
          <w:rPr>
            <w:noProof/>
            <w:webHidden/>
          </w:rPr>
          <w:instrText xml:space="preserve"> PAGEREF _Toc120805255 \h </w:instrText>
        </w:r>
        <w:r w:rsidR="00CA7B0A">
          <w:rPr>
            <w:noProof/>
            <w:webHidden/>
          </w:rPr>
        </w:r>
        <w:r w:rsidR="00CA7B0A">
          <w:rPr>
            <w:noProof/>
            <w:webHidden/>
          </w:rPr>
          <w:fldChar w:fldCharType="separate"/>
        </w:r>
        <w:r w:rsidR="00CA7B0A">
          <w:rPr>
            <w:noProof/>
            <w:webHidden/>
          </w:rPr>
          <w:t>201</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56" w:history="1">
        <w:r w:rsidR="00CA7B0A" w:rsidRPr="00966AF3">
          <w:rPr>
            <w:rStyle w:val="Hyperlink"/>
            <w:noProof/>
            <w:lang w:val="hy-AM" w:eastAsia="en-US"/>
          </w:rPr>
          <w:t>4. ԵՆԹԱԿԱՌՈՒՑՎԱԾՔԱՅԻՆ ԵՎ ԱՅԼ ՈԼՈՐՏՆԵՐՈՒՄ ԳՈՐԾՈՂ ԿԱԶՄԱԿԵՐՊՈՒԹՅՈՒՆՆԵՐԻ ԳՈՐԾՈՒՆԵՈՒԹՅԱՆՆ ԱՌՆՉՎՈՂ ՀԱՐԿԱԲՅՈՒՋԵՏԱՅԻՆ ՌԻՍԿԵՐԻ ԳՆԱՀԱՏԱԿԱՆԸ</w:t>
        </w:r>
        <w:r w:rsidR="00CA7B0A">
          <w:rPr>
            <w:noProof/>
            <w:webHidden/>
          </w:rPr>
          <w:tab/>
        </w:r>
        <w:r w:rsidR="00CA7B0A">
          <w:rPr>
            <w:noProof/>
            <w:webHidden/>
          </w:rPr>
          <w:fldChar w:fldCharType="begin"/>
        </w:r>
        <w:r w:rsidR="00CA7B0A">
          <w:rPr>
            <w:noProof/>
            <w:webHidden/>
          </w:rPr>
          <w:instrText xml:space="preserve"> PAGEREF _Toc120805256 \h </w:instrText>
        </w:r>
        <w:r w:rsidR="00CA7B0A">
          <w:rPr>
            <w:noProof/>
            <w:webHidden/>
          </w:rPr>
        </w:r>
        <w:r w:rsidR="00CA7B0A">
          <w:rPr>
            <w:noProof/>
            <w:webHidden/>
          </w:rPr>
          <w:fldChar w:fldCharType="separate"/>
        </w:r>
        <w:r w:rsidR="00CA7B0A">
          <w:rPr>
            <w:noProof/>
            <w:webHidden/>
          </w:rPr>
          <w:t>202</w:t>
        </w:r>
        <w:r w:rsidR="00CA7B0A">
          <w:rPr>
            <w:noProof/>
            <w:webHidden/>
          </w:rPr>
          <w:fldChar w:fldCharType="end"/>
        </w:r>
      </w:hyperlink>
    </w:p>
    <w:p w:rsidR="00CA7B0A" w:rsidRDefault="00C43BF7">
      <w:pPr>
        <w:pStyle w:val="TOC3"/>
        <w:rPr>
          <w:rFonts w:asciiTheme="minorHAnsi" w:eastAsiaTheme="minorEastAsia" w:hAnsiTheme="minorHAnsi" w:cstheme="minorBidi"/>
          <w:b w:val="0"/>
          <w:noProof/>
          <w:szCs w:val="22"/>
          <w:lang w:val="en-US" w:eastAsia="en-US"/>
        </w:rPr>
      </w:pPr>
      <w:hyperlink w:anchor="_Toc120805257" w:history="1">
        <w:r w:rsidR="00CA7B0A" w:rsidRPr="00966AF3">
          <w:rPr>
            <w:rStyle w:val="Hyperlink"/>
            <w:noProof/>
            <w:lang w:val="hy-AM" w:eastAsia="en-US"/>
          </w:rPr>
          <w:t>5.  2023 ԹՎԱԿԱՆԻ ՀԱՐԿԱՅԻՆ ԾԱԽՍԵՐԻ ԳՆԱՀԱՏԱԿԱՆԻ ՎԵՐԼՈՒԾՈՒԹՅՈՒՆ</w:t>
        </w:r>
        <w:r w:rsidR="00CA7B0A">
          <w:rPr>
            <w:noProof/>
            <w:webHidden/>
          </w:rPr>
          <w:tab/>
        </w:r>
        <w:r w:rsidR="00CA7B0A">
          <w:rPr>
            <w:noProof/>
            <w:webHidden/>
          </w:rPr>
          <w:fldChar w:fldCharType="begin"/>
        </w:r>
        <w:r w:rsidR="00CA7B0A">
          <w:rPr>
            <w:noProof/>
            <w:webHidden/>
          </w:rPr>
          <w:instrText xml:space="preserve"> PAGEREF _Toc120805257 \h </w:instrText>
        </w:r>
        <w:r w:rsidR="00CA7B0A">
          <w:rPr>
            <w:noProof/>
            <w:webHidden/>
          </w:rPr>
        </w:r>
        <w:r w:rsidR="00CA7B0A">
          <w:rPr>
            <w:noProof/>
            <w:webHidden/>
          </w:rPr>
          <w:fldChar w:fldCharType="separate"/>
        </w:r>
        <w:r w:rsidR="00CA7B0A">
          <w:rPr>
            <w:noProof/>
            <w:webHidden/>
          </w:rPr>
          <w:t>224</w:t>
        </w:r>
        <w:r w:rsidR="00CA7B0A">
          <w:rPr>
            <w:noProof/>
            <w:webHidden/>
          </w:rPr>
          <w:fldChar w:fldCharType="end"/>
        </w:r>
      </w:hyperlink>
    </w:p>
    <w:p w:rsidR="00CA7B0A" w:rsidRDefault="00C43BF7">
      <w:pPr>
        <w:pStyle w:val="TOC1"/>
        <w:rPr>
          <w:rFonts w:asciiTheme="minorHAnsi" w:eastAsiaTheme="minorEastAsia" w:hAnsiTheme="minorHAnsi" w:cstheme="minorBidi"/>
          <w:b w:val="0"/>
          <w:noProof/>
          <w:szCs w:val="22"/>
          <w:lang w:val="en-US" w:eastAsia="en-US"/>
        </w:rPr>
      </w:pPr>
      <w:hyperlink w:anchor="_Toc120805258" w:history="1">
        <w:r w:rsidR="00CA7B0A" w:rsidRPr="00966AF3">
          <w:rPr>
            <w:rStyle w:val="Hyperlink"/>
            <w:bCs/>
            <w:noProof/>
            <w:kern w:val="28"/>
          </w:rPr>
          <w:t>ԱՂՅՈՒՍԱԿՆԵՐ</w:t>
        </w:r>
        <w:r w:rsidR="00CA7B0A">
          <w:rPr>
            <w:noProof/>
            <w:webHidden/>
          </w:rPr>
          <w:tab/>
        </w:r>
        <w:r w:rsidR="00CA7B0A">
          <w:rPr>
            <w:noProof/>
            <w:webHidden/>
          </w:rPr>
          <w:fldChar w:fldCharType="begin"/>
        </w:r>
        <w:r w:rsidR="00CA7B0A">
          <w:rPr>
            <w:noProof/>
            <w:webHidden/>
          </w:rPr>
          <w:instrText xml:space="preserve"> PAGEREF _Toc120805258 \h </w:instrText>
        </w:r>
        <w:r w:rsidR="00CA7B0A">
          <w:rPr>
            <w:noProof/>
            <w:webHidden/>
          </w:rPr>
        </w:r>
        <w:r w:rsidR="00CA7B0A">
          <w:rPr>
            <w:noProof/>
            <w:webHidden/>
          </w:rPr>
          <w:fldChar w:fldCharType="separate"/>
        </w:r>
        <w:r w:rsidR="00CA7B0A">
          <w:rPr>
            <w:noProof/>
            <w:webHidden/>
          </w:rPr>
          <w:t>238</w:t>
        </w:r>
        <w:r w:rsidR="00CA7B0A">
          <w:rPr>
            <w:noProof/>
            <w:webHidden/>
          </w:rPr>
          <w:fldChar w:fldCharType="end"/>
        </w:r>
      </w:hyperlink>
    </w:p>
    <w:p w:rsidR="00CA7B0A" w:rsidRDefault="00C43BF7">
      <w:pPr>
        <w:pStyle w:val="TOC1"/>
        <w:rPr>
          <w:rFonts w:asciiTheme="minorHAnsi" w:eastAsiaTheme="minorEastAsia" w:hAnsiTheme="minorHAnsi" w:cstheme="minorBidi"/>
          <w:b w:val="0"/>
          <w:noProof/>
          <w:szCs w:val="22"/>
          <w:lang w:val="en-US" w:eastAsia="en-US"/>
        </w:rPr>
      </w:pPr>
      <w:hyperlink w:anchor="_Toc120805259" w:history="1">
        <w:r w:rsidR="00CA7B0A" w:rsidRPr="00966AF3">
          <w:rPr>
            <w:rStyle w:val="Hyperlink"/>
            <w:bCs/>
            <w:noProof/>
            <w:kern w:val="28"/>
          </w:rPr>
          <w:t>ԳԾԱՊԱՏԿԵՐՆԵՐ</w:t>
        </w:r>
        <w:r w:rsidR="00CA7B0A">
          <w:rPr>
            <w:noProof/>
            <w:webHidden/>
          </w:rPr>
          <w:tab/>
        </w:r>
        <w:r w:rsidR="00CA7B0A">
          <w:rPr>
            <w:noProof/>
            <w:webHidden/>
          </w:rPr>
          <w:fldChar w:fldCharType="begin"/>
        </w:r>
        <w:r w:rsidR="00CA7B0A">
          <w:rPr>
            <w:noProof/>
            <w:webHidden/>
          </w:rPr>
          <w:instrText xml:space="preserve"> PAGEREF _Toc120805259 \h </w:instrText>
        </w:r>
        <w:r w:rsidR="00CA7B0A">
          <w:rPr>
            <w:noProof/>
            <w:webHidden/>
          </w:rPr>
        </w:r>
        <w:r w:rsidR="00CA7B0A">
          <w:rPr>
            <w:noProof/>
            <w:webHidden/>
          </w:rPr>
          <w:fldChar w:fldCharType="separate"/>
        </w:r>
        <w:r w:rsidR="00CA7B0A">
          <w:rPr>
            <w:noProof/>
            <w:webHidden/>
          </w:rPr>
          <w:t>240</w:t>
        </w:r>
        <w:r w:rsidR="00CA7B0A">
          <w:rPr>
            <w:noProof/>
            <w:webHidden/>
          </w:rPr>
          <w:fldChar w:fldCharType="end"/>
        </w:r>
      </w:hyperlink>
    </w:p>
    <w:p w:rsidR="00EA08C6" w:rsidRPr="007955BB" w:rsidRDefault="003C3925" w:rsidP="007730AA">
      <w:pPr>
        <w:pStyle w:val="TOC1"/>
        <w:spacing w:before="0" w:after="0" w:line="276" w:lineRule="auto"/>
        <w:rPr>
          <w:rFonts w:asciiTheme="minorHAnsi" w:eastAsiaTheme="minorEastAsia" w:hAnsiTheme="minorHAnsi" w:cstheme="minorBidi"/>
          <w:b w:val="0"/>
          <w:noProof/>
          <w:szCs w:val="22"/>
          <w:lang w:val="en-US" w:eastAsia="en-US"/>
        </w:rPr>
      </w:pPr>
      <w:r w:rsidRPr="007955BB">
        <w:rPr>
          <w:rFonts w:cs="Sylfaen"/>
          <w:szCs w:val="22"/>
        </w:rPr>
        <w:fldChar w:fldCharType="end"/>
      </w:r>
      <w:r w:rsidR="001B485B" w:rsidRPr="007955BB">
        <w:rPr>
          <w:rFonts w:asciiTheme="minorHAnsi" w:eastAsiaTheme="minorEastAsia" w:hAnsiTheme="minorHAnsi" w:cstheme="minorBidi"/>
          <w:b w:val="0"/>
          <w:noProof/>
          <w:szCs w:val="22"/>
          <w:lang w:val="en-US" w:eastAsia="en-US"/>
        </w:rPr>
        <w:t xml:space="preserve"> </w:t>
      </w:r>
    </w:p>
    <w:p w:rsidR="00AB23B9" w:rsidRPr="007955BB" w:rsidRDefault="00CE662E" w:rsidP="007730AA">
      <w:pPr>
        <w:spacing w:before="0" w:line="276" w:lineRule="auto"/>
        <w:ind w:firstLine="0"/>
        <w:contextualSpacing w:val="0"/>
        <w:jc w:val="left"/>
        <w:rPr>
          <w:rFonts w:cs="Sylfaen"/>
          <w:b w:val="0"/>
          <w:bCs/>
          <w:kern w:val="28"/>
          <w:szCs w:val="22"/>
          <w:lang w:val="en-US"/>
        </w:rPr>
      </w:pPr>
      <w:r w:rsidRPr="007955BB">
        <w:rPr>
          <w:rFonts w:cs="Sylfaen"/>
          <w:b w:val="0"/>
          <w:bCs/>
          <w:kern w:val="28"/>
          <w:szCs w:val="22"/>
          <w:lang w:val="en-US"/>
        </w:rPr>
        <w:br w:type="page"/>
      </w:r>
    </w:p>
    <w:p w:rsidR="00481590" w:rsidRPr="007955BB" w:rsidRDefault="006C033B" w:rsidP="0089451E">
      <w:pPr>
        <w:keepNext/>
        <w:spacing w:before="0" w:line="276" w:lineRule="auto"/>
        <w:ind w:firstLine="450"/>
        <w:contextualSpacing w:val="0"/>
        <w:jc w:val="left"/>
        <w:outlineLvl w:val="2"/>
        <w:rPr>
          <w:sz w:val="32"/>
          <w:szCs w:val="32"/>
          <w:lang w:val="hy-AM"/>
        </w:rPr>
      </w:pPr>
      <w:bookmarkStart w:id="0" w:name="_Toc69119177"/>
      <w:bookmarkStart w:id="1" w:name="_Toc120805155"/>
      <w:r w:rsidRPr="007955BB">
        <w:rPr>
          <w:szCs w:val="22"/>
          <w:lang w:val="hy-AM"/>
        </w:rPr>
        <w:lastRenderedPageBreak/>
        <w:t>ՕԳՏԱԳՈՐԾՎԱԾ ՀԱՊԱՎՈՒՄՆԵՐԻ ՑԱՆԿ</w:t>
      </w:r>
      <w:bookmarkEnd w:id="0"/>
      <w:bookmarkEnd w:id="1"/>
    </w:p>
    <w:p w:rsidR="00481590" w:rsidRPr="007955BB" w:rsidRDefault="00481590" w:rsidP="007730AA">
      <w:pPr>
        <w:spacing w:before="0" w:line="276" w:lineRule="auto"/>
        <w:jc w:val="center"/>
        <w:rPr>
          <w:sz w:val="32"/>
          <w:szCs w:val="32"/>
          <w:lang w:val="hy-AM"/>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7951"/>
      </w:tblGrid>
      <w:tr w:rsidR="00481590" w:rsidRPr="007955BB" w:rsidTr="00274986">
        <w:tc>
          <w:tcPr>
            <w:tcW w:w="1795" w:type="dxa"/>
          </w:tcPr>
          <w:p w:rsidR="00481590" w:rsidRPr="007955BB" w:rsidRDefault="00481590" w:rsidP="001E7F98">
            <w:pPr>
              <w:spacing w:before="0" w:line="276" w:lineRule="auto"/>
              <w:ind w:firstLine="0"/>
              <w:rPr>
                <w:szCs w:val="22"/>
                <w:lang w:val="hy-AM"/>
              </w:rPr>
            </w:pPr>
            <w:r w:rsidRPr="007955BB">
              <w:rPr>
                <w:rFonts w:cs="GHEAGrapalat-Bold"/>
                <w:b w:val="0"/>
                <w:bCs/>
                <w:szCs w:val="22"/>
                <w:lang w:val="hy-AM"/>
              </w:rPr>
              <w:t>ԱԱՀ</w:t>
            </w:r>
            <w:r w:rsidRPr="007955BB">
              <w:rPr>
                <w:rFonts w:cs="GHEAGrapalat-Bold"/>
                <w:b w:val="0"/>
                <w:bCs/>
                <w:szCs w:val="22"/>
                <w:lang w:val="hy-AM"/>
              </w:rPr>
              <w:tab/>
            </w:r>
            <w:r w:rsidRPr="007955BB">
              <w:rPr>
                <w:rFonts w:cs="GHEAGrapalat-Bold"/>
                <w:b w:val="0"/>
                <w:bCs/>
                <w:szCs w:val="22"/>
                <w:lang w:val="hy-AM"/>
              </w:rPr>
              <w:tab/>
            </w:r>
            <w:r w:rsidRPr="007955BB">
              <w:rPr>
                <w:rFonts w:cs="GHEAGrapalat-Bold"/>
                <w:b w:val="0"/>
                <w:bCs/>
                <w:szCs w:val="22"/>
                <w:lang w:val="hy-AM"/>
              </w:rPr>
              <w:tab/>
              <w:t xml:space="preserve"> </w:t>
            </w:r>
            <w:r w:rsidRPr="007955BB">
              <w:rPr>
                <w:rFonts w:cs="GHEAGrapalat-Bold"/>
                <w:b w:val="0"/>
                <w:bCs/>
                <w:szCs w:val="22"/>
                <w:lang w:val="hy-AM"/>
              </w:rPr>
              <w:tab/>
            </w:r>
            <w:r w:rsidRPr="007955BB">
              <w:rPr>
                <w:rFonts w:cs="GHEAGrapalat-Bold"/>
                <w:b w:val="0"/>
                <w:bCs/>
                <w:szCs w:val="22"/>
                <w:lang w:val="hy-AM"/>
              </w:rPr>
              <w:tab/>
            </w:r>
          </w:p>
        </w:tc>
        <w:tc>
          <w:tcPr>
            <w:tcW w:w="7951" w:type="dxa"/>
          </w:tcPr>
          <w:p w:rsidR="00481590" w:rsidRPr="007955BB" w:rsidRDefault="00A94018" w:rsidP="001E7F98">
            <w:pPr>
              <w:autoSpaceDE w:val="0"/>
              <w:autoSpaceDN w:val="0"/>
              <w:adjustRightInd w:val="0"/>
              <w:spacing w:line="276" w:lineRule="auto"/>
              <w:ind w:firstLine="0"/>
              <w:jc w:val="left"/>
              <w:rPr>
                <w:rFonts w:cs="GHEAGrapalat-Bold"/>
                <w:b w:val="0"/>
                <w:bCs/>
                <w:szCs w:val="22"/>
                <w:lang w:val="hy-AM"/>
              </w:rPr>
            </w:pPr>
            <w:r>
              <w:rPr>
                <w:rFonts w:cs="GHEAGrapalat-Bold"/>
                <w:b w:val="0"/>
                <w:bCs/>
                <w:szCs w:val="22"/>
                <w:lang w:val="hy-AM"/>
              </w:rPr>
              <w:t>ԱԱՀ</w:t>
            </w:r>
            <w:r w:rsidR="00481590" w:rsidRPr="007955BB">
              <w:rPr>
                <w:rFonts w:cs="GHEAGrapalat-Bold"/>
                <w:b w:val="0"/>
                <w:bCs/>
                <w:szCs w:val="22"/>
                <w:lang w:val="hy-AM"/>
              </w:rPr>
              <w:t xml:space="preserve"> </w:t>
            </w:r>
          </w:p>
        </w:tc>
      </w:tr>
      <w:tr w:rsidR="00481590" w:rsidRPr="007955BB" w:rsidTr="00274986">
        <w:tc>
          <w:tcPr>
            <w:tcW w:w="1795" w:type="dxa"/>
          </w:tcPr>
          <w:p w:rsidR="00481590" w:rsidRPr="007955BB" w:rsidRDefault="00481590" w:rsidP="001E7F98">
            <w:pPr>
              <w:spacing w:before="0" w:line="276" w:lineRule="auto"/>
              <w:ind w:firstLine="0"/>
              <w:rPr>
                <w:szCs w:val="22"/>
                <w:lang w:val="hy-AM"/>
              </w:rPr>
            </w:pPr>
            <w:r w:rsidRPr="007955BB">
              <w:rPr>
                <w:rFonts w:cs="GHEAGrapalat-Bold"/>
                <w:b w:val="0"/>
                <w:bCs/>
                <w:szCs w:val="22"/>
                <w:lang w:val="hy-AM"/>
              </w:rPr>
              <w:t>ԱԶԲ</w:t>
            </w:r>
            <w:r w:rsidRPr="007955BB">
              <w:rPr>
                <w:rFonts w:cs="GHEAGrapalat-Bold"/>
                <w:b w:val="0"/>
                <w:bCs/>
                <w:szCs w:val="22"/>
                <w:lang w:val="hy-AM"/>
              </w:rPr>
              <w:tab/>
            </w:r>
            <w:r w:rsidRPr="007955BB">
              <w:rPr>
                <w:rFonts w:cs="GHEAGrapalat-Bold"/>
                <w:b w:val="0"/>
                <w:bCs/>
                <w:szCs w:val="22"/>
                <w:lang w:val="hy-AM"/>
              </w:rPr>
              <w:tab/>
            </w:r>
          </w:p>
        </w:tc>
        <w:tc>
          <w:tcPr>
            <w:tcW w:w="7951" w:type="dxa"/>
          </w:tcPr>
          <w:p w:rsidR="00481590" w:rsidRPr="007955BB" w:rsidRDefault="00481590" w:rsidP="001E7F98">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Ասիական զարգացման բանկ</w:t>
            </w:r>
          </w:p>
        </w:tc>
      </w:tr>
      <w:tr w:rsidR="00C77D1B" w:rsidRPr="007955BB" w:rsidTr="00274986">
        <w:tc>
          <w:tcPr>
            <w:tcW w:w="1795" w:type="dxa"/>
          </w:tcPr>
          <w:p w:rsidR="00C77D1B" w:rsidRPr="007955BB" w:rsidRDefault="00C77D1B" w:rsidP="001E7F98">
            <w:pPr>
              <w:spacing w:before="0" w:line="276" w:lineRule="auto"/>
              <w:ind w:firstLine="0"/>
              <w:rPr>
                <w:rFonts w:cs="GHEAGrapalat-Bold"/>
                <w:b w:val="0"/>
                <w:bCs/>
                <w:szCs w:val="22"/>
                <w:lang w:val="en-US"/>
              </w:rPr>
            </w:pPr>
            <w:r w:rsidRPr="007955BB">
              <w:rPr>
                <w:rFonts w:cs="GHEAGrapalat-Bold"/>
                <w:b w:val="0"/>
                <w:bCs/>
                <w:szCs w:val="22"/>
                <w:lang w:val="en-US"/>
              </w:rPr>
              <w:t>ԱԷԿ</w:t>
            </w:r>
          </w:p>
        </w:tc>
        <w:tc>
          <w:tcPr>
            <w:tcW w:w="7951" w:type="dxa"/>
          </w:tcPr>
          <w:p w:rsidR="00C77D1B" w:rsidRPr="007955BB" w:rsidRDefault="00C77D1B" w:rsidP="001E7F98">
            <w:pPr>
              <w:autoSpaceDE w:val="0"/>
              <w:autoSpaceDN w:val="0"/>
              <w:adjustRightInd w:val="0"/>
              <w:spacing w:line="276" w:lineRule="auto"/>
              <w:ind w:firstLine="0"/>
              <w:jc w:val="left"/>
              <w:rPr>
                <w:rFonts w:cs="GHEAGrapalat-Bold"/>
                <w:b w:val="0"/>
                <w:bCs/>
                <w:szCs w:val="22"/>
                <w:lang w:val="en-US"/>
              </w:rPr>
            </w:pPr>
            <w:r w:rsidRPr="007955BB">
              <w:rPr>
                <w:rFonts w:cs="GHEAGrapalat-Bold"/>
                <w:b w:val="0"/>
                <w:bCs/>
                <w:szCs w:val="22"/>
                <w:lang w:val="en-US"/>
              </w:rPr>
              <w:t>Ատոմային էլեկտրակայան</w:t>
            </w:r>
          </w:p>
        </w:tc>
      </w:tr>
      <w:tr w:rsidR="00481590" w:rsidRPr="007955BB" w:rsidTr="00274986">
        <w:tc>
          <w:tcPr>
            <w:tcW w:w="1795" w:type="dxa"/>
          </w:tcPr>
          <w:p w:rsidR="00481590" w:rsidRPr="007955BB" w:rsidRDefault="00481590" w:rsidP="001E7F98">
            <w:pPr>
              <w:spacing w:before="0" w:line="276" w:lineRule="auto"/>
              <w:ind w:firstLine="0"/>
              <w:rPr>
                <w:szCs w:val="22"/>
                <w:lang w:val="hy-AM"/>
              </w:rPr>
            </w:pPr>
            <w:r w:rsidRPr="007955BB">
              <w:rPr>
                <w:rFonts w:cs="GHEAGrapalat-Bold"/>
                <w:b w:val="0"/>
                <w:bCs/>
                <w:szCs w:val="22"/>
                <w:lang w:val="hy-AM"/>
              </w:rPr>
              <w:t>ԱԻՆ</w:t>
            </w:r>
            <w:r w:rsidRPr="007955BB">
              <w:rPr>
                <w:rFonts w:cs="GHEAGrapalat-Bold"/>
                <w:b w:val="0"/>
                <w:bCs/>
                <w:szCs w:val="22"/>
                <w:lang w:val="hy-AM"/>
              </w:rPr>
              <w:tab/>
            </w:r>
            <w:r w:rsidRPr="007955BB">
              <w:rPr>
                <w:rFonts w:cs="GHEAGrapalat-Bold"/>
                <w:b w:val="0"/>
                <w:bCs/>
                <w:szCs w:val="22"/>
                <w:lang w:val="hy-AM"/>
              </w:rPr>
              <w:tab/>
            </w:r>
          </w:p>
        </w:tc>
        <w:tc>
          <w:tcPr>
            <w:tcW w:w="7951" w:type="dxa"/>
          </w:tcPr>
          <w:p w:rsidR="00481590" w:rsidRPr="007955BB" w:rsidRDefault="00274986" w:rsidP="001E7F98">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en-US"/>
              </w:rPr>
              <w:t xml:space="preserve">ՀՀ </w:t>
            </w:r>
            <w:r w:rsidR="00481590" w:rsidRPr="007955BB">
              <w:rPr>
                <w:rFonts w:cs="GHEAGrapalat-Bold"/>
                <w:b w:val="0"/>
                <w:bCs/>
                <w:szCs w:val="22"/>
                <w:lang w:val="hy-AM"/>
              </w:rPr>
              <w:t>Արտակարգ իրավիճակների նախարարություն</w:t>
            </w:r>
          </w:p>
        </w:tc>
      </w:tr>
      <w:tr w:rsidR="00481590" w:rsidRPr="007955BB" w:rsidTr="00274986">
        <w:tc>
          <w:tcPr>
            <w:tcW w:w="1795" w:type="dxa"/>
          </w:tcPr>
          <w:p w:rsidR="00481590" w:rsidRPr="007955BB" w:rsidRDefault="00481590" w:rsidP="001E7F98">
            <w:pPr>
              <w:spacing w:before="0" w:line="276" w:lineRule="auto"/>
              <w:ind w:firstLine="0"/>
              <w:rPr>
                <w:szCs w:val="22"/>
                <w:lang w:val="hy-AM"/>
              </w:rPr>
            </w:pPr>
            <w:r w:rsidRPr="007955BB">
              <w:rPr>
                <w:rFonts w:cs="GHEAGrapalat-Bold"/>
                <w:b w:val="0"/>
                <w:bCs/>
                <w:szCs w:val="22"/>
                <w:lang w:val="hy-AM"/>
              </w:rPr>
              <w:t>ԱՄՆ</w:t>
            </w:r>
            <w:r w:rsidRPr="007955BB">
              <w:rPr>
                <w:rFonts w:cs="GHEAGrapalat-Bold"/>
                <w:b w:val="0"/>
                <w:bCs/>
                <w:szCs w:val="22"/>
                <w:lang w:val="hy-AM"/>
              </w:rPr>
              <w:tab/>
            </w:r>
            <w:r w:rsidRPr="007955BB">
              <w:rPr>
                <w:rFonts w:cs="GHEAGrapalat-Bold"/>
                <w:b w:val="0"/>
                <w:bCs/>
                <w:szCs w:val="22"/>
                <w:lang w:val="hy-AM"/>
              </w:rPr>
              <w:tab/>
            </w:r>
          </w:p>
        </w:tc>
        <w:tc>
          <w:tcPr>
            <w:tcW w:w="7951" w:type="dxa"/>
          </w:tcPr>
          <w:p w:rsidR="00481590" w:rsidRPr="007955BB" w:rsidRDefault="00481590" w:rsidP="001E7F98">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Ամերիկայի միացյալ նահանգներ</w:t>
            </w:r>
          </w:p>
        </w:tc>
      </w:tr>
      <w:tr w:rsidR="00481590" w:rsidRPr="007955BB" w:rsidTr="00274986">
        <w:tc>
          <w:tcPr>
            <w:tcW w:w="1795" w:type="dxa"/>
          </w:tcPr>
          <w:p w:rsidR="00481590" w:rsidRPr="007955BB" w:rsidRDefault="00481590" w:rsidP="00C77D1B">
            <w:pPr>
              <w:spacing w:before="0" w:line="276" w:lineRule="auto"/>
              <w:ind w:firstLine="0"/>
              <w:rPr>
                <w:szCs w:val="22"/>
                <w:lang w:val="hy-AM"/>
              </w:rPr>
            </w:pPr>
            <w:r w:rsidRPr="007955BB">
              <w:rPr>
                <w:rFonts w:cs="GHEAGrapalat-Bold"/>
                <w:b w:val="0"/>
                <w:bCs/>
                <w:szCs w:val="22"/>
                <w:lang w:val="hy-AM"/>
              </w:rPr>
              <w:t>ՄԶԳ</w:t>
            </w:r>
            <w:r w:rsidRPr="007955BB">
              <w:rPr>
                <w:rFonts w:cs="GHEAGrapalat-Bold"/>
                <w:b w:val="0"/>
                <w:bCs/>
                <w:szCs w:val="22"/>
                <w:lang w:val="hy-AM"/>
              </w:rPr>
              <w:tab/>
              <w:t xml:space="preserve"> </w:t>
            </w:r>
          </w:p>
        </w:tc>
        <w:tc>
          <w:tcPr>
            <w:tcW w:w="7951" w:type="dxa"/>
          </w:tcPr>
          <w:p w:rsidR="00481590" w:rsidRPr="007955BB" w:rsidRDefault="00481590" w:rsidP="001E7F98">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Միջազգային զարգացման գործակալություն</w:t>
            </w:r>
          </w:p>
        </w:tc>
      </w:tr>
      <w:tr w:rsidR="00481590" w:rsidRPr="001F022E" w:rsidTr="00274986">
        <w:tc>
          <w:tcPr>
            <w:tcW w:w="1795" w:type="dxa"/>
          </w:tcPr>
          <w:p w:rsidR="00481590" w:rsidRPr="007955BB" w:rsidRDefault="00481590" w:rsidP="001E7F98">
            <w:pPr>
              <w:spacing w:before="0" w:line="276" w:lineRule="auto"/>
              <w:ind w:firstLine="0"/>
              <w:rPr>
                <w:szCs w:val="22"/>
                <w:lang w:val="hy-AM"/>
              </w:rPr>
            </w:pPr>
            <w:r w:rsidRPr="007955BB">
              <w:rPr>
                <w:rFonts w:cs="GHEAGrapalat-Bold"/>
                <w:b w:val="0"/>
                <w:bCs/>
                <w:szCs w:val="22"/>
                <w:lang w:val="hy-AM"/>
              </w:rPr>
              <w:t>ԱՄՀ</w:t>
            </w:r>
            <w:r w:rsidRPr="007955BB">
              <w:rPr>
                <w:rFonts w:cs="GHEAGrapalat-Bold"/>
                <w:b w:val="0"/>
                <w:bCs/>
                <w:szCs w:val="22"/>
                <w:lang w:val="hy-AM"/>
              </w:rPr>
              <w:tab/>
            </w:r>
            <w:r w:rsidRPr="007955BB">
              <w:rPr>
                <w:rFonts w:cs="GHEAGrapalat-Bold"/>
                <w:b w:val="0"/>
                <w:bCs/>
                <w:szCs w:val="22"/>
                <w:lang w:val="hy-AM"/>
              </w:rPr>
              <w:tab/>
            </w:r>
          </w:p>
        </w:tc>
        <w:tc>
          <w:tcPr>
            <w:tcW w:w="7951" w:type="dxa"/>
          </w:tcPr>
          <w:p w:rsidR="00481590" w:rsidRPr="007955BB" w:rsidRDefault="001F022E" w:rsidP="001E7F98">
            <w:pPr>
              <w:autoSpaceDE w:val="0"/>
              <w:autoSpaceDN w:val="0"/>
              <w:adjustRightInd w:val="0"/>
              <w:spacing w:line="276" w:lineRule="auto"/>
              <w:ind w:firstLine="0"/>
              <w:jc w:val="left"/>
              <w:rPr>
                <w:rFonts w:cs="GHEAGrapalat-Bold"/>
                <w:b w:val="0"/>
                <w:bCs/>
                <w:szCs w:val="22"/>
                <w:lang w:val="hy-AM"/>
              </w:rPr>
            </w:pPr>
            <w:r>
              <w:rPr>
                <w:rFonts w:cs="GHEAGrapalat-Bold"/>
                <w:b w:val="0"/>
                <w:bCs/>
                <w:szCs w:val="22"/>
                <w:lang w:val="hy-AM"/>
              </w:rPr>
              <w:t>Ար</w:t>
            </w:r>
            <w:r w:rsidR="00481590" w:rsidRPr="007955BB">
              <w:rPr>
                <w:rFonts w:cs="GHEAGrapalat-Bold"/>
                <w:b w:val="0"/>
                <w:bCs/>
                <w:szCs w:val="22"/>
                <w:lang w:val="hy-AM"/>
              </w:rPr>
              <w:t>ժույթի միջազգային հիմնադրամ</w:t>
            </w:r>
          </w:p>
        </w:tc>
      </w:tr>
      <w:tr w:rsidR="00C77D1B" w:rsidRPr="007955BB" w:rsidTr="00274986">
        <w:tc>
          <w:tcPr>
            <w:tcW w:w="1795" w:type="dxa"/>
          </w:tcPr>
          <w:p w:rsidR="00C77D1B" w:rsidRPr="007955BB" w:rsidRDefault="00C77D1B" w:rsidP="001E7F98">
            <w:pPr>
              <w:spacing w:before="0" w:line="276" w:lineRule="auto"/>
              <w:ind w:firstLine="0"/>
              <w:rPr>
                <w:rFonts w:cs="GHEAGrapalat-Bold"/>
                <w:b w:val="0"/>
                <w:bCs/>
                <w:szCs w:val="22"/>
                <w:lang w:val="en-US"/>
              </w:rPr>
            </w:pPr>
            <w:r w:rsidRPr="007955BB">
              <w:rPr>
                <w:rFonts w:cs="GHEAGrapalat-Bold"/>
                <w:b w:val="0"/>
                <w:bCs/>
                <w:szCs w:val="22"/>
                <w:lang w:val="en-US"/>
              </w:rPr>
              <w:t>ԱՊՀ</w:t>
            </w:r>
          </w:p>
        </w:tc>
        <w:tc>
          <w:tcPr>
            <w:tcW w:w="7951" w:type="dxa"/>
          </w:tcPr>
          <w:p w:rsidR="00C77D1B" w:rsidRPr="007955BB" w:rsidRDefault="00C77D1B" w:rsidP="001E7F98">
            <w:pPr>
              <w:autoSpaceDE w:val="0"/>
              <w:autoSpaceDN w:val="0"/>
              <w:adjustRightInd w:val="0"/>
              <w:spacing w:line="276" w:lineRule="auto"/>
              <w:ind w:firstLine="0"/>
              <w:jc w:val="left"/>
              <w:rPr>
                <w:rFonts w:cs="GHEAGrapalat-Bold"/>
                <w:b w:val="0"/>
                <w:bCs/>
                <w:szCs w:val="22"/>
                <w:lang w:val="en-US"/>
              </w:rPr>
            </w:pPr>
            <w:r w:rsidRPr="007955BB">
              <w:rPr>
                <w:rFonts w:cs="GHEAGrapalat-Bold"/>
                <w:b w:val="0"/>
                <w:bCs/>
                <w:szCs w:val="22"/>
                <w:lang w:val="hy-AM"/>
              </w:rPr>
              <w:t>Անկախ պետությունների համագործակցություն</w:t>
            </w:r>
          </w:p>
        </w:tc>
      </w:tr>
      <w:tr w:rsidR="00481590" w:rsidRPr="007955BB" w:rsidTr="00274986">
        <w:tc>
          <w:tcPr>
            <w:tcW w:w="1795" w:type="dxa"/>
          </w:tcPr>
          <w:p w:rsidR="00481590" w:rsidRPr="007955BB" w:rsidRDefault="00481590" w:rsidP="001E7F98">
            <w:pPr>
              <w:spacing w:before="0" w:line="276" w:lineRule="auto"/>
              <w:ind w:firstLine="0"/>
              <w:rPr>
                <w:szCs w:val="22"/>
                <w:lang w:val="hy-AM"/>
              </w:rPr>
            </w:pPr>
            <w:r w:rsidRPr="007955BB">
              <w:rPr>
                <w:rFonts w:cs="GHEAGrapalat-Bold"/>
                <w:b w:val="0"/>
                <w:bCs/>
                <w:szCs w:val="22"/>
                <w:lang w:val="hy-AM"/>
              </w:rPr>
              <w:t xml:space="preserve">ԲՈՒՀ </w:t>
            </w:r>
            <w:r w:rsidRPr="007955BB">
              <w:rPr>
                <w:rFonts w:cs="GHEAGrapalat-Bold"/>
                <w:b w:val="0"/>
                <w:bCs/>
                <w:szCs w:val="22"/>
                <w:lang w:val="hy-AM"/>
              </w:rPr>
              <w:tab/>
            </w:r>
            <w:r w:rsidRPr="007955BB">
              <w:rPr>
                <w:rFonts w:cs="GHEAGrapalat-Bold"/>
                <w:b w:val="0"/>
                <w:bCs/>
                <w:szCs w:val="22"/>
                <w:lang w:val="hy-AM"/>
              </w:rPr>
              <w:tab/>
            </w:r>
          </w:p>
        </w:tc>
        <w:tc>
          <w:tcPr>
            <w:tcW w:w="7951" w:type="dxa"/>
          </w:tcPr>
          <w:p w:rsidR="00481590" w:rsidRPr="007955BB" w:rsidRDefault="00481590" w:rsidP="001E7F98">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Բարձրագույն ուսումնական հաստատություն</w:t>
            </w:r>
          </w:p>
        </w:tc>
      </w:tr>
      <w:tr w:rsidR="00481590" w:rsidRPr="007955BB" w:rsidTr="00274986">
        <w:tc>
          <w:tcPr>
            <w:tcW w:w="1795" w:type="dxa"/>
          </w:tcPr>
          <w:p w:rsidR="00481590" w:rsidRPr="007955BB" w:rsidRDefault="00481590" w:rsidP="001E7F98">
            <w:pPr>
              <w:spacing w:before="0" w:line="276" w:lineRule="auto"/>
              <w:ind w:firstLine="0"/>
              <w:rPr>
                <w:szCs w:val="22"/>
                <w:lang w:val="hy-AM"/>
              </w:rPr>
            </w:pPr>
            <w:r w:rsidRPr="007955BB">
              <w:rPr>
                <w:rFonts w:cs="GHEAGrapalat-Bold"/>
                <w:b w:val="0"/>
                <w:bCs/>
                <w:szCs w:val="22"/>
                <w:lang w:val="hy-AM"/>
              </w:rPr>
              <w:t>ԳԱԱ</w:t>
            </w:r>
          </w:p>
        </w:tc>
        <w:tc>
          <w:tcPr>
            <w:tcW w:w="7951" w:type="dxa"/>
          </w:tcPr>
          <w:p w:rsidR="00481590" w:rsidRPr="007955BB" w:rsidRDefault="00274986" w:rsidP="001E7F98">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en-US"/>
              </w:rPr>
              <w:t>ՀՀ</w:t>
            </w:r>
            <w:r w:rsidR="00481590" w:rsidRPr="007955BB">
              <w:rPr>
                <w:rFonts w:cs="GHEAGrapalat-Bold"/>
                <w:b w:val="0"/>
                <w:bCs/>
                <w:szCs w:val="22"/>
                <w:lang w:val="hy-AM"/>
              </w:rPr>
              <w:tab/>
            </w:r>
            <w:r w:rsidR="00481590" w:rsidRPr="007955BB">
              <w:rPr>
                <w:rFonts w:cs="GHEAGrapalat-Bold"/>
                <w:b w:val="0"/>
                <w:bCs/>
                <w:szCs w:val="22"/>
                <w:lang w:val="hy-AM"/>
              </w:rPr>
              <w:tab/>
              <w:t xml:space="preserve"> Գիտությունների ազգային ակադեմիա</w:t>
            </w:r>
          </w:p>
        </w:tc>
      </w:tr>
      <w:tr w:rsidR="00481590" w:rsidRPr="00C43BF7" w:rsidTr="00274986">
        <w:tc>
          <w:tcPr>
            <w:tcW w:w="1795" w:type="dxa"/>
          </w:tcPr>
          <w:p w:rsidR="00481590" w:rsidRPr="007955BB" w:rsidRDefault="00481590" w:rsidP="001E7F98">
            <w:pPr>
              <w:spacing w:before="0" w:line="276" w:lineRule="auto"/>
              <w:ind w:firstLine="0"/>
              <w:rPr>
                <w:szCs w:val="22"/>
                <w:lang w:val="hy-AM"/>
              </w:rPr>
            </w:pPr>
            <w:r w:rsidRPr="007955BB">
              <w:rPr>
                <w:rFonts w:cs="GHEAGrapalat-Bold"/>
                <w:b w:val="0"/>
                <w:bCs/>
                <w:szCs w:val="22"/>
                <w:lang w:val="hy-AM"/>
              </w:rPr>
              <w:t>ԵԱՀԿ</w:t>
            </w:r>
            <w:r w:rsidRPr="007955BB">
              <w:rPr>
                <w:rFonts w:cs="GHEAGrapalat-Bold"/>
                <w:b w:val="0"/>
                <w:bCs/>
                <w:szCs w:val="22"/>
                <w:lang w:val="hy-AM"/>
              </w:rPr>
              <w:tab/>
            </w:r>
            <w:r w:rsidRPr="007955BB">
              <w:rPr>
                <w:rFonts w:cs="GHEAGrapalat-Bold"/>
                <w:b w:val="0"/>
                <w:bCs/>
                <w:szCs w:val="22"/>
                <w:lang w:val="hy-AM"/>
              </w:rPr>
              <w:tab/>
            </w:r>
          </w:p>
        </w:tc>
        <w:tc>
          <w:tcPr>
            <w:tcW w:w="7951" w:type="dxa"/>
          </w:tcPr>
          <w:p w:rsidR="00481590" w:rsidRPr="007955BB" w:rsidRDefault="00481590" w:rsidP="001E7F98">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Եվրոպայում Անվտանգության և Համագործակցության Կազմակերպություն</w:t>
            </w:r>
          </w:p>
        </w:tc>
      </w:tr>
      <w:tr w:rsidR="00481590" w:rsidRPr="007955BB" w:rsidTr="00274986">
        <w:tc>
          <w:tcPr>
            <w:tcW w:w="1795" w:type="dxa"/>
          </w:tcPr>
          <w:p w:rsidR="00481590" w:rsidRPr="007955BB" w:rsidRDefault="00481590" w:rsidP="001E7F98">
            <w:pPr>
              <w:spacing w:before="0" w:line="276" w:lineRule="auto"/>
              <w:ind w:firstLine="0"/>
              <w:rPr>
                <w:szCs w:val="22"/>
                <w:lang w:val="hy-AM"/>
              </w:rPr>
            </w:pPr>
            <w:r w:rsidRPr="007955BB">
              <w:rPr>
                <w:rFonts w:cs="GHEAGrapalat-Bold"/>
                <w:b w:val="0"/>
                <w:bCs/>
                <w:szCs w:val="22"/>
                <w:lang w:val="hy-AM"/>
              </w:rPr>
              <w:t>Ե</w:t>
            </w:r>
            <w:r w:rsidR="00285180" w:rsidRPr="007955BB">
              <w:rPr>
                <w:rFonts w:cs="GHEAGrapalat-Bold"/>
                <w:b w:val="0"/>
                <w:bCs/>
                <w:szCs w:val="22"/>
              </w:rPr>
              <w:t>ԱՏ</w:t>
            </w:r>
            <w:r w:rsidRPr="007955BB">
              <w:rPr>
                <w:rFonts w:cs="GHEAGrapalat-Bold"/>
                <w:b w:val="0"/>
                <w:bCs/>
                <w:szCs w:val="22"/>
                <w:lang w:val="hy-AM"/>
              </w:rPr>
              <w:t xml:space="preserve">Մ </w:t>
            </w:r>
            <w:r w:rsidRPr="007955BB">
              <w:rPr>
                <w:rFonts w:cs="GHEAGrapalat-Bold"/>
                <w:b w:val="0"/>
                <w:bCs/>
                <w:szCs w:val="22"/>
                <w:lang w:val="hy-AM"/>
              </w:rPr>
              <w:tab/>
            </w:r>
            <w:r w:rsidRPr="007955BB">
              <w:rPr>
                <w:rFonts w:cs="GHEAGrapalat-Bold"/>
                <w:b w:val="0"/>
                <w:bCs/>
                <w:szCs w:val="22"/>
                <w:lang w:val="hy-AM"/>
              </w:rPr>
              <w:tab/>
            </w:r>
          </w:p>
        </w:tc>
        <w:tc>
          <w:tcPr>
            <w:tcW w:w="7951" w:type="dxa"/>
          </w:tcPr>
          <w:p w:rsidR="00481590" w:rsidRPr="007955BB" w:rsidRDefault="00285180" w:rsidP="001E7F98">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Եվրասիական տնտեսական միություն</w:t>
            </w:r>
          </w:p>
        </w:tc>
      </w:tr>
      <w:tr w:rsidR="00285180" w:rsidRPr="007955BB" w:rsidTr="00274986">
        <w:tc>
          <w:tcPr>
            <w:tcW w:w="1795" w:type="dxa"/>
          </w:tcPr>
          <w:p w:rsidR="00285180" w:rsidRPr="007955BB" w:rsidRDefault="00285180" w:rsidP="00285180">
            <w:pPr>
              <w:spacing w:before="0" w:line="276" w:lineRule="auto"/>
              <w:ind w:firstLine="0"/>
              <w:rPr>
                <w:rFonts w:cs="GHEAGrapalat-Bold"/>
                <w:b w:val="0"/>
                <w:bCs/>
                <w:szCs w:val="22"/>
                <w:lang w:val="hy-AM"/>
              </w:rPr>
            </w:pPr>
            <w:r w:rsidRPr="007955BB">
              <w:rPr>
                <w:rFonts w:cs="GHEAGrapalat-Bold"/>
                <w:b w:val="0"/>
                <w:bCs/>
                <w:szCs w:val="22"/>
                <w:lang w:val="hy-AM"/>
              </w:rPr>
              <w:t xml:space="preserve">ԵՄ </w:t>
            </w:r>
            <w:r w:rsidRPr="007955BB">
              <w:rPr>
                <w:rFonts w:cs="GHEAGrapalat-Bold"/>
                <w:b w:val="0"/>
                <w:bCs/>
                <w:szCs w:val="22"/>
                <w:lang w:val="hy-AM"/>
              </w:rPr>
              <w:tab/>
            </w:r>
            <w:r w:rsidRPr="007955BB">
              <w:rPr>
                <w:rFonts w:cs="GHEAGrapalat-Bold"/>
                <w:b w:val="0"/>
                <w:bCs/>
                <w:szCs w:val="22"/>
                <w:lang w:val="hy-AM"/>
              </w:rPr>
              <w:tab/>
            </w:r>
          </w:p>
        </w:tc>
        <w:tc>
          <w:tcPr>
            <w:tcW w:w="7951" w:type="dxa"/>
          </w:tcPr>
          <w:p w:rsidR="00285180" w:rsidRPr="007955BB" w:rsidRDefault="00285180" w:rsidP="00285180">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Եվրոպական միություն</w:t>
            </w:r>
          </w:p>
        </w:tc>
      </w:tr>
      <w:tr w:rsidR="00285180" w:rsidRPr="007955BB" w:rsidTr="00274986">
        <w:tc>
          <w:tcPr>
            <w:tcW w:w="1795" w:type="dxa"/>
          </w:tcPr>
          <w:p w:rsidR="00285180" w:rsidRPr="007955BB" w:rsidRDefault="00285180" w:rsidP="00344429">
            <w:pPr>
              <w:spacing w:before="0" w:line="276" w:lineRule="auto"/>
              <w:ind w:firstLine="0"/>
              <w:rPr>
                <w:szCs w:val="22"/>
                <w:lang w:val="hy-AM"/>
              </w:rPr>
            </w:pPr>
            <w:r w:rsidRPr="007955BB">
              <w:rPr>
                <w:rFonts w:cs="GHEAGrapalat-Bold"/>
                <w:b w:val="0"/>
                <w:bCs/>
                <w:szCs w:val="22"/>
                <w:lang w:val="hy-AM"/>
              </w:rPr>
              <w:t>ԶՄ</w:t>
            </w:r>
            <w:r w:rsidR="00344429">
              <w:rPr>
                <w:rFonts w:cs="GHEAGrapalat-Bold"/>
                <w:b w:val="0"/>
                <w:bCs/>
                <w:szCs w:val="22"/>
                <w:lang w:val="hy-AM"/>
              </w:rPr>
              <w:t>Բ</w:t>
            </w:r>
            <w:r w:rsidRPr="007955BB">
              <w:rPr>
                <w:rFonts w:cs="GHEAGrapalat-Bold"/>
                <w:b w:val="0"/>
                <w:bCs/>
                <w:szCs w:val="22"/>
                <w:lang w:val="hy-AM"/>
              </w:rPr>
              <w:tab/>
            </w:r>
            <w:r w:rsidRPr="007955BB">
              <w:rPr>
                <w:rFonts w:cs="GHEAGrapalat-Bold"/>
                <w:b w:val="0"/>
                <w:bCs/>
                <w:szCs w:val="22"/>
                <w:lang w:val="hy-AM"/>
              </w:rPr>
              <w:tab/>
            </w:r>
          </w:p>
        </w:tc>
        <w:tc>
          <w:tcPr>
            <w:tcW w:w="7951" w:type="dxa"/>
          </w:tcPr>
          <w:p w:rsidR="00285180" w:rsidRPr="007955BB" w:rsidRDefault="00285180" w:rsidP="00285180">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Զարգացման Միջազգային Բանկ</w:t>
            </w:r>
          </w:p>
        </w:tc>
      </w:tr>
      <w:tr w:rsidR="00285180" w:rsidRPr="007955BB" w:rsidTr="00274986">
        <w:tc>
          <w:tcPr>
            <w:tcW w:w="1795" w:type="dxa"/>
          </w:tcPr>
          <w:p w:rsidR="00285180" w:rsidRPr="007955BB" w:rsidRDefault="00285180" w:rsidP="00285180">
            <w:pPr>
              <w:spacing w:before="0" w:line="276" w:lineRule="auto"/>
              <w:ind w:firstLine="0"/>
              <w:rPr>
                <w:szCs w:val="22"/>
                <w:lang w:val="hy-AM"/>
              </w:rPr>
            </w:pPr>
            <w:r w:rsidRPr="007955BB">
              <w:rPr>
                <w:rFonts w:cs="GHEAGrapalat-Bold"/>
                <w:b w:val="0"/>
                <w:bCs/>
                <w:szCs w:val="22"/>
                <w:lang w:val="hy-AM"/>
              </w:rPr>
              <w:t>ԶԼՄ</w:t>
            </w:r>
            <w:r w:rsidRPr="007955BB">
              <w:rPr>
                <w:rFonts w:cs="GHEAGrapalat-Bold"/>
                <w:b w:val="0"/>
                <w:bCs/>
                <w:szCs w:val="22"/>
                <w:lang w:val="hy-AM"/>
              </w:rPr>
              <w:tab/>
            </w:r>
            <w:r w:rsidRPr="007955BB">
              <w:rPr>
                <w:rFonts w:cs="GHEAGrapalat-Bold"/>
                <w:b w:val="0"/>
                <w:bCs/>
                <w:szCs w:val="22"/>
                <w:lang w:val="hy-AM"/>
              </w:rPr>
              <w:tab/>
            </w:r>
          </w:p>
        </w:tc>
        <w:tc>
          <w:tcPr>
            <w:tcW w:w="7951" w:type="dxa"/>
          </w:tcPr>
          <w:p w:rsidR="00285180" w:rsidRPr="007955BB" w:rsidRDefault="00285180" w:rsidP="00285180">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Զանգվածային լրատվության միջոց</w:t>
            </w:r>
          </w:p>
        </w:tc>
      </w:tr>
      <w:tr w:rsidR="00285180" w:rsidRPr="00C43BF7" w:rsidTr="00274986">
        <w:tc>
          <w:tcPr>
            <w:tcW w:w="1795" w:type="dxa"/>
          </w:tcPr>
          <w:p w:rsidR="00285180" w:rsidRPr="007955BB" w:rsidRDefault="00285180" w:rsidP="00285180">
            <w:pPr>
              <w:spacing w:before="0" w:line="276" w:lineRule="auto"/>
              <w:ind w:firstLine="0"/>
              <w:rPr>
                <w:szCs w:val="22"/>
                <w:lang w:val="hy-AM"/>
              </w:rPr>
            </w:pPr>
            <w:r w:rsidRPr="007955BB">
              <w:rPr>
                <w:rFonts w:cs="GHEAGrapalat-Bold"/>
                <w:b w:val="0"/>
                <w:bCs/>
                <w:szCs w:val="22"/>
                <w:lang w:val="hy-AM"/>
              </w:rPr>
              <w:t>ԸԿԲՆ</w:t>
            </w:r>
            <w:r w:rsidRPr="007955BB">
              <w:rPr>
                <w:rFonts w:cs="GHEAGrapalat-Bold"/>
                <w:b w:val="0"/>
                <w:bCs/>
                <w:szCs w:val="22"/>
                <w:lang w:val="hy-AM"/>
              </w:rPr>
              <w:tab/>
            </w:r>
            <w:r w:rsidRPr="007955BB">
              <w:rPr>
                <w:rFonts w:cs="GHEAGrapalat-Bold"/>
                <w:b w:val="0"/>
                <w:bCs/>
                <w:szCs w:val="22"/>
                <w:lang w:val="hy-AM"/>
              </w:rPr>
              <w:tab/>
            </w:r>
          </w:p>
        </w:tc>
        <w:tc>
          <w:tcPr>
            <w:tcW w:w="7951" w:type="dxa"/>
          </w:tcPr>
          <w:p w:rsidR="00285180" w:rsidRPr="007955BB" w:rsidRDefault="00285180" w:rsidP="00285180">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Ընտանիքի կենսամակարդակի բարձրացմանն ուղղված նպաստներ</w:t>
            </w:r>
          </w:p>
        </w:tc>
      </w:tr>
      <w:tr w:rsidR="00674E04" w:rsidRPr="003F76D6" w:rsidTr="00274986">
        <w:tc>
          <w:tcPr>
            <w:tcW w:w="1795" w:type="dxa"/>
          </w:tcPr>
          <w:p w:rsidR="00674E04" w:rsidRPr="007955BB" w:rsidRDefault="00674E04" w:rsidP="00674E04">
            <w:pPr>
              <w:spacing w:before="0" w:line="276" w:lineRule="auto"/>
              <w:ind w:firstLine="0"/>
              <w:rPr>
                <w:szCs w:val="22"/>
                <w:lang w:val="hy-AM"/>
              </w:rPr>
            </w:pPr>
            <w:r>
              <w:rPr>
                <w:rFonts w:cs="GHEAGrapalat-Bold"/>
                <w:b w:val="0"/>
                <w:bCs/>
                <w:szCs w:val="22"/>
                <w:lang w:val="en-US"/>
              </w:rPr>
              <w:t>ԼՂ</w:t>
            </w:r>
            <w:r w:rsidRPr="007955BB">
              <w:rPr>
                <w:rFonts w:cs="GHEAGrapalat-Bold"/>
                <w:b w:val="0"/>
                <w:bCs/>
                <w:szCs w:val="22"/>
                <w:lang w:val="hy-AM"/>
              </w:rPr>
              <w:tab/>
            </w:r>
            <w:r w:rsidRPr="007955BB">
              <w:rPr>
                <w:rFonts w:cs="GHEAGrapalat-Bold"/>
                <w:b w:val="0"/>
                <w:bCs/>
                <w:szCs w:val="22"/>
                <w:lang w:val="hy-AM"/>
              </w:rPr>
              <w:tab/>
            </w:r>
          </w:p>
        </w:tc>
        <w:tc>
          <w:tcPr>
            <w:tcW w:w="7951" w:type="dxa"/>
          </w:tcPr>
          <w:p w:rsidR="00674E04" w:rsidRPr="00674E04" w:rsidRDefault="00674E04" w:rsidP="00674E04">
            <w:pPr>
              <w:autoSpaceDE w:val="0"/>
              <w:autoSpaceDN w:val="0"/>
              <w:adjustRightInd w:val="0"/>
              <w:spacing w:line="276" w:lineRule="auto"/>
              <w:ind w:firstLine="0"/>
              <w:jc w:val="left"/>
              <w:rPr>
                <w:rFonts w:cs="GHEAGrapalat-Bold"/>
                <w:b w:val="0"/>
                <w:bCs/>
                <w:szCs w:val="22"/>
                <w:lang w:val="en-US"/>
              </w:rPr>
            </w:pPr>
            <w:r>
              <w:rPr>
                <w:rFonts w:cs="GHEAGrapalat-Bold"/>
                <w:b w:val="0"/>
                <w:bCs/>
                <w:szCs w:val="22"/>
                <w:lang w:val="en-US"/>
              </w:rPr>
              <w:t>ԼեռնայիՆ Ղարաբաղ</w:t>
            </w:r>
          </w:p>
        </w:tc>
      </w:tr>
      <w:tr w:rsidR="00674E04" w:rsidRPr="007955BB" w:rsidTr="00274986">
        <w:tc>
          <w:tcPr>
            <w:tcW w:w="1795" w:type="dxa"/>
          </w:tcPr>
          <w:p w:rsidR="00674E04" w:rsidRPr="007955BB" w:rsidRDefault="00674E04" w:rsidP="00674E04">
            <w:pPr>
              <w:spacing w:before="0" w:line="276" w:lineRule="auto"/>
              <w:ind w:firstLine="0"/>
              <w:rPr>
                <w:szCs w:val="22"/>
                <w:lang w:val="hy-AM"/>
              </w:rPr>
            </w:pPr>
            <w:r w:rsidRPr="007955BB">
              <w:rPr>
                <w:rFonts w:cs="GHEAGrapalat-Bold"/>
                <w:b w:val="0"/>
                <w:bCs/>
                <w:szCs w:val="22"/>
                <w:lang w:val="hy-AM"/>
              </w:rPr>
              <w:t xml:space="preserve">ԽՍՀՄ        </w:t>
            </w:r>
          </w:p>
        </w:tc>
        <w:tc>
          <w:tcPr>
            <w:tcW w:w="7951" w:type="dxa"/>
          </w:tcPr>
          <w:p w:rsidR="00674E04" w:rsidRPr="007955BB" w:rsidRDefault="00674E04" w:rsidP="00674E04">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Խորհրդային</w:t>
            </w:r>
            <w:r w:rsidRPr="007955BB">
              <w:rPr>
                <w:rFonts w:ascii="Calibri" w:hAnsi="Calibri" w:cs="Calibri"/>
                <w:b w:val="0"/>
                <w:bCs/>
                <w:szCs w:val="22"/>
                <w:lang w:val="hy-AM"/>
              </w:rPr>
              <w:t> </w:t>
            </w:r>
            <w:r w:rsidRPr="007955BB">
              <w:rPr>
                <w:rFonts w:cs="GHEAGrapalat-Bold"/>
                <w:b w:val="0"/>
                <w:bCs/>
                <w:szCs w:val="22"/>
                <w:lang w:val="hy-AM"/>
              </w:rPr>
              <w:t xml:space="preserve">Սոցիալիստական Հանրապետությունների Միություն </w:t>
            </w:r>
          </w:p>
        </w:tc>
      </w:tr>
      <w:tr w:rsidR="00674E04" w:rsidRPr="007955BB" w:rsidTr="00274986">
        <w:tc>
          <w:tcPr>
            <w:tcW w:w="1795" w:type="dxa"/>
          </w:tcPr>
          <w:p w:rsidR="00674E04" w:rsidRPr="007955BB" w:rsidRDefault="00674E04" w:rsidP="00674E04">
            <w:pPr>
              <w:spacing w:before="0" w:line="276" w:lineRule="auto"/>
              <w:ind w:firstLine="0"/>
              <w:rPr>
                <w:szCs w:val="22"/>
                <w:lang w:val="hy-AM"/>
              </w:rPr>
            </w:pPr>
            <w:r w:rsidRPr="007955BB">
              <w:rPr>
                <w:rFonts w:cs="GHEAGrapalat-Bold"/>
                <w:b w:val="0"/>
                <w:bCs/>
                <w:szCs w:val="22"/>
                <w:lang w:val="hy-AM"/>
              </w:rPr>
              <w:t>ԿԲ</w:t>
            </w:r>
            <w:r w:rsidRPr="007955BB">
              <w:rPr>
                <w:rFonts w:cs="GHEAGrapalat-Bold"/>
                <w:b w:val="0"/>
                <w:bCs/>
                <w:szCs w:val="22"/>
                <w:lang w:val="hy-AM"/>
              </w:rPr>
              <w:tab/>
            </w:r>
            <w:r w:rsidRPr="007955BB">
              <w:rPr>
                <w:rFonts w:cs="GHEAGrapalat-Bold"/>
                <w:b w:val="0"/>
                <w:bCs/>
                <w:szCs w:val="22"/>
                <w:lang w:val="hy-AM"/>
              </w:rPr>
              <w:tab/>
            </w:r>
          </w:p>
        </w:tc>
        <w:tc>
          <w:tcPr>
            <w:tcW w:w="7951" w:type="dxa"/>
          </w:tcPr>
          <w:p w:rsidR="00674E04" w:rsidRPr="007955BB" w:rsidRDefault="00674E04" w:rsidP="00674E04">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en-US"/>
              </w:rPr>
              <w:t xml:space="preserve">ՀՀ </w:t>
            </w:r>
            <w:r w:rsidRPr="007955BB">
              <w:rPr>
                <w:rFonts w:cs="GHEAGrapalat-Bold"/>
                <w:b w:val="0"/>
                <w:bCs/>
                <w:szCs w:val="22"/>
                <w:lang w:val="hy-AM"/>
              </w:rPr>
              <w:t>Կենտրոնական բանկ</w:t>
            </w:r>
          </w:p>
        </w:tc>
      </w:tr>
      <w:tr w:rsidR="00674E04" w:rsidRPr="00C43BF7" w:rsidTr="00274986">
        <w:tc>
          <w:tcPr>
            <w:tcW w:w="1795" w:type="dxa"/>
          </w:tcPr>
          <w:p w:rsidR="00674E04" w:rsidRPr="007955BB" w:rsidRDefault="00674E04" w:rsidP="00674E04">
            <w:pPr>
              <w:spacing w:before="0" w:line="276" w:lineRule="auto"/>
              <w:ind w:firstLine="0"/>
              <w:rPr>
                <w:szCs w:val="22"/>
                <w:lang w:val="hy-AM"/>
              </w:rPr>
            </w:pPr>
            <w:r w:rsidRPr="007955BB">
              <w:rPr>
                <w:rFonts w:cs="GHEAGrapalat-Bold"/>
                <w:b w:val="0"/>
                <w:bCs/>
                <w:szCs w:val="22"/>
                <w:lang w:val="hy-AM"/>
              </w:rPr>
              <w:t>ԿԳՄՍՆ</w:t>
            </w:r>
            <w:r w:rsidRPr="007955BB">
              <w:rPr>
                <w:rFonts w:cs="GHEAGrapalat-Bold"/>
                <w:b w:val="0"/>
                <w:bCs/>
                <w:szCs w:val="22"/>
                <w:lang w:val="hy-AM"/>
              </w:rPr>
              <w:tab/>
            </w:r>
          </w:p>
        </w:tc>
        <w:tc>
          <w:tcPr>
            <w:tcW w:w="7951" w:type="dxa"/>
          </w:tcPr>
          <w:p w:rsidR="00674E04" w:rsidRPr="007955BB" w:rsidRDefault="00674E04" w:rsidP="00674E04">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ՀՀ Կրթության, գիտության, մշակույթի և սպորտի նախարարություն</w:t>
            </w:r>
          </w:p>
        </w:tc>
      </w:tr>
      <w:tr w:rsidR="00674E04" w:rsidRPr="007955BB" w:rsidTr="00274986">
        <w:tc>
          <w:tcPr>
            <w:tcW w:w="1795" w:type="dxa"/>
          </w:tcPr>
          <w:p w:rsidR="00674E04" w:rsidRPr="007955BB" w:rsidRDefault="00674E04" w:rsidP="00674E04">
            <w:pPr>
              <w:spacing w:before="0" w:line="276" w:lineRule="auto"/>
              <w:ind w:firstLine="0"/>
              <w:rPr>
                <w:szCs w:val="22"/>
                <w:lang w:val="hy-AM"/>
              </w:rPr>
            </w:pPr>
            <w:r w:rsidRPr="007955BB">
              <w:rPr>
                <w:rFonts w:cs="GHEAGrapalat-Bold"/>
                <w:b w:val="0"/>
                <w:bCs/>
                <w:szCs w:val="22"/>
                <w:lang w:val="hy-AM"/>
              </w:rPr>
              <w:t>ԿԿԹԿ</w:t>
            </w:r>
            <w:r w:rsidRPr="007955BB">
              <w:rPr>
                <w:rFonts w:cs="GHEAGrapalat-Bold"/>
                <w:b w:val="0"/>
                <w:bCs/>
                <w:szCs w:val="22"/>
                <w:lang w:val="hy-AM"/>
              </w:rPr>
              <w:tab/>
            </w:r>
            <w:r w:rsidRPr="007955BB">
              <w:rPr>
                <w:rFonts w:cs="GHEAGrapalat-Bold"/>
                <w:b w:val="0"/>
                <w:bCs/>
                <w:szCs w:val="22"/>
                <w:lang w:val="hy-AM"/>
              </w:rPr>
              <w:tab/>
            </w:r>
          </w:p>
        </w:tc>
        <w:tc>
          <w:tcPr>
            <w:tcW w:w="7951" w:type="dxa"/>
          </w:tcPr>
          <w:p w:rsidR="00674E04" w:rsidRPr="007955BB" w:rsidRDefault="00674E04" w:rsidP="00674E04">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Կոշտ կենցաղային թափոնների կառավարում</w:t>
            </w:r>
          </w:p>
        </w:tc>
      </w:tr>
      <w:tr w:rsidR="00674E04" w:rsidRPr="007955BB" w:rsidTr="00274986">
        <w:tc>
          <w:tcPr>
            <w:tcW w:w="1795" w:type="dxa"/>
          </w:tcPr>
          <w:p w:rsidR="00674E04" w:rsidRPr="007955BB" w:rsidRDefault="00674E04" w:rsidP="00674E04">
            <w:pPr>
              <w:spacing w:before="0" w:line="276" w:lineRule="auto"/>
              <w:ind w:firstLine="0"/>
              <w:rPr>
                <w:szCs w:val="22"/>
                <w:lang w:val="hy-AM"/>
              </w:rPr>
            </w:pPr>
            <w:r w:rsidRPr="007955BB">
              <w:rPr>
                <w:rFonts w:cs="GHEAGrapalat-Bold"/>
                <w:b w:val="0"/>
                <w:bCs/>
                <w:szCs w:val="22"/>
                <w:lang w:val="hy-AM"/>
              </w:rPr>
              <w:t>ՀԱԷԿ</w:t>
            </w:r>
            <w:r w:rsidRPr="007955BB">
              <w:rPr>
                <w:rFonts w:cs="GHEAGrapalat-Bold"/>
                <w:b w:val="0"/>
                <w:bCs/>
                <w:szCs w:val="22"/>
                <w:lang w:val="hy-AM"/>
              </w:rPr>
              <w:tab/>
            </w:r>
            <w:r w:rsidRPr="007955BB">
              <w:rPr>
                <w:rFonts w:cs="GHEAGrapalat-Bold"/>
                <w:b w:val="0"/>
                <w:bCs/>
                <w:szCs w:val="22"/>
                <w:lang w:val="hy-AM"/>
              </w:rPr>
              <w:tab/>
            </w:r>
          </w:p>
        </w:tc>
        <w:tc>
          <w:tcPr>
            <w:tcW w:w="7951" w:type="dxa"/>
          </w:tcPr>
          <w:p w:rsidR="00674E04" w:rsidRPr="007955BB" w:rsidRDefault="00674E04" w:rsidP="00674E04">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Հայկական ատոմային էլեկտրակայան</w:t>
            </w:r>
          </w:p>
        </w:tc>
      </w:tr>
      <w:tr w:rsidR="00674E04" w:rsidRPr="007955BB" w:rsidTr="00274986">
        <w:tc>
          <w:tcPr>
            <w:tcW w:w="1795" w:type="dxa"/>
          </w:tcPr>
          <w:p w:rsidR="00674E04" w:rsidRPr="007955BB" w:rsidRDefault="00674E04" w:rsidP="00674E04">
            <w:pPr>
              <w:spacing w:before="0" w:line="276" w:lineRule="auto"/>
              <w:ind w:firstLine="0"/>
              <w:rPr>
                <w:szCs w:val="22"/>
                <w:lang w:val="hy-AM"/>
              </w:rPr>
            </w:pPr>
            <w:r w:rsidRPr="007955BB">
              <w:rPr>
                <w:rFonts w:cs="GHEAGrapalat-Bold"/>
                <w:b w:val="0"/>
                <w:bCs/>
                <w:szCs w:val="22"/>
                <w:lang w:val="hy-AM"/>
              </w:rPr>
              <w:t xml:space="preserve">ՀԲ </w:t>
            </w:r>
            <w:r w:rsidRPr="007955BB">
              <w:rPr>
                <w:rFonts w:cs="GHEAGrapalat-Bold"/>
                <w:b w:val="0"/>
                <w:bCs/>
                <w:szCs w:val="22"/>
                <w:lang w:val="hy-AM"/>
              </w:rPr>
              <w:tab/>
            </w:r>
            <w:r w:rsidRPr="007955BB">
              <w:rPr>
                <w:rFonts w:cs="GHEAGrapalat-Bold"/>
                <w:b w:val="0"/>
                <w:bCs/>
                <w:szCs w:val="22"/>
                <w:lang w:val="hy-AM"/>
              </w:rPr>
              <w:tab/>
            </w:r>
          </w:p>
        </w:tc>
        <w:tc>
          <w:tcPr>
            <w:tcW w:w="7951" w:type="dxa"/>
          </w:tcPr>
          <w:p w:rsidR="00674E04" w:rsidRPr="007955BB" w:rsidRDefault="00674E04" w:rsidP="00674E04">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Համաշխարհային բանկ</w:t>
            </w:r>
          </w:p>
        </w:tc>
      </w:tr>
      <w:tr w:rsidR="00674E04" w:rsidRPr="007955BB" w:rsidTr="00274986">
        <w:tc>
          <w:tcPr>
            <w:tcW w:w="1795" w:type="dxa"/>
          </w:tcPr>
          <w:p w:rsidR="00674E04" w:rsidRPr="007955BB" w:rsidRDefault="00674E04" w:rsidP="00674E04">
            <w:pPr>
              <w:spacing w:before="0" w:line="276" w:lineRule="auto"/>
              <w:ind w:firstLine="0"/>
              <w:rPr>
                <w:szCs w:val="22"/>
                <w:lang w:val="hy-AM"/>
              </w:rPr>
            </w:pPr>
            <w:r w:rsidRPr="007955BB">
              <w:rPr>
                <w:rFonts w:cs="GHEAGrapalat-Bold"/>
                <w:b w:val="0"/>
                <w:bCs/>
                <w:szCs w:val="22"/>
                <w:lang w:val="hy-AM"/>
              </w:rPr>
              <w:t xml:space="preserve">ՀՀ </w:t>
            </w:r>
            <w:r w:rsidRPr="007955BB">
              <w:rPr>
                <w:rFonts w:cs="GHEAGrapalat-Bold"/>
                <w:b w:val="0"/>
                <w:bCs/>
                <w:szCs w:val="22"/>
                <w:lang w:val="hy-AM"/>
              </w:rPr>
              <w:tab/>
            </w:r>
            <w:r w:rsidRPr="007955BB">
              <w:rPr>
                <w:rFonts w:cs="GHEAGrapalat-Bold"/>
                <w:b w:val="0"/>
                <w:bCs/>
                <w:szCs w:val="22"/>
                <w:lang w:val="hy-AM"/>
              </w:rPr>
              <w:tab/>
            </w:r>
          </w:p>
        </w:tc>
        <w:tc>
          <w:tcPr>
            <w:tcW w:w="7951" w:type="dxa"/>
          </w:tcPr>
          <w:p w:rsidR="00674E04" w:rsidRPr="007955BB" w:rsidRDefault="00674E04" w:rsidP="00674E04">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Հայաստանի Հանրապետություն</w:t>
            </w:r>
          </w:p>
        </w:tc>
      </w:tr>
      <w:tr w:rsidR="00674E04" w:rsidRPr="007955BB" w:rsidTr="00274986">
        <w:tc>
          <w:tcPr>
            <w:tcW w:w="1795" w:type="dxa"/>
          </w:tcPr>
          <w:p w:rsidR="00674E04" w:rsidRPr="007955BB" w:rsidRDefault="00674E04" w:rsidP="00674E04">
            <w:pPr>
              <w:spacing w:before="0" w:line="276" w:lineRule="auto"/>
              <w:ind w:firstLine="0"/>
              <w:rPr>
                <w:szCs w:val="22"/>
                <w:lang w:val="hy-AM"/>
              </w:rPr>
            </w:pPr>
            <w:r w:rsidRPr="007955BB">
              <w:rPr>
                <w:rFonts w:cs="GHEAGrapalat-Bold"/>
                <w:b w:val="0"/>
                <w:bCs/>
                <w:szCs w:val="22"/>
                <w:lang w:val="hy-AM"/>
              </w:rPr>
              <w:t>ՀՆԱ</w:t>
            </w:r>
            <w:r w:rsidRPr="007955BB">
              <w:rPr>
                <w:rFonts w:cs="GHEAGrapalat-Bold"/>
                <w:b w:val="0"/>
                <w:bCs/>
                <w:szCs w:val="22"/>
                <w:lang w:val="hy-AM"/>
              </w:rPr>
              <w:tab/>
            </w:r>
            <w:r w:rsidRPr="007955BB">
              <w:rPr>
                <w:rFonts w:cs="GHEAGrapalat-Bold"/>
                <w:b w:val="0"/>
                <w:bCs/>
                <w:szCs w:val="22"/>
                <w:lang w:val="hy-AM"/>
              </w:rPr>
              <w:tab/>
            </w:r>
          </w:p>
        </w:tc>
        <w:tc>
          <w:tcPr>
            <w:tcW w:w="7951" w:type="dxa"/>
          </w:tcPr>
          <w:p w:rsidR="00674E04" w:rsidRPr="007955BB" w:rsidRDefault="00674E04" w:rsidP="00674E04">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Համախառն ներքին արդյունք</w:t>
            </w:r>
          </w:p>
        </w:tc>
      </w:tr>
      <w:tr w:rsidR="00674E04" w:rsidRPr="00C43BF7" w:rsidTr="00274986">
        <w:tc>
          <w:tcPr>
            <w:tcW w:w="1795" w:type="dxa"/>
          </w:tcPr>
          <w:p w:rsidR="00674E04" w:rsidRPr="007955BB" w:rsidRDefault="00674E04" w:rsidP="00674E04">
            <w:pPr>
              <w:spacing w:before="0" w:line="276" w:lineRule="auto"/>
              <w:ind w:firstLine="0"/>
              <w:rPr>
                <w:szCs w:val="22"/>
                <w:lang w:val="hy-AM"/>
              </w:rPr>
            </w:pPr>
            <w:r w:rsidRPr="007955BB">
              <w:rPr>
                <w:rFonts w:cs="GHEAGrapalat-Bold"/>
                <w:b w:val="0"/>
                <w:bCs/>
                <w:szCs w:val="22"/>
                <w:lang w:val="hy-AM"/>
              </w:rPr>
              <w:t>ՀԾԿՀ</w:t>
            </w:r>
            <w:r w:rsidRPr="007955BB">
              <w:rPr>
                <w:rFonts w:cs="GHEAGrapalat-Bold"/>
                <w:b w:val="0"/>
                <w:bCs/>
                <w:szCs w:val="22"/>
                <w:lang w:val="hy-AM"/>
              </w:rPr>
              <w:tab/>
            </w:r>
            <w:r w:rsidRPr="007955BB">
              <w:rPr>
                <w:rFonts w:cs="GHEAGrapalat-Bold"/>
                <w:b w:val="0"/>
                <w:bCs/>
                <w:szCs w:val="22"/>
                <w:lang w:val="hy-AM"/>
              </w:rPr>
              <w:tab/>
            </w:r>
          </w:p>
        </w:tc>
        <w:tc>
          <w:tcPr>
            <w:tcW w:w="7951" w:type="dxa"/>
          </w:tcPr>
          <w:p w:rsidR="00674E04" w:rsidRPr="007955BB" w:rsidRDefault="00674E04" w:rsidP="00674E04">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 xml:space="preserve">ՀՀ Հանրային ծառայությունները կարգավորող հանձնաժողով </w:t>
            </w:r>
          </w:p>
        </w:tc>
      </w:tr>
      <w:tr w:rsidR="00674E04" w:rsidRPr="007955BB" w:rsidTr="00274986">
        <w:tc>
          <w:tcPr>
            <w:tcW w:w="1795" w:type="dxa"/>
          </w:tcPr>
          <w:p w:rsidR="00674E04" w:rsidRPr="007955BB" w:rsidRDefault="00674E04" w:rsidP="00674E04">
            <w:pPr>
              <w:spacing w:before="0" w:line="276" w:lineRule="auto"/>
              <w:ind w:firstLine="0"/>
              <w:rPr>
                <w:szCs w:val="22"/>
                <w:lang w:val="hy-AM"/>
              </w:rPr>
            </w:pPr>
            <w:r w:rsidRPr="007955BB">
              <w:rPr>
                <w:rFonts w:cs="GHEAGrapalat-Bold"/>
                <w:b w:val="0"/>
                <w:bCs/>
                <w:szCs w:val="22"/>
                <w:lang w:val="hy-AM"/>
              </w:rPr>
              <w:t>ՀԽՍՀ</w:t>
            </w:r>
            <w:r w:rsidRPr="007955BB">
              <w:rPr>
                <w:rFonts w:cs="GHEAGrapalat-Bold"/>
                <w:b w:val="0"/>
                <w:bCs/>
                <w:szCs w:val="22"/>
                <w:lang w:val="hy-AM"/>
              </w:rPr>
              <w:tab/>
            </w:r>
            <w:r w:rsidRPr="007955BB">
              <w:rPr>
                <w:rFonts w:cs="GHEAGrapalat-Bold"/>
                <w:b w:val="0"/>
                <w:bCs/>
                <w:szCs w:val="22"/>
                <w:lang w:val="hy-AM"/>
              </w:rPr>
              <w:tab/>
            </w:r>
          </w:p>
        </w:tc>
        <w:tc>
          <w:tcPr>
            <w:tcW w:w="7951" w:type="dxa"/>
          </w:tcPr>
          <w:p w:rsidR="00674E04" w:rsidRPr="007955BB" w:rsidRDefault="00674E04" w:rsidP="00674E04">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Հայկական Խորհրդային Սոցիալիստական Հանրապետություն</w:t>
            </w:r>
          </w:p>
        </w:tc>
      </w:tr>
      <w:tr w:rsidR="00674E04" w:rsidRPr="007955BB" w:rsidTr="00274986">
        <w:tc>
          <w:tcPr>
            <w:tcW w:w="1795" w:type="dxa"/>
          </w:tcPr>
          <w:p w:rsidR="00674E04" w:rsidRPr="007955BB" w:rsidRDefault="00674E04" w:rsidP="00674E04">
            <w:pPr>
              <w:spacing w:before="0" w:line="276" w:lineRule="auto"/>
              <w:ind w:firstLine="0"/>
              <w:rPr>
                <w:szCs w:val="22"/>
                <w:lang w:val="hy-AM"/>
              </w:rPr>
            </w:pPr>
            <w:r w:rsidRPr="007955BB">
              <w:rPr>
                <w:rFonts w:cs="GHEAGrapalat-Bold"/>
                <w:b w:val="0"/>
                <w:bCs/>
                <w:szCs w:val="22"/>
                <w:lang w:val="hy-AM"/>
              </w:rPr>
              <w:t>ՁԻԱՀ</w:t>
            </w:r>
            <w:r w:rsidRPr="007955BB">
              <w:rPr>
                <w:rFonts w:cs="GHEAGrapalat-Bold"/>
                <w:b w:val="0"/>
                <w:bCs/>
                <w:szCs w:val="22"/>
                <w:lang w:val="hy-AM"/>
              </w:rPr>
              <w:tab/>
            </w:r>
            <w:r w:rsidRPr="007955BB">
              <w:rPr>
                <w:rFonts w:cs="GHEAGrapalat-Bold"/>
                <w:b w:val="0"/>
                <w:bCs/>
                <w:szCs w:val="22"/>
                <w:lang w:val="hy-AM"/>
              </w:rPr>
              <w:tab/>
            </w:r>
          </w:p>
        </w:tc>
        <w:tc>
          <w:tcPr>
            <w:tcW w:w="7951" w:type="dxa"/>
          </w:tcPr>
          <w:p w:rsidR="00674E04" w:rsidRPr="007955BB" w:rsidRDefault="00674E04" w:rsidP="00674E04">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Ձեռքբերովի</w:t>
            </w:r>
            <w:r w:rsidRPr="007955BB">
              <w:rPr>
                <w:rFonts w:ascii="Calibri" w:hAnsi="Calibri" w:cs="Calibri"/>
                <w:b w:val="0"/>
                <w:bCs/>
                <w:szCs w:val="22"/>
                <w:lang w:val="hy-AM"/>
              </w:rPr>
              <w:t> </w:t>
            </w:r>
            <w:r w:rsidRPr="007955BB">
              <w:rPr>
                <w:rFonts w:cs="GHEAGrapalat-Bold"/>
                <w:b w:val="0"/>
                <w:bCs/>
                <w:szCs w:val="22"/>
                <w:lang w:val="hy-AM"/>
              </w:rPr>
              <w:t>իմունային անբավարարության համախտանիշ</w:t>
            </w:r>
          </w:p>
        </w:tc>
      </w:tr>
      <w:tr w:rsidR="00674E04" w:rsidRPr="007955BB" w:rsidTr="00274986">
        <w:tc>
          <w:tcPr>
            <w:tcW w:w="1795" w:type="dxa"/>
          </w:tcPr>
          <w:p w:rsidR="00674E04" w:rsidRPr="007955BB" w:rsidRDefault="00674E04" w:rsidP="00674E04">
            <w:pPr>
              <w:spacing w:before="0" w:line="276" w:lineRule="auto"/>
              <w:ind w:firstLine="0"/>
              <w:rPr>
                <w:szCs w:val="22"/>
                <w:lang w:val="hy-AM"/>
              </w:rPr>
            </w:pPr>
            <w:r w:rsidRPr="007955BB">
              <w:rPr>
                <w:rFonts w:cs="GHEAGrapalat-Bold"/>
                <w:b w:val="0"/>
                <w:bCs/>
                <w:szCs w:val="22"/>
                <w:lang w:val="hy-AM"/>
              </w:rPr>
              <w:t>ՄԻԱՎ</w:t>
            </w:r>
            <w:r w:rsidRPr="007955BB">
              <w:rPr>
                <w:rFonts w:cs="GHEAGrapalat-Bold"/>
                <w:b w:val="0"/>
                <w:bCs/>
                <w:szCs w:val="22"/>
                <w:lang w:val="hy-AM"/>
              </w:rPr>
              <w:tab/>
            </w:r>
            <w:r w:rsidRPr="007955BB">
              <w:rPr>
                <w:rFonts w:cs="GHEAGrapalat-Bold"/>
                <w:b w:val="0"/>
                <w:bCs/>
                <w:szCs w:val="22"/>
                <w:lang w:val="hy-AM"/>
              </w:rPr>
              <w:tab/>
            </w:r>
          </w:p>
        </w:tc>
        <w:tc>
          <w:tcPr>
            <w:tcW w:w="7951" w:type="dxa"/>
          </w:tcPr>
          <w:p w:rsidR="00674E04" w:rsidRPr="007955BB" w:rsidRDefault="00674E04" w:rsidP="00674E04">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Մարդու իմունային անբավարարության վիրուս</w:t>
            </w:r>
          </w:p>
        </w:tc>
      </w:tr>
      <w:tr w:rsidR="00674E04" w:rsidRPr="00C43BF7" w:rsidTr="00274986">
        <w:tc>
          <w:tcPr>
            <w:tcW w:w="1795" w:type="dxa"/>
          </w:tcPr>
          <w:p w:rsidR="00674E04" w:rsidRPr="007955BB" w:rsidRDefault="00674E04" w:rsidP="00674E04">
            <w:pPr>
              <w:spacing w:before="0" w:line="276" w:lineRule="auto"/>
              <w:ind w:firstLine="0"/>
              <w:rPr>
                <w:szCs w:val="22"/>
                <w:lang w:val="hy-AM"/>
              </w:rPr>
            </w:pPr>
            <w:r w:rsidRPr="007955BB">
              <w:rPr>
                <w:rFonts w:cs="GHEAGrapalat-Bold"/>
                <w:b w:val="0"/>
                <w:bCs/>
                <w:szCs w:val="22"/>
                <w:lang w:val="hy-AM"/>
              </w:rPr>
              <w:t>ՄԺԾԾ</w:t>
            </w:r>
          </w:p>
        </w:tc>
        <w:tc>
          <w:tcPr>
            <w:tcW w:w="7951" w:type="dxa"/>
          </w:tcPr>
          <w:p w:rsidR="00674E04" w:rsidRPr="007955BB" w:rsidRDefault="00674E04" w:rsidP="00674E04">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ab/>
              <w:t>ՀՀ պետական միջնաժամկետ ծախսերի ծրագիր</w:t>
            </w:r>
          </w:p>
        </w:tc>
      </w:tr>
      <w:tr w:rsidR="00674E04" w:rsidRPr="007955BB" w:rsidTr="00274986">
        <w:tc>
          <w:tcPr>
            <w:tcW w:w="1795" w:type="dxa"/>
          </w:tcPr>
          <w:p w:rsidR="00674E04" w:rsidRPr="007955BB" w:rsidRDefault="00674E04" w:rsidP="00674E04">
            <w:pPr>
              <w:spacing w:before="0" w:line="276" w:lineRule="auto"/>
              <w:ind w:firstLine="0"/>
              <w:rPr>
                <w:szCs w:val="22"/>
                <w:lang w:val="hy-AM"/>
              </w:rPr>
            </w:pPr>
            <w:r w:rsidRPr="007955BB">
              <w:rPr>
                <w:rFonts w:cs="GHEAGrapalat-Bold"/>
                <w:b w:val="0"/>
                <w:bCs/>
                <w:szCs w:val="22"/>
                <w:lang w:val="hy-AM"/>
              </w:rPr>
              <w:t>ՊԵԿ</w:t>
            </w:r>
          </w:p>
        </w:tc>
        <w:tc>
          <w:tcPr>
            <w:tcW w:w="7951" w:type="dxa"/>
          </w:tcPr>
          <w:p w:rsidR="00674E04" w:rsidRPr="007955BB" w:rsidRDefault="00674E04" w:rsidP="00674E04">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ab/>
            </w:r>
            <w:r w:rsidRPr="007955BB">
              <w:rPr>
                <w:rFonts w:cs="GHEAGrapalat-Bold"/>
                <w:b w:val="0"/>
                <w:bCs/>
                <w:szCs w:val="22"/>
                <w:lang w:val="hy-AM"/>
              </w:rPr>
              <w:tab/>
            </w:r>
            <w:r w:rsidRPr="007955BB">
              <w:rPr>
                <w:rFonts w:cs="GHEAGrapalat-Bold"/>
                <w:b w:val="0"/>
                <w:bCs/>
                <w:szCs w:val="22"/>
                <w:lang w:val="en-US"/>
              </w:rPr>
              <w:t xml:space="preserve">ՀՀ </w:t>
            </w:r>
            <w:r w:rsidRPr="007955BB">
              <w:rPr>
                <w:rFonts w:cs="GHEAGrapalat-Bold"/>
                <w:b w:val="0"/>
                <w:bCs/>
                <w:szCs w:val="22"/>
                <w:lang w:val="hy-AM"/>
              </w:rPr>
              <w:t xml:space="preserve">Պետական եկամուտների կոմիտե </w:t>
            </w:r>
          </w:p>
        </w:tc>
      </w:tr>
      <w:tr w:rsidR="00674E04" w:rsidRPr="007955BB" w:rsidTr="00274986">
        <w:tc>
          <w:tcPr>
            <w:tcW w:w="1795" w:type="dxa"/>
          </w:tcPr>
          <w:p w:rsidR="00674E04" w:rsidRPr="007955BB" w:rsidRDefault="00674E04" w:rsidP="00674E04">
            <w:pPr>
              <w:spacing w:before="0" w:line="276" w:lineRule="auto"/>
              <w:ind w:firstLine="0"/>
              <w:rPr>
                <w:szCs w:val="22"/>
                <w:lang w:val="hy-AM"/>
              </w:rPr>
            </w:pPr>
            <w:r w:rsidRPr="007955BB">
              <w:rPr>
                <w:rFonts w:cs="GHEAGrapalat-Bold"/>
                <w:b w:val="0"/>
                <w:bCs/>
                <w:szCs w:val="22"/>
                <w:lang w:val="hy-AM"/>
              </w:rPr>
              <w:t xml:space="preserve">ՊՄԳ  </w:t>
            </w:r>
            <w:r w:rsidRPr="007955BB">
              <w:rPr>
                <w:rFonts w:cs="GHEAGrapalat-Bold"/>
                <w:b w:val="0"/>
                <w:bCs/>
                <w:szCs w:val="22"/>
                <w:lang w:val="hy-AM"/>
              </w:rPr>
              <w:tab/>
            </w:r>
            <w:r w:rsidRPr="007955BB">
              <w:rPr>
                <w:rFonts w:cs="GHEAGrapalat-Bold"/>
                <w:b w:val="0"/>
                <w:bCs/>
                <w:szCs w:val="22"/>
                <w:lang w:val="hy-AM"/>
              </w:rPr>
              <w:tab/>
            </w:r>
          </w:p>
        </w:tc>
        <w:tc>
          <w:tcPr>
            <w:tcW w:w="7951" w:type="dxa"/>
          </w:tcPr>
          <w:p w:rsidR="00674E04" w:rsidRPr="007955BB" w:rsidRDefault="00674E04" w:rsidP="00674E04">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Պետություն-մասնավոր գործընկերություն</w:t>
            </w:r>
          </w:p>
        </w:tc>
      </w:tr>
      <w:tr w:rsidR="00674E04" w:rsidRPr="007955BB" w:rsidTr="00274986">
        <w:tc>
          <w:tcPr>
            <w:tcW w:w="1795" w:type="dxa"/>
          </w:tcPr>
          <w:p w:rsidR="00674E04" w:rsidRPr="007955BB" w:rsidRDefault="00674E04" w:rsidP="00674E04">
            <w:pPr>
              <w:spacing w:before="0" w:line="276" w:lineRule="auto"/>
              <w:ind w:firstLine="0"/>
              <w:rPr>
                <w:szCs w:val="22"/>
                <w:lang w:val="hy-AM"/>
              </w:rPr>
            </w:pPr>
            <w:r w:rsidRPr="007955BB">
              <w:rPr>
                <w:rFonts w:cs="GHEAGrapalat-Bold"/>
                <w:b w:val="0"/>
                <w:bCs/>
                <w:szCs w:val="22"/>
                <w:lang w:val="hy-AM"/>
              </w:rPr>
              <w:t xml:space="preserve">ՊՆ  </w:t>
            </w:r>
            <w:r w:rsidRPr="007955BB">
              <w:rPr>
                <w:rFonts w:cs="GHEAGrapalat-Bold"/>
                <w:b w:val="0"/>
                <w:bCs/>
                <w:szCs w:val="22"/>
                <w:lang w:val="hy-AM"/>
              </w:rPr>
              <w:tab/>
            </w:r>
            <w:r w:rsidRPr="007955BB">
              <w:rPr>
                <w:rFonts w:cs="GHEAGrapalat-Bold"/>
                <w:b w:val="0"/>
                <w:bCs/>
                <w:szCs w:val="22"/>
                <w:lang w:val="hy-AM"/>
              </w:rPr>
              <w:tab/>
            </w:r>
          </w:p>
        </w:tc>
        <w:tc>
          <w:tcPr>
            <w:tcW w:w="7951" w:type="dxa"/>
          </w:tcPr>
          <w:p w:rsidR="00674E04" w:rsidRPr="007955BB" w:rsidRDefault="00674E04" w:rsidP="00674E04">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en-US"/>
              </w:rPr>
              <w:t xml:space="preserve">ՀՀ </w:t>
            </w:r>
            <w:r w:rsidRPr="007955BB">
              <w:rPr>
                <w:rFonts w:cs="GHEAGrapalat-Bold"/>
                <w:b w:val="0"/>
                <w:bCs/>
                <w:szCs w:val="22"/>
                <w:lang w:val="hy-AM"/>
              </w:rPr>
              <w:t>Պաշտպանության նախարարություն</w:t>
            </w:r>
          </w:p>
        </w:tc>
      </w:tr>
      <w:tr w:rsidR="00674E04" w:rsidRPr="007955BB" w:rsidTr="00274986">
        <w:tc>
          <w:tcPr>
            <w:tcW w:w="1795" w:type="dxa"/>
          </w:tcPr>
          <w:p w:rsidR="00674E04" w:rsidRPr="007955BB" w:rsidRDefault="00674E04" w:rsidP="00674E04">
            <w:pPr>
              <w:spacing w:before="0" w:line="276" w:lineRule="auto"/>
              <w:ind w:firstLine="0"/>
              <w:rPr>
                <w:szCs w:val="22"/>
                <w:lang w:val="hy-AM"/>
              </w:rPr>
            </w:pPr>
            <w:r w:rsidRPr="007955BB">
              <w:rPr>
                <w:rFonts w:cs="GHEAGrapalat-Bold"/>
                <w:b w:val="0"/>
                <w:bCs/>
                <w:szCs w:val="22"/>
                <w:lang w:val="hy-AM"/>
              </w:rPr>
              <w:t xml:space="preserve">ՊՈԱԿ  </w:t>
            </w:r>
          </w:p>
        </w:tc>
        <w:tc>
          <w:tcPr>
            <w:tcW w:w="7951" w:type="dxa"/>
          </w:tcPr>
          <w:p w:rsidR="00674E04" w:rsidRPr="007955BB" w:rsidRDefault="00674E04" w:rsidP="00674E04">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ab/>
              <w:t>Պետական ոչ առևտրային կազմակերպություն</w:t>
            </w:r>
          </w:p>
        </w:tc>
      </w:tr>
      <w:tr w:rsidR="00674E04" w:rsidRPr="007955BB" w:rsidTr="00274986">
        <w:tc>
          <w:tcPr>
            <w:tcW w:w="1795" w:type="dxa"/>
          </w:tcPr>
          <w:p w:rsidR="00674E04" w:rsidRPr="007955BB" w:rsidRDefault="00674E04" w:rsidP="00674E04">
            <w:pPr>
              <w:spacing w:before="0" w:line="276" w:lineRule="auto"/>
              <w:ind w:firstLine="0"/>
              <w:rPr>
                <w:szCs w:val="22"/>
                <w:lang w:val="hy-AM"/>
              </w:rPr>
            </w:pPr>
            <w:r w:rsidRPr="007955BB">
              <w:rPr>
                <w:rFonts w:cs="GHEAGrapalat-Bold"/>
                <w:b w:val="0"/>
                <w:bCs/>
                <w:szCs w:val="22"/>
                <w:lang w:val="hy-AM"/>
              </w:rPr>
              <w:t>ՊՖԿՀ</w:t>
            </w:r>
            <w:r w:rsidRPr="007955BB">
              <w:rPr>
                <w:rFonts w:cs="GHEAGrapalat-Bold"/>
                <w:b w:val="0"/>
                <w:bCs/>
                <w:szCs w:val="22"/>
                <w:lang w:val="hy-AM"/>
              </w:rPr>
              <w:tab/>
            </w:r>
            <w:r w:rsidRPr="007955BB">
              <w:rPr>
                <w:rFonts w:cs="GHEAGrapalat-Bold"/>
                <w:b w:val="0"/>
                <w:bCs/>
                <w:szCs w:val="22"/>
                <w:lang w:val="hy-AM"/>
              </w:rPr>
              <w:tab/>
            </w:r>
          </w:p>
        </w:tc>
        <w:tc>
          <w:tcPr>
            <w:tcW w:w="7951" w:type="dxa"/>
          </w:tcPr>
          <w:p w:rsidR="00674E04" w:rsidRPr="007955BB" w:rsidRDefault="00674E04" w:rsidP="00674E04">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Պետական ֆինանսների կառավարման համակարգ</w:t>
            </w:r>
          </w:p>
        </w:tc>
      </w:tr>
      <w:tr w:rsidR="00674E04" w:rsidRPr="007955BB" w:rsidTr="00274986">
        <w:tc>
          <w:tcPr>
            <w:tcW w:w="1795" w:type="dxa"/>
          </w:tcPr>
          <w:p w:rsidR="00674E04" w:rsidRPr="007955BB" w:rsidRDefault="00674E04" w:rsidP="00674E04">
            <w:pPr>
              <w:spacing w:before="0" w:line="276" w:lineRule="auto"/>
              <w:ind w:firstLine="0"/>
              <w:rPr>
                <w:szCs w:val="22"/>
                <w:lang w:val="hy-AM"/>
              </w:rPr>
            </w:pPr>
            <w:r w:rsidRPr="007955BB">
              <w:rPr>
                <w:rFonts w:cs="GHEAGrapalat-Bold"/>
                <w:b w:val="0"/>
                <w:bCs/>
                <w:szCs w:val="22"/>
                <w:lang w:val="hy-AM"/>
              </w:rPr>
              <w:t>ՌԴ</w:t>
            </w:r>
            <w:r w:rsidRPr="007955BB">
              <w:rPr>
                <w:rFonts w:cs="GHEAGrapalat-Bold"/>
                <w:b w:val="0"/>
                <w:bCs/>
                <w:szCs w:val="22"/>
                <w:lang w:val="hy-AM"/>
              </w:rPr>
              <w:tab/>
            </w:r>
            <w:r w:rsidRPr="007955BB">
              <w:rPr>
                <w:rFonts w:cs="GHEAGrapalat-Bold"/>
                <w:b w:val="0"/>
                <w:bCs/>
                <w:szCs w:val="22"/>
                <w:lang w:val="hy-AM"/>
              </w:rPr>
              <w:tab/>
            </w:r>
          </w:p>
        </w:tc>
        <w:tc>
          <w:tcPr>
            <w:tcW w:w="7951" w:type="dxa"/>
          </w:tcPr>
          <w:p w:rsidR="00674E04" w:rsidRPr="007955BB" w:rsidRDefault="00674E04" w:rsidP="00674E04">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 xml:space="preserve">Ռուսաստանի Դաշնություն </w:t>
            </w:r>
          </w:p>
        </w:tc>
      </w:tr>
      <w:tr w:rsidR="00674E04" w:rsidRPr="007955BB" w:rsidTr="00274986">
        <w:tc>
          <w:tcPr>
            <w:tcW w:w="1795" w:type="dxa"/>
          </w:tcPr>
          <w:p w:rsidR="00674E04" w:rsidRPr="007955BB" w:rsidRDefault="00674E04" w:rsidP="00674E04">
            <w:pPr>
              <w:spacing w:before="0" w:line="276" w:lineRule="auto"/>
              <w:ind w:firstLine="0"/>
              <w:rPr>
                <w:szCs w:val="22"/>
                <w:lang w:val="hy-AM"/>
              </w:rPr>
            </w:pPr>
            <w:r w:rsidRPr="007955BB">
              <w:rPr>
                <w:rFonts w:cs="GHEAGrapalat-Bold"/>
                <w:b w:val="0"/>
                <w:bCs/>
                <w:szCs w:val="22"/>
                <w:lang w:val="hy-AM"/>
              </w:rPr>
              <w:t>ՍԳԻ</w:t>
            </w:r>
            <w:r w:rsidRPr="007955BB">
              <w:rPr>
                <w:rFonts w:cs="GHEAGrapalat-Bold"/>
                <w:b w:val="0"/>
                <w:bCs/>
                <w:szCs w:val="22"/>
                <w:lang w:val="hy-AM"/>
              </w:rPr>
              <w:tab/>
            </w:r>
            <w:r w:rsidRPr="007955BB">
              <w:rPr>
                <w:rFonts w:cs="GHEAGrapalat-Bold"/>
                <w:b w:val="0"/>
                <w:bCs/>
                <w:szCs w:val="22"/>
                <w:lang w:val="hy-AM"/>
              </w:rPr>
              <w:tab/>
            </w:r>
          </w:p>
        </w:tc>
        <w:tc>
          <w:tcPr>
            <w:tcW w:w="7951" w:type="dxa"/>
          </w:tcPr>
          <w:p w:rsidR="00674E04" w:rsidRPr="007955BB" w:rsidRDefault="00674E04" w:rsidP="00674E04">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Սպառողական գների ինդեքս</w:t>
            </w:r>
          </w:p>
        </w:tc>
      </w:tr>
      <w:tr w:rsidR="00674E04" w:rsidRPr="00C43BF7" w:rsidTr="00274986">
        <w:tc>
          <w:tcPr>
            <w:tcW w:w="1795" w:type="dxa"/>
          </w:tcPr>
          <w:p w:rsidR="00674E04" w:rsidRPr="007955BB" w:rsidRDefault="00674E04" w:rsidP="00674E04">
            <w:pPr>
              <w:spacing w:before="0" w:line="276" w:lineRule="auto"/>
              <w:ind w:firstLine="0"/>
              <w:rPr>
                <w:szCs w:val="22"/>
                <w:lang w:val="hy-AM"/>
              </w:rPr>
            </w:pPr>
            <w:r w:rsidRPr="007955BB">
              <w:rPr>
                <w:rFonts w:cs="GHEAGrapalat-Bold"/>
                <w:b w:val="0"/>
                <w:bCs/>
                <w:szCs w:val="22"/>
                <w:lang w:val="hy-AM"/>
              </w:rPr>
              <w:t>ՎԶՄԲ</w:t>
            </w:r>
            <w:r w:rsidRPr="007955BB">
              <w:rPr>
                <w:rFonts w:cs="GHEAGrapalat-Bold"/>
                <w:b w:val="0"/>
                <w:bCs/>
                <w:szCs w:val="22"/>
                <w:lang w:val="hy-AM"/>
              </w:rPr>
              <w:tab/>
            </w:r>
            <w:r w:rsidRPr="007955BB">
              <w:rPr>
                <w:rFonts w:cs="GHEAGrapalat-Bold"/>
                <w:b w:val="0"/>
                <w:bCs/>
                <w:szCs w:val="22"/>
                <w:lang w:val="hy-AM"/>
              </w:rPr>
              <w:tab/>
            </w:r>
          </w:p>
        </w:tc>
        <w:tc>
          <w:tcPr>
            <w:tcW w:w="7951" w:type="dxa"/>
          </w:tcPr>
          <w:p w:rsidR="00674E04" w:rsidRPr="007955BB" w:rsidRDefault="00674E04" w:rsidP="00674E04">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Վերակառուցման և զարգացման միջազգային բանկ</w:t>
            </w:r>
          </w:p>
        </w:tc>
      </w:tr>
      <w:tr w:rsidR="00674E04" w:rsidRPr="007955BB" w:rsidTr="00274986">
        <w:tc>
          <w:tcPr>
            <w:tcW w:w="1795" w:type="dxa"/>
          </w:tcPr>
          <w:p w:rsidR="00674E04" w:rsidRPr="007955BB" w:rsidRDefault="00674E04" w:rsidP="00674E04">
            <w:pPr>
              <w:spacing w:before="0" w:line="276" w:lineRule="auto"/>
              <w:ind w:firstLine="0"/>
              <w:rPr>
                <w:szCs w:val="22"/>
                <w:lang w:val="hy-AM"/>
              </w:rPr>
            </w:pPr>
            <w:r w:rsidRPr="007955BB">
              <w:rPr>
                <w:rFonts w:cs="GHEAGrapalat-Bold"/>
                <w:b w:val="0"/>
                <w:bCs/>
                <w:szCs w:val="22"/>
                <w:lang w:val="hy-AM"/>
              </w:rPr>
              <w:t>ՏԻՄ</w:t>
            </w:r>
            <w:r w:rsidRPr="007955BB">
              <w:rPr>
                <w:rFonts w:cs="GHEAGrapalat-Bold"/>
                <w:b w:val="0"/>
                <w:bCs/>
                <w:szCs w:val="22"/>
                <w:lang w:val="hy-AM"/>
              </w:rPr>
              <w:tab/>
            </w:r>
            <w:r w:rsidRPr="007955BB">
              <w:rPr>
                <w:rFonts w:cs="GHEAGrapalat-Bold"/>
                <w:b w:val="0"/>
                <w:bCs/>
                <w:szCs w:val="22"/>
                <w:lang w:val="hy-AM"/>
              </w:rPr>
              <w:tab/>
            </w:r>
          </w:p>
        </w:tc>
        <w:tc>
          <w:tcPr>
            <w:tcW w:w="7951" w:type="dxa"/>
          </w:tcPr>
          <w:p w:rsidR="00674E04" w:rsidRPr="007955BB" w:rsidRDefault="00674E04" w:rsidP="00674E04">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Տեղական ինքնակառավարում</w:t>
            </w:r>
          </w:p>
        </w:tc>
      </w:tr>
      <w:tr w:rsidR="00674E04" w:rsidRPr="007955BB" w:rsidTr="00274986">
        <w:tc>
          <w:tcPr>
            <w:tcW w:w="1795" w:type="dxa"/>
          </w:tcPr>
          <w:p w:rsidR="00674E04" w:rsidRPr="007955BB" w:rsidRDefault="00674E04" w:rsidP="00674E04">
            <w:pPr>
              <w:spacing w:before="0" w:line="276" w:lineRule="auto"/>
              <w:ind w:firstLine="0"/>
              <w:rPr>
                <w:szCs w:val="22"/>
                <w:lang w:val="hy-AM"/>
              </w:rPr>
            </w:pPr>
            <w:r w:rsidRPr="007955BB">
              <w:rPr>
                <w:rFonts w:cs="GHEAGrapalat-Bold"/>
                <w:b w:val="0"/>
                <w:bCs/>
                <w:szCs w:val="22"/>
                <w:lang w:val="hy-AM"/>
              </w:rPr>
              <w:t>ՏՏ</w:t>
            </w:r>
            <w:r w:rsidRPr="007955BB">
              <w:rPr>
                <w:rFonts w:cs="GHEAGrapalat-Bold"/>
                <w:b w:val="0"/>
                <w:bCs/>
                <w:szCs w:val="22"/>
                <w:lang w:val="hy-AM"/>
              </w:rPr>
              <w:tab/>
            </w:r>
            <w:r w:rsidRPr="007955BB">
              <w:rPr>
                <w:rFonts w:cs="GHEAGrapalat-Bold"/>
                <w:b w:val="0"/>
                <w:bCs/>
                <w:szCs w:val="22"/>
                <w:lang w:val="hy-AM"/>
              </w:rPr>
              <w:tab/>
            </w:r>
          </w:p>
        </w:tc>
        <w:tc>
          <w:tcPr>
            <w:tcW w:w="7951" w:type="dxa"/>
          </w:tcPr>
          <w:p w:rsidR="00674E04" w:rsidRPr="007955BB" w:rsidRDefault="00674E04" w:rsidP="00674E04">
            <w:pPr>
              <w:spacing w:before="0" w:line="276" w:lineRule="auto"/>
              <w:ind w:firstLine="0"/>
              <w:jc w:val="left"/>
              <w:rPr>
                <w:szCs w:val="22"/>
                <w:lang w:val="hy-AM"/>
              </w:rPr>
            </w:pPr>
            <w:r w:rsidRPr="007955BB">
              <w:rPr>
                <w:rFonts w:cs="GHEAGrapalat-Bold"/>
                <w:b w:val="0"/>
                <w:bCs/>
                <w:szCs w:val="22"/>
                <w:lang w:val="hy-AM"/>
              </w:rPr>
              <w:t>Տեղեկատվական տեխնոլոգիաներ</w:t>
            </w:r>
          </w:p>
        </w:tc>
      </w:tr>
      <w:tr w:rsidR="00674E04" w:rsidRPr="007955BB" w:rsidTr="00274986">
        <w:tc>
          <w:tcPr>
            <w:tcW w:w="1795" w:type="dxa"/>
          </w:tcPr>
          <w:p w:rsidR="00674E04" w:rsidRPr="007955BB" w:rsidRDefault="00674E04" w:rsidP="00674E04">
            <w:pPr>
              <w:spacing w:before="0" w:line="276" w:lineRule="auto"/>
              <w:ind w:firstLine="0"/>
              <w:rPr>
                <w:szCs w:val="22"/>
                <w:lang w:val="hy-AM"/>
              </w:rPr>
            </w:pPr>
            <w:r w:rsidRPr="007955BB">
              <w:rPr>
                <w:rFonts w:cs="GHEAGrapalat-Bold"/>
                <w:b w:val="0"/>
                <w:bCs/>
                <w:szCs w:val="22"/>
                <w:lang w:val="hy-AM"/>
              </w:rPr>
              <w:t>ՓԲԸ</w:t>
            </w:r>
            <w:r w:rsidRPr="007955BB">
              <w:rPr>
                <w:rFonts w:cs="GHEAGrapalat-Bold"/>
                <w:b w:val="0"/>
                <w:bCs/>
                <w:szCs w:val="22"/>
                <w:lang w:val="hy-AM"/>
              </w:rPr>
              <w:tab/>
            </w:r>
            <w:r w:rsidRPr="007955BB">
              <w:rPr>
                <w:rFonts w:cs="GHEAGrapalat-Bold"/>
                <w:b w:val="0"/>
                <w:bCs/>
                <w:szCs w:val="22"/>
                <w:lang w:val="hy-AM"/>
              </w:rPr>
              <w:tab/>
            </w:r>
          </w:p>
        </w:tc>
        <w:tc>
          <w:tcPr>
            <w:tcW w:w="7951" w:type="dxa"/>
          </w:tcPr>
          <w:p w:rsidR="00674E04" w:rsidRPr="007955BB" w:rsidRDefault="00674E04" w:rsidP="00674E04">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Փակ բաժնետիրական</w:t>
            </w:r>
            <w:r w:rsidRPr="007955BB">
              <w:rPr>
                <w:b w:val="0"/>
                <w:noProof/>
                <w:szCs w:val="22"/>
                <w:lang w:val="hy-AM"/>
              </w:rPr>
              <w:t xml:space="preserve"> ընկերություն</w:t>
            </w:r>
          </w:p>
        </w:tc>
      </w:tr>
      <w:tr w:rsidR="00674E04" w:rsidRPr="007955BB" w:rsidTr="00274986">
        <w:tc>
          <w:tcPr>
            <w:tcW w:w="1795" w:type="dxa"/>
          </w:tcPr>
          <w:p w:rsidR="00674E04" w:rsidRPr="007955BB" w:rsidRDefault="00674E04" w:rsidP="00674E04">
            <w:pPr>
              <w:spacing w:before="0" w:line="276" w:lineRule="auto"/>
              <w:ind w:firstLine="0"/>
              <w:rPr>
                <w:szCs w:val="22"/>
                <w:lang w:val="hy-AM"/>
              </w:rPr>
            </w:pPr>
            <w:r w:rsidRPr="007955BB">
              <w:rPr>
                <w:rFonts w:cs="GHEAGrapalat-Bold"/>
                <w:b w:val="0"/>
                <w:bCs/>
                <w:szCs w:val="22"/>
                <w:lang w:val="hy-AM"/>
              </w:rPr>
              <w:t>ՓՄՁ</w:t>
            </w:r>
            <w:r w:rsidRPr="007955BB">
              <w:rPr>
                <w:rFonts w:cs="GHEAGrapalat-Bold"/>
                <w:b w:val="0"/>
                <w:bCs/>
                <w:szCs w:val="22"/>
                <w:lang w:val="hy-AM"/>
              </w:rPr>
              <w:tab/>
            </w:r>
            <w:r w:rsidRPr="007955BB">
              <w:rPr>
                <w:rFonts w:cs="GHEAGrapalat-Bold"/>
                <w:b w:val="0"/>
                <w:bCs/>
                <w:szCs w:val="22"/>
                <w:lang w:val="hy-AM"/>
              </w:rPr>
              <w:tab/>
            </w:r>
          </w:p>
        </w:tc>
        <w:tc>
          <w:tcPr>
            <w:tcW w:w="7951" w:type="dxa"/>
          </w:tcPr>
          <w:p w:rsidR="00674E04" w:rsidRPr="007955BB" w:rsidRDefault="00674E04" w:rsidP="00674E04">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Փոքր և միջին ձեռնարկատիրություն</w:t>
            </w:r>
          </w:p>
        </w:tc>
      </w:tr>
      <w:tr w:rsidR="00674E04" w:rsidRPr="007955BB" w:rsidTr="00274986">
        <w:tc>
          <w:tcPr>
            <w:tcW w:w="1795" w:type="dxa"/>
          </w:tcPr>
          <w:p w:rsidR="00674E04" w:rsidRPr="007955BB" w:rsidRDefault="00674E04" w:rsidP="00674E04">
            <w:pPr>
              <w:spacing w:before="0" w:line="276" w:lineRule="auto"/>
              <w:ind w:firstLine="0"/>
              <w:rPr>
                <w:szCs w:val="22"/>
                <w:lang w:val="hy-AM"/>
              </w:rPr>
            </w:pPr>
            <w:r w:rsidRPr="007955BB">
              <w:rPr>
                <w:rFonts w:cs="GHEAGrapalat-Bold"/>
                <w:b w:val="0"/>
                <w:bCs/>
                <w:szCs w:val="22"/>
                <w:lang w:val="hy-AM"/>
              </w:rPr>
              <w:t>ՔՀԿ</w:t>
            </w:r>
            <w:r w:rsidRPr="007955BB">
              <w:rPr>
                <w:rFonts w:cs="GHEAGrapalat-Bold"/>
                <w:b w:val="0"/>
                <w:bCs/>
                <w:szCs w:val="22"/>
                <w:lang w:val="hy-AM"/>
              </w:rPr>
              <w:tab/>
            </w:r>
            <w:r w:rsidRPr="007955BB">
              <w:rPr>
                <w:rFonts w:cs="GHEAGrapalat-Bold"/>
                <w:b w:val="0"/>
                <w:bCs/>
                <w:szCs w:val="22"/>
                <w:lang w:val="hy-AM"/>
              </w:rPr>
              <w:tab/>
            </w:r>
          </w:p>
        </w:tc>
        <w:tc>
          <w:tcPr>
            <w:tcW w:w="7951" w:type="dxa"/>
          </w:tcPr>
          <w:p w:rsidR="00674E04" w:rsidRPr="007955BB" w:rsidRDefault="00674E04" w:rsidP="00674E04">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hy-AM"/>
              </w:rPr>
              <w:t xml:space="preserve">Քաղաքացիական հասարակության կազմակերպություններ </w:t>
            </w:r>
          </w:p>
        </w:tc>
      </w:tr>
      <w:tr w:rsidR="00674E04" w:rsidRPr="007955BB" w:rsidTr="00274986">
        <w:tc>
          <w:tcPr>
            <w:tcW w:w="1795" w:type="dxa"/>
          </w:tcPr>
          <w:p w:rsidR="00674E04" w:rsidRPr="007955BB" w:rsidRDefault="00674E04" w:rsidP="00674E04">
            <w:pPr>
              <w:spacing w:before="0" w:line="276" w:lineRule="auto"/>
              <w:ind w:firstLine="0"/>
              <w:rPr>
                <w:szCs w:val="22"/>
                <w:lang w:val="hy-AM"/>
              </w:rPr>
            </w:pPr>
            <w:r w:rsidRPr="007955BB">
              <w:rPr>
                <w:rFonts w:cs="GHEAGrapalat-Bold"/>
                <w:b w:val="0"/>
                <w:bCs/>
                <w:szCs w:val="22"/>
                <w:lang w:val="hy-AM"/>
              </w:rPr>
              <w:t>ՖՆ</w:t>
            </w:r>
            <w:r w:rsidRPr="007955BB">
              <w:rPr>
                <w:rFonts w:cs="GHEAGrapalat-Bold"/>
                <w:b w:val="0"/>
                <w:bCs/>
                <w:szCs w:val="22"/>
                <w:lang w:val="hy-AM"/>
              </w:rPr>
              <w:tab/>
            </w:r>
            <w:r w:rsidRPr="007955BB">
              <w:rPr>
                <w:rFonts w:cs="GHEAGrapalat-Bold"/>
                <w:b w:val="0"/>
                <w:bCs/>
                <w:szCs w:val="22"/>
                <w:lang w:val="hy-AM"/>
              </w:rPr>
              <w:tab/>
            </w:r>
          </w:p>
        </w:tc>
        <w:tc>
          <w:tcPr>
            <w:tcW w:w="7951" w:type="dxa"/>
          </w:tcPr>
          <w:p w:rsidR="00674E04" w:rsidRPr="007955BB" w:rsidRDefault="00674E04" w:rsidP="00674E04">
            <w:pPr>
              <w:autoSpaceDE w:val="0"/>
              <w:autoSpaceDN w:val="0"/>
              <w:adjustRightInd w:val="0"/>
              <w:spacing w:line="276" w:lineRule="auto"/>
              <w:ind w:firstLine="0"/>
              <w:jc w:val="left"/>
              <w:rPr>
                <w:rFonts w:cs="GHEAGrapalat-Bold"/>
                <w:b w:val="0"/>
                <w:bCs/>
                <w:szCs w:val="22"/>
                <w:lang w:val="hy-AM"/>
              </w:rPr>
            </w:pPr>
            <w:r w:rsidRPr="007955BB">
              <w:rPr>
                <w:rFonts w:cs="GHEAGrapalat-Bold"/>
                <w:b w:val="0"/>
                <w:bCs/>
                <w:szCs w:val="22"/>
                <w:lang w:val="en-US"/>
              </w:rPr>
              <w:t xml:space="preserve">ՀՀ </w:t>
            </w:r>
            <w:r w:rsidRPr="007955BB">
              <w:rPr>
                <w:rFonts w:cs="GHEAGrapalat-Bold"/>
                <w:b w:val="0"/>
                <w:bCs/>
                <w:szCs w:val="22"/>
                <w:lang w:val="hy-AM"/>
              </w:rPr>
              <w:t>ֆինանսների նախարարություն</w:t>
            </w:r>
          </w:p>
        </w:tc>
      </w:tr>
    </w:tbl>
    <w:p w:rsidR="0089451E" w:rsidRPr="007955BB" w:rsidRDefault="0089451E" w:rsidP="007730AA">
      <w:pPr>
        <w:spacing w:before="0" w:line="276" w:lineRule="auto"/>
        <w:jc w:val="center"/>
        <w:rPr>
          <w:sz w:val="32"/>
          <w:szCs w:val="32"/>
          <w:lang w:val="hy-AM"/>
        </w:rPr>
      </w:pPr>
    </w:p>
    <w:p w:rsidR="0089451E" w:rsidRPr="007955BB" w:rsidRDefault="0089451E">
      <w:pPr>
        <w:spacing w:before="0" w:line="240" w:lineRule="auto"/>
        <w:ind w:firstLine="0"/>
        <w:contextualSpacing w:val="0"/>
        <w:jc w:val="left"/>
        <w:rPr>
          <w:sz w:val="32"/>
          <w:szCs w:val="32"/>
          <w:lang w:val="hy-AM"/>
        </w:rPr>
      </w:pPr>
      <w:r w:rsidRPr="007955BB">
        <w:rPr>
          <w:sz w:val="32"/>
          <w:szCs w:val="32"/>
          <w:lang w:val="hy-AM"/>
        </w:rPr>
        <w:br w:type="page"/>
      </w:r>
    </w:p>
    <w:p w:rsidR="00376FC7" w:rsidRPr="006B44AD" w:rsidRDefault="00376FC7" w:rsidP="00376FC7">
      <w:pPr>
        <w:keepNext/>
        <w:spacing w:before="0" w:line="276" w:lineRule="auto"/>
        <w:ind w:firstLine="450"/>
        <w:contextualSpacing w:val="0"/>
        <w:jc w:val="center"/>
        <w:outlineLvl w:val="2"/>
        <w:rPr>
          <w:szCs w:val="22"/>
          <w:lang w:val="hy-AM"/>
        </w:rPr>
      </w:pPr>
      <w:bookmarkStart w:id="2" w:name="_Toc89428249"/>
      <w:bookmarkStart w:id="3" w:name="_Toc120805156"/>
      <w:r>
        <w:rPr>
          <w:szCs w:val="22"/>
          <w:lang w:val="hy-AM"/>
        </w:rPr>
        <w:t>ՎԱՐՉԱՊԵՏ ՆԻԿՈԼ ՓԱՇԻՆՅԱՆԻ ՈՒ</w:t>
      </w:r>
      <w:r w:rsidRPr="006B44AD">
        <w:rPr>
          <w:szCs w:val="22"/>
          <w:lang w:val="hy-AM"/>
        </w:rPr>
        <w:t xml:space="preserve">ՂԵՐՁԸ ՀԱՅԱՍՏԱՆԻ ՀԱՆՐԱՊԵՏՈՒԹՅԱՆ </w:t>
      </w:r>
      <w:r w:rsidR="005579BB" w:rsidRPr="005579BB">
        <w:rPr>
          <w:szCs w:val="22"/>
          <w:lang w:val="hy-AM"/>
        </w:rPr>
        <w:t xml:space="preserve">          </w:t>
      </w:r>
      <w:r w:rsidR="005579BB" w:rsidRPr="006B44AD">
        <w:rPr>
          <w:szCs w:val="22"/>
          <w:lang w:val="hy-AM"/>
        </w:rPr>
        <w:t>202</w:t>
      </w:r>
      <w:r w:rsidR="005579BB" w:rsidRPr="00376FC7">
        <w:rPr>
          <w:szCs w:val="22"/>
          <w:lang w:val="hy-AM"/>
        </w:rPr>
        <w:t>3</w:t>
      </w:r>
      <w:r w:rsidR="005579BB" w:rsidRPr="006B44AD">
        <w:rPr>
          <w:szCs w:val="22"/>
          <w:lang w:val="hy-AM"/>
        </w:rPr>
        <w:t xml:space="preserve"> ԹՎԱԿԱՆԻ </w:t>
      </w:r>
      <w:r w:rsidRPr="006B44AD">
        <w:rPr>
          <w:szCs w:val="22"/>
          <w:lang w:val="hy-AM"/>
        </w:rPr>
        <w:t>ՊԵՏԱԿԱՆ ԲՅՈՒՋԵԻ ԸՆԴՈՒՆՄԱՆ ԱՌԻԹՈՎ</w:t>
      </w:r>
      <w:bookmarkEnd w:id="2"/>
      <w:bookmarkEnd w:id="3"/>
    </w:p>
    <w:p w:rsidR="00376FC7" w:rsidRDefault="00376FC7" w:rsidP="007730AA">
      <w:pPr>
        <w:spacing w:before="0" w:line="276" w:lineRule="auto"/>
        <w:jc w:val="center"/>
        <w:rPr>
          <w:sz w:val="32"/>
          <w:szCs w:val="32"/>
          <w:lang w:val="hy-AM"/>
        </w:rPr>
      </w:pPr>
    </w:p>
    <w:p w:rsidR="00376FC7" w:rsidRPr="00376FC7" w:rsidRDefault="00376FC7" w:rsidP="00376FC7">
      <w:pPr>
        <w:spacing w:before="0" w:line="276" w:lineRule="auto"/>
        <w:ind w:firstLine="0"/>
        <w:rPr>
          <w:rFonts w:eastAsia="Calibri"/>
          <w:b w:val="0"/>
          <w:bCs/>
          <w:szCs w:val="22"/>
          <w:lang w:val="hy-AM" w:eastAsia="en-US"/>
        </w:rPr>
      </w:pPr>
      <w:r w:rsidRPr="00376FC7">
        <w:rPr>
          <w:rFonts w:eastAsia="Calibri"/>
          <w:b w:val="0"/>
          <w:bCs/>
          <w:noProof/>
          <w:szCs w:val="22"/>
          <w:lang w:val="en-US" w:eastAsia="en-US"/>
        </w:rPr>
        <w:drawing>
          <wp:anchor distT="0" distB="0" distL="114300" distR="114300" simplePos="0" relativeHeight="251665408" behindDoc="0" locked="0" layoutInCell="1" allowOverlap="1" wp14:anchorId="19113265" wp14:editId="43C71260">
            <wp:simplePos x="0" y="0"/>
            <wp:positionH relativeFrom="column">
              <wp:posOffset>3810</wp:posOffset>
            </wp:positionH>
            <wp:positionV relativeFrom="paragraph">
              <wp:posOffset>40640</wp:posOffset>
            </wp:positionV>
            <wp:extent cx="3448050" cy="2298700"/>
            <wp:effectExtent l="0" t="0" r="0" b="6350"/>
            <wp:wrapSquare wrapText="bothSides"/>
            <wp:docPr id="3" name="Picture 3" descr="Նիկոլ Փաշինյա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Նիկոլ Փաշինյան"/>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8050" cy="229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6FC7">
        <w:rPr>
          <w:rFonts w:eastAsia="Calibri"/>
          <w:b w:val="0"/>
          <w:bCs/>
          <w:szCs w:val="22"/>
          <w:lang w:val="hy-AM" w:eastAsia="en-US"/>
        </w:rPr>
        <w:t>Ուրախ եմ արձանագրել, որ 2022 թվականը առանձնահատուկ է նկատելի տնտեսական ձեռքբերումներով: Չնայած տարին դեռ չի ավարտվել, երկնիշ տնտեսական աճն արդեն իսկ կարող ենք համարել կայացած փաստ: Բազմաթիվ օտարերկրացիներ, Հայաստանը համարելով իրենց ստեղծագործական աշխատանքի համար բարենպաստ և անվտանգ վայր, տեղափոխվել են մեզ մոտ: Սա նշանակում է, որ մեզ հաջողվել է ստեղծել ժողովրդավարության և մարդու իրավունքների տեսանկյունից բավարար բարենպաստ, անհատի ապրելու և ստեղծագործելու համար հաճելի ու բարեկամական միջավայր, որի շնորհիվ բազմաթիվ անհատներ ու կազմակերպություններ նախընտրել են իրենց գործունեությունը շարունակել մեր հանրապետությունում: Մենք պետք է ամեն ինչ անենք, որպեսզի ոչ միայն Հայաստանի Հանրապետության քաղաքացիների, այլ նաև արժեք ստեղծող շատ մարդկանց համար Հայաստանը լինի ապրելու և ստեղծագործելու լավագույն երկիրը:</w:t>
      </w:r>
    </w:p>
    <w:p w:rsidR="00376FC7" w:rsidRPr="00376FC7" w:rsidRDefault="00376FC7" w:rsidP="00376FC7">
      <w:pPr>
        <w:spacing w:before="0" w:line="276" w:lineRule="auto"/>
        <w:ind w:left="3" w:firstLine="717"/>
        <w:rPr>
          <w:rFonts w:eastAsia="Calibri"/>
          <w:b w:val="0"/>
          <w:bCs/>
          <w:szCs w:val="22"/>
          <w:lang w:val="hy-AM" w:eastAsia="en-US"/>
        </w:rPr>
      </w:pPr>
      <w:r w:rsidRPr="00376FC7">
        <w:rPr>
          <w:rFonts w:eastAsia="Calibri"/>
          <w:b w:val="0"/>
          <w:bCs/>
          <w:szCs w:val="22"/>
          <w:lang w:val="hy-AM" w:eastAsia="en-US"/>
        </w:rPr>
        <w:t>2023 թվականի ծախսային բյուջեն 2022-ի նկատմամբ գերազանցում է 363 միլիարդ դրամով: Ինչպե՞ս սա դարձավ հնարավոր. սա մեր ձեռնարկությունների և քաղաքացիների ստեղծագործ և քրտնաջան աշխատանքի արդյունք է, ինչի համար կառավարության անունից ցանկանում եմ շնորհակալություն հայտնել:</w:t>
      </w:r>
    </w:p>
    <w:p w:rsidR="00376FC7" w:rsidRPr="00376FC7" w:rsidRDefault="00376FC7" w:rsidP="00376FC7">
      <w:pPr>
        <w:spacing w:before="0" w:line="276" w:lineRule="auto"/>
        <w:ind w:firstLine="720"/>
        <w:rPr>
          <w:rFonts w:eastAsia="Calibri"/>
          <w:b w:val="0"/>
          <w:bCs/>
          <w:szCs w:val="22"/>
          <w:lang w:val="hy-AM" w:eastAsia="en-US"/>
        </w:rPr>
      </w:pPr>
      <w:r w:rsidRPr="00376FC7">
        <w:rPr>
          <w:rFonts w:eastAsia="Calibri"/>
          <w:b w:val="0"/>
          <w:bCs/>
          <w:szCs w:val="22"/>
          <w:lang w:val="hy-AM" w:eastAsia="en-US"/>
        </w:rPr>
        <w:t xml:space="preserve">Սա ՀՀ կառավարության 2021-2026թթ.  ծրագրի թվով 2-րդ բյուջեն է: Այս բյուջեով սահմանվող ծրագրերը շարունակությունն են այն կարևոր աշխատանքների, որոնք սկսել ենք 2022 թվականին: 2023 թվականին մենք ավելացնելու ենք այդ աշխատանքների ծավալը և ապահովելու ենք կառավարության ծրագրով գալիք տարվա համար նախատեսված թիրախների լիակատար իրականացումը: </w:t>
      </w:r>
    </w:p>
    <w:p w:rsidR="00376FC7" w:rsidRPr="00376FC7" w:rsidRDefault="00376FC7" w:rsidP="00376FC7">
      <w:pPr>
        <w:spacing w:before="0" w:line="276" w:lineRule="auto"/>
        <w:ind w:firstLine="720"/>
        <w:rPr>
          <w:rFonts w:eastAsia="Calibri"/>
          <w:b w:val="0"/>
          <w:bCs/>
          <w:szCs w:val="22"/>
          <w:lang w:val="hy-AM" w:eastAsia="en-US"/>
        </w:rPr>
      </w:pPr>
      <w:r w:rsidRPr="00376FC7">
        <w:rPr>
          <w:rFonts w:eastAsia="Calibri"/>
          <w:b w:val="0"/>
          <w:bCs/>
          <w:szCs w:val="22"/>
          <w:lang w:val="hy-AM" w:eastAsia="en-US"/>
        </w:rPr>
        <w:t xml:space="preserve">Հայաստանի Հանրապետության 2023 թվականի պետական բյուջեն հաստատման է ներկայացվում միջազգային և տարածաշրջանային կայունությունը զգալիորեն խաթարող  իրադարձությունների պայմաններում: 2022 թվականին սկիզբ առած միջազգային հակամարտությունները և դրանց հետևանքով միջազգային հանրության շրջանում ստեղծված համընդհանուր լարվածությունն ու շարունակ խորացող բևեռացումը մեծ լարվածություն են ստեղծում նաև մեր տարածաշրջանի, մասնավորապես Հայաստանի Հանրապետության շուրջ: Արժեշղթաների խաթարումը և գործընկեր երկրներում տնտեսական անկման սպասումը մեծ անորոշություններ է ստեղծում մեր երկրում առաջիկա զարգացումների համար: Ադրբեջանի ագրեսիվ հռետորաբանությունը և շարունակական ռազմական ագրեսիան ռիսկեր է ստեղծում մեր կայուն զարգացման պլանների համար: </w:t>
      </w:r>
    </w:p>
    <w:p w:rsidR="00376FC7" w:rsidRPr="00376FC7" w:rsidRDefault="00376FC7" w:rsidP="00376FC7">
      <w:pPr>
        <w:spacing w:before="0" w:line="276" w:lineRule="auto"/>
        <w:ind w:firstLine="720"/>
        <w:rPr>
          <w:rFonts w:eastAsia="Calibri"/>
          <w:b w:val="0"/>
          <w:bCs/>
          <w:szCs w:val="22"/>
          <w:lang w:val="hy-AM" w:eastAsia="en-US"/>
        </w:rPr>
      </w:pPr>
      <w:r w:rsidRPr="00376FC7">
        <w:rPr>
          <w:rFonts w:eastAsia="Calibri"/>
          <w:b w:val="0"/>
          <w:bCs/>
          <w:szCs w:val="22"/>
          <w:lang w:val="hy-AM" w:eastAsia="en-US"/>
        </w:rPr>
        <w:t xml:space="preserve">Մեզանից պահանջվում է սառնասրտություն և խոհեմություն՝ Հայաստանի Հանրապետության կայունությունը պահպանելու և անվտանգային միջավայրը բարելավելու համար, որպեսզի երաշխավորվեն կառավարության ծրագրով նախատեսված նպատակների և դրանց ուղղված աշխատանքների լիակատար իրագործումը: </w:t>
      </w:r>
    </w:p>
    <w:p w:rsidR="00376FC7" w:rsidRPr="00376FC7" w:rsidRDefault="00376FC7" w:rsidP="00376FC7">
      <w:pPr>
        <w:spacing w:before="0" w:line="276" w:lineRule="auto"/>
        <w:ind w:firstLine="720"/>
        <w:rPr>
          <w:rFonts w:eastAsia="Calibri"/>
          <w:b w:val="0"/>
          <w:bCs/>
          <w:szCs w:val="22"/>
          <w:lang w:val="hy-AM" w:eastAsia="en-US"/>
        </w:rPr>
      </w:pPr>
      <w:r w:rsidRPr="00376FC7">
        <w:rPr>
          <w:rFonts w:eastAsia="Calibri"/>
          <w:b w:val="0"/>
          <w:bCs/>
          <w:szCs w:val="22"/>
          <w:lang w:val="hy-AM" w:eastAsia="en-US"/>
        </w:rPr>
        <w:t xml:space="preserve">Շարունակելով իրականացնել մեր ենթակառուցվածքային ծրագրերը, գիտության և կրթության ոլորտում իրականացվող բարեփոխումները՝ 2023 թվականին, ավելի քան երբևէ, կավելանան պաշտպանական ծախսերը: Դա թույլ կտա իրականացնել այս կարևորագույն ոլորտում նախանշված բարեփոխումները, բարձրացնել մեր երկրի պաշտպանվածությունը և երաշխավորել խաղաղության օրակարգի կենսագործումը՝ ի նպաստ մեր երկրի և ժողովրդի կայուն զարգացման: Այս առումով առանձնահատուկ </w:t>
      </w:r>
      <w:r w:rsidR="0070704C">
        <w:rPr>
          <w:rFonts w:eastAsia="Calibri"/>
          <w:b w:val="0"/>
          <w:bCs/>
          <w:szCs w:val="22"/>
          <w:lang w:val="hy-AM" w:eastAsia="en-US"/>
        </w:rPr>
        <w:t>պետք է</w:t>
      </w:r>
      <w:r w:rsidRPr="00376FC7">
        <w:rPr>
          <w:rFonts w:eastAsia="Calibri"/>
          <w:b w:val="0"/>
          <w:bCs/>
          <w:szCs w:val="22"/>
          <w:lang w:val="hy-AM" w:eastAsia="en-US"/>
        </w:rPr>
        <w:t xml:space="preserve"> ընդգծեմ մեր նվիրվածությունը խաղաղության օրակարգին և հույս ունեմ 2023</w:t>
      </w:r>
      <w:r w:rsidR="0070704C" w:rsidRPr="0070704C">
        <w:rPr>
          <w:rFonts w:eastAsia="Calibri"/>
          <w:b w:val="0"/>
          <w:bCs/>
          <w:szCs w:val="22"/>
          <w:lang w:val="hy-AM" w:eastAsia="en-US"/>
        </w:rPr>
        <w:t xml:space="preserve"> </w:t>
      </w:r>
      <w:r w:rsidR="0070704C" w:rsidRPr="00376FC7">
        <w:rPr>
          <w:rFonts w:eastAsia="Calibri"/>
          <w:b w:val="0"/>
          <w:bCs/>
          <w:szCs w:val="22"/>
          <w:lang w:val="hy-AM" w:eastAsia="en-US"/>
        </w:rPr>
        <w:t>թվական</w:t>
      </w:r>
      <w:r w:rsidRPr="00376FC7">
        <w:rPr>
          <w:rFonts w:eastAsia="Calibri"/>
          <w:b w:val="0"/>
          <w:bCs/>
          <w:szCs w:val="22"/>
          <w:lang w:val="hy-AM" w:eastAsia="en-US"/>
        </w:rPr>
        <w:t xml:space="preserve">ը կկարողանանք դարձնել մեր բոլոր հարևանների հետ տևական </w:t>
      </w:r>
      <w:r w:rsidR="005579BB" w:rsidRPr="005579BB">
        <w:rPr>
          <w:rFonts w:eastAsia="Calibri"/>
          <w:b w:val="0"/>
          <w:bCs/>
          <w:szCs w:val="22"/>
          <w:lang w:val="hy-AM" w:eastAsia="en-US"/>
        </w:rPr>
        <w:t>և</w:t>
      </w:r>
      <w:r w:rsidRPr="00376FC7">
        <w:rPr>
          <w:rFonts w:eastAsia="Calibri"/>
          <w:b w:val="0"/>
          <w:bCs/>
          <w:szCs w:val="22"/>
          <w:lang w:val="hy-AM" w:eastAsia="en-US"/>
        </w:rPr>
        <w:t xml:space="preserve"> համապարփակ խաղաղության հաստատման ու ամրապնդման տարի: </w:t>
      </w:r>
    </w:p>
    <w:p w:rsidR="00376FC7" w:rsidRPr="00376FC7" w:rsidRDefault="00376FC7" w:rsidP="00376FC7">
      <w:pPr>
        <w:spacing w:before="0" w:line="276" w:lineRule="auto"/>
        <w:ind w:firstLine="720"/>
        <w:rPr>
          <w:rFonts w:eastAsia="Calibri"/>
          <w:b w:val="0"/>
          <w:bCs/>
          <w:szCs w:val="22"/>
          <w:lang w:val="hy-AM" w:eastAsia="en-US"/>
        </w:rPr>
      </w:pPr>
      <w:r w:rsidRPr="00376FC7">
        <w:rPr>
          <w:rFonts w:eastAsia="Calibri"/>
          <w:b w:val="0"/>
          <w:bCs/>
          <w:szCs w:val="22"/>
          <w:lang w:val="hy-AM" w:eastAsia="en-US"/>
        </w:rPr>
        <w:t xml:space="preserve">Մենք հավատարիմ ենք 7 տոկոս տնտեսական աճ ապահովելու կառավարության ծրագրով սահմանված թիրախին և անելու ենք ամեն ինչ՝ այնպիսի տնտեսական միջավայր ստեղծելու համար, որը լավագույնս կնպաստի մեր տնտեսության ներառական զարգացման </w:t>
      </w:r>
      <w:r w:rsidR="005579BB" w:rsidRPr="005579BB">
        <w:rPr>
          <w:rFonts w:eastAsia="Calibri"/>
          <w:b w:val="0"/>
          <w:bCs/>
          <w:szCs w:val="22"/>
          <w:lang w:val="hy-AM" w:eastAsia="en-US"/>
        </w:rPr>
        <w:t>և</w:t>
      </w:r>
      <w:r w:rsidRPr="00376FC7">
        <w:rPr>
          <w:rFonts w:eastAsia="Calibri"/>
          <w:b w:val="0"/>
          <w:bCs/>
          <w:szCs w:val="22"/>
          <w:lang w:val="hy-AM" w:eastAsia="en-US"/>
        </w:rPr>
        <w:t xml:space="preserve"> մեր ժողովրդի ստեղծագործ ներուժը մեծացնելու համար:</w:t>
      </w:r>
    </w:p>
    <w:p w:rsidR="00376FC7" w:rsidRDefault="00376FC7">
      <w:pPr>
        <w:spacing w:before="0" w:line="240" w:lineRule="auto"/>
        <w:ind w:firstLine="0"/>
        <w:contextualSpacing w:val="0"/>
        <w:jc w:val="left"/>
        <w:rPr>
          <w:sz w:val="32"/>
          <w:szCs w:val="32"/>
          <w:lang w:val="hy-AM"/>
        </w:rPr>
      </w:pPr>
      <w:r>
        <w:rPr>
          <w:sz w:val="32"/>
          <w:szCs w:val="32"/>
          <w:lang w:val="hy-AM"/>
        </w:rPr>
        <w:br w:type="page"/>
      </w:r>
    </w:p>
    <w:p w:rsidR="002E585F" w:rsidRPr="007955BB" w:rsidRDefault="002E585F" w:rsidP="007730AA">
      <w:pPr>
        <w:spacing w:before="0" w:line="276" w:lineRule="auto"/>
        <w:jc w:val="center"/>
        <w:rPr>
          <w:b w:val="0"/>
          <w:sz w:val="32"/>
          <w:szCs w:val="32"/>
          <w:lang w:val="hy-AM"/>
        </w:rPr>
      </w:pPr>
      <w:r w:rsidRPr="007955BB">
        <w:rPr>
          <w:sz w:val="32"/>
          <w:szCs w:val="32"/>
          <w:lang w:val="hy-AM"/>
        </w:rPr>
        <w:t>ՀԱՅԱՍՏԱՆԻ</w:t>
      </w:r>
      <w:r w:rsidR="00454241" w:rsidRPr="007955BB">
        <w:rPr>
          <w:sz w:val="32"/>
          <w:szCs w:val="32"/>
          <w:lang w:val="hy-AM"/>
        </w:rPr>
        <w:t xml:space="preserve"> </w:t>
      </w:r>
      <w:r w:rsidRPr="007955BB">
        <w:rPr>
          <w:sz w:val="32"/>
          <w:szCs w:val="32"/>
          <w:lang w:val="hy-AM"/>
        </w:rPr>
        <w:t>ՀԱՆՐԱՊԵՏՈՒԹՅԱՆ</w:t>
      </w:r>
      <w:r w:rsidR="00DD1B33" w:rsidRPr="007955BB">
        <w:rPr>
          <w:sz w:val="32"/>
          <w:szCs w:val="32"/>
          <w:lang w:val="hy-AM"/>
        </w:rPr>
        <w:t xml:space="preserve"> </w:t>
      </w:r>
      <w:r w:rsidRPr="007955BB">
        <w:rPr>
          <w:sz w:val="32"/>
          <w:szCs w:val="32"/>
          <w:lang w:val="hy-AM"/>
        </w:rPr>
        <w:t>ԿԱՌԱՎԱՐՈՒԹՅԱՆ</w:t>
      </w:r>
      <w:r w:rsidR="00DD1B33" w:rsidRPr="007955BB">
        <w:rPr>
          <w:sz w:val="32"/>
          <w:szCs w:val="32"/>
          <w:lang w:val="hy-AM"/>
        </w:rPr>
        <w:t xml:space="preserve"> ԶԵԿՈՒՅՑԸ</w:t>
      </w:r>
    </w:p>
    <w:p w:rsidR="00922CF5" w:rsidRPr="007955BB" w:rsidRDefault="00922CF5" w:rsidP="007730AA">
      <w:pPr>
        <w:widowControl w:val="0"/>
        <w:tabs>
          <w:tab w:val="left" w:pos="851"/>
          <w:tab w:val="left" w:pos="993"/>
        </w:tabs>
        <w:spacing w:before="0" w:line="276" w:lineRule="auto"/>
        <w:ind w:firstLine="450"/>
        <w:contextualSpacing w:val="0"/>
        <w:rPr>
          <w:b w:val="0"/>
          <w:szCs w:val="22"/>
          <w:lang w:val="hy-AM"/>
        </w:rPr>
      </w:pPr>
    </w:p>
    <w:p w:rsidR="00922CF5" w:rsidRPr="007955BB" w:rsidRDefault="00922CF5" w:rsidP="007730AA">
      <w:pPr>
        <w:keepNext/>
        <w:spacing w:before="0" w:line="276" w:lineRule="auto"/>
        <w:ind w:firstLine="450"/>
        <w:contextualSpacing w:val="0"/>
        <w:jc w:val="left"/>
        <w:outlineLvl w:val="2"/>
        <w:rPr>
          <w:szCs w:val="22"/>
          <w:lang w:val="hy-AM"/>
        </w:rPr>
      </w:pPr>
      <w:bookmarkStart w:id="4" w:name="_Toc120805157"/>
      <w:r w:rsidRPr="007955BB">
        <w:rPr>
          <w:szCs w:val="22"/>
          <w:lang w:val="hy-AM"/>
        </w:rPr>
        <w:t>ՆԵՐԱԾՈՒԹՅՈՒՆ</w:t>
      </w:r>
      <w:bookmarkEnd w:id="4"/>
    </w:p>
    <w:p w:rsidR="008C3BDB" w:rsidRPr="007955BB" w:rsidRDefault="008C3BDB" w:rsidP="007730AA">
      <w:pPr>
        <w:keepNext/>
        <w:spacing w:before="0" w:line="276" w:lineRule="auto"/>
        <w:ind w:firstLine="450"/>
        <w:contextualSpacing w:val="0"/>
        <w:jc w:val="left"/>
        <w:outlineLvl w:val="2"/>
        <w:rPr>
          <w:szCs w:val="22"/>
          <w:lang w:val="hy-AM"/>
        </w:rPr>
      </w:pPr>
    </w:p>
    <w:p w:rsidR="00CC0E76" w:rsidRPr="007955BB" w:rsidRDefault="00CC0E76" w:rsidP="00CC0E76">
      <w:pPr>
        <w:spacing w:before="40" w:after="60" w:line="276" w:lineRule="auto"/>
        <w:contextualSpacing w:val="0"/>
        <w:rPr>
          <w:rFonts w:eastAsiaTheme="minorEastAsia" w:cstheme="minorBidi"/>
          <w:b w:val="0"/>
          <w:szCs w:val="22"/>
          <w:lang w:val="hy-AM" w:eastAsia="en-US"/>
        </w:rPr>
      </w:pPr>
      <w:r w:rsidRPr="007955BB">
        <w:rPr>
          <w:rFonts w:eastAsiaTheme="minorEastAsia" w:cstheme="minorBidi"/>
          <w:b w:val="0"/>
          <w:szCs w:val="22"/>
          <w:lang w:val="hy-AM" w:eastAsia="en-US"/>
        </w:rPr>
        <w:t>2023 թվականի բյուջետավորման քաղաքականությունը իրականացվել է առաջնորդվելով ՀՀ կառավարության 2021 թվականի օգոստոսի 18-ի N 1363-Ն որոշմամբ հաստատված ՀՀ կառավարության 2021-2026թթ. ծրագրի և ՀՀ կառավարության 2021 թվականի նոյեմբերի 18-ի N 1902-Ն որոշմամբ հաստատված ՀՀ կառավարության 2021-2026թթ. գործունեության միջոցառումների ծրագրի առաջնահերթություններով:</w:t>
      </w:r>
    </w:p>
    <w:p w:rsidR="00CC0E76" w:rsidRPr="007955BB" w:rsidRDefault="00CC0E76" w:rsidP="008F5CA2">
      <w:pPr>
        <w:pStyle w:val="BodyText2"/>
      </w:pPr>
      <w:r w:rsidRPr="007955BB">
        <w:t xml:space="preserve">Իրականացվելիք միջոցառումների հիմնական նպատակը լինելու է տնտեսության մրցունակության և արտադրողականության աճը: Չնայած 2022 թվականին ակնկալվող բարձր տնտեսական աճին 2023 թվականին Կառավարությունը շարունակում է  թիրախավորել երկարատև բարձր տնտեսական աճի ապահովումը՝ առնվազն տարեկան 7%, իսկ բարենպաստ արտաքին միջավայրի դեպքում` 9%: </w:t>
      </w:r>
    </w:p>
    <w:p w:rsidR="00CC0E76" w:rsidRPr="007955BB" w:rsidRDefault="00CC0E76" w:rsidP="00CC0E76">
      <w:pPr>
        <w:spacing w:before="0" w:line="276" w:lineRule="auto"/>
        <w:rPr>
          <w:rFonts w:eastAsia="Calibri"/>
          <w:b w:val="0"/>
          <w:szCs w:val="22"/>
          <w:lang w:val="hy-AM" w:eastAsia="en-US"/>
        </w:rPr>
      </w:pPr>
      <w:r w:rsidRPr="007955BB">
        <w:rPr>
          <w:rFonts w:eastAsia="Calibri"/>
          <w:b w:val="0"/>
          <w:szCs w:val="22"/>
          <w:lang w:val="hy-AM" w:eastAsia="en-US"/>
        </w:rPr>
        <w:t xml:space="preserve">Կառավարության տնտեսական քաղաքականության նպատակներն են. </w:t>
      </w:r>
    </w:p>
    <w:p w:rsidR="00CC0E76" w:rsidRPr="007955BB" w:rsidRDefault="00CC0E76" w:rsidP="00CC0E76">
      <w:pPr>
        <w:pStyle w:val="ListParagraph"/>
        <w:numPr>
          <w:ilvl w:val="0"/>
          <w:numId w:val="29"/>
        </w:numPr>
        <w:spacing w:before="0" w:line="276" w:lineRule="auto"/>
        <w:rPr>
          <w:rFonts w:eastAsia="Calibri"/>
          <w:b w:val="0"/>
          <w:szCs w:val="22"/>
          <w:lang w:val="hy-AM" w:eastAsia="en-US"/>
        </w:rPr>
      </w:pPr>
      <w:r w:rsidRPr="007955BB">
        <w:rPr>
          <w:rFonts w:eastAsia="Calibri"/>
          <w:b w:val="0"/>
          <w:szCs w:val="22"/>
          <w:lang w:val="hy-AM" w:eastAsia="en-US"/>
        </w:rPr>
        <w:t>ներդրումների խրախուսումը, գործարար և ներդրումային միջավայրի բարելավումը,</w:t>
      </w:r>
    </w:p>
    <w:p w:rsidR="00CC0E76" w:rsidRPr="007955BB" w:rsidRDefault="00CC0E76" w:rsidP="00CC0E76">
      <w:pPr>
        <w:pStyle w:val="ListParagraph"/>
        <w:numPr>
          <w:ilvl w:val="0"/>
          <w:numId w:val="29"/>
        </w:numPr>
        <w:spacing w:before="0" w:line="276" w:lineRule="auto"/>
        <w:rPr>
          <w:rFonts w:eastAsia="Calibri"/>
          <w:b w:val="0"/>
          <w:szCs w:val="22"/>
          <w:lang w:val="hy-AM" w:eastAsia="en-US"/>
        </w:rPr>
      </w:pPr>
      <w:r w:rsidRPr="007955BB">
        <w:rPr>
          <w:rFonts w:eastAsia="Calibri"/>
          <w:b w:val="0"/>
          <w:szCs w:val="22"/>
          <w:lang w:val="hy-AM" w:eastAsia="en-US"/>
        </w:rPr>
        <w:t>զբոսաշրջության, արդյունաբերության և գյուղատնտեսության մրցունակության աճը,</w:t>
      </w:r>
    </w:p>
    <w:p w:rsidR="00CC0E76" w:rsidRPr="007955BB" w:rsidRDefault="00CC0E76" w:rsidP="00CC0E76">
      <w:pPr>
        <w:pStyle w:val="ListParagraph"/>
        <w:numPr>
          <w:ilvl w:val="0"/>
          <w:numId w:val="29"/>
        </w:numPr>
        <w:spacing w:before="0" w:line="276" w:lineRule="auto"/>
        <w:rPr>
          <w:rFonts w:eastAsia="Calibri"/>
          <w:b w:val="0"/>
          <w:szCs w:val="22"/>
          <w:lang w:val="hy-AM" w:eastAsia="en-US"/>
        </w:rPr>
      </w:pPr>
      <w:r w:rsidRPr="007955BB">
        <w:rPr>
          <w:rFonts w:eastAsia="Calibri"/>
          <w:b w:val="0"/>
          <w:szCs w:val="22"/>
          <w:lang w:val="hy-AM" w:eastAsia="en-US"/>
        </w:rPr>
        <w:t>ապրանքների և ծառայությունների արտահանման էական ավելացումը,</w:t>
      </w:r>
    </w:p>
    <w:p w:rsidR="00CC0E76" w:rsidRPr="007955BB" w:rsidRDefault="00CC0E76" w:rsidP="00CC0E76">
      <w:pPr>
        <w:pStyle w:val="ListParagraph"/>
        <w:numPr>
          <w:ilvl w:val="0"/>
          <w:numId w:val="29"/>
        </w:numPr>
        <w:spacing w:before="0" w:line="276" w:lineRule="auto"/>
        <w:rPr>
          <w:rFonts w:eastAsia="Calibri"/>
          <w:b w:val="0"/>
          <w:szCs w:val="22"/>
          <w:lang w:val="hy-AM" w:eastAsia="en-US"/>
        </w:rPr>
      </w:pPr>
      <w:r w:rsidRPr="007955BB">
        <w:rPr>
          <w:rFonts w:eastAsia="Calibri"/>
          <w:b w:val="0"/>
          <w:szCs w:val="22"/>
          <w:lang w:val="hy-AM" w:eastAsia="en-US"/>
        </w:rPr>
        <w:t>հանրային ներդրումների արդյունավետության բարձրացումն ու որակի ենթակառուցվածքների բարելավումը։</w:t>
      </w:r>
    </w:p>
    <w:p w:rsidR="00CC0E76" w:rsidRPr="007955BB" w:rsidRDefault="00CC0E76" w:rsidP="00CC0E76">
      <w:pPr>
        <w:pStyle w:val="ListParagraph"/>
        <w:numPr>
          <w:ilvl w:val="0"/>
          <w:numId w:val="29"/>
        </w:numPr>
        <w:spacing w:before="0" w:line="276" w:lineRule="auto"/>
        <w:rPr>
          <w:rFonts w:eastAsia="Calibri"/>
          <w:b w:val="0"/>
          <w:szCs w:val="22"/>
          <w:lang w:val="hy-AM" w:eastAsia="en-US"/>
        </w:rPr>
      </w:pPr>
      <w:r w:rsidRPr="007955BB">
        <w:rPr>
          <w:rFonts w:eastAsia="Calibri"/>
          <w:b w:val="0"/>
          <w:szCs w:val="22"/>
          <w:lang w:val="hy-AM" w:eastAsia="en-US"/>
        </w:rPr>
        <w:t xml:space="preserve">մարդու ներքին կարողությունների զարգացման և իրացման միջոցով՝ միջին խավի բարեկեցության աճն ու աղքատության կրճատումը։ </w:t>
      </w:r>
    </w:p>
    <w:p w:rsidR="00CC0E76" w:rsidRPr="007955BB" w:rsidRDefault="00CC0E76" w:rsidP="00CC0E76">
      <w:pPr>
        <w:spacing w:before="40" w:after="60" w:line="276" w:lineRule="auto"/>
        <w:contextualSpacing w:val="0"/>
        <w:rPr>
          <w:rFonts w:eastAsiaTheme="minorEastAsia" w:cstheme="minorBidi"/>
          <w:b w:val="0"/>
          <w:szCs w:val="22"/>
          <w:lang w:val="hy-AM" w:eastAsia="en-US"/>
        </w:rPr>
      </w:pPr>
      <w:r w:rsidRPr="007955BB">
        <w:rPr>
          <w:rFonts w:eastAsiaTheme="minorEastAsia" w:cstheme="minorBidi"/>
          <w:b w:val="0"/>
          <w:szCs w:val="22"/>
          <w:lang w:val="hy-AM" w:eastAsia="en-US"/>
        </w:rPr>
        <w:t xml:space="preserve">Ուղղորդվելով ՀՀ կառավարության 2021-2026թթ. ծրագրի առաջնահերթություններով՝ նախատեսվում է իրականացնել սոցիալական, կրթական, ենթակառուցվածքային բնույթի մի շարք առաջնահերթ միջոցառումներ, որոնցից առավել հատկանշական են՝ </w:t>
      </w:r>
    </w:p>
    <w:p w:rsidR="00CC0E76" w:rsidRPr="007955BB" w:rsidRDefault="00CC0E76" w:rsidP="00CC0E76">
      <w:pPr>
        <w:numPr>
          <w:ilvl w:val="0"/>
          <w:numId w:val="54"/>
        </w:numPr>
        <w:spacing w:before="40" w:after="60" w:line="276" w:lineRule="auto"/>
        <w:ind w:left="630"/>
        <w:contextualSpacing w:val="0"/>
        <w:rPr>
          <w:rFonts w:eastAsiaTheme="minorEastAsia" w:cstheme="minorBidi"/>
          <w:b w:val="0"/>
          <w:szCs w:val="22"/>
          <w:lang w:val="hy-AM" w:eastAsia="en-US"/>
        </w:rPr>
      </w:pPr>
      <w:r w:rsidRPr="007955BB">
        <w:rPr>
          <w:rFonts w:eastAsiaTheme="minorEastAsia" w:cstheme="minorBidi"/>
          <w:b w:val="0"/>
          <w:szCs w:val="22"/>
          <w:lang w:val="hy-AM" w:eastAsia="en-US"/>
        </w:rPr>
        <w:t>նվազագույն աշխատավարձի բարձրացումը</w:t>
      </w:r>
      <w:r>
        <w:rPr>
          <w:rFonts w:eastAsiaTheme="minorEastAsia" w:cstheme="minorBidi"/>
          <w:b w:val="0"/>
          <w:szCs w:val="22"/>
          <w:lang w:val="hy-AM" w:eastAsia="en-US"/>
        </w:rPr>
        <w:t>՝ սահմանելով</w:t>
      </w:r>
      <w:r w:rsidRPr="008A3BD6">
        <w:rPr>
          <w:rFonts w:eastAsiaTheme="minorEastAsia" w:cstheme="minorBidi"/>
          <w:b w:val="0"/>
          <w:szCs w:val="22"/>
          <w:lang w:val="hy-AM" w:eastAsia="en-US"/>
        </w:rPr>
        <w:t xml:space="preserve"> </w:t>
      </w:r>
      <w:r>
        <w:rPr>
          <w:rFonts w:eastAsiaTheme="minorEastAsia" w:cstheme="minorBidi"/>
          <w:b w:val="0"/>
          <w:szCs w:val="22"/>
          <w:lang w:val="hy-AM" w:eastAsia="en-US"/>
        </w:rPr>
        <w:t xml:space="preserve">այն </w:t>
      </w:r>
      <w:r w:rsidRPr="008A3BD6">
        <w:rPr>
          <w:rFonts w:eastAsiaTheme="minorEastAsia" w:cstheme="minorBidi"/>
          <w:b w:val="0"/>
          <w:szCs w:val="22"/>
          <w:lang w:val="hy-AM" w:eastAsia="en-US"/>
        </w:rPr>
        <w:t>75</w:t>
      </w:r>
      <w:r>
        <w:rPr>
          <w:rFonts w:eastAsiaTheme="minorEastAsia" w:cstheme="minorBidi"/>
          <w:b w:val="0"/>
          <w:szCs w:val="22"/>
          <w:lang w:val="hy-AM" w:eastAsia="en-US"/>
        </w:rPr>
        <w:t>,</w:t>
      </w:r>
      <w:r w:rsidRPr="008A3BD6">
        <w:rPr>
          <w:rFonts w:eastAsiaTheme="minorEastAsia" w:cstheme="minorBidi"/>
          <w:b w:val="0"/>
          <w:szCs w:val="22"/>
          <w:lang w:val="hy-AM" w:eastAsia="en-US"/>
        </w:rPr>
        <w:t xml:space="preserve">000 </w:t>
      </w:r>
      <w:r>
        <w:rPr>
          <w:rFonts w:eastAsiaTheme="minorEastAsia" w:cstheme="minorBidi"/>
          <w:b w:val="0"/>
          <w:szCs w:val="22"/>
          <w:lang w:val="hy-AM" w:eastAsia="en-US"/>
        </w:rPr>
        <w:t>ՀՀ դրամ</w:t>
      </w:r>
      <w:r w:rsidRPr="007955BB">
        <w:rPr>
          <w:rFonts w:eastAsiaTheme="minorEastAsia" w:cstheme="minorBidi"/>
          <w:b w:val="0"/>
          <w:szCs w:val="22"/>
          <w:lang w:val="hy-AM" w:eastAsia="en-US"/>
        </w:rPr>
        <w:t>,</w:t>
      </w:r>
    </w:p>
    <w:p w:rsidR="00CC0E76" w:rsidRPr="007955BB" w:rsidRDefault="00CC0E76" w:rsidP="00CC0E76">
      <w:pPr>
        <w:numPr>
          <w:ilvl w:val="0"/>
          <w:numId w:val="54"/>
        </w:numPr>
        <w:spacing w:before="40" w:after="60" w:line="276" w:lineRule="auto"/>
        <w:ind w:left="630"/>
        <w:contextualSpacing w:val="0"/>
        <w:rPr>
          <w:rFonts w:eastAsiaTheme="minorEastAsia" w:cstheme="minorBidi"/>
          <w:b w:val="0"/>
          <w:szCs w:val="22"/>
          <w:lang w:val="hy-AM" w:eastAsia="en-US"/>
        </w:rPr>
      </w:pPr>
      <w:r w:rsidRPr="007955BB">
        <w:rPr>
          <w:rFonts w:eastAsiaTheme="minorEastAsia" w:cstheme="minorBidi"/>
          <w:b w:val="0"/>
          <w:szCs w:val="22"/>
          <w:lang w:val="hy-AM" w:eastAsia="en-US"/>
        </w:rPr>
        <w:t>կենսաթոշակներին ուղղվող ծախսերի ավելացումը</w:t>
      </w:r>
      <w:r>
        <w:rPr>
          <w:rFonts w:eastAsiaTheme="minorEastAsia" w:cstheme="minorBidi"/>
          <w:b w:val="0"/>
          <w:szCs w:val="22"/>
          <w:lang w:val="hy-AM" w:eastAsia="en-US"/>
        </w:rPr>
        <w:t xml:space="preserve"> 25,2 մլրդ դրամով</w:t>
      </w:r>
      <w:r w:rsidRPr="007955BB">
        <w:rPr>
          <w:rFonts w:eastAsiaTheme="minorEastAsia" w:cstheme="minorBidi"/>
          <w:b w:val="0"/>
          <w:szCs w:val="22"/>
          <w:lang w:val="hy-AM" w:eastAsia="en-US"/>
        </w:rPr>
        <w:t>,</w:t>
      </w:r>
    </w:p>
    <w:p w:rsidR="00CC0E76" w:rsidRPr="007955BB" w:rsidRDefault="00CC0E76" w:rsidP="00CC0E76">
      <w:pPr>
        <w:numPr>
          <w:ilvl w:val="0"/>
          <w:numId w:val="54"/>
        </w:numPr>
        <w:spacing w:before="40" w:after="60" w:line="276" w:lineRule="auto"/>
        <w:ind w:left="630"/>
        <w:contextualSpacing w:val="0"/>
        <w:rPr>
          <w:rFonts w:eastAsiaTheme="minorEastAsia" w:cstheme="minorBidi"/>
          <w:b w:val="0"/>
          <w:szCs w:val="22"/>
          <w:lang w:val="hy-AM" w:eastAsia="en-US"/>
        </w:rPr>
      </w:pPr>
      <w:r w:rsidRPr="007955BB">
        <w:rPr>
          <w:rFonts w:eastAsiaTheme="minorEastAsia" w:cstheme="minorBidi"/>
          <w:b w:val="0"/>
          <w:szCs w:val="22"/>
          <w:lang w:val="hy-AM" w:eastAsia="en-US"/>
        </w:rPr>
        <w:t>առողջապահությանն ու կրթությանն ուղղվող ծախսերի առաջանցիկ աճի ապահովումը ՀՆԱ-ի նկատմամբ</w:t>
      </w:r>
      <w:r>
        <w:rPr>
          <w:rFonts w:eastAsiaTheme="minorEastAsia" w:cstheme="minorBidi"/>
          <w:b w:val="0"/>
          <w:szCs w:val="22"/>
          <w:lang w:val="hy-AM" w:eastAsia="en-US"/>
        </w:rPr>
        <w:t>՝ համապատասխանաբար 1,60</w:t>
      </w:r>
      <w:r w:rsidRPr="008A3BD6">
        <w:rPr>
          <w:rFonts w:eastAsiaTheme="minorEastAsia" w:cstheme="minorBidi"/>
          <w:b w:val="0"/>
          <w:szCs w:val="22"/>
          <w:lang w:val="hy-AM" w:eastAsia="en-US"/>
        </w:rPr>
        <w:t xml:space="preserve">% </w:t>
      </w:r>
      <w:r>
        <w:rPr>
          <w:rFonts w:eastAsiaTheme="minorEastAsia" w:cstheme="minorBidi"/>
          <w:b w:val="0"/>
          <w:szCs w:val="22"/>
          <w:lang w:val="hy-AM" w:eastAsia="en-US"/>
        </w:rPr>
        <w:t>և 2,24</w:t>
      </w:r>
      <w:r w:rsidRPr="008A3BD6">
        <w:rPr>
          <w:rFonts w:eastAsiaTheme="minorEastAsia" w:cstheme="minorBidi"/>
          <w:b w:val="0"/>
          <w:szCs w:val="22"/>
          <w:lang w:val="hy-AM" w:eastAsia="en-US"/>
        </w:rPr>
        <w:t>%</w:t>
      </w:r>
      <w:r w:rsidRPr="007955BB">
        <w:rPr>
          <w:rFonts w:eastAsiaTheme="minorEastAsia" w:cstheme="minorBidi"/>
          <w:b w:val="0"/>
          <w:szCs w:val="22"/>
          <w:lang w:val="hy-AM" w:eastAsia="en-US"/>
        </w:rPr>
        <w:t>,</w:t>
      </w:r>
    </w:p>
    <w:p w:rsidR="00CC0E76" w:rsidRPr="007955BB" w:rsidRDefault="00CC0E76" w:rsidP="00CC0E76">
      <w:pPr>
        <w:numPr>
          <w:ilvl w:val="0"/>
          <w:numId w:val="54"/>
        </w:numPr>
        <w:spacing w:before="40" w:after="60" w:line="276" w:lineRule="auto"/>
        <w:ind w:left="630"/>
        <w:contextualSpacing w:val="0"/>
        <w:rPr>
          <w:rFonts w:eastAsiaTheme="minorEastAsia" w:cstheme="minorBidi"/>
          <w:b w:val="0"/>
          <w:szCs w:val="22"/>
          <w:lang w:val="hy-AM" w:eastAsia="en-US"/>
        </w:rPr>
      </w:pPr>
      <w:r w:rsidRPr="007955BB">
        <w:rPr>
          <w:rFonts w:eastAsiaTheme="minorEastAsia" w:cstheme="minorBidi"/>
          <w:b w:val="0"/>
          <w:szCs w:val="22"/>
          <w:lang w:val="hy-AM" w:eastAsia="en-US"/>
        </w:rPr>
        <w:t>ժողովրդագրական վիճակի բարելավման գծով լրացուցիչ ծախսերի նախատեսումը</w:t>
      </w:r>
      <w:r w:rsidRPr="008A3BD6">
        <w:rPr>
          <w:rFonts w:eastAsiaTheme="minorEastAsia" w:cstheme="minorBidi"/>
          <w:b w:val="0"/>
          <w:szCs w:val="22"/>
          <w:lang w:val="hy-AM" w:eastAsia="en-US"/>
        </w:rPr>
        <w:t xml:space="preserve"> 16</w:t>
      </w:r>
      <w:r>
        <w:rPr>
          <w:rFonts w:eastAsiaTheme="minorEastAsia" w:cstheme="minorBidi"/>
          <w:b w:val="0"/>
          <w:szCs w:val="22"/>
          <w:lang w:val="hy-AM" w:eastAsia="en-US"/>
        </w:rPr>
        <w:t>,</w:t>
      </w:r>
      <w:r w:rsidRPr="008A3BD6">
        <w:rPr>
          <w:rFonts w:eastAsiaTheme="minorEastAsia" w:cstheme="minorBidi"/>
          <w:b w:val="0"/>
          <w:szCs w:val="22"/>
          <w:lang w:val="hy-AM" w:eastAsia="en-US"/>
        </w:rPr>
        <w:t>9</w:t>
      </w:r>
      <w:r>
        <w:rPr>
          <w:rFonts w:eastAsiaTheme="minorEastAsia" w:cstheme="minorBidi"/>
          <w:b w:val="0"/>
          <w:szCs w:val="22"/>
          <w:lang w:val="hy-AM" w:eastAsia="en-US"/>
        </w:rPr>
        <w:t xml:space="preserve"> մլրդ ՀՀ դրամով</w:t>
      </w:r>
      <w:r w:rsidRPr="007955BB">
        <w:rPr>
          <w:rFonts w:eastAsiaTheme="minorEastAsia" w:cstheme="minorBidi"/>
          <w:b w:val="0"/>
          <w:szCs w:val="22"/>
          <w:lang w:val="hy-AM" w:eastAsia="en-US"/>
        </w:rPr>
        <w:t>,</w:t>
      </w:r>
    </w:p>
    <w:p w:rsidR="00CC0E76" w:rsidRPr="007955BB" w:rsidRDefault="00CC0E76" w:rsidP="00CC0E76">
      <w:pPr>
        <w:numPr>
          <w:ilvl w:val="0"/>
          <w:numId w:val="54"/>
        </w:numPr>
        <w:spacing w:before="40" w:after="60" w:line="276" w:lineRule="auto"/>
        <w:ind w:left="630"/>
        <w:contextualSpacing w:val="0"/>
        <w:rPr>
          <w:rFonts w:eastAsiaTheme="minorEastAsia" w:cstheme="minorBidi"/>
          <w:b w:val="0"/>
          <w:szCs w:val="22"/>
          <w:lang w:val="hy-AM" w:eastAsia="en-US"/>
        </w:rPr>
      </w:pPr>
      <w:r w:rsidRPr="007955BB">
        <w:rPr>
          <w:rFonts w:eastAsiaTheme="minorEastAsia" w:cstheme="minorBidi"/>
          <w:b w:val="0"/>
          <w:szCs w:val="22"/>
          <w:lang w:val="hy-AM" w:eastAsia="en-US"/>
        </w:rPr>
        <w:t>գիտության գծով նշանակալի ծախսերի ավելացումը</w:t>
      </w:r>
      <w:r>
        <w:rPr>
          <w:rFonts w:eastAsiaTheme="minorEastAsia" w:cstheme="minorBidi"/>
          <w:b w:val="0"/>
          <w:szCs w:val="22"/>
          <w:lang w:val="hy-AM" w:eastAsia="en-US"/>
        </w:rPr>
        <w:t xml:space="preserve"> 6,</w:t>
      </w:r>
      <w:r w:rsidR="000F1567" w:rsidRPr="00242CCC">
        <w:rPr>
          <w:rFonts w:eastAsiaTheme="minorEastAsia" w:cstheme="minorBidi"/>
          <w:b w:val="0"/>
          <w:szCs w:val="22"/>
          <w:lang w:val="hy-AM" w:eastAsia="en-US"/>
        </w:rPr>
        <w:t>2</w:t>
      </w:r>
      <w:r>
        <w:rPr>
          <w:rFonts w:eastAsiaTheme="minorEastAsia" w:cstheme="minorBidi"/>
          <w:b w:val="0"/>
          <w:szCs w:val="22"/>
          <w:lang w:val="hy-AM" w:eastAsia="en-US"/>
        </w:rPr>
        <w:t xml:space="preserve"> մլրդ ՀՀ դրամով</w:t>
      </w:r>
      <w:r w:rsidRPr="007955BB">
        <w:rPr>
          <w:rFonts w:eastAsiaTheme="minorEastAsia" w:cstheme="minorBidi"/>
          <w:b w:val="0"/>
          <w:szCs w:val="22"/>
          <w:lang w:val="hy-AM" w:eastAsia="en-US"/>
        </w:rPr>
        <w:t>։</w:t>
      </w:r>
    </w:p>
    <w:p w:rsidR="00BA2D53" w:rsidRPr="007955BB" w:rsidRDefault="00BA2D53" w:rsidP="008F5CA2">
      <w:pPr>
        <w:pStyle w:val="BodyText2"/>
      </w:pPr>
    </w:p>
    <w:p w:rsidR="00922CF5" w:rsidRPr="007955BB" w:rsidRDefault="00922CF5" w:rsidP="007730AA">
      <w:pPr>
        <w:spacing w:before="0" w:line="276" w:lineRule="auto"/>
        <w:ind w:firstLine="0"/>
        <w:contextualSpacing w:val="0"/>
        <w:jc w:val="left"/>
        <w:rPr>
          <w:sz w:val="28"/>
          <w:szCs w:val="20"/>
          <w:lang w:val="hy-AM"/>
        </w:rPr>
      </w:pPr>
      <w:r w:rsidRPr="007955BB">
        <w:rPr>
          <w:lang w:val="hy-AM"/>
        </w:rPr>
        <w:br w:type="page"/>
      </w:r>
    </w:p>
    <w:p w:rsidR="005F226A" w:rsidRPr="007955BB" w:rsidRDefault="005F226A" w:rsidP="00A30EDC">
      <w:pPr>
        <w:pStyle w:val="Heading1"/>
        <w:rPr>
          <w:lang w:val="hy-AM"/>
        </w:rPr>
      </w:pPr>
      <w:bookmarkStart w:id="5" w:name="_Toc26174882"/>
      <w:bookmarkStart w:id="6" w:name="_Toc83567430"/>
      <w:bookmarkStart w:id="7" w:name="_Toc120805158"/>
      <w:r w:rsidRPr="007955BB">
        <w:rPr>
          <w:lang w:val="hy-AM"/>
        </w:rPr>
        <w:t>ՄԱՍ I–Ա. ՍՈՑԻԱԼ-ՏՆՏԵՍԱԿԱՆ ԶԱՐԳԱՑՄԱՆ ԵՎ ՀԱՐԿԱԲՅՈՒՋԵՏԱՅԻՆ ՔԱՂԱՔԱԿԱՆՈՒԹՅԱՆ ՀԻՄՆԱԿԱՆ ՈՒՂՂՈՒԹՅՈՒՆՆԵՐԻ ՄԱՍԻՆ</w:t>
      </w:r>
      <w:bookmarkEnd w:id="5"/>
      <w:bookmarkEnd w:id="6"/>
      <w:bookmarkEnd w:id="7"/>
    </w:p>
    <w:p w:rsidR="005F226A" w:rsidRPr="007955BB" w:rsidRDefault="005F226A" w:rsidP="005F226A">
      <w:pPr>
        <w:keepNext/>
        <w:tabs>
          <w:tab w:val="left" w:pos="567"/>
          <w:tab w:val="left" w:pos="851"/>
          <w:tab w:val="left" w:pos="993"/>
        </w:tabs>
        <w:spacing w:before="0" w:line="276" w:lineRule="auto"/>
        <w:ind w:firstLine="426"/>
        <w:contextualSpacing w:val="0"/>
        <w:jc w:val="center"/>
        <w:outlineLvl w:val="0"/>
        <w:rPr>
          <w:rFonts w:cs="Times LatArm"/>
          <w:szCs w:val="22"/>
          <w:lang w:val="hy-AM"/>
        </w:rPr>
      </w:pPr>
      <w:bookmarkStart w:id="8" w:name="_Toc26174883"/>
    </w:p>
    <w:p w:rsidR="005F226A" w:rsidRPr="007955BB" w:rsidRDefault="005F226A" w:rsidP="005F226A">
      <w:pPr>
        <w:keepNext/>
        <w:tabs>
          <w:tab w:val="left" w:pos="567"/>
          <w:tab w:val="left" w:pos="851"/>
          <w:tab w:val="left" w:pos="993"/>
        </w:tabs>
        <w:spacing w:before="0" w:line="276" w:lineRule="auto"/>
        <w:ind w:firstLine="426"/>
        <w:contextualSpacing w:val="0"/>
        <w:jc w:val="center"/>
        <w:outlineLvl w:val="0"/>
        <w:rPr>
          <w:rFonts w:cs="Sylfaen"/>
          <w:sz w:val="24"/>
          <w:lang w:val="hy-AM"/>
        </w:rPr>
      </w:pPr>
      <w:bookmarkStart w:id="9" w:name="_Toc83567431"/>
      <w:bookmarkStart w:id="10" w:name="_Toc120805159"/>
      <w:r w:rsidRPr="007955BB">
        <w:rPr>
          <w:rFonts w:cs="Times LatArm"/>
          <w:sz w:val="24"/>
          <w:lang w:val="hy-AM"/>
        </w:rPr>
        <w:t>202</w:t>
      </w:r>
      <w:r w:rsidR="0042695E" w:rsidRPr="007955BB">
        <w:rPr>
          <w:rFonts w:cs="Times LatArm"/>
          <w:sz w:val="24"/>
          <w:lang w:val="hy-AM"/>
        </w:rPr>
        <w:t>3</w:t>
      </w:r>
      <w:r w:rsidRPr="007955BB">
        <w:rPr>
          <w:rFonts w:cs="Times LatArm"/>
          <w:sz w:val="24"/>
          <w:lang w:val="hy-AM"/>
        </w:rPr>
        <w:t xml:space="preserve"> </w:t>
      </w:r>
      <w:r w:rsidRPr="007955BB">
        <w:rPr>
          <w:rFonts w:cs="Sylfaen"/>
          <w:sz w:val="24"/>
          <w:lang w:val="hy-AM"/>
        </w:rPr>
        <w:t>թվականի</w:t>
      </w:r>
      <w:r w:rsidRPr="007955BB">
        <w:rPr>
          <w:rFonts w:cs="Times LatArm"/>
          <w:sz w:val="24"/>
          <w:lang w:val="hy-AM"/>
        </w:rPr>
        <w:t xml:space="preserve"> </w:t>
      </w:r>
      <w:r w:rsidRPr="007955BB">
        <w:rPr>
          <w:rFonts w:cs="Sylfaen"/>
          <w:sz w:val="24"/>
          <w:lang w:val="hy-AM"/>
        </w:rPr>
        <w:t>սոցիալ</w:t>
      </w:r>
      <w:r w:rsidRPr="007955BB">
        <w:rPr>
          <w:rFonts w:cs="Times LatArm"/>
          <w:sz w:val="24"/>
          <w:lang w:val="hy-AM"/>
        </w:rPr>
        <w:t>-</w:t>
      </w:r>
      <w:r w:rsidRPr="007955BB">
        <w:rPr>
          <w:rFonts w:cs="Sylfaen"/>
          <w:sz w:val="24"/>
          <w:lang w:val="hy-AM"/>
        </w:rPr>
        <w:t>տնտեսական</w:t>
      </w:r>
      <w:r w:rsidRPr="007955BB">
        <w:rPr>
          <w:rFonts w:cs="Times LatArm"/>
          <w:sz w:val="24"/>
          <w:lang w:val="hy-AM"/>
        </w:rPr>
        <w:t xml:space="preserve"> </w:t>
      </w:r>
      <w:r w:rsidRPr="007955BB">
        <w:rPr>
          <w:rFonts w:cs="Sylfaen"/>
          <w:sz w:val="24"/>
          <w:lang w:val="hy-AM"/>
        </w:rPr>
        <w:t>զարգացման</w:t>
      </w:r>
      <w:r w:rsidRPr="007955BB">
        <w:rPr>
          <w:rFonts w:cs="Times LatArm"/>
          <w:sz w:val="24"/>
          <w:lang w:val="hy-AM"/>
        </w:rPr>
        <w:t xml:space="preserve"> </w:t>
      </w:r>
      <w:r w:rsidRPr="007955BB">
        <w:rPr>
          <w:rFonts w:cs="Sylfaen"/>
          <w:sz w:val="24"/>
          <w:lang w:val="hy-AM"/>
        </w:rPr>
        <w:t>և հարկաբյուջետային քաղաքականության հիմնական</w:t>
      </w:r>
      <w:r w:rsidRPr="007955BB">
        <w:rPr>
          <w:rFonts w:cs="Times LatArm"/>
          <w:sz w:val="24"/>
          <w:lang w:val="hy-AM"/>
        </w:rPr>
        <w:t xml:space="preserve"> </w:t>
      </w:r>
      <w:r w:rsidRPr="007955BB">
        <w:rPr>
          <w:rFonts w:cs="Sylfaen"/>
          <w:sz w:val="24"/>
          <w:lang w:val="hy-AM"/>
        </w:rPr>
        <w:t>ուղղությունները</w:t>
      </w:r>
      <w:bookmarkEnd w:id="8"/>
      <w:bookmarkEnd w:id="9"/>
      <w:bookmarkEnd w:id="10"/>
    </w:p>
    <w:p w:rsidR="005F226A" w:rsidRPr="007955BB" w:rsidRDefault="005F226A" w:rsidP="005F226A">
      <w:pPr>
        <w:widowControl w:val="0"/>
        <w:tabs>
          <w:tab w:val="left" w:pos="567"/>
          <w:tab w:val="left" w:pos="851"/>
          <w:tab w:val="left" w:pos="993"/>
        </w:tabs>
        <w:spacing w:before="0" w:line="276" w:lineRule="auto"/>
        <w:ind w:firstLine="426"/>
        <w:contextualSpacing w:val="0"/>
        <w:rPr>
          <w:b w:val="0"/>
          <w:szCs w:val="22"/>
          <w:lang w:val="hy-AM"/>
        </w:rPr>
      </w:pPr>
    </w:p>
    <w:p w:rsidR="005F226A" w:rsidRPr="007955BB" w:rsidRDefault="005F226A" w:rsidP="005F226A">
      <w:pPr>
        <w:keepNext/>
        <w:tabs>
          <w:tab w:val="left" w:pos="360"/>
        </w:tabs>
        <w:spacing w:before="0" w:line="276" w:lineRule="auto"/>
        <w:ind w:firstLine="426"/>
        <w:contextualSpacing w:val="0"/>
        <w:outlineLvl w:val="2"/>
        <w:rPr>
          <w:rFonts w:cs="Arial"/>
          <w:szCs w:val="22"/>
          <w:lang w:val="hy-AM" w:eastAsia="en-US"/>
        </w:rPr>
      </w:pPr>
      <w:bookmarkStart w:id="11" w:name="_Toc83567432"/>
      <w:bookmarkStart w:id="12" w:name="_Toc120805160"/>
      <w:r w:rsidRPr="007955BB">
        <w:rPr>
          <w:rFonts w:cs="Arial"/>
          <w:szCs w:val="22"/>
          <w:lang w:val="hy-AM" w:eastAsia="en-US"/>
        </w:rPr>
        <w:t>Տնտեսական զարգացում</w:t>
      </w:r>
      <w:bookmarkEnd w:id="11"/>
      <w:bookmarkEnd w:id="12"/>
    </w:p>
    <w:p w:rsidR="00427A4F" w:rsidRPr="007955BB" w:rsidRDefault="00427A4F" w:rsidP="00427A4F">
      <w:pPr>
        <w:spacing w:before="0" w:line="276" w:lineRule="auto"/>
        <w:ind w:firstLine="284"/>
        <w:rPr>
          <w:rFonts w:eastAsia="Calibri"/>
          <w:b w:val="0"/>
          <w:szCs w:val="22"/>
          <w:lang w:val="hy-AM" w:eastAsia="en-US"/>
        </w:rPr>
      </w:pPr>
      <w:r w:rsidRPr="007955BB">
        <w:rPr>
          <w:rFonts w:eastAsia="Calibri"/>
          <w:b w:val="0"/>
          <w:szCs w:val="22"/>
          <w:lang w:val="hy-AM" w:eastAsia="en-US"/>
        </w:rPr>
        <w:t xml:space="preserve">2023 թվականին տնտեսական զարգացման քաղաքականության շրջանակը կառուցվում է ՀՀ կառավարության` 2021 թվականի օգոստոսի 18-ի </w:t>
      </w:r>
      <w:r w:rsidR="00D664AB" w:rsidRPr="007955BB">
        <w:rPr>
          <w:rFonts w:eastAsia="Calibri"/>
          <w:b w:val="0"/>
          <w:szCs w:val="22"/>
          <w:lang w:val="hy-AM" w:eastAsia="en-US"/>
        </w:rPr>
        <w:t xml:space="preserve">N </w:t>
      </w:r>
      <w:r w:rsidRPr="007955BB">
        <w:rPr>
          <w:rFonts w:eastAsia="Calibri"/>
          <w:b w:val="0"/>
          <w:szCs w:val="22"/>
          <w:lang w:val="hy-AM" w:eastAsia="en-US"/>
        </w:rPr>
        <w:t xml:space="preserve">1363-Ա որոշմամբ հաստատված ՀՀ կառավարության 2021-2026թթ. ծրագրի առաջնահերթությունների շուրջ: Իրականացվելիք միջոցառումների հիմնական նպատակը  լինելու է ներդրումներից բխող տնտեսական զարգացման մոդելի անցնելը, տնտեսության մրցունակության և արտադրողականության աճը։ </w:t>
      </w:r>
    </w:p>
    <w:p w:rsidR="00427A4F" w:rsidRPr="007955BB" w:rsidRDefault="00427A4F" w:rsidP="00427A4F">
      <w:pPr>
        <w:spacing w:before="0" w:line="276" w:lineRule="auto"/>
        <w:ind w:firstLine="284"/>
        <w:rPr>
          <w:rFonts w:eastAsia="Calibri" w:cs="Arial"/>
          <w:b w:val="0"/>
          <w:szCs w:val="22"/>
          <w:lang w:val="hy-AM" w:eastAsia="en-US"/>
        </w:rPr>
      </w:pPr>
      <w:r w:rsidRPr="007955BB">
        <w:rPr>
          <w:rFonts w:eastAsia="Calibri"/>
          <w:b w:val="0"/>
          <w:szCs w:val="22"/>
          <w:lang w:val="hy-AM" w:eastAsia="en-US"/>
        </w:rPr>
        <w:t xml:space="preserve">Տնտեսական քաղաքականությունը հիմնված է լինելու ռազմավարական փաստաթղթերով նախատեսված գործողությունների իրականացման վրա այնպիսի կարևորագույն ուղղություններով, ինչպիսիք են ներդրումների խրախուսումը, ձեռներեցության զարգացումը, գործարար և ներդրումային միջավայրի բարելավումը, զբոսաշրջության, արդյունաբերության և գյուղատնտեսության մրցունակության աճը, ապրանքների և ծառայությունների արտահանման էական ավելացումը։ Միաժամանակ թիրախավորվելու են նաև հանրային ներդրումների արդյունավետության բարձրացումն ու որակի ենթակառուցվածքների բարելավումը։ </w:t>
      </w:r>
    </w:p>
    <w:p w:rsidR="00427A4F" w:rsidRPr="007955BB" w:rsidRDefault="00427A4F" w:rsidP="00427A4F">
      <w:pPr>
        <w:spacing w:before="0" w:line="276" w:lineRule="auto"/>
        <w:ind w:firstLine="284"/>
        <w:rPr>
          <w:rFonts w:eastAsia="Calibri" w:cs="Arial"/>
          <w:b w:val="0"/>
          <w:szCs w:val="22"/>
          <w:lang w:val="hy-AM" w:eastAsia="en-US"/>
        </w:rPr>
      </w:pPr>
      <w:r w:rsidRPr="007955BB">
        <w:rPr>
          <w:rFonts w:eastAsia="Calibri"/>
          <w:b w:val="0"/>
          <w:szCs w:val="22"/>
          <w:lang w:val="hy-AM" w:eastAsia="en-US"/>
        </w:rPr>
        <w:t xml:space="preserve">Տնտեսության մրցունակության բարձրացման տեսանկյունից կառավարության կողմից կարևորվելու է արտադրողականության աճը՝ տեխնոլոգիաների և լավագույն միջազգային փորձի կլանման և կարողությունների զարգացման միջոցով, ՀՀ քաղաքացիների նորարարական ներուժի իրացումը՝ գործարար նախաձեռնողականության խրախուսման միջոցով։ Հատուկ ուշադրության է արժանանալու ներքին և օտարերկրյա ներդրումների ներգրավումը՝ որպես տնտեսության որակական փոփոխության շարժիչ ուժ:  </w:t>
      </w:r>
    </w:p>
    <w:p w:rsidR="00427A4F" w:rsidRPr="007955BB" w:rsidRDefault="00427A4F" w:rsidP="00427A4F">
      <w:pPr>
        <w:spacing w:before="0" w:line="276" w:lineRule="auto"/>
        <w:ind w:firstLine="284"/>
        <w:rPr>
          <w:rFonts w:eastAsia="Calibri"/>
          <w:b w:val="0"/>
          <w:szCs w:val="22"/>
          <w:lang w:val="hy-AM" w:eastAsia="en-US"/>
        </w:rPr>
      </w:pPr>
      <w:r w:rsidRPr="007955BB">
        <w:rPr>
          <w:rFonts w:eastAsia="Calibri"/>
          <w:bCs/>
          <w:iCs/>
          <w:szCs w:val="22"/>
          <w:lang w:val="hy-AM" w:eastAsia="en-US"/>
        </w:rPr>
        <w:t>Արդյունաբերության մրցունակության աճի</w:t>
      </w:r>
      <w:r w:rsidRPr="007955BB">
        <w:rPr>
          <w:rFonts w:eastAsia="Calibri"/>
          <w:b w:val="0"/>
          <w:szCs w:val="22"/>
          <w:lang w:val="hy-AM" w:eastAsia="en-US"/>
        </w:rPr>
        <w:t xml:space="preserve"> առաջնային աղբյուր է դիտարկվում</w:t>
      </w:r>
      <w:r w:rsidRPr="007955BB">
        <w:rPr>
          <w:rFonts w:ascii="Calibri" w:eastAsia="Calibri" w:hAnsi="Calibri" w:cs="Calibri"/>
          <w:b w:val="0"/>
          <w:szCs w:val="22"/>
          <w:lang w:val="hy-AM" w:eastAsia="en-US"/>
        </w:rPr>
        <w:t>  </w:t>
      </w:r>
      <w:r w:rsidRPr="007955BB">
        <w:rPr>
          <w:rFonts w:eastAsia="Calibri"/>
          <w:b w:val="0"/>
          <w:szCs w:val="22"/>
          <w:lang w:val="hy-AM" w:eastAsia="en-US"/>
        </w:rPr>
        <w:t xml:space="preserve"> արտադրողականության աճը և միջազգային մրցունակության բարձրացումը՝ տեխնոլոգիաների վերազինման, գիտելիքի կլանման, արտահանման կարողությունների զարգացման, լոգիստիկ խնդիրների մեղմման և՛ ներքին, և՛ միջազգային թիրախային շուկաների մուտքի, և՛ տեղեկատվության հասանելիության ապահովման միջոցով: </w:t>
      </w:r>
    </w:p>
    <w:p w:rsidR="00427A4F" w:rsidRPr="007955BB" w:rsidRDefault="00427A4F" w:rsidP="00427A4F">
      <w:pPr>
        <w:spacing w:before="0" w:line="276" w:lineRule="auto"/>
        <w:ind w:firstLine="284"/>
        <w:rPr>
          <w:rFonts w:eastAsia="Calibri"/>
          <w:b w:val="0"/>
          <w:szCs w:val="22"/>
          <w:lang w:val="hy-AM" w:eastAsia="en-US"/>
        </w:rPr>
      </w:pPr>
      <w:r w:rsidRPr="007955BB">
        <w:rPr>
          <w:rFonts w:eastAsia="Calibri"/>
          <w:b w:val="0"/>
          <w:szCs w:val="22"/>
          <w:lang w:val="hy-AM" w:eastAsia="en-US"/>
        </w:rPr>
        <w:t xml:space="preserve">Ծրագրված գործողությունները միտված են հնարավորություն ընձեռելու Հայաստանի Հանրապետությունում արտադրվող ապրանքները (ծառայությունները), մտավոր գործունեության արդյունքներն արտահանել օտարերկրյա պետությունների շուկաներ՝ ստեղծելով առավել բարենպաստ պայմաններ արտաքին տնտեսական գործունեություն իրականացնող տնտեսավարող սուբյեկտների համար, ինչպես նաև Հայաստանի Հանրապետության համար ռազմավարական ոլորտներում տնտեսական աճի ներառականության համար ապահովել քաղաքացիների մասնագիտական կարողությունների ու հմտությունների զարգացումը և աշխատուժի հմտությունների մակարդակի բարձրացումը։ </w:t>
      </w:r>
    </w:p>
    <w:p w:rsidR="00427A4F" w:rsidRPr="007955BB" w:rsidRDefault="00427A4F" w:rsidP="00427A4F">
      <w:pPr>
        <w:spacing w:before="0" w:line="276" w:lineRule="auto"/>
        <w:ind w:firstLine="284"/>
        <w:rPr>
          <w:rFonts w:eastAsia="Calibri"/>
          <w:b w:val="0"/>
          <w:bCs/>
          <w:szCs w:val="22"/>
          <w:lang w:val="hy-AM" w:eastAsia="en-US"/>
        </w:rPr>
      </w:pPr>
      <w:r w:rsidRPr="007955BB">
        <w:rPr>
          <w:rFonts w:eastAsia="Calibri"/>
          <w:iCs/>
          <w:szCs w:val="22"/>
          <w:lang w:val="hy-AM" w:eastAsia="en-US"/>
        </w:rPr>
        <w:t>Փոքր և միջին ձեռնարկատիրության զարգացումը</w:t>
      </w:r>
      <w:r w:rsidRPr="007955BB">
        <w:rPr>
          <w:rFonts w:eastAsia="Calibri"/>
          <w:b w:val="0"/>
          <w:bCs/>
          <w:szCs w:val="22"/>
          <w:lang w:val="hy-AM" w:eastAsia="en-US"/>
        </w:rPr>
        <w:t xml:space="preserve"> Հայաստանի Հանրապետության քաղաքացիների ստեղծարար ներուժի իրացման անկյունաքարն է լինելու՝ աշխատատեղերի ստեղծման ու կայուն զարգացման խթանման նկատառումներով։  ՓՄՁ զարգացման համար հիմնական քայլերն ուղղվելու են ՀՆԱ-ում ՓՄՁ-ների տեսակարար կշռի աճին և համաչափ տարածքային զարգացմանը։</w:t>
      </w:r>
    </w:p>
    <w:p w:rsidR="00427A4F" w:rsidRPr="007955BB" w:rsidRDefault="00427A4F" w:rsidP="00427A4F">
      <w:pPr>
        <w:spacing w:before="0" w:line="276" w:lineRule="auto"/>
        <w:ind w:firstLine="284"/>
        <w:rPr>
          <w:rFonts w:eastAsia="Calibri"/>
          <w:b w:val="0"/>
          <w:bCs/>
          <w:szCs w:val="22"/>
          <w:lang w:val="hy-AM" w:eastAsia="en-US"/>
        </w:rPr>
      </w:pPr>
      <w:r w:rsidRPr="007955BB">
        <w:rPr>
          <w:rFonts w:eastAsia="Calibri"/>
          <w:b w:val="0"/>
          <w:bCs/>
          <w:szCs w:val="22"/>
          <w:lang w:val="hy-AM" w:eastAsia="en-US"/>
        </w:rPr>
        <w:t>Ձեռներեցության խրախուսման ու զարգացման նպատակով ընդլայնվելու է սկսնակ ձեռներեցների աջակցության գործիքակազմը՝ սկսնակ նորարար ձեռներեցների համար՝ զգալիորեն բարձրացնելով ֆինանսների, ձեռնարկատիրական հմտությունների ու կապերի, ինչպես նաև գիտելիքի հասանելիությունը։ Առանձնապես շեշտադրվելու է նաև նորարարական գաղափարների իրականացման, և վերջինիս միջոցով եկամտի այլընտրանքային աղբյուրների ստեղծման և հետճգնաժամային շրջանում Հայաստանի Հանրապետությունում մրցակցային առավելությունների իրացման ներուժ ունեցող ՓՄՁ–երի զարգացումը՝ աջակցության առավել ընդգրկուն գործիքակազմի կիրառմամբ։  Մասնավորապես, իրականացվելու են միջոցառումներ միջազգային շուկաներում տեղական ՓՄՁ–երի ներկայացվածության և ճանաչելիության աստիճանի բարձրացման ուղղությամբ:</w:t>
      </w:r>
    </w:p>
    <w:p w:rsidR="00427A4F" w:rsidRPr="007955BB" w:rsidRDefault="00427A4F" w:rsidP="00427A4F">
      <w:pPr>
        <w:spacing w:before="0" w:line="276" w:lineRule="auto"/>
        <w:ind w:firstLine="284"/>
        <w:rPr>
          <w:rFonts w:eastAsia="Calibri"/>
          <w:b w:val="0"/>
          <w:bCs/>
          <w:szCs w:val="22"/>
          <w:lang w:val="hy-AM" w:eastAsia="en-US"/>
        </w:rPr>
      </w:pPr>
      <w:r w:rsidRPr="007955BB">
        <w:rPr>
          <w:rFonts w:eastAsia="Calibri"/>
          <w:b w:val="0"/>
          <w:bCs/>
          <w:szCs w:val="22"/>
          <w:lang w:val="hy-AM" w:eastAsia="en-US"/>
        </w:rPr>
        <w:t>Տնտեսության տարբեր ոլորտներում ստեղծվելու են կանանց ներգրավման, մասնավորապես՝ աշխատանքը և մայրությունը համատեղելուն, ինչպես նաև տաղանդավոր երիտասարդների նորարարական մտածողության զարգացման և վերջիններիս կողմից ստարտափերի ստեղծմանն ուղղված առավել լայն հնարավորություններ։ Ձեռնարկվելու են միջոցներ գյուղերում ոչ-գյուղատնտեսական ձեռնարկատիրության խրախուսման ու ոչ-գյուղատնտեսական հմտությունների ձեռքբերման համար նպաստավոր պայմանների ստեղծման</w:t>
      </w:r>
      <w:r w:rsidR="00D664AB" w:rsidRPr="007955BB">
        <w:rPr>
          <w:rFonts w:eastAsia="Calibri"/>
          <w:b w:val="0"/>
          <w:bCs/>
          <w:szCs w:val="22"/>
          <w:lang w:val="hy-AM" w:eastAsia="en-US"/>
        </w:rPr>
        <w:t xml:space="preserve"> համար։</w:t>
      </w:r>
    </w:p>
    <w:p w:rsidR="00427A4F" w:rsidRPr="007955BB" w:rsidRDefault="00427A4F" w:rsidP="00427A4F">
      <w:pPr>
        <w:spacing w:line="276" w:lineRule="auto"/>
        <w:ind w:firstLine="284"/>
        <w:rPr>
          <w:rFonts w:eastAsia="Calibri"/>
          <w:b w:val="0"/>
          <w:bCs/>
          <w:szCs w:val="22"/>
          <w:lang w:val="hy-AM"/>
        </w:rPr>
      </w:pPr>
      <w:r w:rsidRPr="007955BB">
        <w:rPr>
          <w:rFonts w:eastAsia="Calibri"/>
          <w:iCs/>
          <w:szCs w:val="22"/>
          <w:lang w:val="hy-AM"/>
        </w:rPr>
        <w:t>Զբոսաշրջության ոլորտի</w:t>
      </w:r>
      <w:r w:rsidRPr="007955BB">
        <w:rPr>
          <w:rFonts w:eastAsia="Calibri"/>
          <w:b w:val="0"/>
          <w:bCs/>
          <w:szCs w:val="22"/>
          <w:lang w:val="hy-AM"/>
        </w:rPr>
        <w:t xml:space="preserve"> զարգացման քաղաքականությունն ուղղված է լինելու Հայաստանի ճանաչելիության և հայկական զբոսաշրջային արդյունքի մրցունակության բարձրացմանը, ինստիտուցիոնալ բարեփոխումների իրականացմանը։ Բյուջետային տարվա հիմնական միջոցառումները վերաբերում են ակտիվ մարքեթինգային քաղաքականության իրականացմանը, համայնքային ռեսուրսների հիման վրա զբոսաշրջային արդյունքի բազմազանեցմանը, զբոսաշրջային ենթակառուցվածքների և կարողությունների զարգացման աջակցությանը, միջազգային համագործակցության զարգացմանը, վիճակագրական համակարգի կատարելագործմանը, ծառայությունների որակի բարելավմանը։ Կորոնավիրուսի համավարակի հետևանքները մեղմելու նպատակով հատկապես մեծ ուշադրություն է դարձվելու Հայաստանի զբոսաշրջային գրավչության վերականգնման մարքեթինգային միջոցառումների իրականացմանը</w:t>
      </w:r>
      <w:r w:rsidR="0093129C" w:rsidRPr="007955BB">
        <w:rPr>
          <w:rFonts w:eastAsia="Calibri"/>
          <w:b w:val="0"/>
          <w:bCs/>
          <w:szCs w:val="22"/>
          <w:lang w:val="hy-AM"/>
        </w:rPr>
        <w:t>:</w:t>
      </w:r>
      <w:r w:rsidRPr="007955BB">
        <w:rPr>
          <w:rFonts w:eastAsia="Calibri"/>
          <w:b w:val="0"/>
          <w:bCs/>
          <w:szCs w:val="22"/>
          <w:lang w:val="hy-AM"/>
        </w:rPr>
        <w:t xml:space="preserve"> </w:t>
      </w:r>
    </w:p>
    <w:p w:rsidR="00427A4F" w:rsidRPr="007955BB" w:rsidRDefault="00427A4F" w:rsidP="00427A4F">
      <w:pPr>
        <w:spacing w:line="276" w:lineRule="auto"/>
        <w:ind w:firstLine="284"/>
        <w:rPr>
          <w:b w:val="0"/>
          <w:szCs w:val="22"/>
          <w:lang w:val="hy-AM" w:eastAsia="en-US"/>
        </w:rPr>
      </w:pPr>
      <w:r w:rsidRPr="007955BB">
        <w:rPr>
          <w:bCs/>
          <w:iCs/>
          <w:szCs w:val="22"/>
          <w:lang w:val="hy-AM"/>
        </w:rPr>
        <w:t xml:space="preserve">Գյուղատնտեսությունը </w:t>
      </w:r>
      <w:r w:rsidRPr="007955BB">
        <w:rPr>
          <w:b w:val="0"/>
          <w:szCs w:val="22"/>
          <w:lang w:val="hy-AM"/>
        </w:rPr>
        <w:t>երկրի կենսա</w:t>
      </w:r>
      <w:r w:rsidRPr="007955BB">
        <w:rPr>
          <w:b w:val="0"/>
          <w:szCs w:val="22"/>
          <w:lang w:val="hy-AM"/>
        </w:rPr>
        <w:softHyphen/>
        <w:t>գործունեության և տնտեսության կայունացման շարժիչ գործոններից մեկն է։ Այն նշանակալի է ոչ միայն որպես ոլորտ, որից ստացվում է որոշակի ավելացված արժեք, այլև առաջին հերթին՝ որպես բնագավառ, որի որակի և զարգացման մակարդակից է կախված բնակչության պարենային անվտան</w:t>
      </w:r>
      <w:r w:rsidRPr="007955BB">
        <w:rPr>
          <w:b w:val="0"/>
          <w:szCs w:val="22"/>
          <w:lang w:val="hy-AM"/>
        </w:rPr>
        <w:softHyphen/>
        <w:t>գութ</w:t>
      </w:r>
      <w:r w:rsidRPr="007955BB">
        <w:rPr>
          <w:b w:val="0"/>
          <w:szCs w:val="22"/>
          <w:lang w:val="hy-AM"/>
        </w:rPr>
        <w:softHyphen/>
        <w:t>յունը, գյուղական բնակավայրերի կենսա</w:t>
      </w:r>
      <w:r w:rsidRPr="007955BB">
        <w:rPr>
          <w:b w:val="0"/>
          <w:szCs w:val="22"/>
          <w:lang w:val="hy-AM"/>
        </w:rPr>
        <w:softHyphen/>
        <w:t>մակարդակն ու զարգացման հնա</w:t>
      </w:r>
      <w:r w:rsidRPr="007955BB">
        <w:rPr>
          <w:b w:val="0"/>
          <w:szCs w:val="22"/>
          <w:lang w:val="hy-AM"/>
        </w:rPr>
        <w:softHyphen/>
        <w:t>րա</w:t>
      </w:r>
      <w:r w:rsidRPr="007955BB">
        <w:rPr>
          <w:b w:val="0"/>
          <w:szCs w:val="22"/>
          <w:lang w:val="hy-AM"/>
        </w:rPr>
        <w:softHyphen/>
        <w:t>վորությունները, մարդկանց առող</w:t>
      </w:r>
      <w:r w:rsidRPr="007955BB">
        <w:rPr>
          <w:b w:val="0"/>
          <w:szCs w:val="22"/>
          <w:lang w:val="hy-AM"/>
        </w:rPr>
        <w:softHyphen/>
        <w:t>ջությունն ու անվտանգությունը։</w:t>
      </w:r>
    </w:p>
    <w:p w:rsidR="00427A4F" w:rsidRPr="007955BB" w:rsidRDefault="00427A4F" w:rsidP="00427A4F">
      <w:pPr>
        <w:spacing w:line="276" w:lineRule="auto"/>
        <w:ind w:firstLine="284"/>
        <w:rPr>
          <w:b w:val="0"/>
          <w:szCs w:val="22"/>
          <w:lang w:val="hy-AM"/>
        </w:rPr>
      </w:pPr>
      <w:r w:rsidRPr="007955BB">
        <w:rPr>
          <w:b w:val="0"/>
          <w:szCs w:val="22"/>
          <w:lang w:val="hy-AM"/>
        </w:rPr>
        <w:t xml:space="preserve"> Գյուղատնտեսության ոլորտն ապահովում է ՀՆԱ-ի շուրջ 11%-ը, իսկ ՀՀ-ում զբաղվածների շուրջ 22%-ն ընդգրկված է գյուղատնտեսությում։</w:t>
      </w:r>
    </w:p>
    <w:p w:rsidR="00427A4F" w:rsidRPr="007955BB" w:rsidRDefault="00427A4F" w:rsidP="00427A4F">
      <w:pPr>
        <w:spacing w:line="276" w:lineRule="auto"/>
        <w:ind w:firstLine="284"/>
        <w:rPr>
          <w:b w:val="0"/>
          <w:szCs w:val="22"/>
          <w:lang w:val="hy-AM"/>
        </w:rPr>
      </w:pPr>
      <w:r w:rsidRPr="007955BB">
        <w:rPr>
          <w:b w:val="0"/>
          <w:szCs w:val="22"/>
          <w:lang w:val="hy-AM"/>
        </w:rPr>
        <w:t>Կառավարության կողմից իրականացվող քաղաքականությունն ուղղված է գյուղատնտեսության ինտենսիվացմանը, արդյունավետության բարձրացմանը, հողային ռեսուրսների նպատակային և ջրային ռեսուրսների խնայողաբար ու արդյունավետ օգտագործմանը, պարենային անվտանգության մակարդակի բարձրացմանը, անասնաբուծության և բուսաբուծության զարգացմանը, արդի տեխնոլոգիաների ներդրմանը, արտադրված արտադրանքի իրացմանն ու արտահանման խթանմանը, գյուղատնտեսական ամբողջ արժեշղթայում ընդգրկված սուբյեկտների՝ գյուղացիական տնտեսությունների, կոոպերատիվների, գյուղատնտեսական մթերք վերամշակողների եկամուտների ավելացմանը:</w:t>
      </w:r>
    </w:p>
    <w:p w:rsidR="00427A4F" w:rsidRPr="007955BB" w:rsidRDefault="00427A4F" w:rsidP="00427A4F">
      <w:pPr>
        <w:spacing w:line="276" w:lineRule="auto"/>
        <w:ind w:firstLine="284"/>
        <w:rPr>
          <w:b w:val="0"/>
          <w:szCs w:val="22"/>
          <w:lang w:val="hy-AM"/>
        </w:rPr>
      </w:pPr>
      <w:r w:rsidRPr="007955BB">
        <w:rPr>
          <w:b w:val="0"/>
          <w:szCs w:val="22"/>
          <w:lang w:val="hy-AM"/>
        </w:rPr>
        <w:t xml:space="preserve">2023 թվականի համար բարեփոխումների քաղաքականությունը կուղղվի </w:t>
      </w:r>
      <w:r w:rsidRPr="007955BB">
        <w:rPr>
          <w:rFonts w:cs="Sylfaen"/>
          <w:b w:val="0"/>
          <w:szCs w:val="22"/>
          <w:lang w:val="hy-AM"/>
        </w:rPr>
        <w:t>գյուղատնտեսական</w:t>
      </w:r>
      <w:r w:rsidRPr="007955BB">
        <w:rPr>
          <w:b w:val="0"/>
          <w:szCs w:val="22"/>
          <w:lang w:val="hy-AM"/>
        </w:rPr>
        <w:t xml:space="preserve"> նշանակության հողերի չօգտագործման և մասնատվածության մակարդակի նվազեցմանը, դրանց խոշորացմանը, միավորմանը (կոնսոլիդացմանը), տնտեսավարողների համար գործունեության նպաստավոր և մրցունակ պայմանների սեղծմանը, գյուղատնտեսական տեխնիկայով և ագրոպարենային ոլորտի սարքավորումներով հագեցվածության ապահովմանը, գյուղատնտեսական մթերքների իրացմանը, արտադրողների և վերամշակողների պայմանագրային հարաբերությունների կատարելագործմանը, գյուղատնտեսությունում ապահովագրական համակարգի ամբողջական ներդրման համար նախադրյալների ստեղծմանը, ժամանակակից տեխնոլոգիաների ներդրմանը, խոշոր ներդրումային ծրագրերին աջակցությանը։</w:t>
      </w:r>
    </w:p>
    <w:p w:rsidR="00427A4F" w:rsidRPr="007955BB" w:rsidRDefault="00427A4F" w:rsidP="005E077B">
      <w:pPr>
        <w:spacing w:line="276" w:lineRule="auto"/>
        <w:ind w:firstLine="284"/>
        <w:rPr>
          <w:rFonts w:eastAsia="Calibri"/>
          <w:b w:val="0"/>
          <w:bCs/>
          <w:szCs w:val="22"/>
          <w:lang w:val="hy-AM"/>
        </w:rPr>
      </w:pPr>
      <w:r w:rsidRPr="007955BB">
        <w:rPr>
          <w:rFonts w:eastAsia="Calibri"/>
          <w:b w:val="0"/>
          <w:bCs/>
          <w:szCs w:val="22"/>
          <w:lang w:val="hy-AM" w:eastAsia="en-US"/>
        </w:rPr>
        <w:t xml:space="preserve">Կառավարության 2021 թվականի օգոստոսի 18-ի </w:t>
      </w:r>
      <w:r w:rsidR="00D664AB" w:rsidRPr="007955BB">
        <w:rPr>
          <w:rFonts w:eastAsia="Calibri"/>
          <w:b w:val="0"/>
          <w:bCs/>
          <w:szCs w:val="22"/>
          <w:lang w:val="hy-AM" w:eastAsia="en-US"/>
        </w:rPr>
        <w:t xml:space="preserve">N </w:t>
      </w:r>
      <w:r w:rsidRPr="007955BB">
        <w:rPr>
          <w:rFonts w:eastAsia="Calibri"/>
          <w:b w:val="0"/>
          <w:bCs/>
          <w:szCs w:val="22"/>
          <w:lang w:val="hy-AM" w:eastAsia="en-US"/>
        </w:rPr>
        <w:t>1363-Ա որոշմամբ հաստատված ՀՀ կառավարության հնգամյա ծրագրի և Կ</w:t>
      </w:r>
      <w:r w:rsidRPr="007955BB">
        <w:rPr>
          <w:b w:val="0"/>
          <w:bCs/>
          <w:szCs w:val="22"/>
          <w:lang w:val="hy-AM"/>
        </w:rPr>
        <w:t>առավարության 2021 թվականի նոյեմբերի 18-ի N 1902-Լ որոշմամբ հաստատված Հ</w:t>
      </w:r>
      <w:r w:rsidRPr="00C43BF7">
        <w:rPr>
          <w:b w:val="0"/>
          <w:bCs/>
          <w:szCs w:val="22"/>
          <w:lang w:val="hy-AM"/>
        </w:rPr>
        <w:t xml:space="preserve">այաստանի </w:t>
      </w:r>
      <w:r w:rsidRPr="007955BB">
        <w:rPr>
          <w:b w:val="0"/>
          <w:bCs/>
          <w:szCs w:val="22"/>
          <w:lang w:val="hy-AM"/>
        </w:rPr>
        <w:t>Հ</w:t>
      </w:r>
      <w:r w:rsidRPr="00C43BF7">
        <w:rPr>
          <w:b w:val="0"/>
          <w:bCs/>
          <w:szCs w:val="22"/>
          <w:lang w:val="hy-AM"/>
        </w:rPr>
        <w:t>անրա</w:t>
      </w:r>
      <w:r w:rsidRPr="00C43BF7">
        <w:rPr>
          <w:b w:val="0"/>
          <w:bCs/>
          <w:szCs w:val="22"/>
          <w:lang w:val="hy-AM"/>
        </w:rPr>
        <w:softHyphen/>
        <w:t>պետության</w:t>
      </w:r>
      <w:r w:rsidRPr="007955BB">
        <w:rPr>
          <w:b w:val="0"/>
          <w:bCs/>
          <w:szCs w:val="22"/>
          <w:lang w:val="hy-AM"/>
        </w:rPr>
        <w:t xml:space="preserve"> կառավարության 2021-2026 թվականների գործունեության միջոցառումների </w:t>
      </w:r>
      <w:r w:rsidRPr="007955BB">
        <w:rPr>
          <w:rFonts w:eastAsia="Calibri"/>
          <w:b w:val="0"/>
          <w:bCs/>
          <w:szCs w:val="22"/>
          <w:lang w:val="hy-AM" w:eastAsia="en-US"/>
        </w:rPr>
        <w:t>շրջանակներում Կառավարության կողմից գյուղատնտեսության ոլորտում իրականացվող քաղաքականությունն նպատակաուղղված է գյուղատնտեսու</w:t>
      </w:r>
      <w:r w:rsidRPr="007955BB">
        <w:rPr>
          <w:rFonts w:eastAsia="Calibri"/>
          <w:b w:val="0"/>
          <w:bCs/>
          <w:szCs w:val="22"/>
          <w:lang w:val="hy-AM" w:eastAsia="en-US"/>
        </w:rPr>
        <w:softHyphen/>
        <w:t>թյան զարգացմանը  և արտադրողականու</w:t>
      </w:r>
      <w:r w:rsidRPr="007955BB">
        <w:rPr>
          <w:rFonts w:eastAsia="Calibri"/>
          <w:b w:val="0"/>
          <w:bCs/>
          <w:szCs w:val="22"/>
          <w:lang w:val="hy-AM" w:eastAsia="en-US"/>
        </w:rPr>
        <w:softHyphen/>
        <w:t>թյան բարձրացմանը, որն ապահովվելու է ագրոպարենային արտադրանքի իրացման և արտա</w:t>
      </w:r>
      <w:r w:rsidRPr="007955BB">
        <w:rPr>
          <w:rFonts w:eastAsia="Calibri"/>
          <w:b w:val="0"/>
          <w:bCs/>
          <w:szCs w:val="22"/>
          <w:lang w:val="hy-AM" w:eastAsia="en-US"/>
        </w:rPr>
        <w:softHyphen/>
        <w:t>հանման գործընթացների խթանմամբ</w:t>
      </w:r>
      <w:r w:rsidR="00D664AB" w:rsidRPr="007955BB">
        <w:rPr>
          <w:rFonts w:eastAsia="Calibri"/>
          <w:b w:val="0"/>
          <w:bCs/>
          <w:szCs w:val="22"/>
          <w:lang w:val="hy-AM" w:eastAsia="en-US"/>
        </w:rPr>
        <w:t>։</w:t>
      </w:r>
    </w:p>
    <w:p w:rsidR="00427A4F" w:rsidRPr="007955BB" w:rsidRDefault="00427A4F" w:rsidP="00427A4F">
      <w:pPr>
        <w:spacing w:line="276" w:lineRule="auto"/>
        <w:ind w:firstLine="284"/>
        <w:rPr>
          <w:rFonts w:cs="Times LatArm"/>
          <w:b w:val="0"/>
          <w:bCs/>
          <w:szCs w:val="22"/>
          <w:lang w:val="hy-AM"/>
        </w:rPr>
      </w:pPr>
      <w:r w:rsidRPr="007955BB">
        <w:rPr>
          <w:iCs/>
          <w:szCs w:val="22"/>
          <w:lang w:val="hy-AM"/>
        </w:rPr>
        <w:t>Գործարար և ներդրումային միջավայրի</w:t>
      </w:r>
      <w:r w:rsidRPr="007955BB">
        <w:rPr>
          <w:szCs w:val="22"/>
          <w:lang w:val="hy-AM"/>
        </w:rPr>
        <w:t xml:space="preserve"> </w:t>
      </w:r>
      <w:r w:rsidRPr="007955BB">
        <w:rPr>
          <w:b w:val="0"/>
          <w:bCs/>
          <w:szCs w:val="22"/>
          <w:lang w:val="hy-AM"/>
        </w:rPr>
        <w:t>հ</w:t>
      </w:r>
      <w:r w:rsidRPr="007955BB">
        <w:rPr>
          <w:rFonts w:eastAsia="Calibri"/>
          <w:b w:val="0"/>
          <w:szCs w:val="22"/>
          <w:lang w:val="hy-AM" w:eastAsia="en-US"/>
        </w:rPr>
        <w:t>ետճգնաժա</w:t>
      </w:r>
      <w:r w:rsidRPr="007955BB">
        <w:rPr>
          <w:rFonts w:eastAsia="Calibri"/>
          <w:b w:val="0"/>
          <w:szCs w:val="22"/>
          <w:lang w:val="hy-AM" w:eastAsia="en-US"/>
        </w:rPr>
        <w:softHyphen/>
        <w:t>մային արագ և համապարփակ վերականգնումը</w:t>
      </w:r>
      <w:r w:rsidRPr="007955BB">
        <w:rPr>
          <w:rFonts w:ascii="Calibri" w:eastAsia="Calibri" w:hAnsi="Calibri" w:cs="Calibri"/>
          <w:b w:val="0"/>
          <w:szCs w:val="22"/>
          <w:lang w:val="hy-AM" w:eastAsia="en-US"/>
        </w:rPr>
        <w:t> </w:t>
      </w:r>
      <w:r w:rsidRPr="007955BB">
        <w:rPr>
          <w:rFonts w:eastAsia="Calibri"/>
          <w:b w:val="0"/>
          <w:szCs w:val="22"/>
          <w:lang w:val="hy-AM" w:eastAsia="en-US"/>
        </w:rPr>
        <w:t xml:space="preserve"> պահանջելու</w:t>
      </w:r>
      <w:r w:rsidRPr="007955BB">
        <w:rPr>
          <w:rFonts w:ascii="Calibri" w:eastAsia="Calibri" w:hAnsi="Calibri" w:cs="Calibri"/>
          <w:b w:val="0"/>
          <w:szCs w:val="22"/>
          <w:lang w:val="hy-AM" w:eastAsia="en-US"/>
        </w:rPr>
        <w:t> </w:t>
      </w:r>
      <w:r w:rsidRPr="007955BB">
        <w:rPr>
          <w:rFonts w:eastAsia="Calibri"/>
          <w:b w:val="0"/>
          <w:szCs w:val="22"/>
          <w:lang w:val="hy-AM" w:eastAsia="en-US"/>
        </w:rPr>
        <w:t xml:space="preserve"> է մի շարք շրջանակային բարեփոխումներ՝ ուղղված տնտեսության ներուժի վերականգնմանը, որը հնարավոր կլինի ներդրումային միջավայրի</w:t>
      </w:r>
      <w:r w:rsidRPr="007955BB">
        <w:rPr>
          <w:rFonts w:ascii="Calibri" w:eastAsia="Calibri" w:hAnsi="Calibri" w:cs="Calibri"/>
          <w:b w:val="0"/>
          <w:szCs w:val="22"/>
          <w:lang w:val="hy-AM" w:eastAsia="en-US"/>
        </w:rPr>
        <w:t> </w:t>
      </w:r>
      <w:r w:rsidRPr="007955BB">
        <w:rPr>
          <w:rFonts w:eastAsia="Calibri"/>
          <w:b w:val="0"/>
          <w:szCs w:val="22"/>
          <w:lang w:val="hy-AM" w:eastAsia="en-US"/>
        </w:rPr>
        <w:t xml:space="preserve"> ճկունությունն ապահովելու և ներդրումների ներգրավման միջոցով։ Տնտեսական քաղաքականության թիրախներին հասնելու համար անհրաժեշտ է լինելու ներդրում/ՀՆԱ հարաբերակցությունը հասցնել առնվազն 25%-ի։ Գործարար և</w:t>
      </w:r>
      <w:r w:rsidRPr="007955BB">
        <w:rPr>
          <w:rFonts w:ascii="Calibri" w:eastAsia="Calibri" w:hAnsi="Calibri" w:cs="Calibri"/>
          <w:b w:val="0"/>
          <w:szCs w:val="22"/>
          <w:lang w:val="hy-AM" w:eastAsia="en-US"/>
        </w:rPr>
        <w:t> </w:t>
      </w:r>
      <w:r w:rsidRPr="007955BB">
        <w:rPr>
          <w:rFonts w:eastAsia="Calibri"/>
          <w:b w:val="0"/>
          <w:szCs w:val="22"/>
          <w:lang w:val="hy-AM" w:eastAsia="en-US"/>
        </w:rPr>
        <w:t xml:space="preserve"> ներդրումային միջավայրի ճկունությունն ապահովելու նպատակով իրականացվելու են կառուցվածքային բարեփոխումներ, որոնք նպատակ են ունենալու ընդլայնել Հայաստանի Հանրապետության քաղաքացիներին հասանելի տնտեսական հնարավորությունների դաշտը և առավելագույնս խրախուսելու հատկապես գիտելիք ձևավորող ներքին և</w:t>
      </w:r>
      <w:r w:rsidRPr="007955BB">
        <w:rPr>
          <w:rFonts w:ascii="Calibri" w:eastAsia="Calibri" w:hAnsi="Calibri" w:cs="Calibri"/>
          <w:b w:val="0"/>
          <w:szCs w:val="22"/>
          <w:lang w:val="hy-AM" w:eastAsia="en-US"/>
        </w:rPr>
        <w:t> </w:t>
      </w:r>
      <w:r w:rsidRPr="007955BB">
        <w:rPr>
          <w:rFonts w:eastAsia="Calibri"/>
          <w:b w:val="0"/>
          <w:szCs w:val="22"/>
          <w:lang w:val="hy-AM" w:eastAsia="en-US"/>
        </w:rPr>
        <w:t xml:space="preserve"> օտարերկրյա մասնավոր ներդրումները, բարձրացնելու վերջիններիս շահութաբերությունը:</w:t>
      </w:r>
    </w:p>
    <w:p w:rsidR="00427A4F" w:rsidRPr="007955BB" w:rsidRDefault="00427A4F" w:rsidP="00427A4F">
      <w:pPr>
        <w:spacing w:before="0" w:line="276" w:lineRule="auto"/>
        <w:ind w:firstLine="284"/>
        <w:rPr>
          <w:rFonts w:eastAsia="Calibri"/>
          <w:b w:val="0"/>
          <w:szCs w:val="22"/>
          <w:lang w:val="hy-AM" w:eastAsia="en-US"/>
        </w:rPr>
      </w:pPr>
      <w:r w:rsidRPr="007955BB">
        <w:rPr>
          <w:rFonts w:eastAsia="Calibri"/>
          <w:b w:val="0"/>
          <w:szCs w:val="22"/>
          <w:lang w:val="hy-AM" w:eastAsia="en-US"/>
        </w:rPr>
        <w:t>Սահմանափակ ներքին շուկայի պայմաններոմ ՀՀ ներդրումային գրավչությունը պայմանավորված է լինելու նաև ԵԱՏՄ, ԵՄ, Իրանի շուկաների հասանելիության և միաժամանակ գործարար ու ներդրումային միջավայրի տվյալ շուկաների համադրությամբ առավել բարենպաս լինելու հանգամանքներով։ Ներդրումային քաղաքականության նպատակներից է առնվազն ԵԱՏՄ, հարևան և տարածաշրջանի երկրների համեմատ լավագույն, առավել ճկուն ներդրումային դաշտի ձևավորումը՝ ազատ ու հավասար մրցակցության, ինչպես նաև կանխատեսելիության իմաստով և առաջնային դիրքի պահպանման նպատակով դրա շարունակական բարելավումը։ Ներդրումային քաղաքականության առաջնահերթ թիրախը հանդիսանում է նորարարական, նոր գիտելիք ստեղծող ծրագրերի իրագործման համար առավել արագ և ճկուն գործընթացների, ինչպես նաև մրցունակության գործոնների առավելագույն հասանելիության ապահովումը։ Հիմնականում կարևորվում են կապիտալի և  ֆինանսական միջոցների հասանելիության բարձրացումը, գործարար և  աշխատանքային հարաբերությունների ճկունության բարձրացումը, ենթակառուցվածքների ու ռեսուրսների հասնելիության բարձրացումը, տնտեսության թվայնացման և  տեղեկատվության հասանելիության մակարդակի բարձրացումը։</w:t>
      </w:r>
    </w:p>
    <w:p w:rsidR="00427A4F" w:rsidRPr="007955BB" w:rsidRDefault="00427A4F" w:rsidP="00427A4F">
      <w:pPr>
        <w:spacing w:before="0" w:line="276" w:lineRule="auto"/>
        <w:ind w:firstLine="284"/>
        <w:rPr>
          <w:rFonts w:eastAsia="Calibri"/>
          <w:iCs/>
          <w:szCs w:val="22"/>
          <w:lang w:val="hy-AM" w:eastAsia="en-US"/>
        </w:rPr>
      </w:pPr>
      <w:r w:rsidRPr="007955BB">
        <w:rPr>
          <w:rFonts w:eastAsia="Calibri"/>
          <w:iCs/>
          <w:szCs w:val="22"/>
          <w:lang w:val="hy-AM" w:eastAsia="en-US"/>
        </w:rPr>
        <w:t>Հանրային ներդրումներ</w:t>
      </w:r>
    </w:p>
    <w:p w:rsidR="00427A4F" w:rsidRPr="007955BB" w:rsidRDefault="00427A4F" w:rsidP="00427A4F">
      <w:pPr>
        <w:spacing w:line="276" w:lineRule="auto"/>
        <w:ind w:firstLine="284"/>
        <w:rPr>
          <w:b w:val="0"/>
          <w:bCs/>
          <w:szCs w:val="22"/>
          <w:lang w:val="hy-AM" w:eastAsia="en-US"/>
        </w:rPr>
      </w:pPr>
      <w:r w:rsidRPr="007955BB">
        <w:rPr>
          <w:b w:val="0"/>
          <w:bCs/>
          <w:szCs w:val="22"/>
          <w:lang w:val="hy-AM"/>
        </w:rPr>
        <w:t xml:space="preserve">ՀՀ կառավարությունը, կարևորելով հանրային ռեսուրսների արդյունավետ կառավարումը, հանրային ներդրումների արդյունավետության բարձրացումը և հանրային միջոցների նպատակային օգտագործումը,  համապատասխան քայլեր է ձեռնարկում հանրային ներդրումային միասնական համակարգի, այդ թվում՝ հանրային ներդրումային ծրագրերի մշտադիտարկման և գնահատման բարելավման ուղղությամբ։ ՀՀ էկոնոմիկայի նախարարությունը նախաձեռնել և իրականացնում է մի շարք գործընթացներ, որոնք ուղղված են հանրային ներդրումների կառավարման միասնական համակարգի զարգացմանն ու կատարելագործմանը, որի հիմնական նպատակն է հանրային ներդրումների արդյունավետության բարձրացումը, պետություն-մասնավոր գործընկերության զարգացումը, հանրային ներդրումների կառավարման շրջանակներում ինստիտուցիոնալ կարողությունների զարգացումը, հանրային ներդրումային ծրագրերի իրականացման թափանցիկության, հրապարակայնության և վերջիններիս նկատմամբ մշտադիտարկման մեխանիզմների ապահովումը։ Հանրային ներդրումների միասնական համակարգի ներդրմամբ ոլորտային գերատեսչությունների կողմից նախագծերի (գաղափարների) ձևավորումը և մշակումն իրականացվում է ծախս-արդյունավետության հիման վրա, բացի այդ նախագծերի հետագա գնահատումը և ընտրությունն իրականացվում է սահմանված ռազմավարական գերակայությունների հիման վրա։ </w:t>
      </w:r>
    </w:p>
    <w:p w:rsidR="00427A4F" w:rsidRPr="007955BB" w:rsidRDefault="00427A4F" w:rsidP="00427A4F">
      <w:pPr>
        <w:spacing w:line="276" w:lineRule="auto"/>
        <w:ind w:firstLine="284"/>
        <w:rPr>
          <w:b w:val="0"/>
          <w:bCs/>
          <w:szCs w:val="22"/>
          <w:lang w:val="hy-AM" w:eastAsia="en-US"/>
        </w:rPr>
      </w:pPr>
      <w:r w:rsidRPr="007955BB">
        <w:rPr>
          <w:iCs/>
          <w:szCs w:val="22"/>
          <w:lang w:val="hy-AM"/>
        </w:rPr>
        <w:t>ՀՀ-ԵՄ առևտրա</w:t>
      </w:r>
      <w:r w:rsidRPr="007955BB">
        <w:rPr>
          <w:iCs/>
          <w:szCs w:val="22"/>
          <w:lang w:val="hy-AM"/>
        </w:rPr>
        <w:softHyphen/>
      </w:r>
      <w:r w:rsidRPr="007955BB">
        <w:rPr>
          <w:iCs/>
          <w:szCs w:val="22"/>
          <w:lang w:val="hy-AM"/>
        </w:rPr>
        <w:softHyphen/>
        <w:t>տնտե</w:t>
      </w:r>
      <w:r w:rsidRPr="007955BB">
        <w:rPr>
          <w:iCs/>
          <w:szCs w:val="22"/>
          <w:lang w:val="hy-AM"/>
        </w:rPr>
        <w:softHyphen/>
      </w:r>
      <w:r w:rsidRPr="007955BB">
        <w:rPr>
          <w:iCs/>
          <w:szCs w:val="22"/>
          <w:lang w:val="hy-AM"/>
        </w:rPr>
        <w:softHyphen/>
        <w:t xml:space="preserve">սական համագործակցության </w:t>
      </w:r>
      <w:r w:rsidRPr="007955BB">
        <w:rPr>
          <w:b w:val="0"/>
          <w:bCs/>
          <w:szCs w:val="22"/>
          <w:lang w:val="hy-AM"/>
        </w:rPr>
        <w:t xml:space="preserve">շրջանակներում կշարունակվեն ՀՀ-ԵՄ Համապարփակ և ընդլայնված գործընկերության համաձայնագրի առևտրի և առևտրին առնչվող հարցերի ուղղությամբ ամրագրված դրույթների և պայմանավորվածությունների արդյունավետ ապահովումն ու իրականացումը: </w:t>
      </w:r>
    </w:p>
    <w:p w:rsidR="00427A4F" w:rsidRPr="007955BB" w:rsidRDefault="00427A4F" w:rsidP="00427A4F">
      <w:pPr>
        <w:spacing w:line="276" w:lineRule="auto"/>
        <w:ind w:firstLine="284"/>
        <w:rPr>
          <w:b w:val="0"/>
          <w:szCs w:val="22"/>
          <w:lang w:val="hy-AM" w:eastAsia="en-US"/>
        </w:rPr>
      </w:pPr>
      <w:r w:rsidRPr="007955BB">
        <w:rPr>
          <w:iCs/>
          <w:szCs w:val="22"/>
          <w:lang w:val="hy-AM"/>
        </w:rPr>
        <w:t>Եվրասիական տնտեսական միության հետ համագործակցության</w:t>
      </w:r>
      <w:r w:rsidRPr="007955BB">
        <w:rPr>
          <w:rFonts w:ascii="Calibri" w:hAnsi="Calibri" w:cs="Calibri"/>
          <w:szCs w:val="22"/>
          <w:lang w:val="hy-AM"/>
        </w:rPr>
        <w:t> </w:t>
      </w:r>
      <w:r w:rsidRPr="007955BB">
        <w:rPr>
          <w:szCs w:val="22"/>
          <w:lang w:val="hy-AM"/>
        </w:rPr>
        <w:t xml:space="preserve"> </w:t>
      </w:r>
      <w:r w:rsidRPr="007955BB">
        <w:rPr>
          <w:b w:val="0"/>
          <w:bCs/>
          <w:szCs w:val="22"/>
          <w:lang w:val="hy-AM"/>
        </w:rPr>
        <w:t>շրջանակներում կշարունակվեն երրորդ երկրների հետ ազատ առևտրի գոտու ստեղծման և առևտրատնտեսական համագործակցության մասին համաձայնագրերի և հուշագրերի մշակման աշխատանքները և դրանցից բխող միջոցառումների իրականացումը, ներքին շուկայի գործառնության շրջանակներում Եվրասիական տնտեսական միության խոչընդոտների, սահմանափակումների</w:t>
      </w:r>
      <w:r w:rsidRPr="007955BB">
        <w:rPr>
          <w:rFonts w:ascii="Calibri" w:hAnsi="Calibri" w:cs="Calibri"/>
          <w:b w:val="0"/>
          <w:bCs/>
          <w:szCs w:val="22"/>
          <w:lang w:val="hy-AM"/>
        </w:rPr>
        <w:t> </w:t>
      </w:r>
      <w:r w:rsidRPr="007955BB">
        <w:rPr>
          <w:b w:val="0"/>
          <w:bCs/>
          <w:szCs w:val="22"/>
          <w:lang w:val="hy-AM"/>
        </w:rPr>
        <w:t xml:space="preserve"> </w:t>
      </w:r>
      <w:r w:rsidRPr="007955BB">
        <w:rPr>
          <w:rFonts w:cs="GHEA Grapalat"/>
          <w:b w:val="0"/>
          <w:bCs/>
          <w:szCs w:val="22"/>
          <w:lang w:val="hy-AM"/>
        </w:rPr>
        <w:t>և</w:t>
      </w:r>
      <w:r w:rsidRPr="007955BB">
        <w:rPr>
          <w:b w:val="0"/>
          <w:bCs/>
          <w:szCs w:val="22"/>
          <w:lang w:val="hy-AM"/>
        </w:rPr>
        <w:t xml:space="preserve"> </w:t>
      </w:r>
      <w:r w:rsidRPr="007955BB">
        <w:rPr>
          <w:rFonts w:cs="GHEA Grapalat"/>
          <w:b w:val="0"/>
          <w:bCs/>
          <w:szCs w:val="22"/>
          <w:lang w:val="hy-AM"/>
        </w:rPr>
        <w:t>արգելքների</w:t>
      </w:r>
      <w:r w:rsidRPr="007955BB">
        <w:rPr>
          <w:b w:val="0"/>
          <w:bCs/>
          <w:szCs w:val="22"/>
          <w:lang w:val="hy-AM"/>
        </w:rPr>
        <w:t xml:space="preserve"> </w:t>
      </w:r>
      <w:r w:rsidRPr="007955BB">
        <w:rPr>
          <w:rFonts w:cs="GHEA Grapalat"/>
          <w:b w:val="0"/>
          <w:bCs/>
          <w:szCs w:val="22"/>
          <w:lang w:val="hy-AM"/>
        </w:rPr>
        <w:t>բացահայտմանը</w:t>
      </w:r>
      <w:r w:rsidRPr="007955BB">
        <w:rPr>
          <w:b w:val="0"/>
          <w:bCs/>
          <w:szCs w:val="22"/>
          <w:lang w:val="hy-AM"/>
        </w:rPr>
        <w:t xml:space="preserve"> </w:t>
      </w:r>
      <w:r w:rsidRPr="007955BB">
        <w:rPr>
          <w:rFonts w:cs="GHEA Grapalat"/>
          <w:b w:val="0"/>
          <w:bCs/>
          <w:szCs w:val="22"/>
          <w:lang w:val="hy-AM"/>
        </w:rPr>
        <w:t>և</w:t>
      </w:r>
      <w:r w:rsidRPr="007955BB">
        <w:rPr>
          <w:b w:val="0"/>
          <w:bCs/>
          <w:szCs w:val="22"/>
          <w:lang w:val="hy-AM"/>
        </w:rPr>
        <w:t xml:space="preserve"> </w:t>
      </w:r>
      <w:r w:rsidRPr="007955BB">
        <w:rPr>
          <w:rFonts w:cs="GHEA Grapalat"/>
          <w:b w:val="0"/>
          <w:bCs/>
          <w:szCs w:val="22"/>
          <w:lang w:val="hy-AM"/>
        </w:rPr>
        <w:t>վերացմանն</w:t>
      </w:r>
      <w:r w:rsidRPr="007955BB">
        <w:rPr>
          <w:b w:val="0"/>
          <w:bCs/>
          <w:szCs w:val="22"/>
          <w:lang w:val="hy-AM"/>
        </w:rPr>
        <w:t xml:space="preserve"> </w:t>
      </w:r>
      <w:r w:rsidRPr="007955BB">
        <w:rPr>
          <w:rFonts w:cs="GHEA Grapalat"/>
          <w:b w:val="0"/>
          <w:bCs/>
          <w:szCs w:val="22"/>
          <w:lang w:val="hy-AM"/>
        </w:rPr>
        <w:t>ուղղված</w:t>
      </w:r>
      <w:r w:rsidRPr="007955BB">
        <w:rPr>
          <w:b w:val="0"/>
          <w:bCs/>
          <w:szCs w:val="22"/>
          <w:lang w:val="hy-AM"/>
        </w:rPr>
        <w:t xml:space="preserve"> </w:t>
      </w:r>
      <w:r w:rsidRPr="007955BB">
        <w:rPr>
          <w:rFonts w:cs="GHEA Grapalat"/>
          <w:b w:val="0"/>
          <w:bCs/>
          <w:szCs w:val="22"/>
          <w:lang w:val="hy-AM"/>
        </w:rPr>
        <w:t>միջոցառումները</w:t>
      </w:r>
      <w:r w:rsidRPr="007955BB">
        <w:rPr>
          <w:b w:val="0"/>
          <w:bCs/>
          <w:szCs w:val="22"/>
          <w:lang w:val="hy-AM"/>
        </w:rPr>
        <w:t xml:space="preserve">, </w:t>
      </w:r>
      <w:r w:rsidRPr="007955BB">
        <w:rPr>
          <w:rFonts w:cs="GHEA Grapalat"/>
          <w:b w:val="0"/>
          <w:bCs/>
          <w:szCs w:val="22"/>
          <w:lang w:val="hy-AM"/>
        </w:rPr>
        <w:t>ինչպես</w:t>
      </w:r>
      <w:r w:rsidRPr="007955BB">
        <w:rPr>
          <w:b w:val="0"/>
          <w:bCs/>
          <w:szCs w:val="22"/>
          <w:lang w:val="hy-AM"/>
        </w:rPr>
        <w:t xml:space="preserve"> </w:t>
      </w:r>
      <w:r w:rsidRPr="007955BB">
        <w:rPr>
          <w:rFonts w:cs="GHEA Grapalat"/>
          <w:b w:val="0"/>
          <w:bCs/>
          <w:szCs w:val="22"/>
          <w:lang w:val="hy-AM"/>
        </w:rPr>
        <w:t>նաև</w:t>
      </w:r>
      <w:r w:rsidRPr="007955BB">
        <w:rPr>
          <w:b w:val="0"/>
          <w:bCs/>
          <w:szCs w:val="22"/>
          <w:lang w:val="hy-AM"/>
        </w:rPr>
        <w:t xml:space="preserve"> </w:t>
      </w:r>
      <w:r w:rsidRPr="007955BB">
        <w:rPr>
          <w:rFonts w:cs="GHEA Grapalat"/>
          <w:b w:val="0"/>
          <w:bCs/>
          <w:szCs w:val="22"/>
          <w:lang w:val="hy-AM"/>
        </w:rPr>
        <w:t>նավթի</w:t>
      </w:r>
      <w:r w:rsidRPr="007955BB">
        <w:rPr>
          <w:b w:val="0"/>
          <w:bCs/>
          <w:szCs w:val="22"/>
          <w:lang w:val="hy-AM"/>
        </w:rPr>
        <w:t xml:space="preserve"> </w:t>
      </w:r>
      <w:r w:rsidRPr="007955BB">
        <w:rPr>
          <w:rFonts w:cs="GHEA Grapalat"/>
          <w:b w:val="0"/>
          <w:bCs/>
          <w:szCs w:val="22"/>
          <w:lang w:val="hy-AM"/>
        </w:rPr>
        <w:t>և</w:t>
      </w:r>
      <w:r w:rsidRPr="007955BB">
        <w:rPr>
          <w:b w:val="0"/>
          <w:bCs/>
          <w:szCs w:val="22"/>
          <w:lang w:val="hy-AM"/>
        </w:rPr>
        <w:t xml:space="preserve"> </w:t>
      </w:r>
      <w:r w:rsidRPr="007955BB">
        <w:rPr>
          <w:rFonts w:cs="GHEA Grapalat"/>
          <w:b w:val="0"/>
          <w:bCs/>
          <w:szCs w:val="22"/>
          <w:lang w:val="hy-AM"/>
        </w:rPr>
        <w:t>նավթամթերքի</w:t>
      </w:r>
      <w:r w:rsidRPr="007955BB">
        <w:rPr>
          <w:b w:val="0"/>
          <w:bCs/>
          <w:szCs w:val="22"/>
          <w:lang w:val="hy-AM"/>
        </w:rPr>
        <w:t xml:space="preserve"> </w:t>
      </w:r>
      <w:r w:rsidRPr="007955BB">
        <w:rPr>
          <w:rFonts w:cs="GHEA Grapalat"/>
          <w:b w:val="0"/>
          <w:bCs/>
          <w:szCs w:val="22"/>
          <w:lang w:val="hy-AM"/>
        </w:rPr>
        <w:t>միասնական</w:t>
      </w:r>
      <w:r w:rsidRPr="007955BB">
        <w:rPr>
          <w:b w:val="0"/>
          <w:bCs/>
          <w:szCs w:val="22"/>
          <w:lang w:val="hy-AM"/>
        </w:rPr>
        <w:t xml:space="preserve"> </w:t>
      </w:r>
      <w:r w:rsidRPr="007955BB">
        <w:rPr>
          <w:rFonts w:cs="GHEA Grapalat"/>
          <w:b w:val="0"/>
          <w:bCs/>
          <w:szCs w:val="22"/>
          <w:lang w:val="hy-AM"/>
        </w:rPr>
        <w:t>շուկայի</w:t>
      </w:r>
      <w:r w:rsidRPr="007955BB">
        <w:rPr>
          <w:b w:val="0"/>
          <w:bCs/>
          <w:szCs w:val="22"/>
          <w:lang w:val="hy-AM"/>
        </w:rPr>
        <w:t xml:space="preserve"> </w:t>
      </w:r>
      <w:r w:rsidRPr="007955BB">
        <w:rPr>
          <w:rFonts w:cs="GHEA Grapalat"/>
          <w:b w:val="0"/>
          <w:bCs/>
          <w:szCs w:val="22"/>
          <w:lang w:val="hy-AM"/>
        </w:rPr>
        <w:t>և</w:t>
      </w:r>
      <w:r w:rsidRPr="007955BB">
        <w:rPr>
          <w:b w:val="0"/>
          <w:bCs/>
          <w:szCs w:val="22"/>
          <w:lang w:val="hy-AM"/>
        </w:rPr>
        <w:t xml:space="preserve"> </w:t>
      </w:r>
      <w:r w:rsidRPr="007955BB">
        <w:rPr>
          <w:rFonts w:cs="GHEA Grapalat"/>
          <w:b w:val="0"/>
          <w:bCs/>
          <w:szCs w:val="22"/>
          <w:lang w:val="hy-AM"/>
        </w:rPr>
        <w:t>ալկոհոլային</w:t>
      </w:r>
      <w:r w:rsidRPr="007955BB">
        <w:rPr>
          <w:b w:val="0"/>
          <w:bCs/>
          <w:szCs w:val="22"/>
          <w:lang w:val="hy-AM"/>
        </w:rPr>
        <w:t xml:space="preserve"> </w:t>
      </w:r>
      <w:r w:rsidRPr="007955BB">
        <w:rPr>
          <w:rFonts w:cs="GHEA Grapalat"/>
          <w:b w:val="0"/>
          <w:bCs/>
          <w:szCs w:val="22"/>
          <w:lang w:val="hy-AM"/>
        </w:rPr>
        <w:t>միասնական</w:t>
      </w:r>
      <w:r w:rsidRPr="007955BB">
        <w:rPr>
          <w:b w:val="0"/>
          <w:bCs/>
          <w:szCs w:val="22"/>
          <w:lang w:val="hy-AM"/>
        </w:rPr>
        <w:t xml:space="preserve"> </w:t>
      </w:r>
      <w:r w:rsidRPr="007955BB">
        <w:rPr>
          <w:rFonts w:cs="GHEA Grapalat"/>
          <w:b w:val="0"/>
          <w:bCs/>
          <w:szCs w:val="22"/>
          <w:lang w:val="hy-AM"/>
        </w:rPr>
        <w:t>շուկայի</w:t>
      </w:r>
      <w:r w:rsidRPr="007955BB">
        <w:rPr>
          <w:b w:val="0"/>
          <w:bCs/>
          <w:szCs w:val="22"/>
          <w:lang w:val="hy-AM"/>
        </w:rPr>
        <w:t xml:space="preserve"> </w:t>
      </w:r>
      <w:r w:rsidRPr="007955BB">
        <w:rPr>
          <w:rFonts w:cs="GHEA Grapalat"/>
          <w:b w:val="0"/>
          <w:bCs/>
          <w:szCs w:val="22"/>
          <w:lang w:val="hy-AM"/>
        </w:rPr>
        <w:t>ձևավորման</w:t>
      </w:r>
      <w:r w:rsidRPr="007955BB">
        <w:rPr>
          <w:b w:val="0"/>
          <w:bCs/>
          <w:szCs w:val="22"/>
          <w:lang w:val="hy-AM"/>
        </w:rPr>
        <w:t xml:space="preserve"> </w:t>
      </w:r>
      <w:r w:rsidRPr="007955BB">
        <w:rPr>
          <w:rFonts w:cs="GHEA Grapalat"/>
          <w:b w:val="0"/>
          <w:bCs/>
          <w:szCs w:val="22"/>
          <w:lang w:val="hy-AM"/>
        </w:rPr>
        <w:t>աշխատանքների</w:t>
      </w:r>
      <w:r w:rsidRPr="007955BB">
        <w:rPr>
          <w:b w:val="0"/>
          <w:bCs/>
          <w:szCs w:val="22"/>
          <w:lang w:val="hy-AM"/>
        </w:rPr>
        <w:t xml:space="preserve"> </w:t>
      </w:r>
      <w:r w:rsidRPr="007955BB">
        <w:rPr>
          <w:rFonts w:cs="GHEA Grapalat"/>
          <w:b w:val="0"/>
          <w:bCs/>
          <w:szCs w:val="22"/>
          <w:lang w:val="hy-AM"/>
        </w:rPr>
        <w:t>իրականացումը</w:t>
      </w:r>
      <w:r w:rsidRPr="007955BB">
        <w:rPr>
          <w:b w:val="0"/>
          <w:bCs/>
          <w:szCs w:val="22"/>
          <w:lang w:val="hy-AM"/>
        </w:rPr>
        <w:t xml:space="preserve"> </w:t>
      </w:r>
      <w:r w:rsidRPr="007955BB">
        <w:rPr>
          <w:rFonts w:cs="GHEA Grapalat"/>
          <w:b w:val="0"/>
          <w:bCs/>
          <w:szCs w:val="22"/>
          <w:lang w:val="hy-AM"/>
        </w:rPr>
        <w:t>և</w:t>
      </w:r>
      <w:r w:rsidRPr="007955BB">
        <w:rPr>
          <w:b w:val="0"/>
          <w:bCs/>
          <w:szCs w:val="22"/>
          <w:lang w:val="hy-AM"/>
        </w:rPr>
        <w:t xml:space="preserve"> </w:t>
      </w:r>
      <w:r w:rsidRPr="007955BB">
        <w:rPr>
          <w:rFonts w:cs="GHEA Grapalat"/>
          <w:b w:val="0"/>
          <w:bCs/>
          <w:szCs w:val="22"/>
          <w:lang w:val="hy-AM"/>
        </w:rPr>
        <w:t>համակարգումը</w:t>
      </w:r>
      <w:r w:rsidRPr="007955BB">
        <w:rPr>
          <w:b w:val="0"/>
          <w:bCs/>
          <w:szCs w:val="22"/>
          <w:lang w:val="hy-AM"/>
        </w:rPr>
        <w:t xml:space="preserve">: </w:t>
      </w:r>
    </w:p>
    <w:p w:rsidR="00427A4F" w:rsidRPr="007955BB" w:rsidRDefault="00427A4F" w:rsidP="00427A4F">
      <w:pPr>
        <w:spacing w:line="276" w:lineRule="auto"/>
        <w:ind w:firstLine="284"/>
        <w:rPr>
          <w:bCs/>
          <w:szCs w:val="22"/>
          <w:lang w:val="hy-AM"/>
        </w:rPr>
      </w:pPr>
      <w:r w:rsidRPr="007955BB">
        <w:rPr>
          <w:szCs w:val="22"/>
          <w:lang w:val="hy-AM"/>
        </w:rPr>
        <w:t>ԱՊՀ համագործակցության</w:t>
      </w:r>
      <w:r w:rsidRPr="007955BB">
        <w:rPr>
          <w:b w:val="0"/>
          <w:bCs/>
          <w:szCs w:val="22"/>
          <w:lang w:val="hy-AM"/>
        </w:rPr>
        <w:t xml:space="preserve"> շրջանակներում կշարունակվեն «Ազատ առևտրի գոտու մասին»</w:t>
      </w:r>
      <w:r w:rsidRPr="007955BB">
        <w:rPr>
          <w:rFonts w:ascii="Calibri" w:hAnsi="Calibri" w:cs="Calibri"/>
          <w:b w:val="0"/>
          <w:bCs/>
          <w:szCs w:val="22"/>
          <w:lang w:val="hy-AM"/>
        </w:rPr>
        <w:t> </w:t>
      </w:r>
      <w:r w:rsidRPr="007955BB">
        <w:rPr>
          <w:b w:val="0"/>
          <w:bCs/>
          <w:szCs w:val="22"/>
          <w:lang w:val="hy-AM"/>
        </w:rPr>
        <w:t xml:space="preserve"> </w:t>
      </w:r>
      <w:r w:rsidRPr="007955BB">
        <w:rPr>
          <w:rFonts w:cs="GHEA Grapalat"/>
          <w:b w:val="0"/>
          <w:bCs/>
          <w:szCs w:val="22"/>
          <w:lang w:val="hy-AM"/>
        </w:rPr>
        <w:t>պայմանագրից</w:t>
      </w:r>
      <w:r w:rsidRPr="007955BB">
        <w:rPr>
          <w:b w:val="0"/>
          <w:bCs/>
          <w:szCs w:val="22"/>
          <w:lang w:val="hy-AM"/>
        </w:rPr>
        <w:t xml:space="preserve">, </w:t>
      </w:r>
      <w:r w:rsidRPr="007955BB">
        <w:rPr>
          <w:rFonts w:cs="GHEA Grapalat"/>
          <w:b w:val="0"/>
          <w:bCs/>
          <w:szCs w:val="22"/>
          <w:lang w:val="hy-AM"/>
        </w:rPr>
        <w:t>ինչպես</w:t>
      </w:r>
      <w:r w:rsidRPr="007955BB">
        <w:rPr>
          <w:b w:val="0"/>
          <w:bCs/>
          <w:szCs w:val="22"/>
          <w:lang w:val="hy-AM"/>
        </w:rPr>
        <w:t xml:space="preserve"> </w:t>
      </w:r>
      <w:r w:rsidRPr="007955BB">
        <w:rPr>
          <w:rFonts w:cs="GHEA Grapalat"/>
          <w:b w:val="0"/>
          <w:bCs/>
          <w:szCs w:val="22"/>
          <w:lang w:val="hy-AM"/>
        </w:rPr>
        <w:t>նաև</w:t>
      </w:r>
      <w:r w:rsidRPr="007955BB">
        <w:rPr>
          <w:b w:val="0"/>
          <w:bCs/>
          <w:szCs w:val="22"/>
          <w:lang w:val="hy-AM"/>
        </w:rPr>
        <w:t xml:space="preserve"> </w:t>
      </w:r>
      <w:r w:rsidRPr="007955BB">
        <w:rPr>
          <w:rFonts w:cs="GHEA Grapalat"/>
          <w:b w:val="0"/>
          <w:bCs/>
          <w:szCs w:val="22"/>
          <w:lang w:val="hy-AM"/>
        </w:rPr>
        <w:t>մինչև</w:t>
      </w:r>
      <w:r w:rsidRPr="007955BB">
        <w:rPr>
          <w:b w:val="0"/>
          <w:bCs/>
          <w:szCs w:val="22"/>
          <w:lang w:val="hy-AM"/>
        </w:rPr>
        <w:t xml:space="preserve"> 2030 </w:t>
      </w:r>
      <w:r w:rsidRPr="007955BB">
        <w:rPr>
          <w:rFonts w:cs="GHEA Grapalat"/>
          <w:b w:val="0"/>
          <w:bCs/>
          <w:szCs w:val="22"/>
          <w:lang w:val="hy-AM"/>
        </w:rPr>
        <w:t>թվականն</w:t>
      </w:r>
      <w:r w:rsidRPr="007955BB">
        <w:rPr>
          <w:b w:val="0"/>
          <w:bCs/>
          <w:szCs w:val="22"/>
          <w:lang w:val="hy-AM"/>
        </w:rPr>
        <w:t xml:space="preserve"> </w:t>
      </w:r>
      <w:r w:rsidRPr="007955BB">
        <w:rPr>
          <w:rFonts w:cs="GHEA Grapalat"/>
          <w:b w:val="0"/>
          <w:bCs/>
          <w:szCs w:val="22"/>
          <w:lang w:val="hy-AM"/>
        </w:rPr>
        <w:t>ընկած</w:t>
      </w:r>
      <w:r w:rsidRPr="007955BB">
        <w:rPr>
          <w:b w:val="0"/>
          <w:bCs/>
          <w:szCs w:val="22"/>
          <w:lang w:val="hy-AM"/>
        </w:rPr>
        <w:t xml:space="preserve"> </w:t>
      </w:r>
      <w:r w:rsidRPr="007955BB">
        <w:rPr>
          <w:rFonts w:cs="GHEA Grapalat"/>
          <w:b w:val="0"/>
          <w:bCs/>
          <w:szCs w:val="22"/>
          <w:lang w:val="hy-AM"/>
        </w:rPr>
        <w:t>ժամանակահատվածում</w:t>
      </w:r>
      <w:r w:rsidRPr="007955BB">
        <w:rPr>
          <w:b w:val="0"/>
          <w:bCs/>
          <w:szCs w:val="22"/>
          <w:lang w:val="hy-AM"/>
        </w:rPr>
        <w:t xml:space="preserve"> </w:t>
      </w:r>
      <w:r w:rsidRPr="007955BB">
        <w:rPr>
          <w:rFonts w:cs="GHEA Grapalat"/>
          <w:b w:val="0"/>
          <w:bCs/>
          <w:szCs w:val="22"/>
          <w:lang w:val="hy-AM"/>
        </w:rPr>
        <w:t>ԱՊՀ</w:t>
      </w:r>
      <w:r w:rsidRPr="007955BB">
        <w:rPr>
          <w:b w:val="0"/>
          <w:bCs/>
          <w:szCs w:val="22"/>
          <w:lang w:val="hy-AM"/>
        </w:rPr>
        <w:t xml:space="preserve"> </w:t>
      </w:r>
      <w:r w:rsidRPr="007955BB">
        <w:rPr>
          <w:rFonts w:cs="GHEA Grapalat"/>
          <w:b w:val="0"/>
          <w:bCs/>
          <w:szCs w:val="22"/>
          <w:lang w:val="hy-AM"/>
        </w:rPr>
        <w:t>տնտեսական</w:t>
      </w:r>
      <w:r w:rsidRPr="007955BB">
        <w:rPr>
          <w:b w:val="0"/>
          <w:bCs/>
          <w:szCs w:val="22"/>
          <w:lang w:val="hy-AM"/>
        </w:rPr>
        <w:t xml:space="preserve"> </w:t>
      </w:r>
      <w:r w:rsidRPr="007955BB">
        <w:rPr>
          <w:rFonts w:cs="GHEA Grapalat"/>
          <w:b w:val="0"/>
          <w:bCs/>
          <w:szCs w:val="22"/>
          <w:lang w:val="hy-AM"/>
        </w:rPr>
        <w:t>զարգացման</w:t>
      </w:r>
      <w:r w:rsidRPr="007955BB">
        <w:rPr>
          <w:b w:val="0"/>
          <w:bCs/>
          <w:szCs w:val="22"/>
          <w:lang w:val="hy-AM"/>
        </w:rPr>
        <w:t xml:space="preserve"> </w:t>
      </w:r>
      <w:r w:rsidRPr="007955BB">
        <w:rPr>
          <w:rFonts w:cs="GHEA Grapalat"/>
          <w:b w:val="0"/>
          <w:bCs/>
          <w:szCs w:val="22"/>
          <w:lang w:val="hy-AM"/>
        </w:rPr>
        <w:t>ռազմավարությունից</w:t>
      </w:r>
      <w:r w:rsidRPr="007955BB">
        <w:rPr>
          <w:b w:val="0"/>
          <w:bCs/>
          <w:szCs w:val="22"/>
          <w:lang w:val="hy-AM"/>
        </w:rPr>
        <w:t xml:space="preserve"> </w:t>
      </w:r>
      <w:r w:rsidRPr="007955BB">
        <w:rPr>
          <w:rFonts w:cs="GHEA Grapalat"/>
          <w:b w:val="0"/>
          <w:bCs/>
          <w:szCs w:val="22"/>
          <w:lang w:val="hy-AM"/>
        </w:rPr>
        <w:t>բխող</w:t>
      </w:r>
      <w:r w:rsidRPr="007955BB">
        <w:rPr>
          <w:b w:val="0"/>
          <w:bCs/>
          <w:szCs w:val="22"/>
          <w:lang w:val="hy-AM"/>
        </w:rPr>
        <w:t xml:space="preserve"> </w:t>
      </w:r>
      <w:r w:rsidRPr="007955BB">
        <w:rPr>
          <w:rFonts w:cs="GHEA Grapalat"/>
          <w:b w:val="0"/>
          <w:bCs/>
          <w:szCs w:val="22"/>
          <w:lang w:val="hy-AM"/>
        </w:rPr>
        <w:t>միջոցառումների</w:t>
      </w:r>
      <w:r w:rsidRPr="007955BB">
        <w:rPr>
          <w:b w:val="0"/>
          <w:bCs/>
          <w:szCs w:val="22"/>
          <w:lang w:val="hy-AM"/>
        </w:rPr>
        <w:t xml:space="preserve"> </w:t>
      </w:r>
      <w:r w:rsidRPr="007955BB">
        <w:rPr>
          <w:rFonts w:cs="GHEA Grapalat"/>
          <w:b w:val="0"/>
          <w:bCs/>
          <w:szCs w:val="22"/>
          <w:lang w:val="hy-AM"/>
        </w:rPr>
        <w:t>իրականացման</w:t>
      </w:r>
      <w:r w:rsidRPr="007955BB">
        <w:rPr>
          <w:b w:val="0"/>
          <w:bCs/>
          <w:szCs w:val="22"/>
          <w:lang w:val="hy-AM"/>
        </w:rPr>
        <w:t xml:space="preserve"> </w:t>
      </w:r>
      <w:r w:rsidRPr="007955BB">
        <w:rPr>
          <w:rFonts w:cs="GHEA Grapalat"/>
          <w:b w:val="0"/>
          <w:bCs/>
          <w:szCs w:val="22"/>
          <w:lang w:val="hy-AM"/>
        </w:rPr>
        <w:t>աշխատանքները</w:t>
      </w:r>
      <w:r w:rsidRPr="007955BB">
        <w:rPr>
          <w:b w:val="0"/>
          <w:bCs/>
          <w:szCs w:val="22"/>
          <w:lang w:val="hy-AM"/>
        </w:rPr>
        <w:t xml:space="preserve">: </w:t>
      </w:r>
    </w:p>
    <w:p w:rsidR="00427A4F" w:rsidRPr="007955BB" w:rsidRDefault="00427A4F" w:rsidP="00427A4F">
      <w:pPr>
        <w:spacing w:line="276" w:lineRule="auto"/>
        <w:ind w:firstLine="284"/>
        <w:rPr>
          <w:iCs/>
          <w:szCs w:val="22"/>
          <w:lang w:val="hy-AM"/>
        </w:rPr>
      </w:pPr>
      <w:r w:rsidRPr="007955BB">
        <w:rPr>
          <w:iCs/>
          <w:szCs w:val="22"/>
          <w:lang w:val="hy-AM"/>
        </w:rPr>
        <w:t>Որակի ենթակառուցվածքի զարգացում</w:t>
      </w:r>
    </w:p>
    <w:p w:rsidR="00427A4F" w:rsidRPr="007955BB" w:rsidRDefault="00427A4F" w:rsidP="00427A4F">
      <w:pPr>
        <w:spacing w:line="276" w:lineRule="auto"/>
        <w:ind w:firstLine="284"/>
        <w:rPr>
          <w:b w:val="0"/>
          <w:bCs/>
          <w:szCs w:val="22"/>
          <w:lang w:val="hy-AM"/>
        </w:rPr>
      </w:pPr>
      <w:r w:rsidRPr="007955BB">
        <w:rPr>
          <w:b w:val="0"/>
          <w:bCs/>
          <w:szCs w:val="22"/>
          <w:lang w:val="hy-AM"/>
        </w:rPr>
        <w:tab/>
      </w:r>
      <w:r w:rsidRPr="007955BB">
        <w:rPr>
          <w:b w:val="0"/>
          <w:bCs/>
          <w:szCs w:val="22"/>
          <w:lang w:val="hy-AM"/>
        </w:rPr>
        <w:tab/>
        <w:t>Որակի ենթակառուցվածքի՝ տեխնիկական կանոնակարգման, համապատասխանության գնահատման, ստանդարտացման, չափումների միասնականության ապահովման և հավատարմագրման ոլորտների զարգացումը նպատակուղղված կլինի</w:t>
      </w:r>
      <w:r w:rsidRPr="007955BB">
        <w:rPr>
          <w:rFonts w:ascii="Cambria Math" w:hAnsi="Cambria Math" w:cs="Cambria Math"/>
          <w:b w:val="0"/>
          <w:bCs/>
          <w:szCs w:val="22"/>
          <w:lang w:val="hy-AM"/>
        </w:rPr>
        <w:t>․</w:t>
      </w:r>
    </w:p>
    <w:p w:rsidR="00427A4F" w:rsidRPr="007955BB" w:rsidRDefault="00285180" w:rsidP="00F04DA1">
      <w:pPr>
        <w:numPr>
          <w:ilvl w:val="0"/>
          <w:numId w:val="46"/>
        </w:numPr>
        <w:spacing w:line="276" w:lineRule="auto"/>
        <w:ind w:left="0" w:firstLine="284"/>
        <w:rPr>
          <w:b w:val="0"/>
          <w:bCs/>
          <w:szCs w:val="22"/>
          <w:lang w:val="hy-AM"/>
        </w:rPr>
      </w:pPr>
      <w:r w:rsidRPr="007955BB">
        <w:rPr>
          <w:b w:val="0"/>
          <w:bCs/>
          <w:szCs w:val="22"/>
          <w:lang w:val="hy-AM"/>
        </w:rPr>
        <w:t xml:space="preserve"> </w:t>
      </w:r>
      <w:r w:rsidR="00427A4F" w:rsidRPr="007955BB">
        <w:rPr>
          <w:b w:val="0"/>
          <w:bCs/>
          <w:szCs w:val="22"/>
          <w:lang w:val="hy-AM"/>
        </w:rPr>
        <w:t xml:space="preserve">անվտանգ արտադրանքի շրջանառության ապահովմանը և սպառողների շահերի պաշտպանության մակարդակի բարձրացմանը, </w:t>
      </w:r>
    </w:p>
    <w:p w:rsidR="00427A4F" w:rsidRPr="007955BB" w:rsidRDefault="00285180" w:rsidP="00F04DA1">
      <w:pPr>
        <w:numPr>
          <w:ilvl w:val="0"/>
          <w:numId w:val="46"/>
        </w:numPr>
        <w:spacing w:line="276" w:lineRule="auto"/>
        <w:ind w:left="0" w:firstLine="284"/>
        <w:rPr>
          <w:b w:val="0"/>
          <w:bCs/>
          <w:szCs w:val="22"/>
          <w:lang w:val="hy-AM"/>
        </w:rPr>
      </w:pPr>
      <w:r w:rsidRPr="007955BB">
        <w:rPr>
          <w:b w:val="0"/>
          <w:bCs/>
          <w:szCs w:val="22"/>
          <w:lang w:val="hy-AM"/>
        </w:rPr>
        <w:t xml:space="preserve"> </w:t>
      </w:r>
      <w:r w:rsidR="00427A4F" w:rsidRPr="007955BB">
        <w:rPr>
          <w:b w:val="0"/>
          <w:bCs/>
          <w:szCs w:val="22"/>
          <w:lang w:val="hy-AM"/>
        </w:rPr>
        <w:t xml:space="preserve">առևտրում առկա տեխնիկական խոչընդոտների նվազեցմանը, մրցունակ արտադրանքի արտադրության խթանմանը և անբարեխիղճ գործելակերպի կանխարգելմանը, </w:t>
      </w:r>
    </w:p>
    <w:p w:rsidR="00427A4F" w:rsidRPr="007955BB" w:rsidRDefault="00285180" w:rsidP="00F04DA1">
      <w:pPr>
        <w:numPr>
          <w:ilvl w:val="0"/>
          <w:numId w:val="46"/>
        </w:numPr>
        <w:spacing w:line="276" w:lineRule="auto"/>
        <w:ind w:left="0" w:firstLine="284"/>
        <w:rPr>
          <w:b w:val="0"/>
          <w:bCs/>
          <w:szCs w:val="22"/>
          <w:lang w:val="hy-AM"/>
        </w:rPr>
      </w:pPr>
      <w:r w:rsidRPr="007955BB">
        <w:rPr>
          <w:b w:val="0"/>
          <w:bCs/>
          <w:szCs w:val="22"/>
          <w:lang w:val="hy-AM"/>
        </w:rPr>
        <w:t xml:space="preserve"> </w:t>
      </w:r>
      <w:r w:rsidR="00427A4F" w:rsidRPr="007955BB">
        <w:rPr>
          <w:b w:val="0"/>
          <w:bCs/>
          <w:szCs w:val="22"/>
          <w:lang w:val="hy-AM"/>
        </w:rPr>
        <w:t>տեղական արտադրանքի արտահանման ծավալների ավելացմանը և նոր շուկաների ձեռքբերմանը, «Արտադրված է Հայաստանում» արտադրանքի ճանաչելության բարձրացումը,</w:t>
      </w:r>
    </w:p>
    <w:p w:rsidR="00427A4F" w:rsidRPr="007955BB" w:rsidRDefault="00285180" w:rsidP="00F04DA1">
      <w:pPr>
        <w:numPr>
          <w:ilvl w:val="0"/>
          <w:numId w:val="46"/>
        </w:numPr>
        <w:spacing w:line="276" w:lineRule="auto"/>
        <w:ind w:left="0" w:firstLine="284"/>
        <w:rPr>
          <w:b w:val="0"/>
          <w:bCs/>
          <w:szCs w:val="22"/>
          <w:lang w:val="hy-AM"/>
        </w:rPr>
      </w:pPr>
      <w:r w:rsidRPr="007955BB">
        <w:rPr>
          <w:b w:val="0"/>
          <w:bCs/>
          <w:szCs w:val="22"/>
          <w:lang w:val="hy-AM"/>
        </w:rPr>
        <w:t xml:space="preserve"> </w:t>
      </w:r>
      <w:r w:rsidR="00427A4F" w:rsidRPr="007955BB">
        <w:rPr>
          <w:b w:val="0"/>
          <w:bCs/>
          <w:szCs w:val="22"/>
          <w:lang w:val="hy-AM"/>
        </w:rPr>
        <w:t xml:space="preserve">տնտեսության զարգացման գերակա ճյուղերում անհրաժեշտ ստանդարտների մշակմանը և ներդրմանը, </w:t>
      </w:r>
    </w:p>
    <w:p w:rsidR="00427A4F" w:rsidRPr="007955BB" w:rsidRDefault="00427A4F" w:rsidP="00F04DA1">
      <w:pPr>
        <w:numPr>
          <w:ilvl w:val="0"/>
          <w:numId w:val="46"/>
        </w:numPr>
        <w:spacing w:line="276" w:lineRule="auto"/>
        <w:ind w:left="0" w:firstLine="284"/>
        <w:rPr>
          <w:b w:val="0"/>
          <w:bCs/>
          <w:szCs w:val="22"/>
          <w:lang w:val="hy-AM"/>
        </w:rPr>
      </w:pPr>
      <w:r w:rsidRPr="007955BB">
        <w:rPr>
          <w:b w:val="0"/>
          <w:bCs/>
          <w:szCs w:val="22"/>
          <w:lang w:val="hy-AM"/>
        </w:rPr>
        <w:t>տարածաշրջանային և միջազգային հավատարմագրման կազմակերպությունների հետ (EA, ILAC,IAF) հավատարմագրման ազգային մարմնի միջազգային ճանաչմանն ուղղված երկկողմ և բազմակողմ ճանաչման համաձայնագրերի կնքմանը և միջազգային ճանաչում ունեցող հավատարմագրման համակարգի ձեռքբերմանը</w:t>
      </w:r>
      <w:r w:rsidR="0093129C" w:rsidRPr="007955BB">
        <w:rPr>
          <w:b w:val="0"/>
          <w:bCs/>
          <w:szCs w:val="22"/>
          <w:lang w:val="hy-AM"/>
        </w:rPr>
        <w:t>,</w:t>
      </w:r>
    </w:p>
    <w:p w:rsidR="00427A4F" w:rsidRPr="007955BB" w:rsidRDefault="00285180" w:rsidP="00F04DA1">
      <w:pPr>
        <w:numPr>
          <w:ilvl w:val="0"/>
          <w:numId w:val="46"/>
        </w:numPr>
        <w:spacing w:line="276" w:lineRule="auto"/>
        <w:ind w:left="0" w:firstLine="284"/>
        <w:rPr>
          <w:b w:val="0"/>
          <w:bCs/>
          <w:szCs w:val="22"/>
          <w:lang w:val="hy-AM"/>
        </w:rPr>
      </w:pPr>
      <w:r w:rsidRPr="007955BB">
        <w:rPr>
          <w:b w:val="0"/>
          <w:bCs/>
          <w:szCs w:val="22"/>
          <w:lang w:val="hy-AM"/>
        </w:rPr>
        <w:t xml:space="preserve"> </w:t>
      </w:r>
      <w:r w:rsidR="00427A4F" w:rsidRPr="007955BB">
        <w:rPr>
          <w:b w:val="0"/>
          <w:bCs/>
          <w:szCs w:val="22"/>
          <w:lang w:val="hy-AM"/>
        </w:rPr>
        <w:t>համապատասխանության գնահատման փաստաթղթերի հասանելիության ապահովմ</w:t>
      </w:r>
      <w:r w:rsidR="0093129C" w:rsidRPr="007955BB">
        <w:rPr>
          <w:b w:val="0"/>
          <w:bCs/>
          <w:szCs w:val="22"/>
          <w:lang w:val="hy-AM"/>
        </w:rPr>
        <w:t>ան</w:t>
      </w:r>
      <w:r w:rsidR="00427A4F" w:rsidRPr="007955BB">
        <w:rPr>
          <w:b w:val="0"/>
          <w:bCs/>
          <w:szCs w:val="22"/>
          <w:lang w:val="hy-AM"/>
        </w:rPr>
        <w:t>ը հիմնական արտահանման շուկաներում,</w:t>
      </w:r>
    </w:p>
    <w:p w:rsidR="00427A4F" w:rsidRPr="007955BB" w:rsidRDefault="00285180" w:rsidP="00F04DA1">
      <w:pPr>
        <w:numPr>
          <w:ilvl w:val="0"/>
          <w:numId w:val="46"/>
        </w:numPr>
        <w:spacing w:line="276" w:lineRule="auto"/>
        <w:ind w:left="0" w:firstLine="284"/>
        <w:rPr>
          <w:b w:val="0"/>
          <w:bCs/>
          <w:szCs w:val="22"/>
          <w:lang w:val="hy-AM"/>
        </w:rPr>
      </w:pPr>
      <w:r w:rsidRPr="007955BB">
        <w:rPr>
          <w:b w:val="0"/>
          <w:bCs/>
          <w:szCs w:val="22"/>
          <w:lang w:val="hy-AM"/>
        </w:rPr>
        <w:t xml:space="preserve"> </w:t>
      </w:r>
      <w:r w:rsidR="00427A4F" w:rsidRPr="007955BB">
        <w:rPr>
          <w:b w:val="0"/>
          <w:bCs/>
          <w:szCs w:val="22"/>
          <w:lang w:val="hy-AM"/>
        </w:rPr>
        <w:t>առանց լրացուցիչ համապատասխանության գնահատման, ֆինանսական ռեսուրսների և ժամանակի ծախսի ԵՄ երկրներ արտադրանքի արտահանման ապահովմանը՝ ստեղծելով բարենպաստ պայմաններ տեղական արտադրողի համար և բացառելով նույն արտադրանքի վերագնահատման (կրկնակի փորձարկման և սերտիֆիկացման) անհրաժեշտությունը։</w:t>
      </w:r>
    </w:p>
    <w:p w:rsidR="005F226A" w:rsidRPr="007955BB" w:rsidRDefault="005F226A" w:rsidP="008F5CA2">
      <w:pPr>
        <w:pStyle w:val="BodyText2"/>
      </w:pPr>
      <w:r w:rsidRPr="007955BB">
        <w:t xml:space="preserve"> </w:t>
      </w:r>
    </w:p>
    <w:p w:rsidR="005F226A" w:rsidRPr="007955BB" w:rsidRDefault="005F226A" w:rsidP="005F226A">
      <w:pPr>
        <w:keepNext/>
        <w:tabs>
          <w:tab w:val="left" w:pos="360"/>
        </w:tabs>
        <w:spacing w:before="0" w:line="276" w:lineRule="auto"/>
        <w:ind w:firstLine="426"/>
        <w:contextualSpacing w:val="0"/>
        <w:outlineLvl w:val="2"/>
        <w:rPr>
          <w:rFonts w:cs="Arial"/>
          <w:szCs w:val="22"/>
          <w:lang w:val="hy-AM" w:eastAsia="en-US"/>
        </w:rPr>
      </w:pPr>
      <w:r w:rsidRPr="007955BB">
        <w:rPr>
          <w:rFonts w:cs="Arial"/>
          <w:bCs/>
          <w:szCs w:val="22"/>
          <w:lang w:val="hy-AM" w:eastAsia="en-US"/>
        </w:rPr>
        <w:tab/>
      </w:r>
      <w:bookmarkStart w:id="13" w:name="_Toc26174885"/>
      <w:bookmarkStart w:id="14" w:name="_Toc83567433"/>
      <w:bookmarkStart w:id="15" w:name="_Toc120805161"/>
      <w:r w:rsidRPr="007955BB">
        <w:rPr>
          <w:rFonts w:cs="Arial"/>
          <w:szCs w:val="22"/>
          <w:lang w:val="hy-AM" w:eastAsia="en-US"/>
        </w:rPr>
        <w:t>Տարածքային կառավարում և տեղական ինքնակառավարում</w:t>
      </w:r>
      <w:bookmarkEnd w:id="13"/>
      <w:bookmarkEnd w:id="14"/>
      <w:bookmarkEnd w:id="15"/>
    </w:p>
    <w:p w:rsidR="005F226A" w:rsidRPr="007955BB" w:rsidRDefault="005F226A" w:rsidP="005F226A">
      <w:pPr>
        <w:tabs>
          <w:tab w:val="left" w:pos="284"/>
          <w:tab w:val="left" w:pos="993"/>
        </w:tabs>
        <w:spacing w:before="0" w:line="276" w:lineRule="auto"/>
        <w:ind w:firstLine="709"/>
        <w:contextualSpacing w:val="0"/>
        <w:rPr>
          <w:rFonts w:cs="Sylfaen"/>
          <w:i/>
          <w:szCs w:val="22"/>
          <w:lang w:val="hy-AM" w:eastAsia="en-US"/>
        </w:rPr>
      </w:pPr>
      <w:r w:rsidRPr="007955BB">
        <w:rPr>
          <w:rFonts w:cs="Sylfaen"/>
          <w:i/>
          <w:szCs w:val="22"/>
          <w:lang w:val="hy-AM" w:eastAsia="en-US"/>
        </w:rPr>
        <w:t>Տեղական ինքնակառավարման համակարգում նախատեսվում է՝</w:t>
      </w:r>
    </w:p>
    <w:p w:rsidR="005F226A" w:rsidRPr="007955BB" w:rsidRDefault="00DA5AFF" w:rsidP="00854B26">
      <w:pPr>
        <w:numPr>
          <w:ilvl w:val="0"/>
          <w:numId w:val="28"/>
        </w:numPr>
        <w:tabs>
          <w:tab w:val="left" w:pos="284"/>
          <w:tab w:val="left" w:pos="993"/>
        </w:tabs>
        <w:spacing w:before="0" w:line="276" w:lineRule="auto"/>
        <w:ind w:left="0" w:firstLine="90"/>
        <w:contextualSpacing w:val="0"/>
        <w:rPr>
          <w:rFonts w:cs="Sylfaen"/>
          <w:b w:val="0"/>
          <w:szCs w:val="22"/>
          <w:lang w:val="hy-AM" w:eastAsia="en-US"/>
        </w:rPr>
      </w:pPr>
      <w:r>
        <w:rPr>
          <w:rFonts w:cs="Sylfaen"/>
          <w:b w:val="0"/>
          <w:szCs w:val="22"/>
          <w:lang w:val="hy-AM" w:eastAsia="en-US"/>
        </w:rPr>
        <w:t>ՏԻՄ</w:t>
      </w:r>
      <w:r w:rsidR="005F226A" w:rsidRPr="007955BB">
        <w:rPr>
          <w:rFonts w:cs="Sylfaen"/>
          <w:b w:val="0"/>
          <w:szCs w:val="22"/>
          <w:lang w:val="hy-AM" w:eastAsia="en-US"/>
        </w:rPr>
        <w:t xml:space="preserve"> համակարգի զարգացման և լիազորությունների ապակենտրոնացման քաղաքականության առկա խնդիրների լուծում՝ վարչական (համայնքների միավորման գործընթացի ավարտից հետո՝ համայքների ղեկավարներին նոր լիազորությունների փոխանցում) և ֆիսկալ ապակենտրոնացում, </w:t>
      </w:r>
      <w:r>
        <w:rPr>
          <w:rFonts w:cs="Sylfaen"/>
          <w:b w:val="0"/>
          <w:szCs w:val="22"/>
          <w:lang w:val="hy-AM" w:eastAsia="en-US"/>
        </w:rPr>
        <w:t>ՏԻՄ</w:t>
      </w:r>
      <w:r w:rsidR="005F226A" w:rsidRPr="007955BB">
        <w:rPr>
          <w:rFonts w:cs="Sylfaen"/>
          <w:b w:val="0"/>
          <w:szCs w:val="22"/>
          <w:lang w:val="hy-AM" w:eastAsia="en-US"/>
        </w:rPr>
        <w:t xml:space="preserve"> հզորացում ու տեղական ժողովրդավարության զարգացում, </w:t>
      </w:r>
    </w:p>
    <w:p w:rsidR="005F226A" w:rsidRPr="007955BB" w:rsidRDefault="005F226A" w:rsidP="00854B26">
      <w:pPr>
        <w:numPr>
          <w:ilvl w:val="0"/>
          <w:numId w:val="28"/>
        </w:numPr>
        <w:tabs>
          <w:tab w:val="left" w:pos="284"/>
          <w:tab w:val="left" w:pos="993"/>
        </w:tabs>
        <w:spacing w:before="0" w:line="276" w:lineRule="auto"/>
        <w:ind w:left="0" w:firstLine="90"/>
        <w:contextualSpacing w:val="0"/>
        <w:rPr>
          <w:rFonts w:cs="Sylfaen"/>
          <w:b w:val="0"/>
          <w:szCs w:val="22"/>
          <w:lang w:val="hy-AM" w:eastAsia="en-US"/>
        </w:rPr>
      </w:pPr>
      <w:r w:rsidRPr="007955BB">
        <w:rPr>
          <w:rFonts w:cs="Sylfaen"/>
          <w:b w:val="0"/>
          <w:szCs w:val="22"/>
          <w:lang w:val="hy-AM" w:eastAsia="en-US"/>
        </w:rPr>
        <w:t>ՏԻՄ-երի կողմից համայնքի հնգամյա զարգացման ծրագրի և համայնքի տարեկան աշխատանքային պլան</w:t>
      </w:r>
      <w:r w:rsidR="00795737" w:rsidRPr="007955BB">
        <w:rPr>
          <w:rFonts w:cs="Sylfaen"/>
          <w:b w:val="0"/>
          <w:szCs w:val="22"/>
          <w:lang w:val="hy-AM" w:eastAsia="en-US"/>
        </w:rPr>
        <w:t>ը</w:t>
      </w:r>
      <w:r w:rsidRPr="007955BB">
        <w:rPr>
          <w:rFonts w:cs="Sylfaen"/>
          <w:b w:val="0"/>
          <w:szCs w:val="22"/>
          <w:lang w:val="hy-AM" w:eastAsia="en-US"/>
        </w:rPr>
        <w:t xml:space="preserve"> մշակելու, հաստատելու, դրանց  կատարման վերաբերյալ համայնքի ղեկավարի հաշվետվություն ներկայացնելու և հրապարակելու վերաբերյալ օրենսդրական պարտադիր պահանջների կատարմանն ուղղված գործընթացների կազմակերպում,</w:t>
      </w:r>
    </w:p>
    <w:p w:rsidR="005F226A" w:rsidRPr="007955BB" w:rsidRDefault="00D26A9D" w:rsidP="00854B26">
      <w:pPr>
        <w:numPr>
          <w:ilvl w:val="0"/>
          <w:numId w:val="28"/>
        </w:numPr>
        <w:tabs>
          <w:tab w:val="left" w:pos="284"/>
          <w:tab w:val="left" w:pos="993"/>
        </w:tabs>
        <w:spacing w:before="0" w:line="276" w:lineRule="auto"/>
        <w:ind w:left="0" w:firstLine="90"/>
        <w:contextualSpacing w:val="0"/>
        <w:rPr>
          <w:szCs w:val="22"/>
          <w:lang w:val="hy-AM"/>
        </w:rPr>
      </w:pPr>
      <w:r>
        <w:rPr>
          <w:rFonts w:cs="Sylfaen"/>
          <w:b w:val="0"/>
          <w:szCs w:val="22"/>
          <w:lang w:val="hy-AM" w:eastAsia="en-US"/>
        </w:rPr>
        <w:t>ՏՏ</w:t>
      </w:r>
      <w:r w:rsidR="005F226A" w:rsidRPr="007955BB">
        <w:rPr>
          <w:rFonts w:cs="Sylfaen"/>
          <w:b w:val="0"/>
          <w:szCs w:val="22"/>
          <w:lang w:val="hy-AM" w:eastAsia="en-US"/>
        </w:rPr>
        <w:t xml:space="preserve"> կիրառության առումով ՏԻՄ-երի կարողությունների զարգացմանը միտված ծրագրերի իրականացում, տեղեկատվական համակարգերի կիրառության ընդլայնման միջոցով ՏԻՄ-երի գործունեության թափանցիկության և հաշվետվողականության ապահովում, ՏԻՄ-երում կիրառվող կառավարման տեղեկատվական համակարգերի և պետական մարմինների էլեկտրոնային համակարգերի փոխգործելիության հաստատում և ընդլայնում</w:t>
      </w:r>
      <w:r w:rsidR="005F226A" w:rsidRPr="007955BB">
        <w:rPr>
          <w:szCs w:val="22"/>
          <w:lang w:val="hy-AM"/>
        </w:rPr>
        <w:t>:</w:t>
      </w:r>
    </w:p>
    <w:p w:rsidR="005F226A" w:rsidRPr="007955BB" w:rsidRDefault="005F226A" w:rsidP="008F5CA2">
      <w:pPr>
        <w:pStyle w:val="BodyText2"/>
      </w:pPr>
      <w:r w:rsidRPr="007955BB">
        <w:t xml:space="preserve">Տարածքային զարգացման նպատակով նախատեսվում է` </w:t>
      </w:r>
    </w:p>
    <w:p w:rsidR="005F226A" w:rsidRPr="007955BB" w:rsidRDefault="005F226A" w:rsidP="004861B2">
      <w:pPr>
        <w:pStyle w:val="ListParagraph"/>
        <w:numPr>
          <w:ilvl w:val="0"/>
          <w:numId w:val="22"/>
        </w:numPr>
        <w:tabs>
          <w:tab w:val="left" w:pos="284"/>
          <w:tab w:val="left" w:pos="540"/>
          <w:tab w:val="left" w:pos="567"/>
          <w:tab w:val="left" w:pos="993"/>
        </w:tabs>
        <w:spacing w:before="0" w:line="276" w:lineRule="auto"/>
        <w:ind w:left="0" w:firstLine="90"/>
        <w:rPr>
          <w:rFonts w:cs="Sylfaen"/>
          <w:b w:val="0"/>
          <w:bCs/>
          <w:iCs/>
          <w:szCs w:val="22"/>
          <w:lang w:val="hy-AM" w:eastAsia="en-US"/>
        </w:rPr>
      </w:pPr>
      <w:r w:rsidRPr="007955BB">
        <w:rPr>
          <w:rFonts w:cs="Sylfaen"/>
          <w:b w:val="0"/>
          <w:bCs/>
          <w:iCs/>
          <w:szCs w:val="22"/>
          <w:lang w:val="hy-AM" w:eastAsia="en-US"/>
        </w:rPr>
        <w:t>մարզերի տնտեսական զարգացման անհամամասնությունների մեղմում,</w:t>
      </w:r>
    </w:p>
    <w:p w:rsidR="005F226A" w:rsidRPr="007955BB" w:rsidRDefault="005F226A" w:rsidP="004861B2">
      <w:pPr>
        <w:pStyle w:val="ListParagraph"/>
        <w:numPr>
          <w:ilvl w:val="0"/>
          <w:numId w:val="22"/>
        </w:numPr>
        <w:tabs>
          <w:tab w:val="left" w:pos="284"/>
          <w:tab w:val="left" w:pos="540"/>
          <w:tab w:val="left" w:pos="567"/>
          <w:tab w:val="left" w:pos="993"/>
        </w:tabs>
        <w:spacing w:before="0" w:line="276" w:lineRule="auto"/>
        <w:ind w:left="0" w:firstLine="90"/>
        <w:rPr>
          <w:rFonts w:cs="Sylfaen"/>
          <w:b w:val="0"/>
          <w:bCs/>
          <w:iCs/>
          <w:szCs w:val="22"/>
          <w:lang w:val="hy-AM" w:eastAsia="en-US"/>
        </w:rPr>
      </w:pPr>
      <w:r w:rsidRPr="007955BB">
        <w:rPr>
          <w:rFonts w:cs="Sylfaen"/>
          <w:b w:val="0"/>
          <w:bCs/>
          <w:iCs/>
          <w:szCs w:val="22"/>
          <w:lang w:val="hy-AM" w:eastAsia="en-US"/>
        </w:rPr>
        <w:t>hանրապետական գործադիր մարմինների կողմից ՀՀ մարզերում իրականացվող ծրագրերի մշտադիտարկման համակարգի կատարելագործում:</w:t>
      </w:r>
    </w:p>
    <w:p w:rsidR="005F226A" w:rsidRPr="007955BB" w:rsidRDefault="005F226A" w:rsidP="005F226A">
      <w:pPr>
        <w:tabs>
          <w:tab w:val="left" w:pos="284"/>
          <w:tab w:val="left" w:pos="567"/>
          <w:tab w:val="left" w:pos="993"/>
        </w:tabs>
        <w:spacing w:before="0" w:line="276" w:lineRule="auto"/>
        <w:ind w:firstLine="709"/>
        <w:contextualSpacing w:val="0"/>
        <w:rPr>
          <w:rFonts w:cs="Sylfaen"/>
          <w:b w:val="0"/>
          <w:bCs/>
          <w:iCs/>
          <w:szCs w:val="22"/>
          <w:lang w:val="hy-AM" w:eastAsia="en-US"/>
        </w:rPr>
      </w:pPr>
      <w:r w:rsidRPr="007955BB">
        <w:rPr>
          <w:rFonts w:cs="Sylfaen"/>
          <w:iCs/>
          <w:szCs w:val="22"/>
          <w:lang w:val="hy-AM" w:eastAsia="en-US"/>
        </w:rPr>
        <w:t>Տեղական ինքնակառավարման համակարգի, տարածքային, տնտեսական, ֆինասական և քաղաքական դերի բարձրացման նպատակով</w:t>
      </w:r>
      <w:r w:rsidRPr="007955BB">
        <w:rPr>
          <w:rFonts w:cs="Sylfaen"/>
          <w:b w:val="0"/>
          <w:bCs/>
          <w:iCs/>
          <w:szCs w:val="22"/>
          <w:lang w:val="hy-AM" w:eastAsia="en-US"/>
        </w:rPr>
        <w:t xml:space="preserve"> նախատեսվում է՝</w:t>
      </w:r>
    </w:p>
    <w:p w:rsidR="005F226A" w:rsidRPr="007955BB" w:rsidRDefault="005F226A" w:rsidP="004861B2">
      <w:pPr>
        <w:pStyle w:val="ListParagraph"/>
        <w:numPr>
          <w:ilvl w:val="0"/>
          <w:numId w:val="23"/>
        </w:numPr>
        <w:tabs>
          <w:tab w:val="left" w:pos="284"/>
          <w:tab w:val="left" w:pos="567"/>
          <w:tab w:val="left" w:pos="993"/>
        </w:tabs>
        <w:spacing w:before="0" w:line="276" w:lineRule="auto"/>
        <w:ind w:left="0" w:firstLine="90"/>
        <w:contextualSpacing w:val="0"/>
        <w:rPr>
          <w:rFonts w:cs="Sylfaen"/>
          <w:b w:val="0"/>
          <w:bCs/>
          <w:iCs/>
          <w:szCs w:val="22"/>
          <w:lang w:val="hy-AM" w:eastAsia="en-US"/>
        </w:rPr>
      </w:pPr>
      <w:r w:rsidRPr="007955BB">
        <w:rPr>
          <w:rFonts w:cs="Sylfaen"/>
          <w:b w:val="0"/>
          <w:bCs/>
          <w:iCs/>
          <w:szCs w:val="22"/>
          <w:lang w:val="hy-AM" w:eastAsia="en-US"/>
        </w:rPr>
        <w:t xml:space="preserve"> համայնքային ծառայողների կարողությունների կատարելագործում,</w:t>
      </w:r>
    </w:p>
    <w:p w:rsidR="005F226A" w:rsidRPr="007955BB" w:rsidRDefault="005F226A" w:rsidP="004861B2">
      <w:pPr>
        <w:pStyle w:val="ListParagraph"/>
        <w:numPr>
          <w:ilvl w:val="0"/>
          <w:numId w:val="23"/>
        </w:numPr>
        <w:tabs>
          <w:tab w:val="left" w:pos="284"/>
          <w:tab w:val="left" w:pos="567"/>
          <w:tab w:val="left" w:pos="993"/>
        </w:tabs>
        <w:spacing w:before="0" w:line="276" w:lineRule="auto"/>
        <w:ind w:left="0" w:firstLine="90"/>
        <w:contextualSpacing w:val="0"/>
        <w:rPr>
          <w:rFonts w:cs="Sylfaen"/>
          <w:b w:val="0"/>
          <w:bCs/>
          <w:iCs/>
          <w:szCs w:val="22"/>
          <w:lang w:val="hy-AM" w:eastAsia="en-US"/>
        </w:rPr>
      </w:pPr>
      <w:r w:rsidRPr="007955BB">
        <w:rPr>
          <w:rFonts w:cs="Sylfaen"/>
          <w:b w:val="0"/>
          <w:bCs/>
          <w:iCs/>
          <w:szCs w:val="22"/>
          <w:lang w:val="hy-AM" w:eastAsia="en-US"/>
        </w:rPr>
        <w:t xml:space="preserve"> համայնքների միավորման արդյունքում համայնքային ծառայության ոլորտում առաջացած նոր պահանջների գույքագրում և մասնագիտական կարողությունների և հմտությունների զարգացում:</w:t>
      </w:r>
    </w:p>
    <w:p w:rsidR="002F5005" w:rsidRPr="007955BB" w:rsidRDefault="002F5005" w:rsidP="00D776CA">
      <w:pPr>
        <w:tabs>
          <w:tab w:val="left" w:pos="284"/>
          <w:tab w:val="left" w:pos="567"/>
          <w:tab w:val="left" w:pos="993"/>
        </w:tabs>
        <w:spacing w:before="0" w:line="276" w:lineRule="auto"/>
        <w:ind w:left="709" w:firstLine="0"/>
        <w:contextualSpacing w:val="0"/>
        <w:rPr>
          <w:rFonts w:cs="Sylfaen"/>
          <w:b w:val="0"/>
          <w:szCs w:val="22"/>
          <w:lang w:val="hy-AM"/>
        </w:rPr>
      </w:pPr>
    </w:p>
    <w:p w:rsidR="005F226A" w:rsidRPr="007955BB" w:rsidRDefault="005F226A" w:rsidP="005F226A">
      <w:pPr>
        <w:keepNext/>
        <w:tabs>
          <w:tab w:val="left" w:pos="360"/>
        </w:tabs>
        <w:spacing w:before="0" w:line="276" w:lineRule="auto"/>
        <w:ind w:firstLine="426"/>
        <w:contextualSpacing w:val="0"/>
        <w:outlineLvl w:val="2"/>
        <w:rPr>
          <w:rFonts w:cs="Arial"/>
          <w:szCs w:val="22"/>
          <w:lang w:val="hy-AM" w:eastAsia="en-US"/>
        </w:rPr>
      </w:pPr>
      <w:bookmarkStart w:id="16" w:name="_Toc83567434"/>
      <w:bookmarkStart w:id="17" w:name="_Toc120805162"/>
      <w:r w:rsidRPr="007955BB">
        <w:rPr>
          <w:rFonts w:cs="Arial"/>
          <w:szCs w:val="22"/>
          <w:lang w:val="hy-AM" w:eastAsia="en-US"/>
        </w:rPr>
        <w:t>Ճանապարհային տնտեսություն</w:t>
      </w:r>
      <w:bookmarkEnd w:id="16"/>
      <w:bookmarkEnd w:id="17"/>
    </w:p>
    <w:p w:rsidR="005F226A" w:rsidRPr="007955BB" w:rsidRDefault="005F226A" w:rsidP="0022103E">
      <w:pPr>
        <w:tabs>
          <w:tab w:val="left" w:pos="284"/>
          <w:tab w:val="left" w:pos="993"/>
        </w:tabs>
        <w:spacing w:before="0" w:line="276" w:lineRule="auto"/>
        <w:ind w:firstLine="706"/>
        <w:rPr>
          <w:b w:val="0"/>
          <w:bCs/>
          <w:szCs w:val="22"/>
          <w:lang w:val="hy-AM"/>
        </w:rPr>
      </w:pPr>
      <w:r w:rsidRPr="007955BB">
        <w:rPr>
          <w:b w:val="0"/>
          <w:bCs/>
          <w:szCs w:val="22"/>
          <w:lang w:val="hy-AM"/>
        </w:rPr>
        <w:t>ՀՀ տրանսպորտային համակարգի կարևորագույն խնդիրներից է երկրի ճանապարհատրանսպորտային ենթակառուցվածքների գործունեության արդյունավետության բարձրացումը, ինչպես նաև տնտեսության և ազգաբնակչության պահանջների բավարարման որակի բարձրացման միջոցով՝ անվտանգ և արդյունավետ տրանսպորտային ծառայությունների ապահովումը։</w:t>
      </w:r>
    </w:p>
    <w:p w:rsidR="005F226A" w:rsidRPr="007955BB" w:rsidRDefault="005F226A" w:rsidP="0022103E">
      <w:pPr>
        <w:tabs>
          <w:tab w:val="left" w:pos="284"/>
          <w:tab w:val="left" w:pos="993"/>
        </w:tabs>
        <w:autoSpaceDE w:val="0"/>
        <w:autoSpaceDN w:val="0"/>
        <w:adjustRightInd w:val="0"/>
        <w:spacing w:before="0" w:line="276" w:lineRule="auto"/>
        <w:ind w:firstLine="706"/>
        <w:rPr>
          <w:b w:val="0"/>
          <w:szCs w:val="22"/>
          <w:lang w:val="hy-AM"/>
        </w:rPr>
      </w:pPr>
      <w:r w:rsidRPr="007955BB">
        <w:rPr>
          <w:b w:val="0"/>
          <w:szCs w:val="22"/>
          <w:lang w:val="hy-AM"/>
        </w:rPr>
        <w:t xml:space="preserve"> </w:t>
      </w:r>
      <w:r w:rsidRPr="007955BB">
        <w:rPr>
          <w:rFonts w:cs="Sylfaen"/>
          <w:b w:val="0"/>
          <w:szCs w:val="22"/>
          <w:lang w:val="hy-AM"/>
        </w:rPr>
        <w:t>Երթևեկության</w:t>
      </w:r>
      <w:r w:rsidRPr="007955BB">
        <w:rPr>
          <w:b w:val="0"/>
          <w:szCs w:val="22"/>
          <w:lang w:val="hy-AM"/>
        </w:rPr>
        <w:t xml:space="preserve"> </w:t>
      </w:r>
      <w:r w:rsidRPr="007955BB">
        <w:rPr>
          <w:rFonts w:cs="Sylfaen"/>
          <w:b w:val="0"/>
          <w:szCs w:val="22"/>
          <w:lang w:val="hy-AM"/>
        </w:rPr>
        <w:t>ինտենսիվության</w:t>
      </w:r>
      <w:r w:rsidRPr="007955BB">
        <w:rPr>
          <w:b w:val="0"/>
          <w:szCs w:val="22"/>
          <w:lang w:val="hy-AM"/>
        </w:rPr>
        <w:t xml:space="preserve"> </w:t>
      </w:r>
      <w:r w:rsidRPr="007955BB">
        <w:rPr>
          <w:rFonts w:cs="Sylfaen"/>
          <w:b w:val="0"/>
          <w:szCs w:val="22"/>
          <w:lang w:val="hy-AM"/>
        </w:rPr>
        <w:t>աճի</w:t>
      </w:r>
      <w:r w:rsidRPr="007955BB">
        <w:rPr>
          <w:b w:val="0"/>
          <w:szCs w:val="22"/>
          <w:lang w:val="hy-AM"/>
        </w:rPr>
        <w:t xml:space="preserve">, </w:t>
      </w:r>
      <w:r w:rsidRPr="007955BB">
        <w:rPr>
          <w:rFonts w:cs="Sylfaen"/>
          <w:b w:val="0"/>
          <w:szCs w:val="22"/>
          <w:lang w:val="hy-AM"/>
        </w:rPr>
        <w:t>ուղևորա</w:t>
      </w:r>
      <w:r w:rsidRPr="007955BB">
        <w:rPr>
          <w:b w:val="0"/>
          <w:szCs w:val="22"/>
          <w:lang w:val="hy-AM"/>
        </w:rPr>
        <w:softHyphen/>
      </w:r>
      <w:r w:rsidRPr="007955BB">
        <w:rPr>
          <w:rFonts w:cs="Sylfaen"/>
          <w:b w:val="0"/>
          <w:szCs w:val="22"/>
          <w:lang w:val="hy-AM"/>
        </w:rPr>
        <w:t>փո</w:t>
      </w:r>
      <w:r w:rsidRPr="007955BB">
        <w:rPr>
          <w:b w:val="0"/>
          <w:szCs w:val="22"/>
          <w:lang w:val="hy-AM"/>
        </w:rPr>
        <w:softHyphen/>
      </w:r>
      <w:r w:rsidRPr="007955BB">
        <w:rPr>
          <w:rFonts w:cs="Sylfaen"/>
          <w:b w:val="0"/>
          <w:szCs w:val="22"/>
          <w:lang w:val="hy-AM"/>
        </w:rPr>
        <w:t>խադրում</w:t>
      </w:r>
      <w:r w:rsidRPr="007955BB">
        <w:rPr>
          <w:b w:val="0"/>
          <w:szCs w:val="22"/>
          <w:lang w:val="hy-AM"/>
        </w:rPr>
        <w:softHyphen/>
      </w:r>
      <w:r w:rsidRPr="007955BB">
        <w:rPr>
          <w:rFonts w:cs="Sylfaen"/>
          <w:b w:val="0"/>
          <w:szCs w:val="22"/>
          <w:lang w:val="hy-AM"/>
        </w:rPr>
        <w:t>ների</w:t>
      </w:r>
      <w:r w:rsidRPr="007955BB">
        <w:rPr>
          <w:b w:val="0"/>
          <w:szCs w:val="22"/>
          <w:lang w:val="hy-AM"/>
        </w:rPr>
        <w:t xml:space="preserve"> </w:t>
      </w:r>
      <w:r w:rsidRPr="007955BB">
        <w:rPr>
          <w:rFonts w:cs="Sylfaen"/>
          <w:b w:val="0"/>
          <w:szCs w:val="22"/>
          <w:lang w:val="hy-AM"/>
        </w:rPr>
        <w:t>ու</w:t>
      </w:r>
      <w:r w:rsidRPr="007955BB">
        <w:rPr>
          <w:b w:val="0"/>
          <w:szCs w:val="22"/>
          <w:lang w:val="hy-AM"/>
        </w:rPr>
        <w:t xml:space="preserve"> </w:t>
      </w:r>
      <w:r w:rsidRPr="007955BB">
        <w:rPr>
          <w:rFonts w:cs="Sylfaen"/>
          <w:b w:val="0"/>
          <w:szCs w:val="22"/>
          <w:lang w:val="hy-AM"/>
        </w:rPr>
        <w:t>բեռնափոխադրումների</w:t>
      </w:r>
      <w:r w:rsidRPr="007955BB">
        <w:rPr>
          <w:b w:val="0"/>
          <w:szCs w:val="22"/>
          <w:lang w:val="hy-AM"/>
        </w:rPr>
        <w:t xml:space="preserve"> </w:t>
      </w:r>
      <w:r w:rsidRPr="007955BB">
        <w:rPr>
          <w:rFonts w:cs="Sylfaen"/>
          <w:b w:val="0"/>
          <w:szCs w:val="22"/>
          <w:lang w:val="hy-AM"/>
        </w:rPr>
        <w:t>անվտանգության</w:t>
      </w:r>
      <w:r w:rsidRPr="007955BB">
        <w:rPr>
          <w:b w:val="0"/>
          <w:szCs w:val="22"/>
          <w:lang w:val="hy-AM"/>
        </w:rPr>
        <w:t xml:space="preserve"> </w:t>
      </w:r>
      <w:r w:rsidRPr="007955BB">
        <w:rPr>
          <w:rFonts w:cs="Sylfaen"/>
          <w:b w:val="0"/>
          <w:szCs w:val="22"/>
          <w:lang w:val="hy-AM"/>
        </w:rPr>
        <w:t>և</w:t>
      </w:r>
      <w:r w:rsidRPr="007955BB">
        <w:rPr>
          <w:b w:val="0"/>
          <w:szCs w:val="22"/>
          <w:lang w:val="hy-AM"/>
        </w:rPr>
        <w:t xml:space="preserve"> </w:t>
      </w:r>
      <w:r w:rsidRPr="007955BB">
        <w:rPr>
          <w:rFonts w:cs="Sylfaen"/>
          <w:b w:val="0"/>
          <w:szCs w:val="22"/>
          <w:lang w:val="hy-AM"/>
        </w:rPr>
        <w:t>արդյունավետության</w:t>
      </w:r>
      <w:r w:rsidRPr="007955BB">
        <w:rPr>
          <w:b w:val="0"/>
          <w:szCs w:val="22"/>
          <w:lang w:val="hy-AM"/>
        </w:rPr>
        <w:t xml:space="preserve"> </w:t>
      </w:r>
      <w:r w:rsidRPr="007955BB">
        <w:rPr>
          <w:rFonts w:cs="Sylfaen"/>
          <w:b w:val="0"/>
          <w:szCs w:val="22"/>
          <w:lang w:val="hy-AM"/>
        </w:rPr>
        <w:t>ապահովման</w:t>
      </w:r>
      <w:r w:rsidRPr="007955BB">
        <w:rPr>
          <w:b w:val="0"/>
          <w:szCs w:val="22"/>
          <w:lang w:val="hy-AM"/>
        </w:rPr>
        <w:t xml:space="preserve"> </w:t>
      </w:r>
      <w:r w:rsidRPr="007955BB">
        <w:rPr>
          <w:rFonts w:cs="Sylfaen"/>
          <w:b w:val="0"/>
          <w:szCs w:val="22"/>
          <w:lang w:val="hy-AM"/>
        </w:rPr>
        <w:t>նպատա</w:t>
      </w:r>
      <w:r w:rsidRPr="007955BB">
        <w:rPr>
          <w:b w:val="0"/>
          <w:szCs w:val="22"/>
          <w:lang w:val="hy-AM"/>
        </w:rPr>
        <w:softHyphen/>
      </w:r>
      <w:r w:rsidRPr="007955BB">
        <w:rPr>
          <w:rFonts w:cs="Sylfaen"/>
          <w:b w:val="0"/>
          <w:szCs w:val="22"/>
          <w:lang w:val="hy-AM"/>
        </w:rPr>
        <w:t>կով</w:t>
      </w:r>
      <w:r w:rsidRPr="007955BB">
        <w:rPr>
          <w:b w:val="0"/>
          <w:szCs w:val="22"/>
          <w:lang w:val="hy-AM"/>
        </w:rPr>
        <w:t xml:space="preserve"> 202</w:t>
      </w:r>
      <w:r w:rsidR="00F55A97" w:rsidRPr="007955BB">
        <w:rPr>
          <w:b w:val="0"/>
          <w:szCs w:val="22"/>
          <w:lang w:val="hy-AM"/>
        </w:rPr>
        <w:t>3</w:t>
      </w:r>
      <w:r w:rsidRPr="007955BB">
        <w:rPr>
          <w:rFonts w:cs="Sylfaen"/>
          <w:b w:val="0"/>
          <w:szCs w:val="22"/>
          <w:lang w:val="hy-AM"/>
        </w:rPr>
        <w:t>թ.-ին</w:t>
      </w:r>
      <w:r w:rsidRPr="007955BB">
        <w:rPr>
          <w:b w:val="0"/>
          <w:szCs w:val="22"/>
          <w:lang w:val="hy-AM"/>
        </w:rPr>
        <w:t xml:space="preserve"> </w:t>
      </w:r>
      <w:r w:rsidRPr="007955BB">
        <w:rPr>
          <w:rFonts w:cs="Sylfaen"/>
          <w:b w:val="0"/>
          <w:szCs w:val="22"/>
          <w:lang w:val="hy-AM"/>
        </w:rPr>
        <w:t>նախատեսվում</w:t>
      </w:r>
      <w:r w:rsidRPr="007955BB">
        <w:rPr>
          <w:b w:val="0"/>
          <w:szCs w:val="22"/>
          <w:lang w:val="hy-AM"/>
        </w:rPr>
        <w:t xml:space="preserve"> </w:t>
      </w:r>
      <w:r w:rsidRPr="007955BB">
        <w:rPr>
          <w:rFonts w:cs="Sylfaen"/>
          <w:b w:val="0"/>
          <w:szCs w:val="22"/>
          <w:lang w:val="hy-AM"/>
        </w:rPr>
        <w:t>է</w:t>
      </w:r>
      <w:r w:rsidRPr="007955BB">
        <w:rPr>
          <w:b w:val="0"/>
          <w:szCs w:val="22"/>
          <w:lang w:val="hy-AM"/>
        </w:rPr>
        <w:t xml:space="preserve"> </w:t>
      </w:r>
      <w:r w:rsidRPr="007955BB">
        <w:rPr>
          <w:rFonts w:cs="Sylfaen"/>
          <w:b w:val="0"/>
          <w:szCs w:val="22"/>
          <w:lang w:val="hy-AM"/>
        </w:rPr>
        <w:t>իրականացնել</w:t>
      </w:r>
      <w:r w:rsidRPr="007955BB">
        <w:rPr>
          <w:b w:val="0"/>
          <w:szCs w:val="22"/>
          <w:lang w:val="hy-AM"/>
        </w:rPr>
        <w:t xml:space="preserve"> </w:t>
      </w:r>
      <w:r w:rsidRPr="007955BB">
        <w:rPr>
          <w:rFonts w:cs="Sylfaen"/>
          <w:b w:val="0"/>
          <w:szCs w:val="22"/>
          <w:lang w:val="hy-AM"/>
        </w:rPr>
        <w:t>միջպետական</w:t>
      </w:r>
      <w:r w:rsidRPr="007955BB">
        <w:rPr>
          <w:b w:val="0"/>
          <w:szCs w:val="22"/>
          <w:lang w:val="hy-AM"/>
        </w:rPr>
        <w:t xml:space="preserve">¸ </w:t>
      </w:r>
      <w:r w:rsidRPr="007955BB">
        <w:rPr>
          <w:rFonts w:cs="Sylfaen"/>
          <w:b w:val="0"/>
          <w:szCs w:val="22"/>
          <w:lang w:val="hy-AM"/>
        </w:rPr>
        <w:t>հանրապետական</w:t>
      </w:r>
      <w:r w:rsidRPr="007955BB">
        <w:rPr>
          <w:b w:val="0"/>
          <w:szCs w:val="22"/>
          <w:lang w:val="hy-AM"/>
        </w:rPr>
        <w:t xml:space="preserve"> </w:t>
      </w:r>
      <w:r w:rsidRPr="007955BB">
        <w:rPr>
          <w:rFonts w:cs="Sylfaen"/>
          <w:b w:val="0"/>
          <w:szCs w:val="22"/>
          <w:lang w:val="hy-AM"/>
        </w:rPr>
        <w:t>և</w:t>
      </w:r>
      <w:r w:rsidRPr="007955BB">
        <w:rPr>
          <w:b w:val="0"/>
          <w:szCs w:val="22"/>
          <w:lang w:val="hy-AM"/>
        </w:rPr>
        <w:t xml:space="preserve"> </w:t>
      </w:r>
      <w:r w:rsidRPr="007955BB">
        <w:rPr>
          <w:rFonts w:cs="Sylfaen"/>
          <w:b w:val="0"/>
          <w:szCs w:val="22"/>
          <w:lang w:val="hy-AM"/>
        </w:rPr>
        <w:t>մարզային</w:t>
      </w:r>
      <w:r w:rsidRPr="007955BB">
        <w:rPr>
          <w:b w:val="0"/>
          <w:szCs w:val="22"/>
          <w:lang w:val="hy-AM"/>
        </w:rPr>
        <w:t xml:space="preserve"> </w:t>
      </w:r>
      <w:r w:rsidRPr="007955BB">
        <w:rPr>
          <w:rFonts w:cs="Sylfaen"/>
          <w:b w:val="0"/>
          <w:szCs w:val="22"/>
          <w:lang w:val="hy-AM"/>
        </w:rPr>
        <w:t>նշանակության</w:t>
      </w:r>
      <w:r w:rsidRPr="007955BB">
        <w:rPr>
          <w:b w:val="0"/>
          <w:szCs w:val="22"/>
          <w:lang w:val="hy-AM"/>
        </w:rPr>
        <w:t xml:space="preserve"> </w:t>
      </w:r>
      <w:r w:rsidRPr="007955BB">
        <w:rPr>
          <w:rFonts w:cs="Sylfaen"/>
          <w:b w:val="0"/>
          <w:szCs w:val="22"/>
          <w:lang w:val="hy-AM"/>
        </w:rPr>
        <w:t>ավտոմոբիլային</w:t>
      </w:r>
      <w:r w:rsidRPr="007955BB">
        <w:rPr>
          <w:b w:val="0"/>
          <w:szCs w:val="22"/>
          <w:lang w:val="hy-AM"/>
        </w:rPr>
        <w:t xml:space="preserve"> </w:t>
      </w:r>
      <w:r w:rsidRPr="007955BB">
        <w:rPr>
          <w:rFonts w:cs="Sylfaen"/>
          <w:b w:val="0"/>
          <w:szCs w:val="22"/>
          <w:lang w:val="hy-AM"/>
        </w:rPr>
        <w:t>ճանապարհների</w:t>
      </w:r>
      <w:r w:rsidRPr="007955BB">
        <w:rPr>
          <w:b w:val="0"/>
          <w:szCs w:val="22"/>
          <w:lang w:val="hy-AM"/>
        </w:rPr>
        <w:t xml:space="preserve"> </w:t>
      </w:r>
      <w:r w:rsidRPr="007955BB">
        <w:rPr>
          <w:rFonts w:cs="Sylfaen"/>
          <w:b w:val="0"/>
          <w:szCs w:val="22"/>
          <w:lang w:val="hy-AM"/>
        </w:rPr>
        <w:t>ու</w:t>
      </w:r>
      <w:r w:rsidRPr="007955BB">
        <w:rPr>
          <w:b w:val="0"/>
          <w:szCs w:val="22"/>
          <w:lang w:val="hy-AM"/>
        </w:rPr>
        <w:t xml:space="preserve"> </w:t>
      </w:r>
      <w:r w:rsidRPr="007955BB">
        <w:rPr>
          <w:rFonts w:cs="Sylfaen"/>
          <w:b w:val="0"/>
          <w:szCs w:val="22"/>
          <w:lang w:val="hy-AM"/>
        </w:rPr>
        <w:t>տրանսպորտային</w:t>
      </w:r>
      <w:r w:rsidRPr="007955BB">
        <w:rPr>
          <w:b w:val="0"/>
          <w:szCs w:val="22"/>
          <w:lang w:val="hy-AM"/>
        </w:rPr>
        <w:t xml:space="preserve"> </w:t>
      </w:r>
      <w:r w:rsidRPr="007955BB">
        <w:rPr>
          <w:rFonts w:cs="Sylfaen"/>
          <w:b w:val="0"/>
          <w:szCs w:val="22"/>
          <w:lang w:val="hy-AM"/>
        </w:rPr>
        <w:t>օբյեկտների</w:t>
      </w:r>
      <w:r w:rsidRPr="007955BB">
        <w:rPr>
          <w:b w:val="0"/>
          <w:szCs w:val="22"/>
          <w:lang w:val="hy-AM"/>
        </w:rPr>
        <w:t xml:space="preserve"> </w:t>
      </w:r>
      <w:r w:rsidRPr="007955BB">
        <w:rPr>
          <w:rFonts w:cs="Sylfaen"/>
          <w:b w:val="0"/>
          <w:szCs w:val="22"/>
          <w:lang w:val="hy-AM"/>
        </w:rPr>
        <w:t>հիմնանորոգում</w:t>
      </w:r>
      <w:r w:rsidRPr="007955BB">
        <w:rPr>
          <w:b w:val="0"/>
          <w:szCs w:val="22"/>
          <w:lang w:val="hy-AM"/>
        </w:rPr>
        <w:t xml:space="preserve">, </w:t>
      </w:r>
      <w:r w:rsidRPr="007955BB">
        <w:rPr>
          <w:rFonts w:cs="Sylfaen"/>
          <w:b w:val="0"/>
          <w:szCs w:val="22"/>
          <w:lang w:val="hy-AM"/>
        </w:rPr>
        <w:t>միջին</w:t>
      </w:r>
      <w:r w:rsidRPr="007955BB">
        <w:rPr>
          <w:b w:val="0"/>
          <w:szCs w:val="22"/>
          <w:lang w:val="hy-AM"/>
        </w:rPr>
        <w:t xml:space="preserve"> </w:t>
      </w:r>
      <w:r w:rsidRPr="007955BB">
        <w:rPr>
          <w:rFonts w:cs="Sylfaen"/>
          <w:b w:val="0"/>
          <w:szCs w:val="22"/>
          <w:lang w:val="hy-AM"/>
        </w:rPr>
        <w:t>նորոգում</w:t>
      </w:r>
      <w:r w:rsidRPr="007955BB">
        <w:rPr>
          <w:b w:val="0"/>
          <w:szCs w:val="22"/>
          <w:lang w:val="hy-AM"/>
        </w:rPr>
        <w:t xml:space="preserve">¸ </w:t>
      </w:r>
      <w:r w:rsidRPr="007955BB">
        <w:rPr>
          <w:rFonts w:cs="Sylfaen"/>
          <w:b w:val="0"/>
          <w:szCs w:val="22"/>
          <w:lang w:val="hy-AM"/>
        </w:rPr>
        <w:t>ձմեռային</w:t>
      </w:r>
      <w:r w:rsidRPr="007955BB">
        <w:rPr>
          <w:b w:val="0"/>
          <w:szCs w:val="22"/>
          <w:lang w:val="hy-AM"/>
        </w:rPr>
        <w:t xml:space="preserve"> </w:t>
      </w:r>
      <w:r w:rsidRPr="007955BB">
        <w:rPr>
          <w:rFonts w:cs="Sylfaen"/>
          <w:b w:val="0"/>
          <w:szCs w:val="22"/>
          <w:lang w:val="hy-AM"/>
        </w:rPr>
        <w:t>պահ</w:t>
      </w:r>
      <w:r w:rsidRPr="007955BB">
        <w:rPr>
          <w:b w:val="0"/>
          <w:szCs w:val="22"/>
          <w:lang w:val="hy-AM"/>
        </w:rPr>
        <w:softHyphen/>
      </w:r>
      <w:r w:rsidRPr="007955BB">
        <w:rPr>
          <w:rFonts w:cs="Sylfaen"/>
          <w:b w:val="0"/>
          <w:szCs w:val="22"/>
          <w:lang w:val="hy-AM"/>
        </w:rPr>
        <w:t>պանում</w:t>
      </w:r>
      <w:r w:rsidRPr="007955BB">
        <w:rPr>
          <w:b w:val="0"/>
          <w:szCs w:val="22"/>
          <w:lang w:val="hy-AM"/>
        </w:rPr>
        <w:t xml:space="preserve">, </w:t>
      </w:r>
      <w:r w:rsidRPr="007955BB">
        <w:rPr>
          <w:rFonts w:cs="Sylfaen"/>
          <w:b w:val="0"/>
          <w:szCs w:val="22"/>
          <w:lang w:val="hy-AM"/>
        </w:rPr>
        <w:t>ընթացիկ</w:t>
      </w:r>
      <w:r w:rsidRPr="007955BB">
        <w:rPr>
          <w:b w:val="0"/>
          <w:szCs w:val="22"/>
          <w:lang w:val="hy-AM"/>
        </w:rPr>
        <w:t xml:space="preserve"> </w:t>
      </w:r>
      <w:r w:rsidRPr="007955BB">
        <w:rPr>
          <w:rFonts w:cs="Sylfaen"/>
          <w:b w:val="0"/>
          <w:szCs w:val="22"/>
          <w:lang w:val="hy-AM"/>
        </w:rPr>
        <w:t>պահպանում</w:t>
      </w:r>
      <w:r w:rsidRPr="007955BB">
        <w:rPr>
          <w:b w:val="0"/>
          <w:szCs w:val="22"/>
          <w:lang w:val="hy-AM"/>
        </w:rPr>
        <w:t xml:space="preserve"> </w:t>
      </w:r>
      <w:r w:rsidRPr="007955BB">
        <w:rPr>
          <w:rFonts w:cs="Sylfaen"/>
          <w:b w:val="0"/>
          <w:szCs w:val="22"/>
          <w:lang w:val="hy-AM"/>
        </w:rPr>
        <w:t>և</w:t>
      </w:r>
      <w:r w:rsidRPr="007955BB">
        <w:rPr>
          <w:b w:val="0"/>
          <w:szCs w:val="22"/>
          <w:lang w:val="hy-AM"/>
        </w:rPr>
        <w:t xml:space="preserve"> </w:t>
      </w:r>
      <w:r w:rsidRPr="007955BB">
        <w:rPr>
          <w:rFonts w:cs="Sylfaen"/>
          <w:b w:val="0"/>
          <w:szCs w:val="22"/>
          <w:lang w:val="hy-AM"/>
        </w:rPr>
        <w:t>շահագործում</w:t>
      </w:r>
      <w:r w:rsidRPr="007955BB">
        <w:rPr>
          <w:b w:val="0"/>
          <w:szCs w:val="22"/>
          <w:lang w:val="hy-AM"/>
        </w:rPr>
        <w:t xml:space="preserve">` </w:t>
      </w:r>
      <w:r w:rsidRPr="007955BB">
        <w:rPr>
          <w:rFonts w:cs="Sylfaen"/>
          <w:b w:val="0"/>
          <w:szCs w:val="22"/>
          <w:lang w:val="hy-AM"/>
        </w:rPr>
        <w:t>ինչը</w:t>
      </w:r>
      <w:r w:rsidRPr="007955BB">
        <w:rPr>
          <w:b w:val="0"/>
          <w:szCs w:val="22"/>
          <w:lang w:val="hy-AM"/>
        </w:rPr>
        <w:t xml:space="preserve"> </w:t>
      </w:r>
      <w:r w:rsidRPr="007955BB">
        <w:rPr>
          <w:rFonts w:cs="Sylfaen"/>
          <w:b w:val="0"/>
          <w:szCs w:val="22"/>
          <w:lang w:val="hy-AM"/>
        </w:rPr>
        <w:t>կապահովի</w:t>
      </w:r>
      <w:r w:rsidRPr="007955BB">
        <w:rPr>
          <w:b w:val="0"/>
          <w:szCs w:val="22"/>
          <w:lang w:val="hy-AM"/>
        </w:rPr>
        <w:t xml:space="preserve"> </w:t>
      </w:r>
      <w:r w:rsidRPr="007955BB">
        <w:rPr>
          <w:rFonts w:cs="Sylfaen"/>
          <w:b w:val="0"/>
          <w:szCs w:val="22"/>
          <w:lang w:val="hy-AM"/>
        </w:rPr>
        <w:t>ճանապարհների</w:t>
      </w:r>
      <w:r w:rsidRPr="007955BB">
        <w:rPr>
          <w:b w:val="0"/>
          <w:szCs w:val="22"/>
          <w:lang w:val="hy-AM"/>
        </w:rPr>
        <w:t xml:space="preserve"> </w:t>
      </w:r>
      <w:r w:rsidRPr="007955BB">
        <w:rPr>
          <w:rFonts w:cs="Sylfaen"/>
          <w:b w:val="0"/>
          <w:szCs w:val="22"/>
          <w:lang w:val="hy-AM"/>
        </w:rPr>
        <w:t>և</w:t>
      </w:r>
      <w:r w:rsidRPr="007955BB">
        <w:rPr>
          <w:b w:val="0"/>
          <w:szCs w:val="22"/>
          <w:lang w:val="hy-AM"/>
        </w:rPr>
        <w:t xml:space="preserve"> </w:t>
      </w:r>
      <w:r w:rsidRPr="007955BB">
        <w:rPr>
          <w:rFonts w:cs="Sylfaen"/>
          <w:b w:val="0"/>
          <w:szCs w:val="22"/>
          <w:lang w:val="hy-AM"/>
        </w:rPr>
        <w:t>կառույցների</w:t>
      </w:r>
      <w:r w:rsidRPr="007955BB">
        <w:rPr>
          <w:b w:val="0"/>
          <w:szCs w:val="22"/>
          <w:lang w:val="hy-AM"/>
        </w:rPr>
        <w:t xml:space="preserve"> </w:t>
      </w:r>
      <w:r w:rsidRPr="007955BB">
        <w:rPr>
          <w:rFonts w:cs="Sylfaen"/>
          <w:b w:val="0"/>
          <w:szCs w:val="22"/>
          <w:lang w:val="hy-AM"/>
        </w:rPr>
        <w:t>պահպանվածությունն</w:t>
      </w:r>
      <w:r w:rsidRPr="007955BB">
        <w:rPr>
          <w:b w:val="0"/>
          <w:szCs w:val="22"/>
          <w:lang w:val="hy-AM"/>
        </w:rPr>
        <w:t xml:space="preserve"> </w:t>
      </w:r>
      <w:r w:rsidRPr="007955BB">
        <w:rPr>
          <w:rFonts w:cs="Sylfaen"/>
          <w:b w:val="0"/>
          <w:szCs w:val="22"/>
          <w:lang w:val="hy-AM"/>
        </w:rPr>
        <w:t>այնպիսի</w:t>
      </w:r>
      <w:r w:rsidRPr="007955BB">
        <w:rPr>
          <w:b w:val="0"/>
          <w:szCs w:val="22"/>
          <w:lang w:val="hy-AM"/>
        </w:rPr>
        <w:t xml:space="preserve"> </w:t>
      </w:r>
      <w:r w:rsidRPr="007955BB">
        <w:rPr>
          <w:rFonts w:cs="Sylfaen"/>
          <w:b w:val="0"/>
          <w:szCs w:val="22"/>
          <w:lang w:val="hy-AM"/>
        </w:rPr>
        <w:t>վիճակում</w:t>
      </w:r>
      <w:r w:rsidRPr="007955BB">
        <w:rPr>
          <w:b w:val="0"/>
          <w:szCs w:val="22"/>
          <w:lang w:val="hy-AM"/>
        </w:rPr>
        <w:t xml:space="preserve">, </w:t>
      </w:r>
      <w:r w:rsidRPr="007955BB">
        <w:rPr>
          <w:rFonts w:cs="Sylfaen"/>
          <w:b w:val="0"/>
          <w:szCs w:val="22"/>
          <w:lang w:val="hy-AM"/>
        </w:rPr>
        <w:t>որը</w:t>
      </w:r>
      <w:r w:rsidRPr="007955BB">
        <w:rPr>
          <w:b w:val="0"/>
          <w:szCs w:val="22"/>
          <w:lang w:val="hy-AM"/>
        </w:rPr>
        <w:t xml:space="preserve"> </w:t>
      </w:r>
      <w:r w:rsidRPr="007955BB">
        <w:rPr>
          <w:rFonts w:cs="Sylfaen"/>
          <w:b w:val="0"/>
          <w:szCs w:val="22"/>
          <w:lang w:val="hy-AM"/>
        </w:rPr>
        <w:t>համապատասխանում</w:t>
      </w:r>
      <w:r w:rsidRPr="007955BB">
        <w:rPr>
          <w:b w:val="0"/>
          <w:szCs w:val="22"/>
          <w:lang w:val="hy-AM"/>
        </w:rPr>
        <w:t xml:space="preserve"> </w:t>
      </w:r>
      <w:r w:rsidRPr="007955BB">
        <w:rPr>
          <w:rFonts w:cs="Sylfaen"/>
          <w:b w:val="0"/>
          <w:szCs w:val="22"/>
          <w:lang w:val="hy-AM"/>
        </w:rPr>
        <w:t>է</w:t>
      </w:r>
      <w:r w:rsidRPr="007955BB">
        <w:rPr>
          <w:b w:val="0"/>
          <w:szCs w:val="22"/>
          <w:lang w:val="hy-AM"/>
        </w:rPr>
        <w:t xml:space="preserve"> </w:t>
      </w:r>
      <w:r w:rsidRPr="007955BB">
        <w:rPr>
          <w:rFonts w:cs="Sylfaen"/>
          <w:b w:val="0"/>
          <w:szCs w:val="22"/>
          <w:lang w:val="hy-AM"/>
        </w:rPr>
        <w:t>անվտանգ</w:t>
      </w:r>
      <w:r w:rsidRPr="007955BB">
        <w:rPr>
          <w:b w:val="0"/>
          <w:szCs w:val="22"/>
          <w:lang w:val="hy-AM"/>
        </w:rPr>
        <w:t xml:space="preserve"> </w:t>
      </w:r>
      <w:r w:rsidRPr="007955BB">
        <w:rPr>
          <w:rFonts w:cs="Sylfaen"/>
          <w:b w:val="0"/>
          <w:szCs w:val="22"/>
          <w:lang w:val="hy-AM"/>
        </w:rPr>
        <w:t>և</w:t>
      </w:r>
      <w:r w:rsidRPr="007955BB">
        <w:rPr>
          <w:b w:val="0"/>
          <w:szCs w:val="22"/>
          <w:lang w:val="hy-AM"/>
        </w:rPr>
        <w:t xml:space="preserve"> </w:t>
      </w:r>
      <w:r w:rsidRPr="007955BB">
        <w:rPr>
          <w:rFonts w:cs="Sylfaen"/>
          <w:b w:val="0"/>
          <w:szCs w:val="22"/>
          <w:lang w:val="hy-AM"/>
        </w:rPr>
        <w:t>անխափան</w:t>
      </w:r>
      <w:r w:rsidRPr="007955BB">
        <w:rPr>
          <w:b w:val="0"/>
          <w:szCs w:val="22"/>
          <w:lang w:val="hy-AM"/>
        </w:rPr>
        <w:t xml:space="preserve"> </w:t>
      </w:r>
      <w:r w:rsidRPr="007955BB">
        <w:rPr>
          <w:rFonts w:cs="Sylfaen"/>
          <w:b w:val="0"/>
          <w:szCs w:val="22"/>
          <w:lang w:val="hy-AM"/>
        </w:rPr>
        <w:t>երթևեկության</w:t>
      </w:r>
      <w:r w:rsidRPr="007955BB">
        <w:rPr>
          <w:b w:val="0"/>
          <w:szCs w:val="22"/>
          <w:lang w:val="hy-AM"/>
        </w:rPr>
        <w:t xml:space="preserve"> </w:t>
      </w:r>
      <w:r w:rsidRPr="007955BB">
        <w:rPr>
          <w:rFonts w:cs="Sylfaen"/>
          <w:b w:val="0"/>
          <w:szCs w:val="22"/>
          <w:lang w:val="hy-AM"/>
        </w:rPr>
        <w:t>ապահովման</w:t>
      </w:r>
      <w:r w:rsidRPr="007955BB">
        <w:rPr>
          <w:b w:val="0"/>
          <w:szCs w:val="22"/>
          <w:lang w:val="hy-AM"/>
        </w:rPr>
        <w:t xml:space="preserve"> </w:t>
      </w:r>
      <w:r w:rsidRPr="007955BB">
        <w:rPr>
          <w:rFonts w:cs="Sylfaen"/>
          <w:b w:val="0"/>
          <w:szCs w:val="22"/>
          <w:lang w:val="hy-AM"/>
        </w:rPr>
        <w:t>պահանջներին</w:t>
      </w:r>
      <w:r w:rsidRPr="007955BB">
        <w:rPr>
          <w:b w:val="0"/>
          <w:szCs w:val="22"/>
          <w:lang w:val="hy-AM"/>
        </w:rPr>
        <w:t xml:space="preserve">: </w:t>
      </w:r>
    </w:p>
    <w:p w:rsidR="00EE79E5" w:rsidRPr="007955BB" w:rsidRDefault="00EE79E5" w:rsidP="00EE79E5">
      <w:pPr>
        <w:tabs>
          <w:tab w:val="left" w:pos="284"/>
          <w:tab w:val="left" w:pos="993"/>
        </w:tabs>
        <w:spacing w:before="0" w:line="276" w:lineRule="auto"/>
        <w:ind w:firstLine="709"/>
        <w:contextualSpacing w:val="0"/>
        <w:rPr>
          <w:b w:val="0"/>
          <w:szCs w:val="22"/>
          <w:lang w:val="hy-AM"/>
        </w:rPr>
      </w:pPr>
      <w:r w:rsidRPr="007955BB">
        <w:rPr>
          <w:b w:val="0"/>
          <w:szCs w:val="22"/>
          <w:lang w:val="hy-AM"/>
        </w:rPr>
        <w:t>2023թ.-ին վարկային և դրամաշնորհային միջոցների հաշվին կշարունակվի Հյուսիս-հարավ ճանապար</w:t>
      </w:r>
      <w:r w:rsidRPr="007955BB">
        <w:rPr>
          <w:b w:val="0"/>
          <w:szCs w:val="22"/>
          <w:lang w:val="hy-AM"/>
        </w:rPr>
        <w:softHyphen/>
        <w:t xml:space="preserve">հային միջանցքի վերակառուցման, ինչպես նաև կմեկնարկեն </w:t>
      </w:r>
      <w:r w:rsidRPr="007955BB">
        <w:rPr>
          <w:rFonts w:cs="Sylfaen"/>
          <w:b w:val="0"/>
          <w:szCs w:val="22"/>
          <w:lang w:val="hy-AM"/>
        </w:rPr>
        <w:t>Քաջարան-Ագարակ, Սիսիան-Քաջարան և Քաջարանի թունել տանող ճանապարհահատվածների հողերի օտարման և վերակառուցման աշխատանքները</w:t>
      </w:r>
      <w:r w:rsidRPr="007955BB">
        <w:rPr>
          <w:b w:val="0"/>
          <w:szCs w:val="22"/>
          <w:lang w:val="hy-AM"/>
        </w:rPr>
        <w:t>։</w:t>
      </w:r>
    </w:p>
    <w:p w:rsidR="005F226A" w:rsidRPr="007955BB" w:rsidRDefault="005F226A" w:rsidP="005F226A">
      <w:pPr>
        <w:tabs>
          <w:tab w:val="left" w:pos="284"/>
          <w:tab w:val="left" w:pos="993"/>
        </w:tabs>
        <w:spacing w:before="0" w:line="276" w:lineRule="auto"/>
        <w:ind w:firstLine="709"/>
        <w:rPr>
          <w:rFonts w:cs="Arial"/>
          <w:szCs w:val="22"/>
          <w:lang w:val="hy-AM" w:eastAsia="en-US"/>
        </w:rPr>
      </w:pPr>
    </w:p>
    <w:p w:rsidR="005F226A" w:rsidRPr="007955BB" w:rsidRDefault="005F226A" w:rsidP="005F226A">
      <w:pPr>
        <w:keepNext/>
        <w:tabs>
          <w:tab w:val="left" w:pos="360"/>
        </w:tabs>
        <w:spacing w:before="0" w:line="276" w:lineRule="auto"/>
        <w:ind w:firstLine="426"/>
        <w:contextualSpacing w:val="0"/>
        <w:outlineLvl w:val="2"/>
        <w:rPr>
          <w:rFonts w:cs="Arial"/>
          <w:szCs w:val="22"/>
          <w:lang w:val="hy-AM" w:eastAsia="en-US"/>
        </w:rPr>
      </w:pPr>
      <w:bookmarkStart w:id="18" w:name="_Toc83567435"/>
      <w:bookmarkStart w:id="19" w:name="_Toc120805163"/>
      <w:r w:rsidRPr="007955BB">
        <w:rPr>
          <w:rFonts w:cs="Arial"/>
          <w:szCs w:val="22"/>
          <w:lang w:val="hy-AM" w:eastAsia="en-US"/>
        </w:rPr>
        <w:t>Էներգետիկա</w:t>
      </w:r>
      <w:bookmarkEnd w:id="18"/>
      <w:bookmarkEnd w:id="19"/>
    </w:p>
    <w:p w:rsidR="00FD510E" w:rsidRPr="007955BB" w:rsidRDefault="00FD510E" w:rsidP="00770E92">
      <w:pPr>
        <w:tabs>
          <w:tab w:val="left" w:pos="284"/>
        </w:tabs>
        <w:spacing w:before="0" w:line="276" w:lineRule="auto"/>
        <w:ind w:firstLine="737"/>
        <w:rPr>
          <w:rFonts w:eastAsia="Calibri"/>
          <w:b w:val="0"/>
          <w:szCs w:val="22"/>
          <w:lang w:val="hy-AM" w:eastAsia="en-US"/>
        </w:rPr>
      </w:pPr>
      <w:r w:rsidRPr="007955BB">
        <w:rPr>
          <w:rFonts w:eastAsia="Calibri"/>
          <w:b w:val="0"/>
          <w:szCs w:val="22"/>
          <w:lang w:val="hy-AM" w:eastAsia="en-US"/>
        </w:rPr>
        <w:t xml:space="preserve">Էներգետիկայի բնագավառում իրականացվող պետական քաղաքականությունն ուղղված է լինելու էներգետիկ անկախության ու անվտանգության մակարդակի բարձրացմանը, սպառողներին էլեկտրաէներգիայի և գազի հուսալի ու որակյալ մատակարարման ապահովմանը։ </w:t>
      </w:r>
    </w:p>
    <w:p w:rsidR="00FD510E" w:rsidRPr="007955BB" w:rsidRDefault="00FD510E" w:rsidP="00770E92">
      <w:pPr>
        <w:tabs>
          <w:tab w:val="left" w:pos="284"/>
        </w:tabs>
        <w:spacing w:before="0" w:line="276" w:lineRule="auto"/>
        <w:ind w:firstLine="737"/>
        <w:rPr>
          <w:rFonts w:eastAsia="Calibri"/>
          <w:b w:val="0"/>
          <w:szCs w:val="22"/>
          <w:lang w:val="ro-RO" w:eastAsia="en-US"/>
        </w:rPr>
      </w:pPr>
      <w:r w:rsidRPr="007955BB">
        <w:rPr>
          <w:rFonts w:eastAsia="Calibri"/>
          <w:b w:val="0"/>
          <w:szCs w:val="22"/>
          <w:lang w:val="hy-AM" w:eastAsia="en-US"/>
        </w:rPr>
        <w:t>Է</w:t>
      </w:r>
      <w:r w:rsidRPr="007955BB">
        <w:rPr>
          <w:rFonts w:eastAsia="Calibri"/>
          <w:b w:val="0"/>
          <w:szCs w:val="22"/>
          <w:lang w:val="ro-RO" w:eastAsia="en-US"/>
        </w:rPr>
        <w:t xml:space="preserve">ներգետիկայի </w:t>
      </w:r>
      <w:r w:rsidRPr="007955BB">
        <w:rPr>
          <w:rFonts w:eastAsia="Calibri"/>
          <w:b w:val="0"/>
          <w:szCs w:val="22"/>
          <w:lang w:val="hy-AM" w:eastAsia="en-US"/>
        </w:rPr>
        <w:t xml:space="preserve">բնագավառի </w:t>
      </w:r>
      <w:r w:rsidRPr="007955BB">
        <w:rPr>
          <w:rFonts w:eastAsia="Calibri"/>
          <w:b w:val="0"/>
          <w:szCs w:val="22"/>
          <w:lang w:val="ro-RO" w:eastAsia="en-US"/>
        </w:rPr>
        <w:t xml:space="preserve">կայուն </w:t>
      </w:r>
      <w:r w:rsidRPr="007955BB">
        <w:rPr>
          <w:rFonts w:eastAsia="Calibri"/>
          <w:b w:val="0"/>
          <w:szCs w:val="22"/>
          <w:lang w:val="hy-AM" w:eastAsia="en-US"/>
        </w:rPr>
        <w:t>զարգացման հիմնարար ուղղություններն են լինելու` վերականգնվող էներգետիկ ներուժի տնտեսապես հիմնավորված, արդյունավետ</w:t>
      </w:r>
      <w:r w:rsidRPr="007955BB">
        <w:rPr>
          <w:rFonts w:eastAsia="Calibri"/>
          <w:b w:val="0"/>
          <w:szCs w:val="22"/>
          <w:lang w:val="ro-RO" w:eastAsia="en-US"/>
        </w:rPr>
        <w:t xml:space="preserve"> և պատասխանատու օգտագործումը, ատոմային էներգետիկայի </w:t>
      </w:r>
      <w:r w:rsidRPr="007955BB">
        <w:rPr>
          <w:rFonts w:eastAsia="Calibri"/>
          <w:b w:val="0"/>
          <w:szCs w:val="22"/>
          <w:lang w:val="hy-AM" w:eastAsia="en-US"/>
        </w:rPr>
        <w:t xml:space="preserve">խաղաղ նպատակներով </w:t>
      </w:r>
      <w:r w:rsidRPr="007955BB">
        <w:rPr>
          <w:rFonts w:eastAsia="Calibri"/>
          <w:b w:val="0"/>
          <w:szCs w:val="22"/>
          <w:lang w:val="ro-RO" w:eastAsia="en-US"/>
        </w:rPr>
        <w:t>զարգացումը</w:t>
      </w:r>
      <w:r w:rsidRPr="007955BB">
        <w:rPr>
          <w:rFonts w:eastAsia="Calibri"/>
          <w:b w:val="0"/>
          <w:szCs w:val="22"/>
          <w:lang w:val="hy-AM" w:eastAsia="en-US"/>
        </w:rPr>
        <w:t xml:space="preserve">, արտահանման կողմնորոշում ունեցող կայուն ու հուսալի էներգահամակարգի կառուցումը, ժամանակակից տեխնոլոգիաներով հագեցած նոր արտադրող հզորությունների ստեղծումը, </w:t>
      </w:r>
      <w:r w:rsidRPr="007955BB">
        <w:rPr>
          <w:rFonts w:eastAsia="Calibri"/>
          <w:b w:val="0"/>
          <w:szCs w:val="22"/>
          <w:lang w:val="ro-RO" w:eastAsia="en-US"/>
        </w:rPr>
        <w:t>էլեկտրաէներգետիկական համակարգի տարածաշրջանային ինտեգրումը, էներգակիրների մատակարարման ուղիների և ձևերի տարատեսակեցումը, էներգաարդյունավետության և էներգախնայողության միջոցառումների ներդնումը, թվային էներգետիկայի վերափոխումը։</w:t>
      </w:r>
    </w:p>
    <w:p w:rsidR="00FD510E" w:rsidRPr="007955BB" w:rsidRDefault="00FD510E" w:rsidP="00770E92">
      <w:pPr>
        <w:spacing w:before="0" w:line="276" w:lineRule="auto"/>
        <w:ind w:firstLine="737"/>
        <w:contextualSpacing w:val="0"/>
        <w:rPr>
          <w:rFonts w:eastAsia="Calibri"/>
          <w:b w:val="0"/>
          <w:szCs w:val="22"/>
          <w:lang w:val="hy-AM" w:eastAsia="en-US"/>
        </w:rPr>
      </w:pPr>
      <w:r w:rsidRPr="007955BB">
        <w:rPr>
          <w:rFonts w:eastAsia="Calibri"/>
          <w:b w:val="0"/>
          <w:szCs w:val="22"/>
          <w:lang w:val="ro-RO" w:eastAsia="en-US"/>
        </w:rPr>
        <w:t>2023 թվականի</w:t>
      </w:r>
      <w:r w:rsidRPr="007955BB">
        <w:rPr>
          <w:rFonts w:eastAsia="Calibri"/>
          <w:b w:val="0"/>
          <w:szCs w:val="22"/>
          <w:lang w:eastAsia="en-US"/>
        </w:rPr>
        <w:t>ն</w:t>
      </w:r>
      <w:r w:rsidRPr="007955BB">
        <w:rPr>
          <w:rFonts w:eastAsia="Calibri"/>
          <w:b w:val="0"/>
          <w:szCs w:val="22"/>
          <w:lang w:val="ro-RO" w:eastAsia="en-US"/>
        </w:rPr>
        <w:t xml:space="preserve"> </w:t>
      </w:r>
      <w:r w:rsidRPr="007955BB">
        <w:rPr>
          <w:rFonts w:eastAsia="Calibri"/>
          <w:b w:val="0"/>
          <w:szCs w:val="22"/>
          <w:lang w:eastAsia="en-US"/>
        </w:rPr>
        <w:t>կ</w:t>
      </w:r>
      <w:r w:rsidRPr="007955BB">
        <w:rPr>
          <w:rFonts w:eastAsia="Calibri"/>
          <w:b w:val="0"/>
          <w:szCs w:val="22"/>
          <w:lang w:val="hy-AM" w:eastAsia="en-US"/>
        </w:rPr>
        <w:t>շարունակվեն աշխատանքները Եվրասիական տնտեսական միության էլեկտրաէներգետիկական ընդհանուր շուկայի և գազի ընդհանուր շուկայի ձևավորմանն ուղղված աշխատանքները։</w:t>
      </w:r>
    </w:p>
    <w:p w:rsidR="00FD510E" w:rsidRPr="007955BB" w:rsidRDefault="00FD510E" w:rsidP="00770E92">
      <w:pPr>
        <w:spacing w:before="0" w:line="276" w:lineRule="auto"/>
        <w:ind w:firstLine="737"/>
        <w:contextualSpacing w:val="0"/>
        <w:rPr>
          <w:b w:val="0"/>
          <w:szCs w:val="22"/>
          <w:lang w:val="ro-RO"/>
        </w:rPr>
      </w:pPr>
      <w:r w:rsidRPr="007955BB">
        <w:rPr>
          <w:b w:val="0"/>
          <w:szCs w:val="22"/>
          <w:lang w:val="ro-RO"/>
        </w:rPr>
        <w:t xml:space="preserve">Կշարունակվեն </w:t>
      </w:r>
      <w:r w:rsidRPr="007955BB">
        <w:rPr>
          <w:b w:val="0"/>
          <w:szCs w:val="22"/>
          <w:lang w:val="hy-AM"/>
        </w:rPr>
        <w:t xml:space="preserve">ԱՅԳ-1 200 ՄՎտ հզորությամբ և </w:t>
      </w:r>
      <w:r w:rsidRPr="007955BB">
        <w:rPr>
          <w:b w:val="0"/>
          <w:szCs w:val="22"/>
          <w:lang w:val="ro-RO"/>
        </w:rPr>
        <w:t xml:space="preserve">Մասրիկ-1 55 ՄՎտ հզորությամբ արդյունաբերական մասշտաբի արևային ֆոտովոլտային կայանի կառուցման աշխատանքները: </w:t>
      </w:r>
    </w:p>
    <w:p w:rsidR="00FD510E" w:rsidRPr="007955BB" w:rsidRDefault="00FD510E" w:rsidP="00770E92">
      <w:pPr>
        <w:spacing w:before="0" w:line="276" w:lineRule="auto"/>
        <w:ind w:firstLine="737"/>
        <w:contextualSpacing w:val="0"/>
        <w:rPr>
          <w:b w:val="0"/>
          <w:szCs w:val="22"/>
          <w:lang w:val="hy-AM"/>
        </w:rPr>
      </w:pPr>
      <w:r w:rsidRPr="007955BB">
        <w:rPr>
          <w:b w:val="0"/>
          <w:szCs w:val="22"/>
          <w:lang w:val="ro-RO"/>
        </w:rPr>
        <w:t xml:space="preserve">Կավարտվեն Հայկական ԱԷԿ-ի երկրորդ էներգաբլոկի շահագործման նախագծային ժամկետի երկարաձգման արդիականացման աշխատանքները` ապահովելու Հայկական ԱԷԿ-ի </w:t>
      </w:r>
      <w:r w:rsidRPr="007955BB">
        <w:rPr>
          <w:b w:val="0"/>
          <w:szCs w:val="22"/>
          <w:lang w:val="hy-AM"/>
        </w:rPr>
        <w:t>աշխատանքը մինչև 2026 թվականը, որից հետո լրացուցիչ ներդրումներ կարվեն ատոմային էլեկտրակայանի երկրորդ էներգաբլոկի շահագործման ժամկետը ևս 10 տարով մինչև 2036թ</w:t>
      </w:r>
      <w:r w:rsidRPr="007955BB">
        <w:rPr>
          <w:rFonts w:ascii="Cambria Math" w:hAnsi="Cambria Math" w:cs="Cambria Math"/>
          <w:b w:val="0"/>
          <w:szCs w:val="22"/>
          <w:lang w:val="hy-AM"/>
        </w:rPr>
        <w:t>․</w:t>
      </w:r>
      <w:r w:rsidRPr="007955BB">
        <w:rPr>
          <w:rFonts w:cs="Cambria Math"/>
          <w:b w:val="0"/>
          <w:szCs w:val="22"/>
          <w:lang w:val="ro-RO"/>
        </w:rPr>
        <w:t xml:space="preserve"> </w:t>
      </w:r>
      <w:r w:rsidRPr="007955BB">
        <w:rPr>
          <w:b w:val="0"/>
          <w:szCs w:val="22"/>
          <w:lang w:val="hy-AM"/>
        </w:rPr>
        <w:t>երկարաձգելու նպատակով։ Հայաստանում միջուկային նոր էներգաբլոկի կառուցման նպատակով կիրականացվեն</w:t>
      </w:r>
      <w:r w:rsidRPr="007955BB">
        <w:rPr>
          <w:rFonts w:eastAsia="Calibri"/>
          <w:b w:val="0"/>
          <w:szCs w:val="22"/>
          <w:lang w:val="hy-AM" w:eastAsia="en-US"/>
        </w:rPr>
        <w:t xml:space="preserve"> </w:t>
      </w:r>
      <w:r w:rsidRPr="007955BB">
        <w:rPr>
          <w:b w:val="0"/>
          <w:szCs w:val="22"/>
          <w:lang w:val="hy-AM"/>
        </w:rPr>
        <w:t>տեխնիկատնտեսական հիմնավորման մշակման աշխատանքները:</w:t>
      </w:r>
    </w:p>
    <w:p w:rsidR="00FD510E" w:rsidRPr="007955BB" w:rsidRDefault="00FD510E" w:rsidP="00770E92">
      <w:pPr>
        <w:spacing w:before="0" w:line="276" w:lineRule="auto"/>
        <w:ind w:firstLine="630"/>
        <w:contextualSpacing w:val="0"/>
        <w:rPr>
          <w:b w:val="0"/>
          <w:iCs/>
          <w:szCs w:val="22"/>
          <w:lang w:val="hy-AM"/>
        </w:rPr>
      </w:pPr>
      <w:r w:rsidRPr="007955BB">
        <w:rPr>
          <w:b w:val="0"/>
          <w:iCs/>
          <w:szCs w:val="22"/>
          <w:lang w:val="hy-AM"/>
        </w:rPr>
        <w:t>Կշարունակվեն էներգետիկայի ոլորտում ՀՀ օրենսդրության մոտարկման աշխատանքները ՀՀ-ԵՄ Հ</w:t>
      </w:r>
      <w:r w:rsidR="00306D71" w:rsidRPr="007955BB">
        <w:rPr>
          <w:b w:val="0"/>
          <w:iCs/>
          <w:szCs w:val="22"/>
          <w:lang w:val="hy-AM"/>
        </w:rPr>
        <w:t xml:space="preserve">ամապարփակ Ընդլայնված </w:t>
      </w:r>
      <w:r w:rsidRPr="007955BB">
        <w:rPr>
          <w:b w:val="0"/>
          <w:iCs/>
          <w:szCs w:val="22"/>
          <w:lang w:val="hy-AM"/>
        </w:rPr>
        <w:t>Գ</w:t>
      </w:r>
      <w:r w:rsidR="00306D71" w:rsidRPr="007955BB">
        <w:rPr>
          <w:b w:val="0"/>
          <w:iCs/>
          <w:szCs w:val="22"/>
          <w:lang w:val="hy-AM"/>
        </w:rPr>
        <w:t xml:space="preserve">ործընկերության </w:t>
      </w:r>
      <w:r w:rsidR="00306D71" w:rsidRPr="007955BB">
        <w:rPr>
          <w:rFonts w:cs="Arial Armenian"/>
          <w:b w:val="0"/>
          <w:bCs/>
          <w:szCs w:val="22"/>
          <w:lang w:val="hy-AM"/>
        </w:rPr>
        <w:t>(ՀԸ</w:t>
      </w:r>
      <w:r w:rsidR="00306D71" w:rsidRPr="007955BB">
        <w:rPr>
          <w:rFonts w:cs="Sylfaen"/>
          <w:b w:val="0"/>
          <w:bCs/>
          <w:szCs w:val="22"/>
          <w:lang w:val="hy-AM"/>
        </w:rPr>
        <w:t>Գ</w:t>
      </w:r>
      <w:r w:rsidR="00306D71" w:rsidRPr="007955BB">
        <w:rPr>
          <w:rFonts w:cs="Arial Armenian"/>
          <w:b w:val="0"/>
          <w:bCs/>
          <w:szCs w:val="22"/>
          <w:lang w:val="hy-AM"/>
        </w:rPr>
        <w:t xml:space="preserve">) </w:t>
      </w:r>
      <w:r w:rsidRPr="007955BB">
        <w:rPr>
          <w:b w:val="0"/>
          <w:iCs/>
          <w:szCs w:val="22"/>
          <w:lang w:val="hy-AM"/>
        </w:rPr>
        <w:t xml:space="preserve"> համաձայնագրով նախատեսված հրահանգների և կանոնակարգերին։</w:t>
      </w:r>
    </w:p>
    <w:p w:rsidR="00FD510E" w:rsidRPr="007955BB" w:rsidRDefault="00FD510E" w:rsidP="00770E92">
      <w:pPr>
        <w:spacing w:before="0" w:line="276" w:lineRule="auto"/>
        <w:ind w:firstLine="630"/>
        <w:contextualSpacing w:val="0"/>
        <w:rPr>
          <w:b w:val="0"/>
          <w:iCs/>
          <w:szCs w:val="22"/>
          <w:lang w:val="hy-AM"/>
        </w:rPr>
      </w:pPr>
      <w:r w:rsidRPr="007955BB">
        <w:rPr>
          <w:b w:val="0"/>
          <w:iCs/>
          <w:szCs w:val="22"/>
          <w:lang w:val="hy-AM"/>
        </w:rPr>
        <w:t>Կշարունակվի Էներգարդյունավետ վերանորոգման պետական ծրագիրը՝ ուղղված քաղաքացիների բարեկեցության բարձրացմանը, կենսապայմանների բարելավմանը և էներգարդյունավետության ու էներգախնայողության տարածմանը։</w:t>
      </w:r>
    </w:p>
    <w:p w:rsidR="00764708" w:rsidRPr="007955BB" w:rsidRDefault="00764708" w:rsidP="005E077B">
      <w:pPr>
        <w:spacing w:before="0" w:line="276" w:lineRule="auto"/>
        <w:contextualSpacing w:val="0"/>
        <w:rPr>
          <w:b w:val="0"/>
          <w:bCs/>
          <w:szCs w:val="22"/>
          <w:lang w:val="hy-AM"/>
        </w:rPr>
      </w:pPr>
      <w:r w:rsidRPr="007955BB">
        <w:rPr>
          <w:rFonts w:cs="Sylfaen"/>
          <w:bCs/>
          <w:szCs w:val="22"/>
          <w:lang w:val="hy-AM"/>
        </w:rPr>
        <w:t>Միջուկային</w:t>
      </w:r>
      <w:r w:rsidRPr="007955BB">
        <w:rPr>
          <w:rFonts w:cs="Arial Armenian"/>
          <w:bCs/>
          <w:szCs w:val="22"/>
          <w:lang w:val="hy-AM"/>
        </w:rPr>
        <w:t xml:space="preserve"> </w:t>
      </w:r>
      <w:r w:rsidRPr="007955BB">
        <w:rPr>
          <w:rFonts w:cs="Sylfaen"/>
          <w:bCs/>
          <w:szCs w:val="22"/>
          <w:lang w:val="hy-AM"/>
        </w:rPr>
        <w:t>օրենսդրության</w:t>
      </w:r>
      <w:r w:rsidRPr="007955BB">
        <w:rPr>
          <w:rFonts w:cs="Arial Armenian"/>
          <w:bCs/>
          <w:szCs w:val="22"/>
          <w:lang w:val="hy-AM"/>
        </w:rPr>
        <w:t xml:space="preserve">, </w:t>
      </w:r>
      <w:r w:rsidRPr="007955BB">
        <w:rPr>
          <w:rFonts w:cs="Sylfaen"/>
          <w:bCs/>
          <w:szCs w:val="22"/>
          <w:lang w:val="hy-AM"/>
        </w:rPr>
        <w:t>միջուկային</w:t>
      </w:r>
      <w:r w:rsidRPr="007955BB">
        <w:rPr>
          <w:rFonts w:cs="Arial Armenian"/>
          <w:bCs/>
          <w:szCs w:val="22"/>
          <w:lang w:val="hy-AM"/>
        </w:rPr>
        <w:t xml:space="preserve"> </w:t>
      </w:r>
      <w:r w:rsidRPr="007955BB">
        <w:rPr>
          <w:rFonts w:cs="Sylfaen"/>
          <w:bCs/>
          <w:szCs w:val="22"/>
          <w:lang w:val="hy-AM"/>
        </w:rPr>
        <w:t>ու</w:t>
      </w:r>
      <w:r w:rsidRPr="007955BB">
        <w:rPr>
          <w:rFonts w:cs="Arial Armenian"/>
          <w:bCs/>
          <w:szCs w:val="22"/>
          <w:lang w:val="hy-AM"/>
        </w:rPr>
        <w:t xml:space="preserve"> </w:t>
      </w:r>
      <w:r w:rsidRPr="007955BB">
        <w:rPr>
          <w:rFonts w:cs="Sylfaen"/>
          <w:bCs/>
          <w:szCs w:val="22"/>
          <w:lang w:val="hy-AM"/>
        </w:rPr>
        <w:t>ռադիացիոն</w:t>
      </w:r>
      <w:r w:rsidRPr="007955BB">
        <w:rPr>
          <w:rFonts w:cs="Arial Armenian"/>
          <w:bCs/>
          <w:szCs w:val="22"/>
          <w:lang w:val="hy-AM"/>
        </w:rPr>
        <w:t xml:space="preserve"> </w:t>
      </w:r>
      <w:r w:rsidRPr="007955BB">
        <w:rPr>
          <w:rFonts w:cs="Sylfaen"/>
          <w:bCs/>
          <w:szCs w:val="22"/>
          <w:lang w:val="hy-AM"/>
        </w:rPr>
        <w:t>անվտանգության</w:t>
      </w:r>
      <w:r w:rsidRPr="007955BB">
        <w:rPr>
          <w:rFonts w:cs="Arial Armenian"/>
          <w:b w:val="0"/>
          <w:bCs/>
          <w:szCs w:val="22"/>
          <w:lang w:val="hy-AM"/>
        </w:rPr>
        <w:t xml:space="preserve">  </w:t>
      </w:r>
      <w:r w:rsidRPr="007955BB">
        <w:rPr>
          <w:rFonts w:cs="Sylfaen"/>
          <w:b w:val="0"/>
          <w:bCs/>
          <w:szCs w:val="22"/>
          <w:lang w:val="hy-AM"/>
        </w:rPr>
        <w:t>կարգավորման</w:t>
      </w:r>
      <w:r w:rsidRPr="007955BB">
        <w:rPr>
          <w:rFonts w:cs="Arial Armenian"/>
          <w:b w:val="0"/>
          <w:bCs/>
          <w:szCs w:val="22"/>
          <w:lang w:val="hy-AM"/>
        </w:rPr>
        <w:t xml:space="preserve"> </w:t>
      </w:r>
      <w:r w:rsidRPr="007955BB">
        <w:rPr>
          <w:rFonts w:cs="Sylfaen"/>
          <w:b w:val="0"/>
          <w:bCs/>
          <w:szCs w:val="22"/>
          <w:lang w:val="hy-AM"/>
        </w:rPr>
        <w:t>համակարգի</w:t>
      </w:r>
      <w:r w:rsidRPr="007955BB">
        <w:rPr>
          <w:rFonts w:cs="Arial Armenian"/>
          <w:b w:val="0"/>
          <w:bCs/>
          <w:szCs w:val="22"/>
          <w:lang w:val="hy-AM"/>
        </w:rPr>
        <w:t xml:space="preserve"> </w:t>
      </w:r>
      <w:r w:rsidRPr="007955BB">
        <w:rPr>
          <w:rFonts w:cs="Sylfaen"/>
          <w:b w:val="0"/>
          <w:bCs/>
          <w:szCs w:val="22"/>
          <w:lang w:val="hy-AM"/>
        </w:rPr>
        <w:t>առաջնահերթ</w:t>
      </w:r>
      <w:r w:rsidRPr="007955BB">
        <w:rPr>
          <w:rFonts w:cs="Arial Armenian"/>
          <w:b w:val="0"/>
          <w:bCs/>
          <w:szCs w:val="22"/>
          <w:lang w:val="hy-AM"/>
        </w:rPr>
        <w:t xml:space="preserve"> </w:t>
      </w:r>
      <w:r w:rsidRPr="007955BB">
        <w:rPr>
          <w:rFonts w:cs="Sylfaen"/>
          <w:b w:val="0"/>
          <w:bCs/>
          <w:szCs w:val="22"/>
          <w:lang w:val="hy-AM"/>
        </w:rPr>
        <w:t>ուղղություններն են</w:t>
      </w:r>
      <w:r w:rsidRPr="007955BB">
        <w:rPr>
          <w:rFonts w:cs="Arial Armenian"/>
          <w:b w:val="0"/>
          <w:bCs/>
          <w:szCs w:val="22"/>
          <w:lang w:val="hy-AM"/>
        </w:rPr>
        <w:t>.</w:t>
      </w:r>
    </w:p>
    <w:p w:rsidR="00764708" w:rsidRPr="007955BB" w:rsidRDefault="00F1351F" w:rsidP="00F04DA1">
      <w:pPr>
        <w:numPr>
          <w:ilvl w:val="0"/>
          <w:numId w:val="49"/>
        </w:numPr>
        <w:spacing w:before="0" w:line="276" w:lineRule="auto"/>
        <w:ind w:left="0" w:firstLine="360"/>
        <w:contextualSpacing w:val="0"/>
        <w:rPr>
          <w:rFonts w:cs="Sylfaen"/>
          <w:b w:val="0"/>
          <w:bCs/>
          <w:szCs w:val="22"/>
          <w:lang w:val="hy-AM"/>
        </w:rPr>
      </w:pPr>
      <w:r w:rsidRPr="007955BB">
        <w:rPr>
          <w:rFonts w:cs="Sylfaen"/>
          <w:b w:val="0"/>
          <w:bCs/>
          <w:szCs w:val="22"/>
          <w:lang w:val="hy-AM"/>
        </w:rPr>
        <w:t xml:space="preserve"> </w:t>
      </w:r>
      <w:r w:rsidR="00764708" w:rsidRPr="007955BB">
        <w:rPr>
          <w:rFonts w:cs="Sylfaen"/>
          <w:b w:val="0"/>
          <w:bCs/>
          <w:szCs w:val="22"/>
          <w:lang w:val="hy-AM"/>
        </w:rPr>
        <w:t>ՀՀ</w:t>
      </w:r>
      <w:r w:rsidR="00764708" w:rsidRPr="007955BB">
        <w:rPr>
          <w:rFonts w:cs="Arial Armenian"/>
          <w:b w:val="0"/>
          <w:bCs/>
          <w:szCs w:val="22"/>
          <w:lang w:val="hy-AM"/>
        </w:rPr>
        <w:t xml:space="preserve"> </w:t>
      </w:r>
      <w:r w:rsidR="00764708" w:rsidRPr="007955BB">
        <w:rPr>
          <w:rFonts w:cs="Sylfaen"/>
          <w:b w:val="0"/>
          <w:bCs/>
          <w:szCs w:val="22"/>
          <w:lang w:val="hy-AM"/>
        </w:rPr>
        <w:t>միջուկային</w:t>
      </w:r>
      <w:r w:rsidR="00764708" w:rsidRPr="007955BB">
        <w:rPr>
          <w:rFonts w:cs="Arial Armenian"/>
          <w:b w:val="0"/>
          <w:bCs/>
          <w:szCs w:val="22"/>
          <w:lang w:val="hy-AM"/>
        </w:rPr>
        <w:t xml:space="preserve"> </w:t>
      </w:r>
      <w:r w:rsidR="00764708" w:rsidRPr="007955BB">
        <w:rPr>
          <w:rFonts w:cs="Sylfaen"/>
          <w:b w:val="0"/>
          <w:bCs/>
          <w:szCs w:val="22"/>
          <w:lang w:val="hy-AM"/>
        </w:rPr>
        <w:t>օրենսդրության</w:t>
      </w:r>
      <w:r w:rsidR="00764708" w:rsidRPr="007955BB">
        <w:rPr>
          <w:rFonts w:cs="Arial Armenian"/>
          <w:b w:val="0"/>
          <w:bCs/>
          <w:szCs w:val="22"/>
          <w:lang w:val="hy-AM"/>
        </w:rPr>
        <w:t xml:space="preserve"> </w:t>
      </w:r>
      <w:r w:rsidR="00764708" w:rsidRPr="007955BB">
        <w:rPr>
          <w:rFonts w:cs="Sylfaen"/>
          <w:b w:val="0"/>
          <w:bCs/>
          <w:szCs w:val="22"/>
          <w:lang w:val="hy-AM"/>
        </w:rPr>
        <w:t>համապատասխանեցումը</w:t>
      </w:r>
      <w:r w:rsidR="00764708" w:rsidRPr="007955BB">
        <w:rPr>
          <w:rFonts w:cs="Arial Armenian"/>
          <w:b w:val="0"/>
          <w:bCs/>
          <w:szCs w:val="22"/>
          <w:lang w:val="hy-AM"/>
        </w:rPr>
        <w:t xml:space="preserve"> </w:t>
      </w:r>
      <w:r w:rsidR="00764708" w:rsidRPr="007955BB">
        <w:rPr>
          <w:rFonts w:cs="Sylfaen"/>
          <w:b w:val="0"/>
          <w:bCs/>
          <w:szCs w:val="22"/>
          <w:lang w:val="hy-AM"/>
        </w:rPr>
        <w:t>Ատոմային</w:t>
      </w:r>
      <w:r w:rsidR="00764708" w:rsidRPr="007955BB">
        <w:rPr>
          <w:rFonts w:cs="Arial Armenian"/>
          <w:b w:val="0"/>
          <w:bCs/>
          <w:szCs w:val="22"/>
          <w:lang w:val="hy-AM"/>
        </w:rPr>
        <w:t xml:space="preserve"> </w:t>
      </w:r>
      <w:r w:rsidR="00764708" w:rsidRPr="007955BB">
        <w:rPr>
          <w:rFonts w:cs="Sylfaen"/>
          <w:b w:val="0"/>
          <w:bCs/>
          <w:szCs w:val="22"/>
          <w:lang w:val="hy-AM"/>
        </w:rPr>
        <w:t>էներգիայի</w:t>
      </w:r>
      <w:r w:rsidR="00764708" w:rsidRPr="007955BB">
        <w:rPr>
          <w:rFonts w:cs="Arial Armenian"/>
          <w:b w:val="0"/>
          <w:bCs/>
          <w:szCs w:val="22"/>
          <w:lang w:val="hy-AM"/>
        </w:rPr>
        <w:t xml:space="preserve"> </w:t>
      </w:r>
      <w:r w:rsidR="00764708" w:rsidRPr="007955BB">
        <w:rPr>
          <w:rFonts w:cs="Sylfaen"/>
          <w:b w:val="0"/>
          <w:bCs/>
          <w:szCs w:val="22"/>
          <w:lang w:val="hy-AM"/>
        </w:rPr>
        <w:t>միջազգային</w:t>
      </w:r>
      <w:r w:rsidR="00764708" w:rsidRPr="007955BB">
        <w:rPr>
          <w:rFonts w:cs="Arial Armenian"/>
          <w:b w:val="0"/>
          <w:bCs/>
          <w:szCs w:val="22"/>
          <w:lang w:val="hy-AM"/>
        </w:rPr>
        <w:t xml:space="preserve"> </w:t>
      </w:r>
      <w:r w:rsidR="00764708" w:rsidRPr="007955BB">
        <w:rPr>
          <w:rFonts w:cs="Sylfaen"/>
          <w:b w:val="0"/>
          <w:bCs/>
          <w:szCs w:val="22"/>
          <w:lang w:val="hy-AM"/>
        </w:rPr>
        <w:t>գործակալության</w:t>
      </w:r>
      <w:r w:rsidR="00764708" w:rsidRPr="007955BB">
        <w:rPr>
          <w:rFonts w:cs="Arial Armenian"/>
          <w:b w:val="0"/>
          <w:bCs/>
          <w:szCs w:val="22"/>
          <w:lang w:val="hy-AM"/>
        </w:rPr>
        <w:t xml:space="preserve"> (</w:t>
      </w:r>
      <w:r w:rsidR="00764708" w:rsidRPr="007955BB">
        <w:rPr>
          <w:rFonts w:cs="Sylfaen"/>
          <w:b w:val="0"/>
          <w:bCs/>
          <w:szCs w:val="22"/>
          <w:lang w:val="hy-AM"/>
        </w:rPr>
        <w:t>ԱԷՄԳ</w:t>
      </w:r>
      <w:r w:rsidR="00764708" w:rsidRPr="007955BB">
        <w:rPr>
          <w:rFonts w:cs="Arial Armenian"/>
          <w:b w:val="0"/>
          <w:bCs/>
          <w:szCs w:val="22"/>
          <w:lang w:val="hy-AM"/>
        </w:rPr>
        <w:t xml:space="preserve">) </w:t>
      </w:r>
      <w:r w:rsidR="00764708" w:rsidRPr="007955BB">
        <w:rPr>
          <w:rFonts w:cs="Sylfaen"/>
          <w:b w:val="0"/>
          <w:bCs/>
          <w:szCs w:val="22"/>
          <w:lang w:val="hy-AM"/>
        </w:rPr>
        <w:t>անվտանգության</w:t>
      </w:r>
      <w:r w:rsidR="00764708" w:rsidRPr="007955BB">
        <w:rPr>
          <w:rFonts w:cs="Arial Armenian"/>
          <w:b w:val="0"/>
          <w:bCs/>
          <w:szCs w:val="22"/>
          <w:lang w:val="hy-AM"/>
        </w:rPr>
        <w:t xml:space="preserve"> ստանդարտներին, </w:t>
      </w:r>
      <w:r w:rsidR="00764708" w:rsidRPr="007955BB">
        <w:rPr>
          <w:rFonts w:cs="Sylfaen"/>
          <w:b w:val="0"/>
          <w:bCs/>
          <w:szCs w:val="22"/>
          <w:lang w:val="hy-AM"/>
        </w:rPr>
        <w:t>Եվրոպական</w:t>
      </w:r>
      <w:r w:rsidR="00764708" w:rsidRPr="007955BB">
        <w:rPr>
          <w:rFonts w:cs="Arial Armenian"/>
          <w:b w:val="0"/>
          <w:bCs/>
          <w:szCs w:val="22"/>
          <w:lang w:val="hy-AM"/>
        </w:rPr>
        <w:t xml:space="preserve"> </w:t>
      </w:r>
      <w:r w:rsidR="00764708" w:rsidRPr="007955BB">
        <w:rPr>
          <w:rFonts w:cs="Sylfaen"/>
          <w:b w:val="0"/>
          <w:bCs/>
          <w:szCs w:val="22"/>
          <w:lang w:val="hy-AM"/>
        </w:rPr>
        <w:t>միության</w:t>
      </w:r>
      <w:r w:rsidR="00764708" w:rsidRPr="007955BB">
        <w:rPr>
          <w:rFonts w:cs="Arial Armenian"/>
          <w:b w:val="0"/>
          <w:bCs/>
          <w:szCs w:val="22"/>
          <w:lang w:val="hy-AM"/>
        </w:rPr>
        <w:t xml:space="preserve"> </w:t>
      </w:r>
      <w:r w:rsidR="00764708" w:rsidRPr="007955BB">
        <w:rPr>
          <w:rFonts w:cs="Sylfaen"/>
          <w:b w:val="0"/>
          <w:bCs/>
          <w:szCs w:val="22"/>
          <w:lang w:val="hy-AM"/>
        </w:rPr>
        <w:t>անվտանգության</w:t>
      </w:r>
      <w:r w:rsidR="00764708" w:rsidRPr="007955BB">
        <w:rPr>
          <w:rFonts w:cs="Arial Armenian"/>
          <w:b w:val="0"/>
          <w:bCs/>
          <w:szCs w:val="22"/>
          <w:lang w:val="hy-AM"/>
        </w:rPr>
        <w:t xml:space="preserve"> դիրեկտիվների՝ այդ թվում  Արևմտաեվրոպական երկրների կարգավորող մարմինների ասոցիացիայի (WENRA)</w:t>
      </w:r>
      <w:r w:rsidR="00764708" w:rsidRPr="007955BB">
        <w:rPr>
          <w:rFonts w:cs="Sylfaen"/>
          <w:b w:val="0"/>
          <w:bCs/>
          <w:szCs w:val="22"/>
          <w:lang w:val="hy-AM"/>
        </w:rPr>
        <w:t xml:space="preserve"> անվտանգության</w:t>
      </w:r>
      <w:r w:rsidR="00764708" w:rsidRPr="007955BB">
        <w:rPr>
          <w:rFonts w:cs="Arial Armenian"/>
          <w:b w:val="0"/>
          <w:bCs/>
          <w:szCs w:val="22"/>
          <w:lang w:val="hy-AM"/>
        </w:rPr>
        <w:t xml:space="preserve"> </w:t>
      </w:r>
      <w:r w:rsidR="00764708" w:rsidRPr="007955BB">
        <w:rPr>
          <w:rFonts w:cs="Sylfaen"/>
          <w:b w:val="0"/>
          <w:bCs/>
          <w:szCs w:val="22"/>
          <w:lang w:val="hy-AM"/>
        </w:rPr>
        <w:t xml:space="preserve">պահանջներին։ </w:t>
      </w:r>
      <w:r w:rsidR="00764708" w:rsidRPr="007955BB">
        <w:rPr>
          <w:rFonts w:cs="Arial Armenian"/>
          <w:b w:val="0"/>
          <w:bCs/>
          <w:szCs w:val="22"/>
          <w:lang w:val="hy-AM"/>
        </w:rPr>
        <w:t>Հ</w:t>
      </w:r>
      <w:r w:rsidR="00764708" w:rsidRPr="007955BB">
        <w:rPr>
          <w:rFonts w:cs="Sylfaen"/>
          <w:b w:val="0"/>
          <w:bCs/>
          <w:szCs w:val="22"/>
          <w:lang w:val="hy-AM"/>
        </w:rPr>
        <w:t>աշվի</w:t>
      </w:r>
      <w:r w:rsidR="00764708" w:rsidRPr="007955BB">
        <w:rPr>
          <w:rFonts w:cs="Arial Armenian"/>
          <w:b w:val="0"/>
          <w:bCs/>
          <w:szCs w:val="22"/>
          <w:lang w:val="hy-AM"/>
        </w:rPr>
        <w:t xml:space="preserve"> </w:t>
      </w:r>
      <w:r w:rsidR="00764708" w:rsidRPr="007955BB">
        <w:rPr>
          <w:rFonts w:cs="Sylfaen"/>
          <w:b w:val="0"/>
          <w:bCs/>
          <w:szCs w:val="22"/>
          <w:lang w:val="hy-AM"/>
        </w:rPr>
        <w:t>առնելով</w:t>
      </w:r>
      <w:r w:rsidR="00764708" w:rsidRPr="007955BB">
        <w:rPr>
          <w:rFonts w:cs="Arial Armenian"/>
          <w:b w:val="0"/>
          <w:bCs/>
          <w:szCs w:val="22"/>
          <w:lang w:val="hy-AM"/>
        </w:rPr>
        <w:t xml:space="preserve"> նաև Ֆուկուշիմայի ԱԷԿ-ի վթարի ուսումնասիրության և «սթրես-թեստի» ինքնագնահատման արդյունքները և </w:t>
      </w:r>
      <w:r w:rsidR="00764708" w:rsidRPr="007955BB">
        <w:rPr>
          <w:rFonts w:cs="Sylfaen"/>
          <w:b w:val="0"/>
          <w:bCs/>
          <w:szCs w:val="22"/>
          <w:lang w:val="hy-AM"/>
        </w:rPr>
        <w:t>զարգացած</w:t>
      </w:r>
      <w:r w:rsidR="00764708" w:rsidRPr="007955BB">
        <w:rPr>
          <w:rFonts w:cs="Arial Armenian"/>
          <w:b w:val="0"/>
          <w:bCs/>
          <w:szCs w:val="22"/>
          <w:lang w:val="hy-AM"/>
        </w:rPr>
        <w:t xml:space="preserve"> </w:t>
      </w:r>
      <w:r w:rsidR="00764708" w:rsidRPr="007955BB">
        <w:rPr>
          <w:rFonts w:cs="Sylfaen"/>
          <w:b w:val="0"/>
          <w:bCs/>
          <w:szCs w:val="22"/>
          <w:lang w:val="hy-AM"/>
        </w:rPr>
        <w:t>երկրների</w:t>
      </w:r>
      <w:r w:rsidR="00764708" w:rsidRPr="007955BB">
        <w:rPr>
          <w:rFonts w:cs="Arial Armenian"/>
          <w:b w:val="0"/>
          <w:bCs/>
          <w:szCs w:val="22"/>
          <w:lang w:val="hy-AM"/>
        </w:rPr>
        <w:t xml:space="preserve"> </w:t>
      </w:r>
      <w:r w:rsidR="00764708" w:rsidRPr="007955BB">
        <w:rPr>
          <w:rFonts w:cs="Sylfaen"/>
          <w:b w:val="0"/>
          <w:bCs/>
          <w:szCs w:val="22"/>
          <w:lang w:val="hy-AM"/>
        </w:rPr>
        <w:t>փորձը</w:t>
      </w:r>
      <w:r w:rsidR="00764708" w:rsidRPr="007955BB">
        <w:rPr>
          <w:rFonts w:cs="Arial Armenian"/>
          <w:b w:val="0"/>
          <w:bCs/>
          <w:szCs w:val="22"/>
          <w:lang w:val="hy-AM"/>
        </w:rPr>
        <w:t xml:space="preserve"> «</w:t>
      </w:r>
      <w:r w:rsidR="00764708" w:rsidRPr="007955BB">
        <w:rPr>
          <w:rFonts w:cs="Sylfaen"/>
          <w:b w:val="0"/>
          <w:bCs/>
          <w:szCs w:val="22"/>
          <w:lang w:val="hy-AM"/>
        </w:rPr>
        <w:t>Ատոմային</w:t>
      </w:r>
      <w:r w:rsidR="00764708" w:rsidRPr="007955BB">
        <w:rPr>
          <w:rFonts w:cs="Arial Armenian"/>
          <w:b w:val="0"/>
          <w:bCs/>
          <w:szCs w:val="22"/>
          <w:lang w:val="hy-AM"/>
        </w:rPr>
        <w:t xml:space="preserve"> </w:t>
      </w:r>
      <w:r w:rsidR="00764708" w:rsidRPr="007955BB">
        <w:rPr>
          <w:rFonts w:cs="Sylfaen"/>
          <w:b w:val="0"/>
          <w:bCs/>
          <w:szCs w:val="22"/>
          <w:lang w:val="hy-AM"/>
        </w:rPr>
        <w:t>էներգիայի</w:t>
      </w:r>
      <w:r w:rsidR="00764708" w:rsidRPr="007955BB">
        <w:rPr>
          <w:rFonts w:cs="Arial Armenian"/>
          <w:b w:val="0"/>
          <w:bCs/>
          <w:szCs w:val="22"/>
          <w:lang w:val="hy-AM"/>
        </w:rPr>
        <w:t xml:space="preserve"> մ</w:t>
      </w:r>
      <w:r w:rsidR="00764708" w:rsidRPr="007955BB">
        <w:rPr>
          <w:rFonts w:cs="Sylfaen"/>
          <w:b w:val="0"/>
          <w:bCs/>
          <w:szCs w:val="22"/>
          <w:lang w:val="hy-AM"/>
        </w:rPr>
        <w:t>ասին»</w:t>
      </w:r>
      <w:r w:rsidR="00764708" w:rsidRPr="007955BB">
        <w:rPr>
          <w:rFonts w:cs="Arial Armenian"/>
          <w:b w:val="0"/>
          <w:bCs/>
          <w:szCs w:val="22"/>
          <w:lang w:val="hy-AM"/>
        </w:rPr>
        <w:t xml:space="preserve"> ՀՀ նոր </w:t>
      </w:r>
      <w:r w:rsidR="00764708" w:rsidRPr="007955BB">
        <w:rPr>
          <w:rFonts w:cs="Sylfaen"/>
          <w:b w:val="0"/>
          <w:bCs/>
          <w:szCs w:val="22"/>
          <w:lang w:val="hy-AM"/>
        </w:rPr>
        <w:t>օրենքի նախագծի մշակումը</w:t>
      </w:r>
      <w:r w:rsidR="00764708" w:rsidRPr="007955BB">
        <w:rPr>
          <w:rFonts w:cs="Arial Armenian"/>
          <w:b w:val="0"/>
          <w:bCs/>
          <w:szCs w:val="22"/>
          <w:lang w:val="hy-AM"/>
        </w:rPr>
        <w:t xml:space="preserve">, </w:t>
      </w:r>
      <w:r w:rsidR="00764708" w:rsidRPr="007955BB">
        <w:rPr>
          <w:rFonts w:cs="Sylfaen"/>
          <w:b w:val="0"/>
          <w:bCs/>
          <w:szCs w:val="22"/>
          <w:lang w:val="hy-AM"/>
        </w:rPr>
        <w:t>միջուկային</w:t>
      </w:r>
      <w:r w:rsidR="00764708" w:rsidRPr="007955BB">
        <w:rPr>
          <w:rFonts w:cs="Arial Armenian"/>
          <w:b w:val="0"/>
          <w:bCs/>
          <w:szCs w:val="22"/>
          <w:lang w:val="hy-AM"/>
        </w:rPr>
        <w:t xml:space="preserve"> </w:t>
      </w:r>
      <w:r w:rsidR="00764708" w:rsidRPr="007955BB">
        <w:rPr>
          <w:rFonts w:cs="Sylfaen"/>
          <w:b w:val="0"/>
          <w:bCs/>
          <w:szCs w:val="22"/>
          <w:lang w:val="hy-AM"/>
        </w:rPr>
        <w:t>և</w:t>
      </w:r>
      <w:r w:rsidR="00764708" w:rsidRPr="007955BB">
        <w:rPr>
          <w:rFonts w:cs="Arial Armenian"/>
          <w:b w:val="0"/>
          <w:bCs/>
          <w:szCs w:val="22"/>
          <w:lang w:val="hy-AM"/>
        </w:rPr>
        <w:t xml:space="preserve"> </w:t>
      </w:r>
      <w:r w:rsidR="00764708" w:rsidRPr="007955BB">
        <w:rPr>
          <w:rFonts w:cs="Sylfaen"/>
          <w:b w:val="0"/>
          <w:bCs/>
          <w:szCs w:val="22"/>
          <w:lang w:val="hy-AM"/>
        </w:rPr>
        <w:t>ճառագայթային</w:t>
      </w:r>
      <w:r w:rsidR="00764708" w:rsidRPr="007955BB">
        <w:rPr>
          <w:rFonts w:cs="Arial Armenian"/>
          <w:b w:val="0"/>
          <w:bCs/>
          <w:szCs w:val="22"/>
          <w:lang w:val="hy-AM"/>
        </w:rPr>
        <w:t xml:space="preserve">  </w:t>
      </w:r>
      <w:r w:rsidR="00764708" w:rsidRPr="007955BB">
        <w:rPr>
          <w:rFonts w:cs="Sylfaen"/>
          <w:b w:val="0"/>
          <w:bCs/>
          <w:szCs w:val="22"/>
          <w:lang w:val="hy-AM"/>
        </w:rPr>
        <w:t>անվտանգության</w:t>
      </w:r>
      <w:r w:rsidR="00764708" w:rsidRPr="007955BB">
        <w:rPr>
          <w:rFonts w:cs="Arial Armenian"/>
          <w:b w:val="0"/>
          <w:bCs/>
          <w:szCs w:val="22"/>
          <w:lang w:val="hy-AM"/>
        </w:rPr>
        <w:t xml:space="preserve"> </w:t>
      </w:r>
      <w:r w:rsidR="00764708" w:rsidRPr="007955BB">
        <w:rPr>
          <w:rFonts w:cs="Sylfaen"/>
          <w:b w:val="0"/>
          <w:bCs/>
          <w:szCs w:val="22"/>
          <w:lang w:val="hy-AM"/>
        </w:rPr>
        <w:t>նոր</w:t>
      </w:r>
      <w:r w:rsidR="00764708" w:rsidRPr="007955BB">
        <w:rPr>
          <w:rFonts w:cs="Arial Armenian"/>
          <w:b w:val="0"/>
          <w:bCs/>
          <w:szCs w:val="22"/>
          <w:lang w:val="hy-AM"/>
        </w:rPr>
        <w:t xml:space="preserve"> </w:t>
      </w:r>
      <w:r w:rsidR="00764708" w:rsidRPr="007955BB">
        <w:rPr>
          <w:rFonts w:cs="Sylfaen"/>
          <w:b w:val="0"/>
          <w:bCs/>
          <w:szCs w:val="22"/>
          <w:lang w:val="hy-AM"/>
        </w:rPr>
        <w:t>նորմերի</w:t>
      </w:r>
      <w:r w:rsidR="00764708" w:rsidRPr="007955BB">
        <w:rPr>
          <w:rFonts w:cs="Arial Armenian"/>
          <w:b w:val="0"/>
          <w:bCs/>
          <w:szCs w:val="22"/>
          <w:lang w:val="hy-AM"/>
        </w:rPr>
        <w:t xml:space="preserve">, </w:t>
      </w:r>
      <w:r w:rsidR="00764708" w:rsidRPr="007955BB">
        <w:rPr>
          <w:rFonts w:cs="Sylfaen"/>
          <w:b w:val="0"/>
          <w:bCs/>
          <w:szCs w:val="22"/>
          <w:lang w:val="hy-AM"/>
        </w:rPr>
        <w:t>կանոնների</w:t>
      </w:r>
      <w:r w:rsidR="00764708" w:rsidRPr="007955BB">
        <w:rPr>
          <w:rFonts w:cs="Arial Armenian"/>
          <w:b w:val="0"/>
          <w:bCs/>
          <w:szCs w:val="22"/>
          <w:lang w:val="hy-AM"/>
        </w:rPr>
        <w:t xml:space="preserve">, </w:t>
      </w:r>
      <w:r w:rsidR="00764708" w:rsidRPr="007955BB">
        <w:rPr>
          <w:rFonts w:cs="Sylfaen"/>
          <w:b w:val="0"/>
          <w:bCs/>
          <w:szCs w:val="22"/>
          <w:lang w:val="hy-AM"/>
        </w:rPr>
        <w:t>պահանջների, ուղեցույցների, մեթոդների</w:t>
      </w:r>
      <w:r w:rsidR="00764708" w:rsidRPr="007955BB">
        <w:rPr>
          <w:rFonts w:cs="Arial Armenian"/>
          <w:b w:val="0"/>
          <w:bCs/>
          <w:szCs w:val="22"/>
          <w:lang w:val="hy-AM"/>
        </w:rPr>
        <w:t xml:space="preserve"> </w:t>
      </w:r>
      <w:r w:rsidR="00764708" w:rsidRPr="007955BB">
        <w:rPr>
          <w:rFonts w:cs="Sylfaen"/>
          <w:b w:val="0"/>
          <w:bCs/>
          <w:szCs w:val="22"/>
          <w:lang w:val="hy-AM"/>
        </w:rPr>
        <w:t>մշակումը</w:t>
      </w:r>
      <w:r w:rsidR="00764708" w:rsidRPr="007955BB">
        <w:rPr>
          <w:rFonts w:cs="Arial Armenian"/>
          <w:b w:val="0"/>
          <w:bCs/>
          <w:szCs w:val="22"/>
          <w:lang w:val="hy-AM"/>
        </w:rPr>
        <w:t xml:space="preserve">, </w:t>
      </w:r>
      <w:r w:rsidR="00764708" w:rsidRPr="007955BB">
        <w:rPr>
          <w:rFonts w:cs="Sylfaen"/>
          <w:b w:val="0"/>
          <w:bCs/>
          <w:szCs w:val="22"/>
          <w:lang w:val="hy-AM"/>
        </w:rPr>
        <w:t>գործող</w:t>
      </w:r>
      <w:r w:rsidR="00764708" w:rsidRPr="007955BB">
        <w:rPr>
          <w:rFonts w:cs="Arial Armenian"/>
          <w:b w:val="0"/>
          <w:bCs/>
          <w:szCs w:val="22"/>
          <w:lang w:val="hy-AM"/>
        </w:rPr>
        <w:t xml:space="preserve"> </w:t>
      </w:r>
      <w:r w:rsidR="00764708" w:rsidRPr="007955BB">
        <w:rPr>
          <w:rFonts w:cs="Sylfaen"/>
          <w:b w:val="0"/>
          <w:bCs/>
          <w:szCs w:val="22"/>
          <w:lang w:val="hy-AM"/>
        </w:rPr>
        <w:t>նորմերի ու կանոնների վերանայումը,</w:t>
      </w:r>
    </w:p>
    <w:p w:rsidR="00764708" w:rsidRPr="007955BB" w:rsidRDefault="00F1351F" w:rsidP="00F04DA1">
      <w:pPr>
        <w:numPr>
          <w:ilvl w:val="0"/>
          <w:numId w:val="49"/>
        </w:numPr>
        <w:spacing w:before="0" w:line="276" w:lineRule="auto"/>
        <w:ind w:left="0" w:firstLine="360"/>
        <w:contextualSpacing w:val="0"/>
        <w:rPr>
          <w:rFonts w:cs="Sylfaen"/>
          <w:b w:val="0"/>
          <w:bCs/>
          <w:szCs w:val="22"/>
          <w:lang w:val="hy-AM"/>
        </w:rPr>
      </w:pPr>
      <w:r w:rsidRPr="007955BB">
        <w:rPr>
          <w:rFonts w:cs="Sylfaen"/>
          <w:b w:val="0"/>
          <w:bCs/>
          <w:szCs w:val="22"/>
          <w:lang w:val="hy-AM"/>
        </w:rPr>
        <w:t xml:space="preserve"> </w:t>
      </w:r>
      <w:r w:rsidR="00764708" w:rsidRPr="007955BB">
        <w:rPr>
          <w:rFonts w:cs="Sylfaen"/>
          <w:b w:val="0"/>
          <w:bCs/>
          <w:szCs w:val="22"/>
          <w:lang w:val="hy-AM"/>
        </w:rPr>
        <w:t xml:space="preserve">անվտանգությունը հիմնավորող փաստաթղթերի քննարկումը, վերլուծությունը և գնահատումը։ Հայկական ԱԷԿ-ի 2-րդ էներգաբլոկի անվտանգության բարձրացման միջոցառումների այդ թվում նաև «սթրես-թեստի» ազգային հաշվետվության հիման վրա մշակված գործողությունների </w:t>
      </w:r>
      <w:r w:rsidR="00764708" w:rsidRPr="007955BB">
        <w:rPr>
          <w:rFonts w:cs="Sylfaen"/>
          <w:b w:val="0"/>
          <w:bCs/>
          <w:noProof/>
          <w:szCs w:val="22"/>
          <w:lang w:val="hy-AM"/>
        </w:rPr>
        <w:t xml:space="preserve">ազգային </w:t>
      </w:r>
      <w:r w:rsidR="00764708" w:rsidRPr="007955BB">
        <w:rPr>
          <w:rFonts w:cs="Sylfaen"/>
          <w:b w:val="0"/>
          <w:bCs/>
          <w:szCs w:val="22"/>
          <w:lang w:val="hy-AM"/>
        </w:rPr>
        <w:t>ծրագրով նախատեսված միջոցառումների լիցենզավորումը/թույլտվության տրամադրումը,</w:t>
      </w:r>
      <w:r w:rsidR="00764708" w:rsidRPr="007955BB">
        <w:rPr>
          <w:rFonts w:cs="Arial Armenian"/>
          <w:b w:val="0"/>
          <w:bCs/>
          <w:szCs w:val="22"/>
          <w:lang w:val="hy-AM"/>
        </w:rPr>
        <w:t xml:space="preserve"> Հայկական ԱԷԿ-ի 2-րդ էներգաբլոկի շահագործման նախագծային ժամկետի երկարացման լիցենզավորումը, ՀՀ-ում նոր միջուկային էներգաբլոկի կառուցմամբ պայմանավորված կոմիտեին վերապահված գործառույթների իրականացումը,</w:t>
      </w:r>
    </w:p>
    <w:p w:rsidR="00764708" w:rsidRPr="007955BB" w:rsidRDefault="00F1351F" w:rsidP="00F04DA1">
      <w:pPr>
        <w:numPr>
          <w:ilvl w:val="0"/>
          <w:numId w:val="49"/>
        </w:numPr>
        <w:spacing w:before="0" w:line="276" w:lineRule="auto"/>
        <w:ind w:left="0" w:firstLine="360"/>
        <w:contextualSpacing w:val="0"/>
        <w:rPr>
          <w:b w:val="0"/>
          <w:bCs/>
          <w:szCs w:val="22"/>
          <w:lang w:val="hy-AM"/>
        </w:rPr>
      </w:pPr>
      <w:r w:rsidRPr="007955BB">
        <w:rPr>
          <w:rFonts w:cs="Sylfaen"/>
          <w:b w:val="0"/>
          <w:bCs/>
          <w:szCs w:val="22"/>
          <w:lang w:val="hy-AM"/>
        </w:rPr>
        <w:t xml:space="preserve"> </w:t>
      </w:r>
      <w:r w:rsidR="00764708" w:rsidRPr="007955BB">
        <w:rPr>
          <w:rFonts w:cs="Sylfaen"/>
          <w:b w:val="0"/>
          <w:bCs/>
          <w:szCs w:val="22"/>
          <w:lang w:val="hy-AM"/>
        </w:rPr>
        <w:t>ատոմային էներգիայի օգտագործման բնագավառի` ՀՀ կողմից վավերացրած</w:t>
      </w:r>
      <w:r w:rsidR="00764708" w:rsidRPr="007955BB">
        <w:rPr>
          <w:rFonts w:cs="AK Courier"/>
          <w:b w:val="0"/>
          <w:szCs w:val="22"/>
          <w:lang w:val="hy-AM" w:eastAsia="en-US"/>
        </w:rPr>
        <w:t xml:space="preserve">  միջազգային 12 պայմանագրերից՝ ինչպես նաև ԱՊՀ և ԵԱՏՄ բխող պարտավորությունների կատարումը (օրենսդրության համապատասխանեցում պայմանագրերի պահանջներին, տեղեկատվական բազայի ստեղծումը </w:t>
      </w:r>
      <w:r w:rsidR="00764708" w:rsidRPr="007955BB">
        <w:rPr>
          <w:rFonts w:cs="Sylfaen"/>
          <w:b w:val="0"/>
          <w:bCs/>
          <w:szCs w:val="22"/>
          <w:lang w:val="hy-AM"/>
        </w:rPr>
        <w:t>և</w:t>
      </w:r>
      <w:r w:rsidR="00764708" w:rsidRPr="007955BB">
        <w:rPr>
          <w:rFonts w:cs="AK Courier"/>
          <w:b w:val="0"/>
          <w:szCs w:val="22"/>
          <w:lang w:val="hy-AM" w:eastAsia="en-US"/>
        </w:rPr>
        <w:t xml:space="preserve"> փոխանակումը պայմանագրերի անդամ-պետությունների միջ</w:t>
      </w:r>
      <w:r w:rsidR="00764708" w:rsidRPr="007955BB">
        <w:rPr>
          <w:rFonts w:cs="Sylfaen"/>
          <w:b w:val="0"/>
          <w:bCs/>
          <w:szCs w:val="22"/>
          <w:lang w:val="hy-AM"/>
        </w:rPr>
        <w:t>և</w:t>
      </w:r>
      <w:r w:rsidR="00764708" w:rsidRPr="007955BB">
        <w:rPr>
          <w:rFonts w:cs="AK Courier"/>
          <w:b w:val="0"/>
          <w:szCs w:val="22"/>
          <w:lang w:val="hy-AM" w:eastAsia="en-US"/>
        </w:rPr>
        <w:t xml:space="preserve">, ազգային հաշվետվությունների մշակումը </w:t>
      </w:r>
      <w:r w:rsidR="00764708" w:rsidRPr="007955BB">
        <w:rPr>
          <w:rFonts w:cs="Sylfaen"/>
          <w:b w:val="0"/>
          <w:bCs/>
          <w:szCs w:val="22"/>
          <w:lang w:val="hy-AM"/>
        </w:rPr>
        <w:t>և</w:t>
      </w:r>
      <w:r w:rsidR="00764708" w:rsidRPr="007955BB">
        <w:rPr>
          <w:rFonts w:cs="AK Courier"/>
          <w:b w:val="0"/>
          <w:szCs w:val="22"/>
          <w:lang w:val="hy-AM" w:eastAsia="en-US"/>
        </w:rPr>
        <w:t xml:space="preserve"> ներկայացումը),</w:t>
      </w:r>
      <w:r w:rsidR="00764708" w:rsidRPr="007955BB">
        <w:rPr>
          <w:rFonts w:cs="AK Courier"/>
          <w:b w:val="0"/>
          <w:noProof/>
          <w:szCs w:val="22"/>
          <w:lang w:val="hy-AM" w:eastAsia="en-US"/>
        </w:rPr>
        <w:t xml:space="preserve"> ՀՀ վարչապետին կից Ատոմային էներգիայի անվտանգության խորհրդին կոմիտեի գործունեության և Հայկական </w:t>
      </w:r>
      <w:r w:rsidR="00764708" w:rsidRPr="007955BB">
        <w:rPr>
          <w:rFonts w:cs="AK Courier"/>
          <w:b w:val="0"/>
          <w:noProof/>
          <w:szCs w:val="22"/>
          <w:lang w:val="hy-AM" w:eastAsia="en-US"/>
        </w:rPr>
        <w:br/>
        <w:t>ԱԷԿ-ի անվտանգության վերաբերյալ հաշվետվությունների մշակումը,</w:t>
      </w:r>
    </w:p>
    <w:p w:rsidR="00764708" w:rsidRPr="007955BB" w:rsidRDefault="00F1351F" w:rsidP="00F04DA1">
      <w:pPr>
        <w:numPr>
          <w:ilvl w:val="0"/>
          <w:numId w:val="49"/>
        </w:numPr>
        <w:spacing w:before="0" w:line="276" w:lineRule="auto"/>
        <w:ind w:left="0" w:firstLine="360"/>
        <w:contextualSpacing w:val="0"/>
        <w:rPr>
          <w:b w:val="0"/>
          <w:bCs/>
          <w:szCs w:val="22"/>
          <w:lang w:val="hy-AM"/>
        </w:rPr>
      </w:pPr>
      <w:r w:rsidRPr="007955BB">
        <w:rPr>
          <w:b w:val="0"/>
          <w:bCs/>
          <w:szCs w:val="22"/>
          <w:lang w:val="hy-AM"/>
        </w:rPr>
        <w:t xml:space="preserve"> </w:t>
      </w:r>
      <w:r w:rsidR="00764708" w:rsidRPr="007955BB">
        <w:rPr>
          <w:b w:val="0"/>
          <w:bCs/>
          <w:szCs w:val="22"/>
          <w:lang w:val="hy-AM"/>
        </w:rPr>
        <w:t>ատոմային էներգիայի օգտագործման բնագավառում լիցենզավորման իրականացումը,</w:t>
      </w:r>
    </w:p>
    <w:p w:rsidR="00764708" w:rsidRPr="007955BB" w:rsidRDefault="00764708" w:rsidP="005F226A">
      <w:pPr>
        <w:tabs>
          <w:tab w:val="left" w:pos="567"/>
        </w:tabs>
        <w:spacing w:before="0" w:line="276" w:lineRule="auto"/>
        <w:ind w:firstLine="0"/>
        <w:contextualSpacing w:val="0"/>
        <w:rPr>
          <w:rFonts w:cs="Sylfaen"/>
          <w:b w:val="0"/>
          <w:iCs/>
          <w:szCs w:val="22"/>
          <w:lang w:val="hy-AM"/>
        </w:rPr>
      </w:pPr>
    </w:p>
    <w:p w:rsidR="005F226A" w:rsidRPr="007955BB" w:rsidRDefault="005F226A" w:rsidP="005F226A">
      <w:pPr>
        <w:keepNext/>
        <w:tabs>
          <w:tab w:val="left" w:pos="360"/>
        </w:tabs>
        <w:spacing w:before="0" w:line="276" w:lineRule="auto"/>
        <w:ind w:firstLine="426"/>
        <w:contextualSpacing w:val="0"/>
        <w:outlineLvl w:val="2"/>
        <w:rPr>
          <w:rFonts w:cs="Arial"/>
          <w:szCs w:val="22"/>
          <w:lang w:val="hy-AM" w:eastAsia="en-US"/>
        </w:rPr>
      </w:pPr>
      <w:bookmarkStart w:id="20" w:name="_Toc57655418"/>
      <w:bookmarkStart w:id="21" w:name="_Toc83567436"/>
      <w:bookmarkStart w:id="22" w:name="_Toc120805164"/>
      <w:r w:rsidRPr="007955BB">
        <w:rPr>
          <w:rFonts w:cs="Arial"/>
          <w:szCs w:val="22"/>
          <w:lang w:val="hy-AM" w:eastAsia="en-US"/>
        </w:rPr>
        <w:t>Ջրային տնտեսություն</w:t>
      </w:r>
      <w:bookmarkEnd w:id="20"/>
      <w:bookmarkEnd w:id="21"/>
      <w:bookmarkEnd w:id="22"/>
    </w:p>
    <w:p w:rsidR="005F226A" w:rsidRPr="007955BB" w:rsidRDefault="005F226A" w:rsidP="009265F3">
      <w:pPr>
        <w:tabs>
          <w:tab w:val="left" w:pos="284"/>
          <w:tab w:val="left" w:pos="567"/>
          <w:tab w:val="left" w:pos="993"/>
        </w:tabs>
        <w:spacing w:before="0" w:line="276" w:lineRule="auto"/>
        <w:ind w:firstLine="450"/>
        <w:contextualSpacing w:val="0"/>
        <w:rPr>
          <w:b w:val="0"/>
          <w:szCs w:val="22"/>
          <w:lang w:val="hy-AM"/>
        </w:rPr>
      </w:pPr>
      <w:r w:rsidRPr="007955BB">
        <w:rPr>
          <w:b w:val="0"/>
          <w:szCs w:val="22"/>
          <w:lang w:val="hy-AM"/>
        </w:rPr>
        <w:t>Ջրային տնտեսության ոլորտում էապես կարևորվում է բարեփոխումների շարունակման գործընթացի ապահովումը, նոր գաղափարների իրացումն ու ոլորտի զարգացման քաղաքականությունից բխող հիմնախնդիրների լուծումը՝ մասնավորապես, ջրամատակարարման որակի բարձրացումը, յուրաքանչյուր սոցիալական խմբի և շահառուի համար ծառայությունների հասանելության ապահովումը, ոռոգվող հողատարածքների ընդլայնումը:</w:t>
      </w:r>
    </w:p>
    <w:p w:rsidR="005F226A" w:rsidRPr="007955BB" w:rsidRDefault="005F226A" w:rsidP="009265F3">
      <w:pPr>
        <w:tabs>
          <w:tab w:val="left" w:pos="284"/>
          <w:tab w:val="left" w:pos="567"/>
          <w:tab w:val="left" w:pos="993"/>
        </w:tabs>
        <w:spacing w:before="0" w:line="276" w:lineRule="auto"/>
        <w:ind w:firstLine="450"/>
        <w:contextualSpacing w:val="0"/>
        <w:rPr>
          <w:b w:val="0"/>
          <w:szCs w:val="22"/>
          <w:lang w:val="hy-AM"/>
        </w:rPr>
      </w:pPr>
      <w:r w:rsidRPr="007955BB">
        <w:rPr>
          <w:b w:val="0"/>
          <w:szCs w:val="22"/>
          <w:lang w:val="hy-AM"/>
        </w:rPr>
        <w:t>ՀՀ 202</w:t>
      </w:r>
      <w:r w:rsidR="004B255B" w:rsidRPr="007955BB">
        <w:rPr>
          <w:b w:val="0"/>
          <w:szCs w:val="22"/>
          <w:lang w:val="hy-AM"/>
        </w:rPr>
        <w:t>3</w:t>
      </w:r>
      <w:r w:rsidRPr="007955BB">
        <w:rPr>
          <w:b w:val="0"/>
          <w:szCs w:val="22"/>
          <w:lang w:val="hy-AM"/>
        </w:rPr>
        <w:t xml:space="preserve"> թվականի պետական բյուջեում նախատեսվում է ապահովել խմելու և ոռոգման ջրի համակարգերի բարեփոխումների երկարաժամկետ ծրագրերի իրականացումը՝ հիմնականում նպատակ դնելով բարձրացնել համակարգերի շահագործման հուսալիությունը և արդյունավետությունը: Առաջնահերթ խնդիր է համակարգերի կազմակերպությունների գործունեության արդյունավետության բարձրացումը՝ ներառելով մասնավոր կառավարման բաղադրիչը, ինչպես նաև կրճատել ջրի կորուստները և բարելավել ջրամատակարարման ու ջրահեռացման ծառայությունների որակը:</w:t>
      </w:r>
    </w:p>
    <w:p w:rsidR="005F226A" w:rsidRPr="007955BB" w:rsidRDefault="005F226A" w:rsidP="009265F3">
      <w:pPr>
        <w:tabs>
          <w:tab w:val="left" w:pos="284"/>
          <w:tab w:val="left" w:pos="567"/>
          <w:tab w:val="left" w:pos="993"/>
        </w:tabs>
        <w:spacing w:before="0" w:line="276" w:lineRule="auto"/>
        <w:ind w:firstLine="450"/>
        <w:contextualSpacing w:val="0"/>
        <w:rPr>
          <w:b w:val="0"/>
          <w:szCs w:val="22"/>
          <w:lang w:val="hy-AM"/>
        </w:rPr>
      </w:pPr>
      <w:r w:rsidRPr="007955BB">
        <w:rPr>
          <w:b w:val="0"/>
          <w:szCs w:val="22"/>
          <w:lang w:val="hy-AM"/>
        </w:rPr>
        <w:t>Միաժամանակ, շարունակ</w:t>
      </w:r>
      <w:r w:rsidR="009A7816" w:rsidRPr="007955BB">
        <w:rPr>
          <w:b w:val="0"/>
          <w:szCs w:val="22"/>
          <w:lang w:val="hy-AM"/>
        </w:rPr>
        <w:t>վ</w:t>
      </w:r>
      <w:r w:rsidRPr="007955BB">
        <w:rPr>
          <w:b w:val="0"/>
          <w:szCs w:val="22"/>
          <w:lang w:val="hy-AM"/>
        </w:rPr>
        <w:t>ել</w:t>
      </w:r>
      <w:r w:rsidR="009A7816" w:rsidRPr="007955BB">
        <w:rPr>
          <w:b w:val="0"/>
          <w:szCs w:val="22"/>
          <w:lang w:val="hy-AM"/>
        </w:rPr>
        <w:t>ու են</w:t>
      </w:r>
      <w:r w:rsidRPr="007955BB">
        <w:rPr>
          <w:b w:val="0"/>
          <w:szCs w:val="22"/>
          <w:lang w:val="hy-AM"/>
        </w:rPr>
        <w:t xml:space="preserve"> կարևորագույն հիդրոտեխնիկական կառուցվածքների, այդ թվում` ջրամբարների պատվարների ամրապնդման ու նորոգման աշխատանքները՝ երաշխավորելով դրանց անվտանգ ու անխափան շահագործումը:</w:t>
      </w:r>
    </w:p>
    <w:p w:rsidR="005F226A" w:rsidRPr="007955BB" w:rsidRDefault="005F226A" w:rsidP="009265F3">
      <w:pPr>
        <w:tabs>
          <w:tab w:val="left" w:pos="284"/>
          <w:tab w:val="left" w:pos="567"/>
          <w:tab w:val="left" w:pos="993"/>
        </w:tabs>
        <w:spacing w:before="0" w:line="276" w:lineRule="auto"/>
        <w:ind w:firstLine="450"/>
        <w:contextualSpacing w:val="0"/>
        <w:rPr>
          <w:b w:val="0"/>
          <w:szCs w:val="22"/>
          <w:lang w:val="hy-AM"/>
        </w:rPr>
      </w:pPr>
      <w:r w:rsidRPr="007955BB">
        <w:rPr>
          <w:b w:val="0"/>
          <w:szCs w:val="22"/>
          <w:lang w:val="hy-AM"/>
        </w:rPr>
        <w:t>Հասանելի և որակյալ ծառայությունների մատուցման ապահովման նպատակով 202</w:t>
      </w:r>
      <w:r w:rsidR="001368C7" w:rsidRPr="007955BB">
        <w:rPr>
          <w:b w:val="0"/>
          <w:szCs w:val="22"/>
          <w:lang w:val="hy-AM"/>
        </w:rPr>
        <w:t>3</w:t>
      </w:r>
      <w:r w:rsidRPr="007955BB">
        <w:rPr>
          <w:b w:val="0"/>
          <w:szCs w:val="22"/>
          <w:lang w:val="hy-AM"/>
        </w:rPr>
        <w:t>թ</w:t>
      </w:r>
      <w:r w:rsidR="00D664AB" w:rsidRPr="007955BB">
        <w:rPr>
          <w:b w:val="0"/>
          <w:szCs w:val="22"/>
          <w:lang w:val="hy-AM"/>
        </w:rPr>
        <w:t>վական</w:t>
      </w:r>
      <w:r w:rsidRPr="007955BB">
        <w:rPr>
          <w:b w:val="0"/>
          <w:szCs w:val="22"/>
          <w:lang w:val="hy-AM"/>
        </w:rPr>
        <w:t>ին շարունակ</w:t>
      </w:r>
      <w:r w:rsidR="009A7816" w:rsidRPr="007955BB">
        <w:rPr>
          <w:b w:val="0"/>
          <w:szCs w:val="22"/>
          <w:lang w:val="hy-AM"/>
        </w:rPr>
        <w:t>վ</w:t>
      </w:r>
      <w:r w:rsidRPr="007955BB">
        <w:rPr>
          <w:b w:val="0"/>
          <w:szCs w:val="22"/>
          <w:lang w:val="hy-AM"/>
        </w:rPr>
        <w:t>ել</w:t>
      </w:r>
      <w:r w:rsidR="009A7816" w:rsidRPr="007955BB">
        <w:rPr>
          <w:b w:val="0"/>
          <w:szCs w:val="22"/>
          <w:lang w:val="hy-AM"/>
        </w:rPr>
        <w:t>ու է</w:t>
      </w:r>
      <w:r w:rsidRPr="007955BB">
        <w:rPr>
          <w:b w:val="0"/>
          <w:szCs w:val="22"/>
          <w:lang w:val="hy-AM"/>
        </w:rPr>
        <w:t xml:space="preserve"> համապատասխան ներդրումների կատարումը ջրային ոլորտում: Ներդրումային քաղաքականությունը պետք է նպատակաուղղված լինի համակարգերի պահպանմանը և վերականգնմանը, առկա ենթակառուցվածքների արդիականացման և նորերի կառուցմամբ ծառայությունների մատուցման էներգատար կառուցվածքների փոփոխմանը, համակարգերում հաշվառելիության համակարգի բարելավմանը և արդիականացմանը:</w:t>
      </w:r>
    </w:p>
    <w:p w:rsidR="005F226A" w:rsidRPr="007955BB" w:rsidRDefault="005F226A" w:rsidP="009265F3">
      <w:pPr>
        <w:tabs>
          <w:tab w:val="left" w:pos="284"/>
          <w:tab w:val="left" w:pos="567"/>
          <w:tab w:val="left" w:pos="993"/>
        </w:tabs>
        <w:spacing w:before="0" w:line="276" w:lineRule="auto"/>
        <w:ind w:firstLine="450"/>
        <w:contextualSpacing w:val="0"/>
        <w:rPr>
          <w:b w:val="0"/>
          <w:szCs w:val="22"/>
          <w:lang w:val="hy-AM"/>
        </w:rPr>
      </w:pPr>
      <w:r w:rsidRPr="007955BB">
        <w:rPr>
          <w:b w:val="0"/>
          <w:szCs w:val="22"/>
          <w:lang w:val="hy-AM"/>
        </w:rPr>
        <w:t>ՀՀ ջրային տնտեսության ոլորտում նախատեսվում է իրականացնել հետևյալ հիմնական աշխատանքները՝</w:t>
      </w:r>
    </w:p>
    <w:p w:rsidR="005F226A" w:rsidRPr="007955BB" w:rsidRDefault="005F226A" w:rsidP="009265F3">
      <w:pPr>
        <w:pStyle w:val="ListParagraph"/>
        <w:numPr>
          <w:ilvl w:val="0"/>
          <w:numId w:val="19"/>
        </w:numPr>
        <w:tabs>
          <w:tab w:val="left" w:pos="284"/>
          <w:tab w:val="left" w:pos="567"/>
          <w:tab w:val="left" w:pos="993"/>
        </w:tabs>
        <w:autoSpaceDE w:val="0"/>
        <w:autoSpaceDN w:val="0"/>
        <w:adjustRightInd w:val="0"/>
        <w:spacing w:before="0" w:line="276" w:lineRule="auto"/>
        <w:ind w:left="0" w:firstLine="450"/>
        <w:contextualSpacing w:val="0"/>
        <w:rPr>
          <w:b w:val="0"/>
          <w:szCs w:val="22"/>
          <w:lang w:val="hy-AM"/>
        </w:rPr>
      </w:pPr>
      <w:r w:rsidRPr="007955BB">
        <w:rPr>
          <w:b w:val="0"/>
          <w:szCs w:val="22"/>
          <w:lang w:val="hy-AM"/>
        </w:rPr>
        <w:t xml:space="preserve">ջրային պաշարների մակերևութային հոսքի կառավարման նպատակով </w:t>
      </w:r>
      <w:r w:rsidR="008D4487" w:rsidRPr="007955BB">
        <w:rPr>
          <w:b w:val="0"/>
          <w:szCs w:val="22"/>
          <w:lang w:val="hy-AM"/>
        </w:rPr>
        <w:t xml:space="preserve">իրականացվելու է </w:t>
      </w:r>
      <w:r w:rsidR="00BB2A55" w:rsidRPr="007955BB">
        <w:rPr>
          <w:b w:val="0"/>
          <w:szCs w:val="22"/>
          <w:lang w:val="hy-AM"/>
        </w:rPr>
        <w:t xml:space="preserve">թվով </w:t>
      </w:r>
      <w:r w:rsidR="00A50A3E" w:rsidRPr="007955BB">
        <w:rPr>
          <w:b w:val="0"/>
          <w:szCs w:val="22"/>
          <w:lang w:val="hy-AM"/>
        </w:rPr>
        <w:t>6</w:t>
      </w:r>
      <w:r w:rsidRPr="007955BB">
        <w:rPr>
          <w:b w:val="0"/>
          <w:szCs w:val="22"/>
          <w:lang w:val="hy-AM"/>
        </w:rPr>
        <w:t xml:space="preserve"> ջրամբար</w:t>
      </w:r>
      <w:r w:rsidR="008D4487" w:rsidRPr="007955BB">
        <w:rPr>
          <w:b w:val="0"/>
          <w:szCs w:val="22"/>
          <w:lang w:val="hy-AM"/>
        </w:rPr>
        <w:t>ների նախագծման աշխատանքները</w:t>
      </w:r>
      <w:r w:rsidRPr="007955BB">
        <w:rPr>
          <w:b w:val="0"/>
          <w:szCs w:val="22"/>
          <w:lang w:val="hy-AM"/>
        </w:rPr>
        <w:t>,</w:t>
      </w:r>
    </w:p>
    <w:p w:rsidR="005F226A" w:rsidRPr="007955BB" w:rsidRDefault="005F226A" w:rsidP="009265F3">
      <w:pPr>
        <w:pStyle w:val="ListParagraph"/>
        <w:numPr>
          <w:ilvl w:val="0"/>
          <w:numId w:val="19"/>
        </w:numPr>
        <w:tabs>
          <w:tab w:val="left" w:pos="284"/>
          <w:tab w:val="left" w:pos="567"/>
          <w:tab w:val="left" w:pos="993"/>
        </w:tabs>
        <w:autoSpaceDE w:val="0"/>
        <w:autoSpaceDN w:val="0"/>
        <w:adjustRightInd w:val="0"/>
        <w:spacing w:before="0" w:line="276" w:lineRule="auto"/>
        <w:ind w:left="0" w:firstLine="450"/>
        <w:contextualSpacing w:val="0"/>
        <w:rPr>
          <w:b w:val="0"/>
          <w:szCs w:val="22"/>
          <w:lang w:val="hy-AM"/>
        </w:rPr>
      </w:pPr>
      <w:r w:rsidRPr="007955BB">
        <w:rPr>
          <w:b w:val="0"/>
          <w:szCs w:val="22"/>
          <w:lang w:val="hy-AM"/>
        </w:rPr>
        <w:t>«Արփա-Սևան» թունելի վթարային առանձին հատվածների հիմնանորոգման աշխատանքներ, որոնց շնորհիվ ապահովվելու է թունելի հուսալի և անխափան շահագործումը,</w:t>
      </w:r>
    </w:p>
    <w:p w:rsidR="005F226A" w:rsidRPr="007955BB" w:rsidRDefault="005F226A" w:rsidP="009265F3">
      <w:pPr>
        <w:pStyle w:val="ListParagraph"/>
        <w:numPr>
          <w:ilvl w:val="0"/>
          <w:numId w:val="19"/>
        </w:numPr>
        <w:tabs>
          <w:tab w:val="left" w:pos="284"/>
          <w:tab w:val="left" w:pos="567"/>
          <w:tab w:val="left" w:pos="993"/>
        </w:tabs>
        <w:autoSpaceDE w:val="0"/>
        <w:autoSpaceDN w:val="0"/>
        <w:adjustRightInd w:val="0"/>
        <w:spacing w:before="0" w:line="276" w:lineRule="auto"/>
        <w:ind w:left="0" w:firstLine="450"/>
        <w:contextualSpacing w:val="0"/>
        <w:rPr>
          <w:b w:val="0"/>
          <w:szCs w:val="22"/>
          <w:lang w:val="hy-AM"/>
        </w:rPr>
      </w:pPr>
      <w:r w:rsidRPr="007955BB">
        <w:rPr>
          <w:b w:val="0"/>
          <w:szCs w:val="22"/>
          <w:lang w:val="hy-AM"/>
        </w:rPr>
        <w:t>խթանվելու է նոր տեխնոլոգիաների ներդրմամբ ջրի խնայողական ռեժիմով օգտագործման, այդ թվում՝ կաթիլային և անձրևացման եղանակով ոռոգման համակարգերի ներդրումը, ինչպես նաև ոռոգման ջրի վարձավճարների փոխհատուցման մեխանիզմների կիրառումը,</w:t>
      </w:r>
    </w:p>
    <w:p w:rsidR="005F226A" w:rsidRPr="007955BB" w:rsidRDefault="005F226A" w:rsidP="009265F3">
      <w:pPr>
        <w:pStyle w:val="ListParagraph"/>
        <w:numPr>
          <w:ilvl w:val="0"/>
          <w:numId w:val="19"/>
        </w:numPr>
        <w:tabs>
          <w:tab w:val="left" w:pos="284"/>
          <w:tab w:val="left" w:pos="567"/>
          <w:tab w:val="left" w:pos="993"/>
        </w:tabs>
        <w:autoSpaceDE w:val="0"/>
        <w:autoSpaceDN w:val="0"/>
        <w:adjustRightInd w:val="0"/>
        <w:spacing w:before="0" w:line="276" w:lineRule="auto"/>
        <w:ind w:left="0" w:firstLine="450"/>
        <w:contextualSpacing w:val="0"/>
        <w:rPr>
          <w:b w:val="0"/>
          <w:szCs w:val="22"/>
          <w:lang w:val="hy-AM"/>
        </w:rPr>
      </w:pPr>
      <w:r w:rsidRPr="007955BB">
        <w:rPr>
          <w:b w:val="0"/>
          <w:szCs w:val="22"/>
          <w:lang w:val="hy-AM"/>
        </w:rPr>
        <w:t>շարունակվելու</w:t>
      </w:r>
      <w:r w:rsidR="0079037A" w:rsidRPr="007955BB">
        <w:rPr>
          <w:b w:val="0"/>
          <w:szCs w:val="22"/>
          <w:lang w:val="hy-AM"/>
        </w:rPr>
        <w:t xml:space="preserve"> է</w:t>
      </w:r>
      <w:r w:rsidRPr="007955BB">
        <w:rPr>
          <w:b w:val="0"/>
          <w:szCs w:val="22"/>
          <w:lang w:val="hy-AM"/>
        </w:rPr>
        <w:t xml:space="preserve"> ոռոգման համակարգերում կառավարման ավտոմատացված ու տվյալների հավաքման (SCADA) համակարգով հագեցած ջրաչափական սարքավորումների տեղադրման և շահագործման միջոցառումների գործընթացը, </w:t>
      </w:r>
    </w:p>
    <w:p w:rsidR="005F226A" w:rsidRPr="007955BB" w:rsidRDefault="005F226A" w:rsidP="009265F3">
      <w:pPr>
        <w:pStyle w:val="ListParagraph"/>
        <w:numPr>
          <w:ilvl w:val="0"/>
          <w:numId w:val="19"/>
        </w:numPr>
        <w:tabs>
          <w:tab w:val="left" w:pos="284"/>
          <w:tab w:val="left" w:pos="567"/>
          <w:tab w:val="left" w:pos="993"/>
        </w:tabs>
        <w:autoSpaceDE w:val="0"/>
        <w:autoSpaceDN w:val="0"/>
        <w:adjustRightInd w:val="0"/>
        <w:spacing w:before="0" w:line="276" w:lineRule="auto"/>
        <w:ind w:left="0" w:firstLine="450"/>
        <w:contextualSpacing w:val="0"/>
        <w:rPr>
          <w:b w:val="0"/>
          <w:szCs w:val="22"/>
          <w:lang w:val="hy-AM"/>
        </w:rPr>
      </w:pPr>
      <w:r w:rsidRPr="007955BB">
        <w:rPr>
          <w:b w:val="0"/>
          <w:szCs w:val="22"/>
          <w:lang w:val="hy-AM"/>
        </w:rPr>
        <w:t>ցերեկային ժամերին առաջացած պոտենցիալ ջրերը, ինչպես նաև գիշերային ժամերին չօգտագործելու հետևանքով առաջացած ջրի ծավալները կուտակելու նպատակով</w:t>
      </w:r>
      <w:r w:rsidR="009978D7" w:rsidRPr="007955BB">
        <w:rPr>
          <w:b w:val="0"/>
          <w:szCs w:val="22"/>
          <w:lang w:val="hy-AM"/>
        </w:rPr>
        <w:t xml:space="preserve"> կառուցվելու</w:t>
      </w:r>
      <w:r w:rsidRPr="007955BB">
        <w:rPr>
          <w:b w:val="0"/>
          <w:szCs w:val="22"/>
          <w:lang w:val="hy-AM"/>
        </w:rPr>
        <w:t xml:space="preserve"> են օրվա կարգավորիչ ջրավազաններ,</w:t>
      </w:r>
    </w:p>
    <w:p w:rsidR="005F226A" w:rsidRPr="007955BB" w:rsidRDefault="009A7816" w:rsidP="009265F3">
      <w:pPr>
        <w:pStyle w:val="ListParagraph"/>
        <w:numPr>
          <w:ilvl w:val="0"/>
          <w:numId w:val="19"/>
        </w:numPr>
        <w:tabs>
          <w:tab w:val="left" w:pos="284"/>
          <w:tab w:val="left" w:pos="567"/>
          <w:tab w:val="left" w:pos="993"/>
        </w:tabs>
        <w:autoSpaceDE w:val="0"/>
        <w:autoSpaceDN w:val="0"/>
        <w:adjustRightInd w:val="0"/>
        <w:spacing w:before="0" w:line="276" w:lineRule="auto"/>
        <w:ind w:left="0" w:firstLine="450"/>
        <w:contextualSpacing w:val="0"/>
        <w:rPr>
          <w:b w:val="0"/>
          <w:szCs w:val="22"/>
          <w:lang w:val="hy-AM"/>
        </w:rPr>
      </w:pPr>
      <w:r w:rsidRPr="007955BB">
        <w:rPr>
          <w:b w:val="0"/>
          <w:szCs w:val="22"/>
          <w:lang w:val="hy-AM"/>
        </w:rPr>
        <w:t xml:space="preserve">իրականացվելու է </w:t>
      </w:r>
      <w:r w:rsidR="009978D7" w:rsidRPr="007955BB">
        <w:rPr>
          <w:b w:val="0"/>
          <w:szCs w:val="22"/>
          <w:lang w:val="hy-AM"/>
        </w:rPr>
        <w:t>գետերի</w:t>
      </w:r>
      <w:r w:rsidR="005F226A" w:rsidRPr="007955BB">
        <w:rPr>
          <w:b w:val="0"/>
          <w:szCs w:val="22"/>
          <w:lang w:val="hy-AM"/>
        </w:rPr>
        <w:t xml:space="preserve"> ափերի ամրացման աշխատանքներ,</w:t>
      </w:r>
    </w:p>
    <w:p w:rsidR="00784AC7" w:rsidRPr="007955BB" w:rsidRDefault="00784AC7" w:rsidP="009265F3">
      <w:pPr>
        <w:pStyle w:val="ListParagraph"/>
        <w:numPr>
          <w:ilvl w:val="0"/>
          <w:numId w:val="19"/>
        </w:numPr>
        <w:tabs>
          <w:tab w:val="left" w:pos="284"/>
          <w:tab w:val="left" w:pos="567"/>
          <w:tab w:val="left" w:pos="993"/>
        </w:tabs>
        <w:autoSpaceDE w:val="0"/>
        <w:autoSpaceDN w:val="0"/>
        <w:adjustRightInd w:val="0"/>
        <w:spacing w:before="0" w:line="276" w:lineRule="auto"/>
        <w:ind w:left="0" w:firstLine="450"/>
        <w:contextualSpacing w:val="0"/>
        <w:rPr>
          <w:b w:val="0"/>
          <w:szCs w:val="22"/>
          <w:lang w:val="hy-AM"/>
        </w:rPr>
      </w:pPr>
      <w:r w:rsidRPr="007955BB">
        <w:rPr>
          <w:b w:val="0"/>
          <w:szCs w:val="22"/>
          <w:lang w:val="hy-AM"/>
        </w:rPr>
        <w:t>նախատեսվում է ավարտին հասցնել Վեդու ջրամբարի կառուցման, ինչպես նաև Կապսի ջրամբարի 8.0 մ բարձրությամբ պատվարի շինարարական աշխատանքները</w:t>
      </w:r>
      <w:r w:rsidR="007801A8" w:rsidRPr="007955BB">
        <w:rPr>
          <w:b w:val="0"/>
          <w:szCs w:val="22"/>
          <w:lang w:val="hy-AM"/>
        </w:rPr>
        <w:t>,</w:t>
      </w:r>
      <w:r w:rsidRPr="007955BB">
        <w:rPr>
          <w:b w:val="0"/>
          <w:szCs w:val="22"/>
          <w:lang w:val="hy-AM"/>
        </w:rPr>
        <w:t xml:space="preserve"> </w:t>
      </w:r>
    </w:p>
    <w:p w:rsidR="00784AC7" w:rsidRPr="007955BB" w:rsidRDefault="00784AC7" w:rsidP="009265F3">
      <w:pPr>
        <w:pStyle w:val="ListParagraph"/>
        <w:numPr>
          <w:ilvl w:val="0"/>
          <w:numId w:val="19"/>
        </w:numPr>
        <w:tabs>
          <w:tab w:val="left" w:pos="284"/>
          <w:tab w:val="left" w:pos="567"/>
          <w:tab w:val="left" w:pos="993"/>
        </w:tabs>
        <w:autoSpaceDE w:val="0"/>
        <w:autoSpaceDN w:val="0"/>
        <w:adjustRightInd w:val="0"/>
        <w:spacing w:before="0" w:line="276" w:lineRule="auto"/>
        <w:ind w:left="0" w:firstLine="450"/>
        <w:contextualSpacing w:val="0"/>
        <w:rPr>
          <w:b w:val="0"/>
          <w:szCs w:val="22"/>
          <w:lang w:val="hy-AM"/>
        </w:rPr>
      </w:pPr>
      <w:r w:rsidRPr="007955BB">
        <w:rPr>
          <w:b w:val="0"/>
          <w:szCs w:val="22"/>
          <w:lang w:val="hy-AM"/>
        </w:rPr>
        <w:t>իրականացվելու են ոռոգման ջրանցքների, ոռոգման ներտնտեսային ցանցի, ջրատարների և պոմպակայանների վերականգնման և նորոգման, ինչպես նաև ինքնահոս համակարգերի կառուցման աշխատանքներ,</w:t>
      </w:r>
    </w:p>
    <w:p w:rsidR="00784AC7" w:rsidRPr="007955BB" w:rsidRDefault="00784AC7" w:rsidP="009265F3">
      <w:pPr>
        <w:pStyle w:val="ListParagraph"/>
        <w:numPr>
          <w:ilvl w:val="0"/>
          <w:numId w:val="19"/>
        </w:numPr>
        <w:tabs>
          <w:tab w:val="left" w:pos="284"/>
          <w:tab w:val="left" w:pos="567"/>
          <w:tab w:val="left" w:pos="993"/>
        </w:tabs>
        <w:autoSpaceDE w:val="0"/>
        <w:autoSpaceDN w:val="0"/>
        <w:adjustRightInd w:val="0"/>
        <w:spacing w:before="0" w:line="276" w:lineRule="auto"/>
        <w:ind w:left="0" w:firstLine="450"/>
        <w:contextualSpacing w:val="0"/>
        <w:rPr>
          <w:b w:val="0"/>
          <w:szCs w:val="22"/>
          <w:lang w:val="hy-AM"/>
        </w:rPr>
      </w:pPr>
      <w:r w:rsidRPr="007955BB">
        <w:rPr>
          <w:b w:val="0"/>
          <w:szCs w:val="22"/>
          <w:lang w:val="hy-AM"/>
        </w:rPr>
        <w:t>նախատեսվում է բարելավել Երևանի ջրամատակարարումը Հաղթանակ, Սիլիկյան և Մալաթիա թաղամասերում, ինչպես նաև՝ ՀՀ մարզերում մեկնարկած ջրամատակարարման և ջրահեռացման համակարգերի վերականգնման աշխատանքները</w:t>
      </w:r>
      <w:r w:rsidR="007801A8" w:rsidRPr="007955BB">
        <w:rPr>
          <w:b w:val="0"/>
          <w:szCs w:val="22"/>
          <w:lang w:val="hy-AM"/>
        </w:rPr>
        <w:t>,</w:t>
      </w:r>
    </w:p>
    <w:p w:rsidR="00784AC7" w:rsidRPr="007955BB" w:rsidRDefault="00784AC7" w:rsidP="009265F3">
      <w:pPr>
        <w:pStyle w:val="ListParagraph"/>
        <w:numPr>
          <w:ilvl w:val="0"/>
          <w:numId w:val="19"/>
        </w:numPr>
        <w:tabs>
          <w:tab w:val="left" w:pos="284"/>
          <w:tab w:val="left" w:pos="567"/>
          <w:tab w:val="left" w:pos="993"/>
        </w:tabs>
        <w:autoSpaceDE w:val="0"/>
        <w:autoSpaceDN w:val="0"/>
        <w:adjustRightInd w:val="0"/>
        <w:spacing w:before="0" w:line="276" w:lineRule="auto"/>
        <w:ind w:left="0" w:firstLine="450"/>
        <w:contextualSpacing w:val="0"/>
        <w:rPr>
          <w:rFonts w:cs="AK Courier"/>
          <w:b w:val="0"/>
          <w:szCs w:val="22"/>
          <w:lang w:val="hy-AM"/>
        </w:rPr>
      </w:pPr>
      <w:r w:rsidRPr="007955BB">
        <w:rPr>
          <w:b w:val="0"/>
          <w:szCs w:val="22"/>
          <w:lang w:val="hy-AM"/>
        </w:rPr>
        <w:t>շարունակվելու են ջրի և էլեկտրաէներգիայի</w:t>
      </w:r>
      <w:r w:rsidRPr="007955BB">
        <w:rPr>
          <w:rFonts w:cs="AK Courier"/>
          <w:b w:val="0"/>
          <w:szCs w:val="22"/>
          <w:lang w:val="hy-AM"/>
        </w:rPr>
        <w:t xml:space="preserve"> խնայողության խրախուսման, ջրամատակարարման տևողության ավելացման և ջրի որակի բարելավման, ինչպես նաև հաշվառման համակարգի շարունակական կատարելագործման աշխատանքները:</w:t>
      </w:r>
    </w:p>
    <w:p w:rsidR="00BA5EC2" w:rsidRPr="007955BB" w:rsidRDefault="00BA5EC2" w:rsidP="00BA5EC2">
      <w:pPr>
        <w:tabs>
          <w:tab w:val="left" w:pos="284"/>
          <w:tab w:val="left" w:pos="567"/>
          <w:tab w:val="left" w:pos="993"/>
        </w:tabs>
        <w:spacing w:before="0" w:line="276" w:lineRule="auto"/>
        <w:contextualSpacing w:val="0"/>
        <w:rPr>
          <w:rFonts w:cs="AK Courier"/>
          <w:b w:val="0"/>
          <w:szCs w:val="22"/>
          <w:lang w:val="hy-AM"/>
        </w:rPr>
      </w:pPr>
    </w:p>
    <w:p w:rsidR="00BA5EC2" w:rsidRPr="007955BB" w:rsidRDefault="00B51BBA" w:rsidP="00BA5EC2">
      <w:pPr>
        <w:keepNext/>
        <w:tabs>
          <w:tab w:val="left" w:pos="360"/>
        </w:tabs>
        <w:spacing w:before="0" w:line="276" w:lineRule="auto"/>
        <w:ind w:firstLine="426"/>
        <w:contextualSpacing w:val="0"/>
        <w:outlineLvl w:val="2"/>
        <w:rPr>
          <w:rFonts w:cs="Arial"/>
          <w:szCs w:val="22"/>
          <w:lang w:val="hy-AM" w:eastAsia="en-US"/>
        </w:rPr>
      </w:pPr>
      <w:r w:rsidRPr="007955BB">
        <w:rPr>
          <w:rFonts w:cs="Arial"/>
          <w:szCs w:val="22"/>
          <w:lang w:val="hy-AM" w:eastAsia="en-US"/>
        </w:rPr>
        <w:tab/>
      </w:r>
      <w:r w:rsidRPr="007955BB">
        <w:rPr>
          <w:rFonts w:cs="Arial"/>
          <w:szCs w:val="22"/>
          <w:lang w:val="hy-AM" w:eastAsia="en-US"/>
        </w:rPr>
        <w:tab/>
      </w:r>
      <w:r w:rsidRPr="007955BB">
        <w:rPr>
          <w:rFonts w:cs="Arial"/>
          <w:szCs w:val="22"/>
          <w:lang w:val="hy-AM" w:eastAsia="en-US"/>
        </w:rPr>
        <w:tab/>
      </w:r>
      <w:r w:rsidRPr="007955BB">
        <w:rPr>
          <w:rFonts w:cs="Arial"/>
          <w:szCs w:val="22"/>
          <w:lang w:val="hy-AM" w:eastAsia="en-US"/>
        </w:rPr>
        <w:tab/>
      </w:r>
      <w:bookmarkStart w:id="23" w:name="_Toc120805165"/>
      <w:r w:rsidR="00BA5EC2" w:rsidRPr="007955BB">
        <w:rPr>
          <w:rFonts w:cs="Arial"/>
          <w:szCs w:val="22"/>
          <w:lang w:val="hy-AM" w:eastAsia="en-US"/>
        </w:rPr>
        <w:t>Հանրային ծառայությունների կարգավորում</w:t>
      </w:r>
      <w:bookmarkEnd w:id="23"/>
      <w:r w:rsidR="00BA5EC2" w:rsidRPr="007955BB">
        <w:rPr>
          <w:rFonts w:cs="Arial"/>
          <w:szCs w:val="22"/>
          <w:lang w:val="hy-AM" w:eastAsia="en-US"/>
        </w:rPr>
        <w:t xml:space="preserve"> </w:t>
      </w:r>
    </w:p>
    <w:p w:rsidR="00B51BBA" w:rsidRPr="007955BB" w:rsidRDefault="00B51BBA" w:rsidP="008F5CA2">
      <w:pPr>
        <w:pStyle w:val="BodyText2"/>
      </w:pPr>
      <w:r w:rsidRPr="007955BB">
        <w:t>2023 թվականի փետրվարի 1-ից էլեկտրաէներգետիկական ազատականացված շուկային անցմամբ պայմանավորված՝ նախատեսվում է սակագների որոշման cost based մեխանիզմներից անցում market based մեխանիզմների, երբ մեծածախ շուկայի առանձին սեգմենտներում առևտրի կազմակերպման և պատասխանատվության սահմանման մեխանիզմների կիրառմամբ հնարավորություն կընձեռվի մրցակցային հարաբերությունների պայմաններում որոշելու էլեկտրական էներգիայի գինը։ 2023 թվականի ընթացքում կշարունակեն իրականացվել էներգետիկայի բնագավառում էներգետիկ հաշվեկշիռների, կարգավորվող ընկերությունների կողմից ծախսերի ու պարտավորությունների, սակագների վրա ազդող մի շարք այլ գործոնների վերլուծություններ և, ըստ անհրաժեշտության, սակագների վերանայման աշխատանքներ,</w:t>
      </w:r>
      <w:r w:rsidRPr="007955BB">
        <w:rPr>
          <w:rFonts w:cs="AK Courier"/>
          <w:bCs/>
          <w:color w:val="000000"/>
        </w:rPr>
        <w:t xml:space="preserve"> </w:t>
      </w:r>
      <w:r w:rsidRPr="007955BB">
        <w:t>կճշգրտվեն գնման երաշխիք ունեցող վերականգնվող էներգետիկ ռեսուրսների օգտագործմամբ կայաններից առաքվող էլեկտրական էներգիայի վաճառքի սակագները:</w:t>
      </w:r>
    </w:p>
    <w:p w:rsidR="00B51BBA" w:rsidRPr="007955BB" w:rsidRDefault="00B51BBA" w:rsidP="008F5CA2">
      <w:pPr>
        <w:pStyle w:val="BodyText2"/>
      </w:pPr>
      <w:r w:rsidRPr="007955BB">
        <w:t>2023 թվականին կշարունակվեն աշխատանքները (այդ թվում՝ օպերատորների հետ համագործակցության, ինչպես նաև լիցենզիաների և ռադիոհաճախականությունների օգտագործման թույլտվությունների տրամադրմամբ) ենթակառուցվածքների զարգացման և ՀՀ բնակավայրերում (առավելապես սահմանամերձ բնակավայրերում) ամրակցված (լարային և անլար տեխնոլոգիաների) լայնաշերտ ինտերնետ հասանելիության ծառայությունների զարգացման ուղղությամբ, որոնցով պայմանավորված ակնկալվում է լայնաշերտ տեխնոլոգիայի վրա հիմնված օպտիկամանրաթելային ցանցերի հասանելիության և ամրակցված լայնաշերտ ինտերնետ հասանելիության բաժանորդների թվաքանակի աճ 5-10-ական%, ինչպես նաև օգտագործված ընդհանուր լայնաշերտ ինտերնետ կապի հոսքերի աճ՝ 30-50% միջակայքերի սահմաններում։</w:t>
      </w:r>
    </w:p>
    <w:p w:rsidR="00B51BBA" w:rsidRPr="007955BB" w:rsidRDefault="00B51BBA" w:rsidP="008F5CA2">
      <w:pPr>
        <w:pStyle w:val="BodyText2"/>
      </w:pPr>
      <w:r w:rsidRPr="007955BB">
        <w:t>Բացի այդ, հաշվի առնելով ՀՀ էլեկտրոնային հաղորդակցության ոլորտի առկա ձեռքբերումները, նախատեսվում է ոլորտի իրավասու և շահագրգիռ պատկան այլ մարմինների հետ քննարկումների արդյունքում իրականացնել հանձնաժողովի տնօրինմանը հանձնված ռադիոհաճախականությունների 700ՄՀց տիրույթի՝ 703-733ՄՀց և 758-788ՄՀց և 800ՄՀց տիրույթի՝ 791-801ՄՀց և 832-842ՄՀց հատվածների տրամադրման մրցույթներ՝ հանրային շարժական կապի 4G տեխնոլոգիայից դեպի 5G տեխնոլոգիայի ցանցերի սահուն անցումն ապահովող նորագույն սերնդի շարժական լայնաշերտ կապի ցանցերի զարգացման (ներդրման) նպատակով։</w:t>
      </w:r>
    </w:p>
    <w:p w:rsidR="000825DA" w:rsidRPr="007955BB" w:rsidRDefault="000825DA" w:rsidP="00BA5EC2">
      <w:pPr>
        <w:tabs>
          <w:tab w:val="left" w:pos="284"/>
          <w:tab w:val="left" w:pos="567"/>
          <w:tab w:val="left" w:pos="993"/>
        </w:tabs>
        <w:spacing w:before="0" w:line="276" w:lineRule="auto"/>
        <w:contextualSpacing w:val="0"/>
        <w:rPr>
          <w:rFonts w:cs="AK Courier"/>
          <w:b w:val="0"/>
          <w:szCs w:val="22"/>
          <w:lang w:val="hy-AM"/>
        </w:rPr>
      </w:pPr>
    </w:p>
    <w:p w:rsidR="005F226A" w:rsidRPr="007955BB" w:rsidRDefault="005F226A" w:rsidP="005F226A">
      <w:pPr>
        <w:keepNext/>
        <w:tabs>
          <w:tab w:val="left" w:pos="360"/>
        </w:tabs>
        <w:spacing w:before="0" w:line="276" w:lineRule="auto"/>
        <w:ind w:firstLine="426"/>
        <w:contextualSpacing w:val="0"/>
        <w:outlineLvl w:val="2"/>
        <w:rPr>
          <w:rFonts w:cs="Arial"/>
          <w:szCs w:val="22"/>
          <w:lang w:val="hy-AM" w:eastAsia="en-US"/>
        </w:rPr>
      </w:pPr>
      <w:bookmarkStart w:id="24" w:name="_Toc26174890"/>
      <w:bookmarkStart w:id="25" w:name="_Toc57655420"/>
      <w:bookmarkStart w:id="26" w:name="_Toc83567437"/>
      <w:bookmarkStart w:id="27" w:name="_Toc120805166"/>
      <w:r w:rsidRPr="007955BB">
        <w:rPr>
          <w:rFonts w:cs="Arial"/>
          <w:szCs w:val="22"/>
          <w:lang w:val="hy-AM" w:eastAsia="en-US"/>
        </w:rPr>
        <w:t>Քաղաքացիական ավիացիա</w:t>
      </w:r>
      <w:bookmarkEnd w:id="24"/>
      <w:bookmarkEnd w:id="25"/>
      <w:bookmarkEnd w:id="26"/>
      <w:bookmarkEnd w:id="27"/>
      <w:r w:rsidRPr="007955BB">
        <w:rPr>
          <w:rFonts w:cs="Arial"/>
          <w:szCs w:val="22"/>
          <w:lang w:val="hy-AM" w:eastAsia="en-US"/>
        </w:rPr>
        <w:t xml:space="preserve"> </w:t>
      </w:r>
    </w:p>
    <w:p w:rsidR="005F226A" w:rsidRPr="007955BB" w:rsidRDefault="005F226A" w:rsidP="006A42C2">
      <w:pPr>
        <w:shd w:val="clear" w:color="auto" w:fill="FFFFFF"/>
        <w:tabs>
          <w:tab w:val="left" w:pos="284"/>
          <w:tab w:val="left" w:pos="426"/>
          <w:tab w:val="left" w:pos="567"/>
          <w:tab w:val="left" w:pos="993"/>
        </w:tabs>
        <w:spacing w:before="0" w:line="276" w:lineRule="auto"/>
        <w:ind w:firstLine="450"/>
        <w:contextualSpacing w:val="0"/>
        <w:rPr>
          <w:rFonts w:cs="AK Courier"/>
          <w:b w:val="0"/>
          <w:szCs w:val="22"/>
          <w:lang w:val="hy-AM"/>
        </w:rPr>
      </w:pPr>
      <w:r w:rsidRPr="007955BB">
        <w:rPr>
          <w:rFonts w:cs="AK Courier"/>
          <w:b w:val="0"/>
          <w:szCs w:val="22"/>
          <w:lang w:val="hy-AM"/>
        </w:rPr>
        <w:t xml:space="preserve">Քաղաքացիական ավիացիայի ոլորտի կառավարման արդյունավետության բարձրացման նպատակով </w:t>
      </w:r>
      <w:r w:rsidR="003F0255" w:rsidRPr="007955BB">
        <w:rPr>
          <w:rFonts w:cs="AK Courier"/>
          <w:b w:val="0"/>
          <w:szCs w:val="22"/>
          <w:lang w:val="hy-AM"/>
        </w:rPr>
        <w:t xml:space="preserve">կշարունակվի </w:t>
      </w:r>
      <w:r w:rsidRPr="007955BB">
        <w:rPr>
          <w:rFonts w:cs="AK Courier"/>
          <w:b w:val="0"/>
          <w:szCs w:val="22"/>
          <w:lang w:val="hy-AM"/>
        </w:rPr>
        <w:t>թռիչքային և ավիացիոն անվտանգության մակարդակների համապատասխանեցում</w:t>
      </w:r>
      <w:r w:rsidR="003F0255" w:rsidRPr="007955BB">
        <w:rPr>
          <w:rFonts w:cs="AK Courier"/>
          <w:b w:val="0"/>
          <w:szCs w:val="22"/>
          <w:lang w:val="hy-AM"/>
        </w:rPr>
        <w:t>ը</w:t>
      </w:r>
      <w:r w:rsidRPr="007955BB">
        <w:rPr>
          <w:rFonts w:cs="AK Courier"/>
          <w:b w:val="0"/>
          <w:szCs w:val="22"/>
          <w:lang w:val="hy-AM"/>
        </w:rPr>
        <w:t xml:space="preserve"> եվրոպական և միջազգային ստանդարտներին: </w:t>
      </w:r>
    </w:p>
    <w:p w:rsidR="005F226A" w:rsidRPr="007955BB" w:rsidRDefault="005F226A" w:rsidP="005F226A">
      <w:pPr>
        <w:tabs>
          <w:tab w:val="left" w:pos="284"/>
          <w:tab w:val="left" w:pos="993"/>
        </w:tabs>
        <w:spacing w:before="0" w:line="276" w:lineRule="auto"/>
        <w:ind w:firstLine="709"/>
        <w:rPr>
          <w:rFonts w:cs="Arial"/>
          <w:szCs w:val="22"/>
          <w:lang w:val="hy-AM" w:eastAsia="en-US"/>
        </w:rPr>
      </w:pPr>
    </w:p>
    <w:p w:rsidR="005F226A" w:rsidRPr="007955BB" w:rsidRDefault="005F226A" w:rsidP="005F226A">
      <w:pPr>
        <w:keepNext/>
        <w:tabs>
          <w:tab w:val="left" w:pos="360"/>
        </w:tabs>
        <w:spacing w:before="0" w:line="276" w:lineRule="auto"/>
        <w:ind w:firstLine="426"/>
        <w:contextualSpacing w:val="0"/>
        <w:outlineLvl w:val="2"/>
        <w:rPr>
          <w:rFonts w:cs="Arial"/>
          <w:szCs w:val="22"/>
          <w:lang w:val="hy-AM" w:eastAsia="en-US"/>
        </w:rPr>
      </w:pPr>
      <w:r w:rsidRPr="007955BB">
        <w:rPr>
          <w:rFonts w:cs="Arial"/>
          <w:szCs w:val="22"/>
          <w:lang w:val="hy-AM" w:eastAsia="en-US"/>
        </w:rPr>
        <w:tab/>
      </w:r>
      <w:r w:rsidRPr="007955BB">
        <w:rPr>
          <w:rFonts w:cs="Arial"/>
          <w:szCs w:val="22"/>
          <w:lang w:val="hy-AM" w:eastAsia="en-US"/>
        </w:rPr>
        <w:tab/>
      </w:r>
      <w:bookmarkStart w:id="28" w:name="_Toc82989526"/>
      <w:bookmarkStart w:id="29" w:name="_Toc83567438"/>
      <w:bookmarkStart w:id="30" w:name="_Toc120805167"/>
      <w:r w:rsidRPr="007955BB">
        <w:rPr>
          <w:rFonts w:cs="Arial"/>
          <w:szCs w:val="22"/>
          <w:lang w:val="hy-AM" w:eastAsia="en-US"/>
        </w:rPr>
        <w:t>Պետական գույքի կառավարման ոլորտ</w:t>
      </w:r>
      <w:bookmarkEnd w:id="28"/>
      <w:bookmarkEnd w:id="29"/>
      <w:bookmarkEnd w:id="30"/>
    </w:p>
    <w:p w:rsidR="005F226A" w:rsidRPr="007955BB" w:rsidRDefault="0069756F" w:rsidP="008F5CA2">
      <w:pPr>
        <w:pStyle w:val="BodyText2"/>
      </w:pPr>
      <w:r w:rsidRPr="007955BB">
        <w:t>Պ</w:t>
      </w:r>
      <w:r w:rsidR="005F226A" w:rsidRPr="007955BB">
        <w:t xml:space="preserve">ետական գույքի կառավարման արդյունավետության բարձրացման շնորհիվ </w:t>
      </w:r>
      <w:r w:rsidRPr="007955BB">
        <w:t xml:space="preserve">կբարձրացվեն </w:t>
      </w:r>
      <w:r w:rsidR="005F226A" w:rsidRPr="007955BB">
        <w:t>պետական գույքի մասնավորեցումից, օտարումից</w:t>
      </w:r>
      <w:r w:rsidRPr="007955BB">
        <w:t xml:space="preserve"> և</w:t>
      </w:r>
      <w:r w:rsidR="005F226A" w:rsidRPr="007955BB">
        <w:t xml:space="preserve"> օգտագործումից </w:t>
      </w:r>
      <w:r w:rsidRPr="007955BB">
        <w:t>եկամուտները, ինչպես նաև՝</w:t>
      </w:r>
      <w:r w:rsidR="005F226A" w:rsidRPr="007955BB">
        <w:t xml:space="preserve"> տնտեսական շրջանառության մեջ </w:t>
      </w:r>
      <w:r w:rsidRPr="007955BB">
        <w:t xml:space="preserve">ներկայումս պետական սեփականություն հանդիսացող գույքի </w:t>
      </w:r>
      <w:r w:rsidR="005F226A" w:rsidRPr="007955BB">
        <w:t>ներգրավվածությ</w:t>
      </w:r>
      <w:r w:rsidRPr="007955BB">
        <w:t>ունը</w:t>
      </w:r>
      <w:r w:rsidRPr="007955BB" w:rsidDel="0069756F">
        <w:t xml:space="preserve"> </w:t>
      </w:r>
      <w:r w:rsidR="005F226A" w:rsidRPr="007955BB">
        <w:t>։</w:t>
      </w:r>
    </w:p>
    <w:p w:rsidR="005F226A" w:rsidRPr="007955BB" w:rsidRDefault="0069756F" w:rsidP="008F5CA2">
      <w:pPr>
        <w:pStyle w:val="BodyText2"/>
      </w:pPr>
      <w:r w:rsidRPr="007955BB">
        <w:t>Պ</w:t>
      </w:r>
      <w:r w:rsidR="005F226A" w:rsidRPr="007955BB">
        <w:t xml:space="preserve">ետական համակարգի մարմինների և պետական կազմակերպությունների կողմից </w:t>
      </w:r>
      <w:r w:rsidRPr="007955BB">
        <w:t xml:space="preserve">վարձակալված՝ </w:t>
      </w:r>
      <w:r w:rsidR="005F226A" w:rsidRPr="007955BB">
        <w:t>ոչ պետական սեփականություն համարվող տարածքները կփոխարինվեն պետության սեփականությունը համարվող համապատասխան տարածքներով։</w:t>
      </w:r>
    </w:p>
    <w:p w:rsidR="002F5005" w:rsidRPr="007955BB" w:rsidRDefault="002F5005" w:rsidP="008F5CA2">
      <w:pPr>
        <w:pStyle w:val="BodyText2"/>
      </w:pPr>
    </w:p>
    <w:p w:rsidR="005F226A" w:rsidRPr="007955BB" w:rsidRDefault="005F226A" w:rsidP="005F226A">
      <w:pPr>
        <w:keepNext/>
        <w:tabs>
          <w:tab w:val="left" w:pos="567"/>
        </w:tabs>
        <w:spacing w:before="0" w:line="276" w:lineRule="auto"/>
        <w:ind w:firstLine="720"/>
        <w:contextualSpacing w:val="0"/>
        <w:outlineLvl w:val="2"/>
        <w:rPr>
          <w:rFonts w:cs="Arial"/>
          <w:szCs w:val="22"/>
          <w:lang w:val="hy-AM" w:eastAsia="en-US"/>
        </w:rPr>
      </w:pPr>
      <w:bookmarkStart w:id="31" w:name="_Toc83567439"/>
      <w:bookmarkStart w:id="32" w:name="_Toc120805168"/>
      <w:r w:rsidRPr="007955BB">
        <w:rPr>
          <w:rFonts w:cs="Arial"/>
          <w:lang w:val="hy-AM"/>
        </w:rPr>
        <w:t>Միգրացիա</w:t>
      </w:r>
      <w:bookmarkStart w:id="33" w:name="_Toc26174887"/>
      <w:bookmarkEnd w:id="31"/>
      <w:bookmarkEnd w:id="32"/>
    </w:p>
    <w:p w:rsidR="005F226A" w:rsidRPr="007955BB" w:rsidRDefault="005F226A" w:rsidP="00D11608">
      <w:pPr>
        <w:tabs>
          <w:tab w:val="left" w:pos="284"/>
          <w:tab w:val="left" w:pos="567"/>
          <w:tab w:val="left" w:pos="993"/>
        </w:tabs>
        <w:spacing w:before="0" w:line="276" w:lineRule="auto"/>
        <w:ind w:firstLine="360"/>
        <w:contextualSpacing w:val="0"/>
        <w:rPr>
          <w:rFonts w:cs="Sylfaen"/>
          <w:b w:val="0"/>
          <w:szCs w:val="22"/>
          <w:lang w:val="hy-AM" w:eastAsia="en-US"/>
        </w:rPr>
      </w:pPr>
      <w:bookmarkStart w:id="34" w:name="_Toc26174888"/>
      <w:bookmarkEnd w:id="33"/>
      <w:r w:rsidRPr="007955BB">
        <w:rPr>
          <w:rFonts w:cs="Sylfaen"/>
          <w:b w:val="0"/>
          <w:szCs w:val="22"/>
          <w:lang w:val="hy-AM" w:eastAsia="en-US"/>
        </w:rPr>
        <w:t xml:space="preserve">ՀՀ-ում միգրացիոն ոլորտի զարգացման նպատակով նախատեսվում է՝ </w:t>
      </w:r>
    </w:p>
    <w:p w:rsidR="005F226A" w:rsidRPr="007955BB" w:rsidRDefault="005F226A" w:rsidP="00D11608">
      <w:pPr>
        <w:tabs>
          <w:tab w:val="left" w:pos="284"/>
          <w:tab w:val="left" w:pos="993"/>
        </w:tabs>
        <w:spacing w:before="0" w:line="276" w:lineRule="auto"/>
        <w:ind w:firstLine="360"/>
        <w:rPr>
          <w:rFonts w:cs="Sylfaen"/>
          <w:b w:val="0"/>
          <w:szCs w:val="22"/>
          <w:lang w:val="hy-AM" w:eastAsia="en-US"/>
        </w:rPr>
      </w:pPr>
      <w:r w:rsidRPr="007955BB">
        <w:rPr>
          <w:rFonts w:cs="Sylfaen"/>
          <w:b w:val="0"/>
          <w:szCs w:val="22"/>
          <w:lang w:val="hy-AM" w:eastAsia="en-US"/>
        </w:rPr>
        <w:t xml:space="preserve"> -</w:t>
      </w:r>
      <w:r w:rsidR="00D108E5" w:rsidRPr="007955BB">
        <w:rPr>
          <w:rFonts w:cs="Sylfaen"/>
          <w:b w:val="0"/>
          <w:szCs w:val="22"/>
          <w:lang w:val="hy-AM" w:eastAsia="en-US"/>
        </w:rPr>
        <w:t xml:space="preserve"> </w:t>
      </w:r>
      <w:r w:rsidRPr="007955BB">
        <w:rPr>
          <w:rFonts w:cs="Sylfaen"/>
          <w:b w:val="0"/>
          <w:szCs w:val="22"/>
          <w:lang w:val="hy-AM" w:eastAsia="en-US"/>
        </w:rPr>
        <w:t>Միգրացիայի կառավարման համակարգի ինստիտուցիոնալ բարեփոխումների իրականացում՝ Ներքին գործերի նախարարության կազմում Միգրացիայի և քաղաքացիության ծառայության ձևավորում,</w:t>
      </w:r>
    </w:p>
    <w:p w:rsidR="005F226A" w:rsidRPr="007955BB" w:rsidRDefault="005F226A" w:rsidP="004861B2">
      <w:pPr>
        <w:pStyle w:val="ListParagraph"/>
        <w:numPr>
          <w:ilvl w:val="0"/>
          <w:numId w:val="20"/>
        </w:numPr>
        <w:tabs>
          <w:tab w:val="left" w:pos="284"/>
          <w:tab w:val="left" w:pos="567"/>
          <w:tab w:val="left" w:pos="993"/>
        </w:tabs>
        <w:spacing w:before="0" w:line="276" w:lineRule="auto"/>
        <w:ind w:left="0" w:firstLine="360"/>
        <w:contextualSpacing w:val="0"/>
        <w:rPr>
          <w:rFonts w:cs="Sylfaen"/>
          <w:b w:val="0"/>
          <w:szCs w:val="22"/>
          <w:lang w:val="hy-AM" w:eastAsia="en-US"/>
        </w:rPr>
      </w:pPr>
      <w:r w:rsidRPr="007955BB">
        <w:rPr>
          <w:rFonts w:cs="Sylfaen"/>
          <w:b w:val="0"/>
          <w:szCs w:val="22"/>
          <w:lang w:val="hy-AM" w:eastAsia="en-US"/>
        </w:rPr>
        <w:t>Միգրացիոն գործընթացների կառավարմանն ուղղված համակարգերի թվայնացում,</w:t>
      </w:r>
    </w:p>
    <w:p w:rsidR="005F226A" w:rsidRPr="007955BB" w:rsidRDefault="005F226A" w:rsidP="004861B2">
      <w:pPr>
        <w:pStyle w:val="ListParagraph"/>
        <w:numPr>
          <w:ilvl w:val="0"/>
          <w:numId w:val="20"/>
        </w:numPr>
        <w:tabs>
          <w:tab w:val="left" w:pos="284"/>
          <w:tab w:val="left" w:pos="567"/>
          <w:tab w:val="left" w:pos="993"/>
        </w:tabs>
        <w:spacing w:before="0" w:line="276" w:lineRule="auto"/>
        <w:ind w:left="0" w:firstLine="360"/>
        <w:contextualSpacing w:val="0"/>
        <w:rPr>
          <w:rFonts w:cs="Sylfaen"/>
          <w:b w:val="0"/>
          <w:szCs w:val="22"/>
          <w:lang w:val="hy-AM" w:eastAsia="en-US"/>
        </w:rPr>
      </w:pPr>
      <w:r w:rsidRPr="007955BB">
        <w:rPr>
          <w:rFonts w:cs="Sylfaen"/>
          <w:b w:val="0"/>
          <w:szCs w:val="22"/>
          <w:lang w:val="hy-AM" w:eastAsia="en-US"/>
        </w:rPr>
        <w:t>Օտարերկրյա քաղաքացիներին ՀՀ-ում աշխատանքի թույլտվության և կացության տրամադրման համակարգի թվայնացում և պարզեցում՝ օտարերկրյա աշխատողների գրանցման միասնական էլեկտրոնային հարթակի գործարկում,</w:t>
      </w:r>
    </w:p>
    <w:p w:rsidR="005F226A" w:rsidRPr="007955BB" w:rsidRDefault="005F226A" w:rsidP="004861B2">
      <w:pPr>
        <w:pStyle w:val="ListParagraph"/>
        <w:numPr>
          <w:ilvl w:val="0"/>
          <w:numId w:val="20"/>
        </w:numPr>
        <w:tabs>
          <w:tab w:val="left" w:pos="284"/>
          <w:tab w:val="left" w:pos="567"/>
          <w:tab w:val="left" w:pos="993"/>
        </w:tabs>
        <w:spacing w:before="0" w:line="276" w:lineRule="auto"/>
        <w:ind w:left="0" w:firstLine="360"/>
        <w:contextualSpacing w:val="0"/>
        <w:rPr>
          <w:rFonts w:cs="Sylfaen"/>
          <w:b w:val="0"/>
          <w:szCs w:val="22"/>
          <w:lang w:val="hy-AM" w:eastAsia="en-US"/>
        </w:rPr>
      </w:pPr>
      <w:r w:rsidRPr="007955BB">
        <w:rPr>
          <w:rFonts w:cs="Sylfaen"/>
          <w:b w:val="0"/>
          <w:szCs w:val="22"/>
          <w:lang w:val="hy-AM" w:eastAsia="en-US"/>
        </w:rPr>
        <w:t>ինտեգրման և վերաինտեգրման խնդիրների կարգավորմանը, հարկադիր միգրանտների զանգվածային ներհոսքի ճգնաժամային կառավարմանն ուղղված գործողությունների ապահովում</w:t>
      </w:r>
      <w:r w:rsidR="00AD2E53" w:rsidRPr="007955BB">
        <w:rPr>
          <w:rFonts w:cs="Sylfaen"/>
          <w:b w:val="0"/>
          <w:szCs w:val="22"/>
          <w:lang w:val="hy-AM" w:eastAsia="en-US"/>
        </w:rPr>
        <w:t>,</w:t>
      </w:r>
    </w:p>
    <w:p w:rsidR="005F226A" w:rsidRPr="007955BB" w:rsidRDefault="005F226A" w:rsidP="004861B2">
      <w:pPr>
        <w:pStyle w:val="ListParagraph"/>
        <w:numPr>
          <w:ilvl w:val="0"/>
          <w:numId w:val="20"/>
        </w:numPr>
        <w:tabs>
          <w:tab w:val="left" w:pos="284"/>
          <w:tab w:val="left" w:pos="567"/>
          <w:tab w:val="left" w:pos="993"/>
        </w:tabs>
        <w:spacing w:before="0" w:line="276" w:lineRule="auto"/>
        <w:ind w:left="0" w:firstLine="360"/>
        <w:contextualSpacing w:val="0"/>
        <w:rPr>
          <w:rFonts w:cs="Sylfaen"/>
          <w:b w:val="0"/>
          <w:szCs w:val="22"/>
          <w:lang w:val="hy-AM" w:eastAsia="en-US"/>
        </w:rPr>
      </w:pPr>
      <w:r w:rsidRPr="007955BB">
        <w:rPr>
          <w:rFonts w:cs="Sylfaen"/>
          <w:b w:val="0"/>
          <w:szCs w:val="22"/>
          <w:lang w:val="hy-AM" w:eastAsia="en-US"/>
        </w:rPr>
        <w:t>ՀՀ վերադարձող քաղաքացիների վերաինտեգրմանն ուղղված ծրագրերի իրականացում,</w:t>
      </w:r>
    </w:p>
    <w:p w:rsidR="005F226A" w:rsidRPr="007955BB" w:rsidRDefault="005F226A" w:rsidP="004861B2">
      <w:pPr>
        <w:pStyle w:val="ListParagraph"/>
        <w:numPr>
          <w:ilvl w:val="0"/>
          <w:numId w:val="20"/>
        </w:numPr>
        <w:tabs>
          <w:tab w:val="left" w:pos="284"/>
          <w:tab w:val="left" w:pos="567"/>
          <w:tab w:val="left" w:pos="993"/>
        </w:tabs>
        <w:spacing w:before="0" w:line="276" w:lineRule="auto"/>
        <w:ind w:left="0" w:firstLine="360"/>
        <w:contextualSpacing w:val="0"/>
        <w:rPr>
          <w:rFonts w:cs="Sylfaen"/>
          <w:b w:val="0"/>
          <w:szCs w:val="22"/>
          <w:lang w:val="hy-AM" w:eastAsia="en-US"/>
        </w:rPr>
      </w:pPr>
      <w:r w:rsidRPr="007955BB">
        <w:rPr>
          <w:rFonts w:cs="Sylfaen"/>
          <w:b w:val="0"/>
          <w:szCs w:val="22"/>
          <w:lang w:val="hy-AM" w:eastAsia="en-US"/>
        </w:rPr>
        <w:t xml:space="preserve"> ՀՀ-ԵՄ միջև առանց թույլտվության բնակվող անձանց հետընդունման (ռեադմիսիայի) մասին համաձայնագրի շրջանակներում ստ</w:t>
      </w:r>
      <w:r w:rsidR="00AD2E53" w:rsidRPr="007955BB">
        <w:rPr>
          <w:rFonts w:cs="Sylfaen"/>
          <w:b w:val="0"/>
          <w:szCs w:val="22"/>
          <w:lang w:val="hy-AM" w:eastAsia="en-US"/>
        </w:rPr>
        <w:t>ացվող հայցերի ընթացքի ապահվում:</w:t>
      </w:r>
    </w:p>
    <w:p w:rsidR="000825DA" w:rsidRPr="007955BB" w:rsidRDefault="000825DA" w:rsidP="005C5FAF">
      <w:pPr>
        <w:pStyle w:val="ListParagraph"/>
        <w:tabs>
          <w:tab w:val="left" w:pos="284"/>
          <w:tab w:val="left" w:pos="567"/>
          <w:tab w:val="left" w:pos="993"/>
        </w:tabs>
        <w:spacing w:before="0" w:line="276" w:lineRule="auto"/>
        <w:ind w:left="709" w:firstLine="0"/>
        <w:contextualSpacing w:val="0"/>
        <w:rPr>
          <w:rFonts w:cs="Sylfaen"/>
          <w:b w:val="0"/>
          <w:szCs w:val="22"/>
          <w:lang w:val="hy-AM" w:eastAsia="en-US"/>
        </w:rPr>
      </w:pPr>
    </w:p>
    <w:p w:rsidR="005F226A" w:rsidRPr="007955BB" w:rsidRDefault="005F226A" w:rsidP="005D2928">
      <w:pPr>
        <w:keepNext/>
        <w:tabs>
          <w:tab w:val="left" w:pos="-2160"/>
        </w:tabs>
        <w:spacing w:before="0" w:line="276" w:lineRule="auto"/>
        <w:ind w:firstLine="720"/>
        <w:contextualSpacing w:val="0"/>
        <w:outlineLvl w:val="2"/>
        <w:rPr>
          <w:rFonts w:cs="Arial"/>
          <w:szCs w:val="22"/>
          <w:lang w:val="hy-AM" w:eastAsia="en-US"/>
        </w:rPr>
      </w:pPr>
      <w:bookmarkStart w:id="35" w:name="_Toc26174892"/>
      <w:bookmarkStart w:id="36" w:name="_Toc83567440"/>
      <w:bookmarkStart w:id="37" w:name="_Toc120805169"/>
      <w:bookmarkEnd w:id="34"/>
      <w:r w:rsidRPr="007955BB">
        <w:rPr>
          <w:rFonts w:cs="Arial"/>
          <w:szCs w:val="22"/>
          <w:lang w:val="hy-AM" w:eastAsia="en-US"/>
        </w:rPr>
        <w:t>Բարձր տեխնոլոգիական արդյունաբերություն</w:t>
      </w:r>
      <w:bookmarkEnd w:id="35"/>
      <w:bookmarkEnd w:id="36"/>
      <w:bookmarkEnd w:id="37"/>
    </w:p>
    <w:p w:rsidR="00B03380" w:rsidRPr="007955BB" w:rsidRDefault="00B03380" w:rsidP="00B03380">
      <w:pPr>
        <w:suppressAutoHyphens/>
        <w:spacing w:before="0" w:line="276" w:lineRule="auto"/>
        <w:rPr>
          <w:b w:val="0"/>
          <w:szCs w:val="22"/>
          <w:lang w:val="hy-AM" w:eastAsia="en-US"/>
        </w:rPr>
      </w:pPr>
      <w:r w:rsidRPr="007955BB">
        <w:rPr>
          <w:b w:val="0"/>
          <w:color w:val="000000"/>
          <w:szCs w:val="22"/>
          <w:lang w:val="hy-AM" w:eastAsia="en-US"/>
        </w:rPr>
        <w:t>Հայաստանը դարձնել բարձր տեխնոլոգիական, արդյունաբերական երկիր դարձնելու նպատակն իրագործելու ուղիներից է բարձր տեխնոլոգիաների, կապի, թվայնացման և ռազմարդյունաբերական համալիրի զարգացումը` զինված ուժերի մարտունակության ու պաշտպանունակության բարձրացումը, տնտեսական աճը, գիտական և տեխնոլոգիական առաջընթացը։</w:t>
      </w:r>
    </w:p>
    <w:p w:rsidR="00B03380" w:rsidRPr="007955BB" w:rsidRDefault="00B03380" w:rsidP="00B03380">
      <w:pPr>
        <w:spacing w:before="0" w:line="276" w:lineRule="auto"/>
        <w:ind w:firstLine="450"/>
        <w:rPr>
          <w:rFonts w:eastAsia="Calibri"/>
          <w:b w:val="0"/>
          <w:szCs w:val="22"/>
          <w:lang w:val="hy-AM" w:eastAsia="en-US"/>
        </w:rPr>
      </w:pPr>
      <w:r w:rsidRPr="007955BB">
        <w:rPr>
          <w:b w:val="0"/>
          <w:color w:val="000000"/>
          <w:szCs w:val="22"/>
          <w:lang w:val="hy-AM" w:eastAsia="en-US"/>
        </w:rPr>
        <w:t xml:space="preserve">2023 թվականին նախատեսվում է </w:t>
      </w:r>
      <w:r w:rsidRPr="007955BB">
        <w:rPr>
          <w:rFonts w:eastAsia="Calibri" w:cs="Sylfaen"/>
          <w:b w:val="0"/>
          <w:szCs w:val="22"/>
          <w:lang w:val="hy-AM" w:eastAsia="en-US"/>
        </w:rPr>
        <w:t>իրականացնել հետևյալ ծրագրերը.</w:t>
      </w:r>
      <w:r w:rsidRPr="007955BB">
        <w:rPr>
          <w:b w:val="0"/>
          <w:szCs w:val="22"/>
          <w:lang w:val="hy-AM" w:eastAsia="en-US"/>
        </w:rPr>
        <w:t xml:space="preserve"> </w:t>
      </w:r>
    </w:p>
    <w:p w:rsidR="00B03380" w:rsidRPr="007955BB" w:rsidRDefault="00B03380" w:rsidP="00B03380">
      <w:pPr>
        <w:spacing w:before="0" w:line="276" w:lineRule="auto"/>
        <w:rPr>
          <w:rFonts w:eastAsia="Calibri"/>
          <w:b w:val="0"/>
          <w:szCs w:val="22"/>
          <w:lang w:val="hy-AM" w:eastAsia="en-US"/>
        </w:rPr>
      </w:pPr>
      <w:r w:rsidRPr="007955BB">
        <w:rPr>
          <w:rFonts w:eastAsia="Calibri"/>
          <w:szCs w:val="22"/>
          <w:lang w:val="hy-AM"/>
        </w:rPr>
        <w:t xml:space="preserve">Բարձր տեխնոլոգիական արդյունաբերության էկոհամակարգի, թվայնացման և շուկայի զարգացման </w:t>
      </w:r>
      <w:r w:rsidRPr="007955BB">
        <w:rPr>
          <w:rFonts w:eastAsia="Calibri"/>
          <w:b w:val="0"/>
          <w:szCs w:val="22"/>
          <w:lang w:val="hy-AM"/>
        </w:rPr>
        <w:t>ծրագիր, որի</w:t>
      </w:r>
      <w:r w:rsidRPr="007955BB">
        <w:rPr>
          <w:rFonts w:eastAsia="Calibri"/>
          <w:b w:val="0"/>
          <w:szCs w:val="22"/>
          <w:lang w:val="hy-AM" w:eastAsia="en-US"/>
        </w:rPr>
        <w:t xml:space="preserve"> նպատակն է բարձր տեխնոլոգիաների ենթակառուցվածքների բարելավումը, մասնավորապես.</w:t>
      </w:r>
    </w:p>
    <w:p w:rsidR="00B03380" w:rsidRPr="007955BB" w:rsidRDefault="00F1351F" w:rsidP="00F04DA1">
      <w:pPr>
        <w:numPr>
          <w:ilvl w:val="0"/>
          <w:numId w:val="48"/>
        </w:numPr>
        <w:suppressAutoHyphens/>
        <w:spacing w:before="0" w:line="276" w:lineRule="auto"/>
        <w:ind w:left="0" w:firstLine="426"/>
        <w:contextualSpacing w:val="0"/>
        <w:rPr>
          <w:b w:val="0"/>
          <w:szCs w:val="22"/>
          <w:lang w:val="hy-AM" w:eastAsia="en-US"/>
        </w:rPr>
      </w:pPr>
      <w:r w:rsidRPr="007955BB">
        <w:rPr>
          <w:b w:val="0"/>
          <w:szCs w:val="22"/>
          <w:lang w:val="hy-AM" w:eastAsia="en-US"/>
        </w:rPr>
        <w:t xml:space="preserve"> </w:t>
      </w:r>
      <w:r w:rsidR="00B03380" w:rsidRPr="007955BB">
        <w:rPr>
          <w:b w:val="0"/>
          <w:szCs w:val="22"/>
          <w:lang w:val="hy-AM" w:eastAsia="en-US"/>
        </w:rPr>
        <w:t xml:space="preserve">Իրականացնել կադրերի թիրախավորված պատրաստում և վերապատրաստում, հաշվի առնելով շուկայի </w:t>
      </w:r>
      <w:r w:rsidR="00B03380" w:rsidRPr="007955BB">
        <w:rPr>
          <w:b w:val="0"/>
          <w:color w:val="000000"/>
          <w:szCs w:val="22"/>
          <w:lang w:val="hy-AM" w:eastAsia="en-US"/>
        </w:rPr>
        <w:t>կտրուկ զարգացումն ու կադրերի նկատմամբ շուկայի պահանջարկի կտրուկ աճը,</w:t>
      </w:r>
    </w:p>
    <w:p w:rsidR="00B03380" w:rsidRPr="007955BB" w:rsidRDefault="00F1351F" w:rsidP="00F04DA1">
      <w:pPr>
        <w:numPr>
          <w:ilvl w:val="0"/>
          <w:numId w:val="48"/>
        </w:numPr>
        <w:suppressAutoHyphens/>
        <w:spacing w:before="0" w:line="276" w:lineRule="auto"/>
        <w:ind w:left="0" w:firstLine="426"/>
        <w:contextualSpacing w:val="0"/>
        <w:rPr>
          <w:b w:val="0"/>
          <w:szCs w:val="22"/>
          <w:lang w:val="hy-AM" w:eastAsia="en-US"/>
        </w:rPr>
      </w:pPr>
      <w:r w:rsidRPr="007955BB">
        <w:rPr>
          <w:b w:val="0"/>
          <w:color w:val="000000"/>
          <w:szCs w:val="22"/>
          <w:lang w:val="hy-AM" w:eastAsia="en-US"/>
        </w:rPr>
        <w:t xml:space="preserve"> </w:t>
      </w:r>
      <w:r w:rsidR="00B03380" w:rsidRPr="007955BB">
        <w:rPr>
          <w:b w:val="0"/>
          <w:color w:val="000000"/>
          <w:szCs w:val="22"/>
          <w:lang w:val="hy-AM" w:eastAsia="en-US"/>
        </w:rPr>
        <w:t>Զարգացնել բարձր տեխնոլոգիական ոլորտի համար անհրաժեշտ էկոհամակարգը` ներառյալ թիրախավորված գիտահետազոտական աշխատանքների, ստեղծագործական խմբերի, նորաստեղծ ընկերությունների ֆինանսավորումը,</w:t>
      </w:r>
    </w:p>
    <w:p w:rsidR="00B03380" w:rsidRPr="007955BB" w:rsidRDefault="00F1351F" w:rsidP="00F04DA1">
      <w:pPr>
        <w:numPr>
          <w:ilvl w:val="0"/>
          <w:numId w:val="48"/>
        </w:numPr>
        <w:suppressAutoHyphens/>
        <w:spacing w:before="0" w:line="276" w:lineRule="auto"/>
        <w:ind w:left="0" w:firstLine="426"/>
        <w:contextualSpacing w:val="0"/>
        <w:rPr>
          <w:b w:val="0"/>
          <w:szCs w:val="22"/>
          <w:lang w:val="hy-AM" w:eastAsia="en-US"/>
        </w:rPr>
      </w:pPr>
      <w:r w:rsidRPr="007955BB">
        <w:rPr>
          <w:b w:val="0"/>
          <w:szCs w:val="22"/>
          <w:lang w:val="hy-AM"/>
        </w:rPr>
        <w:t xml:space="preserve"> </w:t>
      </w:r>
      <w:r w:rsidR="00B03380" w:rsidRPr="007955BB">
        <w:rPr>
          <w:b w:val="0"/>
          <w:szCs w:val="22"/>
          <w:lang w:val="hy-AM"/>
        </w:rPr>
        <w:t>Հայկական Սփյուռքի ներգրավվածությունն ապահովելու համար հայկական ընկերությունների, կազմակերպությունների և անհատների հետ ստեղծել շարունակական համագործակցության հարթակ</w:t>
      </w:r>
      <w:r w:rsidR="00B03380" w:rsidRPr="007955BB">
        <w:rPr>
          <w:b w:val="0"/>
          <w:color w:val="000000"/>
          <w:szCs w:val="22"/>
          <w:lang w:val="hy-AM" w:eastAsia="en-US"/>
        </w:rPr>
        <w:t>,</w:t>
      </w:r>
    </w:p>
    <w:p w:rsidR="00B03380" w:rsidRPr="007955BB" w:rsidRDefault="00F1351F" w:rsidP="00F04DA1">
      <w:pPr>
        <w:numPr>
          <w:ilvl w:val="0"/>
          <w:numId w:val="48"/>
        </w:numPr>
        <w:suppressAutoHyphens/>
        <w:spacing w:before="0" w:line="276" w:lineRule="auto"/>
        <w:ind w:left="0" w:firstLine="426"/>
        <w:contextualSpacing w:val="0"/>
        <w:rPr>
          <w:b w:val="0"/>
          <w:szCs w:val="22"/>
          <w:lang w:val="hy-AM" w:eastAsia="en-US"/>
        </w:rPr>
      </w:pPr>
      <w:r w:rsidRPr="007955BB">
        <w:rPr>
          <w:b w:val="0"/>
          <w:szCs w:val="22"/>
          <w:lang w:val="hy-AM"/>
        </w:rPr>
        <w:t xml:space="preserve"> </w:t>
      </w:r>
      <w:r w:rsidR="00B03380" w:rsidRPr="007955BB">
        <w:rPr>
          <w:b w:val="0"/>
          <w:szCs w:val="22"/>
          <w:lang w:val="hy-AM"/>
        </w:rPr>
        <w:t xml:space="preserve">Աջակցել </w:t>
      </w:r>
      <w:r w:rsidR="00D26A9D">
        <w:rPr>
          <w:b w:val="0"/>
          <w:szCs w:val="22"/>
          <w:lang w:val="hy-AM"/>
        </w:rPr>
        <w:t>ՏՏ</w:t>
      </w:r>
      <w:r w:rsidR="00B03380" w:rsidRPr="007955BB">
        <w:rPr>
          <w:b w:val="0"/>
          <w:szCs w:val="22"/>
          <w:lang w:val="hy-AM"/>
        </w:rPr>
        <w:t xml:space="preserve"> ոլորտում գործունեություն իրականացնող առևտրային կազմակերպություններին և անհատ ձեռնարկատերերին</w:t>
      </w:r>
      <w:r w:rsidR="00B03380" w:rsidRPr="007955BB">
        <w:rPr>
          <w:b w:val="0"/>
          <w:color w:val="000000"/>
          <w:szCs w:val="22"/>
          <w:lang w:val="hy-AM" w:eastAsia="en-US"/>
        </w:rPr>
        <w:t>։</w:t>
      </w:r>
    </w:p>
    <w:p w:rsidR="00B03380" w:rsidRPr="007955BB" w:rsidRDefault="00B03380" w:rsidP="005E077B">
      <w:pPr>
        <w:suppressAutoHyphens/>
        <w:spacing w:before="0" w:line="276" w:lineRule="auto"/>
        <w:ind w:firstLine="450"/>
        <w:rPr>
          <w:b w:val="0"/>
          <w:color w:val="000000"/>
          <w:szCs w:val="22"/>
          <w:lang w:val="hy-AM" w:eastAsia="en-US"/>
        </w:rPr>
      </w:pPr>
      <w:r w:rsidRPr="007955BB">
        <w:rPr>
          <w:color w:val="000000"/>
          <w:szCs w:val="22"/>
          <w:lang w:val="hy-AM" w:eastAsia="en-US"/>
        </w:rPr>
        <w:t xml:space="preserve">Պաշտպանության բնագավառում գիտական և գիտատեխնիկական նպատակային հետազոտություններ </w:t>
      </w:r>
      <w:r w:rsidRPr="007955BB">
        <w:rPr>
          <w:rFonts w:eastAsia="Calibri"/>
          <w:b w:val="0"/>
          <w:szCs w:val="22"/>
          <w:lang w:val="hy-AM"/>
        </w:rPr>
        <w:t xml:space="preserve">ծրագիր, որի </w:t>
      </w:r>
      <w:r w:rsidRPr="007955BB">
        <w:rPr>
          <w:b w:val="0"/>
          <w:color w:val="000000"/>
          <w:szCs w:val="22"/>
          <w:lang w:val="hy-AM" w:eastAsia="en-US"/>
        </w:rPr>
        <w:t xml:space="preserve">նպատակն է նպաստել ՀՀ պաշտպանության և անվտանգության համակարգերի զարգացմանը, մասնավորապես իրականացնել գիտահետազոտական և փորձակոնստրուկտորական աշխատանքների իրականացում պաշտպանության համակարգի ապահովման համար: </w:t>
      </w:r>
    </w:p>
    <w:p w:rsidR="00B03380" w:rsidRPr="007955BB" w:rsidRDefault="00B03380" w:rsidP="00B03380">
      <w:pPr>
        <w:suppressAutoHyphens/>
        <w:spacing w:before="0" w:line="276" w:lineRule="auto"/>
        <w:rPr>
          <w:rFonts w:eastAsia="Calibri" w:cs="Sylfaen"/>
          <w:b w:val="0"/>
          <w:szCs w:val="22"/>
          <w:lang w:val="hy-AM" w:eastAsia="en-US"/>
        </w:rPr>
      </w:pPr>
      <w:r w:rsidRPr="007955BB">
        <w:rPr>
          <w:rFonts w:eastAsia="Calibri" w:cs="Sylfaen"/>
          <w:szCs w:val="22"/>
          <w:lang w:val="hy-AM" w:eastAsia="en-US"/>
        </w:rPr>
        <w:t xml:space="preserve">Հեռահաղորդակցության ապահովում </w:t>
      </w:r>
      <w:r w:rsidRPr="007955BB">
        <w:rPr>
          <w:rFonts w:eastAsia="Calibri"/>
          <w:b w:val="0"/>
          <w:szCs w:val="22"/>
          <w:lang w:val="hy-AM"/>
        </w:rPr>
        <w:t xml:space="preserve">ծրագիր, որի </w:t>
      </w:r>
      <w:r w:rsidRPr="007955BB">
        <w:rPr>
          <w:rFonts w:eastAsia="Calibri" w:cs="Sylfaen"/>
          <w:b w:val="0"/>
          <w:szCs w:val="22"/>
          <w:lang w:val="hy-AM" w:eastAsia="en-US"/>
        </w:rPr>
        <w:t>նպատակն է ապահովել Հայաստանի Հանրապե</w:t>
      </w:r>
      <w:r w:rsidRPr="007955BB">
        <w:rPr>
          <w:rFonts w:eastAsia="Calibri" w:cs="Sylfaen"/>
          <w:b w:val="0"/>
          <w:szCs w:val="22"/>
          <w:lang w:val="hy-AM" w:eastAsia="en-US"/>
        </w:rPr>
        <w:softHyphen/>
        <w:t>տու</w:t>
      </w:r>
      <w:r w:rsidRPr="007955BB">
        <w:rPr>
          <w:rFonts w:eastAsia="Calibri" w:cs="Sylfaen"/>
          <w:b w:val="0"/>
          <w:szCs w:val="22"/>
          <w:lang w:val="hy-AM" w:eastAsia="en-US"/>
        </w:rPr>
        <w:softHyphen/>
        <w:t>թյունում հեռահաղորդակցության և կապի ծառայությունների որակի կանոնակարգումն ու բարելավումը:</w:t>
      </w:r>
    </w:p>
    <w:p w:rsidR="00B03380" w:rsidRPr="007955BB" w:rsidRDefault="00B03380" w:rsidP="00B03380">
      <w:pPr>
        <w:spacing w:before="0" w:line="276" w:lineRule="auto"/>
        <w:ind w:firstLine="448"/>
        <w:contextualSpacing w:val="0"/>
        <w:rPr>
          <w:rFonts w:eastAsia="Calibri" w:cs="Sylfaen"/>
          <w:b w:val="0"/>
          <w:szCs w:val="22"/>
          <w:lang w:val="hy-AM" w:eastAsia="en-US"/>
        </w:rPr>
      </w:pPr>
      <w:r w:rsidRPr="007955BB">
        <w:rPr>
          <w:rFonts w:eastAsia="Calibri" w:cs="Sylfaen"/>
          <w:b w:val="0"/>
          <w:szCs w:val="22"/>
          <w:lang w:val="hy-AM" w:eastAsia="en-US"/>
        </w:rPr>
        <w:t xml:space="preserve">Ծրագրի շրջանակներում նախատեսվում է </w:t>
      </w:r>
      <w:r w:rsidRPr="007955BB">
        <w:rPr>
          <w:rFonts w:eastAsia="Calibri"/>
          <w:b w:val="0"/>
          <w:szCs w:val="22"/>
          <w:lang w:val="hy-AM" w:eastAsia="en-US"/>
        </w:rPr>
        <w:t xml:space="preserve">ռադիոհաճախականային տիրույթի 92 տոկոս մաքրության ապահովում, </w:t>
      </w:r>
      <w:r w:rsidRPr="007955BB">
        <w:rPr>
          <w:rFonts w:eastAsia="Calibri" w:cs="Sylfaen"/>
          <w:b w:val="0"/>
          <w:szCs w:val="22"/>
          <w:lang w:val="hy-AM" w:eastAsia="en-US"/>
        </w:rPr>
        <w:t>հեռահաղորդակ</w:t>
      </w:r>
      <w:r w:rsidRPr="007955BB">
        <w:rPr>
          <w:rFonts w:eastAsia="Calibri" w:cs="Sylfaen"/>
          <w:b w:val="0"/>
          <w:szCs w:val="22"/>
          <w:lang w:val="hy-AM" w:eastAsia="en-US"/>
        </w:rPr>
        <w:softHyphen/>
        <w:t xml:space="preserve">ցության և կապի ծառայությունների որակի կանոնակարգում ու բարելավում, ռադիոեթերի մոնիթորինգի և ազդանշանների տեխնիկական պարամետրերի չափումների անցկացում, Հանրապետական սփռման մուլտիպլեքսի արբանյակային   տարածման համար արբանյակային ունակության վարձակալում, ՀՀ-ում պետական մարմինների և ուսումնական հաստատությունների տվյալների փոխանակման կապի ապահովում և սպասարկում, ՀՀ տարածքում բազային և շարժական ռադիոմոնիտորինգի համակարգի ներդրում։ </w:t>
      </w:r>
    </w:p>
    <w:p w:rsidR="00B03380" w:rsidRPr="007955BB" w:rsidRDefault="00B03380" w:rsidP="00B03380">
      <w:pPr>
        <w:suppressAutoHyphens/>
        <w:spacing w:before="0" w:line="276" w:lineRule="auto"/>
        <w:rPr>
          <w:rFonts w:eastAsia="Calibri" w:cs="Sylfaen"/>
          <w:b w:val="0"/>
          <w:szCs w:val="22"/>
          <w:lang w:val="hy-AM" w:eastAsia="en-US"/>
        </w:rPr>
      </w:pPr>
      <w:r w:rsidRPr="007955BB">
        <w:rPr>
          <w:lang w:val="hy-AM"/>
        </w:rPr>
        <w:t xml:space="preserve">Ռազմարդյունաբերության համալիրի զարգացում </w:t>
      </w:r>
      <w:r w:rsidRPr="007955BB">
        <w:rPr>
          <w:b w:val="0"/>
          <w:lang w:val="hy-AM"/>
        </w:rPr>
        <w:t xml:space="preserve">ծրագիր, որի գծով </w:t>
      </w:r>
      <w:r w:rsidRPr="007955BB">
        <w:rPr>
          <w:rFonts w:eastAsia="Calibri"/>
          <w:b w:val="0"/>
          <w:szCs w:val="22"/>
          <w:lang w:val="hy-AM" w:eastAsia="en-US"/>
        </w:rPr>
        <w:t xml:space="preserve">2023 թվականին նախատեսվել է </w:t>
      </w:r>
      <w:r w:rsidRPr="007955BB">
        <w:rPr>
          <w:rFonts w:eastAsia="Calibri" w:cs="Sylfaen"/>
          <w:b w:val="0"/>
          <w:szCs w:val="22"/>
          <w:lang w:val="hy-AM" w:eastAsia="en-US"/>
        </w:rPr>
        <w:t xml:space="preserve">ֆինանսական աջակցության տրամադրել ռազմարդյունաբերական համալիրի կազմակերպություններին: </w:t>
      </w:r>
    </w:p>
    <w:p w:rsidR="005F226A" w:rsidRPr="007955BB" w:rsidRDefault="005F226A" w:rsidP="008F5CA2">
      <w:pPr>
        <w:pStyle w:val="BodyText2"/>
        <w:rPr>
          <w:noProof/>
        </w:rPr>
      </w:pPr>
    </w:p>
    <w:p w:rsidR="005F226A" w:rsidRPr="007955BB"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38" w:name="_Toc26174893"/>
      <w:bookmarkStart w:id="39" w:name="_Toc83567441"/>
      <w:bookmarkStart w:id="40" w:name="_Toc120805170"/>
      <w:r w:rsidRPr="007955BB">
        <w:rPr>
          <w:rFonts w:cs="Arial"/>
          <w:szCs w:val="22"/>
          <w:lang w:val="hy-AM" w:eastAsia="en-US"/>
        </w:rPr>
        <w:t>Քաղաքաշինություն</w:t>
      </w:r>
      <w:bookmarkEnd w:id="38"/>
      <w:bookmarkEnd w:id="39"/>
      <w:bookmarkEnd w:id="40"/>
    </w:p>
    <w:p w:rsidR="00F72BD0" w:rsidRPr="007955BB" w:rsidRDefault="00F72BD0" w:rsidP="008F5CA2">
      <w:pPr>
        <w:pStyle w:val="BodyText2"/>
      </w:pPr>
      <w:r w:rsidRPr="007955BB">
        <w:t xml:space="preserve">Ոլորտում իրագործվող ծախսային ծրագրերն ունեն ռազմավարական նշանակություն,  որոնց իրականացման արդյունքում կապահովվի ներկա և գալիք սերունդների կենսագործունեության բարենպաստ միջավայրի ձևավորումն ու քաղաքաշինական միջոցներով բնակչության կյանքի որակի հետևողական բարելավումը, բնակարանային խնդիրների լուծումը։ </w:t>
      </w:r>
    </w:p>
    <w:p w:rsidR="00F72BD0" w:rsidRPr="007955BB" w:rsidRDefault="00F72BD0" w:rsidP="008F5CA2">
      <w:pPr>
        <w:pStyle w:val="BodyText2"/>
        <w:rPr>
          <w:noProof/>
        </w:rPr>
      </w:pPr>
      <w:r w:rsidRPr="007955BB">
        <w:rPr>
          <w:noProof/>
        </w:rPr>
        <w:t>Ոլորտի քաղաքականության հիմնական թիրախներն են.</w:t>
      </w:r>
    </w:p>
    <w:p w:rsidR="00F72BD0" w:rsidRPr="007955BB" w:rsidRDefault="00F72BD0" w:rsidP="004861B2">
      <w:pPr>
        <w:pStyle w:val="ListParagraph"/>
        <w:numPr>
          <w:ilvl w:val="0"/>
          <w:numId w:val="20"/>
        </w:numPr>
        <w:tabs>
          <w:tab w:val="left" w:pos="284"/>
          <w:tab w:val="left" w:pos="567"/>
          <w:tab w:val="left" w:pos="993"/>
        </w:tabs>
        <w:spacing w:before="0" w:line="276" w:lineRule="auto"/>
        <w:ind w:left="0" w:firstLine="360"/>
        <w:contextualSpacing w:val="0"/>
        <w:rPr>
          <w:b w:val="0"/>
          <w:lang w:val="hy-AM"/>
        </w:rPr>
      </w:pPr>
      <w:r w:rsidRPr="007955BB">
        <w:rPr>
          <w:b w:val="0"/>
          <w:lang w:val="hy-AM"/>
        </w:rPr>
        <w:t>Հանրապետության ողջ տարածքը համակցված տարածական պլանավորման փաստաթղթերով ապահովում,</w:t>
      </w:r>
    </w:p>
    <w:p w:rsidR="00F72BD0" w:rsidRPr="007955BB" w:rsidRDefault="00F72BD0" w:rsidP="004861B2">
      <w:pPr>
        <w:pStyle w:val="ListParagraph"/>
        <w:numPr>
          <w:ilvl w:val="0"/>
          <w:numId w:val="20"/>
        </w:numPr>
        <w:tabs>
          <w:tab w:val="left" w:pos="284"/>
          <w:tab w:val="left" w:pos="567"/>
          <w:tab w:val="left" w:pos="993"/>
        </w:tabs>
        <w:spacing w:before="0" w:line="276" w:lineRule="auto"/>
        <w:ind w:left="0" w:firstLine="360"/>
        <w:contextualSpacing w:val="0"/>
        <w:rPr>
          <w:b w:val="0"/>
          <w:lang w:val="hy-AM"/>
        </w:rPr>
      </w:pPr>
      <w:r w:rsidRPr="007955BB">
        <w:rPr>
          <w:b w:val="0"/>
          <w:lang w:val="hy-AM"/>
        </w:rPr>
        <w:t>Քաղաքաշինական նորմատիվ փաստաթղթերի միջազգային և եվրոպական նորմերին ու  ստանդարտներին համապատասխանեցում,</w:t>
      </w:r>
    </w:p>
    <w:p w:rsidR="00F72BD0" w:rsidRPr="007955BB" w:rsidRDefault="00F72BD0" w:rsidP="004861B2">
      <w:pPr>
        <w:pStyle w:val="ListParagraph"/>
        <w:numPr>
          <w:ilvl w:val="0"/>
          <w:numId w:val="20"/>
        </w:numPr>
        <w:tabs>
          <w:tab w:val="left" w:pos="284"/>
          <w:tab w:val="left" w:pos="567"/>
          <w:tab w:val="left" w:pos="993"/>
        </w:tabs>
        <w:spacing w:before="0" w:line="276" w:lineRule="auto"/>
        <w:ind w:left="0" w:firstLine="360"/>
        <w:contextualSpacing w:val="0"/>
        <w:rPr>
          <w:b w:val="0"/>
          <w:lang w:val="hy-AM"/>
        </w:rPr>
      </w:pPr>
      <w:r w:rsidRPr="007955BB">
        <w:rPr>
          <w:b w:val="0"/>
          <w:lang w:val="hy-AM"/>
        </w:rPr>
        <w:t>Քաղաքաշինության բնագավառում պետական ծրագրերի իրականացման ապահովում,</w:t>
      </w:r>
    </w:p>
    <w:p w:rsidR="00F72BD0" w:rsidRPr="007955BB" w:rsidRDefault="00F72BD0" w:rsidP="004861B2">
      <w:pPr>
        <w:pStyle w:val="ListParagraph"/>
        <w:numPr>
          <w:ilvl w:val="0"/>
          <w:numId w:val="20"/>
        </w:numPr>
        <w:tabs>
          <w:tab w:val="left" w:pos="284"/>
          <w:tab w:val="left" w:pos="567"/>
          <w:tab w:val="left" w:pos="993"/>
        </w:tabs>
        <w:spacing w:before="0" w:line="276" w:lineRule="auto"/>
        <w:ind w:left="0" w:firstLine="360"/>
        <w:contextualSpacing w:val="0"/>
        <w:rPr>
          <w:b w:val="0"/>
          <w:lang w:val="hy-AM"/>
        </w:rPr>
      </w:pPr>
      <w:r w:rsidRPr="007955BB">
        <w:rPr>
          <w:b w:val="0"/>
          <w:lang w:val="hy-AM"/>
        </w:rPr>
        <w:t xml:space="preserve">Շենքերի </w:t>
      </w:r>
      <w:r w:rsidR="008B198F" w:rsidRPr="007955BB">
        <w:rPr>
          <w:b w:val="0"/>
          <w:lang w:val="hy-AM"/>
        </w:rPr>
        <w:t>և շինությունների մատչելիության ապահովում և</w:t>
      </w:r>
      <w:r w:rsidRPr="007955BB">
        <w:rPr>
          <w:b w:val="0"/>
          <w:lang w:val="hy-AM"/>
        </w:rPr>
        <w:t xml:space="preserve"> անձնագրավորում:</w:t>
      </w:r>
    </w:p>
    <w:p w:rsidR="00F72BD0" w:rsidRPr="007955BB" w:rsidRDefault="00F72BD0" w:rsidP="008F5CA2">
      <w:pPr>
        <w:pStyle w:val="BodyText2"/>
        <w:rPr>
          <w:noProof/>
        </w:rPr>
      </w:pPr>
    </w:p>
    <w:p w:rsidR="005F226A" w:rsidRPr="007955BB"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41" w:name="_Toc26174894"/>
      <w:bookmarkStart w:id="42" w:name="_Toc83567442"/>
      <w:bookmarkStart w:id="43" w:name="_Toc120805171"/>
      <w:r w:rsidRPr="007955BB">
        <w:rPr>
          <w:rFonts w:cs="Arial"/>
          <w:szCs w:val="22"/>
          <w:lang w:val="hy-AM" w:eastAsia="en-US"/>
        </w:rPr>
        <w:t>Արտակարգ իրավիճակների բնագավառ</w:t>
      </w:r>
      <w:bookmarkEnd w:id="41"/>
      <w:bookmarkEnd w:id="42"/>
      <w:bookmarkEnd w:id="43"/>
      <w:r w:rsidRPr="007955BB">
        <w:rPr>
          <w:rFonts w:cs="Arial"/>
          <w:szCs w:val="22"/>
          <w:lang w:val="hy-AM" w:eastAsia="en-US"/>
        </w:rPr>
        <w:t xml:space="preserve"> </w:t>
      </w:r>
    </w:p>
    <w:p w:rsidR="007812AA" w:rsidRPr="007955BB" w:rsidRDefault="007812AA" w:rsidP="007812AA">
      <w:pPr>
        <w:autoSpaceDE w:val="0"/>
        <w:autoSpaceDN w:val="0"/>
        <w:adjustRightInd w:val="0"/>
        <w:spacing w:line="276" w:lineRule="auto"/>
        <w:ind w:firstLine="600"/>
        <w:rPr>
          <w:b w:val="0"/>
          <w:lang w:val="pt-BR"/>
        </w:rPr>
      </w:pPr>
      <w:bookmarkStart w:id="44" w:name="_Toc26174895"/>
      <w:r w:rsidRPr="007955BB">
        <w:rPr>
          <w:b w:val="0"/>
          <w:lang w:val="pt-BR"/>
        </w:rPr>
        <w:t>Արտակարգ իրավիճակներում բնակչության պաշտպանության բնագավառում Հայաստանի Հանրապետության կառավարության կողմից իրականացվող քաղաքականությունը նպատակաուղղված է լինելու բնական և մարդածին աղետների ռիսկի նվազեցմանը, հնարավոր հետևանքների կանխարգելմանը և վերացմանը՝ հանդիսանալով պետության անվտանգության ապահովման բաղկացուցիչ տարր, նպաստելու է երկրի կայուն զարգացմանը:</w:t>
      </w:r>
    </w:p>
    <w:p w:rsidR="007812AA" w:rsidRPr="007955BB" w:rsidRDefault="007812AA" w:rsidP="0066226E">
      <w:pPr>
        <w:spacing w:line="276" w:lineRule="auto"/>
        <w:ind w:firstLine="360"/>
        <w:rPr>
          <w:b w:val="0"/>
          <w:lang w:val="pt-BR"/>
        </w:rPr>
      </w:pPr>
      <w:r w:rsidRPr="007955BB">
        <w:rPr>
          <w:b w:val="0"/>
          <w:lang w:val="pt-BR"/>
        </w:rPr>
        <w:tab/>
        <w:t xml:space="preserve">2023 թվականին </w:t>
      </w:r>
      <w:r w:rsidR="00734D27">
        <w:rPr>
          <w:b w:val="0"/>
          <w:lang w:val="pt-BR"/>
        </w:rPr>
        <w:t>ԱԻՆ</w:t>
      </w:r>
      <w:r w:rsidRPr="007955BB">
        <w:rPr>
          <w:b w:val="0"/>
          <w:lang w:val="pt-BR"/>
        </w:rPr>
        <w:t xml:space="preserve"> հիմնական խնդիրներն են.</w:t>
      </w:r>
    </w:p>
    <w:p w:rsidR="007812AA" w:rsidRPr="007955BB" w:rsidRDefault="007812AA" w:rsidP="0066226E">
      <w:pPr>
        <w:spacing w:line="276" w:lineRule="auto"/>
        <w:ind w:firstLine="360"/>
        <w:rPr>
          <w:b w:val="0"/>
          <w:lang w:val="pt-BR"/>
        </w:rPr>
      </w:pPr>
      <w:r w:rsidRPr="007955BB">
        <w:rPr>
          <w:b w:val="0"/>
          <w:lang w:val="pt-BR"/>
        </w:rPr>
        <w:t>- Փրկարար ծառայությունում փրկարարական համակարգի կատարելագործում և զարգացում այն աստիճանաբար համապատասխանեցնելով ընդունված ժամանակակից պահանջներին, զուգահեռաբար պետական փրկարարական կառույցի շուրջ ձևավորելով կամավորական փրկարարական ուժեր, նախարարության փրկարար ծառայողների մասնագիտական,  արագ արձագանքման փրկարար ուժերի պատրաստականության բարձրացում և տեխնիկական հագեցվածության ապահովում, քաղաքացիական պաշտպանության ուժերի հավաքական կենտրոնի քաղաքացիական պաշտպանության ուժերի ու ստորաբաժանումների խնդիրների առավել արդյունավետ դերաբաշխման և կառավարելիության բարձրացում, սահմանամերձ բնակավայրերում փրկարարական և արագ արձագանքման այլ ուժերի ստեղծում և զարգացում:</w:t>
      </w:r>
    </w:p>
    <w:p w:rsidR="00E551F6" w:rsidRPr="007955BB" w:rsidRDefault="007812AA" w:rsidP="0066226E">
      <w:pPr>
        <w:spacing w:line="276" w:lineRule="auto"/>
        <w:ind w:firstLine="360"/>
        <w:rPr>
          <w:b w:val="0"/>
          <w:lang w:val="pt-BR"/>
        </w:rPr>
      </w:pPr>
      <w:r w:rsidRPr="007955BB">
        <w:rPr>
          <w:b w:val="0"/>
          <w:lang w:val="pt-BR"/>
        </w:rPr>
        <w:t>- Սեյսմիկ պաշտպանության ոլորտում սեյսմիկ վտանգի գնահատման հուսալիությունը բարձրացնելու նպատակով սեյսմիկ պաշտպանության ազգային դիտացանցի արդիականացում և թվայնացում: Շենքերի, շինությունների նախագծման, բնակավայրերի տարաբնակեցման և զարգացման ծրագրերում հաշվի առնել</w:t>
      </w:r>
      <w:r w:rsidR="00E06AB2" w:rsidRPr="007955BB">
        <w:rPr>
          <w:b w:val="0"/>
          <w:lang w:val="pt-BR"/>
        </w:rPr>
        <w:t>ով</w:t>
      </w:r>
      <w:r w:rsidRPr="007955BB">
        <w:rPr>
          <w:b w:val="0"/>
          <w:lang w:val="pt-BR"/>
        </w:rPr>
        <w:t xml:space="preserve"> ինչպես դրանց հնարավոր անվտանգ վայրի ընտրությունը, այնպես էլ սեյսմիկ անվտանգությունը:</w:t>
      </w:r>
      <w:r w:rsidRPr="007955BB">
        <w:rPr>
          <w:b w:val="0"/>
          <w:lang w:val="pt-BR"/>
        </w:rPr>
        <w:tab/>
      </w:r>
      <w:r w:rsidRPr="007955BB">
        <w:rPr>
          <w:b w:val="0"/>
          <w:lang w:val="pt-BR"/>
        </w:rPr>
        <w:tab/>
      </w:r>
      <w:r w:rsidRPr="007955BB">
        <w:rPr>
          <w:b w:val="0"/>
          <w:lang w:val="pt-BR"/>
        </w:rPr>
        <w:tab/>
      </w:r>
      <w:r w:rsidRPr="007955BB">
        <w:rPr>
          <w:b w:val="0"/>
          <w:lang w:val="pt-BR"/>
        </w:rPr>
        <w:tab/>
      </w:r>
      <w:r w:rsidRPr="007955BB">
        <w:rPr>
          <w:b w:val="0"/>
          <w:lang w:val="pt-BR"/>
        </w:rPr>
        <w:tab/>
      </w:r>
      <w:r w:rsidRPr="007955BB">
        <w:rPr>
          <w:b w:val="0"/>
          <w:lang w:val="pt-BR"/>
        </w:rPr>
        <w:tab/>
      </w:r>
      <w:r w:rsidRPr="007955BB">
        <w:rPr>
          <w:b w:val="0"/>
          <w:lang w:val="pt-BR"/>
        </w:rPr>
        <w:tab/>
      </w:r>
      <w:r w:rsidRPr="007955BB">
        <w:rPr>
          <w:b w:val="0"/>
          <w:lang w:val="pt-BR"/>
        </w:rPr>
        <w:tab/>
      </w:r>
      <w:r w:rsidRPr="007955BB">
        <w:rPr>
          <w:b w:val="0"/>
          <w:lang w:val="pt-BR"/>
        </w:rPr>
        <w:tab/>
      </w:r>
      <w:r w:rsidRPr="007955BB">
        <w:rPr>
          <w:b w:val="0"/>
          <w:lang w:val="pt-BR"/>
        </w:rPr>
        <w:tab/>
      </w:r>
    </w:p>
    <w:p w:rsidR="007812AA" w:rsidRPr="007955BB" w:rsidRDefault="007812AA" w:rsidP="0066226E">
      <w:pPr>
        <w:spacing w:line="276" w:lineRule="auto"/>
        <w:ind w:firstLine="360"/>
        <w:rPr>
          <w:b w:val="0"/>
          <w:lang w:val="pt-BR"/>
        </w:rPr>
      </w:pPr>
      <w:r w:rsidRPr="007955BB">
        <w:rPr>
          <w:b w:val="0"/>
          <w:lang w:val="pt-BR"/>
        </w:rPr>
        <w:t>- Տեխնիկական անվտանգության ոլորտում՝ արտադրական վտանգավոր օբյեկտների շահագործմամբ պայմանավորված տեխնածին վթարների, դրանց հետևանքով հասարակությանը և տնտեսությանը պատճառվող վնասների ռիսկերի նվազեցում:</w:t>
      </w:r>
    </w:p>
    <w:p w:rsidR="007812AA" w:rsidRPr="007955BB" w:rsidRDefault="007812AA" w:rsidP="0066226E">
      <w:pPr>
        <w:spacing w:line="276" w:lineRule="auto"/>
        <w:ind w:firstLine="360"/>
        <w:rPr>
          <w:b w:val="0"/>
          <w:lang w:val="pt-BR"/>
        </w:rPr>
      </w:pPr>
      <w:r w:rsidRPr="007955BB">
        <w:rPr>
          <w:b w:val="0"/>
          <w:lang w:val="pt-BR" w:eastAsia="en-US"/>
        </w:rPr>
        <w:t xml:space="preserve">- </w:t>
      </w:r>
      <w:r w:rsidRPr="007955BB">
        <w:rPr>
          <w:b w:val="0"/>
          <w:lang w:val="pt-BR"/>
        </w:rPr>
        <w:t>Ճգնաժամային կառավարման պետական ակադեմիայի հիմնական խնդիրն է զարգացնել ակադեմիայի հնարավորու</w:t>
      </w:r>
      <w:r w:rsidRPr="007955BB">
        <w:rPr>
          <w:b w:val="0"/>
          <w:lang w:val="pt-BR"/>
        </w:rPr>
        <w:softHyphen/>
        <w:t>թյուն</w:t>
      </w:r>
      <w:r w:rsidRPr="007955BB">
        <w:rPr>
          <w:b w:val="0"/>
          <w:lang w:val="pt-BR"/>
        </w:rPr>
        <w:softHyphen/>
        <w:t>ները` դարձնելով այն արտակարգ իրավիճակների և քաղաքացիական պաշտպանու</w:t>
      </w:r>
      <w:r w:rsidRPr="007955BB">
        <w:rPr>
          <w:b w:val="0"/>
          <w:lang w:val="pt-BR"/>
        </w:rPr>
        <w:softHyphen/>
        <w:t>թյան մասնագետների պատրաստման ու վերապատրաստման  կենտրոն:</w:t>
      </w:r>
      <w:r w:rsidRPr="007955BB">
        <w:rPr>
          <w:b w:val="0"/>
          <w:lang w:val="pt-BR"/>
        </w:rPr>
        <w:tab/>
      </w:r>
      <w:r w:rsidRPr="007955BB">
        <w:rPr>
          <w:b w:val="0"/>
          <w:lang w:val="pt-BR"/>
        </w:rPr>
        <w:tab/>
      </w:r>
      <w:r w:rsidRPr="007955BB">
        <w:rPr>
          <w:b w:val="0"/>
          <w:lang w:val="pt-BR"/>
        </w:rPr>
        <w:tab/>
      </w:r>
      <w:r w:rsidRPr="007955BB">
        <w:rPr>
          <w:b w:val="0"/>
          <w:lang w:val="pt-BR"/>
        </w:rPr>
        <w:tab/>
      </w:r>
      <w:r w:rsidRPr="007955BB">
        <w:rPr>
          <w:b w:val="0"/>
          <w:lang w:val="pt-BR"/>
        </w:rPr>
        <w:tab/>
      </w:r>
      <w:r w:rsidRPr="007955BB">
        <w:rPr>
          <w:b w:val="0"/>
          <w:lang w:val="pt-BR"/>
        </w:rPr>
        <w:tab/>
      </w:r>
    </w:p>
    <w:p w:rsidR="007812AA" w:rsidRPr="007955BB" w:rsidRDefault="007812AA" w:rsidP="0066226E">
      <w:pPr>
        <w:spacing w:line="276" w:lineRule="auto"/>
        <w:ind w:firstLine="360"/>
        <w:rPr>
          <w:b w:val="0"/>
          <w:bCs/>
          <w:lang w:val="pt-BR" w:eastAsia="en-US"/>
        </w:rPr>
      </w:pPr>
      <w:r w:rsidRPr="007955BB">
        <w:rPr>
          <w:b w:val="0"/>
          <w:lang w:val="pt-BR"/>
        </w:rPr>
        <w:t xml:space="preserve">- Ճգնաժամային կառավարման ազգային կենտրոնում մարդուն հրատապ օգնության համապետական համակարգի </w:t>
      </w:r>
      <w:r w:rsidR="00E551F6" w:rsidRPr="007955BB">
        <w:rPr>
          <w:lang w:val="pt-BR"/>
        </w:rPr>
        <w:t>«</w:t>
      </w:r>
      <w:r w:rsidRPr="007955BB">
        <w:rPr>
          <w:b w:val="0"/>
          <w:lang w:val="pt-BR"/>
        </w:rPr>
        <w:t>911</w:t>
      </w:r>
      <w:r w:rsidR="00E551F6" w:rsidRPr="007955BB">
        <w:rPr>
          <w:lang w:val="pt-BR"/>
        </w:rPr>
        <w:t>»</w:t>
      </w:r>
      <w:r w:rsidRPr="007955BB">
        <w:rPr>
          <w:b w:val="0"/>
          <w:lang w:val="pt-BR"/>
        </w:rPr>
        <w:t xml:space="preserve"> դիսպետչերական ծառայության զարգացում` ծառայության մատուցումը</w:t>
      </w:r>
      <w:r w:rsidRPr="007955BB">
        <w:rPr>
          <w:b w:val="0"/>
          <w:lang w:val="pt-BR" w:eastAsia="en-US"/>
        </w:rPr>
        <w:t xml:space="preserve">  հնարավորինս մոտեցնելով միջազգային չափանիշներին:  Իրավիճակների վերաբերյալ օպերատիվ տեղեկատվության հավաքման, մշակման, վերլուծության և առաջարկությունների նախապատրաստման համակարգի կատարելագործում: </w:t>
      </w:r>
      <w:r w:rsidRPr="007955BB">
        <w:rPr>
          <w:b w:val="0"/>
          <w:lang w:val="pt-BR" w:eastAsia="en-US"/>
        </w:rPr>
        <w:tab/>
      </w:r>
      <w:r w:rsidRPr="007955BB">
        <w:rPr>
          <w:b w:val="0"/>
          <w:lang w:val="pt-BR" w:eastAsia="en-US"/>
        </w:rPr>
        <w:tab/>
      </w:r>
      <w:r w:rsidRPr="007955BB">
        <w:rPr>
          <w:b w:val="0"/>
          <w:lang w:val="pt-BR" w:eastAsia="en-US"/>
        </w:rPr>
        <w:tab/>
      </w:r>
      <w:r w:rsidRPr="007955BB">
        <w:rPr>
          <w:b w:val="0"/>
          <w:lang w:val="pt-BR" w:eastAsia="en-US"/>
        </w:rPr>
        <w:tab/>
        <w:t>- ՀՀ կառավարության կողմից հաստատված պետական պահուստի համակարգի զարգացման և բարեփոխումների հայեցակարգի դրույթների իրականացում, նյութական արժեքների կուտակում, թարմացում, փոխարինում և պահպանում: Այս ոլորտում նոր քաղաքականության մշակում՝ ընդգրկելով մասնավոր սեկտորի հնարավորություններն ու կարողությունները:</w:t>
      </w:r>
      <w:r w:rsidRPr="007955BB">
        <w:rPr>
          <w:b w:val="0"/>
          <w:lang w:val="pt-BR" w:eastAsia="en-US"/>
        </w:rPr>
        <w:tab/>
      </w:r>
      <w:r w:rsidRPr="007955BB">
        <w:rPr>
          <w:b w:val="0"/>
          <w:lang w:val="pt-BR" w:eastAsia="en-US"/>
        </w:rPr>
        <w:tab/>
      </w:r>
      <w:r w:rsidRPr="007955BB">
        <w:rPr>
          <w:b w:val="0"/>
          <w:lang w:val="pt-BR" w:eastAsia="en-US"/>
        </w:rPr>
        <w:tab/>
        <w:t>- Աղետների ռիսկի վերաբերյալ տվյալների հավաքագրման, վերլուծության, համայնքներում աղետների ռիսկի բացահայտման և գնահատման համակարգի փուլային ներդրում, սողանքային աղետի կառավարման միասնական համակարգի ներդրում:</w:t>
      </w:r>
    </w:p>
    <w:p w:rsidR="000825DA" w:rsidRPr="007955BB" w:rsidRDefault="000825DA" w:rsidP="008F5CA2">
      <w:pPr>
        <w:pStyle w:val="BodyText2"/>
      </w:pPr>
    </w:p>
    <w:p w:rsidR="005F226A" w:rsidRPr="007955BB"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45" w:name="_Toc83567443"/>
      <w:bookmarkStart w:id="46" w:name="_Toc120805172"/>
      <w:r w:rsidRPr="007955BB">
        <w:rPr>
          <w:rFonts w:cs="Arial"/>
          <w:szCs w:val="22"/>
          <w:lang w:val="hy-AM" w:eastAsia="en-US"/>
        </w:rPr>
        <w:t>Արտաքին քաղաքականություն</w:t>
      </w:r>
      <w:bookmarkEnd w:id="44"/>
      <w:bookmarkEnd w:id="45"/>
      <w:bookmarkEnd w:id="46"/>
      <w:r w:rsidRPr="007955BB">
        <w:rPr>
          <w:rFonts w:cs="Arial"/>
          <w:szCs w:val="22"/>
          <w:lang w:val="hy-AM" w:eastAsia="en-US"/>
        </w:rPr>
        <w:t xml:space="preserve"> </w:t>
      </w:r>
    </w:p>
    <w:p w:rsidR="002D4A96" w:rsidRPr="007955BB" w:rsidRDefault="002D4A96" w:rsidP="002D4A96">
      <w:pPr>
        <w:autoSpaceDE w:val="0"/>
        <w:autoSpaceDN w:val="0"/>
        <w:adjustRightInd w:val="0"/>
        <w:spacing w:line="276" w:lineRule="auto"/>
        <w:ind w:firstLine="600"/>
        <w:rPr>
          <w:b w:val="0"/>
          <w:lang w:val="pt-BR"/>
        </w:rPr>
      </w:pPr>
      <w:r w:rsidRPr="007955BB">
        <w:rPr>
          <w:b w:val="0"/>
          <w:lang w:val="pt-BR"/>
        </w:rPr>
        <w:t>ՀՀ կառավարությունը շարունակում է հետևողականորեն իրագործել իր որդեգրած քաղաքականությունն՝ ամրագրված Ազգային ժովողի կողմից 2021թ</w:t>
      </w:r>
      <w:r w:rsidRPr="007955BB">
        <w:rPr>
          <w:rFonts w:ascii="Cambria Math" w:hAnsi="Cambria Math" w:cs="Cambria Math"/>
          <w:b w:val="0"/>
          <w:lang w:val="pt-BR"/>
        </w:rPr>
        <w:t>․</w:t>
      </w:r>
      <w:r w:rsidRPr="007955BB">
        <w:rPr>
          <w:b w:val="0"/>
          <w:lang w:val="pt-BR"/>
        </w:rPr>
        <w:t xml:space="preserve">-ին հաստատված ծրագրում, ինչի համաձայն ՀՀ արտաքին քաղաքական առաջնահերթություններից են բարեկամ և գործընկեր երկրների հետ բազմաոլորտ համագործակցության ընդլայնումը, միջազգային հարթակներում ակտիվ ներգրավվածությունն ու Հայաստանի շահերի պաշտպանությունը, տարածաշրջանում խաղաղ ու կայուն զարգացման դարաշրջանի բացումը։ </w:t>
      </w:r>
    </w:p>
    <w:p w:rsidR="002D4A96" w:rsidRPr="007955BB" w:rsidRDefault="002D4A96" w:rsidP="002D4A96">
      <w:pPr>
        <w:autoSpaceDE w:val="0"/>
        <w:autoSpaceDN w:val="0"/>
        <w:adjustRightInd w:val="0"/>
        <w:spacing w:line="276" w:lineRule="auto"/>
        <w:ind w:firstLine="600"/>
        <w:rPr>
          <w:b w:val="0"/>
          <w:lang w:val="pt-BR"/>
        </w:rPr>
      </w:pPr>
      <w:r w:rsidRPr="007955BB">
        <w:rPr>
          <w:b w:val="0"/>
          <w:lang w:val="pt-BR"/>
        </w:rPr>
        <w:tab/>
        <w:t>Հարավային Կովկասում երկարատև կայունության և խաղաղության հաստատման նպատակով, 2021 թվականի հունվարի 11-ին և 2021 թվականի նոյեմբերի 26-ին Ռուսաստանի միջնորդությամբ ընդունված եռակողմ հայտարարություններին և Բրյուսելում ձեռքբերված պայմանավորվածություններին համահունչ՝ Հայաստանը կառուցողական երկխոսություն է վարում Ադրբեջանի հետ՝ հարաբերությունների ընդհանուր կարգավորման, երկու երկրների միջև սահմանազատման և սահմանային անվտանգության, ինչպես նաև տարածաշրջանային տնտեսական կապերի և տրանսպորտային հաղորդակցության ապաշրջափակման ուղղություններով։</w:t>
      </w:r>
    </w:p>
    <w:p w:rsidR="002D4A96" w:rsidRPr="007955BB" w:rsidRDefault="002D4A96" w:rsidP="002D4A96">
      <w:pPr>
        <w:autoSpaceDE w:val="0"/>
        <w:autoSpaceDN w:val="0"/>
        <w:adjustRightInd w:val="0"/>
        <w:spacing w:line="276" w:lineRule="auto"/>
        <w:ind w:firstLine="600"/>
        <w:rPr>
          <w:b w:val="0"/>
          <w:lang w:val="pt-BR"/>
        </w:rPr>
      </w:pPr>
      <w:r w:rsidRPr="007955BB">
        <w:rPr>
          <w:b w:val="0"/>
          <w:lang w:val="pt-BR"/>
        </w:rPr>
        <w:tab/>
        <w:t xml:space="preserve">Հայ-ադրբեջանական սահմանի կայունության և անվտանգության մակարդակի բարձրացման համատեքստում ենք դիտարկում Հայաստանի Հանրապետության և Ադրբեջանի Հանրապետության միջև պետական սահմանի սահմանազատման ու սահմանային անվտանգության հարցերով հանձնաժողովի և Ադրբեջանի Հանրապետության և Հայաստանի Հանրապետության միջև պետական սահմանի սահմանազատման պետական հանձնաժողովի նիստերի և գործընթացի շարունակականության կարևորությունը: </w:t>
      </w:r>
    </w:p>
    <w:p w:rsidR="002D4A96" w:rsidRPr="007955BB" w:rsidRDefault="002D4A96" w:rsidP="002D4A96">
      <w:pPr>
        <w:autoSpaceDE w:val="0"/>
        <w:autoSpaceDN w:val="0"/>
        <w:adjustRightInd w:val="0"/>
        <w:spacing w:line="276" w:lineRule="auto"/>
        <w:ind w:firstLine="600"/>
        <w:rPr>
          <w:b w:val="0"/>
          <w:lang w:val="pt-BR"/>
        </w:rPr>
      </w:pPr>
      <w:r w:rsidRPr="007955BB">
        <w:rPr>
          <w:b w:val="0"/>
          <w:lang w:val="pt-BR"/>
        </w:rPr>
        <w:tab/>
        <w:t>Շարունակվում են ջանքեր գործադրվել տարածաշրջանի տրանսպորտային և տնտեսական ենթակառուցվածքների ապաշրջափակման ուղղությամբ՝ երկրների ինքնիշխանության և ճանապարհների նկատմամբ իրավազորության պահպանման շուրջ ձեռքբերված պայմանավորվածությունների խստիվ պահպանմամբ։</w:t>
      </w:r>
    </w:p>
    <w:p w:rsidR="002D4A96" w:rsidRPr="007955BB" w:rsidRDefault="002D4A96" w:rsidP="002D4A96">
      <w:pPr>
        <w:autoSpaceDE w:val="0"/>
        <w:autoSpaceDN w:val="0"/>
        <w:adjustRightInd w:val="0"/>
        <w:spacing w:line="276" w:lineRule="auto"/>
        <w:ind w:firstLine="600"/>
        <w:rPr>
          <w:b w:val="0"/>
          <w:lang w:val="pt-BR"/>
        </w:rPr>
      </w:pPr>
      <w:r w:rsidRPr="007955BB">
        <w:rPr>
          <w:b w:val="0"/>
          <w:lang w:val="pt-BR"/>
        </w:rPr>
        <w:tab/>
        <w:t>Հավատարիմ լինելով խաղաղության և ուժի չկիրառման սկզբունքներին և չնայած Ադրբեջանի կողմից հայերի նկատմամբ այլատյացության դրսևորումներին և ռազմատենչ հռետորաբանությանը, Լեռնային Ղարաբաղում հրադադարի ռեժիմի պարբերական խախտումներին՝ պատրաստ ենք աշխատել Հայաստանի և Ադրբեջանի միջև հարաբերությունների կարգավորման, Լեռնային Ղարաբաղի հակամարտության լուծման ուղղությամբ։</w:t>
      </w:r>
    </w:p>
    <w:p w:rsidR="002D4A96" w:rsidRPr="007955BB" w:rsidRDefault="002D4A96" w:rsidP="002D4A96">
      <w:pPr>
        <w:autoSpaceDE w:val="0"/>
        <w:autoSpaceDN w:val="0"/>
        <w:adjustRightInd w:val="0"/>
        <w:spacing w:line="276" w:lineRule="auto"/>
        <w:ind w:firstLine="600"/>
        <w:rPr>
          <w:b w:val="0"/>
          <w:lang w:val="pt-BR"/>
        </w:rPr>
      </w:pPr>
      <w:r w:rsidRPr="007955BB">
        <w:rPr>
          <w:b w:val="0"/>
          <w:lang w:val="pt-BR"/>
        </w:rPr>
        <w:tab/>
        <w:t xml:space="preserve">Կառավարության օրակարգում է շարունակելու լինել հումանիտար խնդիրների հասցեագրումը՝ մասնավորապես ռազմագերիների հայրենադարձումը, անհետ կորած անձանց և բռնի անհետացածների ճակատագրի պարզումը, հայկական պատմամշակութային ժառանգության պահպանությունը, հումանիտար կազմակերպությունների՝ </w:t>
      </w:r>
      <w:r w:rsidR="004C2EE0">
        <w:rPr>
          <w:b w:val="0"/>
          <w:lang w:val="pt-BR"/>
        </w:rPr>
        <w:t>Ղարաբաղ</w:t>
      </w:r>
      <w:r w:rsidRPr="007955BB">
        <w:rPr>
          <w:b w:val="0"/>
          <w:lang w:val="pt-BR"/>
        </w:rPr>
        <w:t xml:space="preserve"> մուտքի ապահովումը և այլն։</w:t>
      </w:r>
    </w:p>
    <w:p w:rsidR="002D4A96" w:rsidRPr="007955BB" w:rsidRDefault="002D4A96" w:rsidP="002D4A96">
      <w:pPr>
        <w:autoSpaceDE w:val="0"/>
        <w:autoSpaceDN w:val="0"/>
        <w:adjustRightInd w:val="0"/>
        <w:spacing w:line="276" w:lineRule="auto"/>
        <w:ind w:firstLine="600"/>
        <w:rPr>
          <w:b w:val="0"/>
          <w:lang w:val="pt-BR"/>
        </w:rPr>
      </w:pPr>
      <w:r w:rsidRPr="007955BB">
        <w:rPr>
          <w:b w:val="0"/>
          <w:lang w:val="pt-BR"/>
        </w:rPr>
        <w:tab/>
        <w:t xml:space="preserve">Հայկական կողմն իր գործընկերներին և միջազգային հանրությանը տարբեր առիթներով ներկայացնում և վերահաստատում է իր դիրքորոշումն առ այն, որ տարածաշրջանում կայուն և տևական խաղաղության հասնելու ճանապարհին կարևոր է Լեռնային Ղարաբաղի հակամարտության խաղաղ կարգավորումը՝ ՄԱԿ-ի Անվտանգության խորհրդի կողմից լիազորված միակ միջազգային ձևաչափի՝ ԵԱՀԿ Մինսկի խմբի համանախագահության մանդատի ներքո:  </w:t>
      </w:r>
    </w:p>
    <w:p w:rsidR="002D4A96" w:rsidRPr="007955BB" w:rsidRDefault="002D4A96" w:rsidP="002D4A96">
      <w:pPr>
        <w:autoSpaceDE w:val="0"/>
        <w:autoSpaceDN w:val="0"/>
        <w:adjustRightInd w:val="0"/>
        <w:spacing w:line="276" w:lineRule="auto"/>
        <w:ind w:firstLine="600"/>
        <w:rPr>
          <w:b w:val="0"/>
          <w:lang w:val="pt-BR"/>
        </w:rPr>
      </w:pPr>
      <w:r w:rsidRPr="007955BB">
        <w:rPr>
          <w:b w:val="0"/>
          <w:lang w:val="pt-BR"/>
        </w:rPr>
        <w:tab/>
        <w:t xml:space="preserve">Շարունակվելու են աշխատանքները իրավական դիվանագիտության հարթակում՝ արդեն իսկ իրավական գործընթացների ուղղությամբ։ </w:t>
      </w:r>
    </w:p>
    <w:p w:rsidR="002D4A96" w:rsidRPr="007955BB" w:rsidRDefault="002D4A96" w:rsidP="002D4A96">
      <w:pPr>
        <w:autoSpaceDE w:val="0"/>
        <w:autoSpaceDN w:val="0"/>
        <w:adjustRightInd w:val="0"/>
        <w:spacing w:line="276" w:lineRule="auto"/>
        <w:ind w:firstLine="600"/>
        <w:rPr>
          <w:b w:val="0"/>
          <w:lang w:val="pt-BR"/>
        </w:rPr>
      </w:pPr>
      <w:r w:rsidRPr="007955BB">
        <w:rPr>
          <w:b w:val="0"/>
          <w:lang w:val="pt-BR"/>
        </w:rPr>
        <w:tab/>
        <w:t xml:space="preserve">Կառավարությունը ակտիվ աշխատանքներ է իրականացնելու երկկողմ և բազմակողմ հարթակներում՝ կառավարության 2021-2026թթ. ծրագրով նախանշված ուղենիշների կյանքի կոչման ուղղությամբ։ </w:t>
      </w:r>
    </w:p>
    <w:p w:rsidR="000825DA" w:rsidRPr="007955BB" w:rsidRDefault="000825DA" w:rsidP="008F5CA2">
      <w:pPr>
        <w:pStyle w:val="BodyText2"/>
      </w:pPr>
    </w:p>
    <w:p w:rsidR="005F226A" w:rsidRPr="007955BB" w:rsidRDefault="005F226A" w:rsidP="005D2928">
      <w:pPr>
        <w:keepNext/>
        <w:tabs>
          <w:tab w:val="left" w:pos="567"/>
        </w:tabs>
        <w:spacing w:before="0" w:line="276" w:lineRule="auto"/>
        <w:ind w:firstLine="720"/>
        <w:contextualSpacing w:val="0"/>
        <w:outlineLvl w:val="2"/>
        <w:rPr>
          <w:rFonts w:cs="Arial"/>
          <w:b w:val="0"/>
          <w:szCs w:val="22"/>
          <w:lang w:val="hy-AM" w:eastAsia="en-US"/>
        </w:rPr>
      </w:pPr>
      <w:bookmarkStart w:id="47" w:name="_Toc83567444"/>
      <w:bookmarkStart w:id="48" w:name="_Toc120805173"/>
      <w:r w:rsidRPr="007955BB">
        <w:rPr>
          <w:rFonts w:cs="Arial"/>
          <w:szCs w:val="22"/>
          <w:lang w:val="hy-AM" w:eastAsia="en-US"/>
        </w:rPr>
        <w:t>Սփյուռք</w:t>
      </w:r>
      <w:bookmarkEnd w:id="47"/>
      <w:bookmarkEnd w:id="48"/>
      <w:r w:rsidRPr="007955BB">
        <w:rPr>
          <w:rFonts w:cs="Arial"/>
          <w:b w:val="0"/>
          <w:szCs w:val="22"/>
          <w:lang w:val="hy-AM" w:eastAsia="en-US"/>
        </w:rPr>
        <w:t xml:space="preserve"> </w:t>
      </w:r>
    </w:p>
    <w:p w:rsidR="00FA1F5B" w:rsidRPr="007955BB" w:rsidRDefault="00FA1F5B" w:rsidP="0066226E">
      <w:pPr>
        <w:spacing w:before="0" w:line="276" w:lineRule="auto"/>
        <w:rPr>
          <w:b w:val="0"/>
          <w:szCs w:val="22"/>
          <w:lang w:val="hy-AM"/>
        </w:rPr>
      </w:pPr>
      <w:r w:rsidRPr="007955BB">
        <w:rPr>
          <w:b w:val="0"/>
          <w:lang w:val="hy-AM"/>
        </w:rPr>
        <w:t>ՀՀ կառավարությունը կարևորում է</w:t>
      </w:r>
      <w:r w:rsidRPr="007955BB">
        <w:rPr>
          <w:lang w:val="hy-AM"/>
        </w:rPr>
        <w:t xml:space="preserve"> </w:t>
      </w:r>
      <w:r w:rsidRPr="007955BB">
        <w:rPr>
          <w:b w:val="0"/>
          <w:bCs/>
          <w:szCs w:val="22"/>
          <w:lang w:val="hy-AM"/>
        </w:rPr>
        <w:t>Հայաստան-սփյուռք գործակցության զարգացումը, որը նպատակաուղղված է լինելու հայ ինքնության պահպանմանը, հայրենադարձությանն ու Հայաստանում սփյուռքահայերի ինտեգրմանը, սփյուռքի մարդկային ներուժի վերհանմանն ու քարտեզագրմանը,</w:t>
      </w:r>
      <w:r w:rsidRPr="007955BB">
        <w:rPr>
          <w:b w:val="0"/>
          <w:szCs w:val="22"/>
          <w:lang w:val="hy-AM"/>
        </w:rPr>
        <w:t xml:space="preserve"> աշխարհասփյուռ հայության մարդկային, մտավոր, տնտեսական ներուժի՝ հայրենիքի կայուն զարգացման նպատակի շուրջ համախմբմանը:</w:t>
      </w:r>
    </w:p>
    <w:p w:rsidR="00FA1F5B" w:rsidRPr="007955BB" w:rsidRDefault="00FA1F5B" w:rsidP="0066226E">
      <w:pPr>
        <w:spacing w:before="0" w:line="276" w:lineRule="auto"/>
        <w:rPr>
          <w:rFonts w:eastAsia="Calibri"/>
          <w:b w:val="0"/>
          <w:szCs w:val="22"/>
          <w:lang w:val="hy-AM" w:eastAsia="en-US"/>
        </w:rPr>
      </w:pPr>
      <w:r w:rsidRPr="007955BB">
        <w:rPr>
          <w:rFonts w:eastAsia="Calibri"/>
          <w:b w:val="0"/>
          <w:szCs w:val="22"/>
          <w:lang w:val="hy-AM" w:eastAsia="en-US"/>
        </w:rPr>
        <w:t xml:space="preserve">Այսօր սփյուռքի հայության առջև ծառացած հիմնական մարտահրավերներից մեկը հայ երիտասարդների մեջ ազգային ինքնության պահպանումն է, նրանց ընդգրկմամբ համահայկական միասնական օրակարգի ձևավորումը: </w:t>
      </w:r>
    </w:p>
    <w:p w:rsidR="00FA1F5B" w:rsidRPr="007955BB" w:rsidRDefault="00FA1F5B" w:rsidP="0066226E">
      <w:pPr>
        <w:spacing w:before="0" w:line="276" w:lineRule="auto"/>
        <w:rPr>
          <w:rFonts w:eastAsia="Calibri"/>
          <w:b w:val="0"/>
          <w:szCs w:val="22"/>
          <w:lang w:val="hy-AM" w:eastAsia="en-US"/>
        </w:rPr>
      </w:pPr>
      <w:r w:rsidRPr="007955BB">
        <w:rPr>
          <w:rFonts w:eastAsia="Calibri"/>
          <w:b w:val="0"/>
          <w:szCs w:val="22"/>
          <w:lang w:val="hy-AM" w:eastAsia="en-US"/>
        </w:rPr>
        <w:t xml:space="preserve">Հայաստան-Սփյուռք գործակցության համատեքստում անհրաժեշտ է խթանել համայնքային կառույցների գործունեությունը, դրանցում սփյուռքահայ երիտասարդների ներգրավվածությունը: </w:t>
      </w:r>
    </w:p>
    <w:p w:rsidR="00FA1F5B" w:rsidRPr="007955BB" w:rsidRDefault="00FA1F5B" w:rsidP="0066226E">
      <w:pPr>
        <w:spacing w:before="0" w:line="276" w:lineRule="auto"/>
        <w:rPr>
          <w:rFonts w:eastAsia="Calibri"/>
          <w:b w:val="0"/>
          <w:szCs w:val="22"/>
          <w:lang w:val="hy-AM" w:eastAsia="en-US"/>
        </w:rPr>
      </w:pPr>
      <w:r w:rsidRPr="007955BB">
        <w:rPr>
          <w:rFonts w:eastAsia="Calibri"/>
          <w:b w:val="0"/>
          <w:szCs w:val="22"/>
          <w:lang w:val="hy-AM" w:eastAsia="en-US"/>
        </w:rPr>
        <w:t xml:space="preserve">Համահայկական օրակարգերի ստեղծման հարցում կենսական է համայնքային գործիչների պատրաստումը՝ </w:t>
      </w:r>
      <w:r w:rsidRPr="007955BB">
        <w:rPr>
          <w:rFonts w:eastAsia="Calibri" w:cs="Sylfaen"/>
          <w:b w:val="0"/>
          <w:bCs/>
          <w:szCs w:val="22"/>
          <w:lang w:val="hy-AM" w:eastAsia="en-US"/>
        </w:rPr>
        <w:t>նրանցում առաջնորդի, համայնքների ղեկավարման կարողությունների և հմտությունների զարգացմումը:</w:t>
      </w:r>
    </w:p>
    <w:p w:rsidR="00FA1F5B" w:rsidRPr="007955BB" w:rsidRDefault="00FA1F5B" w:rsidP="0066226E">
      <w:pPr>
        <w:spacing w:before="0" w:line="276" w:lineRule="auto"/>
        <w:rPr>
          <w:rFonts w:eastAsia="Calibri"/>
          <w:b w:val="0"/>
          <w:szCs w:val="22"/>
          <w:lang w:val="hy-AM" w:eastAsia="en-US"/>
        </w:rPr>
      </w:pPr>
      <w:r w:rsidRPr="007955BB">
        <w:rPr>
          <w:rFonts w:eastAsia="Calibri"/>
          <w:b w:val="0"/>
          <w:szCs w:val="22"/>
          <w:lang w:val="hy-AM" w:eastAsia="en-US"/>
        </w:rPr>
        <w:t>Հայաստան-Սփյուռք գործակցության համատեքստում կարևորվում է սփյուռքի մասնագիտական ներուժի ներգրավումը  Հայաստանի ինստիտուցիոնալ զարգացմանն ու հզորացմանը, որը կնպաստի նաև մասնագիտական հայրենադարձությանը:</w:t>
      </w:r>
    </w:p>
    <w:p w:rsidR="00FA1F5B" w:rsidRPr="007955BB" w:rsidRDefault="00FA1F5B" w:rsidP="0066226E">
      <w:pPr>
        <w:spacing w:before="0" w:line="276" w:lineRule="auto"/>
        <w:rPr>
          <w:rFonts w:eastAsia="Calibri"/>
          <w:b w:val="0"/>
          <w:szCs w:val="22"/>
          <w:lang w:val="hy-AM" w:eastAsia="en-US"/>
        </w:rPr>
      </w:pPr>
      <w:r w:rsidRPr="007955BB">
        <w:rPr>
          <w:rFonts w:eastAsia="Calibri"/>
          <w:b w:val="0"/>
          <w:szCs w:val="22"/>
          <w:lang w:val="hy-AM" w:eastAsia="en-US"/>
        </w:rPr>
        <w:t xml:space="preserve">Հայաստան-Սփյուռք գործակցության մեջ մեծ կարևորություն ունեն նաև հանրային կապերն ու աշխարհասփյուռ հայության իրազեկվածության ապահովումը: Այս համագործակցության հանրայնացումն ունի թիրախային երկու լսարան՝ ներքին կամ ներհայաստանյան և արտաքին կամ նպատակաուղղված Սփյուռքին՝ հայ համայնքներին և միջազգային հանրությանը: </w:t>
      </w:r>
    </w:p>
    <w:p w:rsidR="00FA1F5B" w:rsidRPr="007955BB" w:rsidRDefault="00FA1F5B" w:rsidP="0066226E">
      <w:pPr>
        <w:spacing w:before="0" w:line="276" w:lineRule="auto"/>
        <w:rPr>
          <w:rFonts w:eastAsia="Calibri"/>
          <w:b w:val="0"/>
          <w:szCs w:val="22"/>
          <w:lang w:val="hy-AM" w:eastAsia="en-US"/>
        </w:rPr>
      </w:pPr>
      <w:r w:rsidRPr="007955BB">
        <w:rPr>
          <w:rFonts w:eastAsia="Calibri"/>
          <w:b w:val="0"/>
          <w:szCs w:val="22"/>
          <w:lang w:val="hy-AM" w:eastAsia="en-US"/>
        </w:rPr>
        <w:t xml:space="preserve">Տեղեկատվությունը լսարանին ճիշտ հասցեագրելու համար կարևոր է լրագրողական հանրույթի հետ գործընկերային կայուն կապերի ստեղծումն ու առողջ աշխատանքը, լրատվադաշտում Հայաստան-Սփյուռք գործակցության ու ամրապնդմանն ուղղված ծրագրերի, սոցիալական մեդիայի բոլոր հարթակների ակտիվ գործածումը, մեդիա արշավների իրականացումը, ներգրավվածությունը սոցիալական նախաձեռնություններում և այլն: </w:t>
      </w:r>
    </w:p>
    <w:p w:rsidR="00FA1F5B" w:rsidRPr="007955BB" w:rsidRDefault="00FA1F5B" w:rsidP="0066226E">
      <w:pPr>
        <w:spacing w:before="0" w:line="276" w:lineRule="auto"/>
        <w:rPr>
          <w:rFonts w:eastAsia="Calibri"/>
          <w:b w:val="0"/>
          <w:szCs w:val="22"/>
          <w:lang w:val="hy-AM" w:eastAsia="en-US"/>
        </w:rPr>
      </w:pPr>
      <w:r w:rsidRPr="007955BB">
        <w:rPr>
          <w:rFonts w:eastAsia="Calibri"/>
          <w:b w:val="0"/>
          <w:szCs w:val="22"/>
          <w:lang w:val="hy-AM" w:eastAsia="en-US"/>
        </w:rPr>
        <w:t>Հայաստան-Սփյուռք գործակցության մեջ կարևոր գործոն է հանդիսանալու աջակցել սփյուռքի ներդրողներին և բարեգործներին՝ Հայաստանում իրենց ծրագրերն իրականացնելիս:</w:t>
      </w:r>
    </w:p>
    <w:p w:rsidR="00FA1F5B" w:rsidRPr="007955BB" w:rsidRDefault="00FA1F5B" w:rsidP="001268F2">
      <w:pPr>
        <w:spacing w:before="0" w:line="276" w:lineRule="auto"/>
        <w:rPr>
          <w:b w:val="0"/>
          <w:color w:val="000000"/>
          <w:szCs w:val="22"/>
          <w:lang w:val="hy-AM"/>
        </w:rPr>
      </w:pPr>
      <w:r w:rsidRPr="007955BB">
        <w:rPr>
          <w:b w:val="0"/>
          <w:lang w:val="hy-AM"/>
        </w:rPr>
        <w:t xml:space="preserve">Հայաստանի Հանրապետության </w:t>
      </w:r>
      <w:r w:rsidRPr="007955BB">
        <w:rPr>
          <w:rFonts w:cs="Sylfaen"/>
          <w:b w:val="0"/>
          <w:color w:val="000000"/>
          <w:szCs w:val="22"/>
          <w:lang w:val="hy-AM"/>
        </w:rPr>
        <w:t>պետական</w:t>
      </w:r>
      <w:r w:rsidRPr="007955BB">
        <w:rPr>
          <w:b w:val="0"/>
          <w:color w:val="000000"/>
          <w:szCs w:val="22"/>
          <w:lang w:val="pt-BR"/>
        </w:rPr>
        <w:t xml:space="preserve"> </w:t>
      </w:r>
      <w:r w:rsidRPr="007955BB">
        <w:rPr>
          <w:rFonts w:cs="Sylfaen"/>
          <w:b w:val="0"/>
          <w:color w:val="000000"/>
          <w:szCs w:val="22"/>
          <w:lang w:val="hy-AM"/>
        </w:rPr>
        <w:t>քաղաքականության</w:t>
      </w:r>
      <w:r w:rsidRPr="007955BB">
        <w:rPr>
          <w:b w:val="0"/>
          <w:color w:val="000000"/>
          <w:szCs w:val="22"/>
          <w:lang w:val="pt-BR"/>
        </w:rPr>
        <w:t xml:space="preserve"> </w:t>
      </w:r>
      <w:r w:rsidRPr="007955BB">
        <w:rPr>
          <w:rFonts w:cs="Sylfaen"/>
          <w:b w:val="0"/>
          <w:color w:val="000000"/>
          <w:szCs w:val="22"/>
          <w:lang w:val="hy-AM"/>
        </w:rPr>
        <w:t>առաջնահերթություններից</w:t>
      </w:r>
      <w:r w:rsidRPr="007955BB">
        <w:rPr>
          <w:b w:val="0"/>
          <w:color w:val="000000"/>
          <w:szCs w:val="22"/>
          <w:lang w:val="pt-BR"/>
        </w:rPr>
        <w:t xml:space="preserve"> </w:t>
      </w:r>
      <w:r w:rsidRPr="007955BB">
        <w:rPr>
          <w:rFonts w:cs="Sylfaen"/>
          <w:b w:val="0"/>
          <w:color w:val="000000"/>
          <w:szCs w:val="22"/>
          <w:lang w:val="hy-AM"/>
        </w:rPr>
        <w:t>է</w:t>
      </w:r>
      <w:r w:rsidRPr="007955BB">
        <w:rPr>
          <w:b w:val="0"/>
          <w:color w:val="000000"/>
          <w:szCs w:val="22"/>
          <w:lang w:val="pt-BR"/>
        </w:rPr>
        <w:t xml:space="preserve"> </w:t>
      </w:r>
      <w:r w:rsidRPr="007955BB">
        <w:rPr>
          <w:rFonts w:cs="Sylfaen"/>
          <w:b w:val="0"/>
          <w:color w:val="000000"/>
          <w:szCs w:val="22"/>
          <w:lang w:val="hy-AM"/>
        </w:rPr>
        <w:t>հանդիսանում</w:t>
      </w:r>
      <w:r w:rsidRPr="007955BB">
        <w:rPr>
          <w:b w:val="0"/>
          <w:color w:val="000000"/>
          <w:szCs w:val="22"/>
          <w:lang w:val="pt-BR"/>
        </w:rPr>
        <w:t xml:space="preserve"> </w:t>
      </w:r>
      <w:r w:rsidRPr="007955BB">
        <w:rPr>
          <w:rFonts w:cs="Sylfaen"/>
          <w:b w:val="0"/>
          <w:color w:val="000000"/>
          <w:szCs w:val="22"/>
          <w:lang w:val="hy-AM"/>
        </w:rPr>
        <w:t>հայրենադարձության</w:t>
      </w:r>
      <w:r w:rsidRPr="007955BB">
        <w:rPr>
          <w:b w:val="0"/>
          <w:color w:val="000000"/>
          <w:szCs w:val="22"/>
          <w:lang w:val="pt-BR"/>
        </w:rPr>
        <w:t xml:space="preserve"> </w:t>
      </w:r>
      <w:r w:rsidRPr="007955BB">
        <w:rPr>
          <w:rFonts w:cs="Sylfaen"/>
          <w:b w:val="0"/>
          <w:color w:val="000000"/>
          <w:szCs w:val="22"/>
          <w:lang w:val="hy-AM"/>
        </w:rPr>
        <w:t>խթանումը</w:t>
      </w:r>
      <w:r w:rsidR="001268F2" w:rsidRPr="007955BB">
        <w:rPr>
          <w:rFonts w:cs="Sylfaen"/>
          <w:b w:val="0"/>
          <w:color w:val="000000"/>
          <w:szCs w:val="22"/>
          <w:lang w:val="hy-AM"/>
        </w:rPr>
        <w:t>:</w:t>
      </w:r>
    </w:p>
    <w:p w:rsidR="00FA1F5B" w:rsidRPr="007955BB" w:rsidRDefault="00FA1F5B" w:rsidP="0066226E">
      <w:pPr>
        <w:spacing w:before="0" w:line="276" w:lineRule="auto"/>
        <w:rPr>
          <w:rFonts w:eastAsia="Calibri"/>
          <w:b w:val="0"/>
          <w:szCs w:val="22"/>
          <w:lang w:val="hy-AM" w:eastAsia="en-US"/>
        </w:rPr>
      </w:pPr>
      <w:r w:rsidRPr="007955BB">
        <w:rPr>
          <w:rFonts w:eastAsia="Calibri"/>
          <w:b w:val="0"/>
          <w:szCs w:val="22"/>
          <w:lang w:val="hy-AM" w:eastAsia="en-US"/>
        </w:rPr>
        <w:t>ՀՀ պետական քաղաքականությունը միտված է մշակել և իրականացնել միջոցառումներ, որոնք նպատակաուղղված կլինեն Հայաստանի զարգացման գործընթացում Սփյուռքի ներգրավմանը:</w:t>
      </w:r>
    </w:p>
    <w:p w:rsidR="00FA1F5B" w:rsidRPr="007955BB" w:rsidRDefault="00FA1F5B" w:rsidP="00FA1F5B">
      <w:pPr>
        <w:rPr>
          <w:lang w:val="hy-AM"/>
        </w:rPr>
      </w:pPr>
    </w:p>
    <w:p w:rsidR="005F226A" w:rsidRPr="007955BB" w:rsidRDefault="005F226A" w:rsidP="005D2928">
      <w:pPr>
        <w:keepNext/>
        <w:tabs>
          <w:tab w:val="left" w:pos="567"/>
        </w:tabs>
        <w:spacing w:before="0" w:line="276" w:lineRule="auto"/>
        <w:ind w:firstLine="720"/>
        <w:contextualSpacing w:val="0"/>
        <w:outlineLvl w:val="2"/>
        <w:rPr>
          <w:rFonts w:cs="Arial"/>
          <w:b w:val="0"/>
          <w:szCs w:val="22"/>
          <w:lang w:val="pt-BR" w:eastAsia="en-US"/>
        </w:rPr>
      </w:pPr>
      <w:bookmarkStart w:id="49" w:name="_Toc26174896"/>
      <w:bookmarkStart w:id="50" w:name="_Toc83567445"/>
      <w:bookmarkStart w:id="51" w:name="_Toc120805174"/>
      <w:r w:rsidRPr="007955BB">
        <w:rPr>
          <w:rFonts w:cs="Arial"/>
          <w:szCs w:val="22"/>
          <w:lang w:val="hy-AM" w:eastAsia="en-US"/>
        </w:rPr>
        <w:t>Արդարադատություն</w:t>
      </w:r>
      <w:bookmarkEnd w:id="49"/>
      <w:bookmarkEnd w:id="50"/>
      <w:bookmarkEnd w:id="51"/>
      <w:r w:rsidRPr="007955BB">
        <w:rPr>
          <w:rFonts w:cs="Arial"/>
          <w:b w:val="0"/>
          <w:szCs w:val="22"/>
          <w:lang w:val="pt-BR" w:eastAsia="en-US"/>
        </w:rPr>
        <w:t xml:space="preserve"> </w:t>
      </w:r>
    </w:p>
    <w:p w:rsidR="00761193" w:rsidRPr="007955BB" w:rsidRDefault="00761193" w:rsidP="00761193">
      <w:pPr>
        <w:tabs>
          <w:tab w:val="left" w:pos="0"/>
        </w:tabs>
        <w:spacing w:before="0" w:line="276" w:lineRule="auto"/>
        <w:contextualSpacing w:val="0"/>
        <w:rPr>
          <w:rFonts w:eastAsiaTheme="minorHAnsi" w:cs="Sylfaen"/>
          <w:b w:val="0"/>
          <w:szCs w:val="22"/>
          <w:lang w:val="pt-BR" w:eastAsia="en-US"/>
        </w:rPr>
      </w:pPr>
      <w:bookmarkStart w:id="52" w:name="_Toc26174897"/>
      <w:r w:rsidRPr="007955BB">
        <w:rPr>
          <w:rFonts w:eastAsiaTheme="minorHAnsi" w:cstheme="minorBidi"/>
          <w:b w:val="0"/>
          <w:szCs w:val="22"/>
          <w:lang w:val="hy-AM" w:eastAsia="en-US"/>
        </w:rPr>
        <w:t>20</w:t>
      </w:r>
      <w:r w:rsidRPr="007955BB">
        <w:rPr>
          <w:rFonts w:eastAsiaTheme="minorHAnsi" w:cstheme="minorBidi"/>
          <w:b w:val="0"/>
          <w:szCs w:val="22"/>
          <w:lang w:val="pt-BR" w:eastAsia="en-US"/>
        </w:rPr>
        <w:t>2</w:t>
      </w:r>
      <w:r w:rsidRPr="007955BB">
        <w:rPr>
          <w:rFonts w:eastAsiaTheme="minorHAnsi" w:cstheme="minorBidi"/>
          <w:b w:val="0"/>
          <w:szCs w:val="22"/>
          <w:lang w:val="hy-AM" w:eastAsia="en-US"/>
        </w:rPr>
        <w:t xml:space="preserve">3 </w:t>
      </w:r>
      <w:r w:rsidRPr="007955BB">
        <w:rPr>
          <w:rFonts w:eastAsiaTheme="minorHAnsi" w:cs="Sylfaen"/>
          <w:b w:val="0"/>
          <w:szCs w:val="22"/>
          <w:lang w:val="hy-AM" w:eastAsia="en-US"/>
        </w:rPr>
        <w:t>թվականին</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ոլորտի</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առաջնային</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ռազմավարական</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նպատակներն</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են լինելու՝</w:t>
      </w:r>
    </w:p>
    <w:p w:rsidR="00761193" w:rsidRPr="007955BB" w:rsidRDefault="00761193" w:rsidP="00761193">
      <w:pPr>
        <w:tabs>
          <w:tab w:val="num" w:pos="0"/>
          <w:tab w:val="left" w:pos="851"/>
          <w:tab w:val="left" w:pos="993"/>
        </w:tabs>
        <w:spacing w:before="0" w:line="276" w:lineRule="auto"/>
        <w:contextualSpacing w:val="0"/>
        <w:rPr>
          <w:rFonts w:eastAsiaTheme="minorHAnsi" w:cstheme="minorBidi"/>
          <w:b w:val="0"/>
          <w:i/>
          <w:szCs w:val="22"/>
          <w:lang w:val="pt-BR" w:eastAsia="en-US"/>
        </w:rPr>
      </w:pPr>
      <w:r w:rsidRPr="007955BB">
        <w:rPr>
          <w:rFonts w:eastAsiaTheme="minorHAnsi" w:cstheme="minorBidi"/>
          <w:szCs w:val="22"/>
          <w:lang w:val="en-US" w:eastAsia="en-US"/>
        </w:rPr>
        <w:t>Դատական</w:t>
      </w:r>
      <w:r w:rsidRPr="007955BB">
        <w:rPr>
          <w:rFonts w:eastAsiaTheme="minorHAnsi" w:cstheme="minorBidi"/>
          <w:szCs w:val="22"/>
          <w:lang w:val="pt-BR" w:eastAsia="en-US"/>
        </w:rPr>
        <w:t xml:space="preserve"> </w:t>
      </w:r>
      <w:r w:rsidRPr="007955BB">
        <w:rPr>
          <w:rFonts w:eastAsiaTheme="minorHAnsi" w:cstheme="minorBidi"/>
          <w:szCs w:val="22"/>
          <w:lang w:val="en-US" w:eastAsia="en-US"/>
        </w:rPr>
        <w:t>և</w:t>
      </w:r>
      <w:r w:rsidRPr="007955BB">
        <w:rPr>
          <w:rFonts w:eastAsiaTheme="minorHAnsi" w:cstheme="minorBidi"/>
          <w:szCs w:val="22"/>
          <w:lang w:val="pt-BR" w:eastAsia="en-US"/>
        </w:rPr>
        <w:t xml:space="preserve"> </w:t>
      </w:r>
      <w:r w:rsidRPr="007955BB">
        <w:rPr>
          <w:rFonts w:eastAsiaTheme="minorHAnsi" w:cstheme="minorBidi"/>
          <w:szCs w:val="22"/>
          <w:lang w:val="en-US" w:eastAsia="en-US"/>
        </w:rPr>
        <w:t>իրավական</w:t>
      </w:r>
      <w:r w:rsidRPr="007955BB">
        <w:rPr>
          <w:rFonts w:eastAsiaTheme="minorHAnsi" w:cstheme="minorBidi"/>
          <w:szCs w:val="22"/>
          <w:lang w:val="pt-BR" w:eastAsia="en-US"/>
        </w:rPr>
        <w:t xml:space="preserve"> </w:t>
      </w:r>
      <w:r w:rsidRPr="007955BB">
        <w:rPr>
          <w:rFonts w:eastAsiaTheme="minorHAnsi" w:cstheme="minorBidi"/>
          <w:szCs w:val="22"/>
          <w:lang w:val="en-US" w:eastAsia="en-US"/>
        </w:rPr>
        <w:t>բարեփոխումների</w:t>
      </w:r>
      <w:r w:rsidRPr="007955BB">
        <w:rPr>
          <w:rFonts w:eastAsiaTheme="minorHAnsi" w:cstheme="minorBidi"/>
          <w:szCs w:val="22"/>
          <w:lang w:val="pt-BR" w:eastAsia="en-US"/>
        </w:rPr>
        <w:t xml:space="preserve"> </w:t>
      </w:r>
      <w:r w:rsidRPr="007955BB">
        <w:rPr>
          <w:rFonts w:eastAsiaTheme="minorHAnsi" w:cstheme="minorBidi"/>
          <w:szCs w:val="22"/>
          <w:lang w:val="en-US" w:eastAsia="en-US"/>
        </w:rPr>
        <w:t>ոլորտ</w:t>
      </w:r>
      <w:r w:rsidRPr="007955BB">
        <w:rPr>
          <w:rFonts w:eastAsiaTheme="minorHAnsi" w:cstheme="minorBidi"/>
          <w:b w:val="0"/>
          <w:i/>
          <w:szCs w:val="22"/>
          <w:lang w:val="pt-BR" w:eastAsia="en-US"/>
        </w:rPr>
        <w:t xml:space="preserve"> </w:t>
      </w:r>
    </w:p>
    <w:p w:rsidR="00761193" w:rsidRPr="007955BB" w:rsidRDefault="00761193" w:rsidP="00761193">
      <w:pPr>
        <w:tabs>
          <w:tab w:val="num" w:pos="0"/>
          <w:tab w:val="left" w:pos="851"/>
          <w:tab w:val="left" w:pos="993"/>
        </w:tabs>
        <w:spacing w:before="0" w:line="276" w:lineRule="auto"/>
        <w:contextualSpacing w:val="0"/>
        <w:rPr>
          <w:rFonts w:eastAsiaTheme="minorHAnsi" w:cstheme="minorBidi"/>
          <w:b w:val="0"/>
          <w:szCs w:val="22"/>
          <w:lang w:val="pt-BR" w:eastAsia="en-US"/>
        </w:rPr>
      </w:pPr>
      <w:r w:rsidRPr="007955BB">
        <w:rPr>
          <w:rFonts w:eastAsiaTheme="minorHAnsi" w:cstheme="minorBidi"/>
          <w:b w:val="0"/>
          <w:szCs w:val="22"/>
          <w:lang w:val="en-US" w:eastAsia="en-US"/>
        </w:rPr>
        <w:t>ՀՀ</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կառավարությունը</w:t>
      </w:r>
      <w:r w:rsidRPr="007955BB">
        <w:rPr>
          <w:rFonts w:eastAsiaTheme="minorHAnsi" w:cstheme="minorBidi"/>
          <w:b w:val="0"/>
          <w:szCs w:val="22"/>
          <w:lang w:val="pt-BR" w:eastAsia="en-US"/>
        </w:rPr>
        <w:t xml:space="preserve"> 2022 </w:t>
      </w:r>
      <w:r w:rsidRPr="007955BB">
        <w:rPr>
          <w:rFonts w:eastAsiaTheme="minorHAnsi" w:cstheme="minorBidi"/>
          <w:b w:val="0"/>
          <w:szCs w:val="22"/>
          <w:lang w:val="en-US" w:eastAsia="en-US"/>
        </w:rPr>
        <w:t>թվականի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հուլիսի</w:t>
      </w:r>
      <w:r w:rsidRPr="007955BB">
        <w:rPr>
          <w:rFonts w:eastAsiaTheme="minorHAnsi" w:cstheme="minorBidi"/>
          <w:b w:val="0"/>
          <w:szCs w:val="22"/>
          <w:lang w:val="pt-BR" w:eastAsia="en-US"/>
        </w:rPr>
        <w:t xml:space="preserve"> 21-</w:t>
      </w:r>
      <w:r w:rsidRPr="007955BB">
        <w:rPr>
          <w:rFonts w:eastAsiaTheme="minorHAnsi" w:cstheme="minorBidi"/>
          <w:b w:val="0"/>
          <w:szCs w:val="22"/>
          <w:lang w:val="en-US" w:eastAsia="en-US"/>
        </w:rPr>
        <w:t>ին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ընդունել</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է</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ՀՀ</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դատական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և</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իրավական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բարեփոխումների</w:t>
      </w:r>
      <w:r w:rsidRPr="007955BB">
        <w:rPr>
          <w:rFonts w:eastAsiaTheme="minorHAnsi" w:cstheme="minorBidi"/>
          <w:b w:val="0"/>
          <w:szCs w:val="22"/>
          <w:lang w:val="pt-BR" w:eastAsia="en-US"/>
        </w:rPr>
        <w:t xml:space="preserve"> 2022-2026 </w:t>
      </w:r>
      <w:r w:rsidRPr="007955BB">
        <w:rPr>
          <w:rFonts w:eastAsiaTheme="minorHAnsi" w:cstheme="minorBidi"/>
          <w:b w:val="0"/>
          <w:szCs w:val="22"/>
          <w:lang w:val="en-US" w:eastAsia="en-US"/>
        </w:rPr>
        <w:t>թվականների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ռազմավարությունը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և</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դրանից</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բխող</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գործողությունների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ծրագիրը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հաստատելու</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մասին</w:t>
      </w:r>
      <w:r w:rsidRPr="007955BB">
        <w:rPr>
          <w:rFonts w:eastAsiaTheme="minorHAnsi" w:cstheme="minorBidi"/>
          <w:b w:val="0"/>
          <w:szCs w:val="22"/>
          <w:lang w:val="pt-BR" w:eastAsia="en-US"/>
        </w:rPr>
        <w:t xml:space="preserve"> N 1133-</w:t>
      </w:r>
      <w:r w:rsidRPr="007955BB">
        <w:rPr>
          <w:rFonts w:eastAsiaTheme="minorHAnsi" w:cstheme="minorBidi"/>
          <w:b w:val="0"/>
          <w:szCs w:val="22"/>
          <w:lang w:val="en-US" w:eastAsia="en-US"/>
        </w:rPr>
        <w:t>Լ</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որոշումը</w:t>
      </w:r>
      <w:r w:rsidRPr="007955BB">
        <w:rPr>
          <w:rFonts w:eastAsiaTheme="minorHAnsi" w:cstheme="minorBidi"/>
          <w:b w:val="0"/>
          <w:szCs w:val="22"/>
          <w:lang w:val="pt-BR" w:eastAsia="en-US"/>
        </w:rPr>
        <w:t xml:space="preserve">: 2023 </w:t>
      </w:r>
      <w:r w:rsidRPr="007955BB">
        <w:rPr>
          <w:rFonts w:eastAsiaTheme="minorHAnsi" w:cstheme="minorBidi"/>
          <w:b w:val="0"/>
          <w:szCs w:val="22"/>
          <w:lang w:val="en-US" w:eastAsia="en-US"/>
        </w:rPr>
        <w:t>թվականի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ընթացքում</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նախատեսվում</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է</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իրականացնել</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ռազմավարությունից</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բխող</w:t>
      </w:r>
      <w:r w:rsidRPr="007955BB">
        <w:rPr>
          <w:rFonts w:eastAsiaTheme="minorHAnsi" w:cstheme="minorBidi"/>
          <w:b w:val="0"/>
          <w:szCs w:val="22"/>
          <w:lang w:val="pt-BR" w:eastAsia="en-US"/>
        </w:rPr>
        <w:t xml:space="preserve"> 2022-2026 </w:t>
      </w:r>
      <w:r w:rsidRPr="007955BB">
        <w:rPr>
          <w:rFonts w:eastAsiaTheme="minorHAnsi" w:cstheme="minorBidi"/>
          <w:b w:val="0"/>
          <w:szCs w:val="22"/>
          <w:lang w:val="en-US" w:eastAsia="en-US"/>
        </w:rPr>
        <w:t>թվականների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գործողությունների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ծրագրով</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սահմանված</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միջոցառումները</w:t>
      </w:r>
      <w:r w:rsidRPr="007955BB">
        <w:rPr>
          <w:rFonts w:eastAsiaTheme="minorHAnsi" w:cstheme="minorBidi"/>
          <w:b w:val="0"/>
          <w:szCs w:val="22"/>
          <w:lang w:val="pt-BR" w:eastAsia="en-US"/>
        </w:rPr>
        <w:t xml:space="preserve">: </w:t>
      </w:r>
    </w:p>
    <w:p w:rsidR="00761193" w:rsidRPr="007955BB" w:rsidRDefault="00761193" w:rsidP="00761193">
      <w:pPr>
        <w:widowControl w:val="0"/>
        <w:shd w:val="clear" w:color="auto" w:fill="FFFFFF"/>
        <w:spacing w:before="0" w:line="276" w:lineRule="auto"/>
        <w:ind w:firstLine="720"/>
        <w:contextualSpacing w:val="0"/>
        <w:rPr>
          <w:rFonts w:eastAsiaTheme="minorHAnsi" w:cstheme="minorBidi"/>
          <w:b w:val="0"/>
          <w:szCs w:val="22"/>
          <w:lang w:val="pt-BR" w:eastAsia="en-US"/>
        </w:rPr>
      </w:pPr>
      <w:r w:rsidRPr="007955BB">
        <w:rPr>
          <w:rFonts w:eastAsiaTheme="minorHAnsi" w:cstheme="minorBidi"/>
          <w:b w:val="0"/>
          <w:szCs w:val="22"/>
          <w:lang w:val="en-US" w:eastAsia="en-US"/>
        </w:rPr>
        <w:t>Ոլորտային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բարեփոխման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կարևոր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ուղղություններից</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մեկը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դատարանների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դատական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համակարգի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շարունակական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բարեփոխումների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իրականացումն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է</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ինչը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թիվս</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այլնի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պետք</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է</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նպատակ</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հետապնդի՝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երաշխավորել</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արդարադատության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արդյունավետության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բարձրացման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և</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դատական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պրակտիկայի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միասնականության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ապահովումը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ապահովել</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դատական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գործերի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քննության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ողջամիտ</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ժամկետների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առավել</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լիարժեք</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պահպանման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և</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դատավարական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ժամկետների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խնայողության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սկզբունքի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արդյունավետ</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իրականացման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նպատակի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իրացումը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ապահովել</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դատարանների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մասնագիտացումների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և</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դատավորների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ենթամասնագիտացումների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առկայությունն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իրավունքի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տարբեր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ենթաոլորտներում</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բարձրացնել</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դատավորների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թեկնածուների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ընտրության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գործընթացի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օբյեկտիվությունը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և</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հիմնավորվածությունը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ապահովել</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դատական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համակարգում</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դատավորների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վարձատրության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շարունակական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բարձրացումը՝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սկսած</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բարձր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ատյաններից</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ապահովել</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դատավորների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բարեվարքության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շարունակական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ստուգումը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շարունակել</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դատարանների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շենքային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պայմանների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բարելավման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գործընթացը</w:t>
      </w:r>
      <w:r w:rsidRPr="007955BB">
        <w:rPr>
          <w:rFonts w:eastAsiaTheme="minorHAnsi" w:cstheme="minorBidi"/>
          <w:b w:val="0"/>
          <w:szCs w:val="22"/>
          <w:lang w:val="pt-BR" w:eastAsia="en-US"/>
        </w:rPr>
        <w:t>:</w:t>
      </w:r>
    </w:p>
    <w:p w:rsidR="00761193" w:rsidRPr="007955BB" w:rsidRDefault="00761193" w:rsidP="00761193">
      <w:pPr>
        <w:widowControl w:val="0"/>
        <w:spacing w:before="0" w:line="276" w:lineRule="auto"/>
        <w:ind w:firstLine="720"/>
        <w:contextualSpacing w:val="0"/>
        <w:rPr>
          <w:rFonts w:eastAsiaTheme="minorHAnsi" w:cstheme="minorBidi"/>
          <w:b w:val="0"/>
          <w:szCs w:val="22"/>
          <w:lang w:val="pt-BR" w:eastAsia="en-US"/>
        </w:rPr>
      </w:pPr>
      <w:r w:rsidRPr="007955BB">
        <w:rPr>
          <w:rFonts w:eastAsiaTheme="minorHAnsi" w:cstheme="minorBidi"/>
          <w:b w:val="0"/>
          <w:szCs w:val="22"/>
          <w:lang w:val="en-US" w:eastAsia="en-US"/>
        </w:rPr>
        <w:t>Արդարադատության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պատշաճ</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իրականացնումն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ապահովելու</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համար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կարևորվում</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է</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դատարանների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շենքային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պայմանների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և</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տեխնիկական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հագեցվածության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կատարելագործումը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պայմանավորված</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հատկապես</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դատավորների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թվի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ավելացմամբ</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Այս</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առումով</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անհրաժեշտ</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է</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քայլեր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են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ձեռնարկվելու</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դատարանները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շենքային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նոր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պայմաններով</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և</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ենթակառուցվածքներով</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ապահովելու</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ուղղությամբ</w:t>
      </w:r>
      <w:r w:rsidRPr="007955BB">
        <w:rPr>
          <w:rFonts w:eastAsiaTheme="minorHAnsi" w:cstheme="minorBidi"/>
          <w:b w:val="0"/>
          <w:szCs w:val="22"/>
          <w:lang w:val="pt-BR" w:eastAsia="en-US"/>
        </w:rPr>
        <w:t>:</w:t>
      </w:r>
    </w:p>
    <w:p w:rsidR="00761193" w:rsidRPr="007955BB" w:rsidRDefault="00761193" w:rsidP="00761193">
      <w:pPr>
        <w:widowControl w:val="0"/>
        <w:spacing w:before="0" w:line="276" w:lineRule="auto"/>
        <w:ind w:firstLine="720"/>
        <w:contextualSpacing w:val="0"/>
        <w:rPr>
          <w:rFonts w:eastAsiaTheme="minorHAnsi" w:cstheme="minorBidi"/>
          <w:b w:val="0"/>
          <w:szCs w:val="22"/>
          <w:lang w:val="pt-BR" w:eastAsia="en-US"/>
        </w:rPr>
      </w:pPr>
      <w:r w:rsidRPr="007955BB">
        <w:rPr>
          <w:rFonts w:eastAsiaTheme="minorHAnsi" w:cstheme="minorBidi"/>
          <w:b w:val="0"/>
          <w:szCs w:val="22"/>
          <w:lang w:val="en-US" w:eastAsia="en-US"/>
        </w:rPr>
        <w:t>Արդարադատության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արդյունավետության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բարձրացման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համար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անհրաժեշտ</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է</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նաև</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զարգացնել</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և</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կատարելագործել</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վեճերի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լուծման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այլընտրանքային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եղանակները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Այս</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համատեքստում</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նախատեսվող</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առանցքային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գործողություններից</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են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Հայաստանում</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նոր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արբիտրաժային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կենտրոնի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ստեղծումը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Հաշտարարության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ոլորտի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բարեփոխումների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իրականացման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ապահովումը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Արբիտրաժային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և</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հաշտարարության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օրենսդրության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կատարելագործումը</w:t>
      </w:r>
      <w:r w:rsidRPr="007955BB">
        <w:rPr>
          <w:rFonts w:eastAsiaTheme="minorHAnsi" w:cstheme="minorBidi"/>
          <w:b w:val="0"/>
          <w:szCs w:val="22"/>
          <w:lang w:val="pt-BR" w:eastAsia="en-US"/>
        </w:rPr>
        <w:t>:</w:t>
      </w:r>
    </w:p>
    <w:p w:rsidR="00761193" w:rsidRPr="007955BB" w:rsidRDefault="00761193" w:rsidP="00761193">
      <w:pPr>
        <w:widowControl w:val="0"/>
        <w:shd w:val="clear" w:color="auto" w:fill="FFFFFF"/>
        <w:spacing w:before="0" w:line="276" w:lineRule="auto"/>
        <w:ind w:firstLine="720"/>
        <w:contextualSpacing w:val="0"/>
        <w:rPr>
          <w:rFonts w:eastAsiaTheme="minorHAnsi" w:cstheme="minorBidi"/>
          <w:b w:val="0"/>
          <w:szCs w:val="22"/>
          <w:lang w:val="pt-BR" w:eastAsia="en-US"/>
        </w:rPr>
      </w:pPr>
      <w:r w:rsidRPr="007955BB">
        <w:rPr>
          <w:rFonts w:eastAsiaTheme="minorHAnsi" w:cstheme="minorBidi"/>
          <w:b w:val="0"/>
          <w:szCs w:val="22"/>
          <w:lang w:val="en-US" w:eastAsia="en-US"/>
        </w:rPr>
        <w:t>Հայաստանում</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ստեծղվող</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արբիտրաժային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կենտրոնը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պետք</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է</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լինի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տարածաշրջանային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և</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միջազգային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կշիռ</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ունեցող</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ժամանակակից</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արբիտրաժային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հաստատություն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Այն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պետք</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է</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քննի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ինչպես</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ընդհանուր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առևտրային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բնույթի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վեճեր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այնպես</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էլ</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փոքր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հայցապահանջներով</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գործեր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օրինակ՝</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ֆինանսական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կազմակերպությունների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և</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հանրային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ծառայություններ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մատուցող</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կազմակերպությունների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մասնակցությամբ</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վեճեր</w:t>
      </w:r>
      <w:r w:rsidRPr="007955BB">
        <w:rPr>
          <w:rFonts w:eastAsiaTheme="minorHAnsi" w:cstheme="minorBidi"/>
          <w:b w:val="0"/>
          <w:szCs w:val="22"/>
          <w:lang w:val="pt-BR" w:eastAsia="en-US"/>
        </w:rPr>
        <w:t>)</w:t>
      </w:r>
      <w:r w:rsidRPr="007955BB">
        <w:rPr>
          <w:rFonts w:eastAsiaTheme="minorHAnsi" w:cstheme="minorBidi"/>
          <w:b w:val="0"/>
          <w:szCs w:val="22"/>
          <w:lang w:val="en-US" w:eastAsia="en-US"/>
        </w:rPr>
        <w:t>՝</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հատուկ</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վարույթի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կարգով</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որը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հատկապես</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կնպաստի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դատարանների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ծանրաբեռնվածության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թոթափմանը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գումարի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բռնագանձման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գործերի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որոշ</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մասի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քննության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համար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դառնալով</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արդյունավետ</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հարթակ</w:t>
      </w:r>
      <w:r w:rsidRPr="007955BB">
        <w:rPr>
          <w:rFonts w:eastAsiaTheme="minorHAnsi" w:cstheme="minorBidi"/>
          <w:b w:val="0"/>
          <w:szCs w:val="22"/>
          <w:lang w:val="pt-BR" w:eastAsia="en-US"/>
        </w:rPr>
        <w:t>:</w:t>
      </w:r>
    </w:p>
    <w:p w:rsidR="00761193" w:rsidRPr="007955BB" w:rsidRDefault="00761193" w:rsidP="00761193">
      <w:pPr>
        <w:widowControl w:val="0"/>
        <w:tabs>
          <w:tab w:val="left" w:pos="6231"/>
        </w:tabs>
        <w:spacing w:before="0" w:line="276" w:lineRule="auto"/>
        <w:ind w:firstLine="720"/>
        <w:contextualSpacing w:val="0"/>
        <w:rPr>
          <w:rFonts w:eastAsiaTheme="minorHAnsi" w:cstheme="minorBidi"/>
          <w:b w:val="0"/>
          <w:szCs w:val="22"/>
          <w:lang w:val="pt-BR" w:eastAsia="en-US"/>
        </w:rPr>
      </w:pP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Առկա</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է</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անհրաժեշտություն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վերանայել</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նոր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հաշտարարների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ներգրավման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ուսուցման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ռեեստրի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վարման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և</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ընտրության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իրավական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ու</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գործնական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մեխանիզմները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Իր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հերթին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կարևորվում</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է</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նաև</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հաշտարարների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որակավորման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և</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վերապատրաստման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ընթացակարգերը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բարելավելու</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խնդիրը</w:t>
      </w:r>
      <w:r w:rsidRPr="007955BB">
        <w:rPr>
          <w:rFonts w:eastAsiaTheme="minorHAnsi" w:cstheme="minorBidi"/>
          <w:b w:val="0"/>
          <w:szCs w:val="22"/>
          <w:lang w:val="pt-BR" w:eastAsia="en-US"/>
        </w:rPr>
        <w:t>:</w:t>
      </w:r>
      <w:r w:rsidRPr="007955BB">
        <w:rPr>
          <w:rFonts w:eastAsiaTheme="minorHAnsi" w:cstheme="minorBidi"/>
          <w:b w:val="0"/>
          <w:szCs w:val="22"/>
          <w:lang w:val="pt-BR" w:eastAsia="en-US"/>
        </w:rPr>
        <w:tab/>
      </w:r>
    </w:p>
    <w:p w:rsidR="00761193" w:rsidRPr="007955BB" w:rsidRDefault="00761193" w:rsidP="00761193">
      <w:pPr>
        <w:widowControl w:val="0"/>
        <w:spacing w:before="0" w:line="276" w:lineRule="auto"/>
        <w:ind w:firstLine="720"/>
        <w:contextualSpacing w:val="0"/>
        <w:rPr>
          <w:rFonts w:eastAsiaTheme="minorHAnsi" w:cstheme="minorBidi"/>
          <w:b w:val="0"/>
          <w:szCs w:val="22"/>
          <w:lang w:val="pt-BR" w:eastAsia="en-US"/>
        </w:rPr>
      </w:pPr>
      <w:r w:rsidRPr="007955BB">
        <w:rPr>
          <w:rFonts w:eastAsiaTheme="minorHAnsi" w:cstheme="minorBidi"/>
          <w:b w:val="0"/>
          <w:szCs w:val="22"/>
          <w:lang w:val="en-US" w:eastAsia="en-US"/>
        </w:rPr>
        <w:t>Դատաիրավական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բարեփոխումների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շրջանակում</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անհրաժեշտ</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է</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իրականացնել</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հարկադիր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կատարման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ոլորտի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համընդհանուր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բարեփոխումներ՝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բարձրացնելու</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կատարողական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գործողությունների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արդյունավետությունը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առավելագույնս</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ապահովելու</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կատարողական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վարույթի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մասնակիցների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օրինական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շահերի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պաշտպանությունը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նրանց</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խնդիրներին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ու</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կարիքներին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արագ</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և</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արդյունավետ</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արձագանքելու</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կառուցակարգերի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ներդրմանը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Նշված</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նպատակներին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հասնելու</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նպատակով</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իրականացվելիք</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գործողություններն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ուղղված</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են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լինելու</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կատարողական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վարույթի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օրենսդրության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համապարփակ</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վերանայմանը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Հարկադիր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կատարումն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ապահովող</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ծառայության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նոր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մոդելի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ներդրմանը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Հարկադիր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կատարումն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ապահովող</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ծառայության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տեխնիկական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հագեցվածության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բարելավմանը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Հարկադիր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կատարումն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ապահովող</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ծառայության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նոր</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էլեկտրոնային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կառավարման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համակարգի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ներդրմանը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և</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գործարկմանը</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բանկային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հաշիվներում</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և</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ավանդներում</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առկա</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դրամական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միջոցների</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արգելադրման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և</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բռնագանձման</w:t>
      </w:r>
      <w:r w:rsidRPr="007955BB">
        <w:rPr>
          <w:rFonts w:eastAsiaTheme="minorHAnsi" w:cstheme="minorBidi"/>
          <w:b w:val="0"/>
          <w:szCs w:val="22"/>
          <w:lang w:val="pt-BR" w:eastAsia="en-US"/>
        </w:rPr>
        <w:t xml:space="preserve"> </w:t>
      </w:r>
      <w:r w:rsidRPr="007955BB">
        <w:rPr>
          <w:rFonts w:eastAsiaTheme="minorHAnsi" w:cstheme="minorBidi"/>
          <w:b w:val="0"/>
          <w:szCs w:val="22"/>
          <w:lang w:val="en-US" w:eastAsia="en-US"/>
        </w:rPr>
        <w:t>գործընթացի</w:t>
      </w:r>
      <w:r w:rsidRPr="007955BB">
        <w:rPr>
          <w:rFonts w:eastAsiaTheme="minorHAnsi" w:cstheme="minorBidi"/>
          <w:b w:val="0"/>
          <w:szCs w:val="22"/>
          <w:lang w:val="pt-BR" w:eastAsia="en-US"/>
        </w:rPr>
        <w:t xml:space="preserve"> o</w:t>
      </w:r>
      <w:r w:rsidRPr="007955BB">
        <w:rPr>
          <w:rFonts w:eastAsiaTheme="minorHAnsi" w:cstheme="minorBidi"/>
          <w:b w:val="0"/>
          <w:szCs w:val="22"/>
          <w:lang w:val="en-US" w:eastAsia="en-US"/>
        </w:rPr>
        <w:t>պտիմալացմանը</w:t>
      </w:r>
      <w:r w:rsidRPr="007955BB">
        <w:rPr>
          <w:rFonts w:eastAsiaTheme="minorHAnsi" w:cstheme="minorBidi"/>
          <w:b w:val="0"/>
          <w:szCs w:val="22"/>
          <w:lang w:val="pt-BR" w:eastAsia="en-US"/>
        </w:rPr>
        <w:t xml:space="preserve">: </w:t>
      </w:r>
    </w:p>
    <w:p w:rsidR="00761193" w:rsidRPr="007955BB" w:rsidRDefault="00761193" w:rsidP="00761193">
      <w:pPr>
        <w:tabs>
          <w:tab w:val="left" w:pos="0"/>
        </w:tabs>
        <w:spacing w:before="0" w:line="276" w:lineRule="auto"/>
        <w:ind w:firstLine="851"/>
        <w:rPr>
          <w:rFonts w:eastAsia="GHEA Grapalat" w:cs="GHEA Grapalat"/>
          <w:szCs w:val="22"/>
          <w:lang w:val="hy-AM" w:eastAsia="en-US"/>
        </w:rPr>
      </w:pPr>
      <w:r w:rsidRPr="007955BB">
        <w:rPr>
          <w:rFonts w:eastAsia="GHEA Grapalat" w:cs="GHEA Grapalat"/>
          <w:szCs w:val="22"/>
          <w:lang w:val="hy-AM" w:eastAsia="en-US"/>
        </w:rPr>
        <w:t xml:space="preserve">Հակակոռուպցիոն ոլորտ </w:t>
      </w:r>
    </w:p>
    <w:p w:rsidR="00761193" w:rsidRPr="007955BB" w:rsidRDefault="00761193" w:rsidP="001113EE">
      <w:pPr>
        <w:tabs>
          <w:tab w:val="left" w:pos="0"/>
        </w:tabs>
        <w:spacing w:before="0" w:line="276" w:lineRule="auto"/>
        <w:ind w:firstLine="630"/>
        <w:rPr>
          <w:rFonts w:eastAsia="GHEA Grapalat" w:cs="GHEA Grapalat"/>
          <w:b w:val="0"/>
          <w:szCs w:val="22"/>
          <w:lang w:val="hy-AM" w:eastAsia="en-US"/>
        </w:rPr>
      </w:pPr>
      <w:r w:rsidRPr="007955BB">
        <w:rPr>
          <w:rFonts w:eastAsia="GHEA Grapalat" w:cs="GHEA Grapalat"/>
          <w:b w:val="0"/>
          <w:szCs w:val="22"/>
          <w:lang w:val="hy-AM" w:eastAsia="en-US"/>
        </w:rPr>
        <w:t xml:space="preserve">Հայաստանի Հանրապետության կառավարությունը շարունակելու է իրականացնել հակակոռուպցիոն քաղաքականությունը 2019 թվականի հոկտեմբերի 3-ին ընդունած Հայաստանի Հանրապետության հակակոռուպցիոն ռազմավարության և դրա իրականացման 2019-2022 թվականների միջոցառումների ծրագրի շրջանակներում: </w:t>
      </w:r>
    </w:p>
    <w:p w:rsidR="00761193" w:rsidRPr="007955BB" w:rsidRDefault="00761193" w:rsidP="001113EE">
      <w:pPr>
        <w:spacing w:before="0" w:line="276" w:lineRule="auto"/>
        <w:ind w:firstLine="630"/>
        <w:contextualSpacing w:val="0"/>
        <w:rPr>
          <w:rFonts w:eastAsia="GHEA Grapalat" w:cs="GHEA Grapalat"/>
          <w:b w:val="0"/>
          <w:szCs w:val="22"/>
          <w:lang w:val="hy-AM" w:eastAsia="en-US"/>
        </w:rPr>
      </w:pPr>
      <w:r w:rsidRPr="007955BB">
        <w:rPr>
          <w:rFonts w:eastAsia="GHEA Grapalat" w:cs="GHEA Grapalat"/>
          <w:b w:val="0"/>
          <w:szCs w:val="22"/>
          <w:lang w:val="hy-AM" w:eastAsia="en-US"/>
        </w:rPr>
        <w:t xml:space="preserve">Վերոնշյալ ռազմավարության պահանջներին համապատասխան նախատեսվում է իրագործել հետևյալ հիմնական միջոցառումները` </w:t>
      </w:r>
    </w:p>
    <w:p w:rsidR="00761193" w:rsidRPr="007955BB" w:rsidRDefault="00F1351F" w:rsidP="00F04DA1">
      <w:pPr>
        <w:numPr>
          <w:ilvl w:val="0"/>
          <w:numId w:val="50"/>
        </w:numPr>
        <w:spacing w:before="0" w:line="276" w:lineRule="auto"/>
        <w:ind w:left="0" w:firstLine="540"/>
        <w:contextualSpacing w:val="0"/>
        <w:rPr>
          <w:rFonts w:eastAsia="GHEA Grapalat" w:cs="GHEA Grapalat"/>
          <w:b w:val="0"/>
          <w:szCs w:val="22"/>
          <w:lang w:val="hy-AM" w:eastAsia="en-US"/>
        </w:rPr>
      </w:pPr>
      <w:r w:rsidRPr="007955BB">
        <w:rPr>
          <w:rFonts w:eastAsia="GHEA Grapalat" w:cs="GHEA Grapalat"/>
          <w:b w:val="0"/>
          <w:color w:val="000000"/>
          <w:szCs w:val="22"/>
          <w:lang w:val="hy-AM" w:eastAsia="en-US"/>
        </w:rPr>
        <w:t xml:space="preserve"> </w:t>
      </w:r>
      <w:r w:rsidR="00761193" w:rsidRPr="007955BB">
        <w:rPr>
          <w:rFonts w:eastAsia="GHEA Grapalat" w:cs="GHEA Grapalat"/>
          <w:b w:val="0"/>
          <w:color w:val="000000"/>
          <w:szCs w:val="22"/>
          <w:lang w:val="hy-AM" w:eastAsia="en-US"/>
        </w:rPr>
        <w:t>Հանրային ծառայության ոլորտում բարեվարքության ստուգման կառուցակարգերի կիրառման շրջանակների ընդլայնում:</w:t>
      </w:r>
    </w:p>
    <w:p w:rsidR="00761193" w:rsidRPr="007955BB" w:rsidRDefault="00F1351F" w:rsidP="00F04DA1">
      <w:pPr>
        <w:numPr>
          <w:ilvl w:val="0"/>
          <w:numId w:val="50"/>
        </w:numPr>
        <w:spacing w:before="0" w:line="276" w:lineRule="auto"/>
        <w:ind w:left="0" w:firstLine="540"/>
        <w:contextualSpacing w:val="0"/>
        <w:rPr>
          <w:rFonts w:eastAsia="GHEA Grapalat" w:cs="GHEA Grapalat"/>
          <w:b w:val="0"/>
          <w:color w:val="000000"/>
          <w:szCs w:val="22"/>
          <w:lang w:val="hy-AM" w:eastAsia="en-US"/>
        </w:rPr>
      </w:pPr>
      <w:r w:rsidRPr="007955BB">
        <w:rPr>
          <w:rFonts w:eastAsia="GHEA Grapalat" w:cs="GHEA Grapalat"/>
          <w:b w:val="0"/>
          <w:color w:val="000000"/>
          <w:szCs w:val="22"/>
          <w:lang w:val="hy-AM" w:eastAsia="en-US"/>
        </w:rPr>
        <w:t xml:space="preserve"> </w:t>
      </w:r>
      <w:r w:rsidR="00761193" w:rsidRPr="007955BB">
        <w:rPr>
          <w:rFonts w:eastAsia="GHEA Grapalat" w:cs="GHEA Grapalat"/>
          <w:b w:val="0"/>
          <w:color w:val="000000"/>
          <w:szCs w:val="22"/>
          <w:lang w:val="hy-AM" w:eastAsia="en-US"/>
        </w:rPr>
        <w:t xml:space="preserve">Վարչական կոռուպցիայի հաղթահարումը՝ ոլորտային կոռուպցիոն ռիսկերի վերհանման և դրանց հիման վրա հակակոռուպցիոն ոլորտային միջոցառումների մշակման և իրականացման, էլեկտրոնային ժողովրդավարության գործիքների շարունակական կատարելագործման միջոցով. </w:t>
      </w:r>
    </w:p>
    <w:p w:rsidR="00761193" w:rsidRPr="007955BB" w:rsidRDefault="00F1351F" w:rsidP="00F04DA1">
      <w:pPr>
        <w:numPr>
          <w:ilvl w:val="0"/>
          <w:numId w:val="50"/>
        </w:numPr>
        <w:spacing w:before="0" w:line="276" w:lineRule="auto"/>
        <w:ind w:left="0" w:firstLine="540"/>
        <w:contextualSpacing w:val="0"/>
        <w:rPr>
          <w:rFonts w:eastAsia="GHEA Grapalat" w:cs="GHEA Grapalat"/>
          <w:b w:val="0"/>
          <w:color w:val="000000"/>
          <w:szCs w:val="22"/>
          <w:lang w:val="hy-AM" w:eastAsia="en-US"/>
        </w:rPr>
      </w:pPr>
      <w:r w:rsidRPr="007955BB">
        <w:rPr>
          <w:rFonts w:eastAsia="GHEA Grapalat" w:cs="GHEA Grapalat"/>
          <w:b w:val="0"/>
          <w:color w:val="000000"/>
          <w:szCs w:val="22"/>
          <w:lang w:val="hy-AM" w:eastAsia="en-US"/>
        </w:rPr>
        <w:t xml:space="preserve"> </w:t>
      </w:r>
      <w:r w:rsidR="00761193" w:rsidRPr="007955BB">
        <w:rPr>
          <w:rFonts w:eastAsia="GHEA Grapalat" w:cs="GHEA Grapalat"/>
          <w:b w:val="0"/>
          <w:color w:val="000000"/>
          <w:szCs w:val="22"/>
          <w:lang w:val="hy-AM" w:eastAsia="en-US"/>
        </w:rPr>
        <w:t>Ազդարարման համակարգի գործնական կիրառությունն ապահովելուն ուղղված միջոցառումների իրականացումը.</w:t>
      </w:r>
    </w:p>
    <w:p w:rsidR="00761193" w:rsidRPr="007955BB" w:rsidRDefault="00F1351F" w:rsidP="00F04DA1">
      <w:pPr>
        <w:numPr>
          <w:ilvl w:val="0"/>
          <w:numId w:val="50"/>
        </w:numPr>
        <w:spacing w:before="0" w:line="276" w:lineRule="auto"/>
        <w:ind w:left="0" w:firstLine="540"/>
        <w:contextualSpacing w:val="0"/>
        <w:rPr>
          <w:rFonts w:eastAsia="GHEA Grapalat" w:cs="GHEA Grapalat"/>
          <w:b w:val="0"/>
          <w:color w:val="000000"/>
          <w:szCs w:val="22"/>
          <w:lang w:val="hy-AM" w:eastAsia="en-US"/>
        </w:rPr>
      </w:pPr>
      <w:r w:rsidRPr="007955BB">
        <w:rPr>
          <w:rFonts w:eastAsia="Calibri" w:cs="Sylfaen"/>
          <w:b w:val="0"/>
          <w:color w:val="000000"/>
          <w:szCs w:val="22"/>
          <w:shd w:val="clear" w:color="auto" w:fill="FFFFFF"/>
          <w:lang w:val="hy-AM" w:eastAsia="en-US"/>
        </w:rPr>
        <w:t xml:space="preserve"> </w:t>
      </w:r>
      <w:r w:rsidR="00761193" w:rsidRPr="007955BB">
        <w:rPr>
          <w:rFonts w:eastAsia="Calibri" w:cs="Sylfaen"/>
          <w:b w:val="0"/>
          <w:color w:val="000000"/>
          <w:szCs w:val="22"/>
          <w:shd w:val="clear" w:color="auto" w:fill="FFFFFF"/>
          <w:lang w:val="hy-AM" w:eastAsia="en-US"/>
        </w:rPr>
        <w:t>Հանրային</w:t>
      </w:r>
      <w:r w:rsidR="00761193" w:rsidRPr="007955BB">
        <w:rPr>
          <w:rFonts w:eastAsia="Calibri" w:cs="Calibri"/>
          <w:b w:val="0"/>
          <w:color w:val="000000"/>
          <w:szCs w:val="22"/>
          <w:shd w:val="clear" w:color="auto" w:fill="FFFFFF"/>
          <w:lang w:val="hy-AM" w:eastAsia="en-US"/>
        </w:rPr>
        <w:t xml:space="preserve"> պաշտոն զբաղեցնող անձանց և հանրային ծառայողների կողմից ստացված նվերների հաշվառման համար ռեեստրի ստեղծումը և գործարկումը.</w:t>
      </w:r>
    </w:p>
    <w:p w:rsidR="00761193" w:rsidRPr="007955BB" w:rsidRDefault="00F1351F" w:rsidP="00F04DA1">
      <w:pPr>
        <w:numPr>
          <w:ilvl w:val="0"/>
          <w:numId w:val="50"/>
        </w:numPr>
        <w:spacing w:before="0" w:line="276" w:lineRule="auto"/>
        <w:ind w:left="0" w:firstLine="540"/>
        <w:contextualSpacing w:val="0"/>
        <w:rPr>
          <w:rFonts w:eastAsia="GHEA Grapalat" w:cs="GHEA Grapalat"/>
          <w:b w:val="0"/>
          <w:color w:val="000000"/>
          <w:szCs w:val="22"/>
          <w:lang w:val="hy-AM" w:eastAsia="en-US"/>
        </w:rPr>
      </w:pPr>
      <w:r w:rsidRPr="007955BB">
        <w:rPr>
          <w:rFonts w:eastAsia="GHEA Grapalat" w:cs="GHEA Grapalat"/>
          <w:b w:val="0"/>
          <w:color w:val="000000"/>
          <w:szCs w:val="22"/>
          <w:lang w:val="hy-AM" w:eastAsia="en-US"/>
        </w:rPr>
        <w:t xml:space="preserve"> </w:t>
      </w:r>
      <w:r w:rsidR="00761193" w:rsidRPr="007955BB">
        <w:rPr>
          <w:rFonts w:eastAsia="GHEA Grapalat" w:cs="GHEA Grapalat"/>
          <w:b w:val="0"/>
          <w:color w:val="000000"/>
          <w:szCs w:val="22"/>
          <w:lang w:val="hy-AM" w:eastAsia="en-US"/>
        </w:rPr>
        <w:t>Հանրային կրթության և իրազեկման միջոցով կոռուպցիայի նկատմամբ ժխտողական վերաբերմունքի սերմանումը, ներառյալ՝ ազդարարման ինստիտուտի նկատմամբ վերաբերմունքի փոփոխման միջոցով, պահանջատեր քաղաքացու ձևավորումը.</w:t>
      </w:r>
    </w:p>
    <w:p w:rsidR="00761193" w:rsidRPr="007955BB" w:rsidRDefault="00F1351F" w:rsidP="00F04DA1">
      <w:pPr>
        <w:numPr>
          <w:ilvl w:val="0"/>
          <w:numId w:val="50"/>
        </w:numPr>
        <w:spacing w:before="0" w:line="276" w:lineRule="auto"/>
        <w:ind w:left="0" w:firstLine="540"/>
        <w:contextualSpacing w:val="0"/>
        <w:rPr>
          <w:rFonts w:eastAsia="GHEA Grapalat" w:cs="GHEA Grapalat"/>
          <w:b w:val="0"/>
          <w:color w:val="000000"/>
          <w:szCs w:val="22"/>
          <w:lang w:val="hy-AM" w:eastAsia="en-US"/>
        </w:rPr>
      </w:pPr>
      <w:r w:rsidRPr="007955BB">
        <w:rPr>
          <w:rFonts w:eastAsia="GHEA Grapalat" w:cs="GHEA Grapalat"/>
          <w:b w:val="0"/>
          <w:color w:val="000000"/>
          <w:szCs w:val="22"/>
          <w:lang w:val="hy-AM" w:eastAsia="en-US"/>
        </w:rPr>
        <w:t xml:space="preserve"> </w:t>
      </w:r>
      <w:r w:rsidR="00761193" w:rsidRPr="007955BB">
        <w:rPr>
          <w:rFonts w:eastAsia="GHEA Grapalat" w:cs="GHEA Grapalat"/>
          <w:b w:val="0"/>
          <w:color w:val="000000"/>
          <w:szCs w:val="22"/>
          <w:lang w:val="hy-AM" w:eastAsia="en-US"/>
        </w:rPr>
        <w:t>Հակակոռուպցիոն միջոցառումների ծրագրի կատարման նկատմամբ մշտադիտարկում և համակարգումը,</w:t>
      </w:r>
      <w:r w:rsidRPr="007955BB">
        <w:rPr>
          <w:rFonts w:eastAsia="GHEA Grapalat" w:cs="GHEA Grapalat"/>
          <w:b w:val="0"/>
          <w:color w:val="000000"/>
          <w:szCs w:val="22"/>
          <w:lang w:val="hy-AM" w:eastAsia="en-US"/>
        </w:rPr>
        <w:t xml:space="preserve"> </w:t>
      </w:r>
      <w:r w:rsidR="00761193" w:rsidRPr="007955BB">
        <w:rPr>
          <w:rFonts w:eastAsia="GHEA Grapalat" w:cs="GHEA Grapalat"/>
          <w:b w:val="0"/>
          <w:color w:val="000000"/>
          <w:szCs w:val="22"/>
          <w:lang w:val="hy-AM" w:eastAsia="en-US"/>
        </w:rPr>
        <w:t>հաշվետվությունների կազմում:</w:t>
      </w:r>
    </w:p>
    <w:p w:rsidR="00761193" w:rsidRPr="007955BB" w:rsidRDefault="00761193" w:rsidP="001113EE">
      <w:pPr>
        <w:tabs>
          <w:tab w:val="left" w:pos="0"/>
        </w:tabs>
        <w:spacing w:before="0" w:line="276" w:lineRule="auto"/>
        <w:ind w:firstLine="630"/>
        <w:rPr>
          <w:rFonts w:cstheme="minorBidi"/>
          <w:b w:val="0"/>
          <w:szCs w:val="22"/>
          <w:lang w:val="hy-AM"/>
        </w:rPr>
      </w:pPr>
      <w:r w:rsidRPr="007955BB">
        <w:rPr>
          <w:rFonts w:cstheme="minorBidi"/>
          <w:b w:val="0"/>
          <w:szCs w:val="22"/>
          <w:lang w:val="hy-AM"/>
        </w:rPr>
        <w:t>Բացի այդ, ՀՀ Կառավարության՝ 2021թ. նոյեմբերի 18-ին ընդունված Հայաստանի Հանրապետության կառավարության 2021-2026 թվականների գործունեության միջոցառումների ծրագիրը հաստատելու մասին N 1902-Լ որոշման Հավելված 1-ի 16-րդ կետի համաձայն նախատեսվում է 2023 թվականի հոկտեմբերի 3-րդ տասնօրյակում ընդունել «Հայաստանի Հանրապետության հակակոռուպցիոն ռազմավարությունը և դրա իրականացման 2023-2027 թվականների միջոցառումների ծրագիրը հաստատելու մասին» Հայաստանի Հանրապետության կառավարության որոշումը: Նախագծի մշակումը նախատեսվում է իրականացնել ներառական գործընթացի միջոցով՝ շահագրգիռ մարմինների, միջազգային գործընկեր կազմակերպությունների և քաղաքացիական հասարակության հետ քննարկումների արդյունքում: Նշված գործընթացը հնարավորություն կտա վեր հանել շահագրգիռ բոլոր մարմինների, քաղաքացիական հասարակության և միջազգային կազմակերպությունների ներկայացուցիչների կողմից բարձրաձայնվող խնդիրները, առաջարկել արդյունավետ լուծումներ և նշվածները ներառել համապատասխան գործողությունների ծրագրում:</w:t>
      </w:r>
    </w:p>
    <w:p w:rsidR="00761193" w:rsidRPr="007955BB" w:rsidRDefault="00761193" w:rsidP="00761193">
      <w:pPr>
        <w:tabs>
          <w:tab w:val="left" w:pos="0"/>
        </w:tabs>
        <w:spacing w:before="0" w:line="276" w:lineRule="auto"/>
        <w:ind w:firstLine="426"/>
        <w:rPr>
          <w:rFonts w:eastAsiaTheme="minorHAnsi" w:cstheme="minorBidi"/>
          <w:b w:val="0"/>
          <w:szCs w:val="22"/>
          <w:lang w:val="hy-AM" w:eastAsia="en-US"/>
        </w:rPr>
      </w:pPr>
      <w:r w:rsidRPr="007955BB">
        <w:rPr>
          <w:rFonts w:eastAsiaTheme="minorHAnsi" w:cstheme="minorBidi"/>
          <w:szCs w:val="22"/>
          <w:lang w:val="hy-AM" w:eastAsia="en-US"/>
        </w:rPr>
        <w:t xml:space="preserve">Քրեակատարողական և պրոբացիայի </w:t>
      </w:r>
      <w:r w:rsidR="00F1351F" w:rsidRPr="007955BB">
        <w:rPr>
          <w:rFonts w:eastAsiaTheme="minorHAnsi" w:cstheme="minorBidi"/>
          <w:szCs w:val="22"/>
          <w:lang w:val="hy-AM" w:eastAsia="en-US"/>
        </w:rPr>
        <w:t>ոլորտ</w:t>
      </w:r>
      <w:r w:rsidRPr="007955BB">
        <w:rPr>
          <w:rFonts w:eastAsiaTheme="minorHAnsi" w:cstheme="minorBidi"/>
          <w:b w:val="0"/>
          <w:szCs w:val="22"/>
          <w:lang w:val="hy-AM" w:eastAsia="en-US"/>
        </w:rPr>
        <w:t xml:space="preserve"> </w:t>
      </w:r>
    </w:p>
    <w:p w:rsidR="00761193" w:rsidRPr="007955BB" w:rsidRDefault="00761193" w:rsidP="00761193">
      <w:pPr>
        <w:tabs>
          <w:tab w:val="left" w:pos="0"/>
        </w:tabs>
        <w:spacing w:before="0" w:line="276" w:lineRule="auto"/>
        <w:ind w:firstLine="426"/>
        <w:rPr>
          <w:rFonts w:eastAsiaTheme="minorHAnsi" w:cs="Sylfaen"/>
          <w:b w:val="0"/>
          <w:szCs w:val="22"/>
          <w:lang w:val="hy-AM" w:eastAsia="en-US"/>
        </w:rPr>
      </w:pPr>
      <w:r w:rsidRPr="007955BB">
        <w:rPr>
          <w:rFonts w:eastAsiaTheme="minorHAnsi" w:cs="Sylfaen"/>
          <w:b w:val="0"/>
          <w:szCs w:val="22"/>
          <w:lang w:val="hy-AM" w:eastAsia="en-US"/>
        </w:rPr>
        <w:t>Կառավարությունը</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շարունակելու</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է</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վճռական</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մնալ</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վերականգնողական</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արդարադատության</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սկզբունքների</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արմատավորման, ինչպես նաև քրեակատարողական համակարգի կայուն զարգացումն ապահովելու</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հարցում:</w:t>
      </w:r>
    </w:p>
    <w:p w:rsidR="00761193" w:rsidRPr="007955BB" w:rsidRDefault="00761193" w:rsidP="00761193">
      <w:pPr>
        <w:tabs>
          <w:tab w:val="left" w:pos="0"/>
        </w:tabs>
        <w:spacing w:before="0" w:line="276" w:lineRule="auto"/>
        <w:ind w:firstLine="426"/>
        <w:rPr>
          <w:rFonts w:eastAsiaTheme="minorHAnsi" w:cstheme="minorBidi"/>
          <w:b w:val="0"/>
          <w:szCs w:val="22"/>
          <w:lang w:val="hy-AM" w:eastAsia="en-US"/>
        </w:rPr>
      </w:pPr>
      <w:r w:rsidRPr="007955BB">
        <w:rPr>
          <w:rFonts w:eastAsiaTheme="minorHAnsi" w:cs="Sylfaen"/>
          <w:b w:val="0"/>
          <w:szCs w:val="22"/>
          <w:lang w:val="hy-AM" w:eastAsia="en-US"/>
        </w:rPr>
        <w:t>Այս համատեքստում հիմնական թիրախային ուղղությունները լինելու են.</w:t>
      </w:r>
    </w:p>
    <w:p w:rsidR="00761193" w:rsidRPr="007955BB" w:rsidRDefault="00F1351F" w:rsidP="00F04DA1">
      <w:pPr>
        <w:numPr>
          <w:ilvl w:val="0"/>
          <w:numId w:val="51"/>
        </w:numPr>
        <w:spacing w:before="0" w:line="276" w:lineRule="auto"/>
        <w:ind w:left="0" w:firstLine="450"/>
        <w:contextualSpacing w:val="0"/>
        <w:rPr>
          <w:rFonts w:eastAsia="GHEA Grapalat" w:cs="GHEA Grapalat"/>
          <w:b w:val="0"/>
          <w:color w:val="000000"/>
          <w:szCs w:val="22"/>
          <w:lang w:val="hy-AM" w:eastAsia="en-US"/>
        </w:rPr>
      </w:pPr>
      <w:r w:rsidRPr="007955BB">
        <w:rPr>
          <w:rFonts w:eastAsia="GHEA Grapalat" w:cs="GHEA Grapalat"/>
          <w:b w:val="0"/>
          <w:color w:val="000000"/>
          <w:szCs w:val="22"/>
          <w:lang w:val="hy-AM" w:eastAsia="en-US"/>
        </w:rPr>
        <w:t xml:space="preserve"> </w:t>
      </w:r>
      <w:r w:rsidR="00761193" w:rsidRPr="007955BB">
        <w:rPr>
          <w:rFonts w:eastAsia="GHEA Grapalat" w:cs="GHEA Grapalat"/>
          <w:b w:val="0"/>
          <w:color w:val="000000"/>
          <w:szCs w:val="22"/>
          <w:lang w:val="hy-AM" w:eastAsia="en-US"/>
        </w:rPr>
        <w:t xml:space="preserve">էապես վերափոխել Պրոբացիայի ծառայությունը՝ զարգացնելով ծառայության կարողությունները, կադրային ներուժը, ընդլայնել պրոբացիայի ծառայողի սոցիալ-իրավական երաշխիքները, ինչպես նաև վերազինել պրոբացիայի ծառայությունն անհրաժեշտ միջոցներով. </w:t>
      </w:r>
    </w:p>
    <w:p w:rsidR="00761193" w:rsidRPr="007955BB" w:rsidRDefault="00F1351F" w:rsidP="00F04DA1">
      <w:pPr>
        <w:numPr>
          <w:ilvl w:val="0"/>
          <w:numId w:val="51"/>
        </w:numPr>
        <w:spacing w:before="0" w:line="276" w:lineRule="auto"/>
        <w:ind w:left="0" w:firstLine="450"/>
        <w:contextualSpacing w:val="0"/>
        <w:rPr>
          <w:rFonts w:eastAsia="GHEA Grapalat" w:cs="GHEA Grapalat"/>
          <w:b w:val="0"/>
          <w:color w:val="000000"/>
          <w:szCs w:val="22"/>
          <w:lang w:val="hy-AM" w:eastAsia="en-US"/>
        </w:rPr>
      </w:pPr>
      <w:r w:rsidRPr="007955BB">
        <w:rPr>
          <w:rFonts w:eastAsia="GHEA Grapalat" w:cs="GHEA Grapalat"/>
          <w:b w:val="0"/>
          <w:color w:val="000000"/>
          <w:szCs w:val="22"/>
          <w:lang w:val="hy-AM" w:eastAsia="en-US"/>
        </w:rPr>
        <w:t xml:space="preserve"> </w:t>
      </w:r>
      <w:r w:rsidR="00761193" w:rsidRPr="007955BB">
        <w:rPr>
          <w:rFonts w:eastAsia="GHEA Grapalat" w:cs="GHEA Grapalat"/>
          <w:b w:val="0"/>
          <w:color w:val="000000"/>
          <w:szCs w:val="22"/>
          <w:lang w:val="hy-AM" w:eastAsia="en-US"/>
        </w:rPr>
        <w:t>ձեռնարկել համապատասխան միջոցառումներ՝ ապահովելու Պրոբացիայի շահառուների զբաղվածությունը, հոգեբանական և իրավական աջակցությունը.</w:t>
      </w:r>
    </w:p>
    <w:p w:rsidR="00761193" w:rsidRPr="007955BB" w:rsidRDefault="00F1351F" w:rsidP="00F04DA1">
      <w:pPr>
        <w:numPr>
          <w:ilvl w:val="0"/>
          <w:numId w:val="51"/>
        </w:numPr>
        <w:spacing w:before="0" w:line="276" w:lineRule="auto"/>
        <w:ind w:left="0" w:firstLine="450"/>
        <w:contextualSpacing w:val="0"/>
        <w:rPr>
          <w:rFonts w:eastAsia="GHEA Grapalat" w:cs="GHEA Grapalat"/>
          <w:b w:val="0"/>
          <w:color w:val="000000"/>
          <w:szCs w:val="22"/>
          <w:lang w:val="hy-AM" w:eastAsia="en-US"/>
        </w:rPr>
      </w:pPr>
      <w:r w:rsidRPr="007955BB">
        <w:rPr>
          <w:rFonts w:eastAsia="GHEA Grapalat" w:cs="GHEA Grapalat"/>
          <w:b w:val="0"/>
          <w:color w:val="000000"/>
          <w:szCs w:val="22"/>
          <w:lang w:val="hy-AM" w:eastAsia="en-US"/>
        </w:rPr>
        <w:t xml:space="preserve"> </w:t>
      </w:r>
      <w:r w:rsidR="00761193" w:rsidRPr="007955BB">
        <w:rPr>
          <w:rFonts w:eastAsia="GHEA Grapalat" w:cs="GHEA Grapalat"/>
          <w:b w:val="0"/>
          <w:color w:val="000000"/>
          <w:szCs w:val="22"/>
          <w:lang w:val="hy-AM" w:eastAsia="en-US"/>
        </w:rPr>
        <w:t>խթանել պրոբացիայի համակարգում էլեկտրոնային կառավարման գործիքների կիրառումը, արդիականացնել E-probation էլեկտրոնային կառավարման համակարգը՝ ապահովելով դրա պարբերական զարգացումը.</w:t>
      </w:r>
    </w:p>
    <w:p w:rsidR="00761193" w:rsidRPr="007955BB" w:rsidRDefault="00F1351F" w:rsidP="00F04DA1">
      <w:pPr>
        <w:numPr>
          <w:ilvl w:val="0"/>
          <w:numId w:val="51"/>
        </w:numPr>
        <w:spacing w:before="0" w:line="276" w:lineRule="auto"/>
        <w:ind w:left="0" w:firstLine="450"/>
        <w:contextualSpacing w:val="0"/>
        <w:rPr>
          <w:rFonts w:eastAsia="GHEA Grapalat" w:cs="GHEA Grapalat"/>
          <w:b w:val="0"/>
          <w:color w:val="000000"/>
          <w:szCs w:val="22"/>
          <w:lang w:val="hy-AM" w:eastAsia="en-US"/>
        </w:rPr>
      </w:pPr>
      <w:r w:rsidRPr="007955BB">
        <w:rPr>
          <w:rFonts w:eastAsia="GHEA Grapalat" w:cs="GHEA Grapalat"/>
          <w:b w:val="0"/>
          <w:color w:val="000000"/>
          <w:szCs w:val="22"/>
          <w:lang w:val="hy-AM" w:eastAsia="en-US"/>
        </w:rPr>
        <w:t xml:space="preserve"> </w:t>
      </w:r>
      <w:r w:rsidR="00761193" w:rsidRPr="007955BB">
        <w:rPr>
          <w:rFonts w:eastAsia="GHEA Grapalat" w:cs="GHEA Grapalat"/>
          <w:b w:val="0"/>
          <w:color w:val="000000"/>
          <w:szCs w:val="22"/>
          <w:lang w:val="hy-AM" w:eastAsia="en-US"/>
        </w:rPr>
        <w:t xml:space="preserve">գործարկել ազատությունից զրկելուն այլընտրանք հանդիսացող նոր պատժատեսակների կատարման և խափանման միջոցների արդյունավետ կիրառման նպատակով ներդրված էլեկտրոնային հսկողության համակարգը, ապահովել էլեկտրոնային հսկողության միջոցների և դրանց ծրագրային համակարգերի՝ ըստ անհրաժեշտության արդիականացումն ու վերազինումը. </w:t>
      </w:r>
    </w:p>
    <w:p w:rsidR="00761193" w:rsidRPr="007955BB" w:rsidRDefault="00F1351F" w:rsidP="00F04DA1">
      <w:pPr>
        <w:numPr>
          <w:ilvl w:val="0"/>
          <w:numId w:val="51"/>
        </w:numPr>
        <w:spacing w:before="0" w:line="276" w:lineRule="auto"/>
        <w:ind w:left="0" w:firstLine="450"/>
        <w:contextualSpacing w:val="0"/>
        <w:rPr>
          <w:rFonts w:eastAsia="GHEA Grapalat" w:cs="GHEA Grapalat"/>
          <w:b w:val="0"/>
          <w:color w:val="000000"/>
          <w:szCs w:val="22"/>
          <w:lang w:val="hy-AM" w:eastAsia="en-US"/>
        </w:rPr>
      </w:pPr>
      <w:r w:rsidRPr="007955BB">
        <w:rPr>
          <w:rFonts w:eastAsia="GHEA Grapalat" w:cs="GHEA Grapalat"/>
          <w:b w:val="0"/>
          <w:color w:val="000000"/>
          <w:szCs w:val="22"/>
          <w:lang w:val="hy-AM" w:eastAsia="en-US"/>
        </w:rPr>
        <w:t xml:space="preserve"> </w:t>
      </w:r>
      <w:r w:rsidR="00761193" w:rsidRPr="007955BB">
        <w:rPr>
          <w:rFonts w:eastAsia="GHEA Grapalat" w:cs="GHEA Grapalat"/>
          <w:b w:val="0"/>
          <w:color w:val="000000"/>
          <w:szCs w:val="22"/>
          <w:lang w:val="hy-AM" w:eastAsia="en-US"/>
        </w:rPr>
        <w:t>բարելավել քրեակատարողական հիմնարկների շենքային պայմանները՝ ապահովելով ազատությունից զրկված անձանց համար արժանապատիվ պահման պայմաններ, իսկ քրեակատարողական ծառայողների համար՝ աշխատանքային անհրաժեշտ կենսապայմաններ.</w:t>
      </w:r>
    </w:p>
    <w:p w:rsidR="00761193" w:rsidRPr="007955BB" w:rsidRDefault="00F1351F" w:rsidP="00F04DA1">
      <w:pPr>
        <w:numPr>
          <w:ilvl w:val="0"/>
          <w:numId w:val="51"/>
        </w:numPr>
        <w:spacing w:before="0" w:line="276" w:lineRule="auto"/>
        <w:ind w:left="0" w:firstLine="450"/>
        <w:contextualSpacing w:val="0"/>
        <w:rPr>
          <w:rFonts w:eastAsia="GHEA Grapalat" w:cs="GHEA Grapalat"/>
          <w:b w:val="0"/>
          <w:color w:val="000000"/>
          <w:szCs w:val="22"/>
          <w:lang w:val="hy-AM" w:eastAsia="en-US"/>
        </w:rPr>
      </w:pPr>
      <w:r w:rsidRPr="007955BB">
        <w:rPr>
          <w:rFonts w:eastAsia="GHEA Grapalat" w:cs="GHEA Grapalat"/>
          <w:b w:val="0"/>
          <w:color w:val="000000"/>
          <w:szCs w:val="22"/>
          <w:lang w:val="hy-AM" w:eastAsia="en-US"/>
        </w:rPr>
        <w:t xml:space="preserve"> </w:t>
      </w:r>
      <w:r w:rsidR="00761193" w:rsidRPr="007955BB">
        <w:rPr>
          <w:rFonts w:eastAsia="GHEA Grapalat" w:cs="GHEA Grapalat"/>
          <w:b w:val="0"/>
          <w:color w:val="000000"/>
          <w:szCs w:val="22"/>
          <w:lang w:val="hy-AM" w:eastAsia="en-US"/>
        </w:rPr>
        <w:t>վերազինել քրեակատարողական հիմնարկներն արդի ինժեներատեխնիկական և նյութակենցաղային սարքավորումներով, արտաքին պարագծային պաշտպանության և ուղեկցման միջոցներով, անվտանգության ապահովման միջոցներով, ինչպես նաև օպերատիվ կառավարման կենտրոնով.</w:t>
      </w:r>
    </w:p>
    <w:p w:rsidR="00761193" w:rsidRPr="007955BB" w:rsidRDefault="00F1351F" w:rsidP="00F04DA1">
      <w:pPr>
        <w:numPr>
          <w:ilvl w:val="0"/>
          <w:numId w:val="51"/>
        </w:numPr>
        <w:spacing w:before="0" w:line="276" w:lineRule="auto"/>
        <w:ind w:left="0" w:firstLine="450"/>
        <w:contextualSpacing w:val="0"/>
        <w:rPr>
          <w:rFonts w:eastAsia="GHEA Grapalat" w:cs="GHEA Grapalat"/>
          <w:b w:val="0"/>
          <w:color w:val="000000"/>
          <w:szCs w:val="22"/>
          <w:lang w:val="hy-AM" w:eastAsia="en-US"/>
        </w:rPr>
      </w:pPr>
      <w:r w:rsidRPr="007955BB">
        <w:rPr>
          <w:rFonts w:eastAsia="GHEA Grapalat" w:cs="GHEA Grapalat"/>
          <w:b w:val="0"/>
          <w:color w:val="000000"/>
          <w:szCs w:val="22"/>
          <w:lang w:val="hy-AM" w:eastAsia="en-US"/>
        </w:rPr>
        <w:t xml:space="preserve"> </w:t>
      </w:r>
      <w:r w:rsidR="00761193" w:rsidRPr="007955BB">
        <w:rPr>
          <w:rFonts w:eastAsia="GHEA Grapalat" w:cs="GHEA Grapalat"/>
          <w:b w:val="0"/>
          <w:color w:val="000000"/>
          <w:szCs w:val="22"/>
          <w:lang w:val="hy-AM" w:eastAsia="en-US"/>
        </w:rPr>
        <w:t>խթանել քրեակատարողական համակարգում էլեկտրոնային կառավարման գործիքների կիրառումը և արդիականացնել e-penitentiary էլեկտրոնային կառավարման համակարգը՝ բարձրացնելով համակարգի արդյունավետությունը.</w:t>
      </w:r>
    </w:p>
    <w:p w:rsidR="00761193" w:rsidRPr="007955BB" w:rsidRDefault="00F1351F" w:rsidP="00F04DA1">
      <w:pPr>
        <w:numPr>
          <w:ilvl w:val="0"/>
          <w:numId w:val="51"/>
        </w:numPr>
        <w:spacing w:before="0" w:line="276" w:lineRule="auto"/>
        <w:ind w:left="0" w:firstLine="450"/>
        <w:contextualSpacing w:val="0"/>
        <w:rPr>
          <w:rFonts w:eastAsia="GHEA Grapalat" w:cs="GHEA Grapalat"/>
          <w:b w:val="0"/>
          <w:color w:val="000000"/>
          <w:szCs w:val="22"/>
          <w:lang w:val="hy-AM" w:eastAsia="en-US"/>
        </w:rPr>
      </w:pPr>
      <w:r w:rsidRPr="007955BB">
        <w:rPr>
          <w:rFonts w:eastAsia="GHEA Grapalat" w:cs="GHEA Grapalat"/>
          <w:b w:val="0"/>
          <w:color w:val="000000"/>
          <w:szCs w:val="22"/>
          <w:lang w:val="hy-AM" w:eastAsia="en-US"/>
        </w:rPr>
        <w:t xml:space="preserve"> </w:t>
      </w:r>
      <w:r w:rsidR="00761193" w:rsidRPr="007955BB">
        <w:rPr>
          <w:rFonts w:eastAsia="GHEA Grapalat" w:cs="GHEA Grapalat"/>
          <w:b w:val="0"/>
          <w:color w:val="000000"/>
          <w:szCs w:val="22"/>
          <w:lang w:val="hy-AM" w:eastAsia="en-US"/>
        </w:rPr>
        <w:t>խթանել քրեակատարողական հիմնարկներում պատժի կրման անհատական պլանավորման ինստիտուտի պատշաճ կիրառումը.</w:t>
      </w:r>
    </w:p>
    <w:p w:rsidR="00761193" w:rsidRPr="007955BB" w:rsidRDefault="00F1351F" w:rsidP="00F04DA1">
      <w:pPr>
        <w:numPr>
          <w:ilvl w:val="0"/>
          <w:numId w:val="51"/>
        </w:numPr>
        <w:spacing w:before="0" w:line="276" w:lineRule="auto"/>
        <w:ind w:left="0" w:firstLine="450"/>
        <w:contextualSpacing w:val="0"/>
        <w:rPr>
          <w:rFonts w:eastAsia="GHEA Grapalat" w:cs="GHEA Grapalat"/>
          <w:b w:val="0"/>
          <w:color w:val="000000"/>
          <w:szCs w:val="22"/>
          <w:lang w:val="hy-AM" w:eastAsia="en-US"/>
        </w:rPr>
      </w:pPr>
      <w:r w:rsidRPr="007955BB">
        <w:rPr>
          <w:rFonts w:eastAsia="GHEA Grapalat" w:cs="GHEA Grapalat"/>
          <w:b w:val="0"/>
          <w:color w:val="000000"/>
          <w:szCs w:val="22"/>
          <w:lang w:val="hy-AM" w:eastAsia="en-US"/>
        </w:rPr>
        <w:t xml:space="preserve"> </w:t>
      </w:r>
      <w:r w:rsidR="00761193" w:rsidRPr="007955BB">
        <w:rPr>
          <w:rFonts w:eastAsia="GHEA Grapalat" w:cs="GHEA Grapalat"/>
          <w:b w:val="0"/>
          <w:color w:val="000000"/>
          <w:szCs w:val="22"/>
          <w:lang w:val="hy-AM" w:eastAsia="en-US"/>
        </w:rPr>
        <w:t>ապահովել քրեակատարողական հիմնարկներում ինքնասպանության և ինքնավնասման ռիսկի վերհանման և գնահատման, ինչպես նաև հոգեկան առողջության զննության և ռիսկի գնահատման գործիքակազմերի արդյունավետ կիրառումն ու շարունակական կատարելագործումը՝ նպաստելով ինքնասպանության և ինքնավնասման դեպքերի նվազմանն ու կանխարգելմանը.</w:t>
      </w:r>
    </w:p>
    <w:p w:rsidR="00761193" w:rsidRPr="007955BB" w:rsidRDefault="00F1351F" w:rsidP="00F04DA1">
      <w:pPr>
        <w:numPr>
          <w:ilvl w:val="0"/>
          <w:numId w:val="51"/>
        </w:numPr>
        <w:spacing w:before="0" w:line="276" w:lineRule="auto"/>
        <w:ind w:left="0" w:firstLine="450"/>
        <w:contextualSpacing w:val="0"/>
        <w:rPr>
          <w:rFonts w:eastAsia="GHEA Grapalat" w:cs="GHEA Grapalat"/>
          <w:b w:val="0"/>
          <w:color w:val="000000"/>
          <w:szCs w:val="22"/>
          <w:lang w:val="hy-AM" w:eastAsia="en-US"/>
        </w:rPr>
      </w:pPr>
      <w:r w:rsidRPr="007955BB">
        <w:rPr>
          <w:rFonts w:eastAsia="GHEA Grapalat" w:cs="GHEA Grapalat"/>
          <w:b w:val="0"/>
          <w:color w:val="000000"/>
          <w:szCs w:val="22"/>
          <w:lang w:val="hy-AM" w:eastAsia="en-US"/>
        </w:rPr>
        <w:t xml:space="preserve"> </w:t>
      </w:r>
      <w:r w:rsidR="00761193" w:rsidRPr="007955BB">
        <w:rPr>
          <w:rFonts w:eastAsia="GHEA Grapalat" w:cs="GHEA Grapalat"/>
          <w:b w:val="0"/>
          <w:color w:val="000000"/>
          <w:szCs w:val="22"/>
          <w:lang w:val="hy-AM" w:eastAsia="en-US"/>
        </w:rPr>
        <w:t>երաշխավորել ազատությունից զրկված անձանց՝ ազգային առողջապահական համակարգում առկա ծավալին և որակին համապատասխանող, միջազգայնորեն ճանաչված սկզբունքներին համապատասխան բժշկական օգնության և սպասարկման տրամադրումը.</w:t>
      </w:r>
    </w:p>
    <w:p w:rsidR="00761193" w:rsidRPr="007955BB" w:rsidRDefault="00F1351F" w:rsidP="00F04DA1">
      <w:pPr>
        <w:numPr>
          <w:ilvl w:val="0"/>
          <w:numId w:val="51"/>
        </w:numPr>
        <w:spacing w:before="0" w:line="276" w:lineRule="auto"/>
        <w:ind w:left="0" w:firstLine="450"/>
        <w:contextualSpacing w:val="0"/>
        <w:rPr>
          <w:rFonts w:eastAsia="GHEA Grapalat" w:cs="GHEA Grapalat"/>
          <w:b w:val="0"/>
          <w:color w:val="000000"/>
          <w:szCs w:val="22"/>
          <w:lang w:val="hy-AM" w:eastAsia="en-US"/>
        </w:rPr>
      </w:pPr>
      <w:r w:rsidRPr="007955BB">
        <w:rPr>
          <w:rFonts w:eastAsia="GHEA Grapalat" w:cs="GHEA Grapalat"/>
          <w:b w:val="0"/>
          <w:color w:val="000000"/>
          <w:szCs w:val="22"/>
          <w:lang w:val="hy-AM" w:eastAsia="en-US"/>
        </w:rPr>
        <w:t xml:space="preserve"> </w:t>
      </w:r>
      <w:r w:rsidR="00761193" w:rsidRPr="007955BB">
        <w:rPr>
          <w:rFonts w:eastAsia="GHEA Grapalat" w:cs="GHEA Grapalat"/>
          <w:b w:val="0"/>
          <w:color w:val="000000"/>
          <w:szCs w:val="22"/>
          <w:lang w:val="hy-AM" w:eastAsia="en-US"/>
        </w:rPr>
        <w:t>ապահովել ազատությունից զրկված անձանց, այդ թվում` անչափահասների և 19 տարեկան և ավելի տարիք ունեցող դատապարտյալների կրթության իրավունքի իրացման գործընթացի շարունակականությունն ու կայունությունը.</w:t>
      </w:r>
    </w:p>
    <w:p w:rsidR="00761193" w:rsidRPr="007955BB" w:rsidRDefault="00F1351F" w:rsidP="00F04DA1">
      <w:pPr>
        <w:numPr>
          <w:ilvl w:val="0"/>
          <w:numId w:val="51"/>
        </w:numPr>
        <w:spacing w:before="0" w:line="276" w:lineRule="auto"/>
        <w:ind w:left="0" w:firstLine="450"/>
        <w:contextualSpacing w:val="0"/>
        <w:rPr>
          <w:rFonts w:eastAsia="Calibri" w:cs="Calibri"/>
          <w:b w:val="0"/>
          <w:szCs w:val="22"/>
          <w:lang w:val="hy-AM" w:eastAsia="en-US"/>
        </w:rPr>
      </w:pPr>
      <w:r w:rsidRPr="007955BB">
        <w:rPr>
          <w:rFonts w:eastAsia="GHEA Grapalat" w:cs="GHEA Grapalat"/>
          <w:b w:val="0"/>
          <w:color w:val="000000"/>
          <w:szCs w:val="22"/>
          <w:lang w:val="hy-AM" w:eastAsia="en-US"/>
        </w:rPr>
        <w:t xml:space="preserve"> </w:t>
      </w:r>
      <w:r w:rsidR="00761193" w:rsidRPr="007955BB">
        <w:rPr>
          <w:rFonts w:eastAsia="GHEA Grapalat" w:cs="GHEA Grapalat"/>
          <w:b w:val="0"/>
          <w:color w:val="000000"/>
          <w:szCs w:val="22"/>
          <w:lang w:val="hy-AM" w:eastAsia="en-US"/>
        </w:rPr>
        <w:t>պահանջարկի հիման վրա, ըստ ազատությունից զրկված անձանց թվի ընտրված քրեակատարողական հիմնարկների, իրականացնել մասնագիտական կրթական ծրագրեր:</w:t>
      </w:r>
    </w:p>
    <w:p w:rsidR="00761193" w:rsidRPr="007955BB" w:rsidRDefault="00761193" w:rsidP="001113EE">
      <w:pPr>
        <w:tabs>
          <w:tab w:val="left" w:pos="0"/>
        </w:tabs>
        <w:spacing w:before="0" w:line="276" w:lineRule="auto"/>
        <w:ind w:firstLine="540"/>
        <w:rPr>
          <w:rFonts w:cs="Calibri"/>
          <w:szCs w:val="22"/>
          <w:lang w:val="hy-AM"/>
        </w:rPr>
      </w:pPr>
      <w:r w:rsidRPr="007955BB">
        <w:rPr>
          <w:rFonts w:cs="Calibri"/>
          <w:szCs w:val="22"/>
          <w:lang w:val="hy-AM"/>
        </w:rPr>
        <w:t>Մարդու իր</w:t>
      </w:r>
      <w:r w:rsidR="00F1351F" w:rsidRPr="007955BB">
        <w:rPr>
          <w:rFonts w:cs="Calibri"/>
          <w:szCs w:val="22"/>
          <w:lang w:val="hy-AM"/>
        </w:rPr>
        <w:t>ավունքների պաշտպանության ոլորտ</w:t>
      </w:r>
    </w:p>
    <w:p w:rsidR="00761193" w:rsidRPr="007955BB" w:rsidRDefault="00761193" w:rsidP="001113EE">
      <w:pPr>
        <w:tabs>
          <w:tab w:val="left" w:pos="0"/>
        </w:tabs>
        <w:spacing w:before="0" w:line="276" w:lineRule="auto"/>
        <w:ind w:firstLine="540"/>
        <w:rPr>
          <w:rFonts w:eastAsiaTheme="minorHAnsi" w:cs="Sylfaen"/>
          <w:b w:val="0"/>
          <w:szCs w:val="22"/>
          <w:lang w:val="hy-AM" w:eastAsia="en-US"/>
        </w:rPr>
      </w:pPr>
      <w:r w:rsidRPr="007955BB">
        <w:rPr>
          <w:rFonts w:cs="Calibri"/>
          <w:b w:val="0"/>
          <w:szCs w:val="22"/>
          <w:lang w:val="hy-AM"/>
        </w:rPr>
        <w:t xml:space="preserve">ՀՀ Կառավարության կողմից 2021թ. նոյեմբերի 18-ին Հայաստանի Հանրապետության կառավարության 2021-2026 թվականների գործունեության միջոցառումների ծրագիրը հաստատելու մասին N 1902-Լ որոշման Հավելված 1-ի Արդարադատության նախարարություն գլխի 13-րդ կետով 2023թ. առաջին կիսամյակի վերջին նախատեսվում է </w:t>
      </w:r>
      <w:r w:rsidRPr="007955BB">
        <w:rPr>
          <w:rFonts w:eastAsiaTheme="minorHAnsi" w:cs="Sylfaen"/>
          <w:b w:val="0"/>
          <w:szCs w:val="22"/>
          <w:lang w:val="hy-AM" w:eastAsia="en-US"/>
        </w:rPr>
        <w:t>Մարդու</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իրավունքների</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պաշտպանության</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ազգային</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ռազմավարությունից</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բխող</w:t>
      </w:r>
      <w:r w:rsidRPr="007955BB">
        <w:rPr>
          <w:rFonts w:eastAsiaTheme="minorHAnsi" w:cstheme="minorBidi"/>
          <w:b w:val="0"/>
          <w:szCs w:val="22"/>
          <w:lang w:val="hy-AM" w:eastAsia="en-US"/>
        </w:rPr>
        <w:t xml:space="preserve"> 2023-2025</w:t>
      </w:r>
      <w:r w:rsidRPr="007955BB">
        <w:rPr>
          <w:rFonts w:eastAsiaTheme="minorHAnsi" w:cs="Sylfaen"/>
          <w:b w:val="0"/>
          <w:szCs w:val="22"/>
          <w:lang w:val="hy-AM" w:eastAsia="en-US"/>
        </w:rPr>
        <w:t>թթ</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Գործողությունների</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ծրագրի</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ընդունում: Մինչ այդ նախատեսվում է նաև «Հայաստանի Հանրապետության Մարդու իրավունքների պաշտպանության ազգային ռազմավարությունից բխող 2023-2025թթ. Գործողությունների ծրագիրը հաստատելու մասին» ՀՀ կառավարության որոշման նախագծի մշակում շահագրգիռ մարմինների, միջազգային գործընկեր կազմակերպությունների և քաղաքացիական հասարակության հետ քննարկումների արդյունքում, առնվազն 3 հանրային քննարկումների կազմակերպում: Վերջինիս նպատակն է շահագրգիռ բոլոր մարմիններին, քաղաղաքացիական հասարակության և միջազգային կազմակերպությունների ներկայացուցիչների կողմից առաջարկությունների հավաքագրում և ներառում վերը նշված Գործողությունների ծրագրում:</w:t>
      </w:r>
    </w:p>
    <w:p w:rsidR="00761193" w:rsidRPr="007955BB" w:rsidRDefault="00761193" w:rsidP="00761193">
      <w:pPr>
        <w:spacing w:before="0" w:line="276" w:lineRule="auto"/>
        <w:rPr>
          <w:rFonts w:cs="Calibri"/>
          <w:b w:val="0"/>
          <w:szCs w:val="22"/>
          <w:lang w:val="hy-AM"/>
        </w:rPr>
      </w:pPr>
      <w:r w:rsidRPr="007955BB">
        <w:rPr>
          <w:rFonts w:eastAsiaTheme="minorHAnsi" w:cs="Sylfaen"/>
          <w:b w:val="0"/>
          <w:szCs w:val="22"/>
          <w:lang w:val="hy-AM" w:eastAsia="en-US"/>
        </w:rPr>
        <w:t>Անհրաժեշտ է նաև նշել, որ Մարդու</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իրավունքների</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պաշտպանության</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ազգային</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ռազմավարությունից</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բխող</w:t>
      </w:r>
      <w:r w:rsidRPr="007955BB">
        <w:rPr>
          <w:rFonts w:eastAsiaTheme="minorHAnsi" w:cstheme="minorBidi"/>
          <w:b w:val="0"/>
          <w:szCs w:val="22"/>
          <w:lang w:val="hy-AM" w:eastAsia="en-US"/>
        </w:rPr>
        <w:t xml:space="preserve"> 2023-2025</w:t>
      </w:r>
      <w:r w:rsidRPr="007955BB">
        <w:rPr>
          <w:rFonts w:eastAsiaTheme="minorHAnsi" w:cs="Sylfaen"/>
          <w:b w:val="0"/>
          <w:szCs w:val="22"/>
          <w:lang w:val="hy-AM" w:eastAsia="en-US"/>
        </w:rPr>
        <w:t>թթ</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գործողությունների</w:t>
      </w:r>
      <w:r w:rsidRPr="007955BB">
        <w:rPr>
          <w:rFonts w:eastAsiaTheme="minorHAnsi" w:cstheme="minorBidi"/>
          <w:b w:val="0"/>
          <w:szCs w:val="22"/>
          <w:lang w:val="hy-AM" w:eastAsia="en-US"/>
        </w:rPr>
        <w:t xml:space="preserve"> </w:t>
      </w:r>
      <w:r w:rsidRPr="007955BB">
        <w:rPr>
          <w:rFonts w:eastAsiaTheme="minorHAnsi" w:cs="Sylfaen"/>
          <w:b w:val="0"/>
          <w:szCs w:val="22"/>
          <w:lang w:val="hy-AM" w:eastAsia="en-US"/>
        </w:rPr>
        <w:t xml:space="preserve">ծրագրում ներառվելու են նաև այն բոլոր միջոցառումները, որոնք նախատեսված են եղել </w:t>
      </w:r>
      <w:r w:rsidRPr="007955BB">
        <w:rPr>
          <w:rFonts w:cs="Calibri"/>
          <w:b w:val="0"/>
          <w:szCs w:val="22"/>
          <w:lang w:val="hy-AM"/>
        </w:rPr>
        <w:t xml:space="preserve">Մարդու իրավունքների պաշտպանության ազգային ռազմավարությունից բխող 2020-2022թթ. Գործողությունների ծրագրում, սակայն կա՛մ 2022թ. տեղի ունեցած 44-օրյա պատաերազմի, ինչպես նաև ամբողջ աշխարհում տիրող COVID-19-ը համավարակի պատճառներով չեն իրականացվել, կա՛մ իրականացվել են մասնակի: </w:t>
      </w:r>
    </w:p>
    <w:p w:rsidR="00761193" w:rsidRPr="007955BB" w:rsidRDefault="00761193" w:rsidP="00761193">
      <w:pPr>
        <w:spacing w:before="0" w:line="276" w:lineRule="auto"/>
        <w:rPr>
          <w:rFonts w:eastAsiaTheme="minorHAnsi" w:cstheme="minorBidi"/>
          <w:szCs w:val="22"/>
          <w:lang w:val="hy-AM" w:eastAsia="en-US"/>
        </w:rPr>
      </w:pPr>
      <w:r w:rsidRPr="007955BB">
        <w:rPr>
          <w:rFonts w:eastAsiaTheme="minorHAnsi" w:cstheme="minorBidi"/>
          <w:szCs w:val="22"/>
          <w:lang w:val="hy-AM" w:eastAsia="en-US"/>
        </w:rPr>
        <w:t xml:space="preserve">Քաղաքացիական կացության ակտերի գրանցման </w:t>
      </w:r>
      <w:r w:rsidR="00F1351F" w:rsidRPr="007955BB">
        <w:rPr>
          <w:rFonts w:eastAsiaTheme="minorHAnsi" w:cstheme="minorBidi"/>
          <w:szCs w:val="22"/>
          <w:lang w:val="hy-AM" w:eastAsia="en-US"/>
        </w:rPr>
        <w:t>ոլորտ</w:t>
      </w:r>
    </w:p>
    <w:p w:rsidR="00761193" w:rsidRPr="007955BB" w:rsidRDefault="00761193" w:rsidP="00761193">
      <w:pPr>
        <w:spacing w:before="0" w:line="276" w:lineRule="auto"/>
        <w:rPr>
          <w:rFonts w:eastAsiaTheme="minorHAnsi" w:cstheme="minorBidi"/>
          <w:b w:val="0"/>
          <w:szCs w:val="22"/>
          <w:lang w:val="hy-AM" w:eastAsia="en-US"/>
        </w:rPr>
      </w:pPr>
      <w:r w:rsidRPr="007955BB">
        <w:rPr>
          <w:rFonts w:eastAsiaTheme="minorHAnsi" w:cstheme="minorBidi"/>
          <w:b w:val="0"/>
          <w:szCs w:val="22"/>
          <w:lang w:val="hy-AM" w:eastAsia="en-US"/>
        </w:rPr>
        <w:t>Հիմնական ուղղությունը  կշարունակի մնալ Քաղաքացիական կացության ակտերի գրանցման գործակալության սպասարկման կենտրոնների՝ «ֆրոնտ օֆիս» և «բեք օֆիս» ձևաչափով աշխատանքների իրակացման շրջանակի ընդլայնումը, որը  կընդգրկի հանրապետության բոլոր բնակավայրերը, ինչպես նաև նման ձևաչափով ՔԿԱԳ ծառայությունների մատուցման արդյունավետության բարձրացմանն ուղղված աշխատանքների իրականացումը, այդ նպատակով  նախատեսվում են ավելացնել ՔԿԱԳ հաստիքները, ինչպես նաև իրականացնել ՔԿԱԳ գործակալության կառուցվածքային փոփոխություն և ստեղծել «բեք օֆիսի» գործառույթներ իրականացնող  նոր՝ հավաստումների իրականացման բաժին։</w:t>
      </w:r>
    </w:p>
    <w:p w:rsidR="00761193" w:rsidRPr="007955BB" w:rsidRDefault="00761193" w:rsidP="00761193">
      <w:pPr>
        <w:tabs>
          <w:tab w:val="num" w:pos="0"/>
          <w:tab w:val="left" w:pos="851"/>
          <w:tab w:val="left" w:pos="993"/>
        </w:tabs>
        <w:spacing w:before="0" w:line="276" w:lineRule="auto"/>
        <w:contextualSpacing w:val="0"/>
        <w:rPr>
          <w:rFonts w:eastAsiaTheme="minorHAnsi" w:cstheme="minorBidi"/>
          <w:szCs w:val="22"/>
          <w:lang w:val="hy-AM" w:eastAsia="en-US"/>
        </w:rPr>
      </w:pPr>
      <w:r w:rsidRPr="007955BB">
        <w:rPr>
          <w:rFonts w:eastAsiaTheme="minorHAnsi" w:cstheme="minorBidi"/>
          <w:szCs w:val="22"/>
          <w:lang w:val="hy-AM" w:eastAsia="en-US"/>
        </w:rPr>
        <w:t xml:space="preserve">Իրավաբանական անձանց պետական գրանցման ռեգիստրի </w:t>
      </w:r>
      <w:r w:rsidR="00F1351F" w:rsidRPr="007955BB">
        <w:rPr>
          <w:rFonts w:eastAsiaTheme="minorHAnsi" w:cstheme="minorBidi"/>
          <w:szCs w:val="22"/>
          <w:lang w:val="hy-AM" w:eastAsia="en-US"/>
        </w:rPr>
        <w:t>ոլորտ</w:t>
      </w:r>
    </w:p>
    <w:p w:rsidR="00761193" w:rsidRPr="007955BB" w:rsidRDefault="00761193" w:rsidP="00761193">
      <w:pPr>
        <w:tabs>
          <w:tab w:val="num" w:pos="0"/>
          <w:tab w:val="left" w:pos="851"/>
          <w:tab w:val="left" w:pos="993"/>
        </w:tabs>
        <w:spacing w:before="0" w:line="276" w:lineRule="auto"/>
        <w:contextualSpacing w:val="0"/>
        <w:rPr>
          <w:rFonts w:eastAsiaTheme="minorHAnsi" w:cstheme="minorBidi"/>
          <w:b w:val="0"/>
          <w:szCs w:val="22"/>
          <w:lang w:val="hy-AM" w:eastAsia="en-US"/>
        </w:rPr>
      </w:pPr>
      <w:r w:rsidRPr="007955BB">
        <w:rPr>
          <w:rFonts w:eastAsiaTheme="minorHAnsi" w:cstheme="minorBidi"/>
          <w:b w:val="0"/>
          <w:szCs w:val="22"/>
          <w:lang w:val="hy-AM" w:eastAsia="en-US"/>
        </w:rPr>
        <w:t>Նախատեսվում է իրավաբանական անձանց պետական գրանցման գործընթացի արդյունավետության բարձրացմանն ուղղված շարունակական աշխատանքների իրականացում, այդ թվում՝ էլեկտրոնային եղանակով մատուցվող ծառայությունների ընդլայնում (առցանց նույնականացման նոր մոտեցումների կիրառում, փաստաթղթերի վրա արագ արձագանքման (QR) կոդերի կիրառում, ինքնաշխատ ծառայությունների իրականացում), օրենսդրական բարեփոխումներ՝ ուղղված իրավաբանական անձանց պետական գրանցման ոլորտում մատուցվող ծառայությունների մատչելիության, ինչպես նաև իրավաբանական անձանց պետական ռեգիստրի գործակալության կողմից ՎԻՎ օրենսգրքով սահմանված վարույթների իրականացման արդյունավետության ապահովմանը։ Նախատեսվում է նաև իրավաբանական անձանց պետական ռեգիստրի գործակալության մարզային սպասարկման գրասենյակների տեղակայումը մարզկենտրոններում, ինչպես նաև իրավաբանական անձանց պետական ռեգիստրի արխիվների թվայնացմանն ուղղված աշխատանքների իրականացում: Նախատեսվում է իրավաբանական անձանց պետական ռեգիստրի գործակալության տեղեկատվական համակարգի արդիականացում, որի շրջանակներում իրականացվում են նոր տեղեկատվական համակարգի տեխնիկական առաջադրանքի մշակման աշխատանքներ։</w:t>
      </w:r>
    </w:p>
    <w:p w:rsidR="00761193" w:rsidRPr="007955BB" w:rsidRDefault="00761193" w:rsidP="00761193">
      <w:pPr>
        <w:tabs>
          <w:tab w:val="num" w:pos="0"/>
          <w:tab w:val="left" w:pos="851"/>
          <w:tab w:val="left" w:pos="993"/>
        </w:tabs>
        <w:spacing w:before="0" w:line="276" w:lineRule="auto"/>
        <w:contextualSpacing w:val="0"/>
        <w:rPr>
          <w:rFonts w:cs="Sylfaen"/>
          <w:color w:val="1C1E21"/>
          <w:szCs w:val="22"/>
          <w:lang w:val="hy-AM"/>
        </w:rPr>
      </w:pPr>
      <w:r w:rsidRPr="007955BB">
        <w:rPr>
          <w:rFonts w:cs="Sylfaen"/>
          <w:color w:val="1C1E21"/>
          <w:szCs w:val="22"/>
          <w:lang w:val="hy-AM"/>
        </w:rPr>
        <w:t>Անձնական</w:t>
      </w:r>
      <w:r w:rsidR="00F1351F" w:rsidRPr="007955BB">
        <w:rPr>
          <w:rFonts w:cs="Sylfaen"/>
          <w:color w:val="1C1E21"/>
          <w:szCs w:val="22"/>
          <w:lang w:val="hy-AM"/>
        </w:rPr>
        <w:t xml:space="preserve"> տվյալների պաշտպանության ոլորտ</w:t>
      </w:r>
    </w:p>
    <w:p w:rsidR="00761193" w:rsidRPr="007955BB" w:rsidRDefault="00761193" w:rsidP="00761193">
      <w:pPr>
        <w:tabs>
          <w:tab w:val="num" w:pos="0"/>
          <w:tab w:val="left" w:pos="851"/>
          <w:tab w:val="left" w:pos="993"/>
        </w:tabs>
        <w:spacing w:before="0" w:line="276" w:lineRule="auto"/>
        <w:contextualSpacing w:val="0"/>
        <w:rPr>
          <w:rFonts w:eastAsiaTheme="minorHAnsi" w:cstheme="minorBidi"/>
          <w:b w:val="0"/>
          <w:szCs w:val="22"/>
          <w:lang w:val="hy-AM" w:eastAsia="en-US"/>
        </w:rPr>
      </w:pPr>
      <w:r w:rsidRPr="007955BB">
        <w:rPr>
          <w:rFonts w:eastAsiaTheme="minorHAnsi" w:cstheme="minorBidi"/>
          <w:b w:val="0"/>
          <w:szCs w:val="22"/>
          <w:lang w:val="hy-AM" w:eastAsia="en-US"/>
        </w:rPr>
        <w:t>Նախատեսվում է ապահովել անձնական տվյալների պաշտպանության ավելի բարձր մակարդակ, մասնավորապես՝ համապատասխանեցնել անձնական տվյալների պաշտպանության լիազոր մարմնի կարգավիճակն օրենքով սահմանված և միջազգային չափանիշներին՝ ապահովելով նաև մարդկային ռեսուրսների, մասնագիտական, նյութական և տեխնիկական կարողությունների զարգացում, ներդաշնակեցնել անձնական տվյալների մշակում նախատեսող օրենսդրական դաշտը, ավելացնել անձնական տվյալների պաշտպանության իրավունքի վերաբերյալ ինչպես անձնական տվյալներ մշակողների, այնպես էլ լայն հասարակության իրազեկվածությունը։</w:t>
      </w:r>
    </w:p>
    <w:p w:rsidR="00761193" w:rsidRPr="007955BB" w:rsidRDefault="00761193" w:rsidP="00761193">
      <w:pPr>
        <w:tabs>
          <w:tab w:val="num" w:pos="0"/>
          <w:tab w:val="left" w:pos="851"/>
          <w:tab w:val="left" w:pos="993"/>
        </w:tabs>
        <w:spacing w:before="0" w:line="276" w:lineRule="auto"/>
        <w:contextualSpacing w:val="0"/>
        <w:rPr>
          <w:rFonts w:eastAsiaTheme="minorHAnsi" w:cstheme="minorBidi"/>
          <w:szCs w:val="22"/>
          <w:lang w:val="hy-AM" w:eastAsia="en-US"/>
        </w:rPr>
      </w:pPr>
      <w:r w:rsidRPr="007955BB">
        <w:rPr>
          <w:rFonts w:eastAsiaTheme="minorHAnsi" w:cstheme="minorBidi"/>
          <w:szCs w:val="22"/>
          <w:lang w:val="hy-AM" w:eastAsia="en-US"/>
        </w:rPr>
        <w:t>Իրավական փոխօգնության ոլորտ</w:t>
      </w:r>
    </w:p>
    <w:p w:rsidR="00761193" w:rsidRPr="007955BB" w:rsidRDefault="00761193" w:rsidP="00761193">
      <w:pPr>
        <w:tabs>
          <w:tab w:val="num" w:pos="0"/>
          <w:tab w:val="left" w:pos="851"/>
          <w:tab w:val="left" w:pos="993"/>
        </w:tabs>
        <w:spacing w:before="0" w:line="276" w:lineRule="auto"/>
        <w:contextualSpacing w:val="0"/>
        <w:rPr>
          <w:rFonts w:eastAsiaTheme="minorHAnsi" w:cstheme="minorBidi"/>
          <w:b w:val="0"/>
          <w:szCs w:val="22"/>
          <w:lang w:val="hy-AM" w:eastAsia="en-US"/>
        </w:rPr>
      </w:pPr>
      <w:r w:rsidRPr="007955BB">
        <w:rPr>
          <w:rFonts w:eastAsiaTheme="minorHAnsi" w:cstheme="minorBidi"/>
          <w:b w:val="0"/>
          <w:szCs w:val="22"/>
          <w:lang w:val="hy-AM" w:eastAsia="en-US"/>
        </w:rPr>
        <w:t xml:space="preserve">Նախատեսվում է Իրավական փոխօգնության վարչության աշխատակիցների կարողությունների զարգացմանն ուղղված ծրագրերի ապահովման աշխատանքների իրականացում: Մասնավորապես, ներկայումս, մշակման և շրջանառման փուլում է գտնվում Քրեական վարույթներով իրավական փոխօգնության մասին Հայաստանի Հանրապետության օրենքի նախագիծը: Այս փուլում հատկապես կարևոր է ոլորտը կարգավորող լավագույն միջազգային փորձի ուսումնասիրումը, դրանում առկա լավագույն փորձի վերհանումն ու ներմուծումը ՀՀ իրավական համակարգ: Նախատեսվում է ոլորտը համակարգող մասնագետների կարողությունների զարգացման ծրագրերում ընդգրկել միջազգային կամ տարածաշրջանային մակարդակով փորձագետների փորձի փոխանակում՝ դասընթացների, սեմինարների տեսքով, ինչը կնպաստի  Հայաստանի Հանրապետությունում ոլորտը կարգավորով իրավական կարգավորումների՝ միջազգային իրավական պարտավորություններին հնարավորինս համահունչ դարձնելուն և Հայաստանի Հանրապետության և այլ պետությունների ու միջազգային, տարածաշրջանային կազմակերպությունների միջև իրավական փոխօգնության բնագավառում համագործակցության ամրապնդմանը: Բացի այդ, իրավական փոխօգնության շրջանակներում նախատեսվում է ապահովել օտարերկրյա պետություններում պատիժը կրող ՀՀ քաղաքացի դատապարտյալների փոխանցման և նրանց վերասոցիալականացման, վերաինտեգրման գործընթացի ակտիվ իրականացում: </w:t>
      </w:r>
    </w:p>
    <w:p w:rsidR="000825DA" w:rsidRPr="007955BB" w:rsidRDefault="000825DA" w:rsidP="005D2928">
      <w:pPr>
        <w:tabs>
          <w:tab w:val="left" w:pos="0"/>
          <w:tab w:val="left" w:pos="567"/>
        </w:tabs>
        <w:spacing w:before="0" w:line="276" w:lineRule="auto"/>
        <w:ind w:firstLine="720"/>
        <w:contextualSpacing w:val="0"/>
        <w:rPr>
          <w:b w:val="0"/>
          <w:szCs w:val="22"/>
          <w:lang w:val="hy-AM"/>
        </w:rPr>
      </w:pPr>
    </w:p>
    <w:p w:rsidR="005F226A" w:rsidRPr="007955BB"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53" w:name="_Toc26174898"/>
      <w:bookmarkStart w:id="54" w:name="_Toc83567446"/>
      <w:bookmarkStart w:id="55" w:name="_Toc120805175"/>
      <w:bookmarkEnd w:id="52"/>
      <w:r w:rsidRPr="007955BB">
        <w:rPr>
          <w:rFonts w:cs="Arial"/>
          <w:szCs w:val="22"/>
          <w:lang w:val="hy-AM" w:eastAsia="en-US"/>
        </w:rPr>
        <w:t>Կրթություն</w:t>
      </w:r>
      <w:bookmarkEnd w:id="53"/>
      <w:bookmarkEnd w:id="54"/>
      <w:bookmarkEnd w:id="55"/>
    </w:p>
    <w:p w:rsidR="006F7EC2" w:rsidRPr="007955BB" w:rsidRDefault="006F7EC2" w:rsidP="001113EE">
      <w:pPr>
        <w:tabs>
          <w:tab w:val="left" w:pos="567"/>
          <w:tab w:val="left" w:pos="1134"/>
        </w:tabs>
        <w:spacing w:before="0" w:line="276" w:lineRule="auto"/>
        <w:ind w:firstLine="630"/>
        <w:contextualSpacing w:val="0"/>
        <w:rPr>
          <w:rFonts w:cs="Sylfaen"/>
          <w:b w:val="0"/>
          <w:szCs w:val="22"/>
          <w:lang w:val="hy-AM"/>
        </w:rPr>
      </w:pPr>
      <w:bookmarkStart w:id="56" w:name="_Toc26174899"/>
      <w:bookmarkStart w:id="57" w:name="_Toc57655428"/>
      <w:bookmarkStart w:id="58" w:name="_Toc83567447"/>
      <w:r w:rsidRPr="007955BB">
        <w:rPr>
          <w:rFonts w:cs="Sylfaen"/>
          <w:b w:val="0"/>
          <w:szCs w:val="22"/>
          <w:lang w:val="hy-AM"/>
        </w:rPr>
        <w:t xml:space="preserve">Կրթությունը մարդու հիմնարար իրավունք է, և պետության պարտավորությունն է ապահովել համընդհանուր հավասարապես հասանելի, ներառական և որակյալ կրթություն: Կրթության ոլորտը կարևոր դերակատարություն ունի ինչպես անհատի կայացման, այնպես էլ հասարակության սոցիալական և տնտեսական զարգացման բոլոր ոլորտներում: Դրանով է պայմանավորված, որ այն դասվում է կառավարության ծրագրի գերակայությունների շարքում: </w:t>
      </w:r>
    </w:p>
    <w:p w:rsidR="006F7EC2" w:rsidRPr="007955BB" w:rsidRDefault="006F7EC2" w:rsidP="001113EE">
      <w:pPr>
        <w:tabs>
          <w:tab w:val="left" w:pos="567"/>
          <w:tab w:val="left" w:pos="1134"/>
        </w:tabs>
        <w:spacing w:before="0" w:line="276" w:lineRule="auto"/>
        <w:ind w:firstLine="630"/>
        <w:contextualSpacing w:val="0"/>
        <w:rPr>
          <w:rFonts w:cs="Sylfaen"/>
          <w:b w:val="0"/>
          <w:szCs w:val="22"/>
          <w:lang w:val="hy-AM"/>
        </w:rPr>
      </w:pPr>
      <w:r w:rsidRPr="007955BB">
        <w:rPr>
          <w:rFonts w:cs="Sylfaen"/>
          <w:b w:val="0"/>
          <w:szCs w:val="22"/>
          <w:lang w:val="hy-AM"/>
        </w:rPr>
        <w:t>Կրթության ոլորտի գլխավոր հիմնախնդիրն է միջազգայնորեն ընդունված չափանիշներին համապատասխան որակի ապահովումը: Այս տեսանկյունից ոլորտային քաղաքականության գերակայություններն են.</w:t>
      </w:r>
    </w:p>
    <w:p w:rsidR="006F7EC2" w:rsidRPr="007955BB" w:rsidRDefault="006F7EC2" w:rsidP="004861B2">
      <w:pPr>
        <w:pStyle w:val="ListParagraph"/>
        <w:numPr>
          <w:ilvl w:val="0"/>
          <w:numId w:val="20"/>
        </w:numPr>
        <w:tabs>
          <w:tab w:val="left" w:pos="567"/>
          <w:tab w:val="left" w:pos="1134"/>
        </w:tabs>
        <w:spacing w:before="0" w:line="276" w:lineRule="auto"/>
        <w:ind w:left="0" w:firstLine="450"/>
        <w:contextualSpacing w:val="0"/>
        <w:rPr>
          <w:rFonts w:cs="Sylfaen"/>
          <w:b w:val="0"/>
          <w:szCs w:val="22"/>
          <w:lang w:val="hy-AM"/>
        </w:rPr>
      </w:pPr>
      <w:r w:rsidRPr="007955BB">
        <w:rPr>
          <w:rFonts w:cs="Sylfaen"/>
          <w:b w:val="0"/>
          <w:szCs w:val="22"/>
          <w:lang w:val="hy-AM"/>
        </w:rPr>
        <w:t>դասավանդող անձնակազմի, մասնավորապես՝ ուսուցիչների, մասնագիտական որակական բարելավումը: Նախատեսվում է, որ 2023թ</w:t>
      </w:r>
      <w:r w:rsidRPr="007955BB">
        <w:rPr>
          <w:rFonts w:ascii="Cambria Math" w:hAnsi="Cambria Math" w:cs="Cambria Math"/>
          <w:b w:val="0"/>
          <w:szCs w:val="22"/>
          <w:lang w:val="hy-AM"/>
        </w:rPr>
        <w:t>․</w:t>
      </w:r>
      <w:r w:rsidRPr="007955BB">
        <w:rPr>
          <w:rFonts w:cs="Sylfaen"/>
          <w:b w:val="0"/>
          <w:szCs w:val="22"/>
          <w:lang w:val="hy-AM"/>
        </w:rPr>
        <w:t xml:space="preserve"> </w:t>
      </w:r>
      <w:r w:rsidRPr="007955BB">
        <w:rPr>
          <w:rFonts w:cs="GHEA Grapalat"/>
          <w:b w:val="0"/>
          <w:szCs w:val="22"/>
          <w:lang w:val="hy-AM"/>
        </w:rPr>
        <w:t>ընթացքում</w:t>
      </w:r>
      <w:r w:rsidRPr="007955BB">
        <w:rPr>
          <w:rFonts w:cs="Sylfaen"/>
          <w:b w:val="0"/>
          <w:szCs w:val="22"/>
          <w:lang w:val="hy-AM"/>
        </w:rPr>
        <w:t xml:space="preserve"> ուսուցիչների շուրջ 10%-ը կանցնի ատեստավորում՝ մասնագիտական նոր չափանիշներին համապատասխան,</w:t>
      </w:r>
    </w:p>
    <w:p w:rsidR="006F7EC2" w:rsidRPr="007955BB" w:rsidRDefault="006F7EC2" w:rsidP="004861B2">
      <w:pPr>
        <w:pStyle w:val="ListParagraph"/>
        <w:numPr>
          <w:ilvl w:val="0"/>
          <w:numId w:val="20"/>
        </w:numPr>
        <w:tabs>
          <w:tab w:val="left" w:pos="567"/>
          <w:tab w:val="left" w:pos="1134"/>
        </w:tabs>
        <w:spacing w:before="0" w:line="276" w:lineRule="auto"/>
        <w:ind w:left="0" w:firstLine="450"/>
        <w:contextualSpacing w:val="0"/>
        <w:rPr>
          <w:rFonts w:cs="Sylfaen"/>
          <w:b w:val="0"/>
          <w:szCs w:val="22"/>
          <w:lang w:val="hy-AM"/>
        </w:rPr>
      </w:pPr>
      <w:r w:rsidRPr="007955BB">
        <w:rPr>
          <w:rFonts w:cs="Sylfaen"/>
          <w:b w:val="0"/>
          <w:szCs w:val="22"/>
          <w:lang w:val="hy-AM"/>
        </w:rPr>
        <w:t>կրթական ծրագրերի բովանդակային արդիականացումն ու համապատասխանեցումը աշխատաշուկայի և տնտեսության զարգացող պահանջներին: Հանրակրթության ոլորտում կներդրվեն նոր առարկայական չափորոշիչները, ուսումնական պլանը և առարկայական ծրագրերը` նպատակ ունենալով խթանել սովորողների քննական մտածողությունը, նորարարությունը, վերլուծական և ստեղծագործական հմտությունները: Առանձնակի ուշադրություն կհատկացվի ԲՏՃՄ առարկաների և օտար լեզուների դասավանդմանը, քաղաքացիական, ֆինանսական և ձեռնարկատիրական կրթությանը: Մասնագիտական կրթության ոլորտում կմշակվեն և կներդրվեն տնտեսության ժամանակակից պահանջներից բխող նոր մասնագիտություններ</w:t>
      </w:r>
      <w:r w:rsidR="00945870" w:rsidRPr="007955BB">
        <w:rPr>
          <w:rFonts w:cs="Sylfaen"/>
          <w:b w:val="0"/>
          <w:szCs w:val="22"/>
          <w:lang w:val="hy-AM"/>
        </w:rPr>
        <w:t>,</w:t>
      </w:r>
      <w:r w:rsidRPr="007955BB">
        <w:rPr>
          <w:rFonts w:cs="Sylfaen"/>
          <w:b w:val="0"/>
          <w:szCs w:val="22"/>
          <w:lang w:val="hy-AM"/>
        </w:rPr>
        <w:t xml:space="preserve"> կրթական ծրագրեր՝ մեծացնելով աշխատաշուկայում շրջանավարտների մրցունակությունը, բարձրագույն կրթության ծրագրերում կխթանվի գիտահետազոտական աշխատանքների իրականացումը,</w:t>
      </w:r>
    </w:p>
    <w:p w:rsidR="006F7EC2" w:rsidRPr="007955BB" w:rsidRDefault="006F7EC2" w:rsidP="004861B2">
      <w:pPr>
        <w:pStyle w:val="ListParagraph"/>
        <w:numPr>
          <w:ilvl w:val="0"/>
          <w:numId w:val="20"/>
        </w:numPr>
        <w:tabs>
          <w:tab w:val="left" w:pos="567"/>
          <w:tab w:val="left" w:pos="1134"/>
        </w:tabs>
        <w:spacing w:before="0" w:line="276" w:lineRule="auto"/>
        <w:ind w:left="0" w:firstLine="450"/>
        <w:contextualSpacing w:val="0"/>
        <w:rPr>
          <w:rFonts w:cs="Sylfaen"/>
          <w:b w:val="0"/>
          <w:szCs w:val="22"/>
          <w:lang w:val="hy-AM"/>
        </w:rPr>
      </w:pPr>
      <w:r w:rsidRPr="007955BB">
        <w:rPr>
          <w:rFonts w:cs="Sylfaen"/>
          <w:b w:val="0"/>
          <w:szCs w:val="22"/>
          <w:lang w:val="hy-AM"/>
        </w:rPr>
        <w:t>ուսումնական հաստատությունների արդիական նյութատեխնիկական հենքի ապահովումը և սովորողակենտրոն միջավայրի ստեղծումը: Կշարունակվեն նախադպրոցական, դպրոցական և մասնագիտական ուսումնական հաստատությունների շենքերի վերանորոգումն ու կառուցումը՝ ներառելով նաև գյուղական փոքրաթիվ աշակերտական համակազմ ունեցող դպրոցները: Միաժամանակ, հաստատությունները կապահովվեն ժամանակակից ուսումնական գույքով և սարքավորումներով:</w:t>
      </w:r>
    </w:p>
    <w:p w:rsidR="006F7EC2" w:rsidRPr="007955BB" w:rsidRDefault="006F7EC2" w:rsidP="001113EE">
      <w:pPr>
        <w:tabs>
          <w:tab w:val="left" w:pos="567"/>
          <w:tab w:val="left" w:pos="1134"/>
        </w:tabs>
        <w:spacing w:before="0" w:line="276" w:lineRule="auto"/>
        <w:ind w:firstLine="450"/>
        <w:contextualSpacing w:val="0"/>
        <w:rPr>
          <w:rFonts w:cs="Sylfaen"/>
          <w:b w:val="0"/>
          <w:szCs w:val="22"/>
          <w:lang w:val="hy-AM"/>
        </w:rPr>
      </w:pPr>
      <w:r w:rsidRPr="007955BB">
        <w:rPr>
          <w:rFonts w:cs="Sylfaen"/>
          <w:b w:val="0"/>
          <w:szCs w:val="22"/>
          <w:lang w:val="hy-AM"/>
        </w:rPr>
        <w:t>Կրթության ոլորտի հաջորդ կարևոր խնդիրն է մատչելիության ապահովումը, որի ուղղությամբ նախատեսվում են հետևյալ միջոցառումները.</w:t>
      </w:r>
    </w:p>
    <w:p w:rsidR="006F7EC2" w:rsidRPr="007955BB" w:rsidRDefault="006F7EC2" w:rsidP="004861B2">
      <w:pPr>
        <w:pStyle w:val="ListParagraph"/>
        <w:numPr>
          <w:ilvl w:val="0"/>
          <w:numId w:val="20"/>
        </w:numPr>
        <w:tabs>
          <w:tab w:val="left" w:pos="567"/>
          <w:tab w:val="left" w:pos="1134"/>
        </w:tabs>
        <w:spacing w:before="0" w:line="276" w:lineRule="auto"/>
        <w:ind w:left="0" w:firstLine="450"/>
        <w:contextualSpacing w:val="0"/>
        <w:rPr>
          <w:rFonts w:cs="Sylfaen"/>
          <w:b w:val="0"/>
          <w:szCs w:val="22"/>
          <w:lang w:val="hy-AM"/>
        </w:rPr>
      </w:pPr>
      <w:r w:rsidRPr="007955BB">
        <w:rPr>
          <w:rFonts w:cs="Sylfaen"/>
          <w:b w:val="0"/>
          <w:szCs w:val="22"/>
          <w:lang w:val="hy-AM"/>
        </w:rPr>
        <w:t>կընդլայնվի նախադպրոցական ծառայությունների մատուցման շրջանակը, համայնքներին ցուցաբերվող նպատակային օժանդակության շնորհիվ կմեծանա երեխաների ընդգրկվածությունը, պետությունը կապահովի սոցիալապես խոցելի խավերի երեխաների ընդգրկվածությունը նախադպրոցական ուսումնական հաստատություններում, կիրականացվեն միջոցառումներ՝ միտված հանրակրթության սովորողներին մատուցվող ծառայությունների որակի և մատչելիության ապահովմանը</w:t>
      </w:r>
    </w:p>
    <w:p w:rsidR="006F7EC2" w:rsidRPr="007955BB" w:rsidRDefault="006F7EC2" w:rsidP="004861B2">
      <w:pPr>
        <w:pStyle w:val="ListParagraph"/>
        <w:numPr>
          <w:ilvl w:val="0"/>
          <w:numId w:val="20"/>
        </w:numPr>
        <w:tabs>
          <w:tab w:val="left" w:pos="567"/>
          <w:tab w:val="left" w:pos="1134"/>
        </w:tabs>
        <w:spacing w:before="0" w:line="276" w:lineRule="auto"/>
        <w:ind w:left="0" w:firstLine="450"/>
        <w:contextualSpacing w:val="0"/>
        <w:rPr>
          <w:rFonts w:cs="Sylfaen"/>
          <w:b w:val="0"/>
          <w:szCs w:val="22"/>
          <w:lang w:val="hy-AM"/>
        </w:rPr>
      </w:pPr>
      <w:r w:rsidRPr="007955BB">
        <w:rPr>
          <w:rFonts w:cs="Sylfaen"/>
          <w:b w:val="0"/>
          <w:szCs w:val="22"/>
          <w:lang w:val="hy-AM"/>
        </w:rPr>
        <w:t>համընդհանուր ներառական կրթությունը կներդրվի նախադպրոցական կրթության ոլորտում, կիրականացվեն ոլորտի աշխատակազմի վերապատրաստումներ,</w:t>
      </w:r>
    </w:p>
    <w:p w:rsidR="006F7EC2" w:rsidRPr="007955BB" w:rsidRDefault="006F7EC2" w:rsidP="004861B2">
      <w:pPr>
        <w:pStyle w:val="ListParagraph"/>
        <w:numPr>
          <w:ilvl w:val="0"/>
          <w:numId w:val="20"/>
        </w:numPr>
        <w:tabs>
          <w:tab w:val="left" w:pos="567"/>
          <w:tab w:val="left" w:pos="1134"/>
        </w:tabs>
        <w:spacing w:before="0" w:line="276" w:lineRule="auto"/>
        <w:ind w:left="0" w:firstLine="450"/>
        <w:contextualSpacing w:val="0"/>
        <w:rPr>
          <w:rFonts w:cs="Sylfaen"/>
          <w:b w:val="0"/>
          <w:szCs w:val="22"/>
          <w:lang w:val="hy-AM"/>
        </w:rPr>
      </w:pPr>
      <w:r w:rsidRPr="007955BB">
        <w:rPr>
          <w:rFonts w:cs="Sylfaen"/>
          <w:b w:val="0"/>
          <w:szCs w:val="22"/>
          <w:lang w:val="hy-AM"/>
        </w:rPr>
        <w:t xml:space="preserve">մասնագիտական կրթության գծով հատկացվող միջոցները կուղղվեն խոցելի խմբերի երիտասարդների ընդգրկվածության մեծացմանը: Կընդլայնվի մասնագիտական կրթության՝ պետական բյուջեից ֆինանսավորվող տեղերի թիվը, կընդլայնվեն ուսման վարձի զեղչային համակարգից օգտվող շահառուների խմբերը: Ոլորտում կշարունակվեն եվրոպական բարձրագույն կրթական տարածքի ամբողջական ինտեգրմանն ուղղված բարեփոխումները: Բուհերի մրցունակությունը բարձրացնելու նպատակով աշխատանքներ են տարվելու արդյունքային ցուցանիշների հիմքով բուհերի ֆինանսավորմանն անցնելու համար: </w:t>
      </w:r>
    </w:p>
    <w:p w:rsidR="003A3927" w:rsidRPr="007955BB" w:rsidRDefault="003A3927" w:rsidP="005D2928">
      <w:pPr>
        <w:keepNext/>
        <w:tabs>
          <w:tab w:val="left" w:pos="567"/>
        </w:tabs>
        <w:spacing w:before="0" w:line="276" w:lineRule="auto"/>
        <w:ind w:firstLine="720"/>
        <w:contextualSpacing w:val="0"/>
        <w:outlineLvl w:val="2"/>
        <w:rPr>
          <w:rFonts w:cs="Arial"/>
          <w:szCs w:val="22"/>
          <w:lang w:val="hy-AM" w:eastAsia="en-US"/>
        </w:rPr>
      </w:pPr>
    </w:p>
    <w:p w:rsidR="005F226A" w:rsidRPr="007955BB"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59" w:name="_Toc120805176"/>
      <w:r w:rsidRPr="007955BB">
        <w:rPr>
          <w:rFonts w:cs="Arial"/>
          <w:szCs w:val="22"/>
          <w:lang w:val="hy-AM" w:eastAsia="en-US"/>
        </w:rPr>
        <w:t>Գիտությ</w:t>
      </w:r>
      <w:r w:rsidR="006F7EC2" w:rsidRPr="007955BB">
        <w:rPr>
          <w:rFonts w:cs="Arial"/>
          <w:szCs w:val="22"/>
          <w:lang w:val="hy-AM" w:eastAsia="en-US"/>
        </w:rPr>
        <w:t>ուն</w:t>
      </w:r>
      <w:bookmarkEnd w:id="56"/>
      <w:bookmarkEnd w:id="57"/>
      <w:bookmarkEnd w:id="58"/>
      <w:bookmarkEnd w:id="59"/>
    </w:p>
    <w:p w:rsidR="006F7EC2" w:rsidRPr="007955BB" w:rsidRDefault="006F7EC2" w:rsidP="001113EE">
      <w:pPr>
        <w:tabs>
          <w:tab w:val="left" w:pos="90"/>
          <w:tab w:val="left" w:pos="567"/>
        </w:tabs>
        <w:spacing w:before="0" w:line="276" w:lineRule="auto"/>
        <w:ind w:firstLine="540"/>
        <w:rPr>
          <w:rFonts w:cs="Sylfaen"/>
          <w:b w:val="0"/>
          <w:szCs w:val="22"/>
          <w:lang w:val="hy-AM"/>
        </w:rPr>
      </w:pPr>
      <w:bookmarkStart w:id="60" w:name="_Toc26174900"/>
      <w:bookmarkStart w:id="61" w:name="_Toc57655429"/>
      <w:r w:rsidRPr="007955BB">
        <w:rPr>
          <w:rFonts w:cs="Sylfaen"/>
          <w:b w:val="0"/>
          <w:szCs w:val="22"/>
          <w:lang w:val="hy-AM"/>
        </w:rPr>
        <w:t>Հայաստանի Հանրապետության գիտության ոլորտը պետք է լինի  Հայաստանի Հանրապետության կայուն զարգացման անկյունաքարային ոլորտներից մեկը, որի զարգացումը հնարավորություն է ընձեռելու Հայաստանին դիմակայել ներկայիս և ապագայի մարտահրավերներին, դառնալ Հայաստանի Հանրապետության առաջընթացի կարևոր մաս:</w:t>
      </w:r>
    </w:p>
    <w:p w:rsidR="006F7EC2" w:rsidRPr="007955BB" w:rsidRDefault="006F7EC2" w:rsidP="001113EE">
      <w:pPr>
        <w:tabs>
          <w:tab w:val="left" w:pos="90"/>
          <w:tab w:val="left" w:pos="567"/>
        </w:tabs>
        <w:spacing w:before="0" w:line="276" w:lineRule="auto"/>
        <w:ind w:firstLine="540"/>
        <w:rPr>
          <w:rFonts w:cs="Sylfaen"/>
          <w:b w:val="0"/>
          <w:szCs w:val="22"/>
          <w:lang w:val="hy-AM"/>
        </w:rPr>
      </w:pPr>
      <w:r w:rsidRPr="007955BB">
        <w:rPr>
          <w:rFonts w:cs="Sylfaen"/>
          <w:b w:val="0"/>
          <w:szCs w:val="22"/>
          <w:lang w:val="hy-AM"/>
        </w:rPr>
        <w:t>Ոլորտի առաջնահերթ գերակա խնդիրներն են.</w:t>
      </w:r>
    </w:p>
    <w:p w:rsidR="006F7EC2" w:rsidRPr="007955BB" w:rsidRDefault="006F7EC2" w:rsidP="004861B2">
      <w:pPr>
        <w:pStyle w:val="ListParagraph"/>
        <w:numPr>
          <w:ilvl w:val="0"/>
          <w:numId w:val="20"/>
        </w:numPr>
        <w:tabs>
          <w:tab w:val="left" w:pos="567"/>
          <w:tab w:val="left" w:pos="1134"/>
        </w:tabs>
        <w:spacing w:before="0" w:line="276" w:lineRule="auto"/>
        <w:ind w:left="0" w:firstLine="360"/>
        <w:contextualSpacing w:val="0"/>
        <w:rPr>
          <w:rFonts w:cs="Sylfaen"/>
          <w:b w:val="0"/>
          <w:szCs w:val="22"/>
          <w:lang w:val="hy-AM"/>
        </w:rPr>
      </w:pPr>
      <w:r w:rsidRPr="007955BB">
        <w:rPr>
          <w:rFonts w:cs="Sylfaen"/>
          <w:b w:val="0"/>
          <w:szCs w:val="22"/>
          <w:lang w:val="hy-AM"/>
        </w:rPr>
        <w:t xml:space="preserve">մրցունակ գիտական գործունեության համար նպաստավոր ենթակառուցվածքների ստեղծում, որը գիտական գործունեության արդյունավետության և մրցունակության բարձրացման կարևորագույն գրավականներից է, ինչը հնարավորություն է տալու իրականացնելու մրցունակ գիտական հետազոտություններ ոչ միայն ժամանակակից գիտական սարքավորումների և նյութերի միջոցով, այլ նաև ընձեռելու է գիտական գործունեության համար բարենպաստ ֆիզիկական միջավայր, </w:t>
      </w:r>
    </w:p>
    <w:p w:rsidR="006F7EC2" w:rsidRPr="007955BB" w:rsidRDefault="006F7EC2" w:rsidP="004861B2">
      <w:pPr>
        <w:pStyle w:val="ListParagraph"/>
        <w:numPr>
          <w:ilvl w:val="0"/>
          <w:numId w:val="20"/>
        </w:numPr>
        <w:tabs>
          <w:tab w:val="left" w:pos="567"/>
          <w:tab w:val="left" w:pos="1134"/>
        </w:tabs>
        <w:spacing w:before="0" w:line="276" w:lineRule="auto"/>
        <w:ind w:left="0" w:firstLine="360"/>
        <w:contextualSpacing w:val="0"/>
        <w:rPr>
          <w:rFonts w:cs="Sylfaen"/>
          <w:b w:val="0"/>
          <w:szCs w:val="22"/>
          <w:lang w:val="hy-AM"/>
        </w:rPr>
      </w:pPr>
      <w:r w:rsidRPr="007955BB">
        <w:rPr>
          <w:rFonts w:cs="Sylfaen"/>
          <w:b w:val="0"/>
          <w:szCs w:val="22"/>
          <w:lang w:val="hy-AM"/>
        </w:rPr>
        <w:t xml:space="preserve">գիտության ոլորտում աշխատողների որակավորման բարձրացում և երիտասարդ կադրերի ներգրավում, որը ոլորտի ծերացման հիմնահարցի լուծման և մրցունակության բարձրացման հիմնական գործիքներն են,  </w:t>
      </w:r>
    </w:p>
    <w:p w:rsidR="006F7EC2" w:rsidRPr="007955BB" w:rsidRDefault="006F7EC2" w:rsidP="004861B2">
      <w:pPr>
        <w:pStyle w:val="ListParagraph"/>
        <w:numPr>
          <w:ilvl w:val="0"/>
          <w:numId w:val="20"/>
        </w:numPr>
        <w:tabs>
          <w:tab w:val="left" w:pos="567"/>
          <w:tab w:val="left" w:pos="1134"/>
        </w:tabs>
        <w:spacing w:before="0" w:line="276" w:lineRule="auto"/>
        <w:ind w:left="0" w:firstLine="360"/>
        <w:contextualSpacing w:val="0"/>
        <w:rPr>
          <w:b w:val="0"/>
          <w:szCs w:val="22"/>
          <w:lang w:val="af-ZA"/>
        </w:rPr>
      </w:pPr>
      <w:r w:rsidRPr="007955BB">
        <w:rPr>
          <w:rFonts w:cs="Sylfaen"/>
          <w:b w:val="0"/>
          <w:szCs w:val="22"/>
          <w:lang w:val="hy-AM"/>
        </w:rPr>
        <w:t>գիտության</w:t>
      </w:r>
      <w:r w:rsidRPr="007955BB">
        <w:rPr>
          <w:b w:val="0"/>
          <w:szCs w:val="22"/>
          <w:lang w:val="af-ZA"/>
        </w:rPr>
        <w:t xml:space="preserve"> ոլորտում պետական ֆինանսավորման արդյունավետության բարձրացում, որը հնարավորություն է ընձեռելու ներդնել առավել բարձր կատարողականով գիտական կազմակերպություններում բազային ֆինանսավորման հնգամյա մեխանիզմներ, ինչպես նաև իրականացնել գիտական կադրերի պատրաստման բոնուսային ծրագրեր՝ բազային ֆինանսավորման շրջանակներում:</w:t>
      </w:r>
    </w:p>
    <w:p w:rsidR="006F7EC2" w:rsidRPr="007955BB" w:rsidRDefault="006F7EC2" w:rsidP="001113EE">
      <w:pPr>
        <w:tabs>
          <w:tab w:val="left" w:pos="450"/>
          <w:tab w:val="left" w:pos="567"/>
          <w:tab w:val="left" w:pos="1134"/>
        </w:tabs>
        <w:spacing w:before="0" w:line="276" w:lineRule="auto"/>
        <w:ind w:firstLine="540"/>
        <w:contextualSpacing w:val="0"/>
        <w:rPr>
          <w:b w:val="0"/>
          <w:szCs w:val="22"/>
          <w:lang w:val="af-ZA"/>
        </w:rPr>
      </w:pPr>
      <w:r w:rsidRPr="007955BB">
        <w:rPr>
          <w:b w:val="0"/>
          <w:szCs w:val="22"/>
          <w:lang w:val="af-ZA"/>
        </w:rPr>
        <w:t>Վերոնշյալ գերակա խնդիրների լուծմանն ուղղված միջոցառումներն են.</w:t>
      </w:r>
    </w:p>
    <w:p w:rsidR="006F7EC2" w:rsidRPr="007955BB" w:rsidRDefault="006F7EC2" w:rsidP="004861B2">
      <w:pPr>
        <w:pStyle w:val="ListParagraph"/>
        <w:numPr>
          <w:ilvl w:val="0"/>
          <w:numId w:val="20"/>
        </w:numPr>
        <w:tabs>
          <w:tab w:val="left" w:pos="567"/>
          <w:tab w:val="left" w:pos="1134"/>
        </w:tabs>
        <w:spacing w:before="0" w:line="276" w:lineRule="auto"/>
        <w:ind w:left="0" w:firstLine="360"/>
        <w:contextualSpacing w:val="0"/>
        <w:rPr>
          <w:rFonts w:cs="Sylfaen"/>
          <w:b w:val="0"/>
          <w:szCs w:val="22"/>
          <w:lang w:val="hy-AM"/>
        </w:rPr>
      </w:pPr>
      <w:r w:rsidRPr="007955BB">
        <w:rPr>
          <w:rFonts w:cs="Sylfaen"/>
          <w:b w:val="0"/>
          <w:szCs w:val="22"/>
          <w:lang w:val="hy-AM"/>
        </w:rPr>
        <w:t xml:space="preserve">գիտական կենտրոնները ժամանակակից սարքավորումներով վերազինում ու համատեղ օգտագործման գիտական սարքավորումների կենտրոնների ստեղծում, գիտական կենտրոնների վերանորոգում, </w:t>
      </w:r>
    </w:p>
    <w:p w:rsidR="006F7EC2" w:rsidRPr="007955BB" w:rsidRDefault="006F7EC2" w:rsidP="004861B2">
      <w:pPr>
        <w:pStyle w:val="ListParagraph"/>
        <w:numPr>
          <w:ilvl w:val="0"/>
          <w:numId w:val="20"/>
        </w:numPr>
        <w:tabs>
          <w:tab w:val="left" w:pos="567"/>
          <w:tab w:val="left" w:pos="1134"/>
        </w:tabs>
        <w:spacing w:before="0" w:line="276" w:lineRule="auto"/>
        <w:ind w:left="0" w:firstLine="360"/>
        <w:contextualSpacing w:val="0"/>
        <w:rPr>
          <w:rFonts w:cs="Sylfaen"/>
          <w:b w:val="0"/>
          <w:szCs w:val="22"/>
          <w:lang w:val="hy-AM"/>
        </w:rPr>
      </w:pPr>
      <w:r w:rsidRPr="007955BB">
        <w:rPr>
          <w:rFonts w:cs="Sylfaen"/>
          <w:b w:val="0"/>
          <w:szCs w:val="22"/>
          <w:lang w:val="hy-AM"/>
        </w:rPr>
        <w:t xml:space="preserve">գիտական կադրերի համապետական ատեստավորման իրականացման արդյունքում բարձր պահանջներին համապատասխանող գիտական աշխատողների աշխատավարձի բարձրացմանն ուղղված պետական աջակցություն, </w:t>
      </w:r>
    </w:p>
    <w:p w:rsidR="006F7EC2" w:rsidRPr="007955BB" w:rsidRDefault="006F7EC2" w:rsidP="004861B2">
      <w:pPr>
        <w:pStyle w:val="ListParagraph"/>
        <w:numPr>
          <w:ilvl w:val="0"/>
          <w:numId w:val="20"/>
        </w:numPr>
        <w:tabs>
          <w:tab w:val="left" w:pos="567"/>
          <w:tab w:val="left" w:pos="1134"/>
        </w:tabs>
        <w:spacing w:before="0" w:line="276" w:lineRule="auto"/>
        <w:ind w:left="0" w:firstLine="360"/>
        <w:contextualSpacing w:val="0"/>
        <w:rPr>
          <w:rFonts w:cs="Sylfaen"/>
          <w:b w:val="0"/>
          <w:szCs w:val="22"/>
          <w:lang w:val="hy-AM"/>
        </w:rPr>
      </w:pPr>
      <w:r w:rsidRPr="007955BB">
        <w:rPr>
          <w:rFonts w:cs="Sylfaen"/>
          <w:b w:val="0"/>
          <w:szCs w:val="22"/>
          <w:lang w:val="hy-AM"/>
        </w:rPr>
        <w:t xml:space="preserve">հետազոտության բնագավառով մոտ փոքր գիտական կազմակերպությունները խոշոր գիտական կենտրոններում միավորմանն ուղղված պետական ծրագրերի իրականացում, </w:t>
      </w:r>
    </w:p>
    <w:p w:rsidR="006F7EC2" w:rsidRPr="007955BB" w:rsidRDefault="006F7EC2" w:rsidP="004861B2">
      <w:pPr>
        <w:pStyle w:val="ListParagraph"/>
        <w:numPr>
          <w:ilvl w:val="0"/>
          <w:numId w:val="20"/>
        </w:numPr>
        <w:tabs>
          <w:tab w:val="left" w:pos="567"/>
          <w:tab w:val="left" w:pos="1134"/>
        </w:tabs>
        <w:spacing w:before="0" w:line="276" w:lineRule="auto"/>
        <w:ind w:left="0" w:firstLine="360"/>
        <w:contextualSpacing w:val="0"/>
        <w:rPr>
          <w:rFonts w:cs="Sylfaen"/>
          <w:b w:val="0"/>
          <w:szCs w:val="22"/>
          <w:lang w:val="hy-AM"/>
        </w:rPr>
      </w:pPr>
      <w:r w:rsidRPr="007955BB">
        <w:rPr>
          <w:rFonts w:cs="Sylfaen"/>
          <w:b w:val="0"/>
          <w:szCs w:val="22"/>
          <w:lang w:val="hy-AM"/>
        </w:rPr>
        <w:t>արտերկրի գիտնականների ինտեգրման դրամաշնորհային ծրագրերի իրականացում,</w:t>
      </w:r>
    </w:p>
    <w:p w:rsidR="006F7EC2" w:rsidRPr="007955BB" w:rsidRDefault="006F7EC2" w:rsidP="004861B2">
      <w:pPr>
        <w:pStyle w:val="ListParagraph"/>
        <w:numPr>
          <w:ilvl w:val="0"/>
          <w:numId w:val="20"/>
        </w:numPr>
        <w:tabs>
          <w:tab w:val="left" w:pos="567"/>
          <w:tab w:val="left" w:pos="1134"/>
        </w:tabs>
        <w:spacing w:before="0" w:line="276" w:lineRule="auto"/>
        <w:ind w:left="0" w:firstLine="360"/>
        <w:contextualSpacing w:val="0"/>
        <w:rPr>
          <w:rFonts w:cs="Sylfaen"/>
          <w:b w:val="0"/>
          <w:szCs w:val="22"/>
          <w:lang w:val="hy-AM"/>
        </w:rPr>
      </w:pPr>
      <w:r w:rsidRPr="007955BB">
        <w:rPr>
          <w:rFonts w:cs="Sylfaen"/>
          <w:b w:val="0"/>
          <w:szCs w:val="22"/>
          <w:lang w:val="hy-AM"/>
        </w:rPr>
        <w:t>հեռավար լաբորատորիաների հիմնադրում,</w:t>
      </w:r>
    </w:p>
    <w:p w:rsidR="006F7EC2" w:rsidRPr="007955BB" w:rsidRDefault="006F7EC2" w:rsidP="004861B2">
      <w:pPr>
        <w:pStyle w:val="ListParagraph"/>
        <w:numPr>
          <w:ilvl w:val="0"/>
          <w:numId w:val="20"/>
        </w:numPr>
        <w:tabs>
          <w:tab w:val="left" w:pos="567"/>
          <w:tab w:val="left" w:pos="1134"/>
        </w:tabs>
        <w:spacing w:before="0" w:line="276" w:lineRule="auto"/>
        <w:ind w:left="0" w:firstLine="360"/>
        <w:contextualSpacing w:val="0"/>
        <w:rPr>
          <w:rFonts w:cs="Sylfaen"/>
          <w:b w:val="0"/>
          <w:szCs w:val="22"/>
          <w:lang w:val="hy-AM"/>
        </w:rPr>
      </w:pPr>
      <w:r w:rsidRPr="007955BB">
        <w:rPr>
          <w:rFonts w:cs="Sylfaen"/>
          <w:b w:val="0"/>
          <w:szCs w:val="22"/>
          <w:lang w:val="hy-AM"/>
        </w:rPr>
        <w:t>արտերկրի</w:t>
      </w:r>
      <w:r w:rsidRPr="007955BB">
        <w:rPr>
          <w:b w:val="0"/>
          <w:szCs w:val="22"/>
          <w:lang w:val="af-ZA"/>
        </w:rPr>
        <w:t xml:space="preserve"> լավագույն գիտական կենտրոններում գիտական կազմակերպությունների աշխատակիցների մասնագիտական վերապատրաստման և որակավորման բարձրացման միջին և երկարաժամկետ ծրագրերի իրականացում:</w:t>
      </w:r>
    </w:p>
    <w:p w:rsidR="003A3927" w:rsidRPr="007955BB" w:rsidRDefault="003A3927" w:rsidP="005D2928">
      <w:pPr>
        <w:keepNext/>
        <w:tabs>
          <w:tab w:val="left" w:pos="567"/>
        </w:tabs>
        <w:spacing w:before="0" w:line="276" w:lineRule="auto"/>
        <w:ind w:firstLine="720"/>
        <w:contextualSpacing w:val="0"/>
        <w:outlineLvl w:val="2"/>
        <w:rPr>
          <w:rFonts w:cs="Arial"/>
          <w:szCs w:val="22"/>
          <w:lang w:val="hy-AM" w:eastAsia="en-US"/>
        </w:rPr>
      </w:pPr>
      <w:bookmarkStart w:id="62" w:name="_Toc83567448"/>
    </w:p>
    <w:p w:rsidR="005F226A" w:rsidRPr="007955BB"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63" w:name="_Toc120805177"/>
      <w:r w:rsidRPr="007955BB">
        <w:rPr>
          <w:rFonts w:cs="Arial"/>
          <w:szCs w:val="22"/>
          <w:lang w:val="hy-AM" w:eastAsia="en-US"/>
        </w:rPr>
        <w:t>Մշակույթ</w:t>
      </w:r>
      <w:bookmarkEnd w:id="60"/>
      <w:bookmarkEnd w:id="61"/>
      <w:bookmarkEnd w:id="62"/>
      <w:bookmarkEnd w:id="63"/>
    </w:p>
    <w:p w:rsidR="006F7EC2" w:rsidRPr="007955BB" w:rsidRDefault="006F7EC2" w:rsidP="008F5CA2">
      <w:pPr>
        <w:pStyle w:val="BodyText2"/>
      </w:pPr>
      <w:r w:rsidRPr="007955BB">
        <w:t>ՀՀ կառավարության մշակութային քաղաքականությանը համապա</w:t>
      </w:r>
      <w:r w:rsidRPr="007955BB">
        <w:softHyphen/>
        <w:t>տասխան ոլորտում իրականացվում են մշակութային ժառանգության (նյութական և ոչ նյութական) պահպանության, պաշտպանության, ուսումնասիրության, ազգային արվեստների հենքի և ավանդույթների հիմքի վրա ժամանակակից մարդու ընկալումներին ու ձգտումներին համահունչ ժամանակակից ար</w:t>
      </w:r>
      <w:r w:rsidRPr="007955BB">
        <w:softHyphen/>
        <w:t>վեստի ստեղծման և տարածման, ազգաբնակչության ստեղծագործական ներուժի խթանման, նոր մտահղացումների ու գաղափարների ներդրման անհրաժեշտ պայմանների ապահովման, ժամանակակից մշա</w:t>
      </w:r>
      <w:r w:rsidRPr="007955BB">
        <w:softHyphen/>
        <w:t>կութային մրցունակ արտադրանքի ստեղծման, մշակութային միջոցառում</w:t>
      </w:r>
      <w:r w:rsidRPr="007955BB">
        <w:softHyphen/>
        <w:t>ների իրակա</w:t>
      </w:r>
      <w:r w:rsidRPr="007955BB">
        <w:softHyphen/>
        <w:t>նաց</w:t>
      </w:r>
      <w:r w:rsidRPr="007955BB">
        <w:softHyphen/>
        <w:t>ման և այլ ծառայու</w:t>
      </w:r>
      <w:r w:rsidRPr="007955BB">
        <w:softHyphen/>
        <w:t>թյուն</w:t>
      </w:r>
      <w:r w:rsidRPr="007955BB">
        <w:softHyphen/>
        <w:t>ներ:</w:t>
      </w:r>
    </w:p>
    <w:p w:rsidR="006F7EC2" w:rsidRPr="007955BB" w:rsidRDefault="006F7EC2" w:rsidP="008F5CA2">
      <w:pPr>
        <w:pStyle w:val="BodyText2"/>
      </w:pPr>
      <w:r w:rsidRPr="007955BB">
        <w:t>Մշակույթի ոլորտի քաղաքականության հիմնական թիրախներն են.</w:t>
      </w:r>
    </w:p>
    <w:p w:rsidR="006F7EC2" w:rsidRPr="007955BB" w:rsidRDefault="006F7EC2" w:rsidP="004861B2">
      <w:pPr>
        <w:pStyle w:val="ListParagraph"/>
        <w:numPr>
          <w:ilvl w:val="0"/>
          <w:numId w:val="20"/>
        </w:numPr>
        <w:tabs>
          <w:tab w:val="left" w:pos="567"/>
          <w:tab w:val="left" w:pos="1134"/>
        </w:tabs>
        <w:spacing w:before="0" w:line="276" w:lineRule="auto"/>
        <w:ind w:left="0" w:firstLine="270"/>
        <w:contextualSpacing w:val="0"/>
        <w:rPr>
          <w:rFonts w:cs="Sylfaen"/>
          <w:b w:val="0"/>
          <w:szCs w:val="22"/>
          <w:lang w:val="hy-AM"/>
        </w:rPr>
      </w:pPr>
      <w:r w:rsidRPr="007955BB">
        <w:rPr>
          <w:rFonts w:cs="Sylfaen"/>
          <w:b w:val="0"/>
          <w:szCs w:val="22"/>
          <w:lang w:val="hy-AM"/>
        </w:rPr>
        <w:t xml:space="preserve">աջակցություն կինոարվեստի, կինոարտադրության զարգացմանը, հայկական ավանդույթների շարունակականության ապահովում, միջազգային համագործակցության ընդլայնում, կինոարվեստի հանրահռչակում, </w:t>
      </w:r>
    </w:p>
    <w:p w:rsidR="006F7EC2" w:rsidRPr="007955BB" w:rsidRDefault="006F7EC2" w:rsidP="004861B2">
      <w:pPr>
        <w:pStyle w:val="ListParagraph"/>
        <w:numPr>
          <w:ilvl w:val="0"/>
          <w:numId w:val="20"/>
        </w:numPr>
        <w:tabs>
          <w:tab w:val="left" w:pos="567"/>
          <w:tab w:val="left" w:pos="1134"/>
        </w:tabs>
        <w:spacing w:before="0" w:line="276" w:lineRule="auto"/>
        <w:ind w:left="0" w:firstLine="270"/>
        <w:contextualSpacing w:val="0"/>
        <w:rPr>
          <w:rFonts w:cs="Sylfaen"/>
          <w:b w:val="0"/>
          <w:szCs w:val="22"/>
          <w:lang w:val="hy-AM"/>
        </w:rPr>
      </w:pPr>
      <w:r w:rsidRPr="007955BB">
        <w:rPr>
          <w:rFonts w:cs="Sylfaen"/>
          <w:b w:val="0"/>
          <w:szCs w:val="22"/>
          <w:lang w:val="hy-AM"/>
        </w:rPr>
        <w:t>մշակութային ժառանգության պահպանում, օգտագործում, համալրում և հանրահռչակում,</w:t>
      </w:r>
    </w:p>
    <w:p w:rsidR="006F7EC2" w:rsidRPr="007955BB" w:rsidRDefault="006F7EC2" w:rsidP="004861B2">
      <w:pPr>
        <w:pStyle w:val="ListParagraph"/>
        <w:numPr>
          <w:ilvl w:val="0"/>
          <w:numId w:val="20"/>
        </w:numPr>
        <w:tabs>
          <w:tab w:val="left" w:pos="567"/>
          <w:tab w:val="left" w:pos="1134"/>
        </w:tabs>
        <w:spacing w:before="0" w:line="276" w:lineRule="auto"/>
        <w:ind w:left="0" w:firstLine="270"/>
        <w:contextualSpacing w:val="0"/>
        <w:rPr>
          <w:rFonts w:cs="Sylfaen"/>
          <w:b w:val="0"/>
          <w:szCs w:val="22"/>
          <w:lang w:val="hy-AM"/>
        </w:rPr>
      </w:pPr>
      <w:r w:rsidRPr="007955BB">
        <w:rPr>
          <w:rFonts w:cs="Sylfaen"/>
          <w:b w:val="0"/>
          <w:szCs w:val="22"/>
          <w:lang w:val="hy-AM"/>
        </w:rPr>
        <w:t>գրական դաշտի բոլոր օղակների հավասարաչափ զարգացում, գրական արտադրանքի միջոցով գրական-մշակութային ժառանգության պահպանում, զարգացում, տարածում և հանրահռչակում, քաղաքացիական հասարակության ձևավորում, ստեղծագործական ներուժի վերարտադրում և զարգացման համար պայմանների ստեղծում,</w:t>
      </w:r>
    </w:p>
    <w:p w:rsidR="006F7EC2" w:rsidRPr="007955BB" w:rsidRDefault="006F7EC2" w:rsidP="004861B2">
      <w:pPr>
        <w:pStyle w:val="ListParagraph"/>
        <w:numPr>
          <w:ilvl w:val="0"/>
          <w:numId w:val="20"/>
        </w:numPr>
        <w:tabs>
          <w:tab w:val="left" w:pos="567"/>
          <w:tab w:val="left" w:pos="1134"/>
        </w:tabs>
        <w:spacing w:before="0" w:line="276" w:lineRule="auto"/>
        <w:ind w:left="0" w:firstLine="270"/>
        <w:contextualSpacing w:val="0"/>
        <w:rPr>
          <w:rFonts w:cs="Sylfaen"/>
          <w:b w:val="0"/>
          <w:szCs w:val="22"/>
          <w:lang w:val="hy-AM"/>
        </w:rPr>
      </w:pPr>
      <w:r w:rsidRPr="007955BB">
        <w:rPr>
          <w:rFonts w:cs="Sylfaen"/>
          <w:b w:val="0"/>
          <w:szCs w:val="22"/>
          <w:lang w:val="hy-AM"/>
        </w:rPr>
        <w:t>ազգային հենքի վրա ժամանակակից թատերարվեստի, երաժշտարվեստի, կերպարվեստի և պարավեստի զարգացում և տարածում,</w:t>
      </w:r>
    </w:p>
    <w:p w:rsidR="006F7EC2" w:rsidRPr="007955BB" w:rsidRDefault="006F7EC2" w:rsidP="004861B2">
      <w:pPr>
        <w:pStyle w:val="ListParagraph"/>
        <w:numPr>
          <w:ilvl w:val="0"/>
          <w:numId w:val="20"/>
        </w:numPr>
        <w:tabs>
          <w:tab w:val="left" w:pos="567"/>
          <w:tab w:val="left" w:pos="1134"/>
        </w:tabs>
        <w:spacing w:before="0" w:line="276" w:lineRule="auto"/>
        <w:ind w:left="0" w:firstLine="270"/>
        <w:contextualSpacing w:val="0"/>
        <w:rPr>
          <w:rFonts w:cs="Sylfaen"/>
          <w:b w:val="0"/>
          <w:szCs w:val="22"/>
          <w:lang w:val="hy-AM"/>
        </w:rPr>
      </w:pPr>
      <w:r w:rsidRPr="007955BB">
        <w:rPr>
          <w:rFonts w:cs="Sylfaen"/>
          <w:b w:val="0"/>
          <w:szCs w:val="22"/>
          <w:lang w:val="hy-AM"/>
        </w:rPr>
        <w:t>մարզերում մշակութային կյանքի և մշակութաստեղծ գործունեության ակտիվացում,</w:t>
      </w:r>
    </w:p>
    <w:p w:rsidR="006F7EC2" w:rsidRPr="007955BB" w:rsidRDefault="006F7EC2" w:rsidP="004861B2">
      <w:pPr>
        <w:pStyle w:val="ListParagraph"/>
        <w:numPr>
          <w:ilvl w:val="0"/>
          <w:numId w:val="20"/>
        </w:numPr>
        <w:tabs>
          <w:tab w:val="left" w:pos="567"/>
          <w:tab w:val="left" w:pos="1134"/>
        </w:tabs>
        <w:spacing w:before="0" w:line="276" w:lineRule="auto"/>
        <w:ind w:left="0" w:firstLine="270"/>
        <w:contextualSpacing w:val="0"/>
        <w:rPr>
          <w:b w:val="0"/>
          <w:szCs w:val="22"/>
          <w:lang w:val="hy-AM"/>
        </w:rPr>
      </w:pPr>
      <w:r w:rsidRPr="007955BB">
        <w:rPr>
          <w:rFonts w:cs="Sylfaen"/>
          <w:b w:val="0"/>
          <w:szCs w:val="22"/>
          <w:lang w:val="hy-AM"/>
        </w:rPr>
        <w:t>երեխաների</w:t>
      </w:r>
      <w:r w:rsidRPr="007955BB">
        <w:rPr>
          <w:b w:val="0"/>
          <w:szCs w:val="22"/>
          <w:lang w:val="hy-AM"/>
        </w:rPr>
        <w:t xml:space="preserve"> </w:t>
      </w:r>
      <w:r w:rsidRPr="007955BB">
        <w:rPr>
          <w:rFonts w:cs="Sylfaen"/>
          <w:b w:val="0"/>
          <w:szCs w:val="22"/>
          <w:lang w:val="hy-AM"/>
        </w:rPr>
        <w:t>հոգևոր</w:t>
      </w:r>
      <w:r w:rsidRPr="007955BB">
        <w:rPr>
          <w:b w:val="0"/>
          <w:szCs w:val="22"/>
          <w:lang w:val="hy-AM"/>
        </w:rPr>
        <w:t xml:space="preserve"> և գեղագիտական ընդունակությունների բացահայտում և զարգացում։</w:t>
      </w:r>
    </w:p>
    <w:p w:rsidR="000825DA" w:rsidRPr="007955BB" w:rsidRDefault="000825DA" w:rsidP="008F5CA2">
      <w:pPr>
        <w:pStyle w:val="BodyText2"/>
      </w:pPr>
    </w:p>
    <w:p w:rsidR="005F226A" w:rsidRPr="007955BB" w:rsidRDefault="005F226A" w:rsidP="006F7EC2">
      <w:pPr>
        <w:keepNext/>
        <w:tabs>
          <w:tab w:val="left" w:pos="567"/>
        </w:tabs>
        <w:spacing w:before="0" w:line="276" w:lineRule="auto"/>
        <w:ind w:firstLine="720"/>
        <w:contextualSpacing w:val="0"/>
        <w:outlineLvl w:val="2"/>
        <w:rPr>
          <w:rFonts w:cs="Arial"/>
          <w:szCs w:val="22"/>
          <w:lang w:val="hy-AM" w:eastAsia="en-US"/>
        </w:rPr>
      </w:pPr>
      <w:bookmarkStart w:id="64" w:name="_Toc26174901"/>
      <w:bookmarkStart w:id="65" w:name="_Toc57655430"/>
      <w:bookmarkStart w:id="66" w:name="_Toc83567449"/>
      <w:bookmarkStart w:id="67" w:name="_Toc120805178"/>
      <w:r w:rsidRPr="007955BB">
        <w:rPr>
          <w:rFonts w:cs="Arial"/>
          <w:szCs w:val="22"/>
          <w:lang w:val="hy-AM" w:eastAsia="en-US"/>
        </w:rPr>
        <w:t>Սպորտ</w:t>
      </w:r>
      <w:bookmarkEnd w:id="64"/>
      <w:bookmarkEnd w:id="65"/>
      <w:bookmarkEnd w:id="66"/>
      <w:bookmarkEnd w:id="67"/>
    </w:p>
    <w:p w:rsidR="006F7EC2" w:rsidRPr="007955BB" w:rsidRDefault="006F7EC2" w:rsidP="008F5CA2">
      <w:pPr>
        <w:pStyle w:val="BodyText2"/>
      </w:pPr>
      <w:r w:rsidRPr="007955BB">
        <w:t xml:space="preserve">Սպորտի ոլորտում պետական քաղաքականությունն ուղղված է առողջ ապրելակերպի խթանմանը՝ մասսայական սպորտային միջոցառումներում բնակչության տարիքային և սոցիալական տարբեր խմբեր ներգրավելու միջոցով, ինչպես նաև սպորտում ՀՀ միջազգային հեղինակության բարձրացմանը՝ միջազգային և տեղական մրցումներին հայ մարզիկների մասնակցության և բարձր նվաճումների միջոցով: </w:t>
      </w:r>
    </w:p>
    <w:p w:rsidR="006F7EC2" w:rsidRPr="007955BB" w:rsidRDefault="006F7EC2" w:rsidP="008F5CA2">
      <w:pPr>
        <w:pStyle w:val="BodyText2"/>
      </w:pPr>
      <w:r w:rsidRPr="007955BB">
        <w:t>ՀՀ կառավարության քաղաքականությունն է՝ ֆիզիկական կուլտուրայի և սպորտի բնագավառում առաջնորդվել հետևյալ սկզբունքներով.</w:t>
      </w:r>
    </w:p>
    <w:p w:rsidR="006F7EC2" w:rsidRPr="007955BB" w:rsidRDefault="006F7EC2" w:rsidP="004861B2">
      <w:pPr>
        <w:pStyle w:val="ListParagraph"/>
        <w:numPr>
          <w:ilvl w:val="0"/>
          <w:numId w:val="20"/>
        </w:numPr>
        <w:tabs>
          <w:tab w:val="left" w:pos="567"/>
          <w:tab w:val="left" w:pos="1134"/>
        </w:tabs>
        <w:spacing w:before="0" w:line="276" w:lineRule="auto"/>
        <w:ind w:left="0" w:firstLine="450"/>
        <w:contextualSpacing w:val="0"/>
        <w:rPr>
          <w:rFonts w:cs="Sylfaen"/>
          <w:b w:val="0"/>
          <w:szCs w:val="22"/>
          <w:lang w:val="hy-AM"/>
        </w:rPr>
      </w:pPr>
      <w:r w:rsidRPr="007955BB">
        <w:rPr>
          <w:rFonts w:cs="Sylfaen"/>
          <w:b w:val="0"/>
          <w:szCs w:val="22"/>
          <w:lang w:val="hy-AM"/>
        </w:rPr>
        <w:t xml:space="preserve">բնակչության առողջության ամրապնդումը, </w:t>
      </w:r>
    </w:p>
    <w:p w:rsidR="006F7EC2" w:rsidRPr="007955BB" w:rsidRDefault="006F7EC2" w:rsidP="004861B2">
      <w:pPr>
        <w:pStyle w:val="ListParagraph"/>
        <w:numPr>
          <w:ilvl w:val="0"/>
          <w:numId w:val="20"/>
        </w:numPr>
        <w:tabs>
          <w:tab w:val="left" w:pos="567"/>
          <w:tab w:val="left" w:pos="1134"/>
        </w:tabs>
        <w:spacing w:before="0" w:line="276" w:lineRule="auto"/>
        <w:ind w:left="0" w:firstLine="450"/>
        <w:contextualSpacing w:val="0"/>
        <w:rPr>
          <w:rFonts w:cs="Sylfaen"/>
          <w:b w:val="0"/>
          <w:szCs w:val="22"/>
          <w:lang w:val="hy-AM"/>
        </w:rPr>
      </w:pPr>
      <w:r w:rsidRPr="007955BB">
        <w:rPr>
          <w:rFonts w:cs="Sylfaen"/>
          <w:b w:val="0"/>
          <w:szCs w:val="22"/>
          <w:lang w:val="hy-AM"/>
        </w:rPr>
        <w:t xml:space="preserve">անհատի ներդաշնակ զարգացումը, </w:t>
      </w:r>
    </w:p>
    <w:p w:rsidR="006F7EC2" w:rsidRPr="007955BB" w:rsidRDefault="006F7EC2" w:rsidP="004861B2">
      <w:pPr>
        <w:pStyle w:val="ListParagraph"/>
        <w:numPr>
          <w:ilvl w:val="0"/>
          <w:numId w:val="20"/>
        </w:numPr>
        <w:tabs>
          <w:tab w:val="left" w:pos="567"/>
          <w:tab w:val="left" w:pos="1134"/>
        </w:tabs>
        <w:spacing w:before="0" w:line="276" w:lineRule="auto"/>
        <w:ind w:left="0" w:firstLine="450"/>
        <w:contextualSpacing w:val="0"/>
        <w:rPr>
          <w:rFonts w:cs="Sylfaen"/>
          <w:b w:val="0"/>
          <w:szCs w:val="22"/>
          <w:lang w:val="hy-AM"/>
        </w:rPr>
      </w:pPr>
      <w:r w:rsidRPr="007955BB">
        <w:rPr>
          <w:rFonts w:cs="Sylfaen"/>
          <w:b w:val="0"/>
          <w:szCs w:val="22"/>
          <w:lang w:val="hy-AM"/>
        </w:rPr>
        <w:t>հայրենիքի պաշտպանությանը պատրաստ երիտասարդության ֆիզիկական պատրաստականության ապահովումը,</w:t>
      </w:r>
    </w:p>
    <w:p w:rsidR="006F7EC2" w:rsidRPr="007955BB" w:rsidRDefault="006F7EC2" w:rsidP="004861B2">
      <w:pPr>
        <w:pStyle w:val="ListParagraph"/>
        <w:numPr>
          <w:ilvl w:val="0"/>
          <w:numId w:val="20"/>
        </w:numPr>
        <w:tabs>
          <w:tab w:val="left" w:pos="567"/>
          <w:tab w:val="left" w:pos="1134"/>
        </w:tabs>
        <w:spacing w:before="0" w:line="276" w:lineRule="auto"/>
        <w:ind w:left="0" w:firstLine="450"/>
        <w:contextualSpacing w:val="0"/>
        <w:rPr>
          <w:rFonts w:cs="Sylfaen"/>
          <w:b w:val="0"/>
          <w:szCs w:val="22"/>
          <w:lang w:val="hy-AM"/>
        </w:rPr>
      </w:pPr>
      <w:r w:rsidRPr="007955BB">
        <w:rPr>
          <w:rFonts w:cs="Sylfaen"/>
          <w:b w:val="0"/>
          <w:szCs w:val="22"/>
          <w:lang w:val="hy-AM"/>
        </w:rPr>
        <w:t>բարձրակարգ մարզիկների պատրաստումը և միջազգային մրցասպարեզներում Հայաստանի Հանրապետության հավաքական թիմերի և մարզիկների մասնակցության ապահովումը:</w:t>
      </w:r>
    </w:p>
    <w:p w:rsidR="006F7EC2" w:rsidRPr="007955BB" w:rsidRDefault="000501C2" w:rsidP="001113EE">
      <w:pPr>
        <w:pStyle w:val="ListParagraph"/>
        <w:tabs>
          <w:tab w:val="left" w:pos="567"/>
          <w:tab w:val="left" w:pos="1134"/>
        </w:tabs>
        <w:spacing w:before="0" w:line="276" w:lineRule="auto"/>
        <w:ind w:left="0" w:firstLine="450"/>
        <w:contextualSpacing w:val="0"/>
        <w:rPr>
          <w:rFonts w:cs="Sylfaen"/>
          <w:b w:val="0"/>
          <w:szCs w:val="22"/>
          <w:lang w:val="hy-AM"/>
        </w:rPr>
      </w:pPr>
      <w:r w:rsidRPr="007955BB">
        <w:rPr>
          <w:rFonts w:cs="Sylfaen"/>
          <w:b w:val="0"/>
          <w:szCs w:val="22"/>
          <w:lang w:val="hy-AM"/>
        </w:rPr>
        <w:tab/>
      </w:r>
      <w:r w:rsidR="006F7EC2" w:rsidRPr="007955BB">
        <w:rPr>
          <w:rFonts w:cs="Sylfaen"/>
          <w:b w:val="0"/>
          <w:szCs w:val="22"/>
          <w:lang w:val="hy-AM"/>
        </w:rPr>
        <w:t xml:space="preserve">Ոլորտային քաղաքականության հիմնական նպատակներն են. </w:t>
      </w:r>
    </w:p>
    <w:p w:rsidR="006F7EC2" w:rsidRPr="007955BB" w:rsidRDefault="006F7EC2" w:rsidP="004861B2">
      <w:pPr>
        <w:pStyle w:val="ListParagraph"/>
        <w:numPr>
          <w:ilvl w:val="0"/>
          <w:numId w:val="20"/>
        </w:numPr>
        <w:tabs>
          <w:tab w:val="left" w:pos="567"/>
          <w:tab w:val="left" w:pos="1134"/>
        </w:tabs>
        <w:spacing w:before="0" w:line="276" w:lineRule="auto"/>
        <w:ind w:left="0" w:firstLine="450"/>
        <w:contextualSpacing w:val="0"/>
        <w:rPr>
          <w:rFonts w:cs="Sylfaen"/>
          <w:b w:val="0"/>
          <w:szCs w:val="22"/>
          <w:lang w:val="hy-AM"/>
        </w:rPr>
      </w:pPr>
      <w:r w:rsidRPr="007955BB">
        <w:rPr>
          <w:rFonts w:cs="Sylfaen"/>
          <w:b w:val="0"/>
          <w:szCs w:val="22"/>
          <w:lang w:val="hy-AM"/>
        </w:rPr>
        <w:t>մարզաձևերի ազգային ֆեդերացիաների և հաշմանդամային մարզական հասարակական կազմակերպությունների կողմից մարզիկների պատրաստումը, ՀՀ առաջնությունների անցկացումը, օլիմպիական, պարալիմպիկ խաղերին, աշխարհի, Եվրոպայի և այլ միջազգային առաջնություններին մասնակցությունը:</w:t>
      </w:r>
    </w:p>
    <w:p w:rsidR="006F7EC2" w:rsidRPr="007955BB" w:rsidRDefault="006F7EC2" w:rsidP="004861B2">
      <w:pPr>
        <w:pStyle w:val="ListParagraph"/>
        <w:numPr>
          <w:ilvl w:val="0"/>
          <w:numId w:val="20"/>
        </w:numPr>
        <w:tabs>
          <w:tab w:val="left" w:pos="567"/>
          <w:tab w:val="left" w:pos="1134"/>
        </w:tabs>
        <w:spacing w:before="0" w:line="276" w:lineRule="auto"/>
        <w:ind w:left="0" w:firstLine="450"/>
        <w:contextualSpacing w:val="0"/>
        <w:rPr>
          <w:b w:val="0"/>
          <w:szCs w:val="22"/>
          <w:lang w:val="af-ZA"/>
        </w:rPr>
      </w:pPr>
      <w:r w:rsidRPr="007955BB">
        <w:rPr>
          <w:rFonts w:cs="Sylfaen"/>
          <w:b w:val="0"/>
          <w:szCs w:val="22"/>
          <w:lang w:val="hy-AM"/>
        </w:rPr>
        <w:t xml:space="preserve"> բնակչության շրջանում առողջ ապրելակերպի արմատավորումը և բնակչության առողջության</w:t>
      </w:r>
      <w:r w:rsidRPr="007955BB">
        <w:rPr>
          <w:b w:val="0"/>
          <w:szCs w:val="22"/>
          <w:lang w:val="af-ZA"/>
        </w:rPr>
        <w:t xml:space="preserve"> ամրապնդումը, անհատի բազմակողմանի ու ներդաշնակ զարգացման գործում ֆիզիկական կուլտուրայի և սպորտի դերի բարձրացումը և բնակչության շրջանում հայկական ժողովրդական ավանդական խաղերի վերածնունդն ու տարածումը: </w:t>
      </w:r>
    </w:p>
    <w:p w:rsidR="000825DA" w:rsidRPr="007955BB" w:rsidRDefault="000825DA" w:rsidP="005D2928">
      <w:pPr>
        <w:tabs>
          <w:tab w:val="left" w:pos="1134"/>
        </w:tabs>
        <w:spacing w:before="0" w:line="276" w:lineRule="auto"/>
        <w:ind w:firstLine="708"/>
        <w:rPr>
          <w:b w:val="0"/>
          <w:szCs w:val="22"/>
          <w:lang w:val="hy-AM"/>
        </w:rPr>
      </w:pPr>
    </w:p>
    <w:p w:rsidR="005F226A" w:rsidRPr="007955BB"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68" w:name="_Toc83567450"/>
      <w:bookmarkStart w:id="69" w:name="_Toc120805179"/>
      <w:r w:rsidRPr="007955BB">
        <w:rPr>
          <w:rFonts w:cs="Arial"/>
          <w:szCs w:val="22"/>
          <w:lang w:val="hy-AM" w:eastAsia="en-US"/>
        </w:rPr>
        <w:t>Երիտասարդություն</w:t>
      </w:r>
      <w:bookmarkEnd w:id="68"/>
      <w:bookmarkEnd w:id="69"/>
    </w:p>
    <w:p w:rsidR="00BB3F01" w:rsidRPr="007955BB" w:rsidRDefault="00BB3F01" w:rsidP="008F5CA2">
      <w:pPr>
        <w:pStyle w:val="BodyText2"/>
      </w:pPr>
      <w:r w:rsidRPr="007955BB">
        <w:t>Երիտասարդական պետական քաղաքականությունն առաջնահերթությունների, ծրագրերի, միջոցառումների և մեխանիզմների համակարգ է, որն ուղղված է երիտասարդության մասնակցության, սոցիալականացման և ինքնաիրացման համար անհրաժեշտ պայմանների ստեղծմանը, երիտասարդության ներուժի ներգրավմանն ու դրա զարգացմանը:</w:t>
      </w:r>
    </w:p>
    <w:p w:rsidR="00BB3F01" w:rsidRPr="007955BB" w:rsidRDefault="00BB3F01" w:rsidP="008F5CA2">
      <w:pPr>
        <w:pStyle w:val="BodyText2"/>
      </w:pPr>
      <w:r w:rsidRPr="007955BB">
        <w:t xml:space="preserve">Երիտասարդության ծրագրի նպատակն է` երիտասարդության ներուժի իրացման և զարգացման, երիտասարդական մասնակցության խթանման համար սոցիալ-տնտեսական, իրավաքաղաքական, հոգևոր-մշակութային պայմանների ստեղծումը` ուղղված Հայաստանի Հանրապետության զարգացմանը և հզորացմանը: </w:t>
      </w:r>
    </w:p>
    <w:p w:rsidR="00BB3F01" w:rsidRPr="007955BB" w:rsidRDefault="00BB3F01" w:rsidP="008F5CA2">
      <w:pPr>
        <w:pStyle w:val="BodyText2"/>
      </w:pPr>
      <w:r w:rsidRPr="007955BB">
        <w:t xml:space="preserve">Ոլորտային քաղաքականության հիմնական թիրախներն են. </w:t>
      </w:r>
    </w:p>
    <w:p w:rsidR="00BB3F01" w:rsidRPr="007955BB" w:rsidRDefault="00BB3F01" w:rsidP="004861B2">
      <w:pPr>
        <w:pStyle w:val="ListParagraph"/>
        <w:numPr>
          <w:ilvl w:val="0"/>
          <w:numId w:val="20"/>
        </w:numPr>
        <w:tabs>
          <w:tab w:val="left" w:pos="567"/>
          <w:tab w:val="left" w:pos="1134"/>
        </w:tabs>
        <w:spacing w:before="0" w:line="276" w:lineRule="auto"/>
        <w:ind w:left="0" w:firstLine="360"/>
        <w:contextualSpacing w:val="0"/>
        <w:rPr>
          <w:rFonts w:cs="Sylfaen"/>
          <w:b w:val="0"/>
          <w:szCs w:val="22"/>
          <w:lang w:val="hy-AM"/>
        </w:rPr>
      </w:pPr>
      <w:r w:rsidRPr="007955BB">
        <w:rPr>
          <w:rFonts w:cs="Sylfaen"/>
          <w:b w:val="0"/>
          <w:szCs w:val="22"/>
          <w:lang w:val="hy-AM"/>
        </w:rPr>
        <w:t xml:space="preserve">Հայաստանի մարզային համայնքներում «Երիտասարդական կենտրոնների» ստեղծում, </w:t>
      </w:r>
    </w:p>
    <w:p w:rsidR="00BB3F01" w:rsidRPr="007955BB" w:rsidRDefault="00BB3F01" w:rsidP="004861B2">
      <w:pPr>
        <w:pStyle w:val="ListParagraph"/>
        <w:numPr>
          <w:ilvl w:val="0"/>
          <w:numId w:val="20"/>
        </w:numPr>
        <w:tabs>
          <w:tab w:val="left" w:pos="567"/>
          <w:tab w:val="left" w:pos="1134"/>
        </w:tabs>
        <w:spacing w:before="0" w:line="276" w:lineRule="auto"/>
        <w:ind w:left="0" w:firstLine="360"/>
        <w:contextualSpacing w:val="0"/>
        <w:rPr>
          <w:rFonts w:cs="Sylfaen"/>
          <w:b w:val="0"/>
          <w:szCs w:val="22"/>
          <w:lang w:val="hy-AM"/>
        </w:rPr>
      </w:pPr>
      <w:r w:rsidRPr="007955BB">
        <w:rPr>
          <w:rFonts w:cs="Sylfaen"/>
          <w:b w:val="0"/>
          <w:szCs w:val="22"/>
          <w:lang w:val="hy-AM"/>
        </w:rPr>
        <w:t xml:space="preserve">Հանրային միջոցառումներին երիտասարդների մասնակցություն, </w:t>
      </w:r>
    </w:p>
    <w:p w:rsidR="00BB3F01" w:rsidRPr="007955BB" w:rsidRDefault="00BB3F01" w:rsidP="004861B2">
      <w:pPr>
        <w:pStyle w:val="ListParagraph"/>
        <w:numPr>
          <w:ilvl w:val="0"/>
          <w:numId w:val="20"/>
        </w:numPr>
        <w:tabs>
          <w:tab w:val="left" w:pos="567"/>
          <w:tab w:val="left" w:pos="1134"/>
        </w:tabs>
        <w:spacing w:before="0" w:line="276" w:lineRule="auto"/>
        <w:ind w:left="0" w:firstLine="360"/>
        <w:contextualSpacing w:val="0"/>
        <w:rPr>
          <w:rFonts w:cs="Sylfaen"/>
          <w:b w:val="0"/>
          <w:szCs w:val="22"/>
          <w:lang w:val="hy-AM"/>
        </w:rPr>
      </w:pPr>
      <w:r w:rsidRPr="007955BB">
        <w:rPr>
          <w:rFonts w:cs="Sylfaen"/>
          <w:b w:val="0"/>
          <w:szCs w:val="22"/>
          <w:lang w:val="hy-AM"/>
        </w:rPr>
        <w:t>«Բնակարան երիտասարդ ընտանիքներին» ծրագրի շահառուների աճ,</w:t>
      </w:r>
    </w:p>
    <w:p w:rsidR="00BB3F01" w:rsidRPr="007955BB" w:rsidRDefault="00BB3F01" w:rsidP="004861B2">
      <w:pPr>
        <w:pStyle w:val="ListParagraph"/>
        <w:numPr>
          <w:ilvl w:val="0"/>
          <w:numId w:val="20"/>
        </w:numPr>
        <w:tabs>
          <w:tab w:val="left" w:pos="567"/>
          <w:tab w:val="left" w:pos="1134"/>
        </w:tabs>
        <w:spacing w:before="0" w:line="276" w:lineRule="auto"/>
        <w:ind w:left="0" w:firstLine="360"/>
        <w:contextualSpacing w:val="0"/>
        <w:rPr>
          <w:sz w:val="24"/>
        </w:rPr>
      </w:pPr>
      <w:r w:rsidRPr="007955BB">
        <w:rPr>
          <w:rFonts w:cs="Sylfaen"/>
          <w:b w:val="0"/>
          <w:szCs w:val="22"/>
          <w:lang w:val="hy-AM"/>
        </w:rPr>
        <w:t>Երիտասարդության՝ միջազգային միջոցառումներին մասնակցություն:</w:t>
      </w:r>
    </w:p>
    <w:p w:rsidR="005F226A" w:rsidRPr="007955BB" w:rsidRDefault="005F226A" w:rsidP="005D2928">
      <w:pPr>
        <w:pStyle w:val="CommentText"/>
        <w:spacing w:line="276" w:lineRule="auto"/>
        <w:rPr>
          <w:b w:val="0"/>
          <w:color w:val="000000"/>
          <w:sz w:val="22"/>
          <w:szCs w:val="22"/>
          <w:lang w:val="hy-AM"/>
        </w:rPr>
      </w:pPr>
    </w:p>
    <w:p w:rsidR="005F226A" w:rsidRPr="007955BB"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70" w:name="_Toc26174902"/>
      <w:bookmarkStart w:id="71" w:name="_Toc83567451"/>
      <w:bookmarkStart w:id="72" w:name="_Toc120805180"/>
      <w:r w:rsidRPr="007955BB">
        <w:rPr>
          <w:rFonts w:cs="Arial"/>
          <w:szCs w:val="22"/>
          <w:lang w:val="hy-AM" w:eastAsia="en-US"/>
        </w:rPr>
        <w:t>Առողջապահություն</w:t>
      </w:r>
      <w:bookmarkEnd w:id="70"/>
      <w:bookmarkEnd w:id="71"/>
      <w:bookmarkEnd w:id="72"/>
    </w:p>
    <w:p w:rsidR="00DB0DC0" w:rsidRPr="007955BB" w:rsidRDefault="00DB0DC0" w:rsidP="00DB0DC0">
      <w:pPr>
        <w:spacing w:before="0" w:line="276" w:lineRule="auto"/>
        <w:ind w:left="90" w:firstLine="540"/>
        <w:contextualSpacing w:val="0"/>
        <w:rPr>
          <w:rFonts w:cs="Sylfaen"/>
          <w:b w:val="0"/>
          <w:bCs/>
          <w:szCs w:val="22"/>
          <w:lang w:val="hy-AM" w:eastAsia="en-US"/>
        </w:rPr>
      </w:pPr>
      <w:bookmarkStart w:id="73" w:name="_Toc26174903"/>
      <w:r w:rsidRPr="007955BB">
        <w:rPr>
          <w:rFonts w:cs="Sylfaen"/>
          <w:b w:val="0"/>
          <w:bCs/>
          <w:szCs w:val="22"/>
          <w:lang w:val="hy-AM" w:eastAsia="en-US"/>
        </w:rPr>
        <w:t xml:space="preserve">Առողջապահության ոլորտը` որպես սոցիալական կարևոր ոլորտ հանդիսանում է ՀՀ պետական քաղաքականության գերակա ուղղություններից և Կառավարության հիմնական առաջնահերթություններից մեկը: </w:t>
      </w:r>
    </w:p>
    <w:p w:rsidR="00DB0DC0" w:rsidRPr="007955BB" w:rsidRDefault="00DB0DC0" w:rsidP="00DB0DC0">
      <w:pPr>
        <w:spacing w:before="0" w:line="276" w:lineRule="auto"/>
        <w:ind w:left="90" w:firstLine="540"/>
        <w:contextualSpacing w:val="0"/>
        <w:rPr>
          <w:rFonts w:cs="Sylfaen"/>
          <w:b w:val="0"/>
          <w:bCs/>
          <w:szCs w:val="22"/>
          <w:lang w:val="hy-AM" w:eastAsia="en-US"/>
        </w:rPr>
      </w:pPr>
      <w:r w:rsidRPr="007955BB">
        <w:rPr>
          <w:rFonts w:cs="Sylfaen"/>
          <w:b w:val="0"/>
          <w:bCs/>
          <w:szCs w:val="22"/>
          <w:lang w:val="hy-AM" w:eastAsia="en-US"/>
        </w:rPr>
        <w:t>Բնակչության առողջության պահպանման նպատակով որպես գերակա խնդիր</w:t>
      </w:r>
      <w:r w:rsidRPr="007955BB">
        <w:rPr>
          <w:rFonts w:cs="Sylfaen"/>
          <w:b w:val="0"/>
          <w:bCs/>
          <w:szCs w:val="22"/>
          <w:lang w:val="hy-AM" w:eastAsia="en-US"/>
        </w:rPr>
        <w:br w:type="textWrapping" w:clear="all"/>
        <w:t>շարունակելու է դիտարկվել վարակիչ և ոչ վարակիչ հիվանդությունների</w:t>
      </w:r>
      <w:r w:rsidRPr="007955BB">
        <w:rPr>
          <w:rFonts w:cs="Sylfaen"/>
          <w:b w:val="0"/>
          <w:bCs/>
          <w:szCs w:val="22"/>
          <w:lang w:val="hy-AM" w:eastAsia="en-US"/>
        </w:rPr>
        <w:br w:type="textWrapping" w:clear="all"/>
        <w:t>կանխարգելման ու վաղ հայտնաբերման ուղղությունների զարգացումը, որոնց շրջանակներում առողջապահության ոլորտի կառավարման արդյունավետության բարձրացման համար իրականացվող բարեփոխումներն ուղղված են լինելու առողջության առաջնային պահպանման օղակի արդիականացմանը, շարունակական զարգացմանը և արդյունավետության բարձրացմանը` պայմանավորված բնակչությանը հասանելի որակյալ բժշկական ծառայություններ մատուցելու անհրաժեշտությամբ:</w:t>
      </w:r>
    </w:p>
    <w:p w:rsidR="00DB0DC0" w:rsidRPr="007955BB" w:rsidRDefault="00DB0DC0" w:rsidP="00DB0DC0">
      <w:pPr>
        <w:spacing w:before="0" w:line="276" w:lineRule="auto"/>
        <w:ind w:left="90" w:firstLine="540"/>
        <w:contextualSpacing w:val="0"/>
        <w:rPr>
          <w:rFonts w:cs="Sylfaen"/>
          <w:b w:val="0"/>
          <w:bCs/>
          <w:szCs w:val="22"/>
          <w:lang w:val="hy-AM" w:eastAsia="en-US"/>
        </w:rPr>
      </w:pPr>
      <w:r w:rsidRPr="007955BB">
        <w:rPr>
          <w:rFonts w:cs="Sylfaen"/>
          <w:b w:val="0"/>
          <w:bCs/>
          <w:szCs w:val="22"/>
          <w:lang w:val="hy-AM" w:eastAsia="en-US"/>
        </w:rPr>
        <w:t>Մոր և մանկան առողջության պահպանման ծառայությունների բարելավման ոլորտում շարունակվելու են մայրական (վերարտադրողական), մանկական, այդ թվում` նորածնային առող</w:t>
      </w:r>
      <w:r w:rsidRPr="007955BB">
        <w:rPr>
          <w:rFonts w:cs="Sylfaen"/>
          <w:b w:val="0"/>
          <w:bCs/>
          <w:szCs w:val="22"/>
          <w:lang w:val="hy-AM" w:eastAsia="en-US"/>
        </w:rPr>
        <w:softHyphen/>
      </w:r>
      <w:r w:rsidRPr="007955BB">
        <w:rPr>
          <w:rFonts w:cs="Sylfaen"/>
          <w:b w:val="0"/>
          <w:bCs/>
          <w:szCs w:val="22"/>
          <w:lang w:val="hy-AM" w:eastAsia="en-US"/>
        </w:rPr>
        <w:softHyphen/>
        <w:t>ջու</w:t>
      </w:r>
      <w:r w:rsidRPr="007955BB">
        <w:rPr>
          <w:rFonts w:cs="Sylfaen"/>
          <w:b w:val="0"/>
          <w:bCs/>
          <w:szCs w:val="22"/>
          <w:lang w:val="hy-AM" w:eastAsia="en-US"/>
        </w:rPr>
        <w:softHyphen/>
        <w:t>թյան բարե</w:t>
      </w:r>
      <w:r w:rsidRPr="007955BB">
        <w:rPr>
          <w:rFonts w:cs="Sylfaen"/>
          <w:b w:val="0"/>
          <w:bCs/>
          <w:szCs w:val="22"/>
          <w:lang w:val="hy-AM" w:eastAsia="en-US"/>
        </w:rPr>
        <w:softHyphen/>
        <w:t>լավ</w:t>
      </w:r>
      <w:r w:rsidRPr="007955BB">
        <w:rPr>
          <w:rFonts w:cs="Sylfaen"/>
          <w:b w:val="0"/>
          <w:bCs/>
          <w:szCs w:val="22"/>
          <w:lang w:val="hy-AM" w:eastAsia="en-US"/>
        </w:rPr>
        <w:softHyphen/>
        <w:t>մանն ուղղված միջոցառումներ, որոնք միտված են հնարավորինս խթանել ծնելիությունը` բարելավելով բնակչության վերարտադրողական առողջությունը, նվազեցնելով պերինատալ կորուստները, հաղթահարելով անպտղությունը:</w:t>
      </w:r>
    </w:p>
    <w:p w:rsidR="00DB0DC0" w:rsidRPr="007955BB" w:rsidRDefault="00DB0DC0" w:rsidP="00DB0DC0">
      <w:pPr>
        <w:spacing w:before="0" w:line="276" w:lineRule="auto"/>
        <w:ind w:left="90" w:firstLine="540"/>
        <w:contextualSpacing w:val="0"/>
        <w:rPr>
          <w:rFonts w:cs="Sylfaen"/>
          <w:b w:val="0"/>
          <w:bCs/>
          <w:szCs w:val="22"/>
          <w:lang w:val="hy-AM" w:eastAsia="en-US"/>
        </w:rPr>
      </w:pPr>
      <w:r w:rsidRPr="007955BB">
        <w:rPr>
          <w:rFonts w:cs="Sylfaen"/>
          <w:b w:val="0"/>
          <w:bCs/>
          <w:szCs w:val="22"/>
          <w:lang w:val="hy-AM" w:eastAsia="en-US"/>
        </w:rPr>
        <w:t xml:space="preserve">Դեղերի անվտանգության, արդյունավետության և որակի ապահովման ոլորտում աշխատանքներ կիրականացվեն հանրապետությունում անվտանգ, արդյունավետ, որակյալ և մատչելի դեղեր ունենալու ուղղությամբ` դեղային ազգային քաղաքականության մշակման, դեղերի շրջանառության բոլոր փուլերի կանոնակարգման, այս ոլորտի պետական վերահսկողության բարելավման, հայրենական արտադրության դեղերի մրցունակության ապահովման և տեղական դեղարտադրության խրախուսման միջոցով: </w:t>
      </w:r>
    </w:p>
    <w:p w:rsidR="00DB0DC0" w:rsidRPr="007955BB" w:rsidRDefault="00DB0DC0" w:rsidP="00DB0DC0">
      <w:pPr>
        <w:spacing w:before="0" w:line="276" w:lineRule="auto"/>
        <w:ind w:left="90" w:firstLine="540"/>
        <w:contextualSpacing w:val="0"/>
        <w:rPr>
          <w:rFonts w:cs="Sylfaen"/>
          <w:b w:val="0"/>
          <w:bCs/>
          <w:szCs w:val="22"/>
          <w:lang w:val="hy-AM" w:eastAsia="en-US"/>
        </w:rPr>
      </w:pPr>
      <w:r w:rsidRPr="007955BB">
        <w:rPr>
          <w:rFonts w:cs="Sylfaen"/>
          <w:b w:val="0"/>
          <w:bCs/>
          <w:szCs w:val="22"/>
          <w:lang w:val="hy-AM" w:eastAsia="en-US"/>
        </w:rPr>
        <w:t>Վարակիչ և ոչ վարակիչ հիվանդությունների կանխարգելումը ռազմավարական մեկ այլ կարևոր նպատակ է, որի շրջանակներում ապահովվելու է առավել տարածված ոչ վարակիչ հի</w:t>
      </w:r>
      <w:r w:rsidRPr="007955BB">
        <w:rPr>
          <w:rFonts w:cs="Sylfaen"/>
          <w:b w:val="0"/>
          <w:bCs/>
          <w:szCs w:val="22"/>
          <w:lang w:val="hy-AM" w:eastAsia="en-US"/>
        </w:rPr>
        <w:softHyphen/>
        <w:t>վան</w:t>
      </w:r>
      <w:r w:rsidRPr="007955BB">
        <w:rPr>
          <w:rFonts w:cs="Sylfaen"/>
          <w:b w:val="0"/>
          <w:bCs/>
          <w:szCs w:val="22"/>
          <w:lang w:val="hy-AM" w:eastAsia="en-US"/>
        </w:rPr>
        <w:softHyphen/>
        <w:t>դությունների վաղ հայտնաբերման, ախտորոշման ու կանխարգելման ճանապարհով բնակ</w:t>
      </w:r>
      <w:r w:rsidRPr="007955BB">
        <w:rPr>
          <w:rFonts w:cs="Sylfaen"/>
          <w:b w:val="0"/>
          <w:bCs/>
          <w:szCs w:val="22"/>
          <w:lang w:val="hy-AM" w:eastAsia="en-US"/>
        </w:rPr>
        <w:softHyphen/>
        <w:t>չու</w:t>
      </w:r>
      <w:r w:rsidRPr="007955BB">
        <w:rPr>
          <w:rFonts w:cs="Sylfaen"/>
          <w:b w:val="0"/>
          <w:bCs/>
          <w:szCs w:val="22"/>
          <w:lang w:val="hy-AM" w:eastAsia="en-US"/>
        </w:rPr>
        <w:softHyphen/>
        <w:t>թյան առողջության հիմնական ցուցանիշների բարելավում և այդ հիվանդությունների բար</w:t>
      </w:r>
      <w:r w:rsidRPr="007955BB">
        <w:rPr>
          <w:rFonts w:cs="Sylfaen"/>
          <w:b w:val="0"/>
          <w:bCs/>
          <w:szCs w:val="22"/>
          <w:lang w:val="hy-AM" w:eastAsia="en-US"/>
        </w:rPr>
        <w:softHyphen/>
        <w:t>դու</w:t>
      </w:r>
      <w:r w:rsidRPr="007955BB">
        <w:rPr>
          <w:rFonts w:cs="Sylfaen"/>
          <w:b w:val="0"/>
          <w:bCs/>
          <w:szCs w:val="22"/>
          <w:lang w:val="hy-AM" w:eastAsia="en-US"/>
        </w:rPr>
        <w:softHyphen/>
        <w:t>թյուն</w:t>
      </w:r>
      <w:r w:rsidRPr="007955BB">
        <w:rPr>
          <w:rFonts w:cs="Sylfaen"/>
          <w:b w:val="0"/>
          <w:bCs/>
          <w:szCs w:val="22"/>
          <w:lang w:val="hy-AM" w:eastAsia="en-US"/>
        </w:rPr>
        <w:softHyphen/>
        <w:t>ների, հաշմանդամության և մահացության ցուցանիշների կրճատում, ինչպես նաև վարակիչ հի</w:t>
      </w:r>
      <w:r w:rsidRPr="007955BB">
        <w:rPr>
          <w:rFonts w:cs="Sylfaen"/>
          <w:b w:val="0"/>
          <w:bCs/>
          <w:szCs w:val="22"/>
          <w:lang w:val="hy-AM" w:eastAsia="en-US"/>
        </w:rPr>
        <w:softHyphen/>
        <w:t>վան</w:t>
      </w:r>
      <w:r w:rsidRPr="007955BB">
        <w:rPr>
          <w:rFonts w:cs="Sylfaen"/>
          <w:b w:val="0"/>
          <w:bCs/>
          <w:szCs w:val="22"/>
          <w:lang w:val="hy-AM" w:eastAsia="en-US"/>
        </w:rPr>
        <w:softHyphen/>
        <w:t>դություններով հիվանդացության նվազեցում, կառավարելի վարակիչ հի</w:t>
      </w:r>
      <w:r w:rsidRPr="007955BB">
        <w:rPr>
          <w:rFonts w:cs="Sylfaen"/>
          <w:b w:val="0"/>
          <w:bCs/>
          <w:szCs w:val="22"/>
          <w:lang w:val="hy-AM" w:eastAsia="en-US"/>
        </w:rPr>
        <w:softHyphen/>
        <w:t>վան</w:t>
      </w:r>
      <w:r w:rsidRPr="007955BB">
        <w:rPr>
          <w:rFonts w:cs="Sylfaen"/>
          <w:b w:val="0"/>
          <w:bCs/>
          <w:szCs w:val="22"/>
          <w:lang w:val="hy-AM" w:eastAsia="en-US"/>
        </w:rPr>
        <w:softHyphen/>
        <w:t>դու</w:t>
      </w:r>
      <w:r w:rsidRPr="007955BB">
        <w:rPr>
          <w:rFonts w:cs="Sylfaen"/>
          <w:b w:val="0"/>
          <w:bCs/>
          <w:szCs w:val="22"/>
          <w:lang w:val="hy-AM" w:eastAsia="en-US"/>
        </w:rPr>
        <w:softHyphen/>
        <w:t>թյուն</w:t>
      </w:r>
      <w:r w:rsidRPr="007955BB">
        <w:rPr>
          <w:rFonts w:cs="Sylfaen"/>
          <w:b w:val="0"/>
          <w:bCs/>
          <w:szCs w:val="22"/>
          <w:lang w:val="hy-AM" w:eastAsia="en-US"/>
        </w:rPr>
        <w:softHyphen/>
        <w:t>նե</w:t>
      </w:r>
      <w:r w:rsidRPr="007955BB">
        <w:rPr>
          <w:rFonts w:cs="Sylfaen"/>
          <w:b w:val="0"/>
          <w:bCs/>
          <w:szCs w:val="22"/>
          <w:lang w:val="hy-AM" w:eastAsia="en-US"/>
        </w:rPr>
        <w:softHyphen/>
        <w:t xml:space="preserve">րից մահվան դեպքերի կանխում և վարակիչ հիվանդությունների նկատմամբ բնակչության անընկալության ապահովում: </w:t>
      </w:r>
    </w:p>
    <w:p w:rsidR="00DB0DC0" w:rsidRPr="007955BB" w:rsidRDefault="00DB0DC0" w:rsidP="00DB0DC0">
      <w:pPr>
        <w:spacing w:before="0" w:line="276" w:lineRule="auto"/>
        <w:ind w:left="90" w:firstLine="540"/>
        <w:contextualSpacing w:val="0"/>
        <w:rPr>
          <w:rFonts w:cs="Sylfaen"/>
          <w:b w:val="0"/>
          <w:bCs/>
          <w:szCs w:val="22"/>
          <w:lang w:val="hy-AM" w:eastAsia="en-US"/>
        </w:rPr>
      </w:pPr>
      <w:r w:rsidRPr="007955BB">
        <w:rPr>
          <w:rFonts w:cs="Sylfaen"/>
          <w:b w:val="0"/>
          <w:bCs/>
          <w:szCs w:val="22"/>
          <w:lang w:val="hy-AM" w:eastAsia="en-US"/>
        </w:rPr>
        <w:t>Ոլորտի հիմնական խնդիրներից է հանրապետությունում ուռուց</w:t>
      </w:r>
      <w:r w:rsidRPr="007955BB">
        <w:rPr>
          <w:rFonts w:cs="Sylfaen"/>
          <w:b w:val="0"/>
          <w:bCs/>
          <w:szCs w:val="22"/>
          <w:lang w:val="hy-AM" w:eastAsia="en-US"/>
        </w:rPr>
        <w:softHyphen/>
        <w:t>քաբանական ծառայությունների շարունակական բարելավումը: Ուռուցքաբանական վ</w:t>
      </w:r>
      <w:r w:rsidR="00156D52" w:rsidRPr="007955BB">
        <w:rPr>
          <w:rFonts w:cs="Sylfaen"/>
          <w:b w:val="0"/>
          <w:bCs/>
          <w:szCs w:val="22"/>
          <w:lang w:val="hy-AM" w:eastAsia="en-US"/>
        </w:rPr>
        <w:t>ի</w:t>
      </w:r>
      <w:r w:rsidRPr="007955BB">
        <w:rPr>
          <w:rFonts w:cs="Sylfaen"/>
          <w:b w:val="0"/>
          <w:bCs/>
          <w:szCs w:val="22"/>
          <w:lang w:val="hy-AM" w:eastAsia="en-US"/>
        </w:rPr>
        <w:t>րահատությունների գների վերանայման, ճառագայթային բուժման դեպքերի, քիմիաթերա</w:t>
      </w:r>
      <w:r w:rsidRPr="007955BB">
        <w:rPr>
          <w:rFonts w:cs="Sylfaen"/>
          <w:b w:val="0"/>
          <w:bCs/>
          <w:szCs w:val="22"/>
          <w:lang w:val="hy-AM" w:eastAsia="en-US"/>
        </w:rPr>
        <w:softHyphen/>
        <w:t>պի</w:t>
      </w:r>
      <w:r w:rsidRPr="007955BB">
        <w:rPr>
          <w:rFonts w:cs="Sylfaen"/>
          <w:b w:val="0"/>
          <w:bCs/>
          <w:szCs w:val="22"/>
          <w:lang w:val="hy-AM" w:eastAsia="en-US"/>
        </w:rPr>
        <w:softHyphen/>
        <w:t>ա</w:t>
      </w:r>
      <w:r w:rsidRPr="007955BB">
        <w:rPr>
          <w:rFonts w:cs="Sylfaen"/>
          <w:b w:val="0"/>
          <w:bCs/>
          <w:szCs w:val="22"/>
          <w:lang w:val="hy-AM" w:eastAsia="en-US"/>
        </w:rPr>
        <w:softHyphen/>
        <w:t>յի դեղերի ցանկի ընդլայնման և պետության կողմից երաշխավորված անվճար պալիատիվ ծա</w:t>
      </w:r>
      <w:r w:rsidRPr="007955BB">
        <w:rPr>
          <w:rFonts w:cs="Sylfaen"/>
          <w:b w:val="0"/>
          <w:bCs/>
          <w:szCs w:val="22"/>
          <w:lang w:val="hy-AM" w:eastAsia="en-US"/>
        </w:rPr>
        <w:softHyphen/>
        <w:t>ռա</w:t>
      </w:r>
      <w:r w:rsidRPr="007955BB">
        <w:rPr>
          <w:rFonts w:cs="Sylfaen"/>
          <w:b w:val="0"/>
          <w:bCs/>
          <w:szCs w:val="22"/>
          <w:lang w:val="hy-AM" w:eastAsia="en-US"/>
        </w:rPr>
        <w:softHyphen/>
      </w:r>
      <w:r w:rsidRPr="007955BB">
        <w:rPr>
          <w:rFonts w:cs="Sylfaen"/>
          <w:b w:val="0"/>
          <w:bCs/>
          <w:szCs w:val="22"/>
          <w:lang w:val="hy-AM" w:eastAsia="en-US"/>
        </w:rPr>
        <w:softHyphen/>
        <w:t>յության ներդրման միջոցով ուռուցքաբանական հիվանդություններով հիվանդ քաղա</w:t>
      </w:r>
      <w:r w:rsidRPr="007955BB">
        <w:rPr>
          <w:rFonts w:cs="Sylfaen"/>
          <w:b w:val="0"/>
          <w:bCs/>
          <w:szCs w:val="22"/>
          <w:lang w:val="hy-AM" w:eastAsia="en-US"/>
        </w:rPr>
        <w:softHyphen/>
        <w:t>քա</w:t>
      </w:r>
      <w:r w:rsidRPr="007955BB">
        <w:rPr>
          <w:rFonts w:cs="Sylfaen"/>
          <w:b w:val="0"/>
          <w:bCs/>
          <w:szCs w:val="22"/>
          <w:lang w:val="hy-AM" w:eastAsia="en-US"/>
        </w:rPr>
        <w:softHyphen/>
        <w:t>ցի</w:t>
      </w:r>
      <w:r w:rsidRPr="007955BB">
        <w:rPr>
          <w:rFonts w:cs="Sylfaen"/>
          <w:b w:val="0"/>
          <w:bCs/>
          <w:szCs w:val="22"/>
          <w:lang w:val="hy-AM" w:eastAsia="en-US"/>
        </w:rPr>
        <w:softHyphen/>
        <w:t>նե</w:t>
      </w:r>
      <w:r w:rsidRPr="007955BB">
        <w:rPr>
          <w:rFonts w:cs="Sylfaen"/>
          <w:b w:val="0"/>
          <w:bCs/>
          <w:szCs w:val="22"/>
          <w:lang w:val="hy-AM" w:eastAsia="en-US"/>
        </w:rPr>
        <w:softHyphen/>
        <w:t>րին մատուցվելու են որակյալ բժշկական օգնության և սպասարկման ծառայություններ, միա</w:t>
      </w:r>
      <w:r w:rsidRPr="007955BB">
        <w:rPr>
          <w:rFonts w:cs="Sylfaen"/>
          <w:b w:val="0"/>
          <w:bCs/>
          <w:szCs w:val="22"/>
          <w:lang w:val="hy-AM" w:eastAsia="en-US"/>
        </w:rPr>
        <w:softHyphen/>
        <w:t>ժա</w:t>
      </w:r>
      <w:r w:rsidRPr="007955BB">
        <w:rPr>
          <w:rFonts w:cs="Sylfaen"/>
          <w:b w:val="0"/>
          <w:bCs/>
          <w:szCs w:val="22"/>
          <w:lang w:val="hy-AM" w:eastAsia="en-US"/>
        </w:rPr>
        <w:softHyphen/>
        <w:t>մա</w:t>
      </w:r>
      <w:r w:rsidRPr="007955BB">
        <w:rPr>
          <w:rFonts w:cs="Sylfaen"/>
          <w:b w:val="0"/>
          <w:bCs/>
          <w:szCs w:val="22"/>
          <w:lang w:val="hy-AM" w:eastAsia="en-US"/>
        </w:rPr>
        <w:softHyphen/>
        <w:t>նակ վերջիններիս «փրկելով» հիվանդության բուժման հետ կապված կործանարար ծախ</w:t>
      </w:r>
      <w:r w:rsidRPr="007955BB">
        <w:rPr>
          <w:rFonts w:cs="Sylfaen"/>
          <w:b w:val="0"/>
          <w:bCs/>
          <w:szCs w:val="22"/>
          <w:lang w:val="hy-AM" w:eastAsia="en-US"/>
        </w:rPr>
        <w:softHyphen/>
        <w:t>սեր կատարելու վտանգներից: Նախատեսվում է նոր տեխնոլոգիաների կիրառմամբ իրականացնել մարդու օրգանների (երիկամ/լյարդ), և ոսկրածուծի/ցողունային բջիջների փոխպատվաստման ծառայություններ, որոնք կբարելավեն քրոնիկ երիկամային անբավարությամբ և արյան չարորակ հիվանդություններով տառապող անձանց կյանքի որակը և ապրելիության ցուցանիշը:</w:t>
      </w:r>
    </w:p>
    <w:p w:rsidR="00DB0DC0" w:rsidRPr="007955BB" w:rsidRDefault="00DB0DC0" w:rsidP="00DB0DC0">
      <w:pPr>
        <w:spacing w:before="0" w:line="276" w:lineRule="auto"/>
        <w:ind w:left="90" w:firstLine="540"/>
        <w:contextualSpacing w:val="0"/>
        <w:rPr>
          <w:rFonts w:cs="Sylfaen"/>
          <w:b w:val="0"/>
          <w:bCs/>
          <w:szCs w:val="22"/>
          <w:lang w:val="hy-AM" w:eastAsia="en-US"/>
        </w:rPr>
      </w:pPr>
      <w:r w:rsidRPr="007955BB">
        <w:rPr>
          <w:rFonts w:cs="Sylfaen"/>
          <w:b w:val="0"/>
          <w:bCs/>
          <w:szCs w:val="22"/>
          <w:lang w:val="hy-AM" w:eastAsia="en-US"/>
        </w:rPr>
        <w:t xml:space="preserve">Նախատեսվում է նաև կատարելագործել վարակիչ հիվանդությունների համաճարակաբանական դիտարկման համակարգը՝ մասնավորապես դասեր  </w:t>
      </w:r>
      <w:r w:rsidRPr="007955BB">
        <w:rPr>
          <w:rFonts w:cs="Sylfaen"/>
          <w:b w:val="0"/>
          <w:bCs/>
          <w:szCs w:val="22"/>
          <w:lang w:val="hy-AM" w:eastAsia="en-US"/>
        </w:rPr>
        <w:br w:type="textWrapping" w:clear="all"/>
        <w:t xml:space="preserve">քաղելով կորոնավիրուսային հիվանդության համավարակից, հնարավորինս  </w:t>
      </w:r>
      <w:r w:rsidRPr="007955BB">
        <w:rPr>
          <w:rFonts w:cs="Sylfaen"/>
          <w:b w:val="0"/>
          <w:bCs/>
          <w:szCs w:val="22"/>
          <w:lang w:val="hy-AM" w:eastAsia="en-US"/>
        </w:rPr>
        <w:br w:type="textWrapping" w:clear="all"/>
        <w:t xml:space="preserve">ապահովելով երկրի տարածք վարակիչ հիվանդությունների ներմուծման ու  </w:t>
      </w:r>
      <w:r w:rsidRPr="007955BB">
        <w:rPr>
          <w:rFonts w:cs="Sylfaen"/>
          <w:b w:val="0"/>
          <w:bCs/>
          <w:szCs w:val="22"/>
          <w:lang w:val="hy-AM" w:eastAsia="en-US"/>
        </w:rPr>
        <w:br w:type="textWrapping" w:clear="all"/>
        <w:t>տարածման կանխարգելումը, իմունականխարգելումը և ապահովելով իրական ժամանակում հիվանդությունների մասին տեղեկատվության հաղորդումը: Քաղաքականությունն ուղղված է լինելու hանրային առողջապահության ոլորտում արտակարգ իրավիճակներին, մասնավորապես միջազգային նշանակության արտակարգ իրավիճակ ներկայացնող երևույթներին պատրաստվածության և արագ արձագանքման, միջգերատեսչական և միջոլորտային համագործակցության ապահովմանը:</w:t>
      </w:r>
    </w:p>
    <w:p w:rsidR="00DB0DC0" w:rsidRPr="007955BB" w:rsidRDefault="00DB0DC0" w:rsidP="00DB0DC0">
      <w:pPr>
        <w:spacing w:before="0" w:line="276" w:lineRule="auto"/>
        <w:ind w:left="90" w:firstLine="540"/>
        <w:contextualSpacing w:val="0"/>
        <w:rPr>
          <w:rFonts w:cs="Sylfaen"/>
          <w:b w:val="0"/>
          <w:bCs/>
          <w:szCs w:val="22"/>
          <w:lang w:val="hy-AM" w:eastAsia="en-US"/>
        </w:rPr>
      </w:pPr>
      <w:r w:rsidRPr="007955BB">
        <w:rPr>
          <w:rFonts w:cs="Sylfaen"/>
          <w:b w:val="0"/>
          <w:bCs/>
          <w:szCs w:val="22"/>
          <w:lang w:val="hy-AM" w:eastAsia="en-US"/>
        </w:rPr>
        <w:t>Առողջապահական կադրային ներուժի ապահովման ոլորտում իրականացվելու են աշխատանքներ բուժաշխատողների մասնագիտական գիտելիքների և հմտությունների շարունա</w:t>
      </w:r>
      <w:r w:rsidRPr="007955BB">
        <w:rPr>
          <w:rFonts w:cs="Sylfaen"/>
          <w:b w:val="0"/>
          <w:bCs/>
          <w:szCs w:val="22"/>
          <w:lang w:val="hy-AM" w:eastAsia="en-US"/>
        </w:rPr>
        <w:softHyphen/>
        <w:t>կական բարելավման ուղղությամբ: Ներդրվելու են մեխանիզմներ առողջապահական կադրային ներուժի տարածքային օպտիմալ բաշխման, մարզային առողջապահական կազմակերպությունները որակյալ կադրերով ապահովելու և բժշկի աշխատանքը մարզում հնարավորինս խրախուսելու համար:</w:t>
      </w:r>
    </w:p>
    <w:p w:rsidR="005F226A" w:rsidRPr="007955BB" w:rsidRDefault="005F226A" w:rsidP="00DB0DC0">
      <w:pPr>
        <w:spacing w:before="0" w:line="276" w:lineRule="auto"/>
        <w:ind w:left="90" w:firstLine="540"/>
        <w:contextualSpacing w:val="0"/>
        <w:rPr>
          <w:rFonts w:cs="Sylfaen"/>
          <w:b w:val="0"/>
          <w:bCs/>
          <w:szCs w:val="22"/>
          <w:lang w:val="hy-AM" w:eastAsia="en-US"/>
        </w:rPr>
      </w:pPr>
    </w:p>
    <w:p w:rsidR="005F226A" w:rsidRPr="007955BB" w:rsidRDefault="005F226A" w:rsidP="005E765C">
      <w:pPr>
        <w:keepNext/>
        <w:tabs>
          <w:tab w:val="left" w:pos="567"/>
        </w:tabs>
        <w:spacing w:before="0" w:line="276" w:lineRule="auto"/>
        <w:ind w:firstLine="720"/>
        <w:contextualSpacing w:val="0"/>
        <w:outlineLvl w:val="2"/>
        <w:rPr>
          <w:rFonts w:cs="Arial"/>
          <w:szCs w:val="22"/>
          <w:lang w:val="hy-AM" w:eastAsia="en-US"/>
        </w:rPr>
      </w:pPr>
      <w:bookmarkStart w:id="74" w:name="_Toc83567452"/>
      <w:bookmarkStart w:id="75" w:name="_Toc120805181"/>
      <w:r w:rsidRPr="007955BB">
        <w:rPr>
          <w:rFonts w:cs="Arial"/>
          <w:szCs w:val="22"/>
          <w:lang w:val="hy-AM" w:eastAsia="en-US"/>
        </w:rPr>
        <w:t>Աշխատանքի և սոցիալական պաշտպանություն</w:t>
      </w:r>
      <w:bookmarkEnd w:id="74"/>
      <w:bookmarkEnd w:id="75"/>
    </w:p>
    <w:p w:rsidR="00F1267C" w:rsidRPr="00C43BF7" w:rsidRDefault="00F1267C" w:rsidP="00F1267C">
      <w:pPr>
        <w:tabs>
          <w:tab w:val="right" w:pos="9540"/>
        </w:tabs>
        <w:spacing w:before="0" w:line="276" w:lineRule="auto"/>
        <w:ind w:firstLine="562"/>
        <w:contextualSpacing w:val="0"/>
        <w:rPr>
          <w:b w:val="0"/>
          <w:bCs/>
          <w:szCs w:val="22"/>
          <w:lang w:val="hy-AM" w:eastAsia="en-US"/>
        </w:rPr>
      </w:pPr>
      <w:bookmarkStart w:id="76" w:name="_Toc26174904"/>
      <w:bookmarkEnd w:id="73"/>
      <w:r w:rsidRPr="00C43BF7">
        <w:rPr>
          <w:rFonts w:cs="Sylfaen"/>
          <w:b w:val="0"/>
          <w:bCs/>
          <w:szCs w:val="22"/>
          <w:lang w:val="hy-AM" w:eastAsia="en-US"/>
        </w:rPr>
        <w:t>Աշխատանքի</w:t>
      </w:r>
      <w:r w:rsidRPr="00C43BF7">
        <w:rPr>
          <w:b w:val="0"/>
          <w:bCs/>
          <w:szCs w:val="22"/>
          <w:lang w:val="hy-AM" w:eastAsia="en-US"/>
        </w:rPr>
        <w:t xml:space="preserve"> </w:t>
      </w:r>
      <w:r w:rsidRPr="00C43BF7">
        <w:rPr>
          <w:rFonts w:cs="Sylfaen"/>
          <w:b w:val="0"/>
          <w:bCs/>
          <w:szCs w:val="22"/>
          <w:lang w:val="hy-AM" w:eastAsia="en-US"/>
        </w:rPr>
        <w:t>և</w:t>
      </w:r>
      <w:r w:rsidRPr="00C43BF7">
        <w:rPr>
          <w:b w:val="0"/>
          <w:bCs/>
          <w:szCs w:val="22"/>
          <w:lang w:val="hy-AM" w:eastAsia="en-US"/>
        </w:rPr>
        <w:t xml:space="preserve"> </w:t>
      </w:r>
      <w:r w:rsidRPr="00C43BF7">
        <w:rPr>
          <w:rFonts w:cs="Sylfaen"/>
          <w:b w:val="0"/>
          <w:bCs/>
          <w:szCs w:val="22"/>
          <w:lang w:val="hy-AM" w:eastAsia="en-US"/>
        </w:rPr>
        <w:t>ս</w:t>
      </w:r>
      <w:r w:rsidRPr="007955BB">
        <w:rPr>
          <w:rFonts w:cs="Sylfaen"/>
          <w:b w:val="0"/>
          <w:bCs/>
          <w:szCs w:val="22"/>
          <w:lang w:val="hy-AM" w:eastAsia="en-US"/>
        </w:rPr>
        <w:t>ո</w:t>
      </w:r>
      <w:r w:rsidRPr="00C43BF7">
        <w:rPr>
          <w:rFonts w:cs="Sylfaen"/>
          <w:b w:val="0"/>
          <w:bCs/>
          <w:szCs w:val="22"/>
          <w:lang w:val="hy-AM" w:eastAsia="en-US"/>
        </w:rPr>
        <w:t>ցիալական</w:t>
      </w:r>
      <w:r w:rsidRPr="00C43BF7">
        <w:rPr>
          <w:b w:val="0"/>
          <w:bCs/>
          <w:szCs w:val="22"/>
          <w:lang w:val="hy-AM" w:eastAsia="en-US"/>
        </w:rPr>
        <w:t xml:space="preserve"> </w:t>
      </w:r>
      <w:r w:rsidRPr="00C43BF7">
        <w:rPr>
          <w:rFonts w:cs="Sylfaen"/>
          <w:b w:val="0"/>
          <w:bCs/>
          <w:szCs w:val="22"/>
          <w:lang w:val="hy-AM" w:eastAsia="en-US"/>
        </w:rPr>
        <w:t>պաշտպանությ</w:t>
      </w:r>
      <w:r w:rsidRPr="007955BB">
        <w:rPr>
          <w:rFonts w:cs="Sylfaen"/>
          <w:b w:val="0"/>
          <w:bCs/>
          <w:szCs w:val="22"/>
          <w:lang w:val="hy-AM" w:eastAsia="en-US"/>
        </w:rPr>
        <w:t>ան</w:t>
      </w:r>
      <w:r w:rsidRPr="00C43BF7">
        <w:rPr>
          <w:rFonts w:cs="Sylfaen"/>
          <w:bCs/>
          <w:szCs w:val="22"/>
          <w:lang w:val="hy-AM" w:eastAsia="en-US"/>
        </w:rPr>
        <w:t xml:space="preserve"> </w:t>
      </w:r>
      <w:r w:rsidRPr="00C43BF7">
        <w:rPr>
          <w:b w:val="0"/>
          <w:bCs/>
          <w:szCs w:val="22"/>
          <w:lang w:val="hy-AM" w:eastAsia="en-US"/>
        </w:rPr>
        <w:t xml:space="preserve">ոլորտի հիմնական խնդիրներն ուղղակիորեն առնչվում և համընկում են ՀՀ կառավարության ծրագրի նպատակներին: </w:t>
      </w:r>
    </w:p>
    <w:p w:rsidR="00F1267C" w:rsidRPr="00C43BF7" w:rsidRDefault="00F1267C" w:rsidP="00F1267C">
      <w:pPr>
        <w:spacing w:before="0" w:line="276" w:lineRule="auto"/>
        <w:ind w:firstLine="562"/>
        <w:contextualSpacing w:val="0"/>
        <w:rPr>
          <w:rFonts w:cs="Sylfaen"/>
          <w:b w:val="0"/>
          <w:bCs/>
          <w:szCs w:val="22"/>
          <w:lang w:val="hy-AM" w:eastAsia="en-US"/>
        </w:rPr>
      </w:pPr>
      <w:r w:rsidRPr="00C43BF7">
        <w:rPr>
          <w:rFonts w:cs="Sylfaen"/>
          <w:b w:val="0"/>
          <w:bCs/>
          <w:szCs w:val="22"/>
          <w:lang w:val="hy-AM" w:eastAsia="en-US"/>
        </w:rPr>
        <w:t>Սոցիալական</w:t>
      </w:r>
      <w:r w:rsidRPr="00C43BF7">
        <w:rPr>
          <w:b w:val="0"/>
          <w:bCs/>
          <w:szCs w:val="22"/>
          <w:lang w:val="hy-AM" w:eastAsia="en-US"/>
        </w:rPr>
        <w:t xml:space="preserve"> </w:t>
      </w:r>
      <w:r w:rsidRPr="00C43BF7">
        <w:rPr>
          <w:rFonts w:cs="Sylfaen"/>
          <w:b w:val="0"/>
          <w:bCs/>
          <w:szCs w:val="22"/>
          <w:lang w:val="hy-AM" w:eastAsia="en-US"/>
        </w:rPr>
        <w:t>պաշտպանությունը</w:t>
      </w:r>
      <w:r w:rsidRPr="00C43BF7">
        <w:rPr>
          <w:b w:val="0"/>
          <w:bCs/>
          <w:szCs w:val="22"/>
          <w:lang w:val="hy-AM" w:eastAsia="en-US"/>
        </w:rPr>
        <w:t xml:space="preserve"> </w:t>
      </w:r>
      <w:r w:rsidRPr="00C43BF7">
        <w:rPr>
          <w:rFonts w:cs="Sylfaen"/>
          <w:b w:val="0"/>
          <w:bCs/>
          <w:szCs w:val="22"/>
          <w:lang w:val="hy-AM" w:eastAsia="en-US"/>
        </w:rPr>
        <w:t>շարունակում</w:t>
      </w:r>
      <w:r w:rsidRPr="00C43BF7">
        <w:rPr>
          <w:b w:val="0"/>
          <w:bCs/>
          <w:szCs w:val="22"/>
          <w:lang w:val="hy-AM" w:eastAsia="en-US"/>
        </w:rPr>
        <w:t xml:space="preserve"> </w:t>
      </w:r>
      <w:r w:rsidRPr="00C43BF7">
        <w:rPr>
          <w:rFonts w:cs="Sylfaen"/>
          <w:b w:val="0"/>
          <w:bCs/>
          <w:szCs w:val="22"/>
          <w:lang w:val="hy-AM" w:eastAsia="en-US"/>
        </w:rPr>
        <w:t>է</w:t>
      </w:r>
      <w:r w:rsidRPr="00C43BF7">
        <w:rPr>
          <w:b w:val="0"/>
          <w:bCs/>
          <w:szCs w:val="22"/>
          <w:lang w:val="hy-AM" w:eastAsia="en-US"/>
        </w:rPr>
        <w:t xml:space="preserve"> </w:t>
      </w:r>
      <w:r w:rsidRPr="00C43BF7">
        <w:rPr>
          <w:rFonts w:cs="Sylfaen"/>
          <w:b w:val="0"/>
          <w:bCs/>
          <w:szCs w:val="22"/>
          <w:lang w:val="hy-AM" w:eastAsia="en-US"/>
        </w:rPr>
        <w:t>հանդես</w:t>
      </w:r>
      <w:r w:rsidRPr="00C43BF7">
        <w:rPr>
          <w:b w:val="0"/>
          <w:bCs/>
          <w:szCs w:val="22"/>
          <w:lang w:val="hy-AM" w:eastAsia="en-US"/>
        </w:rPr>
        <w:t xml:space="preserve"> </w:t>
      </w:r>
      <w:r w:rsidRPr="00C43BF7">
        <w:rPr>
          <w:rFonts w:cs="Sylfaen"/>
          <w:b w:val="0"/>
          <w:bCs/>
          <w:szCs w:val="22"/>
          <w:lang w:val="hy-AM" w:eastAsia="en-US"/>
        </w:rPr>
        <w:t>գալ</w:t>
      </w:r>
      <w:r w:rsidRPr="00C43BF7">
        <w:rPr>
          <w:b w:val="0"/>
          <w:bCs/>
          <w:szCs w:val="22"/>
          <w:lang w:val="hy-AM" w:eastAsia="en-US"/>
        </w:rPr>
        <w:t xml:space="preserve"> </w:t>
      </w:r>
      <w:r w:rsidRPr="00C43BF7">
        <w:rPr>
          <w:rFonts w:cs="Sylfaen"/>
          <w:b w:val="0"/>
          <w:bCs/>
          <w:szCs w:val="22"/>
          <w:lang w:val="hy-AM" w:eastAsia="en-US"/>
        </w:rPr>
        <w:t>որպես</w:t>
      </w:r>
      <w:r w:rsidRPr="00C43BF7">
        <w:rPr>
          <w:b w:val="0"/>
          <w:bCs/>
          <w:szCs w:val="22"/>
          <w:lang w:val="hy-AM" w:eastAsia="en-US"/>
        </w:rPr>
        <w:t xml:space="preserve"> </w:t>
      </w:r>
      <w:r w:rsidRPr="00C43BF7">
        <w:rPr>
          <w:rFonts w:cs="Sylfaen"/>
          <w:b w:val="0"/>
          <w:bCs/>
          <w:szCs w:val="22"/>
          <w:lang w:val="hy-AM" w:eastAsia="en-US"/>
        </w:rPr>
        <w:t>ՀՀ</w:t>
      </w:r>
      <w:r w:rsidRPr="00C43BF7">
        <w:rPr>
          <w:b w:val="0"/>
          <w:bCs/>
          <w:szCs w:val="22"/>
          <w:lang w:val="hy-AM" w:eastAsia="en-US"/>
        </w:rPr>
        <w:t xml:space="preserve"> </w:t>
      </w:r>
      <w:r w:rsidRPr="00C43BF7">
        <w:rPr>
          <w:rFonts w:cs="Sylfaen"/>
          <w:b w:val="0"/>
          <w:bCs/>
          <w:szCs w:val="22"/>
          <w:lang w:val="hy-AM" w:eastAsia="en-US"/>
        </w:rPr>
        <w:t>պետական</w:t>
      </w:r>
      <w:r w:rsidRPr="00C43BF7">
        <w:rPr>
          <w:b w:val="0"/>
          <w:bCs/>
          <w:szCs w:val="22"/>
          <w:lang w:val="hy-AM" w:eastAsia="en-US"/>
        </w:rPr>
        <w:t xml:space="preserve"> </w:t>
      </w:r>
      <w:r w:rsidRPr="00C43BF7">
        <w:rPr>
          <w:rFonts w:cs="Sylfaen"/>
          <w:b w:val="0"/>
          <w:bCs/>
          <w:szCs w:val="22"/>
          <w:lang w:val="hy-AM" w:eastAsia="en-US"/>
        </w:rPr>
        <w:t>քաղաքականության</w:t>
      </w:r>
      <w:r w:rsidRPr="00C43BF7">
        <w:rPr>
          <w:b w:val="0"/>
          <w:bCs/>
          <w:szCs w:val="22"/>
          <w:lang w:val="hy-AM" w:eastAsia="en-US"/>
        </w:rPr>
        <w:t xml:space="preserve"> </w:t>
      </w:r>
      <w:r w:rsidRPr="00C43BF7">
        <w:rPr>
          <w:rFonts w:cs="Sylfaen"/>
          <w:b w:val="0"/>
          <w:bCs/>
          <w:szCs w:val="22"/>
          <w:lang w:val="hy-AM" w:eastAsia="en-US"/>
        </w:rPr>
        <w:t>գերակա</w:t>
      </w:r>
      <w:r w:rsidRPr="00C43BF7">
        <w:rPr>
          <w:b w:val="0"/>
          <w:bCs/>
          <w:szCs w:val="22"/>
          <w:lang w:val="hy-AM" w:eastAsia="en-US"/>
        </w:rPr>
        <w:t xml:space="preserve"> </w:t>
      </w:r>
      <w:r w:rsidRPr="00C43BF7">
        <w:rPr>
          <w:rFonts w:cs="Sylfaen"/>
          <w:b w:val="0"/>
          <w:bCs/>
          <w:szCs w:val="22"/>
          <w:lang w:val="hy-AM" w:eastAsia="en-US"/>
        </w:rPr>
        <w:t>ուղղություններից</w:t>
      </w:r>
      <w:r w:rsidRPr="00C43BF7">
        <w:rPr>
          <w:b w:val="0"/>
          <w:bCs/>
          <w:szCs w:val="22"/>
          <w:lang w:val="hy-AM" w:eastAsia="en-US"/>
        </w:rPr>
        <w:t xml:space="preserve"> </w:t>
      </w:r>
      <w:r w:rsidRPr="00C43BF7">
        <w:rPr>
          <w:rFonts w:cs="Sylfaen"/>
          <w:b w:val="0"/>
          <w:bCs/>
          <w:szCs w:val="22"/>
          <w:lang w:val="hy-AM" w:eastAsia="en-US"/>
        </w:rPr>
        <w:t>մեկը</w:t>
      </w:r>
      <w:r w:rsidRPr="00C43BF7">
        <w:rPr>
          <w:b w:val="0"/>
          <w:bCs/>
          <w:szCs w:val="22"/>
          <w:lang w:val="hy-AM" w:eastAsia="en-US"/>
        </w:rPr>
        <w:t xml:space="preserve">: </w:t>
      </w:r>
      <w:r w:rsidRPr="00C43BF7">
        <w:rPr>
          <w:rFonts w:cs="Sylfaen"/>
          <w:b w:val="0"/>
          <w:bCs/>
          <w:szCs w:val="22"/>
          <w:lang w:val="hy-AM" w:eastAsia="en-US"/>
        </w:rPr>
        <w:t>Սոցիալական</w:t>
      </w:r>
      <w:r w:rsidRPr="00C43BF7">
        <w:rPr>
          <w:b w:val="0"/>
          <w:bCs/>
          <w:szCs w:val="22"/>
          <w:lang w:val="hy-AM" w:eastAsia="en-US"/>
        </w:rPr>
        <w:t xml:space="preserve"> </w:t>
      </w:r>
      <w:r w:rsidRPr="00C43BF7">
        <w:rPr>
          <w:rFonts w:cs="Sylfaen"/>
          <w:b w:val="0"/>
          <w:bCs/>
          <w:szCs w:val="22"/>
          <w:lang w:val="hy-AM" w:eastAsia="en-US"/>
        </w:rPr>
        <w:t>պաշտպանության</w:t>
      </w:r>
      <w:r w:rsidRPr="00C43BF7">
        <w:rPr>
          <w:b w:val="0"/>
          <w:bCs/>
          <w:szCs w:val="22"/>
          <w:lang w:val="hy-AM" w:eastAsia="en-US"/>
        </w:rPr>
        <w:t xml:space="preserve"> </w:t>
      </w:r>
      <w:r w:rsidRPr="00C43BF7">
        <w:rPr>
          <w:rFonts w:cs="Sylfaen"/>
          <w:b w:val="0"/>
          <w:bCs/>
          <w:szCs w:val="22"/>
          <w:lang w:val="hy-AM" w:eastAsia="en-US"/>
        </w:rPr>
        <w:t>ոլորտում</w:t>
      </w:r>
      <w:r w:rsidRPr="00C43BF7">
        <w:rPr>
          <w:b w:val="0"/>
          <w:bCs/>
          <w:szCs w:val="22"/>
          <w:lang w:val="hy-AM" w:eastAsia="en-US"/>
        </w:rPr>
        <w:t xml:space="preserve"> </w:t>
      </w:r>
      <w:r w:rsidRPr="00C43BF7">
        <w:rPr>
          <w:rFonts w:cs="Sylfaen"/>
          <w:b w:val="0"/>
          <w:bCs/>
          <w:szCs w:val="22"/>
          <w:lang w:val="hy-AM" w:eastAsia="en-US"/>
        </w:rPr>
        <w:t>պետական</w:t>
      </w:r>
      <w:r w:rsidRPr="00C43BF7">
        <w:rPr>
          <w:b w:val="0"/>
          <w:bCs/>
          <w:szCs w:val="22"/>
          <w:lang w:val="hy-AM" w:eastAsia="en-US"/>
        </w:rPr>
        <w:t xml:space="preserve"> </w:t>
      </w:r>
      <w:r w:rsidRPr="00C43BF7">
        <w:rPr>
          <w:rFonts w:cs="Sylfaen"/>
          <w:b w:val="0"/>
          <w:bCs/>
          <w:szCs w:val="22"/>
          <w:lang w:val="hy-AM" w:eastAsia="en-US"/>
        </w:rPr>
        <w:t>քաղաքականության</w:t>
      </w:r>
      <w:r w:rsidRPr="00C43BF7">
        <w:rPr>
          <w:b w:val="0"/>
          <w:bCs/>
          <w:szCs w:val="22"/>
          <w:lang w:val="hy-AM" w:eastAsia="en-US"/>
        </w:rPr>
        <w:t xml:space="preserve"> </w:t>
      </w:r>
      <w:r w:rsidRPr="00C43BF7">
        <w:rPr>
          <w:rFonts w:cs="Sylfaen"/>
          <w:b w:val="0"/>
          <w:bCs/>
          <w:szCs w:val="22"/>
          <w:lang w:val="hy-AM" w:eastAsia="en-US"/>
        </w:rPr>
        <w:t>հիմնական</w:t>
      </w:r>
      <w:r w:rsidRPr="00C43BF7">
        <w:rPr>
          <w:b w:val="0"/>
          <w:bCs/>
          <w:szCs w:val="22"/>
          <w:lang w:val="hy-AM" w:eastAsia="en-US"/>
        </w:rPr>
        <w:t xml:space="preserve"> </w:t>
      </w:r>
      <w:r w:rsidRPr="00C43BF7">
        <w:rPr>
          <w:rFonts w:cs="Sylfaen"/>
          <w:b w:val="0"/>
          <w:bCs/>
          <w:szCs w:val="22"/>
          <w:lang w:val="hy-AM" w:eastAsia="en-US"/>
        </w:rPr>
        <w:t>նպատակն</w:t>
      </w:r>
      <w:r w:rsidRPr="007955BB">
        <w:rPr>
          <w:rFonts w:cs="Sylfaen"/>
          <w:b w:val="0"/>
          <w:bCs/>
          <w:szCs w:val="22"/>
          <w:lang w:val="hy-AM" w:eastAsia="en-US"/>
        </w:rPr>
        <w:t>երն</w:t>
      </w:r>
      <w:r w:rsidRPr="00C43BF7">
        <w:rPr>
          <w:b w:val="0"/>
          <w:bCs/>
          <w:szCs w:val="22"/>
          <w:lang w:val="hy-AM" w:eastAsia="en-US"/>
        </w:rPr>
        <w:t xml:space="preserve"> </w:t>
      </w:r>
      <w:r w:rsidRPr="00C43BF7">
        <w:rPr>
          <w:rFonts w:cs="Sylfaen"/>
          <w:b w:val="0"/>
          <w:bCs/>
          <w:szCs w:val="22"/>
          <w:lang w:val="hy-AM" w:eastAsia="en-US"/>
        </w:rPr>
        <w:t>են</w:t>
      </w:r>
      <w:r w:rsidRPr="00C43BF7">
        <w:rPr>
          <w:b w:val="0"/>
          <w:bCs/>
          <w:szCs w:val="22"/>
          <w:lang w:val="hy-AM" w:eastAsia="en-US"/>
        </w:rPr>
        <w:t xml:space="preserve"> </w:t>
      </w:r>
      <w:r w:rsidRPr="00C43BF7">
        <w:rPr>
          <w:rFonts w:cs="Sylfaen"/>
          <w:b w:val="0"/>
          <w:bCs/>
          <w:szCs w:val="22"/>
          <w:lang w:val="hy-AM" w:eastAsia="en-US"/>
        </w:rPr>
        <w:t>երկրում</w:t>
      </w:r>
      <w:r w:rsidRPr="00C43BF7">
        <w:rPr>
          <w:b w:val="0"/>
          <w:bCs/>
          <w:szCs w:val="22"/>
          <w:lang w:val="hy-AM" w:eastAsia="en-US"/>
        </w:rPr>
        <w:t xml:space="preserve"> </w:t>
      </w:r>
      <w:r w:rsidRPr="00C43BF7">
        <w:rPr>
          <w:rFonts w:cs="Sylfaen"/>
          <w:b w:val="0"/>
          <w:bCs/>
          <w:szCs w:val="22"/>
          <w:lang w:val="hy-AM" w:eastAsia="en-US"/>
        </w:rPr>
        <w:t>աղքատության</w:t>
      </w:r>
      <w:r w:rsidRPr="00C43BF7">
        <w:rPr>
          <w:b w:val="0"/>
          <w:bCs/>
          <w:szCs w:val="22"/>
          <w:lang w:val="hy-AM" w:eastAsia="en-US"/>
        </w:rPr>
        <w:t xml:space="preserve"> </w:t>
      </w:r>
      <w:r w:rsidRPr="00C43BF7">
        <w:rPr>
          <w:rFonts w:cs="Sylfaen"/>
          <w:b w:val="0"/>
          <w:bCs/>
          <w:szCs w:val="22"/>
          <w:lang w:val="hy-AM" w:eastAsia="en-US"/>
        </w:rPr>
        <w:t>մակարդակի</w:t>
      </w:r>
      <w:r w:rsidRPr="00C43BF7">
        <w:rPr>
          <w:b w:val="0"/>
          <w:bCs/>
          <w:szCs w:val="22"/>
          <w:lang w:val="hy-AM" w:eastAsia="en-US"/>
        </w:rPr>
        <w:t xml:space="preserve"> </w:t>
      </w:r>
      <w:r w:rsidRPr="00C43BF7">
        <w:rPr>
          <w:rFonts w:cs="Sylfaen"/>
          <w:b w:val="0"/>
          <w:bCs/>
          <w:szCs w:val="22"/>
          <w:lang w:val="hy-AM" w:eastAsia="en-US"/>
        </w:rPr>
        <w:t>էական</w:t>
      </w:r>
      <w:r w:rsidRPr="00C43BF7">
        <w:rPr>
          <w:b w:val="0"/>
          <w:bCs/>
          <w:szCs w:val="22"/>
          <w:lang w:val="hy-AM" w:eastAsia="en-US"/>
        </w:rPr>
        <w:t xml:space="preserve"> </w:t>
      </w:r>
      <w:r w:rsidRPr="00C43BF7">
        <w:rPr>
          <w:rFonts w:cs="Sylfaen"/>
          <w:b w:val="0"/>
          <w:bCs/>
          <w:szCs w:val="22"/>
          <w:lang w:val="hy-AM" w:eastAsia="en-US"/>
        </w:rPr>
        <w:t>կրճատումը</w:t>
      </w:r>
      <w:r w:rsidRPr="00C43BF7">
        <w:rPr>
          <w:b w:val="0"/>
          <w:bCs/>
          <w:szCs w:val="22"/>
          <w:lang w:val="hy-AM" w:eastAsia="en-US"/>
        </w:rPr>
        <w:t xml:space="preserve">, </w:t>
      </w:r>
      <w:r w:rsidRPr="00C43BF7">
        <w:rPr>
          <w:rFonts w:cs="Sylfaen"/>
          <w:b w:val="0"/>
          <w:bCs/>
          <w:szCs w:val="22"/>
          <w:lang w:val="hy-AM" w:eastAsia="en-US"/>
        </w:rPr>
        <w:t>ժողովրդագրական</w:t>
      </w:r>
      <w:r w:rsidRPr="00C43BF7">
        <w:rPr>
          <w:b w:val="0"/>
          <w:bCs/>
          <w:szCs w:val="22"/>
          <w:lang w:val="hy-AM" w:eastAsia="en-US"/>
        </w:rPr>
        <w:t xml:space="preserve"> </w:t>
      </w:r>
      <w:r w:rsidRPr="00C43BF7">
        <w:rPr>
          <w:rFonts w:cs="Sylfaen"/>
          <w:b w:val="0"/>
          <w:bCs/>
          <w:szCs w:val="22"/>
          <w:lang w:val="hy-AM" w:eastAsia="en-US"/>
        </w:rPr>
        <w:t>իրավիճակի</w:t>
      </w:r>
      <w:r w:rsidRPr="00C43BF7">
        <w:rPr>
          <w:b w:val="0"/>
          <w:bCs/>
          <w:szCs w:val="22"/>
          <w:lang w:val="hy-AM" w:eastAsia="en-US"/>
        </w:rPr>
        <w:t xml:space="preserve"> </w:t>
      </w:r>
      <w:r w:rsidRPr="00C43BF7">
        <w:rPr>
          <w:rFonts w:cs="Sylfaen"/>
          <w:b w:val="0"/>
          <w:bCs/>
          <w:szCs w:val="22"/>
          <w:lang w:val="hy-AM" w:eastAsia="en-US"/>
        </w:rPr>
        <w:t>բարելավումը</w:t>
      </w:r>
      <w:r w:rsidRPr="00C43BF7">
        <w:rPr>
          <w:b w:val="0"/>
          <w:bCs/>
          <w:szCs w:val="22"/>
          <w:lang w:val="hy-AM" w:eastAsia="en-US"/>
        </w:rPr>
        <w:t xml:space="preserve"> </w:t>
      </w:r>
      <w:r w:rsidRPr="00C43BF7">
        <w:rPr>
          <w:rFonts w:cs="Sylfaen"/>
          <w:b w:val="0"/>
          <w:bCs/>
          <w:szCs w:val="22"/>
          <w:lang w:val="hy-AM" w:eastAsia="en-US"/>
        </w:rPr>
        <w:t>և</w:t>
      </w:r>
      <w:r w:rsidRPr="00C43BF7">
        <w:rPr>
          <w:b w:val="0"/>
          <w:bCs/>
          <w:szCs w:val="22"/>
          <w:lang w:val="hy-AM" w:eastAsia="en-US"/>
        </w:rPr>
        <w:t xml:space="preserve"> </w:t>
      </w:r>
      <w:r w:rsidRPr="00C43BF7">
        <w:rPr>
          <w:rFonts w:cs="Sylfaen"/>
          <w:b w:val="0"/>
          <w:bCs/>
          <w:szCs w:val="22"/>
          <w:lang w:val="hy-AM" w:eastAsia="en-US"/>
        </w:rPr>
        <w:t>ՀՀ</w:t>
      </w:r>
      <w:r w:rsidRPr="00C43BF7">
        <w:rPr>
          <w:b w:val="0"/>
          <w:bCs/>
          <w:szCs w:val="22"/>
          <w:lang w:val="hy-AM" w:eastAsia="en-US"/>
        </w:rPr>
        <w:t xml:space="preserve"> </w:t>
      </w:r>
      <w:r w:rsidRPr="00C43BF7">
        <w:rPr>
          <w:rFonts w:cs="Sylfaen"/>
          <w:b w:val="0"/>
          <w:bCs/>
          <w:szCs w:val="22"/>
          <w:lang w:val="hy-AM" w:eastAsia="en-US"/>
        </w:rPr>
        <w:t>բնակչության</w:t>
      </w:r>
      <w:r w:rsidRPr="00C43BF7">
        <w:rPr>
          <w:b w:val="0"/>
          <w:bCs/>
          <w:szCs w:val="22"/>
          <w:lang w:val="hy-AM" w:eastAsia="en-US"/>
        </w:rPr>
        <w:t xml:space="preserve"> </w:t>
      </w:r>
      <w:r w:rsidRPr="00C43BF7">
        <w:rPr>
          <w:rFonts w:cs="Sylfaen"/>
          <w:b w:val="0"/>
          <w:bCs/>
          <w:szCs w:val="22"/>
          <w:lang w:val="hy-AM" w:eastAsia="en-US"/>
        </w:rPr>
        <w:t>առանձին</w:t>
      </w:r>
      <w:r w:rsidRPr="00C43BF7">
        <w:rPr>
          <w:b w:val="0"/>
          <w:bCs/>
          <w:szCs w:val="22"/>
          <w:lang w:val="hy-AM" w:eastAsia="en-US"/>
        </w:rPr>
        <w:t xml:space="preserve"> </w:t>
      </w:r>
      <w:r w:rsidRPr="00C43BF7">
        <w:rPr>
          <w:rFonts w:cs="Sylfaen"/>
          <w:b w:val="0"/>
          <w:bCs/>
          <w:szCs w:val="22"/>
          <w:lang w:val="hy-AM" w:eastAsia="en-US"/>
        </w:rPr>
        <w:t>խմբերի</w:t>
      </w:r>
      <w:r w:rsidRPr="00C43BF7">
        <w:rPr>
          <w:b w:val="0"/>
          <w:bCs/>
          <w:szCs w:val="22"/>
          <w:lang w:val="hy-AM" w:eastAsia="en-US"/>
        </w:rPr>
        <w:t xml:space="preserve"> </w:t>
      </w:r>
      <w:r w:rsidRPr="00C43BF7">
        <w:rPr>
          <w:rFonts w:cs="Sylfaen"/>
          <w:b w:val="0"/>
          <w:bCs/>
          <w:szCs w:val="22"/>
          <w:lang w:val="hy-AM" w:eastAsia="en-US"/>
        </w:rPr>
        <w:t>համար</w:t>
      </w:r>
      <w:r w:rsidRPr="00C43BF7">
        <w:rPr>
          <w:b w:val="0"/>
          <w:bCs/>
          <w:szCs w:val="22"/>
          <w:lang w:val="hy-AM" w:eastAsia="en-US"/>
        </w:rPr>
        <w:t xml:space="preserve"> </w:t>
      </w:r>
      <w:r w:rsidRPr="00C43BF7">
        <w:rPr>
          <w:rFonts w:cs="Sylfaen"/>
          <w:b w:val="0"/>
          <w:bCs/>
          <w:szCs w:val="22"/>
          <w:lang w:val="hy-AM" w:eastAsia="en-US"/>
        </w:rPr>
        <w:t>սոցիալական</w:t>
      </w:r>
      <w:r w:rsidRPr="00C43BF7">
        <w:rPr>
          <w:b w:val="0"/>
          <w:bCs/>
          <w:szCs w:val="22"/>
          <w:lang w:val="hy-AM" w:eastAsia="en-US"/>
        </w:rPr>
        <w:t xml:space="preserve"> </w:t>
      </w:r>
      <w:r w:rsidRPr="00C43BF7">
        <w:rPr>
          <w:rFonts w:cs="Sylfaen"/>
          <w:b w:val="0"/>
          <w:bCs/>
          <w:szCs w:val="22"/>
          <w:lang w:val="hy-AM" w:eastAsia="en-US"/>
        </w:rPr>
        <w:t>երաշխիքների</w:t>
      </w:r>
      <w:r w:rsidRPr="00C43BF7">
        <w:rPr>
          <w:b w:val="0"/>
          <w:bCs/>
          <w:szCs w:val="22"/>
          <w:lang w:val="hy-AM" w:eastAsia="en-US"/>
        </w:rPr>
        <w:t xml:space="preserve"> </w:t>
      </w:r>
      <w:r w:rsidRPr="00C43BF7">
        <w:rPr>
          <w:rFonts w:cs="Sylfaen"/>
          <w:b w:val="0"/>
          <w:bCs/>
          <w:szCs w:val="22"/>
          <w:lang w:val="hy-AM" w:eastAsia="en-US"/>
        </w:rPr>
        <w:t>ապահովումը</w:t>
      </w:r>
      <w:r w:rsidRPr="00C43BF7">
        <w:rPr>
          <w:b w:val="0"/>
          <w:bCs/>
          <w:szCs w:val="22"/>
          <w:lang w:val="hy-AM" w:eastAsia="en-US"/>
        </w:rPr>
        <w:t xml:space="preserve">: </w:t>
      </w:r>
      <w:r w:rsidRPr="00C43BF7">
        <w:rPr>
          <w:rFonts w:cs="Sylfaen"/>
          <w:b w:val="0"/>
          <w:bCs/>
          <w:szCs w:val="22"/>
          <w:lang w:val="hy-AM" w:eastAsia="en-US"/>
        </w:rPr>
        <w:t>Վերոնշյալ</w:t>
      </w:r>
      <w:r w:rsidRPr="00C43BF7">
        <w:rPr>
          <w:b w:val="0"/>
          <w:bCs/>
          <w:szCs w:val="22"/>
          <w:lang w:val="hy-AM" w:eastAsia="en-US"/>
        </w:rPr>
        <w:t xml:space="preserve"> </w:t>
      </w:r>
      <w:r w:rsidRPr="00C43BF7">
        <w:rPr>
          <w:rFonts w:cs="Sylfaen"/>
          <w:b w:val="0"/>
          <w:bCs/>
          <w:szCs w:val="22"/>
          <w:lang w:val="hy-AM" w:eastAsia="en-US"/>
        </w:rPr>
        <w:t>նպատակին</w:t>
      </w:r>
      <w:r w:rsidRPr="00C43BF7">
        <w:rPr>
          <w:b w:val="0"/>
          <w:bCs/>
          <w:szCs w:val="22"/>
          <w:lang w:val="hy-AM" w:eastAsia="en-US"/>
        </w:rPr>
        <w:t xml:space="preserve"> </w:t>
      </w:r>
      <w:r w:rsidRPr="00C43BF7">
        <w:rPr>
          <w:rFonts w:cs="Sylfaen"/>
          <w:b w:val="0"/>
          <w:bCs/>
          <w:szCs w:val="22"/>
          <w:lang w:val="hy-AM" w:eastAsia="en-US"/>
        </w:rPr>
        <w:t>հասնելու</w:t>
      </w:r>
      <w:r w:rsidRPr="00C43BF7">
        <w:rPr>
          <w:b w:val="0"/>
          <w:bCs/>
          <w:szCs w:val="22"/>
          <w:lang w:val="hy-AM" w:eastAsia="en-US"/>
        </w:rPr>
        <w:t xml:space="preserve"> </w:t>
      </w:r>
      <w:r w:rsidRPr="00C43BF7">
        <w:rPr>
          <w:rFonts w:cs="Sylfaen"/>
          <w:b w:val="0"/>
          <w:bCs/>
          <w:szCs w:val="22"/>
          <w:lang w:val="hy-AM" w:eastAsia="en-US"/>
        </w:rPr>
        <w:t>համար</w:t>
      </w:r>
      <w:r w:rsidRPr="00C43BF7">
        <w:rPr>
          <w:b w:val="0"/>
          <w:bCs/>
          <w:szCs w:val="22"/>
          <w:lang w:val="hy-AM" w:eastAsia="en-US"/>
        </w:rPr>
        <w:t xml:space="preserve"> </w:t>
      </w:r>
      <w:r w:rsidRPr="00C43BF7">
        <w:rPr>
          <w:rFonts w:cs="Sylfaen"/>
          <w:b w:val="0"/>
          <w:bCs/>
          <w:szCs w:val="22"/>
          <w:lang w:val="hy-AM" w:eastAsia="en-US"/>
        </w:rPr>
        <w:t>սոցիալական պաշտպանության ոլորտում իրականացվում է լայնածավալ պետական միջամտություն։</w:t>
      </w:r>
    </w:p>
    <w:p w:rsidR="00F1267C" w:rsidRPr="00C43BF7" w:rsidRDefault="00F1267C" w:rsidP="00F1267C">
      <w:pPr>
        <w:spacing w:before="0" w:line="276" w:lineRule="auto"/>
        <w:ind w:firstLine="562"/>
        <w:contextualSpacing w:val="0"/>
        <w:rPr>
          <w:rFonts w:cs="Sylfaen"/>
          <w:b w:val="0"/>
          <w:bCs/>
          <w:szCs w:val="22"/>
          <w:lang w:val="hy-AM" w:eastAsia="en-US"/>
        </w:rPr>
      </w:pPr>
      <w:r w:rsidRPr="00C43BF7">
        <w:rPr>
          <w:rFonts w:cs="Sylfaen"/>
          <w:b w:val="0"/>
          <w:bCs/>
          <w:szCs w:val="22"/>
          <w:lang w:val="hy-AM" w:eastAsia="en-US"/>
        </w:rPr>
        <w:t xml:space="preserve">Կառավարության 5-ամյա (2021-2026թթ.) ծրագրով նախատեսվել է մինչև 2026 թվականը՝ նվազագույն աշխատավարձը բարձրացնել մինչև 85,000 դրամ, որին նպատակադրվել է հասնել աստիճանական բարձրացումների միջոցով (Կառավարության 2021թ. օգոստոսի 18-ի N 1363-Ա որոշման հավելվածի 4-րդ՝ «Մարդկային կապիտալի զարգացում» բաժնի 4.6-րդ «Աշխատանք և սոցիալական պաշտպանություն» ենթաբաժին)։ </w:t>
      </w:r>
    </w:p>
    <w:p w:rsidR="00F1267C" w:rsidRPr="00C43BF7" w:rsidRDefault="00F1267C" w:rsidP="00F1267C">
      <w:pPr>
        <w:spacing w:before="0" w:line="276" w:lineRule="auto"/>
        <w:ind w:firstLine="562"/>
        <w:contextualSpacing w:val="0"/>
        <w:rPr>
          <w:rFonts w:cs="Sylfaen"/>
          <w:b w:val="0"/>
          <w:bCs/>
          <w:szCs w:val="22"/>
          <w:lang w:val="hy-AM" w:eastAsia="en-US"/>
        </w:rPr>
      </w:pPr>
      <w:r w:rsidRPr="00C43BF7">
        <w:rPr>
          <w:rFonts w:cs="Sylfaen"/>
          <w:b w:val="0"/>
          <w:bCs/>
          <w:szCs w:val="22"/>
          <w:lang w:val="hy-AM" w:eastAsia="en-US"/>
        </w:rPr>
        <w:t>Հետևաբար, նվազագույն ամսական աշխատավարձի չափը կվերանայվի. 2023 թվականին 68,000 դրամից կբարձրանա մինչև 75,000 դրամ, իսկ ՀՀ բյուջեի հնարավորությունների առկայության պարագայում՝ 2024 թվականին 75,000 դրամից կբարձրանա մինչև 79,000 դրամ, 2025 թվականին 79,000 դրամից՝ մինչև 85,000 դրամ (ներառված չեն աշխատավարձից վճարվող հարկերը, նպատակային սոցիալական վճարները, հավելումները, հավելավճարները, պարգևատրումները և խրախուսման այլ վճարները)։</w:t>
      </w:r>
    </w:p>
    <w:p w:rsidR="00F1267C" w:rsidRPr="007955BB" w:rsidRDefault="00F1267C" w:rsidP="00F1267C">
      <w:pPr>
        <w:spacing w:before="0" w:line="276" w:lineRule="auto"/>
        <w:ind w:firstLine="562"/>
        <w:contextualSpacing w:val="0"/>
        <w:rPr>
          <w:b w:val="0"/>
          <w:bCs/>
          <w:szCs w:val="22"/>
          <w:lang w:val="hy-AM" w:eastAsia="en-US"/>
        </w:rPr>
      </w:pPr>
      <w:r w:rsidRPr="007955BB">
        <w:rPr>
          <w:rFonts w:cs="Sylfaen"/>
          <w:bCs/>
          <w:szCs w:val="22"/>
          <w:lang w:val="hy-AM" w:eastAsia="en-US"/>
        </w:rPr>
        <w:t>Ժողովրդագրության</w:t>
      </w:r>
      <w:r w:rsidRPr="00C43BF7">
        <w:rPr>
          <w:rFonts w:cs="Sylfaen"/>
          <w:bCs/>
          <w:szCs w:val="22"/>
          <w:lang w:val="hy-AM" w:eastAsia="en-US"/>
        </w:rPr>
        <w:t xml:space="preserve"> </w:t>
      </w:r>
      <w:r w:rsidRPr="007955BB">
        <w:rPr>
          <w:rFonts w:cs="Sylfaen"/>
          <w:bCs/>
          <w:szCs w:val="22"/>
          <w:lang w:val="hy-AM" w:eastAsia="en-US"/>
        </w:rPr>
        <w:t>և</w:t>
      </w:r>
      <w:r w:rsidRPr="00C43BF7">
        <w:rPr>
          <w:rFonts w:cs="Sylfaen"/>
          <w:bCs/>
          <w:szCs w:val="22"/>
          <w:lang w:val="hy-AM" w:eastAsia="en-US"/>
        </w:rPr>
        <w:t xml:space="preserve"> </w:t>
      </w:r>
      <w:r w:rsidRPr="007955BB">
        <w:rPr>
          <w:rFonts w:cs="Sylfaen"/>
          <w:bCs/>
          <w:szCs w:val="22"/>
          <w:lang w:val="hy-AM" w:eastAsia="en-US"/>
        </w:rPr>
        <w:t>ընտանիքի</w:t>
      </w:r>
      <w:r w:rsidRPr="00C43BF7">
        <w:rPr>
          <w:rFonts w:cs="Sylfaen"/>
          <w:bCs/>
          <w:szCs w:val="22"/>
          <w:lang w:val="hy-AM" w:eastAsia="en-US"/>
        </w:rPr>
        <w:t xml:space="preserve"> </w:t>
      </w:r>
      <w:r w:rsidRPr="007955BB">
        <w:rPr>
          <w:rFonts w:cs="Sylfaen"/>
          <w:bCs/>
          <w:szCs w:val="22"/>
          <w:lang w:val="hy-AM" w:eastAsia="en-US"/>
        </w:rPr>
        <w:t>սոցիալական</w:t>
      </w:r>
      <w:r w:rsidRPr="00C43BF7">
        <w:rPr>
          <w:rFonts w:cs="Sylfaen"/>
          <w:bCs/>
          <w:szCs w:val="22"/>
          <w:lang w:val="hy-AM" w:eastAsia="en-US"/>
        </w:rPr>
        <w:t xml:space="preserve"> </w:t>
      </w:r>
      <w:r w:rsidRPr="007955BB">
        <w:rPr>
          <w:rFonts w:cs="Sylfaen"/>
          <w:bCs/>
          <w:szCs w:val="22"/>
          <w:lang w:val="hy-AM" w:eastAsia="en-US"/>
        </w:rPr>
        <w:t>երաշխիքների</w:t>
      </w:r>
      <w:r w:rsidRPr="00C43BF7">
        <w:rPr>
          <w:rFonts w:cs="Sylfaen"/>
          <w:bCs/>
          <w:szCs w:val="22"/>
          <w:lang w:val="hy-AM" w:eastAsia="en-US"/>
        </w:rPr>
        <w:t xml:space="preserve"> </w:t>
      </w:r>
      <w:r w:rsidRPr="007955BB">
        <w:rPr>
          <w:rFonts w:cs="Sylfaen"/>
          <w:bCs/>
          <w:szCs w:val="22"/>
          <w:lang w:val="hy-AM" w:eastAsia="en-US"/>
        </w:rPr>
        <w:t>բնագավառում</w:t>
      </w:r>
      <w:r w:rsidRPr="007955BB">
        <w:rPr>
          <w:rFonts w:cs="Sylfaen"/>
          <w:bCs/>
          <w:szCs w:val="22"/>
          <w:lang w:val="af-ZA" w:eastAsia="en-US"/>
        </w:rPr>
        <w:t xml:space="preserve"> </w:t>
      </w:r>
      <w:r w:rsidRPr="00C43BF7">
        <w:rPr>
          <w:rFonts w:cs="Sylfaen"/>
          <w:b w:val="0"/>
          <w:bCs/>
          <w:szCs w:val="22"/>
          <w:lang w:val="hy-AM" w:eastAsia="en-US"/>
        </w:rPr>
        <w:t>202</w:t>
      </w:r>
      <w:r w:rsidRPr="007955BB">
        <w:rPr>
          <w:rFonts w:cs="Sylfaen"/>
          <w:b w:val="0"/>
          <w:bCs/>
          <w:szCs w:val="22"/>
          <w:lang w:val="hy-AM" w:eastAsia="en-US"/>
        </w:rPr>
        <w:t>3</w:t>
      </w:r>
      <w:r w:rsidRPr="00C43BF7">
        <w:rPr>
          <w:rFonts w:cs="Sylfaen"/>
          <w:b w:val="0"/>
          <w:bCs/>
          <w:szCs w:val="22"/>
          <w:lang w:val="hy-AM" w:eastAsia="en-US"/>
        </w:rPr>
        <w:t xml:space="preserve"> թվականին </w:t>
      </w:r>
      <w:r w:rsidRPr="007955BB">
        <w:rPr>
          <w:rFonts w:cs="Sylfaen"/>
          <w:b w:val="0"/>
          <w:bCs/>
          <w:szCs w:val="22"/>
          <w:lang w:val="hy-AM" w:eastAsia="en-US"/>
        </w:rPr>
        <w:t>նախատեսվում</w:t>
      </w:r>
      <w:r w:rsidRPr="007955BB">
        <w:rPr>
          <w:rFonts w:cs="Sylfaen"/>
          <w:b w:val="0"/>
          <w:bCs/>
          <w:szCs w:val="22"/>
          <w:lang w:val="af-ZA" w:eastAsia="en-US"/>
        </w:rPr>
        <w:t xml:space="preserve"> է </w:t>
      </w:r>
      <w:r w:rsidRPr="007955BB">
        <w:rPr>
          <w:rFonts w:cs="Sylfaen"/>
          <w:b w:val="0"/>
          <w:bCs/>
          <w:szCs w:val="22"/>
          <w:lang w:val="hy-AM" w:eastAsia="en-US"/>
        </w:rPr>
        <w:t>պետական</w:t>
      </w:r>
      <w:r w:rsidRPr="007955BB">
        <w:rPr>
          <w:rFonts w:cs="Sylfaen"/>
          <w:b w:val="0"/>
          <w:bCs/>
          <w:szCs w:val="22"/>
          <w:lang w:val="af-ZA" w:eastAsia="en-US"/>
        </w:rPr>
        <w:t xml:space="preserve"> </w:t>
      </w:r>
      <w:r w:rsidRPr="007955BB">
        <w:rPr>
          <w:rFonts w:cs="Sylfaen"/>
          <w:b w:val="0"/>
          <w:bCs/>
          <w:szCs w:val="22"/>
          <w:lang w:val="hy-AM" w:eastAsia="en-US"/>
        </w:rPr>
        <w:t>նպաստների</w:t>
      </w:r>
      <w:r w:rsidRPr="007955BB">
        <w:rPr>
          <w:rFonts w:cs="Sylfaen"/>
          <w:b w:val="0"/>
          <w:bCs/>
          <w:szCs w:val="22"/>
          <w:lang w:val="af-ZA" w:eastAsia="en-US"/>
        </w:rPr>
        <w:t xml:space="preserve"> </w:t>
      </w:r>
      <w:r w:rsidRPr="007955BB">
        <w:rPr>
          <w:rFonts w:cs="Sylfaen"/>
          <w:b w:val="0"/>
          <w:bCs/>
          <w:szCs w:val="22"/>
          <w:lang w:val="hy-AM" w:eastAsia="en-US"/>
        </w:rPr>
        <w:t>քաղաքականության մեջ շարունակել</w:t>
      </w:r>
      <w:r w:rsidRPr="007955BB">
        <w:rPr>
          <w:rFonts w:cs="Sylfaen"/>
          <w:b w:val="0"/>
          <w:bCs/>
          <w:szCs w:val="22"/>
          <w:lang w:val="af-ZA" w:eastAsia="en-US"/>
        </w:rPr>
        <w:t xml:space="preserve"> </w:t>
      </w:r>
      <w:r w:rsidRPr="007955BB">
        <w:rPr>
          <w:rFonts w:cs="Sylfaen"/>
          <w:b w:val="0"/>
          <w:bCs/>
          <w:szCs w:val="22"/>
          <w:lang w:val="hy-AM" w:eastAsia="en-US"/>
        </w:rPr>
        <w:t>ընտանիքների</w:t>
      </w:r>
      <w:r w:rsidRPr="00C43BF7">
        <w:rPr>
          <w:rFonts w:cs="Sylfaen"/>
          <w:b w:val="0"/>
          <w:bCs/>
          <w:szCs w:val="22"/>
          <w:lang w:val="hy-AM" w:eastAsia="en-US"/>
        </w:rPr>
        <w:t xml:space="preserve"> </w:t>
      </w:r>
      <w:r w:rsidRPr="007955BB">
        <w:rPr>
          <w:rFonts w:cs="Sylfaen"/>
          <w:b w:val="0"/>
          <w:bCs/>
          <w:szCs w:val="22"/>
          <w:lang w:val="hy-AM" w:eastAsia="en-US"/>
        </w:rPr>
        <w:t>անապահովության</w:t>
      </w:r>
      <w:r w:rsidRPr="00C43BF7">
        <w:rPr>
          <w:rFonts w:cs="Sylfaen"/>
          <w:b w:val="0"/>
          <w:bCs/>
          <w:szCs w:val="22"/>
          <w:lang w:val="hy-AM" w:eastAsia="en-US"/>
        </w:rPr>
        <w:t xml:space="preserve"> (</w:t>
      </w:r>
      <w:r w:rsidRPr="007955BB">
        <w:rPr>
          <w:rFonts w:cs="Sylfaen"/>
          <w:b w:val="0"/>
          <w:bCs/>
          <w:szCs w:val="22"/>
          <w:lang w:val="hy-AM" w:eastAsia="en-US"/>
        </w:rPr>
        <w:t>սոցիալական</w:t>
      </w:r>
      <w:r w:rsidRPr="00C43BF7">
        <w:rPr>
          <w:rFonts w:cs="Sylfaen"/>
          <w:b w:val="0"/>
          <w:bCs/>
          <w:szCs w:val="22"/>
          <w:lang w:val="hy-AM" w:eastAsia="en-US"/>
        </w:rPr>
        <w:t xml:space="preserve">) </w:t>
      </w:r>
      <w:r w:rsidRPr="007955BB">
        <w:rPr>
          <w:rFonts w:cs="Sylfaen"/>
          <w:b w:val="0"/>
          <w:bCs/>
          <w:szCs w:val="22"/>
          <w:lang w:val="hy-AM" w:eastAsia="en-US"/>
        </w:rPr>
        <w:t>գնահատման</w:t>
      </w:r>
      <w:r w:rsidRPr="00C43BF7">
        <w:rPr>
          <w:rFonts w:cs="Sylfaen"/>
          <w:b w:val="0"/>
          <w:bCs/>
          <w:szCs w:val="22"/>
          <w:lang w:val="hy-AM" w:eastAsia="en-US"/>
        </w:rPr>
        <w:t xml:space="preserve"> </w:t>
      </w:r>
      <w:r w:rsidRPr="007955BB">
        <w:rPr>
          <w:rFonts w:cs="Sylfaen"/>
          <w:b w:val="0"/>
          <w:bCs/>
          <w:szCs w:val="22"/>
          <w:lang w:val="hy-AM" w:eastAsia="en-US"/>
        </w:rPr>
        <w:t>համակարգի</w:t>
      </w:r>
      <w:r w:rsidRPr="007955BB">
        <w:rPr>
          <w:rFonts w:cs="Sylfaen"/>
          <w:b w:val="0"/>
          <w:bCs/>
          <w:szCs w:val="22"/>
          <w:lang w:val="af-ZA" w:eastAsia="en-US"/>
        </w:rPr>
        <w:t xml:space="preserve"> </w:t>
      </w:r>
      <w:r w:rsidRPr="007955BB">
        <w:rPr>
          <w:rFonts w:cs="Sylfaen"/>
          <w:b w:val="0"/>
          <w:bCs/>
          <w:szCs w:val="22"/>
          <w:lang w:val="hy-AM" w:eastAsia="en-US"/>
        </w:rPr>
        <w:t>հասցեականության</w:t>
      </w:r>
      <w:r w:rsidRPr="007955BB">
        <w:rPr>
          <w:rFonts w:cs="Sylfaen"/>
          <w:b w:val="0"/>
          <w:bCs/>
          <w:szCs w:val="22"/>
          <w:lang w:val="af-ZA" w:eastAsia="en-US"/>
        </w:rPr>
        <w:t xml:space="preserve"> </w:t>
      </w:r>
      <w:r w:rsidRPr="007955BB">
        <w:rPr>
          <w:rFonts w:cs="Sylfaen"/>
          <w:b w:val="0"/>
          <w:bCs/>
          <w:szCs w:val="22"/>
          <w:lang w:val="hy-AM" w:eastAsia="en-US"/>
        </w:rPr>
        <w:t>բարձրացմանն</w:t>
      </w:r>
      <w:r w:rsidRPr="00C43BF7">
        <w:rPr>
          <w:rFonts w:cs="Sylfaen"/>
          <w:b w:val="0"/>
          <w:bCs/>
          <w:szCs w:val="22"/>
          <w:lang w:val="hy-AM" w:eastAsia="en-US"/>
        </w:rPr>
        <w:t xml:space="preserve"> </w:t>
      </w:r>
      <w:r w:rsidRPr="007955BB">
        <w:rPr>
          <w:rFonts w:cs="Sylfaen"/>
          <w:b w:val="0"/>
          <w:bCs/>
          <w:szCs w:val="22"/>
          <w:lang w:val="hy-AM" w:eastAsia="en-US"/>
        </w:rPr>
        <w:t>ուղղված</w:t>
      </w:r>
      <w:r w:rsidRPr="007955BB">
        <w:rPr>
          <w:rFonts w:cs="Sylfaen"/>
          <w:b w:val="0"/>
          <w:bCs/>
          <w:szCs w:val="22"/>
          <w:lang w:val="af-ZA" w:eastAsia="en-US"/>
        </w:rPr>
        <w:t xml:space="preserve"> </w:t>
      </w:r>
      <w:r w:rsidRPr="007955BB">
        <w:rPr>
          <w:rFonts w:cs="Sylfaen"/>
          <w:b w:val="0"/>
          <w:bCs/>
          <w:szCs w:val="22"/>
          <w:lang w:val="hy-AM" w:eastAsia="en-US"/>
        </w:rPr>
        <w:t>միջոցառումների</w:t>
      </w:r>
      <w:r w:rsidRPr="007955BB">
        <w:rPr>
          <w:rFonts w:cs="Sylfaen"/>
          <w:b w:val="0"/>
          <w:bCs/>
          <w:szCs w:val="22"/>
          <w:lang w:val="af-ZA" w:eastAsia="en-US"/>
        </w:rPr>
        <w:t xml:space="preserve"> </w:t>
      </w:r>
      <w:r w:rsidRPr="007955BB">
        <w:rPr>
          <w:rFonts w:cs="Sylfaen"/>
          <w:b w:val="0"/>
          <w:bCs/>
          <w:szCs w:val="22"/>
          <w:lang w:val="hy-AM" w:eastAsia="en-US"/>
        </w:rPr>
        <w:t>իրականացումը, մասնավորապես</w:t>
      </w:r>
      <w:r w:rsidRPr="00C43BF7">
        <w:rPr>
          <w:rFonts w:cs="Sylfaen"/>
          <w:b w:val="0"/>
          <w:bCs/>
          <w:szCs w:val="22"/>
          <w:lang w:val="hy-AM" w:eastAsia="en-US"/>
        </w:rPr>
        <w:t>,</w:t>
      </w:r>
      <w:r w:rsidRPr="007955BB">
        <w:rPr>
          <w:rFonts w:cs="Sylfaen"/>
          <w:b w:val="0"/>
          <w:bCs/>
          <w:szCs w:val="22"/>
          <w:lang w:val="af-ZA" w:eastAsia="en-US"/>
        </w:rPr>
        <w:t xml:space="preserve"> </w:t>
      </w:r>
      <w:r w:rsidRPr="007955BB">
        <w:rPr>
          <w:rFonts w:cs="Sylfaen"/>
          <w:b w:val="0"/>
          <w:bCs/>
          <w:szCs w:val="22"/>
          <w:lang w:val="hy-AM" w:eastAsia="en-US"/>
        </w:rPr>
        <w:t>առցանց</w:t>
      </w:r>
      <w:r w:rsidRPr="007955BB">
        <w:rPr>
          <w:rFonts w:cs="Sylfaen"/>
          <w:b w:val="0"/>
          <w:bCs/>
          <w:szCs w:val="22"/>
          <w:lang w:val="af-ZA" w:eastAsia="en-US"/>
        </w:rPr>
        <w:t xml:space="preserve"> </w:t>
      </w:r>
      <w:r w:rsidRPr="007955BB">
        <w:rPr>
          <w:rFonts w:cs="Sylfaen"/>
          <w:b w:val="0"/>
          <w:bCs/>
          <w:szCs w:val="22"/>
          <w:lang w:val="hy-AM" w:eastAsia="en-US"/>
        </w:rPr>
        <w:t>եղանակով</w:t>
      </w:r>
      <w:r w:rsidRPr="007955BB">
        <w:rPr>
          <w:rFonts w:cs="Sylfaen"/>
          <w:b w:val="0"/>
          <w:bCs/>
          <w:szCs w:val="22"/>
          <w:lang w:val="af-ZA" w:eastAsia="en-US"/>
        </w:rPr>
        <w:t xml:space="preserve"> </w:t>
      </w:r>
      <w:r w:rsidRPr="007955BB">
        <w:rPr>
          <w:rFonts w:cs="Sylfaen"/>
          <w:b w:val="0"/>
          <w:bCs/>
          <w:szCs w:val="22"/>
          <w:lang w:val="hy-AM" w:eastAsia="en-US"/>
        </w:rPr>
        <w:t>ստացվող անհրաժեշտ տվյալների շրջանակի հնարավոր ընդլայնում, համադրումներ տարբեր տեղեկատվական բազաների տվյալների հետ` նպաստառության ոչ ենթակա ընտանիքների հայտնաբերման նպատակով: Ներդրվելու է ընտանիքների անապահովության գնահատման նոր համակարգ՝ ուղղված ծայրահեղ աղքատության վերացմանը։ Վերանայվելու է սոցիալական աջակցության քաղաքականությունը, որի շնորհիվ սոցիալական աջակցության ծրագրերը կլինեն ավելի հասցեական, խրախուսվելու է անձի սոցիալ-տնտեսական ակտիվացումը՝ հիմք ընդունելով սոցիալական կարիքի գնահատումը և դրան համաչափ սոցիալական ծառայությունների տրամադրումը։ Օրենսդրական փոփոխությունների միջոցով հիմքեր կդրվեն սոցիալական աջակցության ոլորտում հիմնական սոցիալական ծառայությունների տեսակների ընդայնման, հրատապ արձագանքին պատրաստ և առավել ճկուն սոցիալական աջակցության մեխանիզմների ներդրման</w:t>
      </w:r>
      <w:r w:rsidRPr="007955BB">
        <w:rPr>
          <w:b w:val="0"/>
          <w:bCs/>
          <w:color w:val="222222"/>
          <w:szCs w:val="22"/>
          <w:lang w:val="hy-AM" w:eastAsia="en-US"/>
        </w:rPr>
        <w:t>, սոցիալական աջակցության հասցեականության և արդյունավետության բարձրացման, սոցիալական ծառայությունների որակի չափորոշիչների և տրամադրող անձնակազմի մասնագիտական կարողությունների նշաձողերի սահմանման և սոցիալական աջակցության ոլորտում մինչ օրս արձանագրված այլ խնդիրների լուծման համար։</w:t>
      </w:r>
    </w:p>
    <w:p w:rsidR="00F1267C" w:rsidRPr="007955BB" w:rsidRDefault="00F1267C" w:rsidP="00F1267C">
      <w:pPr>
        <w:spacing w:before="0" w:line="276" w:lineRule="auto"/>
        <w:ind w:firstLine="562"/>
        <w:contextualSpacing w:val="0"/>
        <w:rPr>
          <w:b w:val="0"/>
          <w:bCs/>
          <w:color w:val="222222"/>
          <w:szCs w:val="22"/>
          <w:lang w:val="hy-AM" w:eastAsia="en-US"/>
        </w:rPr>
      </w:pPr>
      <w:r w:rsidRPr="007955BB">
        <w:rPr>
          <w:b w:val="0"/>
          <w:bCs/>
          <w:color w:val="222222"/>
          <w:szCs w:val="22"/>
          <w:lang w:val="hy-AM" w:eastAsia="en-US"/>
        </w:rPr>
        <w:t xml:space="preserve">Մինչ համակարգի վերանայումը՝ 2023 թվականին </w:t>
      </w:r>
      <w:r w:rsidR="00980531">
        <w:rPr>
          <w:b w:val="0"/>
          <w:bCs/>
          <w:color w:val="222222"/>
          <w:szCs w:val="22"/>
          <w:lang w:val="hy-AM" w:eastAsia="en-US"/>
        </w:rPr>
        <w:t>ԸԿԲՆ</w:t>
      </w:r>
      <w:r w:rsidRPr="007955BB">
        <w:rPr>
          <w:b w:val="0"/>
          <w:bCs/>
          <w:color w:val="222222"/>
          <w:szCs w:val="22"/>
          <w:lang w:val="hy-AM" w:eastAsia="en-US"/>
        </w:rPr>
        <w:t xml:space="preserve"> կտրամադրվի շուրջ 89629 ընտանիքների, իսկ նպաստի միջին ամսական չափը կկազմի 33,350 դրամ: Հաշվի առնելով երեխաներին սոցիալական աջակցություն տրամադրելու առաջնահերթության սկզբունքը` հաշվարկներում կանխատեսվել է, որ 89629 ընտանիքների մոտ 71%-ը կկազմեն երեխա ունեցող ընտանիքները: </w:t>
      </w:r>
    </w:p>
    <w:p w:rsidR="00F1267C" w:rsidRPr="007955BB" w:rsidRDefault="00F1267C" w:rsidP="00F1267C">
      <w:pPr>
        <w:spacing w:before="0" w:line="276" w:lineRule="auto"/>
        <w:ind w:firstLine="562"/>
        <w:contextualSpacing w:val="0"/>
        <w:rPr>
          <w:b w:val="0"/>
          <w:bCs/>
          <w:color w:val="222222"/>
          <w:szCs w:val="22"/>
          <w:lang w:val="hy-AM" w:eastAsia="en-US"/>
        </w:rPr>
      </w:pPr>
      <w:r w:rsidRPr="007955BB">
        <w:rPr>
          <w:b w:val="0"/>
          <w:bCs/>
          <w:color w:val="222222"/>
          <w:szCs w:val="22"/>
          <w:lang w:val="hy-AM" w:eastAsia="en-US"/>
        </w:rPr>
        <w:t xml:space="preserve">Սկզբնավորված է ինտեգրված սոցիալական ծառայությունների համակարգի կատարելագործումը։ Շարունակվելու են աշխատանքները Միասնական սոցիալական ծառայության աշխատողների պրոֆեսիոնալիզմի բարձրացման և ծառայության տեխնիկապես հագեցվածության, ինչպես նաև ընդհանուր կարողությունների հզորացման ուղղությամբ: </w:t>
      </w:r>
    </w:p>
    <w:p w:rsidR="00F1267C" w:rsidRPr="007955BB" w:rsidRDefault="00F1267C" w:rsidP="00F1267C">
      <w:pPr>
        <w:spacing w:before="0" w:line="276" w:lineRule="auto"/>
        <w:ind w:firstLine="562"/>
        <w:contextualSpacing w:val="0"/>
        <w:rPr>
          <w:rFonts w:cs="Sylfaen"/>
          <w:b w:val="0"/>
          <w:bCs/>
          <w:szCs w:val="22"/>
          <w:lang w:val="af-ZA" w:eastAsia="en-US"/>
        </w:rPr>
      </w:pPr>
      <w:r w:rsidRPr="007955BB">
        <w:rPr>
          <w:rFonts w:cs="Sylfaen"/>
          <w:b w:val="0"/>
          <w:bCs/>
          <w:szCs w:val="22"/>
          <w:lang w:val="hy-AM" w:eastAsia="en-US"/>
        </w:rPr>
        <w:t>Ինտեգրված</w:t>
      </w:r>
      <w:r w:rsidRPr="007955BB">
        <w:rPr>
          <w:rFonts w:cs="Sylfaen"/>
          <w:b w:val="0"/>
          <w:bCs/>
          <w:szCs w:val="22"/>
          <w:lang w:val="af-ZA" w:eastAsia="en-US"/>
        </w:rPr>
        <w:t xml:space="preserve"> </w:t>
      </w:r>
      <w:r w:rsidRPr="007955BB">
        <w:rPr>
          <w:rFonts w:cs="Sylfaen"/>
          <w:b w:val="0"/>
          <w:bCs/>
          <w:szCs w:val="22"/>
          <w:lang w:val="hy-AM" w:eastAsia="en-US"/>
        </w:rPr>
        <w:t>սոցիալական</w:t>
      </w:r>
      <w:r w:rsidRPr="007955BB">
        <w:rPr>
          <w:rFonts w:cs="Sylfaen"/>
          <w:b w:val="0"/>
          <w:bCs/>
          <w:szCs w:val="22"/>
          <w:lang w:val="af-ZA" w:eastAsia="en-US"/>
        </w:rPr>
        <w:t xml:space="preserve"> </w:t>
      </w:r>
      <w:r w:rsidRPr="007955BB">
        <w:rPr>
          <w:rFonts w:cs="Sylfaen"/>
          <w:b w:val="0"/>
          <w:bCs/>
          <w:szCs w:val="22"/>
          <w:lang w:val="hy-AM" w:eastAsia="en-US"/>
        </w:rPr>
        <w:t>ծառայությունների</w:t>
      </w:r>
      <w:r w:rsidRPr="007955BB">
        <w:rPr>
          <w:rFonts w:cs="Sylfaen"/>
          <w:b w:val="0"/>
          <w:bCs/>
          <w:szCs w:val="22"/>
          <w:lang w:val="af-ZA" w:eastAsia="en-US"/>
        </w:rPr>
        <w:t xml:space="preserve"> </w:t>
      </w:r>
      <w:r w:rsidRPr="007955BB">
        <w:rPr>
          <w:rFonts w:cs="Sylfaen"/>
          <w:b w:val="0"/>
          <w:bCs/>
          <w:szCs w:val="22"/>
          <w:lang w:val="hy-AM" w:eastAsia="en-US"/>
        </w:rPr>
        <w:t>տրամադրման</w:t>
      </w:r>
      <w:r w:rsidRPr="007955BB">
        <w:rPr>
          <w:rFonts w:cs="Sylfaen"/>
          <w:b w:val="0"/>
          <w:bCs/>
          <w:szCs w:val="22"/>
          <w:lang w:val="af-ZA" w:eastAsia="en-US"/>
        </w:rPr>
        <w:t xml:space="preserve"> </w:t>
      </w:r>
      <w:r w:rsidRPr="007955BB">
        <w:rPr>
          <w:rFonts w:cs="Sylfaen"/>
          <w:b w:val="0"/>
          <w:bCs/>
          <w:szCs w:val="22"/>
          <w:lang w:val="hy-AM" w:eastAsia="en-US"/>
        </w:rPr>
        <w:t>գործընթացում</w:t>
      </w:r>
      <w:r w:rsidRPr="007955BB">
        <w:rPr>
          <w:rFonts w:cs="Sylfaen"/>
          <w:b w:val="0"/>
          <w:bCs/>
          <w:szCs w:val="22"/>
          <w:lang w:val="af-ZA" w:eastAsia="en-US"/>
        </w:rPr>
        <w:t xml:space="preserve"> </w:t>
      </w:r>
      <w:r w:rsidRPr="007955BB">
        <w:rPr>
          <w:rFonts w:cs="Sylfaen"/>
          <w:b w:val="0"/>
          <w:bCs/>
          <w:szCs w:val="22"/>
          <w:lang w:val="hy-AM" w:eastAsia="en-US"/>
        </w:rPr>
        <w:t>կարևորվում</w:t>
      </w:r>
      <w:r w:rsidRPr="007955BB">
        <w:rPr>
          <w:rFonts w:cs="Sylfaen"/>
          <w:b w:val="0"/>
          <w:bCs/>
          <w:szCs w:val="22"/>
          <w:lang w:val="af-ZA" w:eastAsia="en-US"/>
        </w:rPr>
        <w:t xml:space="preserve"> </w:t>
      </w:r>
      <w:r w:rsidRPr="007955BB">
        <w:rPr>
          <w:rFonts w:cs="Sylfaen"/>
          <w:b w:val="0"/>
          <w:bCs/>
          <w:szCs w:val="22"/>
          <w:lang w:val="hy-AM" w:eastAsia="en-US"/>
        </w:rPr>
        <w:t>է</w:t>
      </w:r>
      <w:r w:rsidRPr="007955BB">
        <w:rPr>
          <w:rFonts w:cs="Sylfaen"/>
          <w:b w:val="0"/>
          <w:bCs/>
          <w:szCs w:val="22"/>
          <w:lang w:val="af-ZA" w:eastAsia="en-US"/>
        </w:rPr>
        <w:t xml:space="preserve"> </w:t>
      </w:r>
      <w:r w:rsidRPr="007955BB">
        <w:rPr>
          <w:rFonts w:cs="Sylfaen"/>
          <w:b w:val="0"/>
          <w:bCs/>
          <w:szCs w:val="22"/>
          <w:lang w:val="hy-AM" w:eastAsia="en-US"/>
        </w:rPr>
        <w:t>աշխատանքների</w:t>
      </w:r>
      <w:r w:rsidRPr="007955BB">
        <w:rPr>
          <w:rFonts w:cs="Sylfaen"/>
          <w:b w:val="0"/>
          <w:bCs/>
          <w:szCs w:val="22"/>
          <w:lang w:val="af-ZA" w:eastAsia="en-US"/>
        </w:rPr>
        <w:t xml:space="preserve"> </w:t>
      </w:r>
      <w:r w:rsidRPr="007955BB">
        <w:rPr>
          <w:rFonts w:cs="Sylfaen"/>
          <w:b w:val="0"/>
          <w:bCs/>
          <w:szCs w:val="22"/>
          <w:lang w:val="hy-AM" w:eastAsia="en-US"/>
        </w:rPr>
        <w:t>իրականացումը՝ հիմնականում միջգերատեսչական սոցիալական կողմերի և ոչ պետական կազմակերպությունների հետ համագործակցությամբ։ Իրականացվելու են միասնական սոցիալական ծառայության տարածքային կենտրոնների</w:t>
      </w:r>
      <w:r w:rsidRPr="007955BB">
        <w:rPr>
          <w:rFonts w:cs="Sylfaen"/>
          <w:b w:val="0"/>
          <w:bCs/>
          <w:szCs w:val="22"/>
          <w:lang w:val="af-ZA" w:eastAsia="en-US"/>
        </w:rPr>
        <w:t xml:space="preserve"> </w:t>
      </w:r>
      <w:r w:rsidRPr="007955BB">
        <w:rPr>
          <w:rFonts w:cs="Sylfaen"/>
          <w:b w:val="0"/>
          <w:bCs/>
          <w:szCs w:val="22"/>
          <w:lang w:val="hy-AM" w:eastAsia="en-US"/>
        </w:rPr>
        <w:t>և</w:t>
      </w:r>
      <w:r w:rsidRPr="007955BB">
        <w:rPr>
          <w:rFonts w:cs="Sylfaen"/>
          <w:b w:val="0"/>
          <w:bCs/>
          <w:szCs w:val="22"/>
          <w:lang w:val="af-ZA" w:eastAsia="en-US"/>
        </w:rPr>
        <w:t xml:space="preserve"> </w:t>
      </w:r>
      <w:r w:rsidRPr="007955BB">
        <w:rPr>
          <w:rFonts w:cs="Sylfaen"/>
          <w:b w:val="0"/>
          <w:bCs/>
          <w:szCs w:val="22"/>
          <w:lang w:val="hy-AM" w:eastAsia="en-US"/>
        </w:rPr>
        <w:t>համագործակցող</w:t>
      </w:r>
      <w:r w:rsidRPr="007955BB">
        <w:rPr>
          <w:rFonts w:cs="Sylfaen"/>
          <w:b w:val="0"/>
          <w:bCs/>
          <w:szCs w:val="22"/>
          <w:lang w:val="af-ZA" w:eastAsia="en-US"/>
        </w:rPr>
        <w:t xml:space="preserve"> </w:t>
      </w:r>
      <w:r w:rsidRPr="007955BB">
        <w:rPr>
          <w:rFonts w:cs="Sylfaen"/>
          <w:b w:val="0"/>
          <w:bCs/>
          <w:szCs w:val="22"/>
          <w:lang w:val="hy-AM" w:eastAsia="en-US"/>
        </w:rPr>
        <w:t>կողմերի</w:t>
      </w:r>
      <w:r w:rsidRPr="007955BB">
        <w:rPr>
          <w:rFonts w:cs="Sylfaen"/>
          <w:b w:val="0"/>
          <w:bCs/>
          <w:szCs w:val="22"/>
          <w:lang w:val="af-ZA" w:eastAsia="en-US"/>
        </w:rPr>
        <w:t xml:space="preserve"> </w:t>
      </w:r>
      <w:r w:rsidRPr="007955BB">
        <w:rPr>
          <w:rFonts w:cs="Sylfaen"/>
          <w:b w:val="0"/>
          <w:bCs/>
          <w:szCs w:val="22"/>
          <w:lang w:val="hy-AM" w:eastAsia="en-US"/>
        </w:rPr>
        <w:t>ներկայացուցիչների</w:t>
      </w:r>
      <w:r w:rsidRPr="007955BB">
        <w:rPr>
          <w:rFonts w:cs="Sylfaen"/>
          <w:b w:val="0"/>
          <w:bCs/>
          <w:szCs w:val="22"/>
          <w:lang w:val="af-ZA" w:eastAsia="en-US"/>
        </w:rPr>
        <w:t xml:space="preserve"> </w:t>
      </w:r>
      <w:r w:rsidRPr="007955BB">
        <w:rPr>
          <w:rFonts w:cs="Sylfaen"/>
          <w:b w:val="0"/>
          <w:bCs/>
          <w:szCs w:val="22"/>
          <w:lang w:val="hy-AM" w:eastAsia="en-US"/>
        </w:rPr>
        <w:t>վերապատրաստման</w:t>
      </w:r>
      <w:r w:rsidRPr="007955BB">
        <w:rPr>
          <w:rFonts w:cs="Sylfaen"/>
          <w:b w:val="0"/>
          <w:bCs/>
          <w:szCs w:val="22"/>
          <w:lang w:val="af-ZA" w:eastAsia="en-US"/>
        </w:rPr>
        <w:t xml:space="preserve">, </w:t>
      </w:r>
      <w:r w:rsidRPr="007955BB">
        <w:rPr>
          <w:rFonts w:cs="Sylfaen"/>
          <w:b w:val="0"/>
          <w:bCs/>
          <w:szCs w:val="22"/>
          <w:lang w:val="hy-AM" w:eastAsia="en-US"/>
        </w:rPr>
        <w:t>անհրաժեշտ</w:t>
      </w:r>
      <w:r w:rsidRPr="007955BB">
        <w:rPr>
          <w:rFonts w:cs="Sylfaen"/>
          <w:b w:val="0"/>
          <w:bCs/>
          <w:szCs w:val="22"/>
          <w:lang w:val="af-ZA" w:eastAsia="en-US"/>
        </w:rPr>
        <w:t xml:space="preserve"> </w:t>
      </w:r>
      <w:r w:rsidRPr="007955BB">
        <w:rPr>
          <w:rFonts w:cs="Sylfaen"/>
          <w:b w:val="0"/>
          <w:bCs/>
          <w:szCs w:val="22"/>
          <w:lang w:val="hy-AM" w:eastAsia="en-US"/>
        </w:rPr>
        <w:t>հմտությունների</w:t>
      </w:r>
      <w:r w:rsidRPr="007955BB">
        <w:rPr>
          <w:rFonts w:cs="Sylfaen"/>
          <w:b w:val="0"/>
          <w:bCs/>
          <w:szCs w:val="22"/>
          <w:lang w:val="af-ZA" w:eastAsia="en-US"/>
        </w:rPr>
        <w:t xml:space="preserve"> </w:t>
      </w:r>
      <w:r w:rsidRPr="007955BB">
        <w:rPr>
          <w:rFonts w:cs="Sylfaen"/>
          <w:b w:val="0"/>
          <w:bCs/>
          <w:szCs w:val="22"/>
          <w:lang w:val="hy-AM" w:eastAsia="en-US"/>
        </w:rPr>
        <w:t>և</w:t>
      </w:r>
      <w:r w:rsidRPr="007955BB">
        <w:rPr>
          <w:rFonts w:cs="Sylfaen"/>
          <w:b w:val="0"/>
          <w:bCs/>
          <w:szCs w:val="22"/>
          <w:lang w:val="af-ZA" w:eastAsia="en-US"/>
        </w:rPr>
        <w:t xml:space="preserve"> </w:t>
      </w:r>
      <w:r w:rsidRPr="007955BB">
        <w:rPr>
          <w:rFonts w:cs="Sylfaen"/>
          <w:b w:val="0"/>
          <w:bCs/>
          <w:szCs w:val="22"/>
          <w:lang w:val="hy-AM" w:eastAsia="en-US"/>
        </w:rPr>
        <w:t>ունակությունների</w:t>
      </w:r>
      <w:r w:rsidRPr="007955BB">
        <w:rPr>
          <w:rFonts w:cs="Sylfaen"/>
          <w:b w:val="0"/>
          <w:bCs/>
          <w:szCs w:val="22"/>
          <w:lang w:val="af-ZA" w:eastAsia="en-US"/>
        </w:rPr>
        <w:t xml:space="preserve"> </w:t>
      </w:r>
      <w:r w:rsidRPr="007955BB">
        <w:rPr>
          <w:rFonts w:cs="Sylfaen"/>
          <w:b w:val="0"/>
          <w:bCs/>
          <w:szCs w:val="22"/>
          <w:lang w:val="hy-AM" w:eastAsia="en-US"/>
        </w:rPr>
        <w:t>ուսուցման</w:t>
      </w:r>
      <w:r w:rsidRPr="007955BB">
        <w:rPr>
          <w:rFonts w:cs="Sylfaen"/>
          <w:b w:val="0"/>
          <w:bCs/>
          <w:szCs w:val="22"/>
          <w:lang w:val="af-ZA" w:eastAsia="en-US"/>
        </w:rPr>
        <w:t xml:space="preserve"> </w:t>
      </w:r>
      <w:r w:rsidRPr="007955BB">
        <w:rPr>
          <w:rFonts w:cs="Sylfaen"/>
          <w:b w:val="0"/>
          <w:bCs/>
          <w:szCs w:val="22"/>
          <w:lang w:val="hy-AM" w:eastAsia="en-US"/>
        </w:rPr>
        <w:t>ծրագրեր</w:t>
      </w:r>
      <w:r w:rsidRPr="007955BB">
        <w:rPr>
          <w:rFonts w:cs="Sylfaen"/>
          <w:b w:val="0"/>
          <w:bCs/>
          <w:szCs w:val="22"/>
          <w:lang w:val="af-ZA" w:eastAsia="en-US"/>
        </w:rPr>
        <w:t>:</w:t>
      </w:r>
    </w:p>
    <w:p w:rsidR="00F1267C" w:rsidRPr="007955BB" w:rsidRDefault="00F1267C" w:rsidP="00F1267C">
      <w:pPr>
        <w:spacing w:before="0" w:line="276" w:lineRule="auto"/>
        <w:ind w:firstLine="562"/>
        <w:contextualSpacing w:val="0"/>
        <w:rPr>
          <w:rFonts w:cs="Sylfaen"/>
          <w:b w:val="0"/>
          <w:bCs/>
          <w:szCs w:val="22"/>
          <w:lang w:val="hy-AM" w:eastAsia="en-US"/>
        </w:rPr>
      </w:pPr>
      <w:r w:rsidRPr="007955BB">
        <w:rPr>
          <w:rFonts w:cs="Sylfaen"/>
          <w:b w:val="0"/>
          <w:bCs/>
          <w:szCs w:val="22"/>
          <w:lang w:val="en-US" w:eastAsia="en-US"/>
        </w:rPr>
        <w:t>Շարունակվելու</w:t>
      </w:r>
      <w:r w:rsidRPr="007955BB">
        <w:rPr>
          <w:rFonts w:cs="Sylfaen"/>
          <w:b w:val="0"/>
          <w:bCs/>
          <w:szCs w:val="22"/>
          <w:lang w:val="af-ZA" w:eastAsia="en-US"/>
        </w:rPr>
        <w:t xml:space="preserve"> </w:t>
      </w:r>
      <w:r w:rsidRPr="007955BB">
        <w:rPr>
          <w:rFonts w:cs="Sylfaen"/>
          <w:b w:val="0"/>
          <w:bCs/>
          <w:szCs w:val="22"/>
          <w:lang w:val="en-US" w:eastAsia="en-US"/>
        </w:rPr>
        <w:t>են</w:t>
      </w:r>
      <w:r w:rsidRPr="007955BB">
        <w:rPr>
          <w:rFonts w:cs="Sylfaen"/>
          <w:b w:val="0"/>
          <w:bCs/>
          <w:szCs w:val="22"/>
          <w:lang w:val="af-ZA" w:eastAsia="en-US"/>
        </w:rPr>
        <w:t xml:space="preserve"> </w:t>
      </w:r>
      <w:r w:rsidRPr="007955BB">
        <w:rPr>
          <w:rFonts w:cs="Sylfaen"/>
          <w:b w:val="0"/>
          <w:bCs/>
          <w:szCs w:val="22"/>
          <w:lang w:val="hy-AM" w:eastAsia="en-US"/>
        </w:rPr>
        <w:t>սոցիալապես անապահով և հատուկ խմբերին դասված անձանց կացարանի խնդրի լուծման նպատակով սոցիալական բնակարանային ֆոնդի ձևավորմ</w:t>
      </w:r>
      <w:r w:rsidRPr="007955BB">
        <w:rPr>
          <w:rFonts w:cs="Sylfaen"/>
          <w:b w:val="0"/>
          <w:bCs/>
          <w:szCs w:val="22"/>
          <w:lang w:val="en-US" w:eastAsia="en-US"/>
        </w:rPr>
        <w:t>ան</w:t>
      </w:r>
      <w:r w:rsidRPr="007955BB">
        <w:rPr>
          <w:rFonts w:cs="Sylfaen"/>
          <w:b w:val="0"/>
          <w:bCs/>
          <w:szCs w:val="22"/>
          <w:lang w:val="hy-AM" w:eastAsia="en-US"/>
        </w:rPr>
        <w:t>, կացարանի և այլ սոցիալական ծառայությունների տրամադրման հասցեական ծրագրերի իրականացմ</w:t>
      </w:r>
      <w:r w:rsidRPr="007955BB">
        <w:rPr>
          <w:rFonts w:cs="Sylfaen"/>
          <w:b w:val="0"/>
          <w:bCs/>
          <w:szCs w:val="22"/>
          <w:lang w:val="en-US" w:eastAsia="en-US"/>
        </w:rPr>
        <w:t>ան</w:t>
      </w:r>
      <w:r w:rsidRPr="007955BB">
        <w:rPr>
          <w:rFonts w:cs="Sylfaen"/>
          <w:b w:val="0"/>
          <w:bCs/>
          <w:szCs w:val="22"/>
          <w:lang w:val="af-ZA" w:eastAsia="en-US"/>
        </w:rPr>
        <w:t xml:space="preserve"> </w:t>
      </w:r>
      <w:r w:rsidRPr="007955BB">
        <w:rPr>
          <w:rFonts w:cs="Sylfaen"/>
          <w:b w:val="0"/>
          <w:bCs/>
          <w:szCs w:val="22"/>
          <w:lang w:val="en-US" w:eastAsia="en-US"/>
        </w:rPr>
        <w:t>աշխատանքները</w:t>
      </w:r>
      <w:r w:rsidRPr="007955BB">
        <w:rPr>
          <w:rFonts w:cs="Sylfaen"/>
          <w:b w:val="0"/>
          <w:bCs/>
          <w:szCs w:val="22"/>
          <w:lang w:val="af-ZA" w:eastAsia="en-US"/>
        </w:rPr>
        <w:t>:</w:t>
      </w:r>
      <w:r w:rsidRPr="007955BB">
        <w:rPr>
          <w:rFonts w:cs="Sylfaen"/>
          <w:b w:val="0"/>
          <w:bCs/>
          <w:szCs w:val="22"/>
          <w:lang w:val="hy-AM" w:eastAsia="en-US"/>
        </w:rPr>
        <w:t xml:space="preserve"> Մշակվելու է</w:t>
      </w:r>
      <w:r w:rsidRPr="007955BB">
        <w:rPr>
          <w:b w:val="0"/>
          <w:bCs/>
          <w:szCs w:val="22"/>
          <w:lang w:val="hy-AM" w:eastAsia="en-US"/>
        </w:rPr>
        <w:t xml:space="preserve"> բնակարանով ապահովման միասնական քաղաքականություն՝ ռազմավարություն և գործողությունների ծրագիր։</w:t>
      </w:r>
    </w:p>
    <w:p w:rsidR="00F1267C" w:rsidRPr="007955BB" w:rsidRDefault="00F1267C" w:rsidP="00F1267C">
      <w:pPr>
        <w:spacing w:before="0" w:line="276" w:lineRule="auto"/>
        <w:ind w:firstLine="562"/>
        <w:contextualSpacing w:val="0"/>
        <w:rPr>
          <w:rFonts w:cs="Sylfaen"/>
          <w:b w:val="0"/>
          <w:bCs/>
          <w:color w:val="000000"/>
          <w:szCs w:val="22"/>
          <w:lang w:val="af-ZA" w:eastAsia="en-US"/>
        </w:rPr>
      </w:pPr>
      <w:r w:rsidRPr="007955BB">
        <w:rPr>
          <w:rFonts w:cs="Sylfaen"/>
          <w:b w:val="0"/>
          <w:bCs/>
          <w:szCs w:val="22"/>
          <w:lang w:val="af-ZA" w:eastAsia="en-US"/>
        </w:rPr>
        <w:t>202</w:t>
      </w:r>
      <w:r w:rsidRPr="007955BB">
        <w:rPr>
          <w:rFonts w:cs="Sylfaen"/>
          <w:b w:val="0"/>
          <w:bCs/>
          <w:szCs w:val="22"/>
          <w:lang w:val="hy-AM" w:eastAsia="en-US"/>
        </w:rPr>
        <w:t>3</w:t>
      </w:r>
      <w:r w:rsidRPr="007955BB">
        <w:rPr>
          <w:rFonts w:cs="Sylfaen"/>
          <w:b w:val="0"/>
          <w:bCs/>
          <w:szCs w:val="22"/>
          <w:lang w:val="af-ZA" w:eastAsia="en-US"/>
        </w:rPr>
        <w:t xml:space="preserve"> </w:t>
      </w:r>
      <w:r w:rsidRPr="007955BB">
        <w:rPr>
          <w:rFonts w:cs="Sylfaen"/>
          <w:b w:val="0"/>
          <w:bCs/>
          <w:szCs w:val="22"/>
          <w:lang w:val="hy-AM" w:eastAsia="en-US"/>
        </w:rPr>
        <w:t>թվականին</w:t>
      </w:r>
      <w:r w:rsidRPr="007955BB">
        <w:rPr>
          <w:rFonts w:cs="Sylfaen"/>
          <w:b w:val="0"/>
          <w:bCs/>
          <w:szCs w:val="22"/>
          <w:lang w:val="af-ZA" w:eastAsia="en-US"/>
        </w:rPr>
        <w:t xml:space="preserve"> </w:t>
      </w:r>
      <w:r w:rsidRPr="007955BB">
        <w:rPr>
          <w:rFonts w:cs="Sylfaen"/>
          <w:b w:val="0"/>
          <w:bCs/>
          <w:szCs w:val="22"/>
          <w:lang w:val="hy-AM" w:eastAsia="en-US"/>
        </w:rPr>
        <w:t>շարունակվելու</w:t>
      </w:r>
      <w:r w:rsidRPr="007955BB">
        <w:rPr>
          <w:rFonts w:cs="Sylfaen"/>
          <w:b w:val="0"/>
          <w:bCs/>
          <w:szCs w:val="22"/>
          <w:lang w:val="af-ZA" w:eastAsia="en-US"/>
        </w:rPr>
        <w:t xml:space="preserve"> </w:t>
      </w:r>
      <w:r w:rsidRPr="007955BB">
        <w:rPr>
          <w:rFonts w:cs="Sylfaen"/>
          <w:b w:val="0"/>
          <w:bCs/>
          <w:szCs w:val="22"/>
          <w:lang w:val="hy-AM" w:eastAsia="en-US"/>
        </w:rPr>
        <w:t>է</w:t>
      </w:r>
      <w:r w:rsidRPr="007955BB">
        <w:rPr>
          <w:rFonts w:cs="Sylfaen"/>
          <w:b w:val="0"/>
          <w:bCs/>
          <w:szCs w:val="22"/>
          <w:lang w:val="af-ZA" w:eastAsia="en-US"/>
        </w:rPr>
        <w:t xml:space="preserve"> «</w:t>
      </w:r>
      <w:r w:rsidRPr="007955BB">
        <w:rPr>
          <w:rFonts w:cs="Sylfaen"/>
          <w:b w:val="0"/>
          <w:bCs/>
          <w:szCs w:val="22"/>
          <w:lang w:val="hy-AM" w:eastAsia="en-US"/>
        </w:rPr>
        <w:t>Երեխա</w:t>
      </w:r>
      <w:r w:rsidRPr="007955BB">
        <w:rPr>
          <w:rFonts w:cs="Sylfaen"/>
          <w:b w:val="0"/>
          <w:bCs/>
          <w:szCs w:val="22"/>
          <w:lang w:val="af-ZA" w:eastAsia="en-US"/>
        </w:rPr>
        <w:t xml:space="preserve"> </w:t>
      </w:r>
      <w:r w:rsidRPr="007955BB">
        <w:rPr>
          <w:rFonts w:cs="Sylfaen"/>
          <w:b w:val="0"/>
          <w:bCs/>
          <w:szCs w:val="22"/>
          <w:lang w:val="hy-AM" w:eastAsia="en-US"/>
        </w:rPr>
        <w:t>ունեցող</w:t>
      </w:r>
      <w:r w:rsidRPr="007955BB">
        <w:rPr>
          <w:rFonts w:cs="Sylfaen"/>
          <w:b w:val="0"/>
          <w:bCs/>
          <w:szCs w:val="22"/>
          <w:lang w:val="af-ZA" w:eastAsia="en-US"/>
        </w:rPr>
        <w:t xml:space="preserve"> </w:t>
      </w:r>
      <w:r w:rsidRPr="007955BB">
        <w:rPr>
          <w:rFonts w:cs="Sylfaen"/>
          <w:b w:val="0"/>
          <w:bCs/>
          <w:szCs w:val="22"/>
          <w:lang w:val="hy-AM" w:eastAsia="en-US"/>
        </w:rPr>
        <w:t>ընտանիքների</w:t>
      </w:r>
      <w:r w:rsidRPr="007955BB">
        <w:rPr>
          <w:rFonts w:cs="Sylfaen"/>
          <w:b w:val="0"/>
          <w:bCs/>
          <w:szCs w:val="22"/>
          <w:lang w:val="af-ZA" w:eastAsia="en-US"/>
        </w:rPr>
        <w:t xml:space="preserve"> </w:t>
      </w:r>
      <w:r w:rsidRPr="007955BB">
        <w:rPr>
          <w:rFonts w:cs="Sylfaen"/>
          <w:b w:val="0"/>
          <w:bCs/>
          <w:szCs w:val="22"/>
          <w:lang w:val="hy-AM" w:eastAsia="en-US"/>
        </w:rPr>
        <w:t>բնակարանային</w:t>
      </w:r>
      <w:r w:rsidRPr="007955BB">
        <w:rPr>
          <w:rFonts w:cs="Sylfaen"/>
          <w:b w:val="0"/>
          <w:bCs/>
          <w:szCs w:val="22"/>
          <w:lang w:val="af-ZA" w:eastAsia="en-US"/>
        </w:rPr>
        <w:t xml:space="preserve"> </w:t>
      </w:r>
      <w:r w:rsidRPr="007955BB">
        <w:rPr>
          <w:rFonts w:cs="Sylfaen"/>
          <w:b w:val="0"/>
          <w:bCs/>
          <w:szCs w:val="22"/>
          <w:lang w:val="hy-AM" w:eastAsia="en-US"/>
        </w:rPr>
        <w:t>ապահովության</w:t>
      </w:r>
      <w:r w:rsidRPr="007955BB">
        <w:rPr>
          <w:rFonts w:cs="Sylfaen"/>
          <w:b w:val="0"/>
          <w:bCs/>
          <w:szCs w:val="22"/>
          <w:lang w:val="af-ZA" w:eastAsia="en-US"/>
        </w:rPr>
        <w:t xml:space="preserve"> 2020-2023</w:t>
      </w:r>
      <w:r w:rsidRPr="007955BB">
        <w:rPr>
          <w:rFonts w:cs="Sylfaen"/>
          <w:b w:val="0"/>
          <w:bCs/>
          <w:szCs w:val="22"/>
          <w:lang w:val="hy-AM" w:eastAsia="en-US"/>
        </w:rPr>
        <w:t xml:space="preserve"> թթ</w:t>
      </w:r>
      <w:r w:rsidRPr="007955BB">
        <w:rPr>
          <w:rFonts w:cs="Sylfaen"/>
          <w:b w:val="0"/>
          <w:bCs/>
          <w:szCs w:val="22"/>
          <w:lang w:val="af-ZA" w:eastAsia="en-US"/>
        </w:rPr>
        <w:t xml:space="preserve">. </w:t>
      </w:r>
      <w:r w:rsidRPr="007955BB">
        <w:rPr>
          <w:rFonts w:cs="Sylfaen"/>
          <w:b w:val="0"/>
          <w:bCs/>
          <w:szCs w:val="22"/>
          <w:lang w:val="hy-AM" w:eastAsia="en-US"/>
        </w:rPr>
        <w:t>պետական</w:t>
      </w:r>
      <w:r w:rsidRPr="007955BB">
        <w:rPr>
          <w:rFonts w:cs="Sylfaen"/>
          <w:b w:val="0"/>
          <w:bCs/>
          <w:szCs w:val="22"/>
          <w:lang w:val="af-ZA" w:eastAsia="en-US"/>
        </w:rPr>
        <w:t xml:space="preserve"> </w:t>
      </w:r>
      <w:r w:rsidRPr="007955BB">
        <w:rPr>
          <w:rFonts w:cs="Sylfaen"/>
          <w:b w:val="0"/>
          <w:bCs/>
          <w:szCs w:val="22"/>
          <w:lang w:val="hy-AM" w:eastAsia="en-US"/>
        </w:rPr>
        <w:t>աջակցության</w:t>
      </w:r>
      <w:r w:rsidRPr="007955BB">
        <w:rPr>
          <w:rFonts w:cs="Sylfaen"/>
          <w:b w:val="0"/>
          <w:bCs/>
          <w:szCs w:val="22"/>
          <w:lang w:val="af-ZA" w:eastAsia="en-US"/>
        </w:rPr>
        <w:t xml:space="preserve"> </w:t>
      </w:r>
      <w:r w:rsidRPr="007955BB">
        <w:rPr>
          <w:rFonts w:cs="Sylfaen"/>
          <w:b w:val="0"/>
          <w:bCs/>
          <w:szCs w:val="22"/>
          <w:lang w:val="hy-AM" w:eastAsia="en-US"/>
        </w:rPr>
        <w:t>ծրագրերի</w:t>
      </w:r>
      <w:r w:rsidRPr="007955BB">
        <w:rPr>
          <w:rFonts w:cs="Sylfaen"/>
          <w:b w:val="0"/>
          <w:bCs/>
          <w:szCs w:val="22"/>
          <w:lang w:val="af-ZA" w:eastAsia="en-US"/>
        </w:rPr>
        <w:t xml:space="preserve">» </w:t>
      </w:r>
      <w:r w:rsidRPr="007955BB">
        <w:rPr>
          <w:rFonts w:cs="Sylfaen"/>
          <w:b w:val="0"/>
          <w:bCs/>
          <w:szCs w:val="22"/>
          <w:lang w:val="hy-AM" w:eastAsia="en-US"/>
        </w:rPr>
        <w:t>իրականացումը</w:t>
      </w:r>
      <w:r w:rsidRPr="007955BB">
        <w:rPr>
          <w:rFonts w:cs="Sylfaen"/>
          <w:b w:val="0"/>
          <w:bCs/>
          <w:szCs w:val="22"/>
          <w:lang w:val="af-ZA" w:eastAsia="en-US"/>
        </w:rPr>
        <w:t xml:space="preserve">, </w:t>
      </w:r>
      <w:r w:rsidRPr="007955BB">
        <w:rPr>
          <w:rFonts w:cs="Sylfaen"/>
          <w:b w:val="0"/>
          <w:bCs/>
          <w:szCs w:val="22"/>
          <w:lang w:val="hy-AM" w:eastAsia="en-US"/>
        </w:rPr>
        <w:t>որի</w:t>
      </w:r>
      <w:r w:rsidRPr="007955BB">
        <w:rPr>
          <w:rFonts w:cs="Sylfaen"/>
          <w:b w:val="0"/>
          <w:bCs/>
          <w:szCs w:val="22"/>
          <w:lang w:val="af-ZA" w:eastAsia="en-US"/>
        </w:rPr>
        <w:t xml:space="preserve"> </w:t>
      </w:r>
      <w:r w:rsidRPr="007955BB">
        <w:rPr>
          <w:rFonts w:cs="Sylfaen"/>
          <w:b w:val="0"/>
          <w:bCs/>
          <w:szCs w:val="22"/>
          <w:lang w:val="hy-AM" w:eastAsia="en-US"/>
        </w:rPr>
        <w:t>հիմնական</w:t>
      </w:r>
      <w:r w:rsidRPr="007955BB">
        <w:rPr>
          <w:rFonts w:cs="Sylfaen"/>
          <w:b w:val="0"/>
          <w:bCs/>
          <w:szCs w:val="22"/>
          <w:lang w:val="af-ZA" w:eastAsia="en-US"/>
        </w:rPr>
        <w:t xml:space="preserve"> </w:t>
      </w:r>
      <w:r w:rsidRPr="007955BB">
        <w:rPr>
          <w:rFonts w:cs="Sylfaen"/>
          <w:b w:val="0"/>
          <w:bCs/>
          <w:szCs w:val="22"/>
          <w:lang w:val="hy-AM" w:eastAsia="en-US"/>
        </w:rPr>
        <w:t>նպատակն</w:t>
      </w:r>
      <w:r w:rsidRPr="007955BB">
        <w:rPr>
          <w:rFonts w:cs="Sylfaen"/>
          <w:b w:val="0"/>
          <w:bCs/>
          <w:szCs w:val="22"/>
          <w:lang w:val="af-ZA" w:eastAsia="en-US"/>
        </w:rPr>
        <w:t xml:space="preserve"> </w:t>
      </w:r>
      <w:r w:rsidRPr="007955BB">
        <w:rPr>
          <w:rFonts w:cs="Sylfaen"/>
          <w:b w:val="0"/>
          <w:bCs/>
          <w:szCs w:val="22"/>
          <w:lang w:val="hy-AM" w:eastAsia="en-US"/>
        </w:rPr>
        <w:t>է</w:t>
      </w:r>
      <w:r w:rsidRPr="007955BB">
        <w:rPr>
          <w:rFonts w:cs="Sylfaen"/>
          <w:b w:val="0"/>
          <w:bCs/>
          <w:szCs w:val="22"/>
          <w:lang w:val="af-ZA" w:eastAsia="en-US"/>
        </w:rPr>
        <w:t xml:space="preserve"> </w:t>
      </w:r>
      <w:r w:rsidRPr="007955BB">
        <w:rPr>
          <w:rFonts w:cs="Sylfaen"/>
          <w:b w:val="0"/>
          <w:bCs/>
          <w:szCs w:val="22"/>
          <w:lang w:val="hy-AM" w:eastAsia="en-US"/>
        </w:rPr>
        <w:t>աջակցել</w:t>
      </w:r>
      <w:r w:rsidRPr="007955BB">
        <w:rPr>
          <w:rFonts w:cs="Sylfaen"/>
          <w:b w:val="0"/>
          <w:bCs/>
          <w:szCs w:val="22"/>
          <w:lang w:val="af-ZA" w:eastAsia="en-US"/>
        </w:rPr>
        <w:t xml:space="preserve"> </w:t>
      </w:r>
      <w:r w:rsidRPr="007955BB">
        <w:rPr>
          <w:rFonts w:cs="Sylfaen"/>
          <w:b w:val="0"/>
          <w:bCs/>
          <w:szCs w:val="22"/>
          <w:lang w:val="hy-AM" w:eastAsia="en-US"/>
        </w:rPr>
        <w:t>երեխա</w:t>
      </w:r>
      <w:r w:rsidRPr="007955BB">
        <w:rPr>
          <w:rFonts w:cs="Sylfaen"/>
          <w:b w:val="0"/>
          <w:bCs/>
          <w:szCs w:val="22"/>
          <w:lang w:val="af-ZA" w:eastAsia="en-US"/>
        </w:rPr>
        <w:t xml:space="preserve"> </w:t>
      </w:r>
      <w:r w:rsidRPr="007955BB">
        <w:rPr>
          <w:rFonts w:cs="Sylfaen"/>
          <w:b w:val="0"/>
          <w:bCs/>
          <w:szCs w:val="22"/>
          <w:lang w:val="hy-AM" w:eastAsia="en-US"/>
        </w:rPr>
        <w:t>ունեցող</w:t>
      </w:r>
      <w:r w:rsidRPr="007955BB">
        <w:rPr>
          <w:rFonts w:cs="Sylfaen"/>
          <w:b w:val="0"/>
          <w:bCs/>
          <w:szCs w:val="22"/>
          <w:lang w:val="af-ZA" w:eastAsia="en-US"/>
        </w:rPr>
        <w:t xml:space="preserve"> </w:t>
      </w:r>
      <w:r w:rsidRPr="007955BB">
        <w:rPr>
          <w:rFonts w:cs="Sylfaen"/>
          <w:b w:val="0"/>
          <w:bCs/>
          <w:szCs w:val="22"/>
          <w:lang w:val="hy-AM" w:eastAsia="en-US"/>
        </w:rPr>
        <w:t>ընտանիքների</w:t>
      </w:r>
      <w:r w:rsidRPr="007955BB">
        <w:rPr>
          <w:rFonts w:cs="Sylfaen"/>
          <w:b w:val="0"/>
          <w:bCs/>
          <w:szCs w:val="22"/>
          <w:lang w:val="af-ZA" w:eastAsia="en-US"/>
        </w:rPr>
        <w:t xml:space="preserve"> </w:t>
      </w:r>
      <w:r w:rsidRPr="007955BB">
        <w:rPr>
          <w:rFonts w:cs="Sylfaen"/>
          <w:b w:val="0"/>
          <w:bCs/>
          <w:szCs w:val="22"/>
          <w:lang w:val="hy-AM" w:eastAsia="en-US"/>
        </w:rPr>
        <w:t>բնակարանային</w:t>
      </w:r>
      <w:r w:rsidRPr="007955BB">
        <w:rPr>
          <w:rFonts w:cs="Sylfaen"/>
          <w:b w:val="0"/>
          <w:bCs/>
          <w:szCs w:val="22"/>
          <w:lang w:val="af-ZA" w:eastAsia="en-US"/>
        </w:rPr>
        <w:t xml:space="preserve"> </w:t>
      </w:r>
      <w:r w:rsidRPr="007955BB">
        <w:rPr>
          <w:rFonts w:cs="Sylfaen"/>
          <w:b w:val="0"/>
          <w:bCs/>
          <w:szCs w:val="22"/>
          <w:lang w:val="hy-AM" w:eastAsia="en-US"/>
        </w:rPr>
        <w:t>պայմանների</w:t>
      </w:r>
      <w:r w:rsidRPr="007955BB">
        <w:rPr>
          <w:rFonts w:cs="Sylfaen"/>
          <w:b w:val="0"/>
          <w:bCs/>
          <w:szCs w:val="22"/>
          <w:lang w:val="af-ZA" w:eastAsia="en-US"/>
        </w:rPr>
        <w:t xml:space="preserve"> </w:t>
      </w:r>
      <w:r w:rsidRPr="007955BB">
        <w:rPr>
          <w:rFonts w:cs="Sylfaen"/>
          <w:b w:val="0"/>
          <w:bCs/>
          <w:szCs w:val="22"/>
          <w:lang w:val="hy-AM" w:eastAsia="en-US"/>
        </w:rPr>
        <w:t>բարելավմանը</w:t>
      </w:r>
      <w:r w:rsidRPr="007955BB">
        <w:rPr>
          <w:rFonts w:cs="Sylfaen"/>
          <w:b w:val="0"/>
          <w:bCs/>
          <w:color w:val="000000"/>
          <w:szCs w:val="22"/>
          <w:lang w:val="hy-AM" w:eastAsia="en-US"/>
        </w:rPr>
        <w:t>՝</w:t>
      </w:r>
      <w:r w:rsidRPr="007955BB">
        <w:rPr>
          <w:rFonts w:cs="Sylfaen"/>
          <w:b w:val="0"/>
          <w:bCs/>
          <w:color w:val="000000"/>
          <w:szCs w:val="22"/>
          <w:lang w:val="af-ZA" w:eastAsia="en-US"/>
        </w:rPr>
        <w:t xml:space="preserve"> </w:t>
      </w:r>
      <w:r w:rsidRPr="007955BB">
        <w:rPr>
          <w:rFonts w:cs="Sylfaen"/>
          <w:b w:val="0"/>
          <w:bCs/>
          <w:color w:val="000000"/>
          <w:szCs w:val="22"/>
          <w:lang w:val="hy-AM" w:eastAsia="en-US"/>
        </w:rPr>
        <w:t>համապատասխան</w:t>
      </w:r>
      <w:r w:rsidRPr="007955BB">
        <w:rPr>
          <w:rFonts w:cs="Sylfaen"/>
          <w:b w:val="0"/>
          <w:bCs/>
          <w:color w:val="000000"/>
          <w:szCs w:val="22"/>
          <w:lang w:val="af-ZA" w:eastAsia="en-US"/>
        </w:rPr>
        <w:t xml:space="preserve"> </w:t>
      </w:r>
      <w:r w:rsidRPr="007955BB">
        <w:rPr>
          <w:rFonts w:cs="Sylfaen"/>
          <w:b w:val="0"/>
          <w:bCs/>
          <w:color w:val="000000"/>
          <w:szCs w:val="22"/>
          <w:lang w:val="hy-AM" w:eastAsia="en-US"/>
        </w:rPr>
        <w:t>պայմաններ</w:t>
      </w:r>
      <w:r w:rsidRPr="007955BB">
        <w:rPr>
          <w:rFonts w:cs="Sylfaen"/>
          <w:b w:val="0"/>
          <w:bCs/>
          <w:color w:val="000000"/>
          <w:szCs w:val="22"/>
          <w:lang w:val="af-ZA" w:eastAsia="en-US"/>
        </w:rPr>
        <w:t xml:space="preserve"> </w:t>
      </w:r>
      <w:r w:rsidRPr="007955BB">
        <w:rPr>
          <w:rFonts w:cs="Sylfaen"/>
          <w:b w:val="0"/>
          <w:bCs/>
          <w:color w:val="000000"/>
          <w:szCs w:val="22"/>
          <w:lang w:val="hy-AM" w:eastAsia="en-US"/>
        </w:rPr>
        <w:t>ապահովելով</w:t>
      </w:r>
      <w:r w:rsidRPr="007955BB">
        <w:rPr>
          <w:rFonts w:cs="Sylfaen"/>
          <w:b w:val="0"/>
          <w:bCs/>
          <w:color w:val="000000"/>
          <w:szCs w:val="22"/>
          <w:lang w:val="af-ZA" w:eastAsia="en-US"/>
        </w:rPr>
        <w:t xml:space="preserve"> </w:t>
      </w:r>
      <w:r w:rsidRPr="007955BB">
        <w:rPr>
          <w:rFonts w:cs="Sylfaen"/>
          <w:b w:val="0"/>
          <w:bCs/>
          <w:color w:val="000000"/>
          <w:szCs w:val="22"/>
          <w:lang w:val="hy-AM" w:eastAsia="en-US"/>
        </w:rPr>
        <w:t>ընտանիքների</w:t>
      </w:r>
      <w:r w:rsidRPr="007955BB">
        <w:rPr>
          <w:rFonts w:cs="Sylfaen"/>
          <w:b w:val="0"/>
          <w:bCs/>
          <w:color w:val="000000"/>
          <w:szCs w:val="22"/>
          <w:lang w:val="af-ZA" w:eastAsia="en-US"/>
        </w:rPr>
        <w:t xml:space="preserve"> </w:t>
      </w:r>
      <w:r w:rsidRPr="007955BB">
        <w:rPr>
          <w:rFonts w:cs="Sylfaen"/>
          <w:b w:val="0"/>
          <w:bCs/>
          <w:color w:val="000000"/>
          <w:szCs w:val="22"/>
          <w:lang w:val="hy-AM" w:eastAsia="en-US"/>
        </w:rPr>
        <w:t>կայուն</w:t>
      </w:r>
      <w:r w:rsidRPr="007955BB">
        <w:rPr>
          <w:rFonts w:cs="Sylfaen"/>
          <w:b w:val="0"/>
          <w:bCs/>
          <w:color w:val="000000"/>
          <w:szCs w:val="22"/>
          <w:lang w:val="af-ZA" w:eastAsia="en-US"/>
        </w:rPr>
        <w:t xml:space="preserve"> </w:t>
      </w:r>
      <w:r w:rsidRPr="007955BB">
        <w:rPr>
          <w:rFonts w:cs="Sylfaen"/>
          <w:b w:val="0"/>
          <w:bCs/>
          <w:color w:val="000000"/>
          <w:szCs w:val="22"/>
          <w:lang w:val="hy-AM" w:eastAsia="en-US"/>
        </w:rPr>
        <w:t>զարգացման</w:t>
      </w:r>
      <w:r w:rsidRPr="007955BB">
        <w:rPr>
          <w:rFonts w:cs="Sylfaen"/>
          <w:b w:val="0"/>
          <w:bCs/>
          <w:color w:val="000000"/>
          <w:szCs w:val="22"/>
          <w:lang w:val="af-ZA" w:eastAsia="en-US"/>
        </w:rPr>
        <w:t xml:space="preserve"> </w:t>
      </w:r>
      <w:r w:rsidRPr="007955BB">
        <w:rPr>
          <w:rFonts w:cs="Sylfaen"/>
          <w:b w:val="0"/>
          <w:bCs/>
          <w:color w:val="000000"/>
          <w:szCs w:val="22"/>
          <w:lang w:val="hy-AM" w:eastAsia="en-US"/>
        </w:rPr>
        <w:t>համար</w:t>
      </w:r>
      <w:r w:rsidRPr="007955BB">
        <w:rPr>
          <w:rFonts w:cs="Sylfaen"/>
          <w:b w:val="0"/>
          <w:bCs/>
          <w:color w:val="000000"/>
          <w:szCs w:val="22"/>
          <w:lang w:val="af-ZA" w:eastAsia="en-US"/>
        </w:rPr>
        <w:t xml:space="preserve">, </w:t>
      </w:r>
      <w:r w:rsidRPr="007955BB">
        <w:rPr>
          <w:rFonts w:cs="Sylfaen"/>
          <w:b w:val="0"/>
          <w:bCs/>
          <w:color w:val="000000"/>
          <w:szCs w:val="22"/>
          <w:lang w:val="hy-AM" w:eastAsia="en-US"/>
        </w:rPr>
        <w:t>ինչպես</w:t>
      </w:r>
      <w:r w:rsidRPr="007955BB">
        <w:rPr>
          <w:rFonts w:cs="Sylfaen"/>
          <w:b w:val="0"/>
          <w:bCs/>
          <w:color w:val="000000"/>
          <w:szCs w:val="22"/>
          <w:lang w:val="af-ZA" w:eastAsia="en-US"/>
        </w:rPr>
        <w:t xml:space="preserve"> </w:t>
      </w:r>
      <w:r w:rsidRPr="007955BB">
        <w:rPr>
          <w:rFonts w:cs="Sylfaen"/>
          <w:b w:val="0"/>
          <w:bCs/>
          <w:color w:val="000000"/>
          <w:szCs w:val="22"/>
          <w:lang w:val="hy-AM" w:eastAsia="en-US"/>
        </w:rPr>
        <w:t>նաև</w:t>
      </w:r>
      <w:r w:rsidRPr="007955BB">
        <w:rPr>
          <w:rFonts w:cs="Sylfaen"/>
          <w:b w:val="0"/>
          <w:bCs/>
          <w:color w:val="000000"/>
          <w:szCs w:val="22"/>
          <w:lang w:val="af-ZA" w:eastAsia="en-US"/>
        </w:rPr>
        <w:t xml:space="preserve"> </w:t>
      </w:r>
      <w:r w:rsidRPr="007955BB">
        <w:rPr>
          <w:rFonts w:cs="Sylfaen"/>
          <w:b w:val="0"/>
          <w:bCs/>
          <w:color w:val="000000"/>
          <w:szCs w:val="22"/>
          <w:lang w:val="hy-AM" w:eastAsia="en-US"/>
        </w:rPr>
        <w:t>խթանել</w:t>
      </w:r>
      <w:r w:rsidRPr="007955BB">
        <w:rPr>
          <w:rFonts w:cs="Sylfaen"/>
          <w:b w:val="0"/>
          <w:bCs/>
          <w:color w:val="000000"/>
          <w:szCs w:val="22"/>
          <w:lang w:val="af-ZA" w:eastAsia="en-US"/>
        </w:rPr>
        <w:t xml:space="preserve"> </w:t>
      </w:r>
      <w:r w:rsidRPr="007955BB">
        <w:rPr>
          <w:rFonts w:cs="Sylfaen"/>
          <w:b w:val="0"/>
          <w:bCs/>
          <w:color w:val="000000"/>
          <w:szCs w:val="22"/>
          <w:lang w:val="hy-AM" w:eastAsia="en-US"/>
        </w:rPr>
        <w:t>երեխա</w:t>
      </w:r>
      <w:r w:rsidRPr="007955BB">
        <w:rPr>
          <w:rFonts w:cs="Sylfaen"/>
          <w:b w:val="0"/>
          <w:bCs/>
          <w:color w:val="000000"/>
          <w:szCs w:val="22"/>
          <w:lang w:val="af-ZA" w:eastAsia="en-US"/>
        </w:rPr>
        <w:t xml:space="preserve"> </w:t>
      </w:r>
      <w:r w:rsidRPr="007955BB">
        <w:rPr>
          <w:rFonts w:cs="Sylfaen"/>
          <w:b w:val="0"/>
          <w:bCs/>
          <w:color w:val="000000"/>
          <w:szCs w:val="22"/>
          <w:lang w:val="hy-AM" w:eastAsia="en-US"/>
        </w:rPr>
        <w:t>ունեցող</w:t>
      </w:r>
      <w:r w:rsidRPr="007955BB">
        <w:rPr>
          <w:rFonts w:cs="Sylfaen"/>
          <w:b w:val="0"/>
          <w:bCs/>
          <w:color w:val="000000"/>
          <w:szCs w:val="22"/>
          <w:lang w:val="af-ZA" w:eastAsia="en-US"/>
        </w:rPr>
        <w:t xml:space="preserve"> </w:t>
      </w:r>
      <w:r w:rsidRPr="007955BB">
        <w:rPr>
          <w:rFonts w:cs="Sylfaen"/>
          <w:b w:val="0"/>
          <w:bCs/>
          <w:color w:val="000000"/>
          <w:szCs w:val="22"/>
          <w:lang w:val="hy-AM" w:eastAsia="en-US"/>
        </w:rPr>
        <w:t>ընտանիքների</w:t>
      </w:r>
      <w:r w:rsidRPr="007955BB">
        <w:rPr>
          <w:rFonts w:cs="Sylfaen"/>
          <w:b w:val="0"/>
          <w:bCs/>
          <w:color w:val="000000"/>
          <w:szCs w:val="22"/>
          <w:lang w:val="af-ZA" w:eastAsia="en-US"/>
        </w:rPr>
        <w:t xml:space="preserve"> </w:t>
      </w:r>
      <w:r w:rsidRPr="007955BB">
        <w:rPr>
          <w:rFonts w:cs="Sylfaen"/>
          <w:b w:val="0"/>
          <w:bCs/>
          <w:color w:val="000000"/>
          <w:szCs w:val="22"/>
          <w:lang w:val="hy-AM" w:eastAsia="en-US"/>
        </w:rPr>
        <w:t>բնակարանային</w:t>
      </w:r>
      <w:r w:rsidRPr="007955BB">
        <w:rPr>
          <w:rFonts w:cs="Sylfaen"/>
          <w:b w:val="0"/>
          <w:bCs/>
          <w:color w:val="000000"/>
          <w:szCs w:val="22"/>
          <w:lang w:val="af-ZA" w:eastAsia="en-US"/>
        </w:rPr>
        <w:t xml:space="preserve"> </w:t>
      </w:r>
      <w:r w:rsidRPr="007955BB">
        <w:rPr>
          <w:rFonts w:cs="Sylfaen"/>
          <w:b w:val="0"/>
          <w:bCs/>
          <w:color w:val="000000"/>
          <w:szCs w:val="22"/>
          <w:lang w:val="hy-AM" w:eastAsia="en-US"/>
        </w:rPr>
        <w:t>պայմանների</w:t>
      </w:r>
      <w:r w:rsidRPr="007955BB">
        <w:rPr>
          <w:rFonts w:cs="Sylfaen"/>
          <w:b w:val="0"/>
          <w:bCs/>
          <w:color w:val="000000"/>
          <w:szCs w:val="22"/>
          <w:lang w:val="af-ZA" w:eastAsia="en-US"/>
        </w:rPr>
        <w:t xml:space="preserve"> </w:t>
      </w:r>
      <w:r w:rsidRPr="007955BB">
        <w:rPr>
          <w:rFonts w:cs="Sylfaen"/>
          <w:b w:val="0"/>
          <w:bCs/>
          <w:color w:val="000000"/>
          <w:szCs w:val="22"/>
          <w:lang w:val="hy-AM" w:eastAsia="en-US"/>
        </w:rPr>
        <w:t>բարելավման</w:t>
      </w:r>
      <w:r w:rsidRPr="007955BB">
        <w:rPr>
          <w:rFonts w:cs="Sylfaen"/>
          <w:b w:val="0"/>
          <w:bCs/>
          <w:color w:val="000000"/>
          <w:szCs w:val="22"/>
          <w:lang w:val="af-ZA" w:eastAsia="en-US"/>
        </w:rPr>
        <w:t xml:space="preserve"> </w:t>
      </w:r>
      <w:r w:rsidRPr="007955BB">
        <w:rPr>
          <w:rFonts w:cs="Sylfaen"/>
          <w:b w:val="0"/>
          <w:bCs/>
          <w:color w:val="000000"/>
          <w:szCs w:val="22"/>
          <w:lang w:val="hy-AM" w:eastAsia="en-US"/>
        </w:rPr>
        <w:t>գործընթացը</w:t>
      </w:r>
      <w:r w:rsidRPr="007955BB">
        <w:rPr>
          <w:rFonts w:cs="Sylfaen"/>
          <w:b w:val="0"/>
          <w:bCs/>
          <w:color w:val="000000"/>
          <w:szCs w:val="22"/>
          <w:lang w:val="af-ZA" w:eastAsia="en-US"/>
        </w:rPr>
        <w:t xml:space="preserve"> </w:t>
      </w:r>
      <w:r w:rsidRPr="007955BB">
        <w:rPr>
          <w:rFonts w:cs="Sylfaen"/>
          <w:b w:val="0"/>
          <w:bCs/>
          <w:color w:val="000000"/>
          <w:szCs w:val="22"/>
          <w:lang w:val="hy-AM" w:eastAsia="en-US"/>
        </w:rPr>
        <w:t>մարզային</w:t>
      </w:r>
      <w:r w:rsidRPr="007955BB">
        <w:rPr>
          <w:rFonts w:cs="Sylfaen"/>
          <w:b w:val="0"/>
          <w:bCs/>
          <w:color w:val="000000"/>
          <w:szCs w:val="22"/>
          <w:lang w:val="af-ZA" w:eastAsia="en-US"/>
        </w:rPr>
        <w:t xml:space="preserve"> </w:t>
      </w:r>
      <w:r w:rsidRPr="007955BB">
        <w:rPr>
          <w:rFonts w:cs="Sylfaen"/>
          <w:b w:val="0"/>
          <w:bCs/>
          <w:color w:val="000000"/>
          <w:szCs w:val="22"/>
          <w:lang w:val="hy-AM" w:eastAsia="en-US"/>
        </w:rPr>
        <w:t>բնակավայրերում։</w:t>
      </w:r>
    </w:p>
    <w:p w:rsidR="00F1267C" w:rsidRPr="007955BB" w:rsidRDefault="00F1267C" w:rsidP="00F1267C">
      <w:pPr>
        <w:spacing w:before="0" w:line="276" w:lineRule="auto"/>
        <w:ind w:firstLine="562"/>
        <w:contextualSpacing w:val="0"/>
        <w:rPr>
          <w:rFonts w:cs="Sylfaen"/>
          <w:b w:val="0"/>
          <w:szCs w:val="22"/>
          <w:lang w:val="hy-AM" w:eastAsia="en-US"/>
        </w:rPr>
      </w:pPr>
      <w:r w:rsidRPr="007955BB">
        <w:rPr>
          <w:rFonts w:cs="Sylfaen"/>
          <w:szCs w:val="22"/>
          <w:lang w:val="af-ZA" w:eastAsia="en-US"/>
        </w:rPr>
        <w:t xml:space="preserve">Աշխատանքի և զբաղվածության </w:t>
      </w:r>
      <w:r w:rsidRPr="007955BB">
        <w:rPr>
          <w:rFonts w:cs="Times Armenian"/>
          <w:szCs w:val="22"/>
          <w:lang w:val="hy-AM" w:eastAsia="en-US"/>
        </w:rPr>
        <w:t>բնագավառում</w:t>
      </w:r>
      <w:r w:rsidRPr="007955BB">
        <w:rPr>
          <w:b w:val="0"/>
          <w:bCs/>
          <w:szCs w:val="22"/>
          <w:lang w:val="af-ZA" w:eastAsia="en-US"/>
        </w:rPr>
        <w:t xml:space="preserve"> </w:t>
      </w:r>
      <w:r w:rsidRPr="007955BB">
        <w:rPr>
          <w:rFonts w:cs="Sylfaen"/>
          <w:b w:val="0"/>
          <w:bCs/>
          <w:szCs w:val="22"/>
          <w:lang w:val="hy-AM" w:eastAsia="en-US"/>
        </w:rPr>
        <w:t>պետական քաղաքականության մեջ կարևորվում են.</w:t>
      </w:r>
    </w:p>
    <w:p w:rsidR="00F1267C" w:rsidRPr="007955BB" w:rsidRDefault="00F1267C" w:rsidP="00F04DA1">
      <w:pPr>
        <w:numPr>
          <w:ilvl w:val="0"/>
          <w:numId w:val="63"/>
        </w:numPr>
        <w:tabs>
          <w:tab w:val="left" w:pos="1080"/>
        </w:tabs>
        <w:spacing w:before="0" w:line="276" w:lineRule="auto"/>
        <w:ind w:left="0" w:firstLine="562"/>
        <w:contextualSpacing w:val="0"/>
        <w:jc w:val="left"/>
        <w:rPr>
          <w:rFonts w:cs="Browallia New"/>
          <w:bCs/>
          <w:szCs w:val="22"/>
          <w:lang w:val="hy-AM"/>
        </w:rPr>
      </w:pPr>
      <w:r w:rsidRPr="007955BB">
        <w:rPr>
          <w:rFonts w:cs="Sylfaen"/>
          <w:b w:val="0"/>
          <w:bCs/>
          <w:szCs w:val="22"/>
          <w:lang w:val="hy-AM" w:eastAsia="en-US"/>
        </w:rPr>
        <w:t xml:space="preserve">զբաղվածության կարգավորման պետական ծրագրերի հասցեականության ու արդյունավետության բարձրացումը, </w:t>
      </w:r>
    </w:p>
    <w:p w:rsidR="00F1267C" w:rsidRPr="007955BB" w:rsidRDefault="00F1267C" w:rsidP="00F04DA1">
      <w:pPr>
        <w:numPr>
          <w:ilvl w:val="0"/>
          <w:numId w:val="63"/>
        </w:numPr>
        <w:tabs>
          <w:tab w:val="left" w:pos="1080"/>
        </w:tabs>
        <w:spacing w:before="0" w:line="276" w:lineRule="auto"/>
        <w:ind w:left="0" w:firstLine="562"/>
        <w:contextualSpacing w:val="0"/>
        <w:jc w:val="left"/>
        <w:rPr>
          <w:rFonts w:eastAsia="Calibri"/>
          <w:b w:val="0"/>
          <w:bCs/>
          <w:noProof/>
          <w:szCs w:val="22"/>
          <w:lang w:val="hy-AM" w:eastAsia="en-US"/>
        </w:rPr>
      </w:pPr>
      <w:r w:rsidRPr="007955BB">
        <w:rPr>
          <w:rFonts w:eastAsia="Calibri"/>
          <w:b w:val="0"/>
          <w:bCs/>
          <w:noProof/>
          <w:szCs w:val="22"/>
          <w:lang w:val="hy-AM" w:eastAsia="en-US"/>
        </w:rPr>
        <w:t>աշխատաշուկայում անմրցունակ, հատկապես` հաշմանդամություն ունեցող անձանց, ինչպես նաև երիտասարդների կայուն զբաղվածության ապահովմանն և ինքնազբաղվածության խթանմանն ուղղված զբաղվածության ակտիվ ծրագրերի իրականացումը, աշխատաշուկայի լարվածության մեղմումը,</w:t>
      </w:r>
    </w:p>
    <w:p w:rsidR="00F1267C" w:rsidRPr="007955BB" w:rsidRDefault="00F1267C" w:rsidP="00F04DA1">
      <w:pPr>
        <w:numPr>
          <w:ilvl w:val="0"/>
          <w:numId w:val="63"/>
        </w:numPr>
        <w:tabs>
          <w:tab w:val="left" w:pos="1080"/>
        </w:tabs>
        <w:spacing w:before="0" w:line="276" w:lineRule="auto"/>
        <w:ind w:left="0" w:firstLine="562"/>
        <w:contextualSpacing w:val="0"/>
        <w:jc w:val="left"/>
        <w:rPr>
          <w:rFonts w:eastAsia="Calibri"/>
          <w:b w:val="0"/>
          <w:bCs/>
          <w:noProof/>
          <w:szCs w:val="22"/>
          <w:lang w:val="hy-AM" w:eastAsia="en-US"/>
        </w:rPr>
      </w:pPr>
      <w:r w:rsidRPr="007955BB">
        <w:rPr>
          <w:rFonts w:eastAsia="Calibri"/>
          <w:b w:val="0"/>
          <w:bCs/>
          <w:noProof/>
          <w:szCs w:val="22"/>
          <w:lang w:val="hy-AM" w:eastAsia="en-US"/>
        </w:rPr>
        <w:t xml:space="preserve"> գործատուների շահագրգիռ ներգրավվածության խթանումը, գործատուների կողմից ներկայացված թափուր աշխատատեղերը որակյալ մասնագետներով համալրումը,</w:t>
      </w:r>
    </w:p>
    <w:p w:rsidR="00F1267C" w:rsidRPr="007955BB" w:rsidRDefault="00F1267C" w:rsidP="00F04DA1">
      <w:pPr>
        <w:numPr>
          <w:ilvl w:val="0"/>
          <w:numId w:val="63"/>
        </w:numPr>
        <w:tabs>
          <w:tab w:val="left" w:pos="1080"/>
        </w:tabs>
        <w:spacing w:before="0" w:line="276" w:lineRule="auto"/>
        <w:ind w:left="0" w:firstLine="562"/>
        <w:contextualSpacing w:val="0"/>
        <w:jc w:val="left"/>
        <w:rPr>
          <w:rFonts w:eastAsia="Calibri"/>
          <w:b w:val="0"/>
          <w:bCs/>
          <w:noProof/>
          <w:szCs w:val="22"/>
          <w:lang w:val="hy-AM" w:eastAsia="en-US"/>
        </w:rPr>
      </w:pPr>
      <w:r w:rsidRPr="007955BB">
        <w:rPr>
          <w:rFonts w:eastAsia="Calibri"/>
          <w:b w:val="0"/>
          <w:bCs/>
          <w:noProof/>
          <w:szCs w:val="22"/>
          <w:lang w:val="hy-AM" w:eastAsia="en-US"/>
        </w:rPr>
        <w:t>արժանապատիվ աշխատանքի իրավունքի իրացման նպատակով՝ աշխատանքային հարաբերությունների կարգավորման մեխանիզմների պարզեցումը և բարելավումը՝ համապատասխանեցվելով նաև Հայաստանի Հանրապետության ստանձնած միջազգային պարտավորություններին,</w:t>
      </w:r>
    </w:p>
    <w:p w:rsidR="00F1267C" w:rsidRPr="007955BB" w:rsidRDefault="00F1267C" w:rsidP="00F04DA1">
      <w:pPr>
        <w:numPr>
          <w:ilvl w:val="0"/>
          <w:numId w:val="63"/>
        </w:numPr>
        <w:tabs>
          <w:tab w:val="left" w:pos="1080"/>
        </w:tabs>
        <w:spacing w:before="0" w:line="276" w:lineRule="auto"/>
        <w:ind w:left="0" w:firstLine="562"/>
        <w:contextualSpacing w:val="0"/>
        <w:jc w:val="left"/>
        <w:rPr>
          <w:rFonts w:eastAsia="Calibri"/>
          <w:b w:val="0"/>
          <w:bCs/>
          <w:noProof/>
          <w:szCs w:val="22"/>
          <w:lang w:val="hy-AM" w:eastAsia="en-US"/>
        </w:rPr>
      </w:pPr>
      <w:r w:rsidRPr="007955BB">
        <w:rPr>
          <w:rFonts w:eastAsia="Calibri"/>
          <w:b w:val="0"/>
          <w:bCs/>
          <w:noProof/>
          <w:szCs w:val="22"/>
          <w:lang w:val="hy-AM" w:eastAsia="en-US"/>
        </w:rPr>
        <w:t>նվազագույն աշխատավարձի բարձրացումը,</w:t>
      </w:r>
    </w:p>
    <w:p w:rsidR="00F1267C" w:rsidRPr="007955BB" w:rsidRDefault="00F1267C" w:rsidP="00F04DA1">
      <w:pPr>
        <w:numPr>
          <w:ilvl w:val="0"/>
          <w:numId w:val="63"/>
        </w:numPr>
        <w:tabs>
          <w:tab w:val="left" w:pos="1080"/>
        </w:tabs>
        <w:spacing w:before="0" w:line="276" w:lineRule="auto"/>
        <w:ind w:left="0" w:firstLine="562"/>
        <w:contextualSpacing w:val="0"/>
        <w:jc w:val="left"/>
        <w:rPr>
          <w:rFonts w:eastAsia="Calibri"/>
          <w:b w:val="0"/>
          <w:bCs/>
          <w:noProof/>
          <w:szCs w:val="22"/>
          <w:lang w:val="hy-AM" w:eastAsia="en-US"/>
        </w:rPr>
      </w:pPr>
      <w:r w:rsidRPr="007955BB">
        <w:rPr>
          <w:rFonts w:eastAsia="Calibri"/>
          <w:b w:val="0"/>
          <w:bCs/>
          <w:noProof/>
          <w:szCs w:val="22"/>
          <w:lang w:val="hy-AM" w:eastAsia="en-US"/>
        </w:rPr>
        <w:t>աշխատանքային իրավունքների պաշտպանության արտադատական մեխանիզմների ներդրումը,</w:t>
      </w:r>
    </w:p>
    <w:p w:rsidR="00F1267C" w:rsidRPr="007955BB" w:rsidRDefault="00F1267C" w:rsidP="00F04DA1">
      <w:pPr>
        <w:numPr>
          <w:ilvl w:val="0"/>
          <w:numId w:val="63"/>
        </w:numPr>
        <w:tabs>
          <w:tab w:val="left" w:pos="1080"/>
        </w:tabs>
        <w:spacing w:before="0" w:line="276" w:lineRule="auto"/>
        <w:ind w:left="0" w:firstLine="562"/>
        <w:contextualSpacing w:val="0"/>
        <w:jc w:val="left"/>
        <w:rPr>
          <w:rFonts w:eastAsia="Calibri"/>
          <w:b w:val="0"/>
          <w:bCs/>
          <w:noProof/>
          <w:szCs w:val="22"/>
          <w:lang w:val="hy-AM" w:eastAsia="en-US"/>
        </w:rPr>
      </w:pPr>
      <w:r w:rsidRPr="007955BB">
        <w:rPr>
          <w:rFonts w:eastAsia="Calibri"/>
          <w:b w:val="0"/>
          <w:bCs/>
          <w:noProof/>
          <w:szCs w:val="22"/>
          <w:lang w:val="hy-AM" w:eastAsia="en-US"/>
        </w:rPr>
        <w:t>պետական հատվածի աշխատողների սոցիալական երաշխիքների ընդլայնումը։</w:t>
      </w:r>
    </w:p>
    <w:p w:rsidR="00F1267C" w:rsidRPr="00C43BF7" w:rsidRDefault="00F1267C" w:rsidP="00F1267C">
      <w:pPr>
        <w:spacing w:before="0" w:line="276" w:lineRule="auto"/>
        <w:ind w:firstLine="562"/>
        <w:contextualSpacing w:val="0"/>
        <w:rPr>
          <w:b w:val="0"/>
          <w:bCs/>
          <w:szCs w:val="22"/>
          <w:lang w:val="hy-AM"/>
        </w:rPr>
      </w:pPr>
      <w:r w:rsidRPr="007955BB">
        <w:rPr>
          <w:rFonts w:cs="Browallia New"/>
          <w:bCs/>
          <w:szCs w:val="22"/>
          <w:lang w:val="hy-AM"/>
        </w:rPr>
        <w:t>Երեխաների հիմնահարցերի բնագավառում</w:t>
      </w:r>
      <w:r w:rsidRPr="00C43BF7">
        <w:rPr>
          <w:rFonts w:cs="Browallia New"/>
          <w:b w:val="0"/>
          <w:bCs/>
          <w:szCs w:val="22"/>
          <w:lang w:val="hy-AM"/>
        </w:rPr>
        <w:t xml:space="preserve"> </w:t>
      </w:r>
      <w:r w:rsidRPr="00C43BF7">
        <w:rPr>
          <w:b w:val="0"/>
          <w:bCs/>
          <w:szCs w:val="22"/>
          <w:lang w:val="hy-AM"/>
        </w:rPr>
        <w:t>2023 թվականին աշխատանքներն ուղղված են լինելու կյանքի դժվարին իրավիճակում հայտնված երեխաների և նրանց ընտանիքների սոցիալական պաշտպանությանը, հաստատություններում նրանց խնամքի, դաստիարակության, ուսման և ֆիզիկական զարգացման համար նպաստավոր պայմանների ստեղծմանը:</w:t>
      </w:r>
    </w:p>
    <w:p w:rsidR="00F1267C" w:rsidRPr="00C43BF7" w:rsidRDefault="00F1267C" w:rsidP="00F1267C">
      <w:pPr>
        <w:spacing w:before="0" w:line="276" w:lineRule="auto"/>
        <w:ind w:firstLine="562"/>
        <w:contextualSpacing w:val="0"/>
        <w:rPr>
          <w:b w:val="0"/>
          <w:bCs/>
          <w:szCs w:val="22"/>
          <w:lang w:val="hy-AM"/>
        </w:rPr>
      </w:pPr>
      <w:r w:rsidRPr="00C43BF7">
        <w:rPr>
          <w:b w:val="0"/>
          <w:bCs/>
          <w:szCs w:val="22"/>
          <w:lang w:val="hy-AM"/>
        </w:rPr>
        <w:t>Վերջին տարիներին երեխաների պաշտպանության համակարգի բարեփոխումների արդյունքում՝ կյանքի դժվարին իրավիճակում հայտնված երեխայի ընտանիքում ապրելու իրավունքը ապահովելու նպատակով ակտիվացել է «Խնամատար ընտանիքում երեխայի խնամքի և դաստիարակության աջակցության տրամադրում» միջոցառումը, որի շրջանակներում 2023 թվականին նախատեսվում է 115 խնամատար ընտանիքներում կազմակերպել 150 խնամատարության ենթակա երեխաների խնամքը։</w:t>
      </w:r>
    </w:p>
    <w:p w:rsidR="00F1267C" w:rsidRPr="00C43BF7" w:rsidRDefault="00F1267C" w:rsidP="00F1267C">
      <w:pPr>
        <w:spacing w:before="0" w:line="276" w:lineRule="auto"/>
        <w:ind w:firstLine="562"/>
        <w:contextualSpacing w:val="0"/>
        <w:rPr>
          <w:b w:val="0"/>
          <w:bCs/>
          <w:szCs w:val="22"/>
          <w:lang w:val="hy-AM"/>
        </w:rPr>
      </w:pPr>
      <w:r w:rsidRPr="00C43BF7">
        <w:rPr>
          <w:b w:val="0"/>
          <w:bCs/>
          <w:szCs w:val="22"/>
          <w:lang w:val="hy-AM"/>
        </w:rPr>
        <w:t>2023 թվականին</w:t>
      </w:r>
      <w:r w:rsidRPr="007955BB">
        <w:rPr>
          <w:b w:val="0"/>
          <w:bCs/>
          <w:szCs w:val="22"/>
          <w:lang w:val="hy-AM"/>
        </w:rPr>
        <w:t xml:space="preserve"> կ</w:t>
      </w:r>
      <w:r w:rsidRPr="00C43BF7">
        <w:rPr>
          <w:b w:val="0"/>
          <w:bCs/>
          <w:szCs w:val="22"/>
          <w:lang w:val="hy-AM"/>
        </w:rPr>
        <w:t>շարունակվի 615 երեխայի շուրջօրյա խնամքի ծառայություններ</w:t>
      </w:r>
      <w:r w:rsidRPr="007955BB">
        <w:rPr>
          <w:b w:val="0"/>
          <w:bCs/>
          <w:szCs w:val="22"/>
          <w:lang w:val="hy-AM"/>
        </w:rPr>
        <w:t>ի տրամադրումը</w:t>
      </w:r>
      <w:r w:rsidRPr="00C43BF7">
        <w:rPr>
          <w:b w:val="0"/>
          <w:bCs/>
          <w:szCs w:val="22"/>
          <w:lang w:val="hy-AM"/>
        </w:rPr>
        <w:t xml:space="preserve"> սոցիալական պաշտպանության ընդհանուր և հատուկ/մասնագիտացված տիպի 5 հաստատություններում: </w:t>
      </w:r>
    </w:p>
    <w:p w:rsidR="00F1267C" w:rsidRPr="00C43BF7" w:rsidRDefault="00F1267C" w:rsidP="00F1267C">
      <w:pPr>
        <w:spacing w:before="0" w:line="276" w:lineRule="auto"/>
        <w:ind w:firstLine="562"/>
        <w:contextualSpacing w:val="0"/>
        <w:rPr>
          <w:b w:val="0"/>
          <w:bCs/>
          <w:szCs w:val="22"/>
          <w:lang w:val="hy-AM"/>
        </w:rPr>
      </w:pPr>
      <w:r w:rsidRPr="007955BB">
        <w:rPr>
          <w:b w:val="0"/>
          <w:bCs/>
          <w:szCs w:val="22"/>
          <w:lang w:val="hy-AM"/>
        </w:rPr>
        <w:t xml:space="preserve">Կշարունակվեն </w:t>
      </w:r>
      <w:r w:rsidRPr="00C43BF7">
        <w:rPr>
          <w:b w:val="0"/>
          <w:bCs/>
          <w:szCs w:val="22"/>
          <w:lang w:val="hy-AM"/>
        </w:rPr>
        <w:t>երեխաների շուրջօրյա խնամքի բնակչության սոցիալական պաշտպանության հաստատությունների շրջանավարտներին տրամադրվել մեկ տարի շարունակ՝ ամսական հաճախությամբ նվազագույն սպառողական զամբյուղին համարժեք դրամական օգնություն և հաստատությունների 18-23 տարեկան շրջանավարտների համար բնակարանների վարձակալություն</w:t>
      </w:r>
      <w:r w:rsidRPr="007955BB">
        <w:rPr>
          <w:b w:val="0"/>
          <w:bCs/>
          <w:szCs w:val="22"/>
          <w:lang w:val="hy-AM"/>
        </w:rPr>
        <w:t>ը</w:t>
      </w:r>
      <w:r w:rsidRPr="00C43BF7">
        <w:rPr>
          <w:b w:val="0"/>
          <w:bCs/>
          <w:szCs w:val="22"/>
          <w:lang w:val="hy-AM"/>
        </w:rPr>
        <w:t>:</w:t>
      </w:r>
    </w:p>
    <w:p w:rsidR="00F1267C" w:rsidRPr="00C43BF7" w:rsidRDefault="00F1267C" w:rsidP="00F1267C">
      <w:pPr>
        <w:spacing w:before="0" w:line="276" w:lineRule="auto"/>
        <w:ind w:firstLine="562"/>
        <w:contextualSpacing w:val="0"/>
        <w:rPr>
          <w:b w:val="0"/>
          <w:bCs/>
          <w:szCs w:val="22"/>
          <w:lang w:val="hy-AM"/>
        </w:rPr>
      </w:pPr>
      <w:r w:rsidRPr="00C43BF7">
        <w:rPr>
          <w:b w:val="0"/>
          <w:bCs/>
          <w:szCs w:val="22"/>
          <w:lang w:val="hy-AM"/>
        </w:rPr>
        <w:t>Կյանքի դժվարին իրավիճակում հայտնված երեխայի ընտանիքում ապրելու իրավունքը ապահովելու, նրանց խնամքի, այլընտրանքային ծառայություններ տրամադրելու նպատակով կշարունակվի «Երեխաների և ընտանիքների աջակցության տրամադրման ծառայություններ» միջոցառման շրջանակում վեց աջակցության կենտրոնում տրամադրվել սոցիալ-հոգեբանական ծառայություններ կյանքի դժվարին իրավիճակում հայտնված 600 երեխայի և նրանց ընտանիքներին: Միաժամանակ, կարճաժամկետ խնամք իրականացնելու նպատակով երեք ճգնաժամային կենտրոններում շարունակվելու է 0-18 տարեկան 150 երեխայի կարճաժամկետ շուրջօրյա խնամքի ծառայությունների իրականացումը:</w:t>
      </w:r>
    </w:p>
    <w:p w:rsidR="00F1267C" w:rsidRPr="00C43BF7" w:rsidRDefault="00F1267C" w:rsidP="00F1267C">
      <w:pPr>
        <w:spacing w:before="0" w:line="276" w:lineRule="auto"/>
        <w:ind w:firstLine="562"/>
        <w:contextualSpacing w:val="0"/>
        <w:rPr>
          <w:b w:val="0"/>
          <w:bCs/>
          <w:szCs w:val="22"/>
          <w:lang w:val="hy-AM"/>
        </w:rPr>
      </w:pPr>
      <w:r w:rsidRPr="00C43BF7">
        <w:rPr>
          <w:b w:val="0"/>
          <w:bCs/>
          <w:szCs w:val="22"/>
          <w:lang w:val="hy-AM"/>
        </w:rPr>
        <w:t>Պատվիրակված հասարակական կազմակերպությունների կողմից հանրապետության բոլոր մարզերում «Երեխաների խնամքի ցերեկային ծառայությունների տրամադրում» միջոցառման շրջանակում նվազագույնը 20 կենտրոններում կյանքի դժվարին իրավիճակում հայտնված 3500 երեխայի և նրանց ծնողներին կտրամադրվեն սոցիալական սպասարկման ծառայություններ, ինչպես նաև սոցիալական, հոգեբանական, իրավաբանական խորհրդատվություն և աջակցություն՝ ՀՀ երեխաների խնամք և պաշտպանություն իրականացնող հաստատություններում խնամվող երեխաներին կենսաբանական ընտանիք վերադարձնելու, ինչպես նաև նրանց մուտքը սահմանափակելու նպատակով:</w:t>
      </w:r>
    </w:p>
    <w:p w:rsidR="00F1267C" w:rsidRPr="00C43BF7" w:rsidRDefault="00F1267C" w:rsidP="00F1267C">
      <w:pPr>
        <w:spacing w:before="0" w:line="276" w:lineRule="auto"/>
        <w:ind w:firstLine="562"/>
        <w:contextualSpacing w:val="0"/>
        <w:rPr>
          <w:b w:val="0"/>
          <w:bCs/>
          <w:szCs w:val="22"/>
          <w:lang w:val="hy-AM"/>
        </w:rPr>
      </w:pPr>
      <w:r w:rsidRPr="00C43BF7">
        <w:rPr>
          <w:b w:val="0"/>
          <w:bCs/>
          <w:szCs w:val="22"/>
          <w:lang w:val="hy-AM"/>
        </w:rPr>
        <w:t>Երեխաների շուրջօրյա խնամքի բնակչության սոցիալական պաշտպանության հաստատություններում խնամվող 7-18 տարեկան դպրոցահասակ երեխաների համար ընտանեկան միջավայրին մոտ միջավայր ապահովելու և կենցաղային որոշակի հմտությունների ձեռքբերման նպատակով կշարունակվի դրամական աջակցության տրամադրումը:</w:t>
      </w:r>
    </w:p>
    <w:p w:rsidR="00F1267C" w:rsidRPr="00C43BF7" w:rsidRDefault="00F1267C" w:rsidP="00F1267C">
      <w:pPr>
        <w:spacing w:before="0" w:line="276" w:lineRule="auto"/>
        <w:ind w:firstLine="562"/>
        <w:contextualSpacing w:val="0"/>
        <w:rPr>
          <w:rFonts w:cs="Browallia New"/>
          <w:b w:val="0"/>
          <w:bCs/>
          <w:szCs w:val="22"/>
          <w:lang w:val="hy-AM"/>
        </w:rPr>
      </w:pPr>
      <w:r w:rsidRPr="007955BB">
        <w:rPr>
          <w:rFonts w:cs="Browallia New"/>
          <w:bCs/>
          <w:szCs w:val="22"/>
          <w:lang w:val="hy-AM"/>
        </w:rPr>
        <w:t xml:space="preserve">Մարդկանց թրաֆիքինգի և կանանց հիմնահարցերի բնագավառում </w:t>
      </w:r>
      <w:r w:rsidRPr="00C43BF7">
        <w:rPr>
          <w:b w:val="0"/>
          <w:bCs/>
          <w:szCs w:val="22"/>
          <w:lang w:val="hy-AM"/>
        </w:rPr>
        <w:t xml:space="preserve">մարդկանց շահագործման երևույթի կանխարգելմանն ուղղված քաղաքականության շարունակականության ապահովման նպատակով </w:t>
      </w:r>
      <w:r w:rsidRPr="007955BB">
        <w:rPr>
          <w:b w:val="0"/>
          <w:bCs/>
          <w:szCs w:val="22"/>
          <w:lang w:val="hy-AM"/>
        </w:rPr>
        <w:t xml:space="preserve">2023 թվականին </w:t>
      </w:r>
      <w:r w:rsidRPr="00C43BF7">
        <w:rPr>
          <w:b w:val="0"/>
          <w:bCs/>
          <w:szCs w:val="22"/>
          <w:lang w:val="hy-AM"/>
        </w:rPr>
        <w:t xml:space="preserve">թրաֆիքինգի և շահագործման, սեռական բռնության ենթարկված 8 անձի </w:t>
      </w:r>
      <w:r w:rsidRPr="007955BB">
        <w:rPr>
          <w:b w:val="0"/>
          <w:bCs/>
          <w:szCs w:val="22"/>
          <w:lang w:val="hy-AM"/>
        </w:rPr>
        <w:t xml:space="preserve">շարունակվելու են </w:t>
      </w:r>
      <w:r w:rsidRPr="00C43BF7">
        <w:rPr>
          <w:b w:val="0"/>
          <w:bCs/>
          <w:szCs w:val="22"/>
          <w:lang w:val="hy-AM"/>
        </w:rPr>
        <w:t>սոցիալ-հոգեբանական վերականգնողական ծառայություններ</w:t>
      </w:r>
      <w:r w:rsidRPr="007955BB">
        <w:rPr>
          <w:b w:val="0"/>
          <w:bCs/>
          <w:szCs w:val="22"/>
          <w:lang w:val="hy-AM"/>
        </w:rPr>
        <w:t>ի</w:t>
      </w:r>
      <w:r w:rsidRPr="00C43BF7">
        <w:rPr>
          <w:b w:val="0"/>
          <w:bCs/>
          <w:szCs w:val="22"/>
          <w:lang w:val="hy-AM"/>
        </w:rPr>
        <w:t xml:space="preserve"> մատուցում</w:t>
      </w:r>
      <w:r w:rsidRPr="007955BB">
        <w:rPr>
          <w:b w:val="0"/>
          <w:bCs/>
          <w:szCs w:val="22"/>
          <w:lang w:val="hy-AM"/>
        </w:rPr>
        <w:t>ը,</w:t>
      </w:r>
      <w:r w:rsidRPr="00C43BF7">
        <w:rPr>
          <w:b w:val="0"/>
          <w:bCs/>
          <w:szCs w:val="22"/>
          <w:lang w:val="hy-AM"/>
        </w:rPr>
        <w:t xml:space="preserve"> ինչպես նաև </w:t>
      </w:r>
      <w:r w:rsidRPr="007955BB">
        <w:rPr>
          <w:b w:val="0"/>
          <w:bCs/>
          <w:szCs w:val="22"/>
          <w:lang w:val="hy-AM"/>
        </w:rPr>
        <w:t>միանվագ դրամական փոխհատուցման տրամադրումը 7 շահառուի</w:t>
      </w:r>
      <w:r w:rsidRPr="00C43BF7">
        <w:rPr>
          <w:b w:val="0"/>
          <w:bCs/>
          <w:szCs w:val="22"/>
          <w:lang w:val="hy-AM"/>
        </w:rPr>
        <w:t>:</w:t>
      </w:r>
    </w:p>
    <w:p w:rsidR="00F1267C" w:rsidRPr="007955BB" w:rsidRDefault="00F1267C" w:rsidP="00F1267C">
      <w:pPr>
        <w:spacing w:before="0" w:line="276" w:lineRule="auto"/>
        <w:ind w:firstLine="562"/>
        <w:contextualSpacing w:val="0"/>
        <w:rPr>
          <w:rFonts w:cs="Browallia New"/>
          <w:b w:val="0"/>
          <w:bCs/>
          <w:color w:val="FF0000"/>
          <w:szCs w:val="22"/>
          <w:lang w:val="hy-AM"/>
        </w:rPr>
      </w:pPr>
      <w:r w:rsidRPr="007955BB">
        <w:rPr>
          <w:b w:val="0"/>
          <w:bCs/>
          <w:szCs w:val="22"/>
          <w:lang w:val="hy-AM"/>
        </w:rPr>
        <w:t>2023 թվականին կշարունակվի ը</w:t>
      </w:r>
      <w:r w:rsidRPr="00C43BF7">
        <w:rPr>
          <w:b w:val="0"/>
          <w:bCs/>
          <w:szCs w:val="22"/>
          <w:lang w:val="hy-AM"/>
        </w:rPr>
        <w:t>նտանիքում բռնության ենթարկված անձանց օրենսդրությամբ սահմանված աջակցության տրամադր</w:t>
      </w:r>
      <w:r w:rsidRPr="007955BB">
        <w:rPr>
          <w:b w:val="0"/>
          <w:bCs/>
          <w:szCs w:val="22"/>
          <w:lang w:val="hy-AM"/>
        </w:rPr>
        <w:t>ու</w:t>
      </w:r>
      <w:r w:rsidRPr="00C43BF7">
        <w:rPr>
          <w:b w:val="0"/>
          <w:bCs/>
          <w:szCs w:val="22"/>
          <w:lang w:val="hy-AM"/>
        </w:rPr>
        <w:t>մը</w:t>
      </w:r>
      <w:r w:rsidRPr="007955BB">
        <w:rPr>
          <w:b w:val="0"/>
          <w:bCs/>
          <w:szCs w:val="22"/>
          <w:lang w:val="hy-AM"/>
        </w:rPr>
        <w:t>՝</w:t>
      </w:r>
      <w:r w:rsidRPr="00C43BF7">
        <w:rPr>
          <w:b w:val="0"/>
          <w:bCs/>
          <w:szCs w:val="22"/>
          <w:lang w:val="hy-AM"/>
        </w:rPr>
        <w:t xml:space="preserve"> </w:t>
      </w:r>
      <w:r w:rsidRPr="007955BB">
        <w:rPr>
          <w:b w:val="0"/>
          <w:bCs/>
          <w:szCs w:val="22"/>
          <w:lang w:val="hy-AM"/>
        </w:rPr>
        <w:t xml:space="preserve">60 շահառուի կտրամադրվի </w:t>
      </w:r>
      <w:r w:rsidRPr="00C43BF7">
        <w:rPr>
          <w:b w:val="0"/>
          <w:bCs/>
          <w:szCs w:val="22"/>
          <w:lang w:val="hy-AM"/>
        </w:rPr>
        <w:t>ապաստարանի</w:t>
      </w:r>
      <w:r w:rsidRPr="007955BB">
        <w:rPr>
          <w:b w:val="0"/>
          <w:bCs/>
          <w:szCs w:val="22"/>
          <w:lang w:val="hy-AM"/>
        </w:rPr>
        <w:t>,</w:t>
      </w:r>
      <w:r w:rsidRPr="00C43BF7">
        <w:rPr>
          <w:b w:val="0"/>
          <w:bCs/>
          <w:szCs w:val="22"/>
          <w:lang w:val="hy-AM"/>
        </w:rPr>
        <w:t xml:space="preserve"> </w:t>
      </w:r>
      <w:r w:rsidRPr="007955BB">
        <w:rPr>
          <w:b w:val="0"/>
          <w:bCs/>
          <w:szCs w:val="22"/>
          <w:lang w:val="hy-AM"/>
        </w:rPr>
        <w:t>1500 անձի</w:t>
      </w:r>
      <w:r w:rsidRPr="00C43BF7">
        <w:rPr>
          <w:b w:val="0"/>
          <w:bCs/>
          <w:szCs w:val="22"/>
          <w:lang w:val="hy-AM"/>
        </w:rPr>
        <w:t xml:space="preserve"> աջակցության կենտրոններում </w:t>
      </w:r>
      <w:r w:rsidRPr="007955BB">
        <w:rPr>
          <w:b w:val="0"/>
          <w:bCs/>
          <w:szCs w:val="22"/>
          <w:lang w:val="hy-AM"/>
        </w:rPr>
        <w:t>կմատուցվեն համապատասխան</w:t>
      </w:r>
      <w:r w:rsidRPr="00C43BF7">
        <w:rPr>
          <w:b w:val="0"/>
          <w:bCs/>
          <w:szCs w:val="22"/>
          <w:lang w:val="hy-AM"/>
        </w:rPr>
        <w:t xml:space="preserve"> ծառայություններ</w:t>
      </w:r>
      <w:r w:rsidRPr="007955BB">
        <w:rPr>
          <w:b w:val="0"/>
          <w:bCs/>
          <w:szCs w:val="22"/>
          <w:lang w:val="hy-AM"/>
        </w:rPr>
        <w:t>, շուրջ 100 անձի կտրամադրվի ֆինանսական աջակցություն։</w:t>
      </w:r>
    </w:p>
    <w:p w:rsidR="00F1267C" w:rsidRPr="007955BB" w:rsidRDefault="00F1267C" w:rsidP="00F1267C">
      <w:pPr>
        <w:spacing w:before="0" w:line="276" w:lineRule="auto"/>
        <w:ind w:firstLine="562"/>
        <w:contextualSpacing w:val="0"/>
        <w:rPr>
          <w:rFonts w:eastAsia="Calibri"/>
          <w:b w:val="0"/>
          <w:bCs/>
          <w:szCs w:val="22"/>
          <w:lang w:val="hy-AM" w:eastAsia="en-US"/>
        </w:rPr>
      </w:pPr>
      <w:r w:rsidRPr="007955BB">
        <w:rPr>
          <w:rFonts w:cs="Browallia New"/>
          <w:bCs/>
          <w:szCs w:val="22"/>
          <w:lang w:val="hy-AM"/>
        </w:rPr>
        <w:t>Հաշմանդամություն ունեցող անձանց հիմնահարցերի բնագավառում</w:t>
      </w:r>
      <w:r w:rsidRPr="007955BB">
        <w:rPr>
          <w:rFonts w:cs="Browallia New"/>
          <w:b w:val="0"/>
          <w:bCs/>
          <w:szCs w:val="22"/>
          <w:lang w:val="hy-AM"/>
        </w:rPr>
        <w:t xml:space="preserve"> 2023 թվականին </w:t>
      </w:r>
      <w:r w:rsidRPr="007955BB">
        <w:rPr>
          <w:rFonts w:eastAsia="Calibri" w:cs="Sylfaen"/>
          <w:b w:val="0"/>
          <w:bCs/>
          <w:szCs w:val="22"/>
          <w:lang w:val="hy-AM" w:eastAsia="en-US"/>
        </w:rPr>
        <w:t xml:space="preserve">շարունակվելու են աշխատանքներն ուղղված </w:t>
      </w:r>
      <w:r w:rsidRPr="00C43BF7">
        <w:rPr>
          <w:rFonts w:eastAsia="Calibri" w:cs="Sylfaen"/>
          <w:b w:val="0"/>
          <w:bCs/>
          <w:szCs w:val="22"/>
          <w:lang w:val="hy-AM" w:eastAsia="en-US"/>
        </w:rPr>
        <w:t>հաշմանդամ</w:t>
      </w:r>
      <w:r w:rsidRPr="007955BB">
        <w:rPr>
          <w:rFonts w:eastAsia="Calibri" w:cs="Sylfaen"/>
          <w:b w:val="0"/>
          <w:bCs/>
          <w:szCs w:val="22"/>
          <w:lang w:val="hy-AM" w:eastAsia="en-US"/>
        </w:rPr>
        <w:t>ություն</w:t>
      </w:r>
      <w:r w:rsidRPr="007955BB">
        <w:rPr>
          <w:rFonts w:eastAsia="Calibri"/>
          <w:b w:val="0"/>
          <w:bCs/>
          <w:szCs w:val="22"/>
          <w:lang w:val="hy-AM" w:eastAsia="en-US"/>
        </w:rPr>
        <w:t xml:space="preserve"> </w:t>
      </w:r>
      <w:r w:rsidRPr="007955BB">
        <w:rPr>
          <w:rFonts w:eastAsia="Calibri" w:cs="Sylfaen"/>
          <w:b w:val="0"/>
          <w:bCs/>
          <w:szCs w:val="22"/>
          <w:lang w:val="hy-AM" w:eastAsia="en-US"/>
        </w:rPr>
        <w:t>ունեցող</w:t>
      </w:r>
      <w:r w:rsidRPr="007955BB">
        <w:rPr>
          <w:rFonts w:eastAsia="Calibri"/>
          <w:b w:val="0"/>
          <w:bCs/>
          <w:szCs w:val="22"/>
          <w:lang w:val="hy-AM" w:eastAsia="en-US"/>
        </w:rPr>
        <w:t xml:space="preserve"> </w:t>
      </w:r>
      <w:r w:rsidRPr="007955BB">
        <w:rPr>
          <w:rFonts w:eastAsia="Calibri" w:cs="Sylfaen"/>
          <w:b w:val="0"/>
          <w:bCs/>
          <w:szCs w:val="22"/>
          <w:lang w:val="hy-AM" w:eastAsia="en-US"/>
        </w:rPr>
        <w:t>անձանց</w:t>
      </w:r>
      <w:r w:rsidRPr="007955BB">
        <w:rPr>
          <w:rFonts w:eastAsia="Calibri"/>
          <w:b w:val="0"/>
          <w:bCs/>
          <w:szCs w:val="22"/>
          <w:lang w:val="hy-AM" w:eastAsia="en-US"/>
        </w:rPr>
        <w:t xml:space="preserve"> </w:t>
      </w:r>
      <w:r w:rsidRPr="007955BB">
        <w:rPr>
          <w:rFonts w:eastAsia="Calibri" w:cs="Sylfaen"/>
          <w:b w:val="0"/>
          <w:bCs/>
          <w:szCs w:val="22"/>
          <w:lang w:val="hy-AM" w:eastAsia="en-US"/>
        </w:rPr>
        <w:t>իրավունքների</w:t>
      </w:r>
      <w:r w:rsidRPr="007955BB">
        <w:rPr>
          <w:rFonts w:eastAsia="Calibri"/>
          <w:b w:val="0"/>
          <w:bCs/>
          <w:szCs w:val="22"/>
          <w:lang w:val="hy-AM" w:eastAsia="en-US"/>
        </w:rPr>
        <w:t xml:space="preserve"> </w:t>
      </w:r>
      <w:r w:rsidRPr="007955BB">
        <w:rPr>
          <w:rFonts w:eastAsia="Calibri" w:cs="Sylfaen"/>
          <w:b w:val="0"/>
          <w:bCs/>
          <w:szCs w:val="22"/>
          <w:lang w:val="hy-AM" w:eastAsia="en-US"/>
        </w:rPr>
        <w:t xml:space="preserve">պաշտպանությանը և հավասար հնարավորությունների ապահովմանը` </w:t>
      </w:r>
      <w:r w:rsidRPr="007955BB">
        <w:rPr>
          <w:rFonts w:eastAsia="Calibri" w:cs="Sylfaen"/>
          <w:b w:val="0"/>
          <w:iCs/>
          <w:szCs w:val="22"/>
          <w:lang w:val="de-AT" w:eastAsia="en-US"/>
        </w:rPr>
        <w:t>բնագավառ</w:t>
      </w:r>
      <w:r w:rsidRPr="00C43BF7">
        <w:rPr>
          <w:rFonts w:eastAsia="Calibri" w:cs="Sylfaen"/>
          <w:b w:val="0"/>
          <w:bCs/>
          <w:szCs w:val="22"/>
          <w:lang w:val="hy-AM" w:eastAsia="en-US"/>
        </w:rPr>
        <w:t>ի</w:t>
      </w:r>
      <w:r w:rsidRPr="00C43BF7">
        <w:rPr>
          <w:rFonts w:eastAsia="Calibri"/>
          <w:b w:val="0"/>
          <w:bCs/>
          <w:szCs w:val="22"/>
          <w:lang w:val="hy-AM" w:eastAsia="en-US"/>
        </w:rPr>
        <w:t xml:space="preserve"> </w:t>
      </w:r>
      <w:r w:rsidRPr="00C43BF7">
        <w:rPr>
          <w:rFonts w:eastAsia="Calibri" w:cs="Sylfaen"/>
          <w:b w:val="0"/>
          <w:bCs/>
          <w:szCs w:val="22"/>
          <w:lang w:val="hy-AM" w:eastAsia="en-US"/>
        </w:rPr>
        <w:t>օրենսդրության</w:t>
      </w:r>
      <w:r w:rsidRPr="00C43BF7">
        <w:rPr>
          <w:rFonts w:eastAsia="Calibri"/>
          <w:b w:val="0"/>
          <w:bCs/>
          <w:szCs w:val="22"/>
          <w:lang w:val="hy-AM" w:eastAsia="en-US"/>
        </w:rPr>
        <w:t xml:space="preserve"> </w:t>
      </w:r>
      <w:r w:rsidRPr="00C43BF7">
        <w:rPr>
          <w:rFonts w:eastAsia="Calibri" w:cs="Sylfaen"/>
          <w:b w:val="0"/>
          <w:bCs/>
          <w:szCs w:val="22"/>
          <w:lang w:val="hy-AM" w:eastAsia="en-US"/>
        </w:rPr>
        <w:t>կատարելագործ</w:t>
      </w:r>
      <w:r w:rsidRPr="007955BB">
        <w:rPr>
          <w:rFonts w:eastAsia="Calibri" w:cs="Sylfaen"/>
          <w:b w:val="0"/>
          <w:bCs/>
          <w:szCs w:val="22"/>
          <w:lang w:val="hy-AM" w:eastAsia="en-US"/>
        </w:rPr>
        <w:t xml:space="preserve">ման և </w:t>
      </w:r>
      <w:r w:rsidRPr="00C43BF7">
        <w:rPr>
          <w:rFonts w:eastAsia="Calibri" w:cs="Sylfaen"/>
          <w:b w:val="0"/>
          <w:bCs/>
          <w:szCs w:val="22"/>
          <w:lang w:val="hy-AM" w:eastAsia="en-US"/>
        </w:rPr>
        <w:t>հաշմանդամություն</w:t>
      </w:r>
      <w:r w:rsidRPr="00C43BF7">
        <w:rPr>
          <w:rFonts w:eastAsia="Calibri"/>
          <w:b w:val="0"/>
          <w:bCs/>
          <w:szCs w:val="22"/>
          <w:lang w:val="hy-AM" w:eastAsia="en-US"/>
        </w:rPr>
        <w:t xml:space="preserve"> </w:t>
      </w:r>
      <w:r w:rsidRPr="00C43BF7">
        <w:rPr>
          <w:rFonts w:eastAsia="Calibri" w:cs="Sylfaen"/>
          <w:b w:val="0"/>
          <w:bCs/>
          <w:szCs w:val="22"/>
          <w:lang w:val="hy-AM" w:eastAsia="en-US"/>
        </w:rPr>
        <w:t>ունեցող</w:t>
      </w:r>
      <w:r w:rsidRPr="00C43BF7">
        <w:rPr>
          <w:rFonts w:eastAsia="Calibri"/>
          <w:b w:val="0"/>
          <w:bCs/>
          <w:szCs w:val="22"/>
          <w:lang w:val="hy-AM" w:eastAsia="en-US"/>
        </w:rPr>
        <w:t xml:space="preserve"> </w:t>
      </w:r>
      <w:r w:rsidRPr="00C43BF7">
        <w:rPr>
          <w:rFonts w:eastAsia="Calibri" w:cs="Sylfaen"/>
          <w:b w:val="0"/>
          <w:bCs/>
          <w:szCs w:val="22"/>
          <w:lang w:val="hy-AM" w:eastAsia="en-US"/>
        </w:rPr>
        <w:t>անձ</w:t>
      </w:r>
      <w:r w:rsidRPr="007955BB">
        <w:rPr>
          <w:rFonts w:eastAsia="Calibri" w:cs="Sylfaen"/>
          <w:b w:val="0"/>
          <w:bCs/>
          <w:szCs w:val="22"/>
          <w:lang w:val="hy-AM" w:eastAsia="en-US"/>
        </w:rPr>
        <w:t>ի գնահատված կարիքին համարժեք ծառայությունների մատուցման միջոցով</w:t>
      </w:r>
      <w:r w:rsidRPr="007955BB">
        <w:rPr>
          <w:rFonts w:eastAsia="Calibri"/>
          <w:b w:val="0"/>
          <w:bCs/>
          <w:szCs w:val="22"/>
          <w:lang w:val="hy-AM" w:eastAsia="en-US"/>
        </w:rPr>
        <w:t>:</w:t>
      </w:r>
    </w:p>
    <w:p w:rsidR="00F1267C" w:rsidRPr="007955BB" w:rsidRDefault="00F1267C" w:rsidP="00F1267C">
      <w:pPr>
        <w:spacing w:before="0" w:line="276" w:lineRule="auto"/>
        <w:ind w:firstLine="562"/>
        <w:contextualSpacing w:val="0"/>
        <w:rPr>
          <w:rFonts w:eastAsia="Calibri"/>
          <w:b w:val="0"/>
          <w:bCs/>
          <w:szCs w:val="22"/>
          <w:lang w:val="hy-AM" w:eastAsia="en-US"/>
        </w:rPr>
      </w:pPr>
      <w:r w:rsidRPr="007955BB">
        <w:rPr>
          <w:rFonts w:eastAsia="Calibri"/>
          <w:b w:val="0"/>
          <w:bCs/>
          <w:szCs w:val="22"/>
          <w:lang w:val="hy-AM" w:eastAsia="en-US"/>
        </w:rPr>
        <w:t>2023 թվականի փետրվարից նեդրվելու է անձի ֆունկցիոնալության գնահատման և</w:t>
      </w:r>
      <w:r w:rsidRPr="007955BB">
        <w:rPr>
          <w:rFonts w:eastAsia="Calibri" w:cs="Sylfaen"/>
          <w:b w:val="0"/>
          <w:bCs/>
          <w:szCs w:val="22"/>
          <w:lang w:val="hy-AM" w:eastAsia="en-US"/>
        </w:rPr>
        <w:t xml:space="preserve"> բազմակողմանի գնահատման</w:t>
      </w:r>
      <w:r w:rsidRPr="007955BB">
        <w:rPr>
          <w:rFonts w:eastAsia="Calibri"/>
          <w:b w:val="0"/>
          <w:bCs/>
          <w:szCs w:val="22"/>
          <w:lang w:val="hy-AM" w:eastAsia="en-US"/>
        </w:rPr>
        <w:t xml:space="preserve"> </w:t>
      </w:r>
      <w:r w:rsidRPr="007955BB">
        <w:rPr>
          <w:rFonts w:eastAsia="Calibri" w:cs="Calibri"/>
          <w:b w:val="0"/>
          <w:szCs w:val="22"/>
          <w:lang w:val="hy-AM" w:eastAsia="en-US"/>
        </w:rPr>
        <w:t>արդյունքներով ծառայությունների որոշարկման նոր մոդելը՝ հիմնված Առողջապահության համաշխարհային կազմակերպության ֆունկցիաների միջազգային դասակարգման սկզբունքների հիման վրա:</w:t>
      </w:r>
    </w:p>
    <w:p w:rsidR="00F1267C" w:rsidRPr="007955BB" w:rsidRDefault="00F1267C" w:rsidP="00F1267C">
      <w:pPr>
        <w:spacing w:before="0" w:line="276" w:lineRule="auto"/>
        <w:ind w:firstLine="562"/>
        <w:contextualSpacing w:val="0"/>
        <w:rPr>
          <w:b w:val="0"/>
          <w:bCs/>
          <w:color w:val="000000"/>
          <w:szCs w:val="22"/>
          <w:lang w:val="hy-AM" w:eastAsia="en-US"/>
        </w:rPr>
      </w:pPr>
      <w:r w:rsidRPr="007955BB">
        <w:rPr>
          <w:rFonts w:eastAsia="Calibri" w:cs="Sylfaen"/>
          <w:b w:val="0"/>
          <w:bCs/>
          <w:szCs w:val="22"/>
          <w:lang w:val="hy-AM" w:eastAsia="en-US"/>
        </w:rPr>
        <w:t xml:space="preserve">Պետական նպատակային ծրագրերի շրջանակներում </w:t>
      </w:r>
      <w:r w:rsidRPr="007955BB">
        <w:rPr>
          <w:rFonts w:cs="Sylfaen"/>
          <w:b w:val="0"/>
          <w:szCs w:val="22"/>
          <w:lang w:val="hy-AM" w:eastAsia="en-US"/>
        </w:rPr>
        <w:t xml:space="preserve">հաշմանդամություն ունեցող անձանց </w:t>
      </w:r>
      <w:r w:rsidRPr="007955BB">
        <w:rPr>
          <w:rFonts w:cs="Sylfaen"/>
          <w:b w:val="0"/>
          <w:bCs/>
          <w:color w:val="000000"/>
          <w:szCs w:val="22"/>
          <w:lang w:val="hy-AM" w:eastAsia="en-US"/>
        </w:rPr>
        <w:t>պետական հավաստագրերի հիման</w:t>
      </w:r>
      <w:r w:rsidRPr="007955BB">
        <w:rPr>
          <w:b w:val="0"/>
          <w:bCs/>
          <w:color w:val="000000"/>
          <w:szCs w:val="22"/>
          <w:lang w:val="hy-AM" w:eastAsia="en-US"/>
        </w:rPr>
        <w:t xml:space="preserve"> </w:t>
      </w:r>
      <w:r w:rsidRPr="007955BB">
        <w:rPr>
          <w:rFonts w:cs="Sylfaen"/>
          <w:b w:val="0"/>
          <w:bCs/>
          <w:color w:val="000000"/>
          <w:szCs w:val="22"/>
          <w:lang w:val="hy-AM" w:eastAsia="en-US"/>
        </w:rPr>
        <w:t>վրա</w:t>
      </w:r>
      <w:r w:rsidRPr="007955BB">
        <w:rPr>
          <w:b w:val="0"/>
          <w:bCs/>
          <w:color w:val="000000"/>
          <w:szCs w:val="22"/>
          <w:lang w:val="hy-AM" w:eastAsia="en-US"/>
        </w:rPr>
        <w:t xml:space="preserve"> </w:t>
      </w:r>
      <w:r w:rsidRPr="007955BB">
        <w:rPr>
          <w:rFonts w:cs="Sylfaen"/>
          <w:b w:val="0"/>
          <w:szCs w:val="22"/>
          <w:lang w:val="hy-AM" w:eastAsia="en-US"/>
        </w:rPr>
        <w:t>տրամադրվելու են աջակցող միջոցներ (</w:t>
      </w:r>
      <w:r w:rsidRPr="007955BB">
        <w:rPr>
          <w:rFonts w:cs="Sylfaen"/>
          <w:b w:val="0"/>
          <w:bCs/>
          <w:color w:val="000000"/>
          <w:szCs w:val="22"/>
          <w:lang w:val="hy-AM" w:eastAsia="en-US"/>
        </w:rPr>
        <w:t>այդ</w:t>
      </w:r>
      <w:r w:rsidRPr="007955BB">
        <w:rPr>
          <w:b w:val="0"/>
          <w:bCs/>
          <w:color w:val="000000"/>
          <w:szCs w:val="22"/>
          <w:lang w:val="hy-AM" w:eastAsia="en-US"/>
        </w:rPr>
        <w:t xml:space="preserve"> </w:t>
      </w:r>
      <w:r w:rsidRPr="007955BB">
        <w:rPr>
          <w:rFonts w:cs="Sylfaen"/>
          <w:b w:val="0"/>
          <w:bCs/>
          <w:color w:val="000000"/>
          <w:szCs w:val="22"/>
          <w:lang w:val="hy-AM" w:eastAsia="en-US"/>
        </w:rPr>
        <w:t>թվում՝</w:t>
      </w:r>
      <w:r w:rsidRPr="007955BB">
        <w:rPr>
          <w:b w:val="0"/>
          <w:bCs/>
          <w:color w:val="000000"/>
          <w:szCs w:val="22"/>
          <w:lang w:val="hy-AM" w:eastAsia="en-US"/>
        </w:rPr>
        <w:t xml:space="preserve"> </w:t>
      </w:r>
      <w:r w:rsidRPr="007955BB">
        <w:rPr>
          <w:rFonts w:cs="Sylfaen"/>
          <w:b w:val="0"/>
          <w:bCs/>
          <w:color w:val="000000"/>
          <w:szCs w:val="22"/>
          <w:lang w:val="hy-AM" w:eastAsia="en-US"/>
        </w:rPr>
        <w:t>պրոթեզներ</w:t>
      </w:r>
      <w:r w:rsidRPr="007955BB">
        <w:rPr>
          <w:b w:val="0"/>
          <w:bCs/>
          <w:color w:val="000000"/>
          <w:szCs w:val="22"/>
          <w:lang w:val="hy-AM" w:eastAsia="en-US"/>
        </w:rPr>
        <w:t xml:space="preserve">, </w:t>
      </w:r>
      <w:r w:rsidRPr="007955BB">
        <w:rPr>
          <w:rFonts w:cs="Sylfaen"/>
          <w:b w:val="0"/>
          <w:bCs/>
          <w:color w:val="000000"/>
          <w:szCs w:val="22"/>
          <w:lang w:val="hy-AM" w:eastAsia="en-US"/>
        </w:rPr>
        <w:t>օրթեզներ</w:t>
      </w:r>
      <w:r w:rsidRPr="007955BB">
        <w:rPr>
          <w:b w:val="0"/>
          <w:bCs/>
          <w:color w:val="000000"/>
          <w:szCs w:val="22"/>
          <w:lang w:val="hy-AM" w:eastAsia="en-US"/>
        </w:rPr>
        <w:t xml:space="preserve">, </w:t>
      </w:r>
      <w:r w:rsidRPr="007955BB">
        <w:rPr>
          <w:rFonts w:cs="Sylfaen"/>
          <w:b w:val="0"/>
          <w:bCs/>
          <w:color w:val="000000"/>
          <w:szCs w:val="22"/>
          <w:lang w:val="hy-AM" w:eastAsia="en-US"/>
        </w:rPr>
        <w:t>քայլակներ</w:t>
      </w:r>
      <w:r w:rsidRPr="007955BB">
        <w:rPr>
          <w:b w:val="0"/>
          <w:bCs/>
          <w:color w:val="000000"/>
          <w:szCs w:val="22"/>
          <w:lang w:val="hy-AM" w:eastAsia="en-US"/>
        </w:rPr>
        <w:t xml:space="preserve">, </w:t>
      </w:r>
      <w:r w:rsidRPr="007955BB">
        <w:rPr>
          <w:rFonts w:cs="Sylfaen"/>
          <w:b w:val="0"/>
          <w:bCs/>
          <w:color w:val="000000"/>
          <w:szCs w:val="22"/>
          <w:lang w:val="hy-AM" w:eastAsia="en-US"/>
        </w:rPr>
        <w:t>անվասայլակներ</w:t>
      </w:r>
      <w:r w:rsidRPr="007955BB">
        <w:rPr>
          <w:b w:val="0"/>
          <w:bCs/>
          <w:color w:val="000000"/>
          <w:szCs w:val="22"/>
          <w:lang w:val="hy-AM" w:eastAsia="en-US"/>
        </w:rPr>
        <w:t xml:space="preserve">, </w:t>
      </w:r>
      <w:r w:rsidRPr="007955BB">
        <w:rPr>
          <w:rFonts w:cs="Sylfaen"/>
          <w:b w:val="0"/>
          <w:bCs/>
          <w:color w:val="000000"/>
          <w:szCs w:val="22"/>
          <w:lang w:val="hy-AM" w:eastAsia="en-US"/>
        </w:rPr>
        <w:t>լսողական</w:t>
      </w:r>
      <w:r w:rsidRPr="007955BB">
        <w:rPr>
          <w:b w:val="0"/>
          <w:bCs/>
          <w:color w:val="000000"/>
          <w:szCs w:val="22"/>
          <w:lang w:val="hy-AM" w:eastAsia="en-US"/>
        </w:rPr>
        <w:t xml:space="preserve"> </w:t>
      </w:r>
      <w:r w:rsidRPr="007955BB">
        <w:rPr>
          <w:rFonts w:cs="Sylfaen"/>
          <w:b w:val="0"/>
          <w:bCs/>
          <w:color w:val="000000"/>
          <w:szCs w:val="22"/>
          <w:lang w:val="hy-AM" w:eastAsia="en-US"/>
        </w:rPr>
        <w:t xml:space="preserve">սարքեր և այլն, </w:t>
      </w:r>
      <w:r w:rsidRPr="007955BB">
        <w:rPr>
          <w:rFonts w:eastAsia="Calibri" w:cs="Sylfaen"/>
          <w:b w:val="0"/>
          <w:bCs/>
          <w:szCs w:val="22"/>
          <w:lang w:val="hy-AM" w:eastAsia="en-US"/>
        </w:rPr>
        <w:t>շուրջ տարեկան 19000 աջակցող միջոց)</w:t>
      </w:r>
      <w:r w:rsidRPr="007955BB">
        <w:rPr>
          <w:rFonts w:cs="Sylfaen"/>
          <w:b w:val="0"/>
          <w:bCs/>
          <w:color w:val="000000"/>
          <w:szCs w:val="22"/>
          <w:lang w:val="hy-AM" w:eastAsia="en-US"/>
        </w:rPr>
        <w:t>՝</w:t>
      </w:r>
      <w:r w:rsidRPr="007955BB">
        <w:rPr>
          <w:b w:val="0"/>
          <w:bCs/>
          <w:color w:val="000000"/>
          <w:szCs w:val="22"/>
          <w:lang w:val="hy-AM" w:eastAsia="en-US"/>
        </w:rPr>
        <w:t xml:space="preserve"> </w:t>
      </w:r>
      <w:r w:rsidRPr="007955BB">
        <w:rPr>
          <w:rFonts w:cs="Sylfaen"/>
          <w:b w:val="0"/>
          <w:bCs/>
          <w:color w:val="000000"/>
          <w:szCs w:val="22"/>
          <w:lang w:val="hy-AM" w:eastAsia="en-US"/>
        </w:rPr>
        <w:t>հասարակական</w:t>
      </w:r>
      <w:r w:rsidRPr="007955BB">
        <w:rPr>
          <w:b w:val="0"/>
          <w:bCs/>
          <w:color w:val="000000"/>
          <w:szCs w:val="22"/>
          <w:lang w:val="hy-AM" w:eastAsia="en-US"/>
        </w:rPr>
        <w:t xml:space="preserve"> </w:t>
      </w:r>
      <w:r w:rsidRPr="007955BB">
        <w:rPr>
          <w:rFonts w:cs="Sylfaen"/>
          <w:b w:val="0"/>
          <w:bCs/>
          <w:color w:val="000000"/>
          <w:szCs w:val="22"/>
          <w:lang w:val="hy-AM" w:eastAsia="en-US"/>
        </w:rPr>
        <w:t>կյանքում</w:t>
      </w:r>
      <w:r w:rsidRPr="007955BB">
        <w:rPr>
          <w:b w:val="0"/>
          <w:bCs/>
          <w:color w:val="000000"/>
          <w:szCs w:val="22"/>
          <w:lang w:val="hy-AM" w:eastAsia="en-US"/>
        </w:rPr>
        <w:t xml:space="preserve"> </w:t>
      </w:r>
      <w:r w:rsidRPr="007955BB">
        <w:rPr>
          <w:rFonts w:cs="Sylfaen"/>
          <w:b w:val="0"/>
          <w:bCs/>
          <w:color w:val="000000"/>
          <w:szCs w:val="22"/>
          <w:lang w:val="hy-AM" w:eastAsia="en-US"/>
        </w:rPr>
        <w:t>նրանց</w:t>
      </w:r>
      <w:r w:rsidRPr="007955BB">
        <w:rPr>
          <w:b w:val="0"/>
          <w:bCs/>
          <w:color w:val="000000"/>
          <w:szCs w:val="22"/>
          <w:lang w:val="hy-AM" w:eastAsia="en-US"/>
        </w:rPr>
        <w:t xml:space="preserve"> </w:t>
      </w:r>
      <w:r w:rsidRPr="007955BB">
        <w:rPr>
          <w:rFonts w:cs="Sylfaen"/>
          <w:b w:val="0"/>
          <w:bCs/>
          <w:color w:val="000000"/>
          <w:szCs w:val="22"/>
          <w:lang w:val="hy-AM" w:eastAsia="en-US"/>
        </w:rPr>
        <w:t>մասնակցությունը</w:t>
      </w:r>
      <w:r w:rsidRPr="007955BB">
        <w:rPr>
          <w:b w:val="0"/>
          <w:bCs/>
          <w:color w:val="000000"/>
          <w:szCs w:val="22"/>
          <w:lang w:val="hy-AM" w:eastAsia="en-US"/>
        </w:rPr>
        <w:t xml:space="preserve"> </w:t>
      </w:r>
      <w:r w:rsidRPr="007955BB">
        <w:rPr>
          <w:rFonts w:cs="Sylfaen"/>
          <w:b w:val="0"/>
          <w:bCs/>
          <w:color w:val="000000"/>
          <w:szCs w:val="22"/>
          <w:lang w:val="hy-AM" w:eastAsia="en-US"/>
        </w:rPr>
        <w:t>խթանելու</w:t>
      </w:r>
      <w:r w:rsidRPr="007955BB">
        <w:rPr>
          <w:b w:val="0"/>
          <w:bCs/>
          <w:color w:val="000000"/>
          <w:szCs w:val="22"/>
          <w:lang w:val="hy-AM" w:eastAsia="en-US"/>
        </w:rPr>
        <w:t xml:space="preserve"> </w:t>
      </w:r>
      <w:r w:rsidRPr="007955BB">
        <w:rPr>
          <w:rFonts w:cs="Sylfaen"/>
          <w:b w:val="0"/>
          <w:bCs/>
          <w:color w:val="000000"/>
          <w:szCs w:val="22"/>
          <w:lang w:val="hy-AM" w:eastAsia="en-US"/>
        </w:rPr>
        <w:t>նպատակով</w:t>
      </w:r>
      <w:r w:rsidRPr="007955BB">
        <w:rPr>
          <w:b w:val="0"/>
          <w:bCs/>
          <w:color w:val="000000"/>
          <w:szCs w:val="22"/>
          <w:lang w:val="hy-AM" w:eastAsia="en-US"/>
        </w:rPr>
        <w:t xml:space="preserve">: </w:t>
      </w:r>
    </w:p>
    <w:p w:rsidR="00F1267C" w:rsidRPr="007955BB" w:rsidRDefault="00F1267C" w:rsidP="00F1267C">
      <w:pPr>
        <w:spacing w:before="0" w:line="276" w:lineRule="auto"/>
        <w:ind w:firstLine="562"/>
        <w:contextualSpacing w:val="0"/>
        <w:rPr>
          <w:rFonts w:cs="Sylfaen"/>
          <w:b w:val="0"/>
          <w:bCs/>
          <w:szCs w:val="22"/>
          <w:lang w:val="hy-AM" w:eastAsia="en-US"/>
        </w:rPr>
      </w:pPr>
      <w:r w:rsidRPr="007955BB">
        <w:rPr>
          <w:rFonts w:eastAsia="Calibri"/>
          <w:b w:val="0"/>
          <w:bCs/>
          <w:szCs w:val="22"/>
          <w:lang w:val="hy-AM" w:eastAsia="en-US"/>
        </w:rPr>
        <w:t>2023 թվականին շ</w:t>
      </w:r>
      <w:r w:rsidRPr="007955BB">
        <w:rPr>
          <w:rFonts w:eastAsia="Calibri" w:cs="Sylfaen"/>
          <w:b w:val="0"/>
          <w:bCs/>
          <w:szCs w:val="22"/>
          <w:lang w:val="hy-AM" w:eastAsia="en-US"/>
        </w:rPr>
        <w:t>արունակվելու է պետական աջակցություն ցուցաբերվել հասարակական կազմակերպություններին` ցերեկային կենտրոններում և խմբային փոքր տներում հաշմանդամություն ունեցող անձանց խնամք և սոցիալ-վերականգնողական ծառայություններ մատուցելու նպատակով:</w:t>
      </w:r>
      <w:r w:rsidRPr="007955BB">
        <w:rPr>
          <w:rFonts w:cs="Sylfaen"/>
          <w:b w:val="0"/>
          <w:bCs/>
          <w:szCs w:val="22"/>
          <w:lang w:val="hy-AM" w:eastAsia="en-US"/>
        </w:rPr>
        <w:t xml:space="preserve"> </w:t>
      </w:r>
    </w:p>
    <w:p w:rsidR="00F1267C" w:rsidRPr="007955BB" w:rsidRDefault="00F1267C" w:rsidP="00F1267C">
      <w:pPr>
        <w:autoSpaceDE w:val="0"/>
        <w:autoSpaceDN w:val="0"/>
        <w:adjustRightInd w:val="0"/>
        <w:spacing w:before="0" w:line="276" w:lineRule="auto"/>
        <w:ind w:firstLine="562"/>
        <w:contextualSpacing w:val="0"/>
        <w:rPr>
          <w:rFonts w:cs="Sylfaen"/>
          <w:b w:val="0"/>
          <w:bCs/>
          <w:color w:val="000000"/>
          <w:szCs w:val="22"/>
          <w:lang w:val="hy-AM" w:eastAsia="en-US"/>
        </w:rPr>
      </w:pPr>
      <w:r w:rsidRPr="007955BB">
        <w:rPr>
          <w:rFonts w:cs="Sylfaen"/>
          <w:iCs/>
          <w:color w:val="000000"/>
          <w:szCs w:val="22"/>
          <w:lang w:val="hy-AM" w:eastAsia="en-US"/>
        </w:rPr>
        <w:t>Տ</w:t>
      </w:r>
      <w:r w:rsidRPr="007955BB">
        <w:rPr>
          <w:rFonts w:cs="Sylfaen"/>
          <w:iCs/>
          <w:color w:val="000000"/>
          <w:szCs w:val="22"/>
          <w:lang w:val="de-AT" w:eastAsia="en-US"/>
        </w:rPr>
        <w:t>արեցների</w:t>
      </w:r>
      <w:r w:rsidRPr="00C43BF7">
        <w:rPr>
          <w:rFonts w:cs="Sylfaen"/>
          <w:iCs/>
          <w:color w:val="000000"/>
          <w:szCs w:val="22"/>
          <w:lang w:val="hy-AM" w:eastAsia="en-US"/>
        </w:rPr>
        <w:t xml:space="preserve"> </w:t>
      </w:r>
      <w:r w:rsidRPr="007955BB">
        <w:rPr>
          <w:rFonts w:cs="Sylfaen"/>
          <w:iCs/>
          <w:color w:val="000000"/>
          <w:szCs w:val="22"/>
          <w:lang w:val="de-AT" w:eastAsia="en-US"/>
        </w:rPr>
        <w:t>հիմնահարցերի</w:t>
      </w:r>
      <w:r w:rsidRPr="00C43BF7">
        <w:rPr>
          <w:rFonts w:cs="Sylfaen"/>
          <w:iCs/>
          <w:color w:val="000000"/>
          <w:szCs w:val="22"/>
          <w:lang w:val="hy-AM" w:eastAsia="en-US"/>
        </w:rPr>
        <w:t xml:space="preserve"> </w:t>
      </w:r>
      <w:r w:rsidRPr="007955BB">
        <w:rPr>
          <w:rFonts w:cs="Sylfaen"/>
          <w:iCs/>
          <w:color w:val="000000"/>
          <w:szCs w:val="22"/>
          <w:lang w:val="de-AT" w:eastAsia="en-US"/>
        </w:rPr>
        <w:t>բնագավառում</w:t>
      </w:r>
      <w:r w:rsidRPr="007955BB">
        <w:rPr>
          <w:rFonts w:cs="Sylfaen"/>
          <w:iCs/>
          <w:color w:val="000000"/>
          <w:szCs w:val="22"/>
          <w:lang w:val="hy-AM" w:eastAsia="en-US"/>
        </w:rPr>
        <w:t xml:space="preserve"> </w:t>
      </w:r>
      <w:r w:rsidRPr="007955BB">
        <w:rPr>
          <w:rFonts w:eastAsia="Calibri" w:cs="Sylfaen"/>
          <w:b w:val="0"/>
          <w:bCs/>
          <w:color w:val="000000"/>
          <w:szCs w:val="22"/>
          <w:lang w:val="hy-AM" w:eastAsia="en-US"/>
        </w:rPr>
        <w:t>կշարունակվեն</w:t>
      </w:r>
      <w:r w:rsidRPr="00C43BF7">
        <w:rPr>
          <w:rFonts w:eastAsia="Calibri"/>
          <w:b w:val="0"/>
          <w:bCs/>
          <w:color w:val="000000"/>
          <w:szCs w:val="22"/>
          <w:lang w:val="hy-AM" w:eastAsia="en-US"/>
        </w:rPr>
        <w:t xml:space="preserve"> իրականացվել </w:t>
      </w:r>
      <w:r w:rsidRPr="00C43BF7">
        <w:rPr>
          <w:b w:val="0"/>
          <w:bCs/>
          <w:color w:val="000000"/>
          <w:szCs w:val="22"/>
          <w:shd w:val="clear" w:color="auto" w:fill="FFFFFF"/>
          <w:lang w:val="hy-AM" w:eastAsia="en-US"/>
        </w:rPr>
        <w:t>«</w:t>
      </w:r>
      <w:r w:rsidRPr="007955BB">
        <w:rPr>
          <w:b w:val="0"/>
          <w:bCs/>
          <w:color w:val="000000"/>
          <w:szCs w:val="22"/>
          <w:lang w:val="hy-AM" w:eastAsia="en-US"/>
        </w:rPr>
        <w:t>Տ</w:t>
      </w:r>
      <w:r w:rsidRPr="007955BB">
        <w:rPr>
          <w:rFonts w:cs="Sylfaen"/>
          <w:b w:val="0"/>
          <w:bCs/>
          <w:color w:val="000000"/>
          <w:szCs w:val="22"/>
          <w:lang w:val="hy-AM" w:eastAsia="en-US"/>
        </w:rPr>
        <w:t>արեցներին</w:t>
      </w:r>
      <w:r w:rsidRPr="007955BB">
        <w:rPr>
          <w:b w:val="0"/>
          <w:bCs/>
          <w:color w:val="000000"/>
          <w:szCs w:val="22"/>
          <w:lang w:val="hy-AM" w:eastAsia="en-US"/>
        </w:rPr>
        <w:t xml:space="preserve"> </w:t>
      </w:r>
      <w:r w:rsidRPr="007955BB">
        <w:rPr>
          <w:rFonts w:cs="Sylfaen"/>
          <w:b w:val="0"/>
          <w:bCs/>
          <w:color w:val="000000"/>
          <w:szCs w:val="22"/>
          <w:lang w:val="hy-AM" w:eastAsia="en-US"/>
        </w:rPr>
        <w:t>մատուցվող</w:t>
      </w:r>
      <w:r w:rsidRPr="007955BB">
        <w:rPr>
          <w:b w:val="0"/>
          <w:bCs/>
          <w:color w:val="000000"/>
          <w:szCs w:val="22"/>
          <w:lang w:val="hy-AM" w:eastAsia="en-US"/>
        </w:rPr>
        <w:t xml:space="preserve"> </w:t>
      </w:r>
      <w:r w:rsidRPr="007955BB">
        <w:rPr>
          <w:rFonts w:cs="Sylfaen"/>
          <w:b w:val="0"/>
          <w:bCs/>
          <w:color w:val="000000"/>
          <w:szCs w:val="22"/>
          <w:lang w:val="hy-AM" w:eastAsia="en-US"/>
        </w:rPr>
        <w:t>խնամքի</w:t>
      </w:r>
      <w:r w:rsidRPr="007955BB">
        <w:rPr>
          <w:b w:val="0"/>
          <w:bCs/>
          <w:color w:val="000000"/>
          <w:szCs w:val="22"/>
          <w:lang w:val="hy-AM" w:eastAsia="en-US"/>
        </w:rPr>
        <w:t xml:space="preserve"> </w:t>
      </w:r>
      <w:r w:rsidRPr="007955BB">
        <w:rPr>
          <w:rFonts w:cs="Sylfaen"/>
          <w:b w:val="0"/>
          <w:bCs/>
          <w:color w:val="000000"/>
          <w:szCs w:val="22"/>
          <w:lang w:val="hy-AM" w:eastAsia="en-US"/>
        </w:rPr>
        <w:t>ծառայությունների</w:t>
      </w:r>
      <w:r w:rsidRPr="007955BB">
        <w:rPr>
          <w:b w:val="0"/>
          <w:bCs/>
          <w:color w:val="000000"/>
          <w:szCs w:val="22"/>
          <w:lang w:val="hy-AM" w:eastAsia="en-US"/>
        </w:rPr>
        <w:t xml:space="preserve"> բարելավման և համայնքահեն </w:t>
      </w:r>
      <w:r w:rsidRPr="007955BB">
        <w:rPr>
          <w:rFonts w:cs="Sylfaen"/>
          <w:b w:val="0"/>
          <w:bCs/>
          <w:color w:val="000000"/>
          <w:szCs w:val="22"/>
          <w:lang w:val="hy-AM" w:eastAsia="en-US"/>
        </w:rPr>
        <w:t>ծառայությունների</w:t>
      </w:r>
      <w:r w:rsidRPr="007955BB">
        <w:rPr>
          <w:b w:val="0"/>
          <w:bCs/>
          <w:color w:val="000000"/>
          <w:szCs w:val="22"/>
          <w:lang w:val="hy-AM" w:eastAsia="en-US"/>
        </w:rPr>
        <w:t xml:space="preserve"> </w:t>
      </w:r>
      <w:r w:rsidRPr="007955BB">
        <w:rPr>
          <w:rFonts w:cs="Sylfaen"/>
          <w:b w:val="0"/>
          <w:bCs/>
          <w:color w:val="000000"/>
          <w:szCs w:val="22"/>
          <w:lang w:val="hy-AM" w:eastAsia="en-US"/>
        </w:rPr>
        <w:t>ներդրման</w:t>
      </w:r>
      <w:r w:rsidRPr="007955BB">
        <w:rPr>
          <w:b w:val="0"/>
          <w:bCs/>
          <w:color w:val="000000"/>
          <w:szCs w:val="22"/>
          <w:lang w:val="hy-AM" w:eastAsia="en-US"/>
        </w:rPr>
        <w:t xml:space="preserve"> </w:t>
      </w:r>
      <w:r w:rsidRPr="007955BB">
        <w:rPr>
          <w:rFonts w:cs="Sylfaen"/>
          <w:b w:val="0"/>
          <w:bCs/>
          <w:color w:val="000000"/>
          <w:szCs w:val="22"/>
          <w:lang w:val="hy-AM" w:eastAsia="en-US"/>
        </w:rPr>
        <w:t>ու</w:t>
      </w:r>
      <w:r w:rsidRPr="007955BB">
        <w:rPr>
          <w:b w:val="0"/>
          <w:bCs/>
          <w:color w:val="000000"/>
          <w:szCs w:val="22"/>
          <w:lang w:val="hy-AM" w:eastAsia="en-US"/>
        </w:rPr>
        <w:t xml:space="preserve"> </w:t>
      </w:r>
      <w:r w:rsidRPr="007955BB">
        <w:rPr>
          <w:rFonts w:cs="Sylfaen"/>
          <w:b w:val="0"/>
          <w:bCs/>
          <w:color w:val="000000"/>
          <w:szCs w:val="22"/>
          <w:lang w:val="hy-AM" w:eastAsia="en-US"/>
        </w:rPr>
        <w:t>զարգացման</w:t>
      </w:r>
      <w:r w:rsidRPr="007955BB">
        <w:rPr>
          <w:b w:val="0"/>
          <w:bCs/>
          <w:color w:val="000000"/>
          <w:szCs w:val="22"/>
          <w:lang w:val="hy-AM" w:eastAsia="en-US"/>
        </w:rPr>
        <w:t xml:space="preserve"> </w:t>
      </w:r>
      <w:r w:rsidRPr="007955BB">
        <w:rPr>
          <w:rFonts w:cs="Sylfaen"/>
          <w:b w:val="0"/>
          <w:bCs/>
          <w:color w:val="000000"/>
          <w:szCs w:val="22"/>
          <w:lang w:val="hy-AM" w:eastAsia="en-US"/>
        </w:rPr>
        <w:t>ծրագիրը</w:t>
      </w:r>
      <w:r w:rsidRPr="007955BB">
        <w:rPr>
          <w:b w:val="0"/>
          <w:bCs/>
          <w:color w:val="000000"/>
          <w:szCs w:val="22"/>
          <w:lang w:val="hy-AM" w:eastAsia="en-US"/>
        </w:rPr>
        <w:t xml:space="preserve"> և </w:t>
      </w:r>
      <w:r w:rsidRPr="007955BB">
        <w:rPr>
          <w:rFonts w:cs="Sylfaen"/>
          <w:b w:val="0"/>
          <w:bCs/>
          <w:color w:val="000000"/>
          <w:szCs w:val="22"/>
          <w:lang w:val="hy-AM" w:eastAsia="en-US"/>
        </w:rPr>
        <w:t>ծրագրի</w:t>
      </w:r>
      <w:r w:rsidRPr="007955BB">
        <w:rPr>
          <w:b w:val="0"/>
          <w:bCs/>
          <w:color w:val="000000"/>
          <w:szCs w:val="22"/>
          <w:lang w:val="hy-AM" w:eastAsia="en-US"/>
        </w:rPr>
        <w:t xml:space="preserve"> </w:t>
      </w:r>
      <w:r w:rsidRPr="007955BB">
        <w:rPr>
          <w:rFonts w:cs="Sylfaen"/>
          <w:b w:val="0"/>
          <w:bCs/>
          <w:color w:val="000000"/>
          <w:szCs w:val="22"/>
          <w:lang w:val="hy-AM" w:eastAsia="en-US"/>
        </w:rPr>
        <w:t>իրականացումն</w:t>
      </w:r>
      <w:r w:rsidRPr="007955BB">
        <w:rPr>
          <w:b w:val="0"/>
          <w:bCs/>
          <w:color w:val="000000"/>
          <w:szCs w:val="22"/>
          <w:lang w:val="hy-AM" w:eastAsia="en-US"/>
        </w:rPr>
        <w:t xml:space="preserve"> </w:t>
      </w:r>
      <w:r w:rsidRPr="007955BB">
        <w:rPr>
          <w:rFonts w:cs="Sylfaen"/>
          <w:b w:val="0"/>
          <w:bCs/>
          <w:color w:val="000000"/>
          <w:szCs w:val="22"/>
          <w:lang w:val="hy-AM" w:eastAsia="en-US"/>
        </w:rPr>
        <w:t>ապահովող</w:t>
      </w:r>
      <w:r w:rsidRPr="007955BB">
        <w:rPr>
          <w:b w:val="0"/>
          <w:bCs/>
          <w:color w:val="000000"/>
          <w:szCs w:val="22"/>
          <w:lang w:val="hy-AM" w:eastAsia="en-US"/>
        </w:rPr>
        <w:t xml:space="preserve"> </w:t>
      </w:r>
      <w:r w:rsidRPr="007955BB">
        <w:rPr>
          <w:rFonts w:cs="Sylfaen"/>
          <w:b w:val="0"/>
          <w:bCs/>
          <w:color w:val="000000"/>
          <w:szCs w:val="22"/>
          <w:lang w:val="hy-AM" w:eastAsia="en-US"/>
        </w:rPr>
        <w:t>միջոցառումների</w:t>
      </w:r>
      <w:r w:rsidRPr="007955BB">
        <w:rPr>
          <w:b w:val="0"/>
          <w:bCs/>
          <w:color w:val="000000"/>
          <w:szCs w:val="22"/>
          <w:lang w:val="hy-AM" w:eastAsia="en-US"/>
        </w:rPr>
        <w:t xml:space="preserve"> 2021-2023 </w:t>
      </w:r>
      <w:r w:rsidRPr="007955BB">
        <w:rPr>
          <w:rFonts w:cs="Sylfaen"/>
          <w:b w:val="0"/>
          <w:bCs/>
          <w:color w:val="000000"/>
          <w:szCs w:val="22"/>
          <w:lang w:val="hy-AM" w:eastAsia="en-US"/>
        </w:rPr>
        <w:t>թվականների</w:t>
      </w:r>
      <w:r w:rsidRPr="007955BB">
        <w:rPr>
          <w:b w:val="0"/>
          <w:bCs/>
          <w:color w:val="000000"/>
          <w:szCs w:val="22"/>
          <w:lang w:val="hy-AM" w:eastAsia="en-US"/>
        </w:rPr>
        <w:t xml:space="preserve"> </w:t>
      </w:r>
      <w:r w:rsidRPr="007955BB">
        <w:rPr>
          <w:rFonts w:cs="Sylfaen"/>
          <w:b w:val="0"/>
          <w:bCs/>
          <w:color w:val="000000"/>
          <w:szCs w:val="22"/>
          <w:lang w:val="hy-AM" w:eastAsia="en-US"/>
        </w:rPr>
        <w:t>պլան</w:t>
      </w:r>
      <w:r w:rsidRPr="007955BB">
        <w:rPr>
          <w:b w:val="0"/>
          <w:bCs/>
          <w:color w:val="000000"/>
          <w:szCs w:val="22"/>
          <w:lang w:val="hy-AM" w:eastAsia="en-US"/>
        </w:rPr>
        <w:t>-</w:t>
      </w:r>
      <w:r w:rsidRPr="007955BB">
        <w:rPr>
          <w:rFonts w:cs="Sylfaen"/>
          <w:b w:val="0"/>
          <w:bCs/>
          <w:color w:val="000000"/>
          <w:szCs w:val="22"/>
          <w:lang w:val="hy-AM" w:eastAsia="en-US"/>
        </w:rPr>
        <w:t xml:space="preserve">ժամանակացույցով» 2023 թվականի համար նախատեսված միջոցառումները: </w:t>
      </w:r>
    </w:p>
    <w:p w:rsidR="00F1267C" w:rsidRPr="007955BB" w:rsidRDefault="00F1267C" w:rsidP="00F1267C">
      <w:pPr>
        <w:spacing w:before="0" w:line="276" w:lineRule="auto"/>
        <w:ind w:firstLine="562"/>
        <w:contextualSpacing w:val="0"/>
        <w:rPr>
          <w:rFonts w:cs="Sylfaen"/>
          <w:b w:val="0"/>
          <w:bCs/>
          <w:szCs w:val="22"/>
          <w:lang w:val="hy-AM" w:eastAsia="en-US"/>
        </w:rPr>
      </w:pPr>
      <w:r w:rsidRPr="007955BB">
        <w:rPr>
          <w:b w:val="0"/>
          <w:bCs/>
          <w:color w:val="000000"/>
          <w:szCs w:val="22"/>
          <w:lang w:val="hy-AM" w:eastAsia="en-US"/>
        </w:rPr>
        <w:t xml:space="preserve">Շարունակվելու է </w:t>
      </w:r>
      <w:r w:rsidRPr="007955BB">
        <w:rPr>
          <w:rFonts w:cs="Sylfaen"/>
          <w:b w:val="0"/>
          <w:bCs/>
          <w:color w:val="000000"/>
          <w:szCs w:val="22"/>
          <w:lang w:val="hy-AM" w:eastAsia="en-US"/>
        </w:rPr>
        <w:t>պետական</w:t>
      </w:r>
      <w:r w:rsidRPr="007955BB">
        <w:rPr>
          <w:b w:val="0"/>
          <w:bCs/>
          <w:color w:val="000000"/>
          <w:szCs w:val="22"/>
          <w:lang w:val="hy-AM" w:eastAsia="en-US"/>
        </w:rPr>
        <w:t xml:space="preserve"> </w:t>
      </w:r>
      <w:r w:rsidRPr="007955BB">
        <w:rPr>
          <w:rFonts w:cs="Sylfaen"/>
          <w:b w:val="0"/>
          <w:bCs/>
          <w:color w:val="000000"/>
          <w:szCs w:val="22"/>
          <w:lang w:val="hy-AM" w:eastAsia="en-US"/>
        </w:rPr>
        <w:t>միջոցների</w:t>
      </w:r>
      <w:r w:rsidRPr="007955BB">
        <w:rPr>
          <w:b w:val="0"/>
          <w:bCs/>
          <w:color w:val="000000"/>
          <w:szCs w:val="22"/>
          <w:lang w:val="hy-AM" w:eastAsia="en-US"/>
        </w:rPr>
        <w:t xml:space="preserve"> </w:t>
      </w:r>
      <w:r w:rsidRPr="007955BB">
        <w:rPr>
          <w:rFonts w:cs="Sylfaen"/>
          <w:b w:val="0"/>
          <w:bCs/>
          <w:color w:val="000000"/>
          <w:szCs w:val="22"/>
          <w:lang w:val="hy-AM" w:eastAsia="en-US"/>
        </w:rPr>
        <w:t>շրջանակում</w:t>
      </w:r>
      <w:r w:rsidRPr="007955BB">
        <w:rPr>
          <w:b w:val="0"/>
          <w:bCs/>
          <w:color w:val="000000"/>
          <w:szCs w:val="22"/>
          <w:lang w:val="hy-AM" w:eastAsia="en-US"/>
        </w:rPr>
        <w:t xml:space="preserve"> </w:t>
      </w:r>
      <w:r w:rsidRPr="007955BB">
        <w:rPr>
          <w:rFonts w:cs="Sylfaen"/>
          <w:b w:val="0"/>
          <w:bCs/>
          <w:color w:val="000000"/>
          <w:szCs w:val="22"/>
          <w:lang w:val="hy-AM" w:eastAsia="en-US"/>
        </w:rPr>
        <w:t>շահառուներին</w:t>
      </w:r>
      <w:r w:rsidRPr="007955BB">
        <w:rPr>
          <w:b w:val="0"/>
          <w:bCs/>
          <w:color w:val="000000"/>
          <w:szCs w:val="22"/>
          <w:lang w:val="hy-AM" w:eastAsia="en-US"/>
        </w:rPr>
        <w:t xml:space="preserve"> </w:t>
      </w:r>
      <w:r w:rsidRPr="007955BB">
        <w:rPr>
          <w:rFonts w:cs="Sylfaen"/>
          <w:b w:val="0"/>
          <w:bCs/>
          <w:color w:val="000000"/>
          <w:szCs w:val="22"/>
          <w:lang w:val="hy-AM" w:eastAsia="en-US"/>
        </w:rPr>
        <w:t>մատուցվող</w:t>
      </w:r>
      <w:r w:rsidRPr="007955BB">
        <w:rPr>
          <w:b w:val="0"/>
          <w:bCs/>
          <w:color w:val="000000"/>
          <w:szCs w:val="22"/>
          <w:lang w:val="hy-AM" w:eastAsia="en-US"/>
        </w:rPr>
        <w:t xml:space="preserve"> </w:t>
      </w:r>
      <w:r w:rsidRPr="007955BB">
        <w:rPr>
          <w:rFonts w:cs="Sylfaen"/>
          <w:b w:val="0"/>
          <w:bCs/>
          <w:color w:val="000000"/>
          <w:szCs w:val="22"/>
          <w:lang w:val="hy-AM" w:eastAsia="en-US"/>
        </w:rPr>
        <w:t>խնամքի</w:t>
      </w:r>
      <w:r w:rsidRPr="007955BB">
        <w:rPr>
          <w:b w:val="0"/>
          <w:bCs/>
          <w:color w:val="000000"/>
          <w:szCs w:val="22"/>
          <w:lang w:val="hy-AM" w:eastAsia="en-US"/>
        </w:rPr>
        <w:t xml:space="preserve"> </w:t>
      </w:r>
      <w:r w:rsidRPr="007955BB">
        <w:rPr>
          <w:rFonts w:cs="Sylfaen"/>
          <w:b w:val="0"/>
          <w:bCs/>
          <w:color w:val="000000"/>
          <w:szCs w:val="22"/>
          <w:lang w:val="hy-AM" w:eastAsia="en-US"/>
        </w:rPr>
        <w:t>ծառայությունների</w:t>
      </w:r>
      <w:r w:rsidRPr="007955BB">
        <w:rPr>
          <w:b w:val="0"/>
          <w:bCs/>
          <w:color w:val="000000"/>
          <w:szCs w:val="22"/>
          <w:lang w:val="hy-AM" w:eastAsia="en-US"/>
        </w:rPr>
        <w:t xml:space="preserve"> տրամադրումը՝ </w:t>
      </w:r>
      <w:r w:rsidRPr="007955BB">
        <w:rPr>
          <w:rFonts w:cs="Sylfaen"/>
          <w:b w:val="0"/>
          <w:bCs/>
          <w:color w:val="000000"/>
          <w:szCs w:val="22"/>
          <w:lang w:val="hy-AM" w:eastAsia="en-US"/>
        </w:rPr>
        <w:t>խրախուսելով</w:t>
      </w:r>
      <w:r w:rsidRPr="007955BB">
        <w:rPr>
          <w:b w:val="0"/>
          <w:bCs/>
          <w:color w:val="000000"/>
          <w:szCs w:val="22"/>
          <w:lang w:val="hy-AM" w:eastAsia="en-US"/>
        </w:rPr>
        <w:t xml:space="preserve"> </w:t>
      </w:r>
      <w:r w:rsidRPr="007955BB">
        <w:rPr>
          <w:rFonts w:cs="Sylfaen"/>
          <w:b w:val="0"/>
          <w:bCs/>
          <w:color w:val="000000"/>
          <w:szCs w:val="22"/>
          <w:lang w:val="hy-AM" w:eastAsia="en-US"/>
        </w:rPr>
        <w:t>ծառայությունների</w:t>
      </w:r>
      <w:r w:rsidRPr="007955BB">
        <w:rPr>
          <w:b w:val="0"/>
          <w:bCs/>
          <w:color w:val="000000"/>
          <w:szCs w:val="22"/>
          <w:lang w:val="hy-AM" w:eastAsia="en-US"/>
        </w:rPr>
        <w:t xml:space="preserve"> </w:t>
      </w:r>
      <w:r w:rsidRPr="007955BB">
        <w:rPr>
          <w:rFonts w:cs="Sylfaen"/>
          <w:b w:val="0"/>
          <w:bCs/>
          <w:color w:val="000000"/>
          <w:szCs w:val="22"/>
          <w:lang w:val="hy-AM" w:eastAsia="en-US"/>
        </w:rPr>
        <w:t>պատվիրակումը</w:t>
      </w:r>
      <w:r w:rsidRPr="007955BB">
        <w:rPr>
          <w:b w:val="0"/>
          <w:bCs/>
          <w:color w:val="000000"/>
          <w:szCs w:val="22"/>
          <w:lang w:val="hy-AM" w:eastAsia="en-US"/>
        </w:rPr>
        <w:t xml:space="preserve"> </w:t>
      </w:r>
      <w:r w:rsidRPr="007955BB">
        <w:rPr>
          <w:rFonts w:cs="Sylfaen"/>
          <w:b w:val="0"/>
          <w:bCs/>
          <w:color w:val="000000"/>
          <w:szCs w:val="22"/>
          <w:lang w:val="hy-AM" w:eastAsia="en-US"/>
        </w:rPr>
        <w:t>հասարակական</w:t>
      </w:r>
      <w:r w:rsidRPr="007955BB">
        <w:rPr>
          <w:b w:val="0"/>
          <w:bCs/>
          <w:color w:val="000000"/>
          <w:szCs w:val="22"/>
          <w:lang w:val="hy-AM" w:eastAsia="en-US"/>
        </w:rPr>
        <w:t xml:space="preserve"> </w:t>
      </w:r>
      <w:r w:rsidRPr="007955BB">
        <w:rPr>
          <w:rFonts w:cs="Sylfaen"/>
          <w:b w:val="0"/>
          <w:bCs/>
          <w:color w:val="000000"/>
          <w:szCs w:val="22"/>
          <w:lang w:val="hy-AM" w:eastAsia="en-US"/>
        </w:rPr>
        <w:t>կազմակերպություններին</w:t>
      </w:r>
      <w:r w:rsidRPr="007955BB">
        <w:rPr>
          <w:b w:val="0"/>
          <w:bCs/>
          <w:color w:val="000000"/>
          <w:szCs w:val="22"/>
          <w:lang w:val="hy-AM" w:eastAsia="en-US"/>
        </w:rPr>
        <w:t xml:space="preserve"> </w:t>
      </w:r>
      <w:r w:rsidRPr="007955BB">
        <w:rPr>
          <w:rFonts w:cs="Sylfaen"/>
          <w:b w:val="0"/>
          <w:bCs/>
          <w:szCs w:val="22"/>
          <w:lang w:val="hy-AM" w:eastAsia="en-US"/>
        </w:rPr>
        <w:t>մրցութային</w:t>
      </w:r>
      <w:r w:rsidRPr="007955BB">
        <w:rPr>
          <w:b w:val="0"/>
          <w:bCs/>
          <w:szCs w:val="22"/>
          <w:lang w:val="hy-AM" w:eastAsia="en-US"/>
        </w:rPr>
        <w:t xml:space="preserve"> </w:t>
      </w:r>
      <w:r w:rsidRPr="007955BB">
        <w:rPr>
          <w:rFonts w:cs="Sylfaen"/>
          <w:b w:val="0"/>
          <w:bCs/>
          <w:szCs w:val="22"/>
          <w:lang w:val="hy-AM" w:eastAsia="en-US"/>
        </w:rPr>
        <w:t>եղանակով, բարելավվելու է շահառուներին</w:t>
      </w:r>
      <w:r w:rsidRPr="007955BB">
        <w:rPr>
          <w:b w:val="0"/>
          <w:bCs/>
          <w:szCs w:val="22"/>
          <w:lang w:val="hy-AM" w:eastAsia="en-US"/>
        </w:rPr>
        <w:t xml:space="preserve"> </w:t>
      </w:r>
      <w:r w:rsidRPr="007955BB">
        <w:rPr>
          <w:rFonts w:cs="Sylfaen"/>
          <w:b w:val="0"/>
          <w:bCs/>
          <w:szCs w:val="22"/>
          <w:lang w:val="hy-AM" w:eastAsia="en-US"/>
        </w:rPr>
        <w:t>մատուցվող</w:t>
      </w:r>
      <w:r w:rsidRPr="007955BB">
        <w:rPr>
          <w:b w:val="0"/>
          <w:bCs/>
          <w:szCs w:val="22"/>
          <w:lang w:val="hy-AM" w:eastAsia="en-US"/>
        </w:rPr>
        <w:t xml:space="preserve"> </w:t>
      </w:r>
      <w:r w:rsidRPr="007955BB">
        <w:rPr>
          <w:rFonts w:cs="Sylfaen"/>
          <w:b w:val="0"/>
          <w:bCs/>
          <w:szCs w:val="22"/>
          <w:lang w:val="hy-AM" w:eastAsia="en-US"/>
        </w:rPr>
        <w:t>ծառայությունների</w:t>
      </w:r>
      <w:r w:rsidRPr="007955BB">
        <w:rPr>
          <w:b w:val="0"/>
          <w:bCs/>
          <w:szCs w:val="22"/>
          <w:lang w:val="hy-AM" w:eastAsia="en-US"/>
        </w:rPr>
        <w:t xml:space="preserve"> </w:t>
      </w:r>
      <w:r w:rsidRPr="007955BB">
        <w:rPr>
          <w:rFonts w:cs="Sylfaen"/>
          <w:b w:val="0"/>
          <w:bCs/>
          <w:szCs w:val="22"/>
          <w:lang w:val="hy-AM" w:eastAsia="en-US"/>
        </w:rPr>
        <w:t>որակը, ընդլայնվելու են տարեցներին մատուցվող համայնքահեն ծառայությունները՝</w:t>
      </w:r>
      <w:r w:rsidRPr="007955BB">
        <w:rPr>
          <w:b w:val="0"/>
          <w:bCs/>
          <w:szCs w:val="22"/>
          <w:lang w:val="hy-AM" w:eastAsia="en-US"/>
        </w:rPr>
        <w:t xml:space="preserve"> </w:t>
      </w:r>
      <w:r w:rsidRPr="007955BB">
        <w:rPr>
          <w:rFonts w:cs="Sylfaen"/>
          <w:b w:val="0"/>
          <w:bCs/>
          <w:szCs w:val="22"/>
          <w:lang w:val="hy-AM" w:eastAsia="en-US"/>
        </w:rPr>
        <w:t>ներգրավելով</w:t>
      </w:r>
      <w:r w:rsidRPr="007955BB">
        <w:rPr>
          <w:b w:val="0"/>
          <w:bCs/>
          <w:szCs w:val="22"/>
          <w:lang w:val="hy-AM" w:eastAsia="en-US"/>
        </w:rPr>
        <w:t xml:space="preserve"> </w:t>
      </w:r>
      <w:r w:rsidRPr="007955BB">
        <w:rPr>
          <w:rFonts w:cs="Sylfaen"/>
          <w:b w:val="0"/>
          <w:bCs/>
          <w:szCs w:val="22"/>
          <w:lang w:val="hy-AM" w:eastAsia="en-US"/>
        </w:rPr>
        <w:t>համայնքի</w:t>
      </w:r>
      <w:r w:rsidRPr="007955BB">
        <w:rPr>
          <w:b w:val="0"/>
          <w:bCs/>
          <w:szCs w:val="22"/>
          <w:lang w:val="hy-AM" w:eastAsia="en-US"/>
        </w:rPr>
        <w:t xml:space="preserve"> </w:t>
      </w:r>
      <w:r w:rsidRPr="007955BB">
        <w:rPr>
          <w:rFonts w:cs="Sylfaen"/>
          <w:b w:val="0"/>
          <w:bCs/>
          <w:szCs w:val="22"/>
          <w:lang w:val="hy-AM" w:eastAsia="en-US"/>
        </w:rPr>
        <w:t>ներուժը, և այս ամենն իրականացվելու է զուգորդված իրավական դաշտի կատարելագործման հետ:</w:t>
      </w:r>
    </w:p>
    <w:p w:rsidR="00F1267C" w:rsidRPr="007955BB" w:rsidRDefault="00F1267C" w:rsidP="00F1267C">
      <w:pPr>
        <w:spacing w:before="0" w:line="276" w:lineRule="auto"/>
        <w:ind w:firstLine="562"/>
        <w:contextualSpacing w:val="0"/>
        <w:rPr>
          <w:rFonts w:cs="Sylfaen"/>
          <w:b w:val="0"/>
          <w:bCs/>
          <w:szCs w:val="22"/>
          <w:lang w:val="hy-AM" w:eastAsia="en-US"/>
        </w:rPr>
      </w:pPr>
      <w:r w:rsidRPr="007955BB">
        <w:rPr>
          <w:rFonts w:cs="Sylfaen"/>
          <w:b w:val="0"/>
          <w:bCs/>
          <w:szCs w:val="22"/>
          <w:lang w:val="hy-AM" w:eastAsia="en-US"/>
        </w:rPr>
        <w:t xml:space="preserve">Ըստ ծառայությունների տեսակների՝ 2023 թվականին շուրջօրյա խնամքի ծառայություններ են տրամադրվելու 1260, տնային պայմաններում խնամքի ծառայություններ (այդ թվում՝ հոգեկան առողջության խնդիրներ ունեցող անձանց ևս)՝ 1250, ցերեկային կենտրոններում՝ 1200, անօթևան մարդկանց ժամանակավոր կացարանում՝ 100, և կոմունալ ծառայությունների փոխհատուցում՝ սոցիալական տներում բնակվող 110 շահառուի: Դրան ի լրումն, Հայրենական մեծ պատերազմի վետերաններին աջակցելու նպատակով կշարունակվեն ավիափոխադրումների համար փոխհատուցման ծառայությունները և «Հայաստանի վետերանների միավորում» միության ֆինանսավորումը։ </w:t>
      </w:r>
    </w:p>
    <w:p w:rsidR="00F1267C" w:rsidRPr="007955BB" w:rsidRDefault="00F1267C" w:rsidP="00F1267C">
      <w:pPr>
        <w:spacing w:before="0" w:line="276" w:lineRule="auto"/>
        <w:ind w:firstLine="562"/>
        <w:contextualSpacing w:val="0"/>
        <w:rPr>
          <w:rFonts w:cs="Sylfaen"/>
          <w:b w:val="0"/>
          <w:bCs/>
          <w:szCs w:val="22"/>
          <w:lang w:val="hy-AM" w:eastAsia="en-US"/>
        </w:rPr>
      </w:pPr>
      <w:r w:rsidRPr="007955BB">
        <w:rPr>
          <w:rFonts w:cs="Sylfaen"/>
          <w:b w:val="0"/>
          <w:bCs/>
          <w:szCs w:val="22"/>
          <w:lang w:val="hy-AM" w:eastAsia="en-US"/>
        </w:rPr>
        <w:t>Ընդլայնվելու է շուրջօրյա խնամքի ծառայությունների մատուցումը, սննդի տրամադրման ծառայությունը հասանելի կլինի բոլոր անապահով անձանց, տնային պայմաններում և ցերեկային կենտրոններում խնամքի տրամադրման բնագավառներում բարելավվելու է մատուցվող ծառայությունների որակն ու մեծանալու է հասցեականությունը, ներդրվող համայնքահեն ծառայություններում կարևորություն է տրվելու համայնքի մասնակցությանը և ավելի մեծ թվով հասարակական կազմակերպությունների ընդգրկվածությանը:</w:t>
      </w:r>
    </w:p>
    <w:p w:rsidR="00F1267C" w:rsidRPr="007955BB" w:rsidRDefault="00F1267C" w:rsidP="00F1267C">
      <w:pPr>
        <w:spacing w:before="0" w:line="276" w:lineRule="auto"/>
        <w:ind w:firstLine="562"/>
        <w:contextualSpacing w:val="0"/>
        <w:rPr>
          <w:rFonts w:cs="Sylfaen"/>
          <w:b w:val="0"/>
          <w:bCs/>
          <w:szCs w:val="22"/>
          <w:lang w:val="hy-AM" w:eastAsia="en-US"/>
        </w:rPr>
      </w:pPr>
      <w:r w:rsidRPr="007955BB">
        <w:rPr>
          <w:rFonts w:cs="Sylfaen"/>
          <w:b w:val="0"/>
          <w:bCs/>
          <w:szCs w:val="22"/>
          <w:lang w:val="hy-AM" w:eastAsia="en-US"/>
        </w:rPr>
        <w:t xml:space="preserve">2023 թվականին </w:t>
      </w:r>
      <w:r w:rsidRPr="007955BB">
        <w:rPr>
          <w:rFonts w:cs="Sylfaen"/>
          <w:bCs/>
          <w:szCs w:val="22"/>
          <w:lang w:val="hy-AM" w:eastAsia="en-US"/>
        </w:rPr>
        <w:t>նախկին ԽՍՀՄ խնայբանկի ՀԽՍՀ հանրապետական բանկում մինչև 1993թվականի հունիսի 10-ը ներդրված դրամական ավանդների փոխհատուցում</w:t>
      </w:r>
      <w:r w:rsidRPr="007955BB">
        <w:rPr>
          <w:rFonts w:cs="Sylfaen"/>
          <w:b w:val="0"/>
          <w:bCs/>
          <w:szCs w:val="22"/>
          <w:lang w:val="hy-AM" w:eastAsia="en-US"/>
        </w:rPr>
        <w:t xml:space="preserve"> կտրամադրվի շուրջ 5900 շահառուի: Նախկին ԽՍՀՄ Խնայբանկի ՀԽՍՀ հանրապետական բանկում մինչև 1993 թվականի հունիսի 10-ը ներդրված դրամական ավանդների դիմաց փոխհատուցման ստանալու իրավունք կտրվի նաև մինչև 1940 թվականի հուլիսի 1-ը ծնված ավանդատուներին:</w:t>
      </w:r>
    </w:p>
    <w:p w:rsidR="008A4036" w:rsidRPr="007955BB" w:rsidRDefault="008A4036" w:rsidP="008A4036">
      <w:pPr>
        <w:spacing w:before="0" w:line="276" w:lineRule="auto"/>
        <w:ind w:firstLine="709"/>
        <w:contextualSpacing w:val="0"/>
        <w:rPr>
          <w:rFonts w:cs="Browallia New"/>
          <w:b w:val="0"/>
          <w:bCs/>
          <w:szCs w:val="22"/>
          <w:lang w:val="hy-AM"/>
        </w:rPr>
      </w:pPr>
    </w:p>
    <w:p w:rsidR="005F226A" w:rsidRPr="007955BB"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77" w:name="_Toc83567453"/>
      <w:bookmarkStart w:id="78" w:name="_Toc120805182"/>
      <w:r w:rsidRPr="007955BB">
        <w:rPr>
          <w:rFonts w:cs="Arial"/>
          <w:szCs w:val="22"/>
          <w:lang w:val="hy-AM" w:eastAsia="en-US"/>
        </w:rPr>
        <w:t>Շրջակա միջավայր</w:t>
      </w:r>
      <w:bookmarkEnd w:id="76"/>
      <w:bookmarkEnd w:id="77"/>
      <w:bookmarkEnd w:id="78"/>
    </w:p>
    <w:p w:rsidR="005F226A" w:rsidRPr="007955BB" w:rsidRDefault="005F226A" w:rsidP="00C0116C">
      <w:pPr>
        <w:pStyle w:val="ListParagraph"/>
        <w:tabs>
          <w:tab w:val="left" w:pos="284"/>
          <w:tab w:val="left" w:pos="720"/>
        </w:tabs>
        <w:spacing w:before="0" w:line="276" w:lineRule="auto"/>
        <w:ind w:left="0" w:firstLine="720"/>
        <w:contextualSpacing w:val="0"/>
        <w:rPr>
          <w:rFonts w:cs="Arial Armenian"/>
          <w:b w:val="0"/>
          <w:szCs w:val="22"/>
          <w:lang w:val="hy-AM"/>
        </w:rPr>
      </w:pPr>
      <w:r w:rsidRPr="007955BB">
        <w:rPr>
          <w:rFonts w:cs="Arial Armenian"/>
          <w:b w:val="0"/>
          <w:szCs w:val="22"/>
          <w:lang w:val="hy-AM"/>
        </w:rPr>
        <w:t>ՀՀ շրջակա միջավայրի ոլորտի նպատակները և ծախսային գերակայությունները բխում են ՀՀ կառավարության` 2021 թվականի օգոստոսի 18-ի թիվ 1363-Ա որոշմամբ հաստատված ՀՀ կառավարության 2021-2026թթ. ծրագրի առաջնահերթություններից:</w:t>
      </w:r>
    </w:p>
    <w:p w:rsidR="005F226A" w:rsidRPr="007955BB" w:rsidRDefault="005F226A" w:rsidP="008F5CA2">
      <w:pPr>
        <w:pStyle w:val="BodyText2"/>
        <w:rPr>
          <w:rFonts w:cs="Arial"/>
        </w:rPr>
      </w:pPr>
      <w:r w:rsidRPr="007955BB">
        <w:t>Հիմնական ռազմավարության նպատակները և գերակա վերջնական արդյունքներն են՝</w:t>
      </w:r>
    </w:p>
    <w:p w:rsidR="005F226A" w:rsidRPr="007955BB" w:rsidRDefault="005F226A" w:rsidP="00F04DA1">
      <w:pPr>
        <w:pStyle w:val="ListParagraph"/>
        <w:numPr>
          <w:ilvl w:val="0"/>
          <w:numId w:val="52"/>
        </w:numPr>
        <w:spacing w:before="0" w:line="276" w:lineRule="auto"/>
        <w:ind w:left="0" w:firstLine="360"/>
        <w:contextualSpacing w:val="0"/>
        <w:rPr>
          <w:rFonts w:cs="Arial Armenian"/>
          <w:b w:val="0"/>
          <w:iCs/>
          <w:szCs w:val="22"/>
          <w:lang w:val="hy-AM"/>
        </w:rPr>
      </w:pPr>
      <w:r w:rsidRPr="007955BB">
        <w:rPr>
          <w:rFonts w:cs="Arial Armenian"/>
          <w:b w:val="0"/>
          <w:iCs/>
          <w:szCs w:val="22"/>
          <w:lang w:val="hy-AM"/>
        </w:rPr>
        <w:t xml:space="preserve"> Շրջակա միջավայրի վերաբերյալ տեղեկատվության հրապարակում,</w:t>
      </w:r>
    </w:p>
    <w:p w:rsidR="005F226A" w:rsidRPr="007955BB" w:rsidRDefault="005F226A" w:rsidP="00F04DA1">
      <w:pPr>
        <w:pStyle w:val="ListParagraph"/>
        <w:numPr>
          <w:ilvl w:val="0"/>
          <w:numId w:val="52"/>
        </w:numPr>
        <w:spacing w:before="0" w:line="276" w:lineRule="auto"/>
        <w:ind w:left="0" w:firstLine="360"/>
        <w:contextualSpacing w:val="0"/>
        <w:rPr>
          <w:rFonts w:cs="Arial Armenian"/>
          <w:b w:val="0"/>
          <w:iCs/>
          <w:szCs w:val="22"/>
          <w:lang w:val="hy-AM"/>
        </w:rPr>
      </w:pPr>
      <w:r w:rsidRPr="007955BB">
        <w:rPr>
          <w:rFonts w:cs="Arial Armenian"/>
          <w:b w:val="0"/>
          <w:iCs/>
          <w:szCs w:val="22"/>
          <w:lang w:val="hy-AM"/>
        </w:rPr>
        <w:t xml:space="preserve"> Ազդակիր համայնքներում բարելավված շրջակա միջավայր,</w:t>
      </w:r>
    </w:p>
    <w:p w:rsidR="005F226A" w:rsidRPr="007955BB" w:rsidRDefault="005F226A" w:rsidP="00F04DA1">
      <w:pPr>
        <w:pStyle w:val="ListParagraph"/>
        <w:numPr>
          <w:ilvl w:val="0"/>
          <w:numId w:val="52"/>
        </w:numPr>
        <w:spacing w:before="0" w:line="276" w:lineRule="auto"/>
        <w:ind w:left="0" w:firstLine="360"/>
        <w:contextualSpacing w:val="0"/>
        <w:rPr>
          <w:rFonts w:cs="Arial Armenian"/>
          <w:b w:val="0"/>
          <w:iCs/>
          <w:szCs w:val="22"/>
          <w:lang w:val="hy-AM"/>
        </w:rPr>
      </w:pPr>
      <w:r w:rsidRPr="007955BB">
        <w:rPr>
          <w:rFonts w:cs="Arial Armenian"/>
          <w:b w:val="0"/>
          <w:iCs/>
          <w:szCs w:val="22"/>
          <w:lang w:val="hy-AM"/>
        </w:rPr>
        <w:t xml:space="preserve"> Բնական պաշարների և կենսաբազմազանության վերարտադրության աճի ապահովում</w:t>
      </w:r>
    </w:p>
    <w:p w:rsidR="005F226A" w:rsidRPr="007955BB" w:rsidRDefault="005F226A" w:rsidP="00F04DA1">
      <w:pPr>
        <w:pStyle w:val="ListParagraph"/>
        <w:numPr>
          <w:ilvl w:val="0"/>
          <w:numId w:val="52"/>
        </w:numPr>
        <w:spacing w:before="0" w:line="276" w:lineRule="auto"/>
        <w:ind w:left="0" w:firstLine="360"/>
        <w:contextualSpacing w:val="0"/>
        <w:rPr>
          <w:rFonts w:cs="Arial Armenian"/>
          <w:b w:val="0"/>
          <w:iCs/>
          <w:szCs w:val="22"/>
          <w:lang w:val="hy-AM"/>
        </w:rPr>
      </w:pPr>
      <w:r w:rsidRPr="007955BB">
        <w:rPr>
          <w:rFonts w:cs="Arial Armenian"/>
          <w:b w:val="0"/>
          <w:iCs/>
          <w:szCs w:val="22"/>
          <w:lang w:val="hy-AM"/>
        </w:rPr>
        <w:t xml:space="preserve"> Կայուն կառավարվող անտառային տարածքների աճ,</w:t>
      </w:r>
    </w:p>
    <w:p w:rsidR="005F226A" w:rsidRPr="007955BB" w:rsidRDefault="005F226A" w:rsidP="00F04DA1">
      <w:pPr>
        <w:pStyle w:val="ListParagraph"/>
        <w:numPr>
          <w:ilvl w:val="0"/>
          <w:numId w:val="52"/>
        </w:numPr>
        <w:spacing w:before="0" w:line="276" w:lineRule="auto"/>
        <w:ind w:left="0" w:firstLine="360"/>
        <w:contextualSpacing w:val="0"/>
        <w:rPr>
          <w:rFonts w:cs="Arial Armenian"/>
          <w:b w:val="0"/>
          <w:iCs/>
          <w:szCs w:val="22"/>
          <w:lang w:val="hy-AM"/>
        </w:rPr>
      </w:pPr>
      <w:r w:rsidRPr="007955BB">
        <w:rPr>
          <w:rFonts w:cs="Arial Armenian"/>
          <w:b w:val="0"/>
          <w:iCs/>
          <w:szCs w:val="22"/>
          <w:lang w:val="hy-AM"/>
        </w:rPr>
        <w:t xml:space="preserve"> Մշտական և ժամանակավոր ցուցահանդեսների միջոցով հավաքածուները ներկայացում հանրությանը և բնապահպանական քարոզչության իրականացում։</w:t>
      </w:r>
    </w:p>
    <w:p w:rsidR="005F226A" w:rsidRPr="007955BB" w:rsidRDefault="005F226A" w:rsidP="00C0116C">
      <w:pPr>
        <w:pStyle w:val="ListParagraph"/>
        <w:tabs>
          <w:tab w:val="left" w:pos="284"/>
          <w:tab w:val="left" w:pos="720"/>
        </w:tabs>
        <w:spacing w:before="0" w:line="276" w:lineRule="auto"/>
        <w:ind w:left="0" w:firstLine="720"/>
        <w:contextualSpacing w:val="0"/>
        <w:rPr>
          <w:rFonts w:cs="Arial Armenian"/>
          <w:b w:val="0"/>
          <w:szCs w:val="22"/>
          <w:lang w:val="hy-AM"/>
        </w:rPr>
      </w:pPr>
      <w:r w:rsidRPr="007955BB">
        <w:rPr>
          <w:rFonts w:cs="Arial Armenian"/>
          <w:b w:val="0"/>
          <w:szCs w:val="22"/>
          <w:lang w:val="hy-AM"/>
        </w:rPr>
        <w:t>Շրջակա միջավայրի ոլորտի զարգացման կարևորագույն նպատակների իրագործման շրջանակներում 202</w:t>
      </w:r>
      <w:r w:rsidR="00136146" w:rsidRPr="007955BB">
        <w:rPr>
          <w:rFonts w:cs="Arial Armenian"/>
          <w:b w:val="0"/>
          <w:szCs w:val="22"/>
          <w:lang w:val="hy-AM"/>
        </w:rPr>
        <w:t>3</w:t>
      </w:r>
      <w:r w:rsidRPr="007955BB">
        <w:rPr>
          <w:rFonts w:cs="Arial Armenian"/>
          <w:b w:val="0"/>
          <w:szCs w:val="22"/>
          <w:lang w:val="hy-AM"/>
        </w:rPr>
        <w:t xml:space="preserve"> թվականին  կիրականացվեն հետևյալ  ծրագրերն և միջոցառումները.</w:t>
      </w:r>
    </w:p>
    <w:p w:rsidR="005F226A" w:rsidRPr="007955BB" w:rsidRDefault="005F226A" w:rsidP="00C0116C">
      <w:pPr>
        <w:pStyle w:val="ListParagraph"/>
        <w:tabs>
          <w:tab w:val="left" w:pos="284"/>
          <w:tab w:val="left" w:pos="720"/>
        </w:tabs>
        <w:spacing w:before="0" w:line="276" w:lineRule="auto"/>
        <w:ind w:left="0" w:firstLine="720"/>
        <w:contextualSpacing w:val="0"/>
        <w:rPr>
          <w:rFonts w:cs="Arial Armenian"/>
          <w:b w:val="0"/>
          <w:szCs w:val="22"/>
          <w:lang w:val="hy-AM"/>
        </w:rPr>
      </w:pPr>
      <w:r w:rsidRPr="007955BB">
        <w:rPr>
          <w:rFonts w:cs="Arial Armenian"/>
          <w:b w:val="0"/>
          <w:szCs w:val="22"/>
          <w:lang w:val="hy-AM"/>
        </w:rPr>
        <w:t>ա/ «Բնապահպանական ծրագրերի իրականացում համայնքներում» ծրագրի շրջանակներում  իրականացվելու է «Բնապահպանական սուբվենցիաներ համայնքներին» միջոցառումը,</w:t>
      </w:r>
    </w:p>
    <w:p w:rsidR="005F226A" w:rsidRPr="007955BB" w:rsidRDefault="005F226A" w:rsidP="00C0116C">
      <w:pPr>
        <w:pStyle w:val="ListParagraph"/>
        <w:tabs>
          <w:tab w:val="left" w:pos="284"/>
          <w:tab w:val="left" w:pos="720"/>
        </w:tabs>
        <w:spacing w:before="0" w:line="276" w:lineRule="auto"/>
        <w:ind w:left="0" w:firstLine="720"/>
        <w:contextualSpacing w:val="0"/>
        <w:rPr>
          <w:rFonts w:cs="Arial Armenian"/>
          <w:b w:val="0"/>
          <w:szCs w:val="22"/>
          <w:lang w:val="hy-AM"/>
        </w:rPr>
      </w:pPr>
      <w:r w:rsidRPr="007955BB">
        <w:rPr>
          <w:rFonts w:cs="Arial Armenian"/>
          <w:b w:val="0"/>
          <w:szCs w:val="22"/>
          <w:lang w:val="hy-AM"/>
        </w:rPr>
        <w:t>բ/ «Բնական պաշարների և բնության հատուկ պահպանվող տարածքների կառավարում» ծրագրի շրջանակներում իրականացվելու է Սևանա լճի համալիր ծրագրով նախատեսված համապատասխան միջոցառումների կատարումը,</w:t>
      </w:r>
    </w:p>
    <w:p w:rsidR="005F226A" w:rsidRPr="007955BB" w:rsidRDefault="005F226A" w:rsidP="00C0116C">
      <w:pPr>
        <w:pStyle w:val="ListParagraph"/>
        <w:spacing w:before="0" w:line="276" w:lineRule="auto"/>
        <w:ind w:left="0" w:firstLine="720"/>
        <w:contextualSpacing w:val="0"/>
        <w:rPr>
          <w:rFonts w:cs="Arial Armenian"/>
          <w:b w:val="0"/>
          <w:szCs w:val="22"/>
          <w:lang w:val="hy-AM"/>
        </w:rPr>
      </w:pPr>
      <w:r w:rsidRPr="007955BB">
        <w:rPr>
          <w:rFonts w:cs="Arial Armenian"/>
          <w:b w:val="0"/>
          <w:szCs w:val="22"/>
          <w:lang w:val="hy-AM"/>
        </w:rPr>
        <w:t>գ/ 202</w:t>
      </w:r>
      <w:r w:rsidR="00F567B5" w:rsidRPr="007955BB">
        <w:rPr>
          <w:rFonts w:cs="Arial Armenian"/>
          <w:b w:val="0"/>
          <w:szCs w:val="22"/>
          <w:lang w:val="hy-AM"/>
        </w:rPr>
        <w:t>3</w:t>
      </w:r>
      <w:r w:rsidRPr="007955BB">
        <w:rPr>
          <w:rFonts w:cs="Arial Armenian"/>
          <w:b w:val="0"/>
          <w:szCs w:val="22"/>
          <w:lang w:val="hy-AM"/>
        </w:rPr>
        <w:t xml:space="preserve"> թվականին բյուջետային հատկացումները նպատակաուղղվելու են հանրապետության բնության հատուկ պահպանվող տարածքների («Սևան», «Դիլիջան», «Արևիկ» և «Արփի լիճ» ազգային պարկեր, «Խոսրովի անտառ» և «Շիկահող» պետարգելոցներ, «Սոսիների պուրակ», «Խուստուփ», «Զանգեզուր» և «Զիկատար» պետական արգելավայրեր, դենդրոպարկեր և բնության հատուկ պահպանվող այլ տարածքներ) պահպանությանը, անտառային տարածքների խնամքի և բնապահպանական այլ աշխատանքների և գիտական ուսումնասիրությունների իրականացմանը, ինչպես նաև Կովկասյան տարածաշրջանային կենտրոնի հայաստանյան մասնաճյուղի գրասենյակի վարձակալության ծառայությունների ֆինանսավորմանը:</w:t>
      </w:r>
    </w:p>
    <w:p w:rsidR="00EE6BD8" w:rsidRPr="007955BB" w:rsidRDefault="005F226A" w:rsidP="00C0116C">
      <w:pPr>
        <w:spacing w:before="0" w:line="276" w:lineRule="auto"/>
        <w:rPr>
          <w:rFonts w:cs="Arial Armenian"/>
          <w:b w:val="0"/>
          <w:szCs w:val="22"/>
          <w:lang w:val="hy-AM"/>
        </w:rPr>
      </w:pPr>
      <w:r w:rsidRPr="007955BB">
        <w:rPr>
          <w:rFonts w:cs="Arial Armenian"/>
          <w:b w:val="0"/>
          <w:szCs w:val="22"/>
          <w:lang w:val="hy-AM"/>
        </w:rPr>
        <w:t>«Շրջակա միջավայրի վրա ազդեցության գնահատում և մոնիթորինգ» ծրագրի  շրջանակներում իրականացվելու են «Շրջակա միջավայրի վրա ազդեցության գնահատում և փորձաքննություն»</w:t>
      </w:r>
      <w:r w:rsidR="00EE6BD8" w:rsidRPr="007955BB">
        <w:rPr>
          <w:rFonts w:cs="Arial Armenian"/>
          <w:b w:val="0"/>
          <w:szCs w:val="22"/>
          <w:lang w:val="hy-AM"/>
        </w:rPr>
        <w:t>,</w:t>
      </w:r>
      <w:r w:rsidRPr="007955BB">
        <w:rPr>
          <w:rFonts w:cs="Arial Armenian"/>
          <w:b w:val="0"/>
          <w:szCs w:val="22"/>
          <w:lang w:val="hy-AM"/>
        </w:rPr>
        <w:t xml:space="preserve">  «Հիդրոօդերևութաբանության, շրջակա  միջավայրի մոնիտորինգ  և տեղեկատվության ապահովում»</w:t>
      </w:r>
      <w:r w:rsidR="00EE6BD8" w:rsidRPr="007955BB">
        <w:rPr>
          <w:rFonts w:cs="Arial Armenian"/>
          <w:b w:val="0"/>
          <w:szCs w:val="22"/>
          <w:lang w:val="hy-AM"/>
        </w:rPr>
        <w:t>, «Շենքերի ոլորտում չափողականություն, հաշվետվողականություն և հավաստագրում (ՉՀՀ)» համակարգի ստեղծում և գիտելիքների կառավարում» և «Անցում էլեկտրական շարժունակությանը Հայաստանում»  միջոցառումները:</w:t>
      </w:r>
    </w:p>
    <w:p w:rsidR="005F226A" w:rsidRPr="007955BB" w:rsidRDefault="005F226A" w:rsidP="00C0116C">
      <w:pPr>
        <w:pStyle w:val="ListParagraph"/>
        <w:tabs>
          <w:tab w:val="left" w:pos="284"/>
          <w:tab w:val="left" w:pos="630"/>
        </w:tabs>
        <w:spacing w:before="0" w:line="276" w:lineRule="auto"/>
        <w:ind w:left="0" w:firstLine="720"/>
        <w:contextualSpacing w:val="0"/>
        <w:rPr>
          <w:rFonts w:cs="Arial Armenian"/>
          <w:b w:val="0"/>
          <w:szCs w:val="22"/>
          <w:lang w:val="hy-AM"/>
        </w:rPr>
      </w:pPr>
      <w:r w:rsidRPr="007955BB">
        <w:rPr>
          <w:rFonts w:cs="Arial Armenian"/>
          <w:b w:val="0"/>
          <w:szCs w:val="22"/>
          <w:lang w:val="hy-AM"/>
        </w:rPr>
        <w:t>դ/ «Անտառների կառավարում» ծրագրի շրջանակներում իրականացվելու են ներքոհիշյալ  միջոցառումները`</w:t>
      </w:r>
    </w:p>
    <w:p w:rsidR="005F226A" w:rsidRPr="007955BB" w:rsidRDefault="005F226A" w:rsidP="004861B2">
      <w:pPr>
        <w:pStyle w:val="ListParagraph"/>
        <w:numPr>
          <w:ilvl w:val="0"/>
          <w:numId w:val="21"/>
        </w:numPr>
        <w:tabs>
          <w:tab w:val="left" w:pos="284"/>
          <w:tab w:val="left" w:pos="567"/>
          <w:tab w:val="left" w:pos="720"/>
        </w:tabs>
        <w:spacing w:before="0" w:line="276" w:lineRule="auto"/>
        <w:ind w:left="0" w:firstLine="720"/>
        <w:contextualSpacing w:val="0"/>
        <w:rPr>
          <w:rFonts w:cs="Arial Armenian"/>
          <w:b w:val="0"/>
          <w:szCs w:val="22"/>
          <w:lang w:val="hy-AM"/>
        </w:rPr>
      </w:pPr>
      <w:r w:rsidRPr="007955BB" w:rsidDel="00E04049">
        <w:rPr>
          <w:rFonts w:cs="Arial Armenian"/>
          <w:b w:val="0"/>
          <w:szCs w:val="22"/>
          <w:lang w:val="hy-AM"/>
        </w:rPr>
        <w:t xml:space="preserve"> </w:t>
      </w:r>
      <w:r w:rsidRPr="007955BB">
        <w:rPr>
          <w:rFonts w:cs="Arial Armenian"/>
          <w:b w:val="0"/>
          <w:szCs w:val="22"/>
          <w:lang w:val="hy-AM"/>
        </w:rPr>
        <w:t>«Անտառպահպանական ծառայություններ»,</w:t>
      </w:r>
    </w:p>
    <w:p w:rsidR="005F226A" w:rsidRPr="007955BB" w:rsidRDefault="00126071" w:rsidP="004861B2">
      <w:pPr>
        <w:pStyle w:val="ListParagraph"/>
        <w:numPr>
          <w:ilvl w:val="0"/>
          <w:numId w:val="21"/>
        </w:numPr>
        <w:tabs>
          <w:tab w:val="left" w:pos="284"/>
          <w:tab w:val="left" w:pos="567"/>
          <w:tab w:val="left" w:pos="720"/>
        </w:tabs>
        <w:spacing w:before="0" w:line="276" w:lineRule="auto"/>
        <w:ind w:left="0" w:firstLine="720"/>
        <w:contextualSpacing w:val="0"/>
        <w:rPr>
          <w:rFonts w:cs="Arial Armenian"/>
          <w:b w:val="0"/>
          <w:szCs w:val="22"/>
          <w:lang w:val="hy-AM"/>
        </w:rPr>
      </w:pPr>
      <w:r w:rsidRPr="007955BB">
        <w:rPr>
          <w:rFonts w:cs="Arial Armenian"/>
          <w:b w:val="0"/>
          <w:szCs w:val="22"/>
          <w:lang w:val="en-US"/>
        </w:rPr>
        <w:t xml:space="preserve"> </w:t>
      </w:r>
      <w:r w:rsidR="005F226A" w:rsidRPr="007955BB">
        <w:rPr>
          <w:rFonts w:cs="Arial Armenian"/>
          <w:b w:val="0"/>
          <w:szCs w:val="22"/>
          <w:lang w:val="hy-AM"/>
        </w:rPr>
        <w:t>«Անտառվերականգնման և անտառապատման աշխատանքներ»,</w:t>
      </w:r>
    </w:p>
    <w:p w:rsidR="00E03D12" w:rsidRPr="007955BB" w:rsidRDefault="00126071" w:rsidP="004861B2">
      <w:pPr>
        <w:pStyle w:val="ListParagraph"/>
        <w:numPr>
          <w:ilvl w:val="0"/>
          <w:numId w:val="21"/>
        </w:numPr>
        <w:tabs>
          <w:tab w:val="left" w:pos="284"/>
          <w:tab w:val="left" w:pos="567"/>
          <w:tab w:val="left" w:pos="720"/>
        </w:tabs>
        <w:spacing w:before="0" w:line="276" w:lineRule="auto"/>
        <w:ind w:left="0" w:firstLine="720"/>
        <w:contextualSpacing w:val="0"/>
        <w:rPr>
          <w:rFonts w:cs="Arial Armenian"/>
          <w:b w:val="0"/>
          <w:szCs w:val="22"/>
          <w:lang w:val="hy-AM"/>
        </w:rPr>
      </w:pPr>
      <w:r w:rsidRPr="007955BB">
        <w:rPr>
          <w:rFonts w:cs="Arial Armenian"/>
          <w:b w:val="0"/>
          <w:szCs w:val="22"/>
          <w:lang w:val="en-US"/>
        </w:rPr>
        <w:t xml:space="preserve"> </w:t>
      </w:r>
      <w:r w:rsidR="005F226A" w:rsidRPr="007955BB">
        <w:rPr>
          <w:rFonts w:cs="Arial Armenian"/>
          <w:b w:val="0"/>
          <w:szCs w:val="22"/>
          <w:lang w:val="hy-AM"/>
        </w:rPr>
        <w:t>«Անտառկառավարման պլանների կազմում»</w:t>
      </w:r>
      <w:r w:rsidR="00E03D12" w:rsidRPr="007955BB">
        <w:rPr>
          <w:rFonts w:cs="Arial Armenian"/>
          <w:b w:val="0"/>
          <w:szCs w:val="22"/>
          <w:lang w:val="en-US"/>
        </w:rPr>
        <w:t>,</w:t>
      </w:r>
    </w:p>
    <w:p w:rsidR="005F226A" w:rsidRPr="007955BB" w:rsidRDefault="00E03D12" w:rsidP="004861B2">
      <w:pPr>
        <w:pStyle w:val="ListParagraph"/>
        <w:numPr>
          <w:ilvl w:val="0"/>
          <w:numId w:val="21"/>
        </w:numPr>
        <w:tabs>
          <w:tab w:val="left" w:pos="284"/>
          <w:tab w:val="left" w:pos="567"/>
          <w:tab w:val="left" w:pos="720"/>
        </w:tabs>
        <w:spacing w:before="0" w:line="276" w:lineRule="auto"/>
        <w:ind w:left="0" w:firstLine="720"/>
        <w:contextualSpacing w:val="0"/>
        <w:rPr>
          <w:rFonts w:cs="Arial Armenian"/>
          <w:b w:val="0"/>
          <w:szCs w:val="22"/>
          <w:lang w:val="hy-AM"/>
        </w:rPr>
      </w:pPr>
      <w:r w:rsidRPr="007955BB">
        <w:rPr>
          <w:rFonts w:cs="Arial Armenian"/>
          <w:b w:val="0"/>
          <w:szCs w:val="22"/>
          <w:lang w:val="hy-AM"/>
        </w:rPr>
        <w:t xml:space="preserve"> «Անտառների վնասակար օրգանիզմների դեմ պայքար»</w:t>
      </w:r>
      <w:r w:rsidR="005F226A" w:rsidRPr="007955BB">
        <w:rPr>
          <w:rFonts w:cs="Arial Armenian"/>
          <w:b w:val="0"/>
          <w:szCs w:val="22"/>
          <w:lang w:val="hy-AM"/>
        </w:rPr>
        <w:t>։</w:t>
      </w:r>
    </w:p>
    <w:p w:rsidR="005F226A" w:rsidRPr="007955BB" w:rsidRDefault="005F226A" w:rsidP="00C0116C">
      <w:pPr>
        <w:tabs>
          <w:tab w:val="left" w:pos="284"/>
          <w:tab w:val="left" w:pos="567"/>
          <w:tab w:val="left" w:pos="810"/>
        </w:tabs>
        <w:spacing w:before="0" w:line="276" w:lineRule="auto"/>
        <w:ind w:firstLine="720"/>
        <w:contextualSpacing w:val="0"/>
        <w:rPr>
          <w:rFonts w:cs="Arial Armenian"/>
          <w:b w:val="0"/>
          <w:szCs w:val="22"/>
          <w:lang w:val="hy-AM"/>
        </w:rPr>
      </w:pPr>
      <w:r w:rsidRPr="007955BB">
        <w:rPr>
          <w:rFonts w:cs="Arial Armenian"/>
          <w:b w:val="0"/>
          <w:szCs w:val="22"/>
          <w:lang w:val="hy-AM"/>
        </w:rPr>
        <w:t xml:space="preserve">ե/ «Բնագիտական նմուշների պահպանություն և ցուցադրություն» ծրագրի շրջանակներում իրականացվելու </w:t>
      </w:r>
      <w:r w:rsidR="008E600E" w:rsidRPr="007955BB">
        <w:rPr>
          <w:rFonts w:cs="Arial Armenian"/>
          <w:b w:val="0"/>
          <w:szCs w:val="22"/>
          <w:lang w:val="hy-AM"/>
        </w:rPr>
        <w:t>է</w:t>
      </w:r>
      <w:r w:rsidRPr="007955BB">
        <w:rPr>
          <w:rFonts w:cs="Arial Armenian"/>
          <w:b w:val="0"/>
          <w:szCs w:val="22"/>
          <w:lang w:val="hy-AM"/>
        </w:rPr>
        <w:t xml:space="preserve"> «Բնագիտական նմուշների պահպանություն և ցուցադրություն» միջոցառումը:</w:t>
      </w:r>
    </w:p>
    <w:p w:rsidR="004A21AC" w:rsidRPr="007955BB" w:rsidRDefault="004A21AC" w:rsidP="005D2928">
      <w:pPr>
        <w:keepNext/>
        <w:tabs>
          <w:tab w:val="left" w:pos="567"/>
        </w:tabs>
        <w:spacing w:before="0" w:line="276" w:lineRule="auto"/>
        <w:ind w:firstLine="720"/>
        <w:contextualSpacing w:val="0"/>
        <w:outlineLvl w:val="2"/>
        <w:rPr>
          <w:rFonts w:cs="Arial"/>
          <w:szCs w:val="22"/>
          <w:lang w:val="hy-AM" w:eastAsia="en-US"/>
        </w:rPr>
      </w:pPr>
      <w:bookmarkStart w:id="79" w:name="_Toc26174905"/>
      <w:bookmarkStart w:id="80" w:name="_Toc83567454"/>
    </w:p>
    <w:p w:rsidR="005F226A" w:rsidRPr="007955BB"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81" w:name="_Toc120805183"/>
      <w:r w:rsidRPr="007955BB">
        <w:rPr>
          <w:rFonts w:cs="Arial"/>
          <w:szCs w:val="22"/>
          <w:lang w:val="hy-AM" w:eastAsia="en-US"/>
        </w:rPr>
        <w:t>Բյուջեների կազմման բնագավառ</w:t>
      </w:r>
      <w:bookmarkEnd w:id="79"/>
      <w:bookmarkEnd w:id="80"/>
      <w:bookmarkEnd w:id="81"/>
    </w:p>
    <w:p w:rsidR="005F226A" w:rsidRPr="007955BB" w:rsidRDefault="005F226A" w:rsidP="005D2928">
      <w:pPr>
        <w:tabs>
          <w:tab w:val="left" w:pos="-7020"/>
        </w:tabs>
        <w:spacing w:before="0" w:line="276" w:lineRule="auto"/>
        <w:ind w:firstLine="720"/>
        <w:contextualSpacing w:val="0"/>
        <w:rPr>
          <w:b w:val="0"/>
          <w:szCs w:val="22"/>
          <w:lang w:val="hy-AM"/>
        </w:rPr>
      </w:pPr>
      <w:r w:rsidRPr="007955BB">
        <w:rPr>
          <w:b w:val="0"/>
          <w:szCs w:val="22"/>
          <w:lang w:val="hy-AM"/>
        </w:rPr>
        <w:t>Պետական կառավարման համակարգում պատասխանատվության համախմբման և ռեսուրսների դիմաց առավելագույն արդյունքի ստացման նպատակով պետական բյուջեի կազմման բնագավառում իրականացվում են մի շարք քայլեր, որոնց իրագործումը թույլ կտա ապահովել հանրային կառավարման թափանցիկության, հաշվետվողականության և հսկողության բարձրացումը, ինչպես նաև պետության կողմից մատուցվող ծառայությունների որակի բարելավումը՝ հանրային բարիքի արդյունավետ, օգտավետ և խնայողաբար հասցեական օգտագործման հաշվին: Մասնավորապես՝</w:t>
      </w:r>
    </w:p>
    <w:p w:rsidR="005F226A" w:rsidRPr="007955BB" w:rsidRDefault="00D15A25" w:rsidP="00786462">
      <w:pPr>
        <w:pStyle w:val="ListParagraph"/>
        <w:numPr>
          <w:ilvl w:val="0"/>
          <w:numId w:val="18"/>
        </w:numPr>
        <w:tabs>
          <w:tab w:val="left" w:pos="-7020"/>
        </w:tabs>
        <w:spacing w:before="0" w:line="276" w:lineRule="auto"/>
        <w:ind w:left="0" w:firstLine="720"/>
        <w:contextualSpacing w:val="0"/>
        <w:rPr>
          <w:b w:val="0"/>
          <w:szCs w:val="22"/>
          <w:lang w:val="hy-AM"/>
        </w:rPr>
      </w:pPr>
      <w:r w:rsidRPr="007955BB">
        <w:rPr>
          <w:b w:val="0"/>
          <w:szCs w:val="22"/>
          <w:lang w:val="hy-AM"/>
        </w:rPr>
        <w:t xml:space="preserve"> </w:t>
      </w:r>
      <w:r w:rsidR="005F226A" w:rsidRPr="007955BB">
        <w:rPr>
          <w:b w:val="0"/>
          <w:szCs w:val="22"/>
          <w:lang w:val="hy-AM"/>
        </w:rPr>
        <w:t xml:space="preserve">Ծախսերի նպատակայնության բարձացման առումով անցում է կատարվելու ռազմավարական պլանավորման, այդ թվում` վերանայվելու են առկա ռազմավարությունները, վերջիններս և մշակվելիք բոլոր ռազմավարական փաստաթղթերը համակցվելու են Կառավարության հնգամյա ծրագրերի, </w:t>
      </w:r>
      <w:r w:rsidR="00E77748">
        <w:rPr>
          <w:b w:val="0"/>
          <w:szCs w:val="22"/>
          <w:lang w:val="hy-AM"/>
        </w:rPr>
        <w:t>ՄԺԾԾ</w:t>
      </w:r>
      <w:r w:rsidR="005F226A" w:rsidRPr="007955BB">
        <w:rPr>
          <w:b w:val="0"/>
          <w:szCs w:val="22"/>
          <w:lang w:val="hy-AM"/>
        </w:rPr>
        <w:t xml:space="preserve"> և ամենամյա ծրագրային բյուջեի հետ: </w:t>
      </w:r>
    </w:p>
    <w:p w:rsidR="005F226A" w:rsidRPr="007955BB" w:rsidRDefault="00D15A25" w:rsidP="00786462">
      <w:pPr>
        <w:pStyle w:val="ListParagraph"/>
        <w:numPr>
          <w:ilvl w:val="0"/>
          <w:numId w:val="18"/>
        </w:numPr>
        <w:tabs>
          <w:tab w:val="left" w:pos="-7020"/>
        </w:tabs>
        <w:spacing w:before="0" w:line="276" w:lineRule="auto"/>
        <w:ind w:left="0" w:firstLine="720"/>
        <w:contextualSpacing w:val="0"/>
        <w:rPr>
          <w:b w:val="0"/>
          <w:szCs w:val="22"/>
          <w:lang w:val="hy-AM"/>
        </w:rPr>
      </w:pPr>
      <w:r w:rsidRPr="007955BB">
        <w:rPr>
          <w:b w:val="0"/>
          <w:szCs w:val="22"/>
          <w:lang w:val="hy-AM"/>
        </w:rPr>
        <w:t xml:space="preserve"> </w:t>
      </w:r>
      <w:r w:rsidR="005F226A" w:rsidRPr="007955BB">
        <w:rPr>
          <w:b w:val="0"/>
          <w:szCs w:val="22"/>
          <w:lang w:val="hy-AM"/>
        </w:rPr>
        <w:t>Ծրագրի արդյունավետության և օգտավետության բարձրացման նպատակով կներդրվի բյուջետային ծրագրերի գնահատման կանոն</w:t>
      </w:r>
      <w:r w:rsidR="006C3A1C" w:rsidRPr="007955BB">
        <w:rPr>
          <w:b w:val="0"/>
          <w:szCs w:val="22"/>
          <w:lang w:val="hy-AM"/>
        </w:rPr>
        <w:t xml:space="preserve">ավոր գործընթաց, որի առաջին քայլի իրականացման նպատակով հաստատվել է </w:t>
      </w:r>
      <w:r w:rsidR="005F226A" w:rsidRPr="007955BB">
        <w:rPr>
          <w:b w:val="0"/>
          <w:szCs w:val="22"/>
          <w:lang w:val="hy-AM"/>
        </w:rPr>
        <w:t>ծրագրերի գնահատման հայեցակարգ</w:t>
      </w:r>
      <w:r w:rsidR="006C3A1C" w:rsidRPr="007955BB">
        <w:rPr>
          <w:b w:val="0"/>
          <w:szCs w:val="22"/>
          <w:lang w:val="hy-AM"/>
        </w:rPr>
        <w:t>ը</w:t>
      </w:r>
      <w:r w:rsidR="005F226A" w:rsidRPr="007955BB">
        <w:rPr>
          <w:b w:val="0"/>
          <w:szCs w:val="22"/>
          <w:lang w:val="hy-AM"/>
        </w:rPr>
        <w:t>:</w:t>
      </w:r>
    </w:p>
    <w:p w:rsidR="005F226A" w:rsidRPr="007955BB" w:rsidRDefault="00D15A25" w:rsidP="00786462">
      <w:pPr>
        <w:numPr>
          <w:ilvl w:val="0"/>
          <w:numId w:val="18"/>
        </w:numPr>
        <w:tabs>
          <w:tab w:val="left" w:pos="-7020"/>
        </w:tabs>
        <w:spacing w:before="0" w:line="276" w:lineRule="auto"/>
        <w:ind w:left="0" w:firstLine="720"/>
        <w:contextualSpacing w:val="0"/>
        <w:rPr>
          <w:b w:val="0"/>
          <w:szCs w:val="22"/>
          <w:lang w:val="hy-AM"/>
        </w:rPr>
      </w:pPr>
      <w:r w:rsidRPr="007955BB">
        <w:rPr>
          <w:b w:val="0"/>
          <w:szCs w:val="22"/>
          <w:lang w:val="hy-AM"/>
        </w:rPr>
        <w:t xml:space="preserve"> </w:t>
      </w:r>
      <w:r w:rsidR="005F226A" w:rsidRPr="007955BB">
        <w:rPr>
          <w:b w:val="0"/>
          <w:szCs w:val="22"/>
          <w:lang w:val="hy-AM"/>
        </w:rPr>
        <w:t>202</w:t>
      </w:r>
      <w:r w:rsidR="006C3A1C" w:rsidRPr="007955BB">
        <w:rPr>
          <w:b w:val="0"/>
          <w:szCs w:val="22"/>
          <w:lang w:val="hy-AM"/>
        </w:rPr>
        <w:t>4</w:t>
      </w:r>
      <w:r w:rsidR="005F226A" w:rsidRPr="007955BB">
        <w:rPr>
          <w:b w:val="0"/>
          <w:szCs w:val="22"/>
          <w:lang w:val="hy-AM"/>
        </w:rPr>
        <w:t>-202</w:t>
      </w:r>
      <w:r w:rsidR="006C3A1C" w:rsidRPr="007955BB">
        <w:rPr>
          <w:b w:val="0"/>
          <w:szCs w:val="22"/>
          <w:lang w:val="hy-AM"/>
        </w:rPr>
        <w:t>6</w:t>
      </w:r>
      <w:r w:rsidR="005F226A" w:rsidRPr="007955BB">
        <w:rPr>
          <w:b w:val="0"/>
          <w:szCs w:val="22"/>
          <w:lang w:val="hy-AM"/>
        </w:rPr>
        <w:t>թթ. ՄԺԾԾ և 202</w:t>
      </w:r>
      <w:r w:rsidR="006C3A1C" w:rsidRPr="007955BB">
        <w:rPr>
          <w:b w:val="0"/>
          <w:szCs w:val="22"/>
          <w:lang w:val="hy-AM"/>
        </w:rPr>
        <w:t>4</w:t>
      </w:r>
      <w:r w:rsidR="005F226A" w:rsidRPr="007955BB">
        <w:rPr>
          <w:b w:val="0"/>
          <w:szCs w:val="22"/>
          <w:lang w:val="hy-AM"/>
        </w:rPr>
        <w:t>թ. բյուջետային հայտերի կազմման և ներկայացման մեթոդական ցուցումներում ներառելու նպատակով կմշակվի</w:t>
      </w:r>
      <w:r w:rsidR="005F226A" w:rsidRPr="007955BB" w:rsidDel="008C3436">
        <w:rPr>
          <w:b w:val="0"/>
          <w:szCs w:val="22"/>
          <w:lang w:val="hy-AM"/>
        </w:rPr>
        <w:t xml:space="preserve"> </w:t>
      </w:r>
      <w:r w:rsidR="005F226A" w:rsidRPr="007955BB">
        <w:rPr>
          <w:b w:val="0"/>
          <w:szCs w:val="22"/>
          <w:lang w:val="hy-AM"/>
        </w:rPr>
        <w:t xml:space="preserve">պետության պարտադիր պարտավորություններից բխող ծրագրերի/ միջոցառումների նույնականացման և հաշվառման  ռացիոնալացման նոր մեթոդաբանություն: </w:t>
      </w:r>
    </w:p>
    <w:p w:rsidR="005F226A" w:rsidRPr="007955BB" w:rsidRDefault="005F226A" w:rsidP="004B78C8">
      <w:pPr>
        <w:tabs>
          <w:tab w:val="left" w:pos="-7020"/>
        </w:tabs>
        <w:spacing w:before="0" w:line="276" w:lineRule="auto"/>
        <w:ind w:left="720" w:firstLine="0"/>
        <w:contextualSpacing w:val="0"/>
        <w:rPr>
          <w:b w:val="0"/>
          <w:szCs w:val="22"/>
          <w:lang w:val="hy-AM"/>
        </w:rPr>
      </w:pPr>
    </w:p>
    <w:p w:rsidR="00C123AE" w:rsidRPr="007955BB" w:rsidRDefault="00C123AE" w:rsidP="00C123AE">
      <w:pPr>
        <w:keepNext/>
        <w:tabs>
          <w:tab w:val="left" w:pos="567"/>
        </w:tabs>
        <w:spacing w:before="0" w:line="276" w:lineRule="auto"/>
        <w:ind w:firstLine="720"/>
        <w:contextualSpacing w:val="0"/>
        <w:outlineLvl w:val="2"/>
        <w:rPr>
          <w:rFonts w:cs="Arial"/>
          <w:szCs w:val="22"/>
          <w:lang w:val="hy-AM"/>
        </w:rPr>
      </w:pPr>
      <w:bookmarkStart w:id="82" w:name="_Toc83567455"/>
      <w:bookmarkStart w:id="83" w:name="_Toc114734104"/>
      <w:bookmarkStart w:id="84" w:name="_Toc120805184"/>
      <w:bookmarkStart w:id="85" w:name="_Toc530663240"/>
      <w:bookmarkStart w:id="86" w:name="_Toc26174908"/>
      <w:r w:rsidRPr="007955BB">
        <w:rPr>
          <w:rFonts w:cs="Arial"/>
          <w:szCs w:val="22"/>
          <w:lang w:val="hy-AM"/>
        </w:rPr>
        <w:t>Հաշվապահական հաշվառում և աուդիտորական գործունեություն</w:t>
      </w:r>
      <w:bookmarkEnd w:id="82"/>
      <w:bookmarkEnd w:id="83"/>
      <w:bookmarkEnd w:id="84"/>
    </w:p>
    <w:p w:rsidR="00C123AE" w:rsidRPr="007955BB" w:rsidRDefault="00C123AE" w:rsidP="008F5CA2">
      <w:pPr>
        <w:pStyle w:val="BodyText2"/>
      </w:pPr>
      <w:r w:rsidRPr="007955BB">
        <w:t>Հայաստանի Հանրապետության կառավարության նախաձեռնած հաշվապահական հաշվառման և աուդիտորական գործունեության ոլորտներում իրականացվող բարեփոխումների շրջանակում՝ 2023 թվականի ընթացքում շարունակվելու են «Հաշվապահական հաշվառման մասին», «Աուդիտորական գործունեության մասին», «Հաշվապահական հաշվառման և աուդիտորական գործունեության կարգավորման և հանրային վերահսկողության մասին» ՀՀ օրենքներով նախատեսված կառուցակարգերի ներդրման աշխատանքները, մասնավորապես նախատեսվում է ներդնել աուդիտի որակի հանրային վերահսկողության մեխանիզմները, որոնք թույլ կտան բարձրացնել մատուցվող աուդիտորական ծառայությունների որակը և հանրային վստահությունը։</w:t>
      </w:r>
    </w:p>
    <w:p w:rsidR="00C123AE" w:rsidRPr="007955BB" w:rsidRDefault="00C123AE" w:rsidP="008F5CA2">
      <w:pPr>
        <w:pStyle w:val="BodyText2"/>
      </w:pPr>
      <w:r w:rsidRPr="007955BB">
        <w:tab/>
        <w:t xml:space="preserve">Հանրային հատվածի հաշվապահական հաշվառման ոլորտում՝ 2023 թվականի ընթացքում շարունակվելու է հանրային հատվածի հաշվապահների որակավորման գործընթացը՝ հաշվապահի որակավորման քննությունների կազմակերպման միջոցով։ Միաժամանակ, շարունակվելու են հանրային հատվածի կազմակերպությունների կողմից ներկայացված հաշվապահական հաշվառման գրանցամատյանների և ֆինանսական հաշվետվությունների փաթեթների մշտադիտարկման աշխատանքները, որոնց արդյունքում վեր հանված անճշտությունների և սխալների ուղղման ուղղությամբ մասնագիտական տեղեկատու պարբերականների միջոցով գործնական առաջարկներ են ներկայացվելու հանրային հատվածի կազմակերպություններին։  </w:t>
      </w:r>
    </w:p>
    <w:p w:rsidR="00C5345E" w:rsidRPr="007955BB" w:rsidRDefault="00C5345E" w:rsidP="008F5CA2">
      <w:pPr>
        <w:pStyle w:val="BodyText2"/>
      </w:pPr>
    </w:p>
    <w:p w:rsidR="005F226A" w:rsidRPr="007955BB" w:rsidRDefault="005F226A" w:rsidP="005D2928">
      <w:pPr>
        <w:keepNext/>
        <w:tabs>
          <w:tab w:val="left" w:pos="567"/>
        </w:tabs>
        <w:spacing w:before="0" w:line="276" w:lineRule="auto"/>
        <w:ind w:firstLine="720"/>
        <w:contextualSpacing w:val="0"/>
        <w:outlineLvl w:val="2"/>
        <w:rPr>
          <w:rFonts w:cs="Arial"/>
          <w:szCs w:val="22"/>
          <w:lang w:val="hy-AM"/>
        </w:rPr>
      </w:pPr>
      <w:bookmarkStart w:id="87" w:name="_Toc83567456"/>
      <w:bookmarkStart w:id="88" w:name="_Toc120805185"/>
      <w:r w:rsidRPr="007955BB">
        <w:rPr>
          <w:rFonts w:cs="Arial"/>
          <w:szCs w:val="22"/>
          <w:lang w:val="hy-AM"/>
        </w:rPr>
        <w:t>Եկամուտների քաղաքականության ոլորտ</w:t>
      </w:r>
      <w:bookmarkEnd w:id="85"/>
      <w:bookmarkEnd w:id="86"/>
      <w:bookmarkEnd w:id="87"/>
      <w:bookmarkEnd w:id="88"/>
    </w:p>
    <w:p w:rsidR="00DE2EB8" w:rsidRPr="00DE2EB8" w:rsidRDefault="00DE2EB8" w:rsidP="008F5CA2">
      <w:pPr>
        <w:tabs>
          <w:tab w:val="left" w:pos="284"/>
        </w:tabs>
        <w:spacing w:before="0" w:line="276" w:lineRule="auto"/>
        <w:ind w:firstLine="720"/>
        <w:rPr>
          <w:rFonts w:eastAsia="Calibri"/>
          <w:b w:val="0"/>
          <w:szCs w:val="22"/>
          <w:lang w:val="hy-AM" w:eastAsia="en-US"/>
        </w:rPr>
      </w:pPr>
      <w:r w:rsidRPr="00DE2EB8">
        <w:rPr>
          <w:rFonts w:eastAsia="Calibri"/>
          <w:b w:val="0"/>
          <w:szCs w:val="22"/>
          <w:lang w:val="hy-AM" w:eastAsia="en-US"/>
        </w:rPr>
        <w:t xml:space="preserve">Եկամուտների քաղաքականության ոլորտում իրականացվելիք միջոցառումները բխելու են ՀՀ կառավարության ծրագրից, Վարչապետի 2022 թվականի օգոստոսի 14-ի թիվ 919-Լ որոշմամբ հաստատված՝ </w:t>
      </w:r>
      <w:r w:rsidRPr="00DE2EB8">
        <w:rPr>
          <w:rFonts w:eastAsia="Calibri"/>
          <w:b w:val="0"/>
          <w:color w:val="000000"/>
          <w:szCs w:val="22"/>
          <w:shd w:val="clear" w:color="auto" w:fill="FFFFFF"/>
          <w:lang w:val="hy-AM" w:eastAsia="en-US"/>
        </w:rPr>
        <w:t>2022-2025 թվականների հարկային եկամուտների կառավարման ծրագրից, ինչպես նաև</w:t>
      </w:r>
      <w:r w:rsidRPr="00DE2EB8">
        <w:rPr>
          <w:rFonts w:ascii="Calibri" w:eastAsia="Calibri" w:hAnsi="Calibri"/>
          <w:b w:val="0"/>
          <w:color w:val="000000"/>
          <w:sz w:val="21"/>
          <w:szCs w:val="21"/>
          <w:shd w:val="clear" w:color="auto" w:fill="FFFFFF"/>
          <w:lang w:val="hy-AM" w:eastAsia="en-US"/>
        </w:rPr>
        <w:t xml:space="preserve"> </w:t>
      </w:r>
      <w:r w:rsidRPr="00DE2EB8">
        <w:rPr>
          <w:rFonts w:eastAsia="Calibri"/>
          <w:b w:val="0"/>
          <w:szCs w:val="22"/>
          <w:lang w:val="hy-AM" w:eastAsia="en-US"/>
        </w:rPr>
        <w:t xml:space="preserve">Պետական ֆինանսների կառավարման համակարգի 2019-2023 թվականների բարեփոխումների ռազմավարությունից: </w:t>
      </w:r>
    </w:p>
    <w:p w:rsidR="00DE2EB8" w:rsidRPr="00DE2EB8" w:rsidRDefault="00DE2EB8" w:rsidP="008F5CA2">
      <w:pPr>
        <w:tabs>
          <w:tab w:val="left" w:pos="284"/>
        </w:tabs>
        <w:spacing w:before="0" w:line="276" w:lineRule="auto"/>
        <w:ind w:firstLine="630"/>
        <w:rPr>
          <w:rFonts w:eastAsia="Calibri"/>
          <w:b w:val="0"/>
          <w:szCs w:val="22"/>
          <w:lang w:val="hy-AM" w:eastAsia="en-US"/>
        </w:rPr>
      </w:pPr>
      <w:r w:rsidRPr="00DE2EB8">
        <w:rPr>
          <w:rFonts w:eastAsia="Calibri"/>
          <w:b w:val="0"/>
          <w:szCs w:val="22"/>
          <w:lang w:val="hy-AM" w:eastAsia="en-US"/>
        </w:rPr>
        <w:t xml:space="preserve">Հարկային քաղաքականության ոլորտում Կառավարության կողմից առաջիկայում կատարվելիք աշխատանքներն ուղղված են լինելու՝ </w:t>
      </w:r>
    </w:p>
    <w:p w:rsidR="00DE2EB8" w:rsidRPr="00DE2EB8" w:rsidRDefault="00DE2EB8" w:rsidP="008F5CA2">
      <w:pPr>
        <w:tabs>
          <w:tab w:val="left" w:pos="284"/>
        </w:tabs>
        <w:spacing w:before="0" w:line="276" w:lineRule="auto"/>
        <w:ind w:firstLine="450"/>
        <w:rPr>
          <w:rFonts w:eastAsia="Calibri"/>
          <w:b w:val="0"/>
          <w:szCs w:val="22"/>
          <w:lang w:val="hy-AM" w:eastAsia="en-US"/>
        </w:rPr>
      </w:pPr>
      <w:r w:rsidRPr="00DE2EB8">
        <w:rPr>
          <w:rFonts w:eastAsia="Calibri"/>
          <w:b w:val="0"/>
          <w:szCs w:val="22"/>
          <w:lang w:val="hy-AM" w:eastAsia="en-US"/>
        </w:rPr>
        <w:t>- hարկման այլընտրանքային համակարգերի ընդհանուր բարեփոխմանը ՝ նպատակ ունենալով ապահովել հարկ</w:t>
      </w:r>
      <w:r w:rsidRPr="00DE2EB8">
        <w:rPr>
          <w:rFonts w:eastAsia="Calibri"/>
          <w:b w:val="0"/>
          <w:szCs w:val="22"/>
          <w:lang w:val="hy-AM" w:eastAsia="en-US"/>
        </w:rPr>
        <w:softHyphen/>
        <w:t>ման տարբեր համակարգերի միջև հարկային բեռի արդարացի և հավասար բաշխում, ինչպես նաև նվազեցնել ստորին մակարդակում գտնվող հարկման համակարգերում արհեստա</w:t>
      </w:r>
      <w:r w:rsidRPr="00DE2EB8">
        <w:rPr>
          <w:rFonts w:eastAsia="Calibri"/>
          <w:b w:val="0"/>
          <w:szCs w:val="22"/>
          <w:lang w:val="hy-AM" w:eastAsia="en-US"/>
        </w:rPr>
        <w:softHyphen/>
        <w:t>կանորեն տեղավորվելու և այդ կերպ հարկերի վճարումից խուսափելու, հարկման տար</w:t>
      </w:r>
      <w:r w:rsidRPr="00DE2EB8">
        <w:rPr>
          <w:rFonts w:eastAsia="Calibri"/>
          <w:b w:val="0"/>
          <w:szCs w:val="22"/>
          <w:lang w:val="hy-AM" w:eastAsia="en-US"/>
        </w:rPr>
        <w:softHyphen/>
        <w:t>բեր համակարգերի միջև արհես</w:t>
      </w:r>
      <w:r w:rsidRPr="00DE2EB8">
        <w:rPr>
          <w:rFonts w:eastAsia="Calibri"/>
          <w:b w:val="0"/>
          <w:szCs w:val="22"/>
          <w:lang w:val="hy-AM" w:eastAsia="en-US"/>
        </w:rPr>
        <w:softHyphen/>
        <w:t>տա</w:t>
      </w:r>
      <w:r w:rsidRPr="00DE2EB8">
        <w:rPr>
          <w:rFonts w:eastAsia="Calibri"/>
          <w:b w:val="0"/>
          <w:szCs w:val="22"/>
          <w:lang w:val="hy-AM" w:eastAsia="en-US"/>
        </w:rPr>
        <w:softHyphen/>
        <w:t>կան գործարքների իրականացմամբ հարկային պլա</w:t>
      </w:r>
      <w:r w:rsidRPr="00DE2EB8">
        <w:rPr>
          <w:rFonts w:eastAsia="Calibri"/>
          <w:b w:val="0"/>
          <w:szCs w:val="22"/>
          <w:lang w:val="hy-AM" w:eastAsia="en-US"/>
        </w:rPr>
        <w:softHyphen/>
        <w:t>նավորման և գործարքների փաս</w:t>
      </w:r>
      <w:r w:rsidRPr="00DE2EB8">
        <w:rPr>
          <w:rFonts w:eastAsia="Calibri"/>
          <w:b w:val="0"/>
          <w:szCs w:val="22"/>
          <w:lang w:val="hy-AM" w:eastAsia="en-US"/>
        </w:rPr>
        <w:softHyphen/>
        <w:t>տա</w:t>
      </w:r>
      <w:r w:rsidRPr="00DE2EB8">
        <w:rPr>
          <w:rFonts w:eastAsia="Calibri"/>
          <w:b w:val="0"/>
          <w:szCs w:val="22"/>
          <w:lang w:val="hy-AM" w:eastAsia="en-US"/>
        </w:rPr>
        <w:softHyphen/>
        <w:t>թղ</w:t>
      </w:r>
      <w:r w:rsidRPr="00DE2EB8">
        <w:rPr>
          <w:rFonts w:eastAsia="Calibri"/>
          <w:b w:val="0"/>
          <w:szCs w:val="22"/>
          <w:lang w:val="hy-AM" w:eastAsia="en-US"/>
        </w:rPr>
        <w:softHyphen/>
        <w:t>թա</w:t>
      </w:r>
      <w:r w:rsidRPr="00DE2EB8">
        <w:rPr>
          <w:rFonts w:eastAsia="Calibri"/>
          <w:b w:val="0"/>
          <w:szCs w:val="22"/>
          <w:lang w:val="hy-AM" w:eastAsia="en-US"/>
        </w:rPr>
        <w:softHyphen/>
        <w:t>վորման շղթայի ամբողջականության խաթար</w:t>
      </w:r>
      <w:r w:rsidRPr="00DE2EB8">
        <w:rPr>
          <w:rFonts w:eastAsia="Calibri"/>
          <w:b w:val="0"/>
          <w:szCs w:val="22"/>
          <w:lang w:val="hy-AM" w:eastAsia="en-US"/>
        </w:rPr>
        <w:softHyphen/>
        <w:t>ման ռիսկերը,</w:t>
      </w:r>
    </w:p>
    <w:p w:rsidR="00DE2EB8" w:rsidRPr="00DE2EB8" w:rsidRDefault="00DE2EB8" w:rsidP="008F5CA2">
      <w:pPr>
        <w:tabs>
          <w:tab w:val="left" w:pos="284"/>
        </w:tabs>
        <w:spacing w:before="0" w:line="276" w:lineRule="auto"/>
        <w:ind w:firstLine="450"/>
        <w:rPr>
          <w:rFonts w:eastAsia="Calibri"/>
          <w:b w:val="0"/>
          <w:szCs w:val="22"/>
          <w:lang w:val="hy-AM" w:eastAsia="en-US"/>
        </w:rPr>
      </w:pPr>
      <w:r w:rsidRPr="00DE2EB8">
        <w:rPr>
          <w:rFonts w:eastAsia="Calibri"/>
          <w:b w:val="0"/>
          <w:szCs w:val="22"/>
          <w:lang w:val="hy-AM" w:eastAsia="en-US"/>
        </w:rPr>
        <w:t>- գյուղատնտեսական արտադրանքի իրացման գործարքների փաստաթղթավորման հետ կապ</w:t>
      </w:r>
      <w:r w:rsidRPr="00DE2EB8">
        <w:rPr>
          <w:rFonts w:eastAsia="Calibri"/>
          <w:b w:val="0"/>
          <w:szCs w:val="22"/>
          <w:lang w:val="hy-AM" w:eastAsia="en-US"/>
        </w:rPr>
        <w:softHyphen/>
        <w:t>ված խնդիրների կարգավորմանը՝ նպատակ ունենալով ստեղծել գյուղա</w:t>
      </w:r>
      <w:r w:rsidRPr="00DE2EB8">
        <w:rPr>
          <w:rFonts w:eastAsia="Calibri"/>
          <w:b w:val="0"/>
          <w:szCs w:val="22"/>
          <w:lang w:val="hy-AM" w:eastAsia="en-US"/>
        </w:rPr>
        <w:softHyphen/>
        <w:t>տնտե</w:t>
      </w:r>
      <w:r w:rsidRPr="00DE2EB8">
        <w:rPr>
          <w:rFonts w:eastAsia="Calibri"/>
          <w:b w:val="0"/>
          <w:szCs w:val="22"/>
          <w:lang w:val="hy-AM" w:eastAsia="en-US"/>
        </w:rPr>
        <w:softHyphen/>
        <w:t>սա</w:t>
      </w:r>
      <w:r w:rsidRPr="00DE2EB8">
        <w:rPr>
          <w:rFonts w:eastAsia="Calibri"/>
          <w:b w:val="0"/>
          <w:szCs w:val="22"/>
          <w:lang w:val="hy-AM" w:eastAsia="en-US"/>
        </w:rPr>
        <w:softHyphen/>
        <w:t>կան արտա</w:t>
      </w:r>
      <w:r w:rsidRPr="00DE2EB8">
        <w:rPr>
          <w:rFonts w:eastAsia="Calibri"/>
          <w:b w:val="0"/>
          <w:szCs w:val="22"/>
          <w:lang w:val="hy-AM" w:eastAsia="en-US"/>
        </w:rPr>
        <w:softHyphen/>
      </w:r>
      <w:r w:rsidRPr="00DE2EB8">
        <w:rPr>
          <w:rFonts w:eastAsia="Calibri"/>
          <w:b w:val="0"/>
          <w:szCs w:val="22"/>
          <w:lang w:val="hy-AM" w:eastAsia="en-US"/>
        </w:rPr>
        <w:softHyphen/>
        <w:t>դ</w:t>
      </w:r>
      <w:r w:rsidRPr="00DE2EB8">
        <w:rPr>
          <w:rFonts w:eastAsia="Calibri"/>
          <w:b w:val="0"/>
          <w:szCs w:val="22"/>
          <w:lang w:val="hy-AM" w:eastAsia="en-US"/>
        </w:rPr>
        <w:softHyphen/>
        <w:t>րանքի իրացման գործարքների փաստաթղթավորման համար նոր՝ գործնա</w:t>
      </w:r>
      <w:r w:rsidRPr="00DE2EB8">
        <w:rPr>
          <w:rFonts w:eastAsia="Calibri"/>
          <w:b w:val="0"/>
          <w:szCs w:val="22"/>
          <w:lang w:val="hy-AM" w:eastAsia="en-US"/>
        </w:rPr>
        <w:softHyphen/>
        <w:t>կա</w:t>
      </w:r>
      <w:r w:rsidRPr="00DE2EB8">
        <w:rPr>
          <w:rFonts w:eastAsia="Calibri"/>
          <w:b w:val="0"/>
          <w:szCs w:val="22"/>
          <w:lang w:val="hy-AM" w:eastAsia="en-US"/>
        </w:rPr>
        <w:softHyphen/>
        <w:t>նում կիրա</w:t>
      </w:r>
      <w:r w:rsidRPr="00DE2EB8">
        <w:rPr>
          <w:rFonts w:eastAsia="Calibri"/>
          <w:b w:val="0"/>
          <w:szCs w:val="22"/>
          <w:lang w:val="hy-AM" w:eastAsia="en-US"/>
        </w:rPr>
        <w:softHyphen/>
      </w:r>
      <w:r w:rsidRPr="00DE2EB8">
        <w:rPr>
          <w:rFonts w:eastAsia="Calibri"/>
          <w:b w:val="0"/>
          <w:szCs w:val="22"/>
          <w:lang w:val="hy-AM" w:eastAsia="en-US"/>
        </w:rPr>
        <w:softHyphen/>
      </w:r>
      <w:r w:rsidRPr="00DE2EB8">
        <w:rPr>
          <w:rFonts w:eastAsia="Calibri"/>
          <w:b w:val="0"/>
          <w:szCs w:val="22"/>
          <w:lang w:val="hy-AM" w:eastAsia="en-US"/>
        </w:rPr>
        <w:softHyphen/>
        <w:t>ռելի փաստաթղթավորման համակարգ, վերացնելով գյուղատնտեսության ոլորտի ապրանքային արտադրության զար</w:t>
      </w:r>
      <w:r w:rsidRPr="00DE2EB8">
        <w:rPr>
          <w:rFonts w:eastAsia="Calibri"/>
          <w:b w:val="0"/>
          <w:szCs w:val="22"/>
          <w:lang w:val="hy-AM" w:eastAsia="en-US"/>
        </w:rPr>
        <w:softHyphen/>
      </w:r>
      <w:r w:rsidRPr="00DE2EB8">
        <w:rPr>
          <w:rFonts w:eastAsia="Calibri"/>
          <w:b w:val="0"/>
          <w:szCs w:val="22"/>
          <w:lang w:val="hy-AM" w:eastAsia="en-US"/>
        </w:rPr>
        <w:softHyphen/>
      </w:r>
      <w:r w:rsidRPr="00DE2EB8">
        <w:rPr>
          <w:rFonts w:eastAsia="Calibri"/>
          <w:b w:val="0"/>
          <w:szCs w:val="22"/>
          <w:lang w:val="hy-AM" w:eastAsia="en-US"/>
        </w:rPr>
        <w:softHyphen/>
        <w:t>գաց</w:t>
      </w:r>
      <w:r w:rsidRPr="00DE2EB8">
        <w:rPr>
          <w:rFonts w:eastAsia="Calibri"/>
          <w:b w:val="0"/>
          <w:szCs w:val="22"/>
          <w:lang w:val="hy-AM" w:eastAsia="en-US"/>
        </w:rPr>
        <w:softHyphen/>
      </w:r>
      <w:r w:rsidRPr="00DE2EB8">
        <w:rPr>
          <w:rFonts w:eastAsia="Calibri"/>
          <w:b w:val="0"/>
          <w:szCs w:val="22"/>
          <w:lang w:val="hy-AM" w:eastAsia="en-US"/>
        </w:rPr>
        <w:softHyphen/>
        <w:t>մանը խոչընդոտող հարկային կարգավորումները,</w:t>
      </w:r>
    </w:p>
    <w:p w:rsidR="00DE2EB8" w:rsidRPr="00DE2EB8" w:rsidRDefault="00DE2EB8" w:rsidP="008F5CA2">
      <w:pPr>
        <w:tabs>
          <w:tab w:val="left" w:pos="284"/>
        </w:tabs>
        <w:spacing w:before="0" w:line="276" w:lineRule="auto"/>
        <w:ind w:firstLine="450"/>
        <w:rPr>
          <w:rFonts w:eastAsia="Calibri"/>
          <w:b w:val="0"/>
          <w:szCs w:val="22"/>
          <w:lang w:val="hy-AM" w:eastAsia="en-US"/>
        </w:rPr>
      </w:pPr>
      <w:r w:rsidRPr="00DE2EB8">
        <w:rPr>
          <w:rFonts w:eastAsia="Calibri"/>
          <w:b w:val="0"/>
          <w:szCs w:val="22"/>
          <w:lang w:val="hy-AM" w:eastAsia="en-US"/>
        </w:rPr>
        <w:t>- ֆիզիկական անձանց եկամուտների համատարած հայտարարագրման համակարգի ներդրմանը,</w:t>
      </w:r>
    </w:p>
    <w:p w:rsidR="00DE2EB8" w:rsidRPr="00DE2EB8" w:rsidRDefault="00DE2EB8" w:rsidP="008F5CA2">
      <w:pPr>
        <w:tabs>
          <w:tab w:val="left" w:pos="284"/>
        </w:tabs>
        <w:spacing w:before="0" w:line="276" w:lineRule="auto"/>
        <w:ind w:firstLine="450"/>
        <w:rPr>
          <w:rFonts w:eastAsia="Calibri"/>
          <w:b w:val="0"/>
          <w:szCs w:val="22"/>
          <w:lang w:val="hy-AM" w:eastAsia="en-US"/>
        </w:rPr>
      </w:pPr>
      <w:r w:rsidRPr="00DE2EB8">
        <w:rPr>
          <w:rFonts w:eastAsia="Calibri"/>
          <w:b w:val="0"/>
          <w:szCs w:val="22"/>
          <w:lang w:val="hy-AM" w:eastAsia="en-US"/>
        </w:rPr>
        <w:t>- միկրոձեռնարկատիրության սուբյեկտների կողմից վճարվող աշխատավարձերի հար</w:t>
      </w:r>
      <w:r w:rsidRPr="00DE2EB8">
        <w:rPr>
          <w:rFonts w:eastAsia="Calibri"/>
          <w:b w:val="0"/>
          <w:szCs w:val="22"/>
          <w:lang w:val="hy-AM" w:eastAsia="en-US"/>
        </w:rPr>
        <w:softHyphen/>
        <w:t>կումը եկամտային հարկի միասնական դրույքաչափի ներքո տեղափոխելուն, ինչպես նաև միկրո</w:t>
      </w:r>
      <w:r w:rsidRPr="00DE2EB8">
        <w:rPr>
          <w:rFonts w:eastAsia="Calibri"/>
          <w:b w:val="0"/>
          <w:szCs w:val="22"/>
          <w:lang w:val="hy-AM" w:eastAsia="en-US"/>
        </w:rPr>
        <w:softHyphen/>
        <w:t>ձեռ</w:t>
      </w:r>
      <w:r w:rsidRPr="00DE2EB8">
        <w:rPr>
          <w:rFonts w:eastAsia="Calibri"/>
          <w:b w:val="0"/>
          <w:szCs w:val="22"/>
          <w:lang w:val="hy-AM" w:eastAsia="en-US"/>
        </w:rPr>
        <w:softHyphen/>
        <w:t>նարկատիրության սուբյեկտների կողմից դուրս գրվող հաշվարկային փաս</w:t>
      </w:r>
      <w:r w:rsidRPr="00DE2EB8">
        <w:rPr>
          <w:rFonts w:eastAsia="Calibri"/>
          <w:b w:val="0"/>
          <w:szCs w:val="22"/>
          <w:lang w:val="hy-AM" w:eastAsia="en-US"/>
        </w:rPr>
        <w:softHyphen/>
        <w:t>տա</w:t>
      </w:r>
      <w:r w:rsidRPr="00DE2EB8">
        <w:rPr>
          <w:rFonts w:eastAsia="Calibri"/>
          <w:b w:val="0"/>
          <w:szCs w:val="22"/>
          <w:lang w:val="hy-AM" w:eastAsia="en-US"/>
        </w:rPr>
        <w:softHyphen/>
        <w:t>թղ</w:t>
      </w:r>
      <w:r w:rsidRPr="00DE2EB8">
        <w:rPr>
          <w:rFonts w:eastAsia="Calibri"/>
          <w:b w:val="0"/>
          <w:szCs w:val="22"/>
          <w:lang w:val="hy-AM" w:eastAsia="en-US"/>
        </w:rPr>
        <w:softHyphen/>
        <w:t>թերի հիման վրա շահութա</w:t>
      </w:r>
      <w:r w:rsidRPr="00DE2EB8">
        <w:rPr>
          <w:rFonts w:eastAsia="Calibri"/>
          <w:b w:val="0"/>
          <w:szCs w:val="22"/>
          <w:lang w:val="hy-AM" w:eastAsia="en-US"/>
        </w:rPr>
        <w:softHyphen/>
        <w:t>հար</w:t>
      </w:r>
      <w:r w:rsidRPr="00DE2EB8">
        <w:rPr>
          <w:rFonts w:eastAsia="Calibri"/>
          <w:b w:val="0"/>
          <w:szCs w:val="22"/>
          <w:lang w:val="hy-AM" w:eastAsia="en-US"/>
        </w:rPr>
        <w:softHyphen/>
        <w:t>կով հարկման բազայի նվազեցման հնարավորությունների սահ</w:t>
      </w:r>
      <w:r w:rsidRPr="00DE2EB8">
        <w:rPr>
          <w:rFonts w:eastAsia="Calibri"/>
          <w:b w:val="0"/>
          <w:szCs w:val="22"/>
          <w:lang w:val="hy-AM" w:eastAsia="en-US"/>
        </w:rPr>
        <w:softHyphen/>
        <w:t>մա</w:t>
      </w:r>
      <w:r w:rsidRPr="00DE2EB8">
        <w:rPr>
          <w:rFonts w:eastAsia="Calibri"/>
          <w:b w:val="0"/>
          <w:szCs w:val="22"/>
          <w:lang w:val="hy-AM" w:eastAsia="en-US"/>
        </w:rPr>
        <w:softHyphen/>
        <w:t>նա</w:t>
      </w:r>
      <w:r w:rsidRPr="00DE2EB8">
        <w:rPr>
          <w:rFonts w:eastAsia="Calibri"/>
          <w:b w:val="0"/>
          <w:szCs w:val="22"/>
          <w:lang w:val="hy-AM" w:eastAsia="en-US"/>
        </w:rPr>
        <w:softHyphen/>
        <w:t>փակմանը՝ նպատակ ունենալով, մասնավորապես, նվազեցնել հարկման տարբեր համակարգերի միջև արհեստական գործարքների իրականացմամբ հարկումից խուսափելու ռիսկերը,</w:t>
      </w:r>
    </w:p>
    <w:p w:rsidR="00DE2EB8" w:rsidRPr="00DE2EB8" w:rsidRDefault="00DE2EB8" w:rsidP="00DE2EB8">
      <w:pPr>
        <w:tabs>
          <w:tab w:val="left" w:pos="284"/>
        </w:tabs>
        <w:spacing w:before="0" w:line="276" w:lineRule="auto"/>
        <w:ind w:firstLine="450"/>
        <w:rPr>
          <w:rFonts w:eastAsia="Calibri"/>
          <w:b w:val="0"/>
          <w:szCs w:val="22"/>
          <w:lang w:val="hy-AM" w:eastAsia="en-US"/>
        </w:rPr>
      </w:pPr>
      <w:r w:rsidRPr="00DE2EB8">
        <w:rPr>
          <w:rFonts w:eastAsia="Calibri"/>
          <w:b w:val="0"/>
          <w:szCs w:val="22"/>
          <w:lang w:val="hy-AM" w:eastAsia="en-US"/>
        </w:rPr>
        <w:t>- կրկնակի հարկումը բացառող համաձայնագրերի աշխարհագրության ընդլայնմանը՝ նպա</w:t>
      </w:r>
      <w:r w:rsidRPr="00DE2EB8">
        <w:rPr>
          <w:rFonts w:eastAsia="Calibri"/>
          <w:b w:val="0"/>
          <w:szCs w:val="22"/>
          <w:lang w:val="hy-AM" w:eastAsia="en-US"/>
        </w:rPr>
        <w:softHyphen/>
        <w:t>տակ ունենալով նաև գործող համաձայնագրերը համապատասխանեցնել կրկնակի հարկումը բացա</w:t>
      </w:r>
      <w:r w:rsidRPr="00DE2EB8">
        <w:rPr>
          <w:rFonts w:eastAsia="Calibri"/>
          <w:b w:val="0"/>
          <w:szCs w:val="22"/>
          <w:lang w:val="hy-AM" w:eastAsia="en-US"/>
        </w:rPr>
        <w:softHyphen/>
        <w:t>ռող համաձայնագրերին վերաբերող՝ միջազգայնորեն ընդունված արդի ստանդարտներին և մոտեցումներին:</w:t>
      </w:r>
    </w:p>
    <w:p w:rsidR="000825DA" w:rsidRPr="007955BB" w:rsidRDefault="000825DA" w:rsidP="008F5CA2">
      <w:pPr>
        <w:pStyle w:val="BodyText2"/>
      </w:pPr>
    </w:p>
    <w:p w:rsidR="005F226A" w:rsidRPr="007955BB"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89" w:name="_Toc83567457"/>
      <w:bookmarkStart w:id="90" w:name="_Toc120805186"/>
      <w:r w:rsidRPr="007955BB">
        <w:rPr>
          <w:rFonts w:cs="Arial"/>
          <w:szCs w:val="22"/>
          <w:lang w:val="hy-AM" w:eastAsia="en-US"/>
        </w:rPr>
        <w:t>Պետական եկամուտների վարչարարություն</w:t>
      </w:r>
      <w:bookmarkEnd w:id="89"/>
      <w:bookmarkEnd w:id="90"/>
    </w:p>
    <w:p w:rsidR="00191350" w:rsidRPr="007955BB" w:rsidRDefault="00191350" w:rsidP="00191350">
      <w:pPr>
        <w:tabs>
          <w:tab w:val="left" w:pos="567"/>
        </w:tabs>
        <w:spacing w:before="0" w:line="276" w:lineRule="auto"/>
        <w:ind w:firstLine="720"/>
        <w:contextualSpacing w:val="0"/>
        <w:rPr>
          <w:b w:val="0"/>
          <w:szCs w:val="22"/>
          <w:lang w:val="hy-AM"/>
        </w:rPr>
      </w:pPr>
      <w:r w:rsidRPr="007955BB">
        <w:rPr>
          <w:b w:val="0"/>
          <w:szCs w:val="22"/>
          <w:lang w:val="hy-AM"/>
        </w:rPr>
        <w:t>Պետական եկամուտների վարչարարության ոլորտում իրականացվելիք միջոցառում</w:t>
      </w:r>
      <w:r w:rsidRPr="007955BB">
        <w:rPr>
          <w:b w:val="0"/>
          <w:szCs w:val="22"/>
          <w:lang w:val="hy-AM"/>
        </w:rPr>
        <w:softHyphen/>
        <w:t>ները բխելու են ՀՀ կառա</w:t>
      </w:r>
      <w:r w:rsidRPr="007955BB">
        <w:rPr>
          <w:b w:val="0"/>
          <w:szCs w:val="22"/>
          <w:lang w:val="hy-AM"/>
        </w:rPr>
        <w:softHyphen/>
        <w:t>վա</w:t>
      </w:r>
      <w:r w:rsidRPr="007955BB">
        <w:rPr>
          <w:b w:val="0"/>
          <w:szCs w:val="22"/>
          <w:lang w:val="hy-AM"/>
        </w:rPr>
        <w:softHyphen/>
      </w:r>
      <w:r w:rsidRPr="007955BB">
        <w:rPr>
          <w:b w:val="0"/>
          <w:szCs w:val="22"/>
          <w:lang w:val="hy-AM"/>
        </w:rPr>
        <w:softHyphen/>
      </w:r>
      <w:r w:rsidRPr="007955BB">
        <w:rPr>
          <w:b w:val="0"/>
          <w:szCs w:val="22"/>
          <w:lang w:val="hy-AM"/>
        </w:rPr>
        <w:softHyphen/>
        <w:t>րու</w:t>
      </w:r>
      <w:r w:rsidRPr="007955BB">
        <w:rPr>
          <w:b w:val="0"/>
          <w:szCs w:val="22"/>
          <w:lang w:val="hy-AM"/>
        </w:rPr>
        <w:softHyphen/>
        <w:t>թյան 2021 թվականի նոյեմբերի 18-ի N 1902-Ա որոշմամբ հաստատ</w:t>
      </w:r>
      <w:r w:rsidRPr="007955BB">
        <w:rPr>
          <w:b w:val="0"/>
          <w:szCs w:val="22"/>
          <w:lang w:val="hy-AM"/>
        </w:rPr>
        <w:softHyphen/>
      </w:r>
      <w:r w:rsidRPr="007955BB">
        <w:rPr>
          <w:b w:val="0"/>
          <w:szCs w:val="22"/>
          <w:lang w:val="hy-AM"/>
        </w:rPr>
        <w:softHyphen/>
      </w:r>
      <w:r w:rsidRPr="007955BB">
        <w:rPr>
          <w:b w:val="0"/>
          <w:szCs w:val="22"/>
          <w:lang w:val="hy-AM"/>
        </w:rPr>
        <w:softHyphen/>
        <w:t xml:space="preserve">ված Հայաստանի Հանրապետության կառավարության 2021-2026թթ. գործունեության միջոցառումների ծրագրից, ինչպես նաև  ՀՀ կառավարության 2019 թվականի դեկտեմբերի 12-ի թիվ 1830-Լ որոշմամբ հաստատված </w:t>
      </w:r>
      <w:r w:rsidR="00E77748">
        <w:rPr>
          <w:b w:val="0"/>
          <w:szCs w:val="22"/>
          <w:lang w:val="hy-AM"/>
        </w:rPr>
        <w:t>ՊԵԿ</w:t>
      </w:r>
      <w:r w:rsidRPr="007955BB">
        <w:rPr>
          <w:b w:val="0"/>
          <w:szCs w:val="22"/>
          <w:lang w:val="hy-AM"/>
        </w:rPr>
        <w:t xml:space="preserve"> զարգացման և վարչարարության բարելավման ռազմավարական ծրագրից:</w:t>
      </w:r>
    </w:p>
    <w:p w:rsidR="00191350" w:rsidRPr="007955BB" w:rsidRDefault="00191350" w:rsidP="00191350">
      <w:pPr>
        <w:tabs>
          <w:tab w:val="left" w:pos="567"/>
        </w:tabs>
        <w:spacing w:before="0" w:line="276" w:lineRule="auto"/>
        <w:ind w:firstLine="720"/>
        <w:contextualSpacing w:val="0"/>
        <w:rPr>
          <w:b w:val="0"/>
          <w:szCs w:val="22"/>
          <w:lang w:val="hy-AM"/>
        </w:rPr>
      </w:pPr>
      <w:r w:rsidRPr="007955BB">
        <w:rPr>
          <w:b w:val="0"/>
          <w:szCs w:val="22"/>
          <w:lang w:val="hy-AM"/>
        </w:rPr>
        <w:t xml:space="preserve">2023 թվականի ընթացքում </w:t>
      </w:r>
      <w:r w:rsidR="00E77748">
        <w:rPr>
          <w:b w:val="0"/>
          <w:szCs w:val="22"/>
          <w:lang w:val="hy-AM"/>
        </w:rPr>
        <w:t>ՊԵԿ</w:t>
      </w:r>
      <w:r w:rsidRPr="007955BB">
        <w:rPr>
          <w:b w:val="0"/>
          <w:szCs w:val="22"/>
          <w:lang w:val="hy-AM"/>
        </w:rPr>
        <w:t xml:space="preserve"> վարչա</w:t>
      </w:r>
      <w:r w:rsidRPr="007955BB">
        <w:rPr>
          <w:b w:val="0"/>
          <w:szCs w:val="22"/>
          <w:lang w:val="hy-AM"/>
        </w:rPr>
        <w:softHyphen/>
        <w:t>րա</w:t>
      </w:r>
      <w:r w:rsidRPr="007955BB">
        <w:rPr>
          <w:b w:val="0"/>
          <w:szCs w:val="22"/>
          <w:lang w:val="hy-AM"/>
        </w:rPr>
        <w:softHyphen/>
      </w:r>
      <w:r w:rsidRPr="007955BB">
        <w:rPr>
          <w:b w:val="0"/>
          <w:szCs w:val="22"/>
          <w:lang w:val="hy-AM"/>
        </w:rPr>
        <w:softHyphen/>
      </w:r>
      <w:r w:rsidRPr="007955BB">
        <w:rPr>
          <w:b w:val="0"/>
          <w:szCs w:val="22"/>
          <w:lang w:val="hy-AM"/>
        </w:rPr>
        <w:softHyphen/>
      </w:r>
      <w:r w:rsidRPr="007955BB">
        <w:rPr>
          <w:b w:val="0"/>
          <w:szCs w:val="22"/>
          <w:lang w:val="hy-AM"/>
        </w:rPr>
        <w:softHyphen/>
        <w:t>րությունն ուղղված է լինելու տնտեսական աճից առաջանցիկ տեմպերով ՀՀ պետական բյուջեով նախատեսված հարկային եկամուտների և պետական տուրքի հավաքագրմանը, որի շրջանակներում իրականացվող միջոցառումները միտված են լինելու հարկային և մաքսային ոլորտներին առնչվող հետևյալ հիմնական նպատակների իրագործմանը.</w:t>
      </w:r>
    </w:p>
    <w:p w:rsidR="00191350" w:rsidRPr="007955BB" w:rsidRDefault="00191350" w:rsidP="00F04DA1">
      <w:pPr>
        <w:pStyle w:val="ListParagraph"/>
        <w:numPr>
          <w:ilvl w:val="0"/>
          <w:numId w:val="39"/>
        </w:numPr>
        <w:tabs>
          <w:tab w:val="left" w:pos="567"/>
        </w:tabs>
        <w:spacing w:before="0" w:line="276" w:lineRule="auto"/>
        <w:ind w:left="0" w:firstLine="0"/>
        <w:contextualSpacing w:val="0"/>
        <w:rPr>
          <w:b w:val="0"/>
          <w:szCs w:val="22"/>
          <w:lang w:val="hy-AM"/>
        </w:rPr>
      </w:pPr>
      <w:r w:rsidRPr="007955BB">
        <w:rPr>
          <w:b w:val="0"/>
          <w:szCs w:val="22"/>
          <w:lang w:val="hy-AM"/>
        </w:rPr>
        <w:t>հարկ վճարողների սպասարկում, որակյալ ծառայությունների մատուցում և ենթակառուցվածքների արդիականացում։ Այս նպատակի շրջանակներում նախատեսվում է իրականացնել հետևյալ աշխատանքները</w:t>
      </w:r>
      <w:r w:rsidRPr="007955BB">
        <w:rPr>
          <w:rFonts w:ascii="Cambria Math" w:hAnsi="Cambria Math" w:cs="Cambria Math"/>
          <w:b w:val="0"/>
          <w:szCs w:val="22"/>
          <w:lang w:val="hy-AM"/>
        </w:rPr>
        <w:t>․</w:t>
      </w:r>
    </w:p>
    <w:p w:rsidR="00191350" w:rsidRPr="007955BB" w:rsidRDefault="00191350" w:rsidP="00191350">
      <w:pPr>
        <w:pStyle w:val="ListParagraph"/>
        <w:numPr>
          <w:ilvl w:val="0"/>
          <w:numId w:val="18"/>
        </w:numPr>
        <w:tabs>
          <w:tab w:val="left" w:pos="567"/>
        </w:tabs>
        <w:spacing w:before="0" w:line="276" w:lineRule="auto"/>
        <w:ind w:left="0" w:firstLine="0"/>
        <w:contextualSpacing w:val="0"/>
        <w:rPr>
          <w:b w:val="0"/>
          <w:szCs w:val="22"/>
          <w:lang w:val="hy-AM"/>
        </w:rPr>
      </w:pPr>
      <w:r w:rsidRPr="007955BB">
        <w:rPr>
          <w:b w:val="0"/>
          <w:szCs w:val="22"/>
          <w:lang w:val="hy-AM"/>
        </w:rPr>
        <w:t xml:space="preserve">կրճատել փոխհատուցվող գումարների միասնական հաշվին մուտքագրման ժամկետները, ինչպես նաև պարզեցնել մի քանի աղբյուրից ստացման ենթակա (ստացված) եկամտից հաշվարկված և փոխանցված (գանձված) սոցիալական վճարների առավելագույն չափը գերազանցող գումարները մասնակիցներին վերադարձնելու գործընթացը, </w:t>
      </w:r>
    </w:p>
    <w:p w:rsidR="00191350" w:rsidRPr="007955BB" w:rsidRDefault="00191350" w:rsidP="00191350">
      <w:pPr>
        <w:pStyle w:val="ListParagraph"/>
        <w:numPr>
          <w:ilvl w:val="0"/>
          <w:numId w:val="18"/>
        </w:numPr>
        <w:tabs>
          <w:tab w:val="left" w:pos="567"/>
        </w:tabs>
        <w:spacing w:before="0" w:line="276" w:lineRule="auto"/>
        <w:ind w:left="0" w:firstLine="0"/>
        <w:contextualSpacing w:val="0"/>
        <w:rPr>
          <w:b w:val="0"/>
          <w:szCs w:val="22"/>
          <w:lang w:val="hy-AM"/>
        </w:rPr>
      </w:pPr>
      <w:r w:rsidRPr="007955BB">
        <w:rPr>
          <w:b w:val="0"/>
          <w:szCs w:val="22"/>
          <w:lang w:val="hy-AM"/>
        </w:rPr>
        <w:t>հարկային և մաքսային վարչարարության վերաբերյալ իրականացվող հարցումների հիման վրա բարելավել մատուցվող ծառայությունների որակը,</w:t>
      </w:r>
    </w:p>
    <w:p w:rsidR="00191350" w:rsidRPr="007955BB" w:rsidRDefault="00191350" w:rsidP="00191350">
      <w:pPr>
        <w:pStyle w:val="ListParagraph"/>
        <w:numPr>
          <w:ilvl w:val="0"/>
          <w:numId w:val="18"/>
        </w:numPr>
        <w:tabs>
          <w:tab w:val="left" w:pos="567"/>
        </w:tabs>
        <w:spacing w:before="0" w:line="276" w:lineRule="auto"/>
        <w:ind w:left="0" w:firstLine="0"/>
        <w:contextualSpacing w:val="0"/>
        <w:rPr>
          <w:b w:val="0"/>
          <w:szCs w:val="22"/>
          <w:lang w:val="hy-AM"/>
        </w:rPr>
      </w:pPr>
      <w:r w:rsidRPr="007955BB">
        <w:rPr>
          <w:b w:val="0"/>
          <w:szCs w:val="22"/>
          <w:lang w:val="hy-AM"/>
        </w:rPr>
        <w:t>մեկնարկել ՊԵԿ Երևան քաղաքի արտաքին տնտեսական գործունեության կենտրոնի կառուցման, ՊԵԿ Արևելյան մաքսատուն-վարչության Բագրատաշենի մաքսային կետ-բաժնի ենթակառուցվածքների վերակառուցման, ՊԵԿ Հարավային մաքսատուն-վարչության Մեղրիի մաքսային կետ-բաժնի արդիականացման և վերակառուցման, ինչպես նաև ՊԵԿ Հարավային արտաքին տնտեսական գործունեության կենտրոնի կառուցման նախագծանախահաշվային փաստաթղթերի կազմման աշխատանքները,</w:t>
      </w:r>
    </w:p>
    <w:p w:rsidR="00191350" w:rsidRPr="007955BB" w:rsidRDefault="00191350" w:rsidP="00F04DA1">
      <w:pPr>
        <w:pStyle w:val="ListParagraph"/>
        <w:numPr>
          <w:ilvl w:val="0"/>
          <w:numId w:val="39"/>
        </w:numPr>
        <w:tabs>
          <w:tab w:val="left" w:pos="567"/>
        </w:tabs>
        <w:spacing w:before="0" w:line="276" w:lineRule="auto"/>
        <w:ind w:left="0" w:firstLine="0"/>
        <w:contextualSpacing w:val="0"/>
        <w:rPr>
          <w:b w:val="0"/>
          <w:szCs w:val="22"/>
          <w:lang w:val="hy-AM"/>
        </w:rPr>
      </w:pPr>
      <w:r w:rsidRPr="007955BB">
        <w:rPr>
          <w:b w:val="0"/>
          <w:szCs w:val="22"/>
          <w:lang w:val="hy-AM"/>
        </w:rPr>
        <w:t>տեղեկատվության փոխանակման անվտանգության և մշակման արդյունավետության  բարձրացման նպատակով էլեկտրոնային համակարգերի կատարելագործում: Այս նպատակի իրագործումն ընդգրկելու է հետևյալ աշխատանքները</w:t>
      </w:r>
      <w:r w:rsidRPr="007955BB">
        <w:rPr>
          <w:rFonts w:ascii="Cambria Math" w:hAnsi="Cambria Math" w:cs="Cambria Math"/>
          <w:b w:val="0"/>
          <w:szCs w:val="22"/>
          <w:lang w:val="hy-AM"/>
        </w:rPr>
        <w:t>․</w:t>
      </w:r>
    </w:p>
    <w:p w:rsidR="00191350" w:rsidRPr="007955BB" w:rsidRDefault="00191350" w:rsidP="00191350">
      <w:pPr>
        <w:pStyle w:val="ListParagraph"/>
        <w:numPr>
          <w:ilvl w:val="0"/>
          <w:numId w:val="18"/>
        </w:numPr>
        <w:tabs>
          <w:tab w:val="left" w:pos="567"/>
        </w:tabs>
        <w:spacing w:before="0" w:line="276" w:lineRule="auto"/>
        <w:ind w:left="0" w:firstLine="0"/>
        <w:contextualSpacing w:val="0"/>
        <w:rPr>
          <w:b w:val="0"/>
          <w:szCs w:val="22"/>
          <w:lang w:val="hy-AM"/>
        </w:rPr>
      </w:pPr>
      <w:r w:rsidRPr="007955BB">
        <w:rPr>
          <w:b w:val="0"/>
          <w:szCs w:val="22"/>
          <w:lang w:val="hy-AM"/>
        </w:rPr>
        <w:t>ներդնել ֆիզիկական անձանց համար էլեկտրոնային ծառայությունների (e-services) նոր հարթակ,</w:t>
      </w:r>
    </w:p>
    <w:p w:rsidR="00191350" w:rsidRPr="007955BB" w:rsidRDefault="00191350" w:rsidP="00191350">
      <w:pPr>
        <w:pStyle w:val="ListParagraph"/>
        <w:numPr>
          <w:ilvl w:val="0"/>
          <w:numId w:val="18"/>
        </w:numPr>
        <w:tabs>
          <w:tab w:val="left" w:pos="567"/>
        </w:tabs>
        <w:spacing w:before="0" w:line="276" w:lineRule="auto"/>
        <w:ind w:left="0" w:firstLine="0"/>
        <w:contextualSpacing w:val="0"/>
        <w:rPr>
          <w:b w:val="0"/>
          <w:szCs w:val="22"/>
          <w:lang w:val="hy-AM"/>
        </w:rPr>
      </w:pPr>
      <w:r w:rsidRPr="007955BB">
        <w:rPr>
          <w:b w:val="0"/>
          <w:szCs w:val="22"/>
          <w:lang w:val="hy-AM"/>
        </w:rPr>
        <w:t xml:space="preserve">տնտեսավարող սուբյեկտների կողմից մաքսային մարմին այցելությունների և մաքսային մարմին-տնտեսավարող սուբյեկտ շփման նվազեցման նպատակով ներդնել ծանուցումների կառավարման նոր ենթահամակարգ և կատարելագործել մաքսային հայտարարագրման համակարգը, </w:t>
      </w:r>
    </w:p>
    <w:p w:rsidR="00191350" w:rsidRPr="007955BB" w:rsidRDefault="00191350" w:rsidP="00191350">
      <w:pPr>
        <w:pStyle w:val="ListParagraph"/>
        <w:numPr>
          <w:ilvl w:val="0"/>
          <w:numId w:val="18"/>
        </w:numPr>
        <w:tabs>
          <w:tab w:val="left" w:pos="567"/>
        </w:tabs>
        <w:spacing w:before="0" w:line="276" w:lineRule="auto"/>
        <w:ind w:left="0" w:firstLine="0"/>
        <w:contextualSpacing w:val="0"/>
        <w:rPr>
          <w:b w:val="0"/>
          <w:szCs w:val="22"/>
          <w:lang w:val="hy-AM"/>
        </w:rPr>
      </w:pPr>
      <w:r w:rsidRPr="007955BB">
        <w:rPr>
          <w:b w:val="0"/>
          <w:szCs w:val="22"/>
          <w:lang w:val="hy-AM"/>
        </w:rPr>
        <w:t>ներդնել անձնական գրասենյակի միջոցով հարկային ստուգումներին և ուսումնասիրություններին վերաբերող բոլոր փաստաթղթերի` էլեկտրոնային եղանակով փոխանակման համակարգ,</w:t>
      </w:r>
    </w:p>
    <w:p w:rsidR="00191350" w:rsidRPr="007955BB" w:rsidRDefault="00191350" w:rsidP="00191350">
      <w:pPr>
        <w:pStyle w:val="ListParagraph"/>
        <w:numPr>
          <w:ilvl w:val="0"/>
          <w:numId w:val="18"/>
        </w:numPr>
        <w:tabs>
          <w:tab w:val="left" w:pos="567"/>
        </w:tabs>
        <w:spacing w:before="0" w:line="276" w:lineRule="auto"/>
        <w:ind w:left="0" w:firstLine="0"/>
        <w:contextualSpacing w:val="0"/>
        <w:rPr>
          <w:b w:val="0"/>
          <w:szCs w:val="22"/>
          <w:lang w:val="hy-AM"/>
        </w:rPr>
      </w:pPr>
      <w:r w:rsidRPr="007955BB">
        <w:rPr>
          <w:b w:val="0"/>
          <w:szCs w:val="22"/>
          <w:lang w:val="hy-AM"/>
        </w:rPr>
        <w:t>ներդնել նպաստների գծով համապատասխան գերատեսչությունների միջև տեղեկատվության փոխանակման էլեկտրոնային հարթակ,</w:t>
      </w:r>
    </w:p>
    <w:p w:rsidR="00191350" w:rsidRPr="007955BB" w:rsidRDefault="00191350" w:rsidP="00191350">
      <w:pPr>
        <w:pStyle w:val="ListParagraph"/>
        <w:numPr>
          <w:ilvl w:val="0"/>
          <w:numId w:val="18"/>
        </w:numPr>
        <w:tabs>
          <w:tab w:val="left" w:pos="567"/>
        </w:tabs>
        <w:spacing w:before="0" w:line="276" w:lineRule="auto"/>
        <w:ind w:left="0" w:firstLine="0"/>
        <w:contextualSpacing w:val="0"/>
        <w:rPr>
          <w:b w:val="0"/>
          <w:szCs w:val="22"/>
          <w:lang w:val="hy-AM"/>
        </w:rPr>
      </w:pPr>
      <w:r w:rsidRPr="007955BB">
        <w:rPr>
          <w:b w:val="0"/>
          <w:szCs w:val="22"/>
          <w:lang w:val="hy-AM"/>
        </w:rPr>
        <w:t>ներդնել ՀՀ արդարադատության նախարարության պրոբացիայի ծառայությանը տեղեկությունների տրամադրման էլեկտրոնային կառավարման համակարգ,</w:t>
      </w:r>
    </w:p>
    <w:p w:rsidR="00191350" w:rsidRPr="007955BB" w:rsidRDefault="00191350" w:rsidP="00191350">
      <w:pPr>
        <w:pStyle w:val="ListParagraph"/>
        <w:numPr>
          <w:ilvl w:val="0"/>
          <w:numId w:val="18"/>
        </w:numPr>
        <w:tabs>
          <w:tab w:val="left" w:pos="567"/>
        </w:tabs>
        <w:spacing w:before="0" w:line="276" w:lineRule="auto"/>
        <w:ind w:left="0" w:firstLine="0"/>
        <w:contextualSpacing w:val="0"/>
        <w:rPr>
          <w:b w:val="0"/>
          <w:szCs w:val="22"/>
          <w:lang w:val="hy-AM"/>
        </w:rPr>
      </w:pPr>
      <w:r w:rsidRPr="007955BB">
        <w:rPr>
          <w:b w:val="0"/>
          <w:szCs w:val="22"/>
          <w:lang w:val="hy-AM"/>
        </w:rPr>
        <w:t>ներդնել և ընդլայնել տվյալների մշակման էլեկտրոնային համակարգերում մեծ տվյալների վերլուծության, մեքենայական ուսուցման և արհեստական բանականության գործիքները,</w:t>
      </w:r>
    </w:p>
    <w:p w:rsidR="00191350" w:rsidRPr="007955BB" w:rsidRDefault="00191350" w:rsidP="00191350">
      <w:pPr>
        <w:pStyle w:val="ListParagraph"/>
        <w:numPr>
          <w:ilvl w:val="0"/>
          <w:numId w:val="18"/>
        </w:numPr>
        <w:tabs>
          <w:tab w:val="left" w:pos="567"/>
        </w:tabs>
        <w:spacing w:before="0" w:line="276" w:lineRule="auto"/>
        <w:ind w:left="0" w:firstLine="0"/>
        <w:contextualSpacing w:val="0"/>
        <w:rPr>
          <w:b w:val="0"/>
          <w:szCs w:val="22"/>
          <w:lang w:val="hy-AM"/>
        </w:rPr>
      </w:pPr>
      <w:r w:rsidRPr="007955BB">
        <w:rPr>
          <w:b w:val="0"/>
          <w:szCs w:val="22"/>
          <w:lang w:val="hy-AM"/>
        </w:rPr>
        <w:t>վերանայել հարկ վճարողների անձնական հաշվի քարտերում առկա պարտավորությունների և դեբետային գումարների մարման հաջորդականության կարգը,</w:t>
      </w:r>
    </w:p>
    <w:p w:rsidR="00191350" w:rsidRPr="007955BB" w:rsidRDefault="00191350" w:rsidP="00F04DA1">
      <w:pPr>
        <w:pStyle w:val="ListParagraph"/>
        <w:numPr>
          <w:ilvl w:val="0"/>
          <w:numId w:val="39"/>
        </w:numPr>
        <w:tabs>
          <w:tab w:val="left" w:pos="567"/>
        </w:tabs>
        <w:spacing w:before="0" w:line="276" w:lineRule="auto"/>
        <w:ind w:left="0" w:firstLine="0"/>
        <w:contextualSpacing w:val="0"/>
        <w:rPr>
          <w:b w:val="0"/>
          <w:szCs w:val="22"/>
          <w:lang w:val="hy-AM"/>
        </w:rPr>
      </w:pPr>
      <w:r w:rsidRPr="007955BB">
        <w:rPr>
          <w:b w:val="0"/>
          <w:szCs w:val="22"/>
          <w:lang w:val="hy-AM"/>
        </w:rPr>
        <w:t>վարչարարության արդյունավետության բարձրացում և հարկային կարգապահական ճեղքի կրճատում, որի շրջանակներում նախատեսվում է.</w:t>
      </w:r>
    </w:p>
    <w:p w:rsidR="00191350" w:rsidRPr="007955BB" w:rsidRDefault="00191350" w:rsidP="00191350">
      <w:pPr>
        <w:pStyle w:val="ListParagraph"/>
        <w:numPr>
          <w:ilvl w:val="0"/>
          <w:numId w:val="18"/>
        </w:numPr>
        <w:tabs>
          <w:tab w:val="left" w:pos="567"/>
        </w:tabs>
        <w:spacing w:before="0" w:line="276" w:lineRule="auto"/>
        <w:ind w:left="0" w:firstLine="0"/>
        <w:contextualSpacing w:val="0"/>
        <w:rPr>
          <w:b w:val="0"/>
          <w:szCs w:val="22"/>
          <w:lang w:val="hy-AM"/>
        </w:rPr>
      </w:pPr>
      <w:r w:rsidRPr="007955BB">
        <w:rPr>
          <w:b w:val="0"/>
          <w:szCs w:val="22"/>
          <w:lang w:val="hy-AM"/>
        </w:rPr>
        <w:t>ընդլայնել և ներդնել ստանդարտ վերլուծություններն ավտոմատացված եղանակով իրականացմանն ուղղված գործիքներ,</w:t>
      </w:r>
    </w:p>
    <w:p w:rsidR="00191350" w:rsidRPr="007955BB" w:rsidRDefault="00191350" w:rsidP="00191350">
      <w:pPr>
        <w:pStyle w:val="ListParagraph"/>
        <w:numPr>
          <w:ilvl w:val="0"/>
          <w:numId w:val="18"/>
        </w:numPr>
        <w:tabs>
          <w:tab w:val="left" w:pos="567"/>
        </w:tabs>
        <w:spacing w:before="0" w:line="276" w:lineRule="auto"/>
        <w:ind w:left="0" w:firstLine="0"/>
        <w:contextualSpacing w:val="0"/>
        <w:rPr>
          <w:b w:val="0"/>
          <w:szCs w:val="22"/>
          <w:lang w:val="hy-AM"/>
        </w:rPr>
      </w:pPr>
      <w:r w:rsidRPr="007955BB">
        <w:rPr>
          <w:b w:val="0"/>
          <w:szCs w:val="22"/>
          <w:lang w:val="hy-AM"/>
        </w:rPr>
        <w:t>կատարելագործել տրանսֆերային գնագոյացման կարգավորումները,</w:t>
      </w:r>
    </w:p>
    <w:p w:rsidR="00191350" w:rsidRPr="007955BB" w:rsidRDefault="00191350" w:rsidP="00191350">
      <w:pPr>
        <w:pStyle w:val="ListParagraph"/>
        <w:numPr>
          <w:ilvl w:val="0"/>
          <w:numId w:val="18"/>
        </w:numPr>
        <w:tabs>
          <w:tab w:val="left" w:pos="567"/>
        </w:tabs>
        <w:spacing w:before="0" w:line="276" w:lineRule="auto"/>
        <w:ind w:left="0" w:firstLine="0"/>
        <w:contextualSpacing w:val="0"/>
        <w:rPr>
          <w:b w:val="0"/>
          <w:szCs w:val="22"/>
          <w:lang w:val="hy-AM"/>
        </w:rPr>
      </w:pPr>
      <w:r w:rsidRPr="007955BB">
        <w:rPr>
          <w:b w:val="0"/>
          <w:szCs w:val="22"/>
          <w:lang w:val="hy-AM"/>
        </w:rPr>
        <w:t xml:space="preserve">գնահատել </w:t>
      </w:r>
      <w:r w:rsidR="00A94018" w:rsidRPr="00A94018">
        <w:rPr>
          <w:b w:val="0"/>
          <w:szCs w:val="22"/>
          <w:lang w:val="hy-AM"/>
        </w:rPr>
        <w:t>ավելացված արժեքի հարկ</w:t>
      </w:r>
      <w:r w:rsidRPr="007955BB">
        <w:rPr>
          <w:b w:val="0"/>
          <w:szCs w:val="22"/>
          <w:lang w:val="hy-AM"/>
        </w:rPr>
        <w:t>ի</w:t>
      </w:r>
      <w:r w:rsidR="00A94018">
        <w:rPr>
          <w:b w:val="0"/>
          <w:szCs w:val="22"/>
          <w:lang w:val="hy-AM"/>
        </w:rPr>
        <w:t xml:space="preserve"> </w:t>
      </w:r>
      <w:r w:rsidR="00A94018" w:rsidRPr="00A94018">
        <w:rPr>
          <w:b w:val="0"/>
          <w:szCs w:val="22"/>
          <w:lang w:val="hy-AM"/>
        </w:rPr>
        <w:t>(այսուհետ՝ ԱԱՀ)</w:t>
      </w:r>
      <w:r w:rsidRPr="007955BB">
        <w:rPr>
          <w:b w:val="0"/>
          <w:szCs w:val="22"/>
          <w:lang w:val="hy-AM"/>
        </w:rPr>
        <w:t>, շահութահարկի և եկամտային հարկի կարգապահական ճեղքը և խստացնել հսկողությունը կարգապահական ճեղքի առավել մեծ աճ արձանագրած ոլորտներում,</w:t>
      </w:r>
    </w:p>
    <w:p w:rsidR="00191350" w:rsidRPr="007955BB" w:rsidRDefault="00191350" w:rsidP="00191350">
      <w:pPr>
        <w:pStyle w:val="ListParagraph"/>
        <w:numPr>
          <w:ilvl w:val="0"/>
          <w:numId w:val="18"/>
        </w:numPr>
        <w:tabs>
          <w:tab w:val="left" w:pos="567"/>
        </w:tabs>
        <w:spacing w:before="0" w:line="276" w:lineRule="auto"/>
        <w:ind w:left="0" w:firstLine="0"/>
        <w:contextualSpacing w:val="0"/>
        <w:rPr>
          <w:b w:val="0"/>
          <w:szCs w:val="22"/>
          <w:lang w:val="hy-AM"/>
        </w:rPr>
      </w:pPr>
      <w:r w:rsidRPr="007955BB">
        <w:rPr>
          <w:b w:val="0"/>
          <w:szCs w:val="22"/>
          <w:lang w:val="hy-AM"/>
        </w:rPr>
        <w:t>կատարելագործել մաքսային և հարկային ռիսկերի կառավարման համակարգերը` հսկողության ենթակա տնտեսավարող սուբյեկտների առավել թիրախային ընտրության նպատակով,</w:t>
      </w:r>
    </w:p>
    <w:p w:rsidR="00191350" w:rsidRPr="007955BB" w:rsidRDefault="00191350" w:rsidP="00191350">
      <w:pPr>
        <w:pStyle w:val="ListParagraph"/>
        <w:numPr>
          <w:ilvl w:val="0"/>
          <w:numId w:val="18"/>
        </w:numPr>
        <w:tabs>
          <w:tab w:val="left" w:pos="567"/>
        </w:tabs>
        <w:spacing w:before="0" w:line="276" w:lineRule="auto"/>
        <w:ind w:left="0" w:firstLine="0"/>
        <w:contextualSpacing w:val="0"/>
        <w:rPr>
          <w:b w:val="0"/>
          <w:szCs w:val="22"/>
          <w:lang w:val="hy-AM"/>
        </w:rPr>
      </w:pPr>
      <w:r w:rsidRPr="007955BB">
        <w:rPr>
          <w:b w:val="0"/>
          <w:szCs w:val="22"/>
          <w:lang w:val="hy-AM"/>
        </w:rPr>
        <w:t>ներդնել «Սպասվող բեռների մասին նախնական տեղեկատվության» (advance Cargo info.) համակարգը և ինտեգրել այն ռիսկերի կառավարման համակարգին,</w:t>
      </w:r>
    </w:p>
    <w:p w:rsidR="00191350" w:rsidRPr="007955BB" w:rsidRDefault="00191350" w:rsidP="00191350">
      <w:pPr>
        <w:pStyle w:val="ListParagraph"/>
        <w:numPr>
          <w:ilvl w:val="0"/>
          <w:numId w:val="18"/>
        </w:numPr>
        <w:tabs>
          <w:tab w:val="left" w:pos="567"/>
        </w:tabs>
        <w:spacing w:before="0" w:line="276" w:lineRule="auto"/>
        <w:ind w:left="0" w:firstLine="0"/>
        <w:contextualSpacing w:val="0"/>
        <w:rPr>
          <w:b w:val="0"/>
          <w:szCs w:val="22"/>
          <w:lang w:val="hy-AM"/>
        </w:rPr>
      </w:pPr>
      <w:r w:rsidRPr="007955BB">
        <w:rPr>
          <w:b w:val="0"/>
          <w:szCs w:val="22"/>
          <w:lang w:val="hy-AM"/>
        </w:rPr>
        <w:t>ՀՀ պետական սահմանի անցման կետերում գործող այլ համակարգերն ինտեգրել «ՀՀ արտաքին առևտրի ազգային մեկ պատուհան» համակարգին,</w:t>
      </w:r>
    </w:p>
    <w:p w:rsidR="00191350" w:rsidRPr="007955BB" w:rsidRDefault="00191350" w:rsidP="00191350">
      <w:pPr>
        <w:pStyle w:val="ListParagraph"/>
        <w:numPr>
          <w:ilvl w:val="0"/>
          <w:numId w:val="18"/>
        </w:numPr>
        <w:tabs>
          <w:tab w:val="left" w:pos="567"/>
        </w:tabs>
        <w:spacing w:before="0" w:line="276" w:lineRule="auto"/>
        <w:ind w:left="0" w:firstLine="0"/>
        <w:contextualSpacing w:val="0"/>
        <w:rPr>
          <w:b w:val="0"/>
          <w:szCs w:val="22"/>
          <w:lang w:val="hy-AM"/>
        </w:rPr>
      </w:pPr>
      <w:r w:rsidRPr="007955BB">
        <w:rPr>
          <w:b w:val="0"/>
          <w:szCs w:val="22"/>
          <w:lang w:val="hy-AM"/>
        </w:rPr>
        <w:t xml:space="preserve">շարունակել «Հարկվող բազայի քայքայումը և շահույթի տեղաշարժ» ծրագրի` հարկային մարմնի գործառույթներին առնչվող ստանդարտների կիրառումն ապահովող աշխատանքների իրականացումը, </w:t>
      </w:r>
    </w:p>
    <w:p w:rsidR="00191350" w:rsidRPr="007955BB" w:rsidRDefault="00191350" w:rsidP="00191350">
      <w:pPr>
        <w:pStyle w:val="ListParagraph"/>
        <w:numPr>
          <w:ilvl w:val="0"/>
          <w:numId w:val="18"/>
        </w:numPr>
        <w:tabs>
          <w:tab w:val="left" w:pos="567"/>
        </w:tabs>
        <w:spacing w:before="0" w:line="276" w:lineRule="auto"/>
        <w:ind w:left="0" w:firstLine="0"/>
        <w:contextualSpacing w:val="0"/>
        <w:rPr>
          <w:b w:val="0"/>
          <w:szCs w:val="22"/>
          <w:lang w:val="hy-AM"/>
        </w:rPr>
      </w:pPr>
      <w:r w:rsidRPr="007955BB">
        <w:rPr>
          <w:b w:val="0"/>
          <w:szCs w:val="22"/>
          <w:lang w:val="hy-AM"/>
        </w:rPr>
        <w:t>ոլորտային կարգապահության բարելավման ծրագրերի մշակման, իրականացման և  մոնիթորինգի միջոցով բարելավել ընտրված ոլորտների կարգապահության մակարդակը,</w:t>
      </w:r>
    </w:p>
    <w:p w:rsidR="00191350" w:rsidRPr="007955BB" w:rsidRDefault="00191350" w:rsidP="00191350">
      <w:pPr>
        <w:pStyle w:val="ListParagraph"/>
        <w:numPr>
          <w:ilvl w:val="0"/>
          <w:numId w:val="18"/>
        </w:numPr>
        <w:tabs>
          <w:tab w:val="left" w:pos="567"/>
        </w:tabs>
        <w:spacing w:before="0" w:line="276" w:lineRule="auto"/>
        <w:ind w:left="0" w:firstLine="0"/>
        <w:contextualSpacing w:val="0"/>
        <w:rPr>
          <w:b w:val="0"/>
          <w:szCs w:val="22"/>
          <w:lang w:val="hy-AM"/>
        </w:rPr>
      </w:pPr>
      <w:r w:rsidRPr="007955BB">
        <w:rPr>
          <w:b w:val="0"/>
          <w:szCs w:val="22"/>
          <w:lang w:val="hy-AM"/>
        </w:rPr>
        <w:t>հարկային վարչարարության արդյունավետության բարձրացման և ռիսկերի կառավարման նպատակով բարելավել և ընդլայնել երրորդ անձանցից ստացվող տեղեկատվության շրջանակը,</w:t>
      </w:r>
    </w:p>
    <w:p w:rsidR="00191350" w:rsidRPr="007955BB" w:rsidRDefault="00191350" w:rsidP="00F04DA1">
      <w:pPr>
        <w:pStyle w:val="ListParagraph"/>
        <w:numPr>
          <w:ilvl w:val="0"/>
          <w:numId w:val="39"/>
        </w:numPr>
        <w:tabs>
          <w:tab w:val="left" w:pos="567"/>
        </w:tabs>
        <w:spacing w:before="0" w:line="276" w:lineRule="auto"/>
        <w:ind w:left="0" w:firstLine="0"/>
        <w:contextualSpacing w:val="0"/>
        <w:rPr>
          <w:b w:val="0"/>
          <w:szCs w:val="22"/>
          <w:lang w:val="hy-AM"/>
        </w:rPr>
      </w:pPr>
      <w:r w:rsidRPr="007955BB">
        <w:rPr>
          <w:b w:val="0"/>
          <w:szCs w:val="22"/>
          <w:lang w:val="hy-AM"/>
        </w:rPr>
        <w:t xml:space="preserve">ներկայիս փոփոխվող միջավայրում ՊԵԿ-ի՝ ժամանակի փոփոխություններին արագ արձագանքելու կարողության ընդլայնում։ Այդ նպատակով համակարգում անհրաժեշտ կառուցվածքային փոփոխությունների իրականացումը, մարդկային ռեսուրսների կառավարման համակարգի կատարելագործումը, ՊԵԿ աշխատակիցների մասնագիտական կարողությունների ընդլայնումը, սոցիալական, մոտիվացիոն երաշխիքների համակարգերի ներդրումը հանդիսանալու են ՊԵԿ կարողությունների զարգացման առանցքային ուղղությունը: Աշխատանքներն ուղղված են լինելու միջազգային լավագույն փորձին համահունչ՝ </w:t>
      </w:r>
      <w:r w:rsidR="00E77748">
        <w:rPr>
          <w:b w:val="0"/>
          <w:szCs w:val="22"/>
          <w:lang w:val="hy-AM"/>
        </w:rPr>
        <w:t>ՊԵԿ-</w:t>
      </w:r>
      <w:r w:rsidRPr="007955BB">
        <w:rPr>
          <w:b w:val="0"/>
          <w:szCs w:val="22"/>
          <w:lang w:val="hy-AM"/>
        </w:rPr>
        <w:t>ում հարկային և մաքսային ծառայողների մասով մարդկային ռեսուրսների կառավարման մրցունակ համակարգի ներդրմանը, ինչի արդյունքում ծառայության շարքերը համալրվելու են մասնագիտական բարձր կարողություններով և բարեվարքության հատուկ նորմերով առաջնորդվող պատասխանատու աշխատակիցներով,</w:t>
      </w:r>
    </w:p>
    <w:p w:rsidR="00191350" w:rsidRPr="007955BB" w:rsidRDefault="00191350" w:rsidP="00F04DA1">
      <w:pPr>
        <w:pStyle w:val="ListParagraph"/>
        <w:numPr>
          <w:ilvl w:val="0"/>
          <w:numId w:val="39"/>
        </w:numPr>
        <w:tabs>
          <w:tab w:val="left" w:pos="567"/>
        </w:tabs>
        <w:spacing w:before="0" w:line="276" w:lineRule="auto"/>
        <w:ind w:left="0" w:firstLine="0"/>
        <w:contextualSpacing w:val="0"/>
        <w:rPr>
          <w:b w:val="0"/>
          <w:szCs w:val="22"/>
          <w:lang w:val="hy-AM"/>
        </w:rPr>
      </w:pPr>
      <w:r w:rsidRPr="007955BB">
        <w:rPr>
          <w:b w:val="0"/>
          <w:szCs w:val="22"/>
          <w:lang w:val="hy-AM"/>
        </w:rPr>
        <w:t>հասարակության հետ երկխոսության (փոխշահավետ համագործակցության) և վստահության ամրապնդում, որի շրջանակներում ՊԵԿ-ն ապահովելու է իր գործունեության բավարար թափանցիկությունը` ԶԼՄ-ներով և տեղեկատվական այլ հարթակներով լայնորեն լուսաբանելով և ներկայացնելով  կոմիտեի գործունեության արդյունքները և առաջիկա ծրագրերը:</w:t>
      </w:r>
    </w:p>
    <w:p w:rsidR="005F226A" w:rsidRPr="007955BB" w:rsidRDefault="005F226A" w:rsidP="008F5CA2">
      <w:pPr>
        <w:pStyle w:val="BodyText2"/>
      </w:pPr>
    </w:p>
    <w:p w:rsidR="005F226A" w:rsidRPr="007955BB"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91" w:name="_Toc26174911"/>
      <w:bookmarkStart w:id="92" w:name="_Toc83567459"/>
      <w:bookmarkStart w:id="93" w:name="_Toc120805187"/>
      <w:r w:rsidRPr="007955BB">
        <w:rPr>
          <w:rFonts w:cs="Arial"/>
          <w:szCs w:val="22"/>
          <w:lang w:val="hy-AM" w:eastAsia="en-US"/>
        </w:rPr>
        <w:t>Անշարժ գույքի կադաստր</w:t>
      </w:r>
      <w:bookmarkEnd w:id="91"/>
      <w:bookmarkEnd w:id="92"/>
      <w:bookmarkEnd w:id="93"/>
      <w:r w:rsidRPr="007955BB">
        <w:rPr>
          <w:rFonts w:cs="Arial"/>
          <w:szCs w:val="22"/>
          <w:lang w:val="hy-AM" w:eastAsia="en-US"/>
        </w:rPr>
        <w:t xml:space="preserve"> </w:t>
      </w:r>
    </w:p>
    <w:p w:rsidR="00417CC4" w:rsidRPr="007955BB" w:rsidRDefault="00417CC4" w:rsidP="00417CC4">
      <w:pPr>
        <w:tabs>
          <w:tab w:val="left" w:pos="567"/>
          <w:tab w:val="left" w:pos="720"/>
          <w:tab w:val="left" w:pos="900"/>
          <w:tab w:val="left" w:pos="1080"/>
        </w:tabs>
        <w:spacing w:before="0" w:line="276" w:lineRule="auto"/>
        <w:ind w:firstLine="720"/>
        <w:contextualSpacing w:val="0"/>
        <w:rPr>
          <w:rFonts w:cs="Sylfaen"/>
          <w:b w:val="0"/>
          <w:szCs w:val="22"/>
          <w:lang w:val="hy-AM"/>
        </w:rPr>
      </w:pPr>
      <w:bookmarkStart w:id="94" w:name="_Toc26174912"/>
      <w:r w:rsidRPr="007955BB">
        <w:rPr>
          <w:rFonts w:cs="Sylfaen"/>
          <w:b w:val="0"/>
          <w:szCs w:val="22"/>
          <w:lang w:val="hy-AM"/>
        </w:rPr>
        <w:t>Հայաստանի Հանրապետությունում արդեն ներդրվել է անշարժ գույքի միասնական գնահատման և հարկման համակարգ, որը հնարավորություն է տալիս անշարժ գույքի հարկով արդարացի հարկման մեխանիզմներ իրականացնել, ապահովել անշարժ գույքի շուկայի գնային իրավիճակի վերաբերյալ վերլուծական տեղեկատվական բազայի ստեղծումը:</w:t>
      </w:r>
    </w:p>
    <w:p w:rsidR="00417CC4" w:rsidRPr="007955BB" w:rsidRDefault="00417CC4" w:rsidP="00417CC4">
      <w:pPr>
        <w:tabs>
          <w:tab w:val="left" w:pos="567"/>
          <w:tab w:val="left" w:pos="720"/>
          <w:tab w:val="left" w:pos="900"/>
          <w:tab w:val="left" w:pos="1080"/>
        </w:tabs>
        <w:spacing w:before="0" w:line="276" w:lineRule="auto"/>
        <w:ind w:firstLine="720"/>
        <w:contextualSpacing w:val="0"/>
        <w:rPr>
          <w:rFonts w:cs="Sylfaen"/>
          <w:b w:val="0"/>
          <w:szCs w:val="22"/>
          <w:lang w:val="hy-AM"/>
        </w:rPr>
      </w:pPr>
      <w:r w:rsidRPr="007955BB">
        <w:rPr>
          <w:rFonts w:cs="Sylfaen"/>
          <w:b w:val="0"/>
          <w:szCs w:val="22"/>
          <w:lang w:val="hy-AM"/>
        </w:rPr>
        <w:t xml:space="preserve">   Բարեփոխումներ են իրականացվել նաև գույքի շուկայական գնահատման ոլորտում, մասնավորապես օրենսդրական փոփոխություններով կկարգավորվեն նաև  ոչ միայն անշարժ գույքի, այլ նաև գույքի մյուս տեսակների՝ շարժական, բիզնեսի, ոչ նյութական ակտիվների և այլն շուկայական գնահատումները:</w:t>
      </w:r>
    </w:p>
    <w:p w:rsidR="00417CC4" w:rsidRPr="007955BB" w:rsidRDefault="00417CC4" w:rsidP="00417CC4">
      <w:pPr>
        <w:tabs>
          <w:tab w:val="left" w:pos="567"/>
          <w:tab w:val="left" w:pos="720"/>
          <w:tab w:val="left" w:pos="900"/>
          <w:tab w:val="left" w:pos="1080"/>
        </w:tabs>
        <w:spacing w:before="0" w:line="276" w:lineRule="auto"/>
        <w:ind w:firstLine="720"/>
        <w:contextualSpacing w:val="0"/>
        <w:rPr>
          <w:rFonts w:cs="Sylfaen"/>
          <w:b w:val="0"/>
          <w:szCs w:val="22"/>
          <w:lang w:val="hy-AM"/>
        </w:rPr>
      </w:pPr>
      <w:r w:rsidRPr="007955BB">
        <w:rPr>
          <w:rFonts w:cs="Sylfaen"/>
          <w:b w:val="0"/>
          <w:szCs w:val="22"/>
          <w:lang w:val="hy-AM"/>
        </w:rPr>
        <w:t xml:space="preserve">Նշված ռազմավարության պահանջների խթանումը գեոդեզիական, քարտեզագրական և երկրատեղեկատվական համակարգի հիման վրա Հայաստանի Հանրապետության ինտեգրված, միասնական կադաստրի ստեղծումն է։ Ստեղծված քարտեզագեոդեզիական հիմքով երկրատեղեկատվական համակարգը հանդիսանալու է գերատեսչական տարբեր ոլորտների և առանձին տարածքների զարգացման ու արդյունավետ պլանավորման համար՝ որպես բազա: </w:t>
      </w:r>
    </w:p>
    <w:p w:rsidR="000825DA" w:rsidRPr="007955BB" w:rsidRDefault="000825D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p>
    <w:p w:rsidR="005F226A" w:rsidRPr="007955BB"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95" w:name="_Toc83567460"/>
      <w:bookmarkStart w:id="96" w:name="_Toc120805188"/>
      <w:r w:rsidRPr="007955BB">
        <w:rPr>
          <w:rFonts w:cs="Arial"/>
          <w:szCs w:val="22"/>
          <w:lang w:val="hy-AM" w:eastAsia="en-US"/>
        </w:rPr>
        <w:t>Հասարակական կարգի պահպանություն</w:t>
      </w:r>
      <w:bookmarkEnd w:id="94"/>
      <w:bookmarkEnd w:id="95"/>
      <w:bookmarkEnd w:id="96"/>
      <w:r w:rsidRPr="007955BB">
        <w:rPr>
          <w:rFonts w:cs="Arial"/>
          <w:szCs w:val="22"/>
          <w:lang w:val="hy-AM" w:eastAsia="en-US"/>
        </w:rPr>
        <w:t xml:space="preserve"> </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ՀՀ կառավարության գործունեության հիմնարար ուղենիշներին համահունչ ոստիկանության կարևորագույն հայեցակարգային խնդիրը, ոստիկանությունում մեկնարկած բարեփոխումների նպատակը ժամանակակից մարտահրավերներին դիմակայող, մասնագիտացված ու տեխնիկապես հագեցած, բարեվարք և հարգանքի արժանի ոստիկանության վերափոխումն ու ժողովրդավարական իրավակարգին բնորոշ նոր ոստիկանի կերպարի ստեղծումն է։</w:t>
      </w:r>
      <w:r w:rsidRPr="007955BB">
        <w:rPr>
          <w:rFonts w:ascii="Calibri" w:hAnsi="Calibri" w:cs="Calibri"/>
          <w:b w:val="0"/>
          <w:szCs w:val="22"/>
          <w:lang w:val="hy-AM"/>
        </w:rPr>
        <w:t> </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 xml:space="preserve">Նշված նպատակադրումների իրականացմանն ուղղված միջոցառումները, որոնք ներառվել են 2020 թվականի ապրիլի 23-ին ՀՀ կառավարության կողմից ընդունված «Ոստիկանության բարեփոխումների ռազմավարությունը և դրանից բխող գործողությունների ծրագիրը հաստատելու մասին» (այսուհետ՝ Ռազմավարություն) թիվ 638-Լ որոշման մեջ, հանդիսանում են ոստիկանության գործունեության ոլորտում առաջիկա տարիներին նախատեսվող  բարեփոխումների հիմքը: </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Ռազմավարությամբ նախատեսված առաջնահերթ ուղղություններն են.</w:t>
      </w:r>
    </w:p>
    <w:p w:rsidR="00CF53E6" w:rsidRPr="007955BB" w:rsidRDefault="00CF53E6" w:rsidP="00CF53E6">
      <w:pPr>
        <w:tabs>
          <w:tab w:val="left" w:pos="567"/>
        </w:tabs>
        <w:spacing w:before="0" w:line="276" w:lineRule="auto"/>
        <w:ind w:firstLine="720"/>
        <w:rPr>
          <w:szCs w:val="22"/>
          <w:lang w:val="hy-AM"/>
        </w:rPr>
      </w:pPr>
      <w:r w:rsidRPr="007955BB">
        <w:rPr>
          <w:szCs w:val="22"/>
          <w:lang w:val="hy-AM"/>
        </w:rPr>
        <w:t>Կառուցվածքային փոփոխություններ և գործառույթների հստակեցում.</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Ժողովրդավարական խորհրդարանական պետությանը բնորոշ կառուցվածքով և գործառույթներով օժտված Ներքին գործերի նախարարության ստեղծումն է, որը կապահովի իր համակարգման ոլորտների /ոստիկանություն, միգրացիա և քաղաքացիություն, մյուս ծառայություններ/ քաղաքականության մշակումը և կկրի պատասխանատվություն ոլորտի քաղաքականության համար: Նախարարության ձևավորումը թույլ կտա ապահովել ոլորտի թե խորհրդարանական և թե քաղաքացիական վերահսկողությունը, ինչպես նաև հաշվետվողական գործելակերպը:</w:t>
      </w:r>
    </w:p>
    <w:p w:rsidR="00CF53E6" w:rsidRPr="007955BB" w:rsidRDefault="00CF53E6" w:rsidP="00CF53E6">
      <w:pPr>
        <w:tabs>
          <w:tab w:val="left" w:pos="567"/>
        </w:tabs>
        <w:spacing w:before="0" w:line="276" w:lineRule="auto"/>
        <w:ind w:firstLine="720"/>
        <w:rPr>
          <w:szCs w:val="22"/>
          <w:lang w:val="hy-AM"/>
        </w:rPr>
      </w:pPr>
      <w:r w:rsidRPr="007955BB">
        <w:rPr>
          <w:szCs w:val="22"/>
          <w:lang w:val="hy-AM"/>
        </w:rPr>
        <w:t>Պարեկային ծառայության և Օպերատիվ կառավարման կենտրոնի ստեղծում.</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2021 թվականի հուլիսի 7-ին Պարեկային ծառայության, Պարեկային ծառայության Երևան քաղաքի ստորաբաժանման և Օպերատիվ կառավարման կենտրոնի գործարկումից հետո` ծառայությունների ներդրման շարունակականությունն ապահովելու նպատակով, 2022 թվականի ընթացքում կգործարկվեն 6 մարզերում, իսկ 2023 թվականի ընթացքում՝ մյուս 4 մարզերում։</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 xml:space="preserve">Պարեկային ծառայությունը, հագեցված լինելով նորագույն տեխնոլոգիաներով, քաղաքացիներին մատուցում է նոր որակի ծառայություն, ինչը կդրսևորվի քաղաքացիների իրավունքների և օրինական շահերի առավել արդյունավետ պաշտպանությամբ, իրավախախտումներին և հանրորեն վտանգավոր դեպքերին արագ (օպերատիվ) արձագանքմամբ, երթևեկության կազմակերպմամբ, հանցագործությունների և պատահարների վերաբերյալ հաղորդումների հավաքագրման ժամանակակից համակարգի ստեղծմամբ, ոստիկանական ուժերի ու միջոցների առավել օպերատիվ կառավարմամբ, իրավախախտումների արդյունավետ կանխարգելմամբ: Պարեկային ծառայության հիմնական խնդիրներից է լինելու ցանկացած դժվարին իրավիճակում հայտնված քաղաքացուն գործնական աջակցության ցուցաբերումը: </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Պարեկային ծառայությանը զուգահեռ, հանրապետության ողջ տարածքում գործարկվելու է նաև օպերատիվ կառավարման կենտրոնը, որը հանդիսանալու է քաղաքացիներից ահազանգերի ընդունման կենտրոն և րոպեների ընթացքում տալու է անհրաժեշտ խորհրդատվություն, իսկ անհրաժեշտության դեպքում մոտեցնելու է պարեկային կարգախումբը։</w:t>
      </w:r>
    </w:p>
    <w:p w:rsidR="00CF53E6" w:rsidRPr="007955BB" w:rsidRDefault="00CF53E6" w:rsidP="00CF53E6">
      <w:pPr>
        <w:tabs>
          <w:tab w:val="left" w:pos="567"/>
        </w:tabs>
        <w:spacing w:before="0" w:line="276" w:lineRule="auto"/>
        <w:ind w:firstLine="720"/>
        <w:rPr>
          <w:szCs w:val="22"/>
          <w:lang w:val="hy-AM"/>
        </w:rPr>
      </w:pPr>
      <w:r w:rsidRPr="007955BB">
        <w:rPr>
          <w:szCs w:val="22"/>
          <w:lang w:val="hy-AM"/>
        </w:rPr>
        <w:t>Նախաքննության արդյունավետություն.</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 քրեադատավարական նոր օրենսդրության կարգավորումների լույսի ներքո քրեական դատավարության կարգով իրականացվող նախաքննության առումով ոստիկանության գործառույթների հստակեցում՝ հաշվի առնելով, որ քննչական մարմինների գործող մոդելի պարագայում ոստիկանության համակարգի ողջ ռեսուրսը դուրս է մնում քրեական գործերի նախաքննության գործառույթներից, ինչը բացի հանցավորության դեմ արդյունավետ պայքարի խնդրից, խնդրահարույց է նաև պետության տրամադրության տակ եղած ռեսուրսների արդյունավետ տնօրինման տեսանկյունից,</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 երկարաժամկետ հեռանկարում քրեական ոստիկանությունում քննչական ու օպերատիվ ֆունկցիաների միավորմամբ դետեկտիվների ինստիտուտի ներդրում, որի ծառայողները լիազորված կլինեն ամբողջական քննություն իրականացնել առանձին հանցագործությունների դեպքերով:</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 ՀՀ քրեական դատավարության օրենսգրքի 98-րդ հոդվածի դրույթներից է բխում, որ քրեական դատավարությանը մասնակցող կամ հանցագործության մասին հաղորդում տվող</w:t>
      </w:r>
      <w:r w:rsidRPr="007955BB">
        <w:rPr>
          <w:rFonts w:ascii="Calibri" w:hAnsi="Calibri" w:cs="Calibri"/>
          <w:b w:val="0"/>
          <w:szCs w:val="22"/>
          <w:lang w:val="hy-AM"/>
        </w:rPr>
        <w:t> </w:t>
      </w:r>
      <w:r w:rsidRPr="007955BB">
        <w:rPr>
          <w:b w:val="0"/>
          <w:szCs w:val="22"/>
          <w:lang w:val="hy-AM"/>
        </w:rPr>
        <w:t xml:space="preserve"> յուրաքանչյուր անձ, ով կարող է հաղորդել տվյալներ, որոնք նշանակություն ունեն հանցագործությունը բացահայտելու և դրա կատարողին հայտնաբերելու համար, ինչի հետևանքով կարող են վտանգվել նրա, նրա ընտանիքի անդամի, մերձավոր ազգականի կամ մերձավորի կյանքը, առողջությունը, գույքը, իրավունքներն ու օրինական շահերը, ունի պաշտպանության իրավունք: Նշված անձանց պաշտպանության իրականացումն ապահովելու նպատակով, արդեն իսկ ընդունված օրենսդրական համապատասխան ակտերի հիման վրա ոստիկանությունում նախատեսվում է ստեղծել քրեական դատավարությանը մասնակցող կամ հանցագործության մասին հաղորդում տվող անձի, նրա ընտանիքի անդամի, մերձավոր ազգականի կամ մերձավորի (այսուհետ՝ պաշտպանության ենթակա անձ) պաշտպանություն իրականացնող մասնագիտացված ստորաբաժանում, ինչը կբարձրացնի օրենքով պաշտպանության ենթակա անձանց անվտանգության ապահովման մակարդակը:</w:t>
      </w:r>
    </w:p>
    <w:p w:rsidR="00CF53E6" w:rsidRPr="007955BB" w:rsidRDefault="00CF53E6" w:rsidP="00CF53E6">
      <w:pPr>
        <w:tabs>
          <w:tab w:val="left" w:pos="567"/>
        </w:tabs>
        <w:spacing w:before="0" w:line="276" w:lineRule="auto"/>
        <w:ind w:firstLine="720"/>
        <w:rPr>
          <w:szCs w:val="22"/>
          <w:lang w:val="hy-AM"/>
        </w:rPr>
      </w:pPr>
      <w:r w:rsidRPr="007955BB">
        <w:rPr>
          <w:szCs w:val="22"/>
          <w:lang w:val="hy-AM"/>
        </w:rPr>
        <w:t>Հասարակական կարգի պահպանություն.</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Ոստիկանության հասարակական կարգը պահպանող ծառայությունների հատուկ կարողությունների զարգացում ու տակտիկական արդյունավետ լուծումների ներդրում, բանակցային ու հաղորդակցության կարողությունների զարգացում, իրավապահ համակարգում մարդու իրավունքների ստանդարտների վերաբերյալ վերապատրաստում, ինչպես նաև տեխնիկական հագեցվածության և սպառազինության բարելավում։</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Զանգվածային միջոցառումների ընթացքում ոստիկանական գործունեության արդյունավետության բարձրացման և ոստիկանություն-հասարակություն համագործակցության ու վստահության մթնոլորտի ամրապնդման, ինչպես նաև հասարակական անվտանգության արդյունավետ կառավարման նպատակով, «Հայաստանում ոստիկանություն-հասարակության համագործակցության ամրապնդում» ծրագրի շրջանակներում ԵԱՀԿ կողմից աջակցություն կցուցաբերվի Ոստիկանությանը՝ բանակցային ոստիկանության ներդրման գործում։</w:t>
      </w:r>
    </w:p>
    <w:p w:rsidR="00CF53E6" w:rsidRPr="007955BB" w:rsidRDefault="00CF53E6" w:rsidP="00CF53E6">
      <w:pPr>
        <w:tabs>
          <w:tab w:val="left" w:pos="567"/>
        </w:tabs>
        <w:spacing w:before="0" w:line="276" w:lineRule="auto"/>
        <w:ind w:firstLine="720"/>
        <w:rPr>
          <w:szCs w:val="22"/>
          <w:lang w:val="hy-AM"/>
        </w:rPr>
      </w:pPr>
      <w:r w:rsidRPr="007955BB">
        <w:rPr>
          <w:szCs w:val="22"/>
          <w:lang w:val="hy-AM"/>
        </w:rPr>
        <w:t>Համայնքային ոստիկանության վերաիմաստավորում.</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Ոստիկանության առաջնահերթություններից է նաև Համայնքային ոստիկանության գործառույթների վերանայումը (օրենսդրական և կառուցվածքային առումներով), որոնք հաճախ կրկնվում են որոշ դեպքերում՝ պրոբացիայի ծառայության, մյուս դեպքերում սոցիալական ծառայությունների գործառույթների հետ։</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Այս ուղղությամբ տարվող աշխատանքները դիտարկում ենք նաև Ոստիկանության և պետական այլ մարմինների հետ իրականացվող համագործակցության շրջանակներում գործառույթների անհստակության ու կրկնակիության վերացման, ինչպես նաև որոշակիության ապահովման համատեքստում:</w:t>
      </w:r>
    </w:p>
    <w:p w:rsidR="00CF53E6" w:rsidRPr="007955BB" w:rsidRDefault="00CF53E6" w:rsidP="00CF53E6">
      <w:pPr>
        <w:tabs>
          <w:tab w:val="left" w:pos="567"/>
        </w:tabs>
        <w:spacing w:before="0" w:line="276" w:lineRule="auto"/>
        <w:ind w:firstLine="720"/>
        <w:rPr>
          <w:szCs w:val="22"/>
          <w:lang w:val="hy-AM"/>
        </w:rPr>
      </w:pPr>
      <w:r w:rsidRPr="007955BB">
        <w:rPr>
          <w:szCs w:val="22"/>
          <w:lang w:val="hy-AM"/>
        </w:rPr>
        <w:t>Ոստիկանության զորքերի վերակազմավորում.</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 xml:space="preserve">Ոստիկանության զորքերի կարգավիճակի վերանայման, խնդիրների և գործառույթների վերաիմաստավորման, ֆունկցիոնալ և ռազմավարական խնդիրները սպասարկելու ունակ և ՀՀ-ին համապատասխանող մոդելների վերհանման նպատակով՝ Ոստիկանության զորքերի ծառայության կազմակերպաիրավական նոր ձևի սահմանման շրջանակներում կուսումնասիրվի միջազգային առաջավոր փորձը, որի արդյունքներով կազմված առաջարկությունների փաթեթը և դրանից բխող օրենսդրական փաթեթը կներկայացվի կառավարության քննարկմանը։ </w:t>
      </w:r>
    </w:p>
    <w:p w:rsidR="00CF53E6" w:rsidRPr="007955BB" w:rsidRDefault="00CF53E6" w:rsidP="00CF53E6">
      <w:pPr>
        <w:tabs>
          <w:tab w:val="left" w:pos="567"/>
        </w:tabs>
        <w:spacing w:before="0" w:line="276" w:lineRule="auto"/>
        <w:ind w:firstLine="720"/>
        <w:rPr>
          <w:b w:val="0"/>
          <w:szCs w:val="22"/>
          <w:lang w:val="hy-AM"/>
        </w:rPr>
      </w:pPr>
      <w:r w:rsidRPr="007955BB">
        <w:rPr>
          <w:szCs w:val="22"/>
          <w:lang w:val="hy-AM"/>
        </w:rPr>
        <w:t>Սեփականության դեմ ուղղված հանցագործությունների կանխարգելման համակարգի վերակազմակերպում:</w:t>
      </w:r>
      <w:r w:rsidRPr="007955BB">
        <w:rPr>
          <w:b w:val="0"/>
          <w:szCs w:val="22"/>
          <w:lang w:val="hy-AM"/>
        </w:rPr>
        <w:t xml:space="preserve"> Տվյալ դեպքում առաջնահերթ է համարվում հետևյալ միջոցառումները.</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 xml:space="preserve">Ոստիկանությունն իր մասնագիտացված ստորաբաժանումների միջոցով  իրականացնելու է ռազմավարական և հատուկ կարևորության օբյեկտների պահպանությունը՝ բացառապես պետական բյուջեից հատկացումների հաշվին. </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 xml:space="preserve">Սեփականության դեմ ուղղված հանցագործությունների կանխարգելումը խթանելու նպատակով նշված ստորաբաժանումները մասնավոր օբյեկտների պաշտպանությունը պետք է իրականացնեն բացառապես տեխնիկական միջոցներով՝ ոստիկանության ստորաբաժանումներին միացված ահազանգման համակարգերով: </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Ըստ այդմ, օբյեկտների պահակային պահպանությունը նախատեսվում  է թողնել մասնավոր պահնորդական կազմակերպություններին, այն համոզմամբ, որ ոստիկանական արագ արձագանքման ուժերի պրոֆեսիոնալիզմը մասնավոր սեփականատերերի համար առավել նախընտրելի է դարձնելու համագործակցությունը հենց ոստիկանության հետ՝ տեխնիկական միջոցներով պահպանման համակարգերի օգտագործման և «տաք հետքերով» սեփականության դեմ ոտնձգող անձանց հետապնդելու եղանակներով:</w:t>
      </w:r>
    </w:p>
    <w:p w:rsidR="00CF53E6" w:rsidRPr="007955BB" w:rsidRDefault="00CF53E6" w:rsidP="00CF53E6">
      <w:pPr>
        <w:tabs>
          <w:tab w:val="left" w:pos="567"/>
        </w:tabs>
        <w:spacing w:before="0" w:line="276" w:lineRule="auto"/>
        <w:ind w:firstLine="720"/>
        <w:rPr>
          <w:szCs w:val="22"/>
          <w:lang w:val="hy-AM"/>
        </w:rPr>
      </w:pPr>
      <w:r w:rsidRPr="007955BB">
        <w:rPr>
          <w:szCs w:val="22"/>
          <w:lang w:val="hy-AM"/>
        </w:rPr>
        <w:t>Ոստիկանությունում ծառայության գրավչություն, կադրերի պատրաստում և մասնագիտական զարգացում.</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w:t>
      </w:r>
      <w:r w:rsidRPr="007955BB">
        <w:rPr>
          <w:b w:val="0"/>
          <w:szCs w:val="22"/>
          <w:lang w:val="hy-AM"/>
        </w:rPr>
        <w:tab/>
        <w:t xml:space="preserve">Կարևորելով ոստիկանության համակարգում իրականացվող բարեփոխումների, այդ թվում հակակոռուպցիոն ռազմավարության երկարաժամկետ հեռանկարում հաջող իրագործման անհրաժեշտությունը ՀՀ կառավարության 2021–2026 թվականների ծրագրով հստակ ամրագրվել է, որ. </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 xml:space="preserve">«Ոստիկանությունում ծառայության գրավչությունը բարձրացնելու նպատակով համակողմանիորեն վերանայվելու է ոստիկանության ծառայողների վարձատրության հարցը, սահմանվելու է արժանապատիվ վարձատրության չափ, որը մի կողմից գրավիչ կդարձնի ոստիկանությունում ծառայությունը, մյուս կողմից երաշխիք կհանդիսանա ծառայողներին կոռուպցիոն դրսևորումներից հնարավորինս զերծ պահելու հարցում: Ոստիկանության ծառայողների աշխատանքի վարձատրության բարելավման ուղենիշ է հանդիսանալու  պարեկային ոստիկանության և ոստիկանության մյուս ստորաբաժանումների ծառայողների ամսական աշխատավարձերի չափերի աստիճանաբար համապատասխանության ապահովումը, համահարթեցումը` ելնելով ոլորտային զարգացման որոշակի առաջնահերթություններից։ </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w:t>
      </w:r>
      <w:r w:rsidRPr="007955BB">
        <w:rPr>
          <w:b w:val="0"/>
          <w:szCs w:val="22"/>
          <w:lang w:val="hy-AM"/>
        </w:rPr>
        <w:tab/>
        <w:t>Ոստիկանության կադրերի պատրաստման, կարողությունների շարունակական զարգացման ու բարոյահոգեբանական պատրաստման, ոստիկանության ծառայողի բարեվարքության ու հակակոռուպցիոն կրթություն ստանալու գործող կառուցակարգերի վերանայում՝ նպատակ ունենալով ոստիկանությունում ներգրավել հանցագործությունների նկատմամբ անհանդուրժողական, իրավունքների պաշտպանությանը զգայուն և հասարակության անվտանգության հարցերով մտահոգ, բարեվարք ու հարգարժան հանրային ծառայող ոստիկաններ։ Միևնույն ժամանակ, նոր կերպարի կերտման համար առանձնահատուկ կարևոր է լինելու ոստիկանության գործի պրոֆեսիոնալների պատրաստման, ինչպես նաև փորձառու ծառայողների արժևորումն ու նրանց կողմից նորեկների համար մենթորության ու առաջնորդության ինստիտուցիոնալ ընթացակարգի ներդրումը։ Այս առումով կարևոր է լինելու ոստիկանության կրթահամալիրի կրթական ծրագրերի կազմակերպման ու բովանդակային վերանայման հարցերին լրջագույն անդրադարձը՝ ապահովելով մարդու իրավունքների վրա հիմնված մոտեցում ու միջազգային չափանիշներ:</w:t>
      </w:r>
    </w:p>
    <w:p w:rsidR="00CF53E6" w:rsidRPr="007955BB" w:rsidRDefault="00CF53E6" w:rsidP="00CF53E6">
      <w:pPr>
        <w:tabs>
          <w:tab w:val="left" w:pos="567"/>
        </w:tabs>
        <w:spacing w:before="0" w:line="276" w:lineRule="auto"/>
        <w:ind w:firstLine="720"/>
        <w:rPr>
          <w:szCs w:val="22"/>
          <w:lang w:val="hy-AM"/>
        </w:rPr>
      </w:pPr>
      <w:r w:rsidRPr="007955BB">
        <w:rPr>
          <w:szCs w:val="22"/>
          <w:lang w:val="hy-AM"/>
        </w:rPr>
        <w:t>Մարդու իրավունքների պաշտպանության հարցեր.</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 xml:space="preserve">Որպես իրավախախտների հետ շփման պետության առաջին օղակ՝ ոստիկանությունում պետք է բարելավվեն քրեաիրավական ու վարչաիրավական կարգով ներգրավվող անձանց իրավունքների պաշտպանության մեխանիզմները՝ մասնավորապես, բերման ենթարկվող անձանց իրենց հասկանալի լեզվով իրավունքների մասին գրավոր ծանուցումների, ձերբակալվածների պահման վայրերում բժշկական ծառայությունների ապահովման, ինչպես նաև ոստիկանության տարբեր ծառայությունների կողմից անձանց տվյալների պաշտպանության հարցերը: </w:t>
      </w:r>
    </w:p>
    <w:p w:rsidR="00CF53E6" w:rsidRPr="007955BB" w:rsidRDefault="00CF53E6" w:rsidP="00CF53E6">
      <w:pPr>
        <w:tabs>
          <w:tab w:val="left" w:pos="567"/>
        </w:tabs>
        <w:spacing w:before="0" w:line="276" w:lineRule="auto"/>
        <w:ind w:firstLine="720"/>
        <w:rPr>
          <w:szCs w:val="22"/>
          <w:lang w:val="hy-AM"/>
        </w:rPr>
      </w:pPr>
      <w:r w:rsidRPr="007955BB">
        <w:rPr>
          <w:szCs w:val="22"/>
          <w:lang w:val="hy-AM"/>
        </w:rPr>
        <w:t>Թափանցիկություն և հանրային հաշվետվողականություն.</w:t>
      </w:r>
    </w:p>
    <w:p w:rsidR="00CF53E6" w:rsidRPr="007955BB" w:rsidRDefault="00CF53E6" w:rsidP="00CF53E6">
      <w:pPr>
        <w:tabs>
          <w:tab w:val="left" w:pos="567"/>
        </w:tabs>
        <w:spacing w:before="0" w:line="276" w:lineRule="auto"/>
        <w:ind w:firstLine="720"/>
        <w:rPr>
          <w:b w:val="0"/>
          <w:szCs w:val="22"/>
          <w:lang w:val="hy-AM"/>
        </w:rPr>
      </w:pPr>
      <w:r w:rsidRPr="007955BB">
        <w:rPr>
          <w:b w:val="0"/>
          <w:szCs w:val="22"/>
          <w:lang w:val="hy-AM"/>
        </w:rPr>
        <w:t xml:space="preserve">Ոստիկանության աշխատանքի թափանցիկության բարելավում՝ առավել հաճախակի ու մատչելի տեղեկությունների, հաշվետվությունների և ուսումնասիրությունների վերաբերյալ տեղեկատվության տարածում, պարբերական մեդիա բրիֆինգների և հասարակայնության հետ կապերի առավել նոր ու ժամանակակից միջոցների արդյունավետ օգտագործում, ինչն առաջնային նշանակություն կունենա ոստիկանության հանդեպ հանրային դրական կարծիքի ձևավորման հարցում: </w:t>
      </w:r>
    </w:p>
    <w:p w:rsidR="00CF53E6" w:rsidRPr="007955BB" w:rsidRDefault="00CF53E6" w:rsidP="00CF53E6">
      <w:pPr>
        <w:tabs>
          <w:tab w:val="left" w:pos="567"/>
        </w:tabs>
        <w:spacing w:before="0" w:line="276" w:lineRule="auto"/>
        <w:ind w:firstLine="720"/>
        <w:rPr>
          <w:b w:val="0"/>
          <w:szCs w:val="22"/>
          <w:lang w:val="hy-AM"/>
        </w:rPr>
      </w:pPr>
    </w:p>
    <w:p w:rsidR="005F226A" w:rsidRPr="007955BB" w:rsidRDefault="005F226A" w:rsidP="005F226A">
      <w:pPr>
        <w:tabs>
          <w:tab w:val="left" w:pos="567"/>
        </w:tabs>
        <w:spacing w:before="0" w:line="276" w:lineRule="auto"/>
        <w:ind w:firstLine="720"/>
        <w:rPr>
          <w:b w:val="0"/>
          <w:szCs w:val="22"/>
          <w:lang w:val="hy-AM"/>
        </w:rPr>
      </w:pPr>
    </w:p>
    <w:p w:rsidR="005F226A" w:rsidRPr="007955BB" w:rsidRDefault="005F226A" w:rsidP="005F226A">
      <w:pPr>
        <w:pStyle w:val="Bullet"/>
        <w:spacing w:after="0" w:line="276" w:lineRule="auto"/>
        <w:ind w:left="0" w:firstLine="426"/>
        <w:rPr>
          <w:rFonts w:ascii="GHEA Grapalat" w:hAnsi="GHEA Grapalat" w:cs="Sylfaen"/>
          <w:szCs w:val="22"/>
          <w:lang w:val="hy-AM"/>
        </w:rPr>
      </w:pPr>
    </w:p>
    <w:p w:rsidR="005F226A" w:rsidRPr="007955BB" w:rsidRDefault="005F226A" w:rsidP="005F226A">
      <w:pPr>
        <w:tabs>
          <w:tab w:val="left" w:pos="567"/>
        </w:tabs>
        <w:spacing w:before="0" w:line="276" w:lineRule="auto"/>
        <w:ind w:firstLine="426"/>
        <w:rPr>
          <w:b w:val="0"/>
          <w:szCs w:val="22"/>
          <w:lang w:val="hy-AM"/>
        </w:rPr>
      </w:pPr>
    </w:p>
    <w:p w:rsidR="005F226A" w:rsidRPr="007955BB" w:rsidRDefault="005F226A" w:rsidP="005F226A">
      <w:pPr>
        <w:spacing w:before="0" w:line="276" w:lineRule="auto"/>
        <w:ind w:firstLine="0"/>
        <w:contextualSpacing w:val="0"/>
        <w:jc w:val="left"/>
        <w:rPr>
          <w:b w:val="0"/>
          <w:szCs w:val="22"/>
          <w:lang w:val="hy-AM"/>
        </w:rPr>
      </w:pPr>
    </w:p>
    <w:p w:rsidR="00E206A5" w:rsidRPr="007955BB" w:rsidRDefault="00E206A5" w:rsidP="007730AA">
      <w:pPr>
        <w:tabs>
          <w:tab w:val="left" w:pos="567"/>
        </w:tabs>
        <w:spacing w:before="0" w:line="276" w:lineRule="auto"/>
        <w:ind w:firstLine="426"/>
        <w:rPr>
          <w:b w:val="0"/>
          <w:szCs w:val="22"/>
          <w:lang w:val="hy-AM"/>
        </w:rPr>
      </w:pPr>
    </w:p>
    <w:p w:rsidR="0047224A" w:rsidRPr="007955BB" w:rsidRDefault="0047224A" w:rsidP="007730AA">
      <w:pPr>
        <w:spacing w:before="0" w:line="276" w:lineRule="auto"/>
        <w:ind w:firstLine="0"/>
        <w:contextualSpacing w:val="0"/>
        <w:jc w:val="left"/>
        <w:rPr>
          <w:b w:val="0"/>
          <w:szCs w:val="22"/>
          <w:lang w:val="hy-AM"/>
        </w:rPr>
      </w:pPr>
      <w:r w:rsidRPr="007955BB">
        <w:rPr>
          <w:b w:val="0"/>
          <w:szCs w:val="22"/>
          <w:lang w:val="hy-AM"/>
        </w:rPr>
        <w:br w:type="page"/>
      </w:r>
    </w:p>
    <w:p w:rsidR="00F04DA1" w:rsidRPr="00F04DA1" w:rsidRDefault="00F04DA1" w:rsidP="00F04DA1">
      <w:pPr>
        <w:keepNext/>
        <w:tabs>
          <w:tab w:val="left" w:pos="567"/>
        </w:tabs>
        <w:spacing w:before="0" w:line="276" w:lineRule="auto"/>
        <w:ind w:firstLine="426"/>
        <w:jc w:val="center"/>
        <w:outlineLvl w:val="0"/>
        <w:rPr>
          <w:bCs/>
          <w:sz w:val="28"/>
          <w:szCs w:val="20"/>
          <w:lang w:val="hy-AM"/>
        </w:rPr>
      </w:pPr>
      <w:bookmarkStart w:id="97" w:name="_Toc51947410"/>
      <w:bookmarkStart w:id="98" w:name="_Toc52452083"/>
      <w:bookmarkStart w:id="99" w:name="_Toc45838512"/>
      <w:bookmarkStart w:id="100" w:name="_Toc46154342"/>
      <w:bookmarkStart w:id="101" w:name="_Toc57559411"/>
      <w:bookmarkStart w:id="102" w:name="_Toc83663893"/>
      <w:bookmarkStart w:id="103" w:name="_Toc83972829"/>
      <w:bookmarkStart w:id="104" w:name="_Toc120805189"/>
      <w:bookmarkStart w:id="105" w:name="_Toc46760415"/>
      <w:r w:rsidRPr="00F04DA1">
        <w:rPr>
          <w:sz w:val="28"/>
          <w:szCs w:val="20"/>
          <w:lang w:val="hy-AM"/>
        </w:rPr>
        <w:t>ՄԱՍ I - Բ. ՄԱԿՐՈՏՆՏԵՍԱԿԱՆ ԶԱՐԳԱՑՈՒՄՆԵՐ ԵՎ ԿԱՆԽԱՏԵՍՈՒՄՆԵՐ</w:t>
      </w:r>
      <w:bookmarkEnd w:id="97"/>
      <w:bookmarkEnd w:id="98"/>
      <w:bookmarkEnd w:id="99"/>
      <w:bookmarkEnd w:id="100"/>
      <w:bookmarkEnd w:id="101"/>
      <w:bookmarkEnd w:id="102"/>
      <w:bookmarkEnd w:id="103"/>
      <w:bookmarkEnd w:id="104"/>
    </w:p>
    <w:p w:rsidR="00D178DD" w:rsidRPr="00D178DD" w:rsidRDefault="00D178DD" w:rsidP="00D178DD">
      <w:pPr>
        <w:keepNext/>
        <w:keepLines/>
        <w:spacing w:before="0" w:line="276" w:lineRule="auto"/>
        <w:outlineLvl w:val="2"/>
        <w:rPr>
          <w:b w:val="0"/>
          <w:bCs/>
          <w:sz w:val="24"/>
          <w:lang w:val="hy-AM"/>
        </w:rPr>
      </w:pPr>
      <w:bookmarkStart w:id="106" w:name="_Toc51947412"/>
      <w:bookmarkStart w:id="107" w:name="_Toc52452085"/>
      <w:bookmarkStart w:id="108" w:name="_Toc57559412"/>
      <w:bookmarkStart w:id="109" w:name="_Toc83663894"/>
      <w:bookmarkStart w:id="110" w:name="_Toc83972830"/>
      <w:bookmarkStart w:id="111" w:name="_Toc115686016"/>
      <w:bookmarkStart w:id="112" w:name="_Toc120805190"/>
      <w:bookmarkStart w:id="113" w:name="_Toc83972842"/>
      <w:bookmarkEnd w:id="105"/>
      <w:r w:rsidRPr="00D178DD">
        <w:rPr>
          <w:bCs/>
          <w:sz w:val="24"/>
          <w:lang w:val="hy-AM"/>
        </w:rPr>
        <w:t>1.1 ՄԱԿՐՈՏՆՏԵՍԱԿԱՆ ԱՄՓՈՓԱԳԻՐ ԵՎ ՇՐՋԱՆԱԿ</w:t>
      </w:r>
      <w:bookmarkEnd w:id="106"/>
      <w:bookmarkEnd w:id="107"/>
      <w:bookmarkEnd w:id="108"/>
      <w:bookmarkEnd w:id="109"/>
      <w:bookmarkEnd w:id="110"/>
      <w:bookmarkEnd w:id="111"/>
      <w:bookmarkEnd w:id="112"/>
      <w:r w:rsidRPr="00D178DD">
        <w:rPr>
          <w:bCs/>
          <w:sz w:val="24"/>
          <w:lang w:val="hy-AM"/>
        </w:rPr>
        <w:t xml:space="preserve"> </w:t>
      </w:r>
    </w:p>
    <w:p w:rsidR="00D178DD" w:rsidRPr="00D178DD" w:rsidRDefault="00D178DD" w:rsidP="00D178DD">
      <w:pPr>
        <w:numPr>
          <w:ilvl w:val="0"/>
          <w:numId w:val="24"/>
        </w:numPr>
        <w:tabs>
          <w:tab w:val="right" w:pos="0"/>
        </w:tabs>
        <w:spacing w:before="40" w:after="120" w:line="276" w:lineRule="auto"/>
        <w:contextualSpacing w:val="0"/>
        <w:rPr>
          <w:b w:val="0"/>
          <w:lang w:val="hy-AM"/>
        </w:rPr>
      </w:pPr>
      <w:r w:rsidRPr="00D178DD">
        <w:rPr>
          <w:rFonts w:eastAsia="Calibri"/>
          <w:b w:val="0"/>
          <w:lang w:val="hy-AM"/>
        </w:rPr>
        <w:t xml:space="preserve">Համավարակի հետևանքները դեռևս ամբողջությամբ չհաղթահարած ներկայումս աշխարհը բախվել է ռուս-ուկրաինական հակամարտության շուրջ առաջացրած աշխարհաքաղաքական և տնտեսական մարտահրավերներին, ինչի բացասական հետևանքներն արդեն տեսանելի են ոչ միայն տարածաշրջանում, այլ նաև ամբողջ աշխարհում։ ՀՀ հիմնական գործընկեր երկրների տնտեսություններում տեղի են ունեցել տնտեսական աճի էական դանդաղումներ՝ պայմանավորված համաշխարհային արժեշղթաների խաթարումներով,  պարենային և հումքային ապրանքների միջազգային գների բարձրացմամբ, դրանց հետևանքով առաջացած բարձր գնաճերին հակազդող աննախադեպ զսպող դրամավարկային քաղաքականություններով ու համաշխարհային ֆինանսական պայմանների խստացմամբ: Այս պայմաններում գործընկեր երկրներից ՌԴ-ում 2022-2023թթ. կանխատեսվում է տնտեսական անկում, իսկ մյուսներում՝ աճի էական դանդաղում: </w:t>
      </w:r>
    </w:p>
    <w:p w:rsidR="00D178DD" w:rsidRPr="00D178DD" w:rsidRDefault="00D178DD" w:rsidP="00D178DD">
      <w:pPr>
        <w:numPr>
          <w:ilvl w:val="0"/>
          <w:numId w:val="24"/>
        </w:numPr>
        <w:spacing w:line="276" w:lineRule="auto"/>
        <w:rPr>
          <w:rFonts w:eastAsia="Calibri"/>
          <w:b w:val="0"/>
          <w:lang w:val="hy-AM"/>
        </w:rPr>
      </w:pPr>
      <w:r w:rsidRPr="00D178DD">
        <w:rPr>
          <w:rFonts w:eastAsia="Calibri"/>
          <w:b w:val="0"/>
          <w:lang w:val="hy-AM"/>
        </w:rPr>
        <w:t xml:space="preserve">Համավարակի և </w:t>
      </w:r>
      <w:r w:rsidR="00822D2B" w:rsidRPr="00822D2B">
        <w:rPr>
          <w:rFonts w:eastAsia="Calibri"/>
          <w:b w:val="0"/>
          <w:lang w:val="hy-AM"/>
        </w:rPr>
        <w:t>Ղարաբաղ</w:t>
      </w:r>
      <w:r w:rsidRPr="00D178DD">
        <w:rPr>
          <w:rFonts w:eastAsia="Calibri"/>
          <w:b w:val="0"/>
          <w:lang w:val="hy-AM"/>
        </w:rPr>
        <w:t>յան պատերազմի շոկերից հետո՝ տնտեսության 2021 թվականի վերականգնման տեմպերը 2022 թվականի տարեսկզբին արագացան։ Չնայած փետրվարի վերջերից սկիզբ առած ռուս-ուկրաինական հակամարտության և Ռուսաստանի դեմ կիրառված պատժամիջոցների բացասական ազդեցությունների հետևանքով տնտեսական ակտիվության մարտ ամսի որոշակի դանդաղմանը, ապրիլ ամսից տնտեսության աճի տեմպը կտրուկ արագացավ պայմանավորված՝</w:t>
      </w:r>
      <w:bookmarkStart w:id="114" w:name="_Hlk115027419"/>
      <w:r w:rsidRPr="00D178DD">
        <w:rPr>
          <w:rFonts w:eastAsia="Calibri"/>
          <w:b w:val="0"/>
          <w:lang w:val="hy-AM"/>
        </w:rPr>
        <w:t xml:space="preserve"> ՌԴ-ից դեպի Հայաստան մարդկանց և կապիտալի աննախադեպ ներհոսքերով, ինչպես նաև ՏՏ տեխնոլոգիաների ոլորտի ընկերությունների և աշխատակիցների ՀՀ տեղափոխմամբ։</w:t>
      </w:r>
      <w:r w:rsidRPr="00D178DD">
        <w:rPr>
          <w:rFonts w:cs="GHEA Grapalat"/>
          <w:szCs w:val="22"/>
          <w:lang w:val="hy-AM"/>
        </w:rPr>
        <w:t xml:space="preserve"> </w:t>
      </w:r>
      <w:r w:rsidRPr="00D178DD">
        <w:rPr>
          <w:rFonts w:eastAsia="Calibri"/>
          <w:b w:val="0"/>
          <w:lang w:val="hy-AM"/>
        </w:rPr>
        <w:t>Մյուս կողմից՝ պատժամիջոցների հետևանքով որոշ երկրներից ՌԴ ներմուծման շուկայի սահմանափակումները նպաստեցին ՀՀ-ից դեպի Ռուսաստան արտահանման պահանջարկի ավելացմանը</w:t>
      </w:r>
      <w:bookmarkEnd w:id="114"/>
      <w:r w:rsidRPr="00D178DD">
        <w:rPr>
          <w:rFonts w:eastAsia="Calibri"/>
          <w:b w:val="0"/>
          <w:lang w:val="hy-AM"/>
        </w:rPr>
        <w:t>։ Վերոնշյալ զարգացումների պայմաններում ՀՀ-ում 2022թ</w:t>
      </w:r>
      <w:r w:rsidRPr="00D178DD">
        <w:rPr>
          <w:rFonts w:ascii="Cambria Math" w:eastAsia="Calibri" w:hAnsi="Cambria Math" w:cs="Cambria Math"/>
          <w:b w:val="0"/>
          <w:lang w:val="hy-AM"/>
        </w:rPr>
        <w:t>․</w:t>
      </w:r>
      <w:r w:rsidRPr="00D178DD">
        <w:rPr>
          <w:rFonts w:eastAsia="Calibri"/>
          <w:b w:val="0"/>
          <w:lang w:val="hy-AM"/>
        </w:rPr>
        <w:t xml:space="preserve"> համար սպասվում է 11% տնտեսական աճ։</w:t>
      </w:r>
      <w:bookmarkStart w:id="115" w:name="_Hlk115027291"/>
    </w:p>
    <w:p w:rsidR="00D178DD" w:rsidRPr="00D178DD" w:rsidRDefault="00D178DD" w:rsidP="00D178DD">
      <w:pPr>
        <w:numPr>
          <w:ilvl w:val="0"/>
          <w:numId w:val="24"/>
        </w:numPr>
        <w:spacing w:line="276" w:lineRule="auto"/>
        <w:rPr>
          <w:rFonts w:eastAsia="Calibri"/>
          <w:b w:val="0"/>
          <w:lang w:val="hy-AM"/>
        </w:rPr>
      </w:pPr>
      <w:r w:rsidRPr="00D178DD">
        <w:rPr>
          <w:b w:val="0"/>
          <w:lang w:val="hy-AM"/>
        </w:rPr>
        <w:t>Վերոնշյալ դրական զարգացումների որոշակի պահպանման և ՀՀ կառավարության 2021-2026թթ. ծրագրով նախատեսված տնտեսության և տնտեսական աճի ներուժի բարձրացմանն ուղղված  քաղաքականությունների և դրանցից բխող միջոցառումների պայմաններում, 2023թ</w:t>
      </w:r>
      <w:r w:rsidRPr="00D178DD">
        <w:rPr>
          <w:rFonts w:ascii="Times New Roman" w:hAnsi="Times New Roman"/>
          <w:b w:val="0"/>
          <w:lang w:val="hy-AM"/>
        </w:rPr>
        <w:t>․</w:t>
      </w:r>
      <w:r w:rsidRPr="00D178DD">
        <w:rPr>
          <w:b w:val="0"/>
          <w:lang w:val="hy-AM"/>
        </w:rPr>
        <w:t xml:space="preserve"> կանխատեսվում է 7% տնտեսական աճ։ </w:t>
      </w:r>
      <w:bookmarkEnd w:id="115"/>
      <w:r w:rsidRPr="00D178DD">
        <w:rPr>
          <w:b w:val="0"/>
          <w:lang w:val="hy-AM"/>
        </w:rPr>
        <w:t>Կանխատեսված տնտեսական աճի հիմքում ընկած են ՀՀ կառավարության կողմից թիրախավորված տնտեսական աճի ներուժի բարձրացման ուղղված այնպիսի միջոցառումներ, ինչպիսիք են մեծածավալ պետական ներդրումների իրականացումը ենթակառուցվածքներում և մարդկային կապիտալի զարգացմանը միտված ոլորտներում, տնտեսության արդիականացման և գործարար միջավայրի բարելավման, տեխնոլոգիական առաջընթացի ապահովման, տնտեսության արտահանելի հատվածի և արտահանման խթանմանն ուղղված քաղաքականությունները, որոնք կխթանեն ինչպես ներքին, այնպես էլ օտարերկրյա միջոցներով ֆինանսավորվող մասնավոր ներդրումների իրականացումը, կնպաստեն արտահանման ծավալների մեծացմանը, ինչպես նաև ընդհանուր արտադրողականության բարձրացմանը։</w:t>
      </w:r>
      <w:r w:rsidRPr="00D178DD">
        <w:rPr>
          <w:rFonts w:eastAsia="Calibri"/>
          <w:lang w:val="hy-AM"/>
        </w:rPr>
        <w:t xml:space="preserve"> </w:t>
      </w:r>
    </w:p>
    <w:p w:rsidR="00D178DD" w:rsidRPr="00D178DD" w:rsidRDefault="00D178DD" w:rsidP="00D178DD">
      <w:pPr>
        <w:numPr>
          <w:ilvl w:val="0"/>
          <w:numId w:val="24"/>
        </w:numPr>
        <w:tabs>
          <w:tab w:val="right" w:pos="0"/>
        </w:tabs>
        <w:spacing w:before="40" w:after="120" w:line="276" w:lineRule="auto"/>
        <w:contextualSpacing w:val="0"/>
        <w:rPr>
          <w:rFonts w:cs="Times Armenian"/>
          <w:b w:val="0"/>
          <w:bCs/>
          <w:szCs w:val="22"/>
          <w:lang w:val="hy-AM" w:eastAsia="en-US"/>
        </w:rPr>
      </w:pPr>
      <w:r w:rsidRPr="00D178DD">
        <w:rPr>
          <w:b w:val="0"/>
          <w:lang w:val="hy-AM"/>
        </w:rPr>
        <w:t>Որոշ շուկաներում արտաքին պահանջարկի աճով, ՌԴ-ում ՀՀ-ից արտահանվող ապրանքների շուկաների ընդյալնմամբ, զբոսաշրջության ու ներքին պահանջարկի աճի պայմաններում 2022թ</w:t>
      </w:r>
      <w:r w:rsidRPr="00D178DD">
        <w:rPr>
          <w:rFonts w:ascii="Cambria Math" w:hAnsi="Cambria Math" w:cs="Cambria Math"/>
          <w:b w:val="0"/>
          <w:lang w:val="hy-AM"/>
        </w:rPr>
        <w:t>․</w:t>
      </w:r>
      <w:r w:rsidRPr="00D178DD">
        <w:rPr>
          <w:b w:val="0"/>
          <w:lang w:val="hy-AM"/>
        </w:rPr>
        <w:t xml:space="preserve"> </w:t>
      </w:r>
      <w:r w:rsidRPr="00D178DD">
        <w:rPr>
          <w:rFonts w:cs="GHEA Grapalat"/>
          <w:b w:val="0"/>
          <w:lang w:val="hy-AM"/>
        </w:rPr>
        <w:t>տեղի</w:t>
      </w:r>
      <w:r w:rsidRPr="00D178DD">
        <w:rPr>
          <w:b w:val="0"/>
          <w:lang w:val="hy-AM"/>
        </w:rPr>
        <w:t xml:space="preserve"> </w:t>
      </w:r>
      <w:r w:rsidRPr="00D178DD">
        <w:rPr>
          <w:rFonts w:cs="GHEA Grapalat"/>
          <w:b w:val="0"/>
          <w:lang w:val="hy-AM"/>
        </w:rPr>
        <w:t>կունենա</w:t>
      </w:r>
      <w:r w:rsidRPr="00D178DD">
        <w:rPr>
          <w:b w:val="0"/>
          <w:lang w:val="hy-AM"/>
        </w:rPr>
        <w:t xml:space="preserve"> </w:t>
      </w:r>
      <w:r w:rsidRPr="00D178DD">
        <w:rPr>
          <w:rFonts w:cs="GHEA Grapalat"/>
          <w:b w:val="0"/>
          <w:lang w:val="hy-AM"/>
        </w:rPr>
        <w:t>և՛</w:t>
      </w:r>
      <w:r w:rsidRPr="00D178DD">
        <w:rPr>
          <w:b w:val="0"/>
          <w:lang w:val="hy-AM"/>
        </w:rPr>
        <w:t xml:space="preserve"> </w:t>
      </w:r>
      <w:r w:rsidRPr="00D178DD">
        <w:rPr>
          <w:rFonts w:cs="GHEA Grapalat"/>
          <w:b w:val="0"/>
          <w:lang w:val="hy-AM"/>
        </w:rPr>
        <w:t>արտահանման</w:t>
      </w:r>
      <w:r w:rsidRPr="00D178DD">
        <w:rPr>
          <w:b w:val="0"/>
          <w:lang w:val="hy-AM"/>
        </w:rPr>
        <w:t xml:space="preserve">, </w:t>
      </w:r>
      <w:r w:rsidRPr="00D178DD">
        <w:rPr>
          <w:rFonts w:cs="GHEA Grapalat"/>
          <w:b w:val="0"/>
          <w:lang w:val="hy-AM"/>
        </w:rPr>
        <w:t>և՛</w:t>
      </w:r>
      <w:r w:rsidRPr="00D178DD">
        <w:rPr>
          <w:b w:val="0"/>
          <w:lang w:val="hy-AM"/>
        </w:rPr>
        <w:t xml:space="preserve"> </w:t>
      </w:r>
      <w:r w:rsidRPr="00D178DD">
        <w:rPr>
          <w:rFonts w:cs="GHEA Grapalat"/>
          <w:b w:val="0"/>
          <w:lang w:val="hy-AM"/>
        </w:rPr>
        <w:t>ներմուծման</w:t>
      </w:r>
      <w:r w:rsidRPr="00D178DD">
        <w:rPr>
          <w:b w:val="0"/>
          <w:lang w:val="hy-AM"/>
        </w:rPr>
        <w:t xml:space="preserve"> </w:t>
      </w:r>
      <w:r w:rsidRPr="00D178DD">
        <w:rPr>
          <w:rFonts w:cs="GHEA Grapalat"/>
          <w:b w:val="0"/>
          <w:lang w:val="hy-AM"/>
        </w:rPr>
        <w:t>ծավալների</w:t>
      </w:r>
      <w:r w:rsidRPr="00D178DD">
        <w:rPr>
          <w:b w:val="0"/>
          <w:lang w:val="hy-AM"/>
        </w:rPr>
        <w:t xml:space="preserve"> </w:t>
      </w:r>
      <w:r w:rsidRPr="00D178DD">
        <w:rPr>
          <w:rFonts w:cs="GHEA Grapalat"/>
          <w:b w:val="0"/>
          <w:lang w:val="hy-AM"/>
        </w:rPr>
        <w:t>աճ</w:t>
      </w:r>
      <w:r w:rsidRPr="00D178DD">
        <w:rPr>
          <w:b w:val="0"/>
          <w:lang w:val="hy-AM"/>
        </w:rPr>
        <w:t xml:space="preserve">: </w:t>
      </w:r>
      <w:r w:rsidRPr="00D178DD">
        <w:rPr>
          <w:rFonts w:cs="GHEA Grapalat"/>
          <w:b w:val="0"/>
          <w:lang w:val="hy-AM"/>
        </w:rPr>
        <w:t xml:space="preserve">Առևտրային հաշվեկշռի և ոչ առևտրային բնույթի (աշխատավարձ և տրասնֆերտներ) դրամական փոխանցումների ՀՆԱ-ում դերի վատթարացմամբ պայմանավորված </w:t>
      </w:r>
      <w:r w:rsidRPr="00D178DD">
        <w:rPr>
          <w:b w:val="0"/>
          <w:lang w:val="hy-AM"/>
        </w:rPr>
        <w:t>2022թ. ընթացիկ հաշվի պակասուրդը փոքր-ինչ կվատթարանա՝ մոտենալով ՀՆԱ-ի 4.2%-ին:  2023 թվականին ընթացիկ հաշվի պակասուրդը կշարունակի խորանալ:</w:t>
      </w:r>
    </w:p>
    <w:p w:rsidR="00D178DD" w:rsidRPr="00D178DD" w:rsidRDefault="00D178DD" w:rsidP="00250E4C">
      <w:pPr>
        <w:numPr>
          <w:ilvl w:val="0"/>
          <w:numId w:val="24"/>
        </w:numPr>
        <w:tabs>
          <w:tab w:val="right" w:pos="0"/>
        </w:tabs>
        <w:spacing w:before="40" w:after="120" w:line="276" w:lineRule="auto"/>
        <w:contextualSpacing w:val="0"/>
        <w:rPr>
          <w:rFonts w:cs="Times Armenian"/>
          <w:b w:val="0"/>
          <w:bCs/>
          <w:szCs w:val="22"/>
          <w:lang w:val="hy-AM" w:eastAsia="en-US"/>
        </w:rPr>
      </w:pPr>
      <w:r w:rsidRPr="00D178DD">
        <w:rPr>
          <w:rFonts w:cs="Times Armenian"/>
          <w:b w:val="0"/>
          <w:bCs/>
          <w:szCs w:val="22"/>
          <w:lang w:val="hy-AM" w:eastAsia="en-US"/>
        </w:rPr>
        <w:t>Իրականացվող զսպող դրամավարկային քաղաքականության և աստիճանաբար մեղմվող ամբողջական պահանջարկի պարագայում գնաճը, կարճաժամկետ հատվածում մնալով թիրախից բարձր մակարդակում, կսկսի աստիճանաբար նվազել՝ 2023թ. ընթացքում մոտենալով իր նպատակային ցուցանիշին։ Գ</w:t>
      </w:r>
      <w:r w:rsidRPr="00D178DD">
        <w:rPr>
          <w:rFonts w:cs="Times Armenian"/>
          <w:b w:val="0"/>
          <w:bCs/>
          <w:lang w:val="hy-AM"/>
        </w:rPr>
        <w:t>նաճի նպատակային ցուցանիշից շեղման ռիսկերի դրսևորման պարագայում ՀՀ ԿԲ-ն համապատասխանորեն կարձագանքի։</w:t>
      </w:r>
    </w:p>
    <w:p w:rsidR="00D178DD" w:rsidRPr="00D178DD" w:rsidRDefault="00D178DD" w:rsidP="00D178DD">
      <w:pPr>
        <w:numPr>
          <w:ilvl w:val="0"/>
          <w:numId w:val="24"/>
        </w:numPr>
        <w:tabs>
          <w:tab w:val="right" w:pos="0"/>
        </w:tabs>
        <w:spacing w:before="40" w:after="120" w:line="276" w:lineRule="auto"/>
        <w:contextualSpacing w:val="0"/>
        <w:rPr>
          <w:rFonts w:cs="Times Armenian"/>
          <w:b w:val="0"/>
          <w:bCs/>
          <w:szCs w:val="22"/>
          <w:lang w:val="hy-AM" w:eastAsia="en-US"/>
        </w:rPr>
      </w:pPr>
      <w:r w:rsidRPr="00D178DD">
        <w:rPr>
          <w:b w:val="0"/>
          <w:lang w:val="hy-AM"/>
        </w:rPr>
        <w:t>2021թ. ՀՀ Կառավարությունը իրականացրել է սահուն հարկաբյուջետային կոնսոլիդացիա՝ նպատակ ունենալով չխաթարել տնտեսության վերականգնումը և ապահովել պարտքի բեռի աճի տեմպի դանդաղում, իսկ 2022 թվականի առաջին կիսամյակում բարձր տնտեսական աճի պայմաններում հարկաբյուջետային քաղաքականությունն ամբողջական պահանջարկի վրա ունեցել է էական զսպող ազդեցութուն:</w:t>
      </w:r>
      <w:r w:rsidRPr="00D178DD">
        <w:rPr>
          <w:rFonts w:cs="Times Armenian"/>
          <w:b w:val="0"/>
          <w:bCs/>
          <w:szCs w:val="22"/>
          <w:lang w:val="hy-AM" w:eastAsia="en-US"/>
        </w:rPr>
        <w:t xml:space="preserve"> </w:t>
      </w:r>
    </w:p>
    <w:p w:rsidR="00D178DD" w:rsidRPr="00D178DD" w:rsidRDefault="00D178DD" w:rsidP="00D178DD">
      <w:pPr>
        <w:numPr>
          <w:ilvl w:val="0"/>
          <w:numId w:val="24"/>
        </w:numPr>
        <w:tabs>
          <w:tab w:val="right" w:pos="0"/>
        </w:tabs>
        <w:spacing w:before="40" w:after="120" w:line="276" w:lineRule="auto"/>
        <w:contextualSpacing w:val="0"/>
        <w:rPr>
          <w:rFonts w:cs="Times Armenian"/>
          <w:b w:val="0"/>
          <w:bCs/>
          <w:szCs w:val="22"/>
          <w:lang w:val="hy-AM" w:eastAsia="en-US"/>
        </w:rPr>
      </w:pPr>
      <w:r w:rsidRPr="00D178DD">
        <w:rPr>
          <w:rFonts w:cs="Times Armenian"/>
          <w:b w:val="0"/>
          <w:bCs/>
          <w:szCs w:val="22"/>
          <w:lang w:val="hy-AM" w:eastAsia="en-US"/>
        </w:rPr>
        <w:t>2023 թվականին հարկաբյուջետային քաղաքականությունը ՀՀ կառավարության 2021-2026թթ. ծրագրին համահունչ ուղղված կլինի թիրախավորված 7% տնտեսական աճի թիրախի ապահովմանը՝ շեշտադրելով պետական ներդրումների մասնաբաժնի էական մեծացումը (կապիտալ ծախսերի կշիռը ՀՆԱ-ում հասցնելով 5.9%-ի) և ծախսերի իրականացման արդյունավետության բարձրացումը, ինչպես նաև՝ պարտքի կայունության պահպանմանը: Արդյունքում հարկաբյուջետային քաղաքականությունը ամբողջական պահանջարկի վրա 2023թ. կունենա չեզոք ազդեցություն և կխթանի տնտեսության ներուժը:</w:t>
      </w:r>
    </w:p>
    <w:p w:rsidR="00D178DD" w:rsidRPr="00D178DD" w:rsidRDefault="00D178DD" w:rsidP="00D178DD">
      <w:pPr>
        <w:numPr>
          <w:ilvl w:val="0"/>
          <w:numId w:val="24"/>
        </w:numPr>
        <w:tabs>
          <w:tab w:val="right" w:pos="0"/>
        </w:tabs>
        <w:spacing w:before="40" w:after="120" w:line="276" w:lineRule="auto"/>
        <w:contextualSpacing w:val="0"/>
        <w:rPr>
          <w:rFonts w:cs="Times Armenian"/>
          <w:b w:val="0"/>
          <w:bCs/>
          <w:szCs w:val="22"/>
          <w:lang w:val="hy-AM" w:eastAsia="en-US"/>
        </w:rPr>
      </w:pPr>
      <w:r w:rsidRPr="00D178DD">
        <w:rPr>
          <w:rFonts w:cs="Times Armenian"/>
          <w:b w:val="0"/>
          <w:bCs/>
          <w:szCs w:val="22"/>
          <w:lang w:val="hy-AM" w:eastAsia="en-US"/>
        </w:rPr>
        <w:t>Ռուս-ուկրաինական հակամարտությունը և Ռուսաստանի դեմ կիրառված աննախադեպ պատժամիջոցները աշխարհում ստեղծել են նոր իրականություն, որի  պայմաններում ինչպես աշխարհի և ՀՀ գործընկեր երկրների, այնպես էլ ՀՀ տնտեսական աճի կանխատեսումները իրենց մեջ կրում են մեծ անորոշություն: Այս պայմաններում, ինչպես աշխարհի և ՀՀ գործընկերների, այնպես էլ պետական բյուջեի շրջանակում ՀՀ տնտեսական աճի կանխատեսումների համար առկա են երկկողմանի ռիսկեր, սակայն դեպի ներքև ռիսկերը համեմատաբար մեծ են։</w:t>
      </w:r>
    </w:p>
    <w:p w:rsidR="00D178DD" w:rsidRPr="00D178DD" w:rsidRDefault="00D178DD" w:rsidP="00D178DD">
      <w:pPr>
        <w:tabs>
          <w:tab w:val="right" w:pos="0"/>
        </w:tabs>
        <w:spacing w:before="0" w:line="276" w:lineRule="auto"/>
        <w:ind w:firstLine="284"/>
        <w:rPr>
          <w:rFonts w:eastAsia="Calibri" w:cs="Sylfaen"/>
          <w:bCs/>
          <w:i/>
          <w:iCs/>
          <w:color w:val="000000"/>
          <w:szCs w:val="22"/>
          <w:lang w:val="hy-AM"/>
        </w:rPr>
      </w:pPr>
    </w:p>
    <w:p w:rsidR="00D178DD" w:rsidRDefault="00D178DD" w:rsidP="00D178DD">
      <w:pPr>
        <w:tabs>
          <w:tab w:val="right" w:pos="0"/>
        </w:tabs>
        <w:spacing w:before="0" w:line="276" w:lineRule="auto"/>
        <w:ind w:firstLine="284"/>
        <w:rPr>
          <w:rFonts w:eastAsia="Calibri" w:cs="Sylfaen"/>
          <w:bCs/>
          <w:i/>
          <w:iCs/>
          <w:color w:val="000000"/>
          <w:szCs w:val="22"/>
          <w:lang w:val="hy-AM"/>
        </w:rPr>
      </w:pPr>
    </w:p>
    <w:p w:rsidR="00FB546F" w:rsidRPr="00D178DD" w:rsidRDefault="00FB546F" w:rsidP="00D178DD">
      <w:pPr>
        <w:tabs>
          <w:tab w:val="right" w:pos="0"/>
        </w:tabs>
        <w:spacing w:before="0" w:line="276" w:lineRule="auto"/>
        <w:ind w:firstLine="284"/>
        <w:rPr>
          <w:rFonts w:eastAsia="Calibri" w:cs="Sylfaen"/>
          <w:bCs/>
          <w:i/>
          <w:iCs/>
          <w:color w:val="000000"/>
          <w:szCs w:val="22"/>
          <w:lang w:val="hy-AM"/>
        </w:rPr>
      </w:pPr>
    </w:p>
    <w:p w:rsidR="00D178DD" w:rsidRPr="00D178DD" w:rsidRDefault="00D178DD" w:rsidP="00D178DD">
      <w:pPr>
        <w:tabs>
          <w:tab w:val="right" w:pos="0"/>
        </w:tabs>
        <w:spacing w:before="0" w:line="276" w:lineRule="auto"/>
        <w:ind w:firstLine="284"/>
        <w:rPr>
          <w:rFonts w:eastAsia="Calibri" w:cs="Sylfaen"/>
          <w:bCs/>
          <w:i/>
          <w:iCs/>
          <w:color w:val="000000"/>
          <w:szCs w:val="22"/>
          <w:lang w:val="hy-AM"/>
        </w:rPr>
      </w:pPr>
    </w:p>
    <w:p w:rsidR="00D178DD" w:rsidRPr="00D178DD" w:rsidRDefault="00D178DD" w:rsidP="00D178DD">
      <w:pPr>
        <w:tabs>
          <w:tab w:val="right" w:pos="0"/>
        </w:tabs>
        <w:spacing w:before="0" w:line="276" w:lineRule="auto"/>
        <w:ind w:firstLine="284"/>
        <w:rPr>
          <w:rFonts w:eastAsia="Calibri" w:cs="Sylfaen"/>
          <w:bCs/>
          <w:i/>
          <w:iCs/>
          <w:color w:val="000000"/>
          <w:szCs w:val="22"/>
          <w:lang w:val="hy-AM"/>
        </w:rPr>
      </w:pPr>
    </w:p>
    <w:p w:rsidR="00D178DD" w:rsidRPr="00D178DD" w:rsidRDefault="00D178DD" w:rsidP="00D178DD">
      <w:pPr>
        <w:tabs>
          <w:tab w:val="right" w:pos="0"/>
        </w:tabs>
        <w:spacing w:before="0" w:line="276" w:lineRule="auto"/>
        <w:ind w:firstLine="284"/>
        <w:rPr>
          <w:rFonts w:eastAsia="Calibri" w:cs="Sylfaen"/>
          <w:bCs/>
          <w:i/>
          <w:iCs/>
          <w:color w:val="000000"/>
          <w:szCs w:val="22"/>
          <w:lang w:val="hy-AM"/>
        </w:rPr>
      </w:pPr>
    </w:p>
    <w:p w:rsidR="00D178DD" w:rsidRDefault="00D178DD" w:rsidP="00D178DD">
      <w:pPr>
        <w:tabs>
          <w:tab w:val="right" w:pos="0"/>
        </w:tabs>
        <w:spacing w:before="0" w:line="276" w:lineRule="auto"/>
        <w:ind w:firstLine="284"/>
        <w:rPr>
          <w:rFonts w:eastAsia="Calibri" w:cs="Sylfaen"/>
          <w:bCs/>
          <w:i/>
          <w:iCs/>
          <w:color w:val="000000"/>
          <w:szCs w:val="22"/>
          <w:lang w:val="hy-AM"/>
        </w:rPr>
      </w:pPr>
    </w:p>
    <w:p w:rsidR="00250E4C" w:rsidRPr="00F77CAF" w:rsidRDefault="00250E4C" w:rsidP="00D178DD">
      <w:pPr>
        <w:tabs>
          <w:tab w:val="right" w:pos="0"/>
        </w:tabs>
        <w:spacing w:before="0" w:line="276" w:lineRule="auto"/>
        <w:ind w:firstLine="284"/>
        <w:rPr>
          <w:rFonts w:eastAsia="Calibri" w:cs="Sylfaen"/>
          <w:bCs/>
          <w:i/>
          <w:iCs/>
          <w:color w:val="000000"/>
          <w:szCs w:val="22"/>
          <w:lang w:val="hy-AM"/>
        </w:rPr>
      </w:pPr>
    </w:p>
    <w:p w:rsidR="00D178DD" w:rsidRPr="00D178DD" w:rsidRDefault="00D178DD" w:rsidP="00D178DD">
      <w:pPr>
        <w:tabs>
          <w:tab w:val="right" w:pos="0"/>
        </w:tabs>
        <w:spacing w:before="0" w:line="276" w:lineRule="auto"/>
        <w:ind w:firstLine="284"/>
        <w:rPr>
          <w:rFonts w:cs="Times Armenian"/>
          <w:bCs/>
          <w:szCs w:val="22"/>
          <w:lang w:val="hy-AM"/>
        </w:rPr>
      </w:pPr>
      <w:r w:rsidRPr="00D178DD">
        <w:rPr>
          <w:rFonts w:eastAsia="Calibri" w:cs="Sylfaen"/>
          <w:bCs/>
          <w:i/>
          <w:iCs/>
          <w:color w:val="000000"/>
          <w:szCs w:val="22"/>
          <w:lang w:val="hy-AM"/>
        </w:rPr>
        <w:t>Աղյուսակ</w:t>
      </w:r>
      <w:r w:rsidRPr="00D178DD">
        <w:rPr>
          <w:rFonts w:eastAsia="Calibri"/>
          <w:bCs/>
          <w:i/>
          <w:iCs/>
          <w:color w:val="000000"/>
          <w:szCs w:val="22"/>
          <w:lang w:val="hy-AM"/>
        </w:rPr>
        <w:t xml:space="preserve"> 1.1. </w:t>
      </w:r>
      <w:r w:rsidRPr="00D178DD">
        <w:rPr>
          <w:rFonts w:eastAsia="Calibri"/>
          <w:b w:val="0"/>
          <w:i/>
          <w:iCs/>
          <w:color w:val="000000"/>
          <w:szCs w:val="22"/>
          <w:lang w:val="hy-AM"/>
        </w:rPr>
        <w:t>2023թ. պետական բյուջեի մակրոտնտեսական շրջանակ</w:t>
      </w:r>
    </w:p>
    <w:tbl>
      <w:tblPr>
        <w:tblStyle w:val="GridTable1Light-Accent51112"/>
        <w:tblpPr w:leftFromText="180" w:rightFromText="180" w:vertAnchor="text" w:horzAnchor="margin" w:tblpXSpec="right" w:tblpY="107"/>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91"/>
        <w:gridCol w:w="1134"/>
        <w:gridCol w:w="1153"/>
        <w:gridCol w:w="1134"/>
        <w:gridCol w:w="1281"/>
      </w:tblGrid>
      <w:tr w:rsidR="00D178DD" w:rsidRPr="00D178DD" w:rsidTr="004B2286">
        <w:trPr>
          <w:trHeight w:val="258"/>
          <w:tblHeader/>
        </w:trPr>
        <w:tc>
          <w:tcPr>
            <w:tcW w:w="3595" w:type="dxa"/>
            <w:vMerge w:val="restart"/>
            <w:noWrap/>
          </w:tcPr>
          <w:p w:rsidR="00D178DD" w:rsidRPr="00D178DD" w:rsidRDefault="00D178DD" w:rsidP="00D178DD">
            <w:pPr>
              <w:spacing w:before="0" w:line="276" w:lineRule="auto"/>
              <w:rPr>
                <w:rFonts w:cs="Sylfaen"/>
                <w:i/>
                <w:iCs/>
                <w:sz w:val="20"/>
                <w:szCs w:val="20"/>
              </w:rPr>
            </w:pPr>
            <w:r w:rsidRPr="00D178DD">
              <w:rPr>
                <w:rFonts w:cs="Sylfaen"/>
                <w:i/>
                <w:iCs/>
                <w:sz w:val="20"/>
                <w:szCs w:val="20"/>
              </w:rPr>
              <w:t>Հիմնական մակրոտնտեսական ցուցանիշներ</w:t>
            </w:r>
          </w:p>
        </w:tc>
        <w:tc>
          <w:tcPr>
            <w:tcW w:w="1191" w:type="dxa"/>
          </w:tcPr>
          <w:p w:rsidR="00D178DD" w:rsidRPr="00D178DD" w:rsidRDefault="00D178DD" w:rsidP="00D178DD">
            <w:pPr>
              <w:spacing w:before="0" w:line="276" w:lineRule="auto"/>
              <w:ind w:firstLine="0"/>
              <w:jc w:val="center"/>
              <w:rPr>
                <w:rFonts w:cs="Arial"/>
                <w:bCs/>
                <w:sz w:val="20"/>
                <w:szCs w:val="20"/>
              </w:rPr>
            </w:pPr>
            <w:r w:rsidRPr="00D178DD">
              <w:rPr>
                <w:rFonts w:cs="Arial"/>
                <w:bCs/>
                <w:sz w:val="20"/>
                <w:szCs w:val="20"/>
              </w:rPr>
              <w:t>201</w:t>
            </w:r>
            <w:r w:rsidRPr="00D178DD">
              <w:rPr>
                <w:rFonts w:cs="Arial"/>
                <w:bCs/>
                <w:sz w:val="20"/>
                <w:szCs w:val="20"/>
                <w:lang w:val="en-US"/>
              </w:rPr>
              <w:t>9</w:t>
            </w:r>
          </w:p>
        </w:tc>
        <w:tc>
          <w:tcPr>
            <w:tcW w:w="1134" w:type="dxa"/>
          </w:tcPr>
          <w:p w:rsidR="00D178DD" w:rsidRPr="00D178DD" w:rsidRDefault="00D178DD" w:rsidP="00D178DD">
            <w:pPr>
              <w:spacing w:before="0" w:line="276" w:lineRule="auto"/>
              <w:ind w:firstLine="0"/>
              <w:jc w:val="center"/>
              <w:rPr>
                <w:rFonts w:cs="Arial"/>
                <w:bCs/>
                <w:sz w:val="20"/>
                <w:szCs w:val="20"/>
              </w:rPr>
            </w:pPr>
            <w:r w:rsidRPr="00D178DD">
              <w:rPr>
                <w:rFonts w:cs="Arial"/>
                <w:bCs/>
                <w:sz w:val="20"/>
                <w:szCs w:val="20"/>
              </w:rPr>
              <w:t>20</w:t>
            </w:r>
            <w:r w:rsidRPr="00D178DD">
              <w:rPr>
                <w:rFonts w:cs="Arial"/>
                <w:bCs/>
                <w:sz w:val="20"/>
                <w:szCs w:val="20"/>
                <w:lang w:val="en-US"/>
              </w:rPr>
              <w:t>20</w:t>
            </w:r>
          </w:p>
        </w:tc>
        <w:tc>
          <w:tcPr>
            <w:tcW w:w="1153" w:type="dxa"/>
          </w:tcPr>
          <w:p w:rsidR="00D178DD" w:rsidRPr="00D178DD" w:rsidRDefault="00D178DD" w:rsidP="00D178DD">
            <w:pPr>
              <w:spacing w:before="0" w:line="276" w:lineRule="auto"/>
              <w:ind w:firstLine="0"/>
              <w:jc w:val="center"/>
              <w:rPr>
                <w:rFonts w:cs="Arial"/>
                <w:bCs/>
                <w:sz w:val="20"/>
                <w:szCs w:val="20"/>
              </w:rPr>
            </w:pPr>
            <w:r w:rsidRPr="00D178DD">
              <w:rPr>
                <w:rFonts w:cs="Arial"/>
                <w:bCs/>
                <w:sz w:val="20"/>
                <w:szCs w:val="20"/>
              </w:rPr>
              <w:t>202</w:t>
            </w:r>
            <w:r w:rsidRPr="00D178DD">
              <w:rPr>
                <w:rFonts w:cs="Arial"/>
                <w:bCs/>
                <w:sz w:val="20"/>
                <w:szCs w:val="20"/>
                <w:lang w:val="en-US"/>
              </w:rPr>
              <w:t>1</w:t>
            </w:r>
          </w:p>
        </w:tc>
        <w:tc>
          <w:tcPr>
            <w:tcW w:w="1134" w:type="dxa"/>
            <w:shd w:val="clear" w:color="auto" w:fill="D9E2F3"/>
          </w:tcPr>
          <w:p w:rsidR="00D178DD" w:rsidRPr="00D178DD" w:rsidRDefault="00D178DD" w:rsidP="00D178DD">
            <w:pPr>
              <w:spacing w:before="0" w:line="276" w:lineRule="auto"/>
              <w:ind w:firstLine="0"/>
              <w:jc w:val="center"/>
              <w:rPr>
                <w:rFonts w:cs="Arial"/>
                <w:bCs/>
                <w:sz w:val="20"/>
                <w:szCs w:val="20"/>
              </w:rPr>
            </w:pPr>
            <w:r w:rsidRPr="00D178DD">
              <w:rPr>
                <w:rFonts w:cs="Arial"/>
                <w:bCs/>
                <w:sz w:val="20"/>
                <w:szCs w:val="20"/>
              </w:rPr>
              <w:t>202</w:t>
            </w:r>
            <w:r w:rsidRPr="00D178DD">
              <w:rPr>
                <w:rFonts w:cs="Arial"/>
                <w:bCs/>
                <w:sz w:val="20"/>
                <w:szCs w:val="20"/>
                <w:lang w:val="en-US"/>
              </w:rPr>
              <w:t>2</w:t>
            </w:r>
          </w:p>
        </w:tc>
        <w:tc>
          <w:tcPr>
            <w:tcW w:w="1281" w:type="dxa"/>
            <w:shd w:val="clear" w:color="auto" w:fill="D9E2F3"/>
          </w:tcPr>
          <w:p w:rsidR="00D178DD" w:rsidRPr="00D178DD" w:rsidRDefault="00D178DD" w:rsidP="00D178DD">
            <w:pPr>
              <w:spacing w:before="0" w:line="276" w:lineRule="auto"/>
              <w:ind w:firstLine="0"/>
              <w:jc w:val="center"/>
              <w:rPr>
                <w:rFonts w:cs="Arial"/>
                <w:bCs/>
                <w:sz w:val="20"/>
                <w:szCs w:val="20"/>
              </w:rPr>
            </w:pPr>
            <w:r w:rsidRPr="00D178DD">
              <w:rPr>
                <w:rFonts w:cs="Arial"/>
                <w:bCs/>
                <w:sz w:val="20"/>
                <w:szCs w:val="20"/>
              </w:rPr>
              <w:t>202</w:t>
            </w:r>
            <w:r w:rsidRPr="00D178DD">
              <w:rPr>
                <w:rFonts w:cs="Arial"/>
                <w:bCs/>
                <w:sz w:val="20"/>
                <w:szCs w:val="20"/>
                <w:lang w:val="en-US"/>
              </w:rPr>
              <w:t>3</w:t>
            </w:r>
          </w:p>
        </w:tc>
      </w:tr>
      <w:tr w:rsidR="00D178DD" w:rsidRPr="00D178DD" w:rsidTr="004B2286">
        <w:trPr>
          <w:trHeight w:val="272"/>
          <w:tblHeader/>
        </w:trPr>
        <w:tc>
          <w:tcPr>
            <w:tcW w:w="3595" w:type="dxa"/>
            <w:vMerge/>
            <w:noWrap/>
          </w:tcPr>
          <w:p w:rsidR="00D178DD" w:rsidRPr="00D178DD" w:rsidRDefault="00D178DD" w:rsidP="00D178DD">
            <w:pPr>
              <w:spacing w:before="0" w:line="276" w:lineRule="auto"/>
              <w:rPr>
                <w:rFonts w:cs="Sylfaen"/>
                <w:sz w:val="20"/>
                <w:szCs w:val="20"/>
              </w:rPr>
            </w:pPr>
          </w:p>
        </w:tc>
        <w:tc>
          <w:tcPr>
            <w:tcW w:w="1191" w:type="dxa"/>
          </w:tcPr>
          <w:p w:rsidR="00D178DD" w:rsidRPr="00D178DD" w:rsidRDefault="00D178DD" w:rsidP="00D178DD">
            <w:pPr>
              <w:spacing w:before="0" w:line="276" w:lineRule="auto"/>
              <w:ind w:firstLine="0"/>
              <w:jc w:val="center"/>
              <w:rPr>
                <w:rFonts w:cs="Arial"/>
                <w:bCs/>
                <w:sz w:val="20"/>
                <w:szCs w:val="20"/>
              </w:rPr>
            </w:pPr>
            <w:r w:rsidRPr="00D178DD">
              <w:rPr>
                <w:rFonts w:cs="Sylfaen"/>
                <w:sz w:val="20"/>
                <w:szCs w:val="20"/>
              </w:rPr>
              <w:t>փաստ</w:t>
            </w:r>
          </w:p>
        </w:tc>
        <w:tc>
          <w:tcPr>
            <w:tcW w:w="1134" w:type="dxa"/>
          </w:tcPr>
          <w:p w:rsidR="00D178DD" w:rsidRPr="00D178DD" w:rsidRDefault="00D178DD" w:rsidP="00D178DD">
            <w:pPr>
              <w:spacing w:before="0" w:line="276" w:lineRule="auto"/>
              <w:ind w:firstLine="0"/>
              <w:jc w:val="center"/>
              <w:rPr>
                <w:rFonts w:cs="Arial"/>
                <w:bCs/>
                <w:sz w:val="20"/>
                <w:szCs w:val="20"/>
              </w:rPr>
            </w:pPr>
            <w:r w:rsidRPr="00D178DD">
              <w:rPr>
                <w:rFonts w:cs="Sylfaen"/>
                <w:sz w:val="20"/>
                <w:szCs w:val="20"/>
              </w:rPr>
              <w:t>փաստ</w:t>
            </w:r>
          </w:p>
        </w:tc>
        <w:tc>
          <w:tcPr>
            <w:tcW w:w="1153" w:type="dxa"/>
          </w:tcPr>
          <w:p w:rsidR="00D178DD" w:rsidRPr="00D178DD" w:rsidRDefault="00D178DD" w:rsidP="00D178DD">
            <w:pPr>
              <w:spacing w:before="0" w:line="276" w:lineRule="auto"/>
              <w:ind w:firstLine="0"/>
              <w:jc w:val="center"/>
              <w:rPr>
                <w:rFonts w:cs="Arial"/>
                <w:bCs/>
                <w:sz w:val="20"/>
                <w:szCs w:val="20"/>
              </w:rPr>
            </w:pPr>
            <w:r w:rsidRPr="00D178DD">
              <w:rPr>
                <w:rFonts w:cs="Sylfaen"/>
                <w:sz w:val="20"/>
                <w:szCs w:val="20"/>
              </w:rPr>
              <w:t>Փաստ</w:t>
            </w:r>
          </w:p>
        </w:tc>
        <w:tc>
          <w:tcPr>
            <w:tcW w:w="1134" w:type="dxa"/>
            <w:shd w:val="clear" w:color="auto" w:fill="D9E2F3"/>
          </w:tcPr>
          <w:p w:rsidR="00D178DD" w:rsidRPr="00D178DD" w:rsidRDefault="00D178DD" w:rsidP="00D178DD">
            <w:pPr>
              <w:spacing w:before="0" w:line="276" w:lineRule="auto"/>
              <w:ind w:firstLine="0"/>
              <w:jc w:val="center"/>
              <w:rPr>
                <w:rFonts w:cs="Arial"/>
                <w:bCs/>
                <w:sz w:val="20"/>
                <w:szCs w:val="20"/>
              </w:rPr>
            </w:pPr>
            <w:r w:rsidRPr="00D178DD">
              <w:rPr>
                <w:rFonts w:cs="Sylfaen"/>
                <w:sz w:val="20"/>
                <w:szCs w:val="20"/>
              </w:rPr>
              <w:t>սպասում</w:t>
            </w:r>
          </w:p>
        </w:tc>
        <w:tc>
          <w:tcPr>
            <w:tcW w:w="1281" w:type="dxa"/>
            <w:shd w:val="clear" w:color="auto" w:fill="D9E2F3"/>
          </w:tcPr>
          <w:p w:rsidR="00D178DD" w:rsidRPr="00D178DD" w:rsidRDefault="00D178DD" w:rsidP="00D178DD">
            <w:pPr>
              <w:spacing w:before="0" w:line="276" w:lineRule="auto"/>
              <w:ind w:firstLine="0"/>
              <w:jc w:val="center"/>
              <w:rPr>
                <w:rFonts w:cs="Arial"/>
                <w:bCs/>
                <w:sz w:val="20"/>
                <w:szCs w:val="20"/>
              </w:rPr>
            </w:pPr>
            <w:r w:rsidRPr="00D178DD">
              <w:rPr>
                <w:sz w:val="20"/>
                <w:szCs w:val="20"/>
              </w:rPr>
              <w:t>ծրագիր</w:t>
            </w:r>
          </w:p>
        </w:tc>
      </w:tr>
      <w:tr w:rsidR="00D178DD" w:rsidRPr="00D178DD" w:rsidTr="004B2286">
        <w:trPr>
          <w:trHeight w:val="258"/>
        </w:trPr>
        <w:tc>
          <w:tcPr>
            <w:tcW w:w="3595" w:type="dxa"/>
            <w:noWrap/>
          </w:tcPr>
          <w:p w:rsidR="00D178DD" w:rsidRPr="00D178DD" w:rsidRDefault="00D178DD" w:rsidP="00D178DD">
            <w:pPr>
              <w:spacing w:before="0" w:line="276" w:lineRule="auto"/>
              <w:ind w:firstLine="0"/>
              <w:rPr>
                <w:rFonts w:cs="Sylfaen"/>
                <w:bCs/>
                <w:sz w:val="20"/>
                <w:szCs w:val="20"/>
              </w:rPr>
            </w:pPr>
            <w:r w:rsidRPr="00D178DD">
              <w:rPr>
                <w:rFonts w:cs="Sylfaen"/>
                <w:bCs/>
                <w:sz w:val="20"/>
                <w:szCs w:val="20"/>
              </w:rPr>
              <w:t>Անվանական ՀՆԱ, մլրդ դրամ</w:t>
            </w:r>
          </w:p>
        </w:tc>
        <w:tc>
          <w:tcPr>
            <w:tcW w:w="1191" w:type="dxa"/>
            <w:shd w:val="clear" w:color="auto" w:fill="auto"/>
          </w:tcPr>
          <w:p w:rsidR="00D178DD" w:rsidRPr="00D178DD" w:rsidRDefault="00D178DD" w:rsidP="00D178DD">
            <w:pPr>
              <w:spacing w:before="0" w:line="276" w:lineRule="auto"/>
              <w:ind w:firstLine="0"/>
              <w:jc w:val="center"/>
              <w:rPr>
                <w:bCs/>
                <w:color w:val="000000"/>
                <w:sz w:val="20"/>
                <w:szCs w:val="20"/>
              </w:rPr>
            </w:pPr>
            <w:r w:rsidRPr="00D178DD">
              <w:rPr>
                <w:bCs/>
                <w:color w:val="000000"/>
                <w:sz w:val="20"/>
                <w:szCs w:val="20"/>
              </w:rPr>
              <w:t xml:space="preserve"> 6,543.3 </w:t>
            </w:r>
          </w:p>
        </w:tc>
        <w:tc>
          <w:tcPr>
            <w:tcW w:w="1134" w:type="dxa"/>
            <w:shd w:val="clear" w:color="auto" w:fill="auto"/>
          </w:tcPr>
          <w:p w:rsidR="00D178DD" w:rsidRPr="00D178DD" w:rsidRDefault="00D178DD" w:rsidP="00D178DD">
            <w:pPr>
              <w:spacing w:before="0" w:line="276" w:lineRule="auto"/>
              <w:ind w:firstLine="0"/>
              <w:jc w:val="center"/>
              <w:rPr>
                <w:sz w:val="20"/>
                <w:szCs w:val="20"/>
              </w:rPr>
            </w:pPr>
            <w:r w:rsidRPr="00D178DD">
              <w:rPr>
                <w:bCs/>
                <w:color w:val="000000"/>
                <w:sz w:val="20"/>
                <w:szCs w:val="20"/>
              </w:rPr>
              <w:t xml:space="preserve"> 6,181.9 </w:t>
            </w:r>
          </w:p>
        </w:tc>
        <w:tc>
          <w:tcPr>
            <w:tcW w:w="1153" w:type="dxa"/>
            <w:shd w:val="clear" w:color="auto" w:fill="auto"/>
          </w:tcPr>
          <w:p w:rsidR="00D178DD" w:rsidRPr="00D178DD" w:rsidRDefault="00D178DD" w:rsidP="00D178DD">
            <w:pPr>
              <w:spacing w:before="0" w:line="276" w:lineRule="auto"/>
              <w:ind w:firstLine="0"/>
              <w:jc w:val="center"/>
              <w:rPr>
                <w:sz w:val="20"/>
                <w:szCs w:val="20"/>
              </w:rPr>
            </w:pPr>
            <w:r w:rsidRPr="00D178DD">
              <w:rPr>
                <w:bCs/>
                <w:color w:val="000000"/>
                <w:sz w:val="20"/>
                <w:szCs w:val="20"/>
              </w:rPr>
              <w:t xml:space="preserve"> 6,983.0 </w:t>
            </w:r>
          </w:p>
        </w:tc>
        <w:tc>
          <w:tcPr>
            <w:tcW w:w="1134" w:type="dxa"/>
            <w:shd w:val="clear" w:color="auto" w:fill="D9E2F3"/>
          </w:tcPr>
          <w:p w:rsidR="00D178DD" w:rsidRPr="00D178DD" w:rsidRDefault="00D178DD" w:rsidP="00D178DD">
            <w:pPr>
              <w:spacing w:before="0" w:line="276" w:lineRule="auto"/>
              <w:ind w:firstLine="0"/>
              <w:jc w:val="center"/>
              <w:rPr>
                <w:sz w:val="20"/>
                <w:szCs w:val="20"/>
              </w:rPr>
            </w:pPr>
            <w:r w:rsidRPr="00D178DD">
              <w:rPr>
                <w:bCs/>
                <w:color w:val="000000"/>
                <w:sz w:val="20"/>
                <w:szCs w:val="20"/>
              </w:rPr>
              <w:t xml:space="preserve"> 8,293.7 </w:t>
            </w:r>
          </w:p>
        </w:tc>
        <w:tc>
          <w:tcPr>
            <w:tcW w:w="1281" w:type="dxa"/>
            <w:shd w:val="clear" w:color="auto" w:fill="D9E2F3"/>
          </w:tcPr>
          <w:p w:rsidR="00D178DD" w:rsidRPr="00D178DD" w:rsidRDefault="00D178DD" w:rsidP="00D178DD">
            <w:pPr>
              <w:spacing w:before="0" w:line="276" w:lineRule="auto"/>
              <w:ind w:firstLine="0"/>
              <w:jc w:val="center"/>
              <w:rPr>
                <w:sz w:val="20"/>
                <w:szCs w:val="20"/>
              </w:rPr>
            </w:pPr>
            <w:r w:rsidRPr="00D178DD">
              <w:rPr>
                <w:bCs/>
                <w:color w:val="000000"/>
                <w:sz w:val="20"/>
                <w:szCs w:val="20"/>
              </w:rPr>
              <w:t xml:space="preserve"> 9,317.9 </w:t>
            </w:r>
          </w:p>
        </w:tc>
      </w:tr>
      <w:tr w:rsidR="00D178DD" w:rsidRPr="00D178DD" w:rsidTr="004B2286">
        <w:trPr>
          <w:trHeight w:val="258"/>
        </w:trPr>
        <w:tc>
          <w:tcPr>
            <w:tcW w:w="3595" w:type="dxa"/>
            <w:noWrap/>
          </w:tcPr>
          <w:p w:rsidR="00D178DD" w:rsidRPr="00D178DD" w:rsidRDefault="00D178DD" w:rsidP="00D178DD">
            <w:pPr>
              <w:spacing w:before="0" w:line="276" w:lineRule="auto"/>
              <w:ind w:firstLine="0"/>
              <w:rPr>
                <w:rFonts w:cs="Sylfaen"/>
                <w:sz w:val="20"/>
                <w:szCs w:val="20"/>
              </w:rPr>
            </w:pPr>
            <w:r w:rsidRPr="00D178DD">
              <w:rPr>
                <w:rFonts w:cs="Sylfaen"/>
                <w:sz w:val="20"/>
                <w:szCs w:val="20"/>
              </w:rPr>
              <w:t>Տնտեսական աճ, %</w:t>
            </w:r>
          </w:p>
        </w:tc>
        <w:tc>
          <w:tcPr>
            <w:tcW w:w="1191" w:type="dxa"/>
            <w:shd w:val="clear" w:color="auto" w:fill="auto"/>
          </w:tcPr>
          <w:p w:rsidR="00D178DD" w:rsidRPr="00D178DD" w:rsidRDefault="00D178DD" w:rsidP="00D178DD">
            <w:pPr>
              <w:spacing w:before="0" w:line="276" w:lineRule="auto"/>
              <w:ind w:firstLine="0"/>
              <w:jc w:val="center"/>
              <w:rPr>
                <w:bCs/>
                <w:color w:val="000000"/>
                <w:sz w:val="20"/>
                <w:szCs w:val="20"/>
              </w:rPr>
            </w:pPr>
            <w:r w:rsidRPr="00D178DD">
              <w:rPr>
                <w:bCs/>
                <w:color w:val="000000"/>
                <w:sz w:val="20"/>
                <w:szCs w:val="20"/>
              </w:rPr>
              <w:t>7.6</w:t>
            </w:r>
          </w:p>
        </w:tc>
        <w:tc>
          <w:tcPr>
            <w:tcW w:w="1134" w:type="dxa"/>
            <w:shd w:val="clear" w:color="auto" w:fill="auto"/>
          </w:tcPr>
          <w:p w:rsidR="00D178DD" w:rsidRPr="00D178DD" w:rsidRDefault="00D178DD" w:rsidP="00D178DD">
            <w:pPr>
              <w:spacing w:before="0" w:line="276" w:lineRule="auto"/>
              <w:ind w:firstLine="0"/>
              <w:jc w:val="center"/>
              <w:rPr>
                <w:sz w:val="20"/>
                <w:szCs w:val="20"/>
              </w:rPr>
            </w:pPr>
            <w:r w:rsidRPr="00D178DD">
              <w:rPr>
                <w:bCs/>
                <w:color w:val="000000"/>
                <w:sz w:val="20"/>
                <w:szCs w:val="20"/>
              </w:rPr>
              <w:t>-7.2</w:t>
            </w:r>
          </w:p>
        </w:tc>
        <w:tc>
          <w:tcPr>
            <w:tcW w:w="1153" w:type="dxa"/>
            <w:shd w:val="clear" w:color="auto" w:fill="auto"/>
          </w:tcPr>
          <w:p w:rsidR="00D178DD" w:rsidRPr="00D178DD" w:rsidRDefault="00D178DD" w:rsidP="00D178DD">
            <w:pPr>
              <w:spacing w:before="0" w:line="276" w:lineRule="auto"/>
              <w:ind w:firstLine="0"/>
              <w:jc w:val="center"/>
              <w:rPr>
                <w:sz w:val="20"/>
                <w:szCs w:val="20"/>
                <w:lang w:val="en-US"/>
              </w:rPr>
            </w:pPr>
            <w:r w:rsidRPr="00D178DD">
              <w:rPr>
                <w:bCs/>
                <w:color w:val="000000"/>
                <w:sz w:val="20"/>
                <w:szCs w:val="20"/>
              </w:rPr>
              <w:t>5.7</w:t>
            </w:r>
          </w:p>
        </w:tc>
        <w:tc>
          <w:tcPr>
            <w:tcW w:w="1134" w:type="dxa"/>
            <w:shd w:val="clear" w:color="auto" w:fill="D9E2F3"/>
          </w:tcPr>
          <w:p w:rsidR="00D178DD" w:rsidRPr="00D178DD" w:rsidRDefault="00D178DD" w:rsidP="00D178DD">
            <w:pPr>
              <w:spacing w:before="0" w:line="276" w:lineRule="auto"/>
              <w:ind w:firstLine="0"/>
              <w:jc w:val="center"/>
              <w:rPr>
                <w:sz w:val="20"/>
                <w:szCs w:val="20"/>
                <w:lang w:val="hy-AM"/>
              </w:rPr>
            </w:pPr>
            <w:r w:rsidRPr="00D178DD">
              <w:rPr>
                <w:bCs/>
                <w:color w:val="000000"/>
                <w:sz w:val="20"/>
                <w:szCs w:val="20"/>
              </w:rPr>
              <w:t>11.0</w:t>
            </w:r>
          </w:p>
        </w:tc>
        <w:tc>
          <w:tcPr>
            <w:tcW w:w="1281" w:type="dxa"/>
            <w:shd w:val="clear" w:color="auto" w:fill="D9E2F3"/>
          </w:tcPr>
          <w:p w:rsidR="00D178DD" w:rsidRPr="00D178DD" w:rsidRDefault="00D178DD" w:rsidP="00D178DD">
            <w:pPr>
              <w:spacing w:before="0" w:line="276" w:lineRule="auto"/>
              <w:ind w:firstLine="0"/>
              <w:jc w:val="center"/>
              <w:rPr>
                <w:sz w:val="20"/>
                <w:szCs w:val="20"/>
                <w:lang w:val="hy-AM"/>
              </w:rPr>
            </w:pPr>
            <w:r w:rsidRPr="00D178DD">
              <w:rPr>
                <w:bCs/>
                <w:color w:val="000000"/>
                <w:sz w:val="20"/>
                <w:szCs w:val="20"/>
              </w:rPr>
              <w:t>7.0</w:t>
            </w:r>
          </w:p>
        </w:tc>
      </w:tr>
      <w:tr w:rsidR="00D178DD" w:rsidRPr="00D178DD" w:rsidTr="004B2286">
        <w:trPr>
          <w:trHeight w:val="268"/>
        </w:trPr>
        <w:tc>
          <w:tcPr>
            <w:tcW w:w="3595" w:type="dxa"/>
            <w:noWrap/>
          </w:tcPr>
          <w:p w:rsidR="00D178DD" w:rsidRPr="00D178DD" w:rsidRDefault="00D178DD" w:rsidP="00D178DD">
            <w:pPr>
              <w:spacing w:before="0" w:line="276" w:lineRule="auto"/>
              <w:ind w:firstLine="0"/>
              <w:rPr>
                <w:rFonts w:cs="Sylfaen"/>
                <w:sz w:val="20"/>
                <w:szCs w:val="20"/>
              </w:rPr>
            </w:pPr>
            <w:r w:rsidRPr="00D178DD">
              <w:rPr>
                <w:rFonts w:cs="Sylfaen"/>
                <w:sz w:val="20"/>
                <w:szCs w:val="20"/>
              </w:rPr>
              <w:t>ՀՆԱ դեֆլյատորի աճ, %</w:t>
            </w:r>
          </w:p>
        </w:tc>
        <w:tc>
          <w:tcPr>
            <w:tcW w:w="1191" w:type="dxa"/>
            <w:shd w:val="clear" w:color="auto" w:fill="auto"/>
          </w:tcPr>
          <w:p w:rsidR="00D178DD" w:rsidRPr="00D178DD" w:rsidRDefault="00D178DD" w:rsidP="00D178DD">
            <w:pPr>
              <w:spacing w:before="0" w:line="276" w:lineRule="auto"/>
              <w:ind w:firstLine="0"/>
              <w:jc w:val="center"/>
              <w:rPr>
                <w:bCs/>
                <w:color w:val="000000"/>
                <w:sz w:val="20"/>
                <w:szCs w:val="20"/>
              </w:rPr>
            </w:pPr>
            <w:r w:rsidRPr="00D178DD">
              <w:rPr>
                <w:bCs/>
                <w:color w:val="000000"/>
                <w:sz w:val="20"/>
                <w:szCs w:val="20"/>
              </w:rPr>
              <w:t>1.0</w:t>
            </w:r>
          </w:p>
        </w:tc>
        <w:tc>
          <w:tcPr>
            <w:tcW w:w="1134" w:type="dxa"/>
            <w:shd w:val="clear" w:color="auto" w:fill="auto"/>
          </w:tcPr>
          <w:p w:rsidR="00D178DD" w:rsidRPr="00D178DD" w:rsidRDefault="00D178DD" w:rsidP="00D178DD">
            <w:pPr>
              <w:spacing w:before="0" w:line="276" w:lineRule="auto"/>
              <w:ind w:firstLine="0"/>
              <w:jc w:val="center"/>
              <w:rPr>
                <w:sz w:val="20"/>
                <w:szCs w:val="20"/>
              </w:rPr>
            </w:pPr>
            <w:r w:rsidRPr="00D178DD">
              <w:rPr>
                <w:bCs/>
                <w:color w:val="000000"/>
                <w:sz w:val="20"/>
                <w:szCs w:val="20"/>
              </w:rPr>
              <w:t>1.8</w:t>
            </w:r>
          </w:p>
        </w:tc>
        <w:tc>
          <w:tcPr>
            <w:tcW w:w="1153" w:type="dxa"/>
            <w:shd w:val="clear" w:color="auto" w:fill="auto"/>
          </w:tcPr>
          <w:p w:rsidR="00D178DD" w:rsidRPr="00D178DD" w:rsidRDefault="00D178DD" w:rsidP="00D178DD">
            <w:pPr>
              <w:spacing w:before="0" w:line="276" w:lineRule="auto"/>
              <w:ind w:firstLine="0"/>
              <w:jc w:val="center"/>
              <w:rPr>
                <w:sz w:val="20"/>
                <w:szCs w:val="20"/>
              </w:rPr>
            </w:pPr>
            <w:r w:rsidRPr="00D178DD">
              <w:rPr>
                <w:bCs/>
                <w:color w:val="000000"/>
                <w:sz w:val="20"/>
                <w:szCs w:val="20"/>
              </w:rPr>
              <w:t>6.9</w:t>
            </w:r>
          </w:p>
        </w:tc>
        <w:tc>
          <w:tcPr>
            <w:tcW w:w="1134" w:type="dxa"/>
            <w:shd w:val="clear" w:color="auto" w:fill="D9E2F3"/>
          </w:tcPr>
          <w:p w:rsidR="00D178DD" w:rsidRPr="00D178DD" w:rsidRDefault="00D178DD" w:rsidP="00D178DD">
            <w:pPr>
              <w:spacing w:before="0" w:line="276" w:lineRule="auto"/>
              <w:ind w:firstLine="0"/>
              <w:jc w:val="center"/>
              <w:rPr>
                <w:sz w:val="20"/>
                <w:szCs w:val="20"/>
                <w:lang w:val="hy-AM"/>
              </w:rPr>
            </w:pPr>
            <w:r w:rsidRPr="00D178DD">
              <w:rPr>
                <w:bCs/>
                <w:color w:val="000000"/>
                <w:sz w:val="20"/>
                <w:szCs w:val="20"/>
              </w:rPr>
              <w:t>7.0</w:t>
            </w:r>
          </w:p>
        </w:tc>
        <w:tc>
          <w:tcPr>
            <w:tcW w:w="1281" w:type="dxa"/>
            <w:shd w:val="clear" w:color="auto" w:fill="D9E2F3"/>
          </w:tcPr>
          <w:p w:rsidR="00D178DD" w:rsidRPr="00D178DD" w:rsidRDefault="00D178DD" w:rsidP="00D178DD">
            <w:pPr>
              <w:spacing w:before="0" w:line="276" w:lineRule="auto"/>
              <w:ind w:firstLine="0"/>
              <w:jc w:val="center"/>
              <w:rPr>
                <w:sz w:val="20"/>
                <w:szCs w:val="20"/>
                <w:lang w:val="hy-AM"/>
              </w:rPr>
            </w:pPr>
            <w:r w:rsidRPr="00D178DD">
              <w:rPr>
                <w:bCs/>
                <w:color w:val="000000"/>
                <w:sz w:val="20"/>
                <w:szCs w:val="20"/>
              </w:rPr>
              <w:t>5.0</w:t>
            </w:r>
          </w:p>
        </w:tc>
      </w:tr>
      <w:tr w:rsidR="00D178DD" w:rsidRPr="00D178DD" w:rsidTr="004B2286">
        <w:trPr>
          <w:trHeight w:val="258"/>
        </w:trPr>
        <w:tc>
          <w:tcPr>
            <w:tcW w:w="3595" w:type="dxa"/>
            <w:noWrap/>
          </w:tcPr>
          <w:p w:rsidR="00D178DD" w:rsidRPr="00D178DD" w:rsidRDefault="00D178DD" w:rsidP="00D178DD">
            <w:pPr>
              <w:spacing w:before="0" w:line="276" w:lineRule="auto"/>
              <w:ind w:firstLine="0"/>
              <w:rPr>
                <w:rFonts w:cs="Sylfaen"/>
                <w:sz w:val="20"/>
                <w:szCs w:val="20"/>
              </w:rPr>
            </w:pPr>
            <w:r w:rsidRPr="00D178DD">
              <w:rPr>
                <w:rFonts w:cs="Sylfaen"/>
                <w:sz w:val="20"/>
                <w:szCs w:val="20"/>
                <w:lang w:val="hy-AM"/>
              </w:rPr>
              <w:t>Գնաճ (ժամանակաշրջանի վերջ), %</w:t>
            </w:r>
          </w:p>
        </w:tc>
        <w:tc>
          <w:tcPr>
            <w:tcW w:w="1191" w:type="dxa"/>
            <w:vAlign w:val="center"/>
          </w:tcPr>
          <w:p w:rsidR="00D178DD" w:rsidRPr="00D178DD" w:rsidRDefault="00D178DD" w:rsidP="00D178DD">
            <w:pPr>
              <w:spacing w:before="0" w:line="276" w:lineRule="auto"/>
              <w:ind w:firstLine="0"/>
              <w:jc w:val="center"/>
              <w:rPr>
                <w:bCs/>
                <w:color w:val="000000"/>
                <w:sz w:val="20"/>
                <w:szCs w:val="20"/>
              </w:rPr>
            </w:pPr>
            <w:r w:rsidRPr="00D178DD">
              <w:rPr>
                <w:bCs/>
                <w:color w:val="000000"/>
                <w:sz w:val="20"/>
                <w:szCs w:val="20"/>
              </w:rPr>
              <w:t>1.8</w:t>
            </w:r>
          </w:p>
        </w:tc>
        <w:tc>
          <w:tcPr>
            <w:tcW w:w="1134" w:type="dxa"/>
            <w:vAlign w:val="center"/>
          </w:tcPr>
          <w:p w:rsidR="00D178DD" w:rsidRPr="00D178DD" w:rsidRDefault="00D178DD" w:rsidP="00D178DD">
            <w:pPr>
              <w:spacing w:before="0" w:line="276" w:lineRule="auto"/>
              <w:ind w:firstLine="0"/>
              <w:jc w:val="center"/>
              <w:rPr>
                <w:sz w:val="20"/>
                <w:szCs w:val="20"/>
              </w:rPr>
            </w:pPr>
            <w:r w:rsidRPr="00D178DD">
              <w:rPr>
                <w:sz w:val="20"/>
                <w:szCs w:val="20"/>
                <w:lang w:val="hy-AM"/>
              </w:rPr>
              <w:t>0.7</w:t>
            </w:r>
          </w:p>
        </w:tc>
        <w:tc>
          <w:tcPr>
            <w:tcW w:w="1153" w:type="dxa"/>
            <w:shd w:val="clear" w:color="auto" w:fill="auto"/>
            <w:vAlign w:val="center"/>
          </w:tcPr>
          <w:p w:rsidR="00D178DD" w:rsidRPr="00D178DD" w:rsidRDefault="00D178DD" w:rsidP="00D178DD">
            <w:pPr>
              <w:spacing w:before="0" w:line="276" w:lineRule="auto"/>
              <w:ind w:firstLine="0"/>
              <w:jc w:val="center"/>
              <w:rPr>
                <w:sz w:val="20"/>
                <w:szCs w:val="20"/>
              </w:rPr>
            </w:pPr>
            <w:r w:rsidRPr="00D178DD">
              <w:rPr>
                <w:sz w:val="20"/>
                <w:szCs w:val="20"/>
                <w:lang w:val="hy-AM"/>
              </w:rPr>
              <w:t>3.7</w:t>
            </w:r>
          </w:p>
        </w:tc>
        <w:tc>
          <w:tcPr>
            <w:tcW w:w="1134" w:type="dxa"/>
            <w:shd w:val="clear" w:color="auto" w:fill="D9E2F3"/>
          </w:tcPr>
          <w:p w:rsidR="00D178DD" w:rsidRPr="00D178DD" w:rsidRDefault="00D178DD" w:rsidP="00D178DD">
            <w:pPr>
              <w:spacing w:before="0" w:line="276" w:lineRule="auto"/>
              <w:ind w:firstLine="0"/>
              <w:jc w:val="center"/>
              <w:rPr>
                <w:bCs/>
                <w:color w:val="000000"/>
                <w:sz w:val="20"/>
                <w:szCs w:val="20"/>
              </w:rPr>
            </w:pPr>
            <w:r w:rsidRPr="00D178DD">
              <w:rPr>
                <w:bCs/>
                <w:color w:val="000000"/>
                <w:sz w:val="20"/>
                <w:szCs w:val="20"/>
              </w:rPr>
              <w:t>8.5</w:t>
            </w:r>
          </w:p>
        </w:tc>
        <w:tc>
          <w:tcPr>
            <w:tcW w:w="1281" w:type="dxa"/>
            <w:shd w:val="clear" w:color="auto" w:fill="D9E2F3"/>
          </w:tcPr>
          <w:p w:rsidR="00D178DD" w:rsidRPr="00D178DD" w:rsidRDefault="00D178DD" w:rsidP="00D178DD">
            <w:pPr>
              <w:spacing w:before="0" w:line="276" w:lineRule="auto"/>
              <w:ind w:firstLine="0"/>
              <w:jc w:val="center"/>
              <w:rPr>
                <w:bCs/>
                <w:color w:val="000000"/>
                <w:sz w:val="20"/>
                <w:szCs w:val="20"/>
              </w:rPr>
            </w:pPr>
            <w:r w:rsidRPr="00D178DD">
              <w:rPr>
                <w:bCs/>
                <w:color w:val="000000"/>
                <w:sz w:val="20"/>
                <w:szCs w:val="20"/>
              </w:rPr>
              <w:t>3.6</w:t>
            </w:r>
          </w:p>
        </w:tc>
      </w:tr>
      <w:tr w:rsidR="00D178DD" w:rsidRPr="00D178DD" w:rsidTr="004B2286">
        <w:trPr>
          <w:trHeight w:val="265"/>
        </w:trPr>
        <w:tc>
          <w:tcPr>
            <w:tcW w:w="3595" w:type="dxa"/>
          </w:tcPr>
          <w:p w:rsidR="00D178DD" w:rsidRPr="00D178DD" w:rsidRDefault="00D178DD" w:rsidP="00D178DD">
            <w:pPr>
              <w:spacing w:before="0" w:line="276" w:lineRule="auto"/>
              <w:ind w:firstLine="0"/>
              <w:rPr>
                <w:rFonts w:cs="Sylfaen"/>
                <w:sz w:val="20"/>
                <w:szCs w:val="20"/>
              </w:rPr>
            </w:pPr>
            <w:r w:rsidRPr="00D178DD">
              <w:rPr>
                <w:rFonts w:cs="Sylfaen"/>
                <w:sz w:val="20"/>
                <w:szCs w:val="20"/>
                <w:lang w:val="hy-AM"/>
              </w:rPr>
              <w:t>Գնաճ (միջին), %</w:t>
            </w:r>
          </w:p>
        </w:tc>
        <w:tc>
          <w:tcPr>
            <w:tcW w:w="1191" w:type="dxa"/>
            <w:vAlign w:val="center"/>
          </w:tcPr>
          <w:p w:rsidR="00D178DD" w:rsidRPr="00D178DD" w:rsidRDefault="00D178DD" w:rsidP="00D178DD">
            <w:pPr>
              <w:spacing w:before="0" w:line="276" w:lineRule="auto"/>
              <w:ind w:firstLine="0"/>
              <w:jc w:val="center"/>
              <w:rPr>
                <w:bCs/>
                <w:color w:val="000000"/>
                <w:sz w:val="20"/>
                <w:szCs w:val="20"/>
              </w:rPr>
            </w:pPr>
            <w:r w:rsidRPr="00D178DD">
              <w:rPr>
                <w:bCs/>
                <w:color w:val="000000"/>
                <w:sz w:val="20"/>
                <w:szCs w:val="20"/>
              </w:rPr>
              <w:t>2.5</w:t>
            </w:r>
          </w:p>
        </w:tc>
        <w:tc>
          <w:tcPr>
            <w:tcW w:w="1134" w:type="dxa"/>
            <w:vAlign w:val="center"/>
          </w:tcPr>
          <w:p w:rsidR="00D178DD" w:rsidRPr="00D178DD" w:rsidRDefault="00D178DD" w:rsidP="00D178DD">
            <w:pPr>
              <w:spacing w:before="0" w:line="276" w:lineRule="auto"/>
              <w:ind w:firstLine="0"/>
              <w:jc w:val="center"/>
              <w:rPr>
                <w:sz w:val="20"/>
                <w:szCs w:val="20"/>
              </w:rPr>
            </w:pPr>
            <w:r w:rsidRPr="00D178DD">
              <w:rPr>
                <w:sz w:val="20"/>
                <w:szCs w:val="20"/>
                <w:lang w:val="hy-AM"/>
              </w:rPr>
              <w:t>1.4</w:t>
            </w:r>
          </w:p>
        </w:tc>
        <w:tc>
          <w:tcPr>
            <w:tcW w:w="1153" w:type="dxa"/>
            <w:shd w:val="clear" w:color="auto" w:fill="auto"/>
            <w:vAlign w:val="center"/>
          </w:tcPr>
          <w:p w:rsidR="00D178DD" w:rsidRPr="00D178DD" w:rsidRDefault="00D178DD" w:rsidP="00D178DD">
            <w:pPr>
              <w:spacing w:before="0" w:line="276" w:lineRule="auto"/>
              <w:ind w:firstLine="0"/>
              <w:jc w:val="center"/>
              <w:rPr>
                <w:sz w:val="20"/>
                <w:szCs w:val="20"/>
              </w:rPr>
            </w:pPr>
            <w:r w:rsidRPr="00D178DD">
              <w:rPr>
                <w:sz w:val="20"/>
                <w:szCs w:val="20"/>
                <w:lang w:val="hy-AM"/>
              </w:rPr>
              <w:t>1.2</w:t>
            </w:r>
          </w:p>
        </w:tc>
        <w:tc>
          <w:tcPr>
            <w:tcW w:w="1134" w:type="dxa"/>
            <w:shd w:val="clear" w:color="auto" w:fill="D9E2F3"/>
          </w:tcPr>
          <w:p w:rsidR="00D178DD" w:rsidRPr="00D178DD" w:rsidRDefault="00D178DD" w:rsidP="00D178DD">
            <w:pPr>
              <w:spacing w:before="0" w:line="276" w:lineRule="auto"/>
              <w:ind w:firstLine="0"/>
              <w:jc w:val="center"/>
              <w:rPr>
                <w:bCs/>
                <w:color w:val="000000"/>
                <w:sz w:val="20"/>
                <w:szCs w:val="20"/>
              </w:rPr>
            </w:pPr>
            <w:r w:rsidRPr="00D178DD">
              <w:rPr>
                <w:bCs/>
                <w:color w:val="000000"/>
                <w:sz w:val="20"/>
                <w:szCs w:val="20"/>
              </w:rPr>
              <w:t>8.1</w:t>
            </w:r>
          </w:p>
        </w:tc>
        <w:tc>
          <w:tcPr>
            <w:tcW w:w="1281" w:type="dxa"/>
            <w:shd w:val="clear" w:color="auto" w:fill="D9E2F3"/>
          </w:tcPr>
          <w:p w:rsidR="00D178DD" w:rsidRPr="00D178DD" w:rsidRDefault="00D178DD" w:rsidP="00D178DD">
            <w:pPr>
              <w:spacing w:before="0" w:line="276" w:lineRule="auto"/>
              <w:ind w:firstLine="0"/>
              <w:jc w:val="center"/>
              <w:rPr>
                <w:bCs/>
                <w:color w:val="000000"/>
                <w:sz w:val="20"/>
                <w:szCs w:val="20"/>
              </w:rPr>
            </w:pPr>
            <w:r w:rsidRPr="00D178DD">
              <w:rPr>
                <w:bCs/>
                <w:color w:val="000000"/>
                <w:sz w:val="20"/>
                <w:szCs w:val="20"/>
              </w:rPr>
              <w:t>5.6</w:t>
            </w:r>
          </w:p>
        </w:tc>
      </w:tr>
      <w:tr w:rsidR="00D178DD" w:rsidRPr="00D178DD" w:rsidTr="004B2286">
        <w:trPr>
          <w:trHeight w:val="258"/>
        </w:trPr>
        <w:tc>
          <w:tcPr>
            <w:tcW w:w="9488" w:type="dxa"/>
            <w:gridSpan w:val="6"/>
            <w:shd w:val="clear" w:color="auto" w:fill="auto"/>
            <w:noWrap/>
            <w:vAlign w:val="center"/>
          </w:tcPr>
          <w:p w:rsidR="00D178DD" w:rsidRPr="00D178DD" w:rsidRDefault="00D178DD" w:rsidP="00D178DD">
            <w:pPr>
              <w:spacing w:before="0" w:line="276" w:lineRule="auto"/>
              <w:jc w:val="center"/>
              <w:rPr>
                <w:rFonts w:cs="Arial"/>
                <w:bCs/>
                <w:sz w:val="20"/>
                <w:szCs w:val="20"/>
              </w:rPr>
            </w:pPr>
            <w:r w:rsidRPr="00D178DD">
              <w:rPr>
                <w:rFonts w:cs="Sylfaen"/>
                <w:sz w:val="20"/>
                <w:szCs w:val="20"/>
                <w:u w:val="single"/>
              </w:rPr>
              <w:t>ՀՆԱ իրական աճն ըստ ճյուղերի ավելացված արժեքների, %</w:t>
            </w:r>
          </w:p>
        </w:tc>
      </w:tr>
      <w:tr w:rsidR="00D178DD" w:rsidRPr="00D178DD" w:rsidTr="004B2286">
        <w:trPr>
          <w:trHeight w:val="258"/>
        </w:trPr>
        <w:tc>
          <w:tcPr>
            <w:tcW w:w="3595" w:type="dxa"/>
            <w:noWrap/>
          </w:tcPr>
          <w:p w:rsidR="00D178DD" w:rsidRPr="00D178DD" w:rsidRDefault="00D178DD" w:rsidP="00D178DD">
            <w:pPr>
              <w:spacing w:before="0" w:line="276" w:lineRule="auto"/>
              <w:ind w:firstLine="0"/>
              <w:rPr>
                <w:rFonts w:cs="Sylfaen"/>
                <w:sz w:val="20"/>
                <w:szCs w:val="20"/>
              </w:rPr>
            </w:pPr>
            <w:r w:rsidRPr="00D178DD">
              <w:rPr>
                <w:rFonts w:cs="Sylfaen"/>
                <w:sz w:val="20"/>
                <w:szCs w:val="20"/>
              </w:rPr>
              <w:t>Արդյունաբերություն</w:t>
            </w:r>
          </w:p>
        </w:tc>
        <w:tc>
          <w:tcPr>
            <w:tcW w:w="1191" w:type="dxa"/>
          </w:tcPr>
          <w:p w:rsidR="00D178DD" w:rsidRPr="00D178DD" w:rsidRDefault="00D178DD" w:rsidP="00D178DD">
            <w:pPr>
              <w:spacing w:before="0" w:after="200" w:line="276" w:lineRule="auto"/>
              <w:ind w:firstLine="0"/>
              <w:jc w:val="center"/>
              <w:rPr>
                <w:sz w:val="20"/>
                <w:szCs w:val="20"/>
                <w:lang w:val="hy-AM"/>
              </w:rPr>
            </w:pPr>
            <w:r w:rsidRPr="00D178DD">
              <w:rPr>
                <w:color w:val="000000"/>
                <w:sz w:val="20"/>
                <w:szCs w:val="20"/>
              </w:rPr>
              <w:t>11.9</w:t>
            </w:r>
          </w:p>
        </w:tc>
        <w:tc>
          <w:tcPr>
            <w:tcW w:w="1134" w:type="dxa"/>
          </w:tcPr>
          <w:p w:rsidR="00D178DD" w:rsidRPr="00D178DD" w:rsidRDefault="00D178DD" w:rsidP="00D178DD">
            <w:pPr>
              <w:spacing w:before="0" w:after="200" w:line="276" w:lineRule="auto"/>
              <w:ind w:firstLine="0"/>
              <w:jc w:val="center"/>
              <w:rPr>
                <w:sz w:val="20"/>
                <w:szCs w:val="20"/>
                <w:lang w:val="hy-AM"/>
              </w:rPr>
            </w:pPr>
            <w:r w:rsidRPr="00D178DD">
              <w:rPr>
                <w:color w:val="000000"/>
                <w:sz w:val="20"/>
                <w:szCs w:val="20"/>
              </w:rPr>
              <w:t>-1.4</w:t>
            </w:r>
          </w:p>
        </w:tc>
        <w:tc>
          <w:tcPr>
            <w:tcW w:w="1153" w:type="dxa"/>
          </w:tcPr>
          <w:p w:rsidR="00D178DD" w:rsidRPr="00D178DD" w:rsidRDefault="00D178DD" w:rsidP="00D178DD">
            <w:pPr>
              <w:spacing w:before="0" w:after="200" w:line="276" w:lineRule="auto"/>
              <w:ind w:firstLine="0"/>
              <w:jc w:val="center"/>
              <w:rPr>
                <w:sz w:val="20"/>
                <w:szCs w:val="20"/>
                <w:lang w:val="hy-AM"/>
              </w:rPr>
            </w:pPr>
            <w:r w:rsidRPr="00D178DD">
              <w:rPr>
                <w:color w:val="000000"/>
                <w:sz w:val="20"/>
                <w:szCs w:val="20"/>
              </w:rPr>
              <w:t>3.5</w:t>
            </w:r>
          </w:p>
        </w:tc>
        <w:tc>
          <w:tcPr>
            <w:tcW w:w="1134" w:type="dxa"/>
            <w:shd w:val="clear" w:color="auto" w:fill="D9E2F3"/>
          </w:tcPr>
          <w:p w:rsidR="00D178DD" w:rsidRPr="00D178DD" w:rsidRDefault="00D178DD" w:rsidP="00D178DD">
            <w:pPr>
              <w:spacing w:before="0" w:line="276" w:lineRule="auto"/>
              <w:ind w:firstLine="0"/>
              <w:jc w:val="center"/>
              <w:rPr>
                <w:sz w:val="20"/>
                <w:szCs w:val="20"/>
                <w:lang w:val="hy-AM"/>
              </w:rPr>
            </w:pPr>
            <w:r w:rsidRPr="00D178DD">
              <w:rPr>
                <w:color w:val="000000"/>
                <w:sz w:val="20"/>
                <w:szCs w:val="20"/>
              </w:rPr>
              <w:t>5.0</w:t>
            </w:r>
          </w:p>
        </w:tc>
        <w:tc>
          <w:tcPr>
            <w:tcW w:w="1281" w:type="dxa"/>
            <w:shd w:val="clear" w:color="auto" w:fill="D9E2F3"/>
          </w:tcPr>
          <w:p w:rsidR="00D178DD" w:rsidRPr="00D178DD" w:rsidRDefault="00D178DD" w:rsidP="00D178DD">
            <w:pPr>
              <w:spacing w:before="0" w:line="276" w:lineRule="auto"/>
              <w:ind w:firstLine="0"/>
              <w:jc w:val="center"/>
              <w:rPr>
                <w:sz w:val="20"/>
                <w:szCs w:val="20"/>
                <w:lang w:val="hy-AM"/>
              </w:rPr>
            </w:pPr>
            <w:r w:rsidRPr="00D178DD">
              <w:rPr>
                <w:color w:val="000000"/>
                <w:sz w:val="20"/>
                <w:szCs w:val="20"/>
              </w:rPr>
              <w:t>5.1</w:t>
            </w:r>
          </w:p>
        </w:tc>
      </w:tr>
      <w:tr w:rsidR="00D178DD" w:rsidRPr="00D178DD" w:rsidTr="004B2286">
        <w:trPr>
          <w:trHeight w:val="65"/>
        </w:trPr>
        <w:tc>
          <w:tcPr>
            <w:tcW w:w="3595" w:type="dxa"/>
          </w:tcPr>
          <w:p w:rsidR="00D178DD" w:rsidRPr="00D178DD" w:rsidRDefault="00D178DD" w:rsidP="00D178DD">
            <w:pPr>
              <w:spacing w:before="0" w:line="276" w:lineRule="auto"/>
              <w:ind w:firstLine="0"/>
              <w:rPr>
                <w:rFonts w:cs="Sylfaen"/>
                <w:sz w:val="20"/>
                <w:szCs w:val="20"/>
              </w:rPr>
            </w:pPr>
            <w:r w:rsidRPr="00D178DD">
              <w:rPr>
                <w:rFonts w:cs="Sylfaen"/>
                <w:sz w:val="20"/>
                <w:szCs w:val="20"/>
              </w:rPr>
              <w:t xml:space="preserve">Գյուղատնտեսություն </w:t>
            </w:r>
          </w:p>
        </w:tc>
        <w:tc>
          <w:tcPr>
            <w:tcW w:w="1191" w:type="dxa"/>
          </w:tcPr>
          <w:p w:rsidR="00D178DD" w:rsidRPr="00D178DD" w:rsidRDefault="00D178DD" w:rsidP="00D178DD">
            <w:pPr>
              <w:spacing w:before="0" w:after="200" w:line="276" w:lineRule="auto"/>
              <w:ind w:firstLine="0"/>
              <w:jc w:val="center"/>
              <w:rPr>
                <w:sz w:val="20"/>
                <w:szCs w:val="20"/>
                <w:lang w:val="hy-AM"/>
              </w:rPr>
            </w:pPr>
            <w:r w:rsidRPr="00D178DD">
              <w:rPr>
                <w:color w:val="000000"/>
                <w:sz w:val="20"/>
                <w:szCs w:val="20"/>
              </w:rPr>
              <w:t>-5.8</w:t>
            </w:r>
          </w:p>
        </w:tc>
        <w:tc>
          <w:tcPr>
            <w:tcW w:w="1134" w:type="dxa"/>
          </w:tcPr>
          <w:p w:rsidR="00D178DD" w:rsidRPr="00D178DD" w:rsidRDefault="00D178DD" w:rsidP="00D178DD">
            <w:pPr>
              <w:spacing w:before="0" w:after="200" w:line="276" w:lineRule="auto"/>
              <w:ind w:firstLine="0"/>
              <w:jc w:val="center"/>
              <w:rPr>
                <w:sz w:val="20"/>
                <w:szCs w:val="20"/>
                <w:lang w:val="hy-AM"/>
              </w:rPr>
            </w:pPr>
            <w:r w:rsidRPr="00D178DD">
              <w:rPr>
                <w:color w:val="000000"/>
                <w:sz w:val="20"/>
                <w:szCs w:val="20"/>
              </w:rPr>
              <w:t>-3.7</w:t>
            </w:r>
          </w:p>
        </w:tc>
        <w:tc>
          <w:tcPr>
            <w:tcW w:w="1153" w:type="dxa"/>
          </w:tcPr>
          <w:p w:rsidR="00D178DD" w:rsidRPr="00D178DD" w:rsidRDefault="00D178DD" w:rsidP="00D178DD">
            <w:pPr>
              <w:spacing w:before="0" w:after="200" w:line="276" w:lineRule="auto"/>
              <w:ind w:firstLine="0"/>
              <w:jc w:val="center"/>
              <w:rPr>
                <w:sz w:val="20"/>
                <w:szCs w:val="20"/>
                <w:lang w:val="hy-AM"/>
              </w:rPr>
            </w:pPr>
            <w:r w:rsidRPr="00D178DD">
              <w:rPr>
                <w:color w:val="000000"/>
                <w:sz w:val="20"/>
                <w:szCs w:val="20"/>
              </w:rPr>
              <w:t>-0.6</w:t>
            </w:r>
          </w:p>
        </w:tc>
        <w:tc>
          <w:tcPr>
            <w:tcW w:w="1134" w:type="dxa"/>
            <w:shd w:val="clear" w:color="auto" w:fill="D9E2F3"/>
          </w:tcPr>
          <w:p w:rsidR="00D178DD" w:rsidRPr="00D178DD" w:rsidRDefault="00D178DD" w:rsidP="00D178DD">
            <w:pPr>
              <w:spacing w:before="0" w:line="276" w:lineRule="auto"/>
              <w:ind w:firstLine="0"/>
              <w:jc w:val="center"/>
              <w:rPr>
                <w:sz w:val="20"/>
                <w:szCs w:val="20"/>
                <w:lang w:val="hy-AM"/>
              </w:rPr>
            </w:pPr>
            <w:r w:rsidRPr="00D178DD">
              <w:rPr>
                <w:color w:val="000000"/>
                <w:sz w:val="20"/>
                <w:szCs w:val="20"/>
              </w:rPr>
              <w:t>2.2</w:t>
            </w:r>
          </w:p>
        </w:tc>
        <w:tc>
          <w:tcPr>
            <w:tcW w:w="1281" w:type="dxa"/>
            <w:shd w:val="clear" w:color="auto" w:fill="D9E2F3"/>
          </w:tcPr>
          <w:p w:rsidR="00D178DD" w:rsidRPr="00D178DD" w:rsidRDefault="00D178DD" w:rsidP="00D178DD">
            <w:pPr>
              <w:spacing w:before="0" w:line="276" w:lineRule="auto"/>
              <w:ind w:firstLine="0"/>
              <w:jc w:val="center"/>
              <w:rPr>
                <w:sz w:val="20"/>
                <w:szCs w:val="20"/>
                <w:lang w:val="hy-AM"/>
              </w:rPr>
            </w:pPr>
            <w:r w:rsidRPr="00D178DD">
              <w:rPr>
                <w:color w:val="000000"/>
                <w:sz w:val="20"/>
                <w:szCs w:val="20"/>
              </w:rPr>
              <w:t>3.0</w:t>
            </w:r>
          </w:p>
        </w:tc>
      </w:tr>
      <w:tr w:rsidR="00D178DD" w:rsidRPr="00D178DD" w:rsidTr="004B2286">
        <w:trPr>
          <w:trHeight w:val="258"/>
        </w:trPr>
        <w:tc>
          <w:tcPr>
            <w:tcW w:w="3595" w:type="dxa"/>
            <w:noWrap/>
          </w:tcPr>
          <w:p w:rsidR="00D178DD" w:rsidRPr="00D178DD" w:rsidRDefault="00D178DD" w:rsidP="00D178DD">
            <w:pPr>
              <w:spacing w:before="0" w:line="276" w:lineRule="auto"/>
              <w:ind w:firstLine="0"/>
              <w:rPr>
                <w:rFonts w:cs="Sylfaen"/>
                <w:sz w:val="20"/>
                <w:szCs w:val="20"/>
              </w:rPr>
            </w:pPr>
            <w:r w:rsidRPr="00D178DD">
              <w:rPr>
                <w:rFonts w:cs="Sylfaen"/>
                <w:sz w:val="20"/>
                <w:szCs w:val="20"/>
              </w:rPr>
              <w:t xml:space="preserve">Շինարարություն </w:t>
            </w:r>
          </w:p>
        </w:tc>
        <w:tc>
          <w:tcPr>
            <w:tcW w:w="1191" w:type="dxa"/>
          </w:tcPr>
          <w:p w:rsidR="00D178DD" w:rsidRPr="00D178DD" w:rsidRDefault="00D178DD" w:rsidP="00D178DD">
            <w:pPr>
              <w:spacing w:before="0" w:after="200" w:line="276" w:lineRule="auto"/>
              <w:ind w:firstLine="0"/>
              <w:jc w:val="center"/>
              <w:rPr>
                <w:sz w:val="20"/>
                <w:szCs w:val="20"/>
                <w:lang w:val="hy-AM"/>
              </w:rPr>
            </w:pPr>
            <w:r w:rsidRPr="00D178DD">
              <w:rPr>
                <w:color w:val="000000"/>
                <w:sz w:val="20"/>
                <w:szCs w:val="20"/>
              </w:rPr>
              <w:t>6.5</w:t>
            </w:r>
          </w:p>
        </w:tc>
        <w:tc>
          <w:tcPr>
            <w:tcW w:w="1134" w:type="dxa"/>
          </w:tcPr>
          <w:p w:rsidR="00D178DD" w:rsidRPr="00D178DD" w:rsidRDefault="00D178DD" w:rsidP="00D178DD">
            <w:pPr>
              <w:spacing w:before="0" w:after="200" w:line="276" w:lineRule="auto"/>
              <w:ind w:firstLine="0"/>
              <w:jc w:val="center"/>
              <w:rPr>
                <w:sz w:val="20"/>
                <w:szCs w:val="20"/>
                <w:lang w:val="hy-AM"/>
              </w:rPr>
            </w:pPr>
            <w:r w:rsidRPr="00D178DD">
              <w:rPr>
                <w:color w:val="000000"/>
                <w:sz w:val="20"/>
                <w:szCs w:val="20"/>
              </w:rPr>
              <w:t>-5.9</w:t>
            </w:r>
          </w:p>
        </w:tc>
        <w:tc>
          <w:tcPr>
            <w:tcW w:w="1153" w:type="dxa"/>
          </w:tcPr>
          <w:p w:rsidR="00D178DD" w:rsidRPr="00D178DD" w:rsidRDefault="00D178DD" w:rsidP="00D178DD">
            <w:pPr>
              <w:spacing w:before="0" w:after="200" w:line="276" w:lineRule="auto"/>
              <w:ind w:firstLine="0"/>
              <w:jc w:val="center"/>
              <w:rPr>
                <w:sz w:val="20"/>
                <w:szCs w:val="20"/>
                <w:lang w:val="hy-AM"/>
              </w:rPr>
            </w:pPr>
            <w:r w:rsidRPr="00D178DD">
              <w:rPr>
                <w:color w:val="000000"/>
                <w:sz w:val="20"/>
                <w:szCs w:val="20"/>
              </w:rPr>
              <w:t>3.1</w:t>
            </w:r>
          </w:p>
        </w:tc>
        <w:tc>
          <w:tcPr>
            <w:tcW w:w="1134" w:type="dxa"/>
            <w:shd w:val="clear" w:color="auto" w:fill="D9E2F3"/>
          </w:tcPr>
          <w:p w:rsidR="00D178DD" w:rsidRPr="00D178DD" w:rsidRDefault="00D178DD" w:rsidP="00D178DD">
            <w:pPr>
              <w:spacing w:before="0" w:line="276" w:lineRule="auto"/>
              <w:ind w:firstLine="0"/>
              <w:jc w:val="center"/>
              <w:rPr>
                <w:sz w:val="20"/>
                <w:szCs w:val="20"/>
                <w:lang w:val="hy-AM"/>
              </w:rPr>
            </w:pPr>
            <w:r w:rsidRPr="00D178DD">
              <w:rPr>
                <w:color w:val="000000"/>
                <w:sz w:val="20"/>
                <w:szCs w:val="20"/>
              </w:rPr>
              <w:t>16.9</w:t>
            </w:r>
          </w:p>
        </w:tc>
        <w:tc>
          <w:tcPr>
            <w:tcW w:w="1281" w:type="dxa"/>
            <w:shd w:val="clear" w:color="auto" w:fill="D9E2F3"/>
          </w:tcPr>
          <w:p w:rsidR="00D178DD" w:rsidRPr="00D178DD" w:rsidRDefault="00D178DD" w:rsidP="00D178DD">
            <w:pPr>
              <w:spacing w:before="0" w:line="276" w:lineRule="auto"/>
              <w:ind w:firstLine="0"/>
              <w:jc w:val="center"/>
              <w:rPr>
                <w:sz w:val="20"/>
                <w:szCs w:val="20"/>
                <w:lang w:val="hy-AM"/>
              </w:rPr>
            </w:pPr>
            <w:r w:rsidRPr="00D178DD">
              <w:rPr>
                <w:color w:val="000000"/>
                <w:sz w:val="20"/>
                <w:szCs w:val="20"/>
              </w:rPr>
              <w:t>9.6</w:t>
            </w:r>
          </w:p>
        </w:tc>
      </w:tr>
      <w:tr w:rsidR="00D178DD" w:rsidRPr="00D178DD" w:rsidTr="004B2286">
        <w:trPr>
          <w:trHeight w:val="258"/>
        </w:trPr>
        <w:tc>
          <w:tcPr>
            <w:tcW w:w="3595" w:type="dxa"/>
            <w:noWrap/>
          </w:tcPr>
          <w:p w:rsidR="00D178DD" w:rsidRPr="00D178DD" w:rsidRDefault="00D178DD" w:rsidP="00D178DD">
            <w:pPr>
              <w:spacing w:before="0" w:line="276" w:lineRule="auto"/>
              <w:ind w:firstLine="0"/>
              <w:rPr>
                <w:rFonts w:cs="Sylfaen"/>
                <w:sz w:val="20"/>
                <w:szCs w:val="20"/>
              </w:rPr>
            </w:pPr>
            <w:r w:rsidRPr="00D178DD">
              <w:rPr>
                <w:rFonts w:cs="Sylfaen"/>
                <w:sz w:val="20"/>
                <w:szCs w:val="20"/>
              </w:rPr>
              <w:t>Ծառայություններ</w:t>
            </w:r>
          </w:p>
        </w:tc>
        <w:tc>
          <w:tcPr>
            <w:tcW w:w="1191" w:type="dxa"/>
          </w:tcPr>
          <w:p w:rsidR="00D178DD" w:rsidRPr="00D178DD" w:rsidRDefault="00D178DD" w:rsidP="00D178DD">
            <w:pPr>
              <w:spacing w:before="0" w:after="200" w:line="276" w:lineRule="auto"/>
              <w:ind w:firstLine="0"/>
              <w:jc w:val="center"/>
              <w:rPr>
                <w:sz w:val="20"/>
                <w:szCs w:val="20"/>
                <w:lang w:val="hy-AM"/>
              </w:rPr>
            </w:pPr>
            <w:r w:rsidRPr="00D178DD">
              <w:rPr>
                <w:color w:val="000000"/>
                <w:sz w:val="20"/>
                <w:szCs w:val="20"/>
              </w:rPr>
              <w:t>10.0</w:t>
            </w:r>
          </w:p>
        </w:tc>
        <w:tc>
          <w:tcPr>
            <w:tcW w:w="1134" w:type="dxa"/>
          </w:tcPr>
          <w:p w:rsidR="00D178DD" w:rsidRPr="00D178DD" w:rsidRDefault="00D178DD" w:rsidP="00D178DD">
            <w:pPr>
              <w:spacing w:before="0" w:after="200" w:line="276" w:lineRule="auto"/>
              <w:ind w:firstLine="0"/>
              <w:jc w:val="center"/>
              <w:rPr>
                <w:sz w:val="20"/>
                <w:szCs w:val="20"/>
                <w:lang w:val="hy-AM"/>
              </w:rPr>
            </w:pPr>
            <w:r w:rsidRPr="00D178DD">
              <w:rPr>
                <w:color w:val="000000"/>
                <w:sz w:val="20"/>
                <w:szCs w:val="20"/>
              </w:rPr>
              <w:t>-9.6</w:t>
            </w:r>
          </w:p>
        </w:tc>
        <w:tc>
          <w:tcPr>
            <w:tcW w:w="1153" w:type="dxa"/>
          </w:tcPr>
          <w:p w:rsidR="00D178DD" w:rsidRPr="00D178DD" w:rsidRDefault="00D178DD" w:rsidP="00D178DD">
            <w:pPr>
              <w:spacing w:before="0" w:after="200" w:line="276" w:lineRule="auto"/>
              <w:ind w:firstLine="0"/>
              <w:jc w:val="center"/>
              <w:rPr>
                <w:sz w:val="20"/>
                <w:szCs w:val="20"/>
                <w:lang w:val="hy-AM"/>
              </w:rPr>
            </w:pPr>
            <w:r w:rsidRPr="00D178DD">
              <w:rPr>
                <w:color w:val="000000"/>
                <w:sz w:val="20"/>
                <w:szCs w:val="20"/>
              </w:rPr>
              <w:t>7.9</w:t>
            </w:r>
          </w:p>
        </w:tc>
        <w:tc>
          <w:tcPr>
            <w:tcW w:w="1134" w:type="dxa"/>
            <w:shd w:val="clear" w:color="auto" w:fill="D9E2F3"/>
          </w:tcPr>
          <w:p w:rsidR="00D178DD" w:rsidRPr="00D178DD" w:rsidRDefault="00D178DD" w:rsidP="00D178DD">
            <w:pPr>
              <w:spacing w:before="0" w:line="276" w:lineRule="auto"/>
              <w:ind w:firstLine="0"/>
              <w:jc w:val="center"/>
              <w:rPr>
                <w:sz w:val="20"/>
                <w:szCs w:val="20"/>
              </w:rPr>
            </w:pPr>
            <w:r w:rsidRPr="00D178DD">
              <w:rPr>
                <w:color w:val="000000"/>
                <w:sz w:val="20"/>
                <w:szCs w:val="20"/>
              </w:rPr>
              <w:t>15.6</w:t>
            </w:r>
          </w:p>
        </w:tc>
        <w:tc>
          <w:tcPr>
            <w:tcW w:w="1281" w:type="dxa"/>
            <w:shd w:val="clear" w:color="auto" w:fill="D9E2F3"/>
          </w:tcPr>
          <w:p w:rsidR="00D178DD" w:rsidRPr="00D178DD" w:rsidRDefault="00D178DD" w:rsidP="00D178DD">
            <w:pPr>
              <w:spacing w:before="0" w:line="276" w:lineRule="auto"/>
              <w:ind w:firstLine="0"/>
              <w:jc w:val="center"/>
              <w:rPr>
                <w:sz w:val="20"/>
                <w:szCs w:val="20"/>
              </w:rPr>
            </w:pPr>
            <w:r w:rsidRPr="00D178DD">
              <w:rPr>
                <w:color w:val="000000"/>
                <w:sz w:val="20"/>
                <w:szCs w:val="20"/>
              </w:rPr>
              <w:t>8.2</w:t>
            </w:r>
          </w:p>
        </w:tc>
      </w:tr>
      <w:tr w:rsidR="00D178DD" w:rsidRPr="00D178DD" w:rsidTr="004B2286">
        <w:trPr>
          <w:trHeight w:val="258"/>
        </w:trPr>
        <w:tc>
          <w:tcPr>
            <w:tcW w:w="3595" w:type="dxa"/>
            <w:noWrap/>
          </w:tcPr>
          <w:p w:rsidR="00D178DD" w:rsidRPr="00D178DD" w:rsidRDefault="00D178DD" w:rsidP="00D178DD">
            <w:pPr>
              <w:spacing w:before="0" w:line="276" w:lineRule="auto"/>
              <w:ind w:firstLine="0"/>
              <w:rPr>
                <w:rFonts w:cs="Sylfaen"/>
                <w:sz w:val="20"/>
                <w:szCs w:val="20"/>
              </w:rPr>
            </w:pPr>
            <w:r w:rsidRPr="00D178DD">
              <w:rPr>
                <w:rFonts w:cs="Sylfaen"/>
                <w:sz w:val="20"/>
                <w:szCs w:val="20"/>
              </w:rPr>
              <w:t>Զուտ հարկեր</w:t>
            </w:r>
          </w:p>
        </w:tc>
        <w:tc>
          <w:tcPr>
            <w:tcW w:w="1191" w:type="dxa"/>
          </w:tcPr>
          <w:p w:rsidR="00D178DD" w:rsidRPr="00D178DD" w:rsidRDefault="00D178DD" w:rsidP="00D178DD">
            <w:pPr>
              <w:spacing w:before="0" w:after="200" w:line="276" w:lineRule="auto"/>
              <w:ind w:firstLine="0"/>
              <w:jc w:val="center"/>
              <w:rPr>
                <w:sz w:val="20"/>
                <w:szCs w:val="20"/>
                <w:lang w:val="hy-AM"/>
              </w:rPr>
            </w:pPr>
            <w:r w:rsidRPr="00D178DD">
              <w:rPr>
                <w:color w:val="000000"/>
                <w:sz w:val="20"/>
                <w:szCs w:val="20"/>
              </w:rPr>
              <w:t>7.1</w:t>
            </w:r>
          </w:p>
        </w:tc>
        <w:tc>
          <w:tcPr>
            <w:tcW w:w="1134" w:type="dxa"/>
          </w:tcPr>
          <w:p w:rsidR="00D178DD" w:rsidRPr="00D178DD" w:rsidRDefault="00D178DD" w:rsidP="00D178DD">
            <w:pPr>
              <w:spacing w:before="0" w:after="200" w:line="276" w:lineRule="auto"/>
              <w:ind w:firstLine="0"/>
              <w:jc w:val="center"/>
              <w:rPr>
                <w:sz w:val="20"/>
                <w:szCs w:val="20"/>
                <w:lang w:val="hy-AM"/>
              </w:rPr>
            </w:pPr>
            <w:r w:rsidRPr="00D178DD">
              <w:rPr>
                <w:color w:val="000000"/>
                <w:sz w:val="20"/>
                <w:szCs w:val="20"/>
              </w:rPr>
              <w:t>-9.9</w:t>
            </w:r>
          </w:p>
        </w:tc>
        <w:tc>
          <w:tcPr>
            <w:tcW w:w="1153" w:type="dxa"/>
          </w:tcPr>
          <w:p w:rsidR="00D178DD" w:rsidRPr="00D178DD" w:rsidRDefault="00D178DD" w:rsidP="00D178DD">
            <w:pPr>
              <w:spacing w:before="0" w:after="200" w:line="276" w:lineRule="auto"/>
              <w:ind w:firstLine="0"/>
              <w:jc w:val="center"/>
              <w:rPr>
                <w:sz w:val="20"/>
                <w:szCs w:val="20"/>
                <w:lang w:val="hy-AM"/>
              </w:rPr>
            </w:pPr>
            <w:r w:rsidRPr="00D178DD">
              <w:rPr>
                <w:color w:val="000000"/>
                <w:sz w:val="20"/>
                <w:szCs w:val="20"/>
              </w:rPr>
              <w:t>7.4</w:t>
            </w:r>
          </w:p>
        </w:tc>
        <w:tc>
          <w:tcPr>
            <w:tcW w:w="1134" w:type="dxa"/>
            <w:shd w:val="clear" w:color="auto" w:fill="D9E2F3"/>
          </w:tcPr>
          <w:p w:rsidR="00D178DD" w:rsidRPr="00D178DD" w:rsidRDefault="00D178DD" w:rsidP="00D178DD">
            <w:pPr>
              <w:spacing w:before="0" w:line="276" w:lineRule="auto"/>
              <w:ind w:firstLine="0"/>
              <w:jc w:val="center"/>
              <w:rPr>
                <w:sz w:val="20"/>
                <w:szCs w:val="20"/>
              </w:rPr>
            </w:pPr>
            <w:r w:rsidRPr="00D178DD">
              <w:rPr>
                <w:color w:val="000000"/>
                <w:sz w:val="20"/>
                <w:szCs w:val="20"/>
              </w:rPr>
              <w:t>6.2</w:t>
            </w:r>
          </w:p>
        </w:tc>
        <w:tc>
          <w:tcPr>
            <w:tcW w:w="1281" w:type="dxa"/>
            <w:shd w:val="clear" w:color="auto" w:fill="D9E2F3"/>
          </w:tcPr>
          <w:p w:rsidR="00D178DD" w:rsidRPr="00D178DD" w:rsidRDefault="00D178DD" w:rsidP="00D178DD">
            <w:pPr>
              <w:spacing w:before="0" w:line="276" w:lineRule="auto"/>
              <w:ind w:firstLine="0"/>
              <w:jc w:val="center"/>
              <w:rPr>
                <w:sz w:val="20"/>
                <w:szCs w:val="20"/>
              </w:rPr>
            </w:pPr>
            <w:r w:rsidRPr="00D178DD">
              <w:rPr>
                <w:color w:val="000000"/>
                <w:sz w:val="20"/>
                <w:szCs w:val="20"/>
              </w:rPr>
              <w:t>7.2</w:t>
            </w:r>
          </w:p>
        </w:tc>
      </w:tr>
      <w:tr w:rsidR="00D178DD" w:rsidRPr="00D178DD" w:rsidTr="004B2286">
        <w:trPr>
          <w:trHeight w:val="258"/>
        </w:trPr>
        <w:tc>
          <w:tcPr>
            <w:tcW w:w="9488" w:type="dxa"/>
            <w:gridSpan w:val="6"/>
            <w:shd w:val="clear" w:color="auto" w:fill="auto"/>
            <w:noWrap/>
            <w:vAlign w:val="center"/>
          </w:tcPr>
          <w:p w:rsidR="00D178DD" w:rsidRPr="00D178DD" w:rsidRDefault="00D178DD" w:rsidP="00D178DD">
            <w:pPr>
              <w:spacing w:before="0" w:line="276" w:lineRule="auto"/>
              <w:jc w:val="center"/>
              <w:rPr>
                <w:rFonts w:cs="Arial"/>
                <w:bCs/>
                <w:sz w:val="20"/>
                <w:szCs w:val="20"/>
              </w:rPr>
            </w:pPr>
            <w:r w:rsidRPr="00D178DD">
              <w:rPr>
                <w:rFonts w:cs="Sylfaen"/>
                <w:sz w:val="20"/>
                <w:szCs w:val="20"/>
                <w:u w:val="single"/>
              </w:rPr>
              <w:t>ՀՆԱ ծախսային բաղադրիչների իրական աճերը, %</w:t>
            </w:r>
          </w:p>
        </w:tc>
      </w:tr>
      <w:tr w:rsidR="00D178DD" w:rsidRPr="00D178DD" w:rsidTr="004B2286">
        <w:trPr>
          <w:trHeight w:val="258"/>
        </w:trPr>
        <w:tc>
          <w:tcPr>
            <w:tcW w:w="3595" w:type="dxa"/>
          </w:tcPr>
          <w:p w:rsidR="00D178DD" w:rsidRPr="00D178DD" w:rsidRDefault="00D178DD" w:rsidP="00D178DD">
            <w:pPr>
              <w:spacing w:before="0" w:line="276" w:lineRule="auto"/>
              <w:ind w:firstLine="0"/>
              <w:rPr>
                <w:rFonts w:cs="Sylfaen"/>
                <w:sz w:val="20"/>
                <w:szCs w:val="20"/>
              </w:rPr>
            </w:pPr>
            <w:r w:rsidRPr="00D178DD">
              <w:rPr>
                <w:rFonts w:cs="Sylfaen"/>
                <w:sz w:val="20"/>
                <w:szCs w:val="20"/>
              </w:rPr>
              <w:t>Վերջնական սպառում</w:t>
            </w:r>
          </w:p>
        </w:tc>
        <w:tc>
          <w:tcPr>
            <w:tcW w:w="1191" w:type="dxa"/>
          </w:tcPr>
          <w:p w:rsidR="00D178DD" w:rsidRPr="00D178DD" w:rsidRDefault="00D178DD" w:rsidP="00D178DD">
            <w:pPr>
              <w:spacing w:before="0" w:line="276" w:lineRule="auto"/>
              <w:ind w:firstLine="0"/>
              <w:jc w:val="center"/>
              <w:rPr>
                <w:color w:val="000000"/>
                <w:sz w:val="20"/>
                <w:szCs w:val="20"/>
              </w:rPr>
            </w:pPr>
            <w:r w:rsidRPr="00D178DD">
              <w:rPr>
                <w:color w:val="000000"/>
                <w:sz w:val="20"/>
                <w:szCs w:val="20"/>
              </w:rPr>
              <w:t>11.7</w:t>
            </w:r>
          </w:p>
        </w:tc>
        <w:tc>
          <w:tcPr>
            <w:tcW w:w="1134" w:type="dxa"/>
          </w:tcPr>
          <w:p w:rsidR="00D178DD" w:rsidRPr="00D178DD" w:rsidRDefault="00D178DD" w:rsidP="00D178DD">
            <w:pPr>
              <w:spacing w:before="0" w:line="276" w:lineRule="auto"/>
              <w:ind w:firstLine="0"/>
              <w:jc w:val="center"/>
              <w:rPr>
                <w:sz w:val="20"/>
                <w:szCs w:val="20"/>
              </w:rPr>
            </w:pPr>
            <w:r w:rsidRPr="00D178DD">
              <w:rPr>
                <w:color w:val="000000"/>
                <w:sz w:val="20"/>
                <w:szCs w:val="20"/>
              </w:rPr>
              <w:t>-10.9</w:t>
            </w:r>
          </w:p>
        </w:tc>
        <w:tc>
          <w:tcPr>
            <w:tcW w:w="1153" w:type="dxa"/>
          </w:tcPr>
          <w:p w:rsidR="00D178DD" w:rsidRPr="00D178DD" w:rsidRDefault="00D178DD" w:rsidP="00D178DD">
            <w:pPr>
              <w:spacing w:before="0" w:line="276" w:lineRule="auto"/>
              <w:ind w:firstLine="0"/>
              <w:jc w:val="center"/>
              <w:rPr>
                <w:sz w:val="20"/>
                <w:szCs w:val="20"/>
              </w:rPr>
            </w:pPr>
            <w:r w:rsidRPr="00D178DD">
              <w:rPr>
                <w:color w:val="000000"/>
                <w:sz w:val="20"/>
                <w:szCs w:val="20"/>
              </w:rPr>
              <w:t>4.4</w:t>
            </w:r>
          </w:p>
        </w:tc>
        <w:tc>
          <w:tcPr>
            <w:tcW w:w="1134" w:type="dxa"/>
            <w:shd w:val="clear" w:color="auto" w:fill="D9E2F3"/>
          </w:tcPr>
          <w:p w:rsidR="00D178DD" w:rsidRPr="00D178DD" w:rsidRDefault="00D178DD" w:rsidP="00D178DD">
            <w:pPr>
              <w:spacing w:before="0" w:line="276" w:lineRule="auto"/>
              <w:ind w:firstLine="0"/>
              <w:jc w:val="center"/>
              <w:rPr>
                <w:sz w:val="20"/>
                <w:szCs w:val="20"/>
              </w:rPr>
            </w:pPr>
            <w:r w:rsidRPr="00D178DD">
              <w:rPr>
                <w:color w:val="000000"/>
                <w:sz w:val="20"/>
                <w:szCs w:val="20"/>
              </w:rPr>
              <w:t>7.8</w:t>
            </w:r>
          </w:p>
        </w:tc>
        <w:tc>
          <w:tcPr>
            <w:tcW w:w="1281" w:type="dxa"/>
            <w:shd w:val="clear" w:color="auto" w:fill="D9E2F3"/>
          </w:tcPr>
          <w:p w:rsidR="00D178DD" w:rsidRPr="00D178DD" w:rsidRDefault="00D178DD" w:rsidP="00D178DD">
            <w:pPr>
              <w:spacing w:before="0" w:line="276" w:lineRule="auto"/>
              <w:ind w:firstLine="0"/>
              <w:jc w:val="center"/>
              <w:rPr>
                <w:sz w:val="20"/>
                <w:szCs w:val="20"/>
              </w:rPr>
            </w:pPr>
            <w:r w:rsidRPr="00D178DD">
              <w:rPr>
                <w:color w:val="000000"/>
                <w:sz w:val="20"/>
                <w:szCs w:val="20"/>
              </w:rPr>
              <w:t>4.0</w:t>
            </w:r>
          </w:p>
        </w:tc>
      </w:tr>
      <w:tr w:rsidR="00D178DD" w:rsidRPr="00D178DD" w:rsidTr="004B2286">
        <w:trPr>
          <w:trHeight w:val="258"/>
        </w:trPr>
        <w:tc>
          <w:tcPr>
            <w:tcW w:w="3595" w:type="dxa"/>
          </w:tcPr>
          <w:p w:rsidR="00D178DD" w:rsidRPr="00D178DD" w:rsidRDefault="00D178DD" w:rsidP="00D178DD">
            <w:pPr>
              <w:spacing w:before="0" w:line="276" w:lineRule="auto"/>
              <w:ind w:firstLine="0"/>
              <w:rPr>
                <w:rFonts w:cs="Sylfaen"/>
                <w:i/>
                <w:sz w:val="20"/>
                <w:szCs w:val="20"/>
              </w:rPr>
            </w:pPr>
            <w:r w:rsidRPr="00D178DD">
              <w:rPr>
                <w:rFonts w:cs="Sylfaen"/>
                <w:i/>
                <w:sz w:val="20"/>
                <w:szCs w:val="20"/>
              </w:rPr>
              <w:t>Պետական</w:t>
            </w:r>
          </w:p>
        </w:tc>
        <w:tc>
          <w:tcPr>
            <w:tcW w:w="1191" w:type="dxa"/>
          </w:tcPr>
          <w:p w:rsidR="00D178DD" w:rsidRPr="00D178DD" w:rsidRDefault="00D178DD" w:rsidP="00D178DD">
            <w:pPr>
              <w:spacing w:before="0" w:line="276" w:lineRule="auto"/>
              <w:ind w:firstLine="0"/>
              <w:jc w:val="center"/>
              <w:rPr>
                <w:color w:val="000000"/>
                <w:sz w:val="20"/>
                <w:szCs w:val="20"/>
              </w:rPr>
            </w:pPr>
            <w:r w:rsidRPr="00D178DD">
              <w:rPr>
                <w:color w:val="000000"/>
                <w:sz w:val="20"/>
                <w:szCs w:val="20"/>
              </w:rPr>
              <w:t>12.9</w:t>
            </w:r>
          </w:p>
        </w:tc>
        <w:tc>
          <w:tcPr>
            <w:tcW w:w="1134" w:type="dxa"/>
          </w:tcPr>
          <w:p w:rsidR="00D178DD" w:rsidRPr="00D178DD" w:rsidRDefault="00D178DD" w:rsidP="00D178DD">
            <w:pPr>
              <w:spacing w:before="0" w:line="276" w:lineRule="auto"/>
              <w:ind w:firstLine="0"/>
              <w:jc w:val="center"/>
              <w:rPr>
                <w:sz w:val="20"/>
                <w:szCs w:val="20"/>
              </w:rPr>
            </w:pPr>
            <w:r w:rsidRPr="00D178DD">
              <w:rPr>
                <w:color w:val="000000"/>
                <w:sz w:val="20"/>
                <w:szCs w:val="20"/>
              </w:rPr>
              <w:t>9.2</w:t>
            </w:r>
          </w:p>
        </w:tc>
        <w:tc>
          <w:tcPr>
            <w:tcW w:w="1153" w:type="dxa"/>
          </w:tcPr>
          <w:p w:rsidR="00D178DD" w:rsidRPr="00D178DD" w:rsidRDefault="00D178DD" w:rsidP="00D178DD">
            <w:pPr>
              <w:spacing w:before="0" w:line="276" w:lineRule="auto"/>
              <w:ind w:firstLine="0"/>
              <w:jc w:val="center"/>
              <w:rPr>
                <w:sz w:val="20"/>
                <w:szCs w:val="20"/>
              </w:rPr>
            </w:pPr>
            <w:r w:rsidRPr="00D178DD">
              <w:rPr>
                <w:color w:val="000000"/>
                <w:sz w:val="20"/>
                <w:szCs w:val="20"/>
              </w:rPr>
              <w:t>8.4</w:t>
            </w:r>
          </w:p>
        </w:tc>
        <w:tc>
          <w:tcPr>
            <w:tcW w:w="1134" w:type="dxa"/>
            <w:shd w:val="clear" w:color="auto" w:fill="D9E2F3"/>
          </w:tcPr>
          <w:p w:rsidR="00D178DD" w:rsidRPr="00D178DD" w:rsidRDefault="00D178DD" w:rsidP="00D178DD">
            <w:pPr>
              <w:spacing w:before="0" w:line="276" w:lineRule="auto"/>
              <w:ind w:firstLine="0"/>
              <w:jc w:val="center"/>
              <w:rPr>
                <w:sz w:val="20"/>
                <w:szCs w:val="20"/>
              </w:rPr>
            </w:pPr>
            <w:r w:rsidRPr="00D178DD">
              <w:rPr>
                <w:color w:val="000000"/>
                <w:sz w:val="20"/>
                <w:szCs w:val="20"/>
              </w:rPr>
              <w:t>-5.3</w:t>
            </w:r>
          </w:p>
        </w:tc>
        <w:tc>
          <w:tcPr>
            <w:tcW w:w="1281" w:type="dxa"/>
            <w:shd w:val="clear" w:color="auto" w:fill="D9E2F3"/>
          </w:tcPr>
          <w:p w:rsidR="00D178DD" w:rsidRPr="00D178DD" w:rsidRDefault="00D178DD" w:rsidP="00D178DD">
            <w:pPr>
              <w:spacing w:before="0" w:line="276" w:lineRule="auto"/>
              <w:ind w:firstLine="0"/>
              <w:jc w:val="center"/>
              <w:rPr>
                <w:sz w:val="20"/>
                <w:szCs w:val="20"/>
                <w:lang w:val="en-US"/>
              </w:rPr>
            </w:pPr>
            <w:r w:rsidRPr="00D178DD">
              <w:rPr>
                <w:color w:val="000000"/>
                <w:sz w:val="20"/>
                <w:szCs w:val="20"/>
                <w:lang w:val="en-US"/>
              </w:rPr>
              <w:t>-2.2</w:t>
            </w:r>
          </w:p>
        </w:tc>
      </w:tr>
      <w:tr w:rsidR="00D178DD" w:rsidRPr="00D178DD" w:rsidTr="004B2286">
        <w:trPr>
          <w:trHeight w:val="258"/>
        </w:trPr>
        <w:tc>
          <w:tcPr>
            <w:tcW w:w="3595" w:type="dxa"/>
          </w:tcPr>
          <w:p w:rsidR="00D178DD" w:rsidRPr="00D178DD" w:rsidRDefault="00D178DD" w:rsidP="00D178DD">
            <w:pPr>
              <w:spacing w:before="0" w:line="276" w:lineRule="auto"/>
              <w:ind w:firstLine="0"/>
              <w:rPr>
                <w:rFonts w:cs="Sylfaen"/>
                <w:i/>
                <w:sz w:val="20"/>
                <w:szCs w:val="20"/>
              </w:rPr>
            </w:pPr>
            <w:r w:rsidRPr="00D178DD">
              <w:rPr>
                <w:rFonts w:cs="Sylfaen"/>
                <w:i/>
                <w:sz w:val="20"/>
                <w:szCs w:val="20"/>
              </w:rPr>
              <w:t>Մասնավոր</w:t>
            </w:r>
          </w:p>
        </w:tc>
        <w:tc>
          <w:tcPr>
            <w:tcW w:w="1191" w:type="dxa"/>
          </w:tcPr>
          <w:p w:rsidR="00D178DD" w:rsidRPr="00D178DD" w:rsidRDefault="00D178DD" w:rsidP="00D178DD">
            <w:pPr>
              <w:spacing w:before="0" w:line="276" w:lineRule="auto"/>
              <w:ind w:firstLine="0"/>
              <w:jc w:val="center"/>
              <w:rPr>
                <w:color w:val="000000"/>
                <w:sz w:val="20"/>
                <w:szCs w:val="20"/>
              </w:rPr>
            </w:pPr>
            <w:r w:rsidRPr="00D178DD">
              <w:rPr>
                <w:color w:val="000000"/>
                <w:sz w:val="20"/>
                <w:szCs w:val="20"/>
              </w:rPr>
              <w:t>11.5</w:t>
            </w:r>
          </w:p>
        </w:tc>
        <w:tc>
          <w:tcPr>
            <w:tcW w:w="1134" w:type="dxa"/>
          </w:tcPr>
          <w:p w:rsidR="00D178DD" w:rsidRPr="00D178DD" w:rsidRDefault="00D178DD" w:rsidP="00D178DD">
            <w:pPr>
              <w:spacing w:before="0" w:line="276" w:lineRule="auto"/>
              <w:ind w:firstLine="0"/>
              <w:jc w:val="center"/>
              <w:rPr>
                <w:sz w:val="20"/>
                <w:szCs w:val="20"/>
              </w:rPr>
            </w:pPr>
            <w:r w:rsidRPr="00D178DD">
              <w:rPr>
                <w:color w:val="000000"/>
                <w:sz w:val="20"/>
                <w:szCs w:val="20"/>
              </w:rPr>
              <w:t>-14.0</w:t>
            </w:r>
          </w:p>
        </w:tc>
        <w:tc>
          <w:tcPr>
            <w:tcW w:w="1153" w:type="dxa"/>
          </w:tcPr>
          <w:p w:rsidR="00D178DD" w:rsidRPr="00D178DD" w:rsidRDefault="00D178DD" w:rsidP="00D178DD">
            <w:pPr>
              <w:spacing w:before="0" w:line="276" w:lineRule="auto"/>
              <w:ind w:firstLine="0"/>
              <w:jc w:val="center"/>
              <w:rPr>
                <w:sz w:val="20"/>
                <w:szCs w:val="20"/>
              </w:rPr>
            </w:pPr>
            <w:r w:rsidRPr="00D178DD">
              <w:rPr>
                <w:color w:val="000000"/>
                <w:sz w:val="20"/>
                <w:szCs w:val="20"/>
              </w:rPr>
              <w:t>3.7</w:t>
            </w:r>
          </w:p>
        </w:tc>
        <w:tc>
          <w:tcPr>
            <w:tcW w:w="1134" w:type="dxa"/>
            <w:shd w:val="clear" w:color="auto" w:fill="D9E2F3"/>
          </w:tcPr>
          <w:p w:rsidR="00D178DD" w:rsidRPr="00D178DD" w:rsidRDefault="00D178DD" w:rsidP="00D178DD">
            <w:pPr>
              <w:spacing w:before="0" w:line="276" w:lineRule="auto"/>
              <w:ind w:firstLine="0"/>
              <w:jc w:val="center"/>
              <w:rPr>
                <w:sz w:val="20"/>
                <w:szCs w:val="20"/>
              </w:rPr>
            </w:pPr>
            <w:r w:rsidRPr="00D178DD">
              <w:rPr>
                <w:color w:val="000000"/>
                <w:sz w:val="20"/>
                <w:szCs w:val="20"/>
              </w:rPr>
              <w:t>10.7</w:t>
            </w:r>
          </w:p>
        </w:tc>
        <w:tc>
          <w:tcPr>
            <w:tcW w:w="1281" w:type="dxa"/>
            <w:shd w:val="clear" w:color="auto" w:fill="D9E2F3"/>
          </w:tcPr>
          <w:p w:rsidR="00D178DD" w:rsidRPr="00D178DD" w:rsidRDefault="00D178DD" w:rsidP="00D178DD">
            <w:pPr>
              <w:spacing w:before="0" w:after="200" w:line="276" w:lineRule="auto"/>
              <w:ind w:firstLine="0"/>
              <w:jc w:val="center"/>
              <w:rPr>
                <w:sz w:val="20"/>
                <w:szCs w:val="20"/>
                <w:lang w:val="en-US"/>
              </w:rPr>
            </w:pPr>
            <w:r w:rsidRPr="00D178DD">
              <w:rPr>
                <w:color w:val="000000"/>
                <w:sz w:val="20"/>
                <w:szCs w:val="20"/>
                <w:lang w:val="en-US"/>
              </w:rPr>
              <w:t>5.2</w:t>
            </w:r>
          </w:p>
        </w:tc>
      </w:tr>
      <w:tr w:rsidR="00D178DD" w:rsidRPr="00D178DD" w:rsidTr="004B2286">
        <w:trPr>
          <w:trHeight w:val="258"/>
        </w:trPr>
        <w:tc>
          <w:tcPr>
            <w:tcW w:w="3595" w:type="dxa"/>
          </w:tcPr>
          <w:p w:rsidR="00D178DD" w:rsidRPr="00D178DD" w:rsidRDefault="00D178DD" w:rsidP="00D178DD">
            <w:pPr>
              <w:spacing w:before="0" w:line="276" w:lineRule="auto"/>
              <w:ind w:firstLine="0"/>
              <w:jc w:val="left"/>
              <w:rPr>
                <w:rFonts w:cs="Sylfaen"/>
                <w:sz w:val="20"/>
                <w:szCs w:val="20"/>
              </w:rPr>
            </w:pPr>
            <w:r w:rsidRPr="00D178DD">
              <w:rPr>
                <w:rFonts w:cs="Sylfaen"/>
                <w:sz w:val="20"/>
                <w:szCs w:val="20"/>
              </w:rPr>
              <w:t>Հիմնական միջոցներում ներդրումներ</w:t>
            </w:r>
            <w:r w:rsidRPr="00D178DD">
              <w:rPr>
                <w:rFonts w:cs="Sylfaen"/>
                <w:sz w:val="20"/>
                <w:szCs w:val="20"/>
                <w:vertAlign w:val="superscript"/>
              </w:rPr>
              <w:footnoteReference w:id="1"/>
            </w:r>
          </w:p>
        </w:tc>
        <w:tc>
          <w:tcPr>
            <w:tcW w:w="1191" w:type="dxa"/>
          </w:tcPr>
          <w:p w:rsidR="00D178DD" w:rsidRPr="00D178DD" w:rsidRDefault="00D178DD" w:rsidP="00D178DD">
            <w:pPr>
              <w:spacing w:before="0" w:line="276" w:lineRule="auto"/>
              <w:ind w:firstLine="0"/>
              <w:jc w:val="center"/>
              <w:rPr>
                <w:color w:val="000000"/>
                <w:sz w:val="20"/>
                <w:szCs w:val="20"/>
              </w:rPr>
            </w:pPr>
            <w:r w:rsidRPr="00D178DD">
              <w:rPr>
                <w:color w:val="000000"/>
                <w:sz w:val="20"/>
                <w:szCs w:val="20"/>
              </w:rPr>
              <w:t>4.4</w:t>
            </w:r>
          </w:p>
        </w:tc>
        <w:tc>
          <w:tcPr>
            <w:tcW w:w="1134" w:type="dxa"/>
          </w:tcPr>
          <w:p w:rsidR="00D178DD" w:rsidRPr="00D178DD" w:rsidRDefault="00D178DD" w:rsidP="00D178DD">
            <w:pPr>
              <w:spacing w:before="0" w:line="276" w:lineRule="auto"/>
              <w:ind w:firstLine="0"/>
              <w:jc w:val="center"/>
              <w:rPr>
                <w:sz w:val="20"/>
                <w:szCs w:val="20"/>
              </w:rPr>
            </w:pPr>
            <w:r w:rsidRPr="00D178DD">
              <w:rPr>
                <w:color w:val="000000"/>
                <w:sz w:val="20"/>
                <w:szCs w:val="20"/>
              </w:rPr>
              <w:t>-1.5</w:t>
            </w:r>
          </w:p>
        </w:tc>
        <w:tc>
          <w:tcPr>
            <w:tcW w:w="1153" w:type="dxa"/>
          </w:tcPr>
          <w:p w:rsidR="00D178DD" w:rsidRPr="00D178DD" w:rsidRDefault="00D178DD" w:rsidP="00D178DD">
            <w:pPr>
              <w:spacing w:before="0" w:line="276" w:lineRule="auto"/>
              <w:ind w:firstLine="0"/>
              <w:jc w:val="center"/>
              <w:rPr>
                <w:sz w:val="20"/>
                <w:szCs w:val="20"/>
              </w:rPr>
            </w:pPr>
            <w:r w:rsidRPr="00D178DD">
              <w:rPr>
                <w:color w:val="000000"/>
                <w:sz w:val="20"/>
                <w:szCs w:val="20"/>
              </w:rPr>
              <w:t>6.3</w:t>
            </w:r>
          </w:p>
        </w:tc>
        <w:tc>
          <w:tcPr>
            <w:tcW w:w="1134" w:type="dxa"/>
            <w:shd w:val="clear" w:color="auto" w:fill="D9E2F3"/>
          </w:tcPr>
          <w:p w:rsidR="00D178DD" w:rsidRPr="00D178DD" w:rsidRDefault="00D178DD" w:rsidP="00D178DD">
            <w:pPr>
              <w:spacing w:before="0" w:line="276" w:lineRule="auto"/>
              <w:ind w:firstLine="0"/>
              <w:jc w:val="center"/>
              <w:rPr>
                <w:sz w:val="20"/>
                <w:szCs w:val="20"/>
              </w:rPr>
            </w:pPr>
            <w:r w:rsidRPr="00D178DD">
              <w:rPr>
                <w:color w:val="000000"/>
                <w:sz w:val="20"/>
                <w:szCs w:val="20"/>
              </w:rPr>
              <w:t>18.3</w:t>
            </w:r>
          </w:p>
        </w:tc>
        <w:tc>
          <w:tcPr>
            <w:tcW w:w="1281" w:type="dxa"/>
            <w:shd w:val="clear" w:color="auto" w:fill="D9E2F3"/>
          </w:tcPr>
          <w:p w:rsidR="00D178DD" w:rsidRPr="00D178DD" w:rsidRDefault="00D178DD" w:rsidP="00D178DD">
            <w:pPr>
              <w:spacing w:before="0" w:line="276" w:lineRule="auto"/>
              <w:ind w:firstLine="0"/>
              <w:jc w:val="center"/>
              <w:rPr>
                <w:sz w:val="20"/>
                <w:szCs w:val="20"/>
              </w:rPr>
            </w:pPr>
            <w:r w:rsidRPr="00D178DD">
              <w:rPr>
                <w:color w:val="000000"/>
                <w:sz w:val="20"/>
                <w:szCs w:val="20"/>
              </w:rPr>
              <w:t>18.4</w:t>
            </w:r>
          </w:p>
        </w:tc>
      </w:tr>
      <w:tr w:rsidR="00D178DD" w:rsidRPr="00D178DD" w:rsidTr="004B2286">
        <w:trPr>
          <w:trHeight w:val="258"/>
        </w:trPr>
        <w:tc>
          <w:tcPr>
            <w:tcW w:w="3595" w:type="dxa"/>
          </w:tcPr>
          <w:p w:rsidR="00D178DD" w:rsidRPr="00D178DD" w:rsidRDefault="00D178DD" w:rsidP="00D178DD">
            <w:pPr>
              <w:spacing w:before="0" w:line="276" w:lineRule="auto"/>
              <w:ind w:firstLine="0"/>
              <w:rPr>
                <w:rFonts w:cs="Sylfaen"/>
                <w:i/>
                <w:sz w:val="20"/>
                <w:szCs w:val="20"/>
              </w:rPr>
            </w:pPr>
            <w:r w:rsidRPr="00D178DD">
              <w:rPr>
                <w:rFonts w:cs="Sylfaen"/>
                <w:i/>
                <w:sz w:val="20"/>
                <w:szCs w:val="20"/>
              </w:rPr>
              <w:t>Պետական</w:t>
            </w:r>
          </w:p>
        </w:tc>
        <w:tc>
          <w:tcPr>
            <w:tcW w:w="1191" w:type="dxa"/>
          </w:tcPr>
          <w:p w:rsidR="00D178DD" w:rsidRPr="00D178DD" w:rsidRDefault="00D178DD" w:rsidP="00D178DD">
            <w:pPr>
              <w:spacing w:before="0" w:line="276" w:lineRule="auto"/>
              <w:ind w:firstLine="0"/>
              <w:jc w:val="center"/>
              <w:rPr>
                <w:color w:val="000000"/>
                <w:sz w:val="20"/>
                <w:szCs w:val="20"/>
              </w:rPr>
            </w:pPr>
            <w:r w:rsidRPr="00D178DD">
              <w:rPr>
                <w:color w:val="000000"/>
                <w:sz w:val="20"/>
                <w:szCs w:val="20"/>
              </w:rPr>
              <w:t>13.7</w:t>
            </w:r>
          </w:p>
        </w:tc>
        <w:tc>
          <w:tcPr>
            <w:tcW w:w="1134" w:type="dxa"/>
          </w:tcPr>
          <w:p w:rsidR="00D178DD" w:rsidRPr="00D178DD" w:rsidRDefault="00D178DD" w:rsidP="00D178DD">
            <w:pPr>
              <w:spacing w:before="0" w:line="276" w:lineRule="auto"/>
              <w:ind w:firstLine="0"/>
              <w:jc w:val="center"/>
              <w:rPr>
                <w:sz w:val="20"/>
                <w:szCs w:val="20"/>
              </w:rPr>
            </w:pPr>
            <w:r w:rsidRPr="00D178DD">
              <w:rPr>
                <w:color w:val="000000"/>
                <w:sz w:val="20"/>
                <w:szCs w:val="20"/>
              </w:rPr>
              <w:t>6.1</w:t>
            </w:r>
          </w:p>
        </w:tc>
        <w:tc>
          <w:tcPr>
            <w:tcW w:w="1153" w:type="dxa"/>
          </w:tcPr>
          <w:p w:rsidR="00D178DD" w:rsidRPr="00D178DD" w:rsidRDefault="00D178DD" w:rsidP="00D178DD">
            <w:pPr>
              <w:spacing w:before="0" w:line="276" w:lineRule="auto"/>
              <w:ind w:firstLine="0"/>
              <w:jc w:val="center"/>
              <w:rPr>
                <w:sz w:val="20"/>
                <w:szCs w:val="20"/>
              </w:rPr>
            </w:pPr>
            <w:r w:rsidRPr="00D178DD">
              <w:rPr>
                <w:color w:val="000000"/>
                <w:sz w:val="20"/>
                <w:szCs w:val="20"/>
              </w:rPr>
              <w:t>26.0</w:t>
            </w:r>
          </w:p>
        </w:tc>
        <w:tc>
          <w:tcPr>
            <w:tcW w:w="1134" w:type="dxa"/>
            <w:shd w:val="clear" w:color="auto" w:fill="D9E2F3"/>
          </w:tcPr>
          <w:p w:rsidR="00D178DD" w:rsidRPr="00D178DD" w:rsidRDefault="00D178DD" w:rsidP="00D178DD">
            <w:pPr>
              <w:spacing w:before="0" w:line="276" w:lineRule="auto"/>
              <w:ind w:firstLine="0"/>
              <w:jc w:val="center"/>
              <w:rPr>
                <w:sz w:val="20"/>
                <w:szCs w:val="20"/>
              </w:rPr>
            </w:pPr>
            <w:r w:rsidRPr="00D178DD">
              <w:rPr>
                <w:color w:val="000000"/>
                <w:sz w:val="20"/>
                <w:szCs w:val="20"/>
              </w:rPr>
              <w:t>19.4</w:t>
            </w:r>
          </w:p>
        </w:tc>
        <w:tc>
          <w:tcPr>
            <w:tcW w:w="1281" w:type="dxa"/>
            <w:shd w:val="clear" w:color="auto" w:fill="D9E2F3"/>
          </w:tcPr>
          <w:p w:rsidR="00D178DD" w:rsidRPr="00D178DD" w:rsidRDefault="00D178DD" w:rsidP="00D178DD">
            <w:pPr>
              <w:spacing w:before="0" w:line="276" w:lineRule="auto"/>
              <w:ind w:firstLine="0"/>
              <w:jc w:val="center"/>
              <w:rPr>
                <w:sz w:val="20"/>
                <w:szCs w:val="20"/>
                <w:lang w:val="en-US"/>
              </w:rPr>
            </w:pPr>
            <w:r w:rsidRPr="00D178DD">
              <w:rPr>
                <w:color w:val="000000"/>
                <w:sz w:val="20"/>
                <w:szCs w:val="20"/>
              </w:rPr>
              <w:t>38.1</w:t>
            </w:r>
          </w:p>
        </w:tc>
      </w:tr>
      <w:tr w:rsidR="00D178DD" w:rsidRPr="00D178DD" w:rsidTr="004B2286">
        <w:trPr>
          <w:trHeight w:val="258"/>
        </w:trPr>
        <w:tc>
          <w:tcPr>
            <w:tcW w:w="3595" w:type="dxa"/>
          </w:tcPr>
          <w:p w:rsidR="00D178DD" w:rsidRPr="00D178DD" w:rsidRDefault="00D178DD" w:rsidP="00D178DD">
            <w:pPr>
              <w:spacing w:before="0" w:line="276" w:lineRule="auto"/>
              <w:ind w:firstLine="0"/>
              <w:rPr>
                <w:rFonts w:cs="Sylfaen"/>
                <w:i/>
                <w:sz w:val="20"/>
                <w:szCs w:val="20"/>
              </w:rPr>
            </w:pPr>
            <w:r w:rsidRPr="00D178DD">
              <w:rPr>
                <w:rFonts w:cs="Sylfaen"/>
                <w:i/>
                <w:sz w:val="20"/>
                <w:szCs w:val="20"/>
              </w:rPr>
              <w:t>Մասնավոր</w:t>
            </w:r>
          </w:p>
        </w:tc>
        <w:tc>
          <w:tcPr>
            <w:tcW w:w="1191" w:type="dxa"/>
          </w:tcPr>
          <w:p w:rsidR="00D178DD" w:rsidRPr="00D178DD" w:rsidRDefault="00D178DD" w:rsidP="00D178DD">
            <w:pPr>
              <w:spacing w:before="0" w:line="276" w:lineRule="auto"/>
              <w:ind w:firstLine="0"/>
              <w:jc w:val="center"/>
              <w:rPr>
                <w:color w:val="000000"/>
                <w:sz w:val="20"/>
                <w:szCs w:val="20"/>
              </w:rPr>
            </w:pPr>
            <w:r w:rsidRPr="00D178DD">
              <w:rPr>
                <w:color w:val="000000"/>
                <w:sz w:val="20"/>
                <w:szCs w:val="20"/>
              </w:rPr>
              <w:t>2.6</w:t>
            </w:r>
          </w:p>
        </w:tc>
        <w:tc>
          <w:tcPr>
            <w:tcW w:w="1134" w:type="dxa"/>
          </w:tcPr>
          <w:p w:rsidR="00D178DD" w:rsidRPr="00D178DD" w:rsidRDefault="00D178DD" w:rsidP="00D178DD">
            <w:pPr>
              <w:spacing w:before="0" w:line="276" w:lineRule="auto"/>
              <w:ind w:firstLine="0"/>
              <w:jc w:val="center"/>
              <w:rPr>
                <w:sz w:val="20"/>
                <w:szCs w:val="20"/>
              </w:rPr>
            </w:pPr>
            <w:r w:rsidRPr="00D178DD">
              <w:rPr>
                <w:color w:val="000000"/>
                <w:sz w:val="20"/>
                <w:szCs w:val="20"/>
              </w:rPr>
              <w:t>-3.1</w:t>
            </w:r>
          </w:p>
        </w:tc>
        <w:tc>
          <w:tcPr>
            <w:tcW w:w="1153" w:type="dxa"/>
          </w:tcPr>
          <w:p w:rsidR="00D178DD" w:rsidRPr="00D178DD" w:rsidRDefault="00D178DD" w:rsidP="00D178DD">
            <w:pPr>
              <w:spacing w:before="0" w:line="276" w:lineRule="auto"/>
              <w:ind w:firstLine="0"/>
              <w:jc w:val="center"/>
              <w:rPr>
                <w:sz w:val="20"/>
                <w:szCs w:val="20"/>
              </w:rPr>
            </w:pPr>
            <w:r w:rsidRPr="00D178DD">
              <w:rPr>
                <w:color w:val="000000"/>
                <w:sz w:val="20"/>
                <w:szCs w:val="20"/>
              </w:rPr>
              <w:t>1.7</w:t>
            </w:r>
          </w:p>
        </w:tc>
        <w:tc>
          <w:tcPr>
            <w:tcW w:w="1134" w:type="dxa"/>
            <w:shd w:val="clear" w:color="auto" w:fill="D9E2F3"/>
          </w:tcPr>
          <w:p w:rsidR="00D178DD" w:rsidRPr="00D178DD" w:rsidRDefault="00D178DD" w:rsidP="00D178DD">
            <w:pPr>
              <w:spacing w:before="0" w:line="276" w:lineRule="auto"/>
              <w:ind w:firstLine="0"/>
              <w:jc w:val="center"/>
              <w:rPr>
                <w:sz w:val="20"/>
                <w:szCs w:val="20"/>
              </w:rPr>
            </w:pPr>
            <w:r w:rsidRPr="00D178DD">
              <w:rPr>
                <w:color w:val="000000"/>
                <w:sz w:val="20"/>
                <w:szCs w:val="20"/>
              </w:rPr>
              <w:t>18.0</w:t>
            </w:r>
          </w:p>
        </w:tc>
        <w:tc>
          <w:tcPr>
            <w:tcW w:w="1281" w:type="dxa"/>
            <w:shd w:val="clear" w:color="auto" w:fill="D9E2F3"/>
          </w:tcPr>
          <w:p w:rsidR="00D178DD" w:rsidRPr="00D178DD" w:rsidRDefault="00D178DD" w:rsidP="00D178DD">
            <w:pPr>
              <w:spacing w:before="0" w:line="276" w:lineRule="auto"/>
              <w:ind w:firstLine="0"/>
              <w:jc w:val="center"/>
              <w:rPr>
                <w:sz w:val="20"/>
                <w:szCs w:val="20"/>
              </w:rPr>
            </w:pPr>
            <w:r w:rsidRPr="00D178DD">
              <w:rPr>
                <w:color w:val="000000"/>
                <w:sz w:val="20"/>
                <w:szCs w:val="20"/>
              </w:rPr>
              <w:t>12.7</w:t>
            </w:r>
          </w:p>
        </w:tc>
      </w:tr>
      <w:tr w:rsidR="00D178DD" w:rsidRPr="00D178DD" w:rsidTr="004B2286">
        <w:trPr>
          <w:trHeight w:val="258"/>
        </w:trPr>
        <w:tc>
          <w:tcPr>
            <w:tcW w:w="3595" w:type="dxa"/>
          </w:tcPr>
          <w:p w:rsidR="00D178DD" w:rsidRPr="00D178DD" w:rsidRDefault="00D178DD" w:rsidP="00D178DD">
            <w:pPr>
              <w:spacing w:before="0" w:line="276" w:lineRule="auto"/>
              <w:ind w:firstLine="0"/>
              <w:rPr>
                <w:rFonts w:cs="Sylfaen"/>
                <w:sz w:val="20"/>
                <w:szCs w:val="20"/>
              </w:rPr>
            </w:pPr>
            <w:r w:rsidRPr="00D178DD">
              <w:rPr>
                <w:rFonts w:cs="Sylfaen"/>
                <w:sz w:val="20"/>
                <w:szCs w:val="20"/>
              </w:rPr>
              <w:t xml:space="preserve">Արտահանում </w:t>
            </w:r>
          </w:p>
        </w:tc>
        <w:tc>
          <w:tcPr>
            <w:tcW w:w="1191" w:type="dxa"/>
          </w:tcPr>
          <w:p w:rsidR="00D178DD" w:rsidRPr="00D178DD" w:rsidRDefault="00D178DD" w:rsidP="00D178DD">
            <w:pPr>
              <w:spacing w:before="0" w:line="276" w:lineRule="auto"/>
              <w:ind w:firstLine="0"/>
              <w:jc w:val="center"/>
              <w:rPr>
                <w:color w:val="000000"/>
                <w:sz w:val="20"/>
                <w:szCs w:val="20"/>
              </w:rPr>
            </w:pPr>
            <w:r w:rsidRPr="00D178DD">
              <w:rPr>
                <w:color w:val="000000"/>
                <w:sz w:val="20"/>
                <w:szCs w:val="20"/>
              </w:rPr>
              <w:t>16.0</w:t>
            </w:r>
          </w:p>
        </w:tc>
        <w:tc>
          <w:tcPr>
            <w:tcW w:w="1134" w:type="dxa"/>
          </w:tcPr>
          <w:p w:rsidR="00D178DD" w:rsidRPr="00D178DD" w:rsidRDefault="00D178DD" w:rsidP="00D178DD">
            <w:pPr>
              <w:spacing w:before="0" w:line="276" w:lineRule="auto"/>
              <w:ind w:firstLine="0"/>
              <w:jc w:val="center"/>
              <w:rPr>
                <w:sz w:val="20"/>
                <w:szCs w:val="20"/>
              </w:rPr>
            </w:pPr>
            <w:r w:rsidRPr="00D178DD">
              <w:rPr>
                <w:color w:val="000000"/>
                <w:sz w:val="20"/>
                <w:szCs w:val="20"/>
              </w:rPr>
              <w:t>-33.5</w:t>
            </w:r>
          </w:p>
        </w:tc>
        <w:tc>
          <w:tcPr>
            <w:tcW w:w="1153" w:type="dxa"/>
          </w:tcPr>
          <w:p w:rsidR="00D178DD" w:rsidRPr="00D178DD" w:rsidRDefault="00D178DD" w:rsidP="00D178DD">
            <w:pPr>
              <w:spacing w:before="0" w:line="276" w:lineRule="auto"/>
              <w:ind w:firstLine="0"/>
              <w:jc w:val="center"/>
              <w:rPr>
                <w:sz w:val="20"/>
                <w:szCs w:val="20"/>
              </w:rPr>
            </w:pPr>
            <w:r w:rsidRPr="00D178DD">
              <w:rPr>
                <w:color w:val="000000"/>
                <w:sz w:val="20"/>
                <w:szCs w:val="20"/>
              </w:rPr>
              <w:t>16.6</w:t>
            </w:r>
          </w:p>
        </w:tc>
        <w:tc>
          <w:tcPr>
            <w:tcW w:w="1134" w:type="dxa"/>
            <w:shd w:val="clear" w:color="auto" w:fill="D9E2F3"/>
          </w:tcPr>
          <w:p w:rsidR="00D178DD" w:rsidRPr="00D178DD" w:rsidRDefault="00D178DD" w:rsidP="00D178DD">
            <w:pPr>
              <w:spacing w:before="0" w:line="276" w:lineRule="auto"/>
              <w:ind w:firstLine="0"/>
              <w:jc w:val="center"/>
              <w:rPr>
                <w:sz w:val="20"/>
                <w:szCs w:val="20"/>
              </w:rPr>
            </w:pPr>
            <w:r w:rsidRPr="00D178DD">
              <w:rPr>
                <w:color w:val="000000"/>
                <w:sz w:val="20"/>
                <w:szCs w:val="20"/>
              </w:rPr>
              <w:t>33.9</w:t>
            </w:r>
          </w:p>
        </w:tc>
        <w:tc>
          <w:tcPr>
            <w:tcW w:w="1281" w:type="dxa"/>
            <w:shd w:val="clear" w:color="auto" w:fill="D9E2F3"/>
          </w:tcPr>
          <w:p w:rsidR="00D178DD" w:rsidRPr="00D178DD" w:rsidRDefault="00D178DD" w:rsidP="00D178DD">
            <w:pPr>
              <w:spacing w:before="0" w:line="276" w:lineRule="auto"/>
              <w:ind w:firstLine="0"/>
              <w:jc w:val="center"/>
              <w:rPr>
                <w:sz w:val="20"/>
                <w:szCs w:val="20"/>
              </w:rPr>
            </w:pPr>
            <w:r w:rsidRPr="00D178DD">
              <w:rPr>
                <w:color w:val="000000"/>
                <w:sz w:val="20"/>
                <w:szCs w:val="20"/>
              </w:rPr>
              <w:t>9.3</w:t>
            </w:r>
          </w:p>
        </w:tc>
      </w:tr>
      <w:tr w:rsidR="00D178DD" w:rsidRPr="00D178DD" w:rsidTr="004B2286">
        <w:trPr>
          <w:trHeight w:val="272"/>
        </w:trPr>
        <w:tc>
          <w:tcPr>
            <w:tcW w:w="3595" w:type="dxa"/>
          </w:tcPr>
          <w:p w:rsidR="00D178DD" w:rsidRPr="00D178DD" w:rsidRDefault="00D178DD" w:rsidP="00D178DD">
            <w:pPr>
              <w:spacing w:before="0" w:line="276" w:lineRule="auto"/>
              <w:ind w:firstLine="0"/>
              <w:rPr>
                <w:rFonts w:cs="Sylfaen"/>
                <w:sz w:val="20"/>
                <w:szCs w:val="20"/>
              </w:rPr>
            </w:pPr>
            <w:r w:rsidRPr="00D178DD">
              <w:rPr>
                <w:rFonts w:cs="Sylfaen"/>
                <w:sz w:val="20"/>
                <w:szCs w:val="20"/>
              </w:rPr>
              <w:t xml:space="preserve">Ներմուծում </w:t>
            </w:r>
          </w:p>
        </w:tc>
        <w:tc>
          <w:tcPr>
            <w:tcW w:w="1191" w:type="dxa"/>
          </w:tcPr>
          <w:p w:rsidR="00D178DD" w:rsidRPr="00D178DD" w:rsidRDefault="00D178DD" w:rsidP="00D178DD">
            <w:pPr>
              <w:spacing w:before="0" w:line="276" w:lineRule="auto"/>
              <w:ind w:firstLine="0"/>
              <w:jc w:val="center"/>
              <w:rPr>
                <w:color w:val="000000"/>
                <w:sz w:val="20"/>
                <w:szCs w:val="20"/>
              </w:rPr>
            </w:pPr>
            <w:r w:rsidRPr="00D178DD">
              <w:rPr>
                <w:color w:val="000000"/>
                <w:sz w:val="20"/>
                <w:szCs w:val="20"/>
              </w:rPr>
              <w:t>11.6</w:t>
            </w:r>
          </w:p>
        </w:tc>
        <w:tc>
          <w:tcPr>
            <w:tcW w:w="1134" w:type="dxa"/>
          </w:tcPr>
          <w:p w:rsidR="00D178DD" w:rsidRPr="00D178DD" w:rsidRDefault="00D178DD" w:rsidP="00D178DD">
            <w:pPr>
              <w:spacing w:before="0" w:line="276" w:lineRule="auto"/>
              <w:ind w:firstLine="0"/>
              <w:jc w:val="center"/>
              <w:rPr>
                <w:sz w:val="20"/>
                <w:szCs w:val="20"/>
              </w:rPr>
            </w:pPr>
            <w:r w:rsidRPr="00D178DD">
              <w:rPr>
                <w:color w:val="000000"/>
                <w:sz w:val="20"/>
                <w:szCs w:val="20"/>
              </w:rPr>
              <w:t>-31.5</w:t>
            </w:r>
          </w:p>
        </w:tc>
        <w:tc>
          <w:tcPr>
            <w:tcW w:w="1153" w:type="dxa"/>
          </w:tcPr>
          <w:p w:rsidR="00D178DD" w:rsidRPr="00D178DD" w:rsidRDefault="00D178DD" w:rsidP="00D178DD">
            <w:pPr>
              <w:spacing w:before="0" w:line="276" w:lineRule="auto"/>
              <w:ind w:firstLine="0"/>
              <w:jc w:val="center"/>
              <w:rPr>
                <w:sz w:val="20"/>
                <w:szCs w:val="20"/>
              </w:rPr>
            </w:pPr>
            <w:r w:rsidRPr="00D178DD">
              <w:rPr>
                <w:color w:val="000000"/>
                <w:sz w:val="20"/>
                <w:szCs w:val="20"/>
              </w:rPr>
              <w:t>12.9</w:t>
            </w:r>
          </w:p>
        </w:tc>
        <w:tc>
          <w:tcPr>
            <w:tcW w:w="1134" w:type="dxa"/>
            <w:shd w:val="clear" w:color="auto" w:fill="D9E2F3"/>
          </w:tcPr>
          <w:p w:rsidR="00D178DD" w:rsidRPr="00D178DD" w:rsidRDefault="00D178DD" w:rsidP="00D178DD">
            <w:pPr>
              <w:spacing w:before="0" w:line="276" w:lineRule="auto"/>
              <w:ind w:firstLine="0"/>
              <w:jc w:val="center"/>
              <w:rPr>
                <w:sz w:val="20"/>
                <w:szCs w:val="20"/>
              </w:rPr>
            </w:pPr>
            <w:r w:rsidRPr="00D178DD">
              <w:rPr>
                <w:color w:val="000000"/>
                <w:sz w:val="20"/>
                <w:szCs w:val="20"/>
              </w:rPr>
              <w:t>21.4</w:t>
            </w:r>
          </w:p>
        </w:tc>
        <w:tc>
          <w:tcPr>
            <w:tcW w:w="1281" w:type="dxa"/>
            <w:shd w:val="clear" w:color="auto" w:fill="D9E2F3"/>
          </w:tcPr>
          <w:p w:rsidR="00D178DD" w:rsidRPr="00D178DD" w:rsidRDefault="00D178DD" w:rsidP="00D178DD">
            <w:pPr>
              <w:spacing w:before="0" w:line="276" w:lineRule="auto"/>
              <w:ind w:firstLine="0"/>
              <w:jc w:val="center"/>
              <w:rPr>
                <w:sz w:val="20"/>
                <w:szCs w:val="20"/>
              </w:rPr>
            </w:pPr>
            <w:r w:rsidRPr="00D178DD">
              <w:rPr>
                <w:color w:val="000000"/>
                <w:sz w:val="20"/>
                <w:szCs w:val="20"/>
              </w:rPr>
              <w:t>5.8</w:t>
            </w:r>
          </w:p>
        </w:tc>
      </w:tr>
      <w:tr w:rsidR="00D178DD" w:rsidRPr="00D178DD" w:rsidTr="004B2286">
        <w:trPr>
          <w:trHeight w:val="258"/>
        </w:trPr>
        <w:tc>
          <w:tcPr>
            <w:tcW w:w="9488" w:type="dxa"/>
            <w:gridSpan w:val="6"/>
            <w:shd w:val="clear" w:color="auto" w:fill="auto"/>
            <w:noWrap/>
            <w:vAlign w:val="center"/>
          </w:tcPr>
          <w:p w:rsidR="00D178DD" w:rsidRPr="00D178DD" w:rsidRDefault="00D178DD" w:rsidP="00D178DD">
            <w:pPr>
              <w:spacing w:before="0" w:line="276" w:lineRule="auto"/>
              <w:jc w:val="center"/>
              <w:rPr>
                <w:rFonts w:cs="Arial"/>
                <w:bCs/>
                <w:sz w:val="20"/>
                <w:szCs w:val="20"/>
              </w:rPr>
            </w:pPr>
            <w:r w:rsidRPr="00D178DD">
              <w:rPr>
                <w:rFonts w:cs="Sylfaen"/>
                <w:sz w:val="20"/>
                <w:szCs w:val="20"/>
                <w:u w:val="single"/>
              </w:rPr>
              <w:t>Արտաքին հատված (մլն ԱՄՆ դոլար)</w:t>
            </w:r>
          </w:p>
        </w:tc>
      </w:tr>
      <w:tr w:rsidR="00D178DD" w:rsidRPr="00D178DD" w:rsidTr="004B2286">
        <w:trPr>
          <w:trHeight w:val="258"/>
        </w:trPr>
        <w:tc>
          <w:tcPr>
            <w:tcW w:w="3595" w:type="dxa"/>
            <w:shd w:val="clear" w:color="auto" w:fill="auto"/>
          </w:tcPr>
          <w:p w:rsidR="00D178DD" w:rsidRPr="00D178DD" w:rsidRDefault="00D178DD" w:rsidP="00D178DD">
            <w:pPr>
              <w:spacing w:before="0" w:line="276" w:lineRule="auto"/>
              <w:ind w:firstLine="0"/>
              <w:rPr>
                <w:rFonts w:cs="Sylfaen"/>
                <w:sz w:val="20"/>
                <w:szCs w:val="20"/>
              </w:rPr>
            </w:pPr>
            <w:r w:rsidRPr="00D178DD">
              <w:rPr>
                <w:rFonts w:cs="Sylfaen"/>
                <w:sz w:val="20"/>
                <w:szCs w:val="20"/>
              </w:rPr>
              <w:t>Ընթացիկ հաշիվ</w:t>
            </w:r>
          </w:p>
        </w:tc>
        <w:tc>
          <w:tcPr>
            <w:tcW w:w="1191" w:type="dxa"/>
          </w:tcPr>
          <w:p w:rsidR="00D178DD" w:rsidRPr="00D178DD" w:rsidRDefault="00D178DD" w:rsidP="00D178DD">
            <w:pPr>
              <w:spacing w:before="0" w:line="276" w:lineRule="auto"/>
              <w:ind w:firstLine="0"/>
              <w:jc w:val="center"/>
              <w:rPr>
                <w:color w:val="000000"/>
                <w:sz w:val="20"/>
                <w:szCs w:val="20"/>
              </w:rPr>
            </w:pPr>
            <w:r w:rsidRPr="00D178DD">
              <w:t>-997.0</w:t>
            </w:r>
          </w:p>
        </w:tc>
        <w:tc>
          <w:tcPr>
            <w:tcW w:w="1134" w:type="dxa"/>
          </w:tcPr>
          <w:p w:rsidR="00D178DD" w:rsidRPr="00D178DD" w:rsidRDefault="00D178DD" w:rsidP="00D178DD">
            <w:pPr>
              <w:spacing w:before="0" w:line="276" w:lineRule="auto"/>
              <w:ind w:firstLine="0"/>
              <w:jc w:val="center"/>
              <w:rPr>
                <w:color w:val="000000"/>
                <w:sz w:val="20"/>
                <w:szCs w:val="20"/>
              </w:rPr>
            </w:pPr>
            <w:r w:rsidRPr="00D178DD">
              <w:t>-477.8</w:t>
            </w:r>
          </w:p>
        </w:tc>
        <w:tc>
          <w:tcPr>
            <w:tcW w:w="1153"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-515.1</w:t>
            </w:r>
          </w:p>
        </w:tc>
        <w:tc>
          <w:tcPr>
            <w:tcW w:w="1134"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-768.9</w:t>
            </w:r>
          </w:p>
        </w:tc>
        <w:tc>
          <w:tcPr>
            <w:tcW w:w="1281"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-1,213.7</w:t>
            </w:r>
          </w:p>
        </w:tc>
      </w:tr>
      <w:tr w:rsidR="00D178DD" w:rsidRPr="00D178DD" w:rsidTr="004B2286">
        <w:trPr>
          <w:trHeight w:val="258"/>
        </w:trPr>
        <w:tc>
          <w:tcPr>
            <w:tcW w:w="3595" w:type="dxa"/>
            <w:shd w:val="clear" w:color="auto" w:fill="auto"/>
          </w:tcPr>
          <w:p w:rsidR="00D178DD" w:rsidRPr="00D178DD" w:rsidRDefault="00D178DD" w:rsidP="00D178DD">
            <w:pPr>
              <w:spacing w:before="0" w:line="276" w:lineRule="auto"/>
              <w:ind w:firstLine="0"/>
              <w:jc w:val="left"/>
              <w:rPr>
                <w:rFonts w:cs="Sylfaen"/>
                <w:sz w:val="20"/>
                <w:szCs w:val="20"/>
              </w:rPr>
            </w:pPr>
            <w:r w:rsidRPr="00D178DD">
              <w:rPr>
                <w:rFonts w:cs="Sylfaen"/>
                <w:sz w:val="20"/>
                <w:szCs w:val="20"/>
              </w:rPr>
              <w:t>Ապրանքների և ծառայությունների հաշվեկշիռ</w:t>
            </w:r>
          </w:p>
        </w:tc>
        <w:tc>
          <w:tcPr>
            <w:tcW w:w="1191" w:type="dxa"/>
          </w:tcPr>
          <w:p w:rsidR="00D178DD" w:rsidRPr="00D178DD" w:rsidRDefault="00D178DD" w:rsidP="00D178DD">
            <w:pPr>
              <w:spacing w:before="0" w:line="276" w:lineRule="auto"/>
              <w:ind w:firstLine="0"/>
              <w:jc w:val="center"/>
              <w:rPr>
                <w:color w:val="000000"/>
                <w:sz w:val="20"/>
                <w:szCs w:val="20"/>
              </w:rPr>
            </w:pPr>
            <w:r w:rsidRPr="00D178DD">
              <w:t>-1,809.0</w:t>
            </w:r>
          </w:p>
        </w:tc>
        <w:tc>
          <w:tcPr>
            <w:tcW w:w="1134" w:type="dxa"/>
          </w:tcPr>
          <w:p w:rsidR="00D178DD" w:rsidRPr="00D178DD" w:rsidRDefault="00D178DD" w:rsidP="00D178DD">
            <w:pPr>
              <w:spacing w:before="0" w:line="276" w:lineRule="auto"/>
              <w:ind w:firstLine="0"/>
              <w:jc w:val="center"/>
              <w:rPr>
                <w:color w:val="000000"/>
                <w:sz w:val="20"/>
                <w:szCs w:val="20"/>
              </w:rPr>
            </w:pPr>
            <w:r w:rsidRPr="00D178DD">
              <w:t>-1,264.1</w:t>
            </w:r>
          </w:p>
        </w:tc>
        <w:tc>
          <w:tcPr>
            <w:tcW w:w="1153" w:type="dxa"/>
          </w:tcPr>
          <w:p w:rsidR="00D178DD" w:rsidRPr="00D178DD" w:rsidRDefault="00D178DD" w:rsidP="00D178DD">
            <w:pPr>
              <w:spacing w:before="0" w:line="276" w:lineRule="auto"/>
              <w:ind w:firstLine="0"/>
              <w:jc w:val="center"/>
              <w:rPr>
                <w:color w:val="000000"/>
                <w:sz w:val="20"/>
                <w:szCs w:val="20"/>
              </w:rPr>
            </w:pPr>
            <w:r w:rsidRPr="00D178DD">
              <w:t>-1,107.9</w:t>
            </w:r>
          </w:p>
        </w:tc>
        <w:tc>
          <w:tcPr>
            <w:tcW w:w="1134"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-1,113.0</w:t>
            </w:r>
          </w:p>
        </w:tc>
        <w:tc>
          <w:tcPr>
            <w:tcW w:w="1281"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-1,272.5</w:t>
            </w:r>
          </w:p>
        </w:tc>
      </w:tr>
      <w:tr w:rsidR="00D178DD" w:rsidRPr="00D178DD" w:rsidTr="004B2286">
        <w:trPr>
          <w:trHeight w:val="258"/>
        </w:trPr>
        <w:tc>
          <w:tcPr>
            <w:tcW w:w="0" w:type="dxa"/>
            <w:shd w:val="clear" w:color="auto" w:fill="auto"/>
          </w:tcPr>
          <w:p w:rsidR="00D178DD" w:rsidRPr="00D178DD" w:rsidRDefault="00D178DD" w:rsidP="00D178DD">
            <w:pPr>
              <w:spacing w:before="0" w:line="276" w:lineRule="auto"/>
              <w:ind w:firstLine="0"/>
              <w:rPr>
                <w:rFonts w:cs="Sylfaen"/>
                <w:sz w:val="20"/>
                <w:szCs w:val="20"/>
              </w:rPr>
            </w:pPr>
            <w:r w:rsidRPr="00D178DD">
              <w:rPr>
                <w:rFonts w:cs="Sylfaen"/>
                <w:sz w:val="20"/>
                <w:szCs w:val="20"/>
              </w:rPr>
              <w:t>Արտահանում</w:t>
            </w:r>
          </w:p>
        </w:tc>
        <w:tc>
          <w:tcPr>
            <w:tcW w:w="0" w:type="dxa"/>
          </w:tcPr>
          <w:p w:rsidR="00D178DD" w:rsidRPr="00D178DD" w:rsidRDefault="00D178DD" w:rsidP="00D178DD">
            <w:pPr>
              <w:spacing w:before="0" w:line="276" w:lineRule="auto"/>
              <w:ind w:firstLine="0"/>
              <w:jc w:val="center"/>
              <w:rPr>
                <w:color w:val="000000"/>
                <w:sz w:val="20"/>
                <w:szCs w:val="20"/>
              </w:rPr>
            </w:pPr>
            <w:r w:rsidRPr="00D178DD">
              <w:t>5,794.4</w:t>
            </w:r>
          </w:p>
        </w:tc>
        <w:tc>
          <w:tcPr>
            <w:tcW w:w="0" w:type="dxa"/>
          </w:tcPr>
          <w:p w:rsidR="00D178DD" w:rsidRPr="00D178DD" w:rsidRDefault="00D178DD" w:rsidP="00D178DD">
            <w:pPr>
              <w:spacing w:before="0" w:line="276" w:lineRule="auto"/>
              <w:ind w:firstLine="0"/>
              <w:jc w:val="center"/>
              <w:rPr>
                <w:color w:val="000000"/>
                <w:sz w:val="20"/>
                <w:szCs w:val="20"/>
              </w:rPr>
            </w:pPr>
            <w:r w:rsidRPr="00D178DD">
              <w:t>3,818.2</w:t>
            </w:r>
          </w:p>
        </w:tc>
        <w:tc>
          <w:tcPr>
            <w:tcW w:w="0" w:type="dxa"/>
          </w:tcPr>
          <w:p w:rsidR="00D178DD" w:rsidRPr="00D178DD" w:rsidRDefault="00D178DD" w:rsidP="00D178DD">
            <w:pPr>
              <w:spacing w:before="0" w:line="276" w:lineRule="auto"/>
              <w:ind w:firstLine="0"/>
              <w:jc w:val="center"/>
              <w:rPr>
                <w:color w:val="000000"/>
                <w:sz w:val="20"/>
                <w:szCs w:val="20"/>
              </w:rPr>
            </w:pPr>
            <w:r w:rsidRPr="00D178DD">
              <w:t>5,011.9</w:t>
            </w:r>
          </w:p>
        </w:tc>
        <w:tc>
          <w:tcPr>
            <w:tcW w:w="0"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7,682.8</w:t>
            </w:r>
          </w:p>
        </w:tc>
        <w:tc>
          <w:tcPr>
            <w:tcW w:w="0"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8,784.1</w:t>
            </w:r>
          </w:p>
        </w:tc>
      </w:tr>
      <w:tr w:rsidR="00D178DD" w:rsidRPr="00D178DD" w:rsidTr="004B2286">
        <w:trPr>
          <w:trHeight w:val="258"/>
        </w:trPr>
        <w:tc>
          <w:tcPr>
            <w:tcW w:w="0" w:type="dxa"/>
            <w:shd w:val="clear" w:color="auto" w:fill="auto"/>
          </w:tcPr>
          <w:p w:rsidR="00D178DD" w:rsidRPr="00D178DD" w:rsidRDefault="00D178DD" w:rsidP="00D178DD">
            <w:pPr>
              <w:spacing w:before="0" w:line="276" w:lineRule="auto"/>
              <w:ind w:firstLine="0"/>
              <w:rPr>
                <w:rFonts w:cs="Sylfaen"/>
                <w:sz w:val="20"/>
                <w:szCs w:val="20"/>
              </w:rPr>
            </w:pPr>
            <w:r w:rsidRPr="00D178DD">
              <w:rPr>
                <w:rFonts w:cs="Sylfaen"/>
                <w:sz w:val="20"/>
                <w:szCs w:val="20"/>
              </w:rPr>
              <w:t>Փոփոխություն, %</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17.6</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-34.1</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31.3</w:t>
            </w:r>
          </w:p>
        </w:tc>
        <w:tc>
          <w:tcPr>
            <w:tcW w:w="0"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53.3</w:t>
            </w:r>
          </w:p>
        </w:tc>
        <w:tc>
          <w:tcPr>
            <w:tcW w:w="0"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14.3</w:t>
            </w:r>
          </w:p>
        </w:tc>
      </w:tr>
      <w:tr w:rsidR="00D178DD" w:rsidRPr="00D178DD" w:rsidTr="004B2286">
        <w:trPr>
          <w:trHeight w:val="335"/>
        </w:trPr>
        <w:tc>
          <w:tcPr>
            <w:tcW w:w="0" w:type="dxa"/>
            <w:shd w:val="clear" w:color="auto" w:fill="auto"/>
          </w:tcPr>
          <w:p w:rsidR="00D178DD" w:rsidRPr="00D178DD" w:rsidRDefault="00D178DD" w:rsidP="00D178DD">
            <w:pPr>
              <w:spacing w:before="0" w:line="276" w:lineRule="auto"/>
              <w:ind w:firstLine="0"/>
              <w:rPr>
                <w:rFonts w:cs="Sylfaen"/>
                <w:sz w:val="20"/>
                <w:szCs w:val="20"/>
              </w:rPr>
            </w:pPr>
            <w:r w:rsidRPr="00D178DD">
              <w:rPr>
                <w:rFonts w:cs="Sylfaen"/>
                <w:sz w:val="20"/>
                <w:szCs w:val="20"/>
              </w:rPr>
              <w:t>Ներմուծում</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7,603.4</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5,082.3</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6,119.7</w:t>
            </w:r>
          </w:p>
        </w:tc>
        <w:tc>
          <w:tcPr>
            <w:tcW w:w="0"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8,795.8</w:t>
            </w:r>
          </w:p>
        </w:tc>
        <w:tc>
          <w:tcPr>
            <w:tcW w:w="0"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10,056.6</w:t>
            </w:r>
          </w:p>
        </w:tc>
      </w:tr>
      <w:tr w:rsidR="00D178DD" w:rsidRPr="00D178DD" w:rsidTr="004B2286">
        <w:trPr>
          <w:trHeight w:val="258"/>
        </w:trPr>
        <w:tc>
          <w:tcPr>
            <w:tcW w:w="0" w:type="dxa"/>
            <w:shd w:val="clear" w:color="auto" w:fill="auto"/>
            <w:noWrap/>
          </w:tcPr>
          <w:p w:rsidR="00D178DD" w:rsidRPr="00D178DD" w:rsidRDefault="00D178DD" w:rsidP="00D178DD">
            <w:pPr>
              <w:spacing w:before="0" w:line="276" w:lineRule="auto"/>
              <w:ind w:firstLine="0"/>
              <w:rPr>
                <w:rFonts w:cs="Sylfaen"/>
                <w:sz w:val="20"/>
                <w:szCs w:val="20"/>
              </w:rPr>
            </w:pPr>
            <w:r w:rsidRPr="00D178DD">
              <w:rPr>
                <w:rFonts w:cs="Sylfaen"/>
                <w:sz w:val="20"/>
                <w:szCs w:val="20"/>
              </w:rPr>
              <w:t>Փոփոխություն, %</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13.8</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-33.2</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20.4</w:t>
            </w:r>
          </w:p>
        </w:tc>
        <w:tc>
          <w:tcPr>
            <w:tcW w:w="0"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43.7</w:t>
            </w:r>
          </w:p>
        </w:tc>
        <w:tc>
          <w:tcPr>
            <w:tcW w:w="0"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14.3</w:t>
            </w:r>
          </w:p>
        </w:tc>
      </w:tr>
      <w:tr w:rsidR="00D178DD" w:rsidRPr="00D178DD" w:rsidTr="004B2286">
        <w:trPr>
          <w:trHeight w:val="258"/>
        </w:trPr>
        <w:tc>
          <w:tcPr>
            <w:tcW w:w="0" w:type="dxa"/>
            <w:shd w:val="clear" w:color="auto" w:fill="auto"/>
            <w:noWrap/>
          </w:tcPr>
          <w:p w:rsidR="00D178DD" w:rsidRPr="00D178DD" w:rsidRDefault="00D178DD" w:rsidP="00D178DD">
            <w:pPr>
              <w:spacing w:before="0" w:line="276" w:lineRule="auto"/>
              <w:ind w:firstLine="0"/>
              <w:rPr>
                <w:rFonts w:cs="Sylfaen"/>
                <w:sz w:val="20"/>
                <w:szCs w:val="20"/>
              </w:rPr>
            </w:pPr>
            <w:r w:rsidRPr="00D178DD">
              <w:rPr>
                <w:rFonts w:cs="Sylfaen"/>
                <w:sz w:val="20"/>
                <w:szCs w:val="20"/>
              </w:rPr>
              <w:t>Դրամական փոխանցումներ</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1,162.5</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1,046.2</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1,243.1</w:t>
            </w:r>
          </w:p>
        </w:tc>
        <w:tc>
          <w:tcPr>
            <w:tcW w:w="0"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1,324.1</w:t>
            </w:r>
          </w:p>
        </w:tc>
        <w:tc>
          <w:tcPr>
            <w:tcW w:w="0"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1,371.2</w:t>
            </w:r>
          </w:p>
        </w:tc>
      </w:tr>
      <w:tr w:rsidR="00D178DD" w:rsidRPr="00D178DD" w:rsidTr="004B2286">
        <w:trPr>
          <w:trHeight w:val="177"/>
        </w:trPr>
        <w:tc>
          <w:tcPr>
            <w:tcW w:w="9488" w:type="dxa"/>
            <w:gridSpan w:val="6"/>
            <w:shd w:val="clear" w:color="auto" w:fill="auto"/>
            <w:noWrap/>
            <w:vAlign w:val="center"/>
          </w:tcPr>
          <w:p w:rsidR="00D178DD" w:rsidRPr="00D178DD" w:rsidRDefault="00D178DD" w:rsidP="00D178DD">
            <w:pPr>
              <w:spacing w:before="0" w:line="276" w:lineRule="auto"/>
              <w:jc w:val="center"/>
              <w:rPr>
                <w:sz w:val="20"/>
                <w:szCs w:val="20"/>
              </w:rPr>
            </w:pPr>
            <w:r w:rsidRPr="00D178DD">
              <w:rPr>
                <w:rFonts w:cs="Sylfaen"/>
                <w:sz w:val="20"/>
                <w:szCs w:val="20"/>
                <w:u w:val="single"/>
              </w:rPr>
              <w:t>ՀՆԱ-ի նկատմամբ %</w:t>
            </w:r>
          </w:p>
        </w:tc>
      </w:tr>
      <w:tr w:rsidR="00D178DD" w:rsidRPr="00D178DD" w:rsidTr="004B2286">
        <w:trPr>
          <w:trHeight w:val="258"/>
        </w:trPr>
        <w:tc>
          <w:tcPr>
            <w:tcW w:w="0" w:type="dxa"/>
            <w:shd w:val="clear" w:color="auto" w:fill="auto"/>
            <w:noWrap/>
          </w:tcPr>
          <w:p w:rsidR="00D178DD" w:rsidRPr="00D178DD" w:rsidRDefault="00D178DD" w:rsidP="00D178DD">
            <w:pPr>
              <w:spacing w:before="0" w:line="276" w:lineRule="auto"/>
              <w:ind w:firstLine="0"/>
              <w:rPr>
                <w:rFonts w:cs="Sylfaen"/>
                <w:sz w:val="20"/>
                <w:szCs w:val="20"/>
              </w:rPr>
            </w:pPr>
            <w:r w:rsidRPr="00D178DD">
              <w:rPr>
                <w:rFonts w:cs="Sylfaen"/>
                <w:sz w:val="20"/>
                <w:szCs w:val="20"/>
              </w:rPr>
              <w:t xml:space="preserve">Ընթացիկ հաշիվ </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-7.3</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-3.8</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-3.7</w:t>
            </w:r>
          </w:p>
        </w:tc>
        <w:tc>
          <w:tcPr>
            <w:tcW w:w="0"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-4.2</w:t>
            </w:r>
          </w:p>
        </w:tc>
        <w:tc>
          <w:tcPr>
            <w:tcW w:w="0"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-5.7</w:t>
            </w:r>
          </w:p>
        </w:tc>
      </w:tr>
      <w:tr w:rsidR="00D178DD" w:rsidRPr="00D178DD" w:rsidTr="004B2286">
        <w:trPr>
          <w:trHeight w:val="258"/>
        </w:trPr>
        <w:tc>
          <w:tcPr>
            <w:tcW w:w="0" w:type="dxa"/>
            <w:shd w:val="clear" w:color="auto" w:fill="auto"/>
            <w:noWrap/>
          </w:tcPr>
          <w:p w:rsidR="00D178DD" w:rsidRPr="00D178DD" w:rsidRDefault="00D178DD" w:rsidP="00D178DD">
            <w:pPr>
              <w:spacing w:before="0" w:line="276" w:lineRule="auto"/>
              <w:ind w:firstLine="0"/>
              <w:jc w:val="left"/>
              <w:rPr>
                <w:rFonts w:cs="Sylfaen"/>
                <w:sz w:val="20"/>
                <w:szCs w:val="20"/>
                <w:u w:val="single"/>
              </w:rPr>
            </w:pPr>
            <w:r w:rsidRPr="00D178DD">
              <w:rPr>
                <w:rFonts w:cs="Sylfaen"/>
                <w:sz w:val="20"/>
                <w:szCs w:val="20"/>
              </w:rPr>
              <w:t>Ապրանքների և ծառայությունների հաշվեկշիռ</w:t>
            </w:r>
          </w:p>
        </w:tc>
        <w:tc>
          <w:tcPr>
            <w:tcW w:w="0" w:type="dxa"/>
            <w:shd w:val="clear" w:color="auto" w:fill="auto"/>
            <w:vAlign w:val="center"/>
          </w:tcPr>
          <w:p w:rsidR="00D178DD" w:rsidRPr="00D178DD" w:rsidRDefault="00D178DD" w:rsidP="00D178DD">
            <w:pPr>
              <w:spacing w:before="0" w:line="276" w:lineRule="auto"/>
              <w:ind w:firstLine="0"/>
              <w:jc w:val="center"/>
              <w:rPr>
                <w:color w:val="000000"/>
                <w:sz w:val="20"/>
                <w:szCs w:val="20"/>
              </w:rPr>
            </w:pPr>
            <w:r w:rsidRPr="00D178DD">
              <w:t>-13.3</w:t>
            </w:r>
          </w:p>
        </w:tc>
        <w:tc>
          <w:tcPr>
            <w:tcW w:w="0" w:type="dxa"/>
            <w:shd w:val="clear" w:color="auto" w:fill="auto"/>
            <w:vAlign w:val="center"/>
          </w:tcPr>
          <w:p w:rsidR="00D178DD" w:rsidRPr="00D178DD" w:rsidRDefault="00D178DD" w:rsidP="00D178DD">
            <w:pPr>
              <w:spacing w:before="0" w:line="276" w:lineRule="auto"/>
              <w:ind w:firstLine="0"/>
              <w:jc w:val="center"/>
              <w:rPr>
                <w:color w:val="000000"/>
                <w:sz w:val="20"/>
                <w:szCs w:val="20"/>
              </w:rPr>
            </w:pPr>
            <w:r w:rsidRPr="00D178DD">
              <w:t>-10.0</w:t>
            </w:r>
          </w:p>
        </w:tc>
        <w:tc>
          <w:tcPr>
            <w:tcW w:w="0" w:type="dxa"/>
            <w:shd w:val="clear" w:color="auto" w:fill="auto"/>
            <w:vAlign w:val="center"/>
          </w:tcPr>
          <w:p w:rsidR="00D178DD" w:rsidRPr="00D178DD" w:rsidRDefault="00D178DD" w:rsidP="00D178DD">
            <w:pPr>
              <w:spacing w:before="0" w:line="276" w:lineRule="auto"/>
              <w:ind w:firstLine="0"/>
              <w:jc w:val="center"/>
              <w:rPr>
                <w:color w:val="000000"/>
                <w:sz w:val="20"/>
                <w:szCs w:val="20"/>
              </w:rPr>
            </w:pPr>
            <w:r w:rsidRPr="00D178DD">
              <w:t>-8.0</w:t>
            </w:r>
          </w:p>
        </w:tc>
        <w:tc>
          <w:tcPr>
            <w:tcW w:w="0" w:type="dxa"/>
            <w:shd w:val="clear" w:color="auto" w:fill="D9E2F3"/>
            <w:vAlign w:val="center"/>
          </w:tcPr>
          <w:p w:rsidR="00D178DD" w:rsidRPr="00D178DD" w:rsidRDefault="00D178DD" w:rsidP="00D178DD">
            <w:pPr>
              <w:spacing w:before="0" w:line="276" w:lineRule="auto"/>
              <w:ind w:firstLine="0"/>
              <w:jc w:val="center"/>
              <w:rPr>
                <w:color w:val="000000"/>
                <w:sz w:val="20"/>
                <w:szCs w:val="20"/>
              </w:rPr>
            </w:pPr>
            <w:r w:rsidRPr="00D178DD">
              <w:t>-6.0</w:t>
            </w:r>
          </w:p>
        </w:tc>
        <w:tc>
          <w:tcPr>
            <w:tcW w:w="0" w:type="dxa"/>
            <w:shd w:val="clear" w:color="auto" w:fill="D9E2F3"/>
            <w:vAlign w:val="center"/>
          </w:tcPr>
          <w:p w:rsidR="00D178DD" w:rsidRPr="00D178DD" w:rsidRDefault="00D178DD" w:rsidP="00D178DD">
            <w:pPr>
              <w:spacing w:before="0" w:line="276" w:lineRule="auto"/>
              <w:ind w:firstLine="0"/>
              <w:jc w:val="center"/>
              <w:rPr>
                <w:color w:val="000000"/>
                <w:sz w:val="20"/>
                <w:szCs w:val="20"/>
              </w:rPr>
            </w:pPr>
            <w:r w:rsidRPr="00D178DD">
              <w:t>-6.0</w:t>
            </w:r>
          </w:p>
        </w:tc>
      </w:tr>
      <w:tr w:rsidR="00D178DD" w:rsidRPr="00D178DD" w:rsidTr="004B2286">
        <w:trPr>
          <w:trHeight w:val="258"/>
        </w:trPr>
        <w:tc>
          <w:tcPr>
            <w:tcW w:w="0" w:type="dxa"/>
            <w:shd w:val="clear" w:color="auto" w:fill="auto"/>
          </w:tcPr>
          <w:p w:rsidR="00D178DD" w:rsidRPr="00D178DD" w:rsidRDefault="00D178DD" w:rsidP="00D178DD">
            <w:pPr>
              <w:spacing w:before="0" w:line="276" w:lineRule="auto"/>
              <w:ind w:firstLine="0"/>
              <w:rPr>
                <w:rFonts w:cs="Sylfaen"/>
                <w:sz w:val="20"/>
                <w:szCs w:val="20"/>
              </w:rPr>
            </w:pPr>
            <w:r w:rsidRPr="00D178DD">
              <w:rPr>
                <w:rFonts w:cs="Sylfaen"/>
                <w:sz w:val="20"/>
                <w:szCs w:val="20"/>
              </w:rPr>
              <w:t>Արտահանում</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42.5</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30.2</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36.2</w:t>
            </w:r>
          </w:p>
        </w:tc>
        <w:tc>
          <w:tcPr>
            <w:tcW w:w="0"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41.7</w:t>
            </w:r>
          </w:p>
        </w:tc>
        <w:tc>
          <w:tcPr>
            <w:tcW w:w="0"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41.1</w:t>
            </w:r>
          </w:p>
        </w:tc>
      </w:tr>
      <w:tr w:rsidR="00D178DD" w:rsidRPr="00D178DD" w:rsidTr="004B2286">
        <w:trPr>
          <w:trHeight w:val="258"/>
        </w:trPr>
        <w:tc>
          <w:tcPr>
            <w:tcW w:w="0" w:type="dxa"/>
            <w:shd w:val="clear" w:color="auto" w:fill="auto"/>
          </w:tcPr>
          <w:p w:rsidR="00D178DD" w:rsidRPr="00D178DD" w:rsidRDefault="00D178DD" w:rsidP="00D178DD">
            <w:pPr>
              <w:spacing w:before="0" w:line="276" w:lineRule="auto"/>
              <w:ind w:firstLine="0"/>
              <w:rPr>
                <w:rFonts w:cs="Sylfaen"/>
                <w:sz w:val="20"/>
                <w:szCs w:val="20"/>
              </w:rPr>
            </w:pPr>
            <w:r w:rsidRPr="00D178DD">
              <w:rPr>
                <w:rFonts w:cs="Sylfaen"/>
                <w:sz w:val="20"/>
                <w:szCs w:val="20"/>
              </w:rPr>
              <w:t>Ներմուծում</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55.8</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40.2</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44.1</w:t>
            </w:r>
          </w:p>
        </w:tc>
        <w:tc>
          <w:tcPr>
            <w:tcW w:w="0"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47.8</w:t>
            </w:r>
          </w:p>
        </w:tc>
        <w:tc>
          <w:tcPr>
            <w:tcW w:w="0"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47.1</w:t>
            </w:r>
          </w:p>
        </w:tc>
      </w:tr>
      <w:tr w:rsidR="00D178DD" w:rsidRPr="00D178DD" w:rsidTr="004B2286">
        <w:trPr>
          <w:trHeight w:val="258"/>
        </w:trPr>
        <w:tc>
          <w:tcPr>
            <w:tcW w:w="0" w:type="dxa"/>
            <w:shd w:val="clear" w:color="auto" w:fill="auto"/>
          </w:tcPr>
          <w:p w:rsidR="00D178DD" w:rsidRPr="00D178DD" w:rsidRDefault="00D178DD" w:rsidP="00D178DD">
            <w:pPr>
              <w:spacing w:before="0" w:line="276" w:lineRule="auto"/>
              <w:ind w:firstLine="0"/>
              <w:rPr>
                <w:rFonts w:cs="Sylfaen"/>
                <w:sz w:val="20"/>
                <w:szCs w:val="20"/>
              </w:rPr>
            </w:pPr>
            <w:r w:rsidRPr="00D178DD">
              <w:rPr>
                <w:rFonts w:cs="Sylfaen"/>
                <w:sz w:val="20"/>
                <w:szCs w:val="20"/>
              </w:rPr>
              <w:t>Դրամական փոխանցումներ</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8.5</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8.3</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9.0</w:t>
            </w:r>
          </w:p>
        </w:tc>
        <w:tc>
          <w:tcPr>
            <w:tcW w:w="0"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7.2</w:t>
            </w:r>
          </w:p>
        </w:tc>
        <w:tc>
          <w:tcPr>
            <w:tcW w:w="0"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6.4</w:t>
            </w:r>
          </w:p>
        </w:tc>
      </w:tr>
    </w:tbl>
    <w:p w:rsidR="00D178DD" w:rsidRPr="00D178DD" w:rsidRDefault="00D178DD" w:rsidP="00D178DD">
      <w:pPr>
        <w:keepNext/>
        <w:keepLines/>
        <w:spacing w:before="0" w:after="240" w:line="276" w:lineRule="auto"/>
        <w:outlineLvl w:val="2"/>
        <w:rPr>
          <w:bCs/>
          <w:sz w:val="24"/>
          <w:lang w:val="hy-AM"/>
        </w:rPr>
      </w:pPr>
      <w:bookmarkStart w:id="116" w:name="_Toc51947413"/>
      <w:bookmarkStart w:id="117" w:name="_Toc52452086"/>
      <w:bookmarkStart w:id="118" w:name="_Toc57559413"/>
      <w:bookmarkStart w:id="119" w:name="_Toc83663895"/>
      <w:bookmarkStart w:id="120" w:name="_Toc83972831"/>
      <w:bookmarkStart w:id="121" w:name="_Toc115686017"/>
      <w:bookmarkStart w:id="122" w:name="_Toc120805191"/>
      <w:r w:rsidRPr="00D178DD">
        <w:rPr>
          <w:bCs/>
          <w:sz w:val="24"/>
          <w:lang w:val="hy-AM"/>
        </w:rPr>
        <w:t>1.2. ՀԱՄԱՇԽԱՐՀԱՅԻՆ ՏՆՏԵՍՈՒԹՅԱՆ ԵՎ ԳՈՐԾԸՆԿԵՐ ԵՐԿՐՆԵՐԻ ԶԱՐԳԱՑՈՒՄՆԵՐ ԵՎ ԿԱՆԽԱՏԵՍՈՒՄՆԵՐ</w:t>
      </w:r>
      <w:bookmarkEnd w:id="116"/>
      <w:bookmarkEnd w:id="117"/>
      <w:bookmarkEnd w:id="118"/>
      <w:bookmarkEnd w:id="119"/>
      <w:bookmarkEnd w:id="120"/>
      <w:bookmarkEnd w:id="121"/>
      <w:bookmarkEnd w:id="122"/>
    </w:p>
    <w:p w:rsidR="00D178DD" w:rsidRPr="00D178DD" w:rsidRDefault="00D178DD" w:rsidP="00D178DD">
      <w:pPr>
        <w:spacing w:before="0" w:line="276" w:lineRule="auto"/>
        <w:rPr>
          <w:rFonts w:eastAsia="Calibri"/>
          <w:bCs/>
          <w:lang w:val="hy-AM"/>
        </w:rPr>
      </w:pPr>
    </w:p>
    <w:p w:rsidR="00D178DD" w:rsidRPr="00D178DD" w:rsidRDefault="00D178DD" w:rsidP="00D178DD">
      <w:pPr>
        <w:spacing w:before="0" w:line="276" w:lineRule="auto"/>
        <w:rPr>
          <w:rFonts w:eastAsia="Calibri"/>
          <w:b w:val="0"/>
          <w:lang w:val="hy-AM"/>
        </w:rPr>
      </w:pPr>
      <w:r w:rsidRPr="00D178DD">
        <w:rPr>
          <w:rFonts w:eastAsia="Calibri"/>
          <w:bCs/>
          <w:lang w:val="hy-AM"/>
        </w:rPr>
        <w:t>Համաշխարհային տնտեսությունը կորոնավիրուսի համավարակի (COVID-19) հետևանքով առաջացած խորը անկումից հետո 2021թ. սկսել էր արագ վերականգնվել:</w:t>
      </w:r>
      <w:r w:rsidRPr="00D178DD">
        <w:rPr>
          <w:rFonts w:eastAsia="Calibri"/>
          <w:lang w:val="hy-AM"/>
        </w:rPr>
        <w:t xml:space="preserve"> </w:t>
      </w:r>
      <w:r w:rsidRPr="00D178DD">
        <w:rPr>
          <w:rFonts w:eastAsia="Calibri"/>
          <w:b w:val="0"/>
          <w:lang w:val="hy-AM"/>
        </w:rPr>
        <w:t>Կիրառված հարկաբյուջետային և դրամավարկային աննախադեպ խթանող միջոցառումների, ինչպես նաև պատվաստումների ակտիվ քաղաքականության հետևանքով 2021թ. ինչպես համաշխարհային տնտեսությունը, այնպես էլ հիմնական գործընկեր երկրների տնտեսությունները զգալի աճեր են գրանցել:  Արժույթի միջազգային հիմնադրամի (ԱՄՀ) գնահատականներով 2021թ. համաշխարհային տնտեսական աճը կազմել է 6.1%, իսկ ՀՀ հիմնական գործընկեր երկրներից ՌԴ-ում գրանցվել է 4.7% աճ, Եվրոգոտում 5.4%, ԱՄՆ-ում 5.7% և Չինաստանում՝ 8.1% աճ:</w:t>
      </w:r>
    </w:p>
    <w:p w:rsidR="00D178DD" w:rsidRPr="00D178DD" w:rsidRDefault="00D178DD" w:rsidP="00D178DD">
      <w:pPr>
        <w:spacing w:before="0" w:line="276" w:lineRule="auto"/>
        <w:rPr>
          <w:lang w:val="hy-AM"/>
        </w:rPr>
      </w:pPr>
      <w:r w:rsidRPr="00D178DD">
        <w:rPr>
          <w:rFonts w:cs="Courier New"/>
          <w:lang w:val="hy-AM"/>
        </w:rPr>
        <w:t>Չնայած 2022թ. առաջին եռամսյակում ՀՀ բոլոր հիմնական գործընկեր երկրներում գրանցվել է տնտեսական աճ, սակայն փետրվարի վերջին մեկնարկած ռուս-ուկրաինական հակամարտության և ՌԴ նկատմամբ կիրառվող աննախադեպ պատժամիջոցների կիրառման հետևանքով տնտեսական աճի տեմպերը սկսել են դանդաղել:</w:t>
      </w:r>
      <w:r w:rsidRPr="00D178DD">
        <w:rPr>
          <w:lang w:val="hy-AM"/>
        </w:rPr>
        <w:t xml:space="preserve"> </w:t>
      </w:r>
      <w:r w:rsidRPr="00D178DD">
        <w:rPr>
          <w:b w:val="0"/>
          <w:lang w:val="hy-AM"/>
        </w:rPr>
        <w:t>2022 թվականի առաջին կիսամյակում նախորդ տարվա համապատասխան ժամանակահատվածի նկատմամբ ԱՄՆ տնտեսությունը գրանցել է 2.6% աճ, ընդ որում՝ երկրորդ եռամսյակում արձանագրվել է 1.6% աճ, Եվրոգոտու տնտեսությունն աճել է 4.7%-ով  (երկրորդ եռամսյակում` 4%), իսկ Չինաստանում գրանցվել է 2.6% տնտեսական աճ (երկրորդ եռամսյակում` 0.4%): Ռուսաստանի տնտեսությունը 2022 թվականի առաջին կիսամյակում նախորդ տարվա նույն ժամանակահատվածի նկատմամբ 0.5% նվազում է գրանցել, ընդ որում՝ երկրորդ եռամսյակում տնտեսական անկումներ են գրանցվել։ Այսպես՝ Ռուսաստանի տնտեսական ակտիվությունը մինչև մարտ գրանցած աճի տեմպերի դանդաղումից հետո ապրիլին նախորդ տարվա ապրիլի նկատմամբ նվազել է 2</w:t>
      </w:r>
      <w:r w:rsidRPr="00D178DD">
        <w:rPr>
          <w:rFonts w:ascii="Cambria Math" w:hAnsi="Cambria Math" w:cs="Cambria Math"/>
          <w:b w:val="0"/>
          <w:lang w:val="hy-AM"/>
        </w:rPr>
        <w:t>․</w:t>
      </w:r>
      <w:r w:rsidRPr="00D178DD">
        <w:rPr>
          <w:b w:val="0"/>
          <w:lang w:val="hy-AM"/>
        </w:rPr>
        <w:t>8%-</w:t>
      </w:r>
      <w:r w:rsidRPr="00D178DD">
        <w:rPr>
          <w:rFonts w:cs="GHEA Grapalat"/>
          <w:b w:val="0"/>
          <w:lang w:val="hy-AM"/>
        </w:rPr>
        <w:t>ով</w:t>
      </w:r>
      <w:r w:rsidRPr="00D178DD">
        <w:rPr>
          <w:b w:val="0"/>
          <w:lang w:val="hy-AM"/>
        </w:rPr>
        <w:t xml:space="preserve">, </w:t>
      </w:r>
      <w:r w:rsidRPr="00D178DD">
        <w:rPr>
          <w:rFonts w:cs="GHEA Grapalat"/>
          <w:b w:val="0"/>
          <w:lang w:val="hy-AM"/>
        </w:rPr>
        <w:t>մայիսին՝</w:t>
      </w:r>
      <w:r w:rsidRPr="00D178DD">
        <w:rPr>
          <w:b w:val="0"/>
          <w:lang w:val="hy-AM"/>
        </w:rPr>
        <w:t xml:space="preserve"> 4.3%-</w:t>
      </w:r>
      <w:r w:rsidRPr="00D178DD">
        <w:rPr>
          <w:rFonts w:cs="GHEA Grapalat"/>
          <w:b w:val="0"/>
          <w:lang w:val="hy-AM"/>
        </w:rPr>
        <w:t>ով</w:t>
      </w:r>
      <w:r w:rsidRPr="00D178DD">
        <w:rPr>
          <w:b w:val="0"/>
          <w:lang w:val="hy-AM"/>
        </w:rPr>
        <w:t xml:space="preserve">, </w:t>
      </w:r>
      <w:r w:rsidRPr="00D178DD">
        <w:rPr>
          <w:rFonts w:cs="GHEA Grapalat"/>
          <w:b w:val="0"/>
          <w:lang w:val="hy-AM"/>
        </w:rPr>
        <w:t>ի</w:t>
      </w:r>
      <w:r w:rsidRPr="00D178DD">
        <w:rPr>
          <w:b w:val="0"/>
          <w:lang w:val="hy-AM"/>
        </w:rPr>
        <w:t>սկ հունիսին՝ 4.9%-ով։</w:t>
      </w:r>
    </w:p>
    <w:p w:rsidR="00D178DD" w:rsidRPr="00D178DD" w:rsidRDefault="00D178DD" w:rsidP="00D178DD">
      <w:pPr>
        <w:spacing w:before="0" w:line="276" w:lineRule="auto"/>
        <w:rPr>
          <w:rFonts w:cs="Sylfaen"/>
          <w:b w:val="0"/>
          <w:szCs w:val="22"/>
          <w:lang w:val="hy-AM"/>
        </w:rPr>
      </w:pPr>
      <w:r w:rsidRPr="00D178DD">
        <w:rPr>
          <w:rFonts w:cs="Courier New"/>
          <w:lang w:val="hy-AM"/>
        </w:rPr>
        <w:t>Կանխատեսում:</w:t>
      </w:r>
      <w:r w:rsidRPr="00D178DD">
        <w:rPr>
          <w:rFonts w:cs="Courier New"/>
          <w:b w:val="0"/>
          <w:lang w:val="hy-AM"/>
        </w:rPr>
        <w:t xml:space="preserve"> </w:t>
      </w:r>
      <w:r w:rsidRPr="00D178DD">
        <w:rPr>
          <w:rFonts w:cs="Courier New"/>
          <w:lang w:val="hy-AM"/>
        </w:rPr>
        <w:t>ԱՄՀ հուլիս ամսվա կանխատեսումների համաձայն 2022թ. համաշխարհային տնտեսական աճը կդանդաղի՝ կազմելով 3.2%: 2022թ. ՀՀ հիմնական գործընկեր երկրների տնտեսություններում տեղի կունենան տնտեսական աճի էական դանդաղումներ՝ պայմանավորված ռուս-ուկրաինական հակամարտությամբ, համաշխարհային արժեշղթաների խաթարումներով,  պարենային և հումքային ապրանքների միջազգային գների բարձրացմամբ, դրանց հետևանքով առաջացած բարձր գնաճերին հակազդող աննախադեպ զսպող դրամավարկային քաղաքականություններով ու համաշխարհային ֆինանսական պայմանների խստացմամբ, ինչպես նաև Չինաստանում համավարակի տարածման դեմ կիրառվող սահմանափակող միջոցառումներով:</w:t>
      </w:r>
      <w:r w:rsidRPr="00D178DD">
        <w:rPr>
          <w:rFonts w:cs="Courier New"/>
          <w:b w:val="0"/>
          <w:lang w:val="hy-AM"/>
        </w:rPr>
        <w:t xml:space="preserve"> ՀՀ ամենամեծ առևտևրատնտեսական գործընկեր ՌԴ-ում 2022թ. կանխատեսվում է 6% անկում, որը պայմանավորված է հակամարտության արդյունքում հիմնականում արևմյան երկրների կողմից կիրառվող աննախադեպ լայնածավալ պատժամիջոցների կիրառմամբ: 2022թ. Եվրոգոտում կանխատեսվում է տնտեսական աճի դանդաղում (2.6%), որը հիմնականում պայմանավորված է ռուս-ուկրաինական հակամարտության հետևանքով ՌԴ նկատմամբ կիրառվող պատժամիջացների արդյունքում Եվրոգոտում առևտրային պայմանների (հիմնականում նավթի և գազի գների աճի հետևանքով) կտրուկ վատացմամբ: ԱՄՆ-ում և  Չինաստանում 2022թ. տնտեսական աճերը կկազմեն համապատասախանաբար 2.3% և 3.3%, որոնցից առաջինի դանդաղումը նախորդ կանխատեսումների համեմատ հիմնականում կպայմանավորվի բարձր գնաճով և դրան հակազդող զսպող դրամավարկային քաղաքականությանբ, իսկ երկրորդինը՝ համավարակի տարածման դեմ կիրառվող սահմանափակումներով: Այս զարգացումների հետևանքով </w:t>
      </w:r>
      <w:r w:rsidRPr="00D178DD">
        <w:rPr>
          <w:rFonts w:cs="Sylfaen"/>
          <w:b w:val="0"/>
          <w:szCs w:val="22"/>
          <w:lang w:val="hy-AM"/>
        </w:rPr>
        <w:t>բոլոր գործընկեր երկրներում 2023թ.</w:t>
      </w:r>
      <w:r w:rsidRPr="00D178DD">
        <w:rPr>
          <w:rFonts w:eastAsia="Calibri"/>
          <w:b w:val="0"/>
          <w:lang w:val="hy-AM"/>
        </w:rPr>
        <w:t xml:space="preserve"> </w:t>
      </w:r>
      <w:r w:rsidRPr="00D178DD">
        <w:rPr>
          <w:rFonts w:cs="Sylfaen"/>
          <w:b w:val="0"/>
          <w:szCs w:val="22"/>
          <w:lang w:val="hy-AM"/>
        </w:rPr>
        <w:t xml:space="preserve">կանխատեսվում է  տնտեսական աճերի դանդաղում, իսկ ՌԴ-ում շարունակելու է տնտեսական անկման միտումը: </w:t>
      </w:r>
    </w:p>
    <w:p w:rsidR="00D178DD" w:rsidRPr="00D178DD" w:rsidRDefault="00D178DD" w:rsidP="00D178DD">
      <w:pPr>
        <w:spacing w:before="0" w:line="276" w:lineRule="auto"/>
        <w:rPr>
          <w:rFonts w:cs="Sylfaen"/>
          <w:b w:val="0"/>
          <w:szCs w:val="22"/>
          <w:lang w:val="hy-AM"/>
        </w:rPr>
      </w:pPr>
    </w:p>
    <w:p w:rsidR="00D178DD" w:rsidRPr="00D178DD" w:rsidRDefault="00D178DD" w:rsidP="00D178DD">
      <w:pPr>
        <w:keepNext/>
        <w:keepLines/>
        <w:spacing w:before="0" w:line="276" w:lineRule="auto"/>
        <w:rPr>
          <w:rFonts w:cs="Sylfaen"/>
          <w:b w:val="0"/>
          <w:bCs/>
          <w:i/>
          <w:color w:val="000000"/>
          <w:szCs w:val="22"/>
          <w:lang w:val="hy-AM"/>
        </w:rPr>
      </w:pPr>
      <w:r w:rsidRPr="00D178DD">
        <w:rPr>
          <w:rFonts w:cs="Sylfaen"/>
          <w:bCs/>
          <w:i/>
          <w:color w:val="000000"/>
          <w:szCs w:val="22"/>
          <w:lang w:val="hy-AM"/>
        </w:rPr>
        <w:t xml:space="preserve">Աղյուսակ 1.2. </w:t>
      </w:r>
      <w:r w:rsidRPr="00D178DD">
        <w:rPr>
          <w:rFonts w:cs="Sylfaen"/>
          <w:b w:val="0"/>
          <w:bCs/>
          <w:i/>
          <w:color w:val="000000"/>
          <w:szCs w:val="22"/>
          <w:lang w:val="hy-AM"/>
        </w:rPr>
        <w:t>ԱՄՀ կանխատեսումներ</w:t>
      </w:r>
    </w:p>
    <w:tbl>
      <w:tblPr>
        <w:tblpPr w:leftFromText="180" w:rightFromText="180" w:bottomFromText="160" w:vertAnchor="text" w:horzAnchor="margin" w:tblpY="40"/>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186"/>
        <w:gridCol w:w="829"/>
        <w:gridCol w:w="1273"/>
        <w:gridCol w:w="1050"/>
        <w:gridCol w:w="1044"/>
        <w:gridCol w:w="1237"/>
        <w:gridCol w:w="1152"/>
        <w:gridCol w:w="1201"/>
      </w:tblGrid>
      <w:tr w:rsidR="00D178DD" w:rsidRPr="00D178DD" w:rsidTr="004B2286">
        <w:trPr>
          <w:trHeight w:val="503"/>
        </w:trPr>
        <w:tc>
          <w:tcPr>
            <w:tcW w:w="0" w:type="auto"/>
            <w:tcBorders>
              <w:top w:val="single" w:sz="4" w:space="0" w:color="8EAADB"/>
              <w:left w:val="single" w:sz="4" w:space="0" w:color="8EAADB"/>
              <w:bottom w:val="single" w:sz="4" w:space="0" w:color="8EAADB"/>
              <w:right w:val="single" w:sz="4" w:space="0" w:color="8EAADB"/>
            </w:tcBorders>
            <w:shd w:val="clear" w:color="auto" w:fill="0070C0"/>
            <w:vAlign w:val="center"/>
          </w:tcPr>
          <w:p w:rsidR="00D178DD" w:rsidRPr="00D178DD" w:rsidRDefault="00D178DD" w:rsidP="00D178DD">
            <w:pPr>
              <w:spacing w:before="0" w:line="276" w:lineRule="auto"/>
              <w:jc w:val="center"/>
              <w:rPr>
                <w:rFonts w:eastAsia="Calibri" w:cs="Sylfaen"/>
                <w:b w:val="0"/>
                <w:bCs/>
                <w:color w:val="FFFFFF" w:themeColor="background1"/>
                <w:sz w:val="16"/>
                <w:szCs w:val="16"/>
                <w:lang w:val="hy-AM"/>
              </w:rPr>
            </w:pPr>
          </w:p>
        </w:tc>
        <w:tc>
          <w:tcPr>
            <w:tcW w:w="0" w:type="auto"/>
            <w:tcBorders>
              <w:top w:val="single" w:sz="4" w:space="0" w:color="8EAADB"/>
              <w:left w:val="single" w:sz="4" w:space="0" w:color="8EAADB"/>
              <w:bottom w:val="single" w:sz="4" w:space="0" w:color="8EAADB"/>
              <w:right w:val="single" w:sz="4" w:space="0" w:color="8EAADB"/>
            </w:tcBorders>
            <w:shd w:val="clear" w:color="auto" w:fill="0070C0"/>
            <w:vAlign w:val="center"/>
          </w:tcPr>
          <w:p w:rsidR="00D178DD" w:rsidRPr="00D178DD" w:rsidRDefault="00D178DD" w:rsidP="00D178DD">
            <w:pPr>
              <w:spacing w:before="0" w:line="276" w:lineRule="auto"/>
              <w:ind w:right="-14" w:firstLine="0"/>
              <w:jc w:val="center"/>
              <w:rPr>
                <w:rFonts w:eastAsia="Calibri"/>
                <w:bCs/>
                <w:color w:val="FFFFFF" w:themeColor="background1"/>
                <w:sz w:val="20"/>
                <w:szCs w:val="20"/>
                <w:lang w:val="hy-AM"/>
              </w:rPr>
            </w:pPr>
            <w:r w:rsidRPr="00D178DD">
              <w:rPr>
                <w:rFonts w:eastAsia="Calibri"/>
                <w:bCs/>
                <w:color w:val="FFFFFF" w:themeColor="background1"/>
                <w:sz w:val="20"/>
                <w:szCs w:val="20"/>
                <w:lang w:val="hy-AM"/>
              </w:rPr>
              <w:t>2021</w:t>
            </w:r>
          </w:p>
        </w:tc>
        <w:tc>
          <w:tcPr>
            <w:tcW w:w="0" w:type="auto"/>
            <w:gridSpan w:val="3"/>
            <w:tcBorders>
              <w:top w:val="single" w:sz="4" w:space="0" w:color="8EAADB"/>
              <w:left w:val="single" w:sz="4" w:space="0" w:color="8EAADB"/>
              <w:bottom w:val="single" w:sz="4" w:space="0" w:color="8EAADB"/>
              <w:right w:val="single" w:sz="4" w:space="0" w:color="8EAADB"/>
            </w:tcBorders>
            <w:shd w:val="clear" w:color="auto" w:fill="0070C0"/>
            <w:vAlign w:val="center"/>
          </w:tcPr>
          <w:p w:rsidR="00D178DD" w:rsidRPr="00D178DD" w:rsidRDefault="00D178DD" w:rsidP="00D178DD">
            <w:pPr>
              <w:spacing w:before="0" w:line="276" w:lineRule="auto"/>
              <w:ind w:right="-14" w:firstLine="0"/>
              <w:jc w:val="center"/>
              <w:rPr>
                <w:rFonts w:eastAsia="Calibri"/>
                <w:b w:val="0"/>
                <w:color w:val="FFFFFF" w:themeColor="background1"/>
                <w:sz w:val="20"/>
                <w:szCs w:val="20"/>
                <w:lang w:val="hy-AM"/>
              </w:rPr>
            </w:pPr>
            <w:r w:rsidRPr="00D178DD">
              <w:rPr>
                <w:rFonts w:eastAsia="Calibri"/>
                <w:bCs/>
                <w:color w:val="FFFFFF" w:themeColor="background1"/>
                <w:sz w:val="20"/>
                <w:szCs w:val="20"/>
                <w:lang w:val="hy-AM"/>
              </w:rPr>
              <w:t>2022թ</w:t>
            </w:r>
            <w:r w:rsidRPr="00D178DD">
              <w:rPr>
                <w:rFonts w:ascii="Cambria Math" w:eastAsia="Calibri" w:hAnsi="Cambria Math" w:cs="Cambria Math"/>
                <w:bCs/>
                <w:color w:val="FFFFFF" w:themeColor="background1"/>
                <w:sz w:val="20"/>
                <w:szCs w:val="20"/>
                <w:lang w:val="hy-AM"/>
              </w:rPr>
              <w:t>․</w:t>
            </w:r>
            <w:r w:rsidRPr="00D178DD">
              <w:rPr>
                <w:rFonts w:eastAsia="Calibri"/>
                <w:bCs/>
                <w:color w:val="FFFFFF" w:themeColor="background1"/>
                <w:sz w:val="20"/>
                <w:szCs w:val="20"/>
                <w:lang w:val="hy-AM"/>
              </w:rPr>
              <w:t>-ի կանխատեսում</w:t>
            </w:r>
          </w:p>
        </w:tc>
        <w:tc>
          <w:tcPr>
            <w:tcW w:w="3590" w:type="dxa"/>
            <w:gridSpan w:val="3"/>
            <w:tcBorders>
              <w:top w:val="single" w:sz="4" w:space="0" w:color="8EAADB"/>
              <w:left w:val="single" w:sz="4" w:space="0" w:color="8EAADB"/>
              <w:bottom w:val="single" w:sz="4" w:space="0" w:color="8EAADB"/>
              <w:right w:val="single" w:sz="4" w:space="0" w:color="8EAADB"/>
            </w:tcBorders>
            <w:shd w:val="clear" w:color="auto" w:fill="0070C0"/>
            <w:vAlign w:val="center"/>
          </w:tcPr>
          <w:p w:rsidR="00D178DD" w:rsidRPr="00D178DD" w:rsidRDefault="00D178DD" w:rsidP="00D178DD">
            <w:pPr>
              <w:spacing w:before="0" w:after="200" w:line="276" w:lineRule="auto"/>
              <w:ind w:right="-14" w:firstLine="0"/>
              <w:jc w:val="center"/>
              <w:rPr>
                <w:rFonts w:eastAsia="Calibri"/>
                <w:b w:val="0"/>
                <w:color w:val="FFFFFF" w:themeColor="background1"/>
                <w:sz w:val="20"/>
                <w:szCs w:val="20"/>
                <w:lang w:val="hy-AM"/>
              </w:rPr>
            </w:pPr>
            <w:r w:rsidRPr="00D178DD">
              <w:rPr>
                <w:rFonts w:eastAsia="Calibri"/>
                <w:bCs/>
                <w:color w:val="FFFFFF" w:themeColor="background1"/>
                <w:sz w:val="20"/>
                <w:szCs w:val="20"/>
                <w:lang w:val="hy-AM"/>
              </w:rPr>
              <w:t xml:space="preserve">2023 թ.-ի </w:t>
            </w:r>
            <w:r w:rsidRPr="00D178DD">
              <w:rPr>
                <w:rFonts w:eastAsia="Calibri"/>
                <w:bCs/>
                <w:color w:val="FFFFFF" w:themeColor="background1"/>
                <w:sz w:val="20"/>
                <w:szCs w:val="20"/>
                <w:lang w:val="en-US"/>
              </w:rPr>
              <w:t xml:space="preserve">                                        </w:t>
            </w:r>
            <w:r w:rsidRPr="00D178DD">
              <w:rPr>
                <w:rFonts w:eastAsia="Calibri"/>
                <w:bCs/>
                <w:color w:val="FFFFFF" w:themeColor="background1"/>
                <w:sz w:val="20"/>
                <w:szCs w:val="20"/>
                <w:lang w:val="hy-AM"/>
              </w:rPr>
              <w:t>կանխատեսում</w:t>
            </w:r>
          </w:p>
        </w:tc>
      </w:tr>
      <w:tr w:rsidR="00D178DD" w:rsidRPr="00D178DD" w:rsidTr="004B2286">
        <w:trPr>
          <w:trHeight w:val="503"/>
        </w:trPr>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tcPr>
          <w:p w:rsidR="00D178DD" w:rsidRPr="00D178DD" w:rsidRDefault="00D178DD" w:rsidP="00D178DD">
            <w:pPr>
              <w:spacing w:before="0" w:line="276" w:lineRule="auto"/>
              <w:jc w:val="center"/>
              <w:rPr>
                <w:rFonts w:eastAsia="Calibri" w:cs="Sylfaen"/>
                <w:b w:val="0"/>
                <w:bCs/>
                <w:sz w:val="16"/>
                <w:szCs w:val="16"/>
                <w:lang w:val="hy-AM"/>
              </w:rPr>
            </w:pP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Փաստ</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2022 Հունվար</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2022 Ապրիլ</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en-US"/>
              </w:rPr>
            </w:pPr>
            <w:r w:rsidRPr="00D178DD">
              <w:rPr>
                <w:rFonts w:eastAsia="Calibri"/>
                <w:b w:val="0"/>
                <w:sz w:val="20"/>
                <w:szCs w:val="20"/>
                <w:lang w:val="hy-AM"/>
              </w:rPr>
              <w:t>202</w:t>
            </w:r>
            <w:r w:rsidRPr="00D178DD">
              <w:rPr>
                <w:rFonts w:eastAsia="Calibri"/>
                <w:b w:val="0"/>
                <w:sz w:val="20"/>
                <w:szCs w:val="20"/>
                <w:lang w:val="en-US"/>
              </w:rPr>
              <w:t>2</w:t>
            </w:r>
            <w:r w:rsidRPr="00D178DD">
              <w:rPr>
                <w:rFonts w:eastAsia="Calibri"/>
                <w:b w:val="0"/>
                <w:sz w:val="20"/>
                <w:szCs w:val="20"/>
                <w:lang w:val="hy-AM"/>
              </w:rPr>
              <w:t xml:space="preserve"> Հուլիս</w:t>
            </w:r>
          </w:p>
        </w:tc>
        <w:tc>
          <w:tcPr>
            <w:tcW w:w="1237"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2023 Հունվար</w:t>
            </w:r>
          </w:p>
        </w:tc>
        <w:tc>
          <w:tcPr>
            <w:tcW w:w="1152"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2</w:t>
            </w:r>
            <w:r w:rsidRPr="00D178DD">
              <w:rPr>
                <w:rFonts w:eastAsia="Calibri"/>
                <w:b w:val="0"/>
                <w:sz w:val="20"/>
                <w:szCs w:val="20"/>
              </w:rPr>
              <w:t>02</w:t>
            </w:r>
            <w:r w:rsidRPr="00D178DD">
              <w:rPr>
                <w:rFonts w:eastAsia="Calibri"/>
                <w:b w:val="0"/>
                <w:sz w:val="20"/>
                <w:szCs w:val="20"/>
                <w:lang w:val="hy-AM"/>
              </w:rPr>
              <w:t>3</w:t>
            </w:r>
          </w:p>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rPr>
              <w:t>Ապրիլ</w:t>
            </w:r>
          </w:p>
        </w:tc>
        <w:tc>
          <w:tcPr>
            <w:tcW w:w="1201"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right="-14" w:firstLine="0"/>
              <w:jc w:val="center"/>
              <w:rPr>
                <w:rFonts w:eastAsia="Calibri"/>
                <w:b w:val="0"/>
                <w:sz w:val="20"/>
                <w:szCs w:val="20"/>
              </w:rPr>
            </w:pPr>
            <w:r w:rsidRPr="00D178DD">
              <w:rPr>
                <w:rFonts w:eastAsia="Calibri"/>
                <w:b w:val="0"/>
                <w:sz w:val="20"/>
                <w:szCs w:val="20"/>
              </w:rPr>
              <w:t>2023</w:t>
            </w:r>
          </w:p>
          <w:p w:rsidR="00D178DD" w:rsidRPr="00D178DD" w:rsidRDefault="00D178DD" w:rsidP="00D178DD">
            <w:pPr>
              <w:spacing w:before="0" w:line="276" w:lineRule="auto"/>
              <w:ind w:right="-14" w:firstLine="0"/>
              <w:jc w:val="center"/>
              <w:rPr>
                <w:rFonts w:eastAsia="Calibri"/>
                <w:b w:val="0"/>
                <w:sz w:val="20"/>
                <w:szCs w:val="20"/>
              </w:rPr>
            </w:pPr>
            <w:r w:rsidRPr="00D178DD">
              <w:rPr>
                <w:rFonts w:eastAsia="Calibri"/>
                <w:b w:val="0"/>
                <w:sz w:val="20"/>
                <w:szCs w:val="20"/>
                <w:lang w:val="en-US"/>
              </w:rPr>
              <w:t xml:space="preserve"> </w:t>
            </w:r>
            <w:r w:rsidRPr="00D178DD">
              <w:rPr>
                <w:rFonts w:eastAsia="Calibri"/>
                <w:b w:val="0"/>
                <w:sz w:val="20"/>
                <w:szCs w:val="20"/>
                <w:lang w:val="hy-AM"/>
              </w:rPr>
              <w:t xml:space="preserve">   </w:t>
            </w:r>
            <w:r w:rsidRPr="00D178DD">
              <w:rPr>
                <w:rFonts w:eastAsia="Calibri"/>
                <w:b w:val="0"/>
                <w:sz w:val="20"/>
                <w:szCs w:val="20"/>
              </w:rPr>
              <w:t>Հու</w:t>
            </w:r>
            <w:r w:rsidRPr="00D178DD">
              <w:rPr>
                <w:rFonts w:eastAsia="Calibri"/>
                <w:b w:val="0"/>
                <w:sz w:val="20"/>
                <w:szCs w:val="20"/>
                <w:lang w:val="hy-AM"/>
              </w:rPr>
              <w:t>լ</w:t>
            </w:r>
            <w:r w:rsidRPr="00D178DD">
              <w:rPr>
                <w:rFonts w:eastAsia="Calibri"/>
                <w:b w:val="0"/>
                <w:sz w:val="20"/>
                <w:szCs w:val="20"/>
              </w:rPr>
              <w:t>իս</w:t>
            </w:r>
          </w:p>
        </w:tc>
      </w:tr>
      <w:tr w:rsidR="00D178DD" w:rsidRPr="00D178DD" w:rsidTr="004B2286">
        <w:trPr>
          <w:trHeight w:val="14"/>
        </w:trPr>
        <w:tc>
          <w:tcPr>
            <w:tcW w:w="0" w:type="auto"/>
            <w:tcBorders>
              <w:top w:val="single" w:sz="4" w:space="0" w:color="8EAADB"/>
              <w:left w:val="single" w:sz="4" w:space="0" w:color="8EAADB"/>
              <w:bottom w:val="single" w:sz="4" w:space="0" w:color="8EAADB"/>
              <w:right w:val="single" w:sz="4" w:space="0" w:color="8EAADB"/>
            </w:tcBorders>
            <w:hideMark/>
          </w:tcPr>
          <w:p w:rsidR="00D178DD" w:rsidRPr="00D178DD" w:rsidRDefault="00D178DD" w:rsidP="00D178DD">
            <w:pPr>
              <w:spacing w:before="0" w:line="276" w:lineRule="auto"/>
              <w:ind w:firstLine="0"/>
              <w:jc w:val="left"/>
              <w:rPr>
                <w:rFonts w:eastAsia="Calibri" w:cs="Sylfaen"/>
                <w:b w:val="0"/>
                <w:bCs/>
                <w:sz w:val="16"/>
                <w:szCs w:val="16"/>
              </w:rPr>
            </w:pPr>
            <w:r w:rsidRPr="00D178DD">
              <w:rPr>
                <w:rFonts w:eastAsia="Calibri"/>
                <w:bCs/>
                <w:color w:val="000000"/>
                <w:sz w:val="16"/>
                <w:szCs w:val="16"/>
              </w:rPr>
              <w:t>Աշխարհ</w:t>
            </w:r>
            <w:r w:rsidRPr="00D178DD">
              <w:rPr>
                <w:rFonts w:eastAsia="Calibri"/>
                <w:bCs/>
                <w:color w:val="000000"/>
                <w:sz w:val="16"/>
                <w:szCs w:val="16"/>
                <w:lang w:val="hy-AM"/>
              </w:rPr>
              <w:t xml:space="preserve">ի տնտեսական աճ, </w:t>
            </w:r>
            <w:r w:rsidRPr="00D178DD">
              <w:rPr>
                <w:rFonts w:eastAsia="Calibri"/>
                <w:bCs/>
                <w:color w:val="000000"/>
                <w:sz w:val="16"/>
                <w:szCs w:val="16"/>
              </w:rPr>
              <w:t>%</w:t>
            </w:r>
          </w:p>
        </w:tc>
        <w:tc>
          <w:tcPr>
            <w:tcW w:w="0" w:type="auto"/>
            <w:tcBorders>
              <w:top w:val="single" w:sz="4" w:space="0" w:color="8EAADB"/>
              <w:left w:val="single" w:sz="4" w:space="0" w:color="8EAADB"/>
              <w:bottom w:val="single" w:sz="4" w:space="0" w:color="8EAADB"/>
              <w:right w:val="single" w:sz="4" w:space="0" w:color="8EAADB"/>
            </w:tcBorders>
            <w:vAlign w:val="center"/>
            <w:hideMark/>
          </w:tcPr>
          <w:p w:rsidR="00D178DD" w:rsidRPr="00D178DD" w:rsidRDefault="00D178DD" w:rsidP="00D178DD">
            <w:pPr>
              <w:spacing w:before="0" w:line="276" w:lineRule="auto"/>
              <w:ind w:firstLine="0"/>
              <w:jc w:val="center"/>
              <w:rPr>
                <w:rFonts w:eastAsia="Calibri" w:cs="Sylfaen"/>
                <w:b w:val="0"/>
                <w:sz w:val="20"/>
                <w:szCs w:val="20"/>
                <w:lang w:val="hy-AM"/>
              </w:rPr>
            </w:pPr>
            <w:r w:rsidRPr="00D178DD">
              <w:rPr>
                <w:rFonts w:eastAsia="Calibri"/>
                <w:b w:val="0"/>
                <w:sz w:val="20"/>
                <w:szCs w:val="20"/>
                <w:lang w:val="hy-AM"/>
              </w:rPr>
              <w:t>6.1</w:t>
            </w:r>
          </w:p>
        </w:tc>
        <w:tc>
          <w:tcPr>
            <w:tcW w:w="0" w:type="auto"/>
            <w:tcBorders>
              <w:top w:val="single" w:sz="4" w:space="0" w:color="8EAADB"/>
              <w:left w:val="single" w:sz="4" w:space="0" w:color="8EAADB"/>
              <w:bottom w:val="single" w:sz="4" w:space="0" w:color="8EAADB"/>
              <w:right w:val="single" w:sz="4" w:space="0" w:color="8EAADB"/>
            </w:tcBorders>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4.4</w:t>
            </w:r>
          </w:p>
        </w:tc>
        <w:tc>
          <w:tcPr>
            <w:tcW w:w="0" w:type="auto"/>
            <w:tcBorders>
              <w:top w:val="single" w:sz="4" w:space="0" w:color="8EAADB"/>
              <w:left w:val="single" w:sz="4" w:space="0" w:color="8EAADB"/>
              <w:bottom w:val="single" w:sz="4" w:space="0" w:color="8EAADB"/>
              <w:right w:val="single" w:sz="4" w:space="0" w:color="8EAADB"/>
            </w:tcBorders>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3.6</w:t>
            </w:r>
          </w:p>
        </w:tc>
        <w:tc>
          <w:tcPr>
            <w:tcW w:w="0" w:type="auto"/>
            <w:tcBorders>
              <w:top w:val="single" w:sz="4" w:space="0" w:color="8EAADB"/>
              <w:left w:val="single" w:sz="4" w:space="0" w:color="8EAADB"/>
              <w:bottom w:val="single" w:sz="4" w:space="0" w:color="8EAADB"/>
              <w:right w:val="single" w:sz="4" w:space="0" w:color="8EAADB"/>
            </w:tcBorders>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3.2</w:t>
            </w:r>
          </w:p>
        </w:tc>
        <w:tc>
          <w:tcPr>
            <w:tcW w:w="1237" w:type="dxa"/>
            <w:tcBorders>
              <w:top w:val="single" w:sz="4" w:space="0" w:color="8EAADB"/>
              <w:left w:val="single" w:sz="4" w:space="0" w:color="8EAADB"/>
              <w:bottom w:val="single" w:sz="4" w:space="0" w:color="8EAADB"/>
              <w:right w:val="single" w:sz="4" w:space="0" w:color="8EAADB"/>
            </w:tcBorders>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3.8</w:t>
            </w:r>
          </w:p>
        </w:tc>
        <w:tc>
          <w:tcPr>
            <w:tcW w:w="1152" w:type="dxa"/>
            <w:tcBorders>
              <w:top w:val="single" w:sz="4" w:space="0" w:color="8EAADB"/>
              <w:left w:val="single" w:sz="4" w:space="0" w:color="8EAADB"/>
              <w:bottom w:val="single" w:sz="4" w:space="0" w:color="8EAADB"/>
              <w:right w:val="single" w:sz="4" w:space="0" w:color="8EAADB"/>
            </w:tcBorders>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3.6</w:t>
            </w:r>
          </w:p>
        </w:tc>
        <w:tc>
          <w:tcPr>
            <w:tcW w:w="1201" w:type="dxa"/>
            <w:tcBorders>
              <w:top w:val="single" w:sz="4" w:space="0" w:color="8EAADB"/>
              <w:left w:val="single" w:sz="4" w:space="0" w:color="8EAADB"/>
              <w:bottom w:val="single" w:sz="4" w:space="0" w:color="8EAADB"/>
              <w:right w:val="single" w:sz="4" w:space="0" w:color="8EAADB"/>
            </w:tcBorders>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2.9</w:t>
            </w:r>
          </w:p>
        </w:tc>
      </w:tr>
      <w:tr w:rsidR="00D178DD" w:rsidRPr="00D178DD" w:rsidTr="004B2286">
        <w:trPr>
          <w:trHeight w:val="265"/>
        </w:trPr>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rsidR="00D178DD" w:rsidRPr="00D178DD" w:rsidRDefault="00D178DD" w:rsidP="00D178DD">
            <w:pPr>
              <w:spacing w:before="0" w:line="276" w:lineRule="auto"/>
              <w:ind w:firstLine="0"/>
              <w:jc w:val="left"/>
              <w:rPr>
                <w:rFonts w:eastAsia="Calibri" w:cs="Sylfaen"/>
                <w:b w:val="0"/>
                <w:bCs/>
                <w:sz w:val="16"/>
                <w:szCs w:val="16"/>
              </w:rPr>
            </w:pPr>
            <w:r w:rsidRPr="00D178DD">
              <w:rPr>
                <w:rFonts w:eastAsia="Calibri"/>
                <w:bCs/>
                <w:sz w:val="16"/>
                <w:szCs w:val="16"/>
              </w:rPr>
              <w:t>ՌԴ</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cs="Sylfaen"/>
                <w:b w:val="0"/>
                <w:sz w:val="20"/>
                <w:szCs w:val="20"/>
                <w:lang w:val="en-US"/>
              </w:rPr>
            </w:pPr>
            <w:r w:rsidRPr="00D178DD">
              <w:rPr>
                <w:rFonts w:eastAsia="Calibri"/>
                <w:b w:val="0"/>
                <w:sz w:val="20"/>
                <w:szCs w:val="20"/>
                <w:lang w:val="en-US"/>
              </w:rPr>
              <w:t>4.7</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2.8</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-8.5</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-6.0</w:t>
            </w:r>
          </w:p>
        </w:tc>
        <w:tc>
          <w:tcPr>
            <w:tcW w:w="1237"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2.1</w:t>
            </w:r>
          </w:p>
        </w:tc>
        <w:tc>
          <w:tcPr>
            <w:tcW w:w="1152"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-2.3</w:t>
            </w:r>
          </w:p>
        </w:tc>
        <w:tc>
          <w:tcPr>
            <w:tcW w:w="1201"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-3.5</w:t>
            </w:r>
          </w:p>
        </w:tc>
      </w:tr>
      <w:tr w:rsidR="00D178DD" w:rsidRPr="00D178DD" w:rsidTr="004B2286">
        <w:trPr>
          <w:trHeight w:val="352"/>
        </w:trPr>
        <w:tc>
          <w:tcPr>
            <w:tcW w:w="0" w:type="auto"/>
            <w:tcBorders>
              <w:top w:val="single" w:sz="4" w:space="0" w:color="8EAADB"/>
              <w:left w:val="single" w:sz="4" w:space="0" w:color="8EAADB"/>
              <w:bottom w:val="single" w:sz="4" w:space="0" w:color="8EAADB"/>
              <w:right w:val="single" w:sz="4" w:space="0" w:color="8EAADB"/>
            </w:tcBorders>
            <w:hideMark/>
          </w:tcPr>
          <w:p w:rsidR="00D178DD" w:rsidRPr="00D178DD" w:rsidRDefault="00D178DD" w:rsidP="00D178DD">
            <w:pPr>
              <w:spacing w:before="0" w:line="276" w:lineRule="auto"/>
              <w:ind w:firstLine="0"/>
              <w:jc w:val="left"/>
              <w:rPr>
                <w:rFonts w:eastAsia="Calibri" w:cs="Sylfaen"/>
                <w:b w:val="0"/>
                <w:bCs/>
                <w:sz w:val="16"/>
                <w:szCs w:val="16"/>
              </w:rPr>
            </w:pPr>
            <w:r w:rsidRPr="00D178DD">
              <w:rPr>
                <w:rFonts w:eastAsia="Calibri"/>
                <w:bCs/>
                <w:color w:val="000000"/>
                <w:sz w:val="16"/>
                <w:szCs w:val="16"/>
              </w:rPr>
              <w:t>Եվրոգոտի</w:t>
            </w:r>
          </w:p>
        </w:tc>
        <w:tc>
          <w:tcPr>
            <w:tcW w:w="0" w:type="auto"/>
            <w:tcBorders>
              <w:top w:val="single" w:sz="4" w:space="0" w:color="8EAADB"/>
              <w:left w:val="single" w:sz="4" w:space="0" w:color="8EAADB"/>
              <w:bottom w:val="single" w:sz="4" w:space="0" w:color="8EAADB"/>
              <w:right w:val="single" w:sz="4" w:space="0" w:color="8EAADB"/>
            </w:tcBorders>
            <w:vAlign w:val="center"/>
            <w:hideMark/>
          </w:tcPr>
          <w:p w:rsidR="00D178DD" w:rsidRPr="00D178DD" w:rsidRDefault="00D178DD" w:rsidP="00D178DD">
            <w:pPr>
              <w:spacing w:before="0" w:line="276" w:lineRule="auto"/>
              <w:ind w:firstLine="0"/>
              <w:jc w:val="center"/>
              <w:rPr>
                <w:rFonts w:eastAsia="Calibri" w:cs="Sylfaen"/>
                <w:b w:val="0"/>
                <w:sz w:val="20"/>
                <w:szCs w:val="20"/>
              </w:rPr>
            </w:pPr>
            <w:r w:rsidRPr="00D178DD">
              <w:rPr>
                <w:rFonts w:eastAsia="Calibri"/>
                <w:b w:val="0"/>
                <w:sz w:val="20"/>
                <w:szCs w:val="20"/>
              </w:rPr>
              <w:t>5.4</w:t>
            </w:r>
          </w:p>
        </w:tc>
        <w:tc>
          <w:tcPr>
            <w:tcW w:w="0" w:type="auto"/>
            <w:tcBorders>
              <w:top w:val="single" w:sz="4" w:space="0" w:color="8EAADB"/>
              <w:left w:val="single" w:sz="4" w:space="0" w:color="8EAADB"/>
              <w:bottom w:val="single" w:sz="4" w:space="0" w:color="8EAADB"/>
              <w:right w:val="single" w:sz="4" w:space="0" w:color="8EAADB"/>
            </w:tcBorders>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3.9</w:t>
            </w:r>
          </w:p>
        </w:tc>
        <w:tc>
          <w:tcPr>
            <w:tcW w:w="0" w:type="auto"/>
            <w:tcBorders>
              <w:top w:val="single" w:sz="4" w:space="0" w:color="8EAADB"/>
              <w:left w:val="single" w:sz="4" w:space="0" w:color="8EAADB"/>
              <w:bottom w:val="single" w:sz="4" w:space="0" w:color="8EAADB"/>
              <w:right w:val="single" w:sz="4" w:space="0" w:color="8EAADB"/>
            </w:tcBorders>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2.8</w:t>
            </w:r>
          </w:p>
        </w:tc>
        <w:tc>
          <w:tcPr>
            <w:tcW w:w="0" w:type="auto"/>
            <w:tcBorders>
              <w:top w:val="single" w:sz="4" w:space="0" w:color="8EAADB"/>
              <w:left w:val="single" w:sz="4" w:space="0" w:color="8EAADB"/>
              <w:bottom w:val="single" w:sz="4" w:space="0" w:color="8EAADB"/>
              <w:right w:val="single" w:sz="4" w:space="0" w:color="8EAADB"/>
            </w:tcBorders>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2.6</w:t>
            </w:r>
          </w:p>
        </w:tc>
        <w:tc>
          <w:tcPr>
            <w:tcW w:w="1237" w:type="dxa"/>
            <w:tcBorders>
              <w:top w:val="single" w:sz="4" w:space="0" w:color="8EAADB"/>
              <w:left w:val="single" w:sz="4" w:space="0" w:color="8EAADB"/>
              <w:bottom w:val="single" w:sz="4" w:space="0" w:color="8EAADB"/>
              <w:right w:val="single" w:sz="4" w:space="0" w:color="8EAADB"/>
            </w:tcBorders>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2.5</w:t>
            </w:r>
          </w:p>
        </w:tc>
        <w:tc>
          <w:tcPr>
            <w:tcW w:w="1152" w:type="dxa"/>
            <w:tcBorders>
              <w:top w:val="single" w:sz="4" w:space="0" w:color="8EAADB"/>
              <w:left w:val="single" w:sz="4" w:space="0" w:color="8EAADB"/>
              <w:bottom w:val="single" w:sz="4" w:space="0" w:color="8EAADB"/>
              <w:right w:val="single" w:sz="4" w:space="0" w:color="8EAADB"/>
            </w:tcBorders>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2.3</w:t>
            </w:r>
          </w:p>
        </w:tc>
        <w:tc>
          <w:tcPr>
            <w:tcW w:w="1201" w:type="dxa"/>
            <w:tcBorders>
              <w:top w:val="single" w:sz="4" w:space="0" w:color="8EAADB"/>
              <w:left w:val="single" w:sz="4" w:space="0" w:color="8EAADB"/>
              <w:bottom w:val="single" w:sz="4" w:space="0" w:color="8EAADB"/>
              <w:right w:val="single" w:sz="4" w:space="0" w:color="8EAADB"/>
            </w:tcBorders>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1.2</w:t>
            </w:r>
          </w:p>
        </w:tc>
      </w:tr>
      <w:tr w:rsidR="00D178DD" w:rsidRPr="00D178DD" w:rsidTr="004B2286">
        <w:trPr>
          <w:trHeight w:val="267"/>
        </w:trPr>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rsidR="00D178DD" w:rsidRPr="00D178DD" w:rsidRDefault="00D178DD" w:rsidP="00D178DD">
            <w:pPr>
              <w:spacing w:before="0" w:line="276" w:lineRule="auto"/>
              <w:ind w:firstLine="0"/>
              <w:jc w:val="left"/>
              <w:rPr>
                <w:rFonts w:eastAsia="Calibri" w:cs="Sylfaen"/>
                <w:b w:val="0"/>
                <w:bCs/>
                <w:sz w:val="16"/>
                <w:szCs w:val="16"/>
              </w:rPr>
            </w:pPr>
            <w:r w:rsidRPr="00D178DD">
              <w:rPr>
                <w:rFonts w:eastAsia="Calibri"/>
                <w:bCs/>
                <w:color w:val="000000"/>
                <w:sz w:val="16"/>
                <w:szCs w:val="16"/>
              </w:rPr>
              <w:t>Չինաստան</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cs="Sylfaen"/>
                <w:b w:val="0"/>
                <w:sz w:val="20"/>
                <w:szCs w:val="20"/>
                <w:lang w:val="en-US"/>
              </w:rPr>
            </w:pPr>
            <w:r w:rsidRPr="00D178DD">
              <w:rPr>
                <w:rFonts w:eastAsia="Calibri"/>
                <w:b w:val="0"/>
                <w:sz w:val="20"/>
                <w:szCs w:val="20"/>
                <w:lang w:val="en-US"/>
              </w:rPr>
              <w:t>8.1</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4.8</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4.4</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3.3</w:t>
            </w:r>
          </w:p>
        </w:tc>
        <w:tc>
          <w:tcPr>
            <w:tcW w:w="1237"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5.2</w:t>
            </w:r>
          </w:p>
        </w:tc>
        <w:tc>
          <w:tcPr>
            <w:tcW w:w="1152"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5.1</w:t>
            </w:r>
          </w:p>
        </w:tc>
        <w:tc>
          <w:tcPr>
            <w:tcW w:w="1201"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4.6</w:t>
            </w:r>
          </w:p>
        </w:tc>
      </w:tr>
      <w:tr w:rsidR="00D178DD" w:rsidRPr="00D178DD" w:rsidTr="004B2286">
        <w:trPr>
          <w:trHeight w:val="234"/>
        </w:trPr>
        <w:tc>
          <w:tcPr>
            <w:tcW w:w="0" w:type="auto"/>
            <w:tcBorders>
              <w:top w:val="single" w:sz="4" w:space="0" w:color="8EAADB"/>
              <w:left w:val="single" w:sz="4" w:space="0" w:color="8EAADB"/>
              <w:bottom w:val="single" w:sz="4" w:space="0" w:color="8EAADB"/>
              <w:right w:val="single" w:sz="4" w:space="0" w:color="8EAADB"/>
            </w:tcBorders>
            <w:hideMark/>
          </w:tcPr>
          <w:p w:rsidR="00D178DD" w:rsidRPr="00D178DD" w:rsidRDefault="00D178DD" w:rsidP="00D178DD">
            <w:pPr>
              <w:spacing w:before="0" w:line="276" w:lineRule="auto"/>
              <w:ind w:firstLine="0"/>
              <w:jc w:val="left"/>
              <w:rPr>
                <w:rFonts w:eastAsia="Calibri" w:cs="Sylfaen"/>
                <w:b w:val="0"/>
                <w:bCs/>
                <w:sz w:val="16"/>
                <w:szCs w:val="16"/>
              </w:rPr>
            </w:pPr>
            <w:r w:rsidRPr="00D178DD">
              <w:rPr>
                <w:rFonts w:eastAsia="Calibri"/>
                <w:bCs/>
                <w:color w:val="000000"/>
                <w:sz w:val="16"/>
                <w:szCs w:val="16"/>
              </w:rPr>
              <w:t>ԱՄՆ</w:t>
            </w:r>
          </w:p>
        </w:tc>
        <w:tc>
          <w:tcPr>
            <w:tcW w:w="0" w:type="auto"/>
            <w:tcBorders>
              <w:top w:val="single" w:sz="4" w:space="0" w:color="8EAADB"/>
              <w:left w:val="single" w:sz="4" w:space="0" w:color="8EAADB"/>
              <w:bottom w:val="single" w:sz="4" w:space="0" w:color="8EAADB"/>
              <w:right w:val="single" w:sz="4" w:space="0" w:color="8EAADB"/>
            </w:tcBorders>
            <w:vAlign w:val="center"/>
            <w:hideMark/>
          </w:tcPr>
          <w:p w:rsidR="00D178DD" w:rsidRPr="00D178DD" w:rsidRDefault="00D178DD" w:rsidP="00D178DD">
            <w:pPr>
              <w:spacing w:before="0" w:line="276" w:lineRule="auto"/>
              <w:ind w:firstLine="0"/>
              <w:jc w:val="center"/>
              <w:rPr>
                <w:rFonts w:eastAsia="Calibri" w:cs="Sylfaen"/>
                <w:b w:val="0"/>
                <w:sz w:val="20"/>
                <w:szCs w:val="20"/>
                <w:lang w:val="en-US"/>
              </w:rPr>
            </w:pPr>
            <w:r w:rsidRPr="00D178DD">
              <w:rPr>
                <w:rFonts w:eastAsia="Calibri"/>
                <w:b w:val="0"/>
                <w:sz w:val="20"/>
                <w:szCs w:val="20"/>
                <w:lang w:val="en-US"/>
              </w:rPr>
              <w:t>5.7</w:t>
            </w:r>
          </w:p>
        </w:tc>
        <w:tc>
          <w:tcPr>
            <w:tcW w:w="0" w:type="auto"/>
            <w:tcBorders>
              <w:top w:val="single" w:sz="4" w:space="0" w:color="8EAADB"/>
              <w:left w:val="single" w:sz="4" w:space="0" w:color="8EAADB"/>
              <w:bottom w:val="single" w:sz="4" w:space="0" w:color="8EAADB"/>
              <w:right w:val="single" w:sz="4" w:space="0" w:color="8EAADB"/>
            </w:tcBorders>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4.0</w:t>
            </w:r>
          </w:p>
        </w:tc>
        <w:tc>
          <w:tcPr>
            <w:tcW w:w="0" w:type="auto"/>
            <w:tcBorders>
              <w:top w:val="single" w:sz="4" w:space="0" w:color="8EAADB"/>
              <w:left w:val="single" w:sz="4" w:space="0" w:color="8EAADB"/>
              <w:bottom w:val="single" w:sz="4" w:space="0" w:color="8EAADB"/>
              <w:right w:val="single" w:sz="4" w:space="0" w:color="8EAADB"/>
            </w:tcBorders>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3.7</w:t>
            </w:r>
          </w:p>
        </w:tc>
        <w:tc>
          <w:tcPr>
            <w:tcW w:w="0" w:type="auto"/>
            <w:tcBorders>
              <w:top w:val="single" w:sz="4" w:space="0" w:color="8EAADB"/>
              <w:left w:val="single" w:sz="4" w:space="0" w:color="8EAADB"/>
              <w:bottom w:val="single" w:sz="4" w:space="0" w:color="8EAADB"/>
              <w:right w:val="single" w:sz="4" w:space="0" w:color="8EAADB"/>
            </w:tcBorders>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2.3</w:t>
            </w:r>
          </w:p>
        </w:tc>
        <w:tc>
          <w:tcPr>
            <w:tcW w:w="1237" w:type="dxa"/>
            <w:tcBorders>
              <w:top w:val="single" w:sz="4" w:space="0" w:color="8EAADB"/>
              <w:left w:val="single" w:sz="4" w:space="0" w:color="8EAADB"/>
              <w:bottom w:val="single" w:sz="4" w:space="0" w:color="8EAADB"/>
              <w:right w:val="single" w:sz="4" w:space="0" w:color="8EAADB"/>
            </w:tcBorders>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2.6</w:t>
            </w:r>
          </w:p>
        </w:tc>
        <w:tc>
          <w:tcPr>
            <w:tcW w:w="1152" w:type="dxa"/>
            <w:tcBorders>
              <w:top w:val="single" w:sz="4" w:space="0" w:color="8EAADB"/>
              <w:left w:val="single" w:sz="4" w:space="0" w:color="8EAADB"/>
              <w:bottom w:val="single" w:sz="4" w:space="0" w:color="8EAADB"/>
              <w:right w:val="single" w:sz="4" w:space="0" w:color="8EAADB"/>
            </w:tcBorders>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2.3</w:t>
            </w:r>
          </w:p>
        </w:tc>
        <w:tc>
          <w:tcPr>
            <w:tcW w:w="1201" w:type="dxa"/>
            <w:tcBorders>
              <w:top w:val="single" w:sz="4" w:space="0" w:color="8EAADB"/>
              <w:left w:val="single" w:sz="4" w:space="0" w:color="8EAADB"/>
              <w:bottom w:val="single" w:sz="4" w:space="0" w:color="8EAADB"/>
              <w:right w:val="single" w:sz="4" w:space="0" w:color="8EAADB"/>
            </w:tcBorders>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1.0</w:t>
            </w:r>
          </w:p>
        </w:tc>
      </w:tr>
      <w:tr w:rsidR="00D178DD" w:rsidRPr="00D178DD" w:rsidTr="004B2286">
        <w:trPr>
          <w:trHeight w:val="14"/>
        </w:trPr>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rsidR="00D178DD" w:rsidRPr="00D178DD" w:rsidRDefault="00D178DD" w:rsidP="00D178DD">
            <w:pPr>
              <w:spacing w:before="0" w:line="276" w:lineRule="auto"/>
              <w:ind w:firstLine="0"/>
              <w:jc w:val="left"/>
              <w:rPr>
                <w:rFonts w:eastAsia="Calibri" w:cs="Sylfaen"/>
                <w:b w:val="0"/>
                <w:bCs/>
                <w:sz w:val="16"/>
                <w:szCs w:val="16"/>
              </w:rPr>
            </w:pPr>
            <w:r w:rsidRPr="00D178DD">
              <w:rPr>
                <w:rFonts w:eastAsia="Calibri"/>
                <w:bCs/>
                <w:color w:val="000000"/>
                <w:sz w:val="16"/>
                <w:szCs w:val="16"/>
              </w:rPr>
              <w:t>Համաշխարհային առևտ</w:t>
            </w:r>
            <w:r w:rsidRPr="00D178DD">
              <w:rPr>
                <w:rFonts w:eastAsia="Calibri"/>
                <w:bCs/>
                <w:color w:val="000000"/>
                <w:sz w:val="16"/>
                <w:szCs w:val="16"/>
                <w:lang w:val="hy-AM"/>
              </w:rPr>
              <w:t xml:space="preserve">րի աճ, </w:t>
            </w:r>
            <w:r w:rsidRPr="00D178DD">
              <w:rPr>
                <w:rFonts w:eastAsia="Calibri"/>
                <w:bCs/>
                <w:color w:val="000000"/>
                <w:sz w:val="16"/>
                <w:szCs w:val="16"/>
              </w:rPr>
              <w:t>%</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cs="Sylfaen"/>
                <w:b w:val="0"/>
                <w:sz w:val="20"/>
                <w:szCs w:val="20"/>
                <w:lang w:val="en-US"/>
              </w:rPr>
            </w:pPr>
            <w:r w:rsidRPr="00D178DD">
              <w:rPr>
                <w:rFonts w:eastAsia="Calibri"/>
                <w:b w:val="0"/>
                <w:sz w:val="20"/>
                <w:szCs w:val="20"/>
                <w:lang w:val="en-US"/>
              </w:rPr>
              <w:t>10.1</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6.0</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5.0</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4.1</w:t>
            </w:r>
          </w:p>
        </w:tc>
        <w:tc>
          <w:tcPr>
            <w:tcW w:w="1237"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4.9</w:t>
            </w:r>
          </w:p>
        </w:tc>
        <w:tc>
          <w:tcPr>
            <w:tcW w:w="1152"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4.4</w:t>
            </w:r>
          </w:p>
        </w:tc>
        <w:tc>
          <w:tcPr>
            <w:tcW w:w="1201"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3.2</w:t>
            </w:r>
          </w:p>
        </w:tc>
      </w:tr>
    </w:tbl>
    <w:p w:rsidR="00D178DD" w:rsidRPr="00D178DD" w:rsidRDefault="00D178DD" w:rsidP="00D178DD">
      <w:pPr>
        <w:spacing w:before="0" w:line="276" w:lineRule="auto"/>
        <w:rPr>
          <w:rFonts w:cs="Sylfaen"/>
          <w:i/>
          <w:sz w:val="16"/>
          <w:szCs w:val="16"/>
          <w:lang w:val="hy-AM"/>
        </w:rPr>
      </w:pPr>
      <w:r w:rsidRPr="00D178DD">
        <w:rPr>
          <w:rFonts w:cs="Sylfaen"/>
          <w:i/>
          <w:sz w:val="16"/>
          <w:szCs w:val="16"/>
        </w:rPr>
        <w:t>Աղբյուրը</w:t>
      </w:r>
      <w:r w:rsidRPr="00D178DD">
        <w:rPr>
          <w:rFonts w:cs="Sylfaen"/>
          <w:i/>
          <w:sz w:val="16"/>
          <w:szCs w:val="16"/>
          <w:lang w:val="en-US"/>
        </w:rPr>
        <w:t xml:space="preserve">` </w:t>
      </w:r>
      <w:r w:rsidRPr="00D178DD">
        <w:rPr>
          <w:rFonts w:cs="Sylfaen"/>
          <w:i/>
          <w:sz w:val="16"/>
          <w:szCs w:val="16"/>
          <w:lang w:val="hy-AM"/>
        </w:rPr>
        <w:t>ԱՄՀ «</w:t>
      </w:r>
      <w:r w:rsidRPr="00D178DD">
        <w:rPr>
          <w:rFonts w:cs="Sylfaen"/>
          <w:i/>
          <w:sz w:val="16"/>
          <w:szCs w:val="16"/>
          <w:lang w:val="en-US"/>
        </w:rPr>
        <w:t>World Economic Outlook</w:t>
      </w:r>
      <w:r w:rsidRPr="00D178DD">
        <w:rPr>
          <w:rFonts w:cs="Sylfaen"/>
          <w:i/>
          <w:sz w:val="16"/>
          <w:szCs w:val="16"/>
          <w:lang w:val="hy-AM"/>
        </w:rPr>
        <w:t>»</w:t>
      </w:r>
    </w:p>
    <w:p w:rsidR="00D178DD" w:rsidRPr="00D178DD" w:rsidRDefault="00D178DD" w:rsidP="00D178DD">
      <w:pPr>
        <w:spacing w:before="0" w:line="276" w:lineRule="auto"/>
        <w:rPr>
          <w:rFonts w:cs="Sylfaen"/>
          <w:i/>
          <w:sz w:val="16"/>
          <w:szCs w:val="16"/>
          <w:lang w:val="hy-AM"/>
        </w:rPr>
      </w:pPr>
    </w:p>
    <w:p w:rsidR="00D178DD" w:rsidRPr="00D178DD" w:rsidRDefault="00D178DD" w:rsidP="00D178DD">
      <w:pPr>
        <w:spacing w:before="40" w:after="120" w:line="276" w:lineRule="auto"/>
        <w:rPr>
          <w:rFonts w:eastAsia="Calibri" w:cstheme="minorBidi"/>
          <w:b w:val="0"/>
          <w:szCs w:val="22"/>
          <w:lang w:val="hy-AM" w:eastAsia="en-US"/>
        </w:rPr>
      </w:pPr>
      <w:r w:rsidRPr="00D178DD">
        <w:rPr>
          <w:rFonts w:eastAsia="Calibri" w:cstheme="minorBidi"/>
          <w:color w:val="000000"/>
          <w:szCs w:val="22"/>
          <w:lang w:val="hy-AM" w:eastAsia="en-US"/>
        </w:rPr>
        <w:t>Ռուս-ուկրաինական հակամարտության և ՌԴ նկատմամբ կիրառվող պատժամիջոցների հետևանքով առաջացած գլոբալ արժեշղթաների խաթարումների պայմաններում նավթի միջազգային գների աճի դանդաղում է նկատվում, իսկ պղնձի միջազգային գների աճի դանդաղումը դրսևորվում է էլ ավելի արագ տեմպերով։ Հուլիս ամսից սկսած՝ և՛ պղնձի, և՛ նավթի միջազգային գները էապես անկում են ապրել։ Կանխատեսվող հորիզոնում կպահպանվի գնանկումային միջավայրը</w:t>
      </w:r>
      <w:r w:rsidRPr="00D178DD">
        <w:rPr>
          <w:rFonts w:eastAsia="Calibri" w:cstheme="minorBidi"/>
          <w:b w:val="0"/>
          <w:szCs w:val="22"/>
          <w:lang w:val="hy-AM" w:eastAsia="en-US"/>
        </w:rPr>
        <w:t>։ Ամբողջ աշխարհում պայմանավորված հետկորոնավիրուսային պահանջարկի վերականգնմամաբ՝ 2021թ</w:t>
      </w:r>
      <w:r w:rsidRPr="00D178DD">
        <w:rPr>
          <w:rFonts w:ascii="Cambria Math" w:eastAsia="Calibri" w:hAnsi="Cambria Math" w:cstheme="minorBidi"/>
          <w:b w:val="0"/>
          <w:szCs w:val="22"/>
          <w:lang w:val="hy-AM" w:eastAsia="en-US"/>
        </w:rPr>
        <w:t>․</w:t>
      </w:r>
      <w:r w:rsidRPr="00D178DD">
        <w:rPr>
          <w:rFonts w:eastAsia="Calibri" w:cstheme="minorBidi"/>
          <w:b w:val="0"/>
          <w:szCs w:val="22"/>
          <w:lang w:val="hy-AM" w:eastAsia="en-US"/>
        </w:rPr>
        <w:t xml:space="preserve"> հումքային ապրանքների գներն աճել են</w:t>
      </w:r>
      <w:r w:rsidRPr="00D178DD">
        <w:rPr>
          <w:rFonts w:ascii="Cambria Math" w:eastAsia="Calibri" w:hAnsi="Cambria Math" w:cstheme="minorBidi"/>
          <w:b w:val="0"/>
          <w:szCs w:val="22"/>
          <w:lang w:val="hy-AM" w:eastAsia="en-US"/>
        </w:rPr>
        <w:t xml:space="preserve">․ </w:t>
      </w:r>
      <w:r w:rsidRPr="00D178DD">
        <w:rPr>
          <w:rFonts w:eastAsia="Calibri" w:cstheme="minorBidi"/>
          <w:b w:val="0"/>
          <w:szCs w:val="22"/>
          <w:lang w:val="hy-AM" w:eastAsia="en-US"/>
        </w:rPr>
        <w:t>նավթի միջազգային գները աճել են շուրջ 66.5%-ով, պղնձի միջազգային գները՝ 50.9%-ով, իսկ մոլիբդենի միջազգային գները՝  82.7%-ով:</w:t>
      </w:r>
    </w:p>
    <w:p w:rsidR="00D178DD" w:rsidRPr="00D178DD" w:rsidRDefault="00D178DD" w:rsidP="00D178DD">
      <w:pPr>
        <w:spacing w:before="40" w:after="120" w:line="276" w:lineRule="auto"/>
        <w:rPr>
          <w:rFonts w:eastAsia="Calibri" w:cstheme="minorBidi"/>
          <w:b w:val="0"/>
          <w:szCs w:val="22"/>
          <w:lang w:val="hy-AM" w:eastAsia="en-US"/>
        </w:rPr>
      </w:pPr>
      <w:r w:rsidRPr="00D178DD">
        <w:rPr>
          <w:rFonts w:eastAsia="GHEA Grapalat" w:cs="GHEA Grapalat"/>
          <w:b w:val="0"/>
          <w:noProof/>
          <w:szCs w:val="22"/>
          <w:lang w:val="hy-AM" w:eastAsia="en-US"/>
        </w:rPr>
        <w:t xml:space="preserve">2022թ. առաջին ութ ամիսներին նախորդ տարվա նույն ժամանակահատվածի նկատմամբ պղնձի միջազգային շուկայում գներն աճել են 0.9%-ով, իսկ մոլիբդենի գները` 43.7%-ով  պայմանավորված համավարակից հետո համաշխարհային շուկայում մետաղների նկատմամբ պահանջարկի ավելացմամբ, իսկ նավթի միջազգային գները՝  58.4%-ով, որը հիմնականում պայմանավորված է </w:t>
      </w:r>
      <w:r w:rsidRPr="00D178DD">
        <w:rPr>
          <w:rFonts w:eastAsia="Calibri" w:cstheme="minorBidi"/>
          <w:b w:val="0"/>
          <w:szCs w:val="22"/>
          <w:lang w:val="hy-AM" w:eastAsia="en-US"/>
        </w:rPr>
        <w:t>ռուս-ուկրաինական հակամարտության հետևանքով ՌԴ-ից մատակարարման շղթաների խափանումներով։</w:t>
      </w:r>
    </w:p>
    <w:p w:rsidR="00D178DD" w:rsidRPr="00D178DD" w:rsidRDefault="00D178DD" w:rsidP="00D178DD">
      <w:pPr>
        <w:spacing w:before="40" w:after="120" w:line="276" w:lineRule="auto"/>
        <w:rPr>
          <w:rFonts w:eastAsia="Calibri" w:cstheme="minorBidi"/>
          <w:b w:val="0"/>
          <w:szCs w:val="22"/>
          <w:lang w:val="hy-AM" w:eastAsia="en-US"/>
        </w:rPr>
      </w:pPr>
      <w:r w:rsidRPr="00D178DD">
        <w:rPr>
          <w:rFonts w:eastAsia="Calibri" w:cstheme="minorBidi"/>
          <w:b w:val="0"/>
          <w:szCs w:val="22"/>
          <w:lang w:val="hy-AM" w:eastAsia="en-US"/>
        </w:rPr>
        <w:t>Ըստ «Բլումբերգ» միջազգային հեղինակավոր կազմակերպության` օգոստոսի դրությամբ 2022թ</w:t>
      </w:r>
      <w:r w:rsidRPr="00D178DD">
        <w:rPr>
          <w:rFonts w:ascii="Cambria Math" w:eastAsia="Calibri" w:hAnsi="Cambria Math" w:cstheme="minorBidi"/>
          <w:b w:val="0"/>
          <w:szCs w:val="22"/>
          <w:lang w:val="hy-AM" w:eastAsia="en-US"/>
        </w:rPr>
        <w:t xml:space="preserve">․ </w:t>
      </w:r>
      <w:r w:rsidRPr="00D178DD">
        <w:rPr>
          <w:rFonts w:eastAsia="Calibri" w:cstheme="minorBidi"/>
          <w:b w:val="0"/>
          <w:szCs w:val="22"/>
          <w:lang w:val="hy-AM" w:eastAsia="en-US"/>
        </w:rPr>
        <w:t>համար նավթի գների կանխատեսումները վերանայավել են աճի ուղղությամբ, իսկ պղնձի գների կանխատեսումը վերանայվել է նվազման ուղղությամբ մայիս ամսվա կանխատեսումների համեմատ:</w:t>
      </w:r>
    </w:p>
    <w:p w:rsidR="00D178DD" w:rsidRPr="00D178DD" w:rsidRDefault="00D178DD" w:rsidP="00D178DD">
      <w:pPr>
        <w:spacing w:after="60" w:line="276" w:lineRule="auto"/>
        <w:rPr>
          <w:rFonts w:eastAsia="Calibri" w:cstheme="minorBidi"/>
          <w:b w:val="0"/>
          <w:szCs w:val="22"/>
          <w:lang w:val="hy-AM" w:eastAsia="en-US"/>
        </w:rPr>
      </w:pPr>
      <w:r w:rsidRPr="00D178DD">
        <w:rPr>
          <w:rFonts w:eastAsia="Calibri" w:cstheme="minorBidi"/>
          <w:szCs w:val="22"/>
          <w:lang w:val="hy-AM" w:eastAsia="en-US"/>
        </w:rPr>
        <w:t xml:space="preserve">Միջազգային ապրանքային, արժութային և ֆինանսական շուկաները էական ցնցումների են ենթարկվում: </w:t>
      </w:r>
      <w:r w:rsidRPr="00D178DD">
        <w:rPr>
          <w:rFonts w:eastAsia="Calibri" w:cstheme="minorBidi"/>
          <w:b w:val="0"/>
          <w:szCs w:val="22"/>
          <w:lang w:val="hy-AM" w:eastAsia="en-US"/>
        </w:rPr>
        <w:t>Համաշխարհային առևտրի տեմպերը էապես դանդաղում են, իսկ ֆինանսական շուկաներում նկատվում են բաժնետոմսերի գների էական անկումներ:</w:t>
      </w:r>
      <w:r w:rsidRPr="00D178DD">
        <w:rPr>
          <w:rFonts w:eastAsia="Calibri" w:cstheme="minorBidi"/>
          <w:szCs w:val="22"/>
          <w:lang w:val="hy-AM" w:eastAsia="en-US"/>
        </w:rPr>
        <w:t xml:space="preserve">  </w:t>
      </w:r>
      <w:r w:rsidRPr="00D178DD">
        <w:rPr>
          <w:rFonts w:eastAsia="Calibri" w:cstheme="minorBidi"/>
          <w:b w:val="0"/>
          <w:szCs w:val="22"/>
          <w:lang w:val="hy-AM" w:eastAsia="en-US"/>
        </w:rPr>
        <w:t>Չնայած զարգացող երկրներում ազգային արժույթները որոշակիորեն թուլացել են</w:t>
      </w:r>
      <w:r w:rsidRPr="00D178DD">
        <w:rPr>
          <w:rFonts w:eastAsia="Calibri" w:cstheme="minorBidi"/>
          <w:szCs w:val="22"/>
          <w:lang w:val="hy-AM" w:eastAsia="en-US"/>
        </w:rPr>
        <w:t xml:space="preserve">, </w:t>
      </w:r>
      <w:r w:rsidRPr="00D178DD">
        <w:rPr>
          <w:rFonts w:eastAsia="Calibri" w:cstheme="minorBidi"/>
          <w:b w:val="0"/>
          <w:szCs w:val="22"/>
          <w:lang w:val="hy-AM" w:eastAsia="en-US"/>
        </w:rPr>
        <w:t>սակայն ռուս-ուկրաինական հակամարտության և ՌԴ դեմ կիրառված պատժամիջոցների պայմաններում ռուսական ռուբլին մարտ ամսվա ԱՄՆ դոլարի նկատմամբ կարճաժամկետ արժեզրկումից հետո սկսել է կտրուկ արժևորվել: Զարգացող երկրներում և հատկապես տարածաշրջանում երկրների ռիսկի հավելավճարները  բարձրացել են և կայունացել բարձր մակարդակներում։</w:t>
      </w:r>
    </w:p>
    <w:p w:rsidR="00D178DD" w:rsidRPr="00D178DD" w:rsidRDefault="00D178DD" w:rsidP="00D178DD">
      <w:pPr>
        <w:keepNext/>
        <w:keepLines/>
        <w:spacing w:before="0" w:line="276" w:lineRule="auto"/>
        <w:rPr>
          <w:rFonts w:eastAsia="Calibri"/>
          <w:b w:val="0"/>
          <w:color w:val="000000"/>
          <w:szCs w:val="22"/>
          <w:lang w:val="hy-AM"/>
        </w:rPr>
      </w:pPr>
      <w:bookmarkStart w:id="123" w:name="_Toc51947414"/>
      <w:bookmarkStart w:id="124" w:name="_Toc52452087"/>
      <w:r w:rsidRPr="00D178DD">
        <w:rPr>
          <w:rFonts w:eastAsia="Calibri"/>
          <w:color w:val="000000"/>
          <w:szCs w:val="22"/>
          <w:lang w:val="hy-AM"/>
        </w:rPr>
        <w:t>Միջազգային տնտեսական և ֆինանսական զարգացումները և կանխատեսումները</w:t>
      </w:r>
    </w:p>
    <w:tbl>
      <w:tblPr>
        <w:tblStyle w:val="TableGrid2214"/>
        <w:tblW w:w="10138" w:type="dxa"/>
        <w:tblInd w:w="-8" w:type="dxa"/>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ayout w:type="fixed"/>
        <w:tblLook w:val="04A0" w:firstRow="1" w:lastRow="0" w:firstColumn="1" w:lastColumn="0" w:noHBand="0" w:noVBand="1"/>
      </w:tblPr>
      <w:tblGrid>
        <w:gridCol w:w="5052"/>
        <w:gridCol w:w="5086"/>
      </w:tblGrid>
      <w:tr w:rsidR="00D178DD" w:rsidRPr="00D178DD" w:rsidTr="004B2286">
        <w:trPr>
          <w:trHeight w:val="3504"/>
        </w:trPr>
        <w:tc>
          <w:tcPr>
            <w:tcW w:w="5052" w:type="dxa"/>
            <w:tcBorders>
              <w:top w:val="single" w:sz="6" w:space="0" w:color="4F81BD"/>
              <w:left w:val="single" w:sz="6" w:space="0" w:color="4F81BD"/>
              <w:bottom w:val="single" w:sz="6" w:space="0" w:color="4F81BD"/>
              <w:right w:val="single" w:sz="6" w:space="0" w:color="4F81BD"/>
            </w:tcBorders>
            <w:hideMark/>
          </w:tcPr>
          <w:p w:rsidR="00D178DD" w:rsidRPr="00D178DD" w:rsidRDefault="00D178DD" w:rsidP="00D178DD">
            <w:pPr>
              <w:spacing w:line="276" w:lineRule="auto"/>
              <w:rPr>
                <w:bCs/>
                <w:i/>
                <w:lang w:val="hy-AM"/>
              </w:rPr>
            </w:pPr>
            <w:r w:rsidRPr="00D178DD">
              <w:rPr>
                <w:b w:val="0"/>
                <w:noProof/>
                <w:lang w:val="en-US" w:eastAsia="en-US"/>
              </w:rPr>
              <w:drawing>
                <wp:anchor distT="0" distB="0" distL="114300" distR="114300" simplePos="0" relativeHeight="251670528" behindDoc="1" locked="0" layoutInCell="1" allowOverlap="1" wp14:anchorId="6EBA96FE" wp14:editId="073F7F75">
                  <wp:simplePos x="0" y="0"/>
                  <wp:positionH relativeFrom="column">
                    <wp:posOffset>-66675</wp:posOffset>
                  </wp:positionH>
                  <wp:positionV relativeFrom="paragraph">
                    <wp:posOffset>538480</wp:posOffset>
                  </wp:positionV>
                  <wp:extent cx="2804160" cy="1859280"/>
                  <wp:effectExtent l="0" t="0" r="15240" b="7620"/>
                  <wp:wrapTight wrapText="bothSides">
                    <wp:wrapPolygon edited="0">
                      <wp:start x="0" y="0"/>
                      <wp:lineTo x="0" y="21467"/>
                      <wp:lineTo x="21571" y="21467"/>
                      <wp:lineTo x="21571" y="0"/>
                      <wp:lineTo x="0" y="0"/>
                    </wp:wrapPolygon>
                  </wp:wrapTight>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Pr="00D178DD">
              <w:rPr>
                <w:bCs/>
                <w:i/>
                <w:sz w:val="18"/>
                <w:szCs w:val="18"/>
                <w:lang w:val="hy-AM"/>
              </w:rPr>
              <w:t>Գծապատկեր 1.1 Համաշխարհային և գործընկեր երկրներիտնտեսական աճեր (%)</w:t>
            </w:r>
          </w:p>
          <w:p w:rsidR="00D178DD" w:rsidRPr="00D178DD" w:rsidRDefault="00D178DD" w:rsidP="00D178DD">
            <w:pPr>
              <w:spacing w:after="160" w:line="276" w:lineRule="auto"/>
              <w:rPr>
                <w:i/>
                <w:sz w:val="16"/>
                <w:szCs w:val="16"/>
                <w:lang w:val="hy-AM"/>
              </w:rPr>
            </w:pPr>
            <w:r w:rsidRPr="00D178DD">
              <w:rPr>
                <w:i/>
                <w:sz w:val="16"/>
                <w:szCs w:val="16"/>
                <w:lang w:val="hy-AM"/>
              </w:rPr>
              <w:t xml:space="preserve"> </w:t>
            </w:r>
          </w:p>
          <w:p w:rsidR="00D178DD" w:rsidRPr="00D178DD" w:rsidRDefault="00D178DD" w:rsidP="00D178DD">
            <w:pPr>
              <w:spacing w:after="160" w:line="276" w:lineRule="auto"/>
              <w:rPr>
                <w:b w:val="0"/>
                <w:i/>
                <w:sz w:val="16"/>
                <w:szCs w:val="16"/>
                <w:lang w:val="hy-AM"/>
              </w:rPr>
            </w:pPr>
            <w:r w:rsidRPr="00D178DD">
              <w:rPr>
                <w:i/>
                <w:sz w:val="16"/>
                <w:szCs w:val="16"/>
                <w:lang w:val="hy-AM"/>
              </w:rPr>
              <w:t>Աղբյուրը՝ ԱՄՀ</w:t>
            </w:r>
          </w:p>
        </w:tc>
        <w:tc>
          <w:tcPr>
            <w:tcW w:w="5086" w:type="dxa"/>
            <w:tcBorders>
              <w:top w:val="single" w:sz="6" w:space="0" w:color="4F81BD"/>
              <w:left w:val="single" w:sz="6" w:space="0" w:color="4F81BD"/>
              <w:bottom w:val="single" w:sz="6" w:space="0" w:color="4F81BD"/>
              <w:right w:val="single" w:sz="6" w:space="0" w:color="4F81BD"/>
            </w:tcBorders>
            <w:hideMark/>
          </w:tcPr>
          <w:p w:rsidR="00D178DD" w:rsidRPr="00D178DD" w:rsidRDefault="00D178DD" w:rsidP="00D178DD">
            <w:pPr>
              <w:spacing w:line="276" w:lineRule="auto"/>
              <w:rPr>
                <w:bCs/>
                <w:i/>
                <w:sz w:val="18"/>
                <w:szCs w:val="18"/>
                <w:lang w:val="hy-AM"/>
              </w:rPr>
            </w:pPr>
            <w:r w:rsidRPr="00D178DD">
              <w:rPr>
                <w:bCs/>
                <w:i/>
                <w:noProof/>
                <w:sz w:val="18"/>
                <w:szCs w:val="18"/>
                <w:lang w:val="en-US" w:eastAsia="en-US"/>
              </w:rPr>
              <w:drawing>
                <wp:anchor distT="0" distB="0" distL="114300" distR="114300" simplePos="0" relativeHeight="251679744" behindDoc="1" locked="0" layoutInCell="1" allowOverlap="1" wp14:anchorId="2A095A09" wp14:editId="43CFDD64">
                  <wp:simplePos x="0" y="0"/>
                  <wp:positionH relativeFrom="column">
                    <wp:posOffset>71102</wp:posOffset>
                  </wp:positionH>
                  <wp:positionV relativeFrom="paragraph">
                    <wp:posOffset>454025</wp:posOffset>
                  </wp:positionV>
                  <wp:extent cx="3072130" cy="1859280"/>
                  <wp:effectExtent l="0" t="0" r="13970" b="7620"/>
                  <wp:wrapTight wrapText="bothSides">
                    <wp:wrapPolygon edited="0">
                      <wp:start x="0" y="0"/>
                      <wp:lineTo x="0" y="21467"/>
                      <wp:lineTo x="21564" y="21467"/>
                      <wp:lineTo x="21564" y="0"/>
                      <wp:lineTo x="0" y="0"/>
                    </wp:wrapPolygon>
                  </wp:wrapTight>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Pr="00D178DD">
              <w:rPr>
                <w:bCs/>
                <w:i/>
                <w:sz w:val="18"/>
                <w:szCs w:val="18"/>
                <w:lang w:val="hy-AM"/>
              </w:rPr>
              <w:t>Գծապատկեր 1.2 Հումքային ապրանքների գներ (ԱՄՆ դոլար)</w:t>
            </w:r>
          </w:p>
          <w:p w:rsidR="00D178DD" w:rsidRPr="00D178DD" w:rsidRDefault="00D178DD" w:rsidP="00D178DD">
            <w:pPr>
              <w:spacing w:line="276" w:lineRule="auto"/>
              <w:rPr>
                <w:sz w:val="16"/>
                <w:szCs w:val="16"/>
                <w:lang w:val="hy-AM"/>
              </w:rPr>
            </w:pPr>
            <w:r w:rsidRPr="00D178DD">
              <w:rPr>
                <w:i/>
                <w:sz w:val="16"/>
                <w:szCs w:val="16"/>
                <w:lang w:val="hy-AM"/>
              </w:rPr>
              <w:t xml:space="preserve">Աղբյուրը՝ կանխատեսումները ըստ Բլումբերգի </w:t>
            </w:r>
          </w:p>
        </w:tc>
      </w:tr>
      <w:tr w:rsidR="00D178DD" w:rsidRPr="00C43BF7" w:rsidTr="004B2286">
        <w:trPr>
          <w:trHeight w:val="187"/>
        </w:trPr>
        <w:tc>
          <w:tcPr>
            <w:tcW w:w="5052" w:type="dxa"/>
            <w:tcBorders>
              <w:top w:val="single" w:sz="6" w:space="0" w:color="4F81BD"/>
              <w:left w:val="single" w:sz="6" w:space="0" w:color="4F81BD"/>
              <w:bottom w:val="single" w:sz="6" w:space="0" w:color="4F81BD"/>
              <w:right w:val="single" w:sz="6" w:space="0" w:color="4F81BD"/>
            </w:tcBorders>
            <w:hideMark/>
          </w:tcPr>
          <w:p w:rsidR="00D178DD" w:rsidRPr="00D178DD" w:rsidRDefault="00D178DD" w:rsidP="00D178DD">
            <w:pPr>
              <w:spacing w:line="276" w:lineRule="auto"/>
              <w:rPr>
                <w:bCs/>
                <w:i/>
                <w:sz w:val="18"/>
                <w:szCs w:val="18"/>
                <w:lang w:val="hy-AM"/>
              </w:rPr>
            </w:pPr>
            <w:r w:rsidRPr="00D178DD">
              <w:rPr>
                <w:noProof/>
                <w:lang w:val="en-US" w:eastAsia="en-US"/>
              </w:rPr>
              <w:drawing>
                <wp:anchor distT="0" distB="0" distL="114300" distR="114300" simplePos="0" relativeHeight="251668480" behindDoc="1" locked="0" layoutInCell="1" allowOverlap="1" wp14:anchorId="186D222B" wp14:editId="2DC4811F">
                  <wp:simplePos x="0" y="0"/>
                  <wp:positionH relativeFrom="column">
                    <wp:posOffset>-66675</wp:posOffset>
                  </wp:positionH>
                  <wp:positionV relativeFrom="paragraph">
                    <wp:posOffset>391795</wp:posOffset>
                  </wp:positionV>
                  <wp:extent cx="2871470" cy="1981200"/>
                  <wp:effectExtent l="0" t="0" r="5080" b="0"/>
                  <wp:wrapTight wrapText="bothSides">
                    <wp:wrapPolygon edited="0">
                      <wp:start x="0" y="0"/>
                      <wp:lineTo x="0" y="21392"/>
                      <wp:lineTo x="21495" y="21392"/>
                      <wp:lineTo x="21495" y="0"/>
                      <wp:lineTo x="0" y="0"/>
                    </wp:wrapPolygon>
                  </wp:wrapTight>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D178DD">
              <w:rPr>
                <w:bCs/>
                <w:i/>
                <w:sz w:val="18"/>
                <w:szCs w:val="18"/>
                <w:lang w:val="hy-AM"/>
              </w:rPr>
              <w:t>Գծապատկեր 1.3. Համաշխարհային առևտրի դոլարային աճերը</w:t>
            </w:r>
            <w:r w:rsidRPr="00D178DD">
              <w:rPr>
                <w:i/>
                <w:sz w:val="18"/>
                <w:szCs w:val="18"/>
                <w:lang w:val="hy-AM"/>
              </w:rPr>
              <w:t xml:space="preserve">(%) </w:t>
            </w:r>
          </w:p>
          <w:p w:rsidR="00D178DD" w:rsidRPr="00D178DD" w:rsidRDefault="00D178DD" w:rsidP="00D178DD">
            <w:pPr>
              <w:spacing w:line="276" w:lineRule="auto"/>
              <w:rPr>
                <w:bCs/>
                <w:i/>
                <w:sz w:val="18"/>
                <w:szCs w:val="18"/>
                <w:lang w:val="hy-AM"/>
              </w:rPr>
            </w:pPr>
            <w:r w:rsidRPr="00D178DD">
              <w:rPr>
                <w:i/>
                <w:sz w:val="16"/>
                <w:szCs w:val="16"/>
                <w:lang w:val="hy-AM"/>
              </w:rPr>
              <w:t>Աղբյուրը՝ ԱՄՀ</w:t>
            </w:r>
          </w:p>
        </w:tc>
        <w:tc>
          <w:tcPr>
            <w:tcW w:w="5086" w:type="dxa"/>
            <w:tcBorders>
              <w:top w:val="single" w:sz="6" w:space="0" w:color="4F81BD"/>
              <w:left w:val="single" w:sz="6" w:space="0" w:color="4F81BD"/>
              <w:bottom w:val="single" w:sz="6" w:space="0" w:color="4F81BD"/>
              <w:right w:val="single" w:sz="6" w:space="0" w:color="4F81BD"/>
            </w:tcBorders>
          </w:tcPr>
          <w:p w:rsidR="00D178DD" w:rsidRPr="00D178DD" w:rsidRDefault="00D178DD" w:rsidP="00D178DD">
            <w:pPr>
              <w:spacing w:line="276" w:lineRule="auto"/>
              <w:rPr>
                <w:bCs/>
                <w:i/>
                <w:sz w:val="18"/>
                <w:szCs w:val="18"/>
                <w:lang w:val="hy-AM"/>
              </w:rPr>
            </w:pPr>
            <w:r w:rsidRPr="00D178DD">
              <w:rPr>
                <w:noProof/>
                <w:lang w:val="en-US" w:eastAsia="en-US"/>
              </w:rPr>
              <w:drawing>
                <wp:anchor distT="0" distB="0" distL="114300" distR="114300" simplePos="0" relativeHeight="251671552" behindDoc="1" locked="0" layoutInCell="1" allowOverlap="1" wp14:anchorId="669A5043" wp14:editId="4905F78D">
                  <wp:simplePos x="0" y="0"/>
                  <wp:positionH relativeFrom="column">
                    <wp:posOffset>-70485</wp:posOffset>
                  </wp:positionH>
                  <wp:positionV relativeFrom="paragraph">
                    <wp:posOffset>344170</wp:posOffset>
                  </wp:positionV>
                  <wp:extent cx="2944495" cy="2005330"/>
                  <wp:effectExtent l="0" t="0" r="8255" b="13970"/>
                  <wp:wrapTight wrapText="bothSides">
                    <wp:wrapPolygon edited="0">
                      <wp:start x="0" y="0"/>
                      <wp:lineTo x="0" y="21545"/>
                      <wp:lineTo x="21521" y="21545"/>
                      <wp:lineTo x="21521" y="0"/>
                      <wp:lineTo x="0" y="0"/>
                    </wp:wrapPolygon>
                  </wp:wrapTight>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Pr="00D178DD">
              <w:rPr>
                <w:i/>
                <w:sz w:val="18"/>
                <w:szCs w:val="18"/>
                <w:lang w:val="hy-AM"/>
              </w:rPr>
              <w:t xml:space="preserve">Գծապատկեր 1.4. </w:t>
            </w:r>
            <w:r w:rsidRPr="00D178DD">
              <w:rPr>
                <w:bCs/>
                <w:i/>
                <w:sz w:val="18"/>
                <w:szCs w:val="18"/>
                <w:lang w:val="hy-AM"/>
              </w:rPr>
              <w:t xml:space="preserve">Զարգացող երկրների ազգային արժույթների դոլարի նկատմամբ փոփոխությունները </w:t>
            </w:r>
            <w:r w:rsidRPr="00D178DD">
              <w:rPr>
                <w:rFonts w:ascii="Arial Armenian" w:hAnsi="Arial Armenian"/>
                <w:bCs/>
                <w:i/>
                <w:sz w:val="18"/>
                <w:szCs w:val="18"/>
                <w:vertAlign w:val="superscript"/>
                <w:lang w:val="hy-AM"/>
              </w:rPr>
              <w:footnoteReference w:id="2"/>
            </w:r>
          </w:p>
          <w:p w:rsidR="00D178DD" w:rsidRPr="00D178DD" w:rsidRDefault="00D178DD" w:rsidP="00D178DD">
            <w:pPr>
              <w:spacing w:line="276" w:lineRule="auto"/>
              <w:rPr>
                <w:bCs/>
                <w:i/>
                <w:sz w:val="18"/>
                <w:szCs w:val="18"/>
                <w:lang w:val="hy-AM"/>
              </w:rPr>
            </w:pPr>
          </w:p>
          <w:p w:rsidR="00D178DD" w:rsidRPr="00D178DD" w:rsidRDefault="00D178DD" w:rsidP="00D178DD">
            <w:pPr>
              <w:spacing w:after="160" w:line="276" w:lineRule="auto"/>
              <w:rPr>
                <w:i/>
                <w:sz w:val="16"/>
                <w:szCs w:val="16"/>
                <w:lang w:val="hy-AM"/>
              </w:rPr>
            </w:pPr>
            <w:r w:rsidRPr="00D178DD">
              <w:rPr>
                <w:i/>
                <w:sz w:val="16"/>
                <w:szCs w:val="16"/>
                <w:lang w:val="hy-AM"/>
              </w:rPr>
              <w:t>Աղբյուրը՝ Բլումբերգ, ՀՀ ԿԲ, ՀՀ ՖՆ հաշվարկներ</w:t>
            </w:r>
          </w:p>
        </w:tc>
      </w:tr>
      <w:tr w:rsidR="00D178DD" w:rsidRPr="00D178DD" w:rsidTr="004B2286">
        <w:trPr>
          <w:trHeight w:val="52"/>
        </w:trPr>
        <w:tc>
          <w:tcPr>
            <w:tcW w:w="5052" w:type="dxa"/>
            <w:tcBorders>
              <w:top w:val="single" w:sz="6" w:space="0" w:color="4F81BD"/>
              <w:left w:val="single" w:sz="6" w:space="0" w:color="4F81BD"/>
              <w:bottom w:val="single" w:sz="6" w:space="0" w:color="4F81BD"/>
              <w:right w:val="single" w:sz="6" w:space="0" w:color="4F81BD"/>
            </w:tcBorders>
            <w:hideMark/>
          </w:tcPr>
          <w:p w:rsidR="00D178DD" w:rsidRPr="00D178DD" w:rsidRDefault="00D178DD" w:rsidP="00D178DD">
            <w:pPr>
              <w:spacing w:line="276" w:lineRule="auto"/>
              <w:rPr>
                <w:i/>
                <w:sz w:val="18"/>
                <w:szCs w:val="18"/>
                <w:lang w:val="hy-AM"/>
              </w:rPr>
            </w:pPr>
            <w:r w:rsidRPr="00D178DD">
              <w:rPr>
                <w:noProof/>
                <w:lang w:val="en-US" w:eastAsia="en-US"/>
              </w:rPr>
              <w:drawing>
                <wp:anchor distT="0" distB="0" distL="114300" distR="114300" simplePos="0" relativeHeight="251669504" behindDoc="1" locked="0" layoutInCell="1" allowOverlap="1" wp14:anchorId="04F6B491" wp14:editId="0779D813">
                  <wp:simplePos x="0" y="0"/>
                  <wp:positionH relativeFrom="column">
                    <wp:posOffset>-3810</wp:posOffset>
                  </wp:positionH>
                  <wp:positionV relativeFrom="paragraph">
                    <wp:posOffset>596265</wp:posOffset>
                  </wp:positionV>
                  <wp:extent cx="2871470" cy="1877695"/>
                  <wp:effectExtent l="0" t="0" r="5080" b="8255"/>
                  <wp:wrapTight wrapText="bothSides">
                    <wp:wrapPolygon edited="0">
                      <wp:start x="0" y="0"/>
                      <wp:lineTo x="0" y="21476"/>
                      <wp:lineTo x="21495" y="21476"/>
                      <wp:lineTo x="21495" y="0"/>
                      <wp:lineTo x="0" y="0"/>
                    </wp:wrapPolygon>
                  </wp:wrapTight>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D178DD">
              <w:rPr>
                <w:i/>
                <w:sz w:val="18"/>
                <w:szCs w:val="18"/>
                <w:lang w:val="hy-AM"/>
              </w:rPr>
              <w:t xml:space="preserve">Գծապատկեր 1.5. Գործընկեր երկրների </w:t>
            </w:r>
            <w:r w:rsidRPr="00D178DD">
              <w:rPr>
                <w:bCs/>
                <w:i/>
                <w:sz w:val="18"/>
                <w:szCs w:val="18"/>
                <w:lang w:val="hy-AM"/>
              </w:rPr>
              <w:t>բաժնետոմսերի շուկաների ինդեքսներ  վերականգնվել է</w:t>
            </w:r>
          </w:p>
          <w:p w:rsidR="00D178DD" w:rsidRPr="00D178DD" w:rsidRDefault="00D178DD" w:rsidP="00D178DD">
            <w:pPr>
              <w:spacing w:line="276" w:lineRule="auto"/>
              <w:rPr>
                <w:i/>
                <w:sz w:val="18"/>
                <w:szCs w:val="18"/>
                <w:lang w:val="hy-AM"/>
              </w:rPr>
            </w:pPr>
            <w:r w:rsidRPr="00D178DD">
              <w:rPr>
                <w:i/>
                <w:sz w:val="16"/>
                <w:szCs w:val="16"/>
                <w:lang w:val="hy-AM"/>
              </w:rPr>
              <w:t>Աղբյուրը՝ Բլումբերգ, ՀՀ ՖՆ հաշվարկներ</w:t>
            </w:r>
          </w:p>
        </w:tc>
        <w:tc>
          <w:tcPr>
            <w:tcW w:w="5086" w:type="dxa"/>
            <w:tcBorders>
              <w:top w:val="single" w:sz="6" w:space="0" w:color="4F81BD"/>
              <w:left w:val="single" w:sz="6" w:space="0" w:color="4F81BD"/>
              <w:bottom w:val="single" w:sz="6" w:space="0" w:color="4F81BD"/>
              <w:right w:val="single" w:sz="6" w:space="0" w:color="4F81BD"/>
            </w:tcBorders>
          </w:tcPr>
          <w:p w:rsidR="00D178DD" w:rsidRPr="00D178DD" w:rsidRDefault="00D178DD" w:rsidP="00D178DD">
            <w:pPr>
              <w:spacing w:after="160" w:line="276" w:lineRule="auto"/>
              <w:rPr>
                <w:i/>
                <w:sz w:val="18"/>
                <w:szCs w:val="18"/>
                <w:lang w:val="hy-AM"/>
              </w:rPr>
            </w:pPr>
            <w:r w:rsidRPr="00D178DD">
              <w:rPr>
                <w:i/>
                <w:sz w:val="18"/>
                <w:szCs w:val="18"/>
                <w:lang w:val="hy-AM"/>
              </w:rPr>
              <w:t>Գծապատկեր 1.6. Զարգացող երկրների ռիսկի</w:t>
            </w:r>
            <w:r w:rsidRPr="00D178DD">
              <w:rPr>
                <w:sz w:val="18"/>
                <w:szCs w:val="18"/>
                <w:lang w:val="hy-AM"/>
              </w:rPr>
              <w:t xml:space="preserve"> </w:t>
            </w:r>
            <w:r w:rsidRPr="00D178DD">
              <w:rPr>
                <w:i/>
                <w:sz w:val="18"/>
                <w:szCs w:val="18"/>
                <w:lang w:val="hy-AM"/>
              </w:rPr>
              <w:t>հավելավճարներ</w:t>
            </w:r>
            <w:r w:rsidRPr="00D178DD">
              <w:rPr>
                <w:rFonts w:ascii="Arial Armenian" w:hAnsi="Arial Armenian"/>
                <w:i/>
                <w:sz w:val="18"/>
                <w:szCs w:val="18"/>
                <w:vertAlign w:val="superscript"/>
                <w:lang w:val="hy-AM"/>
              </w:rPr>
              <w:footnoteReference w:id="3"/>
            </w:r>
            <w:r w:rsidRPr="00D178DD">
              <w:rPr>
                <w:i/>
                <w:sz w:val="18"/>
                <w:szCs w:val="18"/>
                <w:lang w:val="hy-AM"/>
              </w:rPr>
              <w:t xml:space="preserve"> </w:t>
            </w:r>
          </w:p>
          <w:p w:rsidR="00D178DD" w:rsidRPr="00D178DD" w:rsidRDefault="00D178DD" w:rsidP="00D178DD">
            <w:pPr>
              <w:spacing w:after="160" w:line="276" w:lineRule="auto"/>
              <w:rPr>
                <w:b w:val="0"/>
                <w:noProof/>
                <w:sz w:val="18"/>
                <w:szCs w:val="18"/>
                <w:lang w:val="hy-AM"/>
              </w:rPr>
            </w:pPr>
          </w:p>
          <w:p w:rsidR="00D178DD" w:rsidRPr="00D178DD" w:rsidRDefault="00D178DD" w:rsidP="00D178DD">
            <w:pPr>
              <w:spacing w:after="160" w:line="276" w:lineRule="auto"/>
              <w:rPr>
                <w:b w:val="0"/>
                <w:noProof/>
                <w:sz w:val="18"/>
                <w:szCs w:val="18"/>
                <w:lang w:val="hy-AM"/>
              </w:rPr>
            </w:pPr>
            <w:r w:rsidRPr="00D178DD">
              <w:rPr>
                <w:b w:val="0"/>
                <w:noProof/>
                <w:lang w:val="en-US" w:eastAsia="en-US"/>
              </w:rPr>
              <w:drawing>
                <wp:anchor distT="0" distB="0" distL="114300" distR="114300" simplePos="0" relativeHeight="251672576" behindDoc="0" locked="0" layoutInCell="1" allowOverlap="1" wp14:anchorId="6863099F" wp14:editId="3A7505DC">
                  <wp:simplePos x="0" y="0"/>
                  <wp:positionH relativeFrom="column">
                    <wp:posOffset>50800</wp:posOffset>
                  </wp:positionH>
                  <wp:positionV relativeFrom="paragraph">
                    <wp:posOffset>71120</wp:posOffset>
                  </wp:positionV>
                  <wp:extent cx="3038475" cy="1962150"/>
                  <wp:effectExtent l="0" t="0" r="9525" b="0"/>
                  <wp:wrapNone/>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page">
                    <wp14:pctHeight>0</wp14:pctHeight>
                  </wp14:sizeRelV>
                </wp:anchor>
              </w:drawing>
            </w:r>
          </w:p>
          <w:p w:rsidR="00D178DD" w:rsidRPr="00D178DD" w:rsidRDefault="00D178DD" w:rsidP="00D178DD">
            <w:pPr>
              <w:spacing w:after="160" w:line="276" w:lineRule="auto"/>
              <w:rPr>
                <w:b w:val="0"/>
                <w:noProof/>
                <w:sz w:val="18"/>
                <w:szCs w:val="18"/>
                <w:lang w:val="hy-AM"/>
              </w:rPr>
            </w:pPr>
            <w:r w:rsidRPr="00D178DD">
              <w:rPr>
                <w:i/>
                <w:sz w:val="16"/>
                <w:szCs w:val="16"/>
                <w:lang w:val="hy-AM"/>
              </w:rPr>
              <w:t>Աղբյուրը՝ Բլումբերգ</w:t>
            </w:r>
          </w:p>
        </w:tc>
      </w:tr>
    </w:tbl>
    <w:p w:rsidR="00D178DD" w:rsidRPr="00D178DD" w:rsidRDefault="00D178DD" w:rsidP="00D178DD">
      <w:pPr>
        <w:spacing w:before="0" w:line="276" w:lineRule="auto"/>
        <w:rPr>
          <w:rFonts w:eastAsia="Calibri"/>
          <w:szCs w:val="22"/>
          <w:lang w:val="hy-AM"/>
        </w:rPr>
      </w:pPr>
    </w:p>
    <w:p w:rsidR="00D178DD" w:rsidRPr="00D178DD" w:rsidRDefault="00D178DD" w:rsidP="00D178DD">
      <w:pPr>
        <w:spacing w:line="276" w:lineRule="auto"/>
        <w:ind w:firstLine="720"/>
        <w:rPr>
          <w:b w:val="0"/>
          <w:lang w:val="hy-AM"/>
        </w:rPr>
      </w:pPr>
      <w:r w:rsidRPr="00D178DD">
        <w:rPr>
          <w:lang w:val="hy-AM"/>
        </w:rPr>
        <w:t xml:space="preserve">Առողջապահական և տնտեսական ճգնաժամին «ագրեսիվ» հակազդելուց հետո երկրները սկսել են իրականացնել հարկաբյուջետային կոնսոլիդացիա, սակայն ռուս-ուկրաինական հակամարտության և ՌԴ նկատմամբ կիրառվող պատժամիջոցների հետևանքով ստեղծված գլոբալ մարտահրավերները էական հարկաբյուջետային ճնշումներ են առաջացրել։ </w:t>
      </w:r>
      <w:r w:rsidRPr="00D178DD">
        <w:rPr>
          <w:b w:val="0"/>
          <w:lang w:val="hy-AM"/>
        </w:rPr>
        <w:t>Խթանող հարկաբյուջետային քաղաքականության պայմաններում 2020թ. աշխարհում գրանցվել է պետական բյուջեի պակասուրդի և պարտքի բեռի էական աճ՝ ինչը գրանցվել էր նաև 2009թ</w:t>
      </w:r>
      <w:r w:rsidRPr="00D178DD">
        <w:rPr>
          <w:rFonts w:ascii="Cambria Math" w:hAnsi="Cambria Math" w:cs="Cambria Math"/>
          <w:b w:val="0"/>
          <w:lang w:val="hy-AM"/>
        </w:rPr>
        <w:t>․</w:t>
      </w:r>
      <w:r w:rsidRPr="00D178DD">
        <w:rPr>
          <w:b w:val="0"/>
          <w:lang w:val="hy-AM"/>
        </w:rPr>
        <w:t>-</w:t>
      </w:r>
      <w:r w:rsidRPr="00D178DD">
        <w:rPr>
          <w:rFonts w:cs="GHEA Grapalat"/>
          <w:b w:val="0"/>
          <w:lang w:val="hy-AM"/>
        </w:rPr>
        <w:t>ի</w:t>
      </w:r>
      <w:r w:rsidRPr="00D178DD">
        <w:rPr>
          <w:b w:val="0"/>
          <w:lang w:val="hy-AM"/>
        </w:rPr>
        <w:t xml:space="preserve"> </w:t>
      </w:r>
      <w:r w:rsidRPr="00D178DD">
        <w:rPr>
          <w:rFonts w:cs="GHEA Grapalat"/>
          <w:b w:val="0"/>
          <w:lang w:val="hy-AM"/>
        </w:rPr>
        <w:t>ճգնաժամի</w:t>
      </w:r>
      <w:r w:rsidRPr="00D178DD">
        <w:rPr>
          <w:b w:val="0"/>
          <w:lang w:val="hy-AM"/>
        </w:rPr>
        <w:t xml:space="preserve"> </w:t>
      </w:r>
      <w:r w:rsidRPr="00D178DD">
        <w:rPr>
          <w:rFonts w:cs="GHEA Grapalat"/>
          <w:b w:val="0"/>
          <w:lang w:val="hy-AM"/>
        </w:rPr>
        <w:t>ժամանակ։</w:t>
      </w:r>
      <w:r w:rsidRPr="00D178DD">
        <w:rPr>
          <w:b w:val="0"/>
          <w:lang w:val="hy-AM"/>
        </w:rPr>
        <w:t xml:space="preserve"> Սակայն, ի տարբերություն 2009թ</w:t>
      </w:r>
      <w:r w:rsidRPr="00D178DD">
        <w:rPr>
          <w:rFonts w:ascii="Cambria Math" w:hAnsi="Cambria Math" w:cs="Cambria Math"/>
          <w:b w:val="0"/>
          <w:lang w:val="hy-AM"/>
        </w:rPr>
        <w:t>․</w:t>
      </w:r>
      <w:r w:rsidRPr="00D178DD">
        <w:rPr>
          <w:b w:val="0"/>
          <w:lang w:val="hy-AM"/>
        </w:rPr>
        <w:t>-</w:t>
      </w:r>
      <w:r w:rsidRPr="00D178DD">
        <w:rPr>
          <w:rFonts w:cs="GHEA Grapalat"/>
          <w:b w:val="0"/>
          <w:lang w:val="hy-AM"/>
        </w:rPr>
        <w:t>ի</w:t>
      </w:r>
      <w:r w:rsidRPr="00D178DD">
        <w:rPr>
          <w:b w:val="0"/>
          <w:lang w:val="hy-AM"/>
        </w:rPr>
        <w:t xml:space="preserve"> </w:t>
      </w:r>
      <w:r w:rsidRPr="00D178DD">
        <w:rPr>
          <w:rFonts w:cs="GHEA Grapalat"/>
          <w:b w:val="0"/>
          <w:lang w:val="hy-AM"/>
        </w:rPr>
        <w:t>ճգնաժամին</w:t>
      </w:r>
      <w:r w:rsidRPr="00D178DD">
        <w:rPr>
          <w:b w:val="0"/>
          <w:lang w:val="hy-AM"/>
        </w:rPr>
        <w:t xml:space="preserve"> </w:t>
      </w:r>
      <w:r w:rsidRPr="00D178DD">
        <w:rPr>
          <w:rFonts w:cs="GHEA Grapalat"/>
          <w:b w:val="0"/>
          <w:lang w:val="hy-AM"/>
        </w:rPr>
        <w:t>հաջորդող</w:t>
      </w:r>
      <w:r w:rsidRPr="00D178DD">
        <w:rPr>
          <w:b w:val="0"/>
          <w:lang w:val="hy-AM"/>
        </w:rPr>
        <w:t xml:space="preserve"> </w:t>
      </w:r>
      <w:r w:rsidRPr="00D178DD">
        <w:rPr>
          <w:rFonts w:cs="GHEA Grapalat"/>
          <w:b w:val="0"/>
          <w:lang w:val="hy-AM"/>
        </w:rPr>
        <w:t>երկու</w:t>
      </w:r>
      <w:r w:rsidRPr="00D178DD">
        <w:rPr>
          <w:b w:val="0"/>
          <w:lang w:val="hy-AM"/>
        </w:rPr>
        <w:t xml:space="preserve"> </w:t>
      </w:r>
      <w:r w:rsidRPr="00D178DD">
        <w:rPr>
          <w:rFonts w:cs="GHEA Grapalat"/>
          <w:b w:val="0"/>
          <w:lang w:val="hy-AM"/>
        </w:rPr>
        <w:t>տարիներին</w:t>
      </w:r>
      <w:r w:rsidRPr="00D178DD">
        <w:rPr>
          <w:b w:val="0"/>
          <w:lang w:val="hy-AM"/>
        </w:rPr>
        <w:t xml:space="preserve">, </w:t>
      </w:r>
      <w:r w:rsidRPr="00D178DD">
        <w:rPr>
          <w:rFonts w:cs="GHEA Grapalat"/>
          <w:b w:val="0"/>
          <w:lang w:val="hy-AM"/>
        </w:rPr>
        <w:t>երբ</w:t>
      </w:r>
      <w:r w:rsidRPr="00D178DD">
        <w:rPr>
          <w:b w:val="0"/>
          <w:lang w:val="hy-AM"/>
        </w:rPr>
        <w:t xml:space="preserve"> </w:t>
      </w:r>
      <w:r w:rsidRPr="00D178DD">
        <w:rPr>
          <w:rFonts w:cs="GHEA Grapalat"/>
          <w:b w:val="0"/>
          <w:lang w:val="hy-AM"/>
        </w:rPr>
        <w:t>հնարավոր</w:t>
      </w:r>
      <w:r w:rsidRPr="00D178DD">
        <w:rPr>
          <w:b w:val="0"/>
          <w:lang w:val="hy-AM"/>
        </w:rPr>
        <w:t xml:space="preserve"> </w:t>
      </w:r>
      <w:r w:rsidRPr="00D178DD">
        <w:rPr>
          <w:rFonts w:cs="GHEA Grapalat"/>
          <w:b w:val="0"/>
          <w:lang w:val="hy-AM"/>
        </w:rPr>
        <w:t>չեղավ</w:t>
      </w:r>
      <w:r w:rsidRPr="00D178DD">
        <w:rPr>
          <w:b w:val="0"/>
          <w:lang w:val="hy-AM"/>
        </w:rPr>
        <w:t xml:space="preserve"> </w:t>
      </w:r>
      <w:r w:rsidRPr="00D178DD">
        <w:rPr>
          <w:rFonts w:cs="GHEA Grapalat"/>
          <w:b w:val="0"/>
          <w:lang w:val="hy-AM"/>
        </w:rPr>
        <w:t>պետական</w:t>
      </w:r>
      <w:r w:rsidRPr="00D178DD">
        <w:rPr>
          <w:b w:val="0"/>
          <w:lang w:val="hy-AM"/>
        </w:rPr>
        <w:t xml:space="preserve"> </w:t>
      </w:r>
      <w:r w:rsidRPr="00D178DD">
        <w:rPr>
          <w:rFonts w:cs="GHEA Grapalat"/>
          <w:b w:val="0"/>
          <w:lang w:val="hy-AM"/>
        </w:rPr>
        <w:t>պարտքի</w:t>
      </w:r>
      <w:r w:rsidRPr="00D178DD">
        <w:rPr>
          <w:b w:val="0"/>
          <w:lang w:val="hy-AM"/>
        </w:rPr>
        <w:t xml:space="preserve"> </w:t>
      </w:r>
      <w:r w:rsidRPr="00D178DD">
        <w:rPr>
          <w:rFonts w:cs="GHEA Grapalat"/>
          <w:b w:val="0"/>
          <w:lang w:val="hy-AM"/>
        </w:rPr>
        <w:t>բեռի</w:t>
      </w:r>
      <w:r w:rsidRPr="00D178DD">
        <w:rPr>
          <w:b w:val="0"/>
          <w:lang w:val="hy-AM"/>
        </w:rPr>
        <w:t xml:space="preserve"> </w:t>
      </w:r>
      <w:r w:rsidRPr="00D178DD">
        <w:rPr>
          <w:rFonts w:cs="GHEA Grapalat"/>
          <w:b w:val="0"/>
          <w:lang w:val="hy-AM"/>
        </w:rPr>
        <w:t>նվազում</w:t>
      </w:r>
      <w:r w:rsidRPr="00D178DD">
        <w:rPr>
          <w:b w:val="0"/>
          <w:lang w:val="hy-AM"/>
        </w:rPr>
        <w:t xml:space="preserve"> </w:t>
      </w:r>
      <w:r w:rsidRPr="00D178DD">
        <w:rPr>
          <w:rFonts w:cs="GHEA Grapalat"/>
          <w:b w:val="0"/>
          <w:lang w:val="hy-AM"/>
        </w:rPr>
        <w:t>ապահովել՝</w:t>
      </w:r>
      <w:r w:rsidRPr="00D178DD">
        <w:rPr>
          <w:b w:val="0"/>
          <w:lang w:val="hy-AM"/>
        </w:rPr>
        <w:t xml:space="preserve"> </w:t>
      </w:r>
      <w:r w:rsidRPr="00D178DD">
        <w:rPr>
          <w:rFonts w:cs="GHEA Grapalat"/>
          <w:b w:val="0"/>
          <w:lang w:val="hy-AM"/>
        </w:rPr>
        <w:t>չնայած</w:t>
      </w:r>
      <w:r w:rsidRPr="00D178DD">
        <w:rPr>
          <w:b w:val="0"/>
          <w:lang w:val="hy-AM"/>
        </w:rPr>
        <w:t xml:space="preserve"> </w:t>
      </w:r>
      <w:r w:rsidRPr="00D178DD">
        <w:rPr>
          <w:rFonts w:cs="GHEA Grapalat"/>
          <w:b w:val="0"/>
          <w:lang w:val="hy-AM"/>
        </w:rPr>
        <w:t>բյուջեի</w:t>
      </w:r>
      <w:r w:rsidRPr="00D178DD">
        <w:rPr>
          <w:b w:val="0"/>
          <w:lang w:val="hy-AM"/>
        </w:rPr>
        <w:t xml:space="preserve"> </w:t>
      </w:r>
      <w:r w:rsidRPr="00D178DD">
        <w:rPr>
          <w:rFonts w:cs="GHEA Grapalat"/>
          <w:b w:val="0"/>
          <w:lang w:val="hy-AM"/>
        </w:rPr>
        <w:t>պակասուրդի</w:t>
      </w:r>
      <w:r w:rsidRPr="00D178DD">
        <w:rPr>
          <w:b w:val="0"/>
          <w:lang w:val="hy-AM"/>
        </w:rPr>
        <w:t xml:space="preserve"> </w:t>
      </w:r>
      <w:r w:rsidRPr="00D178DD">
        <w:rPr>
          <w:rFonts w:cs="GHEA Grapalat"/>
          <w:b w:val="0"/>
          <w:lang w:val="hy-AM"/>
        </w:rPr>
        <w:t>որոշակի</w:t>
      </w:r>
      <w:r w:rsidRPr="00D178DD">
        <w:rPr>
          <w:b w:val="0"/>
          <w:lang w:val="hy-AM"/>
        </w:rPr>
        <w:t xml:space="preserve"> </w:t>
      </w:r>
      <w:r w:rsidRPr="00D178DD">
        <w:rPr>
          <w:rFonts w:cs="GHEA Grapalat"/>
          <w:b w:val="0"/>
          <w:lang w:val="hy-AM"/>
        </w:rPr>
        <w:t>նվազմանը</w:t>
      </w:r>
      <w:r w:rsidRPr="00D178DD">
        <w:rPr>
          <w:b w:val="0"/>
          <w:lang w:val="hy-AM"/>
        </w:rPr>
        <w:t xml:space="preserve">, 2021 </w:t>
      </w:r>
      <w:r w:rsidRPr="00D178DD">
        <w:rPr>
          <w:rFonts w:cs="GHEA Grapalat"/>
          <w:b w:val="0"/>
          <w:lang w:val="hy-AM"/>
        </w:rPr>
        <w:t>թվականի</w:t>
      </w:r>
      <w:r w:rsidRPr="00D178DD">
        <w:rPr>
          <w:b w:val="0"/>
          <w:lang w:val="hy-AM"/>
        </w:rPr>
        <w:t xml:space="preserve"> </w:t>
      </w:r>
      <w:r w:rsidRPr="00D178DD">
        <w:rPr>
          <w:rFonts w:cs="GHEA Grapalat"/>
          <w:b w:val="0"/>
          <w:lang w:val="hy-AM"/>
        </w:rPr>
        <w:t>փաստացի</w:t>
      </w:r>
      <w:r w:rsidRPr="00D178DD">
        <w:rPr>
          <w:b w:val="0"/>
          <w:lang w:val="hy-AM"/>
        </w:rPr>
        <w:t xml:space="preserve"> </w:t>
      </w:r>
      <w:r w:rsidRPr="00D178DD">
        <w:rPr>
          <w:rFonts w:cs="GHEA Grapalat"/>
          <w:b w:val="0"/>
          <w:lang w:val="hy-AM"/>
        </w:rPr>
        <w:t>և</w:t>
      </w:r>
      <w:r w:rsidRPr="00D178DD">
        <w:rPr>
          <w:b w:val="0"/>
          <w:lang w:val="hy-AM"/>
        </w:rPr>
        <w:t xml:space="preserve"> 2022</w:t>
      </w:r>
      <w:r w:rsidRPr="00D178DD">
        <w:rPr>
          <w:rFonts w:cs="GHEA Grapalat"/>
          <w:b w:val="0"/>
          <w:lang w:val="hy-AM"/>
        </w:rPr>
        <w:t>թ</w:t>
      </w:r>
      <w:r w:rsidRPr="00D178DD">
        <w:rPr>
          <w:rFonts w:ascii="Cambria Math" w:hAnsi="Cambria Math" w:cs="Cambria Math"/>
          <w:b w:val="0"/>
          <w:lang w:val="hy-AM"/>
        </w:rPr>
        <w:t>․</w:t>
      </w:r>
      <w:r w:rsidRPr="00D178DD">
        <w:rPr>
          <w:b w:val="0"/>
          <w:lang w:val="hy-AM"/>
        </w:rPr>
        <w:t>-</w:t>
      </w:r>
      <w:r w:rsidRPr="00D178DD">
        <w:rPr>
          <w:rFonts w:cs="GHEA Grapalat"/>
          <w:b w:val="0"/>
          <w:lang w:val="hy-AM"/>
        </w:rPr>
        <w:t>ի</w:t>
      </w:r>
      <w:r w:rsidRPr="00D178DD">
        <w:rPr>
          <w:b w:val="0"/>
          <w:lang w:val="hy-AM"/>
        </w:rPr>
        <w:t xml:space="preserve"> </w:t>
      </w:r>
      <w:r w:rsidRPr="00D178DD">
        <w:rPr>
          <w:rFonts w:cs="GHEA Grapalat"/>
          <w:b w:val="0"/>
          <w:lang w:val="hy-AM"/>
        </w:rPr>
        <w:t>կանխատեսվող</w:t>
      </w:r>
      <w:r w:rsidRPr="00D178DD">
        <w:rPr>
          <w:b w:val="0"/>
          <w:lang w:val="hy-AM"/>
        </w:rPr>
        <w:t xml:space="preserve"> </w:t>
      </w:r>
      <w:r w:rsidRPr="00D178DD">
        <w:rPr>
          <w:rFonts w:cs="GHEA Grapalat"/>
          <w:b w:val="0"/>
          <w:lang w:val="hy-AM"/>
        </w:rPr>
        <w:t>ցուցանիշներով</w:t>
      </w:r>
      <w:r w:rsidRPr="00D178DD">
        <w:rPr>
          <w:b w:val="0"/>
          <w:lang w:val="hy-AM"/>
        </w:rPr>
        <w:t xml:space="preserve"> </w:t>
      </w:r>
      <w:r w:rsidRPr="00D178DD">
        <w:rPr>
          <w:rFonts w:cs="GHEA Grapalat"/>
          <w:b w:val="0"/>
          <w:lang w:val="hy-AM"/>
        </w:rPr>
        <w:t>համաշխարհային</w:t>
      </w:r>
      <w:r w:rsidRPr="00D178DD">
        <w:rPr>
          <w:b w:val="0"/>
          <w:lang w:val="hy-AM"/>
        </w:rPr>
        <w:t xml:space="preserve"> </w:t>
      </w:r>
      <w:r w:rsidRPr="00D178DD">
        <w:rPr>
          <w:rFonts w:cs="GHEA Grapalat"/>
          <w:b w:val="0"/>
          <w:lang w:val="hy-AM"/>
        </w:rPr>
        <w:t>մակարդակով</w:t>
      </w:r>
      <w:r w:rsidRPr="00D178DD">
        <w:rPr>
          <w:b w:val="0"/>
          <w:lang w:val="hy-AM"/>
        </w:rPr>
        <w:t xml:space="preserve"> </w:t>
      </w:r>
      <w:r w:rsidRPr="00D178DD">
        <w:rPr>
          <w:rFonts w:cs="GHEA Grapalat"/>
          <w:b w:val="0"/>
          <w:lang w:val="hy-AM"/>
        </w:rPr>
        <w:t>պարտքի</w:t>
      </w:r>
      <w:r w:rsidRPr="00D178DD">
        <w:rPr>
          <w:b w:val="0"/>
          <w:lang w:val="hy-AM"/>
        </w:rPr>
        <w:t xml:space="preserve"> </w:t>
      </w:r>
      <w:r w:rsidRPr="00D178DD">
        <w:rPr>
          <w:rFonts w:cs="GHEA Grapalat"/>
          <w:b w:val="0"/>
          <w:lang w:val="hy-AM"/>
        </w:rPr>
        <w:t>բեռի</w:t>
      </w:r>
      <w:r w:rsidRPr="00D178DD">
        <w:rPr>
          <w:b w:val="0"/>
          <w:lang w:val="hy-AM"/>
        </w:rPr>
        <w:t xml:space="preserve"> նվազում է գրանցվում՝ պայմանավորված ինչպես տնտեսական աճի ավելի արագ վերականգնմամբ, այնպես էլ պետական բյուջեի պակասուրդի ավելի արագ կրճատմամբ։ Այս փաստը վկայում է, որ 2021թ.-ին գրանցված տնտեսական վերականգնման պայմաններում կառավարությունները սկսել են իրականացնել հարկաբյուջետային կոնսոլիդացիա՝ պետական պարտքի բեռի աճը մեղմելու և հետագայում կայունացնելու նպատակադրմամբ, ինչը շարունակվում է նաև 2022թ</w:t>
      </w:r>
      <w:r w:rsidRPr="00D178DD">
        <w:rPr>
          <w:rFonts w:ascii="Cambria Math" w:hAnsi="Cambria Math" w:cs="Cambria Math"/>
          <w:b w:val="0"/>
          <w:lang w:val="hy-AM"/>
        </w:rPr>
        <w:t>․</w:t>
      </w:r>
      <w:r w:rsidRPr="00D178DD">
        <w:rPr>
          <w:b w:val="0"/>
          <w:lang w:val="hy-AM"/>
        </w:rPr>
        <w:t>-</w:t>
      </w:r>
      <w:r w:rsidRPr="00D178DD">
        <w:rPr>
          <w:rFonts w:cs="GHEA Grapalat"/>
          <w:b w:val="0"/>
          <w:lang w:val="hy-AM"/>
        </w:rPr>
        <w:t>ին</w:t>
      </w:r>
      <w:r w:rsidRPr="00D178DD">
        <w:rPr>
          <w:b w:val="0"/>
          <w:lang w:val="hy-AM"/>
        </w:rPr>
        <w:t xml:space="preserve">։ </w:t>
      </w:r>
    </w:p>
    <w:p w:rsidR="00D178DD" w:rsidRPr="00D178DD" w:rsidRDefault="00D178DD" w:rsidP="00D178DD">
      <w:pPr>
        <w:spacing w:line="276" w:lineRule="auto"/>
        <w:ind w:firstLine="720"/>
        <w:rPr>
          <w:b w:val="0"/>
          <w:lang w:val="hy-AM"/>
        </w:rPr>
      </w:pPr>
      <w:r w:rsidRPr="00D178DD">
        <w:rPr>
          <w:b w:val="0"/>
          <w:lang w:val="hy-AM"/>
        </w:rPr>
        <w:t>Միաժամանակ, 2022թ</w:t>
      </w:r>
      <w:r w:rsidRPr="00D178DD">
        <w:rPr>
          <w:rFonts w:ascii="Cambria Math" w:hAnsi="Cambria Math" w:cs="Cambria Math"/>
          <w:b w:val="0"/>
          <w:lang w:val="hy-AM"/>
        </w:rPr>
        <w:t>․</w:t>
      </w:r>
      <w:r w:rsidRPr="00D178DD">
        <w:rPr>
          <w:b w:val="0"/>
          <w:lang w:val="hy-AM"/>
        </w:rPr>
        <w:t>-</w:t>
      </w:r>
      <w:r w:rsidRPr="00D178DD">
        <w:rPr>
          <w:rFonts w:cs="GHEA Grapalat"/>
          <w:b w:val="0"/>
          <w:lang w:val="hy-AM"/>
        </w:rPr>
        <w:t>ի</w:t>
      </w:r>
      <w:r w:rsidRPr="00D178DD">
        <w:rPr>
          <w:b w:val="0"/>
          <w:lang w:val="hy-AM"/>
        </w:rPr>
        <w:t xml:space="preserve"> </w:t>
      </w:r>
      <w:r w:rsidRPr="00D178DD">
        <w:rPr>
          <w:rFonts w:cs="GHEA Grapalat"/>
          <w:b w:val="0"/>
          <w:lang w:val="hy-AM"/>
        </w:rPr>
        <w:t>փետրվարից</w:t>
      </w:r>
      <w:r w:rsidRPr="00D178DD">
        <w:rPr>
          <w:b w:val="0"/>
          <w:lang w:val="hy-AM"/>
        </w:rPr>
        <w:t xml:space="preserve"> </w:t>
      </w:r>
      <w:r w:rsidRPr="00D178DD">
        <w:rPr>
          <w:rFonts w:cs="GHEA Grapalat"/>
          <w:b w:val="0"/>
          <w:lang w:val="hy-AM"/>
        </w:rPr>
        <w:t>սկսված</w:t>
      </w:r>
      <w:r w:rsidRPr="00D178DD">
        <w:rPr>
          <w:b w:val="0"/>
          <w:lang w:val="hy-AM"/>
        </w:rPr>
        <w:t xml:space="preserve"> </w:t>
      </w:r>
      <w:r w:rsidRPr="00D178DD">
        <w:rPr>
          <w:rFonts w:cs="GHEA Grapalat"/>
          <w:b w:val="0"/>
          <w:lang w:val="hy-AM"/>
        </w:rPr>
        <w:t>ռուս</w:t>
      </w:r>
      <w:r w:rsidRPr="00D178DD">
        <w:rPr>
          <w:b w:val="0"/>
          <w:lang w:val="hy-AM"/>
        </w:rPr>
        <w:t>-</w:t>
      </w:r>
      <w:r w:rsidRPr="00D178DD">
        <w:rPr>
          <w:rFonts w:cs="GHEA Grapalat"/>
          <w:b w:val="0"/>
          <w:lang w:val="hy-AM"/>
        </w:rPr>
        <w:t>ուկրաինական</w:t>
      </w:r>
      <w:r w:rsidRPr="00D178DD">
        <w:rPr>
          <w:b w:val="0"/>
          <w:lang w:val="hy-AM"/>
        </w:rPr>
        <w:t xml:space="preserve"> </w:t>
      </w:r>
      <w:r w:rsidRPr="00D178DD">
        <w:rPr>
          <w:rFonts w:cs="GHEA Grapalat"/>
          <w:b w:val="0"/>
          <w:lang w:val="hy-AM"/>
        </w:rPr>
        <w:t>պատերազմը</w:t>
      </w:r>
      <w:r w:rsidRPr="00D178DD">
        <w:rPr>
          <w:b w:val="0"/>
          <w:lang w:val="hy-AM"/>
        </w:rPr>
        <w:t xml:space="preserve"> </w:t>
      </w:r>
      <w:r w:rsidRPr="00D178DD">
        <w:rPr>
          <w:rFonts w:cs="GHEA Grapalat"/>
          <w:b w:val="0"/>
          <w:lang w:val="hy-AM"/>
        </w:rPr>
        <w:t>բարձր</w:t>
      </w:r>
      <w:r w:rsidRPr="00D178DD">
        <w:rPr>
          <w:b w:val="0"/>
          <w:lang w:val="hy-AM"/>
        </w:rPr>
        <w:t xml:space="preserve"> </w:t>
      </w:r>
      <w:r w:rsidRPr="00D178DD">
        <w:rPr>
          <w:rFonts w:cs="GHEA Grapalat"/>
          <w:b w:val="0"/>
          <w:lang w:val="hy-AM"/>
        </w:rPr>
        <w:t>անորոշություն</w:t>
      </w:r>
      <w:r w:rsidRPr="00D178DD">
        <w:rPr>
          <w:b w:val="0"/>
          <w:lang w:val="hy-AM"/>
        </w:rPr>
        <w:t xml:space="preserve"> </w:t>
      </w:r>
      <w:r w:rsidRPr="00D178DD">
        <w:rPr>
          <w:rFonts w:cs="GHEA Grapalat"/>
          <w:b w:val="0"/>
          <w:lang w:val="hy-AM"/>
        </w:rPr>
        <w:t>է</w:t>
      </w:r>
      <w:r w:rsidRPr="00D178DD">
        <w:rPr>
          <w:b w:val="0"/>
          <w:lang w:val="hy-AM"/>
        </w:rPr>
        <w:t xml:space="preserve"> </w:t>
      </w:r>
      <w:r w:rsidRPr="00D178DD">
        <w:rPr>
          <w:rFonts w:cs="GHEA Grapalat"/>
          <w:b w:val="0"/>
          <w:lang w:val="hy-AM"/>
        </w:rPr>
        <w:t>ստեղծում</w:t>
      </w:r>
      <w:r w:rsidRPr="00D178DD">
        <w:rPr>
          <w:b w:val="0"/>
          <w:lang w:val="hy-AM"/>
        </w:rPr>
        <w:t xml:space="preserve"> </w:t>
      </w:r>
      <w:r w:rsidRPr="00D178DD">
        <w:rPr>
          <w:rFonts w:cs="GHEA Grapalat"/>
          <w:b w:val="0"/>
          <w:lang w:val="hy-AM"/>
        </w:rPr>
        <w:t>հարկաբյուջետա</w:t>
      </w:r>
      <w:r w:rsidRPr="00D178DD">
        <w:rPr>
          <w:b w:val="0"/>
          <w:lang w:val="hy-AM"/>
        </w:rPr>
        <w:t xml:space="preserve">յին կոնսոլիդացիայի ապահովման համար՝ հանգեցնելով ցածր տնտեսական աճի, բարձր գնաճի և դրանից բխող՝ սոցիալական ծախսերի վրա ավելացող ճնշման ռիսկերի: Այդ ռիսկերի հաշվի առնելով, աշխարհի մակարդակով արդեն իսկ տնտեսական աճի կանխատեսումները ճշգրտվել են դեպի ներքև, իսկ բյուջեի պակասուրդի կանխատեսումները՝ դեպի վեր, ինչի արդյունքում սպասվում է նաև պետական պարտքի առավել մեծ ավելացում (գծապատկեր 1.7): </w:t>
      </w:r>
    </w:p>
    <w:p w:rsidR="00D178DD" w:rsidRPr="00D178DD" w:rsidRDefault="00D178DD" w:rsidP="00D178DD">
      <w:pPr>
        <w:keepNext/>
        <w:keepLines/>
        <w:spacing w:before="60" w:after="40" w:line="276" w:lineRule="auto"/>
        <w:ind w:firstLine="0"/>
        <w:contextualSpacing w:val="0"/>
        <w:jc w:val="left"/>
        <w:rPr>
          <w:rFonts w:eastAsiaTheme="majorEastAsia"/>
          <w:i/>
          <w:szCs w:val="22"/>
          <w:lang w:val="hy-AM" w:eastAsia="en-US"/>
        </w:rPr>
      </w:pPr>
      <w:r w:rsidRPr="00D178DD">
        <w:rPr>
          <w:rFonts w:eastAsiaTheme="majorEastAsia"/>
          <w:i/>
          <w:szCs w:val="22"/>
          <w:lang w:val="hy-AM" w:eastAsia="en-US"/>
        </w:rPr>
        <w:t xml:space="preserve">Գծապատկեր 1.7. Համաշխարհային տնտեսության և հարկաբյուջետային քաղաքականության արձագանքը (% ՀՆԱ-ում) ճգնաժամերին և հաջորդող տարիներին </w:t>
      </w:r>
    </w:p>
    <w:tbl>
      <w:tblPr>
        <w:tblW w:w="10018" w:type="dxa"/>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ook w:val="04A0" w:firstRow="1" w:lastRow="0" w:firstColumn="1" w:lastColumn="0" w:noHBand="0" w:noVBand="1"/>
      </w:tblPr>
      <w:tblGrid>
        <w:gridCol w:w="3306"/>
        <w:gridCol w:w="3336"/>
        <w:gridCol w:w="3426"/>
      </w:tblGrid>
      <w:tr w:rsidR="00D178DD" w:rsidRPr="00C43BF7" w:rsidTr="004B2286">
        <w:trPr>
          <w:trHeight w:val="4353"/>
        </w:trPr>
        <w:tc>
          <w:tcPr>
            <w:tcW w:w="3290" w:type="dxa"/>
          </w:tcPr>
          <w:p w:rsidR="00D178DD" w:rsidRPr="00D178DD" w:rsidRDefault="00D178DD" w:rsidP="00D178DD">
            <w:pPr>
              <w:spacing w:before="40" w:after="160" w:line="276" w:lineRule="auto"/>
              <w:ind w:firstLine="0"/>
              <w:jc w:val="left"/>
              <w:rPr>
                <w:rFonts w:eastAsia="Calibri"/>
                <w:b w:val="0"/>
                <w:i/>
                <w:sz w:val="18"/>
                <w:szCs w:val="16"/>
                <w:lang w:val="hy-AM" w:eastAsia="en-US"/>
              </w:rPr>
            </w:pPr>
            <w:r w:rsidRPr="00D178DD">
              <w:rPr>
                <w:rFonts w:eastAsia="Calibri"/>
                <w:b w:val="0"/>
                <w:i/>
                <w:noProof/>
                <w:sz w:val="18"/>
                <w:szCs w:val="16"/>
                <w:lang w:val="en-US" w:eastAsia="en-US"/>
              </w:rPr>
              <w:drawing>
                <wp:anchor distT="0" distB="0" distL="114300" distR="114300" simplePos="0" relativeHeight="251676672" behindDoc="1" locked="0" layoutInCell="1" allowOverlap="1" wp14:anchorId="366E8E62" wp14:editId="4A5907B0">
                  <wp:simplePos x="0" y="0"/>
                  <wp:positionH relativeFrom="column">
                    <wp:posOffset>-10160</wp:posOffset>
                  </wp:positionH>
                  <wp:positionV relativeFrom="paragraph">
                    <wp:posOffset>19685</wp:posOffset>
                  </wp:positionV>
                  <wp:extent cx="1943735" cy="2695575"/>
                  <wp:effectExtent l="0" t="0" r="18415" b="9525"/>
                  <wp:wrapTight wrapText="bothSides">
                    <wp:wrapPolygon edited="0">
                      <wp:start x="0" y="0"/>
                      <wp:lineTo x="0" y="21524"/>
                      <wp:lineTo x="21593" y="21524"/>
                      <wp:lineTo x="21593" y="0"/>
                      <wp:lineTo x="0" y="0"/>
                    </wp:wrapPolygon>
                  </wp:wrapTight>
                  <wp:docPr id="2069" name="Chart 20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tc>
        <w:tc>
          <w:tcPr>
            <w:tcW w:w="3409" w:type="dxa"/>
          </w:tcPr>
          <w:p w:rsidR="00D178DD" w:rsidRPr="00D178DD" w:rsidRDefault="00D178DD" w:rsidP="00D178DD">
            <w:pPr>
              <w:spacing w:line="276" w:lineRule="auto"/>
              <w:rPr>
                <w:rFonts w:eastAsia="Calibri"/>
                <w:lang w:val="hy-AM"/>
              </w:rPr>
            </w:pPr>
            <w:r w:rsidRPr="00D178DD">
              <w:rPr>
                <w:rFonts w:eastAsia="Calibri"/>
                <w:noProof/>
                <w:lang w:val="en-US" w:eastAsia="en-US"/>
              </w:rPr>
              <w:drawing>
                <wp:anchor distT="0" distB="0" distL="114300" distR="114300" simplePos="0" relativeHeight="251678720" behindDoc="1" locked="0" layoutInCell="1" allowOverlap="1" wp14:anchorId="5488CCB8" wp14:editId="1F228A42">
                  <wp:simplePos x="0" y="0"/>
                  <wp:positionH relativeFrom="column">
                    <wp:posOffset>-6350</wp:posOffset>
                  </wp:positionH>
                  <wp:positionV relativeFrom="paragraph">
                    <wp:posOffset>19685</wp:posOffset>
                  </wp:positionV>
                  <wp:extent cx="1979930" cy="2695575"/>
                  <wp:effectExtent l="0" t="0" r="1270" b="9525"/>
                  <wp:wrapTight wrapText="bothSides">
                    <wp:wrapPolygon edited="0">
                      <wp:start x="0" y="0"/>
                      <wp:lineTo x="0" y="21524"/>
                      <wp:lineTo x="21406" y="21524"/>
                      <wp:lineTo x="21406" y="0"/>
                      <wp:lineTo x="0" y="0"/>
                    </wp:wrapPolygon>
                  </wp:wrapTight>
                  <wp:docPr id="2071" name="Chart 20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p>
        </w:tc>
        <w:tc>
          <w:tcPr>
            <w:tcW w:w="3319" w:type="dxa"/>
          </w:tcPr>
          <w:p w:rsidR="00D178DD" w:rsidRPr="00D178DD" w:rsidRDefault="00D178DD" w:rsidP="00D178DD">
            <w:pPr>
              <w:spacing w:line="276" w:lineRule="auto"/>
              <w:rPr>
                <w:rFonts w:eastAsia="Calibri"/>
                <w:lang w:val="hy-AM"/>
              </w:rPr>
            </w:pPr>
            <w:r w:rsidRPr="00D178DD">
              <w:rPr>
                <w:rFonts w:eastAsia="Calibri"/>
                <w:noProof/>
                <w:lang w:val="en-US" w:eastAsia="en-US"/>
              </w:rPr>
              <w:drawing>
                <wp:anchor distT="0" distB="0" distL="114300" distR="114300" simplePos="0" relativeHeight="251677696" behindDoc="1" locked="0" layoutInCell="1" allowOverlap="1" wp14:anchorId="0B1ED089" wp14:editId="3832C0FB">
                  <wp:simplePos x="0" y="0"/>
                  <wp:positionH relativeFrom="column">
                    <wp:posOffset>48895</wp:posOffset>
                  </wp:positionH>
                  <wp:positionV relativeFrom="paragraph">
                    <wp:posOffset>17145</wp:posOffset>
                  </wp:positionV>
                  <wp:extent cx="2038350" cy="2695575"/>
                  <wp:effectExtent l="0" t="0" r="0" b="9525"/>
                  <wp:wrapTight wrapText="bothSides">
                    <wp:wrapPolygon edited="0">
                      <wp:start x="0" y="0"/>
                      <wp:lineTo x="0" y="21524"/>
                      <wp:lineTo x="21398" y="21524"/>
                      <wp:lineTo x="21398" y="0"/>
                      <wp:lineTo x="0" y="0"/>
                    </wp:wrapPolygon>
                  </wp:wrapTight>
                  <wp:docPr id="2070" name="Chart 20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V relativeFrom="margin">
                    <wp14:pctHeight>0</wp14:pctHeight>
                  </wp14:sizeRelV>
                </wp:anchor>
              </w:drawing>
            </w:r>
          </w:p>
        </w:tc>
      </w:tr>
    </w:tbl>
    <w:p w:rsidR="00D178DD" w:rsidRPr="00D178DD" w:rsidRDefault="00D178DD" w:rsidP="00D178DD">
      <w:pPr>
        <w:spacing w:before="40" w:after="160" w:line="276" w:lineRule="auto"/>
        <w:ind w:firstLine="0"/>
        <w:jc w:val="left"/>
        <w:rPr>
          <w:rFonts w:eastAsia="Calibri"/>
          <w:b w:val="0"/>
          <w:i/>
          <w:sz w:val="18"/>
          <w:szCs w:val="16"/>
          <w:lang w:val="hy-AM" w:eastAsia="en-US"/>
        </w:rPr>
      </w:pPr>
      <w:r w:rsidRPr="00D178DD">
        <w:rPr>
          <w:rFonts w:eastAsia="Calibri"/>
          <w:b w:val="0"/>
          <w:i/>
          <w:sz w:val="18"/>
          <w:szCs w:val="16"/>
          <w:lang w:val="hy-AM" w:eastAsia="en-US"/>
        </w:rPr>
        <w:t>Աղբյուրը՝ ԱՄՀ, 2022թ. կանխատեսում:</w:t>
      </w:r>
    </w:p>
    <w:p w:rsidR="00D178DD" w:rsidRPr="00D178DD" w:rsidRDefault="00D178DD" w:rsidP="00D178DD">
      <w:pPr>
        <w:spacing w:line="276" w:lineRule="auto"/>
        <w:rPr>
          <w:bCs/>
          <w:lang w:val="hy-AM"/>
        </w:rPr>
      </w:pPr>
    </w:p>
    <w:p w:rsidR="00D178DD" w:rsidRPr="00D178DD" w:rsidRDefault="00D178DD" w:rsidP="00D178DD">
      <w:pPr>
        <w:spacing w:before="0" w:line="240" w:lineRule="auto"/>
        <w:ind w:firstLine="0"/>
        <w:contextualSpacing w:val="0"/>
        <w:jc w:val="left"/>
        <w:rPr>
          <w:bCs/>
          <w:sz w:val="28"/>
          <w:szCs w:val="28"/>
          <w:lang w:val="hy-AM"/>
        </w:rPr>
      </w:pPr>
      <w:bookmarkStart w:id="125" w:name="_Toc57559414"/>
      <w:bookmarkStart w:id="126" w:name="_Toc83663896"/>
      <w:bookmarkStart w:id="127" w:name="_Toc83972832"/>
      <w:bookmarkStart w:id="128" w:name="_Toc45705389"/>
      <w:bookmarkEnd w:id="123"/>
      <w:bookmarkEnd w:id="124"/>
      <w:r w:rsidRPr="00D178DD">
        <w:rPr>
          <w:bCs/>
          <w:sz w:val="28"/>
          <w:szCs w:val="28"/>
          <w:lang w:val="hy-AM"/>
        </w:rPr>
        <w:br w:type="page"/>
      </w:r>
    </w:p>
    <w:p w:rsidR="00D178DD" w:rsidRPr="00D178DD" w:rsidRDefault="00D178DD" w:rsidP="00D178DD">
      <w:pPr>
        <w:keepNext/>
        <w:keepLines/>
        <w:spacing w:before="240" w:after="60" w:line="276" w:lineRule="auto"/>
        <w:ind w:firstLine="0"/>
        <w:outlineLvl w:val="2"/>
        <w:rPr>
          <w:bCs/>
          <w:sz w:val="24"/>
          <w:lang w:val="hy-AM" w:eastAsia="en-US"/>
        </w:rPr>
      </w:pPr>
      <w:bookmarkStart w:id="129" w:name="_Toc115686018"/>
      <w:bookmarkStart w:id="130" w:name="_Toc120805192"/>
      <w:r w:rsidRPr="00D178DD">
        <w:rPr>
          <w:bCs/>
          <w:sz w:val="24"/>
          <w:lang w:val="hy-AM" w:eastAsia="en-US"/>
        </w:rPr>
        <w:t>1.3. ՀՀ ՄԱԿՐՈՏՆՏԵՍԱԿԱՆ ԶԱՐԳԱՑՈՒՄՆԵՐ ԵՎ ԿԱՆԽԱՏԵՍՈՒՄՆԵՐ</w:t>
      </w:r>
      <w:bookmarkEnd w:id="125"/>
      <w:bookmarkEnd w:id="126"/>
      <w:bookmarkEnd w:id="127"/>
      <w:bookmarkEnd w:id="129"/>
      <w:bookmarkEnd w:id="130"/>
    </w:p>
    <w:p w:rsidR="00D178DD" w:rsidRPr="00D178DD" w:rsidRDefault="00D178DD" w:rsidP="00D178DD">
      <w:pPr>
        <w:spacing w:before="0" w:after="120" w:line="240" w:lineRule="auto"/>
        <w:ind w:firstLine="0"/>
        <w:contextualSpacing w:val="0"/>
        <w:jc w:val="left"/>
        <w:rPr>
          <w:rFonts w:eastAsia="Calibri"/>
          <w:bCs/>
          <w:sz w:val="24"/>
          <w:lang w:val="hy-AM" w:eastAsia="en-US"/>
        </w:rPr>
      </w:pPr>
      <w:bookmarkStart w:id="131" w:name="_Toc45705385"/>
      <w:bookmarkStart w:id="132" w:name="_Toc51360523"/>
      <w:r w:rsidRPr="00D178DD">
        <w:rPr>
          <w:rFonts w:eastAsia="Calibri"/>
          <w:bCs/>
          <w:sz w:val="24"/>
          <w:lang w:val="hy-AM" w:eastAsia="en-US"/>
        </w:rPr>
        <w:t>1.3.1. ՀՆԱ և տնտեսական աճ</w:t>
      </w:r>
      <w:bookmarkEnd w:id="131"/>
      <w:bookmarkEnd w:id="132"/>
    </w:p>
    <w:p w:rsidR="00D178DD" w:rsidRPr="00D178DD" w:rsidRDefault="00D178DD" w:rsidP="00D178DD">
      <w:pPr>
        <w:spacing w:before="40" w:after="60" w:line="276" w:lineRule="auto"/>
        <w:ind w:firstLine="634"/>
        <w:contextualSpacing w:val="0"/>
        <w:rPr>
          <w:rFonts w:cs="Sylfaen"/>
          <w:b w:val="0"/>
          <w:bCs/>
          <w:szCs w:val="22"/>
          <w:lang w:val="hy-AM" w:eastAsia="en-US"/>
        </w:rPr>
      </w:pPr>
      <w:r w:rsidRPr="00D178DD">
        <w:rPr>
          <w:rFonts w:cs="Sylfaen"/>
          <w:bCs/>
          <w:szCs w:val="22"/>
          <w:lang w:val="hy-AM" w:eastAsia="en-US"/>
        </w:rPr>
        <w:t xml:space="preserve">2020թ. Համավարակի և </w:t>
      </w:r>
      <w:r w:rsidR="00822D2B" w:rsidRPr="00822D2B">
        <w:rPr>
          <w:rFonts w:cs="Sylfaen"/>
          <w:bCs/>
          <w:szCs w:val="22"/>
          <w:lang w:val="hy-AM" w:eastAsia="en-US"/>
        </w:rPr>
        <w:t>Ղարաբաղ</w:t>
      </w:r>
      <w:r w:rsidRPr="00D178DD">
        <w:rPr>
          <w:rFonts w:cs="Sylfaen"/>
          <w:bCs/>
          <w:szCs w:val="22"/>
          <w:lang w:val="hy-AM" w:eastAsia="en-US"/>
        </w:rPr>
        <w:t xml:space="preserve">յան պատերազմի բացասական ազդեցություններով պայմանավորված տնտեսական անկումից հետո՝ ՀՀ կառավարության կողմից իրականացված տնտեսական անկմանը հակազդող, ինչպես նաև հետագա վերականգնումը խթանող հարկաբյուջետային քաղաքականության պայմաններում 2021թ. տնտեսությունը թևակոխեց վերականգնման փուլ` գրանցելով 5.7% իրական աճ: </w:t>
      </w:r>
      <w:r w:rsidRPr="00D178DD">
        <w:rPr>
          <w:rFonts w:cs="Sylfaen"/>
          <w:b w:val="0"/>
          <w:bCs/>
          <w:szCs w:val="22"/>
          <w:lang w:val="hy-AM" w:eastAsia="en-US"/>
        </w:rPr>
        <w:t xml:space="preserve">Տնտեսական աճին հիմնականում նպաստեց ծառայությունների ճյուղը։ Պահանջարկի տեսանկյունից տնտեսական աճը պայմանավորեցին ներքին պահանջարկի և արտահանման աճերը։ </w:t>
      </w:r>
    </w:p>
    <w:p w:rsidR="00D178DD" w:rsidRPr="00D178DD" w:rsidRDefault="00D178DD" w:rsidP="00D178DD">
      <w:pPr>
        <w:spacing w:before="40" w:after="120" w:line="276" w:lineRule="auto"/>
        <w:ind w:firstLine="634"/>
        <w:contextualSpacing w:val="0"/>
        <w:rPr>
          <w:rFonts w:cs="Sylfaen"/>
          <w:b w:val="0"/>
          <w:szCs w:val="22"/>
          <w:lang w:val="hy-AM" w:eastAsia="en-US"/>
        </w:rPr>
      </w:pPr>
      <w:r w:rsidRPr="00D178DD">
        <w:rPr>
          <w:bCs/>
          <w:szCs w:val="22"/>
          <w:lang w:val="hy-AM"/>
        </w:rPr>
        <w:t>Տնտեսության վերականգնման տեմպերը շարունակվեցին նաև 2022թ. տարեսկզբին, իսկ   ապրիլ ամսից հակամարտող երկրներից դեպի Հայաստան մարդկանց և կապիտալի ներհոսքերի, ինչպես նաև զբոսաշրջության զգալի ավելացման և ՏՏ ոլորտի ընկերությունների և աշխատակիցների՝ ՀՀ տեղափոխման արդյունքում տնտեսական ակտիվության աճի տեմպերը կտրուկ արագացան։ Արդյունքում առաջին կիսամյակում գրանցվեց 11% տնտեսական աճ։</w:t>
      </w:r>
      <w:r w:rsidRPr="00D178DD">
        <w:rPr>
          <w:rFonts w:cs="Sylfaen"/>
          <w:szCs w:val="22"/>
          <w:lang w:val="hy-AM" w:eastAsia="en-US"/>
        </w:rPr>
        <w:t xml:space="preserve"> </w:t>
      </w:r>
      <w:r w:rsidRPr="00D178DD">
        <w:rPr>
          <w:rFonts w:cs="Sylfaen"/>
          <w:b w:val="0"/>
          <w:szCs w:val="22"/>
          <w:lang w:val="hy-AM" w:eastAsia="en-US"/>
        </w:rPr>
        <w:t>Տնտեսության բոլոր ճյուղերը (բացառությամբ՝ գյուղատնտեսության) աճեցին, սակայն տնտեսական աճը պայմանավորվեց հիմնականում ծառայությունների աճով (նպաստումը՝ 9.0 տոկոսային կետ)։ Ընդ որում՝ նոր տնտեսական իրողություններով պայմանավորված բարձր աճեր գրանցվեցին ֆինանսական և ապահովագրական գործունեության</w:t>
      </w:r>
      <w:r w:rsidRPr="00D178DD">
        <w:rPr>
          <w:rFonts w:ascii="Arial Armenian" w:hAnsi="Arial Armenian" w:cs="Sylfaen"/>
          <w:b w:val="0"/>
          <w:sz w:val="20"/>
          <w:szCs w:val="20"/>
          <w:vertAlign w:val="superscript"/>
          <w:lang w:val="hy-AM" w:eastAsia="en-US"/>
        </w:rPr>
        <w:footnoteReference w:id="4"/>
      </w:r>
      <w:r w:rsidRPr="00D178DD">
        <w:rPr>
          <w:rFonts w:cs="Sylfaen"/>
          <w:b w:val="0"/>
          <w:szCs w:val="22"/>
          <w:lang w:val="hy-AM" w:eastAsia="en-US"/>
        </w:rPr>
        <w:t>, փոխադրումների և պահեստային տնտեսության, կացության և հանրային սննդի կազմակերպման, առևտրի, ինչպես նաև տեղեկատվություն և կապ ենթաճյուղերում:</w:t>
      </w:r>
    </w:p>
    <w:tbl>
      <w:tblPr>
        <w:tblW w:w="0" w:type="auto"/>
        <w:jc w:val="center"/>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4845"/>
        <w:gridCol w:w="4901"/>
      </w:tblGrid>
      <w:tr w:rsidR="00D178DD" w:rsidRPr="00C43BF7" w:rsidTr="004B2286">
        <w:trPr>
          <w:trHeight w:val="3430"/>
          <w:jc w:val="center"/>
        </w:trPr>
        <w:tc>
          <w:tcPr>
            <w:tcW w:w="4845" w:type="dxa"/>
          </w:tcPr>
          <w:p w:rsidR="00D178DD" w:rsidRPr="00D178DD" w:rsidRDefault="00D178DD" w:rsidP="00D178DD">
            <w:pPr>
              <w:spacing w:before="0" w:after="60" w:line="240" w:lineRule="auto"/>
              <w:ind w:firstLine="0"/>
              <w:contextualSpacing w:val="0"/>
              <w:rPr>
                <w:i/>
                <w:noProof/>
                <w:sz w:val="18"/>
                <w:szCs w:val="18"/>
                <w:lang w:val="hy-AM" w:eastAsia="en-US"/>
              </w:rPr>
            </w:pPr>
            <w:r w:rsidRPr="00D178DD">
              <w:rPr>
                <w:i/>
                <w:noProof/>
                <w:sz w:val="18"/>
                <w:szCs w:val="18"/>
                <w:lang w:val="hy-AM" w:eastAsia="en-US"/>
              </w:rPr>
              <w:t>Գծապատկեր 1.8. ՀՆԱ աճ (%) և ճյուղերի նպաստում- ները ՀՆԱ աճին (տ.կ.)</w:t>
            </w:r>
          </w:p>
          <w:p w:rsidR="00D178DD" w:rsidRPr="00D178DD" w:rsidRDefault="00D178DD" w:rsidP="00D178DD">
            <w:pPr>
              <w:spacing w:before="0" w:line="276" w:lineRule="auto"/>
              <w:ind w:firstLine="29"/>
              <w:contextualSpacing w:val="0"/>
              <w:jc w:val="left"/>
              <w:rPr>
                <w:rFonts w:ascii="Times New Roman" w:hAnsi="Times New Roman"/>
                <w:b w:val="0"/>
                <w:sz w:val="24"/>
                <w:lang w:val="en-US" w:eastAsia="en-US"/>
              </w:rPr>
            </w:pPr>
            <w:r w:rsidRPr="00D178DD">
              <w:rPr>
                <w:rFonts w:ascii="Times New Roman" w:hAnsi="Times New Roman"/>
                <w:b w:val="0"/>
                <w:noProof/>
                <w:color w:val="1F4E79"/>
                <w:sz w:val="24"/>
                <w:lang w:val="en-US" w:eastAsia="en-US"/>
              </w:rPr>
              <w:drawing>
                <wp:inline distT="0" distB="0" distL="0" distR="0" wp14:anchorId="0E223348" wp14:editId="5115F951">
                  <wp:extent cx="2903855" cy="1698625"/>
                  <wp:effectExtent l="0" t="0" r="10795" b="15875"/>
                  <wp:docPr id="9" name="Chart 9">
                    <a:extLst xmlns:a="http://schemas.openxmlformats.org/drawingml/2006/main">
                      <a:ext uri="{FF2B5EF4-FFF2-40B4-BE49-F238E27FC236}">
                        <a16:creationId xmlns:a16="http://schemas.microsoft.com/office/drawing/2014/main" id="{B706C3B2-915B-4C24-A125-9A8A708CD2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178DD" w:rsidRPr="00D178DD" w:rsidRDefault="00D178DD" w:rsidP="00D178DD">
            <w:pPr>
              <w:spacing w:before="0" w:line="276" w:lineRule="auto"/>
              <w:ind w:firstLine="0"/>
              <w:jc w:val="left"/>
              <w:rPr>
                <w:b w:val="0"/>
                <w:i/>
                <w:sz w:val="16"/>
                <w:szCs w:val="16"/>
                <w:lang w:val="hy-AM" w:eastAsia="en-US"/>
              </w:rPr>
            </w:pPr>
            <w:r w:rsidRPr="00D178DD">
              <w:rPr>
                <w:rFonts w:eastAsia="Calibri"/>
                <w:b w:val="0"/>
                <w:i/>
                <w:sz w:val="16"/>
                <w:szCs w:val="16"/>
                <w:lang w:val="hy-AM"/>
              </w:rPr>
              <w:t>Աղբյուրը՝ ՀՀ ՎԿ, ՀՀ ՖՆ հաշվարկներ</w:t>
            </w:r>
            <w:r w:rsidRPr="00D178DD">
              <w:rPr>
                <w:b w:val="0"/>
                <w:i/>
                <w:sz w:val="18"/>
                <w:szCs w:val="16"/>
                <w:lang w:val="hy-AM" w:eastAsia="en-US"/>
              </w:rPr>
              <w:t xml:space="preserve"> </w:t>
            </w:r>
          </w:p>
        </w:tc>
        <w:tc>
          <w:tcPr>
            <w:tcW w:w="4901" w:type="dxa"/>
          </w:tcPr>
          <w:p w:rsidR="00D178DD" w:rsidRPr="00D178DD" w:rsidRDefault="00D178DD" w:rsidP="00D178DD">
            <w:pPr>
              <w:spacing w:before="0" w:after="60" w:line="240" w:lineRule="auto"/>
              <w:ind w:firstLine="0"/>
              <w:contextualSpacing w:val="0"/>
              <w:rPr>
                <w:i/>
                <w:noProof/>
                <w:sz w:val="18"/>
                <w:szCs w:val="18"/>
                <w:lang w:val="hy-AM" w:eastAsia="en-US"/>
              </w:rPr>
            </w:pPr>
            <w:r w:rsidRPr="00D178DD">
              <w:rPr>
                <w:i/>
                <w:noProof/>
                <w:sz w:val="18"/>
                <w:szCs w:val="18"/>
                <w:lang w:val="hy-AM" w:eastAsia="en-US"/>
              </w:rPr>
              <w:t>Գծապատկեր 1.9. ՀՆԱ աճ (%) և պահանջարկի բաղա- դրիչների նպաստումները ՀՆԱ աճին (տ.կ.)</w:t>
            </w:r>
          </w:p>
          <w:p w:rsidR="00D178DD" w:rsidRPr="00D178DD" w:rsidRDefault="00D178DD" w:rsidP="00D178DD">
            <w:pPr>
              <w:spacing w:before="0" w:line="276" w:lineRule="auto"/>
              <w:ind w:firstLine="0"/>
              <w:rPr>
                <w:i/>
                <w:noProof/>
                <w:szCs w:val="22"/>
                <w:lang w:val="hy-AM" w:eastAsia="en-US"/>
              </w:rPr>
            </w:pPr>
            <w:r w:rsidRPr="00D178DD">
              <w:rPr>
                <w:i/>
                <w:noProof/>
                <w:color w:val="1F4E79"/>
                <w:szCs w:val="22"/>
                <w:lang w:val="en-US" w:eastAsia="en-US"/>
              </w:rPr>
              <w:drawing>
                <wp:inline distT="0" distB="0" distL="0" distR="0" wp14:anchorId="530A800D" wp14:editId="54DF5494">
                  <wp:extent cx="2962275" cy="1698984"/>
                  <wp:effectExtent l="0" t="0" r="9525" b="15875"/>
                  <wp:docPr id="10" name="Chart 10">
                    <a:extLst xmlns:a="http://schemas.openxmlformats.org/drawingml/2006/main">
                      <a:ext uri="{FF2B5EF4-FFF2-40B4-BE49-F238E27FC236}">
                        <a16:creationId xmlns:a16="http://schemas.microsoft.com/office/drawing/2014/main" id="{9315E2B3-D3AE-476A-B7C4-ACF3898E8B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178DD" w:rsidRPr="00D178DD" w:rsidRDefault="00D178DD" w:rsidP="00D178DD">
            <w:pPr>
              <w:spacing w:before="40" w:line="276" w:lineRule="auto"/>
              <w:ind w:firstLine="0"/>
              <w:contextualSpacing w:val="0"/>
              <w:jc w:val="left"/>
              <w:rPr>
                <w:b w:val="0"/>
                <w:i/>
                <w:sz w:val="16"/>
                <w:szCs w:val="16"/>
                <w:lang w:val="hy-AM" w:eastAsia="en-US"/>
              </w:rPr>
            </w:pPr>
            <w:r w:rsidRPr="00D178DD">
              <w:rPr>
                <w:rFonts w:eastAsia="Calibri"/>
                <w:b w:val="0"/>
                <w:i/>
                <w:sz w:val="16"/>
                <w:szCs w:val="16"/>
                <w:lang w:val="hy-AM"/>
              </w:rPr>
              <w:t>Աղբյուրը՝ ՀՀ ՎԿ, ՀՀ ՖՆ հաշվարկներ</w:t>
            </w:r>
          </w:p>
        </w:tc>
      </w:tr>
    </w:tbl>
    <w:p w:rsidR="00D178DD" w:rsidRPr="00D178DD" w:rsidRDefault="00D178DD" w:rsidP="00D178DD">
      <w:pPr>
        <w:spacing w:after="120" w:line="276" w:lineRule="auto"/>
        <w:ind w:firstLine="634"/>
        <w:contextualSpacing w:val="0"/>
        <w:rPr>
          <w:rFonts w:cs="Sylfaen"/>
          <w:b w:val="0"/>
          <w:szCs w:val="22"/>
          <w:lang w:val="hy-AM" w:eastAsia="en-US"/>
        </w:rPr>
      </w:pPr>
      <w:r w:rsidRPr="00D178DD">
        <w:rPr>
          <w:rFonts w:cs="Sylfaen"/>
          <w:b w:val="0"/>
          <w:szCs w:val="22"/>
          <w:lang w:val="hy-AM" w:eastAsia="en-US"/>
        </w:rPr>
        <w:t xml:space="preserve">Հուլիս-օգոստոս ամիսներին </w:t>
      </w:r>
      <w:r w:rsidRPr="00D178DD">
        <w:rPr>
          <w:rFonts w:cs="Sylfaen"/>
          <w:b w:val="0"/>
          <w:bCs/>
          <w:szCs w:val="22"/>
          <w:lang w:val="hy-AM" w:eastAsia="en-US"/>
        </w:rPr>
        <w:t>տնտեսական ակտիվության աճը շարունակվեց և</w:t>
      </w:r>
      <w:r w:rsidRPr="00D178DD">
        <w:rPr>
          <w:rFonts w:cs="Sylfaen"/>
          <w:bCs/>
          <w:szCs w:val="22"/>
          <w:lang w:val="hy-AM" w:eastAsia="en-US"/>
        </w:rPr>
        <w:t xml:space="preserve"> </w:t>
      </w:r>
      <w:r w:rsidRPr="00D178DD">
        <w:rPr>
          <w:rFonts w:cs="Sylfaen"/>
          <w:b w:val="0"/>
          <w:bCs/>
          <w:szCs w:val="22"/>
          <w:lang w:val="hy-AM" w:eastAsia="en-US"/>
        </w:rPr>
        <w:t>ա</w:t>
      </w:r>
      <w:r w:rsidRPr="00D178DD">
        <w:rPr>
          <w:rFonts w:cs="Sylfaen"/>
          <w:b w:val="0"/>
          <w:szCs w:val="22"/>
          <w:lang w:val="hy-AM" w:eastAsia="en-US"/>
        </w:rPr>
        <w:t>րդյունքում</w:t>
      </w:r>
      <w:r w:rsidRPr="00D178DD">
        <w:rPr>
          <w:rFonts w:cs="Sylfaen"/>
          <w:bCs/>
          <w:szCs w:val="22"/>
          <w:lang w:val="hy-AM" w:eastAsia="en-US"/>
        </w:rPr>
        <w:t xml:space="preserve"> </w:t>
      </w:r>
      <w:r w:rsidRPr="00D178DD">
        <w:rPr>
          <w:rFonts w:cs="Sylfaen"/>
          <w:b w:val="0"/>
          <w:szCs w:val="22"/>
          <w:lang w:val="hy-AM" w:eastAsia="en-US"/>
        </w:rPr>
        <w:t>2022թ. հունվար-օգոստոսին արձանագրվեց տնտեսական ակտիվության (ՏԱՑ) 14.0% աճ, ինչը պայմանավորված էր հիմնականում ծառայությունների աճով (12.4 տոկոսային կետ</w:t>
      </w:r>
      <w:r w:rsidRPr="00D178DD">
        <w:rPr>
          <w:rFonts w:cs="Sylfaen"/>
          <w:b w:val="0"/>
          <w:szCs w:val="22"/>
          <w:vertAlign w:val="superscript"/>
          <w:lang w:eastAsia="en-US"/>
        </w:rPr>
        <w:footnoteReference w:id="5"/>
      </w:r>
      <w:r w:rsidRPr="00D178DD">
        <w:rPr>
          <w:rFonts w:cs="Sylfaen"/>
          <w:b w:val="0"/>
          <w:szCs w:val="22"/>
          <w:lang w:val="hy-AM" w:eastAsia="en-US"/>
        </w:rPr>
        <w:t>)։ Մյուս ճյուղերի համախառն թողարկումների իրական աճերը ևս նպաստեցին տնտեսական ակտիվությանը։</w:t>
      </w:r>
    </w:p>
    <w:tbl>
      <w:tblPr>
        <w:tblStyle w:val="TableGrid1250"/>
        <w:tblW w:w="0" w:type="auto"/>
        <w:jc w:val="center"/>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ook w:val="04A0" w:firstRow="1" w:lastRow="0" w:firstColumn="1" w:lastColumn="0" w:noHBand="0" w:noVBand="1"/>
      </w:tblPr>
      <w:tblGrid>
        <w:gridCol w:w="5045"/>
        <w:gridCol w:w="4927"/>
      </w:tblGrid>
      <w:tr w:rsidR="00D178DD" w:rsidRPr="00D178DD" w:rsidTr="004B2286">
        <w:trPr>
          <w:trHeight w:val="4129"/>
          <w:jc w:val="center"/>
        </w:trPr>
        <w:tc>
          <w:tcPr>
            <w:tcW w:w="4928" w:type="dxa"/>
            <w:shd w:val="clear" w:color="auto" w:fill="auto"/>
          </w:tcPr>
          <w:p w:rsidR="00D178DD" w:rsidRPr="00D178DD" w:rsidRDefault="00D178DD" w:rsidP="00D178DD">
            <w:pPr>
              <w:spacing w:before="0" w:after="60" w:line="240" w:lineRule="auto"/>
              <w:ind w:firstLine="0"/>
              <w:contextualSpacing w:val="0"/>
              <w:rPr>
                <w:rFonts w:eastAsia="Calibri"/>
                <w:i/>
                <w:noProof/>
                <w:sz w:val="18"/>
                <w:szCs w:val="18"/>
                <w:lang w:val="hy-AM" w:eastAsia="en-US"/>
              </w:rPr>
            </w:pPr>
            <w:r w:rsidRPr="00D178DD">
              <w:rPr>
                <w:rFonts w:eastAsia="Calibri"/>
                <w:i/>
                <w:noProof/>
                <w:sz w:val="18"/>
                <w:szCs w:val="18"/>
                <w:lang w:val="hy-AM" w:eastAsia="en-US"/>
              </w:rPr>
              <w:t>Գծապատկեր 1.10. ՏԱՑ և տնտեսության ճյուղերի իրա- կան աճերը նախորդ տարվա նույն ժամանակահատ- վածի նկատմամբ (%)</w:t>
            </w:r>
          </w:p>
          <w:p w:rsidR="00D178DD" w:rsidRPr="00D178DD" w:rsidRDefault="00D178DD" w:rsidP="00D178DD">
            <w:pPr>
              <w:spacing w:before="0" w:line="276" w:lineRule="auto"/>
              <w:ind w:firstLine="0"/>
              <w:rPr>
                <w:rFonts w:eastAsia="Calibri"/>
                <w:i/>
                <w:noProof/>
                <w:szCs w:val="22"/>
                <w:lang w:val="hy-AM" w:eastAsia="en-US"/>
              </w:rPr>
            </w:pPr>
            <w:r w:rsidRPr="00D178DD">
              <w:rPr>
                <w:rFonts w:eastAsia="Calibri"/>
                <w:i/>
                <w:noProof/>
                <w:szCs w:val="22"/>
                <w:lang w:val="en-US" w:eastAsia="en-US"/>
              </w:rPr>
              <w:drawing>
                <wp:inline distT="0" distB="0" distL="0" distR="0" wp14:anchorId="16BC9426" wp14:editId="5B8C3C3C">
                  <wp:extent cx="3064510" cy="2176145"/>
                  <wp:effectExtent l="0" t="0" r="2540" b="14605"/>
                  <wp:docPr id="2075" name="Chart 20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178DD" w:rsidRPr="00D178DD" w:rsidRDefault="00D178DD" w:rsidP="00D178DD">
            <w:pPr>
              <w:spacing w:before="0" w:line="276" w:lineRule="auto"/>
              <w:ind w:firstLine="0"/>
              <w:jc w:val="left"/>
              <w:rPr>
                <w:rFonts w:eastAsia="Calibri"/>
                <w:i/>
                <w:sz w:val="16"/>
                <w:szCs w:val="16"/>
                <w:lang w:val="hy-AM" w:eastAsia="en-US"/>
              </w:rPr>
            </w:pPr>
            <w:r w:rsidRPr="00D178DD">
              <w:rPr>
                <w:rFonts w:eastAsia="Calibri"/>
                <w:i/>
                <w:sz w:val="16"/>
                <w:szCs w:val="16"/>
                <w:lang w:val="hy-AM"/>
              </w:rPr>
              <w:t>Աղբյուրը՝ ՀՀ ՎԿ</w:t>
            </w:r>
          </w:p>
        </w:tc>
        <w:tc>
          <w:tcPr>
            <w:tcW w:w="4812" w:type="dxa"/>
          </w:tcPr>
          <w:p w:rsidR="00D178DD" w:rsidRPr="00D178DD" w:rsidRDefault="00D178DD" w:rsidP="00D178DD">
            <w:pPr>
              <w:spacing w:before="0" w:line="240" w:lineRule="auto"/>
              <w:ind w:firstLine="0"/>
              <w:rPr>
                <w:rFonts w:eastAsia="Calibri"/>
                <w:i/>
                <w:noProof/>
                <w:szCs w:val="22"/>
                <w:lang w:val="hy-AM" w:eastAsia="en-US"/>
              </w:rPr>
            </w:pPr>
            <w:r w:rsidRPr="00D178DD">
              <w:rPr>
                <w:rFonts w:eastAsia="Calibri"/>
                <w:i/>
                <w:noProof/>
                <w:sz w:val="18"/>
                <w:szCs w:val="18"/>
                <w:lang w:val="en-US" w:eastAsia="en-US"/>
              </w:rPr>
              <w:drawing>
                <wp:anchor distT="0" distB="0" distL="114300" distR="114300" simplePos="0" relativeHeight="251657216" behindDoc="1" locked="0" layoutInCell="1" allowOverlap="1" wp14:anchorId="2DEFC01C" wp14:editId="61A9C4BE">
                  <wp:simplePos x="0" y="0"/>
                  <wp:positionH relativeFrom="column">
                    <wp:posOffset>-3810</wp:posOffset>
                  </wp:positionH>
                  <wp:positionV relativeFrom="paragraph">
                    <wp:posOffset>502920</wp:posOffset>
                  </wp:positionV>
                  <wp:extent cx="3028950" cy="2176145"/>
                  <wp:effectExtent l="0" t="0" r="0" b="14605"/>
                  <wp:wrapTight wrapText="bothSides">
                    <wp:wrapPolygon edited="0">
                      <wp:start x="0" y="0"/>
                      <wp:lineTo x="0" y="21556"/>
                      <wp:lineTo x="21464" y="21556"/>
                      <wp:lineTo x="21464" y="0"/>
                      <wp:lineTo x="0" y="0"/>
                    </wp:wrapPolygon>
                  </wp:wrapTight>
                  <wp:docPr id="2076" name="Chart 20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V relativeFrom="margin">
                    <wp14:pctHeight>0</wp14:pctHeight>
                  </wp14:sizeRelV>
                </wp:anchor>
              </w:drawing>
            </w:r>
            <w:r w:rsidRPr="00D178DD">
              <w:rPr>
                <w:rFonts w:eastAsia="Calibri"/>
                <w:i/>
                <w:noProof/>
                <w:sz w:val="18"/>
                <w:szCs w:val="18"/>
                <w:lang w:val="hy-AM" w:eastAsia="en-US"/>
              </w:rPr>
              <w:t>Գծապատկեր 1.11. ՏԱՑ և տնտեսության ճյուղերի իրական աճերը նախորդ տարվա նույն ամսվա նկատ- մամբ (%)</w:t>
            </w:r>
          </w:p>
          <w:p w:rsidR="00D178DD" w:rsidRPr="00D178DD" w:rsidRDefault="00D178DD" w:rsidP="00D178DD">
            <w:pPr>
              <w:spacing w:before="0" w:line="276" w:lineRule="auto"/>
              <w:ind w:firstLine="0"/>
              <w:jc w:val="left"/>
              <w:rPr>
                <w:rFonts w:eastAsia="Calibri"/>
                <w:i/>
                <w:sz w:val="16"/>
                <w:szCs w:val="16"/>
                <w:lang w:val="hy-AM" w:eastAsia="en-US"/>
              </w:rPr>
            </w:pPr>
            <w:r w:rsidRPr="00D178DD">
              <w:rPr>
                <w:rFonts w:eastAsia="Calibri"/>
                <w:i/>
                <w:sz w:val="16"/>
                <w:szCs w:val="16"/>
                <w:lang w:val="hy-AM"/>
              </w:rPr>
              <w:t>Աղբյուրը՝ ՀՀ ՎԿ</w:t>
            </w:r>
            <w:r w:rsidRPr="00D178DD" w:rsidDel="00DA0563">
              <w:rPr>
                <w:rFonts w:eastAsia="Calibri"/>
                <w:i/>
                <w:sz w:val="18"/>
                <w:szCs w:val="16"/>
                <w:lang w:val="hy-AM" w:eastAsia="en-US"/>
              </w:rPr>
              <w:t xml:space="preserve"> </w:t>
            </w:r>
          </w:p>
        </w:tc>
      </w:tr>
      <w:tr w:rsidR="00D178DD" w:rsidRPr="00C43BF7" w:rsidTr="004B2286">
        <w:trPr>
          <w:trHeight w:val="411"/>
          <w:jc w:val="center"/>
        </w:trPr>
        <w:tc>
          <w:tcPr>
            <w:tcW w:w="4928" w:type="dxa"/>
          </w:tcPr>
          <w:p w:rsidR="00D178DD" w:rsidRPr="00D178DD" w:rsidRDefault="00D178DD" w:rsidP="00D178DD">
            <w:pPr>
              <w:spacing w:before="0" w:after="60" w:line="240" w:lineRule="auto"/>
              <w:ind w:firstLine="0"/>
              <w:contextualSpacing w:val="0"/>
              <w:jc w:val="left"/>
              <w:rPr>
                <w:rFonts w:eastAsia="Calibri"/>
                <w:i/>
                <w:noProof/>
                <w:szCs w:val="22"/>
                <w:lang w:val="hy-AM" w:eastAsia="en-US"/>
              </w:rPr>
            </w:pPr>
            <w:r w:rsidRPr="00D178DD">
              <w:rPr>
                <w:rFonts w:eastAsia="Calibri"/>
                <w:i/>
                <w:noProof/>
                <w:sz w:val="18"/>
                <w:szCs w:val="18"/>
                <w:lang w:val="hy-AM" w:eastAsia="en-US"/>
              </w:rPr>
              <w:t>Գծապատկեր 1.12. Տնտեսության ճյուղերի նպաստում- ները ՏԱՑ-ին (տ.կ.)</w:t>
            </w:r>
            <w:r w:rsidRPr="00D178DD">
              <w:rPr>
                <w:rFonts w:eastAsia="Calibri"/>
                <w:i/>
                <w:noProof/>
                <w:szCs w:val="22"/>
                <w:lang w:val="hy-AM" w:eastAsia="en-US"/>
              </w:rPr>
              <w:t xml:space="preserve"> </w:t>
            </w:r>
            <w:r w:rsidRPr="00D178DD">
              <w:rPr>
                <w:rFonts w:eastAsia="Calibri"/>
                <w:i/>
                <w:noProof/>
                <w:szCs w:val="22"/>
                <w:lang w:val="en-US" w:eastAsia="en-US"/>
              </w:rPr>
              <w:drawing>
                <wp:inline distT="0" distB="0" distL="0" distR="0" wp14:anchorId="48ED8D4E" wp14:editId="5C52D2D5">
                  <wp:extent cx="3095625" cy="2134235"/>
                  <wp:effectExtent l="0" t="0" r="9525" b="18415"/>
                  <wp:docPr id="2077" name="Chart 20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178DD" w:rsidRPr="00D178DD" w:rsidRDefault="00D178DD" w:rsidP="00D178DD">
            <w:pPr>
              <w:spacing w:before="0" w:line="276" w:lineRule="auto"/>
              <w:ind w:firstLine="0"/>
              <w:jc w:val="left"/>
              <w:rPr>
                <w:rFonts w:eastAsia="Calibri"/>
                <w:i/>
                <w:sz w:val="16"/>
                <w:szCs w:val="16"/>
                <w:lang w:val="hy-AM" w:eastAsia="en-US"/>
              </w:rPr>
            </w:pPr>
            <w:r w:rsidRPr="00D178DD">
              <w:rPr>
                <w:rFonts w:eastAsia="Calibri"/>
                <w:i/>
                <w:sz w:val="16"/>
                <w:szCs w:val="16"/>
                <w:lang w:val="hy-AM"/>
              </w:rPr>
              <w:t>Աղբյուրը՝ ՀՀ ՎԿ, ՀՀ ՖՆ հաշվարկներ</w:t>
            </w:r>
            <w:r w:rsidRPr="00D178DD">
              <w:rPr>
                <w:rFonts w:eastAsia="Calibri"/>
                <w:i/>
                <w:sz w:val="18"/>
                <w:szCs w:val="16"/>
                <w:lang w:val="hy-AM" w:eastAsia="en-US"/>
              </w:rPr>
              <w:t xml:space="preserve"> </w:t>
            </w:r>
          </w:p>
        </w:tc>
        <w:tc>
          <w:tcPr>
            <w:tcW w:w="4812" w:type="dxa"/>
          </w:tcPr>
          <w:p w:rsidR="00D178DD" w:rsidRPr="00D178DD" w:rsidRDefault="00D178DD" w:rsidP="00D178DD">
            <w:pPr>
              <w:spacing w:before="0" w:line="240" w:lineRule="auto"/>
              <w:ind w:firstLine="0"/>
              <w:contextualSpacing w:val="0"/>
              <w:rPr>
                <w:rFonts w:eastAsia="Calibri"/>
                <w:i/>
                <w:noProof/>
                <w:sz w:val="18"/>
                <w:szCs w:val="18"/>
                <w:lang w:val="hy-AM" w:eastAsia="en-US"/>
              </w:rPr>
            </w:pPr>
            <w:r w:rsidRPr="00D178DD">
              <w:rPr>
                <w:rFonts w:eastAsia="Calibri"/>
                <w:i/>
                <w:noProof/>
                <w:sz w:val="18"/>
                <w:szCs w:val="18"/>
                <w:lang w:val="hy-AM" w:eastAsia="en-US"/>
              </w:rPr>
              <w:t>Գծապատկեր 1.13. Տնտեսության ճյուղերի նպաս-տումները ՏԱՑ-ին նախորդ տարվա նույն ամսվա նկատմամբ (տ.կ.)</w:t>
            </w:r>
          </w:p>
          <w:p w:rsidR="00D178DD" w:rsidRPr="00D178DD" w:rsidRDefault="00D178DD" w:rsidP="00D178DD">
            <w:pPr>
              <w:spacing w:before="0" w:line="276" w:lineRule="auto"/>
              <w:ind w:firstLine="0"/>
              <w:rPr>
                <w:rFonts w:eastAsia="Calibri"/>
                <w:i/>
                <w:noProof/>
                <w:szCs w:val="22"/>
                <w:lang w:val="hy-AM" w:eastAsia="en-US"/>
              </w:rPr>
            </w:pPr>
            <w:r w:rsidRPr="00D178DD">
              <w:rPr>
                <w:rFonts w:eastAsia="Calibri"/>
                <w:i/>
                <w:noProof/>
                <w:szCs w:val="22"/>
                <w:lang w:val="en-US" w:eastAsia="en-US"/>
              </w:rPr>
              <w:drawing>
                <wp:inline distT="0" distB="0" distL="0" distR="0" wp14:anchorId="706F2BFD" wp14:editId="73F7775A">
                  <wp:extent cx="2941983" cy="1983740"/>
                  <wp:effectExtent l="0" t="0" r="10795" b="16510"/>
                  <wp:docPr id="2078" name="Chart 20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178DD" w:rsidRPr="00D178DD" w:rsidRDefault="00D178DD" w:rsidP="00D178DD">
            <w:pPr>
              <w:spacing w:before="0" w:line="276" w:lineRule="auto"/>
              <w:ind w:firstLine="0"/>
              <w:jc w:val="left"/>
              <w:rPr>
                <w:rFonts w:eastAsia="Calibri"/>
                <w:i/>
                <w:sz w:val="16"/>
                <w:szCs w:val="16"/>
                <w:lang w:val="hy-AM" w:eastAsia="en-US"/>
              </w:rPr>
            </w:pPr>
            <w:r w:rsidRPr="00D178DD">
              <w:rPr>
                <w:rFonts w:eastAsia="Calibri"/>
                <w:i/>
                <w:sz w:val="16"/>
                <w:szCs w:val="16"/>
                <w:lang w:val="hy-AM"/>
              </w:rPr>
              <w:t>Աղբյուրը՝ ՀՀ ՎԿ, ՀՀ ՖՆ հաշվարկներ</w:t>
            </w:r>
          </w:p>
        </w:tc>
      </w:tr>
    </w:tbl>
    <w:p w:rsidR="00D178DD" w:rsidRPr="00D178DD" w:rsidRDefault="00D178DD" w:rsidP="00D178DD">
      <w:pPr>
        <w:spacing w:after="120" w:line="276" w:lineRule="auto"/>
        <w:ind w:firstLine="533"/>
        <w:contextualSpacing w:val="0"/>
        <w:rPr>
          <w:rFonts w:eastAsia="Calibri" w:cs="Sylfaen"/>
          <w:szCs w:val="22"/>
          <w:lang w:val="hy-AM" w:eastAsia="en-US"/>
        </w:rPr>
      </w:pPr>
      <w:r w:rsidRPr="00D178DD">
        <w:rPr>
          <w:rFonts w:eastAsia="Calibri" w:cs="Sylfaen"/>
          <w:bCs/>
          <w:szCs w:val="22"/>
          <w:lang w:val="hy-AM" w:eastAsia="en-US"/>
        </w:rPr>
        <w:t>Ներքին պահանջարկի վերականգնման տեմպերը շարունակվեցին նաև 2022թ. առաջին կիսամյակում։</w:t>
      </w:r>
      <w:r w:rsidRPr="00D178DD">
        <w:rPr>
          <w:rFonts w:cs="Sylfaen"/>
          <w:bCs/>
          <w:noProof/>
          <w:szCs w:val="22"/>
          <w:lang w:val="hy-AM" w:eastAsia="en-US"/>
        </w:rPr>
        <w:t xml:space="preserve"> </w:t>
      </w:r>
      <w:r w:rsidRPr="00D178DD">
        <w:rPr>
          <w:rFonts w:cs="Sylfaen"/>
          <w:b w:val="0"/>
          <w:bCs/>
          <w:noProof/>
          <w:szCs w:val="22"/>
          <w:lang w:val="hy-AM" w:eastAsia="en-US"/>
        </w:rPr>
        <w:t>Ներքին</w:t>
      </w:r>
      <w:r w:rsidRPr="00D178DD">
        <w:rPr>
          <w:rFonts w:cs="Sylfaen"/>
          <w:bCs/>
          <w:noProof/>
          <w:szCs w:val="22"/>
          <w:lang w:val="hy-AM" w:eastAsia="en-US"/>
        </w:rPr>
        <w:t xml:space="preserve"> </w:t>
      </w:r>
      <w:r w:rsidRPr="00D178DD">
        <w:rPr>
          <w:rFonts w:cs="Sylfaen"/>
          <w:b w:val="0"/>
          <w:bCs/>
          <w:noProof/>
          <w:szCs w:val="22"/>
          <w:lang w:val="hy-AM" w:eastAsia="en-US"/>
        </w:rPr>
        <w:t xml:space="preserve">պահանջարկի աճը պայմանավորվեց մասնավոր սպառման աճով։ </w:t>
      </w:r>
      <w:r w:rsidRPr="00D178DD">
        <w:rPr>
          <w:rFonts w:cs="Sylfaen"/>
          <w:b w:val="0"/>
          <w:noProof/>
          <w:szCs w:val="22"/>
          <w:lang w:val="hy-AM" w:eastAsia="en-US"/>
        </w:rPr>
        <w:t>Կ</w:t>
      </w:r>
      <w:r w:rsidRPr="00D178DD">
        <w:rPr>
          <w:rFonts w:eastAsia="Calibri" w:cs="Sylfaen"/>
          <w:b w:val="0"/>
          <w:szCs w:val="22"/>
          <w:lang w:val="hy-AM" w:eastAsia="en-US"/>
        </w:rPr>
        <w:t>ապիտալ ներդրումները ևս աճեցին՝ պայմանավորված հիմնականում մասնավոր ներդրումների աճով։ Արտահանումը և ներմուծումը նույնպես աճեցին: Ընդ որում արտահանման աճը ներմուծման նկատմամբ առաջանցիկ էր, որի արդյունքում զուտ արտահանումը դրական նպաստեց ՀՆԱ-ի իրական աճին։ Տնտեսության ներքին պահանջարկի աճի միտումները շարունակվեցին նաև հուլիս-օգոստոս ամիսներին, մասնավորապես՝ սպառման աճի մասին են վկայում առևտրի և ծառայությունների աճերը, իսկ կապիտալ ներդրումների աճի մասին՝ շինարարության աճը։</w:t>
      </w:r>
      <w:r w:rsidRPr="00D178DD">
        <w:rPr>
          <w:rFonts w:eastAsia="Calibri" w:cs="Sylfaen"/>
          <w:szCs w:val="22"/>
          <w:lang w:val="hy-AM" w:eastAsia="en-US"/>
        </w:rPr>
        <w:t xml:space="preserve">  </w:t>
      </w:r>
    </w:p>
    <w:p w:rsidR="00D178DD" w:rsidRPr="00D178DD" w:rsidRDefault="00D178DD" w:rsidP="00D178DD">
      <w:pPr>
        <w:spacing w:after="60" w:line="276" w:lineRule="auto"/>
        <w:ind w:firstLine="360"/>
        <w:contextualSpacing w:val="0"/>
        <w:rPr>
          <w:rFonts w:cs="Sylfaen"/>
          <w:szCs w:val="22"/>
          <w:lang w:val="hy-AM" w:eastAsia="en-US"/>
        </w:rPr>
      </w:pPr>
      <w:r w:rsidRPr="00D178DD">
        <w:rPr>
          <w:rFonts w:cs="Sylfaen"/>
          <w:bCs/>
          <w:szCs w:val="22"/>
          <w:u w:val="single"/>
          <w:lang w:val="hy-AM" w:eastAsia="en-US"/>
        </w:rPr>
        <w:t>Կանխատեսում</w:t>
      </w:r>
      <w:r w:rsidRPr="00D178DD">
        <w:rPr>
          <w:rFonts w:cs="Sylfaen"/>
          <w:bCs/>
          <w:szCs w:val="22"/>
          <w:lang w:val="hy-AM" w:eastAsia="en-US"/>
        </w:rPr>
        <w:t xml:space="preserve">։  </w:t>
      </w:r>
      <w:r w:rsidRPr="00D178DD">
        <w:rPr>
          <w:rFonts w:eastAsia="Calibri"/>
          <w:lang w:val="hy-AM"/>
        </w:rPr>
        <w:t xml:space="preserve">Ձևավորված և սպասվող արտաքին զարգացումների, ՌԴ-ից դեպի Հայաստան ՏՏ ոլորտի ընկերությունների, մարդկանց և կապիտալի աննախադեպ ներհոսքերի, ինչպես նաև պատժամիջոցների հետևանքով որոշ երկրներից ՌԴ ներմուծման շուկայի սահմանափակումների արդյունքում ՀՀ-ից դեպի Ռուսաստան արտահանման պահանջարկի ավելացման և ՀՀ կառավարության կողմից իրականացվող հարկաբյուջետային միջոցառումների պայմաններում 2022թ. սպասվում է 11% տնտեսական աճը, որը բարձր է </w:t>
      </w:r>
      <w:r w:rsidRPr="00D178DD">
        <w:rPr>
          <w:bCs/>
          <w:noProof/>
          <w:szCs w:val="22"/>
          <w:lang w:val="hy-AM" w:eastAsia="en-US"/>
        </w:rPr>
        <w:t>վերջին 14 տարիների ընթացքում գրանցված տնտեսական աճերից:</w:t>
      </w:r>
    </w:p>
    <w:p w:rsidR="00D178DD" w:rsidRPr="00D178DD" w:rsidRDefault="00D178DD" w:rsidP="00D178DD">
      <w:pPr>
        <w:spacing w:after="60" w:line="276" w:lineRule="auto"/>
        <w:ind w:firstLine="360"/>
        <w:contextualSpacing w:val="0"/>
        <w:rPr>
          <w:lang w:val="hy-AM"/>
        </w:rPr>
      </w:pPr>
      <w:r w:rsidRPr="00D178DD">
        <w:rPr>
          <w:rFonts w:cs="Sylfaen"/>
          <w:szCs w:val="22"/>
          <w:lang w:val="hy-AM" w:eastAsia="en-US"/>
        </w:rPr>
        <w:t xml:space="preserve"> </w:t>
      </w:r>
      <w:r w:rsidRPr="00D178DD">
        <w:rPr>
          <w:lang w:val="hy-AM"/>
        </w:rPr>
        <w:t>Սպասվող արտաքին տնտեսական միջավայրի, ռուս-ուկրաինական հակամարտության արդյունքում դեպի ՀՀ մարդկանց և կապիտալի ներհոսքերի, ՏՏ ոլորտի ընկերությունների տեղափոխման արդյունքում առաջացած դրական զարգացումների որոշակի պահպանման   և ՀՀ կառավարության 2021-2026թթ. ծրագրով նախատեսված տնտեսության և տնտեսական աճի ներուժի բարձրացմանն ուղղված  քաղաքականության միջոցառումների պայմաններում 2023թ</w:t>
      </w:r>
      <w:r w:rsidRPr="00D178DD">
        <w:rPr>
          <w:rFonts w:ascii="Times New Roman" w:hAnsi="Times New Roman"/>
          <w:lang w:val="hy-AM"/>
        </w:rPr>
        <w:t>․</w:t>
      </w:r>
      <w:r w:rsidRPr="00D178DD">
        <w:rPr>
          <w:lang w:val="hy-AM"/>
        </w:rPr>
        <w:t xml:space="preserve"> կանխատեսվում է 7</w:t>
      </w:r>
      <w:r w:rsidRPr="00D178DD">
        <w:rPr>
          <w:rFonts w:ascii="Times New Roman" w:hAnsi="Times New Roman"/>
          <w:lang w:val="hy-AM"/>
        </w:rPr>
        <w:t>․</w:t>
      </w:r>
      <w:r w:rsidRPr="00D178DD">
        <w:rPr>
          <w:lang w:val="hy-AM"/>
        </w:rPr>
        <w:t xml:space="preserve">0% տնտեսական աճ։ </w:t>
      </w:r>
    </w:p>
    <w:p w:rsidR="00D178DD" w:rsidRPr="00D178DD" w:rsidRDefault="00D178DD" w:rsidP="00D178DD">
      <w:pPr>
        <w:spacing w:after="60" w:line="276" w:lineRule="auto"/>
        <w:ind w:firstLine="360"/>
        <w:contextualSpacing w:val="0"/>
        <w:rPr>
          <w:rFonts w:eastAsia="GHEA Grapalat" w:cs="GHEA Grapalat"/>
          <w:b w:val="0"/>
          <w:szCs w:val="22"/>
          <w:lang w:val="hy-AM" w:eastAsia="en-US"/>
        </w:rPr>
      </w:pPr>
      <w:r w:rsidRPr="00D178DD">
        <w:rPr>
          <w:rFonts w:eastAsia="Calibri" w:cs="Sylfaen"/>
          <w:szCs w:val="22"/>
          <w:lang w:val="hy-AM" w:eastAsia="en-US"/>
        </w:rPr>
        <w:t xml:space="preserve">  </w:t>
      </w:r>
      <w:r w:rsidRPr="00D178DD">
        <w:rPr>
          <w:rFonts w:eastAsia="Calibri" w:cs="Sylfaen"/>
          <w:b w:val="0"/>
          <w:szCs w:val="22"/>
          <w:lang w:val="hy-AM" w:eastAsia="en-US"/>
        </w:rPr>
        <w:t>2022թ</w:t>
      </w:r>
      <w:r w:rsidRPr="00D178DD">
        <w:rPr>
          <w:rFonts w:ascii="Cambria Math" w:eastAsia="Calibri" w:hAnsi="Cambria Math" w:cs="Cambria Math"/>
          <w:b w:val="0"/>
          <w:szCs w:val="22"/>
          <w:lang w:val="hy-AM" w:eastAsia="en-US"/>
        </w:rPr>
        <w:t>․</w:t>
      </w:r>
      <w:r w:rsidRPr="00D178DD">
        <w:rPr>
          <w:rFonts w:eastAsia="Calibri"/>
          <w:b w:val="0"/>
          <w:szCs w:val="22"/>
          <w:lang w:val="hy-AM" w:eastAsia="en-US"/>
        </w:rPr>
        <w:t xml:space="preserve"> </w:t>
      </w:r>
      <w:r w:rsidRPr="00D178DD">
        <w:rPr>
          <w:rFonts w:eastAsia="Calibri" w:cs="Sylfaen"/>
          <w:b w:val="0"/>
          <w:szCs w:val="22"/>
          <w:lang w:val="hy-AM" w:eastAsia="en-US"/>
        </w:rPr>
        <w:t xml:space="preserve"> տ</w:t>
      </w:r>
      <w:r w:rsidRPr="00D178DD">
        <w:rPr>
          <w:rFonts w:eastAsia="GHEA Grapalat" w:cs="GHEA Grapalat"/>
          <w:b w:val="0"/>
          <w:szCs w:val="22"/>
          <w:lang w:val="hy-AM" w:eastAsia="en-US"/>
        </w:rPr>
        <w:t>նտեսական աճի արագացմանը կնպաստեն ծառայությունների և շինարարության ճյուղերի առաջանցիկ աճերը, 2023թ</w:t>
      </w:r>
      <w:r w:rsidRPr="00D178DD">
        <w:rPr>
          <w:rFonts w:ascii="Cambria Math" w:eastAsia="GHEA Grapalat" w:hAnsi="Cambria Math" w:cs="Cambria Math"/>
          <w:b w:val="0"/>
          <w:szCs w:val="22"/>
          <w:lang w:val="hy-AM" w:eastAsia="en-US"/>
        </w:rPr>
        <w:t>․</w:t>
      </w:r>
      <w:r w:rsidRPr="00D178DD">
        <w:rPr>
          <w:rFonts w:eastAsia="GHEA Grapalat"/>
          <w:b w:val="0"/>
          <w:szCs w:val="22"/>
          <w:lang w:val="hy-AM" w:eastAsia="en-US"/>
        </w:rPr>
        <w:t xml:space="preserve"> նույնպես տնտեսական աճից առաջանցիկ կլինեն շինարարության և ծառայությունների ճյուղերի աճերը։ </w:t>
      </w:r>
      <w:r w:rsidRPr="00D178DD">
        <w:rPr>
          <w:rFonts w:eastAsia="GHEA Grapalat" w:cs="GHEA Grapalat"/>
          <w:b w:val="0"/>
          <w:szCs w:val="22"/>
          <w:lang w:val="hy-AM" w:eastAsia="en-US"/>
        </w:rPr>
        <w:t xml:space="preserve">Տնտեսության մյուս ճյուղերը նույնպես դրական ազդեցություն կունենան տնտեսական աճի վրա: Ամբողջական պահանջարկը ևս կաճի՝ պայմանավորված ինչպես ներքին պահանջարկի, այնպես արտահանման (հատկապես՝ ծառայությունների արտահանման մասով) աճով: </w:t>
      </w:r>
    </w:p>
    <w:p w:rsidR="00D178DD" w:rsidRPr="00D178DD" w:rsidRDefault="00D178DD" w:rsidP="00D178DD">
      <w:pPr>
        <w:spacing w:before="40" w:after="60" w:line="276" w:lineRule="auto"/>
        <w:ind w:firstLine="634"/>
        <w:contextualSpacing w:val="0"/>
        <w:rPr>
          <w:rFonts w:cs="Sylfaen"/>
          <w:b w:val="0"/>
          <w:szCs w:val="22"/>
          <w:lang w:val="hy-AM" w:eastAsia="en-US"/>
        </w:rPr>
      </w:pPr>
      <w:r w:rsidRPr="00D178DD">
        <w:rPr>
          <w:rFonts w:cs="Sylfaen"/>
          <w:b w:val="0"/>
          <w:szCs w:val="22"/>
          <w:lang w:val="it-IT" w:eastAsia="en-US"/>
        </w:rPr>
        <w:t>202</w:t>
      </w:r>
      <w:r w:rsidRPr="00D178DD">
        <w:rPr>
          <w:rFonts w:cs="Sylfaen"/>
          <w:b w:val="0"/>
          <w:szCs w:val="22"/>
          <w:lang w:val="hy-AM" w:eastAsia="en-US"/>
        </w:rPr>
        <w:t>2թ.</w:t>
      </w:r>
      <w:r w:rsidRPr="00D178DD">
        <w:rPr>
          <w:rFonts w:cs="Sylfaen"/>
          <w:b w:val="0"/>
          <w:szCs w:val="22"/>
          <w:lang w:val="it-IT" w:eastAsia="en-US"/>
        </w:rPr>
        <w:t xml:space="preserve"> </w:t>
      </w:r>
      <w:r w:rsidRPr="00D178DD">
        <w:rPr>
          <w:rFonts w:cs="Times Armenian"/>
          <w:b w:val="0"/>
          <w:szCs w:val="22"/>
          <w:lang w:val="it-IT" w:eastAsia="en-US"/>
        </w:rPr>
        <w:t>դեֆլյատորը կաճի</w:t>
      </w:r>
      <w:r w:rsidRPr="00D178DD">
        <w:rPr>
          <w:rFonts w:cs="Times Armenian"/>
          <w:b w:val="0"/>
          <w:szCs w:val="22"/>
          <w:lang w:val="hy-AM" w:eastAsia="en-US"/>
        </w:rPr>
        <w:t>՝</w:t>
      </w:r>
      <w:r w:rsidRPr="00D178DD">
        <w:rPr>
          <w:rFonts w:cs="Times Armenian"/>
          <w:b w:val="0"/>
          <w:szCs w:val="22"/>
          <w:lang w:val="it-IT" w:eastAsia="en-US"/>
        </w:rPr>
        <w:t xml:space="preserve"> </w:t>
      </w:r>
      <w:r w:rsidRPr="00D178DD">
        <w:rPr>
          <w:rFonts w:cs="Times Armenian"/>
          <w:b w:val="0"/>
          <w:szCs w:val="22"/>
          <w:lang w:val="hy-AM" w:eastAsia="en-US"/>
        </w:rPr>
        <w:t>պայմանավորված</w:t>
      </w:r>
      <w:r w:rsidRPr="00D178DD">
        <w:rPr>
          <w:rFonts w:cs="Sylfaen"/>
          <w:b w:val="0"/>
          <w:szCs w:val="22"/>
          <w:lang w:val="hy-AM" w:eastAsia="en-US"/>
        </w:rPr>
        <w:t xml:space="preserve"> ՍԳԻ-ի և</w:t>
      </w:r>
      <w:r w:rsidRPr="00D178DD">
        <w:rPr>
          <w:rFonts w:cs="Sylfaen"/>
          <w:b w:val="0"/>
          <w:szCs w:val="22"/>
          <w:lang w:val="it-IT" w:eastAsia="en-US"/>
        </w:rPr>
        <w:t xml:space="preserve"> </w:t>
      </w:r>
      <w:r w:rsidRPr="00D178DD">
        <w:rPr>
          <w:rFonts w:cs="Sylfaen"/>
          <w:b w:val="0"/>
          <w:szCs w:val="22"/>
          <w:lang w:val="hy-AM" w:eastAsia="en-US"/>
        </w:rPr>
        <w:t>ապրանքների միջազգային գների զարգացումներով, իսկ 2023թ.՝ ՍԳԻ-ին համահունչ կդանդաղի:</w:t>
      </w:r>
    </w:p>
    <w:p w:rsidR="00D178DD" w:rsidRPr="00D178DD" w:rsidRDefault="00D178DD" w:rsidP="00D178DD">
      <w:pPr>
        <w:tabs>
          <w:tab w:val="right" w:pos="0"/>
        </w:tabs>
        <w:spacing w:before="40" w:after="120" w:line="276" w:lineRule="auto"/>
        <w:ind w:firstLine="562"/>
        <w:contextualSpacing w:val="0"/>
        <w:rPr>
          <w:rFonts w:cs="Sylfaen"/>
          <w:szCs w:val="22"/>
          <w:lang w:val="hy-AM" w:eastAsia="en-US"/>
        </w:rPr>
      </w:pPr>
      <w:r w:rsidRPr="00D178DD">
        <w:rPr>
          <w:rFonts w:cs="Sylfaen"/>
          <w:szCs w:val="22"/>
          <w:lang w:val="hy-AM" w:eastAsia="en-US"/>
        </w:rPr>
        <w:t>Վերոնշյալ զարգացումների պայմաններում անվանական ՀՆԱ-ն 2022թ. կկազմի 8,293.7 մլրդ դրամ՝ 224.2 մլրդ դրամով ավելին լինելով 2023-2025թթ. ՄԺԾԾ  ցուցանիշից, և 424.2 մլրդ դրամով` 2022թ</w:t>
      </w:r>
      <w:r w:rsidRPr="00D178DD">
        <w:rPr>
          <w:rFonts w:ascii="Cambria Math" w:hAnsi="Cambria Math" w:cs="Cambria Math"/>
          <w:szCs w:val="22"/>
          <w:lang w:val="hy-AM" w:eastAsia="en-US"/>
        </w:rPr>
        <w:t>․</w:t>
      </w:r>
      <w:r w:rsidRPr="00D178DD">
        <w:rPr>
          <w:rFonts w:cs="Sylfaen"/>
          <w:szCs w:val="22"/>
          <w:lang w:val="hy-AM" w:eastAsia="en-US"/>
        </w:rPr>
        <w:t xml:space="preserve"> </w:t>
      </w:r>
      <w:r w:rsidRPr="00D178DD">
        <w:rPr>
          <w:rFonts w:cs="GHEA Grapalat"/>
          <w:szCs w:val="22"/>
          <w:lang w:val="hy-AM" w:eastAsia="en-US"/>
        </w:rPr>
        <w:t>բյուջեով</w:t>
      </w:r>
      <w:r w:rsidRPr="00D178DD">
        <w:rPr>
          <w:rFonts w:cs="Sylfaen"/>
          <w:szCs w:val="22"/>
          <w:lang w:val="hy-AM" w:eastAsia="en-US"/>
        </w:rPr>
        <w:t xml:space="preserve"> </w:t>
      </w:r>
      <w:r w:rsidRPr="00D178DD">
        <w:rPr>
          <w:rFonts w:cs="GHEA Grapalat"/>
          <w:szCs w:val="22"/>
          <w:lang w:val="hy-AM" w:eastAsia="en-US"/>
        </w:rPr>
        <w:t>ծրագր</w:t>
      </w:r>
      <w:r w:rsidRPr="00D178DD">
        <w:rPr>
          <w:rFonts w:cs="Sylfaen"/>
          <w:szCs w:val="22"/>
          <w:lang w:val="hy-AM" w:eastAsia="en-US"/>
        </w:rPr>
        <w:t xml:space="preserve">ած ցուցանիշից: Իսկ 2023թ. անվանական ՀՆԱ-ն կկազմի 9,317.9 մլրդ դրամ՝ 251.8 մլրդ դրամով ավելին լինելով 2023-2025թթ. ՄԺԾԾ  ցուցանիշից: </w:t>
      </w:r>
    </w:p>
    <w:p w:rsidR="00D178DD" w:rsidRPr="00D178DD" w:rsidRDefault="00D178DD" w:rsidP="00D178DD">
      <w:pPr>
        <w:tabs>
          <w:tab w:val="right" w:pos="0"/>
        </w:tabs>
        <w:spacing w:before="40" w:after="120" w:line="276" w:lineRule="auto"/>
        <w:ind w:firstLine="562"/>
        <w:contextualSpacing w:val="0"/>
        <w:rPr>
          <w:rFonts w:cs="Sylfaen"/>
          <w:szCs w:val="22"/>
          <w:lang w:val="hy-AM" w:eastAsia="en-US"/>
        </w:rPr>
      </w:pPr>
    </w:p>
    <w:p w:rsidR="00D178DD" w:rsidRPr="00D178DD" w:rsidRDefault="00D178DD" w:rsidP="00D178DD">
      <w:pPr>
        <w:tabs>
          <w:tab w:val="right" w:pos="0"/>
        </w:tabs>
        <w:spacing w:before="40" w:after="120" w:line="276" w:lineRule="auto"/>
        <w:ind w:firstLine="562"/>
        <w:contextualSpacing w:val="0"/>
        <w:rPr>
          <w:rFonts w:cs="Sylfaen"/>
          <w:szCs w:val="22"/>
          <w:lang w:val="hy-AM" w:eastAsia="en-US"/>
        </w:rPr>
      </w:pPr>
    </w:p>
    <w:tbl>
      <w:tblPr>
        <w:tblStyle w:val="TableGrid7130"/>
        <w:tblW w:w="0" w:type="auto"/>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ook w:val="04A0" w:firstRow="1" w:lastRow="0" w:firstColumn="1" w:lastColumn="0" w:noHBand="0" w:noVBand="1"/>
      </w:tblPr>
      <w:tblGrid>
        <w:gridCol w:w="4957"/>
        <w:gridCol w:w="5015"/>
      </w:tblGrid>
      <w:tr w:rsidR="00D178DD" w:rsidRPr="00C43BF7" w:rsidTr="004B2286">
        <w:trPr>
          <w:trHeight w:val="3489"/>
        </w:trPr>
        <w:tc>
          <w:tcPr>
            <w:tcW w:w="4841" w:type="dxa"/>
          </w:tcPr>
          <w:p w:rsidR="00D178DD" w:rsidRPr="00D178DD" w:rsidRDefault="00D178DD" w:rsidP="00D178DD">
            <w:pPr>
              <w:spacing w:before="0" w:line="240" w:lineRule="auto"/>
              <w:ind w:firstLine="0"/>
              <w:rPr>
                <w:i/>
                <w:noProof/>
                <w:sz w:val="18"/>
                <w:szCs w:val="18"/>
                <w:lang w:val="hy-AM" w:eastAsia="en-US"/>
              </w:rPr>
            </w:pPr>
            <w:r w:rsidRPr="00D178DD">
              <w:rPr>
                <w:i/>
                <w:noProof/>
                <w:szCs w:val="22"/>
                <w:lang w:val="en-US" w:eastAsia="en-US"/>
              </w:rPr>
              <w:drawing>
                <wp:anchor distT="0" distB="0" distL="114300" distR="114300" simplePos="0" relativeHeight="251667456" behindDoc="0" locked="0" layoutInCell="1" allowOverlap="1" wp14:anchorId="77AAAE01" wp14:editId="69E2555F">
                  <wp:simplePos x="0" y="0"/>
                  <wp:positionH relativeFrom="column">
                    <wp:posOffset>-41275</wp:posOffset>
                  </wp:positionH>
                  <wp:positionV relativeFrom="paragraph">
                    <wp:posOffset>339090</wp:posOffset>
                  </wp:positionV>
                  <wp:extent cx="3076575" cy="1876425"/>
                  <wp:effectExtent l="0" t="0" r="9525" b="9525"/>
                  <wp:wrapSquare wrapText="bothSides"/>
                  <wp:docPr id="154" name="Chart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D178DD">
              <w:rPr>
                <w:i/>
                <w:noProof/>
                <w:sz w:val="18"/>
                <w:szCs w:val="18"/>
                <w:lang w:val="hy-AM" w:eastAsia="en-US"/>
              </w:rPr>
              <w:t>Գծապատկեր 1.14. Անվանական ՀՆԱ և տնտեսական աճ</w:t>
            </w:r>
          </w:p>
          <w:p w:rsidR="00D178DD" w:rsidRPr="00D178DD" w:rsidRDefault="00D178DD" w:rsidP="00D178DD">
            <w:pPr>
              <w:spacing w:before="0" w:line="276" w:lineRule="auto"/>
              <w:ind w:firstLine="0"/>
              <w:jc w:val="left"/>
              <w:rPr>
                <w:i/>
                <w:sz w:val="16"/>
                <w:szCs w:val="16"/>
                <w:lang w:val="hy-AM" w:eastAsia="en-US"/>
              </w:rPr>
            </w:pPr>
            <w:r w:rsidRPr="00D178DD">
              <w:rPr>
                <w:rFonts w:eastAsia="Calibri"/>
                <w:b w:val="0"/>
                <w:i/>
                <w:sz w:val="16"/>
                <w:szCs w:val="16"/>
                <w:lang w:val="hy-AM"/>
              </w:rPr>
              <w:t>Աղբյուրը՝ ՀՀ ՎԿ, ՀՀ ՖՆ հաշվարկներ և կանխատեսումներ</w:t>
            </w:r>
          </w:p>
        </w:tc>
        <w:tc>
          <w:tcPr>
            <w:tcW w:w="4899" w:type="dxa"/>
          </w:tcPr>
          <w:p w:rsidR="00D178DD" w:rsidRPr="00D178DD" w:rsidRDefault="00D178DD" w:rsidP="00D178DD">
            <w:pPr>
              <w:spacing w:before="0" w:line="240" w:lineRule="auto"/>
              <w:ind w:firstLine="0"/>
              <w:rPr>
                <w:i/>
                <w:noProof/>
                <w:sz w:val="18"/>
                <w:szCs w:val="18"/>
                <w:lang w:val="hy-AM" w:eastAsia="en-US"/>
              </w:rPr>
            </w:pPr>
            <w:r w:rsidRPr="00D178DD">
              <w:rPr>
                <w:i/>
                <w:noProof/>
                <w:sz w:val="18"/>
                <w:szCs w:val="18"/>
                <w:lang w:val="hy-AM" w:eastAsia="en-US"/>
              </w:rPr>
              <w:t>Գծապատկեր 1.15.</w:t>
            </w:r>
            <w:r w:rsidRPr="00D178DD">
              <w:rPr>
                <w:i/>
                <w:noProof/>
                <w:color w:val="FF0000"/>
                <w:sz w:val="18"/>
                <w:szCs w:val="18"/>
                <w:lang w:val="hy-AM" w:eastAsia="en-US"/>
              </w:rPr>
              <w:t xml:space="preserve"> </w:t>
            </w:r>
            <w:r w:rsidRPr="00D178DD">
              <w:rPr>
                <w:i/>
                <w:noProof/>
                <w:sz w:val="18"/>
                <w:szCs w:val="18"/>
                <w:lang w:val="hy-AM" w:eastAsia="en-US"/>
              </w:rPr>
              <w:t xml:space="preserve">Իրական ՀՆԱ անկումը/աճը տնտե- սական ճգնաժամերի և հաջորդող տարիներին </w:t>
            </w:r>
          </w:p>
          <w:p w:rsidR="00D178DD" w:rsidRPr="00D178DD" w:rsidRDefault="00D178DD" w:rsidP="00D178DD">
            <w:pPr>
              <w:spacing w:before="40" w:after="160" w:line="276" w:lineRule="auto"/>
              <w:ind w:firstLine="0"/>
              <w:contextualSpacing w:val="0"/>
              <w:jc w:val="left"/>
              <w:rPr>
                <w:b w:val="0"/>
                <w:i/>
                <w:szCs w:val="16"/>
                <w:lang w:val="hy-AM" w:eastAsia="en-US"/>
              </w:rPr>
            </w:pPr>
            <w:r w:rsidRPr="00D178DD">
              <w:rPr>
                <w:rFonts w:eastAsia="Calibri"/>
                <w:i/>
                <w:noProof/>
                <w:sz w:val="18"/>
                <w:szCs w:val="16"/>
                <w:lang w:val="en-US" w:eastAsia="en-US"/>
              </w:rPr>
              <w:drawing>
                <wp:inline distT="0" distB="0" distL="0" distR="0" wp14:anchorId="2AF204D7" wp14:editId="21B07217">
                  <wp:extent cx="2999232" cy="1883410"/>
                  <wp:effectExtent l="0" t="0" r="10795" b="25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D178DD">
              <w:rPr>
                <w:rFonts w:eastAsia="Calibri"/>
                <w:b w:val="0"/>
                <w:i/>
                <w:sz w:val="16"/>
                <w:szCs w:val="16"/>
                <w:lang w:val="hy-AM"/>
              </w:rPr>
              <w:t>Աղբյուրը՝ ՀՀ ՎԿ, ՀՀ ՖՆ կանխատեսում</w:t>
            </w:r>
          </w:p>
        </w:tc>
      </w:tr>
      <w:tr w:rsidR="00D178DD" w:rsidRPr="005579BB" w:rsidTr="004B2286">
        <w:trPr>
          <w:trHeight w:val="628"/>
        </w:trPr>
        <w:tc>
          <w:tcPr>
            <w:tcW w:w="4841" w:type="dxa"/>
          </w:tcPr>
          <w:p w:rsidR="00D178DD" w:rsidRPr="00D178DD" w:rsidRDefault="00D178DD" w:rsidP="00D178DD">
            <w:pPr>
              <w:spacing w:before="0" w:after="60" w:line="240" w:lineRule="auto"/>
              <w:ind w:firstLine="0"/>
              <w:contextualSpacing w:val="0"/>
              <w:rPr>
                <w:i/>
                <w:noProof/>
                <w:sz w:val="18"/>
                <w:szCs w:val="18"/>
                <w:lang w:val="hy-AM" w:eastAsia="en-US"/>
              </w:rPr>
            </w:pPr>
            <w:r w:rsidRPr="00D178DD">
              <w:rPr>
                <w:i/>
                <w:noProof/>
                <w:sz w:val="18"/>
                <w:szCs w:val="18"/>
                <w:lang w:val="hy-AM" w:eastAsia="en-US"/>
              </w:rPr>
              <w:t xml:space="preserve">Գծապատկեր 1.16. Տնտեսության առանձին ճյուղերի նպաստումները տնտեսական աճին </w:t>
            </w:r>
          </w:p>
          <w:p w:rsidR="00D178DD" w:rsidRPr="00D178DD" w:rsidRDefault="00D178DD" w:rsidP="00D178DD">
            <w:pPr>
              <w:spacing w:before="0" w:line="276" w:lineRule="auto"/>
              <w:ind w:firstLine="29"/>
              <w:contextualSpacing w:val="0"/>
              <w:jc w:val="left"/>
              <w:rPr>
                <w:rFonts w:ascii="Times New Roman" w:hAnsi="Times New Roman"/>
                <w:sz w:val="24"/>
                <w:lang w:val="en-US" w:eastAsia="en-US"/>
              </w:rPr>
            </w:pPr>
            <w:r w:rsidRPr="00D178DD">
              <w:rPr>
                <w:rFonts w:ascii="Times New Roman" w:hAnsi="Times New Roman"/>
                <w:b w:val="0"/>
                <w:noProof/>
                <w:sz w:val="24"/>
                <w:shd w:val="clear" w:color="auto" w:fill="B4C6E7"/>
                <w:lang w:val="en-US" w:eastAsia="en-US"/>
              </w:rPr>
              <w:drawing>
                <wp:inline distT="0" distB="0" distL="0" distR="0" wp14:anchorId="0915A8DC" wp14:editId="1EFBC4DC">
                  <wp:extent cx="3021330" cy="1868170"/>
                  <wp:effectExtent l="0" t="0" r="7620" b="1778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178DD" w:rsidRPr="00D178DD" w:rsidRDefault="00D178DD" w:rsidP="00D178DD">
            <w:pPr>
              <w:spacing w:before="40" w:line="276" w:lineRule="auto"/>
              <w:ind w:firstLine="0"/>
              <w:jc w:val="left"/>
              <w:rPr>
                <w:b w:val="0"/>
                <w:i/>
                <w:sz w:val="16"/>
                <w:szCs w:val="16"/>
                <w:lang w:val="hy-AM" w:eastAsia="en-US"/>
              </w:rPr>
            </w:pPr>
            <w:r w:rsidRPr="00D178DD">
              <w:rPr>
                <w:b w:val="0"/>
                <w:i/>
                <w:sz w:val="16"/>
                <w:szCs w:val="16"/>
                <w:lang w:val="hy-AM" w:eastAsia="en-US"/>
              </w:rPr>
              <w:t xml:space="preserve">Աղբյուրը՝ </w:t>
            </w:r>
            <w:r w:rsidRPr="00D178DD">
              <w:rPr>
                <w:rFonts w:eastAsia="Calibri"/>
                <w:b w:val="0"/>
                <w:i/>
                <w:sz w:val="16"/>
                <w:szCs w:val="16"/>
                <w:lang w:val="hy-AM"/>
              </w:rPr>
              <w:t>ՀՀ ՎԿ, ՀՀ ՖՆ հաշվարկներ և կանխատեսումներ</w:t>
            </w:r>
          </w:p>
        </w:tc>
        <w:tc>
          <w:tcPr>
            <w:tcW w:w="4899" w:type="dxa"/>
          </w:tcPr>
          <w:p w:rsidR="00D178DD" w:rsidRPr="00D178DD" w:rsidRDefault="00D178DD" w:rsidP="00D178DD">
            <w:pPr>
              <w:spacing w:before="0" w:after="60" w:line="240" w:lineRule="auto"/>
              <w:ind w:firstLine="0"/>
              <w:contextualSpacing w:val="0"/>
              <w:rPr>
                <w:i/>
                <w:noProof/>
                <w:sz w:val="18"/>
                <w:szCs w:val="18"/>
                <w:lang w:val="hy-AM" w:eastAsia="en-US"/>
              </w:rPr>
            </w:pPr>
            <w:r w:rsidRPr="00D178DD">
              <w:rPr>
                <w:i/>
                <w:noProof/>
                <w:sz w:val="18"/>
                <w:szCs w:val="18"/>
                <w:lang w:val="hy-AM" w:eastAsia="en-US"/>
              </w:rPr>
              <w:t>Գծապատկեր 1.17. Տնտեսական աճին պահանջարկի բաղադրիչների նպաստումները</w:t>
            </w:r>
          </w:p>
          <w:p w:rsidR="00D178DD" w:rsidRPr="00D178DD" w:rsidRDefault="00D178DD" w:rsidP="00D178DD">
            <w:pPr>
              <w:spacing w:before="0" w:line="276" w:lineRule="auto"/>
              <w:ind w:firstLine="0"/>
              <w:contextualSpacing w:val="0"/>
              <w:jc w:val="left"/>
              <w:rPr>
                <w:rFonts w:ascii="Times New Roman" w:hAnsi="Times New Roman"/>
                <w:b w:val="0"/>
                <w:sz w:val="24"/>
                <w:lang w:val="en-US" w:eastAsia="en-US"/>
              </w:rPr>
            </w:pPr>
            <w:r w:rsidRPr="00D178DD">
              <w:rPr>
                <w:rFonts w:ascii="Times New Roman" w:hAnsi="Times New Roman" w:cs="Sylfaen"/>
                <w:noProof/>
                <w:sz w:val="24"/>
                <w:lang w:val="en-US" w:eastAsia="en-US"/>
              </w:rPr>
              <w:drawing>
                <wp:inline distT="0" distB="0" distL="0" distR="0" wp14:anchorId="3BBBE398" wp14:editId="3217167C">
                  <wp:extent cx="3123565" cy="1868446"/>
                  <wp:effectExtent l="0" t="0" r="635" b="17780"/>
                  <wp:docPr id="156" name="Chart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178DD" w:rsidRPr="00D178DD" w:rsidRDefault="00D178DD" w:rsidP="00D178DD">
            <w:pPr>
              <w:spacing w:before="40" w:line="276" w:lineRule="auto"/>
              <w:ind w:firstLine="0"/>
              <w:jc w:val="left"/>
              <w:rPr>
                <w:b w:val="0"/>
                <w:i/>
                <w:szCs w:val="22"/>
                <w:lang w:val="hy-AM" w:eastAsia="en-US"/>
              </w:rPr>
            </w:pPr>
            <w:r w:rsidRPr="00D178DD">
              <w:rPr>
                <w:b w:val="0"/>
                <w:i/>
                <w:sz w:val="16"/>
                <w:szCs w:val="16"/>
                <w:lang w:val="hy-AM" w:eastAsia="en-US"/>
              </w:rPr>
              <w:t xml:space="preserve">Աղբյուրը՝ ՀՀ ՎԿ, ՀՀ </w:t>
            </w:r>
            <w:r w:rsidRPr="00D178DD">
              <w:rPr>
                <w:b w:val="0"/>
                <w:i/>
                <w:sz w:val="18"/>
                <w:szCs w:val="16"/>
                <w:lang w:val="hy-AM" w:eastAsia="en-US"/>
              </w:rPr>
              <w:t>ՖՆ</w:t>
            </w:r>
            <w:r w:rsidRPr="00D178DD">
              <w:rPr>
                <w:b w:val="0"/>
                <w:i/>
                <w:sz w:val="16"/>
                <w:szCs w:val="16"/>
                <w:lang w:val="hy-AM" w:eastAsia="en-US"/>
              </w:rPr>
              <w:t xml:space="preserve"> հաշվարկներ և կանխատեսումներ</w:t>
            </w:r>
          </w:p>
        </w:tc>
      </w:tr>
    </w:tbl>
    <w:p w:rsidR="00D178DD" w:rsidRPr="00D178DD" w:rsidRDefault="00D178DD" w:rsidP="00D178DD">
      <w:pPr>
        <w:tabs>
          <w:tab w:val="right" w:pos="0"/>
        </w:tabs>
        <w:spacing w:before="40" w:after="120" w:line="276" w:lineRule="auto"/>
        <w:ind w:firstLine="562"/>
        <w:contextualSpacing w:val="0"/>
        <w:rPr>
          <w:rFonts w:cs="Sylfaen"/>
          <w:b w:val="0"/>
          <w:szCs w:val="22"/>
          <w:lang w:val="hy-AM" w:eastAsia="en-US"/>
        </w:rPr>
      </w:pPr>
      <w:r w:rsidRPr="00D178DD">
        <w:rPr>
          <w:rFonts w:cs="Sylfaen"/>
          <w:bCs/>
          <w:noProof/>
          <w:szCs w:val="22"/>
          <w:u w:val="single"/>
          <w:lang w:val="hy-AM" w:eastAsia="en-US"/>
        </w:rPr>
        <w:t>Համախառն առաջարկի կանխատեսում</w:t>
      </w:r>
      <w:r w:rsidRPr="00D178DD">
        <w:rPr>
          <w:rFonts w:cs="Sylfaen"/>
          <w:bCs/>
          <w:noProof/>
          <w:szCs w:val="22"/>
          <w:lang w:val="hy-AM" w:eastAsia="en-US"/>
        </w:rPr>
        <w:t xml:space="preserve">. </w:t>
      </w:r>
      <w:r w:rsidRPr="00D178DD">
        <w:rPr>
          <w:rFonts w:cs="Sylfaen"/>
          <w:b w:val="0"/>
          <w:bCs/>
          <w:noProof/>
          <w:szCs w:val="22"/>
          <w:lang w:val="hy-AM" w:eastAsia="en-US"/>
        </w:rPr>
        <w:t>2022թ</w:t>
      </w:r>
      <w:r w:rsidRPr="00D178DD">
        <w:rPr>
          <w:rFonts w:ascii="Cambria Math" w:hAnsi="Cambria Math" w:cs="Cambria Math"/>
          <w:b w:val="0"/>
          <w:bCs/>
          <w:noProof/>
          <w:szCs w:val="22"/>
          <w:lang w:val="hy-AM" w:eastAsia="en-US"/>
        </w:rPr>
        <w:t>․</w:t>
      </w:r>
      <w:r w:rsidRPr="00D178DD">
        <w:rPr>
          <w:b w:val="0"/>
          <w:bCs/>
          <w:noProof/>
          <w:szCs w:val="22"/>
          <w:lang w:val="hy-AM" w:eastAsia="en-US"/>
        </w:rPr>
        <w:t xml:space="preserve"> </w:t>
      </w:r>
      <w:r w:rsidRPr="00D178DD">
        <w:rPr>
          <w:rFonts w:cs="Sylfaen"/>
          <w:b w:val="0"/>
          <w:noProof/>
          <w:szCs w:val="22"/>
          <w:lang w:val="hy-AM" w:eastAsia="en-US"/>
        </w:rPr>
        <w:t xml:space="preserve">սպասվող 11% </w:t>
      </w:r>
      <w:r w:rsidRPr="00D178DD">
        <w:rPr>
          <w:rFonts w:cs="Sylfaen"/>
          <w:b w:val="0"/>
          <w:szCs w:val="22"/>
          <w:lang w:val="hy-AM" w:eastAsia="en-US"/>
        </w:rPr>
        <w:t>տնտեսական աճը հիմնականում պայմանավորված կլինի ծառայությունների (ներառյալ առևտուրը) և շինարարության, համապատասխանաբար,   15</w:t>
      </w:r>
      <w:r w:rsidRPr="00D178DD">
        <w:rPr>
          <w:rFonts w:ascii="Cambria Math" w:hAnsi="Cambria Math" w:cs="Cambria Math"/>
          <w:b w:val="0"/>
          <w:szCs w:val="22"/>
          <w:lang w:val="hy-AM" w:eastAsia="en-US"/>
        </w:rPr>
        <w:t>․</w:t>
      </w:r>
      <w:r w:rsidRPr="00D178DD">
        <w:rPr>
          <w:b w:val="0"/>
          <w:szCs w:val="22"/>
          <w:lang w:val="hy-AM" w:eastAsia="en-US"/>
        </w:rPr>
        <w:t xml:space="preserve">6% և 16.9% </w:t>
      </w:r>
      <w:r w:rsidRPr="00D178DD">
        <w:rPr>
          <w:rFonts w:cs="Sylfaen"/>
          <w:b w:val="0"/>
          <w:szCs w:val="22"/>
          <w:lang w:val="hy-AM" w:eastAsia="en-US"/>
        </w:rPr>
        <w:t>առաջանցիկ աճերով։ Արդյունաբերության և գյուղատնտեսության ճյուղերը նույնպես կաճեն (համապատասխանաբար՝ 5</w:t>
      </w:r>
      <w:r w:rsidRPr="00D178DD">
        <w:rPr>
          <w:rFonts w:ascii="Cambria Math" w:hAnsi="Cambria Math" w:cs="Cambria Math"/>
          <w:b w:val="0"/>
          <w:szCs w:val="22"/>
          <w:lang w:val="hy-AM" w:eastAsia="en-US"/>
        </w:rPr>
        <w:t>․</w:t>
      </w:r>
      <w:r w:rsidRPr="00D178DD">
        <w:rPr>
          <w:rFonts w:cs="Sylfaen"/>
          <w:b w:val="0"/>
          <w:szCs w:val="22"/>
          <w:lang w:val="hy-AM" w:eastAsia="en-US"/>
        </w:rPr>
        <w:t>0% և 2.2%)` դրական նպաստելով տնտեսական աճին:</w:t>
      </w:r>
    </w:p>
    <w:p w:rsidR="00D178DD" w:rsidRPr="00D178DD" w:rsidRDefault="00D178DD" w:rsidP="00D178DD">
      <w:pPr>
        <w:spacing w:after="60" w:line="276" w:lineRule="auto"/>
        <w:ind w:firstLine="562"/>
        <w:contextualSpacing w:val="0"/>
        <w:rPr>
          <w:rFonts w:cs="Sylfaen"/>
          <w:bCs/>
          <w:noProof/>
          <w:szCs w:val="22"/>
          <w:u w:val="single"/>
          <w:lang w:val="hy-AM" w:eastAsia="en-US"/>
        </w:rPr>
      </w:pPr>
      <w:r w:rsidRPr="00D178DD">
        <w:rPr>
          <w:rFonts w:eastAsia="Calibri" w:cs="Sylfaen"/>
          <w:b w:val="0"/>
          <w:bCs/>
          <w:szCs w:val="22"/>
          <w:lang w:val="hy-AM" w:eastAsia="en-US"/>
        </w:rPr>
        <w:t xml:space="preserve">2023թ. ՀՀ տեղափոխված ՏՏ ոլորտի ընկերությունների և աշխատակիցների, ինչպես նաև կապիտալի և մարդկանց ներհոսքերրի թողած դրական ազդեցությունների որոշակիորեն պահպանման, </w:t>
      </w:r>
      <w:r w:rsidRPr="00D178DD">
        <w:rPr>
          <w:rFonts w:cs="Sylfaen"/>
          <w:b w:val="0"/>
          <w:bCs/>
          <w:noProof/>
          <w:szCs w:val="22"/>
          <w:lang w:val="hy-AM" w:eastAsia="en-US"/>
        </w:rPr>
        <w:t xml:space="preserve">ինչպես նաև </w:t>
      </w:r>
      <w:r w:rsidRPr="00D178DD">
        <w:rPr>
          <w:rFonts w:eastAsia="Calibri" w:cs="Sylfaen"/>
          <w:b w:val="0"/>
          <w:bCs/>
          <w:szCs w:val="22"/>
          <w:lang w:val="hy-AM" w:eastAsia="en-US"/>
        </w:rPr>
        <w:t>ՀՀ կառավարության կողմից նախատեսված մասնավոր ներդրումների խթանման, տնտեսության արդիականացման և</w:t>
      </w:r>
      <w:r w:rsidRPr="00D178DD">
        <w:rPr>
          <w:rFonts w:cs="Sylfaen"/>
          <w:b w:val="0"/>
          <w:bCs/>
          <w:noProof/>
          <w:szCs w:val="22"/>
          <w:lang w:val="hy-AM" w:eastAsia="en-US"/>
        </w:rPr>
        <w:t xml:space="preserve"> գործարար միջավայրի բարելավման, տեխնոլոգիական առաջընթացի ապահովման, տնտեսության արտահանելի հատվածի և  արտահանման խթանմանն ուղղված քաղաքականությունների, ինչպես նաև մեծածավալ պետական ներդրումների իրականացման պայմաններում</w:t>
      </w:r>
      <w:r w:rsidRPr="00D178DD">
        <w:rPr>
          <w:rFonts w:eastAsia="Calibri" w:cs="Sylfaen"/>
          <w:b w:val="0"/>
          <w:bCs/>
          <w:szCs w:val="22"/>
          <w:lang w:val="hy-AM" w:eastAsia="en-US"/>
        </w:rPr>
        <w:t>` շինարարության ճյուղը կաճի 9</w:t>
      </w:r>
      <w:r w:rsidRPr="00D178DD">
        <w:rPr>
          <w:rFonts w:ascii="Cambria Math" w:eastAsia="Calibri" w:hAnsi="Cambria Math" w:cs="Cambria Math"/>
          <w:b w:val="0"/>
          <w:bCs/>
          <w:szCs w:val="22"/>
          <w:lang w:val="hy-AM" w:eastAsia="en-US"/>
        </w:rPr>
        <w:t>․</w:t>
      </w:r>
      <w:r w:rsidRPr="00D178DD">
        <w:rPr>
          <w:rFonts w:eastAsia="Calibri" w:cs="Sylfaen"/>
          <w:b w:val="0"/>
          <w:bCs/>
          <w:szCs w:val="22"/>
          <w:lang w:val="hy-AM" w:eastAsia="en-US"/>
        </w:rPr>
        <w:t>6%-ով,  ծառայությունները՝ 8</w:t>
      </w:r>
      <w:r w:rsidRPr="00D178DD">
        <w:rPr>
          <w:rFonts w:ascii="Cambria Math" w:eastAsia="Calibri" w:hAnsi="Cambria Math" w:cs="Cambria Math"/>
          <w:b w:val="0"/>
          <w:bCs/>
          <w:szCs w:val="22"/>
          <w:lang w:val="hy-AM" w:eastAsia="en-US"/>
        </w:rPr>
        <w:t>․</w:t>
      </w:r>
      <w:r w:rsidRPr="00D178DD">
        <w:rPr>
          <w:rFonts w:eastAsia="Calibri" w:cs="Sylfaen"/>
          <w:b w:val="0"/>
          <w:bCs/>
          <w:szCs w:val="22"/>
          <w:lang w:val="hy-AM" w:eastAsia="en-US"/>
        </w:rPr>
        <w:t>2%-ով, իսկ արդյունաբերությունը և գյուղատնտեսությունը՝ համապատասխանաբար  5</w:t>
      </w:r>
      <w:r w:rsidRPr="00D178DD">
        <w:rPr>
          <w:rFonts w:ascii="Cambria Math" w:eastAsia="Calibri" w:hAnsi="Cambria Math" w:cs="Cambria Math"/>
          <w:b w:val="0"/>
          <w:bCs/>
          <w:szCs w:val="22"/>
          <w:lang w:val="hy-AM" w:eastAsia="en-US"/>
        </w:rPr>
        <w:t>․</w:t>
      </w:r>
      <w:r w:rsidRPr="00D178DD">
        <w:rPr>
          <w:rFonts w:eastAsia="Calibri" w:cs="Sylfaen"/>
          <w:b w:val="0"/>
          <w:bCs/>
          <w:szCs w:val="22"/>
          <w:lang w:val="hy-AM" w:eastAsia="en-US"/>
        </w:rPr>
        <w:t xml:space="preserve">1%-ով և 3%-ով:  </w:t>
      </w:r>
    </w:p>
    <w:tbl>
      <w:tblPr>
        <w:tblStyle w:val="TableGrid8130"/>
        <w:tblW w:w="985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5001"/>
        <w:gridCol w:w="4971"/>
      </w:tblGrid>
      <w:tr w:rsidR="00D178DD" w:rsidRPr="005579BB" w:rsidTr="004B2286">
        <w:trPr>
          <w:trHeight w:val="3947"/>
        </w:trPr>
        <w:tc>
          <w:tcPr>
            <w:tcW w:w="4939" w:type="dxa"/>
          </w:tcPr>
          <w:p w:rsidR="00D178DD" w:rsidRPr="00D178DD" w:rsidRDefault="00D178DD" w:rsidP="00D178DD">
            <w:pPr>
              <w:spacing w:before="0" w:line="240" w:lineRule="auto"/>
              <w:ind w:firstLine="0"/>
              <w:rPr>
                <w:i/>
                <w:noProof/>
                <w:sz w:val="18"/>
                <w:szCs w:val="18"/>
                <w:lang w:val="hy-AM" w:eastAsia="en-US"/>
              </w:rPr>
            </w:pPr>
            <w:r w:rsidRPr="00D178DD">
              <w:rPr>
                <w:i/>
                <w:noProof/>
                <w:szCs w:val="22"/>
                <w:lang w:val="en-US" w:eastAsia="en-US"/>
              </w:rPr>
              <w:drawing>
                <wp:anchor distT="0" distB="0" distL="114300" distR="114300" simplePos="0" relativeHeight="251656192" behindDoc="0" locked="0" layoutInCell="1" allowOverlap="1" wp14:anchorId="3AC66BD6" wp14:editId="6923D3F2">
                  <wp:simplePos x="0" y="0"/>
                  <wp:positionH relativeFrom="column">
                    <wp:posOffset>-1270</wp:posOffset>
                  </wp:positionH>
                  <wp:positionV relativeFrom="paragraph">
                    <wp:posOffset>370205</wp:posOffset>
                  </wp:positionV>
                  <wp:extent cx="3112135" cy="1933575"/>
                  <wp:effectExtent l="0" t="0" r="12065" b="9525"/>
                  <wp:wrapSquare wrapText="bothSides"/>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V relativeFrom="margin">
                    <wp14:pctHeight>0</wp14:pctHeight>
                  </wp14:sizeRelV>
                </wp:anchor>
              </w:drawing>
            </w:r>
            <w:r w:rsidRPr="00D178DD">
              <w:rPr>
                <w:i/>
                <w:noProof/>
                <w:sz w:val="18"/>
                <w:szCs w:val="18"/>
                <w:lang w:val="hy-AM" w:eastAsia="en-US"/>
              </w:rPr>
              <w:t>Գծապատկեր 1.18. Ճյուղերի տեսակարար կշիռները ՀՆԱ-ի կազմում</w:t>
            </w:r>
          </w:p>
          <w:p w:rsidR="00D178DD" w:rsidRPr="00D178DD" w:rsidRDefault="00D178DD" w:rsidP="00D178DD">
            <w:pPr>
              <w:spacing w:before="40" w:line="276" w:lineRule="auto"/>
              <w:ind w:firstLine="0"/>
              <w:contextualSpacing w:val="0"/>
              <w:jc w:val="left"/>
              <w:rPr>
                <w:i/>
                <w:sz w:val="16"/>
                <w:szCs w:val="16"/>
                <w:lang w:val="hy-AM" w:eastAsia="en-US"/>
              </w:rPr>
            </w:pPr>
            <w:r w:rsidRPr="00D178DD">
              <w:rPr>
                <w:i/>
                <w:sz w:val="16"/>
                <w:szCs w:val="16"/>
                <w:lang w:val="hy-AM" w:eastAsia="en-US"/>
              </w:rPr>
              <w:t>Աղբյուրը՝ ՀՀ ՎԿ, ՀՀ ՖՆ հաշվարկներ և կանխատեսումներ</w:t>
            </w:r>
          </w:p>
        </w:tc>
        <w:tc>
          <w:tcPr>
            <w:tcW w:w="4911" w:type="dxa"/>
          </w:tcPr>
          <w:p w:rsidR="00D178DD" w:rsidRPr="00D178DD" w:rsidRDefault="00D178DD" w:rsidP="00D178DD">
            <w:pPr>
              <w:spacing w:before="0" w:line="240" w:lineRule="auto"/>
              <w:ind w:firstLine="0"/>
              <w:rPr>
                <w:i/>
                <w:noProof/>
                <w:sz w:val="18"/>
                <w:szCs w:val="18"/>
                <w:lang w:val="hy-AM" w:eastAsia="en-US"/>
              </w:rPr>
            </w:pPr>
            <w:r w:rsidRPr="00D178DD">
              <w:rPr>
                <w:i/>
                <w:noProof/>
                <w:sz w:val="18"/>
                <w:szCs w:val="18"/>
                <w:lang w:val="en-US" w:eastAsia="en-US"/>
              </w:rPr>
              <w:drawing>
                <wp:anchor distT="0" distB="0" distL="114300" distR="114300" simplePos="0" relativeHeight="251655168" behindDoc="0" locked="0" layoutInCell="1" allowOverlap="1" wp14:anchorId="1E86D7A3" wp14:editId="360B5132">
                  <wp:simplePos x="0" y="0"/>
                  <wp:positionH relativeFrom="column">
                    <wp:posOffset>33020</wp:posOffset>
                  </wp:positionH>
                  <wp:positionV relativeFrom="paragraph">
                    <wp:posOffset>379730</wp:posOffset>
                  </wp:positionV>
                  <wp:extent cx="3102610" cy="1924050"/>
                  <wp:effectExtent l="0" t="0" r="2540" b="0"/>
                  <wp:wrapSquare wrapText="bothSides"/>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V relativeFrom="margin">
                    <wp14:pctHeight>0</wp14:pctHeight>
                  </wp14:sizeRelV>
                </wp:anchor>
              </w:drawing>
            </w:r>
            <w:r w:rsidRPr="00D178DD">
              <w:rPr>
                <w:i/>
                <w:noProof/>
                <w:sz w:val="18"/>
                <w:szCs w:val="18"/>
                <w:lang w:val="hy-AM" w:eastAsia="en-US"/>
              </w:rPr>
              <w:t>Գծապատկեր 1.19. Ծախսային բաղադրիչների տեսա- կարար կշիռները ՀՆԱ-ի կազմում</w:t>
            </w:r>
          </w:p>
          <w:p w:rsidR="00D178DD" w:rsidRPr="00D178DD" w:rsidRDefault="00D178DD" w:rsidP="00D178DD">
            <w:pPr>
              <w:spacing w:before="40" w:line="276" w:lineRule="auto"/>
              <w:ind w:firstLine="0"/>
              <w:contextualSpacing w:val="0"/>
              <w:jc w:val="left"/>
              <w:rPr>
                <w:i/>
                <w:sz w:val="16"/>
                <w:szCs w:val="16"/>
                <w:lang w:val="hy-AM" w:eastAsia="en-US"/>
              </w:rPr>
            </w:pPr>
            <w:r w:rsidRPr="00D178DD">
              <w:rPr>
                <w:i/>
                <w:sz w:val="16"/>
                <w:szCs w:val="16"/>
                <w:lang w:val="hy-AM" w:eastAsia="en-US"/>
              </w:rPr>
              <w:t>Աղբյուրը՝ ՀՀ ՎԿ, ՀՀ ՖՆ հաշվարկներ և կանխատեսումներ</w:t>
            </w:r>
          </w:p>
        </w:tc>
      </w:tr>
    </w:tbl>
    <w:p w:rsidR="00D178DD" w:rsidRPr="00D178DD" w:rsidRDefault="00D178DD" w:rsidP="00D178DD">
      <w:pPr>
        <w:spacing w:after="60" w:line="276" w:lineRule="auto"/>
        <w:ind w:firstLine="562"/>
        <w:contextualSpacing w:val="0"/>
        <w:rPr>
          <w:rFonts w:eastAsia="Calibri" w:cs="Sylfaen"/>
          <w:b w:val="0"/>
          <w:bCs/>
          <w:szCs w:val="22"/>
          <w:lang w:val="hy-AM" w:eastAsia="en-US"/>
        </w:rPr>
      </w:pPr>
      <w:r w:rsidRPr="00D178DD">
        <w:rPr>
          <w:rFonts w:eastAsia="Calibri"/>
          <w:bCs/>
          <w:szCs w:val="22"/>
          <w:u w:val="single"/>
          <w:lang w:val="hy-AM" w:eastAsia="en-US"/>
        </w:rPr>
        <w:t>Համախառն պահանջարկ</w:t>
      </w:r>
      <w:r w:rsidRPr="00D178DD">
        <w:rPr>
          <w:rFonts w:eastAsia="Calibri" w:cs="Times Armenian"/>
          <w:szCs w:val="22"/>
          <w:u w:val="single"/>
          <w:lang w:val="hy-AM" w:eastAsia="en-US"/>
        </w:rPr>
        <w:t xml:space="preserve">ի </w:t>
      </w:r>
      <w:r w:rsidRPr="00D178DD">
        <w:rPr>
          <w:rFonts w:eastAsia="Calibri" w:cs="Sylfaen"/>
          <w:szCs w:val="22"/>
          <w:u w:val="single"/>
          <w:lang w:val="hy-AM" w:eastAsia="en-US"/>
        </w:rPr>
        <w:t>կանխատեսում.</w:t>
      </w:r>
      <w:r w:rsidRPr="00D178DD">
        <w:rPr>
          <w:rFonts w:eastAsia="Calibri" w:cs="Sylfaen"/>
          <w:szCs w:val="22"/>
          <w:lang w:val="hy-AM" w:eastAsia="en-US"/>
        </w:rPr>
        <w:t xml:space="preserve"> </w:t>
      </w:r>
      <w:r w:rsidRPr="00D178DD">
        <w:rPr>
          <w:rFonts w:eastAsia="Calibri" w:cs="Sylfaen"/>
          <w:b w:val="0"/>
          <w:bCs/>
          <w:szCs w:val="22"/>
          <w:lang w:val="hy-AM" w:eastAsia="en-US"/>
        </w:rPr>
        <w:t xml:space="preserve">Ընթացիկ զարգացումների պայմաններում 2022թ. վերջնական սպառումը իրական արտահայտությամբ կաճի 7.8%-ով, իսկ ներդրումները՝ 18.3%-ով։ Սպառման և ներդրումների աճին կնպաստեն տնօրինվող եկամտի աճը (այդ թվում՝ դրամական փոխանցումների բարձր աճը), դեռևս Համավարակի շրջանում մասնավոր հատվածում կուտակված նախազգուշական խնայողությունների օգտագործումը, օտարերկրացիների ներհոսքը, բնակարանային շինարարության շարունակվող աճը, ինչպես նաև ՀՀ կառավարության կողմից շարունակվող Համավարակի և </w:t>
      </w:r>
      <w:r w:rsidR="00822D2B" w:rsidRPr="00822D2B">
        <w:rPr>
          <w:rFonts w:eastAsia="Calibri" w:cs="Sylfaen"/>
          <w:b w:val="0"/>
          <w:bCs/>
          <w:szCs w:val="22"/>
          <w:lang w:val="hy-AM" w:eastAsia="en-US"/>
        </w:rPr>
        <w:t>Ղարաբաղ</w:t>
      </w:r>
      <w:r w:rsidRPr="00D178DD">
        <w:rPr>
          <w:rFonts w:eastAsia="Calibri" w:cs="Sylfaen"/>
          <w:b w:val="0"/>
          <w:bCs/>
          <w:szCs w:val="22"/>
          <w:lang w:val="hy-AM" w:eastAsia="en-US"/>
        </w:rPr>
        <w:t xml:space="preserve">յան պատերազմի հետևանքների մեղմանն ու ներդրումային միջավայրի բարելավմանն ուղղված քաղաքա-կանությունները։ </w:t>
      </w:r>
    </w:p>
    <w:p w:rsidR="00D178DD" w:rsidRPr="00D178DD" w:rsidRDefault="00D178DD" w:rsidP="00D178DD">
      <w:pPr>
        <w:spacing w:after="60" w:line="276" w:lineRule="auto"/>
        <w:ind w:firstLine="562"/>
        <w:contextualSpacing w:val="0"/>
        <w:rPr>
          <w:rFonts w:eastAsia="Calibri" w:cs="Sylfaen"/>
          <w:b w:val="0"/>
          <w:bCs/>
          <w:szCs w:val="22"/>
          <w:lang w:val="hy-AM" w:eastAsia="en-US"/>
        </w:rPr>
      </w:pPr>
      <w:bookmarkStart w:id="133" w:name="_Toc51360524"/>
      <w:r w:rsidRPr="00D178DD">
        <w:rPr>
          <w:rFonts w:eastAsia="Calibri" w:cs="Sylfaen"/>
          <w:b w:val="0"/>
          <w:bCs/>
          <w:szCs w:val="22"/>
          <w:lang w:val="hy-AM" w:eastAsia="en-US"/>
        </w:rPr>
        <w:t>2023թ. սպառումը կաճի 4%-ով, իսկ ներդրումները՝ 18.4%-ով: Ներդրումների աճը կպայմանավորվի ինչպես պետական (38.1% աճ), այնպես էլ ՀՀ կառավարության կողմից մասնավոր ներդրումների խթանման քաղաքականության իրականացման արդյունքում ներքին և օտարերկրյա միջոցներով ֆինանսավորվող մասնավոր ներդրումներով (12.7% աճ)։</w:t>
      </w:r>
    </w:p>
    <w:p w:rsidR="00D178DD" w:rsidRPr="00D178DD" w:rsidRDefault="00D178DD" w:rsidP="00D178DD">
      <w:pPr>
        <w:spacing w:before="40" w:after="60" w:line="276" w:lineRule="auto"/>
        <w:ind w:firstLine="562"/>
        <w:contextualSpacing w:val="0"/>
        <w:rPr>
          <w:rFonts w:eastAsia="Calibri" w:cs="Sylfaen"/>
          <w:b w:val="0"/>
          <w:bCs/>
          <w:szCs w:val="22"/>
          <w:lang w:val="hy-AM" w:eastAsia="en-US"/>
        </w:rPr>
      </w:pPr>
      <w:r w:rsidRPr="00D178DD">
        <w:rPr>
          <w:rFonts w:eastAsia="Calibri" w:cs="Sylfaen"/>
          <w:b w:val="0"/>
          <w:bCs/>
          <w:szCs w:val="22"/>
          <w:lang w:val="hy-AM" w:eastAsia="en-US"/>
        </w:rPr>
        <w:t>2022թ. արտահանումը և ներմուծումը կաճեն համապատասխանաբար 33.9%-ով և 21.4%-ով՝ պայմանավորված ներքին և արտաքին պահանջարկի (հատկապես՝ ծառայությունների արտահանման մասով), ինչպես նաև տնտեսական ակտիվության աճով։ ՀՀ և համաշխարհային տնտեսական աճերի, ՀՀ տնտեսության արտահանելի հատվածի զարգացումների, տնօրինվող եկամտի աճի, զբոսաշրջության վերականգման, ինչպես նաև արտահանմանը և ներդրումների խրախուսմանն ուղղված ՀՀ կառավարության քաղաքականության պայմաններում 2023թ. արտահանումն ու ներմուծումը կաճեն համապատասխանաբար` 9.3%-ով և 5.8%-ով:</w:t>
      </w:r>
    </w:p>
    <w:p w:rsidR="00D178DD" w:rsidRPr="00D178DD" w:rsidRDefault="00D178DD" w:rsidP="00D178DD">
      <w:pPr>
        <w:spacing w:before="0" w:after="120" w:line="240" w:lineRule="auto"/>
        <w:ind w:firstLine="0"/>
        <w:contextualSpacing w:val="0"/>
        <w:jc w:val="left"/>
        <w:rPr>
          <w:rFonts w:eastAsia="Calibri"/>
          <w:bCs/>
          <w:sz w:val="24"/>
          <w:lang w:val="hy-AM" w:eastAsia="en-US"/>
        </w:rPr>
      </w:pPr>
      <w:r w:rsidRPr="00D178DD">
        <w:rPr>
          <w:rFonts w:eastAsia="Calibri"/>
          <w:bCs/>
          <w:sz w:val="24"/>
          <w:lang w:val="hy-AM" w:eastAsia="en-US"/>
        </w:rPr>
        <w:t>1.3.2. Աշխատանքի շուկա</w:t>
      </w:r>
      <w:bookmarkEnd w:id="133"/>
    </w:p>
    <w:p w:rsidR="00D178DD" w:rsidRPr="00D178DD" w:rsidRDefault="00D178DD" w:rsidP="00D178DD">
      <w:pPr>
        <w:tabs>
          <w:tab w:val="num" w:pos="720"/>
          <w:tab w:val="left" w:pos="9450"/>
        </w:tabs>
        <w:spacing w:before="40" w:after="60" w:line="276" w:lineRule="auto"/>
        <w:ind w:firstLine="630"/>
        <w:contextualSpacing w:val="0"/>
        <w:rPr>
          <w:rFonts w:cs="Times Armenian"/>
          <w:bCs/>
          <w:szCs w:val="22"/>
          <w:lang w:val="hy-AM" w:eastAsia="en-US"/>
        </w:rPr>
      </w:pPr>
      <w:r w:rsidRPr="00D178DD">
        <w:rPr>
          <w:rFonts w:cs="Times Armenian"/>
          <w:bCs/>
          <w:szCs w:val="22"/>
          <w:lang w:val="hy-AM" w:eastAsia="en-US"/>
        </w:rPr>
        <w:t xml:space="preserve">Տնտեսության վերականգնման պայմաններում 2021թ. գործազրկության մակարդակը նվազել է, իսկ աշխատուժի մասնակցության մակարդակն աճել: Աճել է նաև միջին ամսական աշխատավարձը։ </w:t>
      </w:r>
      <w:r w:rsidRPr="00D178DD">
        <w:rPr>
          <w:rFonts w:cs="Times Armenian"/>
          <w:b w:val="0"/>
          <w:bCs/>
          <w:szCs w:val="22"/>
          <w:lang w:val="hy-AM" w:eastAsia="en-US"/>
        </w:rPr>
        <w:t>2021թ. գործազրկության մակարդակը 18.1%-ից նվազել է 15.3%-ի, իսկ աշխատուժի մասնակցության մակարդակը 58%-ից բարձրացել է 58.5%-ի:</w:t>
      </w:r>
      <w:r w:rsidRPr="00D178DD">
        <w:rPr>
          <w:rFonts w:cs="Times Armenian"/>
          <w:b w:val="0"/>
          <w:szCs w:val="22"/>
          <w:lang w:val="hy-AM" w:eastAsia="en-US"/>
        </w:rPr>
        <w:t xml:space="preserve"> Նույն ժամանակաշրջանում զբաղվածների թիվն աճել է 0.3%-ով, իսկ գործազուրկների թիվը՝ նվազել 17.5%-ով: Միջին ամսական աշխատավարձը 2022թ. աճել է 7.6%-ով, միաժամանակ իրական աշխատավարձը` 7.2% միջին գնաճի պայմաններում ավելացել է 0.4%-ով:</w:t>
      </w:r>
    </w:p>
    <w:p w:rsidR="00D178DD" w:rsidRPr="00D178DD" w:rsidRDefault="00D178DD" w:rsidP="00D178DD">
      <w:pPr>
        <w:tabs>
          <w:tab w:val="num" w:pos="720"/>
          <w:tab w:val="left" w:pos="9450"/>
        </w:tabs>
        <w:spacing w:before="40" w:after="60" w:line="276" w:lineRule="auto"/>
        <w:ind w:firstLine="630"/>
        <w:contextualSpacing w:val="0"/>
        <w:rPr>
          <w:rFonts w:eastAsiaTheme="majorEastAsia"/>
          <w:b w:val="0"/>
          <w:bCs/>
          <w:lang w:val="hy-AM"/>
        </w:rPr>
      </w:pPr>
      <w:r w:rsidRPr="00D178DD">
        <w:rPr>
          <w:rFonts w:cs="Times Armenian"/>
          <w:bCs/>
          <w:szCs w:val="22"/>
          <w:lang w:val="hy-AM" w:eastAsia="en-US"/>
        </w:rPr>
        <w:t xml:space="preserve">Բարձր տնտեսական աճի պայմաններում 2022թ. առաջին եռամսյակում գործազրկության մակարդակի նվազումը և աշխատուժի մասնակցության մակարդակի աճը շարունակվել է։ </w:t>
      </w:r>
      <w:r w:rsidRPr="00D178DD">
        <w:rPr>
          <w:rFonts w:cs="Times Armenian"/>
          <w:b w:val="0"/>
          <w:bCs/>
          <w:szCs w:val="22"/>
          <w:lang w:val="hy-AM" w:eastAsia="en-US"/>
        </w:rPr>
        <w:t>2022թ. առաջին եռամսյակում գործազրկության մակարդակը նվազել է՝ 16.7%-ից հասնելով 14.8%-ի, իսկ</w:t>
      </w:r>
      <w:r w:rsidRPr="00D178DD">
        <w:rPr>
          <w:rFonts w:cs="Times Armenian"/>
          <w:bCs/>
          <w:szCs w:val="22"/>
          <w:lang w:val="hy-AM" w:eastAsia="en-US"/>
        </w:rPr>
        <w:t xml:space="preserve"> </w:t>
      </w:r>
      <w:r w:rsidRPr="00D178DD">
        <w:rPr>
          <w:rFonts w:cs="Times Armenian"/>
          <w:b w:val="0"/>
          <w:bCs/>
          <w:szCs w:val="22"/>
          <w:lang w:val="hy-AM" w:eastAsia="en-US"/>
        </w:rPr>
        <w:t>աշխատուժի մասնակցության մակարդակն աճել՝ 56.2%-ից հասնելով 56.8%-ի:</w:t>
      </w:r>
      <w:r w:rsidRPr="00D178DD">
        <w:rPr>
          <w:rFonts w:cs="Times Armenian"/>
          <w:b w:val="0"/>
          <w:szCs w:val="22"/>
          <w:lang w:val="hy-AM" w:eastAsia="en-US"/>
        </w:rPr>
        <w:t xml:space="preserve"> Նույն ժամանակաշրջանում զբաղվածների թիվն աճել է 3.3%-ով՝ կազմելով 1070.5 հազ, մարդ, իսկ գործազուրկների թիվը նվազել է 10.2%-ով և կազմել՝ 186.4 հազ. մարդ: </w:t>
      </w:r>
      <w:r w:rsidRPr="00D178DD">
        <w:rPr>
          <w:rFonts w:eastAsiaTheme="majorEastAsia"/>
          <w:b w:val="0"/>
          <w:bCs/>
          <w:lang w:val="hy-AM"/>
        </w:rPr>
        <w:t>2022թ. հունվար-հուլիսին պաշտոնապես գրանցված գործազուրկների միջին ամսական թիվը նախորդ տարվա նույն եռամսյակի նկատմամբ նվազել է 10.8%-ով՝ կազմելով 55,432 մարդ: Նշենք, նաև, որ նշված ժամանակահատվածում 5.6%-ով աճել է վարձու աշխատողների թիվը, որին հիմնականում նպաստել են մեծածախ և մանրածախ առևտուր, տեղեկատվություն և կապ, ինչպես նաև կացություն և հանրային սննդի կազմակերպում ոլորտներում գրանցված աճերը։</w:t>
      </w:r>
    </w:p>
    <w:p w:rsidR="00D178DD" w:rsidRPr="00D178DD" w:rsidRDefault="00D178DD" w:rsidP="00D178DD">
      <w:pPr>
        <w:spacing w:after="120" w:line="276" w:lineRule="auto"/>
        <w:ind w:firstLine="562"/>
        <w:rPr>
          <w:rFonts w:eastAsiaTheme="majorEastAsia"/>
          <w:lang w:val="hy-AM"/>
        </w:rPr>
      </w:pPr>
      <w:r w:rsidRPr="00D178DD">
        <w:rPr>
          <w:rFonts w:eastAsiaTheme="majorEastAsia"/>
          <w:bCs/>
          <w:lang w:val="hy-AM"/>
        </w:rPr>
        <w:t>2022թ. տնտեսական աճի պայմաններում աշխատանքի շուկայում կդրսևորվեն դրական զարգացումներ։</w:t>
      </w:r>
      <w:r w:rsidRPr="00D178DD">
        <w:rPr>
          <w:rFonts w:eastAsiaTheme="majorEastAsia"/>
          <w:lang w:val="hy-AM"/>
        </w:rPr>
        <w:t xml:space="preserve"> </w:t>
      </w:r>
      <w:r w:rsidRPr="00D178DD">
        <w:rPr>
          <w:rFonts w:eastAsiaTheme="majorEastAsia"/>
          <w:b w:val="0"/>
          <w:lang w:val="hy-AM"/>
        </w:rPr>
        <w:t xml:space="preserve">Այս պայմաններում ակնկալվում է զբաղվածության շարունակական աճ և գործազրկության նվազում։  </w:t>
      </w: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5063"/>
        <w:gridCol w:w="4961"/>
      </w:tblGrid>
      <w:tr w:rsidR="00D178DD" w:rsidRPr="00D178DD" w:rsidTr="004B2286">
        <w:trPr>
          <w:trHeight w:val="3144"/>
        </w:trPr>
        <w:tc>
          <w:tcPr>
            <w:tcW w:w="5063" w:type="dxa"/>
          </w:tcPr>
          <w:p w:rsidR="00D178DD" w:rsidRPr="00D178DD" w:rsidRDefault="00D178DD" w:rsidP="00D178DD">
            <w:pPr>
              <w:spacing w:before="40" w:after="60" w:line="240" w:lineRule="auto"/>
              <w:ind w:left="158" w:firstLine="0"/>
              <w:contextualSpacing w:val="0"/>
              <w:rPr>
                <w:rFonts w:cs="Times Armenian"/>
                <w:bCs/>
                <w:i/>
                <w:sz w:val="18"/>
                <w:szCs w:val="18"/>
                <w:lang w:val="hy-AM" w:eastAsia="en-US"/>
              </w:rPr>
            </w:pPr>
            <w:r w:rsidRPr="00D178DD">
              <w:rPr>
                <w:rFonts w:cs="Times Armenian"/>
                <w:bCs/>
                <w:i/>
                <w:sz w:val="18"/>
                <w:szCs w:val="18"/>
                <w:lang w:val="hy-AM" w:eastAsia="en-US"/>
              </w:rPr>
              <w:t>Գծապատկեր 1.</w:t>
            </w:r>
            <w:r w:rsidRPr="00D178DD">
              <w:rPr>
                <w:rFonts w:cs="Times Armenian"/>
                <w:bCs/>
                <w:i/>
                <w:sz w:val="18"/>
                <w:szCs w:val="18"/>
                <w:lang w:val="en-US" w:eastAsia="en-US"/>
              </w:rPr>
              <w:t>20.</w:t>
            </w:r>
            <w:r w:rsidRPr="00D178DD">
              <w:rPr>
                <w:rFonts w:cs="Times Armenian"/>
                <w:bCs/>
                <w:i/>
                <w:sz w:val="18"/>
                <w:szCs w:val="18"/>
                <w:lang w:val="hy-AM" w:eastAsia="en-US"/>
              </w:rPr>
              <w:t xml:space="preserve"> Գործազրկություն և զբաղվածություն </w:t>
            </w:r>
          </w:p>
          <w:p w:rsidR="00D178DD" w:rsidRPr="00D178DD" w:rsidRDefault="00D178DD" w:rsidP="00D178DD">
            <w:pPr>
              <w:spacing w:before="40" w:after="60" w:line="240" w:lineRule="auto"/>
              <w:ind w:firstLine="0"/>
              <w:contextualSpacing w:val="0"/>
              <w:jc w:val="left"/>
              <w:rPr>
                <w:rFonts w:cs="Times Armenian"/>
                <w:b w:val="0"/>
                <w:bCs/>
                <w:szCs w:val="22"/>
                <w:lang w:val="en-US" w:eastAsia="en-US"/>
              </w:rPr>
            </w:pPr>
            <w:r w:rsidRPr="00D178DD">
              <w:rPr>
                <w:rFonts w:cs="Times Armenian"/>
                <w:b w:val="0"/>
                <w:bCs/>
                <w:noProof/>
                <w:szCs w:val="22"/>
                <w:lang w:val="en-US" w:eastAsia="en-US"/>
              </w:rPr>
              <w:drawing>
                <wp:inline distT="0" distB="0" distL="0" distR="0" wp14:anchorId="6B36C1DB" wp14:editId="2EB7CE78">
                  <wp:extent cx="2962275" cy="2105025"/>
                  <wp:effectExtent l="0" t="0" r="9525" b="9525"/>
                  <wp:docPr id="8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178DD" w:rsidRPr="00D178DD" w:rsidRDefault="00D178DD" w:rsidP="00D178DD">
            <w:pPr>
              <w:spacing w:before="40" w:after="60" w:line="240" w:lineRule="auto"/>
              <w:ind w:left="155" w:firstLine="0"/>
              <w:contextualSpacing w:val="0"/>
              <w:jc w:val="left"/>
              <w:rPr>
                <w:rFonts w:cs="Times Armenian"/>
                <w:bCs/>
                <w:i/>
                <w:sz w:val="16"/>
                <w:szCs w:val="16"/>
                <w:lang w:val="hy-AM" w:eastAsia="en-US"/>
              </w:rPr>
            </w:pPr>
            <w:r w:rsidRPr="00D178DD">
              <w:rPr>
                <w:rFonts w:cs="Times Armenian"/>
                <w:b w:val="0"/>
                <w:i/>
                <w:sz w:val="16"/>
                <w:szCs w:val="16"/>
                <w:lang w:val="en-US" w:eastAsia="en-US"/>
              </w:rPr>
              <w:t>Աղբյուրը՝ ՀՀ ՎԿ</w:t>
            </w:r>
          </w:p>
        </w:tc>
        <w:tc>
          <w:tcPr>
            <w:tcW w:w="4961" w:type="dxa"/>
          </w:tcPr>
          <w:p w:rsidR="00D178DD" w:rsidRPr="00D178DD" w:rsidRDefault="00D178DD" w:rsidP="00D178DD">
            <w:pPr>
              <w:spacing w:before="40" w:line="240" w:lineRule="auto"/>
              <w:ind w:left="173" w:firstLine="0"/>
              <w:contextualSpacing w:val="0"/>
              <w:jc w:val="left"/>
              <w:rPr>
                <w:rFonts w:cs="Times Armenian"/>
                <w:noProof/>
                <w:sz w:val="18"/>
                <w:szCs w:val="18"/>
                <w:lang w:val="hy-AM" w:eastAsia="en-US"/>
              </w:rPr>
            </w:pPr>
            <w:r w:rsidRPr="00D178DD">
              <w:rPr>
                <w:rFonts w:cs="Times Armenian"/>
                <w:b w:val="0"/>
                <w:noProof/>
                <w:szCs w:val="22"/>
                <w:lang w:val="en-US" w:eastAsia="en-US"/>
              </w:rPr>
              <w:drawing>
                <wp:anchor distT="0" distB="0" distL="114300" distR="114300" simplePos="0" relativeHeight="251675648" behindDoc="1" locked="0" layoutInCell="1" allowOverlap="1" wp14:anchorId="5C789840" wp14:editId="1975B41B">
                  <wp:simplePos x="0" y="0"/>
                  <wp:positionH relativeFrom="column">
                    <wp:posOffset>-6985</wp:posOffset>
                  </wp:positionH>
                  <wp:positionV relativeFrom="paragraph">
                    <wp:posOffset>372110</wp:posOffset>
                  </wp:positionV>
                  <wp:extent cx="2987040" cy="2105025"/>
                  <wp:effectExtent l="0" t="0" r="3810" b="9525"/>
                  <wp:wrapTight wrapText="bothSides">
                    <wp:wrapPolygon edited="0">
                      <wp:start x="0" y="0"/>
                      <wp:lineTo x="0" y="21502"/>
                      <wp:lineTo x="21490" y="21502"/>
                      <wp:lineTo x="21490" y="0"/>
                      <wp:lineTo x="0" y="0"/>
                    </wp:wrapPolygon>
                  </wp:wrapTight>
                  <wp:docPr id="157"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V relativeFrom="margin">
                    <wp14:pctHeight>0</wp14:pctHeight>
                  </wp14:sizeRelV>
                </wp:anchor>
              </w:drawing>
            </w:r>
            <w:r w:rsidRPr="00D178DD">
              <w:rPr>
                <w:rFonts w:cs="Times Armenian"/>
                <w:bCs/>
                <w:i/>
                <w:iCs/>
                <w:sz w:val="18"/>
                <w:szCs w:val="18"/>
                <w:lang w:val="hy-AM" w:eastAsia="en-US"/>
              </w:rPr>
              <w:t>Գծապատկեր 1.21. Միջին ամսական անվանական աշխատավարձի կուտակային աճ</w:t>
            </w:r>
            <w:r w:rsidRPr="00D178DD">
              <w:rPr>
                <w:rFonts w:cs="Times Armenian"/>
                <w:noProof/>
                <w:sz w:val="18"/>
                <w:szCs w:val="18"/>
                <w:lang w:val="hy-AM" w:eastAsia="en-US"/>
              </w:rPr>
              <w:t xml:space="preserve">, 2022թ., % </w:t>
            </w:r>
          </w:p>
          <w:p w:rsidR="00D178DD" w:rsidRPr="00D178DD" w:rsidRDefault="00D178DD" w:rsidP="00D178DD">
            <w:pPr>
              <w:spacing w:before="0" w:after="60" w:line="240" w:lineRule="auto"/>
              <w:ind w:left="173" w:firstLine="0"/>
              <w:contextualSpacing w:val="0"/>
              <w:jc w:val="left"/>
              <w:rPr>
                <w:rFonts w:cs="Times Armenian"/>
                <w:bCs/>
                <w:i/>
                <w:sz w:val="16"/>
                <w:szCs w:val="16"/>
                <w:lang w:val="hy-AM" w:eastAsia="en-US"/>
              </w:rPr>
            </w:pPr>
            <w:r w:rsidRPr="00D178DD">
              <w:rPr>
                <w:rFonts w:cs="Times Armenian"/>
                <w:b w:val="0"/>
                <w:i/>
                <w:sz w:val="16"/>
                <w:szCs w:val="16"/>
                <w:lang w:val="hy-AM" w:eastAsia="en-US"/>
              </w:rPr>
              <w:t>Աղբյուրը՝ ՀՀ ՎԿ</w:t>
            </w:r>
          </w:p>
        </w:tc>
      </w:tr>
    </w:tbl>
    <w:p w:rsidR="00D178DD" w:rsidRPr="00D178DD" w:rsidRDefault="00D178DD" w:rsidP="00D178DD">
      <w:pPr>
        <w:spacing w:after="60" w:line="276" w:lineRule="auto"/>
        <w:ind w:firstLine="634"/>
        <w:contextualSpacing w:val="0"/>
        <w:rPr>
          <w:rFonts w:cs="Times Armenian"/>
          <w:szCs w:val="22"/>
          <w:lang w:val="hy-AM" w:eastAsia="en-US"/>
        </w:rPr>
      </w:pPr>
      <w:r w:rsidRPr="00D178DD">
        <w:rPr>
          <w:rFonts w:cs="Times Armenian"/>
          <w:szCs w:val="22"/>
          <w:lang w:val="hy-AM" w:eastAsia="en-US"/>
        </w:rPr>
        <w:t>2022թ. տարեսկզբից</w:t>
      </w:r>
      <w:r w:rsidRPr="00D178DD">
        <w:rPr>
          <w:rFonts w:cs="Times Armenian"/>
          <w:szCs w:val="22"/>
          <w:lang w:eastAsia="en-US"/>
        </w:rPr>
        <w:t xml:space="preserve"> </w:t>
      </w:r>
      <w:r w:rsidRPr="00D178DD">
        <w:rPr>
          <w:rFonts w:cs="Times Armenian"/>
          <w:szCs w:val="22"/>
          <w:lang w:val="en-US" w:eastAsia="en-US"/>
        </w:rPr>
        <w:t>տնտես</w:t>
      </w:r>
      <w:r w:rsidRPr="00D178DD">
        <w:rPr>
          <w:rFonts w:cs="Times Armenian"/>
          <w:szCs w:val="22"/>
          <w:lang w:val="hy-AM" w:eastAsia="en-US"/>
        </w:rPr>
        <w:t>ակ</w:t>
      </w:r>
      <w:r w:rsidRPr="00D178DD">
        <w:rPr>
          <w:rFonts w:cs="Times Armenian"/>
          <w:szCs w:val="22"/>
          <w:lang w:val="en-US" w:eastAsia="en-US"/>
        </w:rPr>
        <w:t>ան</w:t>
      </w:r>
      <w:r w:rsidRPr="00D178DD">
        <w:rPr>
          <w:rFonts w:cs="Times Armenian"/>
          <w:szCs w:val="22"/>
          <w:lang w:eastAsia="en-US"/>
        </w:rPr>
        <w:t xml:space="preserve"> </w:t>
      </w:r>
      <w:r w:rsidRPr="00D178DD">
        <w:rPr>
          <w:rFonts w:cs="Times Armenian"/>
          <w:szCs w:val="22"/>
          <w:lang w:val="hy-AM" w:eastAsia="en-US"/>
        </w:rPr>
        <w:t xml:space="preserve">աճի </w:t>
      </w:r>
      <w:r w:rsidRPr="00D178DD">
        <w:rPr>
          <w:rFonts w:cs="Times Armenian"/>
          <w:szCs w:val="22"/>
          <w:lang w:val="en-US" w:eastAsia="en-US"/>
        </w:rPr>
        <w:t>պայմաններում</w:t>
      </w:r>
      <w:r w:rsidRPr="00D178DD">
        <w:rPr>
          <w:rFonts w:cs="Times Armenian"/>
          <w:szCs w:val="22"/>
          <w:lang w:eastAsia="en-US"/>
        </w:rPr>
        <w:t xml:space="preserve"> </w:t>
      </w:r>
      <w:r w:rsidRPr="00D178DD">
        <w:rPr>
          <w:rFonts w:cs="Times Armenian"/>
          <w:szCs w:val="22"/>
          <w:lang w:val="hy-AM" w:eastAsia="en-US"/>
        </w:rPr>
        <w:t xml:space="preserve">միջին ամսական անվանական աշխատավարձի աճի տեմպը (հիմնականում մասնավոր հատվածում) սկսեց </w:t>
      </w:r>
      <w:r w:rsidRPr="00D178DD">
        <w:rPr>
          <w:rFonts w:cs="Times Armenian"/>
          <w:szCs w:val="22"/>
          <w:lang w:val="en-US" w:eastAsia="en-US"/>
        </w:rPr>
        <w:t>արագանալ</w:t>
      </w:r>
      <w:r w:rsidRPr="00D178DD">
        <w:rPr>
          <w:rFonts w:cs="Times Armenian"/>
          <w:szCs w:val="22"/>
          <w:lang w:val="hy-AM" w:eastAsia="en-US"/>
        </w:rPr>
        <w:t xml:space="preserve">: </w:t>
      </w:r>
      <w:r w:rsidRPr="00D178DD">
        <w:rPr>
          <w:rFonts w:cs="Times Armenian"/>
          <w:b w:val="0"/>
          <w:szCs w:val="22"/>
          <w:lang w:val="hy-AM" w:eastAsia="en-US"/>
        </w:rPr>
        <w:t xml:space="preserve">2022թ. հունվար-հուլիսին միջին ամսական անվանական աշխատավարձն աճել է 12%-ով՝ կազմելով 221,683 դրամ, </w:t>
      </w:r>
      <w:r w:rsidRPr="00D178DD">
        <w:rPr>
          <w:rFonts w:cs="Times Armenian"/>
          <w:b w:val="0"/>
          <w:szCs w:val="22"/>
          <w:lang w:val="en-US" w:eastAsia="en-US"/>
        </w:rPr>
        <w:t>ինչը</w:t>
      </w:r>
      <w:r w:rsidRPr="00D178DD">
        <w:rPr>
          <w:rFonts w:cs="Times Armenian"/>
          <w:b w:val="0"/>
          <w:szCs w:val="22"/>
          <w:lang w:val="hy-AM" w:eastAsia="en-US"/>
        </w:rPr>
        <w:t xml:space="preserve"> հիմնականում պայմանավորված է եղել տեղեկատվություն և կապ, ֆինանսական և ապահովագրական գործունեություն, ինչպես նաև մեծածախ և մանրածախ առևտուր ճյուղերում գրանցված աշխատավարձերի աճով: Միաժամանակ, ՍԳԻ 8.3% աճի պա</w:t>
      </w:r>
      <w:r w:rsidRPr="00D178DD">
        <w:rPr>
          <w:rFonts w:cs="Times Armenian"/>
          <w:b w:val="0"/>
          <w:szCs w:val="22"/>
          <w:lang w:val="en-US" w:eastAsia="en-US"/>
        </w:rPr>
        <w:t>յմաններում</w:t>
      </w:r>
      <w:r w:rsidRPr="00D178DD">
        <w:rPr>
          <w:rFonts w:cs="Times Armenian"/>
          <w:b w:val="0"/>
          <w:szCs w:val="22"/>
          <w:lang w:val="hy-AM" w:eastAsia="en-US"/>
        </w:rPr>
        <w:t xml:space="preserve"> իրական աշխատավարձ</w:t>
      </w:r>
      <w:r w:rsidRPr="00D178DD">
        <w:rPr>
          <w:rFonts w:cs="Times Armenian"/>
          <w:b w:val="0"/>
          <w:szCs w:val="22"/>
          <w:lang w:val="en-US" w:eastAsia="en-US"/>
        </w:rPr>
        <w:t>ն</w:t>
      </w:r>
      <w:r w:rsidRPr="00D178DD">
        <w:rPr>
          <w:rFonts w:cs="Times Armenian"/>
          <w:b w:val="0"/>
          <w:szCs w:val="22"/>
          <w:lang w:val="hy-AM" w:eastAsia="en-US"/>
        </w:rPr>
        <w:t xml:space="preserve"> աճել է շուրջ 3.5%-ով: Պետական հատվածում միջին ամսական անվանական աշխատավարձն աճել է 4.3%-ով՝ կազմելով  179,175 դրամ, իսկ մասնավոր հատվածում՝ 14.3%-ով՝ կազմելով 240,502 դրամ:</w:t>
      </w:r>
    </w:p>
    <w:p w:rsidR="00D178DD" w:rsidRPr="00D178DD" w:rsidRDefault="00D178DD" w:rsidP="00D178DD">
      <w:pPr>
        <w:rPr>
          <w:lang w:val="hy-AM" w:eastAsia="en-US"/>
        </w:rPr>
      </w:pPr>
    </w:p>
    <w:p w:rsidR="00D178DD" w:rsidRPr="00D178DD" w:rsidRDefault="00D178DD" w:rsidP="00D178DD">
      <w:pPr>
        <w:spacing w:before="0" w:after="120" w:line="240" w:lineRule="auto"/>
        <w:ind w:firstLine="0"/>
        <w:contextualSpacing w:val="0"/>
        <w:jc w:val="left"/>
        <w:rPr>
          <w:rFonts w:eastAsia="Calibri"/>
          <w:bCs/>
          <w:sz w:val="24"/>
          <w:lang w:val="hy-AM" w:eastAsia="en-US"/>
        </w:rPr>
      </w:pPr>
      <w:r w:rsidRPr="00D178DD">
        <w:rPr>
          <w:rFonts w:eastAsia="Calibri"/>
          <w:bCs/>
          <w:sz w:val="24"/>
          <w:lang w:val="hy-AM" w:eastAsia="en-US"/>
        </w:rPr>
        <w:t xml:space="preserve">1.3.3. ՀՀ վճարային հաշվեկշիռ, արտահանում և ներմուծում </w:t>
      </w:r>
    </w:p>
    <w:p w:rsidR="00D178DD" w:rsidRPr="00D178DD" w:rsidRDefault="00D178DD" w:rsidP="00D178DD">
      <w:pPr>
        <w:spacing w:before="0" w:after="120" w:line="276" w:lineRule="auto"/>
        <w:ind w:left="5" w:firstLine="1"/>
        <w:contextualSpacing w:val="0"/>
        <w:rPr>
          <w:rFonts w:eastAsia="Calibri" w:cs="Sylfaen"/>
          <w:b w:val="0"/>
          <w:szCs w:val="22"/>
          <w:lang w:val="hy-AM" w:eastAsia="en-US"/>
        </w:rPr>
      </w:pPr>
      <w:r w:rsidRPr="00D178DD">
        <w:rPr>
          <w:rFonts w:cs="Times Armenian"/>
          <w:szCs w:val="22"/>
          <w:lang w:val="hy-AM" w:eastAsia="en-US"/>
        </w:rPr>
        <w:t xml:space="preserve">          202</w:t>
      </w:r>
      <w:r w:rsidRPr="00D178DD">
        <w:rPr>
          <w:rFonts w:cs="Sylfaen"/>
          <w:lang w:val="hy-AM"/>
        </w:rPr>
        <w:t>1թ</w:t>
      </w:r>
      <w:r w:rsidRPr="00D178DD">
        <w:rPr>
          <w:rFonts w:ascii="Cambria Math" w:eastAsia="Calibri" w:hAnsi="Cambria Math" w:cs="Cambria Math"/>
          <w:szCs w:val="22"/>
          <w:lang w:val="hy-AM" w:eastAsia="en-US"/>
        </w:rPr>
        <w:t>․</w:t>
      </w:r>
      <w:r w:rsidRPr="00D178DD">
        <w:rPr>
          <w:rFonts w:eastAsia="Calibri" w:cs="Sylfaen"/>
          <w:szCs w:val="22"/>
          <w:lang w:val="hy-AM" w:eastAsia="en-US"/>
        </w:rPr>
        <w:t xml:space="preserve"> ընթացիկ հաշվի պակասուրդը նախորդ տարվա համեմատ վատթարացել է՝ կազմելով ՀՆԱ-ի 3.7%-ը: </w:t>
      </w:r>
      <w:r w:rsidRPr="00D178DD">
        <w:rPr>
          <w:rFonts w:eastAsia="Calibri" w:cs="Sylfaen"/>
          <w:b w:val="0"/>
          <w:szCs w:val="22"/>
          <w:lang w:val="hy-AM" w:eastAsia="en-US"/>
        </w:rPr>
        <w:t>Ընթացիկ հաշվի վատթարացումը հիմնականում պայմանավորված է եղել ներքին պահանջարկի վերականգման հետևանքով ապրանքների ներմուծման ծավալների աճով և սկզբնական եկամուտների կրճատմամբ:</w:t>
      </w:r>
    </w:p>
    <w:p w:rsidR="00D178DD" w:rsidRPr="00D178DD" w:rsidRDefault="00D178DD" w:rsidP="00D178DD">
      <w:pPr>
        <w:spacing w:before="0" w:after="120" w:line="276" w:lineRule="auto"/>
        <w:ind w:left="8" w:firstLine="1"/>
        <w:contextualSpacing w:val="0"/>
        <w:rPr>
          <w:rFonts w:eastAsia="Calibri" w:cs="Sylfaen"/>
          <w:b w:val="0"/>
          <w:szCs w:val="22"/>
          <w:lang w:val="hy-AM" w:eastAsia="en-US"/>
        </w:rPr>
      </w:pPr>
      <w:r w:rsidRPr="00D178DD">
        <w:rPr>
          <w:rFonts w:cs="Sylfaen"/>
          <w:sz w:val="24"/>
          <w:lang w:val="hy-AM"/>
        </w:rPr>
        <w:t xml:space="preserve">         </w:t>
      </w:r>
      <w:r w:rsidRPr="00D178DD">
        <w:rPr>
          <w:rFonts w:cs="Sylfaen"/>
          <w:szCs w:val="22"/>
          <w:lang w:val="it-IT"/>
        </w:rPr>
        <w:t>2022</w:t>
      </w:r>
      <w:r w:rsidRPr="00D178DD">
        <w:rPr>
          <w:rFonts w:cs="Sylfaen"/>
          <w:szCs w:val="22"/>
          <w:lang w:val="hy-AM"/>
        </w:rPr>
        <w:t>թ</w:t>
      </w:r>
      <w:r w:rsidRPr="00D178DD">
        <w:rPr>
          <w:rFonts w:cs="Sylfaen"/>
          <w:szCs w:val="22"/>
          <w:lang w:val="it-IT"/>
        </w:rPr>
        <w:t>.</w:t>
      </w:r>
      <w:r w:rsidRPr="00D178DD">
        <w:rPr>
          <w:rFonts w:cs="Sylfaen"/>
          <w:szCs w:val="22"/>
          <w:lang w:val="hy-AM"/>
        </w:rPr>
        <w:t xml:space="preserve"> ութ ամիսներին ապրանքների</w:t>
      </w:r>
      <w:r w:rsidRPr="00D178DD">
        <w:rPr>
          <w:rFonts w:cs="Sylfaen"/>
          <w:szCs w:val="22"/>
          <w:lang w:val="it-IT"/>
        </w:rPr>
        <w:t xml:space="preserve"> </w:t>
      </w:r>
      <w:r w:rsidRPr="00D178DD">
        <w:rPr>
          <w:rFonts w:cs="Sylfaen"/>
          <w:szCs w:val="22"/>
          <w:lang w:val="hy-AM"/>
        </w:rPr>
        <w:t>արտահանման նկատմամբ ներմուծման առաջանցիկ աճի արդյունքում առևտրային հաշվեկշիռը</w:t>
      </w:r>
      <w:r w:rsidRPr="00D178DD">
        <w:rPr>
          <w:rFonts w:cs="Sylfaen"/>
          <w:szCs w:val="22"/>
          <w:lang w:val="it-IT"/>
        </w:rPr>
        <w:t xml:space="preserve"> </w:t>
      </w:r>
      <w:r w:rsidRPr="00D178DD">
        <w:rPr>
          <w:rFonts w:cs="Sylfaen"/>
          <w:szCs w:val="22"/>
          <w:lang w:val="hy-AM"/>
        </w:rPr>
        <w:t>վատթարացել</w:t>
      </w:r>
      <w:r w:rsidRPr="00D178DD">
        <w:rPr>
          <w:rFonts w:cs="Sylfaen"/>
          <w:szCs w:val="22"/>
          <w:lang w:val="it-IT"/>
        </w:rPr>
        <w:t xml:space="preserve"> </w:t>
      </w:r>
      <w:r w:rsidRPr="00D178DD">
        <w:rPr>
          <w:rFonts w:cs="Sylfaen"/>
          <w:szCs w:val="22"/>
          <w:lang w:val="hy-AM"/>
        </w:rPr>
        <w:t>է</w:t>
      </w:r>
      <w:r w:rsidRPr="00D178DD">
        <w:rPr>
          <w:rFonts w:cs="Sylfaen"/>
          <w:szCs w:val="22"/>
          <w:lang w:val="it-IT"/>
        </w:rPr>
        <w:t>,</w:t>
      </w:r>
      <w:r w:rsidRPr="00D178DD">
        <w:rPr>
          <w:rFonts w:cs="Sylfaen"/>
          <w:szCs w:val="22"/>
          <w:lang w:val="hy-AM"/>
        </w:rPr>
        <w:t>ծառայությունների</w:t>
      </w:r>
      <w:r w:rsidRPr="00D178DD">
        <w:rPr>
          <w:rFonts w:cs="Sylfaen"/>
          <w:szCs w:val="22"/>
          <w:lang w:val="it-IT"/>
        </w:rPr>
        <w:t xml:space="preserve"> </w:t>
      </w:r>
      <w:r w:rsidRPr="00D178DD">
        <w:rPr>
          <w:rFonts w:cs="Sylfaen"/>
          <w:szCs w:val="22"/>
          <w:lang w:val="hy-AM"/>
        </w:rPr>
        <w:t>հաշվեկշիռը բարելավվել է և էապես մեծացել է դրամական փոխանցումների ներհոսքը</w:t>
      </w:r>
      <w:r w:rsidRPr="00D178DD">
        <w:rPr>
          <w:rFonts w:cs="Sylfaen"/>
          <w:b w:val="0"/>
          <w:szCs w:val="22"/>
          <w:lang w:val="hy-AM"/>
        </w:rPr>
        <w:t>: Ծառայությունների հաշվեկշռի բարելավումը պայմանավորվել է համավարակի</w:t>
      </w:r>
      <w:r w:rsidRPr="00D178DD">
        <w:rPr>
          <w:rFonts w:cs="Sylfaen"/>
          <w:b w:val="0"/>
          <w:szCs w:val="22"/>
          <w:lang w:val="it-IT"/>
        </w:rPr>
        <w:t xml:space="preserve"> </w:t>
      </w:r>
      <w:r w:rsidRPr="00D178DD">
        <w:rPr>
          <w:rFonts w:cs="Sylfaen"/>
          <w:b w:val="0"/>
          <w:szCs w:val="22"/>
          <w:lang w:val="hy-AM"/>
        </w:rPr>
        <w:t>դեմ</w:t>
      </w:r>
      <w:r w:rsidRPr="00D178DD">
        <w:rPr>
          <w:rFonts w:cs="Sylfaen"/>
          <w:b w:val="0"/>
          <w:szCs w:val="22"/>
          <w:lang w:val="it-IT"/>
        </w:rPr>
        <w:t xml:space="preserve"> </w:t>
      </w:r>
      <w:r w:rsidRPr="00D178DD">
        <w:rPr>
          <w:rFonts w:cs="Sylfaen"/>
          <w:b w:val="0"/>
          <w:szCs w:val="22"/>
          <w:lang w:val="hy-AM"/>
        </w:rPr>
        <w:t>պայքարի</w:t>
      </w:r>
      <w:r w:rsidRPr="00D178DD">
        <w:rPr>
          <w:rFonts w:cs="Sylfaen"/>
          <w:b w:val="0"/>
          <w:szCs w:val="22"/>
          <w:lang w:val="it-IT"/>
        </w:rPr>
        <w:t xml:space="preserve"> </w:t>
      </w:r>
      <w:r w:rsidRPr="00D178DD">
        <w:rPr>
          <w:rFonts w:cs="Sylfaen"/>
          <w:b w:val="0"/>
          <w:szCs w:val="22"/>
          <w:lang w:val="hy-AM"/>
        </w:rPr>
        <w:t>սահմանափակումների վերացման և ռուս-ուկրաինական հակամարտության հետևանքով ՀՀ այցելած զբոսաշրջիկների 2.4 անգամ աճով: Բացի այդ,</w:t>
      </w:r>
      <w:r w:rsidRPr="00D178DD">
        <w:rPr>
          <w:rFonts w:cs="Sylfaen"/>
          <w:b w:val="0"/>
          <w:szCs w:val="22"/>
          <w:lang w:val="it-IT"/>
        </w:rPr>
        <w:t xml:space="preserve"> </w:t>
      </w:r>
      <w:r w:rsidRPr="00D178DD">
        <w:rPr>
          <w:rFonts w:cs="Sylfaen"/>
          <w:b w:val="0"/>
          <w:szCs w:val="22"/>
          <w:lang w:val="hy-AM"/>
        </w:rPr>
        <w:t>ՀՀ բանկերի միջոցով ֆիզիկական անձանց անունով արտերկրից ստացված առևտրային և ոչ առևտրային բնույթի դրամական փոխանցումներն բարձր տեմպերով աճել</w:t>
      </w:r>
      <w:r w:rsidRPr="00D178DD">
        <w:rPr>
          <w:rFonts w:cs="Sylfaen"/>
          <w:b w:val="0"/>
          <w:szCs w:val="22"/>
          <w:lang w:val="it-IT"/>
        </w:rPr>
        <w:t xml:space="preserve"> </w:t>
      </w:r>
      <w:r w:rsidRPr="00D178DD">
        <w:rPr>
          <w:rFonts w:cs="Sylfaen"/>
          <w:b w:val="0"/>
          <w:szCs w:val="22"/>
          <w:lang w:val="hy-AM"/>
        </w:rPr>
        <w:t>են</w:t>
      </w:r>
      <w:r w:rsidRPr="00D178DD">
        <w:rPr>
          <w:rFonts w:cs="Sylfaen"/>
          <w:b w:val="0"/>
          <w:szCs w:val="22"/>
          <w:lang w:val="it-IT"/>
        </w:rPr>
        <w:t xml:space="preserve">, </w:t>
      </w:r>
      <w:r w:rsidRPr="00D178DD">
        <w:rPr>
          <w:rFonts w:cs="Sylfaen"/>
          <w:b w:val="0"/>
          <w:szCs w:val="22"/>
          <w:lang w:val="hy-AM"/>
        </w:rPr>
        <w:t>սակայն</w:t>
      </w:r>
      <w:r w:rsidRPr="00D178DD">
        <w:rPr>
          <w:rFonts w:cs="Sylfaen"/>
          <w:b w:val="0"/>
          <w:szCs w:val="22"/>
          <w:lang w:val="it-IT"/>
        </w:rPr>
        <w:t xml:space="preserve"> </w:t>
      </w:r>
      <w:r w:rsidRPr="00D178DD">
        <w:rPr>
          <w:rFonts w:cs="Sylfaen"/>
          <w:b w:val="0"/>
          <w:szCs w:val="22"/>
          <w:lang w:val="hy-AM"/>
        </w:rPr>
        <w:t>գնահատվում</w:t>
      </w:r>
      <w:r w:rsidRPr="00D178DD">
        <w:rPr>
          <w:rFonts w:cs="Sylfaen"/>
          <w:b w:val="0"/>
          <w:szCs w:val="22"/>
          <w:lang w:val="it-IT"/>
        </w:rPr>
        <w:t xml:space="preserve"> </w:t>
      </w:r>
      <w:r w:rsidRPr="00D178DD">
        <w:rPr>
          <w:rFonts w:cs="Sylfaen"/>
          <w:b w:val="0"/>
          <w:szCs w:val="22"/>
          <w:lang w:val="hy-AM"/>
        </w:rPr>
        <w:t>է</w:t>
      </w:r>
      <w:r w:rsidRPr="00D178DD">
        <w:rPr>
          <w:rFonts w:cs="Sylfaen"/>
          <w:b w:val="0"/>
          <w:szCs w:val="22"/>
          <w:lang w:val="it-IT"/>
        </w:rPr>
        <w:t xml:space="preserve">, </w:t>
      </w:r>
      <w:r w:rsidRPr="00D178DD">
        <w:rPr>
          <w:rFonts w:cs="Sylfaen"/>
          <w:b w:val="0"/>
          <w:szCs w:val="22"/>
          <w:lang w:val="hy-AM"/>
        </w:rPr>
        <w:t>որ</w:t>
      </w:r>
      <w:r w:rsidRPr="00D178DD">
        <w:rPr>
          <w:rFonts w:cs="Sylfaen"/>
          <w:b w:val="0"/>
          <w:szCs w:val="22"/>
          <w:lang w:val="it-IT"/>
        </w:rPr>
        <w:t xml:space="preserve"> </w:t>
      </w:r>
      <w:r w:rsidRPr="00D178DD">
        <w:rPr>
          <w:rFonts w:cs="Sylfaen"/>
          <w:b w:val="0"/>
          <w:szCs w:val="22"/>
          <w:lang w:val="hy-AM"/>
        </w:rPr>
        <w:t>ոչ առևտրային բնույթի դրամական փոխանցումները ավելի դանդաղ են աճում: Մ</w:t>
      </w:r>
      <w:r w:rsidRPr="00D178DD">
        <w:rPr>
          <w:rFonts w:eastAsia="Calibri" w:cs="Sylfaen"/>
          <w:b w:val="0"/>
          <w:szCs w:val="22"/>
          <w:lang w:val="hy-AM" w:eastAsia="en-US"/>
        </w:rPr>
        <w:t>ասնավորապես՝ ը</w:t>
      </w:r>
      <w:r w:rsidRPr="00D178DD">
        <w:rPr>
          <w:rFonts w:cs="Sylfaen"/>
          <w:b w:val="0"/>
          <w:szCs w:val="22"/>
          <w:lang w:val="hy-AM"/>
        </w:rPr>
        <w:t xml:space="preserve">նթացիկ տարվա հունվար-հուլիս ամիսներին տեղի է ունեցել արտերկրից ստացված դրամական փոխանցումների զգալի աճ </w:t>
      </w:r>
      <w:r w:rsidRPr="00D178DD">
        <w:rPr>
          <w:rFonts w:cs="Sylfaen"/>
          <w:b w:val="0"/>
          <w:szCs w:val="22"/>
          <w:lang w:val="it-IT"/>
        </w:rPr>
        <w:t>(</w:t>
      </w:r>
      <w:r w:rsidRPr="00D178DD">
        <w:rPr>
          <w:rFonts w:cs="Sylfaen"/>
          <w:b w:val="0"/>
          <w:szCs w:val="22"/>
          <w:lang w:val="hy-AM"/>
        </w:rPr>
        <w:t>2.1 անգամ</w:t>
      </w:r>
      <w:r w:rsidRPr="00D178DD">
        <w:rPr>
          <w:rFonts w:cs="Sylfaen"/>
          <w:b w:val="0"/>
          <w:szCs w:val="22"/>
          <w:vertAlign w:val="superscript"/>
          <w:lang w:val="hy-AM"/>
        </w:rPr>
        <w:footnoteReference w:id="6"/>
      </w:r>
      <w:r w:rsidRPr="00D178DD">
        <w:rPr>
          <w:rFonts w:cs="Sylfaen"/>
          <w:b w:val="0"/>
          <w:szCs w:val="22"/>
          <w:lang w:val="it-IT"/>
        </w:rPr>
        <w:t>)</w:t>
      </w:r>
      <w:r w:rsidRPr="00D178DD">
        <w:rPr>
          <w:rFonts w:cs="Sylfaen"/>
          <w:b w:val="0"/>
          <w:szCs w:val="22"/>
          <w:lang w:val="hy-AM"/>
        </w:rPr>
        <w:t xml:space="preserve">։ </w:t>
      </w:r>
      <w:r w:rsidRPr="00D178DD">
        <w:rPr>
          <w:rFonts w:eastAsia="Calibri" w:cs="Sylfaen"/>
          <w:b w:val="0"/>
          <w:szCs w:val="22"/>
          <w:lang w:val="hy-AM" w:eastAsia="en-US"/>
        </w:rPr>
        <w:t xml:space="preserve">      </w:t>
      </w:r>
    </w:p>
    <w:p w:rsidR="00D178DD" w:rsidRPr="00D178DD" w:rsidRDefault="00D178DD" w:rsidP="00D178DD">
      <w:pPr>
        <w:spacing w:before="0" w:after="120" w:line="276" w:lineRule="auto"/>
        <w:ind w:firstLine="0"/>
        <w:contextualSpacing w:val="0"/>
        <w:rPr>
          <w:b w:val="0"/>
          <w:lang w:val="hy-AM"/>
        </w:rPr>
      </w:pPr>
      <w:r w:rsidRPr="00D178DD">
        <w:rPr>
          <w:rFonts w:eastAsia="Calibri" w:cs="Sylfaen"/>
          <w:b w:val="0"/>
          <w:szCs w:val="22"/>
          <w:lang w:val="hy-AM" w:eastAsia="en-US"/>
        </w:rPr>
        <w:t xml:space="preserve">  </w:t>
      </w:r>
      <w:r w:rsidRPr="00D178DD">
        <w:rPr>
          <w:rFonts w:eastAsia="Calibri" w:cs="Sylfaen"/>
          <w:bCs/>
          <w:szCs w:val="22"/>
          <w:u w:val="single"/>
          <w:lang w:val="hy-AM" w:eastAsia="en-US"/>
        </w:rPr>
        <w:t>Կանխատեսում։</w:t>
      </w:r>
      <w:r w:rsidRPr="00D178DD">
        <w:rPr>
          <w:rFonts w:eastAsia="Calibri" w:cs="Sylfaen"/>
          <w:b w:val="0"/>
          <w:szCs w:val="22"/>
          <w:lang w:val="hy-AM" w:eastAsia="en-US"/>
        </w:rPr>
        <w:t xml:space="preserve"> Ա</w:t>
      </w:r>
      <w:r w:rsidRPr="00D178DD">
        <w:rPr>
          <w:b w:val="0"/>
          <w:lang w:val="hy-AM"/>
        </w:rPr>
        <w:t>ռևտրային հաշվեկշռի և ոչ առևտրային բնույթի (աշխատավարձ և տրասնֆերտներ) դրամական փոխանցումների ՀՆԱ-ում դերի վատթարացմամբ պայմանավորված ընթացիկ հաշվի պակասուրդը կխորանա և 2022թ</w:t>
      </w:r>
      <w:r w:rsidRPr="00D178DD">
        <w:rPr>
          <w:rFonts w:ascii="Cambria Math" w:hAnsi="Cambria Math" w:cs="Cambria Math"/>
          <w:b w:val="0"/>
          <w:lang w:val="hy-AM"/>
        </w:rPr>
        <w:t>․</w:t>
      </w:r>
      <w:r w:rsidRPr="00D178DD">
        <w:rPr>
          <w:rFonts w:eastAsiaTheme="majorEastAsia"/>
          <w:b w:val="0"/>
          <w:lang w:val="hy-AM"/>
        </w:rPr>
        <w:t xml:space="preserve"> կկազմի</w:t>
      </w:r>
      <w:r w:rsidRPr="00D178DD">
        <w:rPr>
          <w:rFonts w:eastAsiaTheme="majorEastAsia"/>
          <w:b w:val="0"/>
          <w:lang w:val="it-IT"/>
        </w:rPr>
        <w:t xml:space="preserve"> </w:t>
      </w:r>
      <w:r w:rsidRPr="00D178DD">
        <w:rPr>
          <w:rFonts w:eastAsiaTheme="majorEastAsia"/>
          <w:b w:val="0"/>
          <w:lang w:val="hy-AM"/>
        </w:rPr>
        <w:t>ՀՆԱ</w:t>
      </w:r>
      <w:r w:rsidRPr="00D178DD">
        <w:rPr>
          <w:rFonts w:eastAsiaTheme="majorEastAsia"/>
          <w:b w:val="0"/>
          <w:lang w:val="it-IT"/>
        </w:rPr>
        <w:t>-</w:t>
      </w:r>
      <w:r w:rsidRPr="00D178DD">
        <w:rPr>
          <w:rFonts w:eastAsiaTheme="majorEastAsia"/>
          <w:b w:val="0"/>
          <w:lang w:val="hy-AM"/>
        </w:rPr>
        <w:t>ի</w:t>
      </w:r>
      <w:r w:rsidRPr="00D178DD">
        <w:rPr>
          <w:rFonts w:eastAsiaTheme="majorEastAsia"/>
          <w:b w:val="0"/>
          <w:lang w:val="it-IT"/>
        </w:rPr>
        <w:t xml:space="preserve"> </w:t>
      </w:r>
      <w:r w:rsidRPr="00D178DD">
        <w:rPr>
          <w:rFonts w:eastAsiaTheme="majorEastAsia"/>
          <w:b w:val="0"/>
          <w:lang w:val="hy-AM"/>
        </w:rPr>
        <w:t>4.2</w:t>
      </w:r>
      <w:r w:rsidRPr="00D178DD">
        <w:rPr>
          <w:rFonts w:eastAsiaTheme="majorEastAsia"/>
          <w:b w:val="0"/>
          <w:lang w:val="it-IT"/>
        </w:rPr>
        <w:t>%</w:t>
      </w:r>
      <w:r w:rsidRPr="00D178DD">
        <w:rPr>
          <w:rFonts w:eastAsiaTheme="majorEastAsia"/>
          <w:b w:val="0"/>
          <w:lang w:val="hy-AM"/>
        </w:rPr>
        <w:t>-ը</w:t>
      </w:r>
      <w:r w:rsidRPr="00D178DD">
        <w:rPr>
          <w:b w:val="0"/>
          <w:lang w:val="hy-AM"/>
        </w:rPr>
        <w:t>:</w:t>
      </w:r>
      <w:r w:rsidRPr="00D178DD">
        <w:rPr>
          <w:rFonts w:cs="Times Armenian"/>
          <w:b w:val="0"/>
          <w:bCs/>
          <w:szCs w:val="22"/>
          <w:lang w:val="hy-AM" w:eastAsia="en-US"/>
        </w:rPr>
        <w:t xml:space="preserve"> Դրամական փոխանցումների դերի շարունակվող նվազման պայմաններում </w:t>
      </w:r>
      <w:r w:rsidRPr="00D178DD">
        <w:rPr>
          <w:rFonts w:eastAsiaTheme="majorEastAsia"/>
          <w:b w:val="0"/>
          <w:lang w:val="hy-AM"/>
        </w:rPr>
        <w:t>2023թ</w:t>
      </w:r>
      <w:r w:rsidRPr="00D178DD">
        <w:rPr>
          <w:rFonts w:ascii="Cambria Math" w:eastAsiaTheme="majorEastAsia" w:hAnsi="Cambria Math" w:cs="Cambria Math"/>
          <w:b w:val="0"/>
          <w:lang w:val="hy-AM"/>
        </w:rPr>
        <w:t xml:space="preserve">․ </w:t>
      </w:r>
      <w:r w:rsidRPr="00D178DD">
        <w:rPr>
          <w:rFonts w:eastAsiaTheme="majorEastAsia"/>
          <w:b w:val="0"/>
          <w:lang w:val="hy-AM"/>
        </w:rPr>
        <w:t>ընթացիկ</w:t>
      </w:r>
      <w:r w:rsidRPr="00D178DD">
        <w:rPr>
          <w:rFonts w:eastAsiaTheme="majorEastAsia"/>
          <w:b w:val="0"/>
          <w:lang w:val="it-IT"/>
        </w:rPr>
        <w:t xml:space="preserve"> </w:t>
      </w:r>
      <w:r w:rsidRPr="00D178DD">
        <w:rPr>
          <w:rFonts w:eastAsiaTheme="majorEastAsia"/>
          <w:b w:val="0"/>
          <w:lang w:val="hy-AM"/>
        </w:rPr>
        <w:t>հաշվի</w:t>
      </w:r>
      <w:r w:rsidRPr="00D178DD">
        <w:rPr>
          <w:rFonts w:eastAsiaTheme="majorEastAsia"/>
          <w:b w:val="0"/>
          <w:lang w:val="it-IT"/>
        </w:rPr>
        <w:t xml:space="preserve"> </w:t>
      </w:r>
      <w:r w:rsidRPr="00D178DD">
        <w:rPr>
          <w:rFonts w:eastAsiaTheme="majorEastAsia"/>
          <w:b w:val="0"/>
          <w:lang w:val="hy-AM"/>
        </w:rPr>
        <w:t>պակասուրդը կշարունակի</w:t>
      </w:r>
      <w:r w:rsidRPr="00D178DD">
        <w:rPr>
          <w:rFonts w:eastAsiaTheme="majorEastAsia"/>
          <w:b w:val="0"/>
          <w:lang w:val="it-IT"/>
        </w:rPr>
        <w:t xml:space="preserve"> </w:t>
      </w:r>
      <w:r w:rsidRPr="00D178DD">
        <w:rPr>
          <w:rFonts w:eastAsiaTheme="majorEastAsia"/>
          <w:b w:val="0"/>
          <w:lang w:val="hy-AM"/>
        </w:rPr>
        <w:t>խորանալ:</w:t>
      </w:r>
    </w:p>
    <w:p w:rsidR="00D178DD" w:rsidRPr="00D178DD" w:rsidRDefault="00D178DD" w:rsidP="00D178DD">
      <w:pPr>
        <w:keepNext/>
        <w:keepLines/>
        <w:tabs>
          <w:tab w:val="left" w:pos="0"/>
        </w:tabs>
        <w:spacing w:before="0" w:line="276" w:lineRule="auto"/>
        <w:ind w:firstLine="0"/>
        <w:contextualSpacing w:val="0"/>
        <w:jc w:val="left"/>
        <w:rPr>
          <w:rFonts w:eastAsia="Calibri"/>
          <w:b w:val="0"/>
          <w:i/>
          <w:sz w:val="18"/>
          <w:szCs w:val="18"/>
          <w:lang w:val="hy-AM" w:eastAsia="en-US"/>
        </w:rPr>
      </w:pPr>
      <w:r w:rsidRPr="00D178DD">
        <w:rPr>
          <w:rFonts w:eastAsia="Calibri"/>
          <w:b w:val="0"/>
          <w:i/>
          <w:noProof/>
          <w:sz w:val="18"/>
          <w:szCs w:val="18"/>
          <w:lang w:val="en-US" w:eastAsia="en-US"/>
        </w:rPr>
        <w:drawing>
          <wp:anchor distT="0" distB="0" distL="114300" distR="114300" simplePos="0" relativeHeight="251660288" behindDoc="1" locked="0" layoutInCell="1" allowOverlap="1" wp14:anchorId="538B3604" wp14:editId="1EA418DD">
            <wp:simplePos x="0" y="0"/>
            <wp:positionH relativeFrom="column">
              <wp:posOffset>3073400</wp:posOffset>
            </wp:positionH>
            <wp:positionV relativeFrom="paragraph">
              <wp:posOffset>300355</wp:posOffset>
            </wp:positionV>
            <wp:extent cx="3115310" cy="2264410"/>
            <wp:effectExtent l="0" t="0" r="8890" b="2540"/>
            <wp:wrapTight wrapText="bothSides">
              <wp:wrapPolygon edited="0">
                <wp:start x="0" y="0"/>
                <wp:lineTo x="0" y="21443"/>
                <wp:lineTo x="21530" y="21443"/>
                <wp:lineTo x="21530" y="0"/>
                <wp:lineTo x="0" y="0"/>
              </wp:wrapPolygon>
            </wp:wrapTight>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anchor>
        </w:drawing>
      </w:r>
      <w:r w:rsidRPr="00D178DD">
        <w:rPr>
          <w:rFonts w:eastAsia="Calibri" w:cs="Sylfaen"/>
          <w:i/>
          <w:szCs w:val="22"/>
          <w:lang w:val="hy-AM" w:eastAsia="en-US"/>
        </w:rPr>
        <w:t>Գծապատկեր</w:t>
      </w:r>
      <w:r w:rsidRPr="00D178DD">
        <w:rPr>
          <w:rFonts w:eastAsia="Calibri" w:cs="Times Armenian"/>
          <w:i/>
          <w:szCs w:val="22"/>
          <w:lang w:val="hy-AM" w:eastAsia="en-US"/>
        </w:rPr>
        <w:t xml:space="preserve"> 1.22.</w:t>
      </w:r>
      <w:r w:rsidRPr="00D178DD">
        <w:rPr>
          <w:rFonts w:eastAsia="Calibri" w:cs="Times Armenian"/>
          <w:b w:val="0"/>
          <w:i/>
          <w:sz w:val="21"/>
          <w:szCs w:val="20"/>
          <w:lang w:val="hy-AM" w:eastAsia="en-US"/>
        </w:rPr>
        <w:t xml:space="preserve"> </w:t>
      </w:r>
      <w:r w:rsidRPr="00D178DD">
        <w:rPr>
          <w:rFonts w:eastAsia="Calibri" w:cs="Sylfaen"/>
          <w:b w:val="0"/>
          <w:i/>
          <w:sz w:val="20"/>
          <w:szCs w:val="20"/>
          <w:lang w:val="hy-AM" w:eastAsia="en-US"/>
        </w:rPr>
        <w:t>Ընթացիկ հաշվի պակասուրդը և բաղադրատարրերը (ՀՆԱ-ում %)</w:t>
      </w:r>
    </w:p>
    <w:p w:rsidR="00D178DD" w:rsidRPr="00D178DD" w:rsidRDefault="00D178DD" w:rsidP="00D178DD">
      <w:pPr>
        <w:spacing w:before="0" w:line="276" w:lineRule="auto"/>
        <w:ind w:firstLine="0"/>
        <w:contextualSpacing w:val="0"/>
        <w:rPr>
          <w:rFonts w:eastAsia="Calibri"/>
          <w:b w:val="0"/>
          <w:i/>
          <w:sz w:val="16"/>
          <w:szCs w:val="16"/>
          <w:lang w:val="hy-AM"/>
        </w:rPr>
      </w:pPr>
      <w:r w:rsidRPr="00D178DD">
        <w:rPr>
          <w:rFonts w:eastAsia="Calibri"/>
          <w:b w:val="0"/>
          <w:i/>
          <w:noProof/>
          <w:sz w:val="16"/>
          <w:szCs w:val="16"/>
          <w:lang w:val="en-US" w:eastAsia="en-US"/>
        </w:rPr>
        <w:drawing>
          <wp:anchor distT="0" distB="0" distL="114300" distR="114300" simplePos="0" relativeHeight="251659264" behindDoc="1" locked="0" layoutInCell="1" allowOverlap="1" wp14:anchorId="185A8EDC" wp14:editId="652746B7">
            <wp:simplePos x="0" y="0"/>
            <wp:positionH relativeFrom="column">
              <wp:posOffset>-8255</wp:posOffset>
            </wp:positionH>
            <wp:positionV relativeFrom="paragraph">
              <wp:posOffset>66675</wp:posOffset>
            </wp:positionV>
            <wp:extent cx="2934335" cy="2264410"/>
            <wp:effectExtent l="0" t="0" r="18415" b="2540"/>
            <wp:wrapTight wrapText="bothSides">
              <wp:wrapPolygon edited="0">
                <wp:start x="0" y="0"/>
                <wp:lineTo x="0" y="21443"/>
                <wp:lineTo x="21595" y="21443"/>
                <wp:lineTo x="21595" y="0"/>
                <wp:lineTo x="0" y="0"/>
              </wp:wrapPolygon>
            </wp:wrapTight>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anchor>
        </w:drawing>
      </w:r>
      <w:r w:rsidRPr="00D178DD">
        <w:rPr>
          <w:rFonts w:eastAsia="Calibri"/>
          <w:b w:val="0"/>
          <w:i/>
          <w:sz w:val="16"/>
          <w:szCs w:val="16"/>
          <w:lang w:val="hy-AM"/>
        </w:rPr>
        <w:t>Աղբյուրը՝ ՀՀ ՎԿ, ՀՀ ՖՆ հաշվարկներ և  կանխատեսումներ</w:t>
      </w:r>
    </w:p>
    <w:p w:rsidR="00D178DD" w:rsidRPr="00D178DD" w:rsidRDefault="00D178DD" w:rsidP="00D178DD">
      <w:pPr>
        <w:spacing w:before="0" w:after="120" w:line="276" w:lineRule="auto"/>
        <w:ind w:firstLine="0"/>
        <w:contextualSpacing w:val="0"/>
        <w:rPr>
          <w:rFonts w:eastAsia="Calibri" w:cs="Sylfaen"/>
          <w:szCs w:val="22"/>
          <w:u w:val="single"/>
          <w:lang w:val="hy-AM" w:eastAsia="en-US"/>
        </w:rPr>
      </w:pPr>
    </w:p>
    <w:p w:rsidR="00D178DD" w:rsidRPr="00D178DD" w:rsidRDefault="00D178DD" w:rsidP="00D178DD">
      <w:pPr>
        <w:spacing w:before="0" w:after="120" w:line="276" w:lineRule="auto"/>
        <w:ind w:left="7" w:firstLine="1"/>
        <w:contextualSpacing w:val="0"/>
        <w:rPr>
          <w:rFonts w:eastAsia="Calibri" w:cs="Sylfaen"/>
          <w:b w:val="0"/>
          <w:szCs w:val="22"/>
          <w:lang w:val="hy-AM" w:eastAsia="en-US"/>
        </w:rPr>
      </w:pPr>
      <w:r w:rsidRPr="00D178DD">
        <w:rPr>
          <w:rFonts w:eastAsia="Calibri" w:cs="Sylfaen"/>
          <w:szCs w:val="22"/>
          <w:lang w:val="hy-AM" w:eastAsia="en-US"/>
        </w:rPr>
        <w:t xml:space="preserve">        </w:t>
      </w:r>
      <w:r w:rsidRPr="00D178DD">
        <w:rPr>
          <w:rFonts w:eastAsia="Calibri" w:cs="Sylfaen"/>
          <w:szCs w:val="22"/>
          <w:u w:val="single"/>
          <w:lang w:val="hy-AM" w:eastAsia="en-US"/>
        </w:rPr>
        <w:t>Արտահանում:</w:t>
      </w:r>
      <w:r w:rsidRPr="00D178DD">
        <w:rPr>
          <w:rFonts w:eastAsia="Calibri" w:cs="Sylfaen"/>
          <w:szCs w:val="22"/>
          <w:lang w:val="hy-AM" w:eastAsia="en-US"/>
        </w:rPr>
        <w:t xml:space="preserve"> 2021թ. արձանագրվել է ապրանքների և ծառայությունների դոլարային արտահանման 31.3% աճ: </w:t>
      </w:r>
      <w:r w:rsidRPr="00D178DD">
        <w:rPr>
          <w:rFonts w:eastAsia="Calibri" w:cs="Sylfaen"/>
          <w:b w:val="0"/>
          <w:bCs/>
          <w:szCs w:val="22"/>
          <w:lang w:val="hy-AM" w:eastAsia="en-US"/>
        </w:rPr>
        <w:t>Այդ աճը հիմնականում պայմանավորվել է համավարակի դեմ պայքարի սահմանափակումների թուլացմամբ և արտաքին պահանջարկի վերականգմամբ:</w:t>
      </w:r>
      <w:r w:rsidRPr="00D178DD">
        <w:rPr>
          <w:rFonts w:eastAsia="Calibri" w:cs="Sylfaen"/>
          <w:b w:val="0"/>
          <w:szCs w:val="22"/>
          <w:lang w:val="hy-AM" w:eastAsia="en-US"/>
        </w:rPr>
        <w:t xml:space="preserve"> ՀՀ ապրանքների արտահանումը 2021թ</w:t>
      </w:r>
      <w:r w:rsidRPr="00D178DD">
        <w:rPr>
          <w:rFonts w:ascii="Cambria Math" w:eastAsia="Calibri" w:hAnsi="Cambria Math" w:cs="Cambria Math"/>
          <w:b w:val="0"/>
          <w:szCs w:val="22"/>
          <w:lang w:val="hy-AM" w:eastAsia="en-US"/>
        </w:rPr>
        <w:t>․</w:t>
      </w:r>
      <w:r w:rsidRPr="00D178DD">
        <w:rPr>
          <w:rFonts w:eastAsia="Calibri" w:cs="Sylfaen"/>
          <w:b w:val="0"/>
          <w:szCs w:val="22"/>
          <w:lang w:val="hy-AM" w:eastAsia="en-US"/>
        </w:rPr>
        <w:t xml:space="preserve"> աճել է 20.5%-ով: 2021թ</w:t>
      </w:r>
      <w:r w:rsidRPr="00D178DD">
        <w:rPr>
          <w:rFonts w:ascii="Cambria Math" w:eastAsia="Calibri" w:hAnsi="Cambria Math" w:cs="Cambria Math"/>
          <w:b w:val="0"/>
          <w:szCs w:val="22"/>
          <w:lang w:val="hy-AM" w:eastAsia="en-US"/>
        </w:rPr>
        <w:t>․</w:t>
      </w:r>
      <w:r w:rsidRPr="00D178DD">
        <w:rPr>
          <w:rFonts w:eastAsia="Calibri" w:cs="Sylfaen"/>
          <w:b w:val="0"/>
          <w:szCs w:val="22"/>
          <w:lang w:val="hy-AM" w:eastAsia="en-US"/>
        </w:rPr>
        <w:t xml:space="preserve"> հիմնականում ճանապարհորդության նպատակով ՀՀ այցելությունների աճի արդյունքում ծառայությունների արտահանումն աճել է 57.8%-ով:</w:t>
      </w:r>
    </w:p>
    <w:p w:rsidR="00D178DD" w:rsidRPr="00D178DD" w:rsidRDefault="00D178DD" w:rsidP="00D178DD">
      <w:pPr>
        <w:spacing w:before="0" w:after="120" w:line="276" w:lineRule="auto"/>
        <w:ind w:firstLine="720"/>
        <w:contextualSpacing w:val="0"/>
        <w:rPr>
          <w:rFonts w:eastAsia="Calibri" w:cs="Sylfaen"/>
          <w:b w:val="0"/>
          <w:szCs w:val="22"/>
          <w:lang w:val="hy-AM" w:eastAsia="en-US"/>
        </w:rPr>
      </w:pPr>
      <w:r w:rsidRPr="00D178DD">
        <w:rPr>
          <w:rFonts w:eastAsia="Calibri" w:cs="Sylfaen"/>
          <w:szCs w:val="22"/>
          <w:lang w:val="hy-AM" w:eastAsia="en-US"/>
        </w:rPr>
        <w:t>2022թ. ծառայությունների աճի նախորդ տարվա միտումները շարունակվում են</w:t>
      </w:r>
      <w:r w:rsidRPr="00D178DD">
        <w:rPr>
          <w:rFonts w:eastAsia="Calibri" w:cs="Sylfaen"/>
          <w:b w:val="0"/>
          <w:szCs w:val="22"/>
          <w:lang w:val="hy-AM" w:eastAsia="en-US"/>
        </w:rPr>
        <w:t xml:space="preserve">, </w:t>
      </w:r>
      <w:r w:rsidRPr="00D178DD">
        <w:rPr>
          <w:rFonts w:eastAsia="Calibri" w:cs="Sylfaen"/>
          <w:szCs w:val="22"/>
          <w:lang w:val="hy-AM" w:eastAsia="en-US"/>
        </w:rPr>
        <w:t xml:space="preserve">որը հիմնականում պայմանավորվել է 2022թ. զբոսաշրջիկների թվի աճով: </w:t>
      </w:r>
      <w:r w:rsidRPr="00D178DD">
        <w:rPr>
          <w:rFonts w:eastAsia="Calibri" w:cs="Sylfaen"/>
          <w:b w:val="0"/>
          <w:szCs w:val="22"/>
          <w:lang w:val="hy-AM" w:eastAsia="en-US"/>
        </w:rPr>
        <w:t xml:space="preserve">Ընդ որում զբոսաշրջության աճին մեծ նպաստում է ունեցել ՌԴ-ի և Ուկրիանիայի միջև հակամարտության և ՌԴ-ի նկատմամբ կիրառվող պատժամիջոցների հետևանքով ՀՀ այցելող ռուս զբոսաշրջիկների թվի կտրուկ աճը։ 2022թ. առաջին կիսամյակում ծառայությունների արտահանումը աճին նպաստել է նաև ՏՏ ոլորտի արտահանումը ։ </w:t>
      </w:r>
    </w:p>
    <w:p w:rsidR="00D178DD" w:rsidRPr="00D178DD" w:rsidRDefault="00D178DD" w:rsidP="00D178DD">
      <w:pPr>
        <w:spacing w:before="0" w:after="120" w:line="276" w:lineRule="auto"/>
        <w:ind w:left="7" w:firstLine="1"/>
        <w:contextualSpacing w:val="0"/>
        <w:rPr>
          <w:rFonts w:eastAsiaTheme="majorEastAsia"/>
          <w:b w:val="0"/>
          <w:lang w:val="hy-AM"/>
        </w:rPr>
      </w:pPr>
      <w:r w:rsidRPr="00D178DD">
        <w:rPr>
          <w:rFonts w:eastAsiaTheme="majorEastAsia"/>
          <w:bCs/>
          <w:lang w:val="hy-AM"/>
        </w:rPr>
        <w:t xml:space="preserve">          ՀՀ ապրանքների արտահանումը գրանցել է կտրուկ աճ</w:t>
      </w:r>
      <w:r w:rsidRPr="00D178DD">
        <w:rPr>
          <w:rFonts w:ascii="Cambria Math" w:eastAsiaTheme="majorEastAsia" w:hAnsi="Cambria Math" w:cs="Cambria Math"/>
          <w:bCs/>
          <w:lang w:val="hy-AM"/>
        </w:rPr>
        <w:t>․</w:t>
      </w:r>
      <w:r w:rsidRPr="00D178DD">
        <w:rPr>
          <w:rFonts w:eastAsiaTheme="majorEastAsia"/>
          <w:bCs/>
          <w:lang w:val="hy-AM"/>
        </w:rPr>
        <w:t xml:space="preserve"> 2022թ. հունվար-օգոստոս ամիսներին աճը կազմել է 53.1%</w:t>
      </w:r>
      <w:r w:rsidRPr="00D178DD">
        <w:rPr>
          <w:rFonts w:eastAsiaTheme="majorEastAsia"/>
          <w:lang w:val="hy-AM"/>
        </w:rPr>
        <w:t xml:space="preserve">: </w:t>
      </w:r>
      <w:r w:rsidRPr="00D178DD">
        <w:rPr>
          <w:rFonts w:eastAsiaTheme="majorEastAsia"/>
          <w:b w:val="0"/>
          <w:lang w:val="hy-AM"/>
        </w:rPr>
        <w:t xml:space="preserve">Վերջինս հիմնականում պայմանավորվել է արտահանման որոշ շուկաներում արտաքին պահանջարկի աճով, ՀՀ դրամի՝ ռուբլու նկատմամբ իրական փոխարժեքի արժեզրկված դիրքով և ՌԴ-ում ՀՀ-ից արտահանվող ապրանքների շուկաների ընդյալնմամբ: </w:t>
      </w:r>
    </w:p>
    <w:p w:rsidR="00D178DD" w:rsidRPr="00D178DD" w:rsidRDefault="00D178DD" w:rsidP="00D178DD">
      <w:pPr>
        <w:keepNext/>
        <w:keepLines/>
        <w:spacing w:before="0" w:line="276" w:lineRule="auto"/>
        <w:ind w:firstLine="0"/>
        <w:contextualSpacing w:val="0"/>
        <w:rPr>
          <w:rFonts w:eastAsia="Calibri" w:cs="Sylfaen"/>
          <w:b w:val="0"/>
          <w:bCs/>
          <w:i/>
          <w:sz w:val="20"/>
          <w:szCs w:val="20"/>
          <w:lang w:val="hy-AM" w:eastAsia="en-US"/>
        </w:rPr>
      </w:pPr>
      <w:r w:rsidRPr="00D178DD">
        <w:rPr>
          <w:rFonts w:eastAsia="Calibri"/>
          <w:i/>
          <w:noProof/>
          <w:color w:val="990033"/>
          <w:szCs w:val="22"/>
          <w:lang w:val="en-US" w:eastAsia="en-US"/>
        </w:rPr>
        <w:drawing>
          <wp:anchor distT="0" distB="0" distL="114300" distR="114300" simplePos="0" relativeHeight="251662336" behindDoc="1" locked="0" layoutInCell="1" allowOverlap="1" wp14:anchorId="2ED0CE8C" wp14:editId="1B909233">
            <wp:simplePos x="0" y="0"/>
            <wp:positionH relativeFrom="margin">
              <wp:align>left</wp:align>
            </wp:positionH>
            <wp:positionV relativeFrom="paragraph">
              <wp:posOffset>318770</wp:posOffset>
            </wp:positionV>
            <wp:extent cx="3295650" cy="2028825"/>
            <wp:effectExtent l="0" t="0" r="0" b="9525"/>
            <wp:wrapTight wrapText="bothSides">
              <wp:wrapPolygon edited="0">
                <wp:start x="0" y="0"/>
                <wp:lineTo x="0" y="21499"/>
                <wp:lineTo x="21475" y="21499"/>
                <wp:lineTo x="21475" y="0"/>
                <wp:lineTo x="0" y="0"/>
              </wp:wrapPolygon>
            </wp:wrapTight>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Pr="00D178DD">
        <w:rPr>
          <w:rFonts w:eastAsia="Calibri"/>
          <w:i/>
          <w:noProof/>
          <w:szCs w:val="22"/>
          <w:lang w:val="en-US" w:eastAsia="en-US"/>
        </w:rPr>
        <w:drawing>
          <wp:anchor distT="0" distB="0" distL="114300" distR="114300" simplePos="0" relativeHeight="251663360" behindDoc="1" locked="0" layoutInCell="1" allowOverlap="1" wp14:anchorId="144570FE" wp14:editId="470C782B">
            <wp:simplePos x="0" y="0"/>
            <wp:positionH relativeFrom="margin">
              <wp:posOffset>3409315</wp:posOffset>
            </wp:positionH>
            <wp:positionV relativeFrom="paragraph">
              <wp:posOffset>319405</wp:posOffset>
            </wp:positionV>
            <wp:extent cx="3076575" cy="2019300"/>
            <wp:effectExtent l="0" t="0" r="9525" b="0"/>
            <wp:wrapTight wrapText="bothSides">
              <wp:wrapPolygon edited="0">
                <wp:start x="0" y="0"/>
                <wp:lineTo x="0" y="21396"/>
                <wp:lineTo x="21533" y="21396"/>
                <wp:lineTo x="21533" y="0"/>
                <wp:lineTo x="0" y="0"/>
              </wp:wrapPolygon>
            </wp:wrapTight>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Pr="00D178DD">
        <w:rPr>
          <w:rFonts w:eastAsia="Calibri" w:cs="Sylfaen"/>
          <w:i/>
          <w:szCs w:val="22"/>
          <w:lang w:val="hy-AM" w:eastAsia="en-US"/>
        </w:rPr>
        <w:t>Գծապատկեր 1.23</w:t>
      </w:r>
      <w:r w:rsidRPr="00D178DD">
        <w:rPr>
          <w:rFonts w:ascii="MS Gothic" w:eastAsia="MS Gothic" w:hAnsi="MS Gothic" w:cs="MS Gothic" w:hint="eastAsia"/>
          <w:i/>
          <w:szCs w:val="22"/>
          <w:lang w:val="hy-AM" w:eastAsia="en-US"/>
        </w:rPr>
        <w:t>․</w:t>
      </w:r>
      <w:r w:rsidRPr="00D178DD">
        <w:rPr>
          <w:rFonts w:eastAsia="Calibri" w:cs="Sylfaen"/>
          <w:b w:val="0"/>
          <w:bCs/>
          <w:i/>
          <w:sz w:val="20"/>
          <w:szCs w:val="20"/>
          <w:lang w:val="hy-AM" w:eastAsia="en-US"/>
        </w:rPr>
        <w:t xml:space="preserve"> 2022թ. ապրանքների արտահանման միտումները, %</w:t>
      </w:r>
    </w:p>
    <w:p w:rsidR="00D178DD" w:rsidRPr="00D178DD" w:rsidRDefault="00D178DD" w:rsidP="00D178DD">
      <w:pPr>
        <w:spacing w:before="0" w:line="276" w:lineRule="auto"/>
        <w:ind w:firstLine="540"/>
        <w:contextualSpacing w:val="0"/>
        <w:rPr>
          <w:rFonts w:eastAsia="Calibri"/>
          <w:b w:val="0"/>
          <w:i/>
          <w:sz w:val="16"/>
          <w:szCs w:val="16"/>
          <w:lang w:val="hy-AM"/>
        </w:rPr>
      </w:pPr>
      <w:r w:rsidRPr="00D178DD">
        <w:rPr>
          <w:rFonts w:eastAsia="Calibri"/>
          <w:b w:val="0"/>
          <w:i/>
          <w:sz w:val="16"/>
          <w:szCs w:val="16"/>
          <w:lang w:val="hy-AM"/>
        </w:rPr>
        <w:t>Աղբյուրը՝ ՀՀ ՎԿ և ՀՀ ՖՆ հաշվարկներ:</w:t>
      </w:r>
    </w:p>
    <w:p w:rsidR="00D178DD" w:rsidRPr="00D178DD" w:rsidRDefault="00D178DD" w:rsidP="00D178DD">
      <w:pPr>
        <w:spacing w:before="0" w:line="276" w:lineRule="auto"/>
        <w:ind w:firstLine="0"/>
        <w:contextualSpacing w:val="0"/>
        <w:rPr>
          <w:rFonts w:eastAsia="Calibri" w:cs="Sylfaen"/>
          <w:szCs w:val="22"/>
          <w:u w:val="single"/>
          <w:lang w:val="hy-AM" w:eastAsia="en-US"/>
        </w:rPr>
      </w:pPr>
    </w:p>
    <w:p w:rsidR="00D178DD" w:rsidRPr="00D178DD" w:rsidRDefault="00D178DD" w:rsidP="00D178DD">
      <w:pPr>
        <w:tabs>
          <w:tab w:val="left" w:pos="0"/>
        </w:tabs>
        <w:spacing w:before="0" w:after="120" w:line="276" w:lineRule="auto"/>
        <w:ind w:firstLine="539"/>
        <w:contextualSpacing w:val="0"/>
        <w:rPr>
          <w:rFonts w:eastAsia="Calibri" w:cs="Sylfaen"/>
          <w:b w:val="0"/>
          <w:color w:val="FF0000"/>
          <w:szCs w:val="22"/>
          <w:lang w:val="hy-AM" w:eastAsia="en-US"/>
        </w:rPr>
      </w:pPr>
      <w:r w:rsidRPr="00D178DD">
        <w:rPr>
          <w:rFonts w:eastAsiaTheme="majorEastAsia"/>
          <w:iCs/>
          <w:u w:val="single"/>
          <w:lang w:val="hy-AM"/>
        </w:rPr>
        <w:t>Կանխատեսում</w:t>
      </w:r>
      <w:r w:rsidRPr="00D178DD">
        <w:rPr>
          <w:rFonts w:eastAsiaTheme="majorEastAsia"/>
          <w:lang w:val="hy-AM"/>
        </w:rPr>
        <w:t xml:space="preserve">։ </w:t>
      </w:r>
      <w:r w:rsidRPr="00D178DD">
        <w:rPr>
          <w:rFonts w:eastAsiaTheme="majorEastAsia"/>
          <w:b w:val="0"/>
          <w:lang w:val="hy-AM"/>
        </w:rPr>
        <w:t>Վերոնշյալ զարգացումների պայմաններում</w:t>
      </w:r>
      <w:r w:rsidRPr="00D178DD">
        <w:rPr>
          <w:rFonts w:eastAsiaTheme="majorEastAsia"/>
          <w:lang w:val="hy-AM"/>
        </w:rPr>
        <w:t xml:space="preserve"> </w:t>
      </w:r>
      <w:r w:rsidRPr="00D178DD">
        <w:rPr>
          <w:rFonts w:eastAsiaTheme="majorEastAsia"/>
          <w:b w:val="0"/>
          <w:lang w:val="hy-AM"/>
        </w:rPr>
        <w:t>2022թ. սպասվում է մոտ 53.3% արտահանման աճ։ Այդուհանդերձ՝ Թեղուտի հանքավայրի շահագործման ժամանակավոր դադարեցումն ապրանքների արտահանման զսպող գործոն կհանդիսանան, իսկ տուրիզմի հաշվին ծառայությունների արտահանման վերականգնումը կլինի համեմատաբար արագ: Համաշխարհային և ՀՀ տնտեսական ակտիվության, զբոսաշրջության աստիճանական վերականգնմամբ և արտահանելի հատվածի ներդրումների խթանմանն ուղղված ՀՀ կառավարության քաղաքականության ջանքերի, ՌԴ-ում ՀՀ-ից արտահանվող ապրանքների շուկաների ընդյալնման, ՏՏ ոլորտի ծառայությունների արտահանման ընդյալմանը համահունչ 2023թ. ակնկալվում է ապրանքների և ծառայությունների արտահանման 14.3% աճ:</w:t>
      </w:r>
      <w:r w:rsidRPr="00D178DD">
        <w:rPr>
          <w:rFonts w:eastAsia="Calibri" w:cs="Sylfaen"/>
          <w:b w:val="0"/>
          <w:color w:val="FF0000"/>
          <w:szCs w:val="22"/>
          <w:lang w:val="hy-AM" w:eastAsia="en-US"/>
        </w:rPr>
        <w:t xml:space="preserve"> </w:t>
      </w:r>
    </w:p>
    <w:p w:rsidR="00D178DD" w:rsidRPr="00D178DD" w:rsidRDefault="00D178DD" w:rsidP="00D178DD">
      <w:pPr>
        <w:spacing w:line="276" w:lineRule="auto"/>
        <w:rPr>
          <w:rFonts w:eastAsiaTheme="majorEastAsia"/>
          <w:bCs/>
          <w:lang w:val="hy-AM"/>
        </w:rPr>
      </w:pPr>
      <w:r w:rsidRPr="00D178DD">
        <w:rPr>
          <w:rFonts w:eastAsia="Calibri" w:cs="Sylfaen"/>
          <w:szCs w:val="22"/>
          <w:u w:val="single"/>
          <w:lang w:val="hy-AM" w:eastAsia="en-US"/>
        </w:rPr>
        <w:t>Ներմուծում:</w:t>
      </w:r>
      <w:r w:rsidRPr="00D178DD">
        <w:rPr>
          <w:rFonts w:eastAsia="Calibri" w:cs="Sylfaen"/>
          <w:szCs w:val="22"/>
          <w:lang w:val="hy-AM" w:eastAsia="en-US"/>
        </w:rPr>
        <w:t xml:space="preserve"> </w:t>
      </w:r>
      <w:r w:rsidRPr="00D178DD">
        <w:rPr>
          <w:rFonts w:eastAsiaTheme="majorEastAsia"/>
          <w:bCs/>
          <w:lang w:val="hy-AM"/>
        </w:rPr>
        <w:t>2021թ</w:t>
      </w:r>
      <w:r w:rsidRPr="00D178DD">
        <w:rPr>
          <w:rFonts w:ascii="Cambria Math" w:eastAsiaTheme="majorEastAsia" w:hAnsi="Cambria Math" w:cs="Cambria Math"/>
          <w:bCs/>
          <w:lang w:val="hy-AM"/>
        </w:rPr>
        <w:t>․</w:t>
      </w:r>
      <w:r w:rsidRPr="00D178DD">
        <w:rPr>
          <w:rFonts w:eastAsiaTheme="majorEastAsia"/>
          <w:bCs/>
          <w:lang w:val="hy-AM"/>
        </w:rPr>
        <w:t xml:space="preserve"> ապրանքների և ծառայությունների ներմուծման աճերը սկսել են վերականգնվել։ </w:t>
      </w:r>
      <w:r w:rsidRPr="00D178DD">
        <w:rPr>
          <w:rFonts w:eastAsiaTheme="majorEastAsia"/>
          <w:b w:val="0"/>
          <w:bCs/>
          <w:lang w:val="hy-AM"/>
        </w:rPr>
        <w:t>Արձանագրվել է ապրանքների ներմուծման 16.6% աճ` հիմնականում պայմանավորված տնտեսական ակտիվությամբ և ներքին պահանջարկի վերականգնմամբ: Ծառայությունների ներմուծման աճը 2021թ. կազմել է 36.4% և հիմնականում պայմանավորվել է համավարկի հետ կապված տուրիզմի հոսքերի սահմանափակումների թուլացմամբ:</w:t>
      </w:r>
    </w:p>
    <w:p w:rsidR="00D178DD" w:rsidRPr="00D178DD" w:rsidRDefault="00D178DD" w:rsidP="00D178DD">
      <w:pPr>
        <w:tabs>
          <w:tab w:val="left" w:pos="0"/>
        </w:tabs>
        <w:spacing w:before="0" w:after="120" w:line="276" w:lineRule="auto"/>
        <w:ind w:firstLine="539"/>
        <w:contextualSpacing w:val="0"/>
        <w:rPr>
          <w:rFonts w:eastAsia="Calibri" w:cs="Sylfaen"/>
          <w:b w:val="0"/>
          <w:szCs w:val="22"/>
          <w:lang w:val="hy-AM" w:eastAsia="en-US"/>
        </w:rPr>
      </w:pPr>
      <w:r w:rsidRPr="00D178DD">
        <w:rPr>
          <w:rFonts w:eastAsia="Calibri" w:cs="Sylfaen"/>
          <w:szCs w:val="22"/>
          <w:lang w:val="hy-AM" w:eastAsia="en-US"/>
        </w:rPr>
        <w:t xml:space="preserve">2022թ. հունվար-օգոստոս ամիսներին արձանագրվել է ապրանքների ներմուծման 58.3% աճ՝ </w:t>
      </w:r>
      <w:r w:rsidRPr="00D178DD">
        <w:rPr>
          <w:rFonts w:eastAsia="Calibri" w:cs="Sylfaen"/>
          <w:b w:val="0"/>
          <w:szCs w:val="22"/>
          <w:lang w:val="hy-AM" w:eastAsia="en-US"/>
        </w:rPr>
        <w:t>հիմնականում պայմանավորված տնտեսական բարձր ակտիվությամբ և ներքին պահանջարկի բարձր աճով, մեքենաների և սարքավորումների ներմուծման բարձր աճի տեմպերով և ներմուծման բարձր գներով (8.7)%::</w:t>
      </w:r>
    </w:p>
    <w:p w:rsidR="00D178DD" w:rsidRPr="00D178DD" w:rsidRDefault="00D178DD" w:rsidP="00D178DD">
      <w:pPr>
        <w:tabs>
          <w:tab w:val="left" w:pos="0"/>
        </w:tabs>
        <w:spacing w:before="0" w:after="120" w:line="276" w:lineRule="auto"/>
        <w:ind w:firstLine="539"/>
        <w:contextualSpacing w:val="0"/>
        <w:rPr>
          <w:rFonts w:eastAsia="Calibri" w:cs="Sylfaen"/>
          <w:szCs w:val="22"/>
          <w:lang w:val="hy-AM" w:eastAsia="en-US"/>
        </w:rPr>
      </w:pPr>
      <w:r w:rsidRPr="00D178DD">
        <w:rPr>
          <w:rFonts w:eastAsia="Calibri" w:cs="Sylfaen"/>
          <w:b w:val="0"/>
          <w:szCs w:val="22"/>
          <w:lang w:val="hy-AM" w:eastAsia="en-US"/>
        </w:rPr>
        <w:t xml:space="preserve"> 2022թ. առաջին կիսամյակի տվյալներով ծառայությունների ներմուծումը շարունակել է աճել՝ հիմնականում արտագնա զբոսաշրջության հաշվին: </w:t>
      </w:r>
      <w:r w:rsidRPr="00D178DD">
        <w:rPr>
          <w:rFonts w:eastAsia="Calibri" w:cs="Sylfaen"/>
          <w:szCs w:val="22"/>
          <w:lang w:val="hy-AM" w:eastAsia="en-US"/>
        </w:rPr>
        <w:t xml:space="preserve"> </w:t>
      </w:r>
    </w:p>
    <w:p w:rsidR="00D178DD" w:rsidRPr="00D178DD" w:rsidRDefault="00D178DD" w:rsidP="00D178DD">
      <w:pPr>
        <w:tabs>
          <w:tab w:val="left" w:pos="0"/>
        </w:tabs>
        <w:spacing w:before="0" w:after="120" w:line="276" w:lineRule="auto"/>
        <w:ind w:firstLine="539"/>
        <w:contextualSpacing w:val="0"/>
        <w:rPr>
          <w:rFonts w:eastAsia="Calibri" w:cs="Sylfaen"/>
          <w:b w:val="0"/>
          <w:bCs/>
          <w:i/>
          <w:iCs/>
          <w:szCs w:val="22"/>
          <w:lang w:val="hy-AM" w:eastAsia="en-US"/>
        </w:rPr>
      </w:pPr>
      <w:r w:rsidRPr="00D178DD">
        <w:rPr>
          <w:rFonts w:eastAsia="Calibri"/>
          <w:bCs/>
          <w:i/>
          <w:iCs/>
          <w:noProof/>
          <w:szCs w:val="22"/>
          <w:lang w:val="en-US" w:eastAsia="en-US"/>
        </w:rPr>
        <w:drawing>
          <wp:anchor distT="0" distB="0" distL="114300" distR="114300" simplePos="0" relativeHeight="251661312" behindDoc="1" locked="0" layoutInCell="1" allowOverlap="1" wp14:anchorId="446AF6CB" wp14:editId="568A962C">
            <wp:simplePos x="0" y="0"/>
            <wp:positionH relativeFrom="margin">
              <wp:posOffset>3133559</wp:posOffset>
            </wp:positionH>
            <wp:positionV relativeFrom="paragraph">
              <wp:posOffset>370233</wp:posOffset>
            </wp:positionV>
            <wp:extent cx="3162300" cy="1943100"/>
            <wp:effectExtent l="0" t="0" r="0" b="0"/>
            <wp:wrapTight wrapText="bothSides">
              <wp:wrapPolygon edited="0">
                <wp:start x="0" y="0"/>
                <wp:lineTo x="0" y="21388"/>
                <wp:lineTo x="21470" y="21388"/>
                <wp:lineTo x="21470" y="0"/>
                <wp:lineTo x="0" y="0"/>
              </wp:wrapPolygon>
            </wp:wrapTight>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anchor>
        </w:drawing>
      </w:r>
      <w:r w:rsidRPr="00D178DD">
        <w:rPr>
          <w:rFonts w:eastAsia="Calibri" w:cs="Sylfaen"/>
          <w:bCs/>
          <w:i/>
          <w:iCs/>
          <w:noProof/>
          <w:szCs w:val="22"/>
          <w:lang w:val="en-US" w:eastAsia="en-US"/>
        </w:rPr>
        <w:drawing>
          <wp:anchor distT="0" distB="0" distL="114300" distR="114300" simplePos="0" relativeHeight="251658240" behindDoc="1" locked="0" layoutInCell="1" allowOverlap="1" wp14:anchorId="1DAFFA51" wp14:editId="0322B139">
            <wp:simplePos x="0" y="0"/>
            <wp:positionH relativeFrom="margin">
              <wp:posOffset>36195</wp:posOffset>
            </wp:positionH>
            <wp:positionV relativeFrom="paragraph">
              <wp:posOffset>376196</wp:posOffset>
            </wp:positionV>
            <wp:extent cx="3051175" cy="1966595"/>
            <wp:effectExtent l="0" t="0" r="15875" b="14605"/>
            <wp:wrapTight wrapText="bothSides">
              <wp:wrapPolygon edited="0">
                <wp:start x="0" y="0"/>
                <wp:lineTo x="0" y="21551"/>
                <wp:lineTo x="21578" y="21551"/>
                <wp:lineTo x="21578" y="0"/>
                <wp:lineTo x="0" y="0"/>
              </wp:wrapPolygon>
            </wp:wrapTight>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anchor>
        </w:drawing>
      </w:r>
      <w:r w:rsidRPr="00D178DD">
        <w:rPr>
          <w:rFonts w:eastAsia="Calibri" w:cs="Sylfaen"/>
          <w:bCs/>
          <w:i/>
          <w:iCs/>
          <w:szCs w:val="22"/>
          <w:lang w:val="hy-AM" w:eastAsia="en-US"/>
        </w:rPr>
        <w:t>Գծապատկեր 1.24</w:t>
      </w:r>
      <w:r w:rsidRPr="00D178DD">
        <w:rPr>
          <w:rFonts w:ascii="MS Gothic" w:eastAsia="MS Gothic" w:hAnsi="MS Gothic" w:cs="MS Gothic" w:hint="eastAsia"/>
          <w:bCs/>
          <w:i/>
          <w:iCs/>
          <w:szCs w:val="22"/>
          <w:lang w:val="hy-AM" w:eastAsia="en-US"/>
        </w:rPr>
        <w:t>․</w:t>
      </w:r>
      <w:r w:rsidRPr="00D178DD">
        <w:rPr>
          <w:rFonts w:eastAsia="Calibri" w:cs="Sylfaen"/>
          <w:b w:val="0"/>
          <w:bCs/>
          <w:i/>
          <w:iCs/>
          <w:sz w:val="21"/>
          <w:szCs w:val="21"/>
          <w:lang w:val="hy-AM" w:eastAsia="en-US"/>
        </w:rPr>
        <w:t xml:space="preserve"> </w:t>
      </w:r>
      <w:r w:rsidRPr="00D178DD">
        <w:rPr>
          <w:rFonts w:eastAsia="Calibri" w:cs="Sylfaen"/>
          <w:b w:val="0"/>
          <w:bCs/>
          <w:i/>
          <w:iCs/>
          <w:sz w:val="20"/>
          <w:szCs w:val="20"/>
          <w:lang w:val="hy-AM" w:eastAsia="en-US"/>
        </w:rPr>
        <w:t>2022թ. ապրանքների ներմուծման միտումները, %</w:t>
      </w:r>
    </w:p>
    <w:p w:rsidR="00D178DD" w:rsidRPr="00D178DD" w:rsidRDefault="00D178DD" w:rsidP="00D178DD">
      <w:pPr>
        <w:tabs>
          <w:tab w:val="left" w:pos="0"/>
        </w:tabs>
        <w:spacing w:before="0" w:line="276" w:lineRule="auto"/>
        <w:ind w:firstLine="0"/>
        <w:contextualSpacing w:val="0"/>
        <w:rPr>
          <w:rFonts w:eastAsia="Calibri" w:cs="Sylfaen"/>
          <w:b w:val="0"/>
          <w:i/>
          <w:sz w:val="18"/>
          <w:szCs w:val="18"/>
          <w:lang w:val="hy-AM" w:eastAsia="en-US"/>
        </w:rPr>
      </w:pPr>
      <w:r w:rsidRPr="00D178DD">
        <w:rPr>
          <w:rFonts w:eastAsia="Calibri"/>
          <w:b w:val="0"/>
          <w:i/>
          <w:sz w:val="16"/>
          <w:szCs w:val="16"/>
          <w:lang w:val="hy-AM"/>
        </w:rPr>
        <w:t>Աղբյուրը՝ ՀՀ ՎԿ և ՀՀ ՖՆ հաշվարկներ</w:t>
      </w:r>
      <w:r w:rsidRPr="00D178DD">
        <w:rPr>
          <w:rFonts w:eastAsia="Calibri" w:cs="Sylfaen"/>
          <w:b w:val="0"/>
          <w:i/>
          <w:sz w:val="18"/>
          <w:szCs w:val="18"/>
          <w:lang w:val="hy-AM" w:eastAsia="en-US"/>
        </w:rPr>
        <w:t xml:space="preserve">:  </w:t>
      </w:r>
    </w:p>
    <w:p w:rsidR="00D178DD" w:rsidRPr="00D178DD" w:rsidRDefault="00D178DD" w:rsidP="00D178DD">
      <w:pPr>
        <w:spacing w:line="276" w:lineRule="auto"/>
        <w:rPr>
          <w:rFonts w:eastAsiaTheme="majorEastAsia"/>
          <w:iCs/>
          <w:u w:val="single"/>
          <w:lang w:val="hy-AM"/>
        </w:rPr>
      </w:pPr>
    </w:p>
    <w:p w:rsidR="00D178DD" w:rsidRPr="00D178DD" w:rsidRDefault="00D178DD" w:rsidP="00D178DD">
      <w:pPr>
        <w:spacing w:line="276" w:lineRule="auto"/>
        <w:rPr>
          <w:rFonts w:eastAsiaTheme="majorEastAsia"/>
          <w:b w:val="0"/>
          <w:lang w:val="hy-AM"/>
        </w:rPr>
      </w:pPr>
      <w:r w:rsidRPr="00D178DD">
        <w:rPr>
          <w:rFonts w:eastAsiaTheme="majorEastAsia"/>
          <w:iCs/>
          <w:u w:val="single"/>
          <w:lang w:val="hy-AM"/>
        </w:rPr>
        <w:t>Կանխատեսում</w:t>
      </w:r>
      <w:r w:rsidRPr="00D178DD">
        <w:rPr>
          <w:rFonts w:eastAsiaTheme="majorEastAsia"/>
          <w:lang w:val="hy-AM"/>
        </w:rPr>
        <w:t xml:space="preserve">։ </w:t>
      </w:r>
      <w:r w:rsidRPr="00D178DD">
        <w:rPr>
          <w:rFonts w:eastAsiaTheme="majorEastAsia"/>
          <w:b w:val="0"/>
          <w:lang w:val="hy-AM"/>
        </w:rPr>
        <w:t>Վերոնշյալ զարգացումների պայմաններում 2022թ. սպասվում է շուրջ 44% ներմուծման աճ: Բարձր տնտեսական աճի,  երկրների միջև սահմանափակումների վերացմանը զուգընթաց զբոսաշրջության վերականգման, ինչպես նաև ներդրուների խթանմանն ուղղված ՀՀ կառավարության քաղաքականության ջանքերին համահունչ ներդրումային բնույթի ապրանքների աճի հաշվին` 2023թ. ներմուծման աճը կկազմի մոտ 14.3%:</w:t>
      </w:r>
    </w:p>
    <w:p w:rsidR="00D178DD" w:rsidRPr="00D178DD" w:rsidRDefault="00D178DD" w:rsidP="00D178DD">
      <w:pPr>
        <w:tabs>
          <w:tab w:val="left" w:pos="0"/>
        </w:tabs>
        <w:spacing w:before="0" w:line="276" w:lineRule="auto"/>
        <w:ind w:firstLine="0"/>
        <w:rPr>
          <w:rFonts w:eastAsia="Calibri" w:cs="Sylfaen"/>
          <w:i/>
          <w:szCs w:val="22"/>
          <w:lang w:val="hy-AM" w:eastAsia="en-US"/>
        </w:rPr>
      </w:pPr>
    </w:p>
    <w:p w:rsidR="00D178DD" w:rsidRPr="00D178DD" w:rsidRDefault="00D178DD" w:rsidP="00D178DD">
      <w:pPr>
        <w:tabs>
          <w:tab w:val="left" w:pos="0"/>
        </w:tabs>
        <w:spacing w:before="0" w:line="276" w:lineRule="auto"/>
        <w:ind w:firstLine="0"/>
        <w:rPr>
          <w:rFonts w:eastAsia="Calibri" w:cs="Sylfaen"/>
          <w:b w:val="0"/>
          <w:i/>
          <w:sz w:val="18"/>
          <w:szCs w:val="18"/>
          <w:lang w:val="hy-AM" w:eastAsia="en-US"/>
        </w:rPr>
      </w:pPr>
      <w:r w:rsidRPr="00D178DD">
        <w:rPr>
          <w:rFonts w:eastAsia="Calibri" w:cs="Sylfaen"/>
          <w:b w:val="0"/>
          <w:noProof/>
          <w:szCs w:val="22"/>
          <w:lang w:val="en-US" w:eastAsia="en-US"/>
        </w:rPr>
        <w:drawing>
          <wp:anchor distT="0" distB="0" distL="114300" distR="114300" simplePos="0" relativeHeight="251666432" behindDoc="1" locked="0" layoutInCell="1" allowOverlap="1" wp14:anchorId="64F5893C" wp14:editId="3A9E9F1D">
            <wp:simplePos x="0" y="0"/>
            <wp:positionH relativeFrom="margin">
              <wp:align>left</wp:align>
            </wp:positionH>
            <wp:positionV relativeFrom="paragraph">
              <wp:posOffset>477851</wp:posOffset>
            </wp:positionV>
            <wp:extent cx="3171825" cy="2009775"/>
            <wp:effectExtent l="0" t="0" r="9525" b="9525"/>
            <wp:wrapTight wrapText="bothSides">
              <wp:wrapPolygon edited="0">
                <wp:start x="0" y="0"/>
                <wp:lineTo x="0" y="21498"/>
                <wp:lineTo x="21535" y="21498"/>
                <wp:lineTo x="21535" y="0"/>
                <wp:lineTo x="0" y="0"/>
              </wp:wrapPolygon>
            </wp:wrapTight>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Pr="00D178DD">
        <w:rPr>
          <w:rFonts w:eastAsia="Calibri" w:cs="Sylfaen"/>
          <w:b w:val="0"/>
          <w:noProof/>
          <w:color w:val="C00000"/>
          <w:szCs w:val="22"/>
          <w:lang w:val="en-US" w:eastAsia="en-US"/>
        </w:rPr>
        <w:drawing>
          <wp:anchor distT="0" distB="0" distL="114300" distR="114300" simplePos="0" relativeHeight="251664384" behindDoc="1" locked="0" layoutInCell="1" allowOverlap="1" wp14:anchorId="724ADD9F" wp14:editId="3D24FE8B">
            <wp:simplePos x="0" y="0"/>
            <wp:positionH relativeFrom="column">
              <wp:posOffset>3232785</wp:posOffset>
            </wp:positionH>
            <wp:positionV relativeFrom="paragraph">
              <wp:posOffset>473710</wp:posOffset>
            </wp:positionV>
            <wp:extent cx="3066415" cy="2009775"/>
            <wp:effectExtent l="0" t="0" r="635" b="9525"/>
            <wp:wrapTight wrapText="bothSides">
              <wp:wrapPolygon edited="0">
                <wp:start x="0" y="0"/>
                <wp:lineTo x="0" y="21498"/>
                <wp:lineTo x="21470" y="21498"/>
                <wp:lineTo x="21470" y="0"/>
                <wp:lineTo x="0" y="0"/>
              </wp:wrapPolygon>
            </wp:wrapTight>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Pr="00D178DD">
        <w:rPr>
          <w:rFonts w:eastAsia="Calibri" w:cs="Sylfaen"/>
          <w:i/>
          <w:szCs w:val="22"/>
          <w:lang w:val="hy-AM" w:eastAsia="en-US"/>
        </w:rPr>
        <w:t>Գծապարկեր 1.25</w:t>
      </w:r>
      <w:r w:rsidRPr="00D178DD">
        <w:rPr>
          <w:rFonts w:ascii="MS Gothic" w:eastAsia="MS Gothic" w:hAnsi="MS Gothic" w:cs="MS Gothic" w:hint="eastAsia"/>
          <w:i/>
          <w:szCs w:val="22"/>
          <w:lang w:val="hy-AM" w:eastAsia="en-US"/>
        </w:rPr>
        <w:t>․</w:t>
      </w:r>
      <w:r w:rsidRPr="00D178DD">
        <w:rPr>
          <w:rFonts w:eastAsia="Calibri" w:cs="Sylfaen"/>
          <w:b w:val="0"/>
          <w:bCs/>
          <w:sz w:val="21"/>
          <w:szCs w:val="21"/>
          <w:lang w:val="hy-AM" w:eastAsia="en-US"/>
        </w:rPr>
        <w:t xml:space="preserve"> </w:t>
      </w:r>
      <w:r w:rsidRPr="00D178DD">
        <w:rPr>
          <w:rFonts w:eastAsia="Calibri" w:cs="Sylfaen"/>
          <w:b w:val="0"/>
          <w:bCs/>
          <w:i/>
          <w:lang w:val="hy-AM"/>
        </w:rPr>
        <w:t>ՀՀ ապրանքների և ծառայությունների արտահանման և ներմուծման միտումները տնտեսական ցնցումների տարիներին և  2021-2023թթ., %</w:t>
      </w:r>
      <w:r w:rsidRPr="00D178DD">
        <w:rPr>
          <w:rFonts w:eastAsia="Calibri" w:cs="Sylfaen"/>
          <w:bCs/>
          <w:sz w:val="21"/>
          <w:szCs w:val="21"/>
          <w:lang w:val="hy-AM"/>
        </w:rPr>
        <w:t xml:space="preserve">  </w:t>
      </w:r>
    </w:p>
    <w:p w:rsidR="00D178DD" w:rsidRPr="00D178DD" w:rsidRDefault="00D178DD" w:rsidP="00D178DD">
      <w:pPr>
        <w:tabs>
          <w:tab w:val="left" w:pos="0"/>
          <w:tab w:val="num" w:pos="720"/>
        </w:tabs>
        <w:spacing w:before="0" w:line="276" w:lineRule="auto"/>
        <w:ind w:firstLine="0"/>
        <w:rPr>
          <w:rFonts w:eastAsia="Calibri"/>
          <w:b w:val="0"/>
          <w:i/>
          <w:sz w:val="16"/>
          <w:szCs w:val="16"/>
          <w:lang w:val="hy-AM"/>
        </w:rPr>
      </w:pPr>
      <w:r w:rsidRPr="00D178DD">
        <w:rPr>
          <w:rFonts w:eastAsia="Calibri"/>
          <w:b w:val="0"/>
          <w:i/>
          <w:sz w:val="16"/>
          <w:szCs w:val="16"/>
          <w:lang w:val="hy-AM"/>
        </w:rPr>
        <w:t>Աղբյուր՝ ՀՀ ՎԿ և  ՀՀ ՖՆ հաշվարկներ և կանխաեսումներ:</w:t>
      </w:r>
    </w:p>
    <w:p w:rsidR="00D178DD" w:rsidRPr="00D178DD" w:rsidRDefault="00D178DD" w:rsidP="00D178DD">
      <w:pPr>
        <w:spacing w:before="0" w:after="120" w:line="240" w:lineRule="auto"/>
        <w:ind w:firstLine="0"/>
        <w:contextualSpacing w:val="0"/>
        <w:jc w:val="left"/>
        <w:rPr>
          <w:rFonts w:eastAsia="Calibri"/>
          <w:bCs/>
          <w:sz w:val="24"/>
          <w:lang w:val="hy-AM" w:eastAsia="en-US"/>
        </w:rPr>
      </w:pPr>
    </w:p>
    <w:p w:rsidR="00D178DD" w:rsidRPr="00D178DD" w:rsidRDefault="00D178DD" w:rsidP="00D178DD">
      <w:pPr>
        <w:spacing w:before="0" w:after="120" w:line="240" w:lineRule="auto"/>
        <w:ind w:firstLine="0"/>
        <w:contextualSpacing w:val="0"/>
        <w:jc w:val="left"/>
        <w:rPr>
          <w:rFonts w:eastAsia="Calibri"/>
          <w:bCs/>
          <w:sz w:val="24"/>
          <w:lang w:val="en-US" w:eastAsia="en-US"/>
        </w:rPr>
      </w:pPr>
      <w:r w:rsidRPr="00D178DD">
        <w:rPr>
          <w:rFonts w:eastAsia="Calibri"/>
          <w:bCs/>
          <w:sz w:val="24"/>
          <w:lang w:val="hy-AM" w:eastAsia="en-US"/>
        </w:rPr>
        <w:t>1.3.4. Փոխարժեքներ</w:t>
      </w:r>
    </w:p>
    <w:tbl>
      <w:tblPr>
        <w:tblStyle w:val="TableGrid9121"/>
        <w:tblW w:w="10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7"/>
        <w:gridCol w:w="222"/>
      </w:tblGrid>
      <w:tr w:rsidR="00D178DD" w:rsidRPr="005579BB" w:rsidTr="004B2286">
        <w:trPr>
          <w:trHeight w:val="309"/>
        </w:trPr>
        <w:tc>
          <w:tcPr>
            <w:tcW w:w="10487" w:type="dxa"/>
          </w:tcPr>
          <w:p w:rsidR="00D178DD" w:rsidRPr="00D178DD" w:rsidRDefault="00D178DD" w:rsidP="00D178DD">
            <w:pPr>
              <w:spacing w:before="0" w:after="120" w:line="276" w:lineRule="auto"/>
              <w:ind w:left="2" w:right="-31" w:firstLine="565"/>
              <w:contextualSpacing w:val="0"/>
              <w:rPr>
                <w:rFonts w:cs="Sylfaen"/>
                <w:b w:val="0"/>
                <w:szCs w:val="22"/>
                <w:lang w:val="hy-AM" w:eastAsia="en-US"/>
              </w:rPr>
            </w:pPr>
            <w:r w:rsidRPr="00D178DD">
              <w:rPr>
                <w:rFonts w:cs="Sylfaen"/>
                <w:bCs/>
                <w:szCs w:val="22"/>
                <w:lang w:val="hy-AM" w:eastAsia="en-US"/>
              </w:rPr>
              <w:t xml:space="preserve">2021թ. ՀՀ դրամը շարունակել է արժեզրկվել՝ հիմնականում պայմանավորված առաջին կիսամյակում համավարակի և </w:t>
            </w:r>
            <w:r w:rsidR="00FB546F" w:rsidRPr="00FB546F">
              <w:rPr>
                <w:rFonts w:cs="Sylfaen"/>
                <w:bCs/>
                <w:szCs w:val="22"/>
                <w:lang w:val="hy-AM" w:eastAsia="en-US"/>
              </w:rPr>
              <w:t>Ղարաբաղյ</w:t>
            </w:r>
            <w:r w:rsidRPr="00D178DD">
              <w:rPr>
                <w:rFonts w:cs="Sylfaen"/>
                <w:bCs/>
                <w:szCs w:val="22"/>
                <w:lang w:val="hy-AM" w:eastAsia="en-US"/>
              </w:rPr>
              <w:t xml:space="preserve">ան պատերազմի հետևանքով ձևավորված անորոշություններով։ </w:t>
            </w:r>
            <w:r w:rsidRPr="00D178DD">
              <w:rPr>
                <w:rFonts w:cs="Sylfaen"/>
                <w:b w:val="0"/>
                <w:szCs w:val="22"/>
                <w:lang w:val="hy-AM" w:eastAsia="en-US"/>
              </w:rPr>
              <w:t xml:space="preserve">Նախորդ տարվա միջինի համեմատ դրամն արժեզրկվել է երեք հիմնական արժույթների նկատմամբ։ </w:t>
            </w:r>
            <w:r w:rsidRPr="00D178DD">
              <w:rPr>
                <w:b w:val="0"/>
                <w:lang w:val="hy-AM"/>
              </w:rPr>
              <w:t>ԱՄՆ</w:t>
            </w:r>
            <w:r w:rsidRPr="00D178DD">
              <w:rPr>
                <w:rFonts w:cs="Sylfaen"/>
                <w:b w:val="0"/>
                <w:szCs w:val="22"/>
                <w:lang w:val="hy-AM" w:eastAsia="en-US"/>
              </w:rPr>
              <w:t xml:space="preserve"> դոլարի նկատմամբ՝ 2</w:t>
            </w:r>
            <w:r w:rsidRPr="00D178DD">
              <w:rPr>
                <w:rFonts w:ascii="Cambria Math" w:hAnsi="Cambria Math" w:cs="Sylfaen"/>
                <w:b w:val="0"/>
                <w:szCs w:val="22"/>
                <w:lang w:val="hy-AM" w:eastAsia="en-US"/>
              </w:rPr>
              <w:t>․</w:t>
            </w:r>
            <w:r w:rsidRPr="00D178DD">
              <w:rPr>
                <w:rFonts w:cs="Sylfaen"/>
                <w:b w:val="0"/>
                <w:szCs w:val="22"/>
                <w:lang w:val="hy-AM" w:eastAsia="en-US"/>
              </w:rPr>
              <w:t>9%, եվրոյի նկատմամբ` 6.4% և ռուբլու նկատմամբ՝ 0</w:t>
            </w:r>
            <w:r w:rsidRPr="00D178DD">
              <w:rPr>
                <w:rFonts w:ascii="Cambria Math" w:hAnsi="Cambria Math" w:cs="Sylfaen"/>
                <w:b w:val="0"/>
                <w:szCs w:val="22"/>
                <w:lang w:val="hy-AM" w:eastAsia="en-US"/>
              </w:rPr>
              <w:t>․</w:t>
            </w:r>
            <w:r w:rsidRPr="00D178DD">
              <w:rPr>
                <w:rFonts w:cs="Sylfaen"/>
                <w:b w:val="0"/>
                <w:szCs w:val="22"/>
                <w:lang w:val="hy-AM" w:eastAsia="en-US"/>
              </w:rPr>
              <w:t xml:space="preserve">7%-ով։ </w:t>
            </w:r>
          </w:p>
          <w:p w:rsidR="00D178DD" w:rsidRPr="00D178DD" w:rsidRDefault="00D178DD" w:rsidP="00D178DD">
            <w:pPr>
              <w:spacing w:before="0" w:after="120" w:line="276" w:lineRule="auto"/>
              <w:ind w:left="5" w:firstLine="562"/>
              <w:contextualSpacing w:val="0"/>
              <w:rPr>
                <w:rFonts w:cs="Sylfaen"/>
                <w:b w:val="0"/>
                <w:szCs w:val="22"/>
                <w:lang w:val="hy-AM" w:eastAsia="en-US"/>
              </w:rPr>
            </w:pPr>
            <w:r w:rsidRPr="00D178DD">
              <w:rPr>
                <w:rFonts w:cs="Sylfaen"/>
                <w:bCs/>
                <w:szCs w:val="22"/>
                <w:lang w:val="hy-AM" w:eastAsia="en-US"/>
              </w:rPr>
              <w:t>2022թ</w:t>
            </w:r>
            <w:r w:rsidRPr="00D178DD">
              <w:rPr>
                <w:rFonts w:ascii="Cambria Math" w:hAnsi="Cambria Math" w:cs="Cambria Math"/>
                <w:bCs/>
                <w:szCs w:val="22"/>
                <w:lang w:val="hy-AM" w:eastAsia="en-US"/>
              </w:rPr>
              <w:t>․</w:t>
            </w:r>
            <w:r w:rsidRPr="00D178DD">
              <w:rPr>
                <w:rFonts w:cs="Sylfaen"/>
                <w:bCs/>
                <w:szCs w:val="22"/>
                <w:lang w:val="hy-AM" w:eastAsia="en-US"/>
              </w:rPr>
              <w:t xml:space="preserve"> </w:t>
            </w:r>
            <w:r w:rsidRPr="00D178DD">
              <w:rPr>
                <w:rFonts w:cs="GHEA Grapalat"/>
                <w:bCs/>
                <w:szCs w:val="22"/>
                <w:lang w:val="hy-AM" w:eastAsia="en-US"/>
              </w:rPr>
              <w:t>հունվար</w:t>
            </w:r>
            <w:r w:rsidRPr="00D178DD">
              <w:rPr>
                <w:rFonts w:cs="Sylfaen"/>
                <w:bCs/>
                <w:szCs w:val="22"/>
                <w:lang w:val="hy-AM" w:eastAsia="en-US"/>
              </w:rPr>
              <w:t>-</w:t>
            </w:r>
            <w:r w:rsidRPr="00D178DD">
              <w:rPr>
                <w:rFonts w:cs="GHEA Grapalat"/>
                <w:bCs/>
                <w:szCs w:val="22"/>
                <w:lang w:val="hy-AM" w:eastAsia="en-US"/>
              </w:rPr>
              <w:t>օգոստոս</w:t>
            </w:r>
            <w:r w:rsidRPr="00D178DD">
              <w:rPr>
                <w:rFonts w:cs="Sylfaen"/>
                <w:bCs/>
                <w:szCs w:val="22"/>
                <w:lang w:val="hy-AM" w:eastAsia="en-US"/>
              </w:rPr>
              <w:t xml:space="preserve"> </w:t>
            </w:r>
            <w:r w:rsidRPr="00D178DD">
              <w:rPr>
                <w:rFonts w:cs="GHEA Grapalat"/>
                <w:bCs/>
                <w:szCs w:val="22"/>
                <w:lang w:val="hy-AM" w:eastAsia="en-US"/>
              </w:rPr>
              <w:t>ամիսներին</w:t>
            </w:r>
            <w:r w:rsidRPr="00D178DD">
              <w:rPr>
                <w:rFonts w:cs="Sylfaen"/>
                <w:bCs/>
                <w:szCs w:val="22"/>
                <w:lang w:val="hy-AM" w:eastAsia="en-US"/>
              </w:rPr>
              <w:t xml:space="preserve"> </w:t>
            </w:r>
            <w:r w:rsidRPr="00D178DD">
              <w:rPr>
                <w:rFonts w:cs="GHEA Grapalat"/>
                <w:bCs/>
                <w:szCs w:val="22"/>
                <w:lang w:val="hy-AM" w:eastAsia="en-US"/>
              </w:rPr>
              <w:t>ՀՀ</w:t>
            </w:r>
            <w:r w:rsidRPr="00D178DD">
              <w:rPr>
                <w:rFonts w:cs="Sylfaen"/>
                <w:bCs/>
                <w:szCs w:val="22"/>
                <w:lang w:val="hy-AM" w:eastAsia="en-US"/>
              </w:rPr>
              <w:t xml:space="preserve"> </w:t>
            </w:r>
            <w:r w:rsidRPr="00D178DD">
              <w:rPr>
                <w:rFonts w:cs="GHEA Grapalat"/>
                <w:bCs/>
                <w:szCs w:val="22"/>
                <w:lang w:val="hy-AM" w:eastAsia="en-US"/>
              </w:rPr>
              <w:t>դրամը</w:t>
            </w:r>
            <w:r w:rsidRPr="00D178DD">
              <w:rPr>
                <w:rFonts w:cs="Sylfaen"/>
                <w:bCs/>
                <w:szCs w:val="22"/>
                <w:lang w:val="hy-AM" w:eastAsia="en-US"/>
              </w:rPr>
              <w:t xml:space="preserve"> </w:t>
            </w:r>
            <w:r w:rsidRPr="00D178DD">
              <w:rPr>
                <w:rFonts w:cs="GHEA Grapalat"/>
                <w:bCs/>
                <w:szCs w:val="22"/>
                <w:lang w:val="hy-AM" w:eastAsia="en-US"/>
              </w:rPr>
              <w:t>արժևորվել</w:t>
            </w:r>
            <w:r w:rsidRPr="00D178DD">
              <w:rPr>
                <w:rFonts w:cs="Sylfaen"/>
                <w:bCs/>
                <w:szCs w:val="22"/>
                <w:lang w:val="hy-AM" w:eastAsia="en-US"/>
              </w:rPr>
              <w:t xml:space="preserve"> </w:t>
            </w:r>
            <w:r w:rsidRPr="00D178DD">
              <w:rPr>
                <w:rFonts w:cs="GHEA Grapalat"/>
                <w:bCs/>
                <w:szCs w:val="22"/>
                <w:lang w:val="hy-AM" w:eastAsia="en-US"/>
              </w:rPr>
              <w:t>է</w:t>
            </w:r>
            <w:r w:rsidRPr="00D178DD">
              <w:rPr>
                <w:rFonts w:cs="Sylfaen"/>
                <w:bCs/>
                <w:szCs w:val="22"/>
                <w:lang w:val="hy-AM" w:eastAsia="en-US"/>
              </w:rPr>
              <w:t xml:space="preserve"> </w:t>
            </w:r>
            <w:r w:rsidRPr="00D178DD">
              <w:rPr>
                <w:rFonts w:cs="GHEA Grapalat"/>
                <w:bCs/>
                <w:szCs w:val="22"/>
                <w:lang w:val="hy-AM" w:eastAsia="en-US"/>
              </w:rPr>
              <w:t>երեք</w:t>
            </w:r>
            <w:r w:rsidRPr="00D178DD">
              <w:rPr>
                <w:rFonts w:cs="Sylfaen"/>
                <w:bCs/>
                <w:szCs w:val="22"/>
                <w:lang w:val="hy-AM" w:eastAsia="en-US"/>
              </w:rPr>
              <w:t xml:space="preserve"> </w:t>
            </w:r>
            <w:r w:rsidRPr="00D178DD">
              <w:rPr>
                <w:rFonts w:cs="GHEA Grapalat"/>
                <w:bCs/>
                <w:szCs w:val="22"/>
                <w:lang w:val="hy-AM" w:eastAsia="en-US"/>
              </w:rPr>
              <w:t>հիմնական</w:t>
            </w:r>
            <w:r w:rsidRPr="00D178DD">
              <w:rPr>
                <w:rFonts w:cs="Sylfaen"/>
                <w:bCs/>
                <w:szCs w:val="22"/>
                <w:lang w:val="hy-AM" w:eastAsia="en-US"/>
              </w:rPr>
              <w:t xml:space="preserve"> </w:t>
            </w:r>
            <w:r w:rsidRPr="00D178DD">
              <w:rPr>
                <w:rFonts w:cs="GHEA Grapalat"/>
                <w:bCs/>
                <w:szCs w:val="22"/>
                <w:lang w:val="hy-AM" w:eastAsia="en-US"/>
              </w:rPr>
              <w:t>արժույթների</w:t>
            </w:r>
            <w:r w:rsidRPr="00D178DD">
              <w:rPr>
                <w:rFonts w:cs="Sylfaen"/>
                <w:bCs/>
                <w:szCs w:val="22"/>
                <w:lang w:val="hy-AM" w:eastAsia="en-US"/>
              </w:rPr>
              <w:t xml:space="preserve"> </w:t>
            </w:r>
            <w:r w:rsidRPr="00D178DD">
              <w:rPr>
                <w:rFonts w:cs="GHEA Grapalat"/>
                <w:bCs/>
                <w:szCs w:val="22"/>
                <w:lang w:val="hy-AM" w:eastAsia="en-US"/>
              </w:rPr>
              <w:t>նկատմամբ՝</w:t>
            </w:r>
            <w:r w:rsidRPr="00D178DD">
              <w:rPr>
                <w:rFonts w:cs="Sylfaen"/>
                <w:bCs/>
                <w:szCs w:val="22"/>
                <w:lang w:val="hy-AM" w:eastAsia="en-US"/>
              </w:rPr>
              <w:t xml:space="preserve"> </w:t>
            </w:r>
            <w:r w:rsidRPr="00D178DD">
              <w:rPr>
                <w:rFonts w:cs="GHEA Grapalat"/>
                <w:bCs/>
                <w:szCs w:val="22"/>
                <w:lang w:val="hy-AM" w:eastAsia="en-US"/>
              </w:rPr>
              <w:t>հիմնականում</w:t>
            </w:r>
            <w:r w:rsidRPr="00D178DD">
              <w:rPr>
                <w:rFonts w:cs="Sylfaen"/>
                <w:bCs/>
                <w:szCs w:val="22"/>
                <w:lang w:val="hy-AM" w:eastAsia="en-US"/>
              </w:rPr>
              <w:t xml:space="preserve"> </w:t>
            </w:r>
            <w:r w:rsidRPr="00D178DD">
              <w:rPr>
                <w:rFonts w:cs="GHEA Grapalat"/>
                <w:bCs/>
                <w:szCs w:val="22"/>
                <w:lang w:val="hy-AM" w:eastAsia="en-US"/>
              </w:rPr>
              <w:t>պայմանավորված</w:t>
            </w:r>
            <w:r w:rsidRPr="00D178DD">
              <w:rPr>
                <w:rFonts w:cs="Sylfaen"/>
                <w:bCs/>
                <w:szCs w:val="22"/>
                <w:lang w:val="hy-AM" w:eastAsia="en-US"/>
              </w:rPr>
              <w:t xml:space="preserve"> </w:t>
            </w:r>
            <w:r w:rsidRPr="00D178DD">
              <w:rPr>
                <w:rFonts w:cs="GHEA Grapalat"/>
                <w:bCs/>
                <w:szCs w:val="22"/>
                <w:lang w:val="hy-AM" w:eastAsia="en-US"/>
              </w:rPr>
              <w:t>զբոսարջության</w:t>
            </w:r>
            <w:r w:rsidRPr="00D178DD">
              <w:rPr>
                <w:rFonts w:cs="Sylfaen"/>
                <w:bCs/>
                <w:szCs w:val="22"/>
                <w:lang w:val="hy-AM" w:eastAsia="en-US"/>
              </w:rPr>
              <w:t xml:space="preserve"> </w:t>
            </w:r>
            <w:r w:rsidRPr="00D178DD">
              <w:rPr>
                <w:rFonts w:cs="GHEA Grapalat"/>
                <w:bCs/>
                <w:szCs w:val="22"/>
                <w:lang w:val="hy-AM" w:eastAsia="en-US"/>
              </w:rPr>
              <w:t>և</w:t>
            </w:r>
            <w:r w:rsidRPr="00D178DD">
              <w:rPr>
                <w:rFonts w:cs="Sylfaen"/>
                <w:bCs/>
                <w:szCs w:val="22"/>
                <w:lang w:val="hy-AM" w:eastAsia="en-US"/>
              </w:rPr>
              <w:t xml:space="preserve"> </w:t>
            </w:r>
            <w:r w:rsidRPr="00D178DD">
              <w:rPr>
                <w:rFonts w:cs="GHEA Grapalat"/>
                <w:bCs/>
                <w:szCs w:val="22"/>
                <w:lang w:val="hy-AM" w:eastAsia="en-US"/>
              </w:rPr>
              <w:t>դրամական</w:t>
            </w:r>
            <w:r w:rsidRPr="00D178DD">
              <w:rPr>
                <w:rFonts w:cs="Sylfaen"/>
                <w:bCs/>
                <w:szCs w:val="22"/>
                <w:lang w:val="hy-AM" w:eastAsia="en-US"/>
              </w:rPr>
              <w:t xml:space="preserve"> </w:t>
            </w:r>
            <w:r w:rsidRPr="00D178DD">
              <w:rPr>
                <w:rFonts w:cs="GHEA Grapalat"/>
                <w:bCs/>
                <w:szCs w:val="22"/>
                <w:lang w:val="hy-AM" w:eastAsia="en-US"/>
              </w:rPr>
              <w:t>փոխանցումների</w:t>
            </w:r>
            <w:r w:rsidRPr="00D178DD">
              <w:rPr>
                <w:rFonts w:cs="Sylfaen"/>
                <w:bCs/>
                <w:szCs w:val="22"/>
                <w:lang w:val="hy-AM" w:eastAsia="en-US"/>
              </w:rPr>
              <w:t xml:space="preserve"> </w:t>
            </w:r>
            <w:r w:rsidRPr="00D178DD">
              <w:rPr>
                <w:rFonts w:cs="GHEA Grapalat"/>
                <w:bCs/>
                <w:szCs w:val="22"/>
                <w:lang w:val="hy-AM" w:eastAsia="en-US"/>
              </w:rPr>
              <w:t>ներհոսքի</w:t>
            </w:r>
            <w:r w:rsidRPr="00D178DD">
              <w:rPr>
                <w:rFonts w:cs="Sylfaen"/>
                <w:bCs/>
                <w:szCs w:val="22"/>
                <w:lang w:val="hy-AM" w:eastAsia="en-US"/>
              </w:rPr>
              <w:t xml:space="preserve"> </w:t>
            </w:r>
            <w:r w:rsidRPr="00D178DD">
              <w:rPr>
                <w:rFonts w:cs="GHEA Grapalat"/>
                <w:bCs/>
                <w:szCs w:val="22"/>
                <w:lang w:val="hy-AM" w:eastAsia="en-US"/>
              </w:rPr>
              <w:t>բարձր</w:t>
            </w:r>
            <w:r w:rsidRPr="00D178DD">
              <w:rPr>
                <w:rFonts w:cs="Sylfaen"/>
                <w:bCs/>
                <w:szCs w:val="22"/>
                <w:lang w:val="hy-AM" w:eastAsia="en-US"/>
              </w:rPr>
              <w:t xml:space="preserve"> </w:t>
            </w:r>
            <w:r w:rsidRPr="00D178DD">
              <w:rPr>
                <w:rFonts w:cs="GHEA Grapalat"/>
                <w:bCs/>
                <w:szCs w:val="22"/>
                <w:lang w:val="hy-AM" w:eastAsia="en-US"/>
              </w:rPr>
              <w:t>աճերով</w:t>
            </w:r>
            <w:r w:rsidRPr="00D178DD">
              <w:rPr>
                <w:rFonts w:cs="Sylfaen"/>
                <w:bCs/>
                <w:szCs w:val="22"/>
                <w:lang w:val="hy-AM" w:eastAsia="en-US"/>
              </w:rPr>
              <w:t xml:space="preserve">: </w:t>
            </w:r>
            <w:r w:rsidRPr="00D178DD">
              <w:rPr>
                <w:rFonts w:cs="Sylfaen"/>
                <w:b w:val="0"/>
                <w:szCs w:val="22"/>
                <w:lang w:val="hy-AM" w:eastAsia="en-US"/>
              </w:rPr>
              <w:t>2022թ. հունվար-օգոստոս ամիսներին ՀՀ դրամի միջին փոխարժեքը կազմել է մոտ 453</w:t>
            </w:r>
            <w:r w:rsidRPr="00D178DD">
              <w:rPr>
                <w:rFonts w:ascii="Cambria Math" w:hAnsi="Cambria Math" w:cs="Cambria Math"/>
                <w:b w:val="0"/>
                <w:szCs w:val="22"/>
                <w:lang w:val="hy-AM" w:eastAsia="en-US"/>
              </w:rPr>
              <w:t>․</w:t>
            </w:r>
            <w:r w:rsidRPr="00D178DD">
              <w:rPr>
                <w:rFonts w:cs="Sylfaen"/>
                <w:b w:val="0"/>
                <w:szCs w:val="22"/>
                <w:lang w:val="hy-AM" w:eastAsia="en-US"/>
              </w:rPr>
              <w:t>3 ՀՀ դրամ ԱՄՆ դոլարի դիմաց՝ նախորդ տարվա նույն ժամանակահատվածի միջինի նկատմամբ արժևորվելով 13.5%-ով: 2022թ. հունվար-օգոստոս ամիսներին ՀՀ դրամը եվրոյի նկատմամբ արժևորվել է շուրջ 26.3%-ով՝ կազմելով 488</w:t>
            </w:r>
            <w:r w:rsidRPr="00D178DD">
              <w:rPr>
                <w:rFonts w:ascii="Cambria Math" w:hAnsi="Cambria Math" w:cs="Sylfaen"/>
                <w:b w:val="0"/>
                <w:szCs w:val="22"/>
                <w:lang w:val="hy-AM" w:eastAsia="en-US"/>
              </w:rPr>
              <w:t>․</w:t>
            </w:r>
            <w:r w:rsidRPr="00D178DD">
              <w:rPr>
                <w:rFonts w:cs="Sylfaen"/>
                <w:b w:val="0"/>
                <w:szCs w:val="22"/>
                <w:lang w:val="hy-AM" w:eastAsia="en-US"/>
              </w:rPr>
              <w:t>5 դրամ մեկ եվրոյի նկատմամբ, իսկ ռուսական ռուբլու նկատմամբ՝ 7.1%-ով՝ կազմելով 6</w:t>
            </w:r>
            <w:r w:rsidRPr="00D178DD">
              <w:rPr>
                <w:rFonts w:ascii="Cambria Math" w:hAnsi="Cambria Math" w:cs="Sylfaen"/>
                <w:b w:val="0"/>
                <w:szCs w:val="22"/>
                <w:lang w:val="hy-AM" w:eastAsia="en-US"/>
              </w:rPr>
              <w:t>․</w:t>
            </w:r>
            <w:r w:rsidRPr="00D178DD">
              <w:rPr>
                <w:rFonts w:cs="Sylfaen"/>
                <w:b w:val="0"/>
                <w:szCs w:val="22"/>
                <w:lang w:val="hy-AM" w:eastAsia="en-US"/>
              </w:rPr>
              <w:t xml:space="preserve">5 դրամ մեկ ռուբլու նկատմամբ, ինչը հիմնականում պայմանավորված է մարտ ամսին ռուբլու կտրուկ արժեզրկմամբ։ </w:t>
            </w:r>
          </w:p>
          <w:p w:rsidR="00D178DD" w:rsidRPr="00D178DD" w:rsidRDefault="00D178DD" w:rsidP="00D178DD">
            <w:pPr>
              <w:spacing w:before="0" w:after="120" w:line="276" w:lineRule="auto"/>
              <w:ind w:left="10" w:firstLine="557"/>
              <w:contextualSpacing w:val="0"/>
              <w:rPr>
                <w:rFonts w:cs="Sylfaen"/>
                <w:b w:val="0"/>
                <w:szCs w:val="22"/>
                <w:lang w:val="hy-AM" w:eastAsia="en-US"/>
              </w:rPr>
            </w:pPr>
            <w:r w:rsidRPr="00D178DD">
              <w:rPr>
                <w:bCs/>
                <w:szCs w:val="22"/>
                <w:lang w:val="hy-AM" w:eastAsia="en-US"/>
              </w:rPr>
              <w:t xml:space="preserve"> Անվանական և իրական արդյունավետ փոխարժեքի՝ տարեզկզբից նկատվող արժևորման միտումը շարունակում է պահպանվել։</w:t>
            </w:r>
            <w:r w:rsidRPr="00D178DD">
              <w:rPr>
                <w:b w:val="0"/>
                <w:szCs w:val="22"/>
                <w:lang w:val="hy-AM" w:eastAsia="en-US"/>
              </w:rPr>
              <w:t xml:space="preserve"> Այսպես, ՀՀ արտաքին առևտրի տեսանկյունից առավել կարևոր արժույթներից բաղկացած զամբյուղի նկատմամբ ՀՀ ազգային արժույթն</w:t>
            </w:r>
            <w:r w:rsidRPr="00D178DD">
              <w:rPr>
                <w:rFonts w:cs="Sylfaen"/>
                <w:b w:val="0"/>
                <w:szCs w:val="22"/>
                <w:lang w:val="hy-AM" w:eastAsia="en-US"/>
              </w:rPr>
              <w:t xml:space="preserve"> իրական արտահայտությամբ 2021թ. արժևորվել է 1.2%-ով, իսկ անվանական արտահայտությամբ՝ 1.4%-ով: 2022թ. հունվար-հուլիս ամիսներին ՀՀ դրամի իրական արդյունավետ փոխարժեքի արժևորումը կազմել է 19.1%, իսկ անվանականի արժևորումը՝ 23.2%՝ իր բացասական ազդեցությունը թողնելով տեղական ապրանքների արտաքին մրցունակության վրա:</w:t>
            </w:r>
          </w:p>
          <w:tbl>
            <w:tblPr>
              <w:tblStyle w:val="TableGrid9121"/>
              <w:tblpPr w:leftFromText="180" w:rightFromText="180" w:vertAnchor="page" w:horzAnchor="margin" w:tblpY="4486"/>
              <w:tblOverlap w:val="never"/>
              <w:tblW w:w="10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1"/>
              <w:gridCol w:w="5090"/>
            </w:tblGrid>
            <w:tr w:rsidR="00D178DD" w:rsidRPr="005579BB" w:rsidTr="004B2286">
              <w:trPr>
                <w:trHeight w:val="309"/>
              </w:trPr>
              <w:tc>
                <w:tcPr>
                  <w:tcW w:w="5181" w:type="dxa"/>
                </w:tcPr>
                <w:p w:rsidR="00D178DD" w:rsidRPr="00D178DD" w:rsidRDefault="00D178DD" w:rsidP="00D178DD">
                  <w:pPr>
                    <w:spacing w:before="0" w:line="240" w:lineRule="auto"/>
                    <w:ind w:right="-267" w:firstLine="0"/>
                    <w:contextualSpacing w:val="0"/>
                    <w:rPr>
                      <w:rFonts w:cs="Sylfaen"/>
                      <w:b w:val="0"/>
                      <w:i/>
                      <w:sz w:val="18"/>
                      <w:szCs w:val="18"/>
                      <w:lang w:val="hy-AM" w:eastAsia="en-US"/>
                    </w:rPr>
                  </w:pPr>
                  <w:r w:rsidRPr="00D178DD">
                    <w:rPr>
                      <w:rFonts w:cs="Sylfaen"/>
                      <w:i/>
                      <w:sz w:val="18"/>
                      <w:szCs w:val="18"/>
                      <w:lang w:val="hy-AM" w:eastAsia="en-US"/>
                    </w:rPr>
                    <w:t xml:space="preserve">Գծապատկեր 1.26. </w:t>
                  </w:r>
                  <w:r w:rsidRPr="00D178DD">
                    <w:rPr>
                      <w:rFonts w:cs="Sylfaen"/>
                      <w:b w:val="0"/>
                      <w:i/>
                      <w:sz w:val="18"/>
                      <w:szCs w:val="18"/>
                      <w:lang w:val="hy-AM" w:eastAsia="en-US"/>
                    </w:rPr>
                    <w:t xml:space="preserve">ՀՀ դրամի անվանական </w:t>
                  </w:r>
                </w:p>
                <w:p w:rsidR="00D178DD" w:rsidRPr="00D178DD" w:rsidRDefault="00D178DD" w:rsidP="00D178DD">
                  <w:pPr>
                    <w:spacing w:before="0" w:line="240" w:lineRule="auto"/>
                    <w:ind w:right="-267" w:firstLine="0"/>
                    <w:contextualSpacing w:val="0"/>
                    <w:rPr>
                      <w:rFonts w:cs="Sylfaen"/>
                      <w:b w:val="0"/>
                      <w:i/>
                      <w:sz w:val="18"/>
                      <w:szCs w:val="18"/>
                      <w:lang w:val="hy-AM" w:eastAsia="en-US"/>
                    </w:rPr>
                  </w:pPr>
                  <w:r w:rsidRPr="00D178DD">
                    <w:rPr>
                      <w:rFonts w:cs="Sylfaen"/>
                      <w:b w:val="0"/>
                      <w:i/>
                      <w:sz w:val="18"/>
                      <w:szCs w:val="18"/>
                      <w:lang w:val="hy-AM" w:eastAsia="en-US"/>
                    </w:rPr>
                    <w:t xml:space="preserve">փոխարժեքի օրական դինամիկան </w:t>
                  </w:r>
                </w:p>
                <w:p w:rsidR="00D178DD" w:rsidRPr="00D178DD" w:rsidRDefault="00D178DD" w:rsidP="00D178DD">
                  <w:pPr>
                    <w:spacing w:before="0" w:line="240" w:lineRule="auto"/>
                    <w:ind w:right="-267" w:firstLine="0"/>
                    <w:contextualSpacing w:val="0"/>
                    <w:rPr>
                      <w:rFonts w:cs="Sylfaen"/>
                      <w:b w:val="0"/>
                      <w:i/>
                      <w:sz w:val="18"/>
                      <w:szCs w:val="18"/>
                      <w:lang w:val="hy-AM" w:eastAsia="en-US"/>
                    </w:rPr>
                  </w:pPr>
                  <w:r w:rsidRPr="00D178DD">
                    <w:rPr>
                      <w:rFonts w:cs="Sylfaen"/>
                      <w:b w:val="0"/>
                      <w:i/>
                      <w:sz w:val="18"/>
                      <w:szCs w:val="18"/>
                      <w:lang w:val="hy-AM" w:eastAsia="en-US"/>
                    </w:rPr>
                    <w:t>հիմնական արժույթների նկատմամբ</w:t>
                  </w:r>
                  <w:r w:rsidRPr="00D178DD">
                    <w:rPr>
                      <w:lang w:val="hy-AM"/>
                    </w:rPr>
                    <w:t xml:space="preserve"> </w:t>
                  </w:r>
                  <w:r w:rsidRPr="00D178DD">
                    <w:rPr>
                      <w:rFonts w:cs="Sylfaen"/>
                      <w:b w:val="0"/>
                      <w:i/>
                      <w:sz w:val="18"/>
                      <w:szCs w:val="18"/>
                      <w:lang w:val="hy-AM" w:eastAsia="en-US"/>
                    </w:rPr>
                    <w:t>(աճ՝ դրամի արժևորում)</w:t>
                  </w:r>
                </w:p>
                <w:p w:rsidR="00D178DD" w:rsidRPr="00D178DD" w:rsidRDefault="00D178DD" w:rsidP="00D178DD">
                  <w:pPr>
                    <w:tabs>
                      <w:tab w:val="left" w:pos="0"/>
                      <w:tab w:val="num" w:pos="720"/>
                    </w:tabs>
                    <w:spacing w:before="0" w:line="276" w:lineRule="auto"/>
                    <w:ind w:firstLine="0"/>
                    <w:rPr>
                      <w:rFonts w:cs="Sylfaen"/>
                      <w:b w:val="0"/>
                      <w:i/>
                      <w:sz w:val="18"/>
                      <w:szCs w:val="18"/>
                      <w:lang w:val="hy-AM" w:eastAsia="en-US"/>
                    </w:rPr>
                  </w:pPr>
                  <w:r w:rsidRPr="00D178DD">
                    <w:rPr>
                      <w:b w:val="0"/>
                      <w:i/>
                      <w:sz w:val="16"/>
                      <w:szCs w:val="16"/>
                      <w:lang w:val="hy-AM"/>
                    </w:rPr>
                    <w:t>Աղբյուրը՝ ՀՀ ԿԲ, ՀՀ ՖՆ հաշվարկներ</w:t>
                  </w:r>
                </w:p>
              </w:tc>
              <w:tc>
                <w:tcPr>
                  <w:tcW w:w="5090" w:type="dxa"/>
                </w:tcPr>
                <w:p w:rsidR="00D178DD" w:rsidRPr="00D178DD" w:rsidRDefault="00D178DD" w:rsidP="00D178DD">
                  <w:pPr>
                    <w:spacing w:before="0" w:line="240" w:lineRule="auto"/>
                    <w:ind w:right="217" w:firstLine="0"/>
                    <w:contextualSpacing w:val="0"/>
                    <w:rPr>
                      <w:rFonts w:cs="Sylfaen"/>
                      <w:b w:val="0"/>
                      <w:i/>
                      <w:sz w:val="18"/>
                      <w:szCs w:val="18"/>
                      <w:lang w:val="hy-AM" w:eastAsia="en-US"/>
                    </w:rPr>
                  </w:pPr>
                  <w:r w:rsidRPr="00D178DD">
                    <w:rPr>
                      <w:rFonts w:cs="Sylfaen"/>
                      <w:i/>
                      <w:sz w:val="18"/>
                      <w:szCs w:val="18"/>
                      <w:lang w:val="hy-AM" w:eastAsia="en-US"/>
                    </w:rPr>
                    <w:t>Գծապատկեր 1.27.</w:t>
                  </w:r>
                  <w:r w:rsidRPr="00D178DD">
                    <w:rPr>
                      <w:rFonts w:cs="Sylfaen"/>
                      <w:b w:val="0"/>
                      <w:i/>
                      <w:sz w:val="18"/>
                      <w:szCs w:val="18"/>
                      <w:lang w:val="hy-AM" w:eastAsia="en-US"/>
                    </w:rPr>
                    <w:t xml:space="preserve"> ՀՀ իրական և անվանական արդյունավետ փոխարժեքների կուտակային տ/տ աճերի դինամիկան (աճ՝ արժևորում)</w:t>
                  </w:r>
                </w:p>
                <w:p w:rsidR="00D178DD" w:rsidRPr="00D178DD" w:rsidRDefault="00D178DD" w:rsidP="00D178DD">
                  <w:pPr>
                    <w:tabs>
                      <w:tab w:val="left" w:pos="0"/>
                      <w:tab w:val="num" w:pos="720"/>
                    </w:tabs>
                    <w:spacing w:before="0" w:line="276" w:lineRule="auto"/>
                    <w:ind w:firstLine="0"/>
                    <w:rPr>
                      <w:rFonts w:cs="Sylfaen"/>
                      <w:b w:val="0"/>
                      <w:sz w:val="16"/>
                      <w:szCs w:val="16"/>
                      <w:lang w:val="hy-AM" w:eastAsia="en-US"/>
                    </w:rPr>
                  </w:pPr>
                  <w:r w:rsidRPr="00D178DD">
                    <w:rPr>
                      <w:b w:val="0"/>
                      <w:i/>
                      <w:sz w:val="16"/>
                      <w:szCs w:val="16"/>
                      <w:lang w:val="hy-AM"/>
                    </w:rPr>
                    <w:t>Աղբյուրը՝ ՀՀ ԿԲ, ՀՀ ՖՆ հաշվարկներ</w:t>
                  </w:r>
                </w:p>
              </w:tc>
            </w:tr>
          </w:tbl>
          <w:p w:rsidR="00D178DD" w:rsidRPr="00D178DD" w:rsidRDefault="00D178DD" w:rsidP="00D178DD">
            <w:pPr>
              <w:spacing w:before="0" w:after="120" w:line="276" w:lineRule="auto"/>
              <w:ind w:firstLine="539"/>
              <w:contextualSpacing w:val="0"/>
              <w:rPr>
                <w:rFonts w:cs="Sylfaen"/>
                <w:b w:val="0"/>
                <w:sz w:val="18"/>
                <w:szCs w:val="18"/>
                <w:lang w:val="hy-AM" w:eastAsia="en-US"/>
              </w:rPr>
            </w:pPr>
            <w:r w:rsidRPr="00D178DD">
              <w:rPr>
                <w:rFonts w:ascii="Times New Roman" w:hAnsi="Times New Roman"/>
                <w:b w:val="0"/>
                <w:noProof/>
                <w:sz w:val="24"/>
                <w:lang w:val="en-US" w:eastAsia="en-US"/>
              </w:rPr>
              <w:drawing>
                <wp:anchor distT="0" distB="0" distL="114300" distR="114300" simplePos="0" relativeHeight="251673600" behindDoc="1" locked="0" layoutInCell="1" allowOverlap="1" wp14:anchorId="4F45F5FC" wp14:editId="49FA9612">
                  <wp:simplePos x="0" y="0"/>
                  <wp:positionH relativeFrom="margin">
                    <wp:posOffset>-65953</wp:posOffset>
                  </wp:positionH>
                  <wp:positionV relativeFrom="paragraph">
                    <wp:posOffset>802057</wp:posOffset>
                  </wp:positionV>
                  <wp:extent cx="3145790" cy="2127250"/>
                  <wp:effectExtent l="0" t="0" r="16510" b="6350"/>
                  <wp:wrapTight wrapText="bothSides">
                    <wp:wrapPolygon edited="0">
                      <wp:start x="0" y="0"/>
                      <wp:lineTo x="0" y="21471"/>
                      <wp:lineTo x="21583" y="21471"/>
                      <wp:lineTo x="21583" y="0"/>
                      <wp:lineTo x="0" y="0"/>
                    </wp:wrapPolygon>
                  </wp:wrapTight>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Pr="00D178DD">
              <w:rPr>
                <w:noProof/>
                <w:lang w:val="en-US" w:eastAsia="en-US"/>
              </w:rPr>
              <w:drawing>
                <wp:anchor distT="0" distB="0" distL="114300" distR="114300" simplePos="0" relativeHeight="251674624" behindDoc="1" locked="0" layoutInCell="1" allowOverlap="1" wp14:anchorId="2D5BFBFE" wp14:editId="3CDF15BE">
                  <wp:simplePos x="0" y="0"/>
                  <wp:positionH relativeFrom="column">
                    <wp:posOffset>3365691</wp:posOffset>
                  </wp:positionH>
                  <wp:positionV relativeFrom="paragraph">
                    <wp:posOffset>792593</wp:posOffset>
                  </wp:positionV>
                  <wp:extent cx="3090545" cy="2127250"/>
                  <wp:effectExtent l="0" t="0" r="14605" b="6350"/>
                  <wp:wrapTight wrapText="bothSides">
                    <wp:wrapPolygon edited="0">
                      <wp:start x="0" y="0"/>
                      <wp:lineTo x="0" y="21471"/>
                      <wp:lineTo x="21569" y="21471"/>
                      <wp:lineTo x="21569" y="0"/>
                      <wp:lineTo x="0" y="0"/>
                    </wp:wrapPolygon>
                  </wp:wrapTight>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tc>
        <w:tc>
          <w:tcPr>
            <w:tcW w:w="222" w:type="dxa"/>
          </w:tcPr>
          <w:p w:rsidR="00D178DD" w:rsidRPr="00D178DD" w:rsidRDefault="00D178DD" w:rsidP="00D178DD">
            <w:pPr>
              <w:spacing w:before="0" w:line="240" w:lineRule="auto"/>
              <w:ind w:right="217" w:firstLine="0"/>
              <w:contextualSpacing w:val="0"/>
              <w:rPr>
                <w:rFonts w:cs="Sylfaen"/>
                <w:b w:val="0"/>
                <w:i/>
                <w:noProof/>
                <w:sz w:val="18"/>
                <w:szCs w:val="18"/>
                <w:lang w:val="hy-AM" w:eastAsia="en-US"/>
              </w:rPr>
            </w:pPr>
          </w:p>
        </w:tc>
      </w:tr>
    </w:tbl>
    <w:p w:rsidR="00D178DD" w:rsidRPr="00D178DD" w:rsidRDefault="00D178DD" w:rsidP="00D178DD">
      <w:pPr>
        <w:spacing w:before="0" w:after="120" w:line="240" w:lineRule="auto"/>
        <w:ind w:firstLine="0"/>
        <w:contextualSpacing w:val="0"/>
        <w:jc w:val="left"/>
        <w:rPr>
          <w:rFonts w:eastAsia="Calibri"/>
          <w:lang w:val="hy-AM"/>
        </w:rPr>
      </w:pPr>
      <w:bookmarkStart w:id="134" w:name="_Toc106795032"/>
      <w:bookmarkStart w:id="135" w:name="_Toc106877332"/>
      <w:r w:rsidRPr="00D178DD">
        <w:rPr>
          <w:rFonts w:eastAsia="Calibri"/>
          <w:bCs/>
          <w:sz w:val="24"/>
          <w:lang w:val="hy-AM" w:eastAsia="en-US"/>
        </w:rPr>
        <w:t>1.3.5. Գնաճ և դրամավարկային քաղաքականություն</w:t>
      </w:r>
      <w:bookmarkEnd w:id="134"/>
      <w:bookmarkEnd w:id="135"/>
      <w:r w:rsidRPr="00D178DD">
        <w:rPr>
          <w:rFonts w:eastAsia="Calibri"/>
          <w:bCs/>
          <w:sz w:val="24"/>
          <w:lang w:val="hy-AM" w:eastAsia="en-US"/>
        </w:rPr>
        <w:t xml:space="preserve"> </w:t>
      </w:r>
    </w:p>
    <w:p w:rsidR="00D178DD" w:rsidRPr="00D178DD" w:rsidRDefault="00D178DD" w:rsidP="00D178DD">
      <w:pPr>
        <w:spacing w:after="120" w:line="276" w:lineRule="auto"/>
        <w:rPr>
          <w:rFonts w:eastAsia="Calibri" w:cs="Sylfaen"/>
          <w:b w:val="0"/>
          <w:lang w:val="hy-AM"/>
        </w:rPr>
      </w:pPr>
      <w:r w:rsidRPr="00D178DD">
        <w:rPr>
          <w:rFonts w:eastAsia="Calibri" w:cs="Sylfaen"/>
          <w:lang w:val="hy-AM"/>
        </w:rPr>
        <w:t>2021թ.-ին գրանցվել է գնաճի զգալի արագացում, ինչի արդյունքում այն բարձր է գտնվել 4 տոկոս (±1.5) թիրախային միջակայքից:</w:t>
      </w:r>
      <w:r w:rsidRPr="00D178DD">
        <w:rPr>
          <w:rFonts w:eastAsia="Calibri" w:cs="Sylfaen"/>
          <w:b w:val="0"/>
          <w:lang w:val="hy-AM"/>
        </w:rPr>
        <w:t xml:space="preserve"> Գնաճի արագացմանը նպաստել են ինչպես </w:t>
      </w:r>
      <w:r w:rsidRPr="00D178DD">
        <w:rPr>
          <w:rFonts w:eastAsia="GHEA Grapalat" w:cs="GHEA Grapalat"/>
          <w:b w:val="0"/>
          <w:lang w:val="hy-AM"/>
        </w:rPr>
        <w:t>առաջարկի (միջազգային ապրանքահումքային շուկաներում դրսևորված գների աճ, բեռնափոխադրումների սակագների աճ, տարվա առաջին կեսին նախորդ համադրելի ժամանակահատվածի համեմատ ՀՀ դրամի արժեզրկված դիրք), այնպես էլ՝ պահանջարկի (մասնավոր սպառման աճ, գնաճային սպասումների ավելացում) գործոնները, հանգեցնելով միջին գնաճի արագացմանը մինչև 7.2%` նախորդող տարվա 1.2% ցուցանիշի դիմաց</w:t>
      </w:r>
      <w:r w:rsidRPr="00D178DD">
        <w:rPr>
          <w:rFonts w:eastAsia="Calibri" w:cs="Sylfaen"/>
          <w:b w:val="0"/>
          <w:lang w:val="hy-AM"/>
        </w:rPr>
        <w:t xml:space="preserve">։ Իսկ 12-ամսյա գնաճը 2021թ.-ի դեկտեմբերին կազմել է 7.7%՝ 2020թ.-ի դեկտեմբերին գրանցված 3.7% ցուցանիշի դիմաց։ </w:t>
      </w:r>
    </w:p>
    <w:p w:rsidR="00D178DD" w:rsidRPr="00D178DD" w:rsidRDefault="00D178DD" w:rsidP="00D178DD">
      <w:pPr>
        <w:spacing w:after="120" w:line="276" w:lineRule="auto"/>
        <w:rPr>
          <w:rFonts w:eastAsia="Calibri" w:cs="Sylfaen"/>
          <w:b w:val="0"/>
          <w:lang w:val="hy-AM"/>
        </w:rPr>
      </w:pPr>
      <w:r w:rsidRPr="00D178DD">
        <w:rPr>
          <w:rFonts w:eastAsia="Calibri" w:cs="Sylfaen"/>
          <w:bCs/>
          <w:lang w:val="hy-AM"/>
        </w:rPr>
        <w:t>2022թ. գնաճի տեմպերը շարունակել են արագանալ։</w:t>
      </w:r>
      <w:r w:rsidRPr="00D178DD">
        <w:rPr>
          <w:rFonts w:eastAsia="Calibri" w:cs="Sylfaen"/>
          <w:lang w:val="hy-AM"/>
        </w:rPr>
        <w:t xml:space="preserve"> </w:t>
      </w:r>
      <w:r w:rsidRPr="00D178DD">
        <w:rPr>
          <w:rFonts w:eastAsia="Calibri" w:cs="Sylfaen"/>
          <w:b w:val="0"/>
          <w:lang w:val="hy-AM"/>
        </w:rPr>
        <w:t>2022թ. սկզբին գնաճը 2021թ.-ի տարեվերջի համեմատությամբ որոշակիորեն դանդաղել է, ապա՝ մարտ ամսից սկսած արագացել՝ պայմանավորված ռուս-ուկրաինական հակամարտության սրման արդյունքում միջազգային ապրանքահումքային շուկաներում դիտված գների կտրուկ աճով, ՀՀ դրամի փոփարժեքի տատանողականությամբ, գնաճային սպասումների ավելացմամբ, համախառն պահանջարկի աճով (այդ թվում՝ օտարերկյա այցելուների կտրուկ աճով պայմանավորված), ինչպես նաև կարգավորվող ծառայությունների սակագների աճի շարունակական ազդեցությամբ: Արդյունքում 2022թ.-ի հունիսին 12 ամսյա գնաճը կազմել է 10</w:t>
      </w:r>
      <w:r w:rsidRPr="00D178DD">
        <w:rPr>
          <w:rFonts w:ascii="Cambria Math" w:eastAsia="Calibri" w:hAnsi="Cambria Math" w:cs="Cambria Math"/>
          <w:b w:val="0"/>
          <w:lang w:val="hy-AM"/>
        </w:rPr>
        <w:t>․</w:t>
      </w:r>
      <w:r w:rsidRPr="00D178DD">
        <w:rPr>
          <w:rFonts w:eastAsia="Calibri" w:cs="Sylfaen"/>
          <w:b w:val="0"/>
          <w:lang w:val="hy-AM"/>
        </w:rPr>
        <w:t>3%՝ օգոստոսին նվազելով մինչև 9.1%, իսկ միջին գնաճը՝ 8.4%: Նշված ժամանակահատվածում ևս գնաճը հիմնականում պայմանավորված է եղել սննդամթերքի և ոչ ալկոհոլային խմիչքների ապրանքախմբով (12 ամսյա գնաճին նպաստումը կազմել է 4.7%-ային կետ, իսկ միջին գնաճին՝ 4</w:t>
      </w:r>
      <w:r w:rsidRPr="00D178DD">
        <w:rPr>
          <w:rFonts w:ascii="MS Mincho" w:eastAsia="MS Mincho" w:hAnsi="MS Mincho" w:cs="MS Mincho"/>
          <w:b w:val="0"/>
          <w:lang w:val="hy-AM"/>
        </w:rPr>
        <w:t>.</w:t>
      </w:r>
      <w:r w:rsidRPr="00D178DD">
        <w:rPr>
          <w:rFonts w:eastAsia="Calibri" w:cs="Sylfaen"/>
          <w:b w:val="0"/>
          <w:lang w:val="hy-AM"/>
        </w:rPr>
        <w:t>9%-ային կետ), միաժամանակ բարձրացել է ծառայությունների նպաստումը գնաճին</w:t>
      </w:r>
      <w:r w:rsidRPr="00D178DD">
        <w:rPr>
          <w:rFonts w:eastAsia="Calibri" w:cs="Sylfaen"/>
          <w:b w:val="0"/>
          <w:sz w:val="20"/>
          <w:lang w:val="hy-AM"/>
        </w:rPr>
        <w:t>։</w:t>
      </w:r>
    </w:p>
    <w:p w:rsidR="00D178DD" w:rsidRPr="00D178DD" w:rsidRDefault="00D178DD" w:rsidP="00D178DD">
      <w:pPr>
        <w:spacing w:after="120" w:line="276" w:lineRule="auto"/>
        <w:rPr>
          <w:rFonts w:eastAsia="Calibri" w:cs="Sylfaen"/>
          <w:b w:val="0"/>
          <w:lang w:val="hy-AM"/>
        </w:rPr>
      </w:pPr>
      <w:r w:rsidRPr="00D178DD">
        <w:rPr>
          <w:rFonts w:eastAsia="Calibri" w:cs="Sylfaen"/>
          <w:lang w:val="hy-AM"/>
        </w:rPr>
        <w:t>2021թ</w:t>
      </w:r>
      <w:r w:rsidRPr="00D178DD">
        <w:rPr>
          <w:rFonts w:ascii="Cambria Math" w:eastAsia="Calibri" w:hAnsi="Cambria Math" w:cs="Cambria Math"/>
          <w:lang w:val="hy-AM"/>
        </w:rPr>
        <w:t>․</w:t>
      </w:r>
      <w:r w:rsidRPr="00D178DD">
        <w:rPr>
          <w:rFonts w:eastAsia="Calibri" w:cs="Sylfaen"/>
          <w:lang w:val="hy-AM"/>
        </w:rPr>
        <w:t>-ի ընթացքում ԿԲ-ն իրականացրել է զսպող քաղաքականություն՝</w:t>
      </w:r>
      <w:r w:rsidRPr="00D178DD">
        <w:rPr>
          <w:rFonts w:eastAsia="Calibri" w:cs="Sylfaen"/>
          <w:b w:val="0"/>
          <w:lang w:val="hy-AM"/>
        </w:rPr>
        <w:t xml:space="preserve"> 2020թ. դեկտեմբերից մինչև 2021թ. դեկտեմբեր վերաֆինանսավորման տոկոսադրույքը բարձրացնելով 3.5 տոկոսային կետով և հասցնելով 7.75%-ի։ Տոկոսադրույքի բարձրացմամբ ԿԲ-ն արձագանքել է մի կողմից </w:t>
      </w:r>
      <w:r w:rsidRPr="00D178DD">
        <w:rPr>
          <w:rFonts w:eastAsia="GHEA Grapalat" w:cs="GHEA Grapalat"/>
          <w:b w:val="0"/>
          <w:lang w:val="hy-AM"/>
        </w:rPr>
        <w:t>ներքին տնտեսությունում, մյուս կողմից՝ միջազգային պարենային շուկաներում գնաճային զարգացումներին և գնաճային սպասումների ավելացմանը:</w:t>
      </w:r>
      <w:r w:rsidRPr="00D178DD">
        <w:rPr>
          <w:rFonts w:eastAsia="Calibri" w:cs="Sylfaen"/>
          <w:b w:val="0"/>
          <w:lang w:val="hy-AM"/>
        </w:rPr>
        <w:t xml:space="preserve"> </w:t>
      </w:r>
    </w:p>
    <w:p w:rsidR="00D178DD" w:rsidRPr="00D178DD" w:rsidRDefault="00D178DD" w:rsidP="00D178DD">
      <w:pPr>
        <w:spacing w:after="120" w:line="276" w:lineRule="auto"/>
        <w:rPr>
          <w:rFonts w:eastAsia="Calibri" w:cs="Sylfaen"/>
          <w:b w:val="0"/>
          <w:lang w:val="hy-AM"/>
        </w:rPr>
      </w:pPr>
      <w:r w:rsidRPr="00D178DD">
        <w:rPr>
          <w:rFonts w:eastAsia="Calibri" w:cs="Sylfaen"/>
          <w:bCs/>
          <w:lang w:val="hy-AM"/>
        </w:rPr>
        <w:t>2022թ. հունվար–օգոստոս ամիսներին ՀՀ ԿԲ-ն շարունակել է բարձրացնել վերաֆինանսավորման տոկոսադրույքը ընդհանուր առմամբ 1.5 տոկոսային կետով`</w:t>
      </w:r>
      <w:r w:rsidRPr="00D178DD">
        <w:rPr>
          <w:rFonts w:eastAsia="Calibri" w:cs="Sylfaen"/>
          <w:b w:val="0"/>
          <w:lang w:val="hy-AM"/>
        </w:rPr>
        <w:t xml:space="preserve"> արձագանքելով ռուս-ուկրաինական ռազմական հակամարտության արդյունքում միջազգային ապրանքահումքային շուկաներում  գնաճի նոր ալիքի հետևանքով առաջացած գնաճային սպասումների աճին և ներքին պահանջարկի բարձր աճի հետևանքով ձևավորվող գնաճային ճնշումներին</w:t>
      </w:r>
      <w:r w:rsidRPr="00D178DD" w:rsidDel="005253D1">
        <w:rPr>
          <w:rFonts w:eastAsia="Calibri" w:cs="Sylfaen"/>
          <w:b w:val="0"/>
          <w:lang w:val="hy-AM"/>
        </w:rPr>
        <w:t xml:space="preserve"> </w:t>
      </w:r>
      <w:r w:rsidRPr="00D178DD">
        <w:rPr>
          <w:rFonts w:eastAsia="Calibri" w:cs="Sylfaen"/>
          <w:b w:val="0"/>
          <w:lang w:val="hy-AM"/>
        </w:rPr>
        <w:t xml:space="preserve">։ </w:t>
      </w:r>
    </w:p>
    <w:p w:rsidR="00D178DD" w:rsidRPr="00D178DD" w:rsidRDefault="00D178DD" w:rsidP="00D178DD">
      <w:pPr>
        <w:spacing w:after="120" w:line="276" w:lineRule="auto"/>
        <w:rPr>
          <w:rFonts w:eastAsia="Calibri" w:cs="Sylfaen"/>
          <w:b w:val="0"/>
          <w:lang w:val="hy-AM"/>
        </w:rPr>
      </w:pPr>
      <w:r w:rsidRPr="00D178DD">
        <w:rPr>
          <w:rFonts w:eastAsia="Calibri" w:cs="Sylfaen"/>
          <w:u w:val="single"/>
          <w:lang w:val="hy-AM"/>
        </w:rPr>
        <w:t>Կանխատեսում</w:t>
      </w:r>
      <w:r w:rsidRPr="00D178DD">
        <w:rPr>
          <w:rFonts w:eastAsia="Calibri" w:cs="Sylfaen"/>
          <w:u w:val="single"/>
          <w:lang w:val="es-ES"/>
        </w:rPr>
        <w:t>.</w:t>
      </w:r>
      <w:r w:rsidRPr="00D178DD">
        <w:rPr>
          <w:rFonts w:eastAsia="Calibri" w:cs="Sylfaen"/>
          <w:lang w:val="es-ES"/>
        </w:rPr>
        <w:t xml:space="preserve"> </w:t>
      </w:r>
      <w:r w:rsidRPr="00D178DD">
        <w:rPr>
          <w:rFonts w:eastAsia="Calibri" w:cs="Sylfaen"/>
          <w:b w:val="0"/>
          <w:lang w:val="es-ES"/>
        </w:rPr>
        <w:t>202</w:t>
      </w:r>
      <w:r w:rsidRPr="00D178DD">
        <w:rPr>
          <w:rFonts w:eastAsia="Calibri" w:cs="Sylfaen"/>
          <w:b w:val="0"/>
          <w:lang w:val="hy-AM"/>
        </w:rPr>
        <w:t>2</w:t>
      </w:r>
      <w:r w:rsidRPr="00D178DD">
        <w:rPr>
          <w:rFonts w:eastAsia="Calibri" w:cs="Sylfaen"/>
          <w:b w:val="0"/>
          <w:lang w:val="es-ES"/>
        </w:rPr>
        <w:t>թ</w:t>
      </w:r>
      <w:r w:rsidRPr="00D178DD">
        <w:rPr>
          <w:rFonts w:eastAsia="Calibri" w:cs="Sylfaen"/>
          <w:b w:val="0"/>
          <w:lang w:val="hy-AM"/>
        </w:rPr>
        <w:t>.</w:t>
      </w:r>
      <w:r w:rsidRPr="00D178DD">
        <w:rPr>
          <w:rFonts w:eastAsia="Calibri" w:cs="Sylfaen"/>
          <w:b w:val="0"/>
          <w:lang w:val="es-ES"/>
        </w:rPr>
        <w:t xml:space="preserve"> 12-ամսա գնաճը </w:t>
      </w:r>
      <w:r w:rsidRPr="00D178DD">
        <w:rPr>
          <w:rFonts w:eastAsia="Calibri" w:cs="Sylfaen"/>
          <w:b w:val="0"/>
          <w:lang w:val="hy-AM"/>
        </w:rPr>
        <w:t>կգերազանցի թիրախային միջակայքը՝</w:t>
      </w:r>
      <w:r w:rsidRPr="00D178DD">
        <w:rPr>
          <w:rFonts w:eastAsia="Calibri" w:cs="Sylfaen"/>
          <w:b w:val="0"/>
          <w:lang w:val="es-ES"/>
        </w:rPr>
        <w:t xml:space="preserve"> կազմելով </w:t>
      </w:r>
      <w:r w:rsidRPr="00D178DD">
        <w:rPr>
          <w:rFonts w:eastAsia="Calibri" w:cs="Sylfaen"/>
          <w:b w:val="0"/>
          <w:lang w:val="hy-AM"/>
        </w:rPr>
        <w:t>8.</w:t>
      </w:r>
      <w:r w:rsidRPr="00D178DD">
        <w:rPr>
          <w:rFonts w:eastAsia="Calibri" w:cs="Sylfaen"/>
          <w:b w:val="0"/>
          <w:lang w:val="es-ES"/>
        </w:rPr>
        <w:t>5%</w:t>
      </w:r>
      <w:r w:rsidRPr="00D178DD">
        <w:rPr>
          <w:rFonts w:eastAsia="Calibri" w:cs="Sylfaen"/>
          <w:b w:val="0"/>
          <w:lang w:val="hy-AM"/>
        </w:rPr>
        <w:t xml:space="preserve">, իսկ միջին գնաճը կկազմի </w:t>
      </w:r>
      <w:r w:rsidRPr="00D178DD">
        <w:rPr>
          <w:rFonts w:eastAsia="Calibri" w:cs="Sylfaen"/>
          <w:b w:val="0"/>
          <w:lang w:val="es-ES"/>
        </w:rPr>
        <w:t>8.1</w:t>
      </w:r>
      <w:r w:rsidRPr="00D178DD">
        <w:rPr>
          <w:rFonts w:eastAsia="Calibri" w:cs="Sylfaen"/>
          <w:b w:val="0"/>
          <w:lang w:val="hy-AM"/>
        </w:rPr>
        <w:t>%</w:t>
      </w:r>
      <w:r w:rsidRPr="00D178DD">
        <w:rPr>
          <w:rFonts w:eastAsia="Calibri" w:cs="Sylfaen"/>
          <w:b w:val="0"/>
          <w:lang w:val="es-ES"/>
        </w:rPr>
        <w:t>:</w:t>
      </w:r>
      <w:r w:rsidRPr="00D178DD">
        <w:rPr>
          <w:rFonts w:eastAsia="Calibri" w:cs="Sylfaen"/>
          <w:b w:val="0"/>
          <w:lang w:val="hy-AM"/>
        </w:rPr>
        <w:t xml:space="preserve"> Միջնաժամկետ հատվածում, իրականացվող</w:t>
      </w:r>
      <w:r w:rsidRPr="00D178DD">
        <w:rPr>
          <w:rFonts w:eastAsia="Calibri" w:cs="Sylfaen"/>
          <w:b w:val="0"/>
          <w:lang w:val="es-ES"/>
        </w:rPr>
        <w:t xml:space="preserve"> </w:t>
      </w:r>
      <w:r w:rsidRPr="00D178DD">
        <w:rPr>
          <w:rFonts w:eastAsia="Calibri" w:cs="Sylfaen"/>
          <w:b w:val="0"/>
          <w:lang w:val="hy-AM"/>
        </w:rPr>
        <w:t>դրամավարկային քաղաքականության և աստիճանաբար մեղմվող</w:t>
      </w:r>
      <w:r w:rsidRPr="00D178DD">
        <w:rPr>
          <w:rFonts w:eastAsia="Calibri" w:cs="Sylfaen"/>
          <w:b w:val="0"/>
          <w:lang w:val="es-ES"/>
        </w:rPr>
        <w:t xml:space="preserve"> </w:t>
      </w:r>
      <w:r w:rsidRPr="00D178DD">
        <w:rPr>
          <w:rFonts w:eastAsia="Calibri" w:cs="Sylfaen"/>
          <w:b w:val="0"/>
          <w:lang w:val="hy-AM"/>
        </w:rPr>
        <w:t>ամբողջական պահանջարկի պարագայում գնաճը, կարճաժամկետ</w:t>
      </w:r>
      <w:r w:rsidRPr="00D178DD">
        <w:rPr>
          <w:rFonts w:eastAsia="Calibri" w:cs="Sylfaen"/>
          <w:b w:val="0"/>
          <w:lang w:val="es-ES"/>
        </w:rPr>
        <w:t xml:space="preserve"> </w:t>
      </w:r>
      <w:r w:rsidRPr="00D178DD">
        <w:rPr>
          <w:rFonts w:eastAsia="Calibri" w:cs="Sylfaen"/>
          <w:b w:val="0"/>
          <w:lang w:val="hy-AM"/>
        </w:rPr>
        <w:t>հատվածում մնալով թիրախից բարձր մակարդակում, կսկսի աստիճանաբար նվազել՝ 2023 թ. ընթացքում մոտենալով իր նպատակային</w:t>
      </w:r>
      <w:r w:rsidRPr="00D178DD">
        <w:rPr>
          <w:rFonts w:eastAsia="Calibri" w:cs="Sylfaen"/>
          <w:b w:val="0"/>
          <w:lang w:val="es-ES"/>
        </w:rPr>
        <w:t xml:space="preserve"> </w:t>
      </w:r>
      <w:r w:rsidRPr="00D178DD">
        <w:rPr>
          <w:rFonts w:eastAsia="Calibri" w:cs="Sylfaen"/>
          <w:b w:val="0"/>
          <w:lang w:val="hy-AM"/>
        </w:rPr>
        <w:t>ցուցանիշին։</w:t>
      </w:r>
    </w:p>
    <w:p w:rsidR="00D178DD" w:rsidRPr="00D178DD" w:rsidRDefault="00D178DD" w:rsidP="00D178DD">
      <w:pPr>
        <w:spacing w:after="120" w:line="276" w:lineRule="auto"/>
        <w:rPr>
          <w:rFonts w:eastAsia="Calibri" w:cs="Sylfaen"/>
          <w:b w:val="0"/>
          <w:lang w:val="hy-AM"/>
        </w:rPr>
      </w:pPr>
      <w:r w:rsidRPr="00D178DD">
        <w:rPr>
          <w:rFonts w:eastAsia="Calibri" w:cs="Sylfaen"/>
          <w:b w:val="0"/>
          <w:lang w:val="hy-AM"/>
        </w:rPr>
        <w:t>Կանխատեսվող հորիզոնում գնաճի կանխատեսված հետագծից շեղման ռիսկերը հավասարակշռված են, և դրանց ցանկացած դրսևորման դեպքում ԿԲ-ն պատրաստ է համապատասխանորեն արձագանքելու՝ միջնաժամկետ հատվածում գների կայունության նպատակի իրագործումն ապահովելու համար</w:t>
      </w:r>
      <w:r w:rsidRPr="00D178DD">
        <w:rPr>
          <w:rFonts w:ascii="GHEAGrapalat" w:eastAsiaTheme="minorHAnsi" w:hAnsi="GHEAGrapalat" w:cs="GHEAGrapalat"/>
          <w:b w:val="0"/>
          <w:sz w:val="20"/>
          <w:szCs w:val="20"/>
          <w:vertAlign w:val="superscript"/>
          <w:lang w:val="hy-AM"/>
        </w:rPr>
        <w:footnoteReference w:id="7"/>
      </w:r>
      <w:r w:rsidRPr="00D178DD">
        <w:rPr>
          <w:rFonts w:ascii="Arial" w:eastAsiaTheme="minorHAnsi" w:hAnsi="Arial" w:cs="Arial"/>
          <w:b w:val="0"/>
          <w:sz w:val="20"/>
          <w:szCs w:val="20"/>
          <w:lang w:val="hy-AM"/>
        </w:rPr>
        <w:t>։</w:t>
      </w:r>
    </w:p>
    <w:p w:rsidR="00D178DD" w:rsidRPr="00D178DD" w:rsidRDefault="00D178DD" w:rsidP="00D178DD">
      <w:pPr>
        <w:spacing w:after="120" w:line="276" w:lineRule="auto"/>
        <w:rPr>
          <w:rFonts w:cs="Sylfaen"/>
          <w:i/>
          <w:lang w:val="hy-AM"/>
        </w:rPr>
      </w:pPr>
    </w:p>
    <w:p w:rsidR="00D178DD" w:rsidRPr="00D178DD" w:rsidRDefault="00D178DD" w:rsidP="00D178DD">
      <w:pPr>
        <w:spacing w:after="120" w:line="276" w:lineRule="auto"/>
        <w:rPr>
          <w:rFonts w:cs="Sylfaen"/>
          <w:i/>
          <w:sz w:val="20"/>
          <w:szCs w:val="20"/>
          <w:lang w:val="hy-AM"/>
        </w:rPr>
      </w:pPr>
      <w:r w:rsidRPr="00D178DD">
        <w:rPr>
          <w:rFonts w:cs="Sylfaen"/>
          <w:i/>
          <w:lang w:val="hy-AM"/>
        </w:rPr>
        <w:t>Գծապատկեր 1.28.</w:t>
      </w:r>
      <w:r w:rsidRPr="00D178DD">
        <w:rPr>
          <w:rFonts w:cs="Sylfaen"/>
          <w:i/>
          <w:sz w:val="21"/>
          <w:szCs w:val="21"/>
          <w:lang w:val="hy-AM"/>
        </w:rPr>
        <w:t xml:space="preserve"> </w:t>
      </w:r>
      <w:r w:rsidRPr="00D178DD">
        <w:rPr>
          <w:rFonts w:cs="Sylfaen"/>
          <w:i/>
          <w:sz w:val="20"/>
          <w:szCs w:val="20"/>
          <w:lang w:val="hy-AM"/>
        </w:rPr>
        <w:t>Սպառողական գների աճը, դրամավարկային քաղաքականության հիմնական ցուցանիշները 2019-2022թթ</w:t>
      </w:r>
      <w:r w:rsidRPr="00D178DD">
        <w:rPr>
          <w:rFonts w:cs="Sylfaen"/>
          <w:i/>
          <w:sz w:val="20"/>
          <w:szCs w:val="20"/>
          <w:lang w:val="es-ES"/>
        </w:rPr>
        <w:t>.</w:t>
      </w:r>
      <w:r w:rsidRPr="00D178DD">
        <w:rPr>
          <w:rFonts w:cs="Sylfaen"/>
          <w:i/>
          <w:sz w:val="20"/>
          <w:szCs w:val="20"/>
          <w:lang w:val="hy-AM"/>
        </w:rPr>
        <w:t xml:space="preserve"> և գնաճի կանխատեսումները միջնաժամկետ հատվածում</w:t>
      </w:r>
    </w:p>
    <w:p w:rsidR="00D178DD" w:rsidRPr="00D178DD" w:rsidRDefault="00D178DD" w:rsidP="00D178DD">
      <w:pPr>
        <w:spacing w:after="120" w:line="276" w:lineRule="auto"/>
        <w:ind w:firstLine="0"/>
        <w:rPr>
          <w:rFonts w:eastAsia="Calibri" w:cs="Sylfaen"/>
          <w:i/>
          <w:lang w:val="hy-AM"/>
        </w:rPr>
      </w:pPr>
      <w:r w:rsidRPr="00D178DD">
        <w:rPr>
          <w:rFonts w:cs="Sylfaen"/>
          <w:b w:val="0"/>
          <w:noProof/>
          <w:lang w:val="en-US" w:eastAsia="en-US"/>
        </w:rPr>
        <w:drawing>
          <wp:inline distT="0" distB="0" distL="0" distR="0" wp14:anchorId="5551E507" wp14:editId="41CC1090">
            <wp:extent cx="3028950" cy="2011680"/>
            <wp:effectExtent l="0" t="0" r="0" b="7620"/>
            <wp:docPr id="2049" name="Chart 20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D178DD">
        <w:rPr>
          <w:rFonts w:cs="Sylfaen"/>
          <w:b w:val="0"/>
          <w:noProof/>
          <w:lang w:val="en-US" w:eastAsia="en-US"/>
        </w:rPr>
        <w:drawing>
          <wp:inline distT="0" distB="0" distL="0" distR="0" wp14:anchorId="4CA4480B" wp14:editId="556C9EC5">
            <wp:extent cx="3162300" cy="2011680"/>
            <wp:effectExtent l="0" t="0" r="0" b="7620"/>
            <wp:docPr id="2052" name="Chart 20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D178DD">
        <w:rPr>
          <w:rFonts w:cs="Sylfaen"/>
          <w:noProof/>
          <w:lang w:val="hy-AM"/>
        </w:rPr>
        <w:t xml:space="preserve"> </w:t>
      </w:r>
      <w:r w:rsidRPr="00D178DD">
        <w:rPr>
          <w:rFonts w:cs="Sylfaen"/>
          <w:b w:val="0"/>
          <w:noProof/>
          <w:lang w:val="en-US" w:eastAsia="en-US"/>
        </w:rPr>
        <w:drawing>
          <wp:inline distT="0" distB="0" distL="0" distR="0" wp14:anchorId="4313BE10" wp14:editId="676F4520">
            <wp:extent cx="6153785" cy="492760"/>
            <wp:effectExtent l="0" t="0" r="18415" b="2540"/>
            <wp:docPr id="2048" name="Chart 20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D178DD">
        <w:rPr>
          <w:rFonts w:cs="Sylfaen"/>
          <w:b w:val="0"/>
          <w:noProof/>
          <w:lang w:val="en-US" w:eastAsia="en-US"/>
        </w:rPr>
        <w:drawing>
          <wp:inline distT="0" distB="0" distL="0" distR="0" wp14:anchorId="32BBCA3F" wp14:editId="694AA2C2">
            <wp:extent cx="3028950" cy="2369185"/>
            <wp:effectExtent l="0" t="0" r="0" b="12065"/>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D178DD">
        <w:rPr>
          <w:noProof/>
          <w:lang w:val="en-US" w:eastAsia="en-US"/>
        </w:rPr>
        <w:drawing>
          <wp:inline distT="0" distB="0" distL="0" distR="0" wp14:anchorId="6F52DE71" wp14:editId="592C7974">
            <wp:extent cx="3124835" cy="2365375"/>
            <wp:effectExtent l="0" t="0" r="18415" b="1587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D178DD">
        <w:rPr>
          <w:rFonts w:eastAsia="Calibri" w:cs="Sylfaen"/>
          <w:i/>
          <w:lang w:val="hy-AM"/>
        </w:rPr>
        <w:t xml:space="preserve"> </w:t>
      </w:r>
    </w:p>
    <w:p w:rsidR="00D178DD" w:rsidRPr="00D178DD" w:rsidRDefault="00D178DD" w:rsidP="00D178DD">
      <w:pPr>
        <w:spacing w:line="276" w:lineRule="auto"/>
        <w:ind w:right="-172"/>
        <w:rPr>
          <w:rFonts w:eastAsia="Calibri" w:cs="Sylfaen"/>
          <w:i/>
          <w:sz w:val="18"/>
          <w:szCs w:val="18"/>
          <w:lang w:val="hy-AM"/>
        </w:rPr>
      </w:pPr>
      <w:r w:rsidRPr="00D178DD">
        <w:rPr>
          <w:rFonts w:eastAsia="Calibri" w:cs="Sylfaen"/>
          <w:i/>
          <w:sz w:val="18"/>
          <w:szCs w:val="18"/>
          <w:lang w:val="hy-AM"/>
        </w:rPr>
        <w:t>Աղբյուրը՝ ՀՀ ԿԲ, ՀՀ ՖՆ հաշվարկներ և կանխատեսումներ</w:t>
      </w:r>
    </w:p>
    <w:p w:rsidR="00D178DD" w:rsidRPr="00D178DD" w:rsidRDefault="00D178DD" w:rsidP="00D178DD">
      <w:pPr>
        <w:rPr>
          <w:lang w:val="hy-AM"/>
        </w:rPr>
      </w:pPr>
    </w:p>
    <w:p w:rsidR="00D178DD" w:rsidRPr="00D178DD" w:rsidRDefault="00D178DD" w:rsidP="00D178DD">
      <w:pPr>
        <w:keepNext/>
        <w:keepLines/>
        <w:spacing w:before="0" w:line="276" w:lineRule="auto"/>
        <w:outlineLvl w:val="2"/>
        <w:rPr>
          <w:b w:val="0"/>
          <w:bCs/>
          <w:sz w:val="24"/>
          <w:lang w:val="hy-AM"/>
        </w:rPr>
      </w:pPr>
      <w:bookmarkStart w:id="136" w:name="_Toc46760406"/>
      <w:bookmarkStart w:id="137" w:name="_Toc51947415"/>
      <w:bookmarkStart w:id="138" w:name="_Toc52452088"/>
      <w:bookmarkStart w:id="139" w:name="_Toc57559415"/>
      <w:bookmarkStart w:id="140" w:name="_Toc83663897"/>
      <w:bookmarkStart w:id="141" w:name="_Toc83972833"/>
      <w:bookmarkStart w:id="142" w:name="_Toc115686019"/>
      <w:bookmarkStart w:id="143" w:name="_Toc120805193"/>
      <w:bookmarkEnd w:id="128"/>
      <w:r w:rsidRPr="00D178DD">
        <w:rPr>
          <w:bCs/>
          <w:sz w:val="24"/>
          <w:lang w:val="hy-AM"/>
        </w:rPr>
        <w:t>1.4. ԿԱՆԽԱՏԵՍՈՒՄՆԵՐԻ ՀԻՄՔՈՒՄ ԸՆԿԱԾ ԵՆԹԱԴՐՈՒԹՅՈՒՆՆԵՐԸ</w:t>
      </w:r>
      <w:bookmarkEnd w:id="136"/>
      <w:bookmarkEnd w:id="137"/>
      <w:bookmarkEnd w:id="138"/>
      <w:bookmarkEnd w:id="139"/>
      <w:bookmarkEnd w:id="140"/>
      <w:bookmarkEnd w:id="141"/>
      <w:bookmarkEnd w:id="142"/>
      <w:bookmarkEnd w:id="143"/>
    </w:p>
    <w:p w:rsidR="00D178DD" w:rsidRPr="00D178DD" w:rsidRDefault="00D178DD" w:rsidP="00D178DD">
      <w:pPr>
        <w:spacing w:after="120" w:line="276" w:lineRule="auto"/>
        <w:ind w:firstLine="709"/>
        <w:contextualSpacing w:val="0"/>
        <w:rPr>
          <w:rFonts w:eastAsia="Calibri" w:cs="Sylfaen"/>
          <w:b w:val="0"/>
          <w:bCs/>
          <w:szCs w:val="22"/>
          <w:lang w:val="hy-AM" w:eastAsia="en-US"/>
        </w:rPr>
      </w:pPr>
      <w:r w:rsidRPr="00D178DD">
        <w:rPr>
          <w:rFonts w:eastAsia="Calibri" w:cs="Sylfaen"/>
          <w:b w:val="0"/>
          <w:bCs/>
          <w:szCs w:val="22"/>
          <w:lang w:val="hy-AM" w:eastAsia="en-US"/>
        </w:rPr>
        <w:t>2023թ</w:t>
      </w:r>
      <w:r w:rsidRPr="00D178DD">
        <w:rPr>
          <w:rFonts w:ascii="Cambria Math" w:eastAsia="Calibri" w:hAnsi="Cambria Math" w:cs="Cambria Math"/>
          <w:b w:val="0"/>
          <w:bCs/>
          <w:szCs w:val="22"/>
          <w:lang w:val="hy-AM" w:eastAsia="en-US"/>
        </w:rPr>
        <w:t>․</w:t>
      </w:r>
      <w:r w:rsidRPr="00D178DD">
        <w:rPr>
          <w:rFonts w:eastAsia="Calibri" w:cs="Sylfaen"/>
          <w:b w:val="0"/>
          <w:bCs/>
          <w:szCs w:val="22"/>
          <w:lang w:val="hy-AM" w:eastAsia="en-US"/>
        </w:rPr>
        <w:t xml:space="preserve"> պետական բյուջեի մակրոտնտեսական շրջանակի կանխատեսումներն իրականացվել են ՀՀ ՖՆ կողմից՝ կիրառելով տնտեսաչափական մոդելներ, և առանձին շոկերի և հարկաբյուջետային միջոցառումների ազդեցությունների գնահատման համար՝ ՀՀ ՖՆ </w:t>
      </w:r>
      <w:r w:rsidRPr="00D178DD">
        <w:rPr>
          <w:rFonts w:eastAsia="Calibri" w:cs="Sylfaen"/>
          <w:b w:val="0"/>
          <w:bCs/>
          <w:color w:val="000000" w:themeColor="text1"/>
          <w:szCs w:val="22"/>
          <w:lang w:val="hy-AM" w:eastAsia="en-US"/>
        </w:rPr>
        <w:t xml:space="preserve">Արարատ հարկաբյուջետային ռազմավարության </w:t>
      </w:r>
      <w:r w:rsidRPr="00D178DD">
        <w:rPr>
          <w:rFonts w:eastAsia="Calibri" w:cs="Sylfaen"/>
          <w:b w:val="0"/>
          <w:bCs/>
          <w:szCs w:val="22"/>
          <w:lang w:val="hy-AM" w:eastAsia="en-US"/>
        </w:rPr>
        <w:t>դինամիկ ստոխաստիկ ընդհանուր հավասարակշռության (</w:t>
      </w:r>
      <w:r w:rsidRPr="00D178DD">
        <w:rPr>
          <w:rFonts w:eastAsia="Calibri" w:cs="Sylfaen"/>
          <w:b w:val="0"/>
          <w:bCs/>
          <w:color w:val="000000" w:themeColor="text1"/>
          <w:szCs w:val="22"/>
          <w:lang w:val="hy-AM" w:eastAsia="en-US"/>
        </w:rPr>
        <w:t>Ararat Fiscal Strategy Model)</w:t>
      </w:r>
      <w:r w:rsidRPr="00D178DD">
        <w:rPr>
          <w:rFonts w:eastAsia="Calibri" w:cs="Sylfaen"/>
          <w:b w:val="0"/>
          <w:bCs/>
          <w:szCs w:val="22"/>
          <w:lang w:val="hy-AM" w:eastAsia="en-US"/>
        </w:rPr>
        <w:t xml:space="preserve"> մոդելը</w:t>
      </w:r>
      <w:r w:rsidRPr="00D178DD">
        <w:rPr>
          <w:rFonts w:eastAsia="Calibri"/>
          <w:b w:val="0"/>
          <w:szCs w:val="22"/>
          <w:vertAlign w:val="superscript"/>
          <w:lang w:val="es-ES" w:eastAsia="en-US"/>
        </w:rPr>
        <w:footnoteReference w:id="8"/>
      </w:r>
      <w:r w:rsidRPr="00D178DD">
        <w:rPr>
          <w:rFonts w:eastAsia="Calibri"/>
          <w:b w:val="0"/>
          <w:szCs w:val="22"/>
          <w:vertAlign w:val="superscript"/>
          <w:lang w:val="es-ES" w:eastAsia="en-US"/>
        </w:rPr>
        <w:t xml:space="preserve">, </w:t>
      </w:r>
      <w:r w:rsidRPr="00D178DD">
        <w:rPr>
          <w:rFonts w:eastAsia="Calibri" w:cs="Sylfaen"/>
          <w:b w:val="0"/>
          <w:bCs/>
          <w:szCs w:val="22"/>
          <w:lang w:val="hy-AM" w:eastAsia="en-US"/>
        </w:rPr>
        <w:t>որոնց համար տեղեկատվական հիմք են հանդիսացել նեքին և արտաքին ընթացիկ տնտեսակա</w:t>
      </w:r>
      <w:r w:rsidRPr="00D178DD">
        <w:rPr>
          <w:rFonts w:eastAsia="Calibri" w:cs="Sylfaen"/>
          <w:b w:val="0"/>
          <w:bCs/>
          <w:color w:val="000000" w:themeColor="text1"/>
          <w:szCs w:val="22"/>
          <w:lang w:val="hy-AM" w:eastAsia="en-US"/>
        </w:rPr>
        <w:t>ն և ֆինանսական զարգացումները, նախատեսվող հարկաբյուջետային միջոցառումների վերաբերյալ առկան տեղեկատվությունը, ինչպես նաև ՀՀ գործընկեր երկրների տնտեսական  զարգացումների և հումքային ապրանքների համաշխարհային գների միջազգային կառույցների կողմից արված կանխատեսումները: Բացի այդ հաշվի են առնվել ռուս-ուկրաինական հակամարտության պայմաններում 2022թ</w:t>
      </w:r>
      <w:r w:rsidRPr="00D178DD">
        <w:rPr>
          <w:rFonts w:ascii="Cambria Math" w:eastAsia="Calibri" w:hAnsi="Cambria Math" w:cs="Cambria Math"/>
          <w:b w:val="0"/>
          <w:bCs/>
          <w:color w:val="000000" w:themeColor="text1"/>
          <w:szCs w:val="22"/>
          <w:lang w:val="hy-AM" w:eastAsia="en-US"/>
        </w:rPr>
        <w:t>․</w:t>
      </w:r>
      <w:r w:rsidRPr="00D178DD">
        <w:rPr>
          <w:rFonts w:eastAsia="Calibri"/>
          <w:b w:val="0"/>
          <w:bCs/>
          <w:color w:val="000000" w:themeColor="text1"/>
          <w:szCs w:val="22"/>
          <w:lang w:val="hy-AM" w:eastAsia="en-US"/>
        </w:rPr>
        <w:t xml:space="preserve"> </w:t>
      </w:r>
      <w:r w:rsidRPr="00D178DD">
        <w:rPr>
          <w:rFonts w:eastAsia="Calibri" w:cs="Sylfaen"/>
          <w:b w:val="0"/>
          <w:bCs/>
          <w:color w:val="000000" w:themeColor="text1"/>
          <w:szCs w:val="22"/>
          <w:lang w:val="hy-AM" w:eastAsia="en-US"/>
        </w:rPr>
        <w:t>ընթացքում առաջացած ՌԴ-ից փոխանցվող ազդեցությունների և զարգացումների առանձնահատկություները։  Մասնավորապես՝</w:t>
      </w:r>
    </w:p>
    <w:p w:rsidR="00D178DD" w:rsidRPr="00D178DD" w:rsidRDefault="00D178DD" w:rsidP="00D178DD">
      <w:pPr>
        <w:numPr>
          <w:ilvl w:val="0"/>
          <w:numId w:val="34"/>
        </w:numPr>
        <w:spacing w:before="0" w:line="276" w:lineRule="auto"/>
        <w:ind w:left="426"/>
        <w:contextualSpacing w:val="0"/>
        <w:rPr>
          <w:rFonts w:eastAsia="Calibri" w:cs="Sylfaen"/>
          <w:bCs/>
          <w:szCs w:val="22"/>
          <w:lang w:val="hy-AM" w:eastAsia="en-US"/>
        </w:rPr>
      </w:pPr>
      <w:r w:rsidRPr="00D178DD">
        <w:rPr>
          <w:rFonts w:eastAsia="Calibri" w:cs="Sylfaen"/>
          <w:bCs/>
          <w:szCs w:val="22"/>
          <w:lang w:val="hy-AM" w:eastAsia="en-US"/>
        </w:rPr>
        <w:t>Արտաքին  գործոններ</w:t>
      </w:r>
      <w:r w:rsidRPr="00D178DD">
        <w:rPr>
          <w:rFonts w:eastAsia="Calibri" w:cs="Sylfaen"/>
          <w:bCs/>
          <w:szCs w:val="22"/>
          <w:lang w:eastAsia="en-US"/>
        </w:rPr>
        <w:t>.</w:t>
      </w:r>
    </w:p>
    <w:p w:rsidR="00D178DD" w:rsidRPr="00D178DD" w:rsidRDefault="00D178DD" w:rsidP="00D178DD">
      <w:pPr>
        <w:numPr>
          <w:ilvl w:val="0"/>
          <w:numId w:val="32"/>
        </w:numPr>
        <w:spacing w:before="0" w:after="120" w:line="276" w:lineRule="auto"/>
        <w:ind w:left="360"/>
        <w:contextualSpacing w:val="0"/>
        <w:rPr>
          <w:rFonts w:eastAsia="Calibri" w:cs="Sylfaen"/>
          <w:b w:val="0"/>
          <w:bCs/>
          <w:szCs w:val="22"/>
          <w:lang w:val="hy-AM" w:eastAsia="en-US"/>
        </w:rPr>
      </w:pPr>
      <w:r w:rsidRPr="00D178DD">
        <w:rPr>
          <w:rFonts w:eastAsia="Calibri" w:cs="Sylfaen"/>
          <w:b w:val="0"/>
          <w:bCs/>
          <w:szCs w:val="22"/>
          <w:lang w:val="hy-AM" w:eastAsia="en-US"/>
        </w:rPr>
        <w:t>Համավարակից հետո համաշխարհային տնտեսության վերականգմանը զուգընթաց ընթացիկ տարվա փետրվար ամսից սկիզբ առած ռուս-ուկրաինական հակամարտության հետևանքով ՀՀ գործընկեր երկրներում կարձանագրվի տնտեսական աճի տեմպերի դանդաղում: Այս պայմաններում 2022թ. հուլիս ամսվա ԱՄՀ կանխատեսումների համաձայն 2022թ. ՀՀ հիմնական գործընկեր երկրների արտաքին պահանջարկը (առանց ՌԴ) կաճի 2.8%-ով</w:t>
      </w:r>
      <w:r w:rsidRPr="00D178DD">
        <w:rPr>
          <w:rFonts w:ascii="Times New Roman" w:eastAsia="Calibri" w:hAnsi="Times New Roman"/>
          <w:b w:val="0"/>
          <w:sz w:val="20"/>
          <w:szCs w:val="20"/>
          <w:vertAlign w:val="superscript"/>
          <w:lang w:val="es-ES" w:eastAsia="en-US"/>
        </w:rPr>
        <w:footnoteReference w:id="9"/>
      </w:r>
      <w:r w:rsidRPr="00D178DD">
        <w:rPr>
          <w:rFonts w:eastAsia="Calibri" w:cs="Sylfaen"/>
          <w:b w:val="0"/>
          <w:bCs/>
          <w:szCs w:val="22"/>
          <w:lang w:val="hy-AM" w:eastAsia="en-US"/>
        </w:rPr>
        <w:t>՝ նախորդ՝ ընթացիկ տարվա ապրիլ ամսվա 3.4% աճի կանխատեսումների փոխարեն: Կանխատեսումների համաձայն 2023թ. ՀՀ հիմնական գործընկեր երկրներում կշարունակվի աճի տեմպերի դանդաղումը ՝ մնալով նախաճգնաժամային պոտենցիալներից ցածր մակարդակում: Ռուսաստանում և՛ 2022թ., և՛ 2023թ. սպասվում է խորը տնտեսական անկում:</w:t>
      </w:r>
    </w:p>
    <w:p w:rsidR="00D178DD" w:rsidRPr="00D178DD" w:rsidRDefault="00D178DD" w:rsidP="00D178DD">
      <w:pPr>
        <w:numPr>
          <w:ilvl w:val="0"/>
          <w:numId w:val="32"/>
        </w:numPr>
        <w:spacing w:before="0" w:after="120" w:line="276" w:lineRule="auto"/>
        <w:ind w:left="360"/>
        <w:contextualSpacing w:val="0"/>
        <w:rPr>
          <w:rFonts w:eastAsia="Calibri" w:cs="Sylfaen"/>
          <w:b w:val="0"/>
          <w:bCs/>
          <w:szCs w:val="22"/>
          <w:lang w:val="hy-AM" w:eastAsia="en-US"/>
        </w:rPr>
      </w:pPr>
      <w:r w:rsidRPr="00D178DD">
        <w:rPr>
          <w:rFonts w:eastAsia="Calibri" w:cs="Sylfaen"/>
          <w:b w:val="0"/>
          <w:bCs/>
          <w:szCs w:val="22"/>
          <w:lang w:val="hy-AM" w:eastAsia="en-US"/>
        </w:rPr>
        <w:t>2022թ. սպասվում է պղնձի միջազգային գների անկում և  նավթի գների բարձր աճ: Նավթի գնի աճը պայմանավորված է հիմնականում ռուս-ուկրաիանական հակամարտությամբ ՌԴ-ի նկատմամբ կիրառվող պատժամիջոցների հետևանքով ՌԴ-ից մատակարարման շղթաների խափանումներով: Ըստ «Բլումբերգ» միջազգային հեղինակավոր կազմակերպության օգոստոսի դրությամբ ամփոփած  կանխատեսումների 2022թ. նավթի միջազգային գները կաճեն շուրջ 45%-ով: Իսկ պղնձի գները կնվազեն 4.5%-ով, պայմանավորված Չինաստանի կողմից պահանջարկի նվազմամբ: 2023թ. նավթի և պղնձի գները կնվազեն համապատասխանաբար՝ 12% և 9%-ով:</w:t>
      </w:r>
    </w:p>
    <w:p w:rsidR="00D178DD" w:rsidRPr="00D178DD" w:rsidRDefault="00D178DD" w:rsidP="00D178DD">
      <w:pPr>
        <w:numPr>
          <w:ilvl w:val="0"/>
          <w:numId w:val="32"/>
        </w:numPr>
        <w:spacing w:line="276" w:lineRule="auto"/>
        <w:ind w:left="360"/>
        <w:contextualSpacing w:val="0"/>
        <w:rPr>
          <w:rFonts w:eastAsia="Calibri" w:cs="Sylfaen"/>
          <w:b w:val="0"/>
          <w:bCs/>
          <w:szCs w:val="22"/>
          <w:lang w:val="hy-AM" w:eastAsia="en-US"/>
        </w:rPr>
      </w:pPr>
      <w:r w:rsidRPr="00D178DD">
        <w:rPr>
          <w:rFonts w:eastAsia="Calibri" w:cs="Sylfaen"/>
          <w:b w:val="0"/>
          <w:bCs/>
          <w:szCs w:val="22"/>
          <w:lang w:val="hy-AM" w:eastAsia="en-US"/>
        </w:rPr>
        <w:t>Պատժամիջոցների հետևանքով որոշ երկրներից ՌԴ ներմուծման շուկայի սահմանափակումների արդյունքում տեղի է ունենում ՀՀ-ից դեպի Ռուսաստան արտահանման պահանջարկի ավելացում: Ստեղծված պայմաններում 2022թ. սպասվում է, որ դեպի ՌԴ ապրանքների արտահանումը դոլարային արտահայտությամբ կաճի շուրջ 55%, իսկ 2023թ. դրական զարգացումների պահպանման պայմաններում կանխատեսվում է շուրջ 20% աճ:</w:t>
      </w:r>
    </w:p>
    <w:p w:rsidR="00D178DD" w:rsidRPr="00D178DD" w:rsidRDefault="00D178DD" w:rsidP="00D178DD">
      <w:pPr>
        <w:numPr>
          <w:ilvl w:val="0"/>
          <w:numId w:val="32"/>
        </w:numPr>
        <w:spacing w:line="276" w:lineRule="auto"/>
        <w:ind w:left="360"/>
        <w:contextualSpacing w:val="0"/>
        <w:rPr>
          <w:rFonts w:eastAsia="Calibri" w:cs="Sylfaen"/>
          <w:b w:val="0"/>
          <w:bCs/>
          <w:szCs w:val="22"/>
          <w:lang w:val="hy-AM" w:eastAsia="en-US"/>
        </w:rPr>
      </w:pPr>
      <w:r w:rsidRPr="00D178DD">
        <w:rPr>
          <w:rFonts w:eastAsia="Calibri" w:cs="Sylfaen"/>
          <w:b w:val="0"/>
          <w:bCs/>
          <w:szCs w:val="22"/>
          <w:lang w:val="hy-AM" w:eastAsia="en-US"/>
        </w:rPr>
        <w:t>Աշխարհում համավարակի սահմանափակումների թուլացման և աստիճանական վերացման արդյունքում տեղի է ունենում տուրիզմի վերականգնում: Ենթադրվում է, որ ՀՀ ծառայությունների արտահանման վերականգնումը կլինի առաջանցիկ ներմուծման համեմատ՝ պայմանավորված լինելով ՌԴ նկատմամբ կիրառվող պատժամիջոցների հետևանքով ռուս զբոսաշրջիկների մեծ ներհոսքով: 2022թ. համար սպասվում է զբոսաշրջիկների շուրջ 1.8 անգամ ավելացում, պայմանավորված հիմնականում ՌԴ զբոսաշրջիկների 2.1 անգամ ավելացմամբ: Կանխատեսումների համաձայն 2023թ. դեպի ՀՀ զբոսաշրջիկների թիվը կաճի 14.6%-ով:</w:t>
      </w:r>
    </w:p>
    <w:p w:rsidR="00D178DD" w:rsidRPr="00D178DD" w:rsidRDefault="00D178DD" w:rsidP="00D178DD">
      <w:pPr>
        <w:numPr>
          <w:ilvl w:val="0"/>
          <w:numId w:val="32"/>
        </w:numPr>
        <w:spacing w:line="276" w:lineRule="auto"/>
        <w:ind w:left="360"/>
        <w:contextualSpacing w:val="0"/>
        <w:rPr>
          <w:rFonts w:eastAsia="Calibri" w:cs="Sylfaen"/>
          <w:b w:val="0"/>
          <w:bCs/>
          <w:szCs w:val="22"/>
          <w:lang w:val="hy-AM" w:eastAsia="en-US"/>
        </w:rPr>
      </w:pPr>
      <w:r w:rsidRPr="00D178DD">
        <w:rPr>
          <w:rFonts w:eastAsia="Calibri" w:cs="Sylfaen"/>
          <w:b w:val="0"/>
          <w:bCs/>
          <w:szCs w:val="22"/>
          <w:lang w:val="hy-AM" w:eastAsia="en-US"/>
        </w:rPr>
        <w:t>2022թ. սպասվում է դրամական փոխանցումների բարձր աճ՝ հիմնականում պայմանավորված ռուս-ուկրաինական հակամարտության արդյունքում ՌԴ-ից դրամական փոխանցումների կտրուկ ավելացմամբ, այլ երկրներից դեպի Հայաստան դրամական փոխանցումները նույնպես կաճեն: Կանխատեսումների համաձայն 2023թ. դրամական փոխանցումները կաճեն շուրջ 4%-ով:</w:t>
      </w:r>
    </w:p>
    <w:p w:rsidR="00D178DD" w:rsidRPr="00D178DD" w:rsidRDefault="00D178DD" w:rsidP="00D178DD">
      <w:pPr>
        <w:numPr>
          <w:ilvl w:val="0"/>
          <w:numId w:val="32"/>
        </w:numPr>
        <w:spacing w:line="276" w:lineRule="auto"/>
        <w:ind w:left="360"/>
        <w:contextualSpacing w:val="0"/>
        <w:rPr>
          <w:rFonts w:eastAsia="Calibri" w:cs="Sylfaen"/>
          <w:b w:val="0"/>
          <w:bCs/>
          <w:szCs w:val="22"/>
          <w:lang w:val="hy-AM" w:eastAsia="en-US"/>
        </w:rPr>
      </w:pPr>
      <w:r w:rsidRPr="00D178DD">
        <w:rPr>
          <w:rFonts w:eastAsia="Calibri" w:cs="Sylfaen"/>
          <w:b w:val="0"/>
          <w:bCs/>
          <w:szCs w:val="22"/>
          <w:lang w:val="hy-AM" w:eastAsia="en-US"/>
        </w:rPr>
        <w:t>ՌԴ դեմ կիրառված պատժամիջոցների արդյունքում ՌԴ-ից դեպի Հայաստան տեղափոխված ՏՏ ոլորտի ընկերությունների և աշխատակիցների որոշ մասը 2023թ. ընթացքում կմնան Հայաստանում:</w:t>
      </w:r>
    </w:p>
    <w:p w:rsidR="00D178DD" w:rsidRPr="00D178DD" w:rsidRDefault="00D178DD" w:rsidP="00D178DD">
      <w:pPr>
        <w:spacing w:line="276" w:lineRule="auto"/>
        <w:ind w:left="360" w:firstLine="0"/>
        <w:contextualSpacing w:val="0"/>
        <w:rPr>
          <w:rFonts w:eastAsia="Calibri" w:cs="Sylfaen"/>
          <w:b w:val="0"/>
          <w:szCs w:val="22"/>
          <w:lang w:val="hy-AM" w:eastAsia="en-US"/>
        </w:rPr>
      </w:pPr>
    </w:p>
    <w:p w:rsidR="00D178DD" w:rsidRPr="00D178DD" w:rsidRDefault="00D178DD" w:rsidP="00D178DD">
      <w:pPr>
        <w:numPr>
          <w:ilvl w:val="0"/>
          <w:numId w:val="34"/>
        </w:numPr>
        <w:spacing w:before="0" w:line="276" w:lineRule="auto"/>
        <w:ind w:left="360"/>
        <w:contextualSpacing w:val="0"/>
        <w:rPr>
          <w:rFonts w:eastAsia="Calibri" w:cs="Sylfaen"/>
          <w:bCs/>
          <w:szCs w:val="22"/>
          <w:lang w:val="hy-AM" w:eastAsia="en-US"/>
        </w:rPr>
      </w:pPr>
      <w:r w:rsidRPr="00D178DD">
        <w:rPr>
          <w:rFonts w:eastAsia="Calibri" w:cs="Sylfaen"/>
          <w:bCs/>
          <w:szCs w:val="22"/>
          <w:lang w:val="hy-AM" w:eastAsia="en-US"/>
        </w:rPr>
        <w:t xml:space="preserve">COVID-19 համավարակային իրավիճակ: </w:t>
      </w:r>
      <w:r w:rsidRPr="00D178DD">
        <w:rPr>
          <w:rFonts w:eastAsia="Calibri" w:cs="Sylfaen"/>
          <w:b w:val="0"/>
          <w:szCs w:val="22"/>
          <w:lang w:val="hy-AM" w:eastAsia="en-US"/>
        </w:rPr>
        <w:t>Ներկայումս</w:t>
      </w:r>
      <w:r w:rsidRPr="00D178DD">
        <w:rPr>
          <w:rFonts w:eastAsia="Calibri" w:cs="Sylfaen"/>
          <w:bCs/>
          <w:szCs w:val="22"/>
          <w:lang w:val="hy-AM" w:eastAsia="en-US"/>
        </w:rPr>
        <w:t xml:space="preserve"> </w:t>
      </w:r>
      <w:r w:rsidRPr="00D178DD">
        <w:rPr>
          <w:rFonts w:eastAsia="Calibri" w:cs="Sylfaen"/>
          <w:b w:val="0"/>
          <w:bCs/>
          <w:szCs w:val="22"/>
          <w:lang w:val="hy-AM" w:eastAsia="en-US"/>
        </w:rPr>
        <w:t xml:space="preserve">համավարակի էական բացասական ազդեցություններ նկատելի չեն, իսկ 2023թ. լրացուցիչ բացասական ազդեցություններ չեն սպասվում: </w:t>
      </w:r>
    </w:p>
    <w:p w:rsidR="00D178DD" w:rsidRPr="00D178DD" w:rsidRDefault="00D178DD" w:rsidP="00D178DD">
      <w:pPr>
        <w:spacing w:before="0" w:line="276" w:lineRule="auto"/>
        <w:ind w:left="360" w:firstLine="0"/>
        <w:rPr>
          <w:rFonts w:eastAsia="Calibri" w:cs="Sylfaen"/>
          <w:bCs/>
          <w:szCs w:val="22"/>
          <w:lang w:val="hy-AM" w:eastAsia="en-US"/>
        </w:rPr>
      </w:pPr>
    </w:p>
    <w:p w:rsidR="00D178DD" w:rsidRPr="00D178DD" w:rsidRDefault="00D178DD" w:rsidP="00D178DD">
      <w:pPr>
        <w:numPr>
          <w:ilvl w:val="0"/>
          <w:numId w:val="34"/>
        </w:numPr>
        <w:spacing w:before="0" w:line="276" w:lineRule="auto"/>
        <w:ind w:left="426"/>
        <w:contextualSpacing w:val="0"/>
        <w:rPr>
          <w:rFonts w:eastAsia="Calibri" w:cs="Sylfaen"/>
          <w:b w:val="0"/>
          <w:bCs/>
          <w:szCs w:val="22"/>
          <w:lang w:val="hy-AM" w:eastAsia="en-US"/>
        </w:rPr>
      </w:pPr>
      <w:r w:rsidRPr="00D178DD">
        <w:rPr>
          <w:rFonts w:eastAsia="Calibri" w:cs="Sylfaen"/>
          <w:bCs/>
          <w:szCs w:val="22"/>
          <w:lang w:val="hy-AM" w:eastAsia="en-US"/>
        </w:rPr>
        <w:t>Կառավարության 2021-2026թթ. ծրագրից բխող թիրախներ և գործողություններ։</w:t>
      </w:r>
      <w:r w:rsidRPr="00D178DD">
        <w:rPr>
          <w:rFonts w:eastAsia="Calibri" w:cs="Sylfaen"/>
          <w:b w:val="0"/>
          <w:bCs/>
          <w:szCs w:val="22"/>
          <w:lang w:val="hy-AM" w:eastAsia="en-US"/>
        </w:rPr>
        <w:t xml:space="preserve"> ՀՀ կառավարության ծրագրում նպատակարդված թիրախներին համահունչ 2023թ</w:t>
      </w:r>
      <w:r w:rsidRPr="00D178DD">
        <w:rPr>
          <w:rFonts w:ascii="Cambria Math" w:eastAsia="Calibri" w:hAnsi="Cambria Math" w:cs="Cambria Math"/>
          <w:b w:val="0"/>
          <w:bCs/>
          <w:szCs w:val="22"/>
          <w:lang w:val="hy-AM" w:eastAsia="en-US"/>
        </w:rPr>
        <w:t>․</w:t>
      </w:r>
      <w:r w:rsidRPr="00D178DD">
        <w:rPr>
          <w:rFonts w:eastAsia="Calibri"/>
          <w:b w:val="0"/>
          <w:bCs/>
          <w:szCs w:val="22"/>
          <w:lang w:val="hy-AM" w:eastAsia="en-US"/>
        </w:rPr>
        <w:t xml:space="preserve"> </w:t>
      </w:r>
      <w:r w:rsidRPr="00D178DD">
        <w:rPr>
          <w:rFonts w:eastAsia="Calibri" w:cs="Sylfaen"/>
          <w:b w:val="0"/>
          <w:bCs/>
          <w:szCs w:val="22"/>
          <w:lang w:val="hy-AM" w:eastAsia="en-US"/>
        </w:rPr>
        <w:t>տնտեսական աճի կանխատեսումների հիմքում դրվել է հետևյալ ենթադրությունները</w:t>
      </w:r>
      <w:r w:rsidRPr="00D178DD">
        <w:rPr>
          <w:rFonts w:ascii="Cambria Math" w:eastAsia="Calibri" w:hAnsi="Cambria Math" w:cs="Cambria Math"/>
          <w:b w:val="0"/>
          <w:bCs/>
          <w:szCs w:val="22"/>
          <w:lang w:val="hy-AM" w:eastAsia="en-US"/>
        </w:rPr>
        <w:t>․</w:t>
      </w:r>
    </w:p>
    <w:p w:rsidR="00D178DD" w:rsidRPr="00D178DD" w:rsidRDefault="00D178DD" w:rsidP="00D178DD">
      <w:pPr>
        <w:numPr>
          <w:ilvl w:val="0"/>
          <w:numId w:val="36"/>
        </w:numPr>
        <w:spacing w:before="0" w:line="276" w:lineRule="auto"/>
        <w:contextualSpacing w:val="0"/>
        <w:rPr>
          <w:rFonts w:eastAsia="Calibri" w:cs="Sylfaen"/>
          <w:b w:val="0"/>
          <w:bCs/>
          <w:szCs w:val="22"/>
          <w:lang w:val="hy-AM" w:eastAsia="en-US"/>
        </w:rPr>
      </w:pPr>
      <w:r w:rsidRPr="00D178DD">
        <w:rPr>
          <w:rFonts w:eastAsia="Calibri" w:cs="Sylfaen"/>
          <w:b w:val="0"/>
          <w:bCs/>
          <w:szCs w:val="22"/>
          <w:lang w:val="hy-AM" w:eastAsia="en-US"/>
        </w:rPr>
        <w:t xml:space="preserve">Գործարար միջավայրի բարելավման արդյունքում մասնավոր ներդրումների, այդ թվում օտարերկրյա ուղղակի ներդրումների մակարդակի բարձրացում, </w:t>
      </w:r>
    </w:p>
    <w:p w:rsidR="00D178DD" w:rsidRPr="00D178DD" w:rsidRDefault="00D178DD" w:rsidP="00D178DD">
      <w:pPr>
        <w:numPr>
          <w:ilvl w:val="0"/>
          <w:numId w:val="36"/>
        </w:numPr>
        <w:spacing w:before="0" w:line="276" w:lineRule="auto"/>
        <w:contextualSpacing w:val="0"/>
        <w:rPr>
          <w:rFonts w:eastAsia="Calibri" w:cs="Sylfaen"/>
          <w:b w:val="0"/>
          <w:bCs/>
          <w:szCs w:val="22"/>
          <w:lang w:val="hy-AM" w:eastAsia="en-US"/>
        </w:rPr>
      </w:pPr>
      <w:r w:rsidRPr="00D178DD">
        <w:rPr>
          <w:rFonts w:eastAsia="Calibri" w:cs="Sylfaen"/>
          <w:b w:val="0"/>
          <w:bCs/>
          <w:szCs w:val="22"/>
          <w:lang w:val="hy-AM" w:eastAsia="en-US"/>
        </w:rPr>
        <w:t>Ենթակառուցվածքներում, տնտեսության արտադրողական ոլորտներում մեծածավալ պետական կապիտալ ներդրումների թիրախավորված իրականացում,</w:t>
      </w:r>
    </w:p>
    <w:p w:rsidR="00D178DD" w:rsidRPr="00D178DD" w:rsidRDefault="00D178DD" w:rsidP="00D178DD">
      <w:pPr>
        <w:numPr>
          <w:ilvl w:val="0"/>
          <w:numId w:val="36"/>
        </w:numPr>
        <w:spacing w:before="0" w:line="276" w:lineRule="auto"/>
        <w:contextualSpacing w:val="0"/>
        <w:rPr>
          <w:rFonts w:eastAsia="Calibri" w:cs="Sylfaen"/>
          <w:b w:val="0"/>
          <w:bCs/>
          <w:szCs w:val="22"/>
          <w:lang w:val="hy-AM" w:eastAsia="en-US"/>
        </w:rPr>
      </w:pPr>
      <w:r w:rsidRPr="00D178DD">
        <w:rPr>
          <w:rFonts w:eastAsia="Calibri" w:cs="Sylfaen"/>
          <w:b w:val="0"/>
          <w:bCs/>
          <w:szCs w:val="22"/>
          <w:lang w:val="hy-AM" w:eastAsia="en-US"/>
        </w:rPr>
        <w:t>Տնտեսության արտահանելի հատվածի և արտահանման խթանմանն ուղղված քաղաքականության արդյունքում արտահանման ծավալների մեծացում,</w:t>
      </w:r>
    </w:p>
    <w:p w:rsidR="00D178DD" w:rsidRPr="00D178DD" w:rsidRDefault="00D178DD" w:rsidP="00D178DD">
      <w:pPr>
        <w:numPr>
          <w:ilvl w:val="0"/>
          <w:numId w:val="36"/>
        </w:numPr>
        <w:spacing w:before="0" w:line="276" w:lineRule="auto"/>
        <w:contextualSpacing w:val="0"/>
        <w:rPr>
          <w:rFonts w:eastAsia="Calibri" w:cs="Sylfaen"/>
          <w:b w:val="0"/>
          <w:bCs/>
          <w:szCs w:val="22"/>
          <w:lang w:val="hy-AM" w:eastAsia="en-US"/>
        </w:rPr>
      </w:pPr>
      <w:r w:rsidRPr="00D178DD">
        <w:rPr>
          <w:rFonts w:eastAsia="Calibri" w:cs="Sylfaen"/>
          <w:b w:val="0"/>
          <w:bCs/>
          <w:szCs w:val="22"/>
          <w:lang w:val="hy-AM" w:eastAsia="en-US"/>
        </w:rPr>
        <w:t>Բարձր տեխնոլոգիական առաջընթացի ապահովմանն ուղղված քաղաքականության իրականացման արդյունքում մրցակցության և արտադրողականության բարձրացում։</w:t>
      </w:r>
    </w:p>
    <w:p w:rsidR="00D178DD" w:rsidRPr="00D178DD" w:rsidRDefault="00D178DD" w:rsidP="00D178DD">
      <w:pPr>
        <w:spacing w:before="0" w:line="276" w:lineRule="auto"/>
        <w:ind w:firstLine="0"/>
        <w:contextualSpacing w:val="0"/>
        <w:rPr>
          <w:rFonts w:eastAsia="Calibri" w:cs="Sylfaen"/>
          <w:b w:val="0"/>
          <w:szCs w:val="22"/>
          <w:lang w:val="hy-AM" w:eastAsia="en-US"/>
        </w:rPr>
      </w:pPr>
    </w:p>
    <w:p w:rsidR="00D178DD" w:rsidRPr="00D178DD" w:rsidRDefault="00D178DD" w:rsidP="00D178DD">
      <w:pPr>
        <w:numPr>
          <w:ilvl w:val="0"/>
          <w:numId w:val="34"/>
        </w:numPr>
        <w:spacing w:before="0" w:line="276" w:lineRule="auto"/>
        <w:ind w:left="360"/>
        <w:contextualSpacing w:val="0"/>
        <w:rPr>
          <w:rFonts w:eastAsia="Calibri" w:cs="Sylfaen"/>
          <w:b w:val="0"/>
          <w:szCs w:val="22"/>
          <w:lang w:val="hy-AM" w:eastAsia="en-US"/>
        </w:rPr>
      </w:pPr>
      <w:r w:rsidRPr="00D178DD">
        <w:rPr>
          <w:rFonts w:eastAsia="Calibri" w:cs="Sylfaen"/>
          <w:bCs/>
          <w:szCs w:val="22"/>
          <w:lang w:val="hy-AM" w:eastAsia="en-US"/>
        </w:rPr>
        <w:t xml:space="preserve">Տնտեսության ներուժ և պարբերաշրջաններ: </w:t>
      </w:r>
      <w:r w:rsidRPr="00D178DD">
        <w:rPr>
          <w:rFonts w:eastAsia="Calibri" w:cs="Sylfaen"/>
          <w:b w:val="0"/>
          <w:szCs w:val="22"/>
          <w:lang w:val="hy-AM" w:eastAsia="en-US"/>
        </w:rPr>
        <w:t xml:space="preserve">2020թ.  համավարակի և </w:t>
      </w:r>
      <w:r w:rsidR="00FB546F" w:rsidRPr="00FB546F">
        <w:rPr>
          <w:rFonts w:eastAsia="Calibri" w:cs="Sylfaen"/>
          <w:b w:val="0"/>
          <w:szCs w:val="22"/>
          <w:lang w:val="hy-AM" w:eastAsia="en-US"/>
        </w:rPr>
        <w:t>Ղարաբաղ</w:t>
      </w:r>
      <w:r w:rsidRPr="00D178DD">
        <w:rPr>
          <w:rFonts w:eastAsia="Calibri" w:cs="Sylfaen"/>
          <w:b w:val="0"/>
          <w:szCs w:val="22"/>
          <w:lang w:val="hy-AM" w:eastAsia="en-US"/>
        </w:rPr>
        <w:t>յան պատերազմի հետևանքով առաջացած տնտեսական անկման պայմաններում ՀՀ տնտեսությունը կրել է ոչ միայն ցիկլային բացասական զարգացումներ, այլ նաև նվազել են տնտեսության ներուժը և ներուժային աճը, պայմանավորված ինչպես արտադրողականության անկմամբ, այնպես էլ արտադրական գործոնների՝ աշխատուժի և կապիտալի ներուժային մակարդակների նվազմամբ: 2021թ.</w:t>
      </w:r>
      <w:r w:rsidRPr="00D178DD">
        <w:rPr>
          <w:rFonts w:ascii="Times New Roman" w:eastAsia="Calibri" w:hAnsi="Times New Roman"/>
          <w:b w:val="0"/>
          <w:szCs w:val="22"/>
          <w:lang w:val="hy-AM" w:eastAsia="en-US"/>
        </w:rPr>
        <w:t xml:space="preserve"> </w:t>
      </w:r>
      <w:r w:rsidRPr="00D178DD">
        <w:rPr>
          <w:rFonts w:eastAsia="Calibri" w:cs="Sylfaen"/>
          <w:b w:val="0"/>
          <w:szCs w:val="22"/>
          <w:lang w:val="hy-AM" w:eastAsia="en-US"/>
        </w:rPr>
        <w:t xml:space="preserve">ՀՀ տնտեսությունը գտնվել է վերականգման փուլում՝ դեռևս մնալով բացասական ցիկլի տիրույթում։ </w:t>
      </w:r>
    </w:p>
    <w:p w:rsidR="00D178DD" w:rsidRPr="00D178DD" w:rsidRDefault="00D178DD" w:rsidP="00D178DD">
      <w:pPr>
        <w:spacing w:before="0" w:line="276" w:lineRule="auto"/>
        <w:ind w:left="360" w:firstLine="0"/>
        <w:contextualSpacing w:val="0"/>
        <w:rPr>
          <w:rFonts w:eastAsia="Calibri" w:cs="Sylfaen"/>
          <w:b w:val="0"/>
          <w:szCs w:val="22"/>
          <w:lang w:val="hy-AM" w:eastAsia="en-US"/>
        </w:rPr>
      </w:pPr>
      <w:r w:rsidRPr="00D178DD">
        <w:rPr>
          <w:rFonts w:eastAsia="Calibri" w:cs="Sylfaen"/>
          <w:b w:val="0"/>
          <w:szCs w:val="22"/>
          <w:lang w:val="hy-AM" w:eastAsia="en-US"/>
        </w:rPr>
        <w:t>2022 թ</w:t>
      </w:r>
      <w:r w:rsidRPr="00D178DD">
        <w:rPr>
          <w:rFonts w:ascii="Cambria Math" w:eastAsia="Calibri" w:hAnsi="Cambria Math" w:cs="Cambria Math"/>
          <w:b w:val="0"/>
          <w:szCs w:val="22"/>
          <w:lang w:val="hy-AM" w:eastAsia="en-US"/>
        </w:rPr>
        <w:t>․</w:t>
      </w:r>
      <w:r w:rsidRPr="00D178DD">
        <w:rPr>
          <w:rFonts w:eastAsia="Calibri" w:cs="Sylfaen"/>
          <w:b w:val="0"/>
          <w:szCs w:val="22"/>
          <w:lang w:val="hy-AM" w:eastAsia="en-US"/>
        </w:rPr>
        <w:t xml:space="preserve"> ընթացիկ դրական զարգացումների պայմաններում  ՀՀ տնտեսությունը կգտնվի ներուժային մակարդակից ավելի բարձր դիրքում՝ մտնելով դրական ճեղքի տիրույթ,  ՀՀ կառավարության թիրախավորած 7% տնտեսական աճի ապահովման պայմաններում 2023թ. ՀՀ տնտեսությունը կշարունակի մնալ դրական ճեղքի տիրույթում։ Միաժամանակ  պետական կապիտալ ծախսերի մակարդակի թիրախային բարձրացման և արտահանման առաջանցիկ աճի պայմաններում, ինչպես նաև ՀՀ տեղափոխված ՏՏ ոլորտի ընկերությունների և աշխատակիցների գործունեության արդյունքում ներուժային աճը կբարձրանա:</w:t>
      </w:r>
    </w:p>
    <w:p w:rsidR="00D178DD" w:rsidRPr="00D178DD" w:rsidRDefault="00D178DD" w:rsidP="00D178DD">
      <w:pPr>
        <w:spacing w:before="0" w:line="276" w:lineRule="auto"/>
        <w:ind w:left="720" w:firstLine="0"/>
        <w:rPr>
          <w:rFonts w:eastAsia="Calibri" w:cs="Sylfaen"/>
          <w:bCs/>
          <w:szCs w:val="22"/>
          <w:lang w:val="hy-AM" w:eastAsia="en-US"/>
        </w:rPr>
      </w:pPr>
    </w:p>
    <w:p w:rsidR="00D178DD" w:rsidRPr="00D178DD" w:rsidRDefault="00D178DD" w:rsidP="00D178DD">
      <w:pPr>
        <w:spacing w:before="0" w:line="276" w:lineRule="auto"/>
        <w:ind w:left="426" w:firstLine="0"/>
        <w:rPr>
          <w:rFonts w:eastAsia="Calibri" w:cs="Sylfaen"/>
          <w:bCs/>
          <w:szCs w:val="22"/>
          <w:lang w:val="hy-AM" w:eastAsia="en-US"/>
        </w:rPr>
      </w:pPr>
    </w:p>
    <w:p w:rsidR="00D178DD" w:rsidRPr="00D178DD" w:rsidRDefault="00D178DD" w:rsidP="00D178DD">
      <w:pPr>
        <w:numPr>
          <w:ilvl w:val="0"/>
          <w:numId w:val="34"/>
        </w:numPr>
        <w:spacing w:before="0" w:line="276" w:lineRule="auto"/>
        <w:ind w:left="0" w:firstLine="360"/>
        <w:contextualSpacing w:val="0"/>
        <w:rPr>
          <w:rFonts w:eastAsia="Calibri" w:cs="Sylfaen"/>
          <w:bCs/>
          <w:szCs w:val="22"/>
          <w:lang w:val="hy-AM" w:eastAsia="en-US"/>
        </w:rPr>
      </w:pPr>
      <w:r w:rsidRPr="00D178DD">
        <w:rPr>
          <w:rFonts w:eastAsia="Calibri" w:cs="Sylfaen"/>
          <w:bCs/>
          <w:szCs w:val="22"/>
          <w:lang w:val="hy-AM" w:eastAsia="en-US"/>
        </w:rPr>
        <w:t>Հարկաբյուջետային քաղաքականություն.</w:t>
      </w:r>
      <w:r w:rsidRPr="00D178DD">
        <w:rPr>
          <w:rFonts w:eastAsia="Calibri" w:cs="Sylfaen"/>
          <w:b w:val="0"/>
          <w:bCs/>
          <w:szCs w:val="22"/>
          <w:lang w:val="hy-AM" w:eastAsia="en-US"/>
        </w:rPr>
        <w:t xml:space="preserve"> 2023թ</w:t>
      </w:r>
      <w:r w:rsidRPr="00D178DD">
        <w:rPr>
          <w:rFonts w:ascii="Cambria Math" w:eastAsia="Calibri" w:hAnsi="Cambria Math" w:cs="Cambria Math"/>
          <w:b w:val="0"/>
          <w:bCs/>
          <w:szCs w:val="22"/>
          <w:lang w:val="hy-AM" w:eastAsia="en-US"/>
        </w:rPr>
        <w:t>․</w:t>
      </w:r>
      <w:r w:rsidRPr="00D178DD">
        <w:rPr>
          <w:rFonts w:eastAsia="Calibri"/>
          <w:b w:val="0"/>
          <w:bCs/>
          <w:szCs w:val="22"/>
          <w:lang w:val="hy-AM" w:eastAsia="en-US"/>
        </w:rPr>
        <w:t xml:space="preserve"> </w:t>
      </w:r>
      <w:r w:rsidRPr="00D178DD">
        <w:rPr>
          <w:rFonts w:eastAsia="Calibri" w:cs="Sylfaen"/>
          <w:b w:val="0"/>
          <w:bCs/>
          <w:szCs w:val="22"/>
          <w:lang w:val="hy-AM" w:eastAsia="en-US"/>
        </w:rPr>
        <w:t>մակրոտնտեսական  կանխատեսումների հիմքում դրվել է հարկաբյուջետային քաղաքականության հետևյալ ենթադրությունները.</w:t>
      </w:r>
    </w:p>
    <w:p w:rsidR="00D178DD" w:rsidRPr="00D178DD" w:rsidRDefault="00D178DD" w:rsidP="00D178DD">
      <w:pPr>
        <w:numPr>
          <w:ilvl w:val="0"/>
          <w:numId w:val="33"/>
        </w:numPr>
        <w:spacing w:before="0" w:after="120" w:line="276" w:lineRule="auto"/>
        <w:ind w:left="709" w:hanging="284"/>
        <w:contextualSpacing w:val="0"/>
        <w:rPr>
          <w:rFonts w:eastAsia="Calibri" w:cs="Sylfaen"/>
          <w:b w:val="0"/>
          <w:szCs w:val="22"/>
          <w:lang w:val="hy-AM" w:eastAsia="en-US"/>
        </w:rPr>
      </w:pPr>
      <w:r w:rsidRPr="00D178DD">
        <w:rPr>
          <w:rFonts w:cs="Arial"/>
          <w:b w:val="0"/>
          <w:szCs w:val="22"/>
          <w:lang w:val="hy-AM" w:eastAsia="en-US"/>
        </w:rPr>
        <w:t>2023 թվականին հարկաբյուջետային քաղաքականությունը ՀՀ կառավարության 2021-2026թթ. ծրագրին համահունչ ուղղված կլինի թիրախավորված 7% տնտեսական աճի ապահովմանը՝ շեշտադրելով պետական ներդրումների մասնաբաժնի էական մեծացումը (կապիտալ ծախսերի կշիռը ՀՆԱ-ում հասցնելով 5.9%-ի), ընթացիկ ծախսերի կշռի նվազումը և ծախսերի իրականացման արդյունավետության բարձրացումը: Ընդ որում հարկաբյուջետային քաղաքականությունը ամբողջական պահանջարկի վրա 2023թ. կունենա չեզոք ազդեցություն</w:t>
      </w:r>
      <w:r w:rsidRPr="00D178DD">
        <w:rPr>
          <w:rFonts w:eastAsia="Calibri" w:cs="Sylfaen"/>
          <w:b w:val="0"/>
          <w:szCs w:val="22"/>
          <w:lang w:val="hy-AM" w:eastAsia="en-US"/>
        </w:rPr>
        <w:t xml:space="preserve">:  </w:t>
      </w:r>
    </w:p>
    <w:p w:rsidR="00D178DD" w:rsidRPr="00D178DD" w:rsidRDefault="00D178DD" w:rsidP="00D178DD">
      <w:pPr>
        <w:numPr>
          <w:ilvl w:val="0"/>
          <w:numId w:val="33"/>
        </w:numPr>
        <w:spacing w:before="40" w:after="120" w:line="276" w:lineRule="auto"/>
        <w:ind w:left="709" w:hanging="283"/>
        <w:contextualSpacing w:val="0"/>
        <w:rPr>
          <w:rFonts w:eastAsia="Calibri" w:cs="Sylfaen"/>
          <w:b w:val="0"/>
          <w:szCs w:val="22"/>
          <w:lang w:val="hy-AM" w:eastAsia="en-US"/>
        </w:rPr>
      </w:pPr>
      <w:r w:rsidRPr="00D178DD">
        <w:rPr>
          <w:rFonts w:cs="Arial"/>
          <w:b w:val="0"/>
          <w:szCs w:val="22"/>
          <w:lang w:val="hy-AM" w:eastAsia="en-US"/>
        </w:rPr>
        <w:t>2023 թվականին բարձր տնտեսական աճի պայմաններում, կառավարությունը նախատեսում է իրականացնել հարկային վարչարարության բարելավմանն ուղղված միջոցառումներ, ինչպես նաև հարկային օրենսդրության բարեփոխումներ, որոնց արդյունքում ակնկալվում է ապահովել հարկեր/ՀՆԱ հարաբերակցության շուրջ 0.5 տոկոսային կետով բարելավում</w:t>
      </w:r>
      <w:r w:rsidRPr="00D178DD">
        <w:rPr>
          <w:rFonts w:eastAsia="Calibri" w:cs="Sylfaen"/>
          <w:b w:val="0"/>
          <w:szCs w:val="22"/>
          <w:lang w:val="hy-AM" w:eastAsia="en-US"/>
        </w:rPr>
        <w:t>: Հարկային օրենսդրության բարեփոխումները ներառում են ակցիզային հարկի դրույքաչափի բարձրացումը, եկամտային հարկի դրույքաչափի ևս 1 տոկոսային կետով նվազումը, կուտակային կենսաթոշակային համակարգում աշխատողների մասնակցության դրույքաչափի բարձրացումը:</w:t>
      </w:r>
    </w:p>
    <w:p w:rsidR="00D178DD" w:rsidRPr="00D178DD" w:rsidRDefault="00D178DD" w:rsidP="00D178DD">
      <w:pPr>
        <w:numPr>
          <w:ilvl w:val="0"/>
          <w:numId w:val="33"/>
        </w:numPr>
        <w:spacing w:before="40" w:after="120" w:line="276" w:lineRule="auto"/>
        <w:ind w:left="709" w:hanging="283"/>
        <w:contextualSpacing w:val="0"/>
        <w:rPr>
          <w:rFonts w:eastAsia="Calibri" w:cs="Sylfaen"/>
          <w:b w:val="0"/>
          <w:szCs w:val="22"/>
          <w:lang w:val="hy-AM" w:eastAsia="en-US"/>
        </w:rPr>
      </w:pPr>
      <w:r w:rsidRPr="00D178DD">
        <w:rPr>
          <w:rFonts w:eastAsia="Calibri" w:cs="Sylfaen"/>
          <w:b w:val="0"/>
          <w:szCs w:val="22"/>
          <w:lang w:val="hy-AM" w:eastAsia="en-US"/>
        </w:rPr>
        <w:t xml:space="preserve">Տնեսության խթանման և գնաճային ճնշումների պայմաններում սոցիալական իրավիճակի բարելավման նպատակով 2023թ. կառավարությունը նախատեսում է նաև  իրականացնել ծախսային միջոցառումներ: Մասնավորապես, նախատեսվում է տնտեսական արդիականացման ծրագրի շրջանակներում խթանել մասնավոր հատվածի ներդրումները (մասնավորապես՝ մեքենա-սարքավորումների ձեռքբերումը), ավելացնել գյուղատնտեսության ոլորտին տրամադրվող սուբսիդիաների ծավալը, ինչպես նաև բարձրացնել կենսաթոշակները և այլ սոցիալական ծախսերը: </w:t>
      </w:r>
    </w:p>
    <w:p w:rsidR="00D178DD" w:rsidRPr="00D178DD" w:rsidRDefault="00D178DD" w:rsidP="00D178DD">
      <w:pPr>
        <w:spacing w:before="40" w:after="120" w:line="276" w:lineRule="auto"/>
        <w:ind w:left="709" w:firstLine="0"/>
        <w:rPr>
          <w:rFonts w:eastAsia="Calibri" w:cs="Sylfaen"/>
          <w:b w:val="0"/>
          <w:szCs w:val="22"/>
          <w:lang w:val="hy-AM" w:eastAsia="en-US"/>
        </w:rPr>
      </w:pPr>
    </w:p>
    <w:p w:rsidR="00D178DD" w:rsidRPr="00D178DD" w:rsidRDefault="00D178DD" w:rsidP="00D178DD">
      <w:pPr>
        <w:numPr>
          <w:ilvl w:val="0"/>
          <w:numId w:val="34"/>
        </w:numPr>
        <w:spacing w:before="0" w:line="276" w:lineRule="auto"/>
        <w:contextualSpacing w:val="0"/>
        <w:jc w:val="left"/>
        <w:rPr>
          <w:rFonts w:eastAsia="Calibri" w:cs="Sylfaen"/>
          <w:bCs/>
          <w:szCs w:val="22"/>
          <w:lang w:val="hy-AM" w:eastAsia="en-US"/>
        </w:rPr>
      </w:pPr>
      <w:r w:rsidRPr="00D178DD">
        <w:rPr>
          <w:rFonts w:eastAsia="Calibri" w:cs="Sylfaen"/>
          <w:bCs/>
          <w:szCs w:val="22"/>
          <w:lang w:eastAsia="en-US"/>
        </w:rPr>
        <w:t>Գնաճ և դ</w:t>
      </w:r>
      <w:r w:rsidRPr="00D178DD">
        <w:rPr>
          <w:rFonts w:eastAsia="Calibri" w:cs="Sylfaen"/>
          <w:bCs/>
          <w:szCs w:val="22"/>
          <w:lang w:val="hy-AM" w:eastAsia="en-US"/>
        </w:rPr>
        <w:t>րամավարկային քաղաքականություն</w:t>
      </w:r>
      <w:r w:rsidRPr="00D178DD">
        <w:rPr>
          <w:rFonts w:eastAsia="Calibri" w:cs="Sylfaen"/>
          <w:bCs/>
          <w:szCs w:val="22"/>
          <w:lang w:eastAsia="en-US"/>
        </w:rPr>
        <w:t>.</w:t>
      </w:r>
      <w:r w:rsidRPr="00D178DD">
        <w:rPr>
          <w:rFonts w:ascii="Times New Roman" w:hAnsi="Times New Roman"/>
          <w:b w:val="0"/>
          <w:sz w:val="24"/>
          <w:lang w:val="hy-AM" w:eastAsia="en-US"/>
        </w:rPr>
        <w:t xml:space="preserve"> </w:t>
      </w:r>
      <w:r w:rsidRPr="00D178DD">
        <w:rPr>
          <w:rFonts w:eastAsia="Calibri" w:cs="Sylfaen"/>
          <w:bCs/>
          <w:szCs w:val="22"/>
          <w:lang w:val="hy-AM" w:eastAsia="en-US"/>
        </w:rPr>
        <w:tab/>
      </w:r>
    </w:p>
    <w:p w:rsidR="00D178DD" w:rsidRPr="00D178DD" w:rsidRDefault="00D178DD" w:rsidP="00D178DD">
      <w:pPr>
        <w:numPr>
          <w:ilvl w:val="1"/>
          <w:numId w:val="35"/>
        </w:numPr>
        <w:spacing w:before="0" w:line="276" w:lineRule="auto"/>
        <w:ind w:left="709"/>
        <w:contextualSpacing w:val="0"/>
        <w:rPr>
          <w:rFonts w:ascii="Times New Roman" w:hAnsi="Times New Roman"/>
          <w:b w:val="0"/>
          <w:sz w:val="24"/>
          <w:lang w:val="hy-AM" w:eastAsia="en-US"/>
        </w:rPr>
      </w:pPr>
      <w:r w:rsidRPr="00D178DD">
        <w:rPr>
          <w:rFonts w:eastAsia="Calibri" w:cs="Sylfaen"/>
          <w:b w:val="0"/>
          <w:lang w:val="es-ES"/>
        </w:rPr>
        <w:t>202</w:t>
      </w:r>
      <w:r w:rsidRPr="00D178DD">
        <w:rPr>
          <w:rFonts w:eastAsia="Calibri" w:cs="Sylfaen"/>
          <w:b w:val="0"/>
          <w:lang w:val="hy-AM"/>
        </w:rPr>
        <w:t>2</w:t>
      </w:r>
      <w:r w:rsidRPr="00D178DD">
        <w:rPr>
          <w:rFonts w:eastAsia="Calibri" w:cs="Sylfaen"/>
          <w:b w:val="0"/>
          <w:lang w:val="es-ES"/>
        </w:rPr>
        <w:t>թ</w:t>
      </w:r>
      <w:r w:rsidRPr="00D178DD">
        <w:rPr>
          <w:rFonts w:eastAsia="Calibri" w:cs="Sylfaen"/>
          <w:b w:val="0"/>
          <w:lang w:val="hy-AM"/>
        </w:rPr>
        <w:t>.</w:t>
      </w:r>
      <w:r w:rsidRPr="00D178DD">
        <w:rPr>
          <w:rFonts w:eastAsia="Calibri" w:cs="Sylfaen"/>
          <w:b w:val="0"/>
          <w:lang w:val="es-ES"/>
        </w:rPr>
        <w:t xml:space="preserve"> 12-ամսա գնաճը </w:t>
      </w:r>
      <w:r w:rsidRPr="00D178DD">
        <w:rPr>
          <w:rFonts w:eastAsia="Calibri" w:cs="Sylfaen"/>
          <w:b w:val="0"/>
          <w:lang w:val="hy-AM"/>
        </w:rPr>
        <w:t>կգերազանցի թիրախային միջակայքը՝</w:t>
      </w:r>
      <w:r w:rsidRPr="00D178DD">
        <w:rPr>
          <w:rFonts w:eastAsia="Calibri" w:cs="Sylfaen"/>
          <w:b w:val="0"/>
          <w:lang w:val="es-ES"/>
        </w:rPr>
        <w:t xml:space="preserve"> կազմելով </w:t>
      </w:r>
      <w:r w:rsidRPr="00D178DD">
        <w:rPr>
          <w:rFonts w:eastAsia="Calibri" w:cs="Sylfaen"/>
          <w:b w:val="0"/>
          <w:lang w:val="hy-AM"/>
        </w:rPr>
        <w:t>8.</w:t>
      </w:r>
      <w:r w:rsidRPr="00D178DD">
        <w:rPr>
          <w:rFonts w:eastAsia="Calibri" w:cs="Sylfaen"/>
          <w:b w:val="0"/>
          <w:lang w:val="es-ES"/>
        </w:rPr>
        <w:t>5%</w:t>
      </w:r>
      <w:r w:rsidRPr="00D178DD">
        <w:rPr>
          <w:rFonts w:eastAsia="Calibri" w:cs="Sylfaen"/>
          <w:b w:val="0"/>
          <w:lang w:val="hy-AM"/>
        </w:rPr>
        <w:t xml:space="preserve">, իսկ միջին գնաճը կկազմի </w:t>
      </w:r>
      <w:r w:rsidRPr="00D178DD">
        <w:rPr>
          <w:rFonts w:eastAsia="Calibri" w:cs="Sylfaen"/>
          <w:b w:val="0"/>
          <w:lang w:val="es-ES"/>
        </w:rPr>
        <w:t>8.1</w:t>
      </w:r>
      <w:r w:rsidRPr="00D178DD">
        <w:rPr>
          <w:rFonts w:eastAsia="Calibri" w:cs="Sylfaen"/>
          <w:b w:val="0"/>
          <w:lang w:val="hy-AM"/>
        </w:rPr>
        <w:t>%</w:t>
      </w:r>
      <w:r w:rsidRPr="00D178DD">
        <w:rPr>
          <w:rFonts w:eastAsia="Calibri" w:cs="Sylfaen"/>
          <w:b w:val="0"/>
          <w:lang w:val="es-ES"/>
        </w:rPr>
        <w:t>:</w:t>
      </w:r>
      <w:r w:rsidRPr="00D178DD">
        <w:rPr>
          <w:rFonts w:eastAsia="Calibri" w:cs="Sylfaen"/>
          <w:b w:val="0"/>
          <w:lang w:val="hy-AM"/>
        </w:rPr>
        <w:t xml:space="preserve"> Միջնաժամկետ հատվածում, իրականացվող</w:t>
      </w:r>
      <w:r w:rsidRPr="00D178DD">
        <w:rPr>
          <w:rFonts w:eastAsia="Calibri" w:cs="Sylfaen"/>
          <w:b w:val="0"/>
          <w:lang w:val="es-ES"/>
        </w:rPr>
        <w:t xml:space="preserve"> </w:t>
      </w:r>
      <w:r w:rsidRPr="00D178DD">
        <w:rPr>
          <w:rFonts w:eastAsia="Calibri" w:cs="Sylfaen"/>
          <w:b w:val="0"/>
          <w:lang w:val="hy-AM"/>
        </w:rPr>
        <w:t>դրամավարկային քաղաքականության և աստիճանաբար մեղմվող</w:t>
      </w:r>
      <w:r w:rsidRPr="00D178DD">
        <w:rPr>
          <w:rFonts w:eastAsia="Calibri" w:cs="Sylfaen"/>
          <w:b w:val="0"/>
          <w:lang w:val="es-ES"/>
        </w:rPr>
        <w:t xml:space="preserve"> </w:t>
      </w:r>
      <w:r w:rsidRPr="00D178DD">
        <w:rPr>
          <w:rFonts w:eastAsia="Calibri" w:cs="Sylfaen"/>
          <w:b w:val="0"/>
          <w:lang w:val="hy-AM"/>
        </w:rPr>
        <w:t>ամբողջական պահանջարկի պարագայում գնաճը, կարճաժամկետ</w:t>
      </w:r>
      <w:r w:rsidRPr="00D178DD">
        <w:rPr>
          <w:rFonts w:eastAsia="Calibri" w:cs="Sylfaen"/>
          <w:b w:val="0"/>
          <w:lang w:val="es-ES"/>
        </w:rPr>
        <w:t xml:space="preserve"> </w:t>
      </w:r>
      <w:r w:rsidRPr="00D178DD">
        <w:rPr>
          <w:rFonts w:eastAsia="Calibri" w:cs="Sylfaen"/>
          <w:b w:val="0"/>
          <w:lang w:val="hy-AM"/>
        </w:rPr>
        <w:t>հատվածում մնալով թիրախից բարձր մակարդակում, կսկսի աստիճանաբար նվազել՝ 2023 թ. ընթացքում մոտենալով իր նպատակային</w:t>
      </w:r>
      <w:r w:rsidRPr="00D178DD">
        <w:rPr>
          <w:rFonts w:eastAsia="Calibri" w:cs="Sylfaen"/>
          <w:b w:val="0"/>
          <w:lang w:val="es-ES"/>
        </w:rPr>
        <w:t xml:space="preserve"> </w:t>
      </w:r>
      <w:r w:rsidRPr="00D178DD">
        <w:rPr>
          <w:rFonts w:eastAsia="Calibri" w:cs="Sylfaen"/>
          <w:b w:val="0"/>
          <w:lang w:val="hy-AM"/>
        </w:rPr>
        <w:t>ցուցանիշին։</w:t>
      </w:r>
    </w:p>
    <w:p w:rsidR="00D178DD" w:rsidRPr="00D178DD" w:rsidRDefault="00D178DD" w:rsidP="00D178DD">
      <w:pPr>
        <w:numPr>
          <w:ilvl w:val="1"/>
          <w:numId w:val="35"/>
        </w:numPr>
        <w:spacing w:before="0" w:line="276" w:lineRule="auto"/>
        <w:ind w:left="709"/>
        <w:contextualSpacing w:val="0"/>
        <w:rPr>
          <w:rFonts w:ascii="Times New Roman" w:hAnsi="Times New Roman"/>
          <w:b w:val="0"/>
          <w:sz w:val="24"/>
          <w:lang w:val="hy-AM" w:eastAsia="en-US"/>
        </w:rPr>
      </w:pPr>
      <w:r w:rsidRPr="00D178DD">
        <w:rPr>
          <w:rFonts w:eastAsia="Calibri" w:cs="Sylfaen"/>
          <w:b w:val="0"/>
          <w:bCs/>
          <w:szCs w:val="22"/>
          <w:lang w:val="hy-AM" w:eastAsia="en-US"/>
        </w:rPr>
        <w:t>Տնտեսական հեռանկարի հետ կապված անորոշության և գնաճային սպասումների ավելացման ռիսկերի դրսևորման պարագայում ԿԲ-ն պատրաստ է համապատասխանորեն արձագանքել՝ նպատակ ունենալով ապահովել գների կայունացումը թիրախի շուրջ:</w:t>
      </w:r>
    </w:p>
    <w:p w:rsidR="00D178DD" w:rsidRPr="00D178DD" w:rsidRDefault="00D178DD" w:rsidP="00D178DD">
      <w:pPr>
        <w:keepNext/>
        <w:keepLines/>
        <w:spacing w:before="0" w:line="276" w:lineRule="auto"/>
        <w:outlineLvl w:val="2"/>
        <w:rPr>
          <w:rFonts w:eastAsia="GHEA Grapalat" w:cs="GHEA Grapalat"/>
          <w:b w:val="0"/>
          <w:color w:val="000000"/>
          <w:szCs w:val="22"/>
          <w:lang w:val="hy-AM"/>
        </w:rPr>
      </w:pPr>
      <w:r w:rsidRPr="00D178DD">
        <w:rPr>
          <w:rFonts w:eastAsia="Calibri" w:cs="Sylfaen"/>
          <w:b w:val="0"/>
          <w:bCs/>
          <w:color w:val="C00000"/>
          <w:szCs w:val="22"/>
          <w:lang w:val="hy-AM"/>
        </w:rPr>
        <w:br w:type="page"/>
      </w:r>
    </w:p>
    <w:p w:rsidR="00D178DD" w:rsidRPr="00D178DD" w:rsidRDefault="00D178DD" w:rsidP="00D178DD">
      <w:pPr>
        <w:spacing w:before="0" w:line="240" w:lineRule="auto"/>
        <w:ind w:firstLine="0"/>
        <w:contextualSpacing w:val="0"/>
        <w:jc w:val="left"/>
        <w:rPr>
          <w:rFonts w:eastAsia="GHEA Grapalat" w:cs="GHEA Grapalat"/>
          <w:b w:val="0"/>
          <w:color w:val="000000"/>
          <w:szCs w:val="22"/>
          <w:lang w:val="hy-AM"/>
        </w:rPr>
      </w:pPr>
    </w:p>
    <w:p w:rsidR="00D178DD" w:rsidRPr="00D178DD" w:rsidRDefault="00D178DD" w:rsidP="00D178DD">
      <w:pPr>
        <w:keepNext/>
        <w:keepLines/>
        <w:spacing w:before="240" w:after="60" w:line="276" w:lineRule="auto"/>
        <w:ind w:firstLine="0"/>
        <w:outlineLvl w:val="2"/>
        <w:rPr>
          <w:bCs/>
          <w:sz w:val="24"/>
          <w:lang w:val="hy-AM" w:eastAsia="en-US"/>
        </w:rPr>
      </w:pPr>
      <w:bookmarkStart w:id="144" w:name="_Toc46154348"/>
      <w:bookmarkStart w:id="145" w:name="_Toc51360534"/>
      <w:bookmarkStart w:id="146" w:name="_Toc51947417"/>
      <w:bookmarkStart w:id="147" w:name="_Toc52452090"/>
      <w:bookmarkStart w:id="148" w:name="_Toc57559417"/>
      <w:bookmarkStart w:id="149" w:name="_Toc83663898"/>
      <w:bookmarkStart w:id="150" w:name="_Toc83972834"/>
      <w:bookmarkStart w:id="151" w:name="_Toc115686020"/>
      <w:bookmarkStart w:id="152" w:name="_Toc120805194"/>
      <w:r w:rsidRPr="00D178DD">
        <w:rPr>
          <w:bCs/>
          <w:sz w:val="24"/>
          <w:lang w:val="hy-AM" w:eastAsia="en-US"/>
        </w:rPr>
        <w:t>1.5. ՄԱԿՐՈՏՆՏԵՍԱԿԱՆ ԿԱՆԽԱՏԵՍՈՒՄՆԵՐԻ ՌԻՍԿԵՐԸ</w:t>
      </w:r>
      <w:bookmarkEnd w:id="144"/>
      <w:bookmarkEnd w:id="145"/>
      <w:bookmarkEnd w:id="146"/>
      <w:bookmarkEnd w:id="147"/>
      <w:bookmarkEnd w:id="148"/>
      <w:bookmarkEnd w:id="149"/>
      <w:bookmarkEnd w:id="150"/>
      <w:bookmarkEnd w:id="151"/>
      <w:bookmarkEnd w:id="152"/>
    </w:p>
    <w:p w:rsidR="00D178DD" w:rsidRPr="00D178DD" w:rsidRDefault="00D178DD" w:rsidP="00D178DD">
      <w:pPr>
        <w:spacing w:before="0" w:after="120" w:line="276" w:lineRule="auto"/>
        <w:ind w:right="111" w:firstLine="360"/>
        <w:contextualSpacing w:val="0"/>
        <w:rPr>
          <w:rFonts w:eastAsia="Calibri"/>
          <w:b w:val="0"/>
          <w:szCs w:val="22"/>
          <w:lang w:val="hy-AM" w:eastAsia="en-US"/>
        </w:rPr>
      </w:pPr>
      <w:r w:rsidRPr="00D178DD">
        <w:rPr>
          <w:rFonts w:eastAsia="Calibri"/>
          <w:b w:val="0"/>
          <w:szCs w:val="22"/>
          <w:lang w:val="es-ES" w:eastAsia="en-US"/>
        </w:rPr>
        <w:t>Կանխատեսման առկա ռիսկերը պայմանավորվում են ինչպես արտաքին, այնպես էլ ներքին տնտեսական գործոններով, որոնք կարող են հանգեցնել ինչպես տնտեսական աճի տեմպերի ավելացմանը, այնպես էլ նվազմանը՝ ներկայացված կենտրոնական</w:t>
      </w:r>
      <w:r w:rsidRPr="00D178DD">
        <w:rPr>
          <w:rFonts w:eastAsia="Calibri"/>
          <w:b w:val="0"/>
          <w:szCs w:val="22"/>
          <w:lang w:val="hy-AM" w:eastAsia="en-US"/>
        </w:rPr>
        <w:t xml:space="preserve"> </w:t>
      </w:r>
      <w:r w:rsidRPr="00D178DD">
        <w:rPr>
          <w:rFonts w:eastAsia="Calibri"/>
          <w:b w:val="0"/>
          <w:szCs w:val="22"/>
          <w:lang w:val="es-ES" w:eastAsia="en-US"/>
        </w:rPr>
        <w:t>կանխատեսումների համեմատ:</w:t>
      </w:r>
      <w:r w:rsidRPr="00D178DD">
        <w:rPr>
          <w:rFonts w:eastAsia="Calibri"/>
          <w:b w:val="0"/>
          <w:szCs w:val="22"/>
          <w:lang w:val="hy-AM" w:eastAsia="en-US"/>
        </w:rPr>
        <w:t xml:space="preserve"> Ռիսկերի տեղի ունենալու դեպքում շեղումներ կարձանագրվեն սույն փաստաթղթի </w:t>
      </w:r>
      <w:r w:rsidRPr="00D178DD">
        <w:rPr>
          <w:rFonts w:eastAsia="Calibri"/>
          <w:b w:val="0"/>
          <w:szCs w:val="22"/>
          <w:lang w:val="es-ES" w:eastAsia="en-US"/>
        </w:rPr>
        <w:t>1.4</w:t>
      </w:r>
      <w:r w:rsidRPr="00D178DD">
        <w:rPr>
          <w:rFonts w:eastAsia="Calibri"/>
          <w:b w:val="0"/>
          <w:szCs w:val="22"/>
          <w:lang w:val="hy-AM" w:eastAsia="en-US"/>
        </w:rPr>
        <w:t xml:space="preserve"> բաժնում ներկայացված ենթադրություններից՝ հանգեցնելով մակրոտնտեսական կանխատեսումներից շեղումների և դրա հետևանքով էլ հարկաբյուջետային շրջանակի ցուցանիշների շեղման այս պետական բյուջեի շրջանակից։</w:t>
      </w:r>
    </w:p>
    <w:p w:rsidR="00D178DD" w:rsidRPr="00D178DD" w:rsidRDefault="00D178DD" w:rsidP="00D178DD">
      <w:pPr>
        <w:spacing w:before="0" w:after="120" w:line="276" w:lineRule="auto"/>
        <w:ind w:right="111" w:firstLine="360"/>
        <w:contextualSpacing w:val="0"/>
        <w:rPr>
          <w:rFonts w:eastAsia="Calibri"/>
          <w:b w:val="0"/>
          <w:szCs w:val="22"/>
          <w:lang w:val="hy-AM" w:eastAsia="en-US"/>
        </w:rPr>
      </w:pPr>
      <w:r w:rsidRPr="00D178DD">
        <w:rPr>
          <w:rFonts w:eastAsia="Calibri"/>
          <w:b w:val="0"/>
          <w:szCs w:val="22"/>
          <w:lang w:val="hy-AM" w:eastAsia="en-US"/>
        </w:rPr>
        <w:t>COVID-19 համավարակի հետևանքները դեռ չհաղթահարած տարածաշրջանը բախվեց ռուս-ուկրաինական հակամարտության առաջացրած աշխարհաքաղաքական և տնտեսական մարտահրավերներին, ինչի բացասական հետևանքներն արդեն տեսանելի են ոչ միայն տարածաշրջանում, այլ նաև ամբողջ աշխարհում, այդ թվում՝ ՀՀ համար Ռուսաստանից հետո երկրորդ ամենամեծ առևտրային գործընկեր՝ Եվրագոտու երկրներում։ Ռուս-ուկրաինական հակամարտությունը և Ռուսաստանի դեմ կիրառված աննախադեպ պատժամիջոցները դեռ համավարակից չսթափված աշխարհում ստեղծել են նոր իրականություն, որի  պայմաններում ինչպես աշխարհի և ՀՀ գործընկեր երկրների, այնպես էլ ՀՀ տնտեսական աճի կանխատեսումները իրենց մեջ կրում են մեծ անորոշություն։</w:t>
      </w:r>
    </w:p>
    <w:p w:rsidR="00D178DD" w:rsidRPr="00D178DD" w:rsidRDefault="00D178DD" w:rsidP="00D178DD">
      <w:pPr>
        <w:spacing w:before="0" w:after="120" w:line="276" w:lineRule="auto"/>
        <w:ind w:right="111" w:firstLine="360"/>
        <w:contextualSpacing w:val="0"/>
        <w:rPr>
          <w:rFonts w:eastAsia="Calibri"/>
          <w:b w:val="0"/>
          <w:szCs w:val="22"/>
          <w:lang w:val="hy-AM" w:eastAsia="en-US"/>
        </w:rPr>
      </w:pPr>
      <w:r w:rsidRPr="00D178DD">
        <w:rPr>
          <w:rFonts w:eastAsia="Calibri"/>
          <w:b w:val="0"/>
          <w:szCs w:val="22"/>
          <w:lang w:val="hy-AM" w:eastAsia="en-US"/>
        </w:rPr>
        <w:t>Վերոնշյալ իրողությունների պայմաններում 2023թ. համար ՀՀ կառավարության թիրախավորած 7% տնտեսական աճի շուրջ առկա են անորոշություններ։</w:t>
      </w:r>
    </w:p>
    <w:p w:rsidR="00D178DD" w:rsidRPr="00D178DD" w:rsidRDefault="00D178DD" w:rsidP="00D178DD">
      <w:pPr>
        <w:rPr>
          <w:rFonts w:eastAsia="Calibri"/>
          <w:lang w:val="hy-AM" w:eastAsia="en-US"/>
        </w:rPr>
      </w:pPr>
    </w:p>
    <w:p w:rsidR="00D178DD" w:rsidRPr="00D178DD" w:rsidRDefault="00D178DD" w:rsidP="00D178DD">
      <w:pPr>
        <w:keepNext/>
        <w:keepLines/>
        <w:spacing w:before="240" w:after="60" w:line="276" w:lineRule="auto"/>
        <w:ind w:left="709" w:hanging="425"/>
        <w:jc w:val="left"/>
        <w:outlineLvl w:val="2"/>
        <w:rPr>
          <w:color w:val="1F4E79"/>
          <w:sz w:val="24"/>
          <w:szCs w:val="22"/>
          <w:lang w:val="hy-AM" w:eastAsia="en-US"/>
        </w:rPr>
      </w:pPr>
      <w:bookmarkStart w:id="153" w:name="_Toc106795035"/>
      <w:bookmarkStart w:id="154" w:name="_Toc115686021"/>
      <w:bookmarkStart w:id="155" w:name="_Toc120805195"/>
      <w:r w:rsidRPr="00D178DD">
        <w:rPr>
          <w:sz w:val="24"/>
          <w:szCs w:val="22"/>
          <w:lang w:val="hy-AM" w:eastAsia="en-US"/>
        </w:rPr>
        <w:t>1.5.1. ՀՀ տնտեսական աճի դեպի ներքև ուղղությամբ ռիսկեր</w:t>
      </w:r>
      <w:bookmarkEnd w:id="153"/>
      <w:bookmarkEnd w:id="154"/>
      <w:bookmarkEnd w:id="155"/>
    </w:p>
    <w:p w:rsidR="00D178DD" w:rsidRPr="00D178DD" w:rsidRDefault="00D178DD" w:rsidP="00D178DD">
      <w:pPr>
        <w:spacing w:before="40" w:after="120" w:line="276" w:lineRule="auto"/>
        <w:ind w:right="540" w:firstLine="0"/>
        <w:rPr>
          <w:rFonts w:eastAsia="Calibri" w:cs="Sylfaen"/>
          <w:bCs/>
          <w:szCs w:val="22"/>
          <w:lang w:val="hy-AM" w:eastAsia="en-US"/>
        </w:rPr>
      </w:pPr>
      <w:r w:rsidRPr="00D178DD">
        <w:rPr>
          <w:rFonts w:eastAsia="Calibri" w:cs="Sylfaen"/>
          <w:bCs/>
          <w:szCs w:val="22"/>
          <w:lang w:val="hy-AM" w:eastAsia="en-US"/>
        </w:rPr>
        <w:t xml:space="preserve">Արտաքին միջավայրից բխող դեպի ներքև ռիսկերը պայմանվորված են՝ </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eastAsia="Calibri" w:cs="Sylfaen"/>
          <w:b w:val="0"/>
          <w:bCs/>
          <w:szCs w:val="22"/>
          <w:lang w:val="hy-AM" w:eastAsia="en-US"/>
        </w:rPr>
        <w:t xml:space="preserve">Ռուս-ուկրաինական հակամարտության պայմաններում համաշխարհային տնտեսության, մասնավորապես ՀՀ գործընկեր երկրների տնտեսական աճերի սպասվածից ավելի վատ դրսևորումներով,  </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eastAsia="Calibri" w:cs="Sylfaen"/>
          <w:b w:val="0"/>
          <w:bCs/>
          <w:szCs w:val="22"/>
          <w:lang w:val="hy-AM" w:eastAsia="en-US"/>
        </w:rPr>
        <w:t>Համաշխարհային արժեշղթաների խաթարման և պարենային ապրանքների վրա արտահանման սահմանափակումների պայմաններում արտաքին աշխարհից ներթափանցող սպասվածից առավել գնաճային ճնշումներով,</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eastAsia="Calibri" w:cs="Sylfaen"/>
          <w:b w:val="0"/>
          <w:bCs/>
          <w:szCs w:val="22"/>
          <w:lang w:val="hy-AM" w:eastAsia="en-US"/>
        </w:rPr>
        <w:t xml:space="preserve">ՀՀ հիմնական գործընկեր երկրներում գնաճային ճնշումների պայմաններում դրամավարկային պայմանների սպասվածից առավել խստացման արդյունքում տնտեսական աճերի դանդաղմամբ, զարգացած երկրներում տոկոսադրույքների սպասվածից առավել բարձրացման պայմաններում ՀՀ-ից կապիտալի զուտ արտահոսքի և մասնավոր հատվածի և կառավարության արտաքին պարտքով պակասուրդների ֆինանսավորման թանկացմամբ, </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eastAsia="Calibri" w:cs="Sylfaen"/>
          <w:b w:val="0"/>
          <w:bCs/>
          <w:szCs w:val="22"/>
          <w:lang w:val="hy-AM" w:eastAsia="en-US"/>
        </w:rPr>
        <w:t>ՀՀ ապրանքների արտահանման մատակարարումների լոգիստիկ խնդիրների խորացմամբ,</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eastAsia="Calibri" w:cs="Sylfaen"/>
          <w:b w:val="0"/>
          <w:bCs/>
          <w:szCs w:val="22"/>
          <w:lang w:val="hy-AM" w:eastAsia="en-US"/>
        </w:rPr>
        <w:t>COVID-19 համավարակի տարածման անորոշություններով,</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eastAsia="Calibri" w:cs="Sylfaen"/>
          <w:b w:val="0"/>
          <w:bCs/>
          <w:szCs w:val="22"/>
          <w:lang w:val="hy-AM" w:eastAsia="en-US"/>
        </w:rPr>
        <w:t>ՌԴ-ից մարդկանց և կապիտալի սպասվածից ավելի քիչ հոսքերով, ինչպես նաև  ՀՀ տեղափոխված ՏՏ ոլորտի ընկերությունների և աշխատակիցների ՀՀ-ում մնալու անորոշություններով,</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cs="Tahoma"/>
          <w:b w:val="0"/>
          <w:szCs w:val="22"/>
          <w:lang w:val="hy-AM" w:eastAsia="en-US"/>
        </w:rPr>
        <w:t>Աշխարհաքաղաքական</w:t>
      </w:r>
      <w:r w:rsidRPr="00D178DD">
        <w:rPr>
          <w:rFonts w:cs="Tahoma"/>
          <w:b w:val="0"/>
          <w:szCs w:val="22"/>
          <w:lang w:val="it-IT" w:eastAsia="en-US"/>
        </w:rPr>
        <w:t xml:space="preserve"> իրա</w:t>
      </w:r>
      <w:r w:rsidRPr="00D178DD">
        <w:rPr>
          <w:rFonts w:cs="Tahoma"/>
          <w:b w:val="0"/>
          <w:szCs w:val="22"/>
          <w:lang w:val="hy-AM" w:eastAsia="en-US"/>
        </w:rPr>
        <w:t>վիճակով</w:t>
      </w:r>
      <w:r w:rsidRPr="00D178DD">
        <w:rPr>
          <w:rFonts w:cs="Tahoma"/>
          <w:b w:val="0"/>
          <w:szCs w:val="22"/>
          <w:lang w:val="it-IT" w:eastAsia="en-US"/>
        </w:rPr>
        <w:t xml:space="preserve">, </w:t>
      </w:r>
      <w:r w:rsidRPr="00D178DD">
        <w:rPr>
          <w:rFonts w:cs="Tahoma"/>
          <w:b w:val="0"/>
          <w:szCs w:val="22"/>
          <w:lang w:val="hy-AM" w:eastAsia="en-US"/>
        </w:rPr>
        <w:t>այդ</w:t>
      </w:r>
      <w:r w:rsidRPr="00D178DD">
        <w:rPr>
          <w:rFonts w:cs="Tahoma"/>
          <w:b w:val="0"/>
          <w:szCs w:val="22"/>
          <w:lang w:val="it-IT" w:eastAsia="en-US"/>
        </w:rPr>
        <w:t xml:space="preserve"> </w:t>
      </w:r>
      <w:r w:rsidRPr="00D178DD">
        <w:rPr>
          <w:rFonts w:cs="Tahoma"/>
          <w:b w:val="0"/>
          <w:szCs w:val="22"/>
          <w:lang w:val="hy-AM" w:eastAsia="en-US"/>
        </w:rPr>
        <w:t>թվում</w:t>
      </w:r>
      <w:r w:rsidRPr="00D178DD">
        <w:rPr>
          <w:rFonts w:cs="Tahoma"/>
          <w:b w:val="0"/>
          <w:szCs w:val="22"/>
          <w:lang w:val="it-IT" w:eastAsia="en-US"/>
        </w:rPr>
        <w:t xml:space="preserve">` </w:t>
      </w:r>
      <w:r w:rsidRPr="00D178DD">
        <w:rPr>
          <w:rFonts w:cs="Tahoma"/>
          <w:b w:val="0"/>
          <w:szCs w:val="22"/>
          <w:lang w:val="hy-AM" w:eastAsia="en-US"/>
        </w:rPr>
        <w:t>տարածաշրջանային ռազմական հակամարտությունների առկայությամբ:</w:t>
      </w:r>
    </w:p>
    <w:p w:rsidR="00D178DD" w:rsidRPr="00D178DD" w:rsidRDefault="00D178DD" w:rsidP="00D178DD">
      <w:pPr>
        <w:spacing w:before="40" w:after="120" w:line="276" w:lineRule="auto"/>
        <w:ind w:left="1080" w:right="540" w:firstLine="0"/>
        <w:rPr>
          <w:rFonts w:eastAsia="Calibri" w:cs="Sylfaen"/>
          <w:b w:val="0"/>
          <w:bCs/>
          <w:szCs w:val="22"/>
          <w:lang w:val="hy-AM" w:eastAsia="en-US"/>
        </w:rPr>
      </w:pPr>
    </w:p>
    <w:p w:rsidR="00D178DD" w:rsidRPr="00D178DD" w:rsidRDefault="00D178DD" w:rsidP="00D178DD">
      <w:pPr>
        <w:spacing w:before="40" w:after="120" w:line="276" w:lineRule="auto"/>
        <w:ind w:right="540" w:firstLine="0"/>
        <w:rPr>
          <w:rFonts w:eastAsia="Calibri" w:cs="Sylfaen"/>
          <w:bCs/>
          <w:szCs w:val="22"/>
          <w:lang w:val="hy-AM" w:eastAsia="en-US"/>
        </w:rPr>
      </w:pPr>
      <w:r w:rsidRPr="00D178DD">
        <w:rPr>
          <w:rFonts w:eastAsia="Calibri" w:cs="Sylfaen"/>
          <w:bCs/>
          <w:szCs w:val="22"/>
          <w:lang w:val="hy-AM" w:eastAsia="en-US"/>
        </w:rPr>
        <w:t>Ներքին միջավայրից բխող դեպի ներքև ռիսկերը պայմանավորված են՝</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eastAsia="Calibri" w:cs="Sylfaen"/>
          <w:b w:val="0"/>
          <w:szCs w:val="22"/>
          <w:lang w:val="hy-AM" w:eastAsia="en-US"/>
        </w:rPr>
        <w:t>ՀՀ դրամի փոխարժեքի սպասվածից առավել արժևորման ռիսկերով պայմանավորված արտահանման հնարավոր դանդաղմամբ, դոլարային դրամական փոխանցումների ցածր գնողունակությամբ,</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eastAsia="Calibri" w:cs="Sylfaen"/>
          <w:b w:val="0"/>
          <w:bCs/>
          <w:szCs w:val="22"/>
          <w:lang w:val="hy-AM" w:eastAsia="en-US"/>
        </w:rPr>
        <w:t xml:space="preserve">Գնաճային սպասումների հնարավոր ավելացման պայմաններում ԿԲ սպասվածից առավել խիստ դրամավարկային քաղաքականության իրականացմամբ, </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eastAsia="Calibri" w:cs="Sylfaen"/>
          <w:b w:val="0"/>
          <w:bCs/>
          <w:szCs w:val="22"/>
          <w:lang w:val="hy-AM" w:eastAsia="en-US"/>
        </w:rPr>
        <w:t xml:space="preserve">Կանխատեսվածից բարձր գնաճային ճնշումների արդյունքում բնակչության իրական եկամուտների նվազմամբ, </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eastAsia="Calibri" w:cs="Sylfaen"/>
          <w:b w:val="0"/>
          <w:bCs/>
          <w:szCs w:val="22"/>
          <w:lang w:val="hy-AM" w:eastAsia="en-US"/>
        </w:rPr>
        <w:t>Պետական կապիտալ ծախսերի հնարավոր թերակատարմամբ,</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eastAsia="Calibri" w:cs="Sylfaen"/>
          <w:b w:val="0"/>
          <w:bCs/>
          <w:szCs w:val="22"/>
          <w:lang w:val="hy-AM" w:eastAsia="en-US"/>
        </w:rPr>
        <w:t>ՀՀ կառավարության կառուցվածքային բարեփոխումների, ներդրումների խթանման և տնտեսության արդիականացմանն ուղղված քաղաքականությունների ակնկալվող արդյունքների սպասվածից ավելի ուշ արտահայտմամբ,</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cs="Sylfaen"/>
          <w:b w:val="0"/>
          <w:szCs w:val="22"/>
          <w:lang w:val="hy-AM" w:eastAsia="en-US"/>
        </w:rPr>
        <w:t>Բ</w:t>
      </w:r>
      <w:r w:rsidRPr="00D178DD">
        <w:rPr>
          <w:rFonts w:cs="Sylfaen"/>
          <w:b w:val="0"/>
          <w:szCs w:val="22"/>
          <w:lang w:val="it-IT" w:eastAsia="en-US"/>
        </w:rPr>
        <w:t>նա</w:t>
      </w:r>
      <w:r w:rsidRPr="00D178DD">
        <w:rPr>
          <w:rFonts w:cs="Sylfaen"/>
          <w:b w:val="0"/>
          <w:szCs w:val="22"/>
          <w:lang w:val="it-IT" w:eastAsia="en-US"/>
        </w:rPr>
        <w:softHyphen/>
        <w:t>կլիմայական անբարենպաստ պայման</w:t>
      </w:r>
      <w:r w:rsidRPr="00D178DD">
        <w:rPr>
          <w:rFonts w:cs="Sylfaen"/>
          <w:b w:val="0"/>
          <w:szCs w:val="22"/>
          <w:lang w:val="it-IT" w:eastAsia="en-US"/>
        </w:rPr>
        <w:softHyphen/>
        <w:t>ների շարունակական դրսևորման հետևանքով գյուղատնտեսության ճյուղում հնարավոր ավելի ցածր աճի արձանագրմամբ:</w:t>
      </w:r>
    </w:p>
    <w:p w:rsidR="00D178DD" w:rsidRPr="00D178DD" w:rsidRDefault="00D178DD" w:rsidP="00D178DD">
      <w:pPr>
        <w:keepNext/>
        <w:keepLines/>
        <w:spacing w:before="240" w:after="60" w:line="276" w:lineRule="auto"/>
        <w:ind w:left="709" w:hanging="425"/>
        <w:jc w:val="left"/>
        <w:outlineLvl w:val="2"/>
        <w:rPr>
          <w:sz w:val="24"/>
          <w:szCs w:val="22"/>
          <w:lang w:val="hy-AM" w:eastAsia="en-US"/>
        </w:rPr>
      </w:pPr>
      <w:bookmarkStart w:id="156" w:name="_Toc106795036"/>
      <w:bookmarkStart w:id="157" w:name="_Toc115686022"/>
      <w:bookmarkStart w:id="158" w:name="_Toc120805196"/>
      <w:r w:rsidRPr="00D178DD">
        <w:rPr>
          <w:sz w:val="24"/>
          <w:szCs w:val="22"/>
          <w:lang w:val="hy-AM" w:eastAsia="en-US"/>
        </w:rPr>
        <w:t>1.5.2. Տնտեսական աճի դեպի վերև ուղղությամբ ռիսկեր</w:t>
      </w:r>
      <w:bookmarkEnd w:id="156"/>
      <w:bookmarkEnd w:id="157"/>
      <w:bookmarkEnd w:id="158"/>
      <w:r w:rsidRPr="00D178DD">
        <w:rPr>
          <w:sz w:val="24"/>
          <w:szCs w:val="22"/>
          <w:lang w:val="hy-AM" w:eastAsia="en-US"/>
        </w:rPr>
        <w:t xml:space="preserve"> </w:t>
      </w:r>
    </w:p>
    <w:p w:rsidR="00D178DD" w:rsidRPr="00D178DD" w:rsidRDefault="00D178DD" w:rsidP="00D178DD">
      <w:pPr>
        <w:spacing w:before="40" w:after="120" w:line="276" w:lineRule="auto"/>
        <w:ind w:right="540" w:firstLine="0"/>
        <w:rPr>
          <w:rFonts w:eastAsia="Calibri" w:cs="Sylfaen"/>
          <w:bCs/>
          <w:szCs w:val="22"/>
          <w:lang w:val="hy-AM" w:eastAsia="en-US"/>
        </w:rPr>
      </w:pPr>
      <w:r w:rsidRPr="00D178DD">
        <w:rPr>
          <w:rFonts w:eastAsia="Calibri" w:cs="Sylfaen"/>
          <w:b w:val="0"/>
          <w:bCs/>
          <w:szCs w:val="22"/>
          <w:lang w:val="hy-AM" w:eastAsia="en-US"/>
        </w:rPr>
        <w:t xml:space="preserve">     </w:t>
      </w:r>
      <w:r w:rsidRPr="00D178DD">
        <w:rPr>
          <w:rFonts w:eastAsia="Calibri" w:cs="Sylfaen"/>
          <w:bCs/>
          <w:szCs w:val="22"/>
          <w:lang w:val="hy-AM" w:eastAsia="en-US"/>
        </w:rPr>
        <w:t xml:space="preserve">Արտաքին գործոններից բխող դեպի վերև ռիսկերը պայմանավորված են՝ </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eastAsia="Calibri" w:cs="Sylfaen"/>
          <w:b w:val="0"/>
          <w:bCs/>
          <w:szCs w:val="22"/>
          <w:lang w:val="hy-AM" w:eastAsia="en-US"/>
        </w:rPr>
        <w:t xml:space="preserve">Ռուսատանի նկատմամբ արևմուտքի կողմից կիրառվող պատժամիջոցների արդյունքում ՀՀ տնտեսության համար ստեղծված նոր հնարավորությունների մեծացմամբ. մասնավորապես, Ռուսաստանի դեմ կիրառված աննախադեպ տարաբնույթ պատժամիջոցների պայմաններում Հայաստանը՝ որպես առևտրային, լոգիստիկ և ֆինանսական հանգույց ծառայելու առավել մեծ հնարավորությամբ, </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eastAsia="Calibri" w:cs="Sylfaen"/>
          <w:b w:val="0"/>
          <w:bCs/>
          <w:szCs w:val="22"/>
          <w:lang w:val="hy-AM" w:eastAsia="en-US"/>
        </w:rPr>
        <w:t>ՌԴ տնտեսության ավելի արագ վերականգնմամբ, քան կանխատեսումներում արված ենթադրություններն են,</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eastAsia="Calibri" w:cs="Sylfaen"/>
          <w:b w:val="0"/>
          <w:bCs/>
          <w:szCs w:val="22"/>
          <w:lang w:val="hy-AM" w:eastAsia="en-US"/>
        </w:rPr>
        <w:t xml:space="preserve">Ռուսաստանից դեպի Հայաստան կապիտալի և ՏՏ ոլորտի ընկերությունների սպասվածից առավել մեծ ներհոսքով, </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eastAsia="Calibri" w:cs="Sylfaen"/>
          <w:b w:val="0"/>
          <w:bCs/>
          <w:szCs w:val="22"/>
          <w:lang w:val="hy-AM" w:eastAsia="en-US"/>
        </w:rPr>
        <w:t>COVID-19 hամավարակի հաղթահարման պայմաններում համաշխարհային տուրիզմի՝ սպասվածից ավելի շուտ վերականգմամբ,</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eastAsia="Calibri" w:cs="Sylfaen"/>
          <w:b w:val="0"/>
          <w:bCs/>
          <w:szCs w:val="22"/>
          <w:lang w:val="hy-AM" w:eastAsia="en-US"/>
        </w:rPr>
        <w:t>ՀՀ գործընկեր երկրների խաթարված մատակարարման շղթաների արագ վերականգնմամբ,</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eastAsia="Calibri" w:cs="Sylfaen"/>
          <w:b w:val="0"/>
          <w:bCs/>
          <w:szCs w:val="22"/>
          <w:lang w:val="hy-AM" w:eastAsia="en-US"/>
        </w:rPr>
        <w:t>ՌԴ-ից դեպի Հայաստան դրամական փոխանցումների սպասվածից ավելի բարձր աճով:</w:t>
      </w:r>
    </w:p>
    <w:p w:rsidR="00D178DD" w:rsidRPr="00D178DD" w:rsidRDefault="00D178DD" w:rsidP="00D178DD">
      <w:pPr>
        <w:spacing w:before="40" w:after="120" w:line="276" w:lineRule="auto"/>
        <w:ind w:left="1080" w:right="-31" w:firstLine="0"/>
        <w:rPr>
          <w:rFonts w:eastAsia="Calibri" w:cs="Sylfaen"/>
          <w:b w:val="0"/>
          <w:bCs/>
          <w:szCs w:val="22"/>
          <w:lang w:val="hy-AM" w:eastAsia="en-US"/>
        </w:rPr>
      </w:pPr>
    </w:p>
    <w:p w:rsidR="00D178DD" w:rsidRPr="00D178DD" w:rsidRDefault="00D178DD" w:rsidP="00D178DD">
      <w:pPr>
        <w:spacing w:before="40" w:after="120" w:line="276" w:lineRule="auto"/>
        <w:ind w:right="-31" w:firstLine="0"/>
        <w:rPr>
          <w:rFonts w:eastAsia="Calibri" w:cs="Sylfaen"/>
          <w:bCs/>
          <w:szCs w:val="22"/>
          <w:lang w:val="hy-AM" w:eastAsia="en-US"/>
        </w:rPr>
      </w:pPr>
      <w:r w:rsidRPr="00D178DD">
        <w:rPr>
          <w:rFonts w:eastAsia="Calibri" w:cs="Sylfaen"/>
          <w:bCs/>
          <w:szCs w:val="22"/>
          <w:lang w:val="hy-AM" w:eastAsia="en-US"/>
        </w:rPr>
        <w:t xml:space="preserve">Ներքին միջավայրից բխող դեպի վերև ռիսկերը պայմանավորված են` </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eastAsia="Calibri" w:cs="Sylfaen"/>
          <w:b w:val="0"/>
          <w:bCs/>
          <w:szCs w:val="22"/>
          <w:lang w:val="hy-AM" w:eastAsia="en-US"/>
        </w:rPr>
        <w:t>ՀՀ կառավարության Տնտեսական արձագանքման ծրագրով</w:t>
      </w:r>
      <w:r w:rsidRPr="00D178DD">
        <w:rPr>
          <w:rFonts w:eastAsia="Calibri" w:cs="Sylfaen"/>
          <w:b w:val="0"/>
          <w:bCs/>
          <w:szCs w:val="22"/>
          <w:vertAlign w:val="superscript"/>
          <w:lang w:val="hy-AM" w:eastAsia="en-US"/>
        </w:rPr>
        <w:footnoteReference w:id="10"/>
      </w:r>
      <w:r w:rsidRPr="00D178DD">
        <w:rPr>
          <w:rFonts w:eastAsia="Calibri" w:cs="Sylfaen"/>
          <w:b w:val="0"/>
          <w:bCs/>
          <w:szCs w:val="22"/>
          <w:lang w:val="hy-AM" w:eastAsia="en-US"/>
        </w:rPr>
        <w:t xml:space="preserve"> նախատեսված խոշոր մասնավոր ներդրումային ծրագրերի իրականացմամբ,</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eastAsia="Calibri" w:cs="Sylfaen"/>
          <w:b w:val="0"/>
          <w:bCs/>
          <w:szCs w:val="22"/>
          <w:lang w:val="hy-AM" w:eastAsia="en-US"/>
        </w:rPr>
        <w:t>Մասնավոր ներդրումների խթանմանն ուղղված ծրագրի (ANIF) իրականացման՝ տնտեսական ակտիվության վրա հնարավոր լրացուցիչ դրական ազդեցությամբ,</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eastAsia="Calibri" w:cs="Sylfaen"/>
          <w:b w:val="0"/>
          <w:bCs/>
          <w:szCs w:val="22"/>
          <w:lang w:val="hy-AM" w:eastAsia="en-US"/>
        </w:rPr>
        <w:t>Թեղուտի և Ամուլսարի հանքավայրերի հնարավոր, ոչ տնտեսական ռիսկերով ապահովագրված, շահագործումից բխող տնտեսական ակտիվության արագացմամբ:</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eastAsia="Calibri" w:cs="Sylfaen"/>
          <w:b w:val="0"/>
          <w:bCs/>
          <w:szCs w:val="22"/>
          <w:lang w:val="hy-AM" w:eastAsia="en-US"/>
        </w:rPr>
        <w:t>Հիփոթեքային վարկերի տոկոսավճարների եկամտահարկից վերադարձման պետական աջակցության ծրագրի աստիճանական Երևան քաղաքից դուրսբերման արդյունքում բնակարանային շինարարության սպասվածից ավելի բարձ աճերով:</w:t>
      </w:r>
    </w:p>
    <w:p w:rsidR="00D178DD" w:rsidRPr="00D178DD" w:rsidRDefault="00D178DD" w:rsidP="00250E4C">
      <w:pPr>
        <w:keepNext/>
        <w:keepLines/>
        <w:spacing w:before="0" w:line="276" w:lineRule="auto"/>
        <w:ind w:right="111" w:firstLine="0"/>
        <w:contextualSpacing w:val="0"/>
        <w:jc w:val="left"/>
        <w:rPr>
          <w:rFonts w:eastAsia="Calibri" w:cs="Sylfaen"/>
          <w:b w:val="0"/>
          <w:bCs/>
          <w:i/>
          <w:iCs/>
          <w:color w:val="000000"/>
          <w:sz w:val="20"/>
          <w:szCs w:val="20"/>
          <w:lang w:val="hy-AM" w:eastAsia="en-US"/>
        </w:rPr>
      </w:pPr>
      <w:r w:rsidRPr="00D178DD">
        <w:rPr>
          <w:rFonts w:eastAsia="Calibri" w:cs="Sylfaen"/>
          <w:bCs/>
          <w:i/>
          <w:iCs/>
          <w:color w:val="000000"/>
          <w:sz w:val="20"/>
          <w:szCs w:val="20"/>
          <w:lang w:val="hy-AM" w:eastAsia="en-US"/>
        </w:rPr>
        <w:t>Գծապատկեր 1.</w:t>
      </w:r>
      <w:r w:rsidR="00250E4C">
        <w:rPr>
          <w:rFonts w:eastAsia="Calibri" w:cs="Sylfaen"/>
          <w:bCs/>
          <w:i/>
          <w:iCs/>
          <w:color w:val="000000"/>
          <w:sz w:val="20"/>
          <w:szCs w:val="20"/>
          <w:lang w:val="hy-AM" w:eastAsia="en-US"/>
        </w:rPr>
        <w:t>29</w:t>
      </w:r>
      <w:r w:rsidRPr="00D178DD">
        <w:rPr>
          <w:rFonts w:eastAsia="Calibri" w:cs="Sylfaen"/>
          <w:bCs/>
          <w:i/>
          <w:iCs/>
          <w:color w:val="000000"/>
          <w:sz w:val="20"/>
          <w:szCs w:val="20"/>
          <w:lang w:val="hy-AM" w:eastAsia="en-US"/>
        </w:rPr>
        <w:t xml:space="preserve">. </w:t>
      </w:r>
      <w:r w:rsidRPr="00D178DD">
        <w:rPr>
          <w:rFonts w:eastAsia="Calibri" w:cs="Sylfaen"/>
          <w:b w:val="0"/>
          <w:bCs/>
          <w:i/>
          <w:iCs/>
          <w:color w:val="000000"/>
          <w:sz w:val="20"/>
          <w:szCs w:val="20"/>
          <w:lang w:val="hy-AM" w:eastAsia="en-US"/>
        </w:rPr>
        <w:t>Իրական ՀՆԱ աճի կանխատեսման հավանականությունների բաշխումը (Fan Chart)</w:t>
      </w:r>
    </w:p>
    <w:p w:rsidR="00D178DD" w:rsidRPr="00D178DD" w:rsidRDefault="00D178DD" w:rsidP="00D178DD">
      <w:pPr>
        <w:keepNext/>
        <w:keepLines/>
        <w:spacing w:before="0" w:line="276" w:lineRule="auto"/>
        <w:ind w:right="111" w:firstLine="0"/>
        <w:contextualSpacing w:val="0"/>
        <w:jc w:val="left"/>
        <w:rPr>
          <w:rFonts w:eastAsia="Calibri" w:cs="Sylfaen"/>
          <w:b w:val="0"/>
          <w:bCs/>
          <w:i/>
          <w:iCs/>
          <w:color w:val="000000"/>
          <w:sz w:val="20"/>
          <w:szCs w:val="20"/>
          <w:lang w:val="hy-AM" w:eastAsia="en-US"/>
        </w:rPr>
      </w:pPr>
    </w:p>
    <w:p w:rsidR="00D178DD" w:rsidRPr="00D178DD" w:rsidRDefault="00D178DD" w:rsidP="00D178DD">
      <w:pPr>
        <w:keepNext/>
        <w:keepLines/>
        <w:spacing w:before="0" w:line="276" w:lineRule="auto"/>
        <w:ind w:right="111" w:firstLine="0"/>
        <w:contextualSpacing w:val="0"/>
        <w:jc w:val="left"/>
        <w:rPr>
          <w:rFonts w:eastAsia="Calibri" w:cs="Sylfaen"/>
          <w:b w:val="0"/>
          <w:bCs/>
          <w:i/>
          <w:iCs/>
          <w:color w:val="000000"/>
          <w:sz w:val="20"/>
          <w:szCs w:val="20"/>
          <w:lang w:val="hy-AM" w:eastAsia="en-US"/>
        </w:rPr>
      </w:pPr>
      <w:r w:rsidRPr="00D178DD">
        <w:rPr>
          <w:noProof/>
          <w:lang w:val="en-US" w:eastAsia="en-US"/>
        </w:rPr>
        <w:drawing>
          <wp:inline distT="0" distB="0" distL="0" distR="0" wp14:anchorId="1A3C4045" wp14:editId="147A447A">
            <wp:extent cx="6172200" cy="3819525"/>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178DD" w:rsidRPr="00D178DD" w:rsidRDefault="00D178DD" w:rsidP="00D178DD">
      <w:pPr>
        <w:tabs>
          <w:tab w:val="left" w:pos="0"/>
          <w:tab w:val="num" w:pos="720"/>
        </w:tabs>
        <w:spacing w:before="0" w:line="276" w:lineRule="auto"/>
        <w:ind w:firstLine="0"/>
        <w:rPr>
          <w:rFonts w:eastAsia="Calibri"/>
          <w:b w:val="0"/>
          <w:i/>
          <w:sz w:val="16"/>
          <w:szCs w:val="16"/>
          <w:lang w:val="hy-AM"/>
        </w:rPr>
      </w:pPr>
      <w:r w:rsidRPr="00D178DD">
        <w:rPr>
          <w:rFonts w:eastAsia="Calibri"/>
          <w:b w:val="0"/>
          <w:i/>
          <w:sz w:val="16"/>
          <w:szCs w:val="16"/>
          <w:lang w:val="hy-AM"/>
        </w:rPr>
        <w:t>Աղբյուրը՝ ՀՀ ՖՆ գնահատումներ և կանխատեսումներ</w:t>
      </w:r>
    </w:p>
    <w:p w:rsidR="00D178DD" w:rsidRPr="00D178DD" w:rsidRDefault="00D178DD" w:rsidP="00D178DD">
      <w:pPr>
        <w:spacing w:before="0" w:line="240" w:lineRule="auto"/>
        <w:ind w:right="111" w:firstLine="0"/>
        <w:contextualSpacing w:val="0"/>
        <w:jc w:val="left"/>
        <w:rPr>
          <w:rFonts w:eastAsia="Calibri"/>
          <w:b w:val="0"/>
          <w:sz w:val="18"/>
          <w:szCs w:val="18"/>
          <w:lang w:val="hy-AM" w:eastAsia="en-US"/>
        </w:rPr>
      </w:pPr>
    </w:p>
    <w:p w:rsidR="00D178DD" w:rsidRPr="00D178DD" w:rsidRDefault="00D178DD" w:rsidP="00D178DD">
      <w:pPr>
        <w:ind w:right="111" w:firstLine="0"/>
        <w:rPr>
          <w:rFonts w:eastAsia="Calibri" w:cs="Sylfaen"/>
          <w:bCs/>
          <w:i/>
          <w:iCs/>
          <w:color w:val="000000"/>
          <w:sz w:val="20"/>
          <w:szCs w:val="20"/>
          <w:lang w:val="hy-AM" w:eastAsia="en-US"/>
        </w:rPr>
      </w:pPr>
    </w:p>
    <w:p w:rsidR="00D178DD" w:rsidRPr="00D178DD" w:rsidRDefault="00D178DD" w:rsidP="00D178DD">
      <w:pPr>
        <w:ind w:right="111" w:firstLine="0"/>
        <w:rPr>
          <w:rFonts w:eastAsia="Calibri" w:cs="Sylfaen"/>
          <w:bCs/>
          <w:i/>
          <w:iCs/>
          <w:color w:val="000000"/>
          <w:sz w:val="20"/>
          <w:szCs w:val="20"/>
          <w:lang w:val="hy-AM" w:eastAsia="en-US"/>
        </w:rPr>
      </w:pPr>
    </w:p>
    <w:p w:rsidR="00D178DD" w:rsidRPr="00D178DD" w:rsidRDefault="00D178DD" w:rsidP="00D178DD">
      <w:pPr>
        <w:ind w:right="111" w:firstLine="0"/>
        <w:rPr>
          <w:sz w:val="20"/>
          <w:szCs w:val="20"/>
          <w:lang w:val="hy-AM"/>
        </w:rPr>
      </w:pPr>
      <w:r w:rsidRPr="00D178DD">
        <w:rPr>
          <w:rFonts w:eastAsia="Calibri" w:cs="Sylfaen"/>
          <w:bCs/>
          <w:i/>
          <w:iCs/>
          <w:color w:val="000000"/>
          <w:sz w:val="20"/>
          <w:szCs w:val="20"/>
          <w:lang w:val="hy-AM" w:eastAsia="en-US"/>
        </w:rPr>
        <w:t>Աղյուսակ</w:t>
      </w:r>
      <w:r w:rsidRPr="00D178DD">
        <w:rPr>
          <w:rFonts w:eastAsia="Calibri"/>
          <w:bCs/>
          <w:i/>
          <w:iCs/>
          <w:color w:val="000000"/>
          <w:sz w:val="20"/>
          <w:szCs w:val="20"/>
          <w:lang w:val="hy-AM" w:eastAsia="en-US"/>
        </w:rPr>
        <w:t xml:space="preserve"> 1.4. </w:t>
      </w:r>
      <w:r w:rsidRPr="00D178DD">
        <w:rPr>
          <w:rFonts w:eastAsia="Calibri" w:cs="Sylfaen"/>
          <w:b w:val="0"/>
          <w:bCs/>
          <w:i/>
          <w:iCs/>
          <w:color w:val="000000"/>
          <w:sz w:val="20"/>
          <w:szCs w:val="20"/>
          <w:lang w:val="hy-AM" w:eastAsia="en-US"/>
        </w:rPr>
        <w:t>Իրական</w:t>
      </w:r>
      <w:r w:rsidRPr="00D178DD">
        <w:rPr>
          <w:rFonts w:eastAsia="Calibri"/>
          <w:b w:val="0"/>
          <w:bCs/>
          <w:i/>
          <w:iCs/>
          <w:color w:val="000000"/>
          <w:sz w:val="20"/>
          <w:szCs w:val="20"/>
          <w:lang w:val="hy-AM" w:eastAsia="en-US"/>
        </w:rPr>
        <w:t xml:space="preserve"> </w:t>
      </w:r>
      <w:r w:rsidRPr="00D178DD">
        <w:rPr>
          <w:rFonts w:eastAsia="Calibri" w:cs="Sylfaen"/>
          <w:b w:val="0"/>
          <w:bCs/>
          <w:i/>
          <w:iCs/>
          <w:color w:val="000000"/>
          <w:sz w:val="20"/>
          <w:szCs w:val="20"/>
          <w:lang w:val="hy-AM" w:eastAsia="en-US"/>
        </w:rPr>
        <w:t>ՀՆԱ-ի աճի կանխատեսման</w:t>
      </w:r>
      <w:r w:rsidRPr="00D178DD">
        <w:rPr>
          <w:rFonts w:eastAsia="Calibri"/>
          <w:b w:val="0"/>
          <w:bCs/>
          <w:i/>
          <w:iCs/>
          <w:color w:val="000000"/>
          <w:sz w:val="20"/>
          <w:szCs w:val="20"/>
          <w:lang w:val="hy-AM" w:eastAsia="en-US"/>
        </w:rPr>
        <w:t xml:space="preserve"> </w:t>
      </w:r>
      <w:r w:rsidRPr="00D178DD">
        <w:rPr>
          <w:rFonts w:eastAsia="Calibri" w:cs="Sylfaen"/>
          <w:b w:val="0"/>
          <w:bCs/>
          <w:i/>
          <w:iCs/>
          <w:color w:val="000000"/>
          <w:sz w:val="20"/>
          <w:szCs w:val="20"/>
          <w:lang w:val="hy-AM" w:eastAsia="en-US"/>
        </w:rPr>
        <w:t>հավանականությունների</w:t>
      </w:r>
      <w:r w:rsidRPr="00D178DD">
        <w:rPr>
          <w:rFonts w:eastAsia="Calibri"/>
          <w:b w:val="0"/>
          <w:bCs/>
          <w:i/>
          <w:iCs/>
          <w:color w:val="000000"/>
          <w:sz w:val="20"/>
          <w:szCs w:val="20"/>
          <w:lang w:val="hy-AM" w:eastAsia="en-US"/>
        </w:rPr>
        <w:t xml:space="preserve"> </w:t>
      </w:r>
      <w:r w:rsidRPr="00D178DD">
        <w:rPr>
          <w:rFonts w:eastAsia="Calibri" w:cs="Sylfaen"/>
          <w:b w:val="0"/>
          <w:bCs/>
          <w:i/>
          <w:iCs/>
          <w:color w:val="000000"/>
          <w:sz w:val="20"/>
          <w:szCs w:val="20"/>
          <w:lang w:val="hy-AM" w:eastAsia="en-US"/>
        </w:rPr>
        <w:t>բաշխումը, (կուտակային</w:t>
      </w:r>
      <w:r w:rsidRPr="00D178DD">
        <w:rPr>
          <w:rFonts w:cs="Sylfaen"/>
          <w:b w:val="0"/>
          <w:sz w:val="20"/>
          <w:szCs w:val="20"/>
          <w:u w:val="single"/>
          <w:lang w:val="es-ES" w:eastAsia="en-US"/>
        </w:rPr>
        <w:t>)</w:t>
      </w:r>
      <w:r w:rsidRPr="00D178DD">
        <w:rPr>
          <w:rFonts w:eastAsia="Calibri"/>
          <w:sz w:val="20"/>
          <w:szCs w:val="20"/>
          <w:vertAlign w:val="superscript"/>
          <w:lang w:val="hy-AM"/>
        </w:rPr>
        <w:footnoteReference w:id="11"/>
      </w:r>
    </w:p>
    <w:tbl>
      <w:tblPr>
        <w:tblW w:w="8433" w:type="dxa"/>
        <w:tblInd w:w="67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2279"/>
        <w:gridCol w:w="1474"/>
        <w:gridCol w:w="1440"/>
        <w:gridCol w:w="1530"/>
        <w:gridCol w:w="1710"/>
      </w:tblGrid>
      <w:tr w:rsidR="00D178DD" w:rsidRPr="005579BB" w:rsidTr="004B2286">
        <w:trPr>
          <w:trHeight w:val="459"/>
        </w:trPr>
        <w:tc>
          <w:tcPr>
            <w:tcW w:w="2279" w:type="dxa"/>
            <w:vMerge w:val="restart"/>
            <w:shd w:val="clear" w:color="auto" w:fill="auto"/>
            <w:vAlign w:val="center"/>
            <w:hideMark/>
          </w:tcPr>
          <w:p w:rsidR="00D178DD" w:rsidRPr="00D178DD" w:rsidRDefault="00D178DD" w:rsidP="00D178DD">
            <w:pPr>
              <w:tabs>
                <w:tab w:val="center" w:pos="4677"/>
                <w:tab w:val="right" w:pos="9355"/>
              </w:tabs>
              <w:spacing w:before="0" w:line="240" w:lineRule="auto"/>
              <w:ind w:right="111" w:firstLine="152"/>
              <w:jc w:val="center"/>
              <w:rPr>
                <w:rFonts w:eastAsia="Calibri" w:cs="Calibri"/>
                <w:color w:val="000000"/>
                <w:sz w:val="18"/>
                <w:szCs w:val="18"/>
                <w:lang w:val="hy-AM"/>
              </w:rPr>
            </w:pPr>
            <w:r w:rsidRPr="00D178DD">
              <w:rPr>
                <w:rFonts w:eastAsia="Calibri" w:cs="Sylfaen"/>
                <w:color w:val="000000"/>
                <w:sz w:val="18"/>
                <w:szCs w:val="18"/>
              </w:rPr>
              <w:t>Տնտեսական</w:t>
            </w:r>
            <w:r w:rsidRPr="00D178DD">
              <w:rPr>
                <w:rFonts w:eastAsia="Calibri" w:cs="Calibri"/>
                <w:color w:val="000000"/>
                <w:sz w:val="18"/>
                <w:szCs w:val="18"/>
              </w:rPr>
              <w:t xml:space="preserve"> </w:t>
            </w:r>
            <w:r w:rsidRPr="00D178DD">
              <w:rPr>
                <w:rFonts w:eastAsia="Calibri" w:cs="Sylfaen"/>
                <w:color w:val="000000"/>
                <w:sz w:val="18"/>
                <w:szCs w:val="18"/>
              </w:rPr>
              <w:t>աճի</w:t>
            </w:r>
            <w:r w:rsidRPr="00D178DD">
              <w:rPr>
                <w:rFonts w:eastAsia="Calibri" w:cs="Calibri"/>
                <w:color w:val="000000"/>
                <w:sz w:val="18"/>
                <w:szCs w:val="18"/>
              </w:rPr>
              <w:t xml:space="preserve"> </w:t>
            </w:r>
            <w:r w:rsidRPr="00D178DD">
              <w:rPr>
                <w:rFonts w:eastAsia="Calibri" w:cs="Sylfaen"/>
                <w:color w:val="000000"/>
                <w:sz w:val="18"/>
                <w:szCs w:val="18"/>
              </w:rPr>
              <w:t>միջակայքը</w:t>
            </w:r>
            <w:r w:rsidRPr="00D178DD">
              <w:rPr>
                <w:rFonts w:eastAsia="Calibri" w:cs="Calibri"/>
                <w:color w:val="000000"/>
                <w:sz w:val="18"/>
                <w:szCs w:val="18"/>
                <w:lang w:val="hy-AM"/>
              </w:rPr>
              <w:t xml:space="preserve">, </w:t>
            </w:r>
            <w:r w:rsidRPr="00D178DD">
              <w:rPr>
                <w:rFonts w:eastAsia="Calibri" w:cs="Calibri"/>
                <w:color w:val="000000"/>
                <w:sz w:val="18"/>
                <w:szCs w:val="18"/>
              </w:rPr>
              <w:t>%</w:t>
            </w:r>
          </w:p>
        </w:tc>
        <w:tc>
          <w:tcPr>
            <w:tcW w:w="6154" w:type="dxa"/>
            <w:gridSpan w:val="4"/>
            <w:shd w:val="clear" w:color="auto" w:fill="auto"/>
            <w:vAlign w:val="center"/>
            <w:hideMark/>
          </w:tcPr>
          <w:p w:rsidR="00D178DD" w:rsidRPr="00D178DD" w:rsidRDefault="00D178DD" w:rsidP="00D178DD">
            <w:pPr>
              <w:tabs>
                <w:tab w:val="center" w:pos="4677"/>
                <w:tab w:val="right" w:pos="9355"/>
              </w:tabs>
              <w:spacing w:before="0" w:line="240" w:lineRule="auto"/>
              <w:ind w:right="111" w:firstLine="0"/>
              <w:jc w:val="center"/>
              <w:rPr>
                <w:rFonts w:eastAsia="Calibri" w:cs="Calibri"/>
                <w:color w:val="000000"/>
                <w:sz w:val="18"/>
                <w:szCs w:val="18"/>
                <w:lang w:val="hy-AM"/>
              </w:rPr>
            </w:pPr>
            <w:r w:rsidRPr="00D178DD">
              <w:rPr>
                <w:rFonts w:eastAsia="Calibri" w:cs="Sylfaen"/>
                <w:color w:val="000000"/>
                <w:sz w:val="18"/>
                <w:szCs w:val="18"/>
                <w:lang w:val="hy-AM"/>
              </w:rPr>
              <w:t>Տնտեսական</w:t>
            </w:r>
            <w:r w:rsidRPr="00D178DD">
              <w:rPr>
                <w:rFonts w:eastAsia="Calibri" w:cs="Calibri"/>
                <w:color w:val="000000"/>
                <w:sz w:val="18"/>
                <w:szCs w:val="18"/>
                <w:lang w:val="hy-AM"/>
              </w:rPr>
              <w:t xml:space="preserve"> </w:t>
            </w:r>
            <w:r w:rsidRPr="00D178DD">
              <w:rPr>
                <w:rFonts w:eastAsia="Calibri" w:cs="Sylfaen"/>
                <w:color w:val="000000"/>
                <w:sz w:val="18"/>
                <w:szCs w:val="18"/>
                <w:lang w:val="hy-AM"/>
              </w:rPr>
              <w:t>աճի</w:t>
            </w:r>
            <w:r w:rsidRPr="00D178DD">
              <w:rPr>
                <w:rFonts w:eastAsia="Calibri" w:cs="Calibri"/>
                <w:color w:val="000000"/>
                <w:sz w:val="18"/>
                <w:szCs w:val="18"/>
                <w:lang w:val="hy-AM"/>
              </w:rPr>
              <w:t xml:space="preserve">` </w:t>
            </w:r>
            <w:r w:rsidRPr="00D178DD">
              <w:rPr>
                <w:rFonts w:eastAsia="Calibri" w:cs="Sylfaen"/>
                <w:color w:val="000000"/>
                <w:sz w:val="18"/>
                <w:szCs w:val="18"/>
                <w:lang w:val="hy-AM"/>
              </w:rPr>
              <w:t>տվյալ</w:t>
            </w:r>
            <w:r w:rsidRPr="00D178DD">
              <w:rPr>
                <w:rFonts w:eastAsia="Calibri" w:cs="Calibri"/>
                <w:color w:val="000000"/>
                <w:sz w:val="18"/>
                <w:szCs w:val="18"/>
                <w:lang w:val="hy-AM"/>
              </w:rPr>
              <w:t xml:space="preserve"> </w:t>
            </w:r>
            <w:r w:rsidRPr="00D178DD">
              <w:rPr>
                <w:rFonts w:eastAsia="Calibri" w:cs="Sylfaen"/>
                <w:color w:val="000000"/>
                <w:sz w:val="18"/>
                <w:szCs w:val="18"/>
                <w:lang w:val="hy-AM"/>
              </w:rPr>
              <w:t>միջակայքում</w:t>
            </w:r>
            <w:r w:rsidRPr="00D178DD">
              <w:rPr>
                <w:rFonts w:eastAsia="Calibri" w:cs="Calibri"/>
                <w:color w:val="000000"/>
                <w:sz w:val="18"/>
                <w:szCs w:val="18"/>
                <w:lang w:val="hy-AM"/>
              </w:rPr>
              <w:t xml:space="preserve"> </w:t>
            </w:r>
            <w:r w:rsidRPr="00D178DD">
              <w:rPr>
                <w:rFonts w:eastAsia="Calibri" w:cs="Sylfaen"/>
                <w:color w:val="000000"/>
                <w:sz w:val="18"/>
                <w:szCs w:val="18"/>
                <w:lang w:val="hy-AM"/>
              </w:rPr>
              <w:t>ձևավորվելու</w:t>
            </w:r>
            <w:r w:rsidRPr="00D178DD">
              <w:rPr>
                <w:rFonts w:eastAsia="Calibri" w:cs="Calibri"/>
                <w:color w:val="000000"/>
                <w:sz w:val="18"/>
                <w:szCs w:val="18"/>
                <w:lang w:val="hy-AM"/>
              </w:rPr>
              <w:t xml:space="preserve"> </w:t>
            </w:r>
            <w:r w:rsidRPr="00D178DD">
              <w:rPr>
                <w:rFonts w:eastAsia="Calibri" w:cs="Sylfaen"/>
                <w:color w:val="000000"/>
                <w:sz w:val="18"/>
                <w:szCs w:val="18"/>
                <w:lang w:val="hy-AM"/>
              </w:rPr>
              <w:t>հավանականությունը</w:t>
            </w:r>
            <w:r w:rsidRPr="00D178DD">
              <w:rPr>
                <w:rFonts w:eastAsia="Calibri" w:cs="Calibri"/>
                <w:color w:val="000000"/>
                <w:sz w:val="18"/>
                <w:szCs w:val="18"/>
                <w:lang w:val="hy-AM"/>
              </w:rPr>
              <w:t>, %</w:t>
            </w:r>
          </w:p>
        </w:tc>
      </w:tr>
      <w:tr w:rsidR="00D178DD" w:rsidRPr="00D178DD" w:rsidTr="004B2286">
        <w:trPr>
          <w:trHeight w:val="930"/>
        </w:trPr>
        <w:tc>
          <w:tcPr>
            <w:tcW w:w="2279" w:type="dxa"/>
            <w:vMerge/>
            <w:vAlign w:val="center"/>
            <w:hideMark/>
          </w:tcPr>
          <w:p w:rsidR="00D178DD" w:rsidRPr="00D178DD" w:rsidRDefault="00D178DD" w:rsidP="00D178DD">
            <w:pPr>
              <w:spacing w:before="0" w:line="240" w:lineRule="auto"/>
              <w:ind w:right="111" w:firstLine="0"/>
              <w:jc w:val="left"/>
              <w:rPr>
                <w:rFonts w:eastAsia="Calibri" w:cs="Calibri"/>
                <w:color w:val="000000"/>
                <w:sz w:val="18"/>
                <w:szCs w:val="18"/>
                <w:lang w:val="hy-AM"/>
              </w:rPr>
            </w:pPr>
          </w:p>
        </w:tc>
        <w:tc>
          <w:tcPr>
            <w:tcW w:w="1474" w:type="dxa"/>
            <w:shd w:val="clear" w:color="auto" w:fill="auto"/>
            <w:noWrap/>
            <w:vAlign w:val="center"/>
            <w:hideMark/>
          </w:tcPr>
          <w:p w:rsidR="00D178DD" w:rsidRPr="00D178DD" w:rsidRDefault="00D178DD" w:rsidP="00D178DD">
            <w:pPr>
              <w:ind w:right="111" w:firstLine="106"/>
              <w:jc w:val="center"/>
              <w:rPr>
                <w:rFonts w:eastAsia="Calibri" w:cs="Calibri"/>
                <w:color w:val="000000"/>
                <w:sz w:val="20"/>
                <w:szCs w:val="20"/>
                <w:lang w:val="hy-AM"/>
              </w:rPr>
            </w:pPr>
            <w:r w:rsidRPr="00D178DD">
              <w:rPr>
                <w:color w:val="000000"/>
                <w:sz w:val="20"/>
                <w:szCs w:val="20"/>
              </w:rPr>
              <w:t>202</w:t>
            </w:r>
            <w:r w:rsidRPr="00D178DD">
              <w:rPr>
                <w:color w:val="000000"/>
                <w:sz w:val="20"/>
                <w:szCs w:val="20"/>
                <w:lang w:val="hy-AM"/>
              </w:rPr>
              <w:t>3</w:t>
            </w:r>
            <w:r w:rsidRPr="00D178DD">
              <w:rPr>
                <w:color w:val="000000"/>
                <w:sz w:val="20"/>
                <w:szCs w:val="20"/>
              </w:rPr>
              <w:t xml:space="preserve"> I </w:t>
            </w:r>
            <w:r w:rsidRPr="00D178DD">
              <w:rPr>
                <w:rFonts w:cs="Sylfaen"/>
                <w:color w:val="000000"/>
                <w:sz w:val="20"/>
                <w:szCs w:val="20"/>
              </w:rPr>
              <w:t>եռ</w:t>
            </w:r>
            <w:r w:rsidRPr="00D178DD">
              <w:rPr>
                <w:color w:val="000000"/>
                <w:sz w:val="20"/>
                <w:szCs w:val="20"/>
              </w:rPr>
              <w:t>.</w:t>
            </w:r>
          </w:p>
        </w:tc>
        <w:tc>
          <w:tcPr>
            <w:tcW w:w="1440" w:type="dxa"/>
            <w:shd w:val="clear" w:color="auto" w:fill="auto"/>
            <w:vAlign w:val="center"/>
            <w:hideMark/>
          </w:tcPr>
          <w:p w:rsidR="00D178DD" w:rsidRPr="00D178DD" w:rsidRDefault="00D178DD" w:rsidP="00D178DD">
            <w:pPr>
              <w:ind w:right="111" w:firstLine="106"/>
              <w:jc w:val="center"/>
              <w:rPr>
                <w:rFonts w:eastAsia="Calibri" w:cs="Calibri"/>
                <w:color w:val="000000"/>
                <w:sz w:val="20"/>
                <w:szCs w:val="20"/>
                <w:lang w:val="hy-AM"/>
              </w:rPr>
            </w:pPr>
            <w:r w:rsidRPr="00D178DD">
              <w:rPr>
                <w:color w:val="000000"/>
                <w:sz w:val="20"/>
                <w:szCs w:val="20"/>
              </w:rPr>
              <w:t>202</w:t>
            </w:r>
            <w:r w:rsidRPr="00D178DD">
              <w:rPr>
                <w:color w:val="000000"/>
                <w:sz w:val="20"/>
                <w:szCs w:val="20"/>
                <w:lang w:val="hy-AM"/>
              </w:rPr>
              <w:t>3</w:t>
            </w:r>
            <w:r w:rsidRPr="00D178DD">
              <w:rPr>
                <w:color w:val="000000"/>
                <w:sz w:val="20"/>
                <w:szCs w:val="20"/>
              </w:rPr>
              <w:t xml:space="preserve"> II </w:t>
            </w:r>
            <w:r w:rsidRPr="00D178DD">
              <w:rPr>
                <w:rFonts w:cs="Sylfaen"/>
                <w:color w:val="000000"/>
                <w:sz w:val="20"/>
                <w:szCs w:val="20"/>
              </w:rPr>
              <w:t>եռ</w:t>
            </w:r>
            <w:r w:rsidRPr="00D178DD">
              <w:rPr>
                <w:color w:val="000000"/>
                <w:sz w:val="20"/>
                <w:szCs w:val="20"/>
              </w:rPr>
              <w:t>.</w:t>
            </w:r>
          </w:p>
        </w:tc>
        <w:tc>
          <w:tcPr>
            <w:tcW w:w="1530" w:type="dxa"/>
            <w:shd w:val="clear" w:color="auto" w:fill="auto"/>
            <w:noWrap/>
            <w:vAlign w:val="center"/>
            <w:hideMark/>
          </w:tcPr>
          <w:p w:rsidR="00D178DD" w:rsidRPr="00D178DD" w:rsidRDefault="00D178DD" w:rsidP="00D178DD">
            <w:pPr>
              <w:ind w:right="111" w:firstLine="106"/>
              <w:jc w:val="center"/>
              <w:rPr>
                <w:rFonts w:eastAsia="Calibri" w:cs="Calibri"/>
                <w:color w:val="000000"/>
                <w:sz w:val="20"/>
                <w:szCs w:val="20"/>
                <w:lang w:val="hy-AM"/>
              </w:rPr>
            </w:pPr>
            <w:r w:rsidRPr="00D178DD">
              <w:rPr>
                <w:color w:val="000000"/>
                <w:sz w:val="20"/>
                <w:szCs w:val="20"/>
              </w:rPr>
              <w:t>202</w:t>
            </w:r>
            <w:r w:rsidRPr="00D178DD">
              <w:rPr>
                <w:color w:val="000000"/>
                <w:sz w:val="20"/>
                <w:szCs w:val="20"/>
                <w:lang w:val="hy-AM"/>
              </w:rPr>
              <w:t>3</w:t>
            </w:r>
            <w:r w:rsidRPr="00D178DD">
              <w:rPr>
                <w:color w:val="000000"/>
                <w:sz w:val="20"/>
                <w:szCs w:val="20"/>
              </w:rPr>
              <w:t xml:space="preserve"> III </w:t>
            </w:r>
            <w:r w:rsidRPr="00D178DD">
              <w:rPr>
                <w:rFonts w:cs="Sylfaen"/>
                <w:color w:val="000000"/>
                <w:sz w:val="20"/>
                <w:szCs w:val="20"/>
              </w:rPr>
              <w:t>եռ</w:t>
            </w:r>
            <w:r w:rsidRPr="00D178DD">
              <w:rPr>
                <w:color w:val="000000"/>
                <w:sz w:val="20"/>
                <w:szCs w:val="20"/>
              </w:rPr>
              <w:t>.</w:t>
            </w:r>
          </w:p>
        </w:tc>
        <w:tc>
          <w:tcPr>
            <w:tcW w:w="1710" w:type="dxa"/>
            <w:shd w:val="clear" w:color="auto" w:fill="auto"/>
            <w:vAlign w:val="center"/>
            <w:hideMark/>
          </w:tcPr>
          <w:p w:rsidR="00D178DD" w:rsidRPr="00D178DD" w:rsidRDefault="00D178DD" w:rsidP="00D178DD">
            <w:pPr>
              <w:ind w:right="111" w:firstLine="106"/>
              <w:jc w:val="center"/>
              <w:rPr>
                <w:rFonts w:eastAsia="Calibri" w:cs="Calibri"/>
                <w:color w:val="000000"/>
                <w:sz w:val="20"/>
                <w:szCs w:val="20"/>
                <w:lang w:val="hy-AM"/>
              </w:rPr>
            </w:pPr>
            <w:r w:rsidRPr="00D178DD">
              <w:rPr>
                <w:color w:val="000000"/>
                <w:sz w:val="20"/>
                <w:szCs w:val="20"/>
              </w:rPr>
              <w:t>202</w:t>
            </w:r>
            <w:r w:rsidRPr="00D178DD">
              <w:rPr>
                <w:color w:val="000000"/>
                <w:sz w:val="20"/>
                <w:szCs w:val="20"/>
                <w:lang w:val="hy-AM"/>
              </w:rPr>
              <w:t>4</w:t>
            </w:r>
            <w:r w:rsidRPr="00D178DD">
              <w:rPr>
                <w:color w:val="000000"/>
                <w:sz w:val="20"/>
                <w:szCs w:val="20"/>
              </w:rPr>
              <w:t xml:space="preserve"> IV </w:t>
            </w:r>
            <w:r w:rsidRPr="00D178DD">
              <w:rPr>
                <w:rFonts w:cs="Sylfaen"/>
                <w:color w:val="000000"/>
                <w:sz w:val="20"/>
                <w:szCs w:val="20"/>
              </w:rPr>
              <w:t>եռ</w:t>
            </w:r>
            <w:r w:rsidRPr="00D178DD">
              <w:rPr>
                <w:color w:val="000000"/>
                <w:sz w:val="20"/>
                <w:szCs w:val="20"/>
              </w:rPr>
              <w:t>.</w:t>
            </w:r>
          </w:p>
        </w:tc>
      </w:tr>
      <w:tr w:rsidR="00D178DD" w:rsidRPr="00D178DD" w:rsidTr="004B2286">
        <w:trPr>
          <w:trHeight w:val="257"/>
        </w:trPr>
        <w:tc>
          <w:tcPr>
            <w:tcW w:w="2279" w:type="dxa"/>
            <w:shd w:val="clear" w:color="auto" w:fill="auto"/>
            <w:noWrap/>
            <w:vAlign w:val="bottom"/>
            <w:hideMark/>
          </w:tcPr>
          <w:p w:rsidR="00D178DD" w:rsidRPr="00D178DD" w:rsidRDefault="00D178DD" w:rsidP="00D178DD">
            <w:pPr>
              <w:ind w:right="111" w:hanging="45"/>
              <w:jc w:val="center"/>
              <w:rPr>
                <w:b w:val="0"/>
                <w:bCs/>
                <w:color w:val="000000"/>
                <w:lang w:val="en-US"/>
              </w:rPr>
            </w:pPr>
            <w:r w:rsidRPr="00D178DD">
              <w:rPr>
                <w:b w:val="0"/>
                <w:bCs/>
                <w:color w:val="000000"/>
                <w:lang w:val="en-US"/>
              </w:rPr>
              <w:t>2-4</w:t>
            </w:r>
          </w:p>
        </w:tc>
        <w:tc>
          <w:tcPr>
            <w:tcW w:w="1474" w:type="dxa"/>
            <w:shd w:val="clear" w:color="auto" w:fill="auto"/>
            <w:noWrap/>
            <w:hideMark/>
          </w:tcPr>
          <w:p w:rsidR="00D178DD" w:rsidRPr="00D178DD" w:rsidRDefault="00D178DD" w:rsidP="00D178DD">
            <w:pPr>
              <w:ind w:right="111"/>
              <w:jc w:val="center"/>
              <w:rPr>
                <w:b w:val="0"/>
                <w:color w:val="000000"/>
              </w:rPr>
            </w:pPr>
            <w:r w:rsidRPr="00D178DD">
              <w:rPr>
                <w:b w:val="0"/>
              </w:rPr>
              <w:t>10.9</w:t>
            </w:r>
          </w:p>
        </w:tc>
        <w:tc>
          <w:tcPr>
            <w:tcW w:w="1440" w:type="dxa"/>
            <w:shd w:val="clear" w:color="auto" w:fill="auto"/>
            <w:noWrap/>
            <w:hideMark/>
          </w:tcPr>
          <w:p w:rsidR="00D178DD" w:rsidRPr="00D178DD" w:rsidRDefault="00D178DD" w:rsidP="00D178DD">
            <w:pPr>
              <w:ind w:right="111"/>
              <w:jc w:val="center"/>
              <w:rPr>
                <w:b w:val="0"/>
                <w:bCs/>
                <w:color w:val="000000"/>
              </w:rPr>
            </w:pPr>
            <w:r w:rsidRPr="00D178DD">
              <w:rPr>
                <w:b w:val="0"/>
              </w:rPr>
              <w:t>12.8</w:t>
            </w:r>
          </w:p>
        </w:tc>
        <w:tc>
          <w:tcPr>
            <w:tcW w:w="1530" w:type="dxa"/>
            <w:shd w:val="clear" w:color="auto" w:fill="auto"/>
            <w:noWrap/>
            <w:hideMark/>
          </w:tcPr>
          <w:p w:rsidR="00D178DD" w:rsidRPr="00D178DD" w:rsidRDefault="00D178DD" w:rsidP="00D178DD">
            <w:pPr>
              <w:ind w:right="111"/>
              <w:jc w:val="center"/>
              <w:rPr>
                <w:b w:val="0"/>
                <w:bCs/>
                <w:color w:val="000000"/>
              </w:rPr>
            </w:pPr>
            <w:r w:rsidRPr="00D178DD">
              <w:rPr>
                <w:b w:val="0"/>
              </w:rPr>
              <w:t>13.7</w:t>
            </w:r>
          </w:p>
        </w:tc>
        <w:tc>
          <w:tcPr>
            <w:tcW w:w="1710" w:type="dxa"/>
            <w:shd w:val="clear" w:color="auto" w:fill="auto"/>
            <w:noWrap/>
            <w:hideMark/>
          </w:tcPr>
          <w:p w:rsidR="00D178DD" w:rsidRPr="00D178DD" w:rsidRDefault="00D178DD" w:rsidP="00D178DD">
            <w:pPr>
              <w:ind w:right="111"/>
              <w:jc w:val="center"/>
              <w:rPr>
                <w:b w:val="0"/>
                <w:bCs/>
                <w:color w:val="000000"/>
              </w:rPr>
            </w:pPr>
            <w:r w:rsidRPr="00D178DD">
              <w:rPr>
                <w:b w:val="0"/>
              </w:rPr>
              <w:t>14.4</w:t>
            </w:r>
          </w:p>
        </w:tc>
      </w:tr>
      <w:tr w:rsidR="00D178DD" w:rsidRPr="00D178DD" w:rsidTr="004B2286">
        <w:trPr>
          <w:trHeight w:val="275"/>
        </w:trPr>
        <w:tc>
          <w:tcPr>
            <w:tcW w:w="2279" w:type="dxa"/>
            <w:shd w:val="clear" w:color="auto" w:fill="auto"/>
            <w:noWrap/>
            <w:vAlign w:val="bottom"/>
            <w:hideMark/>
          </w:tcPr>
          <w:p w:rsidR="00D178DD" w:rsidRPr="00D178DD" w:rsidRDefault="00D178DD" w:rsidP="00D178DD">
            <w:pPr>
              <w:ind w:right="111" w:hanging="45"/>
              <w:jc w:val="center"/>
              <w:rPr>
                <w:b w:val="0"/>
                <w:bCs/>
                <w:color w:val="000000"/>
                <w:lang w:val="en-US"/>
              </w:rPr>
            </w:pPr>
            <w:r w:rsidRPr="00D178DD">
              <w:rPr>
                <w:b w:val="0"/>
                <w:bCs/>
                <w:color w:val="000000"/>
                <w:lang w:val="en-US"/>
              </w:rPr>
              <w:t>4-6</w:t>
            </w:r>
          </w:p>
        </w:tc>
        <w:tc>
          <w:tcPr>
            <w:tcW w:w="1474" w:type="dxa"/>
            <w:shd w:val="clear" w:color="auto" w:fill="auto"/>
            <w:noWrap/>
            <w:hideMark/>
          </w:tcPr>
          <w:p w:rsidR="00D178DD" w:rsidRPr="00D178DD" w:rsidRDefault="00D178DD" w:rsidP="00D178DD">
            <w:pPr>
              <w:ind w:right="111"/>
              <w:jc w:val="center"/>
              <w:rPr>
                <w:b w:val="0"/>
                <w:bCs/>
                <w:color w:val="000000"/>
              </w:rPr>
            </w:pPr>
            <w:r w:rsidRPr="00D178DD">
              <w:rPr>
                <w:b w:val="0"/>
              </w:rPr>
              <w:t>22.8</w:t>
            </w:r>
          </w:p>
        </w:tc>
        <w:tc>
          <w:tcPr>
            <w:tcW w:w="1440" w:type="dxa"/>
            <w:shd w:val="clear" w:color="auto" w:fill="auto"/>
            <w:noWrap/>
            <w:hideMark/>
          </w:tcPr>
          <w:p w:rsidR="00D178DD" w:rsidRPr="00D178DD" w:rsidRDefault="00D178DD" w:rsidP="00D178DD">
            <w:pPr>
              <w:ind w:right="111"/>
              <w:jc w:val="center"/>
              <w:rPr>
                <w:b w:val="0"/>
                <w:color w:val="000000"/>
              </w:rPr>
            </w:pPr>
            <w:r w:rsidRPr="00D178DD">
              <w:rPr>
                <w:b w:val="0"/>
              </w:rPr>
              <w:t>23.9</w:t>
            </w:r>
          </w:p>
        </w:tc>
        <w:tc>
          <w:tcPr>
            <w:tcW w:w="1530" w:type="dxa"/>
            <w:shd w:val="clear" w:color="auto" w:fill="auto"/>
            <w:noWrap/>
            <w:hideMark/>
          </w:tcPr>
          <w:p w:rsidR="00D178DD" w:rsidRPr="00D178DD" w:rsidRDefault="00D178DD" w:rsidP="00D178DD">
            <w:pPr>
              <w:ind w:right="111"/>
              <w:jc w:val="center"/>
              <w:rPr>
                <w:b w:val="0"/>
                <w:bCs/>
                <w:color w:val="000000"/>
              </w:rPr>
            </w:pPr>
            <w:r w:rsidRPr="00D178DD">
              <w:rPr>
                <w:b w:val="0"/>
              </w:rPr>
              <w:t>24.4</w:t>
            </w:r>
          </w:p>
        </w:tc>
        <w:tc>
          <w:tcPr>
            <w:tcW w:w="1710" w:type="dxa"/>
            <w:shd w:val="clear" w:color="auto" w:fill="auto"/>
            <w:noWrap/>
            <w:hideMark/>
          </w:tcPr>
          <w:p w:rsidR="00D178DD" w:rsidRPr="00D178DD" w:rsidRDefault="00D178DD" w:rsidP="00D178DD">
            <w:pPr>
              <w:ind w:right="111"/>
              <w:jc w:val="center"/>
              <w:rPr>
                <w:b w:val="0"/>
                <w:bCs/>
                <w:color w:val="000000"/>
              </w:rPr>
            </w:pPr>
            <w:r w:rsidRPr="00D178DD">
              <w:rPr>
                <w:b w:val="0"/>
              </w:rPr>
              <w:t>24.7</w:t>
            </w:r>
          </w:p>
        </w:tc>
      </w:tr>
      <w:tr w:rsidR="00D178DD" w:rsidRPr="00D178DD" w:rsidTr="004B2286">
        <w:trPr>
          <w:trHeight w:val="279"/>
        </w:trPr>
        <w:tc>
          <w:tcPr>
            <w:tcW w:w="2279" w:type="dxa"/>
            <w:shd w:val="clear" w:color="auto" w:fill="auto"/>
            <w:noWrap/>
            <w:vAlign w:val="bottom"/>
            <w:hideMark/>
          </w:tcPr>
          <w:p w:rsidR="00D178DD" w:rsidRPr="00D178DD" w:rsidRDefault="00D178DD" w:rsidP="00D178DD">
            <w:pPr>
              <w:ind w:right="111" w:hanging="45"/>
              <w:jc w:val="center"/>
              <w:rPr>
                <w:b w:val="0"/>
                <w:bCs/>
                <w:color w:val="000000"/>
                <w:lang w:val="en-US"/>
              </w:rPr>
            </w:pPr>
            <w:r w:rsidRPr="00D178DD">
              <w:rPr>
                <w:b w:val="0"/>
                <w:bCs/>
                <w:color w:val="000000"/>
                <w:lang w:val="en-US"/>
              </w:rPr>
              <w:t>6-8</w:t>
            </w:r>
          </w:p>
        </w:tc>
        <w:tc>
          <w:tcPr>
            <w:tcW w:w="1474" w:type="dxa"/>
            <w:shd w:val="clear" w:color="auto" w:fill="auto"/>
            <w:noWrap/>
            <w:hideMark/>
          </w:tcPr>
          <w:p w:rsidR="00D178DD" w:rsidRPr="00D178DD" w:rsidRDefault="00D178DD" w:rsidP="00D178DD">
            <w:pPr>
              <w:ind w:right="111"/>
              <w:jc w:val="center"/>
              <w:rPr>
                <w:bCs/>
                <w:color w:val="000000"/>
              </w:rPr>
            </w:pPr>
            <w:r w:rsidRPr="00D178DD">
              <w:t>31.4</w:t>
            </w:r>
          </w:p>
        </w:tc>
        <w:tc>
          <w:tcPr>
            <w:tcW w:w="1440" w:type="dxa"/>
            <w:shd w:val="clear" w:color="auto" w:fill="auto"/>
            <w:noWrap/>
            <w:hideMark/>
          </w:tcPr>
          <w:p w:rsidR="00D178DD" w:rsidRPr="00D178DD" w:rsidRDefault="00D178DD" w:rsidP="00D178DD">
            <w:pPr>
              <w:ind w:right="111"/>
              <w:jc w:val="center"/>
              <w:rPr>
                <w:bCs/>
                <w:color w:val="000000"/>
              </w:rPr>
            </w:pPr>
            <w:r w:rsidRPr="00D178DD">
              <w:t>30.4</w:t>
            </w:r>
          </w:p>
        </w:tc>
        <w:tc>
          <w:tcPr>
            <w:tcW w:w="1530" w:type="dxa"/>
            <w:shd w:val="clear" w:color="auto" w:fill="auto"/>
            <w:noWrap/>
            <w:hideMark/>
          </w:tcPr>
          <w:p w:rsidR="00D178DD" w:rsidRPr="00D178DD" w:rsidRDefault="00D178DD" w:rsidP="00D178DD">
            <w:pPr>
              <w:ind w:right="111"/>
              <w:jc w:val="center"/>
              <w:rPr>
                <w:color w:val="000000"/>
              </w:rPr>
            </w:pPr>
            <w:r w:rsidRPr="00D178DD">
              <w:t>29.7</w:t>
            </w:r>
          </w:p>
        </w:tc>
        <w:tc>
          <w:tcPr>
            <w:tcW w:w="1710" w:type="dxa"/>
            <w:shd w:val="clear" w:color="auto" w:fill="auto"/>
            <w:noWrap/>
            <w:hideMark/>
          </w:tcPr>
          <w:p w:rsidR="00D178DD" w:rsidRPr="00D178DD" w:rsidRDefault="00D178DD" w:rsidP="00D178DD">
            <w:pPr>
              <w:ind w:right="111"/>
              <w:jc w:val="center"/>
              <w:rPr>
                <w:color w:val="000000"/>
              </w:rPr>
            </w:pPr>
            <w:r w:rsidRPr="00D178DD">
              <w:t>29.2</w:t>
            </w:r>
          </w:p>
        </w:tc>
      </w:tr>
      <w:tr w:rsidR="00D178DD" w:rsidRPr="00D178DD" w:rsidTr="004B2286">
        <w:trPr>
          <w:trHeight w:val="283"/>
        </w:trPr>
        <w:tc>
          <w:tcPr>
            <w:tcW w:w="2279" w:type="dxa"/>
            <w:shd w:val="clear" w:color="auto" w:fill="auto"/>
            <w:noWrap/>
            <w:vAlign w:val="bottom"/>
            <w:hideMark/>
          </w:tcPr>
          <w:p w:rsidR="00D178DD" w:rsidRPr="00D178DD" w:rsidRDefault="00D178DD" w:rsidP="00D178DD">
            <w:pPr>
              <w:ind w:right="111" w:hanging="45"/>
              <w:jc w:val="center"/>
              <w:rPr>
                <w:b w:val="0"/>
                <w:bCs/>
                <w:color w:val="000000"/>
                <w:lang w:val="en-US"/>
              </w:rPr>
            </w:pPr>
            <w:r w:rsidRPr="00D178DD">
              <w:rPr>
                <w:b w:val="0"/>
                <w:bCs/>
                <w:color w:val="000000"/>
                <w:lang w:val="en-US"/>
              </w:rPr>
              <w:t>8-10</w:t>
            </w:r>
          </w:p>
        </w:tc>
        <w:tc>
          <w:tcPr>
            <w:tcW w:w="1474" w:type="dxa"/>
            <w:shd w:val="clear" w:color="auto" w:fill="auto"/>
            <w:noWrap/>
            <w:hideMark/>
          </w:tcPr>
          <w:p w:rsidR="00D178DD" w:rsidRPr="00D178DD" w:rsidRDefault="00D178DD" w:rsidP="00D178DD">
            <w:pPr>
              <w:ind w:right="111"/>
              <w:jc w:val="center"/>
              <w:rPr>
                <w:b w:val="0"/>
                <w:bCs/>
                <w:color w:val="000000"/>
              </w:rPr>
            </w:pPr>
            <w:r w:rsidRPr="00D178DD">
              <w:rPr>
                <w:b w:val="0"/>
              </w:rPr>
              <w:t>23.6</w:t>
            </w:r>
          </w:p>
        </w:tc>
        <w:tc>
          <w:tcPr>
            <w:tcW w:w="1440" w:type="dxa"/>
            <w:shd w:val="clear" w:color="auto" w:fill="auto"/>
            <w:noWrap/>
            <w:hideMark/>
          </w:tcPr>
          <w:p w:rsidR="00D178DD" w:rsidRPr="00D178DD" w:rsidRDefault="00D178DD" w:rsidP="00D178DD">
            <w:pPr>
              <w:ind w:right="111"/>
              <w:jc w:val="center"/>
              <w:rPr>
                <w:b w:val="0"/>
                <w:bCs/>
                <w:color w:val="000000"/>
              </w:rPr>
            </w:pPr>
            <w:r w:rsidRPr="00D178DD">
              <w:rPr>
                <w:b w:val="0"/>
              </w:rPr>
              <w:t>20.8</w:t>
            </w:r>
          </w:p>
        </w:tc>
        <w:tc>
          <w:tcPr>
            <w:tcW w:w="1530" w:type="dxa"/>
            <w:shd w:val="clear" w:color="auto" w:fill="auto"/>
            <w:noWrap/>
            <w:hideMark/>
          </w:tcPr>
          <w:p w:rsidR="00D178DD" w:rsidRPr="00D178DD" w:rsidRDefault="00D178DD" w:rsidP="00D178DD">
            <w:pPr>
              <w:ind w:right="111"/>
              <w:jc w:val="center"/>
              <w:rPr>
                <w:b w:val="0"/>
                <w:bCs/>
                <w:color w:val="000000"/>
              </w:rPr>
            </w:pPr>
            <w:r w:rsidRPr="00D178DD">
              <w:rPr>
                <w:b w:val="0"/>
              </w:rPr>
              <w:t>19.4</w:t>
            </w:r>
          </w:p>
        </w:tc>
        <w:tc>
          <w:tcPr>
            <w:tcW w:w="1710" w:type="dxa"/>
            <w:shd w:val="clear" w:color="auto" w:fill="auto"/>
            <w:noWrap/>
            <w:hideMark/>
          </w:tcPr>
          <w:p w:rsidR="00D178DD" w:rsidRPr="00D178DD" w:rsidRDefault="00D178DD" w:rsidP="00D178DD">
            <w:pPr>
              <w:ind w:right="111"/>
              <w:jc w:val="center"/>
              <w:rPr>
                <w:b w:val="0"/>
                <w:bCs/>
                <w:color w:val="000000"/>
              </w:rPr>
            </w:pPr>
            <w:r w:rsidRPr="00D178DD">
              <w:rPr>
                <w:b w:val="0"/>
              </w:rPr>
              <w:t>18.5</w:t>
            </w:r>
          </w:p>
        </w:tc>
      </w:tr>
    </w:tbl>
    <w:p w:rsidR="00D178DD" w:rsidRPr="00D178DD" w:rsidRDefault="00D178DD" w:rsidP="00D178DD">
      <w:pPr>
        <w:ind w:right="115" w:firstLine="562"/>
        <w:contextualSpacing w:val="0"/>
        <w:rPr>
          <w:rFonts w:eastAsia="Calibri" w:cs="Sylfaen"/>
          <w:b w:val="0"/>
          <w:sz w:val="2"/>
          <w:szCs w:val="2"/>
          <w:lang w:val="hy-AM" w:eastAsia="en-US"/>
        </w:rPr>
      </w:pPr>
    </w:p>
    <w:p w:rsidR="00D178DD" w:rsidRPr="00D178DD" w:rsidRDefault="00D178DD" w:rsidP="00250E4C">
      <w:pPr>
        <w:spacing w:before="0" w:line="276" w:lineRule="auto"/>
        <w:ind w:right="111"/>
        <w:contextualSpacing w:val="0"/>
        <w:rPr>
          <w:rFonts w:eastAsia="Calibri" w:cs="Sylfaen"/>
          <w:b w:val="0"/>
          <w:szCs w:val="22"/>
          <w:lang w:val="hy-AM" w:eastAsia="en-US"/>
        </w:rPr>
      </w:pPr>
      <w:r w:rsidRPr="00D178DD">
        <w:rPr>
          <w:rFonts w:eastAsia="Calibri" w:cs="Sylfaen"/>
          <w:b w:val="0"/>
          <w:szCs w:val="22"/>
          <w:lang w:val="hy-AM" w:eastAsia="en-US"/>
        </w:rPr>
        <w:t>Ինչպես</w:t>
      </w:r>
      <w:r w:rsidRPr="00D178DD">
        <w:rPr>
          <w:rFonts w:eastAsia="Calibri" w:cs="Sylfaen"/>
          <w:b w:val="0"/>
          <w:szCs w:val="22"/>
          <w:lang w:val="it-IT" w:eastAsia="en-US"/>
        </w:rPr>
        <w:t xml:space="preserve"> </w:t>
      </w:r>
      <w:r w:rsidRPr="00D178DD">
        <w:rPr>
          <w:rFonts w:eastAsia="Calibri" w:cs="Sylfaen"/>
          <w:b w:val="0"/>
          <w:szCs w:val="22"/>
          <w:lang w:val="hy-AM" w:eastAsia="en-US"/>
        </w:rPr>
        <w:t>երևում</w:t>
      </w:r>
      <w:r w:rsidRPr="00D178DD">
        <w:rPr>
          <w:rFonts w:eastAsia="Calibri" w:cs="Sylfaen"/>
          <w:b w:val="0"/>
          <w:szCs w:val="22"/>
          <w:lang w:val="it-IT" w:eastAsia="en-US"/>
        </w:rPr>
        <w:t xml:space="preserve"> </w:t>
      </w:r>
      <w:r w:rsidRPr="00D178DD">
        <w:rPr>
          <w:rFonts w:eastAsia="Calibri" w:cs="Sylfaen"/>
          <w:b w:val="0"/>
          <w:szCs w:val="22"/>
          <w:lang w:val="hy-AM" w:eastAsia="en-US"/>
        </w:rPr>
        <w:t>է</w:t>
      </w:r>
      <w:r w:rsidRPr="00D178DD">
        <w:rPr>
          <w:rFonts w:eastAsia="Calibri" w:cs="Sylfaen"/>
          <w:b w:val="0"/>
          <w:szCs w:val="22"/>
          <w:lang w:val="it-IT" w:eastAsia="en-US"/>
        </w:rPr>
        <w:t xml:space="preserve"> </w:t>
      </w:r>
      <w:r w:rsidRPr="00D178DD">
        <w:rPr>
          <w:rFonts w:eastAsia="Calibri" w:cs="Sylfaen"/>
          <w:b w:val="0"/>
          <w:szCs w:val="22"/>
          <w:lang w:val="hy-AM" w:eastAsia="en-US"/>
        </w:rPr>
        <w:t>Գծապատկեր</w:t>
      </w:r>
      <w:r w:rsidRPr="00D178DD">
        <w:rPr>
          <w:rFonts w:eastAsia="Calibri" w:cs="Sylfaen"/>
          <w:b w:val="0"/>
          <w:szCs w:val="22"/>
          <w:lang w:val="it-IT" w:eastAsia="en-US"/>
        </w:rPr>
        <w:t xml:space="preserve"> </w:t>
      </w:r>
      <w:r w:rsidRPr="00D178DD">
        <w:rPr>
          <w:rFonts w:eastAsia="Calibri" w:cs="Sylfaen"/>
          <w:b w:val="0"/>
          <w:szCs w:val="22"/>
          <w:lang w:val="hy-AM" w:eastAsia="en-US"/>
        </w:rPr>
        <w:t>1.</w:t>
      </w:r>
      <w:r w:rsidR="00250E4C">
        <w:rPr>
          <w:rFonts w:eastAsia="Calibri" w:cs="Sylfaen"/>
          <w:b w:val="0"/>
          <w:szCs w:val="22"/>
          <w:lang w:val="hy-AM" w:eastAsia="en-US"/>
        </w:rPr>
        <w:t>29</w:t>
      </w:r>
      <w:r w:rsidRPr="00D178DD">
        <w:rPr>
          <w:rFonts w:eastAsia="Calibri" w:cs="Sylfaen"/>
          <w:b w:val="0"/>
          <w:szCs w:val="22"/>
          <w:lang w:val="hy-AM" w:eastAsia="en-US"/>
        </w:rPr>
        <w:t>-ից, 2023թ.</w:t>
      </w:r>
      <w:r w:rsidRPr="00D178DD" w:rsidDel="00301E27">
        <w:rPr>
          <w:rFonts w:eastAsia="Calibri" w:cs="Sylfaen"/>
          <w:b w:val="0"/>
          <w:szCs w:val="22"/>
          <w:lang w:val="hy-AM" w:eastAsia="en-US"/>
        </w:rPr>
        <w:t xml:space="preserve"> </w:t>
      </w:r>
      <w:r w:rsidRPr="00D178DD">
        <w:rPr>
          <w:rFonts w:eastAsia="Calibri" w:cs="Sylfaen"/>
          <w:b w:val="0"/>
          <w:szCs w:val="22"/>
          <w:lang w:val="hy-AM" w:eastAsia="en-US"/>
        </w:rPr>
        <w:t xml:space="preserve">տնտեսական աճի ձևավորման ամենաբարձր հավանականությունը գտնվում է 6-8% միջակայքում (Աղյուսակ 1.4-ում այն հոծ նշումով է), իսկ իրական ՀՆԱ-ի տարեկան աճի կենտրոնական կանխատեսումներից շեղման ռիսկերը ուղղված են դեպի ներքև: </w:t>
      </w:r>
    </w:p>
    <w:p w:rsidR="00D178DD" w:rsidRPr="00D178DD" w:rsidRDefault="00D178DD" w:rsidP="00D178DD">
      <w:pPr>
        <w:spacing w:before="0" w:after="160" w:line="259" w:lineRule="auto"/>
        <w:ind w:right="111" w:firstLine="0"/>
        <w:contextualSpacing w:val="0"/>
        <w:jc w:val="left"/>
        <w:rPr>
          <w:rFonts w:ascii="Times New Roman" w:hAnsi="Times New Roman"/>
          <w:b w:val="0"/>
          <w:sz w:val="24"/>
          <w:lang w:val="hy-AM" w:eastAsia="en-US"/>
        </w:rPr>
      </w:pPr>
      <w:r w:rsidRPr="00D178DD">
        <w:rPr>
          <w:rFonts w:ascii="Times New Roman" w:hAnsi="Times New Roman"/>
          <w:b w:val="0"/>
          <w:sz w:val="24"/>
          <w:lang w:val="hy-AM" w:eastAsia="en-US"/>
        </w:rPr>
        <w:br w:type="page"/>
      </w:r>
    </w:p>
    <w:p w:rsidR="00D178DD" w:rsidRPr="00D178DD" w:rsidRDefault="00D178DD" w:rsidP="00D178DD">
      <w:pPr>
        <w:spacing w:before="0" w:after="160" w:line="259" w:lineRule="auto"/>
        <w:ind w:right="111" w:firstLine="0"/>
        <w:contextualSpacing w:val="0"/>
        <w:jc w:val="left"/>
        <w:rPr>
          <w:rFonts w:ascii="Times New Roman" w:hAnsi="Times New Roman"/>
          <w:b w:val="0"/>
          <w:sz w:val="24"/>
          <w:lang w:val="hy-AM" w:eastAsia="en-US"/>
        </w:rPr>
      </w:pPr>
    </w:p>
    <w:tbl>
      <w:tblPr>
        <w:tblStyle w:val="TableGrid1213"/>
        <w:tblW w:w="10931"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31"/>
      </w:tblGrid>
      <w:tr w:rsidR="00D178DD" w:rsidRPr="00D178DD" w:rsidTr="004B2286">
        <w:trPr>
          <w:trHeight w:val="9147"/>
        </w:trPr>
        <w:tc>
          <w:tcPr>
            <w:tcW w:w="10931" w:type="dxa"/>
          </w:tcPr>
          <w:p w:rsidR="00D178DD" w:rsidRPr="00D178DD" w:rsidRDefault="00D178DD" w:rsidP="00D178DD">
            <w:pPr>
              <w:keepNext/>
              <w:keepLines/>
              <w:spacing w:before="0" w:line="276" w:lineRule="auto"/>
              <w:outlineLvl w:val="2"/>
              <w:rPr>
                <w:bCs/>
                <w:sz w:val="28"/>
                <w:szCs w:val="28"/>
                <w:lang w:val="hy-AM"/>
              </w:rPr>
            </w:pPr>
            <w:r w:rsidRPr="00D178DD">
              <w:rPr>
                <w:rFonts w:eastAsia="GHEA Grapalat" w:cs="GHEA Grapalat"/>
                <w:lang w:val="hy-AM"/>
              </w:rPr>
              <w:br w:type="page"/>
            </w:r>
            <w:bookmarkStart w:id="159" w:name="_Toc51360535"/>
            <w:bookmarkStart w:id="160" w:name="_Toc51947418"/>
            <w:bookmarkStart w:id="161" w:name="_Toc57559418"/>
            <w:bookmarkStart w:id="162" w:name="_Toc83663899"/>
            <w:bookmarkStart w:id="163" w:name="_Toc83972835"/>
            <w:bookmarkStart w:id="164" w:name="_Toc115686023"/>
            <w:bookmarkStart w:id="165" w:name="_Toc120805197"/>
            <w:r w:rsidRPr="00D178DD">
              <w:rPr>
                <w:bCs/>
                <w:sz w:val="24"/>
                <w:lang w:val="hy-AM"/>
              </w:rPr>
              <w:t>1.6. ՀԱՄԵՄԱՏՈՒԹՅՈՒՆ ՆԱԽՈՐԴ ԿԱՆԽԱՏԵՍՈՒՄՆԵՐԻ ՀԵՏ</w:t>
            </w:r>
            <w:bookmarkEnd w:id="159"/>
            <w:bookmarkEnd w:id="160"/>
            <w:bookmarkEnd w:id="161"/>
            <w:bookmarkEnd w:id="162"/>
            <w:bookmarkEnd w:id="163"/>
            <w:bookmarkEnd w:id="164"/>
            <w:bookmarkEnd w:id="165"/>
          </w:p>
          <w:p w:rsidR="00D178DD" w:rsidRPr="00D178DD" w:rsidRDefault="00D178DD" w:rsidP="00D178DD">
            <w:pPr>
              <w:keepNext/>
              <w:keepLines/>
              <w:tabs>
                <w:tab w:val="left" w:pos="10227"/>
              </w:tabs>
              <w:spacing w:line="276" w:lineRule="auto"/>
              <w:ind w:left="541" w:right="111" w:firstLine="26"/>
              <w:rPr>
                <w:rFonts w:eastAsia="Calibri" w:cs="Sylfaen"/>
                <w:bCs/>
                <w:i/>
                <w:iCs/>
                <w:color w:val="000000"/>
                <w:sz w:val="20"/>
                <w:szCs w:val="20"/>
                <w:lang w:val="hy-AM"/>
              </w:rPr>
            </w:pPr>
            <w:r w:rsidRPr="00D178DD">
              <w:rPr>
                <w:rFonts w:eastAsia="Calibri" w:cs="Sylfaen"/>
                <w:bCs/>
                <w:i/>
                <w:iCs/>
                <w:color w:val="000000"/>
                <w:lang w:val="hy-AM"/>
              </w:rPr>
              <w:t xml:space="preserve">Աղյուսակ 1.5. </w:t>
            </w:r>
            <w:r w:rsidRPr="00D178DD">
              <w:rPr>
                <w:rFonts w:eastAsia="Calibri" w:cs="Sylfaen"/>
                <w:bCs/>
                <w:i/>
                <w:iCs/>
                <w:color w:val="000000"/>
                <w:sz w:val="20"/>
                <w:szCs w:val="20"/>
                <w:lang w:val="hy-AM"/>
              </w:rPr>
              <w:t>ՀՆԱ-ի կանխատեսումները</w:t>
            </w:r>
            <w:r w:rsidRPr="00D178DD">
              <w:rPr>
                <w:rFonts w:eastAsia="Calibri"/>
                <w:bCs/>
                <w:i/>
                <w:iCs/>
                <w:color w:val="000000"/>
                <w:sz w:val="20"/>
                <w:szCs w:val="20"/>
                <w:lang w:val="hy-AM"/>
              </w:rPr>
              <w:t xml:space="preserve"> </w:t>
            </w:r>
            <w:r w:rsidRPr="00D178DD">
              <w:rPr>
                <w:rFonts w:eastAsia="Calibri" w:cs="Sylfaen"/>
                <w:bCs/>
                <w:i/>
                <w:iCs/>
                <w:color w:val="000000"/>
                <w:sz w:val="20"/>
                <w:szCs w:val="20"/>
                <w:lang w:val="hy-AM"/>
              </w:rPr>
              <w:t xml:space="preserve">2023-2025 թթ. ՄԺԾԾ-ով  և 2022թ. և 2023թ. </w:t>
            </w:r>
          </w:p>
          <w:p w:rsidR="00D178DD" w:rsidRPr="00D178DD" w:rsidRDefault="00D178DD" w:rsidP="00D178DD">
            <w:pPr>
              <w:keepNext/>
              <w:keepLines/>
              <w:tabs>
                <w:tab w:val="left" w:pos="10227"/>
              </w:tabs>
              <w:spacing w:line="276" w:lineRule="auto"/>
              <w:ind w:left="541" w:right="111" w:firstLine="26"/>
              <w:rPr>
                <w:rFonts w:eastAsia="Calibri" w:cs="Sylfaen"/>
                <w:bCs/>
                <w:i/>
                <w:iCs/>
                <w:color w:val="4F81BD"/>
                <w:lang w:val="hy-AM"/>
              </w:rPr>
            </w:pPr>
            <w:r w:rsidRPr="00D178DD">
              <w:rPr>
                <w:rFonts w:eastAsia="Calibri" w:cs="Sylfaen"/>
                <w:bCs/>
                <w:i/>
                <w:iCs/>
                <w:color w:val="000000"/>
                <w:sz w:val="20"/>
                <w:szCs w:val="20"/>
                <w:lang w:val="hy-AM"/>
              </w:rPr>
              <w:t>պետական բյուջեներով</w:t>
            </w:r>
          </w:p>
          <w:tbl>
            <w:tblPr>
              <w:tblW w:w="9242" w:type="dxa"/>
              <w:tblInd w:w="508"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2052"/>
              <w:gridCol w:w="2324"/>
              <w:gridCol w:w="1527"/>
              <w:gridCol w:w="1890"/>
              <w:gridCol w:w="1449"/>
            </w:tblGrid>
            <w:tr w:rsidR="00D178DD" w:rsidRPr="00D178DD" w:rsidTr="004B2286">
              <w:trPr>
                <w:trHeight w:val="303"/>
              </w:trPr>
              <w:tc>
                <w:tcPr>
                  <w:tcW w:w="2052" w:type="dxa"/>
                  <w:vMerge w:val="restart"/>
                  <w:shd w:val="clear" w:color="auto" w:fill="9CC2E5"/>
                  <w:noWrap/>
                  <w:vAlign w:val="center"/>
                  <w:hideMark/>
                </w:tcPr>
                <w:p w:rsidR="00D178DD" w:rsidRPr="00D178DD" w:rsidRDefault="00D178DD" w:rsidP="00D178DD">
                  <w:pPr>
                    <w:spacing w:before="0"/>
                    <w:ind w:firstLine="0"/>
                    <w:jc w:val="center"/>
                    <w:rPr>
                      <w:rFonts w:cs="Calibri"/>
                      <w:b w:val="0"/>
                      <w:bCs/>
                      <w:color w:val="000000"/>
                      <w:sz w:val="18"/>
                      <w:szCs w:val="18"/>
                      <w:lang w:val="hy-AM"/>
                    </w:rPr>
                  </w:pPr>
                  <w:r w:rsidRPr="00D178DD">
                    <w:rPr>
                      <w:rFonts w:cs="Calibri"/>
                      <w:bCs/>
                      <w:color w:val="000000"/>
                      <w:sz w:val="18"/>
                      <w:szCs w:val="18"/>
                      <w:lang w:val="hy-AM"/>
                    </w:rPr>
                    <w:t>Ցուցանիշներ</w:t>
                  </w:r>
                </w:p>
              </w:tc>
              <w:tc>
                <w:tcPr>
                  <w:tcW w:w="2324" w:type="dxa"/>
                  <w:vMerge w:val="restart"/>
                  <w:shd w:val="clear" w:color="auto" w:fill="9CC2E5"/>
                  <w:vAlign w:val="center"/>
                  <w:hideMark/>
                </w:tcPr>
                <w:p w:rsidR="00D178DD" w:rsidRPr="00D178DD" w:rsidRDefault="00D178DD" w:rsidP="00D178DD">
                  <w:pPr>
                    <w:spacing w:before="0"/>
                    <w:ind w:firstLine="0"/>
                    <w:jc w:val="center"/>
                    <w:rPr>
                      <w:rFonts w:cs="Calibri"/>
                      <w:b w:val="0"/>
                      <w:bCs/>
                      <w:color w:val="000000"/>
                      <w:sz w:val="18"/>
                      <w:szCs w:val="18"/>
                      <w:lang w:val="hy-AM"/>
                    </w:rPr>
                  </w:pPr>
                  <w:r w:rsidRPr="00D178DD">
                    <w:rPr>
                      <w:rFonts w:cs="Calibri"/>
                      <w:bCs/>
                      <w:color w:val="000000"/>
                      <w:sz w:val="18"/>
                      <w:szCs w:val="18"/>
                      <w:lang w:val="hy-AM"/>
                    </w:rPr>
                    <w:t>Ծրագիր</w:t>
                  </w:r>
                </w:p>
              </w:tc>
              <w:tc>
                <w:tcPr>
                  <w:tcW w:w="1527" w:type="dxa"/>
                  <w:shd w:val="clear" w:color="auto" w:fill="9CC2E5"/>
                  <w:vAlign w:val="center"/>
                </w:tcPr>
                <w:p w:rsidR="00D178DD" w:rsidRPr="00D178DD" w:rsidRDefault="00D178DD" w:rsidP="00D178DD">
                  <w:pPr>
                    <w:spacing w:before="0"/>
                    <w:ind w:firstLine="0"/>
                    <w:jc w:val="center"/>
                    <w:rPr>
                      <w:rFonts w:cs="Calibri"/>
                      <w:b w:val="0"/>
                      <w:bCs/>
                      <w:color w:val="000000"/>
                      <w:sz w:val="18"/>
                      <w:szCs w:val="18"/>
                      <w:lang w:val="hy-AM"/>
                    </w:rPr>
                  </w:pPr>
                  <w:r w:rsidRPr="00D178DD">
                    <w:rPr>
                      <w:rFonts w:cs="Calibri"/>
                      <w:bCs/>
                      <w:color w:val="000000"/>
                      <w:sz w:val="18"/>
                      <w:szCs w:val="18"/>
                      <w:lang w:val="hy-AM"/>
                    </w:rPr>
                    <w:t>2021</w:t>
                  </w:r>
                </w:p>
              </w:tc>
              <w:tc>
                <w:tcPr>
                  <w:tcW w:w="1890" w:type="dxa"/>
                  <w:shd w:val="clear" w:color="auto" w:fill="9CC2E5"/>
                  <w:vAlign w:val="center"/>
                  <w:hideMark/>
                </w:tcPr>
                <w:p w:rsidR="00D178DD" w:rsidRPr="00D178DD" w:rsidRDefault="00D178DD" w:rsidP="00D178DD">
                  <w:pPr>
                    <w:spacing w:before="0"/>
                    <w:ind w:firstLine="0"/>
                    <w:jc w:val="center"/>
                    <w:rPr>
                      <w:rFonts w:cs="Calibri"/>
                      <w:b w:val="0"/>
                      <w:bCs/>
                      <w:color w:val="000000"/>
                      <w:sz w:val="18"/>
                      <w:szCs w:val="18"/>
                      <w:lang w:val="hy-AM"/>
                    </w:rPr>
                  </w:pPr>
                  <w:r w:rsidRPr="00D178DD">
                    <w:rPr>
                      <w:rFonts w:cs="Calibri"/>
                      <w:bCs/>
                      <w:color w:val="000000"/>
                      <w:sz w:val="18"/>
                      <w:szCs w:val="18"/>
                      <w:lang w:val="hy-AM"/>
                    </w:rPr>
                    <w:t>2022</w:t>
                  </w:r>
                </w:p>
              </w:tc>
              <w:tc>
                <w:tcPr>
                  <w:tcW w:w="1449" w:type="dxa"/>
                  <w:shd w:val="clear" w:color="auto" w:fill="9CC2E5"/>
                  <w:vAlign w:val="center"/>
                  <w:hideMark/>
                </w:tcPr>
                <w:p w:rsidR="00D178DD" w:rsidRPr="00D178DD" w:rsidRDefault="00D178DD" w:rsidP="00D178DD">
                  <w:pPr>
                    <w:spacing w:before="0"/>
                    <w:ind w:firstLine="0"/>
                    <w:jc w:val="center"/>
                    <w:rPr>
                      <w:rFonts w:cs="Calibri"/>
                      <w:b w:val="0"/>
                      <w:bCs/>
                      <w:color w:val="000000"/>
                      <w:sz w:val="18"/>
                      <w:szCs w:val="18"/>
                      <w:lang w:val="hy-AM"/>
                    </w:rPr>
                  </w:pPr>
                  <w:r w:rsidRPr="00D178DD">
                    <w:rPr>
                      <w:rFonts w:cs="Calibri"/>
                      <w:bCs/>
                      <w:color w:val="000000"/>
                      <w:sz w:val="18"/>
                      <w:szCs w:val="18"/>
                      <w:lang w:val="hy-AM"/>
                    </w:rPr>
                    <w:t>2023</w:t>
                  </w:r>
                </w:p>
              </w:tc>
            </w:tr>
            <w:tr w:rsidR="00D178DD" w:rsidRPr="00D178DD" w:rsidTr="004B2286">
              <w:trPr>
                <w:trHeight w:val="303"/>
              </w:trPr>
              <w:tc>
                <w:tcPr>
                  <w:tcW w:w="2052" w:type="dxa"/>
                  <w:vMerge/>
                  <w:vAlign w:val="center"/>
                  <w:hideMark/>
                </w:tcPr>
                <w:p w:rsidR="00D178DD" w:rsidRPr="00D178DD" w:rsidRDefault="00D178DD" w:rsidP="00D178DD">
                  <w:pPr>
                    <w:spacing w:before="0"/>
                    <w:jc w:val="center"/>
                    <w:rPr>
                      <w:rFonts w:cs="Calibri"/>
                      <w:b w:val="0"/>
                      <w:bCs/>
                      <w:color w:val="000000"/>
                      <w:sz w:val="18"/>
                      <w:szCs w:val="18"/>
                      <w:lang w:val="hy-AM"/>
                    </w:rPr>
                  </w:pPr>
                </w:p>
              </w:tc>
              <w:tc>
                <w:tcPr>
                  <w:tcW w:w="2324" w:type="dxa"/>
                  <w:vMerge/>
                  <w:vAlign w:val="center"/>
                  <w:hideMark/>
                </w:tcPr>
                <w:p w:rsidR="00D178DD" w:rsidRPr="00D178DD" w:rsidRDefault="00D178DD" w:rsidP="00D178DD">
                  <w:pPr>
                    <w:spacing w:before="0"/>
                    <w:jc w:val="center"/>
                    <w:rPr>
                      <w:rFonts w:cs="Calibri"/>
                      <w:b w:val="0"/>
                      <w:bCs/>
                      <w:color w:val="000000"/>
                      <w:sz w:val="18"/>
                      <w:szCs w:val="18"/>
                      <w:lang w:val="hy-AM"/>
                    </w:rPr>
                  </w:pPr>
                </w:p>
              </w:tc>
              <w:tc>
                <w:tcPr>
                  <w:tcW w:w="1527" w:type="dxa"/>
                  <w:shd w:val="clear" w:color="auto" w:fill="9CC2E5"/>
                  <w:vAlign w:val="center"/>
                </w:tcPr>
                <w:p w:rsidR="00D178DD" w:rsidRPr="00D178DD" w:rsidRDefault="00D178DD" w:rsidP="00D178DD">
                  <w:pPr>
                    <w:spacing w:before="0"/>
                    <w:ind w:firstLine="0"/>
                    <w:jc w:val="center"/>
                    <w:rPr>
                      <w:rFonts w:cs="Calibri"/>
                      <w:i/>
                      <w:iCs/>
                      <w:color w:val="000000"/>
                      <w:sz w:val="18"/>
                      <w:szCs w:val="18"/>
                      <w:lang w:val="hy-AM"/>
                    </w:rPr>
                  </w:pPr>
                  <w:r w:rsidRPr="00D178DD">
                    <w:rPr>
                      <w:rFonts w:cs="Calibri"/>
                      <w:i/>
                      <w:iCs/>
                      <w:color w:val="000000"/>
                      <w:sz w:val="18"/>
                      <w:szCs w:val="18"/>
                      <w:lang w:val="hy-AM"/>
                    </w:rPr>
                    <w:t>փաստ*/կանխ.</w:t>
                  </w:r>
                </w:p>
              </w:tc>
              <w:tc>
                <w:tcPr>
                  <w:tcW w:w="1890" w:type="dxa"/>
                  <w:shd w:val="clear" w:color="auto" w:fill="9CC2E5"/>
                  <w:vAlign w:val="center"/>
                  <w:hideMark/>
                </w:tcPr>
                <w:p w:rsidR="00D178DD" w:rsidRPr="00D178DD" w:rsidRDefault="00D178DD" w:rsidP="00D178DD">
                  <w:pPr>
                    <w:spacing w:before="0"/>
                    <w:ind w:firstLine="0"/>
                    <w:jc w:val="center"/>
                    <w:rPr>
                      <w:rFonts w:cs="Calibri"/>
                      <w:i/>
                      <w:iCs/>
                      <w:color w:val="000000"/>
                      <w:sz w:val="18"/>
                      <w:szCs w:val="18"/>
                      <w:lang w:val="hy-AM"/>
                    </w:rPr>
                  </w:pPr>
                  <w:r w:rsidRPr="00D178DD">
                    <w:rPr>
                      <w:rFonts w:cs="Calibri"/>
                      <w:i/>
                      <w:iCs/>
                      <w:color w:val="000000"/>
                      <w:sz w:val="18"/>
                      <w:szCs w:val="18"/>
                      <w:lang w:val="hy-AM"/>
                    </w:rPr>
                    <w:t>կանխ.</w:t>
                  </w:r>
                </w:p>
              </w:tc>
              <w:tc>
                <w:tcPr>
                  <w:tcW w:w="1449" w:type="dxa"/>
                  <w:shd w:val="clear" w:color="auto" w:fill="9CC2E5"/>
                  <w:vAlign w:val="center"/>
                  <w:hideMark/>
                </w:tcPr>
                <w:p w:rsidR="00D178DD" w:rsidRPr="00D178DD" w:rsidRDefault="00D178DD" w:rsidP="00D178DD">
                  <w:pPr>
                    <w:spacing w:before="0"/>
                    <w:ind w:firstLine="0"/>
                    <w:jc w:val="center"/>
                    <w:rPr>
                      <w:rFonts w:cs="Calibri"/>
                      <w:i/>
                      <w:iCs/>
                      <w:color w:val="000000"/>
                      <w:sz w:val="18"/>
                      <w:szCs w:val="18"/>
                      <w:lang w:val="hy-AM"/>
                    </w:rPr>
                  </w:pPr>
                  <w:r w:rsidRPr="00D178DD">
                    <w:rPr>
                      <w:rFonts w:cs="Calibri"/>
                      <w:i/>
                      <w:iCs/>
                      <w:color w:val="000000"/>
                      <w:sz w:val="18"/>
                      <w:szCs w:val="18"/>
                      <w:lang w:val="hy-AM"/>
                    </w:rPr>
                    <w:t>կանխ.</w:t>
                  </w:r>
                </w:p>
              </w:tc>
            </w:tr>
            <w:tr w:rsidR="00D178DD" w:rsidRPr="00D178DD" w:rsidTr="004B2286">
              <w:trPr>
                <w:trHeight w:val="303"/>
              </w:trPr>
              <w:tc>
                <w:tcPr>
                  <w:tcW w:w="2052" w:type="dxa"/>
                  <w:vMerge w:val="restart"/>
                  <w:shd w:val="clear" w:color="auto" w:fill="auto"/>
                  <w:vAlign w:val="center"/>
                </w:tcPr>
                <w:p w:rsidR="00D178DD" w:rsidRPr="00D178DD" w:rsidRDefault="00D178DD" w:rsidP="00D178DD">
                  <w:pPr>
                    <w:spacing w:before="0" w:line="276" w:lineRule="auto"/>
                    <w:ind w:firstLine="0"/>
                    <w:jc w:val="left"/>
                    <w:rPr>
                      <w:rFonts w:cs="Calibri"/>
                      <w:bCs/>
                      <w:color w:val="000000"/>
                      <w:sz w:val="18"/>
                      <w:szCs w:val="18"/>
                      <w:lang w:val="hy-AM"/>
                    </w:rPr>
                  </w:pPr>
                  <w:r w:rsidRPr="00D178DD">
                    <w:rPr>
                      <w:rFonts w:cs="Calibri"/>
                      <w:bCs/>
                      <w:color w:val="000000"/>
                      <w:sz w:val="18"/>
                      <w:szCs w:val="18"/>
                      <w:lang w:val="hy-AM"/>
                    </w:rPr>
                    <w:t>Անվանական ՀՆԱ, մլրդ դրամ</w:t>
                  </w:r>
                </w:p>
              </w:tc>
              <w:tc>
                <w:tcPr>
                  <w:tcW w:w="2324" w:type="dxa"/>
                  <w:shd w:val="clear" w:color="auto" w:fill="auto"/>
                  <w:vAlign w:val="center"/>
                </w:tcPr>
                <w:p w:rsidR="00D178DD" w:rsidRPr="00D178DD" w:rsidRDefault="00D178DD" w:rsidP="00D178DD">
                  <w:pPr>
                    <w:spacing w:before="0" w:line="276" w:lineRule="auto"/>
                    <w:ind w:firstLine="0"/>
                    <w:rPr>
                      <w:rFonts w:cs="Calibri"/>
                      <w:b w:val="0"/>
                      <w:i/>
                      <w:iCs/>
                      <w:color w:val="000000"/>
                      <w:sz w:val="18"/>
                      <w:szCs w:val="18"/>
                      <w:lang w:val="hy-AM"/>
                    </w:rPr>
                  </w:pPr>
                  <w:r w:rsidRPr="00D178DD">
                    <w:rPr>
                      <w:rFonts w:cs="Calibri"/>
                      <w:b w:val="0"/>
                      <w:i/>
                      <w:iCs/>
                      <w:color w:val="000000"/>
                      <w:sz w:val="18"/>
                      <w:szCs w:val="18"/>
                      <w:lang w:val="hy-AM"/>
                    </w:rPr>
                    <w:t>2023 Պետական բյուջե</w:t>
                  </w:r>
                </w:p>
              </w:tc>
              <w:tc>
                <w:tcPr>
                  <w:tcW w:w="1527" w:type="dxa"/>
                  <w:vAlign w:val="center"/>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6,983.0</w:t>
                  </w:r>
                </w:p>
              </w:tc>
              <w:tc>
                <w:tcPr>
                  <w:tcW w:w="1890" w:type="dxa"/>
                  <w:shd w:val="clear" w:color="auto" w:fill="auto"/>
                  <w:noWrap/>
                  <w:vAlign w:val="center"/>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8,293.7</w:t>
                  </w:r>
                </w:p>
              </w:tc>
              <w:tc>
                <w:tcPr>
                  <w:tcW w:w="1449" w:type="dxa"/>
                  <w:shd w:val="clear" w:color="auto" w:fill="auto"/>
                  <w:vAlign w:val="center"/>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9,317.9</w:t>
                  </w:r>
                </w:p>
              </w:tc>
            </w:tr>
            <w:tr w:rsidR="00D178DD" w:rsidRPr="00D178DD" w:rsidTr="004B2286">
              <w:trPr>
                <w:trHeight w:val="303"/>
              </w:trPr>
              <w:tc>
                <w:tcPr>
                  <w:tcW w:w="2052" w:type="dxa"/>
                  <w:vMerge/>
                  <w:shd w:val="clear" w:color="auto" w:fill="auto"/>
                  <w:vAlign w:val="center"/>
                  <w:hideMark/>
                </w:tcPr>
                <w:p w:rsidR="00D178DD" w:rsidRPr="00D178DD" w:rsidRDefault="00D178DD" w:rsidP="00D178DD">
                  <w:pPr>
                    <w:spacing w:before="0" w:line="276" w:lineRule="auto"/>
                    <w:rPr>
                      <w:rFonts w:cs="Calibri"/>
                      <w:bCs/>
                      <w:color w:val="000000"/>
                      <w:sz w:val="18"/>
                      <w:szCs w:val="18"/>
                      <w:lang w:val="hy-AM"/>
                    </w:rPr>
                  </w:pPr>
                </w:p>
              </w:tc>
              <w:tc>
                <w:tcPr>
                  <w:tcW w:w="2324" w:type="dxa"/>
                  <w:shd w:val="clear" w:color="auto" w:fill="auto"/>
                  <w:vAlign w:val="center"/>
                  <w:hideMark/>
                </w:tcPr>
                <w:p w:rsidR="00D178DD" w:rsidRPr="00D178DD" w:rsidRDefault="00D178DD" w:rsidP="00D178DD">
                  <w:pPr>
                    <w:spacing w:before="0" w:line="276" w:lineRule="auto"/>
                    <w:ind w:firstLine="0"/>
                    <w:rPr>
                      <w:rFonts w:cs="Calibri"/>
                      <w:b w:val="0"/>
                      <w:i/>
                      <w:iCs/>
                      <w:color w:val="000000"/>
                      <w:sz w:val="18"/>
                      <w:szCs w:val="18"/>
                      <w:lang w:val="hy-AM"/>
                    </w:rPr>
                  </w:pPr>
                  <w:r w:rsidRPr="00D178DD">
                    <w:rPr>
                      <w:rFonts w:cs="Calibri"/>
                      <w:b w:val="0"/>
                      <w:i/>
                      <w:iCs/>
                      <w:color w:val="000000"/>
                      <w:sz w:val="18"/>
                      <w:szCs w:val="18"/>
                      <w:lang w:val="hy-AM"/>
                    </w:rPr>
                    <w:t>2023-2025 ՄԺԾԾ</w:t>
                  </w:r>
                </w:p>
              </w:tc>
              <w:tc>
                <w:tcPr>
                  <w:tcW w:w="1527" w:type="dxa"/>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6,983.0</w:t>
                  </w:r>
                </w:p>
              </w:tc>
              <w:tc>
                <w:tcPr>
                  <w:tcW w:w="1890" w:type="dxa"/>
                  <w:shd w:val="clear" w:color="auto" w:fill="auto"/>
                  <w:noWrap/>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8,069.5</w:t>
                  </w:r>
                </w:p>
              </w:tc>
              <w:tc>
                <w:tcPr>
                  <w:tcW w:w="1449" w:type="dxa"/>
                  <w:shd w:val="clear" w:color="auto" w:fill="auto"/>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9,066.1</w:t>
                  </w:r>
                </w:p>
              </w:tc>
            </w:tr>
            <w:tr w:rsidR="00D178DD" w:rsidRPr="00D178DD" w:rsidTr="004B2286">
              <w:trPr>
                <w:trHeight w:val="303"/>
              </w:trPr>
              <w:tc>
                <w:tcPr>
                  <w:tcW w:w="2052" w:type="dxa"/>
                  <w:vMerge/>
                  <w:vAlign w:val="center"/>
                  <w:hideMark/>
                </w:tcPr>
                <w:p w:rsidR="00D178DD" w:rsidRPr="00D178DD" w:rsidRDefault="00D178DD" w:rsidP="00D178DD">
                  <w:pPr>
                    <w:spacing w:before="0" w:line="276" w:lineRule="auto"/>
                    <w:rPr>
                      <w:rFonts w:cs="Calibri"/>
                      <w:bCs/>
                      <w:color w:val="000000"/>
                      <w:sz w:val="18"/>
                      <w:szCs w:val="18"/>
                      <w:lang w:val="hy-AM"/>
                    </w:rPr>
                  </w:pPr>
                </w:p>
              </w:tc>
              <w:tc>
                <w:tcPr>
                  <w:tcW w:w="2324" w:type="dxa"/>
                  <w:shd w:val="clear" w:color="auto" w:fill="auto"/>
                  <w:vAlign w:val="center"/>
                  <w:hideMark/>
                </w:tcPr>
                <w:p w:rsidR="00D178DD" w:rsidRPr="00D178DD" w:rsidRDefault="00D178DD" w:rsidP="00D178DD">
                  <w:pPr>
                    <w:spacing w:before="0" w:line="276" w:lineRule="auto"/>
                    <w:ind w:firstLine="0"/>
                    <w:rPr>
                      <w:rFonts w:cs="Calibri"/>
                      <w:b w:val="0"/>
                      <w:i/>
                      <w:iCs/>
                      <w:color w:val="000000"/>
                      <w:sz w:val="18"/>
                      <w:szCs w:val="18"/>
                      <w:lang w:val="hy-AM"/>
                    </w:rPr>
                  </w:pPr>
                  <w:r w:rsidRPr="00D178DD">
                    <w:rPr>
                      <w:rFonts w:cs="Calibri"/>
                      <w:b w:val="0"/>
                      <w:i/>
                      <w:iCs/>
                      <w:color w:val="000000"/>
                      <w:sz w:val="18"/>
                      <w:szCs w:val="18"/>
                      <w:lang w:val="hy-AM"/>
                    </w:rPr>
                    <w:t>2022 Պետական բյուջե</w:t>
                  </w:r>
                </w:p>
              </w:tc>
              <w:tc>
                <w:tcPr>
                  <w:tcW w:w="1527" w:type="dxa"/>
                  <w:vAlign w:val="center"/>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7,031.2</w:t>
                  </w:r>
                </w:p>
              </w:tc>
              <w:tc>
                <w:tcPr>
                  <w:tcW w:w="1890" w:type="dxa"/>
                  <w:shd w:val="clear" w:color="auto" w:fill="auto"/>
                  <w:noWrap/>
                  <w:vAlign w:val="center"/>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7,869.4</w:t>
                  </w:r>
                </w:p>
              </w:tc>
              <w:tc>
                <w:tcPr>
                  <w:tcW w:w="1449" w:type="dxa"/>
                  <w:shd w:val="clear" w:color="auto" w:fill="auto"/>
                  <w:vAlign w:val="center"/>
                  <w:hideMark/>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w:t>
                  </w:r>
                </w:p>
              </w:tc>
            </w:tr>
            <w:tr w:rsidR="00D178DD" w:rsidRPr="005579BB" w:rsidTr="004B2286">
              <w:trPr>
                <w:trHeight w:val="303"/>
              </w:trPr>
              <w:tc>
                <w:tcPr>
                  <w:tcW w:w="2052" w:type="dxa"/>
                  <w:vMerge w:val="restart"/>
                  <w:shd w:val="clear" w:color="auto" w:fill="auto"/>
                  <w:vAlign w:val="center"/>
                </w:tcPr>
                <w:p w:rsidR="00D178DD" w:rsidRPr="00D178DD" w:rsidRDefault="00D178DD" w:rsidP="00D178DD">
                  <w:pPr>
                    <w:spacing w:before="0" w:line="276" w:lineRule="auto"/>
                    <w:ind w:firstLine="0"/>
                    <w:jc w:val="left"/>
                    <w:rPr>
                      <w:rFonts w:cs="Calibri"/>
                      <w:bCs/>
                      <w:color w:val="000000"/>
                      <w:sz w:val="18"/>
                      <w:szCs w:val="18"/>
                      <w:lang w:val="hy-AM"/>
                    </w:rPr>
                  </w:pPr>
                  <w:r w:rsidRPr="00D178DD">
                    <w:rPr>
                      <w:rFonts w:cs="Calibri"/>
                      <w:bCs/>
                      <w:color w:val="000000"/>
                      <w:sz w:val="18"/>
                      <w:szCs w:val="18"/>
                      <w:lang w:val="hy-AM"/>
                    </w:rPr>
                    <w:t>Տնտեսական</w:t>
                  </w:r>
                  <w:r w:rsidRPr="00D178DD">
                    <w:rPr>
                      <w:rFonts w:cs="Calibri"/>
                      <w:bCs/>
                      <w:color w:val="000000"/>
                      <w:sz w:val="18"/>
                      <w:szCs w:val="18"/>
                    </w:rPr>
                    <w:t xml:space="preserve"> (</w:t>
                  </w:r>
                  <w:r w:rsidRPr="00D178DD">
                    <w:rPr>
                      <w:rFonts w:cs="Calibri"/>
                      <w:bCs/>
                      <w:color w:val="000000"/>
                      <w:sz w:val="18"/>
                      <w:szCs w:val="18"/>
                      <w:lang w:val="hy-AM"/>
                    </w:rPr>
                    <w:t>իրական ՀՆԱ-ի</w:t>
                  </w:r>
                  <w:r w:rsidRPr="00D178DD">
                    <w:rPr>
                      <w:rFonts w:cs="Calibri"/>
                      <w:bCs/>
                      <w:color w:val="000000"/>
                      <w:sz w:val="18"/>
                      <w:szCs w:val="18"/>
                    </w:rPr>
                    <w:t>)</w:t>
                  </w:r>
                  <w:r w:rsidRPr="00D178DD">
                    <w:rPr>
                      <w:rFonts w:cs="Calibri"/>
                      <w:bCs/>
                      <w:color w:val="000000"/>
                      <w:sz w:val="18"/>
                      <w:szCs w:val="18"/>
                      <w:lang w:val="hy-AM"/>
                    </w:rPr>
                    <w:t xml:space="preserve"> աճ, </w:t>
                  </w:r>
                  <w:r w:rsidRPr="00D178DD">
                    <w:rPr>
                      <w:rFonts w:cs="Calibri"/>
                      <w:bCs/>
                      <w:color w:val="000000"/>
                      <w:sz w:val="18"/>
                      <w:szCs w:val="18"/>
                    </w:rPr>
                    <w:t>%</w:t>
                  </w:r>
                </w:p>
              </w:tc>
              <w:tc>
                <w:tcPr>
                  <w:tcW w:w="2324" w:type="dxa"/>
                  <w:shd w:val="clear" w:color="auto" w:fill="auto"/>
                  <w:vAlign w:val="center"/>
                </w:tcPr>
                <w:p w:rsidR="00D178DD" w:rsidRPr="00D178DD" w:rsidRDefault="00D178DD" w:rsidP="00D178DD">
                  <w:pPr>
                    <w:spacing w:before="0" w:line="276" w:lineRule="auto"/>
                    <w:ind w:firstLine="0"/>
                    <w:rPr>
                      <w:rFonts w:cs="Calibri"/>
                      <w:b w:val="0"/>
                      <w:i/>
                      <w:iCs/>
                      <w:color w:val="000000"/>
                      <w:sz w:val="18"/>
                      <w:szCs w:val="18"/>
                      <w:lang w:val="hy-AM"/>
                    </w:rPr>
                  </w:pPr>
                  <w:r w:rsidRPr="00D178DD">
                    <w:rPr>
                      <w:rFonts w:cs="Calibri"/>
                      <w:b w:val="0"/>
                      <w:i/>
                      <w:iCs/>
                      <w:color w:val="000000"/>
                      <w:sz w:val="18"/>
                      <w:szCs w:val="18"/>
                      <w:lang w:val="hy-AM"/>
                    </w:rPr>
                    <w:t>2023 Պետական բյուջե</w:t>
                  </w:r>
                </w:p>
              </w:tc>
              <w:tc>
                <w:tcPr>
                  <w:tcW w:w="1527" w:type="dxa"/>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5.7</w:t>
                  </w:r>
                </w:p>
              </w:tc>
              <w:tc>
                <w:tcPr>
                  <w:tcW w:w="1890" w:type="dxa"/>
                  <w:shd w:val="clear" w:color="auto" w:fill="auto"/>
                  <w:noWrap/>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11.0</w:t>
                  </w:r>
                </w:p>
              </w:tc>
              <w:tc>
                <w:tcPr>
                  <w:tcW w:w="1449" w:type="dxa"/>
                  <w:shd w:val="clear" w:color="auto" w:fill="auto"/>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7.0</w:t>
                  </w:r>
                </w:p>
              </w:tc>
            </w:tr>
            <w:tr w:rsidR="00D178DD" w:rsidRPr="005579BB" w:rsidTr="004B2286">
              <w:trPr>
                <w:trHeight w:val="303"/>
              </w:trPr>
              <w:tc>
                <w:tcPr>
                  <w:tcW w:w="2052" w:type="dxa"/>
                  <w:vMerge/>
                  <w:shd w:val="clear" w:color="auto" w:fill="auto"/>
                  <w:vAlign w:val="center"/>
                  <w:hideMark/>
                </w:tcPr>
                <w:p w:rsidR="00D178DD" w:rsidRPr="00D178DD" w:rsidRDefault="00D178DD" w:rsidP="00D178DD">
                  <w:pPr>
                    <w:spacing w:before="0" w:line="276" w:lineRule="auto"/>
                    <w:rPr>
                      <w:rFonts w:cs="Calibri"/>
                      <w:bCs/>
                      <w:color w:val="000000"/>
                      <w:sz w:val="18"/>
                      <w:szCs w:val="18"/>
                      <w:lang w:val="hy-AM"/>
                    </w:rPr>
                  </w:pPr>
                </w:p>
              </w:tc>
              <w:tc>
                <w:tcPr>
                  <w:tcW w:w="2324" w:type="dxa"/>
                  <w:shd w:val="clear" w:color="auto" w:fill="auto"/>
                  <w:vAlign w:val="center"/>
                  <w:hideMark/>
                </w:tcPr>
                <w:p w:rsidR="00D178DD" w:rsidRPr="00D178DD" w:rsidRDefault="00D178DD" w:rsidP="00D178DD">
                  <w:pPr>
                    <w:spacing w:before="0" w:line="276" w:lineRule="auto"/>
                    <w:ind w:firstLine="0"/>
                    <w:rPr>
                      <w:rFonts w:cs="Calibri"/>
                      <w:b w:val="0"/>
                      <w:i/>
                      <w:iCs/>
                      <w:color w:val="000000"/>
                      <w:sz w:val="18"/>
                      <w:szCs w:val="18"/>
                      <w:lang w:val="hy-AM"/>
                    </w:rPr>
                  </w:pPr>
                  <w:r w:rsidRPr="00D178DD">
                    <w:rPr>
                      <w:rFonts w:cs="Calibri"/>
                      <w:b w:val="0"/>
                      <w:i/>
                      <w:iCs/>
                      <w:color w:val="000000"/>
                      <w:sz w:val="18"/>
                      <w:szCs w:val="18"/>
                      <w:lang w:val="hy-AM"/>
                    </w:rPr>
                    <w:t>2023-2025 ՄԺԾԾ</w:t>
                  </w:r>
                </w:p>
              </w:tc>
              <w:tc>
                <w:tcPr>
                  <w:tcW w:w="1527" w:type="dxa"/>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5.7</w:t>
                  </w:r>
                </w:p>
              </w:tc>
              <w:tc>
                <w:tcPr>
                  <w:tcW w:w="1890" w:type="dxa"/>
                  <w:shd w:val="clear" w:color="auto" w:fill="auto"/>
                  <w:noWrap/>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7.0</w:t>
                  </w:r>
                </w:p>
              </w:tc>
              <w:tc>
                <w:tcPr>
                  <w:tcW w:w="1449" w:type="dxa"/>
                  <w:shd w:val="clear" w:color="auto" w:fill="auto"/>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7.0</w:t>
                  </w:r>
                </w:p>
              </w:tc>
            </w:tr>
            <w:tr w:rsidR="00D178DD" w:rsidRPr="005579BB" w:rsidTr="004B2286">
              <w:trPr>
                <w:trHeight w:val="303"/>
              </w:trPr>
              <w:tc>
                <w:tcPr>
                  <w:tcW w:w="2052" w:type="dxa"/>
                  <w:vMerge/>
                  <w:vAlign w:val="center"/>
                  <w:hideMark/>
                </w:tcPr>
                <w:p w:rsidR="00D178DD" w:rsidRPr="00D178DD" w:rsidRDefault="00D178DD" w:rsidP="00D178DD">
                  <w:pPr>
                    <w:spacing w:before="0" w:line="276" w:lineRule="auto"/>
                    <w:rPr>
                      <w:rFonts w:cs="Calibri"/>
                      <w:bCs/>
                      <w:color w:val="000000"/>
                      <w:sz w:val="18"/>
                      <w:szCs w:val="18"/>
                      <w:lang w:val="hy-AM"/>
                    </w:rPr>
                  </w:pPr>
                </w:p>
              </w:tc>
              <w:tc>
                <w:tcPr>
                  <w:tcW w:w="2324" w:type="dxa"/>
                  <w:shd w:val="clear" w:color="auto" w:fill="auto"/>
                  <w:vAlign w:val="center"/>
                  <w:hideMark/>
                </w:tcPr>
                <w:p w:rsidR="00D178DD" w:rsidRPr="00D178DD" w:rsidRDefault="00D178DD" w:rsidP="00D178DD">
                  <w:pPr>
                    <w:spacing w:before="0" w:line="276" w:lineRule="auto"/>
                    <w:ind w:firstLine="0"/>
                    <w:rPr>
                      <w:rFonts w:cs="Calibri"/>
                      <w:b w:val="0"/>
                      <w:i/>
                      <w:iCs/>
                      <w:color w:val="000000"/>
                      <w:sz w:val="18"/>
                      <w:szCs w:val="18"/>
                      <w:lang w:val="hy-AM"/>
                    </w:rPr>
                  </w:pPr>
                  <w:r w:rsidRPr="00D178DD">
                    <w:rPr>
                      <w:rFonts w:cs="Calibri"/>
                      <w:b w:val="0"/>
                      <w:i/>
                      <w:iCs/>
                      <w:color w:val="000000"/>
                      <w:sz w:val="18"/>
                      <w:szCs w:val="18"/>
                      <w:lang w:val="hy-AM"/>
                    </w:rPr>
                    <w:t>2022 Պետական բյուջե</w:t>
                  </w:r>
                </w:p>
              </w:tc>
              <w:tc>
                <w:tcPr>
                  <w:tcW w:w="1527" w:type="dxa"/>
                  <w:vAlign w:val="center"/>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6.5</w:t>
                  </w:r>
                </w:p>
              </w:tc>
              <w:tc>
                <w:tcPr>
                  <w:tcW w:w="1890" w:type="dxa"/>
                  <w:shd w:val="clear" w:color="auto" w:fill="auto"/>
                  <w:noWrap/>
                  <w:vAlign w:val="center"/>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7.0</w:t>
                  </w:r>
                </w:p>
              </w:tc>
              <w:tc>
                <w:tcPr>
                  <w:tcW w:w="1449" w:type="dxa"/>
                  <w:shd w:val="clear" w:color="auto" w:fill="auto"/>
                  <w:vAlign w:val="center"/>
                  <w:hideMark/>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w:t>
                  </w:r>
                </w:p>
              </w:tc>
            </w:tr>
            <w:tr w:rsidR="00D178DD" w:rsidRPr="005579BB" w:rsidTr="004B2286">
              <w:trPr>
                <w:trHeight w:val="303"/>
              </w:trPr>
              <w:tc>
                <w:tcPr>
                  <w:tcW w:w="2052" w:type="dxa"/>
                  <w:vMerge w:val="restart"/>
                  <w:shd w:val="clear" w:color="auto" w:fill="auto"/>
                  <w:vAlign w:val="center"/>
                </w:tcPr>
                <w:p w:rsidR="00D178DD" w:rsidRPr="00D178DD" w:rsidRDefault="00D178DD" w:rsidP="00D178DD">
                  <w:pPr>
                    <w:spacing w:before="0" w:line="276" w:lineRule="auto"/>
                    <w:ind w:firstLine="0"/>
                    <w:jc w:val="left"/>
                    <w:rPr>
                      <w:rFonts w:cs="Calibri"/>
                      <w:bCs/>
                      <w:color w:val="000000"/>
                      <w:sz w:val="18"/>
                      <w:szCs w:val="18"/>
                      <w:lang w:val="hy-AM"/>
                    </w:rPr>
                  </w:pPr>
                  <w:r w:rsidRPr="00D178DD">
                    <w:rPr>
                      <w:rFonts w:cs="Calibri"/>
                      <w:bCs/>
                      <w:color w:val="000000"/>
                      <w:sz w:val="18"/>
                      <w:szCs w:val="18"/>
                      <w:lang w:val="hy-AM"/>
                    </w:rPr>
                    <w:t>ՀՆԱ-ի դեֆլյատորի աճ, %</w:t>
                  </w:r>
                </w:p>
              </w:tc>
              <w:tc>
                <w:tcPr>
                  <w:tcW w:w="2324" w:type="dxa"/>
                  <w:shd w:val="clear" w:color="auto" w:fill="auto"/>
                  <w:vAlign w:val="center"/>
                </w:tcPr>
                <w:p w:rsidR="00D178DD" w:rsidRPr="00D178DD" w:rsidRDefault="00D178DD" w:rsidP="00D178DD">
                  <w:pPr>
                    <w:spacing w:before="0" w:line="276" w:lineRule="auto"/>
                    <w:ind w:firstLine="0"/>
                    <w:rPr>
                      <w:rFonts w:cs="Calibri"/>
                      <w:b w:val="0"/>
                      <w:i/>
                      <w:iCs/>
                      <w:color w:val="000000"/>
                      <w:sz w:val="18"/>
                      <w:szCs w:val="18"/>
                      <w:lang w:val="hy-AM"/>
                    </w:rPr>
                  </w:pPr>
                  <w:r w:rsidRPr="00D178DD">
                    <w:rPr>
                      <w:rFonts w:cs="Calibri"/>
                      <w:b w:val="0"/>
                      <w:i/>
                      <w:iCs/>
                      <w:color w:val="000000"/>
                      <w:sz w:val="18"/>
                      <w:szCs w:val="18"/>
                      <w:lang w:val="hy-AM"/>
                    </w:rPr>
                    <w:t>2023 Պետական բյուջե</w:t>
                  </w:r>
                </w:p>
              </w:tc>
              <w:tc>
                <w:tcPr>
                  <w:tcW w:w="1527" w:type="dxa"/>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6.9</w:t>
                  </w:r>
                </w:p>
              </w:tc>
              <w:tc>
                <w:tcPr>
                  <w:tcW w:w="1890" w:type="dxa"/>
                  <w:shd w:val="clear" w:color="auto" w:fill="auto"/>
                  <w:noWrap/>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7.0</w:t>
                  </w:r>
                </w:p>
              </w:tc>
              <w:tc>
                <w:tcPr>
                  <w:tcW w:w="1449" w:type="dxa"/>
                  <w:shd w:val="clear" w:color="auto" w:fill="auto"/>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5.0</w:t>
                  </w:r>
                </w:p>
              </w:tc>
            </w:tr>
            <w:tr w:rsidR="00D178DD" w:rsidRPr="005579BB" w:rsidTr="004B2286">
              <w:trPr>
                <w:trHeight w:val="303"/>
              </w:trPr>
              <w:tc>
                <w:tcPr>
                  <w:tcW w:w="2052" w:type="dxa"/>
                  <w:vMerge/>
                  <w:shd w:val="clear" w:color="auto" w:fill="auto"/>
                  <w:vAlign w:val="center"/>
                  <w:hideMark/>
                </w:tcPr>
                <w:p w:rsidR="00D178DD" w:rsidRPr="00D178DD" w:rsidRDefault="00D178DD" w:rsidP="00D178DD">
                  <w:pPr>
                    <w:spacing w:before="0" w:line="276" w:lineRule="auto"/>
                    <w:rPr>
                      <w:rFonts w:cs="Calibri"/>
                      <w:b w:val="0"/>
                      <w:bCs/>
                      <w:color w:val="000000"/>
                      <w:sz w:val="18"/>
                      <w:szCs w:val="18"/>
                      <w:lang w:val="hy-AM"/>
                    </w:rPr>
                  </w:pPr>
                </w:p>
              </w:tc>
              <w:tc>
                <w:tcPr>
                  <w:tcW w:w="2324" w:type="dxa"/>
                  <w:shd w:val="clear" w:color="auto" w:fill="auto"/>
                  <w:vAlign w:val="center"/>
                  <w:hideMark/>
                </w:tcPr>
                <w:p w:rsidR="00D178DD" w:rsidRPr="00D178DD" w:rsidRDefault="00D178DD" w:rsidP="00D178DD">
                  <w:pPr>
                    <w:spacing w:before="0" w:line="276" w:lineRule="auto"/>
                    <w:ind w:firstLine="0"/>
                    <w:rPr>
                      <w:rFonts w:cs="Calibri"/>
                      <w:b w:val="0"/>
                      <w:i/>
                      <w:iCs/>
                      <w:color w:val="000000"/>
                      <w:sz w:val="18"/>
                      <w:szCs w:val="18"/>
                      <w:lang w:val="hy-AM"/>
                    </w:rPr>
                  </w:pPr>
                  <w:r w:rsidRPr="00D178DD">
                    <w:rPr>
                      <w:rFonts w:cs="Calibri"/>
                      <w:b w:val="0"/>
                      <w:i/>
                      <w:iCs/>
                      <w:color w:val="000000"/>
                      <w:sz w:val="18"/>
                      <w:szCs w:val="18"/>
                      <w:lang w:val="hy-AM"/>
                    </w:rPr>
                    <w:t>2023-2025 ՄԺԾԾ</w:t>
                  </w:r>
                </w:p>
              </w:tc>
              <w:tc>
                <w:tcPr>
                  <w:tcW w:w="1527" w:type="dxa"/>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6.9</w:t>
                  </w:r>
                </w:p>
              </w:tc>
              <w:tc>
                <w:tcPr>
                  <w:tcW w:w="1890" w:type="dxa"/>
                  <w:shd w:val="clear" w:color="auto" w:fill="auto"/>
                  <w:noWrap/>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8.0</w:t>
                  </w:r>
                </w:p>
              </w:tc>
              <w:tc>
                <w:tcPr>
                  <w:tcW w:w="1449" w:type="dxa"/>
                  <w:shd w:val="clear" w:color="auto" w:fill="auto"/>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5.0</w:t>
                  </w:r>
                </w:p>
              </w:tc>
            </w:tr>
            <w:tr w:rsidR="00D178DD" w:rsidRPr="005579BB" w:rsidTr="004B2286">
              <w:trPr>
                <w:trHeight w:val="303"/>
              </w:trPr>
              <w:tc>
                <w:tcPr>
                  <w:tcW w:w="2052" w:type="dxa"/>
                  <w:vMerge/>
                  <w:vAlign w:val="center"/>
                  <w:hideMark/>
                </w:tcPr>
                <w:p w:rsidR="00D178DD" w:rsidRPr="00D178DD" w:rsidRDefault="00D178DD" w:rsidP="00D178DD">
                  <w:pPr>
                    <w:spacing w:before="0" w:line="276" w:lineRule="auto"/>
                    <w:rPr>
                      <w:rFonts w:cs="Calibri"/>
                      <w:b w:val="0"/>
                      <w:bCs/>
                      <w:color w:val="000000"/>
                      <w:sz w:val="18"/>
                      <w:szCs w:val="18"/>
                      <w:lang w:val="hy-AM"/>
                    </w:rPr>
                  </w:pPr>
                </w:p>
              </w:tc>
              <w:tc>
                <w:tcPr>
                  <w:tcW w:w="2324" w:type="dxa"/>
                  <w:shd w:val="clear" w:color="auto" w:fill="auto"/>
                  <w:vAlign w:val="center"/>
                  <w:hideMark/>
                </w:tcPr>
                <w:p w:rsidR="00D178DD" w:rsidRPr="00D178DD" w:rsidRDefault="00D178DD" w:rsidP="00D178DD">
                  <w:pPr>
                    <w:spacing w:before="0" w:line="276" w:lineRule="auto"/>
                    <w:ind w:firstLine="0"/>
                    <w:rPr>
                      <w:rFonts w:cs="Calibri"/>
                      <w:b w:val="0"/>
                      <w:i/>
                      <w:iCs/>
                      <w:color w:val="000000"/>
                      <w:sz w:val="18"/>
                      <w:szCs w:val="18"/>
                      <w:lang w:val="hy-AM"/>
                    </w:rPr>
                  </w:pPr>
                  <w:r w:rsidRPr="00D178DD">
                    <w:rPr>
                      <w:rFonts w:cs="Calibri"/>
                      <w:b w:val="0"/>
                      <w:i/>
                      <w:iCs/>
                      <w:color w:val="000000"/>
                      <w:sz w:val="18"/>
                      <w:szCs w:val="18"/>
                      <w:lang w:val="hy-AM"/>
                    </w:rPr>
                    <w:t>2022 Պետական բյուջե</w:t>
                  </w:r>
                </w:p>
              </w:tc>
              <w:tc>
                <w:tcPr>
                  <w:tcW w:w="1527" w:type="dxa"/>
                  <w:vAlign w:val="center"/>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6.8</w:t>
                  </w:r>
                </w:p>
              </w:tc>
              <w:tc>
                <w:tcPr>
                  <w:tcW w:w="1890" w:type="dxa"/>
                  <w:shd w:val="clear" w:color="auto" w:fill="auto"/>
                  <w:noWrap/>
                  <w:vAlign w:val="center"/>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4.6</w:t>
                  </w:r>
                </w:p>
              </w:tc>
              <w:tc>
                <w:tcPr>
                  <w:tcW w:w="1449" w:type="dxa"/>
                  <w:shd w:val="clear" w:color="auto" w:fill="auto"/>
                  <w:vAlign w:val="center"/>
                  <w:hideMark/>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w:t>
                  </w:r>
                </w:p>
              </w:tc>
            </w:tr>
          </w:tbl>
          <w:p w:rsidR="00D178DD" w:rsidRPr="00D178DD" w:rsidRDefault="00D178DD" w:rsidP="00D178DD">
            <w:pPr>
              <w:spacing w:line="276" w:lineRule="auto"/>
              <w:ind w:right="111"/>
              <w:rPr>
                <w:rFonts w:eastAsia="Calibri"/>
                <w:sz w:val="18"/>
                <w:szCs w:val="18"/>
                <w:lang w:val="hy-AM"/>
              </w:rPr>
            </w:pPr>
            <w:r w:rsidRPr="00D178DD">
              <w:rPr>
                <w:rFonts w:eastAsia="Calibri"/>
                <w:sz w:val="18"/>
                <w:szCs w:val="18"/>
                <w:lang w:val="hy-AM"/>
              </w:rPr>
              <w:t xml:space="preserve">* </w:t>
            </w:r>
            <w:r w:rsidRPr="00D178DD">
              <w:rPr>
                <w:rFonts w:cs="Calibri"/>
                <w:i/>
                <w:iCs/>
                <w:color w:val="000000"/>
                <w:sz w:val="18"/>
                <w:szCs w:val="18"/>
                <w:lang w:val="hy-AM"/>
              </w:rPr>
              <w:t xml:space="preserve">2023-2025 ՄԺԾԾ և 2023 պետական բյուջեի համար 2021թ. ցուցանիշները փաստացի են </w:t>
            </w:r>
          </w:p>
          <w:p w:rsidR="00D178DD" w:rsidRPr="00D178DD" w:rsidRDefault="00D178DD" w:rsidP="00D178DD">
            <w:pPr>
              <w:spacing w:line="276" w:lineRule="auto"/>
              <w:ind w:right="111" w:firstLine="0"/>
              <w:rPr>
                <w:rFonts w:eastAsia="Calibri"/>
                <w:i/>
                <w:sz w:val="16"/>
                <w:szCs w:val="16"/>
                <w:lang w:val="hy-AM"/>
              </w:rPr>
            </w:pPr>
            <w:r w:rsidRPr="00D178DD">
              <w:rPr>
                <w:rFonts w:eastAsia="Calibri"/>
                <w:i/>
                <w:sz w:val="16"/>
                <w:szCs w:val="16"/>
                <w:lang w:val="hy-AM"/>
              </w:rPr>
              <w:t xml:space="preserve">           Աղբյուրը ՝ ՀՀ ՖՆ կանխատեսումներ</w:t>
            </w:r>
          </w:p>
          <w:p w:rsidR="00D178DD" w:rsidRPr="00D178DD" w:rsidRDefault="00D178DD" w:rsidP="00D178DD">
            <w:pPr>
              <w:spacing w:before="0"/>
              <w:rPr>
                <w:rFonts w:eastAsia="Calibri"/>
                <w:sz w:val="18"/>
                <w:szCs w:val="18"/>
                <w:lang w:val="hy-AM"/>
              </w:rPr>
            </w:pPr>
          </w:p>
          <w:p w:rsidR="00D178DD" w:rsidRPr="00D178DD" w:rsidRDefault="00D178DD" w:rsidP="00D178DD">
            <w:pPr>
              <w:keepNext/>
              <w:keepLines/>
              <w:spacing w:before="0" w:line="276" w:lineRule="auto"/>
              <w:ind w:left="541" w:firstLine="26"/>
              <w:rPr>
                <w:rFonts w:eastAsia="Calibri" w:cs="Sylfaen"/>
                <w:bCs/>
                <w:i/>
                <w:iCs/>
                <w:color w:val="000000"/>
                <w:sz w:val="20"/>
                <w:szCs w:val="20"/>
                <w:lang w:val="hy-AM"/>
              </w:rPr>
            </w:pPr>
            <w:r w:rsidRPr="00D178DD">
              <w:rPr>
                <w:rFonts w:eastAsia="Calibri" w:cs="Sylfaen"/>
                <w:bCs/>
                <w:i/>
                <w:iCs/>
                <w:color w:val="000000"/>
                <w:lang w:val="hy-AM"/>
              </w:rPr>
              <w:t>Աղյուսակ</w:t>
            </w:r>
            <w:r w:rsidRPr="00D178DD">
              <w:rPr>
                <w:rFonts w:eastAsia="Calibri"/>
                <w:bCs/>
                <w:i/>
                <w:iCs/>
                <w:color w:val="000000"/>
                <w:lang w:val="hy-AM"/>
              </w:rPr>
              <w:t xml:space="preserve"> 1.6.</w:t>
            </w:r>
            <w:r w:rsidRPr="00D178DD">
              <w:rPr>
                <w:rFonts w:eastAsia="Calibri"/>
                <w:bCs/>
                <w:i/>
                <w:iCs/>
                <w:color w:val="000000"/>
                <w:sz w:val="20"/>
                <w:szCs w:val="20"/>
                <w:lang w:val="hy-AM"/>
              </w:rPr>
              <w:t xml:space="preserve"> </w:t>
            </w:r>
            <w:r w:rsidRPr="00D178DD">
              <w:rPr>
                <w:rFonts w:eastAsia="Calibri" w:cs="Sylfaen"/>
                <w:bCs/>
                <w:i/>
                <w:iCs/>
                <w:color w:val="000000"/>
                <w:sz w:val="20"/>
                <w:szCs w:val="20"/>
                <w:lang w:val="hy-AM"/>
              </w:rPr>
              <w:t xml:space="preserve">Ընթացիկ հաշվի կանխատեսումները 2023-2025թթ. ՄԺԾԾ-ով, 2022թ. և 2023թ. </w:t>
            </w:r>
          </w:p>
          <w:p w:rsidR="00D178DD" w:rsidRPr="00D178DD" w:rsidRDefault="00D178DD" w:rsidP="00D178DD">
            <w:pPr>
              <w:keepNext/>
              <w:keepLines/>
              <w:spacing w:before="0" w:line="276" w:lineRule="auto"/>
              <w:ind w:left="541" w:firstLine="26"/>
              <w:rPr>
                <w:rFonts w:eastAsia="Calibri" w:cs="Sylfaen"/>
                <w:bCs/>
                <w:i/>
                <w:iCs/>
                <w:color w:val="000000"/>
                <w:sz w:val="20"/>
                <w:szCs w:val="20"/>
                <w:lang w:val="hy-AM"/>
              </w:rPr>
            </w:pPr>
            <w:r w:rsidRPr="00D178DD">
              <w:rPr>
                <w:rFonts w:eastAsia="Calibri" w:cs="Sylfaen"/>
                <w:bCs/>
                <w:i/>
                <w:iCs/>
                <w:color w:val="000000"/>
                <w:sz w:val="20"/>
                <w:szCs w:val="20"/>
                <w:lang w:val="hy-AM"/>
              </w:rPr>
              <w:t>պետական բյուջեներով</w:t>
            </w:r>
          </w:p>
          <w:tbl>
            <w:tblPr>
              <w:tblW w:w="9360" w:type="dxa"/>
              <w:tblInd w:w="39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2279"/>
              <w:gridCol w:w="2374"/>
              <w:gridCol w:w="1527"/>
              <w:gridCol w:w="1685"/>
              <w:gridCol w:w="1495"/>
            </w:tblGrid>
            <w:tr w:rsidR="00D178DD" w:rsidRPr="00D178DD" w:rsidTr="004B2286">
              <w:trPr>
                <w:trHeight w:val="384"/>
              </w:trPr>
              <w:tc>
                <w:tcPr>
                  <w:tcW w:w="2279" w:type="dxa"/>
                  <w:vMerge w:val="restart"/>
                  <w:shd w:val="clear" w:color="auto" w:fill="9CC2E5"/>
                  <w:noWrap/>
                  <w:vAlign w:val="center"/>
                  <w:hideMark/>
                </w:tcPr>
                <w:p w:rsidR="00D178DD" w:rsidRPr="00D178DD" w:rsidRDefault="00D178DD" w:rsidP="00D178DD">
                  <w:pPr>
                    <w:spacing w:before="0"/>
                    <w:jc w:val="center"/>
                    <w:rPr>
                      <w:rFonts w:cs="Calibri"/>
                      <w:b w:val="0"/>
                      <w:bCs/>
                      <w:color w:val="000000"/>
                      <w:sz w:val="18"/>
                      <w:szCs w:val="18"/>
                      <w:lang w:val="hy-AM"/>
                    </w:rPr>
                  </w:pPr>
                  <w:r w:rsidRPr="00D178DD">
                    <w:rPr>
                      <w:rFonts w:cs="Calibri"/>
                      <w:bCs/>
                      <w:color w:val="000000"/>
                      <w:sz w:val="18"/>
                      <w:szCs w:val="18"/>
                      <w:lang w:val="hy-AM"/>
                    </w:rPr>
                    <w:t>Ցուցանիշներ</w:t>
                  </w:r>
                </w:p>
              </w:tc>
              <w:tc>
                <w:tcPr>
                  <w:tcW w:w="2374" w:type="dxa"/>
                  <w:vMerge w:val="restart"/>
                  <w:shd w:val="clear" w:color="auto" w:fill="9CC2E5"/>
                  <w:vAlign w:val="center"/>
                  <w:hideMark/>
                </w:tcPr>
                <w:p w:rsidR="00D178DD" w:rsidRPr="00D178DD" w:rsidRDefault="00D178DD" w:rsidP="00D178DD">
                  <w:pPr>
                    <w:spacing w:before="0"/>
                    <w:ind w:firstLine="0"/>
                    <w:rPr>
                      <w:rFonts w:cs="Calibri"/>
                      <w:b w:val="0"/>
                      <w:bCs/>
                      <w:color w:val="000000"/>
                      <w:sz w:val="18"/>
                      <w:szCs w:val="18"/>
                      <w:lang w:val="hy-AM"/>
                    </w:rPr>
                  </w:pPr>
                  <w:r w:rsidRPr="00D178DD">
                    <w:rPr>
                      <w:rFonts w:cs="Calibri"/>
                      <w:bCs/>
                      <w:color w:val="000000"/>
                      <w:sz w:val="18"/>
                      <w:szCs w:val="18"/>
                      <w:lang w:val="hy-AM"/>
                    </w:rPr>
                    <w:t>Ծրագիր</w:t>
                  </w:r>
                </w:p>
              </w:tc>
              <w:tc>
                <w:tcPr>
                  <w:tcW w:w="1527" w:type="dxa"/>
                  <w:shd w:val="clear" w:color="auto" w:fill="9CC2E5"/>
                  <w:vAlign w:val="center"/>
                </w:tcPr>
                <w:p w:rsidR="00D178DD" w:rsidRPr="00D178DD" w:rsidRDefault="00D178DD" w:rsidP="00D178DD">
                  <w:pPr>
                    <w:spacing w:before="0"/>
                    <w:ind w:firstLine="0"/>
                    <w:jc w:val="center"/>
                    <w:rPr>
                      <w:rFonts w:cs="Calibri"/>
                      <w:b w:val="0"/>
                      <w:bCs/>
                      <w:color w:val="000000"/>
                      <w:sz w:val="18"/>
                      <w:szCs w:val="18"/>
                      <w:lang w:val="hy-AM"/>
                    </w:rPr>
                  </w:pPr>
                  <w:r w:rsidRPr="00D178DD">
                    <w:rPr>
                      <w:rFonts w:cs="Calibri"/>
                      <w:bCs/>
                      <w:color w:val="000000"/>
                      <w:sz w:val="18"/>
                      <w:szCs w:val="18"/>
                      <w:lang w:val="hy-AM"/>
                    </w:rPr>
                    <w:t>2021</w:t>
                  </w:r>
                </w:p>
              </w:tc>
              <w:tc>
                <w:tcPr>
                  <w:tcW w:w="1685" w:type="dxa"/>
                  <w:shd w:val="clear" w:color="auto" w:fill="9CC2E5"/>
                  <w:vAlign w:val="center"/>
                  <w:hideMark/>
                </w:tcPr>
                <w:p w:rsidR="00D178DD" w:rsidRPr="00D178DD" w:rsidRDefault="00D178DD" w:rsidP="00D178DD">
                  <w:pPr>
                    <w:spacing w:before="0"/>
                    <w:ind w:firstLine="0"/>
                    <w:jc w:val="center"/>
                    <w:rPr>
                      <w:rFonts w:cs="Calibri"/>
                      <w:b w:val="0"/>
                      <w:bCs/>
                      <w:color w:val="000000"/>
                      <w:sz w:val="18"/>
                      <w:szCs w:val="18"/>
                      <w:lang w:val="hy-AM"/>
                    </w:rPr>
                  </w:pPr>
                  <w:r w:rsidRPr="00D178DD">
                    <w:rPr>
                      <w:rFonts w:cs="Calibri"/>
                      <w:bCs/>
                      <w:color w:val="000000"/>
                      <w:sz w:val="18"/>
                      <w:szCs w:val="18"/>
                      <w:lang w:val="hy-AM"/>
                    </w:rPr>
                    <w:t>2022</w:t>
                  </w:r>
                </w:p>
              </w:tc>
              <w:tc>
                <w:tcPr>
                  <w:tcW w:w="1495" w:type="dxa"/>
                  <w:shd w:val="clear" w:color="auto" w:fill="9CC2E5"/>
                  <w:vAlign w:val="center"/>
                  <w:hideMark/>
                </w:tcPr>
                <w:p w:rsidR="00D178DD" w:rsidRPr="00D178DD" w:rsidRDefault="00D178DD" w:rsidP="00D178DD">
                  <w:pPr>
                    <w:spacing w:before="0"/>
                    <w:ind w:firstLine="0"/>
                    <w:jc w:val="center"/>
                    <w:rPr>
                      <w:rFonts w:cs="Calibri"/>
                      <w:b w:val="0"/>
                      <w:bCs/>
                      <w:color w:val="000000"/>
                      <w:sz w:val="18"/>
                      <w:szCs w:val="18"/>
                      <w:lang w:val="hy-AM"/>
                    </w:rPr>
                  </w:pPr>
                  <w:r w:rsidRPr="00D178DD">
                    <w:rPr>
                      <w:rFonts w:cs="Calibri"/>
                      <w:bCs/>
                      <w:color w:val="000000"/>
                      <w:sz w:val="18"/>
                      <w:szCs w:val="18"/>
                      <w:lang w:val="hy-AM"/>
                    </w:rPr>
                    <w:t>2023</w:t>
                  </w:r>
                </w:p>
              </w:tc>
            </w:tr>
            <w:tr w:rsidR="00D178DD" w:rsidRPr="00D178DD" w:rsidTr="004B2286">
              <w:trPr>
                <w:trHeight w:val="384"/>
              </w:trPr>
              <w:tc>
                <w:tcPr>
                  <w:tcW w:w="2279" w:type="dxa"/>
                  <w:vMerge/>
                  <w:shd w:val="clear" w:color="auto" w:fill="9CC2E5"/>
                  <w:vAlign w:val="center"/>
                  <w:hideMark/>
                </w:tcPr>
                <w:p w:rsidR="00D178DD" w:rsidRPr="00D178DD" w:rsidRDefault="00D178DD" w:rsidP="00D178DD">
                  <w:pPr>
                    <w:spacing w:before="0"/>
                    <w:rPr>
                      <w:rFonts w:cs="Calibri"/>
                      <w:b w:val="0"/>
                      <w:bCs/>
                      <w:color w:val="000000"/>
                      <w:sz w:val="18"/>
                      <w:szCs w:val="18"/>
                      <w:lang w:val="hy-AM"/>
                    </w:rPr>
                  </w:pPr>
                </w:p>
              </w:tc>
              <w:tc>
                <w:tcPr>
                  <w:tcW w:w="2374" w:type="dxa"/>
                  <w:vMerge/>
                  <w:shd w:val="clear" w:color="auto" w:fill="9CC2E5"/>
                  <w:vAlign w:val="center"/>
                  <w:hideMark/>
                </w:tcPr>
                <w:p w:rsidR="00D178DD" w:rsidRPr="00D178DD" w:rsidRDefault="00D178DD" w:rsidP="00D178DD">
                  <w:pPr>
                    <w:spacing w:before="0"/>
                    <w:rPr>
                      <w:rFonts w:cs="Calibri"/>
                      <w:b w:val="0"/>
                      <w:bCs/>
                      <w:color w:val="000000"/>
                      <w:sz w:val="18"/>
                      <w:szCs w:val="18"/>
                      <w:lang w:val="hy-AM"/>
                    </w:rPr>
                  </w:pPr>
                </w:p>
              </w:tc>
              <w:tc>
                <w:tcPr>
                  <w:tcW w:w="1527" w:type="dxa"/>
                  <w:shd w:val="clear" w:color="auto" w:fill="9CC2E5"/>
                  <w:vAlign w:val="center"/>
                </w:tcPr>
                <w:p w:rsidR="00D178DD" w:rsidRPr="00D178DD" w:rsidRDefault="00D178DD" w:rsidP="00D178DD">
                  <w:pPr>
                    <w:spacing w:before="0"/>
                    <w:ind w:firstLine="0"/>
                    <w:rPr>
                      <w:rFonts w:cs="Calibri"/>
                      <w:i/>
                      <w:iCs/>
                      <w:color w:val="000000"/>
                      <w:sz w:val="18"/>
                      <w:szCs w:val="18"/>
                      <w:lang w:val="hy-AM"/>
                    </w:rPr>
                  </w:pPr>
                  <w:r w:rsidRPr="00D178DD">
                    <w:rPr>
                      <w:rFonts w:cs="Calibri"/>
                      <w:i/>
                      <w:iCs/>
                      <w:color w:val="000000"/>
                      <w:sz w:val="18"/>
                      <w:szCs w:val="18"/>
                      <w:lang w:val="hy-AM"/>
                    </w:rPr>
                    <w:t>փաստ*/կանխ.</w:t>
                  </w:r>
                </w:p>
              </w:tc>
              <w:tc>
                <w:tcPr>
                  <w:tcW w:w="1685" w:type="dxa"/>
                  <w:shd w:val="clear" w:color="auto" w:fill="9CC2E5"/>
                  <w:vAlign w:val="center"/>
                  <w:hideMark/>
                </w:tcPr>
                <w:p w:rsidR="00D178DD" w:rsidRPr="00D178DD" w:rsidRDefault="00D178DD" w:rsidP="00D178DD">
                  <w:pPr>
                    <w:spacing w:before="0"/>
                    <w:ind w:firstLine="0"/>
                    <w:rPr>
                      <w:rFonts w:cs="Calibri"/>
                      <w:i/>
                      <w:iCs/>
                      <w:color w:val="000000"/>
                      <w:sz w:val="18"/>
                      <w:szCs w:val="18"/>
                      <w:lang w:val="hy-AM"/>
                    </w:rPr>
                  </w:pPr>
                  <w:r w:rsidRPr="00D178DD">
                    <w:rPr>
                      <w:rFonts w:cs="Calibri"/>
                      <w:i/>
                      <w:iCs/>
                      <w:color w:val="000000"/>
                      <w:sz w:val="18"/>
                      <w:szCs w:val="18"/>
                      <w:lang w:val="hy-AM"/>
                    </w:rPr>
                    <w:t>կանխ.</w:t>
                  </w:r>
                </w:p>
              </w:tc>
              <w:tc>
                <w:tcPr>
                  <w:tcW w:w="1495" w:type="dxa"/>
                  <w:shd w:val="clear" w:color="auto" w:fill="9CC2E5"/>
                  <w:vAlign w:val="center"/>
                  <w:hideMark/>
                </w:tcPr>
                <w:p w:rsidR="00D178DD" w:rsidRPr="00D178DD" w:rsidRDefault="00D178DD" w:rsidP="00D178DD">
                  <w:pPr>
                    <w:spacing w:before="0"/>
                    <w:ind w:firstLine="0"/>
                    <w:rPr>
                      <w:rFonts w:cs="Calibri"/>
                      <w:i/>
                      <w:iCs/>
                      <w:color w:val="000000"/>
                      <w:sz w:val="18"/>
                      <w:szCs w:val="18"/>
                      <w:lang w:val="hy-AM"/>
                    </w:rPr>
                  </w:pPr>
                  <w:r w:rsidRPr="00D178DD">
                    <w:rPr>
                      <w:rFonts w:cs="Calibri"/>
                      <w:i/>
                      <w:iCs/>
                      <w:color w:val="000000"/>
                      <w:sz w:val="18"/>
                      <w:szCs w:val="18"/>
                      <w:lang w:val="hy-AM"/>
                    </w:rPr>
                    <w:t>կանխ.</w:t>
                  </w:r>
                </w:p>
              </w:tc>
            </w:tr>
            <w:tr w:rsidR="00D178DD" w:rsidRPr="00D178DD" w:rsidTr="004B2286">
              <w:trPr>
                <w:trHeight w:val="384"/>
              </w:trPr>
              <w:tc>
                <w:tcPr>
                  <w:tcW w:w="2279" w:type="dxa"/>
                  <w:vMerge w:val="restart"/>
                  <w:shd w:val="clear" w:color="auto" w:fill="auto"/>
                  <w:vAlign w:val="center"/>
                  <w:hideMark/>
                </w:tcPr>
                <w:p w:rsidR="00D178DD" w:rsidRPr="00D178DD" w:rsidRDefault="00D178DD" w:rsidP="00D178DD">
                  <w:pPr>
                    <w:spacing w:before="0"/>
                    <w:ind w:firstLine="0"/>
                    <w:rPr>
                      <w:rFonts w:cs="Calibri"/>
                      <w:b w:val="0"/>
                      <w:bCs/>
                      <w:color w:val="000000"/>
                      <w:sz w:val="18"/>
                      <w:szCs w:val="18"/>
                      <w:lang w:val="hy-AM"/>
                    </w:rPr>
                  </w:pPr>
                  <w:r w:rsidRPr="00D178DD">
                    <w:rPr>
                      <w:rFonts w:cs="Calibri"/>
                      <w:bCs/>
                      <w:color w:val="000000"/>
                      <w:sz w:val="18"/>
                      <w:szCs w:val="18"/>
                      <w:lang w:val="hy-AM"/>
                    </w:rPr>
                    <w:t>Ընթացիկ հաշիվ, մլն ԱՄՆ դոլար</w:t>
                  </w:r>
                </w:p>
              </w:tc>
              <w:tc>
                <w:tcPr>
                  <w:tcW w:w="2374" w:type="dxa"/>
                  <w:shd w:val="clear" w:color="auto" w:fill="auto"/>
                  <w:vAlign w:val="center"/>
                </w:tcPr>
                <w:p w:rsidR="00D178DD" w:rsidRPr="00D178DD" w:rsidRDefault="00D178DD" w:rsidP="00D178DD">
                  <w:pPr>
                    <w:spacing w:before="0"/>
                    <w:ind w:firstLine="0"/>
                    <w:jc w:val="left"/>
                    <w:rPr>
                      <w:rFonts w:cs="Calibri"/>
                      <w:b w:val="0"/>
                      <w:i/>
                      <w:iCs/>
                      <w:color w:val="000000"/>
                      <w:sz w:val="18"/>
                      <w:szCs w:val="18"/>
                    </w:rPr>
                  </w:pPr>
                  <w:r w:rsidRPr="00D178DD">
                    <w:rPr>
                      <w:rFonts w:cs="Calibri"/>
                      <w:b w:val="0"/>
                      <w:i/>
                      <w:iCs/>
                      <w:color w:val="000000"/>
                      <w:sz w:val="18"/>
                      <w:szCs w:val="18"/>
                    </w:rPr>
                    <w:t xml:space="preserve">2023 </w:t>
                  </w:r>
                  <w:r w:rsidRPr="00D178DD">
                    <w:rPr>
                      <w:rFonts w:cs="Calibri"/>
                      <w:b w:val="0"/>
                      <w:i/>
                      <w:iCs/>
                      <w:color w:val="000000"/>
                      <w:sz w:val="18"/>
                      <w:szCs w:val="18"/>
                      <w:lang w:val="hy-AM"/>
                    </w:rPr>
                    <w:t>Պետական բյուջե</w:t>
                  </w:r>
                </w:p>
              </w:tc>
              <w:tc>
                <w:tcPr>
                  <w:tcW w:w="1527" w:type="dxa"/>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-515.1</w:t>
                  </w:r>
                </w:p>
              </w:tc>
              <w:tc>
                <w:tcPr>
                  <w:tcW w:w="1685" w:type="dxa"/>
                  <w:shd w:val="clear" w:color="auto" w:fill="auto"/>
                  <w:noWrap/>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-768.9</w:t>
                  </w:r>
                </w:p>
              </w:tc>
              <w:tc>
                <w:tcPr>
                  <w:tcW w:w="1495" w:type="dxa"/>
                  <w:shd w:val="clear" w:color="auto" w:fill="auto"/>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-1,213.7</w:t>
                  </w:r>
                </w:p>
              </w:tc>
            </w:tr>
            <w:tr w:rsidR="00D178DD" w:rsidRPr="00D178DD" w:rsidTr="004B2286">
              <w:trPr>
                <w:trHeight w:val="384"/>
              </w:trPr>
              <w:tc>
                <w:tcPr>
                  <w:tcW w:w="2279" w:type="dxa"/>
                  <w:vMerge/>
                  <w:vAlign w:val="center"/>
                  <w:hideMark/>
                </w:tcPr>
                <w:p w:rsidR="00D178DD" w:rsidRPr="00D178DD" w:rsidRDefault="00D178DD" w:rsidP="00D178DD">
                  <w:pPr>
                    <w:spacing w:before="0"/>
                    <w:rPr>
                      <w:rFonts w:cs="Calibri"/>
                      <w:b w:val="0"/>
                      <w:bCs/>
                      <w:color w:val="000000"/>
                      <w:sz w:val="18"/>
                      <w:szCs w:val="18"/>
                    </w:rPr>
                  </w:pPr>
                </w:p>
              </w:tc>
              <w:tc>
                <w:tcPr>
                  <w:tcW w:w="2374" w:type="dxa"/>
                  <w:shd w:val="clear" w:color="auto" w:fill="auto"/>
                  <w:vAlign w:val="center"/>
                  <w:hideMark/>
                </w:tcPr>
                <w:p w:rsidR="00D178DD" w:rsidRPr="00D178DD" w:rsidRDefault="00D178DD" w:rsidP="00D178DD">
                  <w:pPr>
                    <w:spacing w:before="0"/>
                    <w:ind w:firstLine="0"/>
                    <w:jc w:val="left"/>
                    <w:rPr>
                      <w:rFonts w:cs="Calibri"/>
                      <w:b w:val="0"/>
                      <w:i/>
                      <w:iCs/>
                      <w:color w:val="000000"/>
                      <w:sz w:val="18"/>
                      <w:szCs w:val="18"/>
                    </w:rPr>
                  </w:pPr>
                  <w:r w:rsidRPr="00D178DD">
                    <w:rPr>
                      <w:rFonts w:cs="Calibri"/>
                      <w:b w:val="0"/>
                      <w:i/>
                      <w:iCs/>
                      <w:color w:val="000000"/>
                      <w:sz w:val="18"/>
                      <w:szCs w:val="18"/>
                    </w:rPr>
                    <w:t>202</w:t>
                  </w:r>
                  <w:r w:rsidRPr="00D178DD">
                    <w:rPr>
                      <w:rFonts w:cs="Calibri"/>
                      <w:b w:val="0"/>
                      <w:i/>
                      <w:iCs/>
                      <w:color w:val="000000"/>
                      <w:sz w:val="18"/>
                      <w:szCs w:val="18"/>
                      <w:lang w:val="hy-AM"/>
                    </w:rPr>
                    <w:t>3</w:t>
                  </w:r>
                  <w:r w:rsidRPr="00D178DD">
                    <w:rPr>
                      <w:rFonts w:cs="Calibri"/>
                      <w:b w:val="0"/>
                      <w:i/>
                      <w:iCs/>
                      <w:color w:val="000000"/>
                      <w:sz w:val="18"/>
                      <w:szCs w:val="18"/>
                    </w:rPr>
                    <w:t>-202</w:t>
                  </w:r>
                  <w:r w:rsidRPr="00D178DD">
                    <w:rPr>
                      <w:rFonts w:cs="Calibri"/>
                      <w:b w:val="0"/>
                      <w:i/>
                      <w:iCs/>
                      <w:color w:val="000000"/>
                      <w:sz w:val="18"/>
                      <w:szCs w:val="18"/>
                      <w:lang w:val="hy-AM"/>
                    </w:rPr>
                    <w:t>5</w:t>
                  </w:r>
                  <w:r w:rsidRPr="00D178DD">
                    <w:rPr>
                      <w:rFonts w:cs="Calibri"/>
                      <w:b w:val="0"/>
                      <w:i/>
                      <w:iCs/>
                      <w:color w:val="000000"/>
                      <w:sz w:val="18"/>
                      <w:szCs w:val="18"/>
                    </w:rPr>
                    <w:t xml:space="preserve"> ՄԺԾԾ</w:t>
                  </w:r>
                </w:p>
              </w:tc>
              <w:tc>
                <w:tcPr>
                  <w:tcW w:w="1527" w:type="dxa"/>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-511.3</w:t>
                  </w:r>
                </w:p>
              </w:tc>
              <w:tc>
                <w:tcPr>
                  <w:tcW w:w="1685" w:type="dxa"/>
                  <w:shd w:val="clear" w:color="auto" w:fill="auto"/>
                  <w:noWrap/>
                  <w:hideMark/>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-741.5</w:t>
                  </w:r>
                </w:p>
              </w:tc>
              <w:tc>
                <w:tcPr>
                  <w:tcW w:w="1495" w:type="dxa"/>
                  <w:shd w:val="clear" w:color="auto" w:fill="auto"/>
                  <w:hideMark/>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-1,159.5</w:t>
                  </w:r>
                </w:p>
              </w:tc>
            </w:tr>
            <w:tr w:rsidR="00D178DD" w:rsidRPr="00D178DD" w:rsidTr="004B2286">
              <w:trPr>
                <w:trHeight w:val="384"/>
              </w:trPr>
              <w:tc>
                <w:tcPr>
                  <w:tcW w:w="2279" w:type="dxa"/>
                  <w:vMerge/>
                  <w:vAlign w:val="center"/>
                  <w:hideMark/>
                </w:tcPr>
                <w:p w:rsidR="00D178DD" w:rsidRPr="00D178DD" w:rsidRDefault="00D178DD" w:rsidP="00D178DD">
                  <w:pPr>
                    <w:spacing w:before="0"/>
                    <w:rPr>
                      <w:rFonts w:cs="Calibri"/>
                      <w:b w:val="0"/>
                      <w:bCs/>
                      <w:color w:val="000000"/>
                      <w:sz w:val="18"/>
                      <w:szCs w:val="18"/>
                    </w:rPr>
                  </w:pPr>
                </w:p>
              </w:tc>
              <w:tc>
                <w:tcPr>
                  <w:tcW w:w="2374" w:type="dxa"/>
                  <w:shd w:val="clear" w:color="auto" w:fill="auto"/>
                  <w:vAlign w:val="center"/>
                </w:tcPr>
                <w:p w:rsidR="00D178DD" w:rsidRPr="00D178DD" w:rsidRDefault="00D178DD" w:rsidP="00D178DD">
                  <w:pPr>
                    <w:spacing w:before="0"/>
                    <w:ind w:firstLine="0"/>
                    <w:jc w:val="left"/>
                    <w:rPr>
                      <w:rFonts w:cs="Calibri"/>
                      <w:b w:val="0"/>
                      <w:i/>
                      <w:iCs/>
                      <w:color w:val="000000"/>
                      <w:sz w:val="18"/>
                      <w:szCs w:val="18"/>
                    </w:rPr>
                  </w:pPr>
                  <w:r w:rsidRPr="00D178DD">
                    <w:rPr>
                      <w:rFonts w:cs="Calibri"/>
                      <w:b w:val="0"/>
                      <w:i/>
                      <w:iCs/>
                      <w:color w:val="000000"/>
                      <w:sz w:val="18"/>
                      <w:szCs w:val="18"/>
                    </w:rPr>
                    <w:t>202</w:t>
                  </w:r>
                  <w:r w:rsidRPr="00D178DD">
                    <w:rPr>
                      <w:rFonts w:cs="Calibri"/>
                      <w:b w:val="0"/>
                      <w:i/>
                      <w:iCs/>
                      <w:color w:val="000000"/>
                      <w:sz w:val="18"/>
                      <w:szCs w:val="18"/>
                      <w:lang w:val="hy-AM"/>
                    </w:rPr>
                    <w:t>2</w:t>
                  </w:r>
                  <w:r w:rsidRPr="00D178DD">
                    <w:rPr>
                      <w:rFonts w:cs="Calibri"/>
                      <w:b w:val="0"/>
                      <w:i/>
                      <w:iCs/>
                      <w:color w:val="000000"/>
                      <w:sz w:val="18"/>
                      <w:szCs w:val="18"/>
                    </w:rPr>
                    <w:t xml:space="preserve"> Պետական բյուջե</w:t>
                  </w:r>
                </w:p>
              </w:tc>
              <w:tc>
                <w:tcPr>
                  <w:tcW w:w="1527" w:type="dxa"/>
                  <w:vAlign w:val="center"/>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-241.8</w:t>
                  </w:r>
                </w:p>
              </w:tc>
              <w:tc>
                <w:tcPr>
                  <w:tcW w:w="1685" w:type="dxa"/>
                  <w:shd w:val="clear" w:color="auto" w:fill="auto"/>
                  <w:noWrap/>
                  <w:vAlign w:val="center"/>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-455.6</w:t>
                  </w:r>
                </w:p>
              </w:tc>
              <w:tc>
                <w:tcPr>
                  <w:tcW w:w="1495" w:type="dxa"/>
                  <w:shd w:val="clear" w:color="auto" w:fill="auto"/>
                  <w:vAlign w:val="center"/>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w:t>
                  </w:r>
                </w:p>
              </w:tc>
            </w:tr>
            <w:tr w:rsidR="00D178DD" w:rsidRPr="00D178DD" w:rsidTr="004B2286">
              <w:trPr>
                <w:trHeight w:val="384"/>
              </w:trPr>
              <w:tc>
                <w:tcPr>
                  <w:tcW w:w="2279" w:type="dxa"/>
                  <w:vMerge w:val="restart"/>
                  <w:shd w:val="clear" w:color="auto" w:fill="auto"/>
                  <w:vAlign w:val="center"/>
                  <w:hideMark/>
                </w:tcPr>
                <w:p w:rsidR="00D178DD" w:rsidRPr="00D178DD" w:rsidRDefault="00D178DD" w:rsidP="00D178DD">
                  <w:pPr>
                    <w:spacing w:before="0"/>
                    <w:ind w:firstLine="0"/>
                    <w:rPr>
                      <w:rFonts w:cs="Calibri"/>
                      <w:b w:val="0"/>
                      <w:bCs/>
                      <w:color w:val="000000"/>
                      <w:sz w:val="18"/>
                      <w:szCs w:val="18"/>
                    </w:rPr>
                  </w:pPr>
                  <w:r w:rsidRPr="00D178DD">
                    <w:rPr>
                      <w:rFonts w:cs="Calibri"/>
                      <w:bCs/>
                      <w:color w:val="000000"/>
                      <w:sz w:val="18"/>
                      <w:szCs w:val="18"/>
                    </w:rPr>
                    <w:t>Ընթացիկ հաշիվ, %-ով՝ ՀՆԱ-ի նկատմամբ</w:t>
                  </w:r>
                </w:p>
              </w:tc>
              <w:tc>
                <w:tcPr>
                  <w:tcW w:w="2374" w:type="dxa"/>
                  <w:shd w:val="clear" w:color="auto" w:fill="auto"/>
                  <w:vAlign w:val="center"/>
                </w:tcPr>
                <w:p w:rsidR="00D178DD" w:rsidRPr="00D178DD" w:rsidRDefault="00D178DD" w:rsidP="00D178DD">
                  <w:pPr>
                    <w:spacing w:before="0"/>
                    <w:ind w:firstLine="0"/>
                    <w:jc w:val="left"/>
                    <w:rPr>
                      <w:rFonts w:cs="Calibri"/>
                      <w:b w:val="0"/>
                      <w:i/>
                      <w:iCs/>
                      <w:color w:val="000000"/>
                      <w:sz w:val="18"/>
                      <w:szCs w:val="18"/>
                    </w:rPr>
                  </w:pPr>
                  <w:r w:rsidRPr="00D178DD">
                    <w:rPr>
                      <w:rFonts w:cs="Calibri"/>
                      <w:b w:val="0"/>
                      <w:i/>
                      <w:iCs/>
                      <w:color w:val="000000"/>
                      <w:sz w:val="18"/>
                      <w:szCs w:val="18"/>
                      <w:lang w:val="hy-AM"/>
                    </w:rPr>
                    <w:t>2023 պետկան բյուջե</w:t>
                  </w:r>
                </w:p>
              </w:tc>
              <w:tc>
                <w:tcPr>
                  <w:tcW w:w="1527" w:type="dxa"/>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-3.7</w:t>
                  </w:r>
                </w:p>
              </w:tc>
              <w:tc>
                <w:tcPr>
                  <w:tcW w:w="1685" w:type="dxa"/>
                  <w:shd w:val="clear" w:color="auto" w:fill="auto"/>
                  <w:noWrap/>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-4.2</w:t>
                  </w:r>
                </w:p>
              </w:tc>
              <w:tc>
                <w:tcPr>
                  <w:tcW w:w="1495" w:type="dxa"/>
                  <w:shd w:val="clear" w:color="auto" w:fill="auto"/>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-5.7</w:t>
                  </w:r>
                </w:p>
              </w:tc>
            </w:tr>
            <w:tr w:rsidR="00D178DD" w:rsidRPr="00D178DD" w:rsidTr="004B2286">
              <w:trPr>
                <w:trHeight w:val="384"/>
              </w:trPr>
              <w:tc>
                <w:tcPr>
                  <w:tcW w:w="2279" w:type="dxa"/>
                  <w:vMerge/>
                  <w:vAlign w:val="center"/>
                  <w:hideMark/>
                </w:tcPr>
                <w:p w:rsidR="00D178DD" w:rsidRPr="00D178DD" w:rsidRDefault="00D178DD" w:rsidP="00D178DD">
                  <w:pPr>
                    <w:spacing w:before="0"/>
                    <w:rPr>
                      <w:rFonts w:cs="Calibri"/>
                      <w:b w:val="0"/>
                      <w:bCs/>
                      <w:color w:val="000000"/>
                      <w:sz w:val="18"/>
                      <w:szCs w:val="18"/>
                      <w:lang w:val="hy-AM"/>
                    </w:rPr>
                  </w:pPr>
                </w:p>
              </w:tc>
              <w:tc>
                <w:tcPr>
                  <w:tcW w:w="2374" w:type="dxa"/>
                  <w:shd w:val="clear" w:color="auto" w:fill="auto"/>
                  <w:vAlign w:val="center"/>
                  <w:hideMark/>
                </w:tcPr>
                <w:p w:rsidR="00D178DD" w:rsidRPr="00D178DD" w:rsidRDefault="00D178DD" w:rsidP="00D178DD">
                  <w:pPr>
                    <w:spacing w:before="0"/>
                    <w:ind w:firstLine="0"/>
                    <w:jc w:val="left"/>
                    <w:rPr>
                      <w:rFonts w:cs="Calibri"/>
                      <w:b w:val="0"/>
                      <w:i/>
                      <w:iCs/>
                      <w:color w:val="000000"/>
                      <w:sz w:val="18"/>
                      <w:szCs w:val="18"/>
                      <w:lang w:val="hy-AM"/>
                    </w:rPr>
                  </w:pPr>
                  <w:r w:rsidRPr="00D178DD">
                    <w:rPr>
                      <w:rFonts w:cs="Calibri"/>
                      <w:b w:val="0"/>
                      <w:i/>
                      <w:iCs/>
                      <w:color w:val="000000"/>
                      <w:sz w:val="18"/>
                      <w:szCs w:val="18"/>
                      <w:lang w:val="hy-AM"/>
                    </w:rPr>
                    <w:t>2023-2025 ՄԺԾԾ</w:t>
                  </w:r>
                </w:p>
              </w:tc>
              <w:tc>
                <w:tcPr>
                  <w:tcW w:w="1527" w:type="dxa"/>
                  <w:vAlign w:val="center"/>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-3.8</w:t>
                  </w:r>
                </w:p>
              </w:tc>
              <w:tc>
                <w:tcPr>
                  <w:tcW w:w="1685" w:type="dxa"/>
                  <w:shd w:val="clear" w:color="auto" w:fill="auto"/>
                  <w:noWrap/>
                  <w:vAlign w:val="center"/>
                  <w:hideMark/>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-4.5</w:t>
                  </w:r>
                </w:p>
              </w:tc>
              <w:tc>
                <w:tcPr>
                  <w:tcW w:w="1495" w:type="dxa"/>
                  <w:shd w:val="clear" w:color="auto" w:fill="auto"/>
                  <w:vAlign w:val="center"/>
                  <w:hideMark/>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-6.4</w:t>
                  </w:r>
                </w:p>
              </w:tc>
            </w:tr>
            <w:tr w:rsidR="00D178DD" w:rsidRPr="00D178DD" w:rsidTr="004B2286">
              <w:trPr>
                <w:trHeight w:val="384"/>
              </w:trPr>
              <w:tc>
                <w:tcPr>
                  <w:tcW w:w="2279" w:type="dxa"/>
                  <w:vMerge/>
                  <w:vAlign w:val="center"/>
                  <w:hideMark/>
                </w:tcPr>
                <w:p w:rsidR="00D178DD" w:rsidRPr="00D178DD" w:rsidRDefault="00D178DD" w:rsidP="00D178DD">
                  <w:pPr>
                    <w:spacing w:before="0"/>
                    <w:rPr>
                      <w:rFonts w:cs="Calibri"/>
                      <w:b w:val="0"/>
                      <w:bCs/>
                      <w:color w:val="000000"/>
                      <w:sz w:val="18"/>
                      <w:szCs w:val="18"/>
                      <w:lang w:val="hy-AM"/>
                    </w:rPr>
                  </w:pPr>
                </w:p>
              </w:tc>
              <w:tc>
                <w:tcPr>
                  <w:tcW w:w="2374" w:type="dxa"/>
                  <w:shd w:val="clear" w:color="auto" w:fill="auto"/>
                  <w:vAlign w:val="center"/>
                </w:tcPr>
                <w:p w:rsidR="00D178DD" w:rsidRPr="00D178DD" w:rsidRDefault="00D178DD" w:rsidP="00D178DD">
                  <w:pPr>
                    <w:spacing w:before="0"/>
                    <w:ind w:firstLine="0"/>
                    <w:jc w:val="left"/>
                    <w:rPr>
                      <w:rFonts w:cs="Calibri"/>
                      <w:b w:val="0"/>
                      <w:i/>
                      <w:iCs/>
                      <w:color w:val="000000"/>
                      <w:sz w:val="18"/>
                      <w:szCs w:val="18"/>
                      <w:lang w:val="hy-AM"/>
                    </w:rPr>
                  </w:pPr>
                  <w:r w:rsidRPr="00D178DD">
                    <w:rPr>
                      <w:rFonts w:cs="Calibri"/>
                      <w:b w:val="0"/>
                      <w:i/>
                      <w:iCs/>
                      <w:color w:val="000000"/>
                      <w:sz w:val="18"/>
                      <w:szCs w:val="18"/>
                      <w:lang w:val="hy-AM"/>
                    </w:rPr>
                    <w:t>2022 Պետական բյուջե</w:t>
                  </w:r>
                </w:p>
              </w:tc>
              <w:tc>
                <w:tcPr>
                  <w:tcW w:w="1527" w:type="dxa"/>
                  <w:vAlign w:val="center"/>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-1.7</w:t>
                  </w:r>
                </w:p>
              </w:tc>
              <w:tc>
                <w:tcPr>
                  <w:tcW w:w="1685" w:type="dxa"/>
                  <w:shd w:val="clear" w:color="auto" w:fill="auto"/>
                  <w:noWrap/>
                  <w:vAlign w:val="center"/>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-3.0</w:t>
                  </w:r>
                </w:p>
              </w:tc>
              <w:tc>
                <w:tcPr>
                  <w:tcW w:w="1495" w:type="dxa"/>
                  <w:shd w:val="clear" w:color="auto" w:fill="auto"/>
                  <w:vAlign w:val="center"/>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w:t>
                  </w:r>
                </w:p>
              </w:tc>
            </w:tr>
          </w:tbl>
          <w:p w:rsidR="00D178DD" w:rsidRPr="00D178DD" w:rsidRDefault="00D178DD" w:rsidP="00D178DD">
            <w:pPr>
              <w:spacing w:before="0" w:line="276" w:lineRule="auto"/>
              <w:rPr>
                <w:rFonts w:eastAsia="Calibri"/>
                <w:sz w:val="18"/>
                <w:szCs w:val="18"/>
                <w:lang w:val="hy-AM"/>
              </w:rPr>
            </w:pPr>
            <w:r w:rsidRPr="00D178DD">
              <w:rPr>
                <w:rFonts w:eastAsia="Calibri"/>
                <w:sz w:val="18"/>
                <w:szCs w:val="18"/>
                <w:lang w:val="hy-AM"/>
              </w:rPr>
              <w:t xml:space="preserve">* </w:t>
            </w:r>
            <w:r w:rsidRPr="00D178DD">
              <w:rPr>
                <w:rFonts w:cs="Calibri"/>
                <w:i/>
                <w:iCs/>
                <w:color w:val="000000"/>
                <w:sz w:val="18"/>
                <w:szCs w:val="18"/>
                <w:lang w:val="hy-AM"/>
              </w:rPr>
              <w:t xml:space="preserve">2023-2025 ՄԺԾԾ և 2023 պետական բյուջեի համար 2021թ. ցուցանիշները փաստացի են </w:t>
            </w:r>
            <w:r w:rsidRPr="00D178DD">
              <w:rPr>
                <w:rFonts w:eastAsia="Calibri"/>
                <w:lang w:val="hy-AM"/>
              </w:rPr>
              <w:t xml:space="preserve">  </w:t>
            </w:r>
          </w:p>
          <w:p w:rsidR="00D178DD" w:rsidRPr="00D178DD" w:rsidRDefault="00D178DD" w:rsidP="00D178DD">
            <w:pPr>
              <w:tabs>
                <w:tab w:val="left" w:pos="0"/>
                <w:tab w:val="num" w:pos="720"/>
              </w:tabs>
              <w:spacing w:before="0" w:line="276" w:lineRule="auto"/>
              <w:ind w:firstLine="399"/>
              <w:rPr>
                <w:rFonts w:eastAsia="Calibri"/>
                <w:i/>
                <w:sz w:val="16"/>
                <w:szCs w:val="16"/>
                <w:lang w:val="hy-AM"/>
              </w:rPr>
            </w:pPr>
            <w:r w:rsidRPr="00D178DD">
              <w:rPr>
                <w:rFonts w:eastAsia="Calibri"/>
                <w:i/>
                <w:sz w:val="16"/>
                <w:szCs w:val="16"/>
                <w:lang w:val="hy-AM"/>
              </w:rPr>
              <w:t>Աղբյուրը ՝ ՀՀ ՖՆ կանխատեսումներ</w:t>
            </w:r>
          </w:p>
          <w:p w:rsidR="00D178DD" w:rsidRPr="00D178DD" w:rsidRDefault="00D178DD" w:rsidP="00D178DD">
            <w:pPr>
              <w:spacing w:before="0" w:line="276" w:lineRule="auto"/>
              <w:rPr>
                <w:rFonts w:eastAsia="Calibri"/>
                <w:sz w:val="18"/>
                <w:szCs w:val="18"/>
                <w:lang w:val="hy-AM"/>
              </w:rPr>
            </w:pPr>
          </w:p>
          <w:p w:rsidR="00D178DD" w:rsidRPr="00D178DD" w:rsidRDefault="00D178DD" w:rsidP="00D178DD">
            <w:pPr>
              <w:spacing w:before="0" w:line="276" w:lineRule="auto"/>
              <w:ind w:hanging="824"/>
              <w:rPr>
                <w:rFonts w:eastAsia="GHEA Grapalat" w:cs="GHEA Grapalat"/>
                <w:lang w:val="hy-AM"/>
              </w:rPr>
            </w:pPr>
          </w:p>
        </w:tc>
      </w:tr>
    </w:tbl>
    <w:p w:rsidR="00D178DD" w:rsidRPr="00D178DD" w:rsidRDefault="00D178DD" w:rsidP="00D178DD">
      <w:pPr>
        <w:spacing w:before="0"/>
        <w:rPr>
          <w:lang w:val="hy-AM"/>
        </w:rPr>
      </w:pPr>
    </w:p>
    <w:p w:rsidR="00D178DD" w:rsidRPr="00D178DD" w:rsidRDefault="00D178DD" w:rsidP="00D178DD">
      <w:pPr>
        <w:spacing w:before="0" w:line="259" w:lineRule="auto"/>
        <w:rPr>
          <w:b w:val="0"/>
          <w:bCs/>
          <w:color w:val="1F497D"/>
          <w:sz w:val="28"/>
          <w:szCs w:val="28"/>
        </w:rPr>
      </w:pPr>
    </w:p>
    <w:p w:rsidR="00D178DD" w:rsidRPr="00D178DD" w:rsidRDefault="00D178DD" w:rsidP="00D178DD">
      <w:pPr>
        <w:spacing w:before="0" w:line="259" w:lineRule="auto"/>
        <w:rPr>
          <w:b w:val="0"/>
          <w:bCs/>
          <w:color w:val="1F497D"/>
          <w:sz w:val="28"/>
          <w:szCs w:val="28"/>
        </w:rPr>
      </w:pPr>
    </w:p>
    <w:p w:rsidR="00D178DD" w:rsidRPr="00D178DD" w:rsidRDefault="00D178DD" w:rsidP="00D178DD">
      <w:pPr>
        <w:spacing w:before="0" w:line="259" w:lineRule="auto"/>
        <w:rPr>
          <w:b w:val="0"/>
          <w:bCs/>
          <w:color w:val="1F497D"/>
          <w:sz w:val="28"/>
          <w:szCs w:val="28"/>
        </w:rPr>
      </w:pPr>
    </w:p>
    <w:p w:rsidR="00D178DD" w:rsidRPr="00D178DD" w:rsidRDefault="00D178DD" w:rsidP="00D178DD">
      <w:pPr>
        <w:spacing w:before="0" w:line="259" w:lineRule="auto"/>
        <w:rPr>
          <w:b w:val="0"/>
          <w:bCs/>
          <w:color w:val="1F497D"/>
          <w:sz w:val="28"/>
          <w:szCs w:val="28"/>
        </w:rPr>
      </w:pPr>
    </w:p>
    <w:p w:rsidR="00D178DD" w:rsidRPr="00D178DD" w:rsidRDefault="00D178DD" w:rsidP="00D178DD">
      <w:pPr>
        <w:keepNext/>
        <w:tabs>
          <w:tab w:val="left" w:pos="567"/>
        </w:tabs>
        <w:spacing w:before="0" w:line="276" w:lineRule="auto"/>
        <w:ind w:firstLine="426"/>
        <w:jc w:val="center"/>
        <w:outlineLvl w:val="0"/>
        <w:rPr>
          <w:sz w:val="28"/>
          <w:szCs w:val="20"/>
          <w:lang w:val="hy-AM"/>
        </w:rPr>
      </w:pPr>
      <w:r w:rsidRPr="00D178DD">
        <w:rPr>
          <w:lang w:val="hy-AM"/>
        </w:rPr>
        <w:br w:type="page"/>
      </w:r>
      <w:bookmarkStart w:id="166" w:name="_Toc57655452"/>
      <w:bookmarkStart w:id="167" w:name="_Toc83199220"/>
      <w:bookmarkStart w:id="168" w:name="_Toc83972836"/>
      <w:bookmarkStart w:id="169" w:name="_Toc115686024"/>
      <w:bookmarkStart w:id="170" w:name="_Toc120805198"/>
      <w:r w:rsidRPr="00D178DD">
        <w:rPr>
          <w:sz w:val="28"/>
          <w:szCs w:val="20"/>
          <w:lang w:val="hy-AM"/>
        </w:rPr>
        <w:t>ՄԱՍ I-Գ</w:t>
      </w:r>
      <w:bookmarkStart w:id="171" w:name="_Toc46154350"/>
      <w:r w:rsidRPr="00D178DD">
        <w:rPr>
          <w:sz w:val="28"/>
          <w:szCs w:val="20"/>
          <w:lang w:val="hy-AM"/>
        </w:rPr>
        <w:t>. ՀԱՐԿԱԲՅՈՒՋԵՏԱՅԻՆ ՔԱՂԱՔԱԿԱՆՈՒԹՅԱՆ ՀԻՄՆԱԿԱՆ ՈՒՂՂՈՒԹՅՈՒՆՆԵՐԸ ԵՎ ԿԱՆԽԱՏԵՍՈՒՄՆԵՐԸ</w:t>
      </w:r>
      <w:bookmarkEnd w:id="166"/>
      <w:bookmarkEnd w:id="167"/>
      <w:bookmarkEnd w:id="168"/>
      <w:bookmarkEnd w:id="169"/>
      <w:bookmarkEnd w:id="171"/>
      <w:bookmarkEnd w:id="170"/>
    </w:p>
    <w:p w:rsidR="00D178DD" w:rsidRPr="00D178DD" w:rsidRDefault="00D178DD" w:rsidP="00D178DD">
      <w:pPr>
        <w:keepNext/>
        <w:tabs>
          <w:tab w:val="left" w:pos="567"/>
        </w:tabs>
        <w:spacing w:before="0" w:line="276" w:lineRule="auto"/>
        <w:ind w:firstLine="425"/>
        <w:rPr>
          <w:sz w:val="28"/>
          <w:szCs w:val="20"/>
          <w:lang w:val="hy-AM"/>
        </w:rPr>
      </w:pPr>
    </w:p>
    <w:p w:rsidR="00D178DD" w:rsidRPr="00D178DD" w:rsidRDefault="00D178DD" w:rsidP="00D178DD">
      <w:pPr>
        <w:keepNext/>
        <w:keepLines/>
        <w:spacing w:before="0" w:line="312" w:lineRule="auto"/>
        <w:ind w:firstLine="0"/>
        <w:outlineLvl w:val="2"/>
        <w:rPr>
          <w:sz w:val="24"/>
          <w:lang w:val="hy-AM" w:eastAsia="en-US"/>
        </w:rPr>
      </w:pPr>
      <w:bookmarkStart w:id="172" w:name="_Toc46154351"/>
      <w:bookmarkStart w:id="173" w:name="_Toc57655453"/>
      <w:bookmarkStart w:id="174" w:name="_Toc83199221"/>
      <w:bookmarkStart w:id="175" w:name="_Toc83972837"/>
      <w:bookmarkStart w:id="176" w:name="_Toc115686025"/>
      <w:bookmarkStart w:id="177" w:name="_Toc120805199"/>
      <w:r w:rsidRPr="00D178DD">
        <w:rPr>
          <w:sz w:val="24"/>
          <w:lang w:val="hy-AM" w:eastAsia="en-US"/>
        </w:rPr>
        <w:t xml:space="preserve">2.1. </w:t>
      </w:r>
      <w:bookmarkStart w:id="178" w:name="_Toc45838522"/>
      <w:r w:rsidRPr="00D178DD">
        <w:rPr>
          <w:sz w:val="24"/>
          <w:lang w:val="hy-AM" w:eastAsia="en-US"/>
        </w:rPr>
        <w:t>ՀԱՐԿԱԲՅՈՒՋԵՏԱՅԻՆ ԸՆԴՀԱՆՈՒՐ ԱԿՆԱՐԿ ԵՎ ՀԱՐԿԱԲՅՈՒՋԵՏԱՅԻՆ ՇՐՋԱՆԱԿ</w:t>
      </w:r>
      <w:bookmarkEnd w:id="172"/>
      <w:bookmarkEnd w:id="173"/>
      <w:bookmarkEnd w:id="174"/>
      <w:bookmarkEnd w:id="175"/>
      <w:bookmarkEnd w:id="176"/>
      <w:bookmarkEnd w:id="178"/>
      <w:bookmarkEnd w:id="177"/>
    </w:p>
    <w:p w:rsidR="00D178DD" w:rsidRPr="00D178DD" w:rsidRDefault="00D178DD" w:rsidP="00D178DD">
      <w:pPr>
        <w:numPr>
          <w:ilvl w:val="0"/>
          <w:numId w:val="26"/>
        </w:numPr>
        <w:spacing w:before="0" w:after="120" w:line="276" w:lineRule="auto"/>
        <w:ind w:left="540" w:hanging="270"/>
        <w:contextualSpacing w:val="0"/>
        <w:rPr>
          <w:rFonts w:cs="Arial"/>
          <w:b w:val="0"/>
          <w:szCs w:val="22"/>
          <w:lang w:val="hy-AM" w:eastAsia="en-US"/>
        </w:rPr>
      </w:pPr>
      <w:r w:rsidRPr="00D178DD">
        <w:rPr>
          <w:rFonts w:cs="Arial"/>
          <w:b w:val="0"/>
          <w:szCs w:val="22"/>
          <w:lang w:val="hy-AM" w:eastAsia="en-US"/>
        </w:rPr>
        <w:t xml:space="preserve">2021 թվականին տնտեսության վերականգնման պայմաններում հարկաբյուջետային քաղաքականության նպատակն է եղել ապահովել հարկաբյուջետային կայունությունը՝ միաժամանակ աջակցելով տնտեսական վերականգնմանը և պայմաններ ստեղծել ՀՀ կառավարության պարտքի նվազման համար։ Այդ նպատակով, ՀՀ </w:t>
      </w:r>
      <w:r w:rsidRPr="00D178DD">
        <w:rPr>
          <w:b w:val="0"/>
          <w:lang w:val="hy-AM"/>
        </w:rPr>
        <w:t>կառավարությունը, կիրառելով հարկաբյուջետային կանոններով սահմանված «բացառիկ դեպքերի» կարգավորումները, իրականացրել է հակապարբերաշրջանային հարկաբյուջետային քաղաքականություն, ինչի արդյունքում 2021 թվականին բյուջեի պակասուրդը նվազել է՝ մնալով պատմականից բարձր մակարդակում, իսկ ՀՀ կառավարության պարտք/ՀՆԱ ցուցանիշը կազմել է 60.3%՝ նախորդ տարվա նկատմամբ նվազելով 3.2 տոկոսային կետով</w:t>
      </w:r>
      <w:r w:rsidRPr="00D178DD">
        <w:rPr>
          <w:rFonts w:cs="Arial"/>
          <w:b w:val="0"/>
          <w:szCs w:val="22"/>
          <w:lang w:val="hy-AM" w:eastAsia="en-US"/>
        </w:rPr>
        <w:t>:</w:t>
      </w:r>
    </w:p>
    <w:p w:rsidR="00D178DD" w:rsidRPr="00D178DD" w:rsidRDefault="00D178DD" w:rsidP="00D178DD">
      <w:pPr>
        <w:numPr>
          <w:ilvl w:val="0"/>
          <w:numId w:val="26"/>
        </w:numPr>
        <w:spacing w:before="0" w:after="120" w:line="276" w:lineRule="auto"/>
        <w:ind w:left="540" w:hanging="270"/>
        <w:contextualSpacing w:val="0"/>
        <w:rPr>
          <w:rFonts w:cs="Arial"/>
          <w:b w:val="0"/>
          <w:szCs w:val="22"/>
          <w:lang w:val="hy-AM" w:eastAsia="en-US"/>
        </w:rPr>
      </w:pPr>
      <w:r w:rsidRPr="00D178DD">
        <w:rPr>
          <w:rFonts w:cs="Arial"/>
          <w:b w:val="0"/>
          <w:szCs w:val="22"/>
          <w:lang w:val="hy-AM" w:eastAsia="en-US"/>
        </w:rPr>
        <w:t>2022 թվականի առաջին կիսամյակում բարձր տնտեսական աճի պայմաններում հարկաբյուջետային քաղաքականությունն ամբողջական պահանջարկի վրա ունեցել է էական զսպող ազդեցութուն: Սպասվում է, որ բարձր տնտեսական աճի տեմպը կպահպանվի մինչև տարեվերջ, իսկ հարկաբյուջետային քաղաքականության  զսպող ազդեցությունը կպահպանվի:</w:t>
      </w:r>
    </w:p>
    <w:p w:rsidR="00D178DD" w:rsidRPr="00D178DD" w:rsidRDefault="00D178DD" w:rsidP="00D178DD">
      <w:pPr>
        <w:numPr>
          <w:ilvl w:val="0"/>
          <w:numId w:val="26"/>
        </w:numPr>
        <w:spacing w:before="0" w:after="120" w:line="276" w:lineRule="auto"/>
        <w:ind w:left="540" w:hanging="270"/>
        <w:contextualSpacing w:val="0"/>
        <w:rPr>
          <w:rFonts w:cs="Arial"/>
          <w:b w:val="0"/>
          <w:szCs w:val="22"/>
          <w:lang w:val="hy-AM" w:eastAsia="en-US"/>
        </w:rPr>
      </w:pPr>
      <w:r w:rsidRPr="00D178DD">
        <w:rPr>
          <w:rFonts w:cs="Arial"/>
          <w:b w:val="0"/>
          <w:szCs w:val="22"/>
          <w:lang w:val="hy-AM" w:eastAsia="en-US"/>
        </w:rPr>
        <w:t>2022 թվականի առաջին ութ ամիսներին հարկման բազաների բարձր աճի և 2021 թվականի հարկային օրենսդրության փոփոխությունների պայմաններում ՀՀ պետական բյուջեի հարկային եկամուտներն աճել են բարձր տեմպերով՝ շուրջ 25.2%-ով: Այդ պայմաններում, 2022թ. հարկային եկամուտների սպասվող ցուցաիշը ճշգրտվել է դեպի վեր՝ հասնելով 1,920 մլրդ դրամի, որի պայմաններում հարկեր/ՀՆԱ հարաբերակցությունը նախորդ տարվա համեմատ կբարելավվի 0.</w:t>
      </w:r>
      <w:r w:rsidR="00657E59">
        <w:rPr>
          <w:rFonts w:cs="Arial"/>
          <w:b w:val="0"/>
          <w:szCs w:val="22"/>
          <w:lang w:val="hy-AM" w:eastAsia="en-US"/>
        </w:rPr>
        <w:t>5</w:t>
      </w:r>
      <w:r w:rsidRPr="00D178DD">
        <w:rPr>
          <w:rFonts w:cs="Arial"/>
          <w:b w:val="0"/>
          <w:szCs w:val="22"/>
          <w:lang w:val="hy-AM" w:eastAsia="en-US"/>
        </w:rPr>
        <w:t xml:space="preserve"> տոկոսային կետով՝ հասնելով 23.2%-ի: </w:t>
      </w:r>
    </w:p>
    <w:p w:rsidR="00D178DD" w:rsidRPr="00D178DD" w:rsidRDefault="00D178DD" w:rsidP="00D178DD">
      <w:pPr>
        <w:numPr>
          <w:ilvl w:val="0"/>
          <w:numId w:val="26"/>
        </w:numPr>
        <w:spacing w:before="0" w:after="120" w:line="276" w:lineRule="auto"/>
        <w:ind w:left="540" w:hanging="270"/>
        <w:contextualSpacing w:val="0"/>
        <w:rPr>
          <w:rFonts w:cs="Arial"/>
          <w:b w:val="0"/>
          <w:szCs w:val="22"/>
          <w:lang w:val="hy-AM" w:eastAsia="en-US"/>
        </w:rPr>
      </w:pPr>
      <w:r w:rsidRPr="00D178DD">
        <w:rPr>
          <w:rFonts w:cs="Arial"/>
          <w:b w:val="0"/>
          <w:szCs w:val="22"/>
          <w:lang w:val="hy-AM" w:eastAsia="en-US"/>
        </w:rPr>
        <w:t>2023 թվականին բարձր տնտեսական աճի պայմաններում, կառավարությունը նախատեսում է իրականացնել հարկային վարչարարության բարելավմանն ուղղված միջոցառումներ, ինչպես նաև հարկային օրենսդրության բարեփոխումներ: Վերջիններիս արդյունքում ակնկալվում է ապահովել հարկեր/ՀՆԱ հարաբերակցության շուրջ 0.5 տոկոսային կետով բարելավում:</w:t>
      </w:r>
    </w:p>
    <w:p w:rsidR="00D178DD" w:rsidRPr="00D178DD" w:rsidRDefault="00D178DD" w:rsidP="00D178DD">
      <w:pPr>
        <w:numPr>
          <w:ilvl w:val="0"/>
          <w:numId w:val="26"/>
        </w:numPr>
        <w:autoSpaceDE w:val="0"/>
        <w:autoSpaceDN w:val="0"/>
        <w:adjustRightInd w:val="0"/>
        <w:spacing w:before="0" w:after="120" w:line="276" w:lineRule="auto"/>
        <w:ind w:left="540" w:hanging="270"/>
        <w:contextualSpacing w:val="0"/>
        <w:rPr>
          <w:rFonts w:cs="Arial"/>
          <w:b w:val="0"/>
          <w:szCs w:val="22"/>
          <w:lang w:val="hy-AM" w:eastAsia="en-US"/>
        </w:rPr>
      </w:pPr>
      <w:r w:rsidRPr="00D178DD">
        <w:rPr>
          <w:rFonts w:cs="Arial"/>
          <w:b w:val="0"/>
          <w:szCs w:val="22"/>
          <w:lang w:val="hy-AM" w:eastAsia="en-US"/>
        </w:rPr>
        <w:t>2023 թվականին հարկաբյուջետային քաղաքականությունը ՀՀ կառավարության 2021-2026թթ. ծրագրին համահունչ ուղղված կլինի թիրախավորված 7% տնտեսական աճի ապահովմանը՝ շեշտադրելով պետական ներդրումների մասնաբաժնի էական մեծացումը (կապիտալ ծախսերի կշիռը ՀՆԱ-ում հասցնելով 5.9%-ի) և ծախսերի իրականացման արդյունավետության բարձրացումը, ինչպես նաև՝ պարտքի կայունության պահպանմանը: Ընդ որում հարկաբյուջետային քաղաքականությունը ամբողջական պահանջարկի վրա 2023թ. կունենա չեզոք ազդեցություն և միաժամանակ կխթանի ներուժային տնտեսական աճը:</w:t>
      </w:r>
    </w:p>
    <w:p w:rsidR="00D178DD" w:rsidRPr="00D178DD" w:rsidRDefault="00D178DD" w:rsidP="00D178DD">
      <w:pPr>
        <w:numPr>
          <w:ilvl w:val="0"/>
          <w:numId w:val="26"/>
        </w:numPr>
        <w:spacing w:before="0" w:after="240" w:line="276" w:lineRule="auto"/>
        <w:ind w:left="540" w:hanging="270"/>
        <w:contextualSpacing w:val="0"/>
        <w:rPr>
          <w:rFonts w:cs="Arial"/>
          <w:b w:val="0"/>
          <w:szCs w:val="22"/>
          <w:lang w:val="hy-AM" w:eastAsia="en-US"/>
        </w:rPr>
      </w:pPr>
      <w:r w:rsidRPr="00D178DD">
        <w:rPr>
          <w:rFonts w:cs="Arial"/>
          <w:b w:val="0"/>
          <w:szCs w:val="22"/>
          <w:lang w:val="hy-AM" w:eastAsia="en-US"/>
        </w:rPr>
        <w:t>Տնտեսական աճի բարձր տեմպի ապահովման ռիսկերի առարկայացման, ինչպես նաև մակրոտնտեսական մյուս ցուցանիշների կանխատեսումների շեղումների պարագայում կարող են առաջանալ պետական բյուջեի հարկային եկամուտների՝ կանխատեսված մակարդակից դեպի ներքև շեղման, ինչպես նաև ծախսերի՝ դեպի վերև շեղման ռիսկեր, ինչի պայմաններում կառաջանա լրացուցիչ ֆինանսավորման կարիք, որը կարող է բավարարվել պահուստային ֆոնդի հաշվին: Բացի այդ, առկա են անորոշություններ նաև ՀՀ կառավարության պարտքի բեռի շուրջ, որոնց առարկայացումը պարտքի կայունության էական ռիսկեր չի ստեղծի: :</w:t>
      </w:r>
    </w:p>
    <w:p w:rsidR="00D178DD" w:rsidRPr="00D178DD" w:rsidRDefault="00D178DD" w:rsidP="00D178DD">
      <w:pPr>
        <w:spacing w:before="0" w:line="276" w:lineRule="auto"/>
        <w:ind w:firstLine="0"/>
        <w:contextualSpacing w:val="0"/>
        <w:rPr>
          <w:rFonts w:eastAsia="Calibri" w:cs="Arial"/>
          <w:b w:val="0"/>
          <w:bCs/>
          <w:i/>
          <w:iCs/>
          <w:sz w:val="20"/>
          <w:szCs w:val="20"/>
          <w:lang w:val="hy-AM" w:eastAsia="en-US"/>
        </w:rPr>
      </w:pPr>
      <w:r w:rsidRPr="00D178DD">
        <w:rPr>
          <w:rFonts w:eastAsia="Calibri" w:cs="Arial"/>
          <w:i/>
          <w:iCs/>
          <w:sz w:val="20"/>
          <w:szCs w:val="20"/>
          <w:lang w:val="hy-AM" w:eastAsia="en-US"/>
        </w:rPr>
        <w:t xml:space="preserve">Աղյուսակ 2.1. </w:t>
      </w:r>
      <w:r w:rsidRPr="00D178DD">
        <w:rPr>
          <w:rFonts w:eastAsia="Calibri" w:cs="Arial"/>
          <w:b w:val="0"/>
          <w:bCs/>
          <w:i/>
          <w:iCs/>
          <w:sz w:val="20"/>
          <w:szCs w:val="20"/>
          <w:lang w:val="hy-AM" w:eastAsia="en-US"/>
        </w:rPr>
        <w:t>2023թ. պետական բյուջեի հարկաբյուջետային շրջանակ</w:t>
      </w:r>
    </w:p>
    <w:tbl>
      <w:tblPr>
        <w:tblW w:w="10100" w:type="dxa"/>
        <w:tblLook w:val="04A0" w:firstRow="1" w:lastRow="0" w:firstColumn="1" w:lastColumn="0" w:noHBand="0" w:noVBand="1"/>
      </w:tblPr>
      <w:tblGrid>
        <w:gridCol w:w="4000"/>
        <w:gridCol w:w="1340"/>
        <w:gridCol w:w="1280"/>
        <w:gridCol w:w="1240"/>
        <w:gridCol w:w="1180"/>
        <w:gridCol w:w="1060"/>
      </w:tblGrid>
      <w:tr w:rsidR="00D178DD" w:rsidRPr="00D178DD" w:rsidTr="004B2286">
        <w:trPr>
          <w:trHeight w:val="360"/>
        </w:trPr>
        <w:tc>
          <w:tcPr>
            <w:tcW w:w="4000" w:type="dxa"/>
            <w:tcBorders>
              <w:top w:val="single" w:sz="12" w:space="0" w:color="5B9BD5"/>
              <w:left w:val="single" w:sz="12" w:space="0" w:color="5B9BD5"/>
              <w:bottom w:val="single" w:sz="8" w:space="0" w:color="FFFFFF"/>
              <w:right w:val="single" w:sz="8" w:space="0" w:color="FFFFFF"/>
            </w:tcBorders>
            <w:shd w:val="clear" w:color="000000" w:fill="5B9BD5"/>
            <w:noWrap/>
            <w:vAlign w:val="center"/>
            <w:hideMark/>
          </w:tcPr>
          <w:p w:rsidR="00D178DD" w:rsidRPr="00D178DD" w:rsidRDefault="00D178DD" w:rsidP="00D178DD">
            <w:pPr>
              <w:spacing w:before="0" w:line="240" w:lineRule="auto"/>
              <w:ind w:firstLine="0"/>
              <w:contextualSpacing w:val="0"/>
              <w:rPr>
                <w:rFonts w:ascii="Calibri" w:hAnsi="Calibri" w:cs="Calibri"/>
                <w:b w:val="0"/>
                <w:color w:val="FFFFFF"/>
                <w:szCs w:val="22"/>
                <w:lang w:val="hy-AM" w:eastAsia="en-US"/>
              </w:rPr>
            </w:pPr>
            <w:r w:rsidRPr="00D178DD">
              <w:rPr>
                <w:rFonts w:ascii="Calibri" w:hAnsi="Calibri" w:cs="Calibri"/>
                <w:b w:val="0"/>
                <w:color w:val="FFFFFF"/>
                <w:szCs w:val="22"/>
                <w:lang w:val="hy-AM" w:eastAsia="en-US"/>
              </w:rPr>
              <w:t> </w:t>
            </w:r>
          </w:p>
        </w:tc>
        <w:tc>
          <w:tcPr>
            <w:tcW w:w="1340" w:type="dxa"/>
            <w:tcBorders>
              <w:top w:val="single" w:sz="12" w:space="0" w:color="5B9BD5"/>
              <w:left w:val="nil"/>
              <w:bottom w:val="single" w:sz="8" w:space="0" w:color="FFFFFF"/>
              <w:right w:val="single" w:sz="8" w:space="0" w:color="FFFFFF"/>
            </w:tcBorders>
            <w:shd w:val="clear" w:color="000000" w:fill="5B9BD5"/>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2019</w:t>
            </w:r>
          </w:p>
        </w:tc>
        <w:tc>
          <w:tcPr>
            <w:tcW w:w="1280" w:type="dxa"/>
            <w:tcBorders>
              <w:top w:val="single" w:sz="12" w:space="0" w:color="5B9BD5"/>
              <w:left w:val="nil"/>
              <w:bottom w:val="single" w:sz="8" w:space="0" w:color="FFFFFF"/>
              <w:right w:val="single" w:sz="8" w:space="0" w:color="FFFFFF"/>
            </w:tcBorders>
            <w:shd w:val="clear" w:color="000000" w:fill="5B9BD5"/>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2020</w:t>
            </w:r>
          </w:p>
        </w:tc>
        <w:tc>
          <w:tcPr>
            <w:tcW w:w="1240" w:type="dxa"/>
            <w:tcBorders>
              <w:top w:val="single" w:sz="12" w:space="0" w:color="5B9BD5"/>
              <w:left w:val="nil"/>
              <w:bottom w:val="single" w:sz="8" w:space="0" w:color="FFFFFF"/>
              <w:right w:val="single" w:sz="8" w:space="0" w:color="FFFFFF"/>
            </w:tcBorders>
            <w:shd w:val="clear" w:color="000000" w:fill="5B9BD5"/>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2021</w:t>
            </w:r>
          </w:p>
        </w:tc>
        <w:tc>
          <w:tcPr>
            <w:tcW w:w="1180" w:type="dxa"/>
            <w:tcBorders>
              <w:top w:val="single" w:sz="12" w:space="0" w:color="5B9BD5"/>
              <w:left w:val="nil"/>
              <w:bottom w:val="single" w:sz="8" w:space="0" w:color="FFFFFF"/>
              <w:right w:val="single" w:sz="8" w:space="0" w:color="FFFFFF"/>
            </w:tcBorders>
            <w:shd w:val="clear" w:color="000000" w:fill="5B9BD5"/>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2022</w:t>
            </w:r>
          </w:p>
        </w:tc>
        <w:tc>
          <w:tcPr>
            <w:tcW w:w="1060" w:type="dxa"/>
            <w:tcBorders>
              <w:top w:val="single" w:sz="12" w:space="0" w:color="5B9BD5"/>
              <w:left w:val="nil"/>
              <w:bottom w:val="single" w:sz="8" w:space="0" w:color="FFFFFF"/>
              <w:right w:val="single" w:sz="8" w:space="0" w:color="FFFFFF"/>
            </w:tcBorders>
            <w:shd w:val="clear" w:color="000000" w:fill="5B9BD5"/>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2023</w:t>
            </w:r>
          </w:p>
        </w:tc>
      </w:tr>
      <w:tr w:rsidR="00D178DD" w:rsidRPr="00D178DD" w:rsidTr="004B2286">
        <w:trPr>
          <w:trHeight w:val="345"/>
        </w:trPr>
        <w:tc>
          <w:tcPr>
            <w:tcW w:w="4000" w:type="dxa"/>
            <w:tcBorders>
              <w:top w:val="nil"/>
              <w:left w:val="single" w:sz="12" w:space="0" w:color="5B9BD5"/>
              <w:bottom w:val="single" w:sz="8" w:space="0" w:color="5B9BD5"/>
              <w:right w:val="single" w:sz="8" w:space="0" w:color="FFFFFF"/>
            </w:tcBorders>
            <w:shd w:val="clear" w:color="000000" w:fill="5B9BD5"/>
            <w:noWrap/>
            <w:vAlign w:val="center"/>
            <w:hideMark/>
          </w:tcPr>
          <w:p w:rsidR="00D178DD" w:rsidRPr="00D178DD" w:rsidRDefault="00D178DD" w:rsidP="00D178DD">
            <w:pPr>
              <w:spacing w:before="0" w:line="240" w:lineRule="auto"/>
              <w:ind w:firstLine="0"/>
              <w:contextualSpacing w:val="0"/>
              <w:jc w:val="center"/>
              <w:rPr>
                <w:rFonts w:cs="Calibri"/>
                <w:b w:val="0"/>
                <w:i/>
                <w:iCs/>
                <w:color w:val="FFFFFF"/>
                <w:szCs w:val="22"/>
                <w:lang w:val="en-US" w:eastAsia="en-US"/>
              </w:rPr>
            </w:pPr>
            <w:r w:rsidRPr="00D178DD">
              <w:rPr>
                <w:rFonts w:cs="Calibri"/>
                <w:b w:val="0"/>
                <w:i/>
                <w:iCs/>
                <w:color w:val="FFFFFF"/>
                <w:szCs w:val="22"/>
                <w:lang w:val="en-US" w:eastAsia="en-US"/>
              </w:rPr>
              <w:t>մլրդ դրամ</w:t>
            </w:r>
          </w:p>
        </w:tc>
        <w:tc>
          <w:tcPr>
            <w:tcW w:w="3860" w:type="dxa"/>
            <w:gridSpan w:val="3"/>
            <w:tcBorders>
              <w:top w:val="single" w:sz="8" w:space="0" w:color="FFFFFF"/>
              <w:left w:val="nil"/>
              <w:bottom w:val="single" w:sz="8" w:space="0" w:color="5B9BD5"/>
              <w:right w:val="single" w:sz="8" w:space="0" w:color="FFFFFF"/>
            </w:tcBorders>
            <w:shd w:val="clear" w:color="000000" w:fill="5B9BD5"/>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Փաստացի</w:t>
            </w:r>
          </w:p>
        </w:tc>
        <w:tc>
          <w:tcPr>
            <w:tcW w:w="1180" w:type="dxa"/>
            <w:tcBorders>
              <w:top w:val="nil"/>
              <w:left w:val="nil"/>
              <w:bottom w:val="single" w:sz="8" w:space="0" w:color="5B9BD5"/>
              <w:right w:val="single" w:sz="8" w:space="0" w:color="FFFFFF"/>
            </w:tcBorders>
            <w:shd w:val="clear" w:color="000000" w:fill="5B9BD5"/>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Սպասում</w:t>
            </w:r>
          </w:p>
        </w:tc>
        <w:tc>
          <w:tcPr>
            <w:tcW w:w="1060" w:type="dxa"/>
            <w:tcBorders>
              <w:top w:val="nil"/>
              <w:left w:val="nil"/>
              <w:bottom w:val="single" w:sz="8" w:space="0" w:color="5B9BD5"/>
              <w:right w:val="single" w:sz="8" w:space="0" w:color="FFFFFF"/>
            </w:tcBorders>
            <w:shd w:val="clear" w:color="000000" w:fill="5B9BD5"/>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Բյուջե</w:t>
            </w:r>
          </w:p>
        </w:tc>
      </w:tr>
      <w:tr w:rsidR="00D178DD" w:rsidRPr="00D178DD" w:rsidTr="004B2286">
        <w:trPr>
          <w:trHeight w:val="345"/>
        </w:trPr>
        <w:tc>
          <w:tcPr>
            <w:tcW w:w="4000" w:type="dxa"/>
            <w:tcBorders>
              <w:top w:val="nil"/>
              <w:left w:val="single" w:sz="12" w:space="0" w:color="5B9BD5"/>
              <w:bottom w:val="single" w:sz="8" w:space="0" w:color="5B9BD5"/>
              <w:right w:val="single" w:sz="8" w:space="0" w:color="5B9BD5"/>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Cs/>
                <w:color w:val="000000"/>
                <w:szCs w:val="22"/>
                <w:lang w:val="en-US" w:eastAsia="en-US"/>
              </w:rPr>
            </w:pPr>
            <w:r w:rsidRPr="00D178DD">
              <w:rPr>
                <w:rFonts w:cs="Calibri"/>
                <w:bCs/>
                <w:color w:val="000000"/>
                <w:szCs w:val="22"/>
                <w:lang w:val="en-US" w:eastAsia="en-US"/>
              </w:rPr>
              <w:t>1</w:t>
            </w:r>
          </w:p>
        </w:tc>
        <w:tc>
          <w:tcPr>
            <w:tcW w:w="13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center"/>
              <w:rPr>
                <w:rFonts w:cs="Calibri"/>
                <w:bCs/>
                <w:color w:val="000000"/>
                <w:szCs w:val="22"/>
                <w:lang w:val="en-US" w:eastAsia="en-US"/>
              </w:rPr>
            </w:pPr>
            <w:r w:rsidRPr="00D178DD">
              <w:rPr>
                <w:rFonts w:cs="Calibri"/>
                <w:bCs/>
                <w:color w:val="000000"/>
                <w:szCs w:val="22"/>
                <w:lang w:val="en-US" w:eastAsia="en-US"/>
              </w:rPr>
              <w:t>2</w:t>
            </w:r>
          </w:p>
        </w:tc>
        <w:tc>
          <w:tcPr>
            <w:tcW w:w="1280" w:type="dxa"/>
            <w:tcBorders>
              <w:top w:val="nil"/>
              <w:left w:val="nil"/>
              <w:bottom w:val="single" w:sz="8" w:space="0" w:color="5B9BD5"/>
              <w:right w:val="single" w:sz="8" w:space="0" w:color="5B9BD5"/>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Cs/>
                <w:color w:val="000000"/>
                <w:szCs w:val="22"/>
                <w:lang w:val="en-US" w:eastAsia="en-US"/>
              </w:rPr>
            </w:pPr>
            <w:r w:rsidRPr="00D178DD">
              <w:rPr>
                <w:rFonts w:cs="Calibri"/>
                <w:bCs/>
                <w:color w:val="000000"/>
                <w:szCs w:val="22"/>
                <w:lang w:val="en-US" w:eastAsia="en-US"/>
              </w:rPr>
              <w:t>3</w:t>
            </w:r>
          </w:p>
        </w:tc>
        <w:tc>
          <w:tcPr>
            <w:tcW w:w="12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center"/>
              <w:rPr>
                <w:rFonts w:cs="Calibri"/>
                <w:bCs/>
                <w:color w:val="000000"/>
                <w:szCs w:val="22"/>
                <w:lang w:val="en-US" w:eastAsia="en-US"/>
              </w:rPr>
            </w:pPr>
            <w:r w:rsidRPr="00D178DD">
              <w:rPr>
                <w:rFonts w:cs="Calibri"/>
                <w:bCs/>
                <w:color w:val="000000"/>
                <w:szCs w:val="22"/>
                <w:lang w:val="en-US" w:eastAsia="en-US"/>
              </w:rPr>
              <w:t>4</w:t>
            </w:r>
          </w:p>
        </w:tc>
        <w:tc>
          <w:tcPr>
            <w:tcW w:w="118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center"/>
              <w:rPr>
                <w:rFonts w:cs="Calibri"/>
                <w:bCs/>
                <w:color w:val="000000"/>
                <w:szCs w:val="22"/>
                <w:lang w:val="en-US" w:eastAsia="en-US"/>
              </w:rPr>
            </w:pPr>
            <w:r w:rsidRPr="00D178DD">
              <w:rPr>
                <w:rFonts w:cs="Calibri"/>
                <w:bCs/>
                <w:color w:val="000000"/>
                <w:szCs w:val="22"/>
                <w:lang w:val="en-US" w:eastAsia="en-US"/>
              </w:rPr>
              <w:t>5</w:t>
            </w:r>
          </w:p>
        </w:tc>
        <w:tc>
          <w:tcPr>
            <w:tcW w:w="106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center"/>
              <w:rPr>
                <w:rFonts w:cs="Calibri"/>
                <w:bCs/>
                <w:color w:val="000000"/>
                <w:szCs w:val="22"/>
                <w:lang w:val="en-US" w:eastAsia="en-US"/>
              </w:rPr>
            </w:pPr>
            <w:r w:rsidRPr="00D178DD">
              <w:rPr>
                <w:rFonts w:cs="Calibri"/>
                <w:bCs/>
                <w:color w:val="000000"/>
                <w:szCs w:val="22"/>
                <w:lang w:val="en-US" w:eastAsia="en-US"/>
              </w:rPr>
              <w:t>6</w:t>
            </w:r>
          </w:p>
        </w:tc>
      </w:tr>
      <w:tr w:rsidR="00D178DD" w:rsidRPr="00D178DD" w:rsidTr="004B2286">
        <w:trPr>
          <w:trHeight w:val="345"/>
        </w:trPr>
        <w:tc>
          <w:tcPr>
            <w:tcW w:w="4000" w:type="dxa"/>
            <w:tcBorders>
              <w:top w:val="nil"/>
              <w:left w:val="single" w:sz="12" w:space="0" w:color="5B9BD5"/>
              <w:bottom w:val="single" w:sz="8" w:space="0" w:color="5B9BD5"/>
              <w:right w:val="single" w:sz="8" w:space="0" w:color="5B9BD5"/>
            </w:tcBorders>
            <w:shd w:val="clear" w:color="auto" w:fill="auto"/>
            <w:vAlign w:val="center"/>
            <w:hideMark/>
          </w:tcPr>
          <w:p w:rsidR="00D178DD" w:rsidRPr="00D178DD" w:rsidRDefault="00D178DD" w:rsidP="00D178DD">
            <w:pPr>
              <w:spacing w:before="0" w:line="240" w:lineRule="auto"/>
              <w:ind w:firstLine="0"/>
              <w:contextualSpacing w:val="0"/>
              <w:jc w:val="left"/>
              <w:rPr>
                <w:rFonts w:cs="Calibri"/>
                <w:bCs/>
                <w:color w:val="000000"/>
                <w:szCs w:val="22"/>
                <w:lang w:val="en-US" w:eastAsia="en-US"/>
              </w:rPr>
            </w:pPr>
            <w:r w:rsidRPr="00D178DD">
              <w:rPr>
                <w:rFonts w:cs="Calibri"/>
                <w:bCs/>
                <w:color w:val="000000"/>
                <w:szCs w:val="22"/>
                <w:lang w:val="en-US" w:eastAsia="en-US"/>
              </w:rPr>
              <w:t xml:space="preserve">Պետական բյուջեի եկամուտներ </w:t>
            </w:r>
          </w:p>
        </w:tc>
        <w:tc>
          <w:tcPr>
            <w:tcW w:w="13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1,565.5</w:t>
            </w:r>
          </w:p>
        </w:tc>
        <w:tc>
          <w:tcPr>
            <w:tcW w:w="128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1,560.7</w:t>
            </w:r>
          </w:p>
        </w:tc>
        <w:tc>
          <w:tcPr>
            <w:tcW w:w="12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1,683.8</w:t>
            </w:r>
          </w:p>
        </w:tc>
        <w:tc>
          <w:tcPr>
            <w:tcW w:w="118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2,042.5</w:t>
            </w:r>
          </w:p>
        </w:tc>
        <w:tc>
          <w:tcPr>
            <w:tcW w:w="106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822D2B">
            <w:pPr>
              <w:spacing w:before="0" w:line="240" w:lineRule="auto"/>
              <w:ind w:firstLine="0"/>
              <w:contextualSpacing w:val="0"/>
              <w:jc w:val="right"/>
              <w:rPr>
                <w:rFonts w:cs="Calibri"/>
                <w:bCs/>
                <w:color w:val="000000"/>
                <w:sz w:val="20"/>
                <w:szCs w:val="20"/>
                <w:lang w:val="hy-AM" w:eastAsia="en-US"/>
              </w:rPr>
            </w:pPr>
            <w:r w:rsidRPr="00D178DD">
              <w:rPr>
                <w:rFonts w:cs="Calibri"/>
                <w:bCs/>
                <w:color w:val="000000"/>
                <w:sz w:val="20"/>
                <w:szCs w:val="20"/>
                <w:lang w:val="en-US" w:eastAsia="en-US"/>
              </w:rPr>
              <w:t>2,30</w:t>
            </w:r>
            <w:r w:rsidRPr="00D178DD">
              <w:rPr>
                <w:rFonts w:cs="Calibri"/>
                <w:bCs/>
                <w:color w:val="000000"/>
                <w:sz w:val="20"/>
                <w:szCs w:val="20"/>
                <w:lang w:val="hy-AM" w:eastAsia="en-US"/>
              </w:rPr>
              <w:t>2</w:t>
            </w:r>
            <w:r w:rsidRPr="00D178DD">
              <w:rPr>
                <w:rFonts w:cs="Calibri"/>
                <w:bCs/>
                <w:color w:val="000000"/>
                <w:sz w:val="20"/>
                <w:szCs w:val="20"/>
                <w:lang w:val="en-US" w:eastAsia="en-US"/>
              </w:rPr>
              <w:t>.</w:t>
            </w:r>
            <w:r w:rsidRPr="00D178DD">
              <w:rPr>
                <w:rFonts w:cs="Calibri"/>
                <w:bCs/>
                <w:color w:val="000000"/>
                <w:sz w:val="20"/>
                <w:szCs w:val="20"/>
                <w:lang w:val="hy-AM" w:eastAsia="en-US"/>
              </w:rPr>
              <w:t>0</w:t>
            </w:r>
          </w:p>
        </w:tc>
      </w:tr>
      <w:tr w:rsidR="00D178DD" w:rsidRPr="00D178DD" w:rsidTr="004B2286">
        <w:trPr>
          <w:trHeight w:val="345"/>
        </w:trPr>
        <w:tc>
          <w:tcPr>
            <w:tcW w:w="4000" w:type="dxa"/>
            <w:tcBorders>
              <w:top w:val="nil"/>
              <w:left w:val="single" w:sz="12" w:space="0" w:color="5B9BD5"/>
              <w:bottom w:val="single" w:sz="8" w:space="0" w:color="5B9BD5"/>
              <w:right w:val="single" w:sz="8" w:space="0" w:color="5B9BD5"/>
            </w:tcBorders>
            <w:shd w:val="clear" w:color="auto" w:fill="auto"/>
            <w:vAlign w:val="center"/>
            <w:hideMark/>
          </w:tcPr>
          <w:p w:rsidR="00D178DD" w:rsidRPr="00D178DD" w:rsidRDefault="00D178DD" w:rsidP="00D178DD">
            <w:pPr>
              <w:spacing w:before="0" w:line="240" w:lineRule="auto"/>
              <w:ind w:firstLineChars="100" w:firstLine="220"/>
              <w:contextualSpacing w:val="0"/>
              <w:jc w:val="left"/>
              <w:rPr>
                <w:rFonts w:cs="Calibri"/>
                <w:b w:val="0"/>
                <w:color w:val="000000"/>
                <w:szCs w:val="22"/>
                <w:lang w:val="en-US" w:eastAsia="en-US"/>
              </w:rPr>
            </w:pPr>
            <w:r w:rsidRPr="00D178DD">
              <w:rPr>
                <w:rFonts w:cs="Calibri"/>
                <w:b w:val="0"/>
                <w:color w:val="000000"/>
                <w:szCs w:val="22"/>
                <w:lang w:val="en-US" w:eastAsia="en-US"/>
              </w:rPr>
              <w:t>Հարկային եկամուտներ և տուրքեր</w:t>
            </w:r>
          </w:p>
        </w:tc>
        <w:tc>
          <w:tcPr>
            <w:tcW w:w="13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1,464.3</w:t>
            </w:r>
          </w:p>
        </w:tc>
        <w:tc>
          <w:tcPr>
            <w:tcW w:w="128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1,385.2</w:t>
            </w:r>
          </w:p>
        </w:tc>
        <w:tc>
          <w:tcPr>
            <w:tcW w:w="12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1,586.9</w:t>
            </w:r>
          </w:p>
        </w:tc>
        <w:tc>
          <w:tcPr>
            <w:tcW w:w="118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1,920.0</w:t>
            </w:r>
          </w:p>
        </w:tc>
        <w:tc>
          <w:tcPr>
            <w:tcW w:w="106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2,203.7</w:t>
            </w:r>
          </w:p>
        </w:tc>
      </w:tr>
      <w:tr w:rsidR="00D178DD" w:rsidRPr="00D178DD" w:rsidTr="004B2286">
        <w:trPr>
          <w:trHeight w:val="345"/>
        </w:trPr>
        <w:tc>
          <w:tcPr>
            <w:tcW w:w="4000" w:type="dxa"/>
            <w:tcBorders>
              <w:top w:val="nil"/>
              <w:left w:val="single" w:sz="12" w:space="0" w:color="5B9BD5"/>
              <w:bottom w:val="single" w:sz="8" w:space="0" w:color="5B9BD5"/>
              <w:right w:val="single" w:sz="8" w:space="0" w:color="5B9BD5"/>
            </w:tcBorders>
            <w:shd w:val="clear" w:color="auto" w:fill="auto"/>
            <w:vAlign w:val="center"/>
            <w:hideMark/>
          </w:tcPr>
          <w:p w:rsidR="00D178DD" w:rsidRPr="00D178DD" w:rsidRDefault="00D178DD" w:rsidP="00D178DD">
            <w:pPr>
              <w:spacing w:before="0" w:line="240" w:lineRule="auto"/>
              <w:ind w:firstLine="0"/>
              <w:contextualSpacing w:val="0"/>
              <w:jc w:val="left"/>
              <w:rPr>
                <w:rFonts w:cs="Calibri"/>
                <w:bCs/>
                <w:color w:val="000000"/>
                <w:szCs w:val="22"/>
                <w:lang w:val="en-US" w:eastAsia="en-US"/>
              </w:rPr>
            </w:pPr>
            <w:r w:rsidRPr="00D178DD">
              <w:rPr>
                <w:rFonts w:cs="Calibri"/>
                <w:bCs/>
                <w:color w:val="000000"/>
                <w:szCs w:val="22"/>
                <w:lang w:val="en-US" w:eastAsia="en-US"/>
              </w:rPr>
              <w:t>Պետական բյուջեի ծախսեր</w:t>
            </w:r>
          </w:p>
        </w:tc>
        <w:tc>
          <w:tcPr>
            <w:tcW w:w="13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1,629.4</w:t>
            </w:r>
          </w:p>
        </w:tc>
        <w:tc>
          <w:tcPr>
            <w:tcW w:w="128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1,894.6</w:t>
            </w:r>
          </w:p>
        </w:tc>
        <w:tc>
          <w:tcPr>
            <w:tcW w:w="12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2,004.3</w:t>
            </w:r>
          </w:p>
        </w:tc>
        <w:tc>
          <w:tcPr>
            <w:tcW w:w="118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2,246.7</w:t>
            </w:r>
          </w:p>
        </w:tc>
        <w:tc>
          <w:tcPr>
            <w:tcW w:w="106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F874E0">
            <w:pPr>
              <w:spacing w:before="0" w:line="240" w:lineRule="auto"/>
              <w:ind w:firstLine="0"/>
              <w:contextualSpacing w:val="0"/>
              <w:jc w:val="right"/>
              <w:rPr>
                <w:rFonts w:cs="Calibri"/>
                <w:bCs/>
                <w:color w:val="000000"/>
                <w:sz w:val="20"/>
                <w:szCs w:val="20"/>
                <w:lang w:val="hy-AM" w:eastAsia="en-US"/>
              </w:rPr>
            </w:pPr>
            <w:r w:rsidRPr="00D178DD">
              <w:rPr>
                <w:rFonts w:cs="Calibri"/>
                <w:bCs/>
                <w:color w:val="000000"/>
                <w:sz w:val="20"/>
                <w:szCs w:val="20"/>
                <w:lang w:val="en-US" w:eastAsia="en-US"/>
              </w:rPr>
              <w:t>2,59</w:t>
            </w:r>
            <w:r w:rsidRPr="00D178DD">
              <w:rPr>
                <w:rFonts w:cs="Calibri"/>
                <w:bCs/>
                <w:color w:val="000000"/>
                <w:sz w:val="20"/>
                <w:szCs w:val="20"/>
                <w:lang w:val="hy-AM" w:eastAsia="en-US"/>
              </w:rPr>
              <w:t>1</w:t>
            </w:r>
            <w:r w:rsidRPr="00D178DD">
              <w:rPr>
                <w:rFonts w:cs="Calibri"/>
                <w:bCs/>
                <w:color w:val="000000"/>
                <w:sz w:val="20"/>
                <w:szCs w:val="20"/>
                <w:lang w:val="en-US" w:eastAsia="en-US"/>
              </w:rPr>
              <w:t>.</w:t>
            </w:r>
            <w:r w:rsidRPr="00D178DD">
              <w:rPr>
                <w:rFonts w:cs="Calibri"/>
                <w:bCs/>
                <w:color w:val="000000"/>
                <w:sz w:val="20"/>
                <w:szCs w:val="20"/>
                <w:lang w:val="hy-AM" w:eastAsia="en-US"/>
              </w:rPr>
              <w:t>0</w:t>
            </w:r>
          </w:p>
        </w:tc>
      </w:tr>
      <w:tr w:rsidR="00D178DD" w:rsidRPr="00D178DD" w:rsidTr="004B2286">
        <w:trPr>
          <w:trHeight w:val="345"/>
        </w:trPr>
        <w:tc>
          <w:tcPr>
            <w:tcW w:w="4000" w:type="dxa"/>
            <w:tcBorders>
              <w:top w:val="nil"/>
              <w:left w:val="single" w:sz="12" w:space="0" w:color="5B9BD5"/>
              <w:bottom w:val="single" w:sz="8" w:space="0" w:color="5B9BD5"/>
              <w:right w:val="single" w:sz="8" w:space="0" w:color="5B9BD5"/>
            </w:tcBorders>
            <w:shd w:val="clear" w:color="auto" w:fill="auto"/>
            <w:vAlign w:val="center"/>
            <w:hideMark/>
          </w:tcPr>
          <w:p w:rsidR="00D178DD" w:rsidRPr="00D178DD" w:rsidRDefault="00D178DD" w:rsidP="00D178DD">
            <w:pPr>
              <w:spacing w:before="0" w:line="240" w:lineRule="auto"/>
              <w:ind w:firstLineChars="100" w:firstLine="220"/>
              <w:contextualSpacing w:val="0"/>
              <w:jc w:val="left"/>
              <w:rPr>
                <w:rFonts w:cs="Calibri"/>
                <w:b w:val="0"/>
                <w:color w:val="000000"/>
                <w:szCs w:val="22"/>
                <w:lang w:val="en-US" w:eastAsia="en-US"/>
              </w:rPr>
            </w:pPr>
            <w:r w:rsidRPr="00D178DD">
              <w:rPr>
                <w:rFonts w:cs="Calibri"/>
                <w:b w:val="0"/>
                <w:color w:val="000000"/>
                <w:szCs w:val="22"/>
                <w:lang w:val="en-US" w:eastAsia="en-US"/>
              </w:rPr>
              <w:t>Ընթացիկ ծախսեր</w:t>
            </w:r>
          </w:p>
        </w:tc>
        <w:tc>
          <w:tcPr>
            <w:tcW w:w="13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1,437.1</w:t>
            </w:r>
          </w:p>
        </w:tc>
        <w:tc>
          <w:tcPr>
            <w:tcW w:w="128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1,668.5</w:t>
            </w:r>
          </w:p>
        </w:tc>
        <w:tc>
          <w:tcPr>
            <w:tcW w:w="12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1,788.0</w:t>
            </w:r>
          </w:p>
        </w:tc>
        <w:tc>
          <w:tcPr>
            <w:tcW w:w="118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1,857.0</w:t>
            </w:r>
          </w:p>
        </w:tc>
        <w:tc>
          <w:tcPr>
            <w:tcW w:w="106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F874E0">
            <w:pPr>
              <w:spacing w:before="0" w:line="240" w:lineRule="auto"/>
              <w:ind w:firstLine="0"/>
              <w:contextualSpacing w:val="0"/>
              <w:jc w:val="right"/>
              <w:rPr>
                <w:rFonts w:cs="Calibri"/>
                <w:b w:val="0"/>
                <w:color w:val="000000"/>
                <w:sz w:val="20"/>
                <w:szCs w:val="20"/>
                <w:lang w:val="hy-AM" w:eastAsia="en-US"/>
              </w:rPr>
            </w:pPr>
            <w:r w:rsidRPr="00D178DD">
              <w:rPr>
                <w:rFonts w:cs="Calibri"/>
                <w:b w:val="0"/>
                <w:color w:val="000000"/>
                <w:sz w:val="20"/>
                <w:szCs w:val="20"/>
                <w:lang w:val="en-US" w:eastAsia="en-US"/>
              </w:rPr>
              <w:t>2,04</w:t>
            </w:r>
            <w:r w:rsidRPr="00D178DD">
              <w:rPr>
                <w:rFonts w:cs="Calibri"/>
                <w:b w:val="0"/>
                <w:color w:val="000000"/>
                <w:sz w:val="20"/>
                <w:szCs w:val="20"/>
                <w:lang w:val="hy-AM" w:eastAsia="en-US"/>
              </w:rPr>
              <w:t>3</w:t>
            </w:r>
            <w:r w:rsidRPr="00D178DD">
              <w:rPr>
                <w:rFonts w:cs="Calibri"/>
                <w:b w:val="0"/>
                <w:color w:val="000000"/>
                <w:sz w:val="20"/>
                <w:szCs w:val="20"/>
                <w:lang w:val="en-US" w:eastAsia="en-US"/>
              </w:rPr>
              <w:t>.</w:t>
            </w:r>
            <w:r w:rsidRPr="00D178DD">
              <w:rPr>
                <w:rFonts w:cs="Calibri"/>
                <w:b w:val="0"/>
                <w:color w:val="000000"/>
                <w:sz w:val="20"/>
                <w:szCs w:val="20"/>
                <w:lang w:val="hy-AM" w:eastAsia="en-US"/>
              </w:rPr>
              <w:t>3</w:t>
            </w:r>
          </w:p>
        </w:tc>
      </w:tr>
      <w:tr w:rsidR="00D178DD" w:rsidRPr="00D178DD" w:rsidTr="004B2286">
        <w:trPr>
          <w:trHeight w:val="675"/>
        </w:trPr>
        <w:tc>
          <w:tcPr>
            <w:tcW w:w="4000" w:type="dxa"/>
            <w:tcBorders>
              <w:top w:val="nil"/>
              <w:left w:val="single" w:sz="12" w:space="0" w:color="5B9BD5"/>
              <w:bottom w:val="nil"/>
              <w:right w:val="single" w:sz="8" w:space="0" w:color="5B9BD5"/>
            </w:tcBorders>
            <w:shd w:val="clear" w:color="auto" w:fill="auto"/>
            <w:vAlign w:val="center"/>
            <w:hideMark/>
          </w:tcPr>
          <w:p w:rsidR="00D178DD" w:rsidRPr="00D178DD" w:rsidRDefault="00D178DD" w:rsidP="00D178DD">
            <w:pPr>
              <w:spacing w:before="0" w:line="240" w:lineRule="auto"/>
              <w:ind w:firstLineChars="100" w:firstLine="220"/>
              <w:contextualSpacing w:val="0"/>
              <w:jc w:val="left"/>
              <w:rPr>
                <w:rFonts w:cs="Calibri"/>
                <w:b w:val="0"/>
                <w:color w:val="000000"/>
                <w:szCs w:val="22"/>
                <w:lang w:eastAsia="en-US"/>
              </w:rPr>
            </w:pPr>
            <w:r w:rsidRPr="00D178DD">
              <w:rPr>
                <w:rFonts w:cs="Calibri"/>
                <w:b w:val="0"/>
                <w:color w:val="000000"/>
                <w:szCs w:val="22"/>
                <w:lang w:val="en-US" w:eastAsia="en-US"/>
              </w:rPr>
              <w:t>Ոչ</w:t>
            </w:r>
            <w:r w:rsidRPr="00D178DD">
              <w:rPr>
                <w:rFonts w:cs="Calibri"/>
                <w:b w:val="0"/>
                <w:color w:val="000000"/>
                <w:szCs w:val="22"/>
                <w:lang w:eastAsia="en-US"/>
              </w:rPr>
              <w:t xml:space="preserve"> </w:t>
            </w:r>
            <w:r w:rsidRPr="00D178DD">
              <w:rPr>
                <w:rFonts w:cs="Calibri"/>
                <w:b w:val="0"/>
                <w:color w:val="000000"/>
                <w:szCs w:val="22"/>
                <w:lang w:val="en-US" w:eastAsia="en-US"/>
              </w:rPr>
              <w:t>ֆինանսական</w:t>
            </w:r>
            <w:r w:rsidRPr="00D178DD">
              <w:rPr>
                <w:rFonts w:cs="Calibri"/>
                <w:b w:val="0"/>
                <w:color w:val="000000"/>
                <w:szCs w:val="22"/>
                <w:lang w:eastAsia="en-US"/>
              </w:rPr>
              <w:t xml:space="preserve"> </w:t>
            </w:r>
            <w:r w:rsidRPr="00D178DD">
              <w:rPr>
                <w:rFonts w:cs="Calibri"/>
                <w:b w:val="0"/>
                <w:color w:val="000000"/>
                <w:szCs w:val="22"/>
                <w:lang w:val="en-US" w:eastAsia="en-US"/>
              </w:rPr>
              <w:t>ակտիվների</w:t>
            </w:r>
            <w:r w:rsidRPr="00D178DD">
              <w:rPr>
                <w:rFonts w:cs="Calibri"/>
                <w:b w:val="0"/>
                <w:color w:val="000000"/>
                <w:szCs w:val="22"/>
                <w:lang w:eastAsia="en-US"/>
              </w:rPr>
              <w:t xml:space="preserve"> </w:t>
            </w:r>
            <w:r w:rsidRPr="00D178DD">
              <w:rPr>
                <w:rFonts w:cs="Calibri"/>
                <w:b w:val="0"/>
                <w:color w:val="000000"/>
                <w:szCs w:val="22"/>
                <w:lang w:val="en-US" w:eastAsia="en-US"/>
              </w:rPr>
              <w:t>հետ</w:t>
            </w:r>
            <w:r w:rsidRPr="00D178DD">
              <w:rPr>
                <w:rFonts w:cs="Calibri"/>
                <w:b w:val="0"/>
                <w:color w:val="000000"/>
                <w:szCs w:val="22"/>
                <w:lang w:eastAsia="en-US"/>
              </w:rPr>
              <w:t xml:space="preserve"> </w:t>
            </w:r>
            <w:r w:rsidRPr="00D178DD">
              <w:rPr>
                <w:rFonts w:cs="Calibri"/>
                <w:b w:val="0"/>
                <w:color w:val="000000"/>
                <w:szCs w:val="22"/>
                <w:lang w:val="en-US" w:eastAsia="en-US"/>
              </w:rPr>
              <w:t>գործառնություններ</w:t>
            </w:r>
          </w:p>
        </w:tc>
        <w:tc>
          <w:tcPr>
            <w:tcW w:w="13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192.3</w:t>
            </w:r>
          </w:p>
        </w:tc>
        <w:tc>
          <w:tcPr>
            <w:tcW w:w="128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226.2</w:t>
            </w:r>
          </w:p>
        </w:tc>
        <w:tc>
          <w:tcPr>
            <w:tcW w:w="12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216.3</w:t>
            </w:r>
          </w:p>
        </w:tc>
        <w:tc>
          <w:tcPr>
            <w:tcW w:w="118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389.7</w:t>
            </w:r>
          </w:p>
        </w:tc>
        <w:tc>
          <w:tcPr>
            <w:tcW w:w="106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547.7</w:t>
            </w:r>
          </w:p>
        </w:tc>
      </w:tr>
      <w:tr w:rsidR="00D178DD" w:rsidRPr="00D178DD" w:rsidTr="004B2286">
        <w:trPr>
          <w:trHeight w:val="675"/>
        </w:trPr>
        <w:tc>
          <w:tcPr>
            <w:tcW w:w="4000" w:type="dxa"/>
            <w:tcBorders>
              <w:top w:val="single" w:sz="8" w:space="0" w:color="5B9BD5"/>
              <w:left w:val="single" w:sz="12" w:space="0" w:color="5B9BD5"/>
              <w:bottom w:val="nil"/>
              <w:right w:val="single" w:sz="8" w:space="0" w:color="5B9BD5"/>
            </w:tcBorders>
            <w:shd w:val="clear" w:color="auto" w:fill="auto"/>
            <w:vAlign w:val="center"/>
            <w:hideMark/>
          </w:tcPr>
          <w:p w:rsidR="00D178DD" w:rsidRPr="00D178DD" w:rsidRDefault="00D178DD" w:rsidP="00D178DD">
            <w:pPr>
              <w:spacing w:before="0" w:line="240" w:lineRule="auto"/>
              <w:ind w:firstLine="0"/>
              <w:contextualSpacing w:val="0"/>
              <w:jc w:val="left"/>
              <w:rPr>
                <w:rFonts w:cs="Calibri"/>
                <w:bCs/>
                <w:color w:val="000000"/>
                <w:szCs w:val="22"/>
                <w:lang w:val="en-US" w:eastAsia="en-US"/>
              </w:rPr>
            </w:pPr>
            <w:r w:rsidRPr="00D178DD">
              <w:rPr>
                <w:rFonts w:cs="Calibri"/>
                <w:bCs/>
                <w:color w:val="000000"/>
                <w:szCs w:val="22"/>
                <w:lang w:val="en-US" w:eastAsia="en-US"/>
              </w:rPr>
              <w:t>Պետական բյուջեի պակասուրդ(-) / պրոֆիցիտ (+)</w:t>
            </w:r>
          </w:p>
        </w:tc>
        <w:tc>
          <w:tcPr>
            <w:tcW w:w="13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-64.0</w:t>
            </w:r>
          </w:p>
        </w:tc>
        <w:tc>
          <w:tcPr>
            <w:tcW w:w="128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-334.0</w:t>
            </w:r>
          </w:p>
        </w:tc>
        <w:tc>
          <w:tcPr>
            <w:tcW w:w="12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-320.5</w:t>
            </w:r>
          </w:p>
        </w:tc>
        <w:tc>
          <w:tcPr>
            <w:tcW w:w="118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-204.2</w:t>
            </w:r>
          </w:p>
        </w:tc>
        <w:tc>
          <w:tcPr>
            <w:tcW w:w="106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-288.9</w:t>
            </w:r>
          </w:p>
        </w:tc>
      </w:tr>
      <w:tr w:rsidR="00D178DD" w:rsidRPr="00D178DD" w:rsidTr="004B2286">
        <w:trPr>
          <w:trHeight w:val="345"/>
        </w:trPr>
        <w:tc>
          <w:tcPr>
            <w:tcW w:w="4000" w:type="dxa"/>
            <w:tcBorders>
              <w:top w:val="single" w:sz="8" w:space="0" w:color="5B9BD5"/>
              <w:left w:val="single" w:sz="12" w:space="0" w:color="5B9BD5"/>
              <w:bottom w:val="nil"/>
              <w:right w:val="nil"/>
            </w:tcBorders>
            <w:shd w:val="clear" w:color="auto" w:fill="auto"/>
            <w:vAlign w:val="center"/>
            <w:hideMark/>
          </w:tcPr>
          <w:p w:rsidR="00D178DD" w:rsidRPr="00D178DD" w:rsidRDefault="00D178DD" w:rsidP="00D178DD">
            <w:pPr>
              <w:spacing w:before="0" w:line="240" w:lineRule="auto"/>
              <w:ind w:firstLine="0"/>
              <w:contextualSpacing w:val="0"/>
              <w:jc w:val="left"/>
              <w:rPr>
                <w:rFonts w:cs="Calibri"/>
                <w:bCs/>
                <w:color w:val="000000"/>
                <w:szCs w:val="22"/>
                <w:lang w:val="en-US" w:eastAsia="en-US"/>
              </w:rPr>
            </w:pPr>
            <w:r w:rsidRPr="00D178DD">
              <w:rPr>
                <w:rFonts w:cs="Calibri"/>
                <w:bCs/>
                <w:color w:val="000000"/>
                <w:szCs w:val="22"/>
                <w:lang w:val="en-US" w:eastAsia="en-US"/>
              </w:rPr>
              <w:t>Կառավարության պարտք</w:t>
            </w:r>
          </w:p>
        </w:tc>
        <w:tc>
          <w:tcPr>
            <w:tcW w:w="13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3,277.3</w:t>
            </w:r>
          </w:p>
        </w:tc>
        <w:tc>
          <w:tcPr>
            <w:tcW w:w="128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3,923.9</w:t>
            </w:r>
          </w:p>
        </w:tc>
        <w:tc>
          <w:tcPr>
            <w:tcW w:w="12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4,209.8</w:t>
            </w:r>
          </w:p>
        </w:tc>
        <w:tc>
          <w:tcPr>
            <w:tcW w:w="118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4,232.0</w:t>
            </w:r>
          </w:p>
        </w:tc>
        <w:tc>
          <w:tcPr>
            <w:tcW w:w="106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4,625.0</w:t>
            </w:r>
          </w:p>
        </w:tc>
      </w:tr>
      <w:tr w:rsidR="00D178DD" w:rsidRPr="00D178DD" w:rsidTr="004B2286">
        <w:trPr>
          <w:trHeight w:val="315"/>
        </w:trPr>
        <w:tc>
          <w:tcPr>
            <w:tcW w:w="7860" w:type="dxa"/>
            <w:gridSpan w:val="4"/>
            <w:tcBorders>
              <w:top w:val="single" w:sz="8" w:space="0" w:color="5B9BD5"/>
              <w:left w:val="single" w:sz="12" w:space="0" w:color="5B9BD5"/>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center"/>
              <w:rPr>
                <w:rFonts w:cs="Calibri"/>
                <w:b w:val="0"/>
                <w:i/>
                <w:iCs/>
                <w:color w:val="000000"/>
                <w:sz w:val="20"/>
                <w:szCs w:val="20"/>
                <w:lang w:val="en-US" w:eastAsia="en-US"/>
              </w:rPr>
            </w:pPr>
            <w:r w:rsidRPr="00D178DD">
              <w:rPr>
                <w:rFonts w:cs="Calibri"/>
                <w:b w:val="0"/>
                <w:i/>
                <w:iCs/>
                <w:color w:val="000000"/>
                <w:sz w:val="20"/>
                <w:szCs w:val="20"/>
                <w:lang w:val="en-US" w:eastAsia="en-US"/>
              </w:rPr>
              <w:t>կշիռը ՀՆԱ-ում, %</w:t>
            </w:r>
          </w:p>
        </w:tc>
        <w:tc>
          <w:tcPr>
            <w:tcW w:w="118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 w:val="20"/>
                <w:szCs w:val="20"/>
                <w:lang w:val="en-US" w:eastAsia="en-US"/>
              </w:rPr>
            </w:pPr>
            <w:r w:rsidRPr="00D178DD">
              <w:rPr>
                <w:rFonts w:ascii="Calibri" w:hAnsi="Calibri" w:cs="Calibri"/>
                <w:b w:val="0"/>
                <w:color w:val="000000"/>
                <w:sz w:val="20"/>
                <w:szCs w:val="20"/>
                <w:lang w:val="en-US" w:eastAsia="en-US"/>
              </w:rPr>
              <w:t> </w:t>
            </w:r>
          </w:p>
        </w:tc>
        <w:tc>
          <w:tcPr>
            <w:tcW w:w="106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 w:val="20"/>
                <w:szCs w:val="20"/>
                <w:lang w:val="en-US" w:eastAsia="en-US"/>
              </w:rPr>
            </w:pPr>
            <w:r w:rsidRPr="00D178DD">
              <w:rPr>
                <w:rFonts w:ascii="Calibri" w:hAnsi="Calibri" w:cs="Calibri"/>
                <w:b w:val="0"/>
                <w:color w:val="000000"/>
                <w:sz w:val="20"/>
                <w:szCs w:val="20"/>
                <w:lang w:val="en-US" w:eastAsia="en-US"/>
              </w:rPr>
              <w:t> </w:t>
            </w:r>
          </w:p>
        </w:tc>
      </w:tr>
      <w:tr w:rsidR="00D178DD" w:rsidRPr="00D178DD" w:rsidTr="004B2286">
        <w:trPr>
          <w:trHeight w:val="345"/>
        </w:trPr>
        <w:tc>
          <w:tcPr>
            <w:tcW w:w="4000" w:type="dxa"/>
            <w:tcBorders>
              <w:top w:val="nil"/>
              <w:left w:val="single" w:sz="12" w:space="0" w:color="5B9BD5"/>
              <w:bottom w:val="single" w:sz="12" w:space="0" w:color="8EA9DB"/>
              <w:right w:val="single" w:sz="8" w:space="0" w:color="5B9BD5"/>
            </w:tcBorders>
            <w:shd w:val="clear" w:color="auto" w:fill="auto"/>
            <w:vAlign w:val="center"/>
            <w:hideMark/>
          </w:tcPr>
          <w:p w:rsidR="00D178DD" w:rsidRPr="00D178DD" w:rsidRDefault="00D178DD" w:rsidP="00D178DD">
            <w:pPr>
              <w:spacing w:before="0" w:line="240" w:lineRule="auto"/>
              <w:ind w:firstLine="0"/>
              <w:contextualSpacing w:val="0"/>
              <w:jc w:val="left"/>
              <w:rPr>
                <w:rFonts w:cs="Calibri"/>
                <w:bCs/>
                <w:color w:val="000000"/>
                <w:szCs w:val="22"/>
                <w:lang w:val="en-US" w:eastAsia="en-US"/>
              </w:rPr>
            </w:pPr>
            <w:r w:rsidRPr="00D178DD">
              <w:rPr>
                <w:rFonts w:cs="Calibri"/>
                <w:bCs/>
                <w:color w:val="000000"/>
                <w:szCs w:val="22"/>
                <w:lang w:val="en-US" w:eastAsia="en-US"/>
              </w:rPr>
              <w:t>Պետական բյուջեի եկամուտներ</w:t>
            </w:r>
          </w:p>
        </w:tc>
        <w:tc>
          <w:tcPr>
            <w:tcW w:w="1340" w:type="dxa"/>
            <w:tcBorders>
              <w:top w:val="nil"/>
              <w:left w:val="nil"/>
              <w:bottom w:val="single" w:sz="12" w:space="0" w:color="8EA9DB"/>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23.9</w:t>
            </w:r>
          </w:p>
        </w:tc>
        <w:tc>
          <w:tcPr>
            <w:tcW w:w="1280" w:type="dxa"/>
            <w:tcBorders>
              <w:top w:val="nil"/>
              <w:left w:val="nil"/>
              <w:bottom w:val="single" w:sz="12" w:space="0" w:color="8EA9DB"/>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25.2</w:t>
            </w:r>
          </w:p>
        </w:tc>
        <w:tc>
          <w:tcPr>
            <w:tcW w:w="1240" w:type="dxa"/>
            <w:tcBorders>
              <w:top w:val="nil"/>
              <w:left w:val="nil"/>
              <w:bottom w:val="single" w:sz="12" w:space="0" w:color="8EA9DB"/>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24.1</w:t>
            </w:r>
          </w:p>
        </w:tc>
        <w:tc>
          <w:tcPr>
            <w:tcW w:w="1180" w:type="dxa"/>
            <w:tcBorders>
              <w:top w:val="nil"/>
              <w:left w:val="nil"/>
              <w:bottom w:val="single" w:sz="12" w:space="0" w:color="8EA9DB"/>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24.6</w:t>
            </w:r>
          </w:p>
        </w:tc>
        <w:tc>
          <w:tcPr>
            <w:tcW w:w="1060" w:type="dxa"/>
            <w:tcBorders>
              <w:top w:val="nil"/>
              <w:left w:val="nil"/>
              <w:bottom w:val="single" w:sz="12" w:space="0" w:color="8EA9DB"/>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24.7</w:t>
            </w:r>
          </w:p>
        </w:tc>
      </w:tr>
      <w:tr w:rsidR="00D178DD" w:rsidRPr="00D178DD" w:rsidTr="004B2286">
        <w:trPr>
          <w:trHeight w:val="360"/>
        </w:trPr>
        <w:tc>
          <w:tcPr>
            <w:tcW w:w="4000" w:type="dxa"/>
            <w:tcBorders>
              <w:top w:val="nil"/>
              <w:left w:val="single" w:sz="12" w:space="0" w:color="5B9BD5"/>
              <w:bottom w:val="single" w:sz="8" w:space="0" w:color="5B9BD5"/>
              <w:right w:val="single" w:sz="8" w:space="0" w:color="5B9BD5"/>
            </w:tcBorders>
            <w:shd w:val="clear" w:color="auto" w:fill="auto"/>
            <w:vAlign w:val="center"/>
            <w:hideMark/>
          </w:tcPr>
          <w:p w:rsidR="00D178DD" w:rsidRPr="00D178DD" w:rsidRDefault="00D178DD" w:rsidP="00D178DD">
            <w:pPr>
              <w:spacing w:before="0" w:line="240" w:lineRule="auto"/>
              <w:ind w:firstLineChars="100" w:firstLine="220"/>
              <w:contextualSpacing w:val="0"/>
              <w:jc w:val="left"/>
              <w:rPr>
                <w:rFonts w:cs="Calibri"/>
                <w:b w:val="0"/>
                <w:color w:val="000000"/>
                <w:szCs w:val="22"/>
                <w:lang w:val="en-US" w:eastAsia="en-US"/>
              </w:rPr>
            </w:pPr>
            <w:r w:rsidRPr="00D178DD">
              <w:rPr>
                <w:rFonts w:cs="Calibri"/>
                <w:b w:val="0"/>
                <w:color w:val="000000"/>
                <w:szCs w:val="22"/>
                <w:lang w:val="en-US" w:eastAsia="en-US"/>
              </w:rPr>
              <w:t>Հարկային եկամուտներ և տուրքեր</w:t>
            </w:r>
          </w:p>
        </w:tc>
        <w:tc>
          <w:tcPr>
            <w:tcW w:w="13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22.3</w:t>
            </w:r>
          </w:p>
        </w:tc>
        <w:tc>
          <w:tcPr>
            <w:tcW w:w="128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22.4</w:t>
            </w:r>
          </w:p>
        </w:tc>
        <w:tc>
          <w:tcPr>
            <w:tcW w:w="12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22.7</w:t>
            </w:r>
          </w:p>
        </w:tc>
        <w:tc>
          <w:tcPr>
            <w:tcW w:w="118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23.2</w:t>
            </w:r>
          </w:p>
        </w:tc>
        <w:tc>
          <w:tcPr>
            <w:tcW w:w="106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23.7</w:t>
            </w:r>
          </w:p>
        </w:tc>
      </w:tr>
      <w:tr w:rsidR="00D178DD" w:rsidRPr="00D178DD" w:rsidTr="004B2286">
        <w:trPr>
          <w:trHeight w:val="345"/>
        </w:trPr>
        <w:tc>
          <w:tcPr>
            <w:tcW w:w="4000" w:type="dxa"/>
            <w:tcBorders>
              <w:top w:val="nil"/>
              <w:left w:val="single" w:sz="12" w:space="0" w:color="5B9BD5"/>
              <w:bottom w:val="single" w:sz="8" w:space="0" w:color="5B9BD5"/>
              <w:right w:val="single" w:sz="8" w:space="0" w:color="5B9BD5"/>
            </w:tcBorders>
            <w:shd w:val="clear" w:color="auto" w:fill="auto"/>
            <w:vAlign w:val="center"/>
            <w:hideMark/>
          </w:tcPr>
          <w:p w:rsidR="00D178DD" w:rsidRPr="00D178DD" w:rsidRDefault="00D178DD" w:rsidP="00D178DD">
            <w:pPr>
              <w:spacing w:before="0" w:line="240" w:lineRule="auto"/>
              <w:ind w:firstLine="0"/>
              <w:contextualSpacing w:val="0"/>
              <w:jc w:val="left"/>
              <w:rPr>
                <w:rFonts w:cs="Calibri"/>
                <w:bCs/>
                <w:color w:val="000000"/>
                <w:szCs w:val="22"/>
                <w:lang w:val="en-US" w:eastAsia="en-US"/>
              </w:rPr>
            </w:pPr>
            <w:r w:rsidRPr="00D178DD">
              <w:rPr>
                <w:rFonts w:cs="Calibri"/>
                <w:bCs/>
                <w:color w:val="000000"/>
                <w:szCs w:val="22"/>
                <w:lang w:val="en-US" w:eastAsia="en-US"/>
              </w:rPr>
              <w:t>Պետական բյուջեի ծախսեր</w:t>
            </w:r>
          </w:p>
        </w:tc>
        <w:tc>
          <w:tcPr>
            <w:tcW w:w="13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24.9</w:t>
            </w:r>
          </w:p>
        </w:tc>
        <w:tc>
          <w:tcPr>
            <w:tcW w:w="128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30.6</w:t>
            </w:r>
          </w:p>
        </w:tc>
        <w:tc>
          <w:tcPr>
            <w:tcW w:w="12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28.7</w:t>
            </w:r>
          </w:p>
        </w:tc>
        <w:tc>
          <w:tcPr>
            <w:tcW w:w="118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27.1</w:t>
            </w:r>
          </w:p>
        </w:tc>
        <w:tc>
          <w:tcPr>
            <w:tcW w:w="106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27.8</w:t>
            </w:r>
          </w:p>
        </w:tc>
      </w:tr>
      <w:tr w:rsidR="00D178DD" w:rsidRPr="00D178DD" w:rsidTr="004B2286">
        <w:trPr>
          <w:trHeight w:val="345"/>
        </w:trPr>
        <w:tc>
          <w:tcPr>
            <w:tcW w:w="4000" w:type="dxa"/>
            <w:tcBorders>
              <w:top w:val="nil"/>
              <w:left w:val="single" w:sz="12" w:space="0" w:color="5B9BD5"/>
              <w:bottom w:val="single" w:sz="8" w:space="0" w:color="5B9BD5"/>
              <w:right w:val="single" w:sz="8" w:space="0" w:color="5B9BD5"/>
            </w:tcBorders>
            <w:shd w:val="clear" w:color="auto" w:fill="auto"/>
            <w:vAlign w:val="center"/>
            <w:hideMark/>
          </w:tcPr>
          <w:p w:rsidR="00D178DD" w:rsidRPr="00D178DD" w:rsidRDefault="00D178DD" w:rsidP="00D178DD">
            <w:pPr>
              <w:spacing w:before="0" w:line="240" w:lineRule="auto"/>
              <w:ind w:firstLineChars="100" w:firstLine="220"/>
              <w:contextualSpacing w:val="0"/>
              <w:jc w:val="left"/>
              <w:rPr>
                <w:rFonts w:cs="Calibri"/>
                <w:b w:val="0"/>
                <w:color w:val="000000"/>
                <w:szCs w:val="22"/>
                <w:lang w:val="en-US" w:eastAsia="en-US"/>
              </w:rPr>
            </w:pPr>
            <w:r w:rsidRPr="00D178DD">
              <w:rPr>
                <w:rFonts w:cs="Calibri"/>
                <w:b w:val="0"/>
                <w:color w:val="000000"/>
                <w:szCs w:val="22"/>
                <w:lang w:val="en-US" w:eastAsia="en-US"/>
              </w:rPr>
              <w:t>Ընթացիկ ծախսեր</w:t>
            </w:r>
          </w:p>
        </w:tc>
        <w:tc>
          <w:tcPr>
            <w:tcW w:w="13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22.0</w:t>
            </w:r>
          </w:p>
        </w:tc>
        <w:tc>
          <w:tcPr>
            <w:tcW w:w="128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27.0</w:t>
            </w:r>
          </w:p>
        </w:tc>
        <w:tc>
          <w:tcPr>
            <w:tcW w:w="12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25.6</w:t>
            </w:r>
          </w:p>
        </w:tc>
        <w:tc>
          <w:tcPr>
            <w:tcW w:w="118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22.4</w:t>
            </w:r>
          </w:p>
        </w:tc>
        <w:tc>
          <w:tcPr>
            <w:tcW w:w="106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21.9</w:t>
            </w:r>
          </w:p>
        </w:tc>
      </w:tr>
      <w:tr w:rsidR="00D178DD" w:rsidRPr="00D178DD" w:rsidTr="004B2286">
        <w:trPr>
          <w:trHeight w:val="675"/>
        </w:trPr>
        <w:tc>
          <w:tcPr>
            <w:tcW w:w="4000" w:type="dxa"/>
            <w:tcBorders>
              <w:top w:val="nil"/>
              <w:left w:val="single" w:sz="12" w:space="0" w:color="5B9BD5"/>
              <w:bottom w:val="single" w:sz="12" w:space="0" w:color="8EA9DB"/>
              <w:right w:val="single" w:sz="8" w:space="0" w:color="5B9BD5"/>
            </w:tcBorders>
            <w:shd w:val="clear" w:color="auto" w:fill="auto"/>
            <w:vAlign w:val="center"/>
            <w:hideMark/>
          </w:tcPr>
          <w:p w:rsidR="00D178DD" w:rsidRPr="00D178DD" w:rsidRDefault="00D178DD" w:rsidP="00D178DD">
            <w:pPr>
              <w:spacing w:before="0" w:line="240" w:lineRule="auto"/>
              <w:ind w:firstLineChars="100" w:firstLine="220"/>
              <w:contextualSpacing w:val="0"/>
              <w:jc w:val="left"/>
              <w:rPr>
                <w:rFonts w:cs="Calibri"/>
                <w:b w:val="0"/>
                <w:color w:val="000000"/>
                <w:szCs w:val="22"/>
                <w:lang w:eastAsia="en-US"/>
              </w:rPr>
            </w:pPr>
            <w:r w:rsidRPr="00D178DD">
              <w:rPr>
                <w:rFonts w:cs="Calibri"/>
                <w:b w:val="0"/>
                <w:color w:val="000000"/>
                <w:szCs w:val="22"/>
                <w:lang w:val="en-US" w:eastAsia="en-US"/>
              </w:rPr>
              <w:t>Ոչ</w:t>
            </w:r>
            <w:r w:rsidRPr="00D178DD">
              <w:rPr>
                <w:rFonts w:cs="Calibri"/>
                <w:b w:val="0"/>
                <w:color w:val="000000"/>
                <w:szCs w:val="22"/>
                <w:lang w:eastAsia="en-US"/>
              </w:rPr>
              <w:t xml:space="preserve"> </w:t>
            </w:r>
            <w:r w:rsidRPr="00D178DD">
              <w:rPr>
                <w:rFonts w:cs="Calibri"/>
                <w:b w:val="0"/>
                <w:color w:val="000000"/>
                <w:szCs w:val="22"/>
                <w:lang w:val="en-US" w:eastAsia="en-US"/>
              </w:rPr>
              <w:t>ֆինանսական</w:t>
            </w:r>
            <w:r w:rsidRPr="00D178DD">
              <w:rPr>
                <w:rFonts w:cs="Calibri"/>
                <w:b w:val="0"/>
                <w:color w:val="000000"/>
                <w:szCs w:val="22"/>
                <w:lang w:eastAsia="en-US"/>
              </w:rPr>
              <w:t xml:space="preserve"> </w:t>
            </w:r>
            <w:r w:rsidRPr="00D178DD">
              <w:rPr>
                <w:rFonts w:cs="Calibri"/>
                <w:b w:val="0"/>
                <w:color w:val="000000"/>
                <w:szCs w:val="22"/>
                <w:lang w:val="en-US" w:eastAsia="en-US"/>
              </w:rPr>
              <w:t>ակտիվների</w:t>
            </w:r>
            <w:r w:rsidRPr="00D178DD">
              <w:rPr>
                <w:rFonts w:cs="Calibri"/>
                <w:b w:val="0"/>
                <w:color w:val="000000"/>
                <w:szCs w:val="22"/>
                <w:lang w:eastAsia="en-US"/>
              </w:rPr>
              <w:t xml:space="preserve"> </w:t>
            </w:r>
            <w:r w:rsidRPr="00D178DD">
              <w:rPr>
                <w:rFonts w:cs="Calibri"/>
                <w:b w:val="0"/>
                <w:color w:val="000000"/>
                <w:szCs w:val="22"/>
                <w:lang w:val="en-US" w:eastAsia="en-US"/>
              </w:rPr>
              <w:t>հետ</w:t>
            </w:r>
            <w:r w:rsidRPr="00D178DD">
              <w:rPr>
                <w:rFonts w:cs="Calibri"/>
                <w:b w:val="0"/>
                <w:color w:val="000000"/>
                <w:szCs w:val="22"/>
                <w:lang w:eastAsia="en-US"/>
              </w:rPr>
              <w:t xml:space="preserve"> </w:t>
            </w:r>
            <w:r w:rsidRPr="00D178DD">
              <w:rPr>
                <w:rFonts w:cs="Calibri"/>
                <w:b w:val="0"/>
                <w:color w:val="000000"/>
                <w:szCs w:val="22"/>
                <w:lang w:val="en-US" w:eastAsia="en-US"/>
              </w:rPr>
              <w:t>գործառնություններ</w:t>
            </w:r>
          </w:p>
        </w:tc>
        <w:tc>
          <w:tcPr>
            <w:tcW w:w="1340" w:type="dxa"/>
            <w:tcBorders>
              <w:top w:val="nil"/>
              <w:left w:val="nil"/>
              <w:bottom w:val="single" w:sz="12" w:space="0" w:color="8EA9DB"/>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2.9</w:t>
            </w:r>
          </w:p>
        </w:tc>
        <w:tc>
          <w:tcPr>
            <w:tcW w:w="1280" w:type="dxa"/>
            <w:tcBorders>
              <w:top w:val="nil"/>
              <w:left w:val="nil"/>
              <w:bottom w:val="single" w:sz="12" w:space="0" w:color="8EA9DB"/>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3.7</w:t>
            </w:r>
          </w:p>
        </w:tc>
        <w:tc>
          <w:tcPr>
            <w:tcW w:w="1240" w:type="dxa"/>
            <w:tcBorders>
              <w:top w:val="nil"/>
              <w:left w:val="nil"/>
              <w:bottom w:val="single" w:sz="12" w:space="0" w:color="8EA9DB"/>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3.1</w:t>
            </w:r>
          </w:p>
        </w:tc>
        <w:tc>
          <w:tcPr>
            <w:tcW w:w="1180" w:type="dxa"/>
            <w:tcBorders>
              <w:top w:val="nil"/>
              <w:left w:val="nil"/>
              <w:bottom w:val="single" w:sz="12" w:space="0" w:color="8EA9DB"/>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4.7</w:t>
            </w:r>
          </w:p>
        </w:tc>
        <w:tc>
          <w:tcPr>
            <w:tcW w:w="1060" w:type="dxa"/>
            <w:tcBorders>
              <w:top w:val="nil"/>
              <w:left w:val="nil"/>
              <w:bottom w:val="single" w:sz="12" w:space="0" w:color="8EA9DB"/>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5.9</w:t>
            </w:r>
          </w:p>
        </w:tc>
      </w:tr>
      <w:tr w:rsidR="00D178DD" w:rsidRPr="00D178DD" w:rsidTr="004B2286">
        <w:trPr>
          <w:trHeight w:val="690"/>
        </w:trPr>
        <w:tc>
          <w:tcPr>
            <w:tcW w:w="4000" w:type="dxa"/>
            <w:tcBorders>
              <w:top w:val="nil"/>
              <w:left w:val="single" w:sz="12" w:space="0" w:color="5B9BD5"/>
              <w:bottom w:val="single" w:sz="12" w:space="0" w:color="5B9BD5"/>
              <w:right w:val="single" w:sz="8" w:space="0" w:color="5B9BD5"/>
            </w:tcBorders>
            <w:shd w:val="clear" w:color="auto" w:fill="auto"/>
            <w:vAlign w:val="center"/>
            <w:hideMark/>
          </w:tcPr>
          <w:p w:rsidR="00D178DD" w:rsidRPr="00D178DD" w:rsidRDefault="00D178DD" w:rsidP="00D178DD">
            <w:pPr>
              <w:spacing w:before="0" w:line="240" w:lineRule="auto"/>
              <w:ind w:firstLine="0"/>
              <w:contextualSpacing w:val="0"/>
              <w:jc w:val="left"/>
              <w:rPr>
                <w:rFonts w:cs="Calibri"/>
                <w:bCs/>
                <w:color w:val="000000"/>
                <w:szCs w:val="22"/>
                <w:lang w:val="en-US" w:eastAsia="en-US"/>
              </w:rPr>
            </w:pPr>
            <w:r w:rsidRPr="00D178DD">
              <w:rPr>
                <w:rFonts w:cs="Calibri"/>
                <w:bCs/>
                <w:color w:val="000000"/>
                <w:szCs w:val="22"/>
                <w:lang w:val="en-US" w:eastAsia="en-US"/>
              </w:rPr>
              <w:t>Պետական բյուջեի պակասուրդ(-) / պրոֆիցիտ (+)</w:t>
            </w:r>
          </w:p>
        </w:tc>
        <w:tc>
          <w:tcPr>
            <w:tcW w:w="1340" w:type="dxa"/>
            <w:tcBorders>
              <w:top w:val="nil"/>
              <w:left w:val="nil"/>
              <w:bottom w:val="single" w:sz="12"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-1.0</w:t>
            </w:r>
          </w:p>
        </w:tc>
        <w:tc>
          <w:tcPr>
            <w:tcW w:w="1280" w:type="dxa"/>
            <w:tcBorders>
              <w:top w:val="nil"/>
              <w:left w:val="nil"/>
              <w:bottom w:val="single" w:sz="12"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-5.4</w:t>
            </w:r>
          </w:p>
        </w:tc>
        <w:tc>
          <w:tcPr>
            <w:tcW w:w="1240" w:type="dxa"/>
            <w:tcBorders>
              <w:top w:val="nil"/>
              <w:left w:val="nil"/>
              <w:bottom w:val="single" w:sz="12"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-4.6</w:t>
            </w:r>
          </w:p>
        </w:tc>
        <w:tc>
          <w:tcPr>
            <w:tcW w:w="1180" w:type="dxa"/>
            <w:tcBorders>
              <w:top w:val="nil"/>
              <w:left w:val="nil"/>
              <w:bottom w:val="single" w:sz="12"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-2.5</w:t>
            </w:r>
          </w:p>
        </w:tc>
        <w:tc>
          <w:tcPr>
            <w:tcW w:w="1060" w:type="dxa"/>
            <w:tcBorders>
              <w:top w:val="nil"/>
              <w:left w:val="nil"/>
              <w:bottom w:val="single" w:sz="12"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-3.1</w:t>
            </w:r>
          </w:p>
        </w:tc>
      </w:tr>
      <w:tr w:rsidR="00D178DD" w:rsidRPr="00D178DD" w:rsidTr="004B2286">
        <w:trPr>
          <w:trHeight w:val="360"/>
        </w:trPr>
        <w:tc>
          <w:tcPr>
            <w:tcW w:w="4000" w:type="dxa"/>
            <w:tcBorders>
              <w:top w:val="nil"/>
              <w:left w:val="single" w:sz="12" w:space="0" w:color="5B9BD5"/>
              <w:bottom w:val="single" w:sz="12" w:space="0" w:color="5B9BD5"/>
              <w:right w:val="single" w:sz="8" w:space="0" w:color="5B9BD5"/>
            </w:tcBorders>
            <w:shd w:val="clear" w:color="auto" w:fill="auto"/>
            <w:vAlign w:val="center"/>
            <w:hideMark/>
          </w:tcPr>
          <w:p w:rsidR="00D178DD" w:rsidRPr="00D178DD" w:rsidRDefault="00D178DD" w:rsidP="00D178DD">
            <w:pPr>
              <w:spacing w:before="0" w:line="240" w:lineRule="auto"/>
              <w:ind w:firstLine="0"/>
              <w:contextualSpacing w:val="0"/>
              <w:jc w:val="left"/>
              <w:rPr>
                <w:rFonts w:cs="Calibri"/>
                <w:bCs/>
                <w:color w:val="000000"/>
                <w:szCs w:val="22"/>
                <w:lang w:val="en-US" w:eastAsia="en-US"/>
              </w:rPr>
            </w:pPr>
            <w:r w:rsidRPr="00D178DD">
              <w:rPr>
                <w:rFonts w:cs="Calibri"/>
                <w:bCs/>
                <w:color w:val="000000"/>
                <w:szCs w:val="22"/>
                <w:lang w:val="en-US" w:eastAsia="en-US"/>
              </w:rPr>
              <w:t>Կառավարության պարտք</w:t>
            </w:r>
          </w:p>
        </w:tc>
        <w:tc>
          <w:tcPr>
            <w:tcW w:w="1340" w:type="dxa"/>
            <w:tcBorders>
              <w:top w:val="nil"/>
              <w:left w:val="nil"/>
              <w:bottom w:val="single" w:sz="12"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50.1</w:t>
            </w:r>
          </w:p>
        </w:tc>
        <w:tc>
          <w:tcPr>
            <w:tcW w:w="1280" w:type="dxa"/>
            <w:tcBorders>
              <w:top w:val="nil"/>
              <w:left w:val="nil"/>
              <w:bottom w:val="single" w:sz="12"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63.5</w:t>
            </w:r>
          </w:p>
        </w:tc>
        <w:tc>
          <w:tcPr>
            <w:tcW w:w="1240" w:type="dxa"/>
            <w:tcBorders>
              <w:top w:val="nil"/>
              <w:left w:val="nil"/>
              <w:bottom w:val="single" w:sz="12"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60.3</w:t>
            </w:r>
          </w:p>
        </w:tc>
        <w:tc>
          <w:tcPr>
            <w:tcW w:w="1180" w:type="dxa"/>
            <w:tcBorders>
              <w:top w:val="nil"/>
              <w:left w:val="nil"/>
              <w:bottom w:val="single" w:sz="12" w:space="0" w:color="5B9BD5"/>
              <w:right w:val="single" w:sz="8" w:space="0" w:color="5B9BD5"/>
            </w:tcBorders>
            <w:shd w:val="clear" w:color="000000" w:fill="DEEAF6"/>
            <w:noWrap/>
            <w:vAlign w:val="center"/>
            <w:hideMark/>
          </w:tcPr>
          <w:p w:rsidR="00D178DD" w:rsidRPr="00D178DD" w:rsidRDefault="00D178DD" w:rsidP="00C43BF7">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5</w:t>
            </w:r>
            <w:r w:rsidR="00C43BF7">
              <w:rPr>
                <w:rFonts w:cs="Calibri"/>
                <w:bCs/>
                <w:color w:val="000000"/>
                <w:sz w:val="20"/>
                <w:szCs w:val="20"/>
                <w:lang w:val="en-US" w:eastAsia="en-US"/>
              </w:rPr>
              <w:t>0</w:t>
            </w:r>
            <w:r w:rsidRPr="00D178DD">
              <w:rPr>
                <w:rFonts w:cs="Calibri"/>
                <w:bCs/>
                <w:color w:val="000000"/>
                <w:sz w:val="20"/>
                <w:szCs w:val="20"/>
                <w:lang w:val="en-US" w:eastAsia="en-US"/>
              </w:rPr>
              <w:t>.</w:t>
            </w:r>
            <w:r w:rsidR="00C43BF7">
              <w:rPr>
                <w:rFonts w:cs="Calibri"/>
                <w:bCs/>
                <w:color w:val="000000"/>
                <w:sz w:val="20"/>
                <w:szCs w:val="20"/>
                <w:lang w:val="en-US" w:eastAsia="en-US"/>
              </w:rPr>
              <w:t>1</w:t>
            </w:r>
          </w:p>
        </w:tc>
        <w:tc>
          <w:tcPr>
            <w:tcW w:w="1060" w:type="dxa"/>
            <w:tcBorders>
              <w:top w:val="nil"/>
              <w:left w:val="nil"/>
              <w:bottom w:val="single" w:sz="12" w:space="0" w:color="5B9BD5"/>
              <w:right w:val="single" w:sz="8" w:space="0" w:color="5B9BD5"/>
            </w:tcBorders>
            <w:shd w:val="clear" w:color="000000" w:fill="DEEAF6"/>
            <w:noWrap/>
            <w:vAlign w:val="center"/>
            <w:hideMark/>
          </w:tcPr>
          <w:p w:rsidR="00D178DD" w:rsidRPr="00D178DD" w:rsidRDefault="00D178DD" w:rsidP="00C43BF7">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49.</w:t>
            </w:r>
            <w:r w:rsidR="00C43BF7">
              <w:rPr>
                <w:rFonts w:cs="Calibri"/>
                <w:bCs/>
                <w:color w:val="000000"/>
                <w:sz w:val="20"/>
                <w:szCs w:val="20"/>
                <w:lang w:val="en-US" w:eastAsia="en-US"/>
              </w:rPr>
              <w:t>8</w:t>
            </w:r>
            <w:bookmarkStart w:id="179" w:name="_GoBack"/>
            <w:bookmarkEnd w:id="179"/>
          </w:p>
        </w:tc>
      </w:tr>
    </w:tbl>
    <w:p w:rsidR="00D178DD" w:rsidRPr="00D178DD" w:rsidRDefault="00D178DD" w:rsidP="00D178DD">
      <w:pPr>
        <w:spacing w:before="0" w:line="276" w:lineRule="auto"/>
        <w:ind w:left="567" w:hanging="567"/>
        <w:contextualSpacing w:val="0"/>
        <w:rPr>
          <w:rFonts w:cs="Calibri"/>
          <w:b w:val="0"/>
          <w:i/>
          <w:iCs/>
          <w:color w:val="000000"/>
          <w:sz w:val="18"/>
          <w:szCs w:val="18"/>
          <w:lang w:val="hy-AM"/>
        </w:rPr>
      </w:pPr>
      <w:r w:rsidRPr="00D178DD">
        <w:rPr>
          <w:rFonts w:cs="Calibri"/>
          <w:b w:val="0"/>
          <w:i/>
          <w:iCs/>
          <w:color w:val="000000"/>
          <w:sz w:val="18"/>
          <w:szCs w:val="18"/>
          <w:lang w:val="hy-AM"/>
        </w:rPr>
        <w:t>Աղբյուրը՝ ՀՀ ՖՆ կանխատեսումներ</w:t>
      </w:r>
      <w:bookmarkStart w:id="180" w:name="_Toc45838524"/>
      <w:bookmarkStart w:id="181" w:name="_Toc46154353"/>
    </w:p>
    <w:p w:rsidR="00D178DD" w:rsidRPr="00D178DD" w:rsidRDefault="00D178DD" w:rsidP="00D178DD">
      <w:pPr>
        <w:spacing w:before="0" w:line="276" w:lineRule="auto"/>
        <w:ind w:firstLine="0"/>
        <w:contextualSpacing w:val="0"/>
        <w:rPr>
          <w:rFonts w:eastAsia="Calibri" w:cs="Arial"/>
          <w:b w:val="0"/>
          <w:bCs/>
          <w:sz w:val="20"/>
          <w:szCs w:val="20"/>
          <w:lang w:val="hy-AM" w:eastAsia="en-US"/>
        </w:rPr>
      </w:pPr>
    </w:p>
    <w:p w:rsidR="00D178DD" w:rsidRPr="00D178DD" w:rsidRDefault="00D178DD" w:rsidP="00D178DD">
      <w:pPr>
        <w:spacing w:before="0" w:line="240" w:lineRule="auto"/>
        <w:ind w:firstLine="0"/>
        <w:contextualSpacing w:val="0"/>
        <w:jc w:val="left"/>
        <w:rPr>
          <w:rFonts w:eastAsia="Calibri" w:cs="Arial"/>
          <w:b w:val="0"/>
          <w:bCs/>
          <w:sz w:val="20"/>
          <w:szCs w:val="20"/>
          <w:lang w:val="hy-AM" w:eastAsia="en-US"/>
        </w:rPr>
      </w:pPr>
      <w:r w:rsidRPr="00D178DD">
        <w:rPr>
          <w:rFonts w:eastAsia="Calibri" w:cs="Arial"/>
          <w:b w:val="0"/>
          <w:bCs/>
          <w:sz w:val="20"/>
          <w:szCs w:val="20"/>
          <w:lang w:val="hy-AM" w:eastAsia="en-US"/>
        </w:rPr>
        <w:br w:type="page"/>
      </w:r>
    </w:p>
    <w:p w:rsidR="00D178DD" w:rsidRPr="00D178DD" w:rsidRDefault="00D178DD" w:rsidP="00D178DD">
      <w:pPr>
        <w:keepNext/>
        <w:keepLines/>
        <w:spacing w:before="0" w:line="312" w:lineRule="auto"/>
        <w:ind w:firstLine="0"/>
        <w:outlineLvl w:val="2"/>
        <w:rPr>
          <w:sz w:val="24"/>
          <w:lang w:val="hy-AM" w:eastAsia="en-US"/>
        </w:rPr>
      </w:pPr>
      <w:bookmarkStart w:id="182" w:name="_Toc57655454"/>
      <w:bookmarkStart w:id="183" w:name="_Toc83199222"/>
      <w:bookmarkStart w:id="184" w:name="_Toc83972838"/>
      <w:bookmarkStart w:id="185" w:name="_Toc115686026"/>
      <w:bookmarkStart w:id="186" w:name="_Toc120805200"/>
      <w:r w:rsidRPr="00D178DD">
        <w:rPr>
          <w:sz w:val="24"/>
          <w:lang w:val="hy-AM" w:eastAsia="en-US"/>
        </w:rPr>
        <w:t>2</w:t>
      </w:r>
      <w:r w:rsidRPr="00D178DD">
        <w:rPr>
          <w:rFonts w:cs="Cambria Math"/>
          <w:sz w:val="24"/>
          <w:lang w:val="hy-AM" w:eastAsia="en-US"/>
        </w:rPr>
        <w:t>.</w:t>
      </w:r>
      <w:r w:rsidRPr="00D178DD">
        <w:rPr>
          <w:sz w:val="24"/>
          <w:lang w:val="hy-AM" w:eastAsia="en-US"/>
        </w:rPr>
        <w:t>2</w:t>
      </w:r>
      <w:r w:rsidRPr="00D178DD">
        <w:rPr>
          <w:rFonts w:cs="Cambria Math"/>
          <w:sz w:val="24"/>
          <w:lang w:val="hy-AM" w:eastAsia="en-US"/>
        </w:rPr>
        <w:t>.</w:t>
      </w:r>
      <w:r w:rsidRPr="00D178DD">
        <w:rPr>
          <w:sz w:val="24"/>
          <w:lang w:val="hy-AM" w:eastAsia="en-US"/>
        </w:rPr>
        <w:t xml:space="preserve"> ՀԱՐԿԱԲՅՈՒՋԵՏԱՅԻՆ ՔԱՂԱՔԱԿԱՆՈՒԹՅԱՆ ՄԻՏՈՒՄՆԵՐԸ ԵՎ ԿԱՆԽԱՏԵՍՈՒՄՆԵՐԸ</w:t>
      </w:r>
      <w:bookmarkEnd w:id="180"/>
      <w:bookmarkEnd w:id="181"/>
      <w:bookmarkEnd w:id="182"/>
      <w:bookmarkEnd w:id="183"/>
      <w:bookmarkEnd w:id="184"/>
      <w:bookmarkEnd w:id="185"/>
      <w:bookmarkEnd w:id="186"/>
    </w:p>
    <w:p w:rsidR="00D178DD" w:rsidRPr="00D178DD" w:rsidRDefault="00D178DD" w:rsidP="00D178DD">
      <w:pPr>
        <w:spacing w:before="0" w:after="120" w:line="276" w:lineRule="auto"/>
        <w:ind w:firstLine="0"/>
        <w:contextualSpacing w:val="0"/>
        <w:rPr>
          <w:rFonts w:eastAsia="Calibri" w:cs="Arial"/>
          <w:bCs/>
          <w:szCs w:val="22"/>
          <w:u w:val="single"/>
          <w:lang w:val="hy-AM" w:eastAsia="en-US"/>
        </w:rPr>
      </w:pPr>
      <w:r w:rsidRPr="00D178DD">
        <w:rPr>
          <w:rFonts w:eastAsia="Calibri" w:cs="Arial"/>
          <w:bCs/>
          <w:szCs w:val="22"/>
          <w:u w:val="single"/>
          <w:lang w:val="hy-AM" w:eastAsia="en-US"/>
        </w:rPr>
        <w:t>2021 թվականի զարգացումները</w:t>
      </w:r>
    </w:p>
    <w:p w:rsidR="00D178DD" w:rsidRPr="00D178DD" w:rsidRDefault="00D178DD" w:rsidP="00D178DD">
      <w:pPr>
        <w:spacing w:line="276" w:lineRule="auto"/>
        <w:rPr>
          <w:rFonts w:eastAsia="GHEA Grapalat" w:cs="GHEA Grapalat"/>
          <w:szCs w:val="22"/>
          <w:lang w:val="hy-AM"/>
        </w:rPr>
      </w:pPr>
      <w:r w:rsidRPr="00D178DD">
        <w:rPr>
          <w:rFonts w:eastAsia="GHEA Grapalat" w:cs="GHEA Grapalat"/>
          <w:szCs w:val="22"/>
          <w:lang w:val="hy-AM"/>
        </w:rPr>
        <w:t xml:space="preserve">2021 թվականին հարկաբյուջետային քաղաքականության նպատակներն են եղել հարկաբյուջետային կայունության ապահովումը, նպաստումը տնտեսական վերականգնմանը և CՕVID-19 համավարակի ու </w:t>
      </w:r>
      <w:r w:rsidR="00FB546F" w:rsidRPr="00FB546F">
        <w:rPr>
          <w:rFonts w:eastAsia="GHEA Grapalat" w:cs="GHEA Grapalat"/>
          <w:szCs w:val="22"/>
          <w:lang w:val="hy-AM"/>
        </w:rPr>
        <w:t>Ղարաբաղ</w:t>
      </w:r>
      <w:r w:rsidRPr="00D178DD">
        <w:rPr>
          <w:rFonts w:eastAsia="GHEA Grapalat" w:cs="GHEA Grapalat"/>
          <w:szCs w:val="22"/>
          <w:lang w:val="hy-AM"/>
        </w:rPr>
        <w:t>յան պատերազմի հետևանքների էական մեղմումը։ Մասնավորապես, հարկաբյուջետային դիրքը եղել է խթանող, սակայն այն 2020 թվականի համեմատությամբ նվազել է, ինչի արդյունքում, պլանավորված ուղղությանը համահունչ, հարկաբյուջետային քաղաքականության ազդեցությունը ամբողջական պահանջարկի վրա (դիրքի փոփոխություն կամ ազդակ) եղել է զսպող:</w:t>
      </w:r>
    </w:p>
    <w:p w:rsidR="00D178DD" w:rsidRPr="00D178DD" w:rsidRDefault="00D178DD" w:rsidP="00D178DD">
      <w:pPr>
        <w:spacing w:line="276" w:lineRule="auto"/>
        <w:contextualSpacing w:val="0"/>
        <w:rPr>
          <w:rFonts w:eastAsia="GHEA Grapalat" w:cs="GHEA Grapalat"/>
          <w:b w:val="0"/>
          <w:szCs w:val="22"/>
          <w:lang w:val="hy-AM"/>
        </w:rPr>
      </w:pPr>
      <w:r w:rsidRPr="00D178DD">
        <w:rPr>
          <w:rFonts w:eastAsia="GHEA Grapalat" w:cs="GHEA Grapalat"/>
          <w:i/>
          <w:szCs w:val="22"/>
          <w:lang w:val="hy-AM"/>
        </w:rPr>
        <w:t>Պետական բյուջեի եկամուտները</w:t>
      </w:r>
      <w:r w:rsidRPr="00D178DD">
        <w:rPr>
          <w:rFonts w:eastAsia="GHEA Grapalat" w:cs="GHEA Grapalat"/>
          <w:b w:val="0"/>
          <w:i/>
          <w:szCs w:val="22"/>
          <w:lang w:val="hy-AM"/>
        </w:rPr>
        <w:t>:</w:t>
      </w:r>
      <w:r w:rsidRPr="00D178DD">
        <w:rPr>
          <w:rFonts w:eastAsia="GHEA Grapalat" w:cs="GHEA Grapalat"/>
          <w:b w:val="0"/>
          <w:szCs w:val="22"/>
          <w:lang w:val="hy-AM"/>
        </w:rPr>
        <w:t xml:space="preserve"> 2021 թվականին ՀՀ պետական բյուջեի եկամուտներն աճել են՝ պայմանավորված տնտեսության վերականգնման և հարկային օրենսդրության փոփոխությունների արդյունքում հարկային եկամուտների աճով: 2021 թվականին ՀՀ պետական բյուջեի ընդհանուր եկամուտները կազմել են 1,683.8 մլրդ դրամ՝ նախորդ տարվա համեմատ աճելով 7.9%-ով և ՀՆԱ-ի նկատմամբ կազմելով 24.1%</w:t>
      </w:r>
      <w:r w:rsidRPr="00D178DD">
        <w:rPr>
          <w:rFonts w:eastAsia="GHEA Grapalat" w:cs="GHEA Grapalat"/>
          <w:b w:val="0"/>
          <w:szCs w:val="22"/>
          <w:lang w:val="hy-AM"/>
        </w:rPr>
        <w:noBreakHyphen/>
        <w:t xml:space="preserve">ը՝ նախորդ տարվա 25.2%-ի դիմաց (նվազման պատճառը այլ եկամուտների և պաշտոնական դրամաշնորհների նվազումն է): Հարկեր և տուրքերը նույն ժամանակահատվածում կազմել են 1,586.9 մլրդ դրամ՝ նախորդ տարվա համեմատ աճելով 14.6%-ով՝ պայմանավորված հիմնականում հարկման բազաների (հիմնականում սպառման և ներմուծման) վերականգնմամբ, ինչպես նաև դրոշմանիշային վճարի և արտահանման տուրքի ներդրմամբ: Այս պայմաններում հարկեր և տուրքերը կազմել են ՀՆԱ-ի 22.7%, նախորդ տարվա նկատմամբ բարելավվելով 0.3 տոկոսային կետով: </w:t>
      </w:r>
    </w:p>
    <w:p w:rsidR="00D178DD" w:rsidRPr="00D178DD" w:rsidRDefault="00D178DD" w:rsidP="00D178DD">
      <w:pPr>
        <w:spacing w:line="276" w:lineRule="auto"/>
        <w:contextualSpacing w:val="0"/>
        <w:rPr>
          <w:rFonts w:eastAsia="GHEA Grapalat" w:cs="GHEA Grapalat"/>
          <w:b w:val="0"/>
          <w:szCs w:val="22"/>
          <w:lang w:val="hy-AM"/>
        </w:rPr>
      </w:pPr>
      <w:r w:rsidRPr="00D178DD">
        <w:rPr>
          <w:rFonts w:eastAsia="GHEA Grapalat" w:cs="GHEA Grapalat"/>
          <w:i/>
          <w:szCs w:val="22"/>
          <w:lang w:val="hy-AM"/>
        </w:rPr>
        <w:t>Պետական բյուջեի ծախսերը:</w:t>
      </w:r>
      <w:r w:rsidRPr="00D178DD">
        <w:rPr>
          <w:rFonts w:eastAsia="GHEA Grapalat" w:cs="GHEA Grapalat"/>
          <w:b w:val="0"/>
          <w:szCs w:val="22"/>
          <w:lang w:val="hy-AM"/>
        </w:rPr>
        <w:t xml:space="preserve"> 2021 թվականին արձանագրվել է պետական բյուջեի ծախսերի աճ՝ հիմնականում պայմանավորված ընթացիկ ծախսերի աճով: 2021 թվականի արդյունքներով պետական բյուջեի ծախսերը կազմել են 2,004.3 մլրդ դրամ՝ նախորդ տարվա համեմատ աճելով 5.8%-ով: Ընդ որում, ընթացիկ ծախսերը կազմել են 1,788.0 մլրդ դրամ` նախորդ տարվա համեմատ աճելով 7.2%-ով, որն իր մեջ ներառում է </w:t>
      </w:r>
      <w:r w:rsidR="00FB546F" w:rsidRPr="00FB546F">
        <w:rPr>
          <w:rFonts w:eastAsia="GHEA Grapalat" w:cs="GHEA Grapalat"/>
          <w:b w:val="0"/>
          <w:szCs w:val="22"/>
          <w:lang w:val="hy-AM"/>
        </w:rPr>
        <w:t>Ղարաբաղ</w:t>
      </w:r>
      <w:r w:rsidRPr="00D178DD">
        <w:rPr>
          <w:rFonts w:eastAsia="GHEA Grapalat" w:cs="GHEA Grapalat"/>
          <w:b w:val="0"/>
          <w:szCs w:val="22"/>
          <w:lang w:val="hy-AM"/>
        </w:rPr>
        <w:t>յան պատերազմի հետևանքների մեղմմանն ուղղված ծախսերը, կորոնավիրուսի տարածմամբ պայմանավորված հակաճգնաժամային ծրագրերի տնտեսական միջոցառումների իրականացումը և առողջապահությանն ուղղված լրացուցիչ ծախսերը</w:t>
      </w:r>
      <w:r w:rsidRPr="00D178DD">
        <w:rPr>
          <w:rFonts w:ascii="Arial Armenian" w:eastAsia="GHEA Grapalat" w:hAnsi="Arial Armenian" w:cs="GHEA Grapalat"/>
          <w:b w:val="0"/>
          <w:sz w:val="20"/>
          <w:szCs w:val="20"/>
          <w:vertAlign w:val="superscript"/>
          <w:lang w:val="hy-AM"/>
        </w:rPr>
        <w:footnoteReference w:id="12"/>
      </w:r>
      <w:r w:rsidRPr="00D178DD">
        <w:rPr>
          <w:rFonts w:eastAsia="GHEA Grapalat" w:cs="GHEA Grapalat"/>
          <w:b w:val="0"/>
          <w:szCs w:val="22"/>
          <w:lang w:val="hy-AM"/>
        </w:rPr>
        <w:t xml:space="preserve">: Պետական բյուջեի ծախսերի կշիռը ՀՆԱ-ում 2020 թվականի նկատմամբ նվազել է 1.9 տոկոսային կետով՝ կազմելով 28.7%, որում ընթացիկ ծախսերի կշիռը նվազել է 1.4 տոկոսային կետով՝ կազմելով 25.6%: </w:t>
      </w:r>
    </w:p>
    <w:p w:rsidR="00D178DD" w:rsidRPr="00D178DD" w:rsidRDefault="00D178DD" w:rsidP="00D178DD">
      <w:pPr>
        <w:spacing w:line="276" w:lineRule="auto"/>
        <w:contextualSpacing w:val="0"/>
        <w:rPr>
          <w:rFonts w:eastAsia="GHEA Grapalat" w:cs="GHEA Grapalat"/>
          <w:b w:val="0"/>
          <w:szCs w:val="22"/>
          <w:lang w:val="hy-AM"/>
        </w:rPr>
      </w:pPr>
      <w:r w:rsidRPr="00D178DD">
        <w:rPr>
          <w:rFonts w:eastAsia="GHEA Grapalat" w:cs="GHEA Grapalat"/>
          <w:b w:val="0"/>
          <w:szCs w:val="22"/>
          <w:lang w:val="hy-AM"/>
        </w:rPr>
        <w:t xml:space="preserve">Ոչ ֆինանսական ակտիվների հետ գործառնությունները կազմել են 216.3 մլրդ դրամ, որում ոչ ֆինանսական ակտիվների գծով ծախսերը (կապիտալ ծախսեր) կազմել են 218.4 մլրդ դրամ` նախորդ տարվա նկատմամբ նվազելով 4.1%-ով, որի հիմնական պատճառը 2020 թվականին </w:t>
      </w:r>
      <w:r w:rsidR="00FB546F" w:rsidRPr="00FB546F">
        <w:rPr>
          <w:rFonts w:eastAsia="GHEA Grapalat" w:cs="GHEA Grapalat"/>
          <w:b w:val="0"/>
          <w:szCs w:val="22"/>
          <w:lang w:val="hy-AM"/>
        </w:rPr>
        <w:t>Ղարաբաղ</w:t>
      </w:r>
      <w:r w:rsidRPr="00D178DD">
        <w:rPr>
          <w:rFonts w:eastAsia="GHEA Grapalat" w:cs="GHEA Grapalat"/>
          <w:b w:val="0"/>
          <w:szCs w:val="22"/>
          <w:lang w:val="hy-AM"/>
        </w:rPr>
        <w:t xml:space="preserve">յան պատերազմով պայմանավորված ռազմական լրացուցիչ ծախսերի իրականացումն է, առանց որոնց կապիտալ ծախսերի աճը կկազեր շուրջ 26.0%: Ոչ ֆինանսական ակտիվների հետ գործառնությունների կշիռը ՀՆԱ-ում նվազել է 0.6 տոկոսային կետով՝ կազմելով 3.1%: Միևնույն ժամանակ, կապիտալ ծախսերի թերակատարման խնդիրը որոշակի մեղմվել է, և կատարողականը ճշտված ծրագրի նկատմամբ կազմել է 92.5%՝ նախորդ տարվա 84.9%-ի համեմատ բարելավվելով 7.6 տոկոսային կետով: </w:t>
      </w:r>
    </w:p>
    <w:p w:rsidR="00D178DD" w:rsidRPr="00D178DD" w:rsidRDefault="00D178DD" w:rsidP="00D178DD">
      <w:pPr>
        <w:spacing w:line="276" w:lineRule="auto"/>
        <w:contextualSpacing w:val="0"/>
        <w:rPr>
          <w:rFonts w:eastAsia="GHEA Grapalat" w:cs="GHEA Grapalat"/>
          <w:b w:val="0"/>
          <w:szCs w:val="22"/>
          <w:lang w:val="hy-AM"/>
        </w:rPr>
      </w:pPr>
      <w:r w:rsidRPr="00D178DD">
        <w:rPr>
          <w:rFonts w:eastAsia="GHEA Grapalat" w:cs="GHEA Grapalat"/>
          <w:i/>
          <w:szCs w:val="22"/>
          <w:lang w:val="hy-AM"/>
        </w:rPr>
        <w:t>Պետական բյուջեի պակասուրդը և կառավարության պարտքը:</w:t>
      </w:r>
      <w:r w:rsidRPr="00D178DD">
        <w:rPr>
          <w:rFonts w:eastAsia="GHEA Grapalat" w:cs="GHEA Grapalat"/>
          <w:b w:val="0"/>
          <w:szCs w:val="22"/>
          <w:lang w:val="hy-AM"/>
        </w:rPr>
        <w:t xml:space="preserve"> 2021 թվականի տնտեսական վերականգնումը և հարկաբյուջետային քաղաքականության ջանքերը թույլ են տվել ապահովելու ՀՆԱ համեմատությամբ պետական բյուջեի պակասուրդի և կառավարության պարտքի որոշակի նվազում։ 2021 թվականի ընթացքում ձևավորվել է պետական բյուջեի 320.5 մլրդ դրամ դեֆիցիտ՝ նախորդ տարվա 334.0 մլրդ դրամի համեմատ: ՀՆԱ-ի նկատմամբ, պետական բյուջեի պակասուրդը կազմել է 4.6%՝ նախորդ տարվա համեմատ նվազելով 0.8 տոկոսային կետով: </w:t>
      </w:r>
    </w:p>
    <w:p w:rsidR="00D178DD" w:rsidRPr="00D178DD" w:rsidRDefault="00D178DD" w:rsidP="00D178DD">
      <w:pPr>
        <w:spacing w:line="276" w:lineRule="auto"/>
        <w:contextualSpacing w:val="0"/>
        <w:rPr>
          <w:rFonts w:eastAsia="GHEA Grapalat" w:cs="GHEA Grapalat"/>
          <w:b w:val="0"/>
          <w:szCs w:val="22"/>
          <w:lang w:val="hy-AM"/>
        </w:rPr>
      </w:pPr>
      <w:r w:rsidRPr="00D178DD">
        <w:rPr>
          <w:rFonts w:eastAsia="GHEA Grapalat" w:cs="GHEA Grapalat"/>
          <w:b w:val="0"/>
          <w:szCs w:val="22"/>
          <w:lang w:val="hy-AM"/>
        </w:rPr>
        <w:t>ՀՀ կառավարության պարտք/ՀՆԱ ցուցանիշը կազմել է 60.3%՝ նախորդ տարվա նկատմամբ նվազելով 3.2 տոկոսային կետով` հիմնականում պայմանավորված ԱՄՆ դոլարի նկատմամբ ՀՀ դրամի արժևորմամբ, տնտեսական աճով և իրական տոկոսադրույքի նվազմամբ (անվանական տոկոսադրույքի նվազման և գնաճի արագացման պատճառով):</w:t>
      </w:r>
    </w:p>
    <w:p w:rsidR="00D178DD" w:rsidRPr="00D178DD" w:rsidRDefault="00D178DD" w:rsidP="00D178DD">
      <w:pPr>
        <w:spacing w:line="276" w:lineRule="auto"/>
        <w:ind w:firstLine="540"/>
        <w:contextualSpacing w:val="0"/>
        <w:rPr>
          <w:rFonts w:eastAsia="GHEA Grapalat" w:cs="GHEA Grapalat"/>
          <w:b w:val="0"/>
          <w:szCs w:val="22"/>
          <w:lang w:val="hy-AM"/>
        </w:rPr>
      </w:pPr>
      <w:r w:rsidRPr="00D178DD">
        <w:rPr>
          <w:rFonts w:eastAsia="GHEA Grapalat" w:cs="GHEA Grapalat"/>
          <w:i/>
          <w:szCs w:val="22"/>
          <w:lang w:val="hy-AM"/>
        </w:rPr>
        <w:t>Հարկաբյուջետային դիրքը և ազդակը:</w:t>
      </w:r>
      <w:r w:rsidRPr="00D178DD">
        <w:rPr>
          <w:rFonts w:eastAsia="GHEA Grapalat" w:cs="GHEA Grapalat"/>
          <w:szCs w:val="22"/>
          <w:lang w:val="hy-AM"/>
        </w:rPr>
        <w:t xml:space="preserve"> </w:t>
      </w:r>
      <w:r w:rsidRPr="00D178DD">
        <w:rPr>
          <w:rFonts w:eastAsia="GHEA Grapalat" w:cs="GHEA Grapalat"/>
          <w:b w:val="0"/>
          <w:szCs w:val="22"/>
          <w:lang w:val="hy-AM"/>
        </w:rPr>
        <w:t>Համախառն պահանջարկի վրա հարկաբյուջետային քաղաքականությունը 2021 թվականին նախորդ տարվա նկատմամբ ունեցել է 1.6 զսպող ազդեցություն` պայմանավորված և՛ եկամուտների (0.5), և՛ ծախսերի զսպող (1.2) ազդեցություններով:</w:t>
      </w:r>
    </w:p>
    <w:p w:rsidR="00D178DD" w:rsidRPr="00D178DD" w:rsidRDefault="00D178DD" w:rsidP="00D178DD">
      <w:pPr>
        <w:autoSpaceDE w:val="0"/>
        <w:autoSpaceDN w:val="0"/>
        <w:adjustRightInd w:val="0"/>
        <w:spacing w:after="120" w:line="276" w:lineRule="auto"/>
        <w:contextualSpacing w:val="0"/>
        <w:rPr>
          <w:rFonts w:eastAsia="Calibri" w:cs="Arial"/>
          <w:bCs/>
          <w:szCs w:val="22"/>
          <w:u w:val="single"/>
          <w:lang w:val="hy-AM" w:eastAsia="en-US"/>
        </w:rPr>
      </w:pPr>
      <w:r w:rsidRPr="00D178DD">
        <w:rPr>
          <w:rFonts w:eastAsia="Calibri" w:cs="Arial"/>
          <w:bCs/>
          <w:szCs w:val="22"/>
          <w:u w:val="single"/>
          <w:lang w:val="hy-AM" w:eastAsia="en-US"/>
        </w:rPr>
        <w:t>2022թ. ընթացիկ զարգացումներ</w:t>
      </w:r>
    </w:p>
    <w:p w:rsidR="00D178DD" w:rsidRPr="00D178DD" w:rsidRDefault="00D178DD" w:rsidP="00D178DD">
      <w:pPr>
        <w:autoSpaceDE w:val="0"/>
        <w:autoSpaceDN w:val="0"/>
        <w:adjustRightInd w:val="0"/>
        <w:spacing w:after="120" w:line="276" w:lineRule="auto"/>
        <w:contextualSpacing w:val="0"/>
        <w:rPr>
          <w:rFonts w:eastAsia="Calibri"/>
          <w:szCs w:val="22"/>
          <w:lang w:val="hy-AM" w:eastAsia="en-US"/>
        </w:rPr>
      </w:pPr>
      <w:r w:rsidRPr="00D178DD">
        <w:rPr>
          <w:rFonts w:eastAsia="Calibri"/>
          <w:szCs w:val="22"/>
          <w:lang w:val="hy-AM" w:eastAsia="en-US"/>
        </w:rPr>
        <w:tab/>
        <w:t>2022 թվականի առաջին ութ ամիսներին տնտեսական բարձր աճի պայմաններում և հարկաբյուջետային քաղաքականության ազդեցությունը ամբողջական պահանջարկի վրա եղել է սզպող: Միևնույն ժամանակ, կառավարության կողմից նախաձեռվել են միջոցառումներ արտաքին շոկերի արդյունքում տնտեսության առանձին հատվածների խթանման, ինչպես նաև սոցիալական աջակացության ուղղությամբ:</w:t>
      </w:r>
    </w:p>
    <w:p w:rsidR="00D178DD" w:rsidRPr="00D178DD" w:rsidRDefault="00D178DD" w:rsidP="00D178DD">
      <w:pPr>
        <w:spacing w:after="120" w:line="276" w:lineRule="auto"/>
        <w:contextualSpacing w:val="0"/>
        <w:rPr>
          <w:rFonts w:cs="GHEA Grapalat"/>
          <w:b w:val="0"/>
          <w:szCs w:val="22"/>
          <w:lang w:val="hy-AM"/>
        </w:rPr>
      </w:pPr>
      <w:r w:rsidRPr="00D178DD">
        <w:rPr>
          <w:rFonts w:eastAsia="Calibri"/>
          <w:i/>
          <w:szCs w:val="22"/>
          <w:lang w:val="hy-AM" w:eastAsia="en-US"/>
        </w:rPr>
        <w:t>Պետական բյուջեի եկամուտները:</w:t>
      </w:r>
      <w:r w:rsidRPr="00D178DD">
        <w:rPr>
          <w:rFonts w:eastAsia="Calibri"/>
          <w:b w:val="0"/>
          <w:szCs w:val="22"/>
          <w:lang w:val="hy-AM" w:eastAsia="en-US"/>
        </w:rPr>
        <w:t xml:space="preserve"> </w:t>
      </w:r>
      <w:r w:rsidRPr="00D178DD">
        <w:rPr>
          <w:rFonts w:cs="GHEA Grapalat"/>
          <w:szCs w:val="22"/>
          <w:lang w:val="hy-AM"/>
        </w:rPr>
        <w:t>2022 թվականի առաջին ութ ամիսներին ՀՀ պետական բյուջեի եկամուտներն աճել են բարձր տեմպերով՝ պայմանավորված բարձր տնտեսական աճով և գնաճով, ինչպես նաև հարկային օրենսդրության փոփոխություններով:</w:t>
      </w:r>
      <w:r w:rsidRPr="00D178DD">
        <w:rPr>
          <w:rFonts w:cs="GHEA Grapalat"/>
          <w:b w:val="0"/>
          <w:szCs w:val="22"/>
          <w:lang w:val="hy-AM"/>
        </w:rPr>
        <w:t xml:space="preserve"> Ընդ որում, առաջին ութ ամիսներին տնտեսական ակտիվության տեմպերի արագացմանը զուգընթաց, հարկերի հավաքագրման բարձր աճի տեմպերը պահպանվել են ամբողջ ժամանակահատվածի ընթացքում։ 2022 թվականի հունվար-օգոստոս ամիսների արդյունքներով ՀՀ պետական բյուջեի ընդհանուր եկամուտները կազմել են 1,311.9</w:t>
      </w:r>
      <w:r w:rsidRPr="00D178DD">
        <w:rPr>
          <w:rFonts w:ascii="Calibri" w:hAnsi="Calibri" w:cs="Calibri"/>
          <w:b w:val="0"/>
          <w:szCs w:val="22"/>
          <w:lang w:val="hy-AM"/>
        </w:rPr>
        <w:t> </w:t>
      </w:r>
      <w:r w:rsidRPr="00D178DD">
        <w:rPr>
          <w:rFonts w:cs="GHEA Grapalat"/>
          <w:b w:val="0"/>
          <w:szCs w:val="22"/>
          <w:lang w:val="hy-AM"/>
        </w:rPr>
        <w:t>մլրդ դրամ՝ նախորդ տարվա նույն ժամանակահատվածի համեմատ աճելով 26.1%-ով, իսկ հարկերը և տուրքերը կազմել են 1,232.1 մլրդ դրամ՝ նախորդ տարվա նույն ժամանակահատվածի համեմատ աճելով 25.2%-ով: Հարկային եկամուտների աճը հիմնականում պայմանավորված է հարկման բազաների (հիմնականում սպառման և ներմուծման, ինչպես նաև շահույթների և աշխատավարձերի) աճի, ինչպես նաև 2021 թվականի հարկային օրենսդրության բարեփոխումներով, մասնավորապես՝ մետաղական հանքանյութերի արտահանման տուրքի ներդրմամբ:</w:t>
      </w:r>
    </w:p>
    <w:p w:rsidR="00D178DD" w:rsidRPr="00D178DD" w:rsidRDefault="00D178DD" w:rsidP="00D178DD">
      <w:pPr>
        <w:spacing w:after="120" w:line="276" w:lineRule="auto"/>
        <w:contextualSpacing w:val="0"/>
        <w:rPr>
          <w:rFonts w:cs="GHEA Grapalat"/>
          <w:b w:val="0"/>
          <w:szCs w:val="22"/>
          <w:lang w:val="hy-AM"/>
        </w:rPr>
      </w:pPr>
    </w:p>
    <w:p w:rsidR="00D178DD" w:rsidRPr="00D178DD" w:rsidRDefault="00D178DD" w:rsidP="00D178DD">
      <w:pPr>
        <w:autoSpaceDE w:val="0"/>
        <w:autoSpaceDN w:val="0"/>
        <w:adjustRightInd w:val="0"/>
        <w:spacing w:before="0" w:after="160" w:line="276" w:lineRule="auto"/>
        <w:contextualSpacing w:val="0"/>
        <w:rPr>
          <w:rFonts w:eastAsia="GHEA Grapalat" w:cs="GHEA Grapalat"/>
          <w:b w:val="0"/>
          <w:noProof/>
          <w:szCs w:val="22"/>
          <w:lang w:val="hy-AM" w:eastAsia="en-US"/>
        </w:rPr>
      </w:pPr>
      <w:r w:rsidRPr="00D178DD">
        <w:rPr>
          <w:rFonts w:eastAsia="Calibri" w:cs="Arial"/>
          <w:bCs/>
          <w:i/>
          <w:iCs/>
          <w:noProof/>
          <w:sz w:val="21"/>
          <w:szCs w:val="21"/>
          <w:lang w:val="hy-AM" w:eastAsia="en-US"/>
        </w:rPr>
        <w:t xml:space="preserve">Գծապատկեր 2.1 </w:t>
      </w:r>
      <w:r w:rsidRPr="00D178DD">
        <w:rPr>
          <w:rFonts w:eastAsia="GHEA Grapalat" w:cs="GHEA Grapalat"/>
          <w:noProof/>
          <w:szCs w:val="22"/>
          <w:lang w:val="hy-AM" w:eastAsia="en-US"/>
        </w:rPr>
        <w:t xml:space="preserve"> </w:t>
      </w:r>
      <w:r w:rsidRPr="00D178DD">
        <w:rPr>
          <w:rFonts w:eastAsia="GHEA Grapalat" w:cs="GHEA Grapalat"/>
          <w:b w:val="0"/>
          <w:noProof/>
          <w:szCs w:val="22"/>
          <w:lang w:val="hy-AM" w:eastAsia="en-US"/>
        </w:rPr>
        <w:t>Պետական բյուջեի հարկային եկամուտները 2021-2022 թվականներին ըստ ամիսների</w:t>
      </w:r>
    </w:p>
    <w:p w:rsidR="00D178DD" w:rsidRPr="00D178DD" w:rsidRDefault="00D178DD" w:rsidP="00D178DD">
      <w:pPr>
        <w:keepNext/>
        <w:keepLines/>
        <w:tabs>
          <w:tab w:val="left" w:pos="2160"/>
          <w:tab w:val="left" w:pos="2552"/>
        </w:tabs>
        <w:autoSpaceDE w:val="0"/>
        <w:autoSpaceDN w:val="0"/>
        <w:adjustRightInd w:val="0"/>
        <w:spacing w:before="0" w:line="276" w:lineRule="auto"/>
        <w:ind w:left="360" w:hanging="360"/>
        <w:contextualSpacing w:val="0"/>
        <w:jc w:val="center"/>
        <w:rPr>
          <w:rFonts w:eastAsia="GHEA Grapalat" w:cs="GHEA Grapalat"/>
          <w:b w:val="0"/>
          <w:noProof/>
          <w:szCs w:val="22"/>
          <w:lang w:val="en-US" w:eastAsia="en-US"/>
        </w:rPr>
      </w:pPr>
      <w:r w:rsidRPr="00D178DD">
        <w:rPr>
          <w:rFonts w:eastAsia="GHEA Grapalat" w:cs="GHEA Grapalat"/>
          <w:b w:val="0"/>
          <w:noProof/>
          <w:szCs w:val="22"/>
          <w:lang w:val="en-US" w:eastAsia="en-US"/>
        </w:rPr>
        <w:drawing>
          <wp:inline distT="0" distB="0" distL="0" distR="0" wp14:anchorId="31A1B2A5" wp14:editId="234F31DE">
            <wp:extent cx="5673488" cy="2647950"/>
            <wp:effectExtent l="57150" t="0" r="60960" b="114300"/>
            <wp:docPr id="148" name="Chart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178DD" w:rsidRPr="00D178DD" w:rsidRDefault="00D178DD" w:rsidP="00D17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firstLine="709"/>
        <w:contextualSpacing w:val="0"/>
        <w:rPr>
          <w:rFonts w:eastAsia="Calibri" w:cs="Arial"/>
          <w:b w:val="0"/>
          <w:bCs/>
          <w:i/>
          <w:iCs/>
          <w:sz w:val="18"/>
          <w:szCs w:val="18"/>
          <w:lang w:val="hy-AM" w:eastAsia="en-US"/>
        </w:rPr>
      </w:pPr>
      <w:r w:rsidRPr="00D178DD">
        <w:rPr>
          <w:rFonts w:eastAsia="Calibri" w:cs="Arial"/>
          <w:b w:val="0"/>
          <w:bCs/>
          <w:i/>
          <w:iCs/>
          <w:sz w:val="18"/>
          <w:szCs w:val="18"/>
          <w:lang w:val="hy-AM" w:eastAsia="en-US"/>
        </w:rPr>
        <w:t>Աղբյուրը՝ ՀՀ ՖՆ</w:t>
      </w:r>
    </w:p>
    <w:p w:rsidR="00D178DD" w:rsidRPr="00D178DD" w:rsidRDefault="00D178DD" w:rsidP="00D178DD">
      <w:pPr>
        <w:spacing w:after="120" w:line="276" w:lineRule="auto"/>
        <w:contextualSpacing w:val="0"/>
        <w:rPr>
          <w:rFonts w:cs="GHEA Grapalat"/>
          <w:b w:val="0"/>
          <w:szCs w:val="22"/>
          <w:lang w:val="hy-AM"/>
        </w:rPr>
      </w:pPr>
      <w:r w:rsidRPr="00D178DD">
        <w:rPr>
          <w:rFonts w:eastAsia="Calibri"/>
          <w:i/>
          <w:szCs w:val="22"/>
          <w:lang w:val="hy-AM" w:eastAsia="en-US"/>
        </w:rPr>
        <w:t>Պետական բյուջեի ծախսերը:</w:t>
      </w:r>
      <w:r w:rsidRPr="00D178DD">
        <w:rPr>
          <w:rFonts w:eastAsia="Calibri"/>
          <w:b w:val="0"/>
          <w:szCs w:val="22"/>
          <w:lang w:val="hy-AM" w:eastAsia="en-US"/>
        </w:rPr>
        <w:t xml:space="preserve"> </w:t>
      </w:r>
      <w:r w:rsidRPr="00D178DD">
        <w:rPr>
          <w:rFonts w:cs="GHEA Grapalat"/>
          <w:szCs w:val="22"/>
          <w:lang w:val="hy-AM"/>
        </w:rPr>
        <w:t>Պետական բյուջեի ծախսերը 2022 թվականի առաջին ութ ամիսներին աճել են՝ պայմանավորված ինչպես ընթացիկ, այնպես էլ կապիտալ ծախսերի աճերով:</w:t>
      </w:r>
      <w:r w:rsidRPr="00D178DD">
        <w:rPr>
          <w:rFonts w:cs="GHEA Grapalat"/>
          <w:b w:val="0"/>
          <w:szCs w:val="22"/>
          <w:lang w:val="hy-AM"/>
        </w:rPr>
        <w:t xml:space="preserve"> 2022 թվականի ութ ամիսներին պետական բյուջեի ծախսերը կազմել են 1,258.2 մլրդ դրամ՝ նախորդ տարվա նույն ժամանակահատվածի համեմատ աճելով 6.3%-ով: Նույն ժամանակահատվածում ընթացիկ ծախսերը կազմել են 1,111.6</w:t>
      </w:r>
      <w:r w:rsidRPr="00D178DD">
        <w:rPr>
          <w:rFonts w:ascii="Calibri" w:hAnsi="Calibri" w:cs="Calibri"/>
          <w:b w:val="0"/>
          <w:szCs w:val="22"/>
          <w:lang w:val="hy-AM"/>
        </w:rPr>
        <w:t> </w:t>
      </w:r>
      <w:r w:rsidRPr="00D178DD">
        <w:rPr>
          <w:rFonts w:cs="GHEA Grapalat"/>
          <w:b w:val="0"/>
          <w:szCs w:val="22"/>
          <w:lang w:val="hy-AM"/>
        </w:rPr>
        <w:t>մլրդ դրամ` նախորդ տարվա նույն ժամանակահատվածի համեմատ աճելով 2.9%</w:t>
      </w:r>
      <w:r w:rsidRPr="00D178DD">
        <w:rPr>
          <w:rFonts w:cs="GHEA Grapalat"/>
          <w:b w:val="0"/>
          <w:szCs w:val="22"/>
          <w:lang w:val="hy-AM"/>
        </w:rPr>
        <w:noBreakHyphen/>
        <w:t xml:space="preserve">ով: </w:t>
      </w:r>
    </w:p>
    <w:p w:rsidR="00D178DD" w:rsidRPr="00D178DD" w:rsidRDefault="00D178DD" w:rsidP="00D178DD">
      <w:pPr>
        <w:spacing w:after="120" w:line="276" w:lineRule="auto"/>
        <w:contextualSpacing w:val="0"/>
        <w:rPr>
          <w:rFonts w:cs="GHEA Grapalat"/>
          <w:b w:val="0"/>
          <w:szCs w:val="22"/>
          <w:lang w:val="hy-AM"/>
        </w:rPr>
      </w:pPr>
      <w:r w:rsidRPr="00D178DD">
        <w:rPr>
          <w:rFonts w:cs="GHEA Grapalat"/>
          <w:b w:val="0"/>
          <w:szCs w:val="22"/>
          <w:lang w:val="hy-AM"/>
        </w:rPr>
        <w:t>Ոչ ֆինանսական ակտիվների հետ գործառնությունները կազմել են 146.6 մլրդ դրամ, որում ոչ ֆինանսական ակտիվների գծով ծախսերը (կապիտալ ծախսեր) կազմել են 151.5 մլրդ դրամ` նախորդ տարվա նույն ժամանակահատվածի նկատմամբ աճելով 45.0%</w:t>
      </w:r>
      <w:r w:rsidRPr="00D178DD">
        <w:rPr>
          <w:rFonts w:cs="GHEA Grapalat"/>
          <w:b w:val="0"/>
          <w:szCs w:val="22"/>
          <w:lang w:val="hy-AM"/>
        </w:rPr>
        <w:noBreakHyphen/>
        <w:t xml:space="preserve">ով, որում էական դեր ունեն պաշտպանական ոլորտին ուղղվող կապիտալ ծախսերի աճը: </w:t>
      </w:r>
    </w:p>
    <w:p w:rsidR="00D178DD" w:rsidRPr="00D178DD" w:rsidRDefault="00D178DD" w:rsidP="00D178DD">
      <w:pPr>
        <w:spacing w:after="120" w:line="276" w:lineRule="auto"/>
        <w:contextualSpacing w:val="0"/>
        <w:rPr>
          <w:rFonts w:cs="GHEA Grapalat"/>
          <w:b w:val="0"/>
          <w:szCs w:val="22"/>
          <w:lang w:val="hy-AM"/>
        </w:rPr>
      </w:pPr>
      <w:r w:rsidRPr="00D178DD">
        <w:rPr>
          <w:rFonts w:eastAsia="Calibri"/>
          <w:i/>
          <w:szCs w:val="22"/>
          <w:lang w:val="hy-AM" w:eastAsia="en-US"/>
        </w:rPr>
        <w:t xml:space="preserve">Հարկաբյուջետային քաղաքականության արձագանքը մակրոտնտեսական զարգացումներին: </w:t>
      </w:r>
      <w:r w:rsidRPr="00D178DD">
        <w:rPr>
          <w:rFonts w:eastAsia="Calibri"/>
          <w:b w:val="0"/>
          <w:szCs w:val="22"/>
          <w:lang w:val="hy-AM" w:eastAsia="en-US"/>
        </w:rPr>
        <w:t xml:space="preserve">Հարկաբյուջետային քաղաքականության արձագանքը ռուս-ուկրաինական հակամարտության սրման հետևանքով ՀՀ տնտեսություն փոխանցված տնտեսական շոկերին ներառում է ինչպես տնտեսական, այնպես էլ սոցիալական բաղադրիչ: Մասնավորապես, փոխարժեքի կտրուկ արժևորման արդյունքում ՀՀ տնտեսության արտահանելի հատվածին, աջակցելու նպատակով նախատեսվել է սուբսիդավորել նոր (չօգտագործված) մեքենասարքավորումներ և դրանց բաղկացուցիչ մասեր ձեռք բերելու նպատակով տնտեսվարողներին տրամադրված վարկերի և լիզինգների տոկոսադրույքները: ՏՏ ոլորտի աջակցության և խթանման նպատակով նախատեսվել է այդ ոլորտում, որոշակի պայմաններ բավարարելու դեպքում, վերադարձնել նոր ստեղծված աշխատատեղերի համար վճարված եկամտային հարկի 50 տոկոսը: Բարձր գնաճի հետևանքներին հակազդելու նպատակով, նախատեսվել է գյուղատնտեսության ոլորտում ավելացնել տրամադրվող սուբսիդիաների ծավալը, ինչպես նաև իրականացնել սոցիալական աջակցության միջոցառումներ՝ բարձրացնելով կենսաթոշակները և այլ սոցիալական ծախսերը: </w:t>
      </w:r>
    </w:p>
    <w:p w:rsidR="00D178DD" w:rsidRPr="00D178DD" w:rsidRDefault="00D178DD" w:rsidP="00D178DD">
      <w:pPr>
        <w:autoSpaceDE w:val="0"/>
        <w:autoSpaceDN w:val="0"/>
        <w:adjustRightInd w:val="0"/>
        <w:spacing w:after="120" w:line="276" w:lineRule="auto"/>
        <w:contextualSpacing w:val="0"/>
        <w:rPr>
          <w:rFonts w:eastAsia="Calibri"/>
          <w:b w:val="0"/>
          <w:szCs w:val="22"/>
          <w:lang w:val="hy-AM" w:eastAsia="en-US"/>
        </w:rPr>
      </w:pPr>
      <w:r w:rsidRPr="00D178DD">
        <w:rPr>
          <w:rFonts w:eastAsia="Calibri"/>
          <w:i/>
          <w:szCs w:val="22"/>
          <w:lang w:val="hy-AM" w:eastAsia="en-US"/>
        </w:rPr>
        <w:t>Պետական բյուջեի պակասուրդը (հավելուրդը):</w:t>
      </w:r>
      <w:r w:rsidRPr="00D178DD">
        <w:rPr>
          <w:rFonts w:eastAsia="Calibri"/>
          <w:b w:val="0"/>
          <w:szCs w:val="22"/>
          <w:lang w:val="hy-AM" w:eastAsia="en-US"/>
        </w:rPr>
        <w:t xml:space="preserve"> </w:t>
      </w:r>
      <w:r w:rsidRPr="00D178DD">
        <w:rPr>
          <w:rFonts w:eastAsia="Calibri"/>
          <w:szCs w:val="22"/>
          <w:lang w:val="hy-AM" w:eastAsia="en-US"/>
        </w:rPr>
        <w:t>Վերոնշյալ զարգացումների արդյունքում պետական բյուջեն եղել է հավելուրդային:</w:t>
      </w:r>
      <w:r w:rsidRPr="00D178DD">
        <w:rPr>
          <w:rFonts w:eastAsia="Calibri"/>
          <w:b w:val="0"/>
          <w:szCs w:val="22"/>
          <w:lang w:val="hy-AM" w:eastAsia="en-US"/>
        </w:rPr>
        <w:t xml:space="preserve"> 2022 թվականի առաջին ութ ամիսների ընթացքում ձևավորվել է պետական բյուջեի 53.7 մլրդ դրամի հավելուրդ՝ նախորդ տարվա նույն ժամանակահատվածի 143.5 մլրդ դրամի պակասուրդի դիմաց:</w:t>
      </w:r>
    </w:p>
    <w:p w:rsidR="00D178DD" w:rsidRPr="00D178DD" w:rsidRDefault="00D178DD" w:rsidP="00D178DD">
      <w:pPr>
        <w:spacing w:after="120" w:line="276" w:lineRule="auto"/>
        <w:contextualSpacing w:val="0"/>
        <w:rPr>
          <w:rFonts w:cs="GHEA Grapalat"/>
          <w:b w:val="0"/>
          <w:szCs w:val="22"/>
          <w:lang w:val="hy-AM"/>
        </w:rPr>
      </w:pPr>
      <w:r w:rsidRPr="00D178DD">
        <w:rPr>
          <w:rFonts w:eastAsia="Calibri"/>
          <w:i/>
          <w:szCs w:val="22"/>
          <w:lang w:val="hy-AM" w:eastAsia="en-US"/>
        </w:rPr>
        <w:t>Հարկաբյուջետային ազդակը:</w:t>
      </w:r>
      <w:r w:rsidRPr="00D178DD">
        <w:rPr>
          <w:rFonts w:eastAsia="Calibri"/>
          <w:b w:val="0"/>
          <w:szCs w:val="22"/>
          <w:lang w:val="hy-AM" w:eastAsia="en-US"/>
        </w:rPr>
        <w:t xml:space="preserve"> </w:t>
      </w:r>
      <w:r w:rsidRPr="00D178DD">
        <w:rPr>
          <w:rFonts w:cs="GHEA Grapalat"/>
          <w:b w:val="0"/>
          <w:szCs w:val="22"/>
          <w:lang w:val="hy-AM"/>
        </w:rPr>
        <w:t xml:space="preserve">2022 թվականի առաջին կիսամյակի ընթացքում տնտեսության վերականգնման պայմաններում հարկաբյուջետային քաղաքականության ազդեցությունն ամբողջական պահանջարկի վրա գնահատվում է շուրջ 4.0% զսպող: </w:t>
      </w:r>
    </w:p>
    <w:p w:rsidR="00D178DD" w:rsidRPr="00D178DD" w:rsidRDefault="00D178DD" w:rsidP="00D178DD">
      <w:pPr>
        <w:spacing w:before="240" w:after="120" w:line="276" w:lineRule="auto"/>
        <w:ind w:firstLine="0"/>
        <w:contextualSpacing w:val="0"/>
        <w:rPr>
          <w:rFonts w:eastAsia="Calibri" w:cs="Arial"/>
          <w:bCs/>
          <w:szCs w:val="22"/>
          <w:u w:val="single"/>
          <w:lang w:val="hy-AM" w:eastAsia="en-US"/>
        </w:rPr>
      </w:pPr>
      <w:r w:rsidRPr="00D178DD">
        <w:rPr>
          <w:rFonts w:eastAsia="Calibri" w:cs="Arial"/>
          <w:bCs/>
          <w:szCs w:val="22"/>
          <w:u w:val="single"/>
          <w:lang w:val="hy-AM" w:eastAsia="en-US"/>
        </w:rPr>
        <w:t xml:space="preserve">Կարճաժամկետ կանխատեսումներ </w:t>
      </w:r>
    </w:p>
    <w:p w:rsidR="00D178DD" w:rsidRPr="00D178DD" w:rsidRDefault="00D178DD" w:rsidP="00D178DD">
      <w:pPr>
        <w:spacing w:after="120" w:line="276" w:lineRule="auto"/>
        <w:contextualSpacing w:val="0"/>
        <w:rPr>
          <w:rFonts w:eastAsia="Calibri"/>
          <w:lang w:val="hy-AM"/>
        </w:rPr>
      </w:pPr>
      <w:r w:rsidRPr="00D178DD">
        <w:rPr>
          <w:rFonts w:eastAsia="Calibri"/>
          <w:bCs/>
          <w:lang w:val="hy-AM"/>
        </w:rPr>
        <w:t xml:space="preserve">2022թ. բարձր տնտեսական աճի պայմաններում սպասվում է նախապես ծրագրվածի համեմատ հարկային եկամուտների էական գերակատարում, ինչի արդյունքում սպասվում է բյուջեի պակասուրդի նվազում, ինչպես նաև կառավարության պարտքի բեռի սպասվածից ավելի արագ նվազում: </w:t>
      </w:r>
    </w:p>
    <w:p w:rsidR="00D178DD" w:rsidRPr="00D178DD" w:rsidRDefault="00D178DD" w:rsidP="00D178DD">
      <w:pPr>
        <w:autoSpaceDE w:val="0"/>
        <w:autoSpaceDN w:val="0"/>
        <w:adjustRightInd w:val="0"/>
        <w:spacing w:after="120" w:line="276" w:lineRule="auto"/>
        <w:contextualSpacing w:val="0"/>
        <w:rPr>
          <w:rFonts w:eastAsia="Calibri" w:cs="GHEA Grapalat"/>
          <w:szCs w:val="22"/>
          <w:lang w:val="hy-AM" w:eastAsia="en-US"/>
        </w:rPr>
      </w:pPr>
      <w:r w:rsidRPr="00D178DD">
        <w:rPr>
          <w:rFonts w:eastAsia="Calibri" w:cs="GHEA Grapalat"/>
          <w:b w:val="0"/>
          <w:bCs/>
          <w:szCs w:val="22"/>
          <w:lang w:val="hy-AM" w:eastAsia="en-US"/>
        </w:rPr>
        <w:t xml:space="preserve">2022թ.-ին օրենսդրական բարեփոխումների և հարկային վարչարարության բարելավմանն ուղղված միջոցառումների արդյունքում ակնկալվում է, որ հարկային եկամուտները ՀՆԱ-ի նկատմամբ կբարելավվեն շուրջ 0.4 տոկոսային կետով՝ կազմելով </w:t>
      </w:r>
      <w:r w:rsidRPr="00D178DD">
        <w:rPr>
          <w:rFonts w:eastAsia="Calibri" w:cs="GHEA Grapalat"/>
          <w:b w:val="0"/>
          <w:szCs w:val="22"/>
          <w:lang w:val="hy-AM" w:eastAsia="en-US"/>
        </w:rPr>
        <w:t>23.2%</w:t>
      </w:r>
      <w:r w:rsidRPr="00D178DD">
        <w:rPr>
          <w:rFonts w:eastAsia="Calibri" w:cs="GHEA Grapalat"/>
          <w:b w:val="0"/>
          <w:bCs/>
          <w:szCs w:val="22"/>
          <w:lang w:val="hy-AM" w:eastAsia="en-US"/>
        </w:rPr>
        <w:t xml:space="preserve"> կամ </w:t>
      </w:r>
      <w:r w:rsidRPr="00D178DD">
        <w:rPr>
          <w:rFonts w:eastAsia="Calibri" w:cs="GHEA Grapalat"/>
          <w:b w:val="0"/>
          <w:szCs w:val="22"/>
          <w:lang w:val="hy-AM" w:eastAsia="en-US"/>
        </w:rPr>
        <w:t>1,920 մլրդ դրամ</w:t>
      </w:r>
      <w:r w:rsidRPr="00D178DD">
        <w:rPr>
          <w:rFonts w:eastAsia="Calibri" w:cs="GHEA Grapalat"/>
          <w:b w:val="0"/>
          <w:bCs/>
          <w:szCs w:val="22"/>
          <w:lang w:val="hy-AM" w:eastAsia="en-US"/>
        </w:rPr>
        <w:t xml:space="preserve">: Միևնույն ժամանակ, </w:t>
      </w:r>
      <w:r w:rsidRPr="00D178DD">
        <w:rPr>
          <w:rFonts w:eastAsia="Calibri" w:cs="GHEA Grapalat"/>
          <w:b w:val="0"/>
          <w:szCs w:val="22"/>
          <w:lang w:val="hy-AM" w:eastAsia="en-US"/>
        </w:rPr>
        <w:t xml:space="preserve">պետական բյուջեի ընդհանուր ծախսերը ՀՆԱ-ի նկատմամբ կնվազեն շուրջ 1.6 տոկոսային կետով՝ կազմելով 27.1%: Ծախսերի ծավալը, սակայն, կաճի նախորդ տարվա համեմատ շուրջ 12.0%-ով՝ կազմելով 2,246.7 մլրդ դրամ: Արդյունքում, պետական բյուջեի պակասուրդը 2021 թվականի նկատմամբ կնվազի՝ կազմելով շուրջ 204.2 մլրդ դրամ, կամ կկազմի ՀՆԱ-ի շուրջ 2.5%-ը, իսկ հարկաբյուջետային քաղաքականության ազդեցությունը ամբողջական պահանջարկի վրա կլինի 1.3% զսպող (եկամուտների (-0.2%) չեզոք և ծախսերի (-1.2%) զսպող ազդեցություններով): </w:t>
      </w:r>
    </w:p>
    <w:p w:rsidR="00D178DD" w:rsidRPr="00D178DD" w:rsidRDefault="00D178DD" w:rsidP="00D178DD">
      <w:pPr>
        <w:autoSpaceDE w:val="0"/>
        <w:autoSpaceDN w:val="0"/>
        <w:adjustRightInd w:val="0"/>
        <w:spacing w:before="0" w:after="120" w:line="276" w:lineRule="auto"/>
        <w:contextualSpacing w:val="0"/>
        <w:rPr>
          <w:rFonts w:eastAsia="Calibri"/>
          <w:b w:val="0"/>
          <w:szCs w:val="22"/>
          <w:lang w:val="hy-AM" w:eastAsia="en-US"/>
        </w:rPr>
      </w:pPr>
      <w:r w:rsidRPr="00D178DD">
        <w:rPr>
          <w:rFonts w:eastAsia="Calibri"/>
          <w:szCs w:val="22"/>
          <w:lang w:val="hy-AM" w:eastAsia="en-US"/>
        </w:rPr>
        <w:t>Նպատակ ունենալով նպաստել տնտեսական աճի ներուժի բարձրացմանը և միաժամանակ ապահովել հարկաբյուջետային կայունություն՝ հարկաբյուջետային քաղաքականությամբ թիրախավորվել է էապես բարձրացնել պետական ներդրումների մակարդակը (այդ թվում պաշտպանության ոլորտին ուղղվող կապիտալ ծախսերի էական աճը) և միաժամանակ ապահովել ՀՀ կառավարության պարտքի բեռի նվազող միտումը:</w:t>
      </w:r>
      <w:r w:rsidRPr="00D178DD">
        <w:rPr>
          <w:rFonts w:eastAsia="Calibri"/>
          <w:b w:val="0"/>
          <w:bCs/>
          <w:szCs w:val="22"/>
          <w:lang w:val="hy-AM" w:eastAsia="en-US"/>
        </w:rPr>
        <w:t xml:space="preserve"> Բ</w:t>
      </w:r>
      <w:r w:rsidRPr="00D178DD">
        <w:rPr>
          <w:rFonts w:eastAsia="Calibri"/>
          <w:b w:val="0"/>
          <w:szCs w:val="22"/>
          <w:lang w:val="hy-AM" w:eastAsia="en-US"/>
        </w:rPr>
        <w:t>արձր տնտեսական աճի պայմաններում, հարկային վարչարարության լրացուցիչ ջանքի արդյունքում, ակնկալվում է, որ հարկեր/ՀՆԱ հարաբերակցությունը 2023թ.-ին կբարելավվի շուրջ 0.5 տոկոսային կետով՝ կազմելով շուրջ 2203.7 մլրդ դրամ, կամ ՀՆԱ-ի 23.7%-ը: Պետական բյուջեի ընթացիկ ծախսերը կկազմեն 2043.3 մլրդ դրամ, որոնց կազմում ընթացիկ առաջնային ծախսերը սահմանափակված կլինեն նախորդ 7 տարիների ՀՆԱ-ների փաստացի անվանական միջին աճի չափով, իսկ ոչ ֆինանսական ակտիվների հետ գործառնությունների դերը զգալիորեն կբարելավվի՝ հասնելով ՀՆԱ-ի 5.9%-ին՝ 2022թ. սպասվող 4.7%-ի համեմատ աճելով 1.2 տոկոսային կետով, որում ոչ ֆինանսական ակտիվների գծով ծախսերը կհասնեն ՀՆԱ-ի 6.0%-ի:</w:t>
      </w:r>
    </w:p>
    <w:p w:rsidR="00D178DD" w:rsidRPr="00D178DD" w:rsidRDefault="00D178DD" w:rsidP="00D178DD">
      <w:pPr>
        <w:autoSpaceDE w:val="0"/>
        <w:autoSpaceDN w:val="0"/>
        <w:adjustRightInd w:val="0"/>
        <w:spacing w:before="0" w:after="120" w:line="276" w:lineRule="auto"/>
        <w:contextualSpacing w:val="0"/>
        <w:rPr>
          <w:rFonts w:eastAsia="Calibri"/>
          <w:b w:val="0"/>
          <w:szCs w:val="22"/>
          <w:lang w:val="hy-AM" w:eastAsia="en-US"/>
        </w:rPr>
      </w:pPr>
      <w:r w:rsidRPr="00D178DD">
        <w:rPr>
          <w:rFonts w:eastAsia="Calibri"/>
          <w:b w:val="0"/>
          <w:szCs w:val="22"/>
          <w:lang w:val="hy-AM" w:eastAsia="en-US"/>
        </w:rPr>
        <w:t>2023 թվականին, կապիտալ ծախսերի ավելացման հաշվին պետական բյուջեի դեֆիցիտը կավելանա՝ կազմելով ՀՆԱ-ի 3.1</w:t>
      </w:r>
      <w:r w:rsidRPr="00D178DD">
        <w:rPr>
          <w:rFonts w:eastAsia="Calibri" w:cs="Sylfaen"/>
          <w:b w:val="0"/>
          <w:szCs w:val="22"/>
          <w:lang w:val="hy-AM" w:eastAsia="en-US"/>
        </w:rPr>
        <w:t>%-ը</w:t>
      </w:r>
      <w:r w:rsidRPr="00D178DD">
        <w:rPr>
          <w:rFonts w:eastAsia="Calibri"/>
          <w:b w:val="0"/>
          <w:szCs w:val="22"/>
          <w:lang w:val="hy-AM" w:eastAsia="en-US"/>
        </w:rPr>
        <w:t xml:space="preserve">, իսկ հարկաբյուջետային քաղաքականությունը կլինի չեզոք՝ </w:t>
      </w:r>
      <w:r w:rsidRPr="00D178DD">
        <w:rPr>
          <w:rFonts w:eastAsia="Calibri" w:cs="Times Armenian"/>
          <w:b w:val="0"/>
          <w:bCs/>
          <w:szCs w:val="22"/>
          <w:lang w:val="hy-AM" w:eastAsia="en-US"/>
        </w:rPr>
        <w:t>նպաստելով տնտեսական ներուժի բարձրացմանը և ապահովելով պարտքի բեռի նվազմանը</w:t>
      </w:r>
      <w:r w:rsidRPr="00D178DD">
        <w:rPr>
          <w:rFonts w:eastAsia="Calibri"/>
          <w:b w:val="0"/>
          <w:szCs w:val="22"/>
          <w:lang w:val="hy-AM" w:eastAsia="en-US"/>
        </w:rPr>
        <w:t xml:space="preserve">: </w:t>
      </w:r>
    </w:p>
    <w:p w:rsidR="00D178DD" w:rsidRPr="00D178DD" w:rsidRDefault="00D178DD" w:rsidP="00D178DD">
      <w:pPr>
        <w:autoSpaceDE w:val="0"/>
        <w:autoSpaceDN w:val="0"/>
        <w:adjustRightInd w:val="0"/>
        <w:spacing w:before="0" w:after="120" w:line="276" w:lineRule="auto"/>
        <w:contextualSpacing w:val="0"/>
        <w:rPr>
          <w:rFonts w:eastAsia="Calibri"/>
          <w:b w:val="0"/>
          <w:szCs w:val="22"/>
          <w:lang w:val="hy-AM" w:eastAsia="en-US"/>
        </w:rPr>
      </w:pPr>
    </w:p>
    <w:p w:rsidR="00D178DD" w:rsidRPr="00D178DD" w:rsidRDefault="00D178DD" w:rsidP="00D178DD">
      <w:pPr>
        <w:spacing w:line="276" w:lineRule="auto"/>
        <w:ind w:firstLine="0"/>
        <w:contextualSpacing w:val="0"/>
        <w:jc w:val="left"/>
        <w:rPr>
          <w:rFonts w:eastAsia="Calibri"/>
          <w:b w:val="0"/>
          <w:i/>
          <w:iCs/>
          <w:sz w:val="21"/>
          <w:szCs w:val="21"/>
          <w:lang w:val="hy-AM" w:eastAsia="en-US"/>
        </w:rPr>
      </w:pPr>
      <w:r w:rsidRPr="00D178DD">
        <w:rPr>
          <w:rFonts w:eastAsia="Calibri"/>
          <w:bCs/>
          <w:i/>
          <w:iCs/>
          <w:sz w:val="21"/>
          <w:szCs w:val="21"/>
          <w:lang w:val="hy-AM" w:eastAsia="en-US"/>
        </w:rPr>
        <w:t>Գծապատկեր 2.2.</w:t>
      </w:r>
      <w:r w:rsidRPr="00D178DD">
        <w:rPr>
          <w:rFonts w:eastAsia="Calibri"/>
          <w:b w:val="0"/>
          <w:i/>
          <w:iCs/>
          <w:sz w:val="21"/>
          <w:szCs w:val="21"/>
          <w:lang w:val="hy-AM" w:eastAsia="en-US"/>
        </w:rPr>
        <w:t xml:space="preserve"> Պետական բյուջեի եկամուտները, ծախսերը և պակասուրդը, մլրդ դրամ</w:t>
      </w:r>
    </w:p>
    <w:p w:rsidR="00D178DD" w:rsidRPr="00D178DD" w:rsidRDefault="00D178DD" w:rsidP="00D178DD">
      <w:pPr>
        <w:spacing w:before="0" w:line="276" w:lineRule="auto"/>
        <w:ind w:firstLine="0"/>
        <w:contextualSpacing w:val="0"/>
        <w:rPr>
          <w:rFonts w:eastAsia="Calibri"/>
          <w:sz w:val="20"/>
          <w:szCs w:val="22"/>
          <w:lang w:val="hy-AM" w:eastAsia="en-US"/>
        </w:rPr>
      </w:pPr>
      <w:r w:rsidRPr="00D178DD">
        <w:rPr>
          <w:rFonts w:eastAsia="Calibri"/>
          <w:b w:val="0"/>
          <w:noProof/>
          <w:sz w:val="20"/>
          <w:szCs w:val="20"/>
          <w:lang w:val="en-US" w:eastAsia="en-US"/>
        </w:rPr>
        <w:drawing>
          <wp:inline distT="0" distB="0" distL="0" distR="0" wp14:anchorId="3038E7E4" wp14:editId="1224F24B">
            <wp:extent cx="2952000" cy="2857500"/>
            <wp:effectExtent l="0" t="0" r="1270" b="0"/>
            <wp:docPr id="103" name="Chart 1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D178DD">
        <w:rPr>
          <w:rFonts w:eastAsia="Calibri"/>
          <w:szCs w:val="22"/>
          <w:lang w:val="hy-AM" w:eastAsia="en-US"/>
        </w:rPr>
        <w:t xml:space="preserve"> </w:t>
      </w:r>
      <w:r w:rsidRPr="00D178DD">
        <w:rPr>
          <w:rFonts w:eastAsia="Calibri"/>
          <w:b w:val="0"/>
          <w:noProof/>
          <w:sz w:val="20"/>
          <w:szCs w:val="20"/>
          <w:lang w:val="en-US" w:eastAsia="en-US"/>
        </w:rPr>
        <w:drawing>
          <wp:inline distT="0" distB="0" distL="0" distR="0" wp14:anchorId="2E6FE045" wp14:editId="14FB7350">
            <wp:extent cx="2952000" cy="2857500"/>
            <wp:effectExtent l="0" t="0" r="1270" b="0"/>
            <wp:docPr id="104" name="Chart 1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178DD" w:rsidRPr="00D178DD" w:rsidRDefault="00D178DD" w:rsidP="00D178DD">
      <w:pPr>
        <w:spacing w:before="0" w:line="276" w:lineRule="auto"/>
        <w:ind w:firstLine="0"/>
        <w:contextualSpacing w:val="0"/>
        <w:jc w:val="left"/>
        <w:rPr>
          <w:rFonts w:eastAsia="Calibri"/>
          <w:bCs/>
          <w:i/>
          <w:iCs/>
          <w:sz w:val="21"/>
          <w:szCs w:val="21"/>
          <w:lang w:val="hy-AM" w:eastAsia="en-US"/>
        </w:rPr>
      </w:pPr>
    </w:p>
    <w:p w:rsidR="00D178DD" w:rsidRPr="00D178DD" w:rsidRDefault="00D178DD" w:rsidP="00D178DD">
      <w:pPr>
        <w:spacing w:before="0" w:line="276" w:lineRule="auto"/>
        <w:ind w:firstLine="0"/>
        <w:contextualSpacing w:val="0"/>
        <w:jc w:val="left"/>
        <w:rPr>
          <w:rFonts w:eastAsia="Calibri"/>
          <w:b w:val="0"/>
          <w:i/>
          <w:iCs/>
          <w:sz w:val="21"/>
          <w:szCs w:val="21"/>
          <w:lang w:val="hy-AM" w:eastAsia="en-US"/>
        </w:rPr>
      </w:pPr>
      <w:r w:rsidRPr="00D178DD">
        <w:rPr>
          <w:rFonts w:eastAsia="Calibri"/>
          <w:bCs/>
          <w:i/>
          <w:iCs/>
          <w:sz w:val="21"/>
          <w:szCs w:val="21"/>
          <w:lang w:val="hy-AM" w:eastAsia="en-US"/>
        </w:rPr>
        <w:t>Գծապատկեր 2.3.</w:t>
      </w:r>
      <w:r w:rsidRPr="00D178DD">
        <w:rPr>
          <w:rFonts w:eastAsia="Calibri"/>
          <w:b w:val="0"/>
          <w:i/>
          <w:iCs/>
          <w:sz w:val="21"/>
          <w:szCs w:val="21"/>
          <w:lang w:val="hy-AM" w:eastAsia="en-US"/>
        </w:rPr>
        <w:t xml:space="preserve"> Հարկաբյուջետային ազդակը</w:t>
      </w:r>
    </w:p>
    <w:p w:rsidR="00D178DD" w:rsidRPr="00D178DD" w:rsidRDefault="00D178DD" w:rsidP="00D178DD">
      <w:pPr>
        <w:spacing w:before="0" w:line="276" w:lineRule="auto"/>
        <w:ind w:firstLine="0"/>
        <w:contextualSpacing w:val="0"/>
        <w:rPr>
          <w:rFonts w:eastAsia="Calibri"/>
          <w:b w:val="0"/>
          <w:szCs w:val="22"/>
          <w:lang w:val="hy-AM" w:eastAsia="en-US"/>
        </w:rPr>
      </w:pPr>
      <w:r w:rsidRPr="00D178DD">
        <w:rPr>
          <w:rFonts w:eastAsia="Calibri"/>
          <w:b w:val="0"/>
          <w:noProof/>
          <w:szCs w:val="22"/>
          <w:lang w:val="en-US" w:eastAsia="en-US"/>
        </w:rPr>
        <w:drawing>
          <wp:inline distT="0" distB="0" distL="0" distR="0" wp14:anchorId="0D83790A" wp14:editId="07C73839">
            <wp:extent cx="5969000" cy="2228850"/>
            <wp:effectExtent l="0" t="0" r="12700" b="0"/>
            <wp:docPr id="149" name="Chart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178DD" w:rsidRPr="00D178DD" w:rsidRDefault="00D178DD" w:rsidP="00D178DD">
      <w:pPr>
        <w:autoSpaceDE w:val="0"/>
        <w:autoSpaceDN w:val="0"/>
        <w:adjustRightInd w:val="0"/>
        <w:spacing w:before="0" w:line="276" w:lineRule="auto"/>
        <w:ind w:firstLine="709"/>
        <w:contextualSpacing w:val="0"/>
        <w:rPr>
          <w:rFonts w:eastAsia="Calibri" w:cs="Arial"/>
          <w:b w:val="0"/>
          <w:bCs/>
          <w:i/>
          <w:iCs/>
          <w:sz w:val="18"/>
          <w:szCs w:val="18"/>
          <w:lang w:val="hy-AM" w:eastAsia="en-US"/>
        </w:rPr>
      </w:pPr>
      <w:r w:rsidRPr="00D178DD">
        <w:rPr>
          <w:rFonts w:eastAsia="Calibri" w:cs="Arial"/>
          <w:b w:val="0"/>
          <w:bCs/>
          <w:i/>
          <w:iCs/>
          <w:sz w:val="18"/>
          <w:szCs w:val="18"/>
          <w:lang w:val="hy-AM" w:eastAsia="en-US"/>
        </w:rPr>
        <w:t>Աղբյուրը՝ ՀՀ ՖՆ գնահատականներ</w:t>
      </w:r>
    </w:p>
    <w:p w:rsidR="00D178DD" w:rsidRPr="00D178DD" w:rsidRDefault="00D178DD" w:rsidP="00D178DD">
      <w:pPr>
        <w:spacing w:before="0" w:line="276" w:lineRule="auto"/>
        <w:ind w:firstLine="709"/>
        <w:contextualSpacing w:val="0"/>
        <w:rPr>
          <w:rFonts w:eastAsia="Calibri"/>
          <w:bCs/>
          <w:i/>
          <w:iCs/>
          <w:sz w:val="21"/>
          <w:szCs w:val="21"/>
          <w:lang w:val="hy-AM" w:eastAsia="en-US"/>
        </w:rPr>
      </w:pPr>
    </w:p>
    <w:p w:rsidR="00D178DD" w:rsidRPr="00D178DD" w:rsidRDefault="00D178DD" w:rsidP="00D178DD">
      <w:pPr>
        <w:spacing w:before="0" w:line="276" w:lineRule="auto"/>
        <w:ind w:firstLine="709"/>
        <w:contextualSpacing w:val="0"/>
        <w:rPr>
          <w:rFonts w:eastAsia="Calibri"/>
          <w:b w:val="0"/>
          <w:i/>
          <w:iCs/>
          <w:sz w:val="21"/>
          <w:szCs w:val="21"/>
          <w:lang w:val="hy-AM" w:eastAsia="en-US"/>
        </w:rPr>
      </w:pPr>
      <w:r w:rsidRPr="00D178DD">
        <w:rPr>
          <w:rFonts w:eastAsia="Calibri"/>
          <w:bCs/>
          <w:i/>
          <w:iCs/>
          <w:sz w:val="21"/>
          <w:szCs w:val="21"/>
          <w:lang w:val="hy-AM" w:eastAsia="en-US"/>
        </w:rPr>
        <w:t>Գծապատկեր 2.4.</w:t>
      </w:r>
      <w:r w:rsidRPr="00D178DD">
        <w:rPr>
          <w:rFonts w:eastAsia="Calibri"/>
          <w:b w:val="0"/>
          <w:i/>
          <w:iCs/>
          <w:sz w:val="21"/>
          <w:szCs w:val="21"/>
          <w:lang w:val="hy-AM" w:eastAsia="en-US"/>
        </w:rPr>
        <w:t xml:space="preserve"> 2022 թվականին վերադարձը «Ոսկե կանոնների» պահպանմանը</w:t>
      </w:r>
    </w:p>
    <w:p w:rsidR="00D178DD" w:rsidRPr="00D178DD" w:rsidRDefault="00D178DD" w:rsidP="00D178DD">
      <w:pPr>
        <w:spacing w:before="0" w:line="240" w:lineRule="auto"/>
        <w:ind w:firstLine="0"/>
        <w:contextualSpacing w:val="0"/>
        <w:jc w:val="center"/>
        <w:rPr>
          <w:rFonts w:eastAsia="Calibri"/>
          <w:b w:val="0"/>
          <w:noProof/>
          <w:sz w:val="20"/>
          <w:szCs w:val="20"/>
          <w:lang w:val="hy-AM" w:eastAsia="en-US"/>
        </w:rPr>
      </w:pPr>
      <w:r w:rsidRPr="00D178DD">
        <w:rPr>
          <w:rFonts w:eastAsia="Calibri"/>
          <w:b w:val="0"/>
          <w:noProof/>
          <w:sz w:val="20"/>
          <w:szCs w:val="20"/>
          <w:lang w:val="en-US" w:eastAsia="en-US"/>
        </w:rPr>
        <w:drawing>
          <wp:inline distT="0" distB="0" distL="0" distR="0" wp14:anchorId="00C4900B" wp14:editId="0FD6A55B">
            <wp:extent cx="2916000" cy="2700000"/>
            <wp:effectExtent l="0" t="0" r="17780" b="5715"/>
            <wp:docPr id="106" name="Chart 1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D178DD">
        <w:rPr>
          <w:rFonts w:eastAsia="Calibri"/>
          <w:b w:val="0"/>
          <w:noProof/>
          <w:sz w:val="20"/>
          <w:szCs w:val="20"/>
          <w:lang w:val="hy-AM" w:eastAsia="en-US"/>
        </w:rPr>
        <w:t xml:space="preserve"> </w:t>
      </w:r>
      <w:r w:rsidRPr="00D178DD">
        <w:rPr>
          <w:rFonts w:eastAsia="Calibri"/>
          <w:b w:val="0"/>
          <w:noProof/>
          <w:sz w:val="20"/>
          <w:szCs w:val="20"/>
          <w:lang w:val="en-US" w:eastAsia="en-US"/>
        </w:rPr>
        <w:drawing>
          <wp:inline distT="0" distB="0" distL="0" distR="0" wp14:anchorId="38923FBE" wp14:editId="5DA43D64">
            <wp:extent cx="2916000" cy="2700000"/>
            <wp:effectExtent l="0" t="0" r="17780" b="5715"/>
            <wp:docPr id="107" name="Chart 1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178DD" w:rsidRPr="00D178DD" w:rsidRDefault="00D178DD" w:rsidP="00D17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firstLine="709"/>
        <w:contextualSpacing w:val="0"/>
        <w:rPr>
          <w:rFonts w:eastAsia="Calibri" w:cs="Arial"/>
          <w:b w:val="0"/>
          <w:bCs/>
          <w:i/>
          <w:iCs/>
          <w:sz w:val="20"/>
          <w:szCs w:val="20"/>
          <w:lang w:val="hy-AM" w:eastAsia="en-US"/>
        </w:rPr>
      </w:pPr>
      <w:r w:rsidRPr="00D178DD">
        <w:rPr>
          <w:rFonts w:eastAsia="Calibri" w:cs="Arial"/>
          <w:b w:val="0"/>
          <w:bCs/>
          <w:i/>
          <w:iCs/>
          <w:sz w:val="20"/>
          <w:szCs w:val="20"/>
          <w:lang w:val="hy-AM" w:eastAsia="en-US"/>
        </w:rPr>
        <w:t>Աղբյուրը՝ ՀՀ ՖՆ</w:t>
      </w:r>
    </w:p>
    <w:p w:rsidR="00D178DD" w:rsidRPr="00D178DD" w:rsidRDefault="00D178DD" w:rsidP="00D17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firstLine="709"/>
        <w:contextualSpacing w:val="0"/>
        <w:rPr>
          <w:rFonts w:eastAsia="Calibri" w:cs="Arial"/>
          <w:b w:val="0"/>
          <w:bCs/>
          <w:i/>
          <w:iCs/>
          <w:sz w:val="20"/>
          <w:szCs w:val="20"/>
          <w:lang w:val="hy-AM" w:eastAsia="en-US"/>
        </w:rPr>
      </w:pPr>
    </w:p>
    <w:p w:rsidR="00D178DD" w:rsidRPr="00D178DD" w:rsidRDefault="00D178DD" w:rsidP="00D178DD">
      <w:pPr>
        <w:spacing w:line="276" w:lineRule="auto"/>
        <w:rPr>
          <w:rFonts w:eastAsia="Calibri"/>
          <w:bCs/>
          <w:lang w:val="hy-AM"/>
        </w:rPr>
      </w:pPr>
      <w:r w:rsidRPr="00D178DD">
        <w:rPr>
          <w:rFonts w:eastAsia="Calibri"/>
          <w:bCs/>
          <w:lang w:val="hy-AM"/>
        </w:rPr>
        <w:t>2022-2023 թվականներին կշարունակվի 2021թ</w:t>
      </w:r>
      <w:r w:rsidRPr="00D178DD">
        <w:rPr>
          <w:rFonts w:ascii="Cambria Math" w:eastAsia="Calibri" w:hAnsi="Cambria Math" w:cs="Cambria Math"/>
          <w:bCs/>
          <w:lang w:val="hy-AM"/>
        </w:rPr>
        <w:t>․</w:t>
      </w:r>
      <w:r w:rsidRPr="00D178DD">
        <w:rPr>
          <w:rFonts w:eastAsia="Calibri"/>
          <w:bCs/>
          <w:lang w:val="hy-AM"/>
        </w:rPr>
        <w:t xml:space="preserve">-ից սկսված հարկաբյուջետային կոնսոլիդացիան, ինչի արդյունքում կառավարության պարտքը զգալիորեն կնվազի։ </w:t>
      </w:r>
      <w:r w:rsidRPr="00D178DD">
        <w:rPr>
          <w:rFonts w:eastAsia="Calibri"/>
          <w:b w:val="0"/>
          <w:bCs/>
          <w:lang w:val="hy-AM"/>
        </w:rPr>
        <w:t>2022թ</w:t>
      </w:r>
      <w:r w:rsidRPr="00D178DD">
        <w:rPr>
          <w:rFonts w:ascii="Cambria Math" w:eastAsia="Calibri" w:hAnsi="Cambria Math" w:cs="Cambria Math"/>
          <w:b w:val="0"/>
          <w:bCs/>
          <w:lang w:val="hy-AM"/>
        </w:rPr>
        <w:t>․</w:t>
      </w:r>
      <w:r w:rsidRPr="00D178DD">
        <w:rPr>
          <w:rFonts w:eastAsia="Calibri"/>
          <w:b w:val="0"/>
          <w:bCs/>
          <w:lang w:val="hy-AM"/>
        </w:rPr>
        <w:t>-ին ՀՀ կառավարության պարտք/ՀՆԱ ցուցանիշը կկազմի 50.1%, իսկ 2023թ</w:t>
      </w:r>
      <w:r w:rsidRPr="00D178DD">
        <w:rPr>
          <w:rFonts w:ascii="Cambria Math" w:eastAsia="Calibri" w:hAnsi="Cambria Math" w:cs="Cambria Math"/>
          <w:b w:val="0"/>
          <w:bCs/>
          <w:lang w:val="hy-AM"/>
        </w:rPr>
        <w:t>․</w:t>
      </w:r>
      <w:r w:rsidRPr="00D178DD">
        <w:rPr>
          <w:rFonts w:eastAsia="Calibri"/>
          <w:b w:val="0"/>
          <w:bCs/>
          <w:lang w:val="hy-AM"/>
        </w:rPr>
        <w:t>-ին՝ 49.8%:</w:t>
      </w:r>
    </w:p>
    <w:p w:rsidR="00D178DD" w:rsidRPr="00D178DD" w:rsidRDefault="00D178DD" w:rsidP="00D178DD">
      <w:pPr>
        <w:spacing w:line="276" w:lineRule="auto"/>
        <w:rPr>
          <w:b w:val="0"/>
          <w:lang w:val="hy-AM"/>
        </w:rPr>
      </w:pPr>
      <w:r w:rsidRPr="00D178DD">
        <w:rPr>
          <w:rFonts w:eastAsia="Calibri"/>
          <w:b w:val="0"/>
          <w:bCs/>
          <w:lang w:val="hy-AM"/>
        </w:rPr>
        <w:t>2022թ</w:t>
      </w:r>
      <w:r w:rsidRPr="00D178DD">
        <w:rPr>
          <w:rFonts w:ascii="Cambria Math" w:eastAsia="Calibri" w:hAnsi="Cambria Math" w:cs="Cambria Math"/>
          <w:b w:val="0"/>
          <w:bCs/>
          <w:lang w:val="hy-AM"/>
        </w:rPr>
        <w:t>․</w:t>
      </w:r>
      <w:r w:rsidRPr="00D178DD">
        <w:rPr>
          <w:rFonts w:eastAsia="Calibri"/>
          <w:b w:val="0"/>
          <w:bCs/>
          <w:lang w:val="hy-AM"/>
        </w:rPr>
        <w:t>-ին ՀՀ կառավարության պարտք/ՀՆԱ ցուցանիշի նվազմանը նպաստող հիմնական գործոնները կլինեն բարձր տնտեսական աճը և դրամի փոխարժեքի արժևորումը, իսկ 2023թ</w:t>
      </w:r>
      <w:r w:rsidRPr="00D178DD">
        <w:rPr>
          <w:rFonts w:ascii="Cambria Math" w:eastAsia="Calibri" w:hAnsi="Cambria Math" w:cs="Cambria Math"/>
          <w:b w:val="0"/>
          <w:bCs/>
          <w:lang w:val="hy-AM"/>
        </w:rPr>
        <w:t>․</w:t>
      </w:r>
      <w:r w:rsidRPr="00D178DD">
        <w:rPr>
          <w:rFonts w:eastAsia="Calibri"/>
          <w:b w:val="0"/>
          <w:bCs/>
          <w:lang w:val="hy-AM"/>
        </w:rPr>
        <w:t>-ին՝ տնտեսական աճը</w:t>
      </w:r>
      <w:r w:rsidRPr="00D178DD">
        <w:rPr>
          <w:b w:val="0"/>
          <w:lang w:val="hy-AM"/>
        </w:rPr>
        <w:t xml:space="preserve">։ </w:t>
      </w:r>
    </w:p>
    <w:p w:rsidR="00D178DD" w:rsidRPr="00D178DD" w:rsidRDefault="00D178DD" w:rsidP="00D178DD">
      <w:pPr>
        <w:autoSpaceDE w:val="0"/>
        <w:autoSpaceDN w:val="0"/>
        <w:adjustRightInd w:val="0"/>
        <w:spacing w:before="0" w:after="160" w:line="240" w:lineRule="auto"/>
        <w:ind w:firstLine="709"/>
        <w:contextualSpacing w:val="0"/>
        <w:rPr>
          <w:rFonts w:eastAsia="Calibri" w:cs="GHEA Grapalat"/>
          <w:b w:val="0"/>
          <w:i/>
          <w:szCs w:val="22"/>
          <w:lang w:val="hy-AM" w:eastAsia="en-US"/>
        </w:rPr>
      </w:pPr>
      <w:r w:rsidRPr="00D178DD">
        <w:rPr>
          <w:rFonts w:eastAsia="Calibri" w:cs="GHEA Grapalat"/>
          <w:i/>
          <w:szCs w:val="22"/>
          <w:lang w:val="hy-AM" w:eastAsia="en-US"/>
        </w:rPr>
        <w:t>Գծապատկեր 2.5.</w:t>
      </w:r>
      <w:r w:rsidRPr="00D178DD">
        <w:rPr>
          <w:rFonts w:eastAsia="Calibri" w:cs="GHEA Grapalat"/>
          <w:b w:val="0"/>
          <w:i/>
          <w:szCs w:val="22"/>
          <w:lang w:val="hy-AM" w:eastAsia="en-US"/>
        </w:rPr>
        <w:t xml:space="preserve"> ՀՀ կառավարության պարտքի դինամիկան և այն պայմանավորող գործոնները</w:t>
      </w:r>
      <w:r w:rsidRPr="00D178DD">
        <w:rPr>
          <w:rFonts w:ascii="Arial Armenian" w:eastAsia="Calibri" w:hAnsi="Arial Armenian" w:cs="GHEA Grapalat"/>
          <w:b w:val="0"/>
          <w:i/>
          <w:sz w:val="20"/>
          <w:szCs w:val="20"/>
          <w:vertAlign w:val="superscript"/>
          <w:lang w:val="hy-AM" w:eastAsia="en-US"/>
        </w:rPr>
        <w:footnoteReference w:id="13"/>
      </w:r>
      <w:r w:rsidRPr="00D178DD">
        <w:rPr>
          <w:rFonts w:eastAsia="Calibri" w:cs="GHEA Grapalat"/>
          <w:b w:val="0"/>
          <w:i/>
          <w:szCs w:val="22"/>
          <w:lang w:val="hy-AM" w:eastAsia="en-US"/>
        </w:rPr>
        <w:t xml:space="preserve"> </w:t>
      </w:r>
    </w:p>
    <w:p w:rsidR="00D178DD" w:rsidRPr="00D178DD" w:rsidRDefault="00D178DD" w:rsidP="00D178DD">
      <w:pPr>
        <w:autoSpaceDE w:val="0"/>
        <w:autoSpaceDN w:val="0"/>
        <w:adjustRightInd w:val="0"/>
        <w:spacing w:before="0" w:after="160" w:line="240" w:lineRule="auto"/>
        <w:ind w:firstLine="0"/>
        <w:contextualSpacing w:val="0"/>
        <w:rPr>
          <w:rFonts w:eastAsia="Calibri" w:cs="GHEA Grapalat"/>
          <w:b w:val="0"/>
          <w:szCs w:val="22"/>
          <w:lang w:val="hy-AM" w:eastAsia="en-US"/>
        </w:rPr>
      </w:pPr>
      <w:r w:rsidRPr="00D178DD">
        <w:rPr>
          <w:rFonts w:eastAsia="Calibri" w:cs="GHEA Grapalat"/>
          <w:b w:val="0"/>
          <w:szCs w:val="22"/>
          <w:lang w:val="hy-AM" w:eastAsia="en-US"/>
        </w:rPr>
        <w:t xml:space="preserve">  </w:t>
      </w:r>
      <w:r w:rsidRPr="00D178DD">
        <w:rPr>
          <w:rFonts w:ascii="Calibri" w:eastAsia="Calibri" w:hAnsi="Calibri"/>
          <w:noProof/>
          <w:szCs w:val="22"/>
          <w:lang w:val="en-US" w:eastAsia="en-US"/>
        </w:rPr>
        <w:drawing>
          <wp:inline distT="0" distB="0" distL="0" distR="0" wp14:anchorId="00D413ED" wp14:editId="630D2278">
            <wp:extent cx="2844000" cy="2879725"/>
            <wp:effectExtent l="0" t="0" r="13970" b="1587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D178DD">
        <w:rPr>
          <w:noProof/>
          <w:lang w:val="en-US" w:eastAsia="en-US"/>
        </w:rPr>
        <w:drawing>
          <wp:inline distT="0" distB="0" distL="0" distR="0" wp14:anchorId="09F0385B" wp14:editId="5FAEA312">
            <wp:extent cx="2964815" cy="2886075"/>
            <wp:effectExtent l="0" t="0" r="6985" b="9525"/>
            <wp:docPr id="30"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178DD" w:rsidRPr="00D178DD" w:rsidRDefault="00D178DD" w:rsidP="00D17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firstLine="709"/>
        <w:contextualSpacing w:val="0"/>
        <w:rPr>
          <w:rFonts w:eastAsia="Calibri" w:cs="Arial"/>
          <w:b w:val="0"/>
          <w:bCs/>
          <w:i/>
          <w:iCs/>
          <w:sz w:val="20"/>
          <w:szCs w:val="20"/>
          <w:lang w:val="hy-AM" w:eastAsia="en-US"/>
        </w:rPr>
      </w:pPr>
      <w:r w:rsidRPr="00D178DD">
        <w:rPr>
          <w:rFonts w:eastAsia="Calibri" w:cs="Arial"/>
          <w:b w:val="0"/>
          <w:bCs/>
          <w:i/>
          <w:iCs/>
          <w:sz w:val="20"/>
          <w:szCs w:val="20"/>
          <w:lang w:val="hy-AM" w:eastAsia="en-US"/>
        </w:rPr>
        <w:t>Աղբյուրը՝ ՀՀ ՖՆ</w:t>
      </w:r>
    </w:p>
    <w:p w:rsidR="00D178DD" w:rsidRPr="00D178DD" w:rsidRDefault="00D178DD" w:rsidP="00D178DD">
      <w:pPr>
        <w:spacing w:before="0" w:line="276" w:lineRule="auto"/>
        <w:ind w:firstLine="709"/>
        <w:contextualSpacing w:val="0"/>
        <w:rPr>
          <w:rFonts w:eastAsia="Calibri" w:cs="Arial"/>
          <w:b w:val="0"/>
          <w:bCs/>
          <w:i/>
          <w:iCs/>
          <w:sz w:val="20"/>
          <w:szCs w:val="20"/>
          <w:lang w:val="hy-AM" w:eastAsia="en-US"/>
        </w:rPr>
      </w:pPr>
    </w:p>
    <w:p w:rsidR="00D178DD" w:rsidRPr="00D178DD" w:rsidRDefault="00D178DD" w:rsidP="00D178DD">
      <w:pPr>
        <w:keepNext/>
        <w:keepLines/>
        <w:spacing w:before="0" w:line="312" w:lineRule="auto"/>
        <w:contextualSpacing w:val="0"/>
        <w:jc w:val="left"/>
        <w:outlineLvl w:val="2"/>
        <w:rPr>
          <w:sz w:val="24"/>
          <w:lang w:val="hy-AM" w:eastAsia="en-US"/>
        </w:rPr>
      </w:pPr>
      <w:bookmarkStart w:id="187" w:name="_Toc45840842"/>
      <w:bookmarkStart w:id="188" w:name="_Toc45841159"/>
      <w:bookmarkStart w:id="189" w:name="_Toc45838526"/>
      <w:bookmarkStart w:id="190" w:name="_Toc46154354"/>
      <w:bookmarkStart w:id="191" w:name="_Toc52452094"/>
      <w:bookmarkStart w:id="192" w:name="_Toc52188795"/>
      <w:bookmarkStart w:id="193" w:name="_Toc57655455"/>
      <w:bookmarkStart w:id="194" w:name="_Toc83199223"/>
      <w:bookmarkStart w:id="195" w:name="_Toc83972839"/>
      <w:bookmarkStart w:id="196" w:name="_Toc115686027"/>
      <w:bookmarkStart w:id="197" w:name="_Toc120805201"/>
      <w:bookmarkEnd w:id="187"/>
      <w:bookmarkEnd w:id="188"/>
      <w:r w:rsidRPr="00D178DD">
        <w:rPr>
          <w:sz w:val="24"/>
          <w:lang w:val="hy-AM" w:eastAsia="en-US"/>
        </w:rPr>
        <w:t>2.3. ՀԱՐԿԱԲՅՈՒՋԵՏԱՅԻՆ ՌԻՍԿԵՐ</w:t>
      </w:r>
      <w:bookmarkEnd w:id="189"/>
      <w:bookmarkEnd w:id="190"/>
      <w:bookmarkEnd w:id="191"/>
      <w:bookmarkEnd w:id="192"/>
      <w:bookmarkEnd w:id="193"/>
      <w:bookmarkEnd w:id="194"/>
      <w:bookmarkEnd w:id="195"/>
      <w:bookmarkEnd w:id="196"/>
      <w:bookmarkEnd w:id="197"/>
    </w:p>
    <w:p w:rsidR="00D178DD" w:rsidRPr="00D178DD" w:rsidRDefault="00D178DD" w:rsidP="00D178DD">
      <w:pPr>
        <w:spacing w:before="0" w:after="120" w:line="276" w:lineRule="auto"/>
        <w:ind w:firstLine="709"/>
        <w:contextualSpacing w:val="0"/>
        <w:rPr>
          <w:rFonts w:eastAsia="Calibri"/>
          <w:b w:val="0"/>
          <w:szCs w:val="22"/>
          <w:lang w:val="hy-AM" w:eastAsia="en-US"/>
        </w:rPr>
      </w:pPr>
      <w:r w:rsidRPr="00D178DD">
        <w:rPr>
          <w:rFonts w:eastAsia="Calibri"/>
          <w:b w:val="0"/>
          <w:szCs w:val="22"/>
          <w:lang w:val="hy-AM" w:eastAsia="en-US"/>
        </w:rPr>
        <w:t>Հարկաբյուջետային կանխատեսումները հիմնված են մի շարք ենթադրությունների և հիմնական դատողությունների վրա,  որոնց համար օգտագործվել է տվյալ պահի դրությամբ առկա և հասանելի ամբողջ տեղեկատվությունը</w:t>
      </w:r>
      <w:r w:rsidRPr="00D178DD">
        <w:rPr>
          <w:rFonts w:eastAsia="Calibri"/>
          <w:b w:val="0"/>
          <w:szCs w:val="22"/>
          <w:vertAlign w:val="superscript"/>
          <w:lang w:val="hy-AM" w:eastAsia="en-US"/>
        </w:rPr>
        <w:footnoteReference w:id="14"/>
      </w:r>
      <w:r w:rsidRPr="00D178DD">
        <w:rPr>
          <w:rFonts w:eastAsia="Calibri"/>
          <w:b w:val="0"/>
          <w:szCs w:val="22"/>
          <w:lang w:val="hy-AM" w:eastAsia="en-US"/>
        </w:rPr>
        <w:t>: Ինչպես ցանկացած կանխատեսում, հարկաբյուջետային կանխատեսումները նույնպես պարունակում են ռիսկեր առ այն, որ փաստացի իրադարձությունները կարող են տարբերվել սպասումներից: 2021 թվականի պետական բյուջեի հիմքում ընկած հիմնական մակրոտնտեսական հարկաբյուջետային ռիսկերը հետևյալն են՝</w:t>
      </w:r>
    </w:p>
    <w:p w:rsidR="00D178DD" w:rsidRPr="00D178DD" w:rsidRDefault="00D178DD" w:rsidP="00D178DD">
      <w:pPr>
        <w:numPr>
          <w:ilvl w:val="0"/>
          <w:numId w:val="31"/>
        </w:numPr>
        <w:spacing w:before="0" w:after="160" w:line="276" w:lineRule="auto"/>
        <w:ind w:left="567" w:hanging="283"/>
        <w:contextualSpacing w:val="0"/>
        <w:rPr>
          <w:b w:val="0"/>
          <w:bCs/>
          <w:lang w:val="hy-AM"/>
        </w:rPr>
      </w:pPr>
      <w:r w:rsidRPr="00D178DD">
        <w:rPr>
          <w:bCs/>
          <w:lang w:val="hy-AM"/>
        </w:rPr>
        <w:t>Ռուս-Ուկրաինական հակամարտության հնարավոր ազդեցությունները</w:t>
      </w:r>
      <w:r w:rsidRPr="00D178DD">
        <w:rPr>
          <w:lang w:val="hy-AM"/>
        </w:rPr>
        <w:t xml:space="preserve">: </w:t>
      </w:r>
      <w:r w:rsidRPr="00D178DD">
        <w:rPr>
          <w:b w:val="0"/>
          <w:lang w:val="hy-AM"/>
        </w:rPr>
        <w:t>2022թ. փետրվարից սրված ռուս-ուկրաինական հակամարտության և դրա հետևանքով ՌԴ-ի նկատմամբ կիրառվող աննախադեպ պատժամիջոցների արդյունքում էապես մեծացել են դեպի ՀՀ ՌԴ քաղաքացիների, ինչպես նաև արտարժույթի ներհոսքը, ինչը էականորեն արագացրել է ՀՀ տնտեսական ակտիվության աճը</w:t>
      </w:r>
      <w:r w:rsidRPr="00D178DD">
        <w:rPr>
          <w:b w:val="0"/>
          <w:bCs/>
          <w:lang w:val="hy-AM"/>
        </w:rPr>
        <w:t>։ Այդ գործոնները սակայն, կարող են ժամանակավոր լինել և դրանց դադարեցման պայմաններում կառաջանան տնտեսական աճի դանդաղման, հետևաբար նաև հարկային եկամուտների՝ կանխատեսվածից ցածր լինելու ռիսկեր:</w:t>
      </w:r>
      <w:r w:rsidRPr="00D178DD">
        <w:rPr>
          <w:lang w:val="hy-AM"/>
        </w:rPr>
        <w:t xml:space="preserve"> </w:t>
      </w:r>
    </w:p>
    <w:p w:rsidR="00D178DD" w:rsidRPr="00D178DD" w:rsidRDefault="00D178DD" w:rsidP="00D178DD">
      <w:pPr>
        <w:numPr>
          <w:ilvl w:val="0"/>
          <w:numId w:val="31"/>
        </w:numPr>
        <w:spacing w:line="276" w:lineRule="auto"/>
        <w:ind w:left="567" w:hanging="283"/>
        <w:rPr>
          <w:lang w:val="hy-AM"/>
        </w:rPr>
      </w:pPr>
      <w:r w:rsidRPr="00D178DD">
        <w:rPr>
          <w:lang w:val="hy-AM"/>
        </w:rPr>
        <w:t xml:space="preserve">Կապիտալ ծախսերի թերակատարում: </w:t>
      </w:r>
      <w:r w:rsidRPr="00D178DD">
        <w:rPr>
          <w:b w:val="0"/>
          <w:lang w:val="hy-AM"/>
        </w:rPr>
        <w:t>2023թ. բյուջեի հիմքում դրված սցենարում նախատեսվել է կապիտալ ծախսերի զգալի բարձր մակարդակ՝ ՀՆԱ-ի 5.9%-ի չափով: Սակայն հաշվի առնելով նախորդ տարիների փաստացի կատարողականները (չնայած այն հանգամանքին, որ առկա է եղել կատարողականների բարելավման միտում), առկա է ծրագրավորված ցուցանիշների թերակատարման ռիսկ, ինչը կարող է բացասական ազդեցություն ունենալ տնտեսական աճի վրա, ինչպես նաև ազդել հարկաբյուջետային շրջանակի ցուցանիշների վրա:</w:t>
      </w:r>
      <w:r w:rsidRPr="00D178DD">
        <w:rPr>
          <w:lang w:val="hy-AM"/>
        </w:rPr>
        <w:t xml:space="preserve"> </w:t>
      </w:r>
    </w:p>
    <w:p w:rsidR="00D178DD" w:rsidRPr="00D178DD" w:rsidRDefault="00FB546F" w:rsidP="00D178DD">
      <w:pPr>
        <w:numPr>
          <w:ilvl w:val="0"/>
          <w:numId w:val="31"/>
        </w:numPr>
        <w:spacing w:after="120" w:line="276" w:lineRule="auto"/>
        <w:ind w:left="568" w:hanging="284"/>
        <w:contextualSpacing w:val="0"/>
        <w:rPr>
          <w:b w:val="0"/>
          <w:lang w:val="hy-AM"/>
        </w:rPr>
      </w:pPr>
      <w:r w:rsidRPr="00FB546F">
        <w:rPr>
          <w:bCs/>
          <w:lang w:val="hy-AM"/>
        </w:rPr>
        <w:t>Ղարաբաղ</w:t>
      </w:r>
      <w:r w:rsidR="00D178DD" w:rsidRPr="00D178DD">
        <w:rPr>
          <w:bCs/>
          <w:lang w:val="hy-AM"/>
        </w:rPr>
        <w:t>յան պատերազմի և համավարակի հետևանքների մեղմանն ուղղված ՀՀ կառավարության միջոցառումների ընթացքը։</w:t>
      </w:r>
      <w:r w:rsidR="00D178DD" w:rsidRPr="00D178DD">
        <w:rPr>
          <w:b w:val="0"/>
          <w:lang w:val="hy-AM"/>
        </w:rPr>
        <w:t xml:space="preserve"> </w:t>
      </w:r>
      <w:r w:rsidRPr="00FB546F">
        <w:rPr>
          <w:b w:val="0"/>
          <w:lang w:val="hy-AM"/>
        </w:rPr>
        <w:t>Ղարաբաղ</w:t>
      </w:r>
      <w:r w:rsidR="00D178DD" w:rsidRPr="00D178DD">
        <w:rPr>
          <w:b w:val="0"/>
          <w:lang w:val="hy-AM"/>
        </w:rPr>
        <w:t xml:space="preserve">յան պատերազմի հետևանքները դեռևս պահպանվում են և դրանց մեղմանն ուղղությամբ հնարավոր է առաջիկայում նախատեսվեն լրացուցիչ միջոցառումներ՝ առաջացնելով պետական բյուջեի լրացուցիչ ֆինանսավորման կարիք: </w:t>
      </w:r>
      <w:r w:rsidR="00D178DD" w:rsidRPr="00D178DD">
        <w:rPr>
          <w:b w:val="0"/>
          <w:bCs/>
          <w:lang w:val="hy-AM"/>
        </w:rPr>
        <w:t>Միևնույն ժամանակ Թեև 2022թ. մարտից COVID-19 համավարակի հետ կապված իրավիճակն էականորեն բարելավվել է, համավարակի նոր ալիքի ի հայտ գալու հավանականությունը դեռևս առկա է, ինչը ստեղծում է ռիսկեր համավարակի բացասական ազդեցություններին հակազդման ուղղված սոցիալ-տնտեսական միջոցառումների իրականացման կարիքի առաջացման ուղղությամբ:</w:t>
      </w:r>
    </w:p>
    <w:p w:rsidR="00D178DD" w:rsidRPr="00D178DD" w:rsidRDefault="00D178DD" w:rsidP="00D178DD">
      <w:pPr>
        <w:spacing w:after="120" w:line="276" w:lineRule="auto"/>
        <w:ind w:firstLine="0"/>
        <w:contextualSpacing w:val="0"/>
        <w:rPr>
          <w:lang w:val="hy-AM"/>
        </w:rPr>
      </w:pPr>
      <w:r w:rsidRPr="00D178DD">
        <w:rPr>
          <w:lang w:val="hy-AM"/>
        </w:rPr>
        <w:t>Հարկաբյուջետային շրջանակի հնարավոր փոփոխությունները մակրոտնտեսական կանխատեսումների շեղումների դեպքում և սթրես թեստերի ներքո</w:t>
      </w:r>
      <w:r w:rsidRPr="00D178DD">
        <w:rPr>
          <w:vertAlign w:val="superscript"/>
          <w:lang w:val="hy-AM"/>
        </w:rPr>
        <w:footnoteReference w:id="15"/>
      </w:r>
      <w:r w:rsidRPr="00D178DD">
        <w:rPr>
          <w:lang w:val="hy-AM"/>
        </w:rPr>
        <w:t>.</w:t>
      </w:r>
    </w:p>
    <w:p w:rsidR="00D178DD" w:rsidRPr="00D178DD" w:rsidRDefault="00D178DD" w:rsidP="00D178DD">
      <w:pPr>
        <w:numPr>
          <w:ilvl w:val="0"/>
          <w:numId w:val="64"/>
        </w:numPr>
        <w:spacing w:after="120" w:line="276" w:lineRule="auto"/>
        <w:ind w:left="567" w:hanging="283"/>
        <w:contextualSpacing w:val="0"/>
        <w:rPr>
          <w:b w:val="0"/>
          <w:lang w:val="hy-AM"/>
        </w:rPr>
      </w:pPr>
      <w:r w:rsidRPr="00D178DD">
        <w:rPr>
          <w:lang w:val="hy-AM"/>
        </w:rPr>
        <w:t>Հարկային եկամուտներ:</w:t>
      </w:r>
      <w:r w:rsidRPr="00D178DD">
        <w:rPr>
          <w:b w:val="0"/>
          <w:lang w:val="hy-AM"/>
        </w:rPr>
        <w:t xml:space="preserve"> Կարճաժամկետ հորիզոնում ՀՀ պետական բյուջեի հարկային եկամուտների վրա գնահատված է մակրոտնտեսական ցուցանիշների՝ իրական ՀՆԱ-ի աճի, գնաճի, փոխարժեքի տատանողականության և ներմուծման ռիսկերի շեղման ամփոփ գնահատականը: Հարկային եկամուտների վրա ազդող վերոնշյալ ռիսկերի միաժամանակյա ի հայտ գալու պարագայում հարկային եկամուտների ծրագրված մակարդակից շեղումը 2023 թվականին կկազմի շուրջ 22.5 մլրդ ՀՀ դրամ:</w:t>
      </w:r>
    </w:p>
    <w:p w:rsidR="00D178DD" w:rsidRPr="00D178DD" w:rsidRDefault="00D178DD" w:rsidP="00D178DD">
      <w:pPr>
        <w:numPr>
          <w:ilvl w:val="0"/>
          <w:numId w:val="64"/>
        </w:numPr>
        <w:spacing w:before="0" w:after="120" w:line="276" w:lineRule="auto"/>
        <w:ind w:left="567" w:firstLine="0"/>
        <w:contextualSpacing w:val="0"/>
        <w:rPr>
          <w:rFonts w:eastAsia="Calibri"/>
          <w:b w:val="0"/>
          <w:szCs w:val="22"/>
          <w:lang w:val="hy-AM" w:eastAsia="en-US"/>
        </w:rPr>
      </w:pPr>
      <w:r w:rsidRPr="00D178DD">
        <w:rPr>
          <w:lang w:val="hy-AM"/>
        </w:rPr>
        <w:t>Պետական բյուջեի ծախսեր:</w:t>
      </w:r>
      <w:r w:rsidRPr="00D178DD">
        <w:rPr>
          <w:b w:val="0"/>
          <w:lang w:val="hy-AM"/>
        </w:rPr>
        <w:t xml:space="preserve"> Կանխատեսումներում մեծ ուշադրություն է դարձվում նաև պետական բյուջեի ծախսերի պլանավորված մակարդակների ապահովումը խաթարող ռիսկերին, որոնք կարող են հանգեցնել լրացուցիչ ֆինանսավորման պահանջի առաջացման: ՀՀ պետական բյուջեի ծախսերի վրա գնահատված է մակրոտնտեսական ցուցանիշների՝ իրական ՀՆԱ-ի աճի, գնաճի, փոխարժեքի տատանողականության և ներմուծման ռիսկերի շեղման ամփոփ գնահատականը, որոնց միաժամանակյա ի հայտ գալու պարագայում 2023 թվականին ՀՀ պետական բյուջեի դեֆիցիտի լրացուցիչ ֆինանսավորման պահանջը կկազմի շուրջ </w:t>
      </w:r>
      <w:r w:rsidRPr="00D178DD">
        <w:rPr>
          <w:rFonts w:cs="Sylfaen"/>
          <w:b w:val="0"/>
          <w:lang w:val="hy-AM"/>
        </w:rPr>
        <w:t>40.5 մլրդ ՀՀ դրամ կամ ՀՆԱ-ի 0.4%-ը:</w:t>
      </w:r>
      <w:r w:rsidRPr="00D178DD">
        <w:rPr>
          <w:b w:val="0"/>
          <w:lang w:val="hy-AM"/>
        </w:rPr>
        <w:t xml:space="preserve"> Ընդ որում` ՀՀ կառա</w:t>
      </w:r>
      <w:r w:rsidRPr="00D178DD">
        <w:rPr>
          <w:b w:val="0"/>
          <w:lang w:val="hy-AM"/>
        </w:rPr>
        <w:softHyphen/>
        <w:t>վարու</w:t>
      </w:r>
      <w:r w:rsidRPr="00D178DD">
        <w:rPr>
          <w:b w:val="0"/>
          <w:lang w:val="hy-AM"/>
        </w:rPr>
        <w:softHyphen/>
        <w:t>թյան տնտեսական քաղաքականության հիմնական նպատակադրումը լինելու է սոցիալական բնույթի ծախսերի կրճատման բացառումը, իսկ հնարավորության դեպքում` բյուջեի ծախսերի ամբողջական իրականացումը:</w:t>
      </w:r>
    </w:p>
    <w:p w:rsidR="00D178DD" w:rsidRPr="00D178DD" w:rsidRDefault="00D178DD" w:rsidP="00D178DD">
      <w:pPr>
        <w:numPr>
          <w:ilvl w:val="0"/>
          <w:numId w:val="64"/>
        </w:numPr>
        <w:spacing w:before="0" w:after="120" w:line="276" w:lineRule="auto"/>
        <w:rPr>
          <w:rFonts w:eastAsia="Calibri"/>
          <w:b w:val="0"/>
          <w:szCs w:val="22"/>
          <w:lang w:val="hy-AM" w:eastAsia="en-US"/>
        </w:rPr>
      </w:pPr>
      <w:r w:rsidRPr="00D178DD">
        <w:rPr>
          <w:rFonts w:eastAsia="Calibri"/>
          <w:szCs w:val="22"/>
          <w:lang w:val="hy-AM" w:eastAsia="en-US"/>
        </w:rPr>
        <w:t>Կառավարության պարտք։</w:t>
      </w:r>
      <w:r w:rsidRPr="00D178DD">
        <w:rPr>
          <w:rFonts w:eastAsia="Calibri"/>
          <w:b w:val="0"/>
          <w:szCs w:val="22"/>
          <w:lang w:val="hy-AM" w:eastAsia="en-US"/>
        </w:rPr>
        <w:t xml:space="preserve"> ՀՀ կառավարության պարտքի կայունության վերլուծությունները վկայում են, որ թեպետ  վերջինս կայուն է, կառավարելի և ցածր ռիսկային, զգայուն է տնտեսական աճի և փոխարժեքի շոկերի նկատմամբ (տե՛ս 2023-2025թթ</w:t>
      </w:r>
      <w:r w:rsidRPr="00D178DD">
        <w:rPr>
          <w:rFonts w:ascii="Cambria Math" w:eastAsia="Calibri" w:hAnsi="Cambria Math" w:cs="Cambria Math"/>
          <w:b w:val="0"/>
          <w:szCs w:val="22"/>
          <w:lang w:val="hy-AM" w:eastAsia="en-US"/>
        </w:rPr>
        <w:t>․</w:t>
      </w:r>
      <w:r w:rsidRPr="00D178DD">
        <w:rPr>
          <w:rFonts w:eastAsia="Calibri"/>
          <w:b w:val="0"/>
          <w:szCs w:val="22"/>
          <w:lang w:val="hy-AM" w:eastAsia="en-US"/>
        </w:rPr>
        <w:t>պետական ՄԺԾԾ, Վերլուծություններ, ՀՀ կառավարության պարտքի կայունության վերլուծություն)։ Այդ տեսակետից, գնահատված տնտեսական աճի և փոխարժեքի ռիսկերի պայմաններում հաշվարկվել է կանխատեսումներից կառավարության պարտքի հնարավոր շեղման չափը։ Հաշվարկները ցույց են տվել, որ տնտեսական աճի ենթադրվող շոկի (3%-ային կետով դանդաղում) պայմաններում ՀՀ կառավարության պարտք/ՀՆԱ հարաբերակցությունը 2023թ</w:t>
      </w:r>
      <w:r w:rsidRPr="00D178DD">
        <w:rPr>
          <w:rFonts w:ascii="Cambria Math" w:eastAsia="Calibri" w:hAnsi="Cambria Math" w:cs="Cambria Math"/>
          <w:b w:val="0"/>
          <w:szCs w:val="22"/>
          <w:lang w:val="hy-AM" w:eastAsia="en-US"/>
        </w:rPr>
        <w:t>․</w:t>
      </w:r>
      <w:r w:rsidRPr="00D178DD">
        <w:rPr>
          <w:rFonts w:eastAsia="Calibri"/>
          <w:b w:val="0"/>
          <w:szCs w:val="22"/>
          <w:lang w:val="hy-AM" w:eastAsia="en-US"/>
        </w:rPr>
        <w:t xml:space="preserve">-ին կկազմի 51.2%, փոխարժեքի շոկի դեպքում (վերադարձ դեպի 1 դոլարի դիմաց 480 դրամի մակարդակի)՝  52.6%, իսկ դրանց համադրման դեպքում՝ 54.6%՝ ցածր մնալով 60% սահմանային շեմից։ Միաժամանակ, գնաճի համար ենթադրվող շոկը (2%-ային կետով ավելի բարձր գնաճ) մասամբ կչեզոքացնի տնտեսական աճի շոկից եկող ազդեցությունը։ </w:t>
      </w:r>
    </w:p>
    <w:p w:rsidR="00D178DD" w:rsidRPr="00D178DD" w:rsidRDefault="00D178DD" w:rsidP="00D178DD">
      <w:pPr>
        <w:spacing w:before="0" w:after="120" w:line="276" w:lineRule="auto"/>
        <w:contextualSpacing w:val="0"/>
        <w:rPr>
          <w:rFonts w:eastAsia="Calibri"/>
          <w:b w:val="0"/>
          <w:szCs w:val="22"/>
          <w:lang w:val="hy-AM" w:eastAsia="en-US"/>
        </w:rPr>
      </w:pPr>
      <w:r w:rsidRPr="00D178DD">
        <w:rPr>
          <w:b w:val="0"/>
          <w:lang w:val="hy-AM"/>
        </w:rPr>
        <w:t>Ամփոփելով հարկաբյուջետային ռիսկերի նկարագրությունը կարող ենք նշել, որ ինչպես 2020թ. ճգնաժամային իրավիճակով և դրա դրսևորումների շարունակությամբ, այնպես էլ 2022թ. փետրվարից ռուս-ուկրաինական համամարտության սրմամբ պայմանավորված ռիսկերն առավելապես վերաբերում են առկա անորոշություններին: Մասնավորապես, անորոշություններ են առկա ինչպես ՌԴ նկատմամբ կիրառված սանկցիաների՝ ՀՀ տնտեսության վրա հնարավոր ազդեցությունների, այնպես էլ տնտեսության վերականգնման և հետագա աճի տեմպի հետ կապված: Նշված ռիսկերի ի հայտ գալու կամ անորոշությունների վերաբերյալ նոր տեղեկատվության առկայության պայմաններում, առաջիկա տարիների հարկաբյուջետային շրջանակը կարող է վերանայվել։</w:t>
      </w:r>
    </w:p>
    <w:p w:rsidR="00D178DD" w:rsidRPr="00D178DD" w:rsidRDefault="00D178DD" w:rsidP="00D178DD">
      <w:pPr>
        <w:spacing w:before="0" w:after="160" w:line="276" w:lineRule="auto"/>
        <w:ind w:firstLine="709"/>
        <w:contextualSpacing w:val="0"/>
        <w:rPr>
          <w:rFonts w:eastAsia="Calibri"/>
          <w:b w:val="0"/>
          <w:szCs w:val="22"/>
          <w:lang w:val="hy-AM" w:eastAsia="en-US"/>
        </w:rPr>
      </w:pPr>
    </w:p>
    <w:p w:rsidR="00D178DD" w:rsidRPr="00D178DD" w:rsidRDefault="00D178DD" w:rsidP="00D178DD">
      <w:pPr>
        <w:keepNext/>
        <w:keepLines/>
        <w:spacing w:before="0" w:after="160" w:line="276" w:lineRule="auto"/>
        <w:ind w:firstLine="0"/>
        <w:contextualSpacing w:val="0"/>
        <w:outlineLvl w:val="2"/>
        <w:rPr>
          <w:rFonts w:eastAsia="Calibri"/>
          <w:sz w:val="24"/>
          <w:lang w:val="hy-AM" w:eastAsia="en-US"/>
        </w:rPr>
      </w:pPr>
      <w:bookmarkStart w:id="198" w:name="_Toc83972840"/>
      <w:bookmarkStart w:id="199" w:name="_Toc115686028"/>
      <w:bookmarkStart w:id="200" w:name="_Toc120805202"/>
      <w:r w:rsidRPr="00D178DD">
        <w:rPr>
          <w:rFonts w:eastAsia="Calibri"/>
          <w:sz w:val="24"/>
          <w:lang w:val="hy-AM" w:eastAsia="en-US"/>
        </w:rPr>
        <w:t>2.4. ՀԱՐԿԱԲՅՈՒՋԵՏԱՅԻՆ  ՔԱՂԱՔԱԿԱՆՈՒԹՅԱՆ ՀԱՄԱՊԱՏԱՍԽԱՆՈՒԹՅՈՒՆԸ ՀԱՐԿԱԲՅՈՒՋԵՏԱՅԻՆ ԿԱՆՈՆՆԵՐԻՆ</w:t>
      </w:r>
      <w:bookmarkEnd w:id="198"/>
      <w:bookmarkEnd w:id="199"/>
      <w:bookmarkEnd w:id="200"/>
    </w:p>
    <w:p w:rsidR="00D178DD" w:rsidRPr="00D178DD" w:rsidRDefault="00D178DD" w:rsidP="00D178DD">
      <w:pPr>
        <w:spacing w:before="0" w:line="276" w:lineRule="auto"/>
        <w:ind w:firstLine="709"/>
        <w:contextualSpacing w:val="0"/>
        <w:rPr>
          <w:rFonts w:eastAsia="Calibri"/>
          <w:szCs w:val="22"/>
          <w:lang w:val="hy-AM" w:eastAsia="en-US"/>
        </w:rPr>
      </w:pPr>
      <w:r w:rsidRPr="00D178DD">
        <w:rPr>
          <w:rFonts w:eastAsia="Calibri"/>
          <w:b w:val="0"/>
          <w:szCs w:val="22"/>
          <w:lang w:val="hy-AM" w:eastAsia="en-US"/>
        </w:rPr>
        <w:t>ՀՀ հարկաբյուջետային կանոնների ներկա համակարգը գործարկվել է ՀՀ Ազգային ժողովի կողմից 2017 թվականի դեկտեմբերի 20-ին ՀՀ բյուջետային համակարգի մասին և Պետական պարտքի մասին ՀՀ օրենքներում փոփոխություններ և լրացումն</w:t>
      </w:r>
      <w:r w:rsidRPr="00D178DD">
        <w:rPr>
          <w:rFonts w:eastAsia="Calibri"/>
          <w:b w:val="0"/>
          <w:szCs w:val="22"/>
          <w:lang w:val="hy-AM" w:eastAsia="en-US"/>
        </w:rPr>
        <w:softHyphen/>
        <w:t>եր կատարող օրենքների, ինչպես նաև են ՀՀ Կառավարության՝ 2018 թվականի օգոստոսի 23-ի N 942-Ն որոշման ընդունմամբ: Կանոնների համակարգը ներառում է ծախսային կանոններ, որոնք ուժի մեջ են մտնում պարտքի սահմանված շեմերը գերազանցելիս։ Մասնավորապես</w:t>
      </w:r>
      <w:r w:rsidRPr="00D178DD">
        <w:rPr>
          <w:rFonts w:ascii="Cambria Math" w:eastAsia="Calibri" w:hAnsi="Cambria Math" w:cs="Cambria Math"/>
          <w:b w:val="0"/>
          <w:szCs w:val="22"/>
          <w:lang w:val="hy-AM" w:eastAsia="en-US"/>
        </w:rPr>
        <w:t>․</w:t>
      </w:r>
    </w:p>
    <w:p w:rsidR="00D178DD" w:rsidRPr="00D178DD" w:rsidRDefault="00D178DD" w:rsidP="00D178DD">
      <w:pPr>
        <w:numPr>
          <w:ilvl w:val="0"/>
          <w:numId w:val="27"/>
        </w:numPr>
        <w:spacing w:before="0" w:line="276" w:lineRule="auto"/>
        <w:ind w:left="709" w:hanging="283"/>
        <w:contextualSpacing w:val="0"/>
        <w:rPr>
          <w:rFonts w:eastAsia="Calibri"/>
          <w:szCs w:val="22"/>
          <w:lang w:val="hy-AM" w:eastAsia="en-US"/>
        </w:rPr>
      </w:pPr>
      <w:r w:rsidRPr="00D178DD">
        <w:rPr>
          <w:rFonts w:eastAsia="Calibri"/>
          <w:b w:val="0"/>
          <w:szCs w:val="22"/>
          <w:lang w:val="hy-AM" w:eastAsia="en-US"/>
        </w:rPr>
        <w:t>Երբ կառավարության պարտք/ՀՆԱ հարաբերակցությունը գերազանցում է 40%-ը, պետական բյուջեի կապիտալ ծախսերը չպետք է փոքր լինեն բյուջեի պակասուրդից:</w:t>
      </w:r>
    </w:p>
    <w:p w:rsidR="00D178DD" w:rsidRPr="00D178DD" w:rsidRDefault="00D178DD" w:rsidP="00D178DD">
      <w:pPr>
        <w:numPr>
          <w:ilvl w:val="0"/>
          <w:numId w:val="27"/>
        </w:numPr>
        <w:spacing w:before="0" w:line="276" w:lineRule="auto"/>
        <w:ind w:left="709" w:hanging="283"/>
        <w:contextualSpacing w:val="0"/>
        <w:rPr>
          <w:rFonts w:eastAsia="Calibri"/>
          <w:szCs w:val="22"/>
          <w:lang w:val="hy-AM" w:eastAsia="en-US"/>
        </w:rPr>
      </w:pPr>
      <w:r w:rsidRPr="00D178DD">
        <w:rPr>
          <w:rFonts w:eastAsia="Calibri"/>
          <w:b w:val="0"/>
          <w:szCs w:val="22"/>
          <w:lang w:val="hy-AM" w:eastAsia="en-US"/>
        </w:rPr>
        <w:t>Կառավարության պարտք/ՀՆԱ հարաբերակցության՝ 50-60% միջակայքում գտնվելու դեպքում, ընթացիկ առաջնային ծախսերի աճի տեմպը սահմանափակվում է նախորդ 7 տարիների ՀՆԱ-ների միջին աճով, ինչպես նաև հաջորդ տարում կազմվող պետական ՄԺԾԾ-ում կառավարությունը ներկայացնում է միջոցառումների ծրագիր՝ համախառն ներքին արդյունքի նկատմամբ կառավարության պարտքի մակարդակի կանխատեսվող հետագիծը 5 տարիների ընթացքում 50 տոկոսից նվազեցնելու համար:</w:t>
      </w:r>
    </w:p>
    <w:p w:rsidR="00D178DD" w:rsidRPr="00D178DD" w:rsidRDefault="00D178DD" w:rsidP="00D178DD">
      <w:pPr>
        <w:numPr>
          <w:ilvl w:val="0"/>
          <w:numId w:val="27"/>
        </w:numPr>
        <w:spacing w:before="0" w:line="276" w:lineRule="auto"/>
        <w:ind w:left="709" w:hanging="283"/>
        <w:contextualSpacing w:val="0"/>
        <w:rPr>
          <w:rFonts w:eastAsia="Calibri"/>
          <w:szCs w:val="22"/>
          <w:lang w:val="hy-AM" w:eastAsia="en-US"/>
        </w:rPr>
      </w:pPr>
      <w:r w:rsidRPr="00D178DD">
        <w:rPr>
          <w:rFonts w:eastAsia="Calibri"/>
          <w:b w:val="0"/>
          <w:szCs w:val="22"/>
          <w:lang w:val="hy-AM" w:eastAsia="en-US"/>
        </w:rPr>
        <w:t xml:space="preserve">Երբ Կառավարության պարտքը գերազանցում է ՀՆԱ 60%-ը, ընթացիկ առաջնային ծախսերի աճի տեմպը սահմանափակվում է նախորդ 7 տարիների ՀՆԱ-ների միջին աճից 0.5 տոկոսային կետով նվազեցված ցուցանիշով, ընթացիկ ծախսերը սահմանափակվում են հարկերի և տուրքերի մեծությամբ, ինչպես նաև Կառավարությունը Ազգային ժողովի ֆինանսավարկային և բյուջետային ու տնտեսական հարցերի մշտական հանձնաժողովների քննարկմանը ներկայացնում է միջոցառումների ծրագիր՝ ՀՆԱ նկատմամբ կառավարության պարտքի մակարդակի կանխատեսվող հետագիծը 5 տարիների ընթացքում 60 տոկոսից նվազեցնելու համար: </w:t>
      </w:r>
    </w:p>
    <w:p w:rsidR="00D178DD" w:rsidRPr="00D178DD" w:rsidRDefault="00D178DD" w:rsidP="00D178DD">
      <w:pPr>
        <w:numPr>
          <w:ilvl w:val="0"/>
          <w:numId w:val="27"/>
        </w:numPr>
        <w:spacing w:before="0" w:line="276" w:lineRule="auto"/>
        <w:ind w:left="709" w:hanging="283"/>
        <w:contextualSpacing w:val="0"/>
        <w:rPr>
          <w:rFonts w:eastAsia="Calibri"/>
          <w:szCs w:val="22"/>
          <w:lang w:val="hy-AM" w:eastAsia="en-US"/>
        </w:rPr>
      </w:pPr>
      <w:r w:rsidRPr="00D178DD">
        <w:rPr>
          <w:rFonts w:eastAsia="Calibri"/>
          <w:b w:val="0"/>
          <w:szCs w:val="22"/>
          <w:lang w:val="hy-AM" w:eastAsia="en-US"/>
        </w:rPr>
        <w:t>Ներկայացված սահմանափակումները չեն գործում կառավարության որոշմամբ սահմանված բացառիկ դեպքերում՝ ելնելով խոշորածավալ տարերային և տեխնածին աղետների, պատերազմական գործողությունների, տնտեսությունը խաղաղ ժամանակաշրջանից պատերազմական ժամանակաշրջանի փոխադրման, տնտեսական ցնցման հանգամանքներով պայմանավորված բացասական տնտեսական զարգացումների պարագայում:</w:t>
      </w:r>
    </w:p>
    <w:p w:rsidR="00D178DD" w:rsidRPr="00D178DD" w:rsidRDefault="00D178DD" w:rsidP="00D178DD">
      <w:pPr>
        <w:spacing w:after="120" w:line="276" w:lineRule="auto"/>
        <w:ind w:left="1" w:firstLine="566"/>
        <w:rPr>
          <w:rFonts w:eastAsia="GHEA Grapalat" w:cs="GHEA Grapalat"/>
          <w:b w:val="0"/>
          <w:lang w:val="hy-AM"/>
        </w:rPr>
      </w:pPr>
      <w:r w:rsidRPr="00D178DD">
        <w:rPr>
          <w:rFonts w:eastAsia="GHEA Grapalat" w:cs="GHEA Grapalat"/>
          <w:lang w:val="hy-AM"/>
        </w:rPr>
        <w:t xml:space="preserve">2021 թվականին «բացառիկ դեպքի» կարգավորումների ներքո պետական բյուջեի կատարումը շարունակել է շեղվել հարկաբյուջետային կանոնների բնականոն իրավիճակների տրամաբանությունից՝ համահունչ 2021 թվականի ՀՀ պետական բյուջեի ուղերձում նախանշված քաղաքականությանը։ </w:t>
      </w:r>
      <w:r w:rsidRPr="00D178DD">
        <w:rPr>
          <w:rFonts w:eastAsia="GHEA Grapalat" w:cs="GHEA Grapalat"/>
          <w:b w:val="0"/>
          <w:lang w:val="hy-AM"/>
        </w:rPr>
        <w:t xml:space="preserve">Մասնավորապես, հիմք ընդունելով այն հանգամանքը, որ 2020 թվականին «բացառիկ դեպքի» կարգավորումների հիմք հանդիսացած գործոնների՝ COVID-19 համավարակի և </w:t>
      </w:r>
      <w:r w:rsidR="00822D2B" w:rsidRPr="00822D2B">
        <w:rPr>
          <w:rFonts w:eastAsia="GHEA Grapalat" w:cs="GHEA Grapalat"/>
          <w:b w:val="0"/>
          <w:lang w:val="hy-AM"/>
        </w:rPr>
        <w:t>Ղարաբաղ</w:t>
      </w:r>
      <w:r w:rsidRPr="00D178DD">
        <w:rPr>
          <w:rFonts w:eastAsia="GHEA Grapalat" w:cs="GHEA Grapalat"/>
          <w:b w:val="0"/>
          <w:lang w:val="hy-AM"/>
        </w:rPr>
        <w:t>յան պատերազմի տնտեսական և հարկաբյուջետային հետևանքները ոչ ամբողջությամբ էին հաղթահարված, 2021 թվականի համար ևս սահմանվել էր այդ կարգավորումների պահպանում և բնականոն իրավիճակներում գործող կանոններին համապատասխանության անցում 2022 թվականից։ Արդյունքում բյուջեի պակասուրդը շարունակել է գերազանցել կապիտալ ծախսերին, իսկ ընթացիկ առաջնային ծախսերի աճը գերազանցել է նախորդ 7 տարիների անվանական ՀՆԱ</w:t>
      </w:r>
      <w:r w:rsidRPr="00D178DD">
        <w:rPr>
          <w:rFonts w:eastAsia="GHEA Grapalat" w:cs="GHEA Grapalat"/>
          <w:b w:val="0"/>
          <w:lang w:val="hy-AM"/>
        </w:rPr>
        <w:noBreakHyphen/>
        <w:t>ի աճի միջին տեմպը: Այնուամենայնիվ, շեղումների չափը երկու դեպքում էլ որոշակիորեն կրճատվել է` հատկապես ընթացիկ ծախսերի համապատասխանության գծով՝ ՀՆԱ 3.3%-ից նվազելով մինչև 2.4%։</w:t>
      </w:r>
    </w:p>
    <w:p w:rsidR="00D178DD" w:rsidRPr="00D178DD" w:rsidRDefault="00D178DD" w:rsidP="00D178DD">
      <w:pPr>
        <w:spacing w:before="0" w:line="276" w:lineRule="auto"/>
        <w:ind w:firstLine="706"/>
        <w:contextualSpacing w:val="0"/>
        <w:rPr>
          <w:rFonts w:eastAsia="Calibri"/>
          <w:b w:val="0"/>
          <w:szCs w:val="22"/>
          <w:lang w:val="hy-AM" w:eastAsia="en-US"/>
        </w:rPr>
      </w:pPr>
      <w:r w:rsidRPr="00D178DD">
        <w:rPr>
          <w:rFonts w:eastAsia="Calibri"/>
          <w:szCs w:val="22"/>
          <w:lang w:val="hy-AM" w:eastAsia="en-US"/>
        </w:rPr>
        <w:t>2022թ</w:t>
      </w:r>
      <w:r w:rsidRPr="00D178DD">
        <w:rPr>
          <w:rFonts w:ascii="Cambria Math" w:eastAsia="Calibri" w:hAnsi="Cambria Math" w:cs="Cambria Math"/>
          <w:szCs w:val="22"/>
          <w:lang w:val="hy-AM" w:eastAsia="en-US"/>
        </w:rPr>
        <w:t>․</w:t>
      </w:r>
      <w:r w:rsidRPr="00D178DD">
        <w:rPr>
          <w:rFonts w:eastAsia="Calibri"/>
          <w:szCs w:val="22"/>
          <w:lang w:val="hy-AM" w:eastAsia="en-US"/>
        </w:rPr>
        <w:t>-ին պլանավորվել էր ՀՀ Կառավարության ամբողջական վերադարձը ՀՀ օրենսդրությամբ բնականոն իրավիճակների համար սահմանված ծախսային կանոնների, այդ թվում՝ պետական ֆինանսների «ոսկե կանոնների» և ընթացիկ առաջնային ծախսերի աճի տեմպի՝ երկարաժամկետ տնտեսական աճի միջին տեմպով սահմանափակման կանոնի ամբողջական պահպանմանը՝ միաժամանակ ապահովելով պարտք/ՀՆԱ հարաբերակցության նվազող հետագիծը և ծախսերի կառուցվածքի բարելավում:</w:t>
      </w:r>
      <w:r w:rsidRPr="00D178DD">
        <w:rPr>
          <w:rFonts w:eastAsia="Calibri"/>
          <w:b w:val="0"/>
          <w:szCs w:val="22"/>
          <w:lang w:val="hy-AM" w:eastAsia="en-US"/>
        </w:rPr>
        <w:t xml:space="preserve"> 2022թ</w:t>
      </w:r>
      <w:r w:rsidRPr="00D178DD">
        <w:rPr>
          <w:rFonts w:ascii="Cambria Math" w:eastAsia="Calibri" w:hAnsi="Cambria Math" w:cs="Cambria Math"/>
          <w:b w:val="0"/>
          <w:szCs w:val="22"/>
          <w:lang w:val="hy-AM" w:eastAsia="en-US"/>
        </w:rPr>
        <w:t>․</w:t>
      </w:r>
      <w:r w:rsidRPr="00D178DD">
        <w:rPr>
          <w:rFonts w:eastAsia="Calibri"/>
          <w:b w:val="0"/>
          <w:szCs w:val="22"/>
          <w:lang w:val="hy-AM" w:eastAsia="en-US"/>
        </w:rPr>
        <w:t>-ի հարկաբյուջետային զարգացումների կանխատեսումներով պետական ֆինանսների «ոսկե կանոնները», մասնավորապես՝ պետական բյուջեի պակասուրդի մեծությանը կապիտալ ծախսերի գերազանցումը և ընթացիկ ծախսերի մեծությանը հարկային եկամուտների և տուրքերի գերազանցումը ամբողջությամբ ապահովվում են (համապատասխանաբար 185</w:t>
      </w:r>
      <w:r w:rsidRPr="00D178DD">
        <w:rPr>
          <w:rFonts w:ascii="Cambria Math" w:eastAsia="Calibri" w:hAnsi="Cambria Math" w:cs="Cambria Math"/>
          <w:b w:val="0"/>
          <w:szCs w:val="22"/>
          <w:lang w:val="hy-AM" w:eastAsia="en-US"/>
        </w:rPr>
        <w:t>․</w:t>
      </w:r>
      <w:r w:rsidRPr="00D178DD">
        <w:rPr>
          <w:rFonts w:eastAsia="Calibri"/>
          <w:b w:val="0"/>
          <w:szCs w:val="22"/>
          <w:lang w:val="hy-AM" w:eastAsia="en-US"/>
        </w:rPr>
        <w:t>5 մլրդ դրամով և 63 մլրդ դրամով)։ Սակայն, հաշվի առնելով տարվա ընթացքում բյուջեի եկամուտների կանխատեսումների դեպի վեր վերանայումը, ընթացիկ առաջնային ծախսերի մեծությունը ևս բարձրացվել է, ինչի արդյունքում ընթացիկ առաջնային ծախսերի աճի տեմպը գերազանցել է կանոնով հաշվարկվող մեծությունը։ Կառավարության պարտք/ՀՆԱ ցուցանիշը կկազմի 50.1%` ցածր լինելով 2021թ</w:t>
      </w:r>
      <w:r w:rsidRPr="00D178DD">
        <w:rPr>
          <w:rFonts w:ascii="Cambria Math" w:eastAsia="Calibri" w:hAnsi="Cambria Math" w:cs="Cambria Math"/>
          <w:b w:val="0"/>
          <w:szCs w:val="22"/>
          <w:lang w:val="hy-AM" w:eastAsia="en-US"/>
        </w:rPr>
        <w:t>․</w:t>
      </w:r>
      <w:r w:rsidRPr="00D178DD">
        <w:rPr>
          <w:rFonts w:eastAsia="Calibri"/>
          <w:b w:val="0"/>
          <w:szCs w:val="22"/>
          <w:lang w:val="hy-AM" w:eastAsia="en-US"/>
        </w:rPr>
        <w:t>-ի ցուցանիշից 10.2 տոկոսային կետով։</w:t>
      </w:r>
    </w:p>
    <w:p w:rsidR="00D178DD" w:rsidRPr="00D178DD" w:rsidRDefault="00D178DD" w:rsidP="00D178DD">
      <w:pPr>
        <w:spacing w:before="0" w:line="276" w:lineRule="auto"/>
        <w:ind w:firstLine="706"/>
        <w:contextualSpacing w:val="0"/>
        <w:rPr>
          <w:rFonts w:eastAsia="Calibri"/>
          <w:b w:val="0"/>
          <w:szCs w:val="22"/>
          <w:lang w:val="hy-AM" w:eastAsia="en-US"/>
        </w:rPr>
      </w:pPr>
      <w:r w:rsidRPr="00D178DD">
        <w:rPr>
          <w:rFonts w:eastAsia="Calibri"/>
          <w:szCs w:val="22"/>
          <w:lang w:val="hy-AM" w:eastAsia="en-US"/>
        </w:rPr>
        <w:t>2023թ</w:t>
      </w:r>
      <w:r w:rsidRPr="00D178DD">
        <w:rPr>
          <w:rFonts w:ascii="Cambria Math" w:eastAsia="Calibri" w:hAnsi="Cambria Math" w:cs="Cambria Math"/>
          <w:szCs w:val="22"/>
          <w:lang w:val="hy-AM" w:eastAsia="en-US"/>
        </w:rPr>
        <w:t>․</w:t>
      </w:r>
      <w:r w:rsidRPr="00D178DD">
        <w:rPr>
          <w:rFonts w:eastAsia="Calibri"/>
          <w:szCs w:val="22"/>
          <w:lang w:val="hy-AM" w:eastAsia="en-US"/>
        </w:rPr>
        <w:t xml:space="preserve">-ի պետական բյուջեի ցուցանիշները պլանավորվել են հարկաբյուջետային կանոններին ամբողջական համապատասխանության ներքո։ </w:t>
      </w:r>
      <w:r w:rsidRPr="00D178DD">
        <w:rPr>
          <w:rFonts w:eastAsia="Calibri"/>
          <w:b w:val="0"/>
          <w:szCs w:val="22"/>
          <w:lang w:val="hy-AM" w:eastAsia="en-US"/>
        </w:rPr>
        <w:t xml:space="preserve">Պետական ֆինանսների «ոսկե կանոնների» պահպանումը թույլ կտա ապահովելով պարտքի զուտ ներգրավմանն առաջանցիկ պետական ակտիվներ աճը և կառավարելի պահել երկրի իրական պարտքային դիրքը և հետևաբար՝ երկարաժամկետ հարկաբյուջետային ռիսկերը։ </w:t>
      </w:r>
      <w:r w:rsidRPr="00D178DD">
        <w:rPr>
          <w:rFonts w:eastAsia="Calibri"/>
          <w:b w:val="0"/>
          <w:lang w:val="hy-AM"/>
        </w:rPr>
        <w:t xml:space="preserve">Իսկ ընթացիկ առաջնային ծախսերի աճի տեմպի՝ երկարաժամկետ տնտեսական աճի միջին տեմպով սահմանափակման կանոնի պահպանումը հնարավորություն կտա ապահովել հակապարբերաշրջանային քաղաքականության իրականացումը և զսպել ապագայում եկամուտ գեներացնելու կարողություններին պարտավորությունների (ընթացիկ ծախսերի գծով ստանձնվող օրենսդրական պարտավորությունների և պարտքային պարտավորությունների ձևով) առաջանցիկ ավելացումը։ Միաժամանակ, </w:t>
      </w:r>
      <w:r w:rsidRPr="00D178DD">
        <w:rPr>
          <w:rFonts w:eastAsia="Calibri"/>
          <w:b w:val="0"/>
          <w:szCs w:val="22"/>
          <w:lang w:val="hy-AM" w:eastAsia="en-US"/>
        </w:rPr>
        <w:t>կառավարության պարտք/ՀՆԱ ցուցանիշը կշարունակի նվազել, ինչով հարկաբյուջետային քաղաքականությունը կտեղափոխի կանոններով  սահմանափակման առավել մեղմ ռեժիմների՝ թույլ տալով վարել առավել ճկուն հարկաբյուջետային քաղաքականություն (առավել մանրամասն տես՝ «Հարկաբյուջետային քաղաքականության հիմնական ուղղությունները և կանխատեսումները հատվածում»):</w:t>
      </w:r>
    </w:p>
    <w:p w:rsidR="00D178DD" w:rsidRPr="00D178DD" w:rsidRDefault="00D178DD" w:rsidP="00D178DD">
      <w:pPr>
        <w:spacing w:before="0" w:line="276" w:lineRule="auto"/>
        <w:ind w:firstLine="706"/>
        <w:contextualSpacing w:val="0"/>
        <w:rPr>
          <w:rFonts w:eastAsia="Calibri"/>
          <w:b w:val="0"/>
          <w:szCs w:val="22"/>
          <w:lang w:val="hy-AM" w:eastAsia="en-US"/>
        </w:rPr>
      </w:pPr>
    </w:p>
    <w:p w:rsidR="00D178DD" w:rsidRPr="00D178DD" w:rsidRDefault="00D178DD" w:rsidP="00D178DD">
      <w:pPr>
        <w:keepNext/>
        <w:keepLines/>
        <w:spacing w:before="0" w:after="120" w:line="276" w:lineRule="auto"/>
        <w:ind w:firstLine="0"/>
        <w:contextualSpacing w:val="0"/>
        <w:rPr>
          <w:rFonts w:eastAsia="Calibri"/>
          <w:b w:val="0"/>
          <w:i/>
          <w:iCs/>
          <w:szCs w:val="22"/>
          <w:lang w:val="hy-AM" w:eastAsia="en-US"/>
        </w:rPr>
      </w:pPr>
      <w:r w:rsidRPr="00D178DD">
        <w:rPr>
          <w:rFonts w:eastAsia="Calibri"/>
          <w:i/>
          <w:iCs/>
          <w:szCs w:val="22"/>
          <w:lang w:val="hy-AM" w:eastAsia="en-US"/>
        </w:rPr>
        <w:t>Աղյուսակ 2.4.</w:t>
      </w:r>
      <w:r w:rsidRPr="00D178DD">
        <w:rPr>
          <w:rFonts w:eastAsia="Calibri"/>
          <w:b w:val="0"/>
          <w:i/>
          <w:iCs/>
          <w:szCs w:val="22"/>
          <w:lang w:val="hy-AM" w:eastAsia="en-US"/>
        </w:rPr>
        <w:t xml:space="preserve"> </w:t>
      </w:r>
      <w:r w:rsidRPr="00D178DD">
        <w:rPr>
          <w:rFonts w:eastAsia="Calibri"/>
          <w:b w:val="0"/>
          <w:bCs/>
          <w:i/>
          <w:iCs/>
          <w:szCs w:val="22"/>
          <w:lang w:val="hy-AM" w:eastAsia="en-US"/>
        </w:rPr>
        <w:t>Փաստացի և ծրագրավորված հարկաբյուջետային քաղաքականության համապատասխանությունը հարկաբյուջետային կանոններին</w:t>
      </w:r>
    </w:p>
    <w:tbl>
      <w:tblPr>
        <w:tblW w:w="9559" w:type="dxa"/>
        <w:jc w:val="center"/>
        <w:tblBorders>
          <w:top w:val="single" w:sz="18" w:space="0" w:color="4472C4"/>
          <w:left w:val="single" w:sz="18" w:space="0" w:color="4472C4"/>
          <w:bottom w:val="single" w:sz="18" w:space="0" w:color="4472C4"/>
          <w:right w:val="single" w:sz="18" w:space="0" w:color="4472C4"/>
          <w:insideH w:val="single" w:sz="6" w:space="0" w:color="4472C4"/>
          <w:insideV w:val="single" w:sz="6" w:space="0" w:color="4472C4"/>
        </w:tblBorders>
        <w:tblLayout w:type="fixed"/>
        <w:tblLook w:val="04A0" w:firstRow="1" w:lastRow="0" w:firstColumn="1" w:lastColumn="0" w:noHBand="0" w:noVBand="1"/>
      </w:tblPr>
      <w:tblGrid>
        <w:gridCol w:w="1597"/>
        <w:gridCol w:w="1800"/>
        <w:gridCol w:w="752"/>
        <w:gridCol w:w="851"/>
        <w:gridCol w:w="709"/>
        <w:gridCol w:w="708"/>
        <w:gridCol w:w="851"/>
        <w:gridCol w:w="709"/>
        <w:gridCol w:w="850"/>
        <w:gridCol w:w="732"/>
      </w:tblGrid>
      <w:tr w:rsidR="00D178DD" w:rsidRPr="00D178DD" w:rsidTr="004B2286">
        <w:trPr>
          <w:trHeight w:val="466"/>
          <w:tblHeader/>
          <w:jc w:val="center"/>
        </w:trPr>
        <w:tc>
          <w:tcPr>
            <w:tcW w:w="1597" w:type="dxa"/>
            <w:vMerge w:val="restart"/>
            <w:tcBorders>
              <w:top w:val="single" w:sz="18" w:space="0" w:color="4472C4"/>
              <w:bottom w:val="single" w:sz="2" w:space="0" w:color="4472C4"/>
              <w:right w:val="single" w:sz="2" w:space="0" w:color="4472C4"/>
            </w:tcBorders>
            <w:shd w:val="clear" w:color="auto" w:fill="5B9BD5"/>
            <w:vAlign w:val="center"/>
            <w:hideMark/>
          </w:tcPr>
          <w:p w:rsidR="00D178DD" w:rsidRPr="00D178DD" w:rsidRDefault="00D178DD" w:rsidP="00D178DD">
            <w:pPr>
              <w:spacing w:before="40" w:after="60" w:line="276" w:lineRule="auto"/>
              <w:ind w:firstLine="0"/>
              <w:contextualSpacing w:val="0"/>
              <w:jc w:val="center"/>
              <w:rPr>
                <w:rFonts w:eastAsiaTheme="minorEastAsia" w:cs="Arial"/>
                <w:b w:val="0"/>
                <w:color w:val="FFFFFF"/>
                <w:szCs w:val="22"/>
                <w:lang w:val="en-US" w:eastAsia="en-US"/>
              </w:rPr>
            </w:pPr>
            <w:r w:rsidRPr="00D178DD">
              <w:rPr>
                <w:rFonts w:eastAsiaTheme="minorEastAsia" w:cs="Arial"/>
                <w:b w:val="0"/>
                <w:color w:val="FFFFFF"/>
                <w:szCs w:val="22"/>
                <w:lang w:val="en-US" w:eastAsia="en-US"/>
              </w:rPr>
              <w:t>Կանոնի ցուցանիշ</w:t>
            </w:r>
          </w:p>
        </w:tc>
        <w:tc>
          <w:tcPr>
            <w:tcW w:w="1800" w:type="dxa"/>
            <w:vMerge w:val="restart"/>
            <w:tcBorders>
              <w:top w:val="single" w:sz="18" w:space="0" w:color="4472C4"/>
              <w:left w:val="single" w:sz="2" w:space="0" w:color="4472C4"/>
              <w:bottom w:val="single" w:sz="2" w:space="0" w:color="4472C4"/>
              <w:right w:val="single" w:sz="2" w:space="0" w:color="4472C4"/>
            </w:tcBorders>
            <w:shd w:val="clear" w:color="auto" w:fill="5B9BD5"/>
            <w:vAlign w:val="center"/>
            <w:hideMark/>
          </w:tcPr>
          <w:p w:rsidR="00D178DD" w:rsidRPr="00D178DD" w:rsidRDefault="00D178DD" w:rsidP="00D178DD">
            <w:pPr>
              <w:spacing w:before="40" w:after="60" w:line="276" w:lineRule="auto"/>
              <w:ind w:firstLine="0"/>
              <w:contextualSpacing w:val="0"/>
              <w:jc w:val="center"/>
              <w:rPr>
                <w:rFonts w:eastAsiaTheme="minorEastAsia" w:cs="Arial"/>
                <w:b w:val="0"/>
                <w:color w:val="FFFFFF"/>
                <w:szCs w:val="22"/>
                <w:lang w:val="en-US" w:eastAsia="en-US"/>
              </w:rPr>
            </w:pPr>
            <w:r w:rsidRPr="00D178DD">
              <w:rPr>
                <w:rFonts w:eastAsiaTheme="minorEastAsia" w:cs="Arial"/>
                <w:b w:val="0"/>
                <w:color w:val="FFFFFF"/>
                <w:szCs w:val="22"/>
                <w:lang w:val="en-US" w:eastAsia="en-US"/>
              </w:rPr>
              <w:t>Ուղենիշային ցուցանիշ</w:t>
            </w:r>
          </w:p>
        </w:tc>
        <w:tc>
          <w:tcPr>
            <w:tcW w:w="1603" w:type="dxa"/>
            <w:gridSpan w:val="2"/>
            <w:tcBorders>
              <w:top w:val="single" w:sz="18" w:space="0" w:color="4472C4"/>
              <w:left w:val="single" w:sz="2" w:space="0" w:color="4472C4"/>
              <w:bottom w:val="single" w:sz="2" w:space="0" w:color="4472C4"/>
              <w:right w:val="single" w:sz="2" w:space="0" w:color="4472C4"/>
            </w:tcBorders>
            <w:shd w:val="clear" w:color="auto" w:fill="5B9BD5"/>
            <w:noWrap/>
            <w:vAlign w:val="bottom"/>
            <w:hideMark/>
          </w:tcPr>
          <w:p w:rsidR="00D178DD" w:rsidRPr="00D178DD" w:rsidRDefault="00D178DD" w:rsidP="00D178DD">
            <w:pPr>
              <w:spacing w:before="40" w:after="60" w:line="276" w:lineRule="auto"/>
              <w:ind w:firstLine="5"/>
              <w:contextualSpacing w:val="0"/>
              <w:jc w:val="center"/>
              <w:rPr>
                <w:rFonts w:eastAsiaTheme="minorEastAsia" w:cs="Arial"/>
                <w:b w:val="0"/>
                <w:color w:val="FFFFFF"/>
                <w:szCs w:val="22"/>
                <w:lang w:val="en-US" w:eastAsia="en-US"/>
              </w:rPr>
            </w:pPr>
            <w:r w:rsidRPr="00D178DD">
              <w:rPr>
                <w:rFonts w:eastAsiaTheme="minorEastAsia" w:cs="Arial"/>
                <w:b w:val="0"/>
                <w:color w:val="FFFFFF"/>
                <w:szCs w:val="22"/>
                <w:lang w:val="en-US" w:eastAsia="en-US"/>
              </w:rPr>
              <w:t>2020</w:t>
            </w:r>
          </w:p>
        </w:tc>
        <w:tc>
          <w:tcPr>
            <w:tcW w:w="1417" w:type="dxa"/>
            <w:gridSpan w:val="2"/>
            <w:tcBorders>
              <w:top w:val="single" w:sz="18" w:space="0" w:color="4472C4"/>
              <w:left w:val="single" w:sz="2" w:space="0" w:color="4472C4"/>
              <w:bottom w:val="single" w:sz="2" w:space="0" w:color="4472C4"/>
              <w:right w:val="single" w:sz="2" w:space="0" w:color="4472C4"/>
            </w:tcBorders>
            <w:shd w:val="clear" w:color="auto" w:fill="5B9BD5"/>
            <w:noWrap/>
            <w:vAlign w:val="bottom"/>
            <w:hideMark/>
          </w:tcPr>
          <w:p w:rsidR="00D178DD" w:rsidRPr="00D178DD" w:rsidRDefault="00D178DD" w:rsidP="00D178DD">
            <w:pPr>
              <w:spacing w:before="40" w:after="60" w:line="276" w:lineRule="auto"/>
              <w:ind w:firstLine="5"/>
              <w:contextualSpacing w:val="0"/>
              <w:jc w:val="center"/>
              <w:rPr>
                <w:rFonts w:eastAsiaTheme="minorEastAsia" w:cs="Arial"/>
                <w:b w:val="0"/>
                <w:color w:val="FFFFFF"/>
                <w:szCs w:val="22"/>
                <w:lang w:val="en-US" w:eastAsia="en-US"/>
              </w:rPr>
            </w:pPr>
            <w:r w:rsidRPr="00D178DD">
              <w:rPr>
                <w:rFonts w:eastAsiaTheme="minorEastAsia" w:cs="Arial"/>
                <w:b w:val="0"/>
                <w:color w:val="FFFFFF"/>
                <w:szCs w:val="22"/>
                <w:lang w:val="en-US" w:eastAsia="en-US"/>
              </w:rPr>
              <w:t>2021</w:t>
            </w:r>
          </w:p>
        </w:tc>
        <w:tc>
          <w:tcPr>
            <w:tcW w:w="1560" w:type="dxa"/>
            <w:gridSpan w:val="2"/>
            <w:tcBorders>
              <w:top w:val="single" w:sz="18" w:space="0" w:color="4472C4"/>
              <w:left w:val="single" w:sz="2" w:space="0" w:color="4472C4"/>
              <w:bottom w:val="single" w:sz="2" w:space="0" w:color="4472C4"/>
              <w:right w:val="single" w:sz="2" w:space="0" w:color="4472C4"/>
            </w:tcBorders>
            <w:shd w:val="clear" w:color="auto" w:fill="5B9BD5"/>
            <w:noWrap/>
            <w:vAlign w:val="bottom"/>
            <w:hideMark/>
          </w:tcPr>
          <w:p w:rsidR="00D178DD" w:rsidRPr="00D178DD" w:rsidRDefault="00D178DD" w:rsidP="00D178DD">
            <w:pPr>
              <w:spacing w:before="40" w:after="60" w:line="276" w:lineRule="auto"/>
              <w:ind w:firstLine="5"/>
              <w:contextualSpacing w:val="0"/>
              <w:jc w:val="center"/>
              <w:rPr>
                <w:rFonts w:eastAsiaTheme="minorEastAsia" w:cs="Arial"/>
                <w:b w:val="0"/>
                <w:color w:val="FFFFFF"/>
                <w:szCs w:val="22"/>
                <w:lang w:val="en-US" w:eastAsia="en-US"/>
              </w:rPr>
            </w:pPr>
            <w:r w:rsidRPr="00D178DD">
              <w:rPr>
                <w:rFonts w:eastAsiaTheme="minorEastAsia" w:cs="Arial"/>
                <w:b w:val="0"/>
                <w:color w:val="FFFFFF"/>
                <w:szCs w:val="22"/>
                <w:lang w:val="en-US" w:eastAsia="en-US"/>
              </w:rPr>
              <w:t>2022</w:t>
            </w:r>
          </w:p>
        </w:tc>
        <w:tc>
          <w:tcPr>
            <w:tcW w:w="1582" w:type="dxa"/>
            <w:gridSpan w:val="2"/>
            <w:tcBorders>
              <w:top w:val="single" w:sz="18" w:space="0" w:color="4472C4"/>
              <w:left w:val="single" w:sz="2" w:space="0" w:color="4472C4"/>
              <w:bottom w:val="single" w:sz="2" w:space="0" w:color="4472C4"/>
              <w:right w:val="single" w:sz="2" w:space="0" w:color="4472C4"/>
            </w:tcBorders>
            <w:shd w:val="clear" w:color="auto" w:fill="5B9BD5"/>
            <w:noWrap/>
            <w:vAlign w:val="bottom"/>
            <w:hideMark/>
          </w:tcPr>
          <w:p w:rsidR="00D178DD" w:rsidRPr="00D178DD" w:rsidRDefault="00D178DD" w:rsidP="00D178DD">
            <w:pPr>
              <w:spacing w:before="40" w:after="60" w:line="276" w:lineRule="auto"/>
              <w:ind w:firstLine="5"/>
              <w:contextualSpacing w:val="0"/>
              <w:jc w:val="center"/>
              <w:rPr>
                <w:rFonts w:eastAsiaTheme="minorEastAsia" w:cs="Arial"/>
                <w:b w:val="0"/>
                <w:color w:val="FFFFFF"/>
                <w:szCs w:val="22"/>
                <w:lang w:val="en-US" w:eastAsia="en-US"/>
              </w:rPr>
            </w:pPr>
            <w:r w:rsidRPr="00D178DD">
              <w:rPr>
                <w:rFonts w:eastAsiaTheme="minorEastAsia" w:cs="Arial"/>
                <w:b w:val="0"/>
                <w:color w:val="FFFFFF"/>
                <w:szCs w:val="22"/>
                <w:lang w:val="en-US" w:eastAsia="en-US"/>
              </w:rPr>
              <w:t>2023</w:t>
            </w:r>
          </w:p>
        </w:tc>
      </w:tr>
      <w:tr w:rsidR="00D178DD" w:rsidRPr="00D178DD" w:rsidTr="004B2286">
        <w:trPr>
          <w:cantSplit/>
          <w:trHeight w:val="850"/>
          <w:tblHeader/>
          <w:jc w:val="center"/>
        </w:trPr>
        <w:tc>
          <w:tcPr>
            <w:tcW w:w="1597" w:type="dxa"/>
            <w:vMerge/>
            <w:tcBorders>
              <w:top w:val="single" w:sz="2" w:space="0" w:color="4472C4"/>
              <w:bottom w:val="single" w:sz="2" w:space="0" w:color="4472C4"/>
              <w:right w:val="single" w:sz="2" w:space="0" w:color="4472C4"/>
            </w:tcBorders>
            <w:shd w:val="clear" w:color="auto" w:fill="5B9BD5"/>
            <w:vAlign w:val="center"/>
            <w:hideMark/>
          </w:tcPr>
          <w:p w:rsidR="00D178DD" w:rsidRPr="00D178DD" w:rsidRDefault="00D178DD" w:rsidP="00D178DD">
            <w:pPr>
              <w:spacing w:before="40" w:after="60" w:line="276" w:lineRule="auto"/>
              <w:contextualSpacing w:val="0"/>
              <w:rPr>
                <w:rFonts w:eastAsiaTheme="minorEastAsia" w:cs="Arial"/>
                <w:b w:val="0"/>
                <w:color w:val="FFFFFF"/>
                <w:szCs w:val="22"/>
                <w:lang w:val="en-US" w:eastAsia="en-US"/>
              </w:rPr>
            </w:pPr>
          </w:p>
        </w:tc>
        <w:tc>
          <w:tcPr>
            <w:tcW w:w="1800" w:type="dxa"/>
            <w:vMerge/>
            <w:tcBorders>
              <w:top w:val="single" w:sz="2" w:space="0" w:color="4472C4"/>
              <w:left w:val="single" w:sz="2" w:space="0" w:color="4472C4"/>
              <w:bottom w:val="single" w:sz="2" w:space="0" w:color="4472C4"/>
              <w:right w:val="single" w:sz="2" w:space="0" w:color="4472C4"/>
            </w:tcBorders>
            <w:shd w:val="clear" w:color="auto" w:fill="5B9BD5"/>
            <w:vAlign w:val="center"/>
            <w:hideMark/>
          </w:tcPr>
          <w:p w:rsidR="00D178DD" w:rsidRPr="00D178DD" w:rsidRDefault="00D178DD" w:rsidP="00D178DD">
            <w:pPr>
              <w:spacing w:before="40" w:after="60" w:line="276" w:lineRule="auto"/>
              <w:contextualSpacing w:val="0"/>
              <w:rPr>
                <w:rFonts w:eastAsiaTheme="minorEastAsia" w:cs="Arial"/>
                <w:b w:val="0"/>
                <w:color w:val="FFFFFF"/>
                <w:szCs w:val="22"/>
                <w:lang w:val="en-US" w:eastAsia="en-US"/>
              </w:rPr>
            </w:pPr>
          </w:p>
        </w:tc>
        <w:tc>
          <w:tcPr>
            <w:tcW w:w="752"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rsidR="00D178DD" w:rsidRPr="00D178DD" w:rsidRDefault="00D178DD" w:rsidP="00D178DD">
            <w:pPr>
              <w:spacing w:before="40" w:after="60" w:line="276" w:lineRule="auto"/>
              <w:ind w:left="6" w:right="113" w:firstLine="0"/>
              <w:contextualSpacing w:val="0"/>
              <w:jc w:val="center"/>
              <w:rPr>
                <w:rFonts w:eastAsiaTheme="minorEastAsia" w:cs="Arial"/>
                <w:b w:val="0"/>
                <w:color w:val="FFFFFF"/>
                <w:szCs w:val="22"/>
                <w:lang w:val="en-US" w:eastAsia="en-US"/>
              </w:rPr>
            </w:pPr>
            <w:r w:rsidRPr="00D178DD">
              <w:rPr>
                <w:rFonts w:eastAsiaTheme="minorEastAsia" w:cs="Arial"/>
                <w:b w:val="0"/>
                <w:color w:val="FFFFFF"/>
                <w:szCs w:val="22"/>
                <w:lang w:val="en-US" w:eastAsia="en-US"/>
              </w:rPr>
              <w:t>Սահմ</w:t>
            </w:r>
            <w:r w:rsidRPr="00D178DD">
              <w:rPr>
                <w:rFonts w:ascii="Cambria Math" w:eastAsiaTheme="minorEastAsia" w:hAnsi="Cambria Math" w:cs="Cambria Math"/>
                <w:b w:val="0"/>
                <w:color w:val="FFFFFF"/>
                <w:szCs w:val="22"/>
                <w:lang w:val="en-US" w:eastAsia="en-US"/>
              </w:rPr>
              <w:t>․</w:t>
            </w:r>
          </w:p>
        </w:tc>
        <w:tc>
          <w:tcPr>
            <w:tcW w:w="851"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rsidR="00D178DD" w:rsidRPr="00D178DD" w:rsidRDefault="00D178DD" w:rsidP="00D178DD">
            <w:pPr>
              <w:spacing w:before="40" w:after="60" w:line="276" w:lineRule="auto"/>
              <w:ind w:firstLine="0"/>
              <w:contextualSpacing w:val="0"/>
              <w:jc w:val="center"/>
              <w:rPr>
                <w:rFonts w:eastAsiaTheme="minorEastAsia" w:cs="Arial"/>
                <w:b w:val="0"/>
                <w:color w:val="FFFFFF"/>
                <w:szCs w:val="22"/>
                <w:lang w:val="en-US" w:eastAsia="en-US"/>
              </w:rPr>
            </w:pPr>
            <w:r w:rsidRPr="00D178DD">
              <w:rPr>
                <w:rFonts w:eastAsiaTheme="minorEastAsia" w:cs="Arial"/>
                <w:b w:val="0"/>
                <w:color w:val="FFFFFF"/>
                <w:szCs w:val="22"/>
                <w:lang w:val="en-US" w:eastAsia="en-US"/>
              </w:rPr>
              <w:t>Փաստ</w:t>
            </w:r>
            <w:r w:rsidRPr="00D178DD">
              <w:rPr>
                <w:rFonts w:ascii="Cambria Math" w:eastAsiaTheme="minorEastAsia" w:hAnsi="Cambria Math" w:cs="Cambria Math"/>
                <w:b w:val="0"/>
                <w:color w:val="FFFFFF"/>
                <w:szCs w:val="22"/>
                <w:lang w:val="en-US" w:eastAsia="en-US"/>
              </w:rPr>
              <w:t>․</w:t>
            </w:r>
          </w:p>
        </w:tc>
        <w:tc>
          <w:tcPr>
            <w:tcW w:w="709"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rsidR="00D178DD" w:rsidRPr="00D178DD" w:rsidRDefault="00D178DD" w:rsidP="00D178DD">
            <w:pPr>
              <w:spacing w:before="40" w:after="60" w:line="276" w:lineRule="auto"/>
              <w:ind w:firstLine="0"/>
              <w:contextualSpacing w:val="0"/>
              <w:jc w:val="center"/>
              <w:rPr>
                <w:rFonts w:eastAsiaTheme="minorEastAsia" w:cs="Arial"/>
                <w:b w:val="0"/>
                <w:color w:val="FFFFFF"/>
                <w:szCs w:val="22"/>
                <w:lang w:val="en-US" w:eastAsia="en-US"/>
              </w:rPr>
            </w:pPr>
            <w:r w:rsidRPr="00D178DD">
              <w:rPr>
                <w:rFonts w:eastAsiaTheme="minorEastAsia" w:cs="Arial"/>
                <w:b w:val="0"/>
                <w:color w:val="FFFFFF"/>
                <w:szCs w:val="22"/>
                <w:lang w:val="en-US" w:eastAsia="en-US"/>
              </w:rPr>
              <w:t>Սահմ</w:t>
            </w:r>
            <w:r w:rsidRPr="00D178DD">
              <w:rPr>
                <w:rFonts w:ascii="Cambria Math" w:eastAsiaTheme="minorEastAsia" w:hAnsi="Cambria Math" w:cs="Cambria Math"/>
                <w:b w:val="0"/>
                <w:color w:val="FFFFFF"/>
                <w:szCs w:val="22"/>
                <w:lang w:val="en-US" w:eastAsia="en-US"/>
              </w:rPr>
              <w:t>․</w:t>
            </w:r>
          </w:p>
        </w:tc>
        <w:tc>
          <w:tcPr>
            <w:tcW w:w="708"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rsidR="00D178DD" w:rsidRPr="00D178DD" w:rsidRDefault="00D178DD" w:rsidP="00D178DD">
            <w:pPr>
              <w:spacing w:before="40" w:after="60" w:line="276" w:lineRule="auto"/>
              <w:ind w:firstLine="0"/>
              <w:contextualSpacing w:val="0"/>
              <w:jc w:val="center"/>
              <w:rPr>
                <w:rFonts w:eastAsiaTheme="minorEastAsia" w:cs="Arial"/>
                <w:b w:val="0"/>
                <w:color w:val="FFFFFF"/>
                <w:szCs w:val="22"/>
                <w:lang w:val="en-US" w:eastAsia="en-US"/>
              </w:rPr>
            </w:pPr>
            <w:r w:rsidRPr="00D178DD">
              <w:rPr>
                <w:rFonts w:eastAsiaTheme="minorEastAsia" w:cs="Arial"/>
                <w:b w:val="0"/>
                <w:color w:val="FFFFFF"/>
                <w:szCs w:val="22"/>
                <w:lang w:val="en-US" w:eastAsia="en-US"/>
              </w:rPr>
              <w:t>Փաստ</w:t>
            </w:r>
            <w:r w:rsidRPr="00D178DD">
              <w:rPr>
                <w:rFonts w:ascii="Cambria Math" w:eastAsiaTheme="minorEastAsia" w:hAnsi="Cambria Math" w:cs="Cambria Math"/>
                <w:b w:val="0"/>
                <w:color w:val="FFFFFF"/>
                <w:szCs w:val="22"/>
                <w:lang w:val="en-US" w:eastAsia="en-US"/>
              </w:rPr>
              <w:t>․</w:t>
            </w:r>
          </w:p>
        </w:tc>
        <w:tc>
          <w:tcPr>
            <w:tcW w:w="851"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rsidR="00D178DD" w:rsidRPr="00D178DD" w:rsidRDefault="00D178DD" w:rsidP="00D178DD">
            <w:pPr>
              <w:spacing w:before="40" w:after="60" w:line="276" w:lineRule="auto"/>
              <w:ind w:firstLine="0"/>
              <w:contextualSpacing w:val="0"/>
              <w:jc w:val="center"/>
              <w:rPr>
                <w:rFonts w:eastAsiaTheme="minorEastAsia" w:cs="Arial"/>
                <w:b w:val="0"/>
                <w:color w:val="FFFFFF"/>
                <w:szCs w:val="22"/>
                <w:lang w:val="en-US" w:eastAsia="en-US"/>
              </w:rPr>
            </w:pPr>
            <w:r w:rsidRPr="00D178DD">
              <w:rPr>
                <w:rFonts w:eastAsiaTheme="minorEastAsia" w:cs="Arial"/>
                <w:b w:val="0"/>
                <w:color w:val="FFFFFF"/>
                <w:szCs w:val="22"/>
                <w:lang w:val="en-US" w:eastAsia="en-US"/>
              </w:rPr>
              <w:t>Սահմ</w:t>
            </w:r>
            <w:r w:rsidRPr="00D178DD">
              <w:rPr>
                <w:rFonts w:ascii="Cambria Math" w:eastAsiaTheme="minorEastAsia" w:hAnsi="Cambria Math" w:cs="Cambria Math"/>
                <w:b w:val="0"/>
                <w:color w:val="FFFFFF"/>
                <w:szCs w:val="22"/>
                <w:lang w:val="en-US" w:eastAsia="en-US"/>
              </w:rPr>
              <w:t>․</w:t>
            </w:r>
          </w:p>
        </w:tc>
        <w:tc>
          <w:tcPr>
            <w:tcW w:w="709"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rsidR="00D178DD" w:rsidRPr="00D178DD" w:rsidRDefault="00D178DD" w:rsidP="00D178DD">
            <w:pPr>
              <w:spacing w:before="40" w:after="60" w:line="276" w:lineRule="auto"/>
              <w:ind w:firstLine="0"/>
              <w:contextualSpacing w:val="0"/>
              <w:jc w:val="center"/>
              <w:rPr>
                <w:rFonts w:eastAsiaTheme="minorEastAsia" w:cs="Arial"/>
                <w:b w:val="0"/>
                <w:color w:val="FFFFFF"/>
                <w:szCs w:val="22"/>
                <w:lang w:val="en-US" w:eastAsia="en-US"/>
              </w:rPr>
            </w:pPr>
            <w:r w:rsidRPr="00D178DD">
              <w:rPr>
                <w:rFonts w:eastAsiaTheme="minorEastAsia" w:cs="Arial"/>
                <w:b w:val="0"/>
                <w:color w:val="FFFFFF"/>
                <w:szCs w:val="22"/>
                <w:lang w:val="en-US" w:eastAsia="en-US"/>
              </w:rPr>
              <w:t>Փաստ</w:t>
            </w:r>
            <w:r w:rsidRPr="00D178DD">
              <w:rPr>
                <w:rFonts w:ascii="Cambria Math" w:eastAsiaTheme="minorEastAsia" w:hAnsi="Cambria Math" w:cs="Cambria Math"/>
                <w:b w:val="0"/>
                <w:color w:val="FFFFFF"/>
                <w:szCs w:val="22"/>
                <w:lang w:val="en-US" w:eastAsia="en-US"/>
              </w:rPr>
              <w:t>․</w:t>
            </w:r>
          </w:p>
        </w:tc>
        <w:tc>
          <w:tcPr>
            <w:tcW w:w="850"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rsidR="00D178DD" w:rsidRPr="00D178DD" w:rsidRDefault="00D178DD" w:rsidP="00D178DD">
            <w:pPr>
              <w:spacing w:before="40" w:after="60" w:line="276" w:lineRule="auto"/>
              <w:ind w:firstLine="0"/>
              <w:contextualSpacing w:val="0"/>
              <w:jc w:val="center"/>
              <w:rPr>
                <w:rFonts w:eastAsiaTheme="minorEastAsia" w:cs="Arial"/>
                <w:b w:val="0"/>
                <w:color w:val="FFFFFF"/>
                <w:szCs w:val="22"/>
                <w:lang w:val="en-US" w:eastAsia="en-US"/>
              </w:rPr>
            </w:pPr>
            <w:r w:rsidRPr="00D178DD">
              <w:rPr>
                <w:rFonts w:eastAsiaTheme="minorEastAsia" w:cs="Arial"/>
                <w:b w:val="0"/>
                <w:color w:val="FFFFFF"/>
                <w:szCs w:val="22"/>
                <w:lang w:val="en-US" w:eastAsia="en-US"/>
              </w:rPr>
              <w:t>Սահմ</w:t>
            </w:r>
            <w:r w:rsidRPr="00D178DD">
              <w:rPr>
                <w:rFonts w:ascii="Cambria Math" w:eastAsiaTheme="minorEastAsia" w:hAnsi="Cambria Math" w:cs="Cambria Math"/>
                <w:b w:val="0"/>
                <w:color w:val="FFFFFF"/>
                <w:szCs w:val="22"/>
                <w:lang w:val="en-US" w:eastAsia="en-US"/>
              </w:rPr>
              <w:t>․</w:t>
            </w:r>
          </w:p>
        </w:tc>
        <w:tc>
          <w:tcPr>
            <w:tcW w:w="732"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rsidR="00D178DD" w:rsidRPr="00D178DD" w:rsidRDefault="00D178DD" w:rsidP="00D178DD">
            <w:pPr>
              <w:spacing w:before="40" w:after="60" w:line="276" w:lineRule="auto"/>
              <w:ind w:firstLine="0"/>
              <w:contextualSpacing w:val="0"/>
              <w:jc w:val="center"/>
              <w:rPr>
                <w:rFonts w:eastAsiaTheme="minorEastAsia" w:cs="Arial"/>
                <w:b w:val="0"/>
                <w:color w:val="FFFFFF"/>
                <w:szCs w:val="22"/>
                <w:lang w:val="en-US" w:eastAsia="en-US"/>
              </w:rPr>
            </w:pPr>
            <w:r w:rsidRPr="00D178DD">
              <w:rPr>
                <w:rFonts w:eastAsiaTheme="minorEastAsia" w:cs="Arial"/>
                <w:b w:val="0"/>
                <w:color w:val="FFFFFF"/>
                <w:szCs w:val="22"/>
                <w:lang w:val="en-US" w:eastAsia="en-US"/>
              </w:rPr>
              <w:t>Փաստ</w:t>
            </w:r>
            <w:r w:rsidRPr="00D178DD">
              <w:rPr>
                <w:rFonts w:ascii="Cambria Math" w:eastAsiaTheme="minorEastAsia" w:hAnsi="Cambria Math" w:cs="Cambria Math"/>
                <w:b w:val="0"/>
                <w:color w:val="FFFFFF"/>
                <w:szCs w:val="22"/>
                <w:lang w:val="en-US" w:eastAsia="en-US"/>
              </w:rPr>
              <w:t>․</w:t>
            </w:r>
          </w:p>
        </w:tc>
      </w:tr>
      <w:tr w:rsidR="00D178DD" w:rsidRPr="00D178DD" w:rsidTr="004B2286">
        <w:trPr>
          <w:trHeight w:val="954"/>
          <w:jc w:val="center"/>
        </w:trPr>
        <w:tc>
          <w:tcPr>
            <w:tcW w:w="1597" w:type="dxa"/>
            <w:tcBorders>
              <w:top w:val="single" w:sz="2" w:space="0" w:color="4472C4"/>
              <w:bottom w:val="single" w:sz="2" w:space="0" w:color="4472C4"/>
              <w:right w:val="single" w:sz="2" w:space="0" w:color="4472C4"/>
            </w:tcBorders>
            <w:shd w:val="clear" w:color="auto" w:fill="auto"/>
            <w:vAlign w:val="center"/>
            <w:hideMark/>
          </w:tcPr>
          <w:p w:rsidR="00D178DD" w:rsidRPr="00D178DD" w:rsidRDefault="00D178DD" w:rsidP="00D178DD">
            <w:pPr>
              <w:spacing w:before="0" w:line="276" w:lineRule="auto"/>
              <w:ind w:firstLine="0"/>
              <w:contextualSpacing w:val="0"/>
              <w:rPr>
                <w:rFonts w:eastAsiaTheme="minorEastAsia" w:cs="Arial"/>
                <w:b w:val="0"/>
                <w:color w:val="000000"/>
                <w:sz w:val="16"/>
                <w:szCs w:val="16"/>
                <w:lang w:eastAsia="en-US"/>
              </w:rPr>
            </w:pPr>
            <w:r w:rsidRPr="00D178DD">
              <w:rPr>
                <w:rFonts w:eastAsiaTheme="minorEastAsia" w:cs="Arial"/>
                <w:b w:val="0"/>
                <w:color w:val="000000"/>
                <w:sz w:val="16"/>
                <w:szCs w:val="16"/>
                <w:lang w:val="en-US" w:eastAsia="en-US"/>
              </w:rPr>
              <w:t>Պետական</w:t>
            </w:r>
            <w:r w:rsidRPr="00D178DD">
              <w:rPr>
                <w:rFonts w:eastAsiaTheme="minorEastAsia" w:cs="Arial"/>
                <w:b w:val="0"/>
                <w:color w:val="000000"/>
                <w:sz w:val="16"/>
                <w:szCs w:val="16"/>
                <w:lang w:eastAsia="en-US"/>
              </w:rPr>
              <w:t xml:space="preserve"> </w:t>
            </w:r>
            <w:r w:rsidRPr="00D178DD">
              <w:rPr>
                <w:rFonts w:eastAsiaTheme="minorEastAsia" w:cs="Arial"/>
                <w:b w:val="0"/>
                <w:color w:val="000000"/>
                <w:sz w:val="16"/>
                <w:szCs w:val="16"/>
                <w:lang w:val="en-US" w:eastAsia="en-US"/>
              </w:rPr>
              <w:t>բյուջեի</w:t>
            </w:r>
            <w:r w:rsidRPr="00D178DD">
              <w:rPr>
                <w:rFonts w:eastAsiaTheme="minorEastAsia" w:cs="Arial"/>
                <w:b w:val="0"/>
                <w:color w:val="000000"/>
                <w:sz w:val="16"/>
                <w:szCs w:val="16"/>
                <w:lang w:eastAsia="en-US"/>
              </w:rPr>
              <w:t xml:space="preserve"> </w:t>
            </w:r>
            <w:r w:rsidRPr="00D178DD">
              <w:rPr>
                <w:rFonts w:eastAsiaTheme="minorEastAsia" w:cs="Arial"/>
                <w:b w:val="0"/>
                <w:color w:val="000000"/>
                <w:sz w:val="16"/>
                <w:szCs w:val="16"/>
                <w:lang w:val="en-US" w:eastAsia="en-US"/>
              </w:rPr>
              <w:t>ոչ</w:t>
            </w:r>
            <w:r w:rsidRPr="00D178DD">
              <w:rPr>
                <w:rFonts w:eastAsiaTheme="minorEastAsia" w:cs="Arial"/>
                <w:b w:val="0"/>
                <w:color w:val="000000"/>
                <w:sz w:val="16"/>
                <w:szCs w:val="16"/>
                <w:lang w:eastAsia="en-US"/>
              </w:rPr>
              <w:t xml:space="preserve"> </w:t>
            </w:r>
            <w:r w:rsidRPr="00D178DD">
              <w:rPr>
                <w:rFonts w:eastAsiaTheme="minorEastAsia" w:cs="Arial"/>
                <w:b w:val="0"/>
                <w:color w:val="000000"/>
                <w:sz w:val="16"/>
                <w:szCs w:val="16"/>
                <w:lang w:val="en-US" w:eastAsia="en-US"/>
              </w:rPr>
              <w:t>ֆինանսական</w:t>
            </w:r>
            <w:r w:rsidRPr="00D178DD">
              <w:rPr>
                <w:rFonts w:eastAsiaTheme="minorEastAsia" w:cs="Arial"/>
                <w:b w:val="0"/>
                <w:color w:val="000000"/>
                <w:sz w:val="16"/>
                <w:szCs w:val="16"/>
                <w:lang w:eastAsia="en-US"/>
              </w:rPr>
              <w:t xml:space="preserve"> </w:t>
            </w:r>
            <w:r w:rsidRPr="00D178DD">
              <w:rPr>
                <w:rFonts w:eastAsiaTheme="minorEastAsia" w:cs="Arial"/>
                <w:b w:val="0"/>
                <w:color w:val="000000"/>
                <w:sz w:val="16"/>
                <w:szCs w:val="16"/>
                <w:lang w:val="en-US" w:eastAsia="en-US"/>
              </w:rPr>
              <w:t>ակտիվների</w:t>
            </w:r>
            <w:r w:rsidRPr="00D178DD">
              <w:rPr>
                <w:rFonts w:eastAsiaTheme="minorEastAsia" w:cs="Arial"/>
                <w:b w:val="0"/>
                <w:color w:val="000000"/>
                <w:sz w:val="16"/>
                <w:szCs w:val="16"/>
                <w:lang w:eastAsia="en-US"/>
              </w:rPr>
              <w:t xml:space="preserve"> </w:t>
            </w:r>
            <w:r w:rsidRPr="00D178DD">
              <w:rPr>
                <w:rFonts w:eastAsiaTheme="minorEastAsia" w:cs="Arial"/>
                <w:b w:val="0"/>
                <w:color w:val="000000"/>
                <w:sz w:val="16"/>
                <w:szCs w:val="16"/>
                <w:lang w:val="en-US" w:eastAsia="en-US"/>
              </w:rPr>
              <w:t>գծով</w:t>
            </w:r>
            <w:r w:rsidRPr="00D178DD">
              <w:rPr>
                <w:rFonts w:eastAsiaTheme="minorEastAsia" w:cs="Arial"/>
                <w:b w:val="0"/>
                <w:color w:val="000000"/>
                <w:sz w:val="16"/>
                <w:szCs w:val="16"/>
                <w:lang w:eastAsia="en-US"/>
              </w:rPr>
              <w:t xml:space="preserve"> </w:t>
            </w:r>
            <w:r w:rsidRPr="00D178DD">
              <w:rPr>
                <w:rFonts w:eastAsiaTheme="minorEastAsia" w:cs="Arial"/>
                <w:b w:val="0"/>
                <w:color w:val="000000"/>
                <w:sz w:val="16"/>
                <w:szCs w:val="16"/>
                <w:lang w:val="en-US" w:eastAsia="en-US"/>
              </w:rPr>
              <w:t>ծախսեր</w:t>
            </w:r>
          </w:p>
        </w:tc>
        <w:tc>
          <w:tcPr>
            <w:tcW w:w="1800"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eastAsia="en-US"/>
              </w:rPr>
            </w:pPr>
            <w:r w:rsidRPr="00D178DD">
              <w:rPr>
                <w:rFonts w:eastAsiaTheme="minorEastAsia" w:cs="Arial"/>
                <w:b w:val="0"/>
                <w:color w:val="000000"/>
                <w:sz w:val="16"/>
                <w:szCs w:val="16"/>
                <w:lang w:eastAsia="en-US"/>
              </w:rPr>
              <w:t xml:space="preserve">&gt;/= </w:t>
            </w:r>
            <w:r w:rsidRPr="00D178DD">
              <w:rPr>
                <w:rFonts w:eastAsiaTheme="minorEastAsia" w:cs="Arial"/>
                <w:b w:val="0"/>
                <w:color w:val="000000"/>
                <w:sz w:val="16"/>
                <w:szCs w:val="16"/>
                <w:lang w:val="en-US" w:eastAsia="en-US"/>
              </w:rPr>
              <w:t>պետական</w:t>
            </w:r>
            <w:r w:rsidRPr="00D178DD">
              <w:rPr>
                <w:rFonts w:eastAsiaTheme="minorEastAsia" w:cs="Arial"/>
                <w:b w:val="0"/>
                <w:color w:val="000000"/>
                <w:sz w:val="16"/>
                <w:szCs w:val="16"/>
                <w:lang w:eastAsia="en-US"/>
              </w:rPr>
              <w:t xml:space="preserve"> </w:t>
            </w:r>
            <w:r w:rsidRPr="00D178DD">
              <w:rPr>
                <w:rFonts w:eastAsiaTheme="minorEastAsia" w:cs="Arial"/>
                <w:b w:val="0"/>
                <w:color w:val="000000"/>
                <w:sz w:val="16"/>
                <w:szCs w:val="16"/>
                <w:lang w:val="en-US" w:eastAsia="en-US"/>
              </w:rPr>
              <w:t>բյուջեի</w:t>
            </w:r>
            <w:r w:rsidRPr="00D178DD">
              <w:rPr>
                <w:rFonts w:eastAsiaTheme="minorEastAsia" w:cs="Arial"/>
                <w:b w:val="0"/>
                <w:color w:val="000000"/>
                <w:sz w:val="16"/>
                <w:szCs w:val="16"/>
                <w:lang w:eastAsia="en-US"/>
              </w:rPr>
              <w:t xml:space="preserve"> </w:t>
            </w:r>
            <w:r w:rsidRPr="00D178DD">
              <w:rPr>
                <w:rFonts w:eastAsiaTheme="minorEastAsia" w:cs="Arial"/>
                <w:b w:val="0"/>
                <w:color w:val="000000"/>
                <w:sz w:val="16"/>
                <w:szCs w:val="16"/>
                <w:lang w:val="en-US" w:eastAsia="en-US"/>
              </w:rPr>
              <w:t>պակասուրդ</w:t>
            </w:r>
            <w:r w:rsidRPr="00D178DD">
              <w:rPr>
                <w:rFonts w:eastAsiaTheme="minorEastAsia" w:cs="Arial"/>
                <w:b w:val="0"/>
                <w:color w:val="000000"/>
                <w:sz w:val="16"/>
                <w:szCs w:val="16"/>
                <w:lang w:eastAsia="en-US"/>
              </w:rPr>
              <w:t xml:space="preserve">, </w:t>
            </w:r>
            <w:r w:rsidRPr="00D178DD">
              <w:rPr>
                <w:rFonts w:eastAsiaTheme="minorEastAsia" w:cs="Arial"/>
                <w:b w:val="0"/>
                <w:color w:val="000000"/>
                <w:sz w:val="16"/>
                <w:szCs w:val="16"/>
                <w:lang w:val="en-US" w:eastAsia="en-US"/>
              </w:rPr>
              <w:t>մլրդ</w:t>
            </w:r>
            <w:r w:rsidRPr="00D178DD">
              <w:rPr>
                <w:rFonts w:eastAsiaTheme="minorEastAsia" w:cs="Arial"/>
                <w:b w:val="0"/>
                <w:color w:val="000000"/>
                <w:sz w:val="16"/>
                <w:szCs w:val="16"/>
                <w:lang w:eastAsia="en-US"/>
              </w:rPr>
              <w:t xml:space="preserve"> </w:t>
            </w:r>
            <w:r w:rsidRPr="00D178DD">
              <w:rPr>
                <w:rFonts w:eastAsiaTheme="minorEastAsia" w:cs="Arial"/>
                <w:b w:val="0"/>
                <w:color w:val="000000"/>
                <w:sz w:val="16"/>
                <w:szCs w:val="16"/>
                <w:lang w:val="en-US" w:eastAsia="en-US"/>
              </w:rPr>
              <w:t>դրամ</w:t>
            </w:r>
          </w:p>
        </w:tc>
        <w:tc>
          <w:tcPr>
            <w:tcW w:w="752"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rFonts w:eastAsiaTheme="minorEastAsia" w:cs="Arial"/>
                <w:b w:val="0"/>
                <w:color w:val="000000"/>
                <w:sz w:val="16"/>
                <w:szCs w:val="16"/>
                <w:lang w:val="en-US" w:eastAsia="en-US"/>
              </w:rPr>
              <w:t>334.0</w:t>
            </w:r>
          </w:p>
        </w:tc>
        <w:tc>
          <w:tcPr>
            <w:tcW w:w="851"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rFonts w:eastAsiaTheme="minorEastAsia" w:cs="Arial"/>
                <w:b w:val="0"/>
                <w:color w:val="000000"/>
                <w:sz w:val="16"/>
                <w:szCs w:val="16"/>
                <w:lang w:val="en-US" w:eastAsia="en-US"/>
              </w:rPr>
              <w:t>226.2</w:t>
            </w:r>
          </w:p>
        </w:tc>
        <w:tc>
          <w:tcPr>
            <w:tcW w:w="709"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rFonts w:eastAsiaTheme="minorEastAsia" w:cs="Arial"/>
                <w:b w:val="0"/>
                <w:color w:val="000000"/>
                <w:sz w:val="16"/>
                <w:szCs w:val="16"/>
                <w:lang w:val="en-US" w:eastAsia="en-US"/>
              </w:rPr>
              <w:t>320.5</w:t>
            </w:r>
          </w:p>
        </w:tc>
        <w:tc>
          <w:tcPr>
            <w:tcW w:w="708"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rFonts w:eastAsiaTheme="minorEastAsia" w:cs="Arial"/>
                <w:b w:val="0"/>
                <w:color w:val="000000"/>
                <w:sz w:val="16"/>
                <w:szCs w:val="16"/>
                <w:lang w:val="en-US" w:eastAsia="en-US"/>
              </w:rPr>
              <w:t>216.3</w:t>
            </w:r>
          </w:p>
        </w:tc>
        <w:tc>
          <w:tcPr>
            <w:tcW w:w="851" w:type="dxa"/>
            <w:tcBorders>
              <w:top w:val="nil"/>
              <w:left w:val="nil"/>
              <w:bottom w:val="single" w:sz="8" w:space="0" w:color="4472C4"/>
              <w:right w:val="single" w:sz="8" w:space="0" w:color="4472C4"/>
            </w:tcBorders>
            <w:shd w:val="clear" w:color="000000" w:fill="D9E2F3"/>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b w:val="0"/>
                <w:color w:val="000000"/>
                <w:sz w:val="16"/>
                <w:szCs w:val="16"/>
              </w:rPr>
              <w:t>204.2</w:t>
            </w:r>
          </w:p>
        </w:tc>
        <w:tc>
          <w:tcPr>
            <w:tcW w:w="709" w:type="dxa"/>
            <w:tcBorders>
              <w:top w:val="nil"/>
              <w:left w:val="nil"/>
              <w:bottom w:val="single" w:sz="8" w:space="0" w:color="4472C4"/>
              <w:right w:val="single" w:sz="8" w:space="0" w:color="4472C4"/>
            </w:tcBorders>
            <w:shd w:val="clear" w:color="000000" w:fill="D9E2F3"/>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b w:val="0"/>
                <w:color w:val="000000"/>
                <w:sz w:val="16"/>
                <w:szCs w:val="16"/>
              </w:rPr>
              <w:t>389.7</w:t>
            </w:r>
          </w:p>
        </w:tc>
        <w:tc>
          <w:tcPr>
            <w:tcW w:w="850" w:type="dxa"/>
            <w:tcBorders>
              <w:top w:val="nil"/>
              <w:left w:val="nil"/>
              <w:bottom w:val="single" w:sz="8" w:space="0" w:color="4472C4"/>
              <w:right w:val="single" w:sz="8" w:space="0" w:color="4472C4"/>
            </w:tcBorders>
            <w:shd w:val="clear" w:color="000000" w:fill="D9E2F3"/>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b w:val="0"/>
                <w:color w:val="000000"/>
                <w:sz w:val="16"/>
                <w:szCs w:val="16"/>
              </w:rPr>
              <w:t>288.9</w:t>
            </w:r>
          </w:p>
        </w:tc>
        <w:tc>
          <w:tcPr>
            <w:tcW w:w="732" w:type="dxa"/>
            <w:tcBorders>
              <w:top w:val="nil"/>
              <w:left w:val="nil"/>
              <w:bottom w:val="single" w:sz="8" w:space="0" w:color="4472C4"/>
              <w:right w:val="single" w:sz="8" w:space="0" w:color="4472C4"/>
            </w:tcBorders>
            <w:shd w:val="clear" w:color="000000" w:fill="D9E2F3"/>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b w:val="0"/>
                <w:color w:val="000000"/>
                <w:sz w:val="16"/>
                <w:szCs w:val="16"/>
              </w:rPr>
              <w:t>547.7</w:t>
            </w:r>
          </w:p>
        </w:tc>
      </w:tr>
      <w:tr w:rsidR="00D178DD" w:rsidRPr="00D178DD" w:rsidTr="004B2286">
        <w:trPr>
          <w:trHeight w:val="954"/>
          <w:jc w:val="center"/>
        </w:trPr>
        <w:tc>
          <w:tcPr>
            <w:tcW w:w="1597" w:type="dxa"/>
            <w:tcBorders>
              <w:top w:val="single" w:sz="2" w:space="0" w:color="4472C4"/>
              <w:bottom w:val="single" w:sz="2" w:space="0" w:color="4472C4"/>
              <w:right w:val="single" w:sz="2" w:space="0" w:color="4472C4"/>
            </w:tcBorders>
            <w:shd w:val="clear" w:color="auto" w:fill="auto"/>
            <w:vAlign w:val="center"/>
            <w:hideMark/>
          </w:tcPr>
          <w:p w:rsidR="00D178DD" w:rsidRPr="00D178DD" w:rsidRDefault="00D178DD" w:rsidP="00D178DD">
            <w:pPr>
              <w:spacing w:before="0" w:line="276" w:lineRule="auto"/>
              <w:ind w:firstLine="0"/>
              <w:contextualSpacing w:val="0"/>
              <w:rPr>
                <w:rFonts w:eastAsiaTheme="minorEastAsia" w:cs="Arial"/>
                <w:b w:val="0"/>
                <w:color w:val="000000"/>
                <w:sz w:val="16"/>
                <w:szCs w:val="16"/>
                <w:lang w:eastAsia="en-US"/>
              </w:rPr>
            </w:pPr>
            <w:r w:rsidRPr="00D178DD">
              <w:rPr>
                <w:rFonts w:eastAsiaTheme="minorEastAsia" w:cs="Arial"/>
                <w:b w:val="0"/>
                <w:color w:val="000000"/>
                <w:sz w:val="16"/>
                <w:szCs w:val="16"/>
                <w:lang w:val="en-US" w:eastAsia="en-US"/>
              </w:rPr>
              <w:t>Պետական</w:t>
            </w:r>
            <w:r w:rsidRPr="00D178DD">
              <w:rPr>
                <w:rFonts w:eastAsiaTheme="minorEastAsia" w:cs="Arial"/>
                <w:b w:val="0"/>
                <w:color w:val="000000"/>
                <w:sz w:val="16"/>
                <w:szCs w:val="16"/>
                <w:lang w:eastAsia="en-US"/>
              </w:rPr>
              <w:t xml:space="preserve"> </w:t>
            </w:r>
            <w:r w:rsidRPr="00D178DD">
              <w:rPr>
                <w:rFonts w:eastAsiaTheme="minorEastAsia" w:cs="Arial"/>
                <w:b w:val="0"/>
                <w:color w:val="000000"/>
                <w:sz w:val="16"/>
                <w:szCs w:val="16"/>
                <w:lang w:val="en-US" w:eastAsia="en-US"/>
              </w:rPr>
              <w:t>բյուջեի</w:t>
            </w:r>
            <w:r w:rsidRPr="00D178DD">
              <w:rPr>
                <w:rFonts w:eastAsiaTheme="minorEastAsia" w:cs="Arial"/>
                <w:b w:val="0"/>
                <w:color w:val="000000"/>
                <w:sz w:val="16"/>
                <w:szCs w:val="16"/>
                <w:lang w:eastAsia="en-US"/>
              </w:rPr>
              <w:t xml:space="preserve"> </w:t>
            </w:r>
            <w:r w:rsidRPr="00D178DD">
              <w:rPr>
                <w:rFonts w:eastAsiaTheme="minorEastAsia" w:cs="Arial"/>
                <w:b w:val="0"/>
                <w:color w:val="000000"/>
                <w:sz w:val="16"/>
                <w:szCs w:val="16"/>
                <w:lang w:val="en-US" w:eastAsia="en-US"/>
              </w:rPr>
              <w:t>ընթացիկ</w:t>
            </w:r>
            <w:r w:rsidRPr="00D178DD">
              <w:rPr>
                <w:rFonts w:eastAsiaTheme="minorEastAsia" w:cs="Arial"/>
                <w:b w:val="0"/>
                <w:color w:val="000000"/>
                <w:sz w:val="16"/>
                <w:szCs w:val="16"/>
                <w:lang w:eastAsia="en-US"/>
              </w:rPr>
              <w:t xml:space="preserve"> </w:t>
            </w:r>
            <w:r w:rsidRPr="00D178DD">
              <w:rPr>
                <w:rFonts w:eastAsiaTheme="minorEastAsia" w:cs="Arial"/>
                <w:b w:val="0"/>
                <w:color w:val="000000"/>
                <w:sz w:val="16"/>
                <w:szCs w:val="16"/>
                <w:lang w:val="en-US" w:eastAsia="en-US"/>
              </w:rPr>
              <w:t>առաջնային</w:t>
            </w:r>
            <w:r w:rsidRPr="00D178DD">
              <w:rPr>
                <w:rFonts w:eastAsiaTheme="minorEastAsia" w:cs="Arial"/>
                <w:b w:val="0"/>
                <w:color w:val="000000"/>
                <w:sz w:val="16"/>
                <w:szCs w:val="16"/>
                <w:lang w:eastAsia="en-US"/>
              </w:rPr>
              <w:t xml:space="preserve"> </w:t>
            </w:r>
            <w:r w:rsidRPr="00D178DD">
              <w:rPr>
                <w:rFonts w:eastAsiaTheme="minorEastAsia" w:cs="Arial"/>
                <w:b w:val="0"/>
                <w:color w:val="000000"/>
                <w:sz w:val="16"/>
                <w:szCs w:val="16"/>
                <w:lang w:val="en-US" w:eastAsia="en-US"/>
              </w:rPr>
              <w:t>ծախսերի</w:t>
            </w:r>
            <w:r w:rsidRPr="00D178DD">
              <w:rPr>
                <w:rFonts w:eastAsiaTheme="minorEastAsia" w:cs="Arial"/>
                <w:b w:val="0"/>
                <w:color w:val="000000"/>
                <w:sz w:val="16"/>
                <w:szCs w:val="16"/>
                <w:lang w:eastAsia="en-US"/>
              </w:rPr>
              <w:t xml:space="preserve"> </w:t>
            </w:r>
            <w:r w:rsidRPr="00D178DD">
              <w:rPr>
                <w:rFonts w:eastAsiaTheme="minorEastAsia" w:cs="Arial"/>
                <w:b w:val="0"/>
                <w:color w:val="000000"/>
                <w:sz w:val="16"/>
                <w:szCs w:val="16"/>
                <w:lang w:val="en-US" w:eastAsia="en-US"/>
              </w:rPr>
              <w:t>աճի</w:t>
            </w:r>
            <w:r w:rsidRPr="00D178DD">
              <w:rPr>
                <w:rFonts w:eastAsiaTheme="minorEastAsia" w:cs="Arial"/>
                <w:b w:val="0"/>
                <w:color w:val="000000"/>
                <w:sz w:val="16"/>
                <w:szCs w:val="16"/>
                <w:lang w:eastAsia="en-US"/>
              </w:rPr>
              <w:t xml:space="preserve"> </w:t>
            </w:r>
            <w:r w:rsidRPr="00D178DD">
              <w:rPr>
                <w:rFonts w:eastAsiaTheme="minorEastAsia" w:cs="Arial"/>
                <w:b w:val="0"/>
                <w:color w:val="000000"/>
                <w:sz w:val="16"/>
                <w:szCs w:val="16"/>
                <w:lang w:val="en-US" w:eastAsia="en-US"/>
              </w:rPr>
              <w:t>տեմպ</w:t>
            </w:r>
          </w:p>
        </w:tc>
        <w:tc>
          <w:tcPr>
            <w:tcW w:w="1800"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eastAsia="en-US"/>
              </w:rPr>
            </w:pPr>
            <w:r w:rsidRPr="00D178DD">
              <w:rPr>
                <w:rFonts w:eastAsiaTheme="minorEastAsia" w:cs="Arial"/>
                <w:b w:val="0"/>
                <w:color w:val="000000"/>
                <w:sz w:val="16"/>
                <w:szCs w:val="16"/>
                <w:lang w:eastAsia="en-US"/>
              </w:rPr>
              <w:t xml:space="preserve">&lt;/= </w:t>
            </w:r>
            <w:r w:rsidRPr="00D178DD">
              <w:rPr>
                <w:rFonts w:eastAsiaTheme="minorEastAsia" w:cs="Arial"/>
                <w:b w:val="0"/>
                <w:color w:val="000000"/>
                <w:sz w:val="16"/>
                <w:szCs w:val="16"/>
                <w:lang w:val="en-US" w:eastAsia="en-US"/>
              </w:rPr>
              <w:t>նախորդ</w:t>
            </w:r>
            <w:r w:rsidRPr="00D178DD">
              <w:rPr>
                <w:rFonts w:eastAsiaTheme="minorEastAsia" w:cs="Arial"/>
                <w:b w:val="0"/>
                <w:color w:val="000000"/>
                <w:sz w:val="16"/>
                <w:szCs w:val="16"/>
                <w:lang w:eastAsia="en-US"/>
              </w:rPr>
              <w:t xml:space="preserve"> 7 </w:t>
            </w:r>
            <w:r w:rsidRPr="00D178DD">
              <w:rPr>
                <w:rFonts w:eastAsiaTheme="minorEastAsia" w:cs="Arial"/>
                <w:b w:val="0"/>
                <w:color w:val="000000"/>
                <w:sz w:val="16"/>
                <w:szCs w:val="16"/>
                <w:lang w:val="en-US" w:eastAsia="en-US"/>
              </w:rPr>
              <w:t>տարիների</w:t>
            </w:r>
            <w:r w:rsidRPr="00D178DD">
              <w:rPr>
                <w:rFonts w:eastAsiaTheme="minorEastAsia" w:cs="Arial"/>
                <w:b w:val="0"/>
                <w:color w:val="000000"/>
                <w:sz w:val="16"/>
                <w:szCs w:val="16"/>
                <w:lang w:eastAsia="en-US"/>
              </w:rPr>
              <w:t xml:space="preserve"> </w:t>
            </w:r>
            <w:r w:rsidRPr="00D178DD">
              <w:rPr>
                <w:rFonts w:eastAsiaTheme="minorEastAsia" w:cs="Arial"/>
                <w:b w:val="0"/>
                <w:color w:val="000000"/>
                <w:sz w:val="16"/>
                <w:szCs w:val="16"/>
                <w:lang w:val="en-US" w:eastAsia="en-US"/>
              </w:rPr>
              <w:t>անվանական</w:t>
            </w:r>
            <w:r w:rsidRPr="00D178DD">
              <w:rPr>
                <w:rFonts w:eastAsiaTheme="minorEastAsia" w:cs="Arial"/>
                <w:b w:val="0"/>
                <w:color w:val="000000"/>
                <w:sz w:val="16"/>
                <w:szCs w:val="16"/>
                <w:lang w:eastAsia="en-US"/>
              </w:rPr>
              <w:t xml:space="preserve"> </w:t>
            </w:r>
            <w:r w:rsidRPr="00D178DD">
              <w:rPr>
                <w:rFonts w:eastAsiaTheme="minorEastAsia" w:cs="Arial"/>
                <w:b w:val="0"/>
                <w:color w:val="000000"/>
                <w:sz w:val="16"/>
                <w:szCs w:val="16"/>
                <w:lang w:val="en-US" w:eastAsia="en-US"/>
              </w:rPr>
              <w:t>ՀՆԱ</w:t>
            </w:r>
            <w:r w:rsidRPr="00D178DD">
              <w:rPr>
                <w:rFonts w:eastAsiaTheme="minorEastAsia" w:cs="Arial"/>
                <w:b w:val="0"/>
                <w:color w:val="000000"/>
                <w:sz w:val="16"/>
                <w:szCs w:val="16"/>
                <w:lang w:eastAsia="en-US"/>
              </w:rPr>
              <w:t xml:space="preserve"> </w:t>
            </w:r>
            <w:r w:rsidRPr="00D178DD">
              <w:rPr>
                <w:rFonts w:eastAsiaTheme="minorEastAsia" w:cs="Arial"/>
                <w:b w:val="0"/>
                <w:color w:val="000000"/>
                <w:sz w:val="16"/>
                <w:szCs w:val="16"/>
                <w:lang w:val="en-US" w:eastAsia="en-US"/>
              </w:rPr>
              <w:t>աճի</w:t>
            </w:r>
            <w:r w:rsidRPr="00D178DD">
              <w:rPr>
                <w:rFonts w:eastAsiaTheme="minorEastAsia" w:cs="Arial"/>
                <w:b w:val="0"/>
                <w:color w:val="000000"/>
                <w:sz w:val="16"/>
                <w:szCs w:val="16"/>
                <w:lang w:eastAsia="en-US"/>
              </w:rPr>
              <w:t xml:space="preserve"> </w:t>
            </w:r>
            <w:r w:rsidRPr="00D178DD">
              <w:rPr>
                <w:rFonts w:eastAsiaTheme="minorEastAsia" w:cs="Arial"/>
                <w:b w:val="0"/>
                <w:color w:val="000000"/>
                <w:sz w:val="16"/>
                <w:szCs w:val="16"/>
                <w:lang w:val="en-US" w:eastAsia="en-US"/>
              </w:rPr>
              <w:t>միջին</w:t>
            </w:r>
            <w:r w:rsidRPr="00D178DD">
              <w:rPr>
                <w:rFonts w:eastAsiaTheme="minorEastAsia" w:cs="Arial"/>
                <w:b w:val="0"/>
                <w:color w:val="000000"/>
                <w:sz w:val="16"/>
                <w:szCs w:val="16"/>
                <w:lang w:eastAsia="en-US"/>
              </w:rPr>
              <w:t xml:space="preserve"> </w:t>
            </w:r>
            <w:r w:rsidRPr="00D178DD">
              <w:rPr>
                <w:rFonts w:eastAsiaTheme="minorEastAsia" w:cs="Arial"/>
                <w:b w:val="0"/>
                <w:color w:val="000000"/>
                <w:sz w:val="16"/>
                <w:szCs w:val="16"/>
                <w:lang w:val="en-US" w:eastAsia="en-US"/>
              </w:rPr>
              <w:t>տեմպ</w:t>
            </w:r>
            <w:r w:rsidRPr="00D178DD">
              <w:rPr>
                <w:rFonts w:eastAsiaTheme="minorEastAsia" w:cs="Arial"/>
                <w:b w:val="0"/>
                <w:color w:val="000000"/>
                <w:sz w:val="16"/>
                <w:szCs w:val="16"/>
                <w:lang w:eastAsia="en-US"/>
              </w:rPr>
              <w:t>, %*</w:t>
            </w:r>
          </w:p>
        </w:tc>
        <w:tc>
          <w:tcPr>
            <w:tcW w:w="752"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rFonts w:eastAsiaTheme="minorEastAsia" w:cs="Arial"/>
                <w:b w:val="0"/>
                <w:color w:val="000000"/>
                <w:sz w:val="16"/>
                <w:szCs w:val="16"/>
                <w:lang w:val="en-US" w:eastAsia="en-US"/>
              </w:rPr>
              <w:t>5.9</w:t>
            </w:r>
          </w:p>
        </w:tc>
        <w:tc>
          <w:tcPr>
            <w:tcW w:w="851" w:type="dxa"/>
            <w:tcBorders>
              <w:top w:val="single" w:sz="2" w:space="0" w:color="4472C4"/>
              <w:left w:val="single" w:sz="2" w:space="0" w:color="4472C4"/>
              <w:bottom w:val="single" w:sz="2" w:space="0" w:color="4472C4"/>
              <w:right w:val="single" w:sz="2" w:space="0" w:color="4472C4"/>
            </w:tcBorders>
            <w:shd w:val="clear" w:color="000000" w:fill="FFFFFF"/>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rFonts w:eastAsiaTheme="minorEastAsia" w:cs="Arial"/>
                <w:b w:val="0"/>
                <w:color w:val="000000"/>
                <w:sz w:val="16"/>
                <w:szCs w:val="16"/>
                <w:lang w:val="en-US" w:eastAsia="en-US"/>
              </w:rPr>
              <w:t>14.8</w:t>
            </w:r>
          </w:p>
        </w:tc>
        <w:tc>
          <w:tcPr>
            <w:tcW w:w="709"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rFonts w:eastAsiaTheme="minorEastAsia" w:cs="Arial"/>
                <w:b w:val="0"/>
                <w:color w:val="000000"/>
                <w:sz w:val="16"/>
                <w:szCs w:val="16"/>
                <w:lang w:val="en-US" w:eastAsia="en-US"/>
              </w:rPr>
              <w:t>6.3</w:t>
            </w:r>
          </w:p>
        </w:tc>
        <w:tc>
          <w:tcPr>
            <w:tcW w:w="708" w:type="dxa"/>
            <w:tcBorders>
              <w:top w:val="single" w:sz="2" w:space="0" w:color="4472C4"/>
              <w:left w:val="single" w:sz="2" w:space="0" w:color="4472C4"/>
              <w:bottom w:val="single" w:sz="2" w:space="0" w:color="4472C4"/>
              <w:right w:val="single" w:sz="2" w:space="0" w:color="4472C4"/>
            </w:tcBorders>
            <w:shd w:val="clear" w:color="000000" w:fill="FFFFFF"/>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rFonts w:eastAsiaTheme="minorEastAsia" w:cs="Arial"/>
                <w:b w:val="0"/>
                <w:color w:val="000000"/>
                <w:sz w:val="16"/>
                <w:szCs w:val="16"/>
                <w:lang w:val="en-US" w:eastAsia="en-US"/>
              </w:rPr>
              <w:t>12.8</w:t>
            </w:r>
          </w:p>
        </w:tc>
        <w:tc>
          <w:tcPr>
            <w:tcW w:w="851" w:type="dxa"/>
            <w:tcBorders>
              <w:top w:val="nil"/>
              <w:left w:val="nil"/>
              <w:bottom w:val="single" w:sz="8" w:space="0" w:color="4472C4"/>
              <w:right w:val="single" w:sz="8" w:space="0" w:color="4472C4"/>
            </w:tcBorders>
            <w:shd w:val="clear" w:color="000000" w:fill="D9E2F3"/>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b w:val="0"/>
                <w:color w:val="000000"/>
                <w:sz w:val="16"/>
                <w:szCs w:val="16"/>
              </w:rPr>
              <w:t>4.1</w:t>
            </w:r>
          </w:p>
        </w:tc>
        <w:tc>
          <w:tcPr>
            <w:tcW w:w="709" w:type="dxa"/>
            <w:tcBorders>
              <w:top w:val="nil"/>
              <w:left w:val="nil"/>
              <w:bottom w:val="single" w:sz="8" w:space="0" w:color="4472C4"/>
              <w:right w:val="single" w:sz="8" w:space="0" w:color="4472C4"/>
            </w:tcBorders>
            <w:shd w:val="clear" w:color="000000" w:fill="D9E2F3"/>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b w:val="0"/>
                <w:color w:val="000000"/>
                <w:sz w:val="16"/>
                <w:szCs w:val="16"/>
              </w:rPr>
              <w:t>4.6</w:t>
            </w:r>
          </w:p>
        </w:tc>
        <w:tc>
          <w:tcPr>
            <w:tcW w:w="850" w:type="dxa"/>
            <w:tcBorders>
              <w:top w:val="nil"/>
              <w:left w:val="nil"/>
              <w:bottom w:val="single" w:sz="8" w:space="0" w:color="4472C4"/>
              <w:right w:val="single" w:sz="8" w:space="0" w:color="4472C4"/>
            </w:tcBorders>
            <w:shd w:val="clear" w:color="000000" w:fill="D9E2F3"/>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b w:val="0"/>
                <w:color w:val="000000"/>
                <w:sz w:val="16"/>
                <w:szCs w:val="16"/>
              </w:rPr>
              <w:t>5.1</w:t>
            </w:r>
          </w:p>
        </w:tc>
        <w:tc>
          <w:tcPr>
            <w:tcW w:w="732" w:type="dxa"/>
            <w:tcBorders>
              <w:top w:val="nil"/>
              <w:left w:val="nil"/>
              <w:bottom w:val="single" w:sz="8" w:space="0" w:color="4472C4"/>
              <w:right w:val="single" w:sz="8" w:space="0" w:color="4472C4"/>
            </w:tcBorders>
            <w:shd w:val="clear" w:color="000000" w:fill="D9E2F3"/>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b w:val="0"/>
                <w:color w:val="000000"/>
                <w:sz w:val="16"/>
                <w:szCs w:val="16"/>
              </w:rPr>
              <w:t>5.1</w:t>
            </w:r>
          </w:p>
        </w:tc>
      </w:tr>
      <w:tr w:rsidR="00D178DD" w:rsidRPr="00D178DD" w:rsidTr="004B2286">
        <w:trPr>
          <w:trHeight w:val="954"/>
          <w:jc w:val="center"/>
        </w:trPr>
        <w:tc>
          <w:tcPr>
            <w:tcW w:w="1597" w:type="dxa"/>
            <w:tcBorders>
              <w:top w:val="single" w:sz="2" w:space="0" w:color="4472C4"/>
              <w:bottom w:val="single" w:sz="2" w:space="0" w:color="4472C4"/>
              <w:right w:val="single" w:sz="2" w:space="0" w:color="4472C4"/>
            </w:tcBorders>
            <w:shd w:val="clear" w:color="auto" w:fill="auto"/>
            <w:vAlign w:val="center"/>
            <w:hideMark/>
          </w:tcPr>
          <w:p w:rsidR="00D178DD" w:rsidRPr="00D178DD" w:rsidRDefault="00D178DD" w:rsidP="00D178DD">
            <w:pPr>
              <w:spacing w:before="0" w:line="276" w:lineRule="auto"/>
              <w:ind w:firstLine="0"/>
              <w:contextualSpacing w:val="0"/>
              <w:rPr>
                <w:rFonts w:eastAsiaTheme="minorEastAsia" w:cs="Arial"/>
                <w:b w:val="0"/>
                <w:color w:val="000000"/>
                <w:sz w:val="16"/>
                <w:szCs w:val="16"/>
                <w:lang w:val="en-US" w:eastAsia="en-US"/>
              </w:rPr>
            </w:pPr>
            <w:r w:rsidRPr="00D178DD">
              <w:rPr>
                <w:rFonts w:eastAsiaTheme="minorEastAsia" w:cs="Arial"/>
                <w:b w:val="0"/>
                <w:color w:val="000000"/>
                <w:sz w:val="16"/>
                <w:szCs w:val="16"/>
                <w:lang w:val="en-US" w:eastAsia="en-US"/>
              </w:rPr>
              <w:t>Պետական բյուջեի ընթացիկ ծախսեր</w:t>
            </w:r>
          </w:p>
        </w:tc>
        <w:tc>
          <w:tcPr>
            <w:tcW w:w="1800"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rFonts w:eastAsiaTheme="minorEastAsia" w:cs="Arial"/>
                <w:b w:val="0"/>
                <w:color w:val="000000"/>
                <w:sz w:val="16"/>
                <w:szCs w:val="16"/>
                <w:lang w:val="en-US" w:eastAsia="en-US"/>
              </w:rPr>
              <w:t>&lt;/= հարկային եկամուտների և տուրքերի ծավալ, մլրդ դրամ**</w:t>
            </w:r>
          </w:p>
        </w:tc>
        <w:tc>
          <w:tcPr>
            <w:tcW w:w="752"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rFonts w:eastAsiaTheme="minorEastAsia" w:cs="Arial"/>
                <w:b w:val="0"/>
                <w:color w:val="000000"/>
                <w:sz w:val="16"/>
                <w:szCs w:val="16"/>
                <w:lang w:val="en-US" w:eastAsia="en-US"/>
              </w:rPr>
              <w:t>-</w:t>
            </w:r>
          </w:p>
        </w:tc>
        <w:tc>
          <w:tcPr>
            <w:tcW w:w="851"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rFonts w:eastAsiaTheme="minorEastAsia" w:cs="Arial"/>
                <w:b w:val="0"/>
                <w:color w:val="000000"/>
                <w:sz w:val="16"/>
                <w:szCs w:val="16"/>
                <w:lang w:val="en-US" w:eastAsia="en-US"/>
              </w:rPr>
              <w:t>1668.5</w:t>
            </w:r>
          </w:p>
        </w:tc>
        <w:tc>
          <w:tcPr>
            <w:tcW w:w="709"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rFonts w:eastAsiaTheme="minorEastAsia" w:cs="Arial"/>
                <w:b w:val="0"/>
                <w:color w:val="000000"/>
                <w:sz w:val="16"/>
                <w:szCs w:val="16"/>
                <w:lang w:val="en-US" w:eastAsia="en-US"/>
              </w:rPr>
              <w:t>-</w:t>
            </w:r>
          </w:p>
        </w:tc>
        <w:tc>
          <w:tcPr>
            <w:tcW w:w="708" w:type="dxa"/>
            <w:tcBorders>
              <w:top w:val="single" w:sz="2" w:space="0" w:color="4472C4"/>
              <w:left w:val="single" w:sz="2" w:space="0" w:color="4472C4"/>
              <w:bottom w:val="single" w:sz="2" w:space="0" w:color="4472C4"/>
              <w:right w:val="single" w:sz="2" w:space="0" w:color="4472C4"/>
            </w:tcBorders>
            <w:shd w:val="clear" w:color="auto" w:fill="auto"/>
            <w:noWrap/>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rFonts w:eastAsiaTheme="minorEastAsia" w:cs="Arial"/>
                <w:b w:val="0"/>
                <w:color w:val="000000"/>
                <w:sz w:val="16"/>
                <w:szCs w:val="16"/>
                <w:lang w:val="en-US" w:eastAsia="en-US"/>
              </w:rPr>
              <w:t>1787.9</w:t>
            </w:r>
          </w:p>
        </w:tc>
        <w:tc>
          <w:tcPr>
            <w:tcW w:w="851" w:type="dxa"/>
            <w:tcBorders>
              <w:top w:val="nil"/>
              <w:left w:val="nil"/>
              <w:bottom w:val="single" w:sz="8" w:space="0" w:color="4472C4"/>
              <w:right w:val="single" w:sz="8" w:space="0" w:color="4472C4"/>
            </w:tcBorders>
            <w:shd w:val="clear" w:color="000000" w:fill="D9E2F3"/>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b w:val="0"/>
                <w:color w:val="000000"/>
                <w:sz w:val="16"/>
                <w:szCs w:val="16"/>
              </w:rPr>
              <w:t>1920.0</w:t>
            </w:r>
          </w:p>
        </w:tc>
        <w:tc>
          <w:tcPr>
            <w:tcW w:w="709" w:type="dxa"/>
            <w:tcBorders>
              <w:top w:val="nil"/>
              <w:left w:val="nil"/>
              <w:bottom w:val="single" w:sz="8" w:space="0" w:color="4472C4"/>
              <w:right w:val="single" w:sz="8" w:space="0" w:color="4472C4"/>
            </w:tcBorders>
            <w:shd w:val="clear" w:color="000000" w:fill="D9E2F3"/>
            <w:noWrap/>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b w:val="0"/>
                <w:color w:val="000000"/>
                <w:sz w:val="16"/>
                <w:szCs w:val="16"/>
              </w:rPr>
              <w:t>1857.0</w:t>
            </w:r>
          </w:p>
        </w:tc>
        <w:tc>
          <w:tcPr>
            <w:tcW w:w="850" w:type="dxa"/>
            <w:tcBorders>
              <w:top w:val="nil"/>
              <w:left w:val="nil"/>
              <w:bottom w:val="single" w:sz="8" w:space="0" w:color="4472C4"/>
              <w:right w:val="single" w:sz="8" w:space="0" w:color="4472C4"/>
            </w:tcBorders>
            <w:shd w:val="clear" w:color="000000" w:fill="D9E2F3"/>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b w:val="0"/>
                <w:color w:val="000000"/>
                <w:sz w:val="16"/>
                <w:szCs w:val="16"/>
              </w:rPr>
              <w:t>2203.7</w:t>
            </w:r>
          </w:p>
        </w:tc>
        <w:tc>
          <w:tcPr>
            <w:tcW w:w="732" w:type="dxa"/>
            <w:tcBorders>
              <w:top w:val="nil"/>
              <w:left w:val="nil"/>
              <w:bottom w:val="single" w:sz="8" w:space="0" w:color="4472C4"/>
              <w:right w:val="single" w:sz="8" w:space="0" w:color="4472C4"/>
            </w:tcBorders>
            <w:shd w:val="clear" w:color="000000" w:fill="D9E2F3"/>
            <w:noWrap/>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b w:val="0"/>
                <w:color w:val="000000"/>
                <w:sz w:val="16"/>
                <w:szCs w:val="16"/>
              </w:rPr>
              <w:t>2042.5</w:t>
            </w:r>
          </w:p>
        </w:tc>
      </w:tr>
      <w:tr w:rsidR="00D178DD" w:rsidRPr="00D178DD" w:rsidTr="004B2286">
        <w:trPr>
          <w:trHeight w:val="241"/>
          <w:jc w:val="center"/>
        </w:trPr>
        <w:tc>
          <w:tcPr>
            <w:tcW w:w="3397" w:type="dxa"/>
            <w:gridSpan w:val="2"/>
            <w:tcBorders>
              <w:top w:val="single" w:sz="2" w:space="0" w:color="4472C4"/>
              <w:bottom w:val="single" w:sz="18" w:space="0" w:color="4472C4"/>
              <w:right w:val="single" w:sz="2" w:space="0" w:color="4472C4"/>
            </w:tcBorders>
            <w:shd w:val="clear" w:color="auto" w:fill="auto"/>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20"/>
                <w:szCs w:val="20"/>
                <w:lang w:val="en-US" w:eastAsia="en-US"/>
              </w:rPr>
            </w:pPr>
            <w:r w:rsidRPr="00D178DD">
              <w:rPr>
                <w:rFonts w:eastAsiaTheme="minorEastAsia" w:cs="Arial"/>
                <w:b w:val="0"/>
                <w:color w:val="000000"/>
                <w:sz w:val="20"/>
                <w:szCs w:val="20"/>
                <w:lang w:val="en-US" w:eastAsia="en-US"/>
              </w:rPr>
              <w:t>Կառավարության պարտք/ՀՆԱ, %</w:t>
            </w:r>
          </w:p>
        </w:tc>
        <w:tc>
          <w:tcPr>
            <w:tcW w:w="1603" w:type="dxa"/>
            <w:gridSpan w:val="2"/>
            <w:tcBorders>
              <w:top w:val="single" w:sz="2" w:space="0" w:color="4472C4"/>
              <w:left w:val="single" w:sz="2" w:space="0" w:color="4472C4"/>
              <w:bottom w:val="single" w:sz="18" w:space="0" w:color="4472C4"/>
              <w:right w:val="single" w:sz="2" w:space="0" w:color="4472C4"/>
            </w:tcBorders>
            <w:shd w:val="clear" w:color="auto" w:fill="auto"/>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20"/>
                <w:szCs w:val="20"/>
                <w:lang w:val="en-US" w:eastAsia="en-US"/>
              </w:rPr>
            </w:pPr>
            <w:r w:rsidRPr="00D178DD">
              <w:rPr>
                <w:rFonts w:eastAsiaTheme="minorEastAsia" w:cs="Arial"/>
                <w:b w:val="0"/>
                <w:color w:val="000000"/>
                <w:sz w:val="20"/>
                <w:szCs w:val="20"/>
                <w:lang w:val="en-US" w:eastAsia="en-US"/>
              </w:rPr>
              <w:t>63.5</w:t>
            </w:r>
          </w:p>
        </w:tc>
        <w:tc>
          <w:tcPr>
            <w:tcW w:w="1417" w:type="dxa"/>
            <w:gridSpan w:val="2"/>
            <w:tcBorders>
              <w:top w:val="single" w:sz="2" w:space="0" w:color="4472C4"/>
              <w:left w:val="single" w:sz="2" w:space="0" w:color="4472C4"/>
              <w:bottom w:val="single" w:sz="18" w:space="0" w:color="4472C4"/>
              <w:right w:val="single" w:sz="2" w:space="0" w:color="4472C4"/>
            </w:tcBorders>
            <w:shd w:val="clear" w:color="auto" w:fill="FFFFFF"/>
            <w:noWrap/>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20"/>
                <w:szCs w:val="20"/>
                <w:lang w:val="en-US" w:eastAsia="en-US"/>
              </w:rPr>
            </w:pPr>
            <w:r w:rsidRPr="00D178DD">
              <w:rPr>
                <w:rFonts w:eastAsiaTheme="minorEastAsia" w:cs="Arial"/>
                <w:b w:val="0"/>
                <w:color w:val="000000"/>
                <w:sz w:val="20"/>
                <w:szCs w:val="20"/>
                <w:lang w:val="en-US" w:eastAsia="en-US"/>
              </w:rPr>
              <w:t>60.3</w:t>
            </w:r>
          </w:p>
        </w:tc>
        <w:tc>
          <w:tcPr>
            <w:tcW w:w="1560" w:type="dxa"/>
            <w:gridSpan w:val="2"/>
            <w:tcBorders>
              <w:top w:val="single" w:sz="2" w:space="0" w:color="4472C4"/>
              <w:left w:val="single" w:sz="2" w:space="0" w:color="4472C4"/>
              <w:bottom w:val="single" w:sz="18" w:space="0" w:color="4472C4"/>
              <w:right w:val="single" w:sz="2" w:space="0" w:color="4472C4"/>
            </w:tcBorders>
            <w:shd w:val="clear" w:color="auto" w:fill="D9E2F3"/>
            <w:noWrap/>
            <w:vAlign w:val="center"/>
            <w:hideMark/>
          </w:tcPr>
          <w:p w:rsidR="00D178DD" w:rsidRPr="00D178DD" w:rsidRDefault="00D178DD" w:rsidP="00D178DD">
            <w:pPr>
              <w:spacing w:before="0" w:after="200" w:line="276" w:lineRule="auto"/>
              <w:ind w:firstLine="0"/>
              <w:contextualSpacing w:val="0"/>
              <w:jc w:val="center"/>
              <w:rPr>
                <w:rFonts w:eastAsiaTheme="minorEastAsia" w:cs="Arial"/>
                <w:b w:val="0"/>
                <w:color w:val="000000"/>
                <w:sz w:val="20"/>
                <w:szCs w:val="20"/>
                <w:lang w:val="hy-AM" w:eastAsia="en-US"/>
              </w:rPr>
            </w:pPr>
            <w:r w:rsidRPr="00D178DD">
              <w:rPr>
                <w:b w:val="0"/>
                <w:color w:val="000000"/>
                <w:sz w:val="20"/>
                <w:szCs w:val="20"/>
              </w:rPr>
              <w:t>5</w:t>
            </w:r>
            <w:r w:rsidRPr="00D178DD">
              <w:rPr>
                <w:b w:val="0"/>
                <w:color w:val="000000"/>
                <w:sz w:val="20"/>
                <w:szCs w:val="20"/>
                <w:lang w:val="hy-AM"/>
              </w:rPr>
              <w:t>0</w:t>
            </w:r>
            <w:r w:rsidRPr="00D178DD">
              <w:rPr>
                <w:b w:val="0"/>
                <w:color w:val="000000"/>
                <w:sz w:val="20"/>
                <w:szCs w:val="20"/>
              </w:rPr>
              <w:t>.</w:t>
            </w:r>
            <w:r w:rsidRPr="00D178DD">
              <w:rPr>
                <w:b w:val="0"/>
                <w:color w:val="000000"/>
                <w:sz w:val="20"/>
                <w:szCs w:val="20"/>
                <w:lang w:val="hy-AM"/>
              </w:rPr>
              <w:t>1</w:t>
            </w:r>
          </w:p>
        </w:tc>
        <w:tc>
          <w:tcPr>
            <w:tcW w:w="1582" w:type="dxa"/>
            <w:gridSpan w:val="2"/>
            <w:tcBorders>
              <w:top w:val="single" w:sz="2" w:space="0" w:color="4472C4"/>
              <w:left w:val="single" w:sz="2" w:space="0" w:color="4472C4"/>
              <w:bottom w:val="single" w:sz="18" w:space="0" w:color="4472C4"/>
              <w:right w:val="single" w:sz="2" w:space="0" w:color="4472C4"/>
            </w:tcBorders>
            <w:shd w:val="clear" w:color="auto" w:fill="D9E2F3"/>
            <w:noWrap/>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20"/>
                <w:szCs w:val="20"/>
                <w:lang w:val="en-US" w:eastAsia="en-US"/>
              </w:rPr>
            </w:pPr>
            <w:r w:rsidRPr="00D178DD">
              <w:rPr>
                <w:rFonts w:cs="Arial"/>
                <w:b w:val="0"/>
                <w:color w:val="000000"/>
                <w:sz w:val="20"/>
                <w:szCs w:val="20"/>
              </w:rPr>
              <w:t>49.</w:t>
            </w:r>
            <w:r w:rsidRPr="00D178DD">
              <w:rPr>
                <w:rFonts w:cs="Arial"/>
                <w:b w:val="0"/>
                <w:color w:val="000000"/>
                <w:sz w:val="20"/>
                <w:szCs w:val="20"/>
                <w:lang w:val="hy-AM"/>
              </w:rPr>
              <w:t>8</w:t>
            </w:r>
          </w:p>
        </w:tc>
      </w:tr>
    </w:tbl>
    <w:p w:rsidR="00D178DD" w:rsidRPr="00D178DD" w:rsidRDefault="00D178DD" w:rsidP="00D178DD">
      <w:pPr>
        <w:spacing w:before="0" w:line="240" w:lineRule="auto"/>
        <w:ind w:left="284" w:firstLine="0"/>
        <w:contextualSpacing w:val="0"/>
        <w:jc w:val="left"/>
        <w:rPr>
          <w:rFonts w:eastAsia="Calibri"/>
          <w:b w:val="0"/>
          <w:i/>
          <w:szCs w:val="22"/>
          <w:lang w:val="hy-AM" w:eastAsia="en-US"/>
        </w:rPr>
      </w:pPr>
    </w:p>
    <w:p w:rsidR="00D178DD" w:rsidRPr="00D178DD" w:rsidRDefault="00D178DD" w:rsidP="00D178DD">
      <w:pPr>
        <w:spacing w:before="0" w:line="240" w:lineRule="auto"/>
        <w:ind w:left="284" w:firstLine="0"/>
        <w:contextualSpacing w:val="0"/>
        <w:jc w:val="left"/>
        <w:rPr>
          <w:rFonts w:eastAsia="Calibri"/>
          <w:i/>
          <w:szCs w:val="22"/>
          <w:lang w:val="hy-AM" w:eastAsia="en-US"/>
        </w:rPr>
      </w:pPr>
      <w:r w:rsidRPr="00D178DD">
        <w:rPr>
          <w:rFonts w:eastAsia="Calibri"/>
          <w:b w:val="0"/>
          <w:i/>
          <w:szCs w:val="22"/>
          <w:lang w:val="hy-AM" w:eastAsia="en-US"/>
        </w:rPr>
        <w:t>*Հաշվարկված է որպես երկու տարի առաջ (t-2) արձանագրված ցուցանիշի նկատմամբ համապատասխան տարվա (t) հավելաճի տեմպի կես</w:t>
      </w:r>
    </w:p>
    <w:p w:rsidR="00D178DD" w:rsidRPr="00D178DD" w:rsidRDefault="00D178DD" w:rsidP="00D178DD">
      <w:pPr>
        <w:spacing w:before="0" w:line="240" w:lineRule="auto"/>
        <w:ind w:left="284" w:firstLine="0"/>
        <w:contextualSpacing w:val="0"/>
        <w:jc w:val="left"/>
        <w:rPr>
          <w:rFonts w:eastAsia="Calibri"/>
          <w:szCs w:val="22"/>
          <w:lang w:val="hy-AM" w:eastAsia="en-US"/>
        </w:rPr>
      </w:pPr>
      <w:r w:rsidRPr="00D178DD">
        <w:rPr>
          <w:rFonts w:eastAsia="Calibri"/>
          <w:b w:val="0"/>
          <w:i/>
          <w:szCs w:val="22"/>
          <w:lang w:val="hy-AM" w:eastAsia="en-US"/>
        </w:rPr>
        <w:t>**Պետական պարտքի առկա չափի դեպքում կիրառելի չէ</w:t>
      </w:r>
    </w:p>
    <w:p w:rsidR="00D178DD" w:rsidRPr="00D178DD" w:rsidRDefault="00D178DD" w:rsidP="00D178DD">
      <w:pPr>
        <w:keepNext/>
        <w:keepLines/>
        <w:spacing w:before="0" w:line="276" w:lineRule="auto"/>
        <w:ind w:firstLine="0"/>
        <w:outlineLvl w:val="2"/>
        <w:rPr>
          <w:sz w:val="24"/>
          <w:lang w:val="hy-AM" w:eastAsia="en-US"/>
        </w:rPr>
      </w:pPr>
      <w:bookmarkStart w:id="201" w:name="_Toc45838555"/>
      <w:bookmarkStart w:id="202" w:name="_Toc46154356"/>
      <w:bookmarkStart w:id="203" w:name="_Toc52452096"/>
      <w:bookmarkStart w:id="204" w:name="_Toc57655457"/>
      <w:bookmarkStart w:id="205" w:name="_Toc83972841"/>
      <w:bookmarkStart w:id="206" w:name="_Toc115686029"/>
      <w:bookmarkStart w:id="207" w:name="_Toc120805203"/>
      <w:r w:rsidRPr="00D178DD">
        <w:rPr>
          <w:sz w:val="24"/>
          <w:lang w:val="hy-AM" w:eastAsia="en-US"/>
        </w:rPr>
        <w:t>2.5. ՊԵՏԱԿԱՆ ԲՅՈՒՋԵԻ ՑՈՒՑԱՆԻՇՆԵՐԻ ԿԱՆԽԱՏԵՍՈՒՄՆԵՐԻ ՀԱՄԵՄԱՏԱԿԱՆ ԱՂՅՈՒՍԱԿՆԵՐ</w:t>
      </w:r>
      <w:bookmarkEnd w:id="201"/>
      <w:bookmarkEnd w:id="202"/>
      <w:bookmarkEnd w:id="203"/>
      <w:bookmarkEnd w:id="204"/>
      <w:bookmarkEnd w:id="205"/>
      <w:bookmarkEnd w:id="206"/>
      <w:bookmarkEnd w:id="207"/>
    </w:p>
    <w:p w:rsidR="00D178DD" w:rsidRPr="00D178DD" w:rsidRDefault="00D178DD" w:rsidP="00D178DD">
      <w:pPr>
        <w:rPr>
          <w:lang w:val="hy-AM" w:eastAsia="en-US"/>
        </w:rPr>
      </w:pPr>
    </w:p>
    <w:p w:rsidR="00D178DD" w:rsidRPr="00D178DD" w:rsidRDefault="00D178DD" w:rsidP="00D178DD">
      <w:pPr>
        <w:spacing w:before="0" w:line="276" w:lineRule="auto"/>
        <w:ind w:firstLine="0"/>
        <w:contextualSpacing w:val="0"/>
        <w:rPr>
          <w:rFonts w:eastAsia="Calibri" w:cs="Sylfaen"/>
          <w:b w:val="0"/>
          <w:bCs/>
          <w:i/>
          <w:iCs/>
          <w:color w:val="000000"/>
          <w:sz w:val="20"/>
          <w:szCs w:val="20"/>
          <w:lang w:val="hy-AM" w:eastAsia="en-US"/>
        </w:rPr>
      </w:pPr>
      <w:r w:rsidRPr="00D178DD">
        <w:rPr>
          <w:rFonts w:eastAsia="Calibri"/>
          <w:bCs/>
          <w:i/>
          <w:iCs/>
          <w:color w:val="000000"/>
          <w:szCs w:val="22"/>
          <w:lang w:val="hy-AM" w:eastAsia="en-US"/>
        </w:rPr>
        <w:t xml:space="preserve">Աղյուսակ 2.5.1. </w:t>
      </w:r>
      <w:r w:rsidRPr="00D178DD">
        <w:rPr>
          <w:rFonts w:eastAsia="Calibri" w:cs="Sylfaen"/>
          <w:b w:val="0"/>
          <w:bCs/>
          <w:i/>
          <w:iCs/>
          <w:color w:val="000000"/>
          <w:sz w:val="20"/>
          <w:szCs w:val="20"/>
          <w:lang w:val="hy-AM" w:eastAsia="en-US"/>
        </w:rPr>
        <w:t>Պետական բյուջեի եկամուտների կանխատեսումների համեմատական աղյուսակը (մլրդ դրամ)</w:t>
      </w:r>
    </w:p>
    <w:tbl>
      <w:tblPr>
        <w:tblW w:w="9600" w:type="dxa"/>
        <w:tblLook w:val="04A0" w:firstRow="1" w:lastRow="0" w:firstColumn="1" w:lastColumn="0" w:noHBand="0" w:noVBand="1"/>
      </w:tblPr>
      <w:tblGrid>
        <w:gridCol w:w="1540"/>
        <w:gridCol w:w="3620"/>
        <w:gridCol w:w="1480"/>
        <w:gridCol w:w="1480"/>
        <w:gridCol w:w="1480"/>
      </w:tblGrid>
      <w:tr w:rsidR="00D178DD" w:rsidRPr="00D178DD" w:rsidTr="004B2286">
        <w:trPr>
          <w:trHeight w:val="675"/>
        </w:trPr>
        <w:tc>
          <w:tcPr>
            <w:tcW w:w="1540" w:type="dxa"/>
            <w:tcBorders>
              <w:top w:val="single" w:sz="8" w:space="0" w:color="FFFFFF"/>
              <w:left w:val="single" w:sz="8" w:space="0" w:color="FFFFFF"/>
              <w:bottom w:val="single" w:sz="8" w:space="0" w:color="FFFFFF"/>
              <w:right w:val="single" w:sz="8" w:space="0" w:color="FFFFFF"/>
            </w:tcBorders>
            <w:shd w:val="clear" w:color="000000" w:fill="8EA9DB"/>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Ընդունման տարին</w:t>
            </w:r>
          </w:p>
        </w:tc>
        <w:tc>
          <w:tcPr>
            <w:tcW w:w="3620"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Ծրագիր</w:t>
            </w:r>
          </w:p>
        </w:tc>
        <w:tc>
          <w:tcPr>
            <w:tcW w:w="1480"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2021</w:t>
            </w:r>
          </w:p>
        </w:tc>
        <w:tc>
          <w:tcPr>
            <w:tcW w:w="1480"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2022</w:t>
            </w:r>
          </w:p>
        </w:tc>
        <w:tc>
          <w:tcPr>
            <w:tcW w:w="1480"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2023</w:t>
            </w:r>
          </w:p>
        </w:tc>
      </w:tr>
      <w:tr w:rsidR="00D178DD" w:rsidRPr="00D178DD" w:rsidTr="004B2286">
        <w:trPr>
          <w:trHeight w:val="345"/>
        </w:trPr>
        <w:tc>
          <w:tcPr>
            <w:tcW w:w="1540"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w:t>
            </w:r>
          </w:p>
        </w:tc>
        <w:tc>
          <w:tcPr>
            <w:tcW w:w="362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Փաստացի</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1,683.8</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8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45"/>
        </w:trPr>
        <w:tc>
          <w:tcPr>
            <w:tcW w:w="1540"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2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left"/>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24.10%</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8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45"/>
        </w:trPr>
        <w:tc>
          <w:tcPr>
            <w:tcW w:w="1540"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2020</w:t>
            </w:r>
          </w:p>
        </w:tc>
        <w:tc>
          <w:tcPr>
            <w:tcW w:w="362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r w:rsidRPr="00D178DD">
              <w:rPr>
                <w:rFonts w:cs="Calibri"/>
                <w:b w:val="0"/>
                <w:color w:val="000000"/>
                <w:szCs w:val="22"/>
                <w:lang w:val="en-US" w:eastAsia="en-US"/>
              </w:rPr>
              <w:t xml:space="preserve"> ՄԺԾԾ 2021-2023</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1,669.9</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1,885.9</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2,082.9</w:t>
            </w:r>
          </w:p>
        </w:tc>
      </w:tr>
      <w:tr w:rsidR="00D178DD" w:rsidRPr="00D178DD" w:rsidTr="004B2286">
        <w:trPr>
          <w:trHeight w:val="345"/>
        </w:trPr>
        <w:tc>
          <w:tcPr>
            <w:tcW w:w="1540"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2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left"/>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23.40%</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24.00%</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24.30%</w:t>
            </w:r>
          </w:p>
        </w:tc>
      </w:tr>
      <w:tr w:rsidR="00D178DD" w:rsidRPr="00D178DD" w:rsidTr="004B2286">
        <w:trPr>
          <w:trHeight w:val="345"/>
        </w:trPr>
        <w:tc>
          <w:tcPr>
            <w:tcW w:w="1540"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2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r w:rsidRPr="00D178DD">
              <w:rPr>
                <w:rFonts w:cs="Calibri"/>
                <w:b w:val="0"/>
                <w:color w:val="000000"/>
                <w:szCs w:val="22"/>
                <w:lang w:val="en-US" w:eastAsia="en-US"/>
              </w:rPr>
              <w:t>2021թ. Պետական բյուջե</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1,509.5</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45"/>
        </w:trPr>
        <w:tc>
          <w:tcPr>
            <w:tcW w:w="1540"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2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left"/>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23.60%</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i/>
                <w:iCs/>
                <w:color w:val="000000"/>
                <w:szCs w:val="22"/>
                <w:lang w:val="en-US" w:eastAsia="en-US"/>
              </w:rPr>
            </w:pPr>
            <w:r w:rsidRPr="00D178DD">
              <w:rPr>
                <w:rFonts w:ascii="Calibri" w:hAnsi="Calibri" w:cs="Calibri"/>
                <w:b w:val="0"/>
                <w:i/>
                <w:iCs/>
                <w:color w:val="000000"/>
                <w:szCs w:val="22"/>
                <w:lang w:val="en-US" w:eastAsia="en-US"/>
              </w:rPr>
              <w:t> </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i/>
                <w:iCs/>
                <w:color w:val="000000"/>
                <w:szCs w:val="22"/>
                <w:lang w:val="en-US" w:eastAsia="en-US"/>
              </w:rPr>
            </w:pPr>
            <w:r w:rsidRPr="00D178DD">
              <w:rPr>
                <w:rFonts w:ascii="Calibri" w:hAnsi="Calibri" w:cs="Calibri"/>
                <w:b w:val="0"/>
                <w:i/>
                <w:iCs/>
                <w:color w:val="000000"/>
                <w:szCs w:val="22"/>
                <w:lang w:val="en-US" w:eastAsia="en-US"/>
              </w:rPr>
              <w:t> </w:t>
            </w:r>
          </w:p>
        </w:tc>
      </w:tr>
      <w:tr w:rsidR="00D178DD" w:rsidRPr="00D178DD" w:rsidTr="004B2286">
        <w:trPr>
          <w:trHeight w:val="345"/>
        </w:trPr>
        <w:tc>
          <w:tcPr>
            <w:tcW w:w="1540"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2021</w:t>
            </w:r>
          </w:p>
        </w:tc>
        <w:tc>
          <w:tcPr>
            <w:tcW w:w="362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r w:rsidRPr="00D178DD">
              <w:rPr>
                <w:rFonts w:cs="Calibri"/>
                <w:b w:val="0"/>
                <w:color w:val="000000"/>
                <w:szCs w:val="22"/>
                <w:lang w:val="en-US" w:eastAsia="en-US"/>
              </w:rPr>
              <w:t xml:space="preserve"> ՄԺԾԾ 2022-2024</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1,617.3</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1,819.2</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1,966.7</w:t>
            </w:r>
          </w:p>
        </w:tc>
      </w:tr>
      <w:tr w:rsidR="00D178DD" w:rsidRPr="00D178DD" w:rsidTr="004B2286">
        <w:trPr>
          <w:trHeight w:val="345"/>
        </w:trPr>
        <w:tc>
          <w:tcPr>
            <w:tcW w:w="1540"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2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left"/>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23.50%</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24.00%</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24.10%</w:t>
            </w:r>
          </w:p>
        </w:tc>
      </w:tr>
      <w:tr w:rsidR="00D178DD" w:rsidRPr="00D178DD" w:rsidTr="004B2286">
        <w:trPr>
          <w:trHeight w:val="345"/>
        </w:trPr>
        <w:tc>
          <w:tcPr>
            <w:tcW w:w="1540"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2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r w:rsidRPr="00D178DD">
              <w:rPr>
                <w:rFonts w:cs="Calibri"/>
                <w:b w:val="0"/>
                <w:color w:val="000000"/>
                <w:szCs w:val="22"/>
                <w:lang w:val="en-US" w:eastAsia="en-US"/>
              </w:rPr>
              <w:t>2022թ. Պետական բյուջե</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1,656.9</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1,947.8</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45"/>
        </w:trPr>
        <w:tc>
          <w:tcPr>
            <w:tcW w:w="1540"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2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left"/>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23.60%</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24.80%</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i/>
                <w:iCs/>
                <w:color w:val="000000"/>
                <w:szCs w:val="22"/>
                <w:lang w:val="en-US" w:eastAsia="en-US"/>
              </w:rPr>
            </w:pPr>
            <w:r w:rsidRPr="00D178DD">
              <w:rPr>
                <w:rFonts w:ascii="Calibri" w:hAnsi="Calibri" w:cs="Calibri"/>
                <w:b w:val="0"/>
                <w:i/>
                <w:iCs/>
                <w:color w:val="000000"/>
                <w:szCs w:val="22"/>
                <w:lang w:val="en-US" w:eastAsia="en-US"/>
              </w:rPr>
              <w:t> </w:t>
            </w:r>
          </w:p>
        </w:tc>
      </w:tr>
      <w:tr w:rsidR="00D178DD" w:rsidRPr="00D178DD" w:rsidTr="004B2286">
        <w:trPr>
          <w:trHeight w:val="345"/>
        </w:trPr>
        <w:tc>
          <w:tcPr>
            <w:tcW w:w="1540"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2022</w:t>
            </w:r>
          </w:p>
        </w:tc>
        <w:tc>
          <w:tcPr>
            <w:tcW w:w="362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r w:rsidRPr="00D178DD">
              <w:rPr>
                <w:rFonts w:cs="Calibri"/>
                <w:b w:val="0"/>
                <w:color w:val="000000"/>
                <w:szCs w:val="22"/>
                <w:lang w:val="en-US" w:eastAsia="en-US"/>
              </w:rPr>
              <w:t xml:space="preserve"> ՄԺԾԾ 2023-2025</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2,020.9</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2,253.8</w:t>
            </w:r>
          </w:p>
        </w:tc>
      </w:tr>
      <w:tr w:rsidR="00D178DD" w:rsidRPr="00D178DD" w:rsidTr="004B2286">
        <w:trPr>
          <w:trHeight w:val="345"/>
        </w:trPr>
        <w:tc>
          <w:tcPr>
            <w:tcW w:w="1540"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2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left"/>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25.00%</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24.90%</w:t>
            </w:r>
          </w:p>
        </w:tc>
      </w:tr>
      <w:tr w:rsidR="00D178DD" w:rsidRPr="00D178DD" w:rsidTr="004B2286">
        <w:trPr>
          <w:trHeight w:val="345"/>
        </w:trPr>
        <w:tc>
          <w:tcPr>
            <w:tcW w:w="1540"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2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r w:rsidRPr="00D178DD">
              <w:rPr>
                <w:rFonts w:cs="Calibri"/>
                <w:b w:val="0"/>
                <w:color w:val="000000"/>
                <w:szCs w:val="22"/>
                <w:lang w:val="en-US" w:eastAsia="en-US"/>
              </w:rPr>
              <w:t>2023թ. Պետական բյուջե</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2,042.5</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after="200" w:line="240" w:lineRule="auto"/>
              <w:ind w:firstLine="0"/>
              <w:contextualSpacing w:val="0"/>
              <w:jc w:val="right"/>
              <w:rPr>
                <w:rFonts w:cs="Calibri"/>
                <w:b w:val="0"/>
                <w:color w:val="000000"/>
                <w:szCs w:val="22"/>
                <w:lang w:val="hy-AM" w:eastAsia="en-US"/>
              </w:rPr>
            </w:pPr>
            <w:r w:rsidRPr="00D178DD">
              <w:rPr>
                <w:rFonts w:cs="Calibri"/>
                <w:b w:val="0"/>
                <w:color w:val="000000"/>
                <w:szCs w:val="22"/>
                <w:lang w:val="en-US" w:eastAsia="en-US"/>
              </w:rPr>
              <w:t>2,30</w:t>
            </w:r>
            <w:r w:rsidRPr="00D178DD">
              <w:rPr>
                <w:rFonts w:cs="Calibri"/>
                <w:b w:val="0"/>
                <w:color w:val="000000"/>
                <w:szCs w:val="22"/>
                <w:lang w:val="hy-AM" w:eastAsia="en-US"/>
              </w:rPr>
              <w:t>2</w:t>
            </w:r>
            <w:r w:rsidRPr="00D178DD">
              <w:rPr>
                <w:rFonts w:cs="Calibri"/>
                <w:b w:val="0"/>
                <w:color w:val="000000"/>
                <w:szCs w:val="22"/>
                <w:lang w:val="en-US" w:eastAsia="en-US"/>
              </w:rPr>
              <w:t>.</w:t>
            </w:r>
            <w:r w:rsidRPr="00D178DD">
              <w:rPr>
                <w:rFonts w:cs="Calibri"/>
                <w:b w:val="0"/>
                <w:color w:val="000000"/>
                <w:szCs w:val="22"/>
                <w:lang w:val="hy-AM" w:eastAsia="en-US"/>
              </w:rPr>
              <w:t>0</w:t>
            </w:r>
          </w:p>
        </w:tc>
      </w:tr>
      <w:tr w:rsidR="00D178DD" w:rsidRPr="00D178DD" w:rsidTr="004B2286">
        <w:trPr>
          <w:trHeight w:val="345"/>
        </w:trPr>
        <w:tc>
          <w:tcPr>
            <w:tcW w:w="1540"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2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left"/>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24.63%</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24.70%</w:t>
            </w:r>
          </w:p>
        </w:tc>
      </w:tr>
    </w:tbl>
    <w:p w:rsidR="00D178DD" w:rsidRPr="00D178DD" w:rsidRDefault="00D178DD" w:rsidP="00D178DD">
      <w:pPr>
        <w:spacing w:before="0" w:line="276" w:lineRule="auto"/>
        <w:ind w:firstLine="0"/>
        <w:contextualSpacing w:val="0"/>
        <w:rPr>
          <w:rFonts w:eastAsia="Calibri"/>
          <w:bCs/>
          <w:i/>
          <w:iCs/>
          <w:color w:val="000000"/>
          <w:szCs w:val="22"/>
          <w:lang w:val="hy-AM" w:eastAsia="en-US"/>
        </w:rPr>
      </w:pPr>
    </w:p>
    <w:p w:rsidR="00D178DD" w:rsidRPr="00D178DD" w:rsidRDefault="00D178DD" w:rsidP="00D178DD">
      <w:pPr>
        <w:spacing w:before="0" w:line="259" w:lineRule="auto"/>
        <w:ind w:firstLine="0"/>
        <w:contextualSpacing w:val="0"/>
        <w:rPr>
          <w:rFonts w:eastAsia="Calibri" w:cs="Sylfaen"/>
          <w:b w:val="0"/>
          <w:bCs/>
          <w:i/>
          <w:iCs/>
          <w:color w:val="000000"/>
          <w:sz w:val="20"/>
          <w:szCs w:val="20"/>
          <w:lang w:val="hy-AM" w:eastAsia="en-US"/>
        </w:rPr>
      </w:pPr>
      <w:r w:rsidRPr="00D178DD">
        <w:rPr>
          <w:rFonts w:eastAsia="Calibri"/>
          <w:bCs/>
          <w:i/>
          <w:iCs/>
          <w:color w:val="000000"/>
          <w:szCs w:val="22"/>
          <w:lang w:val="hy-AM" w:eastAsia="en-US"/>
        </w:rPr>
        <w:t>Աղյուսակ 2.5.2.</w:t>
      </w:r>
      <w:r w:rsidRPr="00D178DD">
        <w:rPr>
          <w:rFonts w:eastAsia="Calibri"/>
          <w:bCs/>
          <w:i/>
          <w:iCs/>
          <w:sz w:val="20"/>
          <w:szCs w:val="20"/>
          <w:lang w:val="hy-AM" w:eastAsia="en-US"/>
        </w:rPr>
        <w:t xml:space="preserve"> </w:t>
      </w:r>
      <w:r w:rsidRPr="00D178DD">
        <w:rPr>
          <w:rFonts w:eastAsia="Calibri" w:cs="Sylfaen"/>
          <w:b w:val="0"/>
          <w:bCs/>
          <w:i/>
          <w:iCs/>
          <w:color w:val="000000"/>
          <w:sz w:val="20"/>
          <w:szCs w:val="20"/>
          <w:lang w:val="hy-AM" w:eastAsia="en-US"/>
        </w:rPr>
        <w:t>Պետական բյուջեի հարկային եկամուտների կանխատեսումների համեմատական աղյուսակը (մլրդ դրամ)</w:t>
      </w:r>
    </w:p>
    <w:tbl>
      <w:tblPr>
        <w:tblW w:w="9620" w:type="dxa"/>
        <w:tblLook w:val="04A0" w:firstRow="1" w:lastRow="0" w:firstColumn="1" w:lastColumn="0" w:noHBand="0" w:noVBand="1"/>
      </w:tblPr>
      <w:tblGrid>
        <w:gridCol w:w="1924"/>
        <w:gridCol w:w="3630"/>
        <w:gridCol w:w="1312"/>
        <w:gridCol w:w="1312"/>
        <w:gridCol w:w="1442"/>
      </w:tblGrid>
      <w:tr w:rsidR="00D178DD" w:rsidRPr="00D178DD" w:rsidTr="004B2286">
        <w:trPr>
          <w:trHeight w:val="675"/>
        </w:trPr>
        <w:tc>
          <w:tcPr>
            <w:tcW w:w="1924" w:type="dxa"/>
            <w:tcBorders>
              <w:top w:val="single" w:sz="8" w:space="0" w:color="FFFFFF"/>
              <w:left w:val="single" w:sz="8" w:space="0" w:color="FFFFFF"/>
              <w:bottom w:val="single" w:sz="8" w:space="0" w:color="FFFFFF"/>
              <w:right w:val="single" w:sz="8" w:space="0" w:color="FFFFFF"/>
            </w:tcBorders>
            <w:shd w:val="clear" w:color="000000" w:fill="8EA9DB"/>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Ընդունման տարին</w:t>
            </w:r>
          </w:p>
        </w:tc>
        <w:tc>
          <w:tcPr>
            <w:tcW w:w="3630"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Ծրագիր</w:t>
            </w:r>
          </w:p>
        </w:tc>
        <w:tc>
          <w:tcPr>
            <w:tcW w:w="1312"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2021</w:t>
            </w:r>
          </w:p>
        </w:tc>
        <w:tc>
          <w:tcPr>
            <w:tcW w:w="1312"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2022</w:t>
            </w:r>
          </w:p>
        </w:tc>
        <w:tc>
          <w:tcPr>
            <w:tcW w:w="1442"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2023</w:t>
            </w:r>
          </w:p>
        </w:tc>
      </w:tr>
      <w:tr w:rsidR="00D178DD" w:rsidRPr="00D178DD" w:rsidTr="004B2286">
        <w:trPr>
          <w:trHeight w:val="345"/>
        </w:trPr>
        <w:tc>
          <w:tcPr>
            <w:tcW w:w="1924"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w:t>
            </w:r>
          </w:p>
        </w:tc>
        <w:tc>
          <w:tcPr>
            <w:tcW w:w="363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Փաստացի</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1,586.9</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42"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45"/>
        </w:trPr>
        <w:tc>
          <w:tcPr>
            <w:tcW w:w="1924"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3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22.70%</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42"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45"/>
        </w:trPr>
        <w:tc>
          <w:tcPr>
            <w:tcW w:w="1924"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2020</w:t>
            </w:r>
          </w:p>
        </w:tc>
        <w:tc>
          <w:tcPr>
            <w:tcW w:w="363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 xml:space="preserve"> ՄԺԾԾ 2021-2023</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1,600.3</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1,819.7</w:t>
            </w:r>
          </w:p>
        </w:tc>
        <w:tc>
          <w:tcPr>
            <w:tcW w:w="144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2,027.1</w:t>
            </w:r>
          </w:p>
        </w:tc>
      </w:tr>
      <w:tr w:rsidR="00D178DD" w:rsidRPr="00D178DD" w:rsidTr="004B2286">
        <w:trPr>
          <w:trHeight w:val="345"/>
        </w:trPr>
        <w:tc>
          <w:tcPr>
            <w:tcW w:w="1924"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3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22.40%</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23.20%</w:t>
            </w:r>
          </w:p>
        </w:tc>
        <w:tc>
          <w:tcPr>
            <w:tcW w:w="144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23.60%</w:t>
            </w:r>
          </w:p>
        </w:tc>
      </w:tr>
      <w:tr w:rsidR="00D178DD" w:rsidRPr="00D178DD" w:rsidTr="004B2286">
        <w:trPr>
          <w:trHeight w:val="345"/>
        </w:trPr>
        <w:tc>
          <w:tcPr>
            <w:tcW w:w="1924"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3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2021թ. Պետական բյուջե</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1,440.1</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4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45"/>
        </w:trPr>
        <w:tc>
          <w:tcPr>
            <w:tcW w:w="1924"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3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22.50%</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i/>
                <w:iCs/>
                <w:color w:val="000000"/>
                <w:szCs w:val="22"/>
                <w:lang w:val="en-US" w:eastAsia="en-US"/>
              </w:rPr>
            </w:pPr>
            <w:r w:rsidRPr="00D178DD">
              <w:rPr>
                <w:rFonts w:ascii="Calibri" w:hAnsi="Calibri" w:cs="Calibri"/>
                <w:b w:val="0"/>
                <w:i/>
                <w:iCs/>
                <w:color w:val="000000"/>
                <w:szCs w:val="22"/>
                <w:lang w:val="en-US" w:eastAsia="en-US"/>
              </w:rPr>
              <w:t> </w:t>
            </w:r>
          </w:p>
        </w:tc>
        <w:tc>
          <w:tcPr>
            <w:tcW w:w="144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i/>
                <w:iCs/>
                <w:color w:val="000000"/>
                <w:szCs w:val="22"/>
                <w:lang w:val="en-US" w:eastAsia="en-US"/>
              </w:rPr>
            </w:pPr>
            <w:r w:rsidRPr="00D178DD">
              <w:rPr>
                <w:rFonts w:ascii="Calibri" w:hAnsi="Calibri" w:cs="Calibri"/>
                <w:b w:val="0"/>
                <w:i/>
                <w:iCs/>
                <w:color w:val="000000"/>
                <w:szCs w:val="22"/>
                <w:lang w:val="en-US" w:eastAsia="en-US"/>
              </w:rPr>
              <w:t> </w:t>
            </w:r>
          </w:p>
        </w:tc>
      </w:tr>
      <w:tr w:rsidR="00D178DD" w:rsidRPr="00D178DD" w:rsidTr="004B2286">
        <w:trPr>
          <w:trHeight w:val="345"/>
        </w:trPr>
        <w:tc>
          <w:tcPr>
            <w:tcW w:w="1924"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2021</w:t>
            </w:r>
          </w:p>
        </w:tc>
        <w:tc>
          <w:tcPr>
            <w:tcW w:w="363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 xml:space="preserve"> ՄԺԾԾ 2022-2024</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1,540.5</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1,733.5</w:t>
            </w:r>
          </w:p>
        </w:tc>
        <w:tc>
          <w:tcPr>
            <w:tcW w:w="144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1,889.9</w:t>
            </w:r>
          </w:p>
        </w:tc>
      </w:tr>
      <w:tr w:rsidR="00D178DD" w:rsidRPr="00D178DD" w:rsidTr="004B2286">
        <w:trPr>
          <w:trHeight w:val="345"/>
        </w:trPr>
        <w:tc>
          <w:tcPr>
            <w:tcW w:w="1924"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3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22.40%</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22.90%</w:t>
            </w:r>
          </w:p>
        </w:tc>
        <w:tc>
          <w:tcPr>
            <w:tcW w:w="144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23.10%</w:t>
            </w:r>
          </w:p>
        </w:tc>
      </w:tr>
      <w:tr w:rsidR="00D178DD" w:rsidRPr="00D178DD" w:rsidTr="004B2286">
        <w:trPr>
          <w:trHeight w:val="345"/>
        </w:trPr>
        <w:tc>
          <w:tcPr>
            <w:tcW w:w="1924"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3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2022թ. Պետական բյուջե</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1,581.0</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1,843.9</w:t>
            </w:r>
          </w:p>
        </w:tc>
        <w:tc>
          <w:tcPr>
            <w:tcW w:w="1442"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45"/>
        </w:trPr>
        <w:tc>
          <w:tcPr>
            <w:tcW w:w="1924"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3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22.50%</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23.40%</w:t>
            </w:r>
          </w:p>
        </w:tc>
        <w:tc>
          <w:tcPr>
            <w:tcW w:w="1442"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i/>
                <w:iCs/>
                <w:color w:val="000000"/>
                <w:szCs w:val="22"/>
                <w:lang w:val="en-US" w:eastAsia="en-US"/>
              </w:rPr>
            </w:pPr>
            <w:r w:rsidRPr="00D178DD">
              <w:rPr>
                <w:rFonts w:ascii="Calibri" w:hAnsi="Calibri" w:cs="Calibri"/>
                <w:b w:val="0"/>
                <w:i/>
                <w:iCs/>
                <w:color w:val="000000"/>
                <w:szCs w:val="22"/>
                <w:lang w:val="en-US" w:eastAsia="en-US"/>
              </w:rPr>
              <w:t> </w:t>
            </w:r>
          </w:p>
        </w:tc>
      </w:tr>
      <w:tr w:rsidR="00D178DD" w:rsidRPr="00D178DD" w:rsidTr="004B2286">
        <w:trPr>
          <w:trHeight w:val="345"/>
        </w:trPr>
        <w:tc>
          <w:tcPr>
            <w:tcW w:w="1924"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2022</w:t>
            </w:r>
          </w:p>
        </w:tc>
        <w:tc>
          <w:tcPr>
            <w:tcW w:w="363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 xml:space="preserve"> ՄԺԾԾ 2023-2025</w:t>
            </w:r>
          </w:p>
        </w:tc>
        <w:tc>
          <w:tcPr>
            <w:tcW w:w="1312"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1,900.0</w:t>
            </w:r>
          </w:p>
        </w:tc>
        <w:tc>
          <w:tcPr>
            <w:tcW w:w="144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2,176.4</w:t>
            </w:r>
          </w:p>
        </w:tc>
      </w:tr>
      <w:tr w:rsidR="00D178DD" w:rsidRPr="00D178DD" w:rsidTr="004B2286">
        <w:trPr>
          <w:trHeight w:val="345"/>
        </w:trPr>
        <w:tc>
          <w:tcPr>
            <w:tcW w:w="1924"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3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312"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23.50%</w:t>
            </w:r>
          </w:p>
        </w:tc>
        <w:tc>
          <w:tcPr>
            <w:tcW w:w="144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24.00%</w:t>
            </w:r>
          </w:p>
        </w:tc>
      </w:tr>
      <w:tr w:rsidR="00D178DD" w:rsidRPr="00D178DD" w:rsidTr="004B2286">
        <w:trPr>
          <w:trHeight w:val="345"/>
        </w:trPr>
        <w:tc>
          <w:tcPr>
            <w:tcW w:w="1924"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3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r w:rsidRPr="00D178DD">
              <w:rPr>
                <w:rFonts w:cs="Calibri"/>
                <w:b w:val="0"/>
                <w:color w:val="000000"/>
                <w:szCs w:val="22"/>
                <w:lang w:val="en-US" w:eastAsia="en-US"/>
              </w:rPr>
              <w:t>2023թ. Պետական բյուջե</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1,920.0</w:t>
            </w:r>
          </w:p>
        </w:tc>
        <w:tc>
          <w:tcPr>
            <w:tcW w:w="144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2,203.7</w:t>
            </w:r>
          </w:p>
        </w:tc>
      </w:tr>
      <w:tr w:rsidR="00D178DD" w:rsidRPr="00D178DD" w:rsidTr="004B2286">
        <w:trPr>
          <w:trHeight w:val="345"/>
        </w:trPr>
        <w:tc>
          <w:tcPr>
            <w:tcW w:w="1924"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3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left"/>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23.15%</w:t>
            </w:r>
          </w:p>
        </w:tc>
        <w:tc>
          <w:tcPr>
            <w:tcW w:w="144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23.65%</w:t>
            </w:r>
          </w:p>
        </w:tc>
      </w:tr>
    </w:tbl>
    <w:p w:rsidR="00D178DD" w:rsidRPr="00D178DD" w:rsidRDefault="00D178DD" w:rsidP="00D178DD">
      <w:pPr>
        <w:spacing w:before="0" w:line="259" w:lineRule="auto"/>
        <w:ind w:firstLine="0"/>
        <w:contextualSpacing w:val="0"/>
        <w:rPr>
          <w:rFonts w:eastAsia="Calibri"/>
          <w:bCs/>
          <w:i/>
          <w:iCs/>
          <w:color w:val="000000"/>
          <w:szCs w:val="22"/>
          <w:lang w:val="hy-AM" w:eastAsia="en-US"/>
        </w:rPr>
      </w:pPr>
    </w:p>
    <w:p w:rsidR="00D178DD" w:rsidRPr="00D178DD" w:rsidRDefault="00D178DD" w:rsidP="00D178DD">
      <w:pPr>
        <w:spacing w:before="0" w:line="259" w:lineRule="auto"/>
        <w:ind w:firstLine="0"/>
        <w:contextualSpacing w:val="0"/>
        <w:rPr>
          <w:rFonts w:eastAsia="Calibri" w:cs="Sylfaen"/>
          <w:b w:val="0"/>
          <w:bCs/>
          <w:i/>
          <w:iCs/>
          <w:color w:val="000000"/>
          <w:sz w:val="20"/>
          <w:szCs w:val="20"/>
          <w:lang w:val="hy-AM" w:eastAsia="en-US"/>
        </w:rPr>
      </w:pPr>
      <w:r w:rsidRPr="00D178DD">
        <w:rPr>
          <w:rFonts w:eastAsia="Calibri"/>
          <w:bCs/>
          <w:i/>
          <w:iCs/>
          <w:color w:val="000000"/>
          <w:szCs w:val="22"/>
          <w:lang w:val="hy-AM" w:eastAsia="en-US"/>
        </w:rPr>
        <w:t>Աղյուսակ 2.5.3.</w:t>
      </w:r>
      <w:r w:rsidRPr="00D178DD">
        <w:rPr>
          <w:rFonts w:eastAsia="Calibri"/>
          <w:bCs/>
          <w:i/>
          <w:iCs/>
          <w:sz w:val="20"/>
          <w:szCs w:val="20"/>
          <w:lang w:val="hy-AM" w:eastAsia="en-US"/>
        </w:rPr>
        <w:t xml:space="preserve"> </w:t>
      </w:r>
      <w:r w:rsidRPr="00D178DD">
        <w:rPr>
          <w:rFonts w:eastAsia="Calibri" w:cs="Sylfaen"/>
          <w:b w:val="0"/>
          <w:bCs/>
          <w:i/>
          <w:iCs/>
          <w:color w:val="000000"/>
          <w:sz w:val="20"/>
          <w:szCs w:val="20"/>
          <w:lang w:val="hy-AM" w:eastAsia="en-US"/>
        </w:rPr>
        <w:t>Պետական բյուջեի ծախսերի կանխատեսումների համեմատական աղյուսակը (մլրդ դրամ)</w:t>
      </w:r>
    </w:p>
    <w:tbl>
      <w:tblPr>
        <w:tblW w:w="9473" w:type="dxa"/>
        <w:tblLook w:val="04A0" w:firstRow="1" w:lastRow="0" w:firstColumn="1" w:lastColumn="0" w:noHBand="0" w:noVBand="1"/>
      </w:tblPr>
      <w:tblGrid>
        <w:gridCol w:w="1706"/>
        <w:gridCol w:w="3660"/>
        <w:gridCol w:w="1369"/>
        <w:gridCol w:w="1369"/>
        <w:gridCol w:w="1369"/>
      </w:tblGrid>
      <w:tr w:rsidR="00D178DD" w:rsidRPr="00D178DD" w:rsidTr="004B2286">
        <w:trPr>
          <w:trHeight w:val="578"/>
        </w:trPr>
        <w:tc>
          <w:tcPr>
            <w:tcW w:w="1706" w:type="dxa"/>
            <w:tcBorders>
              <w:top w:val="single" w:sz="8" w:space="0" w:color="FFFFFF"/>
              <w:left w:val="single" w:sz="8" w:space="0" w:color="FFFFFF"/>
              <w:bottom w:val="single" w:sz="8" w:space="0" w:color="FFFFFF"/>
              <w:right w:val="single" w:sz="8" w:space="0" w:color="FFFFFF"/>
            </w:tcBorders>
            <w:shd w:val="clear" w:color="000000" w:fill="8EA9DB"/>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Ընդունման տարին</w:t>
            </w:r>
          </w:p>
        </w:tc>
        <w:tc>
          <w:tcPr>
            <w:tcW w:w="3660"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Ծրագիր</w:t>
            </w:r>
          </w:p>
        </w:tc>
        <w:tc>
          <w:tcPr>
            <w:tcW w:w="1369"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2021</w:t>
            </w:r>
          </w:p>
        </w:tc>
        <w:tc>
          <w:tcPr>
            <w:tcW w:w="1369"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2022</w:t>
            </w:r>
          </w:p>
        </w:tc>
        <w:tc>
          <w:tcPr>
            <w:tcW w:w="1369"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2023</w:t>
            </w:r>
          </w:p>
        </w:tc>
      </w:tr>
      <w:tr w:rsidR="00D178DD" w:rsidRPr="00D178DD" w:rsidTr="004B2286">
        <w:trPr>
          <w:trHeight w:val="349"/>
        </w:trPr>
        <w:tc>
          <w:tcPr>
            <w:tcW w:w="1706"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w:t>
            </w:r>
          </w:p>
        </w:tc>
        <w:tc>
          <w:tcPr>
            <w:tcW w:w="366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Փաստացի</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2,004.3</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369"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49"/>
        </w:trPr>
        <w:tc>
          <w:tcPr>
            <w:tcW w:w="1706"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6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28.70%</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369"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49"/>
        </w:trPr>
        <w:tc>
          <w:tcPr>
            <w:tcW w:w="1706"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2020</w:t>
            </w:r>
          </w:p>
        </w:tc>
        <w:tc>
          <w:tcPr>
            <w:tcW w:w="366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 xml:space="preserve"> ՄԺԾԾ 2021-2023</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1,879.0</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2,026.1</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2,241.4</w:t>
            </w:r>
          </w:p>
        </w:tc>
      </w:tr>
      <w:tr w:rsidR="00D178DD" w:rsidRPr="00D178DD" w:rsidTr="004B2286">
        <w:trPr>
          <w:trHeight w:val="349"/>
        </w:trPr>
        <w:tc>
          <w:tcPr>
            <w:tcW w:w="1706"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6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26.30%</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25.80%</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26.10%</w:t>
            </w:r>
          </w:p>
        </w:tc>
      </w:tr>
      <w:tr w:rsidR="00D178DD" w:rsidRPr="00D178DD" w:rsidTr="004B2286">
        <w:trPr>
          <w:trHeight w:val="349"/>
        </w:trPr>
        <w:tc>
          <w:tcPr>
            <w:tcW w:w="1706"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6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2021թ. Պետական բյուջե</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1,850.9</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49"/>
        </w:trPr>
        <w:tc>
          <w:tcPr>
            <w:tcW w:w="1706"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6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28.90%</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i/>
                <w:iCs/>
                <w:color w:val="000000"/>
                <w:szCs w:val="22"/>
                <w:lang w:val="en-US" w:eastAsia="en-US"/>
              </w:rPr>
            </w:pPr>
            <w:r w:rsidRPr="00D178DD">
              <w:rPr>
                <w:rFonts w:ascii="Calibri" w:hAnsi="Calibri" w:cs="Calibri"/>
                <w:b w:val="0"/>
                <w:i/>
                <w:iCs/>
                <w:color w:val="000000"/>
                <w:szCs w:val="22"/>
                <w:lang w:val="en-US" w:eastAsia="en-US"/>
              </w:rPr>
              <w:t> </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i/>
                <w:iCs/>
                <w:color w:val="000000"/>
                <w:szCs w:val="22"/>
                <w:lang w:val="en-US" w:eastAsia="en-US"/>
              </w:rPr>
            </w:pPr>
            <w:r w:rsidRPr="00D178DD">
              <w:rPr>
                <w:rFonts w:ascii="Calibri" w:hAnsi="Calibri" w:cs="Calibri"/>
                <w:b w:val="0"/>
                <w:i/>
                <w:iCs/>
                <w:color w:val="000000"/>
                <w:szCs w:val="22"/>
                <w:lang w:val="en-US" w:eastAsia="en-US"/>
              </w:rPr>
              <w:t> </w:t>
            </w:r>
          </w:p>
        </w:tc>
      </w:tr>
      <w:tr w:rsidR="00D178DD" w:rsidRPr="00D178DD" w:rsidTr="004B2286">
        <w:trPr>
          <w:trHeight w:val="349"/>
        </w:trPr>
        <w:tc>
          <w:tcPr>
            <w:tcW w:w="1706"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2021</w:t>
            </w:r>
          </w:p>
        </w:tc>
        <w:tc>
          <w:tcPr>
            <w:tcW w:w="366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 xml:space="preserve"> ՄԺԾԾ 2022-2024</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1,936.0</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2,000.9</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2,135.5</w:t>
            </w:r>
          </w:p>
        </w:tc>
      </w:tr>
      <w:tr w:rsidR="00D178DD" w:rsidRPr="00D178DD" w:rsidTr="004B2286">
        <w:trPr>
          <w:trHeight w:val="349"/>
        </w:trPr>
        <w:tc>
          <w:tcPr>
            <w:tcW w:w="1706"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6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28.10%</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26.40%</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26.10%</w:t>
            </w:r>
          </w:p>
        </w:tc>
      </w:tr>
      <w:tr w:rsidR="00D178DD" w:rsidRPr="00D178DD" w:rsidTr="004B2286">
        <w:trPr>
          <w:trHeight w:val="349"/>
        </w:trPr>
        <w:tc>
          <w:tcPr>
            <w:tcW w:w="1706"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6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2022թ. Պետական բյուջե</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1,986.0</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2,184.0</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49"/>
        </w:trPr>
        <w:tc>
          <w:tcPr>
            <w:tcW w:w="1706"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6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28.20%</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27.80%</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i/>
                <w:iCs/>
                <w:color w:val="000000"/>
                <w:szCs w:val="22"/>
                <w:lang w:val="en-US" w:eastAsia="en-US"/>
              </w:rPr>
            </w:pPr>
            <w:r w:rsidRPr="00D178DD">
              <w:rPr>
                <w:rFonts w:ascii="Calibri" w:hAnsi="Calibri" w:cs="Calibri"/>
                <w:b w:val="0"/>
                <w:i/>
                <w:iCs/>
                <w:color w:val="000000"/>
                <w:szCs w:val="22"/>
                <w:lang w:val="en-US" w:eastAsia="en-US"/>
              </w:rPr>
              <w:t> </w:t>
            </w:r>
          </w:p>
        </w:tc>
      </w:tr>
      <w:tr w:rsidR="00D178DD" w:rsidRPr="00D178DD" w:rsidTr="004B2286">
        <w:trPr>
          <w:trHeight w:val="349"/>
        </w:trPr>
        <w:tc>
          <w:tcPr>
            <w:tcW w:w="1706"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2022</w:t>
            </w:r>
          </w:p>
        </w:tc>
        <w:tc>
          <w:tcPr>
            <w:tcW w:w="366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 xml:space="preserve"> ՄԺԾԾ 2023-2025</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2,192.2</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2,546.0</w:t>
            </w:r>
          </w:p>
        </w:tc>
      </w:tr>
      <w:tr w:rsidR="00D178DD" w:rsidRPr="00D178DD" w:rsidTr="004B2286">
        <w:trPr>
          <w:trHeight w:val="349"/>
        </w:trPr>
        <w:tc>
          <w:tcPr>
            <w:tcW w:w="1706"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6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i/>
                <w:iCs/>
                <w:color w:val="000000"/>
                <w:szCs w:val="22"/>
                <w:lang w:val="en-US" w:eastAsia="en-US"/>
              </w:rPr>
            </w:pPr>
            <w:r w:rsidRPr="00D178DD">
              <w:rPr>
                <w:rFonts w:ascii="Calibri" w:hAnsi="Calibri" w:cs="Calibri"/>
                <w:b w:val="0"/>
                <w:i/>
                <w:iCs/>
                <w:color w:val="000000"/>
                <w:szCs w:val="22"/>
                <w:lang w:val="en-US" w:eastAsia="en-US"/>
              </w:rPr>
              <w:t> </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27.20%</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28.10%</w:t>
            </w:r>
          </w:p>
        </w:tc>
      </w:tr>
      <w:tr w:rsidR="00D178DD" w:rsidRPr="00D178DD" w:rsidTr="004B2286">
        <w:trPr>
          <w:trHeight w:val="349"/>
        </w:trPr>
        <w:tc>
          <w:tcPr>
            <w:tcW w:w="1706"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6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r w:rsidRPr="00D178DD">
              <w:rPr>
                <w:rFonts w:cs="Calibri"/>
                <w:b w:val="0"/>
                <w:color w:val="000000"/>
                <w:szCs w:val="22"/>
                <w:lang w:val="en-US" w:eastAsia="en-US"/>
              </w:rPr>
              <w:t>2023թ. Պետական բյուջե</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2,246.7</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after="200" w:line="240" w:lineRule="auto"/>
              <w:ind w:firstLine="0"/>
              <w:contextualSpacing w:val="0"/>
              <w:jc w:val="right"/>
              <w:rPr>
                <w:rFonts w:cs="Calibri"/>
                <w:b w:val="0"/>
                <w:color w:val="000000"/>
                <w:szCs w:val="22"/>
                <w:lang w:val="hy-AM" w:eastAsia="en-US"/>
              </w:rPr>
            </w:pPr>
            <w:r w:rsidRPr="00D178DD">
              <w:rPr>
                <w:rFonts w:cs="Calibri"/>
                <w:b w:val="0"/>
                <w:color w:val="000000"/>
                <w:szCs w:val="22"/>
                <w:lang w:val="en-US" w:eastAsia="en-US"/>
              </w:rPr>
              <w:t>2,59</w:t>
            </w:r>
            <w:r w:rsidRPr="00D178DD">
              <w:rPr>
                <w:rFonts w:cs="Calibri"/>
                <w:b w:val="0"/>
                <w:color w:val="000000"/>
                <w:szCs w:val="22"/>
                <w:lang w:val="hy-AM" w:eastAsia="en-US"/>
              </w:rPr>
              <w:t>1</w:t>
            </w:r>
            <w:r w:rsidRPr="00D178DD">
              <w:rPr>
                <w:rFonts w:cs="Calibri"/>
                <w:b w:val="0"/>
                <w:color w:val="000000"/>
                <w:szCs w:val="22"/>
                <w:lang w:val="en-US" w:eastAsia="en-US"/>
              </w:rPr>
              <w:t>.</w:t>
            </w:r>
            <w:r w:rsidRPr="00D178DD">
              <w:rPr>
                <w:rFonts w:cs="Calibri"/>
                <w:b w:val="0"/>
                <w:color w:val="000000"/>
                <w:szCs w:val="22"/>
                <w:lang w:val="hy-AM" w:eastAsia="en-US"/>
              </w:rPr>
              <w:t>0</w:t>
            </w:r>
          </w:p>
        </w:tc>
      </w:tr>
      <w:tr w:rsidR="00D178DD" w:rsidRPr="00D178DD" w:rsidTr="004B2286">
        <w:trPr>
          <w:trHeight w:val="349"/>
        </w:trPr>
        <w:tc>
          <w:tcPr>
            <w:tcW w:w="1706"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6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left"/>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27.09%</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27.80%</w:t>
            </w:r>
          </w:p>
        </w:tc>
      </w:tr>
    </w:tbl>
    <w:p w:rsidR="00D178DD" w:rsidRPr="00D178DD" w:rsidRDefault="00D178DD" w:rsidP="00D178DD">
      <w:pPr>
        <w:spacing w:before="0" w:line="259" w:lineRule="auto"/>
        <w:ind w:firstLine="0"/>
        <w:contextualSpacing w:val="0"/>
        <w:rPr>
          <w:rFonts w:eastAsia="Calibri" w:cs="Sylfaen"/>
          <w:b w:val="0"/>
          <w:bCs/>
          <w:i/>
          <w:iCs/>
          <w:color w:val="000000"/>
          <w:sz w:val="20"/>
          <w:szCs w:val="20"/>
          <w:lang w:val="hy-AM" w:eastAsia="en-US"/>
        </w:rPr>
      </w:pPr>
    </w:p>
    <w:p w:rsidR="00D178DD" w:rsidRPr="00D178DD" w:rsidRDefault="00D178DD" w:rsidP="00D178DD">
      <w:pPr>
        <w:spacing w:before="0" w:line="259" w:lineRule="auto"/>
        <w:ind w:firstLine="0"/>
        <w:contextualSpacing w:val="0"/>
        <w:rPr>
          <w:rFonts w:eastAsia="Calibri" w:cs="Sylfaen"/>
          <w:b w:val="0"/>
          <w:bCs/>
          <w:i/>
          <w:iCs/>
          <w:color w:val="000000"/>
          <w:sz w:val="20"/>
          <w:szCs w:val="20"/>
          <w:lang w:val="hy-AM" w:eastAsia="en-US"/>
        </w:rPr>
      </w:pPr>
      <w:r w:rsidRPr="00D178DD">
        <w:rPr>
          <w:rFonts w:eastAsia="Calibri"/>
          <w:bCs/>
          <w:i/>
          <w:iCs/>
          <w:color w:val="000000"/>
          <w:szCs w:val="22"/>
          <w:lang w:val="hy-AM" w:eastAsia="en-US"/>
        </w:rPr>
        <w:t>Աղյուսակ 2.5.4.</w:t>
      </w:r>
      <w:r w:rsidRPr="00D178DD">
        <w:rPr>
          <w:rFonts w:eastAsia="Calibri"/>
          <w:bCs/>
          <w:i/>
          <w:iCs/>
          <w:sz w:val="20"/>
          <w:szCs w:val="20"/>
          <w:lang w:val="hy-AM" w:eastAsia="en-US"/>
        </w:rPr>
        <w:t xml:space="preserve"> </w:t>
      </w:r>
      <w:r w:rsidRPr="00D178DD">
        <w:rPr>
          <w:rFonts w:eastAsia="Calibri" w:cs="Sylfaen"/>
          <w:b w:val="0"/>
          <w:bCs/>
          <w:i/>
          <w:iCs/>
          <w:color w:val="000000"/>
          <w:sz w:val="20"/>
          <w:szCs w:val="20"/>
          <w:lang w:val="hy-AM" w:eastAsia="en-US"/>
        </w:rPr>
        <w:t>Պետական բյուջեի ընթացիկ ծախսերի կանխատեսումների համեմատական աղյուսակը (մլրդ դրամ)</w:t>
      </w:r>
    </w:p>
    <w:p w:rsidR="00D178DD" w:rsidRPr="00D178DD" w:rsidRDefault="00D178DD" w:rsidP="00D178DD">
      <w:pPr>
        <w:spacing w:before="0" w:line="259" w:lineRule="auto"/>
        <w:ind w:firstLine="0"/>
        <w:contextualSpacing w:val="0"/>
        <w:rPr>
          <w:rFonts w:eastAsia="Calibri" w:cs="Sylfaen"/>
          <w:b w:val="0"/>
          <w:bCs/>
          <w:i/>
          <w:iCs/>
          <w:color w:val="000000"/>
          <w:sz w:val="20"/>
          <w:szCs w:val="20"/>
          <w:lang w:val="hy-AM" w:eastAsia="en-US"/>
        </w:rPr>
      </w:pPr>
    </w:p>
    <w:tbl>
      <w:tblPr>
        <w:tblW w:w="9512" w:type="dxa"/>
        <w:tblLook w:val="04A0" w:firstRow="1" w:lastRow="0" w:firstColumn="1" w:lastColumn="0" w:noHBand="0" w:noVBand="1"/>
      </w:tblPr>
      <w:tblGrid>
        <w:gridCol w:w="1482"/>
        <w:gridCol w:w="3644"/>
        <w:gridCol w:w="1462"/>
        <w:gridCol w:w="1462"/>
        <w:gridCol w:w="1462"/>
      </w:tblGrid>
      <w:tr w:rsidR="00D178DD" w:rsidRPr="00D178DD" w:rsidTr="004B2286">
        <w:trPr>
          <w:trHeight w:val="607"/>
        </w:trPr>
        <w:tc>
          <w:tcPr>
            <w:tcW w:w="1482" w:type="dxa"/>
            <w:tcBorders>
              <w:top w:val="single" w:sz="8" w:space="0" w:color="FFFFFF"/>
              <w:left w:val="single" w:sz="8" w:space="0" w:color="FFFFFF"/>
              <w:bottom w:val="single" w:sz="8" w:space="0" w:color="FFFFFF"/>
              <w:right w:val="single" w:sz="8" w:space="0" w:color="FFFFFF"/>
            </w:tcBorders>
            <w:shd w:val="clear" w:color="000000" w:fill="8EA9DB"/>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Ընդունման տարին</w:t>
            </w:r>
          </w:p>
        </w:tc>
        <w:tc>
          <w:tcPr>
            <w:tcW w:w="3644"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Ծրագիր</w:t>
            </w:r>
          </w:p>
        </w:tc>
        <w:tc>
          <w:tcPr>
            <w:tcW w:w="1462"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2021</w:t>
            </w:r>
          </w:p>
        </w:tc>
        <w:tc>
          <w:tcPr>
            <w:tcW w:w="1462"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2022</w:t>
            </w:r>
          </w:p>
        </w:tc>
        <w:tc>
          <w:tcPr>
            <w:tcW w:w="1462"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2023</w:t>
            </w:r>
          </w:p>
        </w:tc>
      </w:tr>
      <w:tr w:rsidR="00D178DD" w:rsidRPr="00D178DD" w:rsidTr="004B2286">
        <w:trPr>
          <w:trHeight w:val="358"/>
        </w:trPr>
        <w:tc>
          <w:tcPr>
            <w:tcW w:w="1482"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w:t>
            </w:r>
          </w:p>
        </w:tc>
        <w:tc>
          <w:tcPr>
            <w:tcW w:w="3644"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Փաստացի</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1,788.00</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62"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58"/>
        </w:trPr>
        <w:tc>
          <w:tcPr>
            <w:tcW w:w="1482"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44"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25.60%</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62"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58"/>
        </w:trPr>
        <w:tc>
          <w:tcPr>
            <w:tcW w:w="1482"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2020</w:t>
            </w:r>
          </w:p>
        </w:tc>
        <w:tc>
          <w:tcPr>
            <w:tcW w:w="3644"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 xml:space="preserve"> ՄԺԾԾ 2021-2023</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1,629.0</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1,699.9</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1,836.7</w:t>
            </w:r>
          </w:p>
        </w:tc>
      </w:tr>
      <w:tr w:rsidR="00D178DD" w:rsidRPr="00D178DD" w:rsidTr="004B2286">
        <w:trPr>
          <w:trHeight w:val="358"/>
        </w:trPr>
        <w:tc>
          <w:tcPr>
            <w:tcW w:w="1482"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44"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22.80%</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21.60%</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21.40%</w:t>
            </w:r>
          </w:p>
        </w:tc>
      </w:tr>
      <w:tr w:rsidR="00D178DD" w:rsidRPr="00D178DD" w:rsidTr="004B2286">
        <w:trPr>
          <w:trHeight w:val="358"/>
        </w:trPr>
        <w:tc>
          <w:tcPr>
            <w:tcW w:w="1482"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44"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2021թ. Պետական բյուջե</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1,634.6</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58"/>
        </w:trPr>
        <w:tc>
          <w:tcPr>
            <w:tcW w:w="1482"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44"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25.60%</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i/>
                <w:iCs/>
                <w:color w:val="000000"/>
                <w:szCs w:val="22"/>
                <w:lang w:val="en-US" w:eastAsia="en-US"/>
              </w:rPr>
            </w:pPr>
            <w:r w:rsidRPr="00D178DD">
              <w:rPr>
                <w:rFonts w:ascii="Calibri" w:hAnsi="Calibri" w:cs="Calibri"/>
                <w:b w:val="0"/>
                <w:i/>
                <w:iCs/>
                <w:color w:val="000000"/>
                <w:szCs w:val="22"/>
                <w:lang w:val="en-US" w:eastAsia="en-US"/>
              </w:rPr>
              <w:t> </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i/>
                <w:iCs/>
                <w:color w:val="000000"/>
                <w:szCs w:val="22"/>
                <w:lang w:val="en-US" w:eastAsia="en-US"/>
              </w:rPr>
            </w:pPr>
            <w:r w:rsidRPr="00D178DD">
              <w:rPr>
                <w:rFonts w:ascii="Calibri" w:hAnsi="Calibri" w:cs="Calibri"/>
                <w:b w:val="0"/>
                <w:i/>
                <w:iCs/>
                <w:color w:val="000000"/>
                <w:szCs w:val="22"/>
                <w:lang w:val="en-US" w:eastAsia="en-US"/>
              </w:rPr>
              <w:t> </w:t>
            </w:r>
          </w:p>
        </w:tc>
      </w:tr>
      <w:tr w:rsidR="00D178DD" w:rsidRPr="00D178DD" w:rsidTr="004B2286">
        <w:trPr>
          <w:trHeight w:val="358"/>
        </w:trPr>
        <w:tc>
          <w:tcPr>
            <w:tcW w:w="1482"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2021</w:t>
            </w:r>
          </w:p>
        </w:tc>
        <w:tc>
          <w:tcPr>
            <w:tcW w:w="3644"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 xml:space="preserve"> ՄԺԾԾ 2022-2024</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1,738.9</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1,708.3</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1,827.3</w:t>
            </w:r>
          </w:p>
        </w:tc>
      </w:tr>
      <w:tr w:rsidR="00D178DD" w:rsidRPr="00D178DD" w:rsidTr="004B2286">
        <w:trPr>
          <w:trHeight w:val="358"/>
        </w:trPr>
        <w:tc>
          <w:tcPr>
            <w:tcW w:w="1482"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44"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25.30%</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22.60%</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22.40%</w:t>
            </w:r>
          </w:p>
        </w:tc>
      </w:tr>
      <w:tr w:rsidR="00D178DD" w:rsidRPr="00D178DD" w:rsidTr="004B2286">
        <w:trPr>
          <w:trHeight w:val="358"/>
        </w:trPr>
        <w:tc>
          <w:tcPr>
            <w:tcW w:w="1482"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44"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2022թ. Պետական բյուջե</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1,762.2</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1,842.2</w:t>
            </w:r>
          </w:p>
        </w:tc>
        <w:tc>
          <w:tcPr>
            <w:tcW w:w="1462"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58"/>
        </w:trPr>
        <w:tc>
          <w:tcPr>
            <w:tcW w:w="1482"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44"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25.10%</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23.40%</w:t>
            </w:r>
          </w:p>
        </w:tc>
        <w:tc>
          <w:tcPr>
            <w:tcW w:w="1462"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58"/>
        </w:trPr>
        <w:tc>
          <w:tcPr>
            <w:tcW w:w="1482"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2022</w:t>
            </w:r>
          </w:p>
        </w:tc>
        <w:tc>
          <w:tcPr>
            <w:tcW w:w="3644"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 xml:space="preserve"> ՄԺԾԾ 2023-2025</w:t>
            </w:r>
          </w:p>
        </w:tc>
        <w:tc>
          <w:tcPr>
            <w:tcW w:w="1462"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1,842.2</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2,030.7</w:t>
            </w:r>
          </w:p>
        </w:tc>
      </w:tr>
      <w:tr w:rsidR="00D178DD" w:rsidRPr="00D178DD" w:rsidTr="004B2286">
        <w:trPr>
          <w:trHeight w:val="358"/>
        </w:trPr>
        <w:tc>
          <w:tcPr>
            <w:tcW w:w="1482"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44"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462"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22.80%</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22.40%</w:t>
            </w:r>
          </w:p>
        </w:tc>
      </w:tr>
      <w:tr w:rsidR="00D178DD" w:rsidRPr="00D178DD" w:rsidTr="004B2286">
        <w:trPr>
          <w:trHeight w:val="358"/>
        </w:trPr>
        <w:tc>
          <w:tcPr>
            <w:tcW w:w="1482"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44"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r w:rsidRPr="00D178DD">
              <w:rPr>
                <w:rFonts w:cs="Calibri"/>
                <w:b w:val="0"/>
                <w:color w:val="000000"/>
                <w:szCs w:val="22"/>
                <w:lang w:val="en-US" w:eastAsia="en-US"/>
              </w:rPr>
              <w:t>2023թ. Պետական բյուջե</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1,857.0</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after="200" w:line="240" w:lineRule="auto"/>
              <w:ind w:firstLine="0"/>
              <w:contextualSpacing w:val="0"/>
              <w:jc w:val="right"/>
              <w:rPr>
                <w:rFonts w:cs="Calibri"/>
                <w:b w:val="0"/>
                <w:color w:val="000000"/>
                <w:szCs w:val="22"/>
                <w:lang w:val="hy-AM" w:eastAsia="en-US"/>
              </w:rPr>
            </w:pPr>
            <w:r w:rsidRPr="00D178DD">
              <w:rPr>
                <w:rFonts w:cs="Calibri"/>
                <w:b w:val="0"/>
                <w:color w:val="000000"/>
                <w:szCs w:val="22"/>
                <w:lang w:val="en-US" w:eastAsia="en-US"/>
              </w:rPr>
              <w:t>2,04</w:t>
            </w:r>
            <w:r w:rsidRPr="00D178DD">
              <w:rPr>
                <w:rFonts w:cs="Calibri"/>
                <w:b w:val="0"/>
                <w:color w:val="000000"/>
                <w:szCs w:val="22"/>
                <w:lang w:val="hy-AM" w:eastAsia="en-US"/>
              </w:rPr>
              <w:t>3</w:t>
            </w:r>
            <w:r w:rsidRPr="00D178DD">
              <w:rPr>
                <w:rFonts w:cs="Calibri"/>
                <w:b w:val="0"/>
                <w:color w:val="000000"/>
                <w:szCs w:val="22"/>
                <w:lang w:val="en-US" w:eastAsia="en-US"/>
              </w:rPr>
              <w:t>.</w:t>
            </w:r>
            <w:r w:rsidRPr="00D178DD">
              <w:rPr>
                <w:rFonts w:cs="Calibri"/>
                <w:b w:val="0"/>
                <w:color w:val="000000"/>
                <w:szCs w:val="22"/>
                <w:lang w:val="hy-AM" w:eastAsia="en-US"/>
              </w:rPr>
              <w:t>3</w:t>
            </w:r>
          </w:p>
        </w:tc>
      </w:tr>
      <w:tr w:rsidR="00D178DD" w:rsidRPr="00D178DD" w:rsidTr="004B2286">
        <w:trPr>
          <w:trHeight w:val="358"/>
        </w:trPr>
        <w:tc>
          <w:tcPr>
            <w:tcW w:w="1482"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44"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left"/>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22.39%</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21.92%</w:t>
            </w:r>
          </w:p>
        </w:tc>
      </w:tr>
    </w:tbl>
    <w:p w:rsidR="00D178DD" w:rsidRPr="00D178DD" w:rsidRDefault="00D178DD" w:rsidP="00D178DD">
      <w:pPr>
        <w:spacing w:before="0" w:line="259" w:lineRule="auto"/>
        <w:ind w:firstLine="0"/>
        <w:contextualSpacing w:val="0"/>
        <w:rPr>
          <w:rFonts w:eastAsia="Calibri"/>
          <w:bCs/>
          <w:i/>
          <w:iCs/>
          <w:color w:val="000000"/>
          <w:szCs w:val="22"/>
          <w:lang w:val="hy-AM" w:eastAsia="en-US"/>
        </w:rPr>
      </w:pPr>
    </w:p>
    <w:p w:rsidR="00D178DD" w:rsidRPr="00D178DD" w:rsidRDefault="00D178DD" w:rsidP="00D178DD">
      <w:pPr>
        <w:spacing w:before="0" w:line="259" w:lineRule="auto"/>
        <w:ind w:firstLine="0"/>
        <w:contextualSpacing w:val="0"/>
        <w:rPr>
          <w:rFonts w:eastAsia="Calibri" w:cs="Sylfaen"/>
          <w:b w:val="0"/>
          <w:bCs/>
          <w:i/>
          <w:iCs/>
          <w:color w:val="000000"/>
          <w:sz w:val="20"/>
          <w:szCs w:val="20"/>
          <w:lang w:val="hy-AM" w:eastAsia="en-US"/>
        </w:rPr>
      </w:pPr>
      <w:r w:rsidRPr="00D178DD">
        <w:rPr>
          <w:rFonts w:eastAsia="Calibri"/>
          <w:bCs/>
          <w:i/>
          <w:iCs/>
          <w:color w:val="000000"/>
          <w:szCs w:val="22"/>
          <w:lang w:val="hy-AM" w:eastAsia="en-US"/>
        </w:rPr>
        <w:t>Աղյուսակ 2.5.5.</w:t>
      </w:r>
      <w:r w:rsidRPr="00D178DD">
        <w:rPr>
          <w:rFonts w:eastAsia="Calibri"/>
          <w:bCs/>
          <w:i/>
          <w:iCs/>
          <w:sz w:val="20"/>
          <w:szCs w:val="20"/>
          <w:lang w:val="hy-AM" w:eastAsia="en-US"/>
        </w:rPr>
        <w:t xml:space="preserve"> </w:t>
      </w:r>
      <w:r w:rsidRPr="00D178DD">
        <w:rPr>
          <w:rFonts w:eastAsia="Calibri" w:cs="Sylfaen"/>
          <w:b w:val="0"/>
          <w:bCs/>
          <w:i/>
          <w:iCs/>
          <w:color w:val="000000"/>
          <w:sz w:val="20"/>
          <w:szCs w:val="20"/>
          <w:lang w:val="hy-AM" w:eastAsia="en-US"/>
        </w:rPr>
        <w:t>Պետական բյուջեի ոչ ֆինանսական ակտիվների գծով զուտ ծախսերի կանխատեսումների համեմատական աղյուսակը (մլրդ դրամ)</w:t>
      </w:r>
    </w:p>
    <w:tbl>
      <w:tblPr>
        <w:tblW w:w="9459" w:type="dxa"/>
        <w:tblLook w:val="04A0" w:firstRow="1" w:lastRow="0" w:firstColumn="1" w:lastColumn="0" w:noHBand="0" w:noVBand="1"/>
      </w:tblPr>
      <w:tblGrid>
        <w:gridCol w:w="1670"/>
        <w:gridCol w:w="3319"/>
        <w:gridCol w:w="1490"/>
        <w:gridCol w:w="1490"/>
        <w:gridCol w:w="1490"/>
      </w:tblGrid>
      <w:tr w:rsidR="00D178DD" w:rsidRPr="00D178DD" w:rsidTr="004B2286">
        <w:trPr>
          <w:trHeight w:val="727"/>
        </w:trPr>
        <w:tc>
          <w:tcPr>
            <w:tcW w:w="1670" w:type="dxa"/>
            <w:tcBorders>
              <w:top w:val="single" w:sz="8" w:space="0" w:color="FFFFFF"/>
              <w:left w:val="single" w:sz="8" w:space="0" w:color="FFFFFF"/>
              <w:bottom w:val="single" w:sz="8" w:space="0" w:color="FFFFFF"/>
              <w:right w:val="single" w:sz="8" w:space="0" w:color="FFFFFF"/>
            </w:tcBorders>
            <w:shd w:val="clear" w:color="000000" w:fill="8EA9DB"/>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Ընդունման տարին</w:t>
            </w:r>
          </w:p>
        </w:tc>
        <w:tc>
          <w:tcPr>
            <w:tcW w:w="3319"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Ծրագիր</w:t>
            </w:r>
          </w:p>
        </w:tc>
        <w:tc>
          <w:tcPr>
            <w:tcW w:w="1490"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2021</w:t>
            </w:r>
          </w:p>
        </w:tc>
        <w:tc>
          <w:tcPr>
            <w:tcW w:w="1490"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2022</w:t>
            </w:r>
          </w:p>
        </w:tc>
        <w:tc>
          <w:tcPr>
            <w:tcW w:w="1490"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2023</w:t>
            </w:r>
          </w:p>
        </w:tc>
      </w:tr>
      <w:tr w:rsidR="00D178DD" w:rsidRPr="00D178DD" w:rsidTr="004B2286">
        <w:trPr>
          <w:trHeight w:val="394"/>
        </w:trPr>
        <w:tc>
          <w:tcPr>
            <w:tcW w:w="1670"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w:t>
            </w:r>
          </w:p>
        </w:tc>
        <w:tc>
          <w:tcPr>
            <w:tcW w:w="3319"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Փաստացի</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216.3</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9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94"/>
        </w:trPr>
        <w:tc>
          <w:tcPr>
            <w:tcW w:w="1670"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319"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3.10%</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9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94"/>
        </w:trPr>
        <w:tc>
          <w:tcPr>
            <w:tcW w:w="1670"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2020</w:t>
            </w:r>
          </w:p>
        </w:tc>
        <w:tc>
          <w:tcPr>
            <w:tcW w:w="3319"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 xml:space="preserve"> ՄԺԾԾ 2021-2023</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250</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326.2</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404.8</w:t>
            </w:r>
          </w:p>
        </w:tc>
      </w:tr>
      <w:tr w:rsidR="00D178DD" w:rsidRPr="00D178DD" w:rsidTr="004B2286">
        <w:trPr>
          <w:trHeight w:val="394"/>
        </w:trPr>
        <w:tc>
          <w:tcPr>
            <w:tcW w:w="1670"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31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3.50%</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4.20%</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4.70%</w:t>
            </w:r>
          </w:p>
        </w:tc>
      </w:tr>
      <w:tr w:rsidR="00D178DD" w:rsidRPr="00D178DD" w:rsidTr="004B2286">
        <w:trPr>
          <w:trHeight w:val="394"/>
        </w:trPr>
        <w:tc>
          <w:tcPr>
            <w:tcW w:w="1670"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319"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2021թ. Պետական բյուջե</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216.3</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94"/>
        </w:trPr>
        <w:tc>
          <w:tcPr>
            <w:tcW w:w="1670"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31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3.40%</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i/>
                <w:iCs/>
                <w:color w:val="000000"/>
                <w:szCs w:val="22"/>
                <w:lang w:val="en-US" w:eastAsia="en-US"/>
              </w:rPr>
            </w:pPr>
            <w:r w:rsidRPr="00D178DD">
              <w:rPr>
                <w:rFonts w:ascii="Calibri" w:hAnsi="Calibri" w:cs="Calibri"/>
                <w:b w:val="0"/>
                <w:i/>
                <w:iCs/>
                <w:color w:val="000000"/>
                <w:szCs w:val="22"/>
                <w:lang w:val="en-US" w:eastAsia="en-US"/>
              </w:rPr>
              <w:t> </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i/>
                <w:iCs/>
                <w:color w:val="000000"/>
                <w:szCs w:val="22"/>
                <w:lang w:val="en-US" w:eastAsia="en-US"/>
              </w:rPr>
            </w:pPr>
            <w:r w:rsidRPr="00D178DD">
              <w:rPr>
                <w:rFonts w:ascii="Calibri" w:hAnsi="Calibri" w:cs="Calibri"/>
                <w:b w:val="0"/>
                <w:i/>
                <w:iCs/>
                <w:color w:val="000000"/>
                <w:szCs w:val="22"/>
                <w:lang w:val="en-US" w:eastAsia="en-US"/>
              </w:rPr>
              <w:t> </w:t>
            </w:r>
          </w:p>
        </w:tc>
      </w:tr>
      <w:tr w:rsidR="00D178DD" w:rsidRPr="00D178DD" w:rsidTr="004B2286">
        <w:trPr>
          <w:trHeight w:val="394"/>
        </w:trPr>
        <w:tc>
          <w:tcPr>
            <w:tcW w:w="1670"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2021</w:t>
            </w:r>
          </w:p>
        </w:tc>
        <w:tc>
          <w:tcPr>
            <w:tcW w:w="3319"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 xml:space="preserve"> ՄԺԾԾ 2022-2024</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197.2</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292.6</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308.1</w:t>
            </w:r>
          </w:p>
        </w:tc>
      </w:tr>
      <w:tr w:rsidR="00D178DD" w:rsidRPr="00D178DD" w:rsidTr="004B2286">
        <w:trPr>
          <w:trHeight w:val="394"/>
        </w:trPr>
        <w:tc>
          <w:tcPr>
            <w:tcW w:w="1670"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31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2.90%</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3.90%</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3.80%</w:t>
            </w:r>
          </w:p>
        </w:tc>
      </w:tr>
      <w:tr w:rsidR="00D178DD" w:rsidRPr="00D178DD" w:rsidTr="004B2286">
        <w:trPr>
          <w:trHeight w:val="348"/>
        </w:trPr>
        <w:tc>
          <w:tcPr>
            <w:tcW w:w="1670"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319"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2022թ. Պետական բյուջե</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223.8</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341.9</w:t>
            </w:r>
          </w:p>
        </w:tc>
        <w:tc>
          <w:tcPr>
            <w:tcW w:w="149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48"/>
        </w:trPr>
        <w:tc>
          <w:tcPr>
            <w:tcW w:w="1670"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31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3.20%</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4.30%</w:t>
            </w:r>
          </w:p>
        </w:tc>
        <w:tc>
          <w:tcPr>
            <w:tcW w:w="149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48"/>
        </w:trPr>
        <w:tc>
          <w:tcPr>
            <w:tcW w:w="1670"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2022</w:t>
            </w:r>
          </w:p>
        </w:tc>
        <w:tc>
          <w:tcPr>
            <w:tcW w:w="3319"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 xml:space="preserve"> ՄԺԾԾ 2023-2025</w:t>
            </w:r>
          </w:p>
        </w:tc>
        <w:tc>
          <w:tcPr>
            <w:tcW w:w="149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350</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515.3</w:t>
            </w:r>
          </w:p>
        </w:tc>
      </w:tr>
      <w:tr w:rsidR="00D178DD" w:rsidRPr="00D178DD" w:rsidTr="004B2286">
        <w:trPr>
          <w:trHeight w:val="348"/>
        </w:trPr>
        <w:tc>
          <w:tcPr>
            <w:tcW w:w="1670"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31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49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4.30%</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5.70%</w:t>
            </w:r>
          </w:p>
        </w:tc>
      </w:tr>
      <w:tr w:rsidR="00D178DD" w:rsidRPr="00D178DD" w:rsidTr="004B2286">
        <w:trPr>
          <w:trHeight w:val="348"/>
        </w:trPr>
        <w:tc>
          <w:tcPr>
            <w:tcW w:w="1670"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319"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r w:rsidRPr="00D178DD">
              <w:rPr>
                <w:rFonts w:cs="Calibri"/>
                <w:b w:val="0"/>
                <w:color w:val="000000"/>
                <w:szCs w:val="22"/>
                <w:lang w:val="en-US" w:eastAsia="en-US"/>
              </w:rPr>
              <w:t>2023թ. Պետական բյուջե</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ascii="Calibri" w:hAnsi="Calibri" w:cs="Calibri"/>
                <w:b w:val="0"/>
                <w:color w:val="000000"/>
                <w:szCs w:val="22"/>
                <w:lang w:val="en-US" w:eastAsia="en-US"/>
              </w:rPr>
              <w:t> </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389.7</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547.7</w:t>
            </w:r>
          </w:p>
        </w:tc>
      </w:tr>
      <w:tr w:rsidR="00D178DD" w:rsidRPr="00D178DD" w:rsidTr="004B2286">
        <w:trPr>
          <w:trHeight w:val="348"/>
        </w:trPr>
        <w:tc>
          <w:tcPr>
            <w:tcW w:w="1670"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31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left"/>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ascii="Calibri" w:hAnsi="Calibri" w:cs="Calibri"/>
                <w:b w:val="0"/>
                <w:i/>
                <w:iCs/>
                <w:color w:val="000000"/>
                <w:szCs w:val="22"/>
                <w:lang w:val="en-US" w:eastAsia="en-US"/>
              </w:rPr>
              <w:t> </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4.70%</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5.88%</w:t>
            </w:r>
          </w:p>
        </w:tc>
      </w:tr>
    </w:tbl>
    <w:p w:rsidR="00D178DD" w:rsidRPr="00D178DD" w:rsidRDefault="00D178DD" w:rsidP="00D178DD">
      <w:pPr>
        <w:spacing w:before="0" w:line="259" w:lineRule="auto"/>
        <w:ind w:firstLine="0"/>
        <w:contextualSpacing w:val="0"/>
        <w:rPr>
          <w:rFonts w:eastAsia="Calibri" w:cs="Sylfaen"/>
          <w:b w:val="0"/>
          <w:bCs/>
          <w:i/>
          <w:iCs/>
          <w:color w:val="000000"/>
          <w:sz w:val="20"/>
          <w:szCs w:val="20"/>
          <w:lang w:val="hy-AM" w:eastAsia="en-US"/>
        </w:rPr>
      </w:pPr>
    </w:p>
    <w:p w:rsidR="00D178DD" w:rsidRPr="00D178DD" w:rsidRDefault="00D178DD" w:rsidP="00D178DD">
      <w:pPr>
        <w:spacing w:before="0" w:line="259" w:lineRule="auto"/>
        <w:ind w:firstLine="0"/>
        <w:contextualSpacing w:val="0"/>
        <w:rPr>
          <w:rFonts w:eastAsia="Calibri" w:cs="Sylfaen"/>
          <w:b w:val="0"/>
          <w:bCs/>
          <w:i/>
          <w:iCs/>
          <w:color w:val="000000"/>
          <w:sz w:val="20"/>
          <w:szCs w:val="20"/>
          <w:lang w:val="hy-AM" w:eastAsia="en-US"/>
        </w:rPr>
      </w:pPr>
    </w:p>
    <w:p w:rsidR="00D178DD" w:rsidRPr="00D178DD" w:rsidRDefault="00D178DD" w:rsidP="00D178DD">
      <w:pPr>
        <w:spacing w:before="0" w:line="259" w:lineRule="auto"/>
        <w:ind w:firstLine="0"/>
        <w:contextualSpacing w:val="0"/>
        <w:rPr>
          <w:rFonts w:eastAsia="Calibri" w:cs="Sylfaen"/>
          <w:b w:val="0"/>
          <w:bCs/>
          <w:i/>
          <w:iCs/>
          <w:color w:val="000000"/>
          <w:sz w:val="20"/>
          <w:szCs w:val="20"/>
          <w:lang w:val="hy-AM" w:eastAsia="en-US"/>
        </w:rPr>
      </w:pPr>
      <w:r w:rsidRPr="00D178DD">
        <w:rPr>
          <w:rFonts w:eastAsia="Calibri"/>
          <w:bCs/>
          <w:i/>
          <w:iCs/>
          <w:color w:val="000000"/>
          <w:szCs w:val="22"/>
          <w:lang w:val="hy-AM" w:eastAsia="en-US"/>
        </w:rPr>
        <w:t>Աղյուսակ 2.5.6.</w:t>
      </w:r>
      <w:r w:rsidRPr="00D178DD">
        <w:rPr>
          <w:rFonts w:eastAsia="Calibri"/>
          <w:bCs/>
          <w:i/>
          <w:iCs/>
          <w:sz w:val="20"/>
          <w:szCs w:val="20"/>
          <w:lang w:val="hy-AM" w:eastAsia="en-US"/>
        </w:rPr>
        <w:t xml:space="preserve"> </w:t>
      </w:r>
      <w:r w:rsidRPr="00D178DD">
        <w:rPr>
          <w:rFonts w:eastAsia="Calibri" w:cs="Sylfaen"/>
          <w:b w:val="0"/>
          <w:bCs/>
          <w:i/>
          <w:iCs/>
          <w:color w:val="000000"/>
          <w:sz w:val="20"/>
          <w:szCs w:val="20"/>
          <w:lang w:val="hy-AM" w:eastAsia="en-US"/>
        </w:rPr>
        <w:t>Պետական բյուջեի պակասուրդի ֆինանսավորման կանխատեսումների համեմատական աղյուսակը (մլրդ դրամ)</w:t>
      </w:r>
    </w:p>
    <w:p w:rsidR="00D178DD" w:rsidRPr="00D178DD" w:rsidRDefault="00D178DD" w:rsidP="00D178DD">
      <w:pPr>
        <w:rPr>
          <w:lang w:val="hy-AM"/>
        </w:rPr>
      </w:pPr>
    </w:p>
    <w:tbl>
      <w:tblPr>
        <w:tblW w:w="9293" w:type="dxa"/>
        <w:tblLook w:val="04A0" w:firstRow="1" w:lastRow="0" w:firstColumn="1" w:lastColumn="0" w:noHBand="0" w:noVBand="1"/>
      </w:tblPr>
      <w:tblGrid>
        <w:gridCol w:w="1359"/>
        <w:gridCol w:w="3380"/>
        <w:gridCol w:w="1580"/>
        <w:gridCol w:w="1580"/>
        <w:gridCol w:w="1580"/>
      </w:tblGrid>
      <w:tr w:rsidR="00D178DD" w:rsidRPr="00D178DD" w:rsidTr="004B2286">
        <w:trPr>
          <w:trHeight w:val="675"/>
        </w:trPr>
        <w:tc>
          <w:tcPr>
            <w:tcW w:w="1173" w:type="dxa"/>
            <w:tcBorders>
              <w:top w:val="single" w:sz="8" w:space="0" w:color="FFFFFF"/>
              <w:left w:val="single" w:sz="8" w:space="0" w:color="FFFFFF"/>
              <w:bottom w:val="single" w:sz="8" w:space="0" w:color="FFFFFF"/>
              <w:right w:val="single" w:sz="8" w:space="0" w:color="FFFFFF"/>
            </w:tcBorders>
            <w:shd w:val="clear" w:color="000000" w:fill="8EA9DB"/>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Ընդունման տարին</w:t>
            </w:r>
          </w:p>
        </w:tc>
        <w:tc>
          <w:tcPr>
            <w:tcW w:w="3380"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Ծրագիր</w:t>
            </w:r>
          </w:p>
        </w:tc>
        <w:tc>
          <w:tcPr>
            <w:tcW w:w="1580"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2021</w:t>
            </w:r>
          </w:p>
        </w:tc>
        <w:tc>
          <w:tcPr>
            <w:tcW w:w="1580"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2022</w:t>
            </w:r>
          </w:p>
        </w:tc>
        <w:tc>
          <w:tcPr>
            <w:tcW w:w="1580"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2023</w:t>
            </w:r>
          </w:p>
        </w:tc>
      </w:tr>
      <w:tr w:rsidR="00D178DD" w:rsidRPr="00D178DD" w:rsidTr="004B2286">
        <w:trPr>
          <w:trHeight w:val="345"/>
        </w:trPr>
        <w:tc>
          <w:tcPr>
            <w:tcW w:w="1173"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w:t>
            </w:r>
          </w:p>
        </w:tc>
        <w:tc>
          <w:tcPr>
            <w:tcW w:w="338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Փաստացի</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320.5</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58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45"/>
        </w:trPr>
        <w:tc>
          <w:tcPr>
            <w:tcW w:w="1173"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38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4.60%</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58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45"/>
        </w:trPr>
        <w:tc>
          <w:tcPr>
            <w:tcW w:w="1173"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2020</w:t>
            </w:r>
          </w:p>
        </w:tc>
        <w:tc>
          <w:tcPr>
            <w:tcW w:w="338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 xml:space="preserve"> ՄԺԾԾ 2021-2023</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209.1</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140.2</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158.6</w:t>
            </w:r>
          </w:p>
        </w:tc>
      </w:tr>
      <w:tr w:rsidR="00D178DD" w:rsidRPr="00D178DD" w:rsidTr="004B2286">
        <w:trPr>
          <w:trHeight w:val="345"/>
        </w:trPr>
        <w:tc>
          <w:tcPr>
            <w:tcW w:w="1173"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3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2.90%</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1.80%</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1.80%</w:t>
            </w:r>
          </w:p>
        </w:tc>
      </w:tr>
      <w:tr w:rsidR="00D178DD" w:rsidRPr="00D178DD" w:rsidTr="004B2286">
        <w:trPr>
          <w:trHeight w:val="345"/>
        </w:trPr>
        <w:tc>
          <w:tcPr>
            <w:tcW w:w="1173"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38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2021թ. Պետական բյուջե</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341.4</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45"/>
        </w:trPr>
        <w:tc>
          <w:tcPr>
            <w:tcW w:w="1173"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3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5.30%</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i/>
                <w:iCs/>
                <w:color w:val="000000"/>
                <w:szCs w:val="22"/>
                <w:lang w:val="en-US" w:eastAsia="en-US"/>
              </w:rPr>
            </w:pPr>
            <w:r w:rsidRPr="00D178DD">
              <w:rPr>
                <w:rFonts w:ascii="Calibri" w:hAnsi="Calibri" w:cs="Calibri"/>
                <w:b w:val="0"/>
                <w:i/>
                <w:iCs/>
                <w:color w:val="000000"/>
                <w:szCs w:val="22"/>
                <w:lang w:val="en-US" w:eastAsia="en-US"/>
              </w:rPr>
              <w:t> </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i/>
                <w:iCs/>
                <w:color w:val="000000"/>
                <w:szCs w:val="22"/>
                <w:lang w:val="en-US" w:eastAsia="en-US"/>
              </w:rPr>
            </w:pPr>
            <w:r w:rsidRPr="00D178DD">
              <w:rPr>
                <w:rFonts w:ascii="Calibri" w:hAnsi="Calibri" w:cs="Calibri"/>
                <w:b w:val="0"/>
                <w:i/>
                <w:iCs/>
                <w:color w:val="000000"/>
                <w:szCs w:val="22"/>
                <w:lang w:val="en-US" w:eastAsia="en-US"/>
              </w:rPr>
              <w:t> </w:t>
            </w:r>
          </w:p>
        </w:tc>
      </w:tr>
      <w:tr w:rsidR="00D178DD" w:rsidRPr="00D178DD" w:rsidTr="004B2286">
        <w:trPr>
          <w:trHeight w:val="345"/>
        </w:trPr>
        <w:tc>
          <w:tcPr>
            <w:tcW w:w="1173"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2021</w:t>
            </w:r>
          </w:p>
        </w:tc>
        <w:tc>
          <w:tcPr>
            <w:tcW w:w="338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 xml:space="preserve"> ՄԺԾԾ 2022-2024</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318.8</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181.7</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168.8</w:t>
            </w:r>
          </w:p>
        </w:tc>
      </w:tr>
      <w:tr w:rsidR="00D178DD" w:rsidRPr="00D178DD" w:rsidTr="004B2286">
        <w:trPr>
          <w:trHeight w:val="345"/>
        </w:trPr>
        <w:tc>
          <w:tcPr>
            <w:tcW w:w="1173"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3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4.60%</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2.40%</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2.10%</w:t>
            </w:r>
          </w:p>
        </w:tc>
      </w:tr>
      <w:tr w:rsidR="00D178DD" w:rsidRPr="00D178DD" w:rsidTr="004B2286">
        <w:trPr>
          <w:trHeight w:val="345"/>
        </w:trPr>
        <w:tc>
          <w:tcPr>
            <w:tcW w:w="1173"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38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2022թ. Պետական բյուջե</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329.1</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236.3</w:t>
            </w:r>
          </w:p>
        </w:tc>
        <w:tc>
          <w:tcPr>
            <w:tcW w:w="158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45"/>
        </w:trPr>
        <w:tc>
          <w:tcPr>
            <w:tcW w:w="1173"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3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4.70%</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3.00%</w:t>
            </w:r>
          </w:p>
        </w:tc>
        <w:tc>
          <w:tcPr>
            <w:tcW w:w="158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45"/>
        </w:trPr>
        <w:tc>
          <w:tcPr>
            <w:tcW w:w="1173"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2022</w:t>
            </w:r>
          </w:p>
        </w:tc>
        <w:tc>
          <w:tcPr>
            <w:tcW w:w="338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 xml:space="preserve"> ՄԺԾԾ 2023-2025</w:t>
            </w:r>
          </w:p>
        </w:tc>
        <w:tc>
          <w:tcPr>
            <w:tcW w:w="158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171.3</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292.2</w:t>
            </w:r>
          </w:p>
        </w:tc>
      </w:tr>
      <w:tr w:rsidR="00D178DD" w:rsidRPr="00D178DD" w:rsidTr="004B2286">
        <w:trPr>
          <w:trHeight w:val="345"/>
        </w:trPr>
        <w:tc>
          <w:tcPr>
            <w:tcW w:w="1173"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3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58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2.10%</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3.20%</w:t>
            </w:r>
          </w:p>
        </w:tc>
      </w:tr>
      <w:tr w:rsidR="00D178DD" w:rsidRPr="00D178DD" w:rsidTr="004B2286">
        <w:trPr>
          <w:trHeight w:val="345"/>
        </w:trPr>
        <w:tc>
          <w:tcPr>
            <w:tcW w:w="1173"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38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r w:rsidRPr="00D178DD">
              <w:rPr>
                <w:rFonts w:cs="Calibri"/>
                <w:b w:val="0"/>
                <w:color w:val="000000"/>
                <w:szCs w:val="22"/>
                <w:lang w:val="en-US" w:eastAsia="en-US"/>
              </w:rPr>
              <w:t>2023թ. Պետական բյուջե</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204.2</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288.9</w:t>
            </w:r>
          </w:p>
        </w:tc>
      </w:tr>
      <w:tr w:rsidR="00D178DD" w:rsidRPr="00D178DD" w:rsidTr="004B2286">
        <w:trPr>
          <w:trHeight w:val="345"/>
        </w:trPr>
        <w:tc>
          <w:tcPr>
            <w:tcW w:w="1173"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3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left"/>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2.46%</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3.10%</w:t>
            </w:r>
          </w:p>
        </w:tc>
      </w:tr>
    </w:tbl>
    <w:p w:rsidR="00727711" w:rsidRDefault="00727711" w:rsidP="00D178DD">
      <w:pPr>
        <w:spacing w:before="0" w:after="160" w:line="259" w:lineRule="auto"/>
        <w:ind w:firstLine="0"/>
        <w:contextualSpacing w:val="0"/>
        <w:jc w:val="left"/>
        <w:rPr>
          <w:rFonts w:ascii="Calibri" w:eastAsia="Calibri" w:hAnsi="Calibri"/>
          <w:b w:val="0"/>
          <w:szCs w:val="22"/>
          <w:lang w:val="en-US" w:eastAsia="en-US"/>
        </w:rPr>
      </w:pPr>
    </w:p>
    <w:p w:rsidR="00727711" w:rsidRDefault="00727711" w:rsidP="00727711">
      <w:pPr>
        <w:rPr>
          <w:rFonts w:eastAsia="Calibri"/>
          <w:lang w:val="en-US" w:eastAsia="en-US"/>
        </w:rPr>
      </w:pPr>
      <w:r>
        <w:rPr>
          <w:rFonts w:eastAsia="Calibri"/>
          <w:lang w:val="en-US" w:eastAsia="en-US"/>
        </w:rPr>
        <w:br w:type="page"/>
      </w:r>
    </w:p>
    <w:p w:rsidR="00027FBF" w:rsidRPr="007955BB" w:rsidRDefault="00027FBF" w:rsidP="00027FBF">
      <w:pPr>
        <w:pStyle w:val="Heading1"/>
        <w:rPr>
          <w:lang w:val="sk-SK"/>
        </w:rPr>
      </w:pPr>
      <w:bookmarkStart w:id="208" w:name="_Toc120805204"/>
      <w:r w:rsidRPr="007955BB">
        <w:rPr>
          <w:lang w:val="hy-AM"/>
        </w:rPr>
        <w:t>ՄԱՍ</w:t>
      </w:r>
      <w:r w:rsidRPr="007955BB">
        <w:rPr>
          <w:lang w:val="sk-SK"/>
        </w:rPr>
        <w:t xml:space="preserve"> II-</w:t>
      </w:r>
      <w:r w:rsidRPr="007955BB">
        <w:rPr>
          <w:lang w:val="hy-AM"/>
        </w:rPr>
        <w:t>Ա</w:t>
      </w:r>
      <w:r w:rsidRPr="007955BB">
        <w:rPr>
          <w:lang w:val="sk-SK"/>
        </w:rPr>
        <w:t xml:space="preserve"> </w:t>
      </w:r>
      <w:r w:rsidRPr="007955BB">
        <w:rPr>
          <w:lang w:val="hy-AM"/>
        </w:rPr>
        <w:t>ՊԵՏԱԿԱՆ</w:t>
      </w:r>
      <w:r w:rsidRPr="007955BB">
        <w:rPr>
          <w:lang w:val="sk-SK"/>
        </w:rPr>
        <w:t xml:space="preserve"> </w:t>
      </w:r>
      <w:r w:rsidRPr="007955BB">
        <w:rPr>
          <w:lang w:val="hy-AM"/>
        </w:rPr>
        <w:t>ԲՅՈՒՋԵԻ</w:t>
      </w:r>
      <w:r w:rsidRPr="007955BB">
        <w:rPr>
          <w:lang w:val="sk-SK"/>
        </w:rPr>
        <w:t xml:space="preserve"> </w:t>
      </w:r>
      <w:r w:rsidRPr="007955BB">
        <w:rPr>
          <w:lang w:val="hy-AM"/>
        </w:rPr>
        <w:t>ՑՈՒՑԱՆԻՇՆԵՐԻ</w:t>
      </w:r>
      <w:r w:rsidRPr="007955BB">
        <w:rPr>
          <w:lang w:val="sk-SK"/>
        </w:rPr>
        <w:t xml:space="preserve"> </w:t>
      </w:r>
      <w:r w:rsidRPr="007955BB">
        <w:rPr>
          <w:lang w:val="hy-AM"/>
        </w:rPr>
        <w:t>ԿԱՆԽԱՏԵՍՈՒՄՆԵՐ</w:t>
      </w:r>
      <w:bookmarkEnd w:id="113"/>
      <w:bookmarkEnd w:id="208"/>
    </w:p>
    <w:p w:rsidR="009A197C" w:rsidRPr="007955BB" w:rsidRDefault="009A197C" w:rsidP="009A197C">
      <w:pPr>
        <w:keepNext/>
        <w:spacing w:before="0" w:line="276" w:lineRule="auto"/>
        <w:ind w:firstLine="566"/>
        <w:outlineLvl w:val="1"/>
        <w:rPr>
          <w:rFonts w:eastAsia="Calibri" w:cs="Times LatArm"/>
          <w:sz w:val="24"/>
          <w:lang w:val="hy-AM" w:eastAsia="en-US"/>
        </w:rPr>
      </w:pPr>
      <w:bookmarkStart w:id="209" w:name="_Toc26174926"/>
      <w:bookmarkStart w:id="210" w:name="_Toc83972843"/>
      <w:bookmarkStart w:id="211" w:name="_Toc120805205"/>
      <w:r w:rsidRPr="007955BB">
        <w:rPr>
          <w:rFonts w:eastAsia="Calibri" w:cs="Times LatArm"/>
          <w:sz w:val="24"/>
          <w:lang w:val="hy-AM" w:eastAsia="en-US"/>
        </w:rPr>
        <w:t>Հարկաբյուջետային սկզբունքները և ցուցանիշները</w:t>
      </w:r>
      <w:bookmarkEnd w:id="209"/>
      <w:bookmarkEnd w:id="210"/>
      <w:bookmarkEnd w:id="211"/>
    </w:p>
    <w:p w:rsidR="009A197C" w:rsidRPr="007955BB" w:rsidRDefault="009A197C" w:rsidP="009A197C">
      <w:pPr>
        <w:spacing w:before="0" w:line="276" w:lineRule="auto"/>
        <w:ind w:firstLine="538"/>
        <w:rPr>
          <w:rFonts w:eastAsia="Calibri"/>
          <w:b w:val="0"/>
          <w:szCs w:val="22"/>
          <w:lang w:val="hy-AM" w:eastAsia="en-US"/>
        </w:rPr>
      </w:pPr>
      <w:r w:rsidRPr="007955BB">
        <w:rPr>
          <w:rFonts w:eastAsia="Calibri"/>
          <w:b w:val="0"/>
          <w:szCs w:val="22"/>
          <w:lang w:val="hy-AM" w:eastAsia="en-US"/>
        </w:rPr>
        <w:t>ՀՀ 2023 թվա</w:t>
      </w:r>
      <w:r w:rsidRPr="007955BB">
        <w:rPr>
          <w:rFonts w:eastAsia="Calibri"/>
          <w:b w:val="0"/>
          <w:szCs w:val="22"/>
          <w:lang w:val="hy-AM" w:eastAsia="en-US"/>
        </w:rPr>
        <w:softHyphen/>
        <w:t>կա</w:t>
      </w:r>
      <w:r w:rsidRPr="007955BB">
        <w:rPr>
          <w:rFonts w:eastAsia="Calibri"/>
          <w:b w:val="0"/>
          <w:szCs w:val="22"/>
          <w:lang w:val="hy-AM" w:eastAsia="en-US"/>
        </w:rPr>
        <w:softHyphen/>
      </w:r>
      <w:r w:rsidRPr="007955BB">
        <w:rPr>
          <w:rFonts w:eastAsia="Calibri"/>
          <w:b w:val="0"/>
          <w:szCs w:val="22"/>
          <w:lang w:val="hy-AM" w:eastAsia="en-US"/>
        </w:rPr>
        <w:softHyphen/>
        <w:t>նի պետական բյուջեի նախագծի մշակման ընթացքում ՀՀ կա</w:t>
      </w:r>
      <w:r w:rsidRPr="007955BB">
        <w:rPr>
          <w:rFonts w:eastAsia="Calibri"/>
          <w:b w:val="0"/>
          <w:szCs w:val="22"/>
          <w:lang w:val="hy-AM" w:eastAsia="en-US"/>
        </w:rPr>
        <w:softHyphen/>
        <w:t>ռա</w:t>
      </w:r>
      <w:r w:rsidRPr="007955BB">
        <w:rPr>
          <w:rFonts w:eastAsia="Calibri"/>
          <w:b w:val="0"/>
          <w:szCs w:val="22"/>
          <w:lang w:val="hy-AM" w:eastAsia="en-US"/>
        </w:rPr>
        <w:softHyphen/>
        <w:t>վա</w:t>
      </w:r>
      <w:r w:rsidRPr="007955BB">
        <w:rPr>
          <w:rFonts w:eastAsia="Calibri"/>
          <w:b w:val="0"/>
          <w:szCs w:val="22"/>
          <w:lang w:val="hy-AM" w:eastAsia="en-US"/>
        </w:rPr>
        <w:softHyphen/>
      </w:r>
      <w:r w:rsidRPr="007955BB">
        <w:rPr>
          <w:rFonts w:eastAsia="Calibri"/>
          <w:b w:val="0"/>
          <w:szCs w:val="22"/>
          <w:lang w:val="hy-AM" w:eastAsia="en-US"/>
        </w:rPr>
        <w:softHyphen/>
        <w:t>րու</w:t>
      </w:r>
      <w:r w:rsidRPr="007955BB">
        <w:rPr>
          <w:rFonts w:eastAsia="Calibri"/>
          <w:b w:val="0"/>
          <w:szCs w:val="22"/>
          <w:lang w:val="hy-AM" w:eastAsia="en-US"/>
        </w:rPr>
        <w:softHyphen/>
        <w:t xml:space="preserve">թյունն առաջնորդվել է ՀՀ 2023-2025թթ. </w:t>
      </w:r>
      <w:r>
        <w:rPr>
          <w:rFonts w:eastAsia="Calibri"/>
          <w:b w:val="0"/>
          <w:szCs w:val="22"/>
          <w:lang w:val="hy-AM" w:eastAsia="en-US"/>
        </w:rPr>
        <w:t>ՄԺԾԾ-ով</w:t>
      </w:r>
      <w:r w:rsidRPr="007955BB">
        <w:rPr>
          <w:rFonts w:eastAsia="Calibri"/>
          <w:b w:val="0"/>
          <w:szCs w:val="22"/>
          <w:lang w:val="hy-AM" w:eastAsia="en-US"/>
        </w:rPr>
        <w:t xml:space="preserve"> ամրագրված հիմնական սկզբունքներով: Ստորև բերված Աղյուսակ 1</w:t>
      </w:r>
      <w:r w:rsidRPr="007955BB">
        <w:rPr>
          <w:rFonts w:eastAsia="Calibri"/>
          <w:b w:val="0"/>
          <w:szCs w:val="22"/>
          <w:lang w:val="hy-AM" w:eastAsia="en-US"/>
        </w:rPr>
        <w:noBreakHyphen/>
        <w:t xml:space="preserve">ում ներկայացված են 2019-2023թթ պետական բյուջեների ցուցանիշներն  արտացոլող ամփոփ ցուցանիշները: </w:t>
      </w:r>
    </w:p>
    <w:p w:rsidR="009A197C" w:rsidRPr="007955BB" w:rsidRDefault="009A197C" w:rsidP="009A197C">
      <w:pPr>
        <w:spacing w:before="0" w:line="276" w:lineRule="auto"/>
        <w:ind w:firstLine="538"/>
        <w:rPr>
          <w:rFonts w:eastAsia="Calibri"/>
          <w:b w:val="0"/>
          <w:szCs w:val="22"/>
          <w:lang w:val="hy-AM" w:eastAsia="en-US"/>
        </w:rPr>
      </w:pPr>
    </w:p>
    <w:p w:rsidR="009A197C" w:rsidRPr="007955BB" w:rsidRDefault="009A197C" w:rsidP="009A197C">
      <w:pPr>
        <w:spacing w:after="200"/>
        <w:rPr>
          <w:bCs/>
          <w:i/>
          <w:color w:val="5B9BD5"/>
          <w:sz w:val="20"/>
          <w:szCs w:val="20"/>
          <w:lang w:val="hy-AM"/>
        </w:rPr>
      </w:pPr>
      <w:bookmarkStart w:id="212" w:name="_Ref496723843"/>
      <w:bookmarkStart w:id="213" w:name="_Toc525773064"/>
      <w:bookmarkStart w:id="214" w:name="_Toc20590404"/>
      <w:bookmarkStart w:id="215" w:name="_Toc83928938"/>
      <w:bookmarkStart w:id="216" w:name="_Toc120805260"/>
      <w:r w:rsidRPr="007955BB">
        <w:rPr>
          <w:b w:val="0"/>
          <w:bCs/>
          <w:color w:val="5B9BD5"/>
          <w:sz w:val="18"/>
          <w:szCs w:val="18"/>
          <w:lang w:val="hy-AM"/>
        </w:rPr>
        <w:t xml:space="preserve">Աղյուսակ </w:t>
      </w:r>
      <w:r w:rsidRPr="007955BB">
        <w:rPr>
          <w:b w:val="0"/>
          <w:bCs/>
          <w:color w:val="5B9BD5"/>
          <w:sz w:val="18"/>
          <w:szCs w:val="18"/>
        </w:rPr>
        <w:fldChar w:fldCharType="begin"/>
      </w:r>
      <w:r w:rsidRPr="007955BB">
        <w:rPr>
          <w:b w:val="0"/>
          <w:bCs/>
          <w:color w:val="5B9BD5"/>
          <w:sz w:val="18"/>
          <w:szCs w:val="18"/>
          <w:lang w:val="hy-AM"/>
        </w:rPr>
        <w:instrText xml:space="preserve"> SEQ Աղյուսակ \* ARABIC </w:instrText>
      </w:r>
      <w:r w:rsidRPr="007955BB">
        <w:rPr>
          <w:b w:val="0"/>
          <w:bCs/>
          <w:color w:val="5B9BD5"/>
          <w:sz w:val="18"/>
          <w:szCs w:val="18"/>
        </w:rPr>
        <w:fldChar w:fldCharType="separate"/>
      </w:r>
      <w:r w:rsidR="008177DF">
        <w:rPr>
          <w:b w:val="0"/>
          <w:bCs/>
          <w:noProof/>
          <w:color w:val="5B9BD5"/>
          <w:sz w:val="18"/>
          <w:szCs w:val="18"/>
          <w:lang w:val="hy-AM"/>
        </w:rPr>
        <w:t>1</w:t>
      </w:r>
      <w:r w:rsidRPr="007955BB">
        <w:rPr>
          <w:b w:val="0"/>
          <w:bCs/>
          <w:color w:val="5B9BD5"/>
          <w:sz w:val="18"/>
          <w:szCs w:val="18"/>
        </w:rPr>
        <w:fldChar w:fldCharType="end"/>
      </w:r>
      <w:r w:rsidRPr="007955BB">
        <w:rPr>
          <w:b w:val="0"/>
          <w:bCs/>
          <w:color w:val="5B9BD5"/>
          <w:sz w:val="18"/>
          <w:szCs w:val="18"/>
          <w:lang w:val="hy-AM"/>
        </w:rPr>
        <w:t xml:space="preserve">. </w:t>
      </w:r>
      <w:r w:rsidRPr="007955BB">
        <w:rPr>
          <w:bCs/>
          <w:i/>
          <w:color w:val="5B9BD5"/>
          <w:sz w:val="20"/>
          <w:szCs w:val="20"/>
          <w:lang w:val="hy-AM"/>
        </w:rPr>
        <w:t>2019-2023թթ պետական բյուջեի ամփոփ ցուցանիշները</w:t>
      </w:r>
      <w:bookmarkEnd w:id="212"/>
      <w:bookmarkEnd w:id="213"/>
      <w:bookmarkEnd w:id="214"/>
      <w:r w:rsidRPr="007955BB">
        <w:rPr>
          <w:bCs/>
          <w:i/>
          <w:color w:val="5B9BD5"/>
          <w:sz w:val="20"/>
          <w:szCs w:val="20"/>
          <w:lang w:val="hy-AM"/>
        </w:rPr>
        <w:t xml:space="preserve"> (մլրդ դրամով)</w:t>
      </w:r>
      <w:bookmarkEnd w:id="215"/>
      <w:bookmarkEnd w:id="216"/>
    </w:p>
    <w:tbl>
      <w:tblPr>
        <w:tblW w:w="10034" w:type="dxa"/>
        <w:tblInd w:w="93" w:type="dxa"/>
        <w:tblLayout w:type="fixed"/>
        <w:tblLook w:val="04A0" w:firstRow="1" w:lastRow="0" w:firstColumn="1" w:lastColumn="0" w:noHBand="0" w:noVBand="1"/>
      </w:tblPr>
      <w:tblGrid>
        <w:gridCol w:w="3435"/>
        <w:gridCol w:w="1319"/>
        <w:gridCol w:w="1320"/>
        <w:gridCol w:w="1320"/>
        <w:gridCol w:w="1320"/>
        <w:gridCol w:w="1320"/>
      </w:tblGrid>
      <w:tr w:rsidR="009A197C" w:rsidRPr="007955BB" w:rsidTr="00151C57">
        <w:trPr>
          <w:trHeight w:val="885"/>
        </w:trPr>
        <w:tc>
          <w:tcPr>
            <w:tcW w:w="3435"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9A197C" w:rsidRPr="007955BB" w:rsidRDefault="009A197C" w:rsidP="00151C57">
            <w:pPr>
              <w:spacing w:before="0" w:line="276" w:lineRule="auto"/>
              <w:ind w:firstLine="0"/>
              <w:contextualSpacing w:val="0"/>
              <w:jc w:val="center"/>
              <w:rPr>
                <w:rFonts w:cs="Calibri"/>
                <w:color w:val="FFFFFF"/>
                <w:sz w:val="20"/>
                <w:szCs w:val="20"/>
                <w:lang w:val="en-US" w:eastAsia="en-US"/>
              </w:rPr>
            </w:pPr>
            <w:bookmarkStart w:id="217" w:name="OLE_LINK1"/>
            <w:r w:rsidRPr="007955BB">
              <w:rPr>
                <w:rFonts w:cs="Calibri"/>
                <w:color w:val="FFFFFF"/>
                <w:sz w:val="20"/>
                <w:szCs w:val="20"/>
                <w:lang w:val="en-US" w:eastAsia="en-US"/>
              </w:rPr>
              <w:t>Ցուցանիշներ</w:t>
            </w:r>
          </w:p>
        </w:tc>
        <w:tc>
          <w:tcPr>
            <w:tcW w:w="1319" w:type="dxa"/>
            <w:tcBorders>
              <w:top w:val="single" w:sz="4" w:space="0" w:color="auto"/>
              <w:left w:val="nil"/>
              <w:bottom w:val="single" w:sz="4" w:space="0" w:color="auto"/>
              <w:right w:val="single" w:sz="4" w:space="0" w:color="auto"/>
            </w:tcBorders>
            <w:shd w:val="clear" w:color="auto" w:fill="5B9BD5"/>
            <w:vAlign w:val="center"/>
          </w:tcPr>
          <w:p w:rsidR="009A197C" w:rsidRPr="007955BB" w:rsidRDefault="009A197C" w:rsidP="00151C57">
            <w:pPr>
              <w:spacing w:before="0" w:line="276" w:lineRule="auto"/>
              <w:ind w:firstLine="0"/>
              <w:contextualSpacing w:val="0"/>
              <w:jc w:val="center"/>
              <w:rPr>
                <w:rFonts w:cs="Calibri"/>
                <w:color w:val="FFFFFF"/>
                <w:sz w:val="20"/>
                <w:szCs w:val="20"/>
                <w:lang w:val="en-US" w:eastAsia="en-US"/>
              </w:rPr>
            </w:pPr>
            <w:r w:rsidRPr="007955BB">
              <w:rPr>
                <w:rFonts w:cs="Calibri"/>
                <w:color w:val="FFFFFF"/>
                <w:sz w:val="20"/>
                <w:szCs w:val="20"/>
                <w:lang w:val="en-US" w:eastAsia="en-US"/>
              </w:rPr>
              <w:t>2019թ</w:t>
            </w:r>
            <w:r w:rsidRPr="007955BB">
              <w:rPr>
                <w:rFonts w:cs="Calibri"/>
                <w:color w:val="FFFFFF"/>
                <w:sz w:val="20"/>
                <w:szCs w:val="20"/>
                <w:lang w:val="en-US" w:eastAsia="en-US"/>
              </w:rPr>
              <w:br/>
              <w:t>փաստ</w:t>
            </w:r>
          </w:p>
        </w:tc>
        <w:tc>
          <w:tcPr>
            <w:tcW w:w="1320" w:type="dxa"/>
            <w:tcBorders>
              <w:top w:val="single" w:sz="4" w:space="0" w:color="auto"/>
              <w:left w:val="nil"/>
              <w:bottom w:val="single" w:sz="4" w:space="0" w:color="auto"/>
              <w:right w:val="single" w:sz="4" w:space="0" w:color="auto"/>
            </w:tcBorders>
            <w:shd w:val="clear" w:color="auto" w:fill="5B9BD5"/>
            <w:vAlign w:val="center"/>
            <w:hideMark/>
          </w:tcPr>
          <w:p w:rsidR="009A197C" w:rsidRPr="007955BB" w:rsidRDefault="009A197C" w:rsidP="00151C57">
            <w:pPr>
              <w:spacing w:before="0" w:line="276" w:lineRule="auto"/>
              <w:ind w:firstLine="0"/>
              <w:contextualSpacing w:val="0"/>
              <w:jc w:val="center"/>
              <w:rPr>
                <w:rFonts w:cs="Calibri"/>
                <w:color w:val="FFFFFF"/>
                <w:sz w:val="20"/>
                <w:szCs w:val="20"/>
                <w:lang w:val="en-US" w:eastAsia="en-US"/>
              </w:rPr>
            </w:pPr>
            <w:r w:rsidRPr="007955BB">
              <w:rPr>
                <w:rFonts w:cs="Calibri"/>
                <w:color w:val="FFFFFF"/>
                <w:sz w:val="20"/>
                <w:szCs w:val="20"/>
                <w:lang w:val="en-US" w:eastAsia="en-US"/>
              </w:rPr>
              <w:t>2020թ</w:t>
            </w:r>
            <w:r w:rsidRPr="007955BB">
              <w:rPr>
                <w:rFonts w:cs="Calibri"/>
                <w:color w:val="FFFFFF"/>
                <w:sz w:val="20"/>
                <w:szCs w:val="20"/>
                <w:lang w:val="en-US" w:eastAsia="en-US"/>
              </w:rPr>
              <w:br/>
              <w:t>փաստ</w:t>
            </w:r>
          </w:p>
        </w:tc>
        <w:tc>
          <w:tcPr>
            <w:tcW w:w="1320" w:type="dxa"/>
            <w:tcBorders>
              <w:top w:val="single" w:sz="4" w:space="0" w:color="auto"/>
              <w:left w:val="nil"/>
              <w:bottom w:val="single" w:sz="4" w:space="0" w:color="auto"/>
              <w:right w:val="single" w:sz="4" w:space="0" w:color="auto"/>
            </w:tcBorders>
            <w:shd w:val="clear" w:color="auto" w:fill="5B9BD5"/>
            <w:vAlign w:val="center"/>
            <w:hideMark/>
          </w:tcPr>
          <w:p w:rsidR="009A197C" w:rsidRPr="007955BB" w:rsidRDefault="009A197C" w:rsidP="00151C57">
            <w:pPr>
              <w:spacing w:before="0" w:line="276" w:lineRule="auto"/>
              <w:ind w:firstLine="0"/>
              <w:contextualSpacing w:val="0"/>
              <w:jc w:val="center"/>
              <w:rPr>
                <w:rFonts w:cs="Calibri"/>
                <w:color w:val="FFFFFF"/>
                <w:sz w:val="20"/>
                <w:szCs w:val="20"/>
                <w:lang w:val="en-US" w:eastAsia="en-US"/>
              </w:rPr>
            </w:pPr>
            <w:r w:rsidRPr="007955BB">
              <w:rPr>
                <w:rFonts w:cs="Calibri"/>
                <w:color w:val="FFFFFF"/>
                <w:sz w:val="20"/>
                <w:szCs w:val="20"/>
                <w:lang w:val="en-US" w:eastAsia="en-US"/>
              </w:rPr>
              <w:t>2021թ</w:t>
            </w:r>
            <w:r w:rsidRPr="007955BB">
              <w:rPr>
                <w:rFonts w:cs="Calibri"/>
                <w:color w:val="FFFFFF"/>
                <w:sz w:val="20"/>
                <w:szCs w:val="20"/>
                <w:lang w:val="en-US" w:eastAsia="en-US"/>
              </w:rPr>
              <w:br/>
              <w:t>փաստ</w:t>
            </w:r>
          </w:p>
        </w:tc>
        <w:tc>
          <w:tcPr>
            <w:tcW w:w="1320" w:type="dxa"/>
            <w:tcBorders>
              <w:top w:val="single" w:sz="4" w:space="0" w:color="auto"/>
              <w:left w:val="nil"/>
              <w:bottom w:val="single" w:sz="4" w:space="0" w:color="auto"/>
              <w:right w:val="single" w:sz="4" w:space="0" w:color="auto"/>
            </w:tcBorders>
            <w:shd w:val="clear" w:color="auto" w:fill="5B9BD5"/>
            <w:vAlign w:val="center"/>
            <w:hideMark/>
          </w:tcPr>
          <w:p w:rsidR="009A197C" w:rsidRPr="007955BB" w:rsidRDefault="009A197C" w:rsidP="00151C57">
            <w:pPr>
              <w:spacing w:before="0" w:line="276" w:lineRule="auto"/>
              <w:ind w:firstLine="0"/>
              <w:contextualSpacing w:val="0"/>
              <w:jc w:val="center"/>
              <w:rPr>
                <w:rFonts w:cs="Calibri"/>
                <w:color w:val="FFFFFF"/>
                <w:sz w:val="20"/>
                <w:szCs w:val="20"/>
                <w:lang w:val="en-US" w:eastAsia="en-US"/>
              </w:rPr>
            </w:pPr>
            <w:r w:rsidRPr="007955BB">
              <w:rPr>
                <w:rFonts w:cs="Calibri"/>
                <w:color w:val="FFFFFF"/>
                <w:sz w:val="20"/>
                <w:szCs w:val="20"/>
                <w:lang w:val="en-US" w:eastAsia="en-US"/>
              </w:rPr>
              <w:t>2022թ</w:t>
            </w:r>
            <w:r w:rsidRPr="007955BB">
              <w:rPr>
                <w:rFonts w:cs="Calibri"/>
                <w:color w:val="FFFFFF"/>
                <w:sz w:val="20"/>
                <w:szCs w:val="20"/>
                <w:lang w:val="en-US" w:eastAsia="en-US"/>
              </w:rPr>
              <w:br/>
              <w:t>սպասում</w:t>
            </w:r>
          </w:p>
        </w:tc>
        <w:tc>
          <w:tcPr>
            <w:tcW w:w="1320" w:type="dxa"/>
            <w:tcBorders>
              <w:top w:val="single" w:sz="4" w:space="0" w:color="auto"/>
              <w:left w:val="nil"/>
              <w:bottom w:val="single" w:sz="4" w:space="0" w:color="auto"/>
              <w:right w:val="single" w:sz="4" w:space="0" w:color="auto"/>
            </w:tcBorders>
            <w:shd w:val="clear" w:color="auto" w:fill="5B9BD5"/>
            <w:vAlign w:val="center"/>
            <w:hideMark/>
          </w:tcPr>
          <w:p w:rsidR="009A197C" w:rsidRPr="007955BB" w:rsidRDefault="009A197C" w:rsidP="00151C57">
            <w:pPr>
              <w:spacing w:before="0" w:line="276" w:lineRule="auto"/>
              <w:ind w:firstLine="0"/>
              <w:contextualSpacing w:val="0"/>
              <w:jc w:val="center"/>
              <w:rPr>
                <w:rFonts w:cs="Calibri"/>
                <w:color w:val="FFFFFF"/>
                <w:sz w:val="20"/>
                <w:szCs w:val="20"/>
                <w:lang w:val="en-US" w:eastAsia="en-US"/>
              </w:rPr>
            </w:pPr>
            <w:r w:rsidRPr="007955BB">
              <w:rPr>
                <w:rFonts w:cs="Calibri"/>
                <w:color w:val="FFFFFF"/>
                <w:sz w:val="20"/>
                <w:szCs w:val="20"/>
                <w:lang w:val="en-US" w:eastAsia="en-US"/>
              </w:rPr>
              <w:t>2023թ</w:t>
            </w:r>
            <w:r w:rsidRPr="007955BB">
              <w:rPr>
                <w:rFonts w:cs="Calibri"/>
                <w:color w:val="FFFFFF"/>
                <w:sz w:val="20"/>
                <w:szCs w:val="20"/>
                <w:lang w:val="en-US" w:eastAsia="en-US"/>
              </w:rPr>
              <w:br/>
              <w:t>կանխա</w:t>
            </w:r>
            <w:r w:rsidR="00D178DD">
              <w:rPr>
                <w:rFonts w:cs="Calibri"/>
                <w:color w:val="FFFFFF"/>
                <w:sz w:val="20"/>
                <w:szCs w:val="20"/>
                <w:lang w:val="en-US" w:eastAsia="en-US"/>
              </w:rPr>
              <w:t>-</w:t>
            </w:r>
            <w:r w:rsidRPr="007955BB">
              <w:rPr>
                <w:rFonts w:cs="Calibri"/>
                <w:color w:val="FFFFFF"/>
                <w:sz w:val="20"/>
                <w:szCs w:val="20"/>
                <w:lang w:val="en-US" w:eastAsia="en-US"/>
              </w:rPr>
              <w:t>տեսում</w:t>
            </w:r>
          </w:p>
        </w:tc>
      </w:tr>
      <w:tr w:rsidR="009A197C" w:rsidRPr="007955BB" w:rsidTr="00151C57">
        <w:trPr>
          <w:trHeight w:val="345"/>
        </w:trPr>
        <w:tc>
          <w:tcPr>
            <w:tcW w:w="3435" w:type="dxa"/>
            <w:tcBorders>
              <w:top w:val="nil"/>
              <w:left w:val="single" w:sz="4" w:space="0" w:color="auto"/>
              <w:bottom w:val="single" w:sz="4" w:space="0" w:color="auto"/>
              <w:right w:val="single" w:sz="4" w:space="0" w:color="auto"/>
            </w:tcBorders>
            <w:shd w:val="clear" w:color="auto" w:fill="DEEAF6"/>
            <w:vAlign w:val="center"/>
            <w:hideMark/>
          </w:tcPr>
          <w:p w:rsidR="009A197C" w:rsidRPr="007955BB" w:rsidRDefault="009A197C" w:rsidP="00151C57">
            <w:pPr>
              <w:spacing w:before="0" w:line="276" w:lineRule="auto"/>
              <w:ind w:firstLine="0"/>
              <w:contextualSpacing w:val="0"/>
              <w:jc w:val="left"/>
              <w:rPr>
                <w:rFonts w:cs="Calibri"/>
                <w:b w:val="0"/>
                <w:color w:val="000000"/>
                <w:sz w:val="20"/>
                <w:szCs w:val="20"/>
                <w:lang w:val="en-US" w:eastAsia="en-US"/>
              </w:rPr>
            </w:pPr>
            <w:r w:rsidRPr="007955BB">
              <w:rPr>
                <w:rFonts w:cs="Calibri"/>
                <w:b w:val="0"/>
                <w:color w:val="000000"/>
                <w:sz w:val="20"/>
                <w:szCs w:val="20"/>
                <w:lang w:val="en-US" w:eastAsia="en-US"/>
              </w:rPr>
              <w:t>1. Ընդամենը եկամուտներ</w:t>
            </w:r>
          </w:p>
        </w:tc>
        <w:tc>
          <w:tcPr>
            <w:tcW w:w="1319" w:type="dxa"/>
            <w:tcBorders>
              <w:top w:val="nil"/>
              <w:left w:val="nil"/>
              <w:bottom w:val="single" w:sz="4" w:space="0" w:color="auto"/>
              <w:right w:val="single" w:sz="4" w:space="0" w:color="auto"/>
            </w:tcBorders>
            <w:shd w:val="clear" w:color="auto" w:fill="DEEAF6"/>
            <w:noWrap/>
            <w:vAlign w:val="center"/>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1,565.5</w:t>
            </w:r>
          </w:p>
        </w:tc>
        <w:tc>
          <w:tcPr>
            <w:tcW w:w="1320" w:type="dxa"/>
            <w:tcBorders>
              <w:top w:val="nil"/>
              <w:left w:val="nil"/>
              <w:bottom w:val="single" w:sz="4" w:space="0" w:color="auto"/>
              <w:right w:val="single" w:sz="4" w:space="0" w:color="auto"/>
            </w:tcBorders>
            <w:shd w:val="clear" w:color="auto" w:fill="DEEAF6"/>
            <w:noWrap/>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1,560.7</w:t>
            </w:r>
          </w:p>
        </w:tc>
        <w:tc>
          <w:tcPr>
            <w:tcW w:w="1320" w:type="dxa"/>
            <w:tcBorders>
              <w:top w:val="nil"/>
              <w:left w:val="nil"/>
              <w:bottom w:val="single" w:sz="4" w:space="0" w:color="auto"/>
              <w:right w:val="single" w:sz="4" w:space="0" w:color="auto"/>
            </w:tcBorders>
            <w:shd w:val="clear" w:color="auto" w:fill="DEEAF6"/>
            <w:noWrap/>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1,683.8</w:t>
            </w:r>
          </w:p>
        </w:tc>
        <w:tc>
          <w:tcPr>
            <w:tcW w:w="1320" w:type="dxa"/>
            <w:tcBorders>
              <w:top w:val="nil"/>
              <w:left w:val="nil"/>
              <w:bottom w:val="single" w:sz="4" w:space="0" w:color="auto"/>
              <w:right w:val="single" w:sz="4" w:space="0" w:color="auto"/>
            </w:tcBorders>
            <w:shd w:val="clear" w:color="auto" w:fill="DEEAF6"/>
            <w:noWrap/>
            <w:vAlign w:val="center"/>
            <w:hideMark/>
          </w:tcPr>
          <w:p w:rsidR="009A197C" w:rsidRPr="006E1E17" w:rsidRDefault="009A197C" w:rsidP="005C46A4">
            <w:pPr>
              <w:spacing w:before="0" w:line="276" w:lineRule="auto"/>
              <w:ind w:firstLine="0"/>
              <w:contextualSpacing w:val="0"/>
              <w:jc w:val="center"/>
              <w:rPr>
                <w:rFonts w:cs="Calibri"/>
                <w:b w:val="0"/>
                <w:color w:val="000000"/>
                <w:sz w:val="20"/>
                <w:szCs w:val="20"/>
                <w:lang w:val="en-US" w:eastAsia="en-US"/>
              </w:rPr>
            </w:pPr>
            <w:r>
              <w:rPr>
                <w:color w:val="000000"/>
                <w:sz w:val="20"/>
                <w:szCs w:val="20"/>
              </w:rPr>
              <w:t>2,0</w:t>
            </w:r>
            <w:r w:rsidR="005C46A4">
              <w:rPr>
                <w:color w:val="000000"/>
                <w:sz w:val="20"/>
                <w:szCs w:val="20"/>
                <w:lang w:val="en-US"/>
              </w:rPr>
              <w:t>68</w:t>
            </w:r>
            <w:r w:rsidRPr="007955BB">
              <w:rPr>
                <w:color w:val="000000"/>
                <w:sz w:val="20"/>
                <w:szCs w:val="20"/>
              </w:rPr>
              <w:t>.</w:t>
            </w:r>
            <w:r>
              <w:rPr>
                <w:color w:val="000000"/>
                <w:sz w:val="20"/>
                <w:szCs w:val="20"/>
                <w:lang w:val="en-US"/>
              </w:rPr>
              <w:t>1</w:t>
            </w:r>
          </w:p>
        </w:tc>
        <w:tc>
          <w:tcPr>
            <w:tcW w:w="1320" w:type="dxa"/>
            <w:tcBorders>
              <w:top w:val="nil"/>
              <w:left w:val="nil"/>
              <w:bottom w:val="single" w:sz="4" w:space="0" w:color="auto"/>
              <w:right w:val="single" w:sz="4" w:space="0" w:color="auto"/>
            </w:tcBorders>
            <w:shd w:val="clear" w:color="auto" w:fill="DEEAF6"/>
            <w:noWrap/>
            <w:vAlign w:val="center"/>
          </w:tcPr>
          <w:p w:rsidR="009A197C" w:rsidRPr="007955BB" w:rsidRDefault="009A197C" w:rsidP="009C4836">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lang w:val="en-US"/>
              </w:rPr>
              <w:t>2</w:t>
            </w:r>
            <w:r>
              <w:rPr>
                <w:color w:val="000000"/>
                <w:sz w:val="20"/>
                <w:szCs w:val="20"/>
                <w:lang w:val="en-US"/>
              </w:rPr>
              <w:t>,30</w:t>
            </w:r>
            <w:r w:rsidR="009C4836">
              <w:rPr>
                <w:color w:val="000000"/>
                <w:sz w:val="20"/>
                <w:szCs w:val="20"/>
                <w:lang w:val="en-US"/>
              </w:rPr>
              <w:t>2</w:t>
            </w:r>
            <w:r>
              <w:rPr>
                <w:color w:val="000000"/>
                <w:sz w:val="20"/>
                <w:szCs w:val="20"/>
                <w:lang w:val="en-US"/>
              </w:rPr>
              <w:t>.0</w:t>
            </w:r>
          </w:p>
        </w:tc>
      </w:tr>
      <w:tr w:rsidR="009A197C" w:rsidRPr="007955BB" w:rsidTr="00151C57">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9A197C" w:rsidRPr="007955BB" w:rsidRDefault="009A197C" w:rsidP="00151C57">
            <w:pPr>
              <w:spacing w:before="0" w:line="276" w:lineRule="auto"/>
              <w:ind w:firstLine="0"/>
              <w:contextualSpacing w:val="0"/>
              <w:jc w:val="left"/>
              <w:rPr>
                <w:rFonts w:cs="Calibri"/>
                <w:b w:val="0"/>
                <w:color w:val="000000"/>
                <w:sz w:val="20"/>
                <w:szCs w:val="20"/>
                <w:lang w:val="en-US" w:eastAsia="en-US"/>
              </w:rPr>
            </w:pPr>
            <w:r w:rsidRPr="007955BB">
              <w:rPr>
                <w:rFonts w:cs="Calibri"/>
                <w:b w:val="0"/>
                <w:color w:val="000000"/>
                <w:sz w:val="20"/>
                <w:szCs w:val="20"/>
                <w:lang w:val="en-US" w:eastAsia="en-US"/>
              </w:rPr>
              <w:t>այդ թվում`</w:t>
            </w:r>
          </w:p>
        </w:tc>
        <w:tc>
          <w:tcPr>
            <w:tcW w:w="1319" w:type="dxa"/>
            <w:tcBorders>
              <w:top w:val="nil"/>
              <w:left w:val="nil"/>
              <w:bottom w:val="single" w:sz="4" w:space="0" w:color="auto"/>
              <w:right w:val="single" w:sz="4" w:space="0" w:color="auto"/>
            </w:tcBorders>
            <w:shd w:val="clear" w:color="auto" w:fill="auto"/>
            <w:vAlign w:val="center"/>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color w:val="000000"/>
                <w:sz w:val="20"/>
                <w:szCs w:val="20"/>
                <w:lang w:val="en-US"/>
              </w:rPr>
              <w:t> </w:t>
            </w:r>
          </w:p>
        </w:tc>
        <w:tc>
          <w:tcPr>
            <w:tcW w:w="1320" w:type="dxa"/>
            <w:tcBorders>
              <w:top w:val="nil"/>
              <w:left w:val="nil"/>
              <w:bottom w:val="single" w:sz="4" w:space="0" w:color="auto"/>
              <w:right w:val="single" w:sz="4" w:space="0" w:color="auto"/>
            </w:tcBorders>
            <w:shd w:val="clear" w:color="auto" w:fill="auto"/>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color w:val="000000"/>
                <w:sz w:val="20"/>
                <w:szCs w:val="20"/>
                <w:lang w:val="en-US"/>
              </w:rPr>
              <w:t> </w:t>
            </w:r>
          </w:p>
        </w:tc>
        <w:tc>
          <w:tcPr>
            <w:tcW w:w="1320" w:type="dxa"/>
            <w:tcBorders>
              <w:top w:val="nil"/>
              <w:left w:val="nil"/>
              <w:bottom w:val="single" w:sz="4" w:space="0" w:color="auto"/>
              <w:right w:val="single" w:sz="4" w:space="0" w:color="auto"/>
            </w:tcBorders>
            <w:shd w:val="clear" w:color="auto" w:fill="auto"/>
            <w:noWrap/>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color w:val="000000"/>
                <w:sz w:val="20"/>
                <w:szCs w:val="20"/>
                <w:lang w:val="en-US"/>
              </w:rPr>
              <w:t> </w:t>
            </w:r>
          </w:p>
        </w:tc>
        <w:tc>
          <w:tcPr>
            <w:tcW w:w="1320" w:type="dxa"/>
            <w:tcBorders>
              <w:top w:val="nil"/>
              <w:left w:val="nil"/>
              <w:bottom w:val="single" w:sz="4" w:space="0" w:color="auto"/>
              <w:right w:val="single" w:sz="4" w:space="0" w:color="auto"/>
            </w:tcBorders>
            <w:shd w:val="clear" w:color="auto" w:fill="auto"/>
            <w:noWrap/>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color w:val="000000"/>
                <w:sz w:val="20"/>
                <w:szCs w:val="20"/>
                <w:lang w:val="en-US"/>
              </w:rPr>
              <w:t> </w:t>
            </w:r>
          </w:p>
        </w:tc>
        <w:tc>
          <w:tcPr>
            <w:tcW w:w="1320" w:type="dxa"/>
            <w:tcBorders>
              <w:top w:val="nil"/>
              <w:left w:val="nil"/>
              <w:bottom w:val="single" w:sz="4" w:space="0" w:color="auto"/>
              <w:right w:val="single" w:sz="4" w:space="0" w:color="auto"/>
            </w:tcBorders>
            <w:shd w:val="clear" w:color="auto" w:fill="auto"/>
            <w:noWrap/>
            <w:vAlign w:val="center"/>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color w:val="000000"/>
                <w:sz w:val="20"/>
                <w:szCs w:val="20"/>
                <w:lang w:val="en-US"/>
              </w:rPr>
              <w:t> </w:t>
            </w:r>
          </w:p>
        </w:tc>
      </w:tr>
      <w:tr w:rsidR="009A197C" w:rsidRPr="007955BB" w:rsidTr="00151C57">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9A197C" w:rsidRPr="007955BB" w:rsidRDefault="009A197C" w:rsidP="00151C57">
            <w:pPr>
              <w:spacing w:before="0" w:line="276" w:lineRule="auto"/>
              <w:ind w:firstLine="0"/>
              <w:contextualSpacing w:val="0"/>
              <w:jc w:val="left"/>
              <w:rPr>
                <w:rFonts w:cs="Calibri"/>
                <w:b w:val="0"/>
                <w:color w:val="000000"/>
                <w:sz w:val="20"/>
                <w:szCs w:val="20"/>
                <w:lang w:val="en-US" w:eastAsia="en-US"/>
              </w:rPr>
            </w:pPr>
            <w:r w:rsidRPr="007955BB">
              <w:rPr>
                <w:rFonts w:cs="Calibri"/>
                <w:b w:val="0"/>
                <w:color w:val="000000"/>
                <w:sz w:val="20"/>
                <w:szCs w:val="20"/>
                <w:lang w:val="en-US" w:eastAsia="en-US"/>
              </w:rPr>
              <w:t>- ներքին եկամուտներ</w:t>
            </w:r>
          </w:p>
        </w:tc>
        <w:tc>
          <w:tcPr>
            <w:tcW w:w="1319" w:type="dxa"/>
            <w:tcBorders>
              <w:top w:val="nil"/>
              <w:left w:val="nil"/>
              <w:bottom w:val="single" w:sz="4" w:space="0" w:color="auto"/>
              <w:right w:val="single" w:sz="4" w:space="0" w:color="auto"/>
            </w:tcBorders>
            <w:shd w:val="clear" w:color="auto" w:fill="auto"/>
            <w:noWrap/>
            <w:vAlign w:val="center"/>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lang w:val="en-US"/>
              </w:rPr>
              <w:t>1,553.1</w:t>
            </w:r>
          </w:p>
        </w:tc>
        <w:tc>
          <w:tcPr>
            <w:tcW w:w="1320" w:type="dxa"/>
            <w:tcBorders>
              <w:top w:val="nil"/>
              <w:left w:val="nil"/>
              <w:bottom w:val="single" w:sz="4" w:space="0" w:color="auto"/>
              <w:right w:val="single" w:sz="4" w:space="0" w:color="auto"/>
            </w:tcBorders>
            <w:shd w:val="clear" w:color="auto" w:fill="auto"/>
            <w:noWrap/>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lang w:val="en-US"/>
              </w:rPr>
              <w:t>1,507.5</w:t>
            </w:r>
          </w:p>
        </w:tc>
        <w:tc>
          <w:tcPr>
            <w:tcW w:w="1320" w:type="dxa"/>
            <w:tcBorders>
              <w:top w:val="nil"/>
              <w:left w:val="nil"/>
              <w:bottom w:val="single" w:sz="4" w:space="0" w:color="auto"/>
              <w:right w:val="single" w:sz="4" w:space="0" w:color="auto"/>
            </w:tcBorders>
            <w:shd w:val="clear" w:color="auto" w:fill="auto"/>
            <w:noWrap/>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lang w:val="en-US"/>
              </w:rPr>
              <w:t>1,671.5</w:t>
            </w:r>
          </w:p>
        </w:tc>
        <w:tc>
          <w:tcPr>
            <w:tcW w:w="1320" w:type="dxa"/>
            <w:tcBorders>
              <w:top w:val="nil"/>
              <w:left w:val="nil"/>
              <w:bottom w:val="single" w:sz="4" w:space="0" w:color="auto"/>
              <w:right w:val="single" w:sz="4" w:space="0" w:color="auto"/>
            </w:tcBorders>
            <w:shd w:val="clear" w:color="auto" w:fill="auto"/>
            <w:noWrap/>
            <w:vAlign w:val="center"/>
            <w:hideMark/>
          </w:tcPr>
          <w:p w:rsidR="009A197C" w:rsidRPr="007955BB" w:rsidRDefault="005C46A4" w:rsidP="00151C57">
            <w:pPr>
              <w:spacing w:before="0" w:line="276" w:lineRule="auto"/>
              <w:ind w:firstLine="0"/>
              <w:contextualSpacing w:val="0"/>
              <w:jc w:val="center"/>
              <w:rPr>
                <w:rFonts w:cs="Calibri"/>
                <w:b w:val="0"/>
                <w:color w:val="000000"/>
                <w:sz w:val="20"/>
                <w:szCs w:val="20"/>
                <w:lang w:val="en-US" w:eastAsia="en-US"/>
              </w:rPr>
            </w:pPr>
            <w:r>
              <w:rPr>
                <w:b w:val="0"/>
                <w:color w:val="000000"/>
                <w:sz w:val="20"/>
                <w:szCs w:val="20"/>
                <w:lang w:val="en-US"/>
              </w:rPr>
              <w:t>2,033</w:t>
            </w:r>
            <w:r w:rsidR="009A197C">
              <w:rPr>
                <w:b w:val="0"/>
                <w:color w:val="000000"/>
                <w:sz w:val="20"/>
                <w:szCs w:val="20"/>
                <w:lang w:val="en-US"/>
              </w:rPr>
              <w:t>.0</w:t>
            </w:r>
          </w:p>
        </w:tc>
        <w:tc>
          <w:tcPr>
            <w:tcW w:w="1320" w:type="dxa"/>
            <w:tcBorders>
              <w:top w:val="nil"/>
              <w:left w:val="nil"/>
              <w:bottom w:val="single" w:sz="4" w:space="0" w:color="auto"/>
              <w:right w:val="single" w:sz="4" w:space="0" w:color="auto"/>
            </w:tcBorders>
            <w:shd w:val="clear" w:color="auto" w:fill="auto"/>
            <w:noWrap/>
            <w:vAlign w:val="center"/>
          </w:tcPr>
          <w:p w:rsidR="009A197C" w:rsidRPr="007955BB" w:rsidRDefault="009A197C" w:rsidP="009C4836">
            <w:pPr>
              <w:spacing w:before="0" w:line="276" w:lineRule="auto"/>
              <w:ind w:firstLine="0"/>
              <w:contextualSpacing w:val="0"/>
              <w:jc w:val="center"/>
              <w:rPr>
                <w:rFonts w:cs="Calibri"/>
                <w:b w:val="0"/>
                <w:color w:val="000000"/>
                <w:sz w:val="20"/>
                <w:szCs w:val="20"/>
                <w:lang w:val="en-US" w:eastAsia="en-US"/>
              </w:rPr>
            </w:pPr>
            <w:r>
              <w:rPr>
                <w:b w:val="0"/>
                <w:color w:val="000000"/>
                <w:sz w:val="20"/>
                <w:szCs w:val="20"/>
                <w:lang w:val="en-US"/>
              </w:rPr>
              <w:t>2,28</w:t>
            </w:r>
            <w:r w:rsidR="009C4836">
              <w:rPr>
                <w:b w:val="0"/>
                <w:color w:val="000000"/>
                <w:sz w:val="20"/>
                <w:szCs w:val="20"/>
                <w:lang w:val="en-US"/>
              </w:rPr>
              <w:t>4</w:t>
            </w:r>
            <w:r>
              <w:rPr>
                <w:b w:val="0"/>
                <w:color w:val="000000"/>
                <w:sz w:val="20"/>
                <w:szCs w:val="20"/>
                <w:lang w:val="en-US"/>
              </w:rPr>
              <w:t>.8</w:t>
            </w:r>
          </w:p>
        </w:tc>
      </w:tr>
      <w:tr w:rsidR="009A197C" w:rsidRPr="007955BB" w:rsidTr="00D178DD">
        <w:trPr>
          <w:trHeight w:val="161"/>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9A197C" w:rsidRPr="007955BB" w:rsidRDefault="009A197C" w:rsidP="00151C57">
            <w:pPr>
              <w:spacing w:before="0" w:line="276" w:lineRule="auto"/>
              <w:ind w:firstLine="0"/>
              <w:contextualSpacing w:val="0"/>
              <w:jc w:val="left"/>
              <w:rPr>
                <w:rFonts w:cs="Calibri"/>
                <w:b w:val="0"/>
                <w:color w:val="000000"/>
                <w:sz w:val="20"/>
                <w:szCs w:val="20"/>
                <w:lang w:val="en-US" w:eastAsia="en-US"/>
              </w:rPr>
            </w:pPr>
            <w:r w:rsidRPr="007955BB">
              <w:rPr>
                <w:rFonts w:cs="Calibri"/>
                <w:b w:val="0"/>
                <w:color w:val="000000"/>
                <w:sz w:val="20"/>
                <w:szCs w:val="20"/>
                <w:lang w:val="en-US" w:eastAsia="en-US"/>
              </w:rPr>
              <w:t xml:space="preserve">որից` </w:t>
            </w:r>
          </w:p>
        </w:tc>
        <w:tc>
          <w:tcPr>
            <w:tcW w:w="1319" w:type="dxa"/>
            <w:tcBorders>
              <w:top w:val="nil"/>
              <w:left w:val="nil"/>
              <w:bottom w:val="single" w:sz="4" w:space="0" w:color="auto"/>
              <w:right w:val="single" w:sz="4" w:space="0" w:color="auto"/>
            </w:tcBorders>
            <w:shd w:val="clear" w:color="auto" w:fill="auto"/>
            <w:vAlign w:val="center"/>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b w:val="0"/>
                <w:color w:val="000000"/>
                <w:sz w:val="20"/>
                <w:szCs w:val="20"/>
                <w:lang w:val="en-US"/>
              </w:rPr>
              <w:t> </w:t>
            </w:r>
          </w:p>
        </w:tc>
        <w:tc>
          <w:tcPr>
            <w:tcW w:w="1320" w:type="dxa"/>
            <w:tcBorders>
              <w:top w:val="nil"/>
              <w:left w:val="nil"/>
              <w:bottom w:val="single" w:sz="4" w:space="0" w:color="auto"/>
              <w:right w:val="single" w:sz="4" w:space="0" w:color="auto"/>
            </w:tcBorders>
            <w:shd w:val="clear" w:color="auto" w:fill="auto"/>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b w:val="0"/>
                <w:color w:val="000000"/>
                <w:sz w:val="20"/>
                <w:szCs w:val="20"/>
                <w:lang w:val="en-US"/>
              </w:rPr>
              <w:t> </w:t>
            </w:r>
          </w:p>
        </w:tc>
        <w:tc>
          <w:tcPr>
            <w:tcW w:w="1320" w:type="dxa"/>
            <w:tcBorders>
              <w:top w:val="nil"/>
              <w:left w:val="nil"/>
              <w:bottom w:val="single" w:sz="4" w:space="0" w:color="auto"/>
              <w:right w:val="single" w:sz="4" w:space="0" w:color="auto"/>
            </w:tcBorders>
            <w:shd w:val="clear" w:color="auto" w:fill="auto"/>
            <w:noWrap/>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b w:val="0"/>
                <w:color w:val="000000"/>
                <w:sz w:val="20"/>
                <w:szCs w:val="20"/>
                <w:lang w:val="en-US"/>
              </w:rPr>
              <w:t> </w:t>
            </w:r>
          </w:p>
        </w:tc>
        <w:tc>
          <w:tcPr>
            <w:tcW w:w="1320" w:type="dxa"/>
            <w:tcBorders>
              <w:top w:val="nil"/>
              <w:left w:val="nil"/>
              <w:bottom w:val="single" w:sz="4" w:space="0" w:color="auto"/>
              <w:right w:val="single" w:sz="4" w:space="0" w:color="auto"/>
            </w:tcBorders>
            <w:shd w:val="clear" w:color="auto" w:fill="auto"/>
            <w:noWrap/>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b w:val="0"/>
                <w:color w:val="000000"/>
                <w:sz w:val="20"/>
                <w:szCs w:val="20"/>
                <w:lang w:val="en-US"/>
              </w:rPr>
              <w:t> </w:t>
            </w:r>
          </w:p>
        </w:tc>
        <w:tc>
          <w:tcPr>
            <w:tcW w:w="1320" w:type="dxa"/>
            <w:tcBorders>
              <w:top w:val="nil"/>
              <w:left w:val="nil"/>
              <w:bottom w:val="single" w:sz="4" w:space="0" w:color="auto"/>
              <w:right w:val="single" w:sz="4" w:space="0" w:color="auto"/>
            </w:tcBorders>
            <w:shd w:val="clear" w:color="auto" w:fill="auto"/>
            <w:noWrap/>
            <w:vAlign w:val="center"/>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b w:val="0"/>
                <w:color w:val="000000"/>
                <w:sz w:val="20"/>
                <w:szCs w:val="20"/>
                <w:lang w:val="en-US"/>
              </w:rPr>
              <w:t> </w:t>
            </w:r>
          </w:p>
        </w:tc>
      </w:tr>
      <w:tr w:rsidR="009A197C" w:rsidRPr="007955BB" w:rsidTr="00151C57">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9A197C" w:rsidRPr="007955BB" w:rsidRDefault="009A197C" w:rsidP="00151C57">
            <w:pPr>
              <w:spacing w:before="0" w:line="276" w:lineRule="auto"/>
              <w:ind w:firstLine="0"/>
              <w:contextualSpacing w:val="0"/>
              <w:jc w:val="left"/>
              <w:rPr>
                <w:rFonts w:cs="Calibri"/>
                <w:b w:val="0"/>
                <w:color w:val="000000"/>
                <w:sz w:val="20"/>
                <w:szCs w:val="20"/>
                <w:lang w:val="en-US" w:eastAsia="en-US"/>
              </w:rPr>
            </w:pPr>
            <w:r w:rsidRPr="007955BB">
              <w:rPr>
                <w:rFonts w:cs="Calibri"/>
                <w:b w:val="0"/>
                <w:color w:val="000000"/>
                <w:sz w:val="20"/>
                <w:szCs w:val="20"/>
                <w:lang w:val="en-US" w:eastAsia="en-US"/>
              </w:rPr>
              <w:t xml:space="preserve"> - հարկեր և պետական տուրքեր </w:t>
            </w:r>
          </w:p>
        </w:tc>
        <w:tc>
          <w:tcPr>
            <w:tcW w:w="1319" w:type="dxa"/>
            <w:tcBorders>
              <w:top w:val="nil"/>
              <w:left w:val="nil"/>
              <w:bottom w:val="single" w:sz="4" w:space="0" w:color="auto"/>
              <w:right w:val="single" w:sz="4" w:space="0" w:color="auto"/>
            </w:tcBorders>
            <w:shd w:val="clear" w:color="auto" w:fill="auto"/>
            <w:noWrap/>
            <w:vAlign w:val="center"/>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1,464.3</w:t>
            </w:r>
          </w:p>
        </w:tc>
        <w:tc>
          <w:tcPr>
            <w:tcW w:w="1320" w:type="dxa"/>
            <w:tcBorders>
              <w:top w:val="nil"/>
              <w:left w:val="nil"/>
              <w:bottom w:val="single" w:sz="4" w:space="0" w:color="auto"/>
              <w:right w:val="single" w:sz="4" w:space="0" w:color="auto"/>
            </w:tcBorders>
            <w:shd w:val="clear" w:color="auto" w:fill="auto"/>
            <w:noWrap/>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1,385.2</w:t>
            </w:r>
          </w:p>
        </w:tc>
        <w:tc>
          <w:tcPr>
            <w:tcW w:w="1320" w:type="dxa"/>
            <w:tcBorders>
              <w:top w:val="nil"/>
              <w:left w:val="nil"/>
              <w:bottom w:val="single" w:sz="4" w:space="0" w:color="auto"/>
              <w:right w:val="single" w:sz="4" w:space="0" w:color="auto"/>
            </w:tcBorders>
            <w:shd w:val="clear" w:color="auto" w:fill="auto"/>
            <w:noWrap/>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1,586.9</w:t>
            </w:r>
          </w:p>
        </w:tc>
        <w:tc>
          <w:tcPr>
            <w:tcW w:w="1320" w:type="dxa"/>
            <w:tcBorders>
              <w:top w:val="nil"/>
              <w:left w:val="nil"/>
              <w:bottom w:val="single" w:sz="4" w:space="0" w:color="auto"/>
              <w:right w:val="single" w:sz="4" w:space="0" w:color="auto"/>
            </w:tcBorders>
            <w:shd w:val="clear" w:color="auto" w:fill="auto"/>
            <w:noWrap/>
            <w:vAlign w:val="center"/>
            <w:hideMark/>
          </w:tcPr>
          <w:p w:rsidR="009A197C" w:rsidRPr="007955BB" w:rsidRDefault="009A197C" w:rsidP="005C46A4">
            <w:pPr>
              <w:spacing w:before="0" w:line="276" w:lineRule="auto"/>
              <w:ind w:firstLine="0"/>
              <w:contextualSpacing w:val="0"/>
              <w:jc w:val="center"/>
              <w:rPr>
                <w:rFonts w:cs="Calibri"/>
                <w:b w:val="0"/>
                <w:color w:val="000000"/>
                <w:sz w:val="20"/>
                <w:szCs w:val="20"/>
                <w:lang w:val="en-US" w:eastAsia="en-US"/>
              </w:rPr>
            </w:pPr>
            <w:r>
              <w:rPr>
                <w:b w:val="0"/>
                <w:color w:val="000000"/>
                <w:sz w:val="20"/>
                <w:szCs w:val="20"/>
              </w:rPr>
              <w:t>1,92</w:t>
            </w:r>
            <w:r w:rsidR="005C46A4">
              <w:rPr>
                <w:b w:val="0"/>
                <w:color w:val="000000"/>
                <w:sz w:val="20"/>
                <w:szCs w:val="20"/>
                <w:lang w:val="en-US"/>
              </w:rPr>
              <w:t>0</w:t>
            </w:r>
            <w:r w:rsidRPr="007955BB">
              <w:rPr>
                <w:b w:val="0"/>
                <w:color w:val="000000"/>
                <w:sz w:val="20"/>
                <w:szCs w:val="20"/>
              </w:rPr>
              <w:t>.0</w:t>
            </w:r>
          </w:p>
        </w:tc>
        <w:tc>
          <w:tcPr>
            <w:tcW w:w="1320" w:type="dxa"/>
            <w:tcBorders>
              <w:top w:val="nil"/>
              <w:left w:val="nil"/>
              <w:bottom w:val="single" w:sz="4" w:space="0" w:color="auto"/>
              <w:right w:val="single" w:sz="4" w:space="0" w:color="auto"/>
            </w:tcBorders>
            <w:shd w:val="clear" w:color="auto" w:fill="auto"/>
            <w:noWrap/>
            <w:vAlign w:val="center"/>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lang w:val="en-US"/>
              </w:rPr>
              <w:t>2,203.7</w:t>
            </w:r>
          </w:p>
        </w:tc>
      </w:tr>
      <w:tr w:rsidR="009A197C" w:rsidRPr="007955BB" w:rsidTr="00151C57">
        <w:trPr>
          <w:trHeight w:val="431"/>
        </w:trPr>
        <w:tc>
          <w:tcPr>
            <w:tcW w:w="3435" w:type="dxa"/>
            <w:tcBorders>
              <w:top w:val="nil"/>
              <w:left w:val="single" w:sz="4" w:space="0" w:color="auto"/>
              <w:bottom w:val="single" w:sz="4" w:space="0" w:color="auto"/>
              <w:right w:val="single" w:sz="4" w:space="0" w:color="auto"/>
            </w:tcBorders>
            <w:shd w:val="clear" w:color="auto" w:fill="DEEAF6"/>
            <w:vAlign w:val="center"/>
            <w:hideMark/>
          </w:tcPr>
          <w:p w:rsidR="009A197C" w:rsidRPr="007955BB" w:rsidRDefault="009A197C" w:rsidP="00151C57">
            <w:pPr>
              <w:spacing w:before="0" w:line="276" w:lineRule="auto"/>
              <w:ind w:firstLine="0"/>
              <w:contextualSpacing w:val="0"/>
              <w:jc w:val="left"/>
              <w:rPr>
                <w:rFonts w:cs="Calibri"/>
                <w:b w:val="0"/>
                <w:color w:val="000000"/>
                <w:sz w:val="20"/>
                <w:szCs w:val="20"/>
                <w:lang w:val="en-US" w:eastAsia="en-US"/>
              </w:rPr>
            </w:pPr>
            <w:r w:rsidRPr="007955BB">
              <w:rPr>
                <w:rFonts w:cs="Calibri"/>
                <w:b w:val="0"/>
                <w:color w:val="000000"/>
                <w:sz w:val="20"/>
                <w:szCs w:val="20"/>
                <w:lang w:val="en-US" w:eastAsia="en-US"/>
              </w:rPr>
              <w:t>2. Ընդամենը ծախսեր</w:t>
            </w:r>
          </w:p>
        </w:tc>
        <w:tc>
          <w:tcPr>
            <w:tcW w:w="1319" w:type="dxa"/>
            <w:tcBorders>
              <w:top w:val="nil"/>
              <w:left w:val="nil"/>
              <w:bottom w:val="single" w:sz="4" w:space="0" w:color="auto"/>
              <w:right w:val="single" w:sz="4" w:space="0" w:color="auto"/>
            </w:tcBorders>
            <w:shd w:val="clear" w:color="auto" w:fill="DEEAF6"/>
            <w:noWrap/>
            <w:vAlign w:val="center"/>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1,629.4</w:t>
            </w:r>
          </w:p>
        </w:tc>
        <w:tc>
          <w:tcPr>
            <w:tcW w:w="1320" w:type="dxa"/>
            <w:tcBorders>
              <w:top w:val="nil"/>
              <w:left w:val="nil"/>
              <w:bottom w:val="single" w:sz="4" w:space="0" w:color="auto"/>
              <w:right w:val="single" w:sz="4" w:space="0" w:color="auto"/>
            </w:tcBorders>
            <w:shd w:val="clear" w:color="auto" w:fill="DEEAF6"/>
            <w:noWrap/>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1,894.6</w:t>
            </w:r>
          </w:p>
        </w:tc>
        <w:tc>
          <w:tcPr>
            <w:tcW w:w="1320" w:type="dxa"/>
            <w:tcBorders>
              <w:top w:val="nil"/>
              <w:left w:val="nil"/>
              <w:bottom w:val="single" w:sz="4" w:space="0" w:color="auto"/>
              <w:right w:val="single" w:sz="4" w:space="0" w:color="auto"/>
            </w:tcBorders>
            <w:shd w:val="clear" w:color="auto" w:fill="DEEAF6"/>
            <w:noWrap/>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2,004.3</w:t>
            </w:r>
          </w:p>
        </w:tc>
        <w:tc>
          <w:tcPr>
            <w:tcW w:w="1320" w:type="dxa"/>
            <w:tcBorders>
              <w:top w:val="nil"/>
              <w:left w:val="nil"/>
              <w:bottom w:val="single" w:sz="4" w:space="0" w:color="auto"/>
              <w:right w:val="single" w:sz="4" w:space="0" w:color="auto"/>
            </w:tcBorders>
            <w:shd w:val="clear" w:color="auto" w:fill="DEEAF6"/>
            <w:noWrap/>
            <w:vAlign w:val="center"/>
            <w:hideMark/>
          </w:tcPr>
          <w:p w:rsidR="009A197C" w:rsidRPr="00E43813" w:rsidRDefault="009A197C" w:rsidP="00151C57">
            <w:pPr>
              <w:spacing w:before="0" w:line="276" w:lineRule="auto"/>
              <w:ind w:firstLine="0"/>
              <w:contextualSpacing w:val="0"/>
              <w:jc w:val="center"/>
              <w:rPr>
                <w:rFonts w:cs="Calibri"/>
                <w:b w:val="0"/>
                <w:color w:val="000000"/>
                <w:sz w:val="20"/>
                <w:szCs w:val="20"/>
                <w:lang w:val="en-US" w:eastAsia="en-US"/>
              </w:rPr>
            </w:pPr>
            <w:r w:rsidRPr="00E43813">
              <w:rPr>
                <w:color w:val="000000"/>
                <w:sz w:val="20"/>
                <w:szCs w:val="20"/>
              </w:rPr>
              <w:t>2,246</w:t>
            </w:r>
            <w:r w:rsidRPr="00E43813">
              <w:rPr>
                <w:color w:val="000000"/>
                <w:sz w:val="20"/>
                <w:szCs w:val="20"/>
                <w:lang w:val="en-US"/>
              </w:rPr>
              <w:t>.7</w:t>
            </w:r>
          </w:p>
        </w:tc>
        <w:tc>
          <w:tcPr>
            <w:tcW w:w="1320" w:type="dxa"/>
            <w:tcBorders>
              <w:top w:val="nil"/>
              <w:left w:val="nil"/>
              <w:bottom w:val="single" w:sz="4" w:space="0" w:color="auto"/>
              <w:right w:val="single" w:sz="4" w:space="0" w:color="auto"/>
            </w:tcBorders>
            <w:shd w:val="clear" w:color="auto" w:fill="DEEAF6"/>
            <w:noWrap/>
            <w:vAlign w:val="center"/>
          </w:tcPr>
          <w:p w:rsidR="009A197C" w:rsidRPr="003303CD" w:rsidRDefault="009A197C" w:rsidP="00C56AE5">
            <w:pPr>
              <w:spacing w:before="0" w:line="276" w:lineRule="auto"/>
              <w:ind w:firstLine="0"/>
              <w:contextualSpacing w:val="0"/>
              <w:jc w:val="center"/>
              <w:rPr>
                <w:rFonts w:cs="Calibri"/>
                <w:b w:val="0"/>
                <w:color w:val="000000"/>
                <w:sz w:val="20"/>
                <w:szCs w:val="20"/>
                <w:highlight w:val="yellow"/>
                <w:lang w:val="en-US" w:eastAsia="en-US"/>
              </w:rPr>
            </w:pPr>
            <w:r w:rsidRPr="00C56AE5">
              <w:rPr>
                <w:color w:val="000000"/>
                <w:sz w:val="20"/>
                <w:szCs w:val="20"/>
              </w:rPr>
              <w:t>2,59</w:t>
            </w:r>
            <w:r w:rsidR="00C56AE5" w:rsidRPr="00C56AE5">
              <w:rPr>
                <w:color w:val="000000"/>
                <w:sz w:val="20"/>
                <w:szCs w:val="20"/>
                <w:lang w:val="en-US"/>
              </w:rPr>
              <w:t>1</w:t>
            </w:r>
            <w:r w:rsidRPr="00C56AE5">
              <w:rPr>
                <w:color w:val="000000"/>
                <w:sz w:val="20"/>
                <w:szCs w:val="20"/>
              </w:rPr>
              <w:t>.</w:t>
            </w:r>
            <w:r w:rsidR="00C56AE5" w:rsidRPr="00C56AE5">
              <w:rPr>
                <w:color w:val="000000"/>
                <w:sz w:val="20"/>
                <w:szCs w:val="20"/>
                <w:lang w:val="en-US"/>
              </w:rPr>
              <w:t>0</w:t>
            </w:r>
          </w:p>
        </w:tc>
      </w:tr>
      <w:tr w:rsidR="009A197C" w:rsidRPr="007955BB" w:rsidTr="00151C57">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9A197C" w:rsidRPr="007955BB" w:rsidRDefault="009A197C" w:rsidP="00151C57">
            <w:pPr>
              <w:spacing w:before="0" w:line="276" w:lineRule="auto"/>
              <w:ind w:firstLine="0"/>
              <w:contextualSpacing w:val="0"/>
              <w:jc w:val="left"/>
              <w:rPr>
                <w:rFonts w:cs="Calibri"/>
                <w:b w:val="0"/>
                <w:color w:val="000000"/>
                <w:sz w:val="20"/>
                <w:szCs w:val="20"/>
                <w:lang w:val="en-US" w:eastAsia="en-US"/>
              </w:rPr>
            </w:pPr>
            <w:r w:rsidRPr="007955BB">
              <w:rPr>
                <w:rFonts w:cs="Calibri"/>
                <w:b w:val="0"/>
                <w:color w:val="000000"/>
                <w:sz w:val="20"/>
                <w:szCs w:val="20"/>
                <w:lang w:val="en-US" w:eastAsia="en-US"/>
              </w:rPr>
              <w:t>այդ թվում`</w:t>
            </w:r>
          </w:p>
        </w:tc>
        <w:tc>
          <w:tcPr>
            <w:tcW w:w="1319" w:type="dxa"/>
            <w:tcBorders>
              <w:top w:val="nil"/>
              <w:left w:val="nil"/>
              <w:bottom w:val="single" w:sz="4" w:space="0" w:color="auto"/>
              <w:right w:val="single" w:sz="4" w:space="0" w:color="auto"/>
            </w:tcBorders>
            <w:shd w:val="clear" w:color="auto" w:fill="auto"/>
            <w:vAlign w:val="center"/>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b w:val="0"/>
                <w:color w:val="000000"/>
                <w:sz w:val="20"/>
                <w:szCs w:val="20"/>
              </w:rPr>
              <w:t> </w:t>
            </w:r>
          </w:p>
        </w:tc>
        <w:tc>
          <w:tcPr>
            <w:tcW w:w="1320" w:type="dxa"/>
            <w:tcBorders>
              <w:top w:val="nil"/>
              <w:left w:val="nil"/>
              <w:bottom w:val="single" w:sz="4" w:space="0" w:color="auto"/>
              <w:right w:val="single" w:sz="4" w:space="0" w:color="auto"/>
            </w:tcBorders>
            <w:shd w:val="clear" w:color="auto" w:fill="auto"/>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b w:val="0"/>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b w:val="0"/>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rsidR="009A197C" w:rsidRPr="00E43813" w:rsidRDefault="009A197C" w:rsidP="00151C57">
            <w:pPr>
              <w:spacing w:before="0" w:line="276" w:lineRule="auto"/>
              <w:ind w:firstLine="0"/>
              <w:contextualSpacing w:val="0"/>
              <w:jc w:val="center"/>
              <w:rPr>
                <w:rFonts w:cs="Calibri"/>
                <w:b w:val="0"/>
                <w:color w:val="000000"/>
                <w:sz w:val="20"/>
                <w:szCs w:val="20"/>
                <w:lang w:val="en-US" w:eastAsia="en-US"/>
              </w:rPr>
            </w:pPr>
            <w:r w:rsidRPr="00E43813">
              <w:rPr>
                <w:rFonts w:ascii="Calibri" w:hAnsi="Calibri" w:cs="Calibri"/>
                <w:b w:val="0"/>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tcPr>
          <w:p w:rsidR="009A197C" w:rsidRPr="00595453" w:rsidRDefault="009A197C" w:rsidP="00151C57">
            <w:pPr>
              <w:spacing w:before="0" w:line="276" w:lineRule="auto"/>
              <w:ind w:firstLine="0"/>
              <w:contextualSpacing w:val="0"/>
              <w:jc w:val="center"/>
              <w:rPr>
                <w:rFonts w:cs="Calibri"/>
                <w:b w:val="0"/>
                <w:color w:val="000000"/>
                <w:sz w:val="20"/>
                <w:szCs w:val="20"/>
                <w:lang w:val="en-US" w:eastAsia="en-US"/>
              </w:rPr>
            </w:pPr>
            <w:r w:rsidRPr="00595453">
              <w:rPr>
                <w:rFonts w:ascii="Calibri" w:hAnsi="Calibri" w:cs="Calibri"/>
                <w:color w:val="000000"/>
                <w:sz w:val="20"/>
                <w:szCs w:val="20"/>
              </w:rPr>
              <w:t> </w:t>
            </w:r>
          </w:p>
        </w:tc>
      </w:tr>
      <w:tr w:rsidR="009A197C" w:rsidRPr="007955BB" w:rsidTr="00151C57">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9A197C" w:rsidRPr="007955BB" w:rsidRDefault="009A197C" w:rsidP="00151C57">
            <w:pPr>
              <w:spacing w:before="0" w:line="276" w:lineRule="auto"/>
              <w:ind w:firstLine="0"/>
              <w:contextualSpacing w:val="0"/>
              <w:jc w:val="left"/>
              <w:rPr>
                <w:rFonts w:cs="Calibri"/>
                <w:b w:val="0"/>
                <w:color w:val="000000"/>
                <w:sz w:val="20"/>
                <w:szCs w:val="20"/>
                <w:lang w:val="en-US" w:eastAsia="en-US"/>
              </w:rPr>
            </w:pPr>
            <w:r w:rsidRPr="007955BB">
              <w:rPr>
                <w:rFonts w:cs="Calibri"/>
                <w:b w:val="0"/>
                <w:color w:val="000000"/>
                <w:sz w:val="20"/>
                <w:szCs w:val="20"/>
                <w:lang w:val="en-US" w:eastAsia="en-US"/>
              </w:rPr>
              <w:t>- ընթացիկ ծախսեր</w:t>
            </w:r>
          </w:p>
        </w:tc>
        <w:tc>
          <w:tcPr>
            <w:tcW w:w="1319" w:type="dxa"/>
            <w:tcBorders>
              <w:top w:val="nil"/>
              <w:left w:val="nil"/>
              <w:bottom w:val="single" w:sz="4" w:space="0" w:color="auto"/>
              <w:right w:val="single" w:sz="4" w:space="0" w:color="auto"/>
            </w:tcBorders>
            <w:shd w:val="clear" w:color="auto" w:fill="auto"/>
            <w:noWrap/>
            <w:vAlign w:val="center"/>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1,437.1</w:t>
            </w:r>
          </w:p>
        </w:tc>
        <w:tc>
          <w:tcPr>
            <w:tcW w:w="1320" w:type="dxa"/>
            <w:tcBorders>
              <w:top w:val="nil"/>
              <w:left w:val="nil"/>
              <w:bottom w:val="single" w:sz="4" w:space="0" w:color="auto"/>
              <w:right w:val="single" w:sz="4" w:space="0" w:color="auto"/>
            </w:tcBorders>
            <w:shd w:val="clear" w:color="auto" w:fill="auto"/>
            <w:noWrap/>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1,668.5</w:t>
            </w:r>
          </w:p>
        </w:tc>
        <w:tc>
          <w:tcPr>
            <w:tcW w:w="1320" w:type="dxa"/>
            <w:tcBorders>
              <w:top w:val="nil"/>
              <w:left w:val="nil"/>
              <w:bottom w:val="single" w:sz="4" w:space="0" w:color="auto"/>
              <w:right w:val="single" w:sz="4" w:space="0" w:color="auto"/>
            </w:tcBorders>
            <w:shd w:val="clear" w:color="auto" w:fill="auto"/>
            <w:noWrap/>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1,788.0</w:t>
            </w:r>
          </w:p>
        </w:tc>
        <w:tc>
          <w:tcPr>
            <w:tcW w:w="1320" w:type="dxa"/>
            <w:tcBorders>
              <w:top w:val="nil"/>
              <w:left w:val="nil"/>
              <w:bottom w:val="single" w:sz="4" w:space="0" w:color="auto"/>
              <w:right w:val="single" w:sz="4" w:space="0" w:color="auto"/>
            </w:tcBorders>
            <w:shd w:val="clear" w:color="auto" w:fill="auto"/>
            <w:noWrap/>
            <w:vAlign w:val="center"/>
            <w:hideMark/>
          </w:tcPr>
          <w:p w:rsidR="009A197C" w:rsidRPr="00E43813" w:rsidRDefault="009A197C" w:rsidP="00151C57">
            <w:pPr>
              <w:spacing w:before="0" w:line="276" w:lineRule="auto"/>
              <w:ind w:firstLine="0"/>
              <w:contextualSpacing w:val="0"/>
              <w:jc w:val="center"/>
              <w:rPr>
                <w:rFonts w:cs="Calibri"/>
                <w:b w:val="0"/>
                <w:color w:val="000000"/>
                <w:sz w:val="20"/>
                <w:szCs w:val="20"/>
                <w:lang w:val="hy-AM" w:eastAsia="en-US"/>
              </w:rPr>
            </w:pPr>
            <w:r w:rsidRPr="00E43813">
              <w:rPr>
                <w:b w:val="0"/>
                <w:color w:val="000000"/>
                <w:sz w:val="20"/>
                <w:szCs w:val="20"/>
              </w:rPr>
              <w:t>1,857.0</w:t>
            </w:r>
          </w:p>
        </w:tc>
        <w:tc>
          <w:tcPr>
            <w:tcW w:w="1320" w:type="dxa"/>
            <w:tcBorders>
              <w:top w:val="nil"/>
              <w:left w:val="nil"/>
              <w:bottom w:val="single" w:sz="4" w:space="0" w:color="auto"/>
              <w:right w:val="single" w:sz="4" w:space="0" w:color="auto"/>
            </w:tcBorders>
            <w:shd w:val="clear" w:color="auto" w:fill="auto"/>
            <w:noWrap/>
            <w:vAlign w:val="center"/>
          </w:tcPr>
          <w:p w:rsidR="009A197C" w:rsidRPr="003303CD" w:rsidRDefault="009A197C" w:rsidP="00595453">
            <w:pPr>
              <w:spacing w:before="0" w:line="276" w:lineRule="auto"/>
              <w:ind w:firstLine="0"/>
              <w:contextualSpacing w:val="0"/>
              <w:jc w:val="center"/>
              <w:rPr>
                <w:rFonts w:cs="Calibri"/>
                <w:b w:val="0"/>
                <w:color w:val="000000"/>
                <w:sz w:val="20"/>
                <w:szCs w:val="20"/>
                <w:highlight w:val="yellow"/>
                <w:lang w:val="en-US" w:eastAsia="en-US"/>
              </w:rPr>
            </w:pPr>
            <w:r w:rsidRPr="00595453">
              <w:rPr>
                <w:b w:val="0"/>
                <w:color w:val="000000"/>
                <w:sz w:val="20"/>
                <w:szCs w:val="20"/>
              </w:rPr>
              <w:t>2,04</w:t>
            </w:r>
            <w:r w:rsidR="00595453" w:rsidRPr="00595453">
              <w:rPr>
                <w:b w:val="0"/>
                <w:color w:val="000000"/>
                <w:sz w:val="20"/>
                <w:szCs w:val="20"/>
                <w:lang w:val="en-US"/>
              </w:rPr>
              <w:t>3</w:t>
            </w:r>
            <w:r w:rsidRPr="00595453">
              <w:rPr>
                <w:b w:val="0"/>
                <w:color w:val="000000"/>
                <w:sz w:val="20"/>
                <w:szCs w:val="20"/>
              </w:rPr>
              <w:t>.</w:t>
            </w:r>
            <w:r w:rsidR="00595453" w:rsidRPr="00595453">
              <w:rPr>
                <w:b w:val="0"/>
                <w:color w:val="000000"/>
                <w:sz w:val="20"/>
                <w:szCs w:val="20"/>
                <w:lang w:val="en-US"/>
              </w:rPr>
              <w:t>3</w:t>
            </w:r>
          </w:p>
        </w:tc>
      </w:tr>
      <w:tr w:rsidR="009A197C" w:rsidRPr="007955BB" w:rsidTr="00D178DD">
        <w:trPr>
          <w:trHeight w:val="467"/>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9A197C" w:rsidRPr="007955BB" w:rsidRDefault="009A197C" w:rsidP="00151C57">
            <w:pPr>
              <w:spacing w:before="0" w:line="276" w:lineRule="auto"/>
              <w:ind w:firstLine="0"/>
              <w:contextualSpacing w:val="0"/>
              <w:jc w:val="left"/>
              <w:rPr>
                <w:rFonts w:cs="Calibri"/>
                <w:b w:val="0"/>
                <w:color w:val="000000"/>
                <w:sz w:val="20"/>
                <w:szCs w:val="20"/>
                <w:lang w:eastAsia="en-US"/>
              </w:rPr>
            </w:pP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ոչ</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ֆինանսական</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ակտիվների</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հետ</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գործառնություններ</w:t>
            </w:r>
          </w:p>
        </w:tc>
        <w:tc>
          <w:tcPr>
            <w:tcW w:w="1319" w:type="dxa"/>
            <w:tcBorders>
              <w:top w:val="nil"/>
              <w:left w:val="nil"/>
              <w:bottom w:val="single" w:sz="4" w:space="0" w:color="auto"/>
              <w:right w:val="single" w:sz="4" w:space="0" w:color="auto"/>
            </w:tcBorders>
            <w:shd w:val="clear" w:color="auto" w:fill="auto"/>
            <w:noWrap/>
            <w:vAlign w:val="center"/>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192.3</w:t>
            </w:r>
          </w:p>
        </w:tc>
        <w:tc>
          <w:tcPr>
            <w:tcW w:w="1320" w:type="dxa"/>
            <w:tcBorders>
              <w:top w:val="nil"/>
              <w:left w:val="nil"/>
              <w:bottom w:val="single" w:sz="4" w:space="0" w:color="auto"/>
              <w:right w:val="single" w:sz="4" w:space="0" w:color="auto"/>
            </w:tcBorders>
            <w:shd w:val="clear" w:color="auto" w:fill="auto"/>
            <w:noWrap/>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226.2</w:t>
            </w:r>
          </w:p>
        </w:tc>
        <w:tc>
          <w:tcPr>
            <w:tcW w:w="1320" w:type="dxa"/>
            <w:tcBorders>
              <w:top w:val="nil"/>
              <w:left w:val="nil"/>
              <w:bottom w:val="single" w:sz="4" w:space="0" w:color="auto"/>
              <w:right w:val="single" w:sz="4" w:space="0" w:color="auto"/>
            </w:tcBorders>
            <w:shd w:val="clear" w:color="auto" w:fill="auto"/>
            <w:noWrap/>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216.3</w:t>
            </w:r>
          </w:p>
        </w:tc>
        <w:tc>
          <w:tcPr>
            <w:tcW w:w="1320" w:type="dxa"/>
            <w:tcBorders>
              <w:top w:val="nil"/>
              <w:left w:val="nil"/>
              <w:bottom w:val="single" w:sz="4" w:space="0" w:color="auto"/>
              <w:right w:val="single" w:sz="4" w:space="0" w:color="auto"/>
            </w:tcBorders>
            <w:shd w:val="clear" w:color="auto" w:fill="auto"/>
            <w:noWrap/>
            <w:vAlign w:val="center"/>
            <w:hideMark/>
          </w:tcPr>
          <w:p w:rsidR="009A197C" w:rsidRPr="00E43813" w:rsidRDefault="009A197C" w:rsidP="00151C57">
            <w:pPr>
              <w:spacing w:before="0" w:line="276" w:lineRule="auto"/>
              <w:ind w:firstLine="0"/>
              <w:contextualSpacing w:val="0"/>
              <w:jc w:val="center"/>
              <w:rPr>
                <w:rFonts w:cs="Calibri"/>
                <w:b w:val="0"/>
                <w:color w:val="000000"/>
                <w:sz w:val="20"/>
                <w:szCs w:val="20"/>
                <w:lang w:val="en-US" w:eastAsia="en-US"/>
              </w:rPr>
            </w:pPr>
            <w:r w:rsidRPr="00E43813">
              <w:rPr>
                <w:b w:val="0"/>
                <w:color w:val="000000"/>
                <w:sz w:val="20"/>
                <w:szCs w:val="20"/>
                <w:lang w:val="en-US"/>
              </w:rPr>
              <w:t>389.7</w:t>
            </w:r>
          </w:p>
        </w:tc>
        <w:tc>
          <w:tcPr>
            <w:tcW w:w="1320" w:type="dxa"/>
            <w:tcBorders>
              <w:top w:val="nil"/>
              <w:left w:val="nil"/>
              <w:bottom w:val="single" w:sz="4" w:space="0" w:color="auto"/>
              <w:right w:val="single" w:sz="4" w:space="0" w:color="auto"/>
            </w:tcBorders>
            <w:shd w:val="clear" w:color="auto" w:fill="auto"/>
            <w:noWrap/>
            <w:vAlign w:val="center"/>
          </w:tcPr>
          <w:p w:rsidR="009A197C" w:rsidRPr="003303CD" w:rsidRDefault="009A197C" w:rsidP="00151C57">
            <w:pPr>
              <w:spacing w:before="0" w:line="276" w:lineRule="auto"/>
              <w:ind w:firstLine="0"/>
              <w:contextualSpacing w:val="0"/>
              <w:jc w:val="center"/>
              <w:rPr>
                <w:rFonts w:cs="Calibri"/>
                <w:b w:val="0"/>
                <w:color w:val="000000"/>
                <w:sz w:val="20"/>
                <w:szCs w:val="20"/>
                <w:highlight w:val="yellow"/>
                <w:lang w:val="en-US" w:eastAsia="en-US"/>
              </w:rPr>
            </w:pPr>
            <w:r w:rsidRPr="00C56AE5">
              <w:rPr>
                <w:b w:val="0"/>
                <w:color w:val="000000"/>
                <w:sz w:val="20"/>
                <w:szCs w:val="20"/>
                <w:lang w:val="en-US"/>
              </w:rPr>
              <w:t>547.7</w:t>
            </w:r>
          </w:p>
        </w:tc>
      </w:tr>
      <w:tr w:rsidR="009A197C" w:rsidRPr="007955BB" w:rsidTr="00151C57">
        <w:trPr>
          <w:trHeight w:val="345"/>
        </w:trPr>
        <w:tc>
          <w:tcPr>
            <w:tcW w:w="3435" w:type="dxa"/>
            <w:tcBorders>
              <w:top w:val="nil"/>
              <w:left w:val="single" w:sz="4" w:space="0" w:color="auto"/>
              <w:bottom w:val="single" w:sz="4" w:space="0" w:color="auto"/>
              <w:right w:val="single" w:sz="4" w:space="0" w:color="auto"/>
            </w:tcBorders>
            <w:shd w:val="clear" w:color="auto" w:fill="DEEAF6"/>
            <w:vAlign w:val="center"/>
            <w:hideMark/>
          </w:tcPr>
          <w:p w:rsidR="009A197C" w:rsidRPr="007955BB" w:rsidRDefault="009A197C" w:rsidP="00151C57">
            <w:pPr>
              <w:spacing w:before="0" w:line="276" w:lineRule="auto"/>
              <w:ind w:firstLine="0"/>
              <w:contextualSpacing w:val="0"/>
              <w:jc w:val="left"/>
              <w:rPr>
                <w:rFonts w:cs="Calibri"/>
                <w:b w:val="0"/>
                <w:color w:val="000000"/>
                <w:sz w:val="20"/>
                <w:szCs w:val="20"/>
                <w:lang w:val="en-US" w:eastAsia="en-US"/>
              </w:rPr>
            </w:pPr>
            <w:r w:rsidRPr="007955BB">
              <w:rPr>
                <w:rFonts w:cs="Calibri"/>
                <w:b w:val="0"/>
                <w:color w:val="000000"/>
                <w:sz w:val="20"/>
                <w:szCs w:val="20"/>
                <w:lang w:val="en-US" w:eastAsia="en-US"/>
              </w:rPr>
              <w:t>3. Դեֆիցիտ (պակասուրդ)</w:t>
            </w:r>
          </w:p>
        </w:tc>
        <w:tc>
          <w:tcPr>
            <w:tcW w:w="1319" w:type="dxa"/>
            <w:tcBorders>
              <w:top w:val="nil"/>
              <w:left w:val="nil"/>
              <w:bottom w:val="single" w:sz="4" w:space="0" w:color="auto"/>
              <w:right w:val="single" w:sz="4" w:space="0" w:color="auto"/>
            </w:tcBorders>
            <w:shd w:val="clear" w:color="auto" w:fill="DEEAF6"/>
            <w:noWrap/>
            <w:vAlign w:val="center"/>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63.9</w:t>
            </w:r>
          </w:p>
        </w:tc>
        <w:tc>
          <w:tcPr>
            <w:tcW w:w="1320" w:type="dxa"/>
            <w:tcBorders>
              <w:top w:val="nil"/>
              <w:left w:val="nil"/>
              <w:bottom w:val="single" w:sz="4" w:space="0" w:color="auto"/>
              <w:right w:val="single" w:sz="4" w:space="0" w:color="auto"/>
            </w:tcBorders>
            <w:shd w:val="clear" w:color="auto" w:fill="DEEAF6"/>
            <w:noWrap/>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lang w:val="en-US"/>
              </w:rPr>
              <w:t>334.0</w:t>
            </w:r>
          </w:p>
        </w:tc>
        <w:tc>
          <w:tcPr>
            <w:tcW w:w="1320" w:type="dxa"/>
            <w:tcBorders>
              <w:top w:val="nil"/>
              <w:left w:val="nil"/>
              <w:bottom w:val="single" w:sz="4" w:space="0" w:color="auto"/>
              <w:right w:val="single" w:sz="4" w:space="0" w:color="auto"/>
            </w:tcBorders>
            <w:shd w:val="clear" w:color="auto" w:fill="DEEAF6"/>
            <w:noWrap/>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lang w:val="en-US"/>
              </w:rPr>
              <w:t>320.5</w:t>
            </w:r>
          </w:p>
        </w:tc>
        <w:tc>
          <w:tcPr>
            <w:tcW w:w="1320" w:type="dxa"/>
            <w:tcBorders>
              <w:top w:val="nil"/>
              <w:left w:val="nil"/>
              <w:bottom w:val="single" w:sz="4" w:space="0" w:color="auto"/>
              <w:right w:val="single" w:sz="4" w:space="0" w:color="auto"/>
            </w:tcBorders>
            <w:shd w:val="clear" w:color="auto" w:fill="DEEAF6"/>
            <w:noWrap/>
            <w:vAlign w:val="center"/>
            <w:hideMark/>
          </w:tcPr>
          <w:p w:rsidR="009A197C" w:rsidRPr="00E43813" w:rsidRDefault="009A197C" w:rsidP="00151C57">
            <w:pPr>
              <w:spacing w:before="0" w:line="276" w:lineRule="auto"/>
              <w:ind w:firstLine="0"/>
              <w:contextualSpacing w:val="0"/>
              <w:jc w:val="center"/>
              <w:rPr>
                <w:rFonts w:cs="Calibri"/>
                <w:b w:val="0"/>
                <w:color w:val="000000"/>
                <w:sz w:val="20"/>
                <w:szCs w:val="20"/>
                <w:lang w:val="hy-AM" w:eastAsia="en-US"/>
              </w:rPr>
            </w:pPr>
            <w:r w:rsidRPr="00E43813">
              <w:rPr>
                <w:color w:val="000000"/>
                <w:sz w:val="20"/>
                <w:szCs w:val="20"/>
              </w:rPr>
              <w:t>204.2</w:t>
            </w:r>
          </w:p>
        </w:tc>
        <w:tc>
          <w:tcPr>
            <w:tcW w:w="1320" w:type="dxa"/>
            <w:tcBorders>
              <w:top w:val="nil"/>
              <w:left w:val="nil"/>
              <w:bottom w:val="single" w:sz="4" w:space="0" w:color="auto"/>
              <w:right w:val="single" w:sz="4" w:space="0" w:color="auto"/>
            </w:tcBorders>
            <w:shd w:val="clear" w:color="auto" w:fill="DEEAF6"/>
            <w:noWrap/>
            <w:vAlign w:val="center"/>
          </w:tcPr>
          <w:p w:rsidR="009A197C" w:rsidRPr="003303CD" w:rsidRDefault="009A197C" w:rsidP="00151C57">
            <w:pPr>
              <w:spacing w:before="0" w:line="276" w:lineRule="auto"/>
              <w:ind w:firstLine="0"/>
              <w:contextualSpacing w:val="0"/>
              <w:jc w:val="center"/>
              <w:rPr>
                <w:rFonts w:cs="Calibri"/>
                <w:b w:val="0"/>
                <w:color w:val="000000"/>
                <w:sz w:val="20"/>
                <w:szCs w:val="20"/>
                <w:highlight w:val="yellow"/>
                <w:lang w:val="en-US" w:eastAsia="en-US"/>
              </w:rPr>
            </w:pPr>
            <w:r w:rsidRPr="00C56AE5">
              <w:rPr>
                <w:color w:val="000000"/>
                <w:sz w:val="20"/>
                <w:szCs w:val="20"/>
                <w:lang w:val="en-US"/>
              </w:rPr>
              <w:t>288.9</w:t>
            </w:r>
          </w:p>
        </w:tc>
      </w:tr>
      <w:tr w:rsidR="009A197C" w:rsidRPr="007955BB" w:rsidTr="00D178DD">
        <w:trPr>
          <w:trHeight w:val="467"/>
        </w:trPr>
        <w:tc>
          <w:tcPr>
            <w:tcW w:w="3435" w:type="dxa"/>
            <w:tcBorders>
              <w:top w:val="nil"/>
              <w:left w:val="single" w:sz="4" w:space="0" w:color="auto"/>
              <w:bottom w:val="single" w:sz="4" w:space="0" w:color="auto"/>
              <w:right w:val="single" w:sz="4" w:space="0" w:color="auto"/>
            </w:tcBorders>
            <w:shd w:val="clear" w:color="000000" w:fill="FFFFFF"/>
            <w:vAlign w:val="center"/>
            <w:hideMark/>
          </w:tcPr>
          <w:p w:rsidR="009A197C" w:rsidRPr="007955BB" w:rsidRDefault="009A197C" w:rsidP="00151C57">
            <w:pPr>
              <w:spacing w:before="0" w:line="276" w:lineRule="auto"/>
              <w:ind w:firstLine="0"/>
              <w:contextualSpacing w:val="0"/>
              <w:jc w:val="left"/>
              <w:rPr>
                <w:rFonts w:cs="Calibri"/>
                <w:b w:val="0"/>
                <w:color w:val="000000"/>
                <w:sz w:val="20"/>
                <w:szCs w:val="20"/>
                <w:lang w:eastAsia="en-US"/>
              </w:rPr>
            </w:pPr>
            <w:r w:rsidRPr="007955BB">
              <w:rPr>
                <w:rFonts w:cs="Calibri"/>
                <w:b w:val="0"/>
                <w:color w:val="000000"/>
                <w:sz w:val="20"/>
                <w:szCs w:val="20"/>
                <w:lang w:val="en-US" w:eastAsia="en-US"/>
              </w:rPr>
              <w:t>Բ</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Արտահայտված</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ՀՆԱ</w:t>
            </w:r>
            <w:r w:rsidRPr="007955BB">
              <w:rPr>
                <w:rFonts w:cs="Calibri"/>
                <w:b w:val="0"/>
                <w:color w:val="000000"/>
                <w:sz w:val="20"/>
                <w:szCs w:val="20"/>
                <w:lang w:eastAsia="en-US"/>
              </w:rPr>
              <w:t>-</w:t>
            </w:r>
            <w:r w:rsidRPr="007955BB">
              <w:rPr>
                <w:rFonts w:cs="Calibri"/>
                <w:b w:val="0"/>
                <w:color w:val="000000"/>
                <w:sz w:val="20"/>
                <w:szCs w:val="20"/>
                <w:lang w:val="en-US" w:eastAsia="en-US"/>
              </w:rPr>
              <w:t>ի</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նկատմամբ</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ով</w:t>
            </w:r>
          </w:p>
        </w:tc>
        <w:tc>
          <w:tcPr>
            <w:tcW w:w="1319" w:type="dxa"/>
            <w:tcBorders>
              <w:top w:val="nil"/>
              <w:left w:val="nil"/>
              <w:bottom w:val="single" w:sz="4" w:space="0" w:color="auto"/>
              <w:right w:val="single" w:sz="4" w:space="0" w:color="auto"/>
            </w:tcBorders>
            <w:shd w:val="clear" w:color="000000" w:fill="FFFFFF"/>
            <w:vAlign w:val="center"/>
          </w:tcPr>
          <w:p w:rsidR="009A197C" w:rsidRPr="007955BB" w:rsidRDefault="009A197C" w:rsidP="00151C57">
            <w:pPr>
              <w:spacing w:before="0" w:line="276" w:lineRule="auto"/>
              <w:ind w:firstLine="0"/>
              <w:contextualSpacing w:val="0"/>
              <w:jc w:val="center"/>
              <w:rPr>
                <w:rFonts w:cs="Calibri"/>
                <w:b w:val="0"/>
                <w:color w:val="000000"/>
                <w:sz w:val="20"/>
                <w:szCs w:val="20"/>
                <w:lang w:eastAsia="en-US"/>
              </w:rPr>
            </w:pPr>
            <w:r w:rsidRPr="007955BB">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000000" w:fill="FFFFFF"/>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eastAsia="en-US"/>
              </w:rPr>
            </w:pPr>
            <w:r w:rsidRPr="007955BB">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000000" w:fill="FFFFFF"/>
            <w:noWrap/>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eastAsia="en-US"/>
              </w:rPr>
            </w:pPr>
            <w:r w:rsidRPr="007955BB">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000000" w:fill="FFFFFF"/>
            <w:noWrap/>
            <w:vAlign w:val="center"/>
            <w:hideMark/>
          </w:tcPr>
          <w:p w:rsidR="009A197C" w:rsidRPr="00E43813" w:rsidRDefault="009A197C" w:rsidP="00151C57">
            <w:pPr>
              <w:spacing w:before="0" w:line="276" w:lineRule="auto"/>
              <w:ind w:firstLine="0"/>
              <w:contextualSpacing w:val="0"/>
              <w:jc w:val="center"/>
              <w:rPr>
                <w:rFonts w:cs="Calibri"/>
                <w:b w:val="0"/>
                <w:color w:val="000000"/>
                <w:sz w:val="20"/>
                <w:szCs w:val="20"/>
                <w:lang w:eastAsia="en-US"/>
              </w:rPr>
            </w:pPr>
            <w:r w:rsidRPr="00E43813">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000000" w:fill="FFFFFF"/>
            <w:noWrap/>
            <w:vAlign w:val="center"/>
          </w:tcPr>
          <w:p w:rsidR="009A197C" w:rsidRPr="007955BB" w:rsidRDefault="009A197C" w:rsidP="00151C57">
            <w:pPr>
              <w:spacing w:before="0" w:line="276" w:lineRule="auto"/>
              <w:ind w:firstLine="0"/>
              <w:contextualSpacing w:val="0"/>
              <w:jc w:val="center"/>
              <w:rPr>
                <w:rFonts w:cs="Calibri"/>
                <w:b w:val="0"/>
                <w:color w:val="000000"/>
                <w:sz w:val="20"/>
                <w:szCs w:val="20"/>
                <w:lang w:eastAsia="en-US"/>
              </w:rPr>
            </w:pPr>
            <w:r w:rsidRPr="007955BB">
              <w:rPr>
                <w:rFonts w:ascii="Calibri" w:hAnsi="Calibri" w:cs="Calibri"/>
                <w:color w:val="000000"/>
                <w:sz w:val="20"/>
                <w:szCs w:val="20"/>
              </w:rPr>
              <w:t> </w:t>
            </w:r>
          </w:p>
        </w:tc>
      </w:tr>
      <w:tr w:rsidR="009A197C" w:rsidRPr="007955BB" w:rsidTr="00151C57">
        <w:trPr>
          <w:trHeight w:val="345"/>
        </w:trPr>
        <w:tc>
          <w:tcPr>
            <w:tcW w:w="3435" w:type="dxa"/>
            <w:tcBorders>
              <w:top w:val="nil"/>
              <w:left w:val="single" w:sz="4" w:space="0" w:color="auto"/>
              <w:bottom w:val="single" w:sz="4" w:space="0" w:color="auto"/>
              <w:right w:val="single" w:sz="4" w:space="0" w:color="auto"/>
            </w:tcBorders>
            <w:shd w:val="clear" w:color="auto" w:fill="DEEAF6"/>
            <w:vAlign w:val="center"/>
            <w:hideMark/>
          </w:tcPr>
          <w:p w:rsidR="009A197C" w:rsidRPr="007955BB" w:rsidRDefault="009A197C" w:rsidP="00151C57">
            <w:pPr>
              <w:spacing w:before="0" w:line="276" w:lineRule="auto"/>
              <w:ind w:firstLine="0"/>
              <w:contextualSpacing w:val="0"/>
              <w:jc w:val="left"/>
              <w:rPr>
                <w:rFonts w:cs="Calibri"/>
                <w:b w:val="0"/>
                <w:color w:val="000000"/>
                <w:sz w:val="20"/>
                <w:szCs w:val="20"/>
                <w:lang w:val="en-US" w:eastAsia="en-US"/>
              </w:rPr>
            </w:pPr>
            <w:r w:rsidRPr="007955BB">
              <w:rPr>
                <w:rFonts w:cs="Calibri"/>
                <w:b w:val="0"/>
                <w:color w:val="000000"/>
                <w:sz w:val="20"/>
                <w:szCs w:val="20"/>
                <w:lang w:val="en-US" w:eastAsia="en-US"/>
              </w:rPr>
              <w:t>1. Ընդամենը եկամուտներ</w:t>
            </w:r>
          </w:p>
        </w:tc>
        <w:tc>
          <w:tcPr>
            <w:tcW w:w="1319" w:type="dxa"/>
            <w:tcBorders>
              <w:top w:val="nil"/>
              <w:left w:val="nil"/>
              <w:bottom w:val="single" w:sz="4" w:space="0" w:color="auto"/>
              <w:right w:val="single" w:sz="4" w:space="0" w:color="auto"/>
            </w:tcBorders>
            <w:shd w:val="clear" w:color="auto" w:fill="DEEAF6"/>
            <w:vAlign w:val="center"/>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23.9%</w:t>
            </w:r>
          </w:p>
        </w:tc>
        <w:tc>
          <w:tcPr>
            <w:tcW w:w="1320" w:type="dxa"/>
            <w:tcBorders>
              <w:top w:val="nil"/>
              <w:left w:val="nil"/>
              <w:bottom w:val="single" w:sz="4" w:space="0" w:color="auto"/>
              <w:right w:val="single" w:sz="4" w:space="0" w:color="auto"/>
            </w:tcBorders>
            <w:shd w:val="clear" w:color="auto" w:fill="DEEAF6"/>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25.2%</w:t>
            </w:r>
          </w:p>
        </w:tc>
        <w:tc>
          <w:tcPr>
            <w:tcW w:w="1320" w:type="dxa"/>
            <w:tcBorders>
              <w:top w:val="nil"/>
              <w:left w:val="nil"/>
              <w:bottom w:val="single" w:sz="4" w:space="0" w:color="auto"/>
              <w:right w:val="single" w:sz="4" w:space="0" w:color="auto"/>
            </w:tcBorders>
            <w:shd w:val="clear" w:color="auto" w:fill="DEEAF6"/>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24.1%</w:t>
            </w:r>
          </w:p>
        </w:tc>
        <w:tc>
          <w:tcPr>
            <w:tcW w:w="1320" w:type="dxa"/>
            <w:tcBorders>
              <w:top w:val="nil"/>
              <w:left w:val="nil"/>
              <w:bottom w:val="single" w:sz="4" w:space="0" w:color="auto"/>
              <w:right w:val="single" w:sz="4" w:space="0" w:color="auto"/>
            </w:tcBorders>
            <w:shd w:val="clear" w:color="auto" w:fill="DEEAF6"/>
            <w:vAlign w:val="center"/>
            <w:hideMark/>
          </w:tcPr>
          <w:p w:rsidR="009A197C" w:rsidRPr="00E43813" w:rsidRDefault="009A197C" w:rsidP="005C46A4">
            <w:pPr>
              <w:spacing w:before="0" w:line="276" w:lineRule="auto"/>
              <w:ind w:firstLine="0"/>
              <w:contextualSpacing w:val="0"/>
              <w:jc w:val="center"/>
              <w:rPr>
                <w:rFonts w:cs="Calibri"/>
                <w:b w:val="0"/>
                <w:color w:val="000000"/>
                <w:sz w:val="20"/>
                <w:szCs w:val="20"/>
                <w:lang w:val="en-US" w:eastAsia="en-US"/>
              </w:rPr>
            </w:pPr>
            <w:r w:rsidRPr="00E43813">
              <w:rPr>
                <w:color w:val="000000"/>
                <w:sz w:val="20"/>
                <w:szCs w:val="20"/>
              </w:rPr>
              <w:t>2</w:t>
            </w:r>
            <w:r w:rsidR="005C46A4" w:rsidRPr="00E43813">
              <w:rPr>
                <w:color w:val="000000"/>
                <w:sz w:val="20"/>
                <w:szCs w:val="20"/>
                <w:lang w:val="en-US"/>
              </w:rPr>
              <w:t>4</w:t>
            </w:r>
            <w:r w:rsidRPr="00E43813">
              <w:rPr>
                <w:color w:val="000000"/>
                <w:sz w:val="20"/>
                <w:szCs w:val="20"/>
              </w:rPr>
              <w:t>.</w:t>
            </w:r>
            <w:r w:rsidR="005C46A4" w:rsidRPr="00E43813">
              <w:rPr>
                <w:color w:val="000000"/>
                <w:sz w:val="20"/>
                <w:szCs w:val="20"/>
                <w:lang w:val="en-US"/>
              </w:rPr>
              <w:t>9</w:t>
            </w:r>
            <w:r w:rsidRPr="00E43813">
              <w:rPr>
                <w:color w:val="000000"/>
                <w:sz w:val="20"/>
                <w:szCs w:val="20"/>
              </w:rPr>
              <w:t>%</w:t>
            </w:r>
          </w:p>
        </w:tc>
        <w:tc>
          <w:tcPr>
            <w:tcW w:w="1320" w:type="dxa"/>
            <w:tcBorders>
              <w:top w:val="nil"/>
              <w:left w:val="nil"/>
              <w:bottom w:val="single" w:sz="4" w:space="0" w:color="auto"/>
              <w:right w:val="single" w:sz="4" w:space="0" w:color="auto"/>
            </w:tcBorders>
            <w:shd w:val="clear" w:color="auto" w:fill="DEEAF6"/>
            <w:noWrap/>
            <w:vAlign w:val="center"/>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24.7%</w:t>
            </w:r>
          </w:p>
        </w:tc>
      </w:tr>
      <w:tr w:rsidR="009A197C" w:rsidRPr="007955BB" w:rsidTr="00151C57">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9A197C" w:rsidRPr="007955BB" w:rsidRDefault="009A197C" w:rsidP="00151C57">
            <w:pPr>
              <w:spacing w:before="0" w:line="276" w:lineRule="auto"/>
              <w:ind w:firstLine="0"/>
              <w:contextualSpacing w:val="0"/>
              <w:jc w:val="left"/>
              <w:rPr>
                <w:rFonts w:cs="Calibri"/>
                <w:b w:val="0"/>
                <w:color w:val="000000"/>
                <w:sz w:val="20"/>
                <w:szCs w:val="20"/>
                <w:lang w:val="en-US" w:eastAsia="en-US"/>
              </w:rPr>
            </w:pPr>
            <w:r w:rsidRPr="007955BB">
              <w:rPr>
                <w:rFonts w:cs="Calibri"/>
                <w:b w:val="0"/>
                <w:color w:val="000000"/>
                <w:sz w:val="20"/>
                <w:szCs w:val="20"/>
                <w:lang w:val="en-US" w:eastAsia="en-US"/>
              </w:rPr>
              <w:t xml:space="preserve">որից` </w:t>
            </w:r>
          </w:p>
        </w:tc>
        <w:tc>
          <w:tcPr>
            <w:tcW w:w="1319" w:type="dxa"/>
            <w:tcBorders>
              <w:top w:val="nil"/>
              <w:left w:val="nil"/>
              <w:bottom w:val="single" w:sz="4" w:space="0" w:color="auto"/>
              <w:right w:val="single" w:sz="4" w:space="0" w:color="auto"/>
            </w:tcBorders>
            <w:shd w:val="clear" w:color="auto" w:fill="auto"/>
            <w:vAlign w:val="center"/>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auto" w:fill="auto"/>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rsidR="009A197C" w:rsidRPr="00E43813" w:rsidRDefault="009A197C" w:rsidP="00151C57">
            <w:pPr>
              <w:spacing w:before="0" w:line="276" w:lineRule="auto"/>
              <w:ind w:firstLine="0"/>
              <w:contextualSpacing w:val="0"/>
              <w:jc w:val="center"/>
              <w:rPr>
                <w:rFonts w:cs="Calibri"/>
                <w:b w:val="0"/>
                <w:color w:val="000000"/>
                <w:sz w:val="20"/>
                <w:szCs w:val="20"/>
                <w:lang w:val="en-US" w:eastAsia="en-US"/>
              </w:rPr>
            </w:pPr>
            <w:r w:rsidRPr="00E43813">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color w:val="000000"/>
                <w:sz w:val="20"/>
                <w:szCs w:val="20"/>
              </w:rPr>
              <w:t> </w:t>
            </w:r>
          </w:p>
        </w:tc>
      </w:tr>
      <w:tr w:rsidR="009A197C" w:rsidRPr="007955BB" w:rsidTr="00151C57">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9A197C" w:rsidRPr="007955BB" w:rsidRDefault="009A197C" w:rsidP="00151C57">
            <w:pPr>
              <w:spacing w:before="0" w:line="276" w:lineRule="auto"/>
              <w:ind w:firstLine="0"/>
              <w:contextualSpacing w:val="0"/>
              <w:jc w:val="left"/>
              <w:rPr>
                <w:rFonts w:cs="Calibri"/>
                <w:b w:val="0"/>
                <w:color w:val="000000"/>
                <w:sz w:val="20"/>
                <w:szCs w:val="20"/>
                <w:lang w:val="en-US" w:eastAsia="en-US"/>
              </w:rPr>
            </w:pPr>
            <w:r w:rsidRPr="007955BB">
              <w:rPr>
                <w:rFonts w:cs="Calibri"/>
                <w:b w:val="0"/>
                <w:color w:val="000000"/>
                <w:sz w:val="20"/>
                <w:szCs w:val="20"/>
                <w:lang w:val="en-US" w:eastAsia="en-US"/>
              </w:rPr>
              <w:t>- ներքին եկամուտներ</w:t>
            </w:r>
          </w:p>
        </w:tc>
        <w:tc>
          <w:tcPr>
            <w:tcW w:w="1319" w:type="dxa"/>
            <w:tcBorders>
              <w:top w:val="nil"/>
              <w:left w:val="nil"/>
              <w:bottom w:val="single" w:sz="4" w:space="0" w:color="auto"/>
              <w:right w:val="single" w:sz="4" w:space="0" w:color="auto"/>
            </w:tcBorders>
            <w:shd w:val="clear" w:color="auto" w:fill="auto"/>
            <w:vAlign w:val="center"/>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23.7%</w:t>
            </w:r>
          </w:p>
        </w:tc>
        <w:tc>
          <w:tcPr>
            <w:tcW w:w="1320" w:type="dxa"/>
            <w:tcBorders>
              <w:top w:val="nil"/>
              <w:left w:val="nil"/>
              <w:bottom w:val="single" w:sz="4" w:space="0" w:color="auto"/>
              <w:right w:val="single" w:sz="4" w:space="0" w:color="auto"/>
            </w:tcBorders>
            <w:shd w:val="clear" w:color="auto" w:fill="auto"/>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24.4%</w:t>
            </w:r>
          </w:p>
        </w:tc>
        <w:tc>
          <w:tcPr>
            <w:tcW w:w="1320" w:type="dxa"/>
            <w:tcBorders>
              <w:top w:val="nil"/>
              <w:left w:val="nil"/>
              <w:bottom w:val="single" w:sz="4" w:space="0" w:color="auto"/>
              <w:right w:val="single" w:sz="4" w:space="0" w:color="auto"/>
            </w:tcBorders>
            <w:shd w:val="clear" w:color="auto" w:fill="auto"/>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23.9%</w:t>
            </w:r>
          </w:p>
        </w:tc>
        <w:tc>
          <w:tcPr>
            <w:tcW w:w="1320" w:type="dxa"/>
            <w:tcBorders>
              <w:top w:val="nil"/>
              <w:left w:val="nil"/>
              <w:bottom w:val="single" w:sz="4" w:space="0" w:color="auto"/>
              <w:right w:val="single" w:sz="4" w:space="0" w:color="auto"/>
            </w:tcBorders>
            <w:shd w:val="clear" w:color="auto" w:fill="auto"/>
            <w:vAlign w:val="center"/>
            <w:hideMark/>
          </w:tcPr>
          <w:p w:rsidR="009A197C" w:rsidRPr="00E43813" w:rsidRDefault="009A197C" w:rsidP="005C46A4">
            <w:pPr>
              <w:spacing w:before="0" w:line="276" w:lineRule="auto"/>
              <w:ind w:firstLine="0"/>
              <w:contextualSpacing w:val="0"/>
              <w:jc w:val="center"/>
              <w:rPr>
                <w:rFonts w:cs="Calibri"/>
                <w:b w:val="0"/>
                <w:color w:val="000000"/>
                <w:sz w:val="20"/>
                <w:szCs w:val="20"/>
                <w:lang w:val="en-US" w:eastAsia="en-US"/>
              </w:rPr>
            </w:pPr>
            <w:r w:rsidRPr="00E43813">
              <w:rPr>
                <w:b w:val="0"/>
                <w:color w:val="000000"/>
                <w:sz w:val="20"/>
                <w:szCs w:val="20"/>
              </w:rPr>
              <w:t>24.</w:t>
            </w:r>
            <w:r w:rsidR="005C46A4" w:rsidRPr="00E43813">
              <w:rPr>
                <w:b w:val="0"/>
                <w:color w:val="000000"/>
                <w:sz w:val="20"/>
                <w:szCs w:val="20"/>
                <w:lang w:val="en-US"/>
              </w:rPr>
              <w:t>5</w:t>
            </w:r>
            <w:r w:rsidRPr="00E43813">
              <w:rPr>
                <w:b w:val="0"/>
                <w:color w:val="000000"/>
                <w:sz w:val="20"/>
                <w:szCs w:val="20"/>
              </w:rPr>
              <w:t>%</w:t>
            </w:r>
          </w:p>
        </w:tc>
        <w:tc>
          <w:tcPr>
            <w:tcW w:w="1320" w:type="dxa"/>
            <w:tcBorders>
              <w:top w:val="nil"/>
              <w:left w:val="nil"/>
              <w:bottom w:val="single" w:sz="4" w:space="0" w:color="auto"/>
              <w:right w:val="single" w:sz="4" w:space="0" w:color="auto"/>
            </w:tcBorders>
            <w:shd w:val="clear" w:color="auto" w:fill="auto"/>
            <w:vAlign w:val="center"/>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24.5%</w:t>
            </w:r>
          </w:p>
        </w:tc>
      </w:tr>
      <w:tr w:rsidR="009A197C" w:rsidRPr="007955BB" w:rsidTr="00D178DD">
        <w:trPr>
          <w:trHeight w:val="197"/>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9A197C" w:rsidRPr="007955BB" w:rsidRDefault="009A197C" w:rsidP="00151C57">
            <w:pPr>
              <w:spacing w:before="0" w:line="276" w:lineRule="auto"/>
              <w:ind w:firstLine="0"/>
              <w:contextualSpacing w:val="0"/>
              <w:jc w:val="left"/>
              <w:rPr>
                <w:rFonts w:cs="Calibri"/>
                <w:b w:val="0"/>
                <w:color w:val="000000"/>
                <w:sz w:val="20"/>
                <w:szCs w:val="20"/>
                <w:lang w:val="en-US" w:eastAsia="en-US"/>
              </w:rPr>
            </w:pPr>
            <w:r w:rsidRPr="007955BB">
              <w:rPr>
                <w:rFonts w:cs="Calibri"/>
                <w:b w:val="0"/>
                <w:color w:val="000000"/>
                <w:sz w:val="20"/>
                <w:szCs w:val="20"/>
                <w:lang w:val="en-US" w:eastAsia="en-US"/>
              </w:rPr>
              <w:t xml:space="preserve">որից` </w:t>
            </w:r>
          </w:p>
        </w:tc>
        <w:tc>
          <w:tcPr>
            <w:tcW w:w="1319" w:type="dxa"/>
            <w:tcBorders>
              <w:top w:val="nil"/>
              <w:left w:val="nil"/>
              <w:bottom w:val="single" w:sz="4" w:space="0" w:color="auto"/>
              <w:right w:val="single" w:sz="4" w:space="0" w:color="auto"/>
            </w:tcBorders>
            <w:shd w:val="clear" w:color="auto" w:fill="auto"/>
            <w:vAlign w:val="center"/>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b w:val="0"/>
                <w:color w:val="000000"/>
                <w:sz w:val="20"/>
                <w:szCs w:val="20"/>
              </w:rPr>
              <w:t> </w:t>
            </w:r>
          </w:p>
        </w:tc>
        <w:tc>
          <w:tcPr>
            <w:tcW w:w="1320" w:type="dxa"/>
            <w:tcBorders>
              <w:top w:val="nil"/>
              <w:left w:val="nil"/>
              <w:bottom w:val="single" w:sz="4" w:space="0" w:color="auto"/>
              <w:right w:val="single" w:sz="4" w:space="0" w:color="auto"/>
            </w:tcBorders>
            <w:shd w:val="clear" w:color="auto" w:fill="auto"/>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b w:val="0"/>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b w:val="0"/>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rsidR="009A197C" w:rsidRPr="00E43813" w:rsidRDefault="009A197C" w:rsidP="00151C57">
            <w:pPr>
              <w:spacing w:before="0" w:line="276" w:lineRule="auto"/>
              <w:ind w:firstLine="0"/>
              <w:contextualSpacing w:val="0"/>
              <w:jc w:val="center"/>
              <w:rPr>
                <w:rFonts w:cs="Calibri"/>
                <w:b w:val="0"/>
                <w:color w:val="000000"/>
                <w:sz w:val="20"/>
                <w:szCs w:val="20"/>
                <w:lang w:val="en-US" w:eastAsia="en-US"/>
              </w:rPr>
            </w:pPr>
            <w:r w:rsidRPr="00E43813">
              <w:rPr>
                <w:rFonts w:ascii="Calibri" w:hAnsi="Calibri" w:cs="Calibri"/>
                <w:b w:val="0"/>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b w:val="0"/>
                <w:color w:val="000000"/>
                <w:sz w:val="20"/>
                <w:szCs w:val="20"/>
              </w:rPr>
              <w:t> </w:t>
            </w:r>
          </w:p>
        </w:tc>
      </w:tr>
      <w:tr w:rsidR="009A197C" w:rsidRPr="007955BB" w:rsidTr="00D178DD">
        <w:trPr>
          <w:trHeight w:val="206"/>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9A197C" w:rsidRPr="007955BB" w:rsidRDefault="009A197C" w:rsidP="00151C57">
            <w:pPr>
              <w:spacing w:before="0" w:line="276" w:lineRule="auto"/>
              <w:ind w:firstLine="0"/>
              <w:contextualSpacing w:val="0"/>
              <w:jc w:val="left"/>
              <w:rPr>
                <w:rFonts w:cs="Calibri"/>
                <w:b w:val="0"/>
                <w:color w:val="000000"/>
                <w:sz w:val="20"/>
                <w:szCs w:val="20"/>
                <w:lang w:val="en-US" w:eastAsia="en-US"/>
              </w:rPr>
            </w:pPr>
            <w:r w:rsidRPr="007955BB">
              <w:rPr>
                <w:rFonts w:cs="Calibri"/>
                <w:b w:val="0"/>
                <w:color w:val="000000"/>
                <w:sz w:val="20"/>
                <w:szCs w:val="20"/>
                <w:lang w:val="en-US" w:eastAsia="en-US"/>
              </w:rPr>
              <w:t xml:space="preserve">- հարկեր և պետական տուրքեր </w:t>
            </w:r>
          </w:p>
        </w:tc>
        <w:tc>
          <w:tcPr>
            <w:tcW w:w="1319" w:type="dxa"/>
            <w:tcBorders>
              <w:top w:val="nil"/>
              <w:left w:val="nil"/>
              <w:bottom w:val="single" w:sz="4" w:space="0" w:color="auto"/>
              <w:right w:val="single" w:sz="4" w:space="0" w:color="auto"/>
            </w:tcBorders>
            <w:shd w:val="clear" w:color="auto" w:fill="auto"/>
            <w:vAlign w:val="center"/>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22.</w:t>
            </w:r>
            <w:r w:rsidRPr="007955BB">
              <w:rPr>
                <w:b w:val="0"/>
                <w:color w:val="000000"/>
                <w:sz w:val="20"/>
                <w:szCs w:val="20"/>
                <w:lang w:val="en-US"/>
              </w:rPr>
              <w:t>4</w:t>
            </w:r>
            <w:r w:rsidRPr="007955BB">
              <w:rPr>
                <w:b w:val="0"/>
                <w:color w:val="000000"/>
                <w:sz w:val="20"/>
                <w:szCs w:val="20"/>
              </w:rPr>
              <w:t>%</w:t>
            </w:r>
          </w:p>
        </w:tc>
        <w:tc>
          <w:tcPr>
            <w:tcW w:w="1320" w:type="dxa"/>
            <w:tcBorders>
              <w:top w:val="nil"/>
              <w:left w:val="nil"/>
              <w:bottom w:val="single" w:sz="4" w:space="0" w:color="auto"/>
              <w:right w:val="single" w:sz="4" w:space="0" w:color="auto"/>
            </w:tcBorders>
            <w:shd w:val="clear" w:color="auto" w:fill="auto"/>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22.4%</w:t>
            </w:r>
          </w:p>
        </w:tc>
        <w:tc>
          <w:tcPr>
            <w:tcW w:w="1320" w:type="dxa"/>
            <w:tcBorders>
              <w:top w:val="nil"/>
              <w:left w:val="nil"/>
              <w:bottom w:val="single" w:sz="4" w:space="0" w:color="auto"/>
              <w:right w:val="single" w:sz="4" w:space="0" w:color="auto"/>
            </w:tcBorders>
            <w:shd w:val="clear" w:color="auto" w:fill="auto"/>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22.7%</w:t>
            </w:r>
          </w:p>
        </w:tc>
        <w:tc>
          <w:tcPr>
            <w:tcW w:w="1320" w:type="dxa"/>
            <w:tcBorders>
              <w:top w:val="nil"/>
              <w:left w:val="nil"/>
              <w:bottom w:val="single" w:sz="4" w:space="0" w:color="auto"/>
              <w:right w:val="single" w:sz="4" w:space="0" w:color="auto"/>
            </w:tcBorders>
            <w:shd w:val="clear" w:color="auto" w:fill="auto"/>
            <w:vAlign w:val="center"/>
            <w:hideMark/>
          </w:tcPr>
          <w:p w:rsidR="009A197C" w:rsidRPr="00E43813" w:rsidRDefault="009A197C" w:rsidP="00151C57">
            <w:pPr>
              <w:spacing w:before="0" w:line="276" w:lineRule="auto"/>
              <w:ind w:firstLine="0"/>
              <w:contextualSpacing w:val="0"/>
              <w:jc w:val="center"/>
              <w:rPr>
                <w:rFonts w:cs="Calibri"/>
                <w:b w:val="0"/>
                <w:color w:val="000000"/>
                <w:sz w:val="20"/>
                <w:szCs w:val="20"/>
                <w:lang w:val="en-US" w:eastAsia="en-US"/>
              </w:rPr>
            </w:pPr>
            <w:r w:rsidRPr="00E43813">
              <w:rPr>
                <w:b w:val="0"/>
                <w:color w:val="000000"/>
                <w:sz w:val="20"/>
                <w:szCs w:val="20"/>
              </w:rPr>
              <w:t>23.2%</w:t>
            </w:r>
          </w:p>
        </w:tc>
        <w:tc>
          <w:tcPr>
            <w:tcW w:w="1320" w:type="dxa"/>
            <w:tcBorders>
              <w:top w:val="nil"/>
              <w:left w:val="nil"/>
              <w:bottom w:val="single" w:sz="4" w:space="0" w:color="auto"/>
              <w:right w:val="single" w:sz="4" w:space="0" w:color="auto"/>
            </w:tcBorders>
            <w:shd w:val="clear" w:color="auto" w:fill="auto"/>
            <w:vAlign w:val="center"/>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23.7%</w:t>
            </w:r>
          </w:p>
        </w:tc>
      </w:tr>
      <w:tr w:rsidR="009A197C" w:rsidRPr="007955BB" w:rsidTr="00D178DD">
        <w:trPr>
          <w:trHeight w:val="287"/>
        </w:trPr>
        <w:tc>
          <w:tcPr>
            <w:tcW w:w="3435" w:type="dxa"/>
            <w:tcBorders>
              <w:top w:val="nil"/>
              <w:left w:val="single" w:sz="4" w:space="0" w:color="auto"/>
              <w:bottom w:val="single" w:sz="4" w:space="0" w:color="auto"/>
              <w:right w:val="single" w:sz="4" w:space="0" w:color="auto"/>
            </w:tcBorders>
            <w:shd w:val="clear" w:color="auto" w:fill="DEEAF6"/>
            <w:vAlign w:val="center"/>
            <w:hideMark/>
          </w:tcPr>
          <w:p w:rsidR="009A197C" w:rsidRPr="007955BB" w:rsidRDefault="009A197C" w:rsidP="00151C57">
            <w:pPr>
              <w:spacing w:before="0" w:line="276" w:lineRule="auto"/>
              <w:ind w:firstLine="0"/>
              <w:contextualSpacing w:val="0"/>
              <w:jc w:val="left"/>
              <w:rPr>
                <w:rFonts w:cs="Calibri"/>
                <w:b w:val="0"/>
                <w:color w:val="000000"/>
                <w:sz w:val="20"/>
                <w:szCs w:val="20"/>
                <w:lang w:val="en-US" w:eastAsia="en-US"/>
              </w:rPr>
            </w:pPr>
            <w:r w:rsidRPr="007955BB">
              <w:rPr>
                <w:rFonts w:cs="Calibri"/>
                <w:b w:val="0"/>
                <w:color w:val="000000"/>
                <w:sz w:val="20"/>
                <w:szCs w:val="20"/>
                <w:lang w:val="en-US" w:eastAsia="en-US"/>
              </w:rPr>
              <w:t>2. Ընդամենը ծախսեր</w:t>
            </w:r>
          </w:p>
        </w:tc>
        <w:tc>
          <w:tcPr>
            <w:tcW w:w="1319" w:type="dxa"/>
            <w:tcBorders>
              <w:top w:val="nil"/>
              <w:left w:val="nil"/>
              <w:bottom w:val="single" w:sz="4" w:space="0" w:color="auto"/>
              <w:right w:val="single" w:sz="4" w:space="0" w:color="auto"/>
            </w:tcBorders>
            <w:shd w:val="clear" w:color="auto" w:fill="DEEAF6"/>
            <w:vAlign w:val="center"/>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24.9%</w:t>
            </w:r>
          </w:p>
        </w:tc>
        <w:tc>
          <w:tcPr>
            <w:tcW w:w="1320" w:type="dxa"/>
            <w:tcBorders>
              <w:top w:val="nil"/>
              <w:left w:val="nil"/>
              <w:bottom w:val="single" w:sz="4" w:space="0" w:color="auto"/>
              <w:right w:val="single" w:sz="4" w:space="0" w:color="auto"/>
            </w:tcBorders>
            <w:shd w:val="clear" w:color="auto" w:fill="DEEAF6"/>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30.6%</w:t>
            </w:r>
          </w:p>
        </w:tc>
        <w:tc>
          <w:tcPr>
            <w:tcW w:w="1320" w:type="dxa"/>
            <w:tcBorders>
              <w:top w:val="nil"/>
              <w:left w:val="nil"/>
              <w:bottom w:val="single" w:sz="4" w:space="0" w:color="auto"/>
              <w:right w:val="single" w:sz="4" w:space="0" w:color="auto"/>
            </w:tcBorders>
            <w:shd w:val="clear" w:color="auto" w:fill="DEEAF6"/>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28.7%</w:t>
            </w:r>
          </w:p>
        </w:tc>
        <w:tc>
          <w:tcPr>
            <w:tcW w:w="1320" w:type="dxa"/>
            <w:tcBorders>
              <w:top w:val="nil"/>
              <w:left w:val="nil"/>
              <w:bottom w:val="single" w:sz="4" w:space="0" w:color="auto"/>
              <w:right w:val="single" w:sz="4" w:space="0" w:color="auto"/>
            </w:tcBorders>
            <w:shd w:val="clear" w:color="auto" w:fill="DEEAF6"/>
            <w:vAlign w:val="center"/>
            <w:hideMark/>
          </w:tcPr>
          <w:p w:rsidR="009A197C" w:rsidRPr="00E43813" w:rsidRDefault="009A197C" w:rsidP="00151C57">
            <w:pPr>
              <w:spacing w:before="0" w:line="276" w:lineRule="auto"/>
              <w:ind w:firstLine="0"/>
              <w:contextualSpacing w:val="0"/>
              <w:jc w:val="center"/>
              <w:rPr>
                <w:rFonts w:cs="Calibri"/>
                <w:b w:val="0"/>
                <w:color w:val="000000"/>
                <w:sz w:val="20"/>
                <w:szCs w:val="20"/>
                <w:lang w:val="en-US" w:eastAsia="en-US"/>
              </w:rPr>
            </w:pPr>
            <w:r w:rsidRPr="00E43813">
              <w:rPr>
                <w:color w:val="000000"/>
                <w:sz w:val="20"/>
                <w:szCs w:val="20"/>
              </w:rPr>
              <w:t>27.1%</w:t>
            </w:r>
          </w:p>
        </w:tc>
        <w:tc>
          <w:tcPr>
            <w:tcW w:w="1320" w:type="dxa"/>
            <w:tcBorders>
              <w:top w:val="nil"/>
              <w:left w:val="nil"/>
              <w:bottom w:val="single" w:sz="4" w:space="0" w:color="auto"/>
              <w:right w:val="single" w:sz="4" w:space="0" w:color="auto"/>
            </w:tcBorders>
            <w:shd w:val="clear" w:color="auto" w:fill="DEEAF6"/>
            <w:vAlign w:val="center"/>
          </w:tcPr>
          <w:p w:rsidR="009A197C" w:rsidRPr="003303CD" w:rsidRDefault="009A197C" w:rsidP="00151C57">
            <w:pPr>
              <w:spacing w:before="0" w:line="276" w:lineRule="auto"/>
              <w:ind w:firstLine="0"/>
              <w:contextualSpacing w:val="0"/>
              <w:jc w:val="center"/>
              <w:rPr>
                <w:rFonts w:cs="Calibri"/>
                <w:b w:val="0"/>
                <w:color w:val="000000"/>
                <w:sz w:val="20"/>
                <w:szCs w:val="20"/>
                <w:highlight w:val="yellow"/>
                <w:lang w:val="en-US" w:eastAsia="en-US"/>
              </w:rPr>
            </w:pPr>
            <w:r w:rsidRPr="008177DF">
              <w:rPr>
                <w:color w:val="000000"/>
                <w:sz w:val="20"/>
                <w:szCs w:val="20"/>
              </w:rPr>
              <w:t>27.8%</w:t>
            </w:r>
          </w:p>
        </w:tc>
      </w:tr>
      <w:tr w:rsidR="009A197C" w:rsidRPr="007955BB" w:rsidTr="00151C57">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9A197C" w:rsidRPr="007955BB" w:rsidRDefault="009A197C" w:rsidP="00151C57">
            <w:pPr>
              <w:spacing w:before="0" w:line="276" w:lineRule="auto"/>
              <w:ind w:firstLine="0"/>
              <w:contextualSpacing w:val="0"/>
              <w:jc w:val="left"/>
              <w:rPr>
                <w:rFonts w:cs="Calibri"/>
                <w:b w:val="0"/>
                <w:color w:val="000000"/>
                <w:sz w:val="20"/>
                <w:szCs w:val="20"/>
                <w:lang w:val="en-US" w:eastAsia="en-US"/>
              </w:rPr>
            </w:pPr>
            <w:r w:rsidRPr="007955BB">
              <w:rPr>
                <w:rFonts w:cs="Calibri"/>
                <w:b w:val="0"/>
                <w:color w:val="000000"/>
                <w:sz w:val="20"/>
                <w:szCs w:val="20"/>
                <w:lang w:val="en-US" w:eastAsia="en-US"/>
              </w:rPr>
              <w:t>այդ թվում`</w:t>
            </w:r>
          </w:p>
        </w:tc>
        <w:tc>
          <w:tcPr>
            <w:tcW w:w="1319" w:type="dxa"/>
            <w:tcBorders>
              <w:top w:val="nil"/>
              <w:left w:val="nil"/>
              <w:bottom w:val="single" w:sz="4" w:space="0" w:color="auto"/>
              <w:right w:val="single" w:sz="4" w:space="0" w:color="auto"/>
            </w:tcBorders>
            <w:shd w:val="clear" w:color="auto" w:fill="auto"/>
            <w:vAlign w:val="center"/>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auto" w:fill="auto"/>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auto" w:fill="auto"/>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auto" w:fill="auto"/>
            <w:vAlign w:val="center"/>
            <w:hideMark/>
          </w:tcPr>
          <w:p w:rsidR="009A197C" w:rsidRPr="00E43813" w:rsidRDefault="009A197C" w:rsidP="00151C57">
            <w:pPr>
              <w:spacing w:before="0" w:line="276" w:lineRule="auto"/>
              <w:ind w:firstLine="0"/>
              <w:contextualSpacing w:val="0"/>
              <w:jc w:val="center"/>
              <w:rPr>
                <w:rFonts w:cs="Calibri"/>
                <w:b w:val="0"/>
                <w:color w:val="000000"/>
                <w:sz w:val="20"/>
                <w:szCs w:val="20"/>
                <w:lang w:val="en-US" w:eastAsia="en-US"/>
              </w:rPr>
            </w:pPr>
            <w:r w:rsidRPr="00E43813">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auto" w:fill="auto"/>
            <w:vAlign w:val="center"/>
          </w:tcPr>
          <w:p w:rsidR="009A197C" w:rsidRPr="005C46A4" w:rsidRDefault="009A197C" w:rsidP="00151C57">
            <w:pPr>
              <w:spacing w:before="0" w:line="276" w:lineRule="auto"/>
              <w:ind w:firstLine="0"/>
              <w:contextualSpacing w:val="0"/>
              <w:jc w:val="center"/>
              <w:rPr>
                <w:rFonts w:cs="Calibri"/>
                <w:b w:val="0"/>
                <w:color w:val="000000"/>
                <w:sz w:val="20"/>
                <w:szCs w:val="20"/>
                <w:lang w:val="en-US" w:eastAsia="en-US"/>
              </w:rPr>
            </w:pPr>
            <w:r w:rsidRPr="005C46A4">
              <w:rPr>
                <w:rFonts w:ascii="Calibri" w:hAnsi="Calibri" w:cs="Calibri"/>
                <w:color w:val="000000"/>
                <w:sz w:val="20"/>
                <w:szCs w:val="20"/>
              </w:rPr>
              <w:t> </w:t>
            </w:r>
          </w:p>
        </w:tc>
      </w:tr>
      <w:tr w:rsidR="009A197C" w:rsidRPr="007955BB" w:rsidTr="00D178DD">
        <w:trPr>
          <w:trHeight w:val="269"/>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9A197C" w:rsidRPr="007955BB" w:rsidRDefault="009A197C" w:rsidP="00151C57">
            <w:pPr>
              <w:spacing w:before="0" w:line="276" w:lineRule="auto"/>
              <w:ind w:firstLine="0"/>
              <w:contextualSpacing w:val="0"/>
              <w:jc w:val="left"/>
              <w:rPr>
                <w:rFonts w:cs="Calibri"/>
                <w:b w:val="0"/>
                <w:color w:val="000000"/>
                <w:sz w:val="20"/>
                <w:szCs w:val="20"/>
                <w:lang w:val="en-US" w:eastAsia="en-US"/>
              </w:rPr>
            </w:pPr>
            <w:r w:rsidRPr="007955BB">
              <w:rPr>
                <w:rFonts w:cs="Calibri"/>
                <w:b w:val="0"/>
                <w:color w:val="000000"/>
                <w:sz w:val="20"/>
                <w:szCs w:val="20"/>
                <w:lang w:val="en-US" w:eastAsia="en-US"/>
              </w:rPr>
              <w:t>- ընթացիկ ծախսեր</w:t>
            </w:r>
          </w:p>
        </w:tc>
        <w:tc>
          <w:tcPr>
            <w:tcW w:w="1319" w:type="dxa"/>
            <w:tcBorders>
              <w:top w:val="nil"/>
              <w:left w:val="nil"/>
              <w:bottom w:val="single" w:sz="4" w:space="0" w:color="auto"/>
              <w:right w:val="single" w:sz="4" w:space="0" w:color="auto"/>
            </w:tcBorders>
            <w:shd w:val="clear" w:color="auto" w:fill="auto"/>
            <w:vAlign w:val="center"/>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22.0%</w:t>
            </w:r>
          </w:p>
        </w:tc>
        <w:tc>
          <w:tcPr>
            <w:tcW w:w="1320" w:type="dxa"/>
            <w:tcBorders>
              <w:top w:val="nil"/>
              <w:left w:val="nil"/>
              <w:bottom w:val="single" w:sz="4" w:space="0" w:color="auto"/>
              <w:right w:val="single" w:sz="4" w:space="0" w:color="auto"/>
            </w:tcBorders>
            <w:shd w:val="clear" w:color="auto" w:fill="auto"/>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27.0%</w:t>
            </w:r>
          </w:p>
        </w:tc>
        <w:tc>
          <w:tcPr>
            <w:tcW w:w="1320" w:type="dxa"/>
            <w:tcBorders>
              <w:top w:val="nil"/>
              <w:left w:val="nil"/>
              <w:bottom w:val="single" w:sz="4" w:space="0" w:color="auto"/>
              <w:right w:val="single" w:sz="4" w:space="0" w:color="auto"/>
            </w:tcBorders>
            <w:shd w:val="clear" w:color="auto" w:fill="auto"/>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25.6%</w:t>
            </w:r>
          </w:p>
        </w:tc>
        <w:tc>
          <w:tcPr>
            <w:tcW w:w="1320" w:type="dxa"/>
            <w:tcBorders>
              <w:top w:val="nil"/>
              <w:left w:val="nil"/>
              <w:bottom w:val="single" w:sz="4" w:space="0" w:color="auto"/>
              <w:right w:val="single" w:sz="4" w:space="0" w:color="auto"/>
            </w:tcBorders>
            <w:shd w:val="clear" w:color="auto" w:fill="auto"/>
            <w:vAlign w:val="center"/>
            <w:hideMark/>
          </w:tcPr>
          <w:p w:rsidR="009A197C" w:rsidRPr="00E43813" w:rsidRDefault="009A197C" w:rsidP="00151C57">
            <w:pPr>
              <w:spacing w:before="0" w:line="276" w:lineRule="auto"/>
              <w:ind w:firstLine="0"/>
              <w:contextualSpacing w:val="0"/>
              <w:jc w:val="center"/>
              <w:rPr>
                <w:rFonts w:cs="Calibri"/>
                <w:b w:val="0"/>
                <w:color w:val="000000"/>
                <w:sz w:val="20"/>
                <w:szCs w:val="20"/>
                <w:lang w:val="en-US" w:eastAsia="en-US"/>
              </w:rPr>
            </w:pPr>
            <w:r w:rsidRPr="00E43813">
              <w:rPr>
                <w:b w:val="0"/>
                <w:color w:val="000000"/>
                <w:sz w:val="20"/>
                <w:szCs w:val="20"/>
              </w:rPr>
              <w:t>22.4%</w:t>
            </w:r>
          </w:p>
        </w:tc>
        <w:tc>
          <w:tcPr>
            <w:tcW w:w="1320" w:type="dxa"/>
            <w:tcBorders>
              <w:top w:val="nil"/>
              <w:left w:val="nil"/>
              <w:bottom w:val="single" w:sz="4" w:space="0" w:color="auto"/>
              <w:right w:val="single" w:sz="4" w:space="0" w:color="auto"/>
            </w:tcBorders>
            <w:shd w:val="clear" w:color="auto" w:fill="auto"/>
            <w:vAlign w:val="center"/>
          </w:tcPr>
          <w:p w:rsidR="009A197C" w:rsidRPr="003303CD" w:rsidRDefault="009A197C" w:rsidP="00151C57">
            <w:pPr>
              <w:spacing w:before="0" w:line="276" w:lineRule="auto"/>
              <w:ind w:firstLine="0"/>
              <w:contextualSpacing w:val="0"/>
              <w:jc w:val="center"/>
              <w:rPr>
                <w:rFonts w:cs="Calibri"/>
                <w:b w:val="0"/>
                <w:color w:val="000000"/>
                <w:sz w:val="20"/>
                <w:szCs w:val="20"/>
                <w:highlight w:val="yellow"/>
                <w:lang w:val="en-US" w:eastAsia="en-US"/>
              </w:rPr>
            </w:pPr>
            <w:r w:rsidRPr="00C56AE5">
              <w:rPr>
                <w:b w:val="0"/>
                <w:color w:val="000000"/>
                <w:sz w:val="20"/>
                <w:szCs w:val="20"/>
              </w:rPr>
              <w:t>21.</w:t>
            </w:r>
            <w:r w:rsidRPr="00C56AE5">
              <w:rPr>
                <w:b w:val="0"/>
                <w:color w:val="000000"/>
                <w:sz w:val="20"/>
                <w:szCs w:val="20"/>
                <w:lang w:val="en-US"/>
              </w:rPr>
              <w:t>9</w:t>
            </w:r>
            <w:r w:rsidRPr="00C56AE5">
              <w:rPr>
                <w:b w:val="0"/>
                <w:color w:val="000000"/>
                <w:sz w:val="20"/>
                <w:szCs w:val="20"/>
              </w:rPr>
              <w:t>%</w:t>
            </w:r>
          </w:p>
        </w:tc>
      </w:tr>
      <w:tr w:rsidR="009A197C" w:rsidRPr="007955BB" w:rsidTr="00151C57">
        <w:trPr>
          <w:trHeight w:val="629"/>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9A197C" w:rsidRPr="007955BB" w:rsidRDefault="009A197C" w:rsidP="00151C57">
            <w:pPr>
              <w:spacing w:before="0" w:line="276" w:lineRule="auto"/>
              <w:ind w:firstLine="0"/>
              <w:contextualSpacing w:val="0"/>
              <w:jc w:val="left"/>
              <w:rPr>
                <w:rFonts w:cs="Calibri"/>
                <w:b w:val="0"/>
                <w:color w:val="000000"/>
                <w:sz w:val="20"/>
                <w:szCs w:val="20"/>
                <w:lang w:eastAsia="en-US"/>
              </w:rPr>
            </w:pP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ոչ</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ֆինանսական</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ակտիվների</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հետ</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գործառնություններ</w:t>
            </w:r>
          </w:p>
        </w:tc>
        <w:tc>
          <w:tcPr>
            <w:tcW w:w="1319" w:type="dxa"/>
            <w:tcBorders>
              <w:top w:val="nil"/>
              <w:left w:val="nil"/>
              <w:bottom w:val="single" w:sz="4" w:space="0" w:color="auto"/>
              <w:right w:val="single" w:sz="4" w:space="0" w:color="auto"/>
            </w:tcBorders>
            <w:shd w:val="clear" w:color="auto" w:fill="auto"/>
            <w:vAlign w:val="center"/>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2.9%</w:t>
            </w:r>
          </w:p>
        </w:tc>
        <w:tc>
          <w:tcPr>
            <w:tcW w:w="1320" w:type="dxa"/>
            <w:tcBorders>
              <w:top w:val="nil"/>
              <w:left w:val="nil"/>
              <w:bottom w:val="single" w:sz="4" w:space="0" w:color="auto"/>
              <w:right w:val="single" w:sz="4" w:space="0" w:color="auto"/>
            </w:tcBorders>
            <w:shd w:val="clear" w:color="auto" w:fill="auto"/>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3.7%</w:t>
            </w:r>
          </w:p>
        </w:tc>
        <w:tc>
          <w:tcPr>
            <w:tcW w:w="1320" w:type="dxa"/>
            <w:tcBorders>
              <w:top w:val="nil"/>
              <w:left w:val="nil"/>
              <w:bottom w:val="single" w:sz="4" w:space="0" w:color="auto"/>
              <w:right w:val="single" w:sz="4" w:space="0" w:color="auto"/>
            </w:tcBorders>
            <w:shd w:val="clear" w:color="auto" w:fill="auto"/>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b w:val="0"/>
                <w:color w:val="000000"/>
                <w:sz w:val="20"/>
                <w:szCs w:val="20"/>
              </w:rPr>
              <w:t>3.1%</w:t>
            </w:r>
          </w:p>
        </w:tc>
        <w:tc>
          <w:tcPr>
            <w:tcW w:w="1320" w:type="dxa"/>
            <w:tcBorders>
              <w:top w:val="nil"/>
              <w:left w:val="nil"/>
              <w:bottom w:val="single" w:sz="4" w:space="0" w:color="auto"/>
              <w:right w:val="single" w:sz="4" w:space="0" w:color="auto"/>
            </w:tcBorders>
            <w:shd w:val="clear" w:color="auto" w:fill="auto"/>
            <w:vAlign w:val="center"/>
            <w:hideMark/>
          </w:tcPr>
          <w:p w:rsidR="009A197C" w:rsidRPr="00E43813" w:rsidRDefault="009A197C" w:rsidP="00151C57">
            <w:pPr>
              <w:spacing w:before="0" w:line="276" w:lineRule="auto"/>
              <w:ind w:firstLine="0"/>
              <w:contextualSpacing w:val="0"/>
              <w:jc w:val="center"/>
              <w:rPr>
                <w:rFonts w:cs="Calibri"/>
                <w:b w:val="0"/>
                <w:color w:val="000000"/>
                <w:sz w:val="20"/>
                <w:szCs w:val="20"/>
                <w:lang w:val="en-US" w:eastAsia="en-US"/>
              </w:rPr>
            </w:pPr>
            <w:r w:rsidRPr="00E43813">
              <w:rPr>
                <w:b w:val="0"/>
                <w:color w:val="000000"/>
                <w:sz w:val="20"/>
                <w:szCs w:val="20"/>
              </w:rPr>
              <w:t>4.7%</w:t>
            </w:r>
          </w:p>
        </w:tc>
        <w:tc>
          <w:tcPr>
            <w:tcW w:w="1320" w:type="dxa"/>
            <w:tcBorders>
              <w:top w:val="nil"/>
              <w:left w:val="nil"/>
              <w:bottom w:val="single" w:sz="4" w:space="0" w:color="auto"/>
              <w:right w:val="single" w:sz="4" w:space="0" w:color="auto"/>
            </w:tcBorders>
            <w:shd w:val="clear" w:color="auto" w:fill="auto"/>
            <w:vAlign w:val="center"/>
          </w:tcPr>
          <w:p w:rsidR="009A197C" w:rsidRPr="003303CD" w:rsidRDefault="009A197C" w:rsidP="00151C57">
            <w:pPr>
              <w:spacing w:before="0" w:line="276" w:lineRule="auto"/>
              <w:ind w:firstLine="0"/>
              <w:contextualSpacing w:val="0"/>
              <w:jc w:val="center"/>
              <w:rPr>
                <w:rFonts w:cs="Calibri"/>
                <w:b w:val="0"/>
                <w:color w:val="000000"/>
                <w:sz w:val="20"/>
                <w:szCs w:val="20"/>
                <w:highlight w:val="yellow"/>
                <w:lang w:val="en-US" w:eastAsia="en-US"/>
              </w:rPr>
            </w:pPr>
            <w:r w:rsidRPr="00C56AE5">
              <w:rPr>
                <w:b w:val="0"/>
                <w:color w:val="000000"/>
                <w:sz w:val="20"/>
                <w:szCs w:val="20"/>
              </w:rPr>
              <w:t>5.9%</w:t>
            </w:r>
          </w:p>
        </w:tc>
      </w:tr>
      <w:tr w:rsidR="009A197C" w:rsidRPr="007955BB" w:rsidTr="00D178DD">
        <w:trPr>
          <w:trHeight w:val="70"/>
        </w:trPr>
        <w:tc>
          <w:tcPr>
            <w:tcW w:w="3435" w:type="dxa"/>
            <w:tcBorders>
              <w:top w:val="nil"/>
              <w:left w:val="single" w:sz="4" w:space="0" w:color="auto"/>
              <w:bottom w:val="single" w:sz="4" w:space="0" w:color="auto"/>
              <w:right w:val="single" w:sz="4" w:space="0" w:color="auto"/>
            </w:tcBorders>
            <w:shd w:val="clear" w:color="auto" w:fill="DEEAF6"/>
            <w:vAlign w:val="center"/>
            <w:hideMark/>
          </w:tcPr>
          <w:p w:rsidR="009A197C" w:rsidRPr="007955BB" w:rsidRDefault="009A197C" w:rsidP="00151C57">
            <w:pPr>
              <w:spacing w:before="0" w:line="276" w:lineRule="auto"/>
              <w:ind w:firstLine="0"/>
              <w:contextualSpacing w:val="0"/>
              <w:jc w:val="left"/>
              <w:rPr>
                <w:rFonts w:cs="Calibri"/>
                <w:b w:val="0"/>
                <w:color w:val="000000"/>
                <w:sz w:val="20"/>
                <w:szCs w:val="20"/>
                <w:lang w:val="en-US" w:eastAsia="en-US"/>
              </w:rPr>
            </w:pPr>
            <w:r w:rsidRPr="007955BB">
              <w:rPr>
                <w:rFonts w:cs="Calibri"/>
                <w:b w:val="0"/>
                <w:color w:val="000000"/>
                <w:sz w:val="20"/>
                <w:szCs w:val="20"/>
                <w:lang w:val="en-US" w:eastAsia="en-US"/>
              </w:rPr>
              <w:t>3. Դեֆիցիտ (պակասուրդ)</w:t>
            </w:r>
          </w:p>
        </w:tc>
        <w:tc>
          <w:tcPr>
            <w:tcW w:w="1319" w:type="dxa"/>
            <w:tcBorders>
              <w:top w:val="nil"/>
              <w:left w:val="nil"/>
              <w:bottom w:val="single" w:sz="4" w:space="0" w:color="auto"/>
              <w:right w:val="single" w:sz="4" w:space="0" w:color="auto"/>
            </w:tcBorders>
            <w:shd w:val="clear" w:color="auto" w:fill="DEEAF6"/>
            <w:vAlign w:val="center"/>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1.0%</w:t>
            </w:r>
          </w:p>
        </w:tc>
        <w:tc>
          <w:tcPr>
            <w:tcW w:w="1320" w:type="dxa"/>
            <w:tcBorders>
              <w:top w:val="nil"/>
              <w:left w:val="nil"/>
              <w:bottom w:val="single" w:sz="4" w:space="0" w:color="auto"/>
              <w:right w:val="single" w:sz="4" w:space="0" w:color="auto"/>
            </w:tcBorders>
            <w:shd w:val="clear" w:color="auto" w:fill="DEEAF6"/>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5.4%</w:t>
            </w:r>
          </w:p>
        </w:tc>
        <w:tc>
          <w:tcPr>
            <w:tcW w:w="1320" w:type="dxa"/>
            <w:tcBorders>
              <w:top w:val="nil"/>
              <w:left w:val="nil"/>
              <w:bottom w:val="single" w:sz="4" w:space="0" w:color="auto"/>
              <w:right w:val="single" w:sz="4" w:space="0" w:color="auto"/>
            </w:tcBorders>
            <w:shd w:val="clear" w:color="auto" w:fill="DEEAF6"/>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4.6%</w:t>
            </w:r>
          </w:p>
        </w:tc>
        <w:tc>
          <w:tcPr>
            <w:tcW w:w="1320" w:type="dxa"/>
            <w:tcBorders>
              <w:top w:val="nil"/>
              <w:left w:val="nil"/>
              <w:bottom w:val="single" w:sz="4" w:space="0" w:color="auto"/>
              <w:right w:val="single" w:sz="4" w:space="0" w:color="auto"/>
            </w:tcBorders>
            <w:shd w:val="clear" w:color="auto" w:fill="DEEAF6"/>
            <w:vAlign w:val="center"/>
            <w:hideMark/>
          </w:tcPr>
          <w:p w:rsidR="009A197C" w:rsidRPr="00E43813" w:rsidRDefault="009A197C" w:rsidP="00151C57">
            <w:pPr>
              <w:spacing w:before="0" w:line="276" w:lineRule="auto"/>
              <w:ind w:firstLine="0"/>
              <w:contextualSpacing w:val="0"/>
              <w:jc w:val="center"/>
              <w:rPr>
                <w:rFonts w:cs="Calibri"/>
                <w:b w:val="0"/>
                <w:color w:val="000000"/>
                <w:sz w:val="20"/>
                <w:szCs w:val="20"/>
                <w:lang w:val="en-US" w:eastAsia="en-US"/>
              </w:rPr>
            </w:pPr>
            <w:r w:rsidRPr="00E43813">
              <w:rPr>
                <w:color w:val="000000"/>
                <w:sz w:val="20"/>
                <w:szCs w:val="20"/>
              </w:rPr>
              <w:t>2.5%</w:t>
            </w:r>
          </w:p>
        </w:tc>
        <w:tc>
          <w:tcPr>
            <w:tcW w:w="1320" w:type="dxa"/>
            <w:tcBorders>
              <w:top w:val="nil"/>
              <w:left w:val="nil"/>
              <w:bottom w:val="single" w:sz="4" w:space="0" w:color="auto"/>
              <w:right w:val="single" w:sz="4" w:space="0" w:color="auto"/>
            </w:tcBorders>
            <w:shd w:val="clear" w:color="auto" w:fill="DEEAF6"/>
            <w:vAlign w:val="center"/>
          </w:tcPr>
          <w:p w:rsidR="009A197C" w:rsidRPr="003303CD" w:rsidRDefault="009A197C" w:rsidP="00151C57">
            <w:pPr>
              <w:spacing w:before="0" w:line="276" w:lineRule="auto"/>
              <w:ind w:firstLine="0"/>
              <w:contextualSpacing w:val="0"/>
              <w:jc w:val="center"/>
              <w:rPr>
                <w:rFonts w:cs="Calibri"/>
                <w:b w:val="0"/>
                <w:color w:val="000000"/>
                <w:sz w:val="20"/>
                <w:szCs w:val="20"/>
                <w:highlight w:val="yellow"/>
                <w:lang w:val="en-US" w:eastAsia="en-US"/>
              </w:rPr>
            </w:pPr>
            <w:r w:rsidRPr="0033213A">
              <w:rPr>
                <w:color w:val="000000"/>
                <w:sz w:val="20"/>
                <w:szCs w:val="20"/>
              </w:rPr>
              <w:t>3.1%</w:t>
            </w:r>
          </w:p>
        </w:tc>
      </w:tr>
      <w:tr w:rsidR="009A197C" w:rsidRPr="007955BB" w:rsidTr="00151C57">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9A197C" w:rsidRPr="007955BB" w:rsidRDefault="009A197C" w:rsidP="00151C57">
            <w:pPr>
              <w:spacing w:before="0" w:line="276" w:lineRule="auto"/>
              <w:ind w:firstLine="0"/>
              <w:contextualSpacing w:val="0"/>
              <w:jc w:val="left"/>
              <w:rPr>
                <w:rFonts w:cs="Calibri"/>
                <w:b w:val="0"/>
                <w:color w:val="000000"/>
                <w:sz w:val="20"/>
                <w:szCs w:val="20"/>
                <w:lang w:val="en-US" w:eastAsia="en-US"/>
              </w:rPr>
            </w:pPr>
            <w:r w:rsidRPr="007955BB">
              <w:rPr>
                <w:rFonts w:cs="Calibri"/>
                <w:b w:val="0"/>
                <w:color w:val="000000"/>
                <w:sz w:val="20"/>
                <w:szCs w:val="20"/>
                <w:lang w:val="en-US" w:eastAsia="en-US"/>
              </w:rPr>
              <w:t>Անվանական ՀՆԱ (մլրդ դրամ)</w:t>
            </w:r>
          </w:p>
        </w:tc>
        <w:tc>
          <w:tcPr>
            <w:tcW w:w="1319" w:type="dxa"/>
            <w:tcBorders>
              <w:top w:val="nil"/>
              <w:left w:val="nil"/>
              <w:bottom w:val="single" w:sz="4" w:space="0" w:color="auto"/>
              <w:right w:val="single" w:sz="4" w:space="0" w:color="auto"/>
            </w:tcBorders>
            <w:shd w:val="clear" w:color="auto" w:fill="auto"/>
            <w:noWrap/>
            <w:vAlign w:val="center"/>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6,543</w:t>
            </w:r>
            <w:r w:rsidRPr="007955BB">
              <w:rPr>
                <w:color w:val="000000"/>
                <w:sz w:val="20"/>
                <w:szCs w:val="20"/>
                <w:lang w:val="en-US"/>
              </w:rPr>
              <w:t>.3</w:t>
            </w:r>
          </w:p>
        </w:tc>
        <w:tc>
          <w:tcPr>
            <w:tcW w:w="1320" w:type="dxa"/>
            <w:tcBorders>
              <w:top w:val="nil"/>
              <w:left w:val="nil"/>
              <w:bottom w:val="single" w:sz="4" w:space="0" w:color="auto"/>
              <w:right w:val="single" w:sz="4" w:space="0" w:color="auto"/>
            </w:tcBorders>
            <w:shd w:val="clear" w:color="auto" w:fill="auto"/>
            <w:noWrap/>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6,181.9</w:t>
            </w:r>
          </w:p>
        </w:tc>
        <w:tc>
          <w:tcPr>
            <w:tcW w:w="1320" w:type="dxa"/>
            <w:tcBorders>
              <w:top w:val="nil"/>
              <w:left w:val="nil"/>
              <w:bottom w:val="single" w:sz="4" w:space="0" w:color="auto"/>
              <w:right w:val="single" w:sz="4" w:space="0" w:color="auto"/>
            </w:tcBorders>
            <w:shd w:val="clear" w:color="auto" w:fill="auto"/>
            <w:noWrap/>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color w:val="000000"/>
                <w:sz w:val="20"/>
                <w:szCs w:val="20"/>
              </w:rPr>
              <w:t>6,983.0</w:t>
            </w:r>
          </w:p>
        </w:tc>
        <w:tc>
          <w:tcPr>
            <w:tcW w:w="1320" w:type="dxa"/>
            <w:tcBorders>
              <w:top w:val="nil"/>
              <w:left w:val="nil"/>
              <w:bottom w:val="single" w:sz="4" w:space="0" w:color="auto"/>
              <w:right w:val="single" w:sz="4" w:space="0" w:color="auto"/>
            </w:tcBorders>
            <w:shd w:val="clear" w:color="auto" w:fill="auto"/>
            <w:noWrap/>
            <w:vAlign w:val="center"/>
            <w:hideMark/>
          </w:tcPr>
          <w:p w:rsidR="009A197C" w:rsidRPr="005C46A4" w:rsidRDefault="009A197C" w:rsidP="00151C57">
            <w:pPr>
              <w:spacing w:before="0" w:line="276" w:lineRule="auto"/>
              <w:ind w:firstLine="0"/>
              <w:contextualSpacing w:val="0"/>
              <w:jc w:val="center"/>
              <w:rPr>
                <w:rFonts w:cs="Calibri"/>
                <w:b w:val="0"/>
                <w:color w:val="000000"/>
                <w:sz w:val="20"/>
                <w:szCs w:val="20"/>
                <w:lang w:val="en-US" w:eastAsia="en-US"/>
              </w:rPr>
            </w:pPr>
            <w:r w:rsidRPr="005C46A4">
              <w:rPr>
                <w:color w:val="000000"/>
                <w:sz w:val="20"/>
                <w:szCs w:val="20"/>
              </w:rPr>
              <w:t>8,293.7</w:t>
            </w:r>
          </w:p>
        </w:tc>
        <w:tc>
          <w:tcPr>
            <w:tcW w:w="1320" w:type="dxa"/>
            <w:tcBorders>
              <w:top w:val="nil"/>
              <w:left w:val="nil"/>
              <w:bottom w:val="single" w:sz="4" w:space="0" w:color="auto"/>
              <w:right w:val="single" w:sz="4" w:space="0" w:color="auto"/>
            </w:tcBorders>
            <w:shd w:val="clear" w:color="auto" w:fill="auto"/>
            <w:noWrap/>
            <w:vAlign w:val="center"/>
          </w:tcPr>
          <w:p w:rsidR="009A197C" w:rsidRPr="005C46A4" w:rsidRDefault="009A197C" w:rsidP="00151C57">
            <w:pPr>
              <w:spacing w:before="0" w:line="276" w:lineRule="auto"/>
              <w:ind w:firstLine="0"/>
              <w:contextualSpacing w:val="0"/>
              <w:jc w:val="center"/>
              <w:rPr>
                <w:rFonts w:cs="Calibri"/>
                <w:b w:val="0"/>
                <w:color w:val="000000"/>
                <w:sz w:val="20"/>
                <w:szCs w:val="20"/>
                <w:lang w:val="en-US" w:eastAsia="en-US"/>
              </w:rPr>
            </w:pPr>
            <w:r w:rsidRPr="005C46A4">
              <w:rPr>
                <w:color w:val="000000"/>
                <w:sz w:val="20"/>
                <w:szCs w:val="20"/>
              </w:rPr>
              <w:t>9,317.9</w:t>
            </w:r>
          </w:p>
        </w:tc>
      </w:tr>
      <w:bookmarkEnd w:id="217"/>
    </w:tbl>
    <w:p w:rsidR="009A197C" w:rsidRPr="007955BB" w:rsidRDefault="009A197C" w:rsidP="009A197C">
      <w:pPr>
        <w:spacing w:before="0" w:line="276" w:lineRule="auto"/>
        <w:ind w:firstLine="538"/>
        <w:rPr>
          <w:rFonts w:eastAsia="Calibri"/>
          <w:b w:val="0"/>
          <w:szCs w:val="22"/>
          <w:lang w:val="hy-AM" w:eastAsia="en-US"/>
        </w:rPr>
      </w:pPr>
    </w:p>
    <w:p w:rsidR="00027FBF" w:rsidRPr="00D178DD" w:rsidRDefault="009A197C" w:rsidP="00D178DD">
      <w:pPr>
        <w:spacing w:before="0" w:line="276" w:lineRule="auto"/>
        <w:ind w:firstLine="538"/>
        <w:rPr>
          <w:rFonts w:eastAsia="Calibri"/>
          <w:b w:val="0"/>
          <w:szCs w:val="22"/>
          <w:lang w:val="hy-AM" w:eastAsia="en-US"/>
        </w:rPr>
      </w:pPr>
      <w:r w:rsidRPr="007955BB">
        <w:rPr>
          <w:rFonts w:eastAsia="Calibri"/>
          <w:b w:val="0"/>
          <w:szCs w:val="22"/>
          <w:lang w:val="hy-AM" w:eastAsia="en-US"/>
        </w:rPr>
        <w:t>Հիմք ընդունելով ՀՆԱ-ի 24.7 %-ի չափով կանխատեսված ՀՀ 2023 թվականի պե</w:t>
      </w:r>
      <w:r w:rsidRPr="007955BB">
        <w:rPr>
          <w:rFonts w:eastAsia="Calibri"/>
          <w:b w:val="0"/>
          <w:szCs w:val="22"/>
          <w:lang w:val="hy-AM" w:eastAsia="en-US"/>
        </w:rPr>
        <w:softHyphen/>
        <w:t>տա</w:t>
      </w:r>
      <w:r w:rsidRPr="007955BB">
        <w:rPr>
          <w:rFonts w:eastAsia="Calibri"/>
          <w:b w:val="0"/>
          <w:szCs w:val="22"/>
          <w:lang w:val="hy-AM" w:eastAsia="en-US"/>
        </w:rPr>
        <w:softHyphen/>
        <w:t>կան բյու</w:t>
      </w:r>
      <w:r w:rsidRPr="007955BB">
        <w:rPr>
          <w:rFonts w:eastAsia="Calibri"/>
          <w:b w:val="0"/>
          <w:szCs w:val="22"/>
          <w:lang w:val="hy-AM" w:eastAsia="en-US"/>
        </w:rPr>
        <w:softHyphen/>
        <w:t>ջեի եկամուտների մակարդակը և ելնելով ՀՆԱ-</w:t>
      </w:r>
      <w:r w:rsidRPr="00BF0380">
        <w:rPr>
          <w:rFonts w:eastAsia="Calibri"/>
          <w:b w:val="0"/>
          <w:szCs w:val="22"/>
          <w:lang w:val="hy-AM" w:eastAsia="en-US"/>
        </w:rPr>
        <w:t>ի 3.1 %-ի</w:t>
      </w:r>
      <w:r w:rsidRPr="007955BB">
        <w:rPr>
          <w:rFonts w:eastAsia="Calibri"/>
          <w:b w:val="0"/>
          <w:szCs w:val="22"/>
          <w:lang w:val="hy-AM" w:eastAsia="en-US"/>
        </w:rPr>
        <w:t xml:space="preserve"> չափով դեֆի</w:t>
      </w:r>
      <w:r w:rsidRPr="007955BB">
        <w:rPr>
          <w:rFonts w:eastAsia="Calibri"/>
          <w:b w:val="0"/>
          <w:szCs w:val="22"/>
          <w:lang w:val="hy-AM" w:eastAsia="en-US"/>
        </w:rPr>
        <w:softHyphen/>
        <w:t>ցի</w:t>
      </w:r>
      <w:r w:rsidRPr="007955BB">
        <w:rPr>
          <w:rFonts w:eastAsia="Calibri"/>
          <w:b w:val="0"/>
          <w:szCs w:val="22"/>
          <w:lang w:val="hy-AM" w:eastAsia="en-US"/>
        </w:rPr>
        <w:softHyphen/>
        <w:t>տի ֆինան</w:t>
      </w:r>
      <w:r w:rsidRPr="007955BB">
        <w:rPr>
          <w:rFonts w:eastAsia="Calibri"/>
          <w:b w:val="0"/>
          <w:szCs w:val="22"/>
          <w:lang w:val="hy-AM" w:eastAsia="en-US"/>
        </w:rPr>
        <w:softHyphen/>
        <w:t>սա</w:t>
      </w:r>
      <w:r w:rsidRPr="007955BB">
        <w:rPr>
          <w:rFonts w:eastAsia="Calibri"/>
          <w:b w:val="0"/>
          <w:szCs w:val="22"/>
          <w:lang w:val="hy-AM" w:eastAsia="en-US"/>
        </w:rPr>
        <w:softHyphen/>
        <w:t>վոր</w:t>
      </w:r>
      <w:r w:rsidRPr="007955BB">
        <w:rPr>
          <w:rFonts w:eastAsia="Calibri"/>
          <w:b w:val="0"/>
          <w:szCs w:val="22"/>
          <w:lang w:val="hy-AM" w:eastAsia="en-US"/>
        </w:rPr>
        <w:softHyphen/>
        <w:t>ման հնարավորություններից, ՀՀ կառավարությունը ծրագրում է 2023 թվա</w:t>
      </w:r>
      <w:r w:rsidRPr="007955BB">
        <w:rPr>
          <w:rFonts w:eastAsia="Calibri"/>
          <w:b w:val="0"/>
          <w:szCs w:val="22"/>
          <w:lang w:val="hy-AM" w:eastAsia="en-US"/>
        </w:rPr>
        <w:softHyphen/>
        <w:t>կանին ապահովել ծախսերը ՀՆԱ-</w:t>
      </w:r>
      <w:r w:rsidRPr="00C56AE5">
        <w:rPr>
          <w:rFonts w:eastAsia="Calibri"/>
          <w:b w:val="0"/>
          <w:szCs w:val="22"/>
          <w:lang w:val="hy-AM" w:eastAsia="en-US"/>
        </w:rPr>
        <w:t>ի 27.8 %-ի կամ</w:t>
      </w:r>
      <w:r w:rsidR="00C56AE5" w:rsidRPr="00C56AE5">
        <w:rPr>
          <w:rFonts w:eastAsia="Calibri"/>
          <w:b w:val="0"/>
          <w:szCs w:val="22"/>
          <w:lang w:val="hy-AM" w:eastAsia="en-US"/>
        </w:rPr>
        <w:t xml:space="preserve"> 2,591</w:t>
      </w:r>
      <w:r w:rsidRPr="00C56AE5">
        <w:rPr>
          <w:rFonts w:eastAsia="Calibri"/>
          <w:b w:val="0"/>
          <w:szCs w:val="22"/>
          <w:lang w:val="hy-AM" w:eastAsia="en-US"/>
        </w:rPr>
        <w:t>.</w:t>
      </w:r>
      <w:r w:rsidR="00C56AE5" w:rsidRPr="00C56AE5">
        <w:rPr>
          <w:rFonts w:eastAsia="Calibri"/>
          <w:b w:val="0"/>
          <w:szCs w:val="22"/>
          <w:lang w:val="hy-AM" w:eastAsia="en-US"/>
        </w:rPr>
        <w:t>0</w:t>
      </w:r>
      <w:r w:rsidRPr="00C56AE5">
        <w:rPr>
          <w:rFonts w:eastAsia="Calibri"/>
          <w:b w:val="0"/>
          <w:szCs w:val="22"/>
          <w:lang w:val="hy-AM" w:eastAsia="en-US"/>
        </w:rPr>
        <w:t xml:space="preserve"> մլրդ</w:t>
      </w:r>
      <w:r w:rsidRPr="007955BB">
        <w:rPr>
          <w:rFonts w:eastAsia="Calibri"/>
          <w:b w:val="0"/>
          <w:szCs w:val="22"/>
          <w:lang w:val="hy-AM" w:eastAsia="en-US"/>
        </w:rPr>
        <w:t xml:space="preserve"> դրամի չափով:</w:t>
      </w:r>
    </w:p>
    <w:p w:rsidR="00D379EC" w:rsidRPr="007955BB" w:rsidRDefault="00D379EC" w:rsidP="00A30EDC">
      <w:pPr>
        <w:pStyle w:val="Heading1"/>
        <w:rPr>
          <w:lang w:val="hy-AM"/>
        </w:rPr>
      </w:pPr>
      <w:bookmarkStart w:id="218" w:name="_Toc120805206"/>
      <w:r w:rsidRPr="007955BB">
        <w:rPr>
          <w:lang w:val="hy-AM"/>
        </w:rPr>
        <w:t>ՄԱՍ II – Բ.</w:t>
      </w:r>
      <w:r w:rsidR="00311F2E" w:rsidRPr="007955BB">
        <w:rPr>
          <w:lang w:val="hy-AM"/>
        </w:rPr>
        <w:t xml:space="preserve"> </w:t>
      </w:r>
      <w:r w:rsidRPr="007955BB">
        <w:rPr>
          <w:lang w:val="hy-AM"/>
        </w:rPr>
        <w:t>ՀԱՐԿԱԲՅՈՒՋԵՏԱՅԻՆ ՑՈՒՑԱՆԻՇՆԵՐԻ ԿԱՆԽԱՏԵՍՈՒՄ</w:t>
      </w:r>
      <w:bookmarkEnd w:id="218"/>
    </w:p>
    <w:p w:rsidR="009A197C" w:rsidRPr="007955BB" w:rsidRDefault="009A197C" w:rsidP="009A197C">
      <w:pPr>
        <w:spacing w:before="0" w:line="276" w:lineRule="auto"/>
        <w:ind w:firstLine="538"/>
        <w:rPr>
          <w:rFonts w:eastAsia="Calibri"/>
          <w:b w:val="0"/>
          <w:szCs w:val="22"/>
          <w:lang w:val="hy-AM" w:eastAsia="en-US"/>
        </w:rPr>
      </w:pPr>
      <w:bookmarkStart w:id="219" w:name="_Toc525773067"/>
      <w:bookmarkStart w:id="220" w:name="_Toc20590407"/>
      <w:r w:rsidRPr="007955BB">
        <w:rPr>
          <w:rFonts w:eastAsia="Calibri"/>
          <w:b w:val="0"/>
          <w:szCs w:val="22"/>
          <w:lang w:val="hy-AM" w:eastAsia="en-US"/>
        </w:rPr>
        <w:t>ՀՀ 2023 թվականի պետական բյուջեի նախագծով նախատեսված բյուջետային եկա</w:t>
      </w:r>
      <w:r w:rsidRPr="007955BB">
        <w:rPr>
          <w:rFonts w:eastAsia="Calibri"/>
          <w:b w:val="0"/>
          <w:szCs w:val="22"/>
          <w:lang w:val="hy-AM" w:eastAsia="en-US"/>
        </w:rPr>
        <w:softHyphen/>
        <w:t>մուտների կազմում, ինչպես և նախորդ տարիներին, գերակշիռ մաս են կազմում հար</w:t>
      </w:r>
      <w:r w:rsidRPr="007955BB">
        <w:rPr>
          <w:rFonts w:eastAsia="Calibri"/>
          <w:b w:val="0"/>
          <w:szCs w:val="22"/>
          <w:lang w:val="hy-AM" w:eastAsia="en-US"/>
        </w:rPr>
        <w:softHyphen/>
        <w:t>կային եկամուտների և պետական տուրքերի գծով ակնկալվող մուտքերը, ինչը ներկայացված է գծապատկերում:</w:t>
      </w:r>
    </w:p>
    <w:p w:rsidR="009A197C" w:rsidRPr="007955BB" w:rsidRDefault="009A197C" w:rsidP="009A197C">
      <w:pPr>
        <w:spacing w:before="0" w:line="276" w:lineRule="auto"/>
        <w:ind w:firstLine="538"/>
        <w:rPr>
          <w:rFonts w:eastAsia="Calibri"/>
          <w:b w:val="0"/>
          <w:szCs w:val="22"/>
          <w:lang w:val="hy-AM" w:eastAsia="en-US"/>
        </w:rPr>
      </w:pPr>
      <w:bookmarkStart w:id="221" w:name="_Ref497897119"/>
      <w:bookmarkStart w:id="222" w:name="_Toc525773080"/>
      <w:r w:rsidRPr="007955BB">
        <w:rPr>
          <w:rFonts w:eastAsia="Calibri"/>
          <w:b w:val="0"/>
          <w:szCs w:val="22"/>
          <w:lang w:val="hy-AM" w:eastAsia="en-US"/>
        </w:rPr>
        <w:t xml:space="preserve"> </w:t>
      </w:r>
      <w:bookmarkStart w:id="223" w:name="_Toc530250447"/>
      <w:r w:rsidRPr="007955BB">
        <w:rPr>
          <w:rFonts w:eastAsia="Calibri"/>
          <w:b w:val="0"/>
          <w:szCs w:val="22"/>
          <w:lang w:val="hy-AM" w:eastAsia="en-US"/>
        </w:rPr>
        <w:t>ՀՀ 2023 թվականի պետական բյուջեի նախագծով նախատեսված բյուջետային եկամուտների կառուցվածքը (%-ով ընդհանուրի նկատմամբ)</w:t>
      </w:r>
      <w:bookmarkEnd w:id="221"/>
      <w:bookmarkEnd w:id="222"/>
      <w:bookmarkEnd w:id="223"/>
      <w:r w:rsidRPr="007955BB">
        <w:rPr>
          <w:rFonts w:eastAsia="Calibri"/>
          <w:b w:val="0"/>
          <w:szCs w:val="22"/>
          <w:lang w:val="hy-AM" w:eastAsia="en-US"/>
        </w:rPr>
        <w:tab/>
      </w:r>
    </w:p>
    <w:p w:rsidR="009A197C" w:rsidRPr="007955BB" w:rsidRDefault="009A197C" w:rsidP="009A197C">
      <w:pPr>
        <w:spacing w:before="0" w:line="276" w:lineRule="auto"/>
        <w:ind w:firstLine="538"/>
        <w:rPr>
          <w:rFonts w:eastAsia="Calibri"/>
          <w:b w:val="0"/>
          <w:szCs w:val="22"/>
          <w:lang w:val="hy-AM" w:eastAsia="en-US"/>
        </w:rPr>
      </w:pPr>
    </w:p>
    <w:p w:rsidR="009A197C" w:rsidRPr="007955BB" w:rsidRDefault="009A197C" w:rsidP="009A197C">
      <w:pPr>
        <w:spacing w:before="0" w:line="276" w:lineRule="auto"/>
        <w:ind w:firstLine="538"/>
        <w:rPr>
          <w:rFonts w:eastAsia="Calibri"/>
          <w:b w:val="0"/>
          <w:szCs w:val="22"/>
          <w:lang w:val="hy-AM" w:eastAsia="en-US"/>
        </w:rPr>
      </w:pPr>
      <w:r w:rsidRPr="007955BB">
        <w:rPr>
          <w:rFonts w:eastAsia="Calibri"/>
          <w:b w:val="0"/>
          <w:noProof/>
          <w:szCs w:val="22"/>
          <w:lang w:val="en-US" w:eastAsia="en-US"/>
        </w:rPr>
        <w:drawing>
          <wp:inline distT="0" distB="0" distL="0" distR="0" wp14:anchorId="7A1DB6C5" wp14:editId="60F9A078">
            <wp:extent cx="5157989" cy="2311758"/>
            <wp:effectExtent l="0" t="0" r="5080" b="127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A197C" w:rsidRPr="007955BB" w:rsidRDefault="009A197C" w:rsidP="009A197C">
      <w:pPr>
        <w:spacing w:before="0" w:line="276" w:lineRule="auto"/>
        <w:ind w:firstLine="538"/>
        <w:rPr>
          <w:rFonts w:eastAsia="Calibri"/>
          <w:b w:val="0"/>
          <w:szCs w:val="22"/>
          <w:lang w:val="hy-AM" w:eastAsia="en-US"/>
        </w:rPr>
      </w:pPr>
    </w:p>
    <w:p w:rsidR="009A197C" w:rsidRPr="007955BB" w:rsidRDefault="009A197C" w:rsidP="009A197C">
      <w:pPr>
        <w:spacing w:before="0" w:line="276" w:lineRule="auto"/>
        <w:ind w:firstLine="538"/>
        <w:rPr>
          <w:rFonts w:eastAsia="Calibri"/>
          <w:b w:val="0"/>
          <w:szCs w:val="22"/>
          <w:lang w:val="hy-AM" w:eastAsia="en-US"/>
        </w:rPr>
      </w:pPr>
      <w:r w:rsidRPr="007955BB">
        <w:rPr>
          <w:rFonts w:eastAsia="Calibri"/>
          <w:b w:val="0"/>
          <w:szCs w:val="22"/>
          <w:lang w:val="hy-AM" w:eastAsia="en-US"/>
        </w:rPr>
        <w:t xml:space="preserve">ՀՀ 2023 թվականի պետական բյուջեի նախագծով </w:t>
      </w:r>
      <w:r w:rsidRPr="008177DF">
        <w:rPr>
          <w:rFonts w:eastAsia="Calibri"/>
          <w:b w:val="0"/>
          <w:szCs w:val="22"/>
          <w:lang w:val="hy-AM" w:eastAsia="en-US"/>
        </w:rPr>
        <w:t>նախատեսվել է 2,30</w:t>
      </w:r>
      <w:r w:rsidR="008177DF" w:rsidRPr="008177DF">
        <w:rPr>
          <w:rFonts w:eastAsia="Calibri"/>
          <w:b w:val="0"/>
          <w:szCs w:val="22"/>
          <w:lang w:val="hy-AM" w:eastAsia="en-US"/>
        </w:rPr>
        <w:t>2</w:t>
      </w:r>
      <w:r w:rsidRPr="008177DF">
        <w:rPr>
          <w:rFonts w:eastAsia="Calibri"/>
          <w:b w:val="0"/>
          <w:szCs w:val="22"/>
          <w:lang w:val="hy-AM" w:eastAsia="en-US"/>
        </w:rPr>
        <w:t>.0 մլրդ դրամ եկա</w:t>
      </w:r>
      <w:r w:rsidRPr="008177DF">
        <w:rPr>
          <w:rFonts w:eastAsia="Calibri"/>
          <w:b w:val="0"/>
          <w:szCs w:val="22"/>
          <w:lang w:val="hy-AM" w:eastAsia="en-US"/>
        </w:rPr>
        <w:softHyphen/>
        <w:t>մուտ</w:t>
      </w:r>
      <w:r w:rsidRPr="008177DF">
        <w:rPr>
          <w:rFonts w:eastAsia="Calibri"/>
          <w:b w:val="0"/>
          <w:szCs w:val="22"/>
          <w:lang w:val="hy-AM" w:eastAsia="en-US"/>
        </w:rPr>
        <w:softHyphen/>
      </w:r>
      <w:r w:rsidRPr="008177DF">
        <w:rPr>
          <w:rFonts w:eastAsia="Calibri"/>
          <w:b w:val="0"/>
          <w:szCs w:val="22"/>
          <w:lang w:val="hy-AM" w:eastAsia="en-US"/>
        </w:rPr>
        <w:softHyphen/>
        <w:t>ներ, որից հարկային եկամուտների և պետական տուրքերի գծով` 2,203.7 մլրդ դրամ:</w:t>
      </w:r>
      <w:r w:rsidRPr="008177DF">
        <w:rPr>
          <w:rFonts w:ascii="Calibri" w:eastAsia="Calibri" w:hAnsi="Calibri" w:cs="Calibri"/>
          <w:b w:val="0"/>
          <w:szCs w:val="22"/>
          <w:lang w:val="hy-AM" w:eastAsia="en-US"/>
        </w:rPr>
        <w:t> </w:t>
      </w:r>
      <w:r w:rsidRPr="008177DF">
        <w:rPr>
          <w:rFonts w:eastAsia="Calibri"/>
          <w:b w:val="0"/>
          <w:szCs w:val="22"/>
          <w:lang w:val="hy-AM" w:eastAsia="en-US"/>
        </w:rPr>
        <w:t>Բյուջետային եկամուտների` ըստ առանձին եկամտատեսակների կանխա</w:t>
      </w:r>
      <w:r w:rsidRPr="008177DF">
        <w:rPr>
          <w:rFonts w:eastAsia="Calibri"/>
          <w:b w:val="0"/>
          <w:szCs w:val="22"/>
          <w:lang w:val="hy-AM" w:eastAsia="en-US"/>
        </w:rPr>
        <w:softHyphen/>
        <w:t>տե</w:t>
      </w:r>
      <w:r w:rsidRPr="008177DF">
        <w:rPr>
          <w:rFonts w:eastAsia="Calibri"/>
          <w:b w:val="0"/>
          <w:szCs w:val="22"/>
          <w:lang w:val="hy-AM" w:eastAsia="en-US"/>
        </w:rPr>
        <w:softHyphen/>
        <w:t>սում</w:t>
      </w:r>
      <w:r w:rsidRPr="008177DF">
        <w:rPr>
          <w:rFonts w:eastAsia="Calibri"/>
          <w:b w:val="0"/>
          <w:szCs w:val="22"/>
          <w:lang w:val="hy-AM" w:eastAsia="en-US"/>
        </w:rPr>
        <w:softHyphen/>
        <w:t>ների ման</w:t>
      </w:r>
      <w:r w:rsidRPr="008177DF">
        <w:rPr>
          <w:rFonts w:eastAsia="Calibri"/>
          <w:b w:val="0"/>
          <w:szCs w:val="22"/>
          <w:lang w:val="hy-AM" w:eastAsia="en-US"/>
        </w:rPr>
        <w:softHyphen/>
      </w:r>
      <w:r w:rsidRPr="008177DF">
        <w:rPr>
          <w:rFonts w:eastAsia="Calibri"/>
          <w:b w:val="0"/>
          <w:szCs w:val="22"/>
          <w:lang w:val="hy-AM" w:eastAsia="en-US"/>
        </w:rPr>
        <w:softHyphen/>
        <w:t>րամասները ներկայացված են «Հայաստանի Հանրապետության 2023 թվականի պե</w:t>
      </w:r>
      <w:r w:rsidRPr="008177DF">
        <w:rPr>
          <w:rFonts w:eastAsia="Calibri"/>
          <w:b w:val="0"/>
          <w:szCs w:val="22"/>
          <w:lang w:val="hy-AM" w:eastAsia="en-US"/>
        </w:rPr>
        <w:softHyphen/>
        <w:t>տա</w:t>
      </w:r>
      <w:r w:rsidRPr="008177DF">
        <w:rPr>
          <w:rFonts w:eastAsia="Calibri"/>
          <w:b w:val="0"/>
          <w:szCs w:val="22"/>
          <w:lang w:val="hy-AM" w:eastAsia="en-US"/>
        </w:rPr>
        <w:softHyphen/>
      </w:r>
      <w:r w:rsidRPr="008177DF">
        <w:rPr>
          <w:rFonts w:eastAsia="Calibri"/>
          <w:b w:val="0"/>
          <w:szCs w:val="22"/>
          <w:lang w:val="hy-AM" w:eastAsia="en-US"/>
        </w:rPr>
        <w:softHyphen/>
        <w:t xml:space="preserve">կան բյուջեի մասին» ՀՀ օրենքի նախագծի բացատրագրի` եկամուտների </w:t>
      </w:r>
      <w:r w:rsidRPr="007955BB">
        <w:rPr>
          <w:rFonts w:eastAsia="Calibri"/>
          <w:b w:val="0"/>
          <w:szCs w:val="22"/>
          <w:lang w:val="hy-AM" w:eastAsia="en-US"/>
        </w:rPr>
        <w:t>կան</w:t>
      </w:r>
      <w:r w:rsidRPr="007955BB">
        <w:rPr>
          <w:rFonts w:eastAsia="Calibri"/>
          <w:b w:val="0"/>
          <w:szCs w:val="22"/>
          <w:lang w:val="hy-AM" w:eastAsia="en-US"/>
        </w:rPr>
        <w:softHyphen/>
        <w:t>խա</w:t>
      </w:r>
      <w:r w:rsidRPr="007955BB">
        <w:rPr>
          <w:rFonts w:eastAsia="Calibri"/>
          <w:b w:val="0"/>
          <w:szCs w:val="22"/>
          <w:lang w:val="hy-AM" w:eastAsia="en-US"/>
        </w:rPr>
        <w:softHyphen/>
        <w:t>տես</w:t>
      </w:r>
      <w:r w:rsidRPr="007955BB">
        <w:rPr>
          <w:rFonts w:eastAsia="Calibri"/>
          <w:b w:val="0"/>
          <w:szCs w:val="22"/>
          <w:lang w:val="hy-AM" w:eastAsia="en-US"/>
        </w:rPr>
        <w:softHyphen/>
        <w:t>մանը վերաբերվող մասում (սույն ուղերձի մաս 3):</w:t>
      </w:r>
    </w:p>
    <w:p w:rsidR="006777A1" w:rsidRPr="007955BB" w:rsidRDefault="006777A1" w:rsidP="006777A1">
      <w:pPr>
        <w:spacing w:before="0" w:line="276" w:lineRule="auto"/>
        <w:ind w:firstLine="538"/>
        <w:rPr>
          <w:rFonts w:eastAsia="Calibri"/>
          <w:b w:val="0"/>
          <w:szCs w:val="22"/>
          <w:lang w:val="hy-AM" w:eastAsia="en-US"/>
        </w:rPr>
      </w:pPr>
    </w:p>
    <w:p w:rsidR="006777A1" w:rsidRPr="007955BB" w:rsidRDefault="006777A1" w:rsidP="006777A1">
      <w:pPr>
        <w:keepNext/>
        <w:spacing w:before="0" w:line="276" w:lineRule="auto"/>
        <w:jc w:val="center"/>
        <w:outlineLvl w:val="1"/>
        <w:rPr>
          <w:rFonts w:eastAsia="Calibri" w:cs="Times LatArm"/>
          <w:sz w:val="24"/>
          <w:lang w:val="hy-AM" w:eastAsia="en-US"/>
        </w:rPr>
      </w:pPr>
      <w:r w:rsidRPr="007955BB">
        <w:rPr>
          <w:rFonts w:eastAsia="Calibri" w:cs="Times LatArm"/>
          <w:sz w:val="24"/>
          <w:lang w:val="hy-AM" w:eastAsia="en-US"/>
        </w:rPr>
        <w:t xml:space="preserve">     </w:t>
      </w:r>
      <w:bookmarkStart w:id="224" w:name="_Toc89254348"/>
      <w:bookmarkStart w:id="225" w:name="_Toc89428300"/>
      <w:bookmarkStart w:id="226" w:name="_Toc120805207"/>
      <w:r w:rsidRPr="007955BB">
        <w:rPr>
          <w:rFonts w:eastAsia="Calibri" w:cs="Times LatArm"/>
          <w:sz w:val="24"/>
          <w:lang w:val="hy-AM" w:eastAsia="en-US"/>
        </w:rPr>
        <w:t>2023 ԹՎԱԿԱՆԻ ԾԱԽՍԵՐԻ ՄԱԿԱՐԴԱԿԸ ԵՎ ԳԵՐԱԿԱՅՈՒԹՅՈՒՆՆԵՐԸ</w:t>
      </w:r>
      <w:bookmarkEnd w:id="224"/>
      <w:bookmarkEnd w:id="225"/>
      <w:bookmarkEnd w:id="226"/>
    </w:p>
    <w:p w:rsidR="009A197C" w:rsidRPr="007955BB" w:rsidRDefault="009A197C" w:rsidP="009A197C">
      <w:pPr>
        <w:spacing w:before="0" w:line="276" w:lineRule="auto"/>
        <w:ind w:firstLine="720"/>
        <w:rPr>
          <w:rFonts w:eastAsia="Calibri"/>
          <w:b w:val="0"/>
          <w:szCs w:val="22"/>
          <w:lang w:val="hy-AM" w:eastAsia="en-US"/>
        </w:rPr>
      </w:pPr>
      <w:bookmarkStart w:id="227" w:name="_Toc48835701"/>
      <w:r w:rsidRPr="007955BB">
        <w:rPr>
          <w:rFonts w:eastAsia="Calibri"/>
          <w:b w:val="0"/>
          <w:szCs w:val="22"/>
          <w:lang w:val="hy-AM" w:eastAsia="en-US"/>
        </w:rPr>
        <w:t>Հաշվի առնելով ՀՀ 2023 թվականի պետական բյուջեի եկամուտների կանխատեսվող մակարդակը և դեֆիցիտի ու պետական պարտքի նպատակային ցուցանիշները, որոնք ներկա</w:t>
      </w:r>
      <w:r w:rsidRPr="007955BB">
        <w:rPr>
          <w:rFonts w:eastAsia="Calibri"/>
          <w:b w:val="0"/>
          <w:szCs w:val="22"/>
          <w:lang w:val="hy-AM" w:eastAsia="en-US"/>
        </w:rPr>
        <w:softHyphen/>
        <w:t>յացվում են հաջորդ բաժնում, ՀՀ կառավարությունը ՀՀ</w:t>
      </w:r>
      <w:r>
        <w:rPr>
          <w:rFonts w:eastAsia="Calibri"/>
          <w:b w:val="0"/>
          <w:szCs w:val="22"/>
          <w:lang w:val="hy-AM" w:eastAsia="en-US"/>
        </w:rPr>
        <w:t xml:space="preserve"> 2023</w:t>
      </w:r>
      <w:r w:rsidRPr="007955BB">
        <w:rPr>
          <w:rFonts w:eastAsia="Calibri"/>
          <w:b w:val="0"/>
          <w:szCs w:val="22"/>
          <w:lang w:val="hy-AM" w:eastAsia="en-US"/>
        </w:rPr>
        <w:t xml:space="preserve"> թվականի պետական բյուջեի ծախսերի ծավալը առաջարկում է </w:t>
      </w:r>
      <w:r w:rsidRPr="008177DF">
        <w:rPr>
          <w:rFonts w:eastAsia="Calibri"/>
          <w:b w:val="0"/>
          <w:szCs w:val="22"/>
          <w:lang w:val="hy-AM" w:eastAsia="en-US"/>
        </w:rPr>
        <w:t>սահմանել 2,59</w:t>
      </w:r>
      <w:r w:rsidR="008177DF" w:rsidRPr="008177DF">
        <w:rPr>
          <w:rFonts w:eastAsia="Calibri"/>
          <w:b w:val="0"/>
          <w:szCs w:val="22"/>
          <w:lang w:val="hy-AM" w:eastAsia="en-US"/>
        </w:rPr>
        <w:t>1</w:t>
      </w:r>
      <w:r w:rsidRPr="008177DF">
        <w:rPr>
          <w:rFonts w:eastAsia="Calibri"/>
          <w:b w:val="0"/>
          <w:szCs w:val="22"/>
          <w:lang w:val="hy-AM" w:eastAsia="en-US"/>
        </w:rPr>
        <w:t>.</w:t>
      </w:r>
      <w:r w:rsidR="008177DF" w:rsidRPr="008177DF">
        <w:rPr>
          <w:rFonts w:eastAsia="Calibri"/>
          <w:b w:val="0"/>
          <w:szCs w:val="22"/>
          <w:lang w:val="hy-AM" w:eastAsia="en-US"/>
        </w:rPr>
        <w:t>0</w:t>
      </w:r>
      <w:r w:rsidRPr="008177DF">
        <w:rPr>
          <w:rFonts w:eastAsia="Calibri"/>
          <w:b w:val="0"/>
          <w:szCs w:val="22"/>
          <w:lang w:val="hy-AM" w:eastAsia="en-US"/>
        </w:rPr>
        <w:t xml:space="preserve"> մլրդ</w:t>
      </w:r>
      <w:r w:rsidRPr="007955BB">
        <w:rPr>
          <w:rFonts w:eastAsia="Calibri"/>
          <w:b w:val="0"/>
          <w:szCs w:val="22"/>
          <w:lang w:val="hy-AM" w:eastAsia="en-US"/>
        </w:rPr>
        <w:t xml:space="preserve"> դրամի չափով:</w:t>
      </w:r>
    </w:p>
    <w:p w:rsidR="009A197C" w:rsidRPr="007955BB" w:rsidRDefault="009A197C" w:rsidP="009A197C">
      <w:pPr>
        <w:spacing w:before="0" w:line="276" w:lineRule="auto"/>
        <w:ind w:firstLine="720"/>
        <w:rPr>
          <w:rFonts w:eastAsia="Calibri"/>
          <w:b w:val="0"/>
          <w:szCs w:val="22"/>
          <w:lang w:val="hy-AM" w:eastAsia="en-US"/>
        </w:rPr>
      </w:pPr>
      <w:r w:rsidRPr="007955BB">
        <w:rPr>
          <w:rFonts w:eastAsia="Calibri"/>
          <w:b w:val="0"/>
          <w:szCs w:val="22"/>
          <w:lang w:val="hy-AM" w:eastAsia="en-US"/>
        </w:rPr>
        <w:t>ՀՀ կա</w:t>
      </w:r>
      <w:r w:rsidRPr="007955BB">
        <w:rPr>
          <w:rFonts w:eastAsia="Calibri"/>
          <w:b w:val="0"/>
          <w:szCs w:val="22"/>
          <w:lang w:val="hy-AM" w:eastAsia="en-US"/>
        </w:rPr>
        <w:softHyphen/>
        <w:t>ռա</w:t>
      </w:r>
      <w:r w:rsidRPr="007955BB">
        <w:rPr>
          <w:rFonts w:eastAsia="Calibri"/>
          <w:b w:val="0"/>
          <w:szCs w:val="22"/>
          <w:lang w:val="hy-AM" w:eastAsia="en-US"/>
        </w:rPr>
        <w:softHyphen/>
        <w:t>վա</w:t>
      </w:r>
      <w:r w:rsidRPr="007955BB">
        <w:rPr>
          <w:rFonts w:eastAsia="Calibri"/>
          <w:b w:val="0"/>
          <w:szCs w:val="22"/>
          <w:lang w:val="hy-AM" w:eastAsia="en-US"/>
        </w:rPr>
        <w:softHyphen/>
        <w:t>րու</w:t>
      </w:r>
      <w:r w:rsidRPr="007955BB">
        <w:rPr>
          <w:rFonts w:eastAsia="Calibri"/>
          <w:b w:val="0"/>
          <w:szCs w:val="22"/>
          <w:lang w:val="hy-AM" w:eastAsia="en-US"/>
        </w:rPr>
        <w:softHyphen/>
        <w:t>թ</w:t>
      </w:r>
      <w:r w:rsidRPr="007955BB">
        <w:rPr>
          <w:rFonts w:eastAsia="Calibri"/>
          <w:b w:val="0"/>
          <w:szCs w:val="22"/>
          <w:lang w:val="hy-AM" w:eastAsia="en-US"/>
        </w:rPr>
        <w:softHyphen/>
        <w:t>յան 2023 թվականի ծախ</w:t>
      </w:r>
      <w:r w:rsidRPr="007955BB">
        <w:rPr>
          <w:rFonts w:eastAsia="Calibri"/>
          <w:b w:val="0"/>
          <w:szCs w:val="22"/>
          <w:lang w:val="hy-AM" w:eastAsia="en-US"/>
        </w:rPr>
        <w:softHyphen/>
        <w:t>սային գերա</w:t>
      </w:r>
      <w:r w:rsidRPr="007955BB">
        <w:rPr>
          <w:rFonts w:eastAsia="Calibri"/>
          <w:b w:val="0"/>
          <w:szCs w:val="22"/>
          <w:lang w:val="hy-AM" w:eastAsia="en-US"/>
        </w:rPr>
        <w:softHyphen/>
        <w:t>կա</w:t>
      </w:r>
      <w:r w:rsidRPr="007955BB">
        <w:rPr>
          <w:rFonts w:eastAsia="Calibri"/>
          <w:b w:val="0"/>
          <w:szCs w:val="22"/>
          <w:lang w:val="hy-AM" w:eastAsia="en-US"/>
        </w:rPr>
        <w:softHyphen/>
        <w:t>յու</w:t>
      </w:r>
      <w:r w:rsidRPr="007955BB">
        <w:rPr>
          <w:rFonts w:eastAsia="Calibri"/>
          <w:b w:val="0"/>
          <w:szCs w:val="22"/>
          <w:lang w:val="hy-AM" w:eastAsia="en-US"/>
        </w:rPr>
        <w:softHyphen/>
        <w:t>թ</w:t>
      </w:r>
      <w:r w:rsidRPr="007955BB">
        <w:rPr>
          <w:rFonts w:eastAsia="Calibri"/>
          <w:b w:val="0"/>
          <w:szCs w:val="22"/>
          <w:lang w:val="hy-AM" w:eastAsia="en-US"/>
        </w:rPr>
        <w:softHyphen/>
        <w:t>յուն</w:t>
      </w:r>
      <w:r w:rsidRPr="007955BB">
        <w:rPr>
          <w:rFonts w:eastAsia="Calibri"/>
          <w:b w:val="0"/>
          <w:szCs w:val="22"/>
          <w:lang w:val="hy-AM" w:eastAsia="en-US"/>
        </w:rPr>
        <w:softHyphen/>
        <w:t>ները բխում են ՀՀ կառավարության 2021 թվականի օգոստոսի 18-ի թիվ 1363-Ա որոշմամբ հաստատված ՀՀ կառավարության 2021-2026թթ. ծրագրի առաջնահերթություններից:</w:t>
      </w:r>
    </w:p>
    <w:p w:rsidR="006777A1" w:rsidRPr="007955BB" w:rsidRDefault="006777A1" w:rsidP="006777A1">
      <w:pPr>
        <w:spacing w:before="0" w:line="276" w:lineRule="auto"/>
        <w:ind w:firstLine="720"/>
        <w:rPr>
          <w:rFonts w:eastAsia="Calibri"/>
          <w:b w:val="0"/>
          <w:szCs w:val="22"/>
          <w:lang w:val="hy-AM" w:eastAsia="en-US"/>
        </w:rPr>
      </w:pPr>
    </w:p>
    <w:p w:rsidR="006777A1" w:rsidRPr="007955BB" w:rsidRDefault="006777A1" w:rsidP="006777A1">
      <w:pPr>
        <w:keepNext/>
        <w:spacing w:before="0" w:line="276" w:lineRule="auto"/>
        <w:jc w:val="center"/>
        <w:outlineLvl w:val="1"/>
        <w:rPr>
          <w:rFonts w:eastAsia="Calibri" w:cs="Times LatArm"/>
          <w:sz w:val="24"/>
          <w:lang w:val="es-ES" w:eastAsia="en-US"/>
        </w:rPr>
      </w:pPr>
      <w:bookmarkStart w:id="228" w:name="_Toc89254349"/>
      <w:bookmarkStart w:id="229" w:name="_Toc89428301"/>
      <w:bookmarkStart w:id="230" w:name="_Toc120805208"/>
      <w:r w:rsidRPr="007955BB">
        <w:rPr>
          <w:rFonts w:eastAsia="Calibri" w:cs="Times LatArm"/>
          <w:sz w:val="24"/>
          <w:lang w:val="hy-AM" w:eastAsia="en-US"/>
        </w:rPr>
        <w:t>ՊԵՏԱԿԱՆ</w:t>
      </w:r>
      <w:r w:rsidRPr="007955BB">
        <w:rPr>
          <w:rFonts w:eastAsia="Calibri" w:cs="Times LatArm"/>
          <w:sz w:val="24"/>
          <w:lang w:val="es-ES" w:eastAsia="en-US"/>
        </w:rPr>
        <w:t xml:space="preserve"> </w:t>
      </w:r>
      <w:r w:rsidRPr="007955BB">
        <w:rPr>
          <w:rFonts w:eastAsia="Calibri" w:cs="Times LatArm"/>
          <w:sz w:val="24"/>
          <w:lang w:val="hy-AM" w:eastAsia="en-US"/>
        </w:rPr>
        <w:t>ԲՅՈՒՋԵԻ</w:t>
      </w:r>
      <w:r w:rsidRPr="007955BB">
        <w:rPr>
          <w:rFonts w:eastAsia="Calibri" w:cs="Times LatArm"/>
          <w:sz w:val="24"/>
          <w:lang w:val="es-ES" w:eastAsia="en-US"/>
        </w:rPr>
        <w:t xml:space="preserve"> </w:t>
      </w:r>
      <w:r w:rsidRPr="007955BB">
        <w:rPr>
          <w:rFonts w:eastAsia="Calibri" w:cs="Times LatArm"/>
          <w:sz w:val="24"/>
          <w:lang w:val="hy-AM" w:eastAsia="en-US"/>
        </w:rPr>
        <w:t>ԴԵՖԻՑԻՏԻ</w:t>
      </w:r>
      <w:r w:rsidRPr="007955BB">
        <w:rPr>
          <w:rFonts w:eastAsia="Calibri" w:cs="Times LatArm"/>
          <w:sz w:val="24"/>
          <w:lang w:val="es-ES" w:eastAsia="en-US"/>
        </w:rPr>
        <w:t xml:space="preserve"> (</w:t>
      </w:r>
      <w:r w:rsidRPr="007955BB">
        <w:rPr>
          <w:rFonts w:eastAsia="Calibri" w:cs="Times LatArm"/>
          <w:sz w:val="24"/>
          <w:lang w:val="hy-AM" w:eastAsia="en-US"/>
        </w:rPr>
        <w:t>ՊԱԿԱՍՈՒՐԴԻ</w:t>
      </w:r>
      <w:r w:rsidRPr="007955BB">
        <w:rPr>
          <w:rFonts w:eastAsia="Calibri" w:cs="Times LatArm"/>
          <w:sz w:val="24"/>
          <w:lang w:val="es-ES" w:eastAsia="en-US"/>
        </w:rPr>
        <w:t xml:space="preserve">) </w:t>
      </w:r>
      <w:r w:rsidRPr="007955BB">
        <w:rPr>
          <w:rFonts w:eastAsia="Calibri" w:cs="Times LatArm"/>
          <w:sz w:val="24"/>
          <w:lang w:val="hy-AM" w:eastAsia="en-US"/>
        </w:rPr>
        <w:t>ԵՎ</w:t>
      </w:r>
      <w:r w:rsidRPr="007955BB">
        <w:rPr>
          <w:rFonts w:eastAsia="Calibri" w:cs="Times LatArm"/>
          <w:sz w:val="24"/>
          <w:lang w:val="es-ES" w:eastAsia="en-US"/>
        </w:rPr>
        <w:t xml:space="preserve"> </w:t>
      </w:r>
      <w:r w:rsidRPr="007955BB">
        <w:rPr>
          <w:rFonts w:eastAsia="Calibri" w:cs="Times LatArm"/>
          <w:sz w:val="24"/>
          <w:lang w:val="hy-AM" w:eastAsia="en-US"/>
        </w:rPr>
        <w:t>ՊԱՐՏՔԻ</w:t>
      </w:r>
      <w:r w:rsidRPr="007955BB">
        <w:rPr>
          <w:rFonts w:eastAsia="Calibri" w:cs="Times LatArm"/>
          <w:sz w:val="24"/>
          <w:lang w:val="es-ES" w:eastAsia="en-US"/>
        </w:rPr>
        <w:t xml:space="preserve"> </w:t>
      </w:r>
      <w:r w:rsidRPr="007955BB">
        <w:rPr>
          <w:rFonts w:eastAsia="Calibri" w:cs="Times LatArm"/>
          <w:sz w:val="24"/>
          <w:lang w:val="hy-AM" w:eastAsia="en-US"/>
        </w:rPr>
        <w:t>ՄԱԿԱՐԴԱԿԸ</w:t>
      </w:r>
      <w:bookmarkEnd w:id="228"/>
      <w:bookmarkEnd w:id="229"/>
      <w:bookmarkEnd w:id="230"/>
    </w:p>
    <w:p w:rsidR="009A197C" w:rsidRPr="007955BB" w:rsidRDefault="009A197C" w:rsidP="009A197C">
      <w:pPr>
        <w:spacing w:before="0" w:line="276" w:lineRule="auto"/>
        <w:ind w:firstLine="720"/>
        <w:rPr>
          <w:rFonts w:eastAsia="Calibri"/>
          <w:b w:val="0"/>
          <w:szCs w:val="22"/>
          <w:lang w:val="es-ES" w:eastAsia="en-US"/>
        </w:rPr>
      </w:pPr>
      <w:bookmarkStart w:id="231" w:name="_Toc76556774"/>
      <w:bookmarkStart w:id="232" w:name="_Toc76456833"/>
      <w:bookmarkEnd w:id="227"/>
      <w:r w:rsidRPr="007955BB">
        <w:rPr>
          <w:rFonts w:eastAsia="Calibri"/>
          <w:b w:val="0"/>
          <w:szCs w:val="22"/>
          <w:lang w:val="hy-AM" w:eastAsia="en-US"/>
        </w:rPr>
        <w:t>ՀՀ</w:t>
      </w:r>
      <w:r w:rsidRPr="007955BB">
        <w:rPr>
          <w:rFonts w:eastAsia="Calibri"/>
          <w:b w:val="0"/>
          <w:szCs w:val="22"/>
          <w:lang w:val="es-ES" w:eastAsia="en-US"/>
        </w:rPr>
        <w:t xml:space="preserve"> </w:t>
      </w:r>
      <w:r w:rsidRPr="007955BB">
        <w:rPr>
          <w:rFonts w:eastAsia="Calibri"/>
          <w:b w:val="0"/>
          <w:szCs w:val="22"/>
          <w:lang w:val="hy-AM" w:eastAsia="en-US"/>
        </w:rPr>
        <w:t>202</w:t>
      </w:r>
      <w:r w:rsidRPr="007955BB">
        <w:rPr>
          <w:rFonts w:eastAsia="Calibri"/>
          <w:b w:val="0"/>
          <w:szCs w:val="22"/>
          <w:lang w:val="es-ES" w:eastAsia="en-US"/>
        </w:rPr>
        <w:t xml:space="preserve">3 </w:t>
      </w:r>
      <w:r w:rsidRPr="007955BB">
        <w:rPr>
          <w:rFonts w:eastAsia="Calibri"/>
          <w:b w:val="0"/>
          <w:szCs w:val="22"/>
          <w:lang w:val="hy-AM" w:eastAsia="en-US"/>
        </w:rPr>
        <w:t>թվականի</w:t>
      </w:r>
      <w:r w:rsidRPr="007955BB">
        <w:rPr>
          <w:rFonts w:eastAsia="Calibri"/>
          <w:b w:val="0"/>
          <w:szCs w:val="22"/>
          <w:lang w:val="es-ES" w:eastAsia="en-US"/>
        </w:rPr>
        <w:t xml:space="preserve"> </w:t>
      </w:r>
      <w:r w:rsidRPr="007955BB">
        <w:rPr>
          <w:rFonts w:eastAsia="Calibri"/>
          <w:b w:val="0"/>
          <w:szCs w:val="22"/>
          <w:lang w:val="hy-AM" w:eastAsia="en-US"/>
        </w:rPr>
        <w:t>պետական</w:t>
      </w:r>
      <w:r w:rsidRPr="007955BB">
        <w:rPr>
          <w:rFonts w:eastAsia="Calibri"/>
          <w:b w:val="0"/>
          <w:szCs w:val="22"/>
          <w:lang w:val="es-ES" w:eastAsia="en-US"/>
        </w:rPr>
        <w:t xml:space="preserve"> </w:t>
      </w:r>
      <w:r w:rsidRPr="007955BB">
        <w:rPr>
          <w:rFonts w:eastAsia="Calibri"/>
          <w:b w:val="0"/>
          <w:szCs w:val="22"/>
          <w:lang w:val="hy-AM" w:eastAsia="en-US"/>
        </w:rPr>
        <w:t>բյուջեի</w:t>
      </w:r>
      <w:r w:rsidRPr="007955BB">
        <w:rPr>
          <w:rFonts w:eastAsia="Calibri"/>
          <w:b w:val="0"/>
          <w:szCs w:val="22"/>
          <w:lang w:val="es-ES" w:eastAsia="en-US"/>
        </w:rPr>
        <w:t xml:space="preserve"> </w:t>
      </w:r>
      <w:r w:rsidRPr="007955BB">
        <w:rPr>
          <w:rFonts w:eastAsia="Calibri"/>
          <w:b w:val="0"/>
          <w:szCs w:val="22"/>
          <w:lang w:val="hy-AM" w:eastAsia="en-US"/>
        </w:rPr>
        <w:t>դեֆիցիտը</w:t>
      </w:r>
      <w:r w:rsidRPr="007955BB">
        <w:rPr>
          <w:rFonts w:eastAsia="Calibri"/>
          <w:b w:val="0"/>
          <w:szCs w:val="22"/>
          <w:lang w:val="es-ES" w:eastAsia="en-US"/>
        </w:rPr>
        <w:t xml:space="preserve"> </w:t>
      </w:r>
      <w:r w:rsidRPr="007955BB">
        <w:rPr>
          <w:rFonts w:eastAsia="Calibri"/>
          <w:b w:val="0"/>
          <w:szCs w:val="22"/>
          <w:lang w:val="hy-AM" w:eastAsia="en-US"/>
        </w:rPr>
        <w:t xml:space="preserve">ծրագրավորվել է </w:t>
      </w:r>
      <w:r w:rsidRPr="00BF0380">
        <w:rPr>
          <w:rFonts w:eastAsia="Calibri"/>
          <w:b w:val="0"/>
          <w:szCs w:val="22"/>
          <w:lang w:val="hy-AM" w:eastAsia="en-US"/>
        </w:rPr>
        <w:t xml:space="preserve">ՀՆԱ-ի </w:t>
      </w:r>
      <w:r w:rsidRPr="00BF0380">
        <w:rPr>
          <w:rFonts w:eastAsia="Calibri"/>
          <w:b w:val="0"/>
          <w:szCs w:val="22"/>
          <w:lang w:val="es-ES" w:eastAsia="en-US"/>
        </w:rPr>
        <w:t>3.1</w:t>
      </w:r>
      <w:r w:rsidRPr="00BF0380">
        <w:rPr>
          <w:rFonts w:eastAsia="Calibri"/>
          <w:b w:val="0"/>
          <w:szCs w:val="22"/>
          <w:lang w:val="hy-AM" w:eastAsia="en-US"/>
        </w:rPr>
        <w:t xml:space="preserve"> %-ի չա</w:t>
      </w:r>
      <w:r w:rsidRPr="00BF0380">
        <w:rPr>
          <w:rFonts w:eastAsia="Calibri"/>
          <w:b w:val="0"/>
          <w:szCs w:val="22"/>
          <w:lang w:val="hy-AM" w:eastAsia="en-US"/>
        </w:rPr>
        <w:softHyphen/>
        <w:t xml:space="preserve">փով և կազմում է </w:t>
      </w:r>
      <w:r w:rsidRPr="00BF0380">
        <w:rPr>
          <w:rFonts w:eastAsia="Calibri"/>
          <w:b w:val="0"/>
          <w:szCs w:val="22"/>
          <w:lang w:val="es-ES" w:eastAsia="en-US"/>
        </w:rPr>
        <w:t>288.9</w:t>
      </w:r>
      <w:r w:rsidRPr="00BF0380">
        <w:rPr>
          <w:rFonts w:eastAsia="Calibri"/>
          <w:b w:val="0"/>
          <w:szCs w:val="22"/>
          <w:lang w:val="hy-AM" w:eastAsia="en-US"/>
        </w:rPr>
        <w:t xml:space="preserve"> մլրդ դրամ: Դեֆիցիտի ֆինանսավորման ներքին աղբյուրների</w:t>
      </w:r>
      <w:r w:rsidRPr="007955BB">
        <w:rPr>
          <w:rFonts w:eastAsia="Calibri"/>
          <w:b w:val="0"/>
          <w:szCs w:val="22"/>
          <w:lang w:val="hy-AM" w:eastAsia="en-US"/>
        </w:rPr>
        <w:t xml:space="preserve"> հիմ</w:t>
      </w:r>
      <w:r w:rsidRPr="007955BB">
        <w:rPr>
          <w:rFonts w:eastAsia="Calibri"/>
          <w:b w:val="0"/>
          <w:szCs w:val="22"/>
          <w:lang w:val="hy-AM" w:eastAsia="en-US"/>
        </w:rPr>
        <w:softHyphen/>
        <w:t>նա</w:t>
      </w:r>
      <w:r w:rsidRPr="007955BB">
        <w:rPr>
          <w:rFonts w:eastAsia="Calibri"/>
          <w:b w:val="0"/>
          <w:szCs w:val="22"/>
          <w:lang w:val="hy-AM" w:eastAsia="en-US"/>
        </w:rPr>
        <w:softHyphen/>
        <w:t>կան մասը ՀՀ 202</w:t>
      </w:r>
      <w:r w:rsidRPr="007955BB">
        <w:rPr>
          <w:rFonts w:eastAsia="Calibri"/>
          <w:b w:val="0"/>
          <w:szCs w:val="22"/>
          <w:lang w:val="es-ES" w:eastAsia="en-US"/>
        </w:rPr>
        <w:t>3</w:t>
      </w:r>
      <w:r w:rsidRPr="007955BB">
        <w:rPr>
          <w:rFonts w:eastAsia="Calibri"/>
          <w:b w:val="0"/>
          <w:szCs w:val="22"/>
          <w:lang w:val="hy-AM" w:eastAsia="en-US"/>
        </w:rPr>
        <w:t xml:space="preserve"> թվականին ձևավորվելու է պե</w:t>
      </w:r>
      <w:r w:rsidRPr="007955BB">
        <w:rPr>
          <w:rFonts w:eastAsia="Calibri"/>
          <w:b w:val="0"/>
          <w:szCs w:val="22"/>
          <w:lang w:val="hy-AM" w:eastAsia="en-US"/>
        </w:rPr>
        <w:softHyphen/>
      </w:r>
      <w:r w:rsidRPr="007955BB">
        <w:rPr>
          <w:rFonts w:eastAsia="Calibri"/>
          <w:b w:val="0"/>
          <w:szCs w:val="22"/>
          <w:lang w:val="hy-AM" w:eastAsia="en-US"/>
        </w:rPr>
        <w:softHyphen/>
        <w:t>տական արժեթղթերի տեղաբաշխումից գոյացող մուտքերից, կայունացման</w:t>
      </w:r>
      <w:r w:rsidRPr="007955BB">
        <w:rPr>
          <w:rFonts w:eastAsia="Calibri"/>
          <w:b w:val="0"/>
          <w:szCs w:val="22"/>
          <w:lang w:val="es-ES" w:eastAsia="en-US"/>
        </w:rPr>
        <w:t xml:space="preserve"> </w:t>
      </w:r>
      <w:r w:rsidRPr="007955BB">
        <w:rPr>
          <w:rFonts w:eastAsia="Calibri"/>
          <w:b w:val="0"/>
          <w:szCs w:val="22"/>
          <w:lang w:val="hy-AM" w:eastAsia="en-US"/>
        </w:rPr>
        <w:t>դեպոզիտային</w:t>
      </w:r>
      <w:r w:rsidRPr="007955BB">
        <w:rPr>
          <w:rFonts w:eastAsia="Calibri"/>
          <w:b w:val="0"/>
          <w:szCs w:val="22"/>
          <w:lang w:val="es-ES" w:eastAsia="en-US"/>
        </w:rPr>
        <w:t xml:space="preserve"> </w:t>
      </w:r>
      <w:r w:rsidRPr="007955BB">
        <w:rPr>
          <w:rFonts w:eastAsia="Calibri"/>
          <w:b w:val="0"/>
          <w:szCs w:val="22"/>
          <w:lang w:val="hy-AM" w:eastAsia="en-US"/>
        </w:rPr>
        <w:t>հաշվի</w:t>
      </w:r>
      <w:r w:rsidRPr="007955BB">
        <w:rPr>
          <w:rFonts w:eastAsia="Calibri"/>
          <w:b w:val="0"/>
          <w:szCs w:val="22"/>
          <w:lang w:val="es-ES" w:eastAsia="en-US"/>
        </w:rPr>
        <w:t xml:space="preserve"> </w:t>
      </w:r>
      <w:r w:rsidRPr="007955BB">
        <w:rPr>
          <w:rFonts w:eastAsia="Calibri"/>
          <w:b w:val="0"/>
          <w:szCs w:val="22"/>
          <w:lang w:val="hy-AM" w:eastAsia="en-US"/>
        </w:rPr>
        <w:t>միջոցներից</w:t>
      </w:r>
      <w:r w:rsidRPr="007955BB">
        <w:rPr>
          <w:rFonts w:eastAsia="Calibri"/>
          <w:b w:val="0"/>
          <w:szCs w:val="22"/>
          <w:lang w:val="es-ES" w:eastAsia="en-US"/>
        </w:rPr>
        <w:t xml:space="preserve">, </w:t>
      </w:r>
      <w:r w:rsidRPr="007955BB">
        <w:rPr>
          <w:rFonts w:eastAsia="Calibri"/>
          <w:b w:val="0"/>
          <w:szCs w:val="22"/>
          <w:lang w:val="hy-AM" w:eastAsia="en-US"/>
        </w:rPr>
        <w:t>ինչպես նաև տնտեսվարող սուբյեկտներին տրա</w:t>
      </w:r>
      <w:r w:rsidRPr="007955BB">
        <w:rPr>
          <w:rFonts w:eastAsia="Calibri"/>
          <w:b w:val="0"/>
          <w:szCs w:val="22"/>
          <w:lang w:val="hy-AM" w:eastAsia="en-US"/>
        </w:rPr>
        <w:softHyphen/>
        <w:t>մադրված բյուջետային վարկերի</w:t>
      </w:r>
      <w:r w:rsidRPr="007955BB">
        <w:rPr>
          <w:rFonts w:eastAsia="Calibri"/>
          <w:b w:val="0"/>
          <w:szCs w:val="22"/>
          <w:lang w:val="es-ES" w:eastAsia="en-US"/>
        </w:rPr>
        <w:t xml:space="preserve"> </w:t>
      </w:r>
      <w:r w:rsidRPr="007955BB">
        <w:rPr>
          <w:rFonts w:eastAsia="Calibri"/>
          <w:b w:val="0"/>
          <w:szCs w:val="22"/>
          <w:lang w:val="hy-AM" w:eastAsia="en-US"/>
        </w:rPr>
        <w:t>զուտ</w:t>
      </w:r>
      <w:r w:rsidRPr="007955BB">
        <w:rPr>
          <w:rFonts w:eastAsia="Calibri"/>
          <w:b w:val="0"/>
          <w:szCs w:val="22"/>
          <w:lang w:val="es-ES" w:eastAsia="en-US"/>
        </w:rPr>
        <w:t xml:space="preserve"> </w:t>
      </w:r>
      <w:r w:rsidRPr="007955BB">
        <w:rPr>
          <w:rFonts w:eastAsia="Calibri"/>
          <w:b w:val="0"/>
          <w:szCs w:val="22"/>
          <w:lang w:val="hy-AM" w:eastAsia="en-US"/>
        </w:rPr>
        <w:t>մուտքերից</w:t>
      </w:r>
      <w:r w:rsidRPr="007955BB">
        <w:rPr>
          <w:rFonts w:eastAsia="Calibri"/>
          <w:b w:val="0"/>
          <w:szCs w:val="22"/>
          <w:lang w:val="es-ES" w:eastAsia="en-US"/>
        </w:rPr>
        <w:t xml:space="preserve"> (</w:t>
      </w:r>
      <w:r w:rsidRPr="007955BB">
        <w:rPr>
          <w:rFonts w:eastAsia="Calibri"/>
          <w:b w:val="0"/>
          <w:szCs w:val="22"/>
          <w:lang w:val="hy-AM" w:eastAsia="en-US"/>
        </w:rPr>
        <w:t>տրամադրվածից</w:t>
      </w:r>
      <w:r w:rsidRPr="007955BB">
        <w:rPr>
          <w:rFonts w:eastAsia="Calibri"/>
          <w:b w:val="0"/>
          <w:szCs w:val="22"/>
          <w:lang w:val="es-ES" w:eastAsia="en-US"/>
        </w:rPr>
        <w:t xml:space="preserve"> </w:t>
      </w:r>
      <w:r w:rsidRPr="007955BB">
        <w:rPr>
          <w:rFonts w:eastAsia="Calibri"/>
          <w:b w:val="0"/>
          <w:szCs w:val="22"/>
          <w:lang w:val="hy-AM" w:eastAsia="en-US"/>
        </w:rPr>
        <w:t>հանած</w:t>
      </w:r>
      <w:r w:rsidRPr="007955BB">
        <w:rPr>
          <w:rFonts w:eastAsia="Calibri"/>
          <w:b w:val="0"/>
          <w:szCs w:val="22"/>
          <w:lang w:val="es-ES" w:eastAsia="en-US"/>
        </w:rPr>
        <w:t xml:space="preserve"> </w:t>
      </w:r>
      <w:r w:rsidRPr="007955BB">
        <w:rPr>
          <w:rFonts w:eastAsia="Calibri"/>
          <w:b w:val="0"/>
          <w:szCs w:val="22"/>
          <w:lang w:val="hy-AM" w:eastAsia="en-US"/>
        </w:rPr>
        <w:t>մարումները</w:t>
      </w:r>
      <w:r w:rsidRPr="007955BB">
        <w:rPr>
          <w:rFonts w:eastAsia="Calibri"/>
          <w:b w:val="0"/>
          <w:szCs w:val="22"/>
          <w:lang w:val="es-ES" w:eastAsia="en-US"/>
        </w:rPr>
        <w:t xml:space="preserve">): </w:t>
      </w:r>
      <w:r w:rsidRPr="007955BB">
        <w:rPr>
          <w:rFonts w:eastAsia="Calibri"/>
          <w:b w:val="0"/>
          <w:szCs w:val="22"/>
          <w:lang w:val="hy-AM" w:eastAsia="en-US"/>
        </w:rPr>
        <w:t>Դեռևս</w:t>
      </w:r>
      <w:r w:rsidRPr="007955BB">
        <w:rPr>
          <w:rFonts w:eastAsia="Calibri"/>
          <w:b w:val="0"/>
          <w:szCs w:val="22"/>
          <w:lang w:val="es-ES" w:eastAsia="en-US"/>
        </w:rPr>
        <w:t xml:space="preserve"> </w:t>
      </w:r>
      <w:r w:rsidRPr="007955BB">
        <w:rPr>
          <w:rFonts w:eastAsia="Calibri"/>
          <w:b w:val="0"/>
          <w:szCs w:val="22"/>
          <w:lang w:val="hy-AM" w:eastAsia="en-US"/>
        </w:rPr>
        <w:t>զգալի</w:t>
      </w:r>
      <w:r w:rsidRPr="007955BB">
        <w:rPr>
          <w:rFonts w:eastAsia="Calibri"/>
          <w:b w:val="0"/>
          <w:szCs w:val="22"/>
          <w:lang w:val="es-ES" w:eastAsia="en-US"/>
        </w:rPr>
        <w:t xml:space="preserve"> </w:t>
      </w:r>
      <w:r w:rsidRPr="007955BB">
        <w:rPr>
          <w:rFonts w:eastAsia="Calibri"/>
          <w:b w:val="0"/>
          <w:szCs w:val="22"/>
          <w:lang w:val="hy-AM" w:eastAsia="en-US"/>
        </w:rPr>
        <w:t>են</w:t>
      </w:r>
      <w:r w:rsidRPr="007955BB">
        <w:rPr>
          <w:rFonts w:eastAsia="Calibri"/>
          <w:b w:val="0"/>
          <w:szCs w:val="22"/>
          <w:lang w:val="es-ES" w:eastAsia="en-US"/>
        </w:rPr>
        <w:t xml:space="preserve"> </w:t>
      </w:r>
      <w:r w:rsidRPr="007955BB">
        <w:rPr>
          <w:rFonts w:eastAsia="Calibri"/>
          <w:b w:val="0"/>
          <w:szCs w:val="22"/>
          <w:lang w:val="hy-AM" w:eastAsia="en-US"/>
        </w:rPr>
        <w:t>արտաքին</w:t>
      </w:r>
      <w:r w:rsidRPr="007955BB">
        <w:rPr>
          <w:rFonts w:eastAsia="Calibri"/>
          <w:b w:val="0"/>
          <w:szCs w:val="22"/>
          <w:lang w:val="es-ES" w:eastAsia="en-US"/>
        </w:rPr>
        <w:t xml:space="preserve"> </w:t>
      </w:r>
      <w:r w:rsidRPr="007955BB">
        <w:rPr>
          <w:rFonts w:eastAsia="Calibri"/>
          <w:b w:val="0"/>
          <w:szCs w:val="22"/>
          <w:lang w:val="hy-AM" w:eastAsia="en-US"/>
        </w:rPr>
        <w:t>աղբյուրներից</w:t>
      </w:r>
      <w:r w:rsidRPr="007955BB">
        <w:rPr>
          <w:rFonts w:eastAsia="Calibri"/>
          <w:b w:val="0"/>
          <w:szCs w:val="22"/>
          <w:lang w:val="es-ES" w:eastAsia="en-US"/>
        </w:rPr>
        <w:t xml:space="preserve">` </w:t>
      </w:r>
      <w:r w:rsidRPr="007955BB">
        <w:rPr>
          <w:rFonts w:eastAsia="Calibri"/>
          <w:b w:val="0"/>
          <w:szCs w:val="22"/>
          <w:lang w:val="hy-AM" w:eastAsia="en-US"/>
        </w:rPr>
        <w:t>միջազգային</w:t>
      </w:r>
      <w:r w:rsidRPr="007955BB">
        <w:rPr>
          <w:rFonts w:eastAsia="Calibri"/>
          <w:b w:val="0"/>
          <w:szCs w:val="22"/>
          <w:lang w:val="es-ES" w:eastAsia="en-US"/>
        </w:rPr>
        <w:t xml:space="preserve"> </w:t>
      </w:r>
      <w:r w:rsidRPr="007955BB">
        <w:rPr>
          <w:rFonts w:eastAsia="Calibri"/>
          <w:b w:val="0"/>
          <w:szCs w:val="22"/>
          <w:lang w:val="hy-AM" w:eastAsia="en-US"/>
        </w:rPr>
        <w:t>կազմակերպություններից</w:t>
      </w:r>
      <w:r w:rsidRPr="007955BB">
        <w:rPr>
          <w:rFonts w:eastAsia="Calibri"/>
          <w:b w:val="0"/>
          <w:szCs w:val="22"/>
          <w:lang w:val="es-ES" w:eastAsia="en-US"/>
        </w:rPr>
        <w:t xml:space="preserve"> </w:t>
      </w:r>
      <w:r w:rsidRPr="007955BB">
        <w:rPr>
          <w:rFonts w:eastAsia="Calibri"/>
          <w:b w:val="0"/>
          <w:szCs w:val="22"/>
          <w:lang w:val="hy-AM" w:eastAsia="en-US"/>
        </w:rPr>
        <w:t>և</w:t>
      </w:r>
      <w:r w:rsidRPr="007955BB">
        <w:rPr>
          <w:rFonts w:eastAsia="Calibri"/>
          <w:b w:val="0"/>
          <w:szCs w:val="22"/>
          <w:lang w:val="es-ES" w:eastAsia="en-US"/>
        </w:rPr>
        <w:t xml:space="preserve"> </w:t>
      </w:r>
      <w:r w:rsidRPr="007955BB">
        <w:rPr>
          <w:rFonts w:eastAsia="Calibri"/>
          <w:b w:val="0"/>
          <w:szCs w:val="22"/>
          <w:lang w:val="hy-AM" w:eastAsia="en-US"/>
        </w:rPr>
        <w:t>օտարեր</w:t>
      </w:r>
      <w:r w:rsidRPr="007955BB">
        <w:rPr>
          <w:rFonts w:eastAsia="Calibri"/>
          <w:b w:val="0"/>
          <w:szCs w:val="22"/>
          <w:lang w:val="es-ES" w:eastAsia="en-US"/>
        </w:rPr>
        <w:softHyphen/>
      </w:r>
      <w:r w:rsidRPr="007955BB">
        <w:rPr>
          <w:rFonts w:eastAsia="Calibri"/>
          <w:b w:val="0"/>
          <w:szCs w:val="22"/>
          <w:lang w:val="hy-AM" w:eastAsia="en-US"/>
        </w:rPr>
        <w:t>կր</w:t>
      </w:r>
      <w:r w:rsidRPr="007955BB">
        <w:rPr>
          <w:rFonts w:eastAsia="Calibri"/>
          <w:b w:val="0"/>
          <w:szCs w:val="22"/>
          <w:lang w:val="es-ES" w:eastAsia="en-US"/>
        </w:rPr>
        <w:softHyphen/>
      </w:r>
      <w:r w:rsidRPr="007955BB">
        <w:rPr>
          <w:rFonts w:eastAsia="Calibri"/>
          <w:b w:val="0"/>
          <w:szCs w:val="22"/>
          <w:lang w:val="hy-AM" w:eastAsia="en-US"/>
        </w:rPr>
        <w:t>յա</w:t>
      </w:r>
      <w:r w:rsidRPr="007955BB">
        <w:rPr>
          <w:rFonts w:eastAsia="Calibri"/>
          <w:b w:val="0"/>
          <w:szCs w:val="22"/>
          <w:lang w:val="es-ES" w:eastAsia="en-US"/>
        </w:rPr>
        <w:t xml:space="preserve"> </w:t>
      </w:r>
      <w:r w:rsidRPr="007955BB">
        <w:rPr>
          <w:rFonts w:eastAsia="Calibri"/>
          <w:b w:val="0"/>
          <w:szCs w:val="22"/>
          <w:lang w:val="hy-AM" w:eastAsia="en-US"/>
        </w:rPr>
        <w:t>պետություն</w:t>
      </w:r>
      <w:r w:rsidRPr="007955BB">
        <w:rPr>
          <w:rFonts w:eastAsia="Calibri"/>
          <w:b w:val="0"/>
          <w:szCs w:val="22"/>
          <w:lang w:val="es-ES" w:eastAsia="en-US"/>
        </w:rPr>
        <w:softHyphen/>
      </w:r>
      <w:r w:rsidRPr="007955BB">
        <w:rPr>
          <w:rFonts w:eastAsia="Calibri"/>
          <w:b w:val="0"/>
          <w:szCs w:val="22"/>
          <w:lang w:val="hy-AM" w:eastAsia="en-US"/>
        </w:rPr>
        <w:t>նե</w:t>
      </w:r>
      <w:r w:rsidRPr="007955BB">
        <w:rPr>
          <w:rFonts w:eastAsia="Calibri"/>
          <w:b w:val="0"/>
          <w:szCs w:val="22"/>
          <w:lang w:val="es-ES" w:eastAsia="en-US"/>
        </w:rPr>
        <w:softHyphen/>
      </w:r>
      <w:r w:rsidRPr="007955BB">
        <w:rPr>
          <w:rFonts w:eastAsia="Calibri"/>
          <w:b w:val="0"/>
          <w:szCs w:val="22"/>
          <w:lang w:val="hy-AM" w:eastAsia="en-US"/>
        </w:rPr>
        <w:t>րից</w:t>
      </w:r>
      <w:r w:rsidRPr="007955BB">
        <w:rPr>
          <w:rFonts w:eastAsia="Calibri"/>
          <w:b w:val="0"/>
          <w:szCs w:val="22"/>
          <w:lang w:val="es-ES" w:eastAsia="en-US"/>
        </w:rPr>
        <w:t xml:space="preserve"> </w:t>
      </w:r>
      <w:r w:rsidRPr="007955BB">
        <w:rPr>
          <w:rFonts w:eastAsia="Calibri"/>
          <w:b w:val="0"/>
          <w:szCs w:val="22"/>
          <w:lang w:val="hy-AM" w:eastAsia="en-US"/>
        </w:rPr>
        <w:t>ստաց</w:t>
      </w:r>
      <w:r w:rsidRPr="007955BB">
        <w:rPr>
          <w:rFonts w:eastAsia="Calibri"/>
          <w:b w:val="0"/>
          <w:szCs w:val="22"/>
          <w:lang w:val="es-ES" w:eastAsia="en-US"/>
        </w:rPr>
        <w:softHyphen/>
      </w:r>
      <w:r w:rsidRPr="007955BB">
        <w:rPr>
          <w:rFonts w:eastAsia="Calibri"/>
          <w:b w:val="0"/>
          <w:szCs w:val="22"/>
          <w:lang w:val="hy-AM" w:eastAsia="en-US"/>
        </w:rPr>
        <w:t>վելիք</w:t>
      </w:r>
      <w:r w:rsidRPr="007955BB">
        <w:rPr>
          <w:rFonts w:eastAsia="Calibri"/>
          <w:b w:val="0"/>
          <w:szCs w:val="22"/>
          <w:lang w:val="es-ES" w:eastAsia="en-US"/>
        </w:rPr>
        <w:t xml:space="preserve"> </w:t>
      </w:r>
      <w:r w:rsidRPr="007955BB">
        <w:rPr>
          <w:rFonts w:eastAsia="Calibri"/>
          <w:b w:val="0"/>
          <w:szCs w:val="22"/>
          <w:lang w:val="hy-AM" w:eastAsia="en-US"/>
        </w:rPr>
        <w:t>վարկերի</w:t>
      </w:r>
      <w:r w:rsidRPr="007955BB">
        <w:rPr>
          <w:rFonts w:eastAsia="Calibri"/>
          <w:b w:val="0"/>
          <w:szCs w:val="22"/>
          <w:lang w:val="es-ES" w:eastAsia="en-US"/>
        </w:rPr>
        <w:t xml:space="preserve"> </w:t>
      </w:r>
      <w:r w:rsidRPr="007955BB">
        <w:rPr>
          <w:rFonts w:eastAsia="Calibri"/>
          <w:b w:val="0"/>
          <w:szCs w:val="22"/>
          <w:lang w:val="hy-AM" w:eastAsia="en-US"/>
        </w:rPr>
        <w:t>հաշվին</w:t>
      </w:r>
      <w:r w:rsidRPr="007955BB">
        <w:rPr>
          <w:rFonts w:eastAsia="Calibri"/>
          <w:b w:val="0"/>
          <w:szCs w:val="22"/>
          <w:lang w:val="es-ES" w:eastAsia="en-US"/>
        </w:rPr>
        <w:t xml:space="preserve"> </w:t>
      </w:r>
      <w:r w:rsidRPr="007955BB">
        <w:rPr>
          <w:rFonts w:eastAsia="Calibri"/>
          <w:b w:val="0"/>
          <w:szCs w:val="22"/>
          <w:lang w:val="hy-AM" w:eastAsia="en-US"/>
        </w:rPr>
        <w:t>պետական</w:t>
      </w:r>
      <w:r w:rsidRPr="007955BB">
        <w:rPr>
          <w:rFonts w:eastAsia="Calibri"/>
          <w:b w:val="0"/>
          <w:szCs w:val="22"/>
          <w:lang w:val="es-ES" w:eastAsia="en-US"/>
        </w:rPr>
        <w:t xml:space="preserve"> </w:t>
      </w:r>
      <w:r w:rsidRPr="007955BB">
        <w:rPr>
          <w:rFonts w:eastAsia="Calibri"/>
          <w:b w:val="0"/>
          <w:szCs w:val="22"/>
          <w:lang w:val="hy-AM" w:eastAsia="en-US"/>
        </w:rPr>
        <w:t>բյուջեի</w:t>
      </w:r>
      <w:r w:rsidRPr="007955BB">
        <w:rPr>
          <w:rFonts w:eastAsia="Calibri"/>
          <w:b w:val="0"/>
          <w:szCs w:val="22"/>
          <w:lang w:val="es-ES" w:eastAsia="en-US"/>
        </w:rPr>
        <w:t xml:space="preserve"> </w:t>
      </w:r>
      <w:r w:rsidRPr="007955BB">
        <w:rPr>
          <w:rFonts w:eastAsia="Calibri"/>
          <w:b w:val="0"/>
          <w:szCs w:val="22"/>
          <w:lang w:val="hy-AM" w:eastAsia="en-US"/>
        </w:rPr>
        <w:t>դեֆիցիտի</w:t>
      </w:r>
      <w:r w:rsidRPr="007955BB">
        <w:rPr>
          <w:rFonts w:eastAsia="Calibri"/>
          <w:b w:val="0"/>
          <w:szCs w:val="22"/>
          <w:lang w:val="es-ES" w:eastAsia="en-US"/>
        </w:rPr>
        <w:t xml:space="preserve"> </w:t>
      </w:r>
      <w:r w:rsidRPr="007955BB">
        <w:rPr>
          <w:rFonts w:eastAsia="Calibri"/>
          <w:b w:val="0"/>
          <w:szCs w:val="22"/>
          <w:lang w:val="hy-AM" w:eastAsia="en-US"/>
        </w:rPr>
        <w:t>ֆի</w:t>
      </w:r>
      <w:r w:rsidRPr="007955BB">
        <w:rPr>
          <w:rFonts w:eastAsia="Calibri"/>
          <w:b w:val="0"/>
          <w:szCs w:val="22"/>
          <w:lang w:val="es-ES" w:eastAsia="en-US"/>
        </w:rPr>
        <w:softHyphen/>
      </w:r>
      <w:r w:rsidRPr="007955BB">
        <w:rPr>
          <w:rFonts w:eastAsia="Calibri"/>
          <w:b w:val="0"/>
          <w:szCs w:val="22"/>
          <w:lang w:val="hy-AM" w:eastAsia="en-US"/>
        </w:rPr>
        <w:t>նան</w:t>
      </w:r>
      <w:r w:rsidRPr="007955BB">
        <w:rPr>
          <w:rFonts w:eastAsia="Calibri"/>
          <w:b w:val="0"/>
          <w:szCs w:val="22"/>
          <w:lang w:val="es-ES" w:eastAsia="en-US"/>
        </w:rPr>
        <w:softHyphen/>
      </w:r>
      <w:r w:rsidRPr="007955BB">
        <w:rPr>
          <w:rFonts w:eastAsia="Calibri"/>
          <w:b w:val="0"/>
          <w:szCs w:val="22"/>
          <w:lang w:val="hy-AM" w:eastAsia="en-US"/>
        </w:rPr>
        <w:t>սա</w:t>
      </w:r>
      <w:r w:rsidRPr="007955BB">
        <w:rPr>
          <w:rFonts w:eastAsia="Calibri"/>
          <w:b w:val="0"/>
          <w:szCs w:val="22"/>
          <w:lang w:val="es-ES" w:eastAsia="en-US"/>
        </w:rPr>
        <w:softHyphen/>
      </w:r>
      <w:r w:rsidRPr="007955BB">
        <w:rPr>
          <w:rFonts w:eastAsia="Calibri"/>
          <w:b w:val="0"/>
          <w:szCs w:val="22"/>
          <w:lang w:val="hy-AM" w:eastAsia="en-US"/>
        </w:rPr>
        <w:t>վորմանն</w:t>
      </w:r>
      <w:r w:rsidRPr="007955BB">
        <w:rPr>
          <w:rFonts w:eastAsia="Calibri"/>
          <w:b w:val="0"/>
          <w:szCs w:val="22"/>
          <w:lang w:val="es-ES" w:eastAsia="en-US"/>
        </w:rPr>
        <w:t xml:space="preserve"> </w:t>
      </w:r>
      <w:r w:rsidRPr="007955BB">
        <w:rPr>
          <w:rFonts w:eastAsia="Calibri"/>
          <w:b w:val="0"/>
          <w:szCs w:val="22"/>
          <w:lang w:val="hy-AM" w:eastAsia="en-US"/>
        </w:rPr>
        <w:t>ուղղվող</w:t>
      </w:r>
      <w:r w:rsidRPr="007955BB">
        <w:rPr>
          <w:rFonts w:eastAsia="Calibri"/>
          <w:b w:val="0"/>
          <w:szCs w:val="22"/>
          <w:lang w:val="es-ES" w:eastAsia="en-US"/>
        </w:rPr>
        <w:t xml:space="preserve"> </w:t>
      </w:r>
      <w:r w:rsidRPr="007955BB">
        <w:rPr>
          <w:rFonts w:eastAsia="Calibri"/>
          <w:b w:val="0"/>
          <w:szCs w:val="22"/>
          <w:lang w:val="hy-AM" w:eastAsia="en-US"/>
        </w:rPr>
        <w:t>միջոց</w:t>
      </w:r>
      <w:r w:rsidRPr="007955BB">
        <w:rPr>
          <w:rFonts w:eastAsia="Calibri"/>
          <w:b w:val="0"/>
          <w:szCs w:val="22"/>
          <w:lang w:val="es-ES" w:eastAsia="en-US"/>
        </w:rPr>
        <w:softHyphen/>
      </w:r>
      <w:r w:rsidRPr="007955BB">
        <w:rPr>
          <w:rFonts w:eastAsia="Calibri"/>
          <w:b w:val="0"/>
          <w:szCs w:val="22"/>
          <w:lang w:val="hy-AM" w:eastAsia="en-US"/>
        </w:rPr>
        <w:t>ները</w:t>
      </w:r>
      <w:r w:rsidRPr="007955BB">
        <w:rPr>
          <w:rFonts w:eastAsia="Calibri"/>
          <w:b w:val="0"/>
          <w:szCs w:val="22"/>
          <w:lang w:val="es-ES" w:eastAsia="en-US"/>
        </w:rPr>
        <w:t xml:space="preserve">: </w:t>
      </w:r>
    </w:p>
    <w:p w:rsidR="009A197C" w:rsidRPr="007955BB" w:rsidRDefault="009A197C" w:rsidP="009A197C">
      <w:pPr>
        <w:spacing w:before="0" w:line="276" w:lineRule="auto"/>
        <w:ind w:firstLine="720"/>
        <w:rPr>
          <w:rFonts w:eastAsia="Calibri"/>
          <w:b w:val="0"/>
          <w:szCs w:val="22"/>
          <w:lang w:val="es-ES" w:eastAsia="en-US"/>
        </w:rPr>
      </w:pPr>
      <w:r w:rsidRPr="007955BB">
        <w:rPr>
          <w:rFonts w:eastAsia="Calibri"/>
          <w:b w:val="0"/>
          <w:szCs w:val="22"/>
          <w:lang w:val="hy-AM" w:eastAsia="en-US"/>
        </w:rPr>
        <w:t>Համաձայն</w:t>
      </w:r>
      <w:r w:rsidRPr="007955BB">
        <w:rPr>
          <w:rFonts w:eastAsia="Calibri"/>
          <w:b w:val="0"/>
          <w:szCs w:val="22"/>
          <w:lang w:val="es-ES" w:eastAsia="en-US"/>
        </w:rPr>
        <w:t xml:space="preserve"> </w:t>
      </w:r>
      <w:r w:rsidRPr="007955BB">
        <w:rPr>
          <w:rFonts w:eastAsia="Calibri"/>
          <w:b w:val="0"/>
          <w:szCs w:val="22"/>
          <w:lang w:val="hy-AM" w:eastAsia="en-US"/>
        </w:rPr>
        <w:t>կանխատեսումների</w:t>
      </w:r>
      <w:r w:rsidRPr="007955BB">
        <w:rPr>
          <w:rFonts w:eastAsia="Calibri"/>
          <w:b w:val="0"/>
          <w:szCs w:val="22"/>
          <w:lang w:val="es-ES" w:eastAsia="en-US"/>
        </w:rPr>
        <w:t xml:space="preserve"> </w:t>
      </w:r>
      <w:r w:rsidRPr="007955BB">
        <w:rPr>
          <w:rFonts w:eastAsia="Calibri"/>
          <w:b w:val="0"/>
          <w:szCs w:val="22"/>
          <w:lang w:val="hy-AM" w:eastAsia="en-US"/>
        </w:rPr>
        <w:t>ծրագրային</w:t>
      </w:r>
      <w:r w:rsidRPr="007955BB">
        <w:rPr>
          <w:rFonts w:eastAsia="Calibri"/>
          <w:b w:val="0"/>
          <w:szCs w:val="22"/>
          <w:lang w:val="es-ES" w:eastAsia="en-US"/>
        </w:rPr>
        <w:t xml:space="preserve"> </w:t>
      </w:r>
      <w:r w:rsidRPr="007955BB">
        <w:rPr>
          <w:rFonts w:eastAsia="Calibri"/>
          <w:b w:val="0"/>
          <w:szCs w:val="22"/>
          <w:lang w:val="hy-AM" w:eastAsia="en-US"/>
        </w:rPr>
        <w:t>ժամանակահատվածում</w:t>
      </w:r>
      <w:r w:rsidRPr="007955BB">
        <w:rPr>
          <w:rFonts w:eastAsia="Calibri"/>
          <w:b w:val="0"/>
          <w:szCs w:val="22"/>
          <w:lang w:val="es-ES" w:eastAsia="en-US"/>
        </w:rPr>
        <w:t xml:space="preserve"> </w:t>
      </w:r>
      <w:r w:rsidRPr="007955BB">
        <w:rPr>
          <w:rFonts w:eastAsia="Calibri"/>
          <w:b w:val="0"/>
          <w:szCs w:val="22"/>
          <w:lang w:val="hy-AM" w:eastAsia="en-US"/>
        </w:rPr>
        <w:t>արտաքին</w:t>
      </w:r>
      <w:r w:rsidRPr="007955BB">
        <w:rPr>
          <w:rFonts w:eastAsia="Calibri"/>
          <w:b w:val="0"/>
          <w:szCs w:val="22"/>
          <w:lang w:val="es-ES" w:eastAsia="en-US"/>
        </w:rPr>
        <w:t xml:space="preserve"> </w:t>
      </w:r>
      <w:r w:rsidRPr="007955BB">
        <w:rPr>
          <w:rFonts w:eastAsia="Calibri"/>
          <w:b w:val="0"/>
          <w:szCs w:val="22"/>
          <w:lang w:val="hy-AM" w:eastAsia="en-US"/>
        </w:rPr>
        <w:t>օժան</w:t>
      </w:r>
      <w:r w:rsidRPr="007955BB">
        <w:rPr>
          <w:rFonts w:eastAsia="Calibri"/>
          <w:b w:val="0"/>
          <w:szCs w:val="22"/>
          <w:lang w:val="es-ES" w:eastAsia="en-US"/>
        </w:rPr>
        <w:softHyphen/>
      </w:r>
      <w:r w:rsidRPr="007955BB">
        <w:rPr>
          <w:rFonts w:eastAsia="Calibri"/>
          <w:b w:val="0"/>
          <w:szCs w:val="22"/>
          <w:lang w:val="hy-AM" w:eastAsia="en-US"/>
        </w:rPr>
        <w:t>դա</w:t>
      </w:r>
      <w:r w:rsidRPr="007955BB">
        <w:rPr>
          <w:rFonts w:eastAsia="Calibri"/>
          <w:b w:val="0"/>
          <w:szCs w:val="22"/>
          <w:lang w:val="es-ES" w:eastAsia="en-US"/>
        </w:rPr>
        <w:softHyphen/>
      </w:r>
      <w:r w:rsidRPr="007955BB">
        <w:rPr>
          <w:rFonts w:eastAsia="Calibri"/>
          <w:b w:val="0"/>
          <w:szCs w:val="22"/>
          <w:lang w:val="es-ES" w:eastAsia="en-US"/>
        </w:rPr>
        <w:softHyphen/>
      </w:r>
      <w:r w:rsidRPr="007955BB">
        <w:rPr>
          <w:rFonts w:eastAsia="Calibri"/>
          <w:b w:val="0"/>
          <w:szCs w:val="22"/>
          <w:lang w:val="hy-AM" w:eastAsia="en-US"/>
        </w:rPr>
        <w:t>կության</w:t>
      </w:r>
      <w:r w:rsidRPr="007955BB">
        <w:rPr>
          <w:rFonts w:eastAsia="Calibri"/>
          <w:b w:val="0"/>
          <w:szCs w:val="22"/>
          <w:lang w:val="es-ES" w:eastAsia="en-US"/>
        </w:rPr>
        <w:t xml:space="preserve"> </w:t>
      </w:r>
      <w:r w:rsidRPr="007955BB">
        <w:rPr>
          <w:rFonts w:eastAsia="Calibri"/>
          <w:b w:val="0"/>
          <w:szCs w:val="22"/>
          <w:lang w:val="hy-AM" w:eastAsia="en-US"/>
        </w:rPr>
        <w:t>կառուցվածքում</w:t>
      </w:r>
      <w:r w:rsidRPr="007955BB">
        <w:rPr>
          <w:rFonts w:eastAsia="Calibri"/>
          <w:b w:val="0"/>
          <w:szCs w:val="22"/>
          <w:lang w:val="es-ES" w:eastAsia="en-US"/>
        </w:rPr>
        <w:t xml:space="preserve"> </w:t>
      </w:r>
      <w:r w:rsidRPr="007955BB">
        <w:rPr>
          <w:rFonts w:eastAsia="Calibri"/>
          <w:b w:val="0"/>
          <w:szCs w:val="22"/>
          <w:lang w:val="hy-AM" w:eastAsia="en-US"/>
        </w:rPr>
        <w:t>գերակշռելու</w:t>
      </w:r>
      <w:r w:rsidRPr="007955BB">
        <w:rPr>
          <w:rFonts w:eastAsia="Calibri"/>
          <w:b w:val="0"/>
          <w:szCs w:val="22"/>
          <w:lang w:val="es-ES" w:eastAsia="en-US"/>
        </w:rPr>
        <w:t xml:space="preserve"> </w:t>
      </w:r>
      <w:r w:rsidRPr="007955BB">
        <w:rPr>
          <w:rFonts w:eastAsia="Calibri"/>
          <w:b w:val="0"/>
          <w:szCs w:val="22"/>
          <w:lang w:val="hy-AM" w:eastAsia="en-US"/>
        </w:rPr>
        <w:t>են</w:t>
      </w:r>
      <w:r w:rsidRPr="007955BB">
        <w:rPr>
          <w:rFonts w:eastAsia="Calibri"/>
          <w:b w:val="0"/>
          <w:szCs w:val="22"/>
          <w:lang w:val="es-ES" w:eastAsia="en-US"/>
        </w:rPr>
        <w:t xml:space="preserve"> </w:t>
      </w:r>
      <w:r w:rsidRPr="007955BB">
        <w:rPr>
          <w:rFonts w:eastAsia="Calibri"/>
          <w:b w:val="0"/>
          <w:szCs w:val="22"/>
          <w:lang w:val="hy-AM" w:eastAsia="en-US"/>
        </w:rPr>
        <w:t>նպատա</w:t>
      </w:r>
      <w:r w:rsidRPr="007955BB">
        <w:rPr>
          <w:rFonts w:eastAsia="Calibri"/>
          <w:b w:val="0"/>
          <w:szCs w:val="22"/>
          <w:lang w:val="es-ES" w:eastAsia="en-US"/>
        </w:rPr>
        <w:softHyphen/>
      </w:r>
      <w:r w:rsidRPr="007955BB">
        <w:rPr>
          <w:rFonts w:eastAsia="Calibri"/>
          <w:b w:val="0"/>
          <w:szCs w:val="22"/>
          <w:lang w:val="hy-AM" w:eastAsia="en-US"/>
        </w:rPr>
        <w:t>կային</w:t>
      </w:r>
      <w:r w:rsidRPr="007955BB">
        <w:rPr>
          <w:rFonts w:eastAsia="Calibri"/>
          <w:b w:val="0"/>
          <w:szCs w:val="22"/>
          <w:lang w:val="es-ES" w:eastAsia="en-US"/>
        </w:rPr>
        <w:t xml:space="preserve"> </w:t>
      </w:r>
      <w:r w:rsidRPr="007955BB">
        <w:rPr>
          <w:rFonts w:eastAsia="Calibri"/>
          <w:b w:val="0"/>
          <w:szCs w:val="22"/>
          <w:lang w:val="hy-AM" w:eastAsia="en-US"/>
        </w:rPr>
        <w:t>ծրագրերի</w:t>
      </w:r>
      <w:r w:rsidRPr="007955BB">
        <w:rPr>
          <w:rFonts w:eastAsia="Calibri"/>
          <w:b w:val="0"/>
          <w:szCs w:val="22"/>
          <w:lang w:val="es-ES" w:eastAsia="en-US"/>
        </w:rPr>
        <w:t xml:space="preserve"> </w:t>
      </w:r>
      <w:r w:rsidRPr="007955BB">
        <w:rPr>
          <w:rFonts w:eastAsia="Calibri"/>
          <w:b w:val="0"/>
          <w:szCs w:val="22"/>
          <w:lang w:val="hy-AM" w:eastAsia="en-US"/>
        </w:rPr>
        <w:t>ֆինանսավորման</w:t>
      </w:r>
      <w:r w:rsidRPr="007955BB">
        <w:rPr>
          <w:rFonts w:eastAsia="Calibri"/>
          <w:b w:val="0"/>
          <w:szCs w:val="22"/>
          <w:lang w:val="es-ES" w:eastAsia="en-US"/>
        </w:rPr>
        <w:t xml:space="preserve"> </w:t>
      </w:r>
      <w:r w:rsidRPr="007955BB">
        <w:rPr>
          <w:rFonts w:eastAsia="Calibri"/>
          <w:b w:val="0"/>
          <w:szCs w:val="22"/>
          <w:lang w:val="hy-AM" w:eastAsia="en-US"/>
        </w:rPr>
        <w:t>համար</w:t>
      </w:r>
      <w:r w:rsidRPr="007955BB">
        <w:rPr>
          <w:rFonts w:eastAsia="Calibri"/>
          <w:b w:val="0"/>
          <w:szCs w:val="22"/>
          <w:lang w:val="es-ES" w:eastAsia="en-US"/>
        </w:rPr>
        <w:t xml:space="preserve"> </w:t>
      </w:r>
      <w:r w:rsidRPr="007955BB">
        <w:rPr>
          <w:rFonts w:eastAsia="Calibri"/>
          <w:b w:val="0"/>
          <w:szCs w:val="22"/>
          <w:lang w:val="hy-AM" w:eastAsia="en-US"/>
        </w:rPr>
        <w:t>նախատեսված</w:t>
      </w:r>
      <w:r w:rsidRPr="007955BB">
        <w:rPr>
          <w:rFonts w:eastAsia="Calibri"/>
          <w:b w:val="0"/>
          <w:szCs w:val="22"/>
          <w:lang w:val="es-ES" w:eastAsia="en-US"/>
        </w:rPr>
        <w:t xml:space="preserve"> </w:t>
      </w:r>
      <w:r w:rsidRPr="007955BB">
        <w:rPr>
          <w:rFonts w:eastAsia="Calibri"/>
          <w:b w:val="0"/>
          <w:szCs w:val="22"/>
          <w:lang w:val="hy-AM" w:eastAsia="en-US"/>
        </w:rPr>
        <w:t>բյուջետային</w:t>
      </w:r>
      <w:r w:rsidRPr="007955BB">
        <w:rPr>
          <w:rFonts w:eastAsia="Calibri"/>
          <w:b w:val="0"/>
          <w:szCs w:val="22"/>
          <w:lang w:val="es-ES" w:eastAsia="en-US"/>
        </w:rPr>
        <w:t xml:space="preserve"> </w:t>
      </w:r>
      <w:r w:rsidRPr="007955BB">
        <w:rPr>
          <w:rFonts w:eastAsia="Calibri"/>
          <w:b w:val="0"/>
          <w:szCs w:val="22"/>
          <w:lang w:val="hy-AM" w:eastAsia="en-US"/>
        </w:rPr>
        <w:t>աջակցության</w:t>
      </w:r>
      <w:r w:rsidRPr="007955BB">
        <w:rPr>
          <w:rFonts w:eastAsia="Calibri"/>
          <w:b w:val="0"/>
          <w:szCs w:val="22"/>
          <w:lang w:val="es-ES" w:eastAsia="en-US"/>
        </w:rPr>
        <w:t xml:space="preserve"> </w:t>
      </w:r>
      <w:r w:rsidRPr="007955BB">
        <w:rPr>
          <w:rFonts w:eastAsia="Calibri"/>
          <w:b w:val="0"/>
          <w:szCs w:val="22"/>
          <w:lang w:val="hy-AM" w:eastAsia="en-US"/>
        </w:rPr>
        <w:t>պաշ</w:t>
      </w:r>
      <w:r w:rsidRPr="007955BB">
        <w:rPr>
          <w:rFonts w:eastAsia="Calibri"/>
          <w:b w:val="0"/>
          <w:szCs w:val="22"/>
          <w:lang w:val="es-ES" w:eastAsia="en-US"/>
        </w:rPr>
        <w:softHyphen/>
      </w:r>
      <w:r w:rsidRPr="007955BB">
        <w:rPr>
          <w:rFonts w:eastAsia="Calibri"/>
          <w:b w:val="0"/>
          <w:szCs w:val="22"/>
          <w:lang w:val="hy-AM" w:eastAsia="en-US"/>
        </w:rPr>
        <w:t>տո</w:t>
      </w:r>
      <w:r w:rsidRPr="007955BB">
        <w:rPr>
          <w:rFonts w:eastAsia="Calibri"/>
          <w:b w:val="0"/>
          <w:szCs w:val="22"/>
          <w:lang w:val="es-ES" w:eastAsia="en-US"/>
        </w:rPr>
        <w:softHyphen/>
      </w:r>
      <w:r w:rsidRPr="007955BB">
        <w:rPr>
          <w:rFonts w:eastAsia="Calibri"/>
          <w:b w:val="0"/>
          <w:szCs w:val="22"/>
          <w:lang w:val="hy-AM" w:eastAsia="en-US"/>
        </w:rPr>
        <w:t>նա</w:t>
      </w:r>
      <w:r w:rsidRPr="007955BB">
        <w:rPr>
          <w:rFonts w:eastAsia="Calibri"/>
          <w:b w:val="0"/>
          <w:szCs w:val="22"/>
          <w:lang w:val="es-ES" w:eastAsia="en-US"/>
        </w:rPr>
        <w:softHyphen/>
      </w:r>
      <w:r w:rsidRPr="007955BB">
        <w:rPr>
          <w:rFonts w:eastAsia="Calibri"/>
          <w:b w:val="0"/>
          <w:szCs w:val="22"/>
          <w:lang w:val="hy-AM" w:eastAsia="en-US"/>
        </w:rPr>
        <w:t>կան</w:t>
      </w:r>
      <w:r w:rsidRPr="007955BB">
        <w:rPr>
          <w:rFonts w:eastAsia="Calibri"/>
          <w:b w:val="0"/>
          <w:szCs w:val="22"/>
          <w:lang w:val="es-ES" w:eastAsia="en-US"/>
        </w:rPr>
        <w:t xml:space="preserve"> </w:t>
      </w:r>
      <w:r w:rsidRPr="007955BB">
        <w:rPr>
          <w:rFonts w:eastAsia="Calibri"/>
          <w:b w:val="0"/>
          <w:szCs w:val="22"/>
          <w:lang w:val="hy-AM" w:eastAsia="en-US"/>
        </w:rPr>
        <w:t>դրամաշնորհներն</w:t>
      </w:r>
      <w:r w:rsidRPr="007955BB">
        <w:rPr>
          <w:rFonts w:eastAsia="Calibri"/>
          <w:b w:val="0"/>
          <w:szCs w:val="22"/>
          <w:lang w:val="es-ES" w:eastAsia="en-US"/>
        </w:rPr>
        <w:t xml:space="preserve"> </w:t>
      </w:r>
      <w:r w:rsidRPr="007955BB">
        <w:rPr>
          <w:rFonts w:eastAsia="Calibri"/>
          <w:b w:val="0"/>
          <w:szCs w:val="22"/>
          <w:lang w:val="hy-AM" w:eastAsia="en-US"/>
        </w:rPr>
        <w:t>ու</w:t>
      </w:r>
      <w:r w:rsidRPr="007955BB">
        <w:rPr>
          <w:rFonts w:eastAsia="Calibri"/>
          <w:b w:val="0"/>
          <w:szCs w:val="22"/>
          <w:lang w:val="es-ES" w:eastAsia="en-US"/>
        </w:rPr>
        <w:t xml:space="preserve"> </w:t>
      </w:r>
      <w:r w:rsidRPr="007955BB">
        <w:rPr>
          <w:rFonts w:eastAsia="Calibri"/>
          <w:b w:val="0"/>
          <w:szCs w:val="22"/>
          <w:lang w:val="hy-AM" w:eastAsia="en-US"/>
        </w:rPr>
        <w:t>վարկերը</w:t>
      </w:r>
      <w:r w:rsidRPr="007955BB">
        <w:rPr>
          <w:rFonts w:eastAsia="Calibri"/>
          <w:b w:val="0"/>
          <w:szCs w:val="22"/>
          <w:lang w:val="es-ES" w:eastAsia="en-US"/>
        </w:rPr>
        <w:t xml:space="preserve"> (99.2%):</w:t>
      </w:r>
    </w:p>
    <w:p w:rsidR="009A197C" w:rsidRPr="006239AF" w:rsidRDefault="009A197C" w:rsidP="009A197C">
      <w:pPr>
        <w:spacing w:after="200"/>
        <w:rPr>
          <w:b w:val="0"/>
          <w:bCs/>
          <w:color w:val="5B9BD5"/>
          <w:sz w:val="18"/>
          <w:szCs w:val="18"/>
          <w:lang w:val="es-ES"/>
        </w:rPr>
      </w:pPr>
      <w:bookmarkStart w:id="233" w:name="_Ref497916450"/>
      <w:bookmarkStart w:id="234" w:name="_Toc525773066"/>
      <w:bookmarkStart w:id="235" w:name="_Toc20590406"/>
      <w:bookmarkStart w:id="236" w:name="_Toc83928939"/>
      <w:bookmarkEnd w:id="231"/>
    </w:p>
    <w:p w:rsidR="009A197C" w:rsidRPr="007955BB" w:rsidRDefault="009A197C" w:rsidP="009A197C">
      <w:pPr>
        <w:spacing w:after="200"/>
        <w:rPr>
          <w:b w:val="0"/>
          <w:bCs/>
          <w:color w:val="5B9BD5"/>
          <w:sz w:val="18"/>
          <w:szCs w:val="18"/>
          <w:lang w:val="es-ES"/>
        </w:rPr>
      </w:pPr>
      <w:bookmarkStart w:id="237" w:name="_Toc120805261"/>
      <w:r w:rsidRPr="007955BB">
        <w:rPr>
          <w:b w:val="0"/>
          <w:bCs/>
          <w:color w:val="5B9BD5"/>
          <w:sz w:val="18"/>
          <w:szCs w:val="18"/>
        </w:rPr>
        <w:t>Աղյուսակ</w:t>
      </w:r>
      <w:r w:rsidRPr="007955BB">
        <w:rPr>
          <w:b w:val="0"/>
          <w:bCs/>
          <w:color w:val="5B9BD5"/>
          <w:sz w:val="18"/>
          <w:szCs w:val="18"/>
          <w:lang w:val="es-ES"/>
        </w:rPr>
        <w:t xml:space="preserve"> </w:t>
      </w:r>
      <w:r w:rsidRPr="007955BB">
        <w:rPr>
          <w:b w:val="0"/>
          <w:bCs/>
          <w:color w:val="5B9BD5"/>
          <w:sz w:val="18"/>
          <w:szCs w:val="18"/>
        </w:rPr>
        <w:fldChar w:fldCharType="begin"/>
      </w:r>
      <w:r w:rsidRPr="007955BB">
        <w:rPr>
          <w:b w:val="0"/>
          <w:bCs/>
          <w:color w:val="5B9BD5"/>
          <w:sz w:val="18"/>
          <w:szCs w:val="18"/>
          <w:lang w:val="es-ES"/>
        </w:rPr>
        <w:instrText xml:space="preserve"> SEQ </w:instrText>
      </w:r>
      <w:r w:rsidRPr="007955BB">
        <w:rPr>
          <w:b w:val="0"/>
          <w:bCs/>
          <w:color w:val="5B9BD5"/>
          <w:sz w:val="18"/>
          <w:szCs w:val="18"/>
        </w:rPr>
        <w:instrText>Աղյուսակ</w:instrText>
      </w:r>
      <w:r w:rsidRPr="007955BB">
        <w:rPr>
          <w:b w:val="0"/>
          <w:bCs/>
          <w:color w:val="5B9BD5"/>
          <w:sz w:val="18"/>
          <w:szCs w:val="18"/>
          <w:lang w:val="es-ES"/>
        </w:rPr>
        <w:instrText xml:space="preserve"> \* ARABIC </w:instrText>
      </w:r>
      <w:r w:rsidRPr="007955BB">
        <w:rPr>
          <w:b w:val="0"/>
          <w:bCs/>
          <w:color w:val="5B9BD5"/>
          <w:sz w:val="18"/>
          <w:szCs w:val="18"/>
        </w:rPr>
        <w:fldChar w:fldCharType="separate"/>
      </w:r>
      <w:r w:rsidR="008177DF">
        <w:rPr>
          <w:b w:val="0"/>
          <w:bCs/>
          <w:noProof/>
          <w:color w:val="5B9BD5"/>
          <w:sz w:val="18"/>
          <w:szCs w:val="18"/>
          <w:lang w:val="es-ES"/>
        </w:rPr>
        <w:t>2</w:t>
      </w:r>
      <w:r w:rsidRPr="007955BB">
        <w:rPr>
          <w:b w:val="0"/>
          <w:bCs/>
          <w:color w:val="5B9BD5"/>
          <w:sz w:val="18"/>
          <w:szCs w:val="18"/>
        </w:rPr>
        <w:fldChar w:fldCharType="end"/>
      </w:r>
      <w:r w:rsidRPr="007955BB">
        <w:rPr>
          <w:rFonts w:ascii="Cambria Math" w:hAnsi="Cambria Math" w:cs="Cambria Math"/>
          <w:b w:val="0"/>
          <w:bCs/>
          <w:color w:val="5B9BD5"/>
          <w:sz w:val="18"/>
          <w:szCs w:val="18"/>
          <w:lang w:val="hy-AM"/>
        </w:rPr>
        <w:t>․</w:t>
      </w:r>
      <w:r w:rsidRPr="007955BB">
        <w:rPr>
          <w:bCs/>
          <w:i/>
          <w:color w:val="5B9BD5"/>
          <w:sz w:val="20"/>
          <w:szCs w:val="20"/>
          <w:lang w:val="hy-AM"/>
        </w:rPr>
        <w:t xml:space="preserve"> 202</w:t>
      </w:r>
      <w:r w:rsidRPr="007955BB">
        <w:rPr>
          <w:bCs/>
          <w:i/>
          <w:color w:val="5B9BD5"/>
          <w:sz w:val="20"/>
          <w:szCs w:val="20"/>
          <w:lang w:val="es-ES"/>
        </w:rPr>
        <w:t>3</w:t>
      </w:r>
      <w:r w:rsidRPr="007955BB">
        <w:rPr>
          <w:bCs/>
          <w:i/>
          <w:color w:val="5B9BD5"/>
          <w:sz w:val="20"/>
          <w:szCs w:val="20"/>
          <w:lang w:val="hy-AM"/>
        </w:rPr>
        <w:t>թ ակնկալվող արտաքին օժանդակությունն ըստ բնույթի</w:t>
      </w:r>
      <w:bookmarkEnd w:id="233"/>
      <w:bookmarkEnd w:id="234"/>
      <w:bookmarkEnd w:id="235"/>
      <w:bookmarkEnd w:id="236"/>
      <w:bookmarkEnd w:id="237"/>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997"/>
        <w:gridCol w:w="1583"/>
        <w:gridCol w:w="3241"/>
      </w:tblGrid>
      <w:tr w:rsidR="009A197C" w:rsidRPr="00C43BF7" w:rsidTr="00151C57">
        <w:trPr>
          <w:trHeight w:val="551"/>
        </w:trPr>
        <w:tc>
          <w:tcPr>
            <w:tcW w:w="2544" w:type="pct"/>
            <w:shd w:val="clear" w:color="auto" w:fill="8496B0"/>
            <w:noWrap/>
            <w:tcMar>
              <w:top w:w="0" w:type="dxa"/>
              <w:left w:w="57" w:type="dxa"/>
              <w:bottom w:w="0" w:type="dxa"/>
              <w:right w:w="113" w:type="dxa"/>
            </w:tcMar>
            <w:vAlign w:val="center"/>
          </w:tcPr>
          <w:bookmarkEnd w:id="232"/>
          <w:p w:rsidR="009A197C" w:rsidRPr="007955BB" w:rsidRDefault="009A197C" w:rsidP="00151C57">
            <w:pPr>
              <w:spacing w:before="0" w:line="276" w:lineRule="auto"/>
              <w:ind w:firstLine="0"/>
              <w:jc w:val="center"/>
              <w:rPr>
                <w:rFonts w:cs="Courier New"/>
                <w:color w:val="FFFFFF"/>
                <w:sz w:val="20"/>
                <w:szCs w:val="20"/>
                <w:lang w:val="en-US"/>
              </w:rPr>
            </w:pPr>
            <w:r w:rsidRPr="007955BB">
              <w:rPr>
                <w:rFonts w:cs="Courier New"/>
                <w:color w:val="FFFFFF"/>
                <w:sz w:val="20"/>
                <w:szCs w:val="20"/>
                <w:lang w:val="en-US"/>
              </w:rPr>
              <w:t>Ցուցանիշներ</w:t>
            </w:r>
          </w:p>
        </w:tc>
        <w:tc>
          <w:tcPr>
            <w:tcW w:w="806" w:type="pct"/>
            <w:shd w:val="clear" w:color="auto" w:fill="8496B0"/>
            <w:vAlign w:val="center"/>
          </w:tcPr>
          <w:p w:rsidR="009A197C" w:rsidRPr="007955BB" w:rsidRDefault="009A197C" w:rsidP="00151C57">
            <w:pPr>
              <w:spacing w:before="0" w:line="276" w:lineRule="auto"/>
              <w:ind w:firstLine="0"/>
              <w:jc w:val="center"/>
              <w:rPr>
                <w:rFonts w:cs="Courier New"/>
                <w:color w:val="FFFFFF"/>
                <w:sz w:val="20"/>
                <w:szCs w:val="20"/>
                <w:lang w:val="en-US"/>
              </w:rPr>
            </w:pPr>
            <w:r w:rsidRPr="007955BB">
              <w:rPr>
                <w:rFonts w:cs="Courier New"/>
                <w:color w:val="FFFFFF"/>
                <w:sz w:val="20"/>
                <w:szCs w:val="20"/>
                <w:lang w:val="en-US"/>
              </w:rPr>
              <w:t>Գումարը (մլրդ դրամներով)</w:t>
            </w:r>
          </w:p>
        </w:tc>
        <w:tc>
          <w:tcPr>
            <w:tcW w:w="1650" w:type="pct"/>
            <w:shd w:val="clear" w:color="auto" w:fill="8496B0"/>
            <w:vAlign w:val="center"/>
          </w:tcPr>
          <w:p w:rsidR="009A197C" w:rsidRPr="007955BB" w:rsidRDefault="009A197C" w:rsidP="00151C57">
            <w:pPr>
              <w:spacing w:before="0" w:line="276" w:lineRule="auto"/>
              <w:ind w:firstLine="0"/>
              <w:jc w:val="center"/>
              <w:rPr>
                <w:rFonts w:cs="Courier New"/>
                <w:color w:val="FFFFFF"/>
                <w:sz w:val="20"/>
                <w:szCs w:val="20"/>
                <w:lang w:val="en-US"/>
              </w:rPr>
            </w:pPr>
            <w:r w:rsidRPr="007955BB">
              <w:rPr>
                <w:rFonts w:cs="Courier New"/>
                <w:color w:val="FFFFFF"/>
                <w:sz w:val="20"/>
                <w:szCs w:val="20"/>
                <w:lang w:val="en-US"/>
              </w:rPr>
              <w:t>Տեսակարար կշիռը արտաքին օժան</w:t>
            </w:r>
            <w:r w:rsidRPr="007955BB">
              <w:rPr>
                <w:rFonts w:cs="Courier New"/>
                <w:color w:val="FFFFFF"/>
                <w:sz w:val="20"/>
                <w:szCs w:val="20"/>
                <w:lang w:val="en-US"/>
              </w:rPr>
              <w:softHyphen/>
              <w:t>դա</w:t>
            </w:r>
            <w:r w:rsidRPr="007955BB">
              <w:rPr>
                <w:rFonts w:cs="Courier New"/>
                <w:color w:val="FFFFFF"/>
                <w:sz w:val="20"/>
                <w:szCs w:val="20"/>
                <w:lang w:val="en-US"/>
              </w:rPr>
              <w:softHyphen/>
              <w:t>կութ</w:t>
            </w:r>
            <w:r w:rsidRPr="007955BB">
              <w:rPr>
                <w:rFonts w:cs="Courier New"/>
                <w:color w:val="FFFFFF"/>
                <w:sz w:val="20"/>
                <w:szCs w:val="20"/>
                <w:lang w:val="en-US"/>
              </w:rPr>
              <w:softHyphen/>
              <w:t>յան ընդհանուր գումարում (%)</w:t>
            </w:r>
          </w:p>
        </w:tc>
      </w:tr>
      <w:tr w:rsidR="00902824" w:rsidRPr="007955BB" w:rsidTr="00151C57">
        <w:trPr>
          <w:trHeight w:val="372"/>
        </w:trPr>
        <w:tc>
          <w:tcPr>
            <w:tcW w:w="2544" w:type="pct"/>
            <w:shd w:val="clear" w:color="auto" w:fill="DEEAF6"/>
            <w:noWrap/>
            <w:tcMar>
              <w:top w:w="0" w:type="dxa"/>
              <w:left w:w="57" w:type="dxa"/>
              <w:bottom w:w="0" w:type="dxa"/>
              <w:right w:w="113" w:type="dxa"/>
            </w:tcMar>
          </w:tcPr>
          <w:p w:rsidR="00902824" w:rsidRPr="007955BB" w:rsidRDefault="00902824" w:rsidP="00902824">
            <w:pPr>
              <w:spacing w:before="0" w:line="276" w:lineRule="auto"/>
              <w:ind w:firstLine="0"/>
              <w:jc w:val="left"/>
              <w:rPr>
                <w:rFonts w:cs="Courier New"/>
                <w:sz w:val="20"/>
                <w:szCs w:val="20"/>
                <w:lang w:val="en-US"/>
              </w:rPr>
            </w:pPr>
            <w:r w:rsidRPr="007955BB">
              <w:rPr>
                <w:rFonts w:cs="Courier New"/>
                <w:b w:val="0"/>
                <w:sz w:val="20"/>
                <w:szCs w:val="20"/>
                <w:lang w:val="en-US"/>
              </w:rPr>
              <w:t xml:space="preserve">1. </w:t>
            </w:r>
            <w:r w:rsidRPr="007955BB">
              <w:rPr>
                <w:rFonts w:cs="Arial"/>
                <w:b w:val="0"/>
                <w:sz w:val="20"/>
                <w:szCs w:val="20"/>
                <w:lang w:val="en-US"/>
              </w:rPr>
              <w:t>Ընդհանուր</w:t>
            </w:r>
            <w:r w:rsidRPr="007955BB">
              <w:rPr>
                <w:rFonts w:cs="Courier New"/>
                <w:b w:val="0"/>
                <w:sz w:val="20"/>
                <w:szCs w:val="20"/>
                <w:lang w:val="en-US"/>
              </w:rPr>
              <w:t xml:space="preserve"> </w:t>
            </w:r>
            <w:r w:rsidRPr="007955BB">
              <w:rPr>
                <w:rFonts w:cs="Arial"/>
                <w:b w:val="0"/>
                <w:sz w:val="20"/>
                <w:szCs w:val="20"/>
                <w:lang w:val="en-US"/>
              </w:rPr>
              <w:t>բնույթի</w:t>
            </w:r>
            <w:r w:rsidRPr="007955BB">
              <w:rPr>
                <w:rFonts w:cs="Courier New"/>
                <w:b w:val="0"/>
                <w:sz w:val="20"/>
                <w:szCs w:val="20"/>
                <w:lang w:val="en-US"/>
              </w:rPr>
              <w:t xml:space="preserve"> </w:t>
            </w:r>
            <w:r w:rsidRPr="007955BB">
              <w:rPr>
                <w:rFonts w:cs="Arial"/>
                <w:b w:val="0"/>
                <w:sz w:val="20"/>
                <w:szCs w:val="20"/>
                <w:lang w:val="en-US"/>
              </w:rPr>
              <w:t>բյուջետային</w:t>
            </w:r>
            <w:r w:rsidRPr="007955BB">
              <w:rPr>
                <w:rFonts w:cs="Courier New"/>
                <w:b w:val="0"/>
                <w:sz w:val="20"/>
                <w:szCs w:val="20"/>
                <w:lang w:val="en-US"/>
              </w:rPr>
              <w:t xml:space="preserve"> </w:t>
            </w:r>
            <w:r w:rsidRPr="007955BB">
              <w:rPr>
                <w:rFonts w:cs="Arial"/>
                <w:b w:val="0"/>
                <w:sz w:val="20"/>
                <w:szCs w:val="20"/>
                <w:lang w:val="en-US"/>
              </w:rPr>
              <w:t>օժանդակություն</w:t>
            </w:r>
          </w:p>
        </w:tc>
        <w:tc>
          <w:tcPr>
            <w:tcW w:w="806" w:type="pct"/>
            <w:shd w:val="clear" w:color="auto" w:fill="DEEAF6"/>
            <w:vAlign w:val="center"/>
          </w:tcPr>
          <w:p w:rsidR="00902824" w:rsidRPr="00F24B3E" w:rsidRDefault="00902824" w:rsidP="00902824">
            <w:pPr>
              <w:spacing w:before="0" w:line="276" w:lineRule="auto"/>
              <w:ind w:firstLine="0"/>
              <w:jc w:val="center"/>
              <w:rPr>
                <w:rFonts w:cs="Courier New"/>
                <w:b w:val="0"/>
                <w:sz w:val="20"/>
                <w:szCs w:val="20"/>
                <w:lang w:val="en-US"/>
              </w:rPr>
            </w:pPr>
            <w:r w:rsidRPr="00F24B3E">
              <w:rPr>
                <w:rFonts w:cs="Courier New"/>
                <w:b w:val="0"/>
                <w:sz w:val="20"/>
                <w:szCs w:val="20"/>
                <w:lang w:val="en-US"/>
              </w:rPr>
              <w:t>1.1</w:t>
            </w:r>
          </w:p>
        </w:tc>
        <w:tc>
          <w:tcPr>
            <w:tcW w:w="1650" w:type="pct"/>
            <w:shd w:val="clear" w:color="auto" w:fill="DEEAF6"/>
            <w:vAlign w:val="center"/>
          </w:tcPr>
          <w:p w:rsidR="00902824" w:rsidRPr="00F24B3E" w:rsidRDefault="00902824" w:rsidP="00902824">
            <w:pPr>
              <w:spacing w:before="0" w:line="276" w:lineRule="auto"/>
              <w:ind w:firstLine="0"/>
              <w:jc w:val="center"/>
              <w:rPr>
                <w:rFonts w:cs="Courier New"/>
                <w:b w:val="0"/>
                <w:sz w:val="20"/>
                <w:szCs w:val="20"/>
                <w:lang w:val="en-US"/>
              </w:rPr>
            </w:pPr>
            <w:r w:rsidRPr="00F24B3E">
              <w:rPr>
                <w:rFonts w:cs="Courier New"/>
                <w:b w:val="0"/>
                <w:sz w:val="20"/>
                <w:szCs w:val="20"/>
                <w:lang w:val="en-US"/>
              </w:rPr>
              <w:t>0.8</w:t>
            </w:r>
          </w:p>
        </w:tc>
      </w:tr>
      <w:tr w:rsidR="00902824" w:rsidRPr="007955BB" w:rsidTr="00151C57">
        <w:tc>
          <w:tcPr>
            <w:tcW w:w="2544" w:type="pct"/>
            <w:noWrap/>
            <w:tcMar>
              <w:top w:w="0" w:type="dxa"/>
              <w:left w:w="57" w:type="dxa"/>
              <w:bottom w:w="0" w:type="dxa"/>
              <w:right w:w="113" w:type="dxa"/>
            </w:tcMar>
          </w:tcPr>
          <w:p w:rsidR="00902824" w:rsidRPr="007955BB" w:rsidRDefault="00902824" w:rsidP="00902824">
            <w:pPr>
              <w:spacing w:before="0" w:line="276" w:lineRule="auto"/>
              <w:ind w:firstLine="0"/>
              <w:jc w:val="left"/>
              <w:rPr>
                <w:rFonts w:cs="Courier New"/>
                <w:b w:val="0"/>
                <w:sz w:val="20"/>
                <w:szCs w:val="20"/>
                <w:lang w:val="en-US"/>
              </w:rPr>
            </w:pPr>
            <w:r w:rsidRPr="007955BB">
              <w:rPr>
                <w:rFonts w:cs="Courier New"/>
                <w:b w:val="0"/>
                <w:sz w:val="20"/>
                <w:szCs w:val="20"/>
                <w:lang w:val="en-US"/>
              </w:rPr>
              <w:t>1.1 Պաշտոնական դրամաշնորհներ</w:t>
            </w:r>
          </w:p>
        </w:tc>
        <w:tc>
          <w:tcPr>
            <w:tcW w:w="806" w:type="pct"/>
            <w:vAlign w:val="center"/>
          </w:tcPr>
          <w:p w:rsidR="00902824" w:rsidRPr="00030161" w:rsidRDefault="00902824" w:rsidP="00902824">
            <w:pPr>
              <w:spacing w:before="0" w:line="276" w:lineRule="auto"/>
              <w:ind w:firstLine="0"/>
              <w:jc w:val="center"/>
              <w:rPr>
                <w:rFonts w:cs="Courier New"/>
                <w:b w:val="0"/>
                <w:sz w:val="20"/>
                <w:szCs w:val="20"/>
                <w:lang w:val="hy-AM"/>
              </w:rPr>
            </w:pPr>
            <w:r w:rsidRPr="00F24B3E">
              <w:rPr>
                <w:rFonts w:cs="Courier New"/>
                <w:b w:val="0"/>
                <w:sz w:val="20"/>
                <w:szCs w:val="20"/>
                <w:lang w:val="en-US"/>
              </w:rPr>
              <w:t>1.</w:t>
            </w:r>
            <w:r w:rsidR="00030161">
              <w:rPr>
                <w:rFonts w:cs="Courier New"/>
                <w:b w:val="0"/>
                <w:sz w:val="20"/>
                <w:szCs w:val="20"/>
                <w:lang w:val="hy-AM"/>
              </w:rPr>
              <w:t>1</w:t>
            </w:r>
          </w:p>
        </w:tc>
        <w:tc>
          <w:tcPr>
            <w:tcW w:w="1650" w:type="pct"/>
            <w:vAlign w:val="center"/>
          </w:tcPr>
          <w:p w:rsidR="00902824" w:rsidRPr="00F24B3E" w:rsidRDefault="00902824" w:rsidP="00902824">
            <w:pPr>
              <w:spacing w:before="0" w:line="276" w:lineRule="auto"/>
              <w:ind w:firstLine="0"/>
              <w:jc w:val="center"/>
              <w:rPr>
                <w:rFonts w:cs="Courier New"/>
                <w:b w:val="0"/>
                <w:sz w:val="20"/>
                <w:szCs w:val="20"/>
                <w:lang w:val="en-US"/>
              </w:rPr>
            </w:pPr>
            <w:r w:rsidRPr="00F24B3E">
              <w:rPr>
                <w:rFonts w:cs="Courier New"/>
                <w:b w:val="0"/>
                <w:sz w:val="20"/>
                <w:szCs w:val="20"/>
                <w:lang w:val="en-US"/>
              </w:rPr>
              <w:t>X</w:t>
            </w:r>
          </w:p>
        </w:tc>
      </w:tr>
      <w:tr w:rsidR="00902824" w:rsidRPr="007955BB" w:rsidTr="00151C57">
        <w:trPr>
          <w:trHeight w:val="291"/>
        </w:trPr>
        <w:tc>
          <w:tcPr>
            <w:tcW w:w="2544" w:type="pct"/>
            <w:shd w:val="clear" w:color="auto" w:fill="DEEAF6"/>
            <w:noWrap/>
            <w:tcMar>
              <w:top w:w="0" w:type="dxa"/>
              <w:left w:w="57" w:type="dxa"/>
              <w:bottom w:w="0" w:type="dxa"/>
              <w:right w:w="113" w:type="dxa"/>
            </w:tcMar>
          </w:tcPr>
          <w:p w:rsidR="00902824" w:rsidRPr="007955BB" w:rsidRDefault="00902824" w:rsidP="00902824">
            <w:pPr>
              <w:spacing w:before="0" w:line="276" w:lineRule="auto"/>
              <w:ind w:firstLine="0"/>
              <w:jc w:val="left"/>
              <w:rPr>
                <w:rFonts w:cs="Courier New"/>
                <w:sz w:val="20"/>
                <w:szCs w:val="20"/>
                <w:lang w:val="en-US"/>
              </w:rPr>
            </w:pPr>
            <w:r w:rsidRPr="007955BB">
              <w:rPr>
                <w:rFonts w:cs="Courier New"/>
                <w:b w:val="0"/>
                <w:sz w:val="20"/>
                <w:szCs w:val="20"/>
                <w:lang w:val="en-US"/>
              </w:rPr>
              <w:t>2. Ծրագրային (նպատակային) օժանդակություն</w:t>
            </w:r>
          </w:p>
        </w:tc>
        <w:tc>
          <w:tcPr>
            <w:tcW w:w="806" w:type="pct"/>
            <w:shd w:val="clear" w:color="auto" w:fill="DEEAF6"/>
            <w:vAlign w:val="center"/>
          </w:tcPr>
          <w:p w:rsidR="00902824" w:rsidRPr="00F24B3E" w:rsidRDefault="00902824" w:rsidP="00902824">
            <w:pPr>
              <w:spacing w:before="0" w:line="276" w:lineRule="auto"/>
              <w:ind w:firstLine="0"/>
              <w:jc w:val="center"/>
              <w:rPr>
                <w:rFonts w:cs="Courier New"/>
                <w:b w:val="0"/>
                <w:sz w:val="20"/>
                <w:szCs w:val="20"/>
                <w:lang w:val="en-US"/>
              </w:rPr>
            </w:pPr>
            <w:r w:rsidRPr="00F24B3E">
              <w:rPr>
                <w:rFonts w:cs="Courier New"/>
                <w:b w:val="0"/>
                <w:sz w:val="20"/>
                <w:szCs w:val="20"/>
                <w:lang w:val="en-US"/>
              </w:rPr>
              <w:t>137.6</w:t>
            </w:r>
          </w:p>
        </w:tc>
        <w:tc>
          <w:tcPr>
            <w:tcW w:w="1650" w:type="pct"/>
            <w:shd w:val="clear" w:color="auto" w:fill="DEEAF6"/>
            <w:vAlign w:val="center"/>
          </w:tcPr>
          <w:p w:rsidR="00902824" w:rsidRPr="00F24B3E" w:rsidRDefault="00902824" w:rsidP="00902824">
            <w:pPr>
              <w:spacing w:before="0" w:line="276" w:lineRule="auto"/>
              <w:ind w:firstLine="0"/>
              <w:jc w:val="center"/>
              <w:rPr>
                <w:rFonts w:cs="Courier New"/>
                <w:b w:val="0"/>
                <w:sz w:val="20"/>
                <w:szCs w:val="20"/>
                <w:lang w:val="en-US"/>
              </w:rPr>
            </w:pPr>
            <w:r w:rsidRPr="00F24B3E">
              <w:rPr>
                <w:rFonts w:cs="Courier New"/>
                <w:b w:val="0"/>
                <w:sz w:val="20"/>
                <w:szCs w:val="20"/>
                <w:lang w:val="en-US"/>
              </w:rPr>
              <w:t>99.</w:t>
            </w:r>
            <w:r w:rsidR="00030161">
              <w:rPr>
                <w:rFonts w:cs="Courier New"/>
                <w:b w:val="0"/>
                <w:sz w:val="20"/>
                <w:szCs w:val="20"/>
                <w:lang w:val="en-US"/>
              </w:rPr>
              <w:t>8</w:t>
            </w:r>
          </w:p>
        </w:tc>
      </w:tr>
      <w:tr w:rsidR="00902824" w:rsidRPr="007955BB" w:rsidTr="00151C57">
        <w:tc>
          <w:tcPr>
            <w:tcW w:w="2544" w:type="pct"/>
            <w:noWrap/>
            <w:tcMar>
              <w:top w:w="0" w:type="dxa"/>
              <w:left w:w="57" w:type="dxa"/>
              <w:bottom w:w="0" w:type="dxa"/>
              <w:right w:w="113" w:type="dxa"/>
            </w:tcMar>
          </w:tcPr>
          <w:p w:rsidR="00902824" w:rsidRPr="007955BB" w:rsidRDefault="00902824" w:rsidP="00902824">
            <w:pPr>
              <w:spacing w:before="0" w:line="276" w:lineRule="auto"/>
              <w:ind w:firstLine="0"/>
              <w:jc w:val="left"/>
              <w:rPr>
                <w:rFonts w:cs="Courier New"/>
                <w:b w:val="0"/>
                <w:sz w:val="20"/>
                <w:szCs w:val="20"/>
                <w:lang w:val="en-US"/>
              </w:rPr>
            </w:pPr>
            <w:r w:rsidRPr="007955BB">
              <w:rPr>
                <w:rFonts w:cs="Courier New"/>
                <w:b w:val="0"/>
                <w:sz w:val="20"/>
                <w:szCs w:val="20"/>
                <w:lang w:val="en-US"/>
              </w:rPr>
              <w:t>2.1 Պաշտոնական դրամաշնորհներ</w:t>
            </w:r>
          </w:p>
        </w:tc>
        <w:tc>
          <w:tcPr>
            <w:tcW w:w="806" w:type="pct"/>
            <w:vAlign w:val="center"/>
          </w:tcPr>
          <w:p w:rsidR="00902824" w:rsidRPr="00F24B3E" w:rsidRDefault="00902824" w:rsidP="00902824">
            <w:pPr>
              <w:spacing w:before="0" w:line="276" w:lineRule="auto"/>
              <w:ind w:firstLine="0"/>
              <w:jc w:val="center"/>
              <w:rPr>
                <w:rFonts w:cs="Courier New"/>
                <w:b w:val="0"/>
                <w:sz w:val="20"/>
                <w:szCs w:val="20"/>
                <w:lang w:val="en-US"/>
              </w:rPr>
            </w:pPr>
            <w:r w:rsidRPr="00F24B3E">
              <w:rPr>
                <w:rFonts w:cs="Courier New"/>
                <w:b w:val="0"/>
                <w:sz w:val="20"/>
                <w:szCs w:val="20"/>
                <w:lang w:val="en-US"/>
              </w:rPr>
              <w:t>16.2</w:t>
            </w:r>
          </w:p>
        </w:tc>
        <w:tc>
          <w:tcPr>
            <w:tcW w:w="1650" w:type="pct"/>
            <w:vAlign w:val="center"/>
          </w:tcPr>
          <w:p w:rsidR="00902824" w:rsidRPr="00F24B3E" w:rsidRDefault="00902824" w:rsidP="00902824">
            <w:pPr>
              <w:spacing w:before="0" w:line="276" w:lineRule="auto"/>
              <w:ind w:firstLine="0"/>
              <w:jc w:val="center"/>
              <w:rPr>
                <w:rFonts w:cs="Courier New"/>
                <w:b w:val="0"/>
                <w:sz w:val="20"/>
                <w:szCs w:val="20"/>
                <w:lang w:val="en-US"/>
              </w:rPr>
            </w:pPr>
            <w:r w:rsidRPr="00F24B3E">
              <w:rPr>
                <w:rFonts w:cs="Courier New"/>
                <w:b w:val="0"/>
                <w:sz w:val="20"/>
                <w:szCs w:val="20"/>
                <w:lang w:val="en-US"/>
              </w:rPr>
              <w:t>X</w:t>
            </w:r>
          </w:p>
        </w:tc>
      </w:tr>
      <w:tr w:rsidR="00902824" w:rsidRPr="007955BB" w:rsidTr="00151C57">
        <w:trPr>
          <w:trHeight w:val="244"/>
        </w:trPr>
        <w:tc>
          <w:tcPr>
            <w:tcW w:w="2544" w:type="pct"/>
            <w:tcBorders>
              <w:bottom w:val="single" w:sz="6" w:space="0" w:color="auto"/>
            </w:tcBorders>
            <w:noWrap/>
            <w:tcMar>
              <w:top w:w="0" w:type="dxa"/>
              <w:left w:w="57" w:type="dxa"/>
              <w:bottom w:w="0" w:type="dxa"/>
              <w:right w:w="113" w:type="dxa"/>
            </w:tcMar>
          </w:tcPr>
          <w:p w:rsidR="00902824" w:rsidRPr="007955BB" w:rsidRDefault="00902824" w:rsidP="00902824">
            <w:pPr>
              <w:spacing w:before="0" w:line="276" w:lineRule="auto"/>
              <w:ind w:firstLine="0"/>
              <w:jc w:val="left"/>
              <w:rPr>
                <w:rFonts w:cs="Courier New"/>
                <w:b w:val="0"/>
                <w:sz w:val="20"/>
                <w:szCs w:val="20"/>
                <w:lang w:val="en-US"/>
              </w:rPr>
            </w:pPr>
            <w:r w:rsidRPr="007955BB">
              <w:rPr>
                <w:rFonts w:cs="Courier New"/>
                <w:b w:val="0"/>
                <w:sz w:val="20"/>
                <w:szCs w:val="20"/>
                <w:lang w:val="en-US"/>
              </w:rPr>
              <w:t>2.2 Վարկեր</w:t>
            </w:r>
          </w:p>
        </w:tc>
        <w:tc>
          <w:tcPr>
            <w:tcW w:w="806" w:type="pct"/>
            <w:tcBorders>
              <w:bottom w:val="single" w:sz="6" w:space="0" w:color="auto"/>
            </w:tcBorders>
            <w:vAlign w:val="center"/>
          </w:tcPr>
          <w:p w:rsidR="00902824" w:rsidRPr="00F24B3E" w:rsidRDefault="00902824" w:rsidP="00902824">
            <w:pPr>
              <w:spacing w:before="0" w:line="276" w:lineRule="auto"/>
              <w:ind w:firstLine="0"/>
              <w:jc w:val="center"/>
              <w:rPr>
                <w:rFonts w:cs="Courier New"/>
                <w:b w:val="0"/>
                <w:sz w:val="20"/>
                <w:szCs w:val="20"/>
                <w:lang w:val="en-US"/>
              </w:rPr>
            </w:pPr>
            <w:r w:rsidRPr="00F24B3E">
              <w:rPr>
                <w:rFonts w:cs="Courier New"/>
                <w:b w:val="0"/>
                <w:sz w:val="20"/>
                <w:szCs w:val="20"/>
                <w:lang w:val="en-US"/>
              </w:rPr>
              <w:t>121.4</w:t>
            </w:r>
          </w:p>
        </w:tc>
        <w:tc>
          <w:tcPr>
            <w:tcW w:w="1650" w:type="pct"/>
            <w:tcBorders>
              <w:bottom w:val="single" w:sz="6" w:space="0" w:color="auto"/>
            </w:tcBorders>
            <w:vAlign w:val="center"/>
          </w:tcPr>
          <w:p w:rsidR="00902824" w:rsidRPr="00F24B3E" w:rsidRDefault="00902824" w:rsidP="00902824">
            <w:pPr>
              <w:spacing w:before="0" w:line="276" w:lineRule="auto"/>
              <w:ind w:firstLine="0"/>
              <w:jc w:val="center"/>
              <w:rPr>
                <w:rFonts w:cs="Courier New"/>
                <w:b w:val="0"/>
                <w:sz w:val="20"/>
                <w:szCs w:val="20"/>
                <w:lang w:val="en-US"/>
              </w:rPr>
            </w:pPr>
            <w:r w:rsidRPr="00F24B3E">
              <w:rPr>
                <w:rFonts w:cs="Courier New"/>
                <w:b w:val="0"/>
                <w:sz w:val="20"/>
                <w:szCs w:val="20"/>
                <w:lang w:val="en-US"/>
              </w:rPr>
              <w:t>X</w:t>
            </w:r>
          </w:p>
        </w:tc>
      </w:tr>
      <w:tr w:rsidR="00902824" w:rsidRPr="007955BB" w:rsidTr="00151C57">
        <w:tc>
          <w:tcPr>
            <w:tcW w:w="2544" w:type="pct"/>
            <w:shd w:val="clear" w:color="auto" w:fill="DEEAF6"/>
            <w:noWrap/>
            <w:tcMar>
              <w:top w:w="0" w:type="dxa"/>
              <w:left w:w="57" w:type="dxa"/>
              <w:bottom w:w="0" w:type="dxa"/>
              <w:right w:w="113" w:type="dxa"/>
            </w:tcMar>
          </w:tcPr>
          <w:p w:rsidR="00902824" w:rsidRPr="007955BB" w:rsidRDefault="00902824" w:rsidP="00902824">
            <w:pPr>
              <w:spacing w:before="0" w:line="276" w:lineRule="auto"/>
              <w:ind w:firstLine="0"/>
              <w:jc w:val="left"/>
              <w:rPr>
                <w:rFonts w:cs="Courier New"/>
                <w:sz w:val="20"/>
                <w:szCs w:val="20"/>
                <w:lang w:val="en-US"/>
              </w:rPr>
            </w:pPr>
            <w:r w:rsidRPr="007955BB">
              <w:rPr>
                <w:rFonts w:cs="Courier New"/>
                <w:b w:val="0"/>
                <w:sz w:val="20"/>
                <w:szCs w:val="20"/>
                <w:lang w:val="en-US"/>
              </w:rPr>
              <w:t>Ընդամենը արտաքին օժանդակություն</w:t>
            </w:r>
          </w:p>
        </w:tc>
        <w:tc>
          <w:tcPr>
            <w:tcW w:w="806" w:type="pct"/>
            <w:shd w:val="clear" w:color="auto" w:fill="DEEAF6"/>
            <w:vAlign w:val="center"/>
          </w:tcPr>
          <w:p w:rsidR="00902824" w:rsidRPr="00F24B3E" w:rsidRDefault="00902824" w:rsidP="00902824">
            <w:pPr>
              <w:spacing w:before="0" w:line="276" w:lineRule="auto"/>
              <w:ind w:firstLine="0"/>
              <w:jc w:val="center"/>
              <w:rPr>
                <w:rFonts w:cs="Courier New"/>
                <w:b w:val="0"/>
                <w:sz w:val="20"/>
                <w:szCs w:val="20"/>
                <w:lang w:val="en-US" w:eastAsia="en-US"/>
              </w:rPr>
            </w:pPr>
            <w:r w:rsidRPr="00F24B3E">
              <w:rPr>
                <w:rFonts w:cs="Courier New"/>
                <w:b w:val="0"/>
                <w:sz w:val="20"/>
                <w:szCs w:val="20"/>
                <w:lang w:val="en-US"/>
              </w:rPr>
              <w:t>137.9</w:t>
            </w:r>
          </w:p>
        </w:tc>
        <w:tc>
          <w:tcPr>
            <w:tcW w:w="1650" w:type="pct"/>
            <w:shd w:val="clear" w:color="auto" w:fill="DEEAF6"/>
            <w:vAlign w:val="center"/>
          </w:tcPr>
          <w:p w:rsidR="00902824" w:rsidRPr="00F24B3E" w:rsidRDefault="00902824" w:rsidP="00902824">
            <w:pPr>
              <w:spacing w:before="0" w:line="276" w:lineRule="auto"/>
              <w:ind w:firstLine="0"/>
              <w:jc w:val="center"/>
              <w:rPr>
                <w:rFonts w:cs="Courier New"/>
                <w:b w:val="0"/>
                <w:sz w:val="20"/>
                <w:szCs w:val="20"/>
                <w:lang w:val="en-US"/>
              </w:rPr>
            </w:pPr>
          </w:p>
        </w:tc>
      </w:tr>
    </w:tbl>
    <w:p w:rsidR="009A197C" w:rsidRPr="007955BB" w:rsidRDefault="009A197C" w:rsidP="009A197C">
      <w:pPr>
        <w:spacing w:before="0" w:line="276" w:lineRule="auto"/>
        <w:ind w:firstLine="720"/>
        <w:rPr>
          <w:rFonts w:eastAsia="Calibri"/>
          <w:b w:val="0"/>
          <w:szCs w:val="22"/>
          <w:lang w:val="hy-AM" w:eastAsia="en-US"/>
        </w:rPr>
      </w:pPr>
      <w:r w:rsidRPr="007955BB">
        <w:rPr>
          <w:rFonts w:eastAsia="Calibri"/>
          <w:b w:val="0"/>
          <w:szCs w:val="22"/>
          <w:lang w:val="hy-AM" w:eastAsia="en-US"/>
        </w:rPr>
        <w:t>Բյուջետային փաթեթում ընդհանուր բնույթի բյուջետային օժանդակության թերստաց</w:t>
      </w:r>
      <w:r w:rsidRPr="007955BB">
        <w:rPr>
          <w:rFonts w:eastAsia="Calibri"/>
          <w:b w:val="0"/>
          <w:szCs w:val="22"/>
          <w:lang w:val="hy-AM" w:eastAsia="en-US"/>
        </w:rPr>
        <w:softHyphen/>
        <w:t>ման պայ</w:t>
      </w:r>
      <w:r w:rsidRPr="007955BB">
        <w:rPr>
          <w:rFonts w:eastAsia="Calibri"/>
          <w:b w:val="0"/>
          <w:szCs w:val="22"/>
          <w:lang w:val="hy-AM" w:eastAsia="en-US"/>
        </w:rPr>
        <w:softHyphen/>
      </w:r>
      <w:r w:rsidRPr="007955BB">
        <w:rPr>
          <w:rFonts w:eastAsia="Calibri"/>
          <w:b w:val="0"/>
          <w:szCs w:val="22"/>
          <w:lang w:val="hy-AM" w:eastAsia="en-US"/>
        </w:rPr>
        <w:softHyphen/>
        <w:t>մաններում ծախսերի վերանայման անհրաժեշտության առաջացման դեպ</w:t>
      </w:r>
      <w:r w:rsidRPr="007955BB">
        <w:rPr>
          <w:rFonts w:eastAsia="Calibri"/>
          <w:b w:val="0"/>
          <w:szCs w:val="22"/>
          <w:lang w:val="hy-AM" w:eastAsia="en-US"/>
        </w:rPr>
        <w:softHyphen/>
        <w:t>քում այդ վերանայումն իրականացվելու է` ելնելով ծախսերի գե</w:t>
      </w:r>
      <w:r w:rsidRPr="007955BB">
        <w:rPr>
          <w:rFonts w:eastAsia="Calibri"/>
          <w:b w:val="0"/>
          <w:szCs w:val="22"/>
          <w:lang w:val="hy-AM" w:eastAsia="en-US"/>
        </w:rPr>
        <w:softHyphen/>
        <w:t>րա</w:t>
      </w:r>
      <w:r w:rsidRPr="007955BB">
        <w:rPr>
          <w:rFonts w:eastAsia="Calibri"/>
          <w:b w:val="0"/>
          <w:szCs w:val="22"/>
          <w:lang w:val="hy-AM" w:eastAsia="en-US"/>
        </w:rPr>
        <w:softHyphen/>
      </w:r>
      <w:r w:rsidRPr="007955BB">
        <w:rPr>
          <w:rFonts w:eastAsia="Calibri"/>
          <w:b w:val="0"/>
          <w:szCs w:val="22"/>
          <w:lang w:val="hy-AM" w:eastAsia="en-US"/>
        </w:rPr>
        <w:softHyphen/>
      </w:r>
      <w:r w:rsidRPr="007955BB">
        <w:rPr>
          <w:rFonts w:eastAsia="Calibri"/>
          <w:b w:val="0"/>
          <w:szCs w:val="22"/>
          <w:lang w:val="hy-AM" w:eastAsia="en-US"/>
        </w:rPr>
        <w:softHyphen/>
        <w:t>կա</w:t>
      </w:r>
      <w:r w:rsidRPr="007955BB">
        <w:rPr>
          <w:rFonts w:eastAsia="Calibri"/>
          <w:b w:val="0"/>
          <w:szCs w:val="22"/>
          <w:lang w:val="hy-AM" w:eastAsia="en-US"/>
        </w:rPr>
        <w:softHyphen/>
        <w:t>յու</w:t>
      </w:r>
      <w:r w:rsidRPr="007955BB">
        <w:rPr>
          <w:rFonts w:eastAsia="Calibri"/>
          <w:b w:val="0"/>
          <w:szCs w:val="22"/>
          <w:lang w:val="hy-AM" w:eastAsia="en-US"/>
        </w:rPr>
        <w:softHyphen/>
        <w:t>թյան աստիճանից: Ծրագրային (նպատակային) պաշտոնական դրամաշ</w:t>
      </w:r>
      <w:r w:rsidRPr="007955BB">
        <w:rPr>
          <w:rFonts w:eastAsia="Calibri"/>
          <w:b w:val="0"/>
          <w:szCs w:val="22"/>
          <w:lang w:val="hy-AM" w:eastAsia="en-US"/>
        </w:rPr>
        <w:softHyphen/>
        <w:t>նորհ</w:t>
      </w:r>
      <w:r w:rsidRPr="007955BB">
        <w:rPr>
          <w:rFonts w:eastAsia="Calibri"/>
          <w:b w:val="0"/>
          <w:szCs w:val="22"/>
          <w:lang w:val="hy-AM" w:eastAsia="en-US"/>
        </w:rPr>
        <w:softHyphen/>
        <w:t>ների և վար</w:t>
      </w:r>
      <w:r w:rsidRPr="007955BB">
        <w:rPr>
          <w:rFonts w:eastAsia="Calibri"/>
          <w:b w:val="0"/>
          <w:szCs w:val="22"/>
          <w:lang w:val="hy-AM" w:eastAsia="en-US"/>
        </w:rPr>
        <w:softHyphen/>
      </w:r>
      <w:r w:rsidRPr="007955BB">
        <w:rPr>
          <w:rFonts w:eastAsia="Calibri"/>
          <w:b w:val="0"/>
          <w:szCs w:val="22"/>
          <w:lang w:val="hy-AM" w:eastAsia="en-US"/>
        </w:rPr>
        <w:softHyphen/>
        <w:t>կերի թերս</w:t>
      </w:r>
      <w:r w:rsidRPr="007955BB">
        <w:rPr>
          <w:rFonts w:eastAsia="Calibri"/>
          <w:b w:val="0"/>
          <w:szCs w:val="22"/>
          <w:lang w:val="hy-AM" w:eastAsia="en-US"/>
        </w:rPr>
        <w:softHyphen/>
        <w:t>տացումը հանգեցնելու է այն ծրագրերի գծով ծախսերի կրճատ</w:t>
      </w:r>
      <w:r w:rsidRPr="007955BB">
        <w:rPr>
          <w:rFonts w:eastAsia="Calibri"/>
          <w:b w:val="0"/>
          <w:szCs w:val="22"/>
          <w:lang w:val="hy-AM" w:eastAsia="en-US"/>
        </w:rPr>
        <w:softHyphen/>
        <w:t>մա</w:t>
      </w:r>
      <w:r w:rsidRPr="007955BB">
        <w:rPr>
          <w:rFonts w:eastAsia="Calibri"/>
          <w:b w:val="0"/>
          <w:szCs w:val="22"/>
          <w:lang w:val="hy-AM" w:eastAsia="en-US"/>
        </w:rPr>
        <w:softHyphen/>
        <w:t>նը, որոնք ան</w:t>
      </w:r>
      <w:r w:rsidRPr="007955BB">
        <w:rPr>
          <w:rFonts w:eastAsia="Calibri"/>
          <w:b w:val="0"/>
          <w:szCs w:val="22"/>
          <w:lang w:val="hy-AM" w:eastAsia="en-US"/>
        </w:rPr>
        <w:softHyphen/>
        <w:t>մի</w:t>
      </w:r>
      <w:r w:rsidRPr="007955BB">
        <w:rPr>
          <w:rFonts w:eastAsia="Calibri"/>
          <w:b w:val="0"/>
          <w:szCs w:val="22"/>
          <w:lang w:val="hy-AM" w:eastAsia="en-US"/>
        </w:rPr>
        <w:softHyphen/>
        <w:t>ջա</w:t>
      </w:r>
      <w:r w:rsidRPr="007955BB">
        <w:rPr>
          <w:rFonts w:eastAsia="Calibri"/>
          <w:b w:val="0"/>
          <w:szCs w:val="22"/>
          <w:lang w:val="hy-AM" w:eastAsia="en-US"/>
        </w:rPr>
        <w:softHyphen/>
      </w:r>
      <w:r w:rsidRPr="007955BB">
        <w:rPr>
          <w:rFonts w:eastAsia="Calibri"/>
          <w:b w:val="0"/>
          <w:szCs w:val="22"/>
          <w:lang w:val="hy-AM" w:eastAsia="en-US"/>
        </w:rPr>
        <w:softHyphen/>
        <w:t xml:space="preserve">կանորեն </w:t>
      </w:r>
      <w:r w:rsidRPr="007955BB">
        <w:rPr>
          <w:rFonts w:eastAsia="Calibri"/>
          <w:b w:val="0"/>
          <w:szCs w:val="22"/>
          <w:lang w:val="hy-AM" w:eastAsia="en-US"/>
        </w:rPr>
        <w:softHyphen/>
        <w:t xml:space="preserve">կապակցված են ֆինանսավորման այդ աղբյուրներին: </w:t>
      </w:r>
    </w:p>
    <w:p w:rsidR="009A197C" w:rsidRPr="007955BB" w:rsidRDefault="009A197C" w:rsidP="009A197C">
      <w:pPr>
        <w:spacing w:before="0" w:line="276" w:lineRule="auto"/>
        <w:ind w:firstLine="720"/>
        <w:rPr>
          <w:rFonts w:eastAsia="Calibri"/>
          <w:b w:val="0"/>
          <w:szCs w:val="22"/>
          <w:lang w:val="hy-AM" w:eastAsia="en-US"/>
        </w:rPr>
      </w:pPr>
      <w:r w:rsidRPr="007955BB">
        <w:rPr>
          <w:rFonts w:eastAsia="Calibri"/>
          <w:b w:val="0"/>
          <w:szCs w:val="22"/>
          <w:lang w:val="hy-AM" w:eastAsia="en-US"/>
        </w:rPr>
        <w:t>ՀՀ 2023 թվականի պետական բյուջեի նախագծի հաշվարկներում «Հայաստանի Հան</w:t>
      </w:r>
      <w:r w:rsidRPr="007955BB">
        <w:rPr>
          <w:rFonts w:eastAsia="Calibri"/>
          <w:b w:val="0"/>
          <w:szCs w:val="22"/>
          <w:lang w:val="hy-AM" w:eastAsia="en-US"/>
        </w:rPr>
        <w:softHyphen/>
        <w:t>րա</w:t>
      </w:r>
      <w:r w:rsidRPr="007955BB">
        <w:rPr>
          <w:rFonts w:eastAsia="Calibri"/>
          <w:b w:val="0"/>
          <w:szCs w:val="22"/>
          <w:lang w:val="hy-AM" w:eastAsia="en-US"/>
        </w:rPr>
        <w:softHyphen/>
        <w:t>պետության բյուջետային հա</w:t>
      </w:r>
      <w:r w:rsidRPr="007955BB">
        <w:rPr>
          <w:rFonts w:eastAsia="Calibri"/>
          <w:b w:val="0"/>
          <w:szCs w:val="22"/>
          <w:lang w:val="hy-AM" w:eastAsia="en-US"/>
        </w:rPr>
        <w:softHyphen/>
        <w:t>մակարգի մասին» ՀՀ օրենքի 21-րդ հոդվածի 8.1-րդ մա</w:t>
      </w:r>
      <w:r w:rsidRPr="007955BB">
        <w:rPr>
          <w:rFonts w:eastAsia="Calibri"/>
          <w:b w:val="0"/>
          <w:szCs w:val="22"/>
          <w:lang w:val="hy-AM" w:eastAsia="en-US"/>
        </w:rPr>
        <w:softHyphen/>
        <w:t>սի պա</w:t>
      </w:r>
      <w:r w:rsidRPr="007955BB">
        <w:rPr>
          <w:rFonts w:eastAsia="Calibri"/>
          <w:b w:val="0"/>
          <w:szCs w:val="22"/>
          <w:lang w:val="hy-AM" w:eastAsia="en-US"/>
        </w:rPr>
        <w:softHyphen/>
      </w:r>
      <w:r w:rsidRPr="007955BB">
        <w:rPr>
          <w:rFonts w:eastAsia="Calibri"/>
          <w:b w:val="0"/>
          <w:szCs w:val="22"/>
          <w:lang w:val="hy-AM" w:eastAsia="en-US"/>
        </w:rPr>
        <w:softHyphen/>
        <w:t>հան</w:t>
      </w:r>
      <w:r w:rsidRPr="007955BB">
        <w:rPr>
          <w:rFonts w:eastAsia="Calibri"/>
          <w:b w:val="0"/>
          <w:szCs w:val="22"/>
          <w:lang w:val="hy-AM" w:eastAsia="en-US"/>
        </w:rPr>
        <w:softHyphen/>
        <w:t>ջի համաձայն կիրառ</w:t>
      </w:r>
      <w:r w:rsidRPr="007955BB">
        <w:rPr>
          <w:rFonts w:eastAsia="Calibri"/>
          <w:b w:val="0"/>
          <w:szCs w:val="22"/>
          <w:lang w:val="hy-AM" w:eastAsia="en-US"/>
        </w:rPr>
        <w:softHyphen/>
        <w:t xml:space="preserve">վել են ս.թ. </w:t>
      </w:r>
      <w:r w:rsidRPr="00C06EBD">
        <w:rPr>
          <w:rFonts w:eastAsia="Calibri"/>
          <w:b w:val="0"/>
          <w:szCs w:val="22"/>
          <w:lang w:val="hy-AM" w:eastAsia="en-US"/>
        </w:rPr>
        <w:t>նոյ</w:t>
      </w:r>
      <w:r w:rsidRPr="007955BB">
        <w:rPr>
          <w:rFonts w:eastAsia="Calibri"/>
          <w:b w:val="0"/>
          <w:szCs w:val="22"/>
          <w:lang w:val="hy-AM" w:eastAsia="en-US"/>
        </w:rPr>
        <w:t>եմբերի 1-ի դրությամբ ՀՀ արտար</w:t>
      </w:r>
      <w:r w:rsidRPr="007955BB">
        <w:rPr>
          <w:rFonts w:eastAsia="Calibri"/>
          <w:b w:val="0"/>
          <w:szCs w:val="22"/>
          <w:lang w:val="hy-AM" w:eastAsia="en-US"/>
        </w:rPr>
        <w:softHyphen/>
        <w:t>ժու</w:t>
      </w:r>
      <w:r w:rsidRPr="007955BB">
        <w:rPr>
          <w:rFonts w:eastAsia="Calibri"/>
          <w:b w:val="0"/>
          <w:szCs w:val="22"/>
          <w:lang w:val="hy-AM" w:eastAsia="en-US"/>
        </w:rPr>
        <w:softHyphen/>
        <w:t>թա</w:t>
      </w:r>
      <w:r w:rsidRPr="007955BB">
        <w:rPr>
          <w:rFonts w:eastAsia="Calibri"/>
          <w:b w:val="0"/>
          <w:szCs w:val="22"/>
          <w:lang w:val="hy-AM" w:eastAsia="en-US"/>
        </w:rPr>
        <w:softHyphen/>
        <w:t>յին շու</w:t>
      </w:r>
      <w:r w:rsidRPr="007955BB">
        <w:rPr>
          <w:rFonts w:eastAsia="Calibri"/>
          <w:b w:val="0"/>
          <w:szCs w:val="22"/>
          <w:lang w:val="hy-AM" w:eastAsia="en-US"/>
        </w:rPr>
        <w:softHyphen/>
      </w:r>
      <w:r w:rsidRPr="007955BB">
        <w:rPr>
          <w:rFonts w:eastAsia="Calibri"/>
          <w:b w:val="0"/>
          <w:szCs w:val="22"/>
          <w:lang w:val="hy-AM" w:eastAsia="en-US"/>
        </w:rPr>
        <w:softHyphen/>
        <w:t>կա</w:t>
      </w:r>
      <w:r w:rsidRPr="007955BB">
        <w:rPr>
          <w:rFonts w:eastAsia="Calibri"/>
          <w:b w:val="0"/>
          <w:szCs w:val="22"/>
          <w:lang w:val="hy-AM" w:eastAsia="en-US"/>
        </w:rPr>
        <w:softHyphen/>
        <w:t>յում ձևավորված տա</w:t>
      </w:r>
      <w:r w:rsidRPr="007955BB">
        <w:rPr>
          <w:rFonts w:eastAsia="Calibri"/>
          <w:b w:val="0"/>
          <w:szCs w:val="22"/>
          <w:lang w:val="hy-AM" w:eastAsia="en-US"/>
        </w:rPr>
        <w:softHyphen/>
        <w:t>րա</w:t>
      </w:r>
      <w:r w:rsidRPr="007955BB">
        <w:rPr>
          <w:rFonts w:eastAsia="Calibri"/>
          <w:b w:val="0"/>
          <w:szCs w:val="22"/>
          <w:lang w:val="hy-AM" w:eastAsia="en-US"/>
        </w:rPr>
        <w:softHyphen/>
        <w:t>դրա</w:t>
      </w:r>
      <w:r w:rsidRPr="007955BB">
        <w:rPr>
          <w:rFonts w:eastAsia="Calibri"/>
          <w:b w:val="0"/>
          <w:szCs w:val="22"/>
          <w:lang w:val="hy-AM" w:eastAsia="en-US"/>
        </w:rPr>
        <w:softHyphen/>
        <w:t>մի փոխարժեքները ՀՀ դրամով:</w:t>
      </w:r>
    </w:p>
    <w:p w:rsidR="00D379EC" w:rsidRPr="007955BB" w:rsidRDefault="0025299D" w:rsidP="0025299D">
      <w:pPr>
        <w:pStyle w:val="Caption"/>
        <w:rPr>
          <w:b/>
          <w:i/>
          <w:sz w:val="20"/>
          <w:szCs w:val="20"/>
          <w:lang w:val="hy-AM"/>
        </w:rPr>
      </w:pPr>
      <w:bookmarkStart w:id="238" w:name="_Toc120805262"/>
      <w:r w:rsidRPr="007955BB">
        <w:rPr>
          <w:lang w:val="hy-AM"/>
        </w:rPr>
        <w:t xml:space="preserve">Աղյուսակ </w:t>
      </w:r>
      <w:r w:rsidRPr="007955BB">
        <w:fldChar w:fldCharType="begin"/>
      </w:r>
      <w:r w:rsidRPr="007955BB">
        <w:rPr>
          <w:lang w:val="hy-AM"/>
        </w:rPr>
        <w:instrText xml:space="preserve"> SEQ Աղյուսակ \* ARABIC </w:instrText>
      </w:r>
      <w:r w:rsidRPr="007955BB">
        <w:fldChar w:fldCharType="separate"/>
      </w:r>
      <w:r w:rsidR="008177DF">
        <w:rPr>
          <w:noProof/>
          <w:lang w:val="hy-AM"/>
        </w:rPr>
        <w:t>3</w:t>
      </w:r>
      <w:r w:rsidRPr="007955BB">
        <w:fldChar w:fldCharType="end"/>
      </w:r>
      <w:r w:rsidR="00D02A2D" w:rsidRPr="007955BB">
        <w:rPr>
          <w:rFonts w:ascii="Cambria Math" w:hAnsi="Cambria Math" w:cs="Cambria Math"/>
          <w:lang w:val="hy-AM"/>
        </w:rPr>
        <w:t>․</w:t>
      </w:r>
      <w:r w:rsidR="00D02A2D" w:rsidRPr="007955BB">
        <w:rPr>
          <w:rFonts w:ascii="Cambria Math" w:hAnsi="Cambria Math"/>
          <w:lang w:val="hy-AM"/>
        </w:rPr>
        <w:t xml:space="preserve"> </w:t>
      </w:r>
      <w:r w:rsidR="000E1796" w:rsidRPr="007955BB">
        <w:rPr>
          <w:b/>
          <w:i/>
          <w:sz w:val="20"/>
          <w:szCs w:val="20"/>
          <w:lang w:val="hy-AM"/>
        </w:rPr>
        <w:t>ՀՀ 202</w:t>
      </w:r>
      <w:r w:rsidR="005C6F8F" w:rsidRPr="007955BB">
        <w:rPr>
          <w:b/>
          <w:i/>
          <w:sz w:val="20"/>
          <w:szCs w:val="20"/>
          <w:lang w:val="hy-AM"/>
        </w:rPr>
        <w:t>3</w:t>
      </w:r>
      <w:r w:rsidR="00D379EC" w:rsidRPr="007955BB">
        <w:rPr>
          <w:b/>
          <w:i/>
          <w:sz w:val="20"/>
          <w:szCs w:val="20"/>
          <w:lang w:val="hy-AM"/>
        </w:rPr>
        <w:t xml:space="preserve"> թվականի պետական բյուջեի նախագծի հաշվարկներում կիրառված տարադրամների փոխարժեք</w:t>
      </w:r>
      <w:r w:rsidR="00D379EC" w:rsidRPr="007955BB">
        <w:rPr>
          <w:b/>
          <w:i/>
          <w:sz w:val="20"/>
          <w:szCs w:val="20"/>
          <w:lang w:val="hy-AM"/>
        </w:rPr>
        <w:softHyphen/>
        <w:t>ները ՀՀ դրամով</w:t>
      </w:r>
      <w:bookmarkEnd w:id="219"/>
      <w:bookmarkEnd w:id="220"/>
      <w:bookmarkEnd w:id="238"/>
    </w:p>
    <w:tbl>
      <w:tblPr>
        <w:tblW w:w="7215" w:type="dxa"/>
        <w:tblInd w:w="93" w:type="dxa"/>
        <w:tblLayout w:type="fixed"/>
        <w:tblLook w:val="0000" w:firstRow="0" w:lastRow="0" w:firstColumn="0" w:lastColumn="0" w:noHBand="0" w:noVBand="0"/>
      </w:tblPr>
      <w:tblGrid>
        <w:gridCol w:w="5235"/>
        <w:gridCol w:w="1980"/>
      </w:tblGrid>
      <w:tr w:rsidR="00BF7CB6" w:rsidRPr="007955BB" w:rsidTr="00BF7CB6">
        <w:trPr>
          <w:trHeight w:val="334"/>
          <w:tblHeader/>
        </w:trPr>
        <w:tc>
          <w:tcPr>
            <w:tcW w:w="5235" w:type="dxa"/>
            <w:tcBorders>
              <w:top w:val="single" w:sz="4" w:space="0" w:color="auto"/>
              <w:left w:val="single" w:sz="4" w:space="0" w:color="auto"/>
              <w:bottom w:val="single" w:sz="4" w:space="0" w:color="auto"/>
              <w:right w:val="single" w:sz="6" w:space="0" w:color="auto"/>
            </w:tcBorders>
            <w:shd w:val="clear" w:color="auto" w:fill="4F81BD" w:themeFill="accent1"/>
            <w:noWrap/>
            <w:vAlign w:val="center"/>
          </w:tcPr>
          <w:p w:rsidR="00D379EC" w:rsidRPr="007955BB" w:rsidRDefault="00D379EC" w:rsidP="007730AA">
            <w:pPr>
              <w:pStyle w:val="1fa"/>
              <w:spacing w:line="276" w:lineRule="auto"/>
              <w:rPr>
                <w:b/>
                <w:color w:val="FFFFFF" w:themeColor="background1"/>
              </w:rPr>
            </w:pPr>
            <w:r w:rsidRPr="007955BB">
              <w:rPr>
                <w:b/>
                <w:color w:val="FFFFFF" w:themeColor="background1"/>
              </w:rPr>
              <w:t>Տարադրամի տեսակը</w:t>
            </w:r>
          </w:p>
        </w:tc>
        <w:tc>
          <w:tcPr>
            <w:tcW w:w="1980" w:type="dxa"/>
            <w:tcBorders>
              <w:top w:val="single" w:sz="6" w:space="0" w:color="auto"/>
              <w:left w:val="single" w:sz="6" w:space="0" w:color="auto"/>
              <w:bottom w:val="single" w:sz="6" w:space="0" w:color="auto"/>
              <w:right w:val="single" w:sz="6" w:space="0" w:color="auto"/>
            </w:tcBorders>
            <w:shd w:val="clear" w:color="auto" w:fill="4F81BD" w:themeFill="accent1"/>
            <w:noWrap/>
            <w:vAlign w:val="center"/>
          </w:tcPr>
          <w:p w:rsidR="00D379EC" w:rsidRPr="007955BB" w:rsidRDefault="00D379EC" w:rsidP="007730AA">
            <w:pPr>
              <w:pStyle w:val="1fa"/>
              <w:spacing w:line="276" w:lineRule="auto"/>
              <w:rPr>
                <w:b/>
                <w:color w:val="FFFFFF" w:themeColor="background1"/>
              </w:rPr>
            </w:pPr>
            <w:r w:rsidRPr="007955BB">
              <w:rPr>
                <w:b/>
                <w:color w:val="FFFFFF" w:themeColor="background1"/>
              </w:rPr>
              <w:t>Փոխարժեքը</w:t>
            </w:r>
            <w:r w:rsidR="007705D1" w:rsidRPr="007955BB">
              <w:rPr>
                <w:b/>
                <w:color w:val="FFFFFF" w:themeColor="background1"/>
              </w:rPr>
              <w:t xml:space="preserve"> </w:t>
            </w:r>
            <w:r w:rsidRPr="007955BB">
              <w:rPr>
                <w:b/>
                <w:color w:val="FFFFFF" w:themeColor="background1"/>
              </w:rPr>
              <w:t>ՀՀ դրամով</w:t>
            </w:r>
          </w:p>
        </w:tc>
      </w:tr>
      <w:tr w:rsidR="00D379EC" w:rsidRPr="007955BB" w:rsidTr="00C51185">
        <w:trPr>
          <w:trHeight w:val="307"/>
        </w:trPr>
        <w:tc>
          <w:tcPr>
            <w:tcW w:w="5235" w:type="dxa"/>
            <w:tcBorders>
              <w:top w:val="nil"/>
              <w:left w:val="single" w:sz="4" w:space="0" w:color="auto"/>
              <w:bottom w:val="single" w:sz="4" w:space="0" w:color="auto"/>
              <w:right w:val="single" w:sz="6" w:space="0" w:color="auto"/>
            </w:tcBorders>
            <w:shd w:val="clear" w:color="auto" w:fill="auto"/>
            <w:noWrap/>
            <w:vAlign w:val="center"/>
          </w:tcPr>
          <w:p w:rsidR="00D379EC" w:rsidRPr="007955BB" w:rsidRDefault="00D379EC" w:rsidP="007730AA">
            <w:pPr>
              <w:pStyle w:val="1fa"/>
              <w:spacing w:line="276" w:lineRule="auto"/>
              <w:jc w:val="left"/>
              <w:rPr>
                <w:color w:val="auto"/>
              </w:rPr>
            </w:pPr>
            <w:r w:rsidRPr="007955BB">
              <w:rPr>
                <w:color w:val="auto"/>
              </w:rPr>
              <w:t xml:space="preserve">1 ԱՄՆ դոլար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D379EC" w:rsidRPr="007955BB" w:rsidRDefault="00DC100D" w:rsidP="00DC100D">
            <w:pPr>
              <w:pStyle w:val="1fa"/>
              <w:spacing w:line="276" w:lineRule="auto"/>
              <w:rPr>
                <w:color w:val="auto"/>
              </w:rPr>
            </w:pPr>
            <w:r>
              <w:rPr>
                <w:color w:val="auto"/>
              </w:rPr>
              <w:t>395</w:t>
            </w:r>
            <w:r w:rsidR="00485C0B" w:rsidRPr="007955BB">
              <w:rPr>
                <w:color w:val="auto"/>
              </w:rPr>
              <w:t>.</w:t>
            </w:r>
            <w:r>
              <w:rPr>
                <w:color w:val="auto"/>
              </w:rPr>
              <w:t>19</w:t>
            </w:r>
          </w:p>
        </w:tc>
      </w:tr>
      <w:tr w:rsidR="00D379EC" w:rsidRPr="007955BB" w:rsidTr="00C51185">
        <w:trPr>
          <w:trHeight w:val="233"/>
        </w:trPr>
        <w:tc>
          <w:tcPr>
            <w:tcW w:w="5235" w:type="dxa"/>
            <w:tcBorders>
              <w:top w:val="nil"/>
              <w:left w:val="single" w:sz="4" w:space="0" w:color="auto"/>
              <w:bottom w:val="single" w:sz="4" w:space="0" w:color="auto"/>
              <w:right w:val="single" w:sz="6" w:space="0" w:color="auto"/>
            </w:tcBorders>
            <w:shd w:val="clear" w:color="auto" w:fill="auto"/>
            <w:noWrap/>
            <w:vAlign w:val="center"/>
          </w:tcPr>
          <w:p w:rsidR="00D379EC" w:rsidRPr="007955BB" w:rsidRDefault="00D379EC" w:rsidP="007730AA">
            <w:pPr>
              <w:pStyle w:val="1fa"/>
              <w:spacing w:line="276" w:lineRule="auto"/>
              <w:jc w:val="left"/>
              <w:rPr>
                <w:color w:val="auto"/>
              </w:rPr>
            </w:pPr>
            <w:r w:rsidRPr="007955BB">
              <w:rPr>
                <w:color w:val="auto"/>
              </w:rPr>
              <w:t>1 եվրո</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D379EC" w:rsidRPr="007955BB" w:rsidRDefault="00DC100D" w:rsidP="00DC100D">
            <w:pPr>
              <w:pStyle w:val="1fa"/>
              <w:spacing w:line="276" w:lineRule="auto"/>
              <w:rPr>
                <w:color w:val="auto"/>
              </w:rPr>
            </w:pPr>
            <w:r>
              <w:rPr>
                <w:color w:val="auto"/>
              </w:rPr>
              <w:t>392</w:t>
            </w:r>
            <w:r w:rsidR="00485C0B" w:rsidRPr="007955BB">
              <w:rPr>
                <w:color w:val="auto"/>
              </w:rPr>
              <w:t>.</w:t>
            </w:r>
            <w:r>
              <w:rPr>
                <w:color w:val="auto"/>
              </w:rPr>
              <w:t>58</w:t>
            </w:r>
          </w:p>
        </w:tc>
      </w:tr>
      <w:tr w:rsidR="00D379EC" w:rsidRPr="007955BB" w:rsidTr="00C51185">
        <w:trPr>
          <w:trHeight w:val="307"/>
        </w:trPr>
        <w:tc>
          <w:tcPr>
            <w:tcW w:w="5235" w:type="dxa"/>
            <w:tcBorders>
              <w:top w:val="nil"/>
              <w:left w:val="single" w:sz="4" w:space="0" w:color="auto"/>
              <w:bottom w:val="single" w:sz="4" w:space="0" w:color="auto"/>
              <w:right w:val="single" w:sz="6" w:space="0" w:color="auto"/>
            </w:tcBorders>
            <w:shd w:val="clear" w:color="auto" w:fill="auto"/>
            <w:vAlign w:val="center"/>
          </w:tcPr>
          <w:p w:rsidR="00D379EC" w:rsidRPr="007955BB" w:rsidRDefault="00D379EC" w:rsidP="007730AA">
            <w:pPr>
              <w:pStyle w:val="1fa"/>
              <w:spacing w:line="276" w:lineRule="auto"/>
              <w:jc w:val="left"/>
              <w:rPr>
                <w:color w:val="auto"/>
              </w:rPr>
            </w:pPr>
            <w:r w:rsidRPr="007955BB">
              <w:rPr>
                <w:color w:val="auto"/>
              </w:rPr>
              <w:t xml:space="preserve">1 Մեծ Բրիտանիայի ֆունտ ստեռլինգ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D379EC" w:rsidRPr="007955BB" w:rsidRDefault="005C6F8F" w:rsidP="00DC100D">
            <w:pPr>
              <w:pStyle w:val="1fa"/>
              <w:spacing w:line="276" w:lineRule="auto"/>
              <w:rPr>
                <w:color w:val="auto"/>
              </w:rPr>
            </w:pPr>
            <w:r w:rsidRPr="007955BB">
              <w:rPr>
                <w:color w:val="auto"/>
              </w:rPr>
              <w:t>4</w:t>
            </w:r>
            <w:r w:rsidR="00DC100D">
              <w:rPr>
                <w:color w:val="auto"/>
              </w:rPr>
              <w:t>55</w:t>
            </w:r>
            <w:r w:rsidR="00056F87" w:rsidRPr="007955BB">
              <w:rPr>
                <w:color w:val="auto"/>
              </w:rPr>
              <w:t>.</w:t>
            </w:r>
            <w:r w:rsidR="00DC100D">
              <w:rPr>
                <w:color w:val="auto"/>
              </w:rPr>
              <w:t>97</w:t>
            </w:r>
          </w:p>
        </w:tc>
      </w:tr>
      <w:tr w:rsidR="00D379EC" w:rsidRPr="007955BB" w:rsidTr="00C51185">
        <w:trPr>
          <w:trHeight w:val="191"/>
        </w:trPr>
        <w:tc>
          <w:tcPr>
            <w:tcW w:w="5235" w:type="dxa"/>
            <w:tcBorders>
              <w:top w:val="nil"/>
              <w:left w:val="single" w:sz="4" w:space="0" w:color="auto"/>
              <w:bottom w:val="single" w:sz="4" w:space="0" w:color="auto"/>
              <w:right w:val="single" w:sz="6" w:space="0" w:color="auto"/>
            </w:tcBorders>
            <w:shd w:val="clear" w:color="auto" w:fill="auto"/>
            <w:vAlign w:val="center"/>
          </w:tcPr>
          <w:p w:rsidR="00D379EC" w:rsidRPr="007955BB" w:rsidRDefault="00D379EC" w:rsidP="007730AA">
            <w:pPr>
              <w:pStyle w:val="1fa"/>
              <w:spacing w:line="276" w:lineRule="auto"/>
              <w:jc w:val="left"/>
              <w:rPr>
                <w:color w:val="auto"/>
              </w:rPr>
            </w:pPr>
            <w:r w:rsidRPr="007955BB">
              <w:rPr>
                <w:color w:val="auto"/>
              </w:rPr>
              <w:t xml:space="preserve">1 Ռուսաստանյան ռուբլի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D379EC" w:rsidRPr="007955BB" w:rsidRDefault="00FC5B0B" w:rsidP="00DC100D">
            <w:pPr>
              <w:pStyle w:val="1fa"/>
              <w:spacing w:line="276" w:lineRule="auto"/>
              <w:rPr>
                <w:color w:val="auto"/>
                <w:lang w:val="ru-RU"/>
              </w:rPr>
            </w:pPr>
            <w:r w:rsidRPr="007955BB">
              <w:rPr>
                <w:color w:val="auto"/>
                <w:lang w:val="hy-AM"/>
              </w:rPr>
              <w:t>6</w:t>
            </w:r>
            <w:r w:rsidR="00A655E1" w:rsidRPr="007955BB">
              <w:rPr>
                <w:color w:val="auto"/>
              </w:rPr>
              <w:t>.</w:t>
            </w:r>
            <w:r w:rsidR="00DC100D">
              <w:rPr>
                <w:color w:val="auto"/>
              </w:rPr>
              <w:t>45</w:t>
            </w:r>
          </w:p>
        </w:tc>
      </w:tr>
      <w:tr w:rsidR="00D379EC" w:rsidRPr="007955BB" w:rsidTr="00C51185">
        <w:trPr>
          <w:trHeight w:val="160"/>
        </w:trPr>
        <w:tc>
          <w:tcPr>
            <w:tcW w:w="5235" w:type="dxa"/>
            <w:tcBorders>
              <w:top w:val="nil"/>
              <w:left w:val="single" w:sz="4" w:space="0" w:color="auto"/>
              <w:bottom w:val="single" w:sz="4" w:space="0" w:color="auto"/>
              <w:right w:val="single" w:sz="6" w:space="0" w:color="auto"/>
            </w:tcBorders>
            <w:shd w:val="clear" w:color="auto" w:fill="auto"/>
            <w:vAlign w:val="center"/>
          </w:tcPr>
          <w:p w:rsidR="00D379EC" w:rsidRPr="007955BB" w:rsidRDefault="00D379EC" w:rsidP="007730AA">
            <w:pPr>
              <w:pStyle w:val="1fa"/>
              <w:spacing w:line="276" w:lineRule="auto"/>
              <w:jc w:val="left"/>
              <w:rPr>
                <w:color w:val="auto"/>
              </w:rPr>
            </w:pPr>
            <w:r w:rsidRPr="007955BB">
              <w:rPr>
                <w:color w:val="auto"/>
              </w:rPr>
              <w:t xml:space="preserve">1 Շվեյցարական ֆրանկ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D379EC" w:rsidRPr="007955BB" w:rsidRDefault="00DC100D" w:rsidP="00DC100D">
            <w:pPr>
              <w:pStyle w:val="1fa"/>
              <w:spacing w:line="276" w:lineRule="auto"/>
              <w:rPr>
                <w:color w:val="auto"/>
              </w:rPr>
            </w:pPr>
            <w:r>
              <w:rPr>
                <w:color w:val="auto"/>
              </w:rPr>
              <w:t>397</w:t>
            </w:r>
            <w:r w:rsidR="00485C0B" w:rsidRPr="007955BB">
              <w:rPr>
                <w:color w:val="auto"/>
              </w:rPr>
              <w:t>.</w:t>
            </w:r>
            <w:r>
              <w:rPr>
                <w:color w:val="auto"/>
              </w:rPr>
              <w:t>70</w:t>
            </w:r>
          </w:p>
        </w:tc>
      </w:tr>
      <w:tr w:rsidR="00D379EC" w:rsidRPr="007955BB" w:rsidTr="00C51185">
        <w:trPr>
          <w:trHeight w:val="170"/>
        </w:trPr>
        <w:tc>
          <w:tcPr>
            <w:tcW w:w="5235" w:type="dxa"/>
            <w:tcBorders>
              <w:top w:val="nil"/>
              <w:left w:val="single" w:sz="4" w:space="0" w:color="auto"/>
              <w:bottom w:val="single" w:sz="4" w:space="0" w:color="auto"/>
              <w:right w:val="single" w:sz="6" w:space="0" w:color="auto"/>
            </w:tcBorders>
            <w:shd w:val="clear" w:color="auto" w:fill="auto"/>
            <w:vAlign w:val="center"/>
          </w:tcPr>
          <w:p w:rsidR="00D379EC" w:rsidRPr="007955BB" w:rsidRDefault="00D379EC" w:rsidP="007730AA">
            <w:pPr>
              <w:pStyle w:val="1fa"/>
              <w:spacing w:line="276" w:lineRule="auto"/>
              <w:jc w:val="left"/>
              <w:rPr>
                <w:color w:val="auto"/>
              </w:rPr>
            </w:pPr>
            <w:r w:rsidRPr="007955BB">
              <w:rPr>
                <w:color w:val="auto"/>
              </w:rPr>
              <w:t xml:space="preserve">1 Կանադական դոլար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D379EC" w:rsidRPr="007955BB" w:rsidRDefault="00DC100D" w:rsidP="00DC100D">
            <w:pPr>
              <w:pStyle w:val="1fa"/>
              <w:spacing w:line="276" w:lineRule="auto"/>
              <w:rPr>
                <w:color w:val="auto"/>
              </w:rPr>
            </w:pPr>
            <w:r>
              <w:rPr>
                <w:color w:val="auto"/>
              </w:rPr>
              <w:t>291</w:t>
            </w:r>
            <w:r w:rsidR="00FC5B0B" w:rsidRPr="007955BB">
              <w:rPr>
                <w:color w:val="auto"/>
                <w:lang w:val="hy-AM"/>
              </w:rPr>
              <w:t>.</w:t>
            </w:r>
            <w:r>
              <w:rPr>
                <w:color w:val="auto"/>
              </w:rPr>
              <w:t>72</w:t>
            </w:r>
          </w:p>
        </w:tc>
      </w:tr>
      <w:tr w:rsidR="00D379EC" w:rsidRPr="007955BB" w:rsidTr="00C51185">
        <w:trPr>
          <w:trHeight w:val="165"/>
        </w:trPr>
        <w:tc>
          <w:tcPr>
            <w:tcW w:w="5235" w:type="dxa"/>
            <w:tcBorders>
              <w:top w:val="nil"/>
              <w:left w:val="single" w:sz="4" w:space="0" w:color="auto"/>
              <w:bottom w:val="single" w:sz="4" w:space="0" w:color="auto"/>
              <w:right w:val="single" w:sz="6" w:space="0" w:color="auto"/>
            </w:tcBorders>
            <w:shd w:val="clear" w:color="auto" w:fill="auto"/>
            <w:vAlign w:val="center"/>
          </w:tcPr>
          <w:p w:rsidR="00D379EC" w:rsidRPr="007955BB" w:rsidRDefault="00D379EC" w:rsidP="007730AA">
            <w:pPr>
              <w:pStyle w:val="1fa"/>
              <w:spacing w:line="276" w:lineRule="auto"/>
              <w:jc w:val="left"/>
              <w:rPr>
                <w:color w:val="auto"/>
              </w:rPr>
            </w:pPr>
            <w:r w:rsidRPr="007955BB">
              <w:rPr>
                <w:color w:val="auto"/>
              </w:rPr>
              <w:t xml:space="preserve">10 ճապոնական իեն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D379EC" w:rsidRPr="007955BB" w:rsidRDefault="00DC100D" w:rsidP="00DC100D">
            <w:pPr>
              <w:pStyle w:val="1fa"/>
              <w:spacing w:line="276" w:lineRule="auto"/>
              <w:rPr>
                <w:color w:val="auto"/>
                <w:lang w:val="hy-AM"/>
              </w:rPr>
            </w:pPr>
            <w:r>
              <w:rPr>
                <w:color w:val="auto"/>
              </w:rPr>
              <w:t>26</w:t>
            </w:r>
            <w:r w:rsidR="00A655E1" w:rsidRPr="007955BB">
              <w:rPr>
                <w:color w:val="auto"/>
              </w:rPr>
              <w:t>.</w:t>
            </w:r>
            <w:r>
              <w:rPr>
                <w:color w:val="auto"/>
              </w:rPr>
              <w:t>84</w:t>
            </w:r>
          </w:p>
        </w:tc>
      </w:tr>
      <w:tr w:rsidR="00D379EC" w:rsidRPr="007955BB" w:rsidTr="00C51185">
        <w:trPr>
          <w:trHeight w:val="165"/>
        </w:trPr>
        <w:tc>
          <w:tcPr>
            <w:tcW w:w="5235" w:type="dxa"/>
            <w:tcBorders>
              <w:top w:val="nil"/>
              <w:left w:val="single" w:sz="4" w:space="0" w:color="auto"/>
              <w:bottom w:val="single" w:sz="4" w:space="0" w:color="auto"/>
              <w:right w:val="single" w:sz="6" w:space="0" w:color="auto"/>
            </w:tcBorders>
            <w:shd w:val="clear" w:color="auto" w:fill="auto"/>
            <w:vAlign w:val="center"/>
          </w:tcPr>
          <w:p w:rsidR="00D379EC" w:rsidRPr="007955BB" w:rsidRDefault="00D379EC" w:rsidP="007730AA">
            <w:pPr>
              <w:pStyle w:val="1fa"/>
              <w:spacing w:line="276" w:lineRule="auto"/>
              <w:jc w:val="left"/>
              <w:rPr>
                <w:color w:val="auto"/>
              </w:rPr>
            </w:pPr>
            <w:r w:rsidRPr="007955BB">
              <w:rPr>
                <w:color w:val="auto"/>
              </w:rPr>
              <w:t xml:space="preserve">1 Չինական յուան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D379EC" w:rsidRPr="007955BB" w:rsidRDefault="00ED4063" w:rsidP="00DC100D">
            <w:pPr>
              <w:pStyle w:val="1fa"/>
              <w:spacing w:line="276" w:lineRule="auto"/>
              <w:rPr>
                <w:color w:val="auto"/>
                <w:lang w:val="hy-AM"/>
              </w:rPr>
            </w:pPr>
            <w:r w:rsidRPr="007955BB">
              <w:rPr>
                <w:color w:val="auto"/>
              </w:rPr>
              <w:t>5</w:t>
            </w:r>
            <w:r w:rsidR="00DC100D">
              <w:rPr>
                <w:color w:val="auto"/>
              </w:rPr>
              <w:t>4</w:t>
            </w:r>
            <w:r w:rsidR="00485C0B" w:rsidRPr="007955BB">
              <w:rPr>
                <w:color w:val="auto"/>
                <w:lang w:val="ru-RU"/>
              </w:rPr>
              <w:t>.</w:t>
            </w:r>
            <w:r w:rsidR="00056F87" w:rsidRPr="007955BB">
              <w:rPr>
                <w:color w:val="auto"/>
              </w:rPr>
              <w:t>8</w:t>
            </w:r>
            <w:r w:rsidR="00DC100D">
              <w:rPr>
                <w:color w:val="auto"/>
              </w:rPr>
              <w:t>3</w:t>
            </w:r>
          </w:p>
        </w:tc>
      </w:tr>
    </w:tbl>
    <w:p w:rsidR="00C72188" w:rsidRPr="00902824" w:rsidRDefault="00C72188" w:rsidP="007F28F7">
      <w:pPr>
        <w:pStyle w:val="Heading3"/>
      </w:pPr>
      <w:bookmarkStart w:id="239" w:name="_Toc89254350"/>
      <w:bookmarkStart w:id="240" w:name="_Toc120805209"/>
      <w:bookmarkStart w:id="241" w:name="_Toc57655464"/>
      <w:bookmarkStart w:id="242" w:name="_Toc57655465"/>
      <w:r w:rsidRPr="00902824">
        <w:t>Պետական բյուջեի դեֆիցիտի ֆինանսավորման աղբյուրները</w:t>
      </w:r>
      <w:bookmarkEnd w:id="239"/>
      <w:bookmarkEnd w:id="240"/>
    </w:p>
    <w:p w:rsidR="00902824" w:rsidRPr="00902824" w:rsidRDefault="00902824" w:rsidP="00902824">
      <w:pPr>
        <w:spacing w:before="0" w:line="276" w:lineRule="auto"/>
        <w:ind w:firstLine="600"/>
        <w:contextualSpacing w:val="0"/>
        <w:rPr>
          <w:rFonts w:cs="Sylfaen"/>
          <w:b w:val="0"/>
          <w:szCs w:val="22"/>
          <w:lang w:val="hy-AM" w:eastAsia="en-US"/>
        </w:rPr>
      </w:pPr>
      <w:bookmarkStart w:id="243" w:name="_Toc83728697"/>
      <w:bookmarkStart w:id="244" w:name="_Toc89254351"/>
      <w:bookmarkEnd w:id="241"/>
      <w:bookmarkEnd w:id="242"/>
      <w:r w:rsidRPr="00902824">
        <w:rPr>
          <w:rFonts w:cs="Sylfaen"/>
          <w:b w:val="0"/>
          <w:szCs w:val="22"/>
          <w:lang w:val="hy-AM" w:eastAsia="en-US"/>
        </w:rPr>
        <w:t>Պետական  բյուջեի ձևավորումը 202</w:t>
      </w:r>
      <w:r w:rsidRPr="00902824">
        <w:rPr>
          <w:rFonts w:cs="Sylfaen"/>
          <w:b w:val="0"/>
          <w:szCs w:val="22"/>
          <w:lang w:val="af-ZA" w:eastAsia="en-US"/>
        </w:rPr>
        <w:t>3</w:t>
      </w:r>
      <w:r w:rsidRPr="00902824">
        <w:rPr>
          <w:rFonts w:cs="Sylfaen"/>
          <w:b w:val="0"/>
          <w:szCs w:val="22"/>
          <w:lang w:val="hy-AM" w:eastAsia="en-US"/>
        </w:rPr>
        <w:t xml:space="preserve"> թվականին շարունակելու  է ընթանալ բյուջե</w:t>
      </w:r>
      <w:r w:rsidRPr="00902824">
        <w:rPr>
          <w:rFonts w:cs="Sylfaen"/>
          <w:b w:val="0"/>
          <w:szCs w:val="22"/>
          <w:lang w:val="hy-AM" w:eastAsia="en-US"/>
        </w:rPr>
        <w:softHyphen/>
        <w:t>տա</w:t>
      </w:r>
      <w:r w:rsidRPr="00902824">
        <w:rPr>
          <w:rFonts w:cs="Sylfaen"/>
          <w:b w:val="0"/>
          <w:szCs w:val="22"/>
          <w:lang w:val="hy-AM" w:eastAsia="en-US"/>
        </w:rPr>
        <w:softHyphen/>
        <w:t>յին եկա</w:t>
      </w:r>
      <w:r w:rsidRPr="00902824">
        <w:rPr>
          <w:rFonts w:cs="Sylfaen"/>
          <w:b w:val="0"/>
          <w:szCs w:val="22"/>
          <w:lang w:val="hy-AM" w:eastAsia="en-US"/>
        </w:rPr>
        <w:softHyphen/>
        <w:t>մուտների նկատ</w:t>
      </w:r>
      <w:r w:rsidRPr="00902824">
        <w:rPr>
          <w:rFonts w:cs="Sylfaen"/>
          <w:b w:val="0"/>
          <w:szCs w:val="22"/>
          <w:lang w:val="hy-AM" w:eastAsia="en-US"/>
        </w:rPr>
        <w:softHyphen/>
        <w:t>մամբ ծախսերի գերազանցմամբ, ընդ որում՝ բյուջետային դեֆիցի</w:t>
      </w:r>
      <w:r w:rsidRPr="00902824">
        <w:rPr>
          <w:rFonts w:cs="Sylfaen"/>
          <w:b w:val="0"/>
          <w:szCs w:val="22"/>
          <w:lang w:val="hy-AM" w:eastAsia="en-US"/>
        </w:rPr>
        <w:softHyphen/>
        <w:t>տի ֆինան</w:t>
      </w:r>
      <w:r w:rsidRPr="00902824">
        <w:rPr>
          <w:rFonts w:cs="Sylfaen"/>
          <w:b w:val="0"/>
          <w:szCs w:val="22"/>
          <w:lang w:val="hy-AM" w:eastAsia="en-US"/>
        </w:rPr>
        <w:softHyphen/>
      </w:r>
      <w:r w:rsidRPr="00902824">
        <w:rPr>
          <w:rFonts w:cs="Sylfaen"/>
          <w:b w:val="0"/>
          <w:szCs w:val="22"/>
          <w:lang w:val="hy-AM" w:eastAsia="en-US"/>
        </w:rPr>
        <w:softHyphen/>
        <w:t>սա</w:t>
      </w:r>
      <w:r w:rsidRPr="00902824">
        <w:rPr>
          <w:rFonts w:cs="Sylfaen"/>
          <w:b w:val="0"/>
          <w:szCs w:val="22"/>
          <w:lang w:val="hy-AM" w:eastAsia="en-US"/>
        </w:rPr>
        <w:softHyphen/>
        <w:t>վորման համար միջոց</w:t>
      </w:r>
      <w:r w:rsidRPr="00902824">
        <w:rPr>
          <w:rFonts w:cs="Sylfaen"/>
          <w:b w:val="0"/>
          <w:szCs w:val="22"/>
          <w:lang w:val="hy-AM" w:eastAsia="en-US"/>
        </w:rPr>
        <w:softHyphen/>
        <w:t>ների ներգրավումն իրականացվելու է ինչպես ներքին, այն</w:t>
      </w:r>
      <w:r w:rsidRPr="00902824">
        <w:rPr>
          <w:rFonts w:cs="Sylfaen"/>
          <w:b w:val="0"/>
          <w:szCs w:val="22"/>
          <w:lang w:val="hy-AM" w:eastAsia="en-US"/>
        </w:rPr>
        <w:softHyphen/>
        <w:t>պես էլ  արտա</w:t>
      </w:r>
      <w:r w:rsidRPr="00902824">
        <w:rPr>
          <w:rFonts w:cs="Sylfaen"/>
          <w:b w:val="0"/>
          <w:szCs w:val="22"/>
          <w:lang w:val="hy-AM" w:eastAsia="en-US"/>
        </w:rPr>
        <w:softHyphen/>
        <w:t>քին աղբյուր</w:t>
      </w:r>
      <w:r w:rsidRPr="00902824">
        <w:rPr>
          <w:rFonts w:cs="Sylfaen"/>
          <w:b w:val="0"/>
          <w:szCs w:val="22"/>
          <w:lang w:val="hy-AM" w:eastAsia="en-US"/>
        </w:rPr>
        <w:softHyphen/>
        <w:t xml:space="preserve">ներից, համապատասխանաբար` </w:t>
      </w:r>
      <w:r w:rsidRPr="00902824">
        <w:rPr>
          <w:rFonts w:cs="Sylfaen"/>
          <w:b w:val="0"/>
          <w:szCs w:val="22"/>
          <w:lang w:val="af-ZA" w:eastAsia="en-US"/>
        </w:rPr>
        <w:t>3</w:t>
      </w:r>
      <w:r w:rsidRPr="00902824">
        <w:rPr>
          <w:rFonts w:cs="Sylfaen"/>
          <w:b w:val="0"/>
          <w:szCs w:val="22"/>
          <w:lang w:val="hy-AM" w:eastAsia="en-US"/>
        </w:rPr>
        <w:t>0</w:t>
      </w:r>
      <w:r w:rsidR="00567F1D">
        <w:rPr>
          <w:rFonts w:cs="Sylfaen"/>
          <w:b w:val="0"/>
          <w:szCs w:val="22"/>
          <w:lang w:val="hy-AM" w:eastAsia="en-US"/>
        </w:rPr>
        <w:t>2</w:t>
      </w:r>
      <w:r w:rsidRPr="00902824">
        <w:rPr>
          <w:rFonts w:cs="Sylfaen"/>
          <w:b w:val="0"/>
          <w:szCs w:val="22"/>
          <w:lang w:val="af-ZA" w:eastAsia="en-US"/>
        </w:rPr>
        <w:t>.</w:t>
      </w:r>
      <w:r w:rsidR="00567F1D">
        <w:rPr>
          <w:rFonts w:cs="Sylfaen"/>
          <w:b w:val="0"/>
          <w:szCs w:val="22"/>
          <w:lang w:val="hy-AM" w:eastAsia="en-US"/>
        </w:rPr>
        <w:t>8</w:t>
      </w:r>
      <w:r w:rsidRPr="00902824">
        <w:rPr>
          <w:rFonts w:cs="Sylfaen"/>
          <w:b w:val="0"/>
          <w:szCs w:val="22"/>
          <w:lang w:val="hy-AM" w:eastAsia="en-US"/>
        </w:rPr>
        <w:t xml:space="preserve"> մլրդ դրամի և </w:t>
      </w:r>
      <w:r w:rsidRPr="00902824">
        <w:rPr>
          <w:rFonts w:cs="Sylfaen"/>
          <w:b w:val="0"/>
          <w:szCs w:val="22"/>
          <w:lang w:val="af-ZA" w:eastAsia="en-US"/>
        </w:rPr>
        <w:t>-</w:t>
      </w:r>
      <w:r w:rsidRPr="00902824">
        <w:rPr>
          <w:rFonts w:cs="Sylfaen"/>
          <w:b w:val="0"/>
          <w:szCs w:val="22"/>
          <w:lang w:val="hy-AM" w:eastAsia="en-US"/>
        </w:rPr>
        <w:t>1</w:t>
      </w:r>
      <w:r w:rsidR="00567F1D">
        <w:rPr>
          <w:rFonts w:cs="Sylfaen"/>
          <w:b w:val="0"/>
          <w:szCs w:val="22"/>
          <w:lang w:val="hy-AM" w:eastAsia="en-US"/>
        </w:rPr>
        <w:t>3</w:t>
      </w:r>
      <w:r w:rsidRPr="00902824">
        <w:rPr>
          <w:rFonts w:cs="Sylfaen"/>
          <w:b w:val="0"/>
          <w:szCs w:val="22"/>
          <w:lang w:val="af-ZA" w:eastAsia="en-US"/>
        </w:rPr>
        <w:t>.</w:t>
      </w:r>
      <w:r w:rsidR="00567F1D">
        <w:rPr>
          <w:rFonts w:cs="Sylfaen"/>
          <w:b w:val="0"/>
          <w:szCs w:val="22"/>
          <w:lang w:val="hy-AM" w:eastAsia="en-US"/>
        </w:rPr>
        <w:t>9</w:t>
      </w:r>
      <w:r w:rsidRPr="00902824">
        <w:rPr>
          <w:rFonts w:cs="Sylfaen"/>
          <w:b w:val="0"/>
          <w:szCs w:val="22"/>
          <w:lang w:val="hy-AM" w:eastAsia="en-US"/>
        </w:rPr>
        <w:t xml:space="preserve"> մլրդ</w:t>
      </w:r>
      <w:r w:rsidRPr="00902824">
        <w:rPr>
          <w:rFonts w:ascii="Cambria Math" w:hAnsi="Cambria Math" w:cs="Sylfaen"/>
          <w:b w:val="0"/>
          <w:szCs w:val="22"/>
          <w:lang w:val="hy-AM" w:eastAsia="en-US"/>
        </w:rPr>
        <w:t>․</w:t>
      </w:r>
      <w:r w:rsidRPr="00902824">
        <w:rPr>
          <w:rFonts w:cs="Sylfaen"/>
          <w:b w:val="0"/>
          <w:szCs w:val="22"/>
          <w:lang w:val="hy-AM" w:eastAsia="en-US"/>
        </w:rPr>
        <w:t xml:space="preserve"> դրամի չափով: </w:t>
      </w:r>
    </w:p>
    <w:p w:rsidR="00902824" w:rsidRPr="00902824" w:rsidRDefault="00902824" w:rsidP="00902824">
      <w:pPr>
        <w:spacing w:before="0" w:line="276" w:lineRule="auto"/>
        <w:ind w:firstLine="600"/>
        <w:contextualSpacing w:val="0"/>
        <w:rPr>
          <w:rFonts w:cs="Sylfaen"/>
          <w:b w:val="0"/>
          <w:color w:val="FF0000"/>
          <w:szCs w:val="22"/>
          <w:lang w:val="hy-AM" w:eastAsia="en-US"/>
        </w:rPr>
      </w:pPr>
      <w:r w:rsidRPr="00902824">
        <w:rPr>
          <w:rFonts w:cs="Sylfaen"/>
          <w:b w:val="0"/>
          <w:szCs w:val="22"/>
          <w:lang w:val="hy-AM" w:eastAsia="en-US"/>
        </w:rPr>
        <w:t>ՀՀ 2023 թվականի պետական բյուջեի նախագծով դեֆիցիտի ֆինանսավորման նպա</w:t>
      </w:r>
      <w:r w:rsidRPr="00902824">
        <w:rPr>
          <w:rFonts w:cs="Sylfaen"/>
          <w:b w:val="0"/>
          <w:szCs w:val="22"/>
          <w:lang w:val="hy-AM" w:eastAsia="en-US"/>
        </w:rPr>
        <w:softHyphen/>
        <w:t>տա</w:t>
      </w:r>
      <w:r w:rsidRPr="00902824">
        <w:rPr>
          <w:rFonts w:cs="Sylfaen"/>
          <w:b w:val="0"/>
          <w:szCs w:val="22"/>
          <w:lang w:val="hy-AM" w:eastAsia="en-US"/>
        </w:rPr>
        <w:softHyphen/>
        <w:t>կով ներքին աղբյուրներից ներգրավվող փոխառու զուտ միջոցների ընդհանուր գու</w:t>
      </w:r>
      <w:r w:rsidRPr="00902824">
        <w:rPr>
          <w:rFonts w:cs="Sylfaen"/>
          <w:b w:val="0"/>
          <w:szCs w:val="22"/>
          <w:lang w:val="hy-AM" w:eastAsia="en-US"/>
        </w:rPr>
        <w:softHyphen/>
        <w:t>մարը ծրագ</w:t>
      </w:r>
      <w:r w:rsidRPr="00902824">
        <w:rPr>
          <w:rFonts w:cs="Sylfaen"/>
          <w:b w:val="0"/>
          <w:szCs w:val="22"/>
          <w:lang w:val="hy-AM" w:eastAsia="en-US"/>
        </w:rPr>
        <w:softHyphen/>
        <w:t>րա</w:t>
      </w:r>
      <w:r w:rsidRPr="00902824">
        <w:rPr>
          <w:rFonts w:cs="Sylfaen"/>
          <w:b w:val="0"/>
          <w:szCs w:val="22"/>
          <w:lang w:val="hy-AM" w:eastAsia="en-US"/>
        </w:rPr>
        <w:softHyphen/>
        <w:t>վորվում է շուրջ 295.2 մլրդ դրամի չափով, ընդ որում, փոխառու միջոցների մուտ</w:t>
      </w:r>
      <w:r w:rsidRPr="00902824">
        <w:rPr>
          <w:rFonts w:cs="Sylfaen"/>
          <w:b w:val="0"/>
          <w:szCs w:val="22"/>
          <w:lang w:val="hy-AM" w:eastAsia="en-US"/>
        </w:rPr>
        <w:softHyphen/>
        <w:t>քերի ներ</w:t>
      </w:r>
      <w:r w:rsidRPr="00902824">
        <w:rPr>
          <w:rFonts w:cs="Sylfaen"/>
          <w:b w:val="0"/>
          <w:szCs w:val="22"/>
          <w:lang w:val="hy-AM" w:eastAsia="en-US"/>
        </w:rPr>
        <w:softHyphen/>
        <w:t>գրա</w:t>
      </w:r>
      <w:r w:rsidRPr="00902824">
        <w:rPr>
          <w:rFonts w:cs="Sylfaen"/>
          <w:b w:val="0"/>
          <w:szCs w:val="22"/>
          <w:lang w:val="hy-AM" w:eastAsia="en-US"/>
        </w:rPr>
        <w:softHyphen/>
        <w:t>վու</w:t>
      </w:r>
      <w:r w:rsidRPr="00902824">
        <w:rPr>
          <w:rFonts w:cs="Sylfaen"/>
          <w:b w:val="0"/>
          <w:szCs w:val="22"/>
          <w:lang w:val="hy-AM" w:eastAsia="en-US"/>
        </w:rPr>
        <w:softHyphen/>
        <w:t>մը ամբողջությամբ նախատեսվում է ապահովել պետական արժեթղթերի թողար</w:t>
      </w:r>
      <w:r w:rsidRPr="00902824">
        <w:rPr>
          <w:rFonts w:cs="Sylfaen"/>
          <w:b w:val="0"/>
          <w:szCs w:val="22"/>
          <w:lang w:val="hy-AM" w:eastAsia="en-US"/>
        </w:rPr>
        <w:softHyphen/>
        <w:t>կումից: Ֆի</w:t>
      </w:r>
      <w:r w:rsidRPr="00902824">
        <w:rPr>
          <w:rFonts w:cs="Sylfaen"/>
          <w:b w:val="0"/>
          <w:szCs w:val="22"/>
          <w:lang w:val="hy-AM" w:eastAsia="en-US"/>
        </w:rPr>
        <w:softHyphen/>
        <w:t>նան</w:t>
      </w:r>
      <w:r w:rsidRPr="00902824">
        <w:rPr>
          <w:rFonts w:cs="Sylfaen"/>
          <w:b w:val="0"/>
          <w:szCs w:val="22"/>
          <w:lang w:val="hy-AM" w:eastAsia="en-US"/>
        </w:rPr>
        <w:softHyphen/>
        <w:t>սա</w:t>
      </w:r>
      <w:r w:rsidRPr="00902824">
        <w:rPr>
          <w:rFonts w:cs="Sylfaen"/>
          <w:b w:val="0"/>
          <w:szCs w:val="22"/>
          <w:lang w:val="hy-AM" w:eastAsia="en-US"/>
        </w:rPr>
        <w:softHyphen/>
        <w:t xml:space="preserve">կան ակտիվներից 2023 թվականի զուտ մուտքերը ծրագրավորվում են շուրջ </w:t>
      </w:r>
      <w:r w:rsidR="00567F1D">
        <w:rPr>
          <w:rFonts w:cs="Sylfaen"/>
          <w:b w:val="0"/>
          <w:szCs w:val="22"/>
          <w:lang w:val="hy-AM" w:eastAsia="en-US"/>
        </w:rPr>
        <w:t>7</w:t>
      </w:r>
      <w:r w:rsidRPr="00902824">
        <w:rPr>
          <w:rFonts w:cs="Sylfaen"/>
          <w:b w:val="0"/>
          <w:szCs w:val="22"/>
          <w:lang w:val="hy-AM" w:eastAsia="en-US"/>
        </w:rPr>
        <w:t>.</w:t>
      </w:r>
      <w:r w:rsidR="00567F1D">
        <w:rPr>
          <w:rFonts w:cs="Sylfaen"/>
          <w:b w:val="0"/>
          <w:szCs w:val="22"/>
          <w:lang w:val="hy-AM" w:eastAsia="en-US"/>
        </w:rPr>
        <w:t>6</w:t>
      </w:r>
      <w:r w:rsidRPr="00902824">
        <w:rPr>
          <w:rFonts w:cs="Sylfaen"/>
          <w:b w:val="0"/>
          <w:szCs w:val="22"/>
          <w:lang w:val="hy-AM" w:eastAsia="en-US"/>
        </w:rPr>
        <w:t xml:space="preserve"> մլրդ դրամ, ընդ որում, վարկերի և փոխատվությունների տրամադրման գծով՝ -35.</w:t>
      </w:r>
      <w:r w:rsidR="00567F1D">
        <w:rPr>
          <w:rFonts w:cs="Sylfaen"/>
          <w:b w:val="0"/>
          <w:szCs w:val="22"/>
          <w:lang w:val="hy-AM" w:eastAsia="en-US"/>
        </w:rPr>
        <w:t>5</w:t>
      </w:r>
      <w:r w:rsidRPr="00902824">
        <w:rPr>
          <w:rFonts w:cs="Sylfaen"/>
          <w:b w:val="0"/>
          <w:szCs w:val="22"/>
          <w:lang w:val="hy-AM" w:eastAsia="en-US"/>
        </w:rPr>
        <w:t xml:space="preserve"> մլրդ դրամ, իսկ տնտես</w:t>
      </w:r>
      <w:r w:rsidRPr="00902824">
        <w:rPr>
          <w:rFonts w:cs="Sylfaen"/>
          <w:b w:val="0"/>
          <w:szCs w:val="22"/>
          <w:lang w:val="hy-AM" w:eastAsia="en-US"/>
        </w:rPr>
        <w:softHyphen/>
      </w:r>
      <w:r w:rsidRPr="00902824">
        <w:rPr>
          <w:rFonts w:cs="Sylfaen"/>
          <w:b w:val="0"/>
          <w:szCs w:val="22"/>
          <w:lang w:val="hy-AM" w:eastAsia="en-US"/>
        </w:rPr>
        <w:softHyphen/>
        <w:t>վարող և այլ սուբյեկտներին տրա</w:t>
      </w:r>
      <w:r w:rsidRPr="00902824">
        <w:rPr>
          <w:rFonts w:cs="Sylfaen"/>
          <w:b w:val="0"/>
          <w:szCs w:val="22"/>
          <w:lang w:val="hy-AM" w:eastAsia="en-US"/>
        </w:rPr>
        <w:softHyphen/>
        <w:t>մադրված բյուջետային վարկերի և փոխատ</w:t>
      </w:r>
      <w:r w:rsidRPr="00902824">
        <w:rPr>
          <w:rFonts w:cs="Sylfaen"/>
          <w:b w:val="0"/>
          <w:szCs w:val="22"/>
          <w:lang w:val="hy-AM" w:eastAsia="en-US"/>
        </w:rPr>
        <w:softHyphen/>
        <w:t>վու</w:t>
      </w:r>
      <w:r w:rsidRPr="00902824">
        <w:rPr>
          <w:rFonts w:cs="Sylfaen"/>
          <w:b w:val="0"/>
          <w:szCs w:val="22"/>
          <w:lang w:val="hy-AM" w:eastAsia="en-US"/>
        </w:rPr>
        <w:softHyphen/>
        <w:t>թյուն</w:t>
      </w:r>
      <w:r w:rsidRPr="00902824">
        <w:rPr>
          <w:rFonts w:cs="Sylfaen"/>
          <w:b w:val="0"/>
          <w:szCs w:val="22"/>
          <w:lang w:val="hy-AM" w:eastAsia="en-US"/>
        </w:rPr>
        <w:softHyphen/>
        <w:t>նե</w:t>
      </w:r>
      <w:r w:rsidRPr="00902824">
        <w:rPr>
          <w:rFonts w:cs="Sylfaen"/>
          <w:b w:val="0"/>
          <w:szCs w:val="22"/>
          <w:lang w:val="hy-AM" w:eastAsia="en-US"/>
        </w:rPr>
        <w:softHyphen/>
        <w:t>րի վերադարձից մուտ</w:t>
      </w:r>
      <w:r w:rsidRPr="00902824">
        <w:rPr>
          <w:rFonts w:cs="Sylfaen"/>
          <w:b w:val="0"/>
          <w:szCs w:val="22"/>
          <w:lang w:val="hy-AM" w:eastAsia="en-US"/>
        </w:rPr>
        <w:softHyphen/>
        <w:t>քե</w:t>
      </w:r>
      <w:r w:rsidRPr="00902824">
        <w:rPr>
          <w:rFonts w:cs="Sylfaen"/>
          <w:b w:val="0"/>
          <w:szCs w:val="22"/>
          <w:lang w:val="hy-AM" w:eastAsia="en-US"/>
        </w:rPr>
        <w:softHyphen/>
        <w:t>րի գծով` 27.4 մլրդ դրամ, կայունացման դեպոզիտային հաշվի համալրում`  4.0 մլրդ դրամ:</w:t>
      </w:r>
    </w:p>
    <w:p w:rsidR="00902824" w:rsidRPr="00902824" w:rsidRDefault="00902824" w:rsidP="00902824">
      <w:pPr>
        <w:spacing w:before="0" w:line="276" w:lineRule="auto"/>
        <w:ind w:firstLine="600"/>
        <w:contextualSpacing w:val="0"/>
        <w:rPr>
          <w:rFonts w:cs="Sylfaen"/>
          <w:b w:val="0"/>
          <w:szCs w:val="22"/>
          <w:lang w:val="hy-AM" w:eastAsia="en-US"/>
        </w:rPr>
      </w:pPr>
      <w:r w:rsidRPr="00902824">
        <w:rPr>
          <w:rFonts w:cs="Sylfaen"/>
          <w:b w:val="0"/>
          <w:szCs w:val="22"/>
          <w:lang w:val="hy-AM" w:eastAsia="en-US"/>
        </w:rPr>
        <w:t>ՀՀ 2023 թվականի պետական բյուջեի նախագծով դեֆիցիտի ֆինանսավորման նպա</w:t>
      </w:r>
      <w:r w:rsidRPr="00902824">
        <w:rPr>
          <w:rFonts w:cs="Sylfaen"/>
          <w:b w:val="0"/>
          <w:szCs w:val="22"/>
          <w:lang w:val="hy-AM" w:eastAsia="en-US"/>
        </w:rPr>
        <w:softHyphen/>
        <w:t>տա</w:t>
      </w:r>
      <w:r w:rsidRPr="00902824">
        <w:rPr>
          <w:rFonts w:cs="Sylfaen"/>
          <w:b w:val="0"/>
          <w:szCs w:val="22"/>
          <w:lang w:val="hy-AM" w:eastAsia="en-US"/>
        </w:rPr>
        <w:softHyphen/>
        <w:t>կով արտաքին աղբյուրներից ներգրավվող փոխառու զուտ միջոցների ծրա</w:t>
      </w:r>
      <w:r w:rsidRPr="00902824">
        <w:rPr>
          <w:rFonts w:cs="Sylfaen"/>
          <w:b w:val="0"/>
          <w:szCs w:val="22"/>
          <w:lang w:val="hy-AM" w:eastAsia="en-US"/>
        </w:rPr>
        <w:softHyphen/>
        <w:t>գր</w:t>
      </w:r>
      <w:r w:rsidRPr="00902824">
        <w:rPr>
          <w:rFonts w:cs="Sylfaen"/>
          <w:b w:val="0"/>
          <w:szCs w:val="22"/>
          <w:lang w:val="hy-AM" w:eastAsia="en-US"/>
        </w:rPr>
        <w:softHyphen/>
        <w:t>ված ընդ</w:t>
      </w:r>
      <w:r w:rsidRPr="00902824">
        <w:rPr>
          <w:rFonts w:cs="Sylfaen"/>
          <w:b w:val="0"/>
          <w:szCs w:val="22"/>
          <w:lang w:val="hy-AM" w:eastAsia="en-US"/>
        </w:rPr>
        <w:softHyphen/>
        <w:t>հա</w:t>
      </w:r>
      <w:r w:rsidRPr="00902824">
        <w:rPr>
          <w:rFonts w:cs="Sylfaen"/>
          <w:b w:val="0"/>
          <w:szCs w:val="22"/>
          <w:lang w:val="hy-AM" w:eastAsia="en-US"/>
        </w:rPr>
        <w:softHyphen/>
        <w:t>նուր գու</w:t>
      </w:r>
      <w:r w:rsidRPr="00902824">
        <w:rPr>
          <w:rFonts w:cs="Sylfaen"/>
          <w:b w:val="0"/>
          <w:szCs w:val="22"/>
          <w:lang w:val="hy-AM" w:eastAsia="en-US"/>
        </w:rPr>
        <w:softHyphen/>
        <w:t>մա</w:t>
      </w:r>
      <w:r w:rsidRPr="00902824">
        <w:rPr>
          <w:rFonts w:cs="Sylfaen"/>
          <w:b w:val="0"/>
          <w:szCs w:val="22"/>
          <w:lang w:val="hy-AM" w:eastAsia="en-US"/>
        </w:rPr>
        <w:softHyphen/>
        <w:t>րը՝ 123.4 մլրդ դրամ է, որը հաշվարկվել է որպես միջազ</w:t>
      </w:r>
      <w:r w:rsidRPr="00902824">
        <w:rPr>
          <w:rFonts w:cs="Sylfaen"/>
          <w:b w:val="0"/>
          <w:szCs w:val="22"/>
          <w:lang w:val="hy-AM" w:eastAsia="en-US"/>
        </w:rPr>
        <w:softHyphen/>
        <w:t>գային կազմակեր</w:t>
      </w:r>
      <w:r w:rsidRPr="00902824">
        <w:rPr>
          <w:rFonts w:cs="Sylfaen"/>
          <w:b w:val="0"/>
          <w:szCs w:val="22"/>
          <w:lang w:val="hy-AM" w:eastAsia="en-US"/>
        </w:rPr>
        <w:softHyphen/>
        <w:t>պություններից և օտար</w:t>
      </w:r>
      <w:r w:rsidRPr="00902824">
        <w:rPr>
          <w:rFonts w:cs="Sylfaen"/>
          <w:b w:val="0"/>
          <w:szCs w:val="22"/>
          <w:lang w:val="hy-AM" w:eastAsia="en-US"/>
        </w:rPr>
        <w:softHyphen/>
        <w:t>եր</w:t>
      </w:r>
      <w:r w:rsidRPr="00902824">
        <w:rPr>
          <w:rFonts w:cs="Sylfaen"/>
          <w:b w:val="0"/>
          <w:szCs w:val="22"/>
          <w:lang w:val="hy-AM" w:eastAsia="en-US"/>
        </w:rPr>
        <w:softHyphen/>
        <w:t>կրյա պետություններից Հայաս</w:t>
      </w:r>
      <w:r w:rsidRPr="00902824">
        <w:rPr>
          <w:rFonts w:cs="Sylfaen"/>
          <w:b w:val="0"/>
          <w:szCs w:val="22"/>
          <w:lang w:val="hy-AM" w:eastAsia="en-US"/>
        </w:rPr>
        <w:softHyphen/>
        <w:t>տանի Հան</w:t>
      </w:r>
      <w:r w:rsidRPr="00902824">
        <w:rPr>
          <w:rFonts w:cs="Sylfaen"/>
          <w:b w:val="0"/>
          <w:szCs w:val="22"/>
          <w:lang w:val="hy-AM" w:eastAsia="en-US"/>
        </w:rPr>
        <w:softHyphen/>
        <w:t>րապե</w:t>
      </w:r>
      <w:r w:rsidRPr="00902824">
        <w:rPr>
          <w:rFonts w:cs="Sylfaen"/>
          <w:b w:val="0"/>
          <w:szCs w:val="22"/>
          <w:lang w:val="hy-AM" w:eastAsia="en-US"/>
        </w:rPr>
        <w:softHyphen/>
        <w:t>տությանը 2023 թվականին տրա</w:t>
      </w:r>
      <w:r w:rsidRPr="00902824">
        <w:rPr>
          <w:rFonts w:cs="Sylfaen"/>
          <w:b w:val="0"/>
          <w:szCs w:val="22"/>
          <w:lang w:val="hy-AM" w:eastAsia="en-US"/>
        </w:rPr>
        <w:softHyphen/>
        <w:t>մադր</w:t>
      </w:r>
      <w:r w:rsidRPr="00902824">
        <w:rPr>
          <w:rFonts w:cs="Sylfaen"/>
          <w:b w:val="0"/>
          <w:szCs w:val="22"/>
          <w:lang w:val="hy-AM" w:eastAsia="en-US"/>
        </w:rPr>
        <w:softHyphen/>
        <w:t>վե</w:t>
      </w:r>
      <w:r w:rsidRPr="00902824">
        <w:rPr>
          <w:rFonts w:cs="Sylfaen"/>
          <w:b w:val="0"/>
          <w:szCs w:val="22"/>
          <w:lang w:val="hy-AM" w:eastAsia="en-US"/>
        </w:rPr>
        <w:softHyphen/>
        <w:t>լիք վարկերի (որոնց մասն ունի հստակ ծրագրային ուղղվա</w:t>
      </w:r>
      <w:r w:rsidRPr="00902824">
        <w:rPr>
          <w:rFonts w:cs="Sylfaen"/>
          <w:b w:val="0"/>
          <w:szCs w:val="22"/>
          <w:lang w:val="hy-AM" w:eastAsia="en-US"/>
        </w:rPr>
        <w:softHyphen/>
        <w:t>ծություն), մինչ այդ արդեն ստաց</w:t>
      </w:r>
      <w:r w:rsidRPr="00902824">
        <w:rPr>
          <w:rFonts w:cs="Sylfaen"/>
          <w:b w:val="0"/>
          <w:szCs w:val="22"/>
          <w:lang w:val="hy-AM" w:eastAsia="en-US"/>
        </w:rPr>
        <w:softHyphen/>
      </w:r>
      <w:r w:rsidRPr="00902824">
        <w:rPr>
          <w:rFonts w:cs="Sylfaen"/>
          <w:b w:val="0"/>
          <w:szCs w:val="22"/>
          <w:lang w:val="hy-AM" w:eastAsia="en-US"/>
        </w:rPr>
        <w:softHyphen/>
        <w:t>ված վարկերի, ըստ վար</w:t>
      </w:r>
      <w:r w:rsidRPr="00902824">
        <w:rPr>
          <w:rFonts w:cs="Sylfaen"/>
          <w:b w:val="0"/>
          <w:szCs w:val="22"/>
          <w:lang w:val="hy-AM" w:eastAsia="en-US"/>
        </w:rPr>
        <w:softHyphen/>
      </w:r>
      <w:r w:rsidRPr="00902824">
        <w:rPr>
          <w:rFonts w:cs="Sylfaen"/>
          <w:b w:val="0"/>
          <w:szCs w:val="22"/>
          <w:lang w:val="hy-AM" w:eastAsia="en-US"/>
        </w:rPr>
        <w:softHyphen/>
        <w:t>կային պայ</w:t>
      </w:r>
      <w:r w:rsidRPr="00902824">
        <w:rPr>
          <w:rFonts w:cs="Sylfaen"/>
          <w:b w:val="0"/>
          <w:szCs w:val="22"/>
          <w:lang w:val="hy-AM" w:eastAsia="en-US"/>
        </w:rPr>
        <w:softHyphen/>
        <w:t>մանագրերով նախա</w:t>
      </w:r>
      <w:r w:rsidRPr="00902824">
        <w:rPr>
          <w:rFonts w:cs="Sylfaen"/>
          <w:b w:val="0"/>
          <w:szCs w:val="22"/>
          <w:lang w:val="hy-AM" w:eastAsia="en-US"/>
        </w:rPr>
        <w:softHyphen/>
        <w:t>տեսված ժամ</w:t>
      </w:r>
      <w:r w:rsidRPr="00902824">
        <w:rPr>
          <w:rFonts w:cs="Sylfaen"/>
          <w:b w:val="0"/>
          <w:szCs w:val="22"/>
          <w:lang w:val="hy-AM" w:eastAsia="en-US"/>
        </w:rPr>
        <w:softHyphen/>
        <w:t>կետ</w:t>
      </w:r>
      <w:r w:rsidRPr="00902824">
        <w:rPr>
          <w:rFonts w:cs="Sylfaen"/>
          <w:b w:val="0"/>
          <w:szCs w:val="22"/>
          <w:lang w:val="hy-AM" w:eastAsia="en-US"/>
        </w:rPr>
        <w:softHyphen/>
      </w:r>
      <w:r w:rsidRPr="00902824">
        <w:rPr>
          <w:rFonts w:cs="Sylfaen"/>
          <w:b w:val="0"/>
          <w:szCs w:val="22"/>
          <w:lang w:val="hy-AM" w:eastAsia="en-US"/>
        </w:rPr>
        <w:softHyphen/>
        <w:t>նե</w:t>
      </w:r>
      <w:r w:rsidRPr="00902824">
        <w:rPr>
          <w:rFonts w:cs="Sylfaen"/>
          <w:b w:val="0"/>
          <w:szCs w:val="22"/>
          <w:lang w:val="hy-AM" w:eastAsia="en-US"/>
        </w:rPr>
        <w:softHyphen/>
        <w:t>րի, մարման գու</w:t>
      </w:r>
      <w:r w:rsidRPr="00902824">
        <w:rPr>
          <w:rFonts w:cs="Sylfaen"/>
          <w:b w:val="0"/>
          <w:szCs w:val="22"/>
          <w:lang w:val="hy-AM" w:eastAsia="en-US"/>
        </w:rPr>
        <w:softHyphen/>
        <w:t>մար</w:t>
      </w:r>
      <w:r w:rsidRPr="00902824">
        <w:rPr>
          <w:rFonts w:cs="Sylfaen"/>
          <w:b w:val="0"/>
          <w:szCs w:val="22"/>
          <w:lang w:val="hy-AM" w:eastAsia="en-US"/>
        </w:rPr>
        <w:softHyphen/>
        <w:t>ների (նշված զուտ մուտքերի վերա</w:t>
      </w:r>
      <w:r w:rsidRPr="00902824">
        <w:rPr>
          <w:rFonts w:cs="Sylfaen"/>
          <w:b w:val="0"/>
          <w:szCs w:val="22"/>
          <w:lang w:val="hy-AM" w:eastAsia="en-US"/>
        </w:rPr>
        <w:softHyphen/>
        <w:t>բերյալ մանրա</w:t>
      </w:r>
      <w:r w:rsidRPr="00902824">
        <w:rPr>
          <w:rFonts w:cs="Sylfaen"/>
          <w:b w:val="0"/>
          <w:szCs w:val="22"/>
          <w:lang w:val="hy-AM" w:eastAsia="en-US"/>
        </w:rPr>
        <w:softHyphen/>
        <w:t>մասն հա</w:t>
      </w:r>
      <w:r w:rsidRPr="00902824">
        <w:rPr>
          <w:rFonts w:cs="Sylfaen"/>
          <w:b w:val="0"/>
          <w:szCs w:val="22"/>
          <w:lang w:val="hy-AM" w:eastAsia="en-US"/>
        </w:rPr>
        <w:softHyphen/>
        <w:t>մա</w:t>
      </w:r>
      <w:r w:rsidRPr="00902824">
        <w:rPr>
          <w:rFonts w:cs="Sylfaen"/>
          <w:b w:val="0"/>
          <w:szCs w:val="22"/>
          <w:lang w:val="hy-AM" w:eastAsia="en-US"/>
        </w:rPr>
        <w:softHyphen/>
        <w:t>պատասխան տեղե</w:t>
      </w:r>
      <w:r w:rsidRPr="00902824">
        <w:rPr>
          <w:rFonts w:cs="Sylfaen"/>
          <w:b w:val="0"/>
          <w:szCs w:val="22"/>
          <w:lang w:val="hy-AM" w:eastAsia="en-US"/>
        </w:rPr>
        <w:softHyphen/>
        <w:t>կատ</w:t>
      </w:r>
      <w:r w:rsidRPr="00902824">
        <w:rPr>
          <w:rFonts w:cs="Sylfaen"/>
          <w:b w:val="0"/>
          <w:szCs w:val="22"/>
          <w:lang w:val="hy-AM" w:eastAsia="en-US"/>
        </w:rPr>
        <w:softHyphen/>
      </w:r>
      <w:r w:rsidRPr="00902824">
        <w:rPr>
          <w:rFonts w:cs="Sylfaen"/>
          <w:b w:val="0"/>
          <w:szCs w:val="22"/>
          <w:lang w:val="hy-AM" w:eastAsia="en-US"/>
        </w:rPr>
        <w:softHyphen/>
        <w:t>վու</w:t>
      </w:r>
      <w:r w:rsidRPr="00902824">
        <w:rPr>
          <w:rFonts w:cs="Sylfaen"/>
          <w:b w:val="0"/>
          <w:szCs w:val="22"/>
          <w:lang w:val="hy-AM" w:eastAsia="en-US"/>
        </w:rPr>
        <w:softHyphen/>
        <w:t>թ</w:t>
      </w:r>
      <w:r w:rsidRPr="00902824">
        <w:rPr>
          <w:rFonts w:cs="Sylfaen"/>
          <w:b w:val="0"/>
          <w:szCs w:val="22"/>
          <w:lang w:val="hy-AM" w:eastAsia="en-US"/>
        </w:rPr>
        <w:softHyphen/>
        <w:t>յու</w:t>
      </w:r>
      <w:r w:rsidRPr="00902824">
        <w:rPr>
          <w:rFonts w:cs="Sylfaen"/>
          <w:b w:val="0"/>
          <w:szCs w:val="22"/>
          <w:lang w:val="hy-AM" w:eastAsia="en-US"/>
        </w:rPr>
        <w:softHyphen/>
        <w:t>նը բերված է սույն բացատրագրի N 4 հավելվածում, NN 17-20 աղ</w:t>
      </w:r>
      <w:r w:rsidRPr="00902824">
        <w:rPr>
          <w:rFonts w:cs="Sylfaen"/>
          <w:b w:val="0"/>
          <w:szCs w:val="22"/>
          <w:lang w:val="hy-AM" w:eastAsia="en-US"/>
        </w:rPr>
        <w:softHyphen/>
        <w:t>յուսակ</w:t>
      </w:r>
      <w:r w:rsidRPr="00902824">
        <w:rPr>
          <w:rFonts w:cs="Sylfaen"/>
          <w:b w:val="0"/>
          <w:szCs w:val="22"/>
          <w:lang w:val="hy-AM" w:eastAsia="en-US"/>
        </w:rPr>
        <w:softHyphen/>
        <w:t>ներում և «ՀՀ պետական պար</w:t>
      </w:r>
      <w:r w:rsidRPr="00902824">
        <w:rPr>
          <w:rFonts w:cs="Sylfaen"/>
          <w:b w:val="0"/>
          <w:szCs w:val="22"/>
          <w:lang w:val="hy-AM" w:eastAsia="en-US"/>
        </w:rPr>
        <w:softHyphen/>
        <w:t>տքը» բաժնում) և արտարժութային պետական պարտատոմսերի տեղաբաշխումից մուտքերի հանրագումար: Ֆի</w:t>
      </w:r>
      <w:r w:rsidRPr="00902824">
        <w:rPr>
          <w:rFonts w:cs="Sylfaen"/>
          <w:b w:val="0"/>
          <w:szCs w:val="22"/>
          <w:lang w:val="hy-AM" w:eastAsia="en-US"/>
        </w:rPr>
        <w:softHyphen/>
        <w:t>նան</w:t>
      </w:r>
      <w:r w:rsidRPr="00902824">
        <w:rPr>
          <w:rFonts w:cs="Sylfaen"/>
          <w:b w:val="0"/>
          <w:szCs w:val="22"/>
          <w:lang w:val="hy-AM" w:eastAsia="en-US"/>
        </w:rPr>
        <w:softHyphen/>
        <w:t>սա</w:t>
      </w:r>
      <w:r w:rsidRPr="00902824">
        <w:rPr>
          <w:rFonts w:cs="Sylfaen"/>
          <w:b w:val="0"/>
          <w:szCs w:val="22"/>
          <w:lang w:val="hy-AM" w:eastAsia="en-US"/>
        </w:rPr>
        <w:softHyphen/>
        <w:t>կան ակտիվներից 2023 թվականի զուտ մուտքերը ծրագրավորվում են շուրջ -13</w:t>
      </w:r>
      <w:r w:rsidR="00567F1D">
        <w:rPr>
          <w:rFonts w:cs="Sylfaen"/>
          <w:b w:val="0"/>
          <w:szCs w:val="22"/>
          <w:lang w:val="hy-AM" w:eastAsia="en-US"/>
        </w:rPr>
        <w:t>7</w:t>
      </w:r>
      <w:r w:rsidRPr="00902824">
        <w:rPr>
          <w:rFonts w:cs="Sylfaen"/>
          <w:b w:val="0"/>
          <w:szCs w:val="22"/>
          <w:lang w:val="hy-AM" w:eastAsia="en-US"/>
        </w:rPr>
        <w:t>.</w:t>
      </w:r>
      <w:r w:rsidR="00567F1D">
        <w:rPr>
          <w:rFonts w:cs="Sylfaen"/>
          <w:b w:val="0"/>
          <w:szCs w:val="22"/>
          <w:lang w:val="hy-AM" w:eastAsia="en-US"/>
        </w:rPr>
        <w:t>3</w:t>
      </w:r>
      <w:r w:rsidRPr="00902824">
        <w:rPr>
          <w:rFonts w:cs="Sylfaen"/>
          <w:b w:val="0"/>
          <w:szCs w:val="22"/>
          <w:lang w:val="hy-AM" w:eastAsia="en-US"/>
        </w:rPr>
        <w:t xml:space="preserve"> մլրդ դրամ: Նախագծով նախատեսվել է վարկերի և փոխատվությունների ստացում 259.4 մլրդ դրամի չափով, որից -136.0 մլրդ դրամը կուղղվի ստացված վարկերի և փոխատվությունների մարմանը: ԼՂ-ին տրամադրվող միջպետական վարկի գումարը կազմում է 136.</w:t>
      </w:r>
      <w:r w:rsidR="00567F1D">
        <w:rPr>
          <w:rFonts w:cs="Sylfaen"/>
          <w:b w:val="0"/>
          <w:szCs w:val="22"/>
          <w:lang w:val="hy-AM" w:eastAsia="en-US"/>
        </w:rPr>
        <w:t>0</w:t>
      </w:r>
      <w:r w:rsidRPr="00902824">
        <w:rPr>
          <w:rFonts w:cs="Sylfaen"/>
          <w:b w:val="0"/>
          <w:szCs w:val="22"/>
          <w:lang w:val="hy-AM" w:eastAsia="en-US"/>
        </w:rPr>
        <w:t xml:space="preserve"> մլրդ դրամ:</w:t>
      </w:r>
    </w:p>
    <w:p w:rsidR="00902824" w:rsidRPr="00C1304B" w:rsidRDefault="00902824" w:rsidP="00902824">
      <w:pPr>
        <w:spacing w:before="0" w:line="276" w:lineRule="auto"/>
        <w:ind w:firstLine="630"/>
        <w:contextualSpacing w:val="0"/>
        <w:rPr>
          <w:b w:val="0"/>
          <w:szCs w:val="22"/>
          <w:lang w:val="hy-AM" w:eastAsia="en-US"/>
        </w:rPr>
      </w:pPr>
      <w:r w:rsidRPr="00902824">
        <w:rPr>
          <w:rFonts w:cs="Sylfaen"/>
          <w:b w:val="0"/>
          <w:szCs w:val="22"/>
          <w:lang w:val="hy-AM" w:eastAsia="en-US"/>
        </w:rPr>
        <w:t>Ստորև</w:t>
      </w:r>
      <w:r w:rsidRPr="00902824">
        <w:rPr>
          <w:b w:val="0"/>
          <w:szCs w:val="22"/>
          <w:lang w:val="hy-AM" w:eastAsia="en-US"/>
        </w:rPr>
        <w:t xml:space="preserve"> </w:t>
      </w:r>
      <w:r w:rsidRPr="00902824">
        <w:rPr>
          <w:rFonts w:cs="Sylfaen"/>
          <w:b w:val="0"/>
          <w:szCs w:val="22"/>
          <w:lang w:val="hy-AM" w:eastAsia="en-US"/>
        </w:rPr>
        <w:t>ներկայացվում</w:t>
      </w:r>
      <w:r w:rsidRPr="00902824">
        <w:rPr>
          <w:b w:val="0"/>
          <w:szCs w:val="22"/>
          <w:lang w:val="hy-AM" w:eastAsia="en-US"/>
        </w:rPr>
        <w:t xml:space="preserve"> են </w:t>
      </w:r>
      <w:r w:rsidRPr="00902824">
        <w:rPr>
          <w:rFonts w:cs="Sylfaen"/>
          <w:b w:val="0"/>
          <w:szCs w:val="22"/>
          <w:lang w:val="hy-AM" w:eastAsia="en-US"/>
        </w:rPr>
        <w:t>ՀՀ</w:t>
      </w:r>
      <w:r w:rsidRPr="00902824">
        <w:rPr>
          <w:b w:val="0"/>
          <w:szCs w:val="22"/>
          <w:lang w:val="hy-AM" w:eastAsia="en-US"/>
        </w:rPr>
        <w:t xml:space="preserve"> 2019-2023 թվակա</w:t>
      </w:r>
      <w:r w:rsidRPr="00902824">
        <w:rPr>
          <w:rFonts w:cs="Sylfaen"/>
          <w:b w:val="0"/>
          <w:szCs w:val="22"/>
          <w:lang w:val="hy-AM" w:eastAsia="en-US"/>
        </w:rPr>
        <w:t>նների</w:t>
      </w:r>
      <w:r w:rsidRPr="00902824">
        <w:rPr>
          <w:b w:val="0"/>
          <w:szCs w:val="22"/>
          <w:lang w:val="hy-AM" w:eastAsia="en-US"/>
        </w:rPr>
        <w:t xml:space="preserve"> </w:t>
      </w:r>
      <w:r w:rsidRPr="00902824">
        <w:rPr>
          <w:rFonts w:cs="Sylfaen"/>
          <w:b w:val="0"/>
          <w:szCs w:val="22"/>
          <w:lang w:val="hy-AM" w:eastAsia="en-US"/>
        </w:rPr>
        <w:t>պետական</w:t>
      </w:r>
      <w:r w:rsidRPr="00902824">
        <w:rPr>
          <w:b w:val="0"/>
          <w:szCs w:val="22"/>
          <w:lang w:val="hy-AM" w:eastAsia="en-US"/>
        </w:rPr>
        <w:t xml:space="preserve"> </w:t>
      </w:r>
      <w:r w:rsidRPr="00902824">
        <w:rPr>
          <w:rFonts w:cs="Sylfaen"/>
          <w:b w:val="0"/>
          <w:szCs w:val="22"/>
          <w:lang w:val="hy-AM" w:eastAsia="en-US"/>
        </w:rPr>
        <w:t>բյուջեների</w:t>
      </w:r>
      <w:r w:rsidRPr="00902824">
        <w:rPr>
          <w:b w:val="0"/>
          <w:szCs w:val="22"/>
          <w:lang w:val="hy-AM" w:eastAsia="en-US"/>
        </w:rPr>
        <w:t xml:space="preserve"> </w:t>
      </w:r>
      <w:r w:rsidRPr="00902824">
        <w:rPr>
          <w:rFonts w:cs="Sylfaen"/>
          <w:b w:val="0"/>
          <w:szCs w:val="22"/>
          <w:lang w:val="hy-AM" w:eastAsia="en-US"/>
        </w:rPr>
        <w:t>դեֆիցիտի</w:t>
      </w:r>
      <w:r w:rsidRPr="00902824">
        <w:rPr>
          <w:b w:val="0"/>
          <w:szCs w:val="22"/>
          <w:lang w:val="hy-AM" w:eastAsia="en-US"/>
        </w:rPr>
        <w:t xml:space="preserve"> </w:t>
      </w:r>
      <w:r w:rsidRPr="00902824">
        <w:rPr>
          <w:rFonts w:cs="Sylfaen"/>
          <w:b w:val="0"/>
          <w:szCs w:val="22"/>
          <w:lang w:val="hy-AM" w:eastAsia="en-US"/>
        </w:rPr>
        <w:t>ֆինան</w:t>
      </w:r>
      <w:r w:rsidRPr="00902824">
        <w:rPr>
          <w:rFonts w:cs="Sylfaen"/>
          <w:b w:val="0"/>
          <w:szCs w:val="22"/>
          <w:lang w:val="hy-AM" w:eastAsia="en-US"/>
        </w:rPr>
        <w:softHyphen/>
        <w:t>սա</w:t>
      </w:r>
      <w:r w:rsidRPr="00902824">
        <w:rPr>
          <w:rFonts w:cs="Sylfaen"/>
          <w:b w:val="0"/>
          <w:szCs w:val="22"/>
          <w:lang w:val="hy-AM" w:eastAsia="en-US"/>
        </w:rPr>
        <w:softHyphen/>
      </w:r>
      <w:r w:rsidRPr="00902824">
        <w:rPr>
          <w:rFonts w:cs="Sylfaen"/>
          <w:b w:val="0"/>
          <w:szCs w:val="22"/>
          <w:lang w:val="hy-AM" w:eastAsia="en-US"/>
        </w:rPr>
        <w:softHyphen/>
        <w:t>վորման</w:t>
      </w:r>
      <w:r w:rsidRPr="00902824">
        <w:rPr>
          <w:b w:val="0"/>
          <w:szCs w:val="22"/>
          <w:lang w:val="hy-AM" w:eastAsia="en-US"/>
        </w:rPr>
        <w:t xml:space="preserve"> </w:t>
      </w:r>
      <w:r w:rsidRPr="00902824">
        <w:rPr>
          <w:rFonts w:cs="Sylfaen"/>
          <w:b w:val="0"/>
          <w:szCs w:val="22"/>
          <w:lang w:val="hy-AM" w:eastAsia="en-US"/>
        </w:rPr>
        <w:t>աղբյուրները</w:t>
      </w:r>
      <w:r w:rsidRPr="00902824">
        <w:rPr>
          <w:b w:val="0"/>
          <w:szCs w:val="22"/>
          <w:lang w:val="hy-AM" w:eastAsia="en-US"/>
        </w:rPr>
        <w:t xml:space="preserve"> (</w:t>
      </w:r>
      <w:r w:rsidRPr="00902824">
        <w:rPr>
          <w:rFonts w:cs="Sylfaen"/>
          <w:b w:val="0"/>
          <w:szCs w:val="22"/>
          <w:lang w:val="hy-AM" w:eastAsia="en-US"/>
        </w:rPr>
        <w:t>տես</w:t>
      </w:r>
      <w:r w:rsidRPr="00902824">
        <w:rPr>
          <w:b w:val="0"/>
          <w:szCs w:val="22"/>
          <w:lang w:val="hy-AM" w:eastAsia="en-US"/>
        </w:rPr>
        <w:t xml:space="preserve"> </w:t>
      </w:r>
      <w:r w:rsidRPr="00902824">
        <w:rPr>
          <w:rFonts w:cs="Sylfaen"/>
          <w:b w:val="0"/>
          <w:szCs w:val="22"/>
          <w:lang w:val="hy-AM" w:eastAsia="en-US"/>
        </w:rPr>
        <w:t>Աղյուսակ</w:t>
      </w:r>
      <w:r w:rsidRPr="00902824">
        <w:rPr>
          <w:b w:val="0"/>
          <w:szCs w:val="22"/>
          <w:lang w:val="hy-AM" w:eastAsia="en-US"/>
        </w:rPr>
        <w:t xml:space="preserve"> 4):</w:t>
      </w:r>
    </w:p>
    <w:p w:rsidR="00C1304B" w:rsidRPr="00C1304B" w:rsidRDefault="00C1304B" w:rsidP="00C1304B">
      <w:pPr>
        <w:spacing w:after="200"/>
        <w:rPr>
          <w:b w:val="0"/>
          <w:bCs/>
          <w:color w:val="5B9BD5"/>
          <w:sz w:val="18"/>
          <w:szCs w:val="18"/>
          <w:lang w:val="hy-AM"/>
        </w:rPr>
      </w:pPr>
    </w:p>
    <w:p w:rsidR="00C1304B" w:rsidRDefault="00C1304B" w:rsidP="00C1304B">
      <w:pPr>
        <w:spacing w:after="200"/>
        <w:rPr>
          <w:b w:val="0"/>
          <w:bCs/>
          <w:color w:val="5B9BD5"/>
          <w:sz w:val="18"/>
          <w:szCs w:val="18"/>
          <w:lang w:val="hy-AM"/>
        </w:rPr>
      </w:pPr>
    </w:p>
    <w:p w:rsidR="00E626D0" w:rsidRDefault="00E626D0" w:rsidP="00C1304B">
      <w:pPr>
        <w:spacing w:after="200"/>
        <w:rPr>
          <w:b w:val="0"/>
          <w:bCs/>
          <w:color w:val="5B9BD5"/>
          <w:sz w:val="18"/>
          <w:szCs w:val="18"/>
          <w:lang w:val="hy-AM"/>
        </w:rPr>
      </w:pPr>
    </w:p>
    <w:p w:rsidR="00E626D0" w:rsidRDefault="00E626D0" w:rsidP="00C1304B">
      <w:pPr>
        <w:spacing w:after="200"/>
        <w:rPr>
          <w:b w:val="0"/>
          <w:bCs/>
          <w:color w:val="5B9BD5"/>
          <w:sz w:val="18"/>
          <w:szCs w:val="18"/>
          <w:lang w:val="hy-AM"/>
        </w:rPr>
      </w:pPr>
    </w:p>
    <w:p w:rsidR="00E626D0" w:rsidRDefault="00E626D0" w:rsidP="00C1304B">
      <w:pPr>
        <w:spacing w:after="200"/>
        <w:rPr>
          <w:b w:val="0"/>
          <w:bCs/>
          <w:color w:val="5B9BD5"/>
          <w:sz w:val="18"/>
          <w:szCs w:val="18"/>
          <w:lang w:val="hy-AM"/>
        </w:rPr>
      </w:pPr>
    </w:p>
    <w:p w:rsidR="00E626D0" w:rsidRDefault="00E626D0" w:rsidP="00C1304B">
      <w:pPr>
        <w:spacing w:after="200"/>
        <w:rPr>
          <w:b w:val="0"/>
          <w:bCs/>
          <w:color w:val="5B9BD5"/>
          <w:sz w:val="18"/>
          <w:szCs w:val="18"/>
          <w:lang w:val="hy-AM"/>
        </w:rPr>
      </w:pPr>
    </w:p>
    <w:p w:rsidR="00E626D0" w:rsidRDefault="00E626D0" w:rsidP="00C1304B">
      <w:pPr>
        <w:spacing w:after="200"/>
        <w:rPr>
          <w:b w:val="0"/>
          <w:bCs/>
          <w:color w:val="5B9BD5"/>
          <w:sz w:val="18"/>
          <w:szCs w:val="18"/>
          <w:lang w:val="hy-AM"/>
        </w:rPr>
      </w:pPr>
    </w:p>
    <w:p w:rsidR="00E626D0" w:rsidRDefault="00E626D0" w:rsidP="00C1304B">
      <w:pPr>
        <w:spacing w:after="200"/>
        <w:rPr>
          <w:b w:val="0"/>
          <w:bCs/>
          <w:color w:val="5B9BD5"/>
          <w:sz w:val="18"/>
          <w:szCs w:val="18"/>
          <w:lang w:val="hy-AM"/>
        </w:rPr>
      </w:pPr>
    </w:p>
    <w:p w:rsidR="00E626D0" w:rsidRPr="00C1304B" w:rsidRDefault="00E626D0" w:rsidP="00C1304B">
      <w:pPr>
        <w:spacing w:after="200"/>
        <w:rPr>
          <w:b w:val="0"/>
          <w:bCs/>
          <w:color w:val="5B9BD5"/>
          <w:sz w:val="18"/>
          <w:szCs w:val="18"/>
          <w:lang w:val="hy-AM"/>
        </w:rPr>
      </w:pPr>
    </w:p>
    <w:p w:rsidR="00C1304B" w:rsidRPr="00C1304B" w:rsidRDefault="00C1304B" w:rsidP="00C1304B">
      <w:pPr>
        <w:spacing w:after="200"/>
        <w:rPr>
          <w:bCs/>
          <w:i/>
          <w:color w:val="5B9BD5"/>
          <w:sz w:val="20"/>
          <w:szCs w:val="20"/>
          <w:lang w:val="hy-AM"/>
        </w:rPr>
      </w:pPr>
      <w:bookmarkStart w:id="245" w:name="_Toc115283829"/>
      <w:bookmarkStart w:id="246" w:name="_Toc120805263"/>
      <w:r w:rsidRPr="00C1304B">
        <w:rPr>
          <w:b w:val="0"/>
          <w:bCs/>
          <w:color w:val="5B9BD5"/>
          <w:sz w:val="18"/>
          <w:szCs w:val="18"/>
          <w:lang w:val="hy-AM"/>
        </w:rPr>
        <w:t xml:space="preserve">Աղյուսակ </w:t>
      </w:r>
      <w:r w:rsidRPr="00C1304B">
        <w:rPr>
          <w:b w:val="0"/>
          <w:bCs/>
          <w:color w:val="5B9BD5"/>
          <w:sz w:val="18"/>
          <w:szCs w:val="18"/>
        </w:rPr>
        <w:fldChar w:fldCharType="begin"/>
      </w:r>
      <w:r w:rsidRPr="00C1304B">
        <w:rPr>
          <w:b w:val="0"/>
          <w:bCs/>
          <w:color w:val="5B9BD5"/>
          <w:sz w:val="18"/>
          <w:szCs w:val="18"/>
          <w:lang w:val="hy-AM"/>
        </w:rPr>
        <w:instrText xml:space="preserve"> SEQ Աղյուսակ \* ARABIC </w:instrText>
      </w:r>
      <w:r w:rsidRPr="00C1304B">
        <w:rPr>
          <w:b w:val="0"/>
          <w:bCs/>
          <w:color w:val="5B9BD5"/>
          <w:sz w:val="18"/>
          <w:szCs w:val="18"/>
        </w:rPr>
        <w:fldChar w:fldCharType="separate"/>
      </w:r>
      <w:r w:rsidR="008177DF">
        <w:rPr>
          <w:b w:val="0"/>
          <w:bCs/>
          <w:noProof/>
          <w:color w:val="5B9BD5"/>
          <w:sz w:val="18"/>
          <w:szCs w:val="18"/>
          <w:lang w:val="hy-AM"/>
        </w:rPr>
        <w:t>4</w:t>
      </w:r>
      <w:r w:rsidRPr="00C1304B">
        <w:rPr>
          <w:b w:val="0"/>
          <w:bCs/>
          <w:color w:val="5B9BD5"/>
          <w:sz w:val="18"/>
          <w:szCs w:val="18"/>
        </w:rPr>
        <w:fldChar w:fldCharType="end"/>
      </w:r>
      <w:r w:rsidRPr="00C1304B">
        <w:rPr>
          <w:rFonts w:ascii="Cambria Math" w:hAnsi="Cambria Math" w:cs="Cambria Math"/>
          <w:b w:val="0"/>
          <w:bCs/>
          <w:color w:val="5B9BD5"/>
          <w:sz w:val="18"/>
          <w:szCs w:val="18"/>
          <w:lang w:val="hy-AM"/>
        </w:rPr>
        <w:t>․</w:t>
      </w:r>
      <w:r w:rsidRPr="00C1304B">
        <w:rPr>
          <w:rFonts w:ascii="Cambria Math" w:hAnsi="Cambria Math"/>
          <w:b w:val="0"/>
          <w:bCs/>
          <w:color w:val="5B9BD5"/>
          <w:sz w:val="18"/>
          <w:szCs w:val="18"/>
          <w:lang w:val="hy-AM"/>
        </w:rPr>
        <w:t xml:space="preserve"> </w:t>
      </w:r>
      <w:r w:rsidRPr="00C1304B">
        <w:rPr>
          <w:bCs/>
          <w:i/>
          <w:color w:val="5B9BD5"/>
          <w:sz w:val="20"/>
          <w:szCs w:val="20"/>
          <w:lang w:val="hy-AM"/>
        </w:rPr>
        <w:t>ՀՀ 2019-2023թթ. պետական բյուջեների դեֆիցիտի ֆինանսավորման աղբյուրները (մլն դրամ)</w:t>
      </w:r>
      <w:bookmarkEnd w:id="243"/>
      <w:bookmarkEnd w:id="245"/>
      <w:bookmarkEnd w:id="246"/>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1343"/>
        <w:gridCol w:w="1344"/>
        <w:gridCol w:w="1343"/>
        <w:gridCol w:w="1469"/>
        <w:gridCol w:w="1318"/>
      </w:tblGrid>
      <w:tr w:rsidR="00C1304B" w:rsidRPr="00C1304B" w:rsidTr="00A94018">
        <w:trPr>
          <w:trHeight w:val="810"/>
        </w:trPr>
        <w:tc>
          <w:tcPr>
            <w:tcW w:w="2610" w:type="dxa"/>
            <w:shd w:val="clear" w:color="auto" w:fill="5B9BD5"/>
            <w:vAlign w:val="center"/>
            <w:hideMark/>
          </w:tcPr>
          <w:p w:rsidR="00C1304B" w:rsidRPr="00C1304B" w:rsidRDefault="00C1304B" w:rsidP="00C1304B">
            <w:pPr>
              <w:spacing w:before="0" w:line="276" w:lineRule="auto"/>
              <w:ind w:firstLine="0"/>
              <w:contextualSpacing w:val="0"/>
              <w:jc w:val="center"/>
              <w:rPr>
                <w:rFonts w:cs="Calibri"/>
                <w:color w:val="FFFFFF"/>
                <w:sz w:val="20"/>
                <w:szCs w:val="20"/>
                <w:lang w:val="en-US" w:eastAsia="en-US"/>
              </w:rPr>
            </w:pPr>
            <w:r w:rsidRPr="00C1304B">
              <w:rPr>
                <w:rFonts w:cs="Sylfaen"/>
                <w:color w:val="FFFFFF"/>
                <w:sz w:val="20"/>
                <w:szCs w:val="20"/>
                <w:lang w:val="en-US" w:eastAsia="en-US"/>
              </w:rPr>
              <w:t>Ցուցանիշներ</w:t>
            </w:r>
          </w:p>
        </w:tc>
        <w:tc>
          <w:tcPr>
            <w:tcW w:w="1343" w:type="dxa"/>
            <w:shd w:val="clear" w:color="auto" w:fill="5B9BD5"/>
            <w:vAlign w:val="center"/>
            <w:hideMark/>
          </w:tcPr>
          <w:p w:rsidR="00C1304B" w:rsidRPr="00C1304B" w:rsidRDefault="00C1304B" w:rsidP="00C1304B">
            <w:pPr>
              <w:spacing w:before="0" w:line="276" w:lineRule="auto"/>
              <w:ind w:firstLine="0"/>
              <w:contextualSpacing w:val="0"/>
              <w:jc w:val="center"/>
              <w:rPr>
                <w:rFonts w:cs="Calibri"/>
                <w:color w:val="FFFFFF"/>
                <w:sz w:val="20"/>
                <w:szCs w:val="20"/>
                <w:lang w:val="en-US" w:eastAsia="en-US"/>
              </w:rPr>
            </w:pPr>
            <w:r w:rsidRPr="00C1304B">
              <w:rPr>
                <w:rFonts w:cs="Calibri"/>
                <w:color w:val="FFFFFF"/>
                <w:sz w:val="20"/>
                <w:szCs w:val="20"/>
                <w:lang w:val="en-US" w:eastAsia="en-US"/>
              </w:rPr>
              <w:t>2019թ</w:t>
            </w:r>
            <w:r w:rsidRPr="00C1304B">
              <w:rPr>
                <w:rFonts w:cs="Calibri"/>
                <w:color w:val="FFFFFF"/>
                <w:sz w:val="20"/>
                <w:szCs w:val="20"/>
                <w:lang w:val="en-US" w:eastAsia="en-US"/>
              </w:rPr>
              <w:br/>
              <w:t>փաստ</w:t>
            </w:r>
          </w:p>
        </w:tc>
        <w:tc>
          <w:tcPr>
            <w:tcW w:w="1344" w:type="dxa"/>
            <w:shd w:val="clear" w:color="auto" w:fill="5B9BD5"/>
            <w:vAlign w:val="center"/>
            <w:hideMark/>
          </w:tcPr>
          <w:p w:rsidR="00C1304B" w:rsidRPr="00C1304B" w:rsidRDefault="00C1304B" w:rsidP="00C1304B">
            <w:pPr>
              <w:spacing w:before="0" w:line="276" w:lineRule="auto"/>
              <w:ind w:firstLine="0"/>
              <w:contextualSpacing w:val="0"/>
              <w:jc w:val="center"/>
              <w:rPr>
                <w:rFonts w:cs="Calibri"/>
                <w:color w:val="FFFFFF"/>
                <w:sz w:val="20"/>
                <w:szCs w:val="20"/>
                <w:lang w:val="en-US" w:eastAsia="en-US"/>
              </w:rPr>
            </w:pPr>
            <w:r w:rsidRPr="00C1304B">
              <w:rPr>
                <w:rFonts w:cs="Calibri"/>
                <w:color w:val="FFFFFF"/>
                <w:sz w:val="20"/>
                <w:szCs w:val="20"/>
                <w:lang w:val="en-US" w:eastAsia="en-US"/>
              </w:rPr>
              <w:t>2020թ</w:t>
            </w:r>
            <w:r w:rsidRPr="00C1304B">
              <w:rPr>
                <w:rFonts w:cs="Calibri"/>
                <w:color w:val="FFFFFF"/>
                <w:sz w:val="20"/>
                <w:szCs w:val="20"/>
                <w:lang w:val="en-US" w:eastAsia="en-US"/>
              </w:rPr>
              <w:br/>
              <w:t>փաստ</w:t>
            </w:r>
          </w:p>
        </w:tc>
        <w:tc>
          <w:tcPr>
            <w:tcW w:w="1343" w:type="dxa"/>
            <w:shd w:val="clear" w:color="auto" w:fill="5B9BD5"/>
            <w:vAlign w:val="center"/>
            <w:hideMark/>
          </w:tcPr>
          <w:p w:rsidR="00C1304B" w:rsidRPr="00C1304B" w:rsidRDefault="00C1304B" w:rsidP="00C1304B">
            <w:pPr>
              <w:spacing w:before="0" w:line="276" w:lineRule="auto"/>
              <w:ind w:firstLine="0"/>
              <w:contextualSpacing w:val="0"/>
              <w:jc w:val="center"/>
              <w:rPr>
                <w:rFonts w:cs="Calibri"/>
                <w:color w:val="FFFFFF"/>
                <w:sz w:val="20"/>
                <w:szCs w:val="20"/>
                <w:lang w:val="en-US" w:eastAsia="en-US"/>
              </w:rPr>
            </w:pPr>
            <w:r w:rsidRPr="00C1304B">
              <w:rPr>
                <w:rFonts w:cs="Calibri"/>
                <w:color w:val="FFFFFF"/>
                <w:sz w:val="20"/>
                <w:szCs w:val="20"/>
                <w:lang w:val="en-US" w:eastAsia="en-US"/>
              </w:rPr>
              <w:t>2021թ</w:t>
            </w:r>
            <w:r w:rsidRPr="00C1304B">
              <w:rPr>
                <w:rFonts w:cs="Calibri"/>
                <w:color w:val="FFFFFF"/>
                <w:sz w:val="20"/>
                <w:szCs w:val="20"/>
                <w:lang w:val="en-US" w:eastAsia="en-US"/>
              </w:rPr>
              <w:br/>
              <w:t>փաստ</w:t>
            </w:r>
          </w:p>
        </w:tc>
        <w:tc>
          <w:tcPr>
            <w:tcW w:w="1469" w:type="dxa"/>
            <w:shd w:val="clear" w:color="auto" w:fill="5B9BD5"/>
            <w:vAlign w:val="center"/>
            <w:hideMark/>
          </w:tcPr>
          <w:p w:rsidR="00C1304B" w:rsidRPr="00C1304B" w:rsidRDefault="00C1304B" w:rsidP="00C1304B">
            <w:pPr>
              <w:spacing w:before="0" w:line="276" w:lineRule="auto"/>
              <w:ind w:firstLine="0"/>
              <w:contextualSpacing w:val="0"/>
              <w:jc w:val="center"/>
              <w:rPr>
                <w:rFonts w:cs="Calibri"/>
                <w:color w:val="FF0000"/>
                <w:sz w:val="20"/>
                <w:szCs w:val="20"/>
                <w:lang w:val="en-US" w:eastAsia="en-US"/>
              </w:rPr>
            </w:pPr>
            <w:r w:rsidRPr="00C1304B">
              <w:rPr>
                <w:rFonts w:cs="Calibri"/>
                <w:color w:val="FFFFFF"/>
                <w:sz w:val="20"/>
                <w:szCs w:val="20"/>
                <w:lang w:val="en-US" w:eastAsia="en-US"/>
              </w:rPr>
              <w:t>2022թ</w:t>
            </w:r>
            <w:r w:rsidRPr="00C1304B">
              <w:rPr>
                <w:rFonts w:cs="Calibri"/>
                <w:color w:val="FFFFFF"/>
                <w:sz w:val="20"/>
                <w:szCs w:val="20"/>
                <w:lang w:val="en-US" w:eastAsia="en-US"/>
              </w:rPr>
              <w:br/>
              <w:t>բյուջե</w:t>
            </w:r>
          </w:p>
        </w:tc>
        <w:tc>
          <w:tcPr>
            <w:tcW w:w="1318" w:type="dxa"/>
            <w:shd w:val="clear" w:color="auto" w:fill="5B9BD5"/>
            <w:vAlign w:val="center"/>
            <w:hideMark/>
          </w:tcPr>
          <w:p w:rsidR="00C1304B" w:rsidRPr="00C1304B" w:rsidRDefault="00C1304B" w:rsidP="00C1304B">
            <w:pPr>
              <w:spacing w:before="0" w:line="276" w:lineRule="auto"/>
              <w:ind w:firstLine="0"/>
              <w:contextualSpacing w:val="0"/>
              <w:jc w:val="center"/>
              <w:rPr>
                <w:rFonts w:cs="Calibri"/>
                <w:color w:val="FFFFFF"/>
                <w:sz w:val="20"/>
                <w:szCs w:val="20"/>
                <w:lang w:val="en-US" w:eastAsia="en-US"/>
              </w:rPr>
            </w:pPr>
            <w:r w:rsidRPr="00C1304B">
              <w:rPr>
                <w:rFonts w:cs="Calibri"/>
                <w:color w:val="FFFFFF"/>
                <w:sz w:val="20"/>
                <w:szCs w:val="20"/>
                <w:lang w:val="en-US" w:eastAsia="en-US"/>
              </w:rPr>
              <w:t>2023թ</w:t>
            </w:r>
            <w:r w:rsidRPr="00C1304B">
              <w:rPr>
                <w:rFonts w:cs="Calibri"/>
                <w:color w:val="FFFFFF"/>
                <w:sz w:val="20"/>
                <w:szCs w:val="20"/>
                <w:lang w:val="en-US" w:eastAsia="en-US"/>
              </w:rPr>
              <w:br/>
              <w:t>կանխատեսում</w:t>
            </w:r>
          </w:p>
        </w:tc>
      </w:tr>
      <w:tr w:rsidR="00902824" w:rsidRPr="00C1304B" w:rsidTr="00A94018">
        <w:trPr>
          <w:trHeight w:val="1826"/>
        </w:trPr>
        <w:tc>
          <w:tcPr>
            <w:tcW w:w="2610" w:type="dxa"/>
            <w:shd w:val="clear" w:color="auto" w:fill="DEEAF6"/>
            <w:vAlign w:val="center"/>
            <w:hideMark/>
          </w:tcPr>
          <w:p w:rsidR="00902824" w:rsidRPr="00C1304B" w:rsidRDefault="00902824" w:rsidP="00902824">
            <w:pPr>
              <w:spacing w:before="0" w:line="240" w:lineRule="auto"/>
              <w:ind w:firstLine="0"/>
              <w:contextualSpacing w:val="0"/>
              <w:jc w:val="left"/>
              <w:rPr>
                <w:rFonts w:cs="Calibri"/>
                <w:b w:val="0"/>
                <w:sz w:val="20"/>
                <w:szCs w:val="20"/>
                <w:lang w:eastAsia="en-US"/>
              </w:rPr>
            </w:pPr>
            <w:r w:rsidRPr="00C1304B">
              <w:rPr>
                <w:rFonts w:cs="Calibri"/>
                <w:b w:val="0"/>
                <w:sz w:val="20"/>
                <w:szCs w:val="20"/>
                <w:lang w:val="en-US" w:eastAsia="en-US"/>
              </w:rPr>
              <w:t>Պետական</w:t>
            </w:r>
            <w:r w:rsidRPr="00C1304B">
              <w:rPr>
                <w:rFonts w:cs="Calibri"/>
                <w:b w:val="0"/>
                <w:sz w:val="20"/>
                <w:szCs w:val="20"/>
                <w:lang w:eastAsia="en-US"/>
              </w:rPr>
              <w:t xml:space="preserve">  </w:t>
            </w:r>
            <w:r w:rsidRPr="00C1304B">
              <w:rPr>
                <w:rFonts w:cs="Calibri"/>
                <w:b w:val="0"/>
                <w:sz w:val="20"/>
                <w:szCs w:val="20"/>
                <w:lang w:val="en-US" w:eastAsia="en-US"/>
              </w:rPr>
              <w:t>բյուջեի</w:t>
            </w:r>
            <w:r w:rsidRPr="00C1304B">
              <w:rPr>
                <w:rFonts w:cs="Calibri"/>
                <w:b w:val="0"/>
                <w:sz w:val="20"/>
                <w:szCs w:val="20"/>
                <w:lang w:eastAsia="en-US"/>
              </w:rPr>
              <w:t xml:space="preserve">  </w:t>
            </w:r>
            <w:r w:rsidRPr="00C1304B">
              <w:rPr>
                <w:rFonts w:cs="Calibri"/>
                <w:b w:val="0"/>
                <w:sz w:val="20"/>
                <w:szCs w:val="20"/>
                <w:lang w:val="en-US" w:eastAsia="en-US"/>
              </w:rPr>
              <w:t>դեֆիցիտի</w:t>
            </w:r>
            <w:r w:rsidRPr="00C1304B">
              <w:rPr>
                <w:rFonts w:cs="Calibri"/>
                <w:b w:val="0"/>
                <w:sz w:val="20"/>
                <w:szCs w:val="20"/>
                <w:lang w:eastAsia="en-US"/>
              </w:rPr>
              <w:t xml:space="preserve"> </w:t>
            </w:r>
            <w:r w:rsidRPr="00C1304B">
              <w:rPr>
                <w:rFonts w:cs="Calibri"/>
                <w:b w:val="0"/>
                <w:sz w:val="20"/>
                <w:szCs w:val="20"/>
                <w:lang w:val="en-US" w:eastAsia="en-US"/>
              </w:rPr>
              <w:t>ֆինանսավորման</w:t>
            </w:r>
            <w:r w:rsidRPr="00C1304B">
              <w:rPr>
                <w:rFonts w:cs="Calibri"/>
                <w:b w:val="0"/>
                <w:sz w:val="20"/>
                <w:szCs w:val="20"/>
                <w:lang w:eastAsia="en-US"/>
              </w:rPr>
              <w:t xml:space="preserve"> </w:t>
            </w:r>
            <w:r w:rsidRPr="00C1304B">
              <w:rPr>
                <w:rFonts w:cs="Calibri"/>
                <w:b w:val="0"/>
                <w:sz w:val="20"/>
                <w:szCs w:val="20"/>
                <w:lang w:val="en-US" w:eastAsia="en-US"/>
              </w:rPr>
              <w:t>աղբյուրներն</w:t>
            </w:r>
            <w:r w:rsidRPr="00C1304B">
              <w:rPr>
                <w:rFonts w:cs="Calibri"/>
                <w:b w:val="0"/>
                <w:sz w:val="20"/>
                <w:szCs w:val="20"/>
                <w:lang w:eastAsia="en-US"/>
              </w:rPr>
              <w:t xml:space="preserve"> </w:t>
            </w:r>
            <w:r w:rsidRPr="00C1304B">
              <w:rPr>
                <w:rFonts w:cs="Calibri"/>
                <w:b w:val="0"/>
                <w:sz w:val="20"/>
                <w:szCs w:val="20"/>
                <w:lang w:val="en-US" w:eastAsia="en-US"/>
              </w:rPr>
              <w:t>ու</w:t>
            </w:r>
            <w:r w:rsidRPr="00C1304B">
              <w:rPr>
                <w:rFonts w:cs="Calibri"/>
                <w:b w:val="0"/>
                <w:sz w:val="20"/>
                <w:szCs w:val="20"/>
                <w:lang w:eastAsia="en-US"/>
              </w:rPr>
              <w:t xml:space="preserve"> </w:t>
            </w:r>
            <w:r w:rsidRPr="00C1304B">
              <w:rPr>
                <w:rFonts w:cs="Calibri"/>
                <w:b w:val="0"/>
                <w:sz w:val="20"/>
                <w:szCs w:val="20"/>
                <w:lang w:val="en-US" w:eastAsia="en-US"/>
              </w:rPr>
              <w:t>դրանց</w:t>
            </w:r>
            <w:r w:rsidRPr="00C1304B">
              <w:rPr>
                <w:rFonts w:cs="Calibri"/>
                <w:b w:val="0"/>
                <w:sz w:val="20"/>
                <w:szCs w:val="20"/>
                <w:lang w:eastAsia="en-US"/>
              </w:rPr>
              <w:t xml:space="preserve"> </w:t>
            </w:r>
            <w:r w:rsidRPr="00C1304B">
              <w:rPr>
                <w:rFonts w:cs="Calibri"/>
                <w:b w:val="0"/>
                <w:sz w:val="20"/>
                <w:szCs w:val="20"/>
                <w:lang w:val="en-US" w:eastAsia="en-US"/>
              </w:rPr>
              <w:t>տարրերի</w:t>
            </w:r>
            <w:r w:rsidRPr="00C1304B">
              <w:rPr>
                <w:rFonts w:cs="Calibri"/>
                <w:b w:val="0"/>
                <w:sz w:val="20"/>
                <w:szCs w:val="20"/>
                <w:lang w:eastAsia="en-US"/>
              </w:rPr>
              <w:t xml:space="preserve"> </w:t>
            </w:r>
            <w:r w:rsidRPr="00C1304B">
              <w:rPr>
                <w:rFonts w:cs="Calibri"/>
                <w:b w:val="0"/>
                <w:sz w:val="20"/>
                <w:szCs w:val="20"/>
                <w:lang w:val="en-US" w:eastAsia="en-US"/>
              </w:rPr>
              <w:t>անվանումները՝</w:t>
            </w:r>
            <w:r w:rsidRPr="00C1304B">
              <w:rPr>
                <w:rFonts w:cs="Calibri"/>
                <w:b w:val="0"/>
                <w:sz w:val="20"/>
                <w:szCs w:val="20"/>
                <w:lang w:eastAsia="en-US"/>
              </w:rPr>
              <w:t xml:space="preserve"> </w:t>
            </w:r>
            <w:r w:rsidRPr="00C1304B">
              <w:rPr>
                <w:rFonts w:cs="Calibri"/>
                <w:b w:val="0"/>
                <w:sz w:val="20"/>
                <w:szCs w:val="20"/>
                <w:lang w:val="en-US" w:eastAsia="en-US"/>
              </w:rPr>
              <w:t>ընդամենը</w:t>
            </w:r>
          </w:p>
        </w:tc>
        <w:tc>
          <w:tcPr>
            <w:tcW w:w="1343" w:type="dxa"/>
            <w:shd w:val="clear" w:color="auto" w:fill="DEEAF6"/>
            <w:noWrap/>
            <w:vAlign w:val="center"/>
            <w:hideMark/>
          </w:tcPr>
          <w:p w:rsidR="00902824" w:rsidRPr="00764C1F" w:rsidRDefault="00902824" w:rsidP="00902824">
            <w:pPr>
              <w:spacing w:before="0" w:line="240" w:lineRule="auto"/>
              <w:ind w:firstLine="0"/>
              <w:contextualSpacing w:val="0"/>
              <w:jc w:val="center"/>
              <w:rPr>
                <w:rFonts w:cs="Calibri"/>
                <w:b w:val="0"/>
                <w:sz w:val="20"/>
                <w:szCs w:val="20"/>
                <w:lang w:val="en-US" w:eastAsia="en-US"/>
              </w:rPr>
            </w:pPr>
            <w:r w:rsidRPr="00764C1F">
              <w:rPr>
                <w:rFonts w:cs="Calibri"/>
                <w:b w:val="0"/>
                <w:sz w:val="20"/>
                <w:szCs w:val="20"/>
                <w:lang w:val="en-US" w:eastAsia="en-US"/>
              </w:rPr>
              <w:t>63,947.9</w:t>
            </w:r>
          </w:p>
        </w:tc>
        <w:tc>
          <w:tcPr>
            <w:tcW w:w="1344" w:type="dxa"/>
            <w:shd w:val="clear" w:color="auto" w:fill="DEEAF6"/>
            <w:noWrap/>
            <w:vAlign w:val="center"/>
            <w:hideMark/>
          </w:tcPr>
          <w:p w:rsidR="00902824" w:rsidRPr="00764C1F" w:rsidRDefault="00902824" w:rsidP="00902824">
            <w:pPr>
              <w:spacing w:before="0" w:line="240" w:lineRule="auto"/>
              <w:ind w:firstLine="0"/>
              <w:contextualSpacing w:val="0"/>
              <w:jc w:val="center"/>
              <w:rPr>
                <w:rFonts w:cs="Calibri"/>
                <w:b w:val="0"/>
                <w:sz w:val="20"/>
                <w:szCs w:val="20"/>
                <w:lang w:val="hy-AM" w:eastAsia="en-US"/>
              </w:rPr>
            </w:pPr>
            <w:r w:rsidRPr="00764C1F">
              <w:rPr>
                <w:rFonts w:cs="Calibri"/>
                <w:b w:val="0"/>
                <w:sz w:val="20"/>
                <w:szCs w:val="20"/>
                <w:lang w:val="hy-AM" w:eastAsia="en-US"/>
              </w:rPr>
              <w:t>333</w:t>
            </w:r>
            <w:r w:rsidRPr="00764C1F">
              <w:rPr>
                <w:rFonts w:cs="Calibri"/>
                <w:b w:val="0"/>
                <w:sz w:val="20"/>
                <w:szCs w:val="20"/>
                <w:lang w:val="en-US" w:eastAsia="en-US"/>
              </w:rPr>
              <w:t>,</w:t>
            </w:r>
            <w:r w:rsidRPr="00764C1F">
              <w:rPr>
                <w:rFonts w:cs="Calibri"/>
                <w:b w:val="0"/>
                <w:sz w:val="20"/>
                <w:szCs w:val="20"/>
                <w:lang w:val="hy-AM" w:eastAsia="en-US"/>
              </w:rPr>
              <w:t>991</w:t>
            </w:r>
            <w:r w:rsidRPr="00764C1F">
              <w:rPr>
                <w:rFonts w:cs="Calibri"/>
                <w:b w:val="0"/>
                <w:sz w:val="20"/>
                <w:szCs w:val="20"/>
                <w:lang w:val="en-US" w:eastAsia="en-US"/>
              </w:rPr>
              <w:t>.</w:t>
            </w:r>
            <w:r w:rsidRPr="00764C1F">
              <w:rPr>
                <w:rFonts w:cs="Calibri"/>
                <w:b w:val="0"/>
                <w:sz w:val="20"/>
                <w:szCs w:val="20"/>
                <w:lang w:val="hy-AM" w:eastAsia="en-US"/>
              </w:rPr>
              <w:t>8</w:t>
            </w:r>
          </w:p>
        </w:tc>
        <w:tc>
          <w:tcPr>
            <w:tcW w:w="1343" w:type="dxa"/>
            <w:shd w:val="clear" w:color="auto" w:fill="DEEAF6"/>
            <w:noWrap/>
            <w:vAlign w:val="center"/>
            <w:hideMark/>
          </w:tcPr>
          <w:p w:rsidR="00902824" w:rsidRPr="00764C1F" w:rsidRDefault="00902824" w:rsidP="00902824">
            <w:pPr>
              <w:spacing w:before="0" w:line="240" w:lineRule="auto"/>
              <w:ind w:firstLine="0"/>
              <w:contextualSpacing w:val="0"/>
              <w:jc w:val="center"/>
              <w:rPr>
                <w:rFonts w:cs="Calibri"/>
                <w:b w:val="0"/>
                <w:sz w:val="20"/>
                <w:szCs w:val="20"/>
                <w:lang w:val="en-US" w:eastAsia="en-US"/>
              </w:rPr>
            </w:pPr>
            <w:r w:rsidRPr="00764C1F">
              <w:rPr>
                <w:rFonts w:cs="Calibri"/>
                <w:b w:val="0"/>
                <w:sz w:val="20"/>
                <w:szCs w:val="20"/>
                <w:lang w:val="en-US" w:eastAsia="en-US"/>
              </w:rPr>
              <w:t>320,469.5</w:t>
            </w:r>
          </w:p>
        </w:tc>
        <w:tc>
          <w:tcPr>
            <w:tcW w:w="1469" w:type="dxa"/>
            <w:shd w:val="clear" w:color="auto" w:fill="DEEAF6"/>
            <w:noWrap/>
            <w:vAlign w:val="center"/>
          </w:tcPr>
          <w:p w:rsidR="00902824" w:rsidRPr="00764C1F" w:rsidRDefault="00902824" w:rsidP="00902824">
            <w:pPr>
              <w:spacing w:before="0" w:line="240" w:lineRule="auto"/>
              <w:ind w:firstLine="0"/>
              <w:contextualSpacing w:val="0"/>
              <w:jc w:val="center"/>
              <w:rPr>
                <w:rFonts w:cs="Calibri"/>
                <w:b w:val="0"/>
                <w:sz w:val="20"/>
                <w:szCs w:val="20"/>
                <w:lang w:val="hy-AM" w:eastAsia="en-US"/>
              </w:rPr>
            </w:pPr>
            <w:r w:rsidRPr="00764C1F">
              <w:rPr>
                <w:rFonts w:cs="Calibri"/>
                <w:b w:val="0"/>
                <w:sz w:val="20"/>
                <w:szCs w:val="20"/>
                <w:lang w:val="en-US" w:eastAsia="en-US"/>
              </w:rPr>
              <w:t>236,</w:t>
            </w:r>
            <w:r w:rsidRPr="00764C1F">
              <w:rPr>
                <w:rFonts w:cs="Calibri"/>
                <w:b w:val="0"/>
                <w:sz w:val="20"/>
                <w:szCs w:val="20"/>
                <w:lang w:val="hy-AM" w:eastAsia="en-US"/>
              </w:rPr>
              <w:t>255.</w:t>
            </w:r>
            <w:r w:rsidRPr="00764C1F">
              <w:rPr>
                <w:rFonts w:cs="Calibri"/>
                <w:b w:val="0"/>
                <w:sz w:val="20"/>
                <w:szCs w:val="20"/>
                <w:lang w:val="en-US" w:eastAsia="en-US"/>
              </w:rPr>
              <w:t>7</w:t>
            </w:r>
          </w:p>
        </w:tc>
        <w:tc>
          <w:tcPr>
            <w:tcW w:w="1318" w:type="dxa"/>
            <w:shd w:val="clear" w:color="auto" w:fill="DEEAF6"/>
            <w:vAlign w:val="center"/>
            <w:hideMark/>
          </w:tcPr>
          <w:p w:rsidR="00902824" w:rsidRPr="00401AC9" w:rsidRDefault="00902824" w:rsidP="00902824">
            <w:pPr>
              <w:spacing w:before="0" w:line="240" w:lineRule="auto"/>
              <w:ind w:firstLine="0"/>
              <w:contextualSpacing w:val="0"/>
              <w:jc w:val="center"/>
              <w:rPr>
                <w:rFonts w:cs="Calibri"/>
                <w:b w:val="0"/>
                <w:sz w:val="20"/>
                <w:szCs w:val="20"/>
                <w:lang w:val="hy-AM" w:eastAsia="en-US"/>
              </w:rPr>
            </w:pPr>
            <w:r w:rsidRPr="00401AC9">
              <w:rPr>
                <w:rFonts w:cs="Calibri"/>
                <w:b w:val="0"/>
                <w:sz w:val="20"/>
                <w:szCs w:val="20"/>
                <w:lang w:val="en-US" w:eastAsia="en-US"/>
              </w:rPr>
              <w:t>288,947.5</w:t>
            </w:r>
          </w:p>
        </w:tc>
      </w:tr>
      <w:tr w:rsidR="00902824" w:rsidRPr="00C1304B" w:rsidTr="00A94018">
        <w:trPr>
          <w:trHeight w:val="620"/>
        </w:trPr>
        <w:tc>
          <w:tcPr>
            <w:tcW w:w="2610" w:type="dxa"/>
            <w:shd w:val="clear" w:color="auto" w:fill="auto"/>
            <w:vAlign w:val="center"/>
            <w:hideMark/>
          </w:tcPr>
          <w:p w:rsidR="00902824" w:rsidRPr="00C1304B" w:rsidRDefault="00902824" w:rsidP="00902824">
            <w:pPr>
              <w:spacing w:before="0" w:line="276" w:lineRule="auto"/>
              <w:ind w:firstLine="0"/>
              <w:contextualSpacing w:val="0"/>
              <w:jc w:val="left"/>
              <w:rPr>
                <w:rFonts w:cs="Calibri"/>
                <w:b w:val="0"/>
                <w:color w:val="000000"/>
                <w:sz w:val="20"/>
                <w:szCs w:val="20"/>
                <w:lang w:val="en-US" w:eastAsia="en-US"/>
              </w:rPr>
            </w:pPr>
            <w:r w:rsidRPr="00C1304B">
              <w:rPr>
                <w:rFonts w:cs="Calibri"/>
                <w:b w:val="0"/>
                <w:color w:val="000000"/>
                <w:sz w:val="20"/>
                <w:szCs w:val="20"/>
                <w:lang w:val="en-US" w:eastAsia="en-US"/>
              </w:rPr>
              <w:t>Ա.Ներքին աղբյուրներ-ընդամենը</w:t>
            </w:r>
          </w:p>
        </w:tc>
        <w:tc>
          <w:tcPr>
            <w:tcW w:w="1343" w:type="dxa"/>
            <w:shd w:val="clear" w:color="auto" w:fill="auto"/>
            <w:noWrap/>
            <w:vAlign w:val="center"/>
            <w:hideMark/>
          </w:tcPr>
          <w:p w:rsidR="00902824" w:rsidRPr="00764C1F" w:rsidRDefault="00902824" w:rsidP="00902824">
            <w:pPr>
              <w:spacing w:before="0" w:line="276" w:lineRule="auto"/>
              <w:ind w:firstLine="0"/>
              <w:contextualSpacing w:val="0"/>
              <w:jc w:val="center"/>
              <w:rPr>
                <w:rFonts w:cs="Calibri"/>
                <w:b w:val="0"/>
                <w:color w:val="000000"/>
                <w:sz w:val="20"/>
                <w:szCs w:val="20"/>
                <w:lang w:val="en-US" w:eastAsia="en-US"/>
              </w:rPr>
            </w:pPr>
            <w:r w:rsidRPr="00764C1F">
              <w:rPr>
                <w:rFonts w:cs="Calibri"/>
                <w:b w:val="0"/>
                <w:color w:val="000000"/>
                <w:sz w:val="20"/>
                <w:szCs w:val="20"/>
                <w:lang w:val="en-US" w:eastAsia="en-US"/>
              </w:rPr>
              <w:t>(13,317.2)</w:t>
            </w:r>
          </w:p>
        </w:tc>
        <w:tc>
          <w:tcPr>
            <w:tcW w:w="1344" w:type="dxa"/>
            <w:shd w:val="clear" w:color="auto" w:fill="auto"/>
            <w:noWrap/>
            <w:vAlign w:val="center"/>
            <w:hideMark/>
          </w:tcPr>
          <w:p w:rsidR="00902824" w:rsidRPr="00764C1F" w:rsidRDefault="00902824" w:rsidP="00902824">
            <w:pPr>
              <w:spacing w:before="0" w:line="276" w:lineRule="auto"/>
              <w:ind w:firstLine="0"/>
              <w:contextualSpacing w:val="0"/>
              <w:jc w:val="center"/>
              <w:rPr>
                <w:rFonts w:cs="Calibri"/>
                <w:b w:val="0"/>
                <w:color w:val="000000"/>
                <w:sz w:val="20"/>
                <w:szCs w:val="20"/>
                <w:lang w:val="hy-AM" w:eastAsia="en-US"/>
              </w:rPr>
            </w:pPr>
            <w:r w:rsidRPr="00764C1F">
              <w:rPr>
                <w:rFonts w:cs="Calibri"/>
                <w:b w:val="0"/>
                <w:color w:val="000000"/>
                <w:sz w:val="20"/>
                <w:szCs w:val="20"/>
                <w:lang w:val="hy-AM" w:eastAsia="en-US"/>
              </w:rPr>
              <w:t>359</w:t>
            </w:r>
            <w:r w:rsidRPr="00764C1F">
              <w:rPr>
                <w:rFonts w:cs="Calibri"/>
                <w:b w:val="0"/>
                <w:color w:val="000000"/>
                <w:sz w:val="20"/>
                <w:szCs w:val="20"/>
                <w:lang w:val="en-US" w:eastAsia="en-US"/>
              </w:rPr>
              <w:t>,</w:t>
            </w:r>
            <w:r w:rsidRPr="00764C1F">
              <w:rPr>
                <w:rFonts w:cs="Calibri"/>
                <w:b w:val="0"/>
                <w:color w:val="000000"/>
                <w:sz w:val="20"/>
                <w:szCs w:val="20"/>
                <w:lang w:val="hy-AM" w:eastAsia="en-US"/>
              </w:rPr>
              <w:t>379.0</w:t>
            </w:r>
          </w:p>
        </w:tc>
        <w:tc>
          <w:tcPr>
            <w:tcW w:w="1343" w:type="dxa"/>
            <w:shd w:val="clear" w:color="auto" w:fill="auto"/>
            <w:noWrap/>
            <w:vAlign w:val="center"/>
            <w:hideMark/>
          </w:tcPr>
          <w:p w:rsidR="00902824" w:rsidRPr="00764C1F" w:rsidRDefault="00902824" w:rsidP="00902824">
            <w:pPr>
              <w:spacing w:before="0" w:line="276" w:lineRule="auto"/>
              <w:ind w:firstLine="0"/>
              <w:contextualSpacing w:val="0"/>
              <w:jc w:val="center"/>
              <w:rPr>
                <w:rFonts w:cs="Calibri"/>
                <w:b w:val="0"/>
                <w:color w:val="000000"/>
                <w:sz w:val="20"/>
                <w:szCs w:val="20"/>
                <w:lang w:val="en-US" w:eastAsia="en-US"/>
              </w:rPr>
            </w:pPr>
            <w:r w:rsidRPr="00764C1F">
              <w:rPr>
                <w:rFonts w:cs="Calibri"/>
                <w:b w:val="0"/>
                <w:color w:val="000000"/>
                <w:sz w:val="20"/>
                <w:szCs w:val="20"/>
                <w:lang w:val="en-US" w:eastAsia="en-US"/>
              </w:rPr>
              <w:t>101,218.9</w:t>
            </w:r>
          </w:p>
        </w:tc>
        <w:tc>
          <w:tcPr>
            <w:tcW w:w="1469" w:type="dxa"/>
            <w:shd w:val="clear" w:color="auto" w:fill="auto"/>
            <w:noWrap/>
            <w:vAlign w:val="center"/>
          </w:tcPr>
          <w:p w:rsidR="00902824" w:rsidRPr="00764C1F" w:rsidRDefault="00902824" w:rsidP="00902824">
            <w:pPr>
              <w:spacing w:before="0" w:line="240" w:lineRule="auto"/>
              <w:ind w:firstLine="0"/>
              <w:contextualSpacing w:val="0"/>
              <w:jc w:val="center"/>
              <w:rPr>
                <w:rFonts w:cs="Calibri"/>
                <w:b w:val="0"/>
                <w:sz w:val="20"/>
                <w:szCs w:val="20"/>
                <w:lang w:eastAsia="en-US"/>
              </w:rPr>
            </w:pPr>
            <w:r w:rsidRPr="00764C1F">
              <w:rPr>
                <w:rFonts w:cs="Calibri"/>
                <w:b w:val="0"/>
                <w:sz w:val="20"/>
                <w:szCs w:val="20"/>
                <w:lang w:val="en-US" w:eastAsia="en-US"/>
              </w:rPr>
              <w:t>272,</w:t>
            </w:r>
            <w:r w:rsidRPr="00764C1F">
              <w:rPr>
                <w:rFonts w:cs="Calibri"/>
                <w:b w:val="0"/>
                <w:sz w:val="20"/>
                <w:szCs w:val="20"/>
                <w:lang w:val="hy-AM" w:eastAsia="en-US"/>
              </w:rPr>
              <w:t>217</w:t>
            </w:r>
            <w:r w:rsidRPr="00764C1F">
              <w:rPr>
                <w:rFonts w:cs="Calibri"/>
                <w:b w:val="0"/>
                <w:sz w:val="20"/>
                <w:szCs w:val="20"/>
                <w:lang w:val="en-US" w:eastAsia="en-US"/>
              </w:rPr>
              <w:t>.</w:t>
            </w:r>
            <w:r w:rsidRPr="00764C1F">
              <w:rPr>
                <w:rFonts w:cs="Calibri"/>
                <w:b w:val="0"/>
                <w:sz w:val="20"/>
                <w:szCs w:val="20"/>
                <w:lang w:val="hy-AM" w:eastAsia="en-US"/>
              </w:rPr>
              <w:t>6</w:t>
            </w:r>
          </w:p>
        </w:tc>
        <w:tc>
          <w:tcPr>
            <w:tcW w:w="1318" w:type="dxa"/>
            <w:shd w:val="clear" w:color="auto" w:fill="auto"/>
            <w:vAlign w:val="center"/>
          </w:tcPr>
          <w:p w:rsidR="00902824" w:rsidRPr="00567F1D" w:rsidRDefault="00902824" w:rsidP="00567F1D">
            <w:pPr>
              <w:spacing w:before="0" w:line="240" w:lineRule="auto"/>
              <w:ind w:firstLine="0"/>
              <w:contextualSpacing w:val="0"/>
              <w:jc w:val="center"/>
              <w:rPr>
                <w:rFonts w:cs="Calibri"/>
                <w:b w:val="0"/>
                <w:sz w:val="20"/>
                <w:szCs w:val="20"/>
                <w:lang w:val="hy-AM" w:eastAsia="en-US"/>
              </w:rPr>
            </w:pPr>
            <w:r w:rsidRPr="00401AC9">
              <w:rPr>
                <w:rFonts w:cs="Calibri"/>
                <w:b w:val="0"/>
                <w:sz w:val="20"/>
                <w:szCs w:val="20"/>
                <w:lang w:val="en-US" w:eastAsia="en-US"/>
              </w:rPr>
              <w:t>3</w:t>
            </w:r>
            <w:r>
              <w:rPr>
                <w:rFonts w:cs="Calibri"/>
                <w:b w:val="0"/>
                <w:sz w:val="20"/>
                <w:szCs w:val="20"/>
                <w:lang w:val="hy-AM" w:eastAsia="en-US"/>
              </w:rPr>
              <w:t>0</w:t>
            </w:r>
            <w:r w:rsidR="00567F1D">
              <w:rPr>
                <w:rFonts w:cs="Calibri"/>
                <w:b w:val="0"/>
                <w:sz w:val="20"/>
                <w:szCs w:val="20"/>
                <w:lang w:val="hy-AM" w:eastAsia="en-US"/>
              </w:rPr>
              <w:t>2</w:t>
            </w:r>
            <w:r w:rsidRPr="00401AC9">
              <w:rPr>
                <w:rFonts w:cs="Calibri"/>
                <w:b w:val="0"/>
                <w:sz w:val="20"/>
                <w:szCs w:val="20"/>
                <w:lang w:val="en-US" w:eastAsia="en-US"/>
              </w:rPr>
              <w:t>,</w:t>
            </w:r>
            <w:r w:rsidR="00567F1D">
              <w:rPr>
                <w:rFonts w:cs="Calibri"/>
                <w:b w:val="0"/>
                <w:sz w:val="20"/>
                <w:szCs w:val="20"/>
                <w:lang w:val="hy-AM" w:eastAsia="en-US"/>
              </w:rPr>
              <w:t>8</w:t>
            </w:r>
            <w:r>
              <w:rPr>
                <w:rFonts w:cs="Calibri"/>
                <w:b w:val="0"/>
                <w:sz w:val="20"/>
                <w:szCs w:val="20"/>
                <w:lang w:val="hy-AM" w:eastAsia="en-US"/>
              </w:rPr>
              <w:t>35</w:t>
            </w:r>
            <w:r w:rsidRPr="00401AC9">
              <w:rPr>
                <w:rFonts w:cs="Calibri"/>
                <w:b w:val="0"/>
                <w:sz w:val="20"/>
                <w:szCs w:val="20"/>
                <w:lang w:val="en-US" w:eastAsia="en-US"/>
              </w:rPr>
              <w:t>.</w:t>
            </w:r>
            <w:r w:rsidR="00567F1D">
              <w:rPr>
                <w:rFonts w:cs="Calibri"/>
                <w:b w:val="0"/>
                <w:sz w:val="20"/>
                <w:szCs w:val="20"/>
                <w:lang w:val="hy-AM" w:eastAsia="en-US"/>
              </w:rPr>
              <w:t>8</w:t>
            </w:r>
          </w:p>
        </w:tc>
      </w:tr>
      <w:tr w:rsidR="00902824" w:rsidRPr="00C1304B" w:rsidTr="00A94018">
        <w:trPr>
          <w:trHeight w:val="809"/>
        </w:trPr>
        <w:tc>
          <w:tcPr>
            <w:tcW w:w="2610" w:type="dxa"/>
            <w:shd w:val="clear" w:color="auto" w:fill="auto"/>
            <w:vAlign w:val="center"/>
            <w:hideMark/>
          </w:tcPr>
          <w:p w:rsidR="00902824" w:rsidRPr="00C1304B" w:rsidRDefault="00902824" w:rsidP="00902824">
            <w:pPr>
              <w:spacing w:before="0" w:line="276" w:lineRule="auto"/>
              <w:ind w:firstLine="0"/>
              <w:contextualSpacing w:val="0"/>
              <w:jc w:val="left"/>
              <w:rPr>
                <w:rFonts w:cs="Calibri"/>
                <w:b w:val="0"/>
                <w:color w:val="000000"/>
                <w:sz w:val="20"/>
                <w:szCs w:val="20"/>
                <w:lang w:val="en-US" w:eastAsia="en-US"/>
              </w:rPr>
            </w:pPr>
            <w:r w:rsidRPr="00C1304B">
              <w:rPr>
                <w:rFonts w:cs="Calibri"/>
                <w:b w:val="0"/>
                <w:color w:val="000000"/>
                <w:sz w:val="20"/>
                <w:szCs w:val="20"/>
                <w:lang w:val="en-US" w:eastAsia="en-US"/>
              </w:rPr>
              <w:t>Բ. Արտաքին աղբյուրներ - ընդամենը</w:t>
            </w:r>
          </w:p>
        </w:tc>
        <w:tc>
          <w:tcPr>
            <w:tcW w:w="1343" w:type="dxa"/>
            <w:shd w:val="clear" w:color="auto" w:fill="auto"/>
            <w:noWrap/>
            <w:vAlign w:val="center"/>
            <w:hideMark/>
          </w:tcPr>
          <w:p w:rsidR="00902824" w:rsidRPr="00764C1F" w:rsidRDefault="00902824" w:rsidP="00902824">
            <w:pPr>
              <w:spacing w:before="0" w:line="276" w:lineRule="auto"/>
              <w:ind w:firstLine="0"/>
              <w:contextualSpacing w:val="0"/>
              <w:jc w:val="center"/>
              <w:rPr>
                <w:rFonts w:cs="Calibri"/>
                <w:b w:val="0"/>
                <w:color w:val="000000"/>
                <w:sz w:val="20"/>
                <w:szCs w:val="20"/>
                <w:lang w:val="en-US" w:eastAsia="en-US"/>
              </w:rPr>
            </w:pPr>
            <w:r w:rsidRPr="00764C1F">
              <w:rPr>
                <w:rFonts w:cs="Calibri"/>
                <w:b w:val="0"/>
                <w:color w:val="000000"/>
                <w:sz w:val="20"/>
                <w:szCs w:val="20"/>
                <w:lang w:val="en-US" w:eastAsia="en-US"/>
              </w:rPr>
              <w:t>77,265.2</w:t>
            </w:r>
          </w:p>
        </w:tc>
        <w:tc>
          <w:tcPr>
            <w:tcW w:w="1344" w:type="dxa"/>
            <w:shd w:val="clear" w:color="auto" w:fill="auto"/>
            <w:noWrap/>
            <w:vAlign w:val="center"/>
            <w:hideMark/>
          </w:tcPr>
          <w:p w:rsidR="00902824" w:rsidRPr="00764C1F" w:rsidRDefault="00902824" w:rsidP="00902824">
            <w:pPr>
              <w:spacing w:before="0" w:line="276" w:lineRule="auto"/>
              <w:ind w:firstLine="0"/>
              <w:contextualSpacing w:val="0"/>
              <w:jc w:val="center"/>
              <w:rPr>
                <w:rFonts w:cs="Calibri"/>
                <w:b w:val="0"/>
                <w:color w:val="000000"/>
                <w:sz w:val="20"/>
                <w:szCs w:val="20"/>
                <w:lang w:val="en-US" w:eastAsia="en-US"/>
              </w:rPr>
            </w:pPr>
            <w:r w:rsidRPr="00764C1F">
              <w:rPr>
                <w:rFonts w:cs="Calibri"/>
                <w:b w:val="0"/>
                <w:color w:val="000000"/>
                <w:sz w:val="20"/>
                <w:szCs w:val="20"/>
                <w:lang w:val="en-US" w:eastAsia="en-US"/>
              </w:rPr>
              <w:t>(</w:t>
            </w:r>
            <w:r w:rsidRPr="00764C1F">
              <w:rPr>
                <w:rFonts w:cs="Calibri"/>
                <w:b w:val="0"/>
                <w:color w:val="000000"/>
                <w:sz w:val="20"/>
                <w:szCs w:val="20"/>
                <w:lang w:val="hy-AM" w:eastAsia="en-US"/>
              </w:rPr>
              <w:t>25</w:t>
            </w:r>
            <w:r w:rsidRPr="00764C1F">
              <w:rPr>
                <w:rFonts w:cs="Calibri"/>
                <w:b w:val="0"/>
                <w:color w:val="000000"/>
                <w:sz w:val="20"/>
                <w:szCs w:val="20"/>
                <w:lang w:val="en-US" w:eastAsia="en-US"/>
              </w:rPr>
              <w:t>,</w:t>
            </w:r>
            <w:r w:rsidRPr="00764C1F">
              <w:rPr>
                <w:rFonts w:cs="Calibri"/>
                <w:b w:val="0"/>
                <w:color w:val="000000"/>
                <w:sz w:val="20"/>
                <w:szCs w:val="20"/>
                <w:lang w:val="hy-AM" w:eastAsia="en-US"/>
              </w:rPr>
              <w:t>387</w:t>
            </w:r>
            <w:r w:rsidRPr="00764C1F">
              <w:rPr>
                <w:rFonts w:cs="Calibri"/>
                <w:b w:val="0"/>
                <w:color w:val="000000"/>
                <w:sz w:val="20"/>
                <w:szCs w:val="20"/>
                <w:lang w:val="en-US" w:eastAsia="en-US"/>
              </w:rPr>
              <w:t>.2)</w:t>
            </w:r>
          </w:p>
        </w:tc>
        <w:tc>
          <w:tcPr>
            <w:tcW w:w="1343" w:type="dxa"/>
            <w:shd w:val="clear" w:color="auto" w:fill="auto"/>
            <w:noWrap/>
            <w:vAlign w:val="center"/>
            <w:hideMark/>
          </w:tcPr>
          <w:p w:rsidR="00902824" w:rsidRPr="00764C1F" w:rsidRDefault="00902824" w:rsidP="00902824">
            <w:pPr>
              <w:spacing w:before="0" w:line="276" w:lineRule="auto"/>
              <w:ind w:firstLine="0"/>
              <w:contextualSpacing w:val="0"/>
              <w:jc w:val="center"/>
              <w:rPr>
                <w:rFonts w:cs="Calibri"/>
                <w:b w:val="0"/>
                <w:color w:val="000000"/>
                <w:sz w:val="20"/>
                <w:szCs w:val="20"/>
                <w:lang w:val="en-US" w:eastAsia="en-US"/>
              </w:rPr>
            </w:pPr>
            <w:r w:rsidRPr="00764C1F">
              <w:rPr>
                <w:rFonts w:cs="Calibri"/>
                <w:b w:val="0"/>
                <w:color w:val="000000"/>
                <w:sz w:val="20"/>
                <w:szCs w:val="20"/>
                <w:lang w:val="en-US" w:eastAsia="en-US"/>
              </w:rPr>
              <w:t>219,250.6</w:t>
            </w:r>
          </w:p>
        </w:tc>
        <w:tc>
          <w:tcPr>
            <w:tcW w:w="1469" w:type="dxa"/>
            <w:shd w:val="clear" w:color="auto" w:fill="auto"/>
            <w:noWrap/>
            <w:vAlign w:val="center"/>
          </w:tcPr>
          <w:p w:rsidR="00902824" w:rsidRPr="00764C1F" w:rsidRDefault="00902824" w:rsidP="00902824">
            <w:pPr>
              <w:spacing w:before="0" w:line="240" w:lineRule="auto"/>
              <w:ind w:firstLine="0"/>
              <w:contextualSpacing w:val="0"/>
              <w:jc w:val="center"/>
              <w:rPr>
                <w:rFonts w:cs="Calibri"/>
                <w:b w:val="0"/>
                <w:sz w:val="20"/>
                <w:szCs w:val="20"/>
                <w:lang w:val="en-US" w:eastAsia="en-US"/>
              </w:rPr>
            </w:pPr>
            <w:r w:rsidRPr="00764C1F">
              <w:rPr>
                <w:rFonts w:cs="Calibri"/>
                <w:b w:val="0"/>
                <w:sz w:val="20"/>
                <w:szCs w:val="20"/>
                <w:lang w:val="en-US" w:eastAsia="en-US"/>
              </w:rPr>
              <w:t>(35,961.9)</w:t>
            </w:r>
          </w:p>
        </w:tc>
        <w:tc>
          <w:tcPr>
            <w:tcW w:w="1318" w:type="dxa"/>
            <w:shd w:val="clear" w:color="auto" w:fill="auto"/>
            <w:vAlign w:val="center"/>
          </w:tcPr>
          <w:p w:rsidR="00902824" w:rsidRPr="00401AC9" w:rsidRDefault="00902824" w:rsidP="00567F1D">
            <w:pPr>
              <w:spacing w:before="0" w:line="240" w:lineRule="auto"/>
              <w:ind w:firstLine="0"/>
              <w:contextualSpacing w:val="0"/>
              <w:jc w:val="center"/>
              <w:rPr>
                <w:rFonts w:cs="Calibri"/>
                <w:b w:val="0"/>
                <w:sz w:val="20"/>
                <w:szCs w:val="20"/>
                <w:lang w:val="en-US" w:eastAsia="en-US"/>
              </w:rPr>
            </w:pPr>
            <w:r w:rsidRPr="00401AC9">
              <w:rPr>
                <w:rFonts w:cs="Calibri"/>
                <w:b w:val="0"/>
                <w:sz w:val="20"/>
                <w:szCs w:val="20"/>
                <w:lang w:val="en-US" w:eastAsia="en-US"/>
              </w:rPr>
              <w:t>(</w:t>
            </w:r>
            <w:r>
              <w:rPr>
                <w:rFonts w:cs="Calibri"/>
                <w:b w:val="0"/>
                <w:sz w:val="20"/>
                <w:szCs w:val="20"/>
                <w:lang w:val="hy-AM" w:eastAsia="en-US"/>
              </w:rPr>
              <w:t>1</w:t>
            </w:r>
            <w:r w:rsidR="00567F1D">
              <w:rPr>
                <w:rFonts w:cs="Calibri"/>
                <w:b w:val="0"/>
                <w:sz w:val="20"/>
                <w:szCs w:val="20"/>
                <w:lang w:val="hy-AM" w:eastAsia="en-US"/>
              </w:rPr>
              <w:t>3</w:t>
            </w:r>
            <w:r w:rsidRPr="00401AC9">
              <w:rPr>
                <w:rFonts w:cs="Calibri"/>
                <w:b w:val="0"/>
                <w:sz w:val="20"/>
                <w:szCs w:val="20"/>
                <w:lang w:val="en-US" w:eastAsia="en-US"/>
              </w:rPr>
              <w:t>,</w:t>
            </w:r>
            <w:r w:rsidR="00567F1D">
              <w:rPr>
                <w:rFonts w:cs="Calibri"/>
                <w:b w:val="0"/>
                <w:sz w:val="20"/>
                <w:szCs w:val="20"/>
                <w:lang w:val="hy-AM" w:eastAsia="en-US"/>
              </w:rPr>
              <w:t>8</w:t>
            </w:r>
            <w:r w:rsidRPr="00401AC9">
              <w:rPr>
                <w:rFonts w:cs="Calibri"/>
                <w:b w:val="0"/>
                <w:sz w:val="20"/>
                <w:szCs w:val="20"/>
                <w:lang w:val="en-US" w:eastAsia="en-US"/>
              </w:rPr>
              <w:t>88.2)</w:t>
            </w:r>
          </w:p>
        </w:tc>
      </w:tr>
    </w:tbl>
    <w:p w:rsidR="00C1304B" w:rsidRPr="00C1304B" w:rsidRDefault="00C1304B" w:rsidP="00C1304B">
      <w:pPr>
        <w:spacing w:before="0" w:line="276" w:lineRule="auto"/>
        <w:ind w:firstLine="360"/>
        <w:contextualSpacing w:val="0"/>
        <w:rPr>
          <w:rFonts w:cs="Sylfaen"/>
          <w:b w:val="0"/>
          <w:szCs w:val="22"/>
          <w:lang w:val="en-US" w:eastAsia="en-US"/>
        </w:rPr>
      </w:pPr>
    </w:p>
    <w:p w:rsidR="00C1304B" w:rsidRPr="00C1304B" w:rsidRDefault="00C1304B" w:rsidP="00C1304B">
      <w:pPr>
        <w:spacing w:before="0" w:line="276" w:lineRule="auto"/>
        <w:ind w:firstLine="360"/>
        <w:contextualSpacing w:val="0"/>
        <w:rPr>
          <w:b w:val="0"/>
          <w:szCs w:val="22"/>
          <w:lang w:val="hy-AM" w:eastAsia="en-US"/>
        </w:rPr>
      </w:pPr>
      <w:r w:rsidRPr="00C1304B">
        <w:rPr>
          <w:rFonts w:cs="Sylfaen"/>
          <w:b w:val="0"/>
          <w:szCs w:val="22"/>
          <w:lang w:val="en-US" w:eastAsia="en-US"/>
        </w:rPr>
        <w:t>Պետական</w:t>
      </w:r>
      <w:r w:rsidRPr="00C1304B">
        <w:rPr>
          <w:b w:val="0"/>
          <w:szCs w:val="22"/>
          <w:lang w:val="en-US" w:eastAsia="en-US"/>
        </w:rPr>
        <w:t xml:space="preserve"> </w:t>
      </w:r>
      <w:r w:rsidRPr="00C1304B">
        <w:rPr>
          <w:rFonts w:cs="Sylfaen"/>
          <w:b w:val="0"/>
          <w:szCs w:val="22"/>
          <w:lang w:val="en-US" w:eastAsia="en-US"/>
        </w:rPr>
        <w:t>բյուջեի</w:t>
      </w:r>
      <w:r w:rsidRPr="00C1304B">
        <w:rPr>
          <w:b w:val="0"/>
          <w:szCs w:val="22"/>
          <w:lang w:val="en-US" w:eastAsia="en-US"/>
        </w:rPr>
        <w:t xml:space="preserve"> </w:t>
      </w:r>
      <w:r w:rsidRPr="00C1304B">
        <w:rPr>
          <w:rFonts w:cs="Sylfaen"/>
          <w:b w:val="0"/>
          <w:szCs w:val="22"/>
          <w:lang w:val="en-US" w:eastAsia="en-US"/>
        </w:rPr>
        <w:t>դեֆիցիտի</w:t>
      </w:r>
      <w:r w:rsidRPr="00C1304B">
        <w:rPr>
          <w:b w:val="0"/>
          <w:szCs w:val="22"/>
          <w:lang w:val="en-US" w:eastAsia="en-US"/>
        </w:rPr>
        <w:t xml:space="preserve"> </w:t>
      </w:r>
      <w:r w:rsidRPr="00C1304B">
        <w:rPr>
          <w:rFonts w:cs="Sylfaen"/>
          <w:b w:val="0"/>
          <w:szCs w:val="22"/>
          <w:lang w:val="en-US" w:eastAsia="en-US"/>
        </w:rPr>
        <w:t>հարաբերակցությունը</w:t>
      </w:r>
      <w:r w:rsidRPr="00C1304B">
        <w:rPr>
          <w:b w:val="0"/>
          <w:szCs w:val="22"/>
          <w:lang w:val="en-US" w:eastAsia="en-US"/>
        </w:rPr>
        <w:t xml:space="preserve"> </w:t>
      </w:r>
      <w:r w:rsidRPr="00C1304B">
        <w:rPr>
          <w:rFonts w:cs="Sylfaen"/>
          <w:b w:val="0"/>
          <w:szCs w:val="22"/>
          <w:lang w:val="en-US" w:eastAsia="en-US"/>
        </w:rPr>
        <w:t>ՀՆԱ-ի</w:t>
      </w:r>
      <w:r w:rsidRPr="00C1304B">
        <w:rPr>
          <w:b w:val="0"/>
          <w:szCs w:val="22"/>
          <w:lang w:val="en-US" w:eastAsia="en-US"/>
        </w:rPr>
        <w:t xml:space="preserve"> </w:t>
      </w:r>
      <w:r w:rsidRPr="00C1304B">
        <w:rPr>
          <w:rFonts w:cs="Sylfaen"/>
          <w:b w:val="0"/>
          <w:szCs w:val="22"/>
          <w:lang w:val="en-US" w:eastAsia="en-US"/>
        </w:rPr>
        <w:t>նկատմամբ</w:t>
      </w:r>
      <w:r w:rsidRPr="00C1304B">
        <w:rPr>
          <w:b w:val="0"/>
          <w:szCs w:val="22"/>
          <w:lang w:val="en-US" w:eastAsia="en-US"/>
        </w:rPr>
        <w:t xml:space="preserve"> 2023 թվակա</w:t>
      </w:r>
      <w:r w:rsidRPr="00C1304B">
        <w:rPr>
          <w:rFonts w:cs="Sylfaen"/>
          <w:b w:val="0"/>
          <w:szCs w:val="22"/>
          <w:lang w:val="en-US" w:eastAsia="en-US"/>
        </w:rPr>
        <w:t>նին</w:t>
      </w:r>
      <w:r w:rsidRPr="00C1304B">
        <w:rPr>
          <w:b w:val="0"/>
          <w:szCs w:val="22"/>
          <w:lang w:val="en-US" w:eastAsia="en-US"/>
        </w:rPr>
        <w:t xml:space="preserve"> </w:t>
      </w:r>
      <w:r w:rsidRPr="00401AC9">
        <w:rPr>
          <w:rFonts w:cs="Sylfaen"/>
          <w:b w:val="0"/>
          <w:szCs w:val="22"/>
          <w:lang w:val="en-US" w:eastAsia="en-US"/>
        </w:rPr>
        <w:t>կկազմի 3.1</w:t>
      </w:r>
      <w:r w:rsidRPr="00401AC9">
        <w:rPr>
          <w:b w:val="0"/>
          <w:szCs w:val="22"/>
          <w:lang w:val="en-US" w:eastAsia="en-US"/>
        </w:rPr>
        <w:t xml:space="preserve">%: </w:t>
      </w:r>
      <w:r w:rsidRPr="00401AC9">
        <w:rPr>
          <w:rFonts w:cs="Sylfaen"/>
          <w:b w:val="0"/>
          <w:szCs w:val="22"/>
          <w:lang w:val="en-US" w:eastAsia="en-US"/>
        </w:rPr>
        <w:t>Ինչպես</w:t>
      </w:r>
      <w:r w:rsidRPr="00C1304B">
        <w:rPr>
          <w:rFonts w:cs="Sylfaen"/>
          <w:b w:val="0"/>
          <w:szCs w:val="22"/>
          <w:lang w:val="en-US" w:eastAsia="en-US"/>
        </w:rPr>
        <w:t xml:space="preserve"> 2023-2025թթ միջնաժամկետ ծախսային ծրագրում, ՀՀ 2023թ բյուջեում նույն</w:t>
      </w:r>
      <w:r w:rsidRPr="00C1304B">
        <w:rPr>
          <w:rFonts w:cs="Sylfaen"/>
          <w:b w:val="0"/>
          <w:szCs w:val="22"/>
          <w:lang w:val="en-US" w:eastAsia="en-US"/>
        </w:rPr>
        <w:softHyphen/>
      </w:r>
      <w:r w:rsidRPr="00C1304B">
        <w:rPr>
          <w:rFonts w:cs="Sylfaen"/>
          <w:b w:val="0"/>
          <w:szCs w:val="22"/>
          <w:lang w:val="en-US" w:eastAsia="en-US"/>
        </w:rPr>
        <w:softHyphen/>
        <w:t xml:space="preserve">պես պահպանվել է </w:t>
      </w:r>
      <w:r w:rsidRPr="00C1304B">
        <w:rPr>
          <w:rFonts w:cs="Sylfaen"/>
          <w:b w:val="0"/>
          <w:szCs w:val="22"/>
          <w:lang w:val="hy-AM" w:eastAsia="en-US"/>
        </w:rPr>
        <w:t>ՀՀ</w:t>
      </w:r>
      <w:r w:rsidRPr="00C1304B">
        <w:rPr>
          <w:b w:val="0"/>
          <w:szCs w:val="22"/>
          <w:lang w:val="hy-AM" w:eastAsia="en-US"/>
        </w:rPr>
        <w:t xml:space="preserve"> </w:t>
      </w:r>
      <w:r w:rsidRPr="00C1304B">
        <w:rPr>
          <w:rFonts w:cs="Sylfaen"/>
          <w:b w:val="0"/>
          <w:szCs w:val="22"/>
          <w:lang w:val="hy-AM" w:eastAsia="en-US"/>
        </w:rPr>
        <w:t>պետական</w:t>
      </w:r>
      <w:r w:rsidRPr="00C1304B">
        <w:rPr>
          <w:b w:val="0"/>
          <w:szCs w:val="22"/>
          <w:lang w:val="hy-AM" w:eastAsia="en-US"/>
        </w:rPr>
        <w:t xml:space="preserve"> </w:t>
      </w:r>
      <w:r w:rsidRPr="00C1304B">
        <w:rPr>
          <w:rFonts w:cs="Sylfaen"/>
          <w:b w:val="0"/>
          <w:szCs w:val="22"/>
          <w:lang w:val="hy-AM" w:eastAsia="en-US"/>
        </w:rPr>
        <w:t>բյուջեի</w:t>
      </w:r>
      <w:r w:rsidRPr="00C1304B">
        <w:rPr>
          <w:rFonts w:cs="Sylfaen"/>
          <w:b w:val="0"/>
          <w:szCs w:val="22"/>
          <w:lang w:val="en-US" w:eastAsia="en-US"/>
        </w:rPr>
        <w:t xml:space="preserve"> </w:t>
      </w:r>
      <w:r w:rsidRPr="00C1304B">
        <w:rPr>
          <w:rFonts w:cs="Sylfaen"/>
          <w:b w:val="0"/>
          <w:szCs w:val="22"/>
          <w:lang w:val="hy-AM" w:eastAsia="en-US"/>
        </w:rPr>
        <w:t>կախվա</w:t>
      </w:r>
      <w:r w:rsidRPr="00C1304B">
        <w:rPr>
          <w:rFonts w:cs="Sylfaen"/>
          <w:b w:val="0"/>
          <w:szCs w:val="22"/>
          <w:lang w:val="hy-AM" w:eastAsia="en-US"/>
        </w:rPr>
        <w:softHyphen/>
        <w:t>ծու</w:t>
      </w:r>
      <w:r w:rsidRPr="00C1304B">
        <w:rPr>
          <w:rFonts w:cs="Sylfaen"/>
          <w:b w:val="0"/>
          <w:szCs w:val="22"/>
          <w:lang w:val="hy-AM" w:eastAsia="en-US"/>
        </w:rPr>
        <w:softHyphen/>
        <w:t>թյունն</w:t>
      </w:r>
      <w:r w:rsidRPr="00C1304B">
        <w:rPr>
          <w:b w:val="0"/>
          <w:szCs w:val="22"/>
          <w:lang w:val="hy-AM" w:eastAsia="en-US"/>
        </w:rPr>
        <w:t xml:space="preserve"> </w:t>
      </w:r>
      <w:r w:rsidRPr="00C1304B">
        <w:rPr>
          <w:rFonts w:cs="Sylfaen"/>
          <w:b w:val="0"/>
          <w:szCs w:val="22"/>
          <w:lang w:val="hy-AM" w:eastAsia="en-US"/>
        </w:rPr>
        <w:t>արտաքին</w:t>
      </w:r>
      <w:r w:rsidRPr="00C1304B">
        <w:rPr>
          <w:b w:val="0"/>
          <w:szCs w:val="22"/>
          <w:lang w:val="hy-AM" w:eastAsia="en-US"/>
        </w:rPr>
        <w:t xml:space="preserve"> </w:t>
      </w:r>
      <w:r w:rsidRPr="00C1304B">
        <w:rPr>
          <w:rFonts w:cs="Sylfaen"/>
          <w:b w:val="0"/>
          <w:szCs w:val="22"/>
          <w:lang w:val="hy-AM" w:eastAsia="en-US"/>
        </w:rPr>
        <w:t>ֆինանսավորման</w:t>
      </w:r>
      <w:r w:rsidRPr="00C1304B">
        <w:rPr>
          <w:b w:val="0"/>
          <w:szCs w:val="22"/>
          <w:lang w:val="hy-AM" w:eastAsia="en-US"/>
        </w:rPr>
        <w:t xml:space="preserve"> </w:t>
      </w:r>
      <w:r w:rsidRPr="00C1304B">
        <w:rPr>
          <w:rFonts w:cs="Sylfaen"/>
          <w:b w:val="0"/>
          <w:szCs w:val="22"/>
          <w:lang w:val="hy-AM" w:eastAsia="en-US"/>
        </w:rPr>
        <w:t>աղբյուր</w:t>
      </w:r>
      <w:r w:rsidRPr="00C1304B">
        <w:rPr>
          <w:rFonts w:cs="Sylfaen"/>
          <w:b w:val="0"/>
          <w:szCs w:val="22"/>
          <w:lang w:val="en-US" w:eastAsia="en-US"/>
        </w:rPr>
        <w:softHyphen/>
      </w:r>
      <w:r w:rsidRPr="00C1304B">
        <w:rPr>
          <w:rFonts w:cs="Sylfaen"/>
          <w:b w:val="0"/>
          <w:szCs w:val="22"/>
          <w:lang w:val="en-US" w:eastAsia="en-US"/>
        </w:rPr>
        <w:softHyphen/>
      </w:r>
      <w:r w:rsidRPr="00C1304B">
        <w:rPr>
          <w:rFonts w:cs="Sylfaen"/>
          <w:b w:val="0"/>
          <w:szCs w:val="22"/>
          <w:lang w:val="hy-AM" w:eastAsia="en-US"/>
        </w:rPr>
        <w:t>ներից</w:t>
      </w:r>
      <w:r w:rsidRPr="00C1304B">
        <w:rPr>
          <w:b w:val="0"/>
          <w:szCs w:val="22"/>
          <w:lang w:val="hy-AM" w:eastAsia="en-US"/>
        </w:rPr>
        <w:t xml:space="preserve"> (</w:t>
      </w:r>
      <w:r w:rsidRPr="00C1304B">
        <w:rPr>
          <w:rFonts w:cs="Sylfaen"/>
          <w:b w:val="0"/>
          <w:szCs w:val="22"/>
          <w:lang w:val="hy-AM" w:eastAsia="en-US"/>
        </w:rPr>
        <w:t>արտասահմանյան</w:t>
      </w:r>
      <w:r w:rsidRPr="00C1304B">
        <w:rPr>
          <w:b w:val="0"/>
          <w:szCs w:val="22"/>
          <w:lang w:val="hy-AM" w:eastAsia="en-US"/>
        </w:rPr>
        <w:t xml:space="preserve"> </w:t>
      </w:r>
      <w:r w:rsidRPr="00C1304B">
        <w:rPr>
          <w:rFonts w:cs="Sylfaen"/>
          <w:b w:val="0"/>
          <w:szCs w:val="22"/>
          <w:lang w:val="hy-AM" w:eastAsia="en-US"/>
        </w:rPr>
        <w:t>վարկերից</w:t>
      </w:r>
      <w:r w:rsidRPr="00C1304B">
        <w:rPr>
          <w:b w:val="0"/>
          <w:szCs w:val="22"/>
          <w:lang w:val="hy-AM" w:eastAsia="en-US"/>
        </w:rPr>
        <w:t xml:space="preserve"> </w:t>
      </w:r>
      <w:r w:rsidRPr="00C1304B">
        <w:rPr>
          <w:rFonts w:cs="Sylfaen"/>
          <w:b w:val="0"/>
          <w:szCs w:val="22"/>
          <w:lang w:val="hy-AM" w:eastAsia="en-US"/>
        </w:rPr>
        <w:t>և</w:t>
      </w:r>
      <w:r w:rsidRPr="00C1304B">
        <w:rPr>
          <w:b w:val="0"/>
          <w:szCs w:val="22"/>
          <w:lang w:val="hy-AM" w:eastAsia="en-US"/>
        </w:rPr>
        <w:t xml:space="preserve"> </w:t>
      </w:r>
      <w:r w:rsidRPr="00C1304B">
        <w:rPr>
          <w:rFonts w:cs="Sylfaen"/>
          <w:b w:val="0"/>
          <w:szCs w:val="22"/>
          <w:lang w:val="hy-AM" w:eastAsia="en-US"/>
        </w:rPr>
        <w:t>պաշտո</w:t>
      </w:r>
      <w:r w:rsidRPr="00C1304B">
        <w:rPr>
          <w:rFonts w:cs="Sylfaen"/>
          <w:b w:val="0"/>
          <w:szCs w:val="22"/>
          <w:lang w:val="hy-AM" w:eastAsia="en-US"/>
        </w:rPr>
        <w:softHyphen/>
        <w:t>նական</w:t>
      </w:r>
      <w:r w:rsidRPr="00C1304B">
        <w:rPr>
          <w:b w:val="0"/>
          <w:szCs w:val="22"/>
          <w:lang w:val="hy-AM" w:eastAsia="en-US"/>
        </w:rPr>
        <w:t xml:space="preserve"> </w:t>
      </w:r>
      <w:r w:rsidRPr="00C1304B">
        <w:rPr>
          <w:rFonts w:cs="Sylfaen"/>
          <w:b w:val="0"/>
          <w:szCs w:val="22"/>
          <w:lang w:val="hy-AM" w:eastAsia="en-US"/>
        </w:rPr>
        <w:t>դրամաշնորհ</w:t>
      </w:r>
      <w:r w:rsidRPr="00C1304B">
        <w:rPr>
          <w:rFonts w:cs="Sylfaen"/>
          <w:b w:val="0"/>
          <w:szCs w:val="22"/>
          <w:lang w:val="hy-AM" w:eastAsia="en-US"/>
        </w:rPr>
        <w:softHyphen/>
        <w:t>ներից</w:t>
      </w:r>
      <w:r w:rsidRPr="00C1304B">
        <w:rPr>
          <w:b w:val="0"/>
          <w:szCs w:val="22"/>
          <w:lang w:val="hy-AM" w:eastAsia="en-US"/>
        </w:rPr>
        <w:t>):</w:t>
      </w:r>
    </w:p>
    <w:p w:rsidR="00C1304B" w:rsidRPr="00C1304B" w:rsidRDefault="00C1304B" w:rsidP="00C1304B">
      <w:pPr>
        <w:spacing w:before="0"/>
        <w:rPr>
          <w:b w:val="0"/>
          <w:bCs/>
          <w:sz w:val="18"/>
          <w:szCs w:val="18"/>
          <w:lang w:val="en-US"/>
        </w:rPr>
      </w:pPr>
    </w:p>
    <w:p w:rsidR="00C1304B" w:rsidRPr="00C1304B" w:rsidRDefault="00C1304B" w:rsidP="00C1304B">
      <w:pPr>
        <w:spacing w:after="200"/>
        <w:rPr>
          <w:bCs/>
          <w:i/>
          <w:sz w:val="20"/>
          <w:szCs w:val="20"/>
          <w:lang w:val="hy-AM"/>
        </w:rPr>
      </w:pPr>
      <w:bookmarkStart w:id="247" w:name="_Toc83728698"/>
      <w:bookmarkStart w:id="248" w:name="_Toc115283830"/>
      <w:bookmarkStart w:id="249" w:name="_Toc120805264"/>
      <w:r w:rsidRPr="00C1304B">
        <w:rPr>
          <w:b w:val="0"/>
          <w:bCs/>
          <w:color w:val="5B9BD5"/>
          <w:sz w:val="18"/>
          <w:szCs w:val="18"/>
        </w:rPr>
        <w:t>Աղյուսակ</w:t>
      </w:r>
      <w:r w:rsidRPr="00C1304B">
        <w:rPr>
          <w:b w:val="0"/>
          <w:bCs/>
          <w:color w:val="5B9BD5"/>
          <w:sz w:val="18"/>
          <w:szCs w:val="18"/>
          <w:lang w:val="en-US"/>
        </w:rPr>
        <w:t xml:space="preserve"> </w:t>
      </w:r>
      <w:r w:rsidRPr="00C1304B">
        <w:rPr>
          <w:b w:val="0"/>
          <w:bCs/>
          <w:color w:val="5B9BD5"/>
          <w:sz w:val="18"/>
          <w:szCs w:val="18"/>
        </w:rPr>
        <w:fldChar w:fldCharType="begin"/>
      </w:r>
      <w:r w:rsidRPr="00C1304B">
        <w:rPr>
          <w:b w:val="0"/>
          <w:bCs/>
          <w:color w:val="5B9BD5"/>
          <w:sz w:val="18"/>
          <w:szCs w:val="18"/>
          <w:lang w:val="en-US"/>
        </w:rPr>
        <w:instrText xml:space="preserve"> SEQ </w:instrText>
      </w:r>
      <w:r w:rsidRPr="00C1304B">
        <w:rPr>
          <w:b w:val="0"/>
          <w:bCs/>
          <w:color w:val="5B9BD5"/>
          <w:sz w:val="18"/>
          <w:szCs w:val="18"/>
        </w:rPr>
        <w:instrText>Աղյուսակ</w:instrText>
      </w:r>
      <w:r w:rsidRPr="00C1304B">
        <w:rPr>
          <w:b w:val="0"/>
          <w:bCs/>
          <w:color w:val="5B9BD5"/>
          <w:sz w:val="18"/>
          <w:szCs w:val="18"/>
          <w:lang w:val="en-US"/>
        </w:rPr>
        <w:instrText xml:space="preserve"> \* ARABIC </w:instrText>
      </w:r>
      <w:r w:rsidRPr="00C1304B">
        <w:rPr>
          <w:b w:val="0"/>
          <w:bCs/>
          <w:color w:val="5B9BD5"/>
          <w:sz w:val="18"/>
          <w:szCs w:val="18"/>
        </w:rPr>
        <w:fldChar w:fldCharType="separate"/>
      </w:r>
      <w:r w:rsidR="008177DF">
        <w:rPr>
          <w:b w:val="0"/>
          <w:bCs/>
          <w:noProof/>
          <w:color w:val="5B9BD5"/>
          <w:sz w:val="18"/>
          <w:szCs w:val="18"/>
          <w:lang w:val="en-US"/>
        </w:rPr>
        <w:t>5</w:t>
      </w:r>
      <w:r w:rsidRPr="00C1304B">
        <w:rPr>
          <w:b w:val="0"/>
          <w:bCs/>
          <w:color w:val="5B9BD5"/>
          <w:sz w:val="18"/>
          <w:szCs w:val="18"/>
        </w:rPr>
        <w:fldChar w:fldCharType="end"/>
      </w:r>
      <w:r w:rsidRPr="00C1304B">
        <w:rPr>
          <w:rFonts w:ascii="Cambria Math" w:hAnsi="Cambria Math" w:cs="Cambria Math"/>
          <w:b w:val="0"/>
          <w:bCs/>
          <w:color w:val="5B9BD5"/>
          <w:sz w:val="18"/>
          <w:szCs w:val="18"/>
          <w:lang w:val="hy-AM"/>
        </w:rPr>
        <w:t>․</w:t>
      </w:r>
      <w:r w:rsidRPr="00C1304B">
        <w:rPr>
          <w:rFonts w:ascii="Cambria Math" w:hAnsi="Cambria Math"/>
          <w:b w:val="0"/>
          <w:bCs/>
          <w:sz w:val="18"/>
          <w:szCs w:val="18"/>
          <w:lang w:val="hy-AM"/>
        </w:rPr>
        <w:t xml:space="preserve"> </w:t>
      </w:r>
      <w:r w:rsidRPr="00C1304B">
        <w:rPr>
          <w:bCs/>
          <w:i/>
          <w:color w:val="5B9BD5"/>
          <w:sz w:val="20"/>
          <w:szCs w:val="20"/>
          <w:lang w:val="hy-AM"/>
        </w:rPr>
        <w:t>Ընդհանուր և առաջնային դեֆիցիտները (%-ով ՀՆԱ-ի նկատմամբ) 202</w:t>
      </w:r>
      <w:r w:rsidRPr="00C1304B">
        <w:rPr>
          <w:bCs/>
          <w:i/>
          <w:color w:val="5B9BD5"/>
          <w:sz w:val="20"/>
          <w:szCs w:val="20"/>
          <w:lang w:val="en-US"/>
        </w:rPr>
        <w:t>3</w:t>
      </w:r>
      <w:r w:rsidRPr="00C1304B">
        <w:rPr>
          <w:bCs/>
          <w:i/>
          <w:color w:val="5B9BD5"/>
          <w:sz w:val="20"/>
          <w:szCs w:val="20"/>
          <w:lang w:val="hy-AM"/>
        </w:rPr>
        <w:t>թ</w:t>
      </w:r>
      <w:r w:rsidRPr="00C1304B">
        <w:rPr>
          <w:bCs/>
          <w:i/>
          <w:color w:val="5B9BD5"/>
          <w:sz w:val="20"/>
          <w:szCs w:val="20"/>
          <w:lang w:val="en-US"/>
        </w:rPr>
        <w:t>.</w:t>
      </w:r>
      <w:bookmarkEnd w:id="247"/>
      <w:bookmarkEnd w:id="248"/>
      <w:bookmarkEnd w:id="249"/>
      <w:r w:rsidRPr="00C1304B">
        <w:rPr>
          <w:bCs/>
          <w:i/>
          <w:color w:val="5B9BD5"/>
          <w:sz w:val="20"/>
          <w:szCs w:val="20"/>
          <w:lang w:val="hy-AM"/>
        </w:rPr>
        <w:t xml:space="preserve"> </w:t>
      </w:r>
    </w:p>
    <w:tbl>
      <w:tblPr>
        <w:tblW w:w="9201"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3"/>
        <w:gridCol w:w="2158"/>
      </w:tblGrid>
      <w:tr w:rsidR="00C1304B" w:rsidRPr="00C1304B" w:rsidTr="00A94018">
        <w:trPr>
          <w:trHeight w:val="681"/>
        </w:trPr>
        <w:tc>
          <w:tcPr>
            <w:tcW w:w="7043" w:type="dxa"/>
            <w:shd w:val="clear" w:color="auto" w:fill="5B9BD5"/>
          </w:tcPr>
          <w:p w:rsidR="00C1304B" w:rsidRPr="00B52FFC" w:rsidRDefault="00C1304B" w:rsidP="00C1304B">
            <w:pPr>
              <w:spacing w:before="0" w:line="276" w:lineRule="auto"/>
              <w:ind w:firstLine="0"/>
              <w:contextualSpacing w:val="0"/>
              <w:jc w:val="center"/>
              <w:rPr>
                <w:rFonts w:cs="Sylfaen"/>
                <w:color w:val="FFFFFF" w:themeColor="background1"/>
                <w:sz w:val="20"/>
                <w:szCs w:val="20"/>
                <w:lang w:val="hy-AM" w:eastAsia="en-US"/>
              </w:rPr>
            </w:pPr>
            <w:r w:rsidRPr="00B52FFC">
              <w:rPr>
                <w:rFonts w:cs="Sylfaen"/>
                <w:color w:val="FFFFFF" w:themeColor="background1"/>
                <w:sz w:val="20"/>
                <w:szCs w:val="20"/>
                <w:lang w:val="en-US" w:eastAsia="en-US"/>
              </w:rPr>
              <w:t>Ցուցանիշներ</w:t>
            </w:r>
          </w:p>
        </w:tc>
        <w:tc>
          <w:tcPr>
            <w:tcW w:w="2158" w:type="dxa"/>
            <w:shd w:val="clear" w:color="auto" w:fill="5B9BD5"/>
            <w:vAlign w:val="center"/>
          </w:tcPr>
          <w:p w:rsidR="00C1304B" w:rsidRPr="00B52FFC" w:rsidRDefault="00C1304B" w:rsidP="00C1304B">
            <w:pPr>
              <w:spacing w:before="0" w:line="276" w:lineRule="auto"/>
              <w:ind w:firstLine="0"/>
              <w:contextualSpacing w:val="0"/>
              <w:jc w:val="center"/>
              <w:rPr>
                <w:rFonts w:cs="Sylfaen"/>
                <w:color w:val="FFFFFF" w:themeColor="background1"/>
                <w:sz w:val="20"/>
                <w:szCs w:val="20"/>
                <w:lang w:val="en-US" w:eastAsia="en-US"/>
              </w:rPr>
            </w:pPr>
            <w:r w:rsidRPr="00B52FFC">
              <w:rPr>
                <w:rFonts w:cs="Sylfaen"/>
                <w:color w:val="FFFFFF" w:themeColor="background1"/>
                <w:sz w:val="20"/>
                <w:szCs w:val="20"/>
                <w:lang w:val="en-US" w:eastAsia="en-US"/>
              </w:rPr>
              <w:t>2023թ կանխատեսում</w:t>
            </w:r>
          </w:p>
        </w:tc>
      </w:tr>
      <w:tr w:rsidR="00C1304B" w:rsidRPr="00C1304B" w:rsidTr="00A94018">
        <w:trPr>
          <w:trHeight w:val="782"/>
        </w:trPr>
        <w:tc>
          <w:tcPr>
            <w:tcW w:w="7043" w:type="dxa"/>
          </w:tcPr>
          <w:p w:rsidR="00C1304B" w:rsidRPr="00C1304B" w:rsidRDefault="00C1304B" w:rsidP="00C1304B">
            <w:pPr>
              <w:spacing w:before="0" w:line="276" w:lineRule="auto"/>
              <w:ind w:firstLine="0"/>
              <w:contextualSpacing w:val="0"/>
              <w:jc w:val="left"/>
              <w:rPr>
                <w:rFonts w:cs="Sylfaen"/>
                <w:b w:val="0"/>
                <w:sz w:val="20"/>
                <w:szCs w:val="20"/>
                <w:lang w:val="hy-AM" w:eastAsia="en-US"/>
              </w:rPr>
            </w:pPr>
            <w:r w:rsidRPr="00C1304B">
              <w:rPr>
                <w:rFonts w:cs="Sylfaen"/>
                <w:b w:val="0"/>
                <w:sz w:val="20"/>
                <w:szCs w:val="20"/>
                <w:lang w:val="hy-AM" w:eastAsia="en-US"/>
              </w:rPr>
              <w:t>Ընդհանուր դեֆիցիտ`</w:t>
            </w:r>
          </w:p>
          <w:p w:rsidR="00C1304B" w:rsidRPr="00C1304B" w:rsidRDefault="00C1304B" w:rsidP="00C1304B">
            <w:pPr>
              <w:spacing w:before="0" w:line="276" w:lineRule="auto"/>
              <w:ind w:firstLine="0"/>
              <w:contextualSpacing w:val="0"/>
              <w:jc w:val="left"/>
              <w:rPr>
                <w:rFonts w:cs="Sylfaen"/>
                <w:b w:val="0"/>
                <w:sz w:val="20"/>
                <w:szCs w:val="20"/>
                <w:lang w:val="hy-AM" w:eastAsia="en-US"/>
              </w:rPr>
            </w:pPr>
            <w:r w:rsidRPr="00C1304B">
              <w:rPr>
                <w:rFonts w:cs="Sylfaen"/>
                <w:b w:val="0"/>
                <w:sz w:val="20"/>
                <w:szCs w:val="20"/>
                <w:lang w:val="hy-AM" w:eastAsia="en-US"/>
              </w:rPr>
              <w:t>Ընդհանուր եկամուտների և ծախսերի տարբերու</w:t>
            </w:r>
            <w:r w:rsidRPr="00C1304B">
              <w:rPr>
                <w:rFonts w:cs="Sylfaen"/>
                <w:b w:val="0"/>
                <w:sz w:val="20"/>
                <w:szCs w:val="20"/>
                <w:lang w:val="hy-AM" w:eastAsia="en-US"/>
              </w:rPr>
              <w:softHyphen/>
              <w:t>թյունը</w:t>
            </w:r>
          </w:p>
        </w:tc>
        <w:tc>
          <w:tcPr>
            <w:tcW w:w="2158" w:type="dxa"/>
            <w:vAlign w:val="bottom"/>
          </w:tcPr>
          <w:p w:rsidR="00C1304B" w:rsidRPr="00B86F49" w:rsidRDefault="00C1304B" w:rsidP="00C1304B">
            <w:pPr>
              <w:spacing w:before="0" w:line="276" w:lineRule="auto"/>
              <w:ind w:firstLine="0"/>
              <w:contextualSpacing w:val="0"/>
              <w:jc w:val="center"/>
              <w:rPr>
                <w:b w:val="0"/>
                <w:bCs/>
                <w:iCs/>
                <w:sz w:val="20"/>
                <w:szCs w:val="20"/>
                <w:highlight w:val="yellow"/>
                <w:lang w:val="en-US" w:eastAsia="en-US"/>
              </w:rPr>
            </w:pPr>
            <w:r w:rsidRPr="00401AC9">
              <w:rPr>
                <w:b w:val="0"/>
                <w:bCs/>
                <w:iCs/>
                <w:sz w:val="20"/>
                <w:szCs w:val="20"/>
                <w:lang w:eastAsia="en-US"/>
              </w:rPr>
              <w:t>3.</w:t>
            </w:r>
            <w:r w:rsidRPr="00401AC9">
              <w:rPr>
                <w:b w:val="0"/>
                <w:bCs/>
                <w:iCs/>
                <w:sz w:val="20"/>
                <w:szCs w:val="20"/>
                <w:lang w:val="en-US" w:eastAsia="en-US"/>
              </w:rPr>
              <w:t>1</w:t>
            </w:r>
          </w:p>
        </w:tc>
      </w:tr>
      <w:tr w:rsidR="00C1304B" w:rsidRPr="00C1304B" w:rsidTr="00A94018">
        <w:trPr>
          <w:trHeight w:val="840"/>
        </w:trPr>
        <w:tc>
          <w:tcPr>
            <w:tcW w:w="7043" w:type="dxa"/>
            <w:shd w:val="clear" w:color="auto" w:fill="DEEAF6"/>
          </w:tcPr>
          <w:p w:rsidR="00C1304B" w:rsidRPr="00C1304B" w:rsidRDefault="00C1304B" w:rsidP="00C1304B">
            <w:pPr>
              <w:spacing w:before="0" w:line="276" w:lineRule="auto"/>
              <w:ind w:firstLine="0"/>
              <w:contextualSpacing w:val="0"/>
              <w:jc w:val="left"/>
              <w:rPr>
                <w:rFonts w:cs="Sylfaen"/>
                <w:b w:val="0"/>
                <w:sz w:val="20"/>
                <w:szCs w:val="20"/>
                <w:lang w:val="hy-AM" w:eastAsia="en-US"/>
              </w:rPr>
            </w:pPr>
            <w:r w:rsidRPr="00C1304B">
              <w:rPr>
                <w:rFonts w:cs="Sylfaen"/>
                <w:b w:val="0"/>
                <w:sz w:val="20"/>
                <w:szCs w:val="20"/>
                <w:lang w:val="hy-AM" w:eastAsia="en-US"/>
              </w:rPr>
              <w:t xml:space="preserve">Առաջնային դեֆիցիտ` </w:t>
            </w:r>
          </w:p>
          <w:p w:rsidR="00C1304B" w:rsidRPr="00C1304B" w:rsidRDefault="00C1304B" w:rsidP="00C1304B">
            <w:pPr>
              <w:spacing w:before="0" w:line="276" w:lineRule="auto"/>
              <w:ind w:firstLine="0"/>
              <w:contextualSpacing w:val="0"/>
              <w:jc w:val="left"/>
              <w:rPr>
                <w:rFonts w:cs="Sylfaen"/>
                <w:b w:val="0"/>
                <w:sz w:val="20"/>
                <w:szCs w:val="20"/>
                <w:lang w:val="hy-AM" w:eastAsia="en-US"/>
              </w:rPr>
            </w:pPr>
            <w:r w:rsidRPr="00C1304B">
              <w:rPr>
                <w:rFonts w:cs="Sylfaen"/>
                <w:b w:val="0"/>
                <w:sz w:val="20"/>
                <w:szCs w:val="20"/>
                <w:lang w:val="hy-AM" w:eastAsia="en-US"/>
              </w:rPr>
              <w:t>Ընդհանուր եկամուտների և ծախսերի (առանց տոկոսավճարների) տարբերությունը</w:t>
            </w:r>
          </w:p>
        </w:tc>
        <w:tc>
          <w:tcPr>
            <w:tcW w:w="2158" w:type="dxa"/>
            <w:shd w:val="clear" w:color="auto" w:fill="DEEAF6"/>
          </w:tcPr>
          <w:p w:rsidR="00C1304B" w:rsidRPr="00B86F49" w:rsidRDefault="00C1304B" w:rsidP="00C1304B">
            <w:pPr>
              <w:spacing w:before="0" w:line="276" w:lineRule="auto"/>
              <w:ind w:firstLine="0"/>
              <w:contextualSpacing w:val="0"/>
              <w:jc w:val="center"/>
              <w:rPr>
                <w:b w:val="0"/>
                <w:bCs/>
                <w:i/>
                <w:iCs/>
                <w:sz w:val="20"/>
                <w:szCs w:val="20"/>
                <w:highlight w:val="yellow"/>
                <w:lang w:val="hy-AM" w:eastAsia="en-US"/>
              </w:rPr>
            </w:pPr>
          </w:p>
          <w:p w:rsidR="00C1304B" w:rsidRPr="00B86F49" w:rsidRDefault="00C1304B" w:rsidP="00C1304B">
            <w:pPr>
              <w:spacing w:before="0" w:line="276" w:lineRule="auto"/>
              <w:ind w:firstLine="0"/>
              <w:contextualSpacing w:val="0"/>
              <w:rPr>
                <w:b w:val="0"/>
                <w:bCs/>
                <w:iCs/>
                <w:sz w:val="20"/>
                <w:szCs w:val="20"/>
                <w:highlight w:val="yellow"/>
                <w:lang w:val="en-US" w:eastAsia="en-US"/>
              </w:rPr>
            </w:pPr>
            <w:r w:rsidRPr="00902824">
              <w:rPr>
                <w:b w:val="0"/>
                <w:bCs/>
                <w:iCs/>
                <w:sz w:val="20"/>
                <w:szCs w:val="20"/>
                <w:lang w:val="hy-AM" w:eastAsia="en-US"/>
              </w:rPr>
              <w:t xml:space="preserve">              </w:t>
            </w:r>
            <w:r w:rsidRPr="00902824">
              <w:rPr>
                <w:b w:val="0"/>
                <w:bCs/>
                <w:iCs/>
                <w:sz w:val="20"/>
                <w:szCs w:val="20"/>
                <w:lang w:val="en-US" w:eastAsia="en-US"/>
              </w:rPr>
              <w:t>0.2</w:t>
            </w:r>
          </w:p>
        </w:tc>
      </w:tr>
    </w:tbl>
    <w:p w:rsidR="00C1304B" w:rsidRPr="00C1304B" w:rsidRDefault="00C1304B" w:rsidP="00C1304B"/>
    <w:p w:rsidR="00C1304B" w:rsidRDefault="00C1304B">
      <w:pPr>
        <w:spacing w:before="0" w:line="240" w:lineRule="auto"/>
        <w:ind w:firstLine="0"/>
        <w:contextualSpacing w:val="0"/>
        <w:jc w:val="left"/>
      </w:pPr>
      <w:r>
        <w:br w:type="page"/>
      </w:r>
    </w:p>
    <w:p w:rsidR="00C15EA0" w:rsidRPr="007955BB" w:rsidRDefault="00C15EA0" w:rsidP="00C15EA0">
      <w:pPr>
        <w:pStyle w:val="Heading1"/>
        <w:rPr>
          <w:lang w:val="ru-RU"/>
        </w:rPr>
      </w:pPr>
      <w:bookmarkStart w:id="250" w:name="_Toc120805210"/>
      <w:r w:rsidRPr="007955BB">
        <w:t>ՄԱՍ</w:t>
      </w:r>
      <w:r w:rsidRPr="007955BB">
        <w:rPr>
          <w:lang w:val="ru-RU"/>
        </w:rPr>
        <w:t xml:space="preserve"> </w:t>
      </w:r>
      <w:r w:rsidRPr="007955BB">
        <w:t>III</w:t>
      </w:r>
      <w:r w:rsidRPr="007955BB">
        <w:rPr>
          <w:lang w:val="ru-RU"/>
        </w:rPr>
        <w:t>. «</w:t>
      </w:r>
      <w:r w:rsidRPr="007955BB">
        <w:t>ՀԱՅԱՍՏԱՆԻ</w:t>
      </w:r>
      <w:r w:rsidRPr="007955BB">
        <w:rPr>
          <w:lang w:val="ru-RU"/>
        </w:rPr>
        <w:t xml:space="preserve"> </w:t>
      </w:r>
      <w:r w:rsidRPr="007955BB">
        <w:t>ՀԱՆՐԱՊԵՏՈՒԹՅԱՆ</w:t>
      </w:r>
      <w:r w:rsidRPr="007955BB">
        <w:rPr>
          <w:lang w:val="ru-RU"/>
        </w:rPr>
        <w:t xml:space="preserve"> 202</w:t>
      </w:r>
      <w:r w:rsidR="00A81C32" w:rsidRPr="007955BB">
        <w:rPr>
          <w:lang w:val="ru-RU"/>
        </w:rPr>
        <w:t>3</w:t>
      </w:r>
      <w:r w:rsidRPr="007955BB">
        <w:rPr>
          <w:lang w:val="ru-RU"/>
        </w:rPr>
        <w:t xml:space="preserve"> </w:t>
      </w:r>
      <w:r w:rsidRPr="007955BB">
        <w:t>ԹՎԱԿԱՆԻ</w:t>
      </w:r>
      <w:r w:rsidRPr="007955BB">
        <w:rPr>
          <w:lang w:val="ru-RU"/>
        </w:rPr>
        <w:t xml:space="preserve"> </w:t>
      </w:r>
      <w:r w:rsidRPr="007955BB">
        <w:t>ՊԵՏԱԿԱՆ</w:t>
      </w:r>
      <w:r w:rsidRPr="007955BB">
        <w:rPr>
          <w:lang w:val="ru-RU"/>
        </w:rPr>
        <w:t xml:space="preserve"> </w:t>
      </w:r>
      <w:r w:rsidRPr="007955BB">
        <w:t>ԲՅՈՒՋԵԻ</w:t>
      </w:r>
      <w:r w:rsidRPr="007955BB">
        <w:rPr>
          <w:lang w:val="ru-RU"/>
        </w:rPr>
        <w:t xml:space="preserve"> </w:t>
      </w:r>
      <w:r w:rsidRPr="007955BB">
        <w:t>ՄԱՍԻՆ</w:t>
      </w:r>
      <w:r w:rsidRPr="007955BB">
        <w:rPr>
          <w:lang w:val="ru-RU"/>
        </w:rPr>
        <w:t xml:space="preserve">» </w:t>
      </w:r>
      <w:r w:rsidRPr="007955BB">
        <w:t>ՀԱՅԱՍՏԱՆԻ</w:t>
      </w:r>
      <w:r w:rsidRPr="007955BB">
        <w:rPr>
          <w:lang w:val="ru-RU"/>
        </w:rPr>
        <w:t xml:space="preserve"> </w:t>
      </w:r>
      <w:r w:rsidRPr="007955BB">
        <w:t>ՀԱՆՐԱՊԵՏՈՒԹՅԱՆ</w:t>
      </w:r>
      <w:r w:rsidRPr="007955BB">
        <w:rPr>
          <w:lang w:val="ru-RU"/>
        </w:rPr>
        <w:t xml:space="preserve"> </w:t>
      </w:r>
      <w:r w:rsidRPr="007955BB">
        <w:t>ՕՐԵՆՔԻ</w:t>
      </w:r>
      <w:r w:rsidRPr="007955BB">
        <w:rPr>
          <w:lang w:val="ru-RU"/>
        </w:rPr>
        <w:t xml:space="preserve"> </w:t>
      </w:r>
      <w:r w:rsidRPr="007955BB">
        <w:t>ՆԱԽԱԳԾԻ</w:t>
      </w:r>
      <w:r w:rsidRPr="007955BB">
        <w:rPr>
          <w:lang w:val="ru-RU"/>
        </w:rPr>
        <w:t xml:space="preserve"> </w:t>
      </w:r>
      <w:r w:rsidRPr="007955BB">
        <w:t>ԲԱՑԱՏՐԱԳԻՐ</w:t>
      </w:r>
      <w:bookmarkEnd w:id="244"/>
      <w:bookmarkEnd w:id="250"/>
    </w:p>
    <w:p w:rsidR="00AE2A75" w:rsidRPr="00C43BF7" w:rsidRDefault="00AE2A75" w:rsidP="00AE2A75"/>
    <w:p w:rsidR="009A197C" w:rsidRPr="007955BB" w:rsidRDefault="009A197C" w:rsidP="009A197C">
      <w:pPr>
        <w:spacing w:before="0" w:line="276" w:lineRule="auto"/>
        <w:ind w:firstLine="720"/>
        <w:rPr>
          <w:rFonts w:eastAsia="Calibri"/>
          <w:b w:val="0"/>
          <w:szCs w:val="22"/>
          <w:lang w:val="hy-AM" w:eastAsia="en-US"/>
        </w:rPr>
      </w:pPr>
      <w:r w:rsidRPr="007955BB">
        <w:rPr>
          <w:rFonts w:eastAsia="Calibri"/>
          <w:b w:val="0"/>
          <w:szCs w:val="22"/>
          <w:lang w:val="hy-AM" w:eastAsia="en-US"/>
        </w:rPr>
        <w:t>«Հայաստանի Հանրապետության 2023 թվականի պետական բյուջեի մասին» ՀՀ օրեն</w:t>
      </w:r>
      <w:r w:rsidRPr="007955BB">
        <w:rPr>
          <w:rFonts w:eastAsia="Calibri"/>
          <w:b w:val="0"/>
          <w:szCs w:val="22"/>
          <w:lang w:val="hy-AM" w:eastAsia="en-US"/>
        </w:rPr>
        <w:softHyphen/>
        <w:t>քի նախագծով առաջարկվում է ՀՀ 2023 թվականի պետական բյուջեն հաստատել՝ եկա</w:t>
      </w:r>
      <w:r w:rsidRPr="007955BB">
        <w:rPr>
          <w:rFonts w:eastAsia="Calibri"/>
          <w:b w:val="0"/>
          <w:szCs w:val="22"/>
          <w:lang w:val="hy-AM" w:eastAsia="en-US"/>
        </w:rPr>
        <w:softHyphen/>
        <w:t>մուտ</w:t>
      </w:r>
      <w:r w:rsidRPr="007955BB">
        <w:rPr>
          <w:rFonts w:eastAsia="Calibri"/>
          <w:b w:val="0"/>
          <w:szCs w:val="22"/>
          <w:lang w:val="hy-AM" w:eastAsia="en-US"/>
        </w:rPr>
        <w:softHyphen/>
        <w:t>ների գծով՝ 2</w:t>
      </w:r>
      <w:r w:rsidRPr="00C43BF7">
        <w:rPr>
          <w:rFonts w:eastAsia="Calibri"/>
          <w:b w:val="0"/>
          <w:szCs w:val="22"/>
          <w:lang w:eastAsia="en-US"/>
        </w:rPr>
        <w:t>,</w:t>
      </w:r>
      <w:r w:rsidRPr="007955BB">
        <w:rPr>
          <w:rFonts w:eastAsia="Calibri"/>
          <w:b w:val="0"/>
          <w:szCs w:val="22"/>
          <w:lang w:val="hy-AM" w:eastAsia="en-US"/>
        </w:rPr>
        <w:t>30</w:t>
      </w:r>
      <w:r w:rsidR="00201FE1" w:rsidRPr="00C43BF7">
        <w:rPr>
          <w:rFonts w:eastAsia="Calibri"/>
          <w:b w:val="0"/>
          <w:szCs w:val="22"/>
          <w:lang w:eastAsia="en-US"/>
        </w:rPr>
        <w:t>2</w:t>
      </w:r>
      <w:r w:rsidRPr="007955BB">
        <w:rPr>
          <w:rFonts w:eastAsia="Calibri"/>
          <w:b w:val="0"/>
          <w:szCs w:val="22"/>
          <w:lang w:val="hy-AM" w:eastAsia="en-US"/>
        </w:rPr>
        <w:t>.</w:t>
      </w:r>
      <w:r w:rsidRPr="00C43BF7">
        <w:rPr>
          <w:rFonts w:eastAsia="Calibri"/>
          <w:b w:val="0"/>
          <w:szCs w:val="22"/>
          <w:lang w:eastAsia="en-US"/>
        </w:rPr>
        <w:t>0</w:t>
      </w:r>
      <w:r w:rsidRPr="007955BB">
        <w:rPr>
          <w:rFonts w:eastAsia="Calibri"/>
          <w:b w:val="0"/>
          <w:szCs w:val="22"/>
          <w:lang w:val="hy-AM" w:eastAsia="en-US"/>
        </w:rPr>
        <w:t xml:space="preserve"> մլրդ դրամ, ծախսերի </w:t>
      </w:r>
      <w:r w:rsidRPr="008177DF">
        <w:rPr>
          <w:rFonts w:eastAsia="Calibri"/>
          <w:b w:val="0"/>
          <w:szCs w:val="22"/>
          <w:lang w:val="hy-AM" w:eastAsia="en-US"/>
        </w:rPr>
        <w:t>գծով՝ 2,</w:t>
      </w:r>
      <w:r w:rsidRPr="00C43BF7">
        <w:rPr>
          <w:rFonts w:eastAsia="Calibri"/>
          <w:b w:val="0"/>
          <w:szCs w:val="22"/>
          <w:lang w:eastAsia="en-US"/>
        </w:rPr>
        <w:t>59</w:t>
      </w:r>
      <w:r w:rsidR="008177DF" w:rsidRPr="00C43BF7">
        <w:rPr>
          <w:rFonts w:eastAsia="Calibri"/>
          <w:b w:val="0"/>
          <w:szCs w:val="22"/>
          <w:lang w:eastAsia="en-US"/>
        </w:rPr>
        <w:t>1</w:t>
      </w:r>
      <w:r w:rsidRPr="00C43BF7">
        <w:rPr>
          <w:rFonts w:eastAsia="Calibri"/>
          <w:b w:val="0"/>
          <w:szCs w:val="22"/>
          <w:lang w:eastAsia="en-US"/>
        </w:rPr>
        <w:t>.</w:t>
      </w:r>
      <w:r w:rsidR="008177DF" w:rsidRPr="00C43BF7">
        <w:rPr>
          <w:rFonts w:eastAsia="Calibri"/>
          <w:b w:val="0"/>
          <w:szCs w:val="22"/>
          <w:lang w:eastAsia="en-US"/>
        </w:rPr>
        <w:t>0</w:t>
      </w:r>
      <w:r w:rsidRPr="008177DF">
        <w:rPr>
          <w:rFonts w:eastAsia="Calibri"/>
          <w:b w:val="0"/>
          <w:szCs w:val="22"/>
          <w:lang w:val="hy-AM" w:eastAsia="en-US"/>
        </w:rPr>
        <w:t xml:space="preserve"> մլրդ դրամ, իսկ դեֆիցիտը՝ 288.</w:t>
      </w:r>
      <w:r w:rsidRPr="00C43BF7">
        <w:rPr>
          <w:rFonts w:eastAsia="Calibri"/>
          <w:b w:val="0"/>
          <w:szCs w:val="22"/>
          <w:lang w:eastAsia="en-US"/>
        </w:rPr>
        <w:t>9</w:t>
      </w:r>
      <w:r w:rsidRPr="008177DF">
        <w:rPr>
          <w:rFonts w:eastAsia="Calibri"/>
          <w:b w:val="0"/>
          <w:szCs w:val="22"/>
          <w:lang w:val="hy-AM" w:eastAsia="en-US"/>
        </w:rPr>
        <w:t xml:space="preserve"> մլրդ</w:t>
      </w:r>
      <w:r w:rsidRPr="007955BB">
        <w:rPr>
          <w:rFonts w:eastAsia="Calibri"/>
          <w:b w:val="0"/>
          <w:szCs w:val="22"/>
          <w:lang w:val="hy-AM" w:eastAsia="en-US"/>
        </w:rPr>
        <w:t xml:space="preserve"> դրամ:</w:t>
      </w:r>
    </w:p>
    <w:p w:rsidR="009A197C" w:rsidRPr="007955BB" w:rsidRDefault="009A197C" w:rsidP="009A197C">
      <w:pPr>
        <w:spacing w:before="0" w:line="276" w:lineRule="auto"/>
        <w:ind w:firstLine="720"/>
        <w:rPr>
          <w:rFonts w:eastAsia="Calibri"/>
          <w:b w:val="0"/>
          <w:szCs w:val="22"/>
          <w:lang w:val="hy-AM" w:eastAsia="en-US"/>
        </w:rPr>
      </w:pPr>
      <w:r w:rsidRPr="007955BB">
        <w:rPr>
          <w:rFonts w:eastAsia="Calibri"/>
          <w:b w:val="0"/>
          <w:szCs w:val="22"/>
          <w:lang w:val="hy-AM" w:eastAsia="en-US"/>
        </w:rPr>
        <w:t>2022թ</w:t>
      </w:r>
      <w:r w:rsidRPr="007955BB">
        <w:rPr>
          <w:rFonts w:ascii="Cambria Math" w:eastAsia="Calibri" w:hAnsi="Cambria Math" w:cs="Cambria Math"/>
          <w:b w:val="0"/>
          <w:szCs w:val="22"/>
          <w:lang w:val="hy-AM" w:eastAsia="en-US"/>
        </w:rPr>
        <w:t>․</w:t>
      </w:r>
      <w:r w:rsidRPr="007955BB">
        <w:rPr>
          <w:rFonts w:eastAsia="Calibri"/>
          <w:b w:val="0"/>
          <w:szCs w:val="22"/>
          <w:lang w:val="hy-AM" w:eastAsia="en-US"/>
        </w:rPr>
        <w:t xml:space="preserve"> և 2023 թ</w:t>
      </w:r>
      <w:r w:rsidRPr="007955BB">
        <w:rPr>
          <w:rFonts w:ascii="Cambria Math" w:eastAsia="Calibri" w:hAnsi="Cambria Math" w:cs="Cambria Math"/>
          <w:b w:val="0"/>
          <w:szCs w:val="22"/>
          <w:lang w:val="hy-AM" w:eastAsia="en-US"/>
        </w:rPr>
        <w:t>․</w:t>
      </w:r>
      <w:r w:rsidRPr="007955BB">
        <w:rPr>
          <w:rFonts w:eastAsia="Calibri"/>
          <w:b w:val="0"/>
          <w:szCs w:val="22"/>
          <w:lang w:val="hy-AM" w:eastAsia="en-US"/>
        </w:rPr>
        <w:t xml:space="preserve"> պետական բյուջեի դեֆիցիտը ՀՆԱ-ի նկատմամբ  կան</w:t>
      </w:r>
      <w:r w:rsidRPr="007955BB">
        <w:rPr>
          <w:rFonts w:eastAsia="Calibri"/>
          <w:b w:val="0"/>
          <w:szCs w:val="22"/>
          <w:lang w:val="hy-AM" w:eastAsia="en-US"/>
        </w:rPr>
        <w:softHyphen/>
        <w:t xml:space="preserve">խատեսվում է </w:t>
      </w:r>
      <w:r w:rsidRPr="00E43813">
        <w:rPr>
          <w:rFonts w:eastAsia="Calibri"/>
          <w:b w:val="0"/>
          <w:szCs w:val="22"/>
          <w:lang w:val="hy-AM" w:eastAsia="en-US"/>
        </w:rPr>
        <w:t>համապատասխանաբար՝ 2.5 % և</w:t>
      </w:r>
      <w:r w:rsidRPr="008177DF">
        <w:rPr>
          <w:rFonts w:eastAsia="Calibri"/>
          <w:b w:val="0"/>
          <w:szCs w:val="22"/>
          <w:lang w:val="hy-AM" w:eastAsia="en-US"/>
        </w:rPr>
        <w:t xml:space="preserve"> 3.1 %-ի</w:t>
      </w:r>
      <w:r w:rsidRPr="007955BB">
        <w:rPr>
          <w:rFonts w:eastAsia="Calibri"/>
          <w:b w:val="0"/>
          <w:szCs w:val="22"/>
          <w:lang w:val="hy-AM" w:eastAsia="en-US"/>
        </w:rPr>
        <w:t xml:space="preserve"> չափով, ՀՀ 2023 թվա</w:t>
      </w:r>
      <w:r w:rsidRPr="007955BB">
        <w:rPr>
          <w:rFonts w:eastAsia="Calibri"/>
          <w:b w:val="0"/>
          <w:szCs w:val="22"/>
          <w:lang w:val="hy-AM" w:eastAsia="en-US"/>
        </w:rPr>
        <w:softHyphen/>
      </w:r>
      <w:r w:rsidRPr="007955BB">
        <w:rPr>
          <w:rFonts w:eastAsia="Calibri"/>
          <w:b w:val="0"/>
          <w:szCs w:val="22"/>
          <w:lang w:val="hy-AM" w:eastAsia="en-US"/>
        </w:rPr>
        <w:softHyphen/>
        <w:t>կանի պե</w:t>
      </w:r>
      <w:r w:rsidRPr="007955BB">
        <w:rPr>
          <w:rFonts w:eastAsia="Calibri"/>
          <w:b w:val="0"/>
          <w:szCs w:val="22"/>
          <w:lang w:val="hy-AM" w:eastAsia="en-US"/>
        </w:rPr>
        <w:softHyphen/>
        <w:t>տական բյուջեի նա</w:t>
      </w:r>
      <w:r w:rsidRPr="007955BB">
        <w:rPr>
          <w:rFonts w:eastAsia="Calibri"/>
          <w:b w:val="0"/>
          <w:szCs w:val="22"/>
          <w:lang w:val="hy-AM" w:eastAsia="en-US"/>
        </w:rPr>
        <w:softHyphen/>
        <w:t>խագ</w:t>
      </w:r>
      <w:r w:rsidRPr="007955BB">
        <w:rPr>
          <w:rFonts w:eastAsia="Calibri"/>
          <w:b w:val="0"/>
          <w:szCs w:val="22"/>
          <w:lang w:val="hy-AM" w:eastAsia="en-US"/>
        </w:rPr>
        <w:softHyphen/>
        <w:t>ծով նախատեսվող դե</w:t>
      </w:r>
      <w:r w:rsidRPr="007955BB">
        <w:rPr>
          <w:rFonts w:eastAsia="Calibri"/>
          <w:b w:val="0"/>
          <w:szCs w:val="22"/>
          <w:lang w:val="hy-AM" w:eastAsia="en-US"/>
        </w:rPr>
        <w:softHyphen/>
        <w:t>ֆի</w:t>
      </w:r>
      <w:r w:rsidRPr="007955BB">
        <w:rPr>
          <w:rFonts w:eastAsia="Calibri"/>
          <w:b w:val="0"/>
          <w:szCs w:val="22"/>
          <w:lang w:val="hy-AM" w:eastAsia="en-US"/>
        </w:rPr>
        <w:softHyphen/>
        <w:t>ցիտի ֆի</w:t>
      </w:r>
      <w:r w:rsidRPr="007955BB">
        <w:rPr>
          <w:rFonts w:eastAsia="Calibri"/>
          <w:b w:val="0"/>
          <w:szCs w:val="22"/>
          <w:lang w:val="hy-AM" w:eastAsia="en-US"/>
        </w:rPr>
        <w:softHyphen/>
        <w:t>նան</w:t>
      </w:r>
      <w:r w:rsidRPr="007955BB">
        <w:rPr>
          <w:rFonts w:eastAsia="Calibri"/>
          <w:b w:val="0"/>
          <w:szCs w:val="22"/>
          <w:lang w:val="hy-AM" w:eastAsia="en-US"/>
        </w:rPr>
        <w:softHyphen/>
        <w:t>սա</w:t>
      </w:r>
      <w:r w:rsidRPr="007955BB">
        <w:rPr>
          <w:rFonts w:eastAsia="Calibri"/>
          <w:b w:val="0"/>
          <w:szCs w:val="22"/>
          <w:lang w:val="hy-AM" w:eastAsia="en-US"/>
        </w:rPr>
        <w:softHyphen/>
        <w:t>վորման համար ծրագրա</w:t>
      </w:r>
      <w:r w:rsidRPr="007955BB">
        <w:rPr>
          <w:rFonts w:eastAsia="Calibri"/>
          <w:b w:val="0"/>
          <w:szCs w:val="22"/>
          <w:lang w:val="hy-AM" w:eastAsia="en-US"/>
        </w:rPr>
        <w:softHyphen/>
        <w:t>վորված վարկերի զգալի մասը կտրա</w:t>
      </w:r>
      <w:r w:rsidRPr="007955BB">
        <w:rPr>
          <w:rFonts w:eastAsia="Calibri"/>
          <w:b w:val="0"/>
          <w:szCs w:val="22"/>
          <w:lang w:val="hy-AM" w:eastAsia="en-US"/>
        </w:rPr>
        <w:softHyphen/>
        <w:t>մադրվի Համաշ</w:t>
      </w:r>
      <w:r w:rsidRPr="007955BB">
        <w:rPr>
          <w:rFonts w:eastAsia="Calibri"/>
          <w:b w:val="0"/>
          <w:szCs w:val="22"/>
          <w:lang w:val="hy-AM" w:eastAsia="en-US"/>
        </w:rPr>
        <w:softHyphen/>
        <w:t>խար</w:t>
      </w:r>
      <w:r w:rsidRPr="007955BB">
        <w:rPr>
          <w:rFonts w:eastAsia="Calibri"/>
          <w:b w:val="0"/>
          <w:szCs w:val="22"/>
          <w:lang w:val="hy-AM" w:eastAsia="en-US"/>
        </w:rPr>
        <w:softHyphen/>
        <w:t>հա</w:t>
      </w:r>
      <w:r w:rsidRPr="007955BB">
        <w:rPr>
          <w:rFonts w:eastAsia="Calibri"/>
          <w:b w:val="0"/>
          <w:szCs w:val="22"/>
          <w:lang w:val="hy-AM" w:eastAsia="en-US"/>
        </w:rPr>
        <w:softHyphen/>
        <w:t>յին բան</w:t>
      </w:r>
      <w:r w:rsidRPr="007955BB">
        <w:rPr>
          <w:rFonts w:eastAsia="Calibri"/>
          <w:b w:val="0"/>
          <w:szCs w:val="22"/>
          <w:lang w:val="hy-AM" w:eastAsia="en-US"/>
        </w:rPr>
        <w:softHyphen/>
        <w:t>կի կողմից (ներգրավ</w:t>
      </w:r>
      <w:r w:rsidRPr="007955BB">
        <w:rPr>
          <w:rFonts w:eastAsia="Calibri"/>
          <w:b w:val="0"/>
          <w:szCs w:val="22"/>
          <w:lang w:val="hy-AM" w:eastAsia="en-US"/>
        </w:rPr>
        <w:softHyphen/>
      </w:r>
      <w:r w:rsidRPr="007955BB">
        <w:rPr>
          <w:rFonts w:eastAsia="Calibri"/>
          <w:b w:val="0"/>
          <w:szCs w:val="22"/>
          <w:lang w:val="hy-AM" w:eastAsia="en-US"/>
        </w:rPr>
        <w:softHyphen/>
        <w:t>վող վարկերի տրա</w:t>
      </w:r>
      <w:r w:rsidRPr="007955BB">
        <w:rPr>
          <w:rFonts w:eastAsia="Calibri"/>
          <w:b w:val="0"/>
          <w:szCs w:val="22"/>
          <w:lang w:val="hy-AM" w:eastAsia="en-US"/>
        </w:rPr>
        <w:softHyphen/>
        <w:t>մադրման ժամկետ</w:t>
      </w:r>
      <w:r w:rsidRPr="007955BB">
        <w:rPr>
          <w:rFonts w:eastAsia="Calibri"/>
          <w:b w:val="0"/>
          <w:szCs w:val="22"/>
          <w:lang w:val="hy-AM" w:eastAsia="en-US"/>
        </w:rPr>
        <w:softHyphen/>
        <w:t>ների և տո</w:t>
      </w:r>
      <w:r w:rsidRPr="007955BB">
        <w:rPr>
          <w:rFonts w:eastAsia="Calibri"/>
          <w:b w:val="0"/>
          <w:szCs w:val="22"/>
          <w:lang w:val="hy-AM" w:eastAsia="en-US"/>
        </w:rPr>
        <w:softHyphen/>
        <w:t>կոսադրույք</w:t>
      </w:r>
      <w:r w:rsidRPr="007955BB">
        <w:rPr>
          <w:rFonts w:eastAsia="Calibri"/>
          <w:b w:val="0"/>
          <w:szCs w:val="22"/>
          <w:lang w:val="hy-AM" w:eastAsia="en-US"/>
        </w:rPr>
        <w:softHyphen/>
        <w:t>ների մա</w:t>
      </w:r>
      <w:r w:rsidRPr="007955BB">
        <w:rPr>
          <w:rFonts w:eastAsia="Calibri"/>
          <w:b w:val="0"/>
          <w:szCs w:val="22"/>
          <w:lang w:val="hy-AM" w:eastAsia="en-US"/>
        </w:rPr>
        <w:softHyphen/>
      </w:r>
      <w:r w:rsidRPr="007955BB">
        <w:rPr>
          <w:rFonts w:eastAsia="Calibri"/>
          <w:b w:val="0"/>
          <w:szCs w:val="22"/>
          <w:lang w:val="hy-AM" w:eastAsia="en-US"/>
        </w:rPr>
        <w:softHyphen/>
        <w:t>սին տվյալ</w:t>
      </w:r>
      <w:r w:rsidRPr="007955BB">
        <w:rPr>
          <w:rFonts w:eastAsia="Calibri"/>
          <w:b w:val="0"/>
          <w:szCs w:val="22"/>
          <w:lang w:val="hy-AM" w:eastAsia="en-US"/>
        </w:rPr>
        <w:softHyphen/>
        <w:t>նե</w:t>
      </w:r>
      <w:r w:rsidRPr="007955BB">
        <w:rPr>
          <w:rFonts w:eastAsia="Calibri"/>
          <w:b w:val="0"/>
          <w:szCs w:val="22"/>
          <w:lang w:val="hy-AM" w:eastAsia="en-US"/>
        </w:rPr>
        <w:softHyphen/>
        <w:t>րը ներկայացված են սույն բա</w:t>
      </w:r>
      <w:r w:rsidRPr="007955BB">
        <w:rPr>
          <w:rFonts w:eastAsia="Calibri"/>
          <w:b w:val="0"/>
          <w:szCs w:val="22"/>
          <w:lang w:val="hy-AM" w:eastAsia="en-US"/>
        </w:rPr>
        <w:softHyphen/>
        <w:t>ցատրագրի N 4 հավելվածում):</w:t>
      </w:r>
    </w:p>
    <w:p w:rsidR="009E64AD" w:rsidRPr="009A197C" w:rsidRDefault="009E64AD" w:rsidP="009E64AD">
      <w:pPr>
        <w:keepNext/>
        <w:tabs>
          <w:tab w:val="left" w:pos="709"/>
        </w:tabs>
        <w:spacing w:before="0"/>
        <w:ind w:firstLine="0"/>
        <w:jc w:val="center"/>
        <w:outlineLvl w:val="2"/>
        <w:rPr>
          <w:rFonts w:eastAsia="Calibri" w:cs="GHEA Grapalat"/>
          <w:bCs/>
          <w:sz w:val="24"/>
          <w:szCs w:val="26"/>
          <w:lang w:val="hy-AM" w:eastAsia="en-US"/>
        </w:rPr>
      </w:pPr>
    </w:p>
    <w:p w:rsidR="009E64AD" w:rsidRPr="007955BB" w:rsidRDefault="009E64AD" w:rsidP="009E64AD">
      <w:pPr>
        <w:keepNext/>
        <w:tabs>
          <w:tab w:val="left" w:pos="567"/>
        </w:tabs>
        <w:spacing w:before="0" w:line="276" w:lineRule="auto"/>
        <w:ind w:firstLine="426"/>
        <w:jc w:val="center"/>
        <w:outlineLvl w:val="0"/>
        <w:rPr>
          <w:sz w:val="28"/>
          <w:szCs w:val="20"/>
          <w:lang w:val="af-ZA"/>
        </w:rPr>
      </w:pPr>
      <w:bookmarkStart w:id="251" w:name="_Toc89254352"/>
      <w:bookmarkStart w:id="252" w:name="_Toc89428304"/>
      <w:bookmarkStart w:id="253" w:name="_Toc120805211"/>
      <w:r w:rsidRPr="00764C1F">
        <w:rPr>
          <w:sz w:val="28"/>
          <w:szCs w:val="20"/>
          <w:lang w:val="hy-AM"/>
        </w:rPr>
        <w:t>ՄԱՍ</w:t>
      </w:r>
      <w:r w:rsidRPr="007955BB">
        <w:rPr>
          <w:sz w:val="28"/>
          <w:szCs w:val="20"/>
          <w:lang w:val="af-ZA"/>
        </w:rPr>
        <w:t xml:space="preserve"> III-</w:t>
      </w:r>
      <w:r w:rsidRPr="00764C1F">
        <w:rPr>
          <w:sz w:val="28"/>
          <w:szCs w:val="20"/>
          <w:lang w:val="hy-AM"/>
        </w:rPr>
        <w:t>Ա</w:t>
      </w:r>
      <w:r w:rsidRPr="007955BB">
        <w:rPr>
          <w:sz w:val="28"/>
          <w:szCs w:val="20"/>
          <w:lang w:val="af-ZA"/>
        </w:rPr>
        <w:t xml:space="preserve">. </w:t>
      </w:r>
      <w:r w:rsidRPr="00764C1F">
        <w:rPr>
          <w:sz w:val="28"/>
          <w:szCs w:val="20"/>
          <w:lang w:val="hy-AM"/>
        </w:rPr>
        <w:t>ԵԿԱՄՈՒՏՆԵՐԻ</w:t>
      </w:r>
      <w:r w:rsidRPr="007955BB">
        <w:rPr>
          <w:sz w:val="28"/>
          <w:szCs w:val="20"/>
          <w:lang w:val="af-ZA"/>
        </w:rPr>
        <w:t xml:space="preserve"> </w:t>
      </w:r>
      <w:r w:rsidRPr="00764C1F">
        <w:rPr>
          <w:sz w:val="28"/>
          <w:szCs w:val="20"/>
          <w:lang w:val="hy-AM"/>
        </w:rPr>
        <w:t>ԿԱՆԽԱՏԵՍՈՒՄ</w:t>
      </w:r>
      <w:bookmarkEnd w:id="251"/>
      <w:bookmarkEnd w:id="252"/>
      <w:bookmarkEnd w:id="253"/>
    </w:p>
    <w:p w:rsidR="009A197C" w:rsidRPr="00C43BF7" w:rsidRDefault="009A197C" w:rsidP="009A197C">
      <w:pPr>
        <w:spacing w:before="0" w:line="276" w:lineRule="auto"/>
        <w:ind w:firstLine="562"/>
        <w:contextualSpacing w:val="0"/>
        <w:rPr>
          <w:rFonts w:cs="Sylfaen"/>
          <w:b w:val="0"/>
          <w:sz w:val="20"/>
          <w:szCs w:val="20"/>
          <w:lang w:val="hy-AM" w:eastAsia="en-US"/>
        </w:rPr>
      </w:pPr>
      <w:bookmarkStart w:id="254" w:name="_Toc530663263"/>
      <w:bookmarkStart w:id="255" w:name="_Toc26174934"/>
      <w:r w:rsidRPr="007955BB">
        <w:rPr>
          <w:rFonts w:cs="Sylfaen"/>
          <w:b w:val="0"/>
          <w:iCs/>
          <w:szCs w:val="22"/>
          <w:lang w:val="af-ZA" w:eastAsia="en-GB"/>
        </w:rPr>
        <w:t>«Հայաստանի Հանրապետության 202</w:t>
      </w:r>
      <w:r w:rsidRPr="007955BB">
        <w:rPr>
          <w:rFonts w:cs="Sylfaen"/>
          <w:b w:val="0"/>
          <w:iCs/>
          <w:szCs w:val="22"/>
          <w:lang w:val="hy-AM" w:eastAsia="en-GB"/>
        </w:rPr>
        <w:t>3</w:t>
      </w:r>
      <w:r w:rsidRPr="007955BB">
        <w:rPr>
          <w:rFonts w:cs="Sylfaen"/>
          <w:b w:val="0"/>
          <w:iCs/>
          <w:szCs w:val="22"/>
          <w:lang w:val="af-ZA" w:eastAsia="en-GB"/>
        </w:rPr>
        <w:t xml:space="preserve"> թվականի պետական բյուջեի մասին» ՀՀ օրեն</w:t>
      </w:r>
      <w:r w:rsidRPr="007955BB">
        <w:rPr>
          <w:rFonts w:cs="Sylfaen"/>
          <w:b w:val="0"/>
          <w:iCs/>
          <w:szCs w:val="22"/>
          <w:lang w:val="af-ZA" w:eastAsia="en-GB"/>
        </w:rPr>
        <w:softHyphen/>
        <w:t>քի նախագծում (սույն մասում այսու</w:t>
      </w:r>
      <w:r w:rsidRPr="007955BB">
        <w:rPr>
          <w:rFonts w:cs="Sylfaen"/>
          <w:b w:val="0"/>
          <w:iCs/>
          <w:szCs w:val="22"/>
          <w:lang w:val="af-ZA" w:eastAsia="en-GB"/>
        </w:rPr>
        <w:softHyphen/>
        <w:t>հետ՝ Նախագիծ) եկամուտների ընդհանուր գու</w:t>
      </w:r>
      <w:r w:rsidRPr="007955BB">
        <w:rPr>
          <w:rFonts w:cs="Sylfaen"/>
          <w:b w:val="0"/>
          <w:iCs/>
          <w:szCs w:val="22"/>
          <w:lang w:val="af-ZA" w:eastAsia="en-GB"/>
        </w:rPr>
        <w:softHyphen/>
        <w:t xml:space="preserve">մարը ծրագրվել է </w:t>
      </w:r>
      <w:r>
        <w:rPr>
          <w:rFonts w:cs="Sylfaen"/>
          <w:b w:val="0"/>
          <w:iCs/>
          <w:szCs w:val="22"/>
          <w:lang w:val="af-ZA" w:eastAsia="en-GB"/>
        </w:rPr>
        <w:t>2,30</w:t>
      </w:r>
      <w:r w:rsidR="00201FE1">
        <w:rPr>
          <w:rFonts w:cs="Sylfaen"/>
          <w:b w:val="0"/>
          <w:iCs/>
          <w:szCs w:val="22"/>
          <w:lang w:val="af-ZA" w:eastAsia="en-GB"/>
        </w:rPr>
        <w:t>2</w:t>
      </w:r>
      <w:r>
        <w:rPr>
          <w:rFonts w:cs="Sylfaen"/>
          <w:b w:val="0"/>
          <w:iCs/>
          <w:szCs w:val="22"/>
          <w:lang w:val="af-ZA" w:eastAsia="en-GB"/>
        </w:rPr>
        <w:t>.0</w:t>
      </w:r>
      <w:r w:rsidRPr="007955BB">
        <w:rPr>
          <w:rFonts w:cs="Sylfaen"/>
          <w:b w:val="0"/>
          <w:iCs/>
          <w:szCs w:val="22"/>
          <w:lang w:val="af-ZA" w:eastAsia="en-GB"/>
        </w:rPr>
        <w:t xml:space="preserve"> մլրդ դրամի չա</w:t>
      </w:r>
      <w:r w:rsidRPr="007955BB">
        <w:rPr>
          <w:rFonts w:cs="Sylfaen"/>
          <w:b w:val="0"/>
          <w:iCs/>
          <w:szCs w:val="22"/>
          <w:lang w:val="af-ZA" w:eastAsia="en-GB"/>
        </w:rPr>
        <w:softHyphen/>
        <w:t>փով, 202</w:t>
      </w:r>
      <w:r w:rsidRPr="007955BB">
        <w:rPr>
          <w:rFonts w:cs="Sylfaen"/>
          <w:b w:val="0"/>
          <w:iCs/>
          <w:szCs w:val="22"/>
          <w:lang w:val="hy-AM" w:eastAsia="en-GB"/>
        </w:rPr>
        <w:t>2</w:t>
      </w:r>
      <w:r>
        <w:rPr>
          <w:rFonts w:cs="Sylfaen"/>
          <w:b w:val="0"/>
          <w:iCs/>
          <w:szCs w:val="22"/>
          <w:lang w:val="af-ZA" w:eastAsia="en-GB"/>
        </w:rPr>
        <w:t xml:space="preserve"> թվականի համար սպասվող 2,0</w:t>
      </w:r>
      <w:r w:rsidR="005C46A4">
        <w:rPr>
          <w:rFonts w:cs="Sylfaen"/>
          <w:b w:val="0"/>
          <w:iCs/>
          <w:szCs w:val="22"/>
          <w:lang w:val="af-ZA" w:eastAsia="en-GB"/>
        </w:rPr>
        <w:t>68</w:t>
      </w:r>
      <w:r>
        <w:rPr>
          <w:rFonts w:cs="Sylfaen"/>
          <w:b w:val="0"/>
          <w:iCs/>
          <w:szCs w:val="22"/>
          <w:lang w:val="af-ZA" w:eastAsia="en-GB"/>
        </w:rPr>
        <w:t>.1</w:t>
      </w:r>
      <w:r w:rsidRPr="007955BB">
        <w:rPr>
          <w:rFonts w:cs="Sylfaen"/>
          <w:b w:val="0"/>
          <w:iCs/>
          <w:szCs w:val="22"/>
          <w:lang w:val="af-ZA" w:eastAsia="en-GB"/>
        </w:rPr>
        <w:t xml:space="preserve"> մլրդ դրամի և 202</w:t>
      </w:r>
      <w:r w:rsidRPr="007955BB">
        <w:rPr>
          <w:rFonts w:cs="Sylfaen"/>
          <w:b w:val="0"/>
          <w:iCs/>
          <w:szCs w:val="22"/>
          <w:lang w:val="hy-AM" w:eastAsia="en-GB"/>
        </w:rPr>
        <w:t>1</w:t>
      </w:r>
      <w:r w:rsidRPr="007955BB">
        <w:rPr>
          <w:rFonts w:cs="Sylfaen"/>
          <w:b w:val="0"/>
          <w:iCs/>
          <w:szCs w:val="22"/>
          <w:lang w:val="af-ZA" w:eastAsia="en-GB"/>
        </w:rPr>
        <w:t xml:space="preserve"> թվականին փաստացի ստացված 1,683.8 մլրդ դրամ գու</w:t>
      </w:r>
      <w:r w:rsidRPr="007955BB">
        <w:rPr>
          <w:rFonts w:cs="Sylfaen"/>
          <w:b w:val="0"/>
          <w:iCs/>
          <w:szCs w:val="22"/>
          <w:lang w:val="af-ZA" w:eastAsia="en-GB"/>
        </w:rPr>
        <w:softHyphen/>
        <w:t>մար</w:t>
      </w:r>
      <w:r w:rsidRPr="007955BB">
        <w:rPr>
          <w:rFonts w:cs="Sylfaen"/>
          <w:b w:val="0"/>
          <w:iCs/>
          <w:szCs w:val="22"/>
          <w:lang w:val="af-ZA" w:eastAsia="en-GB"/>
        </w:rPr>
        <w:softHyphen/>
        <w:t>ների դիմաց: Եկա</w:t>
      </w:r>
      <w:r w:rsidRPr="007955BB">
        <w:rPr>
          <w:rFonts w:cs="Sylfaen"/>
          <w:b w:val="0"/>
          <w:iCs/>
          <w:szCs w:val="22"/>
          <w:lang w:val="af-ZA" w:eastAsia="en-GB"/>
        </w:rPr>
        <w:softHyphen/>
        <w:t>մուտ</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ների տա</w:t>
      </w:r>
      <w:r w:rsidRPr="007955BB">
        <w:rPr>
          <w:rFonts w:cs="Sylfaen"/>
          <w:b w:val="0"/>
          <w:iCs/>
          <w:szCs w:val="22"/>
          <w:lang w:val="af-ZA" w:eastAsia="en-GB"/>
        </w:rPr>
        <w:softHyphen/>
      </w:r>
      <w:r w:rsidRPr="007955BB">
        <w:rPr>
          <w:rFonts w:cs="Sylfaen"/>
          <w:b w:val="0"/>
          <w:iCs/>
          <w:szCs w:val="22"/>
          <w:lang w:val="af-ZA" w:eastAsia="en-GB"/>
        </w:rPr>
        <w:softHyphen/>
        <w:t>րեկան ծրա</w:t>
      </w:r>
      <w:r w:rsidRPr="007955BB">
        <w:rPr>
          <w:rFonts w:cs="Sylfaen"/>
          <w:b w:val="0"/>
          <w:iCs/>
          <w:szCs w:val="22"/>
          <w:lang w:val="af-ZA" w:eastAsia="en-GB"/>
        </w:rPr>
        <w:softHyphen/>
        <w:t>գրա</w:t>
      </w:r>
      <w:r w:rsidRPr="007955BB">
        <w:rPr>
          <w:rFonts w:cs="Sylfaen"/>
          <w:b w:val="0"/>
          <w:iCs/>
          <w:szCs w:val="22"/>
          <w:lang w:val="af-ZA" w:eastAsia="en-GB"/>
        </w:rPr>
        <w:softHyphen/>
        <w:t>յին ծավալները կապահովվեն հիմնականում ի հաշիվ հար</w:t>
      </w:r>
      <w:r w:rsidRPr="007955BB">
        <w:rPr>
          <w:rFonts w:cs="Sylfaen"/>
          <w:b w:val="0"/>
          <w:iCs/>
          <w:szCs w:val="22"/>
          <w:lang w:val="af-ZA" w:eastAsia="en-GB"/>
        </w:rPr>
        <w:softHyphen/>
        <w:t>կային եկա</w:t>
      </w:r>
      <w:r w:rsidRPr="007955BB">
        <w:rPr>
          <w:rFonts w:cs="Sylfaen"/>
          <w:b w:val="0"/>
          <w:iCs/>
          <w:szCs w:val="22"/>
          <w:lang w:val="af-ZA" w:eastAsia="en-GB"/>
        </w:rPr>
        <w:softHyphen/>
        <w:t>մուտ</w:t>
      </w:r>
      <w:r w:rsidRPr="007955BB">
        <w:rPr>
          <w:rFonts w:cs="Sylfaen"/>
          <w:b w:val="0"/>
          <w:iCs/>
          <w:szCs w:val="22"/>
          <w:lang w:val="af-ZA" w:eastAsia="en-GB"/>
        </w:rPr>
        <w:softHyphen/>
        <w:t>ների:</w:t>
      </w:r>
      <w:r w:rsidRPr="00C43BF7">
        <w:rPr>
          <w:rFonts w:cs="Sylfaen"/>
          <w:b w:val="0"/>
          <w:sz w:val="20"/>
          <w:szCs w:val="20"/>
          <w:lang w:val="hy-AM" w:eastAsia="en-US"/>
        </w:rPr>
        <w:t xml:space="preserve"> </w:t>
      </w:r>
    </w:p>
    <w:p w:rsidR="009A197C" w:rsidRPr="00F77CAF" w:rsidRDefault="009A197C" w:rsidP="009A197C">
      <w:pPr>
        <w:spacing w:after="200"/>
        <w:rPr>
          <w:b w:val="0"/>
          <w:bCs/>
          <w:color w:val="5B9BD5"/>
          <w:sz w:val="18"/>
          <w:szCs w:val="18"/>
          <w:lang w:val="hy-AM"/>
        </w:rPr>
      </w:pPr>
      <w:r w:rsidRPr="007955BB">
        <w:rPr>
          <w:b w:val="0"/>
          <w:bCs/>
          <w:color w:val="4472C4"/>
          <w:sz w:val="18"/>
          <w:szCs w:val="18"/>
          <w:lang w:val="hy-AM"/>
        </w:rPr>
        <w:t xml:space="preserve"> </w:t>
      </w:r>
      <w:bookmarkStart w:id="256" w:name="_Toc83928943"/>
      <w:r w:rsidRPr="00F77CAF">
        <w:rPr>
          <w:b w:val="0"/>
          <w:bCs/>
          <w:color w:val="5B9BD5"/>
          <w:sz w:val="18"/>
          <w:szCs w:val="18"/>
          <w:lang w:val="hy-AM"/>
        </w:rPr>
        <w:t xml:space="preserve">Աղյուսակ </w:t>
      </w:r>
      <w:r w:rsidR="00B86F49" w:rsidRPr="00F77CAF">
        <w:rPr>
          <w:b w:val="0"/>
          <w:bCs/>
          <w:color w:val="5B9BD5"/>
          <w:sz w:val="18"/>
          <w:szCs w:val="18"/>
          <w:lang w:val="hy-AM"/>
        </w:rPr>
        <w:t>6</w:t>
      </w:r>
      <w:r w:rsidRPr="00F77CAF">
        <w:rPr>
          <w:rFonts w:ascii="Cambria Math" w:hAnsi="Cambria Math" w:cs="Cambria Math"/>
          <w:b w:val="0"/>
          <w:bCs/>
          <w:color w:val="5B9BD5"/>
          <w:sz w:val="18"/>
          <w:szCs w:val="18"/>
          <w:lang w:val="hy-AM"/>
        </w:rPr>
        <w:t>․</w:t>
      </w:r>
      <w:r w:rsidRPr="00F77CAF">
        <w:rPr>
          <w:b w:val="0"/>
          <w:bCs/>
          <w:color w:val="5B9BD5"/>
          <w:sz w:val="18"/>
          <w:szCs w:val="18"/>
          <w:lang w:val="hy-AM"/>
        </w:rPr>
        <w:t xml:space="preserve"> 2019-2023թթ փաստացի/կանխատեսումային բյուջետային եկամուտները (մլրդ դրամներով)</w:t>
      </w:r>
      <w:bookmarkEnd w:id="256"/>
    </w:p>
    <w:tbl>
      <w:tblPr>
        <w:tblW w:w="935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1"/>
        <w:gridCol w:w="1204"/>
        <w:gridCol w:w="1324"/>
        <w:gridCol w:w="1325"/>
        <w:gridCol w:w="1324"/>
        <w:gridCol w:w="1337"/>
      </w:tblGrid>
      <w:tr w:rsidR="009A197C" w:rsidRPr="007955BB" w:rsidTr="00151C57">
        <w:trPr>
          <w:trHeight w:val="645"/>
        </w:trPr>
        <w:tc>
          <w:tcPr>
            <w:tcW w:w="2841" w:type="dxa"/>
            <w:shd w:val="clear" w:color="auto" w:fill="4472C4"/>
            <w:noWrap/>
            <w:vAlign w:val="center"/>
            <w:hideMark/>
          </w:tcPr>
          <w:p w:rsidR="009A197C" w:rsidRPr="007955BB" w:rsidRDefault="009A197C" w:rsidP="00151C57">
            <w:pPr>
              <w:spacing w:before="0" w:line="276" w:lineRule="auto"/>
              <w:ind w:firstLine="0"/>
              <w:contextualSpacing w:val="0"/>
              <w:jc w:val="center"/>
              <w:rPr>
                <w:bCs/>
                <w:color w:val="FFFFFF"/>
                <w:sz w:val="20"/>
                <w:szCs w:val="20"/>
                <w:lang w:val="en-US" w:eastAsia="en-US"/>
              </w:rPr>
            </w:pPr>
            <w:r w:rsidRPr="007955BB">
              <w:rPr>
                <w:bCs/>
                <w:color w:val="FFFFFF"/>
                <w:sz w:val="20"/>
                <w:szCs w:val="20"/>
                <w:lang w:val="en-US" w:eastAsia="en-US"/>
              </w:rPr>
              <w:t>Եկամտատեսակը</w:t>
            </w:r>
          </w:p>
        </w:tc>
        <w:tc>
          <w:tcPr>
            <w:tcW w:w="1204" w:type="dxa"/>
            <w:shd w:val="clear" w:color="auto" w:fill="4472C4"/>
            <w:noWrap/>
            <w:vAlign w:val="center"/>
            <w:hideMark/>
          </w:tcPr>
          <w:p w:rsidR="009A197C" w:rsidRPr="007955BB" w:rsidRDefault="009A197C" w:rsidP="00151C57">
            <w:pPr>
              <w:spacing w:before="0" w:line="276" w:lineRule="auto"/>
              <w:ind w:firstLine="0"/>
              <w:contextualSpacing w:val="0"/>
              <w:jc w:val="center"/>
              <w:rPr>
                <w:rFonts w:cs="Calibri"/>
                <w:color w:val="FFFFFF"/>
                <w:sz w:val="20"/>
                <w:szCs w:val="20"/>
                <w:lang w:val="en-US" w:eastAsia="en-US"/>
              </w:rPr>
            </w:pPr>
            <w:r w:rsidRPr="007955BB">
              <w:rPr>
                <w:rFonts w:cs="Calibri"/>
                <w:color w:val="FFFFFF"/>
                <w:sz w:val="20"/>
                <w:szCs w:val="20"/>
                <w:lang w:val="en-US" w:eastAsia="en-US"/>
              </w:rPr>
              <w:t>201</w:t>
            </w:r>
            <w:r w:rsidRPr="007955BB">
              <w:rPr>
                <w:rFonts w:cs="Calibri"/>
                <w:color w:val="FFFFFF"/>
                <w:sz w:val="20"/>
                <w:szCs w:val="20"/>
                <w:lang w:val="hy-AM" w:eastAsia="en-US"/>
              </w:rPr>
              <w:t>9</w:t>
            </w:r>
            <w:r w:rsidRPr="007955BB">
              <w:rPr>
                <w:rFonts w:cs="Calibri"/>
                <w:color w:val="FFFFFF"/>
                <w:sz w:val="20"/>
                <w:szCs w:val="20"/>
                <w:lang w:val="en-US" w:eastAsia="en-US"/>
              </w:rPr>
              <w:br/>
              <w:t>փաստ</w:t>
            </w:r>
          </w:p>
        </w:tc>
        <w:tc>
          <w:tcPr>
            <w:tcW w:w="1324" w:type="dxa"/>
            <w:shd w:val="clear" w:color="auto" w:fill="4472C4"/>
            <w:noWrap/>
            <w:vAlign w:val="center"/>
            <w:hideMark/>
          </w:tcPr>
          <w:p w:rsidR="009A197C" w:rsidRPr="007955BB" w:rsidRDefault="009A197C" w:rsidP="00151C57">
            <w:pPr>
              <w:spacing w:before="0" w:line="276" w:lineRule="auto"/>
              <w:ind w:firstLine="0"/>
              <w:contextualSpacing w:val="0"/>
              <w:jc w:val="center"/>
              <w:rPr>
                <w:rFonts w:cs="Calibri"/>
                <w:color w:val="FFFFFF"/>
                <w:sz w:val="20"/>
                <w:szCs w:val="20"/>
                <w:lang w:val="en-US" w:eastAsia="en-US"/>
              </w:rPr>
            </w:pPr>
            <w:r w:rsidRPr="007955BB">
              <w:rPr>
                <w:rFonts w:cs="Calibri"/>
                <w:color w:val="FFFFFF"/>
                <w:sz w:val="20"/>
                <w:szCs w:val="20"/>
                <w:lang w:val="en-US" w:eastAsia="en-US"/>
              </w:rPr>
              <w:t>20</w:t>
            </w:r>
            <w:r w:rsidRPr="007955BB">
              <w:rPr>
                <w:rFonts w:cs="Calibri"/>
                <w:color w:val="FFFFFF"/>
                <w:sz w:val="20"/>
                <w:szCs w:val="20"/>
                <w:lang w:val="hy-AM" w:eastAsia="en-US"/>
              </w:rPr>
              <w:t>20</w:t>
            </w:r>
            <w:r w:rsidRPr="007955BB">
              <w:rPr>
                <w:rFonts w:cs="Calibri"/>
                <w:color w:val="FFFFFF"/>
                <w:sz w:val="20"/>
                <w:szCs w:val="20"/>
                <w:lang w:val="en-US" w:eastAsia="en-US"/>
              </w:rPr>
              <w:t xml:space="preserve"> </w:t>
            </w:r>
            <w:r w:rsidRPr="007955BB">
              <w:rPr>
                <w:rFonts w:cs="Calibri"/>
                <w:color w:val="FFFFFF"/>
                <w:sz w:val="20"/>
                <w:szCs w:val="20"/>
                <w:lang w:val="en-US" w:eastAsia="en-US"/>
              </w:rPr>
              <w:br/>
              <w:t>փաստ</w:t>
            </w:r>
          </w:p>
        </w:tc>
        <w:tc>
          <w:tcPr>
            <w:tcW w:w="1325" w:type="dxa"/>
            <w:shd w:val="clear" w:color="auto" w:fill="4472C4"/>
            <w:noWrap/>
            <w:vAlign w:val="center"/>
            <w:hideMark/>
          </w:tcPr>
          <w:p w:rsidR="009A197C" w:rsidRPr="007955BB" w:rsidRDefault="009A197C" w:rsidP="00151C57">
            <w:pPr>
              <w:spacing w:before="0" w:line="276" w:lineRule="auto"/>
              <w:ind w:firstLine="0"/>
              <w:contextualSpacing w:val="0"/>
              <w:jc w:val="center"/>
              <w:rPr>
                <w:rFonts w:cs="Calibri"/>
                <w:b w:val="0"/>
                <w:color w:val="FFFFFF"/>
                <w:sz w:val="20"/>
                <w:szCs w:val="20"/>
                <w:lang w:val="en-US" w:eastAsia="en-US"/>
              </w:rPr>
            </w:pPr>
            <w:r w:rsidRPr="007955BB">
              <w:rPr>
                <w:rFonts w:cs="Calibri"/>
                <w:color w:val="FFFFFF"/>
                <w:sz w:val="20"/>
                <w:szCs w:val="20"/>
                <w:lang w:val="en-US" w:eastAsia="en-US"/>
              </w:rPr>
              <w:t>20</w:t>
            </w:r>
            <w:r w:rsidRPr="007955BB">
              <w:rPr>
                <w:rFonts w:cs="Calibri"/>
                <w:color w:val="FFFFFF"/>
                <w:sz w:val="20"/>
                <w:szCs w:val="20"/>
                <w:lang w:val="hy-AM" w:eastAsia="en-US"/>
              </w:rPr>
              <w:t>21</w:t>
            </w:r>
            <w:r w:rsidRPr="007955BB">
              <w:rPr>
                <w:rFonts w:cs="Calibri"/>
                <w:color w:val="FFFFFF"/>
                <w:sz w:val="20"/>
                <w:szCs w:val="20"/>
                <w:lang w:val="en-US" w:eastAsia="en-US"/>
              </w:rPr>
              <w:t xml:space="preserve"> </w:t>
            </w:r>
            <w:r w:rsidRPr="007955BB">
              <w:rPr>
                <w:rFonts w:cs="Calibri"/>
                <w:color w:val="FFFFFF"/>
                <w:sz w:val="20"/>
                <w:szCs w:val="20"/>
                <w:lang w:val="en-US" w:eastAsia="en-US"/>
              </w:rPr>
              <w:br/>
              <w:t>փաստ</w:t>
            </w:r>
          </w:p>
        </w:tc>
        <w:tc>
          <w:tcPr>
            <w:tcW w:w="1324" w:type="dxa"/>
            <w:shd w:val="clear" w:color="auto" w:fill="4472C4"/>
            <w:noWrap/>
            <w:vAlign w:val="center"/>
            <w:hideMark/>
          </w:tcPr>
          <w:p w:rsidR="009A197C" w:rsidRPr="007955BB" w:rsidRDefault="009A197C" w:rsidP="00151C57">
            <w:pPr>
              <w:spacing w:before="0" w:line="276" w:lineRule="auto"/>
              <w:ind w:firstLine="0"/>
              <w:contextualSpacing w:val="0"/>
              <w:jc w:val="center"/>
              <w:rPr>
                <w:rFonts w:cs="Calibri"/>
                <w:color w:val="FFFFFF"/>
                <w:sz w:val="20"/>
                <w:szCs w:val="20"/>
                <w:lang w:val="en-US" w:eastAsia="en-US"/>
              </w:rPr>
            </w:pPr>
            <w:r w:rsidRPr="007955BB">
              <w:rPr>
                <w:rFonts w:cs="Calibri"/>
                <w:color w:val="FFFFFF"/>
                <w:sz w:val="20"/>
                <w:szCs w:val="20"/>
                <w:lang w:val="en-US" w:eastAsia="en-US"/>
              </w:rPr>
              <w:t>202</w:t>
            </w:r>
            <w:r w:rsidRPr="007955BB">
              <w:rPr>
                <w:rFonts w:cs="Calibri"/>
                <w:color w:val="FFFFFF"/>
                <w:sz w:val="20"/>
                <w:szCs w:val="20"/>
                <w:lang w:val="hy-AM" w:eastAsia="en-US"/>
              </w:rPr>
              <w:t>2</w:t>
            </w:r>
            <w:r w:rsidRPr="007955BB">
              <w:rPr>
                <w:rFonts w:cs="Calibri"/>
                <w:color w:val="FFFFFF"/>
                <w:sz w:val="20"/>
                <w:szCs w:val="20"/>
                <w:lang w:val="en-US" w:eastAsia="en-US"/>
              </w:rPr>
              <w:br/>
              <w:t>սպասում</w:t>
            </w:r>
          </w:p>
        </w:tc>
        <w:tc>
          <w:tcPr>
            <w:tcW w:w="1337" w:type="dxa"/>
            <w:shd w:val="clear" w:color="auto" w:fill="4472C4"/>
            <w:noWrap/>
            <w:vAlign w:val="center"/>
            <w:hideMark/>
          </w:tcPr>
          <w:p w:rsidR="009A197C" w:rsidRPr="007955BB" w:rsidRDefault="009A197C" w:rsidP="00151C57">
            <w:pPr>
              <w:spacing w:before="0" w:line="276" w:lineRule="auto"/>
              <w:ind w:firstLine="0"/>
              <w:contextualSpacing w:val="0"/>
              <w:jc w:val="center"/>
              <w:rPr>
                <w:rFonts w:cs="Calibri"/>
                <w:color w:val="FFFFFF"/>
                <w:sz w:val="20"/>
                <w:szCs w:val="20"/>
                <w:lang w:val="en-US" w:eastAsia="en-US"/>
              </w:rPr>
            </w:pPr>
            <w:r w:rsidRPr="007955BB">
              <w:rPr>
                <w:rFonts w:cs="Calibri"/>
                <w:color w:val="FFFFFF"/>
                <w:sz w:val="20"/>
                <w:szCs w:val="20"/>
                <w:lang w:val="en-US" w:eastAsia="en-US"/>
              </w:rPr>
              <w:t>202</w:t>
            </w:r>
            <w:r w:rsidRPr="007955BB">
              <w:rPr>
                <w:rFonts w:cs="Calibri"/>
                <w:color w:val="FFFFFF"/>
                <w:sz w:val="20"/>
                <w:szCs w:val="20"/>
                <w:lang w:val="hy-AM" w:eastAsia="en-US"/>
              </w:rPr>
              <w:t>3</w:t>
            </w:r>
            <w:r w:rsidRPr="007955BB">
              <w:rPr>
                <w:rFonts w:cs="Calibri"/>
                <w:color w:val="FFFFFF"/>
                <w:sz w:val="20"/>
                <w:szCs w:val="20"/>
                <w:lang w:val="en-US" w:eastAsia="en-US"/>
              </w:rPr>
              <w:t xml:space="preserve"> </w:t>
            </w:r>
            <w:r w:rsidRPr="007955BB">
              <w:rPr>
                <w:rFonts w:cs="Calibri"/>
                <w:color w:val="FFFFFF"/>
                <w:sz w:val="20"/>
                <w:szCs w:val="20"/>
                <w:lang w:val="en-US" w:eastAsia="en-US"/>
              </w:rPr>
              <w:br/>
              <w:t>կանխա</w:t>
            </w:r>
            <w:r w:rsidRPr="007955BB">
              <w:rPr>
                <w:rFonts w:cs="Calibri"/>
                <w:color w:val="FFFFFF"/>
                <w:sz w:val="20"/>
                <w:szCs w:val="20"/>
                <w:lang w:val="hy-AM" w:eastAsia="en-US"/>
              </w:rPr>
              <w:t>-</w:t>
            </w:r>
            <w:r w:rsidRPr="007955BB">
              <w:rPr>
                <w:rFonts w:cs="Calibri"/>
                <w:color w:val="FFFFFF"/>
                <w:sz w:val="20"/>
                <w:szCs w:val="20"/>
                <w:lang w:val="en-US" w:eastAsia="en-US"/>
              </w:rPr>
              <w:t>տեսում</w:t>
            </w:r>
          </w:p>
          <w:p w:rsidR="009A197C" w:rsidRPr="007955BB" w:rsidRDefault="009A197C" w:rsidP="00151C57">
            <w:pPr>
              <w:spacing w:before="0" w:line="276" w:lineRule="auto"/>
              <w:ind w:firstLine="0"/>
              <w:contextualSpacing w:val="0"/>
              <w:jc w:val="center"/>
              <w:rPr>
                <w:rFonts w:cs="Calibri"/>
                <w:color w:val="FFFFFF"/>
                <w:sz w:val="20"/>
                <w:szCs w:val="20"/>
                <w:lang w:val="en-US" w:eastAsia="en-US"/>
              </w:rPr>
            </w:pPr>
          </w:p>
        </w:tc>
      </w:tr>
      <w:tr w:rsidR="009A197C" w:rsidRPr="007955BB" w:rsidTr="00151C57">
        <w:trPr>
          <w:trHeight w:val="705"/>
        </w:trPr>
        <w:tc>
          <w:tcPr>
            <w:tcW w:w="2841" w:type="dxa"/>
            <w:shd w:val="clear" w:color="auto" w:fill="D5DCE4"/>
            <w:vAlign w:val="center"/>
            <w:hideMark/>
          </w:tcPr>
          <w:p w:rsidR="009A197C" w:rsidRPr="007955BB" w:rsidRDefault="009A197C" w:rsidP="00151C57">
            <w:pPr>
              <w:spacing w:before="0" w:line="276" w:lineRule="auto"/>
              <w:ind w:firstLine="0"/>
              <w:contextualSpacing w:val="0"/>
              <w:jc w:val="left"/>
              <w:rPr>
                <w:b w:val="0"/>
                <w:bCs/>
                <w:color w:val="000000"/>
                <w:sz w:val="20"/>
                <w:szCs w:val="20"/>
                <w:lang w:val="en-US" w:eastAsia="en-US"/>
              </w:rPr>
            </w:pPr>
            <w:r w:rsidRPr="007955BB">
              <w:rPr>
                <w:b w:val="0"/>
                <w:bCs/>
                <w:color w:val="000000"/>
                <w:sz w:val="20"/>
                <w:szCs w:val="20"/>
                <w:lang w:val="en-US" w:eastAsia="en-US"/>
              </w:rPr>
              <w:t xml:space="preserve"> Պետական բյուջեի եկամուտներ, որից` </w:t>
            </w:r>
          </w:p>
        </w:tc>
        <w:tc>
          <w:tcPr>
            <w:tcW w:w="1204" w:type="dxa"/>
            <w:shd w:val="clear" w:color="auto" w:fill="D5DCE4"/>
            <w:noWrap/>
            <w:vAlign w:val="center"/>
            <w:hideMark/>
          </w:tcPr>
          <w:p w:rsidR="009A197C" w:rsidRPr="007955BB" w:rsidRDefault="009A197C" w:rsidP="00151C57">
            <w:pPr>
              <w:spacing w:before="0" w:line="276" w:lineRule="auto"/>
              <w:ind w:firstLine="0"/>
              <w:contextualSpacing w:val="0"/>
              <w:jc w:val="center"/>
              <w:rPr>
                <w:b w:val="0"/>
                <w:bCs/>
                <w:color w:val="000000"/>
                <w:sz w:val="20"/>
                <w:szCs w:val="20"/>
                <w:lang w:val="en-US" w:eastAsia="en-US"/>
              </w:rPr>
            </w:pPr>
            <w:r w:rsidRPr="007955BB">
              <w:rPr>
                <w:b w:val="0"/>
                <w:bCs/>
                <w:color w:val="000000"/>
                <w:sz w:val="20"/>
                <w:szCs w:val="20"/>
                <w:lang w:val="en-US" w:eastAsia="en-US"/>
              </w:rPr>
              <w:t>1,565.5</w:t>
            </w:r>
          </w:p>
        </w:tc>
        <w:tc>
          <w:tcPr>
            <w:tcW w:w="1324" w:type="dxa"/>
            <w:shd w:val="clear" w:color="auto" w:fill="D5DCE4"/>
            <w:noWrap/>
            <w:vAlign w:val="center"/>
            <w:hideMark/>
          </w:tcPr>
          <w:p w:rsidR="009A197C" w:rsidRPr="007955BB" w:rsidRDefault="009A197C" w:rsidP="00151C57">
            <w:pPr>
              <w:spacing w:before="0" w:line="276" w:lineRule="auto"/>
              <w:ind w:firstLine="0"/>
              <w:contextualSpacing w:val="0"/>
              <w:jc w:val="center"/>
              <w:rPr>
                <w:b w:val="0"/>
                <w:bCs/>
                <w:color w:val="000000"/>
                <w:sz w:val="20"/>
                <w:szCs w:val="20"/>
                <w:lang w:val="en-US" w:eastAsia="en-US"/>
              </w:rPr>
            </w:pPr>
            <w:r w:rsidRPr="007955BB">
              <w:rPr>
                <w:b w:val="0"/>
                <w:bCs/>
                <w:color w:val="000000"/>
                <w:sz w:val="20"/>
                <w:szCs w:val="20"/>
                <w:lang w:val="en-US" w:eastAsia="en-US"/>
              </w:rPr>
              <w:t>1,560.7</w:t>
            </w:r>
          </w:p>
        </w:tc>
        <w:tc>
          <w:tcPr>
            <w:tcW w:w="1325" w:type="dxa"/>
            <w:shd w:val="clear" w:color="auto" w:fill="D5DCE4"/>
            <w:noWrap/>
            <w:vAlign w:val="center"/>
            <w:hideMark/>
          </w:tcPr>
          <w:p w:rsidR="009A197C" w:rsidRPr="007955BB" w:rsidRDefault="009A197C" w:rsidP="00151C57">
            <w:pPr>
              <w:spacing w:before="0" w:line="276" w:lineRule="auto"/>
              <w:ind w:firstLine="0"/>
              <w:contextualSpacing w:val="0"/>
              <w:jc w:val="center"/>
              <w:rPr>
                <w:b w:val="0"/>
                <w:bCs/>
                <w:color w:val="000000"/>
                <w:sz w:val="20"/>
                <w:szCs w:val="20"/>
                <w:lang w:val="hy-AM" w:eastAsia="en-US"/>
              </w:rPr>
            </w:pPr>
            <w:r w:rsidRPr="007955BB">
              <w:rPr>
                <w:b w:val="0"/>
                <w:bCs/>
                <w:color w:val="000000"/>
                <w:sz w:val="20"/>
                <w:szCs w:val="20"/>
                <w:lang w:val="en-US" w:eastAsia="en-US"/>
              </w:rPr>
              <w:t>1,</w:t>
            </w:r>
            <w:r w:rsidRPr="007955BB">
              <w:rPr>
                <w:b w:val="0"/>
                <w:bCs/>
                <w:color w:val="000000"/>
                <w:sz w:val="20"/>
                <w:szCs w:val="20"/>
                <w:lang w:val="hy-AM" w:eastAsia="en-US"/>
              </w:rPr>
              <w:t>683.8</w:t>
            </w:r>
          </w:p>
        </w:tc>
        <w:tc>
          <w:tcPr>
            <w:tcW w:w="1324" w:type="dxa"/>
            <w:shd w:val="clear" w:color="auto" w:fill="D5DCE4"/>
            <w:noWrap/>
            <w:vAlign w:val="center"/>
            <w:hideMark/>
          </w:tcPr>
          <w:p w:rsidR="009A197C" w:rsidRPr="007955BB" w:rsidRDefault="009A197C" w:rsidP="005C46A4">
            <w:pPr>
              <w:spacing w:before="0" w:line="276" w:lineRule="auto"/>
              <w:ind w:firstLine="0"/>
              <w:contextualSpacing w:val="0"/>
              <w:jc w:val="center"/>
              <w:rPr>
                <w:b w:val="0"/>
                <w:bCs/>
                <w:color w:val="000000"/>
                <w:sz w:val="20"/>
                <w:szCs w:val="20"/>
                <w:lang w:val="hy-AM" w:eastAsia="en-US"/>
              </w:rPr>
            </w:pPr>
            <w:r>
              <w:rPr>
                <w:b w:val="0"/>
                <w:bCs/>
                <w:color w:val="000000"/>
                <w:sz w:val="20"/>
                <w:szCs w:val="20"/>
                <w:lang w:val="hy-AM" w:eastAsia="en-US"/>
              </w:rPr>
              <w:t>2,0</w:t>
            </w:r>
            <w:r w:rsidR="005C46A4">
              <w:rPr>
                <w:b w:val="0"/>
                <w:bCs/>
                <w:color w:val="000000"/>
                <w:sz w:val="20"/>
                <w:szCs w:val="20"/>
                <w:lang w:val="en-US" w:eastAsia="en-US"/>
              </w:rPr>
              <w:t>68</w:t>
            </w:r>
            <w:r>
              <w:rPr>
                <w:b w:val="0"/>
                <w:bCs/>
                <w:color w:val="000000"/>
                <w:sz w:val="20"/>
                <w:szCs w:val="20"/>
                <w:lang w:val="hy-AM" w:eastAsia="en-US"/>
              </w:rPr>
              <w:t>.1</w:t>
            </w:r>
          </w:p>
        </w:tc>
        <w:tc>
          <w:tcPr>
            <w:tcW w:w="1337" w:type="dxa"/>
            <w:shd w:val="clear" w:color="auto" w:fill="D5DCE4"/>
            <w:noWrap/>
            <w:vAlign w:val="center"/>
            <w:hideMark/>
          </w:tcPr>
          <w:p w:rsidR="009A197C" w:rsidRPr="007955BB" w:rsidRDefault="009A197C" w:rsidP="003F76D6">
            <w:pPr>
              <w:spacing w:before="0" w:line="276" w:lineRule="auto"/>
              <w:ind w:firstLine="0"/>
              <w:contextualSpacing w:val="0"/>
              <w:jc w:val="center"/>
              <w:rPr>
                <w:b w:val="0"/>
                <w:bCs/>
                <w:color w:val="000000"/>
                <w:sz w:val="20"/>
                <w:szCs w:val="20"/>
                <w:lang w:val="en-US" w:eastAsia="en-US"/>
              </w:rPr>
            </w:pPr>
            <w:r>
              <w:rPr>
                <w:rFonts w:cs="Sylfaen"/>
                <w:b w:val="0"/>
                <w:iCs/>
                <w:sz w:val="20"/>
                <w:szCs w:val="20"/>
                <w:lang w:val="hy-AM" w:eastAsia="en-GB"/>
              </w:rPr>
              <w:t>2,30</w:t>
            </w:r>
            <w:r w:rsidR="003F76D6">
              <w:rPr>
                <w:rFonts w:cs="Sylfaen"/>
                <w:b w:val="0"/>
                <w:iCs/>
                <w:sz w:val="20"/>
                <w:szCs w:val="20"/>
                <w:lang w:val="en-US" w:eastAsia="en-GB"/>
              </w:rPr>
              <w:t>2</w:t>
            </w:r>
            <w:r>
              <w:rPr>
                <w:rFonts w:cs="Sylfaen"/>
                <w:b w:val="0"/>
                <w:iCs/>
                <w:sz w:val="20"/>
                <w:szCs w:val="20"/>
                <w:lang w:val="hy-AM" w:eastAsia="en-GB"/>
              </w:rPr>
              <w:t>.0</w:t>
            </w:r>
          </w:p>
        </w:tc>
      </w:tr>
      <w:tr w:rsidR="009A197C" w:rsidRPr="007955BB" w:rsidTr="00151C57">
        <w:trPr>
          <w:trHeight w:val="690"/>
        </w:trPr>
        <w:tc>
          <w:tcPr>
            <w:tcW w:w="2841" w:type="dxa"/>
            <w:shd w:val="clear" w:color="auto" w:fill="auto"/>
            <w:vAlign w:val="center"/>
            <w:hideMark/>
          </w:tcPr>
          <w:p w:rsidR="009A197C" w:rsidRPr="007955BB" w:rsidRDefault="009A197C" w:rsidP="00151C57">
            <w:pPr>
              <w:spacing w:before="0" w:line="276" w:lineRule="auto"/>
              <w:ind w:firstLine="0"/>
              <w:contextualSpacing w:val="0"/>
              <w:jc w:val="left"/>
              <w:rPr>
                <w:b w:val="0"/>
                <w:bCs/>
                <w:color w:val="000000"/>
                <w:sz w:val="20"/>
                <w:szCs w:val="20"/>
                <w:lang w:eastAsia="en-US"/>
              </w:rPr>
            </w:pPr>
            <w:r w:rsidRPr="007955BB">
              <w:rPr>
                <w:b w:val="0"/>
                <w:bCs/>
                <w:color w:val="000000"/>
                <w:sz w:val="20"/>
                <w:szCs w:val="20"/>
                <w:lang w:eastAsia="en-US"/>
              </w:rPr>
              <w:t xml:space="preserve"> </w:t>
            </w:r>
            <w:r w:rsidRPr="007955BB">
              <w:rPr>
                <w:b w:val="0"/>
                <w:i/>
                <w:iCs/>
                <w:color w:val="000000"/>
                <w:sz w:val="20"/>
                <w:szCs w:val="20"/>
                <w:lang w:val="en-US" w:eastAsia="en-US"/>
              </w:rPr>
              <w:t>հարաբերությունը</w:t>
            </w:r>
            <w:r w:rsidRPr="007955BB">
              <w:rPr>
                <w:b w:val="0"/>
                <w:i/>
                <w:iCs/>
                <w:color w:val="000000"/>
                <w:sz w:val="20"/>
                <w:szCs w:val="20"/>
                <w:lang w:eastAsia="en-US"/>
              </w:rPr>
              <w:t xml:space="preserve"> </w:t>
            </w:r>
            <w:r w:rsidRPr="007955BB">
              <w:rPr>
                <w:b w:val="0"/>
                <w:i/>
                <w:iCs/>
                <w:color w:val="000000"/>
                <w:sz w:val="20"/>
                <w:szCs w:val="20"/>
                <w:lang w:val="en-US" w:eastAsia="en-US"/>
              </w:rPr>
              <w:t>ՀՆԱ</w:t>
            </w:r>
            <w:r w:rsidRPr="007955BB">
              <w:rPr>
                <w:b w:val="0"/>
                <w:i/>
                <w:iCs/>
                <w:color w:val="000000"/>
                <w:sz w:val="20"/>
                <w:szCs w:val="20"/>
                <w:lang w:eastAsia="en-US"/>
              </w:rPr>
              <w:t>-</w:t>
            </w:r>
            <w:r w:rsidRPr="007955BB">
              <w:rPr>
                <w:b w:val="0"/>
                <w:i/>
                <w:iCs/>
                <w:color w:val="000000"/>
                <w:sz w:val="20"/>
                <w:szCs w:val="20"/>
                <w:lang w:val="en-US" w:eastAsia="en-US"/>
              </w:rPr>
              <w:t>ի</w:t>
            </w:r>
            <w:r w:rsidRPr="007955BB">
              <w:rPr>
                <w:b w:val="0"/>
                <w:i/>
                <w:iCs/>
                <w:color w:val="000000"/>
                <w:sz w:val="20"/>
                <w:szCs w:val="20"/>
                <w:lang w:eastAsia="en-US"/>
              </w:rPr>
              <w:t xml:space="preserve"> </w:t>
            </w:r>
            <w:r w:rsidRPr="007955BB">
              <w:rPr>
                <w:b w:val="0"/>
                <w:i/>
                <w:iCs/>
                <w:color w:val="000000"/>
                <w:sz w:val="20"/>
                <w:szCs w:val="20"/>
                <w:lang w:val="en-US" w:eastAsia="en-US"/>
              </w:rPr>
              <w:t>նկատմամբ</w:t>
            </w:r>
            <w:r w:rsidRPr="007955BB">
              <w:rPr>
                <w:b w:val="0"/>
                <w:i/>
                <w:iCs/>
                <w:color w:val="000000"/>
                <w:sz w:val="20"/>
                <w:szCs w:val="20"/>
                <w:lang w:eastAsia="en-US"/>
              </w:rPr>
              <w:t xml:space="preserve"> (%-</w:t>
            </w:r>
            <w:r w:rsidRPr="007955BB">
              <w:rPr>
                <w:b w:val="0"/>
                <w:i/>
                <w:iCs/>
                <w:color w:val="000000"/>
                <w:sz w:val="20"/>
                <w:szCs w:val="20"/>
                <w:lang w:val="en-US" w:eastAsia="en-US"/>
              </w:rPr>
              <w:t>ով</w:t>
            </w:r>
            <w:r w:rsidRPr="007955BB">
              <w:rPr>
                <w:b w:val="0"/>
                <w:i/>
                <w:iCs/>
                <w:color w:val="000000"/>
                <w:sz w:val="20"/>
                <w:szCs w:val="20"/>
                <w:lang w:eastAsia="en-US"/>
              </w:rPr>
              <w:t>)</w:t>
            </w:r>
            <w:r w:rsidRPr="007955BB">
              <w:rPr>
                <w:b w:val="0"/>
                <w:bCs/>
                <w:color w:val="000000"/>
                <w:sz w:val="20"/>
                <w:szCs w:val="20"/>
                <w:lang w:eastAsia="en-US"/>
              </w:rPr>
              <w:t xml:space="preserve"> </w:t>
            </w:r>
          </w:p>
        </w:tc>
        <w:tc>
          <w:tcPr>
            <w:tcW w:w="1204" w:type="dxa"/>
            <w:shd w:val="clear" w:color="auto" w:fill="auto"/>
            <w:noWrap/>
            <w:vAlign w:val="bottom"/>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23.9%</w:t>
            </w:r>
          </w:p>
        </w:tc>
        <w:tc>
          <w:tcPr>
            <w:tcW w:w="1324" w:type="dxa"/>
            <w:shd w:val="clear" w:color="auto" w:fill="auto"/>
            <w:noWrap/>
            <w:vAlign w:val="bottom"/>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25.2%</w:t>
            </w:r>
          </w:p>
        </w:tc>
        <w:tc>
          <w:tcPr>
            <w:tcW w:w="1325" w:type="dxa"/>
            <w:shd w:val="clear" w:color="auto" w:fill="auto"/>
            <w:noWrap/>
            <w:vAlign w:val="bottom"/>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2</w:t>
            </w:r>
            <w:r w:rsidRPr="007955BB">
              <w:rPr>
                <w:rFonts w:cs="Calibri"/>
                <w:b w:val="0"/>
                <w:color w:val="000000"/>
                <w:sz w:val="20"/>
                <w:szCs w:val="20"/>
                <w:lang w:val="hy-AM" w:eastAsia="en-US"/>
              </w:rPr>
              <w:t>4.1</w:t>
            </w:r>
            <w:r w:rsidRPr="007955BB">
              <w:rPr>
                <w:rFonts w:cs="Calibri"/>
                <w:b w:val="0"/>
                <w:color w:val="000000"/>
                <w:sz w:val="20"/>
                <w:szCs w:val="20"/>
                <w:lang w:val="en-US" w:eastAsia="en-US"/>
              </w:rPr>
              <w:t>%</w:t>
            </w:r>
          </w:p>
        </w:tc>
        <w:tc>
          <w:tcPr>
            <w:tcW w:w="1324" w:type="dxa"/>
            <w:shd w:val="clear" w:color="auto" w:fill="auto"/>
            <w:noWrap/>
            <w:vAlign w:val="bottom"/>
            <w:hideMark/>
          </w:tcPr>
          <w:p w:rsidR="009A197C" w:rsidRPr="007955BB" w:rsidRDefault="009A197C" w:rsidP="005C46A4">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2</w:t>
            </w:r>
            <w:r w:rsidR="005C46A4">
              <w:rPr>
                <w:rFonts w:cs="Calibri"/>
                <w:b w:val="0"/>
                <w:color w:val="000000"/>
                <w:sz w:val="20"/>
                <w:szCs w:val="20"/>
                <w:lang w:val="en-US" w:eastAsia="en-US"/>
              </w:rPr>
              <w:t>4</w:t>
            </w:r>
            <w:r>
              <w:rPr>
                <w:rFonts w:cs="Calibri"/>
                <w:b w:val="0"/>
                <w:color w:val="000000"/>
                <w:sz w:val="20"/>
                <w:szCs w:val="20"/>
                <w:lang w:val="hy-AM" w:eastAsia="en-US"/>
              </w:rPr>
              <w:t>.</w:t>
            </w:r>
            <w:r w:rsidR="005C46A4">
              <w:rPr>
                <w:rFonts w:cs="Calibri"/>
                <w:b w:val="0"/>
                <w:color w:val="000000"/>
                <w:sz w:val="20"/>
                <w:szCs w:val="20"/>
                <w:lang w:val="en-US" w:eastAsia="en-US"/>
              </w:rPr>
              <w:t>9</w:t>
            </w:r>
            <w:r w:rsidRPr="007955BB">
              <w:rPr>
                <w:rFonts w:cs="Calibri"/>
                <w:b w:val="0"/>
                <w:color w:val="000000"/>
                <w:sz w:val="20"/>
                <w:szCs w:val="20"/>
                <w:lang w:val="en-US" w:eastAsia="en-US"/>
              </w:rPr>
              <w:t>%</w:t>
            </w:r>
          </w:p>
        </w:tc>
        <w:tc>
          <w:tcPr>
            <w:tcW w:w="1337" w:type="dxa"/>
            <w:shd w:val="clear" w:color="auto" w:fill="auto"/>
            <w:noWrap/>
            <w:vAlign w:val="bottom"/>
            <w:hideMark/>
          </w:tcPr>
          <w:p w:rsidR="009A197C" w:rsidRPr="007955BB" w:rsidRDefault="009A197C" w:rsidP="00151C57">
            <w:pPr>
              <w:spacing w:before="0" w:line="276" w:lineRule="auto"/>
              <w:ind w:firstLine="0"/>
              <w:contextualSpacing w:val="0"/>
              <w:jc w:val="center"/>
              <w:rPr>
                <w:rFonts w:cs="Calibri"/>
                <w:b w:val="0"/>
                <w:color w:val="000000"/>
                <w:sz w:val="20"/>
                <w:szCs w:val="20"/>
                <w:lang w:eastAsia="en-US"/>
              </w:rPr>
            </w:pPr>
            <w:r w:rsidRPr="007955BB">
              <w:rPr>
                <w:rFonts w:cs="Calibri"/>
                <w:b w:val="0"/>
                <w:color w:val="000000"/>
                <w:sz w:val="20"/>
                <w:szCs w:val="20"/>
                <w:lang w:eastAsia="en-US"/>
              </w:rPr>
              <w:t>24.</w:t>
            </w:r>
            <w:r w:rsidRPr="007955BB">
              <w:rPr>
                <w:rFonts w:cs="Calibri"/>
                <w:b w:val="0"/>
                <w:color w:val="000000"/>
                <w:sz w:val="20"/>
                <w:szCs w:val="20"/>
                <w:lang w:val="hy-AM" w:eastAsia="en-US"/>
              </w:rPr>
              <w:t>7</w:t>
            </w:r>
            <w:r w:rsidRPr="007955BB">
              <w:rPr>
                <w:rFonts w:cs="Calibri"/>
                <w:b w:val="0"/>
                <w:color w:val="000000"/>
                <w:sz w:val="20"/>
                <w:szCs w:val="20"/>
                <w:lang w:eastAsia="en-US"/>
              </w:rPr>
              <w:t>%</w:t>
            </w:r>
          </w:p>
        </w:tc>
      </w:tr>
      <w:tr w:rsidR="009A197C" w:rsidRPr="007955BB" w:rsidTr="00151C57">
        <w:trPr>
          <w:trHeight w:val="1035"/>
        </w:trPr>
        <w:tc>
          <w:tcPr>
            <w:tcW w:w="2841" w:type="dxa"/>
            <w:shd w:val="clear" w:color="auto" w:fill="D5DCE4"/>
            <w:vAlign w:val="center"/>
            <w:hideMark/>
          </w:tcPr>
          <w:p w:rsidR="009A197C" w:rsidRPr="007955BB" w:rsidRDefault="009A197C" w:rsidP="00151C57">
            <w:pPr>
              <w:spacing w:before="0" w:line="276" w:lineRule="auto"/>
              <w:ind w:firstLine="0"/>
              <w:contextualSpacing w:val="0"/>
              <w:jc w:val="left"/>
              <w:rPr>
                <w:b w:val="0"/>
                <w:bCs/>
                <w:color w:val="000000"/>
                <w:sz w:val="20"/>
                <w:szCs w:val="20"/>
                <w:lang w:eastAsia="en-US"/>
              </w:rPr>
            </w:pPr>
            <w:r w:rsidRPr="007955BB">
              <w:rPr>
                <w:b w:val="0"/>
                <w:bCs/>
                <w:color w:val="000000"/>
                <w:sz w:val="20"/>
                <w:szCs w:val="20"/>
                <w:lang w:eastAsia="en-US"/>
              </w:rPr>
              <w:t xml:space="preserve"> 1. </w:t>
            </w:r>
            <w:r w:rsidRPr="007955BB">
              <w:rPr>
                <w:b w:val="0"/>
                <w:bCs/>
                <w:color w:val="000000"/>
                <w:sz w:val="20"/>
                <w:szCs w:val="20"/>
                <w:lang w:val="en-US" w:eastAsia="en-US"/>
              </w:rPr>
              <w:t>Հարկային</w:t>
            </w:r>
            <w:r w:rsidRPr="007955BB">
              <w:rPr>
                <w:b w:val="0"/>
                <w:bCs/>
                <w:color w:val="000000"/>
                <w:sz w:val="20"/>
                <w:szCs w:val="20"/>
                <w:lang w:eastAsia="en-US"/>
              </w:rPr>
              <w:t xml:space="preserve"> </w:t>
            </w:r>
            <w:r w:rsidRPr="007955BB">
              <w:rPr>
                <w:b w:val="0"/>
                <w:bCs/>
                <w:color w:val="000000"/>
                <w:sz w:val="20"/>
                <w:szCs w:val="20"/>
                <w:lang w:val="en-US" w:eastAsia="en-US"/>
              </w:rPr>
              <w:t>եկամուտներ</w:t>
            </w:r>
            <w:r w:rsidRPr="007955BB">
              <w:rPr>
                <w:b w:val="0"/>
                <w:bCs/>
                <w:color w:val="000000"/>
                <w:sz w:val="20"/>
                <w:szCs w:val="20"/>
                <w:lang w:eastAsia="en-US"/>
              </w:rPr>
              <w:t xml:space="preserve"> </w:t>
            </w:r>
            <w:r w:rsidRPr="007955BB">
              <w:rPr>
                <w:b w:val="0"/>
                <w:bCs/>
                <w:color w:val="000000"/>
                <w:sz w:val="20"/>
                <w:szCs w:val="20"/>
                <w:lang w:val="en-US" w:eastAsia="en-US"/>
              </w:rPr>
              <w:t>և</w:t>
            </w:r>
            <w:r w:rsidRPr="007955BB">
              <w:rPr>
                <w:b w:val="0"/>
                <w:bCs/>
                <w:color w:val="000000"/>
                <w:sz w:val="20"/>
                <w:szCs w:val="20"/>
                <w:lang w:eastAsia="en-US"/>
              </w:rPr>
              <w:t xml:space="preserve"> </w:t>
            </w:r>
            <w:r w:rsidRPr="007955BB">
              <w:rPr>
                <w:b w:val="0"/>
                <w:bCs/>
                <w:color w:val="000000"/>
                <w:sz w:val="20"/>
                <w:szCs w:val="20"/>
                <w:lang w:val="en-US" w:eastAsia="en-US"/>
              </w:rPr>
              <w:t>պետական</w:t>
            </w:r>
            <w:r w:rsidRPr="007955BB">
              <w:rPr>
                <w:b w:val="0"/>
                <w:bCs/>
                <w:color w:val="000000"/>
                <w:sz w:val="20"/>
                <w:szCs w:val="20"/>
                <w:lang w:eastAsia="en-US"/>
              </w:rPr>
              <w:t xml:space="preserve"> </w:t>
            </w:r>
            <w:r w:rsidRPr="007955BB">
              <w:rPr>
                <w:b w:val="0"/>
                <w:bCs/>
                <w:color w:val="000000"/>
                <w:sz w:val="20"/>
                <w:szCs w:val="20"/>
                <w:lang w:val="en-US" w:eastAsia="en-US"/>
              </w:rPr>
              <w:t>տուրքեր</w:t>
            </w:r>
          </w:p>
        </w:tc>
        <w:tc>
          <w:tcPr>
            <w:tcW w:w="1204" w:type="dxa"/>
            <w:shd w:val="clear" w:color="auto" w:fill="D5DCE4"/>
            <w:noWrap/>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1,464.3</w:t>
            </w:r>
          </w:p>
        </w:tc>
        <w:tc>
          <w:tcPr>
            <w:tcW w:w="1324" w:type="dxa"/>
            <w:shd w:val="clear" w:color="auto" w:fill="D5DCE4"/>
            <w:noWrap/>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1,385.2</w:t>
            </w:r>
          </w:p>
        </w:tc>
        <w:tc>
          <w:tcPr>
            <w:tcW w:w="1325" w:type="dxa"/>
            <w:shd w:val="clear" w:color="auto" w:fill="D5DCE4"/>
            <w:noWrap/>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hy-AM" w:eastAsia="en-US"/>
              </w:rPr>
            </w:pPr>
            <w:r w:rsidRPr="007955BB">
              <w:rPr>
                <w:rFonts w:cs="Calibri"/>
                <w:b w:val="0"/>
                <w:color w:val="000000"/>
                <w:sz w:val="20"/>
                <w:szCs w:val="20"/>
                <w:lang w:val="en-US" w:eastAsia="en-US"/>
              </w:rPr>
              <w:t>1,</w:t>
            </w:r>
            <w:r w:rsidRPr="007955BB">
              <w:rPr>
                <w:rFonts w:cs="Calibri"/>
                <w:b w:val="0"/>
                <w:color w:val="000000"/>
                <w:sz w:val="20"/>
                <w:szCs w:val="20"/>
                <w:lang w:val="hy-AM" w:eastAsia="en-US"/>
              </w:rPr>
              <w:t>586.9</w:t>
            </w:r>
          </w:p>
        </w:tc>
        <w:tc>
          <w:tcPr>
            <w:tcW w:w="1324" w:type="dxa"/>
            <w:shd w:val="clear" w:color="auto" w:fill="D5DCE4"/>
            <w:noWrap/>
            <w:vAlign w:val="center"/>
            <w:hideMark/>
          </w:tcPr>
          <w:p w:rsidR="009A197C" w:rsidRPr="007955BB" w:rsidRDefault="009A197C" w:rsidP="005C46A4">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1,</w:t>
            </w:r>
            <w:r>
              <w:rPr>
                <w:rFonts w:cs="Calibri"/>
                <w:b w:val="0"/>
                <w:color w:val="000000"/>
                <w:sz w:val="20"/>
                <w:szCs w:val="20"/>
                <w:lang w:val="hy-AM" w:eastAsia="en-US"/>
              </w:rPr>
              <w:t>92</w:t>
            </w:r>
            <w:r w:rsidR="005C46A4">
              <w:rPr>
                <w:rFonts w:cs="Calibri"/>
                <w:b w:val="0"/>
                <w:color w:val="000000"/>
                <w:sz w:val="20"/>
                <w:szCs w:val="20"/>
                <w:lang w:val="en-US" w:eastAsia="en-US"/>
              </w:rPr>
              <w:t>0</w:t>
            </w:r>
            <w:r w:rsidRPr="007955BB">
              <w:rPr>
                <w:rFonts w:cs="Calibri"/>
                <w:b w:val="0"/>
                <w:color w:val="000000"/>
                <w:sz w:val="20"/>
                <w:szCs w:val="20"/>
                <w:lang w:val="en-US" w:eastAsia="en-US"/>
              </w:rPr>
              <w:t>.0</w:t>
            </w:r>
          </w:p>
        </w:tc>
        <w:tc>
          <w:tcPr>
            <w:tcW w:w="1337" w:type="dxa"/>
            <w:shd w:val="clear" w:color="auto" w:fill="D5DCE4"/>
            <w:noWrap/>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hy-AM" w:eastAsia="en-US"/>
              </w:rPr>
            </w:pPr>
            <w:r w:rsidRPr="007955BB">
              <w:rPr>
                <w:rFonts w:cs="Calibri"/>
                <w:b w:val="0"/>
                <w:color w:val="000000"/>
                <w:sz w:val="20"/>
                <w:szCs w:val="20"/>
                <w:lang w:val="hy-AM" w:eastAsia="en-US"/>
              </w:rPr>
              <w:t>2,203.7</w:t>
            </w:r>
          </w:p>
        </w:tc>
      </w:tr>
      <w:tr w:rsidR="009A197C" w:rsidRPr="007955BB" w:rsidTr="00151C57">
        <w:trPr>
          <w:trHeight w:val="690"/>
        </w:trPr>
        <w:tc>
          <w:tcPr>
            <w:tcW w:w="2841" w:type="dxa"/>
            <w:shd w:val="clear" w:color="auto" w:fill="auto"/>
            <w:vAlign w:val="center"/>
            <w:hideMark/>
          </w:tcPr>
          <w:p w:rsidR="009A197C" w:rsidRPr="007955BB" w:rsidRDefault="009A197C" w:rsidP="00151C57">
            <w:pPr>
              <w:spacing w:before="0" w:line="276" w:lineRule="auto"/>
              <w:ind w:firstLine="0"/>
              <w:contextualSpacing w:val="0"/>
              <w:jc w:val="left"/>
              <w:rPr>
                <w:b w:val="0"/>
                <w:bCs/>
                <w:color w:val="000000"/>
                <w:sz w:val="20"/>
                <w:szCs w:val="20"/>
                <w:lang w:eastAsia="en-US"/>
              </w:rPr>
            </w:pPr>
            <w:r w:rsidRPr="007955BB">
              <w:rPr>
                <w:b w:val="0"/>
                <w:bCs/>
                <w:color w:val="000000"/>
                <w:sz w:val="20"/>
                <w:szCs w:val="20"/>
                <w:lang w:eastAsia="en-US"/>
              </w:rPr>
              <w:t xml:space="preserve"> </w:t>
            </w:r>
            <w:r w:rsidRPr="007955BB">
              <w:rPr>
                <w:b w:val="0"/>
                <w:i/>
                <w:iCs/>
                <w:color w:val="000000"/>
                <w:sz w:val="20"/>
                <w:szCs w:val="20"/>
                <w:lang w:val="en-US" w:eastAsia="en-US"/>
              </w:rPr>
              <w:t>հարաբերությունը</w:t>
            </w:r>
            <w:r w:rsidRPr="007955BB">
              <w:rPr>
                <w:b w:val="0"/>
                <w:i/>
                <w:iCs/>
                <w:color w:val="000000"/>
                <w:sz w:val="20"/>
                <w:szCs w:val="20"/>
                <w:lang w:eastAsia="en-US"/>
              </w:rPr>
              <w:t xml:space="preserve"> </w:t>
            </w:r>
            <w:r w:rsidRPr="007955BB">
              <w:rPr>
                <w:b w:val="0"/>
                <w:i/>
                <w:iCs/>
                <w:color w:val="000000"/>
                <w:sz w:val="20"/>
                <w:szCs w:val="20"/>
                <w:lang w:val="en-US" w:eastAsia="en-US"/>
              </w:rPr>
              <w:t>ՀՆԱ</w:t>
            </w:r>
            <w:r w:rsidRPr="007955BB">
              <w:rPr>
                <w:b w:val="0"/>
                <w:i/>
                <w:iCs/>
                <w:color w:val="000000"/>
                <w:sz w:val="20"/>
                <w:szCs w:val="20"/>
                <w:lang w:eastAsia="en-US"/>
              </w:rPr>
              <w:t>-</w:t>
            </w:r>
            <w:r w:rsidRPr="007955BB">
              <w:rPr>
                <w:b w:val="0"/>
                <w:i/>
                <w:iCs/>
                <w:color w:val="000000"/>
                <w:sz w:val="20"/>
                <w:szCs w:val="20"/>
                <w:lang w:val="en-US" w:eastAsia="en-US"/>
              </w:rPr>
              <w:t>ի</w:t>
            </w:r>
            <w:r w:rsidRPr="007955BB">
              <w:rPr>
                <w:b w:val="0"/>
                <w:i/>
                <w:iCs/>
                <w:color w:val="000000"/>
                <w:sz w:val="20"/>
                <w:szCs w:val="20"/>
                <w:lang w:eastAsia="en-US"/>
              </w:rPr>
              <w:t xml:space="preserve"> </w:t>
            </w:r>
            <w:r w:rsidRPr="007955BB">
              <w:rPr>
                <w:b w:val="0"/>
                <w:i/>
                <w:iCs/>
                <w:color w:val="000000"/>
                <w:sz w:val="20"/>
                <w:szCs w:val="20"/>
                <w:lang w:val="en-US" w:eastAsia="en-US"/>
              </w:rPr>
              <w:t>նկատմամբ</w:t>
            </w:r>
            <w:r w:rsidRPr="007955BB">
              <w:rPr>
                <w:b w:val="0"/>
                <w:i/>
                <w:iCs/>
                <w:color w:val="000000"/>
                <w:sz w:val="20"/>
                <w:szCs w:val="20"/>
                <w:lang w:eastAsia="en-US"/>
              </w:rPr>
              <w:t xml:space="preserve"> (%-</w:t>
            </w:r>
            <w:r w:rsidRPr="007955BB">
              <w:rPr>
                <w:b w:val="0"/>
                <w:i/>
                <w:iCs/>
                <w:color w:val="000000"/>
                <w:sz w:val="20"/>
                <w:szCs w:val="20"/>
                <w:lang w:val="en-US" w:eastAsia="en-US"/>
              </w:rPr>
              <w:t>ով</w:t>
            </w:r>
            <w:r w:rsidRPr="007955BB">
              <w:rPr>
                <w:b w:val="0"/>
                <w:i/>
                <w:iCs/>
                <w:color w:val="000000"/>
                <w:sz w:val="20"/>
                <w:szCs w:val="20"/>
                <w:lang w:eastAsia="en-US"/>
              </w:rPr>
              <w:t>)</w:t>
            </w:r>
            <w:r w:rsidRPr="007955BB">
              <w:rPr>
                <w:b w:val="0"/>
                <w:bCs/>
                <w:color w:val="000000"/>
                <w:sz w:val="20"/>
                <w:szCs w:val="20"/>
                <w:lang w:eastAsia="en-US"/>
              </w:rPr>
              <w:t xml:space="preserve"> </w:t>
            </w:r>
          </w:p>
        </w:tc>
        <w:tc>
          <w:tcPr>
            <w:tcW w:w="1204" w:type="dxa"/>
            <w:shd w:val="clear" w:color="auto" w:fill="auto"/>
            <w:noWrap/>
            <w:vAlign w:val="bottom"/>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22.4%</w:t>
            </w:r>
          </w:p>
        </w:tc>
        <w:tc>
          <w:tcPr>
            <w:tcW w:w="1324" w:type="dxa"/>
            <w:shd w:val="clear" w:color="auto" w:fill="auto"/>
            <w:noWrap/>
            <w:vAlign w:val="bottom"/>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22.4%</w:t>
            </w:r>
          </w:p>
        </w:tc>
        <w:tc>
          <w:tcPr>
            <w:tcW w:w="1325" w:type="dxa"/>
            <w:shd w:val="clear" w:color="auto" w:fill="auto"/>
            <w:noWrap/>
            <w:vAlign w:val="bottom"/>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22.</w:t>
            </w:r>
            <w:r w:rsidRPr="007955BB">
              <w:rPr>
                <w:rFonts w:cs="Calibri"/>
                <w:b w:val="0"/>
                <w:color w:val="000000"/>
                <w:sz w:val="20"/>
                <w:szCs w:val="20"/>
                <w:lang w:val="hy-AM" w:eastAsia="en-US"/>
              </w:rPr>
              <w:t>7</w:t>
            </w:r>
            <w:r w:rsidRPr="007955BB">
              <w:rPr>
                <w:rFonts w:cs="Calibri"/>
                <w:b w:val="0"/>
                <w:color w:val="000000"/>
                <w:sz w:val="20"/>
                <w:szCs w:val="20"/>
                <w:lang w:val="en-US" w:eastAsia="en-US"/>
              </w:rPr>
              <w:t>%</w:t>
            </w:r>
          </w:p>
        </w:tc>
        <w:tc>
          <w:tcPr>
            <w:tcW w:w="1324" w:type="dxa"/>
            <w:shd w:val="clear" w:color="auto" w:fill="auto"/>
            <w:noWrap/>
            <w:vAlign w:val="bottom"/>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2</w:t>
            </w:r>
            <w:r w:rsidRPr="007955BB">
              <w:rPr>
                <w:rFonts w:cs="Calibri"/>
                <w:b w:val="0"/>
                <w:color w:val="000000"/>
                <w:sz w:val="20"/>
                <w:szCs w:val="20"/>
                <w:lang w:val="hy-AM" w:eastAsia="en-US"/>
              </w:rPr>
              <w:t>3.2</w:t>
            </w:r>
            <w:r w:rsidRPr="007955BB">
              <w:rPr>
                <w:rFonts w:cs="Calibri"/>
                <w:b w:val="0"/>
                <w:color w:val="000000"/>
                <w:sz w:val="20"/>
                <w:szCs w:val="20"/>
                <w:lang w:val="en-US" w:eastAsia="en-US"/>
              </w:rPr>
              <w:t>%</w:t>
            </w:r>
          </w:p>
        </w:tc>
        <w:tc>
          <w:tcPr>
            <w:tcW w:w="1337" w:type="dxa"/>
            <w:shd w:val="clear" w:color="auto" w:fill="auto"/>
            <w:noWrap/>
            <w:vAlign w:val="bottom"/>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eastAsia="en-US"/>
              </w:rPr>
              <w:t>23.</w:t>
            </w:r>
            <w:r w:rsidRPr="007955BB">
              <w:rPr>
                <w:rFonts w:cs="Calibri"/>
                <w:b w:val="0"/>
                <w:color w:val="000000"/>
                <w:sz w:val="20"/>
                <w:szCs w:val="20"/>
                <w:lang w:val="hy-AM" w:eastAsia="en-US"/>
              </w:rPr>
              <w:t>7</w:t>
            </w:r>
            <w:r w:rsidRPr="007955BB">
              <w:rPr>
                <w:rFonts w:cs="Calibri"/>
                <w:b w:val="0"/>
                <w:color w:val="000000"/>
                <w:sz w:val="20"/>
                <w:szCs w:val="20"/>
                <w:lang w:val="en-US" w:eastAsia="en-US"/>
              </w:rPr>
              <w:t>%</w:t>
            </w:r>
          </w:p>
        </w:tc>
      </w:tr>
      <w:tr w:rsidR="009A197C" w:rsidRPr="007955BB" w:rsidTr="00151C57">
        <w:trPr>
          <w:trHeight w:val="735"/>
        </w:trPr>
        <w:tc>
          <w:tcPr>
            <w:tcW w:w="2841" w:type="dxa"/>
            <w:shd w:val="clear" w:color="auto" w:fill="D5DCE4"/>
            <w:vAlign w:val="center"/>
            <w:hideMark/>
          </w:tcPr>
          <w:p w:rsidR="009A197C" w:rsidRPr="007955BB" w:rsidRDefault="009A197C" w:rsidP="00151C57">
            <w:pPr>
              <w:spacing w:before="0" w:line="276" w:lineRule="auto"/>
              <w:ind w:firstLine="0"/>
              <w:contextualSpacing w:val="0"/>
              <w:jc w:val="left"/>
              <w:rPr>
                <w:b w:val="0"/>
                <w:bCs/>
                <w:color w:val="000000"/>
                <w:sz w:val="20"/>
                <w:szCs w:val="20"/>
                <w:lang w:val="en-US" w:eastAsia="en-US"/>
              </w:rPr>
            </w:pPr>
            <w:r w:rsidRPr="007955BB">
              <w:rPr>
                <w:b w:val="0"/>
                <w:bCs/>
                <w:color w:val="000000"/>
                <w:sz w:val="20"/>
                <w:szCs w:val="20"/>
                <w:lang w:val="en-US" w:eastAsia="en-US"/>
              </w:rPr>
              <w:t xml:space="preserve"> </w:t>
            </w:r>
            <w:r w:rsidRPr="007955BB">
              <w:rPr>
                <w:b w:val="0"/>
                <w:i/>
                <w:iCs/>
                <w:color w:val="000000"/>
                <w:sz w:val="20"/>
                <w:szCs w:val="20"/>
                <w:lang w:val="en-US" w:eastAsia="en-US"/>
              </w:rPr>
              <w:t>տոկոսով ընդհանուրի նկատմամբ</w:t>
            </w:r>
            <w:r w:rsidRPr="007955BB">
              <w:rPr>
                <w:b w:val="0"/>
                <w:bCs/>
                <w:color w:val="000000"/>
                <w:sz w:val="20"/>
                <w:szCs w:val="20"/>
                <w:lang w:val="en-US" w:eastAsia="en-US"/>
              </w:rPr>
              <w:t xml:space="preserve"> </w:t>
            </w:r>
          </w:p>
        </w:tc>
        <w:tc>
          <w:tcPr>
            <w:tcW w:w="1204" w:type="dxa"/>
            <w:shd w:val="clear" w:color="auto" w:fill="D5DCE4"/>
            <w:noWrap/>
            <w:vAlign w:val="bottom"/>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93.5%</w:t>
            </w:r>
          </w:p>
        </w:tc>
        <w:tc>
          <w:tcPr>
            <w:tcW w:w="1324" w:type="dxa"/>
            <w:shd w:val="clear" w:color="auto" w:fill="D5DCE4"/>
            <w:noWrap/>
            <w:vAlign w:val="bottom"/>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88.8%</w:t>
            </w:r>
          </w:p>
        </w:tc>
        <w:tc>
          <w:tcPr>
            <w:tcW w:w="1325" w:type="dxa"/>
            <w:shd w:val="clear" w:color="auto" w:fill="D5DCE4"/>
            <w:noWrap/>
            <w:vAlign w:val="bottom"/>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hy-AM" w:eastAsia="en-US"/>
              </w:rPr>
              <w:t>94.2</w:t>
            </w:r>
            <w:r w:rsidRPr="007955BB">
              <w:rPr>
                <w:rFonts w:cs="Calibri"/>
                <w:b w:val="0"/>
                <w:color w:val="000000"/>
                <w:sz w:val="20"/>
                <w:szCs w:val="20"/>
                <w:lang w:val="en-US" w:eastAsia="en-US"/>
              </w:rPr>
              <w:t>%</w:t>
            </w:r>
          </w:p>
        </w:tc>
        <w:tc>
          <w:tcPr>
            <w:tcW w:w="1324" w:type="dxa"/>
            <w:shd w:val="clear" w:color="auto" w:fill="D5DCE4"/>
            <w:noWrap/>
            <w:vAlign w:val="bottom"/>
            <w:hideMark/>
          </w:tcPr>
          <w:p w:rsidR="009A197C" w:rsidRPr="007955BB" w:rsidRDefault="009A197C" w:rsidP="005C46A4">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9</w:t>
            </w:r>
            <w:r>
              <w:rPr>
                <w:rFonts w:cs="Calibri"/>
                <w:b w:val="0"/>
                <w:color w:val="000000"/>
                <w:sz w:val="20"/>
                <w:szCs w:val="20"/>
                <w:lang w:val="hy-AM" w:eastAsia="en-US"/>
              </w:rPr>
              <w:t>2.</w:t>
            </w:r>
            <w:r w:rsidR="005C46A4">
              <w:rPr>
                <w:rFonts w:cs="Calibri"/>
                <w:b w:val="0"/>
                <w:color w:val="000000"/>
                <w:sz w:val="20"/>
                <w:szCs w:val="20"/>
                <w:lang w:val="en-US" w:eastAsia="en-US"/>
              </w:rPr>
              <w:t>8</w:t>
            </w:r>
            <w:r w:rsidRPr="007955BB">
              <w:rPr>
                <w:rFonts w:cs="Calibri"/>
                <w:b w:val="0"/>
                <w:color w:val="000000"/>
                <w:sz w:val="20"/>
                <w:szCs w:val="20"/>
                <w:lang w:val="en-US" w:eastAsia="en-US"/>
              </w:rPr>
              <w:t>%</w:t>
            </w:r>
          </w:p>
        </w:tc>
        <w:tc>
          <w:tcPr>
            <w:tcW w:w="1337" w:type="dxa"/>
            <w:shd w:val="clear" w:color="auto" w:fill="D5DCE4"/>
            <w:noWrap/>
            <w:vAlign w:val="bottom"/>
            <w:hideMark/>
          </w:tcPr>
          <w:p w:rsidR="009A197C" w:rsidRPr="007955BB" w:rsidRDefault="009A197C" w:rsidP="003F76D6">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9</w:t>
            </w:r>
            <w:r w:rsidRPr="007955BB">
              <w:rPr>
                <w:rFonts w:cs="Calibri"/>
                <w:b w:val="0"/>
                <w:color w:val="000000"/>
                <w:sz w:val="20"/>
                <w:szCs w:val="20"/>
                <w:lang w:val="hy-AM" w:eastAsia="en-US"/>
              </w:rPr>
              <w:t>5.</w:t>
            </w:r>
            <w:r w:rsidR="003F76D6">
              <w:rPr>
                <w:rFonts w:cs="Calibri"/>
                <w:b w:val="0"/>
                <w:color w:val="000000"/>
                <w:sz w:val="20"/>
                <w:szCs w:val="20"/>
                <w:lang w:val="en-US" w:eastAsia="en-US"/>
              </w:rPr>
              <w:t>7</w:t>
            </w:r>
            <w:r w:rsidRPr="007955BB">
              <w:rPr>
                <w:rFonts w:cs="Calibri"/>
                <w:b w:val="0"/>
                <w:color w:val="000000"/>
                <w:sz w:val="20"/>
                <w:szCs w:val="20"/>
                <w:lang w:val="en-US" w:eastAsia="en-US"/>
              </w:rPr>
              <w:t>%</w:t>
            </w:r>
          </w:p>
        </w:tc>
      </w:tr>
      <w:tr w:rsidR="009A197C" w:rsidRPr="007955BB" w:rsidTr="00151C57">
        <w:trPr>
          <w:trHeight w:val="510"/>
        </w:trPr>
        <w:tc>
          <w:tcPr>
            <w:tcW w:w="2841" w:type="dxa"/>
            <w:shd w:val="clear" w:color="auto" w:fill="auto"/>
            <w:vAlign w:val="center"/>
            <w:hideMark/>
          </w:tcPr>
          <w:p w:rsidR="009A197C" w:rsidRPr="007955BB" w:rsidRDefault="009A197C" w:rsidP="00151C57">
            <w:pPr>
              <w:spacing w:before="0" w:line="276" w:lineRule="auto"/>
              <w:ind w:firstLine="0"/>
              <w:contextualSpacing w:val="0"/>
              <w:jc w:val="left"/>
              <w:rPr>
                <w:b w:val="0"/>
                <w:bCs/>
                <w:color w:val="000000"/>
                <w:sz w:val="20"/>
                <w:szCs w:val="20"/>
                <w:lang w:val="en-US" w:eastAsia="en-US"/>
              </w:rPr>
            </w:pPr>
            <w:r w:rsidRPr="007955BB">
              <w:rPr>
                <w:b w:val="0"/>
                <w:bCs/>
                <w:color w:val="000000"/>
                <w:sz w:val="20"/>
                <w:szCs w:val="20"/>
                <w:lang w:val="en-US" w:eastAsia="en-US"/>
              </w:rPr>
              <w:t xml:space="preserve"> 2. Այլ եկամուտներ </w:t>
            </w:r>
          </w:p>
        </w:tc>
        <w:tc>
          <w:tcPr>
            <w:tcW w:w="1204" w:type="dxa"/>
            <w:shd w:val="clear" w:color="auto" w:fill="auto"/>
            <w:noWrap/>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88.8</w:t>
            </w:r>
          </w:p>
        </w:tc>
        <w:tc>
          <w:tcPr>
            <w:tcW w:w="1324" w:type="dxa"/>
            <w:shd w:val="clear" w:color="auto" w:fill="auto"/>
            <w:noWrap/>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122.2</w:t>
            </w:r>
          </w:p>
        </w:tc>
        <w:tc>
          <w:tcPr>
            <w:tcW w:w="1325" w:type="dxa"/>
            <w:shd w:val="clear" w:color="auto" w:fill="auto"/>
            <w:noWrap/>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hy-AM" w:eastAsia="en-US"/>
              </w:rPr>
            </w:pPr>
            <w:r w:rsidRPr="007955BB">
              <w:rPr>
                <w:rFonts w:cs="Calibri"/>
                <w:b w:val="0"/>
                <w:color w:val="000000"/>
                <w:sz w:val="20"/>
                <w:szCs w:val="20"/>
                <w:lang w:val="hy-AM" w:eastAsia="en-US"/>
              </w:rPr>
              <w:t>84.6</w:t>
            </w:r>
          </w:p>
        </w:tc>
        <w:tc>
          <w:tcPr>
            <w:tcW w:w="1324" w:type="dxa"/>
            <w:shd w:val="clear" w:color="auto" w:fill="auto"/>
            <w:noWrap/>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hy-AM" w:eastAsia="en-US"/>
              </w:rPr>
            </w:pPr>
            <w:r>
              <w:rPr>
                <w:rFonts w:cs="Calibri"/>
                <w:b w:val="0"/>
                <w:color w:val="000000"/>
                <w:sz w:val="20"/>
                <w:szCs w:val="20"/>
                <w:lang w:val="hy-AM" w:eastAsia="en-US"/>
              </w:rPr>
              <w:t>113.0</w:t>
            </w:r>
          </w:p>
        </w:tc>
        <w:tc>
          <w:tcPr>
            <w:tcW w:w="1337" w:type="dxa"/>
            <w:shd w:val="clear" w:color="auto" w:fill="auto"/>
            <w:noWrap/>
            <w:vAlign w:val="center"/>
            <w:hideMark/>
          </w:tcPr>
          <w:p w:rsidR="009A197C" w:rsidRPr="00C06EBD" w:rsidRDefault="009A197C" w:rsidP="003F76D6">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8</w:t>
            </w:r>
            <w:r w:rsidR="003F76D6">
              <w:rPr>
                <w:rFonts w:cs="Calibri"/>
                <w:b w:val="0"/>
                <w:color w:val="000000"/>
                <w:sz w:val="20"/>
                <w:szCs w:val="20"/>
                <w:lang w:val="en-US" w:eastAsia="en-US"/>
              </w:rPr>
              <w:t>1</w:t>
            </w:r>
            <w:r w:rsidRPr="007955BB">
              <w:rPr>
                <w:rFonts w:cs="Calibri"/>
                <w:b w:val="0"/>
                <w:color w:val="000000"/>
                <w:sz w:val="20"/>
                <w:szCs w:val="20"/>
                <w:lang w:val="hy-AM" w:eastAsia="en-US"/>
              </w:rPr>
              <w:t>.</w:t>
            </w:r>
            <w:r>
              <w:rPr>
                <w:rFonts w:cs="Calibri"/>
                <w:b w:val="0"/>
                <w:color w:val="000000"/>
                <w:sz w:val="20"/>
                <w:szCs w:val="20"/>
                <w:lang w:val="en-US" w:eastAsia="en-US"/>
              </w:rPr>
              <w:t>1</w:t>
            </w:r>
          </w:p>
        </w:tc>
      </w:tr>
      <w:tr w:rsidR="009A197C" w:rsidRPr="007955BB" w:rsidTr="00151C57">
        <w:trPr>
          <w:trHeight w:val="690"/>
        </w:trPr>
        <w:tc>
          <w:tcPr>
            <w:tcW w:w="2841" w:type="dxa"/>
            <w:shd w:val="clear" w:color="auto" w:fill="D5DCE4"/>
            <w:vAlign w:val="center"/>
            <w:hideMark/>
          </w:tcPr>
          <w:p w:rsidR="009A197C" w:rsidRPr="007955BB" w:rsidRDefault="009A197C" w:rsidP="00151C57">
            <w:pPr>
              <w:spacing w:before="0" w:line="276" w:lineRule="auto"/>
              <w:ind w:firstLine="0"/>
              <w:contextualSpacing w:val="0"/>
              <w:jc w:val="left"/>
              <w:rPr>
                <w:b w:val="0"/>
                <w:i/>
                <w:iCs/>
                <w:color w:val="000000"/>
                <w:sz w:val="20"/>
                <w:szCs w:val="20"/>
                <w:lang w:eastAsia="en-US"/>
              </w:rPr>
            </w:pPr>
            <w:r w:rsidRPr="007955BB">
              <w:rPr>
                <w:b w:val="0"/>
                <w:i/>
                <w:iCs/>
                <w:color w:val="000000"/>
                <w:sz w:val="20"/>
                <w:szCs w:val="20"/>
                <w:lang w:eastAsia="en-US"/>
              </w:rPr>
              <w:t xml:space="preserve"> </w:t>
            </w:r>
            <w:r w:rsidRPr="007955BB">
              <w:rPr>
                <w:b w:val="0"/>
                <w:i/>
                <w:iCs/>
                <w:color w:val="000000"/>
                <w:sz w:val="20"/>
                <w:szCs w:val="20"/>
                <w:lang w:val="en-US" w:eastAsia="en-US"/>
              </w:rPr>
              <w:t>հարաբերությունը</w:t>
            </w:r>
            <w:r w:rsidRPr="007955BB">
              <w:rPr>
                <w:b w:val="0"/>
                <w:i/>
                <w:iCs/>
                <w:color w:val="000000"/>
                <w:sz w:val="20"/>
                <w:szCs w:val="20"/>
                <w:lang w:eastAsia="en-US"/>
              </w:rPr>
              <w:t xml:space="preserve"> </w:t>
            </w:r>
            <w:r w:rsidRPr="007955BB">
              <w:rPr>
                <w:b w:val="0"/>
                <w:i/>
                <w:iCs/>
                <w:color w:val="000000"/>
                <w:sz w:val="20"/>
                <w:szCs w:val="20"/>
                <w:lang w:val="en-US" w:eastAsia="en-US"/>
              </w:rPr>
              <w:t>ՀՆԱ</w:t>
            </w:r>
            <w:r w:rsidRPr="007955BB">
              <w:rPr>
                <w:b w:val="0"/>
                <w:i/>
                <w:iCs/>
                <w:color w:val="000000"/>
                <w:sz w:val="20"/>
                <w:szCs w:val="20"/>
                <w:lang w:eastAsia="en-US"/>
              </w:rPr>
              <w:t>-</w:t>
            </w:r>
            <w:r w:rsidRPr="007955BB">
              <w:rPr>
                <w:b w:val="0"/>
                <w:i/>
                <w:iCs/>
                <w:color w:val="000000"/>
                <w:sz w:val="20"/>
                <w:szCs w:val="20"/>
                <w:lang w:val="en-US" w:eastAsia="en-US"/>
              </w:rPr>
              <w:t>ի</w:t>
            </w:r>
            <w:r w:rsidRPr="007955BB">
              <w:rPr>
                <w:b w:val="0"/>
                <w:i/>
                <w:iCs/>
                <w:color w:val="000000"/>
                <w:sz w:val="20"/>
                <w:szCs w:val="20"/>
                <w:lang w:eastAsia="en-US"/>
              </w:rPr>
              <w:t xml:space="preserve"> </w:t>
            </w:r>
            <w:r w:rsidRPr="007955BB">
              <w:rPr>
                <w:b w:val="0"/>
                <w:i/>
                <w:iCs/>
                <w:color w:val="000000"/>
                <w:sz w:val="20"/>
                <w:szCs w:val="20"/>
                <w:lang w:val="en-US" w:eastAsia="en-US"/>
              </w:rPr>
              <w:t>նկատմամբ</w:t>
            </w:r>
            <w:r w:rsidRPr="007955BB">
              <w:rPr>
                <w:b w:val="0"/>
                <w:i/>
                <w:iCs/>
                <w:color w:val="000000"/>
                <w:sz w:val="20"/>
                <w:szCs w:val="20"/>
                <w:lang w:eastAsia="en-US"/>
              </w:rPr>
              <w:t xml:space="preserve"> (%-</w:t>
            </w:r>
            <w:r w:rsidRPr="007955BB">
              <w:rPr>
                <w:b w:val="0"/>
                <w:i/>
                <w:iCs/>
                <w:color w:val="000000"/>
                <w:sz w:val="20"/>
                <w:szCs w:val="20"/>
                <w:lang w:val="en-US" w:eastAsia="en-US"/>
              </w:rPr>
              <w:t>ով</w:t>
            </w:r>
            <w:r w:rsidRPr="007955BB">
              <w:rPr>
                <w:b w:val="0"/>
                <w:i/>
                <w:iCs/>
                <w:color w:val="000000"/>
                <w:sz w:val="20"/>
                <w:szCs w:val="20"/>
                <w:lang w:eastAsia="en-US"/>
              </w:rPr>
              <w:t xml:space="preserve">) </w:t>
            </w:r>
          </w:p>
        </w:tc>
        <w:tc>
          <w:tcPr>
            <w:tcW w:w="1204" w:type="dxa"/>
            <w:shd w:val="clear" w:color="auto" w:fill="D5DCE4"/>
            <w:noWrap/>
            <w:vAlign w:val="bottom"/>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1.4%</w:t>
            </w:r>
          </w:p>
        </w:tc>
        <w:tc>
          <w:tcPr>
            <w:tcW w:w="1324" w:type="dxa"/>
            <w:shd w:val="clear" w:color="auto" w:fill="D5DCE4"/>
            <w:noWrap/>
            <w:vAlign w:val="bottom"/>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2.0%</w:t>
            </w:r>
          </w:p>
        </w:tc>
        <w:tc>
          <w:tcPr>
            <w:tcW w:w="1325" w:type="dxa"/>
            <w:shd w:val="clear" w:color="auto" w:fill="D5DCE4"/>
            <w:noWrap/>
            <w:vAlign w:val="bottom"/>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hy-AM" w:eastAsia="en-US"/>
              </w:rPr>
              <w:t>1.2</w:t>
            </w:r>
            <w:r w:rsidRPr="007955BB">
              <w:rPr>
                <w:rFonts w:cs="Calibri"/>
                <w:b w:val="0"/>
                <w:color w:val="000000"/>
                <w:sz w:val="20"/>
                <w:szCs w:val="20"/>
                <w:lang w:val="en-US" w:eastAsia="en-US"/>
              </w:rPr>
              <w:t>%</w:t>
            </w:r>
          </w:p>
        </w:tc>
        <w:tc>
          <w:tcPr>
            <w:tcW w:w="1324" w:type="dxa"/>
            <w:shd w:val="clear" w:color="auto" w:fill="D5DCE4"/>
            <w:noWrap/>
            <w:vAlign w:val="bottom"/>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Pr>
                <w:rFonts w:cs="Calibri"/>
                <w:b w:val="0"/>
                <w:color w:val="000000"/>
                <w:sz w:val="20"/>
                <w:szCs w:val="20"/>
                <w:lang w:val="en-US" w:eastAsia="en-US"/>
              </w:rPr>
              <w:t>1.4</w:t>
            </w:r>
            <w:r w:rsidRPr="007955BB">
              <w:rPr>
                <w:rFonts w:cs="Calibri"/>
                <w:b w:val="0"/>
                <w:color w:val="000000"/>
                <w:sz w:val="20"/>
                <w:szCs w:val="20"/>
                <w:lang w:val="en-US" w:eastAsia="en-US"/>
              </w:rPr>
              <w:t>%</w:t>
            </w:r>
          </w:p>
        </w:tc>
        <w:tc>
          <w:tcPr>
            <w:tcW w:w="1337" w:type="dxa"/>
            <w:shd w:val="clear" w:color="auto" w:fill="D5DCE4"/>
            <w:noWrap/>
            <w:vAlign w:val="bottom"/>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0.9%</w:t>
            </w:r>
          </w:p>
        </w:tc>
      </w:tr>
      <w:tr w:rsidR="009A197C" w:rsidRPr="007955BB" w:rsidTr="00151C57">
        <w:trPr>
          <w:trHeight w:val="975"/>
        </w:trPr>
        <w:tc>
          <w:tcPr>
            <w:tcW w:w="2841" w:type="dxa"/>
            <w:shd w:val="clear" w:color="auto" w:fill="auto"/>
            <w:vAlign w:val="center"/>
            <w:hideMark/>
          </w:tcPr>
          <w:p w:rsidR="009A197C" w:rsidRPr="007955BB" w:rsidRDefault="009A197C" w:rsidP="00151C57">
            <w:pPr>
              <w:spacing w:before="0" w:line="276" w:lineRule="auto"/>
              <w:ind w:firstLine="0"/>
              <w:contextualSpacing w:val="0"/>
              <w:jc w:val="left"/>
              <w:rPr>
                <w:b w:val="0"/>
                <w:i/>
                <w:iCs/>
                <w:color w:val="000000"/>
                <w:sz w:val="20"/>
                <w:szCs w:val="20"/>
                <w:lang w:val="en-US" w:eastAsia="en-US"/>
              </w:rPr>
            </w:pPr>
            <w:r w:rsidRPr="007955BB">
              <w:rPr>
                <w:b w:val="0"/>
                <w:i/>
                <w:iCs/>
                <w:color w:val="000000"/>
                <w:sz w:val="20"/>
                <w:szCs w:val="20"/>
                <w:lang w:val="en-US" w:eastAsia="en-US"/>
              </w:rPr>
              <w:t xml:space="preserve"> տոկոսով ընդհանուրի նկատմամբ </w:t>
            </w:r>
          </w:p>
        </w:tc>
        <w:tc>
          <w:tcPr>
            <w:tcW w:w="1204" w:type="dxa"/>
            <w:shd w:val="clear" w:color="auto" w:fill="auto"/>
            <w:noWrap/>
            <w:vAlign w:val="bottom"/>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5.7%</w:t>
            </w:r>
          </w:p>
        </w:tc>
        <w:tc>
          <w:tcPr>
            <w:tcW w:w="1324" w:type="dxa"/>
            <w:shd w:val="clear" w:color="auto" w:fill="auto"/>
            <w:noWrap/>
            <w:vAlign w:val="bottom"/>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7.8%</w:t>
            </w:r>
          </w:p>
        </w:tc>
        <w:tc>
          <w:tcPr>
            <w:tcW w:w="1325" w:type="dxa"/>
            <w:shd w:val="clear" w:color="auto" w:fill="auto"/>
            <w:noWrap/>
            <w:vAlign w:val="bottom"/>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hy-AM" w:eastAsia="en-US"/>
              </w:rPr>
              <w:t>5.0</w:t>
            </w:r>
            <w:r w:rsidRPr="007955BB">
              <w:rPr>
                <w:rFonts w:cs="Calibri"/>
                <w:b w:val="0"/>
                <w:color w:val="000000"/>
                <w:sz w:val="20"/>
                <w:szCs w:val="20"/>
                <w:lang w:val="en-US" w:eastAsia="en-US"/>
              </w:rPr>
              <w:t>%</w:t>
            </w:r>
          </w:p>
        </w:tc>
        <w:tc>
          <w:tcPr>
            <w:tcW w:w="1324" w:type="dxa"/>
            <w:shd w:val="clear" w:color="auto" w:fill="auto"/>
            <w:noWrap/>
            <w:vAlign w:val="bottom"/>
            <w:hideMark/>
          </w:tcPr>
          <w:p w:rsidR="009A197C" w:rsidRPr="007955BB" w:rsidRDefault="005C46A4" w:rsidP="00151C57">
            <w:pPr>
              <w:spacing w:before="0" w:line="276" w:lineRule="auto"/>
              <w:ind w:firstLine="0"/>
              <w:contextualSpacing w:val="0"/>
              <w:jc w:val="center"/>
              <w:rPr>
                <w:rFonts w:cs="Calibri"/>
                <w:b w:val="0"/>
                <w:color w:val="000000"/>
                <w:sz w:val="20"/>
                <w:szCs w:val="20"/>
                <w:lang w:val="en-US" w:eastAsia="en-US"/>
              </w:rPr>
            </w:pPr>
            <w:r>
              <w:rPr>
                <w:rFonts w:cs="Calibri"/>
                <w:b w:val="0"/>
                <w:color w:val="000000"/>
                <w:sz w:val="20"/>
                <w:szCs w:val="20"/>
                <w:lang w:val="en-US" w:eastAsia="en-US"/>
              </w:rPr>
              <w:t>5.5</w:t>
            </w:r>
            <w:r w:rsidR="009A197C" w:rsidRPr="007955BB">
              <w:rPr>
                <w:rFonts w:cs="Calibri"/>
                <w:b w:val="0"/>
                <w:color w:val="000000"/>
                <w:sz w:val="20"/>
                <w:szCs w:val="20"/>
                <w:lang w:val="en-US" w:eastAsia="en-US"/>
              </w:rPr>
              <w:t>%</w:t>
            </w:r>
          </w:p>
        </w:tc>
        <w:tc>
          <w:tcPr>
            <w:tcW w:w="1337" w:type="dxa"/>
            <w:shd w:val="clear" w:color="auto" w:fill="auto"/>
            <w:noWrap/>
            <w:vAlign w:val="bottom"/>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3.</w:t>
            </w:r>
            <w:r w:rsidRPr="007955BB">
              <w:rPr>
                <w:rFonts w:cs="Calibri"/>
                <w:b w:val="0"/>
                <w:color w:val="000000"/>
                <w:sz w:val="20"/>
                <w:szCs w:val="20"/>
                <w:lang w:val="hy-AM" w:eastAsia="en-US"/>
              </w:rPr>
              <w:t>5</w:t>
            </w:r>
            <w:r w:rsidRPr="007955BB">
              <w:rPr>
                <w:rFonts w:cs="Calibri"/>
                <w:b w:val="0"/>
                <w:color w:val="000000"/>
                <w:sz w:val="20"/>
                <w:szCs w:val="20"/>
                <w:lang w:val="en-US" w:eastAsia="en-US"/>
              </w:rPr>
              <w:t>%</w:t>
            </w:r>
          </w:p>
        </w:tc>
      </w:tr>
      <w:tr w:rsidR="009A197C" w:rsidRPr="007955BB" w:rsidTr="00151C57">
        <w:trPr>
          <w:trHeight w:val="825"/>
        </w:trPr>
        <w:tc>
          <w:tcPr>
            <w:tcW w:w="2841" w:type="dxa"/>
            <w:shd w:val="clear" w:color="auto" w:fill="D5DCE4"/>
            <w:vAlign w:val="center"/>
            <w:hideMark/>
          </w:tcPr>
          <w:p w:rsidR="009A197C" w:rsidRPr="007955BB" w:rsidRDefault="009A197C" w:rsidP="00151C57">
            <w:pPr>
              <w:spacing w:before="0" w:line="276" w:lineRule="auto"/>
              <w:ind w:firstLine="0"/>
              <w:contextualSpacing w:val="0"/>
              <w:jc w:val="left"/>
              <w:rPr>
                <w:b w:val="0"/>
                <w:bCs/>
                <w:color w:val="000000"/>
                <w:sz w:val="20"/>
                <w:szCs w:val="20"/>
                <w:lang w:val="en-US" w:eastAsia="en-US"/>
              </w:rPr>
            </w:pPr>
            <w:r w:rsidRPr="007955BB">
              <w:rPr>
                <w:b w:val="0"/>
                <w:bCs/>
                <w:color w:val="000000"/>
                <w:sz w:val="20"/>
                <w:szCs w:val="20"/>
                <w:lang w:val="en-US" w:eastAsia="en-US"/>
              </w:rPr>
              <w:t xml:space="preserve"> 3. Պաշտոնական դրամաշնորհներ </w:t>
            </w:r>
          </w:p>
        </w:tc>
        <w:tc>
          <w:tcPr>
            <w:tcW w:w="1204" w:type="dxa"/>
            <w:shd w:val="clear" w:color="auto" w:fill="D5DCE4"/>
            <w:noWrap/>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12.4</w:t>
            </w:r>
          </w:p>
        </w:tc>
        <w:tc>
          <w:tcPr>
            <w:tcW w:w="1324" w:type="dxa"/>
            <w:shd w:val="clear" w:color="auto" w:fill="D5DCE4"/>
            <w:noWrap/>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53.2</w:t>
            </w:r>
          </w:p>
        </w:tc>
        <w:tc>
          <w:tcPr>
            <w:tcW w:w="1325" w:type="dxa"/>
            <w:shd w:val="clear" w:color="auto" w:fill="D5DCE4"/>
            <w:noWrap/>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hy-AM" w:eastAsia="en-US"/>
              </w:rPr>
            </w:pPr>
            <w:r w:rsidRPr="007955BB">
              <w:rPr>
                <w:rFonts w:cs="Calibri"/>
                <w:b w:val="0"/>
                <w:color w:val="000000"/>
                <w:sz w:val="20"/>
                <w:szCs w:val="20"/>
                <w:lang w:val="hy-AM" w:eastAsia="en-US"/>
              </w:rPr>
              <w:t>12.4</w:t>
            </w:r>
          </w:p>
        </w:tc>
        <w:tc>
          <w:tcPr>
            <w:tcW w:w="1324" w:type="dxa"/>
            <w:shd w:val="clear" w:color="auto" w:fill="D5DCE4"/>
            <w:noWrap/>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hy-AM" w:eastAsia="en-US"/>
              </w:rPr>
            </w:pPr>
            <w:r>
              <w:rPr>
                <w:rFonts w:cs="Calibri"/>
                <w:b w:val="0"/>
                <w:color w:val="000000"/>
                <w:sz w:val="20"/>
                <w:szCs w:val="20"/>
                <w:lang w:val="hy-AM" w:eastAsia="en-US"/>
              </w:rPr>
              <w:t>35.1</w:t>
            </w:r>
          </w:p>
        </w:tc>
        <w:tc>
          <w:tcPr>
            <w:tcW w:w="1337" w:type="dxa"/>
            <w:shd w:val="clear" w:color="auto" w:fill="D5DCE4"/>
            <w:noWrap/>
            <w:vAlign w:val="center"/>
            <w:hideMark/>
          </w:tcPr>
          <w:p w:rsidR="009A197C" w:rsidRPr="007955BB" w:rsidRDefault="009A197C" w:rsidP="00151C57">
            <w:pPr>
              <w:spacing w:before="0" w:line="276" w:lineRule="auto"/>
              <w:ind w:firstLine="0"/>
              <w:contextualSpacing w:val="0"/>
              <w:jc w:val="center"/>
              <w:rPr>
                <w:rFonts w:cs="Calibri"/>
                <w:b w:val="0"/>
                <w:color w:val="000000"/>
                <w:sz w:val="20"/>
                <w:szCs w:val="20"/>
                <w:lang w:val="hy-AM" w:eastAsia="en-US"/>
              </w:rPr>
            </w:pPr>
            <w:r>
              <w:rPr>
                <w:rFonts w:cs="Calibri"/>
                <w:b w:val="0"/>
                <w:color w:val="000000"/>
                <w:sz w:val="20"/>
                <w:szCs w:val="20"/>
                <w:lang w:val="hy-AM" w:eastAsia="en-US"/>
              </w:rPr>
              <w:t>17.2</w:t>
            </w:r>
          </w:p>
        </w:tc>
      </w:tr>
      <w:tr w:rsidR="009A197C" w:rsidRPr="007955BB" w:rsidTr="00151C57">
        <w:trPr>
          <w:trHeight w:val="690"/>
        </w:trPr>
        <w:tc>
          <w:tcPr>
            <w:tcW w:w="2841" w:type="dxa"/>
            <w:shd w:val="clear" w:color="auto" w:fill="auto"/>
            <w:vAlign w:val="center"/>
            <w:hideMark/>
          </w:tcPr>
          <w:p w:rsidR="009A197C" w:rsidRPr="007955BB" w:rsidRDefault="009A197C" w:rsidP="00151C57">
            <w:pPr>
              <w:spacing w:before="0" w:line="276" w:lineRule="auto"/>
              <w:ind w:firstLine="0"/>
              <w:contextualSpacing w:val="0"/>
              <w:jc w:val="left"/>
              <w:rPr>
                <w:b w:val="0"/>
                <w:i/>
                <w:iCs/>
                <w:color w:val="000000"/>
                <w:sz w:val="20"/>
                <w:szCs w:val="20"/>
                <w:lang w:eastAsia="en-US"/>
              </w:rPr>
            </w:pPr>
            <w:r w:rsidRPr="007955BB">
              <w:rPr>
                <w:b w:val="0"/>
                <w:i/>
                <w:iCs/>
                <w:color w:val="000000"/>
                <w:sz w:val="20"/>
                <w:szCs w:val="20"/>
                <w:lang w:eastAsia="en-US"/>
              </w:rPr>
              <w:t xml:space="preserve"> </w:t>
            </w:r>
            <w:r w:rsidRPr="007955BB">
              <w:rPr>
                <w:b w:val="0"/>
                <w:i/>
                <w:iCs/>
                <w:color w:val="000000"/>
                <w:sz w:val="20"/>
                <w:szCs w:val="20"/>
                <w:lang w:val="en-US" w:eastAsia="en-US"/>
              </w:rPr>
              <w:t>հարաբերությունը</w:t>
            </w:r>
            <w:r w:rsidRPr="007955BB">
              <w:rPr>
                <w:b w:val="0"/>
                <w:i/>
                <w:iCs/>
                <w:color w:val="000000"/>
                <w:sz w:val="20"/>
                <w:szCs w:val="20"/>
                <w:lang w:eastAsia="en-US"/>
              </w:rPr>
              <w:t xml:space="preserve"> </w:t>
            </w:r>
            <w:r w:rsidRPr="007955BB">
              <w:rPr>
                <w:b w:val="0"/>
                <w:i/>
                <w:iCs/>
                <w:color w:val="000000"/>
                <w:sz w:val="20"/>
                <w:szCs w:val="20"/>
                <w:lang w:val="en-US" w:eastAsia="en-US"/>
              </w:rPr>
              <w:t>ՀՆԱ</w:t>
            </w:r>
            <w:r w:rsidRPr="007955BB">
              <w:rPr>
                <w:b w:val="0"/>
                <w:i/>
                <w:iCs/>
                <w:color w:val="000000"/>
                <w:sz w:val="20"/>
                <w:szCs w:val="20"/>
                <w:lang w:eastAsia="en-US"/>
              </w:rPr>
              <w:t>-</w:t>
            </w:r>
            <w:r w:rsidRPr="007955BB">
              <w:rPr>
                <w:b w:val="0"/>
                <w:i/>
                <w:iCs/>
                <w:color w:val="000000"/>
                <w:sz w:val="20"/>
                <w:szCs w:val="20"/>
                <w:lang w:val="en-US" w:eastAsia="en-US"/>
              </w:rPr>
              <w:t>ի</w:t>
            </w:r>
            <w:r w:rsidRPr="007955BB">
              <w:rPr>
                <w:b w:val="0"/>
                <w:i/>
                <w:iCs/>
                <w:color w:val="000000"/>
                <w:sz w:val="20"/>
                <w:szCs w:val="20"/>
                <w:lang w:eastAsia="en-US"/>
              </w:rPr>
              <w:t xml:space="preserve"> </w:t>
            </w:r>
            <w:r w:rsidRPr="007955BB">
              <w:rPr>
                <w:b w:val="0"/>
                <w:i/>
                <w:iCs/>
                <w:color w:val="000000"/>
                <w:sz w:val="20"/>
                <w:szCs w:val="20"/>
                <w:lang w:val="en-US" w:eastAsia="en-US"/>
              </w:rPr>
              <w:t>նկատմամբ</w:t>
            </w:r>
            <w:r w:rsidRPr="007955BB">
              <w:rPr>
                <w:b w:val="0"/>
                <w:i/>
                <w:iCs/>
                <w:color w:val="000000"/>
                <w:sz w:val="20"/>
                <w:szCs w:val="20"/>
                <w:lang w:eastAsia="en-US"/>
              </w:rPr>
              <w:t xml:space="preserve"> (%-</w:t>
            </w:r>
            <w:r w:rsidRPr="007955BB">
              <w:rPr>
                <w:b w:val="0"/>
                <w:i/>
                <w:iCs/>
                <w:color w:val="000000"/>
                <w:sz w:val="20"/>
                <w:szCs w:val="20"/>
                <w:lang w:val="en-US" w:eastAsia="en-US"/>
              </w:rPr>
              <w:t>ով</w:t>
            </w:r>
            <w:r w:rsidRPr="007955BB">
              <w:rPr>
                <w:b w:val="0"/>
                <w:i/>
                <w:iCs/>
                <w:color w:val="000000"/>
                <w:sz w:val="20"/>
                <w:szCs w:val="20"/>
                <w:lang w:eastAsia="en-US"/>
              </w:rPr>
              <w:t xml:space="preserve">) </w:t>
            </w:r>
          </w:p>
        </w:tc>
        <w:tc>
          <w:tcPr>
            <w:tcW w:w="1204" w:type="dxa"/>
            <w:shd w:val="clear" w:color="auto" w:fill="auto"/>
            <w:noWrap/>
            <w:vAlign w:val="bottom"/>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0.2%</w:t>
            </w:r>
          </w:p>
        </w:tc>
        <w:tc>
          <w:tcPr>
            <w:tcW w:w="1324" w:type="dxa"/>
            <w:shd w:val="clear" w:color="auto" w:fill="auto"/>
            <w:noWrap/>
            <w:vAlign w:val="bottom"/>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0.9%</w:t>
            </w:r>
          </w:p>
        </w:tc>
        <w:tc>
          <w:tcPr>
            <w:tcW w:w="1325" w:type="dxa"/>
            <w:shd w:val="clear" w:color="auto" w:fill="auto"/>
            <w:noWrap/>
            <w:vAlign w:val="bottom"/>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0.</w:t>
            </w:r>
            <w:r w:rsidRPr="007955BB">
              <w:rPr>
                <w:rFonts w:cs="Calibri"/>
                <w:b w:val="0"/>
                <w:color w:val="000000"/>
                <w:sz w:val="20"/>
                <w:szCs w:val="20"/>
                <w:lang w:val="hy-AM" w:eastAsia="en-US"/>
              </w:rPr>
              <w:t>2</w:t>
            </w:r>
            <w:r w:rsidRPr="007955BB">
              <w:rPr>
                <w:rFonts w:cs="Calibri"/>
                <w:b w:val="0"/>
                <w:color w:val="000000"/>
                <w:sz w:val="20"/>
                <w:szCs w:val="20"/>
                <w:lang w:val="en-US" w:eastAsia="en-US"/>
              </w:rPr>
              <w:t>%</w:t>
            </w:r>
          </w:p>
        </w:tc>
        <w:tc>
          <w:tcPr>
            <w:tcW w:w="1324" w:type="dxa"/>
            <w:shd w:val="clear" w:color="auto" w:fill="auto"/>
            <w:noWrap/>
            <w:vAlign w:val="bottom"/>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0.</w:t>
            </w:r>
            <w:r>
              <w:rPr>
                <w:rFonts w:cs="Calibri"/>
                <w:b w:val="0"/>
                <w:color w:val="000000"/>
                <w:sz w:val="20"/>
                <w:szCs w:val="20"/>
                <w:lang w:val="hy-AM" w:eastAsia="en-US"/>
              </w:rPr>
              <w:t>4</w:t>
            </w:r>
            <w:r w:rsidRPr="007955BB">
              <w:rPr>
                <w:rFonts w:cs="Calibri"/>
                <w:b w:val="0"/>
                <w:color w:val="000000"/>
                <w:sz w:val="20"/>
                <w:szCs w:val="20"/>
                <w:lang w:val="en-US" w:eastAsia="en-US"/>
              </w:rPr>
              <w:t>%</w:t>
            </w:r>
          </w:p>
        </w:tc>
        <w:tc>
          <w:tcPr>
            <w:tcW w:w="1337" w:type="dxa"/>
            <w:shd w:val="clear" w:color="auto" w:fill="auto"/>
            <w:noWrap/>
            <w:vAlign w:val="bottom"/>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0.</w:t>
            </w:r>
            <w:r w:rsidRPr="007955BB">
              <w:rPr>
                <w:rFonts w:cs="Calibri"/>
                <w:b w:val="0"/>
                <w:color w:val="000000"/>
                <w:sz w:val="20"/>
                <w:szCs w:val="20"/>
                <w:lang w:val="hy-AM" w:eastAsia="en-US"/>
              </w:rPr>
              <w:t>2</w:t>
            </w:r>
            <w:r w:rsidRPr="007955BB">
              <w:rPr>
                <w:rFonts w:cs="Calibri"/>
                <w:b w:val="0"/>
                <w:color w:val="000000"/>
                <w:sz w:val="20"/>
                <w:szCs w:val="20"/>
                <w:lang w:val="en-US" w:eastAsia="en-US"/>
              </w:rPr>
              <w:t>%</w:t>
            </w:r>
          </w:p>
        </w:tc>
      </w:tr>
      <w:tr w:rsidR="009A197C" w:rsidRPr="007955BB" w:rsidTr="00151C57">
        <w:trPr>
          <w:trHeight w:val="585"/>
        </w:trPr>
        <w:tc>
          <w:tcPr>
            <w:tcW w:w="2841" w:type="dxa"/>
            <w:shd w:val="clear" w:color="auto" w:fill="D5DCE4"/>
            <w:vAlign w:val="center"/>
            <w:hideMark/>
          </w:tcPr>
          <w:p w:rsidR="009A197C" w:rsidRPr="007955BB" w:rsidRDefault="009A197C" w:rsidP="00151C57">
            <w:pPr>
              <w:spacing w:before="0" w:line="276" w:lineRule="auto"/>
              <w:ind w:firstLine="0"/>
              <w:contextualSpacing w:val="0"/>
              <w:jc w:val="left"/>
              <w:rPr>
                <w:b w:val="0"/>
                <w:i/>
                <w:iCs/>
                <w:color w:val="000000"/>
                <w:sz w:val="20"/>
                <w:szCs w:val="20"/>
                <w:lang w:val="en-US" w:eastAsia="en-US"/>
              </w:rPr>
            </w:pPr>
            <w:r w:rsidRPr="007955BB">
              <w:rPr>
                <w:b w:val="0"/>
                <w:i/>
                <w:iCs/>
                <w:color w:val="000000"/>
                <w:sz w:val="20"/>
                <w:szCs w:val="20"/>
                <w:lang w:val="en-US" w:eastAsia="en-US"/>
              </w:rPr>
              <w:t xml:space="preserve"> տոկոսով ընդհանուրի նկատմամբ </w:t>
            </w:r>
          </w:p>
        </w:tc>
        <w:tc>
          <w:tcPr>
            <w:tcW w:w="1204" w:type="dxa"/>
            <w:shd w:val="clear" w:color="auto" w:fill="D5DCE4"/>
            <w:noWrap/>
            <w:vAlign w:val="bottom"/>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0.8%</w:t>
            </w:r>
          </w:p>
        </w:tc>
        <w:tc>
          <w:tcPr>
            <w:tcW w:w="1324" w:type="dxa"/>
            <w:shd w:val="clear" w:color="auto" w:fill="D5DCE4"/>
            <w:noWrap/>
            <w:vAlign w:val="bottom"/>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3.4%</w:t>
            </w:r>
          </w:p>
        </w:tc>
        <w:tc>
          <w:tcPr>
            <w:tcW w:w="1325" w:type="dxa"/>
            <w:shd w:val="clear" w:color="auto" w:fill="D5DCE4"/>
            <w:noWrap/>
            <w:vAlign w:val="bottom"/>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hy-AM" w:eastAsia="en-US"/>
              </w:rPr>
              <w:t>0.7</w:t>
            </w:r>
            <w:r w:rsidRPr="007955BB">
              <w:rPr>
                <w:rFonts w:cs="Calibri"/>
                <w:b w:val="0"/>
                <w:color w:val="000000"/>
                <w:sz w:val="20"/>
                <w:szCs w:val="20"/>
                <w:lang w:val="en-US" w:eastAsia="en-US"/>
              </w:rPr>
              <w:t>%</w:t>
            </w:r>
          </w:p>
        </w:tc>
        <w:tc>
          <w:tcPr>
            <w:tcW w:w="1324" w:type="dxa"/>
            <w:shd w:val="clear" w:color="auto" w:fill="D5DCE4"/>
            <w:noWrap/>
            <w:vAlign w:val="bottom"/>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Pr>
                <w:rFonts w:cs="Calibri"/>
                <w:b w:val="0"/>
                <w:color w:val="000000"/>
                <w:sz w:val="20"/>
                <w:szCs w:val="20"/>
                <w:lang w:val="en-US" w:eastAsia="en-US"/>
              </w:rPr>
              <w:t>1.7</w:t>
            </w:r>
            <w:r w:rsidRPr="007955BB">
              <w:rPr>
                <w:rFonts w:cs="Calibri"/>
                <w:b w:val="0"/>
                <w:color w:val="000000"/>
                <w:sz w:val="20"/>
                <w:szCs w:val="20"/>
                <w:lang w:val="en-US" w:eastAsia="en-US"/>
              </w:rPr>
              <w:t>%</w:t>
            </w:r>
          </w:p>
        </w:tc>
        <w:tc>
          <w:tcPr>
            <w:tcW w:w="1337" w:type="dxa"/>
            <w:shd w:val="clear" w:color="auto" w:fill="D5DCE4"/>
            <w:noWrap/>
            <w:vAlign w:val="bottom"/>
            <w:hideMark/>
          </w:tcPr>
          <w:p w:rsidR="009A197C" w:rsidRPr="007955BB" w:rsidRDefault="009A197C"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0.7%</w:t>
            </w:r>
          </w:p>
        </w:tc>
      </w:tr>
    </w:tbl>
    <w:p w:rsidR="009A197C" w:rsidRPr="007955BB" w:rsidRDefault="009A197C" w:rsidP="009A197C">
      <w:pPr>
        <w:spacing w:before="0" w:line="276" w:lineRule="auto"/>
        <w:ind w:firstLine="562"/>
        <w:contextualSpacing w:val="0"/>
        <w:rPr>
          <w:rFonts w:cs="Sylfaen"/>
          <w:b w:val="0"/>
          <w:iCs/>
          <w:szCs w:val="22"/>
          <w:lang w:val="fr-FR" w:eastAsia="en-GB"/>
        </w:rPr>
      </w:pPr>
    </w:p>
    <w:p w:rsidR="009A197C" w:rsidRPr="007955BB" w:rsidRDefault="009A197C" w:rsidP="009A197C">
      <w:pPr>
        <w:spacing w:before="0" w:line="276" w:lineRule="auto"/>
        <w:ind w:firstLine="562"/>
        <w:contextualSpacing w:val="0"/>
        <w:rPr>
          <w:rFonts w:ascii="Calibri" w:hAnsi="Calibri" w:cs="Sylfaen"/>
          <w:b w:val="0"/>
          <w:iCs/>
          <w:szCs w:val="22"/>
          <w:lang w:val="af-ZA" w:eastAsia="en-GB"/>
        </w:rPr>
      </w:pPr>
      <w:r w:rsidRPr="007955BB">
        <w:rPr>
          <w:rFonts w:cs="Sylfaen"/>
          <w:b w:val="0"/>
          <w:iCs/>
          <w:szCs w:val="22"/>
          <w:lang w:val="af-ZA" w:eastAsia="en-GB"/>
        </w:rPr>
        <w:t>ՀՀ 202</w:t>
      </w:r>
      <w:r w:rsidRPr="007955BB">
        <w:rPr>
          <w:rFonts w:cs="Sylfaen"/>
          <w:b w:val="0"/>
          <w:iCs/>
          <w:szCs w:val="22"/>
          <w:lang w:val="hy-AM" w:eastAsia="en-GB"/>
        </w:rPr>
        <w:t>3</w:t>
      </w:r>
      <w:r w:rsidRPr="007955BB">
        <w:rPr>
          <w:rFonts w:cs="Sylfaen"/>
          <w:b w:val="0"/>
          <w:iCs/>
          <w:szCs w:val="22"/>
          <w:lang w:val="af-ZA" w:eastAsia="en-GB"/>
        </w:rPr>
        <w:t xml:space="preserve"> թվականի պետական բյուջեի եկամուտները ծրագրելիս օգտագործվել են այն մակ</w:t>
      </w:r>
      <w:r w:rsidRPr="007955BB">
        <w:rPr>
          <w:rFonts w:cs="Sylfaen"/>
          <w:b w:val="0"/>
          <w:iCs/>
          <w:szCs w:val="22"/>
          <w:lang w:val="af-ZA" w:eastAsia="en-GB"/>
        </w:rPr>
        <w:softHyphen/>
        <w:t>րո</w:t>
      </w:r>
      <w:r w:rsidRPr="007955BB">
        <w:rPr>
          <w:rFonts w:cs="Sylfaen"/>
          <w:b w:val="0"/>
          <w:iCs/>
          <w:szCs w:val="22"/>
          <w:lang w:val="af-ZA" w:eastAsia="en-GB"/>
        </w:rPr>
        <w:softHyphen/>
      </w:r>
      <w:r w:rsidRPr="007955BB">
        <w:rPr>
          <w:rFonts w:cs="Sylfaen"/>
          <w:b w:val="0"/>
          <w:iCs/>
          <w:szCs w:val="22"/>
          <w:lang w:val="af-ZA" w:eastAsia="en-GB"/>
        </w:rPr>
        <w:softHyphen/>
        <w:t>տնտեսական ցուցանիշների կանխատեսումները, որոնք էական ազդեցություն ունեն ա</w:t>
      </w:r>
      <w:r w:rsidRPr="007955BB">
        <w:rPr>
          <w:rFonts w:cs="Sylfaen"/>
          <w:b w:val="0"/>
          <w:iCs/>
          <w:szCs w:val="22"/>
          <w:lang w:val="af-ZA" w:eastAsia="en-GB"/>
        </w:rPr>
        <w:softHyphen/>
        <w:t>ռան</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ձին եկամտա</w:t>
      </w:r>
      <w:r w:rsidRPr="007955BB">
        <w:rPr>
          <w:rFonts w:cs="Sylfaen"/>
          <w:b w:val="0"/>
          <w:iCs/>
          <w:szCs w:val="22"/>
          <w:lang w:val="af-ZA" w:eastAsia="en-GB"/>
        </w:rPr>
        <w:softHyphen/>
        <w:t>տե</w:t>
      </w:r>
      <w:r w:rsidRPr="007955BB">
        <w:rPr>
          <w:rFonts w:cs="Sylfaen"/>
          <w:b w:val="0"/>
          <w:iCs/>
          <w:szCs w:val="22"/>
          <w:lang w:val="af-ZA" w:eastAsia="en-GB"/>
        </w:rPr>
        <w:softHyphen/>
        <w:t>սակ</w:t>
      </w:r>
      <w:r w:rsidRPr="007955BB">
        <w:rPr>
          <w:rFonts w:cs="Sylfaen"/>
          <w:b w:val="0"/>
          <w:iCs/>
          <w:szCs w:val="22"/>
          <w:lang w:val="af-ZA" w:eastAsia="en-GB"/>
        </w:rPr>
        <w:softHyphen/>
      </w:r>
      <w:r w:rsidRPr="007955BB">
        <w:rPr>
          <w:rFonts w:cs="Sylfaen"/>
          <w:b w:val="0"/>
          <w:iCs/>
          <w:szCs w:val="22"/>
          <w:lang w:val="af-ZA" w:eastAsia="en-GB"/>
        </w:rPr>
        <w:softHyphen/>
        <w:t>ների բազայի ձևավորման կամ հաշվարկման վրա: Առանձին դեպքերում հաշ</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վի են առնվել նաև պայմանա</w:t>
      </w:r>
      <w:r w:rsidRPr="007955BB">
        <w:rPr>
          <w:rFonts w:cs="Sylfaen"/>
          <w:b w:val="0"/>
          <w:iCs/>
          <w:szCs w:val="22"/>
          <w:lang w:val="af-ZA" w:eastAsia="en-GB"/>
        </w:rPr>
        <w:softHyphen/>
      </w:r>
      <w:r w:rsidRPr="007955BB">
        <w:rPr>
          <w:rFonts w:cs="Sylfaen"/>
          <w:b w:val="0"/>
          <w:iCs/>
          <w:szCs w:val="22"/>
          <w:lang w:val="af-ZA" w:eastAsia="en-GB"/>
        </w:rPr>
        <w:softHyphen/>
        <w:t>գրային հարաբերություններով կարգավորվող ցու</w:t>
      </w:r>
      <w:r w:rsidRPr="007955BB">
        <w:rPr>
          <w:rFonts w:cs="Sylfaen"/>
          <w:b w:val="0"/>
          <w:iCs/>
          <w:szCs w:val="22"/>
          <w:lang w:val="af-ZA" w:eastAsia="en-GB"/>
        </w:rPr>
        <w:softHyphen/>
        <w:t>ցանիշները:</w:t>
      </w:r>
    </w:p>
    <w:p w:rsidR="009A197C" w:rsidRPr="007955BB" w:rsidRDefault="009A197C" w:rsidP="009A197C">
      <w:pPr>
        <w:keepNext/>
        <w:tabs>
          <w:tab w:val="left" w:pos="709"/>
        </w:tabs>
        <w:spacing w:before="0" w:line="276" w:lineRule="auto"/>
        <w:outlineLvl w:val="2"/>
        <w:rPr>
          <w:rFonts w:eastAsia="Calibri" w:cs="GHEA Grapalat"/>
          <w:bCs/>
          <w:szCs w:val="22"/>
          <w:lang w:val="hy-AM" w:eastAsia="en-US"/>
        </w:rPr>
      </w:pPr>
    </w:p>
    <w:p w:rsidR="009A197C" w:rsidRPr="007955BB" w:rsidRDefault="009A197C" w:rsidP="009A197C">
      <w:pPr>
        <w:keepNext/>
        <w:tabs>
          <w:tab w:val="left" w:pos="709"/>
        </w:tabs>
        <w:spacing w:before="0" w:line="276" w:lineRule="auto"/>
        <w:outlineLvl w:val="2"/>
        <w:rPr>
          <w:rFonts w:eastAsia="Calibri" w:cs="GHEA Grapalat"/>
          <w:bCs/>
          <w:szCs w:val="22"/>
          <w:lang w:val="hy-AM" w:eastAsia="en-US"/>
        </w:rPr>
      </w:pPr>
      <w:bookmarkStart w:id="257" w:name="_Toc120805212"/>
      <w:r w:rsidRPr="007955BB">
        <w:rPr>
          <w:rFonts w:eastAsia="Calibri" w:cs="GHEA Grapalat"/>
          <w:bCs/>
          <w:szCs w:val="22"/>
          <w:lang w:val="hy-AM" w:eastAsia="en-US"/>
        </w:rPr>
        <w:t>Հարկային եկամուտներ և պետական տուրքեր</w:t>
      </w:r>
      <w:bookmarkEnd w:id="257"/>
    </w:p>
    <w:p w:rsidR="009A197C" w:rsidRPr="007955BB" w:rsidRDefault="009A197C" w:rsidP="009A197C">
      <w:pPr>
        <w:spacing w:before="0" w:line="276" w:lineRule="auto"/>
        <w:ind w:firstLine="562"/>
        <w:contextualSpacing w:val="0"/>
        <w:rPr>
          <w:rFonts w:cs="Sylfaen"/>
          <w:b w:val="0"/>
          <w:iCs/>
          <w:szCs w:val="22"/>
          <w:lang w:val="af-ZA" w:eastAsia="en-GB"/>
        </w:rPr>
      </w:pPr>
      <w:r w:rsidRPr="007955BB">
        <w:rPr>
          <w:rFonts w:cs="Sylfaen"/>
          <w:b w:val="0"/>
          <w:iCs/>
          <w:szCs w:val="22"/>
          <w:lang w:val="af-ZA" w:eastAsia="en-GB"/>
        </w:rPr>
        <w:t>Հարկային եկամուտների և պետական տուրքերի գծով 2023 թվականի բյու</w:t>
      </w:r>
      <w:r w:rsidRPr="007955BB">
        <w:rPr>
          <w:rFonts w:cs="Sylfaen"/>
          <w:b w:val="0"/>
          <w:iCs/>
          <w:szCs w:val="22"/>
          <w:lang w:val="af-ZA" w:eastAsia="en-GB"/>
        </w:rPr>
        <w:softHyphen/>
      </w:r>
      <w:r w:rsidRPr="007955BB">
        <w:rPr>
          <w:rFonts w:cs="Sylfaen"/>
          <w:b w:val="0"/>
          <w:iCs/>
          <w:szCs w:val="22"/>
          <w:lang w:val="af-ZA" w:eastAsia="en-GB"/>
        </w:rPr>
        <w:softHyphen/>
        <w:t>ջետային մուտքերի հաշվարկներում ենթադրվել է, որ հարկերի գծով 2023 թվականի համար հարկային եկամուտներ և պետական տուրքեր /ՀՆԱ ցուցանիշի սպասողական մակարդակը ապա</w:t>
      </w:r>
      <w:r w:rsidRPr="007955BB">
        <w:rPr>
          <w:rFonts w:cs="Sylfaen"/>
          <w:b w:val="0"/>
          <w:iCs/>
          <w:szCs w:val="22"/>
          <w:lang w:val="af-ZA" w:eastAsia="en-GB"/>
        </w:rPr>
        <w:softHyphen/>
        <w:t>հո</w:t>
      </w:r>
      <w:r w:rsidRPr="007955BB">
        <w:rPr>
          <w:rFonts w:cs="Sylfaen"/>
          <w:b w:val="0"/>
          <w:iCs/>
          <w:szCs w:val="22"/>
          <w:lang w:val="af-ZA" w:eastAsia="en-GB"/>
        </w:rPr>
        <w:softHyphen/>
        <w:t>վե</w:t>
      </w:r>
      <w:r w:rsidRPr="007955BB">
        <w:rPr>
          <w:rFonts w:cs="Sylfaen"/>
          <w:b w:val="0"/>
          <w:iCs/>
          <w:szCs w:val="22"/>
          <w:lang w:val="af-ZA" w:eastAsia="en-GB"/>
        </w:rPr>
        <w:softHyphen/>
        <w:t>լու համար բա</w:t>
      </w:r>
      <w:r w:rsidRPr="007955BB">
        <w:rPr>
          <w:rFonts w:cs="Sylfaen"/>
          <w:b w:val="0"/>
          <w:iCs/>
          <w:szCs w:val="22"/>
          <w:lang w:val="af-ZA" w:eastAsia="en-GB"/>
        </w:rPr>
        <w:softHyphen/>
      </w:r>
      <w:r w:rsidRPr="007955BB">
        <w:rPr>
          <w:rFonts w:cs="Sylfaen"/>
          <w:b w:val="0"/>
          <w:iCs/>
          <w:szCs w:val="22"/>
          <w:lang w:val="af-ZA" w:eastAsia="en-GB"/>
        </w:rPr>
        <w:softHyphen/>
        <w:t>վարար հիմքեր կստեղծեն առկա օրենս</w:t>
      </w:r>
      <w:r w:rsidRPr="007955BB">
        <w:rPr>
          <w:rFonts w:cs="Sylfaen"/>
          <w:b w:val="0"/>
          <w:iCs/>
          <w:szCs w:val="22"/>
          <w:lang w:val="af-ZA" w:eastAsia="en-GB"/>
        </w:rPr>
        <w:softHyphen/>
        <w:t>դրա</w:t>
      </w:r>
      <w:r w:rsidRPr="007955BB">
        <w:rPr>
          <w:rFonts w:cs="Sylfaen"/>
          <w:b w:val="0"/>
          <w:iCs/>
          <w:szCs w:val="22"/>
          <w:lang w:val="af-ZA" w:eastAsia="en-GB"/>
        </w:rPr>
        <w:softHyphen/>
      </w:r>
      <w:r w:rsidRPr="007955BB">
        <w:rPr>
          <w:rFonts w:cs="Sylfaen"/>
          <w:b w:val="0"/>
          <w:iCs/>
          <w:szCs w:val="22"/>
          <w:lang w:val="af-ZA" w:eastAsia="en-GB"/>
        </w:rPr>
        <w:softHyphen/>
        <w:t>կան նա</w:t>
      </w:r>
      <w:r w:rsidRPr="007955BB">
        <w:rPr>
          <w:rFonts w:cs="Sylfaen"/>
          <w:b w:val="0"/>
          <w:iCs/>
          <w:szCs w:val="22"/>
          <w:lang w:val="af-ZA" w:eastAsia="en-GB"/>
        </w:rPr>
        <w:softHyphen/>
        <w:t>խադրյալները, կի</w:t>
      </w:r>
      <w:r w:rsidRPr="007955BB">
        <w:rPr>
          <w:rFonts w:cs="Sylfaen"/>
          <w:b w:val="0"/>
          <w:iCs/>
          <w:szCs w:val="22"/>
          <w:lang w:val="af-ZA" w:eastAsia="en-GB"/>
        </w:rPr>
        <w:softHyphen/>
        <w:t>րառ</w:t>
      </w:r>
      <w:r w:rsidRPr="007955BB">
        <w:rPr>
          <w:rFonts w:cs="Sylfaen"/>
          <w:b w:val="0"/>
          <w:iCs/>
          <w:szCs w:val="22"/>
          <w:lang w:val="af-ZA" w:eastAsia="en-GB"/>
        </w:rPr>
        <w:softHyphen/>
      </w:r>
      <w:r w:rsidRPr="007955BB">
        <w:rPr>
          <w:rFonts w:cs="Sylfaen"/>
          <w:b w:val="0"/>
          <w:iCs/>
          <w:szCs w:val="22"/>
          <w:lang w:val="af-ZA" w:eastAsia="en-GB"/>
        </w:rPr>
        <w:softHyphen/>
        <w:t>վելիք վարչարարական միջոցա</w:t>
      </w:r>
      <w:r w:rsidRPr="007955BB">
        <w:rPr>
          <w:rFonts w:cs="Sylfaen"/>
          <w:b w:val="0"/>
          <w:iCs/>
          <w:szCs w:val="22"/>
          <w:lang w:val="af-ZA" w:eastAsia="en-GB"/>
        </w:rPr>
        <w:softHyphen/>
        <w:t>ռում</w:t>
      </w:r>
      <w:r w:rsidRPr="007955BB">
        <w:rPr>
          <w:rFonts w:cs="Sylfaen"/>
          <w:b w:val="0"/>
          <w:iCs/>
          <w:szCs w:val="22"/>
          <w:lang w:val="af-ZA" w:eastAsia="en-GB"/>
        </w:rPr>
        <w:softHyphen/>
        <w:t>ները, ինչպես նաև մակ</w:t>
      </w:r>
      <w:r w:rsidRPr="007955BB">
        <w:rPr>
          <w:rFonts w:cs="Sylfaen"/>
          <w:b w:val="0"/>
          <w:iCs/>
          <w:szCs w:val="22"/>
          <w:lang w:val="af-ZA" w:eastAsia="en-GB"/>
        </w:rPr>
        <w:softHyphen/>
        <w:t>րո</w:t>
      </w:r>
      <w:r w:rsidRPr="007955BB">
        <w:rPr>
          <w:rFonts w:cs="Sylfaen"/>
          <w:b w:val="0"/>
          <w:iCs/>
          <w:szCs w:val="22"/>
          <w:lang w:val="af-ZA" w:eastAsia="en-GB"/>
        </w:rPr>
        <w:softHyphen/>
        <w:t>տնտե</w:t>
      </w:r>
      <w:r w:rsidRPr="007955BB">
        <w:rPr>
          <w:rFonts w:cs="Sylfaen"/>
          <w:b w:val="0"/>
          <w:iCs/>
          <w:szCs w:val="22"/>
          <w:lang w:val="af-ZA" w:eastAsia="en-GB"/>
        </w:rPr>
        <w:softHyphen/>
        <w:t>սական զար</w:t>
      </w:r>
      <w:r w:rsidRPr="007955BB">
        <w:rPr>
          <w:rFonts w:cs="Sylfaen"/>
          <w:b w:val="0"/>
          <w:iCs/>
          <w:szCs w:val="22"/>
          <w:lang w:val="af-ZA" w:eastAsia="en-GB"/>
        </w:rPr>
        <w:softHyphen/>
        <w:t>գա</w:t>
      </w:r>
      <w:r w:rsidRPr="007955BB">
        <w:rPr>
          <w:rFonts w:cs="Sylfaen"/>
          <w:b w:val="0"/>
          <w:iCs/>
          <w:szCs w:val="22"/>
          <w:lang w:val="af-ZA" w:eastAsia="en-GB"/>
        </w:rPr>
        <w:softHyphen/>
        <w:t>ցում</w:t>
      </w:r>
      <w:r w:rsidRPr="007955BB">
        <w:rPr>
          <w:rFonts w:cs="Sylfaen"/>
          <w:b w:val="0"/>
          <w:iCs/>
          <w:szCs w:val="22"/>
          <w:lang w:val="af-ZA" w:eastAsia="en-GB"/>
        </w:rPr>
        <w:softHyphen/>
        <w:t>նե</w:t>
      </w:r>
      <w:r w:rsidRPr="007955BB">
        <w:rPr>
          <w:rFonts w:cs="Sylfaen"/>
          <w:b w:val="0"/>
          <w:iCs/>
          <w:szCs w:val="22"/>
          <w:lang w:val="af-ZA" w:eastAsia="en-GB"/>
        </w:rPr>
        <w:softHyphen/>
        <w:t xml:space="preserve">րը: </w:t>
      </w:r>
    </w:p>
    <w:p w:rsidR="009E64AD" w:rsidRPr="009A197C" w:rsidRDefault="009E64AD" w:rsidP="009E64AD">
      <w:pPr>
        <w:keepNext/>
        <w:tabs>
          <w:tab w:val="left" w:pos="709"/>
        </w:tabs>
        <w:spacing w:before="0" w:line="276" w:lineRule="auto"/>
        <w:outlineLvl w:val="2"/>
        <w:rPr>
          <w:rFonts w:eastAsia="Calibri" w:cs="GHEA Grapalat"/>
          <w:bCs/>
          <w:szCs w:val="22"/>
          <w:lang w:val="af-ZA" w:eastAsia="en-US"/>
        </w:rPr>
      </w:pPr>
    </w:p>
    <w:p w:rsidR="009E64AD" w:rsidRDefault="009E64AD" w:rsidP="009E64AD">
      <w:pPr>
        <w:spacing w:before="0"/>
        <w:rPr>
          <w:b w:val="0"/>
          <w:bCs/>
          <w:color w:val="4472C4"/>
          <w:sz w:val="18"/>
          <w:szCs w:val="18"/>
          <w:lang w:val="af-ZA"/>
        </w:rPr>
      </w:pPr>
      <w:bookmarkStart w:id="258" w:name="_Toc52223576"/>
      <w:bookmarkEnd w:id="254"/>
      <w:bookmarkEnd w:id="255"/>
    </w:p>
    <w:p w:rsidR="009A197C" w:rsidRDefault="009A197C" w:rsidP="009E64AD">
      <w:pPr>
        <w:spacing w:before="0"/>
        <w:rPr>
          <w:b w:val="0"/>
          <w:bCs/>
          <w:color w:val="4472C4"/>
          <w:sz w:val="18"/>
          <w:szCs w:val="18"/>
          <w:lang w:val="af-ZA"/>
        </w:rPr>
      </w:pPr>
    </w:p>
    <w:p w:rsidR="009A197C" w:rsidRDefault="009A197C" w:rsidP="009E64AD">
      <w:pPr>
        <w:spacing w:before="0"/>
        <w:rPr>
          <w:b w:val="0"/>
          <w:bCs/>
          <w:color w:val="4472C4"/>
          <w:sz w:val="18"/>
          <w:szCs w:val="18"/>
          <w:lang w:val="af-ZA"/>
        </w:rPr>
      </w:pPr>
    </w:p>
    <w:p w:rsidR="009A197C" w:rsidRDefault="009A197C" w:rsidP="009E64AD">
      <w:pPr>
        <w:spacing w:before="0"/>
        <w:rPr>
          <w:b w:val="0"/>
          <w:bCs/>
          <w:color w:val="4472C4"/>
          <w:sz w:val="18"/>
          <w:szCs w:val="18"/>
          <w:lang w:val="af-ZA"/>
        </w:rPr>
      </w:pPr>
    </w:p>
    <w:p w:rsidR="009A197C" w:rsidRDefault="009A197C" w:rsidP="009E64AD">
      <w:pPr>
        <w:spacing w:before="0"/>
        <w:rPr>
          <w:b w:val="0"/>
          <w:bCs/>
          <w:color w:val="4472C4"/>
          <w:sz w:val="18"/>
          <w:szCs w:val="18"/>
          <w:lang w:val="af-ZA"/>
        </w:rPr>
      </w:pPr>
    </w:p>
    <w:p w:rsidR="009A197C" w:rsidRDefault="009A197C" w:rsidP="009E64AD">
      <w:pPr>
        <w:spacing w:before="0"/>
        <w:rPr>
          <w:b w:val="0"/>
          <w:bCs/>
          <w:color w:val="4472C4"/>
          <w:sz w:val="18"/>
          <w:szCs w:val="18"/>
          <w:lang w:val="af-ZA"/>
        </w:rPr>
      </w:pPr>
    </w:p>
    <w:p w:rsidR="009A197C" w:rsidRDefault="009A197C" w:rsidP="009E64AD">
      <w:pPr>
        <w:spacing w:before="0"/>
        <w:rPr>
          <w:b w:val="0"/>
          <w:bCs/>
          <w:color w:val="4472C4"/>
          <w:sz w:val="18"/>
          <w:szCs w:val="18"/>
          <w:lang w:val="af-ZA"/>
        </w:rPr>
      </w:pPr>
    </w:p>
    <w:p w:rsidR="009A197C" w:rsidRDefault="009A197C" w:rsidP="009E64AD">
      <w:pPr>
        <w:spacing w:before="0"/>
        <w:rPr>
          <w:b w:val="0"/>
          <w:bCs/>
          <w:color w:val="4472C4"/>
          <w:sz w:val="18"/>
          <w:szCs w:val="18"/>
          <w:lang w:val="af-ZA"/>
        </w:rPr>
      </w:pPr>
    </w:p>
    <w:p w:rsidR="009A197C" w:rsidRDefault="009A197C" w:rsidP="009E64AD">
      <w:pPr>
        <w:spacing w:before="0"/>
        <w:rPr>
          <w:b w:val="0"/>
          <w:bCs/>
          <w:color w:val="4472C4"/>
          <w:sz w:val="18"/>
          <w:szCs w:val="18"/>
          <w:lang w:val="af-ZA"/>
        </w:rPr>
      </w:pPr>
    </w:p>
    <w:p w:rsidR="009A197C" w:rsidRDefault="009A197C" w:rsidP="009E64AD">
      <w:pPr>
        <w:spacing w:before="0"/>
        <w:rPr>
          <w:b w:val="0"/>
          <w:bCs/>
          <w:color w:val="4472C4"/>
          <w:sz w:val="18"/>
          <w:szCs w:val="18"/>
          <w:lang w:val="af-ZA"/>
        </w:rPr>
      </w:pPr>
    </w:p>
    <w:p w:rsidR="009A197C" w:rsidRDefault="009A197C" w:rsidP="009E64AD">
      <w:pPr>
        <w:spacing w:before="0"/>
        <w:rPr>
          <w:b w:val="0"/>
          <w:bCs/>
          <w:color w:val="4472C4"/>
          <w:sz w:val="18"/>
          <w:szCs w:val="18"/>
          <w:lang w:val="af-ZA"/>
        </w:rPr>
      </w:pPr>
    </w:p>
    <w:p w:rsidR="009A197C" w:rsidRDefault="009A197C" w:rsidP="009E64AD">
      <w:pPr>
        <w:spacing w:before="0"/>
        <w:rPr>
          <w:b w:val="0"/>
          <w:bCs/>
          <w:color w:val="4472C4"/>
          <w:sz w:val="18"/>
          <w:szCs w:val="18"/>
          <w:lang w:val="af-ZA"/>
        </w:rPr>
      </w:pPr>
    </w:p>
    <w:p w:rsidR="009A197C" w:rsidRDefault="009A197C" w:rsidP="009E64AD">
      <w:pPr>
        <w:spacing w:before="0"/>
        <w:rPr>
          <w:b w:val="0"/>
          <w:bCs/>
          <w:color w:val="4472C4"/>
          <w:sz w:val="18"/>
          <w:szCs w:val="18"/>
          <w:lang w:val="af-ZA"/>
        </w:rPr>
      </w:pPr>
    </w:p>
    <w:p w:rsidR="009A197C" w:rsidRDefault="009A197C" w:rsidP="009E64AD">
      <w:pPr>
        <w:spacing w:before="0"/>
        <w:rPr>
          <w:b w:val="0"/>
          <w:bCs/>
          <w:color w:val="4472C4"/>
          <w:sz w:val="18"/>
          <w:szCs w:val="18"/>
          <w:lang w:val="af-ZA"/>
        </w:rPr>
      </w:pPr>
    </w:p>
    <w:p w:rsidR="009A197C" w:rsidRDefault="009A197C" w:rsidP="009E64AD">
      <w:pPr>
        <w:spacing w:before="0"/>
        <w:rPr>
          <w:b w:val="0"/>
          <w:bCs/>
          <w:color w:val="4472C4"/>
          <w:sz w:val="18"/>
          <w:szCs w:val="18"/>
          <w:lang w:val="af-ZA"/>
        </w:rPr>
      </w:pPr>
    </w:p>
    <w:p w:rsidR="009A197C" w:rsidRDefault="009A197C" w:rsidP="009E64AD">
      <w:pPr>
        <w:spacing w:before="0"/>
        <w:rPr>
          <w:b w:val="0"/>
          <w:bCs/>
          <w:color w:val="4472C4"/>
          <w:sz w:val="18"/>
          <w:szCs w:val="18"/>
          <w:lang w:val="af-ZA"/>
        </w:rPr>
      </w:pPr>
    </w:p>
    <w:p w:rsidR="009A197C" w:rsidRDefault="009A197C" w:rsidP="009E64AD">
      <w:pPr>
        <w:spacing w:before="0"/>
        <w:rPr>
          <w:b w:val="0"/>
          <w:bCs/>
          <w:color w:val="4472C4"/>
          <w:sz w:val="18"/>
          <w:szCs w:val="18"/>
          <w:lang w:val="af-ZA"/>
        </w:rPr>
      </w:pPr>
    </w:p>
    <w:p w:rsidR="009A197C" w:rsidRPr="007955BB" w:rsidRDefault="009A197C" w:rsidP="009E64AD">
      <w:pPr>
        <w:spacing w:before="0"/>
        <w:rPr>
          <w:b w:val="0"/>
          <w:bCs/>
          <w:color w:val="4472C4"/>
          <w:sz w:val="18"/>
          <w:szCs w:val="18"/>
          <w:lang w:val="af-ZA"/>
        </w:rPr>
      </w:pPr>
    </w:p>
    <w:p w:rsidR="009A197C" w:rsidRPr="007955BB" w:rsidRDefault="009A197C" w:rsidP="009A197C">
      <w:pPr>
        <w:spacing w:after="200"/>
        <w:rPr>
          <w:bCs/>
          <w:i/>
          <w:color w:val="4472C4"/>
          <w:sz w:val="20"/>
          <w:szCs w:val="20"/>
          <w:lang w:val="hy-AM"/>
        </w:rPr>
      </w:pPr>
      <w:bookmarkStart w:id="259" w:name="_Toc120805287"/>
      <w:bookmarkEnd w:id="258"/>
      <w:r w:rsidRPr="007955BB">
        <w:rPr>
          <w:b w:val="0"/>
          <w:bCs/>
          <w:color w:val="4472C4"/>
          <w:sz w:val="18"/>
          <w:szCs w:val="18"/>
        </w:rPr>
        <w:t>Գծապատկեր</w:t>
      </w:r>
      <w:r w:rsidRPr="007955BB">
        <w:rPr>
          <w:b w:val="0"/>
          <w:bCs/>
          <w:color w:val="4472C4"/>
          <w:sz w:val="18"/>
          <w:szCs w:val="18"/>
          <w:lang w:val="af-ZA"/>
        </w:rPr>
        <w:t xml:space="preserve"> </w:t>
      </w:r>
      <w:r w:rsidRPr="007955BB">
        <w:rPr>
          <w:b w:val="0"/>
          <w:bCs/>
          <w:color w:val="4472C4"/>
          <w:sz w:val="18"/>
          <w:szCs w:val="18"/>
        </w:rPr>
        <w:fldChar w:fldCharType="begin"/>
      </w:r>
      <w:r w:rsidRPr="007955BB">
        <w:rPr>
          <w:b w:val="0"/>
          <w:bCs/>
          <w:color w:val="4472C4"/>
          <w:sz w:val="18"/>
          <w:szCs w:val="18"/>
          <w:lang w:val="af-ZA"/>
        </w:rPr>
        <w:instrText xml:space="preserve"> SEQ </w:instrText>
      </w:r>
      <w:r w:rsidRPr="007955BB">
        <w:rPr>
          <w:b w:val="0"/>
          <w:bCs/>
          <w:color w:val="4472C4"/>
          <w:sz w:val="18"/>
          <w:szCs w:val="18"/>
        </w:rPr>
        <w:instrText>Գծապատկեր</w:instrText>
      </w:r>
      <w:r w:rsidRPr="007955BB">
        <w:rPr>
          <w:b w:val="0"/>
          <w:bCs/>
          <w:color w:val="4472C4"/>
          <w:sz w:val="18"/>
          <w:szCs w:val="18"/>
          <w:lang w:val="af-ZA"/>
        </w:rPr>
        <w:instrText xml:space="preserve"> \* ARABIC </w:instrText>
      </w:r>
      <w:r w:rsidRPr="007955BB">
        <w:rPr>
          <w:b w:val="0"/>
          <w:bCs/>
          <w:color w:val="4472C4"/>
          <w:sz w:val="18"/>
          <w:szCs w:val="18"/>
        </w:rPr>
        <w:fldChar w:fldCharType="separate"/>
      </w:r>
      <w:r w:rsidR="008177DF">
        <w:rPr>
          <w:b w:val="0"/>
          <w:bCs/>
          <w:noProof/>
          <w:color w:val="4472C4"/>
          <w:sz w:val="18"/>
          <w:szCs w:val="18"/>
          <w:lang w:val="af-ZA"/>
        </w:rPr>
        <w:t>1</w:t>
      </w:r>
      <w:r w:rsidRPr="007955BB">
        <w:rPr>
          <w:b w:val="0"/>
          <w:bCs/>
          <w:color w:val="4472C4"/>
          <w:sz w:val="18"/>
          <w:szCs w:val="18"/>
        </w:rPr>
        <w:fldChar w:fldCharType="end"/>
      </w:r>
      <w:r w:rsidRPr="007955BB">
        <w:rPr>
          <w:rFonts w:ascii="Cambria Math" w:hAnsi="Cambria Math"/>
          <w:b w:val="0"/>
          <w:bCs/>
          <w:color w:val="4472C4"/>
          <w:sz w:val="18"/>
          <w:szCs w:val="18"/>
          <w:lang w:val="hy-AM"/>
        </w:rPr>
        <w:t xml:space="preserve">․ </w:t>
      </w:r>
      <w:r w:rsidRPr="007955BB">
        <w:rPr>
          <w:bCs/>
          <w:i/>
          <w:color w:val="4472C4"/>
          <w:sz w:val="20"/>
          <w:szCs w:val="20"/>
          <w:lang w:val="hy-AM"/>
        </w:rPr>
        <w:t>ՀՀ 2019-202</w:t>
      </w:r>
      <w:r w:rsidRPr="007955BB">
        <w:rPr>
          <w:bCs/>
          <w:i/>
          <w:color w:val="4472C4"/>
          <w:sz w:val="20"/>
          <w:szCs w:val="20"/>
          <w:lang w:val="af-ZA"/>
        </w:rPr>
        <w:t>3</w:t>
      </w:r>
      <w:r w:rsidRPr="007955BB">
        <w:rPr>
          <w:bCs/>
          <w:i/>
          <w:color w:val="4472C4"/>
          <w:sz w:val="20"/>
          <w:szCs w:val="20"/>
          <w:lang w:val="hy-AM"/>
        </w:rPr>
        <w:t>թթ հարկային եկամուտները և պետական տուրքերը (մլրդ դրամով) և կշիռը ՀՆԱ-ի նկատմամբ</w:t>
      </w:r>
      <w:bookmarkEnd w:id="259"/>
    </w:p>
    <w:p w:rsidR="009A197C" w:rsidRPr="007955BB" w:rsidRDefault="009A197C" w:rsidP="009A197C">
      <w:pPr>
        <w:keepNext/>
        <w:keepLines/>
        <w:widowControl w:val="0"/>
        <w:spacing w:before="0" w:line="276" w:lineRule="auto"/>
        <w:ind w:firstLine="0"/>
        <w:contextualSpacing w:val="0"/>
        <w:rPr>
          <w:rFonts w:cs="Sylfaen"/>
          <w:szCs w:val="22"/>
          <w:lang w:val="fr-FR" w:eastAsia="en-US"/>
        </w:rPr>
      </w:pPr>
      <w:r w:rsidRPr="007955BB">
        <w:rPr>
          <w:b w:val="0"/>
          <w:noProof/>
          <w:szCs w:val="22"/>
          <w:lang w:val="en-US" w:eastAsia="en-US"/>
        </w:rPr>
        <w:drawing>
          <wp:inline distT="0" distB="0" distL="0" distR="0" wp14:anchorId="7B9F6F0B" wp14:editId="2E740364">
            <wp:extent cx="5955030" cy="3200400"/>
            <wp:effectExtent l="0" t="0" r="7620" b="0"/>
            <wp:docPr id="3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E64AD" w:rsidRPr="007955BB" w:rsidRDefault="009E64AD" w:rsidP="009E64AD">
      <w:pPr>
        <w:spacing w:before="0" w:line="276" w:lineRule="auto"/>
        <w:ind w:firstLine="562"/>
        <w:contextualSpacing w:val="0"/>
        <w:rPr>
          <w:rFonts w:cs="Sylfaen"/>
          <w:iCs/>
          <w:szCs w:val="22"/>
          <w:lang w:val="af-ZA" w:eastAsia="en-GB"/>
        </w:rPr>
      </w:pPr>
    </w:p>
    <w:p w:rsidR="009E64AD" w:rsidRPr="007955BB" w:rsidRDefault="009E64AD" w:rsidP="009E64AD">
      <w:pPr>
        <w:spacing w:before="0" w:line="276" w:lineRule="auto"/>
        <w:ind w:firstLine="562"/>
        <w:contextualSpacing w:val="0"/>
        <w:rPr>
          <w:rFonts w:cs="Sylfaen"/>
          <w:iCs/>
          <w:szCs w:val="22"/>
          <w:lang w:val="af-ZA" w:eastAsia="en-GB"/>
        </w:rPr>
      </w:pPr>
      <w:r w:rsidRPr="007955BB">
        <w:rPr>
          <w:rFonts w:cs="Sylfaen"/>
          <w:iCs/>
          <w:szCs w:val="22"/>
          <w:lang w:val="af-ZA" w:eastAsia="en-GB"/>
        </w:rPr>
        <w:t>2023 ԹՎԱԿԱՆԻ ՀԱՐԿԱՅԻՆ ԾԱԽՍԵՐԻ ՄԵԾՈՒԹՅԱՆ ԳՆԱՀԱՏՈՒՄ</w:t>
      </w:r>
    </w:p>
    <w:p w:rsidR="009E64AD" w:rsidRPr="00C43BF7" w:rsidRDefault="009E64AD" w:rsidP="009E64AD">
      <w:pPr>
        <w:spacing w:before="0" w:line="276" w:lineRule="auto"/>
        <w:ind w:firstLine="562"/>
        <w:contextualSpacing w:val="0"/>
        <w:rPr>
          <w:rFonts w:cs="Sylfaen"/>
          <w:szCs w:val="22"/>
          <w:lang w:val="af-ZA" w:eastAsia="en-US"/>
        </w:rPr>
      </w:pPr>
      <w:r w:rsidRPr="007955BB">
        <w:rPr>
          <w:rFonts w:cs="Sylfaen"/>
          <w:b w:val="0"/>
          <w:iCs/>
          <w:szCs w:val="22"/>
          <w:lang w:val="af-ZA" w:eastAsia="en-GB"/>
        </w:rPr>
        <w:t>Ի լրումն վերոշարադրյալին հարկ է նշել, որ ՀՀ 2023 թվականի հարկային եկա</w:t>
      </w:r>
      <w:r w:rsidRPr="007955BB">
        <w:rPr>
          <w:rFonts w:cs="Sylfaen"/>
          <w:b w:val="0"/>
          <w:iCs/>
          <w:szCs w:val="22"/>
          <w:lang w:val="af-ZA" w:eastAsia="en-GB"/>
        </w:rPr>
        <w:softHyphen/>
        <w:t>մուտ</w:t>
      </w:r>
      <w:r w:rsidRPr="007955BB">
        <w:rPr>
          <w:rFonts w:cs="Sylfaen"/>
          <w:b w:val="0"/>
          <w:iCs/>
          <w:szCs w:val="22"/>
          <w:lang w:val="af-ZA" w:eastAsia="en-GB"/>
        </w:rPr>
        <w:softHyphen/>
        <w:t>նե</w:t>
      </w:r>
      <w:r w:rsidRPr="007955BB">
        <w:rPr>
          <w:rFonts w:cs="Sylfaen"/>
          <w:b w:val="0"/>
          <w:iCs/>
          <w:szCs w:val="22"/>
          <w:lang w:val="af-ZA" w:eastAsia="en-GB"/>
        </w:rPr>
        <w:softHyphen/>
        <w:t>րի մուտքերի կանխատեսմամբ հանդերձ միջազգային պրակ</w:t>
      </w:r>
      <w:r w:rsidRPr="007955BB">
        <w:rPr>
          <w:rFonts w:cs="Sylfaen"/>
          <w:b w:val="0"/>
          <w:iCs/>
          <w:szCs w:val="22"/>
          <w:lang w:val="af-ZA" w:eastAsia="en-GB"/>
        </w:rPr>
        <w:softHyphen/>
        <w:t>տիկայում ընդունված մո</w:t>
      </w:r>
      <w:r w:rsidRPr="007955BB">
        <w:rPr>
          <w:rFonts w:cs="Sylfaen"/>
          <w:b w:val="0"/>
          <w:iCs/>
          <w:szCs w:val="22"/>
          <w:lang w:val="af-ZA" w:eastAsia="en-GB"/>
        </w:rPr>
        <w:softHyphen/>
        <w:t>տե</w:t>
      </w:r>
      <w:r w:rsidRPr="007955BB">
        <w:rPr>
          <w:rFonts w:cs="Sylfaen"/>
          <w:b w:val="0"/>
          <w:iCs/>
          <w:szCs w:val="22"/>
          <w:lang w:val="af-ZA" w:eastAsia="en-GB"/>
        </w:rPr>
        <w:softHyphen/>
        <w:t xml:space="preserve">ցումների հիման վրա կատարվել է </w:t>
      </w:r>
      <w:r w:rsidR="00A94018">
        <w:rPr>
          <w:rFonts w:cs="Sylfaen"/>
          <w:b w:val="0"/>
          <w:iCs/>
          <w:szCs w:val="22"/>
          <w:lang w:val="af-ZA" w:eastAsia="en-GB"/>
        </w:rPr>
        <w:t>ԱԱՀ</w:t>
      </w:r>
      <w:r w:rsidR="00A94018" w:rsidRPr="00A94018">
        <w:rPr>
          <w:rFonts w:cs="Sylfaen"/>
          <w:b w:val="0"/>
          <w:iCs/>
          <w:szCs w:val="22"/>
          <w:lang w:val="af-ZA" w:eastAsia="en-GB"/>
        </w:rPr>
        <w:t>-</w:t>
      </w:r>
      <w:r w:rsidRPr="007955BB">
        <w:rPr>
          <w:rFonts w:cs="Sylfaen"/>
          <w:b w:val="0"/>
          <w:iCs/>
          <w:szCs w:val="22"/>
          <w:lang w:val="af-ZA" w:eastAsia="en-GB"/>
        </w:rPr>
        <w:t>ի, շահութահարկի և եկամտային հարկի գծով 2023 թվականի հար</w:t>
      </w:r>
      <w:r w:rsidRPr="007955BB">
        <w:rPr>
          <w:rFonts w:cs="Sylfaen"/>
          <w:b w:val="0"/>
          <w:iCs/>
          <w:szCs w:val="22"/>
          <w:lang w:val="af-ZA" w:eastAsia="en-GB"/>
        </w:rPr>
        <w:softHyphen/>
        <w:t>կա</w:t>
      </w:r>
      <w:r w:rsidRPr="007955BB">
        <w:rPr>
          <w:rFonts w:cs="Sylfaen"/>
          <w:b w:val="0"/>
          <w:iCs/>
          <w:szCs w:val="22"/>
          <w:lang w:val="af-ZA" w:eastAsia="en-GB"/>
        </w:rPr>
        <w:softHyphen/>
        <w:t>յին ծախսերի մեծության գնահատում, որի արդյունքները ներ</w:t>
      </w:r>
      <w:r w:rsidRPr="007955BB">
        <w:rPr>
          <w:rFonts w:cs="Sylfaen"/>
          <w:b w:val="0"/>
          <w:iCs/>
          <w:szCs w:val="22"/>
          <w:lang w:val="af-ZA" w:eastAsia="en-GB"/>
        </w:rPr>
        <w:softHyphen/>
        <w:t xml:space="preserve">կայացված են </w:t>
      </w:r>
      <w:r w:rsidRPr="007955BB">
        <w:rPr>
          <w:rFonts w:cs="Sylfaen"/>
          <w:b w:val="0"/>
          <w:iCs/>
          <w:szCs w:val="22"/>
          <w:lang w:val="hy-AM" w:eastAsia="en-GB"/>
        </w:rPr>
        <w:t>Վերլուծություններ բաժնում</w:t>
      </w:r>
      <w:r w:rsidRPr="007955BB">
        <w:rPr>
          <w:rFonts w:cs="Sylfaen"/>
          <w:b w:val="0"/>
          <w:iCs/>
          <w:szCs w:val="22"/>
          <w:lang w:val="af-ZA" w:eastAsia="en-GB"/>
        </w:rPr>
        <w:t xml:space="preserve">: </w:t>
      </w:r>
    </w:p>
    <w:p w:rsidR="00AE2A75" w:rsidRPr="00C43BF7" w:rsidRDefault="00AE2A75" w:rsidP="00AE2A75">
      <w:pPr>
        <w:rPr>
          <w:lang w:val="af-ZA"/>
        </w:rPr>
      </w:pPr>
    </w:p>
    <w:p w:rsidR="00AE2A75" w:rsidRPr="00C43BF7" w:rsidRDefault="00D8071F" w:rsidP="00AE2A75">
      <w:pPr>
        <w:spacing w:before="0" w:line="276" w:lineRule="auto"/>
        <w:rPr>
          <w:rFonts w:cs="Sylfaen"/>
          <w:szCs w:val="22"/>
          <w:lang w:val="af-ZA"/>
        </w:rPr>
      </w:pPr>
      <w:r w:rsidRPr="007955BB">
        <w:rPr>
          <w:rFonts w:cs="Sylfaen"/>
          <w:szCs w:val="22"/>
        </w:rPr>
        <w:t>Պետական</w:t>
      </w:r>
      <w:r w:rsidRPr="00C43BF7">
        <w:rPr>
          <w:rFonts w:cs="Sylfaen"/>
          <w:szCs w:val="22"/>
          <w:lang w:val="af-ZA"/>
        </w:rPr>
        <w:t xml:space="preserve"> </w:t>
      </w:r>
      <w:r w:rsidRPr="007955BB">
        <w:rPr>
          <w:rFonts w:cs="Sylfaen"/>
          <w:szCs w:val="22"/>
        </w:rPr>
        <w:t>տուրքեր</w:t>
      </w:r>
    </w:p>
    <w:p w:rsidR="00804A79" w:rsidRPr="00C43BF7" w:rsidRDefault="00804A79" w:rsidP="00804A79">
      <w:pPr>
        <w:spacing w:before="0" w:line="276" w:lineRule="auto"/>
        <w:rPr>
          <w:szCs w:val="22"/>
          <w:lang w:val="af-ZA"/>
        </w:rPr>
      </w:pPr>
      <w:r w:rsidRPr="007955BB">
        <w:rPr>
          <w:rFonts w:eastAsia="Calibri"/>
          <w:b w:val="0"/>
          <w:szCs w:val="22"/>
          <w:lang w:val="hy-AM" w:eastAsia="en-US"/>
        </w:rPr>
        <w:t>Պետական տուրքերի գծով 202</w:t>
      </w:r>
      <w:r w:rsidRPr="00C43BF7">
        <w:rPr>
          <w:rFonts w:eastAsia="Calibri"/>
          <w:b w:val="0"/>
          <w:szCs w:val="22"/>
          <w:lang w:val="af-ZA" w:eastAsia="en-US"/>
        </w:rPr>
        <w:t>3</w:t>
      </w:r>
      <w:r w:rsidRPr="007955BB">
        <w:rPr>
          <w:rFonts w:eastAsia="Calibri"/>
          <w:b w:val="0"/>
          <w:szCs w:val="22"/>
          <w:lang w:val="hy-AM" w:eastAsia="en-US"/>
        </w:rPr>
        <w:t xml:space="preserve"> թվականի բյուջետային մուտքերը ծրա</w:t>
      </w:r>
      <w:r w:rsidRPr="007955BB">
        <w:rPr>
          <w:rFonts w:eastAsia="Calibri"/>
          <w:b w:val="0"/>
          <w:szCs w:val="22"/>
          <w:lang w:val="hy-AM" w:eastAsia="en-US"/>
        </w:rPr>
        <w:softHyphen/>
        <w:t>գր</w:t>
      </w:r>
      <w:r w:rsidRPr="007955BB">
        <w:rPr>
          <w:rFonts w:eastAsia="Calibri"/>
          <w:b w:val="0"/>
          <w:szCs w:val="22"/>
          <w:lang w:val="hy-AM" w:eastAsia="en-US"/>
        </w:rPr>
        <w:softHyphen/>
        <w:t xml:space="preserve">վել են </w:t>
      </w:r>
      <w:r w:rsidR="003A0434" w:rsidRPr="00C43BF7">
        <w:rPr>
          <w:rFonts w:eastAsia="Calibri"/>
          <w:b w:val="0"/>
          <w:szCs w:val="22"/>
          <w:lang w:val="af-ZA" w:eastAsia="en-US"/>
        </w:rPr>
        <w:t>51.</w:t>
      </w:r>
      <w:r w:rsidR="00F12CD4" w:rsidRPr="00C43BF7">
        <w:rPr>
          <w:rFonts w:eastAsia="Calibri"/>
          <w:b w:val="0"/>
          <w:szCs w:val="22"/>
          <w:lang w:val="af-ZA" w:eastAsia="en-US"/>
        </w:rPr>
        <w:t>4</w:t>
      </w:r>
      <w:r w:rsidRPr="007955BB">
        <w:rPr>
          <w:rFonts w:eastAsia="Calibri"/>
          <w:b w:val="0"/>
          <w:szCs w:val="22"/>
          <w:lang w:val="hy-AM" w:eastAsia="en-US"/>
        </w:rPr>
        <w:t xml:space="preserve">  մլրդ դրամի չափով` 20</w:t>
      </w:r>
      <w:r w:rsidRPr="00C43BF7">
        <w:rPr>
          <w:rFonts w:eastAsia="Calibri"/>
          <w:b w:val="0"/>
          <w:szCs w:val="22"/>
          <w:lang w:val="af-ZA" w:eastAsia="en-US"/>
        </w:rPr>
        <w:t>22</w:t>
      </w:r>
      <w:r w:rsidRPr="007955BB">
        <w:rPr>
          <w:rFonts w:eastAsia="Calibri"/>
          <w:b w:val="0"/>
          <w:szCs w:val="22"/>
          <w:lang w:val="hy-AM" w:eastAsia="en-US"/>
        </w:rPr>
        <w:t xml:space="preserve"> թվականի համար հաստատված</w:t>
      </w:r>
      <w:r w:rsidRPr="007955BB">
        <w:rPr>
          <w:rFonts w:eastAsia="Calibri"/>
          <w:b w:val="0"/>
          <w:szCs w:val="22"/>
          <w:vertAlign w:val="superscript"/>
          <w:lang w:val="hy-AM" w:eastAsia="en-US"/>
        </w:rPr>
        <w:footnoteReference w:id="16"/>
      </w:r>
      <w:r w:rsidRPr="007955BB">
        <w:rPr>
          <w:rFonts w:eastAsia="Calibri"/>
          <w:b w:val="0"/>
          <w:szCs w:val="22"/>
          <w:lang w:val="hy-AM" w:eastAsia="en-US"/>
        </w:rPr>
        <w:t xml:space="preserve"> </w:t>
      </w:r>
      <w:r w:rsidRPr="00C43BF7">
        <w:rPr>
          <w:rFonts w:eastAsia="Calibri"/>
          <w:b w:val="0"/>
          <w:szCs w:val="22"/>
          <w:lang w:val="af-ZA" w:eastAsia="en-US"/>
        </w:rPr>
        <w:t>90.1</w:t>
      </w:r>
      <w:r w:rsidRPr="007955BB">
        <w:rPr>
          <w:rFonts w:eastAsia="Calibri"/>
          <w:b w:val="0"/>
          <w:szCs w:val="22"/>
          <w:lang w:val="hy-AM" w:eastAsia="en-US"/>
        </w:rPr>
        <w:t xml:space="preserve"> մլրդ դրամի և 20</w:t>
      </w:r>
      <w:r w:rsidRPr="00C43BF7">
        <w:rPr>
          <w:rFonts w:eastAsia="Calibri"/>
          <w:b w:val="0"/>
          <w:szCs w:val="22"/>
          <w:lang w:val="af-ZA" w:eastAsia="en-US"/>
        </w:rPr>
        <w:t>21</w:t>
      </w:r>
      <w:r w:rsidRPr="007955BB">
        <w:rPr>
          <w:rFonts w:eastAsia="Calibri"/>
          <w:b w:val="0"/>
          <w:szCs w:val="22"/>
          <w:lang w:val="hy-AM" w:eastAsia="en-US"/>
        </w:rPr>
        <w:t xml:space="preserve"> թվականին փաստացի ստացված</w:t>
      </w:r>
      <w:r w:rsidRPr="007955BB">
        <w:rPr>
          <w:rFonts w:eastAsia="Calibri"/>
          <w:b w:val="0"/>
          <w:szCs w:val="22"/>
          <w:vertAlign w:val="superscript"/>
          <w:lang w:val="hy-AM" w:eastAsia="en-US"/>
        </w:rPr>
        <w:footnoteReference w:id="17"/>
      </w:r>
      <w:r w:rsidRPr="007955BB">
        <w:rPr>
          <w:rFonts w:eastAsia="Calibri"/>
          <w:b w:val="0"/>
          <w:szCs w:val="22"/>
          <w:lang w:val="hy-AM" w:eastAsia="en-US"/>
        </w:rPr>
        <w:t xml:space="preserve"> </w:t>
      </w:r>
      <w:r w:rsidRPr="00C43BF7">
        <w:rPr>
          <w:rFonts w:eastAsia="Calibri"/>
          <w:b w:val="0"/>
          <w:szCs w:val="22"/>
          <w:lang w:val="af-ZA" w:eastAsia="en-US"/>
        </w:rPr>
        <w:t>66.7</w:t>
      </w:r>
      <w:r w:rsidRPr="007955BB">
        <w:rPr>
          <w:rFonts w:eastAsia="Calibri"/>
          <w:b w:val="0"/>
          <w:szCs w:val="22"/>
          <w:lang w:val="hy-AM" w:eastAsia="en-US"/>
        </w:rPr>
        <w:t xml:space="preserve"> մլրդ դրամի դիմաց:</w:t>
      </w:r>
    </w:p>
    <w:p w:rsidR="00804A79" w:rsidRPr="007955BB" w:rsidRDefault="00804A79" w:rsidP="00804A79">
      <w:pPr>
        <w:spacing w:before="0" w:line="276" w:lineRule="auto"/>
        <w:ind w:firstLine="538"/>
        <w:rPr>
          <w:rFonts w:eastAsia="Calibri"/>
          <w:b w:val="0"/>
          <w:szCs w:val="22"/>
          <w:lang w:val="hy-AM" w:eastAsia="en-US"/>
        </w:rPr>
      </w:pPr>
      <w:r w:rsidRPr="007955BB">
        <w:rPr>
          <w:rFonts w:eastAsia="Calibri"/>
          <w:b w:val="0"/>
          <w:szCs w:val="22"/>
          <w:lang w:val="hy-AM" w:eastAsia="en-US"/>
        </w:rPr>
        <w:t>Պետական տուրքերի գծով 202</w:t>
      </w:r>
      <w:r w:rsidRPr="00C43BF7">
        <w:rPr>
          <w:rFonts w:eastAsia="Calibri"/>
          <w:b w:val="0"/>
          <w:szCs w:val="22"/>
          <w:lang w:val="af-ZA" w:eastAsia="en-US"/>
        </w:rPr>
        <w:t>3</w:t>
      </w:r>
      <w:r w:rsidRPr="007955BB">
        <w:rPr>
          <w:rFonts w:eastAsia="Calibri"/>
          <w:b w:val="0"/>
          <w:szCs w:val="22"/>
          <w:lang w:val="hy-AM" w:eastAsia="en-US"/>
        </w:rPr>
        <w:t xml:space="preserve"> թվականի բյուջետային մուտքերի կանխատեսումները կատար</w:t>
      </w:r>
      <w:r w:rsidRPr="007955BB">
        <w:rPr>
          <w:rFonts w:eastAsia="Calibri"/>
          <w:b w:val="0"/>
          <w:szCs w:val="22"/>
          <w:lang w:val="hy-AM" w:eastAsia="en-US"/>
        </w:rPr>
        <w:softHyphen/>
        <w:t>վել են ըստ դրանց նախորդ տարիների փաստացի հավաքագրում</w:t>
      </w:r>
      <w:r w:rsidRPr="007955BB">
        <w:rPr>
          <w:rFonts w:eastAsia="Calibri"/>
          <w:b w:val="0"/>
          <w:szCs w:val="22"/>
          <w:lang w:val="hy-AM" w:eastAsia="en-US"/>
        </w:rPr>
        <w:softHyphen/>
        <w:t>ների միտում</w:t>
      </w:r>
      <w:r w:rsidRPr="007955BB">
        <w:rPr>
          <w:rFonts w:eastAsia="Calibri"/>
          <w:b w:val="0"/>
          <w:szCs w:val="22"/>
          <w:lang w:val="hy-AM" w:eastAsia="en-US"/>
        </w:rPr>
        <w:softHyphen/>
        <w:t>նե</w:t>
      </w:r>
      <w:r w:rsidRPr="007955BB">
        <w:rPr>
          <w:rFonts w:eastAsia="Calibri"/>
          <w:b w:val="0"/>
          <w:szCs w:val="22"/>
          <w:lang w:val="hy-AM" w:eastAsia="en-US"/>
        </w:rPr>
        <w:softHyphen/>
        <w:t>րի, hաշվի առ</w:t>
      </w:r>
      <w:r w:rsidRPr="007955BB">
        <w:rPr>
          <w:rFonts w:eastAsia="Calibri"/>
          <w:b w:val="0"/>
          <w:szCs w:val="22"/>
          <w:lang w:val="hy-AM" w:eastAsia="en-US"/>
        </w:rPr>
        <w:softHyphen/>
        <w:t>նե</w:t>
      </w:r>
      <w:r w:rsidRPr="007955BB">
        <w:rPr>
          <w:rFonts w:eastAsia="Calibri"/>
          <w:b w:val="0"/>
          <w:szCs w:val="22"/>
          <w:lang w:val="hy-AM" w:eastAsia="en-US"/>
        </w:rPr>
        <w:softHyphen/>
        <w:t>լով ՀՀ օրենսդրության մեջ կատարված առան</w:t>
      </w:r>
      <w:r w:rsidRPr="007955BB">
        <w:rPr>
          <w:rFonts w:eastAsia="Calibri"/>
          <w:b w:val="0"/>
          <w:szCs w:val="22"/>
          <w:lang w:val="hy-AM" w:eastAsia="en-US"/>
        </w:rPr>
        <w:softHyphen/>
        <w:t>ձին փոփոխություններն ու լրացումները, ինչ</w:t>
      </w:r>
      <w:r w:rsidRPr="007955BB">
        <w:rPr>
          <w:rFonts w:eastAsia="Calibri"/>
          <w:b w:val="0"/>
          <w:szCs w:val="22"/>
          <w:lang w:val="hy-AM" w:eastAsia="en-US"/>
        </w:rPr>
        <w:softHyphen/>
        <w:t xml:space="preserve">պես նաև պետական տուրքի յուրաքանչյուր տեսակի առանձնահատկությունները: </w:t>
      </w:r>
    </w:p>
    <w:p w:rsidR="00804A79" w:rsidRPr="007955BB" w:rsidRDefault="00804A79" w:rsidP="00804A79">
      <w:pPr>
        <w:spacing w:before="0" w:line="276" w:lineRule="auto"/>
        <w:ind w:firstLine="562"/>
        <w:rPr>
          <w:rFonts w:cs="Sylfaen"/>
          <w:b w:val="0"/>
          <w:iCs/>
          <w:szCs w:val="22"/>
          <w:lang w:val="af-ZA" w:eastAsia="en-GB"/>
        </w:rPr>
      </w:pPr>
      <w:r w:rsidRPr="007955BB">
        <w:rPr>
          <w:rFonts w:eastAsia="Calibri"/>
          <w:b w:val="0"/>
          <w:szCs w:val="22"/>
          <w:lang w:val="hy-AM" w:eastAsia="en-US"/>
        </w:rPr>
        <w:t xml:space="preserve">Պետական տուրքի </w:t>
      </w:r>
      <w:r w:rsidRPr="007955BB">
        <w:rPr>
          <w:rFonts w:cs="Sylfaen"/>
          <w:b w:val="0"/>
          <w:iCs/>
          <w:szCs w:val="22"/>
          <w:lang w:val="af-ZA" w:eastAsia="en-GB"/>
        </w:rPr>
        <w:t>գծով փաստացի/կանխատեսումային ցուցանիշների ընդհանուր պատկերն ըստ եկամտի հիմնական աղբյուրների հետևյալն է.</w:t>
      </w:r>
    </w:p>
    <w:p w:rsidR="00804A79" w:rsidRPr="007955BB" w:rsidRDefault="00804A79" w:rsidP="00804A79">
      <w:pPr>
        <w:spacing w:before="0" w:line="240" w:lineRule="auto"/>
        <w:ind w:firstLine="562"/>
        <w:rPr>
          <w:b w:val="0"/>
          <w:bCs/>
          <w:szCs w:val="22"/>
          <w:lang w:val="hy-AM"/>
        </w:rPr>
      </w:pPr>
    </w:p>
    <w:p w:rsidR="00804A79" w:rsidRPr="007955BB" w:rsidRDefault="00804A79" w:rsidP="00804A79">
      <w:pPr>
        <w:keepNext/>
        <w:spacing w:after="200"/>
        <w:rPr>
          <w:bCs/>
          <w:i/>
          <w:sz w:val="20"/>
          <w:szCs w:val="20"/>
          <w:lang w:val="hy-AM"/>
        </w:rPr>
      </w:pPr>
      <w:bookmarkStart w:id="260" w:name="_Toc120805265"/>
      <w:r w:rsidRPr="00B86F49">
        <w:rPr>
          <w:b w:val="0"/>
          <w:bCs/>
          <w:color w:val="4472C4"/>
          <w:sz w:val="18"/>
          <w:szCs w:val="18"/>
          <w:lang w:val="hy-AM"/>
        </w:rPr>
        <w:t xml:space="preserve">Աղյուսակ </w:t>
      </w:r>
      <w:r w:rsidRPr="00B86F49">
        <w:rPr>
          <w:b w:val="0"/>
          <w:bCs/>
          <w:color w:val="4472C4"/>
          <w:sz w:val="18"/>
          <w:szCs w:val="18"/>
          <w:lang w:val="hy-AM"/>
        </w:rPr>
        <w:fldChar w:fldCharType="begin"/>
      </w:r>
      <w:r w:rsidRPr="00B86F49">
        <w:rPr>
          <w:b w:val="0"/>
          <w:bCs/>
          <w:color w:val="4472C4"/>
          <w:sz w:val="18"/>
          <w:szCs w:val="18"/>
          <w:lang w:val="hy-AM"/>
        </w:rPr>
        <w:instrText xml:space="preserve"> SEQ Աղյուսակ \* ARABIC </w:instrText>
      </w:r>
      <w:r w:rsidRPr="00B86F49">
        <w:rPr>
          <w:b w:val="0"/>
          <w:bCs/>
          <w:color w:val="4472C4"/>
          <w:sz w:val="18"/>
          <w:szCs w:val="18"/>
          <w:lang w:val="hy-AM"/>
        </w:rPr>
        <w:fldChar w:fldCharType="separate"/>
      </w:r>
      <w:r w:rsidR="008177DF">
        <w:rPr>
          <w:b w:val="0"/>
          <w:bCs/>
          <w:noProof/>
          <w:color w:val="4472C4"/>
          <w:sz w:val="18"/>
          <w:szCs w:val="18"/>
          <w:lang w:val="hy-AM"/>
        </w:rPr>
        <w:t>6</w:t>
      </w:r>
      <w:r w:rsidRPr="00B86F49">
        <w:rPr>
          <w:b w:val="0"/>
          <w:bCs/>
          <w:color w:val="4472C4"/>
          <w:sz w:val="18"/>
          <w:szCs w:val="18"/>
          <w:lang w:val="hy-AM"/>
        </w:rPr>
        <w:fldChar w:fldCharType="end"/>
      </w:r>
      <w:r w:rsidRPr="00B86F49">
        <w:rPr>
          <w:b w:val="0"/>
          <w:bCs/>
          <w:color w:val="4472C4"/>
          <w:sz w:val="18"/>
          <w:szCs w:val="18"/>
          <w:lang w:val="hy-AM"/>
        </w:rPr>
        <w:t>.</w:t>
      </w:r>
      <w:r w:rsidRPr="007955BB">
        <w:rPr>
          <w:b w:val="0"/>
          <w:bCs/>
          <w:sz w:val="18"/>
          <w:szCs w:val="18"/>
          <w:lang w:val="hy-AM"/>
        </w:rPr>
        <w:t xml:space="preserve"> </w:t>
      </w:r>
      <w:r w:rsidRPr="00B86F49">
        <w:rPr>
          <w:bCs/>
          <w:i/>
          <w:color w:val="4472C4"/>
          <w:sz w:val="20"/>
          <w:szCs w:val="20"/>
          <w:lang w:val="hy-AM"/>
        </w:rPr>
        <w:t>Պետական տուրքի կազմում հաշվառվող եկամտատեսակների գծով ՀՀ 2019-2023թթ փաստացի/կանխատեսումային ցուցանիշները (մլրդ դրամներով)</w:t>
      </w:r>
      <w:bookmarkEnd w:id="260"/>
    </w:p>
    <w:tbl>
      <w:tblPr>
        <w:tblW w:w="99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2"/>
        <w:gridCol w:w="1080"/>
        <w:gridCol w:w="990"/>
        <w:gridCol w:w="900"/>
        <w:gridCol w:w="810"/>
        <w:gridCol w:w="1080"/>
      </w:tblGrid>
      <w:tr w:rsidR="00CB6784" w:rsidRPr="007955BB" w:rsidTr="00CB6784">
        <w:trPr>
          <w:trHeight w:val="989"/>
        </w:trPr>
        <w:tc>
          <w:tcPr>
            <w:tcW w:w="5102" w:type="dxa"/>
            <w:shd w:val="clear" w:color="auto" w:fill="5B9BD5"/>
            <w:noWrap/>
            <w:vAlign w:val="center"/>
            <w:hideMark/>
          </w:tcPr>
          <w:p w:rsidR="00804A79" w:rsidRPr="00CB6784" w:rsidRDefault="00804A79" w:rsidP="00804A79">
            <w:pPr>
              <w:spacing w:before="0" w:line="276" w:lineRule="auto"/>
              <w:ind w:firstLine="0"/>
              <w:contextualSpacing w:val="0"/>
              <w:jc w:val="center"/>
              <w:rPr>
                <w:bCs/>
                <w:color w:val="FFFFFF" w:themeColor="background1"/>
                <w:sz w:val="20"/>
                <w:szCs w:val="20"/>
                <w:lang w:val="en-US" w:eastAsia="en-US"/>
              </w:rPr>
            </w:pPr>
            <w:r w:rsidRPr="00CB6784">
              <w:rPr>
                <w:bCs/>
                <w:color w:val="FFFFFF" w:themeColor="background1"/>
                <w:sz w:val="20"/>
                <w:szCs w:val="20"/>
                <w:lang w:val="en-US" w:eastAsia="en-US"/>
              </w:rPr>
              <w:t>Եկամտատեսակը</w:t>
            </w:r>
          </w:p>
        </w:tc>
        <w:tc>
          <w:tcPr>
            <w:tcW w:w="1080" w:type="dxa"/>
            <w:shd w:val="clear" w:color="auto" w:fill="5B9BD5"/>
            <w:noWrap/>
            <w:vAlign w:val="center"/>
            <w:hideMark/>
          </w:tcPr>
          <w:p w:rsidR="00804A79" w:rsidRPr="00CB6784" w:rsidRDefault="00804A79" w:rsidP="00804A79">
            <w:pPr>
              <w:spacing w:before="0" w:line="276" w:lineRule="auto"/>
              <w:ind w:firstLine="0"/>
              <w:contextualSpacing w:val="0"/>
              <w:jc w:val="center"/>
              <w:rPr>
                <w:rFonts w:cs="Calibri"/>
                <w:color w:val="FFFFFF" w:themeColor="background1"/>
                <w:sz w:val="20"/>
                <w:szCs w:val="20"/>
                <w:lang w:val="en-US" w:eastAsia="en-US"/>
              </w:rPr>
            </w:pPr>
            <w:r w:rsidRPr="00CB6784">
              <w:rPr>
                <w:rFonts w:cs="Calibri"/>
                <w:color w:val="FFFFFF" w:themeColor="background1"/>
                <w:sz w:val="20"/>
                <w:szCs w:val="20"/>
                <w:lang w:val="en-US" w:eastAsia="en-US"/>
              </w:rPr>
              <w:t>2019</w:t>
            </w:r>
            <w:r w:rsidRPr="00CB6784">
              <w:rPr>
                <w:rFonts w:cs="Calibri"/>
                <w:color w:val="FFFFFF" w:themeColor="background1"/>
                <w:sz w:val="20"/>
                <w:szCs w:val="20"/>
                <w:lang w:val="en-US" w:eastAsia="en-US"/>
              </w:rPr>
              <w:br/>
              <w:t>փաստ</w:t>
            </w:r>
          </w:p>
        </w:tc>
        <w:tc>
          <w:tcPr>
            <w:tcW w:w="990" w:type="dxa"/>
            <w:shd w:val="clear" w:color="auto" w:fill="5B9BD5"/>
            <w:noWrap/>
            <w:vAlign w:val="center"/>
            <w:hideMark/>
          </w:tcPr>
          <w:p w:rsidR="00804A79" w:rsidRPr="00CB6784" w:rsidRDefault="00804A79" w:rsidP="00804A79">
            <w:pPr>
              <w:spacing w:before="0" w:line="276" w:lineRule="auto"/>
              <w:ind w:firstLine="0"/>
              <w:contextualSpacing w:val="0"/>
              <w:jc w:val="center"/>
              <w:rPr>
                <w:rFonts w:cs="Calibri"/>
                <w:color w:val="FFFFFF" w:themeColor="background1"/>
                <w:sz w:val="20"/>
                <w:szCs w:val="20"/>
                <w:lang w:val="en-US" w:eastAsia="en-US"/>
              </w:rPr>
            </w:pPr>
            <w:r w:rsidRPr="00CB6784">
              <w:rPr>
                <w:rFonts w:cs="Calibri"/>
                <w:color w:val="FFFFFF" w:themeColor="background1"/>
                <w:sz w:val="20"/>
                <w:szCs w:val="20"/>
                <w:lang w:val="en-US" w:eastAsia="en-US"/>
              </w:rPr>
              <w:t xml:space="preserve">2020 </w:t>
            </w:r>
            <w:r w:rsidRPr="00CB6784">
              <w:rPr>
                <w:rFonts w:cs="Calibri"/>
                <w:color w:val="FFFFFF" w:themeColor="background1"/>
                <w:sz w:val="20"/>
                <w:szCs w:val="20"/>
                <w:lang w:val="en-US" w:eastAsia="en-US"/>
              </w:rPr>
              <w:br/>
              <w:t>փաստ</w:t>
            </w:r>
          </w:p>
        </w:tc>
        <w:tc>
          <w:tcPr>
            <w:tcW w:w="900" w:type="dxa"/>
            <w:shd w:val="clear" w:color="auto" w:fill="5B9BD5"/>
            <w:noWrap/>
            <w:vAlign w:val="center"/>
            <w:hideMark/>
          </w:tcPr>
          <w:p w:rsidR="00804A79" w:rsidRPr="00CB6784" w:rsidRDefault="00804A79" w:rsidP="00804A79">
            <w:pPr>
              <w:spacing w:before="0" w:line="276" w:lineRule="auto"/>
              <w:ind w:firstLine="0"/>
              <w:contextualSpacing w:val="0"/>
              <w:jc w:val="center"/>
              <w:rPr>
                <w:rFonts w:cs="Calibri"/>
                <w:b w:val="0"/>
                <w:color w:val="FFFFFF" w:themeColor="background1"/>
                <w:sz w:val="20"/>
                <w:szCs w:val="20"/>
                <w:lang w:val="en-US" w:eastAsia="en-US"/>
              </w:rPr>
            </w:pPr>
            <w:r w:rsidRPr="00CB6784">
              <w:rPr>
                <w:rFonts w:cs="Calibri"/>
                <w:color w:val="FFFFFF" w:themeColor="background1"/>
                <w:sz w:val="20"/>
                <w:szCs w:val="20"/>
                <w:lang w:val="en-US" w:eastAsia="en-US"/>
              </w:rPr>
              <w:t xml:space="preserve">2021 </w:t>
            </w:r>
            <w:r w:rsidRPr="00CB6784">
              <w:rPr>
                <w:rFonts w:cs="Calibri"/>
                <w:color w:val="FFFFFF" w:themeColor="background1"/>
                <w:sz w:val="20"/>
                <w:szCs w:val="20"/>
                <w:lang w:val="en-US" w:eastAsia="en-US"/>
              </w:rPr>
              <w:br/>
              <w:t>փաստ</w:t>
            </w:r>
          </w:p>
        </w:tc>
        <w:tc>
          <w:tcPr>
            <w:tcW w:w="810" w:type="dxa"/>
            <w:shd w:val="clear" w:color="auto" w:fill="5B9BD5"/>
            <w:noWrap/>
            <w:vAlign w:val="center"/>
            <w:hideMark/>
          </w:tcPr>
          <w:p w:rsidR="00804A79" w:rsidRPr="00CB6784" w:rsidRDefault="00804A79" w:rsidP="00804A79">
            <w:pPr>
              <w:spacing w:before="0" w:line="276" w:lineRule="auto"/>
              <w:ind w:firstLine="0"/>
              <w:contextualSpacing w:val="0"/>
              <w:jc w:val="center"/>
              <w:rPr>
                <w:rFonts w:cs="Calibri"/>
                <w:color w:val="FFFFFF" w:themeColor="background1"/>
                <w:sz w:val="20"/>
                <w:szCs w:val="20"/>
                <w:lang w:val="hy-AM" w:eastAsia="en-US"/>
              </w:rPr>
            </w:pPr>
            <w:r w:rsidRPr="00CB6784">
              <w:rPr>
                <w:rFonts w:cs="Calibri"/>
                <w:color w:val="FFFFFF" w:themeColor="background1"/>
                <w:sz w:val="20"/>
                <w:szCs w:val="20"/>
                <w:lang w:val="en-US" w:eastAsia="en-US"/>
              </w:rPr>
              <w:t>2022</w:t>
            </w:r>
            <w:r w:rsidRPr="00CB6784">
              <w:rPr>
                <w:rFonts w:cs="Calibri"/>
                <w:color w:val="FFFFFF" w:themeColor="background1"/>
                <w:sz w:val="20"/>
                <w:szCs w:val="20"/>
                <w:lang w:val="en-US" w:eastAsia="en-US"/>
              </w:rPr>
              <w:br/>
            </w:r>
            <w:r w:rsidRPr="00CB6784">
              <w:rPr>
                <w:rFonts w:cs="Calibri"/>
                <w:color w:val="FFFFFF" w:themeColor="background1"/>
                <w:sz w:val="20"/>
                <w:szCs w:val="20"/>
                <w:lang w:val="hy-AM" w:eastAsia="en-US"/>
              </w:rPr>
              <w:t>բյուջե</w:t>
            </w:r>
          </w:p>
        </w:tc>
        <w:tc>
          <w:tcPr>
            <w:tcW w:w="1080" w:type="dxa"/>
            <w:shd w:val="clear" w:color="auto" w:fill="5B9BD5"/>
            <w:noWrap/>
            <w:vAlign w:val="center"/>
            <w:hideMark/>
          </w:tcPr>
          <w:p w:rsidR="00804A79" w:rsidRPr="00CB6784" w:rsidRDefault="00804A79" w:rsidP="00804A79">
            <w:pPr>
              <w:spacing w:before="0" w:line="276" w:lineRule="auto"/>
              <w:ind w:firstLine="0"/>
              <w:contextualSpacing w:val="0"/>
              <w:jc w:val="center"/>
              <w:rPr>
                <w:rFonts w:cs="Calibri"/>
                <w:color w:val="FFFFFF" w:themeColor="background1"/>
                <w:sz w:val="20"/>
                <w:szCs w:val="20"/>
                <w:lang w:val="en-US" w:eastAsia="en-US"/>
              </w:rPr>
            </w:pPr>
            <w:r w:rsidRPr="00CB6784">
              <w:rPr>
                <w:rFonts w:cs="Calibri"/>
                <w:color w:val="FFFFFF" w:themeColor="background1"/>
                <w:sz w:val="20"/>
                <w:szCs w:val="20"/>
                <w:lang w:val="en-US" w:eastAsia="en-US"/>
              </w:rPr>
              <w:t xml:space="preserve">2023 </w:t>
            </w:r>
            <w:r w:rsidRPr="00CB6784">
              <w:rPr>
                <w:rFonts w:cs="Calibri"/>
                <w:color w:val="FFFFFF" w:themeColor="background1"/>
                <w:sz w:val="20"/>
                <w:szCs w:val="20"/>
                <w:lang w:val="en-US" w:eastAsia="en-US"/>
              </w:rPr>
              <w:br/>
              <w:t>կանխա</w:t>
            </w:r>
            <w:r w:rsidRPr="00CB6784">
              <w:rPr>
                <w:rFonts w:cs="Calibri"/>
                <w:color w:val="FFFFFF" w:themeColor="background1"/>
                <w:sz w:val="20"/>
                <w:szCs w:val="20"/>
                <w:lang w:val="hy-AM" w:eastAsia="en-US"/>
              </w:rPr>
              <w:t>-</w:t>
            </w:r>
            <w:r w:rsidRPr="00CB6784">
              <w:rPr>
                <w:rFonts w:cs="Calibri"/>
                <w:color w:val="FFFFFF" w:themeColor="background1"/>
                <w:sz w:val="20"/>
                <w:szCs w:val="20"/>
                <w:lang w:val="en-US" w:eastAsia="en-US"/>
              </w:rPr>
              <w:t>տեսում</w:t>
            </w:r>
          </w:p>
          <w:p w:rsidR="00804A79" w:rsidRPr="00CB6784" w:rsidRDefault="00804A79" w:rsidP="00804A79">
            <w:pPr>
              <w:spacing w:before="0" w:line="276" w:lineRule="auto"/>
              <w:ind w:firstLine="0"/>
              <w:contextualSpacing w:val="0"/>
              <w:jc w:val="center"/>
              <w:rPr>
                <w:rFonts w:cs="Calibri"/>
                <w:color w:val="FFFFFF" w:themeColor="background1"/>
                <w:sz w:val="20"/>
                <w:szCs w:val="20"/>
                <w:lang w:val="en-US" w:eastAsia="en-US"/>
              </w:rPr>
            </w:pPr>
          </w:p>
        </w:tc>
      </w:tr>
      <w:tr w:rsidR="00CB6784" w:rsidRPr="007955BB" w:rsidTr="00CB6784">
        <w:trPr>
          <w:trHeight w:val="705"/>
        </w:trPr>
        <w:tc>
          <w:tcPr>
            <w:tcW w:w="5102" w:type="dxa"/>
            <w:shd w:val="clear" w:color="auto" w:fill="D5DCE4"/>
            <w:vAlign w:val="center"/>
          </w:tcPr>
          <w:p w:rsidR="00804A79" w:rsidRPr="007955BB" w:rsidRDefault="00804A79" w:rsidP="00804A79">
            <w:pPr>
              <w:spacing w:before="0" w:line="240" w:lineRule="auto"/>
              <w:ind w:firstLine="0"/>
              <w:contextualSpacing w:val="0"/>
              <w:jc w:val="left"/>
              <w:rPr>
                <w:bCs/>
                <w:sz w:val="20"/>
                <w:szCs w:val="20"/>
                <w:lang w:eastAsia="en-US"/>
              </w:rPr>
            </w:pPr>
            <w:r w:rsidRPr="007955BB">
              <w:rPr>
                <w:bCs/>
                <w:sz w:val="20"/>
                <w:szCs w:val="20"/>
                <w:lang w:val="en-US" w:eastAsia="en-US"/>
              </w:rPr>
              <w:t>Պետական</w:t>
            </w:r>
            <w:r w:rsidRPr="007955BB">
              <w:rPr>
                <w:bCs/>
                <w:sz w:val="20"/>
                <w:szCs w:val="20"/>
                <w:lang w:eastAsia="en-US"/>
              </w:rPr>
              <w:t xml:space="preserve"> </w:t>
            </w:r>
            <w:r w:rsidRPr="007955BB">
              <w:rPr>
                <w:bCs/>
                <w:sz w:val="20"/>
                <w:szCs w:val="20"/>
                <w:lang w:val="en-US" w:eastAsia="en-US"/>
              </w:rPr>
              <w:t>տուրք</w:t>
            </w:r>
            <w:r w:rsidRPr="007955BB">
              <w:rPr>
                <w:bCs/>
                <w:sz w:val="20"/>
                <w:szCs w:val="20"/>
                <w:lang w:eastAsia="en-US"/>
              </w:rPr>
              <w:t xml:space="preserve">, </w:t>
            </w:r>
            <w:r w:rsidRPr="007955BB">
              <w:rPr>
                <w:bCs/>
                <w:sz w:val="20"/>
                <w:szCs w:val="20"/>
                <w:lang w:val="en-US" w:eastAsia="en-US"/>
              </w:rPr>
              <w:t>ընդամենը</w:t>
            </w:r>
            <w:r w:rsidRPr="007955BB">
              <w:rPr>
                <w:bCs/>
                <w:sz w:val="20"/>
                <w:szCs w:val="20"/>
                <w:lang w:eastAsia="en-US"/>
              </w:rPr>
              <w:t xml:space="preserve">    </w:t>
            </w:r>
          </w:p>
          <w:p w:rsidR="00804A79" w:rsidRPr="007955BB" w:rsidRDefault="00804A79" w:rsidP="00804A79">
            <w:pPr>
              <w:spacing w:before="0" w:line="240" w:lineRule="auto"/>
              <w:ind w:firstLine="0"/>
              <w:contextualSpacing w:val="0"/>
              <w:jc w:val="left"/>
              <w:rPr>
                <w:bCs/>
                <w:sz w:val="20"/>
                <w:szCs w:val="20"/>
                <w:lang w:eastAsia="en-US"/>
              </w:rPr>
            </w:pPr>
            <w:r w:rsidRPr="007955BB">
              <w:rPr>
                <w:bCs/>
                <w:sz w:val="20"/>
                <w:szCs w:val="20"/>
                <w:lang w:val="en-US" w:eastAsia="en-US"/>
              </w:rPr>
              <w:t>այդ</w:t>
            </w:r>
            <w:r w:rsidRPr="007955BB">
              <w:rPr>
                <w:bCs/>
                <w:sz w:val="20"/>
                <w:szCs w:val="20"/>
                <w:lang w:eastAsia="en-US"/>
              </w:rPr>
              <w:t xml:space="preserve"> </w:t>
            </w:r>
            <w:r w:rsidRPr="007955BB">
              <w:rPr>
                <w:bCs/>
                <w:sz w:val="20"/>
                <w:szCs w:val="20"/>
                <w:lang w:val="en-US" w:eastAsia="en-US"/>
              </w:rPr>
              <w:t>թվում</w:t>
            </w:r>
            <w:r w:rsidRPr="007955BB">
              <w:rPr>
                <w:bCs/>
                <w:sz w:val="20"/>
                <w:szCs w:val="20"/>
                <w:lang w:eastAsia="en-US"/>
              </w:rPr>
              <w:t>`</w:t>
            </w:r>
          </w:p>
        </w:tc>
        <w:tc>
          <w:tcPr>
            <w:tcW w:w="1080" w:type="dxa"/>
            <w:shd w:val="clear" w:color="auto" w:fill="D5DCE4"/>
            <w:noWrap/>
            <w:vAlign w:val="center"/>
          </w:tcPr>
          <w:p w:rsidR="00804A79" w:rsidRPr="007955BB" w:rsidRDefault="00804A79" w:rsidP="00804A79">
            <w:pPr>
              <w:spacing w:before="0" w:line="276" w:lineRule="auto"/>
              <w:ind w:firstLine="0"/>
              <w:contextualSpacing w:val="0"/>
              <w:jc w:val="center"/>
              <w:rPr>
                <w:bCs/>
                <w:sz w:val="20"/>
                <w:szCs w:val="20"/>
                <w:lang w:val="en-US" w:eastAsia="en-US"/>
              </w:rPr>
            </w:pPr>
            <w:r w:rsidRPr="007955BB">
              <w:rPr>
                <w:szCs w:val="22"/>
                <w:lang w:val="en-US" w:eastAsia="en-US"/>
              </w:rPr>
              <w:t>45.7</w:t>
            </w:r>
          </w:p>
        </w:tc>
        <w:tc>
          <w:tcPr>
            <w:tcW w:w="990" w:type="dxa"/>
            <w:shd w:val="clear" w:color="auto" w:fill="D5DCE4"/>
            <w:noWrap/>
            <w:vAlign w:val="center"/>
          </w:tcPr>
          <w:p w:rsidR="00804A79" w:rsidRPr="007955BB" w:rsidRDefault="00804A79" w:rsidP="00804A79">
            <w:pPr>
              <w:spacing w:before="0" w:line="276" w:lineRule="auto"/>
              <w:ind w:firstLine="0"/>
              <w:contextualSpacing w:val="0"/>
              <w:jc w:val="center"/>
              <w:rPr>
                <w:bCs/>
                <w:sz w:val="20"/>
                <w:szCs w:val="20"/>
                <w:lang w:val="en-US" w:eastAsia="en-US"/>
              </w:rPr>
            </w:pPr>
            <w:r w:rsidRPr="007955BB">
              <w:rPr>
                <w:szCs w:val="22"/>
                <w:lang w:val="en-US" w:eastAsia="en-US"/>
              </w:rPr>
              <w:t>33.2</w:t>
            </w:r>
          </w:p>
        </w:tc>
        <w:tc>
          <w:tcPr>
            <w:tcW w:w="900" w:type="dxa"/>
            <w:shd w:val="clear" w:color="auto" w:fill="D5DCE4"/>
            <w:noWrap/>
            <w:vAlign w:val="center"/>
          </w:tcPr>
          <w:p w:rsidR="00804A79" w:rsidRPr="007955BB" w:rsidRDefault="00804A79" w:rsidP="00804A79">
            <w:pPr>
              <w:spacing w:before="0" w:line="276" w:lineRule="auto"/>
              <w:ind w:firstLine="0"/>
              <w:contextualSpacing w:val="0"/>
              <w:jc w:val="center"/>
              <w:rPr>
                <w:bCs/>
                <w:sz w:val="20"/>
                <w:szCs w:val="20"/>
                <w:lang w:val="en-US" w:eastAsia="en-US"/>
              </w:rPr>
            </w:pPr>
            <w:r w:rsidRPr="007955BB">
              <w:rPr>
                <w:szCs w:val="22"/>
                <w:lang w:val="en-US" w:eastAsia="en-US"/>
              </w:rPr>
              <w:t>66.7</w:t>
            </w:r>
          </w:p>
        </w:tc>
        <w:tc>
          <w:tcPr>
            <w:tcW w:w="810" w:type="dxa"/>
            <w:shd w:val="clear" w:color="auto" w:fill="D5DCE4"/>
            <w:noWrap/>
            <w:vAlign w:val="center"/>
          </w:tcPr>
          <w:p w:rsidR="00804A79" w:rsidRPr="007955BB" w:rsidRDefault="00804A79" w:rsidP="00804A79">
            <w:pPr>
              <w:spacing w:before="0" w:line="276" w:lineRule="auto"/>
              <w:ind w:firstLine="0"/>
              <w:contextualSpacing w:val="0"/>
              <w:jc w:val="center"/>
              <w:rPr>
                <w:bCs/>
                <w:sz w:val="20"/>
                <w:szCs w:val="20"/>
                <w:lang w:val="en-US" w:eastAsia="en-US"/>
              </w:rPr>
            </w:pPr>
            <w:r w:rsidRPr="007955BB">
              <w:rPr>
                <w:szCs w:val="22"/>
                <w:lang w:val="en-US" w:eastAsia="en-US"/>
              </w:rPr>
              <w:t>90.1</w:t>
            </w:r>
          </w:p>
        </w:tc>
        <w:tc>
          <w:tcPr>
            <w:tcW w:w="1080" w:type="dxa"/>
            <w:shd w:val="clear" w:color="auto" w:fill="D5DCE4"/>
            <w:noWrap/>
            <w:vAlign w:val="center"/>
          </w:tcPr>
          <w:p w:rsidR="00804A79" w:rsidRPr="007955BB" w:rsidRDefault="00804A79" w:rsidP="00F12CD4">
            <w:pPr>
              <w:spacing w:before="0" w:line="276" w:lineRule="auto"/>
              <w:ind w:firstLine="0"/>
              <w:contextualSpacing w:val="0"/>
              <w:jc w:val="center"/>
              <w:rPr>
                <w:rFonts w:cs="Sylfaen"/>
                <w:iCs/>
                <w:sz w:val="20"/>
                <w:szCs w:val="20"/>
                <w:lang w:val="hy-AM" w:eastAsia="en-GB"/>
              </w:rPr>
            </w:pPr>
            <w:r w:rsidRPr="007955BB">
              <w:rPr>
                <w:szCs w:val="22"/>
                <w:lang w:val="en-US" w:eastAsia="en-US"/>
              </w:rPr>
              <w:t>51.</w:t>
            </w:r>
            <w:r w:rsidR="00F12CD4" w:rsidRPr="007955BB">
              <w:rPr>
                <w:szCs w:val="22"/>
                <w:lang w:eastAsia="en-US"/>
              </w:rPr>
              <w:t>4</w:t>
            </w:r>
          </w:p>
        </w:tc>
      </w:tr>
      <w:tr w:rsidR="00CB6784" w:rsidRPr="007955BB" w:rsidTr="00CB6784">
        <w:trPr>
          <w:trHeight w:val="705"/>
        </w:trPr>
        <w:tc>
          <w:tcPr>
            <w:tcW w:w="5102" w:type="dxa"/>
            <w:shd w:val="clear" w:color="auto" w:fill="FFFFFF"/>
            <w:vAlign w:val="center"/>
          </w:tcPr>
          <w:p w:rsidR="00804A79" w:rsidRPr="007955BB" w:rsidRDefault="00804A79" w:rsidP="00804A79">
            <w:pPr>
              <w:spacing w:before="0" w:line="240" w:lineRule="auto"/>
              <w:ind w:firstLine="0"/>
              <w:contextualSpacing w:val="0"/>
              <w:jc w:val="left"/>
              <w:rPr>
                <w:b w:val="0"/>
                <w:bCs/>
                <w:sz w:val="20"/>
                <w:szCs w:val="20"/>
                <w:lang w:eastAsia="en-US"/>
              </w:rPr>
            </w:pPr>
            <w:r w:rsidRPr="007955BB">
              <w:rPr>
                <w:b w:val="0"/>
                <w:bCs/>
                <w:sz w:val="20"/>
                <w:szCs w:val="20"/>
                <w:lang w:eastAsia="en-US"/>
              </w:rPr>
              <w:t xml:space="preserve">1. </w:t>
            </w:r>
            <w:r w:rsidRPr="007955BB">
              <w:rPr>
                <w:b w:val="0"/>
                <w:bCs/>
                <w:sz w:val="20"/>
                <w:szCs w:val="20"/>
                <w:lang w:val="en-US" w:eastAsia="en-US"/>
              </w:rPr>
              <w:t>Դատարան</w:t>
            </w:r>
            <w:r w:rsidRPr="007955BB">
              <w:rPr>
                <w:b w:val="0"/>
                <w:bCs/>
                <w:sz w:val="20"/>
                <w:szCs w:val="20"/>
                <w:lang w:eastAsia="en-US"/>
              </w:rPr>
              <w:t xml:space="preserve"> </w:t>
            </w:r>
            <w:r w:rsidRPr="007955BB">
              <w:rPr>
                <w:b w:val="0"/>
                <w:bCs/>
                <w:sz w:val="20"/>
                <w:szCs w:val="20"/>
                <w:lang w:val="en-US" w:eastAsia="en-US"/>
              </w:rPr>
              <w:t>տրվող</w:t>
            </w:r>
            <w:r w:rsidRPr="007955BB">
              <w:rPr>
                <w:b w:val="0"/>
                <w:bCs/>
                <w:sz w:val="20"/>
                <w:szCs w:val="20"/>
                <w:lang w:eastAsia="en-US"/>
              </w:rPr>
              <w:t xml:space="preserve"> </w:t>
            </w:r>
            <w:r w:rsidRPr="007955BB">
              <w:rPr>
                <w:b w:val="0"/>
                <w:bCs/>
                <w:sz w:val="20"/>
                <w:szCs w:val="20"/>
                <w:lang w:val="en-US" w:eastAsia="en-US"/>
              </w:rPr>
              <w:t>հայցադիմումների</w:t>
            </w:r>
            <w:r w:rsidRPr="007955BB">
              <w:rPr>
                <w:b w:val="0"/>
                <w:bCs/>
                <w:sz w:val="20"/>
                <w:szCs w:val="20"/>
                <w:lang w:eastAsia="en-US"/>
              </w:rPr>
              <w:t xml:space="preserve">, </w:t>
            </w:r>
            <w:r w:rsidRPr="007955BB">
              <w:rPr>
                <w:b w:val="0"/>
                <w:bCs/>
                <w:sz w:val="20"/>
                <w:szCs w:val="20"/>
                <w:lang w:val="en-US" w:eastAsia="en-US"/>
              </w:rPr>
              <w:t>դիմումների</w:t>
            </w:r>
            <w:r w:rsidRPr="007955BB">
              <w:rPr>
                <w:b w:val="0"/>
                <w:bCs/>
                <w:sz w:val="20"/>
                <w:szCs w:val="20"/>
                <w:lang w:eastAsia="en-US"/>
              </w:rPr>
              <w:t xml:space="preserve">, </w:t>
            </w:r>
            <w:r w:rsidRPr="007955BB">
              <w:rPr>
                <w:b w:val="0"/>
                <w:bCs/>
                <w:sz w:val="20"/>
                <w:szCs w:val="20"/>
                <w:lang w:val="en-US" w:eastAsia="en-US"/>
              </w:rPr>
              <w:t>դատարանի</w:t>
            </w:r>
            <w:r w:rsidRPr="007955BB">
              <w:rPr>
                <w:b w:val="0"/>
                <w:bCs/>
                <w:sz w:val="20"/>
                <w:szCs w:val="20"/>
                <w:lang w:eastAsia="en-US"/>
              </w:rPr>
              <w:t xml:space="preserve"> </w:t>
            </w:r>
            <w:r w:rsidRPr="007955BB">
              <w:rPr>
                <w:b w:val="0"/>
                <w:bCs/>
                <w:sz w:val="20"/>
                <w:szCs w:val="20"/>
                <w:lang w:val="en-US" w:eastAsia="en-US"/>
              </w:rPr>
              <w:t>դատական</w:t>
            </w:r>
            <w:r w:rsidRPr="007955BB">
              <w:rPr>
                <w:b w:val="0"/>
                <w:bCs/>
                <w:sz w:val="20"/>
                <w:szCs w:val="20"/>
                <w:lang w:eastAsia="en-US"/>
              </w:rPr>
              <w:t xml:space="preserve"> </w:t>
            </w:r>
            <w:r w:rsidRPr="007955BB">
              <w:rPr>
                <w:b w:val="0"/>
                <w:bCs/>
                <w:sz w:val="20"/>
                <w:szCs w:val="20"/>
                <w:lang w:val="en-US" w:eastAsia="en-US"/>
              </w:rPr>
              <w:t>ակտերի</w:t>
            </w:r>
            <w:r w:rsidRPr="007955BB">
              <w:rPr>
                <w:b w:val="0"/>
                <w:bCs/>
                <w:sz w:val="20"/>
                <w:szCs w:val="20"/>
                <w:lang w:eastAsia="en-US"/>
              </w:rPr>
              <w:t xml:space="preserve"> </w:t>
            </w:r>
            <w:r w:rsidRPr="007955BB">
              <w:rPr>
                <w:b w:val="0"/>
                <w:bCs/>
                <w:sz w:val="20"/>
                <w:szCs w:val="20"/>
                <w:lang w:val="en-US" w:eastAsia="en-US"/>
              </w:rPr>
              <w:t>դեմ</w:t>
            </w:r>
            <w:r w:rsidRPr="007955BB">
              <w:rPr>
                <w:b w:val="0"/>
                <w:bCs/>
                <w:sz w:val="20"/>
                <w:szCs w:val="20"/>
                <w:lang w:eastAsia="en-US"/>
              </w:rPr>
              <w:t xml:space="preserve"> </w:t>
            </w:r>
            <w:r w:rsidRPr="007955BB">
              <w:rPr>
                <w:b w:val="0"/>
                <w:bCs/>
                <w:sz w:val="20"/>
                <w:szCs w:val="20"/>
                <w:lang w:val="en-US" w:eastAsia="en-US"/>
              </w:rPr>
              <w:t>վերաքննիչ</w:t>
            </w:r>
            <w:r w:rsidRPr="007955BB">
              <w:rPr>
                <w:b w:val="0"/>
                <w:bCs/>
                <w:sz w:val="20"/>
                <w:szCs w:val="20"/>
                <w:lang w:eastAsia="en-US"/>
              </w:rPr>
              <w:t xml:space="preserve"> </w:t>
            </w:r>
            <w:r w:rsidRPr="007955BB">
              <w:rPr>
                <w:b w:val="0"/>
                <w:bCs/>
                <w:sz w:val="20"/>
                <w:szCs w:val="20"/>
                <w:lang w:val="en-US" w:eastAsia="en-US"/>
              </w:rPr>
              <w:t>և</w:t>
            </w:r>
            <w:r w:rsidRPr="007955BB">
              <w:rPr>
                <w:b w:val="0"/>
                <w:bCs/>
                <w:sz w:val="20"/>
                <w:szCs w:val="20"/>
                <w:lang w:eastAsia="en-US"/>
              </w:rPr>
              <w:t xml:space="preserve"> </w:t>
            </w:r>
            <w:r w:rsidRPr="007955BB">
              <w:rPr>
                <w:b w:val="0"/>
                <w:bCs/>
                <w:sz w:val="20"/>
                <w:szCs w:val="20"/>
                <w:lang w:val="en-US" w:eastAsia="en-US"/>
              </w:rPr>
              <w:t>վճռաբեկ</w:t>
            </w:r>
            <w:r w:rsidRPr="007955BB">
              <w:rPr>
                <w:b w:val="0"/>
                <w:bCs/>
                <w:sz w:val="20"/>
                <w:szCs w:val="20"/>
                <w:lang w:eastAsia="en-US"/>
              </w:rPr>
              <w:t xml:space="preserve"> </w:t>
            </w:r>
            <w:r w:rsidRPr="007955BB">
              <w:rPr>
                <w:b w:val="0"/>
                <w:bCs/>
                <w:sz w:val="20"/>
                <w:szCs w:val="20"/>
                <w:lang w:val="en-US" w:eastAsia="en-US"/>
              </w:rPr>
              <w:t>բողոքների</w:t>
            </w:r>
            <w:r w:rsidRPr="007955BB">
              <w:rPr>
                <w:b w:val="0"/>
                <w:bCs/>
                <w:sz w:val="20"/>
                <w:szCs w:val="20"/>
                <w:lang w:eastAsia="en-US"/>
              </w:rPr>
              <w:t xml:space="preserve"> </w:t>
            </w:r>
            <w:r w:rsidRPr="007955BB">
              <w:rPr>
                <w:b w:val="0"/>
                <w:bCs/>
                <w:sz w:val="20"/>
                <w:szCs w:val="20"/>
                <w:lang w:val="en-US" w:eastAsia="en-US"/>
              </w:rPr>
              <w:t>համար</w:t>
            </w:r>
            <w:r w:rsidRPr="007955BB">
              <w:rPr>
                <w:b w:val="0"/>
                <w:bCs/>
                <w:sz w:val="20"/>
                <w:szCs w:val="20"/>
                <w:lang w:eastAsia="en-US"/>
              </w:rPr>
              <w:t xml:space="preserve">, </w:t>
            </w:r>
            <w:r w:rsidRPr="007955BB">
              <w:rPr>
                <w:b w:val="0"/>
                <w:bCs/>
                <w:sz w:val="20"/>
                <w:szCs w:val="20"/>
                <w:lang w:val="en-US" w:eastAsia="en-US"/>
              </w:rPr>
              <w:t>ինչպես</w:t>
            </w:r>
            <w:r w:rsidRPr="007955BB">
              <w:rPr>
                <w:b w:val="0"/>
                <w:bCs/>
                <w:sz w:val="20"/>
                <w:szCs w:val="20"/>
                <w:lang w:eastAsia="en-US"/>
              </w:rPr>
              <w:t xml:space="preserve"> </w:t>
            </w:r>
            <w:r w:rsidRPr="007955BB">
              <w:rPr>
                <w:b w:val="0"/>
                <w:bCs/>
                <w:sz w:val="20"/>
                <w:szCs w:val="20"/>
                <w:lang w:val="en-US" w:eastAsia="en-US"/>
              </w:rPr>
              <w:t>նաև</w:t>
            </w:r>
            <w:r w:rsidRPr="007955BB">
              <w:rPr>
                <w:b w:val="0"/>
                <w:bCs/>
                <w:sz w:val="20"/>
                <w:szCs w:val="20"/>
                <w:lang w:eastAsia="en-US"/>
              </w:rPr>
              <w:t xml:space="preserve"> </w:t>
            </w:r>
            <w:r w:rsidRPr="007955BB">
              <w:rPr>
                <w:b w:val="0"/>
                <w:bCs/>
                <w:sz w:val="20"/>
                <w:szCs w:val="20"/>
                <w:lang w:val="en-US" w:eastAsia="en-US"/>
              </w:rPr>
              <w:t>դատարանի</w:t>
            </w:r>
            <w:r w:rsidRPr="007955BB">
              <w:rPr>
                <w:b w:val="0"/>
                <w:bCs/>
                <w:sz w:val="20"/>
                <w:szCs w:val="20"/>
                <w:lang w:eastAsia="en-US"/>
              </w:rPr>
              <w:t xml:space="preserve"> </w:t>
            </w:r>
            <w:r w:rsidRPr="007955BB">
              <w:rPr>
                <w:b w:val="0"/>
                <w:bCs/>
                <w:sz w:val="20"/>
                <w:szCs w:val="20"/>
                <w:lang w:val="en-US" w:eastAsia="en-US"/>
              </w:rPr>
              <w:t>կողմից</w:t>
            </w:r>
            <w:r w:rsidRPr="007955BB">
              <w:rPr>
                <w:b w:val="0"/>
                <w:bCs/>
                <w:sz w:val="20"/>
                <w:szCs w:val="20"/>
                <w:lang w:eastAsia="en-US"/>
              </w:rPr>
              <w:t xml:space="preserve"> </w:t>
            </w:r>
            <w:r w:rsidRPr="007955BB">
              <w:rPr>
                <w:b w:val="0"/>
                <w:bCs/>
                <w:sz w:val="20"/>
                <w:szCs w:val="20"/>
                <w:lang w:val="en-US" w:eastAsia="en-US"/>
              </w:rPr>
              <w:t>տրվող</w:t>
            </w:r>
            <w:r w:rsidRPr="007955BB">
              <w:rPr>
                <w:b w:val="0"/>
                <w:bCs/>
                <w:sz w:val="20"/>
                <w:szCs w:val="20"/>
                <w:lang w:eastAsia="en-US"/>
              </w:rPr>
              <w:t xml:space="preserve"> </w:t>
            </w:r>
            <w:r w:rsidRPr="007955BB">
              <w:rPr>
                <w:b w:val="0"/>
                <w:bCs/>
                <w:sz w:val="20"/>
                <w:szCs w:val="20"/>
                <w:lang w:val="en-US" w:eastAsia="en-US"/>
              </w:rPr>
              <w:t>փաստաթղթերի</w:t>
            </w:r>
            <w:r w:rsidRPr="007955BB">
              <w:rPr>
                <w:b w:val="0"/>
                <w:bCs/>
                <w:sz w:val="20"/>
                <w:szCs w:val="20"/>
                <w:lang w:eastAsia="en-US"/>
              </w:rPr>
              <w:t xml:space="preserve"> </w:t>
            </w:r>
            <w:r w:rsidRPr="007955BB">
              <w:rPr>
                <w:b w:val="0"/>
                <w:bCs/>
                <w:sz w:val="20"/>
                <w:szCs w:val="20"/>
                <w:lang w:val="en-US" w:eastAsia="en-US"/>
              </w:rPr>
              <w:t>պատճեններ</w:t>
            </w:r>
            <w:r w:rsidRPr="007955BB">
              <w:rPr>
                <w:b w:val="0"/>
                <w:bCs/>
                <w:sz w:val="20"/>
                <w:szCs w:val="20"/>
                <w:lang w:eastAsia="en-US"/>
              </w:rPr>
              <w:t xml:space="preserve"> (</w:t>
            </w:r>
            <w:r w:rsidRPr="007955BB">
              <w:rPr>
                <w:b w:val="0"/>
                <w:bCs/>
                <w:sz w:val="20"/>
                <w:szCs w:val="20"/>
                <w:lang w:val="en-US" w:eastAsia="en-US"/>
              </w:rPr>
              <w:t>կրկնօրինակներ</w:t>
            </w:r>
            <w:r w:rsidRPr="007955BB">
              <w:rPr>
                <w:b w:val="0"/>
                <w:bCs/>
                <w:sz w:val="20"/>
                <w:szCs w:val="20"/>
                <w:lang w:eastAsia="en-US"/>
              </w:rPr>
              <w:t xml:space="preserve">) </w:t>
            </w:r>
            <w:r w:rsidRPr="007955BB">
              <w:rPr>
                <w:b w:val="0"/>
                <w:bCs/>
                <w:sz w:val="20"/>
                <w:szCs w:val="20"/>
                <w:lang w:val="en-US" w:eastAsia="en-US"/>
              </w:rPr>
              <w:t>գործում</w:t>
            </w:r>
            <w:r w:rsidRPr="007955BB">
              <w:rPr>
                <w:rFonts w:ascii="Calibri" w:hAnsi="Calibri" w:cs="Calibri"/>
                <w:b w:val="0"/>
                <w:bCs/>
                <w:sz w:val="20"/>
                <w:szCs w:val="20"/>
                <w:lang w:val="en-US" w:eastAsia="en-US"/>
              </w:rPr>
              <w:t> </w:t>
            </w:r>
            <w:r w:rsidRPr="007955BB">
              <w:rPr>
                <w:b w:val="0"/>
                <w:bCs/>
                <w:sz w:val="20"/>
                <w:szCs w:val="20"/>
                <w:lang w:val="en-US" w:eastAsia="en-US"/>
              </w:rPr>
              <w:t>առկա</w:t>
            </w:r>
            <w:r w:rsidRPr="007955BB">
              <w:rPr>
                <w:rFonts w:ascii="Calibri" w:hAnsi="Calibri" w:cs="Calibri"/>
                <w:b w:val="0"/>
                <w:bCs/>
                <w:sz w:val="20"/>
                <w:szCs w:val="20"/>
                <w:lang w:val="en-US" w:eastAsia="en-US"/>
              </w:rPr>
              <w:t> </w:t>
            </w:r>
            <w:r w:rsidRPr="007955BB">
              <w:rPr>
                <w:b w:val="0"/>
                <w:bCs/>
                <w:sz w:val="20"/>
                <w:szCs w:val="20"/>
                <w:lang w:val="en-US" w:eastAsia="en-US"/>
              </w:rPr>
              <w:t>լուսանկարների</w:t>
            </w:r>
            <w:r w:rsidRPr="007955BB">
              <w:rPr>
                <w:rFonts w:ascii="Calibri" w:hAnsi="Calibri" w:cs="Calibri"/>
                <w:b w:val="0"/>
                <w:bCs/>
                <w:sz w:val="20"/>
                <w:szCs w:val="20"/>
                <w:lang w:val="en-US" w:eastAsia="en-US"/>
              </w:rPr>
              <w:t> </w:t>
            </w:r>
            <w:r w:rsidRPr="007955BB">
              <w:rPr>
                <w:rFonts w:hint="eastAsia"/>
                <w:b w:val="0"/>
                <w:bCs/>
                <w:sz w:val="20"/>
                <w:szCs w:val="20"/>
                <w:lang w:eastAsia="en-US"/>
              </w:rPr>
              <w:t>(</w:t>
            </w:r>
            <w:r w:rsidRPr="007955BB">
              <w:rPr>
                <w:b w:val="0"/>
                <w:bCs/>
                <w:sz w:val="20"/>
                <w:szCs w:val="20"/>
                <w:lang w:val="en-US" w:eastAsia="en-US"/>
              </w:rPr>
              <w:t>լուսաժապավենների</w:t>
            </w:r>
            <w:r w:rsidRPr="007955BB">
              <w:rPr>
                <w:rFonts w:hint="eastAsia"/>
                <w:b w:val="0"/>
                <w:bCs/>
                <w:sz w:val="20"/>
                <w:szCs w:val="20"/>
                <w:lang w:eastAsia="en-US"/>
              </w:rPr>
              <w:t>,</w:t>
            </w:r>
            <w:r w:rsidRPr="007955BB">
              <w:rPr>
                <w:rFonts w:ascii="Calibri" w:hAnsi="Calibri" w:cs="Calibri"/>
                <w:b w:val="0"/>
                <w:bCs/>
                <w:sz w:val="20"/>
                <w:szCs w:val="20"/>
                <w:lang w:val="en-US" w:eastAsia="en-US"/>
              </w:rPr>
              <w:t> </w:t>
            </w:r>
            <w:r w:rsidRPr="007955BB">
              <w:rPr>
                <w:b w:val="0"/>
                <w:bCs/>
                <w:sz w:val="20"/>
                <w:szCs w:val="20"/>
                <w:lang w:val="en-US" w:eastAsia="en-US"/>
              </w:rPr>
              <w:t>ձայնագրությունների</w:t>
            </w:r>
            <w:r w:rsidRPr="007955BB">
              <w:rPr>
                <w:rFonts w:hint="eastAsia"/>
                <w:b w:val="0"/>
                <w:bCs/>
                <w:sz w:val="20"/>
                <w:szCs w:val="20"/>
                <w:lang w:eastAsia="en-US"/>
              </w:rPr>
              <w:t>,</w:t>
            </w:r>
            <w:r w:rsidRPr="007955BB">
              <w:rPr>
                <w:rFonts w:ascii="Calibri" w:hAnsi="Calibri" w:cs="Calibri"/>
                <w:b w:val="0"/>
                <w:bCs/>
                <w:sz w:val="20"/>
                <w:szCs w:val="20"/>
                <w:lang w:val="en-US" w:eastAsia="en-US"/>
              </w:rPr>
              <w:t> </w:t>
            </w:r>
            <w:r w:rsidRPr="007955BB">
              <w:rPr>
                <w:b w:val="0"/>
                <w:bCs/>
                <w:sz w:val="20"/>
                <w:szCs w:val="20"/>
                <w:lang w:val="en-US" w:eastAsia="en-US"/>
              </w:rPr>
              <w:t>տեսագրությունների</w:t>
            </w:r>
            <w:r w:rsidRPr="007955BB">
              <w:rPr>
                <w:rFonts w:ascii="Calibri" w:hAnsi="Calibri" w:cs="Calibri"/>
                <w:b w:val="0"/>
                <w:bCs/>
                <w:sz w:val="20"/>
                <w:szCs w:val="20"/>
                <w:lang w:val="en-US" w:eastAsia="en-US"/>
              </w:rPr>
              <w:t> </w:t>
            </w:r>
            <w:r w:rsidRPr="007955BB">
              <w:rPr>
                <w:b w:val="0"/>
                <w:bCs/>
                <w:sz w:val="20"/>
                <w:szCs w:val="20"/>
                <w:lang w:val="en-US" w:eastAsia="en-US"/>
              </w:rPr>
              <w:t>և</w:t>
            </w:r>
            <w:r w:rsidRPr="007955BB">
              <w:rPr>
                <w:rFonts w:ascii="Calibri" w:hAnsi="Calibri" w:cs="Calibri"/>
                <w:b w:val="0"/>
                <w:bCs/>
                <w:sz w:val="20"/>
                <w:szCs w:val="20"/>
                <w:lang w:val="en-US" w:eastAsia="en-US"/>
              </w:rPr>
              <w:t> </w:t>
            </w:r>
            <w:r w:rsidRPr="007955BB">
              <w:rPr>
                <w:b w:val="0"/>
                <w:bCs/>
                <w:sz w:val="20"/>
                <w:szCs w:val="20"/>
                <w:lang w:val="en-US" w:eastAsia="en-US"/>
              </w:rPr>
              <w:t>դրանց</w:t>
            </w:r>
            <w:r w:rsidRPr="007955BB">
              <w:rPr>
                <w:rFonts w:ascii="Calibri" w:hAnsi="Calibri" w:cs="Calibri"/>
                <w:b w:val="0"/>
                <w:bCs/>
                <w:sz w:val="20"/>
                <w:szCs w:val="20"/>
                <w:lang w:val="en-US" w:eastAsia="en-US"/>
              </w:rPr>
              <w:t> </w:t>
            </w:r>
            <w:r w:rsidRPr="007955BB">
              <w:rPr>
                <w:b w:val="0"/>
                <w:bCs/>
                <w:sz w:val="20"/>
                <w:szCs w:val="20"/>
                <w:lang w:val="en-US" w:eastAsia="en-US"/>
              </w:rPr>
              <w:t>էլեկտրոնային</w:t>
            </w:r>
            <w:r w:rsidRPr="007955BB">
              <w:rPr>
                <w:rFonts w:ascii="Calibri" w:hAnsi="Calibri" w:cs="Calibri"/>
                <w:b w:val="0"/>
                <w:bCs/>
                <w:sz w:val="20"/>
                <w:szCs w:val="20"/>
                <w:lang w:val="en-US" w:eastAsia="en-US"/>
              </w:rPr>
              <w:t> </w:t>
            </w:r>
            <w:r w:rsidRPr="007955BB">
              <w:rPr>
                <w:b w:val="0"/>
                <w:bCs/>
                <w:sz w:val="20"/>
                <w:szCs w:val="20"/>
                <w:lang w:val="en-US" w:eastAsia="en-US"/>
              </w:rPr>
              <w:t>կրիչների</w:t>
            </w:r>
            <w:r w:rsidRPr="007955BB">
              <w:rPr>
                <w:rFonts w:ascii="Calibri" w:hAnsi="Calibri" w:cs="Calibri"/>
                <w:b w:val="0"/>
                <w:bCs/>
                <w:sz w:val="20"/>
                <w:szCs w:val="20"/>
                <w:lang w:val="en-US" w:eastAsia="en-US"/>
              </w:rPr>
              <w:t> </w:t>
            </w:r>
            <w:r w:rsidRPr="007955BB">
              <w:rPr>
                <w:b w:val="0"/>
                <w:bCs/>
                <w:sz w:val="20"/>
                <w:szCs w:val="20"/>
                <w:lang w:val="en-US" w:eastAsia="en-US"/>
              </w:rPr>
              <w:t>բնօրինակից</w:t>
            </w:r>
            <w:r w:rsidRPr="007955BB">
              <w:rPr>
                <w:rFonts w:ascii="Calibri" w:hAnsi="Calibri" w:cs="Calibri"/>
                <w:b w:val="0"/>
                <w:bCs/>
                <w:sz w:val="20"/>
                <w:szCs w:val="20"/>
                <w:lang w:val="en-US" w:eastAsia="en-US"/>
              </w:rPr>
              <w:t> </w:t>
            </w:r>
            <w:r w:rsidRPr="007955BB">
              <w:rPr>
                <w:b w:val="0"/>
                <w:bCs/>
                <w:sz w:val="20"/>
                <w:szCs w:val="20"/>
                <w:lang w:val="en-US" w:eastAsia="en-US"/>
              </w:rPr>
              <w:t>պատճենահանված</w:t>
            </w:r>
            <w:r w:rsidRPr="007955BB">
              <w:rPr>
                <w:rFonts w:ascii="Calibri" w:hAnsi="Calibri" w:cs="Calibri"/>
                <w:b w:val="0"/>
                <w:bCs/>
                <w:sz w:val="20"/>
                <w:szCs w:val="20"/>
                <w:lang w:val="en-US" w:eastAsia="en-US"/>
              </w:rPr>
              <w:t> </w:t>
            </w:r>
            <w:r w:rsidRPr="007955BB">
              <w:rPr>
                <w:b w:val="0"/>
                <w:bCs/>
                <w:sz w:val="20"/>
                <w:szCs w:val="20"/>
                <w:lang w:val="en-US" w:eastAsia="en-US"/>
              </w:rPr>
              <w:t>կրիչ</w:t>
            </w:r>
            <w:r w:rsidRPr="007955BB">
              <w:rPr>
                <w:rFonts w:ascii="Calibri" w:hAnsi="Calibri" w:cs="Calibri"/>
                <w:b w:val="0"/>
                <w:bCs/>
                <w:sz w:val="20"/>
                <w:szCs w:val="20"/>
                <w:lang w:val="en-US" w:eastAsia="en-US"/>
              </w:rPr>
              <w:t> </w:t>
            </w:r>
            <w:r w:rsidRPr="007955BB">
              <w:rPr>
                <w:b w:val="0"/>
                <w:bCs/>
                <w:sz w:val="20"/>
                <w:szCs w:val="20"/>
                <w:lang w:val="en-US" w:eastAsia="en-US"/>
              </w:rPr>
              <w:t>և</w:t>
            </w:r>
            <w:r w:rsidRPr="007955BB">
              <w:rPr>
                <w:rFonts w:ascii="Calibri" w:hAnsi="Calibri" w:cs="Calibri"/>
                <w:b w:val="0"/>
                <w:bCs/>
                <w:sz w:val="20"/>
                <w:szCs w:val="20"/>
                <w:lang w:val="en-US" w:eastAsia="en-US"/>
              </w:rPr>
              <w:t> </w:t>
            </w:r>
            <w:r w:rsidRPr="007955BB">
              <w:rPr>
                <w:b w:val="0"/>
                <w:bCs/>
                <w:sz w:val="20"/>
                <w:szCs w:val="20"/>
                <w:lang w:val="en-US" w:eastAsia="en-US"/>
              </w:rPr>
              <w:t>դատական</w:t>
            </w:r>
            <w:r w:rsidRPr="007955BB">
              <w:rPr>
                <w:rFonts w:ascii="Calibri" w:hAnsi="Calibri" w:cs="Calibri"/>
                <w:b w:val="0"/>
                <w:bCs/>
                <w:sz w:val="20"/>
                <w:szCs w:val="20"/>
                <w:lang w:val="en-US" w:eastAsia="en-US"/>
              </w:rPr>
              <w:t> </w:t>
            </w:r>
            <w:r w:rsidRPr="007955BB">
              <w:rPr>
                <w:b w:val="0"/>
                <w:bCs/>
                <w:sz w:val="20"/>
                <w:szCs w:val="20"/>
                <w:lang w:val="en-US" w:eastAsia="en-US"/>
              </w:rPr>
              <w:t>նիստի</w:t>
            </w:r>
            <w:r w:rsidRPr="007955BB">
              <w:rPr>
                <w:rFonts w:ascii="Calibri" w:hAnsi="Calibri" w:cs="Calibri"/>
                <w:b w:val="0"/>
                <w:bCs/>
                <w:sz w:val="20"/>
                <w:szCs w:val="20"/>
                <w:lang w:val="en-US" w:eastAsia="en-US"/>
              </w:rPr>
              <w:t> </w:t>
            </w:r>
            <w:r w:rsidRPr="007955BB">
              <w:rPr>
                <w:b w:val="0"/>
                <w:bCs/>
                <w:sz w:val="20"/>
                <w:szCs w:val="20"/>
                <w:lang w:val="en-US" w:eastAsia="en-US"/>
              </w:rPr>
              <w:t>համակարգչային</w:t>
            </w:r>
            <w:r w:rsidRPr="007955BB">
              <w:rPr>
                <w:rFonts w:ascii="Calibri" w:hAnsi="Calibri" w:cs="Calibri"/>
                <w:b w:val="0"/>
                <w:bCs/>
                <w:sz w:val="20"/>
                <w:szCs w:val="20"/>
                <w:lang w:val="en-US" w:eastAsia="en-US"/>
              </w:rPr>
              <w:t> </w:t>
            </w:r>
            <w:r w:rsidRPr="007955BB">
              <w:rPr>
                <w:b w:val="0"/>
                <w:bCs/>
                <w:sz w:val="20"/>
                <w:szCs w:val="20"/>
                <w:lang w:val="en-US" w:eastAsia="en-US"/>
              </w:rPr>
              <w:t>ձայնագրման</w:t>
            </w:r>
            <w:r w:rsidRPr="007955BB">
              <w:rPr>
                <w:rFonts w:ascii="Calibri" w:hAnsi="Calibri" w:cs="Calibri"/>
                <w:b w:val="0"/>
                <w:bCs/>
                <w:sz w:val="20"/>
                <w:szCs w:val="20"/>
                <w:lang w:val="en-US" w:eastAsia="en-US"/>
              </w:rPr>
              <w:t> </w:t>
            </w:r>
            <w:r w:rsidRPr="007955BB">
              <w:rPr>
                <w:b w:val="0"/>
                <w:bCs/>
                <w:sz w:val="20"/>
                <w:szCs w:val="20"/>
                <w:lang w:val="en-US" w:eastAsia="en-US"/>
              </w:rPr>
              <w:t>կրկնօրինակ</w:t>
            </w:r>
            <w:r w:rsidRPr="007955BB">
              <w:rPr>
                <w:rFonts w:ascii="Calibri" w:hAnsi="Calibri" w:cs="Calibri"/>
                <w:b w:val="0"/>
                <w:bCs/>
                <w:sz w:val="20"/>
                <w:szCs w:val="20"/>
                <w:lang w:val="en-US" w:eastAsia="en-US"/>
              </w:rPr>
              <w:t> </w:t>
            </w:r>
            <w:r w:rsidRPr="007955BB">
              <w:rPr>
                <w:b w:val="0"/>
                <w:bCs/>
                <w:sz w:val="20"/>
                <w:szCs w:val="20"/>
                <w:lang w:val="en-US" w:eastAsia="en-US"/>
              </w:rPr>
              <w:t>տալու</w:t>
            </w:r>
            <w:r w:rsidRPr="007955BB">
              <w:rPr>
                <w:rFonts w:ascii="Calibri" w:hAnsi="Calibri" w:cs="Calibri"/>
                <w:b w:val="0"/>
                <w:bCs/>
                <w:sz w:val="20"/>
                <w:szCs w:val="20"/>
                <w:lang w:val="en-US" w:eastAsia="en-US"/>
              </w:rPr>
              <w:t> </w:t>
            </w:r>
            <w:r w:rsidRPr="007955BB">
              <w:rPr>
                <w:b w:val="0"/>
                <w:bCs/>
                <w:sz w:val="20"/>
                <w:szCs w:val="20"/>
                <w:lang w:val="en-US" w:eastAsia="en-US"/>
              </w:rPr>
              <w:t>համար</w:t>
            </w:r>
          </w:p>
        </w:tc>
        <w:tc>
          <w:tcPr>
            <w:tcW w:w="1080" w:type="dxa"/>
            <w:shd w:val="clear" w:color="auto" w:fill="FFFFFF"/>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2.2</w:t>
            </w:r>
          </w:p>
        </w:tc>
        <w:tc>
          <w:tcPr>
            <w:tcW w:w="990" w:type="dxa"/>
            <w:shd w:val="clear" w:color="auto" w:fill="FFFFFF"/>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1.1</w:t>
            </w:r>
          </w:p>
        </w:tc>
        <w:tc>
          <w:tcPr>
            <w:tcW w:w="900" w:type="dxa"/>
            <w:shd w:val="clear" w:color="auto" w:fill="FFFFFF"/>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2.2</w:t>
            </w:r>
          </w:p>
        </w:tc>
        <w:tc>
          <w:tcPr>
            <w:tcW w:w="810" w:type="dxa"/>
            <w:shd w:val="clear" w:color="auto" w:fill="FFFFFF"/>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2.1</w:t>
            </w:r>
          </w:p>
        </w:tc>
        <w:tc>
          <w:tcPr>
            <w:tcW w:w="1080" w:type="dxa"/>
            <w:shd w:val="clear" w:color="auto" w:fill="FFFFFF"/>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2.4</w:t>
            </w:r>
          </w:p>
        </w:tc>
      </w:tr>
      <w:tr w:rsidR="00CB6784" w:rsidRPr="007955BB" w:rsidTr="00CB6784">
        <w:trPr>
          <w:trHeight w:val="705"/>
        </w:trPr>
        <w:tc>
          <w:tcPr>
            <w:tcW w:w="5102" w:type="dxa"/>
            <w:shd w:val="clear" w:color="auto" w:fill="D5DCE4"/>
            <w:vAlign w:val="center"/>
          </w:tcPr>
          <w:p w:rsidR="00804A79" w:rsidRPr="007955BB" w:rsidRDefault="00804A79" w:rsidP="00804A79">
            <w:pPr>
              <w:spacing w:before="0" w:line="240" w:lineRule="auto"/>
              <w:ind w:firstLine="0"/>
              <w:contextualSpacing w:val="0"/>
              <w:jc w:val="left"/>
              <w:rPr>
                <w:b w:val="0"/>
                <w:bCs/>
                <w:sz w:val="20"/>
                <w:szCs w:val="20"/>
                <w:lang w:eastAsia="en-US"/>
              </w:rPr>
            </w:pPr>
            <w:r w:rsidRPr="007955BB">
              <w:rPr>
                <w:b w:val="0"/>
                <w:bCs/>
                <w:sz w:val="20"/>
                <w:szCs w:val="20"/>
                <w:lang w:eastAsia="en-US"/>
              </w:rPr>
              <w:t xml:space="preserve">2. </w:t>
            </w:r>
            <w:r w:rsidRPr="007955BB">
              <w:rPr>
                <w:b w:val="0"/>
                <w:bCs/>
                <w:sz w:val="20"/>
                <w:szCs w:val="20"/>
                <w:lang w:val="en-US" w:eastAsia="en-US"/>
              </w:rPr>
              <w:t>Հայաստանի</w:t>
            </w:r>
            <w:r w:rsidRPr="007955BB">
              <w:rPr>
                <w:b w:val="0"/>
                <w:bCs/>
                <w:sz w:val="20"/>
                <w:szCs w:val="20"/>
                <w:lang w:eastAsia="en-US"/>
              </w:rPr>
              <w:t xml:space="preserve"> </w:t>
            </w:r>
            <w:r w:rsidRPr="007955BB">
              <w:rPr>
                <w:b w:val="0"/>
                <w:bCs/>
                <w:sz w:val="20"/>
                <w:szCs w:val="20"/>
                <w:lang w:val="en-US" w:eastAsia="en-US"/>
              </w:rPr>
              <w:t>Հանրապետության</w:t>
            </w:r>
            <w:r w:rsidRPr="007955BB">
              <w:rPr>
                <w:b w:val="0"/>
                <w:bCs/>
                <w:sz w:val="20"/>
                <w:szCs w:val="20"/>
                <w:lang w:eastAsia="en-US"/>
              </w:rPr>
              <w:t xml:space="preserve"> </w:t>
            </w:r>
            <w:r w:rsidRPr="007955BB">
              <w:rPr>
                <w:b w:val="0"/>
                <w:bCs/>
                <w:sz w:val="20"/>
                <w:szCs w:val="20"/>
                <w:lang w:val="en-US" w:eastAsia="en-US"/>
              </w:rPr>
              <w:t>քաղաքացիություն</w:t>
            </w:r>
            <w:r w:rsidRPr="007955BB">
              <w:rPr>
                <w:b w:val="0"/>
                <w:bCs/>
                <w:sz w:val="20"/>
                <w:szCs w:val="20"/>
                <w:lang w:eastAsia="en-US"/>
              </w:rPr>
              <w:t xml:space="preserve"> </w:t>
            </w:r>
            <w:r w:rsidRPr="007955BB">
              <w:rPr>
                <w:b w:val="0"/>
                <w:bCs/>
                <w:sz w:val="20"/>
                <w:szCs w:val="20"/>
                <w:lang w:val="en-US" w:eastAsia="en-US"/>
              </w:rPr>
              <w:t>ստանալու</w:t>
            </w:r>
            <w:r w:rsidRPr="007955BB">
              <w:rPr>
                <w:b w:val="0"/>
                <w:bCs/>
                <w:sz w:val="20"/>
                <w:szCs w:val="20"/>
                <w:lang w:eastAsia="en-US"/>
              </w:rPr>
              <w:t xml:space="preserve"> </w:t>
            </w:r>
            <w:r w:rsidRPr="007955BB">
              <w:rPr>
                <w:b w:val="0"/>
                <w:bCs/>
                <w:sz w:val="20"/>
                <w:szCs w:val="20"/>
                <w:lang w:val="en-US" w:eastAsia="en-US"/>
              </w:rPr>
              <w:t>և</w:t>
            </w:r>
            <w:r w:rsidRPr="007955BB">
              <w:rPr>
                <w:b w:val="0"/>
                <w:bCs/>
                <w:sz w:val="20"/>
                <w:szCs w:val="20"/>
                <w:lang w:eastAsia="en-US"/>
              </w:rPr>
              <w:t xml:space="preserve"> </w:t>
            </w:r>
            <w:r w:rsidRPr="007955BB">
              <w:rPr>
                <w:b w:val="0"/>
                <w:bCs/>
                <w:sz w:val="20"/>
                <w:szCs w:val="20"/>
                <w:lang w:val="en-US" w:eastAsia="en-US"/>
              </w:rPr>
              <w:t>Հայաստանի</w:t>
            </w:r>
            <w:r w:rsidRPr="007955BB">
              <w:rPr>
                <w:b w:val="0"/>
                <w:bCs/>
                <w:sz w:val="20"/>
                <w:szCs w:val="20"/>
                <w:lang w:eastAsia="en-US"/>
              </w:rPr>
              <w:t xml:space="preserve"> </w:t>
            </w:r>
            <w:r w:rsidRPr="007955BB">
              <w:rPr>
                <w:b w:val="0"/>
                <w:bCs/>
                <w:sz w:val="20"/>
                <w:szCs w:val="20"/>
                <w:lang w:val="en-US" w:eastAsia="en-US"/>
              </w:rPr>
              <w:t>Հանրապետության</w:t>
            </w:r>
            <w:r w:rsidRPr="007955BB">
              <w:rPr>
                <w:b w:val="0"/>
                <w:bCs/>
                <w:sz w:val="20"/>
                <w:szCs w:val="20"/>
                <w:lang w:eastAsia="en-US"/>
              </w:rPr>
              <w:t xml:space="preserve">  </w:t>
            </w:r>
            <w:r w:rsidRPr="007955BB">
              <w:rPr>
                <w:b w:val="0"/>
                <w:bCs/>
                <w:sz w:val="20"/>
                <w:szCs w:val="20"/>
                <w:lang w:val="en-US" w:eastAsia="en-US"/>
              </w:rPr>
              <w:t>քաղաքացիությունը</w:t>
            </w:r>
            <w:r w:rsidRPr="007955BB">
              <w:rPr>
                <w:b w:val="0"/>
                <w:bCs/>
                <w:sz w:val="20"/>
                <w:szCs w:val="20"/>
                <w:lang w:eastAsia="en-US"/>
              </w:rPr>
              <w:t xml:space="preserve"> </w:t>
            </w:r>
            <w:r w:rsidRPr="007955BB">
              <w:rPr>
                <w:b w:val="0"/>
                <w:bCs/>
                <w:sz w:val="20"/>
                <w:szCs w:val="20"/>
                <w:lang w:val="en-US" w:eastAsia="en-US"/>
              </w:rPr>
              <w:t>փոխելու</w:t>
            </w:r>
            <w:r w:rsidRPr="007955BB">
              <w:rPr>
                <w:b w:val="0"/>
                <w:bCs/>
                <w:sz w:val="20"/>
                <w:szCs w:val="20"/>
                <w:lang w:eastAsia="en-US"/>
              </w:rPr>
              <w:t xml:space="preserve"> </w:t>
            </w:r>
            <w:r w:rsidRPr="007955BB">
              <w:rPr>
                <w:b w:val="0"/>
                <w:bCs/>
                <w:sz w:val="20"/>
                <w:szCs w:val="20"/>
                <w:lang w:val="en-US" w:eastAsia="en-US"/>
              </w:rPr>
              <w:t>համար</w:t>
            </w:r>
            <w:r w:rsidRPr="007955BB">
              <w:rPr>
                <w:b w:val="0"/>
                <w:bCs/>
                <w:sz w:val="20"/>
                <w:szCs w:val="20"/>
                <w:lang w:eastAsia="en-US"/>
              </w:rPr>
              <w:t xml:space="preserve"> </w:t>
            </w:r>
          </w:p>
        </w:tc>
        <w:tc>
          <w:tcPr>
            <w:tcW w:w="1080" w:type="dxa"/>
            <w:shd w:val="clear" w:color="auto" w:fill="D5DCE4"/>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0.1</w:t>
            </w:r>
          </w:p>
        </w:tc>
        <w:tc>
          <w:tcPr>
            <w:tcW w:w="990" w:type="dxa"/>
            <w:shd w:val="clear" w:color="auto" w:fill="D5DCE4"/>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0.1</w:t>
            </w:r>
          </w:p>
        </w:tc>
        <w:tc>
          <w:tcPr>
            <w:tcW w:w="900" w:type="dxa"/>
            <w:shd w:val="clear" w:color="auto" w:fill="D5DCE4"/>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0.1</w:t>
            </w:r>
          </w:p>
        </w:tc>
        <w:tc>
          <w:tcPr>
            <w:tcW w:w="810" w:type="dxa"/>
            <w:shd w:val="clear" w:color="auto" w:fill="D5DCE4"/>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0.1</w:t>
            </w:r>
          </w:p>
        </w:tc>
        <w:tc>
          <w:tcPr>
            <w:tcW w:w="1080" w:type="dxa"/>
            <w:shd w:val="clear" w:color="auto" w:fill="D5DCE4"/>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0.1</w:t>
            </w:r>
          </w:p>
        </w:tc>
      </w:tr>
      <w:tr w:rsidR="00CB6784" w:rsidRPr="007955BB" w:rsidTr="00CB6784">
        <w:trPr>
          <w:trHeight w:val="705"/>
        </w:trPr>
        <w:tc>
          <w:tcPr>
            <w:tcW w:w="5102" w:type="dxa"/>
            <w:shd w:val="clear" w:color="auto" w:fill="FFFFFF"/>
            <w:vAlign w:val="center"/>
          </w:tcPr>
          <w:p w:rsidR="00804A79" w:rsidRPr="007955BB" w:rsidRDefault="00804A79" w:rsidP="00804A79">
            <w:pPr>
              <w:spacing w:before="0" w:line="240" w:lineRule="auto"/>
              <w:ind w:firstLine="0"/>
              <w:contextualSpacing w:val="0"/>
              <w:jc w:val="left"/>
              <w:rPr>
                <w:b w:val="0"/>
                <w:bCs/>
                <w:sz w:val="20"/>
                <w:szCs w:val="20"/>
                <w:lang w:eastAsia="en-US"/>
              </w:rPr>
            </w:pPr>
            <w:r w:rsidRPr="007955BB">
              <w:rPr>
                <w:b w:val="0"/>
                <w:bCs/>
                <w:sz w:val="20"/>
                <w:szCs w:val="20"/>
                <w:lang w:eastAsia="en-US"/>
              </w:rPr>
              <w:t xml:space="preserve">3. </w:t>
            </w:r>
            <w:r w:rsidRPr="007955BB">
              <w:rPr>
                <w:b w:val="0"/>
                <w:bCs/>
                <w:sz w:val="20"/>
                <w:szCs w:val="20"/>
                <w:lang w:val="en-US" w:eastAsia="en-US"/>
              </w:rPr>
              <w:t>Հյուպատոսական</w:t>
            </w:r>
            <w:r w:rsidRPr="007955BB">
              <w:rPr>
                <w:b w:val="0"/>
                <w:bCs/>
                <w:sz w:val="20"/>
                <w:szCs w:val="20"/>
                <w:lang w:eastAsia="en-US"/>
              </w:rPr>
              <w:t xml:space="preserve"> </w:t>
            </w:r>
            <w:r w:rsidRPr="007955BB">
              <w:rPr>
                <w:b w:val="0"/>
                <w:bCs/>
                <w:sz w:val="20"/>
                <w:szCs w:val="20"/>
                <w:lang w:val="en-US" w:eastAsia="en-US"/>
              </w:rPr>
              <w:t>ծառայությունների</w:t>
            </w:r>
            <w:r w:rsidRPr="007955BB">
              <w:rPr>
                <w:b w:val="0"/>
                <w:bCs/>
                <w:sz w:val="20"/>
                <w:szCs w:val="20"/>
                <w:lang w:eastAsia="en-US"/>
              </w:rPr>
              <w:t xml:space="preserve"> </w:t>
            </w:r>
            <w:r w:rsidRPr="007955BB">
              <w:rPr>
                <w:b w:val="0"/>
                <w:bCs/>
                <w:sz w:val="20"/>
                <w:szCs w:val="20"/>
                <w:lang w:val="en-US" w:eastAsia="en-US"/>
              </w:rPr>
              <w:t>կամ</w:t>
            </w:r>
            <w:r w:rsidRPr="007955BB">
              <w:rPr>
                <w:b w:val="0"/>
                <w:bCs/>
                <w:sz w:val="20"/>
                <w:szCs w:val="20"/>
                <w:lang w:eastAsia="en-US"/>
              </w:rPr>
              <w:t xml:space="preserve"> </w:t>
            </w:r>
            <w:r w:rsidRPr="007955BB">
              <w:rPr>
                <w:b w:val="0"/>
                <w:bCs/>
                <w:sz w:val="20"/>
                <w:szCs w:val="20"/>
                <w:lang w:val="en-US" w:eastAsia="en-US"/>
              </w:rPr>
              <w:t>գործողությունների</w:t>
            </w:r>
            <w:r w:rsidRPr="007955BB">
              <w:rPr>
                <w:b w:val="0"/>
                <w:bCs/>
                <w:sz w:val="20"/>
                <w:szCs w:val="20"/>
                <w:lang w:eastAsia="en-US"/>
              </w:rPr>
              <w:t xml:space="preserve"> </w:t>
            </w:r>
            <w:r w:rsidRPr="007955BB">
              <w:rPr>
                <w:b w:val="0"/>
                <w:bCs/>
                <w:sz w:val="20"/>
                <w:szCs w:val="20"/>
                <w:lang w:val="en-US" w:eastAsia="en-US"/>
              </w:rPr>
              <w:t>համար</w:t>
            </w:r>
          </w:p>
        </w:tc>
        <w:tc>
          <w:tcPr>
            <w:tcW w:w="1080" w:type="dxa"/>
            <w:shd w:val="clear" w:color="auto" w:fill="FFFFFF"/>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2.2</w:t>
            </w:r>
          </w:p>
        </w:tc>
        <w:tc>
          <w:tcPr>
            <w:tcW w:w="990" w:type="dxa"/>
            <w:shd w:val="clear" w:color="auto" w:fill="FFFFFF"/>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2.1</w:t>
            </w:r>
          </w:p>
        </w:tc>
        <w:tc>
          <w:tcPr>
            <w:tcW w:w="900" w:type="dxa"/>
            <w:shd w:val="clear" w:color="auto" w:fill="FFFFFF"/>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3.1</w:t>
            </w:r>
          </w:p>
        </w:tc>
        <w:tc>
          <w:tcPr>
            <w:tcW w:w="810" w:type="dxa"/>
            <w:shd w:val="clear" w:color="auto" w:fill="FFFFFF"/>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2.4</w:t>
            </w:r>
          </w:p>
        </w:tc>
        <w:tc>
          <w:tcPr>
            <w:tcW w:w="1080" w:type="dxa"/>
            <w:shd w:val="clear" w:color="auto" w:fill="FFFFFF"/>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2.5</w:t>
            </w:r>
          </w:p>
        </w:tc>
      </w:tr>
      <w:tr w:rsidR="00CB6784" w:rsidRPr="007955BB" w:rsidTr="00CB6784">
        <w:trPr>
          <w:trHeight w:val="705"/>
        </w:trPr>
        <w:tc>
          <w:tcPr>
            <w:tcW w:w="5102" w:type="dxa"/>
            <w:shd w:val="clear" w:color="auto" w:fill="D5DCE4"/>
            <w:vAlign w:val="center"/>
          </w:tcPr>
          <w:p w:rsidR="00804A79" w:rsidRPr="007955BB" w:rsidRDefault="00804A79" w:rsidP="00804A79">
            <w:pPr>
              <w:spacing w:before="0" w:line="240" w:lineRule="auto"/>
              <w:ind w:firstLine="0"/>
              <w:contextualSpacing w:val="0"/>
              <w:jc w:val="left"/>
              <w:rPr>
                <w:b w:val="0"/>
                <w:bCs/>
                <w:sz w:val="20"/>
                <w:szCs w:val="20"/>
                <w:lang w:val="en-US" w:eastAsia="en-US"/>
              </w:rPr>
            </w:pPr>
            <w:r w:rsidRPr="007955BB">
              <w:rPr>
                <w:b w:val="0"/>
                <w:bCs/>
                <w:sz w:val="20"/>
                <w:szCs w:val="20"/>
                <w:lang w:val="en-US" w:eastAsia="en-US"/>
              </w:rPr>
              <w:t>4. Պետական գրանցման համար</w:t>
            </w:r>
          </w:p>
        </w:tc>
        <w:tc>
          <w:tcPr>
            <w:tcW w:w="1080" w:type="dxa"/>
            <w:shd w:val="clear" w:color="auto" w:fill="D5DCE4"/>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7.9</w:t>
            </w:r>
          </w:p>
        </w:tc>
        <w:tc>
          <w:tcPr>
            <w:tcW w:w="990" w:type="dxa"/>
            <w:shd w:val="clear" w:color="auto" w:fill="D5DCE4"/>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4.6</w:t>
            </w:r>
          </w:p>
        </w:tc>
        <w:tc>
          <w:tcPr>
            <w:tcW w:w="900" w:type="dxa"/>
            <w:shd w:val="clear" w:color="auto" w:fill="D5DCE4"/>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5.1</w:t>
            </w:r>
          </w:p>
        </w:tc>
        <w:tc>
          <w:tcPr>
            <w:tcW w:w="810" w:type="dxa"/>
            <w:shd w:val="clear" w:color="auto" w:fill="D5DCE4"/>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5.3</w:t>
            </w:r>
          </w:p>
        </w:tc>
        <w:tc>
          <w:tcPr>
            <w:tcW w:w="1080" w:type="dxa"/>
            <w:shd w:val="clear" w:color="auto" w:fill="D5DCE4"/>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5.3</w:t>
            </w:r>
          </w:p>
        </w:tc>
      </w:tr>
      <w:tr w:rsidR="00CB6784" w:rsidRPr="007955BB" w:rsidTr="00CB6784">
        <w:trPr>
          <w:trHeight w:val="2447"/>
        </w:trPr>
        <w:tc>
          <w:tcPr>
            <w:tcW w:w="5102" w:type="dxa"/>
            <w:shd w:val="clear" w:color="auto" w:fill="FFFFFF"/>
            <w:vAlign w:val="center"/>
          </w:tcPr>
          <w:p w:rsidR="00804A79" w:rsidRPr="007955BB" w:rsidRDefault="00804A79" w:rsidP="00804A79">
            <w:pPr>
              <w:spacing w:before="0" w:line="240" w:lineRule="auto"/>
              <w:ind w:firstLine="0"/>
              <w:contextualSpacing w:val="0"/>
              <w:jc w:val="left"/>
              <w:rPr>
                <w:b w:val="0"/>
                <w:bCs/>
                <w:sz w:val="20"/>
                <w:szCs w:val="20"/>
                <w:lang w:eastAsia="en-US"/>
              </w:rPr>
            </w:pPr>
            <w:r w:rsidRPr="007955BB">
              <w:rPr>
                <w:b w:val="0"/>
                <w:bCs/>
                <w:sz w:val="20"/>
                <w:szCs w:val="20"/>
                <w:lang w:eastAsia="en-US"/>
              </w:rPr>
              <w:t xml:space="preserve">5. </w:t>
            </w:r>
            <w:r w:rsidRPr="007955BB">
              <w:rPr>
                <w:rFonts w:hint="eastAsia"/>
                <w:b w:val="0"/>
                <w:bCs/>
                <w:sz w:val="20"/>
                <w:szCs w:val="20"/>
                <w:lang w:val="en-US" w:eastAsia="en-US"/>
              </w:rPr>
              <w:t>Գյուտերի</w:t>
            </w:r>
            <w:r w:rsidRPr="007955BB">
              <w:rPr>
                <w:rFonts w:hint="eastAsia"/>
                <w:b w:val="0"/>
                <w:bCs/>
                <w:sz w:val="20"/>
                <w:szCs w:val="20"/>
                <w:lang w:eastAsia="en-US"/>
              </w:rPr>
              <w:t xml:space="preserve">, </w:t>
            </w:r>
            <w:r w:rsidRPr="007955BB">
              <w:rPr>
                <w:rFonts w:hint="eastAsia"/>
                <w:b w:val="0"/>
                <w:bCs/>
                <w:sz w:val="20"/>
                <w:szCs w:val="20"/>
                <w:lang w:val="en-US" w:eastAsia="en-US"/>
              </w:rPr>
              <w:t>արդյունաբերական</w:t>
            </w:r>
            <w:r w:rsidRPr="007955BB">
              <w:rPr>
                <w:rFonts w:hint="eastAsia"/>
                <w:b w:val="0"/>
                <w:bCs/>
                <w:sz w:val="20"/>
                <w:szCs w:val="20"/>
                <w:lang w:eastAsia="en-US"/>
              </w:rPr>
              <w:t xml:space="preserve"> </w:t>
            </w:r>
            <w:r w:rsidRPr="007955BB">
              <w:rPr>
                <w:rFonts w:hint="eastAsia"/>
                <w:b w:val="0"/>
                <w:bCs/>
                <w:sz w:val="20"/>
                <w:szCs w:val="20"/>
                <w:lang w:val="en-US" w:eastAsia="en-US"/>
              </w:rPr>
              <w:t>դիզայնների</w:t>
            </w:r>
            <w:r w:rsidRPr="007955BB">
              <w:rPr>
                <w:rFonts w:hint="eastAsia"/>
                <w:b w:val="0"/>
                <w:bCs/>
                <w:sz w:val="20"/>
                <w:szCs w:val="20"/>
                <w:lang w:eastAsia="en-US"/>
              </w:rPr>
              <w:t xml:space="preserve">, </w:t>
            </w:r>
            <w:r w:rsidRPr="007955BB">
              <w:rPr>
                <w:rFonts w:hint="eastAsia"/>
                <w:b w:val="0"/>
                <w:bCs/>
                <w:sz w:val="20"/>
                <w:szCs w:val="20"/>
                <w:lang w:val="en-US" w:eastAsia="en-US"/>
              </w:rPr>
              <w:t>բույսերի</w:t>
            </w:r>
            <w:r w:rsidRPr="007955BB">
              <w:rPr>
                <w:rFonts w:hint="eastAsia"/>
                <w:b w:val="0"/>
                <w:bCs/>
                <w:sz w:val="20"/>
                <w:szCs w:val="20"/>
                <w:lang w:eastAsia="en-US"/>
              </w:rPr>
              <w:t xml:space="preserve"> </w:t>
            </w:r>
            <w:r w:rsidRPr="007955BB">
              <w:rPr>
                <w:rFonts w:hint="eastAsia"/>
                <w:b w:val="0"/>
                <w:bCs/>
                <w:sz w:val="20"/>
                <w:szCs w:val="20"/>
                <w:lang w:val="en-US" w:eastAsia="en-US"/>
              </w:rPr>
              <w:t>սորտերի</w:t>
            </w:r>
            <w:r w:rsidRPr="007955BB">
              <w:rPr>
                <w:rFonts w:hint="eastAsia"/>
                <w:b w:val="0"/>
                <w:bCs/>
                <w:sz w:val="20"/>
                <w:szCs w:val="20"/>
                <w:lang w:eastAsia="en-US"/>
              </w:rPr>
              <w:t xml:space="preserve">, </w:t>
            </w:r>
            <w:r w:rsidRPr="007955BB">
              <w:rPr>
                <w:rFonts w:hint="eastAsia"/>
                <w:b w:val="0"/>
                <w:bCs/>
                <w:sz w:val="20"/>
                <w:szCs w:val="20"/>
                <w:lang w:val="en-US" w:eastAsia="en-US"/>
              </w:rPr>
              <w:t>ապրանքային</w:t>
            </w:r>
            <w:r w:rsidRPr="007955BB">
              <w:rPr>
                <w:rFonts w:hint="eastAsia"/>
                <w:b w:val="0"/>
                <w:bCs/>
                <w:sz w:val="20"/>
                <w:szCs w:val="20"/>
                <w:lang w:eastAsia="en-US"/>
              </w:rPr>
              <w:t xml:space="preserve"> </w:t>
            </w:r>
            <w:r w:rsidRPr="007955BB">
              <w:rPr>
                <w:rFonts w:hint="eastAsia"/>
                <w:b w:val="0"/>
                <w:bCs/>
                <w:sz w:val="20"/>
                <w:szCs w:val="20"/>
                <w:lang w:val="en-US" w:eastAsia="en-US"/>
              </w:rPr>
              <w:t>նշանների</w:t>
            </w:r>
            <w:r w:rsidRPr="007955BB">
              <w:rPr>
                <w:rFonts w:hint="eastAsia"/>
                <w:b w:val="0"/>
                <w:bCs/>
                <w:sz w:val="20"/>
                <w:szCs w:val="20"/>
                <w:lang w:eastAsia="en-US"/>
              </w:rPr>
              <w:t xml:space="preserve">, </w:t>
            </w:r>
            <w:r w:rsidRPr="007955BB">
              <w:rPr>
                <w:rFonts w:hint="eastAsia"/>
                <w:b w:val="0"/>
                <w:bCs/>
                <w:sz w:val="20"/>
                <w:szCs w:val="20"/>
                <w:lang w:val="en-US" w:eastAsia="en-US"/>
              </w:rPr>
              <w:t>աշխարհագրական</w:t>
            </w:r>
            <w:r w:rsidRPr="007955BB">
              <w:rPr>
                <w:rFonts w:hint="eastAsia"/>
                <w:b w:val="0"/>
                <w:bCs/>
                <w:sz w:val="20"/>
                <w:szCs w:val="20"/>
                <w:lang w:eastAsia="en-US"/>
              </w:rPr>
              <w:t xml:space="preserve"> </w:t>
            </w:r>
            <w:r w:rsidRPr="007955BB">
              <w:rPr>
                <w:rFonts w:hint="eastAsia"/>
                <w:b w:val="0"/>
                <w:bCs/>
                <w:sz w:val="20"/>
                <w:szCs w:val="20"/>
                <w:lang w:val="en-US" w:eastAsia="en-US"/>
              </w:rPr>
              <w:t>նշումների</w:t>
            </w:r>
            <w:r w:rsidRPr="007955BB">
              <w:rPr>
                <w:rFonts w:hint="eastAsia"/>
                <w:b w:val="0"/>
                <w:bCs/>
                <w:sz w:val="20"/>
                <w:szCs w:val="20"/>
                <w:lang w:eastAsia="en-US"/>
              </w:rPr>
              <w:t xml:space="preserve">, </w:t>
            </w:r>
            <w:r w:rsidRPr="007955BB">
              <w:rPr>
                <w:rFonts w:hint="eastAsia"/>
                <w:b w:val="0"/>
                <w:bCs/>
                <w:sz w:val="20"/>
                <w:szCs w:val="20"/>
                <w:lang w:val="en-US" w:eastAsia="en-US"/>
              </w:rPr>
              <w:t>ծագման</w:t>
            </w:r>
            <w:r w:rsidRPr="007955BB">
              <w:rPr>
                <w:rFonts w:hint="eastAsia"/>
                <w:b w:val="0"/>
                <w:bCs/>
                <w:sz w:val="20"/>
                <w:szCs w:val="20"/>
                <w:lang w:eastAsia="en-US"/>
              </w:rPr>
              <w:t xml:space="preserve"> </w:t>
            </w:r>
            <w:r w:rsidRPr="007955BB">
              <w:rPr>
                <w:rFonts w:hint="eastAsia"/>
                <w:b w:val="0"/>
                <w:bCs/>
                <w:sz w:val="20"/>
                <w:szCs w:val="20"/>
                <w:lang w:val="en-US" w:eastAsia="en-US"/>
              </w:rPr>
              <w:t>տեղանունների</w:t>
            </w:r>
            <w:r w:rsidRPr="007955BB">
              <w:rPr>
                <w:rFonts w:hint="eastAsia"/>
                <w:b w:val="0"/>
                <w:bCs/>
                <w:sz w:val="20"/>
                <w:szCs w:val="20"/>
                <w:lang w:eastAsia="en-US"/>
              </w:rPr>
              <w:t xml:space="preserve">, </w:t>
            </w:r>
            <w:r w:rsidRPr="007955BB">
              <w:rPr>
                <w:rFonts w:hint="eastAsia"/>
                <w:b w:val="0"/>
                <w:bCs/>
                <w:sz w:val="20"/>
                <w:szCs w:val="20"/>
                <w:lang w:val="en-US" w:eastAsia="en-US"/>
              </w:rPr>
              <w:t>երաշխավորված</w:t>
            </w:r>
            <w:r w:rsidRPr="007955BB">
              <w:rPr>
                <w:rFonts w:hint="eastAsia"/>
                <w:b w:val="0"/>
                <w:bCs/>
                <w:sz w:val="20"/>
                <w:szCs w:val="20"/>
                <w:lang w:eastAsia="en-US"/>
              </w:rPr>
              <w:t xml:space="preserve"> </w:t>
            </w:r>
            <w:r w:rsidRPr="007955BB">
              <w:rPr>
                <w:rFonts w:hint="eastAsia"/>
                <w:b w:val="0"/>
                <w:bCs/>
                <w:sz w:val="20"/>
                <w:szCs w:val="20"/>
                <w:lang w:val="en-US" w:eastAsia="en-US"/>
              </w:rPr>
              <w:t>ավանդական</w:t>
            </w:r>
            <w:r w:rsidRPr="007955BB">
              <w:rPr>
                <w:rFonts w:hint="eastAsia"/>
                <w:b w:val="0"/>
                <w:bCs/>
                <w:sz w:val="20"/>
                <w:szCs w:val="20"/>
                <w:lang w:eastAsia="en-US"/>
              </w:rPr>
              <w:t xml:space="preserve"> </w:t>
            </w:r>
            <w:r w:rsidRPr="007955BB">
              <w:rPr>
                <w:rFonts w:hint="eastAsia"/>
                <w:b w:val="0"/>
                <w:bCs/>
                <w:sz w:val="20"/>
                <w:szCs w:val="20"/>
                <w:lang w:val="en-US" w:eastAsia="en-US"/>
              </w:rPr>
              <w:t>արտադրանքի</w:t>
            </w:r>
            <w:r w:rsidRPr="007955BB">
              <w:rPr>
                <w:rFonts w:hint="eastAsia"/>
                <w:b w:val="0"/>
                <w:bCs/>
                <w:sz w:val="20"/>
                <w:szCs w:val="20"/>
                <w:lang w:eastAsia="en-US"/>
              </w:rPr>
              <w:t xml:space="preserve">, </w:t>
            </w:r>
            <w:r w:rsidRPr="007955BB">
              <w:rPr>
                <w:rFonts w:hint="eastAsia"/>
                <w:b w:val="0"/>
                <w:bCs/>
                <w:sz w:val="20"/>
                <w:szCs w:val="20"/>
                <w:lang w:val="en-US" w:eastAsia="en-US"/>
              </w:rPr>
              <w:t>ֆիրմային</w:t>
            </w:r>
            <w:r w:rsidRPr="007955BB">
              <w:rPr>
                <w:rFonts w:hint="eastAsia"/>
                <w:b w:val="0"/>
                <w:bCs/>
                <w:sz w:val="20"/>
                <w:szCs w:val="20"/>
                <w:lang w:eastAsia="en-US"/>
              </w:rPr>
              <w:t xml:space="preserve"> </w:t>
            </w:r>
            <w:r w:rsidRPr="007955BB">
              <w:rPr>
                <w:rFonts w:hint="eastAsia"/>
                <w:b w:val="0"/>
                <w:bCs/>
                <w:sz w:val="20"/>
                <w:szCs w:val="20"/>
                <w:lang w:val="en-US" w:eastAsia="en-US"/>
              </w:rPr>
              <w:t>անվանումների</w:t>
            </w:r>
            <w:r w:rsidRPr="007955BB">
              <w:rPr>
                <w:rFonts w:hint="eastAsia"/>
                <w:b w:val="0"/>
                <w:bCs/>
                <w:sz w:val="20"/>
                <w:szCs w:val="20"/>
                <w:lang w:eastAsia="en-US"/>
              </w:rPr>
              <w:t xml:space="preserve">, </w:t>
            </w:r>
            <w:r w:rsidRPr="007955BB">
              <w:rPr>
                <w:rFonts w:hint="eastAsia"/>
                <w:b w:val="0"/>
                <w:bCs/>
                <w:sz w:val="20"/>
                <w:szCs w:val="20"/>
                <w:lang w:val="en-US" w:eastAsia="en-US"/>
              </w:rPr>
              <w:t>ինտեգրալ</w:t>
            </w:r>
            <w:r w:rsidRPr="007955BB">
              <w:rPr>
                <w:rFonts w:hint="eastAsia"/>
                <w:b w:val="0"/>
                <w:bCs/>
                <w:sz w:val="20"/>
                <w:szCs w:val="20"/>
                <w:lang w:eastAsia="en-US"/>
              </w:rPr>
              <w:t xml:space="preserve"> </w:t>
            </w:r>
            <w:r w:rsidRPr="007955BB">
              <w:rPr>
                <w:rFonts w:hint="eastAsia"/>
                <w:b w:val="0"/>
                <w:bCs/>
                <w:sz w:val="20"/>
                <w:szCs w:val="20"/>
                <w:lang w:val="en-US" w:eastAsia="en-US"/>
              </w:rPr>
              <w:t>միկրոսխեմաների</w:t>
            </w:r>
            <w:r w:rsidRPr="007955BB">
              <w:rPr>
                <w:rFonts w:hint="eastAsia"/>
                <w:b w:val="0"/>
                <w:bCs/>
                <w:sz w:val="20"/>
                <w:szCs w:val="20"/>
                <w:lang w:eastAsia="en-US"/>
              </w:rPr>
              <w:t xml:space="preserve"> </w:t>
            </w:r>
            <w:r w:rsidRPr="007955BB">
              <w:rPr>
                <w:rFonts w:hint="eastAsia"/>
                <w:b w:val="0"/>
                <w:bCs/>
                <w:sz w:val="20"/>
                <w:szCs w:val="20"/>
                <w:lang w:val="en-US" w:eastAsia="en-US"/>
              </w:rPr>
              <w:t>տոպոլոգիաների</w:t>
            </w:r>
            <w:r w:rsidRPr="007955BB">
              <w:rPr>
                <w:rFonts w:hint="eastAsia"/>
                <w:b w:val="0"/>
                <w:bCs/>
                <w:sz w:val="20"/>
                <w:szCs w:val="20"/>
                <w:lang w:eastAsia="en-US"/>
              </w:rPr>
              <w:t xml:space="preserve"> </w:t>
            </w:r>
            <w:r w:rsidRPr="007955BB">
              <w:rPr>
                <w:rFonts w:hint="eastAsia"/>
                <w:b w:val="0"/>
                <w:bCs/>
                <w:sz w:val="20"/>
                <w:szCs w:val="20"/>
                <w:lang w:val="en-US" w:eastAsia="en-US"/>
              </w:rPr>
              <w:t>իրավական</w:t>
            </w:r>
            <w:r w:rsidRPr="007955BB">
              <w:rPr>
                <w:rFonts w:hint="eastAsia"/>
                <w:b w:val="0"/>
                <w:bCs/>
                <w:sz w:val="20"/>
                <w:szCs w:val="20"/>
                <w:lang w:eastAsia="en-US"/>
              </w:rPr>
              <w:t xml:space="preserve"> </w:t>
            </w:r>
            <w:r w:rsidRPr="007955BB">
              <w:rPr>
                <w:rFonts w:hint="eastAsia"/>
                <w:b w:val="0"/>
                <w:bCs/>
                <w:sz w:val="20"/>
                <w:szCs w:val="20"/>
                <w:lang w:val="en-US" w:eastAsia="en-US"/>
              </w:rPr>
              <w:t>պահպանության</w:t>
            </w:r>
            <w:r w:rsidRPr="007955BB">
              <w:rPr>
                <w:rFonts w:hint="eastAsia"/>
                <w:b w:val="0"/>
                <w:bCs/>
                <w:sz w:val="20"/>
                <w:szCs w:val="20"/>
                <w:lang w:eastAsia="en-US"/>
              </w:rPr>
              <w:t xml:space="preserve"> </w:t>
            </w:r>
            <w:r w:rsidRPr="007955BB">
              <w:rPr>
                <w:rFonts w:hint="eastAsia"/>
                <w:b w:val="0"/>
                <w:bCs/>
                <w:sz w:val="20"/>
                <w:szCs w:val="20"/>
                <w:lang w:val="en-US" w:eastAsia="en-US"/>
              </w:rPr>
              <w:t>հետ</w:t>
            </w:r>
            <w:r w:rsidRPr="007955BB">
              <w:rPr>
                <w:rFonts w:hint="eastAsia"/>
                <w:b w:val="0"/>
                <w:bCs/>
                <w:sz w:val="20"/>
                <w:szCs w:val="20"/>
                <w:lang w:eastAsia="en-US"/>
              </w:rPr>
              <w:t xml:space="preserve"> </w:t>
            </w:r>
            <w:r w:rsidRPr="007955BB">
              <w:rPr>
                <w:rFonts w:hint="eastAsia"/>
                <w:b w:val="0"/>
                <w:bCs/>
                <w:sz w:val="20"/>
                <w:szCs w:val="20"/>
                <w:lang w:val="en-US" w:eastAsia="en-US"/>
              </w:rPr>
              <w:t>կապված</w:t>
            </w:r>
            <w:r w:rsidRPr="007955BB">
              <w:rPr>
                <w:rFonts w:hint="eastAsia"/>
                <w:b w:val="0"/>
                <w:bCs/>
                <w:sz w:val="20"/>
                <w:szCs w:val="20"/>
                <w:lang w:eastAsia="en-US"/>
              </w:rPr>
              <w:t xml:space="preserve"> </w:t>
            </w:r>
            <w:r w:rsidRPr="007955BB">
              <w:rPr>
                <w:rFonts w:hint="eastAsia"/>
                <w:b w:val="0"/>
                <w:bCs/>
                <w:sz w:val="20"/>
                <w:szCs w:val="20"/>
                <w:lang w:val="en-US" w:eastAsia="en-US"/>
              </w:rPr>
              <w:t>իրավաբանական</w:t>
            </w:r>
            <w:r w:rsidRPr="007955BB">
              <w:rPr>
                <w:rFonts w:hint="eastAsia"/>
                <w:b w:val="0"/>
                <w:bCs/>
                <w:sz w:val="20"/>
                <w:szCs w:val="20"/>
                <w:lang w:eastAsia="en-US"/>
              </w:rPr>
              <w:t xml:space="preserve"> </w:t>
            </w:r>
            <w:r w:rsidRPr="007955BB">
              <w:rPr>
                <w:rFonts w:hint="eastAsia"/>
                <w:b w:val="0"/>
                <w:bCs/>
                <w:sz w:val="20"/>
                <w:szCs w:val="20"/>
                <w:lang w:val="en-US" w:eastAsia="en-US"/>
              </w:rPr>
              <w:t>նշանակություն</w:t>
            </w:r>
            <w:r w:rsidRPr="007955BB">
              <w:rPr>
                <w:rFonts w:hint="eastAsia"/>
                <w:b w:val="0"/>
                <w:bCs/>
                <w:sz w:val="20"/>
                <w:szCs w:val="20"/>
                <w:lang w:eastAsia="en-US"/>
              </w:rPr>
              <w:t xml:space="preserve"> </w:t>
            </w:r>
            <w:r w:rsidRPr="007955BB">
              <w:rPr>
                <w:rFonts w:hint="eastAsia"/>
                <w:b w:val="0"/>
                <w:bCs/>
                <w:sz w:val="20"/>
                <w:szCs w:val="20"/>
                <w:lang w:val="en-US" w:eastAsia="en-US"/>
              </w:rPr>
              <w:t>ունեցող</w:t>
            </w:r>
            <w:r w:rsidRPr="007955BB">
              <w:rPr>
                <w:rFonts w:hint="eastAsia"/>
                <w:b w:val="0"/>
                <w:bCs/>
                <w:sz w:val="20"/>
                <w:szCs w:val="20"/>
                <w:lang w:eastAsia="en-US"/>
              </w:rPr>
              <w:t xml:space="preserve"> </w:t>
            </w:r>
            <w:r w:rsidRPr="007955BB">
              <w:rPr>
                <w:rFonts w:hint="eastAsia"/>
                <w:b w:val="0"/>
                <w:bCs/>
                <w:sz w:val="20"/>
                <w:szCs w:val="20"/>
                <w:lang w:val="en-US" w:eastAsia="en-US"/>
              </w:rPr>
              <w:t>գործողությունների</w:t>
            </w:r>
            <w:r w:rsidRPr="007955BB">
              <w:rPr>
                <w:rFonts w:hint="eastAsia"/>
                <w:b w:val="0"/>
                <w:bCs/>
                <w:sz w:val="20"/>
                <w:szCs w:val="20"/>
                <w:lang w:eastAsia="en-US"/>
              </w:rPr>
              <w:t xml:space="preserve"> </w:t>
            </w:r>
            <w:r w:rsidRPr="007955BB">
              <w:rPr>
                <w:rFonts w:hint="eastAsia"/>
                <w:b w:val="0"/>
                <w:bCs/>
                <w:sz w:val="20"/>
                <w:szCs w:val="20"/>
                <w:lang w:val="en-US" w:eastAsia="en-US"/>
              </w:rPr>
              <w:t>համար</w:t>
            </w:r>
          </w:p>
          <w:p w:rsidR="00804A79" w:rsidRPr="007955BB" w:rsidRDefault="00804A79" w:rsidP="00804A79">
            <w:pPr>
              <w:spacing w:before="0" w:line="240" w:lineRule="auto"/>
              <w:ind w:firstLine="0"/>
              <w:contextualSpacing w:val="0"/>
              <w:jc w:val="left"/>
              <w:rPr>
                <w:b w:val="0"/>
                <w:bCs/>
                <w:sz w:val="20"/>
                <w:szCs w:val="20"/>
                <w:lang w:eastAsia="en-US"/>
              </w:rPr>
            </w:pPr>
          </w:p>
        </w:tc>
        <w:tc>
          <w:tcPr>
            <w:tcW w:w="1080" w:type="dxa"/>
            <w:shd w:val="clear" w:color="auto" w:fill="FFFFFF"/>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0.4</w:t>
            </w:r>
          </w:p>
        </w:tc>
        <w:tc>
          <w:tcPr>
            <w:tcW w:w="990" w:type="dxa"/>
            <w:shd w:val="clear" w:color="auto" w:fill="FFFFFF"/>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0.3</w:t>
            </w:r>
          </w:p>
        </w:tc>
        <w:tc>
          <w:tcPr>
            <w:tcW w:w="900" w:type="dxa"/>
            <w:shd w:val="clear" w:color="auto" w:fill="FFFFFF"/>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0.3</w:t>
            </w:r>
          </w:p>
        </w:tc>
        <w:tc>
          <w:tcPr>
            <w:tcW w:w="810" w:type="dxa"/>
            <w:shd w:val="clear" w:color="auto" w:fill="FFFFFF"/>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0.3</w:t>
            </w:r>
          </w:p>
        </w:tc>
        <w:tc>
          <w:tcPr>
            <w:tcW w:w="1080" w:type="dxa"/>
            <w:shd w:val="clear" w:color="auto" w:fill="FFFFFF"/>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0.3</w:t>
            </w:r>
          </w:p>
        </w:tc>
      </w:tr>
      <w:tr w:rsidR="00CB6784" w:rsidRPr="007955BB" w:rsidTr="00CB6784">
        <w:trPr>
          <w:trHeight w:val="705"/>
        </w:trPr>
        <w:tc>
          <w:tcPr>
            <w:tcW w:w="5102" w:type="dxa"/>
            <w:shd w:val="clear" w:color="auto" w:fill="D5DCE4"/>
            <w:vAlign w:val="center"/>
          </w:tcPr>
          <w:p w:rsidR="00804A79" w:rsidRPr="007955BB" w:rsidRDefault="00804A79" w:rsidP="00804A79">
            <w:pPr>
              <w:spacing w:before="0" w:line="240" w:lineRule="auto"/>
              <w:ind w:firstLine="0"/>
              <w:contextualSpacing w:val="0"/>
              <w:jc w:val="left"/>
              <w:rPr>
                <w:b w:val="0"/>
                <w:bCs/>
                <w:sz w:val="20"/>
                <w:szCs w:val="20"/>
                <w:lang w:eastAsia="en-US"/>
              </w:rPr>
            </w:pPr>
            <w:r w:rsidRPr="007955BB">
              <w:rPr>
                <w:b w:val="0"/>
                <w:bCs/>
                <w:sz w:val="20"/>
                <w:szCs w:val="20"/>
                <w:lang w:eastAsia="en-US"/>
              </w:rPr>
              <w:t xml:space="preserve">6. </w:t>
            </w:r>
            <w:r w:rsidRPr="007955BB">
              <w:rPr>
                <w:b w:val="0"/>
                <w:bCs/>
                <w:sz w:val="20"/>
                <w:szCs w:val="20"/>
                <w:lang w:val="en-US" w:eastAsia="en-US"/>
              </w:rPr>
              <w:t>Ֆիզիկական</w:t>
            </w:r>
            <w:r w:rsidRPr="007955BB">
              <w:rPr>
                <w:b w:val="0"/>
                <w:bCs/>
                <w:sz w:val="20"/>
                <w:szCs w:val="20"/>
                <w:lang w:eastAsia="en-US"/>
              </w:rPr>
              <w:t xml:space="preserve"> </w:t>
            </w:r>
            <w:r w:rsidRPr="007955BB">
              <w:rPr>
                <w:b w:val="0"/>
                <w:bCs/>
                <w:sz w:val="20"/>
                <w:szCs w:val="20"/>
                <w:lang w:val="en-US" w:eastAsia="en-US"/>
              </w:rPr>
              <w:t>անձանց</w:t>
            </w:r>
            <w:r w:rsidRPr="007955BB">
              <w:rPr>
                <w:b w:val="0"/>
                <w:bCs/>
                <w:sz w:val="20"/>
                <w:szCs w:val="20"/>
                <w:lang w:eastAsia="en-US"/>
              </w:rPr>
              <w:t xml:space="preserve"> </w:t>
            </w:r>
            <w:r w:rsidRPr="007955BB">
              <w:rPr>
                <w:b w:val="0"/>
                <w:bCs/>
                <w:sz w:val="20"/>
                <w:szCs w:val="20"/>
                <w:lang w:val="en-US" w:eastAsia="en-US"/>
              </w:rPr>
              <w:t>տրվող</w:t>
            </w:r>
            <w:r w:rsidRPr="007955BB">
              <w:rPr>
                <w:b w:val="0"/>
                <w:bCs/>
                <w:sz w:val="20"/>
                <w:szCs w:val="20"/>
                <w:lang w:eastAsia="en-US"/>
              </w:rPr>
              <w:t xml:space="preserve"> </w:t>
            </w:r>
            <w:r w:rsidRPr="007955BB">
              <w:rPr>
                <w:b w:val="0"/>
                <w:bCs/>
                <w:sz w:val="20"/>
                <w:szCs w:val="20"/>
                <w:lang w:val="en-US" w:eastAsia="en-US"/>
              </w:rPr>
              <w:t>իրավաբանական</w:t>
            </w:r>
            <w:r w:rsidRPr="007955BB">
              <w:rPr>
                <w:b w:val="0"/>
                <w:bCs/>
                <w:sz w:val="20"/>
                <w:szCs w:val="20"/>
                <w:lang w:eastAsia="en-US"/>
              </w:rPr>
              <w:t xml:space="preserve"> </w:t>
            </w:r>
            <w:r w:rsidRPr="007955BB">
              <w:rPr>
                <w:b w:val="0"/>
                <w:bCs/>
                <w:sz w:val="20"/>
                <w:szCs w:val="20"/>
                <w:lang w:val="en-US" w:eastAsia="en-US"/>
              </w:rPr>
              <w:t>նշանակություն</w:t>
            </w:r>
            <w:r w:rsidRPr="007955BB">
              <w:rPr>
                <w:b w:val="0"/>
                <w:bCs/>
                <w:sz w:val="20"/>
                <w:szCs w:val="20"/>
                <w:lang w:eastAsia="en-US"/>
              </w:rPr>
              <w:t xml:space="preserve">  </w:t>
            </w:r>
            <w:r w:rsidRPr="007955BB">
              <w:rPr>
                <w:b w:val="0"/>
                <w:bCs/>
                <w:sz w:val="20"/>
                <w:szCs w:val="20"/>
                <w:lang w:val="en-US" w:eastAsia="en-US"/>
              </w:rPr>
              <w:t>ունեցող</w:t>
            </w:r>
            <w:r w:rsidRPr="007955BB">
              <w:rPr>
                <w:b w:val="0"/>
                <w:bCs/>
                <w:sz w:val="20"/>
                <w:szCs w:val="20"/>
                <w:lang w:eastAsia="en-US"/>
              </w:rPr>
              <w:t xml:space="preserve"> </w:t>
            </w:r>
            <w:r w:rsidRPr="007955BB">
              <w:rPr>
                <w:b w:val="0"/>
                <w:bCs/>
                <w:sz w:val="20"/>
                <w:szCs w:val="20"/>
                <w:lang w:val="en-US" w:eastAsia="en-US"/>
              </w:rPr>
              <w:t>փաստաթղթերի</w:t>
            </w:r>
            <w:r w:rsidRPr="007955BB">
              <w:rPr>
                <w:b w:val="0"/>
                <w:bCs/>
                <w:sz w:val="20"/>
                <w:szCs w:val="20"/>
                <w:lang w:eastAsia="en-US"/>
              </w:rPr>
              <w:t xml:space="preserve">, </w:t>
            </w:r>
            <w:r w:rsidRPr="007955BB">
              <w:rPr>
                <w:b w:val="0"/>
                <w:bCs/>
                <w:sz w:val="20"/>
                <w:szCs w:val="20"/>
                <w:lang w:val="en-US" w:eastAsia="en-US"/>
              </w:rPr>
              <w:t>որոշակի</w:t>
            </w:r>
            <w:r w:rsidRPr="007955BB">
              <w:rPr>
                <w:b w:val="0"/>
                <w:bCs/>
                <w:sz w:val="20"/>
                <w:szCs w:val="20"/>
                <w:lang w:eastAsia="en-US"/>
              </w:rPr>
              <w:t xml:space="preserve"> </w:t>
            </w:r>
            <w:r w:rsidRPr="007955BB">
              <w:rPr>
                <w:b w:val="0"/>
                <w:bCs/>
                <w:sz w:val="20"/>
                <w:szCs w:val="20"/>
                <w:lang w:val="en-US" w:eastAsia="en-US"/>
              </w:rPr>
              <w:t>ծառայությունների</w:t>
            </w:r>
            <w:r w:rsidRPr="007955BB">
              <w:rPr>
                <w:b w:val="0"/>
                <w:bCs/>
                <w:sz w:val="20"/>
                <w:szCs w:val="20"/>
                <w:lang w:eastAsia="en-US"/>
              </w:rPr>
              <w:t xml:space="preserve"> </w:t>
            </w:r>
            <w:r w:rsidRPr="007955BB">
              <w:rPr>
                <w:b w:val="0"/>
                <w:bCs/>
                <w:sz w:val="20"/>
                <w:szCs w:val="20"/>
                <w:lang w:val="en-US" w:eastAsia="en-US"/>
              </w:rPr>
              <w:t>կամ</w:t>
            </w:r>
            <w:r w:rsidRPr="007955BB">
              <w:rPr>
                <w:b w:val="0"/>
                <w:bCs/>
                <w:sz w:val="20"/>
                <w:szCs w:val="20"/>
                <w:lang w:eastAsia="en-US"/>
              </w:rPr>
              <w:t xml:space="preserve"> </w:t>
            </w:r>
            <w:r w:rsidRPr="007955BB">
              <w:rPr>
                <w:b w:val="0"/>
                <w:bCs/>
                <w:sz w:val="20"/>
                <w:szCs w:val="20"/>
                <w:lang w:val="en-US" w:eastAsia="en-US"/>
              </w:rPr>
              <w:t>գործողությունների</w:t>
            </w:r>
            <w:r w:rsidRPr="007955BB">
              <w:rPr>
                <w:b w:val="0"/>
                <w:bCs/>
                <w:sz w:val="20"/>
                <w:szCs w:val="20"/>
                <w:lang w:eastAsia="en-US"/>
              </w:rPr>
              <w:t xml:space="preserve"> </w:t>
            </w:r>
            <w:r w:rsidRPr="007955BB">
              <w:rPr>
                <w:b w:val="0"/>
                <w:bCs/>
                <w:sz w:val="20"/>
                <w:szCs w:val="20"/>
                <w:lang w:val="en-US" w:eastAsia="en-US"/>
              </w:rPr>
              <w:t>համար</w:t>
            </w:r>
            <w:r w:rsidRPr="007955BB">
              <w:rPr>
                <w:b w:val="0"/>
                <w:bCs/>
                <w:sz w:val="20"/>
                <w:szCs w:val="20"/>
                <w:lang w:eastAsia="en-US"/>
              </w:rPr>
              <w:t xml:space="preserve"> </w:t>
            </w:r>
          </w:p>
        </w:tc>
        <w:tc>
          <w:tcPr>
            <w:tcW w:w="1080" w:type="dxa"/>
            <w:shd w:val="clear" w:color="auto" w:fill="D5DCE4"/>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2.6</w:t>
            </w:r>
          </w:p>
        </w:tc>
        <w:tc>
          <w:tcPr>
            <w:tcW w:w="990" w:type="dxa"/>
            <w:shd w:val="clear" w:color="auto" w:fill="D5DCE4"/>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1.2</w:t>
            </w:r>
          </w:p>
        </w:tc>
        <w:tc>
          <w:tcPr>
            <w:tcW w:w="900" w:type="dxa"/>
            <w:shd w:val="clear" w:color="auto" w:fill="D5DCE4"/>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2.2</w:t>
            </w:r>
          </w:p>
        </w:tc>
        <w:tc>
          <w:tcPr>
            <w:tcW w:w="810" w:type="dxa"/>
            <w:shd w:val="clear" w:color="auto" w:fill="D5DCE4"/>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2.6</w:t>
            </w:r>
          </w:p>
        </w:tc>
        <w:tc>
          <w:tcPr>
            <w:tcW w:w="1080" w:type="dxa"/>
            <w:shd w:val="clear" w:color="auto" w:fill="D5DCE4"/>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2.8</w:t>
            </w:r>
          </w:p>
        </w:tc>
      </w:tr>
      <w:tr w:rsidR="00CB6784" w:rsidRPr="007955BB" w:rsidTr="00CB6784">
        <w:trPr>
          <w:trHeight w:val="705"/>
        </w:trPr>
        <w:tc>
          <w:tcPr>
            <w:tcW w:w="5102" w:type="dxa"/>
            <w:shd w:val="clear" w:color="auto" w:fill="FFFFFF"/>
            <w:vAlign w:val="center"/>
          </w:tcPr>
          <w:p w:rsidR="00804A79" w:rsidRPr="007955BB" w:rsidRDefault="00804A79" w:rsidP="00804A79">
            <w:pPr>
              <w:spacing w:before="0" w:line="240" w:lineRule="auto"/>
              <w:ind w:firstLine="0"/>
              <w:contextualSpacing w:val="0"/>
              <w:jc w:val="left"/>
              <w:rPr>
                <w:b w:val="0"/>
                <w:bCs/>
                <w:sz w:val="20"/>
                <w:szCs w:val="20"/>
                <w:lang w:eastAsia="en-US"/>
              </w:rPr>
            </w:pPr>
            <w:r w:rsidRPr="007955BB">
              <w:rPr>
                <w:b w:val="0"/>
                <w:bCs/>
                <w:sz w:val="20"/>
                <w:szCs w:val="20"/>
                <w:lang w:eastAsia="en-US"/>
              </w:rPr>
              <w:t>7.</w:t>
            </w:r>
            <w:r w:rsidRPr="007955BB">
              <w:rPr>
                <w:rFonts w:ascii="Calibri" w:eastAsia="Arial Unicode" w:hAnsi="Calibri" w:cs="Calibri"/>
                <w:b w:val="0"/>
                <w:bCs/>
                <w:color w:val="000000"/>
                <w:sz w:val="21"/>
                <w:szCs w:val="21"/>
                <w:shd w:val="clear" w:color="auto" w:fill="FFFFFF"/>
              </w:rPr>
              <w:t> </w:t>
            </w:r>
            <w:r w:rsidRPr="007955BB">
              <w:rPr>
                <w:b w:val="0"/>
                <w:bCs/>
                <w:sz w:val="20"/>
                <w:szCs w:val="20"/>
                <w:lang w:val="en-US" w:eastAsia="en-US"/>
              </w:rPr>
              <w:t>Լիցենզավորման</w:t>
            </w:r>
            <w:r w:rsidRPr="007955BB">
              <w:rPr>
                <w:b w:val="0"/>
                <w:bCs/>
                <w:sz w:val="20"/>
                <w:szCs w:val="20"/>
                <w:lang w:eastAsia="en-US"/>
              </w:rPr>
              <w:t xml:space="preserve"> </w:t>
            </w:r>
            <w:r w:rsidRPr="007955BB">
              <w:rPr>
                <w:b w:val="0"/>
                <w:bCs/>
                <w:sz w:val="20"/>
                <w:szCs w:val="20"/>
                <w:lang w:val="en-US" w:eastAsia="en-US"/>
              </w:rPr>
              <w:t>ենթակա</w:t>
            </w:r>
            <w:r w:rsidRPr="007955BB">
              <w:rPr>
                <w:b w:val="0"/>
                <w:bCs/>
                <w:sz w:val="20"/>
                <w:szCs w:val="20"/>
                <w:lang w:eastAsia="en-US"/>
              </w:rPr>
              <w:t xml:space="preserve">  </w:t>
            </w:r>
            <w:r w:rsidRPr="007955BB">
              <w:rPr>
                <w:b w:val="0"/>
                <w:bCs/>
                <w:sz w:val="20"/>
                <w:szCs w:val="20"/>
                <w:lang w:val="en-US" w:eastAsia="en-US"/>
              </w:rPr>
              <w:t>կամ</w:t>
            </w:r>
            <w:r w:rsidRPr="007955BB">
              <w:rPr>
                <w:b w:val="0"/>
                <w:bCs/>
                <w:sz w:val="20"/>
                <w:szCs w:val="20"/>
                <w:lang w:eastAsia="en-US"/>
              </w:rPr>
              <w:t xml:space="preserve"> </w:t>
            </w:r>
            <w:r w:rsidRPr="007955BB">
              <w:rPr>
                <w:b w:val="0"/>
                <w:bCs/>
                <w:sz w:val="20"/>
                <w:szCs w:val="20"/>
                <w:lang w:val="en-US" w:eastAsia="en-US"/>
              </w:rPr>
              <w:t>թույլտվություններով</w:t>
            </w:r>
            <w:r w:rsidRPr="007955BB">
              <w:rPr>
                <w:b w:val="0"/>
                <w:bCs/>
                <w:sz w:val="20"/>
                <w:szCs w:val="20"/>
                <w:lang w:eastAsia="en-US"/>
              </w:rPr>
              <w:t xml:space="preserve"> </w:t>
            </w:r>
            <w:r w:rsidRPr="007955BB">
              <w:rPr>
                <w:b w:val="0"/>
                <w:bCs/>
                <w:sz w:val="20"/>
                <w:szCs w:val="20"/>
                <w:lang w:val="en-US" w:eastAsia="en-US"/>
              </w:rPr>
              <w:t>գործունեություն</w:t>
            </w:r>
            <w:r w:rsidRPr="007955BB">
              <w:rPr>
                <w:b w:val="0"/>
                <w:bCs/>
                <w:sz w:val="20"/>
                <w:szCs w:val="20"/>
                <w:lang w:eastAsia="en-US"/>
              </w:rPr>
              <w:t xml:space="preserve"> </w:t>
            </w:r>
            <w:r w:rsidRPr="007955BB">
              <w:rPr>
                <w:b w:val="0"/>
                <w:bCs/>
                <w:sz w:val="20"/>
                <w:szCs w:val="20"/>
                <w:lang w:val="en-US" w:eastAsia="en-US"/>
              </w:rPr>
              <w:t>իրականացնելու</w:t>
            </w:r>
            <w:r w:rsidRPr="007955BB">
              <w:rPr>
                <w:b w:val="0"/>
                <w:bCs/>
                <w:sz w:val="20"/>
                <w:szCs w:val="20"/>
                <w:lang w:eastAsia="en-US"/>
              </w:rPr>
              <w:t xml:space="preserve"> </w:t>
            </w:r>
            <w:r w:rsidRPr="007955BB">
              <w:rPr>
                <w:b w:val="0"/>
                <w:bCs/>
                <w:sz w:val="20"/>
                <w:szCs w:val="20"/>
                <w:lang w:val="en-US" w:eastAsia="en-US"/>
              </w:rPr>
              <w:t>նպատակով</w:t>
            </w:r>
            <w:r w:rsidRPr="007955BB">
              <w:rPr>
                <w:b w:val="0"/>
                <w:bCs/>
                <w:sz w:val="20"/>
                <w:szCs w:val="20"/>
                <w:lang w:eastAsia="en-US"/>
              </w:rPr>
              <w:t xml:space="preserve"> </w:t>
            </w:r>
            <w:r w:rsidRPr="007955BB">
              <w:rPr>
                <w:b w:val="0"/>
                <w:bCs/>
                <w:sz w:val="20"/>
                <w:szCs w:val="20"/>
                <w:lang w:val="en-US" w:eastAsia="en-US"/>
              </w:rPr>
              <w:t>լիցենզիաներ</w:t>
            </w:r>
            <w:r w:rsidRPr="007955BB">
              <w:rPr>
                <w:b w:val="0"/>
                <w:bCs/>
                <w:sz w:val="20"/>
                <w:szCs w:val="20"/>
                <w:lang w:eastAsia="en-US"/>
              </w:rPr>
              <w:t xml:space="preserve">, </w:t>
            </w:r>
            <w:r w:rsidRPr="007955BB">
              <w:rPr>
                <w:b w:val="0"/>
                <w:bCs/>
                <w:sz w:val="20"/>
                <w:szCs w:val="20"/>
                <w:lang w:val="en-US" w:eastAsia="en-US"/>
              </w:rPr>
              <w:t>արտոնագրեր</w:t>
            </w:r>
            <w:r w:rsidRPr="007955BB">
              <w:rPr>
                <w:b w:val="0"/>
                <w:bCs/>
                <w:sz w:val="20"/>
                <w:szCs w:val="20"/>
                <w:lang w:eastAsia="en-US"/>
              </w:rPr>
              <w:t xml:space="preserve"> (</w:t>
            </w:r>
            <w:r w:rsidRPr="007955BB">
              <w:rPr>
                <w:b w:val="0"/>
                <w:bCs/>
                <w:sz w:val="20"/>
                <w:szCs w:val="20"/>
                <w:lang w:val="en-US" w:eastAsia="en-US"/>
              </w:rPr>
              <w:t>թույլտվություններ</w:t>
            </w:r>
            <w:r w:rsidRPr="007955BB">
              <w:rPr>
                <w:b w:val="0"/>
                <w:bCs/>
                <w:sz w:val="20"/>
                <w:szCs w:val="20"/>
                <w:lang w:eastAsia="en-US"/>
              </w:rPr>
              <w:t xml:space="preserve">) </w:t>
            </w:r>
            <w:r w:rsidRPr="007955BB">
              <w:rPr>
                <w:b w:val="0"/>
                <w:bCs/>
                <w:sz w:val="20"/>
                <w:szCs w:val="20"/>
                <w:lang w:val="en-US" w:eastAsia="en-US"/>
              </w:rPr>
              <w:t>տալու</w:t>
            </w:r>
            <w:r w:rsidRPr="007955BB">
              <w:rPr>
                <w:b w:val="0"/>
                <w:bCs/>
                <w:sz w:val="20"/>
                <w:szCs w:val="20"/>
                <w:lang w:eastAsia="en-US"/>
              </w:rPr>
              <w:t xml:space="preserve"> </w:t>
            </w:r>
            <w:r w:rsidRPr="007955BB">
              <w:rPr>
                <w:b w:val="0"/>
                <w:bCs/>
                <w:sz w:val="20"/>
                <w:szCs w:val="20"/>
                <w:lang w:val="en-US" w:eastAsia="en-US"/>
              </w:rPr>
              <w:t>համար</w:t>
            </w:r>
            <w:r w:rsidRPr="007955BB">
              <w:rPr>
                <w:b w:val="0"/>
                <w:bCs/>
                <w:sz w:val="20"/>
                <w:szCs w:val="20"/>
                <w:lang w:eastAsia="en-US"/>
              </w:rPr>
              <w:t xml:space="preserve"> </w:t>
            </w:r>
          </w:p>
        </w:tc>
        <w:tc>
          <w:tcPr>
            <w:tcW w:w="1080" w:type="dxa"/>
            <w:shd w:val="clear" w:color="auto" w:fill="FFFFFF"/>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10.9</w:t>
            </w:r>
          </w:p>
        </w:tc>
        <w:tc>
          <w:tcPr>
            <w:tcW w:w="990" w:type="dxa"/>
            <w:shd w:val="clear" w:color="auto" w:fill="FFFFFF"/>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13.7</w:t>
            </w:r>
          </w:p>
        </w:tc>
        <w:tc>
          <w:tcPr>
            <w:tcW w:w="900" w:type="dxa"/>
            <w:shd w:val="clear" w:color="auto" w:fill="FFFFFF"/>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38.3</w:t>
            </w:r>
          </w:p>
        </w:tc>
        <w:tc>
          <w:tcPr>
            <w:tcW w:w="810" w:type="dxa"/>
            <w:shd w:val="clear" w:color="auto" w:fill="FFFFFF"/>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63.6</w:t>
            </w:r>
          </w:p>
        </w:tc>
        <w:tc>
          <w:tcPr>
            <w:tcW w:w="1080" w:type="dxa"/>
            <w:shd w:val="clear" w:color="auto" w:fill="FFFFFF"/>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19.8</w:t>
            </w:r>
          </w:p>
        </w:tc>
      </w:tr>
      <w:tr w:rsidR="00CB6784" w:rsidRPr="007955BB" w:rsidTr="00CB6784">
        <w:trPr>
          <w:trHeight w:val="705"/>
        </w:trPr>
        <w:tc>
          <w:tcPr>
            <w:tcW w:w="5102" w:type="dxa"/>
            <w:shd w:val="clear" w:color="auto" w:fill="D5DCE4"/>
            <w:vAlign w:val="center"/>
          </w:tcPr>
          <w:p w:rsidR="00804A79" w:rsidRPr="007955BB" w:rsidRDefault="00804A79" w:rsidP="00804A79">
            <w:pPr>
              <w:spacing w:before="0" w:line="240" w:lineRule="auto"/>
              <w:ind w:firstLine="0"/>
              <w:contextualSpacing w:val="0"/>
              <w:jc w:val="left"/>
              <w:rPr>
                <w:b w:val="0"/>
                <w:bCs/>
                <w:sz w:val="20"/>
                <w:szCs w:val="20"/>
                <w:lang w:eastAsia="en-US"/>
              </w:rPr>
            </w:pPr>
            <w:r w:rsidRPr="007955BB">
              <w:rPr>
                <w:b w:val="0"/>
                <w:bCs/>
                <w:sz w:val="20"/>
                <w:szCs w:val="20"/>
                <w:lang w:eastAsia="en-US"/>
              </w:rPr>
              <w:t xml:space="preserve">8. </w:t>
            </w:r>
            <w:r w:rsidRPr="007955BB">
              <w:rPr>
                <w:b w:val="0"/>
                <w:bCs/>
                <w:sz w:val="20"/>
                <w:szCs w:val="20"/>
                <w:lang w:val="en-US" w:eastAsia="en-US"/>
              </w:rPr>
              <w:t>Օրենքով</w:t>
            </w:r>
            <w:r w:rsidRPr="007955BB">
              <w:rPr>
                <w:b w:val="0"/>
                <w:bCs/>
                <w:sz w:val="20"/>
                <w:szCs w:val="20"/>
                <w:lang w:eastAsia="en-US"/>
              </w:rPr>
              <w:t xml:space="preserve"> </w:t>
            </w:r>
            <w:r w:rsidRPr="007955BB">
              <w:rPr>
                <w:b w:val="0"/>
                <w:bCs/>
                <w:sz w:val="20"/>
                <w:szCs w:val="20"/>
                <w:lang w:val="en-US" w:eastAsia="en-US"/>
              </w:rPr>
              <w:t>սահմանված</w:t>
            </w:r>
            <w:r w:rsidRPr="007955BB">
              <w:rPr>
                <w:b w:val="0"/>
                <w:bCs/>
                <w:sz w:val="20"/>
                <w:szCs w:val="20"/>
                <w:lang w:eastAsia="en-US"/>
              </w:rPr>
              <w:t xml:space="preserve"> </w:t>
            </w:r>
            <w:r w:rsidRPr="007955BB">
              <w:rPr>
                <w:b w:val="0"/>
                <w:bCs/>
                <w:sz w:val="20"/>
                <w:szCs w:val="20"/>
                <w:lang w:val="en-US" w:eastAsia="en-US"/>
              </w:rPr>
              <w:t>այլ</w:t>
            </w:r>
            <w:r w:rsidRPr="007955BB">
              <w:rPr>
                <w:b w:val="0"/>
                <w:bCs/>
                <w:sz w:val="20"/>
                <w:szCs w:val="20"/>
                <w:lang w:eastAsia="en-US"/>
              </w:rPr>
              <w:t xml:space="preserve"> </w:t>
            </w:r>
            <w:r w:rsidRPr="007955BB">
              <w:rPr>
                <w:b w:val="0"/>
                <w:bCs/>
                <w:sz w:val="20"/>
                <w:szCs w:val="20"/>
                <w:lang w:val="en-US" w:eastAsia="en-US"/>
              </w:rPr>
              <w:t>ծառայությունների</w:t>
            </w:r>
            <w:r w:rsidRPr="007955BB">
              <w:rPr>
                <w:b w:val="0"/>
                <w:bCs/>
                <w:sz w:val="20"/>
                <w:szCs w:val="20"/>
                <w:lang w:eastAsia="en-US"/>
              </w:rPr>
              <w:t xml:space="preserve"> </w:t>
            </w:r>
            <w:r w:rsidRPr="007955BB">
              <w:rPr>
                <w:b w:val="0"/>
                <w:bCs/>
                <w:sz w:val="20"/>
                <w:szCs w:val="20"/>
                <w:lang w:val="en-US" w:eastAsia="en-US"/>
              </w:rPr>
              <w:t>և</w:t>
            </w:r>
            <w:r w:rsidRPr="007955BB">
              <w:rPr>
                <w:b w:val="0"/>
                <w:bCs/>
                <w:sz w:val="20"/>
                <w:szCs w:val="20"/>
                <w:lang w:eastAsia="en-US"/>
              </w:rPr>
              <w:t xml:space="preserve"> </w:t>
            </w:r>
            <w:r w:rsidRPr="007955BB">
              <w:rPr>
                <w:b w:val="0"/>
                <w:bCs/>
                <w:sz w:val="20"/>
                <w:szCs w:val="20"/>
                <w:lang w:val="en-US" w:eastAsia="en-US"/>
              </w:rPr>
              <w:t>գործողությունների</w:t>
            </w:r>
            <w:r w:rsidRPr="007955BB">
              <w:rPr>
                <w:b w:val="0"/>
                <w:bCs/>
                <w:sz w:val="20"/>
                <w:szCs w:val="20"/>
                <w:lang w:eastAsia="en-US"/>
              </w:rPr>
              <w:t xml:space="preserve"> </w:t>
            </w:r>
            <w:r w:rsidRPr="007955BB">
              <w:rPr>
                <w:b w:val="0"/>
                <w:bCs/>
                <w:sz w:val="20"/>
                <w:szCs w:val="20"/>
                <w:lang w:val="en-US" w:eastAsia="en-US"/>
              </w:rPr>
              <w:t>համար</w:t>
            </w:r>
          </w:p>
        </w:tc>
        <w:tc>
          <w:tcPr>
            <w:tcW w:w="1080" w:type="dxa"/>
            <w:shd w:val="clear" w:color="auto" w:fill="D5DCE4"/>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19.4</w:t>
            </w:r>
          </w:p>
        </w:tc>
        <w:tc>
          <w:tcPr>
            <w:tcW w:w="990" w:type="dxa"/>
            <w:shd w:val="clear" w:color="auto" w:fill="D5DCE4"/>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10.2</w:t>
            </w:r>
          </w:p>
        </w:tc>
        <w:tc>
          <w:tcPr>
            <w:tcW w:w="900" w:type="dxa"/>
            <w:shd w:val="clear" w:color="auto" w:fill="D5DCE4"/>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15.4</w:t>
            </w:r>
          </w:p>
        </w:tc>
        <w:tc>
          <w:tcPr>
            <w:tcW w:w="810" w:type="dxa"/>
            <w:shd w:val="clear" w:color="auto" w:fill="D5DCE4"/>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13.3</w:t>
            </w:r>
          </w:p>
        </w:tc>
        <w:tc>
          <w:tcPr>
            <w:tcW w:w="1080" w:type="dxa"/>
            <w:shd w:val="clear" w:color="auto" w:fill="D5DCE4"/>
            <w:noWrap/>
            <w:vAlign w:val="center"/>
          </w:tcPr>
          <w:p w:rsidR="00804A79" w:rsidRPr="007955BB" w:rsidRDefault="00804A79" w:rsidP="00804A79">
            <w:pPr>
              <w:spacing w:before="0" w:line="276" w:lineRule="auto"/>
              <w:ind w:firstLine="0"/>
              <w:contextualSpacing w:val="0"/>
              <w:jc w:val="center"/>
              <w:rPr>
                <w:b w:val="0"/>
                <w:bCs/>
                <w:sz w:val="20"/>
                <w:szCs w:val="20"/>
                <w:lang w:val="en-US" w:eastAsia="en-US"/>
              </w:rPr>
            </w:pPr>
            <w:r w:rsidRPr="007955BB">
              <w:rPr>
                <w:b w:val="0"/>
                <w:bCs/>
                <w:sz w:val="20"/>
                <w:szCs w:val="20"/>
                <w:lang w:val="en-US" w:eastAsia="en-US"/>
              </w:rPr>
              <w:t>17.8</w:t>
            </w:r>
          </w:p>
        </w:tc>
      </w:tr>
    </w:tbl>
    <w:p w:rsidR="00804A79" w:rsidRPr="007955BB" w:rsidRDefault="00804A79" w:rsidP="00804A79">
      <w:pPr>
        <w:spacing w:before="0" w:line="276" w:lineRule="auto"/>
        <w:ind w:firstLine="538"/>
        <w:rPr>
          <w:rFonts w:eastAsia="Calibri"/>
          <w:b w:val="0"/>
          <w:szCs w:val="22"/>
          <w:lang w:eastAsia="en-US"/>
        </w:rPr>
      </w:pPr>
      <w:r w:rsidRPr="007955BB">
        <w:rPr>
          <w:rFonts w:eastAsia="Calibri"/>
          <w:b w:val="0"/>
          <w:szCs w:val="22"/>
          <w:lang w:val="hy-AM" w:eastAsia="en-US"/>
        </w:rPr>
        <w:t>Պետական տուրքի առանձին տեսակների («Պետական տուրքի մասին» ՀՀ օրենքով սահման</w:t>
      </w:r>
      <w:r w:rsidRPr="007955BB">
        <w:rPr>
          <w:rFonts w:eastAsia="Calibri"/>
          <w:b w:val="0"/>
          <w:szCs w:val="22"/>
          <w:lang w:val="hy-AM" w:eastAsia="en-US"/>
        </w:rPr>
        <w:softHyphen/>
        <w:t>ված հիմնական խմբերի) գծով 202</w:t>
      </w:r>
      <w:r w:rsidRPr="007955BB">
        <w:rPr>
          <w:rFonts w:eastAsia="Calibri"/>
          <w:b w:val="0"/>
          <w:szCs w:val="22"/>
          <w:lang w:eastAsia="en-US"/>
        </w:rPr>
        <w:t>3</w:t>
      </w:r>
      <w:r w:rsidRPr="007955BB">
        <w:rPr>
          <w:rFonts w:eastAsia="Calibri"/>
          <w:b w:val="0"/>
          <w:szCs w:val="22"/>
          <w:lang w:val="hy-AM" w:eastAsia="en-US"/>
        </w:rPr>
        <w:t xml:space="preserve"> թվականի բյուջետային մուտ</w:t>
      </w:r>
      <w:r w:rsidRPr="007955BB">
        <w:rPr>
          <w:rFonts w:eastAsia="Calibri"/>
          <w:b w:val="0"/>
          <w:szCs w:val="22"/>
          <w:lang w:val="hy-AM" w:eastAsia="en-US"/>
        </w:rPr>
        <w:softHyphen/>
        <w:t>քե</w:t>
      </w:r>
      <w:r w:rsidRPr="007955BB">
        <w:rPr>
          <w:rFonts w:eastAsia="Calibri"/>
          <w:b w:val="0"/>
          <w:szCs w:val="22"/>
          <w:lang w:val="hy-AM" w:eastAsia="en-US"/>
        </w:rPr>
        <w:softHyphen/>
        <w:t>րի կանխատեսումները, հաշ</w:t>
      </w:r>
      <w:r w:rsidRPr="007955BB">
        <w:rPr>
          <w:rFonts w:eastAsia="Calibri"/>
          <w:b w:val="0"/>
          <w:szCs w:val="22"/>
          <w:lang w:val="hy-AM" w:eastAsia="en-US"/>
        </w:rPr>
        <w:softHyphen/>
        <w:t>վարկման մեթոդների համառոտ նկարագրու</w:t>
      </w:r>
      <w:r w:rsidRPr="007955BB">
        <w:rPr>
          <w:rFonts w:eastAsia="Calibri"/>
          <w:b w:val="0"/>
          <w:szCs w:val="22"/>
          <w:lang w:val="hy-AM" w:eastAsia="en-US"/>
        </w:rPr>
        <w:softHyphen/>
        <w:t>թյունը, ծրա</w:t>
      </w:r>
      <w:r w:rsidRPr="007955BB">
        <w:rPr>
          <w:rFonts w:eastAsia="Calibri"/>
          <w:b w:val="0"/>
          <w:szCs w:val="22"/>
          <w:lang w:val="hy-AM" w:eastAsia="en-US"/>
        </w:rPr>
        <w:softHyphen/>
        <w:t>գրա</w:t>
      </w:r>
      <w:r w:rsidRPr="007955BB">
        <w:rPr>
          <w:rFonts w:eastAsia="Calibri"/>
          <w:b w:val="0"/>
          <w:szCs w:val="22"/>
          <w:lang w:val="hy-AM" w:eastAsia="en-US"/>
        </w:rPr>
        <w:softHyphen/>
      </w:r>
      <w:r w:rsidRPr="007955BB">
        <w:rPr>
          <w:rFonts w:eastAsia="Calibri"/>
          <w:b w:val="0"/>
          <w:szCs w:val="22"/>
          <w:lang w:val="hy-AM" w:eastAsia="en-US"/>
        </w:rPr>
        <w:softHyphen/>
        <w:t>յին և փաստա</w:t>
      </w:r>
      <w:r w:rsidRPr="007955BB">
        <w:rPr>
          <w:rFonts w:eastAsia="Calibri"/>
          <w:b w:val="0"/>
          <w:szCs w:val="22"/>
          <w:lang w:val="hy-AM" w:eastAsia="en-US"/>
        </w:rPr>
        <w:softHyphen/>
        <w:t>ցի ցուցա</w:t>
      </w:r>
      <w:r w:rsidRPr="007955BB">
        <w:rPr>
          <w:rFonts w:eastAsia="Calibri"/>
          <w:b w:val="0"/>
          <w:szCs w:val="22"/>
          <w:lang w:val="hy-AM" w:eastAsia="en-US"/>
        </w:rPr>
        <w:softHyphen/>
        <w:t>նիշների համեմատականները ներկայացվում են ստորև:</w:t>
      </w:r>
    </w:p>
    <w:p w:rsidR="00804A79" w:rsidRPr="007955BB" w:rsidRDefault="00804A79" w:rsidP="00804A79">
      <w:pPr>
        <w:spacing w:before="0" w:line="276" w:lineRule="auto"/>
        <w:ind w:firstLine="538"/>
        <w:rPr>
          <w:rFonts w:eastAsia="Calibri" w:cs="GHEA Grapalat"/>
          <w:b w:val="0"/>
          <w:szCs w:val="22"/>
          <w:lang w:eastAsia="en-US"/>
        </w:rPr>
      </w:pPr>
      <w:r w:rsidRPr="007955BB">
        <w:rPr>
          <w:rFonts w:eastAsia="Calibri"/>
          <w:szCs w:val="22"/>
          <w:lang w:val="hy-AM" w:eastAsia="en-US"/>
        </w:rPr>
        <w:t>Դատարան տրվող հայցադիմումների, դիմումների, դատարանի դատական ակտերի դեմ վերաքննիչ և վճռաբեկ բողոքների համար, ինչպես նաև դատարանի կողմից տրվող փաստաթղթերի պատճեններ (կրկնօրինակներ)</w:t>
      </w:r>
      <w:r w:rsidRPr="007955BB">
        <w:rPr>
          <w:rFonts w:eastAsia="Calibri"/>
          <w:szCs w:val="22"/>
          <w:lang w:eastAsia="en-US"/>
        </w:rPr>
        <w:t xml:space="preserve">, </w:t>
      </w:r>
      <w:r w:rsidRPr="007955BB">
        <w:rPr>
          <w:rFonts w:eastAsia="Calibri"/>
          <w:szCs w:val="22"/>
          <w:lang w:val="en-US" w:eastAsia="en-US"/>
        </w:rPr>
        <w:t>գործում</w:t>
      </w:r>
      <w:r w:rsidRPr="007955BB">
        <w:rPr>
          <w:rFonts w:eastAsia="Calibri"/>
          <w:szCs w:val="22"/>
          <w:lang w:eastAsia="en-US"/>
        </w:rPr>
        <w:t xml:space="preserve"> </w:t>
      </w:r>
      <w:r w:rsidRPr="007955BB">
        <w:rPr>
          <w:rFonts w:eastAsia="Calibri"/>
          <w:szCs w:val="22"/>
          <w:lang w:val="en-US" w:eastAsia="en-US"/>
        </w:rPr>
        <w:t>առկա</w:t>
      </w:r>
      <w:r w:rsidRPr="007955BB">
        <w:rPr>
          <w:rFonts w:eastAsia="Calibri"/>
          <w:szCs w:val="22"/>
          <w:lang w:eastAsia="en-US"/>
        </w:rPr>
        <w:t xml:space="preserve"> </w:t>
      </w:r>
      <w:r w:rsidRPr="007955BB">
        <w:rPr>
          <w:rFonts w:eastAsia="Calibri"/>
          <w:szCs w:val="22"/>
          <w:lang w:val="en-US" w:eastAsia="en-US"/>
        </w:rPr>
        <w:t>լուսանկարների</w:t>
      </w:r>
      <w:r w:rsidRPr="007955BB">
        <w:rPr>
          <w:rFonts w:eastAsia="Calibri"/>
          <w:szCs w:val="22"/>
          <w:lang w:eastAsia="en-US"/>
        </w:rPr>
        <w:t xml:space="preserve"> (</w:t>
      </w:r>
      <w:r w:rsidRPr="007955BB">
        <w:rPr>
          <w:rFonts w:eastAsia="Calibri"/>
          <w:szCs w:val="22"/>
          <w:lang w:val="en-US" w:eastAsia="en-US"/>
        </w:rPr>
        <w:t>լուսաժապավենների</w:t>
      </w:r>
      <w:r w:rsidRPr="007955BB">
        <w:rPr>
          <w:rFonts w:eastAsia="Calibri"/>
          <w:szCs w:val="22"/>
          <w:lang w:eastAsia="en-US"/>
        </w:rPr>
        <w:t xml:space="preserve">), </w:t>
      </w:r>
      <w:r w:rsidRPr="007955BB">
        <w:rPr>
          <w:rFonts w:eastAsia="Calibri"/>
          <w:szCs w:val="22"/>
          <w:lang w:val="en-US" w:eastAsia="en-US"/>
        </w:rPr>
        <w:t>ձայնագրությունների</w:t>
      </w:r>
      <w:r w:rsidRPr="007955BB">
        <w:rPr>
          <w:rFonts w:eastAsia="Calibri"/>
          <w:szCs w:val="22"/>
          <w:lang w:eastAsia="en-US"/>
        </w:rPr>
        <w:t xml:space="preserve">, </w:t>
      </w:r>
      <w:r w:rsidRPr="007955BB">
        <w:rPr>
          <w:rFonts w:eastAsia="Calibri"/>
          <w:szCs w:val="22"/>
          <w:lang w:val="en-US" w:eastAsia="en-US"/>
        </w:rPr>
        <w:t>տեսագրությունների</w:t>
      </w:r>
      <w:r w:rsidRPr="007955BB">
        <w:rPr>
          <w:rFonts w:eastAsia="Calibri"/>
          <w:szCs w:val="22"/>
          <w:lang w:eastAsia="en-US"/>
        </w:rPr>
        <w:t xml:space="preserve"> </w:t>
      </w:r>
      <w:r w:rsidRPr="007955BB">
        <w:rPr>
          <w:rFonts w:eastAsia="Calibri"/>
          <w:szCs w:val="22"/>
          <w:lang w:val="en-US" w:eastAsia="en-US"/>
        </w:rPr>
        <w:t>և</w:t>
      </w:r>
      <w:r w:rsidRPr="007955BB">
        <w:rPr>
          <w:rFonts w:eastAsia="Calibri"/>
          <w:szCs w:val="22"/>
          <w:lang w:eastAsia="en-US"/>
        </w:rPr>
        <w:t xml:space="preserve"> </w:t>
      </w:r>
      <w:r w:rsidRPr="007955BB">
        <w:rPr>
          <w:rFonts w:eastAsia="Calibri"/>
          <w:szCs w:val="22"/>
          <w:lang w:val="en-US" w:eastAsia="en-US"/>
        </w:rPr>
        <w:t>դրանց</w:t>
      </w:r>
      <w:r w:rsidRPr="007955BB">
        <w:rPr>
          <w:rFonts w:eastAsia="Calibri"/>
          <w:szCs w:val="22"/>
          <w:lang w:eastAsia="en-US"/>
        </w:rPr>
        <w:t xml:space="preserve"> </w:t>
      </w:r>
      <w:r w:rsidRPr="007955BB">
        <w:rPr>
          <w:rFonts w:eastAsia="Calibri"/>
          <w:szCs w:val="22"/>
          <w:lang w:val="en-US" w:eastAsia="en-US"/>
        </w:rPr>
        <w:t>էլեկտրոնային</w:t>
      </w:r>
      <w:r w:rsidRPr="007955BB">
        <w:rPr>
          <w:rFonts w:eastAsia="Calibri"/>
          <w:szCs w:val="22"/>
          <w:lang w:eastAsia="en-US"/>
        </w:rPr>
        <w:t xml:space="preserve"> </w:t>
      </w:r>
      <w:r w:rsidRPr="007955BB">
        <w:rPr>
          <w:rFonts w:eastAsia="Calibri"/>
          <w:szCs w:val="22"/>
          <w:lang w:val="en-US" w:eastAsia="en-US"/>
        </w:rPr>
        <w:t>կրիչների</w:t>
      </w:r>
      <w:r w:rsidRPr="007955BB">
        <w:rPr>
          <w:rFonts w:eastAsia="Calibri"/>
          <w:szCs w:val="22"/>
          <w:lang w:eastAsia="en-US"/>
        </w:rPr>
        <w:t xml:space="preserve"> </w:t>
      </w:r>
      <w:r w:rsidRPr="007955BB">
        <w:rPr>
          <w:rFonts w:eastAsia="Calibri"/>
          <w:szCs w:val="22"/>
          <w:lang w:val="en-US" w:eastAsia="en-US"/>
        </w:rPr>
        <w:t>բնօրինակից</w:t>
      </w:r>
      <w:r w:rsidRPr="007955BB">
        <w:rPr>
          <w:rFonts w:eastAsia="Calibri"/>
          <w:szCs w:val="22"/>
          <w:lang w:eastAsia="en-US"/>
        </w:rPr>
        <w:t xml:space="preserve"> </w:t>
      </w:r>
      <w:r w:rsidRPr="007955BB">
        <w:rPr>
          <w:rFonts w:eastAsia="Calibri"/>
          <w:szCs w:val="22"/>
          <w:lang w:val="en-US" w:eastAsia="en-US"/>
        </w:rPr>
        <w:t>պատճենահանված</w:t>
      </w:r>
      <w:r w:rsidRPr="007955BB">
        <w:rPr>
          <w:rFonts w:eastAsia="Calibri"/>
          <w:szCs w:val="22"/>
          <w:lang w:eastAsia="en-US"/>
        </w:rPr>
        <w:t xml:space="preserve"> </w:t>
      </w:r>
      <w:r w:rsidRPr="007955BB">
        <w:rPr>
          <w:rFonts w:eastAsia="Calibri"/>
          <w:szCs w:val="22"/>
          <w:lang w:val="en-US" w:eastAsia="en-US"/>
        </w:rPr>
        <w:t>կրիչ</w:t>
      </w:r>
      <w:r w:rsidRPr="007955BB">
        <w:rPr>
          <w:rFonts w:eastAsia="Calibri"/>
          <w:szCs w:val="22"/>
          <w:lang w:eastAsia="en-US"/>
        </w:rPr>
        <w:t xml:space="preserve"> </w:t>
      </w:r>
      <w:r w:rsidRPr="007955BB">
        <w:rPr>
          <w:rFonts w:eastAsia="Calibri"/>
          <w:szCs w:val="22"/>
          <w:lang w:val="en-US" w:eastAsia="en-US"/>
        </w:rPr>
        <w:t>և</w:t>
      </w:r>
      <w:r w:rsidRPr="007955BB">
        <w:rPr>
          <w:rFonts w:eastAsia="Calibri"/>
          <w:szCs w:val="22"/>
          <w:lang w:eastAsia="en-US"/>
        </w:rPr>
        <w:t xml:space="preserve"> </w:t>
      </w:r>
      <w:r w:rsidRPr="007955BB">
        <w:rPr>
          <w:rFonts w:eastAsia="Calibri"/>
          <w:szCs w:val="22"/>
          <w:lang w:val="en-US" w:eastAsia="en-US"/>
        </w:rPr>
        <w:t>դատական</w:t>
      </w:r>
      <w:r w:rsidRPr="007955BB">
        <w:rPr>
          <w:rFonts w:eastAsia="Calibri"/>
          <w:szCs w:val="22"/>
          <w:lang w:eastAsia="en-US"/>
        </w:rPr>
        <w:t xml:space="preserve"> </w:t>
      </w:r>
      <w:r w:rsidRPr="007955BB">
        <w:rPr>
          <w:rFonts w:eastAsia="Calibri"/>
          <w:szCs w:val="22"/>
          <w:lang w:val="en-US" w:eastAsia="en-US"/>
        </w:rPr>
        <w:t>նիստի</w:t>
      </w:r>
      <w:r w:rsidRPr="007955BB">
        <w:rPr>
          <w:rFonts w:eastAsia="Calibri"/>
          <w:szCs w:val="22"/>
          <w:lang w:eastAsia="en-US"/>
        </w:rPr>
        <w:t xml:space="preserve"> </w:t>
      </w:r>
      <w:r w:rsidRPr="007955BB">
        <w:rPr>
          <w:rFonts w:eastAsia="Calibri"/>
          <w:szCs w:val="22"/>
          <w:lang w:val="en-US" w:eastAsia="en-US"/>
        </w:rPr>
        <w:t>համակարգչային</w:t>
      </w:r>
      <w:r w:rsidRPr="007955BB">
        <w:rPr>
          <w:rFonts w:eastAsia="Calibri"/>
          <w:szCs w:val="22"/>
          <w:lang w:eastAsia="en-US"/>
        </w:rPr>
        <w:t xml:space="preserve"> </w:t>
      </w:r>
      <w:r w:rsidRPr="007955BB">
        <w:rPr>
          <w:rFonts w:eastAsia="Calibri"/>
          <w:szCs w:val="22"/>
          <w:lang w:val="en-US" w:eastAsia="en-US"/>
        </w:rPr>
        <w:t>ձայնագրման</w:t>
      </w:r>
      <w:r w:rsidRPr="007955BB">
        <w:rPr>
          <w:rFonts w:eastAsia="Calibri"/>
          <w:szCs w:val="22"/>
          <w:lang w:eastAsia="en-US"/>
        </w:rPr>
        <w:t xml:space="preserve"> </w:t>
      </w:r>
      <w:r w:rsidRPr="007955BB">
        <w:rPr>
          <w:rFonts w:eastAsia="Calibri"/>
          <w:szCs w:val="22"/>
          <w:lang w:val="en-US" w:eastAsia="en-US"/>
        </w:rPr>
        <w:t>կրկնօրինակ</w:t>
      </w:r>
      <w:r w:rsidRPr="007955BB">
        <w:rPr>
          <w:rFonts w:eastAsia="Calibri"/>
          <w:szCs w:val="22"/>
          <w:lang w:eastAsia="en-US"/>
        </w:rPr>
        <w:t xml:space="preserve"> </w:t>
      </w:r>
      <w:r w:rsidRPr="007955BB">
        <w:rPr>
          <w:rFonts w:eastAsia="Calibri"/>
          <w:szCs w:val="22"/>
          <w:lang w:val="hy-AM" w:eastAsia="en-US"/>
        </w:rPr>
        <w:t>տալու համար</w:t>
      </w:r>
      <w:r w:rsidRPr="007955BB">
        <w:rPr>
          <w:rFonts w:eastAsia="Calibri"/>
          <w:bCs/>
          <w:szCs w:val="22"/>
          <w:lang w:val="hy-AM" w:eastAsia="en-US"/>
        </w:rPr>
        <w:t xml:space="preserve"> </w:t>
      </w:r>
      <w:r w:rsidRPr="007955BB">
        <w:rPr>
          <w:rFonts w:eastAsia="Calibri"/>
          <w:b w:val="0"/>
          <w:szCs w:val="22"/>
          <w:lang w:val="hy-AM" w:eastAsia="en-US"/>
        </w:rPr>
        <w:t>գանձվող պետական տուրքերի գծով 202</w:t>
      </w:r>
      <w:r w:rsidRPr="007955BB">
        <w:rPr>
          <w:rFonts w:eastAsia="Calibri"/>
          <w:b w:val="0"/>
          <w:szCs w:val="22"/>
          <w:lang w:eastAsia="en-US"/>
        </w:rPr>
        <w:t>3</w:t>
      </w:r>
      <w:r w:rsidRPr="007955BB">
        <w:rPr>
          <w:rFonts w:eastAsia="Calibri"/>
          <w:b w:val="0"/>
          <w:szCs w:val="22"/>
          <w:lang w:val="hy-AM" w:eastAsia="en-US"/>
        </w:rPr>
        <w:t xml:space="preserve"> թվականի մուտքերը գնահատվել են </w:t>
      </w:r>
      <w:r w:rsidRPr="007955BB">
        <w:rPr>
          <w:rFonts w:eastAsia="Calibri"/>
          <w:b w:val="0"/>
          <w:szCs w:val="22"/>
          <w:lang w:eastAsia="en-US"/>
        </w:rPr>
        <w:t xml:space="preserve"> 2022 </w:t>
      </w:r>
      <w:r w:rsidRPr="007955BB">
        <w:rPr>
          <w:rFonts w:eastAsia="Calibri"/>
          <w:b w:val="0"/>
          <w:szCs w:val="22"/>
          <w:lang w:val="en-US" w:eastAsia="en-US"/>
        </w:rPr>
        <w:t>թվականի</w:t>
      </w:r>
      <w:r w:rsidRPr="007955BB">
        <w:rPr>
          <w:rFonts w:eastAsia="Calibri"/>
          <w:b w:val="0"/>
          <w:szCs w:val="22"/>
          <w:lang w:eastAsia="en-US"/>
        </w:rPr>
        <w:t xml:space="preserve"> </w:t>
      </w:r>
      <w:r w:rsidRPr="007955BB">
        <w:rPr>
          <w:rFonts w:eastAsia="Calibri"/>
          <w:b w:val="0"/>
          <w:szCs w:val="22"/>
          <w:lang w:val="en-US" w:eastAsia="en-US"/>
        </w:rPr>
        <w:t>սպասողական</w:t>
      </w:r>
      <w:r w:rsidRPr="007955BB">
        <w:rPr>
          <w:rFonts w:eastAsia="Calibri"/>
          <w:b w:val="0"/>
          <w:szCs w:val="22"/>
          <w:lang w:eastAsia="en-US"/>
        </w:rPr>
        <w:t xml:space="preserve"> </w:t>
      </w:r>
      <w:r w:rsidRPr="007955BB">
        <w:rPr>
          <w:rFonts w:eastAsia="Calibri"/>
          <w:b w:val="0"/>
          <w:szCs w:val="22"/>
          <w:lang w:val="en-US" w:eastAsia="en-US"/>
        </w:rPr>
        <w:t>ցուցանիշի՝</w:t>
      </w:r>
      <w:r w:rsidRPr="007955BB">
        <w:rPr>
          <w:rFonts w:eastAsia="Calibri"/>
          <w:b w:val="0"/>
          <w:szCs w:val="22"/>
          <w:lang w:eastAsia="en-US"/>
        </w:rPr>
        <w:t xml:space="preserve"> </w:t>
      </w:r>
      <w:r w:rsidRPr="007955BB">
        <w:rPr>
          <w:rFonts w:eastAsia="Calibri" w:cs="GHEA Grapalat"/>
          <w:b w:val="0"/>
          <w:szCs w:val="22"/>
          <w:lang w:val="hy-AM" w:eastAsia="en-US"/>
        </w:rPr>
        <w:t>2,</w:t>
      </w:r>
      <w:r w:rsidRPr="007955BB">
        <w:rPr>
          <w:rFonts w:eastAsia="Calibri" w:cs="GHEA Grapalat"/>
          <w:b w:val="0"/>
          <w:szCs w:val="22"/>
          <w:lang w:eastAsia="en-US"/>
        </w:rPr>
        <w:t>440.0</w:t>
      </w:r>
      <w:r w:rsidRPr="007955BB">
        <w:rPr>
          <w:rFonts w:eastAsia="Calibri" w:cs="GHEA Grapalat"/>
          <w:b w:val="0"/>
          <w:szCs w:val="22"/>
          <w:lang w:val="hy-AM" w:eastAsia="en-US"/>
        </w:rPr>
        <w:t xml:space="preserve"> մլն</w:t>
      </w:r>
      <w:r w:rsidRPr="007955BB">
        <w:rPr>
          <w:rFonts w:eastAsia="Calibri"/>
          <w:b w:val="0"/>
          <w:szCs w:val="22"/>
          <w:lang w:val="hy-AM" w:eastAsia="en-US"/>
        </w:rPr>
        <w:t xml:space="preserve"> դրամի չափով` 202</w:t>
      </w:r>
      <w:r w:rsidRPr="007955BB">
        <w:rPr>
          <w:rFonts w:eastAsia="Calibri"/>
          <w:b w:val="0"/>
          <w:szCs w:val="22"/>
          <w:lang w:eastAsia="en-US"/>
        </w:rPr>
        <w:t>2</w:t>
      </w:r>
      <w:r w:rsidRPr="007955BB">
        <w:rPr>
          <w:rFonts w:eastAsia="Calibri"/>
          <w:b w:val="0"/>
          <w:szCs w:val="22"/>
          <w:lang w:val="hy-AM" w:eastAsia="en-US"/>
        </w:rPr>
        <w:t xml:space="preserve"> թվա</w:t>
      </w:r>
      <w:r w:rsidRPr="007955BB">
        <w:rPr>
          <w:rFonts w:eastAsia="Calibri"/>
          <w:b w:val="0"/>
          <w:szCs w:val="22"/>
          <w:lang w:val="hy-AM" w:eastAsia="en-US"/>
        </w:rPr>
        <w:softHyphen/>
        <w:t>կանի համար հաս</w:t>
      </w:r>
      <w:r w:rsidRPr="007955BB">
        <w:rPr>
          <w:rFonts w:eastAsia="Calibri"/>
          <w:b w:val="0"/>
          <w:szCs w:val="22"/>
          <w:lang w:val="hy-AM" w:eastAsia="en-US"/>
        </w:rPr>
        <w:softHyphen/>
        <w:t>տատ</w:t>
      </w:r>
      <w:r w:rsidRPr="007955BB">
        <w:rPr>
          <w:rFonts w:eastAsia="Calibri"/>
          <w:b w:val="0"/>
          <w:szCs w:val="22"/>
          <w:lang w:val="hy-AM" w:eastAsia="en-US"/>
        </w:rPr>
        <w:softHyphen/>
        <w:t xml:space="preserve">ված </w:t>
      </w:r>
      <w:r w:rsidRPr="007955BB">
        <w:rPr>
          <w:rFonts w:eastAsia="Calibri" w:cs="GHEA Grapalat"/>
          <w:b w:val="0"/>
          <w:szCs w:val="22"/>
          <w:lang w:val="hy-AM" w:eastAsia="en-US"/>
        </w:rPr>
        <w:t>2,</w:t>
      </w:r>
      <w:r w:rsidRPr="007955BB">
        <w:rPr>
          <w:rFonts w:eastAsia="Calibri" w:cs="GHEA Grapalat"/>
          <w:b w:val="0"/>
          <w:szCs w:val="22"/>
          <w:lang w:eastAsia="en-US"/>
        </w:rPr>
        <w:t>118.9</w:t>
      </w:r>
      <w:r w:rsidRPr="007955BB">
        <w:rPr>
          <w:rFonts w:eastAsia="Calibri" w:cs="GHEA Grapalat"/>
          <w:b w:val="0"/>
          <w:szCs w:val="22"/>
          <w:lang w:val="hy-AM" w:eastAsia="en-US"/>
        </w:rPr>
        <w:t xml:space="preserve"> </w:t>
      </w:r>
      <w:r w:rsidRPr="007955BB">
        <w:rPr>
          <w:rFonts w:eastAsia="Calibri"/>
          <w:b w:val="0"/>
          <w:szCs w:val="22"/>
          <w:lang w:val="hy-AM" w:eastAsia="en-US"/>
        </w:rPr>
        <w:t>մլն դրամ և 20</w:t>
      </w:r>
      <w:r w:rsidRPr="007955BB">
        <w:rPr>
          <w:rFonts w:eastAsia="Calibri"/>
          <w:b w:val="0"/>
          <w:szCs w:val="22"/>
          <w:lang w:eastAsia="en-US"/>
        </w:rPr>
        <w:t>21</w:t>
      </w:r>
      <w:r w:rsidRPr="007955BB">
        <w:rPr>
          <w:rFonts w:eastAsia="Calibri"/>
          <w:b w:val="0"/>
          <w:szCs w:val="22"/>
          <w:lang w:val="hy-AM" w:eastAsia="en-US"/>
        </w:rPr>
        <w:t xml:space="preserve"> թվականի փաս</w:t>
      </w:r>
      <w:r w:rsidRPr="007955BB">
        <w:rPr>
          <w:rFonts w:eastAsia="Calibri"/>
          <w:b w:val="0"/>
          <w:szCs w:val="22"/>
          <w:lang w:val="hy-AM" w:eastAsia="en-US"/>
        </w:rPr>
        <w:softHyphen/>
        <w:t>տա</w:t>
      </w:r>
      <w:r w:rsidRPr="007955BB">
        <w:rPr>
          <w:rFonts w:eastAsia="Calibri"/>
          <w:b w:val="0"/>
          <w:szCs w:val="22"/>
          <w:lang w:val="hy-AM" w:eastAsia="en-US"/>
        </w:rPr>
        <w:softHyphen/>
        <w:t xml:space="preserve">ցի ստացված </w:t>
      </w:r>
      <w:r w:rsidRPr="007955BB">
        <w:rPr>
          <w:rFonts w:eastAsia="Calibri"/>
          <w:b w:val="0"/>
          <w:szCs w:val="22"/>
          <w:lang w:eastAsia="en-US"/>
        </w:rPr>
        <w:t>2</w:t>
      </w:r>
      <w:r w:rsidRPr="007955BB">
        <w:rPr>
          <w:rFonts w:eastAsia="Calibri"/>
          <w:b w:val="0"/>
          <w:szCs w:val="22"/>
          <w:lang w:val="hy-AM" w:eastAsia="en-US"/>
        </w:rPr>
        <w:t>,</w:t>
      </w:r>
      <w:r w:rsidRPr="007955BB">
        <w:rPr>
          <w:rFonts w:eastAsia="Calibri"/>
          <w:b w:val="0"/>
          <w:szCs w:val="22"/>
          <w:lang w:eastAsia="en-US"/>
        </w:rPr>
        <w:t>207.0</w:t>
      </w:r>
      <w:r w:rsidRPr="007955BB">
        <w:rPr>
          <w:rFonts w:eastAsia="Calibri"/>
          <w:b w:val="0"/>
          <w:szCs w:val="22"/>
          <w:lang w:val="hy-AM" w:eastAsia="en-US"/>
        </w:rPr>
        <w:t xml:space="preserve"> մլն դրամ</w:t>
      </w:r>
      <w:r w:rsidRPr="007955BB">
        <w:rPr>
          <w:rFonts w:eastAsia="Calibri"/>
          <w:b w:val="0"/>
          <w:szCs w:val="22"/>
          <w:lang w:val="en-US" w:eastAsia="en-US"/>
        </w:rPr>
        <w:t>ի</w:t>
      </w:r>
      <w:r w:rsidRPr="007955BB">
        <w:rPr>
          <w:rFonts w:eastAsia="Calibri"/>
          <w:b w:val="0"/>
          <w:szCs w:val="22"/>
          <w:lang w:val="hy-AM" w:eastAsia="en-US"/>
        </w:rPr>
        <w:t xml:space="preserve"> դիմաց: </w:t>
      </w:r>
      <w:r w:rsidRPr="007955BB">
        <w:rPr>
          <w:rFonts w:eastAsia="Calibri" w:cs="GHEA Grapalat"/>
          <w:b w:val="0"/>
          <w:szCs w:val="22"/>
          <w:lang w:val="hy-AM" w:eastAsia="en-US"/>
        </w:rPr>
        <w:t>202</w:t>
      </w:r>
      <w:r w:rsidRPr="007955BB">
        <w:rPr>
          <w:rFonts w:eastAsia="Calibri" w:cs="GHEA Grapalat"/>
          <w:b w:val="0"/>
          <w:szCs w:val="22"/>
          <w:lang w:eastAsia="en-US"/>
        </w:rPr>
        <w:t>2</w:t>
      </w:r>
      <w:r w:rsidRPr="007955BB">
        <w:rPr>
          <w:rFonts w:eastAsia="Calibri" w:cs="GHEA Grapalat"/>
          <w:b w:val="0"/>
          <w:szCs w:val="22"/>
          <w:lang w:val="hy-AM" w:eastAsia="en-US"/>
        </w:rPr>
        <w:t xml:space="preserve"> թվականի սպասողական ցուցանիշ</w:t>
      </w:r>
      <w:r w:rsidRPr="007955BB">
        <w:rPr>
          <w:rFonts w:eastAsia="Calibri" w:cs="GHEA Grapalat"/>
          <w:b w:val="0"/>
          <w:szCs w:val="22"/>
          <w:lang w:val="en-US" w:eastAsia="en-US"/>
        </w:rPr>
        <w:t>ը</w:t>
      </w:r>
      <w:r w:rsidRPr="007955BB">
        <w:rPr>
          <w:rFonts w:eastAsia="Calibri" w:cs="GHEA Grapalat"/>
          <w:b w:val="0"/>
          <w:szCs w:val="22"/>
          <w:lang w:eastAsia="en-US"/>
        </w:rPr>
        <w:t xml:space="preserve"> </w:t>
      </w:r>
      <w:r w:rsidRPr="007955BB">
        <w:rPr>
          <w:rFonts w:eastAsia="Calibri" w:cs="GHEA Grapalat"/>
          <w:b w:val="0"/>
          <w:szCs w:val="22"/>
          <w:lang w:val="en-US" w:eastAsia="en-US"/>
        </w:rPr>
        <w:t>գնահատվել</w:t>
      </w:r>
      <w:r w:rsidRPr="007955BB">
        <w:rPr>
          <w:rFonts w:eastAsia="Calibri" w:cs="GHEA Grapalat"/>
          <w:b w:val="0"/>
          <w:szCs w:val="22"/>
          <w:lang w:eastAsia="en-US"/>
        </w:rPr>
        <w:t xml:space="preserve"> </w:t>
      </w:r>
      <w:r w:rsidRPr="007955BB">
        <w:rPr>
          <w:rFonts w:eastAsia="Calibri" w:cs="GHEA Grapalat"/>
          <w:b w:val="0"/>
          <w:szCs w:val="22"/>
          <w:lang w:val="en-US" w:eastAsia="en-US"/>
        </w:rPr>
        <w:t>է</w:t>
      </w:r>
      <w:r w:rsidRPr="007955BB">
        <w:rPr>
          <w:rFonts w:eastAsia="Calibri" w:cs="GHEA Grapalat"/>
          <w:b w:val="0"/>
          <w:szCs w:val="22"/>
          <w:lang w:eastAsia="en-US"/>
        </w:rPr>
        <w:t xml:space="preserve"> </w:t>
      </w:r>
      <w:r w:rsidRPr="007955BB">
        <w:rPr>
          <w:rFonts w:eastAsia="Calibri" w:cs="GHEA Grapalat"/>
          <w:b w:val="0"/>
          <w:szCs w:val="22"/>
          <w:lang w:val="hy-AM" w:eastAsia="en-US"/>
        </w:rPr>
        <w:t>202</w:t>
      </w:r>
      <w:r w:rsidRPr="007955BB">
        <w:rPr>
          <w:rFonts w:eastAsia="Calibri" w:cs="GHEA Grapalat"/>
          <w:b w:val="0"/>
          <w:szCs w:val="22"/>
          <w:lang w:eastAsia="en-US"/>
        </w:rPr>
        <w:t>2</w:t>
      </w:r>
      <w:r w:rsidRPr="007955BB">
        <w:rPr>
          <w:rFonts w:eastAsia="Calibri" w:cs="GHEA Grapalat"/>
          <w:b w:val="0"/>
          <w:szCs w:val="22"/>
          <w:lang w:val="hy-AM" w:eastAsia="en-US"/>
        </w:rPr>
        <w:t xml:space="preserve"> թվականի առաջին 7 ամիսների </w:t>
      </w:r>
      <w:r w:rsidRPr="007955BB">
        <w:rPr>
          <w:rFonts w:eastAsia="Calibri" w:cs="GHEA Grapalat"/>
          <w:b w:val="0"/>
          <w:szCs w:val="22"/>
          <w:lang w:eastAsia="en-US"/>
        </w:rPr>
        <w:t xml:space="preserve"> </w:t>
      </w:r>
      <w:r w:rsidRPr="007955BB">
        <w:rPr>
          <w:rFonts w:eastAsia="Calibri" w:cs="GHEA Grapalat"/>
          <w:b w:val="0"/>
          <w:szCs w:val="22"/>
          <w:lang w:val="en-US" w:eastAsia="en-US"/>
        </w:rPr>
        <w:t>փաստացի</w:t>
      </w:r>
      <w:r w:rsidRPr="007955BB">
        <w:rPr>
          <w:rFonts w:eastAsia="Calibri" w:cs="GHEA Grapalat"/>
          <w:b w:val="0"/>
          <w:szCs w:val="22"/>
          <w:lang w:eastAsia="en-US"/>
        </w:rPr>
        <w:t xml:space="preserve"> </w:t>
      </w:r>
      <w:r w:rsidRPr="007955BB">
        <w:rPr>
          <w:rFonts w:eastAsia="Calibri" w:cs="GHEA Grapalat"/>
          <w:b w:val="0"/>
          <w:szCs w:val="22"/>
          <w:lang w:val="en-US" w:eastAsia="en-US"/>
        </w:rPr>
        <w:t>մուտքերի</w:t>
      </w:r>
      <w:r w:rsidRPr="007955BB">
        <w:rPr>
          <w:rFonts w:eastAsia="Calibri" w:cs="GHEA Grapalat"/>
          <w:b w:val="0"/>
          <w:szCs w:val="22"/>
          <w:lang w:eastAsia="en-US"/>
        </w:rPr>
        <w:t xml:space="preserve"> </w:t>
      </w:r>
      <w:r w:rsidRPr="007955BB">
        <w:rPr>
          <w:rFonts w:eastAsia="Calibri" w:cs="GHEA Grapalat"/>
          <w:b w:val="0"/>
          <w:szCs w:val="22"/>
          <w:lang w:val="en-US" w:eastAsia="en-US"/>
        </w:rPr>
        <w:t>նկատմամբ</w:t>
      </w:r>
      <w:r w:rsidRPr="007955BB">
        <w:rPr>
          <w:rFonts w:eastAsia="Calibri" w:cs="GHEA Grapalat"/>
          <w:b w:val="0"/>
          <w:szCs w:val="22"/>
          <w:lang w:eastAsia="en-US"/>
        </w:rPr>
        <w:t xml:space="preserve"> </w:t>
      </w:r>
      <w:r w:rsidRPr="007955BB">
        <w:rPr>
          <w:rFonts w:eastAsia="Calibri" w:cs="GHEA Grapalat"/>
          <w:b w:val="0"/>
          <w:szCs w:val="22"/>
          <w:lang w:val="en-US" w:eastAsia="en-US"/>
        </w:rPr>
        <w:t>կիրառելով</w:t>
      </w:r>
      <w:r w:rsidRPr="007955BB">
        <w:rPr>
          <w:rFonts w:eastAsia="Calibri" w:cs="GHEA Grapalat"/>
          <w:b w:val="0"/>
          <w:szCs w:val="22"/>
          <w:lang w:eastAsia="en-US"/>
        </w:rPr>
        <w:t xml:space="preserve"> 2019-2021 </w:t>
      </w:r>
      <w:r w:rsidRPr="007955BB">
        <w:rPr>
          <w:rFonts w:eastAsia="Calibri" w:cs="GHEA Grapalat"/>
          <w:b w:val="0"/>
          <w:szCs w:val="22"/>
          <w:lang w:val="en-US" w:eastAsia="en-US"/>
        </w:rPr>
        <w:t>թվականների</w:t>
      </w:r>
      <w:r w:rsidRPr="007955BB">
        <w:rPr>
          <w:rFonts w:eastAsia="Calibri" w:cs="GHEA Grapalat"/>
          <w:b w:val="0"/>
          <w:szCs w:val="22"/>
          <w:lang w:eastAsia="en-US"/>
        </w:rPr>
        <w:t xml:space="preserve"> </w:t>
      </w:r>
      <w:r w:rsidRPr="007955BB">
        <w:rPr>
          <w:rFonts w:eastAsia="Calibri" w:cs="GHEA Grapalat"/>
          <w:b w:val="0"/>
          <w:szCs w:val="22"/>
          <w:lang w:val="en-US" w:eastAsia="en-US"/>
        </w:rPr>
        <w:t>տարեկան</w:t>
      </w:r>
      <w:r w:rsidRPr="007955BB">
        <w:rPr>
          <w:rFonts w:eastAsia="Calibri" w:cs="GHEA Grapalat"/>
          <w:b w:val="0"/>
          <w:szCs w:val="22"/>
          <w:lang w:eastAsia="en-US"/>
        </w:rPr>
        <w:t xml:space="preserve"> </w:t>
      </w:r>
      <w:r w:rsidRPr="007955BB">
        <w:rPr>
          <w:rFonts w:eastAsia="Calibri" w:cs="GHEA Grapalat"/>
          <w:b w:val="0"/>
          <w:szCs w:val="22"/>
          <w:lang w:val="en-US" w:eastAsia="en-US"/>
        </w:rPr>
        <w:t>մուտքերում</w:t>
      </w:r>
      <w:r w:rsidRPr="007955BB">
        <w:rPr>
          <w:rFonts w:eastAsia="Calibri" w:cs="GHEA Grapalat"/>
          <w:b w:val="0"/>
          <w:szCs w:val="22"/>
          <w:lang w:eastAsia="en-US"/>
        </w:rPr>
        <w:t xml:space="preserve"> </w:t>
      </w:r>
      <w:r w:rsidRPr="007955BB">
        <w:rPr>
          <w:rFonts w:eastAsia="Calibri" w:cs="GHEA Grapalat"/>
          <w:b w:val="0"/>
          <w:szCs w:val="22"/>
          <w:lang w:val="en-US" w:eastAsia="en-US"/>
        </w:rPr>
        <w:t>առաջին</w:t>
      </w:r>
      <w:r w:rsidRPr="007955BB">
        <w:rPr>
          <w:rFonts w:eastAsia="Calibri" w:cs="GHEA Grapalat"/>
          <w:b w:val="0"/>
          <w:szCs w:val="22"/>
          <w:lang w:eastAsia="en-US"/>
        </w:rPr>
        <w:t xml:space="preserve"> 7 </w:t>
      </w:r>
      <w:r w:rsidRPr="007955BB">
        <w:rPr>
          <w:rFonts w:eastAsia="Calibri" w:cs="GHEA Grapalat"/>
          <w:b w:val="0"/>
          <w:szCs w:val="22"/>
          <w:lang w:val="en-US" w:eastAsia="en-US"/>
        </w:rPr>
        <w:t>ամիսների</w:t>
      </w:r>
      <w:r w:rsidRPr="007955BB">
        <w:rPr>
          <w:rFonts w:eastAsia="Calibri" w:cs="GHEA Grapalat"/>
          <w:b w:val="0"/>
          <w:szCs w:val="22"/>
          <w:lang w:eastAsia="en-US"/>
        </w:rPr>
        <w:t xml:space="preserve"> </w:t>
      </w:r>
      <w:r w:rsidRPr="007955BB">
        <w:rPr>
          <w:rFonts w:eastAsia="Calibri" w:cs="GHEA Grapalat"/>
          <w:b w:val="0"/>
          <w:szCs w:val="22"/>
          <w:lang w:val="en-US" w:eastAsia="en-US"/>
        </w:rPr>
        <w:t>մուտքերի</w:t>
      </w:r>
      <w:r w:rsidRPr="007955BB">
        <w:rPr>
          <w:rFonts w:eastAsia="Calibri" w:cs="GHEA Grapalat"/>
          <w:b w:val="0"/>
          <w:szCs w:val="22"/>
          <w:lang w:eastAsia="en-US"/>
        </w:rPr>
        <w:t xml:space="preserve"> </w:t>
      </w:r>
      <w:r w:rsidRPr="007955BB">
        <w:rPr>
          <w:rFonts w:eastAsia="Calibri" w:cs="GHEA Grapalat"/>
          <w:b w:val="0"/>
          <w:szCs w:val="22"/>
          <w:lang w:val="en-US" w:eastAsia="en-US"/>
        </w:rPr>
        <w:t>տեսակարար</w:t>
      </w:r>
      <w:r w:rsidRPr="007955BB">
        <w:rPr>
          <w:rFonts w:eastAsia="Calibri" w:cs="GHEA Grapalat"/>
          <w:b w:val="0"/>
          <w:szCs w:val="22"/>
          <w:lang w:eastAsia="en-US"/>
        </w:rPr>
        <w:t xml:space="preserve"> </w:t>
      </w:r>
      <w:r w:rsidRPr="007955BB">
        <w:rPr>
          <w:rFonts w:eastAsia="Calibri" w:cs="GHEA Grapalat"/>
          <w:b w:val="0"/>
          <w:szCs w:val="22"/>
          <w:lang w:val="en-US" w:eastAsia="en-US"/>
        </w:rPr>
        <w:t>կշիռների</w:t>
      </w:r>
      <w:r w:rsidRPr="007955BB">
        <w:rPr>
          <w:rFonts w:eastAsia="Calibri" w:cs="GHEA Grapalat"/>
          <w:b w:val="0"/>
          <w:szCs w:val="22"/>
          <w:lang w:eastAsia="en-US"/>
        </w:rPr>
        <w:t xml:space="preserve"> </w:t>
      </w:r>
      <w:r w:rsidRPr="007955BB">
        <w:rPr>
          <w:rFonts w:eastAsia="Calibri" w:cs="GHEA Grapalat"/>
          <w:b w:val="0"/>
          <w:szCs w:val="22"/>
          <w:lang w:val="en-US" w:eastAsia="en-US"/>
        </w:rPr>
        <w:t>միջինացված</w:t>
      </w:r>
      <w:r w:rsidRPr="007955BB">
        <w:rPr>
          <w:rFonts w:eastAsia="Calibri" w:cs="GHEA Grapalat"/>
          <w:b w:val="0"/>
          <w:szCs w:val="22"/>
          <w:lang w:eastAsia="en-US"/>
        </w:rPr>
        <w:t xml:space="preserve"> </w:t>
      </w:r>
      <w:r w:rsidRPr="007955BB">
        <w:rPr>
          <w:rFonts w:eastAsia="Calibri" w:cs="GHEA Grapalat"/>
          <w:b w:val="0"/>
          <w:szCs w:val="22"/>
          <w:lang w:val="en-US" w:eastAsia="en-US"/>
        </w:rPr>
        <w:t>ցուցանիշը</w:t>
      </w:r>
      <w:r w:rsidRPr="007955BB">
        <w:rPr>
          <w:rFonts w:eastAsia="Calibri" w:cs="GHEA Grapalat"/>
          <w:b w:val="0"/>
          <w:szCs w:val="22"/>
          <w:lang w:eastAsia="en-US"/>
        </w:rPr>
        <w:t xml:space="preserve">: </w:t>
      </w:r>
    </w:p>
    <w:p w:rsidR="00804A79" w:rsidRPr="007955BB" w:rsidRDefault="00804A79" w:rsidP="00804A79">
      <w:pPr>
        <w:spacing w:before="0" w:line="276" w:lineRule="auto"/>
        <w:ind w:firstLine="538"/>
        <w:rPr>
          <w:rFonts w:eastAsia="Calibri"/>
          <w:b w:val="0"/>
          <w:szCs w:val="22"/>
          <w:lang w:eastAsia="en-US"/>
        </w:rPr>
      </w:pPr>
      <w:r w:rsidRPr="007955BB">
        <w:rPr>
          <w:rFonts w:eastAsia="Calibri"/>
          <w:szCs w:val="22"/>
          <w:lang w:val="hy-AM" w:eastAsia="en-US"/>
        </w:rPr>
        <w:t>Հայաստանի Հանրապետության քաղաքացիություն ստանալու և Հայաստանի Հանրապե</w:t>
      </w:r>
      <w:r w:rsidRPr="007955BB">
        <w:rPr>
          <w:rFonts w:eastAsia="Calibri"/>
          <w:szCs w:val="22"/>
          <w:lang w:val="hy-AM" w:eastAsia="en-US"/>
        </w:rPr>
        <w:softHyphen/>
      </w:r>
      <w:r w:rsidRPr="007955BB">
        <w:rPr>
          <w:rFonts w:eastAsia="Calibri"/>
          <w:szCs w:val="22"/>
          <w:lang w:val="hy-AM" w:eastAsia="en-US"/>
        </w:rPr>
        <w:softHyphen/>
      </w:r>
      <w:r w:rsidRPr="007955BB">
        <w:rPr>
          <w:rFonts w:eastAsia="Calibri"/>
          <w:szCs w:val="22"/>
          <w:lang w:val="hy-AM" w:eastAsia="en-US"/>
        </w:rPr>
        <w:softHyphen/>
        <w:t>տու</w:t>
      </w:r>
      <w:r w:rsidRPr="007955BB">
        <w:rPr>
          <w:rFonts w:eastAsia="Calibri"/>
          <w:szCs w:val="22"/>
          <w:lang w:val="hy-AM" w:eastAsia="en-US"/>
        </w:rPr>
        <w:softHyphen/>
        <w:t>թյան քա</w:t>
      </w:r>
      <w:r w:rsidRPr="007955BB">
        <w:rPr>
          <w:rFonts w:eastAsia="Calibri"/>
          <w:szCs w:val="22"/>
          <w:lang w:val="hy-AM" w:eastAsia="en-US"/>
        </w:rPr>
        <w:softHyphen/>
        <w:t>ղաքացիությունը փոփոխելու համար</w:t>
      </w:r>
      <w:r w:rsidRPr="007955BB">
        <w:rPr>
          <w:rFonts w:eastAsia="Calibri"/>
          <w:b w:val="0"/>
          <w:szCs w:val="22"/>
          <w:lang w:val="hy-AM" w:eastAsia="en-US"/>
        </w:rPr>
        <w:t xml:space="preserve"> գանձվող պետական տուրքի գծով 202</w:t>
      </w:r>
      <w:r w:rsidRPr="007955BB">
        <w:rPr>
          <w:rFonts w:eastAsia="Calibri"/>
          <w:b w:val="0"/>
          <w:szCs w:val="22"/>
          <w:lang w:eastAsia="en-US"/>
        </w:rPr>
        <w:t>3</w:t>
      </w:r>
      <w:r w:rsidRPr="007955BB">
        <w:rPr>
          <w:rFonts w:eastAsia="Calibri"/>
          <w:b w:val="0"/>
          <w:szCs w:val="22"/>
          <w:lang w:val="hy-AM" w:eastAsia="en-US"/>
        </w:rPr>
        <w:t xml:space="preserve"> թվա</w:t>
      </w:r>
      <w:r w:rsidRPr="007955BB">
        <w:rPr>
          <w:rFonts w:eastAsia="Calibri"/>
          <w:b w:val="0"/>
          <w:szCs w:val="22"/>
          <w:lang w:val="hy-AM" w:eastAsia="en-US"/>
        </w:rPr>
        <w:softHyphen/>
        <w:t>կանի մուտ</w:t>
      </w:r>
      <w:r w:rsidRPr="007955BB">
        <w:rPr>
          <w:rFonts w:eastAsia="Calibri"/>
          <w:b w:val="0"/>
          <w:szCs w:val="22"/>
          <w:lang w:val="hy-AM" w:eastAsia="en-US"/>
        </w:rPr>
        <w:softHyphen/>
      </w:r>
      <w:r w:rsidRPr="007955BB">
        <w:rPr>
          <w:rFonts w:eastAsia="Calibri"/>
          <w:b w:val="0"/>
          <w:szCs w:val="22"/>
          <w:lang w:val="hy-AM" w:eastAsia="en-US"/>
        </w:rPr>
        <w:softHyphen/>
        <w:t>քերը կան</w:t>
      </w:r>
      <w:r w:rsidRPr="007955BB">
        <w:rPr>
          <w:rFonts w:eastAsia="Calibri"/>
          <w:b w:val="0"/>
          <w:szCs w:val="22"/>
          <w:lang w:val="hy-AM" w:eastAsia="en-US"/>
        </w:rPr>
        <w:softHyphen/>
        <w:t>խա</w:t>
      </w:r>
      <w:r w:rsidRPr="007955BB">
        <w:rPr>
          <w:rFonts w:eastAsia="Calibri"/>
          <w:b w:val="0"/>
          <w:szCs w:val="22"/>
          <w:lang w:val="hy-AM" w:eastAsia="en-US"/>
        </w:rPr>
        <w:softHyphen/>
        <w:t>տես</w:t>
      </w:r>
      <w:r w:rsidRPr="007955BB">
        <w:rPr>
          <w:rFonts w:eastAsia="Calibri"/>
          <w:b w:val="0"/>
          <w:szCs w:val="22"/>
          <w:lang w:val="hy-AM" w:eastAsia="en-US"/>
        </w:rPr>
        <w:softHyphen/>
        <w:t>վել են 202</w:t>
      </w:r>
      <w:r w:rsidRPr="007955BB">
        <w:rPr>
          <w:rFonts w:eastAsia="Calibri"/>
          <w:b w:val="0"/>
          <w:szCs w:val="22"/>
          <w:lang w:eastAsia="en-US"/>
        </w:rPr>
        <w:t>2</w:t>
      </w:r>
      <w:r w:rsidRPr="007955BB">
        <w:rPr>
          <w:rFonts w:eastAsia="Calibri"/>
          <w:b w:val="0"/>
          <w:szCs w:val="22"/>
          <w:lang w:val="hy-AM" w:eastAsia="en-US"/>
        </w:rPr>
        <w:t xml:space="preserve"> թվականի համար հաստատ</w:t>
      </w:r>
      <w:r w:rsidRPr="007955BB">
        <w:rPr>
          <w:rFonts w:eastAsia="Calibri"/>
          <w:b w:val="0"/>
          <w:szCs w:val="22"/>
          <w:lang w:val="hy-AM" w:eastAsia="en-US"/>
        </w:rPr>
        <w:softHyphen/>
        <w:t xml:space="preserve">ված </w:t>
      </w:r>
      <w:r w:rsidRPr="007955BB">
        <w:rPr>
          <w:rFonts w:eastAsia="Calibri"/>
          <w:b w:val="0"/>
          <w:szCs w:val="22"/>
          <w:lang w:val="en-US" w:eastAsia="en-US"/>
        </w:rPr>
        <w:t>և</w:t>
      </w:r>
      <w:r w:rsidRPr="007955BB">
        <w:rPr>
          <w:rFonts w:eastAsia="Calibri"/>
          <w:b w:val="0"/>
          <w:szCs w:val="22"/>
          <w:lang w:eastAsia="en-US"/>
        </w:rPr>
        <w:t xml:space="preserve"> </w:t>
      </w:r>
      <w:r w:rsidRPr="007955BB">
        <w:rPr>
          <w:rFonts w:eastAsia="Calibri" w:cs="GHEA Grapalat"/>
          <w:b w:val="0"/>
          <w:szCs w:val="22"/>
          <w:lang w:val="hy-AM" w:eastAsia="en-US"/>
        </w:rPr>
        <w:t>փորձագիտական գնահատական</w:t>
      </w:r>
      <w:r w:rsidRPr="007955BB">
        <w:rPr>
          <w:rFonts w:eastAsia="Calibri" w:cs="GHEA Grapalat"/>
          <w:b w:val="0"/>
          <w:szCs w:val="22"/>
          <w:lang w:val="en-US" w:eastAsia="en-US"/>
        </w:rPr>
        <w:t>ով</w:t>
      </w:r>
      <w:r w:rsidRPr="007955BB">
        <w:rPr>
          <w:rFonts w:eastAsia="Calibri" w:cs="GHEA Grapalat"/>
          <w:b w:val="0"/>
          <w:szCs w:val="22"/>
          <w:lang w:eastAsia="en-US"/>
        </w:rPr>
        <w:t xml:space="preserve"> </w:t>
      </w:r>
      <w:r w:rsidRPr="007955BB">
        <w:rPr>
          <w:rFonts w:eastAsia="Calibri" w:cs="GHEA Grapalat"/>
          <w:b w:val="0"/>
          <w:szCs w:val="22"/>
          <w:lang w:val="en-US" w:eastAsia="en-US"/>
        </w:rPr>
        <w:t>ներկայացված</w:t>
      </w:r>
      <w:r w:rsidRPr="007955BB">
        <w:rPr>
          <w:rFonts w:eastAsia="Calibri" w:cs="GHEA Grapalat"/>
          <w:b w:val="0"/>
          <w:szCs w:val="22"/>
          <w:lang w:eastAsia="en-US"/>
        </w:rPr>
        <w:t xml:space="preserve"> </w:t>
      </w:r>
      <w:r w:rsidRPr="007955BB">
        <w:rPr>
          <w:rFonts w:eastAsia="Calibri"/>
          <w:b w:val="0"/>
          <w:szCs w:val="22"/>
          <w:lang w:val="hy-AM" w:eastAsia="en-US"/>
        </w:rPr>
        <w:t>141.0 մլն դրամի չա</w:t>
      </w:r>
      <w:r w:rsidRPr="007955BB">
        <w:rPr>
          <w:rFonts w:eastAsia="Calibri"/>
          <w:b w:val="0"/>
          <w:szCs w:val="22"/>
          <w:lang w:val="hy-AM" w:eastAsia="en-US"/>
        </w:rPr>
        <w:softHyphen/>
        <w:t>փով` 20</w:t>
      </w:r>
      <w:r w:rsidRPr="007955BB">
        <w:rPr>
          <w:rFonts w:eastAsia="Calibri"/>
          <w:b w:val="0"/>
          <w:szCs w:val="22"/>
          <w:lang w:eastAsia="en-US"/>
        </w:rPr>
        <w:t>21</w:t>
      </w:r>
      <w:r w:rsidRPr="007955BB">
        <w:rPr>
          <w:rFonts w:eastAsia="Calibri"/>
          <w:b w:val="0"/>
          <w:szCs w:val="22"/>
          <w:lang w:val="hy-AM" w:eastAsia="en-US"/>
        </w:rPr>
        <w:t xml:space="preserve"> թվականին փաստացի ստացված </w:t>
      </w:r>
      <w:r w:rsidRPr="007955BB">
        <w:rPr>
          <w:rFonts w:eastAsia="Calibri"/>
          <w:b w:val="0"/>
          <w:szCs w:val="22"/>
          <w:lang w:eastAsia="en-US"/>
        </w:rPr>
        <w:t>88.7</w:t>
      </w:r>
      <w:r w:rsidRPr="007955BB">
        <w:rPr>
          <w:rFonts w:eastAsia="Calibri"/>
          <w:b w:val="0"/>
          <w:szCs w:val="22"/>
          <w:lang w:val="hy-AM" w:eastAsia="en-US"/>
        </w:rPr>
        <w:t xml:space="preserve"> մլն դրամի դիմաց: </w:t>
      </w:r>
    </w:p>
    <w:p w:rsidR="00804A79" w:rsidRPr="007955BB" w:rsidRDefault="00804A79" w:rsidP="00804A79">
      <w:pPr>
        <w:spacing w:before="0" w:line="276" w:lineRule="auto"/>
        <w:ind w:firstLine="538"/>
        <w:rPr>
          <w:rFonts w:eastAsia="Calibri" w:cs="GHEA Grapalat"/>
          <w:szCs w:val="22"/>
          <w:lang w:val="hy-AM" w:eastAsia="en-US"/>
        </w:rPr>
      </w:pPr>
      <w:r w:rsidRPr="007955BB">
        <w:rPr>
          <w:rFonts w:eastAsia="Calibri"/>
          <w:szCs w:val="22"/>
          <w:lang w:val="hy-AM" w:eastAsia="en-US"/>
        </w:rPr>
        <w:t xml:space="preserve">Հյուպատոսական ծառայությունների կամ գործողությունների </w:t>
      </w:r>
      <w:r w:rsidRPr="007955BB">
        <w:rPr>
          <w:rFonts w:eastAsia="Calibri"/>
          <w:b w:val="0"/>
          <w:szCs w:val="22"/>
          <w:lang w:val="hy-AM" w:eastAsia="en-US"/>
        </w:rPr>
        <w:t>համար գանձվող պետա</w:t>
      </w:r>
      <w:r w:rsidRPr="007955BB">
        <w:rPr>
          <w:rFonts w:eastAsia="Calibri"/>
          <w:b w:val="0"/>
          <w:szCs w:val="22"/>
          <w:lang w:val="hy-AM" w:eastAsia="en-US"/>
        </w:rPr>
        <w:softHyphen/>
        <w:t>կան տուր</w:t>
      </w:r>
      <w:r w:rsidRPr="007955BB">
        <w:rPr>
          <w:rFonts w:eastAsia="Calibri"/>
          <w:b w:val="0"/>
          <w:szCs w:val="22"/>
          <w:lang w:val="hy-AM" w:eastAsia="en-US"/>
        </w:rPr>
        <w:softHyphen/>
        <w:t>քե</w:t>
      </w:r>
      <w:r w:rsidRPr="007955BB">
        <w:rPr>
          <w:rFonts w:eastAsia="Calibri"/>
          <w:b w:val="0"/>
          <w:szCs w:val="22"/>
          <w:lang w:val="hy-AM" w:eastAsia="en-US"/>
        </w:rPr>
        <w:softHyphen/>
        <w:t>րի գծով 202</w:t>
      </w:r>
      <w:r w:rsidRPr="007955BB">
        <w:rPr>
          <w:rFonts w:eastAsia="Calibri"/>
          <w:b w:val="0"/>
          <w:szCs w:val="22"/>
          <w:lang w:eastAsia="en-US"/>
        </w:rPr>
        <w:t>3</w:t>
      </w:r>
      <w:r w:rsidRPr="007955BB">
        <w:rPr>
          <w:rFonts w:eastAsia="Calibri"/>
          <w:b w:val="0"/>
          <w:szCs w:val="22"/>
          <w:lang w:val="hy-AM" w:eastAsia="en-US"/>
        </w:rPr>
        <w:t xml:space="preserve"> թվականի մուտքերը կ</w:t>
      </w:r>
      <w:r w:rsidRPr="007955BB">
        <w:rPr>
          <w:rFonts w:eastAsia="Calibri"/>
          <w:b w:val="0"/>
          <w:szCs w:val="22"/>
          <w:lang w:val="en-US" w:eastAsia="en-US"/>
        </w:rPr>
        <w:t>անխատեսվել</w:t>
      </w:r>
      <w:r w:rsidRPr="007955BB">
        <w:rPr>
          <w:rFonts w:eastAsia="Calibri"/>
          <w:b w:val="0"/>
          <w:szCs w:val="22"/>
          <w:lang w:eastAsia="en-US"/>
        </w:rPr>
        <w:t xml:space="preserve"> </w:t>
      </w:r>
      <w:r w:rsidRPr="007955BB">
        <w:rPr>
          <w:rFonts w:eastAsia="Calibri"/>
          <w:b w:val="0"/>
          <w:szCs w:val="22"/>
          <w:lang w:val="en-US" w:eastAsia="en-US"/>
        </w:rPr>
        <w:t>են</w:t>
      </w:r>
      <w:r w:rsidRPr="007955BB">
        <w:rPr>
          <w:rFonts w:eastAsia="Calibri"/>
          <w:b w:val="0"/>
          <w:szCs w:val="22"/>
          <w:lang w:eastAsia="en-US"/>
        </w:rPr>
        <w:t xml:space="preserve"> 2,455.0 </w:t>
      </w:r>
      <w:r w:rsidRPr="007955BB">
        <w:rPr>
          <w:rFonts w:eastAsia="Calibri"/>
          <w:b w:val="0"/>
          <w:szCs w:val="22"/>
          <w:lang w:val="en-US" w:eastAsia="en-US"/>
        </w:rPr>
        <w:t>մլն</w:t>
      </w:r>
      <w:r w:rsidRPr="007955BB">
        <w:rPr>
          <w:rFonts w:eastAsia="Calibri"/>
          <w:b w:val="0"/>
          <w:szCs w:val="22"/>
          <w:lang w:eastAsia="en-US"/>
        </w:rPr>
        <w:t xml:space="preserve"> </w:t>
      </w:r>
      <w:r w:rsidRPr="007955BB">
        <w:rPr>
          <w:rFonts w:eastAsia="Calibri"/>
          <w:b w:val="0"/>
          <w:szCs w:val="22"/>
          <w:lang w:val="en-US" w:eastAsia="en-US"/>
        </w:rPr>
        <w:t>դրամի</w:t>
      </w:r>
      <w:r w:rsidRPr="007955BB">
        <w:rPr>
          <w:rFonts w:eastAsia="Calibri"/>
          <w:b w:val="0"/>
          <w:szCs w:val="22"/>
          <w:lang w:eastAsia="en-US"/>
        </w:rPr>
        <w:t xml:space="preserve"> </w:t>
      </w:r>
      <w:r w:rsidRPr="007955BB">
        <w:rPr>
          <w:rFonts w:eastAsia="Calibri"/>
          <w:b w:val="0"/>
          <w:szCs w:val="22"/>
          <w:lang w:val="hy-AM" w:eastAsia="en-US"/>
        </w:rPr>
        <w:t>չափով՝ 202</w:t>
      </w:r>
      <w:r w:rsidRPr="007955BB">
        <w:rPr>
          <w:rFonts w:eastAsia="Calibri"/>
          <w:b w:val="0"/>
          <w:szCs w:val="22"/>
          <w:lang w:eastAsia="en-US"/>
        </w:rPr>
        <w:t>2</w:t>
      </w:r>
      <w:r w:rsidRPr="007955BB">
        <w:rPr>
          <w:rFonts w:eastAsia="Calibri"/>
          <w:b w:val="0"/>
          <w:szCs w:val="22"/>
          <w:lang w:val="hy-AM" w:eastAsia="en-US"/>
        </w:rPr>
        <w:t xml:space="preserve"> թվականի  համար հաստատված </w:t>
      </w:r>
      <w:r w:rsidRPr="007955BB">
        <w:rPr>
          <w:rFonts w:eastAsia="Calibri"/>
          <w:b w:val="0"/>
          <w:szCs w:val="22"/>
          <w:lang w:eastAsia="en-US"/>
        </w:rPr>
        <w:t>2,413.8</w:t>
      </w:r>
      <w:r w:rsidRPr="007955BB">
        <w:rPr>
          <w:rFonts w:eastAsia="Calibri"/>
          <w:b w:val="0"/>
          <w:szCs w:val="22"/>
          <w:lang w:val="hy-AM" w:eastAsia="en-US"/>
        </w:rPr>
        <w:t xml:space="preserve"> մլն դրամի  և  202</w:t>
      </w:r>
      <w:r w:rsidRPr="007955BB">
        <w:rPr>
          <w:rFonts w:eastAsia="Calibri"/>
          <w:b w:val="0"/>
          <w:szCs w:val="22"/>
          <w:lang w:eastAsia="en-US"/>
        </w:rPr>
        <w:t>1</w:t>
      </w:r>
      <w:r w:rsidRPr="007955BB">
        <w:rPr>
          <w:rFonts w:eastAsia="Calibri"/>
          <w:b w:val="0"/>
          <w:szCs w:val="22"/>
          <w:lang w:val="hy-AM" w:eastAsia="en-US"/>
        </w:rPr>
        <w:t xml:space="preserve"> թվականին փաստացի ստացված </w:t>
      </w:r>
      <w:r w:rsidRPr="007955BB">
        <w:rPr>
          <w:rFonts w:eastAsia="Calibri"/>
          <w:b w:val="0"/>
          <w:szCs w:val="22"/>
          <w:lang w:eastAsia="en-US"/>
        </w:rPr>
        <w:t>3</w:t>
      </w:r>
      <w:r w:rsidRPr="007955BB">
        <w:rPr>
          <w:rFonts w:eastAsia="Calibri"/>
          <w:b w:val="0"/>
          <w:szCs w:val="22"/>
          <w:lang w:val="hy-AM" w:eastAsia="en-US"/>
        </w:rPr>
        <w:t>,065.5 մլն դրամի դիմաց:  Պետական տուրքի այս տեսակի գծով 202</w:t>
      </w:r>
      <w:r w:rsidRPr="007955BB">
        <w:rPr>
          <w:rFonts w:eastAsia="Calibri"/>
          <w:b w:val="0"/>
          <w:szCs w:val="22"/>
          <w:lang w:eastAsia="en-US"/>
        </w:rPr>
        <w:t>3</w:t>
      </w:r>
      <w:r w:rsidRPr="007955BB">
        <w:rPr>
          <w:rFonts w:eastAsia="Calibri"/>
          <w:b w:val="0"/>
          <w:szCs w:val="22"/>
          <w:lang w:val="hy-AM" w:eastAsia="en-US"/>
        </w:rPr>
        <w:t xml:space="preserve"> թվականի  ցուցանիշը ծրագրվել է 202</w:t>
      </w:r>
      <w:r w:rsidRPr="007955BB">
        <w:rPr>
          <w:rFonts w:eastAsia="Calibri"/>
          <w:b w:val="0"/>
          <w:szCs w:val="22"/>
          <w:lang w:eastAsia="en-US"/>
        </w:rPr>
        <w:t>2</w:t>
      </w:r>
      <w:r w:rsidRPr="007955BB">
        <w:rPr>
          <w:rFonts w:eastAsia="Calibri"/>
          <w:b w:val="0"/>
          <w:szCs w:val="22"/>
          <w:lang w:val="hy-AM" w:eastAsia="en-US"/>
        </w:rPr>
        <w:t xml:space="preserve"> թվականի սպասողական մուտքերի  նկատմամբ կիրառելով փորձագիտական գնահատականով ներկայացված՝ 202</w:t>
      </w:r>
      <w:r w:rsidRPr="007955BB">
        <w:rPr>
          <w:rFonts w:eastAsia="Calibri"/>
          <w:b w:val="0"/>
          <w:szCs w:val="22"/>
          <w:lang w:eastAsia="en-US"/>
        </w:rPr>
        <w:t>2</w:t>
      </w:r>
      <w:r w:rsidRPr="007955BB">
        <w:rPr>
          <w:rFonts w:eastAsia="Calibri"/>
          <w:b w:val="0"/>
          <w:szCs w:val="22"/>
          <w:lang w:val="hy-AM" w:eastAsia="en-US"/>
        </w:rPr>
        <w:t xml:space="preserve"> թվականի սպասողական ցուցանիշի նկատմամբ 202</w:t>
      </w:r>
      <w:r w:rsidRPr="007955BB">
        <w:rPr>
          <w:rFonts w:eastAsia="Calibri"/>
          <w:b w:val="0"/>
          <w:szCs w:val="22"/>
          <w:lang w:eastAsia="en-US"/>
        </w:rPr>
        <w:t>3</w:t>
      </w:r>
      <w:r w:rsidRPr="007955BB">
        <w:rPr>
          <w:rFonts w:eastAsia="Calibri"/>
          <w:b w:val="0"/>
          <w:szCs w:val="22"/>
          <w:lang w:val="hy-AM" w:eastAsia="en-US"/>
        </w:rPr>
        <w:t xml:space="preserve"> թվականի նվազման միտումը</w:t>
      </w:r>
      <w:r w:rsidRPr="007955BB">
        <w:rPr>
          <w:rFonts w:eastAsia="Calibri"/>
          <w:b w:val="0"/>
          <w:szCs w:val="22"/>
          <w:lang w:eastAsia="en-US"/>
        </w:rPr>
        <w:t xml:space="preserve">` </w:t>
      </w:r>
      <w:r w:rsidRPr="007955BB">
        <w:rPr>
          <w:rFonts w:eastAsia="Calibri"/>
          <w:b w:val="0"/>
          <w:szCs w:val="22"/>
          <w:lang w:val="hy-AM" w:eastAsia="en-US"/>
        </w:rPr>
        <w:t xml:space="preserve">պայմանավորված վիզային ռեժիմների դյուրացման կամ վերացման գործընթացների շարունակականությամբ: </w:t>
      </w:r>
    </w:p>
    <w:p w:rsidR="00804A79" w:rsidRPr="007955BB" w:rsidRDefault="00804A79" w:rsidP="00804A79">
      <w:pPr>
        <w:tabs>
          <w:tab w:val="left" w:pos="0"/>
        </w:tabs>
        <w:spacing w:before="0" w:line="276" w:lineRule="auto"/>
        <w:rPr>
          <w:rFonts w:eastAsia="Calibri" w:cs="GHEA Grapalat"/>
          <w:b w:val="0"/>
          <w:szCs w:val="22"/>
          <w:lang w:val="hy-AM" w:eastAsia="en-US"/>
        </w:rPr>
      </w:pPr>
      <w:r w:rsidRPr="007955BB">
        <w:rPr>
          <w:rFonts w:eastAsia="Calibri" w:cs="GHEA Grapalat"/>
          <w:szCs w:val="22"/>
          <w:lang w:val="hy-AM" w:eastAsia="en-US"/>
        </w:rPr>
        <w:t xml:space="preserve"> Պետական գրանցման համար</w:t>
      </w:r>
      <w:r w:rsidRPr="007955BB">
        <w:rPr>
          <w:rFonts w:eastAsia="Calibri" w:cs="GHEA Grapalat"/>
          <w:b w:val="0"/>
          <w:szCs w:val="22"/>
          <w:lang w:val="hy-AM" w:eastAsia="en-US"/>
        </w:rPr>
        <w:t xml:space="preserve"> գանձվող պետական տուրքերի գծով 2023 թվա</w:t>
      </w:r>
      <w:r w:rsidRPr="007955BB">
        <w:rPr>
          <w:rFonts w:eastAsia="Calibri" w:cs="GHEA Grapalat"/>
          <w:b w:val="0"/>
          <w:szCs w:val="22"/>
          <w:lang w:val="hy-AM" w:eastAsia="en-US"/>
        </w:rPr>
        <w:softHyphen/>
        <w:t>կա</w:t>
      </w:r>
      <w:r w:rsidRPr="007955BB">
        <w:rPr>
          <w:rFonts w:eastAsia="Calibri" w:cs="GHEA Grapalat"/>
          <w:b w:val="0"/>
          <w:szCs w:val="22"/>
          <w:lang w:val="hy-AM" w:eastAsia="en-US"/>
        </w:rPr>
        <w:softHyphen/>
        <w:t>նի մուտքերը կանխատեսվել են 5,320.2 մլն դրամի չափով` 2022 թվա</w:t>
      </w:r>
      <w:r w:rsidRPr="007955BB">
        <w:rPr>
          <w:rFonts w:eastAsia="Calibri" w:cs="GHEA Grapalat"/>
          <w:b w:val="0"/>
          <w:szCs w:val="22"/>
          <w:lang w:val="hy-AM" w:eastAsia="en-US"/>
        </w:rPr>
        <w:softHyphen/>
        <w:t>կանի համար հաստատ</w:t>
      </w:r>
      <w:r w:rsidRPr="007955BB">
        <w:rPr>
          <w:rFonts w:eastAsia="Calibri" w:cs="GHEA Grapalat"/>
          <w:b w:val="0"/>
          <w:szCs w:val="22"/>
          <w:lang w:val="hy-AM" w:eastAsia="en-US"/>
        </w:rPr>
        <w:softHyphen/>
        <w:t>ված 5,321.3 մլն դրամի և 2021 թվականին փաս</w:t>
      </w:r>
      <w:r w:rsidRPr="007955BB">
        <w:rPr>
          <w:rFonts w:eastAsia="Calibri" w:cs="GHEA Grapalat"/>
          <w:b w:val="0"/>
          <w:szCs w:val="22"/>
          <w:lang w:val="hy-AM" w:eastAsia="en-US"/>
        </w:rPr>
        <w:softHyphen/>
        <w:t xml:space="preserve">տացի ստացված 5,092.0 մլն դրամի դիմաց: </w:t>
      </w:r>
    </w:p>
    <w:p w:rsidR="00804A79" w:rsidRPr="007955BB" w:rsidRDefault="00804A79" w:rsidP="00804A79">
      <w:pPr>
        <w:tabs>
          <w:tab w:val="left" w:pos="0"/>
          <w:tab w:val="left" w:pos="1080"/>
        </w:tabs>
        <w:spacing w:before="0" w:line="276" w:lineRule="auto"/>
        <w:rPr>
          <w:rFonts w:eastAsia="Calibri" w:cs="GHEA Grapalat"/>
          <w:b w:val="0"/>
          <w:szCs w:val="22"/>
          <w:lang w:val="hy-AM" w:eastAsia="en-US"/>
        </w:rPr>
      </w:pPr>
      <w:r w:rsidRPr="007955BB">
        <w:rPr>
          <w:rFonts w:eastAsia="Calibri" w:cs="GHEA Grapalat"/>
          <w:b w:val="0"/>
          <w:szCs w:val="22"/>
          <w:lang w:val="hy-AM" w:eastAsia="en-US"/>
        </w:rPr>
        <w:t>Պետական գրանցման համար գանձվող պետական տուրքերի գերակշռող մասը՝ 92.3 %-ը կամ 4,907.9 մլն դրամը 2023 թվականին ապահովվելու է պետական տուրքի հետև</w:t>
      </w:r>
      <w:r w:rsidRPr="007955BB">
        <w:rPr>
          <w:rFonts w:eastAsia="Calibri" w:cs="GHEA Grapalat"/>
          <w:b w:val="0"/>
          <w:szCs w:val="22"/>
          <w:lang w:val="hy-AM" w:eastAsia="en-US"/>
        </w:rPr>
        <w:softHyphen/>
        <w:t xml:space="preserve">յալ 3 խմբերի հաշվին՝ </w:t>
      </w:r>
    </w:p>
    <w:p w:rsidR="00804A79" w:rsidRPr="007955BB" w:rsidRDefault="00804A79" w:rsidP="00F04DA1">
      <w:pPr>
        <w:widowControl w:val="0"/>
        <w:numPr>
          <w:ilvl w:val="0"/>
          <w:numId w:val="38"/>
        </w:numPr>
        <w:spacing w:before="0" w:line="276" w:lineRule="auto"/>
        <w:ind w:left="0" w:firstLine="538"/>
        <w:rPr>
          <w:rFonts w:eastAsia="Calibri" w:cs="Sylfaen"/>
          <w:b w:val="0"/>
          <w:szCs w:val="22"/>
          <w:lang w:val="af-ZA"/>
        </w:rPr>
      </w:pPr>
      <w:r w:rsidRPr="007955BB">
        <w:rPr>
          <w:rFonts w:eastAsia="Calibri" w:cs="Sylfaen"/>
          <w:b w:val="0"/>
          <w:szCs w:val="22"/>
          <w:lang w:val="af-ZA"/>
        </w:rPr>
        <w:t xml:space="preserve"> ավտոմեքենայի պետական համարանիշ տալու, գյու</w:t>
      </w:r>
      <w:r w:rsidRPr="007955BB">
        <w:rPr>
          <w:rFonts w:eastAsia="Calibri" w:cs="Sylfaen"/>
          <w:b w:val="0"/>
          <w:szCs w:val="22"/>
          <w:lang w:val="af-ZA"/>
        </w:rPr>
        <w:softHyphen/>
      </w:r>
      <w:r w:rsidRPr="007955BB">
        <w:rPr>
          <w:rFonts w:eastAsia="Calibri" w:cs="Sylfaen"/>
          <w:b w:val="0"/>
          <w:szCs w:val="22"/>
          <w:lang w:val="af-ZA"/>
        </w:rPr>
        <w:softHyphen/>
      </w:r>
      <w:r w:rsidRPr="007955BB">
        <w:rPr>
          <w:rFonts w:eastAsia="Calibri" w:cs="Sylfaen"/>
          <w:b w:val="0"/>
          <w:szCs w:val="22"/>
          <w:lang w:val="af-ZA"/>
        </w:rPr>
        <w:softHyphen/>
        <w:t>ղա</w:t>
      </w:r>
      <w:r w:rsidRPr="007955BB">
        <w:rPr>
          <w:rFonts w:eastAsia="Calibri" w:cs="Sylfaen"/>
          <w:b w:val="0"/>
          <w:szCs w:val="22"/>
          <w:lang w:val="af-ZA"/>
        </w:rPr>
        <w:softHyphen/>
        <w:t>տն</w:t>
      </w:r>
      <w:r w:rsidRPr="007955BB">
        <w:rPr>
          <w:rFonts w:eastAsia="Calibri" w:cs="Sylfaen"/>
          <w:b w:val="0"/>
          <w:szCs w:val="22"/>
          <w:lang w:val="af-ZA"/>
        </w:rPr>
        <w:softHyphen/>
        <w:t>տե</w:t>
      </w:r>
      <w:r w:rsidRPr="007955BB">
        <w:rPr>
          <w:rFonts w:eastAsia="Calibri" w:cs="Sylfaen"/>
          <w:b w:val="0"/>
          <w:szCs w:val="22"/>
          <w:lang w:val="af-ZA"/>
        </w:rPr>
        <w:softHyphen/>
      </w:r>
      <w:r w:rsidRPr="007955BB">
        <w:rPr>
          <w:rFonts w:eastAsia="Calibri" w:cs="Sylfaen"/>
          <w:b w:val="0"/>
          <w:szCs w:val="22"/>
          <w:lang w:val="af-ZA"/>
        </w:rPr>
        <w:softHyphen/>
        <w:t>սական ինքնագնաց մեքենաների գրանցման, ինչպես նաև պետական համարանիշ տալու և կորցրածը վերականգնելու համար գանձվող պետական տուրքեր, որոնց գծով 2023 թվա</w:t>
      </w:r>
      <w:r w:rsidRPr="007955BB">
        <w:rPr>
          <w:rFonts w:eastAsia="Calibri" w:cs="Sylfaen"/>
          <w:b w:val="0"/>
          <w:szCs w:val="22"/>
          <w:lang w:val="af-ZA"/>
        </w:rPr>
        <w:softHyphen/>
        <w:t>կա</w:t>
      </w:r>
      <w:r w:rsidRPr="007955BB">
        <w:rPr>
          <w:rFonts w:eastAsia="Calibri" w:cs="Sylfaen"/>
          <w:b w:val="0"/>
          <w:szCs w:val="22"/>
          <w:lang w:val="af-ZA"/>
        </w:rPr>
        <w:softHyphen/>
        <w:t>նի մուտքերը ծրա</w:t>
      </w:r>
      <w:r w:rsidRPr="007955BB">
        <w:rPr>
          <w:rFonts w:eastAsia="Calibri" w:cs="Sylfaen"/>
          <w:b w:val="0"/>
          <w:szCs w:val="22"/>
          <w:lang w:val="af-ZA"/>
        </w:rPr>
        <w:softHyphen/>
        <w:t>գր</w:t>
      </w:r>
      <w:r w:rsidRPr="007955BB">
        <w:rPr>
          <w:rFonts w:eastAsia="Calibri" w:cs="Sylfaen"/>
          <w:b w:val="0"/>
          <w:szCs w:val="22"/>
          <w:lang w:val="af-ZA"/>
        </w:rPr>
        <w:softHyphen/>
        <w:t>վել են փորձագիտական գնահատականով ներկայացված 2,265.1 մլն դրամի չափով (պետական գրանցումից 2023 թվա</w:t>
      </w:r>
      <w:r w:rsidRPr="007955BB">
        <w:rPr>
          <w:rFonts w:eastAsia="Calibri" w:cs="Sylfaen"/>
          <w:b w:val="0"/>
          <w:szCs w:val="22"/>
          <w:lang w:val="af-ZA"/>
        </w:rPr>
        <w:softHyphen/>
        <w:t>կա</w:t>
      </w:r>
      <w:r w:rsidRPr="007955BB">
        <w:rPr>
          <w:rFonts w:eastAsia="Calibri" w:cs="Sylfaen"/>
          <w:b w:val="0"/>
          <w:szCs w:val="22"/>
          <w:lang w:val="af-ZA"/>
        </w:rPr>
        <w:softHyphen/>
        <w:t>նի պետական տուրքերի կան</w:t>
      </w:r>
      <w:r w:rsidRPr="007955BB">
        <w:rPr>
          <w:rFonts w:eastAsia="Calibri" w:cs="Sylfaen"/>
          <w:b w:val="0"/>
          <w:szCs w:val="22"/>
          <w:lang w:val="af-ZA"/>
        </w:rPr>
        <w:softHyphen/>
        <w:t>խա</w:t>
      </w:r>
      <w:r w:rsidRPr="007955BB">
        <w:rPr>
          <w:rFonts w:eastAsia="Calibri" w:cs="Sylfaen"/>
          <w:b w:val="0"/>
          <w:szCs w:val="22"/>
          <w:lang w:val="af-ZA"/>
        </w:rPr>
        <w:softHyphen/>
        <w:t>տես</w:t>
      </w:r>
      <w:r w:rsidRPr="007955BB">
        <w:rPr>
          <w:rFonts w:eastAsia="Calibri" w:cs="Sylfaen"/>
          <w:b w:val="0"/>
          <w:szCs w:val="22"/>
          <w:lang w:val="af-ZA"/>
        </w:rPr>
        <w:softHyphen/>
        <w:t>վող մուտքերի ամբողջ ծավալի 42.6%-ը)` 2021 թվա</w:t>
      </w:r>
      <w:r w:rsidRPr="007955BB">
        <w:rPr>
          <w:rFonts w:eastAsia="Calibri" w:cs="Sylfaen"/>
          <w:b w:val="0"/>
          <w:szCs w:val="22"/>
          <w:lang w:val="af-ZA"/>
        </w:rPr>
        <w:softHyphen/>
        <w:t xml:space="preserve">կանի փաստացի  ստացված  2,025.6 մլն դրամի դիմաց: </w:t>
      </w:r>
    </w:p>
    <w:p w:rsidR="00804A79" w:rsidRPr="007955BB" w:rsidRDefault="00804A79" w:rsidP="00F04DA1">
      <w:pPr>
        <w:widowControl w:val="0"/>
        <w:numPr>
          <w:ilvl w:val="0"/>
          <w:numId w:val="38"/>
        </w:numPr>
        <w:spacing w:before="0" w:line="276" w:lineRule="auto"/>
        <w:ind w:left="0" w:firstLine="538"/>
        <w:rPr>
          <w:rFonts w:eastAsia="Calibri" w:cs="Sylfaen"/>
          <w:b w:val="0"/>
          <w:szCs w:val="22"/>
          <w:lang w:val="af-ZA"/>
        </w:rPr>
      </w:pPr>
      <w:r w:rsidRPr="007955BB">
        <w:rPr>
          <w:rFonts w:eastAsia="Calibri" w:cs="Sylfaen"/>
          <w:b w:val="0"/>
          <w:szCs w:val="22"/>
          <w:lang w:val="af-ZA"/>
        </w:rPr>
        <w:t xml:space="preserve"> ավտոմեքենայի (մոտոցիկլետի) տեխնիկական անձնագիր (գրանցման վկա</w:t>
      </w:r>
      <w:r w:rsidRPr="007955BB">
        <w:rPr>
          <w:rFonts w:eastAsia="Calibri" w:cs="Sylfaen"/>
          <w:b w:val="0"/>
          <w:szCs w:val="22"/>
          <w:lang w:val="af-ZA"/>
        </w:rPr>
        <w:softHyphen/>
        <w:t>յա</w:t>
      </w:r>
      <w:r w:rsidRPr="007955BB">
        <w:rPr>
          <w:rFonts w:eastAsia="Calibri" w:cs="Sylfaen"/>
          <w:b w:val="0"/>
          <w:szCs w:val="22"/>
          <w:lang w:val="af-ZA"/>
        </w:rPr>
        <w:softHyphen/>
        <w:t>կան) տա</w:t>
      </w:r>
      <w:r w:rsidRPr="007955BB">
        <w:rPr>
          <w:rFonts w:eastAsia="Calibri" w:cs="Sylfaen"/>
          <w:b w:val="0"/>
          <w:szCs w:val="22"/>
          <w:lang w:val="af-ZA"/>
        </w:rPr>
        <w:softHyphen/>
        <w:t>լու համար գանձ</w:t>
      </w:r>
      <w:r w:rsidRPr="007955BB">
        <w:rPr>
          <w:rFonts w:eastAsia="Calibri" w:cs="Sylfaen"/>
          <w:b w:val="0"/>
          <w:szCs w:val="22"/>
          <w:lang w:val="af-ZA"/>
        </w:rPr>
        <w:softHyphen/>
      </w:r>
      <w:r w:rsidRPr="007955BB">
        <w:rPr>
          <w:rFonts w:eastAsia="Calibri" w:cs="Sylfaen"/>
          <w:b w:val="0"/>
          <w:szCs w:val="22"/>
          <w:lang w:val="af-ZA"/>
        </w:rPr>
        <w:softHyphen/>
        <w:t>վող պե</w:t>
      </w:r>
      <w:r w:rsidRPr="007955BB">
        <w:rPr>
          <w:rFonts w:eastAsia="Calibri" w:cs="Sylfaen"/>
          <w:b w:val="0"/>
          <w:szCs w:val="22"/>
          <w:lang w:val="af-ZA"/>
        </w:rPr>
        <w:softHyphen/>
        <w:t>տական տուրքեր, որոնց գծով 2023 թվականի մուտքերը ծրագրվել են 2022 թվա</w:t>
      </w:r>
      <w:r w:rsidRPr="007955BB">
        <w:rPr>
          <w:rFonts w:eastAsia="Calibri" w:cs="Sylfaen"/>
          <w:b w:val="0"/>
          <w:szCs w:val="22"/>
          <w:lang w:val="af-ZA"/>
        </w:rPr>
        <w:softHyphen/>
      </w:r>
      <w:r w:rsidRPr="007955BB">
        <w:rPr>
          <w:rFonts w:eastAsia="Calibri" w:cs="Sylfaen"/>
          <w:b w:val="0"/>
          <w:szCs w:val="22"/>
          <w:lang w:val="af-ZA"/>
        </w:rPr>
        <w:softHyphen/>
      </w:r>
      <w:r w:rsidRPr="007955BB">
        <w:rPr>
          <w:rFonts w:eastAsia="Calibri" w:cs="Sylfaen"/>
          <w:b w:val="0"/>
          <w:szCs w:val="22"/>
          <w:lang w:val="af-ZA"/>
        </w:rPr>
        <w:softHyphen/>
        <w:t>կանի սպասողական մուտքերի՝ 1,167.6 մլն դրա</w:t>
      </w:r>
      <w:r w:rsidRPr="007955BB">
        <w:rPr>
          <w:rFonts w:eastAsia="Calibri" w:cs="Sylfaen"/>
          <w:b w:val="0"/>
          <w:szCs w:val="22"/>
          <w:lang w:val="af-ZA"/>
        </w:rPr>
        <w:softHyphen/>
      </w:r>
      <w:r w:rsidRPr="007955BB">
        <w:rPr>
          <w:rFonts w:eastAsia="Calibri" w:cs="Sylfaen"/>
          <w:b w:val="0"/>
          <w:szCs w:val="22"/>
          <w:lang w:val="af-ZA"/>
        </w:rPr>
        <w:softHyphen/>
        <w:t>մի չա</w:t>
      </w:r>
      <w:r w:rsidRPr="007955BB">
        <w:rPr>
          <w:rFonts w:eastAsia="Calibri" w:cs="Sylfaen"/>
          <w:b w:val="0"/>
          <w:szCs w:val="22"/>
          <w:lang w:val="af-ZA"/>
        </w:rPr>
        <w:softHyphen/>
        <w:t>փով (պե</w:t>
      </w:r>
      <w:r w:rsidRPr="007955BB">
        <w:rPr>
          <w:rFonts w:eastAsia="Calibri" w:cs="Sylfaen"/>
          <w:b w:val="0"/>
          <w:szCs w:val="22"/>
          <w:lang w:val="af-ZA"/>
        </w:rPr>
        <w:softHyphen/>
        <w:t>տական գրանցումից 2023 թվականի պետա</w:t>
      </w:r>
      <w:r w:rsidRPr="007955BB">
        <w:rPr>
          <w:rFonts w:eastAsia="Calibri" w:cs="Sylfaen"/>
          <w:b w:val="0"/>
          <w:szCs w:val="22"/>
          <w:lang w:val="af-ZA"/>
        </w:rPr>
        <w:softHyphen/>
        <w:t>կան տուրքերի կան</w:t>
      </w:r>
      <w:r w:rsidRPr="007955BB">
        <w:rPr>
          <w:rFonts w:eastAsia="Calibri" w:cs="Sylfaen"/>
          <w:b w:val="0"/>
          <w:szCs w:val="22"/>
          <w:lang w:val="af-ZA"/>
        </w:rPr>
        <w:softHyphen/>
        <w:t>խա</w:t>
      </w:r>
      <w:r w:rsidRPr="007955BB">
        <w:rPr>
          <w:rFonts w:eastAsia="Calibri" w:cs="Sylfaen"/>
          <w:b w:val="0"/>
          <w:szCs w:val="22"/>
          <w:lang w:val="af-ZA"/>
        </w:rPr>
        <w:softHyphen/>
        <w:t>տես</w:t>
      </w:r>
      <w:r w:rsidRPr="007955BB">
        <w:rPr>
          <w:rFonts w:eastAsia="Calibri" w:cs="Sylfaen"/>
          <w:b w:val="0"/>
          <w:szCs w:val="22"/>
          <w:lang w:val="af-ZA"/>
        </w:rPr>
        <w:softHyphen/>
        <w:t>վող մուտքերի ամ</w:t>
      </w:r>
      <w:r w:rsidRPr="007955BB">
        <w:rPr>
          <w:rFonts w:eastAsia="Calibri" w:cs="Sylfaen"/>
          <w:b w:val="0"/>
          <w:szCs w:val="22"/>
          <w:lang w:val="af-ZA"/>
        </w:rPr>
        <w:softHyphen/>
        <w:t>բողջ ծավալի 21.9 %-ը)՝ 2021 թվականի փաստացի ստացված 1,032.2 մլն  դրամի դիմաց: 2022 թվականի սպսողական մուտքերը կանխատեսվել են 2022 թվականի առաջին 7 ամիսների փաստացի մուտքերի նկատմամբ կիրառելով  2021 թվականի տարեկան փաստացի մուտքերում առաջին 7 ամիսների տեսակարար կշռի ցուցանիշը:</w:t>
      </w:r>
    </w:p>
    <w:p w:rsidR="00804A79" w:rsidRPr="007955BB" w:rsidRDefault="00804A79" w:rsidP="00F04DA1">
      <w:pPr>
        <w:widowControl w:val="0"/>
        <w:numPr>
          <w:ilvl w:val="0"/>
          <w:numId w:val="38"/>
        </w:numPr>
        <w:spacing w:before="0" w:line="276" w:lineRule="auto"/>
        <w:ind w:left="0" w:firstLine="538"/>
        <w:rPr>
          <w:rFonts w:eastAsia="Calibri" w:cs="Sylfaen"/>
          <w:b w:val="0"/>
          <w:szCs w:val="22"/>
          <w:lang w:val="af-ZA"/>
        </w:rPr>
      </w:pPr>
      <w:r w:rsidRPr="007955BB">
        <w:rPr>
          <w:rFonts w:eastAsia="Calibri" w:cs="Sylfaen"/>
          <w:b w:val="0"/>
          <w:szCs w:val="22"/>
          <w:lang w:val="af-ZA"/>
        </w:rPr>
        <w:t xml:space="preserve"> գույքի նկատմամբ իրավունքների պետական գրանցում կատարելու համար գանձվող պետական տուրքեր, որոնց գծով 2023 թվականի մուտքերը կանխատեսվել են </w:t>
      </w:r>
      <w:r w:rsidRPr="007955BB">
        <w:rPr>
          <w:rFonts w:eastAsia="Calibri" w:cs="GHEA Grapalat"/>
          <w:b w:val="0"/>
          <w:szCs w:val="22"/>
          <w:lang w:val="hy-AM" w:eastAsia="en-US"/>
        </w:rPr>
        <w:t>փորձագիտական գնահատական</w:t>
      </w:r>
      <w:r w:rsidRPr="007955BB">
        <w:rPr>
          <w:rFonts w:eastAsia="Calibri" w:cs="GHEA Grapalat"/>
          <w:b w:val="0"/>
          <w:szCs w:val="22"/>
          <w:lang w:val="en-US" w:eastAsia="en-US"/>
        </w:rPr>
        <w:t>ով</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ներկայացված</w:t>
      </w:r>
      <w:r w:rsidRPr="007955BB">
        <w:rPr>
          <w:rFonts w:eastAsia="Calibri" w:cs="GHEA Grapalat"/>
          <w:b w:val="0"/>
          <w:szCs w:val="22"/>
          <w:lang w:val="af-ZA" w:eastAsia="en-US"/>
        </w:rPr>
        <w:t xml:space="preserve"> </w:t>
      </w:r>
      <w:r w:rsidRPr="007955BB">
        <w:rPr>
          <w:rFonts w:eastAsia="Calibri" w:cs="Sylfaen"/>
          <w:b w:val="0"/>
          <w:szCs w:val="22"/>
          <w:lang w:val="af-ZA"/>
        </w:rPr>
        <w:t>1,475.1 մլն դրա</w:t>
      </w:r>
      <w:r w:rsidRPr="007955BB">
        <w:rPr>
          <w:rFonts w:eastAsia="Calibri" w:cs="Sylfaen"/>
          <w:b w:val="0"/>
          <w:szCs w:val="22"/>
          <w:lang w:val="af-ZA"/>
        </w:rPr>
        <w:softHyphen/>
      </w:r>
      <w:r w:rsidRPr="007955BB">
        <w:rPr>
          <w:rFonts w:eastAsia="Calibri" w:cs="Sylfaen"/>
          <w:b w:val="0"/>
          <w:szCs w:val="22"/>
          <w:lang w:val="af-ZA"/>
        </w:rPr>
        <w:softHyphen/>
        <w:t>մի չափով (պետական գրանցումից 2023 թվականի պետա</w:t>
      </w:r>
      <w:r w:rsidRPr="007955BB">
        <w:rPr>
          <w:rFonts w:eastAsia="Calibri" w:cs="Sylfaen"/>
          <w:b w:val="0"/>
          <w:szCs w:val="22"/>
          <w:lang w:val="af-ZA"/>
        </w:rPr>
        <w:softHyphen/>
        <w:t>կան տուրքերի կան</w:t>
      </w:r>
      <w:r w:rsidRPr="007955BB">
        <w:rPr>
          <w:rFonts w:eastAsia="Calibri" w:cs="Sylfaen"/>
          <w:b w:val="0"/>
          <w:szCs w:val="22"/>
          <w:lang w:val="af-ZA"/>
        </w:rPr>
        <w:softHyphen/>
      </w:r>
      <w:r w:rsidRPr="007955BB">
        <w:rPr>
          <w:rFonts w:eastAsia="Calibri" w:cs="Sylfaen"/>
          <w:b w:val="0"/>
          <w:szCs w:val="22"/>
          <w:lang w:val="af-ZA"/>
        </w:rPr>
        <w:softHyphen/>
      </w:r>
      <w:r w:rsidRPr="007955BB">
        <w:rPr>
          <w:rFonts w:eastAsia="Calibri" w:cs="Sylfaen"/>
          <w:b w:val="0"/>
          <w:szCs w:val="22"/>
          <w:lang w:val="af-ZA"/>
        </w:rPr>
        <w:softHyphen/>
        <w:t>խա</w:t>
      </w:r>
      <w:r w:rsidRPr="007955BB">
        <w:rPr>
          <w:rFonts w:eastAsia="Calibri" w:cs="Sylfaen"/>
          <w:b w:val="0"/>
          <w:szCs w:val="22"/>
          <w:lang w:val="af-ZA"/>
        </w:rPr>
        <w:softHyphen/>
        <w:t>տես</w:t>
      </w:r>
      <w:r w:rsidRPr="007955BB">
        <w:rPr>
          <w:rFonts w:eastAsia="Calibri" w:cs="Sylfaen"/>
          <w:b w:val="0"/>
          <w:szCs w:val="22"/>
          <w:lang w:val="af-ZA"/>
        </w:rPr>
        <w:softHyphen/>
        <w:t>վող մուտ</w:t>
      </w:r>
      <w:r w:rsidRPr="007955BB">
        <w:rPr>
          <w:rFonts w:eastAsia="Calibri" w:cs="Sylfaen"/>
          <w:b w:val="0"/>
          <w:szCs w:val="22"/>
          <w:lang w:val="af-ZA"/>
        </w:rPr>
        <w:softHyphen/>
      </w:r>
      <w:r w:rsidRPr="007955BB">
        <w:rPr>
          <w:rFonts w:eastAsia="Calibri" w:cs="Sylfaen"/>
          <w:b w:val="0"/>
          <w:szCs w:val="22"/>
          <w:lang w:val="af-ZA"/>
        </w:rPr>
        <w:softHyphen/>
        <w:t>քերի ամ</w:t>
      </w:r>
      <w:r w:rsidRPr="007955BB">
        <w:rPr>
          <w:rFonts w:eastAsia="Calibri" w:cs="Sylfaen"/>
          <w:b w:val="0"/>
          <w:szCs w:val="22"/>
          <w:lang w:val="af-ZA"/>
        </w:rPr>
        <w:softHyphen/>
        <w:t>բողջ ծավալի 27.7%-ը), 2022 թվականի համար հաս</w:t>
      </w:r>
      <w:r w:rsidRPr="007955BB">
        <w:rPr>
          <w:rFonts w:eastAsia="Calibri" w:cs="Sylfaen"/>
          <w:b w:val="0"/>
          <w:szCs w:val="22"/>
          <w:lang w:val="af-ZA"/>
        </w:rPr>
        <w:softHyphen/>
        <w:t>տատված 1,340.2 մլն դրամի և 2021 թվակա</w:t>
      </w:r>
      <w:r w:rsidRPr="007955BB">
        <w:rPr>
          <w:rFonts w:eastAsia="Calibri" w:cs="Sylfaen"/>
          <w:b w:val="0"/>
          <w:szCs w:val="22"/>
          <w:lang w:val="af-ZA"/>
        </w:rPr>
        <w:softHyphen/>
        <w:t>նին փաստացի ստաց</w:t>
      </w:r>
      <w:r w:rsidRPr="007955BB">
        <w:rPr>
          <w:rFonts w:eastAsia="Calibri" w:cs="Sylfaen"/>
          <w:b w:val="0"/>
          <w:szCs w:val="22"/>
          <w:lang w:val="af-ZA"/>
        </w:rPr>
        <w:softHyphen/>
        <w:t>ված 1,223.2 մլն դրամի դի</w:t>
      </w:r>
      <w:r w:rsidRPr="007955BB">
        <w:rPr>
          <w:rFonts w:eastAsia="Calibri" w:cs="Sylfaen"/>
          <w:b w:val="0"/>
          <w:szCs w:val="22"/>
          <w:lang w:val="af-ZA"/>
        </w:rPr>
        <w:softHyphen/>
        <w:t xml:space="preserve">մաց:  </w:t>
      </w:r>
    </w:p>
    <w:p w:rsidR="00804A79" w:rsidRPr="007955BB" w:rsidRDefault="00804A79" w:rsidP="00804A79">
      <w:pPr>
        <w:spacing w:before="0" w:line="276" w:lineRule="auto"/>
        <w:ind w:firstLine="538"/>
        <w:rPr>
          <w:rFonts w:eastAsia="Calibri"/>
          <w:b w:val="0"/>
          <w:szCs w:val="22"/>
          <w:lang w:val="hy-AM" w:eastAsia="en-US"/>
        </w:rPr>
      </w:pPr>
      <w:r w:rsidRPr="007955BB">
        <w:rPr>
          <w:rFonts w:eastAsia="Calibri" w:hint="eastAsia"/>
          <w:szCs w:val="22"/>
          <w:lang w:val="hy-AM" w:eastAsia="en-US"/>
        </w:rPr>
        <w:t>Գյուտերի, արդյունաբերական դիզայնների, բույսերի սորտերի, ապրանքային նշանների, աշխարհագրական նշումների, ծագման տեղանունների, երաշխավորված ավանդական արտադրանքի, ֆիրմային անվանումների, ինտեգրալ միկրոսխեմաների տոպոլոգիաների իրավական պահպանության հետ կապված իրավաբանական նշանակություն ունեցող գործողությունների համար</w:t>
      </w:r>
      <w:r w:rsidRPr="007955BB">
        <w:rPr>
          <w:rFonts w:eastAsia="Calibri"/>
          <w:szCs w:val="22"/>
          <w:lang w:val="hy-AM" w:eastAsia="en-US"/>
        </w:rPr>
        <w:t xml:space="preserve"> </w:t>
      </w:r>
      <w:r w:rsidRPr="007955BB">
        <w:rPr>
          <w:rFonts w:eastAsia="Calibri"/>
          <w:b w:val="0"/>
          <w:szCs w:val="22"/>
          <w:lang w:val="hy-AM" w:eastAsia="en-US"/>
        </w:rPr>
        <w:t>գանձվող պե</w:t>
      </w:r>
      <w:r w:rsidRPr="007955BB">
        <w:rPr>
          <w:rFonts w:eastAsia="Calibri"/>
          <w:b w:val="0"/>
          <w:szCs w:val="22"/>
          <w:lang w:val="hy-AM" w:eastAsia="en-US"/>
        </w:rPr>
        <w:softHyphen/>
        <w:t>տա</w:t>
      </w:r>
      <w:r w:rsidRPr="007955BB">
        <w:rPr>
          <w:rFonts w:eastAsia="Calibri"/>
          <w:b w:val="0"/>
          <w:szCs w:val="22"/>
          <w:lang w:val="hy-AM" w:eastAsia="en-US"/>
        </w:rPr>
        <w:softHyphen/>
        <w:t>կան տուրքերի գծով 2023 թվականի մուտքե</w:t>
      </w:r>
      <w:r w:rsidRPr="007955BB">
        <w:rPr>
          <w:rFonts w:eastAsia="Calibri"/>
          <w:b w:val="0"/>
          <w:szCs w:val="22"/>
          <w:lang w:val="hy-AM" w:eastAsia="en-US"/>
        </w:rPr>
        <w:softHyphen/>
        <w:t xml:space="preserve">րը կանխատեսվել են 313.3 մլն դրամի չափով՝  2022 թվականի սպասողական մուտքերի նկատմամբ կիրառելով փորձագիտական գնահատականով ներկայացված՝ 2022 թվականի սպասողական ցուցանիշի նկատմամբ 2023 թվականի աճի տեմպը: 2022 թվականի սպասողական մուտքերը գնահատվել են 2022 թվականի առաջին 7 ամիսների փաստացի մուտքերի միջինացված ցուցանիշի հիման վրա:  </w:t>
      </w:r>
    </w:p>
    <w:p w:rsidR="00804A79" w:rsidRPr="007955BB" w:rsidRDefault="00804A79" w:rsidP="00804A79">
      <w:pPr>
        <w:spacing w:before="0" w:line="276" w:lineRule="auto"/>
        <w:ind w:firstLine="538"/>
        <w:rPr>
          <w:rFonts w:eastAsia="Calibri"/>
          <w:b w:val="0"/>
          <w:szCs w:val="22"/>
          <w:lang w:val="af-ZA" w:eastAsia="en-US"/>
        </w:rPr>
      </w:pPr>
      <w:r w:rsidRPr="007955BB">
        <w:rPr>
          <w:rFonts w:eastAsia="Calibri"/>
          <w:szCs w:val="22"/>
          <w:lang w:val="hy-AM" w:eastAsia="en-US"/>
        </w:rPr>
        <w:t>Ֆիզիկական անձանց տրվող իրավաբանական նշանակություն ունեցող փաստաթղթերի, որոշակի ծառայությունների կամ գործողությունների համար</w:t>
      </w:r>
      <w:r w:rsidRPr="007955BB">
        <w:rPr>
          <w:rFonts w:eastAsia="Calibri"/>
          <w:b w:val="0"/>
          <w:szCs w:val="22"/>
          <w:lang w:val="hy-AM" w:eastAsia="en-US"/>
        </w:rPr>
        <w:t xml:space="preserve"> </w:t>
      </w:r>
      <w:r w:rsidR="00642BCC" w:rsidRPr="007955BB">
        <w:rPr>
          <w:rFonts w:eastAsia="Calibri"/>
          <w:b w:val="0"/>
          <w:szCs w:val="22"/>
          <w:lang w:val="hy-AM" w:eastAsia="en-US"/>
        </w:rPr>
        <w:t xml:space="preserve">ՀՀ </w:t>
      </w:r>
      <w:r w:rsidRPr="007955BB">
        <w:rPr>
          <w:rFonts w:eastAsia="Calibri"/>
          <w:b w:val="0"/>
          <w:szCs w:val="22"/>
          <w:lang w:val="hy-AM" w:eastAsia="en-US"/>
        </w:rPr>
        <w:t>ոստիկանության կողմից գանձ</w:t>
      </w:r>
      <w:r w:rsidRPr="007955BB">
        <w:rPr>
          <w:rFonts w:eastAsia="Calibri"/>
          <w:b w:val="0"/>
          <w:szCs w:val="22"/>
          <w:lang w:val="hy-AM" w:eastAsia="en-US"/>
        </w:rPr>
        <w:softHyphen/>
        <w:t xml:space="preserve">վող պետական տուրքերի գծով 2023 թվականի մուտքերը կանխատեսվել են 2,840.8 մլն դրամի չափով, այդ թվում՝ </w:t>
      </w:r>
      <w:r w:rsidRPr="007955BB">
        <w:rPr>
          <w:rFonts w:eastAsia="Calibri"/>
          <w:b w:val="0"/>
          <w:szCs w:val="22"/>
          <w:lang w:val="af-ZA" w:eastAsia="en-US"/>
        </w:rPr>
        <w:t xml:space="preserve"> </w:t>
      </w:r>
      <w:r w:rsidRPr="007955BB">
        <w:rPr>
          <w:rFonts w:eastAsia="Calibri"/>
          <w:b w:val="0"/>
          <w:szCs w:val="22"/>
          <w:lang w:val="hy-AM" w:eastAsia="en-US"/>
        </w:rPr>
        <w:t>կենսաչափական անձնագրերի և   նույնականացման քարտերի մասով կանխատեսումը համապատասխանում է փորձագիտական գնահատականներին (400.0 մլն դրամ և 454.5 մլն դրամ), իսկ  ՀՀ</w:t>
      </w:r>
      <w:r w:rsidRPr="007955BB">
        <w:rPr>
          <w:rFonts w:eastAsia="Calibri"/>
          <w:b w:val="0"/>
          <w:szCs w:val="22"/>
          <w:lang w:val="af-ZA" w:eastAsia="en-US"/>
        </w:rPr>
        <w:t xml:space="preserve"> </w:t>
      </w:r>
      <w:r w:rsidRPr="007955BB">
        <w:rPr>
          <w:rFonts w:eastAsia="Calibri"/>
          <w:b w:val="0"/>
          <w:szCs w:val="22"/>
          <w:lang w:val="hy-AM" w:eastAsia="en-US"/>
        </w:rPr>
        <w:t>քաղաքացու</w:t>
      </w:r>
      <w:r w:rsidRPr="007955BB">
        <w:rPr>
          <w:rFonts w:eastAsia="Calibri"/>
          <w:b w:val="0"/>
          <w:szCs w:val="22"/>
          <w:lang w:val="af-ZA" w:eastAsia="en-US"/>
        </w:rPr>
        <w:t xml:space="preserve"> </w:t>
      </w:r>
      <w:r w:rsidRPr="007955BB">
        <w:rPr>
          <w:rFonts w:eastAsia="Calibri"/>
          <w:b w:val="0"/>
          <w:szCs w:val="22"/>
          <w:lang w:val="hy-AM" w:eastAsia="en-US"/>
        </w:rPr>
        <w:t>անձնագրի  և այլ փաստաթղթերի  համար գանձվող պետական տուրքերի մասով մուտքերը կանխատեսվել են 2021 թվականի</w:t>
      </w:r>
      <w:r w:rsidRPr="007955BB">
        <w:rPr>
          <w:rFonts w:eastAsia="Calibri"/>
          <w:b w:val="0"/>
          <w:szCs w:val="22"/>
          <w:lang w:val="af-ZA" w:eastAsia="en-US"/>
        </w:rPr>
        <w:t xml:space="preserve"> փաստացի և 2022 թվականի սպասողական մուտքերի միջինացված ցուցանիշի՝ 1,986.3 մլն դրամի չափով: 2022 թվականի սպասողական մուտքերը կանխատեսվել են փաստացի ընթացիկ մուտքերի միջինացված ցուցանիշի հիման վրա: </w:t>
      </w:r>
    </w:p>
    <w:p w:rsidR="00804A79" w:rsidRPr="007955BB" w:rsidRDefault="00804A79" w:rsidP="00804A79">
      <w:pPr>
        <w:spacing w:before="0" w:line="276" w:lineRule="auto"/>
        <w:ind w:firstLine="538"/>
        <w:rPr>
          <w:rFonts w:eastAsia="Calibri"/>
          <w:b w:val="0"/>
          <w:szCs w:val="22"/>
          <w:lang w:val="af-ZA" w:eastAsia="en-US"/>
        </w:rPr>
      </w:pPr>
      <w:r w:rsidRPr="007955BB">
        <w:rPr>
          <w:rFonts w:eastAsia="Calibri"/>
          <w:szCs w:val="22"/>
          <w:lang w:val="hy-AM" w:eastAsia="en-US"/>
        </w:rPr>
        <w:t>Լիցենզավորման ենթակա կամ թույլտվություններով գործունեություն իրականացնելու նպատակով լիցենզիաներ, արտոնագրեր (թույլտվություններ) տալու համար</w:t>
      </w:r>
      <w:r w:rsidRPr="007955BB">
        <w:rPr>
          <w:rFonts w:eastAsia="Calibri"/>
          <w:b w:val="0"/>
          <w:szCs w:val="22"/>
          <w:lang w:val="hy-AM" w:eastAsia="en-US"/>
        </w:rPr>
        <w:t xml:space="preserve"> գանձ</w:t>
      </w:r>
      <w:r w:rsidRPr="007955BB">
        <w:rPr>
          <w:rFonts w:eastAsia="Calibri"/>
          <w:b w:val="0"/>
          <w:szCs w:val="22"/>
          <w:lang w:val="hy-AM" w:eastAsia="en-US"/>
        </w:rPr>
        <w:softHyphen/>
        <w:t>վող պետա</w:t>
      </w:r>
      <w:r w:rsidRPr="007955BB">
        <w:rPr>
          <w:rFonts w:eastAsia="Calibri"/>
          <w:b w:val="0"/>
          <w:szCs w:val="22"/>
          <w:lang w:val="hy-AM" w:eastAsia="en-US"/>
        </w:rPr>
        <w:softHyphen/>
      </w:r>
      <w:r w:rsidRPr="007955BB">
        <w:rPr>
          <w:rFonts w:eastAsia="Calibri"/>
          <w:b w:val="0"/>
          <w:szCs w:val="22"/>
          <w:lang w:val="hy-AM" w:eastAsia="en-US"/>
        </w:rPr>
        <w:softHyphen/>
        <w:t>կան տուրքերի գծով 202</w:t>
      </w:r>
      <w:r w:rsidRPr="007955BB">
        <w:rPr>
          <w:rFonts w:eastAsia="Calibri"/>
          <w:b w:val="0"/>
          <w:szCs w:val="22"/>
          <w:lang w:val="af-ZA" w:eastAsia="en-US"/>
        </w:rPr>
        <w:t>3</w:t>
      </w:r>
      <w:r w:rsidRPr="007955BB">
        <w:rPr>
          <w:rFonts w:eastAsia="Calibri"/>
          <w:b w:val="0"/>
          <w:szCs w:val="22"/>
          <w:lang w:val="hy-AM" w:eastAsia="en-US"/>
        </w:rPr>
        <w:t xml:space="preserve"> թվականի մուտքերը կանխատեսվել են </w:t>
      </w:r>
      <w:r w:rsidRPr="007955BB">
        <w:rPr>
          <w:rFonts w:eastAsia="Calibri"/>
          <w:b w:val="0"/>
          <w:szCs w:val="22"/>
          <w:lang w:val="af-ZA" w:eastAsia="en-US"/>
        </w:rPr>
        <w:t>19,850.0</w:t>
      </w:r>
      <w:r w:rsidRPr="007955BB">
        <w:rPr>
          <w:rFonts w:eastAsia="Calibri"/>
          <w:b w:val="0"/>
          <w:szCs w:val="22"/>
          <w:lang w:val="hy-AM" w:eastAsia="en-US"/>
        </w:rPr>
        <w:t xml:space="preserve"> մլն դրամի չափով` 20</w:t>
      </w:r>
      <w:r w:rsidRPr="007955BB">
        <w:rPr>
          <w:rFonts w:eastAsia="Calibri"/>
          <w:b w:val="0"/>
          <w:szCs w:val="22"/>
          <w:lang w:val="af-ZA" w:eastAsia="en-US"/>
        </w:rPr>
        <w:t>22</w:t>
      </w:r>
      <w:r w:rsidRPr="007955BB">
        <w:rPr>
          <w:rFonts w:eastAsia="Calibri"/>
          <w:b w:val="0"/>
          <w:szCs w:val="22"/>
          <w:lang w:val="hy-AM" w:eastAsia="en-US"/>
        </w:rPr>
        <w:t xml:space="preserve"> թվականի համար հաստատված </w:t>
      </w:r>
      <w:r w:rsidRPr="007955BB">
        <w:rPr>
          <w:rFonts w:eastAsia="Calibri"/>
          <w:b w:val="0"/>
          <w:szCs w:val="22"/>
          <w:lang w:val="af-ZA" w:eastAsia="en-US"/>
        </w:rPr>
        <w:t xml:space="preserve">63,615.6 </w:t>
      </w:r>
      <w:r w:rsidRPr="007955BB">
        <w:rPr>
          <w:rFonts w:eastAsia="Calibri"/>
          <w:b w:val="0"/>
          <w:szCs w:val="22"/>
          <w:lang w:val="hy-AM" w:eastAsia="en-US"/>
        </w:rPr>
        <w:t>մլն և 20</w:t>
      </w:r>
      <w:r w:rsidRPr="007955BB">
        <w:rPr>
          <w:rFonts w:eastAsia="Calibri"/>
          <w:b w:val="0"/>
          <w:szCs w:val="22"/>
          <w:lang w:val="af-ZA" w:eastAsia="en-US"/>
        </w:rPr>
        <w:t>21</w:t>
      </w:r>
      <w:r w:rsidRPr="007955BB">
        <w:rPr>
          <w:rFonts w:eastAsia="Calibri"/>
          <w:b w:val="0"/>
          <w:szCs w:val="22"/>
          <w:lang w:val="hy-AM" w:eastAsia="en-US"/>
        </w:rPr>
        <w:t xml:space="preserve"> թվականին փաստա</w:t>
      </w:r>
      <w:r w:rsidRPr="007955BB">
        <w:rPr>
          <w:rFonts w:eastAsia="Calibri"/>
          <w:b w:val="0"/>
          <w:szCs w:val="22"/>
          <w:lang w:val="hy-AM" w:eastAsia="en-US"/>
        </w:rPr>
        <w:softHyphen/>
        <w:t>ցի ստացված 38</w:t>
      </w:r>
      <w:r w:rsidRPr="007955BB">
        <w:rPr>
          <w:rFonts w:eastAsia="Calibri"/>
          <w:b w:val="0"/>
          <w:szCs w:val="22"/>
          <w:lang w:val="af-ZA" w:eastAsia="en-US"/>
        </w:rPr>
        <w:t>,</w:t>
      </w:r>
      <w:r w:rsidRPr="007955BB">
        <w:rPr>
          <w:rFonts w:eastAsia="Calibri"/>
          <w:b w:val="0"/>
          <w:szCs w:val="22"/>
          <w:lang w:val="hy-AM" w:eastAsia="en-US"/>
        </w:rPr>
        <w:t>289</w:t>
      </w:r>
      <w:r w:rsidRPr="007955BB">
        <w:rPr>
          <w:rFonts w:eastAsia="Calibri"/>
          <w:b w:val="0"/>
          <w:szCs w:val="22"/>
          <w:lang w:val="af-ZA" w:eastAsia="en-US"/>
        </w:rPr>
        <w:t>.4</w:t>
      </w:r>
      <w:r w:rsidRPr="007955BB">
        <w:rPr>
          <w:rFonts w:eastAsia="Calibri"/>
          <w:b w:val="0"/>
          <w:szCs w:val="22"/>
          <w:lang w:val="hy-AM" w:eastAsia="en-US"/>
        </w:rPr>
        <w:t xml:space="preserve"> մլն դրամի դիմաց:</w:t>
      </w:r>
      <w:r w:rsidRPr="007955BB">
        <w:rPr>
          <w:rFonts w:eastAsia="Calibri" w:cs="GHEA Grapalat"/>
          <w:b w:val="0"/>
          <w:szCs w:val="22"/>
          <w:lang w:val="hy-AM" w:eastAsia="en-US"/>
        </w:rPr>
        <w:t xml:space="preserve"> «Պետական տուրքի մասին»</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ՀՀ</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օրենքում</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կատարվել</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են</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փոփոխություններ</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որոնցով</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սահմանվել</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են</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պետական</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տուրքերի</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նոր</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տեսակներ</w:t>
      </w:r>
      <w:r w:rsidRPr="007955BB">
        <w:rPr>
          <w:rFonts w:eastAsia="Calibri" w:cs="GHEA Grapalat"/>
          <w:b w:val="0"/>
          <w:color w:val="FF0000"/>
          <w:szCs w:val="22"/>
          <w:lang w:val="af-ZA" w:eastAsia="en-US"/>
        </w:rPr>
        <w:t>:</w:t>
      </w:r>
      <w:r w:rsidRPr="007955BB">
        <w:rPr>
          <w:rFonts w:eastAsia="Calibri" w:cs="GHEA Grapalat"/>
          <w:b w:val="0"/>
          <w:color w:val="FF0000"/>
          <w:szCs w:val="22"/>
          <w:lang w:val="hy-AM" w:eastAsia="en-US"/>
        </w:rPr>
        <w:t xml:space="preserve"> </w:t>
      </w:r>
      <w:r w:rsidR="0084328A" w:rsidRPr="007955BB">
        <w:rPr>
          <w:rFonts w:eastAsia="Calibri" w:cs="GHEA Grapalat"/>
          <w:b w:val="0"/>
          <w:szCs w:val="22"/>
          <w:lang w:val="af-ZA" w:eastAsia="en-US"/>
        </w:rPr>
        <w:t>2022</w:t>
      </w:r>
      <w:r w:rsidRPr="007955BB">
        <w:rPr>
          <w:rFonts w:eastAsia="Calibri" w:cs="GHEA Grapalat"/>
          <w:b w:val="0"/>
          <w:szCs w:val="22"/>
          <w:lang w:val="en-US" w:eastAsia="en-US"/>
        </w:rPr>
        <w:t>թ</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օգոստոսի</w:t>
      </w:r>
      <w:r w:rsidRPr="007955BB">
        <w:rPr>
          <w:rFonts w:eastAsia="Calibri" w:cs="GHEA Grapalat"/>
          <w:b w:val="0"/>
          <w:szCs w:val="22"/>
          <w:lang w:val="af-ZA" w:eastAsia="en-US"/>
        </w:rPr>
        <w:t xml:space="preserve"> 9-</w:t>
      </w:r>
      <w:r w:rsidRPr="007955BB">
        <w:rPr>
          <w:rFonts w:eastAsia="Calibri" w:cs="GHEA Grapalat"/>
          <w:b w:val="0"/>
          <w:szCs w:val="22"/>
          <w:lang w:val="en-US" w:eastAsia="en-US"/>
        </w:rPr>
        <w:t>ից</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ուժի</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մեջ</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է</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մտել</w:t>
      </w:r>
      <w:r w:rsidRPr="007955BB">
        <w:rPr>
          <w:rFonts w:eastAsia="Calibri" w:cs="GHEA Grapalat"/>
          <w:b w:val="0"/>
          <w:szCs w:val="22"/>
          <w:lang w:val="af-ZA" w:eastAsia="en-US"/>
        </w:rPr>
        <w:t xml:space="preserve"> </w:t>
      </w:r>
      <w:r w:rsidRPr="007955BB">
        <w:rPr>
          <w:rFonts w:eastAsia="Calibri" w:cs="GHEA Grapalat"/>
          <w:b w:val="0"/>
          <w:szCs w:val="22"/>
          <w:lang w:val="hy-AM" w:eastAsia="en-US"/>
        </w:rPr>
        <w:t xml:space="preserve">«Պետական տուրքի մասին» Հայաստանի Հանրապետության օրենքում </w:t>
      </w:r>
      <w:r w:rsidRPr="007955BB">
        <w:rPr>
          <w:rFonts w:eastAsia="Calibri" w:cs="GHEA Grapalat"/>
          <w:b w:val="0"/>
          <w:szCs w:val="22"/>
          <w:lang w:val="en-US" w:eastAsia="en-US"/>
        </w:rPr>
        <w:t>լրացում</w:t>
      </w:r>
      <w:r w:rsidRPr="007955BB">
        <w:rPr>
          <w:rFonts w:eastAsia="Calibri" w:cs="GHEA Grapalat"/>
          <w:b w:val="0"/>
          <w:szCs w:val="22"/>
          <w:lang w:val="af-ZA" w:eastAsia="en-US"/>
        </w:rPr>
        <w:t xml:space="preserve"> </w:t>
      </w:r>
      <w:r w:rsidRPr="007955BB">
        <w:rPr>
          <w:rFonts w:eastAsia="Calibri" w:cs="GHEA Grapalat"/>
          <w:b w:val="0"/>
          <w:szCs w:val="22"/>
          <w:lang w:val="hy-AM" w:eastAsia="en-US"/>
        </w:rPr>
        <w:t xml:space="preserve">կատարելու մասին» </w:t>
      </w:r>
      <w:r w:rsidRPr="007955BB">
        <w:rPr>
          <w:rFonts w:eastAsia="Calibri" w:cs="GHEA Grapalat"/>
          <w:b w:val="0"/>
          <w:szCs w:val="22"/>
          <w:lang w:val="af-ZA" w:eastAsia="en-US"/>
        </w:rPr>
        <w:t>18.01.2022</w:t>
      </w:r>
      <w:r w:rsidRPr="007955BB">
        <w:rPr>
          <w:rFonts w:eastAsia="Calibri" w:cs="GHEA Grapalat"/>
          <w:b w:val="0"/>
          <w:szCs w:val="22"/>
          <w:lang w:val="en-US" w:eastAsia="en-US"/>
        </w:rPr>
        <w:t>թ</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ՀՕ</w:t>
      </w:r>
      <w:r w:rsidRPr="007955BB">
        <w:rPr>
          <w:rFonts w:eastAsia="Calibri" w:cs="GHEA Grapalat"/>
          <w:b w:val="0"/>
          <w:szCs w:val="22"/>
          <w:lang w:val="af-ZA" w:eastAsia="en-US"/>
        </w:rPr>
        <w:t>-10-</w:t>
      </w:r>
      <w:r w:rsidRPr="007955BB">
        <w:rPr>
          <w:rFonts w:eastAsia="Calibri" w:cs="GHEA Grapalat"/>
          <w:b w:val="0"/>
          <w:szCs w:val="22"/>
          <w:lang w:val="en-US" w:eastAsia="en-US"/>
        </w:rPr>
        <w:t>Ն</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օրենքը</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որով</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սահմանվում</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է</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պետական</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տուրք</w:t>
      </w:r>
      <w:r w:rsidRPr="007955BB">
        <w:rPr>
          <w:rFonts w:eastAsia="Calibri" w:cs="GHEA Grapalat"/>
          <w:b w:val="0"/>
          <w:szCs w:val="22"/>
          <w:lang w:val="af-ZA" w:eastAsia="en-US"/>
        </w:rPr>
        <w:t xml:space="preserve"> </w:t>
      </w:r>
      <w:r w:rsidRPr="007955BB">
        <w:rPr>
          <w:rFonts w:eastAsia="Calibri"/>
          <w:b w:val="0"/>
          <w:szCs w:val="22"/>
          <w:lang w:val="en-US" w:eastAsia="en-US"/>
        </w:rPr>
        <w:t>անհատ</w:t>
      </w:r>
      <w:r w:rsidRPr="007955BB">
        <w:rPr>
          <w:rFonts w:eastAsia="Calibri" w:hint="eastAsia"/>
          <w:b w:val="0"/>
          <w:szCs w:val="22"/>
          <w:lang w:val="af-ZA" w:eastAsia="en-US"/>
        </w:rPr>
        <w:t xml:space="preserve"> </w:t>
      </w:r>
      <w:r w:rsidRPr="007955BB">
        <w:rPr>
          <w:rFonts w:eastAsia="Calibri"/>
          <w:b w:val="0"/>
          <w:szCs w:val="22"/>
          <w:lang w:val="en-US" w:eastAsia="en-US"/>
        </w:rPr>
        <w:t>ձեռնարկատերերի</w:t>
      </w:r>
      <w:r w:rsidRPr="007955BB">
        <w:rPr>
          <w:rFonts w:eastAsia="Calibri" w:hint="eastAsia"/>
          <w:b w:val="0"/>
          <w:szCs w:val="22"/>
          <w:lang w:val="af-ZA" w:eastAsia="en-US"/>
        </w:rPr>
        <w:t xml:space="preserve"> </w:t>
      </w:r>
      <w:r w:rsidRPr="007955BB">
        <w:rPr>
          <w:rFonts w:eastAsia="Calibri"/>
          <w:b w:val="0"/>
          <w:szCs w:val="22"/>
          <w:lang w:val="en-US" w:eastAsia="en-US"/>
        </w:rPr>
        <w:t>և</w:t>
      </w:r>
      <w:r w:rsidRPr="007955BB">
        <w:rPr>
          <w:rFonts w:eastAsia="Calibri" w:hint="eastAsia"/>
          <w:b w:val="0"/>
          <w:szCs w:val="22"/>
          <w:lang w:val="af-ZA" w:eastAsia="en-US"/>
        </w:rPr>
        <w:t xml:space="preserve"> </w:t>
      </w:r>
      <w:r w:rsidRPr="007955BB">
        <w:rPr>
          <w:rFonts w:eastAsia="Calibri"/>
          <w:b w:val="0"/>
          <w:szCs w:val="22"/>
          <w:lang w:val="en-US" w:eastAsia="en-US"/>
        </w:rPr>
        <w:t>կազմակերպությունների</w:t>
      </w:r>
      <w:r w:rsidRPr="007955BB">
        <w:rPr>
          <w:rFonts w:eastAsia="Calibri" w:hint="eastAsia"/>
          <w:b w:val="0"/>
          <w:szCs w:val="22"/>
          <w:lang w:val="af-ZA" w:eastAsia="en-US"/>
        </w:rPr>
        <w:t xml:space="preserve"> </w:t>
      </w:r>
      <w:r w:rsidRPr="007955BB">
        <w:rPr>
          <w:rFonts w:eastAsia="Calibri"/>
          <w:b w:val="0"/>
          <w:szCs w:val="22"/>
          <w:lang w:val="en-US" w:eastAsia="en-US"/>
        </w:rPr>
        <w:t>կողմից</w:t>
      </w:r>
      <w:r w:rsidRPr="007955BB">
        <w:rPr>
          <w:rFonts w:eastAsia="Calibri" w:hint="eastAsia"/>
          <w:b w:val="0"/>
          <w:szCs w:val="22"/>
          <w:lang w:val="af-ZA" w:eastAsia="en-US"/>
        </w:rPr>
        <w:t xml:space="preserve"> </w:t>
      </w:r>
      <w:r w:rsidRPr="007955BB">
        <w:rPr>
          <w:rFonts w:eastAsia="Calibri"/>
          <w:b w:val="0"/>
          <w:szCs w:val="22"/>
          <w:lang w:val="en-US" w:eastAsia="en-US"/>
        </w:rPr>
        <w:t>օդանավակայանի</w:t>
      </w:r>
      <w:r w:rsidRPr="007955BB">
        <w:rPr>
          <w:rFonts w:eastAsia="Calibri" w:hint="eastAsia"/>
          <w:b w:val="0"/>
          <w:szCs w:val="22"/>
          <w:lang w:val="af-ZA" w:eastAsia="en-US"/>
        </w:rPr>
        <w:t xml:space="preserve"> </w:t>
      </w:r>
      <w:r w:rsidRPr="007955BB">
        <w:rPr>
          <w:rFonts w:eastAsia="Calibri"/>
          <w:b w:val="0"/>
          <w:szCs w:val="22"/>
          <w:lang w:val="en-US" w:eastAsia="en-US"/>
        </w:rPr>
        <w:t>տաքսի</w:t>
      </w:r>
      <w:r w:rsidRPr="007955BB">
        <w:rPr>
          <w:rFonts w:eastAsia="Calibri" w:hint="eastAsia"/>
          <w:b w:val="0"/>
          <w:szCs w:val="22"/>
          <w:lang w:val="af-ZA" w:eastAsia="en-US"/>
        </w:rPr>
        <w:t xml:space="preserve"> </w:t>
      </w:r>
      <w:r w:rsidRPr="007955BB">
        <w:rPr>
          <w:rFonts w:eastAsia="Calibri"/>
          <w:b w:val="0"/>
          <w:szCs w:val="22"/>
          <w:lang w:val="en-US" w:eastAsia="en-US"/>
        </w:rPr>
        <w:t>ծառայություն</w:t>
      </w:r>
      <w:r w:rsidRPr="007955BB">
        <w:rPr>
          <w:rFonts w:eastAsia="Calibri" w:hint="eastAsia"/>
          <w:b w:val="0"/>
          <w:szCs w:val="22"/>
          <w:lang w:val="af-ZA" w:eastAsia="en-US"/>
        </w:rPr>
        <w:t xml:space="preserve"> </w:t>
      </w:r>
      <w:r w:rsidRPr="007955BB">
        <w:rPr>
          <w:rFonts w:eastAsia="Calibri"/>
          <w:b w:val="0"/>
          <w:szCs w:val="22"/>
          <w:lang w:val="en-US" w:eastAsia="en-US"/>
        </w:rPr>
        <w:t>կազմակերպելու</w:t>
      </w:r>
      <w:r w:rsidRPr="007955BB">
        <w:rPr>
          <w:rFonts w:eastAsia="Calibri" w:hint="eastAsia"/>
          <w:b w:val="0"/>
          <w:szCs w:val="22"/>
          <w:lang w:val="af-ZA" w:eastAsia="en-US"/>
        </w:rPr>
        <w:t xml:space="preserve"> </w:t>
      </w:r>
      <w:r w:rsidRPr="007955BB">
        <w:rPr>
          <w:rFonts w:eastAsia="Calibri"/>
          <w:b w:val="0"/>
          <w:szCs w:val="22"/>
          <w:lang w:val="en-US" w:eastAsia="en-US"/>
        </w:rPr>
        <w:t>համար</w:t>
      </w:r>
      <w:r w:rsidRPr="007955BB">
        <w:rPr>
          <w:rFonts w:eastAsia="Calibri"/>
          <w:b w:val="0"/>
          <w:szCs w:val="22"/>
          <w:lang w:val="af-ZA" w:eastAsia="en-US"/>
        </w:rPr>
        <w:t xml:space="preserve">: </w:t>
      </w:r>
      <w:r w:rsidRPr="007955BB">
        <w:rPr>
          <w:rFonts w:eastAsia="Calibri" w:cs="GHEA Grapalat"/>
          <w:b w:val="0"/>
          <w:szCs w:val="22"/>
          <w:lang w:val="af-ZA" w:eastAsia="en-US"/>
        </w:rPr>
        <w:t xml:space="preserve">2023 թ. փետրվարի 1-ից ուժի մեջ է մտնելու </w:t>
      </w:r>
      <w:r w:rsidRPr="007955BB">
        <w:rPr>
          <w:rFonts w:eastAsia="Calibri" w:cs="GHEA Grapalat"/>
          <w:b w:val="0"/>
          <w:szCs w:val="22"/>
          <w:lang w:val="hy-AM" w:eastAsia="en-US"/>
        </w:rPr>
        <w:t>«Պետական տուրքի մասին» Հայաստանի Հանրապետության օրենքում փոփոխություն</w:t>
      </w:r>
      <w:r w:rsidRPr="007955BB">
        <w:rPr>
          <w:rFonts w:eastAsia="Calibri" w:cs="GHEA Grapalat"/>
          <w:b w:val="0"/>
          <w:szCs w:val="22"/>
          <w:lang w:val="en-US" w:eastAsia="en-US"/>
        </w:rPr>
        <w:t>ներ</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և</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լրացումներ</w:t>
      </w:r>
      <w:r w:rsidRPr="007955BB">
        <w:rPr>
          <w:rFonts w:eastAsia="Calibri" w:cs="GHEA Grapalat"/>
          <w:b w:val="0"/>
          <w:szCs w:val="22"/>
          <w:lang w:val="af-ZA" w:eastAsia="en-US"/>
        </w:rPr>
        <w:t xml:space="preserve"> </w:t>
      </w:r>
      <w:r w:rsidRPr="007955BB">
        <w:rPr>
          <w:rFonts w:eastAsia="Calibri" w:cs="GHEA Grapalat"/>
          <w:b w:val="0"/>
          <w:szCs w:val="22"/>
          <w:lang w:val="hy-AM" w:eastAsia="en-US"/>
        </w:rPr>
        <w:t xml:space="preserve">կատարելու մասին» </w:t>
      </w:r>
      <w:r w:rsidRPr="007955BB">
        <w:rPr>
          <w:rFonts w:eastAsia="Calibri" w:cs="GHEA Grapalat"/>
          <w:b w:val="0"/>
          <w:szCs w:val="22"/>
          <w:lang w:val="af-ZA" w:eastAsia="en-US"/>
        </w:rPr>
        <w:t>07.07.2022</w:t>
      </w:r>
      <w:r w:rsidRPr="007955BB">
        <w:rPr>
          <w:rFonts w:eastAsia="Calibri" w:cs="GHEA Grapalat"/>
          <w:b w:val="0"/>
          <w:szCs w:val="22"/>
          <w:lang w:val="en-US" w:eastAsia="en-US"/>
        </w:rPr>
        <w:t>թ</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ՀՕ</w:t>
      </w:r>
      <w:r w:rsidRPr="007955BB">
        <w:rPr>
          <w:rFonts w:eastAsia="Calibri" w:cs="GHEA Grapalat"/>
          <w:b w:val="0"/>
          <w:szCs w:val="22"/>
          <w:lang w:val="af-ZA" w:eastAsia="en-US"/>
        </w:rPr>
        <w:t>-321-</w:t>
      </w:r>
      <w:r w:rsidRPr="007955BB">
        <w:rPr>
          <w:rFonts w:eastAsia="Calibri" w:cs="GHEA Grapalat"/>
          <w:b w:val="0"/>
          <w:szCs w:val="22"/>
          <w:lang w:val="en-US" w:eastAsia="en-US"/>
        </w:rPr>
        <w:t>Ն</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օրենքը</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որով</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սահմանվել</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են</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պետական</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տուրքեր</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ստորերկրյա</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քաղցրահամ</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ջրերի</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օգտագործման</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թույլտվությունների</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տրամադրման</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համար</w:t>
      </w:r>
      <w:r w:rsidRPr="007955BB">
        <w:rPr>
          <w:rFonts w:eastAsia="Calibri" w:cs="GHEA Grapalat"/>
          <w:b w:val="0"/>
          <w:szCs w:val="22"/>
          <w:lang w:val="af-ZA" w:eastAsia="en-US"/>
        </w:rPr>
        <w:t xml:space="preserve">:  </w:t>
      </w:r>
    </w:p>
    <w:p w:rsidR="00804A79" w:rsidRPr="007955BB" w:rsidRDefault="00804A79" w:rsidP="00804A79">
      <w:pPr>
        <w:spacing w:before="0" w:line="276" w:lineRule="auto"/>
        <w:ind w:firstLine="538"/>
        <w:rPr>
          <w:rFonts w:cs="Sylfaen"/>
          <w:b w:val="0"/>
          <w:szCs w:val="22"/>
          <w:lang w:val="af-ZA"/>
        </w:rPr>
      </w:pPr>
      <w:r w:rsidRPr="007955BB">
        <w:rPr>
          <w:rFonts w:eastAsia="Calibri"/>
          <w:b w:val="0"/>
          <w:szCs w:val="22"/>
          <w:lang w:val="af-ZA" w:eastAsia="en-US"/>
        </w:rPr>
        <w:t>«</w:t>
      </w:r>
      <w:r w:rsidRPr="007955BB">
        <w:rPr>
          <w:rFonts w:eastAsia="Calibri"/>
          <w:b w:val="0"/>
          <w:szCs w:val="22"/>
          <w:lang w:val="en-US" w:eastAsia="en-US"/>
        </w:rPr>
        <w:t>Պետական</w:t>
      </w:r>
      <w:r w:rsidRPr="007955BB">
        <w:rPr>
          <w:rFonts w:eastAsia="Calibri"/>
          <w:b w:val="0"/>
          <w:szCs w:val="22"/>
          <w:lang w:val="af-ZA" w:eastAsia="en-US"/>
        </w:rPr>
        <w:t xml:space="preserve"> </w:t>
      </w:r>
      <w:r w:rsidRPr="007955BB">
        <w:rPr>
          <w:rFonts w:eastAsia="Calibri"/>
          <w:b w:val="0"/>
          <w:szCs w:val="22"/>
          <w:lang w:val="en-US" w:eastAsia="en-US"/>
        </w:rPr>
        <w:t>տուրքի</w:t>
      </w:r>
      <w:r w:rsidRPr="007955BB">
        <w:rPr>
          <w:rFonts w:eastAsia="Calibri"/>
          <w:b w:val="0"/>
          <w:szCs w:val="22"/>
          <w:lang w:val="af-ZA" w:eastAsia="en-US"/>
        </w:rPr>
        <w:t xml:space="preserve"> </w:t>
      </w:r>
      <w:r w:rsidRPr="007955BB">
        <w:rPr>
          <w:rFonts w:eastAsia="Calibri"/>
          <w:b w:val="0"/>
          <w:szCs w:val="22"/>
          <w:lang w:val="en-US" w:eastAsia="en-US"/>
        </w:rPr>
        <w:t>մասին</w:t>
      </w:r>
      <w:r w:rsidRPr="007955BB">
        <w:rPr>
          <w:rFonts w:eastAsia="Calibri"/>
          <w:b w:val="0"/>
          <w:szCs w:val="22"/>
          <w:lang w:val="af-ZA" w:eastAsia="en-US"/>
        </w:rPr>
        <w:t xml:space="preserve">» </w:t>
      </w:r>
      <w:r w:rsidRPr="007955BB">
        <w:rPr>
          <w:rFonts w:eastAsia="Calibri"/>
          <w:b w:val="0"/>
          <w:szCs w:val="22"/>
          <w:lang w:val="en-US" w:eastAsia="en-US"/>
        </w:rPr>
        <w:t>Հայաստանի</w:t>
      </w:r>
      <w:r w:rsidRPr="007955BB">
        <w:rPr>
          <w:rFonts w:eastAsia="Calibri"/>
          <w:b w:val="0"/>
          <w:szCs w:val="22"/>
          <w:lang w:val="af-ZA" w:eastAsia="en-US"/>
        </w:rPr>
        <w:t xml:space="preserve"> </w:t>
      </w:r>
      <w:r w:rsidRPr="007955BB">
        <w:rPr>
          <w:rFonts w:eastAsia="Calibri"/>
          <w:b w:val="0"/>
          <w:szCs w:val="22"/>
          <w:lang w:val="en-US" w:eastAsia="en-US"/>
        </w:rPr>
        <w:t>Հանրապետության</w:t>
      </w:r>
      <w:r w:rsidRPr="007955BB">
        <w:rPr>
          <w:rFonts w:eastAsia="Calibri"/>
          <w:b w:val="0"/>
          <w:szCs w:val="22"/>
          <w:lang w:val="af-ZA" w:eastAsia="en-US"/>
        </w:rPr>
        <w:t xml:space="preserve"> </w:t>
      </w:r>
      <w:r w:rsidRPr="007955BB">
        <w:rPr>
          <w:rFonts w:eastAsia="Calibri"/>
          <w:b w:val="0"/>
          <w:szCs w:val="22"/>
          <w:lang w:val="en-US" w:eastAsia="en-US"/>
        </w:rPr>
        <w:t>օրենքում</w:t>
      </w:r>
      <w:r w:rsidRPr="007955BB">
        <w:rPr>
          <w:rFonts w:eastAsia="Calibri"/>
          <w:b w:val="0"/>
          <w:szCs w:val="22"/>
          <w:lang w:val="af-ZA" w:eastAsia="en-US"/>
        </w:rPr>
        <w:t xml:space="preserve"> </w:t>
      </w:r>
      <w:r w:rsidRPr="007955BB">
        <w:rPr>
          <w:rFonts w:eastAsia="Calibri"/>
          <w:b w:val="0"/>
          <w:szCs w:val="22"/>
          <w:lang w:val="en-US" w:eastAsia="en-US"/>
        </w:rPr>
        <w:t>փոփոխություն</w:t>
      </w:r>
      <w:r w:rsidRPr="007955BB">
        <w:rPr>
          <w:rFonts w:eastAsia="Calibri"/>
          <w:b w:val="0"/>
          <w:szCs w:val="22"/>
          <w:lang w:val="af-ZA" w:eastAsia="en-US"/>
        </w:rPr>
        <w:t xml:space="preserve"> </w:t>
      </w:r>
      <w:r w:rsidRPr="007955BB">
        <w:rPr>
          <w:rFonts w:eastAsia="Calibri"/>
          <w:b w:val="0"/>
          <w:szCs w:val="22"/>
          <w:lang w:val="en-US" w:eastAsia="en-US"/>
        </w:rPr>
        <w:t>և</w:t>
      </w:r>
      <w:r w:rsidRPr="007955BB">
        <w:rPr>
          <w:rFonts w:eastAsia="Calibri"/>
          <w:b w:val="0"/>
          <w:szCs w:val="22"/>
          <w:lang w:val="af-ZA" w:eastAsia="en-US"/>
        </w:rPr>
        <w:t xml:space="preserve"> </w:t>
      </w:r>
      <w:r w:rsidRPr="007955BB">
        <w:rPr>
          <w:rFonts w:eastAsia="Calibri"/>
          <w:b w:val="0"/>
          <w:szCs w:val="22"/>
          <w:lang w:val="en-US" w:eastAsia="en-US"/>
        </w:rPr>
        <w:t>լրացում</w:t>
      </w:r>
      <w:r w:rsidRPr="007955BB">
        <w:rPr>
          <w:rFonts w:eastAsia="Calibri"/>
          <w:b w:val="0"/>
          <w:szCs w:val="22"/>
          <w:lang w:val="af-ZA" w:eastAsia="en-US"/>
        </w:rPr>
        <w:t xml:space="preserve"> </w:t>
      </w:r>
      <w:r w:rsidRPr="007955BB">
        <w:rPr>
          <w:rFonts w:eastAsia="Calibri"/>
          <w:b w:val="0"/>
          <w:szCs w:val="22"/>
          <w:lang w:val="en-US" w:eastAsia="en-US"/>
        </w:rPr>
        <w:t>կատարելու</w:t>
      </w:r>
      <w:r w:rsidRPr="007955BB">
        <w:rPr>
          <w:rFonts w:eastAsia="Calibri"/>
          <w:b w:val="0"/>
          <w:szCs w:val="22"/>
          <w:lang w:val="af-ZA" w:eastAsia="en-US"/>
        </w:rPr>
        <w:t xml:space="preserve"> </w:t>
      </w:r>
      <w:r w:rsidRPr="007955BB">
        <w:rPr>
          <w:rFonts w:eastAsia="Calibri"/>
          <w:b w:val="0"/>
          <w:szCs w:val="22"/>
          <w:lang w:val="en-US" w:eastAsia="en-US"/>
        </w:rPr>
        <w:t>մասին</w:t>
      </w:r>
      <w:r w:rsidRPr="007955BB">
        <w:rPr>
          <w:rFonts w:eastAsia="Calibri"/>
          <w:b w:val="0"/>
          <w:szCs w:val="22"/>
          <w:lang w:val="af-ZA" w:eastAsia="en-US"/>
        </w:rPr>
        <w:t>» 15.07.2021</w:t>
      </w:r>
      <w:r w:rsidRPr="007955BB">
        <w:rPr>
          <w:rFonts w:eastAsia="Calibri"/>
          <w:b w:val="0"/>
          <w:szCs w:val="22"/>
          <w:lang w:val="en-US" w:eastAsia="en-US"/>
        </w:rPr>
        <w:t>թ</w:t>
      </w:r>
      <w:r w:rsidRPr="007955BB">
        <w:rPr>
          <w:rFonts w:eastAsia="Calibri"/>
          <w:b w:val="0"/>
          <w:szCs w:val="22"/>
          <w:lang w:val="af-ZA" w:eastAsia="en-US"/>
        </w:rPr>
        <w:t xml:space="preserve">. </w:t>
      </w:r>
      <w:r w:rsidRPr="007955BB">
        <w:rPr>
          <w:rFonts w:eastAsia="Calibri"/>
          <w:b w:val="0"/>
          <w:szCs w:val="22"/>
          <w:lang w:val="en-US" w:eastAsia="en-US"/>
        </w:rPr>
        <w:t>ՀՕ</w:t>
      </w:r>
      <w:r w:rsidRPr="007955BB">
        <w:rPr>
          <w:rFonts w:eastAsia="Calibri"/>
          <w:b w:val="0"/>
          <w:szCs w:val="22"/>
          <w:lang w:val="af-ZA" w:eastAsia="en-US"/>
        </w:rPr>
        <w:t>-310-</w:t>
      </w:r>
      <w:r w:rsidRPr="007955BB">
        <w:rPr>
          <w:rFonts w:eastAsia="Calibri"/>
          <w:b w:val="0"/>
          <w:szCs w:val="22"/>
          <w:lang w:val="en-US" w:eastAsia="en-US"/>
        </w:rPr>
        <w:t>Ն</w:t>
      </w:r>
      <w:r w:rsidRPr="007955BB">
        <w:rPr>
          <w:rFonts w:eastAsia="Calibri"/>
          <w:b w:val="0"/>
          <w:szCs w:val="22"/>
          <w:lang w:val="af-ZA" w:eastAsia="en-US"/>
        </w:rPr>
        <w:t xml:space="preserve"> </w:t>
      </w:r>
      <w:r w:rsidRPr="007955BB">
        <w:rPr>
          <w:rFonts w:eastAsia="Calibri"/>
          <w:b w:val="0"/>
          <w:szCs w:val="22"/>
          <w:lang w:val="en-US" w:eastAsia="en-US"/>
        </w:rPr>
        <w:t>օրենքով</w:t>
      </w:r>
      <w:r w:rsidRPr="007955BB">
        <w:rPr>
          <w:rFonts w:eastAsia="Calibri"/>
          <w:b w:val="0"/>
          <w:szCs w:val="22"/>
          <w:lang w:val="af-ZA" w:eastAsia="en-US"/>
        </w:rPr>
        <w:t xml:space="preserve"> </w:t>
      </w:r>
      <w:r w:rsidRPr="007955BB">
        <w:rPr>
          <w:rFonts w:eastAsia="Calibri"/>
          <w:b w:val="0"/>
          <w:szCs w:val="22"/>
          <w:lang w:val="en-US" w:eastAsia="en-US"/>
        </w:rPr>
        <w:t>սահմանված</w:t>
      </w:r>
      <w:r w:rsidRPr="007955BB">
        <w:rPr>
          <w:rFonts w:eastAsia="Calibri"/>
          <w:b w:val="0"/>
          <w:szCs w:val="22"/>
          <w:lang w:val="af-ZA" w:eastAsia="en-US"/>
        </w:rPr>
        <w:t xml:space="preserve"> </w:t>
      </w:r>
      <w:r w:rsidRPr="007955BB">
        <w:rPr>
          <w:rFonts w:eastAsia="Calibri"/>
          <w:b w:val="0"/>
          <w:szCs w:val="22"/>
          <w:lang w:val="en-US" w:eastAsia="en-US"/>
        </w:rPr>
        <w:t>է</w:t>
      </w:r>
      <w:r w:rsidRPr="007955BB">
        <w:rPr>
          <w:rFonts w:eastAsia="Calibri"/>
          <w:b w:val="0"/>
          <w:szCs w:val="22"/>
          <w:lang w:val="af-ZA" w:eastAsia="en-US"/>
        </w:rPr>
        <w:t xml:space="preserve"> </w:t>
      </w:r>
      <w:r w:rsidRPr="007955BB">
        <w:rPr>
          <w:rFonts w:eastAsia="Calibri"/>
          <w:b w:val="0"/>
          <w:szCs w:val="22"/>
          <w:lang w:val="en-US" w:eastAsia="en-US"/>
        </w:rPr>
        <w:t>պետական</w:t>
      </w:r>
      <w:r w:rsidRPr="007955BB">
        <w:rPr>
          <w:rFonts w:eastAsia="Calibri"/>
          <w:b w:val="0"/>
          <w:szCs w:val="22"/>
          <w:lang w:val="af-ZA" w:eastAsia="en-US"/>
        </w:rPr>
        <w:t xml:space="preserve"> </w:t>
      </w:r>
      <w:r w:rsidRPr="007955BB">
        <w:rPr>
          <w:rFonts w:eastAsia="Calibri"/>
          <w:b w:val="0"/>
          <w:szCs w:val="22"/>
          <w:lang w:val="en-US" w:eastAsia="en-US"/>
        </w:rPr>
        <w:t>տուրք</w:t>
      </w:r>
      <w:r w:rsidRPr="007955BB">
        <w:rPr>
          <w:rFonts w:eastAsia="Calibri"/>
          <w:b w:val="0"/>
          <w:szCs w:val="22"/>
          <w:lang w:val="af-ZA" w:eastAsia="en-US"/>
        </w:rPr>
        <w:t xml:space="preserve"> </w:t>
      </w:r>
      <w:r w:rsidRPr="007955BB">
        <w:rPr>
          <w:rFonts w:eastAsia="Calibri"/>
          <w:b w:val="0"/>
          <w:szCs w:val="22"/>
          <w:lang w:val="en-US" w:eastAsia="en-US"/>
        </w:rPr>
        <w:t>Հայաստանի</w:t>
      </w:r>
      <w:r w:rsidRPr="007955BB">
        <w:rPr>
          <w:rFonts w:eastAsia="Calibri"/>
          <w:b w:val="0"/>
          <w:szCs w:val="22"/>
          <w:lang w:val="af-ZA" w:eastAsia="en-US"/>
        </w:rPr>
        <w:t xml:space="preserve"> </w:t>
      </w:r>
      <w:r w:rsidRPr="007955BB">
        <w:rPr>
          <w:rFonts w:eastAsia="Calibri"/>
          <w:b w:val="0"/>
          <w:szCs w:val="22"/>
          <w:lang w:val="en-US" w:eastAsia="en-US"/>
        </w:rPr>
        <w:t>Հանրապետությունից</w:t>
      </w:r>
      <w:r w:rsidRPr="007955BB">
        <w:rPr>
          <w:rFonts w:eastAsia="Calibri"/>
          <w:b w:val="0"/>
          <w:szCs w:val="22"/>
          <w:lang w:val="af-ZA" w:eastAsia="en-US"/>
        </w:rPr>
        <w:t xml:space="preserve"> </w:t>
      </w:r>
      <w:r w:rsidRPr="007955BB">
        <w:rPr>
          <w:rFonts w:eastAsia="Calibri"/>
          <w:b w:val="0"/>
          <w:szCs w:val="22"/>
          <w:lang w:val="en-US" w:eastAsia="en-US"/>
        </w:rPr>
        <w:t>պղնձի</w:t>
      </w:r>
      <w:r w:rsidRPr="007955BB">
        <w:rPr>
          <w:rFonts w:eastAsia="Calibri"/>
          <w:b w:val="0"/>
          <w:szCs w:val="22"/>
          <w:lang w:val="af-ZA" w:eastAsia="en-US"/>
        </w:rPr>
        <w:t xml:space="preserve"> </w:t>
      </w:r>
      <w:r w:rsidRPr="007955BB">
        <w:rPr>
          <w:rFonts w:eastAsia="Calibri"/>
          <w:b w:val="0"/>
          <w:szCs w:val="22"/>
          <w:lang w:val="en-US" w:eastAsia="en-US"/>
        </w:rPr>
        <w:t>խտահանքի</w:t>
      </w:r>
      <w:r w:rsidRPr="007955BB">
        <w:rPr>
          <w:rFonts w:eastAsia="Calibri"/>
          <w:b w:val="0"/>
          <w:szCs w:val="22"/>
          <w:lang w:val="af-ZA" w:eastAsia="en-US"/>
        </w:rPr>
        <w:t xml:space="preserve">, </w:t>
      </w:r>
      <w:r w:rsidRPr="007955BB">
        <w:rPr>
          <w:rFonts w:eastAsia="Calibri"/>
          <w:b w:val="0"/>
          <w:szCs w:val="22"/>
          <w:lang w:val="en-US" w:eastAsia="en-US"/>
        </w:rPr>
        <w:t>մոլիբդենի</w:t>
      </w:r>
      <w:r w:rsidRPr="007955BB">
        <w:rPr>
          <w:rFonts w:cs="Sylfaen"/>
          <w:b w:val="0"/>
          <w:szCs w:val="22"/>
          <w:lang w:val="af-ZA"/>
        </w:rPr>
        <w:t xml:space="preserve"> </w:t>
      </w:r>
      <w:r w:rsidRPr="007955BB">
        <w:rPr>
          <w:rFonts w:cs="Sylfaen"/>
          <w:b w:val="0"/>
          <w:szCs w:val="22"/>
        </w:rPr>
        <w:t>խտահանքի</w:t>
      </w:r>
      <w:r w:rsidRPr="007955BB">
        <w:rPr>
          <w:rFonts w:cs="Sylfaen"/>
          <w:b w:val="0"/>
          <w:szCs w:val="22"/>
          <w:lang w:val="af-ZA"/>
        </w:rPr>
        <w:t xml:space="preserve"> </w:t>
      </w:r>
      <w:r w:rsidRPr="007955BB">
        <w:rPr>
          <w:rFonts w:cs="Sylfaen"/>
          <w:b w:val="0"/>
          <w:szCs w:val="22"/>
          <w:lang w:val="en-US"/>
        </w:rPr>
        <w:t>և</w:t>
      </w:r>
      <w:r w:rsidRPr="007955BB">
        <w:rPr>
          <w:rFonts w:cs="Sylfaen"/>
          <w:b w:val="0"/>
          <w:szCs w:val="22"/>
          <w:lang w:val="af-ZA"/>
        </w:rPr>
        <w:t xml:space="preserve">  մոլիբդենի և դրանից պատրաստված արտադրատեսակների (բացառությամբ՝ թափոններ և ջարդոն)՝ դեպի երրորդ երկրներ </w:t>
      </w:r>
      <w:r w:rsidRPr="007955BB">
        <w:rPr>
          <w:rFonts w:cs="Sylfaen"/>
          <w:b w:val="0"/>
          <w:szCs w:val="22"/>
        </w:rPr>
        <w:t>արտահանման</w:t>
      </w:r>
      <w:r w:rsidRPr="007955BB">
        <w:rPr>
          <w:rFonts w:cs="Sylfaen"/>
          <w:b w:val="0"/>
          <w:szCs w:val="22"/>
          <w:lang w:val="af-ZA"/>
        </w:rPr>
        <w:t xml:space="preserve"> ժամանակավոր սահմանափակում կիրառելու </w:t>
      </w:r>
      <w:r w:rsidRPr="007955BB">
        <w:rPr>
          <w:rFonts w:cs="Sylfaen"/>
          <w:b w:val="0"/>
          <w:szCs w:val="22"/>
        </w:rPr>
        <w:t>լիցենզիաներ</w:t>
      </w:r>
      <w:r w:rsidRPr="007955BB">
        <w:rPr>
          <w:rFonts w:cs="Sylfaen"/>
          <w:b w:val="0"/>
          <w:szCs w:val="22"/>
          <w:lang w:val="af-ZA"/>
        </w:rPr>
        <w:t xml:space="preserve"> </w:t>
      </w:r>
      <w:r w:rsidRPr="007955BB">
        <w:rPr>
          <w:rFonts w:cs="Sylfaen"/>
          <w:b w:val="0"/>
          <w:szCs w:val="22"/>
        </w:rPr>
        <w:t>տրամադրելու</w:t>
      </w:r>
      <w:r w:rsidRPr="007955BB">
        <w:rPr>
          <w:rFonts w:cs="Sylfaen"/>
          <w:b w:val="0"/>
          <w:szCs w:val="22"/>
          <w:lang w:val="af-ZA"/>
        </w:rPr>
        <w:t xml:space="preserve">  </w:t>
      </w:r>
      <w:r w:rsidRPr="007955BB">
        <w:rPr>
          <w:rFonts w:cs="Sylfaen"/>
          <w:b w:val="0"/>
          <w:szCs w:val="22"/>
          <w:lang w:val="en-US"/>
        </w:rPr>
        <w:t>համար</w:t>
      </w:r>
      <w:r w:rsidRPr="007955BB">
        <w:rPr>
          <w:rFonts w:cs="Sylfaen"/>
          <w:b w:val="0"/>
          <w:szCs w:val="22"/>
          <w:lang w:val="af-ZA"/>
        </w:rPr>
        <w:t xml:space="preserve">: </w:t>
      </w:r>
      <w:r w:rsidRPr="007955BB">
        <w:rPr>
          <w:rFonts w:eastAsia="Calibri" w:cs="GHEA Grapalat"/>
          <w:b w:val="0"/>
          <w:szCs w:val="22"/>
          <w:lang w:val="af-ZA" w:eastAsia="en-US"/>
        </w:rPr>
        <w:t xml:space="preserve">2023 թվականի հունվարի 1-ից ուժի մեջ է մտնում վերոնշյալ տուրքերը ուժը կորցրած ճանաչելու մասին </w:t>
      </w:r>
      <w:r w:rsidRPr="007955BB">
        <w:rPr>
          <w:rFonts w:eastAsia="Calibri" w:cs="GHEA Grapalat"/>
          <w:b w:val="0"/>
          <w:szCs w:val="22"/>
          <w:lang w:val="hy-AM" w:eastAsia="en-US"/>
        </w:rPr>
        <w:t xml:space="preserve">«Պետական տուրքի մասին» Հայաստանի Հանրապետության օրենքում փոփոխություն կատարելու մասին» </w:t>
      </w:r>
      <w:r w:rsidRPr="007955BB">
        <w:rPr>
          <w:rFonts w:eastAsia="Calibri" w:cs="GHEA Grapalat"/>
          <w:b w:val="0"/>
          <w:szCs w:val="22"/>
          <w:lang w:val="af-ZA" w:eastAsia="en-US"/>
        </w:rPr>
        <w:t>15.06.2022</w:t>
      </w:r>
      <w:r w:rsidRPr="007955BB">
        <w:rPr>
          <w:rFonts w:eastAsia="Calibri" w:cs="GHEA Grapalat"/>
          <w:b w:val="0"/>
          <w:szCs w:val="22"/>
          <w:lang w:val="hy-AM" w:eastAsia="en-US"/>
        </w:rPr>
        <w:t>թ. ՀՕ-</w:t>
      </w:r>
      <w:r w:rsidRPr="007955BB">
        <w:rPr>
          <w:rFonts w:eastAsia="Calibri" w:cs="GHEA Grapalat"/>
          <w:b w:val="0"/>
          <w:szCs w:val="22"/>
          <w:lang w:val="af-ZA" w:eastAsia="en-US"/>
        </w:rPr>
        <w:t>150</w:t>
      </w:r>
      <w:r w:rsidRPr="007955BB">
        <w:rPr>
          <w:rFonts w:eastAsia="Calibri" w:cs="GHEA Grapalat"/>
          <w:b w:val="0"/>
          <w:szCs w:val="22"/>
          <w:lang w:val="hy-AM" w:eastAsia="en-US"/>
        </w:rPr>
        <w:t>-Ն օրենք</w:t>
      </w:r>
      <w:r w:rsidRPr="007955BB">
        <w:rPr>
          <w:rFonts w:eastAsia="Calibri" w:cs="GHEA Grapalat"/>
          <w:b w:val="0"/>
          <w:szCs w:val="22"/>
          <w:lang w:val="en-US" w:eastAsia="en-US"/>
        </w:rPr>
        <w:t>ը</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որով</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պայմանավորված</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դրանց</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գծով</w:t>
      </w:r>
      <w:r w:rsidRPr="007955BB">
        <w:rPr>
          <w:rFonts w:eastAsia="Calibri" w:cs="GHEA Grapalat"/>
          <w:b w:val="0"/>
          <w:szCs w:val="22"/>
          <w:lang w:val="af-ZA" w:eastAsia="en-US"/>
        </w:rPr>
        <w:t xml:space="preserve"> 2023 </w:t>
      </w:r>
      <w:r w:rsidRPr="007955BB">
        <w:rPr>
          <w:rFonts w:eastAsia="Calibri" w:cs="GHEA Grapalat"/>
          <w:b w:val="0"/>
          <w:szCs w:val="22"/>
          <w:lang w:val="en-US" w:eastAsia="en-US"/>
        </w:rPr>
        <w:t>թվականի</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համար</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կանխատեսումներ</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չեն</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կատարվել</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Ընդ</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որում</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նշված</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եկամտատեսակի</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գծով</w:t>
      </w:r>
      <w:r w:rsidRPr="007955BB">
        <w:rPr>
          <w:rFonts w:eastAsia="Calibri" w:cs="GHEA Grapalat"/>
          <w:b w:val="0"/>
          <w:szCs w:val="22"/>
          <w:lang w:val="af-ZA" w:eastAsia="en-US"/>
        </w:rPr>
        <w:t xml:space="preserve"> 2022 </w:t>
      </w:r>
      <w:r w:rsidRPr="007955BB">
        <w:rPr>
          <w:rFonts w:eastAsia="Calibri" w:cs="GHEA Grapalat"/>
          <w:b w:val="0"/>
          <w:szCs w:val="22"/>
          <w:lang w:val="en-US" w:eastAsia="en-US"/>
        </w:rPr>
        <w:t>թվականի</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հաստատված</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ցուցանիշը</w:t>
      </w:r>
      <w:r w:rsidRPr="007955BB">
        <w:rPr>
          <w:rFonts w:eastAsia="Calibri" w:cs="GHEA Grapalat"/>
          <w:b w:val="0"/>
          <w:szCs w:val="22"/>
          <w:lang w:val="af-ZA" w:eastAsia="en-US"/>
        </w:rPr>
        <w:t xml:space="preserve"> 50 </w:t>
      </w:r>
      <w:r w:rsidRPr="007955BB">
        <w:rPr>
          <w:rFonts w:eastAsia="Calibri" w:cs="GHEA Grapalat"/>
          <w:b w:val="0"/>
          <w:szCs w:val="22"/>
          <w:lang w:val="en-US" w:eastAsia="en-US"/>
        </w:rPr>
        <w:t>մլրդ</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դրամ</w:t>
      </w:r>
      <w:r w:rsidRPr="007955BB">
        <w:rPr>
          <w:rFonts w:eastAsia="Calibri" w:cs="GHEA Grapalat"/>
          <w:b w:val="0"/>
          <w:szCs w:val="22"/>
          <w:lang w:val="af-ZA" w:eastAsia="en-US"/>
        </w:rPr>
        <w:t xml:space="preserve"> </w:t>
      </w:r>
      <w:r w:rsidRPr="007955BB">
        <w:rPr>
          <w:rFonts w:eastAsia="Calibri" w:cs="GHEA Grapalat"/>
          <w:b w:val="0"/>
          <w:szCs w:val="22"/>
          <w:lang w:val="en-US" w:eastAsia="en-US"/>
        </w:rPr>
        <w:t>է</w:t>
      </w:r>
      <w:r w:rsidRPr="007955BB">
        <w:rPr>
          <w:rFonts w:eastAsia="Calibri" w:cs="GHEA Grapalat"/>
          <w:b w:val="0"/>
          <w:szCs w:val="22"/>
          <w:lang w:val="af-ZA" w:eastAsia="en-US"/>
        </w:rPr>
        <w:t xml:space="preserve">: </w:t>
      </w:r>
    </w:p>
    <w:p w:rsidR="00804A79" w:rsidRPr="007955BB" w:rsidRDefault="00804A79" w:rsidP="00804A79">
      <w:pPr>
        <w:spacing w:before="0" w:line="276" w:lineRule="auto"/>
        <w:ind w:firstLine="538"/>
        <w:rPr>
          <w:rFonts w:eastAsia="Calibri"/>
          <w:b w:val="0"/>
          <w:szCs w:val="22"/>
          <w:lang w:val="hy-AM" w:eastAsia="en-US"/>
        </w:rPr>
      </w:pPr>
      <w:r w:rsidRPr="007955BB">
        <w:rPr>
          <w:rFonts w:eastAsia="Calibri"/>
          <w:b w:val="0"/>
          <w:szCs w:val="22"/>
          <w:lang w:val="hy-AM" w:eastAsia="en-US"/>
        </w:rPr>
        <w:t>Այս խմբի պե</w:t>
      </w:r>
      <w:r w:rsidRPr="007955BB">
        <w:rPr>
          <w:rFonts w:eastAsia="Calibri"/>
          <w:b w:val="0"/>
          <w:szCs w:val="22"/>
          <w:lang w:val="hy-AM" w:eastAsia="en-US"/>
        </w:rPr>
        <w:softHyphen/>
        <w:t>տա</w:t>
      </w:r>
      <w:r w:rsidRPr="007955BB">
        <w:rPr>
          <w:rFonts w:eastAsia="Calibri"/>
          <w:b w:val="0"/>
          <w:szCs w:val="22"/>
          <w:lang w:val="hy-AM" w:eastAsia="en-US"/>
        </w:rPr>
        <w:softHyphen/>
        <w:t>կան տուրքերի 202</w:t>
      </w:r>
      <w:r w:rsidRPr="007955BB">
        <w:rPr>
          <w:rFonts w:eastAsia="Calibri"/>
          <w:b w:val="0"/>
          <w:szCs w:val="22"/>
          <w:lang w:val="af-ZA" w:eastAsia="en-US"/>
        </w:rPr>
        <w:t>3</w:t>
      </w:r>
      <w:r w:rsidRPr="007955BB">
        <w:rPr>
          <w:rFonts w:eastAsia="Calibri"/>
          <w:b w:val="0"/>
          <w:szCs w:val="22"/>
          <w:lang w:val="hy-AM" w:eastAsia="en-US"/>
        </w:rPr>
        <w:t xml:space="preserve"> թվականի մուտքերի գերակշիռ մասը` 1</w:t>
      </w:r>
      <w:r w:rsidRPr="007955BB">
        <w:rPr>
          <w:rFonts w:eastAsia="Calibri"/>
          <w:b w:val="0"/>
          <w:szCs w:val="22"/>
          <w:lang w:val="af-ZA" w:eastAsia="en-US"/>
        </w:rPr>
        <w:t>8,898.4</w:t>
      </w:r>
      <w:r w:rsidRPr="007955BB">
        <w:rPr>
          <w:rFonts w:eastAsia="Calibri"/>
          <w:b w:val="0"/>
          <w:szCs w:val="22"/>
          <w:lang w:val="hy-AM" w:eastAsia="en-US"/>
        </w:rPr>
        <w:t xml:space="preserve"> մլն դրամը կամ </w:t>
      </w:r>
      <w:r w:rsidRPr="007955BB">
        <w:rPr>
          <w:rFonts w:eastAsia="Calibri"/>
          <w:b w:val="0"/>
          <w:szCs w:val="22"/>
          <w:lang w:val="af-ZA" w:eastAsia="en-US"/>
        </w:rPr>
        <w:t xml:space="preserve">95.2 </w:t>
      </w:r>
      <w:r w:rsidRPr="007955BB">
        <w:rPr>
          <w:rFonts w:eastAsia="Calibri"/>
          <w:b w:val="0"/>
          <w:szCs w:val="22"/>
          <w:lang w:val="hy-AM" w:eastAsia="en-US"/>
        </w:rPr>
        <w:t xml:space="preserve">%-ը նախատեսվում է գանձել </w:t>
      </w:r>
      <w:r w:rsidRPr="007955BB">
        <w:rPr>
          <w:rFonts w:eastAsia="Calibri" w:cs="GHEA Grapalat"/>
          <w:b w:val="0"/>
          <w:szCs w:val="22"/>
          <w:lang w:val="hy-AM" w:eastAsia="en-US"/>
        </w:rPr>
        <w:t xml:space="preserve">վիճակախաղերի, շահումներով խաղերի, բանկային և ֆինանսավարկային կազմակերպությունների, </w:t>
      </w:r>
      <w:r w:rsidRPr="007955BB">
        <w:rPr>
          <w:rFonts w:eastAsia="Calibri"/>
          <w:b w:val="0"/>
          <w:szCs w:val="22"/>
          <w:lang w:val="hy-AM" w:eastAsia="en-US"/>
        </w:rPr>
        <w:t>պետական սեփակա</w:t>
      </w:r>
      <w:r w:rsidRPr="007955BB">
        <w:rPr>
          <w:rFonts w:eastAsia="Calibri"/>
          <w:b w:val="0"/>
          <w:szCs w:val="22"/>
          <w:lang w:val="hy-AM" w:eastAsia="en-US"/>
        </w:rPr>
        <w:softHyphen/>
        <w:t>նություն հանդիսացող ընդերքի և բնական ռեսուրս</w:t>
      </w:r>
      <w:r w:rsidRPr="007955BB">
        <w:rPr>
          <w:rFonts w:eastAsia="Calibri"/>
          <w:b w:val="0"/>
          <w:szCs w:val="22"/>
          <w:lang w:val="hy-AM" w:eastAsia="en-US"/>
        </w:rPr>
        <w:softHyphen/>
      </w:r>
      <w:r w:rsidRPr="007955BB">
        <w:rPr>
          <w:rFonts w:eastAsia="Calibri"/>
          <w:b w:val="0"/>
          <w:szCs w:val="22"/>
          <w:lang w:val="hy-AM" w:eastAsia="en-US"/>
        </w:rPr>
        <w:softHyphen/>
        <w:t>նե</w:t>
      </w:r>
      <w:r w:rsidRPr="007955BB">
        <w:rPr>
          <w:rFonts w:eastAsia="Calibri"/>
          <w:b w:val="0"/>
          <w:szCs w:val="22"/>
          <w:lang w:val="hy-AM" w:eastAsia="en-US"/>
        </w:rPr>
        <w:softHyphen/>
        <w:t xml:space="preserve">րի, ինչպես նաև </w:t>
      </w:r>
      <w:r w:rsidRPr="007955BB">
        <w:rPr>
          <w:rFonts w:eastAsia="Calibri"/>
          <w:b w:val="0"/>
          <w:szCs w:val="22"/>
          <w:lang w:val="en-US" w:eastAsia="en-US"/>
        </w:rPr>
        <w:t>բանկային</w:t>
      </w:r>
      <w:r w:rsidRPr="007955BB">
        <w:rPr>
          <w:rFonts w:eastAsia="Calibri"/>
          <w:b w:val="0"/>
          <w:szCs w:val="22"/>
          <w:lang w:val="af-ZA" w:eastAsia="en-US"/>
        </w:rPr>
        <w:t xml:space="preserve">, </w:t>
      </w:r>
      <w:r w:rsidRPr="007955BB">
        <w:rPr>
          <w:rFonts w:eastAsia="Calibri"/>
          <w:b w:val="0"/>
          <w:szCs w:val="22"/>
          <w:lang w:val="en-US" w:eastAsia="en-US"/>
        </w:rPr>
        <w:t>մաքսային</w:t>
      </w:r>
      <w:r w:rsidRPr="007955BB">
        <w:rPr>
          <w:rFonts w:eastAsia="Calibri"/>
          <w:b w:val="0"/>
          <w:szCs w:val="22"/>
          <w:lang w:val="af-ZA" w:eastAsia="en-US"/>
        </w:rPr>
        <w:t xml:space="preserve">, </w:t>
      </w:r>
      <w:r w:rsidRPr="007955BB">
        <w:rPr>
          <w:rFonts w:eastAsia="Calibri"/>
          <w:b w:val="0"/>
          <w:szCs w:val="22"/>
          <w:lang w:val="en-US" w:eastAsia="en-US"/>
        </w:rPr>
        <w:t>տրանսպորտի</w:t>
      </w:r>
      <w:r w:rsidRPr="007955BB">
        <w:rPr>
          <w:rFonts w:eastAsia="Calibri"/>
          <w:b w:val="0"/>
          <w:szCs w:val="22"/>
          <w:lang w:val="af-ZA" w:eastAsia="en-US"/>
        </w:rPr>
        <w:t xml:space="preserve"> </w:t>
      </w:r>
      <w:r w:rsidRPr="007955BB">
        <w:rPr>
          <w:rFonts w:eastAsia="Calibri"/>
          <w:b w:val="0"/>
          <w:szCs w:val="22"/>
          <w:lang w:val="en-US" w:eastAsia="en-US"/>
        </w:rPr>
        <w:t>և</w:t>
      </w:r>
      <w:r w:rsidRPr="007955BB">
        <w:rPr>
          <w:rFonts w:eastAsia="Calibri"/>
          <w:b w:val="0"/>
          <w:szCs w:val="22"/>
          <w:lang w:val="af-ZA" w:eastAsia="en-US"/>
        </w:rPr>
        <w:t xml:space="preserve"> </w:t>
      </w:r>
      <w:r w:rsidRPr="007955BB">
        <w:rPr>
          <w:rFonts w:eastAsia="Calibri"/>
          <w:b w:val="0"/>
          <w:szCs w:val="22"/>
          <w:lang w:val="hy-AM" w:eastAsia="en-US"/>
        </w:rPr>
        <w:t>քաղա</w:t>
      </w:r>
      <w:r w:rsidRPr="007955BB">
        <w:rPr>
          <w:rFonts w:eastAsia="Calibri"/>
          <w:b w:val="0"/>
          <w:szCs w:val="22"/>
          <w:lang w:val="hy-AM" w:eastAsia="en-US"/>
        </w:rPr>
        <w:softHyphen/>
        <w:t>քա</w:t>
      </w:r>
      <w:r w:rsidRPr="007955BB">
        <w:rPr>
          <w:rFonts w:eastAsia="Calibri"/>
          <w:b w:val="0"/>
          <w:szCs w:val="22"/>
          <w:lang w:val="hy-AM" w:eastAsia="en-US"/>
        </w:rPr>
        <w:softHyphen/>
        <w:t>շինության բնագավառ</w:t>
      </w:r>
      <w:r w:rsidRPr="007955BB">
        <w:rPr>
          <w:rFonts w:eastAsia="Calibri"/>
          <w:b w:val="0"/>
          <w:szCs w:val="22"/>
          <w:lang w:val="hy-AM" w:eastAsia="en-US"/>
        </w:rPr>
        <w:softHyphen/>
        <w:t>ներում լիցեն</w:t>
      </w:r>
      <w:r w:rsidRPr="007955BB">
        <w:rPr>
          <w:rFonts w:eastAsia="Calibri"/>
          <w:b w:val="0"/>
          <w:szCs w:val="22"/>
          <w:lang w:val="hy-AM" w:eastAsia="en-US"/>
        </w:rPr>
        <w:softHyphen/>
        <w:t>զավոր</w:t>
      </w:r>
      <w:r w:rsidRPr="007955BB">
        <w:rPr>
          <w:rFonts w:eastAsia="Calibri"/>
          <w:b w:val="0"/>
          <w:szCs w:val="22"/>
          <w:lang w:val="hy-AM" w:eastAsia="en-US"/>
        </w:rPr>
        <w:softHyphen/>
        <w:t>ման ենթակա գործունեություն իրա</w:t>
      </w:r>
      <w:r w:rsidRPr="007955BB">
        <w:rPr>
          <w:rFonts w:eastAsia="Calibri"/>
          <w:b w:val="0"/>
          <w:szCs w:val="22"/>
          <w:lang w:val="hy-AM" w:eastAsia="en-US"/>
        </w:rPr>
        <w:softHyphen/>
        <w:t>կա</w:t>
      </w:r>
      <w:r w:rsidRPr="007955BB">
        <w:rPr>
          <w:rFonts w:eastAsia="Calibri"/>
          <w:b w:val="0"/>
          <w:szCs w:val="22"/>
          <w:lang w:val="hy-AM" w:eastAsia="en-US"/>
        </w:rPr>
        <w:softHyphen/>
        <w:t>նացնելու համար վճարվելիք պետական տուր</w:t>
      </w:r>
      <w:r w:rsidRPr="007955BB">
        <w:rPr>
          <w:rFonts w:eastAsia="Calibri"/>
          <w:b w:val="0"/>
          <w:szCs w:val="22"/>
          <w:lang w:val="hy-AM" w:eastAsia="en-US"/>
        </w:rPr>
        <w:softHyphen/>
        <w:t>քե</w:t>
      </w:r>
      <w:r w:rsidRPr="007955BB">
        <w:rPr>
          <w:rFonts w:eastAsia="Calibri"/>
          <w:b w:val="0"/>
          <w:szCs w:val="22"/>
          <w:lang w:val="hy-AM" w:eastAsia="en-US"/>
        </w:rPr>
        <w:softHyphen/>
        <w:t xml:space="preserve">րի հաշվին: </w:t>
      </w:r>
      <w:r w:rsidRPr="007955BB">
        <w:rPr>
          <w:rFonts w:eastAsia="Calibri" w:cs="GHEA Grapalat"/>
          <w:b w:val="0"/>
          <w:szCs w:val="22"/>
          <w:lang w:val="hy-AM" w:eastAsia="en-US"/>
        </w:rPr>
        <w:t>Լիցենզավորման ենթա</w:t>
      </w:r>
      <w:r w:rsidRPr="007955BB">
        <w:rPr>
          <w:rFonts w:eastAsia="Calibri" w:cs="GHEA Grapalat"/>
          <w:b w:val="0"/>
          <w:szCs w:val="22"/>
          <w:lang w:val="af-ZA" w:eastAsia="en-US"/>
        </w:rPr>
        <w:softHyphen/>
      </w:r>
      <w:r w:rsidRPr="007955BB">
        <w:rPr>
          <w:rFonts w:eastAsia="Calibri" w:cs="GHEA Grapalat"/>
          <w:b w:val="0"/>
          <w:szCs w:val="22"/>
          <w:lang w:val="hy-AM" w:eastAsia="en-US"/>
        </w:rPr>
        <w:t>կա գործունեություն իրականացնելու համար գանձվող պե</w:t>
      </w:r>
      <w:r w:rsidRPr="007955BB">
        <w:rPr>
          <w:rFonts w:eastAsia="Calibri" w:cs="GHEA Grapalat"/>
          <w:b w:val="0"/>
          <w:szCs w:val="22"/>
          <w:lang w:val="hy-AM" w:eastAsia="en-US"/>
        </w:rPr>
        <w:softHyphen/>
      </w:r>
      <w:r w:rsidRPr="007955BB">
        <w:rPr>
          <w:rFonts w:eastAsia="Calibri" w:cs="GHEA Grapalat"/>
          <w:b w:val="0"/>
          <w:szCs w:val="22"/>
          <w:lang w:val="hy-AM" w:eastAsia="en-US"/>
        </w:rPr>
        <w:softHyphen/>
        <w:t>տա</w:t>
      </w:r>
      <w:r w:rsidRPr="007955BB">
        <w:rPr>
          <w:rFonts w:eastAsia="Calibri" w:cs="GHEA Grapalat"/>
          <w:b w:val="0"/>
          <w:szCs w:val="22"/>
          <w:lang w:val="hy-AM" w:eastAsia="en-US"/>
        </w:rPr>
        <w:softHyphen/>
      </w:r>
      <w:r w:rsidRPr="007955BB">
        <w:rPr>
          <w:rFonts w:eastAsia="Calibri" w:cs="GHEA Grapalat"/>
          <w:b w:val="0"/>
          <w:szCs w:val="22"/>
          <w:lang w:val="hy-AM" w:eastAsia="en-US"/>
        </w:rPr>
        <w:softHyphen/>
        <w:t>կան տուրքերի գծով կանխատեսումներն իրականացվել են` ել</w:t>
      </w:r>
      <w:r w:rsidRPr="007955BB">
        <w:rPr>
          <w:rFonts w:eastAsia="Calibri" w:cs="GHEA Grapalat"/>
          <w:b w:val="0"/>
          <w:szCs w:val="22"/>
          <w:lang w:val="hy-AM" w:eastAsia="en-US"/>
        </w:rPr>
        <w:softHyphen/>
        <w:t>նե</w:t>
      </w:r>
      <w:r w:rsidRPr="007955BB">
        <w:rPr>
          <w:rFonts w:eastAsia="Calibri" w:cs="GHEA Grapalat"/>
          <w:b w:val="0"/>
          <w:szCs w:val="22"/>
          <w:lang w:val="hy-AM" w:eastAsia="en-US"/>
        </w:rPr>
        <w:softHyphen/>
        <w:t>լով օրենքով նա</w:t>
      </w:r>
      <w:r w:rsidRPr="007955BB">
        <w:rPr>
          <w:rFonts w:eastAsia="Calibri" w:cs="GHEA Grapalat"/>
          <w:b w:val="0"/>
          <w:szCs w:val="22"/>
          <w:lang w:val="hy-AM" w:eastAsia="en-US"/>
        </w:rPr>
        <w:softHyphen/>
        <w:t>խա</w:t>
      </w:r>
      <w:r w:rsidRPr="007955BB">
        <w:rPr>
          <w:rFonts w:eastAsia="Calibri" w:cs="GHEA Grapalat"/>
          <w:b w:val="0"/>
          <w:szCs w:val="22"/>
          <w:lang w:val="hy-AM" w:eastAsia="en-US"/>
        </w:rPr>
        <w:softHyphen/>
        <w:t>տես</w:t>
      </w:r>
      <w:r w:rsidRPr="007955BB">
        <w:rPr>
          <w:rFonts w:eastAsia="Calibri" w:cs="GHEA Grapalat"/>
          <w:b w:val="0"/>
          <w:szCs w:val="22"/>
          <w:lang w:val="hy-AM" w:eastAsia="en-US"/>
        </w:rPr>
        <w:softHyphen/>
        <w:t>ված լիցենզավոր</w:t>
      </w:r>
      <w:r w:rsidRPr="007955BB">
        <w:rPr>
          <w:rFonts w:eastAsia="Calibri" w:cs="GHEA Grapalat"/>
          <w:b w:val="0"/>
          <w:szCs w:val="22"/>
          <w:lang w:val="hy-AM" w:eastAsia="en-US"/>
        </w:rPr>
        <w:softHyphen/>
        <w:t>ման են</w:t>
      </w:r>
      <w:r w:rsidRPr="007955BB">
        <w:rPr>
          <w:rFonts w:eastAsia="Calibri" w:cs="GHEA Grapalat"/>
          <w:b w:val="0"/>
          <w:szCs w:val="22"/>
          <w:lang w:val="hy-AM" w:eastAsia="en-US"/>
        </w:rPr>
        <w:softHyphen/>
        <w:t>թա</w:t>
      </w:r>
      <w:r w:rsidRPr="007955BB">
        <w:rPr>
          <w:rFonts w:eastAsia="Calibri" w:cs="GHEA Grapalat"/>
          <w:b w:val="0"/>
          <w:szCs w:val="22"/>
          <w:lang w:val="hy-AM" w:eastAsia="en-US"/>
        </w:rPr>
        <w:softHyphen/>
        <w:t>կա գործունեության տեսակների վերա</w:t>
      </w:r>
      <w:r w:rsidRPr="007955BB">
        <w:rPr>
          <w:rFonts w:eastAsia="Calibri" w:cs="GHEA Grapalat"/>
          <w:b w:val="0"/>
          <w:szCs w:val="22"/>
          <w:lang w:val="hy-AM" w:eastAsia="en-US"/>
        </w:rPr>
        <w:softHyphen/>
        <w:t>բեր</w:t>
      </w:r>
      <w:r w:rsidRPr="007955BB">
        <w:rPr>
          <w:rFonts w:eastAsia="Calibri" w:cs="GHEA Grapalat"/>
          <w:b w:val="0"/>
          <w:szCs w:val="22"/>
          <w:lang w:val="hy-AM" w:eastAsia="en-US"/>
        </w:rPr>
        <w:softHyphen/>
        <w:t>յալ առկա քա</w:t>
      </w:r>
      <w:r w:rsidRPr="007955BB">
        <w:rPr>
          <w:rFonts w:eastAsia="Calibri" w:cs="GHEA Grapalat"/>
          <w:b w:val="0"/>
          <w:szCs w:val="22"/>
          <w:lang w:val="hy-AM" w:eastAsia="en-US"/>
        </w:rPr>
        <w:softHyphen/>
        <w:t>նա</w:t>
      </w:r>
      <w:r w:rsidRPr="007955BB">
        <w:rPr>
          <w:rFonts w:eastAsia="Calibri" w:cs="GHEA Grapalat"/>
          <w:b w:val="0"/>
          <w:szCs w:val="22"/>
          <w:lang w:val="hy-AM" w:eastAsia="en-US"/>
        </w:rPr>
        <w:softHyphen/>
      </w:r>
      <w:r w:rsidRPr="007955BB">
        <w:rPr>
          <w:rFonts w:eastAsia="Calibri" w:cs="GHEA Grapalat"/>
          <w:b w:val="0"/>
          <w:szCs w:val="22"/>
          <w:lang w:val="hy-AM" w:eastAsia="en-US"/>
        </w:rPr>
        <w:softHyphen/>
        <w:t>կական տվյալներից, 20</w:t>
      </w:r>
      <w:r w:rsidRPr="007955BB">
        <w:rPr>
          <w:rFonts w:eastAsia="Calibri" w:cs="GHEA Grapalat"/>
          <w:b w:val="0"/>
          <w:szCs w:val="22"/>
          <w:lang w:val="af-ZA" w:eastAsia="en-US"/>
        </w:rPr>
        <w:t>21</w:t>
      </w:r>
      <w:r w:rsidRPr="007955BB">
        <w:rPr>
          <w:rFonts w:eastAsia="Calibri" w:cs="GHEA Grapalat"/>
          <w:b w:val="0"/>
          <w:szCs w:val="22"/>
          <w:lang w:val="hy-AM" w:eastAsia="en-US"/>
        </w:rPr>
        <w:t xml:space="preserve"> թվա</w:t>
      </w:r>
      <w:r w:rsidRPr="007955BB">
        <w:rPr>
          <w:rFonts w:eastAsia="Calibri" w:cs="GHEA Grapalat"/>
          <w:b w:val="0"/>
          <w:szCs w:val="22"/>
          <w:lang w:val="hy-AM" w:eastAsia="en-US"/>
        </w:rPr>
        <w:softHyphen/>
      </w:r>
      <w:r w:rsidRPr="007955BB">
        <w:rPr>
          <w:rFonts w:eastAsia="Calibri" w:cs="GHEA Grapalat"/>
          <w:b w:val="0"/>
          <w:szCs w:val="22"/>
          <w:lang w:val="hy-AM" w:eastAsia="en-US"/>
        </w:rPr>
        <w:softHyphen/>
        <w:t>կանի փաստացի և 20</w:t>
      </w:r>
      <w:r w:rsidRPr="007955BB">
        <w:rPr>
          <w:rFonts w:eastAsia="Calibri" w:cs="GHEA Grapalat"/>
          <w:b w:val="0"/>
          <w:szCs w:val="22"/>
          <w:lang w:val="af-ZA" w:eastAsia="en-US"/>
        </w:rPr>
        <w:t>22</w:t>
      </w:r>
      <w:r w:rsidRPr="007955BB">
        <w:rPr>
          <w:rFonts w:eastAsia="Calibri" w:cs="GHEA Grapalat"/>
          <w:b w:val="0"/>
          <w:szCs w:val="22"/>
          <w:lang w:val="hy-AM" w:eastAsia="en-US"/>
        </w:rPr>
        <w:t xml:space="preserve"> թվականի սպասողական մուտ</w:t>
      </w:r>
      <w:r w:rsidRPr="007955BB">
        <w:rPr>
          <w:rFonts w:eastAsia="Calibri" w:cs="GHEA Grapalat"/>
          <w:b w:val="0"/>
          <w:szCs w:val="22"/>
          <w:lang w:val="hy-AM" w:eastAsia="en-US"/>
        </w:rPr>
        <w:softHyphen/>
        <w:t>քերից:</w:t>
      </w:r>
    </w:p>
    <w:p w:rsidR="00804A79" w:rsidRPr="007955BB" w:rsidRDefault="00804A79" w:rsidP="00804A79">
      <w:pPr>
        <w:spacing w:before="0" w:line="276" w:lineRule="auto"/>
        <w:ind w:firstLine="538"/>
        <w:rPr>
          <w:rFonts w:eastAsia="Calibri"/>
          <w:b w:val="0"/>
          <w:szCs w:val="22"/>
          <w:lang w:val="hy-AM" w:eastAsia="en-US"/>
        </w:rPr>
      </w:pPr>
      <w:r w:rsidRPr="007955BB">
        <w:rPr>
          <w:rFonts w:eastAsia="Calibri"/>
          <w:szCs w:val="22"/>
          <w:lang w:val="hy-AM" w:eastAsia="en-US"/>
        </w:rPr>
        <w:t>Այլ ծառայությունների կամ գործողությունների համար</w:t>
      </w:r>
      <w:r w:rsidRPr="007955BB">
        <w:rPr>
          <w:rFonts w:eastAsia="Calibri"/>
          <w:b w:val="0"/>
          <w:szCs w:val="22"/>
          <w:lang w:val="hy-AM" w:eastAsia="en-US"/>
        </w:rPr>
        <w:t xml:space="preserve"> գանձվող պետական տուրքերի գծով 2023 թվականի մուտքերը կանխատեսվել են 17,813.4 մլն դրամի չափով` 2022 թվա</w:t>
      </w:r>
      <w:r w:rsidRPr="007955BB">
        <w:rPr>
          <w:rFonts w:eastAsia="Calibri"/>
          <w:b w:val="0"/>
          <w:szCs w:val="22"/>
          <w:lang w:val="hy-AM" w:eastAsia="en-US"/>
        </w:rPr>
        <w:softHyphen/>
      </w:r>
      <w:r w:rsidRPr="007955BB">
        <w:rPr>
          <w:rFonts w:eastAsia="Calibri"/>
          <w:b w:val="0"/>
          <w:szCs w:val="22"/>
          <w:lang w:val="hy-AM" w:eastAsia="en-US"/>
        </w:rPr>
        <w:softHyphen/>
      </w:r>
      <w:r w:rsidRPr="007955BB">
        <w:rPr>
          <w:rFonts w:eastAsia="Calibri"/>
          <w:b w:val="0"/>
          <w:szCs w:val="22"/>
          <w:lang w:val="hy-AM" w:eastAsia="en-US"/>
        </w:rPr>
        <w:softHyphen/>
        <w:t>կանի հա</w:t>
      </w:r>
      <w:r w:rsidRPr="007955BB">
        <w:rPr>
          <w:rFonts w:eastAsia="Calibri"/>
          <w:b w:val="0"/>
          <w:szCs w:val="22"/>
          <w:lang w:val="hy-AM" w:eastAsia="en-US"/>
        </w:rPr>
        <w:softHyphen/>
        <w:t xml:space="preserve">մար հաստատված 13,300.2 մլն դրամի և 2021 թվականի փաստացի ստացված 15,412.5 մլն դրամի դիմաց: </w:t>
      </w:r>
      <w:r w:rsidRPr="007955BB">
        <w:rPr>
          <w:rFonts w:eastAsia="Calibri" w:cs="GHEA Grapalat"/>
          <w:b w:val="0"/>
          <w:szCs w:val="22"/>
          <w:lang w:val="hy-AM" w:eastAsia="en-US"/>
        </w:rPr>
        <w:t>Նշված պետական տուրքերից 2023 թվականի բյուջետային մուտքերի գերակշռող մա</w:t>
      </w:r>
      <w:r w:rsidRPr="007955BB">
        <w:rPr>
          <w:rFonts w:eastAsia="Calibri" w:cs="GHEA Grapalat"/>
          <w:b w:val="0"/>
          <w:szCs w:val="22"/>
          <w:lang w:val="hy-AM" w:eastAsia="en-US"/>
        </w:rPr>
        <w:softHyphen/>
      </w:r>
      <w:r w:rsidRPr="007955BB">
        <w:rPr>
          <w:rFonts w:eastAsia="Calibri" w:cs="GHEA Grapalat"/>
          <w:b w:val="0"/>
          <w:szCs w:val="22"/>
          <w:lang w:val="hy-AM" w:eastAsia="en-US"/>
        </w:rPr>
        <w:softHyphen/>
        <w:t>սը՝ 74.5 %-ը, ապահովվելու է ՀՀ-ից օդային տրանսպորտի միջոցներով ֆիզի</w:t>
      </w:r>
      <w:r w:rsidRPr="007955BB">
        <w:rPr>
          <w:rFonts w:eastAsia="Calibri" w:cs="GHEA Grapalat"/>
          <w:b w:val="0"/>
          <w:szCs w:val="22"/>
          <w:lang w:val="hy-AM" w:eastAsia="en-US"/>
        </w:rPr>
        <w:softHyphen/>
        <w:t>կա</w:t>
      </w:r>
      <w:r w:rsidRPr="007955BB">
        <w:rPr>
          <w:rFonts w:eastAsia="Calibri" w:cs="GHEA Grapalat"/>
          <w:b w:val="0"/>
          <w:szCs w:val="22"/>
          <w:lang w:val="hy-AM" w:eastAsia="en-US"/>
        </w:rPr>
        <w:softHyphen/>
        <w:t>կան անձանց (օդային ուղևոր</w:t>
      </w:r>
      <w:r w:rsidRPr="007955BB">
        <w:rPr>
          <w:rFonts w:eastAsia="Calibri" w:cs="GHEA Grapalat"/>
          <w:b w:val="0"/>
          <w:szCs w:val="22"/>
          <w:lang w:val="hy-AM" w:eastAsia="en-US"/>
        </w:rPr>
        <w:softHyphen/>
        <w:t>նե</w:t>
      </w:r>
      <w:r w:rsidRPr="007955BB">
        <w:rPr>
          <w:rFonts w:eastAsia="Calibri" w:cs="GHEA Grapalat"/>
          <w:b w:val="0"/>
          <w:szCs w:val="22"/>
          <w:lang w:val="hy-AM" w:eastAsia="en-US"/>
        </w:rPr>
        <w:softHyphen/>
        <w:t>րի) ելքի համար գանձվող պետական տուրքի հաշվին:</w:t>
      </w:r>
    </w:p>
    <w:p w:rsidR="00804A79" w:rsidRPr="007955BB" w:rsidRDefault="00804A79" w:rsidP="00804A79">
      <w:pPr>
        <w:tabs>
          <w:tab w:val="left" w:pos="9120"/>
        </w:tabs>
        <w:spacing w:before="0" w:line="276" w:lineRule="auto"/>
        <w:ind w:firstLine="562"/>
        <w:contextualSpacing w:val="0"/>
        <w:rPr>
          <w:rFonts w:cs="Sylfaen"/>
          <w:b w:val="0"/>
          <w:iCs/>
          <w:szCs w:val="22"/>
          <w:lang w:val="af-ZA" w:eastAsia="en-GB"/>
        </w:rPr>
      </w:pPr>
      <w:r w:rsidRPr="007955BB">
        <w:rPr>
          <w:rFonts w:eastAsia="Calibri"/>
          <w:b w:val="0"/>
          <w:szCs w:val="22"/>
          <w:lang w:val="hy-AM" w:eastAsia="en-US"/>
        </w:rPr>
        <w:t xml:space="preserve"> ՀՀ-ից օդային տրանսպորտի միջոցներով ֆիզիկական անձանց (օդային ուղևոր</w:t>
      </w:r>
      <w:r w:rsidRPr="007955BB">
        <w:rPr>
          <w:rFonts w:eastAsia="Calibri"/>
          <w:b w:val="0"/>
          <w:szCs w:val="22"/>
          <w:lang w:val="hy-AM" w:eastAsia="en-US"/>
        </w:rPr>
        <w:softHyphen/>
        <w:t>նե</w:t>
      </w:r>
      <w:r w:rsidRPr="007955BB">
        <w:rPr>
          <w:rFonts w:eastAsia="Calibri"/>
          <w:b w:val="0"/>
          <w:szCs w:val="22"/>
          <w:lang w:val="hy-AM" w:eastAsia="en-US"/>
        </w:rPr>
        <w:softHyphen/>
        <w:t>րի) ելքի համար</w:t>
      </w:r>
      <w:r w:rsidRPr="007955BB">
        <w:rPr>
          <w:rFonts w:eastAsia="Calibri"/>
          <w:szCs w:val="22"/>
          <w:lang w:val="hy-AM" w:eastAsia="en-US"/>
        </w:rPr>
        <w:t xml:space="preserve"> </w:t>
      </w:r>
      <w:r w:rsidRPr="007955BB">
        <w:rPr>
          <w:rFonts w:eastAsia="Calibri"/>
          <w:b w:val="0"/>
          <w:szCs w:val="22"/>
          <w:lang w:val="hy-AM" w:eastAsia="en-US"/>
        </w:rPr>
        <w:t>գանձ</w:t>
      </w:r>
      <w:r w:rsidRPr="007955BB">
        <w:rPr>
          <w:rFonts w:eastAsia="Calibri"/>
          <w:b w:val="0"/>
          <w:szCs w:val="22"/>
          <w:lang w:val="hy-AM" w:eastAsia="en-US"/>
        </w:rPr>
        <w:softHyphen/>
        <w:t>վող պետական տուրքի գծով 2023 թվականի մուտքերը կան</w:t>
      </w:r>
      <w:r w:rsidRPr="007955BB">
        <w:rPr>
          <w:rFonts w:eastAsia="Calibri"/>
          <w:b w:val="0"/>
          <w:szCs w:val="22"/>
          <w:lang w:val="hy-AM" w:eastAsia="en-US"/>
        </w:rPr>
        <w:softHyphen/>
        <w:t xml:space="preserve">խատեսվել են 13,266.3 մլն դրամի չափով՝ 2022 թվականի սպասողական 8,179.9 մլն դրամ մուտքերի նկատմամբ կիրառելով </w:t>
      </w:r>
      <w:r w:rsidRPr="007955BB">
        <w:rPr>
          <w:rFonts w:eastAsia="Calibri" w:cs="GHEA Grapalat"/>
          <w:b w:val="0"/>
          <w:szCs w:val="22"/>
          <w:lang w:val="hy-AM" w:eastAsia="en-US"/>
        </w:rPr>
        <w:t>փորձագիտական գնահատականով ներկայացված աճի տեմպը: 2022 թվականի սպասողական ցուցանիշը կանխատեսվել է փաստացի ընթացիկ մուտքերի միջինացված ցուցանիշի հիման վրա:</w:t>
      </w:r>
    </w:p>
    <w:p w:rsidR="00804A79" w:rsidRPr="007955BB" w:rsidRDefault="00804A79" w:rsidP="00804A79">
      <w:pPr>
        <w:rPr>
          <w:lang w:val="af-ZA"/>
        </w:rPr>
      </w:pPr>
    </w:p>
    <w:p w:rsidR="0081332F" w:rsidRPr="007955BB" w:rsidRDefault="0081332F" w:rsidP="0081332F">
      <w:pPr>
        <w:tabs>
          <w:tab w:val="left" w:pos="9120"/>
        </w:tabs>
        <w:spacing w:before="0" w:line="276" w:lineRule="auto"/>
        <w:ind w:firstLine="562"/>
        <w:contextualSpacing w:val="0"/>
        <w:rPr>
          <w:rFonts w:eastAsia="Calibri" w:cs="GHEA Grapalat"/>
          <w:bCs/>
          <w:szCs w:val="22"/>
          <w:lang w:val="hy-AM" w:eastAsia="en-US"/>
        </w:rPr>
      </w:pPr>
      <w:r w:rsidRPr="007955BB">
        <w:rPr>
          <w:rFonts w:eastAsia="Calibri" w:cs="GHEA Grapalat"/>
          <w:bCs/>
          <w:szCs w:val="22"/>
          <w:lang w:val="hy-AM" w:eastAsia="en-US"/>
        </w:rPr>
        <w:t>Պաշտոնական դրամաշնորհներ</w:t>
      </w:r>
    </w:p>
    <w:p w:rsidR="0081332F" w:rsidRPr="007955BB" w:rsidRDefault="0081332F" w:rsidP="0081332F">
      <w:pPr>
        <w:tabs>
          <w:tab w:val="left" w:pos="9120"/>
        </w:tabs>
        <w:spacing w:before="0" w:line="276" w:lineRule="auto"/>
        <w:ind w:firstLine="562"/>
        <w:contextualSpacing w:val="0"/>
        <w:rPr>
          <w:rFonts w:cs="Sylfaen"/>
          <w:b w:val="0"/>
          <w:iCs/>
          <w:szCs w:val="22"/>
          <w:lang w:val="af-ZA" w:eastAsia="en-GB"/>
        </w:rPr>
      </w:pPr>
      <w:r w:rsidRPr="007955BB">
        <w:rPr>
          <w:rFonts w:eastAsia="Calibri"/>
          <w:b w:val="0"/>
          <w:szCs w:val="22"/>
          <w:lang w:val="hy-AM" w:eastAsia="en-US"/>
        </w:rPr>
        <w:t xml:space="preserve">Պաշտոնական դրամաշնորհները 2023 </w:t>
      </w:r>
      <w:r w:rsidRPr="007955BB">
        <w:rPr>
          <w:rFonts w:cs="Sylfaen"/>
          <w:b w:val="0"/>
          <w:iCs/>
          <w:szCs w:val="22"/>
          <w:lang w:val="af-ZA" w:eastAsia="en-GB"/>
        </w:rPr>
        <w:t>թվականի համար ծրագրվել են` հաշվի առ</w:t>
      </w:r>
      <w:r w:rsidRPr="007955BB">
        <w:rPr>
          <w:rFonts w:cs="Sylfaen"/>
          <w:b w:val="0"/>
          <w:iCs/>
          <w:szCs w:val="22"/>
          <w:lang w:val="af-ZA" w:eastAsia="en-GB"/>
        </w:rPr>
        <w:softHyphen/>
        <w:t>նե</w:t>
      </w:r>
      <w:r w:rsidRPr="007955BB">
        <w:rPr>
          <w:rFonts w:cs="Sylfaen"/>
          <w:b w:val="0"/>
          <w:iCs/>
          <w:szCs w:val="22"/>
          <w:lang w:val="af-ZA" w:eastAsia="en-GB"/>
        </w:rPr>
        <w:softHyphen/>
      </w:r>
      <w:r w:rsidRPr="007955BB">
        <w:rPr>
          <w:rFonts w:cs="Sylfaen"/>
          <w:b w:val="0"/>
          <w:iCs/>
          <w:szCs w:val="22"/>
          <w:lang w:val="af-ZA" w:eastAsia="en-GB"/>
        </w:rPr>
        <w:softHyphen/>
        <w:t>լով առկա պայմանագրերը, դո</w:t>
      </w:r>
      <w:r w:rsidRPr="007955BB">
        <w:rPr>
          <w:rFonts w:cs="Sylfaen"/>
          <w:b w:val="0"/>
          <w:iCs/>
          <w:szCs w:val="22"/>
          <w:lang w:val="af-ZA" w:eastAsia="en-GB"/>
        </w:rPr>
        <w:softHyphen/>
        <w:t>նոր</w:t>
      </w:r>
      <w:r w:rsidRPr="007955BB">
        <w:rPr>
          <w:rFonts w:cs="Sylfaen"/>
          <w:b w:val="0"/>
          <w:iCs/>
          <w:szCs w:val="22"/>
          <w:lang w:val="af-ZA" w:eastAsia="en-GB"/>
        </w:rPr>
        <w:softHyphen/>
        <w:t>նե</w:t>
      </w:r>
      <w:r w:rsidRPr="007955BB">
        <w:rPr>
          <w:rFonts w:cs="Sylfaen"/>
          <w:b w:val="0"/>
          <w:iCs/>
          <w:szCs w:val="22"/>
          <w:lang w:val="af-ZA" w:eastAsia="en-GB"/>
        </w:rPr>
        <w:softHyphen/>
        <w:t>րի հետ ձեռքբերված նախնական համաձայնությունները և Եվրամիությունից ակնկալվող դրամաշնորհների դեպքում` սպա</w:t>
      </w:r>
      <w:r w:rsidRPr="007955BB">
        <w:rPr>
          <w:rFonts w:cs="Sylfaen"/>
          <w:b w:val="0"/>
          <w:iCs/>
          <w:szCs w:val="22"/>
          <w:lang w:val="af-ZA" w:eastAsia="en-GB"/>
        </w:rPr>
        <w:softHyphen/>
        <w:t>սում</w:t>
      </w:r>
      <w:r w:rsidRPr="007955BB">
        <w:rPr>
          <w:rFonts w:cs="Sylfaen"/>
          <w:b w:val="0"/>
          <w:iCs/>
          <w:szCs w:val="22"/>
          <w:lang w:val="af-ZA" w:eastAsia="en-GB"/>
        </w:rPr>
        <w:softHyphen/>
      </w:r>
      <w:r w:rsidRPr="007955BB">
        <w:rPr>
          <w:rFonts w:cs="Sylfaen"/>
          <w:b w:val="0"/>
          <w:iCs/>
          <w:szCs w:val="22"/>
          <w:lang w:val="af-ZA" w:eastAsia="en-GB"/>
        </w:rPr>
        <w:softHyphen/>
        <w:t>նե</w:t>
      </w:r>
      <w:r w:rsidRPr="007955BB">
        <w:rPr>
          <w:rFonts w:cs="Sylfaen"/>
          <w:b w:val="0"/>
          <w:iCs/>
          <w:szCs w:val="22"/>
          <w:lang w:val="af-ZA" w:eastAsia="en-GB"/>
        </w:rPr>
        <w:softHyphen/>
        <w:t>րը:</w:t>
      </w:r>
    </w:p>
    <w:p w:rsidR="0081332F" w:rsidRPr="007955BB" w:rsidRDefault="0081332F" w:rsidP="0081332F">
      <w:pPr>
        <w:keepNext/>
        <w:spacing w:after="200"/>
        <w:rPr>
          <w:bCs/>
          <w:i/>
          <w:color w:val="4472C4"/>
          <w:sz w:val="20"/>
          <w:szCs w:val="20"/>
          <w:lang w:val="hy-AM"/>
        </w:rPr>
      </w:pPr>
      <w:bookmarkStart w:id="261" w:name="_Toc120805266"/>
      <w:r w:rsidRPr="007955BB">
        <w:rPr>
          <w:b w:val="0"/>
          <w:bCs/>
          <w:color w:val="4472C4"/>
          <w:sz w:val="18"/>
          <w:szCs w:val="18"/>
        </w:rPr>
        <w:t>Աղյուսակ</w:t>
      </w:r>
      <w:r w:rsidRPr="007955BB">
        <w:rPr>
          <w:b w:val="0"/>
          <w:bCs/>
          <w:color w:val="4472C4"/>
          <w:sz w:val="18"/>
          <w:szCs w:val="18"/>
          <w:lang w:val="af-ZA"/>
        </w:rPr>
        <w:t xml:space="preserve"> </w:t>
      </w:r>
      <w:r w:rsidRPr="007955BB">
        <w:rPr>
          <w:b w:val="0"/>
          <w:bCs/>
          <w:color w:val="4472C4"/>
          <w:sz w:val="18"/>
          <w:szCs w:val="18"/>
        </w:rPr>
        <w:fldChar w:fldCharType="begin"/>
      </w:r>
      <w:r w:rsidRPr="007955BB">
        <w:rPr>
          <w:b w:val="0"/>
          <w:bCs/>
          <w:color w:val="4472C4"/>
          <w:sz w:val="18"/>
          <w:szCs w:val="18"/>
          <w:lang w:val="af-ZA"/>
        </w:rPr>
        <w:instrText xml:space="preserve"> SEQ </w:instrText>
      </w:r>
      <w:r w:rsidRPr="007955BB">
        <w:rPr>
          <w:b w:val="0"/>
          <w:bCs/>
          <w:color w:val="4472C4"/>
          <w:sz w:val="18"/>
          <w:szCs w:val="18"/>
        </w:rPr>
        <w:instrText>Աղյուսակ</w:instrText>
      </w:r>
      <w:r w:rsidRPr="007955BB">
        <w:rPr>
          <w:b w:val="0"/>
          <w:bCs/>
          <w:color w:val="4472C4"/>
          <w:sz w:val="18"/>
          <w:szCs w:val="18"/>
          <w:lang w:val="af-ZA"/>
        </w:rPr>
        <w:instrText xml:space="preserve"> \* ARABIC </w:instrText>
      </w:r>
      <w:r w:rsidRPr="007955BB">
        <w:rPr>
          <w:b w:val="0"/>
          <w:bCs/>
          <w:color w:val="4472C4"/>
          <w:sz w:val="18"/>
          <w:szCs w:val="18"/>
        </w:rPr>
        <w:fldChar w:fldCharType="separate"/>
      </w:r>
      <w:r w:rsidR="008177DF">
        <w:rPr>
          <w:b w:val="0"/>
          <w:bCs/>
          <w:noProof/>
          <w:color w:val="4472C4"/>
          <w:sz w:val="18"/>
          <w:szCs w:val="18"/>
          <w:lang w:val="af-ZA"/>
        </w:rPr>
        <w:t>7</w:t>
      </w:r>
      <w:r w:rsidRPr="007955BB">
        <w:rPr>
          <w:b w:val="0"/>
          <w:bCs/>
          <w:color w:val="4472C4"/>
          <w:sz w:val="18"/>
          <w:szCs w:val="18"/>
        </w:rPr>
        <w:fldChar w:fldCharType="end"/>
      </w:r>
      <w:r w:rsidRPr="007955BB">
        <w:rPr>
          <w:b w:val="0"/>
          <w:bCs/>
          <w:color w:val="4472C4"/>
          <w:sz w:val="18"/>
          <w:szCs w:val="18"/>
          <w:lang w:val="af-ZA"/>
        </w:rPr>
        <w:t xml:space="preserve">. </w:t>
      </w:r>
      <w:r w:rsidRPr="007955BB">
        <w:rPr>
          <w:bCs/>
          <w:i/>
          <w:color w:val="4472C4"/>
          <w:sz w:val="20"/>
          <w:szCs w:val="20"/>
          <w:lang w:val="hy-AM"/>
        </w:rPr>
        <w:t>2019-2023թթ փաստացի/կանխատեսումային պաշտոնական դրամաշնորհները (մլրդ դրամ</w:t>
      </w:r>
      <w:r w:rsidRPr="007955BB">
        <w:rPr>
          <w:bCs/>
          <w:i/>
          <w:color w:val="4472C4"/>
          <w:sz w:val="20"/>
          <w:szCs w:val="20"/>
          <w:lang w:val="hy-AM"/>
        </w:rPr>
        <w:softHyphen/>
        <w:t>նե</w:t>
      </w:r>
      <w:r w:rsidRPr="007955BB">
        <w:rPr>
          <w:bCs/>
          <w:i/>
          <w:color w:val="4472C4"/>
          <w:sz w:val="20"/>
          <w:szCs w:val="20"/>
          <w:lang w:val="hy-AM"/>
        </w:rPr>
        <w:softHyphen/>
        <w:t>րով)</w:t>
      </w:r>
      <w:bookmarkEnd w:id="261"/>
    </w:p>
    <w:tbl>
      <w:tblPr>
        <w:tblW w:w="951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1260"/>
        <w:gridCol w:w="1170"/>
        <w:gridCol w:w="1170"/>
        <w:gridCol w:w="1170"/>
        <w:gridCol w:w="1170"/>
      </w:tblGrid>
      <w:tr w:rsidR="009D594A" w:rsidRPr="007955BB" w:rsidTr="001D5BCC">
        <w:trPr>
          <w:trHeight w:val="690"/>
        </w:trPr>
        <w:tc>
          <w:tcPr>
            <w:tcW w:w="3572" w:type="dxa"/>
            <w:shd w:val="clear" w:color="auto" w:fill="4472C4"/>
            <w:noWrap/>
            <w:vAlign w:val="center"/>
            <w:hideMark/>
          </w:tcPr>
          <w:p w:rsidR="009D594A" w:rsidRPr="007955BB" w:rsidRDefault="009D594A" w:rsidP="009D594A">
            <w:pPr>
              <w:spacing w:before="0" w:line="240" w:lineRule="auto"/>
              <w:ind w:firstLine="0"/>
              <w:contextualSpacing w:val="0"/>
              <w:jc w:val="center"/>
              <w:rPr>
                <w:rFonts w:cs="Calibri"/>
                <w:bCs/>
                <w:color w:val="FFFFFF"/>
                <w:szCs w:val="22"/>
                <w:lang w:val="en-US" w:eastAsia="en-US"/>
              </w:rPr>
            </w:pPr>
            <w:r w:rsidRPr="007955BB">
              <w:rPr>
                <w:rFonts w:cs="Calibri"/>
                <w:bCs/>
                <w:color w:val="FFFFFF"/>
                <w:szCs w:val="22"/>
                <w:lang w:val="en-US" w:eastAsia="en-US"/>
              </w:rPr>
              <w:t>Պաշտոնական դրամաշնորհներ</w:t>
            </w:r>
          </w:p>
        </w:tc>
        <w:tc>
          <w:tcPr>
            <w:tcW w:w="1260" w:type="dxa"/>
            <w:shd w:val="clear" w:color="auto" w:fill="4472C4"/>
            <w:vAlign w:val="center"/>
            <w:hideMark/>
          </w:tcPr>
          <w:p w:rsidR="009D594A" w:rsidRPr="007955BB" w:rsidRDefault="009D594A" w:rsidP="009D594A">
            <w:pPr>
              <w:spacing w:before="0" w:line="240" w:lineRule="auto"/>
              <w:ind w:firstLine="0"/>
              <w:contextualSpacing w:val="0"/>
              <w:jc w:val="center"/>
              <w:rPr>
                <w:rFonts w:cs="Calibri"/>
                <w:color w:val="FFFFFF"/>
                <w:szCs w:val="22"/>
                <w:lang w:val="en-US" w:eastAsia="en-US"/>
              </w:rPr>
            </w:pPr>
            <w:r w:rsidRPr="007955BB">
              <w:rPr>
                <w:rFonts w:cs="Calibri"/>
                <w:color w:val="FFFFFF"/>
                <w:szCs w:val="22"/>
                <w:lang w:val="en-US" w:eastAsia="en-US"/>
              </w:rPr>
              <w:t xml:space="preserve">2019թ </w:t>
            </w:r>
            <w:r w:rsidRPr="007955BB">
              <w:rPr>
                <w:rFonts w:cs="Calibri"/>
                <w:color w:val="FFFFFF"/>
                <w:szCs w:val="22"/>
                <w:lang w:val="en-US" w:eastAsia="en-US"/>
              </w:rPr>
              <w:br/>
              <w:t>փաստ</w:t>
            </w:r>
          </w:p>
        </w:tc>
        <w:tc>
          <w:tcPr>
            <w:tcW w:w="1170" w:type="dxa"/>
            <w:shd w:val="clear" w:color="auto" w:fill="4472C4"/>
            <w:vAlign w:val="center"/>
            <w:hideMark/>
          </w:tcPr>
          <w:p w:rsidR="009D594A" w:rsidRPr="007955BB" w:rsidRDefault="009D594A" w:rsidP="009D594A">
            <w:pPr>
              <w:spacing w:before="0" w:line="240" w:lineRule="auto"/>
              <w:ind w:firstLine="0"/>
              <w:contextualSpacing w:val="0"/>
              <w:jc w:val="center"/>
              <w:rPr>
                <w:rFonts w:cs="Calibri"/>
                <w:color w:val="FFFFFF"/>
                <w:szCs w:val="22"/>
                <w:lang w:val="en-US" w:eastAsia="en-US"/>
              </w:rPr>
            </w:pPr>
            <w:r w:rsidRPr="007955BB">
              <w:rPr>
                <w:rFonts w:cs="Calibri"/>
                <w:color w:val="FFFFFF"/>
                <w:szCs w:val="22"/>
                <w:lang w:val="en-US" w:eastAsia="en-US"/>
              </w:rPr>
              <w:t xml:space="preserve">2020թ </w:t>
            </w:r>
            <w:r w:rsidRPr="007955BB">
              <w:rPr>
                <w:rFonts w:cs="Calibri"/>
                <w:color w:val="FFFFFF"/>
                <w:szCs w:val="22"/>
                <w:lang w:val="en-US" w:eastAsia="en-US"/>
              </w:rPr>
              <w:br/>
              <w:t>փաստ</w:t>
            </w:r>
          </w:p>
        </w:tc>
        <w:tc>
          <w:tcPr>
            <w:tcW w:w="1170" w:type="dxa"/>
            <w:shd w:val="clear" w:color="auto" w:fill="4472C4"/>
            <w:vAlign w:val="center"/>
            <w:hideMark/>
          </w:tcPr>
          <w:p w:rsidR="009D594A" w:rsidRPr="007955BB" w:rsidRDefault="009D594A" w:rsidP="009D594A">
            <w:pPr>
              <w:spacing w:before="0" w:line="240" w:lineRule="auto"/>
              <w:ind w:firstLine="0"/>
              <w:contextualSpacing w:val="0"/>
              <w:jc w:val="center"/>
              <w:rPr>
                <w:rFonts w:cs="Calibri"/>
                <w:color w:val="FFFFFF"/>
                <w:szCs w:val="22"/>
                <w:lang w:val="en-US" w:eastAsia="en-US"/>
              </w:rPr>
            </w:pPr>
            <w:r w:rsidRPr="007955BB">
              <w:rPr>
                <w:rFonts w:cs="Calibri"/>
                <w:color w:val="FFFFFF"/>
                <w:szCs w:val="22"/>
                <w:lang w:val="en-US" w:eastAsia="en-US"/>
              </w:rPr>
              <w:t>2021թ</w:t>
            </w:r>
            <w:r w:rsidRPr="007955BB">
              <w:rPr>
                <w:rFonts w:cs="Calibri"/>
                <w:color w:val="FFFFFF"/>
                <w:szCs w:val="22"/>
                <w:lang w:val="en-US" w:eastAsia="en-US"/>
              </w:rPr>
              <w:br/>
              <w:t xml:space="preserve"> փաստ</w:t>
            </w:r>
          </w:p>
        </w:tc>
        <w:tc>
          <w:tcPr>
            <w:tcW w:w="1170" w:type="dxa"/>
            <w:shd w:val="clear" w:color="auto" w:fill="4472C4"/>
            <w:vAlign w:val="center"/>
            <w:hideMark/>
          </w:tcPr>
          <w:p w:rsidR="009D594A" w:rsidRPr="007955BB" w:rsidRDefault="009D594A" w:rsidP="009D594A">
            <w:pPr>
              <w:spacing w:before="0" w:line="240" w:lineRule="auto"/>
              <w:ind w:firstLine="0"/>
              <w:contextualSpacing w:val="0"/>
              <w:jc w:val="center"/>
              <w:rPr>
                <w:rFonts w:cs="Calibri"/>
                <w:color w:val="FFFFFF"/>
                <w:szCs w:val="22"/>
                <w:lang w:val="en-US" w:eastAsia="en-US"/>
              </w:rPr>
            </w:pPr>
            <w:r w:rsidRPr="007955BB">
              <w:rPr>
                <w:rFonts w:cs="Calibri"/>
                <w:color w:val="FFFFFF"/>
                <w:szCs w:val="22"/>
                <w:lang w:val="en-US" w:eastAsia="en-US"/>
              </w:rPr>
              <w:t>2022թ</w:t>
            </w:r>
            <w:r w:rsidRPr="007955BB">
              <w:rPr>
                <w:rFonts w:cs="Calibri"/>
                <w:color w:val="FFFFFF"/>
                <w:szCs w:val="22"/>
                <w:lang w:val="en-US" w:eastAsia="en-US"/>
              </w:rPr>
              <w:br/>
              <w:t xml:space="preserve"> բյուջե</w:t>
            </w:r>
          </w:p>
        </w:tc>
        <w:tc>
          <w:tcPr>
            <w:tcW w:w="1170" w:type="dxa"/>
            <w:shd w:val="clear" w:color="auto" w:fill="4472C4"/>
            <w:vAlign w:val="center"/>
            <w:hideMark/>
          </w:tcPr>
          <w:p w:rsidR="009D594A" w:rsidRPr="007955BB" w:rsidRDefault="009D594A" w:rsidP="009D594A">
            <w:pPr>
              <w:spacing w:before="0" w:line="240" w:lineRule="auto"/>
              <w:ind w:firstLine="0"/>
              <w:contextualSpacing w:val="0"/>
              <w:jc w:val="center"/>
              <w:rPr>
                <w:rFonts w:cs="Calibri"/>
                <w:color w:val="FFFFFF"/>
                <w:szCs w:val="22"/>
                <w:lang w:val="en-US" w:eastAsia="en-US"/>
              </w:rPr>
            </w:pPr>
            <w:r w:rsidRPr="007955BB">
              <w:rPr>
                <w:rFonts w:cs="Calibri"/>
                <w:color w:val="FFFFFF"/>
                <w:szCs w:val="22"/>
                <w:lang w:val="en-US" w:eastAsia="en-US"/>
              </w:rPr>
              <w:t>2023թ կանխա</w:t>
            </w:r>
            <w:r w:rsidR="001D5BCC">
              <w:rPr>
                <w:rFonts w:cs="Calibri"/>
                <w:color w:val="FFFFFF"/>
                <w:szCs w:val="22"/>
                <w:lang w:val="en-US" w:eastAsia="en-US"/>
              </w:rPr>
              <w:t>-</w:t>
            </w:r>
            <w:r w:rsidRPr="007955BB">
              <w:rPr>
                <w:rFonts w:cs="Calibri"/>
                <w:color w:val="FFFFFF"/>
                <w:szCs w:val="22"/>
                <w:lang w:val="en-US" w:eastAsia="en-US"/>
              </w:rPr>
              <w:t>տեսում</w:t>
            </w:r>
          </w:p>
        </w:tc>
      </w:tr>
      <w:tr w:rsidR="009D594A" w:rsidRPr="007955BB" w:rsidTr="001D5BCC">
        <w:trPr>
          <w:trHeight w:val="611"/>
        </w:trPr>
        <w:tc>
          <w:tcPr>
            <w:tcW w:w="3572" w:type="dxa"/>
            <w:shd w:val="clear" w:color="auto" w:fill="D9E2F3"/>
            <w:vAlign w:val="center"/>
            <w:hideMark/>
          </w:tcPr>
          <w:p w:rsidR="009D594A" w:rsidRPr="007955BB" w:rsidRDefault="009D594A" w:rsidP="009D594A">
            <w:pPr>
              <w:spacing w:before="0" w:line="240" w:lineRule="auto"/>
              <w:ind w:firstLine="0"/>
              <w:contextualSpacing w:val="0"/>
              <w:jc w:val="left"/>
              <w:rPr>
                <w:rFonts w:cs="Calibri"/>
                <w:b w:val="0"/>
                <w:bCs/>
                <w:color w:val="000000"/>
                <w:szCs w:val="22"/>
                <w:lang w:val="en-US" w:eastAsia="en-US"/>
              </w:rPr>
            </w:pPr>
            <w:r w:rsidRPr="007955BB">
              <w:rPr>
                <w:rFonts w:cs="Calibri"/>
                <w:b w:val="0"/>
                <w:bCs/>
                <w:color w:val="000000"/>
                <w:szCs w:val="22"/>
                <w:lang w:val="en-US" w:eastAsia="en-US"/>
              </w:rPr>
              <w:t>Ընդամենը, այդ թվում՝</w:t>
            </w:r>
          </w:p>
        </w:tc>
        <w:tc>
          <w:tcPr>
            <w:tcW w:w="1260" w:type="dxa"/>
            <w:shd w:val="clear" w:color="auto" w:fill="D9E2F3"/>
            <w:noWrap/>
            <w:vAlign w:val="center"/>
            <w:hideMark/>
          </w:tcPr>
          <w:p w:rsidR="009D594A" w:rsidRPr="007955BB" w:rsidRDefault="009D594A" w:rsidP="009D594A">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 xml:space="preserve">                      12.4</w:t>
            </w:r>
          </w:p>
        </w:tc>
        <w:tc>
          <w:tcPr>
            <w:tcW w:w="1170" w:type="dxa"/>
            <w:shd w:val="clear" w:color="auto" w:fill="D9E2F3"/>
            <w:noWrap/>
            <w:vAlign w:val="center"/>
            <w:hideMark/>
          </w:tcPr>
          <w:p w:rsidR="009D594A" w:rsidRPr="007955BB" w:rsidRDefault="009D594A" w:rsidP="009D594A">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 xml:space="preserve">                     53.2</w:t>
            </w:r>
          </w:p>
        </w:tc>
        <w:tc>
          <w:tcPr>
            <w:tcW w:w="1170" w:type="dxa"/>
            <w:shd w:val="clear" w:color="auto" w:fill="D9E2F3"/>
            <w:noWrap/>
            <w:vAlign w:val="center"/>
            <w:hideMark/>
          </w:tcPr>
          <w:p w:rsidR="009D594A" w:rsidRPr="007955BB" w:rsidRDefault="009D594A" w:rsidP="009D594A">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 xml:space="preserve">                      12.4 </w:t>
            </w:r>
          </w:p>
        </w:tc>
        <w:tc>
          <w:tcPr>
            <w:tcW w:w="1170" w:type="dxa"/>
            <w:shd w:val="clear" w:color="auto" w:fill="D9E2F3"/>
            <w:noWrap/>
            <w:vAlign w:val="center"/>
            <w:hideMark/>
          </w:tcPr>
          <w:p w:rsidR="009D594A" w:rsidRPr="007955BB" w:rsidRDefault="009D594A" w:rsidP="009D594A">
            <w:pPr>
              <w:spacing w:before="0" w:line="240" w:lineRule="auto"/>
              <w:ind w:firstLine="0"/>
              <w:contextualSpacing w:val="0"/>
              <w:jc w:val="center"/>
              <w:rPr>
                <w:rFonts w:cs="Calibri"/>
                <w:b w:val="0"/>
                <w:color w:val="000000"/>
                <w:szCs w:val="22"/>
                <w:lang w:val="en-US" w:eastAsia="en-US"/>
              </w:rPr>
            </w:pPr>
            <w:r>
              <w:rPr>
                <w:rFonts w:cs="Calibri"/>
                <w:b w:val="0"/>
                <w:color w:val="000000"/>
                <w:szCs w:val="22"/>
                <w:lang w:val="en-US" w:eastAsia="en-US"/>
              </w:rPr>
              <w:t xml:space="preserve">                   35.1</w:t>
            </w:r>
            <w:r w:rsidRPr="007955BB">
              <w:rPr>
                <w:rFonts w:cs="Calibri"/>
                <w:b w:val="0"/>
                <w:color w:val="000000"/>
                <w:szCs w:val="22"/>
                <w:lang w:val="en-US" w:eastAsia="en-US"/>
              </w:rPr>
              <w:t xml:space="preserve"> </w:t>
            </w:r>
          </w:p>
        </w:tc>
        <w:tc>
          <w:tcPr>
            <w:tcW w:w="1170" w:type="dxa"/>
            <w:shd w:val="clear" w:color="auto" w:fill="D9E2F3"/>
            <w:noWrap/>
            <w:vAlign w:val="center"/>
            <w:hideMark/>
          </w:tcPr>
          <w:p w:rsidR="009D594A" w:rsidRPr="007955BB" w:rsidRDefault="009D594A" w:rsidP="009D594A">
            <w:pPr>
              <w:spacing w:before="0" w:line="240" w:lineRule="auto"/>
              <w:ind w:firstLine="0"/>
              <w:contextualSpacing w:val="0"/>
              <w:jc w:val="center"/>
              <w:rPr>
                <w:rFonts w:cs="Calibri"/>
                <w:b w:val="0"/>
                <w:color w:val="000000"/>
                <w:szCs w:val="22"/>
                <w:lang w:val="en-US" w:eastAsia="en-US"/>
              </w:rPr>
            </w:pPr>
            <w:r>
              <w:rPr>
                <w:rFonts w:cs="Calibri"/>
                <w:b w:val="0"/>
                <w:color w:val="000000"/>
                <w:szCs w:val="22"/>
                <w:lang w:val="en-US" w:eastAsia="en-US"/>
              </w:rPr>
              <w:t xml:space="preserve">                           17.2</w:t>
            </w:r>
          </w:p>
        </w:tc>
      </w:tr>
      <w:tr w:rsidR="009D594A" w:rsidRPr="007955BB" w:rsidTr="001D5BCC">
        <w:trPr>
          <w:trHeight w:val="698"/>
        </w:trPr>
        <w:tc>
          <w:tcPr>
            <w:tcW w:w="3572" w:type="dxa"/>
            <w:shd w:val="clear" w:color="auto" w:fill="auto"/>
            <w:vAlign w:val="center"/>
            <w:hideMark/>
          </w:tcPr>
          <w:p w:rsidR="009D594A" w:rsidRPr="007955BB" w:rsidRDefault="009D594A" w:rsidP="009D594A">
            <w:pPr>
              <w:spacing w:before="0" w:line="240" w:lineRule="auto"/>
              <w:ind w:firstLine="0"/>
              <w:contextualSpacing w:val="0"/>
              <w:jc w:val="left"/>
              <w:rPr>
                <w:rFonts w:cs="Calibri"/>
                <w:b w:val="0"/>
                <w:color w:val="000000"/>
                <w:szCs w:val="22"/>
                <w:lang w:eastAsia="en-US"/>
              </w:rPr>
            </w:pPr>
            <w:r w:rsidRPr="007955BB">
              <w:rPr>
                <w:rFonts w:cs="Calibri"/>
                <w:b w:val="0"/>
                <w:color w:val="000000"/>
                <w:szCs w:val="22"/>
                <w:lang w:val="en-US" w:eastAsia="en-US"/>
              </w:rPr>
              <w:t>ԵՄ</w:t>
            </w:r>
            <w:r w:rsidRPr="009D594A">
              <w:rPr>
                <w:rFonts w:cs="Calibri"/>
                <w:b w:val="0"/>
                <w:color w:val="000000"/>
                <w:szCs w:val="22"/>
                <w:lang w:eastAsia="en-US"/>
              </w:rPr>
              <w:t xml:space="preserve"> (</w:t>
            </w:r>
            <w:r w:rsidRPr="007955BB">
              <w:rPr>
                <w:rFonts w:cs="Calibri"/>
                <w:b w:val="0"/>
                <w:color w:val="000000"/>
                <w:szCs w:val="22"/>
                <w:lang w:val="en-US" w:eastAsia="en-US"/>
              </w:rPr>
              <w:t>Եվրոպական</w:t>
            </w:r>
            <w:r w:rsidRPr="009D594A">
              <w:rPr>
                <w:rFonts w:cs="Calibri"/>
                <w:b w:val="0"/>
                <w:color w:val="000000"/>
                <w:szCs w:val="22"/>
                <w:lang w:eastAsia="en-US"/>
              </w:rPr>
              <w:t xml:space="preserve"> </w:t>
            </w:r>
            <w:r w:rsidRPr="007955BB">
              <w:rPr>
                <w:rFonts w:cs="Calibri"/>
                <w:b w:val="0"/>
                <w:color w:val="000000"/>
                <w:szCs w:val="22"/>
                <w:lang w:val="en-US" w:eastAsia="en-US"/>
              </w:rPr>
              <w:t>հարևանության</w:t>
            </w:r>
            <w:r w:rsidRPr="009D594A">
              <w:rPr>
                <w:rFonts w:cs="Calibri"/>
                <w:b w:val="0"/>
                <w:color w:val="000000"/>
                <w:szCs w:val="22"/>
                <w:lang w:eastAsia="en-US"/>
              </w:rPr>
              <w:t xml:space="preserve"> </w:t>
            </w:r>
            <w:r w:rsidRPr="007955BB">
              <w:rPr>
                <w:rFonts w:cs="Calibri"/>
                <w:b w:val="0"/>
                <w:color w:val="000000"/>
                <w:szCs w:val="22"/>
                <w:lang w:val="en-US" w:eastAsia="en-US"/>
              </w:rPr>
              <w:t>շրջանակներում</w:t>
            </w:r>
            <w:r w:rsidRPr="009D594A">
              <w:rPr>
                <w:rFonts w:cs="Calibri"/>
                <w:b w:val="0"/>
                <w:color w:val="000000"/>
                <w:szCs w:val="22"/>
                <w:lang w:eastAsia="en-US"/>
              </w:rPr>
              <w:t xml:space="preserve"> </w:t>
            </w:r>
            <w:r w:rsidRPr="007955BB">
              <w:rPr>
                <w:rFonts w:cs="Calibri"/>
                <w:b w:val="0"/>
                <w:color w:val="000000"/>
                <w:szCs w:val="22"/>
                <w:lang w:val="en-US" w:eastAsia="en-US"/>
              </w:rPr>
              <w:t>ՀՀ</w:t>
            </w:r>
            <w:r w:rsidRPr="009D594A">
              <w:rPr>
                <w:rFonts w:cs="Calibri"/>
                <w:b w:val="0"/>
                <w:color w:val="000000"/>
                <w:szCs w:val="22"/>
                <w:lang w:eastAsia="en-US"/>
              </w:rPr>
              <w:t>-</w:t>
            </w:r>
            <w:r w:rsidRPr="007955BB">
              <w:rPr>
                <w:rFonts w:cs="Calibri"/>
                <w:b w:val="0"/>
                <w:color w:val="000000"/>
                <w:szCs w:val="22"/>
                <w:lang w:val="en-US" w:eastAsia="en-US"/>
              </w:rPr>
              <w:t>ԵՄ</w:t>
            </w:r>
            <w:r w:rsidRPr="009D594A">
              <w:rPr>
                <w:rFonts w:cs="Calibri"/>
                <w:b w:val="0"/>
                <w:color w:val="000000"/>
                <w:szCs w:val="22"/>
                <w:lang w:eastAsia="en-US"/>
              </w:rPr>
              <w:t xml:space="preserve"> </w:t>
            </w:r>
            <w:r w:rsidRPr="007955BB">
              <w:rPr>
                <w:rFonts w:cs="Calibri"/>
                <w:b w:val="0"/>
                <w:color w:val="000000"/>
                <w:szCs w:val="22"/>
                <w:lang w:val="en-US" w:eastAsia="en-US"/>
              </w:rPr>
              <w:t>գործողությունների</w:t>
            </w:r>
            <w:r w:rsidRPr="009D594A">
              <w:rPr>
                <w:rFonts w:cs="Calibri"/>
                <w:b w:val="0"/>
                <w:color w:val="000000"/>
                <w:szCs w:val="22"/>
                <w:lang w:eastAsia="en-US"/>
              </w:rPr>
              <w:t xml:space="preserve"> </w:t>
            </w:r>
            <w:r w:rsidRPr="007955BB">
              <w:rPr>
                <w:rFonts w:cs="Calibri"/>
                <w:b w:val="0"/>
                <w:color w:val="000000"/>
                <w:szCs w:val="22"/>
                <w:lang w:val="en-US" w:eastAsia="en-US"/>
              </w:rPr>
              <w:t>ծրագրով</w:t>
            </w:r>
            <w:r w:rsidRPr="007955BB">
              <w:rPr>
                <w:rFonts w:cs="Calibri"/>
                <w:b w:val="0"/>
                <w:color w:val="000000"/>
                <w:szCs w:val="22"/>
                <w:lang w:eastAsia="en-US"/>
              </w:rPr>
              <w:t xml:space="preserve"> </w:t>
            </w:r>
            <w:r w:rsidRPr="007955BB">
              <w:rPr>
                <w:rFonts w:cs="Calibri"/>
                <w:b w:val="0"/>
                <w:color w:val="000000"/>
                <w:szCs w:val="22"/>
                <w:lang w:val="en-US" w:eastAsia="en-US"/>
              </w:rPr>
              <w:t>նախատեսված</w:t>
            </w:r>
            <w:r w:rsidRPr="007955BB">
              <w:rPr>
                <w:rFonts w:cs="Calibri"/>
                <w:b w:val="0"/>
                <w:color w:val="000000"/>
                <w:szCs w:val="22"/>
                <w:lang w:eastAsia="en-US"/>
              </w:rPr>
              <w:t xml:space="preserve"> </w:t>
            </w:r>
            <w:r w:rsidRPr="007955BB">
              <w:rPr>
                <w:rFonts w:cs="Calibri"/>
                <w:b w:val="0"/>
                <w:color w:val="000000"/>
                <w:szCs w:val="22"/>
                <w:lang w:val="en-US" w:eastAsia="en-US"/>
              </w:rPr>
              <w:t>դրամաշնորհային</w:t>
            </w:r>
            <w:r w:rsidRPr="007955BB">
              <w:rPr>
                <w:rFonts w:cs="Calibri"/>
                <w:b w:val="0"/>
                <w:color w:val="000000"/>
                <w:szCs w:val="22"/>
                <w:lang w:eastAsia="en-US"/>
              </w:rPr>
              <w:t xml:space="preserve"> </w:t>
            </w:r>
            <w:r w:rsidRPr="007955BB">
              <w:rPr>
                <w:rFonts w:cs="Calibri"/>
                <w:b w:val="0"/>
                <w:color w:val="000000"/>
                <w:szCs w:val="22"/>
                <w:lang w:val="en-US" w:eastAsia="en-US"/>
              </w:rPr>
              <w:t>ծրագրեր</w:t>
            </w:r>
            <w:r w:rsidRPr="007955BB">
              <w:rPr>
                <w:rFonts w:cs="Calibri"/>
                <w:b w:val="0"/>
                <w:color w:val="000000"/>
                <w:szCs w:val="22"/>
                <w:lang w:eastAsia="en-US"/>
              </w:rPr>
              <w:t>)</w:t>
            </w:r>
          </w:p>
        </w:tc>
        <w:tc>
          <w:tcPr>
            <w:tcW w:w="1260" w:type="dxa"/>
            <w:shd w:val="clear" w:color="auto" w:fill="auto"/>
            <w:noWrap/>
            <w:vAlign w:val="center"/>
            <w:hideMark/>
          </w:tcPr>
          <w:p w:rsidR="009D594A" w:rsidRPr="007955BB" w:rsidRDefault="009D594A" w:rsidP="009D594A">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eastAsia="en-US"/>
              </w:rPr>
              <w:t xml:space="preserve">                       </w:t>
            </w:r>
            <w:r w:rsidRPr="007955BB">
              <w:rPr>
                <w:rFonts w:cs="Calibri"/>
                <w:b w:val="0"/>
                <w:color w:val="000000"/>
                <w:szCs w:val="22"/>
                <w:lang w:val="en-US" w:eastAsia="en-US"/>
              </w:rPr>
              <w:t xml:space="preserve">4.5 </w:t>
            </w:r>
          </w:p>
        </w:tc>
        <w:tc>
          <w:tcPr>
            <w:tcW w:w="1170" w:type="dxa"/>
            <w:shd w:val="clear" w:color="auto" w:fill="auto"/>
            <w:noWrap/>
            <w:vAlign w:val="center"/>
            <w:hideMark/>
          </w:tcPr>
          <w:p w:rsidR="009D594A" w:rsidRPr="007955BB" w:rsidRDefault="009D594A" w:rsidP="009D594A">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 xml:space="preserve">                      47.3 </w:t>
            </w:r>
          </w:p>
        </w:tc>
        <w:tc>
          <w:tcPr>
            <w:tcW w:w="1170" w:type="dxa"/>
            <w:shd w:val="clear" w:color="auto" w:fill="auto"/>
            <w:noWrap/>
            <w:vAlign w:val="center"/>
            <w:hideMark/>
          </w:tcPr>
          <w:p w:rsidR="009D594A" w:rsidRPr="007955BB" w:rsidRDefault="009D594A" w:rsidP="009D594A">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 xml:space="preserve">                       2.8 </w:t>
            </w:r>
          </w:p>
        </w:tc>
        <w:tc>
          <w:tcPr>
            <w:tcW w:w="1170" w:type="dxa"/>
            <w:shd w:val="clear" w:color="auto" w:fill="auto"/>
            <w:noWrap/>
            <w:vAlign w:val="center"/>
            <w:hideMark/>
          </w:tcPr>
          <w:p w:rsidR="009D594A" w:rsidRPr="007955BB" w:rsidRDefault="009D594A" w:rsidP="009D594A">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 xml:space="preserve">                       5.0 </w:t>
            </w:r>
          </w:p>
        </w:tc>
        <w:tc>
          <w:tcPr>
            <w:tcW w:w="1170" w:type="dxa"/>
            <w:shd w:val="clear" w:color="auto" w:fill="auto"/>
            <w:noWrap/>
            <w:vAlign w:val="center"/>
            <w:hideMark/>
          </w:tcPr>
          <w:p w:rsidR="009D594A" w:rsidRPr="007955BB" w:rsidRDefault="009D594A" w:rsidP="009D594A">
            <w:pPr>
              <w:spacing w:before="0" w:line="240" w:lineRule="auto"/>
              <w:ind w:firstLine="0"/>
              <w:contextualSpacing w:val="0"/>
              <w:jc w:val="center"/>
              <w:rPr>
                <w:rFonts w:cs="Calibri"/>
                <w:b w:val="0"/>
                <w:color w:val="000000"/>
                <w:szCs w:val="22"/>
                <w:lang w:val="en-US" w:eastAsia="en-US"/>
              </w:rPr>
            </w:pPr>
            <w:r>
              <w:rPr>
                <w:rFonts w:cs="Calibri"/>
                <w:b w:val="0"/>
                <w:color w:val="000000"/>
                <w:szCs w:val="22"/>
                <w:lang w:val="en-US" w:eastAsia="en-US"/>
              </w:rPr>
              <w:t xml:space="preserve">                             1.1</w:t>
            </w:r>
            <w:r w:rsidRPr="007955BB">
              <w:rPr>
                <w:rFonts w:cs="Calibri"/>
                <w:b w:val="0"/>
                <w:color w:val="000000"/>
                <w:szCs w:val="22"/>
                <w:lang w:val="en-US" w:eastAsia="en-US"/>
              </w:rPr>
              <w:t xml:space="preserve"> </w:t>
            </w:r>
          </w:p>
        </w:tc>
      </w:tr>
      <w:tr w:rsidR="009D594A" w:rsidRPr="007955BB" w:rsidTr="001D5BCC">
        <w:trPr>
          <w:trHeight w:val="800"/>
        </w:trPr>
        <w:tc>
          <w:tcPr>
            <w:tcW w:w="3572" w:type="dxa"/>
            <w:shd w:val="clear" w:color="auto" w:fill="D9E2F3"/>
            <w:vAlign w:val="center"/>
            <w:hideMark/>
          </w:tcPr>
          <w:p w:rsidR="009D594A" w:rsidRPr="007955BB" w:rsidRDefault="009D594A" w:rsidP="009D594A">
            <w:pPr>
              <w:spacing w:before="0" w:line="240" w:lineRule="auto"/>
              <w:ind w:firstLine="0"/>
              <w:contextualSpacing w:val="0"/>
              <w:jc w:val="left"/>
              <w:rPr>
                <w:rFonts w:cs="Calibri"/>
                <w:b w:val="0"/>
                <w:color w:val="000000"/>
                <w:szCs w:val="22"/>
                <w:lang w:val="en-US" w:eastAsia="en-US"/>
              </w:rPr>
            </w:pPr>
            <w:r w:rsidRPr="007955BB">
              <w:rPr>
                <w:rFonts w:cs="Calibri"/>
                <w:b w:val="0"/>
                <w:color w:val="000000"/>
                <w:szCs w:val="22"/>
                <w:lang w:val="en-US" w:eastAsia="en-US"/>
              </w:rPr>
              <w:t>Այլ նպատակային դրամաշնորհներ</w:t>
            </w:r>
          </w:p>
        </w:tc>
        <w:tc>
          <w:tcPr>
            <w:tcW w:w="1260" w:type="dxa"/>
            <w:shd w:val="clear" w:color="auto" w:fill="D9E2F3"/>
            <w:noWrap/>
            <w:vAlign w:val="center"/>
            <w:hideMark/>
          </w:tcPr>
          <w:p w:rsidR="009D594A" w:rsidRPr="007955BB" w:rsidRDefault="009D594A" w:rsidP="009D594A">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 xml:space="preserve">                      7.9 </w:t>
            </w:r>
          </w:p>
        </w:tc>
        <w:tc>
          <w:tcPr>
            <w:tcW w:w="1170" w:type="dxa"/>
            <w:shd w:val="clear" w:color="auto" w:fill="D9E2F3"/>
            <w:noWrap/>
            <w:vAlign w:val="center"/>
            <w:hideMark/>
          </w:tcPr>
          <w:p w:rsidR="009D594A" w:rsidRPr="007955BB" w:rsidRDefault="009D594A" w:rsidP="009D594A">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 xml:space="preserve">                      5.9</w:t>
            </w:r>
          </w:p>
        </w:tc>
        <w:tc>
          <w:tcPr>
            <w:tcW w:w="1170" w:type="dxa"/>
            <w:shd w:val="clear" w:color="auto" w:fill="D9E2F3"/>
            <w:noWrap/>
            <w:vAlign w:val="center"/>
            <w:hideMark/>
          </w:tcPr>
          <w:p w:rsidR="009D594A" w:rsidRPr="007955BB" w:rsidRDefault="009D594A" w:rsidP="009D594A">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 xml:space="preserve">                       9.6 </w:t>
            </w:r>
          </w:p>
        </w:tc>
        <w:tc>
          <w:tcPr>
            <w:tcW w:w="1170" w:type="dxa"/>
            <w:shd w:val="clear" w:color="auto" w:fill="D9E2F3"/>
            <w:noWrap/>
            <w:vAlign w:val="center"/>
            <w:hideMark/>
          </w:tcPr>
          <w:p w:rsidR="009D594A" w:rsidRPr="007955BB" w:rsidRDefault="009D594A" w:rsidP="009D594A">
            <w:pPr>
              <w:spacing w:before="0" w:line="240" w:lineRule="auto"/>
              <w:ind w:firstLine="0"/>
              <w:contextualSpacing w:val="0"/>
              <w:jc w:val="center"/>
              <w:rPr>
                <w:rFonts w:cs="Calibri"/>
                <w:b w:val="0"/>
                <w:color w:val="000000"/>
                <w:szCs w:val="22"/>
                <w:lang w:val="en-US" w:eastAsia="en-US"/>
              </w:rPr>
            </w:pPr>
            <w:r>
              <w:rPr>
                <w:rFonts w:cs="Calibri"/>
                <w:b w:val="0"/>
                <w:color w:val="000000"/>
                <w:szCs w:val="22"/>
                <w:lang w:val="en-US" w:eastAsia="en-US"/>
              </w:rPr>
              <w:t xml:space="preserve">                     30.1</w:t>
            </w:r>
            <w:r w:rsidRPr="007955BB">
              <w:rPr>
                <w:rFonts w:cs="Calibri"/>
                <w:b w:val="0"/>
                <w:color w:val="000000"/>
                <w:szCs w:val="22"/>
                <w:lang w:val="en-US" w:eastAsia="en-US"/>
              </w:rPr>
              <w:t xml:space="preserve"> </w:t>
            </w:r>
          </w:p>
        </w:tc>
        <w:tc>
          <w:tcPr>
            <w:tcW w:w="1170" w:type="dxa"/>
            <w:shd w:val="clear" w:color="auto" w:fill="D9E2F3"/>
            <w:noWrap/>
            <w:vAlign w:val="center"/>
            <w:hideMark/>
          </w:tcPr>
          <w:p w:rsidR="009D594A" w:rsidRPr="007955BB" w:rsidRDefault="009D594A" w:rsidP="009D594A">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 xml:space="preserve">                          16.</w:t>
            </w:r>
            <w:r>
              <w:rPr>
                <w:rFonts w:cs="Calibri"/>
                <w:b w:val="0"/>
                <w:color w:val="000000"/>
                <w:szCs w:val="22"/>
                <w:lang w:val="en-US" w:eastAsia="en-US"/>
              </w:rPr>
              <w:t>2</w:t>
            </w:r>
          </w:p>
        </w:tc>
      </w:tr>
    </w:tbl>
    <w:p w:rsidR="0081332F" w:rsidRPr="007955BB" w:rsidRDefault="0081332F" w:rsidP="0081332F">
      <w:pPr>
        <w:spacing w:before="0" w:line="276" w:lineRule="auto"/>
        <w:ind w:firstLine="0"/>
        <w:contextualSpacing w:val="0"/>
        <w:jc w:val="left"/>
        <w:rPr>
          <w:b w:val="0"/>
          <w:szCs w:val="22"/>
          <w:lang w:val="af-ZA" w:eastAsia="en-US"/>
        </w:rPr>
      </w:pPr>
    </w:p>
    <w:p w:rsidR="004A0CA9" w:rsidRPr="007955BB" w:rsidRDefault="004A0CA9" w:rsidP="004A0CA9">
      <w:pPr>
        <w:tabs>
          <w:tab w:val="left" w:pos="9120"/>
        </w:tabs>
        <w:spacing w:before="0" w:line="276" w:lineRule="auto"/>
        <w:ind w:firstLine="562"/>
        <w:contextualSpacing w:val="0"/>
        <w:rPr>
          <w:rFonts w:cs="Sylfaen"/>
          <w:b w:val="0"/>
          <w:iCs/>
          <w:szCs w:val="22"/>
          <w:lang w:val="af-ZA" w:eastAsia="en-GB"/>
        </w:rPr>
      </w:pPr>
      <w:r w:rsidRPr="007955BB">
        <w:rPr>
          <w:rFonts w:cs="Sylfaen"/>
          <w:b w:val="0"/>
          <w:iCs/>
          <w:szCs w:val="22"/>
          <w:lang w:val="af-ZA" w:eastAsia="en-GB"/>
        </w:rPr>
        <w:t>Եվրոպական հարևանության ՀՀ-ԵՄ գործո</w:t>
      </w:r>
      <w:r w:rsidRPr="007955BB">
        <w:rPr>
          <w:rFonts w:cs="Sylfaen"/>
          <w:b w:val="0"/>
          <w:iCs/>
          <w:szCs w:val="22"/>
          <w:lang w:val="af-ZA" w:eastAsia="en-GB"/>
        </w:rPr>
        <w:softHyphen/>
        <w:t>ղություն</w:t>
      </w:r>
      <w:r w:rsidRPr="007955BB">
        <w:rPr>
          <w:rFonts w:cs="Sylfaen"/>
          <w:b w:val="0"/>
          <w:iCs/>
          <w:szCs w:val="22"/>
          <w:lang w:val="af-ZA" w:eastAsia="en-GB"/>
        </w:rPr>
        <w:softHyphen/>
        <w:t>ների ծրագրի շրջանակներում Աջակցություն Հայաստանում դատական ոլորտի բարեփոխումների իրականացմանը ծրագրով նա</w:t>
      </w:r>
      <w:r w:rsidRPr="007955BB">
        <w:rPr>
          <w:rFonts w:cs="Sylfaen"/>
          <w:b w:val="0"/>
          <w:iCs/>
          <w:szCs w:val="22"/>
          <w:lang w:val="af-ZA" w:eastAsia="en-GB"/>
        </w:rPr>
        <w:softHyphen/>
        <w:t>խա</w:t>
      </w:r>
      <w:r w:rsidRPr="007955BB">
        <w:rPr>
          <w:rFonts w:cs="Sylfaen"/>
          <w:b w:val="0"/>
          <w:iCs/>
          <w:szCs w:val="22"/>
          <w:lang w:val="af-ZA" w:eastAsia="en-GB"/>
        </w:rPr>
        <w:softHyphen/>
        <w:t>տես</w:t>
      </w:r>
      <w:r w:rsidRPr="007955BB">
        <w:rPr>
          <w:rFonts w:cs="Sylfaen"/>
          <w:b w:val="0"/>
          <w:iCs/>
          <w:szCs w:val="22"/>
          <w:lang w:val="af-ZA" w:eastAsia="en-GB"/>
        </w:rPr>
        <w:softHyphen/>
        <w:t xml:space="preserve">վում է բյուջետային օժանդակություն պաշտոնական դրամաշնորհների (չկապակցված դրամաշնորհներ) ստացում` 2.7 մլն եվրո կամ 1.1 մլրդ դրամ: </w:t>
      </w:r>
    </w:p>
    <w:p w:rsidR="004A0CA9" w:rsidRPr="007955BB" w:rsidRDefault="004A0CA9" w:rsidP="004A0CA9">
      <w:pPr>
        <w:tabs>
          <w:tab w:val="left" w:pos="9120"/>
        </w:tabs>
        <w:spacing w:before="0" w:line="276" w:lineRule="auto"/>
        <w:ind w:firstLine="562"/>
        <w:contextualSpacing w:val="0"/>
        <w:rPr>
          <w:rFonts w:cs="Sylfaen"/>
          <w:b w:val="0"/>
          <w:iCs/>
          <w:szCs w:val="22"/>
          <w:lang w:val="af-ZA" w:eastAsia="en-GB"/>
        </w:rPr>
      </w:pPr>
      <w:r w:rsidRPr="007955BB">
        <w:rPr>
          <w:rFonts w:cs="Sylfaen"/>
          <w:b w:val="0"/>
          <w:iCs/>
          <w:szCs w:val="22"/>
          <w:lang w:val="af-ZA" w:eastAsia="en-GB"/>
        </w:rPr>
        <w:t>Նպատակային օժանդակություն պաշտոնական դրամաշնորհային (կապակցված դրամաշնորհն</w:t>
      </w:r>
      <w:r>
        <w:rPr>
          <w:rFonts w:cs="Sylfaen"/>
          <w:b w:val="0"/>
          <w:iCs/>
          <w:szCs w:val="22"/>
          <w:lang w:val="af-ZA" w:eastAsia="en-GB"/>
        </w:rPr>
        <w:t>եր) ծրագրերից նախատեսվում է 40.9</w:t>
      </w:r>
      <w:r w:rsidRPr="007955BB">
        <w:rPr>
          <w:rFonts w:cs="Sylfaen"/>
          <w:b w:val="0"/>
          <w:iCs/>
          <w:szCs w:val="22"/>
          <w:lang w:val="af-ZA" w:eastAsia="en-GB"/>
        </w:rPr>
        <w:t xml:space="preserve"> մլն ԱՄՆ դոլարի կամ 16.</w:t>
      </w:r>
      <w:r>
        <w:rPr>
          <w:rFonts w:cs="Sylfaen"/>
          <w:b w:val="0"/>
          <w:iCs/>
          <w:szCs w:val="22"/>
          <w:lang w:val="af-ZA" w:eastAsia="en-GB"/>
        </w:rPr>
        <w:t>2</w:t>
      </w:r>
      <w:r w:rsidRPr="007955BB">
        <w:rPr>
          <w:rFonts w:cs="Sylfaen"/>
          <w:b w:val="0"/>
          <w:iCs/>
          <w:szCs w:val="22"/>
          <w:lang w:val="af-ZA" w:eastAsia="en-GB"/>
        </w:rPr>
        <w:t xml:space="preserve"> մլրդ դրամի ստացում: Նպատակային պաշտոնական դրամաշնորհային ծրագրերի գծով ՀՀ 2023 թվականի պետա</w:t>
      </w:r>
      <w:r w:rsidRPr="007955BB">
        <w:rPr>
          <w:rFonts w:cs="Sylfaen"/>
          <w:b w:val="0"/>
          <w:iCs/>
          <w:szCs w:val="22"/>
          <w:lang w:val="af-ZA" w:eastAsia="en-GB"/>
        </w:rPr>
        <w:softHyphen/>
        <w:t>կան բյուջեի նախագծի ցուցանիշների մանրամասները ներկայացված են նախագծի N 1 հավելվածի N 5 աղյու</w:t>
      </w:r>
      <w:r w:rsidRPr="007955BB">
        <w:rPr>
          <w:rFonts w:cs="Sylfaen"/>
          <w:b w:val="0"/>
          <w:iCs/>
          <w:szCs w:val="22"/>
          <w:lang w:val="af-ZA" w:eastAsia="en-GB"/>
        </w:rPr>
        <w:softHyphen/>
      </w:r>
      <w:r w:rsidRPr="007955BB">
        <w:rPr>
          <w:rFonts w:cs="Sylfaen"/>
          <w:b w:val="0"/>
          <w:iCs/>
          <w:szCs w:val="22"/>
          <w:lang w:val="af-ZA" w:eastAsia="en-GB"/>
        </w:rPr>
        <w:softHyphen/>
        <w:t>սակում:</w:t>
      </w:r>
    </w:p>
    <w:p w:rsidR="0081332F" w:rsidRPr="007955BB" w:rsidRDefault="0081332F" w:rsidP="0081332F">
      <w:pPr>
        <w:tabs>
          <w:tab w:val="left" w:pos="9120"/>
        </w:tabs>
        <w:spacing w:before="0" w:line="276" w:lineRule="auto"/>
        <w:ind w:firstLine="562"/>
        <w:contextualSpacing w:val="0"/>
        <w:rPr>
          <w:rFonts w:cs="Sylfaen"/>
          <w:b w:val="0"/>
          <w:iCs/>
          <w:szCs w:val="22"/>
          <w:lang w:val="af-ZA" w:eastAsia="en-GB"/>
        </w:rPr>
      </w:pPr>
    </w:p>
    <w:p w:rsidR="002D578A" w:rsidRPr="007955BB" w:rsidRDefault="002D578A" w:rsidP="002D578A">
      <w:pPr>
        <w:keepNext/>
        <w:tabs>
          <w:tab w:val="left" w:pos="709"/>
        </w:tabs>
        <w:spacing w:before="0" w:line="276" w:lineRule="auto"/>
        <w:outlineLvl w:val="2"/>
        <w:rPr>
          <w:rFonts w:eastAsia="Calibri" w:cs="GHEA Grapalat"/>
          <w:bCs/>
          <w:szCs w:val="22"/>
          <w:lang w:val="af-ZA" w:eastAsia="en-US"/>
        </w:rPr>
      </w:pPr>
      <w:bookmarkStart w:id="262" w:name="_Toc500177730"/>
      <w:bookmarkStart w:id="263" w:name="_Toc530663265"/>
      <w:bookmarkStart w:id="264" w:name="_Toc57655467"/>
      <w:bookmarkStart w:id="265" w:name="_Toc89428306"/>
      <w:bookmarkStart w:id="266" w:name="_Toc120805213"/>
      <w:r w:rsidRPr="007955BB">
        <w:rPr>
          <w:rFonts w:eastAsia="Calibri" w:cs="GHEA Grapalat"/>
          <w:bCs/>
          <w:szCs w:val="22"/>
          <w:lang w:val="hy-AM" w:eastAsia="en-US"/>
        </w:rPr>
        <w:t>Այլ եկամուտներ</w:t>
      </w:r>
      <w:bookmarkEnd w:id="262"/>
      <w:bookmarkEnd w:id="263"/>
      <w:bookmarkEnd w:id="264"/>
      <w:bookmarkEnd w:id="265"/>
      <w:bookmarkEnd w:id="266"/>
    </w:p>
    <w:p w:rsidR="002D578A" w:rsidRPr="007955BB" w:rsidRDefault="002D578A" w:rsidP="002D578A">
      <w:pPr>
        <w:spacing w:before="0" w:line="276" w:lineRule="auto"/>
        <w:ind w:firstLine="562"/>
        <w:contextualSpacing w:val="0"/>
        <w:rPr>
          <w:rFonts w:cs="Sylfaen"/>
          <w:b w:val="0"/>
          <w:iCs/>
          <w:szCs w:val="22"/>
          <w:lang w:val="af-ZA" w:eastAsia="en-GB"/>
        </w:rPr>
      </w:pPr>
      <w:r w:rsidRPr="007955BB">
        <w:rPr>
          <w:rFonts w:cs="Sylfaen"/>
          <w:b w:val="0"/>
          <w:iCs/>
          <w:szCs w:val="22"/>
          <w:lang w:val="af-ZA" w:eastAsia="en-GB"/>
        </w:rPr>
        <w:t>Այլ եկամուտները ներառում են բանկերում և ֆինանսավարկային հաս</w:t>
      </w:r>
      <w:r w:rsidRPr="007955BB">
        <w:rPr>
          <w:rFonts w:cs="Sylfaen"/>
          <w:b w:val="0"/>
          <w:iCs/>
          <w:szCs w:val="22"/>
          <w:lang w:val="af-ZA" w:eastAsia="en-GB"/>
        </w:rPr>
        <w:softHyphen/>
        <w:t>տա</w:t>
      </w:r>
      <w:r w:rsidRPr="007955BB">
        <w:rPr>
          <w:rFonts w:cs="Sylfaen"/>
          <w:b w:val="0"/>
          <w:iCs/>
          <w:szCs w:val="22"/>
          <w:lang w:val="af-ZA" w:eastAsia="en-GB"/>
        </w:rPr>
        <w:softHyphen/>
        <w:t>տու</w:t>
      </w:r>
      <w:r w:rsidRPr="007955BB">
        <w:rPr>
          <w:rFonts w:cs="Sylfaen"/>
          <w:b w:val="0"/>
          <w:iCs/>
          <w:szCs w:val="22"/>
          <w:lang w:val="af-ZA" w:eastAsia="en-GB"/>
        </w:rPr>
        <w:softHyphen/>
        <w:t>թյուն</w:t>
      </w:r>
      <w:r w:rsidRPr="007955BB">
        <w:rPr>
          <w:rFonts w:cs="Sylfaen"/>
          <w:b w:val="0"/>
          <w:iCs/>
          <w:szCs w:val="22"/>
          <w:lang w:val="af-ZA" w:eastAsia="en-GB"/>
        </w:rPr>
        <w:softHyphen/>
        <w:t>նե</w:t>
      </w:r>
      <w:r w:rsidRPr="007955BB">
        <w:rPr>
          <w:rFonts w:cs="Sylfaen"/>
          <w:b w:val="0"/>
          <w:iCs/>
          <w:szCs w:val="22"/>
          <w:lang w:val="af-ZA" w:eastAsia="en-GB"/>
        </w:rPr>
        <w:softHyphen/>
        <w:t>րում պե</w:t>
      </w:r>
      <w:r w:rsidRPr="007955BB">
        <w:rPr>
          <w:rFonts w:cs="Sylfaen"/>
          <w:b w:val="0"/>
          <w:iCs/>
          <w:szCs w:val="22"/>
          <w:lang w:val="af-ZA" w:eastAsia="en-GB"/>
        </w:rPr>
        <w:softHyphen/>
        <w:t>տա</w:t>
      </w:r>
      <w:r w:rsidRPr="007955BB">
        <w:rPr>
          <w:rFonts w:cs="Sylfaen"/>
          <w:b w:val="0"/>
          <w:iCs/>
          <w:szCs w:val="22"/>
          <w:lang w:val="af-ZA" w:eastAsia="en-GB"/>
        </w:rPr>
        <w:softHyphen/>
        <w:t>կան բյուջեի ժամանակավոր ազատ միջոցների տեղաբաշխումից և դեպոզիտներից ստաց</w:t>
      </w:r>
      <w:r w:rsidRPr="007955BB">
        <w:rPr>
          <w:rFonts w:cs="Sylfaen"/>
          <w:b w:val="0"/>
          <w:iCs/>
          <w:szCs w:val="22"/>
          <w:lang w:val="af-ZA" w:eastAsia="en-GB"/>
        </w:rPr>
        <w:softHyphen/>
      </w:r>
      <w:r w:rsidRPr="007955BB">
        <w:rPr>
          <w:rFonts w:cs="Sylfaen"/>
          <w:b w:val="0"/>
          <w:iCs/>
          <w:szCs w:val="22"/>
          <w:lang w:val="af-ZA" w:eastAsia="en-GB"/>
        </w:rPr>
        <w:softHyphen/>
        <w:t>վող տո</w:t>
      </w:r>
      <w:r w:rsidRPr="007955BB">
        <w:rPr>
          <w:rFonts w:cs="Sylfaen"/>
          <w:b w:val="0"/>
          <w:iCs/>
          <w:szCs w:val="22"/>
          <w:lang w:val="af-ZA" w:eastAsia="en-GB"/>
        </w:rPr>
        <w:softHyphen/>
        <w:t>կո</w:t>
      </w:r>
      <w:r w:rsidRPr="007955BB">
        <w:rPr>
          <w:rFonts w:cs="Sylfaen"/>
          <w:b w:val="0"/>
          <w:iCs/>
          <w:szCs w:val="22"/>
          <w:lang w:val="af-ZA" w:eastAsia="en-GB"/>
        </w:rPr>
        <w:softHyphen/>
        <w:t>սա</w:t>
      </w:r>
      <w:r w:rsidRPr="007955BB">
        <w:rPr>
          <w:rFonts w:cs="Sylfaen"/>
          <w:b w:val="0"/>
          <w:iCs/>
          <w:szCs w:val="22"/>
          <w:lang w:val="af-ZA" w:eastAsia="en-GB"/>
        </w:rPr>
        <w:softHyphen/>
        <w:t>վճար</w:t>
      </w:r>
      <w:r w:rsidRPr="007955BB">
        <w:rPr>
          <w:rFonts w:cs="Sylfaen"/>
          <w:b w:val="0"/>
          <w:iCs/>
          <w:szCs w:val="22"/>
          <w:lang w:val="af-ZA" w:eastAsia="en-GB"/>
        </w:rPr>
        <w:softHyphen/>
        <w:t>ները, իրավաբանական անձանց կապիտալում կատարված ներդրում</w:t>
      </w:r>
      <w:r w:rsidRPr="007955BB">
        <w:rPr>
          <w:rFonts w:cs="Sylfaen"/>
          <w:b w:val="0"/>
          <w:iCs/>
          <w:szCs w:val="22"/>
          <w:lang w:val="af-ZA" w:eastAsia="en-GB"/>
        </w:rPr>
        <w:softHyphen/>
        <w:t>ներից ստաց</w:t>
      </w:r>
      <w:r w:rsidRPr="007955BB">
        <w:rPr>
          <w:rFonts w:cs="Sylfaen"/>
          <w:b w:val="0"/>
          <w:iCs/>
          <w:szCs w:val="22"/>
          <w:lang w:val="af-ZA" w:eastAsia="en-GB"/>
        </w:rPr>
        <w:softHyphen/>
      </w:r>
      <w:r w:rsidRPr="007955BB">
        <w:rPr>
          <w:rFonts w:cs="Sylfaen"/>
          <w:b w:val="0"/>
          <w:iCs/>
          <w:szCs w:val="22"/>
          <w:lang w:val="af-ZA" w:eastAsia="en-GB"/>
        </w:rPr>
        <w:softHyphen/>
        <w:t>վող շահաբաժինները, պե</w:t>
      </w:r>
      <w:r w:rsidRPr="007955BB">
        <w:rPr>
          <w:rFonts w:cs="Sylfaen"/>
          <w:b w:val="0"/>
          <w:iCs/>
          <w:szCs w:val="22"/>
          <w:lang w:val="af-ZA" w:eastAsia="en-GB"/>
        </w:rPr>
        <w:softHyphen/>
        <w:t>տա</w:t>
      </w:r>
      <w:r w:rsidRPr="007955BB">
        <w:rPr>
          <w:rFonts w:cs="Sylfaen"/>
          <w:b w:val="0"/>
          <w:iCs/>
          <w:szCs w:val="22"/>
          <w:lang w:val="af-ZA" w:eastAsia="en-GB"/>
        </w:rPr>
        <w:softHyphen/>
        <w:t>կան ձեռնարկությունների գույքի օգտագործման վճար</w:t>
      </w:r>
      <w:r w:rsidRPr="007955BB">
        <w:rPr>
          <w:rFonts w:cs="Sylfaen"/>
          <w:b w:val="0"/>
          <w:iCs/>
          <w:szCs w:val="22"/>
          <w:lang w:val="af-ZA" w:eastAsia="en-GB"/>
        </w:rPr>
        <w:softHyphen/>
        <w:t>ները, պետության կողմից տրված վարկերի օգտագործ</w:t>
      </w:r>
      <w:r w:rsidRPr="007955BB">
        <w:rPr>
          <w:rFonts w:cs="Sylfaen"/>
          <w:b w:val="0"/>
          <w:iCs/>
          <w:szCs w:val="22"/>
          <w:lang w:val="af-ZA" w:eastAsia="en-GB"/>
        </w:rPr>
        <w:softHyphen/>
        <w:t>ման դի</w:t>
      </w:r>
      <w:r w:rsidRPr="007955BB">
        <w:rPr>
          <w:rFonts w:cs="Sylfaen"/>
          <w:b w:val="0"/>
          <w:iCs/>
          <w:szCs w:val="22"/>
          <w:lang w:val="af-ZA" w:eastAsia="en-GB"/>
        </w:rPr>
        <w:softHyphen/>
        <w:t>մաց վճարները (տոկոսավճար</w:t>
      </w:r>
      <w:r w:rsidRPr="007955BB">
        <w:rPr>
          <w:rFonts w:cs="Sylfaen"/>
          <w:b w:val="0"/>
          <w:iCs/>
          <w:szCs w:val="22"/>
          <w:lang w:val="af-ZA" w:eastAsia="en-GB"/>
        </w:rPr>
        <w:softHyphen/>
        <w:t>ները), իրա</w:t>
      </w:r>
      <w:r w:rsidRPr="007955BB">
        <w:rPr>
          <w:rFonts w:cs="Sylfaen"/>
          <w:b w:val="0"/>
          <w:iCs/>
          <w:szCs w:val="22"/>
          <w:lang w:val="af-ZA" w:eastAsia="en-GB"/>
        </w:rPr>
        <w:softHyphen/>
        <w:t>վա</w:t>
      </w:r>
      <w:r w:rsidRPr="007955BB">
        <w:rPr>
          <w:rFonts w:cs="Sylfaen"/>
          <w:b w:val="0"/>
          <w:iCs/>
          <w:szCs w:val="22"/>
          <w:lang w:val="af-ZA" w:eastAsia="en-GB"/>
        </w:rPr>
        <w:softHyphen/>
        <w:t>խախտումների համար գոր</w:t>
      </w:r>
      <w:r w:rsidRPr="007955BB">
        <w:rPr>
          <w:rFonts w:cs="Sylfaen"/>
          <w:b w:val="0"/>
          <w:iCs/>
          <w:szCs w:val="22"/>
          <w:lang w:val="af-ZA" w:eastAsia="en-GB"/>
        </w:rPr>
        <w:softHyphen/>
        <w:t>ծա</w:t>
      </w:r>
      <w:r w:rsidRPr="007955BB">
        <w:rPr>
          <w:rFonts w:cs="Sylfaen"/>
          <w:b w:val="0"/>
          <w:iCs/>
          <w:szCs w:val="22"/>
          <w:lang w:val="af-ZA" w:eastAsia="en-GB"/>
        </w:rPr>
        <w:softHyphen/>
        <w:t>դիր և դատական մար</w:t>
      </w:r>
      <w:r w:rsidRPr="007955BB">
        <w:rPr>
          <w:rFonts w:cs="Sylfaen"/>
          <w:b w:val="0"/>
          <w:iCs/>
          <w:szCs w:val="22"/>
          <w:lang w:val="af-ZA" w:eastAsia="en-GB"/>
        </w:rPr>
        <w:softHyphen/>
      </w:r>
      <w:r w:rsidRPr="007955BB">
        <w:rPr>
          <w:rFonts w:cs="Sylfaen"/>
          <w:b w:val="0"/>
          <w:iCs/>
          <w:szCs w:val="22"/>
          <w:lang w:val="af-ZA" w:eastAsia="en-GB"/>
        </w:rPr>
        <w:softHyphen/>
        <w:t>մին</w:t>
      </w:r>
      <w:r w:rsidRPr="007955BB">
        <w:rPr>
          <w:rFonts w:cs="Sylfaen"/>
          <w:b w:val="0"/>
          <w:iCs/>
          <w:szCs w:val="22"/>
          <w:lang w:val="af-ZA" w:eastAsia="en-GB"/>
        </w:rPr>
        <w:softHyphen/>
        <w:t>նե</w:t>
      </w:r>
      <w:r w:rsidRPr="007955BB">
        <w:rPr>
          <w:rFonts w:cs="Sylfaen"/>
          <w:b w:val="0"/>
          <w:iCs/>
          <w:szCs w:val="22"/>
          <w:lang w:val="af-ZA" w:eastAsia="en-GB"/>
        </w:rPr>
        <w:softHyphen/>
        <w:t>րի կողմից կիրառվող պատժամի</w:t>
      </w:r>
      <w:r w:rsidRPr="007955BB">
        <w:rPr>
          <w:rFonts w:cs="Sylfaen"/>
          <w:b w:val="0"/>
          <w:iCs/>
          <w:szCs w:val="22"/>
          <w:lang w:val="af-ZA" w:eastAsia="en-GB"/>
        </w:rPr>
        <w:softHyphen/>
        <w:t>ջոցներից ստացվող մուտքերը, պետական մարմինների կողմից ապրանքների մա</w:t>
      </w:r>
      <w:r w:rsidRPr="007955BB">
        <w:rPr>
          <w:rFonts w:cs="Sylfaen"/>
          <w:b w:val="0"/>
          <w:iCs/>
          <w:szCs w:val="22"/>
          <w:lang w:val="af-ZA" w:eastAsia="en-GB"/>
        </w:rPr>
        <w:softHyphen/>
        <w:t>տա</w:t>
      </w:r>
      <w:r w:rsidRPr="007955BB">
        <w:rPr>
          <w:rFonts w:cs="Sylfaen"/>
          <w:b w:val="0"/>
          <w:iCs/>
          <w:szCs w:val="22"/>
          <w:lang w:val="af-ZA" w:eastAsia="en-GB"/>
        </w:rPr>
        <w:softHyphen/>
        <w:t>կա</w:t>
      </w:r>
      <w:r w:rsidRPr="007955BB">
        <w:rPr>
          <w:rFonts w:cs="Sylfaen"/>
          <w:b w:val="0"/>
          <w:iCs/>
          <w:szCs w:val="22"/>
          <w:lang w:val="af-ZA" w:eastAsia="en-GB"/>
        </w:rPr>
        <w:softHyphen/>
        <w:t>րա</w:t>
      </w:r>
      <w:r w:rsidRPr="007955BB">
        <w:rPr>
          <w:rFonts w:cs="Sylfaen"/>
          <w:b w:val="0"/>
          <w:iCs/>
          <w:szCs w:val="22"/>
          <w:lang w:val="af-ZA" w:eastAsia="en-GB"/>
        </w:rPr>
        <w:softHyphen/>
        <w:t>րումից և ծառայությունների մատուցումից մուտքերը և այլ եկա</w:t>
      </w:r>
      <w:r w:rsidRPr="007955BB">
        <w:rPr>
          <w:rFonts w:cs="Sylfaen"/>
          <w:b w:val="0"/>
          <w:iCs/>
          <w:szCs w:val="22"/>
          <w:lang w:val="af-ZA" w:eastAsia="en-GB"/>
        </w:rPr>
        <w:softHyphen/>
        <w:t>մուտ</w:t>
      </w:r>
      <w:r w:rsidRPr="007955BB">
        <w:rPr>
          <w:rFonts w:cs="Sylfaen"/>
          <w:b w:val="0"/>
          <w:iCs/>
          <w:szCs w:val="22"/>
          <w:lang w:val="af-ZA" w:eastAsia="en-GB"/>
        </w:rPr>
        <w:softHyphen/>
        <w:t>ները:</w:t>
      </w:r>
    </w:p>
    <w:p w:rsidR="002D578A" w:rsidRPr="007955BB" w:rsidRDefault="002D578A" w:rsidP="002D578A">
      <w:pPr>
        <w:spacing w:before="0" w:line="276" w:lineRule="auto"/>
        <w:ind w:firstLine="562"/>
        <w:contextualSpacing w:val="0"/>
        <w:rPr>
          <w:rFonts w:cs="Sylfaen"/>
          <w:b w:val="0"/>
          <w:iCs/>
          <w:szCs w:val="22"/>
          <w:lang w:val="af-ZA" w:eastAsia="en-GB"/>
        </w:rPr>
      </w:pPr>
      <w:r w:rsidRPr="007955BB">
        <w:rPr>
          <w:rFonts w:cs="Sylfaen"/>
          <w:b w:val="0"/>
          <w:iCs/>
          <w:szCs w:val="22"/>
          <w:lang w:val="af-ZA" w:eastAsia="en-GB"/>
        </w:rPr>
        <w:t>Այլ եկամուտների գծով մուտքերը 2023 թվակ</w:t>
      </w:r>
      <w:r>
        <w:rPr>
          <w:rFonts w:cs="Sylfaen"/>
          <w:b w:val="0"/>
          <w:iCs/>
          <w:szCs w:val="22"/>
          <w:lang w:val="af-ZA" w:eastAsia="en-GB"/>
        </w:rPr>
        <w:t>անի համար համար ծրագրվել են 8</w:t>
      </w:r>
      <w:r w:rsidR="003F76D6">
        <w:rPr>
          <w:rFonts w:cs="Sylfaen"/>
          <w:b w:val="0"/>
          <w:iCs/>
          <w:szCs w:val="22"/>
          <w:lang w:val="af-ZA" w:eastAsia="en-GB"/>
        </w:rPr>
        <w:t>1</w:t>
      </w:r>
      <w:r>
        <w:rPr>
          <w:rFonts w:cs="Sylfaen"/>
          <w:b w:val="0"/>
          <w:iCs/>
          <w:szCs w:val="22"/>
          <w:lang w:val="af-ZA" w:eastAsia="en-GB"/>
        </w:rPr>
        <w:t>.1</w:t>
      </w:r>
      <w:r w:rsidRPr="007955BB">
        <w:rPr>
          <w:rFonts w:cs="Sylfaen"/>
          <w:b w:val="0"/>
          <w:iCs/>
          <w:szCs w:val="22"/>
          <w:lang w:val="af-ZA" w:eastAsia="en-GB"/>
        </w:rPr>
        <w:t xml:space="preserve"> մլրդ դրամի չափով, հաշվի առնելով գանձման համար պատաս</w:t>
      </w:r>
      <w:r w:rsidRPr="007955BB">
        <w:rPr>
          <w:rFonts w:cs="Sylfaen"/>
          <w:b w:val="0"/>
          <w:iCs/>
          <w:szCs w:val="22"/>
          <w:lang w:val="af-ZA" w:eastAsia="en-GB"/>
        </w:rPr>
        <w:softHyphen/>
        <w:t>խա</w:t>
      </w:r>
      <w:r w:rsidRPr="007955BB">
        <w:rPr>
          <w:rFonts w:cs="Sylfaen"/>
          <w:b w:val="0"/>
          <w:iCs/>
          <w:szCs w:val="22"/>
          <w:lang w:val="af-ZA" w:eastAsia="en-GB"/>
        </w:rPr>
        <w:softHyphen/>
        <w:t>նա</w:t>
      </w:r>
      <w:r w:rsidRPr="007955BB">
        <w:rPr>
          <w:rFonts w:cs="Sylfaen"/>
          <w:b w:val="0"/>
          <w:iCs/>
          <w:szCs w:val="22"/>
          <w:lang w:val="af-ZA" w:eastAsia="en-GB"/>
        </w:rPr>
        <w:softHyphen/>
        <w:t>տու պետական կա</w:t>
      </w:r>
      <w:r w:rsidRPr="007955BB">
        <w:rPr>
          <w:rFonts w:cs="Sylfaen"/>
          <w:b w:val="0"/>
          <w:iCs/>
          <w:szCs w:val="22"/>
          <w:lang w:val="af-ZA" w:eastAsia="en-GB"/>
        </w:rPr>
        <w:softHyphen/>
        <w:t>ռավարման մարմինների կողմից ՀՀ 2023 թվականի բյուջետային գործ</w:t>
      </w:r>
      <w:r w:rsidRPr="007955BB">
        <w:rPr>
          <w:rFonts w:cs="Sylfaen"/>
          <w:b w:val="0"/>
          <w:iCs/>
          <w:szCs w:val="22"/>
          <w:lang w:val="af-ZA" w:eastAsia="en-GB"/>
        </w:rPr>
        <w:softHyphen/>
        <w:t>ըն</w:t>
      </w:r>
      <w:r w:rsidRPr="007955BB">
        <w:rPr>
          <w:rFonts w:cs="Sylfaen"/>
          <w:b w:val="0"/>
          <w:iCs/>
          <w:szCs w:val="22"/>
          <w:lang w:val="af-ZA" w:eastAsia="en-GB"/>
        </w:rPr>
        <w:softHyphen/>
      </w:r>
      <w:r w:rsidRPr="007955BB">
        <w:rPr>
          <w:rFonts w:cs="Sylfaen"/>
          <w:b w:val="0"/>
          <w:iCs/>
          <w:szCs w:val="22"/>
          <w:lang w:val="af-ZA" w:eastAsia="en-GB"/>
        </w:rPr>
        <w:softHyphen/>
        <w:t>թացի շրջա</w:t>
      </w:r>
      <w:r w:rsidRPr="007955BB">
        <w:rPr>
          <w:rFonts w:cs="Sylfaen"/>
          <w:b w:val="0"/>
          <w:iCs/>
          <w:szCs w:val="22"/>
          <w:lang w:val="af-ZA" w:eastAsia="en-GB"/>
        </w:rPr>
        <w:softHyphen/>
      </w:r>
      <w:r w:rsidRPr="007955BB">
        <w:rPr>
          <w:rFonts w:cs="Sylfaen"/>
          <w:b w:val="0"/>
          <w:iCs/>
          <w:szCs w:val="22"/>
          <w:lang w:val="af-ZA" w:eastAsia="en-GB"/>
        </w:rPr>
        <w:softHyphen/>
        <w:t>նակում հա</w:t>
      </w:r>
      <w:r w:rsidRPr="007955BB">
        <w:rPr>
          <w:rFonts w:cs="Sylfaen"/>
          <w:b w:val="0"/>
          <w:iCs/>
          <w:szCs w:val="22"/>
          <w:lang w:val="af-ZA" w:eastAsia="en-GB"/>
        </w:rPr>
        <w:softHyphen/>
        <w:t>մա</w:t>
      </w:r>
      <w:r w:rsidRPr="007955BB">
        <w:rPr>
          <w:rFonts w:cs="Sylfaen"/>
          <w:b w:val="0"/>
          <w:iCs/>
          <w:szCs w:val="22"/>
          <w:lang w:val="af-ZA" w:eastAsia="en-GB"/>
        </w:rPr>
        <w:softHyphen/>
        <w:t>պա</w:t>
      </w:r>
      <w:r w:rsidRPr="007955BB">
        <w:rPr>
          <w:rFonts w:cs="Sylfaen"/>
          <w:b w:val="0"/>
          <w:iCs/>
          <w:szCs w:val="22"/>
          <w:lang w:val="af-ZA" w:eastAsia="en-GB"/>
        </w:rPr>
        <w:softHyphen/>
        <w:t>տաս</w:t>
      </w:r>
      <w:r w:rsidRPr="007955BB">
        <w:rPr>
          <w:rFonts w:cs="Sylfaen"/>
          <w:b w:val="0"/>
          <w:iCs/>
          <w:szCs w:val="22"/>
          <w:lang w:val="af-ZA" w:eastAsia="en-GB"/>
        </w:rPr>
        <w:softHyphen/>
        <w:t>խան հայտերով ներկայացված կանխատեսումները, կատար</w:t>
      </w:r>
      <w:r w:rsidRPr="007955BB">
        <w:rPr>
          <w:rFonts w:cs="Sylfaen"/>
          <w:b w:val="0"/>
          <w:iCs/>
          <w:szCs w:val="22"/>
          <w:lang w:val="af-ZA" w:eastAsia="en-GB"/>
        </w:rPr>
        <w:softHyphen/>
        <w:t>ված օրենս</w:t>
      </w:r>
      <w:r w:rsidRPr="007955BB">
        <w:rPr>
          <w:rFonts w:cs="Sylfaen"/>
          <w:b w:val="0"/>
          <w:iCs/>
          <w:szCs w:val="22"/>
          <w:lang w:val="af-ZA" w:eastAsia="en-GB"/>
        </w:rPr>
        <w:softHyphen/>
        <w:t>դրա</w:t>
      </w:r>
      <w:r w:rsidRPr="007955BB">
        <w:rPr>
          <w:rFonts w:cs="Sylfaen"/>
          <w:b w:val="0"/>
          <w:iCs/>
          <w:szCs w:val="22"/>
          <w:lang w:val="af-ZA" w:eastAsia="en-GB"/>
        </w:rPr>
        <w:softHyphen/>
        <w:t>կան փոփոխությունները, ինչ</w:t>
      </w:r>
      <w:r w:rsidRPr="007955BB">
        <w:rPr>
          <w:rFonts w:cs="Sylfaen"/>
          <w:b w:val="0"/>
          <w:iCs/>
          <w:szCs w:val="22"/>
          <w:lang w:val="af-ZA" w:eastAsia="en-GB"/>
        </w:rPr>
        <w:softHyphen/>
        <w:t>պես նաև առանձին եկամտատեսակների գծով նա</w:t>
      </w:r>
      <w:r w:rsidRPr="007955BB">
        <w:rPr>
          <w:rFonts w:cs="Sylfaen"/>
          <w:b w:val="0"/>
          <w:iCs/>
          <w:szCs w:val="22"/>
          <w:lang w:val="af-ZA" w:eastAsia="en-GB"/>
        </w:rPr>
        <w:softHyphen/>
        <w:t>խորդ տա</w:t>
      </w:r>
      <w:r w:rsidRPr="007955BB">
        <w:rPr>
          <w:rFonts w:cs="Sylfaen"/>
          <w:b w:val="0"/>
          <w:iCs/>
          <w:szCs w:val="22"/>
          <w:lang w:val="af-ZA" w:eastAsia="en-GB"/>
        </w:rPr>
        <w:softHyphen/>
        <w:t>րի</w:t>
      </w:r>
      <w:r w:rsidRPr="007955BB">
        <w:rPr>
          <w:rFonts w:cs="Sylfaen"/>
          <w:b w:val="0"/>
          <w:iCs/>
          <w:szCs w:val="22"/>
          <w:lang w:val="af-ZA" w:eastAsia="en-GB"/>
        </w:rPr>
        <w:softHyphen/>
        <w:t>նե</w:t>
      </w:r>
      <w:r w:rsidRPr="007955BB">
        <w:rPr>
          <w:rFonts w:cs="Sylfaen"/>
          <w:b w:val="0"/>
          <w:iCs/>
          <w:szCs w:val="22"/>
          <w:lang w:val="af-ZA" w:eastAsia="en-GB"/>
        </w:rPr>
        <w:softHyphen/>
        <w:t>րին արձանագրված միտումները:</w:t>
      </w:r>
    </w:p>
    <w:p w:rsidR="002D578A" w:rsidRPr="007955BB" w:rsidRDefault="002D578A" w:rsidP="002D578A">
      <w:pPr>
        <w:spacing w:before="0" w:line="276" w:lineRule="auto"/>
        <w:ind w:firstLine="562"/>
        <w:contextualSpacing w:val="0"/>
        <w:rPr>
          <w:rFonts w:cs="Sylfaen"/>
          <w:b w:val="0"/>
          <w:iCs/>
          <w:szCs w:val="22"/>
          <w:lang w:val="af-ZA" w:eastAsia="en-GB"/>
        </w:rPr>
      </w:pPr>
      <w:r w:rsidRPr="007955BB">
        <w:rPr>
          <w:rFonts w:cs="Sylfaen"/>
          <w:b w:val="0"/>
          <w:iCs/>
          <w:szCs w:val="22"/>
          <w:lang w:val="af-ZA" w:eastAsia="en-GB"/>
        </w:rPr>
        <w:t>Այլ եկամուտների գծով կանխատեսումային ցուցանիշների ընդհանուր պատկերն ըստ եկամտի հիմնական աղբյուրների հետևյալն է.</w:t>
      </w:r>
    </w:p>
    <w:p w:rsidR="002D578A" w:rsidRPr="007955BB" w:rsidRDefault="002D578A" w:rsidP="002D578A">
      <w:pPr>
        <w:keepNext/>
        <w:spacing w:after="200"/>
        <w:rPr>
          <w:bCs/>
          <w:i/>
          <w:color w:val="4472C4"/>
          <w:sz w:val="18"/>
          <w:szCs w:val="18"/>
          <w:lang w:val="af-ZA"/>
        </w:rPr>
      </w:pPr>
      <w:r w:rsidRPr="007955BB">
        <w:rPr>
          <w:b w:val="0"/>
          <w:bCs/>
          <w:color w:val="4472C4"/>
          <w:sz w:val="18"/>
          <w:szCs w:val="18"/>
        </w:rPr>
        <w:t>Աղյուսակ</w:t>
      </w:r>
      <w:r w:rsidRPr="007955BB">
        <w:rPr>
          <w:b w:val="0"/>
          <w:bCs/>
          <w:color w:val="4472C4"/>
          <w:sz w:val="18"/>
          <w:szCs w:val="18"/>
          <w:lang w:val="af-ZA"/>
        </w:rPr>
        <w:t xml:space="preserve"> </w:t>
      </w:r>
      <w:r w:rsidR="00B86F49" w:rsidRPr="00764C1F">
        <w:rPr>
          <w:b w:val="0"/>
          <w:bCs/>
          <w:color w:val="4472C4"/>
          <w:sz w:val="18"/>
          <w:szCs w:val="18"/>
          <w:lang w:val="af-ZA"/>
        </w:rPr>
        <w:t>9</w:t>
      </w:r>
      <w:r w:rsidRPr="007955BB">
        <w:rPr>
          <w:b w:val="0"/>
          <w:bCs/>
          <w:color w:val="4472C4"/>
          <w:sz w:val="18"/>
          <w:szCs w:val="18"/>
          <w:lang w:val="af-ZA"/>
        </w:rPr>
        <w:t xml:space="preserve">. </w:t>
      </w:r>
      <w:r w:rsidRPr="007955BB">
        <w:rPr>
          <w:bCs/>
          <w:i/>
          <w:color w:val="4472C4"/>
          <w:sz w:val="18"/>
          <w:szCs w:val="18"/>
        </w:rPr>
        <w:t>Այլ</w:t>
      </w:r>
      <w:r w:rsidRPr="007955BB">
        <w:rPr>
          <w:bCs/>
          <w:i/>
          <w:color w:val="4472C4"/>
          <w:sz w:val="18"/>
          <w:szCs w:val="18"/>
          <w:lang w:val="af-ZA"/>
        </w:rPr>
        <w:t xml:space="preserve"> </w:t>
      </w:r>
      <w:r w:rsidRPr="007955BB">
        <w:rPr>
          <w:bCs/>
          <w:i/>
          <w:color w:val="4472C4"/>
          <w:sz w:val="18"/>
          <w:szCs w:val="18"/>
        </w:rPr>
        <w:t>եկամուտների</w:t>
      </w:r>
      <w:r w:rsidRPr="007955BB">
        <w:rPr>
          <w:bCs/>
          <w:i/>
          <w:color w:val="4472C4"/>
          <w:sz w:val="18"/>
          <w:szCs w:val="18"/>
          <w:lang w:val="af-ZA"/>
        </w:rPr>
        <w:t xml:space="preserve"> </w:t>
      </w:r>
      <w:r w:rsidRPr="007955BB">
        <w:rPr>
          <w:bCs/>
          <w:i/>
          <w:color w:val="4472C4"/>
          <w:sz w:val="18"/>
          <w:szCs w:val="18"/>
        </w:rPr>
        <w:t>կազմում</w:t>
      </w:r>
      <w:r w:rsidRPr="007955BB">
        <w:rPr>
          <w:bCs/>
          <w:i/>
          <w:color w:val="4472C4"/>
          <w:sz w:val="18"/>
          <w:szCs w:val="18"/>
          <w:lang w:val="af-ZA"/>
        </w:rPr>
        <w:t xml:space="preserve"> </w:t>
      </w:r>
      <w:r w:rsidRPr="007955BB">
        <w:rPr>
          <w:bCs/>
          <w:i/>
          <w:color w:val="4472C4"/>
          <w:sz w:val="18"/>
          <w:szCs w:val="18"/>
        </w:rPr>
        <w:t>հաշվառվող</w:t>
      </w:r>
      <w:r w:rsidRPr="007955BB">
        <w:rPr>
          <w:bCs/>
          <w:i/>
          <w:color w:val="4472C4"/>
          <w:sz w:val="18"/>
          <w:szCs w:val="18"/>
          <w:lang w:val="af-ZA"/>
        </w:rPr>
        <w:t xml:space="preserve"> </w:t>
      </w:r>
      <w:r w:rsidRPr="007955BB">
        <w:rPr>
          <w:bCs/>
          <w:i/>
          <w:color w:val="4472C4"/>
          <w:sz w:val="18"/>
          <w:szCs w:val="18"/>
        </w:rPr>
        <w:t>եկամտատեսակների</w:t>
      </w:r>
      <w:r w:rsidRPr="007955BB">
        <w:rPr>
          <w:bCs/>
          <w:i/>
          <w:color w:val="4472C4"/>
          <w:sz w:val="18"/>
          <w:szCs w:val="18"/>
          <w:lang w:val="af-ZA"/>
        </w:rPr>
        <w:t xml:space="preserve"> </w:t>
      </w:r>
      <w:r w:rsidRPr="007955BB">
        <w:rPr>
          <w:bCs/>
          <w:i/>
          <w:color w:val="4472C4"/>
          <w:sz w:val="18"/>
          <w:szCs w:val="18"/>
        </w:rPr>
        <w:t>գծով</w:t>
      </w:r>
      <w:r w:rsidRPr="007955BB">
        <w:rPr>
          <w:bCs/>
          <w:i/>
          <w:color w:val="4472C4"/>
          <w:sz w:val="18"/>
          <w:szCs w:val="18"/>
          <w:lang w:val="af-ZA"/>
        </w:rPr>
        <w:t xml:space="preserve"> </w:t>
      </w:r>
      <w:r w:rsidRPr="007955BB">
        <w:rPr>
          <w:bCs/>
          <w:i/>
          <w:color w:val="4472C4"/>
          <w:sz w:val="18"/>
          <w:szCs w:val="18"/>
        </w:rPr>
        <w:t>ՀՀ</w:t>
      </w:r>
      <w:r w:rsidRPr="007955BB">
        <w:rPr>
          <w:bCs/>
          <w:i/>
          <w:color w:val="4472C4"/>
          <w:sz w:val="18"/>
          <w:szCs w:val="18"/>
          <w:lang w:val="af-ZA"/>
        </w:rPr>
        <w:t xml:space="preserve"> 2019-2023</w:t>
      </w:r>
      <w:r w:rsidRPr="007955BB">
        <w:rPr>
          <w:bCs/>
          <w:i/>
          <w:color w:val="4472C4"/>
          <w:sz w:val="18"/>
          <w:szCs w:val="18"/>
        </w:rPr>
        <w:t>թթ</w:t>
      </w:r>
      <w:r w:rsidRPr="007955BB">
        <w:rPr>
          <w:bCs/>
          <w:i/>
          <w:color w:val="4472C4"/>
          <w:sz w:val="18"/>
          <w:szCs w:val="18"/>
          <w:lang w:val="af-ZA"/>
        </w:rPr>
        <w:t xml:space="preserve"> </w:t>
      </w:r>
      <w:r w:rsidRPr="007955BB">
        <w:rPr>
          <w:bCs/>
          <w:i/>
          <w:color w:val="4472C4"/>
          <w:sz w:val="18"/>
          <w:szCs w:val="18"/>
        </w:rPr>
        <w:t>փաստացի</w:t>
      </w:r>
      <w:r w:rsidRPr="007955BB">
        <w:rPr>
          <w:bCs/>
          <w:i/>
          <w:color w:val="4472C4"/>
          <w:sz w:val="18"/>
          <w:szCs w:val="18"/>
          <w:lang w:val="af-ZA"/>
        </w:rPr>
        <w:t>/</w:t>
      </w:r>
      <w:r w:rsidRPr="007955BB">
        <w:rPr>
          <w:bCs/>
          <w:i/>
          <w:color w:val="4472C4"/>
          <w:sz w:val="18"/>
          <w:szCs w:val="18"/>
        </w:rPr>
        <w:t>կանխատեսումային</w:t>
      </w:r>
      <w:r w:rsidRPr="007955BB">
        <w:rPr>
          <w:bCs/>
          <w:i/>
          <w:color w:val="4472C4"/>
          <w:sz w:val="18"/>
          <w:szCs w:val="18"/>
          <w:lang w:val="af-ZA"/>
        </w:rPr>
        <w:t xml:space="preserve"> </w:t>
      </w:r>
      <w:r w:rsidRPr="007955BB">
        <w:rPr>
          <w:bCs/>
          <w:i/>
          <w:color w:val="4472C4"/>
          <w:sz w:val="18"/>
          <w:szCs w:val="18"/>
        </w:rPr>
        <w:t>ցուցանիշները</w:t>
      </w:r>
      <w:r w:rsidRPr="007955BB">
        <w:rPr>
          <w:bCs/>
          <w:i/>
          <w:color w:val="4472C4"/>
          <w:sz w:val="18"/>
          <w:szCs w:val="18"/>
          <w:lang w:val="af-ZA"/>
        </w:rPr>
        <w:t xml:space="preserve"> (</w:t>
      </w:r>
      <w:r w:rsidRPr="007955BB">
        <w:rPr>
          <w:bCs/>
          <w:i/>
          <w:color w:val="4472C4"/>
          <w:sz w:val="18"/>
          <w:szCs w:val="18"/>
        </w:rPr>
        <w:t>մլրդ</w:t>
      </w:r>
      <w:r w:rsidRPr="007955BB">
        <w:rPr>
          <w:bCs/>
          <w:i/>
          <w:color w:val="4472C4"/>
          <w:sz w:val="18"/>
          <w:szCs w:val="18"/>
          <w:lang w:val="af-ZA"/>
        </w:rPr>
        <w:t xml:space="preserve"> </w:t>
      </w:r>
      <w:r w:rsidRPr="007955BB">
        <w:rPr>
          <w:bCs/>
          <w:i/>
          <w:color w:val="4472C4"/>
          <w:sz w:val="18"/>
          <w:szCs w:val="18"/>
        </w:rPr>
        <w:t>դրամներով</w:t>
      </w:r>
      <w:r w:rsidRPr="007955BB">
        <w:rPr>
          <w:bCs/>
          <w:i/>
          <w:color w:val="4472C4"/>
          <w:sz w:val="18"/>
          <w:szCs w:val="18"/>
          <w:lang w:val="af-ZA"/>
        </w:rPr>
        <w:t>)</w:t>
      </w:r>
    </w:p>
    <w:tbl>
      <w:tblPr>
        <w:tblW w:w="95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1077"/>
        <w:gridCol w:w="1077"/>
        <w:gridCol w:w="1077"/>
        <w:gridCol w:w="1077"/>
        <w:gridCol w:w="1077"/>
      </w:tblGrid>
      <w:tr w:rsidR="002D578A" w:rsidRPr="007955BB" w:rsidTr="00151C57">
        <w:trPr>
          <w:trHeight w:val="690"/>
        </w:trPr>
        <w:tc>
          <w:tcPr>
            <w:tcW w:w="4135" w:type="dxa"/>
            <w:shd w:val="clear" w:color="auto" w:fill="4472C4"/>
            <w:vAlign w:val="center"/>
            <w:hideMark/>
          </w:tcPr>
          <w:p w:rsidR="002D578A" w:rsidRPr="007955BB" w:rsidRDefault="002D578A" w:rsidP="00151C57">
            <w:pPr>
              <w:spacing w:before="0" w:line="276" w:lineRule="auto"/>
              <w:ind w:firstLine="0"/>
              <w:contextualSpacing w:val="0"/>
              <w:jc w:val="left"/>
              <w:rPr>
                <w:rFonts w:cs="Calibri"/>
                <w:bCs/>
                <w:color w:val="FFFFFF"/>
                <w:sz w:val="20"/>
                <w:szCs w:val="20"/>
                <w:lang w:val="en-US" w:eastAsia="en-US"/>
              </w:rPr>
            </w:pPr>
            <w:r w:rsidRPr="007955BB">
              <w:rPr>
                <w:rFonts w:cs="Calibri"/>
                <w:bCs/>
                <w:color w:val="FFFFFF"/>
                <w:sz w:val="20"/>
                <w:szCs w:val="20"/>
                <w:lang w:val="en-US" w:eastAsia="en-US"/>
              </w:rPr>
              <w:t>Այլ եկամուտներ</w:t>
            </w:r>
          </w:p>
        </w:tc>
        <w:tc>
          <w:tcPr>
            <w:tcW w:w="1077" w:type="dxa"/>
            <w:shd w:val="clear" w:color="auto" w:fill="4472C4"/>
            <w:vAlign w:val="center"/>
            <w:hideMark/>
          </w:tcPr>
          <w:p w:rsidR="002D578A" w:rsidRPr="007955BB" w:rsidRDefault="002D578A" w:rsidP="00151C57">
            <w:pPr>
              <w:spacing w:before="0" w:line="276" w:lineRule="auto"/>
              <w:ind w:firstLine="0"/>
              <w:contextualSpacing w:val="0"/>
              <w:jc w:val="center"/>
              <w:rPr>
                <w:rFonts w:cs="Calibri"/>
                <w:color w:val="FFFFFF"/>
                <w:sz w:val="20"/>
                <w:szCs w:val="20"/>
                <w:lang w:val="en-US" w:eastAsia="en-US"/>
              </w:rPr>
            </w:pPr>
            <w:r w:rsidRPr="007955BB">
              <w:rPr>
                <w:rFonts w:cs="Calibri"/>
                <w:color w:val="FFFFFF"/>
                <w:sz w:val="20"/>
                <w:szCs w:val="20"/>
                <w:lang w:val="en-US" w:eastAsia="en-US"/>
              </w:rPr>
              <w:t>2019թ</w:t>
            </w:r>
            <w:r w:rsidRPr="007955BB">
              <w:rPr>
                <w:rFonts w:cs="Calibri"/>
                <w:color w:val="FFFFFF"/>
                <w:sz w:val="20"/>
                <w:szCs w:val="20"/>
                <w:lang w:val="en-US" w:eastAsia="en-US"/>
              </w:rPr>
              <w:br/>
              <w:t>փաստ</w:t>
            </w:r>
          </w:p>
        </w:tc>
        <w:tc>
          <w:tcPr>
            <w:tcW w:w="1077" w:type="dxa"/>
            <w:shd w:val="clear" w:color="auto" w:fill="4472C4"/>
            <w:vAlign w:val="center"/>
            <w:hideMark/>
          </w:tcPr>
          <w:p w:rsidR="002D578A" w:rsidRPr="007955BB" w:rsidRDefault="002D578A" w:rsidP="00151C57">
            <w:pPr>
              <w:spacing w:before="0" w:line="276" w:lineRule="auto"/>
              <w:ind w:firstLine="0"/>
              <w:contextualSpacing w:val="0"/>
              <w:jc w:val="center"/>
              <w:rPr>
                <w:rFonts w:cs="Calibri"/>
                <w:color w:val="FFFFFF"/>
                <w:sz w:val="20"/>
                <w:szCs w:val="20"/>
                <w:lang w:val="en-US" w:eastAsia="en-US"/>
              </w:rPr>
            </w:pPr>
            <w:r w:rsidRPr="007955BB">
              <w:rPr>
                <w:rFonts w:cs="Calibri"/>
                <w:color w:val="FFFFFF"/>
                <w:sz w:val="20"/>
                <w:szCs w:val="20"/>
                <w:lang w:val="en-US" w:eastAsia="en-US"/>
              </w:rPr>
              <w:t>2020թ</w:t>
            </w:r>
            <w:r w:rsidRPr="007955BB">
              <w:rPr>
                <w:rFonts w:cs="Calibri"/>
                <w:color w:val="FFFFFF"/>
                <w:sz w:val="20"/>
                <w:szCs w:val="20"/>
                <w:lang w:val="en-US" w:eastAsia="en-US"/>
              </w:rPr>
              <w:br/>
              <w:t>փաստ</w:t>
            </w:r>
          </w:p>
        </w:tc>
        <w:tc>
          <w:tcPr>
            <w:tcW w:w="1077" w:type="dxa"/>
            <w:shd w:val="clear" w:color="auto" w:fill="4472C4"/>
            <w:vAlign w:val="center"/>
            <w:hideMark/>
          </w:tcPr>
          <w:p w:rsidR="002D578A" w:rsidRPr="007955BB" w:rsidRDefault="002D578A" w:rsidP="00151C57">
            <w:pPr>
              <w:spacing w:before="0" w:line="276" w:lineRule="auto"/>
              <w:ind w:firstLine="0"/>
              <w:contextualSpacing w:val="0"/>
              <w:jc w:val="center"/>
              <w:rPr>
                <w:rFonts w:cs="Calibri"/>
                <w:color w:val="FFFFFF"/>
                <w:sz w:val="20"/>
                <w:szCs w:val="20"/>
                <w:lang w:val="en-US" w:eastAsia="en-US"/>
              </w:rPr>
            </w:pPr>
            <w:r w:rsidRPr="007955BB">
              <w:rPr>
                <w:rFonts w:cs="Calibri"/>
                <w:color w:val="FFFFFF"/>
                <w:sz w:val="20"/>
                <w:szCs w:val="20"/>
                <w:lang w:val="en-US" w:eastAsia="en-US"/>
              </w:rPr>
              <w:t>2021թ</w:t>
            </w:r>
            <w:r w:rsidRPr="007955BB">
              <w:rPr>
                <w:rFonts w:cs="Calibri"/>
                <w:color w:val="FFFFFF"/>
                <w:sz w:val="20"/>
                <w:szCs w:val="20"/>
                <w:lang w:val="en-US" w:eastAsia="en-US"/>
              </w:rPr>
              <w:br/>
              <w:t>փաստ</w:t>
            </w:r>
          </w:p>
        </w:tc>
        <w:tc>
          <w:tcPr>
            <w:tcW w:w="1077" w:type="dxa"/>
            <w:shd w:val="clear" w:color="auto" w:fill="4472C4"/>
            <w:vAlign w:val="center"/>
            <w:hideMark/>
          </w:tcPr>
          <w:p w:rsidR="002D578A" w:rsidRPr="007955BB" w:rsidRDefault="002D578A" w:rsidP="00151C57">
            <w:pPr>
              <w:spacing w:before="0" w:line="276" w:lineRule="auto"/>
              <w:ind w:firstLine="0"/>
              <w:contextualSpacing w:val="0"/>
              <w:jc w:val="center"/>
              <w:rPr>
                <w:rFonts w:cs="Calibri"/>
                <w:color w:val="FFFFFF"/>
                <w:sz w:val="20"/>
                <w:szCs w:val="20"/>
                <w:lang w:val="en-US" w:eastAsia="en-US"/>
              </w:rPr>
            </w:pPr>
            <w:r w:rsidRPr="007955BB">
              <w:rPr>
                <w:rFonts w:cs="Calibri"/>
                <w:color w:val="FFFFFF"/>
                <w:sz w:val="20"/>
                <w:szCs w:val="20"/>
                <w:lang w:val="en-US" w:eastAsia="en-US"/>
              </w:rPr>
              <w:t>2022թ</w:t>
            </w:r>
            <w:r w:rsidRPr="007955BB">
              <w:rPr>
                <w:rFonts w:cs="Calibri"/>
                <w:color w:val="FFFFFF"/>
                <w:sz w:val="20"/>
                <w:szCs w:val="20"/>
                <w:lang w:val="en-US" w:eastAsia="en-US"/>
              </w:rPr>
              <w:br/>
              <w:t>բյուջե</w:t>
            </w:r>
          </w:p>
        </w:tc>
        <w:tc>
          <w:tcPr>
            <w:tcW w:w="1077" w:type="dxa"/>
            <w:shd w:val="clear" w:color="auto" w:fill="4472C4"/>
            <w:vAlign w:val="center"/>
            <w:hideMark/>
          </w:tcPr>
          <w:p w:rsidR="002D578A" w:rsidRPr="007955BB" w:rsidRDefault="002D578A" w:rsidP="00151C57">
            <w:pPr>
              <w:spacing w:before="0" w:line="276" w:lineRule="auto"/>
              <w:ind w:firstLine="0"/>
              <w:contextualSpacing w:val="0"/>
              <w:jc w:val="center"/>
              <w:rPr>
                <w:rFonts w:cs="Calibri"/>
                <w:color w:val="FFFFFF"/>
                <w:sz w:val="20"/>
                <w:szCs w:val="20"/>
                <w:lang w:val="en-US" w:eastAsia="en-US"/>
              </w:rPr>
            </w:pPr>
            <w:r w:rsidRPr="007955BB">
              <w:rPr>
                <w:rFonts w:cs="Calibri"/>
                <w:color w:val="FFFFFF"/>
                <w:sz w:val="20"/>
                <w:szCs w:val="20"/>
                <w:lang w:val="en-US" w:eastAsia="en-US"/>
              </w:rPr>
              <w:t>2023թ</w:t>
            </w:r>
            <w:r w:rsidRPr="007955BB">
              <w:rPr>
                <w:rFonts w:cs="Calibri"/>
                <w:color w:val="FFFFFF"/>
                <w:sz w:val="20"/>
                <w:szCs w:val="20"/>
                <w:lang w:val="en-US" w:eastAsia="en-US"/>
              </w:rPr>
              <w:br/>
              <w:t>կանխատեսում</w:t>
            </w:r>
          </w:p>
        </w:tc>
      </w:tr>
      <w:tr w:rsidR="002D578A" w:rsidRPr="007955BB" w:rsidTr="00151C57">
        <w:trPr>
          <w:trHeight w:val="390"/>
        </w:trPr>
        <w:tc>
          <w:tcPr>
            <w:tcW w:w="4135" w:type="dxa"/>
            <w:shd w:val="clear" w:color="auto" w:fill="D9E2F3"/>
            <w:vAlign w:val="center"/>
            <w:hideMark/>
          </w:tcPr>
          <w:p w:rsidR="002D578A" w:rsidRPr="007955BB" w:rsidRDefault="002D578A" w:rsidP="00151C57">
            <w:pPr>
              <w:spacing w:before="0" w:line="276" w:lineRule="auto"/>
              <w:ind w:firstLine="0"/>
              <w:contextualSpacing w:val="0"/>
              <w:jc w:val="left"/>
              <w:rPr>
                <w:rFonts w:cs="Calibri"/>
                <w:bCs/>
                <w:color w:val="000000"/>
                <w:sz w:val="20"/>
                <w:szCs w:val="20"/>
                <w:lang w:val="en-US" w:eastAsia="en-US"/>
              </w:rPr>
            </w:pPr>
            <w:r w:rsidRPr="007955BB">
              <w:rPr>
                <w:rFonts w:cs="Calibri"/>
                <w:bCs/>
                <w:color w:val="000000"/>
                <w:sz w:val="20"/>
                <w:szCs w:val="20"/>
                <w:lang w:val="en-US" w:eastAsia="en-US"/>
              </w:rPr>
              <w:t>Ընդամենը</w:t>
            </w:r>
          </w:p>
        </w:tc>
        <w:tc>
          <w:tcPr>
            <w:tcW w:w="1077" w:type="dxa"/>
            <w:shd w:val="clear" w:color="auto" w:fill="D9E2F3"/>
            <w:noWrap/>
            <w:vAlign w:val="center"/>
            <w:hideMark/>
          </w:tcPr>
          <w:p w:rsidR="002D578A" w:rsidRPr="007955BB" w:rsidRDefault="002D578A"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88.8</w:t>
            </w:r>
          </w:p>
        </w:tc>
        <w:tc>
          <w:tcPr>
            <w:tcW w:w="1077" w:type="dxa"/>
            <w:shd w:val="clear" w:color="auto" w:fill="D9E2F3"/>
            <w:noWrap/>
            <w:vAlign w:val="center"/>
            <w:hideMark/>
          </w:tcPr>
          <w:p w:rsidR="002D578A" w:rsidRPr="007955BB" w:rsidRDefault="002D578A"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122.2</w:t>
            </w:r>
          </w:p>
        </w:tc>
        <w:tc>
          <w:tcPr>
            <w:tcW w:w="1077" w:type="dxa"/>
            <w:shd w:val="clear" w:color="auto" w:fill="D9E2F3"/>
            <w:noWrap/>
            <w:vAlign w:val="center"/>
            <w:hideMark/>
          </w:tcPr>
          <w:p w:rsidR="002D578A" w:rsidRPr="007955BB" w:rsidRDefault="002D578A"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84.6 </w:t>
            </w:r>
          </w:p>
        </w:tc>
        <w:tc>
          <w:tcPr>
            <w:tcW w:w="1077" w:type="dxa"/>
            <w:shd w:val="clear" w:color="auto" w:fill="D9E2F3"/>
            <w:noWrap/>
            <w:vAlign w:val="center"/>
            <w:hideMark/>
          </w:tcPr>
          <w:p w:rsidR="002D578A" w:rsidRPr="007955BB" w:rsidRDefault="002D578A"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62.1  </w:t>
            </w:r>
          </w:p>
        </w:tc>
        <w:tc>
          <w:tcPr>
            <w:tcW w:w="1077" w:type="dxa"/>
            <w:shd w:val="clear" w:color="auto" w:fill="D9E2F3"/>
            <w:noWrap/>
            <w:vAlign w:val="center"/>
            <w:hideMark/>
          </w:tcPr>
          <w:p w:rsidR="002D578A" w:rsidRPr="007955BB" w:rsidRDefault="002D578A" w:rsidP="003F76D6">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8</w:t>
            </w:r>
            <w:r w:rsidR="003F76D6">
              <w:rPr>
                <w:rFonts w:cs="Calibri"/>
                <w:b w:val="0"/>
                <w:color w:val="000000"/>
                <w:sz w:val="20"/>
                <w:szCs w:val="20"/>
                <w:lang w:val="en-US" w:eastAsia="en-US"/>
              </w:rPr>
              <w:t>1</w:t>
            </w:r>
            <w:r w:rsidRPr="007955BB">
              <w:rPr>
                <w:rFonts w:cs="Calibri"/>
                <w:b w:val="0"/>
                <w:color w:val="000000"/>
                <w:sz w:val="20"/>
                <w:szCs w:val="20"/>
                <w:lang w:val="en-US" w:eastAsia="en-US"/>
              </w:rPr>
              <w:t>.</w:t>
            </w:r>
            <w:r>
              <w:rPr>
                <w:rFonts w:cs="Calibri"/>
                <w:b w:val="0"/>
                <w:color w:val="000000"/>
                <w:sz w:val="20"/>
                <w:szCs w:val="20"/>
                <w:lang w:val="en-US" w:eastAsia="en-US"/>
              </w:rPr>
              <w:t>1</w:t>
            </w:r>
            <w:r w:rsidRPr="007955BB">
              <w:rPr>
                <w:rFonts w:cs="Calibri"/>
                <w:b w:val="0"/>
                <w:color w:val="000000"/>
                <w:sz w:val="20"/>
                <w:szCs w:val="20"/>
                <w:lang w:val="en-US" w:eastAsia="en-US"/>
              </w:rPr>
              <w:t xml:space="preserve"> </w:t>
            </w:r>
          </w:p>
        </w:tc>
      </w:tr>
      <w:tr w:rsidR="002D578A" w:rsidRPr="007955BB" w:rsidTr="00151C57">
        <w:trPr>
          <w:trHeight w:val="1007"/>
        </w:trPr>
        <w:tc>
          <w:tcPr>
            <w:tcW w:w="4135" w:type="dxa"/>
            <w:shd w:val="clear" w:color="auto" w:fill="auto"/>
            <w:vAlign w:val="center"/>
            <w:hideMark/>
          </w:tcPr>
          <w:p w:rsidR="002D578A" w:rsidRPr="007955BB" w:rsidRDefault="002D578A" w:rsidP="00151C57">
            <w:pPr>
              <w:spacing w:before="0" w:line="276" w:lineRule="auto"/>
              <w:ind w:firstLine="0"/>
              <w:contextualSpacing w:val="0"/>
              <w:jc w:val="left"/>
              <w:rPr>
                <w:rFonts w:cs="Calibri"/>
                <w:b w:val="0"/>
                <w:color w:val="000000"/>
                <w:sz w:val="20"/>
                <w:szCs w:val="20"/>
                <w:lang w:eastAsia="en-US"/>
              </w:rPr>
            </w:pPr>
            <w:r w:rsidRPr="007955BB">
              <w:rPr>
                <w:rFonts w:cs="Calibri"/>
                <w:b w:val="0"/>
                <w:color w:val="000000"/>
                <w:sz w:val="20"/>
                <w:szCs w:val="20"/>
                <w:lang w:val="en-US" w:eastAsia="en-US"/>
              </w:rPr>
              <w:t>Պետական</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սեփականություն</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հանդիսացող</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գույքի</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վարձակալությունից</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եկամուտներ</w:t>
            </w:r>
          </w:p>
        </w:tc>
        <w:tc>
          <w:tcPr>
            <w:tcW w:w="1077" w:type="dxa"/>
            <w:shd w:val="clear" w:color="auto" w:fill="auto"/>
            <w:noWrap/>
            <w:vAlign w:val="center"/>
            <w:hideMark/>
          </w:tcPr>
          <w:p w:rsidR="002D578A" w:rsidRPr="007955BB" w:rsidRDefault="002D578A"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eastAsia="en-US"/>
              </w:rPr>
              <w:t xml:space="preserve">                      </w:t>
            </w:r>
            <w:r w:rsidRPr="007955BB">
              <w:rPr>
                <w:rFonts w:cs="Calibri"/>
                <w:b w:val="0"/>
                <w:color w:val="000000"/>
                <w:sz w:val="20"/>
                <w:szCs w:val="20"/>
                <w:lang w:val="en-US" w:eastAsia="en-US"/>
              </w:rPr>
              <w:t>2.4</w:t>
            </w:r>
          </w:p>
        </w:tc>
        <w:tc>
          <w:tcPr>
            <w:tcW w:w="1077" w:type="dxa"/>
            <w:shd w:val="clear" w:color="auto" w:fill="auto"/>
            <w:noWrap/>
            <w:vAlign w:val="center"/>
            <w:hideMark/>
          </w:tcPr>
          <w:p w:rsidR="002D578A" w:rsidRPr="007955BB" w:rsidRDefault="002D578A"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0.4  </w:t>
            </w:r>
          </w:p>
        </w:tc>
        <w:tc>
          <w:tcPr>
            <w:tcW w:w="1077" w:type="dxa"/>
            <w:shd w:val="clear" w:color="auto" w:fill="auto"/>
            <w:noWrap/>
            <w:vAlign w:val="center"/>
            <w:hideMark/>
          </w:tcPr>
          <w:p w:rsidR="002D578A" w:rsidRPr="007955BB" w:rsidRDefault="002D578A"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1.2 </w:t>
            </w:r>
          </w:p>
        </w:tc>
        <w:tc>
          <w:tcPr>
            <w:tcW w:w="1077" w:type="dxa"/>
            <w:shd w:val="clear" w:color="auto" w:fill="auto"/>
            <w:noWrap/>
            <w:vAlign w:val="center"/>
            <w:hideMark/>
          </w:tcPr>
          <w:p w:rsidR="002D578A" w:rsidRPr="007955BB" w:rsidRDefault="002D578A"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6.7</w:t>
            </w:r>
          </w:p>
        </w:tc>
        <w:tc>
          <w:tcPr>
            <w:tcW w:w="1077" w:type="dxa"/>
            <w:shd w:val="clear" w:color="auto" w:fill="auto"/>
            <w:noWrap/>
            <w:vAlign w:val="center"/>
            <w:hideMark/>
          </w:tcPr>
          <w:p w:rsidR="002D578A" w:rsidRPr="007955BB" w:rsidRDefault="002D578A"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4.5 </w:t>
            </w:r>
          </w:p>
        </w:tc>
      </w:tr>
      <w:tr w:rsidR="002D578A" w:rsidRPr="00413F32" w:rsidTr="00151C57">
        <w:trPr>
          <w:trHeight w:val="1035"/>
        </w:trPr>
        <w:tc>
          <w:tcPr>
            <w:tcW w:w="4135" w:type="dxa"/>
            <w:shd w:val="clear" w:color="auto" w:fill="D9E2F3"/>
            <w:vAlign w:val="center"/>
            <w:hideMark/>
          </w:tcPr>
          <w:p w:rsidR="002D578A" w:rsidRPr="007955BB" w:rsidRDefault="002D578A" w:rsidP="00151C57">
            <w:pPr>
              <w:spacing w:before="0" w:line="276" w:lineRule="auto"/>
              <w:ind w:firstLine="0"/>
              <w:contextualSpacing w:val="0"/>
              <w:jc w:val="left"/>
              <w:rPr>
                <w:rFonts w:cs="Calibri"/>
                <w:b w:val="0"/>
                <w:color w:val="000000"/>
                <w:sz w:val="20"/>
                <w:szCs w:val="20"/>
                <w:lang w:eastAsia="en-US"/>
              </w:rPr>
            </w:pPr>
            <w:r w:rsidRPr="007955BB">
              <w:rPr>
                <w:rFonts w:cs="Calibri"/>
                <w:b w:val="0"/>
                <w:color w:val="000000"/>
                <w:sz w:val="20"/>
                <w:szCs w:val="20"/>
                <w:lang w:val="en-US" w:eastAsia="en-US"/>
              </w:rPr>
              <w:t>Տոկոսավճարների</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և</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շահաբաժինների</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տեսքով</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ստացվող</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եկամուտներ</w:t>
            </w:r>
          </w:p>
        </w:tc>
        <w:tc>
          <w:tcPr>
            <w:tcW w:w="1077" w:type="dxa"/>
            <w:shd w:val="clear" w:color="auto" w:fill="D9E2F3"/>
            <w:noWrap/>
            <w:vAlign w:val="center"/>
            <w:hideMark/>
          </w:tcPr>
          <w:p w:rsidR="002D578A" w:rsidRPr="007955BB" w:rsidRDefault="002D578A"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eastAsia="en-US"/>
              </w:rPr>
              <w:t xml:space="preserve">                    </w:t>
            </w:r>
            <w:r w:rsidRPr="007955BB">
              <w:rPr>
                <w:rFonts w:cs="Calibri"/>
                <w:b w:val="0"/>
                <w:color w:val="000000"/>
                <w:sz w:val="20"/>
                <w:szCs w:val="20"/>
                <w:lang w:val="en-US" w:eastAsia="en-US"/>
              </w:rPr>
              <w:t>24.8</w:t>
            </w:r>
          </w:p>
        </w:tc>
        <w:tc>
          <w:tcPr>
            <w:tcW w:w="1077" w:type="dxa"/>
            <w:shd w:val="clear" w:color="auto" w:fill="D9E2F3"/>
            <w:noWrap/>
            <w:vAlign w:val="center"/>
            <w:hideMark/>
          </w:tcPr>
          <w:p w:rsidR="002D578A" w:rsidRPr="007955BB" w:rsidRDefault="002D578A"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35.2</w:t>
            </w:r>
          </w:p>
        </w:tc>
        <w:tc>
          <w:tcPr>
            <w:tcW w:w="1077" w:type="dxa"/>
            <w:shd w:val="clear" w:color="auto" w:fill="D9E2F3"/>
            <w:noWrap/>
            <w:vAlign w:val="center"/>
            <w:hideMark/>
          </w:tcPr>
          <w:p w:rsidR="002D578A" w:rsidRPr="007955BB" w:rsidRDefault="002D578A"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41.9 </w:t>
            </w:r>
          </w:p>
        </w:tc>
        <w:tc>
          <w:tcPr>
            <w:tcW w:w="1077" w:type="dxa"/>
            <w:shd w:val="clear" w:color="auto" w:fill="D9E2F3"/>
            <w:noWrap/>
            <w:vAlign w:val="center"/>
            <w:hideMark/>
          </w:tcPr>
          <w:p w:rsidR="002D578A" w:rsidRPr="007955BB" w:rsidRDefault="002D578A"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26.0</w:t>
            </w:r>
          </w:p>
        </w:tc>
        <w:tc>
          <w:tcPr>
            <w:tcW w:w="1077" w:type="dxa"/>
            <w:shd w:val="clear" w:color="auto" w:fill="D9E2F3"/>
            <w:noWrap/>
            <w:vAlign w:val="center"/>
            <w:hideMark/>
          </w:tcPr>
          <w:p w:rsidR="002D578A" w:rsidRPr="007955BB" w:rsidRDefault="002D578A" w:rsidP="00151C57">
            <w:pPr>
              <w:spacing w:before="0" w:line="276" w:lineRule="auto"/>
              <w:ind w:firstLine="0"/>
              <w:contextualSpacing w:val="0"/>
              <w:jc w:val="center"/>
              <w:rPr>
                <w:rFonts w:cs="Calibri"/>
                <w:b w:val="0"/>
                <w:color w:val="000000"/>
                <w:sz w:val="20"/>
                <w:szCs w:val="20"/>
                <w:lang w:val="en-US" w:eastAsia="en-US"/>
              </w:rPr>
            </w:pPr>
            <w:r>
              <w:rPr>
                <w:rFonts w:cs="Calibri"/>
                <w:b w:val="0"/>
                <w:color w:val="000000"/>
                <w:sz w:val="20"/>
                <w:szCs w:val="20"/>
                <w:lang w:val="en-US" w:eastAsia="en-US"/>
              </w:rPr>
              <w:t xml:space="preserve">                           40.7</w:t>
            </w:r>
            <w:r w:rsidRPr="007955BB">
              <w:rPr>
                <w:rFonts w:cs="Calibri"/>
                <w:b w:val="0"/>
                <w:color w:val="000000"/>
                <w:sz w:val="20"/>
                <w:szCs w:val="20"/>
                <w:lang w:val="en-US" w:eastAsia="en-US"/>
              </w:rPr>
              <w:t xml:space="preserve"> </w:t>
            </w:r>
          </w:p>
        </w:tc>
      </w:tr>
      <w:tr w:rsidR="002D578A" w:rsidRPr="007955BB" w:rsidTr="00151C57">
        <w:trPr>
          <w:trHeight w:val="1205"/>
        </w:trPr>
        <w:tc>
          <w:tcPr>
            <w:tcW w:w="4135" w:type="dxa"/>
            <w:shd w:val="clear" w:color="auto" w:fill="auto"/>
            <w:vAlign w:val="center"/>
            <w:hideMark/>
          </w:tcPr>
          <w:p w:rsidR="002D578A" w:rsidRPr="002D578A" w:rsidRDefault="002D578A" w:rsidP="00151C57">
            <w:pPr>
              <w:spacing w:before="0" w:line="276" w:lineRule="auto"/>
              <w:ind w:firstLine="0"/>
              <w:contextualSpacing w:val="0"/>
              <w:jc w:val="left"/>
              <w:rPr>
                <w:rFonts w:cs="Calibri"/>
                <w:b w:val="0"/>
                <w:color w:val="000000"/>
                <w:sz w:val="20"/>
                <w:szCs w:val="20"/>
                <w:lang w:eastAsia="en-US"/>
              </w:rPr>
            </w:pPr>
            <w:r w:rsidRPr="007955BB">
              <w:rPr>
                <w:rFonts w:cs="Calibri"/>
                <w:b w:val="0"/>
                <w:color w:val="000000"/>
                <w:sz w:val="20"/>
                <w:szCs w:val="20"/>
                <w:lang w:val="en-US" w:eastAsia="en-US"/>
              </w:rPr>
              <w:t>Իրավախախտումների</w:t>
            </w:r>
            <w:r w:rsidRPr="002D578A">
              <w:rPr>
                <w:rFonts w:cs="Calibri"/>
                <w:b w:val="0"/>
                <w:color w:val="000000"/>
                <w:sz w:val="20"/>
                <w:szCs w:val="20"/>
                <w:lang w:eastAsia="en-US"/>
              </w:rPr>
              <w:t xml:space="preserve"> </w:t>
            </w:r>
            <w:r w:rsidRPr="007955BB">
              <w:rPr>
                <w:rFonts w:cs="Calibri"/>
                <w:b w:val="0"/>
                <w:color w:val="000000"/>
                <w:sz w:val="20"/>
                <w:szCs w:val="20"/>
                <w:lang w:val="en-US" w:eastAsia="en-US"/>
              </w:rPr>
              <w:t>համար</w:t>
            </w:r>
            <w:r w:rsidRPr="002D578A">
              <w:rPr>
                <w:rFonts w:cs="Calibri"/>
                <w:b w:val="0"/>
                <w:color w:val="000000"/>
                <w:sz w:val="20"/>
                <w:szCs w:val="20"/>
                <w:lang w:eastAsia="en-US"/>
              </w:rPr>
              <w:t xml:space="preserve"> </w:t>
            </w:r>
            <w:r w:rsidRPr="007955BB">
              <w:rPr>
                <w:rFonts w:cs="Calibri"/>
                <w:b w:val="0"/>
                <w:color w:val="000000"/>
                <w:sz w:val="20"/>
                <w:szCs w:val="20"/>
                <w:lang w:val="en-US" w:eastAsia="en-US"/>
              </w:rPr>
              <w:t>գործադիր</w:t>
            </w:r>
            <w:r w:rsidRPr="002D578A">
              <w:rPr>
                <w:rFonts w:cs="Calibri"/>
                <w:b w:val="0"/>
                <w:color w:val="000000"/>
                <w:sz w:val="20"/>
                <w:szCs w:val="20"/>
                <w:lang w:eastAsia="en-US"/>
              </w:rPr>
              <w:t xml:space="preserve">, </w:t>
            </w:r>
            <w:r w:rsidRPr="007955BB">
              <w:rPr>
                <w:rFonts w:cs="Calibri"/>
                <w:b w:val="0"/>
                <w:color w:val="000000"/>
                <w:sz w:val="20"/>
                <w:szCs w:val="20"/>
                <w:lang w:val="en-US" w:eastAsia="en-US"/>
              </w:rPr>
              <w:t>դատական</w:t>
            </w:r>
            <w:r w:rsidRPr="002D578A">
              <w:rPr>
                <w:rFonts w:cs="Calibri"/>
                <w:b w:val="0"/>
                <w:color w:val="000000"/>
                <w:sz w:val="20"/>
                <w:szCs w:val="20"/>
                <w:lang w:eastAsia="en-US"/>
              </w:rPr>
              <w:t xml:space="preserve"> </w:t>
            </w:r>
            <w:r w:rsidRPr="007955BB">
              <w:rPr>
                <w:rFonts w:cs="Calibri"/>
                <w:b w:val="0"/>
                <w:color w:val="000000"/>
                <w:sz w:val="20"/>
                <w:szCs w:val="20"/>
                <w:lang w:val="en-US" w:eastAsia="en-US"/>
              </w:rPr>
              <w:t>մարմինների</w:t>
            </w:r>
            <w:r w:rsidRPr="002D578A">
              <w:rPr>
                <w:rFonts w:cs="Calibri"/>
                <w:b w:val="0"/>
                <w:color w:val="000000"/>
                <w:sz w:val="20"/>
                <w:szCs w:val="20"/>
                <w:lang w:eastAsia="en-US"/>
              </w:rPr>
              <w:t xml:space="preserve"> </w:t>
            </w:r>
            <w:r w:rsidRPr="007955BB">
              <w:rPr>
                <w:rFonts w:cs="Calibri"/>
                <w:b w:val="0"/>
                <w:color w:val="000000"/>
                <w:sz w:val="20"/>
                <w:szCs w:val="20"/>
                <w:lang w:val="en-US" w:eastAsia="en-US"/>
              </w:rPr>
              <w:t>կողմից</w:t>
            </w:r>
            <w:r w:rsidRPr="002D578A">
              <w:rPr>
                <w:rFonts w:cs="Calibri"/>
                <w:b w:val="0"/>
                <w:color w:val="000000"/>
                <w:sz w:val="20"/>
                <w:szCs w:val="20"/>
                <w:lang w:eastAsia="en-US"/>
              </w:rPr>
              <w:t xml:space="preserve"> </w:t>
            </w:r>
            <w:r w:rsidRPr="007955BB">
              <w:rPr>
                <w:rFonts w:cs="Calibri"/>
                <w:b w:val="0"/>
                <w:color w:val="000000"/>
                <w:sz w:val="20"/>
                <w:szCs w:val="20"/>
                <w:lang w:val="en-US" w:eastAsia="en-US"/>
              </w:rPr>
              <w:t>կիրառվող</w:t>
            </w:r>
            <w:r w:rsidRPr="002D578A">
              <w:rPr>
                <w:rFonts w:cs="Calibri"/>
                <w:b w:val="0"/>
                <w:color w:val="000000"/>
                <w:sz w:val="20"/>
                <w:szCs w:val="20"/>
                <w:lang w:eastAsia="en-US"/>
              </w:rPr>
              <w:t xml:space="preserve"> </w:t>
            </w:r>
            <w:r w:rsidRPr="007955BB">
              <w:rPr>
                <w:rFonts w:cs="Calibri"/>
                <w:b w:val="0"/>
                <w:color w:val="000000"/>
                <w:sz w:val="20"/>
                <w:szCs w:val="20"/>
                <w:lang w:val="en-US" w:eastAsia="en-US"/>
              </w:rPr>
              <w:t>պատժամիջոցներից</w:t>
            </w:r>
            <w:r w:rsidRPr="002D578A">
              <w:rPr>
                <w:rFonts w:cs="Calibri"/>
                <w:b w:val="0"/>
                <w:color w:val="000000"/>
                <w:sz w:val="20"/>
                <w:szCs w:val="20"/>
                <w:lang w:eastAsia="en-US"/>
              </w:rPr>
              <w:t xml:space="preserve"> </w:t>
            </w:r>
            <w:r w:rsidRPr="007955BB">
              <w:rPr>
                <w:rFonts w:cs="Calibri"/>
                <w:b w:val="0"/>
                <w:color w:val="000000"/>
                <w:sz w:val="20"/>
                <w:szCs w:val="20"/>
                <w:lang w:val="en-US" w:eastAsia="en-US"/>
              </w:rPr>
              <w:t>մուտքեր</w:t>
            </w:r>
          </w:p>
        </w:tc>
        <w:tc>
          <w:tcPr>
            <w:tcW w:w="1077" w:type="dxa"/>
            <w:shd w:val="clear" w:color="auto" w:fill="auto"/>
            <w:noWrap/>
            <w:vAlign w:val="center"/>
            <w:hideMark/>
          </w:tcPr>
          <w:p w:rsidR="002D578A" w:rsidRPr="007955BB" w:rsidRDefault="002D578A" w:rsidP="00151C57">
            <w:pPr>
              <w:spacing w:before="0" w:line="276" w:lineRule="auto"/>
              <w:ind w:firstLine="0"/>
              <w:contextualSpacing w:val="0"/>
              <w:jc w:val="center"/>
              <w:rPr>
                <w:rFonts w:cs="Calibri"/>
                <w:b w:val="0"/>
                <w:color w:val="000000"/>
                <w:sz w:val="20"/>
                <w:szCs w:val="20"/>
                <w:lang w:val="en-US" w:eastAsia="en-US"/>
              </w:rPr>
            </w:pPr>
            <w:r w:rsidRPr="002D578A">
              <w:rPr>
                <w:rFonts w:cs="Calibri"/>
                <w:b w:val="0"/>
                <w:color w:val="000000"/>
                <w:sz w:val="20"/>
                <w:szCs w:val="20"/>
                <w:lang w:eastAsia="en-US"/>
              </w:rPr>
              <w:t xml:space="preserve">                      </w:t>
            </w:r>
            <w:r w:rsidRPr="007955BB">
              <w:rPr>
                <w:rFonts w:cs="Calibri"/>
                <w:b w:val="0"/>
                <w:color w:val="000000"/>
                <w:sz w:val="20"/>
                <w:szCs w:val="20"/>
                <w:lang w:val="en-US" w:eastAsia="en-US"/>
              </w:rPr>
              <w:t xml:space="preserve">15.7 </w:t>
            </w:r>
          </w:p>
        </w:tc>
        <w:tc>
          <w:tcPr>
            <w:tcW w:w="1077" w:type="dxa"/>
            <w:shd w:val="clear" w:color="auto" w:fill="auto"/>
            <w:noWrap/>
            <w:vAlign w:val="center"/>
            <w:hideMark/>
          </w:tcPr>
          <w:p w:rsidR="002D578A" w:rsidRPr="007955BB" w:rsidRDefault="002D578A"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11.5 </w:t>
            </w:r>
          </w:p>
        </w:tc>
        <w:tc>
          <w:tcPr>
            <w:tcW w:w="1077" w:type="dxa"/>
            <w:shd w:val="clear" w:color="auto" w:fill="auto"/>
            <w:noWrap/>
            <w:vAlign w:val="center"/>
            <w:hideMark/>
          </w:tcPr>
          <w:p w:rsidR="002D578A" w:rsidRPr="007955BB" w:rsidRDefault="002D578A"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16.4 </w:t>
            </w:r>
          </w:p>
        </w:tc>
        <w:tc>
          <w:tcPr>
            <w:tcW w:w="1077" w:type="dxa"/>
            <w:shd w:val="clear" w:color="auto" w:fill="auto"/>
            <w:noWrap/>
            <w:vAlign w:val="center"/>
            <w:hideMark/>
          </w:tcPr>
          <w:p w:rsidR="002D578A" w:rsidRPr="007955BB" w:rsidRDefault="002D578A"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10.8 </w:t>
            </w:r>
          </w:p>
        </w:tc>
        <w:tc>
          <w:tcPr>
            <w:tcW w:w="1077" w:type="dxa"/>
            <w:shd w:val="clear" w:color="auto" w:fill="auto"/>
            <w:noWrap/>
            <w:vAlign w:val="center"/>
            <w:hideMark/>
          </w:tcPr>
          <w:p w:rsidR="002D578A" w:rsidRPr="007955BB" w:rsidRDefault="002D578A"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14.2 </w:t>
            </w:r>
          </w:p>
        </w:tc>
      </w:tr>
      <w:tr w:rsidR="002D578A" w:rsidRPr="007955BB" w:rsidTr="00151C57">
        <w:trPr>
          <w:trHeight w:val="1016"/>
        </w:trPr>
        <w:tc>
          <w:tcPr>
            <w:tcW w:w="4135" w:type="dxa"/>
            <w:shd w:val="clear" w:color="auto" w:fill="D9E2F3"/>
            <w:vAlign w:val="center"/>
            <w:hideMark/>
          </w:tcPr>
          <w:p w:rsidR="002D578A" w:rsidRPr="007955BB" w:rsidRDefault="002D578A" w:rsidP="00151C57">
            <w:pPr>
              <w:spacing w:before="0" w:line="276" w:lineRule="auto"/>
              <w:ind w:firstLine="0"/>
              <w:contextualSpacing w:val="0"/>
              <w:jc w:val="left"/>
              <w:rPr>
                <w:rFonts w:cs="Calibri"/>
                <w:b w:val="0"/>
                <w:color w:val="000000"/>
                <w:sz w:val="20"/>
                <w:szCs w:val="20"/>
                <w:lang w:eastAsia="en-US"/>
              </w:rPr>
            </w:pPr>
            <w:r w:rsidRPr="007955BB">
              <w:rPr>
                <w:rFonts w:cs="Calibri"/>
                <w:b w:val="0"/>
                <w:color w:val="000000"/>
                <w:sz w:val="20"/>
                <w:szCs w:val="20"/>
                <w:lang w:val="en-US" w:eastAsia="en-US"/>
              </w:rPr>
              <w:t>Ապրանքների</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մատակարարումից</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և</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ծառայությունների</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մատուցումից</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եկամուտներ</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որից</w:t>
            </w:r>
            <w:r w:rsidRPr="007955BB">
              <w:rPr>
                <w:rFonts w:cs="Calibri"/>
                <w:b w:val="0"/>
                <w:color w:val="000000"/>
                <w:sz w:val="20"/>
                <w:szCs w:val="20"/>
                <w:lang w:eastAsia="en-US"/>
              </w:rPr>
              <w:t>`</w:t>
            </w:r>
          </w:p>
        </w:tc>
        <w:tc>
          <w:tcPr>
            <w:tcW w:w="1077" w:type="dxa"/>
            <w:shd w:val="clear" w:color="auto" w:fill="D9E2F3"/>
            <w:noWrap/>
            <w:vAlign w:val="center"/>
            <w:hideMark/>
          </w:tcPr>
          <w:p w:rsidR="002D578A" w:rsidRPr="007955BB" w:rsidRDefault="002D578A"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eastAsia="en-US"/>
              </w:rPr>
              <w:t xml:space="preserve">                     </w:t>
            </w:r>
            <w:r w:rsidRPr="007955BB">
              <w:rPr>
                <w:rFonts w:cs="Calibri"/>
                <w:b w:val="0"/>
                <w:color w:val="000000"/>
                <w:sz w:val="20"/>
                <w:szCs w:val="20"/>
                <w:lang w:val="en-US" w:eastAsia="en-US"/>
              </w:rPr>
              <w:t xml:space="preserve">34.0 </w:t>
            </w:r>
          </w:p>
        </w:tc>
        <w:tc>
          <w:tcPr>
            <w:tcW w:w="1077" w:type="dxa"/>
            <w:shd w:val="clear" w:color="auto" w:fill="D9E2F3"/>
            <w:noWrap/>
            <w:vAlign w:val="center"/>
            <w:hideMark/>
          </w:tcPr>
          <w:p w:rsidR="002D578A" w:rsidRPr="007955BB" w:rsidRDefault="002D578A"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16.4 </w:t>
            </w:r>
          </w:p>
        </w:tc>
        <w:tc>
          <w:tcPr>
            <w:tcW w:w="1077" w:type="dxa"/>
            <w:shd w:val="clear" w:color="auto" w:fill="D9E2F3"/>
            <w:noWrap/>
            <w:vAlign w:val="center"/>
            <w:hideMark/>
          </w:tcPr>
          <w:p w:rsidR="002D578A" w:rsidRPr="007955BB" w:rsidRDefault="002D578A"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21.3 </w:t>
            </w:r>
          </w:p>
        </w:tc>
        <w:tc>
          <w:tcPr>
            <w:tcW w:w="1077" w:type="dxa"/>
            <w:shd w:val="clear" w:color="auto" w:fill="D9E2F3"/>
            <w:noWrap/>
            <w:vAlign w:val="center"/>
            <w:hideMark/>
          </w:tcPr>
          <w:p w:rsidR="002D578A" w:rsidRPr="007955BB" w:rsidRDefault="002D578A"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17.5 </w:t>
            </w:r>
          </w:p>
        </w:tc>
        <w:tc>
          <w:tcPr>
            <w:tcW w:w="1077" w:type="dxa"/>
            <w:shd w:val="clear" w:color="auto" w:fill="D9E2F3"/>
            <w:noWrap/>
            <w:vAlign w:val="center"/>
            <w:hideMark/>
          </w:tcPr>
          <w:p w:rsidR="002D578A" w:rsidRPr="007955BB" w:rsidRDefault="002D578A"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19.7 </w:t>
            </w:r>
          </w:p>
        </w:tc>
      </w:tr>
      <w:tr w:rsidR="002D578A" w:rsidRPr="007955BB" w:rsidTr="00151C57">
        <w:trPr>
          <w:trHeight w:val="1079"/>
        </w:trPr>
        <w:tc>
          <w:tcPr>
            <w:tcW w:w="4135" w:type="dxa"/>
            <w:shd w:val="clear" w:color="auto" w:fill="auto"/>
            <w:vAlign w:val="center"/>
            <w:hideMark/>
          </w:tcPr>
          <w:p w:rsidR="002D578A" w:rsidRPr="007955BB" w:rsidRDefault="002D578A" w:rsidP="00151C57">
            <w:pPr>
              <w:spacing w:before="0" w:line="276" w:lineRule="auto"/>
              <w:ind w:firstLine="0"/>
              <w:contextualSpacing w:val="0"/>
              <w:jc w:val="left"/>
              <w:rPr>
                <w:rFonts w:cs="Calibri"/>
                <w:b w:val="0"/>
                <w:color w:val="000000"/>
                <w:sz w:val="20"/>
                <w:szCs w:val="20"/>
                <w:lang w:eastAsia="en-US"/>
              </w:rPr>
            </w:pPr>
            <w:r w:rsidRPr="007955BB">
              <w:rPr>
                <w:rFonts w:cs="Calibri"/>
                <w:b w:val="0"/>
                <w:color w:val="000000"/>
                <w:sz w:val="20"/>
                <w:szCs w:val="20"/>
                <w:lang w:val="en-US" w:eastAsia="en-US"/>
              </w:rPr>
              <w:t>Օրենքով</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և</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այլ</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իրավական</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ակտերով</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սահմանված</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պետական</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բյուջե</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մուտքագրվող</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այլ</w:t>
            </w:r>
            <w:r w:rsidRPr="007955BB">
              <w:rPr>
                <w:rFonts w:cs="Calibri"/>
                <w:b w:val="0"/>
                <w:color w:val="000000"/>
                <w:sz w:val="20"/>
                <w:szCs w:val="20"/>
                <w:lang w:eastAsia="en-US"/>
              </w:rPr>
              <w:t xml:space="preserve"> </w:t>
            </w:r>
            <w:r w:rsidRPr="007955BB">
              <w:rPr>
                <w:rFonts w:cs="Calibri"/>
                <w:b w:val="0"/>
                <w:color w:val="000000"/>
                <w:sz w:val="20"/>
                <w:szCs w:val="20"/>
                <w:lang w:val="en-US" w:eastAsia="en-US"/>
              </w:rPr>
              <w:t>եկամուտներ</w:t>
            </w:r>
          </w:p>
        </w:tc>
        <w:tc>
          <w:tcPr>
            <w:tcW w:w="1077" w:type="dxa"/>
            <w:shd w:val="clear" w:color="auto" w:fill="auto"/>
            <w:noWrap/>
            <w:vAlign w:val="center"/>
            <w:hideMark/>
          </w:tcPr>
          <w:p w:rsidR="002D578A" w:rsidRPr="007955BB" w:rsidRDefault="002D578A"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eastAsia="en-US"/>
              </w:rPr>
              <w:t xml:space="preserve">                      </w:t>
            </w:r>
            <w:r w:rsidRPr="007955BB">
              <w:rPr>
                <w:rFonts w:cs="Calibri"/>
                <w:b w:val="0"/>
                <w:color w:val="000000"/>
                <w:sz w:val="20"/>
                <w:szCs w:val="20"/>
                <w:lang w:val="en-US" w:eastAsia="en-US"/>
              </w:rPr>
              <w:t xml:space="preserve">11.9 </w:t>
            </w:r>
          </w:p>
        </w:tc>
        <w:tc>
          <w:tcPr>
            <w:tcW w:w="1077" w:type="dxa"/>
            <w:shd w:val="clear" w:color="auto" w:fill="auto"/>
            <w:noWrap/>
            <w:vAlign w:val="center"/>
            <w:hideMark/>
          </w:tcPr>
          <w:p w:rsidR="002D578A" w:rsidRPr="007955BB" w:rsidRDefault="002D578A"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58.7 </w:t>
            </w:r>
          </w:p>
        </w:tc>
        <w:tc>
          <w:tcPr>
            <w:tcW w:w="1077" w:type="dxa"/>
            <w:shd w:val="clear" w:color="auto" w:fill="auto"/>
            <w:noWrap/>
            <w:vAlign w:val="center"/>
            <w:hideMark/>
          </w:tcPr>
          <w:p w:rsidR="002D578A" w:rsidRPr="007955BB" w:rsidRDefault="002D578A"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3.8 </w:t>
            </w:r>
          </w:p>
        </w:tc>
        <w:tc>
          <w:tcPr>
            <w:tcW w:w="1077" w:type="dxa"/>
            <w:shd w:val="clear" w:color="auto" w:fill="auto"/>
            <w:noWrap/>
            <w:vAlign w:val="center"/>
            <w:hideMark/>
          </w:tcPr>
          <w:p w:rsidR="002D578A" w:rsidRPr="007955BB" w:rsidRDefault="002D578A" w:rsidP="00151C57">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1.2 </w:t>
            </w:r>
          </w:p>
        </w:tc>
        <w:tc>
          <w:tcPr>
            <w:tcW w:w="1077" w:type="dxa"/>
            <w:shd w:val="clear" w:color="auto" w:fill="auto"/>
            <w:noWrap/>
            <w:vAlign w:val="center"/>
            <w:hideMark/>
          </w:tcPr>
          <w:p w:rsidR="002D578A" w:rsidRPr="007955BB" w:rsidRDefault="002D578A" w:rsidP="003F76D6">
            <w:pPr>
              <w:spacing w:before="0" w:line="276" w:lineRule="auto"/>
              <w:ind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 xml:space="preserve">                            </w:t>
            </w:r>
            <w:r w:rsidR="003F76D6">
              <w:rPr>
                <w:rFonts w:cs="Calibri"/>
                <w:b w:val="0"/>
                <w:color w:val="000000"/>
                <w:sz w:val="20"/>
                <w:szCs w:val="20"/>
                <w:lang w:val="en-US" w:eastAsia="en-US"/>
              </w:rPr>
              <w:t>2</w:t>
            </w:r>
            <w:r w:rsidRPr="007955BB">
              <w:rPr>
                <w:rFonts w:cs="Calibri"/>
                <w:b w:val="0"/>
                <w:color w:val="000000"/>
                <w:sz w:val="20"/>
                <w:szCs w:val="20"/>
                <w:lang w:val="en-US" w:eastAsia="en-US"/>
              </w:rPr>
              <w:t xml:space="preserve">.1 </w:t>
            </w:r>
          </w:p>
        </w:tc>
      </w:tr>
    </w:tbl>
    <w:p w:rsidR="002D578A" w:rsidRPr="007955BB" w:rsidRDefault="002D578A" w:rsidP="002D578A">
      <w:pPr>
        <w:spacing w:before="0" w:line="276" w:lineRule="auto"/>
        <w:ind w:firstLine="0"/>
        <w:contextualSpacing w:val="0"/>
        <w:rPr>
          <w:rFonts w:cs="Sylfaen"/>
          <w:b w:val="0"/>
          <w:iCs/>
          <w:szCs w:val="22"/>
          <w:lang w:val="af-ZA" w:eastAsia="en-GB"/>
        </w:rPr>
      </w:pPr>
    </w:p>
    <w:p w:rsidR="002D578A" w:rsidRPr="007955BB" w:rsidRDefault="002D578A" w:rsidP="002D578A">
      <w:pPr>
        <w:spacing w:before="0" w:line="276" w:lineRule="auto"/>
        <w:ind w:firstLine="562"/>
        <w:contextualSpacing w:val="0"/>
        <w:rPr>
          <w:rFonts w:cs="Sylfaen"/>
          <w:b w:val="0"/>
          <w:iCs/>
          <w:szCs w:val="22"/>
          <w:lang w:val="af-ZA" w:eastAsia="en-GB"/>
        </w:rPr>
      </w:pPr>
      <w:r w:rsidRPr="007955BB">
        <w:rPr>
          <w:rFonts w:cs="Sylfaen"/>
          <w:b w:val="0"/>
          <w:iCs/>
          <w:szCs w:val="22"/>
          <w:lang w:val="af-ZA" w:eastAsia="en-GB"/>
        </w:rPr>
        <w:t>Ստորև ներկայացվում են 2023 թվա</w:t>
      </w:r>
      <w:r w:rsidRPr="007955BB">
        <w:rPr>
          <w:rFonts w:cs="Sylfaen"/>
          <w:b w:val="0"/>
          <w:iCs/>
          <w:szCs w:val="22"/>
          <w:lang w:val="af-ZA" w:eastAsia="en-GB"/>
        </w:rPr>
        <w:softHyphen/>
        <w:t>կա</w:t>
      </w:r>
      <w:r w:rsidRPr="007955BB">
        <w:rPr>
          <w:rFonts w:cs="Sylfaen"/>
          <w:b w:val="0"/>
          <w:iCs/>
          <w:szCs w:val="22"/>
          <w:lang w:val="af-ZA" w:eastAsia="en-GB"/>
        </w:rPr>
        <w:softHyphen/>
        <w:t>նի այլ եկամուտների գծով կան</w:t>
      </w:r>
      <w:r w:rsidRPr="007955BB">
        <w:rPr>
          <w:rFonts w:cs="Sylfaen"/>
          <w:b w:val="0"/>
          <w:iCs/>
          <w:szCs w:val="22"/>
          <w:lang w:val="af-ZA" w:eastAsia="en-GB"/>
        </w:rPr>
        <w:softHyphen/>
        <w:t>խատես</w:t>
      </w:r>
      <w:r w:rsidRPr="007955BB">
        <w:rPr>
          <w:rFonts w:cs="Sylfaen"/>
          <w:b w:val="0"/>
          <w:iCs/>
          <w:szCs w:val="22"/>
          <w:lang w:val="af-ZA" w:eastAsia="en-GB"/>
        </w:rPr>
        <w:softHyphen/>
        <w:t>վող մուտ</w:t>
      </w:r>
      <w:r w:rsidRPr="007955BB">
        <w:rPr>
          <w:rFonts w:cs="Sylfaen"/>
          <w:b w:val="0"/>
          <w:iCs/>
          <w:szCs w:val="22"/>
          <w:lang w:val="af-ZA" w:eastAsia="en-GB"/>
        </w:rPr>
        <w:softHyphen/>
        <w:t>քե</w:t>
      </w:r>
      <w:r w:rsidRPr="007955BB">
        <w:rPr>
          <w:rFonts w:cs="Sylfaen"/>
          <w:b w:val="0"/>
          <w:iCs/>
          <w:szCs w:val="22"/>
          <w:lang w:val="af-ZA" w:eastAsia="en-GB"/>
        </w:rPr>
        <w:softHyphen/>
        <w:t>րի հաշ</w:t>
      </w:r>
      <w:r w:rsidRPr="007955BB">
        <w:rPr>
          <w:rFonts w:cs="Sylfaen"/>
          <w:b w:val="0"/>
          <w:iCs/>
          <w:szCs w:val="22"/>
          <w:lang w:val="af-ZA" w:eastAsia="en-GB"/>
        </w:rPr>
        <w:softHyphen/>
        <w:t>վարկ</w:t>
      </w:r>
      <w:r w:rsidRPr="007955BB">
        <w:rPr>
          <w:rFonts w:cs="Sylfaen"/>
          <w:b w:val="0"/>
          <w:iCs/>
          <w:szCs w:val="22"/>
          <w:lang w:val="af-ZA" w:eastAsia="en-GB"/>
        </w:rPr>
        <w:softHyphen/>
        <w:t>նե</w:t>
      </w:r>
      <w:r w:rsidRPr="007955BB">
        <w:rPr>
          <w:rFonts w:cs="Sylfaen"/>
          <w:b w:val="0"/>
          <w:iCs/>
          <w:szCs w:val="22"/>
          <w:lang w:val="af-ZA" w:eastAsia="en-GB"/>
        </w:rPr>
        <w:softHyphen/>
        <w:t>րում կի</w:t>
      </w:r>
      <w:r w:rsidRPr="007955BB">
        <w:rPr>
          <w:rFonts w:cs="Sylfaen"/>
          <w:b w:val="0"/>
          <w:iCs/>
          <w:szCs w:val="22"/>
          <w:lang w:val="af-ZA" w:eastAsia="en-GB"/>
        </w:rPr>
        <w:softHyphen/>
        <w:t>րառ</w:t>
      </w:r>
      <w:r w:rsidRPr="007955BB">
        <w:rPr>
          <w:rFonts w:cs="Sylfaen"/>
          <w:b w:val="0"/>
          <w:iCs/>
          <w:szCs w:val="22"/>
          <w:lang w:val="af-ZA" w:eastAsia="en-GB"/>
        </w:rPr>
        <w:softHyphen/>
        <w:t>ված մեթոդաբանության համա</w:t>
      </w:r>
      <w:r w:rsidRPr="007955BB">
        <w:rPr>
          <w:rFonts w:cs="Sylfaen"/>
          <w:b w:val="0"/>
          <w:iCs/>
          <w:szCs w:val="22"/>
          <w:lang w:val="af-ZA" w:eastAsia="en-GB"/>
        </w:rPr>
        <w:softHyphen/>
        <w:t>ռոտ նկարա</w:t>
      </w:r>
      <w:r w:rsidRPr="007955BB">
        <w:rPr>
          <w:rFonts w:cs="Sylfaen"/>
          <w:b w:val="0"/>
          <w:iCs/>
          <w:szCs w:val="22"/>
          <w:lang w:val="af-ZA" w:eastAsia="en-GB"/>
        </w:rPr>
        <w:softHyphen/>
        <w:t>գրու</w:t>
      </w:r>
      <w:r w:rsidRPr="007955BB">
        <w:rPr>
          <w:rFonts w:cs="Sylfaen"/>
          <w:b w:val="0"/>
          <w:iCs/>
          <w:szCs w:val="22"/>
          <w:lang w:val="af-ZA" w:eastAsia="en-GB"/>
        </w:rPr>
        <w:softHyphen/>
        <w:t>թյունը:</w:t>
      </w:r>
    </w:p>
    <w:p w:rsidR="002D578A" w:rsidRPr="007955BB" w:rsidRDefault="002D578A" w:rsidP="002D578A">
      <w:pPr>
        <w:spacing w:before="0" w:line="276" w:lineRule="auto"/>
        <w:ind w:firstLine="562"/>
        <w:contextualSpacing w:val="0"/>
        <w:rPr>
          <w:rFonts w:cs="Sylfaen"/>
          <w:b w:val="0"/>
          <w:iCs/>
          <w:szCs w:val="22"/>
          <w:lang w:val="af-ZA" w:eastAsia="en-GB"/>
        </w:rPr>
      </w:pPr>
      <w:r w:rsidRPr="007955BB">
        <w:rPr>
          <w:rFonts w:cs="Sylfaen"/>
          <w:b w:val="0"/>
          <w:iCs/>
          <w:szCs w:val="22"/>
          <w:lang w:val="af-ZA" w:eastAsia="en-GB"/>
        </w:rPr>
        <w:t>Պետական հիմնարկների հաշվեկշիռներում հաշվառվող գույքի (բացառությամբ հողի) վար</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ձակալության և օգ</w:t>
      </w:r>
      <w:r w:rsidRPr="007955BB">
        <w:rPr>
          <w:rFonts w:cs="Sylfaen"/>
          <w:b w:val="0"/>
          <w:iCs/>
          <w:szCs w:val="22"/>
          <w:lang w:val="af-ZA" w:eastAsia="en-GB"/>
        </w:rPr>
        <w:softHyphen/>
      </w:r>
      <w:r w:rsidRPr="007955BB">
        <w:rPr>
          <w:rFonts w:cs="Sylfaen"/>
          <w:b w:val="0"/>
          <w:iCs/>
          <w:szCs w:val="22"/>
          <w:lang w:val="af-ZA" w:eastAsia="en-GB"/>
        </w:rPr>
        <w:softHyphen/>
        <w:t>տա</w:t>
      </w:r>
      <w:r w:rsidRPr="007955BB">
        <w:rPr>
          <w:rFonts w:cs="Sylfaen"/>
          <w:b w:val="0"/>
          <w:iCs/>
          <w:szCs w:val="22"/>
          <w:lang w:val="af-ZA" w:eastAsia="en-GB"/>
        </w:rPr>
        <w:softHyphen/>
        <w:t>գործ</w:t>
      </w:r>
      <w:r w:rsidRPr="007955BB">
        <w:rPr>
          <w:rFonts w:cs="Sylfaen"/>
          <w:b w:val="0"/>
          <w:iCs/>
          <w:szCs w:val="22"/>
          <w:lang w:val="af-ZA" w:eastAsia="en-GB"/>
        </w:rPr>
        <w:softHyphen/>
        <w:t>ման դիմաց գանձվող վարձավճարները 2023 թվա</w:t>
      </w:r>
      <w:r w:rsidRPr="007955BB">
        <w:rPr>
          <w:rFonts w:cs="Sylfaen"/>
          <w:b w:val="0"/>
          <w:iCs/>
          <w:szCs w:val="22"/>
          <w:lang w:val="af-ZA" w:eastAsia="en-GB"/>
        </w:rPr>
        <w:softHyphen/>
        <w:t>կա</w:t>
      </w:r>
      <w:r w:rsidRPr="007955BB">
        <w:rPr>
          <w:rFonts w:cs="Sylfaen"/>
          <w:b w:val="0"/>
          <w:iCs/>
          <w:szCs w:val="22"/>
          <w:lang w:val="af-ZA" w:eastAsia="en-GB"/>
        </w:rPr>
        <w:softHyphen/>
        <w:t>նի հա</w:t>
      </w:r>
      <w:r w:rsidRPr="007955BB">
        <w:rPr>
          <w:rFonts w:cs="Sylfaen"/>
          <w:b w:val="0"/>
          <w:iCs/>
          <w:szCs w:val="22"/>
          <w:lang w:val="af-ZA" w:eastAsia="en-GB"/>
        </w:rPr>
        <w:softHyphen/>
        <w:t>մար կան</w:t>
      </w:r>
      <w:r w:rsidRPr="007955BB">
        <w:rPr>
          <w:rFonts w:cs="Sylfaen"/>
          <w:b w:val="0"/>
          <w:iCs/>
          <w:szCs w:val="22"/>
          <w:lang w:val="af-ZA" w:eastAsia="en-GB"/>
        </w:rPr>
        <w:softHyphen/>
      </w:r>
      <w:r w:rsidRPr="007955BB">
        <w:rPr>
          <w:rFonts w:cs="Sylfaen"/>
          <w:b w:val="0"/>
          <w:iCs/>
          <w:szCs w:val="22"/>
          <w:lang w:val="af-ZA" w:eastAsia="en-GB"/>
        </w:rPr>
        <w:softHyphen/>
        <w:t>խատեսվում են շուրջ 4,456.8 մլն դրամ, 2022 թվականի համար ծրագրված 6,675.2 մլն դրամի և 2021 թվականին փաստացի ստացված 1,185.8 մլն դրամի դի</w:t>
      </w:r>
      <w:r w:rsidRPr="007955BB">
        <w:rPr>
          <w:rFonts w:cs="Sylfaen"/>
          <w:b w:val="0"/>
          <w:iCs/>
          <w:szCs w:val="22"/>
          <w:lang w:val="af-ZA" w:eastAsia="en-GB"/>
        </w:rPr>
        <w:softHyphen/>
      </w:r>
      <w:r w:rsidRPr="007955BB">
        <w:rPr>
          <w:rFonts w:cs="Sylfaen"/>
          <w:b w:val="0"/>
          <w:iCs/>
          <w:szCs w:val="22"/>
          <w:lang w:val="af-ZA" w:eastAsia="en-GB"/>
        </w:rPr>
        <w:softHyphen/>
        <w:t>մաց: Կան</w:t>
      </w:r>
      <w:r w:rsidRPr="007955BB">
        <w:rPr>
          <w:rFonts w:cs="Sylfaen"/>
          <w:b w:val="0"/>
          <w:iCs/>
          <w:szCs w:val="22"/>
          <w:lang w:val="af-ZA" w:eastAsia="en-GB"/>
        </w:rPr>
        <w:softHyphen/>
      </w:r>
      <w:r w:rsidRPr="007955BB">
        <w:rPr>
          <w:rFonts w:cs="Sylfaen"/>
          <w:b w:val="0"/>
          <w:iCs/>
          <w:szCs w:val="22"/>
          <w:lang w:val="af-ZA" w:eastAsia="en-GB"/>
        </w:rPr>
        <w:softHyphen/>
        <w:t>խա</w:t>
      </w:r>
      <w:r w:rsidRPr="007955BB">
        <w:rPr>
          <w:rFonts w:cs="Sylfaen"/>
          <w:b w:val="0"/>
          <w:iCs/>
          <w:szCs w:val="22"/>
          <w:lang w:val="af-ZA" w:eastAsia="en-GB"/>
        </w:rPr>
        <w:softHyphen/>
        <w:t>տե</w:t>
      </w:r>
      <w:r w:rsidRPr="007955BB">
        <w:rPr>
          <w:rFonts w:cs="Sylfaen"/>
          <w:b w:val="0"/>
          <w:iCs/>
          <w:szCs w:val="22"/>
          <w:lang w:val="af-ZA" w:eastAsia="en-GB"/>
        </w:rPr>
        <w:softHyphen/>
      </w:r>
      <w:r w:rsidRPr="007955BB">
        <w:rPr>
          <w:rFonts w:cs="Sylfaen"/>
          <w:b w:val="0"/>
          <w:iCs/>
          <w:szCs w:val="22"/>
          <w:lang w:val="af-ZA" w:eastAsia="en-GB"/>
        </w:rPr>
        <w:softHyphen/>
        <w:t>սում</w:t>
      </w:r>
      <w:r w:rsidRPr="007955BB">
        <w:rPr>
          <w:rFonts w:cs="Sylfaen"/>
          <w:b w:val="0"/>
          <w:iCs/>
          <w:szCs w:val="22"/>
          <w:lang w:val="af-ZA" w:eastAsia="en-GB"/>
        </w:rPr>
        <w:softHyphen/>
      </w:r>
      <w:r w:rsidRPr="007955BB">
        <w:rPr>
          <w:rFonts w:cs="Sylfaen"/>
          <w:b w:val="0"/>
          <w:iCs/>
          <w:szCs w:val="22"/>
          <w:lang w:val="af-ZA" w:eastAsia="en-GB"/>
        </w:rPr>
        <w:softHyphen/>
        <w:t>նե</w:t>
      </w:r>
      <w:r w:rsidRPr="007955BB">
        <w:rPr>
          <w:rFonts w:cs="Sylfaen"/>
          <w:b w:val="0"/>
          <w:iCs/>
          <w:szCs w:val="22"/>
          <w:lang w:val="af-ZA" w:eastAsia="en-GB"/>
        </w:rPr>
        <w:softHyphen/>
        <w:t>րում հիմք են ընդունվել պետական կա</w:t>
      </w:r>
      <w:r w:rsidRPr="007955BB">
        <w:rPr>
          <w:rFonts w:cs="Sylfaen"/>
          <w:b w:val="0"/>
          <w:iCs/>
          <w:szCs w:val="22"/>
          <w:lang w:val="af-ZA" w:eastAsia="en-GB"/>
        </w:rPr>
        <w:softHyphen/>
        <w:t>ռա</w:t>
      </w:r>
      <w:r w:rsidRPr="007955BB">
        <w:rPr>
          <w:rFonts w:cs="Sylfaen"/>
          <w:b w:val="0"/>
          <w:iCs/>
          <w:szCs w:val="22"/>
          <w:lang w:val="af-ZA" w:eastAsia="en-GB"/>
        </w:rPr>
        <w:softHyphen/>
        <w:t>վար</w:t>
      </w:r>
      <w:r w:rsidRPr="007955BB">
        <w:rPr>
          <w:rFonts w:cs="Sylfaen"/>
          <w:b w:val="0"/>
          <w:iCs/>
          <w:szCs w:val="22"/>
          <w:lang w:val="af-ZA" w:eastAsia="en-GB"/>
        </w:rPr>
        <w:softHyphen/>
        <w:t>ման մար</w:t>
      </w:r>
      <w:r w:rsidRPr="007955BB">
        <w:rPr>
          <w:rFonts w:cs="Sylfaen"/>
          <w:b w:val="0"/>
          <w:iCs/>
          <w:szCs w:val="22"/>
          <w:lang w:val="af-ZA" w:eastAsia="en-GB"/>
        </w:rPr>
        <w:softHyphen/>
        <w:t>մին</w:t>
      </w:r>
      <w:r w:rsidRPr="007955BB">
        <w:rPr>
          <w:rFonts w:cs="Sylfaen"/>
          <w:b w:val="0"/>
          <w:iCs/>
          <w:szCs w:val="22"/>
          <w:lang w:val="af-ZA" w:eastAsia="en-GB"/>
        </w:rPr>
        <w:softHyphen/>
        <w:t>ների կող</w:t>
      </w:r>
      <w:r w:rsidRPr="007955BB">
        <w:rPr>
          <w:rFonts w:cs="Sylfaen"/>
          <w:b w:val="0"/>
          <w:iCs/>
          <w:szCs w:val="22"/>
          <w:lang w:val="af-ZA" w:eastAsia="en-GB"/>
        </w:rPr>
        <w:softHyphen/>
      </w:r>
      <w:r w:rsidRPr="007955BB">
        <w:rPr>
          <w:rFonts w:cs="Sylfaen"/>
          <w:b w:val="0"/>
          <w:iCs/>
          <w:szCs w:val="22"/>
          <w:lang w:val="af-ZA" w:eastAsia="en-GB"/>
        </w:rPr>
        <w:softHyphen/>
        <w:t>մից ներ</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կա</w:t>
      </w:r>
      <w:r w:rsidRPr="007955BB">
        <w:rPr>
          <w:rFonts w:cs="Sylfaen"/>
          <w:b w:val="0"/>
          <w:iCs/>
          <w:szCs w:val="22"/>
          <w:lang w:val="af-ZA" w:eastAsia="en-GB"/>
        </w:rPr>
        <w:softHyphen/>
        <w:t>յաց</w:t>
      </w:r>
      <w:r w:rsidRPr="007955BB">
        <w:rPr>
          <w:rFonts w:cs="Sylfaen"/>
          <w:b w:val="0"/>
          <w:iCs/>
          <w:szCs w:val="22"/>
          <w:lang w:val="af-ZA" w:eastAsia="en-GB"/>
        </w:rPr>
        <w:softHyphen/>
      </w:r>
      <w:r w:rsidRPr="007955BB">
        <w:rPr>
          <w:rFonts w:cs="Sylfaen"/>
          <w:b w:val="0"/>
          <w:iCs/>
          <w:szCs w:val="22"/>
          <w:lang w:val="af-ZA" w:eastAsia="en-GB"/>
        </w:rPr>
        <w:softHyphen/>
        <w:t>ված տե</w:t>
      </w:r>
      <w:r w:rsidRPr="007955BB">
        <w:rPr>
          <w:rFonts w:cs="Sylfaen"/>
          <w:b w:val="0"/>
          <w:iCs/>
          <w:szCs w:val="22"/>
          <w:lang w:val="af-ZA" w:eastAsia="en-GB"/>
        </w:rPr>
        <w:softHyphen/>
        <w:t>ղե</w:t>
      </w:r>
      <w:r w:rsidRPr="007955BB">
        <w:rPr>
          <w:rFonts w:cs="Sylfaen"/>
          <w:b w:val="0"/>
          <w:iCs/>
          <w:szCs w:val="22"/>
          <w:lang w:val="af-ZA" w:eastAsia="en-GB"/>
        </w:rPr>
        <w:softHyphen/>
        <w:t>կու</w:t>
      </w:r>
      <w:r w:rsidRPr="007955BB">
        <w:rPr>
          <w:rFonts w:cs="Sylfaen"/>
          <w:b w:val="0"/>
          <w:iCs/>
          <w:szCs w:val="22"/>
          <w:lang w:val="af-ZA" w:eastAsia="en-GB"/>
        </w:rPr>
        <w:softHyphen/>
        <w:t>թյուն</w:t>
      </w:r>
      <w:r w:rsidRPr="007955BB">
        <w:rPr>
          <w:rFonts w:cs="Sylfaen"/>
          <w:b w:val="0"/>
          <w:iCs/>
          <w:szCs w:val="22"/>
          <w:lang w:val="af-ZA" w:eastAsia="en-GB"/>
        </w:rPr>
        <w:softHyphen/>
        <w:t>նե</w:t>
      </w:r>
      <w:r w:rsidRPr="007955BB">
        <w:rPr>
          <w:rFonts w:cs="Sylfaen"/>
          <w:b w:val="0"/>
          <w:iCs/>
          <w:szCs w:val="22"/>
          <w:lang w:val="af-ZA" w:eastAsia="en-GB"/>
        </w:rPr>
        <w:softHyphen/>
        <w:t>րը վարձակալական պայ</w:t>
      </w:r>
      <w:r w:rsidRPr="007955BB">
        <w:rPr>
          <w:rFonts w:cs="Sylfaen"/>
          <w:b w:val="0"/>
          <w:iCs/>
          <w:szCs w:val="22"/>
          <w:lang w:val="af-ZA" w:eastAsia="en-GB"/>
        </w:rPr>
        <w:softHyphen/>
        <w:t>մա</w:t>
      </w:r>
      <w:r w:rsidRPr="007955BB">
        <w:rPr>
          <w:rFonts w:cs="Sylfaen"/>
          <w:b w:val="0"/>
          <w:iCs/>
          <w:szCs w:val="22"/>
          <w:lang w:val="af-ZA" w:eastAsia="en-GB"/>
        </w:rPr>
        <w:softHyphen/>
        <w:t>նա</w:t>
      </w:r>
      <w:r w:rsidRPr="007955BB">
        <w:rPr>
          <w:rFonts w:cs="Sylfaen"/>
          <w:b w:val="0"/>
          <w:iCs/>
          <w:szCs w:val="22"/>
          <w:lang w:val="af-ZA" w:eastAsia="en-GB"/>
        </w:rPr>
        <w:softHyphen/>
        <w:t>գրերի հա</w:t>
      </w:r>
      <w:r w:rsidRPr="007955BB">
        <w:rPr>
          <w:rFonts w:cs="Sylfaen"/>
          <w:b w:val="0"/>
          <w:iCs/>
          <w:szCs w:val="22"/>
          <w:lang w:val="af-ZA" w:eastAsia="en-GB"/>
        </w:rPr>
        <w:softHyphen/>
      </w:r>
      <w:r w:rsidRPr="007955BB">
        <w:rPr>
          <w:rFonts w:cs="Sylfaen"/>
          <w:b w:val="0"/>
          <w:iCs/>
          <w:szCs w:val="22"/>
          <w:lang w:val="af-ZA" w:eastAsia="en-GB"/>
        </w:rPr>
        <w:softHyphen/>
        <w:t>մա</w:t>
      </w:r>
      <w:r w:rsidRPr="007955BB">
        <w:rPr>
          <w:rFonts w:cs="Sylfaen"/>
          <w:b w:val="0"/>
          <w:iCs/>
          <w:szCs w:val="22"/>
          <w:lang w:val="af-ZA" w:eastAsia="en-GB"/>
        </w:rPr>
        <w:softHyphen/>
        <w:t>ձայն 2023 թվա</w:t>
      </w:r>
      <w:r w:rsidRPr="007955BB">
        <w:rPr>
          <w:rFonts w:cs="Sylfaen"/>
          <w:b w:val="0"/>
          <w:iCs/>
          <w:szCs w:val="22"/>
          <w:lang w:val="af-ZA" w:eastAsia="en-GB"/>
        </w:rPr>
        <w:softHyphen/>
        <w:t>կան</w:t>
      </w:r>
      <w:r w:rsidRPr="007955BB">
        <w:rPr>
          <w:rFonts w:cs="Sylfaen"/>
          <w:b w:val="0"/>
          <w:iCs/>
          <w:szCs w:val="22"/>
          <w:lang w:val="af-ZA" w:eastAsia="en-GB"/>
        </w:rPr>
        <w:softHyphen/>
        <w:t>ներին վճար</w:t>
      </w:r>
      <w:r w:rsidRPr="007955BB">
        <w:rPr>
          <w:rFonts w:cs="Sylfaen"/>
          <w:b w:val="0"/>
          <w:iCs/>
          <w:szCs w:val="22"/>
          <w:lang w:val="af-ZA" w:eastAsia="en-GB"/>
        </w:rPr>
        <w:softHyphen/>
        <w:t>վե</w:t>
      </w:r>
      <w:r w:rsidRPr="007955BB">
        <w:rPr>
          <w:rFonts w:cs="Sylfaen"/>
          <w:b w:val="0"/>
          <w:iCs/>
          <w:szCs w:val="22"/>
          <w:lang w:val="af-ZA" w:eastAsia="en-GB"/>
        </w:rPr>
        <w:softHyphen/>
      </w:r>
      <w:r w:rsidRPr="007955BB">
        <w:rPr>
          <w:rFonts w:cs="Sylfaen"/>
          <w:b w:val="0"/>
          <w:iCs/>
          <w:szCs w:val="22"/>
          <w:lang w:val="af-ZA" w:eastAsia="en-GB"/>
        </w:rPr>
        <w:softHyphen/>
        <w:t>լիք վար</w:t>
      </w:r>
      <w:r w:rsidRPr="007955BB">
        <w:rPr>
          <w:rFonts w:cs="Sylfaen"/>
          <w:b w:val="0"/>
          <w:iCs/>
          <w:szCs w:val="22"/>
          <w:lang w:val="af-ZA" w:eastAsia="en-GB"/>
        </w:rPr>
        <w:softHyphen/>
        <w:t>ձա</w:t>
      </w:r>
      <w:r w:rsidRPr="007955BB">
        <w:rPr>
          <w:rFonts w:cs="Sylfaen"/>
          <w:b w:val="0"/>
          <w:iCs/>
          <w:szCs w:val="22"/>
          <w:lang w:val="af-ZA" w:eastAsia="en-GB"/>
        </w:rPr>
        <w:softHyphen/>
        <w:t>վճար</w:t>
      </w:r>
      <w:r w:rsidRPr="007955BB">
        <w:rPr>
          <w:rFonts w:cs="Sylfaen"/>
          <w:b w:val="0"/>
          <w:iCs/>
          <w:szCs w:val="22"/>
          <w:lang w:val="af-ZA" w:eastAsia="en-GB"/>
        </w:rPr>
        <w:softHyphen/>
        <w:t>ների վե</w:t>
      </w:r>
      <w:r w:rsidRPr="007955BB">
        <w:rPr>
          <w:rFonts w:cs="Sylfaen"/>
          <w:b w:val="0"/>
          <w:iCs/>
          <w:szCs w:val="22"/>
          <w:lang w:val="af-ZA" w:eastAsia="en-GB"/>
        </w:rPr>
        <w:softHyphen/>
        <w:t>րա</w:t>
      </w:r>
      <w:r w:rsidRPr="007955BB">
        <w:rPr>
          <w:rFonts w:cs="Sylfaen"/>
          <w:b w:val="0"/>
          <w:iCs/>
          <w:szCs w:val="22"/>
          <w:lang w:val="af-ZA" w:eastAsia="en-GB"/>
        </w:rPr>
        <w:softHyphen/>
        <w:t>բեր</w:t>
      </w:r>
      <w:r w:rsidRPr="007955BB">
        <w:rPr>
          <w:rFonts w:cs="Sylfaen"/>
          <w:b w:val="0"/>
          <w:iCs/>
          <w:szCs w:val="22"/>
          <w:lang w:val="af-ZA" w:eastAsia="en-GB"/>
        </w:rPr>
        <w:softHyphen/>
      </w:r>
      <w:r w:rsidRPr="007955BB">
        <w:rPr>
          <w:rFonts w:cs="Sylfaen"/>
          <w:b w:val="0"/>
          <w:iCs/>
          <w:szCs w:val="22"/>
          <w:lang w:val="af-ZA" w:eastAsia="en-GB"/>
        </w:rPr>
        <w:softHyphen/>
        <w:t>յալ, ինչ</w:t>
      </w:r>
      <w:r w:rsidRPr="007955BB">
        <w:rPr>
          <w:rFonts w:cs="Sylfaen"/>
          <w:b w:val="0"/>
          <w:iCs/>
          <w:szCs w:val="22"/>
          <w:lang w:val="af-ZA" w:eastAsia="en-GB"/>
        </w:rPr>
        <w:softHyphen/>
        <w:t>պես նաև հա</w:t>
      </w:r>
      <w:r w:rsidRPr="007955BB">
        <w:rPr>
          <w:rFonts w:cs="Sylfaen"/>
          <w:b w:val="0"/>
          <w:iCs/>
          <w:szCs w:val="22"/>
          <w:lang w:val="af-ZA" w:eastAsia="en-GB"/>
        </w:rPr>
        <w:softHyphen/>
        <w:t>մա</w:t>
      </w:r>
      <w:r w:rsidRPr="007955BB">
        <w:rPr>
          <w:rFonts w:cs="Sylfaen"/>
          <w:b w:val="0"/>
          <w:iCs/>
          <w:szCs w:val="22"/>
          <w:lang w:val="af-ZA" w:eastAsia="en-GB"/>
        </w:rPr>
        <w:softHyphen/>
        <w:t>պա</w:t>
      </w:r>
      <w:r w:rsidRPr="007955BB">
        <w:rPr>
          <w:rFonts w:cs="Sylfaen"/>
          <w:b w:val="0"/>
          <w:iCs/>
          <w:szCs w:val="22"/>
          <w:lang w:val="af-ZA" w:eastAsia="en-GB"/>
        </w:rPr>
        <w:softHyphen/>
        <w:t>տաս</w:t>
      </w:r>
      <w:r w:rsidRPr="007955BB">
        <w:rPr>
          <w:rFonts w:cs="Sylfaen"/>
          <w:b w:val="0"/>
          <w:iCs/>
          <w:szCs w:val="22"/>
          <w:lang w:val="af-ZA" w:eastAsia="en-GB"/>
        </w:rPr>
        <w:softHyphen/>
        <w:t xml:space="preserve">խան </w:t>
      </w:r>
      <w:r w:rsidRPr="007955BB">
        <w:rPr>
          <w:rFonts w:cs="Sylfaen"/>
          <w:b w:val="0"/>
          <w:iCs/>
          <w:szCs w:val="22"/>
          <w:lang w:val="af-ZA" w:eastAsia="en-GB"/>
        </w:rPr>
        <w:softHyphen/>
        <w:t>բյու</w:t>
      </w:r>
      <w:r w:rsidRPr="007955BB">
        <w:rPr>
          <w:rFonts w:cs="Sylfaen"/>
          <w:b w:val="0"/>
          <w:iCs/>
          <w:szCs w:val="22"/>
          <w:lang w:val="af-ZA" w:eastAsia="en-GB"/>
        </w:rPr>
        <w:softHyphen/>
        <w:t>ջե</w:t>
      </w:r>
      <w:r w:rsidRPr="007955BB">
        <w:rPr>
          <w:rFonts w:cs="Sylfaen"/>
          <w:b w:val="0"/>
          <w:iCs/>
          <w:szCs w:val="22"/>
          <w:lang w:val="af-ZA" w:eastAsia="en-GB"/>
        </w:rPr>
        <w:softHyphen/>
      </w:r>
      <w:r w:rsidRPr="007955BB">
        <w:rPr>
          <w:rFonts w:cs="Sylfaen"/>
          <w:b w:val="0"/>
          <w:iCs/>
          <w:szCs w:val="22"/>
          <w:lang w:val="af-ZA" w:eastAsia="en-GB"/>
        </w:rPr>
        <w:softHyphen/>
        <w:t>տա</w:t>
      </w:r>
      <w:r w:rsidRPr="007955BB">
        <w:rPr>
          <w:rFonts w:cs="Sylfaen"/>
          <w:b w:val="0"/>
          <w:iCs/>
          <w:szCs w:val="22"/>
          <w:lang w:val="af-ZA" w:eastAsia="en-GB"/>
        </w:rPr>
        <w:softHyphen/>
        <w:t>յին փաստացի մուտ</w:t>
      </w:r>
      <w:r w:rsidRPr="007955BB">
        <w:rPr>
          <w:rFonts w:cs="Sylfaen"/>
          <w:b w:val="0"/>
          <w:iCs/>
          <w:szCs w:val="22"/>
          <w:lang w:val="af-ZA" w:eastAsia="en-GB"/>
        </w:rPr>
        <w:softHyphen/>
        <w:t>քերի գծով գան</w:t>
      </w:r>
      <w:r w:rsidRPr="007955BB">
        <w:rPr>
          <w:rFonts w:cs="Sylfaen"/>
          <w:b w:val="0"/>
          <w:iCs/>
          <w:szCs w:val="22"/>
          <w:lang w:val="af-ZA" w:eastAsia="en-GB"/>
        </w:rPr>
        <w:softHyphen/>
      </w:r>
      <w:r w:rsidRPr="007955BB">
        <w:rPr>
          <w:rFonts w:cs="Sylfaen"/>
          <w:b w:val="0"/>
          <w:iCs/>
          <w:szCs w:val="22"/>
          <w:lang w:val="af-ZA" w:eastAsia="en-GB"/>
        </w:rPr>
        <w:softHyphen/>
        <w:t>ձա</w:t>
      </w:r>
      <w:r w:rsidRPr="007955BB">
        <w:rPr>
          <w:rFonts w:cs="Sylfaen"/>
          <w:b w:val="0"/>
          <w:iCs/>
          <w:szCs w:val="22"/>
          <w:lang w:val="af-ZA" w:eastAsia="en-GB"/>
        </w:rPr>
        <w:softHyphen/>
        <w:t>պե</w:t>
      </w:r>
      <w:r w:rsidRPr="007955BB">
        <w:rPr>
          <w:rFonts w:cs="Sylfaen"/>
          <w:b w:val="0"/>
          <w:iCs/>
          <w:szCs w:val="22"/>
          <w:lang w:val="af-ZA" w:eastAsia="en-GB"/>
        </w:rPr>
        <w:softHyphen/>
        <w:t>տա</w:t>
      </w:r>
      <w:r w:rsidRPr="007955BB">
        <w:rPr>
          <w:rFonts w:cs="Sylfaen"/>
          <w:b w:val="0"/>
          <w:iCs/>
          <w:szCs w:val="22"/>
          <w:lang w:val="af-ZA" w:eastAsia="en-GB"/>
        </w:rPr>
        <w:softHyphen/>
        <w:t>կան տվյալները:</w:t>
      </w:r>
    </w:p>
    <w:p w:rsidR="002D578A" w:rsidRPr="007955BB" w:rsidRDefault="002D578A" w:rsidP="002D578A">
      <w:pPr>
        <w:spacing w:before="0" w:line="276" w:lineRule="auto"/>
        <w:ind w:firstLine="562"/>
        <w:contextualSpacing w:val="0"/>
        <w:rPr>
          <w:rFonts w:cs="Sylfaen"/>
          <w:b w:val="0"/>
          <w:iCs/>
          <w:szCs w:val="22"/>
          <w:lang w:val="af-ZA" w:eastAsia="en-GB"/>
        </w:rPr>
      </w:pPr>
      <w:r w:rsidRPr="007955BB">
        <w:rPr>
          <w:rFonts w:cs="Sylfaen"/>
          <w:b w:val="0"/>
          <w:iCs/>
          <w:szCs w:val="22"/>
          <w:lang w:val="af-ZA" w:eastAsia="en-GB"/>
        </w:rPr>
        <w:t>Բանկերում և ֆինանսավարկային հաստատություններում գանձապետական միաս</w:t>
      </w:r>
      <w:r w:rsidRPr="007955BB">
        <w:rPr>
          <w:rFonts w:cs="Sylfaen"/>
          <w:b w:val="0"/>
          <w:iCs/>
          <w:szCs w:val="22"/>
          <w:lang w:val="af-ZA" w:eastAsia="en-GB"/>
        </w:rPr>
        <w:softHyphen/>
        <w:t>նա</w:t>
      </w:r>
      <w:r w:rsidRPr="007955BB">
        <w:rPr>
          <w:rFonts w:cs="Sylfaen"/>
          <w:b w:val="0"/>
          <w:iCs/>
          <w:szCs w:val="22"/>
          <w:lang w:val="af-ZA" w:eastAsia="en-GB"/>
        </w:rPr>
        <w:softHyphen/>
      </w:r>
      <w:r w:rsidRPr="007955BB">
        <w:rPr>
          <w:rFonts w:cs="Sylfaen"/>
          <w:b w:val="0"/>
          <w:iCs/>
          <w:szCs w:val="22"/>
          <w:lang w:val="af-ZA" w:eastAsia="en-GB"/>
        </w:rPr>
        <w:softHyphen/>
        <w:t>կան հաշ</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վի ժա</w:t>
      </w:r>
      <w:r w:rsidRPr="007955BB">
        <w:rPr>
          <w:rFonts w:cs="Sylfaen"/>
          <w:b w:val="0"/>
          <w:iCs/>
          <w:szCs w:val="22"/>
          <w:lang w:val="af-ZA" w:eastAsia="en-GB"/>
        </w:rPr>
        <w:softHyphen/>
        <w:t>մա</w:t>
      </w:r>
      <w:r w:rsidRPr="007955BB">
        <w:rPr>
          <w:rFonts w:cs="Sylfaen"/>
          <w:b w:val="0"/>
          <w:iCs/>
          <w:szCs w:val="22"/>
          <w:lang w:val="af-ZA" w:eastAsia="en-GB"/>
        </w:rPr>
        <w:softHyphen/>
        <w:t>նա</w:t>
      </w:r>
      <w:r w:rsidRPr="007955BB">
        <w:rPr>
          <w:rFonts w:cs="Sylfaen"/>
          <w:b w:val="0"/>
          <w:iCs/>
          <w:szCs w:val="22"/>
          <w:lang w:val="af-ZA" w:eastAsia="en-GB"/>
        </w:rPr>
        <w:softHyphen/>
      </w:r>
      <w:r w:rsidRPr="007955BB">
        <w:rPr>
          <w:rFonts w:cs="Sylfaen"/>
          <w:b w:val="0"/>
          <w:iCs/>
          <w:szCs w:val="22"/>
          <w:lang w:val="af-ZA" w:eastAsia="en-GB"/>
        </w:rPr>
        <w:softHyphen/>
        <w:t>կավոր ազատ միջոցների տեղաբաշխումից և դեպոզիտներից ստաց</w:t>
      </w:r>
      <w:r w:rsidRPr="007955BB">
        <w:rPr>
          <w:rFonts w:cs="Sylfaen"/>
          <w:b w:val="0"/>
          <w:iCs/>
          <w:szCs w:val="22"/>
          <w:lang w:val="af-ZA" w:eastAsia="en-GB"/>
        </w:rPr>
        <w:softHyphen/>
        <w:t>վող տո</w:t>
      </w:r>
      <w:r w:rsidRPr="007955BB">
        <w:rPr>
          <w:rFonts w:cs="Sylfaen"/>
          <w:b w:val="0"/>
          <w:iCs/>
          <w:szCs w:val="22"/>
          <w:lang w:val="af-ZA" w:eastAsia="en-GB"/>
        </w:rPr>
        <w:softHyphen/>
        <w:t>կո</w:t>
      </w:r>
      <w:r w:rsidRPr="007955BB">
        <w:rPr>
          <w:rFonts w:cs="Sylfaen"/>
          <w:b w:val="0"/>
          <w:iCs/>
          <w:szCs w:val="22"/>
          <w:lang w:val="af-ZA" w:eastAsia="en-GB"/>
        </w:rPr>
        <w:softHyphen/>
        <w:t>սա</w:t>
      </w:r>
      <w:r w:rsidRPr="007955BB">
        <w:rPr>
          <w:rFonts w:cs="Sylfaen"/>
          <w:b w:val="0"/>
          <w:iCs/>
          <w:szCs w:val="22"/>
          <w:lang w:val="af-ZA" w:eastAsia="en-GB"/>
        </w:rPr>
        <w:softHyphen/>
        <w:t>վճար</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նե</w:t>
      </w:r>
      <w:r w:rsidRPr="007955BB">
        <w:rPr>
          <w:rFonts w:cs="Sylfaen"/>
          <w:b w:val="0"/>
          <w:iCs/>
          <w:szCs w:val="22"/>
          <w:lang w:val="af-ZA" w:eastAsia="en-GB"/>
        </w:rPr>
        <w:softHyphen/>
        <w:t>րից, իրավաբանական անձանց կապիտալում կատարված ներ</w:t>
      </w:r>
      <w:r w:rsidRPr="007955BB">
        <w:rPr>
          <w:rFonts w:cs="Sylfaen"/>
          <w:b w:val="0"/>
          <w:iCs/>
          <w:szCs w:val="22"/>
          <w:lang w:val="af-ZA" w:eastAsia="en-GB"/>
        </w:rPr>
        <w:softHyphen/>
        <w:t>դրում</w:t>
      </w:r>
      <w:r w:rsidRPr="007955BB">
        <w:rPr>
          <w:rFonts w:cs="Sylfaen"/>
          <w:b w:val="0"/>
          <w:iCs/>
          <w:szCs w:val="22"/>
          <w:lang w:val="af-ZA" w:eastAsia="en-GB"/>
        </w:rPr>
        <w:softHyphen/>
      </w:r>
      <w:r w:rsidRPr="007955BB">
        <w:rPr>
          <w:rFonts w:cs="Sylfaen"/>
          <w:b w:val="0"/>
          <w:iCs/>
          <w:szCs w:val="22"/>
          <w:lang w:val="af-ZA" w:eastAsia="en-GB"/>
        </w:rPr>
        <w:softHyphen/>
        <w:t>նե</w:t>
      </w:r>
      <w:r w:rsidRPr="007955BB">
        <w:rPr>
          <w:rFonts w:cs="Sylfaen"/>
          <w:b w:val="0"/>
          <w:iCs/>
          <w:szCs w:val="22"/>
          <w:lang w:val="af-ZA" w:eastAsia="en-GB"/>
        </w:rPr>
        <w:softHyphen/>
        <w:t>րից ստաց</w:t>
      </w:r>
      <w:r w:rsidRPr="007955BB">
        <w:rPr>
          <w:rFonts w:cs="Sylfaen"/>
          <w:b w:val="0"/>
          <w:iCs/>
          <w:szCs w:val="22"/>
          <w:lang w:val="af-ZA" w:eastAsia="en-GB"/>
        </w:rPr>
        <w:softHyphen/>
        <w:t>վող շա</w:t>
      </w:r>
      <w:r w:rsidRPr="007955BB">
        <w:rPr>
          <w:rFonts w:cs="Sylfaen"/>
          <w:b w:val="0"/>
          <w:iCs/>
          <w:szCs w:val="22"/>
          <w:lang w:val="af-ZA" w:eastAsia="en-GB"/>
        </w:rPr>
        <w:softHyphen/>
        <w:t>հա</w:t>
      </w:r>
      <w:r w:rsidRPr="007955BB">
        <w:rPr>
          <w:rFonts w:cs="Sylfaen"/>
          <w:b w:val="0"/>
          <w:iCs/>
          <w:szCs w:val="22"/>
          <w:lang w:val="af-ZA" w:eastAsia="en-GB"/>
        </w:rPr>
        <w:softHyphen/>
      </w:r>
      <w:r w:rsidRPr="007955BB">
        <w:rPr>
          <w:rFonts w:cs="Sylfaen"/>
          <w:b w:val="0"/>
          <w:iCs/>
          <w:szCs w:val="22"/>
          <w:lang w:val="af-ZA" w:eastAsia="en-GB"/>
        </w:rPr>
        <w:softHyphen/>
        <w:t>բա</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ժիններից 2023</w:t>
      </w:r>
      <w:r>
        <w:rPr>
          <w:rFonts w:cs="Sylfaen"/>
          <w:b w:val="0"/>
          <w:iCs/>
          <w:szCs w:val="22"/>
          <w:lang w:val="af-ZA" w:eastAsia="en-GB"/>
        </w:rPr>
        <w:t xml:space="preserve"> թվականին ակնկալվում են 27,341.3</w:t>
      </w:r>
      <w:r w:rsidRPr="007955BB">
        <w:rPr>
          <w:rFonts w:cs="Sylfaen"/>
          <w:b w:val="0"/>
          <w:iCs/>
          <w:szCs w:val="22"/>
          <w:lang w:val="af-ZA" w:eastAsia="en-GB"/>
        </w:rPr>
        <w:t xml:space="preserve"> մլն դրամի չափով մուտ</w:t>
      </w:r>
      <w:r w:rsidRPr="007955BB">
        <w:rPr>
          <w:rFonts w:cs="Sylfaen"/>
          <w:b w:val="0"/>
          <w:iCs/>
          <w:szCs w:val="22"/>
          <w:lang w:val="af-ZA" w:eastAsia="en-GB"/>
        </w:rPr>
        <w:softHyphen/>
        <w:t>քեր: Մաս</w:t>
      </w:r>
      <w:r w:rsidRPr="007955BB">
        <w:rPr>
          <w:rFonts w:cs="Sylfaen"/>
          <w:b w:val="0"/>
          <w:iCs/>
          <w:szCs w:val="22"/>
          <w:lang w:val="af-ZA" w:eastAsia="en-GB"/>
        </w:rPr>
        <w:softHyphen/>
        <w:t>նա</w:t>
      </w:r>
      <w:r w:rsidRPr="007955BB">
        <w:rPr>
          <w:rFonts w:cs="Sylfaen"/>
          <w:b w:val="0"/>
          <w:iCs/>
          <w:szCs w:val="22"/>
          <w:lang w:val="af-ZA" w:eastAsia="en-GB"/>
        </w:rPr>
        <w:softHyphen/>
        <w:t>վո</w:t>
      </w:r>
      <w:r w:rsidRPr="007955BB">
        <w:rPr>
          <w:rFonts w:cs="Sylfaen"/>
          <w:b w:val="0"/>
          <w:iCs/>
          <w:szCs w:val="22"/>
          <w:lang w:val="af-ZA" w:eastAsia="en-GB"/>
        </w:rPr>
        <w:softHyphen/>
        <w:t>րա</w:t>
      </w:r>
      <w:r w:rsidRPr="007955BB">
        <w:rPr>
          <w:rFonts w:cs="Sylfaen"/>
          <w:b w:val="0"/>
          <w:iCs/>
          <w:szCs w:val="22"/>
          <w:lang w:val="af-ZA" w:eastAsia="en-GB"/>
        </w:rPr>
        <w:softHyphen/>
        <w:t>պես.</w:t>
      </w:r>
    </w:p>
    <w:p w:rsidR="002D578A" w:rsidRPr="007955BB" w:rsidRDefault="002D578A" w:rsidP="002D578A">
      <w:pPr>
        <w:spacing w:before="0" w:line="276" w:lineRule="auto"/>
        <w:ind w:firstLine="562"/>
        <w:contextualSpacing w:val="0"/>
        <w:rPr>
          <w:rFonts w:cs="Sylfaen"/>
          <w:b w:val="0"/>
          <w:iCs/>
          <w:szCs w:val="22"/>
          <w:lang w:val="af-ZA" w:eastAsia="en-GB"/>
        </w:rPr>
      </w:pPr>
      <w:r w:rsidRPr="007955BB">
        <w:rPr>
          <w:rFonts w:cs="Sylfaen"/>
          <w:b w:val="0"/>
          <w:iCs/>
          <w:szCs w:val="22"/>
          <w:lang w:val="af-ZA" w:eastAsia="en-GB"/>
        </w:rPr>
        <w:t>Բանկերում և ֆինանսավարկային հաստատություններում պետական բյուջեի ժա</w:t>
      </w:r>
      <w:r w:rsidRPr="007955BB">
        <w:rPr>
          <w:rFonts w:cs="Sylfaen"/>
          <w:b w:val="0"/>
          <w:iCs/>
          <w:szCs w:val="22"/>
          <w:lang w:val="af-ZA" w:eastAsia="en-GB"/>
        </w:rPr>
        <w:softHyphen/>
        <w:t>մա</w:t>
      </w:r>
      <w:r w:rsidRPr="007955BB">
        <w:rPr>
          <w:rFonts w:cs="Sylfaen"/>
          <w:b w:val="0"/>
          <w:iCs/>
          <w:szCs w:val="22"/>
          <w:lang w:val="af-ZA" w:eastAsia="en-GB"/>
        </w:rPr>
        <w:softHyphen/>
        <w:t>նա</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կա</w:t>
      </w:r>
      <w:r w:rsidRPr="007955BB">
        <w:rPr>
          <w:rFonts w:cs="Sylfaen"/>
          <w:b w:val="0"/>
          <w:iCs/>
          <w:szCs w:val="22"/>
          <w:lang w:val="af-ZA" w:eastAsia="en-GB"/>
        </w:rPr>
        <w:softHyphen/>
        <w:t>վոր ազատ միջոցների տեղաբաշխումից և դեպոզիտներից ստաց</w:t>
      </w:r>
      <w:r w:rsidRPr="007955BB">
        <w:rPr>
          <w:rFonts w:cs="Sylfaen"/>
          <w:b w:val="0"/>
          <w:iCs/>
          <w:szCs w:val="22"/>
          <w:lang w:val="af-ZA" w:eastAsia="en-GB"/>
        </w:rPr>
        <w:softHyphen/>
        <w:t>վող տո</w:t>
      </w:r>
      <w:r w:rsidRPr="007955BB">
        <w:rPr>
          <w:rFonts w:cs="Sylfaen"/>
          <w:b w:val="0"/>
          <w:iCs/>
          <w:szCs w:val="22"/>
          <w:lang w:val="af-ZA" w:eastAsia="en-GB"/>
        </w:rPr>
        <w:softHyphen/>
        <w:t>կո</w:t>
      </w:r>
      <w:r w:rsidRPr="007955BB">
        <w:rPr>
          <w:rFonts w:cs="Sylfaen"/>
          <w:b w:val="0"/>
          <w:iCs/>
          <w:szCs w:val="22"/>
          <w:lang w:val="af-ZA" w:eastAsia="en-GB"/>
        </w:rPr>
        <w:softHyphen/>
        <w:t>սա</w:t>
      </w:r>
      <w:r w:rsidRPr="007955BB">
        <w:rPr>
          <w:rFonts w:cs="Sylfaen"/>
          <w:b w:val="0"/>
          <w:iCs/>
          <w:szCs w:val="22"/>
          <w:lang w:val="af-ZA" w:eastAsia="en-GB"/>
        </w:rPr>
        <w:softHyphen/>
        <w:t>վճար</w:t>
      </w:r>
      <w:r w:rsidRPr="007955BB">
        <w:rPr>
          <w:rFonts w:cs="Sylfaen"/>
          <w:b w:val="0"/>
          <w:iCs/>
          <w:szCs w:val="22"/>
          <w:lang w:val="af-ZA" w:eastAsia="en-GB"/>
        </w:rPr>
        <w:softHyphen/>
        <w:t>նե</w:t>
      </w:r>
      <w:r w:rsidRPr="007955BB">
        <w:rPr>
          <w:rFonts w:cs="Sylfaen"/>
          <w:b w:val="0"/>
          <w:iCs/>
          <w:szCs w:val="22"/>
          <w:lang w:val="af-ZA" w:eastAsia="en-GB"/>
        </w:rPr>
        <w:softHyphen/>
      </w:r>
      <w:r w:rsidRPr="007955BB">
        <w:rPr>
          <w:rFonts w:cs="Sylfaen"/>
          <w:b w:val="0"/>
          <w:iCs/>
          <w:szCs w:val="22"/>
          <w:lang w:val="af-ZA" w:eastAsia="en-GB"/>
        </w:rPr>
        <w:softHyphen/>
        <w:t>րի գծով մուտ</w:t>
      </w:r>
      <w:r w:rsidRPr="007955BB">
        <w:rPr>
          <w:rFonts w:cs="Sylfaen"/>
          <w:b w:val="0"/>
          <w:iCs/>
          <w:szCs w:val="22"/>
          <w:lang w:val="af-ZA" w:eastAsia="en-GB"/>
        </w:rPr>
        <w:softHyphen/>
      </w:r>
      <w:r w:rsidRPr="007955BB">
        <w:rPr>
          <w:rFonts w:cs="Sylfaen"/>
          <w:b w:val="0"/>
          <w:iCs/>
          <w:szCs w:val="22"/>
          <w:lang w:val="af-ZA" w:eastAsia="en-GB"/>
        </w:rPr>
        <w:softHyphen/>
        <w:t>քերը ծրագրվել են 18,300.0 մլն դրամ` 2022 թվա</w:t>
      </w:r>
      <w:r w:rsidRPr="007955BB">
        <w:rPr>
          <w:rFonts w:cs="Sylfaen"/>
          <w:b w:val="0"/>
          <w:iCs/>
          <w:szCs w:val="22"/>
          <w:lang w:val="af-ZA" w:eastAsia="en-GB"/>
        </w:rPr>
        <w:softHyphen/>
        <w:t>կանի համար ծրագրված 13,100.0 մլն դրա</w:t>
      </w:r>
      <w:r w:rsidRPr="007955BB">
        <w:rPr>
          <w:rFonts w:cs="Sylfaen"/>
          <w:b w:val="0"/>
          <w:iCs/>
          <w:szCs w:val="22"/>
          <w:lang w:val="af-ZA" w:eastAsia="en-GB"/>
        </w:rPr>
        <w:softHyphen/>
        <w:t>մի և 2021 թվականի փաս</w:t>
      </w:r>
      <w:r w:rsidRPr="007955BB">
        <w:rPr>
          <w:rFonts w:cs="Sylfaen"/>
          <w:b w:val="0"/>
          <w:iCs/>
          <w:szCs w:val="22"/>
          <w:lang w:val="af-ZA" w:eastAsia="en-GB"/>
        </w:rPr>
        <w:softHyphen/>
        <w:t>տացի ստաց</w:t>
      </w:r>
      <w:r w:rsidRPr="007955BB">
        <w:rPr>
          <w:rFonts w:cs="Sylfaen"/>
          <w:b w:val="0"/>
          <w:iCs/>
          <w:szCs w:val="22"/>
          <w:lang w:val="af-ZA" w:eastAsia="en-GB"/>
        </w:rPr>
        <w:softHyphen/>
        <w:t>ված 29,470.5 մլն դրա</w:t>
      </w:r>
      <w:r w:rsidRPr="007955BB">
        <w:rPr>
          <w:rFonts w:cs="Sylfaen"/>
          <w:b w:val="0"/>
          <w:iCs/>
          <w:szCs w:val="22"/>
          <w:lang w:val="af-ZA" w:eastAsia="en-GB"/>
        </w:rPr>
        <w:softHyphen/>
      </w:r>
      <w:r w:rsidRPr="007955BB">
        <w:rPr>
          <w:rFonts w:cs="Sylfaen"/>
          <w:b w:val="0"/>
          <w:iCs/>
          <w:szCs w:val="22"/>
          <w:lang w:val="af-ZA" w:eastAsia="en-GB"/>
        </w:rPr>
        <w:softHyphen/>
        <w:t>մի դի</w:t>
      </w:r>
      <w:r w:rsidRPr="007955BB">
        <w:rPr>
          <w:rFonts w:cs="Sylfaen"/>
          <w:b w:val="0"/>
          <w:iCs/>
          <w:szCs w:val="22"/>
          <w:lang w:val="af-ZA" w:eastAsia="en-GB"/>
        </w:rPr>
        <w:softHyphen/>
        <w:t>մաց: 2023 թվա</w:t>
      </w:r>
      <w:r w:rsidRPr="007955BB">
        <w:rPr>
          <w:rFonts w:cs="Sylfaen"/>
          <w:b w:val="0"/>
          <w:iCs/>
          <w:szCs w:val="22"/>
          <w:lang w:val="af-ZA" w:eastAsia="en-GB"/>
        </w:rPr>
        <w:softHyphen/>
        <w:t>կանի մուտքերն ա</w:t>
      </w:r>
      <w:r w:rsidRPr="007955BB">
        <w:rPr>
          <w:rFonts w:cs="Sylfaen"/>
          <w:b w:val="0"/>
          <w:iCs/>
          <w:szCs w:val="22"/>
          <w:lang w:val="af-ZA" w:eastAsia="en-GB"/>
        </w:rPr>
        <w:softHyphen/>
        <w:t>պա</w:t>
      </w:r>
      <w:r w:rsidRPr="007955BB">
        <w:rPr>
          <w:rFonts w:cs="Sylfaen"/>
          <w:b w:val="0"/>
          <w:iCs/>
          <w:szCs w:val="22"/>
          <w:lang w:val="af-ZA" w:eastAsia="en-GB"/>
        </w:rPr>
        <w:softHyphen/>
        <w:t>հովվելու են հիմնականում ի հա</w:t>
      </w:r>
      <w:r w:rsidRPr="007955BB">
        <w:rPr>
          <w:rFonts w:cs="Sylfaen"/>
          <w:b w:val="0"/>
          <w:iCs/>
          <w:szCs w:val="22"/>
          <w:lang w:val="af-ZA" w:eastAsia="en-GB"/>
        </w:rPr>
        <w:softHyphen/>
      </w:r>
      <w:r w:rsidRPr="007955BB">
        <w:rPr>
          <w:rFonts w:cs="Sylfaen"/>
          <w:b w:val="0"/>
          <w:iCs/>
          <w:szCs w:val="22"/>
          <w:lang w:val="af-ZA" w:eastAsia="en-GB"/>
        </w:rPr>
        <w:softHyphen/>
        <w:t>շիվ ժա</w:t>
      </w:r>
      <w:r w:rsidRPr="007955BB">
        <w:rPr>
          <w:rFonts w:cs="Sylfaen"/>
          <w:b w:val="0"/>
          <w:iCs/>
          <w:szCs w:val="22"/>
          <w:lang w:val="af-ZA" w:eastAsia="en-GB"/>
        </w:rPr>
        <w:softHyphen/>
        <w:t>մա</w:t>
      </w:r>
      <w:r w:rsidRPr="007955BB">
        <w:rPr>
          <w:rFonts w:cs="Sylfaen"/>
          <w:b w:val="0"/>
          <w:iCs/>
          <w:szCs w:val="22"/>
          <w:lang w:val="af-ZA" w:eastAsia="en-GB"/>
        </w:rPr>
        <w:softHyphen/>
        <w:t>նա</w:t>
      </w:r>
      <w:r w:rsidRPr="007955BB">
        <w:rPr>
          <w:rFonts w:cs="Sylfaen"/>
          <w:b w:val="0"/>
          <w:iCs/>
          <w:szCs w:val="22"/>
          <w:lang w:val="af-ZA" w:eastAsia="en-GB"/>
        </w:rPr>
        <w:softHyphen/>
        <w:t>կա</w:t>
      </w:r>
      <w:r w:rsidRPr="007955BB">
        <w:rPr>
          <w:rFonts w:cs="Sylfaen"/>
          <w:b w:val="0"/>
          <w:iCs/>
          <w:szCs w:val="22"/>
          <w:lang w:val="af-ZA" w:eastAsia="en-GB"/>
        </w:rPr>
        <w:softHyphen/>
        <w:t>վորապես ազատ բյուջետային մի</w:t>
      </w:r>
      <w:r w:rsidRPr="007955BB">
        <w:rPr>
          <w:rFonts w:cs="Sylfaen"/>
          <w:b w:val="0"/>
          <w:iCs/>
          <w:szCs w:val="22"/>
          <w:lang w:val="af-ZA" w:eastAsia="en-GB"/>
        </w:rPr>
        <w:softHyphen/>
        <w:t xml:space="preserve">ջոցները ՀՀ </w:t>
      </w:r>
      <w:r>
        <w:rPr>
          <w:rFonts w:cs="Sylfaen"/>
          <w:b w:val="0"/>
          <w:iCs/>
          <w:szCs w:val="22"/>
          <w:lang w:val="hy-AM" w:eastAsia="en-GB"/>
        </w:rPr>
        <w:t>ԿԲ-</w:t>
      </w:r>
      <w:r w:rsidRPr="007955BB">
        <w:rPr>
          <w:rFonts w:cs="Sylfaen"/>
          <w:b w:val="0"/>
          <w:iCs/>
          <w:szCs w:val="22"/>
          <w:lang w:val="af-ZA" w:eastAsia="en-GB"/>
        </w:rPr>
        <w:t>ում ավան</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դա</w:t>
      </w:r>
      <w:r w:rsidRPr="007955BB">
        <w:rPr>
          <w:rFonts w:cs="Sylfaen"/>
          <w:b w:val="0"/>
          <w:iCs/>
          <w:szCs w:val="22"/>
          <w:lang w:val="af-ZA" w:eastAsia="en-GB"/>
        </w:rPr>
        <w:softHyphen/>
        <w:t>դնե</w:t>
      </w:r>
      <w:r w:rsidRPr="007955BB">
        <w:rPr>
          <w:rFonts w:cs="Sylfaen"/>
          <w:b w:val="0"/>
          <w:iCs/>
          <w:szCs w:val="22"/>
          <w:lang w:val="af-ZA" w:eastAsia="en-GB"/>
        </w:rPr>
        <w:softHyphen/>
        <w:t xml:space="preserve">լու դիմաց ՀՀ </w:t>
      </w:r>
      <w:r>
        <w:rPr>
          <w:rFonts w:cs="Sylfaen"/>
          <w:b w:val="0"/>
          <w:iCs/>
          <w:szCs w:val="22"/>
          <w:lang w:val="hy-AM" w:eastAsia="en-GB"/>
        </w:rPr>
        <w:t>ԿԲ-</w:t>
      </w:r>
      <w:r w:rsidRPr="007955BB">
        <w:rPr>
          <w:rFonts w:cs="Sylfaen"/>
          <w:b w:val="0"/>
          <w:iCs/>
          <w:szCs w:val="22"/>
          <w:lang w:val="af-ZA" w:eastAsia="en-GB"/>
        </w:rPr>
        <w:t xml:space="preserve">ի և ՀՀ </w:t>
      </w:r>
      <w:r>
        <w:rPr>
          <w:rFonts w:cs="Sylfaen"/>
          <w:b w:val="0"/>
          <w:iCs/>
          <w:szCs w:val="22"/>
          <w:lang w:val="hy-AM" w:eastAsia="en-GB"/>
        </w:rPr>
        <w:t>ՖՆ</w:t>
      </w:r>
      <w:r w:rsidRPr="007955BB">
        <w:rPr>
          <w:rFonts w:cs="Sylfaen"/>
          <w:b w:val="0"/>
          <w:iCs/>
          <w:szCs w:val="22"/>
          <w:lang w:val="af-ZA" w:eastAsia="en-GB"/>
        </w:rPr>
        <w:t xml:space="preserve"> միջև կնք</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ված «Հաշվի սպա</w:t>
      </w:r>
      <w:r w:rsidRPr="007955BB">
        <w:rPr>
          <w:rFonts w:cs="Sylfaen"/>
          <w:b w:val="0"/>
          <w:iCs/>
          <w:szCs w:val="22"/>
          <w:lang w:val="af-ZA" w:eastAsia="en-GB"/>
        </w:rPr>
        <w:softHyphen/>
        <w:t>սարկման մա</w:t>
      </w:r>
      <w:r w:rsidRPr="007955BB">
        <w:rPr>
          <w:rFonts w:cs="Sylfaen"/>
          <w:b w:val="0"/>
          <w:iCs/>
          <w:szCs w:val="22"/>
          <w:lang w:val="af-ZA" w:eastAsia="en-GB"/>
        </w:rPr>
        <w:softHyphen/>
      </w:r>
      <w:r w:rsidRPr="007955BB">
        <w:rPr>
          <w:rFonts w:cs="Sylfaen"/>
          <w:b w:val="0"/>
          <w:iCs/>
          <w:szCs w:val="22"/>
          <w:lang w:val="af-ZA" w:eastAsia="en-GB"/>
        </w:rPr>
        <w:softHyphen/>
        <w:t>սին» պայ</w:t>
      </w:r>
      <w:r w:rsidRPr="007955BB">
        <w:rPr>
          <w:rFonts w:cs="Sylfaen"/>
          <w:b w:val="0"/>
          <w:iCs/>
          <w:szCs w:val="22"/>
          <w:lang w:val="af-ZA" w:eastAsia="en-GB"/>
        </w:rPr>
        <w:softHyphen/>
        <w:t>մանագրի հիման վրա վճար</w:t>
      </w:r>
      <w:r w:rsidRPr="007955BB">
        <w:rPr>
          <w:rFonts w:cs="Sylfaen"/>
          <w:b w:val="0"/>
          <w:iCs/>
          <w:szCs w:val="22"/>
          <w:lang w:val="af-ZA" w:eastAsia="en-GB"/>
        </w:rPr>
        <w:softHyphen/>
        <w:t>վե</w:t>
      </w:r>
      <w:r w:rsidRPr="007955BB">
        <w:rPr>
          <w:rFonts w:cs="Sylfaen"/>
          <w:b w:val="0"/>
          <w:iCs/>
          <w:szCs w:val="22"/>
          <w:lang w:val="af-ZA" w:eastAsia="en-GB"/>
        </w:rPr>
        <w:softHyphen/>
        <w:t>լիք տո</w:t>
      </w:r>
      <w:r w:rsidRPr="007955BB">
        <w:rPr>
          <w:rFonts w:cs="Sylfaen"/>
          <w:b w:val="0"/>
          <w:iCs/>
          <w:szCs w:val="22"/>
          <w:lang w:val="af-ZA" w:eastAsia="en-GB"/>
        </w:rPr>
        <w:softHyphen/>
        <w:t>կո</w:t>
      </w:r>
      <w:r w:rsidRPr="007955BB">
        <w:rPr>
          <w:rFonts w:cs="Sylfaen"/>
          <w:b w:val="0"/>
          <w:iCs/>
          <w:szCs w:val="22"/>
          <w:lang w:val="af-ZA" w:eastAsia="en-GB"/>
        </w:rPr>
        <w:softHyphen/>
        <w:t>սա</w:t>
      </w:r>
      <w:r w:rsidRPr="007955BB">
        <w:rPr>
          <w:rFonts w:cs="Sylfaen"/>
          <w:b w:val="0"/>
          <w:iCs/>
          <w:szCs w:val="22"/>
          <w:lang w:val="af-ZA" w:eastAsia="en-GB"/>
        </w:rPr>
        <w:softHyphen/>
        <w:t>վճար</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ների:</w:t>
      </w:r>
    </w:p>
    <w:p w:rsidR="002D578A" w:rsidRPr="007955BB" w:rsidRDefault="002D578A" w:rsidP="002D578A">
      <w:pPr>
        <w:spacing w:before="0" w:line="276" w:lineRule="auto"/>
        <w:ind w:firstLine="562"/>
        <w:contextualSpacing w:val="0"/>
        <w:rPr>
          <w:rFonts w:cs="Sylfaen"/>
          <w:b w:val="0"/>
          <w:iCs/>
          <w:szCs w:val="22"/>
          <w:lang w:val="af-ZA" w:eastAsia="en-GB"/>
        </w:rPr>
      </w:pPr>
      <w:r w:rsidRPr="007955BB">
        <w:rPr>
          <w:rFonts w:cs="Sylfaen"/>
          <w:b w:val="0"/>
          <w:iCs/>
          <w:szCs w:val="22"/>
          <w:lang w:val="af-ZA" w:eastAsia="en-GB"/>
        </w:rPr>
        <w:t>Իրավաբանական անձանց կապիտալում կատարված ներդրումներից ստացվող շա</w:t>
      </w:r>
      <w:r w:rsidRPr="007955BB">
        <w:rPr>
          <w:rFonts w:cs="Sylfaen"/>
          <w:b w:val="0"/>
          <w:iCs/>
          <w:szCs w:val="22"/>
          <w:lang w:val="af-ZA" w:eastAsia="en-GB"/>
        </w:rPr>
        <w:softHyphen/>
        <w:t>հա</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բա</w:t>
      </w:r>
      <w:r w:rsidRPr="007955BB">
        <w:rPr>
          <w:rFonts w:cs="Sylfaen"/>
          <w:b w:val="0"/>
          <w:iCs/>
          <w:szCs w:val="22"/>
          <w:lang w:val="af-ZA" w:eastAsia="en-GB"/>
        </w:rPr>
        <w:softHyphen/>
        <w:t>ժին</w:t>
      </w:r>
      <w:r w:rsidRPr="007955BB">
        <w:rPr>
          <w:rFonts w:cs="Sylfaen"/>
          <w:b w:val="0"/>
          <w:iCs/>
          <w:szCs w:val="22"/>
          <w:lang w:val="af-ZA" w:eastAsia="en-GB"/>
        </w:rPr>
        <w:softHyphen/>
      </w:r>
      <w:r w:rsidRPr="007955BB">
        <w:rPr>
          <w:rFonts w:cs="Sylfaen"/>
          <w:b w:val="0"/>
          <w:iCs/>
          <w:szCs w:val="22"/>
          <w:lang w:val="af-ZA" w:eastAsia="en-GB"/>
        </w:rPr>
        <w:softHyphen/>
        <w:t>ներից 202</w:t>
      </w:r>
      <w:r>
        <w:rPr>
          <w:rFonts w:cs="Sylfaen"/>
          <w:b w:val="0"/>
          <w:iCs/>
          <w:szCs w:val="22"/>
          <w:lang w:val="af-ZA" w:eastAsia="en-GB"/>
        </w:rPr>
        <w:t>3 թվականին ակնկալվում են 9,041.3</w:t>
      </w:r>
      <w:r w:rsidRPr="007955BB">
        <w:rPr>
          <w:rFonts w:cs="Sylfaen"/>
          <w:b w:val="0"/>
          <w:iCs/>
          <w:szCs w:val="22"/>
          <w:lang w:val="af-ZA" w:eastAsia="en-GB"/>
        </w:rPr>
        <w:t xml:space="preserve"> մլն դրամի չափով մուտքեր` 2022 թվա</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կա</w:t>
      </w:r>
      <w:r w:rsidRPr="007955BB">
        <w:rPr>
          <w:rFonts w:cs="Sylfaen"/>
          <w:b w:val="0"/>
          <w:iCs/>
          <w:szCs w:val="22"/>
          <w:lang w:val="af-ZA" w:eastAsia="en-GB"/>
        </w:rPr>
        <w:softHyphen/>
      </w:r>
      <w:r w:rsidRPr="007955BB">
        <w:rPr>
          <w:rFonts w:cs="Sylfaen"/>
          <w:b w:val="0"/>
          <w:iCs/>
          <w:szCs w:val="22"/>
          <w:lang w:val="af-ZA" w:eastAsia="en-GB"/>
        </w:rPr>
        <w:softHyphen/>
        <w:t>նի համար ծրագրված 1,037.9 մլն դրամի և 2021 թվա</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կանին փաս</w:t>
      </w:r>
      <w:r w:rsidRPr="007955BB">
        <w:rPr>
          <w:rFonts w:cs="Sylfaen"/>
          <w:b w:val="0"/>
          <w:iCs/>
          <w:szCs w:val="22"/>
          <w:lang w:val="af-ZA" w:eastAsia="en-GB"/>
        </w:rPr>
        <w:softHyphen/>
      </w:r>
      <w:r w:rsidRPr="007955BB">
        <w:rPr>
          <w:rFonts w:cs="Sylfaen"/>
          <w:b w:val="0"/>
          <w:iCs/>
          <w:szCs w:val="22"/>
          <w:lang w:val="af-ZA" w:eastAsia="en-GB"/>
        </w:rPr>
        <w:softHyphen/>
        <w:t>տացի ստացված 789.1 մլն դրամի դի</w:t>
      </w:r>
      <w:r w:rsidRPr="007955BB">
        <w:rPr>
          <w:rFonts w:cs="Sylfaen"/>
          <w:b w:val="0"/>
          <w:iCs/>
          <w:szCs w:val="22"/>
          <w:lang w:val="af-ZA" w:eastAsia="en-GB"/>
        </w:rPr>
        <w:softHyphen/>
        <w:t>մաց: Շահաբաժինների գծով 2023 թվա</w:t>
      </w:r>
      <w:r w:rsidRPr="007955BB">
        <w:rPr>
          <w:rFonts w:cs="Sylfaen"/>
          <w:b w:val="0"/>
          <w:iCs/>
          <w:szCs w:val="22"/>
          <w:lang w:val="af-ZA" w:eastAsia="en-GB"/>
        </w:rPr>
        <w:softHyphen/>
        <w:t>կանի կանխատեսվող մուտքերը ծրագ</w:t>
      </w:r>
      <w:r w:rsidRPr="007955BB">
        <w:rPr>
          <w:rFonts w:cs="Sylfaen"/>
          <w:b w:val="0"/>
          <w:iCs/>
          <w:szCs w:val="22"/>
          <w:lang w:val="af-ZA" w:eastAsia="en-GB"/>
        </w:rPr>
        <w:softHyphen/>
        <w:t>րե</w:t>
      </w:r>
      <w:r w:rsidRPr="007955BB">
        <w:rPr>
          <w:rFonts w:cs="Sylfaen"/>
          <w:b w:val="0"/>
          <w:iCs/>
          <w:szCs w:val="22"/>
          <w:lang w:val="af-ZA" w:eastAsia="en-GB"/>
        </w:rPr>
        <w:softHyphen/>
        <w:t>լիս հաշվի է առնվել ՀՀ կառավարության 2011 թվա</w:t>
      </w:r>
      <w:r w:rsidRPr="007955BB">
        <w:rPr>
          <w:rFonts w:cs="Sylfaen"/>
          <w:b w:val="0"/>
          <w:iCs/>
          <w:szCs w:val="22"/>
          <w:lang w:val="af-ZA" w:eastAsia="en-GB"/>
        </w:rPr>
        <w:softHyphen/>
        <w:t>կանի մարտի 3-ի «Պետության սե</w:t>
      </w:r>
      <w:r w:rsidRPr="007955BB">
        <w:rPr>
          <w:rFonts w:cs="Sylfaen"/>
          <w:b w:val="0"/>
          <w:iCs/>
          <w:szCs w:val="22"/>
          <w:lang w:val="af-ZA" w:eastAsia="en-GB"/>
        </w:rPr>
        <w:softHyphen/>
        <w:t>փա</w:t>
      </w:r>
      <w:r w:rsidRPr="007955BB">
        <w:rPr>
          <w:rFonts w:cs="Sylfaen"/>
          <w:b w:val="0"/>
          <w:iCs/>
          <w:szCs w:val="22"/>
          <w:lang w:val="af-ZA" w:eastAsia="en-GB"/>
        </w:rPr>
        <w:softHyphen/>
        <w:t>կա</w:t>
      </w:r>
      <w:r w:rsidRPr="007955BB">
        <w:rPr>
          <w:rFonts w:cs="Sylfaen"/>
          <w:b w:val="0"/>
          <w:iCs/>
          <w:szCs w:val="22"/>
          <w:lang w:val="af-ZA" w:eastAsia="en-GB"/>
        </w:rPr>
        <w:softHyphen/>
        <w:t>նու</w:t>
      </w:r>
      <w:r w:rsidRPr="007955BB">
        <w:rPr>
          <w:rFonts w:cs="Sylfaen"/>
          <w:b w:val="0"/>
          <w:iCs/>
          <w:szCs w:val="22"/>
          <w:lang w:val="af-ZA" w:eastAsia="en-GB"/>
        </w:rPr>
        <w:softHyphen/>
        <w:t>թյուն հան</w:t>
      </w:r>
      <w:r w:rsidRPr="007955BB">
        <w:rPr>
          <w:rFonts w:cs="Sylfaen"/>
          <w:b w:val="0"/>
          <w:iCs/>
          <w:szCs w:val="22"/>
          <w:lang w:val="af-ZA" w:eastAsia="en-GB"/>
        </w:rPr>
        <w:softHyphen/>
      </w:r>
      <w:r w:rsidRPr="007955BB">
        <w:rPr>
          <w:rFonts w:cs="Sylfaen"/>
          <w:b w:val="0"/>
          <w:iCs/>
          <w:szCs w:val="22"/>
          <w:lang w:val="af-ZA" w:eastAsia="en-GB"/>
        </w:rPr>
        <w:softHyphen/>
        <w:t>դի</w:t>
      </w:r>
      <w:r w:rsidRPr="007955BB">
        <w:rPr>
          <w:rFonts w:cs="Sylfaen"/>
          <w:b w:val="0"/>
          <w:iCs/>
          <w:szCs w:val="22"/>
          <w:lang w:val="af-ZA" w:eastAsia="en-GB"/>
        </w:rPr>
        <w:softHyphen/>
        <w:t>սա</w:t>
      </w:r>
      <w:r w:rsidRPr="007955BB">
        <w:rPr>
          <w:rFonts w:cs="Sylfaen"/>
          <w:b w:val="0"/>
          <w:iCs/>
          <w:szCs w:val="22"/>
          <w:lang w:val="af-ZA" w:eastAsia="en-GB"/>
        </w:rPr>
        <w:softHyphen/>
        <w:t>ցող բաժնեմաս ունեցող առևտրային կազմակերպությունների շահույթի բաշխման, շա</w:t>
      </w:r>
      <w:r w:rsidRPr="007955BB">
        <w:rPr>
          <w:rFonts w:cs="Sylfaen"/>
          <w:b w:val="0"/>
          <w:iCs/>
          <w:szCs w:val="22"/>
          <w:lang w:val="af-ZA" w:eastAsia="en-GB"/>
        </w:rPr>
        <w:softHyphen/>
      </w:r>
      <w:r w:rsidRPr="007955BB">
        <w:rPr>
          <w:rFonts w:cs="Sylfaen"/>
          <w:b w:val="0"/>
          <w:iCs/>
          <w:szCs w:val="22"/>
          <w:lang w:val="af-ZA" w:eastAsia="en-GB"/>
        </w:rPr>
        <w:softHyphen/>
        <w:t>հու</w:t>
      </w:r>
      <w:r w:rsidRPr="007955BB">
        <w:rPr>
          <w:rFonts w:cs="Sylfaen"/>
          <w:b w:val="0"/>
          <w:iCs/>
          <w:szCs w:val="22"/>
          <w:lang w:val="af-ZA" w:eastAsia="en-GB"/>
        </w:rPr>
        <w:softHyphen/>
        <w:t>թա</w:t>
      </w:r>
      <w:r w:rsidRPr="007955BB">
        <w:rPr>
          <w:rFonts w:cs="Sylfaen"/>
          <w:b w:val="0"/>
          <w:iCs/>
          <w:szCs w:val="22"/>
          <w:lang w:val="af-ZA" w:eastAsia="en-GB"/>
        </w:rPr>
        <w:softHyphen/>
        <w:t>բա</w:t>
      </w:r>
      <w:r w:rsidRPr="007955BB">
        <w:rPr>
          <w:rFonts w:cs="Sylfaen"/>
          <w:b w:val="0"/>
          <w:iCs/>
          <w:szCs w:val="22"/>
          <w:lang w:val="af-ZA" w:eastAsia="en-GB"/>
        </w:rPr>
        <w:softHyphen/>
        <w:t>ժին</w:t>
      </w:r>
      <w:r w:rsidRPr="007955BB">
        <w:rPr>
          <w:rFonts w:cs="Sylfaen"/>
          <w:b w:val="0"/>
          <w:iCs/>
          <w:szCs w:val="22"/>
          <w:lang w:val="af-ZA" w:eastAsia="en-GB"/>
        </w:rPr>
        <w:softHyphen/>
      </w:r>
      <w:r w:rsidRPr="007955BB">
        <w:rPr>
          <w:rFonts w:cs="Sylfaen"/>
          <w:b w:val="0"/>
          <w:iCs/>
          <w:szCs w:val="22"/>
          <w:lang w:val="af-ZA" w:eastAsia="en-GB"/>
        </w:rPr>
        <w:softHyphen/>
        <w:t>նե</w:t>
      </w:r>
      <w:r w:rsidRPr="007955BB">
        <w:rPr>
          <w:rFonts w:cs="Sylfaen"/>
          <w:b w:val="0"/>
          <w:iCs/>
          <w:szCs w:val="22"/>
          <w:lang w:val="af-ZA" w:eastAsia="en-GB"/>
        </w:rPr>
        <w:softHyphen/>
        <w:t>րի հաշ</w:t>
      </w:r>
      <w:r w:rsidRPr="007955BB">
        <w:rPr>
          <w:rFonts w:cs="Sylfaen"/>
          <w:b w:val="0"/>
          <w:iCs/>
          <w:szCs w:val="22"/>
          <w:lang w:val="af-ZA" w:eastAsia="en-GB"/>
        </w:rPr>
        <w:softHyphen/>
        <w:t>վարկ</w:t>
      </w:r>
      <w:r w:rsidRPr="007955BB">
        <w:rPr>
          <w:rFonts w:cs="Sylfaen"/>
          <w:b w:val="0"/>
          <w:iCs/>
          <w:szCs w:val="22"/>
          <w:lang w:val="af-ZA" w:eastAsia="en-GB"/>
        </w:rPr>
        <w:softHyphen/>
        <w:t>ման և Հայաստանի Հան</w:t>
      </w:r>
      <w:r w:rsidRPr="007955BB">
        <w:rPr>
          <w:rFonts w:cs="Sylfaen"/>
          <w:b w:val="0"/>
          <w:iCs/>
          <w:szCs w:val="22"/>
          <w:lang w:val="af-ZA" w:eastAsia="en-GB"/>
        </w:rPr>
        <w:softHyphen/>
      </w:r>
      <w:r w:rsidRPr="007955BB">
        <w:rPr>
          <w:rFonts w:cs="Sylfaen"/>
          <w:b w:val="0"/>
          <w:iCs/>
          <w:szCs w:val="22"/>
          <w:lang w:val="af-ZA" w:eastAsia="en-GB"/>
        </w:rPr>
        <w:softHyphen/>
        <w:t>րա</w:t>
      </w:r>
      <w:r w:rsidRPr="007955BB">
        <w:rPr>
          <w:rFonts w:cs="Sylfaen"/>
          <w:b w:val="0"/>
          <w:iCs/>
          <w:szCs w:val="22"/>
          <w:lang w:val="af-ZA" w:eastAsia="en-GB"/>
        </w:rPr>
        <w:softHyphen/>
      </w:r>
      <w:r w:rsidRPr="007955BB">
        <w:rPr>
          <w:rFonts w:cs="Sylfaen"/>
          <w:b w:val="0"/>
          <w:iCs/>
          <w:szCs w:val="22"/>
          <w:lang w:val="af-ZA" w:eastAsia="en-GB"/>
        </w:rPr>
        <w:softHyphen/>
        <w:t>պե</w:t>
      </w:r>
      <w:r w:rsidRPr="007955BB">
        <w:rPr>
          <w:rFonts w:cs="Sylfaen"/>
          <w:b w:val="0"/>
          <w:iCs/>
          <w:szCs w:val="22"/>
          <w:lang w:val="af-ZA" w:eastAsia="en-GB"/>
        </w:rPr>
        <w:softHyphen/>
        <w:t>տու</w:t>
      </w:r>
      <w:r w:rsidRPr="007955BB">
        <w:rPr>
          <w:rFonts w:cs="Sylfaen"/>
          <w:b w:val="0"/>
          <w:iCs/>
          <w:szCs w:val="22"/>
          <w:lang w:val="af-ZA" w:eastAsia="en-GB"/>
        </w:rPr>
        <w:softHyphen/>
        <w:t>թյան պետական բյուջե վճար</w:t>
      </w:r>
      <w:r w:rsidRPr="007955BB">
        <w:rPr>
          <w:rFonts w:cs="Sylfaen"/>
          <w:b w:val="0"/>
          <w:iCs/>
          <w:szCs w:val="22"/>
          <w:lang w:val="af-ZA" w:eastAsia="en-GB"/>
        </w:rPr>
        <w:softHyphen/>
        <w:t>ման կար</w:t>
      </w:r>
      <w:r w:rsidRPr="007955BB">
        <w:rPr>
          <w:rFonts w:cs="Sylfaen"/>
          <w:b w:val="0"/>
          <w:iCs/>
          <w:szCs w:val="22"/>
          <w:lang w:val="af-ZA" w:eastAsia="en-GB"/>
        </w:rPr>
        <w:softHyphen/>
        <w:t>գը հաս</w:t>
      </w:r>
      <w:r w:rsidRPr="007955BB">
        <w:rPr>
          <w:rFonts w:cs="Sylfaen"/>
          <w:b w:val="0"/>
          <w:iCs/>
          <w:szCs w:val="22"/>
          <w:lang w:val="af-ZA" w:eastAsia="en-GB"/>
        </w:rPr>
        <w:softHyphen/>
      </w:r>
      <w:r w:rsidRPr="007955BB">
        <w:rPr>
          <w:rFonts w:cs="Sylfaen"/>
          <w:b w:val="0"/>
          <w:iCs/>
          <w:szCs w:val="22"/>
          <w:lang w:val="af-ZA" w:eastAsia="en-GB"/>
        </w:rPr>
        <w:softHyphen/>
        <w:t>տա</w:t>
      </w:r>
      <w:r w:rsidRPr="007955BB">
        <w:rPr>
          <w:rFonts w:cs="Sylfaen"/>
          <w:b w:val="0"/>
          <w:iCs/>
          <w:szCs w:val="22"/>
          <w:lang w:val="af-ZA" w:eastAsia="en-GB"/>
        </w:rPr>
        <w:softHyphen/>
        <w:t>տելու և Հա</w:t>
      </w:r>
      <w:r w:rsidRPr="007955BB">
        <w:rPr>
          <w:rFonts w:cs="Sylfaen"/>
          <w:b w:val="0"/>
          <w:iCs/>
          <w:szCs w:val="22"/>
          <w:lang w:val="af-ZA" w:eastAsia="en-GB"/>
        </w:rPr>
        <w:softHyphen/>
        <w:t>յաստանի Հան</w:t>
      </w:r>
      <w:r w:rsidRPr="007955BB">
        <w:rPr>
          <w:rFonts w:cs="Sylfaen"/>
          <w:b w:val="0"/>
          <w:iCs/>
          <w:szCs w:val="22"/>
          <w:lang w:val="af-ZA" w:eastAsia="en-GB"/>
        </w:rPr>
        <w:softHyphen/>
      </w:r>
      <w:r w:rsidRPr="007955BB">
        <w:rPr>
          <w:rFonts w:cs="Sylfaen"/>
          <w:b w:val="0"/>
          <w:iCs/>
          <w:szCs w:val="22"/>
          <w:lang w:val="af-ZA" w:eastAsia="en-GB"/>
        </w:rPr>
        <w:softHyphen/>
        <w:t>րա</w:t>
      </w:r>
      <w:r w:rsidRPr="007955BB">
        <w:rPr>
          <w:rFonts w:cs="Sylfaen"/>
          <w:b w:val="0"/>
          <w:iCs/>
          <w:szCs w:val="22"/>
          <w:lang w:val="af-ZA" w:eastAsia="en-GB"/>
        </w:rPr>
        <w:softHyphen/>
      </w:r>
      <w:r w:rsidRPr="007955BB">
        <w:rPr>
          <w:rFonts w:cs="Sylfaen"/>
          <w:b w:val="0"/>
          <w:iCs/>
          <w:szCs w:val="22"/>
          <w:lang w:val="af-ZA" w:eastAsia="en-GB"/>
        </w:rPr>
        <w:softHyphen/>
        <w:t>պե</w:t>
      </w:r>
      <w:r w:rsidRPr="007955BB">
        <w:rPr>
          <w:rFonts w:cs="Sylfaen"/>
          <w:b w:val="0"/>
          <w:iCs/>
          <w:szCs w:val="22"/>
          <w:lang w:val="af-ZA" w:eastAsia="en-GB"/>
        </w:rPr>
        <w:softHyphen/>
        <w:t>տու</w:t>
      </w:r>
      <w:r w:rsidRPr="007955BB">
        <w:rPr>
          <w:rFonts w:cs="Sylfaen"/>
          <w:b w:val="0"/>
          <w:iCs/>
          <w:szCs w:val="22"/>
          <w:lang w:val="af-ZA" w:eastAsia="en-GB"/>
        </w:rPr>
        <w:softHyphen/>
        <w:t>թյան կառավարության 2001 թվա</w:t>
      </w:r>
      <w:r w:rsidRPr="007955BB">
        <w:rPr>
          <w:rFonts w:cs="Sylfaen"/>
          <w:b w:val="0"/>
          <w:iCs/>
          <w:szCs w:val="22"/>
          <w:lang w:val="af-ZA" w:eastAsia="en-GB"/>
        </w:rPr>
        <w:softHyphen/>
        <w:t>կա</w:t>
      </w:r>
      <w:r w:rsidRPr="007955BB">
        <w:rPr>
          <w:rFonts w:cs="Sylfaen"/>
          <w:b w:val="0"/>
          <w:iCs/>
          <w:szCs w:val="22"/>
          <w:lang w:val="af-ZA" w:eastAsia="en-GB"/>
        </w:rPr>
        <w:softHyphen/>
        <w:t>նի դեկ</w:t>
      </w:r>
      <w:r w:rsidRPr="007955BB">
        <w:rPr>
          <w:rFonts w:cs="Sylfaen"/>
          <w:b w:val="0"/>
          <w:iCs/>
          <w:szCs w:val="22"/>
          <w:lang w:val="af-ZA" w:eastAsia="en-GB"/>
        </w:rPr>
        <w:softHyphen/>
        <w:t>տեմ</w:t>
      </w:r>
      <w:r w:rsidRPr="007955BB">
        <w:rPr>
          <w:rFonts w:cs="Sylfaen"/>
          <w:b w:val="0"/>
          <w:iCs/>
          <w:szCs w:val="22"/>
          <w:lang w:val="af-ZA" w:eastAsia="en-GB"/>
        </w:rPr>
        <w:softHyphen/>
        <w:t>բերի 5-ի N 1194 որոշ</w:t>
      </w:r>
      <w:r w:rsidRPr="007955BB">
        <w:rPr>
          <w:rFonts w:cs="Sylfaen"/>
          <w:b w:val="0"/>
          <w:iCs/>
          <w:szCs w:val="22"/>
          <w:lang w:val="af-ZA" w:eastAsia="en-GB"/>
        </w:rPr>
        <w:softHyphen/>
        <w:t>ման մեջ փոփոխություն կատարելու մասին» N 202-Ն որոշ</w:t>
      </w:r>
      <w:r w:rsidRPr="007955BB">
        <w:rPr>
          <w:rFonts w:cs="Sylfaen"/>
          <w:b w:val="0"/>
          <w:iCs/>
          <w:szCs w:val="22"/>
          <w:lang w:val="af-ZA" w:eastAsia="en-GB"/>
        </w:rPr>
        <w:softHyphen/>
        <w:t>մամբ հաս</w:t>
      </w:r>
      <w:r w:rsidRPr="007955BB">
        <w:rPr>
          <w:rFonts w:cs="Sylfaen"/>
          <w:b w:val="0"/>
          <w:iCs/>
          <w:szCs w:val="22"/>
          <w:lang w:val="af-ZA" w:eastAsia="en-GB"/>
        </w:rPr>
        <w:softHyphen/>
        <w:t>տատ</w:t>
      </w:r>
      <w:r w:rsidRPr="007955BB">
        <w:rPr>
          <w:rFonts w:cs="Sylfaen"/>
          <w:b w:val="0"/>
          <w:iCs/>
          <w:szCs w:val="22"/>
          <w:lang w:val="af-ZA" w:eastAsia="en-GB"/>
        </w:rPr>
        <w:softHyphen/>
        <w:t>ված կար</w:t>
      </w:r>
      <w:r w:rsidRPr="007955BB">
        <w:rPr>
          <w:rFonts w:cs="Sylfaen"/>
          <w:b w:val="0"/>
          <w:iCs/>
          <w:szCs w:val="22"/>
          <w:lang w:val="af-ZA" w:eastAsia="en-GB"/>
        </w:rPr>
        <w:softHyphen/>
        <w:t>գի համաձայն պե</w:t>
      </w:r>
      <w:r w:rsidRPr="007955BB">
        <w:rPr>
          <w:rFonts w:cs="Sylfaen"/>
          <w:b w:val="0"/>
          <w:iCs/>
          <w:szCs w:val="22"/>
          <w:lang w:val="af-ZA" w:eastAsia="en-GB"/>
        </w:rPr>
        <w:softHyphen/>
        <w:t>տա</w:t>
      </w:r>
      <w:r w:rsidRPr="007955BB">
        <w:rPr>
          <w:rFonts w:cs="Sylfaen"/>
          <w:b w:val="0"/>
          <w:iCs/>
          <w:szCs w:val="22"/>
          <w:lang w:val="af-ZA" w:eastAsia="en-GB"/>
        </w:rPr>
        <w:softHyphen/>
        <w:t>կան մաս</w:t>
      </w:r>
      <w:r w:rsidRPr="007955BB">
        <w:rPr>
          <w:rFonts w:cs="Sylfaen"/>
          <w:b w:val="0"/>
          <w:iCs/>
          <w:szCs w:val="22"/>
          <w:lang w:val="af-ZA" w:eastAsia="en-GB"/>
        </w:rPr>
        <w:softHyphen/>
      </w:r>
      <w:r w:rsidRPr="007955BB">
        <w:rPr>
          <w:rFonts w:cs="Sylfaen"/>
          <w:b w:val="0"/>
          <w:iCs/>
          <w:szCs w:val="22"/>
          <w:lang w:val="af-ZA" w:eastAsia="en-GB"/>
        </w:rPr>
        <w:softHyphen/>
        <w:t>նակ</w:t>
      </w:r>
      <w:r w:rsidRPr="007955BB">
        <w:rPr>
          <w:rFonts w:cs="Sylfaen"/>
          <w:b w:val="0"/>
          <w:iCs/>
          <w:szCs w:val="22"/>
          <w:lang w:val="af-ZA" w:eastAsia="en-GB"/>
        </w:rPr>
        <w:softHyphen/>
        <w:t>ցու</w:t>
      </w:r>
      <w:r w:rsidRPr="007955BB">
        <w:rPr>
          <w:rFonts w:cs="Sylfaen"/>
          <w:b w:val="0"/>
          <w:iCs/>
          <w:szCs w:val="22"/>
          <w:lang w:val="af-ZA" w:eastAsia="en-GB"/>
        </w:rPr>
        <w:softHyphen/>
        <w:t>թյան դիմաց պե</w:t>
      </w:r>
      <w:r w:rsidRPr="007955BB">
        <w:rPr>
          <w:rFonts w:cs="Sylfaen"/>
          <w:b w:val="0"/>
          <w:iCs/>
          <w:szCs w:val="22"/>
          <w:lang w:val="af-ZA" w:eastAsia="en-GB"/>
        </w:rPr>
        <w:softHyphen/>
        <w:t>տա</w:t>
      </w:r>
      <w:r w:rsidRPr="007955BB">
        <w:rPr>
          <w:rFonts w:cs="Sylfaen"/>
          <w:b w:val="0"/>
          <w:iCs/>
          <w:szCs w:val="22"/>
          <w:lang w:val="af-ZA" w:eastAsia="en-GB"/>
        </w:rPr>
        <w:softHyphen/>
        <w:t>կան բյու</w:t>
      </w:r>
      <w:r w:rsidRPr="007955BB">
        <w:rPr>
          <w:rFonts w:cs="Sylfaen"/>
          <w:b w:val="0"/>
          <w:iCs/>
          <w:szCs w:val="22"/>
          <w:lang w:val="af-ZA" w:eastAsia="en-GB"/>
        </w:rPr>
        <w:softHyphen/>
        <w:t>ջե վճարման են</w:t>
      </w:r>
      <w:r w:rsidRPr="007955BB">
        <w:rPr>
          <w:rFonts w:cs="Sylfaen"/>
          <w:b w:val="0"/>
          <w:iCs/>
          <w:szCs w:val="22"/>
          <w:lang w:val="af-ZA" w:eastAsia="en-GB"/>
        </w:rPr>
        <w:softHyphen/>
        <w:t>թա</w:t>
      </w:r>
      <w:r w:rsidRPr="007955BB">
        <w:rPr>
          <w:rFonts w:cs="Sylfaen"/>
          <w:b w:val="0"/>
          <w:iCs/>
          <w:szCs w:val="22"/>
          <w:lang w:val="af-ZA" w:eastAsia="en-GB"/>
        </w:rPr>
        <w:softHyphen/>
        <w:t>կա տա</w:t>
      </w:r>
      <w:r w:rsidRPr="007955BB">
        <w:rPr>
          <w:rFonts w:cs="Sylfaen"/>
          <w:b w:val="0"/>
          <w:iCs/>
          <w:szCs w:val="22"/>
          <w:lang w:val="af-ZA" w:eastAsia="en-GB"/>
        </w:rPr>
        <w:softHyphen/>
        <w:t>րե</w:t>
      </w:r>
      <w:r w:rsidRPr="007955BB">
        <w:rPr>
          <w:rFonts w:cs="Sylfaen"/>
          <w:b w:val="0"/>
          <w:iCs/>
          <w:szCs w:val="22"/>
          <w:lang w:val="af-ZA" w:eastAsia="en-GB"/>
        </w:rPr>
        <w:softHyphen/>
        <w:t>կան շահութաբաժինների հաշվարկման բազայի 50%</w:t>
      </w:r>
      <w:r w:rsidRPr="007955BB">
        <w:rPr>
          <w:rFonts w:cs="Sylfaen"/>
          <w:b w:val="0"/>
          <w:iCs/>
          <w:szCs w:val="22"/>
          <w:lang w:val="af-ZA" w:eastAsia="en-GB"/>
        </w:rPr>
        <w:noBreakHyphen/>
        <w:t>ի չա</w:t>
      </w:r>
      <w:r w:rsidRPr="007955BB">
        <w:rPr>
          <w:rFonts w:cs="Sylfaen"/>
          <w:b w:val="0"/>
          <w:iCs/>
          <w:szCs w:val="22"/>
          <w:lang w:val="af-ZA" w:eastAsia="en-GB"/>
        </w:rPr>
        <w:softHyphen/>
        <w:t>փով պետական բյուջե կա</w:t>
      </w:r>
      <w:r w:rsidRPr="007955BB">
        <w:rPr>
          <w:rFonts w:cs="Sylfaen"/>
          <w:b w:val="0"/>
          <w:iCs/>
          <w:szCs w:val="22"/>
          <w:lang w:val="af-ZA" w:eastAsia="en-GB"/>
        </w:rPr>
        <w:softHyphen/>
        <w:t>տար</w:t>
      </w:r>
      <w:r w:rsidRPr="007955BB">
        <w:rPr>
          <w:rFonts w:cs="Sylfaen"/>
          <w:b w:val="0"/>
          <w:iCs/>
          <w:szCs w:val="22"/>
          <w:lang w:val="af-ZA" w:eastAsia="en-GB"/>
        </w:rPr>
        <w:softHyphen/>
      </w:r>
      <w:r w:rsidRPr="007955BB">
        <w:rPr>
          <w:rFonts w:cs="Sylfaen"/>
          <w:b w:val="0"/>
          <w:iCs/>
          <w:szCs w:val="22"/>
          <w:lang w:val="af-ZA" w:eastAsia="en-GB"/>
        </w:rPr>
        <w:softHyphen/>
        <w:t>վե</w:t>
      </w:r>
      <w:r w:rsidRPr="007955BB">
        <w:rPr>
          <w:rFonts w:cs="Sylfaen"/>
          <w:b w:val="0"/>
          <w:iCs/>
          <w:szCs w:val="22"/>
          <w:lang w:val="af-ZA" w:eastAsia="en-GB"/>
        </w:rPr>
        <w:softHyphen/>
        <w:t>լիք մաս</w:t>
      </w:r>
      <w:r w:rsidRPr="007955BB">
        <w:rPr>
          <w:rFonts w:cs="Sylfaen"/>
          <w:b w:val="0"/>
          <w:iCs/>
          <w:szCs w:val="22"/>
          <w:lang w:val="af-ZA" w:eastAsia="en-GB"/>
        </w:rPr>
        <w:softHyphen/>
        <w:t>հանումների սահմանումը:</w:t>
      </w:r>
    </w:p>
    <w:p w:rsidR="002D578A" w:rsidRPr="007955BB" w:rsidRDefault="002D578A" w:rsidP="002D578A">
      <w:pPr>
        <w:spacing w:before="0" w:line="276" w:lineRule="auto"/>
        <w:ind w:firstLine="562"/>
        <w:contextualSpacing w:val="0"/>
        <w:rPr>
          <w:rFonts w:cs="Sylfaen"/>
          <w:b w:val="0"/>
          <w:iCs/>
          <w:szCs w:val="22"/>
          <w:lang w:val="af-ZA" w:eastAsia="en-GB"/>
        </w:rPr>
      </w:pPr>
      <w:r w:rsidRPr="007955BB">
        <w:rPr>
          <w:rFonts w:cs="Sylfaen"/>
          <w:b w:val="0"/>
          <w:iCs/>
          <w:szCs w:val="22"/>
          <w:lang w:val="af-ZA" w:eastAsia="en-GB"/>
        </w:rPr>
        <w:t>Պետության կողմից տրված վարկերի օգտագործման դիմաց տոկոսավճարները 2023 թվա</w:t>
      </w:r>
      <w:r w:rsidRPr="007955BB">
        <w:rPr>
          <w:rFonts w:cs="Sylfaen"/>
          <w:b w:val="0"/>
          <w:iCs/>
          <w:szCs w:val="22"/>
          <w:lang w:val="af-ZA" w:eastAsia="en-GB"/>
        </w:rPr>
        <w:softHyphen/>
      </w:r>
      <w:r>
        <w:rPr>
          <w:rFonts w:cs="Sylfaen"/>
          <w:b w:val="0"/>
          <w:iCs/>
          <w:szCs w:val="22"/>
          <w:lang w:val="af-ZA" w:eastAsia="en-GB"/>
        </w:rPr>
        <w:softHyphen/>
      </w:r>
      <w:r>
        <w:rPr>
          <w:rFonts w:cs="Sylfaen"/>
          <w:b w:val="0"/>
          <w:iCs/>
          <w:szCs w:val="22"/>
          <w:lang w:val="af-ZA" w:eastAsia="en-GB"/>
        </w:rPr>
        <w:softHyphen/>
        <w:t>կանին կանխատեսվում են 13,312.7</w:t>
      </w:r>
      <w:r w:rsidRPr="007955BB">
        <w:rPr>
          <w:rFonts w:cs="Sylfaen"/>
          <w:b w:val="0"/>
          <w:iCs/>
          <w:szCs w:val="22"/>
          <w:lang w:val="af-ZA" w:eastAsia="en-GB"/>
        </w:rPr>
        <w:t xml:space="preserve"> մլն դրամի չափով: Մասնավորապես.</w:t>
      </w:r>
    </w:p>
    <w:p w:rsidR="002D578A" w:rsidRPr="007955BB" w:rsidRDefault="002D578A" w:rsidP="002D578A">
      <w:pPr>
        <w:spacing w:before="0" w:line="276" w:lineRule="auto"/>
        <w:ind w:firstLine="562"/>
        <w:contextualSpacing w:val="0"/>
        <w:rPr>
          <w:rFonts w:cs="Sylfaen"/>
          <w:b w:val="0"/>
          <w:iCs/>
          <w:szCs w:val="22"/>
          <w:lang w:val="af-ZA" w:eastAsia="en-GB"/>
        </w:rPr>
      </w:pPr>
      <w:r w:rsidRPr="007955BB">
        <w:rPr>
          <w:rFonts w:cs="Sylfaen"/>
          <w:b w:val="0"/>
          <w:iCs/>
          <w:szCs w:val="22"/>
          <w:lang w:val="af-ZA" w:eastAsia="en-GB"/>
        </w:rPr>
        <w:t>ՀՀ ռեզիդենտներին տրամադրված վարկերի օգտագործումից 2023 թվականի</w:t>
      </w:r>
      <w:r>
        <w:rPr>
          <w:rFonts w:cs="Sylfaen"/>
          <w:b w:val="0"/>
          <w:iCs/>
          <w:szCs w:val="22"/>
          <w:lang w:val="af-ZA" w:eastAsia="en-GB"/>
        </w:rPr>
        <w:t>ն ակն</w:t>
      </w:r>
      <w:r>
        <w:rPr>
          <w:rFonts w:cs="Sylfaen"/>
          <w:b w:val="0"/>
          <w:iCs/>
          <w:szCs w:val="22"/>
          <w:lang w:val="af-ZA" w:eastAsia="en-GB"/>
        </w:rPr>
        <w:softHyphen/>
        <w:t>կալ</w:t>
      </w:r>
      <w:r>
        <w:rPr>
          <w:rFonts w:cs="Sylfaen"/>
          <w:b w:val="0"/>
          <w:iCs/>
          <w:szCs w:val="22"/>
          <w:lang w:val="af-ZA" w:eastAsia="en-GB"/>
        </w:rPr>
        <w:softHyphen/>
        <w:t>վում է ստանալ 13,281.0</w:t>
      </w:r>
      <w:r w:rsidRPr="007955BB">
        <w:rPr>
          <w:rFonts w:cs="Sylfaen"/>
          <w:b w:val="0"/>
          <w:iCs/>
          <w:szCs w:val="22"/>
          <w:lang w:val="af-ZA" w:eastAsia="en-GB"/>
        </w:rPr>
        <w:t xml:space="preserve"> մլն դրամ՝ 2022 թվա</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կա</w:t>
      </w:r>
      <w:r w:rsidRPr="007955BB">
        <w:rPr>
          <w:rFonts w:cs="Sylfaen"/>
          <w:b w:val="0"/>
          <w:iCs/>
          <w:szCs w:val="22"/>
          <w:lang w:val="af-ZA" w:eastAsia="en-GB"/>
        </w:rPr>
        <w:softHyphen/>
      </w:r>
      <w:r w:rsidRPr="007955BB">
        <w:rPr>
          <w:rFonts w:cs="Sylfaen"/>
          <w:b w:val="0"/>
          <w:iCs/>
          <w:szCs w:val="22"/>
          <w:lang w:val="af-ZA" w:eastAsia="en-GB"/>
        </w:rPr>
        <w:softHyphen/>
        <w:t>նի համար ծրագրված 11,774.4 մլն դրամի և 2021 թվա</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կանին փաս</w:t>
      </w:r>
      <w:r w:rsidRPr="007955BB">
        <w:rPr>
          <w:rFonts w:cs="Sylfaen"/>
          <w:b w:val="0"/>
          <w:iCs/>
          <w:szCs w:val="22"/>
          <w:lang w:val="af-ZA" w:eastAsia="en-GB"/>
        </w:rPr>
        <w:softHyphen/>
      </w:r>
      <w:r w:rsidRPr="007955BB">
        <w:rPr>
          <w:rFonts w:cs="Sylfaen"/>
          <w:b w:val="0"/>
          <w:iCs/>
          <w:szCs w:val="22"/>
          <w:lang w:val="af-ZA" w:eastAsia="en-GB"/>
        </w:rPr>
        <w:softHyphen/>
        <w:t>տացի ստացված 11,469.6 մլն դրամի դի</w:t>
      </w:r>
      <w:r w:rsidRPr="007955BB">
        <w:rPr>
          <w:rFonts w:cs="Sylfaen"/>
          <w:b w:val="0"/>
          <w:iCs/>
          <w:szCs w:val="22"/>
          <w:lang w:val="af-ZA" w:eastAsia="en-GB"/>
        </w:rPr>
        <w:softHyphen/>
        <w:t>մաց: Այն ծրագրվել է` հաշվի առնելով հա</w:t>
      </w:r>
      <w:r w:rsidRPr="007955BB">
        <w:rPr>
          <w:rFonts w:cs="Sylfaen"/>
          <w:b w:val="0"/>
          <w:iCs/>
          <w:szCs w:val="22"/>
          <w:lang w:val="af-ZA" w:eastAsia="en-GB"/>
        </w:rPr>
        <w:softHyphen/>
        <w:t>մա</w:t>
      </w:r>
      <w:r w:rsidRPr="007955BB">
        <w:rPr>
          <w:rFonts w:cs="Sylfaen"/>
          <w:b w:val="0"/>
          <w:iCs/>
          <w:szCs w:val="22"/>
          <w:lang w:val="af-ZA" w:eastAsia="en-GB"/>
        </w:rPr>
        <w:softHyphen/>
      </w:r>
      <w:r w:rsidRPr="007955BB">
        <w:rPr>
          <w:rFonts w:cs="Sylfaen"/>
          <w:b w:val="0"/>
          <w:iCs/>
          <w:szCs w:val="22"/>
          <w:lang w:val="af-ZA" w:eastAsia="en-GB"/>
        </w:rPr>
        <w:softHyphen/>
        <w:t>պա</w:t>
      </w:r>
      <w:r w:rsidRPr="007955BB">
        <w:rPr>
          <w:rFonts w:cs="Sylfaen"/>
          <w:b w:val="0"/>
          <w:iCs/>
          <w:szCs w:val="22"/>
          <w:lang w:val="af-ZA" w:eastAsia="en-GB"/>
        </w:rPr>
        <w:softHyphen/>
        <w:t>տաս</w:t>
      </w:r>
      <w:r w:rsidRPr="007955BB">
        <w:rPr>
          <w:rFonts w:cs="Sylfaen"/>
          <w:b w:val="0"/>
          <w:iCs/>
          <w:szCs w:val="22"/>
          <w:lang w:val="af-ZA" w:eastAsia="en-GB"/>
        </w:rPr>
        <w:softHyphen/>
        <w:t>խան պայ</w:t>
      </w:r>
      <w:r w:rsidRPr="007955BB">
        <w:rPr>
          <w:rFonts w:cs="Sylfaen"/>
          <w:b w:val="0"/>
          <w:iCs/>
          <w:szCs w:val="22"/>
          <w:lang w:val="af-ZA" w:eastAsia="en-GB"/>
        </w:rPr>
        <w:softHyphen/>
      </w:r>
      <w:r w:rsidRPr="007955BB">
        <w:rPr>
          <w:rFonts w:cs="Sylfaen"/>
          <w:b w:val="0"/>
          <w:iCs/>
          <w:szCs w:val="22"/>
          <w:lang w:val="af-ZA" w:eastAsia="en-GB"/>
        </w:rPr>
        <w:softHyphen/>
        <w:t>մա</w:t>
      </w:r>
      <w:r w:rsidRPr="007955BB">
        <w:rPr>
          <w:rFonts w:cs="Sylfaen"/>
          <w:b w:val="0"/>
          <w:iCs/>
          <w:szCs w:val="22"/>
          <w:lang w:val="af-ZA" w:eastAsia="en-GB"/>
        </w:rPr>
        <w:softHyphen/>
        <w:t>նա</w:t>
      </w:r>
      <w:r w:rsidRPr="007955BB">
        <w:rPr>
          <w:rFonts w:cs="Sylfaen"/>
          <w:b w:val="0"/>
          <w:iCs/>
          <w:szCs w:val="22"/>
          <w:lang w:val="af-ZA" w:eastAsia="en-GB"/>
        </w:rPr>
        <w:softHyphen/>
        <w:t>գրերով նախատեսված դրույթները: Մաս</w:t>
      </w:r>
      <w:r w:rsidRPr="007955BB">
        <w:rPr>
          <w:rFonts w:cs="Sylfaen"/>
          <w:b w:val="0"/>
          <w:iCs/>
          <w:szCs w:val="22"/>
          <w:lang w:val="af-ZA" w:eastAsia="en-GB"/>
        </w:rPr>
        <w:softHyphen/>
        <w:t>նա</w:t>
      </w:r>
      <w:r w:rsidRPr="007955BB">
        <w:rPr>
          <w:rFonts w:cs="Sylfaen"/>
          <w:b w:val="0"/>
          <w:iCs/>
          <w:szCs w:val="22"/>
          <w:lang w:val="af-ZA" w:eastAsia="en-GB"/>
        </w:rPr>
        <w:softHyphen/>
        <w:t>վո</w:t>
      </w:r>
      <w:r w:rsidRPr="007955BB">
        <w:rPr>
          <w:rFonts w:cs="Sylfaen"/>
          <w:b w:val="0"/>
          <w:iCs/>
          <w:szCs w:val="22"/>
          <w:lang w:val="af-ZA" w:eastAsia="en-GB"/>
        </w:rPr>
        <w:softHyphen/>
        <w:t>րա</w:t>
      </w:r>
      <w:r w:rsidRPr="007955BB">
        <w:rPr>
          <w:rFonts w:cs="Sylfaen"/>
          <w:b w:val="0"/>
          <w:iCs/>
          <w:szCs w:val="22"/>
          <w:lang w:val="af-ZA" w:eastAsia="en-GB"/>
        </w:rPr>
        <w:softHyphen/>
        <w:t>պես, 2023 թվականին տոկոսավճարների գծով մուտ</w:t>
      </w:r>
      <w:r w:rsidRPr="007955BB">
        <w:rPr>
          <w:rFonts w:cs="Sylfaen"/>
          <w:b w:val="0"/>
          <w:iCs/>
          <w:szCs w:val="22"/>
          <w:lang w:val="af-ZA" w:eastAsia="en-GB"/>
        </w:rPr>
        <w:softHyphen/>
      </w:r>
      <w:r w:rsidRPr="007955BB">
        <w:rPr>
          <w:rFonts w:cs="Sylfaen"/>
          <w:b w:val="0"/>
          <w:iCs/>
          <w:szCs w:val="22"/>
          <w:lang w:val="af-ZA" w:eastAsia="en-GB"/>
        </w:rPr>
        <w:softHyphen/>
        <w:t>քերն ապահովվելու են ի հա</w:t>
      </w:r>
      <w:r w:rsidRPr="007955BB">
        <w:rPr>
          <w:rFonts w:cs="Sylfaen"/>
          <w:b w:val="0"/>
          <w:iCs/>
          <w:szCs w:val="22"/>
          <w:lang w:val="af-ZA" w:eastAsia="en-GB"/>
        </w:rPr>
        <w:softHyphen/>
        <w:t>շիվ «Բարձրավոլտ էլեկ</w:t>
      </w:r>
      <w:r w:rsidRPr="007955BB">
        <w:rPr>
          <w:rFonts w:cs="Sylfaen"/>
          <w:b w:val="0"/>
          <w:iCs/>
          <w:szCs w:val="22"/>
          <w:lang w:val="af-ZA" w:eastAsia="en-GB"/>
        </w:rPr>
        <w:softHyphen/>
        <w:t>տրա</w:t>
      </w:r>
      <w:r w:rsidRPr="007955BB">
        <w:rPr>
          <w:rFonts w:cs="Sylfaen"/>
          <w:b w:val="0"/>
          <w:iCs/>
          <w:szCs w:val="22"/>
          <w:lang w:val="af-ZA" w:eastAsia="en-GB"/>
        </w:rPr>
        <w:softHyphen/>
        <w:t>կան ցան</w:t>
      </w:r>
      <w:r w:rsidRPr="007955BB">
        <w:rPr>
          <w:rFonts w:cs="Sylfaen"/>
          <w:b w:val="0"/>
          <w:iCs/>
          <w:szCs w:val="22"/>
          <w:lang w:val="af-ZA" w:eastAsia="en-GB"/>
        </w:rPr>
        <w:softHyphen/>
      </w:r>
      <w:r w:rsidRPr="007955BB">
        <w:rPr>
          <w:rFonts w:cs="Sylfaen"/>
          <w:b w:val="0"/>
          <w:iCs/>
          <w:szCs w:val="22"/>
          <w:lang w:val="af-ZA" w:eastAsia="en-GB"/>
        </w:rPr>
        <w:softHyphen/>
        <w:t>ցեր», «Էլեկ</w:t>
      </w:r>
      <w:r w:rsidRPr="007955BB">
        <w:rPr>
          <w:rFonts w:cs="Sylfaen"/>
          <w:b w:val="0"/>
          <w:iCs/>
          <w:szCs w:val="22"/>
          <w:lang w:val="af-ZA" w:eastAsia="en-GB"/>
        </w:rPr>
        <w:softHyphen/>
        <w:t>տրա</w:t>
      </w:r>
      <w:r w:rsidRPr="007955BB">
        <w:rPr>
          <w:rFonts w:cs="Sylfaen"/>
          <w:b w:val="0"/>
          <w:iCs/>
          <w:szCs w:val="22"/>
          <w:lang w:val="af-ZA" w:eastAsia="en-GB"/>
        </w:rPr>
        <w:softHyphen/>
        <w:t>էներ</w:t>
      </w:r>
      <w:r w:rsidRPr="007955BB">
        <w:rPr>
          <w:rFonts w:cs="Sylfaen"/>
          <w:b w:val="0"/>
          <w:iCs/>
          <w:szCs w:val="22"/>
          <w:lang w:val="af-ZA" w:eastAsia="en-GB"/>
        </w:rPr>
        <w:softHyphen/>
        <w:t>գե</w:t>
      </w:r>
      <w:r w:rsidRPr="007955BB">
        <w:rPr>
          <w:rFonts w:cs="Sylfaen"/>
          <w:b w:val="0"/>
          <w:iCs/>
          <w:szCs w:val="22"/>
          <w:lang w:val="af-ZA" w:eastAsia="en-GB"/>
        </w:rPr>
        <w:softHyphen/>
        <w:t>տի</w:t>
      </w:r>
      <w:r w:rsidRPr="007955BB">
        <w:rPr>
          <w:rFonts w:cs="Sylfaen"/>
          <w:b w:val="0"/>
          <w:iCs/>
          <w:szCs w:val="22"/>
          <w:lang w:val="af-ZA" w:eastAsia="en-GB"/>
        </w:rPr>
        <w:softHyphen/>
        <w:t>կա</w:t>
      </w:r>
      <w:r w:rsidRPr="007955BB">
        <w:rPr>
          <w:rFonts w:cs="Sylfaen"/>
          <w:b w:val="0"/>
          <w:iCs/>
          <w:szCs w:val="22"/>
          <w:lang w:val="af-ZA" w:eastAsia="en-GB"/>
        </w:rPr>
        <w:softHyphen/>
        <w:t>կան հա</w:t>
      </w:r>
      <w:r w:rsidRPr="007955BB">
        <w:rPr>
          <w:rFonts w:cs="Sylfaen"/>
          <w:b w:val="0"/>
          <w:iCs/>
          <w:szCs w:val="22"/>
          <w:lang w:val="af-ZA" w:eastAsia="en-GB"/>
        </w:rPr>
        <w:softHyphen/>
        <w:t>մա</w:t>
      </w:r>
      <w:r w:rsidRPr="007955BB">
        <w:rPr>
          <w:rFonts w:cs="Sylfaen"/>
          <w:b w:val="0"/>
          <w:iCs/>
          <w:szCs w:val="22"/>
          <w:lang w:val="af-ZA" w:eastAsia="en-GB"/>
        </w:rPr>
        <w:softHyphen/>
      </w:r>
      <w:r w:rsidRPr="007955BB">
        <w:rPr>
          <w:rFonts w:cs="Sylfaen"/>
          <w:b w:val="0"/>
          <w:iCs/>
          <w:szCs w:val="22"/>
          <w:lang w:val="af-ZA" w:eastAsia="en-GB"/>
        </w:rPr>
        <w:softHyphen/>
        <w:t>կար</w:t>
      </w:r>
      <w:r w:rsidRPr="007955BB">
        <w:rPr>
          <w:rFonts w:cs="Sylfaen"/>
          <w:b w:val="0"/>
          <w:iCs/>
          <w:szCs w:val="22"/>
          <w:lang w:val="af-ZA" w:eastAsia="en-GB"/>
        </w:rPr>
        <w:softHyphen/>
        <w:t>գի օպերատոր», «Հայաստանի էլեկ</w:t>
      </w:r>
      <w:r w:rsidRPr="007955BB">
        <w:rPr>
          <w:rFonts w:cs="Sylfaen"/>
          <w:b w:val="0"/>
          <w:iCs/>
          <w:szCs w:val="22"/>
          <w:lang w:val="af-ZA" w:eastAsia="en-GB"/>
        </w:rPr>
        <w:softHyphen/>
        <w:t>տրա</w:t>
      </w:r>
      <w:r w:rsidRPr="007955BB">
        <w:rPr>
          <w:rFonts w:cs="Sylfaen"/>
          <w:b w:val="0"/>
          <w:iCs/>
          <w:szCs w:val="22"/>
          <w:lang w:val="af-ZA" w:eastAsia="en-GB"/>
        </w:rPr>
        <w:softHyphen/>
        <w:t>կան ցանցեր» ՓԲԸ-ներին, «Երևանի Ջերմաէլեկտրակենտրոն» ՓԲԸ-ին և այլ կազ</w:t>
      </w:r>
      <w:r w:rsidRPr="007955BB">
        <w:rPr>
          <w:rFonts w:cs="Sylfaen"/>
          <w:b w:val="0"/>
          <w:iCs/>
          <w:szCs w:val="22"/>
          <w:lang w:val="af-ZA" w:eastAsia="en-GB"/>
        </w:rPr>
        <w:softHyphen/>
        <w:t>մա</w:t>
      </w:r>
      <w:r w:rsidRPr="007955BB">
        <w:rPr>
          <w:rFonts w:cs="Sylfaen"/>
          <w:b w:val="0"/>
          <w:iCs/>
          <w:szCs w:val="22"/>
          <w:lang w:val="af-ZA" w:eastAsia="en-GB"/>
        </w:rPr>
        <w:softHyphen/>
        <w:t>կեր</w:t>
      </w:r>
      <w:r w:rsidRPr="007955BB">
        <w:rPr>
          <w:rFonts w:cs="Sylfaen"/>
          <w:b w:val="0"/>
          <w:iCs/>
          <w:szCs w:val="22"/>
          <w:lang w:val="af-ZA" w:eastAsia="en-GB"/>
        </w:rPr>
        <w:softHyphen/>
        <w:t>պու</w:t>
      </w:r>
      <w:r w:rsidRPr="007955BB">
        <w:rPr>
          <w:rFonts w:cs="Sylfaen"/>
          <w:b w:val="0"/>
          <w:iCs/>
          <w:szCs w:val="22"/>
          <w:lang w:val="af-ZA" w:eastAsia="en-GB"/>
        </w:rPr>
        <w:softHyphen/>
        <w:t>թյուններին տրա</w:t>
      </w:r>
      <w:r w:rsidRPr="007955BB">
        <w:rPr>
          <w:rFonts w:cs="Sylfaen"/>
          <w:b w:val="0"/>
          <w:iCs/>
          <w:szCs w:val="22"/>
          <w:lang w:val="af-ZA" w:eastAsia="en-GB"/>
        </w:rPr>
        <w:softHyphen/>
      </w:r>
      <w:r w:rsidRPr="007955BB">
        <w:rPr>
          <w:rFonts w:cs="Sylfaen"/>
          <w:b w:val="0"/>
          <w:iCs/>
          <w:szCs w:val="22"/>
          <w:lang w:val="af-ZA" w:eastAsia="en-GB"/>
        </w:rPr>
        <w:softHyphen/>
        <w:t>մադրված վարկերի դիմաց հաշ</w:t>
      </w:r>
      <w:r w:rsidRPr="007955BB">
        <w:rPr>
          <w:rFonts w:cs="Sylfaen"/>
          <w:b w:val="0"/>
          <w:iCs/>
          <w:szCs w:val="22"/>
          <w:lang w:val="af-ZA" w:eastAsia="en-GB"/>
        </w:rPr>
        <w:softHyphen/>
        <w:t>վարկված տո</w:t>
      </w:r>
      <w:r w:rsidRPr="007955BB">
        <w:rPr>
          <w:rFonts w:cs="Sylfaen"/>
          <w:b w:val="0"/>
          <w:iCs/>
          <w:szCs w:val="22"/>
          <w:lang w:val="af-ZA" w:eastAsia="en-GB"/>
        </w:rPr>
        <w:softHyphen/>
        <w:t>կո</w:t>
      </w:r>
      <w:r w:rsidRPr="007955BB">
        <w:rPr>
          <w:rFonts w:cs="Sylfaen"/>
          <w:b w:val="0"/>
          <w:iCs/>
          <w:szCs w:val="22"/>
          <w:lang w:val="af-ZA" w:eastAsia="en-GB"/>
        </w:rPr>
        <w:softHyphen/>
        <w:t>սա</w:t>
      </w:r>
      <w:r w:rsidRPr="007955BB">
        <w:rPr>
          <w:rFonts w:cs="Sylfaen"/>
          <w:b w:val="0"/>
          <w:iCs/>
          <w:szCs w:val="22"/>
          <w:lang w:val="af-ZA" w:eastAsia="en-GB"/>
        </w:rPr>
        <w:softHyphen/>
        <w:t>վճարների:</w:t>
      </w:r>
    </w:p>
    <w:p w:rsidR="002D578A" w:rsidRPr="007955BB" w:rsidRDefault="002D578A" w:rsidP="002D578A">
      <w:pPr>
        <w:spacing w:before="0" w:line="276" w:lineRule="auto"/>
        <w:ind w:firstLine="562"/>
        <w:contextualSpacing w:val="0"/>
        <w:rPr>
          <w:rFonts w:cs="Sylfaen"/>
          <w:b w:val="0"/>
          <w:iCs/>
          <w:szCs w:val="22"/>
          <w:lang w:val="af-ZA" w:eastAsia="en-GB"/>
        </w:rPr>
      </w:pPr>
      <w:r w:rsidRPr="007955BB">
        <w:rPr>
          <w:rFonts w:cs="Sylfaen"/>
          <w:b w:val="0"/>
          <w:iCs/>
          <w:szCs w:val="22"/>
          <w:lang w:val="af-ZA" w:eastAsia="en-GB"/>
        </w:rPr>
        <w:t>Հա</w:t>
      </w:r>
      <w:r w:rsidRPr="007955BB">
        <w:rPr>
          <w:rFonts w:cs="Sylfaen"/>
          <w:b w:val="0"/>
          <w:iCs/>
          <w:szCs w:val="22"/>
          <w:lang w:val="af-ZA" w:eastAsia="en-GB"/>
        </w:rPr>
        <w:softHyphen/>
        <w:t>յաստանի Հանրապետության ոչ ռեզիդենտին տրամադրված վարկերի գծով 2023 թվա</w:t>
      </w:r>
      <w:r w:rsidRPr="007955BB">
        <w:rPr>
          <w:rFonts w:cs="Sylfaen"/>
          <w:b w:val="0"/>
          <w:iCs/>
          <w:szCs w:val="22"/>
          <w:lang w:val="af-ZA" w:eastAsia="en-GB"/>
        </w:rPr>
        <w:softHyphen/>
      </w:r>
      <w:r w:rsidRPr="007955BB">
        <w:rPr>
          <w:rFonts w:cs="Sylfaen"/>
          <w:b w:val="0"/>
          <w:iCs/>
          <w:szCs w:val="22"/>
          <w:lang w:val="af-ZA" w:eastAsia="en-GB"/>
        </w:rPr>
        <w:softHyphen/>
        <w:t>կա</w:t>
      </w:r>
      <w:r w:rsidRPr="007955BB">
        <w:rPr>
          <w:rFonts w:cs="Sylfaen"/>
          <w:b w:val="0"/>
          <w:iCs/>
          <w:szCs w:val="22"/>
          <w:lang w:val="af-ZA" w:eastAsia="en-GB"/>
        </w:rPr>
        <w:softHyphen/>
        <w:t>նի բյուջետային մուտ</w:t>
      </w:r>
      <w:r w:rsidRPr="007955BB">
        <w:rPr>
          <w:rFonts w:cs="Sylfaen"/>
          <w:b w:val="0"/>
          <w:iCs/>
          <w:szCs w:val="22"/>
          <w:lang w:val="af-ZA" w:eastAsia="en-GB"/>
        </w:rPr>
        <w:softHyphen/>
        <w:t>քե</w:t>
      </w:r>
      <w:r w:rsidRPr="007955BB">
        <w:rPr>
          <w:rFonts w:cs="Sylfaen"/>
          <w:b w:val="0"/>
          <w:iCs/>
          <w:szCs w:val="22"/>
          <w:lang w:val="af-ZA" w:eastAsia="en-GB"/>
        </w:rPr>
        <w:softHyphen/>
        <w:t>րը կգո</w:t>
      </w:r>
      <w:r w:rsidRPr="007955BB">
        <w:rPr>
          <w:rFonts w:cs="Sylfaen"/>
          <w:b w:val="0"/>
          <w:iCs/>
          <w:szCs w:val="22"/>
          <w:lang w:val="af-ZA" w:eastAsia="en-GB"/>
        </w:rPr>
        <w:softHyphen/>
      </w:r>
      <w:r w:rsidRPr="007955BB">
        <w:rPr>
          <w:rFonts w:cs="Sylfaen"/>
          <w:b w:val="0"/>
          <w:iCs/>
          <w:szCs w:val="22"/>
          <w:lang w:val="af-ZA" w:eastAsia="en-GB"/>
        </w:rPr>
        <w:softHyphen/>
        <w:t>յա</w:t>
      </w:r>
      <w:r w:rsidRPr="007955BB">
        <w:rPr>
          <w:rFonts w:cs="Sylfaen"/>
          <w:b w:val="0"/>
          <w:iCs/>
          <w:szCs w:val="22"/>
          <w:lang w:val="af-ZA" w:eastAsia="en-GB"/>
        </w:rPr>
        <w:softHyphen/>
        <w:t>նան Վրաստանի Հան</w:t>
      </w:r>
      <w:r w:rsidRPr="007955BB">
        <w:rPr>
          <w:rFonts w:cs="Sylfaen"/>
          <w:b w:val="0"/>
          <w:iCs/>
          <w:szCs w:val="22"/>
          <w:lang w:val="af-ZA" w:eastAsia="en-GB"/>
        </w:rPr>
        <w:softHyphen/>
        <w:t>րա</w:t>
      </w:r>
      <w:r w:rsidRPr="007955BB">
        <w:rPr>
          <w:rFonts w:cs="Sylfaen"/>
          <w:b w:val="0"/>
          <w:iCs/>
          <w:szCs w:val="22"/>
          <w:lang w:val="af-ZA" w:eastAsia="en-GB"/>
        </w:rPr>
        <w:softHyphen/>
        <w:t>պե</w:t>
      </w:r>
      <w:r w:rsidRPr="007955BB">
        <w:rPr>
          <w:rFonts w:cs="Sylfaen"/>
          <w:b w:val="0"/>
          <w:iCs/>
          <w:szCs w:val="22"/>
          <w:lang w:val="af-ZA" w:eastAsia="en-GB"/>
        </w:rPr>
        <w:softHyphen/>
        <w:t>տու</w:t>
      </w:r>
      <w:r w:rsidRPr="007955BB">
        <w:rPr>
          <w:rFonts w:cs="Sylfaen"/>
          <w:b w:val="0"/>
          <w:iCs/>
          <w:szCs w:val="22"/>
          <w:lang w:val="af-ZA" w:eastAsia="en-GB"/>
        </w:rPr>
        <w:softHyphen/>
        <w:t>թյանը տրա</w:t>
      </w:r>
      <w:r w:rsidRPr="007955BB">
        <w:rPr>
          <w:rFonts w:cs="Sylfaen"/>
          <w:b w:val="0"/>
          <w:iCs/>
          <w:szCs w:val="22"/>
          <w:lang w:val="af-ZA" w:eastAsia="en-GB"/>
        </w:rPr>
        <w:softHyphen/>
        <w:t>մա</w:t>
      </w:r>
      <w:r w:rsidRPr="007955BB">
        <w:rPr>
          <w:rFonts w:cs="Sylfaen"/>
          <w:b w:val="0"/>
          <w:iCs/>
          <w:szCs w:val="22"/>
          <w:lang w:val="af-ZA" w:eastAsia="en-GB"/>
        </w:rPr>
        <w:softHyphen/>
        <w:t>դր</w:t>
      </w:r>
      <w:r w:rsidRPr="007955BB">
        <w:rPr>
          <w:rFonts w:cs="Sylfaen"/>
          <w:b w:val="0"/>
          <w:iCs/>
          <w:szCs w:val="22"/>
          <w:lang w:val="af-ZA" w:eastAsia="en-GB"/>
        </w:rPr>
        <w:softHyphen/>
        <w:t>ված վարկի սպա</w:t>
      </w:r>
      <w:r w:rsidRPr="007955BB">
        <w:rPr>
          <w:rFonts w:cs="Sylfaen"/>
          <w:b w:val="0"/>
          <w:iCs/>
          <w:szCs w:val="22"/>
          <w:lang w:val="af-ZA" w:eastAsia="en-GB"/>
        </w:rPr>
        <w:softHyphen/>
      </w:r>
      <w:r w:rsidRPr="007955BB">
        <w:rPr>
          <w:rFonts w:cs="Sylfaen"/>
          <w:b w:val="0"/>
          <w:iCs/>
          <w:szCs w:val="22"/>
          <w:lang w:val="af-ZA" w:eastAsia="en-GB"/>
        </w:rPr>
        <w:softHyphen/>
        <w:t>սարկման տո</w:t>
      </w:r>
      <w:r w:rsidRPr="007955BB">
        <w:rPr>
          <w:rFonts w:cs="Sylfaen"/>
          <w:b w:val="0"/>
          <w:iCs/>
          <w:szCs w:val="22"/>
          <w:lang w:val="af-ZA" w:eastAsia="en-GB"/>
        </w:rPr>
        <w:softHyphen/>
        <w:t>կո</w:t>
      </w:r>
      <w:r w:rsidRPr="007955BB">
        <w:rPr>
          <w:rFonts w:cs="Sylfaen"/>
          <w:b w:val="0"/>
          <w:iCs/>
          <w:szCs w:val="22"/>
          <w:lang w:val="af-ZA" w:eastAsia="en-GB"/>
        </w:rPr>
        <w:softHyphen/>
        <w:t>սա</w:t>
      </w:r>
      <w:r w:rsidRPr="007955BB">
        <w:rPr>
          <w:rFonts w:cs="Sylfaen"/>
          <w:b w:val="0"/>
          <w:iCs/>
          <w:szCs w:val="22"/>
          <w:lang w:val="af-ZA" w:eastAsia="en-GB"/>
        </w:rPr>
        <w:softHyphen/>
        <w:t>վճար</w:t>
      </w:r>
      <w:r w:rsidRPr="007955BB">
        <w:rPr>
          <w:rFonts w:cs="Sylfaen"/>
          <w:b w:val="0"/>
          <w:iCs/>
          <w:szCs w:val="22"/>
          <w:lang w:val="af-ZA" w:eastAsia="en-GB"/>
        </w:rPr>
        <w:softHyphen/>
      </w:r>
      <w:r w:rsidRPr="007955BB">
        <w:rPr>
          <w:rFonts w:cs="Sylfaen"/>
          <w:b w:val="0"/>
          <w:iCs/>
          <w:szCs w:val="22"/>
          <w:lang w:val="af-ZA" w:eastAsia="en-GB"/>
        </w:rPr>
        <w:softHyphen/>
        <w:t>նե</w:t>
      </w:r>
      <w:r w:rsidRPr="007955BB">
        <w:rPr>
          <w:rFonts w:cs="Sylfaen"/>
          <w:b w:val="0"/>
          <w:iCs/>
          <w:szCs w:val="22"/>
          <w:lang w:val="af-ZA" w:eastAsia="en-GB"/>
        </w:rPr>
        <w:softHyphen/>
        <w:t>րից, որոնք կկազ</w:t>
      </w:r>
      <w:r w:rsidRPr="007955BB">
        <w:rPr>
          <w:rFonts w:cs="Sylfaen"/>
          <w:b w:val="0"/>
          <w:iCs/>
          <w:szCs w:val="22"/>
          <w:lang w:val="af-ZA" w:eastAsia="en-GB"/>
        </w:rPr>
        <w:softHyphen/>
        <w:t xml:space="preserve">մեն </w:t>
      </w:r>
      <w:r>
        <w:rPr>
          <w:rFonts w:cs="Sylfaen"/>
          <w:b w:val="0"/>
          <w:iCs/>
          <w:szCs w:val="22"/>
          <w:lang w:val="af-ZA" w:eastAsia="en-GB"/>
        </w:rPr>
        <w:t>80.2 հազ. ԱՄՆ դոլար կամ մոտ 31.7</w:t>
      </w:r>
      <w:r w:rsidRPr="007955BB">
        <w:rPr>
          <w:rFonts w:cs="Sylfaen"/>
          <w:b w:val="0"/>
          <w:iCs/>
          <w:szCs w:val="22"/>
          <w:lang w:val="af-ZA" w:eastAsia="en-GB"/>
        </w:rPr>
        <w:t xml:space="preserve"> մլն դրամ՝ 2022 թվա</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կա</w:t>
      </w:r>
      <w:r w:rsidRPr="007955BB">
        <w:rPr>
          <w:rFonts w:cs="Sylfaen"/>
          <w:b w:val="0"/>
          <w:iCs/>
          <w:szCs w:val="22"/>
          <w:lang w:val="af-ZA" w:eastAsia="en-GB"/>
        </w:rPr>
        <w:softHyphen/>
      </w:r>
      <w:r w:rsidRPr="007955BB">
        <w:rPr>
          <w:rFonts w:cs="Sylfaen"/>
          <w:b w:val="0"/>
          <w:iCs/>
          <w:szCs w:val="22"/>
          <w:lang w:val="af-ZA" w:eastAsia="en-GB"/>
        </w:rPr>
        <w:softHyphen/>
        <w:t>նի համար ծրագրված 50.6 մլն դրամի և 2021 թվա</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կանին փաս</w:t>
      </w:r>
      <w:r w:rsidRPr="007955BB">
        <w:rPr>
          <w:rFonts w:cs="Sylfaen"/>
          <w:b w:val="0"/>
          <w:iCs/>
          <w:szCs w:val="22"/>
          <w:lang w:val="af-ZA" w:eastAsia="en-GB"/>
        </w:rPr>
        <w:softHyphen/>
      </w:r>
      <w:r w:rsidRPr="007955BB">
        <w:rPr>
          <w:rFonts w:cs="Sylfaen"/>
          <w:b w:val="0"/>
          <w:iCs/>
          <w:szCs w:val="22"/>
          <w:lang w:val="af-ZA" w:eastAsia="en-GB"/>
        </w:rPr>
        <w:softHyphen/>
        <w:t>տացի ստացված 77.5 մլն դրամի դի</w:t>
      </w:r>
      <w:r w:rsidRPr="007955BB">
        <w:rPr>
          <w:rFonts w:cs="Sylfaen"/>
          <w:b w:val="0"/>
          <w:iCs/>
          <w:szCs w:val="22"/>
          <w:lang w:val="af-ZA" w:eastAsia="en-GB"/>
        </w:rPr>
        <w:softHyphen/>
        <w:t>մաց:</w:t>
      </w:r>
    </w:p>
    <w:p w:rsidR="002D578A" w:rsidRPr="007955BB" w:rsidRDefault="002D578A" w:rsidP="002D578A">
      <w:pPr>
        <w:spacing w:before="0" w:line="276" w:lineRule="auto"/>
        <w:ind w:firstLine="562"/>
        <w:contextualSpacing w:val="0"/>
        <w:rPr>
          <w:rFonts w:cs="Sylfaen"/>
          <w:b w:val="0"/>
          <w:iCs/>
          <w:szCs w:val="22"/>
          <w:lang w:val="af-ZA" w:eastAsia="en-GB"/>
        </w:rPr>
      </w:pPr>
      <w:r w:rsidRPr="007955BB">
        <w:rPr>
          <w:rFonts w:cs="Sylfaen"/>
          <w:b w:val="0"/>
          <w:iCs/>
          <w:szCs w:val="22"/>
          <w:lang w:val="af-ZA" w:eastAsia="en-GB"/>
        </w:rPr>
        <w:t>Իրավախախտումների համար գործադիր, դատական մարմինների կողմից կի</w:t>
      </w:r>
      <w:r w:rsidRPr="007955BB">
        <w:rPr>
          <w:rFonts w:cs="Sylfaen"/>
          <w:b w:val="0"/>
          <w:iCs/>
          <w:szCs w:val="22"/>
          <w:lang w:val="af-ZA" w:eastAsia="en-GB"/>
        </w:rPr>
        <w:softHyphen/>
        <w:t>րառ</w:t>
      </w:r>
      <w:r w:rsidRPr="007955BB">
        <w:rPr>
          <w:rFonts w:cs="Sylfaen"/>
          <w:b w:val="0"/>
          <w:iCs/>
          <w:szCs w:val="22"/>
          <w:lang w:val="af-ZA" w:eastAsia="en-GB"/>
        </w:rPr>
        <w:softHyphen/>
        <w:t>վող պատ</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ժա</w:t>
      </w:r>
      <w:r w:rsidRPr="007955BB">
        <w:rPr>
          <w:rFonts w:cs="Sylfaen"/>
          <w:b w:val="0"/>
          <w:iCs/>
          <w:szCs w:val="22"/>
          <w:lang w:val="af-ZA" w:eastAsia="en-GB"/>
        </w:rPr>
        <w:softHyphen/>
      </w:r>
      <w:r w:rsidRPr="007955BB">
        <w:rPr>
          <w:rFonts w:cs="Sylfaen"/>
          <w:b w:val="0"/>
          <w:iCs/>
          <w:szCs w:val="22"/>
          <w:lang w:val="af-ZA" w:eastAsia="en-GB"/>
        </w:rPr>
        <w:softHyphen/>
        <w:t>մի</w:t>
      </w:r>
      <w:r w:rsidRPr="007955BB">
        <w:rPr>
          <w:rFonts w:cs="Sylfaen"/>
          <w:b w:val="0"/>
          <w:iCs/>
          <w:szCs w:val="22"/>
          <w:lang w:val="af-ZA" w:eastAsia="en-GB"/>
        </w:rPr>
        <w:softHyphen/>
        <w:t>ջոցներից 2023 թվականի մուտքերը գնահատվել են 14,198.0 մլն դրամի չափով` 2022 թվա</w:t>
      </w:r>
      <w:r w:rsidRPr="007955BB">
        <w:rPr>
          <w:rFonts w:cs="Sylfaen"/>
          <w:b w:val="0"/>
          <w:iCs/>
          <w:szCs w:val="22"/>
          <w:lang w:val="af-ZA" w:eastAsia="en-GB"/>
        </w:rPr>
        <w:softHyphen/>
        <w:t>կա</w:t>
      </w:r>
      <w:r w:rsidRPr="007955BB">
        <w:rPr>
          <w:rFonts w:cs="Sylfaen"/>
          <w:b w:val="0"/>
          <w:iCs/>
          <w:szCs w:val="22"/>
          <w:lang w:val="af-ZA" w:eastAsia="en-GB"/>
        </w:rPr>
        <w:softHyphen/>
        <w:t>նի հա</w:t>
      </w:r>
      <w:r w:rsidRPr="007955BB">
        <w:rPr>
          <w:rFonts w:cs="Sylfaen"/>
          <w:b w:val="0"/>
          <w:iCs/>
          <w:szCs w:val="22"/>
          <w:lang w:val="af-ZA" w:eastAsia="en-GB"/>
        </w:rPr>
        <w:softHyphen/>
        <w:t>մար ծրա</w:t>
      </w:r>
      <w:r w:rsidRPr="007955BB">
        <w:rPr>
          <w:rFonts w:cs="Sylfaen"/>
          <w:b w:val="0"/>
          <w:iCs/>
          <w:szCs w:val="22"/>
          <w:lang w:val="af-ZA" w:eastAsia="en-GB"/>
        </w:rPr>
        <w:softHyphen/>
        <w:t>գրված 10,798.8 մլն դրամի և 2021 թվա</w:t>
      </w:r>
      <w:r w:rsidRPr="007955BB">
        <w:rPr>
          <w:rFonts w:cs="Sylfaen"/>
          <w:b w:val="0"/>
          <w:iCs/>
          <w:szCs w:val="22"/>
          <w:lang w:val="af-ZA" w:eastAsia="en-GB"/>
        </w:rPr>
        <w:softHyphen/>
      </w:r>
      <w:r w:rsidRPr="007955BB">
        <w:rPr>
          <w:rFonts w:cs="Sylfaen"/>
          <w:b w:val="0"/>
          <w:iCs/>
          <w:szCs w:val="22"/>
          <w:lang w:val="af-ZA" w:eastAsia="en-GB"/>
        </w:rPr>
        <w:softHyphen/>
        <w:t>կանին փաս</w:t>
      </w:r>
      <w:r w:rsidRPr="007955BB">
        <w:rPr>
          <w:rFonts w:cs="Sylfaen"/>
          <w:b w:val="0"/>
          <w:iCs/>
          <w:szCs w:val="22"/>
          <w:lang w:val="af-ZA" w:eastAsia="en-GB"/>
        </w:rPr>
        <w:softHyphen/>
      </w:r>
      <w:r w:rsidRPr="007955BB">
        <w:rPr>
          <w:rFonts w:cs="Sylfaen"/>
          <w:b w:val="0"/>
          <w:iCs/>
          <w:szCs w:val="22"/>
          <w:lang w:val="af-ZA" w:eastAsia="en-GB"/>
        </w:rPr>
        <w:softHyphen/>
        <w:t>տացի ստաց</w:t>
      </w:r>
      <w:r w:rsidRPr="007955BB">
        <w:rPr>
          <w:rFonts w:cs="Sylfaen"/>
          <w:b w:val="0"/>
          <w:iCs/>
          <w:szCs w:val="22"/>
          <w:lang w:val="af-ZA" w:eastAsia="en-GB"/>
        </w:rPr>
        <w:softHyphen/>
        <w:t>ված 16,360.6 մլն դրամի դիմաց: Կանխատեսումները կա</w:t>
      </w:r>
      <w:r w:rsidRPr="007955BB">
        <w:rPr>
          <w:rFonts w:cs="Sylfaen"/>
          <w:b w:val="0"/>
          <w:iCs/>
          <w:szCs w:val="22"/>
          <w:lang w:val="af-ZA" w:eastAsia="en-GB"/>
        </w:rPr>
        <w:softHyphen/>
        <w:t>տար</w:t>
      </w:r>
      <w:r w:rsidRPr="007955BB">
        <w:rPr>
          <w:rFonts w:cs="Sylfaen"/>
          <w:b w:val="0"/>
          <w:iCs/>
          <w:szCs w:val="22"/>
          <w:lang w:val="af-ZA" w:eastAsia="en-GB"/>
        </w:rPr>
        <w:softHyphen/>
      </w:r>
      <w:r w:rsidRPr="007955BB">
        <w:rPr>
          <w:rFonts w:cs="Sylfaen"/>
          <w:b w:val="0"/>
          <w:iCs/>
          <w:szCs w:val="22"/>
          <w:lang w:val="af-ZA" w:eastAsia="en-GB"/>
        </w:rPr>
        <w:softHyphen/>
        <w:t>ված են ըստ հա</w:t>
      </w:r>
      <w:r w:rsidRPr="007955BB">
        <w:rPr>
          <w:rFonts w:cs="Sylfaen"/>
          <w:b w:val="0"/>
          <w:iCs/>
          <w:szCs w:val="22"/>
          <w:lang w:val="af-ZA" w:eastAsia="en-GB"/>
        </w:rPr>
        <w:softHyphen/>
      </w:r>
      <w:r w:rsidRPr="007955BB">
        <w:rPr>
          <w:rFonts w:cs="Sylfaen"/>
          <w:b w:val="0"/>
          <w:iCs/>
          <w:szCs w:val="22"/>
          <w:lang w:val="af-ZA" w:eastAsia="en-GB"/>
        </w:rPr>
        <w:softHyphen/>
        <w:t>մա</w:t>
      </w:r>
      <w:r w:rsidRPr="007955BB">
        <w:rPr>
          <w:rFonts w:cs="Sylfaen"/>
          <w:b w:val="0"/>
          <w:iCs/>
          <w:szCs w:val="22"/>
          <w:lang w:val="af-ZA" w:eastAsia="en-GB"/>
        </w:rPr>
        <w:softHyphen/>
        <w:t>պա</w:t>
      </w:r>
      <w:r w:rsidRPr="007955BB">
        <w:rPr>
          <w:rFonts w:cs="Sylfaen"/>
          <w:b w:val="0"/>
          <w:iCs/>
          <w:szCs w:val="22"/>
          <w:lang w:val="af-ZA" w:eastAsia="en-GB"/>
        </w:rPr>
        <w:softHyphen/>
      </w:r>
      <w:r w:rsidRPr="007955BB">
        <w:rPr>
          <w:rFonts w:cs="Sylfaen"/>
          <w:b w:val="0"/>
          <w:iCs/>
          <w:szCs w:val="22"/>
          <w:lang w:val="af-ZA" w:eastAsia="en-GB"/>
        </w:rPr>
        <w:softHyphen/>
        <w:t>տաս</w:t>
      </w:r>
      <w:r w:rsidRPr="007955BB">
        <w:rPr>
          <w:rFonts w:cs="Sylfaen"/>
          <w:b w:val="0"/>
          <w:iCs/>
          <w:szCs w:val="22"/>
          <w:lang w:val="af-ZA" w:eastAsia="en-GB"/>
        </w:rPr>
        <w:softHyphen/>
        <w:t>խան իրա</w:t>
      </w:r>
      <w:r w:rsidRPr="007955BB">
        <w:rPr>
          <w:rFonts w:cs="Sylfaen"/>
          <w:b w:val="0"/>
          <w:iCs/>
          <w:szCs w:val="22"/>
          <w:lang w:val="af-ZA" w:eastAsia="en-GB"/>
        </w:rPr>
        <w:softHyphen/>
        <w:t>վա</w:t>
      </w:r>
      <w:r w:rsidRPr="007955BB">
        <w:rPr>
          <w:rFonts w:cs="Sylfaen"/>
          <w:b w:val="0"/>
          <w:iCs/>
          <w:szCs w:val="22"/>
          <w:lang w:val="af-ZA" w:eastAsia="en-GB"/>
        </w:rPr>
        <w:softHyphen/>
        <w:t>կան հիմքով վարչական պատժամիջոց կի</w:t>
      </w:r>
      <w:r w:rsidRPr="007955BB">
        <w:rPr>
          <w:rFonts w:cs="Sylfaen"/>
          <w:b w:val="0"/>
          <w:iCs/>
          <w:szCs w:val="22"/>
          <w:lang w:val="af-ZA" w:eastAsia="en-GB"/>
        </w:rPr>
        <w:softHyphen/>
        <w:t>րա</w:t>
      </w:r>
      <w:r w:rsidRPr="007955BB">
        <w:rPr>
          <w:rFonts w:cs="Sylfaen"/>
          <w:b w:val="0"/>
          <w:iCs/>
          <w:szCs w:val="22"/>
          <w:lang w:val="af-ZA" w:eastAsia="en-GB"/>
        </w:rPr>
        <w:softHyphen/>
        <w:t>ռող պե</w:t>
      </w:r>
      <w:r w:rsidRPr="007955BB">
        <w:rPr>
          <w:rFonts w:cs="Sylfaen"/>
          <w:b w:val="0"/>
          <w:iCs/>
          <w:szCs w:val="22"/>
          <w:lang w:val="af-ZA" w:eastAsia="en-GB"/>
        </w:rPr>
        <w:softHyphen/>
      </w:r>
      <w:r w:rsidRPr="007955BB">
        <w:rPr>
          <w:rFonts w:cs="Sylfaen"/>
          <w:b w:val="0"/>
          <w:iCs/>
          <w:szCs w:val="22"/>
          <w:lang w:val="af-ZA" w:eastAsia="en-GB"/>
        </w:rPr>
        <w:softHyphen/>
        <w:t>տա</w:t>
      </w:r>
      <w:r w:rsidRPr="007955BB">
        <w:rPr>
          <w:rFonts w:cs="Sylfaen"/>
          <w:b w:val="0"/>
          <w:iCs/>
          <w:szCs w:val="22"/>
          <w:lang w:val="af-ZA" w:eastAsia="en-GB"/>
        </w:rPr>
        <w:softHyphen/>
        <w:t>կան կա</w:t>
      </w:r>
      <w:r w:rsidRPr="007955BB">
        <w:rPr>
          <w:rFonts w:cs="Sylfaen"/>
          <w:b w:val="0"/>
          <w:iCs/>
          <w:szCs w:val="22"/>
          <w:lang w:val="af-ZA" w:eastAsia="en-GB"/>
        </w:rPr>
        <w:softHyphen/>
        <w:t>ռա</w:t>
      </w:r>
      <w:r w:rsidRPr="007955BB">
        <w:rPr>
          <w:rFonts w:cs="Sylfaen"/>
          <w:b w:val="0"/>
          <w:iCs/>
          <w:szCs w:val="22"/>
          <w:lang w:val="af-ZA" w:eastAsia="en-GB"/>
        </w:rPr>
        <w:softHyphen/>
        <w:t>վար</w:t>
      </w:r>
      <w:r w:rsidRPr="007955BB">
        <w:rPr>
          <w:rFonts w:cs="Sylfaen"/>
          <w:b w:val="0"/>
          <w:iCs/>
          <w:szCs w:val="22"/>
          <w:lang w:val="af-ZA" w:eastAsia="en-GB"/>
        </w:rPr>
        <w:softHyphen/>
        <w:t>ման մար</w:t>
      </w:r>
      <w:r w:rsidRPr="007955BB">
        <w:rPr>
          <w:rFonts w:cs="Sylfaen"/>
          <w:b w:val="0"/>
          <w:iCs/>
          <w:szCs w:val="22"/>
          <w:lang w:val="af-ZA" w:eastAsia="en-GB"/>
        </w:rPr>
        <w:softHyphen/>
      </w:r>
      <w:r w:rsidRPr="007955BB">
        <w:rPr>
          <w:rFonts w:cs="Sylfaen"/>
          <w:b w:val="0"/>
          <w:iCs/>
          <w:szCs w:val="22"/>
          <w:lang w:val="af-ZA" w:eastAsia="en-GB"/>
        </w:rPr>
        <w:softHyphen/>
        <w:t>մին</w:t>
      </w:r>
      <w:r w:rsidRPr="007955BB">
        <w:rPr>
          <w:rFonts w:cs="Sylfaen"/>
          <w:b w:val="0"/>
          <w:iCs/>
          <w:szCs w:val="22"/>
          <w:lang w:val="af-ZA" w:eastAsia="en-GB"/>
        </w:rPr>
        <w:softHyphen/>
        <w:t>ների` հաշ</w:t>
      </w:r>
      <w:r w:rsidRPr="007955BB">
        <w:rPr>
          <w:rFonts w:cs="Sylfaen"/>
          <w:b w:val="0"/>
          <w:iCs/>
          <w:szCs w:val="22"/>
          <w:lang w:val="af-ZA" w:eastAsia="en-GB"/>
        </w:rPr>
        <w:softHyphen/>
        <w:t>վի առ</w:t>
      </w:r>
      <w:r w:rsidRPr="007955BB">
        <w:rPr>
          <w:rFonts w:cs="Sylfaen"/>
          <w:b w:val="0"/>
          <w:iCs/>
          <w:szCs w:val="22"/>
          <w:lang w:val="af-ZA" w:eastAsia="en-GB"/>
        </w:rPr>
        <w:softHyphen/>
        <w:t>նե</w:t>
      </w:r>
      <w:r w:rsidRPr="007955BB">
        <w:rPr>
          <w:rFonts w:cs="Sylfaen"/>
          <w:b w:val="0"/>
          <w:iCs/>
          <w:szCs w:val="22"/>
          <w:lang w:val="af-ZA" w:eastAsia="en-GB"/>
        </w:rPr>
        <w:softHyphen/>
        <w:t>լով պատ</w:t>
      </w:r>
      <w:r w:rsidRPr="007955BB">
        <w:rPr>
          <w:rFonts w:cs="Sylfaen"/>
          <w:b w:val="0"/>
          <w:iCs/>
          <w:szCs w:val="22"/>
          <w:lang w:val="af-ZA" w:eastAsia="en-GB"/>
        </w:rPr>
        <w:softHyphen/>
      </w:r>
      <w:r w:rsidRPr="007955BB">
        <w:rPr>
          <w:rFonts w:cs="Sylfaen"/>
          <w:b w:val="0"/>
          <w:iCs/>
          <w:szCs w:val="22"/>
          <w:lang w:val="af-ZA" w:eastAsia="en-GB"/>
        </w:rPr>
        <w:softHyphen/>
        <w:t>ժա</w:t>
      </w:r>
      <w:r w:rsidRPr="007955BB">
        <w:rPr>
          <w:rFonts w:cs="Sylfaen"/>
          <w:b w:val="0"/>
          <w:iCs/>
          <w:szCs w:val="22"/>
          <w:lang w:val="af-ZA" w:eastAsia="en-GB"/>
        </w:rPr>
        <w:softHyphen/>
        <w:t>մի</w:t>
      </w:r>
      <w:r w:rsidRPr="007955BB">
        <w:rPr>
          <w:rFonts w:cs="Sylfaen"/>
          <w:b w:val="0"/>
          <w:iCs/>
          <w:szCs w:val="22"/>
          <w:lang w:val="af-ZA" w:eastAsia="en-GB"/>
        </w:rPr>
        <w:softHyphen/>
        <w:t>ջոց</w:t>
      </w:r>
      <w:r w:rsidRPr="007955BB">
        <w:rPr>
          <w:rFonts w:cs="Sylfaen"/>
          <w:b w:val="0"/>
          <w:iCs/>
          <w:szCs w:val="22"/>
          <w:lang w:val="af-ZA" w:eastAsia="en-GB"/>
        </w:rPr>
        <w:softHyphen/>
      </w:r>
      <w:r w:rsidRPr="007955BB">
        <w:rPr>
          <w:rFonts w:cs="Sylfaen"/>
          <w:b w:val="0"/>
          <w:iCs/>
          <w:szCs w:val="22"/>
          <w:lang w:val="af-ZA" w:eastAsia="en-GB"/>
        </w:rPr>
        <w:softHyphen/>
        <w:t>ների գծով 2019-2021 թվա</w:t>
      </w:r>
      <w:r w:rsidRPr="007955BB">
        <w:rPr>
          <w:rFonts w:cs="Sylfaen"/>
          <w:b w:val="0"/>
          <w:iCs/>
          <w:szCs w:val="22"/>
          <w:lang w:val="af-ZA" w:eastAsia="en-GB"/>
        </w:rPr>
        <w:softHyphen/>
      </w:r>
      <w:r w:rsidRPr="007955BB">
        <w:rPr>
          <w:rFonts w:cs="Sylfaen"/>
          <w:b w:val="0"/>
          <w:iCs/>
          <w:szCs w:val="22"/>
          <w:lang w:val="af-ZA" w:eastAsia="en-GB"/>
        </w:rPr>
        <w:softHyphen/>
        <w:t>կան</w:t>
      </w:r>
      <w:r w:rsidRPr="007955BB">
        <w:rPr>
          <w:rFonts w:cs="Sylfaen"/>
          <w:b w:val="0"/>
          <w:iCs/>
          <w:szCs w:val="22"/>
          <w:lang w:val="af-ZA" w:eastAsia="en-GB"/>
        </w:rPr>
        <w:softHyphen/>
      </w:r>
      <w:r w:rsidRPr="007955BB">
        <w:rPr>
          <w:rFonts w:cs="Sylfaen"/>
          <w:b w:val="0"/>
          <w:iCs/>
          <w:szCs w:val="22"/>
          <w:lang w:val="af-ZA" w:eastAsia="en-GB"/>
        </w:rPr>
        <w:softHyphen/>
        <w:t>նե</w:t>
      </w:r>
      <w:r w:rsidRPr="007955BB">
        <w:rPr>
          <w:rFonts w:cs="Sylfaen"/>
          <w:b w:val="0"/>
          <w:iCs/>
          <w:szCs w:val="22"/>
          <w:lang w:val="af-ZA" w:eastAsia="en-GB"/>
        </w:rPr>
        <w:softHyphen/>
        <w:t>րի մուտ</w:t>
      </w:r>
      <w:r w:rsidRPr="007955BB">
        <w:rPr>
          <w:rFonts w:cs="Sylfaen"/>
          <w:b w:val="0"/>
          <w:iCs/>
          <w:szCs w:val="22"/>
          <w:lang w:val="af-ZA" w:eastAsia="en-GB"/>
        </w:rPr>
        <w:softHyphen/>
        <w:t>քերի հա</w:t>
      </w:r>
      <w:r w:rsidRPr="007955BB">
        <w:rPr>
          <w:rFonts w:cs="Sylfaen"/>
          <w:b w:val="0"/>
          <w:iCs/>
          <w:szCs w:val="22"/>
          <w:lang w:val="af-ZA" w:eastAsia="en-GB"/>
        </w:rPr>
        <w:softHyphen/>
        <w:t>վաքագրման միտումները, ինչպես նաև այս բնա</w:t>
      </w:r>
      <w:r w:rsidRPr="007955BB">
        <w:rPr>
          <w:rFonts w:cs="Sylfaen"/>
          <w:b w:val="0"/>
          <w:iCs/>
          <w:szCs w:val="22"/>
          <w:lang w:val="af-ZA" w:eastAsia="en-GB"/>
        </w:rPr>
        <w:softHyphen/>
        <w:t>գա</w:t>
      </w:r>
      <w:r w:rsidRPr="007955BB">
        <w:rPr>
          <w:rFonts w:cs="Sylfaen"/>
          <w:b w:val="0"/>
          <w:iCs/>
          <w:szCs w:val="22"/>
          <w:lang w:val="af-ZA" w:eastAsia="en-GB"/>
        </w:rPr>
        <w:softHyphen/>
        <w:t>վա</w:t>
      </w:r>
      <w:r w:rsidRPr="007955BB">
        <w:rPr>
          <w:rFonts w:cs="Sylfaen"/>
          <w:b w:val="0"/>
          <w:iCs/>
          <w:szCs w:val="22"/>
          <w:lang w:val="af-ZA" w:eastAsia="en-GB"/>
        </w:rPr>
        <w:softHyphen/>
      </w:r>
      <w:r w:rsidRPr="007955BB">
        <w:rPr>
          <w:rFonts w:cs="Sylfaen"/>
          <w:b w:val="0"/>
          <w:iCs/>
          <w:szCs w:val="22"/>
          <w:lang w:val="af-ZA" w:eastAsia="en-GB"/>
        </w:rPr>
        <w:softHyphen/>
        <w:t>ռում իրա</w:t>
      </w:r>
      <w:r w:rsidRPr="007955BB">
        <w:rPr>
          <w:rFonts w:cs="Sylfaen"/>
          <w:b w:val="0"/>
          <w:iCs/>
          <w:szCs w:val="22"/>
          <w:lang w:val="af-ZA" w:eastAsia="en-GB"/>
        </w:rPr>
        <w:softHyphen/>
        <w:t>կա</w:t>
      </w:r>
      <w:r w:rsidRPr="007955BB">
        <w:rPr>
          <w:rFonts w:cs="Sylfaen"/>
          <w:b w:val="0"/>
          <w:iCs/>
          <w:szCs w:val="22"/>
          <w:lang w:val="af-ZA" w:eastAsia="en-GB"/>
        </w:rPr>
        <w:softHyphen/>
        <w:t>նաց</w:t>
      </w:r>
      <w:r w:rsidRPr="007955BB">
        <w:rPr>
          <w:rFonts w:cs="Sylfaen"/>
          <w:b w:val="0"/>
          <w:iCs/>
          <w:szCs w:val="22"/>
          <w:lang w:val="af-ZA" w:eastAsia="en-GB"/>
        </w:rPr>
        <w:softHyphen/>
        <w:t>ված օրենս</w:t>
      </w:r>
      <w:r w:rsidRPr="007955BB">
        <w:rPr>
          <w:rFonts w:cs="Sylfaen"/>
          <w:b w:val="0"/>
          <w:iCs/>
          <w:szCs w:val="22"/>
          <w:lang w:val="af-ZA" w:eastAsia="en-GB"/>
        </w:rPr>
        <w:softHyphen/>
      </w:r>
      <w:r w:rsidRPr="007955BB">
        <w:rPr>
          <w:rFonts w:cs="Sylfaen"/>
          <w:b w:val="0"/>
          <w:iCs/>
          <w:szCs w:val="22"/>
          <w:lang w:val="af-ZA" w:eastAsia="en-GB"/>
        </w:rPr>
        <w:softHyphen/>
        <w:t>դրա</w:t>
      </w:r>
      <w:r w:rsidRPr="007955BB">
        <w:rPr>
          <w:rFonts w:cs="Sylfaen"/>
          <w:b w:val="0"/>
          <w:iCs/>
          <w:szCs w:val="22"/>
          <w:lang w:val="af-ZA" w:eastAsia="en-GB"/>
        </w:rPr>
        <w:softHyphen/>
        <w:t>կան փո</w:t>
      </w:r>
      <w:r w:rsidRPr="007955BB">
        <w:rPr>
          <w:rFonts w:cs="Sylfaen"/>
          <w:b w:val="0"/>
          <w:iCs/>
          <w:szCs w:val="22"/>
          <w:lang w:val="af-ZA" w:eastAsia="en-GB"/>
        </w:rPr>
        <w:softHyphen/>
        <w:t>փո</w:t>
      </w:r>
      <w:r w:rsidRPr="007955BB">
        <w:rPr>
          <w:rFonts w:cs="Sylfaen"/>
          <w:b w:val="0"/>
          <w:iCs/>
          <w:szCs w:val="22"/>
          <w:lang w:val="af-ZA" w:eastAsia="en-GB"/>
        </w:rPr>
        <w:softHyphen/>
        <w:t>խու</w:t>
      </w:r>
      <w:r w:rsidRPr="007955BB">
        <w:rPr>
          <w:rFonts w:cs="Sylfaen"/>
          <w:b w:val="0"/>
          <w:iCs/>
          <w:szCs w:val="22"/>
          <w:lang w:val="af-ZA" w:eastAsia="en-GB"/>
        </w:rPr>
        <w:softHyphen/>
        <w:t>թյունները:</w:t>
      </w:r>
    </w:p>
    <w:p w:rsidR="002D578A" w:rsidRPr="007955BB" w:rsidRDefault="002D578A" w:rsidP="002D578A">
      <w:pPr>
        <w:spacing w:before="0" w:line="276" w:lineRule="auto"/>
        <w:ind w:firstLine="562"/>
        <w:contextualSpacing w:val="0"/>
        <w:rPr>
          <w:rFonts w:cs="Sylfaen"/>
          <w:b w:val="0"/>
          <w:iCs/>
          <w:szCs w:val="22"/>
          <w:lang w:val="af-ZA" w:eastAsia="en-GB"/>
        </w:rPr>
      </w:pPr>
      <w:r w:rsidRPr="007955BB">
        <w:rPr>
          <w:rFonts w:cs="Sylfaen"/>
          <w:b w:val="0"/>
          <w:iCs/>
          <w:szCs w:val="22"/>
          <w:lang w:val="af-ZA" w:eastAsia="en-GB"/>
        </w:rPr>
        <w:t>Ապրանքների մատակարարումից և ծառայությունների մատուցումից եկամուտների գծով 2023 թվականի պետական բյուջեի մուտքերը գնահատվել են 19,683.4 մլն դրամի չափով` 2022 թվա</w:t>
      </w:r>
      <w:r w:rsidRPr="007955BB">
        <w:rPr>
          <w:rFonts w:cs="Sylfaen"/>
          <w:b w:val="0"/>
          <w:iCs/>
          <w:szCs w:val="22"/>
          <w:lang w:val="af-ZA" w:eastAsia="en-GB"/>
        </w:rPr>
        <w:softHyphen/>
        <w:t>կա</w:t>
      </w:r>
      <w:r w:rsidRPr="007955BB">
        <w:rPr>
          <w:rFonts w:cs="Sylfaen"/>
          <w:b w:val="0"/>
          <w:iCs/>
          <w:szCs w:val="22"/>
          <w:lang w:val="af-ZA" w:eastAsia="en-GB"/>
        </w:rPr>
        <w:softHyphen/>
        <w:t>նի հա</w:t>
      </w:r>
      <w:r w:rsidRPr="007955BB">
        <w:rPr>
          <w:rFonts w:cs="Sylfaen"/>
          <w:b w:val="0"/>
          <w:iCs/>
          <w:szCs w:val="22"/>
          <w:lang w:val="af-ZA" w:eastAsia="en-GB"/>
        </w:rPr>
        <w:softHyphen/>
        <w:t>մար ծրա</w:t>
      </w:r>
      <w:r w:rsidRPr="007955BB">
        <w:rPr>
          <w:rFonts w:cs="Sylfaen"/>
          <w:b w:val="0"/>
          <w:iCs/>
          <w:szCs w:val="22"/>
          <w:lang w:val="af-ZA" w:eastAsia="en-GB"/>
        </w:rPr>
        <w:softHyphen/>
        <w:t>գրված 17,455.9 մլն դրամի և 2021 թվա</w:t>
      </w:r>
      <w:r w:rsidRPr="007955BB">
        <w:rPr>
          <w:rFonts w:cs="Sylfaen"/>
          <w:b w:val="0"/>
          <w:iCs/>
          <w:szCs w:val="22"/>
          <w:lang w:val="af-ZA" w:eastAsia="en-GB"/>
        </w:rPr>
        <w:softHyphen/>
      </w:r>
      <w:r w:rsidRPr="007955BB">
        <w:rPr>
          <w:rFonts w:cs="Sylfaen"/>
          <w:b w:val="0"/>
          <w:iCs/>
          <w:szCs w:val="22"/>
          <w:lang w:val="af-ZA" w:eastAsia="en-GB"/>
        </w:rPr>
        <w:softHyphen/>
        <w:t>կանին փաս</w:t>
      </w:r>
      <w:r w:rsidRPr="007955BB">
        <w:rPr>
          <w:rFonts w:cs="Sylfaen"/>
          <w:b w:val="0"/>
          <w:iCs/>
          <w:szCs w:val="22"/>
          <w:lang w:val="af-ZA" w:eastAsia="en-GB"/>
        </w:rPr>
        <w:softHyphen/>
      </w:r>
      <w:r w:rsidRPr="007955BB">
        <w:rPr>
          <w:rFonts w:cs="Sylfaen"/>
          <w:b w:val="0"/>
          <w:iCs/>
          <w:szCs w:val="22"/>
          <w:lang w:val="af-ZA" w:eastAsia="en-GB"/>
        </w:rPr>
        <w:softHyphen/>
        <w:t>տացի ստաց</w:t>
      </w:r>
      <w:r w:rsidRPr="007955BB">
        <w:rPr>
          <w:rFonts w:cs="Sylfaen"/>
          <w:b w:val="0"/>
          <w:iCs/>
          <w:szCs w:val="22"/>
          <w:lang w:val="af-ZA" w:eastAsia="en-GB"/>
        </w:rPr>
        <w:softHyphen/>
        <w:t>ված 21,285.8 մլն դրամի դիմաց: Կանխատեսումները կատարվել են պետական կառավարման մարմիններից ստացված հայտերի և 2019-2021 թվա</w:t>
      </w:r>
      <w:r w:rsidRPr="007955BB">
        <w:rPr>
          <w:rFonts w:cs="Sylfaen"/>
          <w:b w:val="0"/>
          <w:iCs/>
          <w:szCs w:val="22"/>
          <w:lang w:val="af-ZA" w:eastAsia="en-GB"/>
        </w:rPr>
        <w:softHyphen/>
      </w:r>
      <w:r w:rsidRPr="007955BB">
        <w:rPr>
          <w:rFonts w:cs="Sylfaen"/>
          <w:b w:val="0"/>
          <w:iCs/>
          <w:szCs w:val="22"/>
          <w:lang w:val="af-ZA" w:eastAsia="en-GB"/>
        </w:rPr>
        <w:softHyphen/>
        <w:t>կան</w:t>
      </w:r>
      <w:r w:rsidRPr="007955BB">
        <w:rPr>
          <w:rFonts w:cs="Sylfaen"/>
          <w:b w:val="0"/>
          <w:iCs/>
          <w:szCs w:val="22"/>
          <w:lang w:val="af-ZA" w:eastAsia="en-GB"/>
        </w:rPr>
        <w:softHyphen/>
      </w:r>
      <w:r w:rsidRPr="007955BB">
        <w:rPr>
          <w:rFonts w:cs="Sylfaen"/>
          <w:b w:val="0"/>
          <w:iCs/>
          <w:szCs w:val="22"/>
          <w:lang w:val="af-ZA" w:eastAsia="en-GB"/>
        </w:rPr>
        <w:softHyphen/>
        <w:t>նե</w:t>
      </w:r>
      <w:r w:rsidRPr="007955BB">
        <w:rPr>
          <w:rFonts w:cs="Sylfaen"/>
          <w:b w:val="0"/>
          <w:iCs/>
          <w:szCs w:val="22"/>
          <w:lang w:val="af-ZA" w:eastAsia="en-GB"/>
        </w:rPr>
        <w:softHyphen/>
        <w:t>րի մուտ</w:t>
      </w:r>
      <w:r w:rsidRPr="007955BB">
        <w:rPr>
          <w:rFonts w:cs="Sylfaen"/>
          <w:b w:val="0"/>
          <w:iCs/>
          <w:szCs w:val="22"/>
          <w:lang w:val="af-ZA" w:eastAsia="en-GB"/>
        </w:rPr>
        <w:softHyphen/>
        <w:t>քերի հա</w:t>
      </w:r>
      <w:r w:rsidRPr="007955BB">
        <w:rPr>
          <w:rFonts w:cs="Sylfaen"/>
          <w:b w:val="0"/>
          <w:iCs/>
          <w:szCs w:val="22"/>
          <w:lang w:val="af-ZA" w:eastAsia="en-GB"/>
        </w:rPr>
        <w:softHyphen/>
        <w:t>վաքագրման միտումների հիման վրա:</w:t>
      </w:r>
    </w:p>
    <w:p w:rsidR="0081332F" w:rsidRPr="002D578A" w:rsidRDefault="002D578A" w:rsidP="002D578A">
      <w:pPr>
        <w:spacing w:before="0" w:line="276" w:lineRule="auto"/>
        <w:ind w:firstLine="562"/>
        <w:contextualSpacing w:val="0"/>
        <w:rPr>
          <w:rFonts w:cs="Sylfaen"/>
          <w:b w:val="0"/>
          <w:iCs/>
          <w:szCs w:val="22"/>
          <w:lang w:val="af-ZA" w:eastAsia="en-GB"/>
        </w:rPr>
      </w:pPr>
      <w:r w:rsidRPr="007955BB">
        <w:rPr>
          <w:rFonts w:cs="Sylfaen"/>
          <w:b w:val="0"/>
          <w:iCs/>
          <w:szCs w:val="22"/>
          <w:lang w:val="af-ZA" w:eastAsia="en-GB"/>
        </w:rPr>
        <w:t>Օրենքով և իրավական այլ ակտերով սահմանված՝ պետական բյուջե մուտքագրվող այլ եկա</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մուտ</w:t>
      </w:r>
      <w:r w:rsidRPr="007955BB">
        <w:rPr>
          <w:rFonts w:cs="Sylfaen"/>
          <w:b w:val="0"/>
          <w:iCs/>
          <w:szCs w:val="22"/>
          <w:lang w:val="af-ZA" w:eastAsia="en-GB"/>
        </w:rPr>
        <w:softHyphen/>
        <w:t>ների գծով 2023 թվականի պետական</w:t>
      </w:r>
      <w:r>
        <w:rPr>
          <w:rFonts w:cs="Sylfaen"/>
          <w:b w:val="0"/>
          <w:iCs/>
          <w:szCs w:val="22"/>
          <w:lang w:val="af-ZA" w:eastAsia="en-GB"/>
        </w:rPr>
        <w:t xml:space="preserve"> բյուջեի մուտքերը գնահատվել են </w:t>
      </w:r>
      <w:r w:rsidR="008D64ED">
        <w:rPr>
          <w:rFonts w:cs="Sylfaen"/>
          <w:b w:val="0"/>
          <w:iCs/>
          <w:szCs w:val="22"/>
          <w:lang w:val="af-ZA" w:eastAsia="en-GB"/>
        </w:rPr>
        <w:t>2</w:t>
      </w:r>
      <w:r w:rsidRPr="007955BB">
        <w:rPr>
          <w:rFonts w:cs="Sylfaen"/>
          <w:b w:val="0"/>
          <w:iCs/>
          <w:szCs w:val="22"/>
          <w:lang w:val="af-ZA" w:eastAsia="en-GB"/>
        </w:rPr>
        <w:t>,088.0 մլն դրա</w:t>
      </w:r>
      <w:r w:rsidRPr="007955BB">
        <w:rPr>
          <w:rFonts w:cs="Sylfaen"/>
          <w:b w:val="0"/>
          <w:iCs/>
          <w:szCs w:val="22"/>
          <w:lang w:val="af-ZA" w:eastAsia="en-GB"/>
        </w:rPr>
        <w:softHyphen/>
      </w:r>
      <w:r w:rsidRPr="007955BB">
        <w:rPr>
          <w:rFonts w:cs="Sylfaen"/>
          <w:b w:val="0"/>
          <w:iCs/>
          <w:szCs w:val="22"/>
          <w:lang w:val="af-ZA" w:eastAsia="en-GB"/>
        </w:rPr>
        <w:softHyphen/>
      </w:r>
      <w:r w:rsidRPr="007955BB">
        <w:rPr>
          <w:rFonts w:cs="Sylfaen"/>
          <w:b w:val="0"/>
          <w:iCs/>
          <w:szCs w:val="22"/>
          <w:lang w:val="af-ZA" w:eastAsia="en-GB"/>
        </w:rPr>
        <w:softHyphen/>
        <w:t>մի չա</w:t>
      </w:r>
      <w:r w:rsidRPr="007955BB">
        <w:rPr>
          <w:rFonts w:cs="Sylfaen"/>
          <w:b w:val="0"/>
          <w:iCs/>
          <w:szCs w:val="22"/>
          <w:lang w:val="af-ZA" w:eastAsia="en-GB"/>
        </w:rPr>
        <w:softHyphen/>
        <w:t>փով` 2022 թվականի համար ծրագրված 1,168.7 մլ</w:t>
      </w:r>
      <w:r w:rsidRPr="007955BB">
        <w:rPr>
          <w:rFonts w:cs="Sylfaen"/>
          <w:b w:val="0"/>
          <w:iCs/>
          <w:szCs w:val="22"/>
          <w:lang w:val="hy-AM" w:eastAsia="en-GB"/>
        </w:rPr>
        <w:t>ն</w:t>
      </w:r>
      <w:r w:rsidRPr="007955BB">
        <w:rPr>
          <w:rFonts w:cs="Sylfaen"/>
          <w:b w:val="0"/>
          <w:iCs/>
          <w:szCs w:val="22"/>
          <w:lang w:val="af-ZA" w:eastAsia="en-GB"/>
        </w:rPr>
        <w:t xml:space="preserve"> դրամի և 2021 թվա</w:t>
      </w:r>
      <w:r w:rsidRPr="007955BB">
        <w:rPr>
          <w:rFonts w:cs="Sylfaen"/>
          <w:b w:val="0"/>
          <w:iCs/>
          <w:szCs w:val="22"/>
          <w:lang w:val="af-ZA" w:eastAsia="en-GB"/>
        </w:rPr>
        <w:softHyphen/>
      </w:r>
      <w:r w:rsidRPr="007955BB">
        <w:rPr>
          <w:rFonts w:cs="Sylfaen"/>
          <w:b w:val="0"/>
          <w:iCs/>
          <w:szCs w:val="22"/>
          <w:lang w:val="af-ZA" w:eastAsia="en-GB"/>
        </w:rPr>
        <w:softHyphen/>
        <w:t>կանին փաս</w:t>
      </w:r>
      <w:r w:rsidRPr="007955BB">
        <w:rPr>
          <w:rFonts w:cs="Sylfaen"/>
          <w:b w:val="0"/>
          <w:iCs/>
          <w:szCs w:val="22"/>
          <w:lang w:val="af-ZA" w:eastAsia="en-GB"/>
        </w:rPr>
        <w:softHyphen/>
      </w:r>
      <w:r w:rsidRPr="007955BB">
        <w:rPr>
          <w:rFonts w:cs="Sylfaen"/>
          <w:b w:val="0"/>
          <w:iCs/>
          <w:szCs w:val="22"/>
          <w:lang w:val="af-ZA" w:eastAsia="en-GB"/>
        </w:rPr>
        <w:softHyphen/>
        <w:t>տացի ստաց</w:t>
      </w:r>
      <w:r w:rsidRPr="007955BB">
        <w:rPr>
          <w:rFonts w:cs="Sylfaen"/>
          <w:b w:val="0"/>
          <w:iCs/>
          <w:szCs w:val="22"/>
          <w:lang w:val="af-ZA" w:eastAsia="en-GB"/>
        </w:rPr>
        <w:softHyphen/>
        <w:t>ված 3,090.4 մլն դրամի դիմաց: Այն կանխատեսվել է՝  ելնելով նախորդ տարիների փաստացի մուտքերի միտումներից:</w:t>
      </w:r>
    </w:p>
    <w:p w:rsidR="0081332F" w:rsidRPr="007955BB" w:rsidRDefault="0081332F">
      <w:pPr>
        <w:spacing w:before="0" w:line="240" w:lineRule="auto"/>
        <w:ind w:firstLine="0"/>
        <w:contextualSpacing w:val="0"/>
        <w:jc w:val="left"/>
        <w:rPr>
          <w:sz w:val="28"/>
          <w:szCs w:val="20"/>
          <w:lang w:val="af-ZA"/>
        </w:rPr>
      </w:pPr>
      <w:r w:rsidRPr="007955BB">
        <w:rPr>
          <w:lang w:val="af-ZA"/>
        </w:rPr>
        <w:br w:type="page"/>
      </w:r>
    </w:p>
    <w:p w:rsidR="00060470" w:rsidRPr="007955BB" w:rsidRDefault="00060470" w:rsidP="00A30EDC">
      <w:pPr>
        <w:pStyle w:val="Heading1"/>
        <w:rPr>
          <w:lang w:val="af-ZA"/>
        </w:rPr>
      </w:pPr>
      <w:bookmarkStart w:id="267" w:name="_Toc120805214"/>
      <w:r w:rsidRPr="007955BB">
        <w:t>Մ</w:t>
      </w:r>
      <w:r w:rsidRPr="007955BB">
        <w:rPr>
          <w:lang w:val="af-ZA"/>
        </w:rPr>
        <w:t xml:space="preserve"> </w:t>
      </w:r>
      <w:r w:rsidRPr="007955BB">
        <w:t>Ա</w:t>
      </w:r>
      <w:r w:rsidRPr="007955BB">
        <w:rPr>
          <w:lang w:val="af-ZA"/>
        </w:rPr>
        <w:t xml:space="preserve"> </w:t>
      </w:r>
      <w:r w:rsidRPr="007955BB">
        <w:t>Ս</w:t>
      </w:r>
      <w:r w:rsidR="001E6978" w:rsidRPr="007955BB">
        <w:rPr>
          <w:lang w:val="af-ZA"/>
        </w:rPr>
        <w:t xml:space="preserve"> </w:t>
      </w:r>
      <w:r w:rsidRPr="007955BB">
        <w:rPr>
          <w:lang w:val="af-ZA"/>
        </w:rPr>
        <w:t xml:space="preserve">III – </w:t>
      </w:r>
      <w:r w:rsidRPr="007955BB">
        <w:t>Բ</w:t>
      </w:r>
      <w:r w:rsidRPr="007955BB">
        <w:rPr>
          <w:lang w:val="af-ZA"/>
        </w:rPr>
        <w:t xml:space="preserve">. </w:t>
      </w:r>
      <w:r w:rsidRPr="007955BB">
        <w:t>Ծ</w:t>
      </w:r>
      <w:r w:rsidRPr="007955BB">
        <w:rPr>
          <w:lang w:val="af-ZA"/>
        </w:rPr>
        <w:t xml:space="preserve"> </w:t>
      </w:r>
      <w:r w:rsidRPr="007955BB">
        <w:t>Ա</w:t>
      </w:r>
      <w:r w:rsidRPr="007955BB">
        <w:rPr>
          <w:lang w:val="af-ZA"/>
        </w:rPr>
        <w:t xml:space="preserve"> </w:t>
      </w:r>
      <w:r w:rsidRPr="007955BB">
        <w:t>Խ</w:t>
      </w:r>
      <w:r w:rsidRPr="007955BB">
        <w:rPr>
          <w:lang w:val="af-ZA"/>
        </w:rPr>
        <w:t xml:space="preserve"> </w:t>
      </w:r>
      <w:r w:rsidRPr="007955BB">
        <w:t>Ս</w:t>
      </w:r>
      <w:r w:rsidRPr="007955BB">
        <w:rPr>
          <w:lang w:val="af-ZA"/>
        </w:rPr>
        <w:t xml:space="preserve"> </w:t>
      </w:r>
      <w:r w:rsidRPr="007955BB">
        <w:t>Ե</w:t>
      </w:r>
      <w:r w:rsidRPr="007955BB">
        <w:rPr>
          <w:lang w:val="af-ZA"/>
        </w:rPr>
        <w:t xml:space="preserve"> </w:t>
      </w:r>
      <w:r w:rsidRPr="007955BB">
        <w:t>Ր</w:t>
      </w:r>
      <w:r w:rsidRPr="007955BB">
        <w:rPr>
          <w:lang w:val="af-ZA"/>
        </w:rPr>
        <w:t xml:space="preserve"> </w:t>
      </w:r>
      <w:r w:rsidRPr="007955BB">
        <w:t>Ի</w:t>
      </w:r>
      <w:r w:rsidR="001E6978" w:rsidRPr="007955BB">
        <w:rPr>
          <w:lang w:val="af-ZA"/>
        </w:rPr>
        <w:t xml:space="preserve"> </w:t>
      </w:r>
      <w:r w:rsidR="00C53FEE" w:rsidRPr="007955BB">
        <w:rPr>
          <w:lang w:val="af-ZA"/>
        </w:rPr>
        <w:t xml:space="preserve"> </w:t>
      </w:r>
      <w:r w:rsidRPr="007955BB">
        <w:t>Կ</w:t>
      </w:r>
      <w:r w:rsidRPr="007955BB">
        <w:rPr>
          <w:lang w:val="af-ZA"/>
        </w:rPr>
        <w:t xml:space="preserve"> </w:t>
      </w:r>
      <w:r w:rsidRPr="007955BB">
        <w:t>Ա</w:t>
      </w:r>
      <w:r w:rsidRPr="007955BB">
        <w:rPr>
          <w:lang w:val="af-ZA"/>
        </w:rPr>
        <w:t xml:space="preserve"> </w:t>
      </w:r>
      <w:r w:rsidRPr="007955BB">
        <w:t>Ն</w:t>
      </w:r>
      <w:r w:rsidRPr="007955BB">
        <w:rPr>
          <w:lang w:val="af-ZA"/>
        </w:rPr>
        <w:t xml:space="preserve"> </w:t>
      </w:r>
      <w:r w:rsidRPr="007955BB">
        <w:t>Խ</w:t>
      </w:r>
      <w:r w:rsidRPr="007955BB">
        <w:rPr>
          <w:lang w:val="af-ZA"/>
        </w:rPr>
        <w:t xml:space="preserve"> </w:t>
      </w:r>
      <w:r w:rsidRPr="007955BB">
        <w:t>Ա</w:t>
      </w:r>
      <w:r w:rsidRPr="007955BB">
        <w:rPr>
          <w:lang w:val="af-ZA"/>
        </w:rPr>
        <w:t xml:space="preserve"> </w:t>
      </w:r>
      <w:r w:rsidRPr="007955BB">
        <w:t>Տ</w:t>
      </w:r>
      <w:r w:rsidRPr="007955BB">
        <w:rPr>
          <w:lang w:val="af-ZA"/>
        </w:rPr>
        <w:t xml:space="preserve"> </w:t>
      </w:r>
      <w:r w:rsidRPr="007955BB">
        <w:t>Ե</w:t>
      </w:r>
      <w:r w:rsidRPr="007955BB">
        <w:rPr>
          <w:lang w:val="af-ZA"/>
        </w:rPr>
        <w:t xml:space="preserve"> </w:t>
      </w:r>
      <w:r w:rsidRPr="007955BB">
        <w:t>Ս</w:t>
      </w:r>
      <w:r w:rsidRPr="007955BB">
        <w:rPr>
          <w:lang w:val="af-ZA"/>
        </w:rPr>
        <w:t xml:space="preserve"> </w:t>
      </w:r>
      <w:r w:rsidRPr="007955BB">
        <w:t>Ո</w:t>
      </w:r>
      <w:r w:rsidRPr="007955BB">
        <w:rPr>
          <w:lang w:val="af-ZA"/>
        </w:rPr>
        <w:t xml:space="preserve"> </w:t>
      </w:r>
      <w:r w:rsidRPr="007955BB">
        <w:t>Ւ</w:t>
      </w:r>
      <w:r w:rsidRPr="007955BB">
        <w:rPr>
          <w:lang w:val="af-ZA"/>
        </w:rPr>
        <w:t xml:space="preserve"> </w:t>
      </w:r>
      <w:r w:rsidRPr="007955BB">
        <w:t>Մ</w:t>
      </w:r>
      <w:bookmarkEnd w:id="267"/>
    </w:p>
    <w:p w:rsidR="0075265B" w:rsidRPr="007955BB" w:rsidRDefault="0075265B" w:rsidP="007730AA">
      <w:pPr>
        <w:spacing w:before="0" w:line="276" w:lineRule="auto"/>
        <w:rPr>
          <w:rFonts w:cs="Sylfaen"/>
          <w:b w:val="0"/>
          <w:szCs w:val="22"/>
          <w:lang w:val="hy-AM" w:eastAsia="en-US"/>
        </w:rPr>
      </w:pPr>
      <w:r w:rsidRPr="007955BB">
        <w:rPr>
          <w:rFonts w:cs="Sylfaen"/>
          <w:b w:val="0"/>
          <w:szCs w:val="22"/>
          <w:lang w:val="hy-AM" w:eastAsia="en-US"/>
        </w:rPr>
        <w:t>ՀՀ 20</w:t>
      </w:r>
      <w:r w:rsidR="00D907FB" w:rsidRPr="007955BB">
        <w:rPr>
          <w:rFonts w:cs="Sylfaen"/>
          <w:b w:val="0"/>
          <w:szCs w:val="22"/>
          <w:lang w:val="hy-AM" w:eastAsia="en-US"/>
        </w:rPr>
        <w:t>2</w:t>
      </w:r>
      <w:r w:rsidR="00DE116E" w:rsidRPr="007955BB">
        <w:rPr>
          <w:rFonts w:cs="Sylfaen"/>
          <w:b w:val="0"/>
          <w:szCs w:val="22"/>
          <w:lang w:val="hy-AM" w:eastAsia="en-US"/>
        </w:rPr>
        <w:t>3</w:t>
      </w:r>
      <w:r w:rsidRPr="007955BB">
        <w:rPr>
          <w:rFonts w:cs="Sylfaen"/>
          <w:b w:val="0"/>
          <w:szCs w:val="22"/>
          <w:lang w:val="hy-AM" w:eastAsia="en-US"/>
        </w:rPr>
        <w:t xml:space="preserve"> թվականի պետական բյուջեի նախագծով ծախսերի ծավալը ծրագրա</w:t>
      </w:r>
      <w:r w:rsidRPr="007955BB">
        <w:rPr>
          <w:rFonts w:cs="Sylfaen"/>
          <w:b w:val="0"/>
          <w:szCs w:val="22"/>
          <w:lang w:val="hy-AM" w:eastAsia="en-US"/>
        </w:rPr>
        <w:softHyphen/>
        <w:t xml:space="preserve">վորվել է շուրջ </w:t>
      </w:r>
      <w:r w:rsidR="0088445B" w:rsidRPr="007955BB">
        <w:rPr>
          <w:rFonts w:cs="Sylfaen"/>
          <w:b w:val="0"/>
          <w:szCs w:val="22"/>
          <w:lang w:val="hy-AM" w:eastAsia="en-US"/>
        </w:rPr>
        <w:t>2</w:t>
      </w:r>
      <w:r w:rsidRPr="007955BB">
        <w:rPr>
          <w:rFonts w:cs="Sylfaen"/>
          <w:b w:val="0"/>
          <w:szCs w:val="22"/>
          <w:lang w:val="hy-AM" w:eastAsia="en-US"/>
        </w:rPr>
        <w:t>,</w:t>
      </w:r>
      <w:r w:rsidR="00DE116E" w:rsidRPr="007955BB">
        <w:rPr>
          <w:rFonts w:cs="Sylfaen"/>
          <w:b w:val="0"/>
          <w:szCs w:val="22"/>
          <w:lang w:val="hy-AM" w:eastAsia="en-US"/>
        </w:rPr>
        <w:t>59</w:t>
      </w:r>
      <w:r w:rsidR="00540FFA" w:rsidRPr="00540FFA">
        <w:rPr>
          <w:rFonts w:cs="Sylfaen"/>
          <w:b w:val="0"/>
          <w:szCs w:val="22"/>
          <w:lang w:val="af-ZA" w:eastAsia="en-US"/>
        </w:rPr>
        <w:t>1</w:t>
      </w:r>
      <w:r w:rsidR="00882881" w:rsidRPr="007955BB">
        <w:rPr>
          <w:rFonts w:cs="Sylfaen"/>
          <w:b w:val="0"/>
          <w:szCs w:val="22"/>
          <w:lang w:val="hy-AM" w:eastAsia="en-US"/>
        </w:rPr>
        <w:t>.</w:t>
      </w:r>
      <w:r w:rsidR="00540FFA" w:rsidRPr="00540FFA">
        <w:rPr>
          <w:rFonts w:cs="Sylfaen"/>
          <w:b w:val="0"/>
          <w:szCs w:val="22"/>
          <w:lang w:val="af-ZA" w:eastAsia="en-US"/>
        </w:rPr>
        <w:t>0</w:t>
      </w:r>
      <w:r w:rsidR="00D907FB" w:rsidRPr="007955BB">
        <w:rPr>
          <w:rFonts w:cs="Sylfaen"/>
          <w:b w:val="0"/>
          <w:szCs w:val="22"/>
          <w:lang w:val="hy-AM" w:eastAsia="en-US"/>
        </w:rPr>
        <w:t xml:space="preserve"> </w:t>
      </w:r>
      <w:r w:rsidRPr="007955BB">
        <w:rPr>
          <w:rFonts w:cs="Sylfaen"/>
          <w:b w:val="0"/>
          <w:szCs w:val="22"/>
          <w:lang w:val="hy-AM" w:eastAsia="en-US"/>
        </w:rPr>
        <w:t>մլրդ դրամի չափով</w:t>
      </w:r>
      <w:r w:rsidR="00BE45D6" w:rsidRPr="007955BB">
        <w:rPr>
          <w:rFonts w:cs="Sylfaen"/>
          <w:b w:val="0"/>
          <w:szCs w:val="22"/>
          <w:lang w:val="hy-AM" w:eastAsia="en-US"/>
        </w:rPr>
        <w:t>:</w:t>
      </w:r>
      <w:r w:rsidRPr="007955BB">
        <w:rPr>
          <w:rFonts w:cs="Sylfaen"/>
          <w:b w:val="0"/>
          <w:szCs w:val="22"/>
          <w:lang w:val="hy-AM" w:eastAsia="en-US"/>
        </w:rPr>
        <w:t xml:space="preserve"> Ծախսերի ամբողջ ծավալի </w:t>
      </w:r>
      <w:r w:rsidR="00DE116E" w:rsidRPr="007955BB">
        <w:rPr>
          <w:rFonts w:cs="Sylfaen"/>
          <w:b w:val="0"/>
          <w:szCs w:val="22"/>
          <w:lang w:val="hy-AM" w:eastAsia="en-US"/>
        </w:rPr>
        <w:t>78</w:t>
      </w:r>
      <w:r w:rsidR="00C53E84" w:rsidRPr="007955BB">
        <w:rPr>
          <w:rFonts w:cs="Sylfaen"/>
          <w:b w:val="0"/>
          <w:szCs w:val="22"/>
          <w:lang w:val="hy-AM" w:eastAsia="en-US"/>
        </w:rPr>
        <w:t>.</w:t>
      </w:r>
      <w:r w:rsidR="00DE116E" w:rsidRPr="007955BB">
        <w:rPr>
          <w:rFonts w:cs="Sylfaen"/>
          <w:b w:val="0"/>
          <w:szCs w:val="22"/>
          <w:lang w:val="hy-AM" w:eastAsia="en-US"/>
        </w:rPr>
        <w:t>9</w:t>
      </w:r>
      <w:r w:rsidR="00CE3D09" w:rsidRPr="007955BB">
        <w:rPr>
          <w:rFonts w:cs="Sylfaen"/>
          <w:b w:val="0"/>
          <w:szCs w:val="22"/>
          <w:lang w:val="hy-AM" w:eastAsia="en-US"/>
        </w:rPr>
        <w:t>%</w:t>
      </w:r>
      <w:r w:rsidRPr="007955BB">
        <w:rPr>
          <w:rFonts w:cs="Sylfaen"/>
          <w:b w:val="0"/>
          <w:szCs w:val="22"/>
          <w:lang w:val="hy-AM" w:eastAsia="en-US"/>
        </w:rPr>
        <w:t xml:space="preserve">-ը կամ </w:t>
      </w:r>
      <w:r w:rsidR="00DE116E" w:rsidRPr="007955BB">
        <w:rPr>
          <w:rFonts w:cs="Sylfaen"/>
          <w:b w:val="0"/>
          <w:szCs w:val="22"/>
          <w:lang w:val="hy-AM" w:eastAsia="en-US"/>
        </w:rPr>
        <w:t>2</w:t>
      </w:r>
      <w:r w:rsidR="00B64746" w:rsidRPr="007955BB">
        <w:rPr>
          <w:rFonts w:cs="Sylfaen"/>
          <w:b w:val="0"/>
          <w:szCs w:val="22"/>
          <w:lang w:val="hy-AM" w:eastAsia="en-US"/>
        </w:rPr>
        <w:t>,</w:t>
      </w:r>
      <w:r w:rsidR="00DE116E" w:rsidRPr="007955BB">
        <w:rPr>
          <w:rFonts w:cs="Sylfaen"/>
          <w:b w:val="0"/>
          <w:szCs w:val="22"/>
          <w:lang w:val="hy-AM" w:eastAsia="en-US"/>
        </w:rPr>
        <w:t>0</w:t>
      </w:r>
      <w:r w:rsidR="00D94D7A" w:rsidRPr="007955BB">
        <w:rPr>
          <w:rFonts w:cs="Sylfaen"/>
          <w:b w:val="0"/>
          <w:szCs w:val="22"/>
          <w:lang w:val="hy-AM" w:eastAsia="en-US"/>
        </w:rPr>
        <w:t>4</w:t>
      </w:r>
      <w:r w:rsidR="00CE2897" w:rsidRPr="00883181">
        <w:rPr>
          <w:rFonts w:cs="Sylfaen"/>
          <w:b w:val="0"/>
          <w:szCs w:val="22"/>
          <w:lang w:val="af-ZA" w:eastAsia="en-US"/>
        </w:rPr>
        <w:t>3</w:t>
      </w:r>
      <w:r w:rsidR="00465ED9" w:rsidRPr="007955BB">
        <w:rPr>
          <w:rFonts w:cs="Sylfaen"/>
          <w:b w:val="0"/>
          <w:szCs w:val="22"/>
          <w:lang w:val="hy-AM" w:eastAsia="en-US"/>
        </w:rPr>
        <w:t>.</w:t>
      </w:r>
      <w:r w:rsidR="00CE2897" w:rsidRPr="00883181">
        <w:rPr>
          <w:rFonts w:cs="Sylfaen"/>
          <w:b w:val="0"/>
          <w:szCs w:val="22"/>
          <w:lang w:val="af-ZA" w:eastAsia="en-US"/>
        </w:rPr>
        <w:t>3</w:t>
      </w:r>
      <w:r w:rsidR="00CE3D09" w:rsidRPr="007955BB">
        <w:rPr>
          <w:rFonts w:cs="Sylfaen"/>
          <w:b w:val="0"/>
          <w:szCs w:val="22"/>
          <w:lang w:val="hy-AM" w:eastAsia="en-US"/>
        </w:rPr>
        <w:t xml:space="preserve"> </w:t>
      </w:r>
      <w:r w:rsidRPr="007955BB">
        <w:rPr>
          <w:rFonts w:cs="Sylfaen"/>
          <w:b w:val="0"/>
          <w:szCs w:val="22"/>
          <w:lang w:val="hy-AM" w:eastAsia="en-US"/>
        </w:rPr>
        <w:t>մլրդ դրամը բա</w:t>
      </w:r>
      <w:r w:rsidRPr="007955BB">
        <w:rPr>
          <w:rFonts w:cs="Sylfaen"/>
          <w:b w:val="0"/>
          <w:szCs w:val="22"/>
          <w:lang w:val="hy-AM" w:eastAsia="en-US"/>
        </w:rPr>
        <w:softHyphen/>
        <w:t xml:space="preserve">ժին </w:t>
      </w:r>
      <w:r w:rsidR="007F5120" w:rsidRPr="007955BB">
        <w:rPr>
          <w:rFonts w:cs="Sylfaen"/>
          <w:b w:val="0"/>
          <w:szCs w:val="22"/>
          <w:lang w:val="hy-AM" w:eastAsia="en-US"/>
        </w:rPr>
        <w:t>է ընկ</w:t>
      </w:r>
      <w:r w:rsidR="007F5120" w:rsidRPr="007955BB">
        <w:rPr>
          <w:rFonts w:cs="Sylfaen"/>
          <w:b w:val="0"/>
          <w:szCs w:val="22"/>
          <w:lang w:val="hy-AM" w:eastAsia="en-US"/>
        </w:rPr>
        <w:softHyphen/>
        <w:t>նում ըն</w:t>
      </w:r>
      <w:r w:rsidR="007F5120" w:rsidRPr="007955BB">
        <w:rPr>
          <w:rFonts w:cs="Sylfaen"/>
          <w:b w:val="0"/>
          <w:szCs w:val="22"/>
          <w:lang w:val="hy-AM" w:eastAsia="en-US"/>
        </w:rPr>
        <w:softHyphen/>
        <w:t xml:space="preserve">թացիկ ծախսերին, </w:t>
      </w:r>
      <w:r w:rsidR="006254D8" w:rsidRPr="007955BB">
        <w:rPr>
          <w:rFonts w:cs="Sylfaen"/>
          <w:b w:val="0"/>
          <w:szCs w:val="22"/>
          <w:lang w:val="hy-AM" w:eastAsia="en-US"/>
        </w:rPr>
        <w:t>21</w:t>
      </w:r>
      <w:r w:rsidR="00413FFC" w:rsidRPr="007955BB">
        <w:rPr>
          <w:rFonts w:cs="Sylfaen"/>
          <w:b w:val="0"/>
          <w:szCs w:val="22"/>
          <w:lang w:val="af-ZA" w:eastAsia="en-US"/>
        </w:rPr>
        <w:t>.</w:t>
      </w:r>
      <w:r w:rsidR="006254D8" w:rsidRPr="007955BB">
        <w:rPr>
          <w:rFonts w:cs="Sylfaen"/>
          <w:b w:val="0"/>
          <w:szCs w:val="22"/>
          <w:lang w:val="hy-AM" w:eastAsia="en-US"/>
        </w:rPr>
        <w:t>1</w:t>
      </w:r>
      <w:r w:rsidRPr="007955BB">
        <w:rPr>
          <w:rFonts w:cs="Sylfaen"/>
          <w:b w:val="0"/>
          <w:szCs w:val="22"/>
          <w:lang w:val="hy-AM" w:eastAsia="en-US"/>
        </w:rPr>
        <w:t xml:space="preserve">%-ը կամ </w:t>
      </w:r>
      <w:r w:rsidR="006254D8" w:rsidRPr="007955BB">
        <w:rPr>
          <w:rFonts w:cs="Sylfaen"/>
          <w:b w:val="0"/>
          <w:szCs w:val="22"/>
          <w:lang w:val="hy-AM" w:eastAsia="en-US"/>
        </w:rPr>
        <w:t>547</w:t>
      </w:r>
      <w:r w:rsidR="00BE45D6" w:rsidRPr="007955BB">
        <w:rPr>
          <w:rFonts w:cs="Sylfaen"/>
          <w:b w:val="0"/>
          <w:szCs w:val="22"/>
          <w:lang w:val="hy-AM" w:eastAsia="en-US"/>
        </w:rPr>
        <w:t>.</w:t>
      </w:r>
      <w:r w:rsidR="006254D8" w:rsidRPr="007955BB">
        <w:rPr>
          <w:rFonts w:cs="Sylfaen"/>
          <w:b w:val="0"/>
          <w:szCs w:val="22"/>
          <w:lang w:val="hy-AM" w:eastAsia="en-US"/>
        </w:rPr>
        <w:t>7</w:t>
      </w:r>
      <w:r w:rsidRPr="007955BB">
        <w:rPr>
          <w:rFonts w:cs="Sylfaen"/>
          <w:b w:val="0"/>
          <w:szCs w:val="22"/>
          <w:lang w:val="hy-AM" w:eastAsia="en-US"/>
        </w:rPr>
        <w:t xml:space="preserve"> մլրդ դրամը՝ ոչ ֆինանսական ակ</w:t>
      </w:r>
      <w:r w:rsidR="00BE45D6" w:rsidRPr="007955BB">
        <w:rPr>
          <w:rFonts w:cs="Sylfaen"/>
          <w:b w:val="0"/>
          <w:szCs w:val="22"/>
          <w:lang w:val="hy-AM" w:eastAsia="en-US"/>
        </w:rPr>
        <w:softHyphen/>
      </w:r>
      <w:r w:rsidRPr="007955BB">
        <w:rPr>
          <w:rFonts w:cs="Sylfaen"/>
          <w:b w:val="0"/>
          <w:szCs w:val="22"/>
          <w:lang w:val="hy-AM" w:eastAsia="en-US"/>
        </w:rPr>
        <w:t>տիվ</w:t>
      </w:r>
      <w:r w:rsidR="00BE45D6" w:rsidRPr="007955BB">
        <w:rPr>
          <w:rFonts w:cs="Sylfaen"/>
          <w:b w:val="0"/>
          <w:szCs w:val="22"/>
          <w:lang w:val="hy-AM" w:eastAsia="en-US"/>
        </w:rPr>
        <w:softHyphen/>
      </w:r>
      <w:r w:rsidRPr="007955BB">
        <w:rPr>
          <w:rFonts w:cs="Sylfaen"/>
          <w:b w:val="0"/>
          <w:szCs w:val="22"/>
          <w:lang w:val="hy-AM" w:eastAsia="en-US"/>
        </w:rPr>
        <w:softHyphen/>
      </w:r>
      <w:r w:rsidR="00BE45D6" w:rsidRPr="007955BB">
        <w:rPr>
          <w:rFonts w:cs="Sylfaen"/>
          <w:b w:val="0"/>
          <w:szCs w:val="22"/>
          <w:lang w:val="hy-AM" w:eastAsia="en-US"/>
        </w:rPr>
        <w:softHyphen/>
      </w:r>
      <w:r w:rsidRPr="007955BB">
        <w:rPr>
          <w:rFonts w:cs="Sylfaen"/>
          <w:b w:val="0"/>
          <w:szCs w:val="22"/>
          <w:lang w:val="hy-AM" w:eastAsia="en-US"/>
        </w:rPr>
        <w:t>ների գծով զուտ ծախ</w:t>
      </w:r>
      <w:r w:rsidRPr="007955BB">
        <w:rPr>
          <w:rFonts w:cs="Sylfaen"/>
          <w:b w:val="0"/>
          <w:szCs w:val="22"/>
          <w:lang w:val="hy-AM" w:eastAsia="en-US"/>
        </w:rPr>
        <w:softHyphen/>
        <w:t>սերին: ՀՀ 20</w:t>
      </w:r>
      <w:r w:rsidR="00D907FB" w:rsidRPr="007955BB">
        <w:rPr>
          <w:rFonts w:cs="Sylfaen"/>
          <w:b w:val="0"/>
          <w:szCs w:val="22"/>
          <w:lang w:val="hy-AM" w:eastAsia="en-US"/>
        </w:rPr>
        <w:t>2</w:t>
      </w:r>
      <w:r w:rsidR="00DE116E" w:rsidRPr="007955BB">
        <w:rPr>
          <w:rFonts w:cs="Sylfaen"/>
          <w:b w:val="0"/>
          <w:szCs w:val="22"/>
          <w:lang w:val="hy-AM" w:eastAsia="en-US"/>
        </w:rPr>
        <w:t>3</w:t>
      </w:r>
      <w:r w:rsidRPr="007955BB">
        <w:rPr>
          <w:rFonts w:cs="Sylfaen"/>
          <w:b w:val="0"/>
          <w:szCs w:val="22"/>
          <w:lang w:val="hy-AM" w:eastAsia="en-US"/>
        </w:rPr>
        <w:t xml:space="preserve"> թվականի պետական բյուջեի նախագծի ծախ</w:t>
      </w:r>
      <w:r w:rsidR="00BE45D6" w:rsidRPr="007955BB">
        <w:rPr>
          <w:rFonts w:cs="Sylfaen"/>
          <w:b w:val="0"/>
          <w:szCs w:val="22"/>
          <w:lang w:val="hy-AM" w:eastAsia="en-US"/>
        </w:rPr>
        <w:softHyphen/>
      </w:r>
      <w:r w:rsidRPr="007955BB">
        <w:rPr>
          <w:rFonts w:cs="Sylfaen"/>
          <w:b w:val="0"/>
          <w:szCs w:val="22"/>
          <w:lang w:val="hy-AM" w:eastAsia="en-US"/>
        </w:rPr>
        <w:t>սա</w:t>
      </w:r>
      <w:r w:rsidR="00BE45D6" w:rsidRPr="007955BB">
        <w:rPr>
          <w:rFonts w:cs="Sylfaen"/>
          <w:b w:val="0"/>
          <w:szCs w:val="22"/>
          <w:lang w:val="hy-AM" w:eastAsia="en-US"/>
        </w:rPr>
        <w:softHyphen/>
      </w:r>
      <w:r w:rsidRPr="007955BB">
        <w:rPr>
          <w:rFonts w:cs="Sylfaen"/>
          <w:b w:val="0"/>
          <w:szCs w:val="22"/>
          <w:lang w:val="hy-AM" w:eastAsia="en-US"/>
        </w:rPr>
        <w:t>յին մասը ՀՀ 20</w:t>
      </w:r>
      <w:r w:rsidR="00CE3D09" w:rsidRPr="007955BB">
        <w:rPr>
          <w:rFonts w:cs="Sylfaen"/>
          <w:b w:val="0"/>
          <w:szCs w:val="22"/>
          <w:lang w:val="hy-AM" w:eastAsia="en-US"/>
        </w:rPr>
        <w:t>2</w:t>
      </w:r>
      <w:r w:rsidR="00DE116E" w:rsidRPr="007955BB">
        <w:rPr>
          <w:rFonts w:cs="Sylfaen"/>
          <w:b w:val="0"/>
          <w:szCs w:val="22"/>
          <w:lang w:val="hy-AM" w:eastAsia="en-US"/>
        </w:rPr>
        <w:t>2</w:t>
      </w:r>
      <w:r w:rsidRPr="007955BB">
        <w:rPr>
          <w:rFonts w:cs="Sylfaen"/>
          <w:b w:val="0"/>
          <w:szCs w:val="22"/>
          <w:lang w:val="hy-AM" w:eastAsia="en-US"/>
        </w:rPr>
        <w:t xml:space="preserve"> թվականի պե</w:t>
      </w:r>
      <w:r w:rsidRPr="007955BB">
        <w:rPr>
          <w:rFonts w:cs="Sylfaen"/>
          <w:b w:val="0"/>
          <w:szCs w:val="22"/>
          <w:lang w:val="hy-AM" w:eastAsia="en-US"/>
        </w:rPr>
        <w:softHyphen/>
        <w:t>տա</w:t>
      </w:r>
      <w:r w:rsidRPr="007955BB">
        <w:rPr>
          <w:rFonts w:cs="Sylfaen"/>
          <w:b w:val="0"/>
          <w:szCs w:val="22"/>
          <w:lang w:val="hy-AM" w:eastAsia="en-US"/>
        </w:rPr>
        <w:softHyphen/>
        <w:t xml:space="preserve">կան բյուջեի </w:t>
      </w:r>
      <w:r w:rsidR="00CE3D09" w:rsidRPr="007955BB">
        <w:rPr>
          <w:rFonts w:cs="Sylfaen"/>
          <w:b w:val="0"/>
          <w:szCs w:val="22"/>
          <w:lang w:val="hy-AM" w:eastAsia="en-US"/>
        </w:rPr>
        <w:t>հաստատված</w:t>
      </w:r>
      <w:r w:rsidRPr="007955BB">
        <w:rPr>
          <w:rFonts w:cs="Sylfaen"/>
          <w:b w:val="0"/>
          <w:szCs w:val="22"/>
          <w:lang w:val="hy-AM" w:eastAsia="en-US"/>
        </w:rPr>
        <w:t xml:space="preserve"> մակարդակի համեմատ </w:t>
      </w:r>
      <w:r w:rsidR="005A319E" w:rsidRPr="007955BB">
        <w:rPr>
          <w:rFonts w:cs="Sylfaen"/>
          <w:b w:val="0"/>
          <w:szCs w:val="22"/>
          <w:lang w:val="hy-AM" w:eastAsia="en-US"/>
        </w:rPr>
        <w:t>ավելացել</w:t>
      </w:r>
      <w:r w:rsidRPr="007955BB">
        <w:rPr>
          <w:rFonts w:cs="Sylfaen"/>
          <w:b w:val="0"/>
          <w:szCs w:val="22"/>
          <w:lang w:val="hy-AM" w:eastAsia="en-US"/>
        </w:rPr>
        <w:t xml:space="preserve"> է շուրջ </w:t>
      </w:r>
      <w:r w:rsidR="002A5E3C" w:rsidRPr="007955BB">
        <w:rPr>
          <w:rFonts w:cs="Sylfaen"/>
          <w:b w:val="0"/>
          <w:szCs w:val="22"/>
          <w:lang w:val="af-ZA" w:eastAsia="en-US"/>
        </w:rPr>
        <w:t>40</w:t>
      </w:r>
      <w:r w:rsidR="00CE2897">
        <w:rPr>
          <w:rFonts w:cs="Sylfaen"/>
          <w:b w:val="0"/>
          <w:szCs w:val="22"/>
          <w:lang w:val="af-ZA" w:eastAsia="en-US"/>
        </w:rPr>
        <w:t>7</w:t>
      </w:r>
      <w:r w:rsidR="00BD54D1" w:rsidRPr="007955BB">
        <w:rPr>
          <w:rFonts w:cs="Sylfaen"/>
          <w:b w:val="0"/>
          <w:szCs w:val="22"/>
          <w:lang w:val="hy-AM" w:eastAsia="en-US"/>
        </w:rPr>
        <w:t>.</w:t>
      </w:r>
      <w:r w:rsidR="00CE2897" w:rsidRPr="00883181">
        <w:rPr>
          <w:rFonts w:cs="Sylfaen"/>
          <w:b w:val="0"/>
          <w:szCs w:val="22"/>
          <w:lang w:val="af-ZA" w:eastAsia="en-US"/>
        </w:rPr>
        <w:t>0</w:t>
      </w:r>
      <w:r w:rsidR="00413FFC" w:rsidRPr="007955BB">
        <w:rPr>
          <w:rFonts w:cs="Sylfaen"/>
          <w:b w:val="0"/>
          <w:szCs w:val="22"/>
          <w:lang w:val="hy-AM" w:eastAsia="en-US"/>
        </w:rPr>
        <w:t xml:space="preserve"> </w:t>
      </w:r>
      <w:r w:rsidRPr="007955BB">
        <w:rPr>
          <w:rFonts w:cs="Sylfaen"/>
          <w:b w:val="0"/>
          <w:szCs w:val="22"/>
          <w:lang w:val="hy-AM" w:eastAsia="en-US"/>
        </w:rPr>
        <w:t xml:space="preserve">մլրդ դրամով: </w:t>
      </w:r>
    </w:p>
    <w:p w:rsidR="0075265B" w:rsidRPr="007955BB" w:rsidRDefault="0075265B" w:rsidP="007730AA">
      <w:pPr>
        <w:spacing w:before="0" w:line="276" w:lineRule="auto"/>
        <w:rPr>
          <w:rFonts w:cs="Sylfaen"/>
          <w:b w:val="0"/>
          <w:szCs w:val="22"/>
          <w:lang w:val="hy-AM" w:eastAsia="en-US"/>
        </w:rPr>
      </w:pPr>
      <w:r w:rsidRPr="007955BB">
        <w:rPr>
          <w:rFonts w:cs="Sylfaen"/>
          <w:b w:val="0"/>
          <w:szCs w:val="22"/>
          <w:lang w:val="hy-AM" w:eastAsia="en-US"/>
        </w:rPr>
        <w:t>Նախագծով առաջարկվող բյուջետային ծախսերի ծավալները, կազմն ու կառուցվա</w:t>
      </w:r>
      <w:r w:rsidR="00D907FB" w:rsidRPr="007955BB">
        <w:rPr>
          <w:rFonts w:cs="Sylfaen"/>
          <w:b w:val="0"/>
          <w:szCs w:val="22"/>
          <w:lang w:val="hy-AM" w:eastAsia="en-US"/>
        </w:rPr>
        <w:t>ծքը ձևա</w:t>
      </w:r>
      <w:r w:rsidR="00D907FB" w:rsidRPr="007955BB">
        <w:rPr>
          <w:rFonts w:cs="Sylfaen"/>
          <w:b w:val="0"/>
          <w:szCs w:val="22"/>
          <w:lang w:val="hy-AM" w:eastAsia="en-US"/>
        </w:rPr>
        <w:softHyphen/>
      </w:r>
      <w:r w:rsidR="00D907FB" w:rsidRPr="007955BB">
        <w:rPr>
          <w:rFonts w:cs="Sylfaen"/>
          <w:b w:val="0"/>
          <w:szCs w:val="22"/>
          <w:lang w:val="hy-AM" w:eastAsia="en-US"/>
        </w:rPr>
        <w:softHyphen/>
      </w:r>
      <w:r w:rsidR="00D907FB" w:rsidRPr="007955BB">
        <w:rPr>
          <w:rFonts w:cs="Sylfaen"/>
          <w:b w:val="0"/>
          <w:szCs w:val="22"/>
          <w:lang w:val="hy-AM" w:eastAsia="en-US"/>
        </w:rPr>
        <w:softHyphen/>
        <w:t>վոր</w:t>
      </w:r>
      <w:r w:rsidR="00D907FB" w:rsidRPr="007955BB">
        <w:rPr>
          <w:rFonts w:cs="Sylfaen"/>
          <w:b w:val="0"/>
          <w:szCs w:val="22"/>
          <w:lang w:val="hy-AM" w:eastAsia="en-US"/>
        </w:rPr>
        <w:softHyphen/>
        <w:t>վել են ելնելով 202</w:t>
      </w:r>
      <w:r w:rsidR="00DE116E" w:rsidRPr="007955BB">
        <w:rPr>
          <w:rFonts w:cs="Sylfaen"/>
          <w:b w:val="0"/>
          <w:szCs w:val="22"/>
          <w:lang w:val="hy-AM" w:eastAsia="en-US"/>
        </w:rPr>
        <w:t>3</w:t>
      </w:r>
      <w:r w:rsidRPr="007955BB">
        <w:rPr>
          <w:rFonts w:cs="Sylfaen"/>
          <w:b w:val="0"/>
          <w:szCs w:val="22"/>
          <w:lang w:val="hy-AM" w:eastAsia="en-US"/>
        </w:rPr>
        <w:t xml:space="preserve"> թվականի մակրոտնտեսական կանխա</w:t>
      </w:r>
      <w:r w:rsidRPr="007955BB">
        <w:rPr>
          <w:rFonts w:cs="Sylfaen"/>
          <w:b w:val="0"/>
          <w:szCs w:val="22"/>
          <w:lang w:val="hy-AM" w:eastAsia="en-US"/>
        </w:rPr>
        <w:softHyphen/>
        <w:t>տեսումներից, գների և սա</w:t>
      </w:r>
      <w:r w:rsidRPr="007955BB">
        <w:rPr>
          <w:rFonts w:cs="Sylfaen"/>
          <w:b w:val="0"/>
          <w:szCs w:val="22"/>
          <w:lang w:val="hy-AM" w:eastAsia="en-US"/>
        </w:rPr>
        <w:softHyphen/>
        <w:t>կագների կանխատեսվող ցուցանիշներից, հանրապետու</w:t>
      </w:r>
      <w:r w:rsidRPr="007955BB">
        <w:rPr>
          <w:rFonts w:cs="Sylfaen"/>
          <w:b w:val="0"/>
          <w:szCs w:val="22"/>
          <w:lang w:val="hy-AM" w:eastAsia="en-US"/>
        </w:rPr>
        <w:softHyphen/>
        <w:t>թյունում տնտեսական հարա</w:t>
      </w:r>
      <w:r w:rsidRPr="007955BB">
        <w:rPr>
          <w:rFonts w:cs="Sylfaen"/>
          <w:b w:val="0"/>
          <w:szCs w:val="22"/>
          <w:lang w:val="hy-AM" w:eastAsia="en-US"/>
        </w:rPr>
        <w:softHyphen/>
        <w:t>բե</w:t>
      </w:r>
      <w:r w:rsidRPr="007955BB">
        <w:rPr>
          <w:rFonts w:cs="Sylfaen"/>
          <w:b w:val="0"/>
          <w:szCs w:val="22"/>
          <w:lang w:val="hy-AM" w:eastAsia="en-US"/>
        </w:rPr>
        <w:softHyphen/>
        <w:t>րու</w:t>
      </w:r>
      <w:r w:rsidRPr="007955BB">
        <w:rPr>
          <w:rFonts w:cs="Sylfaen"/>
          <w:b w:val="0"/>
          <w:szCs w:val="22"/>
          <w:lang w:val="hy-AM" w:eastAsia="en-US"/>
        </w:rPr>
        <w:softHyphen/>
      </w:r>
      <w:r w:rsidRPr="007955BB">
        <w:rPr>
          <w:rFonts w:cs="Sylfaen"/>
          <w:b w:val="0"/>
          <w:szCs w:val="22"/>
          <w:lang w:val="hy-AM" w:eastAsia="en-US"/>
        </w:rPr>
        <w:softHyphen/>
        <w:t>թյուն</w:t>
      </w:r>
      <w:r w:rsidRPr="007955BB">
        <w:rPr>
          <w:rFonts w:cs="Sylfaen"/>
          <w:b w:val="0"/>
          <w:szCs w:val="22"/>
          <w:lang w:val="hy-AM" w:eastAsia="en-US"/>
        </w:rPr>
        <w:softHyphen/>
      </w:r>
      <w:r w:rsidRPr="007955BB">
        <w:rPr>
          <w:rFonts w:cs="Sylfaen"/>
          <w:b w:val="0"/>
          <w:szCs w:val="22"/>
          <w:lang w:val="hy-AM" w:eastAsia="en-US"/>
        </w:rPr>
        <w:softHyphen/>
        <w:t>ների բնա</w:t>
      </w:r>
      <w:r w:rsidRPr="007955BB">
        <w:rPr>
          <w:rFonts w:cs="Sylfaen"/>
          <w:b w:val="0"/>
          <w:szCs w:val="22"/>
          <w:lang w:val="hy-AM" w:eastAsia="en-US"/>
        </w:rPr>
        <w:softHyphen/>
        <w:t>կա</w:t>
      </w:r>
      <w:r w:rsidRPr="007955BB">
        <w:rPr>
          <w:rFonts w:cs="Sylfaen"/>
          <w:b w:val="0"/>
          <w:szCs w:val="22"/>
          <w:lang w:val="hy-AM" w:eastAsia="en-US"/>
        </w:rPr>
        <w:softHyphen/>
        <w:t>նոն ընթացքը խաթարող նոր բյուջետային պարտքերի չառաջացման ան</w:t>
      </w:r>
      <w:r w:rsidRPr="007955BB">
        <w:rPr>
          <w:rFonts w:cs="Sylfaen"/>
          <w:b w:val="0"/>
          <w:szCs w:val="22"/>
          <w:lang w:val="hy-AM" w:eastAsia="en-US"/>
        </w:rPr>
        <w:softHyphen/>
        <w:t>հրա</w:t>
      </w:r>
      <w:r w:rsidRPr="007955BB">
        <w:rPr>
          <w:rFonts w:cs="Sylfaen"/>
          <w:b w:val="0"/>
          <w:szCs w:val="22"/>
          <w:lang w:val="hy-AM" w:eastAsia="en-US"/>
        </w:rPr>
        <w:softHyphen/>
      </w:r>
      <w:r w:rsidRPr="007955BB">
        <w:rPr>
          <w:rFonts w:cs="Sylfaen"/>
          <w:b w:val="0"/>
          <w:szCs w:val="22"/>
          <w:lang w:val="hy-AM" w:eastAsia="en-US"/>
        </w:rPr>
        <w:softHyphen/>
        <w:t>ժեշտությունից ու առանձին ծախսա</w:t>
      </w:r>
      <w:r w:rsidRPr="007955BB">
        <w:rPr>
          <w:rFonts w:cs="Sylfaen"/>
          <w:b w:val="0"/>
          <w:szCs w:val="22"/>
          <w:lang w:val="hy-AM" w:eastAsia="en-US"/>
        </w:rPr>
        <w:softHyphen/>
        <w:t>տե</w:t>
      </w:r>
      <w:r w:rsidRPr="007955BB">
        <w:rPr>
          <w:rFonts w:cs="Sylfaen"/>
          <w:b w:val="0"/>
          <w:szCs w:val="22"/>
          <w:lang w:val="hy-AM" w:eastAsia="en-US"/>
        </w:rPr>
        <w:softHyphen/>
        <w:t>սակների գծով մշակված բյուջետային նոր</w:t>
      </w:r>
      <w:r w:rsidRPr="007955BB">
        <w:rPr>
          <w:rFonts w:cs="Sylfaen"/>
          <w:b w:val="0"/>
          <w:szCs w:val="22"/>
          <w:lang w:val="hy-AM" w:eastAsia="en-US"/>
        </w:rPr>
        <w:softHyphen/>
        <w:t>մատի</w:t>
      </w:r>
      <w:r w:rsidRPr="007955BB">
        <w:rPr>
          <w:rFonts w:cs="Sylfaen"/>
          <w:b w:val="0"/>
          <w:szCs w:val="22"/>
          <w:lang w:val="hy-AM" w:eastAsia="en-US"/>
        </w:rPr>
        <w:softHyphen/>
        <w:t>վ</w:t>
      </w:r>
      <w:r w:rsidRPr="007955BB">
        <w:rPr>
          <w:rFonts w:cs="Sylfaen"/>
          <w:b w:val="0"/>
          <w:szCs w:val="22"/>
          <w:lang w:val="hy-AM" w:eastAsia="en-US"/>
        </w:rPr>
        <w:softHyphen/>
        <w:t>նե</w:t>
      </w:r>
      <w:r w:rsidRPr="007955BB">
        <w:rPr>
          <w:rFonts w:cs="Sylfaen"/>
          <w:b w:val="0"/>
          <w:szCs w:val="22"/>
          <w:lang w:val="hy-AM" w:eastAsia="en-US"/>
        </w:rPr>
        <w:softHyphen/>
        <w:t>րից:</w:t>
      </w:r>
    </w:p>
    <w:p w:rsidR="00FC44D9" w:rsidRPr="007955BB" w:rsidRDefault="0075265B" w:rsidP="008F5CA2">
      <w:pPr>
        <w:pStyle w:val="BodyText2"/>
      </w:pPr>
      <w:r w:rsidRPr="007955BB">
        <w:t>«Հայաստանի Հանրապետության 20</w:t>
      </w:r>
      <w:r w:rsidR="00D907FB" w:rsidRPr="007955BB">
        <w:t>2</w:t>
      </w:r>
      <w:r w:rsidR="00DE116E" w:rsidRPr="007955BB">
        <w:t>3</w:t>
      </w:r>
      <w:r w:rsidRPr="007955BB">
        <w:t xml:space="preserve"> թվականի պետական բյուջեի մասին» ՀՀ օրեն</w:t>
      </w:r>
      <w:r w:rsidRPr="007955BB">
        <w:softHyphen/>
        <w:t>քի նա</w:t>
      </w:r>
      <w:r w:rsidRPr="007955BB">
        <w:softHyphen/>
        <w:t>խագ</w:t>
      </w:r>
      <w:r w:rsidR="00D907FB" w:rsidRPr="007955BB">
        <w:t>ի</w:t>
      </w:r>
      <w:r w:rsidRPr="007955BB">
        <w:t>ծը</w:t>
      </w:r>
      <w:r w:rsidR="001E6978" w:rsidRPr="007955BB">
        <w:t xml:space="preserve"> </w:t>
      </w:r>
      <w:r w:rsidRPr="007955BB">
        <w:t>կազմվել է Ծրագրային բյուջետավորման</w:t>
      </w:r>
      <w:r w:rsidR="001E6978" w:rsidRPr="007955BB">
        <w:t xml:space="preserve"> </w:t>
      </w:r>
      <w:r w:rsidRPr="007955BB">
        <w:t>ձևաչափով՝</w:t>
      </w:r>
      <w:r w:rsidR="001E6978" w:rsidRPr="007955BB">
        <w:t xml:space="preserve"> </w:t>
      </w:r>
      <w:r w:rsidRPr="007955BB">
        <w:t>«Հայաստանի Հանրապետու</w:t>
      </w:r>
      <w:r w:rsidR="00B330BE" w:rsidRPr="007955BB">
        <w:softHyphen/>
      </w:r>
      <w:r w:rsidRPr="007955BB">
        <w:t>թյան բյուջետային</w:t>
      </w:r>
      <w:r w:rsidR="001E6978" w:rsidRPr="007955BB">
        <w:t xml:space="preserve"> </w:t>
      </w:r>
      <w:r w:rsidRPr="007955BB">
        <w:t>համակարգի</w:t>
      </w:r>
      <w:r w:rsidR="001E6978" w:rsidRPr="007955BB">
        <w:t xml:space="preserve"> </w:t>
      </w:r>
      <w:r w:rsidRPr="007955BB">
        <w:t>մաս</w:t>
      </w:r>
      <w:r w:rsidR="00C9600C" w:rsidRPr="007955BB">
        <w:t>ին» ՀՀ</w:t>
      </w:r>
      <w:r w:rsidR="004630AC" w:rsidRPr="007955BB">
        <w:t xml:space="preserve"> </w:t>
      </w:r>
      <w:r w:rsidR="00C9600C" w:rsidRPr="007955BB">
        <w:t xml:space="preserve"> օրենքի </w:t>
      </w:r>
      <w:r w:rsidRPr="007955BB">
        <w:t>պահանջ</w:t>
      </w:r>
      <w:r w:rsidR="004630AC" w:rsidRPr="007955BB">
        <w:softHyphen/>
      </w:r>
      <w:r w:rsidRPr="007955BB">
        <w:t>ներին</w:t>
      </w:r>
      <w:r w:rsidR="001E6978" w:rsidRPr="007955BB">
        <w:t xml:space="preserve"> </w:t>
      </w:r>
      <w:r w:rsidRPr="007955BB">
        <w:t>համահունչ,</w:t>
      </w:r>
      <w:r w:rsidR="001E6978" w:rsidRPr="007955BB">
        <w:t xml:space="preserve"> </w:t>
      </w:r>
      <w:r w:rsidRPr="007955BB">
        <w:t>ապահովելով ծրագրայ</w:t>
      </w:r>
      <w:r w:rsidR="00C9600C" w:rsidRPr="007955BB">
        <w:t xml:space="preserve">ին բյուջետավորման սկզբունքների </w:t>
      </w:r>
      <w:r w:rsidRPr="007955BB">
        <w:t>ամբողջական ներդրումը: Ծրագրային բյուջետա</w:t>
      </w:r>
      <w:r w:rsidR="004630AC" w:rsidRPr="007955BB">
        <w:softHyphen/>
      </w:r>
      <w:r w:rsidRPr="007955BB">
        <w:t>վոր</w:t>
      </w:r>
      <w:r w:rsidR="004630AC" w:rsidRPr="007955BB">
        <w:softHyphen/>
      </w:r>
      <w:r w:rsidRPr="007955BB">
        <w:t>ման համակարգի ներդրման հիմնական նպատակն է բարելավել հանրային ծախսերի առաջնահերթությունների սահմանումը և բարձրացնել հանրային ֆինանսների կառավարման թափանցիկությունը, հաշվետվողա</w:t>
      </w:r>
      <w:r w:rsidR="00465ED9" w:rsidRPr="007955BB">
        <w:softHyphen/>
      </w:r>
      <w:r w:rsidRPr="007955BB">
        <w:t>կանությունը, արդյունավետությունը և արդյունքայնությունը, ինչպես նաև բյուջետային տեղեկատվությունը ներկայացնել այնպիսի ձևաչափով, որը</w:t>
      </w:r>
      <w:r w:rsidR="001E6978" w:rsidRPr="007955BB">
        <w:t xml:space="preserve"> </w:t>
      </w:r>
      <w:r w:rsidRPr="007955BB">
        <w:t>հնարավոր կդարձնի վերահսկել, թե ինչպես է բյուջեն օգտագործվում ընդունված քաղաքա</w:t>
      </w:r>
      <w:r w:rsidR="004630AC" w:rsidRPr="007955BB">
        <w:softHyphen/>
      </w:r>
      <w:r w:rsidRPr="007955BB">
        <w:t>կանություններն իրականաց</w:t>
      </w:r>
      <w:r w:rsidRPr="007955BB">
        <w:softHyphen/>
        <w:t>նելու համար: Փոփոխությունները</w:t>
      </w:r>
      <w:r w:rsidR="001E6978" w:rsidRPr="007955BB">
        <w:t xml:space="preserve"> </w:t>
      </w:r>
      <w:r w:rsidRPr="007955BB">
        <w:t>ֆորմալ առումով ուղղված են ծրագրային դասակարգումը՝ որպես բյուջետային հատկացումների հիմնական դասակարգում սահմանելուն, բյուջետային գործընթացի բոլոր փուլերում (բյուջեի պլանավորում, կատարում, հաշվետվողականություն):</w:t>
      </w:r>
    </w:p>
    <w:p w:rsidR="004630AC" w:rsidRPr="007955BB" w:rsidRDefault="004630AC" w:rsidP="008F5CA2">
      <w:pPr>
        <w:pStyle w:val="BodyText2"/>
        <w:rPr>
          <w:rFonts w:cs="Times Armenian"/>
          <w:color w:val="000000"/>
        </w:rPr>
      </w:pPr>
      <w:r w:rsidRPr="007955BB">
        <w:t>ՀՀ 20</w:t>
      </w:r>
      <w:r w:rsidR="005B556E" w:rsidRPr="007955BB">
        <w:t>2</w:t>
      </w:r>
      <w:r w:rsidR="00DE116E" w:rsidRPr="007955BB">
        <w:t>3</w:t>
      </w:r>
      <w:r w:rsidRPr="007955BB">
        <w:t xml:space="preserve"> թվականի պետական բյուջեի նախագծով </w:t>
      </w:r>
      <w:r w:rsidR="005D70C0" w:rsidRPr="007955BB">
        <w:t>ելքային</w:t>
      </w:r>
      <w:r w:rsidRPr="007955BB">
        <w:t xml:space="preserve"> ծրագրերի </w:t>
      </w:r>
      <w:r w:rsidR="005D70C0" w:rsidRPr="007955BB">
        <w:t xml:space="preserve">և միջոցառումների գծով արդյունքային (կատարողական) ցուցանիշներն ու ծախսային </w:t>
      </w:r>
      <w:r w:rsidRPr="007955BB">
        <w:t xml:space="preserve"> ծրագր</w:t>
      </w:r>
      <w:r w:rsidR="005D70C0" w:rsidRPr="007955BB">
        <w:t>երի գծով վերջնական արդյունքային ցուցանիշները</w:t>
      </w:r>
      <w:r w:rsidRPr="007955BB">
        <w:t xml:space="preserve"> ներկայացված են համապատասխանաբար սույն բա</w:t>
      </w:r>
      <w:r w:rsidRPr="007955BB">
        <w:softHyphen/>
        <w:t xml:space="preserve">ցատրագրի NN </w:t>
      </w:r>
      <w:r w:rsidR="007D2ACE" w:rsidRPr="007955BB">
        <w:t>3</w:t>
      </w:r>
      <w:r w:rsidRPr="007955BB">
        <w:t xml:space="preserve"> և 1</w:t>
      </w:r>
      <w:r w:rsidR="005641FB" w:rsidRPr="007955BB">
        <w:t>3</w:t>
      </w:r>
      <w:r w:rsidRPr="007955BB">
        <w:t xml:space="preserve"> հավելվածներում:</w:t>
      </w:r>
      <w:r w:rsidRPr="007955BB">
        <w:rPr>
          <w:rFonts w:cs="Times Armenian"/>
        </w:rPr>
        <w:t xml:space="preserve"> </w:t>
      </w:r>
    </w:p>
    <w:p w:rsidR="00E85612" w:rsidRPr="007955BB" w:rsidRDefault="00E85612" w:rsidP="008F5CA2">
      <w:pPr>
        <w:pStyle w:val="BodyText2"/>
      </w:pPr>
    </w:p>
    <w:p w:rsidR="00C87101" w:rsidRPr="007955BB" w:rsidRDefault="00C87101" w:rsidP="008F5CA2">
      <w:pPr>
        <w:pStyle w:val="BodyText2"/>
      </w:pPr>
    </w:p>
    <w:p w:rsidR="00C87101" w:rsidRPr="007955BB" w:rsidRDefault="00C87101" w:rsidP="008F5CA2">
      <w:pPr>
        <w:pStyle w:val="BodyText2"/>
      </w:pPr>
    </w:p>
    <w:p w:rsidR="00C87101" w:rsidRPr="007955BB" w:rsidRDefault="00C87101" w:rsidP="008F5CA2">
      <w:pPr>
        <w:pStyle w:val="BodyText2"/>
      </w:pPr>
    </w:p>
    <w:p w:rsidR="00C87101" w:rsidRPr="007955BB" w:rsidRDefault="00C87101" w:rsidP="008F5CA2">
      <w:pPr>
        <w:pStyle w:val="BodyText2"/>
      </w:pPr>
    </w:p>
    <w:p w:rsidR="00C87101" w:rsidRPr="007955BB" w:rsidRDefault="00C87101" w:rsidP="008F5CA2">
      <w:pPr>
        <w:pStyle w:val="BodyText2"/>
      </w:pPr>
    </w:p>
    <w:p w:rsidR="00C87101" w:rsidRPr="007955BB" w:rsidRDefault="00C87101" w:rsidP="008F5CA2">
      <w:pPr>
        <w:pStyle w:val="BodyText2"/>
      </w:pPr>
    </w:p>
    <w:p w:rsidR="00C87101" w:rsidRPr="007955BB" w:rsidRDefault="00C87101" w:rsidP="008F5CA2">
      <w:pPr>
        <w:pStyle w:val="BodyText2"/>
      </w:pPr>
    </w:p>
    <w:p w:rsidR="00C87101" w:rsidRPr="007955BB" w:rsidRDefault="00C87101" w:rsidP="008F5CA2">
      <w:pPr>
        <w:pStyle w:val="BodyText2"/>
      </w:pPr>
    </w:p>
    <w:p w:rsidR="00C87101" w:rsidRPr="007955BB" w:rsidRDefault="00C87101" w:rsidP="008F5CA2">
      <w:pPr>
        <w:pStyle w:val="BodyText2"/>
      </w:pPr>
    </w:p>
    <w:p w:rsidR="00C87101" w:rsidRPr="007955BB" w:rsidRDefault="00C87101" w:rsidP="008F5CA2">
      <w:pPr>
        <w:pStyle w:val="BodyText2"/>
      </w:pPr>
    </w:p>
    <w:p w:rsidR="00C87101" w:rsidRPr="007955BB" w:rsidRDefault="00C87101" w:rsidP="008F5CA2">
      <w:pPr>
        <w:pStyle w:val="BodyText2"/>
      </w:pPr>
    </w:p>
    <w:p w:rsidR="00071A75" w:rsidRPr="007955BB" w:rsidRDefault="00071A75">
      <w:pPr>
        <w:spacing w:before="0" w:line="240" w:lineRule="auto"/>
        <w:ind w:firstLine="0"/>
        <w:contextualSpacing w:val="0"/>
        <w:jc w:val="left"/>
        <w:rPr>
          <w:rFonts w:eastAsia="Calibri" w:cs="GHEA Grapalat"/>
          <w:bCs/>
          <w:sz w:val="24"/>
          <w:szCs w:val="26"/>
          <w:lang w:val="hy-AM" w:eastAsia="en-US"/>
        </w:rPr>
      </w:pPr>
      <w:bookmarkStart w:id="268" w:name="_Toc57655469"/>
      <w:bookmarkStart w:id="269" w:name="_Toc83631020"/>
      <w:r w:rsidRPr="007955BB">
        <w:rPr>
          <w:rFonts w:eastAsia="Calibri" w:cs="GHEA Grapalat"/>
          <w:bCs/>
          <w:sz w:val="24"/>
          <w:szCs w:val="26"/>
          <w:lang w:val="hy-AM" w:eastAsia="en-US"/>
        </w:rPr>
        <w:br w:type="page"/>
      </w:r>
    </w:p>
    <w:p w:rsidR="00D471FC" w:rsidRPr="007955BB" w:rsidRDefault="00D471FC" w:rsidP="00D471FC">
      <w:pPr>
        <w:pStyle w:val="ListParagraph"/>
        <w:keepNext/>
        <w:tabs>
          <w:tab w:val="left" w:pos="709"/>
        </w:tabs>
        <w:spacing w:before="0" w:line="276" w:lineRule="auto"/>
        <w:ind w:left="0" w:firstLine="0"/>
        <w:jc w:val="left"/>
        <w:outlineLvl w:val="2"/>
        <w:rPr>
          <w:rFonts w:eastAsia="Calibri" w:cs="GHEA Grapalat"/>
          <w:bCs/>
          <w:sz w:val="24"/>
          <w:szCs w:val="26"/>
          <w:lang w:val="af-ZA" w:eastAsia="en-US"/>
        </w:rPr>
      </w:pPr>
      <w:bookmarkStart w:id="270" w:name="_Toc120805215"/>
      <w:r w:rsidRPr="007955BB">
        <w:rPr>
          <w:rFonts w:eastAsia="Calibri" w:cs="GHEA Grapalat"/>
          <w:bCs/>
          <w:sz w:val="24"/>
          <w:szCs w:val="26"/>
          <w:lang w:val="af-ZA" w:eastAsia="en-US"/>
        </w:rPr>
        <w:t>ԾԱԽՍԵՐՆ ԸՍՏ ՏՆՏԵՍԱԳԻՏԱԿԱՆ ԴԱՍԱԿԱՐԳՄԱՆ</w:t>
      </w:r>
      <w:bookmarkEnd w:id="268"/>
      <w:bookmarkEnd w:id="270"/>
    </w:p>
    <w:p w:rsidR="00D471FC" w:rsidRPr="007955BB" w:rsidRDefault="00D471FC" w:rsidP="00D471FC">
      <w:pPr>
        <w:spacing w:before="0" w:line="276" w:lineRule="auto"/>
        <w:ind w:firstLine="720"/>
        <w:contextualSpacing w:val="0"/>
        <w:rPr>
          <w:b w:val="0"/>
          <w:szCs w:val="22"/>
          <w:lang w:val="af-ZA" w:eastAsia="en-US"/>
        </w:rPr>
      </w:pPr>
    </w:p>
    <w:p w:rsidR="00A14B59" w:rsidRPr="00A14B59" w:rsidRDefault="00A14B59" w:rsidP="00A14B59">
      <w:pPr>
        <w:spacing w:before="0" w:line="276" w:lineRule="auto"/>
        <w:ind w:firstLine="720"/>
        <w:contextualSpacing w:val="0"/>
        <w:rPr>
          <w:b w:val="0"/>
          <w:szCs w:val="22"/>
          <w:lang w:val="af-ZA" w:eastAsia="en-US"/>
        </w:rPr>
      </w:pPr>
      <w:bookmarkStart w:id="271" w:name="_Toc77356423"/>
      <w:bookmarkStart w:id="272" w:name="_Toc77837866"/>
      <w:bookmarkEnd w:id="269"/>
    </w:p>
    <w:p w:rsidR="00833D38" w:rsidRPr="00A14B59" w:rsidRDefault="00833D38" w:rsidP="00833D38">
      <w:pPr>
        <w:spacing w:before="0" w:line="276" w:lineRule="auto"/>
        <w:ind w:firstLine="720"/>
        <w:contextualSpacing w:val="0"/>
        <w:rPr>
          <w:rFonts w:cs="Sylfaen"/>
          <w:b w:val="0"/>
          <w:szCs w:val="22"/>
          <w:lang w:val="hy-AM" w:eastAsia="en-US"/>
        </w:rPr>
      </w:pPr>
      <w:r w:rsidRPr="00A14B59">
        <w:rPr>
          <w:b w:val="0"/>
          <w:szCs w:val="22"/>
          <w:lang w:val="af-ZA" w:eastAsia="en-US"/>
        </w:rPr>
        <w:t>202</w:t>
      </w:r>
      <w:r w:rsidRPr="00A14B59">
        <w:rPr>
          <w:b w:val="0"/>
          <w:szCs w:val="22"/>
          <w:lang w:val="hy-AM" w:eastAsia="en-US"/>
        </w:rPr>
        <w:t>3 թվակա</w:t>
      </w:r>
      <w:r w:rsidRPr="00A14B59">
        <w:rPr>
          <w:rFonts w:cs="Sylfaen"/>
          <w:b w:val="0"/>
          <w:szCs w:val="22"/>
          <w:lang w:val="hy-AM" w:eastAsia="en-US"/>
        </w:rPr>
        <w:t>նի</w:t>
      </w:r>
      <w:r w:rsidRPr="00A14B59">
        <w:rPr>
          <w:b w:val="0"/>
          <w:szCs w:val="22"/>
          <w:lang w:val="af-ZA" w:eastAsia="en-US"/>
        </w:rPr>
        <w:t xml:space="preserve"> </w:t>
      </w:r>
      <w:r w:rsidRPr="00A14B59">
        <w:rPr>
          <w:rFonts w:cs="Sylfaen"/>
          <w:b w:val="0"/>
          <w:szCs w:val="22"/>
          <w:lang w:val="hy-AM" w:eastAsia="en-US"/>
        </w:rPr>
        <w:t>պետական</w:t>
      </w:r>
      <w:r w:rsidRPr="00A14B59">
        <w:rPr>
          <w:b w:val="0"/>
          <w:szCs w:val="22"/>
          <w:lang w:val="af-ZA" w:eastAsia="en-US"/>
        </w:rPr>
        <w:t xml:space="preserve"> </w:t>
      </w:r>
      <w:r w:rsidRPr="00A14B59">
        <w:rPr>
          <w:rFonts w:cs="Sylfaen"/>
          <w:b w:val="0"/>
          <w:szCs w:val="22"/>
          <w:lang w:val="hy-AM" w:eastAsia="en-US"/>
        </w:rPr>
        <w:t>բյուջեի</w:t>
      </w:r>
      <w:r w:rsidRPr="00A14B59">
        <w:rPr>
          <w:b w:val="0"/>
          <w:szCs w:val="22"/>
          <w:lang w:val="af-ZA" w:eastAsia="en-US"/>
        </w:rPr>
        <w:t xml:space="preserve"> </w:t>
      </w:r>
      <w:r w:rsidRPr="00A14B59">
        <w:rPr>
          <w:b w:val="0"/>
          <w:szCs w:val="22"/>
          <w:lang w:val="it-IT" w:eastAsia="en-US"/>
        </w:rPr>
        <w:t>ընթա</w:t>
      </w:r>
      <w:r w:rsidRPr="00A14B59">
        <w:rPr>
          <w:b w:val="0"/>
          <w:szCs w:val="22"/>
          <w:lang w:val="it-IT" w:eastAsia="en-US"/>
        </w:rPr>
        <w:softHyphen/>
        <w:t>ցիկ</w:t>
      </w:r>
      <w:r w:rsidRPr="00A14B59">
        <w:rPr>
          <w:b w:val="0"/>
          <w:szCs w:val="22"/>
          <w:lang w:val="af-ZA" w:eastAsia="en-US"/>
        </w:rPr>
        <w:t xml:space="preserve"> </w:t>
      </w:r>
      <w:r w:rsidRPr="00A14B59">
        <w:rPr>
          <w:rFonts w:cs="Sylfaen"/>
          <w:b w:val="0"/>
          <w:szCs w:val="22"/>
          <w:lang w:val="hy-AM" w:eastAsia="en-US"/>
        </w:rPr>
        <w:t>ծախ</w:t>
      </w:r>
      <w:r w:rsidRPr="00A14B59">
        <w:rPr>
          <w:rFonts w:cs="Sylfaen"/>
          <w:b w:val="0"/>
          <w:szCs w:val="22"/>
          <w:lang w:val="af-ZA" w:eastAsia="en-US"/>
        </w:rPr>
        <w:softHyphen/>
      </w:r>
      <w:r w:rsidRPr="00A14B59">
        <w:rPr>
          <w:rFonts w:cs="Sylfaen"/>
          <w:b w:val="0"/>
          <w:szCs w:val="22"/>
          <w:lang w:val="hy-AM" w:eastAsia="en-US"/>
        </w:rPr>
        <w:t>սերի</w:t>
      </w:r>
      <w:r w:rsidRPr="00A14B59">
        <w:rPr>
          <w:b w:val="0"/>
          <w:szCs w:val="22"/>
          <w:lang w:val="af-ZA" w:eastAsia="en-US"/>
        </w:rPr>
        <w:t xml:space="preserve"> </w:t>
      </w:r>
      <w:r w:rsidRPr="00A14B59">
        <w:rPr>
          <w:rFonts w:cs="Sylfaen"/>
          <w:b w:val="0"/>
          <w:szCs w:val="22"/>
          <w:lang w:val="hy-AM" w:eastAsia="en-US"/>
        </w:rPr>
        <w:t>հարա</w:t>
      </w:r>
      <w:r w:rsidRPr="00A14B59">
        <w:rPr>
          <w:rFonts w:cs="Sylfaen"/>
          <w:b w:val="0"/>
          <w:szCs w:val="22"/>
          <w:lang w:val="af-ZA" w:eastAsia="en-US"/>
        </w:rPr>
        <w:softHyphen/>
      </w:r>
      <w:r w:rsidRPr="00A14B59">
        <w:rPr>
          <w:rFonts w:cs="Sylfaen"/>
          <w:b w:val="0"/>
          <w:szCs w:val="22"/>
          <w:lang w:val="hy-AM" w:eastAsia="en-US"/>
        </w:rPr>
        <w:t>բերակցությունը</w:t>
      </w:r>
      <w:r w:rsidRPr="00A14B59">
        <w:rPr>
          <w:b w:val="0"/>
          <w:szCs w:val="22"/>
          <w:lang w:val="af-ZA" w:eastAsia="en-US"/>
        </w:rPr>
        <w:t xml:space="preserve"> </w:t>
      </w:r>
      <w:r w:rsidRPr="00A14B59">
        <w:rPr>
          <w:rFonts w:cs="Sylfaen"/>
          <w:b w:val="0"/>
          <w:szCs w:val="22"/>
          <w:lang w:val="hy-AM" w:eastAsia="en-US"/>
        </w:rPr>
        <w:t>ՀՆԱ</w:t>
      </w:r>
      <w:r w:rsidRPr="00A14B59">
        <w:rPr>
          <w:b w:val="0"/>
          <w:szCs w:val="22"/>
          <w:lang w:val="af-ZA" w:eastAsia="en-US"/>
        </w:rPr>
        <w:t>-</w:t>
      </w:r>
      <w:r w:rsidRPr="00A14B59">
        <w:rPr>
          <w:rFonts w:cs="Sylfaen"/>
          <w:b w:val="0"/>
          <w:szCs w:val="22"/>
          <w:lang w:val="hy-AM" w:eastAsia="en-US"/>
        </w:rPr>
        <w:t>ի</w:t>
      </w:r>
      <w:r w:rsidRPr="00A14B59">
        <w:rPr>
          <w:b w:val="0"/>
          <w:szCs w:val="22"/>
          <w:lang w:val="af-ZA" w:eastAsia="en-US"/>
        </w:rPr>
        <w:t xml:space="preserve"> </w:t>
      </w:r>
      <w:r w:rsidRPr="00A14B59">
        <w:rPr>
          <w:rFonts w:cs="Sylfaen"/>
          <w:b w:val="0"/>
          <w:szCs w:val="22"/>
          <w:lang w:val="hy-AM" w:eastAsia="en-US"/>
        </w:rPr>
        <w:t>նկատմամբ կազմում է 2</w:t>
      </w:r>
      <w:r w:rsidRPr="00A14B59">
        <w:rPr>
          <w:rFonts w:cs="Sylfaen"/>
          <w:b w:val="0"/>
          <w:szCs w:val="22"/>
          <w:lang w:val="af-ZA" w:eastAsia="en-US"/>
        </w:rPr>
        <w:t>1</w:t>
      </w:r>
      <w:r w:rsidRPr="00A14B59">
        <w:rPr>
          <w:rFonts w:cs="Sylfaen"/>
          <w:b w:val="0"/>
          <w:szCs w:val="22"/>
          <w:lang w:val="hy-AM" w:eastAsia="en-US"/>
        </w:rPr>
        <w:t>.</w:t>
      </w:r>
      <w:r w:rsidRPr="00A14B59">
        <w:rPr>
          <w:rFonts w:cs="Sylfaen"/>
          <w:b w:val="0"/>
          <w:szCs w:val="22"/>
          <w:lang w:val="af-ZA" w:eastAsia="en-US"/>
        </w:rPr>
        <w:t>9</w:t>
      </w:r>
      <w:r>
        <w:rPr>
          <w:rFonts w:cs="Sylfaen"/>
          <w:b w:val="0"/>
          <w:szCs w:val="22"/>
          <w:lang w:val="hy-AM" w:eastAsia="en-US"/>
        </w:rPr>
        <w:t>3</w:t>
      </w:r>
      <w:r w:rsidRPr="00A14B59">
        <w:rPr>
          <w:rFonts w:cs="Sylfaen"/>
          <w:b w:val="0"/>
          <w:szCs w:val="22"/>
          <w:lang w:val="hy-AM" w:eastAsia="en-US"/>
        </w:rPr>
        <w:t xml:space="preserve"> %: Նույն ժա</w:t>
      </w:r>
      <w:r w:rsidRPr="00A14B59">
        <w:rPr>
          <w:rFonts w:cs="Sylfaen"/>
          <w:b w:val="0"/>
          <w:szCs w:val="22"/>
          <w:lang w:val="hy-AM" w:eastAsia="en-US"/>
        </w:rPr>
        <w:softHyphen/>
        <w:t>մա</w:t>
      </w:r>
      <w:r w:rsidRPr="00A14B59">
        <w:rPr>
          <w:rFonts w:cs="Sylfaen"/>
          <w:b w:val="0"/>
          <w:szCs w:val="22"/>
          <w:lang w:val="hy-AM" w:eastAsia="en-US"/>
        </w:rPr>
        <w:softHyphen/>
        <w:t>նա</w:t>
      </w:r>
      <w:r w:rsidRPr="00A14B59">
        <w:rPr>
          <w:rFonts w:cs="Sylfaen"/>
          <w:b w:val="0"/>
          <w:szCs w:val="22"/>
          <w:lang w:val="hy-AM" w:eastAsia="en-US"/>
        </w:rPr>
        <w:softHyphen/>
        <w:t>կա</w:t>
      </w:r>
      <w:r w:rsidRPr="00A14B59">
        <w:rPr>
          <w:rFonts w:cs="Sylfaen"/>
          <w:b w:val="0"/>
          <w:szCs w:val="22"/>
          <w:lang w:val="hy-AM" w:eastAsia="en-US"/>
        </w:rPr>
        <w:softHyphen/>
        <w:t>հատ</w:t>
      </w:r>
      <w:r w:rsidRPr="00A14B59">
        <w:rPr>
          <w:rFonts w:cs="Sylfaen"/>
          <w:b w:val="0"/>
          <w:szCs w:val="22"/>
          <w:lang w:val="hy-AM" w:eastAsia="en-US"/>
        </w:rPr>
        <w:softHyphen/>
        <w:t>վա</w:t>
      </w:r>
      <w:r w:rsidRPr="00A14B59">
        <w:rPr>
          <w:rFonts w:cs="Sylfaen"/>
          <w:b w:val="0"/>
          <w:szCs w:val="22"/>
          <w:lang w:val="hy-AM" w:eastAsia="en-US"/>
        </w:rPr>
        <w:softHyphen/>
        <w:t>ծում ոչ ֆինանսական ակտիվների գծով զուտ ծախ</w:t>
      </w:r>
      <w:r w:rsidRPr="00A14B59">
        <w:rPr>
          <w:rFonts w:cs="Sylfaen"/>
          <w:b w:val="0"/>
          <w:szCs w:val="22"/>
          <w:lang w:val="hy-AM" w:eastAsia="en-US"/>
        </w:rPr>
        <w:softHyphen/>
        <w:t>սերի հարա</w:t>
      </w:r>
      <w:r w:rsidRPr="00A14B59">
        <w:rPr>
          <w:rFonts w:cs="Sylfaen"/>
          <w:b w:val="0"/>
          <w:szCs w:val="22"/>
          <w:lang w:val="hy-AM" w:eastAsia="en-US"/>
        </w:rPr>
        <w:softHyphen/>
        <w:t>բե</w:t>
      </w:r>
      <w:r w:rsidRPr="00A14B59">
        <w:rPr>
          <w:rFonts w:cs="Sylfaen"/>
          <w:b w:val="0"/>
          <w:szCs w:val="22"/>
          <w:lang w:val="hy-AM" w:eastAsia="en-US"/>
        </w:rPr>
        <w:softHyphen/>
        <w:t>րակ</w:t>
      </w:r>
      <w:r w:rsidRPr="00A14B59">
        <w:rPr>
          <w:rFonts w:cs="Sylfaen"/>
          <w:b w:val="0"/>
          <w:szCs w:val="22"/>
          <w:lang w:val="hy-AM" w:eastAsia="en-US"/>
        </w:rPr>
        <w:softHyphen/>
        <w:t>ցությունները ՀՆԱ-ի նկատ</w:t>
      </w:r>
      <w:r w:rsidRPr="00A14B59">
        <w:rPr>
          <w:rFonts w:cs="Sylfaen"/>
          <w:b w:val="0"/>
          <w:szCs w:val="22"/>
          <w:lang w:val="hy-AM" w:eastAsia="en-US"/>
        </w:rPr>
        <w:softHyphen/>
        <w:t xml:space="preserve">մամբ կազմում է </w:t>
      </w:r>
      <w:r w:rsidRPr="00A14B59">
        <w:rPr>
          <w:rFonts w:cs="Sylfaen"/>
          <w:b w:val="0"/>
          <w:szCs w:val="22"/>
          <w:lang w:val="af-ZA" w:eastAsia="en-US"/>
        </w:rPr>
        <w:t>5.88</w:t>
      </w:r>
      <w:r w:rsidRPr="00A14B59">
        <w:rPr>
          <w:rFonts w:cs="Sylfaen"/>
          <w:b w:val="0"/>
          <w:szCs w:val="22"/>
          <w:lang w:val="hy-AM" w:eastAsia="en-US"/>
        </w:rPr>
        <w:t xml:space="preserve">%: </w:t>
      </w:r>
    </w:p>
    <w:p w:rsidR="00833D38" w:rsidRPr="00A14B59" w:rsidRDefault="00833D38" w:rsidP="00833D38">
      <w:pPr>
        <w:spacing w:after="200"/>
        <w:rPr>
          <w:b w:val="0"/>
          <w:bCs/>
          <w:color w:val="5B9BD5"/>
          <w:sz w:val="18"/>
          <w:szCs w:val="18"/>
          <w:lang w:val="hy-AM"/>
        </w:rPr>
      </w:pPr>
      <w:bookmarkStart w:id="273" w:name="_Toc57631761"/>
      <w:bookmarkStart w:id="274" w:name="_Toc83752674"/>
      <w:bookmarkStart w:id="275" w:name="_Toc83928946"/>
      <w:bookmarkStart w:id="276" w:name="_Toc115255380"/>
      <w:bookmarkStart w:id="277" w:name="_Toc120805267"/>
      <w:r w:rsidRPr="00A14B59">
        <w:rPr>
          <w:b w:val="0"/>
          <w:bCs/>
          <w:color w:val="5B9BD5"/>
          <w:sz w:val="18"/>
          <w:szCs w:val="18"/>
          <w:lang w:val="hy-AM"/>
        </w:rPr>
        <w:t xml:space="preserve">Աղյուսակ </w:t>
      </w:r>
      <w:r w:rsidRPr="00A14B59">
        <w:rPr>
          <w:b w:val="0"/>
          <w:bCs/>
          <w:color w:val="5B9BD5"/>
          <w:sz w:val="18"/>
          <w:szCs w:val="18"/>
        </w:rPr>
        <w:fldChar w:fldCharType="begin"/>
      </w:r>
      <w:r w:rsidRPr="00A14B59">
        <w:rPr>
          <w:b w:val="0"/>
          <w:bCs/>
          <w:color w:val="5B9BD5"/>
          <w:sz w:val="18"/>
          <w:szCs w:val="18"/>
          <w:lang w:val="hy-AM"/>
        </w:rPr>
        <w:instrText xml:space="preserve"> SEQ Աղյուսակ \* ARABIC </w:instrText>
      </w:r>
      <w:r w:rsidRPr="00A14B59">
        <w:rPr>
          <w:b w:val="0"/>
          <w:bCs/>
          <w:color w:val="5B9BD5"/>
          <w:sz w:val="18"/>
          <w:szCs w:val="18"/>
        </w:rPr>
        <w:fldChar w:fldCharType="separate"/>
      </w:r>
      <w:r w:rsidR="008177DF">
        <w:rPr>
          <w:b w:val="0"/>
          <w:bCs/>
          <w:noProof/>
          <w:color w:val="5B9BD5"/>
          <w:sz w:val="18"/>
          <w:szCs w:val="18"/>
          <w:lang w:val="hy-AM"/>
        </w:rPr>
        <w:t>8</w:t>
      </w:r>
      <w:r w:rsidRPr="00A14B59">
        <w:rPr>
          <w:b w:val="0"/>
          <w:bCs/>
          <w:color w:val="5B9BD5"/>
          <w:sz w:val="18"/>
          <w:szCs w:val="18"/>
        </w:rPr>
        <w:fldChar w:fldCharType="end"/>
      </w:r>
      <w:r w:rsidRPr="00A14B59">
        <w:rPr>
          <w:rFonts w:ascii="Cambria Math" w:hAnsi="Cambria Math" w:cs="Cambria Math"/>
          <w:b w:val="0"/>
          <w:bCs/>
          <w:color w:val="5B9BD5"/>
          <w:sz w:val="18"/>
          <w:szCs w:val="18"/>
          <w:lang w:val="hy-AM"/>
        </w:rPr>
        <w:t>․</w:t>
      </w:r>
      <w:r w:rsidRPr="00A14B59">
        <w:rPr>
          <w:b w:val="0"/>
          <w:bCs/>
          <w:color w:val="5B9BD5"/>
          <w:sz w:val="18"/>
          <w:szCs w:val="18"/>
          <w:lang w:val="af-ZA"/>
        </w:rPr>
        <w:t xml:space="preserve"> </w:t>
      </w:r>
      <w:r w:rsidRPr="00A14B59">
        <w:rPr>
          <w:bCs/>
          <w:i/>
          <w:color w:val="5B9BD5"/>
          <w:sz w:val="20"/>
          <w:szCs w:val="20"/>
          <w:lang w:val="af-ZA"/>
        </w:rPr>
        <w:t>201</w:t>
      </w:r>
      <w:r w:rsidRPr="00A14B59">
        <w:rPr>
          <w:bCs/>
          <w:i/>
          <w:color w:val="5B9BD5"/>
          <w:sz w:val="20"/>
          <w:szCs w:val="20"/>
          <w:lang w:val="hy-AM"/>
        </w:rPr>
        <w:t>9</w:t>
      </w:r>
      <w:r w:rsidRPr="00A14B59">
        <w:rPr>
          <w:bCs/>
          <w:i/>
          <w:color w:val="5B9BD5"/>
          <w:sz w:val="20"/>
          <w:szCs w:val="20"/>
          <w:lang w:val="af-ZA"/>
        </w:rPr>
        <w:t>-202</w:t>
      </w:r>
      <w:r w:rsidRPr="00A14B59">
        <w:rPr>
          <w:bCs/>
          <w:i/>
          <w:color w:val="5B9BD5"/>
          <w:sz w:val="20"/>
          <w:szCs w:val="20"/>
          <w:lang w:val="hy-AM"/>
        </w:rPr>
        <w:t>3թթ</w:t>
      </w:r>
      <w:r w:rsidRPr="00A14B59">
        <w:rPr>
          <w:bCs/>
          <w:i/>
          <w:color w:val="5B9BD5"/>
          <w:sz w:val="20"/>
          <w:szCs w:val="20"/>
          <w:lang w:val="af-ZA"/>
        </w:rPr>
        <w:t xml:space="preserve"> </w:t>
      </w:r>
      <w:r w:rsidRPr="00A14B59">
        <w:rPr>
          <w:bCs/>
          <w:i/>
          <w:color w:val="5B9BD5"/>
          <w:sz w:val="20"/>
          <w:szCs w:val="20"/>
          <w:lang w:val="hy-AM"/>
        </w:rPr>
        <w:t>ընթացիկ</w:t>
      </w:r>
      <w:r w:rsidRPr="00A14B59">
        <w:rPr>
          <w:bCs/>
          <w:i/>
          <w:color w:val="5B9BD5"/>
          <w:sz w:val="20"/>
          <w:szCs w:val="20"/>
          <w:lang w:val="af-ZA"/>
        </w:rPr>
        <w:t xml:space="preserve"> </w:t>
      </w:r>
      <w:r w:rsidRPr="00A14B59">
        <w:rPr>
          <w:bCs/>
          <w:i/>
          <w:color w:val="5B9BD5"/>
          <w:sz w:val="20"/>
          <w:szCs w:val="20"/>
          <w:lang w:val="hy-AM"/>
        </w:rPr>
        <w:t>և</w:t>
      </w:r>
      <w:r w:rsidRPr="00A14B59">
        <w:rPr>
          <w:bCs/>
          <w:i/>
          <w:color w:val="5B9BD5"/>
          <w:sz w:val="20"/>
          <w:szCs w:val="20"/>
          <w:lang w:val="af-ZA"/>
        </w:rPr>
        <w:t xml:space="preserve"> </w:t>
      </w:r>
      <w:r w:rsidRPr="00A14B59">
        <w:rPr>
          <w:bCs/>
          <w:i/>
          <w:color w:val="5B9BD5"/>
          <w:sz w:val="20"/>
          <w:szCs w:val="20"/>
          <w:lang w:val="hy-AM"/>
        </w:rPr>
        <w:t>ոչ</w:t>
      </w:r>
      <w:r w:rsidRPr="00A14B59">
        <w:rPr>
          <w:bCs/>
          <w:i/>
          <w:color w:val="5B9BD5"/>
          <w:sz w:val="20"/>
          <w:szCs w:val="20"/>
          <w:lang w:val="af-ZA"/>
        </w:rPr>
        <w:t xml:space="preserve"> </w:t>
      </w:r>
      <w:r w:rsidRPr="00A14B59">
        <w:rPr>
          <w:bCs/>
          <w:i/>
          <w:color w:val="5B9BD5"/>
          <w:sz w:val="20"/>
          <w:szCs w:val="20"/>
          <w:lang w:val="hy-AM"/>
        </w:rPr>
        <w:t>ֆինանսական</w:t>
      </w:r>
      <w:r w:rsidRPr="00A14B59">
        <w:rPr>
          <w:bCs/>
          <w:i/>
          <w:color w:val="5B9BD5"/>
          <w:sz w:val="20"/>
          <w:szCs w:val="20"/>
          <w:lang w:val="af-ZA"/>
        </w:rPr>
        <w:t xml:space="preserve"> </w:t>
      </w:r>
      <w:r w:rsidRPr="00A14B59">
        <w:rPr>
          <w:bCs/>
          <w:i/>
          <w:color w:val="5B9BD5"/>
          <w:sz w:val="20"/>
          <w:szCs w:val="20"/>
          <w:lang w:val="hy-AM"/>
        </w:rPr>
        <w:t>ակտիվների</w:t>
      </w:r>
      <w:r w:rsidRPr="00A14B59">
        <w:rPr>
          <w:bCs/>
          <w:i/>
          <w:color w:val="5B9BD5"/>
          <w:sz w:val="20"/>
          <w:szCs w:val="20"/>
          <w:lang w:val="af-ZA"/>
        </w:rPr>
        <w:t xml:space="preserve"> </w:t>
      </w:r>
      <w:r w:rsidRPr="00A14B59">
        <w:rPr>
          <w:bCs/>
          <w:i/>
          <w:color w:val="5B9BD5"/>
          <w:sz w:val="20"/>
          <w:szCs w:val="20"/>
          <w:lang w:val="hy-AM"/>
        </w:rPr>
        <w:t>գծով</w:t>
      </w:r>
      <w:r w:rsidRPr="00A14B59">
        <w:rPr>
          <w:bCs/>
          <w:i/>
          <w:color w:val="5B9BD5"/>
          <w:sz w:val="20"/>
          <w:szCs w:val="20"/>
          <w:lang w:val="af-ZA"/>
        </w:rPr>
        <w:t xml:space="preserve"> </w:t>
      </w:r>
      <w:r w:rsidRPr="00A14B59">
        <w:rPr>
          <w:bCs/>
          <w:i/>
          <w:color w:val="5B9BD5"/>
          <w:sz w:val="20"/>
          <w:szCs w:val="20"/>
          <w:lang w:val="hy-AM"/>
        </w:rPr>
        <w:t>ծախսերի</w:t>
      </w:r>
      <w:r w:rsidRPr="00A14B59">
        <w:rPr>
          <w:bCs/>
          <w:i/>
          <w:color w:val="5B9BD5"/>
          <w:sz w:val="20"/>
          <w:szCs w:val="20"/>
          <w:lang w:val="af-ZA"/>
        </w:rPr>
        <w:t xml:space="preserve"> </w:t>
      </w:r>
      <w:r w:rsidRPr="00A14B59">
        <w:rPr>
          <w:bCs/>
          <w:i/>
          <w:color w:val="5B9BD5"/>
          <w:sz w:val="20"/>
          <w:szCs w:val="20"/>
          <w:lang w:val="hy-AM"/>
        </w:rPr>
        <w:t>փոփոխության</w:t>
      </w:r>
      <w:r w:rsidRPr="00A14B59">
        <w:rPr>
          <w:bCs/>
          <w:i/>
          <w:color w:val="5B9BD5"/>
          <w:sz w:val="20"/>
          <w:szCs w:val="20"/>
          <w:lang w:val="af-ZA"/>
        </w:rPr>
        <w:t xml:space="preserve"> </w:t>
      </w:r>
      <w:r w:rsidRPr="00A14B59">
        <w:rPr>
          <w:bCs/>
          <w:i/>
          <w:color w:val="5B9BD5"/>
          <w:sz w:val="20"/>
          <w:szCs w:val="20"/>
          <w:lang w:val="hy-AM"/>
        </w:rPr>
        <w:t>և</w:t>
      </w:r>
      <w:r w:rsidRPr="00A14B59">
        <w:rPr>
          <w:bCs/>
          <w:i/>
          <w:color w:val="5B9BD5"/>
          <w:sz w:val="20"/>
          <w:szCs w:val="20"/>
          <w:lang w:val="af-ZA"/>
        </w:rPr>
        <w:t xml:space="preserve"> </w:t>
      </w:r>
      <w:r w:rsidRPr="00A14B59">
        <w:rPr>
          <w:bCs/>
          <w:i/>
          <w:color w:val="5B9BD5"/>
          <w:sz w:val="20"/>
          <w:szCs w:val="20"/>
          <w:lang w:val="hy-AM"/>
        </w:rPr>
        <w:t>հարաբերակցության</w:t>
      </w:r>
      <w:r w:rsidRPr="00A14B59">
        <w:rPr>
          <w:bCs/>
          <w:i/>
          <w:color w:val="5B9BD5"/>
          <w:sz w:val="20"/>
          <w:szCs w:val="20"/>
          <w:lang w:val="af-ZA"/>
        </w:rPr>
        <w:t xml:space="preserve"> </w:t>
      </w:r>
      <w:r w:rsidRPr="00A14B59">
        <w:rPr>
          <w:bCs/>
          <w:i/>
          <w:color w:val="5B9BD5"/>
          <w:sz w:val="20"/>
          <w:szCs w:val="20"/>
          <w:lang w:val="hy-AM"/>
        </w:rPr>
        <w:t>միտումները</w:t>
      </w:r>
      <w:bookmarkEnd w:id="273"/>
      <w:bookmarkEnd w:id="274"/>
      <w:bookmarkEnd w:id="275"/>
      <w:bookmarkEnd w:id="276"/>
      <w:bookmarkEnd w:id="277"/>
      <w:r w:rsidRPr="00A14B59">
        <w:rPr>
          <w:bCs/>
          <w:i/>
          <w:color w:val="5B9BD5"/>
          <w:sz w:val="20"/>
          <w:szCs w:val="20"/>
          <w:lang w:val="hy-AM"/>
        </w:rPr>
        <w:t xml:space="preserve">   </w:t>
      </w:r>
    </w:p>
    <w:tbl>
      <w:tblPr>
        <w:tblW w:w="10633" w:type="dxa"/>
        <w:tblInd w:w="-436" w:type="dxa"/>
        <w:tblLayout w:type="fixed"/>
        <w:tblLook w:val="04A0" w:firstRow="1" w:lastRow="0" w:firstColumn="1" w:lastColumn="0" w:noHBand="0" w:noVBand="1"/>
      </w:tblPr>
      <w:tblGrid>
        <w:gridCol w:w="4048"/>
        <w:gridCol w:w="1210"/>
        <w:gridCol w:w="1210"/>
        <w:gridCol w:w="1285"/>
        <w:gridCol w:w="1604"/>
        <w:gridCol w:w="1276"/>
      </w:tblGrid>
      <w:tr w:rsidR="00833D38" w:rsidRPr="00A14B59" w:rsidTr="000D1FAE">
        <w:trPr>
          <w:trHeight w:val="300"/>
        </w:trPr>
        <w:tc>
          <w:tcPr>
            <w:tcW w:w="4048" w:type="dxa"/>
            <w:vMerge w:val="restart"/>
            <w:tcBorders>
              <w:top w:val="single" w:sz="8" w:space="0" w:color="auto"/>
              <w:left w:val="single" w:sz="8" w:space="0" w:color="auto"/>
              <w:bottom w:val="single" w:sz="8" w:space="0" w:color="000000"/>
              <w:right w:val="single" w:sz="8" w:space="0" w:color="auto"/>
            </w:tcBorders>
            <w:shd w:val="clear" w:color="000000" w:fill="2E74B5"/>
            <w:vAlign w:val="center"/>
            <w:hideMark/>
          </w:tcPr>
          <w:p w:rsidR="00833D38" w:rsidRPr="00A14B59" w:rsidRDefault="00833D38" w:rsidP="000D1FAE">
            <w:pPr>
              <w:spacing w:before="0" w:line="240" w:lineRule="auto"/>
              <w:ind w:firstLine="0"/>
              <w:contextualSpacing w:val="0"/>
              <w:jc w:val="center"/>
              <w:rPr>
                <w:rFonts w:cs="Calibri"/>
                <w:b w:val="0"/>
                <w:color w:val="FFFFFF"/>
                <w:sz w:val="20"/>
                <w:szCs w:val="20"/>
                <w:lang w:val="en-US" w:eastAsia="en-US"/>
              </w:rPr>
            </w:pPr>
            <w:bookmarkStart w:id="278" w:name="RANGE!B6"/>
            <w:bookmarkStart w:id="279" w:name="_Toc52223577"/>
            <w:r w:rsidRPr="00A14B59">
              <w:rPr>
                <w:rFonts w:cs="Calibri"/>
                <w:b w:val="0"/>
                <w:color w:val="FFFFFF"/>
                <w:sz w:val="20"/>
                <w:szCs w:val="20"/>
                <w:lang w:val="en-US" w:eastAsia="en-US"/>
              </w:rPr>
              <w:t>Ցուցանիշներ</w:t>
            </w:r>
            <w:bookmarkEnd w:id="278"/>
          </w:p>
        </w:tc>
        <w:tc>
          <w:tcPr>
            <w:tcW w:w="1210" w:type="dxa"/>
            <w:tcBorders>
              <w:top w:val="single" w:sz="8" w:space="0" w:color="auto"/>
              <w:left w:val="nil"/>
              <w:bottom w:val="nil"/>
              <w:right w:val="single" w:sz="8" w:space="0" w:color="auto"/>
            </w:tcBorders>
            <w:shd w:val="clear" w:color="000000" w:fill="2E74B5"/>
            <w:vAlign w:val="center"/>
            <w:hideMark/>
          </w:tcPr>
          <w:p w:rsidR="00833D38" w:rsidRPr="00A14B59" w:rsidRDefault="00833D38" w:rsidP="000D1FAE">
            <w:pPr>
              <w:spacing w:before="0" w:line="240" w:lineRule="auto"/>
              <w:ind w:firstLine="0"/>
              <w:contextualSpacing w:val="0"/>
              <w:jc w:val="center"/>
              <w:rPr>
                <w:rFonts w:cs="Calibri"/>
                <w:b w:val="0"/>
                <w:color w:val="FFFFFF"/>
                <w:sz w:val="20"/>
                <w:szCs w:val="20"/>
                <w:lang w:val="en-US" w:eastAsia="en-US"/>
              </w:rPr>
            </w:pPr>
            <w:r w:rsidRPr="00A14B59">
              <w:rPr>
                <w:rFonts w:cs="Calibri"/>
                <w:b w:val="0"/>
                <w:color w:val="FFFFFF"/>
                <w:sz w:val="20"/>
                <w:szCs w:val="20"/>
                <w:lang w:val="en-US" w:eastAsia="en-US"/>
              </w:rPr>
              <w:t>201</w:t>
            </w:r>
            <w:r w:rsidRPr="00A14B59">
              <w:rPr>
                <w:rFonts w:cs="Calibri"/>
                <w:b w:val="0"/>
                <w:color w:val="FFFFFF"/>
                <w:sz w:val="20"/>
                <w:szCs w:val="20"/>
                <w:lang w:val="hy-AM" w:eastAsia="en-US"/>
              </w:rPr>
              <w:t>9</w:t>
            </w:r>
            <w:r w:rsidRPr="00A14B59">
              <w:rPr>
                <w:rFonts w:cs="Calibri"/>
                <w:b w:val="0"/>
                <w:color w:val="FFFFFF"/>
                <w:sz w:val="20"/>
                <w:szCs w:val="20"/>
                <w:lang w:val="en-US" w:eastAsia="en-US"/>
              </w:rPr>
              <w:t>թ.</w:t>
            </w:r>
          </w:p>
        </w:tc>
        <w:tc>
          <w:tcPr>
            <w:tcW w:w="1210" w:type="dxa"/>
            <w:tcBorders>
              <w:top w:val="single" w:sz="8" w:space="0" w:color="auto"/>
              <w:left w:val="nil"/>
              <w:bottom w:val="nil"/>
              <w:right w:val="single" w:sz="8" w:space="0" w:color="auto"/>
            </w:tcBorders>
            <w:shd w:val="clear" w:color="000000" w:fill="2E74B5"/>
            <w:vAlign w:val="center"/>
            <w:hideMark/>
          </w:tcPr>
          <w:p w:rsidR="00833D38" w:rsidRPr="00A14B59" w:rsidRDefault="00833D38" w:rsidP="000D1FAE">
            <w:pPr>
              <w:spacing w:before="0" w:line="240" w:lineRule="auto"/>
              <w:ind w:firstLine="0"/>
              <w:contextualSpacing w:val="0"/>
              <w:jc w:val="center"/>
              <w:rPr>
                <w:rFonts w:cs="Calibri"/>
                <w:b w:val="0"/>
                <w:color w:val="FFFFFF"/>
                <w:sz w:val="20"/>
                <w:szCs w:val="20"/>
                <w:lang w:val="en-US" w:eastAsia="en-US"/>
              </w:rPr>
            </w:pPr>
            <w:r w:rsidRPr="00A14B59">
              <w:rPr>
                <w:rFonts w:cs="Calibri"/>
                <w:b w:val="0"/>
                <w:color w:val="FFFFFF"/>
                <w:sz w:val="20"/>
                <w:szCs w:val="20"/>
                <w:lang w:val="en-US" w:eastAsia="en-US"/>
              </w:rPr>
              <w:t>2020թ.</w:t>
            </w:r>
          </w:p>
        </w:tc>
        <w:tc>
          <w:tcPr>
            <w:tcW w:w="1285" w:type="dxa"/>
            <w:tcBorders>
              <w:top w:val="single" w:sz="8" w:space="0" w:color="auto"/>
              <w:left w:val="nil"/>
              <w:bottom w:val="nil"/>
              <w:right w:val="single" w:sz="8" w:space="0" w:color="auto"/>
            </w:tcBorders>
            <w:shd w:val="clear" w:color="000000" w:fill="2E74B5"/>
            <w:vAlign w:val="center"/>
            <w:hideMark/>
          </w:tcPr>
          <w:p w:rsidR="00833D38" w:rsidRPr="00A14B59" w:rsidRDefault="00833D38" w:rsidP="000D1FAE">
            <w:pPr>
              <w:spacing w:before="0" w:line="240" w:lineRule="auto"/>
              <w:ind w:firstLine="0"/>
              <w:contextualSpacing w:val="0"/>
              <w:jc w:val="center"/>
              <w:rPr>
                <w:rFonts w:cs="Calibri"/>
                <w:b w:val="0"/>
                <w:color w:val="FFFFFF"/>
                <w:sz w:val="20"/>
                <w:szCs w:val="20"/>
                <w:lang w:val="en-US" w:eastAsia="en-US"/>
              </w:rPr>
            </w:pPr>
            <w:r w:rsidRPr="00A14B59">
              <w:rPr>
                <w:rFonts w:cs="Calibri"/>
                <w:b w:val="0"/>
                <w:color w:val="FFFFFF"/>
                <w:sz w:val="20"/>
                <w:szCs w:val="20"/>
                <w:lang w:val="en-US" w:eastAsia="en-US"/>
              </w:rPr>
              <w:t>202</w:t>
            </w:r>
            <w:r w:rsidRPr="00A14B59">
              <w:rPr>
                <w:rFonts w:cs="Calibri"/>
                <w:b w:val="0"/>
                <w:color w:val="FFFFFF"/>
                <w:sz w:val="20"/>
                <w:szCs w:val="20"/>
                <w:lang w:val="hy-AM" w:eastAsia="en-US"/>
              </w:rPr>
              <w:t>1</w:t>
            </w:r>
            <w:r w:rsidRPr="00A14B59">
              <w:rPr>
                <w:rFonts w:cs="Calibri"/>
                <w:b w:val="0"/>
                <w:color w:val="FFFFFF"/>
                <w:sz w:val="20"/>
                <w:szCs w:val="20"/>
                <w:lang w:val="en-US" w:eastAsia="en-US"/>
              </w:rPr>
              <w:t>թ.</w:t>
            </w:r>
          </w:p>
        </w:tc>
        <w:tc>
          <w:tcPr>
            <w:tcW w:w="1604" w:type="dxa"/>
            <w:vMerge w:val="restart"/>
            <w:tcBorders>
              <w:top w:val="single" w:sz="8" w:space="0" w:color="auto"/>
              <w:left w:val="single" w:sz="8" w:space="0" w:color="auto"/>
              <w:bottom w:val="single" w:sz="8" w:space="0" w:color="000000"/>
              <w:right w:val="single" w:sz="8" w:space="0" w:color="auto"/>
            </w:tcBorders>
            <w:shd w:val="clear" w:color="000000" w:fill="2E74B5"/>
            <w:vAlign w:val="center"/>
            <w:hideMark/>
          </w:tcPr>
          <w:p w:rsidR="00833D38" w:rsidRPr="00A14B59" w:rsidRDefault="00833D38" w:rsidP="000D1FAE">
            <w:pPr>
              <w:spacing w:before="0" w:line="240" w:lineRule="auto"/>
              <w:ind w:firstLine="0"/>
              <w:contextualSpacing w:val="0"/>
              <w:jc w:val="center"/>
              <w:rPr>
                <w:rFonts w:cs="Calibri"/>
                <w:b w:val="0"/>
                <w:color w:val="FFFFFF"/>
                <w:sz w:val="20"/>
                <w:szCs w:val="20"/>
                <w:lang w:val="en-US" w:eastAsia="en-US"/>
              </w:rPr>
            </w:pPr>
            <w:r w:rsidRPr="00A14B59">
              <w:rPr>
                <w:rFonts w:cs="Calibri"/>
                <w:b w:val="0"/>
                <w:color w:val="FFFFFF"/>
                <w:sz w:val="20"/>
                <w:szCs w:val="20"/>
                <w:lang w:val="en-US" w:eastAsia="en-US"/>
              </w:rPr>
              <w:t>202</w:t>
            </w:r>
            <w:r w:rsidRPr="00540FFA">
              <w:rPr>
                <w:rFonts w:cs="Calibri"/>
                <w:b w:val="0"/>
                <w:color w:val="FFFFFF"/>
                <w:sz w:val="20"/>
                <w:szCs w:val="20"/>
                <w:lang w:val="en-US" w:eastAsia="en-US"/>
              </w:rPr>
              <w:t>2</w:t>
            </w:r>
            <w:r w:rsidRPr="00A14B59">
              <w:rPr>
                <w:rFonts w:cs="Calibri"/>
                <w:b w:val="0"/>
                <w:color w:val="FFFFFF"/>
                <w:sz w:val="20"/>
                <w:szCs w:val="20"/>
                <w:lang w:val="en-US" w:eastAsia="en-US"/>
              </w:rPr>
              <w:t>թ. հաստատված</w:t>
            </w:r>
          </w:p>
        </w:tc>
        <w:tc>
          <w:tcPr>
            <w:tcW w:w="1276" w:type="dxa"/>
            <w:tcBorders>
              <w:top w:val="single" w:sz="8" w:space="0" w:color="auto"/>
              <w:left w:val="nil"/>
              <w:bottom w:val="nil"/>
              <w:right w:val="single" w:sz="8" w:space="0" w:color="auto"/>
            </w:tcBorders>
            <w:shd w:val="clear" w:color="000000" w:fill="2E74B5"/>
            <w:vAlign w:val="center"/>
            <w:hideMark/>
          </w:tcPr>
          <w:p w:rsidR="00833D38" w:rsidRPr="00A14B59" w:rsidRDefault="00833D38" w:rsidP="000D1FAE">
            <w:pPr>
              <w:spacing w:before="0" w:line="240" w:lineRule="auto"/>
              <w:ind w:firstLine="0"/>
              <w:contextualSpacing w:val="0"/>
              <w:jc w:val="center"/>
              <w:rPr>
                <w:rFonts w:cs="Calibri"/>
                <w:b w:val="0"/>
                <w:color w:val="FFFFFF"/>
                <w:sz w:val="20"/>
                <w:szCs w:val="20"/>
                <w:lang w:val="en-US" w:eastAsia="en-US"/>
              </w:rPr>
            </w:pPr>
            <w:r w:rsidRPr="00A14B59">
              <w:rPr>
                <w:rFonts w:cs="Calibri"/>
                <w:b w:val="0"/>
                <w:color w:val="FFFFFF"/>
                <w:sz w:val="20"/>
                <w:szCs w:val="20"/>
                <w:lang w:val="en-US" w:eastAsia="en-US"/>
              </w:rPr>
              <w:t>202</w:t>
            </w:r>
            <w:r w:rsidRPr="00A14B59">
              <w:rPr>
                <w:rFonts w:cs="Calibri"/>
                <w:b w:val="0"/>
                <w:color w:val="FFFFFF"/>
                <w:sz w:val="20"/>
                <w:szCs w:val="20"/>
                <w:lang w:val="hy-AM" w:eastAsia="en-US"/>
              </w:rPr>
              <w:t>3</w:t>
            </w:r>
            <w:r w:rsidRPr="00A14B59">
              <w:rPr>
                <w:rFonts w:cs="Calibri"/>
                <w:b w:val="0"/>
                <w:color w:val="FFFFFF"/>
                <w:sz w:val="20"/>
                <w:szCs w:val="20"/>
                <w:lang w:val="en-US" w:eastAsia="en-US"/>
              </w:rPr>
              <w:t>թ.</w:t>
            </w:r>
          </w:p>
        </w:tc>
      </w:tr>
      <w:tr w:rsidR="00833D38" w:rsidRPr="00A14B59" w:rsidTr="000D1FAE">
        <w:trPr>
          <w:trHeight w:val="555"/>
        </w:trPr>
        <w:tc>
          <w:tcPr>
            <w:tcW w:w="4048" w:type="dxa"/>
            <w:vMerge/>
            <w:tcBorders>
              <w:top w:val="single" w:sz="8" w:space="0" w:color="auto"/>
              <w:left w:val="single" w:sz="8" w:space="0" w:color="auto"/>
              <w:bottom w:val="single" w:sz="8" w:space="0" w:color="000000"/>
              <w:right w:val="single" w:sz="8" w:space="0" w:color="auto"/>
            </w:tcBorders>
            <w:vAlign w:val="center"/>
            <w:hideMark/>
          </w:tcPr>
          <w:p w:rsidR="00833D38" w:rsidRPr="00A14B59" w:rsidRDefault="00833D38" w:rsidP="000D1FAE">
            <w:pPr>
              <w:spacing w:before="0" w:line="240" w:lineRule="auto"/>
              <w:ind w:firstLine="0"/>
              <w:contextualSpacing w:val="0"/>
              <w:jc w:val="left"/>
              <w:rPr>
                <w:rFonts w:cs="Calibri"/>
                <w:b w:val="0"/>
                <w:color w:val="FFFFFF"/>
                <w:sz w:val="20"/>
                <w:szCs w:val="20"/>
                <w:lang w:val="en-US" w:eastAsia="en-US"/>
              </w:rPr>
            </w:pPr>
          </w:p>
        </w:tc>
        <w:tc>
          <w:tcPr>
            <w:tcW w:w="1210" w:type="dxa"/>
            <w:tcBorders>
              <w:top w:val="nil"/>
              <w:left w:val="nil"/>
              <w:bottom w:val="single" w:sz="8" w:space="0" w:color="auto"/>
              <w:right w:val="single" w:sz="8" w:space="0" w:color="auto"/>
            </w:tcBorders>
            <w:shd w:val="clear" w:color="000000" w:fill="2E74B5"/>
            <w:vAlign w:val="center"/>
            <w:hideMark/>
          </w:tcPr>
          <w:p w:rsidR="00833D38" w:rsidRPr="00A14B59" w:rsidRDefault="00833D38" w:rsidP="000D1FAE">
            <w:pPr>
              <w:spacing w:before="0" w:line="240" w:lineRule="auto"/>
              <w:ind w:firstLine="0"/>
              <w:contextualSpacing w:val="0"/>
              <w:jc w:val="center"/>
              <w:rPr>
                <w:rFonts w:cs="Calibri"/>
                <w:b w:val="0"/>
                <w:color w:val="FFFFFF"/>
                <w:sz w:val="20"/>
                <w:szCs w:val="20"/>
                <w:lang w:val="en-US" w:eastAsia="en-US"/>
              </w:rPr>
            </w:pPr>
            <w:r w:rsidRPr="00A14B59">
              <w:rPr>
                <w:rFonts w:cs="Calibri"/>
                <w:b w:val="0"/>
                <w:color w:val="FFFFFF"/>
                <w:sz w:val="20"/>
                <w:szCs w:val="20"/>
                <w:lang w:val="en-US" w:eastAsia="en-US"/>
              </w:rPr>
              <w:t>փաստացի</w:t>
            </w:r>
          </w:p>
        </w:tc>
        <w:tc>
          <w:tcPr>
            <w:tcW w:w="1210" w:type="dxa"/>
            <w:tcBorders>
              <w:top w:val="nil"/>
              <w:left w:val="nil"/>
              <w:bottom w:val="single" w:sz="8" w:space="0" w:color="auto"/>
              <w:right w:val="single" w:sz="8" w:space="0" w:color="auto"/>
            </w:tcBorders>
            <w:shd w:val="clear" w:color="000000" w:fill="2E74B5"/>
            <w:vAlign w:val="center"/>
            <w:hideMark/>
          </w:tcPr>
          <w:p w:rsidR="00833D38" w:rsidRPr="00A14B59" w:rsidRDefault="00833D38" w:rsidP="000D1FAE">
            <w:pPr>
              <w:spacing w:before="0" w:line="240" w:lineRule="auto"/>
              <w:ind w:firstLine="0"/>
              <w:contextualSpacing w:val="0"/>
              <w:jc w:val="center"/>
              <w:rPr>
                <w:rFonts w:cs="Calibri"/>
                <w:b w:val="0"/>
                <w:color w:val="FFFFFF"/>
                <w:sz w:val="20"/>
                <w:szCs w:val="20"/>
                <w:lang w:val="en-US" w:eastAsia="en-US"/>
              </w:rPr>
            </w:pPr>
            <w:r w:rsidRPr="00A14B59">
              <w:rPr>
                <w:rFonts w:cs="Calibri"/>
                <w:b w:val="0"/>
                <w:color w:val="FFFFFF"/>
                <w:sz w:val="20"/>
                <w:szCs w:val="20"/>
                <w:lang w:val="en-US" w:eastAsia="en-US"/>
              </w:rPr>
              <w:t>փաստացի</w:t>
            </w:r>
          </w:p>
        </w:tc>
        <w:tc>
          <w:tcPr>
            <w:tcW w:w="1285" w:type="dxa"/>
            <w:tcBorders>
              <w:top w:val="nil"/>
              <w:left w:val="nil"/>
              <w:bottom w:val="single" w:sz="8" w:space="0" w:color="auto"/>
              <w:right w:val="single" w:sz="8" w:space="0" w:color="auto"/>
            </w:tcBorders>
            <w:shd w:val="clear" w:color="000000" w:fill="2E74B5"/>
            <w:vAlign w:val="center"/>
            <w:hideMark/>
          </w:tcPr>
          <w:p w:rsidR="00833D38" w:rsidRPr="00A14B59" w:rsidRDefault="00833D38" w:rsidP="000D1FAE">
            <w:pPr>
              <w:spacing w:before="0" w:line="240" w:lineRule="auto"/>
              <w:ind w:firstLine="0"/>
              <w:contextualSpacing w:val="0"/>
              <w:jc w:val="center"/>
              <w:rPr>
                <w:rFonts w:cs="Calibri"/>
                <w:b w:val="0"/>
                <w:color w:val="FFFFFF"/>
                <w:sz w:val="20"/>
                <w:szCs w:val="20"/>
                <w:lang w:val="en-US" w:eastAsia="en-US"/>
              </w:rPr>
            </w:pPr>
            <w:r w:rsidRPr="00A14B59">
              <w:rPr>
                <w:rFonts w:cs="Calibri"/>
                <w:b w:val="0"/>
                <w:color w:val="FFFFFF"/>
                <w:sz w:val="20"/>
                <w:szCs w:val="20"/>
                <w:lang w:val="en-US" w:eastAsia="en-US"/>
              </w:rPr>
              <w:t>փաստացի</w:t>
            </w:r>
          </w:p>
        </w:tc>
        <w:tc>
          <w:tcPr>
            <w:tcW w:w="1604" w:type="dxa"/>
            <w:vMerge/>
            <w:tcBorders>
              <w:top w:val="single" w:sz="8" w:space="0" w:color="auto"/>
              <w:left w:val="single" w:sz="8" w:space="0" w:color="auto"/>
              <w:bottom w:val="single" w:sz="8" w:space="0" w:color="000000"/>
              <w:right w:val="single" w:sz="8" w:space="0" w:color="auto"/>
            </w:tcBorders>
            <w:vAlign w:val="center"/>
            <w:hideMark/>
          </w:tcPr>
          <w:p w:rsidR="00833D38" w:rsidRPr="00A14B59" w:rsidRDefault="00833D38" w:rsidP="000D1FAE">
            <w:pPr>
              <w:spacing w:before="0" w:line="240" w:lineRule="auto"/>
              <w:ind w:firstLine="0"/>
              <w:contextualSpacing w:val="0"/>
              <w:jc w:val="left"/>
              <w:rPr>
                <w:rFonts w:cs="Calibri"/>
                <w:b w:val="0"/>
                <w:color w:val="FFFFFF"/>
                <w:sz w:val="20"/>
                <w:szCs w:val="20"/>
                <w:lang w:val="en-US" w:eastAsia="en-US"/>
              </w:rPr>
            </w:pPr>
          </w:p>
        </w:tc>
        <w:tc>
          <w:tcPr>
            <w:tcW w:w="1276" w:type="dxa"/>
            <w:tcBorders>
              <w:top w:val="nil"/>
              <w:left w:val="nil"/>
              <w:bottom w:val="single" w:sz="8" w:space="0" w:color="auto"/>
              <w:right w:val="single" w:sz="8" w:space="0" w:color="auto"/>
            </w:tcBorders>
            <w:shd w:val="clear" w:color="000000" w:fill="2E74B5"/>
            <w:vAlign w:val="center"/>
            <w:hideMark/>
          </w:tcPr>
          <w:p w:rsidR="00833D38" w:rsidRPr="00A14B59" w:rsidRDefault="00833D38" w:rsidP="000D1FAE">
            <w:pPr>
              <w:spacing w:before="0" w:line="240" w:lineRule="auto"/>
              <w:ind w:firstLine="0"/>
              <w:contextualSpacing w:val="0"/>
              <w:jc w:val="center"/>
              <w:rPr>
                <w:rFonts w:cs="Calibri"/>
                <w:b w:val="0"/>
                <w:color w:val="FFFFFF"/>
                <w:sz w:val="20"/>
                <w:szCs w:val="20"/>
                <w:lang w:val="en-US" w:eastAsia="en-US"/>
              </w:rPr>
            </w:pPr>
            <w:r w:rsidRPr="00A14B59">
              <w:rPr>
                <w:rFonts w:cs="Calibri"/>
                <w:b w:val="0"/>
                <w:color w:val="FFFFFF"/>
                <w:sz w:val="20"/>
                <w:szCs w:val="20"/>
                <w:lang w:val="en-US" w:eastAsia="en-US"/>
              </w:rPr>
              <w:t>բյուջեի նախագիծ</w:t>
            </w:r>
          </w:p>
        </w:tc>
      </w:tr>
      <w:tr w:rsidR="00833D38" w:rsidRPr="00A14B59" w:rsidTr="000D1FAE">
        <w:trPr>
          <w:trHeight w:val="300"/>
        </w:trPr>
        <w:tc>
          <w:tcPr>
            <w:tcW w:w="4048" w:type="dxa"/>
            <w:tcBorders>
              <w:top w:val="nil"/>
              <w:left w:val="single" w:sz="8" w:space="0" w:color="auto"/>
              <w:bottom w:val="nil"/>
              <w:right w:val="single" w:sz="8" w:space="0" w:color="auto"/>
            </w:tcBorders>
            <w:shd w:val="clear" w:color="000000" w:fill="D5DCE4"/>
            <w:vAlign w:val="center"/>
            <w:hideMark/>
          </w:tcPr>
          <w:p w:rsidR="00833D38" w:rsidRPr="00A14B59" w:rsidRDefault="00833D38" w:rsidP="000D1FAE">
            <w:pPr>
              <w:spacing w:before="0" w:line="240" w:lineRule="auto"/>
              <w:ind w:firstLine="0"/>
              <w:contextualSpacing w:val="0"/>
              <w:rPr>
                <w:rFonts w:cs="Calibri"/>
                <w:bCs/>
                <w:color w:val="000000"/>
                <w:sz w:val="20"/>
                <w:szCs w:val="20"/>
                <w:lang w:val="en-US" w:eastAsia="en-US"/>
              </w:rPr>
            </w:pPr>
            <w:r w:rsidRPr="00A14B59">
              <w:rPr>
                <w:rFonts w:cs="Calibri"/>
                <w:bCs/>
                <w:color w:val="000000"/>
                <w:sz w:val="20"/>
                <w:szCs w:val="20"/>
                <w:lang w:val="en-US" w:eastAsia="en-US"/>
              </w:rPr>
              <w:t xml:space="preserve">ԸՆԴԱՄԵՆԸ ԾԱԽՍԵՐ, </w:t>
            </w:r>
          </w:p>
        </w:tc>
        <w:tc>
          <w:tcPr>
            <w:tcW w:w="1210" w:type="dxa"/>
            <w:vMerge w:val="restart"/>
            <w:tcBorders>
              <w:top w:val="nil"/>
              <w:left w:val="single" w:sz="8" w:space="0" w:color="auto"/>
              <w:bottom w:val="single" w:sz="8" w:space="0" w:color="000000"/>
              <w:right w:val="single" w:sz="8" w:space="0" w:color="auto"/>
            </w:tcBorders>
            <w:shd w:val="clear" w:color="000000" w:fill="D5DCE4"/>
            <w:vAlign w:val="center"/>
            <w:hideMark/>
          </w:tcPr>
          <w:p w:rsidR="00833D38" w:rsidRPr="00A14B59" w:rsidRDefault="00833D38" w:rsidP="000D1FAE">
            <w:pPr>
              <w:spacing w:before="0" w:line="240" w:lineRule="auto"/>
              <w:ind w:firstLine="0"/>
              <w:contextualSpacing w:val="0"/>
              <w:jc w:val="center"/>
              <w:rPr>
                <w:rFonts w:cs="Calibri"/>
                <w:b w:val="0"/>
                <w:color w:val="000000"/>
                <w:sz w:val="18"/>
                <w:szCs w:val="18"/>
                <w:lang w:val="en-US" w:eastAsia="en-US"/>
              </w:rPr>
            </w:pPr>
            <w:r w:rsidRPr="00A14B59">
              <w:rPr>
                <w:rFonts w:cs="Calibri"/>
                <w:b w:val="0"/>
                <w:color w:val="000000"/>
                <w:sz w:val="18"/>
                <w:szCs w:val="18"/>
                <w:lang w:val="en-US" w:eastAsia="en-US"/>
              </w:rPr>
              <w:t>1,629,437</w:t>
            </w:r>
          </w:p>
        </w:tc>
        <w:tc>
          <w:tcPr>
            <w:tcW w:w="1210" w:type="dxa"/>
            <w:vMerge w:val="restart"/>
            <w:tcBorders>
              <w:top w:val="nil"/>
              <w:left w:val="single" w:sz="8" w:space="0" w:color="auto"/>
              <w:bottom w:val="single" w:sz="8" w:space="0" w:color="000000"/>
              <w:right w:val="single" w:sz="8" w:space="0" w:color="auto"/>
            </w:tcBorders>
            <w:shd w:val="clear" w:color="000000" w:fill="D5DCE4"/>
            <w:vAlign w:val="center"/>
            <w:hideMark/>
          </w:tcPr>
          <w:p w:rsidR="00833D38" w:rsidRPr="00A14B59" w:rsidRDefault="00833D38" w:rsidP="000D1FAE">
            <w:pPr>
              <w:spacing w:before="0" w:line="240" w:lineRule="auto"/>
              <w:ind w:firstLine="0"/>
              <w:contextualSpacing w:val="0"/>
              <w:jc w:val="center"/>
              <w:rPr>
                <w:rFonts w:cs="Calibri"/>
                <w:b w:val="0"/>
                <w:color w:val="000000"/>
                <w:sz w:val="18"/>
                <w:szCs w:val="18"/>
                <w:lang w:val="en-US" w:eastAsia="en-US"/>
              </w:rPr>
            </w:pPr>
            <w:r w:rsidRPr="00A14B59">
              <w:rPr>
                <w:rFonts w:cs="Calibri"/>
                <w:b w:val="0"/>
                <w:color w:val="000000"/>
                <w:sz w:val="18"/>
                <w:szCs w:val="18"/>
                <w:lang w:val="en-US" w:eastAsia="en-US"/>
              </w:rPr>
              <w:t>1,894,647</w:t>
            </w:r>
          </w:p>
        </w:tc>
        <w:tc>
          <w:tcPr>
            <w:tcW w:w="1285" w:type="dxa"/>
            <w:vMerge w:val="restart"/>
            <w:tcBorders>
              <w:top w:val="nil"/>
              <w:left w:val="single" w:sz="8" w:space="0" w:color="auto"/>
              <w:bottom w:val="single" w:sz="8" w:space="0" w:color="000000"/>
              <w:right w:val="single" w:sz="8" w:space="0" w:color="auto"/>
            </w:tcBorders>
            <w:shd w:val="clear" w:color="000000" w:fill="D5DCE4"/>
            <w:vAlign w:val="center"/>
          </w:tcPr>
          <w:p w:rsidR="00833D38" w:rsidRPr="00A14B59" w:rsidRDefault="00833D38" w:rsidP="000D1FAE">
            <w:pPr>
              <w:spacing w:before="0" w:line="240" w:lineRule="auto"/>
              <w:ind w:firstLine="0"/>
              <w:contextualSpacing w:val="0"/>
              <w:jc w:val="center"/>
              <w:rPr>
                <w:rFonts w:cs="Calibri"/>
                <w:b w:val="0"/>
                <w:color w:val="000000"/>
                <w:sz w:val="18"/>
                <w:szCs w:val="18"/>
                <w:lang w:val="en-US" w:eastAsia="en-US"/>
              </w:rPr>
            </w:pPr>
            <w:r w:rsidRPr="00A14B59">
              <w:rPr>
                <w:rFonts w:cs="Calibri"/>
                <w:b w:val="0"/>
                <w:color w:val="000000"/>
                <w:sz w:val="18"/>
                <w:szCs w:val="18"/>
                <w:lang w:val="en-US" w:eastAsia="en-US"/>
              </w:rPr>
              <w:t>2,004,301</w:t>
            </w:r>
          </w:p>
        </w:tc>
        <w:tc>
          <w:tcPr>
            <w:tcW w:w="1604" w:type="dxa"/>
            <w:vMerge w:val="restart"/>
            <w:tcBorders>
              <w:top w:val="single" w:sz="8" w:space="0" w:color="000000"/>
              <w:left w:val="single" w:sz="8" w:space="0" w:color="auto"/>
              <w:bottom w:val="single" w:sz="8" w:space="0" w:color="000000"/>
              <w:right w:val="single" w:sz="8" w:space="0" w:color="auto"/>
            </w:tcBorders>
            <w:shd w:val="clear" w:color="000000" w:fill="D5DCE4"/>
            <w:vAlign w:val="center"/>
          </w:tcPr>
          <w:p w:rsidR="00833D38" w:rsidRPr="00A14B59" w:rsidRDefault="00833D38" w:rsidP="00540FFA">
            <w:pPr>
              <w:spacing w:before="0" w:line="240" w:lineRule="auto"/>
              <w:ind w:firstLine="0"/>
              <w:contextualSpacing w:val="0"/>
              <w:jc w:val="center"/>
              <w:rPr>
                <w:rFonts w:cs="Calibri"/>
                <w:b w:val="0"/>
                <w:color w:val="000000"/>
                <w:sz w:val="18"/>
                <w:szCs w:val="18"/>
                <w:lang w:val="en-US" w:eastAsia="en-US"/>
              </w:rPr>
            </w:pPr>
            <w:r w:rsidRPr="00A14B59">
              <w:rPr>
                <w:rFonts w:cs="Calibri"/>
                <w:b w:val="0"/>
                <w:color w:val="000000"/>
                <w:sz w:val="18"/>
                <w:szCs w:val="18"/>
                <w:lang w:val="en-US" w:eastAsia="en-US"/>
              </w:rPr>
              <w:t>2,184,040</w:t>
            </w:r>
          </w:p>
        </w:tc>
        <w:tc>
          <w:tcPr>
            <w:tcW w:w="1276" w:type="dxa"/>
            <w:vMerge w:val="restart"/>
            <w:tcBorders>
              <w:top w:val="nil"/>
              <w:left w:val="nil"/>
              <w:right w:val="single" w:sz="8" w:space="0" w:color="auto"/>
            </w:tcBorders>
            <w:shd w:val="clear" w:color="000000" w:fill="D5DCE4"/>
            <w:vAlign w:val="center"/>
          </w:tcPr>
          <w:p w:rsidR="00833D38" w:rsidRPr="005A6458" w:rsidRDefault="00833D38" w:rsidP="000D1FAE">
            <w:pPr>
              <w:spacing w:before="0" w:line="240" w:lineRule="auto"/>
              <w:ind w:firstLine="0"/>
              <w:contextualSpacing w:val="0"/>
              <w:jc w:val="center"/>
              <w:rPr>
                <w:rFonts w:cs="Calibri"/>
                <w:b w:val="0"/>
                <w:color w:val="000000"/>
                <w:sz w:val="18"/>
                <w:szCs w:val="18"/>
                <w:lang w:val="en-US" w:eastAsia="en-US"/>
              </w:rPr>
            </w:pPr>
            <w:r w:rsidRPr="005A6458">
              <w:rPr>
                <w:rFonts w:cs="Calibri"/>
                <w:b w:val="0"/>
                <w:color w:val="000000"/>
                <w:sz w:val="18"/>
                <w:szCs w:val="18"/>
                <w:lang w:val="hy-AM"/>
              </w:rPr>
              <w:t>2,590,973</w:t>
            </w:r>
          </w:p>
        </w:tc>
      </w:tr>
      <w:tr w:rsidR="00833D38" w:rsidRPr="00A14B59" w:rsidTr="000D1FAE">
        <w:trPr>
          <w:trHeight w:val="60"/>
        </w:trPr>
        <w:tc>
          <w:tcPr>
            <w:tcW w:w="4048" w:type="dxa"/>
            <w:tcBorders>
              <w:top w:val="nil"/>
              <w:left w:val="single" w:sz="8" w:space="0" w:color="auto"/>
              <w:bottom w:val="nil"/>
              <w:right w:val="single" w:sz="8" w:space="0" w:color="auto"/>
            </w:tcBorders>
            <w:shd w:val="clear" w:color="000000" w:fill="D5DCE4"/>
            <w:vAlign w:val="center"/>
            <w:hideMark/>
          </w:tcPr>
          <w:p w:rsidR="00833D38" w:rsidRPr="00A14B59" w:rsidRDefault="00833D38" w:rsidP="000D1FAE">
            <w:pPr>
              <w:spacing w:before="0" w:line="240" w:lineRule="auto"/>
              <w:ind w:firstLine="0"/>
              <w:contextualSpacing w:val="0"/>
              <w:rPr>
                <w:rFonts w:cs="Calibri"/>
                <w:bCs/>
                <w:color w:val="000000"/>
                <w:sz w:val="20"/>
                <w:szCs w:val="20"/>
                <w:lang w:val="en-US" w:eastAsia="en-US"/>
              </w:rPr>
            </w:pPr>
            <w:r w:rsidRPr="00A14B59">
              <w:rPr>
                <w:rFonts w:cs="Calibri"/>
                <w:bCs/>
                <w:color w:val="000000"/>
                <w:sz w:val="20"/>
                <w:szCs w:val="20"/>
                <w:lang w:val="en-US" w:eastAsia="en-US"/>
              </w:rPr>
              <w:t>(մլն դրամ)</w:t>
            </w:r>
          </w:p>
        </w:tc>
        <w:tc>
          <w:tcPr>
            <w:tcW w:w="1210" w:type="dxa"/>
            <w:vMerge/>
            <w:tcBorders>
              <w:top w:val="nil"/>
              <w:left w:val="single" w:sz="8" w:space="0" w:color="auto"/>
              <w:bottom w:val="single" w:sz="8" w:space="0" w:color="000000"/>
              <w:right w:val="single" w:sz="8" w:space="0" w:color="auto"/>
            </w:tcBorders>
            <w:vAlign w:val="center"/>
            <w:hideMark/>
          </w:tcPr>
          <w:p w:rsidR="00833D38" w:rsidRPr="00A14B59" w:rsidRDefault="00833D38" w:rsidP="000D1FAE">
            <w:pPr>
              <w:spacing w:before="0" w:line="240" w:lineRule="auto"/>
              <w:ind w:firstLine="0"/>
              <w:contextualSpacing w:val="0"/>
              <w:jc w:val="center"/>
              <w:rPr>
                <w:rFonts w:cs="Calibri"/>
                <w:b w:val="0"/>
                <w:color w:val="000000"/>
                <w:sz w:val="18"/>
                <w:szCs w:val="18"/>
                <w:lang w:val="en-US" w:eastAsia="en-US"/>
              </w:rPr>
            </w:pPr>
          </w:p>
        </w:tc>
        <w:tc>
          <w:tcPr>
            <w:tcW w:w="1210" w:type="dxa"/>
            <w:vMerge/>
            <w:tcBorders>
              <w:top w:val="nil"/>
              <w:left w:val="single" w:sz="8" w:space="0" w:color="auto"/>
              <w:bottom w:val="single" w:sz="8" w:space="0" w:color="000000"/>
              <w:right w:val="single" w:sz="8" w:space="0" w:color="auto"/>
            </w:tcBorders>
            <w:vAlign w:val="center"/>
            <w:hideMark/>
          </w:tcPr>
          <w:p w:rsidR="00833D38" w:rsidRPr="00A14B59" w:rsidRDefault="00833D38" w:rsidP="000D1FAE">
            <w:pPr>
              <w:spacing w:before="0" w:line="240" w:lineRule="auto"/>
              <w:ind w:firstLine="0"/>
              <w:contextualSpacing w:val="0"/>
              <w:jc w:val="center"/>
              <w:rPr>
                <w:rFonts w:cs="Calibri"/>
                <w:b w:val="0"/>
                <w:color w:val="000000"/>
                <w:sz w:val="18"/>
                <w:szCs w:val="18"/>
                <w:lang w:val="en-US" w:eastAsia="en-US"/>
              </w:rPr>
            </w:pPr>
          </w:p>
        </w:tc>
        <w:tc>
          <w:tcPr>
            <w:tcW w:w="1285" w:type="dxa"/>
            <w:vMerge/>
            <w:tcBorders>
              <w:top w:val="nil"/>
              <w:left w:val="single" w:sz="8" w:space="0" w:color="auto"/>
              <w:bottom w:val="single" w:sz="8" w:space="0" w:color="000000"/>
              <w:right w:val="single" w:sz="8" w:space="0" w:color="auto"/>
            </w:tcBorders>
            <w:vAlign w:val="center"/>
          </w:tcPr>
          <w:p w:rsidR="00833D38" w:rsidRPr="00A14B59" w:rsidRDefault="00833D38" w:rsidP="000D1FAE">
            <w:pPr>
              <w:spacing w:before="0" w:line="240" w:lineRule="auto"/>
              <w:ind w:firstLine="0"/>
              <w:contextualSpacing w:val="0"/>
              <w:jc w:val="center"/>
              <w:rPr>
                <w:rFonts w:cs="Calibri"/>
                <w:b w:val="0"/>
                <w:color w:val="000000"/>
                <w:sz w:val="18"/>
                <w:szCs w:val="18"/>
                <w:lang w:val="en-US" w:eastAsia="en-US"/>
              </w:rPr>
            </w:pPr>
          </w:p>
        </w:tc>
        <w:tc>
          <w:tcPr>
            <w:tcW w:w="1604" w:type="dxa"/>
            <w:vMerge/>
            <w:tcBorders>
              <w:top w:val="single" w:sz="8" w:space="0" w:color="000000"/>
              <w:left w:val="single" w:sz="8" w:space="0" w:color="auto"/>
              <w:bottom w:val="single" w:sz="8" w:space="0" w:color="000000"/>
              <w:right w:val="single" w:sz="8" w:space="0" w:color="auto"/>
            </w:tcBorders>
            <w:vAlign w:val="center"/>
          </w:tcPr>
          <w:p w:rsidR="00833D38" w:rsidRPr="00A14B59" w:rsidRDefault="00833D38" w:rsidP="000D1FAE">
            <w:pPr>
              <w:spacing w:before="0" w:line="240" w:lineRule="auto"/>
              <w:ind w:firstLine="0"/>
              <w:contextualSpacing w:val="0"/>
              <w:jc w:val="center"/>
              <w:rPr>
                <w:rFonts w:cs="Calibri"/>
                <w:b w:val="0"/>
                <w:color w:val="000000"/>
                <w:sz w:val="18"/>
                <w:szCs w:val="18"/>
                <w:lang w:val="en-US" w:eastAsia="en-US"/>
              </w:rPr>
            </w:pPr>
          </w:p>
        </w:tc>
        <w:tc>
          <w:tcPr>
            <w:tcW w:w="1276" w:type="dxa"/>
            <w:vMerge/>
            <w:tcBorders>
              <w:left w:val="nil"/>
              <w:right w:val="single" w:sz="8" w:space="0" w:color="auto"/>
            </w:tcBorders>
            <w:shd w:val="clear" w:color="000000" w:fill="D5DCE4"/>
            <w:vAlign w:val="center"/>
          </w:tcPr>
          <w:p w:rsidR="00833D38" w:rsidRPr="005A6458" w:rsidRDefault="00833D38" w:rsidP="000D1FAE">
            <w:pPr>
              <w:spacing w:before="0" w:line="240" w:lineRule="auto"/>
              <w:ind w:firstLine="0"/>
              <w:contextualSpacing w:val="0"/>
              <w:jc w:val="center"/>
              <w:rPr>
                <w:rFonts w:cs="Calibri"/>
                <w:b w:val="0"/>
                <w:color w:val="000000"/>
                <w:sz w:val="18"/>
                <w:szCs w:val="18"/>
                <w:lang w:val="en-US" w:eastAsia="en-US"/>
              </w:rPr>
            </w:pPr>
          </w:p>
        </w:tc>
      </w:tr>
      <w:tr w:rsidR="00833D38" w:rsidRPr="00A14B59" w:rsidTr="000D1FAE">
        <w:trPr>
          <w:trHeight w:val="225"/>
        </w:trPr>
        <w:tc>
          <w:tcPr>
            <w:tcW w:w="4048" w:type="dxa"/>
            <w:tcBorders>
              <w:top w:val="nil"/>
              <w:left w:val="single" w:sz="8" w:space="0" w:color="auto"/>
              <w:bottom w:val="single" w:sz="8" w:space="0" w:color="000000"/>
              <w:right w:val="single" w:sz="8" w:space="0" w:color="auto"/>
            </w:tcBorders>
            <w:shd w:val="clear" w:color="000000" w:fill="D5DCE4"/>
            <w:vAlign w:val="center"/>
            <w:hideMark/>
          </w:tcPr>
          <w:p w:rsidR="00833D38" w:rsidRPr="00A14B59" w:rsidRDefault="00833D38" w:rsidP="000D1FAE">
            <w:pPr>
              <w:spacing w:before="0" w:line="240" w:lineRule="auto"/>
              <w:ind w:firstLine="0"/>
              <w:contextualSpacing w:val="0"/>
              <w:jc w:val="left"/>
              <w:rPr>
                <w:rFonts w:ascii="Calibri" w:hAnsi="Calibri" w:cs="Calibri"/>
                <w:b w:val="0"/>
                <w:color w:val="000000"/>
                <w:szCs w:val="22"/>
                <w:lang w:val="en-US" w:eastAsia="en-US"/>
              </w:rPr>
            </w:pPr>
          </w:p>
        </w:tc>
        <w:tc>
          <w:tcPr>
            <w:tcW w:w="1210" w:type="dxa"/>
            <w:vMerge/>
            <w:tcBorders>
              <w:top w:val="nil"/>
              <w:left w:val="single" w:sz="8" w:space="0" w:color="auto"/>
              <w:bottom w:val="single" w:sz="8" w:space="0" w:color="000000"/>
              <w:right w:val="single" w:sz="8" w:space="0" w:color="auto"/>
            </w:tcBorders>
            <w:vAlign w:val="center"/>
            <w:hideMark/>
          </w:tcPr>
          <w:p w:rsidR="00833D38" w:rsidRPr="00A14B59" w:rsidRDefault="00833D38" w:rsidP="000D1FAE">
            <w:pPr>
              <w:spacing w:before="0" w:line="240" w:lineRule="auto"/>
              <w:ind w:firstLine="0"/>
              <w:contextualSpacing w:val="0"/>
              <w:jc w:val="left"/>
              <w:rPr>
                <w:rFonts w:cs="Calibri"/>
                <w:b w:val="0"/>
                <w:color w:val="000000"/>
                <w:sz w:val="18"/>
                <w:szCs w:val="18"/>
                <w:lang w:val="en-US" w:eastAsia="en-US"/>
              </w:rPr>
            </w:pPr>
          </w:p>
        </w:tc>
        <w:tc>
          <w:tcPr>
            <w:tcW w:w="1210" w:type="dxa"/>
            <w:vMerge/>
            <w:tcBorders>
              <w:top w:val="nil"/>
              <w:left w:val="single" w:sz="8" w:space="0" w:color="auto"/>
              <w:bottom w:val="single" w:sz="8" w:space="0" w:color="000000"/>
              <w:right w:val="single" w:sz="8" w:space="0" w:color="auto"/>
            </w:tcBorders>
            <w:vAlign w:val="center"/>
            <w:hideMark/>
          </w:tcPr>
          <w:p w:rsidR="00833D38" w:rsidRPr="00A14B59" w:rsidRDefault="00833D38" w:rsidP="000D1FAE">
            <w:pPr>
              <w:spacing w:before="0" w:line="240" w:lineRule="auto"/>
              <w:ind w:firstLine="0"/>
              <w:contextualSpacing w:val="0"/>
              <w:jc w:val="left"/>
              <w:rPr>
                <w:rFonts w:cs="Calibri"/>
                <w:b w:val="0"/>
                <w:color w:val="000000"/>
                <w:sz w:val="18"/>
                <w:szCs w:val="18"/>
                <w:lang w:val="en-US" w:eastAsia="en-US"/>
              </w:rPr>
            </w:pPr>
          </w:p>
        </w:tc>
        <w:tc>
          <w:tcPr>
            <w:tcW w:w="1285" w:type="dxa"/>
            <w:vMerge/>
            <w:tcBorders>
              <w:top w:val="nil"/>
              <w:left w:val="single" w:sz="8" w:space="0" w:color="auto"/>
              <w:bottom w:val="single" w:sz="8" w:space="0" w:color="000000"/>
              <w:right w:val="single" w:sz="8" w:space="0" w:color="auto"/>
            </w:tcBorders>
            <w:vAlign w:val="center"/>
          </w:tcPr>
          <w:p w:rsidR="00833D38" w:rsidRPr="00A14B59" w:rsidRDefault="00833D38" w:rsidP="000D1FAE">
            <w:pPr>
              <w:spacing w:before="0" w:line="240" w:lineRule="auto"/>
              <w:ind w:firstLine="0"/>
              <w:contextualSpacing w:val="0"/>
              <w:jc w:val="center"/>
              <w:rPr>
                <w:rFonts w:cs="Calibri"/>
                <w:b w:val="0"/>
                <w:color w:val="000000"/>
                <w:sz w:val="18"/>
                <w:szCs w:val="18"/>
                <w:lang w:val="en-US" w:eastAsia="en-US"/>
              </w:rPr>
            </w:pPr>
          </w:p>
        </w:tc>
        <w:tc>
          <w:tcPr>
            <w:tcW w:w="1604" w:type="dxa"/>
            <w:vMerge/>
            <w:tcBorders>
              <w:top w:val="single" w:sz="8" w:space="0" w:color="000000"/>
              <w:left w:val="single" w:sz="8" w:space="0" w:color="auto"/>
              <w:bottom w:val="single" w:sz="8" w:space="0" w:color="000000"/>
              <w:right w:val="single" w:sz="8" w:space="0" w:color="auto"/>
            </w:tcBorders>
            <w:vAlign w:val="center"/>
          </w:tcPr>
          <w:p w:rsidR="00833D38" w:rsidRPr="00A14B59" w:rsidRDefault="00833D38" w:rsidP="000D1FAE">
            <w:pPr>
              <w:spacing w:before="0" w:line="240" w:lineRule="auto"/>
              <w:ind w:firstLine="0"/>
              <w:contextualSpacing w:val="0"/>
              <w:jc w:val="center"/>
              <w:rPr>
                <w:rFonts w:cs="Calibri"/>
                <w:b w:val="0"/>
                <w:color w:val="000000"/>
                <w:sz w:val="18"/>
                <w:szCs w:val="18"/>
                <w:lang w:val="en-US" w:eastAsia="en-US"/>
              </w:rPr>
            </w:pPr>
          </w:p>
        </w:tc>
        <w:tc>
          <w:tcPr>
            <w:tcW w:w="1276" w:type="dxa"/>
            <w:vMerge/>
            <w:tcBorders>
              <w:left w:val="nil"/>
              <w:bottom w:val="single" w:sz="8" w:space="0" w:color="000000"/>
              <w:right w:val="single" w:sz="8" w:space="0" w:color="auto"/>
            </w:tcBorders>
            <w:shd w:val="clear" w:color="000000" w:fill="D5DCE4"/>
            <w:vAlign w:val="center"/>
          </w:tcPr>
          <w:p w:rsidR="00833D38" w:rsidRPr="005A6458" w:rsidRDefault="00833D38" w:rsidP="000D1FAE">
            <w:pPr>
              <w:jc w:val="center"/>
              <w:rPr>
                <w:rFonts w:cs="Calibri"/>
                <w:b w:val="0"/>
                <w:color w:val="000000"/>
                <w:sz w:val="18"/>
                <w:szCs w:val="18"/>
                <w:lang w:val="en-US" w:eastAsia="en-US"/>
              </w:rPr>
            </w:pPr>
          </w:p>
        </w:tc>
      </w:tr>
      <w:tr w:rsidR="00833D38" w:rsidRPr="00A14B59" w:rsidTr="000D1FAE">
        <w:trPr>
          <w:trHeight w:val="315"/>
        </w:trPr>
        <w:tc>
          <w:tcPr>
            <w:tcW w:w="4048" w:type="dxa"/>
            <w:tcBorders>
              <w:top w:val="nil"/>
              <w:left w:val="single" w:sz="8" w:space="0" w:color="auto"/>
              <w:bottom w:val="single" w:sz="8" w:space="0" w:color="auto"/>
              <w:right w:val="single" w:sz="8" w:space="0" w:color="auto"/>
            </w:tcBorders>
            <w:shd w:val="clear" w:color="000000" w:fill="FFFFFF"/>
            <w:vAlign w:val="center"/>
            <w:hideMark/>
          </w:tcPr>
          <w:p w:rsidR="00833D38" w:rsidRPr="00A14B59" w:rsidRDefault="00833D38" w:rsidP="000D1FAE">
            <w:pPr>
              <w:spacing w:before="0" w:line="240" w:lineRule="auto"/>
              <w:ind w:firstLine="0"/>
              <w:contextualSpacing w:val="0"/>
              <w:rPr>
                <w:rFonts w:cs="Calibri"/>
                <w:b w:val="0"/>
                <w:color w:val="000000"/>
                <w:sz w:val="20"/>
                <w:szCs w:val="20"/>
                <w:lang w:val="en-US" w:eastAsia="en-US"/>
              </w:rPr>
            </w:pPr>
            <w:r w:rsidRPr="00A14B59">
              <w:rPr>
                <w:rFonts w:cs="Calibri"/>
                <w:b w:val="0"/>
                <w:color w:val="000000"/>
                <w:sz w:val="20"/>
                <w:szCs w:val="20"/>
                <w:lang w:val="en-US" w:eastAsia="en-US"/>
              </w:rPr>
              <w:t>այդ թվում՝</w:t>
            </w:r>
          </w:p>
        </w:tc>
        <w:tc>
          <w:tcPr>
            <w:tcW w:w="1210" w:type="dxa"/>
            <w:tcBorders>
              <w:top w:val="nil"/>
              <w:left w:val="nil"/>
              <w:bottom w:val="single" w:sz="8" w:space="0" w:color="auto"/>
              <w:right w:val="single" w:sz="8" w:space="0" w:color="auto"/>
            </w:tcBorders>
            <w:shd w:val="clear" w:color="000000" w:fill="FFFFFF"/>
            <w:vAlign w:val="center"/>
            <w:hideMark/>
          </w:tcPr>
          <w:p w:rsidR="00833D38" w:rsidRPr="00A14B59" w:rsidRDefault="00833D38" w:rsidP="000D1FAE">
            <w:pPr>
              <w:spacing w:before="0" w:line="240" w:lineRule="auto"/>
              <w:ind w:firstLine="0"/>
              <w:contextualSpacing w:val="0"/>
              <w:jc w:val="center"/>
              <w:rPr>
                <w:rFonts w:ascii="Calibri" w:hAnsi="Calibri" w:cs="Calibri"/>
                <w:b w:val="0"/>
                <w:color w:val="000000"/>
                <w:sz w:val="20"/>
                <w:szCs w:val="20"/>
                <w:lang w:val="en-US" w:eastAsia="en-US"/>
              </w:rPr>
            </w:pPr>
            <w:r w:rsidRPr="00A14B59">
              <w:rPr>
                <w:rFonts w:ascii="Calibri" w:hAnsi="Calibri" w:cs="Calibri"/>
                <w:b w:val="0"/>
                <w:color w:val="000000"/>
                <w:sz w:val="20"/>
                <w:szCs w:val="20"/>
                <w:lang w:val="en-US" w:eastAsia="en-US"/>
              </w:rPr>
              <w:t> </w:t>
            </w:r>
          </w:p>
        </w:tc>
        <w:tc>
          <w:tcPr>
            <w:tcW w:w="1210" w:type="dxa"/>
            <w:tcBorders>
              <w:top w:val="nil"/>
              <w:left w:val="nil"/>
              <w:bottom w:val="single" w:sz="8" w:space="0" w:color="auto"/>
              <w:right w:val="single" w:sz="8" w:space="0" w:color="auto"/>
            </w:tcBorders>
            <w:shd w:val="clear" w:color="000000" w:fill="FFFFFF"/>
            <w:vAlign w:val="center"/>
            <w:hideMark/>
          </w:tcPr>
          <w:p w:rsidR="00833D38" w:rsidRPr="00A14B59" w:rsidRDefault="00833D38" w:rsidP="000D1FAE">
            <w:pPr>
              <w:spacing w:before="0" w:line="240" w:lineRule="auto"/>
              <w:ind w:firstLine="0"/>
              <w:contextualSpacing w:val="0"/>
              <w:jc w:val="center"/>
              <w:rPr>
                <w:rFonts w:ascii="Calibri" w:hAnsi="Calibri" w:cs="Calibri"/>
                <w:b w:val="0"/>
                <w:color w:val="000000"/>
                <w:sz w:val="20"/>
                <w:szCs w:val="20"/>
                <w:lang w:val="en-US" w:eastAsia="en-US"/>
              </w:rPr>
            </w:pPr>
            <w:r w:rsidRPr="00A14B59">
              <w:rPr>
                <w:rFonts w:ascii="Calibri" w:hAnsi="Calibri" w:cs="Calibri"/>
                <w:b w:val="0"/>
                <w:color w:val="000000"/>
                <w:sz w:val="20"/>
                <w:szCs w:val="20"/>
                <w:lang w:val="en-US" w:eastAsia="en-US"/>
              </w:rPr>
              <w:t> </w:t>
            </w:r>
          </w:p>
        </w:tc>
        <w:tc>
          <w:tcPr>
            <w:tcW w:w="1285" w:type="dxa"/>
            <w:tcBorders>
              <w:top w:val="nil"/>
              <w:left w:val="nil"/>
              <w:bottom w:val="single" w:sz="8" w:space="0" w:color="auto"/>
              <w:right w:val="single" w:sz="8" w:space="0" w:color="auto"/>
            </w:tcBorders>
            <w:shd w:val="clear" w:color="000000" w:fill="FFFFFF"/>
            <w:vAlign w:val="center"/>
          </w:tcPr>
          <w:p w:rsidR="00833D38" w:rsidRPr="00A14B59" w:rsidRDefault="00833D38" w:rsidP="000D1FAE">
            <w:pPr>
              <w:spacing w:before="0" w:line="240" w:lineRule="auto"/>
              <w:ind w:firstLine="0"/>
              <w:contextualSpacing w:val="0"/>
              <w:jc w:val="center"/>
              <w:rPr>
                <w:rFonts w:cs="Calibri"/>
                <w:b w:val="0"/>
                <w:color w:val="000000"/>
                <w:sz w:val="18"/>
                <w:szCs w:val="18"/>
                <w:lang w:val="en-US" w:eastAsia="en-US"/>
              </w:rPr>
            </w:pPr>
            <w:r w:rsidRPr="00A14B59">
              <w:rPr>
                <w:rFonts w:ascii="Calibri" w:hAnsi="Calibri" w:cs="Calibri"/>
                <w:b w:val="0"/>
                <w:color w:val="000000"/>
                <w:sz w:val="18"/>
                <w:szCs w:val="18"/>
                <w:lang w:val="en-US" w:eastAsia="en-US"/>
              </w:rPr>
              <w:t> </w:t>
            </w:r>
          </w:p>
        </w:tc>
        <w:tc>
          <w:tcPr>
            <w:tcW w:w="1604" w:type="dxa"/>
            <w:tcBorders>
              <w:top w:val="nil"/>
              <w:left w:val="nil"/>
              <w:bottom w:val="single" w:sz="8" w:space="0" w:color="auto"/>
              <w:right w:val="single" w:sz="8" w:space="0" w:color="auto"/>
            </w:tcBorders>
            <w:shd w:val="clear" w:color="000000" w:fill="FFFFFF"/>
            <w:vAlign w:val="center"/>
          </w:tcPr>
          <w:p w:rsidR="00833D38" w:rsidRPr="00A14B59" w:rsidRDefault="00833D38" w:rsidP="000D1FAE">
            <w:pPr>
              <w:spacing w:before="0" w:line="240" w:lineRule="auto"/>
              <w:ind w:firstLine="0"/>
              <w:contextualSpacing w:val="0"/>
              <w:jc w:val="center"/>
              <w:rPr>
                <w:rFonts w:cs="Calibri"/>
                <w:b w:val="0"/>
                <w:color w:val="000000"/>
                <w:sz w:val="18"/>
                <w:szCs w:val="18"/>
                <w:lang w:val="en-US" w:eastAsia="en-US"/>
              </w:rPr>
            </w:pPr>
            <w:r w:rsidRPr="00A14B59">
              <w:rPr>
                <w:rFonts w:ascii="Calibri" w:hAnsi="Calibri" w:cs="Calibri"/>
                <w:b w:val="0"/>
                <w:color w:val="000000"/>
                <w:sz w:val="18"/>
                <w:szCs w:val="18"/>
                <w:lang w:val="en-US" w:eastAsia="en-US"/>
              </w:rPr>
              <w:t> </w:t>
            </w:r>
          </w:p>
        </w:tc>
        <w:tc>
          <w:tcPr>
            <w:tcW w:w="1276" w:type="dxa"/>
            <w:tcBorders>
              <w:top w:val="nil"/>
              <w:left w:val="nil"/>
              <w:bottom w:val="single" w:sz="8" w:space="0" w:color="auto"/>
              <w:right w:val="single" w:sz="8" w:space="0" w:color="auto"/>
            </w:tcBorders>
            <w:shd w:val="clear" w:color="000000" w:fill="FFFFFF"/>
            <w:vAlign w:val="center"/>
          </w:tcPr>
          <w:p w:rsidR="00833D38" w:rsidRPr="005A6458" w:rsidRDefault="00833D38" w:rsidP="000D1FAE">
            <w:pPr>
              <w:jc w:val="center"/>
              <w:rPr>
                <w:rFonts w:ascii="Calibri" w:hAnsi="Calibri" w:cs="Calibri"/>
                <w:b w:val="0"/>
                <w:color w:val="000000"/>
                <w:sz w:val="18"/>
                <w:szCs w:val="18"/>
              </w:rPr>
            </w:pPr>
            <w:r w:rsidRPr="005A6458">
              <w:rPr>
                <w:rFonts w:ascii="Calibri" w:hAnsi="Calibri" w:cs="Calibri"/>
                <w:b w:val="0"/>
                <w:color w:val="000000"/>
                <w:sz w:val="18"/>
                <w:szCs w:val="18"/>
              </w:rPr>
              <w:t> </w:t>
            </w:r>
          </w:p>
        </w:tc>
      </w:tr>
      <w:tr w:rsidR="00833D38" w:rsidRPr="00A14B59" w:rsidTr="000D1FAE">
        <w:trPr>
          <w:trHeight w:val="300"/>
        </w:trPr>
        <w:tc>
          <w:tcPr>
            <w:tcW w:w="4048" w:type="dxa"/>
            <w:vMerge w:val="restart"/>
            <w:tcBorders>
              <w:top w:val="nil"/>
              <w:left w:val="single" w:sz="8" w:space="0" w:color="auto"/>
              <w:bottom w:val="single" w:sz="8" w:space="0" w:color="000000"/>
              <w:right w:val="single" w:sz="8" w:space="0" w:color="auto"/>
            </w:tcBorders>
            <w:shd w:val="clear" w:color="000000" w:fill="D5DCE4"/>
            <w:vAlign w:val="center"/>
            <w:hideMark/>
          </w:tcPr>
          <w:p w:rsidR="00833D38" w:rsidRPr="00A14B59" w:rsidRDefault="00833D38" w:rsidP="000D1FAE">
            <w:pPr>
              <w:spacing w:before="0" w:line="240" w:lineRule="auto"/>
              <w:ind w:firstLine="0"/>
              <w:contextualSpacing w:val="0"/>
              <w:rPr>
                <w:rFonts w:cs="Calibri"/>
                <w:b w:val="0"/>
                <w:color w:val="000000"/>
                <w:sz w:val="20"/>
                <w:szCs w:val="20"/>
                <w:lang w:val="en-US" w:eastAsia="en-US"/>
              </w:rPr>
            </w:pPr>
            <w:r w:rsidRPr="00A14B59">
              <w:rPr>
                <w:rFonts w:cs="Calibri"/>
                <w:b w:val="0"/>
                <w:color w:val="000000"/>
                <w:sz w:val="20"/>
                <w:szCs w:val="20"/>
                <w:lang w:val="en-US" w:eastAsia="en-US"/>
              </w:rPr>
              <w:t>- ընթացիկ ծախսեր, (մլն դրամ)</w:t>
            </w:r>
          </w:p>
        </w:tc>
        <w:tc>
          <w:tcPr>
            <w:tcW w:w="1210" w:type="dxa"/>
            <w:vMerge w:val="restart"/>
            <w:tcBorders>
              <w:top w:val="nil"/>
              <w:left w:val="single" w:sz="8" w:space="0" w:color="auto"/>
              <w:bottom w:val="single" w:sz="8" w:space="0" w:color="000000"/>
              <w:right w:val="single" w:sz="8" w:space="0" w:color="auto"/>
            </w:tcBorders>
            <w:shd w:val="clear" w:color="000000" w:fill="D5DCE4"/>
            <w:vAlign w:val="center"/>
            <w:hideMark/>
          </w:tcPr>
          <w:p w:rsidR="00833D38" w:rsidRPr="00A14B59" w:rsidRDefault="00833D38" w:rsidP="000D1FAE">
            <w:pPr>
              <w:spacing w:before="0" w:line="240" w:lineRule="auto"/>
              <w:ind w:firstLine="0"/>
              <w:contextualSpacing w:val="0"/>
              <w:jc w:val="center"/>
              <w:rPr>
                <w:rFonts w:cs="Calibri"/>
                <w:b w:val="0"/>
                <w:color w:val="000000"/>
                <w:sz w:val="18"/>
                <w:szCs w:val="18"/>
                <w:lang w:val="en-US" w:eastAsia="en-US"/>
              </w:rPr>
            </w:pPr>
            <w:r w:rsidRPr="00A14B59">
              <w:rPr>
                <w:rFonts w:cs="Calibri"/>
                <w:b w:val="0"/>
                <w:color w:val="000000"/>
                <w:sz w:val="18"/>
                <w:szCs w:val="18"/>
                <w:lang w:val="en-US" w:eastAsia="en-US"/>
              </w:rPr>
              <w:t>1,436,420</w:t>
            </w:r>
          </w:p>
        </w:tc>
        <w:tc>
          <w:tcPr>
            <w:tcW w:w="1210" w:type="dxa"/>
            <w:vMerge w:val="restart"/>
            <w:tcBorders>
              <w:top w:val="nil"/>
              <w:left w:val="single" w:sz="8" w:space="0" w:color="auto"/>
              <w:bottom w:val="single" w:sz="8" w:space="0" w:color="000000"/>
              <w:right w:val="single" w:sz="8" w:space="0" w:color="auto"/>
            </w:tcBorders>
            <w:shd w:val="clear" w:color="000000" w:fill="D5DCE4"/>
            <w:vAlign w:val="center"/>
            <w:hideMark/>
          </w:tcPr>
          <w:p w:rsidR="00833D38" w:rsidRPr="00A14B59" w:rsidRDefault="00833D38" w:rsidP="000D1FAE">
            <w:pPr>
              <w:ind w:firstLine="0"/>
              <w:jc w:val="center"/>
              <w:rPr>
                <w:rFonts w:cs="Calibri"/>
                <w:b w:val="0"/>
                <w:color w:val="000000"/>
                <w:sz w:val="18"/>
                <w:szCs w:val="18"/>
                <w:lang w:val="en-US" w:eastAsia="en-US"/>
              </w:rPr>
            </w:pPr>
            <w:r w:rsidRPr="00A14B59">
              <w:rPr>
                <w:rFonts w:cs="Calibri"/>
                <w:b w:val="0"/>
                <w:color w:val="000000"/>
                <w:sz w:val="18"/>
                <w:szCs w:val="18"/>
                <w:lang w:val="en-US" w:eastAsia="en-US"/>
              </w:rPr>
              <w:t>1,666,949</w:t>
            </w:r>
          </w:p>
        </w:tc>
        <w:tc>
          <w:tcPr>
            <w:tcW w:w="1285" w:type="dxa"/>
            <w:vMerge w:val="restart"/>
            <w:tcBorders>
              <w:top w:val="nil"/>
              <w:left w:val="single" w:sz="8" w:space="0" w:color="auto"/>
              <w:bottom w:val="single" w:sz="8" w:space="0" w:color="000000"/>
              <w:right w:val="single" w:sz="8" w:space="0" w:color="auto"/>
            </w:tcBorders>
            <w:shd w:val="clear" w:color="000000" w:fill="D5DCE4"/>
            <w:vAlign w:val="center"/>
          </w:tcPr>
          <w:p w:rsidR="00833D38" w:rsidRPr="00A14B59" w:rsidRDefault="00833D38" w:rsidP="000D1FAE">
            <w:pPr>
              <w:spacing w:before="0" w:line="240" w:lineRule="auto"/>
              <w:ind w:firstLine="0"/>
              <w:contextualSpacing w:val="0"/>
              <w:jc w:val="center"/>
              <w:rPr>
                <w:rFonts w:cs="Calibri"/>
                <w:b w:val="0"/>
                <w:color w:val="000000"/>
                <w:sz w:val="18"/>
                <w:szCs w:val="18"/>
                <w:lang w:val="en-US" w:eastAsia="en-US"/>
              </w:rPr>
            </w:pPr>
            <w:r w:rsidRPr="00A14B59">
              <w:rPr>
                <w:rFonts w:cs="Calibri"/>
                <w:b w:val="0"/>
                <w:color w:val="000000"/>
                <w:sz w:val="18"/>
                <w:szCs w:val="18"/>
                <w:lang w:val="en-US" w:eastAsia="en-US"/>
              </w:rPr>
              <w:t>1,791,856</w:t>
            </w:r>
          </w:p>
        </w:tc>
        <w:tc>
          <w:tcPr>
            <w:tcW w:w="1604" w:type="dxa"/>
            <w:vMerge w:val="restart"/>
            <w:tcBorders>
              <w:top w:val="nil"/>
              <w:left w:val="single" w:sz="8" w:space="0" w:color="auto"/>
              <w:bottom w:val="single" w:sz="8" w:space="0" w:color="000000"/>
              <w:right w:val="single" w:sz="8" w:space="0" w:color="auto"/>
            </w:tcBorders>
            <w:shd w:val="clear" w:color="000000" w:fill="D5DCE4"/>
            <w:vAlign w:val="center"/>
          </w:tcPr>
          <w:p w:rsidR="00833D38" w:rsidRPr="00A14B59" w:rsidRDefault="00833D38" w:rsidP="000D1FAE">
            <w:pPr>
              <w:spacing w:before="0" w:line="240" w:lineRule="auto"/>
              <w:ind w:firstLine="0"/>
              <w:contextualSpacing w:val="0"/>
              <w:jc w:val="center"/>
              <w:rPr>
                <w:rFonts w:cs="Calibri"/>
                <w:b w:val="0"/>
                <w:color w:val="000000"/>
                <w:sz w:val="18"/>
                <w:szCs w:val="18"/>
                <w:lang w:val="en-US" w:eastAsia="en-US"/>
              </w:rPr>
            </w:pPr>
            <w:r w:rsidRPr="00A14B59">
              <w:rPr>
                <w:rFonts w:cs="Calibri"/>
                <w:b w:val="0"/>
                <w:color w:val="000000"/>
                <w:sz w:val="18"/>
                <w:szCs w:val="18"/>
                <w:lang w:val="en-US" w:eastAsia="en-US"/>
              </w:rPr>
              <w:t>1,842,155</w:t>
            </w:r>
          </w:p>
        </w:tc>
        <w:tc>
          <w:tcPr>
            <w:tcW w:w="1276" w:type="dxa"/>
            <w:vMerge w:val="restart"/>
            <w:tcBorders>
              <w:top w:val="nil"/>
              <w:left w:val="single" w:sz="8" w:space="0" w:color="auto"/>
              <w:bottom w:val="single" w:sz="8" w:space="0" w:color="000000"/>
              <w:right w:val="single" w:sz="8" w:space="0" w:color="auto"/>
            </w:tcBorders>
            <w:shd w:val="clear" w:color="000000" w:fill="D5DCE4"/>
            <w:vAlign w:val="center"/>
          </w:tcPr>
          <w:p w:rsidR="00833D38" w:rsidRPr="005A6458" w:rsidRDefault="00833D38" w:rsidP="000D1FAE">
            <w:pPr>
              <w:ind w:firstLine="0"/>
              <w:jc w:val="center"/>
              <w:rPr>
                <w:rFonts w:cs="Calibri"/>
                <w:b w:val="0"/>
                <w:color w:val="000000"/>
                <w:sz w:val="18"/>
                <w:szCs w:val="18"/>
              </w:rPr>
            </w:pPr>
            <w:r w:rsidRPr="005A6458">
              <w:rPr>
                <w:rFonts w:cs="Calibri"/>
                <w:b w:val="0"/>
                <w:color w:val="000000"/>
                <w:sz w:val="18"/>
                <w:szCs w:val="18"/>
              </w:rPr>
              <w:t>2,043,313</w:t>
            </w:r>
          </w:p>
        </w:tc>
      </w:tr>
      <w:tr w:rsidR="00833D38" w:rsidRPr="00A14B59" w:rsidTr="000D1FAE">
        <w:trPr>
          <w:trHeight w:val="482"/>
        </w:trPr>
        <w:tc>
          <w:tcPr>
            <w:tcW w:w="4048" w:type="dxa"/>
            <w:vMerge/>
            <w:tcBorders>
              <w:top w:val="nil"/>
              <w:left w:val="single" w:sz="8" w:space="0" w:color="auto"/>
              <w:bottom w:val="single" w:sz="8" w:space="0" w:color="000000"/>
              <w:right w:val="single" w:sz="8" w:space="0" w:color="auto"/>
            </w:tcBorders>
            <w:vAlign w:val="center"/>
            <w:hideMark/>
          </w:tcPr>
          <w:p w:rsidR="00833D38" w:rsidRPr="00A14B59" w:rsidRDefault="00833D38" w:rsidP="000D1FAE">
            <w:pPr>
              <w:spacing w:before="0" w:line="240" w:lineRule="auto"/>
              <w:ind w:firstLine="0"/>
              <w:contextualSpacing w:val="0"/>
              <w:jc w:val="left"/>
              <w:rPr>
                <w:rFonts w:cs="Calibri"/>
                <w:b w:val="0"/>
                <w:color w:val="000000"/>
                <w:sz w:val="20"/>
                <w:szCs w:val="20"/>
                <w:lang w:val="en-US" w:eastAsia="en-US"/>
              </w:rPr>
            </w:pPr>
          </w:p>
        </w:tc>
        <w:tc>
          <w:tcPr>
            <w:tcW w:w="1210" w:type="dxa"/>
            <w:vMerge/>
            <w:tcBorders>
              <w:top w:val="nil"/>
              <w:left w:val="single" w:sz="8" w:space="0" w:color="auto"/>
              <w:bottom w:val="single" w:sz="8" w:space="0" w:color="000000"/>
              <w:right w:val="single" w:sz="8" w:space="0" w:color="auto"/>
            </w:tcBorders>
            <w:vAlign w:val="center"/>
            <w:hideMark/>
          </w:tcPr>
          <w:p w:rsidR="00833D38" w:rsidRPr="00A14B59" w:rsidRDefault="00833D38" w:rsidP="000D1FAE">
            <w:pPr>
              <w:spacing w:before="0" w:line="240" w:lineRule="auto"/>
              <w:ind w:firstLine="0"/>
              <w:contextualSpacing w:val="0"/>
              <w:jc w:val="center"/>
              <w:rPr>
                <w:rFonts w:cs="Calibri"/>
                <w:b w:val="0"/>
                <w:color w:val="000000"/>
                <w:sz w:val="18"/>
                <w:szCs w:val="18"/>
                <w:lang w:val="en-US" w:eastAsia="en-US"/>
              </w:rPr>
            </w:pPr>
          </w:p>
        </w:tc>
        <w:tc>
          <w:tcPr>
            <w:tcW w:w="1210" w:type="dxa"/>
            <w:vMerge/>
            <w:tcBorders>
              <w:top w:val="nil"/>
              <w:left w:val="single" w:sz="8" w:space="0" w:color="auto"/>
              <w:bottom w:val="single" w:sz="8" w:space="0" w:color="000000"/>
              <w:right w:val="single" w:sz="8" w:space="0" w:color="auto"/>
            </w:tcBorders>
            <w:vAlign w:val="center"/>
            <w:hideMark/>
          </w:tcPr>
          <w:p w:rsidR="00833D38" w:rsidRPr="00A14B59" w:rsidRDefault="00833D38" w:rsidP="000D1FAE">
            <w:pPr>
              <w:spacing w:before="0" w:line="240" w:lineRule="auto"/>
              <w:ind w:firstLine="0"/>
              <w:contextualSpacing w:val="0"/>
              <w:jc w:val="center"/>
              <w:rPr>
                <w:rFonts w:cs="Calibri"/>
                <w:b w:val="0"/>
                <w:color w:val="000000"/>
                <w:sz w:val="18"/>
                <w:szCs w:val="18"/>
                <w:lang w:val="en-US" w:eastAsia="en-US"/>
              </w:rPr>
            </w:pPr>
          </w:p>
        </w:tc>
        <w:tc>
          <w:tcPr>
            <w:tcW w:w="1285" w:type="dxa"/>
            <w:vMerge/>
            <w:tcBorders>
              <w:top w:val="nil"/>
              <w:left w:val="single" w:sz="8" w:space="0" w:color="auto"/>
              <w:bottom w:val="single" w:sz="8" w:space="0" w:color="000000"/>
              <w:right w:val="single" w:sz="8" w:space="0" w:color="auto"/>
            </w:tcBorders>
            <w:vAlign w:val="center"/>
          </w:tcPr>
          <w:p w:rsidR="00833D38" w:rsidRPr="00A14B59" w:rsidRDefault="00833D38" w:rsidP="000D1FAE">
            <w:pPr>
              <w:spacing w:before="0" w:line="240" w:lineRule="auto"/>
              <w:ind w:firstLine="0"/>
              <w:contextualSpacing w:val="0"/>
              <w:jc w:val="center"/>
              <w:rPr>
                <w:rFonts w:cs="Calibri"/>
                <w:b w:val="0"/>
                <w:color w:val="000000"/>
                <w:sz w:val="18"/>
                <w:szCs w:val="18"/>
                <w:lang w:val="en-US" w:eastAsia="en-US"/>
              </w:rPr>
            </w:pPr>
          </w:p>
        </w:tc>
        <w:tc>
          <w:tcPr>
            <w:tcW w:w="1604" w:type="dxa"/>
            <w:vMerge/>
            <w:tcBorders>
              <w:top w:val="nil"/>
              <w:left w:val="single" w:sz="8" w:space="0" w:color="auto"/>
              <w:bottom w:val="single" w:sz="8" w:space="0" w:color="000000"/>
              <w:right w:val="single" w:sz="8" w:space="0" w:color="auto"/>
            </w:tcBorders>
            <w:vAlign w:val="center"/>
          </w:tcPr>
          <w:p w:rsidR="00833D38" w:rsidRPr="00A14B59" w:rsidRDefault="00833D38" w:rsidP="000D1FAE">
            <w:pPr>
              <w:spacing w:before="0" w:line="240" w:lineRule="auto"/>
              <w:ind w:firstLine="0"/>
              <w:contextualSpacing w:val="0"/>
              <w:jc w:val="center"/>
              <w:rPr>
                <w:rFonts w:cs="Calibri"/>
                <w:b w:val="0"/>
                <w:color w:val="000000"/>
                <w:sz w:val="18"/>
                <w:szCs w:val="18"/>
                <w:lang w:val="en-US" w:eastAsia="en-US"/>
              </w:rPr>
            </w:pPr>
          </w:p>
        </w:tc>
        <w:tc>
          <w:tcPr>
            <w:tcW w:w="1276" w:type="dxa"/>
            <w:vMerge/>
            <w:tcBorders>
              <w:top w:val="nil"/>
              <w:left w:val="single" w:sz="8" w:space="0" w:color="auto"/>
              <w:bottom w:val="single" w:sz="8" w:space="0" w:color="000000"/>
              <w:right w:val="single" w:sz="8" w:space="0" w:color="auto"/>
            </w:tcBorders>
            <w:vAlign w:val="center"/>
          </w:tcPr>
          <w:p w:rsidR="00833D38" w:rsidRPr="005A6458" w:rsidRDefault="00833D38" w:rsidP="000D1FAE">
            <w:pPr>
              <w:spacing w:before="0" w:line="240" w:lineRule="auto"/>
              <w:ind w:firstLine="0"/>
              <w:contextualSpacing w:val="0"/>
              <w:jc w:val="center"/>
              <w:rPr>
                <w:rFonts w:cs="Calibri"/>
                <w:b w:val="0"/>
                <w:color w:val="000000"/>
                <w:sz w:val="18"/>
                <w:szCs w:val="18"/>
                <w:lang w:val="en-US" w:eastAsia="en-US"/>
              </w:rPr>
            </w:pPr>
          </w:p>
        </w:tc>
      </w:tr>
      <w:tr w:rsidR="00833D38" w:rsidRPr="00A14B59" w:rsidTr="000D1FAE">
        <w:trPr>
          <w:trHeight w:val="315"/>
        </w:trPr>
        <w:tc>
          <w:tcPr>
            <w:tcW w:w="4048" w:type="dxa"/>
            <w:tcBorders>
              <w:top w:val="nil"/>
              <w:left w:val="single" w:sz="8" w:space="0" w:color="auto"/>
              <w:bottom w:val="single" w:sz="8" w:space="0" w:color="auto"/>
              <w:right w:val="single" w:sz="8" w:space="0" w:color="auto"/>
            </w:tcBorders>
            <w:shd w:val="clear" w:color="000000" w:fill="FFFFFF"/>
            <w:vAlign w:val="center"/>
            <w:hideMark/>
          </w:tcPr>
          <w:p w:rsidR="00833D38" w:rsidRPr="00A14B59" w:rsidRDefault="00833D38" w:rsidP="000D1FAE">
            <w:pPr>
              <w:spacing w:before="0" w:line="240" w:lineRule="auto"/>
              <w:ind w:firstLine="0"/>
              <w:contextualSpacing w:val="0"/>
              <w:rPr>
                <w:rFonts w:cs="Calibri"/>
                <w:b w:val="0"/>
                <w:color w:val="000000"/>
                <w:sz w:val="20"/>
                <w:szCs w:val="20"/>
                <w:lang w:val="en-US" w:eastAsia="en-US"/>
              </w:rPr>
            </w:pPr>
            <w:r w:rsidRPr="00A14B59">
              <w:rPr>
                <w:rFonts w:cs="Calibri"/>
                <w:b w:val="0"/>
                <w:color w:val="000000"/>
                <w:sz w:val="20"/>
                <w:szCs w:val="20"/>
                <w:lang w:val="en-US" w:eastAsia="en-US"/>
              </w:rPr>
              <w:t xml:space="preserve"> - %-ով՝ ՀՆԱ-ի նկատմամբ</w:t>
            </w:r>
          </w:p>
        </w:tc>
        <w:tc>
          <w:tcPr>
            <w:tcW w:w="1210" w:type="dxa"/>
            <w:tcBorders>
              <w:top w:val="nil"/>
              <w:left w:val="nil"/>
              <w:bottom w:val="single" w:sz="8" w:space="0" w:color="auto"/>
              <w:right w:val="single" w:sz="8" w:space="0" w:color="auto"/>
            </w:tcBorders>
            <w:shd w:val="clear" w:color="000000" w:fill="FFFFFF"/>
            <w:vAlign w:val="center"/>
            <w:hideMark/>
          </w:tcPr>
          <w:p w:rsidR="00833D38" w:rsidRPr="00A14B59" w:rsidRDefault="00833D38" w:rsidP="000D1FAE">
            <w:pPr>
              <w:spacing w:before="0" w:line="240" w:lineRule="auto"/>
              <w:ind w:firstLine="0"/>
              <w:contextualSpacing w:val="0"/>
              <w:jc w:val="center"/>
              <w:rPr>
                <w:rFonts w:cs="Calibri"/>
                <w:b w:val="0"/>
                <w:color w:val="000000"/>
                <w:sz w:val="18"/>
                <w:szCs w:val="18"/>
                <w:lang w:val="en-US" w:eastAsia="en-US"/>
              </w:rPr>
            </w:pPr>
            <w:r w:rsidRPr="00A14B59">
              <w:rPr>
                <w:rFonts w:cs="Calibri"/>
                <w:b w:val="0"/>
                <w:color w:val="000000"/>
                <w:sz w:val="18"/>
                <w:szCs w:val="18"/>
                <w:lang w:val="en-US" w:eastAsia="en-US"/>
              </w:rPr>
              <w:t>21.95%</w:t>
            </w:r>
          </w:p>
        </w:tc>
        <w:tc>
          <w:tcPr>
            <w:tcW w:w="1210" w:type="dxa"/>
            <w:tcBorders>
              <w:top w:val="nil"/>
              <w:left w:val="nil"/>
              <w:bottom w:val="single" w:sz="8" w:space="0" w:color="auto"/>
              <w:right w:val="single" w:sz="8" w:space="0" w:color="auto"/>
            </w:tcBorders>
            <w:shd w:val="clear" w:color="000000" w:fill="FFFFFF"/>
            <w:vAlign w:val="center"/>
            <w:hideMark/>
          </w:tcPr>
          <w:p w:rsidR="00833D38" w:rsidRPr="00A14B59" w:rsidRDefault="00833D38" w:rsidP="000D1FAE">
            <w:pPr>
              <w:spacing w:before="0" w:line="240" w:lineRule="auto"/>
              <w:ind w:firstLine="0"/>
              <w:contextualSpacing w:val="0"/>
              <w:jc w:val="center"/>
              <w:rPr>
                <w:rFonts w:cs="Calibri"/>
                <w:b w:val="0"/>
                <w:color w:val="000000"/>
                <w:sz w:val="18"/>
                <w:szCs w:val="18"/>
                <w:lang w:val="en-US" w:eastAsia="en-US"/>
              </w:rPr>
            </w:pPr>
            <w:r w:rsidRPr="00A14B59">
              <w:rPr>
                <w:rFonts w:cs="Calibri"/>
                <w:b w:val="0"/>
                <w:color w:val="000000"/>
                <w:sz w:val="18"/>
                <w:szCs w:val="18"/>
                <w:lang w:val="en-US" w:eastAsia="en-US"/>
              </w:rPr>
              <w:t>26.97%</w:t>
            </w:r>
          </w:p>
        </w:tc>
        <w:tc>
          <w:tcPr>
            <w:tcW w:w="1285" w:type="dxa"/>
            <w:tcBorders>
              <w:top w:val="nil"/>
              <w:left w:val="nil"/>
              <w:bottom w:val="single" w:sz="8" w:space="0" w:color="auto"/>
              <w:right w:val="single" w:sz="8" w:space="0" w:color="auto"/>
            </w:tcBorders>
            <w:shd w:val="clear" w:color="000000" w:fill="FFFFFF"/>
            <w:vAlign w:val="center"/>
          </w:tcPr>
          <w:p w:rsidR="00833D38" w:rsidRPr="00A14B59" w:rsidRDefault="00833D38" w:rsidP="000D1FAE">
            <w:pPr>
              <w:spacing w:before="0" w:line="240" w:lineRule="auto"/>
              <w:ind w:firstLine="0"/>
              <w:contextualSpacing w:val="0"/>
              <w:jc w:val="center"/>
              <w:rPr>
                <w:rFonts w:cs="Calibri"/>
                <w:b w:val="0"/>
                <w:color w:val="000000"/>
                <w:sz w:val="18"/>
                <w:szCs w:val="18"/>
                <w:lang w:val="en-US" w:eastAsia="en-US"/>
              </w:rPr>
            </w:pPr>
            <w:r w:rsidRPr="00A14B59">
              <w:rPr>
                <w:rFonts w:cs="Calibri"/>
                <w:b w:val="0"/>
                <w:color w:val="000000"/>
                <w:sz w:val="18"/>
                <w:szCs w:val="18"/>
                <w:lang w:val="en-US" w:eastAsia="en-US"/>
              </w:rPr>
              <w:t>25.66%</w:t>
            </w:r>
          </w:p>
        </w:tc>
        <w:tc>
          <w:tcPr>
            <w:tcW w:w="1604" w:type="dxa"/>
            <w:tcBorders>
              <w:top w:val="nil"/>
              <w:left w:val="nil"/>
              <w:bottom w:val="single" w:sz="8" w:space="0" w:color="auto"/>
              <w:right w:val="single" w:sz="8" w:space="0" w:color="auto"/>
            </w:tcBorders>
            <w:shd w:val="clear" w:color="000000" w:fill="FFFFFF"/>
            <w:vAlign w:val="center"/>
          </w:tcPr>
          <w:p w:rsidR="00833D38" w:rsidRPr="00A14B59" w:rsidRDefault="00833D38" w:rsidP="000D1FAE">
            <w:pPr>
              <w:spacing w:before="0" w:line="240" w:lineRule="auto"/>
              <w:ind w:firstLine="0"/>
              <w:contextualSpacing w:val="0"/>
              <w:jc w:val="center"/>
              <w:rPr>
                <w:rFonts w:cs="Calibri"/>
                <w:b w:val="0"/>
                <w:color w:val="000000"/>
                <w:sz w:val="18"/>
                <w:szCs w:val="18"/>
                <w:lang w:val="en-US" w:eastAsia="en-US"/>
              </w:rPr>
            </w:pPr>
            <w:r w:rsidRPr="00A14B59">
              <w:rPr>
                <w:rFonts w:cs="Calibri"/>
                <w:b w:val="0"/>
                <w:color w:val="000000"/>
                <w:sz w:val="18"/>
                <w:szCs w:val="18"/>
                <w:lang w:val="en-US" w:eastAsia="en-US"/>
              </w:rPr>
              <w:t>23.58%</w:t>
            </w:r>
          </w:p>
        </w:tc>
        <w:tc>
          <w:tcPr>
            <w:tcW w:w="1276" w:type="dxa"/>
            <w:tcBorders>
              <w:top w:val="nil"/>
              <w:left w:val="nil"/>
              <w:bottom w:val="single" w:sz="8" w:space="0" w:color="auto"/>
              <w:right w:val="single" w:sz="8" w:space="0" w:color="auto"/>
            </w:tcBorders>
            <w:shd w:val="clear" w:color="000000" w:fill="FFFFFF"/>
            <w:vAlign w:val="center"/>
          </w:tcPr>
          <w:p w:rsidR="00833D38" w:rsidRPr="005A6458" w:rsidRDefault="00833D38" w:rsidP="000D1FAE">
            <w:pPr>
              <w:ind w:firstLine="0"/>
              <w:jc w:val="center"/>
              <w:rPr>
                <w:rFonts w:cs="Calibri"/>
                <w:b w:val="0"/>
                <w:color w:val="000000"/>
                <w:sz w:val="18"/>
                <w:szCs w:val="18"/>
              </w:rPr>
            </w:pPr>
            <w:r w:rsidRPr="005A6458">
              <w:rPr>
                <w:rFonts w:cs="Calibri"/>
                <w:b w:val="0"/>
                <w:color w:val="000000"/>
                <w:sz w:val="18"/>
                <w:szCs w:val="18"/>
              </w:rPr>
              <w:t>21.93%</w:t>
            </w:r>
          </w:p>
        </w:tc>
      </w:tr>
      <w:tr w:rsidR="00833D38" w:rsidRPr="00A14B59" w:rsidTr="000D1FAE">
        <w:trPr>
          <w:trHeight w:val="555"/>
        </w:trPr>
        <w:tc>
          <w:tcPr>
            <w:tcW w:w="4048" w:type="dxa"/>
            <w:tcBorders>
              <w:top w:val="nil"/>
              <w:left w:val="single" w:sz="8" w:space="0" w:color="auto"/>
              <w:bottom w:val="single" w:sz="8" w:space="0" w:color="auto"/>
              <w:right w:val="single" w:sz="8" w:space="0" w:color="auto"/>
            </w:tcBorders>
            <w:shd w:val="clear" w:color="000000" w:fill="D5DCE4"/>
            <w:vAlign w:val="center"/>
            <w:hideMark/>
          </w:tcPr>
          <w:p w:rsidR="00833D38" w:rsidRPr="00A14B59" w:rsidRDefault="00833D38" w:rsidP="000D1FAE">
            <w:pPr>
              <w:spacing w:before="0" w:line="240" w:lineRule="auto"/>
              <w:ind w:firstLine="0"/>
              <w:contextualSpacing w:val="0"/>
              <w:rPr>
                <w:rFonts w:cs="Calibri"/>
                <w:b w:val="0"/>
                <w:color w:val="000000"/>
                <w:sz w:val="20"/>
                <w:szCs w:val="20"/>
                <w:lang w:eastAsia="en-US"/>
              </w:rPr>
            </w:pPr>
            <w:r w:rsidRPr="00A14B59">
              <w:rPr>
                <w:rFonts w:cs="Calibri"/>
                <w:b w:val="0"/>
                <w:color w:val="000000"/>
                <w:sz w:val="20"/>
                <w:szCs w:val="20"/>
                <w:lang w:eastAsia="en-US"/>
              </w:rPr>
              <w:t xml:space="preserve">- </w:t>
            </w:r>
            <w:r w:rsidRPr="00A14B59">
              <w:rPr>
                <w:rFonts w:cs="Calibri"/>
                <w:b w:val="0"/>
                <w:color w:val="000000"/>
                <w:sz w:val="20"/>
                <w:szCs w:val="20"/>
                <w:lang w:val="en-US" w:eastAsia="en-US"/>
              </w:rPr>
              <w:t>ոչ</w:t>
            </w:r>
            <w:r w:rsidRPr="00A14B59">
              <w:rPr>
                <w:rFonts w:cs="Calibri"/>
                <w:b w:val="0"/>
                <w:color w:val="000000"/>
                <w:sz w:val="20"/>
                <w:szCs w:val="20"/>
                <w:lang w:eastAsia="en-US"/>
              </w:rPr>
              <w:t xml:space="preserve"> </w:t>
            </w:r>
            <w:r w:rsidRPr="00A14B59">
              <w:rPr>
                <w:rFonts w:cs="Calibri"/>
                <w:b w:val="0"/>
                <w:color w:val="000000"/>
                <w:sz w:val="20"/>
                <w:szCs w:val="20"/>
                <w:lang w:val="en-US" w:eastAsia="en-US"/>
              </w:rPr>
              <w:t>ֆինանսական</w:t>
            </w:r>
            <w:r w:rsidRPr="00A14B59">
              <w:rPr>
                <w:rFonts w:cs="Calibri"/>
                <w:b w:val="0"/>
                <w:color w:val="000000"/>
                <w:sz w:val="20"/>
                <w:szCs w:val="20"/>
                <w:lang w:eastAsia="en-US"/>
              </w:rPr>
              <w:t xml:space="preserve"> </w:t>
            </w:r>
            <w:r w:rsidRPr="00A14B59">
              <w:rPr>
                <w:rFonts w:cs="Calibri"/>
                <w:b w:val="0"/>
                <w:color w:val="000000"/>
                <w:sz w:val="20"/>
                <w:szCs w:val="20"/>
                <w:lang w:val="en-US" w:eastAsia="en-US"/>
              </w:rPr>
              <w:t>ակտիվների</w:t>
            </w:r>
            <w:r w:rsidRPr="00A14B59">
              <w:rPr>
                <w:rFonts w:cs="Calibri"/>
                <w:b w:val="0"/>
                <w:color w:val="000000"/>
                <w:sz w:val="20"/>
                <w:szCs w:val="20"/>
                <w:lang w:eastAsia="en-US"/>
              </w:rPr>
              <w:t xml:space="preserve"> </w:t>
            </w:r>
            <w:r w:rsidRPr="00A14B59">
              <w:rPr>
                <w:rFonts w:cs="Calibri"/>
                <w:b w:val="0"/>
                <w:color w:val="000000"/>
                <w:sz w:val="20"/>
                <w:szCs w:val="20"/>
                <w:lang w:val="en-US" w:eastAsia="en-US"/>
              </w:rPr>
              <w:t>գծով</w:t>
            </w:r>
            <w:r w:rsidRPr="00A14B59">
              <w:rPr>
                <w:rFonts w:cs="Calibri"/>
                <w:b w:val="0"/>
                <w:color w:val="000000"/>
                <w:sz w:val="20"/>
                <w:szCs w:val="20"/>
                <w:lang w:eastAsia="en-US"/>
              </w:rPr>
              <w:t xml:space="preserve">  </w:t>
            </w:r>
            <w:r w:rsidRPr="00A14B59">
              <w:rPr>
                <w:rFonts w:cs="Calibri"/>
                <w:b w:val="0"/>
                <w:color w:val="000000"/>
                <w:sz w:val="20"/>
                <w:szCs w:val="20"/>
                <w:lang w:val="en-US" w:eastAsia="en-US"/>
              </w:rPr>
              <w:t>գործառնություններ</w:t>
            </w:r>
            <w:r w:rsidRPr="00A14B59">
              <w:rPr>
                <w:rFonts w:cs="Calibri"/>
                <w:b w:val="0"/>
                <w:color w:val="000000"/>
                <w:sz w:val="20"/>
                <w:szCs w:val="20"/>
                <w:lang w:eastAsia="en-US"/>
              </w:rPr>
              <w:t>, (</w:t>
            </w:r>
            <w:r w:rsidRPr="00A14B59">
              <w:rPr>
                <w:rFonts w:cs="Calibri"/>
                <w:b w:val="0"/>
                <w:color w:val="000000"/>
                <w:sz w:val="20"/>
                <w:szCs w:val="20"/>
                <w:lang w:val="en-US" w:eastAsia="en-US"/>
              </w:rPr>
              <w:t>մլն</w:t>
            </w:r>
            <w:r w:rsidRPr="00A14B59">
              <w:rPr>
                <w:rFonts w:cs="Calibri"/>
                <w:b w:val="0"/>
                <w:color w:val="000000"/>
                <w:sz w:val="20"/>
                <w:szCs w:val="20"/>
                <w:lang w:eastAsia="en-US"/>
              </w:rPr>
              <w:t xml:space="preserve"> </w:t>
            </w:r>
            <w:r w:rsidRPr="00A14B59">
              <w:rPr>
                <w:rFonts w:cs="Calibri"/>
                <w:b w:val="0"/>
                <w:color w:val="000000"/>
                <w:sz w:val="20"/>
                <w:szCs w:val="20"/>
                <w:lang w:val="en-US" w:eastAsia="en-US"/>
              </w:rPr>
              <w:t>դրամ</w:t>
            </w:r>
            <w:r w:rsidRPr="00A14B59">
              <w:rPr>
                <w:rFonts w:cs="Calibri"/>
                <w:b w:val="0"/>
                <w:color w:val="000000"/>
                <w:sz w:val="20"/>
                <w:szCs w:val="20"/>
                <w:lang w:eastAsia="en-US"/>
              </w:rPr>
              <w:t>)*</w:t>
            </w:r>
          </w:p>
        </w:tc>
        <w:tc>
          <w:tcPr>
            <w:tcW w:w="1210" w:type="dxa"/>
            <w:tcBorders>
              <w:top w:val="nil"/>
              <w:left w:val="nil"/>
              <w:bottom w:val="single" w:sz="8" w:space="0" w:color="auto"/>
              <w:right w:val="single" w:sz="8" w:space="0" w:color="auto"/>
            </w:tcBorders>
            <w:shd w:val="clear" w:color="000000" w:fill="D5DCE4"/>
            <w:vAlign w:val="center"/>
            <w:hideMark/>
          </w:tcPr>
          <w:p w:rsidR="00833D38" w:rsidRPr="00A14B59" w:rsidRDefault="00833D38" w:rsidP="000D1FAE">
            <w:pPr>
              <w:spacing w:before="0" w:line="240" w:lineRule="auto"/>
              <w:ind w:firstLine="0"/>
              <w:contextualSpacing w:val="0"/>
              <w:jc w:val="center"/>
              <w:rPr>
                <w:rFonts w:cs="Calibri"/>
                <w:b w:val="0"/>
                <w:color w:val="000000"/>
                <w:sz w:val="18"/>
                <w:szCs w:val="18"/>
                <w:lang w:val="en-US" w:eastAsia="en-US"/>
              </w:rPr>
            </w:pPr>
            <w:r w:rsidRPr="00A14B59">
              <w:rPr>
                <w:rFonts w:cs="Calibri"/>
                <w:b w:val="0"/>
                <w:color w:val="000000"/>
                <w:sz w:val="18"/>
                <w:szCs w:val="18"/>
                <w:lang w:val="en-US" w:eastAsia="en-US"/>
              </w:rPr>
              <w:t>193,017</w:t>
            </w:r>
          </w:p>
        </w:tc>
        <w:tc>
          <w:tcPr>
            <w:tcW w:w="1210" w:type="dxa"/>
            <w:tcBorders>
              <w:top w:val="nil"/>
              <w:left w:val="nil"/>
              <w:bottom w:val="single" w:sz="8" w:space="0" w:color="auto"/>
              <w:right w:val="single" w:sz="8" w:space="0" w:color="auto"/>
            </w:tcBorders>
            <w:shd w:val="clear" w:color="000000" w:fill="D5DCE4"/>
            <w:vAlign w:val="center"/>
            <w:hideMark/>
          </w:tcPr>
          <w:p w:rsidR="00833D38" w:rsidRPr="00A14B59" w:rsidRDefault="00833D38" w:rsidP="000D1FAE">
            <w:pPr>
              <w:spacing w:before="0" w:line="240" w:lineRule="auto"/>
              <w:ind w:firstLine="0"/>
              <w:contextualSpacing w:val="0"/>
              <w:jc w:val="center"/>
              <w:rPr>
                <w:rFonts w:cs="Calibri"/>
                <w:b w:val="0"/>
                <w:color w:val="000000"/>
                <w:sz w:val="18"/>
                <w:szCs w:val="18"/>
                <w:lang w:val="en-US" w:eastAsia="en-US"/>
              </w:rPr>
            </w:pPr>
            <w:r w:rsidRPr="00A14B59">
              <w:rPr>
                <w:rFonts w:cs="Calibri"/>
                <w:b w:val="0"/>
                <w:color w:val="000000"/>
                <w:sz w:val="18"/>
                <w:szCs w:val="18"/>
                <w:lang w:val="en-US" w:eastAsia="en-US"/>
              </w:rPr>
              <w:t>227,698</w:t>
            </w:r>
          </w:p>
        </w:tc>
        <w:tc>
          <w:tcPr>
            <w:tcW w:w="1285" w:type="dxa"/>
            <w:tcBorders>
              <w:top w:val="nil"/>
              <w:left w:val="nil"/>
              <w:bottom w:val="single" w:sz="8" w:space="0" w:color="auto"/>
              <w:right w:val="single" w:sz="8" w:space="0" w:color="auto"/>
            </w:tcBorders>
            <w:shd w:val="clear" w:color="000000" w:fill="D5DCE4"/>
            <w:vAlign w:val="center"/>
          </w:tcPr>
          <w:p w:rsidR="00833D38" w:rsidRPr="00A14B59" w:rsidRDefault="00833D38" w:rsidP="000D1FAE">
            <w:pPr>
              <w:spacing w:before="0" w:line="240" w:lineRule="auto"/>
              <w:ind w:firstLine="0"/>
              <w:contextualSpacing w:val="0"/>
              <w:jc w:val="center"/>
              <w:rPr>
                <w:rFonts w:cs="Calibri"/>
                <w:b w:val="0"/>
                <w:color w:val="000000"/>
                <w:sz w:val="18"/>
                <w:szCs w:val="18"/>
                <w:lang w:val="en-US" w:eastAsia="en-US"/>
              </w:rPr>
            </w:pPr>
            <w:r w:rsidRPr="00A14B59">
              <w:rPr>
                <w:rFonts w:cs="Calibri"/>
                <w:b w:val="0"/>
                <w:color w:val="000000"/>
                <w:sz w:val="18"/>
                <w:szCs w:val="18"/>
                <w:lang w:val="en-US" w:eastAsia="en-US"/>
              </w:rPr>
              <w:t>212,445</w:t>
            </w:r>
          </w:p>
        </w:tc>
        <w:tc>
          <w:tcPr>
            <w:tcW w:w="1604" w:type="dxa"/>
            <w:tcBorders>
              <w:top w:val="nil"/>
              <w:left w:val="nil"/>
              <w:bottom w:val="single" w:sz="8" w:space="0" w:color="auto"/>
              <w:right w:val="single" w:sz="8" w:space="0" w:color="auto"/>
            </w:tcBorders>
            <w:shd w:val="clear" w:color="000000" w:fill="D5DCE4"/>
            <w:vAlign w:val="center"/>
          </w:tcPr>
          <w:p w:rsidR="00833D38" w:rsidRPr="00A14B59" w:rsidRDefault="00833D38" w:rsidP="000D1FAE">
            <w:pPr>
              <w:spacing w:before="0" w:line="240" w:lineRule="auto"/>
              <w:ind w:firstLine="0"/>
              <w:contextualSpacing w:val="0"/>
              <w:jc w:val="center"/>
              <w:rPr>
                <w:rFonts w:cs="Calibri"/>
                <w:b w:val="0"/>
                <w:color w:val="000000"/>
                <w:sz w:val="18"/>
                <w:szCs w:val="18"/>
                <w:lang w:val="en-US" w:eastAsia="en-US"/>
              </w:rPr>
            </w:pPr>
            <w:r w:rsidRPr="00A14B59">
              <w:rPr>
                <w:rFonts w:cs="Calibri"/>
                <w:b w:val="0"/>
                <w:color w:val="000000"/>
                <w:sz w:val="18"/>
                <w:szCs w:val="18"/>
                <w:lang w:val="en-US" w:eastAsia="en-US"/>
              </w:rPr>
              <w:t>341,885</w:t>
            </w:r>
          </w:p>
        </w:tc>
        <w:tc>
          <w:tcPr>
            <w:tcW w:w="1276" w:type="dxa"/>
            <w:tcBorders>
              <w:top w:val="nil"/>
              <w:left w:val="nil"/>
              <w:bottom w:val="single" w:sz="8" w:space="0" w:color="auto"/>
              <w:right w:val="single" w:sz="8" w:space="0" w:color="auto"/>
            </w:tcBorders>
            <w:shd w:val="clear" w:color="000000" w:fill="D5DCE4"/>
            <w:vAlign w:val="center"/>
          </w:tcPr>
          <w:p w:rsidR="00833D38" w:rsidRPr="005A6458" w:rsidRDefault="00833D38" w:rsidP="000D1FAE">
            <w:pPr>
              <w:ind w:firstLine="0"/>
              <w:jc w:val="center"/>
              <w:rPr>
                <w:rFonts w:cs="Calibri"/>
                <w:b w:val="0"/>
                <w:color w:val="000000"/>
                <w:sz w:val="18"/>
                <w:szCs w:val="18"/>
              </w:rPr>
            </w:pPr>
            <w:r w:rsidRPr="005A6458">
              <w:rPr>
                <w:rFonts w:cs="Calibri"/>
                <w:b w:val="0"/>
                <w:color w:val="000000"/>
                <w:sz w:val="18"/>
                <w:szCs w:val="18"/>
              </w:rPr>
              <w:t>547,660</w:t>
            </w:r>
          </w:p>
        </w:tc>
      </w:tr>
      <w:tr w:rsidR="00833D38" w:rsidRPr="00A14B59" w:rsidTr="000D1FAE">
        <w:trPr>
          <w:trHeight w:val="315"/>
        </w:trPr>
        <w:tc>
          <w:tcPr>
            <w:tcW w:w="4048" w:type="dxa"/>
            <w:tcBorders>
              <w:top w:val="nil"/>
              <w:left w:val="single" w:sz="8" w:space="0" w:color="auto"/>
              <w:bottom w:val="single" w:sz="8" w:space="0" w:color="auto"/>
              <w:right w:val="single" w:sz="8" w:space="0" w:color="auto"/>
            </w:tcBorders>
            <w:shd w:val="clear" w:color="000000" w:fill="FFFFFF"/>
            <w:vAlign w:val="center"/>
            <w:hideMark/>
          </w:tcPr>
          <w:p w:rsidR="00833D38" w:rsidRPr="00A14B59" w:rsidRDefault="00833D38" w:rsidP="000D1FAE">
            <w:pPr>
              <w:spacing w:before="0" w:line="240" w:lineRule="auto"/>
              <w:ind w:firstLine="0"/>
              <w:contextualSpacing w:val="0"/>
              <w:rPr>
                <w:rFonts w:cs="Calibri"/>
                <w:b w:val="0"/>
                <w:color w:val="000000"/>
                <w:sz w:val="20"/>
                <w:szCs w:val="20"/>
                <w:lang w:val="en-US" w:eastAsia="en-US"/>
              </w:rPr>
            </w:pPr>
            <w:r w:rsidRPr="00A14B59">
              <w:rPr>
                <w:rFonts w:cs="Calibri"/>
                <w:b w:val="0"/>
                <w:color w:val="000000"/>
                <w:sz w:val="20"/>
                <w:szCs w:val="20"/>
                <w:lang w:val="en-US" w:eastAsia="en-US"/>
              </w:rPr>
              <w:t>%-ով՝ ՀՆԱ-ի նկատմամբ</w:t>
            </w:r>
          </w:p>
        </w:tc>
        <w:tc>
          <w:tcPr>
            <w:tcW w:w="1210" w:type="dxa"/>
            <w:tcBorders>
              <w:top w:val="nil"/>
              <w:left w:val="nil"/>
              <w:bottom w:val="single" w:sz="8" w:space="0" w:color="auto"/>
              <w:right w:val="single" w:sz="8" w:space="0" w:color="auto"/>
            </w:tcBorders>
            <w:shd w:val="clear" w:color="000000" w:fill="FFFFFF"/>
            <w:vAlign w:val="center"/>
            <w:hideMark/>
          </w:tcPr>
          <w:p w:rsidR="00833D38" w:rsidRPr="00A14B59" w:rsidRDefault="00833D38" w:rsidP="000D1FAE">
            <w:pPr>
              <w:spacing w:before="0" w:line="240" w:lineRule="auto"/>
              <w:ind w:firstLine="0"/>
              <w:contextualSpacing w:val="0"/>
              <w:jc w:val="center"/>
              <w:rPr>
                <w:rFonts w:cs="Calibri"/>
                <w:b w:val="0"/>
                <w:color w:val="000000"/>
                <w:sz w:val="18"/>
                <w:szCs w:val="18"/>
                <w:lang w:val="en-US" w:eastAsia="en-US"/>
              </w:rPr>
            </w:pPr>
            <w:r w:rsidRPr="00A14B59">
              <w:rPr>
                <w:rFonts w:cs="Calibri"/>
                <w:b w:val="0"/>
                <w:color w:val="000000"/>
                <w:sz w:val="18"/>
                <w:szCs w:val="18"/>
                <w:lang w:val="en-US" w:eastAsia="en-US"/>
              </w:rPr>
              <w:t>2.95%</w:t>
            </w:r>
          </w:p>
        </w:tc>
        <w:tc>
          <w:tcPr>
            <w:tcW w:w="1210" w:type="dxa"/>
            <w:tcBorders>
              <w:top w:val="nil"/>
              <w:left w:val="nil"/>
              <w:bottom w:val="single" w:sz="8" w:space="0" w:color="auto"/>
              <w:right w:val="single" w:sz="8" w:space="0" w:color="auto"/>
            </w:tcBorders>
            <w:shd w:val="clear" w:color="000000" w:fill="FFFFFF"/>
            <w:vAlign w:val="center"/>
            <w:hideMark/>
          </w:tcPr>
          <w:p w:rsidR="00833D38" w:rsidRPr="00A14B59" w:rsidRDefault="00833D38" w:rsidP="000D1FAE">
            <w:pPr>
              <w:spacing w:before="0" w:line="240" w:lineRule="auto"/>
              <w:ind w:firstLine="0"/>
              <w:contextualSpacing w:val="0"/>
              <w:jc w:val="center"/>
              <w:rPr>
                <w:rFonts w:cs="Calibri"/>
                <w:b w:val="0"/>
                <w:color w:val="000000"/>
                <w:sz w:val="18"/>
                <w:szCs w:val="18"/>
                <w:lang w:val="en-US" w:eastAsia="en-US"/>
              </w:rPr>
            </w:pPr>
            <w:r w:rsidRPr="00A14B59">
              <w:rPr>
                <w:rFonts w:cs="Calibri"/>
                <w:b w:val="0"/>
                <w:color w:val="000000"/>
                <w:sz w:val="18"/>
                <w:szCs w:val="18"/>
                <w:lang w:val="en-US" w:eastAsia="en-US"/>
              </w:rPr>
              <w:t>3.68%</w:t>
            </w:r>
          </w:p>
        </w:tc>
        <w:tc>
          <w:tcPr>
            <w:tcW w:w="1285" w:type="dxa"/>
            <w:tcBorders>
              <w:top w:val="nil"/>
              <w:left w:val="nil"/>
              <w:bottom w:val="single" w:sz="8" w:space="0" w:color="auto"/>
              <w:right w:val="single" w:sz="8" w:space="0" w:color="auto"/>
            </w:tcBorders>
            <w:shd w:val="clear" w:color="000000" w:fill="FFFFFF"/>
            <w:vAlign w:val="center"/>
          </w:tcPr>
          <w:p w:rsidR="00833D38" w:rsidRPr="00A14B59" w:rsidRDefault="00833D38" w:rsidP="000D1FAE">
            <w:pPr>
              <w:spacing w:before="0" w:line="240" w:lineRule="auto"/>
              <w:ind w:firstLine="0"/>
              <w:contextualSpacing w:val="0"/>
              <w:jc w:val="center"/>
              <w:rPr>
                <w:rFonts w:cs="Calibri"/>
                <w:b w:val="0"/>
                <w:color w:val="000000"/>
                <w:sz w:val="18"/>
                <w:szCs w:val="18"/>
                <w:lang w:val="en-US" w:eastAsia="en-US"/>
              </w:rPr>
            </w:pPr>
            <w:r w:rsidRPr="00A14B59">
              <w:rPr>
                <w:rFonts w:cs="Calibri"/>
                <w:b w:val="0"/>
                <w:color w:val="000000"/>
                <w:sz w:val="18"/>
                <w:szCs w:val="18"/>
                <w:lang w:val="en-US" w:eastAsia="en-US"/>
              </w:rPr>
              <w:t>3.04%</w:t>
            </w:r>
          </w:p>
        </w:tc>
        <w:tc>
          <w:tcPr>
            <w:tcW w:w="1604" w:type="dxa"/>
            <w:tcBorders>
              <w:top w:val="nil"/>
              <w:left w:val="nil"/>
              <w:bottom w:val="single" w:sz="8" w:space="0" w:color="auto"/>
              <w:right w:val="single" w:sz="8" w:space="0" w:color="auto"/>
            </w:tcBorders>
            <w:shd w:val="clear" w:color="000000" w:fill="FFFFFF"/>
            <w:vAlign w:val="center"/>
          </w:tcPr>
          <w:p w:rsidR="00833D38" w:rsidRPr="00A14B59" w:rsidRDefault="00833D38" w:rsidP="000D1FAE">
            <w:pPr>
              <w:spacing w:before="0" w:line="240" w:lineRule="auto"/>
              <w:ind w:firstLine="0"/>
              <w:contextualSpacing w:val="0"/>
              <w:jc w:val="center"/>
              <w:rPr>
                <w:rFonts w:cs="Calibri"/>
                <w:b w:val="0"/>
                <w:color w:val="000000"/>
                <w:sz w:val="18"/>
                <w:szCs w:val="18"/>
                <w:lang w:val="en-US" w:eastAsia="en-US"/>
              </w:rPr>
            </w:pPr>
            <w:r w:rsidRPr="00A14B59">
              <w:rPr>
                <w:rFonts w:cs="Calibri"/>
                <w:b w:val="0"/>
                <w:color w:val="000000"/>
                <w:sz w:val="18"/>
                <w:szCs w:val="18"/>
                <w:lang w:val="en-US" w:eastAsia="en-US"/>
              </w:rPr>
              <w:t>4.38%</w:t>
            </w:r>
          </w:p>
        </w:tc>
        <w:tc>
          <w:tcPr>
            <w:tcW w:w="1276" w:type="dxa"/>
            <w:tcBorders>
              <w:top w:val="nil"/>
              <w:left w:val="nil"/>
              <w:bottom w:val="single" w:sz="8" w:space="0" w:color="auto"/>
              <w:right w:val="single" w:sz="8" w:space="0" w:color="auto"/>
            </w:tcBorders>
            <w:shd w:val="clear" w:color="000000" w:fill="FFFFFF"/>
            <w:vAlign w:val="center"/>
          </w:tcPr>
          <w:p w:rsidR="00833D38" w:rsidRPr="005A6458" w:rsidRDefault="00833D38" w:rsidP="000D1FAE">
            <w:pPr>
              <w:ind w:firstLine="0"/>
              <w:jc w:val="center"/>
              <w:rPr>
                <w:rFonts w:cs="Calibri"/>
                <w:b w:val="0"/>
                <w:color w:val="000000"/>
                <w:sz w:val="18"/>
                <w:szCs w:val="18"/>
              </w:rPr>
            </w:pPr>
            <w:r w:rsidRPr="005A6458">
              <w:rPr>
                <w:rFonts w:cs="Calibri"/>
                <w:b w:val="0"/>
                <w:color w:val="000000"/>
                <w:sz w:val="18"/>
                <w:szCs w:val="18"/>
              </w:rPr>
              <w:t>5.88%</w:t>
            </w:r>
          </w:p>
        </w:tc>
      </w:tr>
    </w:tbl>
    <w:p w:rsidR="00833D38" w:rsidRPr="00A14B59" w:rsidRDefault="00833D38" w:rsidP="00833D38">
      <w:pPr>
        <w:spacing w:before="0" w:line="240" w:lineRule="auto"/>
        <w:rPr>
          <w:b w:val="0"/>
          <w:bCs/>
          <w:color w:val="5B9BD5"/>
          <w:sz w:val="18"/>
          <w:szCs w:val="18"/>
        </w:rPr>
      </w:pPr>
      <w:r w:rsidRPr="00A14B59">
        <w:rPr>
          <w:b w:val="0"/>
          <w:bCs/>
          <w:color w:val="5B9BD5"/>
          <w:sz w:val="18"/>
          <w:szCs w:val="18"/>
        </w:rPr>
        <w:t>*</w:t>
      </w:r>
      <w:r w:rsidRPr="00A14B59">
        <w:rPr>
          <w:b w:val="0"/>
          <w:bCs/>
          <w:color w:val="5B9BD5"/>
          <w:sz w:val="18"/>
          <w:szCs w:val="18"/>
          <w:lang w:val="en-US"/>
        </w:rPr>
        <w:t>ոչ</w:t>
      </w:r>
      <w:r w:rsidRPr="00A14B59">
        <w:rPr>
          <w:b w:val="0"/>
          <w:bCs/>
          <w:color w:val="5B9BD5"/>
          <w:sz w:val="18"/>
          <w:szCs w:val="18"/>
        </w:rPr>
        <w:t xml:space="preserve"> </w:t>
      </w:r>
      <w:r w:rsidRPr="00A14B59">
        <w:rPr>
          <w:b w:val="0"/>
          <w:bCs/>
          <w:color w:val="5B9BD5"/>
          <w:sz w:val="18"/>
          <w:szCs w:val="18"/>
          <w:lang w:val="en-US"/>
        </w:rPr>
        <w:t>ֆինանսական</w:t>
      </w:r>
      <w:r w:rsidRPr="00A14B59">
        <w:rPr>
          <w:b w:val="0"/>
          <w:bCs/>
          <w:color w:val="5B9BD5"/>
          <w:sz w:val="18"/>
          <w:szCs w:val="18"/>
        </w:rPr>
        <w:t xml:space="preserve"> </w:t>
      </w:r>
      <w:r w:rsidRPr="00A14B59">
        <w:rPr>
          <w:b w:val="0"/>
          <w:bCs/>
          <w:color w:val="5B9BD5"/>
          <w:sz w:val="18"/>
          <w:szCs w:val="18"/>
          <w:lang w:val="en-US"/>
        </w:rPr>
        <w:t>ակտիվների</w:t>
      </w:r>
      <w:r w:rsidRPr="00A14B59">
        <w:rPr>
          <w:b w:val="0"/>
          <w:bCs/>
          <w:color w:val="5B9BD5"/>
          <w:sz w:val="18"/>
          <w:szCs w:val="18"/>
        </w:rPr>
        <w:t xml:space="preserve"> </w:t>
      </w:r>
      <w:r w:rsidRPr="00A14B59">
        <w:rPr>
          <w:b w:val="0"/>
          <w:bCs/>
          <w:color w:val="5B9BD5"/>
          <w:sz w:val="18"/>
          <w:szCs w:val="18"/>
          <w:lang w:val="en-US"/>
        </w:rPr>
        <w:t>գծով</w:t>
      </w:r>
      <w:r w:rsidRPr="00A14B59">
        <w:rPr>
          <w:b w:val="0"/>
          <w:bCs/>
          <w:color w:val="5B9BD5"/>
          <w:sz w:val="18"/>
          <w:szCs w:val="18"/>
        </w:rPr>
        <w:t xml:space="preserve"> </w:t>
      </w:r>
      <w:r w:rsidRPr="00A14B59">
        <w:rPr>
          <w:b w:val="0"/>
          <w:bCs/>
          <w:color w:val="5B9BD5"/>
          <w:sz w:val="18"/>
          <w:szCs w:val="18"/>
          <w:lang w:val="en-US"/>
        </w:rPr>
        <w:t>գործառնությունները</w:t>
      </w:r>
      <w:r w:rsidRPr="00A14B59">
        <w:rPr>
          <w:b w:val="0"/>
          <w:bCs/>
          <w:color w:val="5B9BD5"/>
          <w:sz w:val="18"/>
          <w:szCs w:val="18"/>
        </w:rPr>
        <w:t xml:space="preserve"> </w:t>
      </w:r>
      <w:r w:rsidRPr="00A14B59">
        <w:rPr>
          <w:b w:val="0"/>
          <w:bCs/>
          <w:color w:val="5B9BD5"/>
          <w:sz w:val="18"/>
          <w:szCs w:val="18"/>
          <w:lang w:val="en-US"/>
        </w:rPr>
        <w:t>հանրագումար</w:t>
      </w:r>
      <w:r w:rsidRPr="00A14B59">
        <w:rPr>
          <w:b w:val="0"/>
          <w:bCs/>
          <w:color w:val="5B9BD5"/>
          <w:sz w:val="18"/>
          <w:szCs w:val="18"/>
        </w:rPr>
        <w:t xml:space="preserve"> </w:t>
      </w:r>
      <w:r w:rsidRPr="00A14B59">
        <w:rPr>
          <w:b w:val="0"/>
          <w:bCs/>
          <w:color w:val="5B9BD5"/>
          <w:sz w:val="18"/>
          <w:szCs w:val="18"/>
          <w:lang w:val="en-US"/>
        </w:rPr>
        <w:t>են</w:t>
      </w:r>
      <w:r w:rsidRPr="00A14B59">
        <w:rPr>
          <w:b w:val="0"/>
          <w:bCs/>
          <w:color w:val="5B9BD5"/>
          <w:sz w:val="18"/>
          <w:szCs w:val="18"/>
        </w:rPr>
        <w:t xml:space="preserve"> ոչ ֆինանսական ակտիվների օտարումից մուտքեր</w:t>
      </w:r>
      <w:r w:rsidRPr="00A14B59">
        <w:rPr>
          <w:b w:val="0"/>
          <w:bCs/>
          <w:color w:val="5B9BD5"/>
          <w:sz w:val="18"/>
          <w:szCs w:val="18"/>
          <w:lang w:val="en-US"/>
        </w:rPr>
        <w:t>ի</w:t>
      </w:r>
      <w:r w:rsidRPr="00A14B59">
        <w:rPr>
          <w:b w:val="0"/>
          <w:bCs/>
          <w:color w:val="5B9BD5"/>
          <w:sz w:val="18"/>
          <w:szCs w:val="18"/>
        </w:rPr>
        <w:t xml:space="preserve"> </w:t>
      </w:r>
      <w:r w:rsidRPr="00A14B59">
        <w:rPr>
          <w:b w:val="0"/>
          <w:bCs/>
          <w:color w:val="5B9BD5"/>
          <w:sz w:val="18"/>
          <w:szCs w:val="18"/>
          <w:lang w:val="en-US"/>
        </w:rPr>
        <w:t>գծով</w:t>
      </w:r>
      <w:r w:rsidRPr="00A14B59">
        <w:rPr>
          <w:b w:val="0"/>
          <w:bCs/>
          <w:color w:val="5B9BD5"/>
          <w:sz w:val="18"/>
          <w:szCs w:val="18"/>
        </w:rPr>
        <w:t xml:space="preserve"> </w:t>
      </w:r>
      <w:r w:rsidRPr="00A14B59">
        <w:rPr>
          <w:b w:val="0"/>
          <w:bCs/>
          <w:color w:val="5B9BD5"/>
          <w:sz w:val="18"/>
          <w:szCs w:val="18"/>
          <w:lang w:val="en-US"/>
        </w:rPr>
        <w:t>ծախսերի</w:t>
      </w:r>
      <w:r w:rsidRPr="00A14B59">
        <w:rPr>
          <w:b w:val="0"/>
          <w:bCs/>
          <w:color w:val="5B9BD5"/>
          <w:sz w:val="18"/>
          <w:szCs w:val="18"/>
        </w:rPr>
        <w:t xml:space="preserve"> (-10,000.0 </w:t>
      </w:r>
      <w:r w:rsidRPr="00A14B59">
        <w:rPr>
          <w:b w:val="0"/>
          <w:bCs/>
          <w:color w:val="5B9BD5"/>
          <w:sz w:val="18"/>
          <w:szCs w:val="18"/>
          <w:lang w:val="en-US"/>
        </w:rPr>
        <w:t>մլն</w:t>
      </w:r>
      <w:r w:rsidRPr="00A14B59">
        <w:rPr>
          <w:b w:val="0"/>
          <w:bCs/>
          <w:color w:val="5B9BD5"/>
          <w:sz w:val="18"/>
          <w:szCs w:val="18"/>
        </w:rPr>
        <w:t xml:space="preserve"> </w:t>
      </w:r>
      <w:r w:rsidRPr="00A14B59">
        <w:rPr>
          <w:b w:val="0"/>
          <w:bCs/>
          <w:color w:val="5B9BD5"/>
          <w:sz w:val="18"/>
          <w:szCs w:val="18"/>
          <w:lang w:val="en-US"/>
        </w:rPr>
        <w:t>դրամ</w:t>
      </w:r>
      <w:r w:rsidRPr="00A14B59">
        <w:rPr>
          <w:b w:val="0"/>
          <w:bCs/>
          <w:color w:val="5B9BD5"/>
          <w:sz w:val="18"/>
          <w:szCs w:val="18"/>
        </w:rPr>
        <w:t xml:space="preserve">) </w:t>
      </w:r>
      <w:r w:rsidRPr="00A14B59">
        <w:rPr>
          <w:b w:val="0"/>
          <w:bCs/>
          <w:color w:val="5B9BD5"/>
          <w:sz w:val="18"/>
          <w:szCs w:val="18"/>
          <w:lang w:val="en-US"/>
        </w:rPr>
        <w:t>և</w:t>
      </w:r>
      <w:r w:rsidRPr="00A14B59">
        <w:rPr>
          <w:b w:val="0"/>
          <w:bCs/>
          <w:color w:val="5B9BD5"/>
          <w:sz w:val="18"/>
          <w:szCs w:val="18"/>
        </w:rPr>
        <w:t xml:space="preserve"> </w:t>
      </w:r>
      <w:r w:rsidRPr="00A14B59">
        <w:rPr>
          <w:b w:val="0"/>
          <w:bCs/>
          <w:color w:val="5B9BD5"/>
          <w:sz w:val="18"/>
          <w:szCs w:val="18"/>
          <w:lang w:val="en-US"/>
        </w:rPr>
        <w:t>ոչ</w:t>
      </w:r>
      <w:r w:rsidRPr="00A14B59">
        <w:rPr>
          <w:b w:val="0"/>
          <w:bCs/>
          <w:color w:val="5B9BD5"/>
          <w:sz w:val="18"/>
          <w:szCs w:val="18"/>
        </w:rPr>
        <w:t xml:space="preserve"> </w:t>
      </w:r>
      <w:r w:rsidRPr="00A14B59">
        <w:rPr>
          <w:b w:val="0"/>
          <w:bCs/>
          <w:color w:val="5B9BD5"/>
          <w:sz w:val="18"/>
          <w:szCs w:val="18"/>
          <w:lang w:val="en-US"/>
        </w:rPr>
        <w:t>ֆինանսական</w:t>
      </w:r>
      <w:r w:rsidRPr="00A14B59">
        <w:rPr>
          <w:b w:val="0"/>
          <w:bCs/>
          <w:color w:val="5B9BD5"/>
          <w:sz w:val="18"/>
          <w:szCs w:val="18"/>
        </w:rPr>
        <w:t xml:space="preserve"> </w:t>
      </w:r>
      <w:r w:rsidRPr="00A14B59">
        <w:rPr>
          <w:b w:val="0"/>
          <w:bCs/>
          <w:color w:val="5B9BD5"/>
          <w:sz w:val="18"/>
          <w:szCs w:val="18"/>
          <w:lang w:val="en-US"/>
        </w:rPr>
        <w:t>ակտիվների</w:t>
      </w:r>
      <w:r w:rsidRPr="00A14B59">
        <w:rPr>
          <w:b w:val="0"/>
          <w:bCs/>
          <w:color w:val="5B9BD5"/>
          <w:sz w:val="18"/>
          <w:szCs w:val="18"/>
        </w:rPr>
        <w:t xml:space="preserve"> </w:t>
      </w:r>
      <w:r w:rsidRPr="00A14B59">
        <w:rPr>
          <w:b w:val="0"/>
          <w:bCs/>
          <w:color w:val="5B9BD5"/>
          <w:sz w:val="18"/>
          <w:szCs w:val="18"/>
          <w:lang w:val="en-US"/>
        </w:rPr>
        <w:t>գծով</w:t>
      </w:r>
      <w:r w:rsidRPr="00A14B59">
        <w:rPr>
          <w:b w:val="0"/>
          <w:bCs/>
          <w:color w:val="5B9BD5"/>
          <w:sz w:val="18"/>
          <w:szCs w:val="18"/>
        </w:rPr>
        <w:t xml:space="preserve"> </w:t>
      </w:r>
      <w:r w:rsidRPr="00A14B59">
        <w:rPr>
          <w:b w:val="0"/>
          <w:bCs/>
          <w:color w:val="5B9BD5"/>
          <w:sz w:val="18"/>
          <w:szCs w:val="18"/>
          <w:lang w:val="en-US"/>
        </w:rPr>
        <w:t>ծախսերի</w:t>
      </w:r>
      <w:r w:rsidRPr="00A14B59">
        <w:rPr>
          <w:b w:val="0"/>
          <w:bCs/>
          <w:color w:val="5B9BD5"/>
          <w:sz w:val="18"/>
          <w:szCs w:val="18"/>
        </w:rPr>
        <w:t xml:space="preserve"> (</w:t>
      </w:r>
      <w:r w:rsidRPr="00A14B59">
        <w:rPr>
          <w:b w:val="0"/>
          <w:bCs/>
          <w:color w:val="5B9BD5"/>
          <w:sz w:val="18"/>
          <w:szCs w:val="18"/>
          <w:lang w:val="hy-AM"/>
        </w:rPr>
        <w:t>5</w:t>
      </w:r>
      <w:r w:rsidRPr="00A14B59">
        <w:rPr>
          <w:b w:val="0"/>
          <w:bCs/>
          <w:color w:val="5B9BD5"/>
          <w:sz w:val="18"/>
          <w:szCs w:val="18"/>
        </w:rPr>
        <w:t>5</w:t>
      </w:r>
      <w:r w:rsidRPr="00A14B59">
        <w:rPr>
          <w:b w:val="0"/>
          <w:bCs/>
          <w:color w:val="5B9BD5"/>
          <w:sz w:val="18"/>
          <w:szCs w:val="18"/>
          <w:lang w:val="hy-AM"/>
        </w:rPr>
        <w:t>7</w:t>
      </w:r>
      <w:r w:rsidRPr="00A14B59">
        <w:rPr>
          <w:b w:val="0"/>
          <w:bCs/>
          <w:color w:val="5B9BD5"/>
          <w:sz w:val="18"/>
          <w:szCs w:val="18"/>
        </w:rPr>
        <w:t xml:space="preserve">,660.3 </w:t>
      </w:r>
      <w:r w:rsidRPr="00A14B59">
        <w:rPr>
          <w:b w:val="0"/>
          <w:bCs/>
          <w:color w:val="5B9BD5"/>
          <w:sz w:val="18"/>
          <w:szCs w:val="18"/>
          <w:lang w:val="en-US"/>
        </w:rPr>
        <w:t>մլն</w:t>
      </w:r>
      <w:r w:rsidRPr="00A14B59">
        <w:rPr>
          <w:b w:val="0"/>
          <w:bCs/>
          <w:color w:val="5B9BD5"/>
          <w:sz w:val="18"/>
          <w:szCs w:val="18"/>
        </w:rPr>
        <w:t xml:space="preserve"> </w:t>
      </w:r>
      <w:r w:rsidRPr="00A14B59">
        <w:rPr>
          <w:b w:val="0"/>
          <w:bCs/>
          <w:color w:val="5B9BD5"/>
          <w:sz w:val="18"/>
          <w:szCs w:val="18"/>
          <w:lang w:val="en-US"/>
        </w:rPr>
        <w:t>դրամ</w:t>
      </w:r>
      <w:r w:rsidRPr="00A14B59">
        <w:rPr>
          <w:b w:val="0"/>
          <w:bCs/>
          <w:color w:val="5B9BD5"/>
          <w:sz w:val="18"/>
          <w:szCs w:val="18"/>
        </w:rPr>
        <w:t>):</w:t>
      </w:r>
    </w:p>
    <w:p w:rsidR="00833D38" w:rsidRPr="00A14B59" w:rsidRDefault="00833D38" w:rsidP="00833D38">
      <w:pPr>
        <w:spacing w:after="200"/>
        <w:rPr>
          <w:b w:val="0"/>
          <w:bCs/>
          <w:color w:val="5B9BD5"/>
          <w:sz w:val="18"/>
          <w:szCs w:val="18"/>
        </w:rPr>
      </w:pPr>
      <w:bookmarkStart w:id="280" w:name="_Toc57631788"/>
      <w:bookmarkStart w:id="281" w:name="_Toc83752683"/>
    </w:p>
    <w:p w:rsidR="00833D38" w:rsidRPr="00A14B59" w:rsidRDefault="00833D38" w:rsidP="00833D38">
      <w:pPr>
        <w:spacing w:after="200"/>
        <w:rPr>
          <w:rFonts w:cs="Sylfaen"/>
          <w:bCs/>
          <w:i/>
          <w:color w:val="5B9BD5"/>
          <w:sz w:val="20"/>
          <w:szCs w:val="20"/>
          <w:lang w:val="hy-AM" w:eastAsia="en-US"/>
        </w:rPr>
      </w:pPr>
      <w:bookmarkStart w:id="282" w:name="_Toc115255403"/>
      <w:bookmarkStart w:id="283" w:name="_Toc120805288"/>
      <w:r w:rsidRPr="00A14B59">
        <w:rPr>
          <w:b w:val="0"/>
          <w:bCs/>
          <w:color w:val="5B9BD5"/>
          <w:sz w:val="18"/>
          <w:szCs w:val="18"/>
        </w:rPr>
        <w:t xml:space="preserve">Գծապատկեր </w:t>
      </w:r>
      <w:r w:rsidRPr="00A14B59">
        <w:rPr>
          <w:b w:val="0"/>
          <w:bCs/>
          <w:color w:val="5B9BD5"/>
          <w:sz w:val="18"/>
          <w:szCs w:val="18"/>
        </w:rPr>
        <w:fldChar w:fldCharType="begin"/>
      </w:r>
      <w:r w:rsidRPr="00A14B59">
        <w:rPr>
          <w:b w:val="0"/>
          <w:bCs/>
          <w:color w:val="5B9BD5"/>
          <w:sz w:val="18"/>
          <w:szCs w:val="18"/>
        </w:rPr>
        <w:instrText xml:space="preserve"> SEQ Գծապատկեր \* ARABIC </w:instrText>
      </w:r>
      <w:r w:rsidRPr="00A14B59">
        <w:rPr>
          <w:b w:val="0"/>
          <w:bCs/>
          <w:color w:val="5B9BD5"/>
          <w:sz w:val="18"/>
          <w:szCs w:val="18"/>
        </w:rPr>
        <w:fldChar w:fldCharType="separate"/>
      </w:r>
      <w:r w:rsidR="008177DF">
        <w:rPr>
          <w:b w:val="0"/>
          <w:bCs/>
          <w:noProof/>
          <w:color w:val="5B9BD5"/>
          <w:sz w:val="18"/>
          <w:szCs w:val="18"/>
        </w:rPr>
        <w:t>2</w:t>
      </w:r>
      <w:r w:rsidRPr="00A14B59">
        <w:rPr>
          <w:b w:val="0"/>
          <w:bCs/>
          <w:color w:val="5B9BD5"/>
          <w:sz w:val="18"/>
          <w:szCs w:val="18"/>
        </w:rPr>
        <w:fldChar w:fldCharType="end"/>
      </w:r>
      <w:r w:rsidRPr="00A14B59">
        <w:rPr>
          <w:rFonts w:ascii="Cambria Math" w:hAnsi="Cambria Math"/>
          <w:b w:val="0"/>
          <w:bCs/>
          <w:color w:val="5B9BD5"/>
          <w:sz w:val="18"/>
          <w:szCs w:val="18"/>
          <w:lang w:val="hy-AM"/>
        </w:rPr>
        <w:t>․</w:t>
      </w:r>
      <w:r w:rsidRPr="00A14B59">
        <w:rPr>
          <w:rFonts w:eastAsia="Calibri"/>
          <w:b w:val="0"/>
          <w:bCs/>
          <w:i/>
          <w:iCs/>
          <w:color w:val="000000"/>
          <w:sz w:val="20"/>
          <w:szCs w:val="20"/>
          <w:lang w:val="hy-AM" w:eastAsia="en-US"/>
        </w:rPr>
        <w:t xml:space="preserve"> </w:t>
      </w:r>
      <w:r w:rsidRPr="00A14B59">
        <w:rPr>
          <w:bCs/>
          <w:i/>
          <w:color w:val="5B9BD5"/>
          <w:sz w:val="20"/>
          <w:szCs w:val="20"/>
          <w:lang w:val="af-ZA" w:eastAsia="en-US"/>
        </w:rPr>
        <w:t>2019-2023</w:t>
      </w:r>
      <w:r w:rsidRPr="00A14B59">
        <w:rPr>
          <w:bCs/>
          <w:i/>
          <w:color w:val="5B9BD5"/>
          <w:sz w:val="20"/>
          <w:szCs w:val="20"/>
          <w:lang w:val="it-IT" w:eastAsia="en-US"/>
        </w:rPr>
        <w:t>թթ</w:t>
      </w:r>
      <w:r w:rsidRPr="00A14B59">
        <w:rPr>
          <w:rFonts w:ascii="Cambria Math" w:hAnsi="Cambria Math"/>
          <w:bCs/>
          <w:i/>
          <w:color w:val="5B9BD5"/>
          <w:sz w:val="20"/>
          <w:szCs w:val="20"/>
          <w:lang w:val="hy-AM" w:eastAsia="en-US"/>
        </w:rPr>
        <w:t>․</w:t>
      </w:r>
      <w:r w:rsidRPr="00A14B59">
        <w:rPr>
          <w:bCs/>
          <w:i/>
          <w:color w:val="5B9BD5"/>
          <w:sz w:val="20"/>
          <w:szCs w:val="20"/>
          <w:lang w:val="af-ZA" w:eastAsia="en-US"/>
        </w:rPr>
        <w:t xml:space="preserve"> </w:t>
      </w:r>
      <w:r w:rsidRPr="00A14B59">
        <w:rPr>
          <w:rFonts w:cs="Sylfaen"/>
          <w:bCs/>
          <w:i/>
          <w:color w:val="5B9BD5"/>
          <w:sz w:val="20"/>
          <w:szCs w:val="20"/>
          <w:lang w:val="hy-AM" w:eastAsia="en-US"/>
        </w:rPr>
        <w:t>ընթացիկ</w:t>
      </w:r>
      <w:r w:rsidRPr="00A14B59">
        <w:rPr>
          <w:bCs/>
          <w:i/>
          <w:color w:val="5B9BD5"/>
          <w:sz w:val="20"/>
          <w:szCs w:val="20"/>
          <w:lang w:val="af-ZA" w:eastAsia="en-US"/>
        </w:rPr>
        <w:t xml:space="preserve"> </w:t>
      </w:r>
      <w:r w:rsidRPr="00A14B59">
        <w:rPr>
          <w:rFonts w:cs="Sylfaen"/>
          <w:bCs/>
          <w:i/>
          <w:color w:val="5B9BD5"/>
          <w:sz w:val="20"/>
          <w:szCs w:val="20"/>
          <w:lang w:val="hy-AM" w:eastAsia="en-US"/>
        </w:rPr>
        <w:t>և</w:t>
      </w:r>
      <w:r w:rsidRPr="00A14B59">
        <w:rPr>
          <w:bCs/>
          <w:i/>
          <w:color w:val="5B9BD5"/>
          <w:sz w:val="20"/>
          <w:szCs w:val="20"/>
          <w:lang w:val="af-ZA" w:eastAsia="en-US"/>
        </w:rPr>
        <w:t xml:space="preserve"> </w:t>
      </w:r>
      <w:r w:rsidRPr="00A14B59">
        <w:rPr>
          <w:rFonts w:cs="Sylfaen"/>
          <w:bCs/>
          <w:i/>
          <w:color w:val="5B9BD5"/>
          <w:sz w:val="20"/>
          <w:szCs w:val="20"/>
          <w:lang w:val="hy-AM" w:eastAsia="en-US"/>
        </w:rPr>
        <w:t>ոչ</w:t>
      </w:r>
      <w:r w:rsidRPr="00A14B59">
        <w:rPr>
          <w:rFonts w:cs="Sylfaen"/>
          <w:bCs/>
          <w:i/>
          <w:color w:val="5B9BD5"/>
          <w:sz w:val="20"/>
          <w:szCs w:val="20"/>
          <w:lang w:val="af-ZA" w:eastAsia="en-US"/>
        </w:rPr>
        <w:t xml:space="preserve"> </w:t>
      </w:r>
      <w:r w:rsidRPr="00A14B59">
        <w:rPr>
          <w:rFonts w:cs="Sylfaen"/>
          <w:bCs/>
          <w:i/>
          <w:color w:val="5B9BD5"/>
          <w:sz w:val="20"/>
          <w:szCs w:val="20"/>
          <w:lang w:val="hy-AM" w:eastAsia="en-US"/>
        </w:rPr>
        <w:t>ֆինանսական</w:t>
      </w:r>
      <w:r w:rsidRPr="00A14B59">
        <w:rPr>
          <w:rFonts w:cs="Sylfaen"/>
          <w:bCs/>
          <w:i/>
          <w:color w:val="5B9BD5"/>
          <w:sz w:val="20"/>
          <w:szCs w:val="20"/>
          <w:lang w:val="af-ZA" w:eastAsia="en-US"/>
        </w:rPr>
        <w:t xml:space="preserve"> </w:t>
      </w:r>
      <w:r w:rsidRPr="00A14B59">
        <w:rPr>
          <w:rFonts w:cs="Sylfaen"/>
          <w:bCs/>
          <w:i/>
          <w:color w:val="5B9BD5"/>
          <w:sz w:val="20"/>
          <w:szCs w:val="20"/>
          <w:lang w:val="hy-AM" w:eastAsia="en-US"/>
        </w:rPr>
        <w:t>ակտիվների</w:t>
      </w:r>
      <w:r w:rsidRPr="00A14B59">
        <w:rPr>
          <w:rFonts w:cs="Sylfaen"/>
          <w:bCs/>
          <w:i/>
          <w:color w:val="5B9BD5"/>
          <w:sz w:val="20"/>
          <w:szCs w:val="20"/>
          <w:lang w:val="af-ZA" w:eastAsia="en-US"/>
        </w:rPr>
        <w:t xml:space="preserve"> </w:t>
      </w:r>
      <w:r w:rsidRPr="00A14B59">
        <w:rPr>
          <w:rFonts w:cs="Sylfaen"/>
          <w:bCs/>
          <w:i/>
          <w:color w:val="5B9BD5"/>
          <w:sz w:val="20"/>
          <w:szCs w:val="20"/>
          <w:lang w:val="hy-AM" w:eastAsia="en-US"/>
        </w:rPr>
        <w:t>գծով</w:t>
      </w:r>
      <w:r w:rsidRPr="00A14B59">
        <w:rPr>
          <w:rFonts w:cs="Sylfaen"/>
          <w:bCs/>
          <w:i/>
          <w:color w:val="5B9BD5"/>
          <w:sz w:val="20"/>
          <w:szCs w:val="20"/>
          <w:lang w:val="af-ZA" w:eastAsia="en-US"/>
        </w:rPr>
        <w:t xml:space="preserve"> </w:t>
      </w:r>
      <w:r w:rsidRPr="00A14B59">
        <w:rPr>
          <w:rFonts w:cs="Sylfaen"/>
          <w:bCs/>
          <w:i/>
          <w:color w:val="5B9BD5"/>
          <w:sz w:val="20"/>
          <w:szCs w:val="20"/>
          <w:lang w:val="en-US" w:eastAsia="en-US"/>
        </w:rPr>
        <w:t>գործառնությունների</w:t>
      </w:r>
      <w:r w:rsidRPr="00A14B59">
        <w:rPr>
          <w:bCs/>
          <w:i/>
          <w:color w:val="5B9BD5"/>
          <w:sz w:val="20"/>
          <w:szCs w:val="20"/>
          <w:lang w:val="af-ZA" w:eastAsia="en-US"/>
        </w:rPr>
        <w:t xml:space="preserve"> </w:t>
      </w:r>
      <w:r w:rsidRPr="00A14B59">
        <w:rPr>
          <w:rFonts w:cs="Sylfaen"/>
          <w:bCs/>
          <w:i/>
          <w:color w:val="5B9BD5"/>
          <w:sz w:val="20"/>
          <w:szCs w:val="20"/>
          <w:lang w:val="hy-AM" w:eastAsia="en-US"/>
        </w:rPr>
        <w:t>փոփոխության</w:t>
      </w:r>
      <w:r w:rsidRPr="00A14B59">
        <w:rPr>
          <w:bCs/>
          <w:i/>
          <w:color w:val="5B9BD5"/>
          <w:sz w:val="20"/>
          <w:szCs w:val="20"/>
          <w:lang w:val="af-ZA" w:eastAsia="en-US"/>
        </w:rPr>
        <w:t xml:space="preserve"> </w:t>
      </w:r>
      <w:r w:rsidRPr="00A14B59">
        <w:rPr>
          <w:rFonts w:cs="Sylfaen"/>
          <w:bCs/>
          <w:i/>
          <w:color w:val="5B9BD5"/>
          <w:sz w:val="20"/>
          <w:szCs w:val="20"/>
          <w:lang w:val="hy-AM" w:eastAsia="en-US"/>
        </w:rPr>
        <w:t>և</w:t>
      </w:r>
      <w:r w:rsidRPr="00A14B59">
        <w:rPr>
          <w:bCs/>
          <w:i/>
          <w:color w:val="5B9BD5"/>
          <w:sz w:val="20"/>
          <w:szCs w:val="20"/>
          <w:lang w:val="af-ZA" w:eastAsia="en-US"/>
        </w:rPr>
        <w:t xml:space="preserve"> </w:t>
      </w:r>
      <w:r w:rsidRPr="00A14B59">
        <w:rPr>
          <w:rFonts w:cs="Sylfaen"/>
          <w:bCs/>
          <w:i/>
          <w:color w:val="5B9BD5"/>
          <w:sz w:val="20"/>
          <w:szCs w:val="20"/>
          <w:lang w:val="hy-AM" w:eastAsia="en-US"/>
        </w:rPr>
        <w:t>հարաբերակցության</w:t>
      </w:r>
      <w:r w:rsidRPr="00A14B59">
        <w:rPr>
          <w:bCs/>
          <w:i/>
          <w:color w:val="5B9BD5"/>
          <w:sz w:val="20"/>
          <w:szCs w:val="20"/>
          <w:lang w:val="af-ZA" w:eastAsia="en-US"/>
        </w:rPr>
        <w:t xml:space="preserve"> </w:t>
      </w:r>
      <w:r w:rsidRPr="00A14B59">
        <w:rPr>
          <w:rFonts w:cs="Sylfaen"/>
          <w:bCs/>
          <w:i/>
          <w:color w:val="5B9BD5"/>
          <w:sz w:val="20"/>
          <w:szCs w:val="20"/>
          <w:lang w:val="hy-AM" w:eastAsia="en-US"/>
        </w:rPr>
        <w:t>միտումները</w:t>
      </w:r>
      <w:bookmarkEnd w:id="280"/>
      <w:bookmarkEnd w:id="281"/>
      <w:bookmarkEnd w:id="282"/>
      <w:bookmarkEnd w:id="283"/>
    </w:p>
    <w:p w:rsidR="00833D38" w:rsidRPr="00A14B59" w:rsidRDefault="00833D38" w:rsidP="00833D38">
      <w:pPr>
        <w:spacing w:before="0"/>
        <w:rPr>
          <w:bCs/>
          <w:color w:val="5B9BD5"/>
          <w:sz w:val="18"/>
          <w:szCs w:val="22"/>
          <w:lang w:val="hy-AM" w:eastAsia="en-US"/>
        </w:rPr>
      </w:pPr>
      <w:r w:rsidRPr="00A14B59">
        <w:rPr>
          <w:bCs/>
          <w:noProof/>
          <w:color w:val="5B9BD5"/>
          <w:sz w:val="18"/>
          <w:szCs w:val="22"/>
          <w:lang w:val="hy-AM" w:eastAsia="en-US"/>
        </w:rPr>
        <w:t xml:space="preserve"> </w:t>
      </w:r>
      <w:r w:rsidRPr="00A14B59">
        <w:rPr>
          <w:bCs/>
          <w:noProof/>
          <w:color w:val="5B9BD5"/>
          <w:sz w:val="20"/>
          <w:szCs w:val="20"/>
          <w:lang w:val="en-US" w:eastAsia="en-US"/>
        </w:rPr>
        <w:drawing>
          <wp:inline distT="0" distB="0" distL="0" distR="0" wp14:anchorId="0B86CBC7" wp14:editId="4D44448B">
            <wp:extent cx="6144260" cy="3114675"/>
            <wp:effectExtent l="0" t="0" r="0" b="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bookmarkEnd w:id="279"/>
    </w:p>
    <w:p w:rsidR="00833D38" w:rsidRPr="00A14B59" w:rsidRDefault="00833D38" w:rsidP="00833D38">
      <w:pPr>
        <w:spacing w:before="0" w:line="276" w:lineRule="auto"/>
        <w:ind w:firstLine="480"/>
        <w:contextualSpacing w:val="0"/>
        <w:rPr>
          <w:rFonts w:cs="Sylfaen"/>
          <w:b w:val="0"/>
          <w:szCs w:val="22"/>
          <w:lang w:val="hy-AM" w:eastAsia="en-US"/>
        </w:rPr>
      </w:pPr>
    </w:p>
    <w:p w:rsidR="00833D38" w:rsidRPr="00A14B59" w:rsidRDefault="00833D38" w:rsidP="00833D38">
      <w:pPr>
        <w:spacing w:before="0" w:line="276" w:lineRule="auto"/>
        <w:ind w:firstLine="475"/>
        <w:contextualSpacing w:val="0"/>
        <w:rPr>
          <w:rFonts w:cs="Sylfaen"/>
          <w:b w:val="0"/>
          <w:szCs w:val="22"/>
          <w:lang w:val="hy-AM" w:eastAsia="en-US"/>
        </w:rPr>
      </w:pPr>
      <w:r w:rsidRPr="00A14B59">
        <w:rPr>
          <w:rFonts w:cs="Sylfaen"/>
          <w:b w:val="0"/>
          <w:szCs w:val="22"/>
          <w:lang w:val="hy-AM" w:eastAsia="en-US"/>
        </w:rPr>
        <w:t>2023 թվականի ծախսերի ընդհանուր ծավալի միջին տարեկանի շուրջ 78.</w:t>
      </w:r>
      <w:r>
        <w:rPr>
          <w:rFonts w:cs="Sylfaen"/>
          <w:b w:val="0"/>
          <w:szCs w:val="22"/>
          <w:lang w:val="hy-AM" w:eastAsia="en-US"/>
        </w:rPr>
        <w:t>9</w:t>
      </w:r>
      <w:r w:rsidRPr="00A14B59">
        <w:rPr>
          <w:rFonts w:cs="Sylfaen"/>
          <w:b w:val="0"/>
          <w:szCs w:val="22"/>
          <w:lang w:val="hy-AM" w:eastAsia="en-US"/>
        </w:rPr>
        <w:t xml:space="preserve">%-ը կկազմեն </w:t>
      </w:r>
      <w:r w:rsidRPr="00A14B59">
        <w:rPr>
          <w:rFonts w:cs="Sylfaen"/>
          <w:szCs w:val="22"/>
          <w:lang w:val="hy-AM" w:eastAsia="en-US"/>
        </w:rPr>
        <w:t>ընթացիկ ծախսերը</w:t>
      </w:r>
      <w:r w:rsidRPr="00A14B59">
        <w:rPr>
          <w:rFonts w:cs="Sylfaen"/>
          <w:b w:val="0"/>
          <w:szCs w:val="22"/>
          <w:lang w:val="hy-AM" w:eastAsia="en-US"/>
        </w:rPr>
        <w:t>,  (2022 թվական</w:t>
      </w:r>
      <w:r>
        <w:rPr>
          <w:rFonts w:cs="Sylfaen"/>
          <w:b w:val="0"/>
          <w:szCs w:val="22"/>
          <w:lang w:val="hy-AM" w:eastAsia="en-US"/>
        </w:rPr>
        <w:t>ին այդ ցուցանիշը ծրագրվել է 84.4</w:t>
      </w:r>
      <w:r w:rsidRPr="00A14B59">
        <w:rPr>
          <w:rFonts w:cs="Sylfaen"/>
          <w:b w:val="0"/>
          <w:szCs w:val="22"/>
          <w:lang w:val="hy-AM" w:eastAsia="en-US"/>
        </w:rPr>
        <w:t xml:space="preserve">): </w:t>
      </w:r>
    </w:p>
    <w:p w:rsidR="00833D38" w:rsidRPr="00A14B59" w:rsidRDefault="00833D38" w:rsidP="00833D38">
      <w:pPr>
        <w:spacing w:before="0" w:line="276" w:lineRule="auto"/>
        <w:ind w:firstLine="475"/>
        <w:contextualSpacing w:val="0"/>
        <w:rPr>
          <w:rFonts w:cs="Sylfaen"/>
          <w:b w:val="0"/>
          <w:szCs w:val="22"/>
          <w:lang w:val="hy-AM" w:eastAsia="en-US"/>
        </w:rPr>
      </w:pPr>
      <w:r w:rsidRPr="00A14B59">
        <w:rPr>
          <w:rFonts w:cs="Sylfaen"/>
          <w:b w:val="0"/>
          <w:szCs w:val="22"/>
          <w:lang w:val="hy-AM" w:eastAsia="en-US"/>
        </w:rPr>
        <w:t>Դիտարկվող ժամանակահատվածում ընթացիկ ծախսերն ուղղված կլի</w:t>
      </w:r>
      <w:r w:rsidRPr="00A14B59">
        <w:rPr>
          <w:rFonts w:cs="Sylfaen"/>
          <w:b w:val="0"/>
          <w:szCs w:val="22"/>
          <w:lang w:val="hy-AM" w:eastAsia="en-US"/>
        </w:rPr>
        <w:softHyphen/>
        <w:t xml:space="preserve">նի ծառայությունների մատուցման, տրանսֆերտների տրամադրման, ֆինանսավորման ծախսերի իրականացման և հանրության կողմից անմիջականորեն օգտագործվող ակտիվների հետ կապված միջոցառումներին: </w:t>
      </w:r>
    </w:p>
    <w:p w:rsidR="00833D38" w:rsidRPr="00A14B59" w:rsidRDefault="00833D38" w:rsidP="00833D38">
      <w:pPr>
        <w:spacing w:before="0" w:line="276" w:lineRule="auto"/>
        <w:ind w:firstLine="475"/>
        <w:contextualSpacing w:val="0"/>
        <w:rPr>
          <w:rFonts w:cs="Sylfaen"/>
          <w:b w:val="0"/>
          <w:szCs w:val="22"/>
          <w:lang w:val="hy-AM" w:eastAsia="en-US"/>
        </w:rPr>
      </w:pPr>
      <w:r w:rsidRPr="00A14B59">
        <w:rPr>
          <w:rFonts w:cs="Sylfaen"/>
          <w:b w:val="0"/>
          <w:szCs w:val="22"/>
          <w:lang w:val="hy-AM" w:eastAsia="en-US"/>
        </w:rPr>
        <w:t>2023թ. ընթացիկ ծախսերի ֆինանսավորման ըստ տնտեսագիտական դասակարգման կառուցվածքի ծախ</w:t>
      </w:r>
      <w:r w:rsidRPr="00A14B59">
        <w:rPr>
          <w:rFonts w:cs="Sylfaen"/>
          <w:b w:val="0"/>
          <w:szCs w:val="22"/>
          <w:lang w:val="hy-AM" w:eastAsia="en-US"/>
        </w:rPr>
        <w:softHyphen/>
        <w:t>սերի հարա</w:t>
      </w:r>
      <w:r w:rsidRPr="00A14B59">
        <w:rPr>
          <w:rFonts w:cs="Sylfaen"/>
          <w:b w:val="0"/>
          <w:szCs w:val="22"/>
          <w:lang w:val="hy-AM" w:eastAsia="en-US"/>
        </w:rPr>
        <w:softHyphen/>
        <w:t>բերակցությունը ՀՆԱ-ի նկատմամբ ներկայացված է ստորև:</w:t>
      </w:r>
    </w:p>
    <w:p w:rsidR="00833D38" w:rsidRPr="00A14B59" w:rsidRDefault="00833D38" w:rsidP="00833D38">
      <w:pPr>
        <w:spacing w:before="0"/>
        <w:rPr>
          <w:b w:val="0"/>
          <w:bCs/>
          <w:color w:val="5B9BD5"/>
          <w:sz w:val="18"/>
          <w:szCs w:val="18"/>
          <w:lang w:val="hy-AM"/>
        </w:rPr>
      </w:pPr>
      <w:bookmarkStart w:id="284" w:name="_Toc52223578"/>
      <w:bookmarkStart w:id="285" w:name="_Toc57631789"/>
    </w:p>
    <w:p w:rsidR="00833D38" w:rsidRPr="00A14B59" w:rsidRDefault="00833D38" w:rsidP="00833D38">
      <w:pPr>
        <w:spacing w:after="200"/>
        <w:rPr>
          <w:rFonts w:cs="Sylfaen"/>
          <w:bCs/>
          <w:color w:val="5B9BD5"/>
          <w:sz w:val="18"/>
          <w:szCs w:val="22"/>
          <w:lang w:val="hy-AM" w:eastAsia="en-US"/>
        </w:rPr>
      </w:pPr>
      <w:bookmarkStart w:id="286" w:name="_Toc83752684"/>
      <w:bookmarkStart w:id="287" w:name="_Toc115255404"/>
      <w:bookmarkStart w:id="288" w:name="_Toc120805289"/>
      <w:r w:rsidRPr="00A14B59">
        <w:rPr>
          <w:b w:val="0"/>
          <w:bCs/>
          <w:color w:val="5B9BD5"/>
          <w:sz w:val="18"/>
          <w:szCs w:val="18"/>
          <w:lang w:val="hy-AM"/>
        </w:rPr>
        <w:t xml:space="preserve">Գծապատկեր </w:t>
      </w:r>
      <w:r w:rsidRPr="00A14B59">
        <w:rPr>
          <w:b w:val="0"/>
          <w:bCs/>
          <w:color w:val="5B9BD5"/>
          <w:sz w:val="18"/>
          <w:szCs w:val="18"/>
        </w:rPr>
        <w:fldChar w:fldCharType="begin"/>
      </w:r>
      <w:r w:rsidRPr="00A14B59">
        <w:rPr>
          <w:b w:val="0"/>
          <w:bCs/>
          <w:color w:val="5B9BD5"/>
          <w:sz w:val="18"/>
          <w:szCs w:val="18"/>
          <w:lang w:val="hy-AM"/>
        </w:rPr>
        <w:instrText xml:space="preserve"> SEQ Գծապատկեր \* ARABIC </w:instrText>
      </w:r>
      <w:r w:rsidRPr="00A14B59">
        <w:rPr>
          <w:b w:val="0"/>
          <w:bCs/>
          <w:color w:val="5B9BD5"/>
          <w:sz w:val="18"/>
          <w:szCs w:val="18"/>
        </w:rPr>
        <w:fldChar w:fldCharType="separate"/>
      </w:r>
      <w:r w:rsidR="008177DF">
        <w:rPr>
          <w:b w:val="0"/>
          <w:bCs/>
          <w:noProof/>
          <w:color w:val="5B9BD5"/>
          <w:sz w:val="18"/>
          <w:szCs w:val="18"/>
          <w:lang w:val="hy-AM"/>
        </w:rPr>
        <w:t>3</w:t>
      </w:r>
      <w:r w:rsidRPr="00A14B59">
        <w:rPr>
          <w:b w:val="0"/>
          <w:bCs/>
          <w:color w:val="5B9BD5"/>
          <w:sz w:val="18"/>
          <w:szCs w:val="18"/>
        </w:rPr>
        <w:fldChar w:fldCharType="end"/>
      </w:r>
      <w:r w:rsidRPr="00A14B59">
        <w:rPr>
          <w:rFonts w:ascii="Cambria Math" w:hAnsi="Cambria Math"/>
          <w:b w:val="0"/>
          <w:bCs/>
          <w:color w:val="5B9BD5"/>
          <w:sz w:val="18"/>
          <w:szCs w:val="18"/>
          <w:lang w:val="hy-AM"/>
        </w:rPr>
        <w:t xml:space="preserve">․ </w:t>
      </w:r>
      <w:r w:rsidRPr="00A14B59">
        <w:rPr>
          <w:rFonts w:cs="Sylfaen"/>
          <w:bCs/>
          <w:i/>
          <w:color w:val="5B9BD5"/>
          <w:sz w:val="20"/>
          <w:szCs w:val="20"/>
          <w:lang w:val="hy-AM" w:eastAsia="en-US"/>
        </w:rPr>
        <w:t>2019-2023թթ</w:t>
      </w:r>
      <w:r w:rsidRPr="00A14B59">
        <w:rPr>
          <w:rFonts w:ascii="Cambria Math" w:hAnsi="Cambria Math" w:cs="Sylfaen"/>
          <w:bCs/>
          <w:i/>
          <w:color w:val="5B9BD5"/>
          <w:sz w:val="20"/>
          <w:szCs w:val="20"/>
          <w:lang w:val="hy-AM" w:eastAsia="en-US"/>
        </w:rPr>
        <w:t xml:space="preserve">․ </w:t>
      </w:r>
      <w:r w:rsidRPr="00A14B59">
        <w:rPr>
          <w:rFonts w:cs="Sylfaen"/>
          <w:bCs/>
          <w:i/>
          <w:color w:val="5B9BD5"/>
          <w:sz w:val="20"/>
          <w:szCs w:val="20"/>
          <w:lang w:val="hy-AM" w:eastAsia="en-US"/>
        </w:rPr>
        <w:t>ընթացիկ ծախսերի ֆինանսավորման ըստ տնտեսագիտական դասակարգման կառուցվածքի ծախ</w:t>
      </w:r>
      <w:r w:rsidRPr="00A14B59">
        <w:rPr>
          <w:rFonts w:cs="Sylfaen"/>
          <w:bCs/>
          <w:i/>
          <w:color w:val="5B9BD5"/>
          <w:sz w:val="20"/>
          <w:szCs w:val="20"/>
          <w:lang w:val="hy-AM" w:eastAsia="en-US"/>
        </w:rPr>
        <w:softHyphen/>
        <w:t>սերի հարա</w:t>
      </w:r>
      <w:r w:rsidRPr="00A14B59">
        <w:rPr>
          <w:rFonts w:cs="Sylfaen"/>
          <w:bCs/>
          <w:i/>
          <w:color w:val="5B9BD5"/>
          <w:sz w:val="20"/>
          <w:szCs w:val="20"/>
          <w:lang w:val="hy-AM" w:eastAsia="en-US"/>
        </w:rPr>
        <w:softHyphen/>
        <w:t>բերակցությունը ՀՆԱ-ի նկատմամբ</w:t>
      </w:r>
      <w:bookmarkEnd w:id="284"/>
      <w:bookmarkEnd w:id="285"/>
      <w:bookmarkEnd w:id="286"/>
      <w:bookmarkEnd w:id="287"/>
      <w:bookmarkEnd w:id="288"/>
    </w:p>
    <w:p w:rsidR="00833D38" w:rsidRPr="00A14B59" w:rsidRDefault="00833D38" w:rsidP="00833D38">
      <w:pPr>
        <w:spacing w:before="0" w:line="276" w:lineRule="auto"/>
        <w:ind w:firstLine="475"/>
        <w:contextualSpacing w:val="0"/>
        <w:rPr>
          <w:b w:val="0"/>
          <w:szCs w:val="22"/>
          <w:lang w:val="hy-AM" w:eastAsia="en-US"/>
        </w:rPr>
      </w:pPr>
    </w:p>
    <w:p w:rsidR="00833D38" w:rsidRPr="00A14B59" w:rsidRDefault="00833D38" w:rsidP="00833D38">
      <w:pPr>
        <w:spacing w:before="0" w:line="276" w:lineRule="auto"/>
        <w:ind w:firstLine="480"/>
        <w:contextualSpacing w:val="0"/>
        <w:rPr>
          <w:b w:val="0"/>
          <w:szCs w:val="22"/>
          <w:lang w:val="af-ZA" w:eastAsia="en-US"/>
        </w:rPr>
      </w:pPr>
      <w:r w:rsidRPr="00A14B59">
        <w:rPr>
          <w:b w:val="0"/>
          <w:noProof/>
          <w:szCs w:val="22"/>
          <w:lang w:val="en-US" w:eastAsia="en-US"/>
        </w:rPr>
        <w:drawing>
          <wp:inline distT="0" distB="0" distL="0" distR="0" wp14:anchorId="4F066BA0" wp14:editId="445BBEE1">
            <wp:extent cx="6076950" cy="4610100"/>
            <wp:effectExtent l="0" t="0" r="0" b="0"/>
            <wp:docPr id="44" name="Char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833D38" w:rsidRPr="00A14B59" w:rsidRDefault="00833D38" w:rsidP="00833D38">
      <w:pPr>
        <w:spacing w:before="0" w:line="276" w:lineRule="auto"/>
        <w:contextualSpacing w:val="0"/>
        <w:rPr>
          <w:rFonts w:cs="Sylfaen"/>
          <w:b w:val="0"/>
          <w:sz w:val="20"/>
          <w:szCs w:val="20"/>
          <w:lang w:val="hy-AM" w:eastAsia="en-US"/>
        </w:rPr>
      </w:pPr>
    </w:p>
    <w:p w:rsidR="00833D38" w:rsidRPr="00A14B59" w:rsidRDefault="00833D38" w:rsidP="00833D38">
      <w:pPr>
        <w:spacing w:before="0" w:line="276" w:lineRule="auto"/>
        <w:contextualSpacing w:val="0"/>
        <w:rPr>
          <w:b w:val="0"/>
          <w:szCs w:val="22"/>
          <w:lang w:val="hy-AM" w:eastAsia="en-US"/>
        </w:rPr>
      </w:pPr>
      <w:r w:rsidRPr="00A14B59">
        <w:rPr>
          <w:b w:val="0"/>
          <w:szCs w:val="22"/>
          <w:lang w:val="hy-AM" w:eastAsia="en-US"/>
        </w:rPr>
        <w:t>2023թ. պետական բյուջեից աշխատավարձերին ուղղվող ծախսերը կկազի</w:t>
      </w:r>
      <w:r>
        <w:rPr>
          <w:b w:val="0"/>
          <w:szCs w:val="22"/>
          <w:lang w:val="hy-AM" w:eastAsia="en-US"/>
        </w:rPr>
        <w:t xml:space="preserve"> ավելի քան</w:t>
      </w:r>
      <w:r w:rsidRPr="00A14B59">
        <w:rPr>
          <w:b w:val="0"/>
          <w:szCs w:val="22"/>
          <w:lang w:val="hy-AM" w:eastAsia="en-US"/>
        </w:rPr>
        <w:t xml:space="preserve"> 2</w:t>
      </w:r>
      <w:r>
        <w:rPr>
          <w:b w:val="0"/>
          <w:szCs w:val="22"/>
          <w:lang w:val="hy-AM" w:eastAsia="en-US"/>
        </w:rPr>
        <w:t>11</w:t>
      </w:r>
      <w:r w:rsidRPr="00A14B59">
        <w:rPr>
          <w:b w:val="0"/>
          <w:szCs w:val="22"/>
          <w:lang w:val="hy-AM" w:eastAsia="en-US"/>
        </w:rPr>
        <w:t xml:space="preserve"> մլրդ դրամ կամ 2022թ. հաստատված բյուջեից ավել 1</w:t>
      </w:r>
      <w:r w:rsidRPr="00E029C4">
        <w:rPr>
          <w:b w:val="0"/>
          <w:szCs w:val="22"/>
          <w:lang w:val="hy-AM" w:eastAsia="en-US"/>
        </w:rPr>
        <w:t>4.5</w:t>
      </w:r>
      <w:r>
        <w:rPr>
          <w:b w:val="0"/>
          <w:szCs w:val="22"/>
          <w:lang w:val="hy-AM" w:eastAsia="en-US"/>
        </w:rPr>
        <w:t xml:space="preserve"> տոկոսով կամ 26.</w:t>
      </w:r>
      <w:r w:rsidRPr="00E029C4">
        <w:rPr>
          <w:b w:val="0"/>
          <w:szCs w:val="22"/>
          <w:lang w:val="hy-AM" w:eastAsia="en-US"/>
        </w:rPr>
        <w:t>8</w:t>
      </w:r>
      <w:r w:rsidRPr="00A14B59">
        <w:rPr>
          <w:b w:val="0"/>
          <w:szCs w:val="22"/>
          <w:lang w:val="hy-AM" w:eastAsia="en-US"/>
        </w:rPr>
        <w:t xml:space="preserve"> մլրդ դրամով: 2023թ. տոկոսավճարների գծով ծախսը կազմում է </w:t>
      </w:r>
      <w:r w:rsidRPr="00E029C4">
        <w:rPr>
          <w:b w:val="0"/>
          <w:szCs w:val="22"/>
          <w:lang w:val="hy-AM" w:eastAsia="en-US"/>
        </w:rPr>
        <w:t>273</w:t>
      </w:r>
      <w:r w:rsidRPr="00A14B59">
        <w:rPr>
          <w:b w:val="0"/>
          <w:szCs w:val="22"/>
          <w:lang w:val="hy-AM" w:eastAsia="en-US"/>
        </w:rPr>
        <w:t xml:space="preserve"> մլրդ դրամ: 2023թ. պետական բյուջեից կազմակերպություննե</w:t>
      </w:r>
      <w:r>
        <w:rPr>
          <w:b w:val="0"/>
          <w:szCs w:val="22"/>
          <w:lang w:val="hy-AM" w:eastAsia="en-US"/>
        </w:rPr>
        <w:t>րին նախատեսվում է տրամադրել 151.</w:t>
      </w:r>
      <w:r w:rsidRPr="00E029C4">
        <w:rPr>
          <w:b w:val="0"/>
          <w:szCs w:val="22"/>
          <w:lang w:val="hy-AM" w:eastAsia="en-US"/>
        </w:rPr>
        <w:t>5</w:t>
      </w:r>
      <w:r w:rsidRPr="00A14B59">
        <w:rPr>
          <w:b w:val="0"/>
          <w:szCs w:val="22"/>
          <w:lang w:val="hy-AM" w:eastAsia="en-US"/>
        </w:rPr>
        <w:t xml:space="preserve"> մլրդ դրամի սուբսիդիաներ, որը 2022 թվականի հաստատված բյուջեի համեմատ սուբսիդիաների գծով ծախսն ավել է կանխատեսվել </w:t>
      </w:r>
      <w:r w:rsidRPr="00E029C4">
        <w:rPr>
          <w:b w:val="0"/>
          <w:szCs w:val="22"/>
          <w:lang w:val="hy-AM" w:eastAsia="en-US"/>
        </w:rPr>
        <w:t>6</w:t>
      </w:r>
      <w:r w:rsidRPr="00A14B59">
        <w:rPr>
          <w:b w:val="0"/>
          <w:szCs w:val="22"/>
          <w:lang w:val="hy-AM" w:eastAsia="en-US"/>
        </w:rPr>
        <w:t xml:space="preserve">.8 տոկոսով կամ </w:t>
      </w:r>
      <w:r w:rsidRPr="00E029C4">
        <w:rPr>
          <w:b w:val="0"/>
          <w:szCs w:val="22"/>
          <w:lang w:val="hy-AM" w:eastAsia="en-US"/>
        </w:rPr>
        <w:t>9.6</w:t>
      </w:r>
      <w:r w:rsidRPr="00A14B59">
        <w:rPr>
          <w:b w:val="0"/>
          <w:szCs w:val="22"/>
          <w:lang w:val="hy-AM" w:eastAsia="en-US"/>
        </w:rPr>
        <w:t xml:space="preserve"> մլրդ դրամով:</w:t>
      </w:r>
    </w:p>
    <w:p w:rsidR="00833D38" w:rsidRPr="00A14B59" w:rsidRDefault="00833D38" w:rsidP="00833D38">
      <w:pPr>
        <w:spacing w:before="0" w:line="276" w:lineRule="auto"/>
        <w:contextualSpacing w:val="0"/>
        <w:rPr>
          <w:b w:val="0"/>
          <w:szCs w:val="22"/>
          <w:lang w:val="hy-AM" w:eastAsia="en-US"/>
        </w:rPr>
      </w:pPr>
      <w:r w:rsidRPr="00A14B59">
        <w:rPr>
          <w:b w:val="0"/>
          <w:szCs w:val="22"/>
          <w:lang w:val="hy-AM" w:eastAsia="en-US"/>
        </w:rPr>
        <w:t>2023թ. ընթացիկ ծախսերի աճը մեծապես ապահովվելու է սոցիալական նպաստների և կենսաթոշակների վճարների գծով պետական բյուջեի ծախսերի (</w:t>
      </w:r>
      <w:r w:rsidRPr="00E029C4">
        <w:rPr>
          <w:b w:val="0"/>
          <w:szCs w:val="22"/>
          <w:lang w:val="hy-AM" w:eastAsia="en-US"/>
        </w:rPr>
        <w:t>660</w:t>
      </w:r>
      <w:r w:rsidRPr="00A14B59">
        <w:rPr>
          <w:b w:val="0"/>
          <w:szCs w:val="22"/>
          <w:lang w:val="hy-AM" w:eastAsia="en-US"/>
        </w:rPr>
        <w:t xml:space="preserve"> մլրդ դրամ) ավելացման հաշվին, որոնք 2022 թվականի հաստատվա</w:t>
      </w:r>
      <w:r>
        <w:rPr>
          <w:b w:val="0"/>
          <w:szCs w:val="22"/>
          <w:lang w:val="hy-AM" w:eastAsia="en-US"/>
        </w:rPr>
        <w:t>ծ բյուջեի նկատմամբ ավելացել է 15</w:t>
      </w:r>
      <w:r w:rsidRPr="00A14B59">
        <w:rPr>
          <w:b w:val="0"/>
          <w:szCs w:val="22"/>
          <w:lang w:val="hy-AM" w:eastAsia="en-US"/>
        </w:rPr>
        <w:t>.</w:t>
      </w:r>
      <w:r w:rsidRPr="00E029C4">
        <w:rPr>
          <w:b w:val="0"/>
          <w:szCs w:val="22"/>
          <w:lang w:val="hy-AM" w:eastAsia="en-US"/>
        </w:rPr>
        <w:t>3</w:t>
      </w:r>
      <w:r w:rsidRPr="00A14B59">
        <w:rPr>
          <w:b w:val="0"/>
          <w:szCs w:val="22"/>
          <w:lang w:val="hy-AM" w:eastAsia="en-US"/>
        </w:rPr>
        <w:t xml:space="preserve"> տոկոսով կամ 8</w:t>
      </w:r>
      <w:r w:rsidRPr="00E029C4">
        <w:rPr>
          <w:b w:val="0"/>
          <w:szCs w:val="22"/>
          <w:lang w:val="hy-AM" w:eastAsia="en-US"/>
        </w:rPr>
        <w:t>8</w:t>
      </w:r>
      <w:r w:rsidRPr="00A14B59">
        <w:rPr>
          <w:b w:val="0"/>
          <w:szCs w:val="22"/>
          <w:lang w:val="hy-AM" w:eastAsia="en-US"/>
        </w:rPr>
        <w:t xml:space="preserve"> մլրդ դրամով: </w:t>
      </w:r>
    </w:p>
    <w:p w:rsidR="00833D38" w:rsidRPr="00A14B59" w:rsidRDefault="00833D38" w:rsidP="00833D38">
      <w:pPr>
        <w:spacing w:before="0" w:line="276" w:lineRule="auto"/>
        <w:contextualSpacing w:val="0"/>
        <w:rPr>
          <w:b w:val="0"/>
          <w:szCs w:val="22"/>
          <w:lang w:val="hy-AM" w:eastAsia="en-US"/>
        </w:rPr>
      </w:pPr>
      <w:r w:rsidRPr="00A14B59">
        <w:rPr>
          <w:b w:val="0"/>
          <w:szCs w:val="22"/>
          <w:lang w:val="hy-AM" w:eastAsia="en-US"/>
        </w:rPr>
        <w:t>2023թ պետական բյուջեից նախատեսվում է տրամադրել դրամաշնորհներ՝ 26</w:t>
      </w:r>
      <w:r w:rsidRPr="00E029C4">
        <w:rPr>
          <w:b w:val="0"/>
          <w:szCs w:val="22"/>
          <w:lang w:val="hy-AM" w:eastAsia="en-US"/>
        </w:rPr>
        <w:t>8</w:t>
      </w:r>
      <w:r w:rsidRPr="00A14B59">
        <w:rPr>
          <w:b w:val="0"/>
          <w:szCs w:val="22"/>
          <w:lang w:val="hy-AM" w:eastAsia="en-US"/>
        </w:rPr>
        <w:t xml:space="preserve"> մլրդ դրամ 2022 թվականի հաստատված բյուջեի նկատմամբ համապատասխանաբար 1</w:t>
      </w:r>
      <w:r w:rsidRPr="00E029C4">
        <w:rPr>
          <w:b w:val="0"/>
          <w:szCs w:val="22"/>
          <w:lang w:val="hy-AM" w:eastAsia="en-US"/>
        </w:rPr>
        <w:t>7</w:t>
      </w:r>
      <w:r w:rsidRPr="00A14B59">
        <w:rPr>
          <w:b w:val="0"/>
          <w:szCs w:val="22"/>
          <w:lang w:val="hy-AM" w:eastAsia="en-US"/>
        </w:rPr>
        <w:t>.</w:t>
      </w:r>
      <w:r w:rsidRPr="00E029C4">
        <w:rPr>
          <w:b w:val="0"/>
          <w:szCs w:val="22"/>
          <w:lang w:val="hy-AM" w:eastAsia="en-US"/>
        </w:rPr>
        <w:t>3</w:t>
      </w:r>
      <w:r w:rsidRPr="00A14B59">
        <w:rPr>
          <w:b w:val="0"/>
          <w:szCs w:val="22"/>
          <w:lang w:val="hy-AM" w:eastAsia="en-US"/>
        </w:rPr>
        <w:t xml:space="preserve"> տոկոսով կամ </w:t>
      </w:r>
      <w:r w:rsidRPr="00E029C4">
        <w:rPr>
          <w:b w:val="0"/>
          <w:szCs w:val="22"/>
          <w:lang w:val="hy-AM" w:eastAsia="en-US"/>
        </w:rPr>
        <w:t>40</w:t>
      </w:r>
      <w:r w:rsidRPr="00A14B59">
        <w:rPr>
          <w:b w:val="0"/>
          <w:szCs w:val="22"/>
          <w:lang w:val="hy-AM" w:eastAsia="en-US"/>
        </w:rPr>
        <w:t xml:space="preserve"> մլրդ դրամով ավել: </w:t>
      </w:r>
    </w:p>
    <w:p w:rsidR="00833D38" w:rsidRPr="00A14B59" w:rsidRDefault="00833D38" w:rsidP="00833D38">
      <w:pPr>
        <w:spacing w:before="0" w:line="276" w:lineRule="auto"/>
        <w:contextualSpacing w:val="0"/>
        <w:rPr>
          <w:b w:val="0"/>
          <w:szCs w:val="22"/>
          <w:lang w:val="hy-AM" w:eastAsia="en-US"/>
        </w:rPr>
      </w:pPr>
      <w:r w:rsidRPr="00A14B59">
        <w:rPr>
          <w:b w:val="0"/>
          <w:szCs w:val="22"/>
          <w:lang w:val="hy-AM" w:eastAsia="en-US"/>
        </w:rPr>
        <w:t>2023թ պետական բյուջեից նախատեսվում է տրամադրել ծառայությունների, ապրանքների ձեռքբերման և այլ ծախսերի գծով 4</w:t>
      </w:r>
      <w:r w:rsidRPr="00E029C4">
        <w:rPr>
          <w:b w:val="0"/>
          <w:szCs w:val="22"/>
          <w:lang w:val="hy-AM" w:eastAsia="en-US"/>
        </w:rPr>
        <w:t>79</w:t>
      </w:r>
      <w:r w:rsidRPr="00A14B59">
        <w:rPr>
          <w:b w:val="0"/>
          <w:szCs w:val="22"/>
          <w:lang w:val="hy-AM" w:eastAsia="en-US"/>
        </w:rPr>
        <w:t xml:space="preserve"> մլրդ դրամ, որը 2022 թվականի հաստատված բյուջեի նկատմամբ համապատասխանաբար </w:t>
      </w:r>
      <w:r w:rsidRPr="00E029C4">
        <w:rPr>
          <w:b w:val="0"/>
          <w:szCs w:val="22"/>
          <w:lang w:val="hy-AM" w:eastAsia="en-US"/>
        </w:rPr>
        <w:t>4.3</w:t>
      </w:r>
      <w:r w:rsidRPr="00A14B59">
        <w:rPr>
          <w:b w:val="0"/>
          <w:szCs w:val="22"/>
          <w:lang w:val="hy-AM" w:eastAsia="en-US"/>
        </w:rPr>
        <w:t xml:space="preserve"> տոկոսով կամ </w:t>
      </w:r>
      <w:r w:rsidRPr="00E029C4">
        <w:rPr>
          <w:b w:val="0"/>
          <w:szCs w:val="22"/>
          <w:lang w:val="hy-AM" w:eastAsia="en-US"/>
        </w:rPr>
        <w:t>21.7</w:t>
      </w:r>
      <w:r w:rsidRPr="00A14B59">
        <w:rPr>
          <w:b w:val="0"/>
          <w:szCs w:val="22"/>
          <w:lang w:val="hy-AM" w:eastAsia="en-US"/>
        </w:rPr>
        <w:t xml:space="preserve"> մլրդ դրամով պակաս:</w:t>
      </w:r>
    </w:p>
    <w:p w:rsidR="00833D38" w:rsidRPr="00A14B59" w:rsidRDefault="00833D38" w:rsidP="00833D38">
      <w:pPr>
        <w:spacing w:before="0" w:line="276" w:lineRule="auto"/>
        <w:contextualSpacing w:val="0"/>
        <w:rPr>
          <w:b w:val="0"/>
          <w:szCs w:val="22"/>
          <w:lang w:val="hy-AM" w:eastAsia="en-US"/>
        </w:rPr>
      </w:pPr>
    </w:p>
    <w:p w:rsidR="00833D38" w:rsidRPr="00A14B59" w:rsidRDefault="00833D38" w:rsidP="00833D38">
      <w:pPr>
        <w:spacing w:before="0" w:line="240" w:lineRule="auto"/>
        <w:rPr>
          <w:bCs/>
          <w:i/>
          <w:color w:val="5B9BD5"/>
          <w:sz w:val="20"/>
          <w:szCs w:val="20"/>
          <w:lang w:val="hy-AM"/>
        </w:rPr>
      </w:pPr>
      <w:bookmarkStart w:id="289" w:name="_Toc57631762"/>
      <w:bookmarkStart w:id="290" w:name="_Toc83752675"/>
      <w:bookmarkStart w:id="291" w:name="_Toc83928947"/>
      <w:bookmarkStart w:id="292" w:name="_Toc115255381"/>
      <w:bookmarkStart w:id="293" w:name="_Toc120805268"/>
      <w:r w:rsidRPr="00A14B59">
        <w:rPr>
          <w:b w:val="0"/>
          <w:bCs/>
          <w:color w:val="5B9BD5"/>
          <w:sz w:val="18"/>
          <w:szCs w:val="18"/>
          <w:lang w:val="hy-AM"/>
        </w:rPr>
        <w:t xml:space="preserve">Աղյուսակ </w:t>
      </w:r>
      <w:r w:rsidRPr="00A14B59">
        <w:rPr>
          <w:b w:val="0"/>
          <w:bCs/>
          <w:color w:val="5B9BD5"/>
          <w:sz w:val="18"/>
          <w:szCs w:val="18"/>
        </w:rPr>
        <w:fldChar w:fldCharType="begin"/>
      </w:r>
      <w:r w:rsidRPr="00A14B59">
        <w:rPr>
          <w:b w:val="0"/>
          <w:bCs/>
          <w:color w:val="5B9BD5"/>
          <w:sz w:val="18"/>
          <w:szCs w:val="18"/>
          <w:lang w:val="hy-AM"/>
        </w:rPr>
        <w:instrText xml:space="preserve"> SEQ Աղյուսակ \* ARABIC </w:instrText>
      </w:r>
      <w:r w:rsidRPr="00A14B59">
        <w:rPr>
          <w:b w:val="0"/>
          <w:bCs/>
          <w:color w:val="5B9BD5"/>
          <w:sz w:val="18"/>
          <w:szCs w:val="18"/>
        </w:rPr>
        <w:fldChar w:fldCharType="separate"/>
      </w:r>
      <w:r w:rsidR="008177DF">
        <w:rPr>
          <w:b w:val="0"/>
          <w:bCs/>
          <w:noProof/>
          <w:color w:val="5B9BD5"/>
          <w:sz w:val="18"/>
          <w:szCs w:val="18"/>
          <w:lang w:val="hy-AM"/>
        </w:rPr>
        <w:t>9</w:t>
      </w:r>
      <w:r w:rsidRPr="00A14B59">
        <w:rPr>
          <w:b w:val="0"/>
          <w:bCs/>
          <w:color w:val="5B9BD5"/>
          <w:sz w:val="18"/>
          <w:szCs w:val="18"/>
        </w:rPr>
        <w:fldChar w:fldCharType="end"/>
      </w:r>
      <w:r w:rsidRPr="00A14B59">
        <w:rPr>
          <w:rFonts w:ascii="Cambria Math" w:hAnsi="Cambria Math" w:cs="Cambria Math"/>
          <w:b w:val="0"/>
          <w:bCs/>
          <w:color w:val="5B9BD5"/>
          <w:sz w:val="18"/>
          <w:szCs w:val="18"/>
          <w:lang w:val="hy-AM"/>
        </w:rPr>
        <w:t>․</w:t>
      </w:r>
      <w:r w:rsidRPr="00A14B59">
        <w:rPr>
          <w:b w:val="0"/>
          <w:bCs/>
          <w:color w:val="5B9BD5"/>
          <w:sz w:val="18"/>
          <w:szCs w:val="18"/>
          <w:lang w:val="hy-AM"/>
        </w:rPr>
        <w:t xml:space="preserve"> </w:t>
      </w:r>
      <w:r w:rsidRPr="00A14B59">
        <w:rPr>
          <w:bCs/>
          <w:i/>
          <w:color w:val="5B9BD5"/>
          <w:sz w:val="20"/>
          <w:szCs w:val="20"/>
          <w:lang w:val="hy-AM"/>
        </w:rPr>
        <w:t>2019-2023թթ ընթացիկ ծախսերի ֆինանսավորման կառուցվածը ըստ տնտեսագիտական դասակարգման</w:t>
      </w:r>
      <w:bookmarkEnd w:id="289"/>
      <w:bookmarkEnd w:id="290"/>
      <w:bookmarkEnd w:id="291"/>
      <w:bookmarkEnd w:id="292"/>
      <w:bookmarkEnd w:id="293"/>
    </w:p>
    <w:p w:rsidR="00833D38" w:rsidRPr="00A14B59" w:rsidRDefault="00833D38" w:rsidP="00833D38">
      <w:pPr>
        <w:spacing w:before="0" w:line="240" w:lineRule="auto"/>
        <w:ind w:firstLine="562"/>
        <w:contextualSpacing w:val="0"/>
        <w:jc w:val="center"/>
        <w:rPr>
          <w:b w:val="0"/>
          <w:sz w:val="20"/>
          <w:szCs w:val="20"/>
          <w:lang w:val="hy-AM" w:eastAsia="en-US"/>
        </w:rPr>
      </w:pPr>
      <w:r w:rsidRPr="00A14B59">
        <w:rPr>
          <w:b w:val="0"/>
          <w:sz w:val="20"/>
          <w:szCs w:val="20"/>
          <w:lang w:val="hy-AM" w:eastAsia="en-US"/>
        </w:rPr>
        <w:t xml:space="preserve">                                                                                                                                     մլն դրամ                                                                 </w:t>
      </w:r>
    </w:p>
    <w:tbl>
      <w:tblPr>
        <w:tblW w:w="10000" w:type="dxa"/>
        <w:tblLook w:val="04A0" w:firstRow="1" w:lastRow="0" w:firstColumn="1" w:lastColumn="0" w:noHBand="0" w:noVBand="1"/>
      </w:tblPr>
      <w:tblGrid>
        <w:gridCol w:w="3009"/>
        <w:gridCol w:w="1235"/>
        <w:gridCol w:w="1235"/>
        <w:gridCol w:w="1507"/>
        <w:gridCol w:w="1507"/>
        <w:gridCol w:w="1507"/>
      </w:tblGrid>
      <w:tr w:rsidR="00833D38" w:rsidRPr="00A14B59" w:rsidTr="000D1FAE">
        <w:trPr>
          <w:trHeight w:val="825"/>
        </w:trPr>
        <w:tc>
          <w:tcPr>
            <w:tcW w:w="3009" w:type="dxa"/>
            <w:tcBorders>
              <w:top w:val="single" w:sz="8" w:space="0" w:color="auto"/>
              <w:left w:val="single" w:sz="8" w:space="0" w:color="auto"/>
              <w:bottom w:val="single" w:sz="8" w:space="0" w:color="auto"/>
              <w:right w:val="single" w:sz="8" w:space="0" w:color="auto"/>
            </w:tcBorders>
            <w:shd w:val="clear" w:color="000000" w:fill="2E74B5"/>
            <w:vAlign w:val="center"/>
            <w:hideMark/>
          </w:tcPr>
          <w:p w:rsidR="00833D38" w:rsidRPr="00A14B59" w:rsidRDefault="00833D38" w:rsidP="000D1FAE">
            <w:pPr>
              <w:spacing w:before="0" w:line="240" w:lineRule="auto"/>
              <w:ind w:firstLine="0"/>
              <w:contextualSpacing w:val="0"/>
              <w:jc w:val="center"/>
              <w:rPr>
                <w:rFonts w:cs="Calibri"/>
                <w:b w:val="0"/>
                <w:color w:val="FFFFFF"/>
                <w:sz w:val="20"/>
                <w:szCs w:val="20"/>
                <w:lang w:val="en-US" w:eastAsia="en-US"/>
              </w:rPr>
            </w:pPr>
            <w:r w:rsidRPr="00A14B59">
              <w:rPr>
                <w:rFonts w:cs="Calibri"/>
                <w:b w:val="0"/>
                <w:color w:val="FFFFFF"/>
                <w:sz w:val="20"/>
                <w:szCs w:val="20"/>
                <w:lang w:val="en-US" w:eastAsia="en-US"/>
              </w:rPr>
              <w:t>Ցուցանիշներ</w:t>
            </w:r>
          </w:p>
        </w:tc>
        <w:tc>
          <w:tcPr>
            <w:tcW w:w="1235" w:type="dxa"/>
            <w:tcBorders>
              <w:top w:val="single" w:sz="8" w:space="0" w:color="auto"/>
              <w:left w:val="nil"/>
              <w:bottom w:val="single" w:sz="8" w:space="0" w:color="auto"/>
              <w:right w:val="single" w:sz="8" w:space="0" w:color="auto"/>
            </w:tcBorders>
            <w:shd w:val="clear" w:color="000000" w:fill="2E74B5"/>
            <w:vAlign w:val="center"/>
            <w:hideMark/>
          </w:tcPr>
          <w:p w:rsidR="00833D38" w:rsidRPr="00A14B59" w:rsidRDefault="00833D38" w:rsidP="000D1FAE">
            <w:pPr>
              <w:spacing w:before="0" w:line="240" w:lineRule="auto"/>
              <w:ind w:firstLine="0"/>
              <w:contextualSpacing w:val="0"/>
              <w:jc w:val="center"/>
              <w:rPr>
                <w:rFonts w:cs="Calibri"/>
                <w:b w:val="0"/>
                <w:color w:val="FFFFFF"/>
                <w:sz w:val="20"/>
                <w:szCs w:val="20"/>
                <w:lang w:val="en-US" w:eastAsia="en-US"/>
              </w:rPr>
            </w:pPr>
            <w:r w:rsidRPr="00A14B59">
              <w:rPr>
                <w:rFonts w:cs="Calibri"/>
                <w:b w:val="0"/>
                <w:color w:val="FFFFFF"/>
                <w:sz w:val="20"/>
                <w:szCs w:val="20"/>
                <w:lang w:val="en-US" w:eastAsia="en-US"/>
              </w:rPr>
              <w:t>2019թ փաստացի</w:t>
            </w:r>
          </w:p>
        </w:tc>
        <w:tc>
          <w:tcPr>
            <w:tcW w:w="1235" w:type="dxa"/>
            <w:tcBorders>
              <w:top w:val="single" w:sz="8" w:space="0" w:color="auto"/>
              <w:left w:val="nil"/>
              <w:bottom w:val="single" w:sz="8" w:space="0" w:color="auto"/>
              <w:right w:val="single" w:sz="8" w:space="0" w:color="auto"/>
            </w:tcBorders>
            <w:shd w:val="clear" w:color="000000" w:fill="2E74B5"/>
            <w:vAlign w:val="center"/>
            <w:hideMark/>
          </w:tcPr>
          <w:p w:rsidR="00833D38" w:rsidRPr="00A14B59" w:rsidRDefault="00833D38" w:rsidP="000D1FAE">
            <w:pPr>
              <w:spacing w:before="0" w:line="240" w:lineRule="auto"/>
              <w:ind w:firstLine="0"/>
              <w:contextualSpacing w:val="0"/>
              <w:jc w:val="center"/>
              <w:rPr>
                <w:rFonts w:cs="Calibri"/>
                <w:b w:val="0"/>
                <w:color w:val="FFFFFF"/>
                <w:sz w:val="20"/>
                <w:szCs w:val="20"/>
                <w:lang w:val="en-US" w:eastAsia="en-US"/>
              </w:rPr>
            </w:pPr>
            <w:r w:rsidRPr="00A14B59">
              <w:rPr>
                <w:rFonts w:cs="Calibri"/>
                <w:b w:val="0"/>
                <w:color w:val="FFFFFF"/>
                <w:sz w:val="20"/>
                <w:szCs w:val="20"/>
                <w:lang w:val="en-US" w:eastAsia="en-US"/>
              </w:rPr>
              <w:t>2020թ փաստացի</w:t>
            </w:r>
          </w:p>
        </w:tc>
        <w:tc>
          <w:tcPr>
            <w:tcW w:w="1507" w:type="dxa"/>
            <w:tcBorders>
              <w:top w:val="single" w:sz="8" w:space="0" w:color="auto"/>
              <w:left w:val="nil"/>
              <w:bottom w:val="single" w:sz="8" w:space="0" w:color="auto"/>
              <w:right w:val="single" w:sz="8" w:space="0" w:color="auto"/>
            </w:tcBorders>
            <w:shd w:val="clear" w:color="000000" w:fill="2E74B5"/>
            <w:vAlign w:val="center"/>
            <w:hideMark/>
          </w:tcPr>
          <w:p w:rsidR="00833D38" w:rsidRPr="00A14B59" w:rsidRDefault="00833D38" w:rsidP="000D1FAE">
            <w:pPr>
              <w:spacing w:before="0" w:line="240" w:lineRule="auto"/>
              <w:ind w:firstLine="0"/>
              <w:contextualSpacing w:val="0"/>
              <w:jc w:val="center"/>
              <w:rPr>
                <w:rFonts w:cs="Calibri"/>
                <w:b w:val="0"/>
                <w:color w:val="FFFFFF"/>
                <w:sz w:val="20"/>
                <w:szCs w:val="20"/>
                <w:lang w:val="en-US" w:eastAsia="en-US"/>
              </w:rPr>
            </w:pPr>
            <w:r w:rsidRPr="00A14B59">
              <w:rPr>
                <w:rFonts w:cs="Calibri"/>
                <w:b w:val="0"/>
                <w:color w:val="FFFFFF"/>
                <w:sz w:val="20"/>
                <w:szCs w:val="20"/>
                <w:lang w:val="en-US" w:eastAsia="en-US"/>
              </w:rPr>
              <w:t>2021թ փաստացի</w:t>
            </w:r>
          </w:p>
        </w:tc>
        <w:tc>
          <w:tcPr>
            <w:tcW w:w="1507" w:type="dxa"/>
            <w:tcBorders>
              <w:top w:val="single" w:sz="8" w:space="0" w:color="auto"/>
              <w:left w:val="nil"/>
              <w:bottom w:val="single" w:sz="8" w:space="0" w:color="auto"/>
              <w:right w:val="single" w:sz="8" w:space="0" w:color="auto"/>
            </w:tcBorders>
            <w:shd w:val="clear" w:color="000000" w:fill="2E74B5"/>
            <w:vAlign w:val="center"/>
            <w:hideMark/>
          </w:tcPr>
          <w:p w:rsidR="00833D38" w:rsidRPr="00A14B59" w:rsidRDefault="00833D38" w:rsidP="000D1FAE">
            <w:pPr>
              <w:spacing w:before="0" w:line="240" w:lineRule="auto"/>
              <w:ind w:firstLine="0"/>
              <w:contextualSpacing w:val="0"/>
              <w:jc w:val="center"/>
              <w:rPr>
                <w:rFonts w:cs="Calibri"/>
                <w:b w:val="0"/>
                <w:color w:val="FFFFFF"/>
                <w:sz w:val="20"/>
                <w:szCs w:val="20"/>
                <w:lang w:val="en-US" w:eastAsia="en-US"/>
              </w:rPr>
            </w:pPr>
            <w:r w:rsidRPr="00A14B59">
              <w:rPr>
                <w:rFonts w:cs="Calibri"/>
                <w:b w:val="0"/>
                <w:color w:val="FFFFFF"/>
                <w:sz w:val="20"/>
                <w:szCs w:val="20"/>
                <w:lang w:val="en-US" w:eastAsia="en-US"/>
              </w:rPr>
              <w:t>2022թ  հաստատված</w:t>
            </w:r>
          </w:p>
        </w:tc>
        <w:tc>
          <w:tcPr>
            <w:tcW w:w="1507" w:type="dxa"/>
            <w:tcBorders>
              <w:top w:val="single" w:sz="8" w:space="0" w:color="auto"/>
              <w:left w:val="nil"/>
              <w:bottom w:val="single" w:sz="8" w:space="0" w:color="auto"/>
              <w:right w:val="single" w:sz="8" w:space="0" w:color="auto"/>
            </w:tcBorders>
            <w:shd w:val="clear" w:color="000000" w:fill="2E74B5"/>
            <w:vAlign w:val="center"/>
            <w:hideMark/>
          </w:tcPr>
          <w:p w:rsidR="00833D38" w:rsidRPr="00A14B59" w:rsidRDefault="00833D38" w:rsidP="000D1FAE">
            <w:pPr>
              <w:spacing w:before="0" w:line="240" w:lineRule="auto"/>
              <w:ind w:firstLine="0"/>
              <w:contextualSpacing w:val="0"/>
              <w:jc w:val="center"/>
              <w:rPr>
                <w:rFonts w:cs="Calibri"/>
                <w:b w:val="0"/>
                <w:color w:val="FFFFFF"/>
                <w:sz w:val="20"/>
                <w:szCs w:val="20"/>
                <w:lang w:val="en-US" w:eastAsia="en-US"/>
              </w:rPr>
            </w:pPr>
            <w:r w:rsidRPr="00A14B59">
              <w:rPr>
                <w:rFonts w:cs="Calibri"/>
                <w:b w:val="0"/>
                <w:color w:val="FFFFFF"/>
                <w:sz w:val="20"/>
                <w:szCs w:val="20"/>
                <w:lang w:val="en-US" w:eastAsia="en-US"/>
              </w:rPr>
              <w:t>2023թ. բյուջե</w:t>
            </w:r>
          </w:p>
        </w:tc>
      </w:tr>
      <w:tr w:rsidR="00833D38" w:rsidRPr="00A14B59" w:rsidTr="00540FFA">
        <w:trPr>
          <w:trHeight w:val="79"/>
        </w:trPr>
        <w:tc>
          <w:tcPr>
            <w:tcW w:w="3009" w:type="dxa"/>
            <w:tcBorders>
              <w:top w:val="nil"/>
              <w:left w:val="single" w:sz="8" w:space="0" w:color="auto"/>
              <w:bottom w:val="single" w:sz="8" w:space="0" w:color="auto"/>
              <w:right w:val="single" w:sz="8" w:space="0" w:color="auto"/>
            </w:tcBorders>
            <w:shd w:val="clear" w:color="000000" w:fill="D5DCE4"/>
            <w:vAlign w:val="center"/>
            <w:hideMark/>
          </w:tcPr>
          <w:p w:rsidR="00833D38" w:rsidRPr="00A14B59" w:rsidRDefault="00833D38" w:rsidP="000D1FAE">
            <w:pPr>
              <w:spacing w:before="0" w:line="240" w:lineRule="auto"/>
              <w:ind w:firstLine="0"/>
              <w:contextualSpacing w:val="0"/>
              <w:rPr>
                <w:rFonts w:cs="Calibri"/>
                <w:bCs/>
                <w:color w:val="000000"/>
                <w:sz w:val="20"/>
                <w:szCs w:val="20"/>
                <w:lang w:val="en-US" w:eastAsia="en-US"/>
              </w:rPr>
            </w:pPr>
            <w:r w:rsidRPr="00A14B59">
              <w:rPr>
                <w:rFonts w:cs="Calibri"/>
                <w:bCs/>
                <w:color w:val="000000"/>
                <w:sz w:val="20"/>
                <w:szCs w:val="20"/>
                <w:lang w:val="en-US" w:eastAsia="en-US"/>
              </w:rPr>
              <w:t>ԸՆԹԱՑԻԿ ԾԱԽՍԵՐ</w:t>
            </w:r>
          </w:p>
        </w:tc>
        <w:tc>
          <w:tcPr>
            <w:tcW w:w="1235" w:type="dxa"/>
            <w:tcBorders>
              <w:top w:val="nil"/>
              <w:left w:val="nil"/>
              <w:bottom w:val="single" w:sz="8" w:space="0" w:color="auto"/>
              <w:right w:val="single" w:sz="8" w:space="0" w:color="auto"/>
            </w:tcBorders>
            <w:shd w:val="clear" w:color="000000" w:fill="D5DCE4"/>
            <w:noWrap/>
            <w:vAlign w:val="center"/>
            <w:hideMark/>
          </w:tcPr>
          <w:p w:rsidR="00833D38" w:rsidRPr="00A14B59" w:rsidRDefault="00833D38" w:rsidP="00540FFA">
            <w:pPr>
              <w:spacing w:before="0" w:line="240" w:lineRule="auto"/>
              <w:ind w:firstLine="0"/>
              <w:contextualSpacing w:val="0"/>
              <w:jc w:val="right"/>
              <w:rPr>
                <w:rFonts w:ascii="Arial Narrow" w:hAnsi="Arial Narrow" w:cs="Arial"/>
                <w:bCs/>
                <w:color w:val="000000"/>
                <w:sz w:val="20"/>
                <w:szCs w:val="20"/>
                <w:lang w:val="en-US" w:eastAsia="en-US"/>
              </w:rPr>
            </w:pPr>
            <w:r w:rsidRPr="00A14B59">
              <w:rPr>
                <w:rFonts w:ascii="Arial Narrow" w:hAnsi="Arial Narrow" w:cs="Arial"/>
                <w:bCs/>
                <w:color w:val="000000"/>
                <w:sz w:val="20"/>
                <w:szCs w:val="20"/>
                <w:lang w:val="en-US" w:eastAsia="en-US"/>
              </w:rPr>
              <w:t>1,437,143</w:t>
            </w:r>
          </w:p>
        </w:tc>
        <w:tc>
          <w:tcPr>
            <w:tcW w:w="1235" w:type="dxa"/>
            <w:tcBorders>
              <w:top w:val="nil"/>
              <w:left w:val="nil"/>
              <w:bottom w:val="single" w:sz="8" w:space="0" w:color="auto"/>
              <w:right w:val="single" w:sz="8" w:space="0" w:color="auto"/>
            </w:tcBorders>
            <w:shd w:val="clear" w:color="000000" w:fill="D5DCE4"/>
            <w:noWrap/>
            <w:vAlign w:val="center"/>
            <w:hideMark/>
          </w:tcPr>
          <w:p w:rsidR="00833D38" w:rsidRPr="00A14B59" w:rsidRDefault="00833D38" w:rsidP="00540FFA">
            <w:pPr>
              <w:spacing w:before="0" w:line="240" w:lineRule="auto"/>
              <w:ind w:firstLine="0"/>
              <w:contextualSpacing w:val="0"/>
              <w:jc w:val="right"/>
              <w:rPr>
                <w:rFonts w:ascii="Arial Narrow" w:hAnsi="Arial Narrow" w:cs="Arial"/>
                <w:bCs/>
                <w:color w:val="000000"/>
                <w:sz w:val="20"/>
                <w:szCs w:val="20"/>
                <w:lang w:val="en-US" w:eastAsia="en-US"/>
              </w:rPr>
            </w:pPr>
            <w:r w:rsidRPr="00A14B59">
              <w:rPr>
                <w:rFonts w:ascii="Arial Narrow" w:hAnsi="Arial Narrow" w:cs="Arial"/>
                <w:bCs/>
                <w:color w:val="000000"/>
                <w:sz w:val="20"/>
                <w:szCs w:val="20"/>
                <w:lang w:val="en-US" w:eastAsia="en-US"/>
              </w:rPr>
              <w:t>1,668,458</w:t>
            </w:r>
          </w:p>
        </w:tc>
        <w:tc>
          <w:tcPr>
            <w:tcW w:w="1507" w:type="dxa"/>
            <w:tcBorders>
              <w:top w:val="nil"/>
              <w:left w:val="nil"/>
              <w:bottom w:val="single" w:sz="8" w:space="0" w:color="auto"/>
              <w:right w:val="single" w:sz="8" w:space="0" w:color="auto"/>
            </w:tcBorders>
            <w:shd w:val="clear" w:color="000000" w:fill="D5DCE4"/>
            <w:noWrap/>
            <w:vAlign w:val="center"/>
            <w:hideMark/>
          </w:tcPr>
          <w:p w:rsidR="00833D38" w:rsidRPr="00A14B59" w:rsidRDefault="00833D38" w:rsidP="00540FFA">
            <w:pPr>
              <w:spacing w:before="0" w:line="240" w:lineRule="auto"/>
              <w:ind w:firstLine="0"/>
              <w:contextualSpacing w:val="0"/>
              <w:jc w:val="right"/>
              <w:rPr>
                <w:rFonts w:ascii="Arial Narrow" w:hAnsi="Arial Narrow" w:cs="Arial"/>
                <w:bCs/>
                <w:color w:val="000000"/>
                <w:sz w:val="20"/>
                <w:szCs w:val="20"/>
                <w:lang w:val="en-US" w:eastAsia="en-US"/>
              </w:rPr>
            </w:pPr>
            <w:r w:rsidRPr="00A14B59">
              <w:rPr>
                <w:rFonts w:ascii="Arial Narrow" w:hAnsi="Arial Narrow" w:cs="Arial"/>
                <w:bCs/>
                <w:color w:val="000000"/>
                <w:sz w:val="20"/>
                <w:szCs w:val="20"/>
                <w:lang w:val="en-US" w:eastAsia="en-US"/>
              </w:rPr>
              <w:t>1,787,966</w:t>
            </w:r>
          </w:p>
        </w:tc>
        <w:tc>
          <w:tcPr>
            <w:tcW w:w="1507" w:type="dxa"/>
            <w:tcBorders>
              <w:top w:val="nil"/>
              <w:left w:val="nil"/>
              <w:bottom w:val="single" w:sz="8" w:space="0" w:color="auto"/>
              <w:right w:val="single" w:sz="8" w:space="0" w:color="auto"/>
            </w:tcBorders>
            <w:shd w:val="clear" w:color="000000" w:fill="D5DCE4"/>
            <w:noWrap/>
            <w:vAlign w:val="center"/>
            <w:hideMark/>
          </w:tcPr>
          <w:p w:rsidR="00833D38" w:rsidRPr="00A14B59" w:rsidRDefault="00833D38" w:rsidP="00540FFA">
            <w:pPr>
              <w:spacing w:before="0" w:line="240" w:lineRule="auto"/>
              <w:ind w:firstLine="0"/>
              <w:contextualSpacing w:val="0"/>
              <w:jc w:val="right"/>
              <w:rPr>
                <w:rFonts w:ascii="Arial Narrow" w:hAnsi="Arial Narrow" w:cs="Arial"/>
                <w:bCs/>
                <w:color w:val="000000"/>
                <w:sz w:val="20"/>
                <w:szCs w:val="20"/>
                <w:lang w:val="en-US" w:eastAsia="en-US"/>
              </w:rPr>
            </w:pPr>
            <w:r w:rsidRPr="00A14B59">
              <w:rPr>
                <w:rFonts w:ascii="Arial Narrow" w:hAnsi="Arial Narrow" w:cs="Arial"/>
                <w:bCs/>
                <w:color w:val="000000"/>
                <w:sz w:val="20"/>
                <w:szCs w:val="20"/>
                <w:lang w:val="en-US" w:eastAsia="en-US"/>
              </w:rPr>
              <w:t>1,842,155</w:t>
            </w:r>
          </w:p>
        </w:tc>
        <w:tc>
          <w:tcPr>
            <w:tcW w:w="1507" w:type="dxa"/>
            <w:tcBorders>
              <w:top w:val="nil"/>
              <w:left w:val="nil"/>
              <w:bottom w:val="single" w:sz="8" w:space="0" w:color="auto"/>
              <w:right w:val="single" w:sz="8" w:space="0" w:color="auto"/>
            </w:tcBorders>
            <w:shd w:val="clear" w:color="000000" w:fill="D5DCE4"/>
            <w:noWrap/>
            <w:vAlign w:val="center"/>
            <w:hideMark/>
          </w:tcPr>
          <w:p w:rsidR="00833D38" w:rsidRPr="00E029C4" w:rsidRDefault="00833D38" w:rsidP="00540FFA">
            <w:pPr>
              <w:spacing w:before="0" w:line="240" w:lineRule="auto"/>
              <w:ind w:firstLine="0"/>
              <w:contextualSpacing w:val="0"/>
              <w:jc w:val="right"/>
              <w:rPr>
                <w:rFonts w:ascii="Arial Narrow" w:hAnsi="Arial Narrow" w:cs="Calibri"/>
                <w:bCs/>
                <w:color w:val="000000"/>
                <w:sz w:val="20"/>
                <w:szCs w:val="20"/>
                <w:lang w:val="en-US" w:eastAsia="en-US"/>
              </w:rPr>
            </w:pPr>
            <w:r w:rsidRPr="00E029C4">
              <w:rPr>
                <w:rFonts w:ascii="Arial Narrow" w:hAnsi="Arial Narrow" w:cs="Calibri"/>
                <w:bCs/>
                <w:color w:val="000000"/>
                <w:sz w:val="20"/>
                <w:szCs w:val="20"/>
              </w:rPr>
              <w:t>2,043,313</w:t>
            </w:r>
          </w:p>
        </w:tc>
      </w:tr>
      <w:tr w:rsidR="00833D38" w:rsidRPr="00A14B59" w:rsidTr="000D1FAE">
        <w:trPr>
          <w:trHeight w:val="315"/>
        </w:trPr>
        <w:tc>
          <w:tcPr>
            <w:tcW w:w="3009" w:type="dxa"/>
            <w:tcBorders>
              <w:top w:val="nil"/>
              <w:left w:val="single" w:sz="8" w:space="0" w:color="auto"/>
              <w:bottom w:val="single" w:sz="8" w:space="0" w:color="auto"/>
              <w:right w:val="single" w:sz="8" w:space="0" w:color="auto"/>
            </w:tcBorders>
            <w:shd w:val="clear" w:color="000000" w:fill="FFFFFF"/>
            <w:vAlign w:val="center"/>
            <w:hideMark/>
          </w:tcPr>
          <w:p w:rsidR="00833D38" w:rsidRPr="00A14B59" w:rsidRDefault="00833D38" w:rsidP="000D1FAE">
            <w:pPr>
              <w:spacing w:before="0" w:line="240" w:lineRule="auto"/>
              <w:ind w:firstLine="0"/>
              <w:contextualSpacing w:val="0"/>
              <w:rPr>
                <w:rFonts w:cs="Calibri"/>
                <w:b w:val="0"/>
                <w:color w:val="000000"/>
                <w:sz w:val="20"/>
                <w:szCs w:val="20"/>
                <w:lang w:val="en-US" w:eastAsia="en-US"/>
              </w:rPr>
            </w:pPr>
            <w:r w:rsidRPr="00A14B59">
              <w:rPr>
                <w:rFonts w:cs="Calibri"/>
                <w:b w:val="0"/>
                <w:color w:val="000000"/>
                <w:sz w:val="20"/>
                <w:szCs w:val="20"/>
                <w:lang w:val="en-US" w:eastAsia="en-US"/>
              </w:rPr>
              <w:t>այդ թվում՝</w:t>
            </w:r>
          </w:p>
        </w:tc>
        <w:tc>
          <w:tcPr>
            <w:tcW w:w="1235" w:type="dxa"/>
            <w:tcBorders>
              <w:top w:val="nil"/>
              <w:left w:val="nil"/>
              <w:bottom w:val="single" w:sz="8" w:space="0" w:color="auto"/>
              <w:right w:val="single" w:sz="8" w:space="0" w:color="auto"/>
            </w:tcBorders>
            <w:shd w:val="clear" w:color="000000" w:fill="FFFFFF"/>
            <w:noWrap/>
            <w:vAlign w:val="center"/>
            <w:hideMark/>
          </w:tcPr>
          <w:p w:rsidR="00833D38" w:rsidRPr="00A14B59" w:rsidRDefault="00833D38" w:rsidP="000D1FAE">
            <w:pPr>
              <w:spacing w:before="0" w:line="240" w:lineRule="auto"/>
              <w:ind w:firstLine="0"/>
              <w:contextualSpacing w:val="0"/>
              <w:jc w:val="right"/>
              <w:rPr>
                <w:rFonts w:ascii="Arial Narrow" w:hAnsi="Arial Narrow" w:cs="Calibri"/>
                <w:b w:val="0"/>
                <w:color w:val="000000"/>
                <w:sz w:val="20"/>
                <w:szCs w:val="20"/>
                <w:lang w:val="en-US" w:eastAsia="en-US"/>
              </w:rPr>
            </w:pPr>
            <w:r w:rsidRPr="00A14B59">
              <w:rPr>
                <w:rFonts w:ascii="Arial Narrow" w:hAnsi="Arial Narrow" w:cs="Calibri"/>
                <w:b w:val="0"/>
                <w:color w:val="000000"/>
                <w:sz w:val="20"/>
                <w:szCs w:val="20"/>
                <w:lang w:val="en-US" w:eastAsia="en-US"/>
              </w:rPr>
              <w:t> </w:t>
            </w:r>
          </w:p>
        </w:tc>
        <w:tc>
          <w:tcPr>
            <w:tcW w:w="1235" w:type="dxa"/>
            <w:tcBorders>
              <w:top w:val="nil"/>
              <w:left w:val="nil"/>
              <w:bottom w:val="single" w:sz="8" w:space="0" w:color="auto"/>
              <w:right w:val="single" w:sz="8" w:space="0" w:color="auto"/>
            </w:tcBorders>
            <w:shd w:val="clear" w:color="000000" w:fill="FFFFFF"/>
            <w:noWrap/>
            <w:vAlign w:val="center"/>
            <w:hideMark/>
          </w:tcPr>
          <w:p w:rsidR="00833D38" w:rsidRPr="00A14B59" w:rsidRDefault="00833D38" w:rsidP="000D1FAE">
            <w:pPr>
              <w:spacing w:before="0" w:line="240" w:lineRule="auto"/>
              <w:ind w:firstLine="0"/>
              <w:contextualSpacing w:val="0"/>
              <w:jc w:val="right"/>
              <w:rPr>
                <w:rFonts w:ascii="Arial Narrow" w:hAnsi="Arial Narrow" w:cs="Calibri"/>
                <w:b w:val="0"/>
                <w:color w:val="000000"/>
                <w:sz w:val="20"/>
                <w:szCs w:val="20"/>
                <w:lang w:val="en-US" w:eastAsia="en-US"/>
              </w:rPr>
            </w:pPr>
            <w:r w:rsidRPr="00A14B59">
              <w:rPr>
                <w:rFonts w:ascii="Arial Narrow" w:hAnsi="Arial Narrow" w:cs="Calibri"/>
                <w:b w:val="0"/>
                <w:color w:val="000000"/>
                <w:sz w:val="20"/>
                <w:szCs w:val="20"/>
                <w:lang w:val="en-US" w:eastAsia="en-US"/>
              </w:rPr>
              <w:t> </w:t>
            </w:r>
          </w:p>
        </w:tc>
        <w:tc>
          <w:tcPr>
            <w:tcW w:w="1507" w:type="dxa"/>
            <w:tcBorders>
              <w:top w:val="nil"/>
              <w:left w:val="nil"/>
              <w:bottom w:val="single" w:sz="8" w:space="0" w:color="auto"/>
              <w:right w:val="single" w:sz="8" w:space="0" w:color="auto"/>
            </w:tcBorders>
            <w:shd w:val="clear" w:color="000000" w:fill="FFFFFF"/>
            <w:noWrap/>
            <w:vAlign w:val="center"/>
            <w:hideMark/>
          </w:tcPr>
          <w:p w:rsidR="00833D38" w:rsidRPr="00A14B59" w:rsidRDefault="00833D38" w:rsidP="000D1FAE">
            <w:pPr>
              <w:spacing w:before="0" w:line="240" w:lineRule="auto"/>
              <w:ind w:firstLine="0"/>
              <w:contextualSpacing w:val="0"/>
              <w:jc w:val="right"/>
              <w:rPr>
                <w:rFonts w:ascii="Arial Narrow" w:hAnsi="Arial Narrow" w:cs="Calibri"/>
                <w:b w:val="0"/>
                <w:color w:val="000000"/>
                <w:sz w:val="20"/>
                <w:szCs w:val="20"/>
                <w:lang w:val="en-US" w:eastAsia="en-US"/>
              </w:rPr>
            </w:pPr>
            <w:r w:rsidRPr="00A14B59">
              <w:rPr>
                <w:rFonts w:ascii="Arial Narrow" w:hAnsi="Arial Narrow" w:cs="Calibri"/>
                <w:b w:val="0"/>
                <w:color w:val="000000"/>
                <w:sz w:val="20"/>
                <w:szCs w:val="20"/>
                <w:lang w:val="en-US" w:eastAsia="en-US"/>
              </w:rPr>
              <w:t> </w:t>
            </w:r>
          </w:p>
        </w:tc>
        <w:tc>
          <w:tcPr>
            <w:tcW w:w="1507" w:type="dxa"/>
            <w:tcBorders>
              <w:top w:val="nil"/>
              <w:left w:val="nil"/>
              <w:bottom w:val="single" w:sz="8" w:space="0" w:color="auto"/>
              <w:right w:val="single" w:sz="8" w:space="0" w:color="auto"/>
            </w:tcBorders>
            <w:shd w:val="clear" w:color="000000" w:fill="FFFFFF"/>
            <w:noWrap/>
            <w:vAlign w:val="center"/>
            <w:hideMark/>
          </w:tcPr>
          <w:p w:rsidR="00833D38" w:rsidRPr="00A14B59" w:rsidRDefault="00833D38" w:rsidP="000D1FAE">
            <w:pPr>
              <w:spacing w:before="0" w:line="240" w:lineRule="auto"/>
              <w:ind w:firstLine="0"/>
              <w:contextualSpacing w:val="0"/>
              <w:jc w:val="right"/>
              <w:rPr>
                <w:rFonts w:ascii="Arial Narrow" w:hAnsi="Arial Narrow" w:cs="Calibri"/>
                <w:b w:val="0"/>
                <w:color w:val="000000"/>
                <w:sz w:val="20"/>
                <w:szCs w:val="20"/>
                <w:lang w:val="en-US" w:eastAsia="en-US"/>
              </w:rPr>
            </w:pPr>
            <w:r w:rsidRPr="00A14B59">
              <w:rPr>
                <w:rFonts w:ascii="Arial Narrow" w:hAnsi="Arial Narrow" w:cs="Calibri"/>
                <w:b w:val="0"/>
                <w:color w:val="000000"/>
                <w:sz w:val="20"/>
                <w:szCs w:val="20"/>
                <w:lang w:val="en-US" w:eastAsia="en-US"/>
              </w:rPr>
              <w:t> </w:t>
            </w:r>
          </w:p>
        </w:tc>
        <w:tc>
          <w:tcPr>
            <w:tcW w:w="1507" w:type="dxa"/>
            <w:tcBorders>
              <w:top w:val="nil"/>
              <w:left w:val="nil"/>
              <w:bottom w:val="single" w:sz="8" w:space="0" w:color="auto"/>
              <w:right w:val="single" w:sz="8" w:space="0" w:color="auto"/>
            </w:tcBorders>
            <w:shd w:val="clear" w:color="000000" w:fill="FFFFFF"/>
            <w:noWrap/>
            <w:vAlign w:val="center"/>
            <w:hideMark/>
          </w:tcPr>
          <w:p w:rsidR="00833D38" w:rsidRPr="00E029C4" w:rsidRDefault="00833D38" w:rsidP="000D1FAE">
            <w:pPr>
              <w:jc w:val="right"/>
              <w:rPr>
                <w:rFonts w:ascii="Arial Narrow" w:hAnsi="Arial Narrow" w:cs="Calibri"/>
                <w:bCs/>
                <w:color w:val="000000"/>
                <w:sz w:val="20"/>
                <w:szCs w:val="20"/>
              </w:rPr>
            </w:pPr>
            <w:r w:rsidRPr="00E029C4">
              <w:rPr>
                <w:rFonts w:ascii="Arial Narrow" w:hAnsi="Arial Narrow" w:cs="Calibri"/>
                <w:bCs/>
                <w:color w:val="000000"/>
                <w:sz w:val="20"/>
                <w:szCs w:val="20"/>
              </w:rPr>
              <w:t> </w:t>
            </w:r>
          </w:p>
        </w:tc>
      </w:tr>
      <w:tr w:rsidR="00833D38" w:rsidRPr="00A14B59" w:rsidTr="000D1FAE">
        <w:trPr>
          <w:trHeight w:val="315"/>
        </w:trPr>
        <w:tc>
          <w:tcPr>
            <w:tcW w:w="3009" w:type="dxa"/>
            <w:tcBorders>
              <w:top w:val="nil"/>
              <w:left w:val="single" w:sz="8" w:space="0" w:color="auto"/>
              <w:bottom w:val="single" w:sz="8" w:space="0" w:color="auto"/>
              <w:right w:val="single" w:sz="8" w:space="0" w:color="auto"/>
            </w:tcBorders>
            <w:shd w:val="clear" w:color="000000" w:fill="D5DCE4"/>
            <w:vAlign w:val="center"/>
            <w:hideMark/>
          </w:tcPr>
          <w:p w:rsidR="00833D38" w:rsidRPr="00A14B59" w:rsidRDefault="00833D38" w:rsidP="000D1FAE">
            <w:pPr>
              <w:spacing w:before="0" w:line="240" w:lineRule="auto"/>
              <w:ind w:firstLine="0"/>
              <w:contextualSpacing w:val="0"/>
              <w:rPr>
                <w:rFonts w:cs="Calibri"/>
                <w:b w:val="0"/>
                <w:color w:val="000000"/>
                <w:sz w:val="20"/>
                <w:szCs w:val="20"/>
                <w:lang w:val="en-US" w:eastAsia="en-US"/>
              </w:rPr>
            </w:pPr>
            <w:r w:rsidRPr="00A14B59">
              <w:rPr>
                <w:rFonts w:cs="Calibri"/>
                <w:b w:val="0"/>
                <w:color w:val="000000"/>
                <w:sz w:val="20"/>
                <w:szCs w:val="20"/>
                <w:lang w:val="en-US" w:eastAsia="en-US"/>
              </w:rPr>
              <w:t>ԱՇԽԱՏԱՆՔԻ ՎԱՐՁԱՏՐՈՒԹՅՈՒՆ</w:t>
            </w:r>
          </w:p>
        </w:tc>
        <w:tc>
          <w:tcPr>
            <w:tcW w:w="1235" w:type="dxa"/>
            <w:tcBorders>
              <w:top w:val="nil"/>
              <w:left w:val="nil"/>
              <w:bottom w:val="single" w:sz="8" w:space="0" w:color="auto"/>
              <w:right w:val="single" w:sz="8" w:space="0" w:color="auto"/>
            </w:tcBorders>
            <w:shd w:val="clear" w:color="000000" w:fill="D5DCE4"/>
            <w:noWrap/>
            <w:vAlign w:val="center"/>
            <w:hideMark/>
          </w:tcPr>
          <w:p w:rsidR="00833D38" w:rsidRPr="00A14B59" w:rsidRDefault="00833D38" w:rsidP="000D1FAE">
            <w:pPr>
              <w:spacing w:before="0" w:line="240" w:lineRule="auto"/>
              <w:ind w:firstLine="0"/>
              <w:contextualSpacing w:val="0"/>
              <w:jc w:val="right"/>
              <w:rPr>
                <w:rFonts w:ascii="Arial Narrow" w:hAnsi="Arial Narrow" w:cs="Arial"/>
                <w:b w:val="0"/>
                <w:color w:val="000000"/>
                <w:sz w:val="20"/>
                <w:szCs w:val="20"/>
                <w:lang w:val="en-US" w:eastAsia="en-US"/>
              </w:rPr>
            </w:pPr>
            <w:r w:rsidRPr="00A14B59">
              <w:rPr>
                <w:rFonts w:ascii="Arial Narrow" w:hAnsi="Arial Narrow" w:cs="Arial"/>
                <w:b w:val="0"/>
                <w:color w:val="000000"/>
                <w:sz w:val="20"/>
                <w:szCs w:val="20"/>
                <w:lang w:val="en-US" w:eastAsia="en-US"/>
              </w:rPr>
              <w:t>172,579</w:t>
            </w:r>
          </w:p>
        </w:tc>
        <w:tc>
          <w:tcPr>
            <w:tcW w:w="1235" w:type="dxa"/>
            <w:tcBorders>
              <w:top w:val="nil"/>
              <w:left w:val="nil"/>
              <w:bottom w:val="single" w:sz="8" w:space="0" w:color="auto"/>
              <w:right w:val="single" w:sz="8" w:space="0" w:color="auto"/>
            </w:tcBorders>
            <w:shd w:val="clear" w:color="000000" w:fill="D5DCE4"/>
            <w:noWrap/>
            <w:vAlign w:val="center"/>
            <w:hideMark/>
          </w:tcPr>
          <w:p w:rsidR="00833D38" w:rsidRPr="00A14B59" w:rsidRDefault="00833D38" w:rsidP="000D1FAE">
            <w:pPr>
              <w:spacing w:before="0" w:line="240" w:lineRule="auto"/>
              <w:ind w:firstLine="0"/>
              <w:contextualSpacing w:val="0"/>
              <w:jc w:val="right"/>
              <w:rPr>
                <w:rFonts w:ascii="Arial Narrow" w:hAnsi="Arial Narrow" w:cs="Arial"/>
                <w:b w:val="0"/>
                <w:color w:val="000000"/>
                <w:sz w:val="20"/>
                <w:szCs w:val="20"/>
                <w:lang w:val="en-US" w:eastAsia="en-US"/>
              </w:rPr>
            </w:pPr>
            <w:r w:rsidRPr="00A14B59">
              <w:rPr>
                <w:rFonts w:ascii="Arial Narrow" w:hAnsi="Arial Narrow" w:cs="Arial"/>
                <w:b w:val="0"/>
                <w:color w:val="000000"/>
                <w:sz w:val="20"/>
                <w:szCs w:val="20"/>
                <w:lang w:val="en-US" w:eastAsia="en-US"/>
              </w:rPr>
              <w:t>176,101</w:t>
            </w:r>
          </w:p>
        </w:tc>
        <w:tc>
          <w:tcPr>
            <w:tcW w:w="1507" w:type="dxa"/>
            <w:tcBorders>
              <w:top w:val="nil"/>
              <w:left w:val="nil"/>
              <w:bottom w:val="single" w:sz="8" w:space="0" w:color="auto"/>
              <w:right w:val="single" w:sz="8" w:space="0" w:color="auto"/>
            </w:tcBorders>
            <w:shd w:val="clear" w:color="000000" w:fill="D5DCE4"/>
            <w:noWrap/>
            <w:vAlign w:val="center"/>
            <w:hideMark/>
          </w:tcPr>
          <w:p w:rsidR="00833D38" w:rsidRPr="00A14B59" w:rsidRDefault="00833D38" w:rsidP="000D1FAE">
            <w:pPr>
              <w:spacing w:before="0" w:line="240" w:lineRule="auto"/>
              <w:ind w:firstLine="0"/>
              <w:contextualSpacing w:val="0"/>
              <w:jc w:val="right"/>
              <w:rPr>
                <w:rFonts w:ascii="Arial Narrow" w:hAnsi="Arial Narrow" w:cs="Arial"/>
                <w:b w:val="0"/>
                <w:color w:val="000000"/>
                <w:sz w:val="20"/>
                <w:szCs w:val="20"/>
                <w:lang w:val="en-US" w:eastAsia="en-US"/>
              </w:rPr>
            </w:pPr>
            <w:r w:rsidRPr="00A14B59">
              <w:rPr>
                <w:rFonts w:ascii="Arial Narrow" w:hAnsi="Arial Narrow" w:cs="Arial"/>
                <w:b w:val="0"/>
                <w:color w:val="000000"/>
                <w:sz w:val="20"/>
                <w:szCs w:val="20"/>
                <w:lang w:val="en-US" w:eastAsia="en-US"/>
              </w:rPr>
              <w:t>181,411</w:t>
            </w:r>
          </w:p>
        </w:tc>
        <w:tc>
          <w:tcPr>
            <w:tcW w:w="1507" w:type="dxa"/>
            <w:tcBorders>
              <w:top w:val="nil"/>
              <w:left w:val="nil"/>
              <w:bottom w:val="single" w:sz="8" w:space="0" w:color="auto"/>
              <w:right w:val="single" w:sz="8" w:space="0" w:color="auto"/>
            </w:tcBorders>
            <w:shd w:val="clear" w:color="000000" w:fill="D5DCE4"/>
            <w:noWrap/>
            <w:vAlign w:val="center"/>
            <w:hideMark/>
          </w:tcPr>
          <w:p w:rsidR="00833D38" w:rsidRPr="00A14B59" w:rsidRDefault="00833D38" w:rsidP="000D1FAE">
            <w:pPr>
              <w:jc w:val="right"/>
              <w:rPr>
                <w:rFonts w:ascii="Arial Narrow" w:hAnsi="Arial Narrow" w:cs="Arial"/>
                <w:b w:val="0"/>
                <w:color w:val="000000"/>
                <w:sz w:val="20"/>
                <w:szCs w:val="20"/>
                <w:lang w:val="en-US" w:eastAsia="en-US"/>
              </w:rPr>
            </w:pPr>
            <w:r w:rsidRPr="00A14B59">
              <w:rPr>
                <w:rFonts w:ascii="Arial Narrow" w:hAnsi="Arial Narrow" w:cs="Arial"/>
                <w:b w:val="0"/>
                <w:color w:val="000000"/>
                <w:sz w:val="20"/>
                <w:szCs w:val="20"/>
                <w:lang w:val="en-US" w:eastAsia="en-US"/>
              </w:rPr>
              <w:t>184,592</w:t>
            </w:r>
          </w:p>
        </w:tc>
        <w:tc>
          <w:tcPr>
            <w:tcW w:w="1507" w:type="dxa"/>
            <w:tcBorders>
              <w:top w:val="nil"/>
              <w:left w:val="nil"/>
              <w:bottom w:val="single" w:sz="8" w:space="0" w:color="auto"/>
              <w:right w:val="single" w:sz="8" w:space="0" w:color="auto"/>
            </w:tcBorders>
            <w:shd w:val="clear" w:color="000000" w:fill="D5DCE4"/>
            <w:noWrap/>
            <w:vAlign w:val="center"/>
            <w:hideMark/>
          </w:tcPr>
          <w:p w:rsidR="00833D38" w:rsidRPr="00E029C4" w:rsidRDefault="00833D38" w:rsidP="001B7EF5">
            <w:pPr>
              <w:jc w:val="right"/>
              <w:rPr>
                <w:rFonts w:ascii="Arial Narrow" w:hAnsi="Arial Narrow" w:cs="Calibri"/>
                <w:b w:val="0"/>
                <w:color w:val="000000"/>
                <w:sz w:val="20"/>
                <w:szCs w:val="20"/>
              </w:rPr>
            </w:pPr>
            <w:r w:rsidRPr="00E029C4">
              <w:rPr>
                <w:rFonts w:ascii="Arial Narrow" w:hAnsi="Arial Narrow" w:cs="Calibri"/>
                <w:b w:val="0"/>
                <w:color w:val="000000"/>
                <w:sz w:val="20"/>
                <w:szCs w:val="20"/>
              </w:rPr>
              <w:t>211,</w:t>
            </w:r>
            <w:r w:rsidR="001B7EF5">
              <w:rPr>
                <w:rFonts w:asciiTheme="minorHAnsi" w:hAnsiTheme="minorHAnsi" w:cs="Calibri"/>
                <w:b w:val="0"/>
                <w:color w:val="000000"/>
                <w:sz w:val="20"/>
                <w:szCs w:val="20"/>
                <w:lang w:val="hy-AM"/>
              </w:rPr>
              <w:t>427</w:t>
            </w:r>
          </w:p>
        </w:tc>
      </w:tr>
      <w:tr w:rsidR="00833D38" w:rsidRPr="00A14B59" w:rsidTr="000D1FAE">
        <w:trPr>
          <w:trHeight w:val="555"/>
        </w:trPr>
        <w:tc>
          <w:tcPr>
            <w:tcW w:w="3009" w:type="dxa"/>
            <w:tcBorders>
              <w:top w:val="nil"/>
              <w:left w:val="single" w:sz="8" w:space="0" w:color="auto"/>
              <w:bottom w:val="single" w:sz="8" w:space="0" w:color="auto"/>
              <w:right w:val="single" w:sz="8" w:space="0" w:color="auto"/>
            </w:tcBorders>
            <w:shd w:val="clear" w:color="000000" w:fill="FFFFFF"/>
            <w:vAlign w:val="center"/>
            <w:hideMark/>
          </w:tcPr>
          <w:p w:rsidR="00833D38" w:rsidRPr="00A14B59" w:rsidRDefault="00833D38" w:rsidP="000D1FAE">
            <w:pPr>
              <w:spacing w:before="0" w:line="240" w:lineRule="auto"/>
              <w:ind w:firstLine="0"/>
              <w:contextualSpacing w:val="0"/>
              <w:jc w:val="left"/>
              <w:rPr>
                <w:rFonts w:cs="Calibri"/>
                <w:b w:val="0"/>
                <w:color w:val="000000"/>
                <w:sz w:val="20"/>
                <w:szCs w:val="20"/>
                <w:lang w:val="en-US" w:eastAsia="en-US"/>
              </w:rPr>
            </w:pPr>
            <w:r w:rsidRPr="00A14B59">
              <w:rPr>
                <w:rFonts w:cs="Calibri"/>
                <w:b w:val="0"/>
                <w:color w:val="000000"/>
                <w:sz w:val="20"/>
                <w:szCs w:val="20"/>
                <w:lang w:val="en-US" w:eastAsia="en-US"/>
              </w:rPr>
              <w:t>ԾԱՌԱՅՈՒԹՅՈՒՆՆԵՐԻ ԵՎ ԱՊՐԱՆՔՆԵՐԻ  ՁԵՌՔԲԵՐՈՒՄ</w:t>
            </w:r>
          </w:p>
        </w:tc>
        <w:tc>
          <w:tcPr>
            <w:tcW w:w="1235" w:type="dxa"/>
            <w:tcBorders>
              <w:top w:val="nil"/>
              <w:left w:val="nil"/>
              <w:bottom w:val="single" w:sz="8" w:space="0" w:color="auto"/>
              <w:right w:val="single" w:sz="8" w:space="0" w:color="auto"/>
            </w:tcBorders>
            <w:shd w:val="clear" w:color="000000" w:fill="FFFFFF"/>
            <w:noWrap/>
            <w:vAlign w:val="center"/>
            <w:hideMark/>
          </w:tcPr>
          <w:p w:rsidR="00833D38" w:rsidRPr="00A14B59" w:rsidRDefault="00833D38" w:rsidP="000D1FAE">
            <w:pPr>
              <w:spacing w:before="0" w:line="240" w:lineRule="auto"/>
              <w:ind w:firstLine="0"/>
              <w:contextualSpacing w:val="0"/>
              <w:jc w:val="right"/>
              <w:rPr>
                <w:rFonts w:ascii="Arial Narrow" w:hAnsi="Arial Narrow" w:cs="Arial"/>
                <w:b w:val="0"/>
                <w:color w:val="000000"/>
                <w:sz w:val="20"/>
                <w:szCs w:val="20"/>
                <w:lang w:val="en-US" w:eastAsia="en-US"/>
              </w:rPr>
            </w:pPr>
            <w:r w:rsidRPr="00A14B59">
              <w:rPr>
                <w:rFonts w:ascii="Arial Narrow" w:hAnsi="Arial Narrow" w:cs="Arial"/>
                <w:b w:val="0"/>
                <w:color w:val="000000"/>
                <w:sz w:val="20"/>
                <w:szCs w:val="20"/>
                <w:lang w:val="en-US" w:eastAsia="en-US"/>
              </w:rPr>
              <w:t>192,121</w:t>
            </w:r>
          </w:p>
        </w:tc>
        <w:tc>
          <w:tcPr>
            <w:tcW w:w="1235" w:type="dxa"/>
            <w:tcBorders>
              <w:top w:val="nil"/>
              <w:left w:val="nil"/>
              <w:bottom w:val="single" w:sz="8" w:space="0" w:color="auto"/>
              <w:right w:val="single" w:sz="8" w:space="0" w:color="auto"/>
            </w:tcBorders>
            <w:shd w:val="clear" w:color="000000" w:fill="FFFFFF"/>
            <w:noWrap/>
            <w:vAlign w:val="center"/>
            <w:hideMark/>
          </w:tcPr>
          <w:p w:rsidR="00833D38" w:rsidRPr="00A14B59" w:rsidRDefault="00833D38" w:rsidP="000D1FAE">
            <w:pPr>
              <w:spacing w:before="0" w:line="240" w:lineRule="auto"/>
              <w:ind w:firstLine="0"/>
              <w:contextualSpacing w:val="0"/>
              <w:jc w:val="right"/>
              <w:rPr>
                <w:rFonts w:ascii="Arial Narrow" w:hAnsi="Arial Narrow" w:cs="Arial"/>
                <w:b w:val="0"/>
                <w:color w:val="000000"/>
                <w:sz w:val="20"/>
                <w:szCs w:val="20"/>
                <w:lang w:val="en-US" w:eastAsia="en-US"/>
              </w:rPr>
            </w:pPr>
            <w:r w:rsidRPr="00A14B59">
              <w:rPr>
                <w:rFonts w:ascii="Arial Narrow" w:hAnsi="Arial Narrow" w:cs="Arial"/>
                <w:b w:val="0"/>
                <w:color w:val="000000"/>
                <w:sz w:val="20"/>
                <w:szCs w:val="20"/>
                <w:lang w:val="en-US" w:eastAsia="en-US"/>
              </w:rPr>
              <w:t>179,162</w:t>
            </w:r>
          </w:p>
        </w:tc>
        <w:tc>
          <w:tcPr>
            <w:tcW w:w="1507" w:type="dxa"/>
            <w:tcBorders>
              <w:top w:val="nil"/>
              <w:left w:val="nil"/>
              <w:bottom w:val="single" w:sz="8" w:space="0" w:color="auto"/>
              <w:right w:val="single" w:sz="8" w:space="0" w:color="auto"/>
            </w:tcBorders>
            <w:shd w:val="clear" w:color="000000" w:fill="FFFFFF"/>
            <w:noWrap/>
            <w:vAlign w:val="center"/>
            <w:hideMark/>
          </w:tcPr>
          <w:p w:rsidR="00833D38" w:rsidRPr="00A14B59" w:rsidRDefault="00833D38" w:rsidP="000D1FAE">
            <w:pPr>
              <w:ind w:firstLine="0"/>
              <w:jc w:val="right"/>
              <w:rPr>
                <w:rFonts w:ascii="Arial Narrow" w:hAnsi="Arial Narrow" w:cs="Calibri"/>
                <w:b w:val="0"/>
                <w:color w:val="000000"/>
                <w:sz w:val="20"/>
                <w:szCs w:val="20"/>
              </w:rPr>
            </w:pPr>
            <w:r w:rsidRPr="00A14B59">
              <w:rPr>
                <w:rFonts w:ascii="Arial Narrow" w:hAnsi="Arial Narrow" w:cs="Calibri"/>
                <w:b w:val="0"/>
                <w:color w:val="000000"/>
                <w:sz w:val="20"/>
                <w:szCs w:val="20"/>
              </w:rPr>
              <w:t>198,480</w:t>
            </w:r>
          </w:p>
        </w:tc>
        <w:tc>
          <w:tcPr>
            <w:tcW w:w="1507" w:type="dxa"/>
            <w:tcBorders>
              <w:top w:val="nil"/>
              <w:left w:val="nil"/>
              <w:bottom w:val="single" w:sz="8" w:space="0" w:color="auto"/>
              <w:right w:val="single" w:sz="8" w:space="0" w:color="auto"/>
            </w:tcBorders>
            <w:shd w:val="clear" w:color="000000" w:fill="FFFFFF"/>
            <w:noWrap/>
            <w:vAlign w:val="center"/>
            <w:hideMark/>
          </w:tcPr>
          <w:p w:rsidR="00833D38" w:rsidRPr="00A14B59" w:rsidRDefault="00833D38" w:rsidP="000D1FAE">
            <w:pPr>
              <w:ind w:firstLine="0"/>
              <w:jc w:val="right"/>
              <w:rPr>
                <w:rFonts w:ascii="Arial Narrow" w:hAnsi="Arial Narrow" w:cs="Calibri"/>
                <w:b w:val="0"/>
                <w:color w:val="000000"/>
                <w:sz w:val="20"/>
                <w:szCs w:val="20"/>
              </w:rPr>
            </w:pPr>
            <w:r w:rsidRPr="00A14B59">
              <w:rPr>
                <w:rFonts w:ascii="Arial Narrow" w:hAnsi="Arial Narrow" w:cs="Calibri"/>
                <w:b w:val="0"/>
                <w:color w:val="000000"/>
                <w:sz w:val="20"/>
                <w:szCs w:val="20"/>
              </w:rPr>
              <w:t>172,513</w:t>
            </w:r>
          </w:p>
        </w:tc>
        <w:tc>
          <w:tcPr>
            <w:tcW w:w="1507" w:type="dxa"/>
            <w:tcBorders>
              <w:top w:val="nil"/>
              <w:left w:val="nil"/>
              <w:bottom w:val="single" w:sz="8" w:space="0" w:color="auto"/>
              <w:right w:val="single" w:sz="8" w:space="0" w:color="auto"/>
            </w:tcBorders>
            <w:shd w:val="clear" w:color="000000" w:fill="FFFFFF"/>
            <w:noWrap/>
            <w:vAlign w:val="center"/>
            <w:hideMark/>
          </w:tcPr>
          <w:p w:rsidR="00833D38" w:rsidRPr="00E029C4" w:rsidRDefault="00833D38" w:rsidP="000D1FAE">
            <w:pPr>
              <w:jc w:val="right"/>
              <w:rPr>
                <w:rFonts w:ascii="Arial Narrow" w:hAnsi="Arial Narrow" w:cs="Calibri"/>
                <w:b w:val="0"/>
                <w:color w:val="000000"/>
                <w:sz w:val="20"/>
                <w:szCs w:val="20"/>
              </w:rPr>
            </w:pPr>
            <w:r w:rsidRPr="00E029C4">
              <w:rPr>
                <w:rFonts w:ascii="Arial Narrow" w:hAnsi="Arial Narrow" w:cs="Calibri"/>
                <w:b w:val="0"/>
                <w:color w:val="000000"/>
                <w:sz w:val="20"/>
                <w:szCs w:val="20"/>
              </w:rPr>
              <w:t>187,478</w:t>
            </w:r>
          </w:p>
        </w:tc>
      </w:tr>
      <w:tr w:rsidR="00833D38" w:rsidRPr="00A14B59" w:rsidTr="000D1FAE">
        <w:trPr>
          <w:trHeight w:val="315"/>
        </w:trPr>
        <w:tc>
          <w:tcPr>
            <w:tcW w:w="3009" w:type="dxa"/>
            <w:tcBorders>
              <w:top w:val="nil"/>
              <w:left w:val="single" w:sz="8" w:space="0" w:color="auto"/>
              <w:bottom w:val="single" w:sz="8" w:space="0" w:color="auto"/>
              <w:right w:val="single" w:sz="8" w:space="0" w:color="auto"/>
            </w:tcBorders>
            <w:shd w:val="clear" w:color="000000" w:fill="D5DCE4"/>
            <w:vAlign w:val="center"/>
            <w:hideMark/>
          </w:tcPr>
          <w:p w:rsidR="00833D38" w:rsidRPr="00A14B59" w:rsidRDefault="00833D38" w:rsidP="000D1FAE">
            <w:pPr>
              <w:spacing w:before="0" w:line="240" w:lineRule="auto"/>
              <w:ind w:firstLine="0"/>
              <w:contextualSpacing w:val="0"/>
              <w:rPr>
                <w:rFonts w:cs="Calibri"/>
                <w:b w:val="0"/>
                <w:color w:val="000000"/>
                <w:sz w:val="20"/>
                <w:szCs w:val="20"/>
                <w:lang w:val="en-US" w:eastAsia="en-US"/>
              </w:rPr>
            </w:pPr>
            <w:r w:rsidRPr="00A14B59">
              <w:rPr>
                <w:rFonts w:cs="Calibri"/>
                <w:b w:val="0"/>
                <w:color w:val="000000"/>
                <w:sz w:val="20"/>
                <w:szCs w:val="20"/>
                <w:lang w:val="en-US" w:eastAsia="en-US"/>
              </w:rPr>
              <w:t>ՏՈԿՈՍԱՎՃԱՐՆԵՐ</w:t>
            </w:r>
          </w:p>
        </w:tc>
        <w:tc>
          <w:tcPr>
            <w:tcW w:w="1235" w:type="dxa"/>
            <w:tcBorders>
              <w:top w:val="nil"/>
              <w:left w:val="nil"/>
              <w:bottom w:val="single" w:sz="8" w:space="0" w:color="auto"/>
              <w:right w:val="single" w:sz="8" w:space="0" w:color="auto"/>
            </w:tcBorders>
            <w:shd w:val="clear" w:color="000000" w:fill="D5DCE4"/>
            <w:noWrap/>
            <w:vAlign w:val="center"/>
            <w:hideMark/>
          </w:tcPr>
          <w:p w:rsidR="00833D38" w:rsidRPr="00A14B59" w:rsidRDefault="00833D38" w:rsidP="000D1FAE">
            <w:pPr>
              <w:spacing w:before="0" w:line="240" w:lineRule="auto"/>
              <w:ind w:firstLine="0"/>
              <w:contextualSpacing w:val="0"/>
              <w:jc w:val="right"/>
              <w:rPr>
                <w:rFonts w:ascii="Arial Narrow" w:hAnsi="Arial Narrow" w:cs="Arial"/>
                <w:b w:val="0"/>
                <w:color w:val="000000"/>
                <w:sz w:val="20"/>
                <w:szCs w:val="20"/>
                <w:lang w:val="en-US" w:eastAsia="en-US"/>
              </w:rPr>
            </w:pPr>
            <w:r w:rsidRPr="00A14B59">
              <w:rPr>
                <w:rFonts w:ascii="Arial Narrow" w:hAnsi="Arial Narrow" w:cs="Arial"/>
                <w:b w:val="0"/>
                <w:color w:val="000000"/>
                <w:sz w:val="20"/>
                <w:szCs w:val="20"/>
                <w:lang w:val="en-US" w:eastAsia="en-US"/>
              </w:rPr>
              <w:t>157,553</w:t>
            </w:r>
          </w:p>
        </w:tc>
        <w:tc>
          <w:tcPr>
            <w:tcW w:w="1235" w:type="dxa"/>
            <w:tcBorders>
              <w:top w:val="nil"/>
              <w:left w:val="nil"/>
              <w:bottom w:val="single" w:sz="8" w:space="0" w:color="auto"/>
              <w:right w:val="single" w:sz="8" w:space="0" w:color="auto"/>
            </w:tcBorders>
            <w:shd w:val="clear" w:color="000000" w:fill="D5DCE4"/>
            <w:noWrap/>
            <w:vAlign w:val="center"/>
            <w:hideMark/>
          </w:tcPr>
          <w:p w:rsidR="00833D38" w:rsidRPr="00A14B59" w:rsidRDefault="00833D38" w:rsidP="000D1FAE">
            <w:pPr>
              <w:spacing w:before="0" w:line="240" w:lineRule="auto"/>
              <w:ind w:firstLine="0"/>
              <w:contextualSpacing w:val="0"/>
              <w:jc w:val="right"/>
              <w:rPr>
                <w:rFonts w:ascii="Arial Narrow" w:hAnsi="Arial Narrow" w:cs="Arial"/>
                <w:b w:val="0"/>
                <w:color w:val="000000"/>
                <w:sz w:val="20"/>
                <w:szCs w:val="20"/>
                <w:lang w:val="en-US" w:eastAsia="en-US"/>
              </w:rPr>
            </w:pPr>
            <w:r w:rsidRPr="00A14B59">
              <w:rPr>
                <w:rFonts w:ascii="Arial Narrow" w:hAnsi="Arial Narrow" w:cs="Arial"/>
                <w:b w:val="0"/>
                <w:color w:val="000000"/>
                <w:sz w:val="20"/>
                <w:szCs w:val="20"/>
                <w:lang w:val="en-US" w:eastAsia="en-US"/>
              </w:rPr>
              <w:t>164,767</w:t>
            </w:r>
          </w:p>
        </w:tc>
        <w:tc>
          <w:tcPr>
            <w:tcW w:w="1507" w:type="dxa"/>
            <w:tcBorders>
              <w:top w:val="nil"/>
              <w:left w:val="nil"/>
              <w:bottom w:val="single" w:sz="8" w:space="0" w:color="auto"/>
              <w:right w:val="single" w:sz="8" w:space="0" w:color="auto"/>
            </w:tcBorders>
            <w:shd w:val="clear" w:color="000000" w:fill="D5DCE4"/>
            <w:noWrap/>
            <w:vAlign w:val="center"/>
            <w:hideMark/>
          </w:tcPr>
          <w:p w:rsidR="00833D38" w:rsidRPr="00A14B59" w:rsidRDefault="00833D38" w:rsidP="000D1FAE">
            <w:pPr>
              <w:jc w:val="right"/>
              <w:rPr>
                <w:rFonts w:ascii="Arial Narrow" w:hAnsi="Arial Narrow" w:cs="Calibri"/>
                <w:b w:val="0"/>
                <w:color w:val="000000"/>
                <w:sz w:val="20"/>
                <w:szCs w:val="20"/>
              </w:rPr>
            </w:pPr>
            <w:r w:rsidRPr="00A14B59">
              <w:rPr>
                <w:rFonts w:ascii="Arial Narrow" w:hAnsi="Arial Narrow" w:cs="Calibri"/>
                <w:b w:val="0"/>
                <w:color w:val="000000"/>
                <w:sz w:val="20"/>
                <w:szCs w:val="20"/>
              </w:rPr>
              <w:t>180,836</w:t>
            </w:r>
          </w:p>
        </w:tc>
        <w:tc>
          <w:tcPr>
            <w:tcW w:w="1507" w:type="dxa"/>
            <w:tcBorders>
              <w:top w:val="nil"/>
              <w:left w:val="nil"/>
              <w:bottom w:val="single" w:sz="8" w:space="0" w:color="auto"/>
              <w:right w:val="single" w:sz="8" w:space="0" w:color="auto"/>
            </w:tcBorders>
            <w:shd w:val="clear" w:color="000000" w:fill="D5DCE4"/>
            <w:noWrap/>
            <w:vAlign w:val="center"/>
            <w:hideMark/>
          </w:tcPr>
          <w:p w:rsidR="00833D38" w:rsidRPr="00A14B59" w:rsidRDefault="00833D38" w:rsidP="000D1FAE">
            <w:pPr>
              <w:jc w:val="right"/>
              <w:rPr>
                <w:rFonts w:ascii="Arial Narrow" w:hAnsi="Arial Narrow" w:cs="Calibri"/>
                <w:b w:val="0"/>
                <w:color w:val="000000"/>
                <w:sz w:val="20"/>
                <w:szCs w:val="20"/>
              </w:rPr>
            </w:pPr>
            <w:r w:rsidRPr="00A14B59">
              <w:rPr>
                <w:rFonts w:ascii="Arial Narrow" w:hAnsi="Arial Narrow" w:cs="Calibri"/>
                <w:b w:val="0"/>
                <w:color w:val="000000"/>
                <w:sz w:val="20"/>
                <w:szCs w:val="20"/>
              </w:rPr>
              <w:t>213,845</w:t>
            </w:r>
          </w:p>
        </w:tc>
        <w:tc>
          <w:tcPr>
            <w:tcW w:w="1507" w:type="dxa"/>
            <w:tcBorders>
              <w:top w:val="nil"/>
              <w:left w:val="nil"/>
              <w:bottom w:val="single" w:sz="8" w:space="0" w:color="auto"/>
              <w:right w:val="single" w:sz="8" w:space="0" w:color="auto"/>
            </w:tcBorders>
            <w:shd w:val="clear" w:color="000000" w:fill="D5DCE4"/>
            <w:noWrap/>
            <w:vAlign w:val="center"/>
            <w:hideMark/>
          </w:tcPr>
          <w:p w:rsidR="00833D38" w:rsidRPr="00E029C4" w:rsidRDefault="00833D38" w:rsidP="000D1FAE">
            <w:pPr>
              <w:jc w:val="right"/>
              <w:rPr>
                <w:rFonts w:ascii="Arial Narrow" w:hAnsi="Arial Narrow" w:cs="Calibri"/>
                <w:b w:val="0"/>
                <w:color w:val="000000"/>
                <w:sz w:val="20"/>
                <w:szCs w:val="20"/>
              </w:rPr>
            </w:pPr>
            <w:r w:rsidRPr="00E029C4">
              <w:rPr>
                <w:rFonts w:ascii="Arial Narrow" w:hAnsi="Arial Narrow" w:cs="Calibri"/>
                <w:b w:val="0"/>
                <w:color w:val="000000"/>
                <w:sz w:val="20"/>
                <w:szCs w:val="20"/>
              </w:rPr>
              <w:t>272,948</w:t>
            </w:r>
          </w:p>
        </w:tc>
      </w:tr>
      <w:tr w:rsidR="00833D38" w:rsidRPr="00A14B59" w:rsidTr="000D1FAE">
        <w:trPr>
          <w:trHeight w:val="315"/>
        </w:trPr>
        <w:tc>
          <w:tcPr>
            <w:tcW w:w="3009" w:type="dxa"/>
            <w:tcBorders>
              <w:top w:val="nil"/>
              <w:left w:val="single" w:sz="8" w:space="0" w:color="auto"/>
              <w:bottom w:val="single" w:sz="8" w:space="0" w:color="auto"/>
              <w:right w:val="single" w:sz="8" w:space="0" w:color="auto"/>
            </w:tcBorders>
            <w:shd w:val="clear" w:color="000000" w:fill="FFFFFF"/>
            <w:vAlign w:val="center"/>
            <w:hideMark/>
          </w:tcPr>
          <w:p w:rsidR="00833D38" w:rsidRPr="00A14B59" w:rsidRDefault="00833D38" w:rsidP="000D1FAE">
            <w:pPr>
              <w:spacing w:before="0" w:line="240" w:lineRule="auto"/>
              <w:ind w:firstLine="0"/>
              <w:contextualSpacing w:val="0"/>
              <w:rPr>
                <w:rFonts w:cs="Calibri"/>
                <w:b w:val="0"/>
                <w:color w:val="000000"/>
                <w:sz w:val="20"/>
                <w:szCs w:val="20"/>
                <w:lang w:val="en-US" w:eastAsia="en-US"/>
              </w:rPr>
            </w:pPr>
            <w:r w:rsidRPr="00A14B59">
              <w:rPr>
                <w:rFonts w:cs="Calibri"/>
                <w:b w:val="0"/>
                <w:color w:val="000000"/>
                <w:sz w:val="20"/>
                <w:szCs w:val="20"/>
                <w:lang w:val="en-US" w:eastAsia="en-US"/>
              </w:rPr>
              <w:t>ՍՈՒԲՍԻԴԻԱՆԵՐ</w:t>
            </w:r>
          </w:p>
        </w:tc>
        <w:tc>
          <w:tcPr>
            <w:tcW w:w="1235" w:type="dxa"/>
            <w:tcBorders>
              <w:top w:val="nil"/>
              <w:left w:val="nil"/>
              <w:bottom w:val="single" w:sz="8" w:space="0" w:color="auto"/>
              <w:right w:val="single" w:sz="8" w:space="0" w:color="auto"/>
            </w:tcBorders>
            <w:shd w:val="clear" w:color="000000" w:fill="FFFFFF"/>
            <w:noWrap/>
            <w:vAlign w:val="center"/>
            <w:hideMark/>
          </w:tcPr>
          <w:p w:rsidR="00833D38" w:rsidRPr="00A14B59" w:rsidRDefault="00833D38" w:rsidP="000D1FAE">
            <w:pPr>
              <w:spacing w:before="0" w:line="240" w:lineRule="auto"/>
              <w:ind w:firstLine="0"/>
              <w:contextualSpacing w:val="0"/>
              <w:jc w:val="right"/>
              <w:rPr>
                <w:rFonts w:ascii="Arial Narrow" w:hAnsi="Arial Narrow" w:cs="Arial"/>
                <w:b w:val="0"/>
                <w:color w:val="000000"/>
                <w:sz w:val="20"/>
                <w:szCs w:val="20"/>
                <w:lang w:val="en-US" w:eastAsia="en-US"/>
              </w:rPr>
            </w:pPr>
            <w:r w:rsidRPr="00A14B59">
              <w:rPr>
                <w:rFonts w:ascii="Arial Narrow" w:hAnsi="Arial Narrow" w:cs="Arial"/>
                <w:b w:val="0"/>
                <w:color w:val="000000"/>
                <w:sz w:val="20"/>
                <w:szCs w:val="20"/>
                <w:lang w:val="en-US" w:eastAsia="en-US"/>
              </w:rPr>
              <w:t>113,376</w:t>
            </w:r>
          </w:p>
        </w:tc>
        <w:tc>
          <w:tcPr>
            <w:tcW w:w="1235" w:type="dxa"/>
            <w:tcBorders>
              <w:top w:val="nil"/>
              <w:left w:val="nil"/>
              <w:bottom w:val="single" w:sz="8" w:space="0" w:color="auto"/>
              <w:right w:val="single" w:sz="8" w:space="0" w:color="auto"/>
            </w:tcBorders>
            <w:shd w:val="clear" w:color="000000" w:fill="FFFFFF"/>
            <w:noWrap/>
            <w:vAlign w:val="center"/>
            <w:hideMark/>
          </w:tcPr>
          <w:p w:rsidR="00833D38" w:rsidRPr="00A14B59" w:rsidRDefault="00833D38" w:rsidP="000D1FAE">
            <w:pPr>
              <w:spacing w:before="0" w:line="240" w:lineRule="auto"/>
              <w:ind w:firstLine="0"/>
              <w:contextualSpacing w:val="0"/>
              <w:jc w:val="right"/>
              <w:rPr>
                <w:rFonts w:ascii="Arial Narrow" w:hAnsi="Arial Narrow" w:cs="Arial"/>
                <w:b w:val="0"/>
                <w:color w:val="000000"/>
                <w:sz w:val="20"/>
                <w:szCs w:val="20"/>
                <w:lang w:val="en-US" w:eastAsia="en-US"/>
              </w:rPr>
            </w:pPr>
            <w:r w:rsidRPr="00A14B59">
              <w:rPr>
                <w:rFonts w:ascii="Arial Narrow" w:hAnsi="Arial Narrow" w:cs="Arial"/>
                <w:b w:val="0"/>
                <w:color w:val="000000"/>
                <w:sz w:val="20"/>
                <w:szCs w:val="20"/>
                <w:lang w:val="en-US" w:eastAsia="en-US"/>
              </w:rPr>
              <w:t>119,079</w:t>
            </w:r>
          </w:p>
        </w:tc>
        <w:tc>
          <w:tcPr>
            <w:tcW w:w="1507" w:type="dxa"/>
            <w:tcBorders>
              <w:top w:val="nil"/>
              <w:left w:val="nil"/>
              <w:bottom w:val="single" w:sz="8" w:space="0" w:color="auto"/>
              <w:right w:val="single" w:sz="8" w:space="0" w:color="auto"/>
            </w:tcBorders>
            <w:shd w:val="clear" w:color="000000" w:fill="FFFFFF"/>
            <w:noWrap/>
            <w:vAlign w:val="center"/>
            <w:hideMark/>
          </w:tcPr>
          <w:p w:rsidR="00833D38" w:rsidRPr="00A14B59" w:rsidRDefault="00833D38" w:rsidP="000D1FAE">
            <w:pPr>
              <w:ind w:firstLine="0"/>
              <w:jc w:val="right"/>
              <w:rPr>
                <w:rFonts w:ascii="Arial Narrow" w:hAnsi="Arial Narrow" w:cs="Calibri"/>
                <w:b w:val="0"/>
                <w:color w:val="000000"/>
                <w:sz w:val="20"/>
                <w:szCs w:val="20"/>
              </w:rPr>
            </w:pPr>
            <w:r w:rsidRPr="00A14B59">
              <w:rPr>
                <w:rFonts w:ascii="Arial Narrow" w:hAnsi="Arial Narrow" w:cs="Calibri"/>
                <w:b w:val="0"/>
                <w:color w:val="000000"/>
                <w:sz w:val="20"/>
                <w:szCs w:val="20"/>
              </w:rPr>
              <w:t>136,778</w:t>
            </w:r>
          </w:p>
        </w:tc>
        <w:tc>
          <w:tcPr>
            <w:tcW w:w="1507" w:type="dxa"/>
            <w:tcBorders>
              <w:top w:val="nil"/>
              <w:left w:val="nil"/>
              <w:bottom w:val="single" w:sz="8" w:space="0" w:color="auto"/>
              <w:right w:val="single" w:sz="8" w:space="0" w:color="auto"/>
            </w:tcBorders>
            <w:shd w:val="clear" w:color="000000" w:fill="FFFFFF"/>
            <w:noWrap/>
            <w:vAlign w:val="center"/>
            <w:hideMark/>
          </w:tcPr>
          <w:p w:rsidR="00833D38" w:rsidRPr="00A14B59" w:rsidRDefault="00833D38" w:rsidP="000D1FAE">
            <w:pPr>
              <w:ind w:firstLine="0"/>
              <w:jc w:val="right"/>
              <w:rPr>
                <w:rFonts w:ascii="Arial Narrow" w:hAnsi="Arial Narrow" w:cs="Calibri"/>
                <w:b w:val="0"/>
                <w:color w:val="000000"/>
                <w:sz w:val="20"/>
                <w:szCs w:val="20"/>
              </w:rPr>
            </w:pPr>
            <w:r w:rsidRPr="00A14B59">
              <w:rPr>
                <w:rFonts w:ascii="Arial Narrow" w:hAnsi="Arial Narrow" w:cs="Calibri"/>
                <w:b w:val="0"/>
                <w:color w:val="000000"/>
                <w:sz w:val="20"/>
                <w:szCs w:val="20"/>
              </w:rPr>
              <w:t>141,852</w:t>
            </w:r>
          </w:p>
        </w:tc>
        <w:tc>
          <w:tcPr>
            <w:tcW w:w="1507" w:type="dxa"/>
            <w:tcBorders>
              <w:top w:val="nil"/>
              <w:left w:val="nil"/>
              <w:bottom w:val="single" w:sz="8" w:space="0" w:color="auto"/>
              <w:right w:val="single" w:sz="8" w:space="0" w:color="auto"/>
            </w:tcBorders>
            <w:shd w:val="clear" w:color="000000" w:fill="FFFFFF"/>
            <w:noWrap/>
            <w:vAlign w:val="center"/>
            <w:hideMark/>
          </w:tcPr>
          <w:p w:rsidR="00833D38" w:rsidRPr="00E029C4" w:rsidRDefault="00833D38" w:rsidP="000D1FAE">
            <w:pPr>
              <w:jc w:val="right"/>
              <w:rPr>
                <w:rFonts w:ascii="Arial Narrow" w:hAnsi="Arial Narrow" w:cs="Calibri"/>
                <w:b w:val="0"/>
                <w:color w:val="000000"/>
                <w:sz w:val="20"/>
                <w:szCs w:val="20"/>
              </w:rPr>
            </w:pPr>
            <w:r w:rsidRPr="00E029C4">
              <w:rPr>
                <w:rFonts w:ascii="Arial Narrow" w:hAnsi="Arial Narrow" w:cs="Calibri"/>
                <w:b w:val="0"/>
                <w:color w:val="000000"/>
                <w:sz w:val="20"/>
                <w:szCs w:val="20"/>
              </w:rPr>
              <w:t>151,494</w:t>
            </w:r>
          </w:p>
        </w:tc>
      </w:tr>
      <w:tr w:rsidR="00833D38" w:rsidRPr="00A14B59" w:rsidTr="000D1FAE">
        <w:trPr>
          <w:trHeight w:val="315"/>
        </w:trPr>
        <w:tc>
          <w:tcPr>
            <w:tcW w:w="3009" w:type="dxa"/>
            <w:tcBorders>
              <w:top w:val="nil"/>
              <w:left w:val="single" w:sz="8" w:space="0" w:color="auto"/>
              <w:bottom w:val="single" w:sz="8" w:space="0" w:color="auto"/>
              <w:right w:val="single" w:sz="8" w:space="0" w:color="auto"/>
            </w:tcBorders>
            <w:shd w:val="clear" w:color="000000" w:fill="D5DCE4"/>
            <w:vAlign w:val="center"/>
            <w:hideMark/>
          </w:tcPr>
          <w:p w:rsidR="00833D38" w:rsidRPr="00A14B59" w:rsidRDefault="00833D38" w:rsidP="000D1FAE">
            <w:pPr>
              <w:spacing w:before="0" w:line="240" w:lineRule="auto"/>
              <w:ind w:firstLine="0"/>
              <w:contextualSpacing w:val="0"/>
              <w:rPr>
                <w:rFonts w:cs="Calibri"/>
                <w:b w:val="0"/>
                <w:color w:val="000000"/>
                <w:sz w:val="20"/>
                <w:szCs w:val="20"/>
                <w:lang w:val="en-US" w:eastAsia="en-US"/>
              </w:rPr>
            </w:pPr>
            <w:r w:rsidRPr="00A14B59">
              <w:rPr>
                <w:rFonts w:cs="Calibri"/>
                <w:b w:val="0"/>
                <w:color w:val="000000"/>
                <w:sz w:val="20"/>
                <w:szCs w:val="20"/>
                <w:lang w:val="en-US" w:eastAsia="en-US"/>
              </w:rPr>
              <w:t>ԴՐԱՄԱՇՆՈՐՀՆԵՐ</w:t>
            </w:r>
          </w:p>
        </w:tc>
        <w:tc>
          <w:tcPr>
            <w:tcW w:w="1235" w:type="dxa"/>
            <w:tcBorders>
              <w:top w:val="nil"/>
              <w:left w:val="nil"/>
              <w:bottom w:val="single" w:sz="8" w:space="0" w:color="auto"/>
              <w:right w:val="single" w:sz="8" w:space="0" w:color="auto"/>
            </w:tcBorders>
            <w:shd w:val="clear" w:color="000000" w:fill="D5DCE4"/>
            <w:noWrap/>
            <w:vAlign w:val="center"/>
            <w:hideMark/>
          </w:tcPr>
          <w:p w:rsidR="00833D38" w:rsidRPr="00A14B59" w:rsidRDefault="00833D38" w:rsidP="000D1FAE">
            <w:pPr>
              <w:spacing w:before="0" w:line="240" w:lineRule="auto"/>
              <w:ind w:firstLine="0"/>
              <w:contextualSpacing w:val="0"/>
              <w:jc w:val="right"/>
              <w:rPr>
                <w:rFonts w:ascii="Arial Narrow" w:hAnsi="Arial Narrow" w:cs="Arial"/>
                <w:b w:val="0"/>
                <w:color w:val="000000"/>
                <w:sz w:val="20"/>
                <w:szCs w:val="20"/>
                <w:lang w:val="en-US" w:eastAsia="en-US"/>
              </w:rPr>
            </w:pPr>
            <w:r w:rsidRPr="00A14B59">
              <w:rPr>
                <w:rFonts w:ascii="Arial Narrow" w:hAnsi="Arial Narrow" w:cs="Arial"/>
                <w:b w:val="0"/>
                <w:color w:val="000000"/>
                <w:sz w:val="20"/>
                <w:szCs w:val="20"/>
                <w:lang w:val="en-US" w:eastAsia="en-US"/>
              </w:rPr>
              <w:t>150,000</w:t>
            </w:r>
          </w:p>
        </w:tc>
        <w:tc>
          <w:tcPr>
            <w:tcW w:w="1235" w:type="dxa"/>
            <w:tcBorders>
              <w:top w:val="nil"/>
              <w:left w:val="nil"/>
              <w:bottom w:val="single" w:sz="8" w:space="0" w:color="auto"/>
              <w:right w:val="single" w:sz="8" w:space="0" w:color="auto"/>
            </w:tcBorders>
            <w:shd w:val="clear" w:color="000000" w:fill="D5DCE4"/>
            <w:noWrap/>
            <w:vAlign w:val="center"/>
            <w:hideMark/>
          </w:tcPr>
          <w:p w:rsidR="00833D38" w:rsidRPr="00A14B59" w:rsidRDefault="00833D38" w:rsidP="000D1FAE">
            <w:pPr>
              <w:spacing w:before="0" w:line="240" w:lineRule="auto"/>
              <w:ind w:firstLine="0"/>
              <w:contextualSpacing w:val="0"/>
              <w:jc w:val="right"/>
              <w:rPr>
                <w:rFonts w:ascii="Arial Narrow" w:hAnsi="Arial Narrow" w:cs="Arial"/>
                <w:b w:val="0"/>
                <w:color w:val="000000"/>
                <w:sz w:val="20"/>
                <w:szCs w:val="20"/>
                <w:lang w:val="en-US" w:eastAsia="en-US"/>
              </w:rPr>
            </w:pPr>
            <w:r w:rsidRPr="00A14B59">
              <w:rPr>
                <w:rFonts w:ascii="Arial Narrow" w:hAnsi="Arial Narrow" w:cs="Arial"/>
                <w:b w:val="0"/>
                <w:color w:val="000000"/>
                <w:sz w:val="20"/>
                <w:szCs w:val="20"/>
                <w:lang w:val="en-US" w:eastAsia="en-US"/>
              </w:rPr>
              <w:t>186,854</w:t>
            </w:r>
          </w:p>
        </w:tc>
        <w:tc>
          <w:tcPr>
            <w:tcW w:w="1507" w:type="dxa"/>
            <w:tcBorders>
              <w:top w:val="nil"/>
              <w:left w:val="nil"/>
              <w:bottom w:val="single" w:sz="8" w:space="0" w:color="auto"/>
              <w:right w:val="single" w:sz="8" w:space="0" w:color="auto"/>
            </w:tcBorders>
            <w:shd w:val="clear" w:color="000000" w:fill="D5DCE4"/>
            <w:noWrap/>
            <w:vAlign w:val="center"/>
            <w:hideMark/>
          </w:tcPr>
          <w:p w:rsidR="00833D38" w:rsidRPr="00A14B59" w:rsidRDefault="00833D38" w:rsidP="000D1FAE">
            <w:pPr>
              <w:ind w:firstLine="0"/>
              <w:jc w:val="right"/>
              <w:rPr>
                <w:rFonts w:ascii="Arial Narrow" w:hAnsi="Arial Narrow" w:cs="Calibri"/>
                <w:b w:val="0"/>
                <w:color w:val="000000"/>
                <w:sz w:val="20"/>
                <w:szCs w:val="20"/>
              </w:rPr>
            </w:pPr>
            <w:r w:rsidRPr="00A14B59">
              <w:rPr>
                <w:rFonts w:ascii="Arial Narrow" w:hAnsi="Arial Narrow" w:cs="Calibri"/>
                <w:b w:val="0"/>
                <w:color w:val="000000"/>
                <w:sz w:val="20"/>
                <w:szCs w:val="20"/>
              </w:rPr>
              <w:t>204,691</w:t>
            </w:r>
          </w:p>
        </w:tc>
        <w:tc>
          <w:tcPr>
            <w:tcW w:w="1507" w:type="dxa"/>
            <w:tcBorders>
              <w:top w:val="nil"/>
              <w:left w:val="nil"/>
              <w:bottom w:val="single" w:sz="8" w:space="0" w:color="auto"/>
              <w:right w:val="single" w:sz="8" w:space="0" w:color="auto"/>
            </w:tcBorders>
            <w:shd w:val="clear" w:color="000000" w:fill="D5DCE4"/>
            <w:noWrap/>
            <w:vAlign w:val="center"/>
            <w:hideMark/>
          </w:tcPr>
          <w:p w:rsidR="00833D38" w:rsidRPr="00A14B59" w:rsidRDefault="00833D38" w:rsidP="000D1FAE">
            <w:pPr>
              <w:ind w:firstLine="0"/>
              <w:jc w:val="right"/>
              <w:rPr>
                <w:rFonts w:ascii="Arial Narrow" w:hAnsi="Arial Narrow" w:cs="Calibri"/>
                <w:b w:val="0"/>
                <w:color w:val="000000"/>
                <w:sz w:val="20"/>
                <w:szCs w:val="20"/>
              </w:rPr>
            </w:pPr>
            <w:r w:rsidRPr="00A14B59">
              <w:rPr>
                <w:rFonts w:ascii="Arial Narrow" w:hAnsi="Arial Narrow" w:cs="Calibri"/>
                <w:b w:val="0"/>
                <w:color w:val="000000"/>
                <w:sz w:val="20"/>
                <w:szCs w:val="20"/>
              </w:rPr>
              <w:t>228,749</w:t>
            </w:r>
          </w:p>
        </w:tc>
        <w:tc>
          <w:tcPr>
            <w:tcW w:w="1507" w:type="dxa"/>
            <w:tcBorders>
              <w:top w:val="nil"/>
              <w:left w:val="nil"/>
              <w:bottom w:val="single" w:sz="8" w:space="0" w:color="auto"/>
              <w:right w:val="single" w:sz="8" w:space="0" w:color="auto"/>
            </w:tcBorders>
            <w:shd w:val="clear" w:color="000000" w:fill="D5DCE4"/>
            <w:noWrap/>
            <w:vAlign w:val="center"/>
            <w:hideMark/>
          </w:tcPr>
          <w:p w:rsidR="00833D38" w:rsidRPr="00E029C4" w:rsidRDefault="00833D38" w:rsidP="000D1FAE">
            <w:pPr>
              <w:jc w:val="right"/>
              <w:rPr>
                <w:rFonts w:ascii="Arial Narrow" w:hAnsi="Arial Narrow" w:cs="Calibri"/>
                <w:b w:val="0"/>
                <w:color w:val="000000"/>
                <w:sz w:val="20"/>
                <w:szCs w:val="20"/>
              </w:rPr>
            </w:pPr>
            <w:r w:rsidRPr="00E029C4">
              <w:rPr>
                <w:rFonts w:ascii="Arial Narrow" w:hAnsi="Arial Narrow" w:cs="Calibri"/>
                <w:b w:val="0"/>
                <w:color w:val="000000"/>
                <w:sz w:val="20"/>
                <w:szCs w:val="20"/>
              </w:rPr>
              <w:t>268,313</w:t>
            </w:r>
          </w:p>
        </w:tc>
      </w:tr>
      <w:tr w:rsidR="00833D38" w:rsidRPr="00A14B59" w:rsidTr="000D1FAE">
        <w:trPr>
          <w:trHeight w:val="555"/>
        </w:trPr>
        <w:tc>
          <w:tcPr>
            <w:tcW w:w="3009" w:type="dxa"/>
            <w:tcBorders>
              <w:top w:val="nil"/>
              <w:left w:val="single" w:sz="8" w:space="0" w:color="auto"/>
              <w:bottom w:val="single" w:sz="8" w:space="0" w:color="auto"/>
              <w:right w:val="single" w:sz="8" w:space="0" w:color="auto"/>
            </w:tcBorders>
            <w:shd w:val="clear" w:color="000000" w:fill="FFFFFF"/>
            <w:vAlign w:val="center"/>
            <w:hideMark/>
          </w:tcPr>
          <w:p w:rsidR="00833D38" w:rsidRPr="00A14B59" w:rsidRDefault="00833D38" w:rsidP="000D1FAE">
            <w:pPr>
              <w:spacing w:before="0" w:line="240" w:lineRule="auto"/>
              <w:ind w:firstLine="0"/>
              <w:contextualSpacing w:val="0"/>
              <w:jc w:val="left"/>
              <w:rPr>
                <w:rFonts w:cs="Calibri"/>
                <w:b w:val="0"/>
                <w:color w:val="000000"/>
                <w:sz w:val="20"/>
                <w:szCs w:val="20"/>
                <w:lang w:val="en-US" w:eastAsia="en-US"/>
              </w:rPr>
            </w:pPr>
            <w:r w:rsidRPr="00A14B59">
              <w:rPr>
                <w:rFonts w:cs="Calibri"/>
                <w:b w:val="0"/>
                <w:color w:val="000000"/>
                <w:sz w:val="20"/>
                <w:szCs w:val="20"/>
                <w:lang w:val="en-US" w:eastAsia="en-US"/>
              </w:rPr>
              <w:t>ՍՈՑԻԱԼԱԿԱՆ  ՆՊԱՍՏՆԵՐ ԵՎ ԿԵՆՍԱԹՈՇԱԿՆԵՐ</w:t>
            </w:r>
          </w:p>
        </w:tc>
        <w:tc>
          <w:tcPr>
            <w:tcW w:w="1235" w:type="dxa"/>
            <w:tcBorders>
              <w:top w:val="nil"/>
              <w:left w:val="nil"/>
              <w:bottom w:val="single" w:sz="8" w:space="0" w:color="auto"/>
              <w:right w:val="single" w:sz="8" w:space="0" w:color="auto"/>
            </w:tcBorders>
            <w:shd w:val="clear" w:color="000000" w:fill="FFFFFF"/>
            <w:noWrap/>
            <w:vAlign w:val="center"/>
            <w:hideMark/>
          </w:tcPr>
          <w:p w:rsidR="00833D38" w:rsidRPr="00A14B59" w:rsidRDefault="00833D38" w:rsidP="000D1FAE">
            <w:pPr>
              <w:spacing w:before="0" w:line="240" w:lineRule="auto"/>
              <w:ind w:firstLine="0"/>
              <w:contextualSpacing w:val="0"/>
              <w:jc w:val="right"/>
              <w:rPr>
                <w:rFonts w:ascii="Arial Narrow" w:hAnsi="Arial Narrow" w:cs="Arial"/>
                <w:b w:val="0"/>
                <w:color w:val="000000"/>
                <w:sz w:val="20"/>
                <w:szCs w:val="20"/>
                <w:lang w:val="en-US" w:eastAsia="en-US"/>
              </w:rPr>
            </w:pPr>
            <w:r w:rsidRPr="00A14B59">
              <w:rPr>
                <w:rFonts w:ascii="Arial Narrow" w:hAnsi="Arial Narrow" w:cs="Arial"/>
                <w:b w:val="0"/>
                <w:color w:val="000000"/>
                <w:sz w:val="20"/>
                <w:szCs w:val="20"/>
                <w:lang w:val="en-US" w:eastAsia="en-US"/>
              </w:rPr>
              <w:t>453,219</w:t>
            </w:r>
          </w:p>
        </w:tc>
        <w:tc>
          <w:tcPr>
            <w:tcW w:w="1235" w:type="dxa"/>
            <w:tcBorders>
              <w:top w:val="nil"/>
              <w:left w:val="nil"/>
              <w:bottom w:val="single" w:sz="8" w:space="0" w:color="auto"/>
              <w:right w:val="single" w:sz="8" w:space="0" w:color="auto"/>
            </w:tcBorders>
            <w:shd w:val="clear" w:color="000000" w:fill="FFFFFF"/>
            <w:noWrap/>
            <w:vAlign w:val="center"/>
            <w:hideMark/>
          </w:tcPr>
          <w:p w:rsidR="00833D38" w:rsidRPr="00A14B59" w:rsidRDefault="00833D38" w:rsidP="000D1FAE">
            <w:pPr>
              <w:spacing w:before="0" w:line="240" w:lineRule="auto"/>
              <w:ind w:firstLine="0"/>
              <w:contextualSpacing w:val="0"/>
              <w:jc w:val="right"/>
              <w:rPr>
                <w:rFonts w:ascii="Arial Narrow" w:hAnsi="Arial Narrow" w:cs="Arial"/>
                <w:b w:val="0"/>
                <w:color w:val="000000"/>
                <w:sz w:val="20"/>
                <w:szCs w:val="20"/>
                <w:lang w:val="en-US" w:eastAsia="en-US"/>
              </w:rPr>
            </w:pPr>
            <w:r w:rsidRPr="00A14B59">
              <w:rPr>
                <w:rFonts w:ascii="Arial Narrow" w:hAnsi="Arial Narrow" w:cs="Arial"/>
                <w:b w:val="0"/>
                <w:color w:val="000000"/>
                <w:sz w:val="20"/>
                <w:szCs w:val="20"/>
                <w:lang w:val="en-US" w:eastAsia="en-US"/>
              </w:rPr>
              <w:t>559,072</w:t>
            </w:r>
          </w:p>
        </w:tc>
        <w:tc>
          <w:tcPr>
            <w:tcW w:w="1507" w:type="dxa"/>
            <w:tcBorders>
              <w:top w:val="nil"/>
              <w:left w:val="nil"/>
              <w:bottom w:val="single" w:sz="8" w:space="0" w:color="auto"/>
              <w:right w:val="single" w:sz="8" w:space="0" w:color="auto"/>
            </w:tcBorders>
            <w:shd w:val="clear" w:color="000000" w:fill="FFFFFF"/>
            <w:noWrap/>
            <w:vAlign w:val="center"/>
            <w:hideMark/>
          </w:tcPr>
          <w:p w:rsidR="00833D38" w:rsidRPr="00A14B59" w:rsidRDefault="00833D38" w:rsidP="000D1FAE">
            <w:pPr>
              <w:ind w:firstLine="0"/>
              <w:jc w:val="right"/>
              <w:rPr>
                <w:rFonts w:ascii="Arial Narrow" w:hAnsi="Arial Narrow" w:cs="Calibri"/>
                <w:b w:val="0"/>
                <w:color w:val="000000"/>
                <w:sz w:val="20"/>
                <w:szCs w:val="20"/>
              </w:rPr>
            </w:pPr>
            <w:r w:rsidRPr="00A14B59">
              <w:rPr>
                <w:rFonts w:ascii="Arial Narrow" w:hAnsi="Arial Narrow" w:cs="Calibri"/>
                <w:b w:val="0"/>
                <w:color w:val="000000"/>
                <w:sz w:val="20"/>
                <w:szCs w:val="20"/>
              </w:rPr>
              <w:t>621,158</w:t>
            </w:r>
          </w:p>
        </w:tc>
        <w:tc>
          <w:tcPr>
            <w:tcW w:w="1507" w:type="dxa"/>
            <w:tcBorders>
              <w:top w:val="nil"/>
              <w:left w:val="nil"/>
              <w:bottom w:val="single" w:sz="8" w:space="0" w:color="auto"/>
              <w:right w:val="single" w:sz="8" w:space="0" w:color="auto"/>
            </w:tcBorders>
            <w:shd w:val="clear" w:color="000000" w:fill="FFFFFF"/>
            <w:noWrap/>
            <w:vAlign w:val="center"/>
            <w:hideMark/>
          </w:tcPr>
          <w:p w:rsidR="00833D38" w:rsidRPr="00A14B59" w:rsidRDefault="00833D38" w:rsidP="000D1FAE">
            <w:pPr>
              <w:ind w:firstLine="0"/>
              <w:jc w:val="right"/>
              <w:rPr>
                <w:rFonts w:ascii="Arial Narrow" w:hAnsi="Arial Narrow" w:cs="Calibri"/>
                <w:b w:val="0"/>
                <w:color w:val="000000"/>
                <w:sz w:val="20"/>
                <w:szCs w:val="20"/>
              </w:rPr>
            </w:pPr>
            <w:r w:rsidRPr="00A14B59">
              <w:rPr>
                <w:rFonts w:ascii="Arial Narrow" w:hAnsi="Arial Narrow" w:cs="Calibri"/>
                <w:b w:val="0"/>
                <w:color w:val="000000"/>
                <w:sz w:val="20"/>
                <w:szCs w:val="20"/>
              </w:rPr>
              <w:t>572,071</w:t>
            </w:r>
          </w:p>
        </w:tc>
        <w:tc>
          <w:tcPr>
            <w:tcW w:w="1507" w:type="dxa"/>
            <w:tcBorders>
              <w:top w:val="nil"/>
              <w:left w:val="nil"/>
              <w:bottom w:val="single" w:sz="8" w:space="0" w:color="auto"/>
              <w:right w:val="single" w:sz="8" w:space="0" w:color="auto"/>
            </w:tcBorders>
            <w:shd w:val="clear" w:color="000000" w:fill="FFFFFF"/>
            <w:noWrap/>
            <w:vAlign w:val="center"/>
            <w:hideMark/>
          </w:tcPr>
          <w:p w:rsidR="00833D38" w:rsidRPr="00E029C4" w:rsidRDefault="00833D38" w:rsidP="000D1FAE">
            <w:pPr>
              <w:jc w:val="right"/>
              <w:rPr>
                <w:rFonts w:ascii="Arial Narrow" w:hAnsi="Arial Narrow" w:cs="Calibri"/>
                <w:b w:val="0"/>
                <w:color w:val="000000"/>
                <w:sz w:val="20"/>
                <w:szCs w:val="20"/>
              </w:rPr>
            </w:pPr>
            <w:r w:rsidRPr="00E029C4">
              <w:rPr>
                <w:rFonts w:ascii="Arial Narrow" w:hAnsi="Arial Narrow" w:cs="Calibri"/>
                <w:b w:val="0"/>
                <w:color w:val="000000"/>
                <w:sz w:val="20"/>
                <w:szCs w:val="20"/>
              </w:rPr>
              <w:t>659,835</w:t>
            </w:r>
          </w:p>
        </w:tc>
      </w:tr>
      <w:tr w:rsidR="00833D38" w:rsidRPr="00A14B59" w:rsidTr="000D1FAE">
        <w:trPr>
          <w:trHeight w:val="315"/>
        </w:trPr>
        <w:tc>
          <w:tcPr>
            <w:tcW w:w="3009" w:type="dxa"/>
            <w:tcBorders>
              <w:top w:val="nil"/>
              <w:left w:val="single" w:sz="8" w:space="0" w:color="auto"/>
              <w:bottom w:val="single" w:sz="8" w:space="0" w:color="auto"/>
              <w:right w:val="single" w:sz="8" w:space="0" w:color="auto"/>
            </w:tcBorders>
            <w:shd w:val="clear" w:color="000000" w:fill="D5DCE4"/>
            <w:vAlign w:val="center"/>
            <w:hideMark/>
          </w:tcPr>
          <w:p w:rsidR="00833D38" w:rsidRPr="00A14B59" w:rsidRDefault="00833D38" w:rsidP="000D1FAE">
            <w:pPr>
              <w:spacing w:before="0" w:line="240" w:lineRule="auto"/>
              <w:ind w:firstLine="0"/>
              <w:contextualSpacing w:val="0"/>
              <w:rPr>
                <w:rFonts w:cs="Calibri"/>
                <w:b w:val="0"/>
                <w:color w:val="000000"/>
                <w:sz w:val="20"/>
                <w:szCs w:val="20"/>
                <w:lang w:val="en-US" w:eastAsia="en-US"/>
              </w:rPr>
            </w:pPr>
            <w:r w:rsidRPr="00A14B59">
              <w:rPr>
                <w:rFonts w:cs="Calibri"/>
                <w:b w:val="0"/>
                <w:color w:val="000000"/>
                <w:sz w:val="20"/>
                <w:szCs w:val="20"/>
                <w:lang w:val="en-US" w:eastAsia="en-US"/>
              </w:rPr>
              <w:t>ԱՅԼ  ԾԱԽՍԵՐ</w:t>
            </w:r>
          </w:p>
        </w:tc>
        <w:tc>
          <w:tcPr>
            <w:tcW w:w="1235" w:type="dxa"/>
            <w:tcBorders>
              <w:top w:val="nil"/>
              <w:left w:val="nil"/>
              <w:bottom w:val="single" w:sz="8" w:space="0" w:color="auto"/>
              <w:right w:val="single" w:sz="8" w:space="0" w:color="auto"/>
            </w:tcBorders>
            <w:shd w:val="clear" w:color="000000" w:fill="D5DCE4"/>
            <w:noWrap/>
            <w:vAlign w:val="center"/>
            <w:hideMark/>
          </w:tcPr>
          <w:p w:rsidR="00833D38" w:rsidRPr="00A14B59" w:rsidRDefault="00833D38" w:rsidP="000D1FAE">
            <w:pPr>
              <w:spacing w:before="0" w:line="240" w:lineRule="auto"/>
              <w:ind w:firstLine="0"/>
              <w:contextualSpacing w:val="0"/>
              <w:jc w:val="right"/>
              <w:rPr>
                <w:rFonts w:ascii="Arial Narrow" w:hAnsi="Arial Narrow" w:cs="Arial"/>
                <w:b w:val="0"/>
                <w:color w:val="000000"/>
                <w:sz w:val="20"/>
                <w:szCs w:val="20"/>
                <w:lang w:val="en-US" w:eastAsia="en-US"/>
              </w:rPr>
            </w:pPr>
            <w:r w:rsidRPr="00A14B59">
              <w:rPr>
                <w:rFonts w:ascii="Arial Narrow" w:hAnsi="Arial Narrow" w:cs="Arial"/>
                <w:b w:val="0"/>
                <w:color w:val="000000"/>
                <w:sz w:val="20"/>
                <w:szCs w:val="20"/>
                <w:lang w:val="en-US" w:eastAsia="en-US"/>
              </w:rPr>
              <w:t>198,296</w:t>
            </w:r>
          </w:p>
        </w:tc>
        <w:tc>
          <w:tcPr>
            <w:tcW w:w="1235" w:type="dxa"/>
            <w:tcBorders>
              <w:top w:val="nil"/>
              <w:left w:val="nil"/>
              <w:bottom w:val="single" w:sz="8" w:space="0" w:color="auto"/>
              <w:right w:val="single" w:sz="8" w:space="0" w:color="auto"/>
            </w:tcBorders>
            <w:shd w:val="clear" w:color="000000" w:fill="D5DCE4"/>
            <w:noWrap/>
            <w:vAlign w:val="center"/>
            <w:hideMark/>
          </w:tcPr>
          <w:p w:rsidR="00833D38" w:rsidRPr="00A14B59" w:rsidRDefault="00833D38" w:rsidP="000D1FAE">
            <w:pPr>
              <w:spacing w:before="0" w:line="240" w:lineRule="auto"/>
              <w:ind w:firstLine="0"/>
              <w:contextualSpacing w:val="0"/>
              <w:jc w:val="right"/>
              <w:rPr>
                <w:rFonts w:ascii="Arial Narrow" w:hAnsi="Arial Narrow" w:cs="Arial"/>
                <w:b w:val="0"/>
                <w:color w:val="000000"/>
                <w:sz w:val="20"/>
                <w:szCs w:val="20"/>
                <w:lang w:val="en-US" w:eastAsia="en-US"/>
              </w:rPr>
            </w:pPr>
            <w:r w:rsidRPr="00A14B59">
              <w:rPr>
                <w:rFonts w:ascii="Arial Narrow" w:hAnsi="Arial Narrow" w:cs="Arial"/>
                <w:b w:val="0"/>
                <w:color w:val="000000"/>
                <w:sz w:val="20"/>
                <w:szCs w:val="20"/>
                <w:lang w:val="en-US" w:eastAsia="en-US"/>
              </w:rPr>
              <w:t>283,422</w:t>
            </w:r>
          </w:p>
        </w:tc>
        <w:tc>
          <w:tcPr>
            <w:tcW w:w="1507" w:type="dxa"/>
            <w:tcBorders>
              <w:top w:val="nil"/>
              <w:left w:val="nil"/>
              <w:bottom w:val="single" w:sz="8" w:space="0" w:color="auto"/>
              <w:right w:val="single" w:sz="8" w:space="0" w:color="auto"/>
            </w:tcBorders>
            <w:shd w:val="clear" w:color="000000" w:fill="D5DCE4"/>
            <w:noWrap/>
            <w:vAlign w:val="center"/>
            <w:hideMark/>
          </w:tcPr>
          <w:p w:rsidR="00833D38" w:rsidRPr="00A14B59" w:rsidRDefault="00833D38" w:rsidP="000D1FAE">
            <w:pPr>
              <w:jc w:val="right"/>
              <w:rPr>
                <w:rFonts w:ascii="Arial Narrow" w:hAnsi="Arial Narrow" w:cs="Calibri"/>
                <w:b w:val="0"/>
                <w:color w:val="000000"/>
                <w:sz w:val="20"/>
                <w:szCs w:val="20"/>
              </w:rPr>
            </w:pPr>
            <w:r w:rsidRPr="00A14B59">
              <w:rPr>
                <w:rFonts w:ascii="Arial Narrow" w:hAnsi="Arial Narrow" w:cs="Calibri"/>
                <w:b w:val="0"/>
                <w:color w:val="000000"/>
                <w:sz w:val="20"/>
                <w:szCs w:val="20"/>
              </w:rPr>
              <w:t>264,612</w:t>
            </w:r>
          </w:p>
        </w:tc>
        <w:tc>
          <w:tcPr>
            <w:tcW w:w="1507" w:type="dxa"/>
            <w:tcBorders>
              <w:top w:val="nil"/>
              <w:left w:val="nil"/>
              <w:bottom w:val="single" w:sz="8" w:space="0" w:color="auto"/>
              <w:right w:val="single" w:sz="8" w:space="0" w:color="auto"/>
            </w:tcBorders>
            <w:shd w:val="clear" w:color="000000" w:fill="D5DCE4"/>
            <w:noWrap/>
            <w:vAlign w:val="center"/>
            <w:hideMark/>
          </w:tcPr>
          <w:p w:rsidR="00833D38" w:rsidRPr="00A14B59" w:rsidRDefault="00833D38" w:rsidP="000D1FAE">
            <w:pPr>
              <w:jc w:val="right"/>
              <w:rPr>
                <w:rFonts w:ascii="Arial Narrow" w:hAnsi="Arial Narrow" w:cs="Calibri"/>
                <w:b w:val="0"/>
                <w:color w:val="000000"/>
                <w:sz w:val="20"/>
                <w:szCs w:val="20"/>
              </w:rPr>
            </w:pPr>
            <w:r w:rsidRPr="00A14B59">
              <w:rPr>
                <w:rFonts w:ascii="Arial Narrow" w:hAnsi="Arial Narrow" w:cs="Calibri"/>
                <w:b w:val="0"/>
                <w:color w:val="000000"/>
                <w:sz w:val="20"/>
                <w:szCs w:val="20"/>
              </w:rPr>
              <w:t>328,533</w:t>
            </w:r>
          </w:p>
        </w:tc>
        <w:tc>
          <w:tcPr>
            <w:tcW w:w="1507" w:type="dxa"/>
            <w:tcBorders>
              <w:top w:val="nil"/>
              <w:left w:val="nil"/>
              <w:bottom w:val="single" w:sz="8" w:space="0" w:color="auto"/>
              <w:right w:val="single" w:sz="8" w:space="0" w:color="auto"/>
            </w:tcBorders>
            <w:shd w:val="clear" w:color="000000" w:fill="D5DCE4"/>
            <w:noWrap/>
            <w:vAlign w:val="center"/>
            <w:hideMark/>
          </w:tcPr>
          <w:p w:rsidR="00833D38" w:rsidRPr="00E029C4" w:rsidRDefault="00833D38" w:rsidP="00083C3E">
            <w:pPr>
              <w:jc w:val="right"/>
              <w:rPr>
                <w:rFonts w:ascii="Arial Narrow" w:hAnsi="Arial Narrow" w:cs="Calibri"/>
                <w:b w:val="0"/>
                <w:color w:val="000000"/>
                <w:sz w:val="20"/>
                <w:szCs w:val="20"/>
              </w:rPr>
            </w:pPr>
            <w:r w:rsidRPr="00E029C4">
              <w:rPr>
                <w:rFonts w:ascii="Arial Narrow" w:hAnsi="Arial Narrow" w:cs="Calibri"/>
                <w:b w:val="0"/>
                <w:color w:val="000000"/>
                <w:sz w:val="20"/>
                <w:szCs w:val="20"/>
              </w:rPr>
              <w:t>291,8</w:t>
            </w:r>
            <w:r w:rsidR="00083C3E">
              <w:rPr>
                <w:rFonts w:asciiTheme="minorHAnsi" w:hAnsiTheme="minorHAnsi" w:cs="Calibri"/>
                <w:b w:val="0"/>
                <w:color w:val="000000"/>
                <w:sz w:val="20"/>
                <w:szCs w:val="20"/>
                <w:lang w:val="hy-AM"/>
              </w:rPr>
              <w:t>1</w:t>
            </w:r>
            <w:r w:rsidRPr="00E029C4">
              <w:rPr>
                <w:rFonts w:ascii="Arial Narrow" w:hAnsi="Arial Narrow" w:cs="Calibri"/>
                <w:b w:val="0"/>
                <w:color w:val="000000"/>
                <w:sz w:val="20"/>
                <w:szCs w:val="20"/>
              </w:rPr>
              <w:t>7</w:t>
            </w:r>
          </w:p>
        </w:tc>
      </w:tr>
    </w:tbl>
    <w:p w:rsidR="00833D38" w:rsidRPr="00A14B59" w:rsidRDefault="00833D38" w:rsidP="00833D38">
      <w:pPr>
        <w:spacing w:before="0" w:line="276" w:lineRule="auto"/>
        <w:contextualSpacing w:val="0"/>
        <w:jc w:val="center"/>
        <w:rPr>
          <w:b w:val="0"/>
          <w:szCs w:val="22"/>
          <w:lang w:val="af-ZA" w:eastAsia="en-US"/>
        </w:rPr>
      </w:pPr>
    </w:p>
    <w:p w:rsidR="00833D38" w:rsidRPr="00A14B59" w:rsidRDefault="00833D38" w:rsidP="00833D38">
      <w:pPr>
        <w:spacing w:before="0" w:line="276" w:lineRule="auto"/>
        <w:ind w:firstLine="475"/>
        <w:contextualSpacing w:val="0"/>
        <w:rPr>
          <w:rFonts w:cs="Sylfaen"/>
          <w:b w:val="0"/>
          <w:szCs w:val="22"/>
          <w:lang w:val="af-ZA" w:eastAsia="en-US"/>
        </w:rPr>
      </w:pPr>
    </w:p>
    <w:p w:rsidR="00833D38" w:rsidRDefault="00833D38" w:rsidP="00833D38">
      <w:pPr>
        <w:spacing w:before="0" w:line="276" w:lineRule="auto"/>
        <w:ind w:firstLine="475"/>
        <w:contextualSpacing w:val="0"/>
        <w:rPr>
          <w:rFonts w:cs="Sylfaen"/>
          <w:b w:val="0"/>
          <w:szCs w:val="22"/>
          <w:lang w:val="af-ZA" w:eastAsia="en-US"/>
        </w:rPr>
      </w:pPr>
    </w:p>
    <w:p w:rsidR="00833D38" w:rsidRDefault="00833D38" w:rsidP="00833D38">
      <w:pPr>
        <w:spacing w:before="0" w:line="276" w:lineRule="auto"/>
        <w:ind w:firstLine="475"/>
        <w:contextualSpacing w:val="0"/>
        <w:rPr>
          <w:rFonts w:cs="Sylfaen"/>
          <w:b w:val="0"/>
          <w:szCs w:val="22"/>
          <w:lang w:val="af-ZA" w:eastAsia="en-US"/>
        </w:rPr>
      </w:pPr>
    </w:p>
    <w:p w:rsidR="00833D38" w:rsidRDefault="00833D38" w:rsidP="00833D38">
      <w:pPr>
        <w:spacing w:before="0" w:line="276" w:lineRule="auto"/>
        <w:ind w:firstLine="475"/>
        <w:contextualSpacing w:val="0"/>
        <w:rPr>
          <w:rFonts w:cs="Sylfaen"/>
          <w:b w:val="0"/>
          <w:szCs w:val="22"/>
          <w:lang w:val="af-ZA" w:eastAsia="en-US"/>
        </w:rPr>
      </w:pPr>
    </w:p>
    <w:p w:rsidR="00833D38" w:rsidRDefault="00833D38" w:rsidP="00833D38">
      <w:pPr>
        <w:spacing w:before="0" w:line="276" w:lineRule="auto"/>
        <w:ind w:firstLine="475"/>
        <w:contextualSpacing w:val="0"/>
        <w:rPr>
          <w:rFonts w:cs="Sylfaen"/>
          <w:b w:val="0"/>
          <w:szCs w:val="22"/>
          <w:lang w:val="af-ZA" w:eastAsia="en-US"/>
        </w:rPr>
      </w:pPr>
    </w:p>
    <w:p w:rsidR="00833D38" w:rsidRDefault="00833D38" w:rsidP="00833D38">
      <w:pPr>
        <w:spacing w:before="0" w:line="276" w:lineRule="auto"/>
        <w:ind w:firstLine="475"/>
        <w:contextualSpacing w:val="0"/>
        <w:rPr>
          <w:rFonts w:cs="Sylfaen"/>
          <w:b w:val="0"/>
          <w:szCs w:val="22"/>
          <w:lang w:val="af-ZA" w:eastAsia="en-US"/>
        </w:rPr>
      </w:pPr>
    </w:p>
    <w:p w:rsidR="00833D38" w:rsidRDefault="00833D38" w:rsidP="00833D38">
      <w:pPr>
        <w:spacing w:before="0" w:line="276" w:lineRule="auto"/>
        <w:ind w:firstLine="475"/>
        <w:contextualSpacing w:val="0"/>
        <w:rPr>
          <w:rFonts w:cs="Sylfaen"/>
          <w:b w:val="0"/>
          <w:szCs w:val="22"/>
          <w:lang w:val="af-ZA" w:eastAsia="en-US"/>
        </w:rPr>
      </w:pPr>
    </w:p>
    <w:p w:rsidR="00833D38" w:rsidRDefault="00833D38" w:rsidP="00833D38">
      <w:pPr>
        <w:spacing w:before="0" w:line="276" w:lineRule="auto"/>
        <w:ind w:firstLine="475"/>
        <w:contextualSpacing w:val="0"/>
        <w:rPr>
          <w:rFonts w:cs="Sylfaen"/>
          <w:b w:val="0"/>
          <w:szCs w:val="22"/>
          <w:lang w:val="af-ZA" w:eastAsia="en-US"/>
        </w:rPr>
      </w:pPr>
    </w:p>
    <w:p w:rsidR="00833D38" w:rsidRDefault="00833D38" w:rsidP="00833D38">
      <w:pPr>
        <w:spacing w:before="0" w:line="276" w:lineRule="auto"/>
        <w:ind w:firstLine="475"/>
        <w:contextualSpacing w:val="0"/>
        <w:rPr>
          <w:rFonts w:cs="Sylfaen"/>
          <w:b w:val="0"/>
          <w:szCs w:val="22"/>
          <w:lang w:val="af-ZA" w:eastAsia="en-US"/>
        </w:rPr>
      </w:pPr>
    </w:p>
    <w:p w:rsidR="00833D38" w:rsidRDefault="00833D38" w:rsidP="00833D38">
      <w:pPr>
        <w:spacing w:before="0" w:line="276" w:lineRule="auto"/>
        <w:ind w:firstLine="475"/>
        <w:contextualSpacing w:val="0"/>
        <w:rPr>
          <w:rFonts w:cs="Sylfaen"/>
          <w:b w:val="0"/>
          <w:szCs w:val="22"/>
          <w:lang w:val="af-ZA" w:eastAsia="en-US"/>
        </w:rPr>
      </w:pPr>
    </w:p>
    <w:p w:rsidR="00833D38" w:rsidRPr="00A14B59" w:rsidRDefault="00833D38" w:rsidP="00833D38">
      <w:pPr>
        <w:spacing w:before="0" w:line="276" w:lineRule="auto"/>
        <w:ind w:firstLine="475"/>
        <w:contextualSpacing w:val="0"/>
        <w:rPr>
          <w:rFonts w:cs="Sylfaen"/>
          <w:b w:val="0"/>
          <w:szCs w:val="22"/>
          <w:lang w:val="af-ZA" w:eastAsia="en-US"/>
        </w:rPr>
      </w:pPr>
    </w:p>
    <w:p w:rsidR="00833D38" w:rsidRDefault="00833D38" w:rsidP="00833D38">
      <w:pPr>
        <w:spacing w:before="0" w:line="276" w:lineRule="auto"/>
        <w:ind w:firstLine="475"/>
        <w:contextualSpacing w:val="0"/>
        <w:rPr>
          <w:rFonts w:cs="Sylfaen"/>
          <w:b w:val="0"/>
          <w:szCs w:val="22"/>
          <w:lang w:val="af-ZA" w:eastAsia="en-US"/>
        </w:rPr>
      </w:pPr>
      <w:r w:rsidRPr="00A14B59">
        <w:rPr>
          <w:rFonts w:cs="Sylfaen"/>
          <w:b w:val="0"/>
          <w:szCs w:val="22"/>
          <w:lang w:val="af-ZA" w:eastAsia="en-US"/>
        </w:rPr>
        <w:t xml:space="preserve">2023 </w:t>
      </w:r>
      <w:r w:rsidRPr="00A14B59">
        <w:rPr>
          <w:b w:val="0"/>
          <w:szCs w:val="22"/>
          <w:lang w:val="hy-AM" w:eastAsia="en-US"/>
        </w:rPr>
        <w:t>թվակա</w:t>
      </w:r>
      <w:r w:rsidRPr="00A14B59">
        <w:rPr>
          <w:rFonts w:cs="Sylfaen"/>
          <w:b w:val="0"/>
          <w:szCs w:val="22"/>
          <w:lang w:val="hy-AM" w:eastAsia="en-US"/>
        </w:rPr>
        <w:t>նի</w:t>
      </w:r>
      <w:r w:rsidRPr="00A14B59">
        <w:rPr>
          <w:rFonts w:cs="Sylfaen"/>
          <w:b w:val="0"/>
          <w:szCs w:val="22"/>
          <w:lang w:val="af-ZA" w:eastAsia="en-US"/>
        </w:rPr>
        <w:t xml:space="preserve"> </w:t>
      </w:r>
      <w:r w:rsidRPr="00A14B59">
        <w:rPr>
          <w:rFonts w:cs="Sylfaen"/>
          <w:b w:val="0"/>
          <w:szCs w:val="22"/>
          <w:lang w:val="hy-AM" w:eastAsia="en-US"/>
        </w:rPr>
        <w:t>պետական</w:t>
      </w:r>
      <w:r w:rsidRPr="00A14B59">
        <w:rPr>
          <w:rFonts w:cs="Sylfaen"/>
          <w:b w:val="0"/>
          <w:szCs w:val="22"/>
          <w:lang w:val="af-ZA" w:eastAsia="en-US"/>
        </w:rPr>
        <w:t xml:space="preserve"> </w:t>
      </w:r>
      <w:r w:rsidRPr="00A14B59">
        <w:rPr>
          <w:rFonts w:cs="Sylfaen"/>
          <w:b w:val="0"/>
          <w:szCs w:val="22"/>
          <w:lang w:val="hy-AM" w:eastAsia="en-US"/>
        </w:rPr>
        <w:t>բյուջեից</w:t>
      </w:r>
      <w:r w:rsidRPr="00A14B59">
        <w:rPr>
          <w:rFonts w:cs="Sylfaen"/>
          <w:b w:val="0"/>
          <w:szCs w:val="22"/>
          <w:lang w:val="af-ZA" w:eastAsia="en-US"/>
        </w:rPr>
        <w:t xml:space="preserve"> </w:t>
      </w:r>
      <w:r w:rsidRPr="00A14B59">
        <w:rPr>
          <w:rFonts w:cs="Sylfaen"/>
          <w:b w:val="0"/>
          <w:szCs w:val="22"/>
          <w:lang w:val="hy-AM" w:eastAsia="en-US"/>
        </w:rPr>
        <w:t>նախատեսվում</w:t>
      </w:r>
      <w:r w:rsidRPr="00A14B59">
        <w:rPr>
          <w:rFonts w:cs="Sylfaen"/>
          <w:b w:val="0"/>
          <w:szCs w:val="22"/>
          <w:lang w:val="af-ZA" w:eastAsia="en-US"/>
        </w:rPr>
        <w:t xml:space="preserve"> </w:t>
      </w:r>
      <w:r w:rsidRPr="00A14B59">
        <w:rPr>
          <w:rFonts w:cs="Sylfaen"/>
          <w:b w:val="0"/>
          <w:szCs w:val="22"/>
          <w:lang w:val="hy-AM" w:eastAsia="en-US"/>
        </w:rPr>
        <w:t>է</w:t>
      </w:r>
      <w:r w:rsidRPr="00A14B59">
        <w:rPr>
          <w:rFonts w:cs="Sylfaen"/>
          <w:b w:val="0"/>
          <w:szCs w:val="22"/>
          <w:lang w:val="af-ZA" w:eastAsia="en-US"/>
        </w:rPr>
        <w:t xml:space="preserve"> </w:t>
      </w:r>
      <w:r w:rsidRPr="00A14B59">
        <w:rPr>
          <w:rFonts w:cs="Sylfaen"/>
          <w:b w:val="0"/>
          <w:szCs w:val="22"/>
          <w:lang w:val="hy-AM" w:eastAsia="en-US"/>
        </w:rPr>
        <w:t>տրամադրել</w:t>
      </w:r>
      <w:r w:rsidRPr="00A14B59">
        <w:rPr>
          <w:rFonts w:cs="Sylfaen"/>
          <w:b w:val="0"/>
          <w:szCs w:val="22"/>
          <w:lang w:val="af-ZA" w:eastAsia="en-US"/>
        </w:rPr>
        <w:t xml:space="preserve"> </w:t>
      </w:r>
      <w:r w:rsidRPr="00A14B59">
        <w:rPr>
          <w:rFonts w:cs="Sylfaen"/>
          <w:szCs w:val="22"/>
          <w:lang w:val="hy-AM" w:eastAsia="en-US"/>
        </w:rPr>
        <w:t>հատկացումներ</w:t>
      </w:r>
      <w:r w:rsidRPr="00A14B59">
        <w:rPr>
          <w:rFonts w:cs="Sylfaen"/>
          <w:szCs w:val="22"/>
          <w:lang w:val="af-ZA" w:eastAsia="en-US"/>
        </w:rPr>
        <w:t xml:space="preserve"> </w:t>
      </w:r>
      <w:r w:rsidRPr="00A14B59">
        <w:rPr>
          <w:rFonts w:cs="Sylfaen"/>
          <w:szCs w:val="22"/>
          <w:lang w:val="hy-AM" w:eastAsia="en-US"/>
        </w:rPr>
        <w:t>ՀՀ</w:t>
      </w:r>
      <w:r w:rsidRPr="00A14B59">
        <w:rPr>
          <w:rFonts w:cs="Sylfaen"/>
          <w:szCs w:val="22"/>
          <w:lang w:val="af-ZA" w:eastAsia="en-US"/>
        </w:rPr>
        <w:t xml:space="preserve"> </w:t>
      </w:r>
      <w:r w:rsidRPr="00A14B59">
        <w:rPr>
          <w:rFonts w:cs="Sylfaen"/>
          <w:szCs w:val="22"/>
          <w:lang w:val="hy-AM" w:eastAsia="en-US"/>
        </w:rPr>
        <w:t>համայնքներին</w:t>
      </w:r>
      <w:r w:rsidRPr="00A14B59">
        <w:rPr>
          <w:rFonts w:cs="Sylfaen"/>
          <w:b w:val="0"/>
          <w:szCs w:val="22"/>
          <w:lang w:val="af-ZA" w:eastAsia="en-US"/>
        </w:rPr>
        <w:t xml:space="preserve">, </w:t>
      </w:r>
      <w:r w:rsidRPr="00A14B59">
        <w:rPr>
          <w:rFonts w:cs="Sylfaen"/>
          <w:b w:val="0"/>
          <w:szCs w:val="22"/>
          <w:lang w:val="hy-AM" w:eastAsia="en-US"/>
        </w:rPr>
        <w:t>որը</w:t>
      </w:r>
      <w:r w:rsidRPr="00A14B59">
        <w:rPr>
          <w:rFonts w:cs="Sylfaen"/>
          <w:b w:val="0"/>
          <w:szCs w:val="22"/>
          <w:lang w:val="af-ZA" w:eastAsia="en-US"/>
        </w:rPr>
        <w:t xml:space="preserve"> </w:t>
      </w:r>
      <w:r w:rsidRPr="00A14B59">
        <w:rPr>
          <w:rFonts w:cs="Sylfaen"/>
          <w:b w:val="0"/>
          <w:szCs w:val="22"/>
          <w:lang w:val="hy-AM" w:eastAsia="en-US"/>
        </w:rPr>
        <w:t>կազմել է</w:t>
      </w:r>
      <w:r w:rsidRPr="00A14B59">
        <w:rPr>
          <w:rFonts w:cs="Sylfaen"/>
          <w:b w:val="0"/>
          <w:szCs w:val="22"/>
          <w:lang w:val="af-ZA" w:eastAsia="en-US"/>
        </w:rPr>
        <w:t xml:space="preserve"> </w:t>
      </w:r>
      <w:r w:rsidRPr="00A14B59">
        <w:rPr>
          <w:rFonts w:cs="Sylfaen"/>
          <w:b w:val="0"/>
          <w:szCs w:val="22"/>
          <w:lang w:val="en-US" w:eastAsia="en-US"/>
        </w:rPr>
        <w:t>շուրջ</w:t>
      </w:r>
      <w:r w:rsidRPr="00A14B59">
        <w:rPr>
          <w:rFonts w:cs="Sylfaen"/>
          <w:b w:val="0"/>
          <w:szCs w:val="22"/>
          <w:lang w:val="hy-AM" w:eastAsia="en-US"/>
        </w:rPr>
        <w:t xml:space="preserve"> </w:t>
      </w:r>
      <w:r w:rsidRPr="00A14B59">
        <w:rPr>
          <w:rFonts w:cs="Sylfaen"/>
          <w:b w:val="0"/>
          <w:szCs w:val="22"/>
          <w:lang w:val="af-ZA" w:eastAsia="en-US"/>
        </w:rPr>
        <w:t>10</w:t>
      </w:r>
      <w:r>
        <w:rPr>
          <w:rFonts w:cs="Sylfaen"/>
          <w:b w:val="0"/>
          <w:szCs w:val="22"/>
          <w:lang w:val="hy-AM" w:eastAsia="en-US"/>
        </w:rPr>
        <w:t>3</w:t>
      </w:r>
      <w:r w:rsidRPr="00A14B59">
        <w:rPr>
          <w:rFonts w:cs="Sylfaen"/>
          <w:b w:val="0"/>
          <w:szCs w:val="22"/>
          <w:lang w:val="af-ZA" w:eastAsia="en-US"/>
        </w:rPr>
        <w:t>.</w:t>
      </w:r>
      <w:r>
        <w:rPr>
          <w:rFonts w:cs="Sylfaen"/>
          <w:b w:val="0"/>
          <w:szCs w:val="22"/>
          <w:lang w:val="hy-AM" w:eastAsia="en-US"/>
        </w:rPr>
        <w:t>3</w:t>
      </w:r>
      <w:r w:rsidRPr="00A14B59">
        <w:rPr>
          <w:rFonts w:cs="Sylfaen"/>
          <w:b w:val="0"/>
          <w:szCs w:val="22"/>
          <w:lang w:val="hy-AM" w:eastAsia="en-US"/>
        </w:rPr>
        <w:t xml:space="preserve"> մլրդ դրամ (</w:t>
      </w:r>
      <w:r w:rsidRPr="00A14B59">
        <w:rPr>
          <w:rFonts w:cs="Sylfaen"/>
          <w:b w:val="0"/>
          <w:szCs w:val="22"/>
          <w:lang w:val="af-ZA" w:eastAsia="en-US"/>
        </w:rPr>
        <w:t xml:space="preserve">2022 </w:t>
      </w:r>
      <w:r w:rsidRPr="00A14B59">
        <w:rPr>
          <w:rFonts w:cs="Sylfaen"/>
          <w:b w:val="0"/>
          <w:szCs w:val="22"/>
          <w:lang w:val="hy-AM" w:eastAsia="en-US"/>
        </w:rPr>
        <w:t>թվականին</w:t>
      </w:r>
      <w:r w:rsidRPr="00A14B59">
        <w:rPr>
          <w:rFonts w:cs="Sylfaen"/>
          <w:b w:val="0"/>
          <w:szCs w:val="22"/>
          <w:lang w:val="af-ZA" w:eastAsia="en-US"/>
        </w:rPr>
        <w:t xml:space="preserve"> </w:t>
      </w:r>
      <w:r w:rsidRPr="00A14B59">
        <w:rPr>
          <w:rFonts w:cs="Sylfaen"/>
          <w:b w:val="0"/>
          <w:szCs w:val="22"/>
          <w:lang w:val="hy-AM" w:eastAsia="en-US"/>
        </w:rPr>
        <w:t>այն</w:t>
      </w:r>
      <w:r w:rsidRPr="00A14B59">
        <w:rPr>
          <w:rFonts w:cs="Sylfaen"/>
          <w:b w:val="0"/>
          <w:szCs w:val="22"/>
          <w:lang w:val="af-ZA" w:eastAsia="en-US"/>
        </w:rPr>
        <w:t xml:space="preserve"> </w:t>
      </w:r>
      <w:r w:rsidRPr="00A14B59">
        <w:rPr>
          <w:rFonts w:cs="Sylfaen"/>
          <w:b w:val="0"/>
          <w:szCs w:val="22"/>
          <w:lang w:val="hy-AM" w:eastAsia="en-US"/>
        </w:rPr>
        <w:t>կազմել</w:t>
      </w:r>
      <w:r w:rsidRPr="00A14B59">
        <w:rPr>
          <w:rFonts w:cs="Sylfaen"/>
          <w:b w:val="0"/>
          <w:szCs w:val="22"/>
          <w:lang w:val="af-ZA" w:eastAsia="en-US"/>
        </w:rPr>
        <w:t xml:space="preserve"> </w:t>
      </w:r>
      <w:r w:rsidRPr="00A14B59">
        <w:rPr>
          <w:rFonts w:cs="Sylfaen"/>
          <w:b w:val="0"/>
          <w:szCs w:val="22"/>
          <w:lang w:val="hy-AM" w:eastAsia="en-US"/>
        </w:rPr>
        <w:t>է՝</w:t>
      </w:r>
      <w:r w:rsidRPr="00A14B59">
        <w:rPr>
          <w:rFonts w:cs="Sylfaen"/>
          <w:b w:val="0"/>
          <w:szCs w:val="22"/>
          <w:lang w:val="af-ZA" w:eastAsia="en-US"/>
        </w:rPr>
        <w:t xml:space="preserve"> շուրջ 91</w:t>
      </w:r>
      <w:r w:rsidRPr="00A14B59">
        <w:rPr>
          <w:rFonts w:cs="Sylfaen"/>
          <w:b w:val="0"/>
          <w:szCs w:val="22"/>
          <w:lang w:val="hy-AM" w:eastAsia="en-US"/>
        </w:rPr>
        <w:t>.</w:t>
      </w:r>
      <w:r w:rsidRPr="00A14B59">
        <w:rPr>
          <w:rFonts w:cs="Sylfaen"/>
          <w:b w:val="0"/>
          <w:szCs w:val="22"/>
          <w:lang w:val="af-ZA" w:eastAsia="en-US"/>
        </w:rPr>
        <w:t xml:space="preserve">2 </w:t>
      </w:r>
      <w:r w:rsidRPr="00A14B59">
        <w:rPr>
          <w:rFonts w:cs="Sylfaen"/>
          <w:b w:val="0"/>
          <w:szCs w:val="22"/>
          <w:lang w:val="hy-AM" w:eastAsia="en-US"/>
        </w:rPr>
        <w:t>մլրդ</w:t>
      </w:r>
      <w:r w:rsidRPr="00A14B59">
        <w:rPr>
          <w:rFonts w:cs="Sylfaen"/>
          <w:b w:val="0"/>
          <w:szCs w:val="22"/>
          <w:lang w:val="af-ZA" w:eastAsia="en-US"/>
        </w:rPr>
        <w:t xml:space="preserve"> </w:t>
      </w:r>
      <w:r w:rsidRPr="00A14B59">
        <w:rPr>
          <w:rFonts w:cs="Sylfaen"/>
          <w:b w:val="0"/>
          <w:szCs w:val="22"/>
          <w:lang w:val="hy-AM" w:eastAsia="en-US"/>
        </w:rPr>
        <w:t>դրամ)</w:t>
      </w:r>
      <w:r w:rsidRPr="00A14B59">
        <w:rPr>
          <w:rFonts w:cs="Sylfaen"/>
          <w:b w:val="0"/>
          <w:szCs w:val="22"/>
          <w:lang w:val="af-ZA" w:eastAsia="en-US"/>
        </w:rPr>
        <w:t xml:space="preserve"> </w:t>
      </w:r>
      <w:r w:rsidRPr="00A14B59">
        <w:rPr>
          <w:rFonts w:cs="Sylfaen"/>
          <w:b w:val="0"/>
          <w:szCs w:val="22"/>
          <w:lang w:val="hy-AM" w:eastAsia="en-US"/>
        </w:rPr>
        <w:t>կամ</w:t>
      </w:r>
      <w:r w:rsidRPr="00A14B59">
        <w:rPr>
          <w:rFonts w:cs="Sylfaen"/>
          <w:b w:val="0"/>
          <w:szCs w:val="22"/>
          <w:lang w:val="af-ZA" w:eastAsia="en-US"/>
        </w:rPr>
        <w:t xml:space="preserve"> </w:t>
      </w:r>
      <w:r w:rsidRPr="00A14B59">
        <w:rPr>
          <w:rFonts w:cs="Sylfaen"/>
          <w:b w:val="0"/>
          <w:szCs w:val="22"/>
          <w:lang w:val="hy-AM" w:eastAsia="en-US"/>
        </w:rPr>
        <w:t>ընդհանուր</w:t>
      </w:r>
      <w:r w:rsidRPr="00A14B59">
        <w:rPr>
          <w:rFonts w:cs="Sylfaen"/>
          <w:b w:val="0"/>
          <w:szCs w:val="22"/>
          <w:lang w:val="af-ZA" w:eastAsia="en-US"/>
        </w:rPr>
        <w:t xml:space="preserve"> </w:t>
      </w:r>
      <w:r w:rsidRPr="00A14B59">
        <w:rPr>
          <w:rFonts w:cs="Sylfaen"/>
          <w:b w:val="0"/>
          <w:szCs w:val="22"/>
          <w:lang w:val="hy-AM" w:eastAsia="en-US"/>
        </w:rPr>
        <w:t>բյուջետային</w:t>
      </w:r>
      <w:r w:rsidRPr="00A14B59">
        <w:rPr>
          <w:rFonts w:cs="Sylfaen"/>
          <w:b w:val="0"/>
          <w:szCs w:val="22"/>
          <w:lang w:val="af-ZA" w:eastAsia="en-US"/>
        </w:rPr>
        <w:t xml:space="preserve"> </w:t>
      </w:r>
      <w:r w:rsidRPr="00A14B59">
        <w:rPr>
          <w:rFonts w:cs="Sylfaen"/>
          <w:b w:val="0"/>
          <w:szCs w:val="22"/>
          <w:lang w:val="hy-AM" w:eastAsia="en-US"/>
        </w:rPr>
        <w:t>ծախսերի</w:t>
      </w:r>
      <w:r w:rsidRPr="00A14B59">
        <w:rPr>
          <w:rFonts w:cs="Sylfaen"/>
          <w:b w:val="0"/>
          <w:szCs w:val="22"/>
          <w:lang w:val="af-ZA" w:eastAsia="en-US"/>
        </w:rPr>
        <w:t xml:space="preserve"> 4</w:t>
      </w:r>
      <w:r w:rsidRPr="00A14B59">
        <w:rPr>
          <w:rFonts w:cs="Sylfaen"/>
          <w:b w:val="0"/>
          <w:szCs w:val="22"/>
          <w:lang w:val="hy-AM" w:eastAsia="en-US"/>
        </w:rPr>
        <w:t>.</w:t>
      </w:r>
      <w:r w:rsidRPr="00A14B59">
        <w:rPr>
          <w:rFonts w:cs="Sylfaen"/>
          <w:b w:val="0"/>
          <w:szCs w:val="22"/>
          <w:lang w:val="af-ZA" w:eastAsia="en-US"/>
        </w:rPr>
        <w:t xml:space="preserve">0 </w:t>
      </w:r>
      <w:r w:rsidRPr="00A14B59">
        <w:rPr>
          <w:b w:val="0"/>
          <w:szCs w:val="22"/>
          <w:lang w:val="af-ZA" w:eastAsia="en-US"/>
        </w:rPr>
        <w:t>%</w:t>
      </w:r>
      <w:r w:rsidRPr="00A14B59">
        <w:rPr>
          <w:b w:val="0"/>
          <w:szCs w:val="22"/>
          <w:lang w:val="hy-AM" w:eastAsia="en-US"/>
        </w:rPr>
        <w:t xml:space="preserve"> </w:t>
      </w:r>
      <w:r w:rsidRPr="00A14B59">
        <w:rPr>
          <w:rFonts w:cs="Sylfaen"/>
          <w:b w:val="0"/>
          <w:szCs w:val="22"/>
          <w:lang w:val="hy-AM" w:eastAsia="en-US"/>
        </w:rPr>
        <w:t>և</w:t>
      </w:r>
      <w:r w:rsidRPr="00A14B59">
        <w:rPr>
          <w:rFonts w:cs="Sylfaen"/>
          <w:b w:val="0"/>
          <w:szCs w:val="22"/>
          <w:lang w:val="af-ZA" w:eastAsia="en-US"/>
        </w:rPr>
        <w:t xml:space="preserve"> </w:t>
      </w:r>
      <w:r w:rsidRPr="00A14B59">
        <w:rPr>
          <w:rFonts w:cs="Sylfaen"/>
          <w:b w:val="0"/>
          <w:szCs w:val="22"/>
          <w:lang w:val="hy-AM" w:eastAsia="en-US"/>
        </w:rPr>
        <w:t>ՀՆԱ</w:t>
      </w:r>
      <w:r w:rsidRPr="00A14B59">
        <w:rPr>
          <w:rFonts w:cs="Sylfaen"/>
          <w:b w:val="0"/>
          <w:szCs w:val="22"/>
          <w:lang w:val="af-ZA" w:eastAsia="en-US"/>
        </w:rPr>
        <w:t>-</w:t>
      </w:r>
      <w:r w:rsidRPr="00A14B59">
        <w:rPr>
          <w:rFonts w:cs="Sylfaen"/>
          <w:b w:val="0"/>
          <w:szCs w:val="22"/>
          <w:lang w:val="hy-AM" w:eastAsia="en-US"/>
        </w:rPr>
        <w:t>ի</w:t>
      </w:r>
      <w:r w:rsidRPr="00A14B59">
        <w:rPr>
          <w:rFonts w:cs="Sylfaen"/>
          <w:b w:val="0"/>
          <w:szCs w:val="22"/>
          <w:lang w:val="af-ZA" w:eastAsia="en-US"/>
        </w:rPr>
        <w:t xml:space="preserve"> 1.1</w:t>
      </w:r>
      <w:r w:rsidRPr="00A14B59">
        <w:rPr>
          <w:b w:val="0"/>
          <w:szCs w:val="22"/>
          <w:lang w:val="af-ZA" w:eastAsia="en-US"/>
        </w:rPr>
        <w:t xml:space="preserve"> %</w:t>
      </w:r>
      <w:r w:rsidRPr="00A14B59">
        <w:rPr>
          <w:rFonts w:cs="Sylfaen"/>
          <w:b w:val="0"/>
          <w:szCs w:val="22"/>
          <w:lang w:val="af-ZA" w:eastAsia="en-US"/>
        </w:rPr>
        <w:t xml:space="preserve">: </w:t>
      </w:r>
    </w:p>
    <w:p w:rsidR="00833D38" w:rsidRDefault="00833D38" w:rsidP="00833D38">
      <w:pPr>
        <w:spacing w:before="0" w:line="276" w:lineRule="auto"/>
        <w:ind w:firstLine="475"/>
        <w:contextualSpacing w:val="0"/>
        <w:rPr>
          <w:rFonts w:cs="Sylfaen"/>
          <w:b w:val="0"/>
          <w:szCs w:val="22"/>
          <w:lang w:val="af-ZA" w:eastAsia="en-US"/>
        </w:rPr>
      </w:pPr>
    </w:p>
    <w:p w:rsidR="00833D38" w:rsidRPr="00A14B59" w:rsidRDefault="00833D38" w:rsidP="00833D38">
      <w:pPr>
        <w:spacing w:after="200"/>
        <w:rPr>
          <w:b w:val="0"/>
          <w:bCs/>
          <w:color w:val="4F81BD"/>
          <w:sz w:val="18"/>
          <w:szCs w:val="18"/>
          <w:lang w:val="af-ZA"/>
        </w:rPr>
      </w:pPr>
      <w:bookmarkStart w:id="294" w:name="_Toc83752676"/>
      <w:bookmarkStart w:id="295" w:name="_Toc120805269"/>
      <w:r w:rsidRPr="00A14B59">
        <w:rPr>
          <w:b w:val="0"/>
          <w:bCs/>
          <w:color w:val="4F81BD"/>
          <w:sz w:val="18"/>
          <w:szCs w:val="18"/>
          <w:lang w:val="hy-AM"/>
        </w:rPr>
        <w:t>Աղյուսակ</w:t>
      </w:r>
      <w:r w:rsidRPr="00A14B59">
        <w:rPr>
          <w:b w:val="0"/>
          <w:bCs/>
          <w:color w:val="4F81BD"/>
          <w:sz w:val="18"/>
          <w:szCs w:val="18"/>
          <w:lang w:val="af-ZA"/>
        </w:rPr>
        <w:t xml:space="preserve"> </w:t>
      </w:r>
      <w:r w:rsidRPr="00A14B59">
        <w:rPr>
          <w:b w:val="0"/>
          <w:bCs/>
          <w:color w:val="4F81BD"/>
          <w:sz w:val="18"/>
          <w:szCs w:val="18"/>
        </w:rPr>
        <w:fldChar w:fldCharType="begin"/>
      </w:r>
      <w:r w:rsidRPr="00A14B59">
        <w:rPr>
          <w:b w:val="0"/>
          <w:bCs/>
          <w:color w:val="4F81BD"/>
          <w:sz w:val="18"/>
          <w:szCs w:val="18"/>
          <w:lang w:val="af-ZA"/>
        </w:rPr>
        <w:instrText xml:space="preserve"> SEQ </w:instrText>
      </w:r>
      <w:r w:rsidRPr="00A14B59">
        <w:rPr>
          <w:b w:val="0"/>
          <w:bCs/>
          <w:color w:val="4F81BD"/>
          <w:sz w:val="18"/>
          <w:szCs w:val="18"/>
          <w:lang w:val="hy-AM"/>
        </w:rPr>
        <w:instrText>Աղյուսակ</w:instrText>
      </w:r>
      <w:r w:rsidRPr="00A14B59">
        <w:rPr>
          <w:b w:val="0"/>
          <w:bCs/>
          <w:color w:val="4F81BD"/>
          <w:sz w:val="18"/>
          <w:szCs w:val="18"/>
          <w:lang w:val="af-ZA"/>
        </w:rPr>
        <w:instrText xml:space="preserve"> \* ARABIC </w:instrText>
      </w:r>
      <w:r w:rsidRPr="00A14B59">
        <w:rPr>
          <w:b w:val="0"/>
          <w:bCs/>
          <w:color w:val="4F81BD"/>
          <w:sz w:val="18"/>
          <w:szCs w:val="18"/>
        </w:rPr>
        <w:fldChar w:fldCharType="separate"/>
      </w:r>
      <w:r w:rsidR="008177DF">
        <w:rPr>
          <w:b w:val="0"/>
          <w:bCs/>
          <w:noProof/>
          <w:color w:val="4F81BD"/>
          <w:sz w:val="18"/>
          <w:szCs w:val="18"/>
          <w:lang w:val="af-ZA"/>
        </w:rPr>
        <w:t>10</w:t>
      </w:r>
      <w:r w:rsidRPr="00A14B59">
        <w:rPr>
          <w:b w:val="0"/>
          <w:bCs/>
          <w:color w:val="4F81BD"/>
          <w:sz w:val="18"/>
          <w:szCs w:val="18"/>
        </w:rPr>
        <w:fldChar w:fldCharType="end"/>
      </w:r>
      <w:r w:rsidRPr="00A14B59">
        <w:rPr>
          <w:rFonts w:ascii="Cambria Math" w:hAnsi="Cambria Math" w:cs="Cambria Math"/>
          <w:b w:val="0"/>
          <w:bCs/>
          <w:color w:val="4F81BD"/>
          <w:sz w:val="18"/>
          <w:szCs w:val="18"/>
          <w:lang w:val="hy-AM"/>
        </w:rPr>
        <w:t>․</w:t>
      </w:r>
      <w:r w:rsidRPr="00A14B59">
        <w:rPr>
          <w:b w:val="0"/>
          <w:bCs/>
          <w:color w:val="4F81BD"/>
          <w:sz w:val="18"/>
          <w:szCs w:val="18"/>
          <w:lang w:val="af-ZA"/>
        </w:rPr>
        <w:t xml:space="preserve"> </w:t>
      </w:r>
      <w:r w:rsidRPr="00A14B59">
        <w:rPr>
          <w:bCs/>
          <w:i/>
          <w:color w:val="4F81BD"/>
          <w:sz w:val="20"/>
          <w:szCs w:val="20"/>
          <w:lang w:val="hy-AM"/>
        </w:rPr>
        <w:t>ՀՀ</w:t>
      </w:r>
      <w:r w:rsidRPr="00A14B59">
        <w:rPr>
          <w:bCs/>
          <w:i/>
          <w:color w:val="4F81BD"/>
          <w:sz w:val="20"/>
          <w:szCs w:val="20"/>
          <w:lang w:val="af-ZA"/>
        </w:rPr>
        <w:t xml:space="preserve"> </w:t>
      </w:r>
      <w:r w:rsidRPr="00A14B59">
        <w:rPr>
          <w:bCs/>
          <w:i/>
          <w:color w:val="4F81BD"/>
          <w:sz w:val="20"/>
          <w:szCs w:val="20"/>
          <w:lang w:val="hy-AM"/>
        </w:rPr>
        <w:t>պետական</w:t>
      </w:r>
      <w:r w:rsidRPr="00A14B59">
        <w:rPr>
          <w:bCs/>
          <w:i/>
          <w:color w:val="4F81BD"/>
          <w:sz w:val="20"/>
          <w:szCs w:val="20"/>
          <w:lang w:val="af-ZA"/>
        </w:rPr>
        <w:t xml:space="preserve"> </w:t>
      </w:r>
      <w:r w:rsidRPr="00A14B59">
        <w:rPr>
          <w:bCs/>
          <w:i/>
          <w:color w:val="4F81BD"/>
          <w:sz w:val="20"/>
          <w:szCs w:val="20"/>
          <w:lang w:val="hy-AM"/>
        </w:rPr>
        <w:t>բյուջեից</w:t>
      </w:r>
      <w:r w:rsidRPr="00A14B59">
        <w:rPr>
          <w:bCs/>
          <w:i/>
          <w:color w:val="4F81BD"/>
          <w:sz w:val="20"/>
          <w:szCs w:val="20"/>
          <w:lang w:val="af-ZA"/>
        </w:rPr>
        <w:t xml:space="preserve"> </w:t>
      </w:r>
      <w:r w:rsidRPr="00A14B59">
        <w:rPr>
          <w:bCs/>
          <w:i/>
          <w:color w:val="4F81BD"/>
          <w:sz w:val="20"/>
          <w:szCs w:val="20"/>
          <w:lang w:val="hy-AM"/>
        </w:rPr>
        <w:t>համայնքներին</w:t>
      </w:r>
      <w:r w:rsidRPr="00A14B59">
        <w:rPr>
          <w:bCs/>
          <w:i/>
          <w:color w:val="4F81BD"/>
          <w:sz w:val="20"/>
          <w:szCs w:val="20"/>
          <w:lang w:val="af-ZA"/>
        </w:rPr>
        <w:t xml:space="preserve"> </w:t>
      </w:r>
      <w:r w:rsidRPr="00A14B59">
        <w:rPr>
          <w:bCs/>
          <w:i/>
          <w:color w:val="4F81BD"/>
          <w:sz w:val="20"/>
          <w:szCs w:val="20"/>
          <w:lang w:val="hy-AM"/>
        </w:rPr>
        <w:t>տրվող</w:t>
      </w:r>
      <w:r w:rsidRPr="00A14B59">
        <w:rPr>
          <w:bCs/>
          <w:i/>
          <w:color w:val="4F81BD"/>
          <w:sz w:val="20"/>
          <w:szCs w:val="20"/>
          <w:lang w:val="af-ZA"/>
        </w:rPr>
        <w:t xml:space="preserve"> </w:t>
      </w:r>
      <w:r w:rsidRPr="00A14B59">
        <w:rPr>
          <w:bCs/>
          <w:i/>
          <w:color w:val="4F81BD"/>
          <w:sz w:val="20"/>
          <w:szCs w:val="20"/>
          <w:lang w:val="hy-AM"/>
        </w:rPr>
        <w:t>հատկացումների</w:t>
      </w:r>
      <w:r w:rsidRPr="00A14B59">
        <w:rPr>
          <w:bCs/>
          <w:i/>
          <w:color w:val="4F81BD"/>
          <w:sz w:val="20"/>
          <w:szCs w:val="20"/>
          <w:lang w:val="af-ZA"/>
        </w:rPr>
        <w:t xml:space="preserve"> </w:t>
      </w:r>
      <w:r w:rsidRPr="00A14B59">
        <w:rPr>
          <w:bCs/>
          <w:i/>
          <w:color w:val="4F81BD"/>
          <w:sz w:val="20"/>
          <w:szCs w:val="20"/>
          <w:lang w:val="hy-AM"/>
        </w:rPr>
        <w:t>վերաբերյալ</w:t>
      </w:r>
      <w:bookmarkEnd w:id="294"/>
      <w:bookmarkEnd w:id="295"/>
    </w:p>
    <w:p w:rsidR="00833D38" w:rsidRPr="00A14B59" w:rsidRDefault="00833D38" w:rsidP="00833D38">
      <w:pPr>
        <w:spacing w:before="0"/>
        <w:jc w:val="right"/>
        <w:rPr>
          <w:lang w:val="hy-AM" w:eastAsia="en-US"/>
        </w:rPr>
      </w:pPr>
      <w:r w:rsidRPr="00A14B59">
        <w:rPr>
          <w:i/>
          <w:iCs/>
          <w:sz w:val="18"/>
          <w:szCs w:val="18"/>
        </w:rPr>
        <w:t>հ</w:t>
      </w:r>
      <w:r w:rsidRPr="00A14B59">
        <w:rPr>
          <w:i/>
          <w:iCs/>
          <w:sz w:val="18"/>
          <w:szCs w:val="18"/>
          <w:lang w:val="hy-AM"/>
        </w:rPr>
        <w:t>ազ</w:t>
      </w:r>
      <w:r w:rsidRPr="00A14B59">
        <w:rPr>
          <w:rFonts w:ascii="MS Mincho" w:eastAsia="MS Mincho" w:hAnsi="MS Mincho" w:cs="MS Mincho"/>
          <w:i/>
          <w:iCs/>
          <w:sz w:val="18"/>
          <w:szCs w:val="18"/>
          <w:lang w:val="hy-AM"/>
        </w:rPr>
        <w:t>.</w:t>
      </w:r>
      <w:r w:rsidRPr="00A14B59">
        <w:rPr>
          <w:i/>
          <w:iCs/>
          <w:sz w:val="18"/>
          <w:szCs w:val="18"/>
          <w:lang w:val="hy-AM"/>
        </w:rPr>
        <w:t xml:space="preserve"> </w:t>
      </w:r>
      <w:r w:rsidRPr="00A14B59">
        <w:rPr>
          <w:rFonts w:cs="GHEA Grapalat"/>
          <w:i/>
          <w:iCs/>
          <w:sz w:val="18"/>
          <w:szCs w:val="18"/>
          <w:lang w:val="hy-AM"/>
        </w:rPr>
        <w:t>դրա</w:t>
      </w:r>
      <w:r w:rsidRPr="00A14B59">
        <w:rPr>
          <w:i/>
          <w:iCs/>
          <w:sz w:val="18"/>
          <w:szCs w:val="18"/>
          <w:lang w:val="hy-AM"/>
        </w:rPr>
        <w:t>մ</w:t>
      </w:r>
    </w:p>
    <w:tbl>
      <w:tblPr>
        <w:tblW w:w="10191" w:type="dxa"/>
        <w:tblLook w:val="04A0" w:firstRow="1" w:lastRow="0" w:firstColumn="1" w:lastColumn="0" w:noHBand="0" w:noVBand="1"/>
      </w:tblPr>
      <w:tblGrid>
        <w:gridCol w:w="2600"/>
        <w:gridCol w:w="1507"/>
        <w:gridCol w:w="1506"/>
        <w:gridCol w:w="1520"/>
        <w:gridCol w:w="1498"/>
        <w:gridCol w:w="1560"/>
      </w:tblGrid>
      <w:tr w:rsidR="00833D38" w:rsidRPr="00A14B59" w:rsidTr="000D1FAE">
        <w:trPr>
          <w:trHeight w:val="960"/>
        </w:trPr>
        <w:tc>
          <w:tcPr>
            <w:tcW w:w="2600" w:type="dxa"/>
            <w:tcBorders>
              <w:top w:val="single" w:sz="8" w:space="0" w:color="auto"/>
              <w:left w:val="single" w:sz="8" w:space="0" w:color="auto"/>
              <w:bottom w:val="single" w:sz="8" w:space="0" w:color="auto"/>
              <w:right w:val="single" w:sz="4" w:space="0" w:color="auto"/>
            </w:tcBorders>
            <w:shd w:val="clear" w:color="auto" w:fill="4F81BD"/>
            <w:noWrap/>
            <w:hideMark/>
          </w:tcPr>
          <w:p w:rsidR="00833D38" w:rsidRPr="00A14B59" w:rsidRDefault="00833D38" w:rsidP="000D1FAE">
            <w:pPr>
              <w:spacing w:before="0" w:line="276" w:lineRule="auto"/>
              <w:ind w:firstLine="0"/>
              <w:jc w:val="center"/>
              <w:rPr>
                <w:rFonts w:ascii="Calibri" w:hAnsi="Calibri" w:cs="Calibri"/>
                <w:bCs/>
                <w:color w:val="000000"/>
                <w:sz w:val="18"/>
                <w:szCs w:val="18"/>
                <w:lang w:val="hy-AM"/>
              </w:rPr>
            </w:pPr>
            <w:r w:rsidRPr="00A14B59">
              <w:rPr>
                <w:rFonts w:ascii="Calibri" w:hAnsi="Calibri" w:cs="Calibri"/>
                <w:bCs/>
                <w:color w:val="000000"/>
                <w:sz w:val="18"/>
                <w:szCs w:val="18"/>
                <w:lang w:val="hy-AM"/>
              </w:rPr>
              <w:t> </w:t>
            </w:r>
          </w:p>
          <w:p w:rsidR="00833D38" w:rsidRPr="00A14B59" w:rsidRDefault="00833D38" w:rsidP="000D1FAE">
            <w:pPr>
              <w:spacing w:before="0" w:line="276" w:lineRule="auto"/>
              <w:ind w:firstLine="0"/>
              <w:jc w:val="center"/>
              <w:rPr>
                <w:b w:val="0"/>
                <w:bCs/>
                <w:color w:val="000000"/>
                <w:sz w:val="18"/>
                <w:szCs w:val="18"/>
                <w:lang w:val="hy-AM"/>
              </w:rPr>
            </w:pPr>
            <w:r w:rsidRPr="00A14B59">
              <w:rPr>
                <w:rFonts w:cs="Sylfaen"/>
                <w:color w:val="FFFFFF"/>
                <w:sz w:val="20"/>
                <w:lang w:val="hy-AM"/>
              </w:rPr>
              <w:t>Ցուցանիշներ</w:t>
            </w:r>
          </w:p>
        </w:tc>
        <w:tc>
          <w:tcPr>
            <w:tcW w:w="1519" w:type="dxa"/>
            <w:tcBorders>
              <w:top w:val="single" w:sz="8" w:space="0" w:color="auto"/>
              <w:left w:val="nil"/>
              <w:bottom w:val="single" w:sz="8" w:space="0" w:color="auto"/>
              <w:right w:val="single" w:sz="4" w:space="0" w:color="auto"/>
            </w:tcBorders>
            <w:shd w:val="clear" w:color="auto" w:fill="4F81BD"/>
            <w:vAlign w:val="center"/>
          </w:tcPr>
          <w:p w:rsidR="00833D38" w:rsidRPr="00A14B59" w:rsidRDefault="00833D38" w:rsidP="000D1FAE">
            <w:pPr>
              <w:spacing w:before="0" w:line="276" w:lineRule="auto"/>
              <w:ind w:firstLine="0"/>
              <w:jc w:val="center"/>
              <w:rPr>
                <w:b w:val="0"/>
                <w:bCs/>
                <w:color w:val="FFFFFF"/>
                <w:sz w:val="18"/>
                <w:szCs w:val="18"/>
                <w:lang w:val="hy-AM"/>
              </w:rPr>
            </w:pPr>
            <w:r w:rsidRPr="00A14B59">
              <w:rPr>
                <w:bCs/>
                <w:color w:val="FFFFFF"/>
                <w:sz w:val="18"/>
                <w:szCs w:val="18"/>
                <w:lang w:val="hy-AM"/>
              </w:rPr>
              <w:t>2019 թվական փաստայի</w:t>
            </w:r>
          </w:p>
        </w:tc>
        <w:tc>
          <w:tcPr>
            <w:tcW w:w="1502" w:type="dxa"/>
            <w:tcBorders>
              <w:top w:val="single" w:sz="4" w:space="0" w:color="auto"/>
              <w:left w:val="single" w:sz="4" w:space="0" w:color="auto"/>
              <w:bottom w:val="single" w:sz="4" w:space="0" w:color="auto"/>
              <w:right w:val="single" w:sz="4" w:space="0" w:color="auto"/>
            </w:tcBorders>
            <w:shd w:val="clear" w:color="auto" w:fill="4F81BD"/>
            <w:vAlign w:val="center"/>
          </w:tcPr>
          <w:p w:rsidR="00833D38" w:rsidRPr="00A14B59" w:rsidRDefault="00833D38" w:rsidP="000D1FAE">
            <w:pPr>
              <w:spacing w:before="0" w:line="276" w:lineRule="auto"/>
              <w:ind w:firstLine="0"/>
              <w:jc w:val="center"/>
              <w:rPr>
                <w:b w:val="0"/>
                <w:bCs/>
                <w:color w:val="FFFFFF"/>
                <w:sz w:val="18"/>
                <w:szCs w:val="18"/>
                <w:lang w:val="hy-AM"/>
              </w:rPr>
            </w:pPr>
            <w:r w:rsidRPr="00A14B59">
              <w:rPr>
                <w:bCs/>
                <w:color w:val="FFFFFF"/>
                <w:sz w:val="18"/>
                <w:szCs w:val="18"/>
                <w:lang w:val="hy-AM"/>
              </w:rPr>
              <w:t xml:space="preserve">2020 թվական </w:t>
            </w:r>
            <w:r w:rsidRPr="00A14B59">
              <w:rPr>
                <w:bCs/>
                <w:color w:val="FFFFFF"/>
                <w:sz w:val="18"/>
                <w:szCs w:val="18"/>
                <w:lang w:val="en-US"/>
              </w:rPr>
              <w:t>փաստացի</w:t>
            </w:r>
          </w:p>
        </w:tc>
        <w:tc>
          <w:tcPr>
            <w:tcW w:w="1516" w:type="dxa"/>
            <w:tcBorders>
              <w:top w:val="single" w:sz="8" w:space="0" w:color="auto"/>
              <w:left w:val="nil"/>
              <w:bottom w:val="single" w:sz="8" w:space="0" w:color="auto"/>
              <w:right w:val="single" w:sz="4" w:space="0" w:color="auto"/>
            </w:tcBorders>
            <w:shd w:val="clear" w:color="auto" w:fill="4F81BD"/>
            <w:vAlign w:val="center"/>
          </w:tcPr>
          <w:p w:rsidR="00833D38" w:rsidRPr="00A14B59" w:rsidRDefault="00833D38" w:rsidP="000D1FAE">
            <w:pPr>
              <w:spacing w:before="0" w:line="276" w:lineRule="auto"/>
              <w:ind w:firstLine="0"/>
              <w:jc w:val="center"/>
              <w:rPr>
                <w:b w:val="0"/>
                <w:bCs/>
                <w:color w:val="FFFFFF"/>
                <w:sz w:val="18"/>
                <w:szCs w:val="18"/>
                <w:lang w:val="hy-AM"/>
              </w:rPr>
            </w:pPr>
            <w:r w:rsidRPr="00A14B59">
              <w:rPr>
                <w:bCs/>
                <w:color w:val="FFFFFF"/>
                <w:sz w:val="18"/>
                <w:szCs w:val="18"/>
                <w:lang w:val="hy-AM"/>
              </w:rPr>
              <w:t>2021</w:t>
            </w:r>
            <w:r w:rsidRPr="00A14B59">
              <w:rPr>
                <w:bCs/>
                <w:color w:val="FFFFFF"/>
                <w:sz w:val="18"/>
                <w:szCs w:val="18"/>
                <w:lang w:val="en-US"/>
              </w:rPr>
              <w:t xml:space="preserve"> </w:t>
            </w:r>
            <w:r w:rsidRPr="00A14B59">
              <w:rPr>
                <w:bCs/>
                <w:color w:val="FFFFFF"/>
                <w:sz w:val="18"/>
                <w:szCs w:val="18"/>
                <w:lang w:val="hy-AM"/>
              </w:rPr>
              <w:t xml:space="preserve">թվական </w:t>
            </w:r>
            <w:r w:rsidRPr="00A14B59">
              <w:rPr>
                <w:bCs/>
                <w:color w:val="FFFFFF"/>
                <w:sz w:val="18"/>
                <w:szCs w:val="18"/>
                <w:lang w:val="en-US"/>
              </w:rPr>
              <w:t>փաստացի</w:t>
            </w:r>
          </w:p>
        </w:tc>
        <w:tc>
          <w:tcPr>
            <w:tcW w:w="1494" w:type="dxa"/>
            <w:tcBorders>
              <w:top w:val="single" w:sz="8" w:space="0" w:color="auto"/>
              <w:left w:val="nil"/>
              <w:bottom w:val="single" w:sz="8" w:space="0" w:color="auto"/>
              <w:right w:val="single" w:sz="4" w:space="0" w:color="auto"/>
            </w:tcBorders>
            <w:shd w:val="clear" w:color="auto" w:fill="4F81BD"/>
            <w:vAlign w:val="center"/>
          </w:tcPr>
          <w:p w:rsidR="00833D38" w:rsidRPr="00A14B59" w:rsidRDefault="00833D38" w:rsidP="000D1FAE">
            <w:pPr>
              <w:spacing w:before="0" w:line="276" w:lineRule="auto"/>
              <w:ind w:firstLine="0"/>
              <w:jc w:val="center"/>
              <w:rPr>
                <w:b w:val="0"/>
                <w:bCs/>
                <w:color w:val="FFFFFF"/>
                <w:sz w:val="18"/>
                <w:szCs w:val="18"/>
                <w:lang w:val="hy-AM"/>
              </w:rPr>
            </w:pPr>
            <w:r w:rsidRPr="00A14B59">
              <w:rPr>
                <w:bCs/>
                <w:color w:val="FFFFFF"/>
                <w:sz w:val="18"/>
                <w:szCs w:val="18"/>
                <w:lang w:val="hy-AM"/>
              </w:rPr>
              <w:t>2022</w:t>
            </w:r>
            <w:r w:rsidRPr="00A14B59">
              <w:rPr>
                <w:bCs/>
                <w:color w:val="FFFFFF"/>
                <w:sz w:val="18"/>
                <w:szCs w:val="18"/>
                <w:lang w:val="en-US"/>
              </w:rPr>
              <w:t xml:space="preserve"> </w:t>
            </w:r>
            <w:r w:rsidRPr="00A14B59">
              <w:rPr>
                <w:bCs/>
                <w:color w:val="FFFFFF"/>
                <w:sz w:val="18"/>
                <w:szCs w:val="18"/>
                <w:lang w:val="hy-AM"/>
              </w:rPr>
              <w:t xml:space="preserve">թվական </w:t>
            </w:r>
            <w:r w:rsidRPr="00A14B59">
              <w:rPr>
                <w:bCs/>
                <w:color w:val="FFFFFF"/>
                <w:sz w:val="18"/>
                <w:szCs w:val="18"/>
                <w:lang w:val="en-US"/>
              </w:rPr>
              <w:t>հաստատված</w:t>
            </w:r>
          </w:p>
        </w:tc>
        <w:tc>
          <w:tcPr>
            <w:tcW w:w="1560" w:type="dxa"/>
            <w:tcBorders>
              <w:top w:val="single" w:sz="8" w:space="0" w:color="auto"/>
              <w:left w:val="nil"/>
              <w:bottom w:val="single" w:sz="8" w:space="0" w:color="auto"/>
              <w:right w:val="single" w:sz="4" w:space="0" w:color="auto"/>
            </w:tcBorders>
            <w:shd w:val="clear" w:color="auto" w:fill="4F81BD"/>
            <w:vAlign w:val="center"/>
          </w:tcPr>
          <w:p w:rsidR="00833D38" w:rsidRPr="00A14B59" w:rsidRDefault="00833D38" w:rsidP="000D1FAE">
            <w:pPr>
              <w:spacing w:before="0" w:line="276" w:lineRule="auto"/>
              <w:ind w:firstLine="0"/>
              <w:jc w:val="center"/>
              <w:rPr>
                <w:b w:val="0"/>
                <w:bCs/>
                <w:color w:val="FFFFFF"/>
                <w:sz w:val="18"/>
                <w:szCs w:val="18"/>
                <w:lang w:val="hy-AM"/>
              </w:rPr>
            </w:pPr>
            <w:r w:rsidRPr="00A14B59">
              <w:rPr>
                <w:bCs/>
                <w:color w:val="FFFFFF"/>
                <w:sz w:val="18"/>
                <w:szCs w:val="18"/>
                <w:lang w:val="hy-AM"/>
              </w:rPr>
              <w:t>202</w:t>
            </w:r>
            <w:r w:rsidRPr="00A14B59">
              <w:rPr>
                <w:bCs/>
                <w:color w:val="FFFFFF"/>
                <w:sz w:val="18"/>
                <w:szCs w:val="18"/>
                <w:lang w:val="en-US"/>
              </w:rPr>
              <w:t>3</w:t>
            </w:r>
            <w:r w:rsidRPr="00A14B59">
              <w:rPr>
                <w:bCs/>
                <w:color w:val="FFFFFF"/>
                <w:sz w:val="18"/>
                <w:szCs w:val="18"/>
                <w:lang w:val="hy-AM"/>
              </w:rPr>
              <w:t xml:space="preserve"> թվական նախագիծ</w:t>
            </w:r>
          </w:p>
        </w:tc>
      </w:tr>
      <w:tr w:rsidR="00833D38" w:rsidRPr="00A14B59" w:rsidTr="000D1FAE">
        <w:trPr>
          <w:trHeight w:val="420"/>
        </w:trPr>
        <w:tc>
          <w:tcPr>
            <w:tcW w:w="2600" w:type="dxa"/>
            <w:tcBorders>
              <w:top w:val="nil"/>
              <w:left w:val="single" w:sz="8" w:space="0" w:color="auto"/>
              <w:bottom w:val="single" w:sz="4" w:space="0" w:color="auto"/>
              <w:right w:val="single" w:sz="4" w:space="0" w:color="auto"/>
            </w:tcBorders>
            <w:shd w:val="clear" w:color="auto" w:fill="DBE5F1"/>
            <w:noWrap/>
            <w:vAlign w:val="center"/>
            <w:hideMark/>
          </w:tcPr>
          <w:p w:rsidR="00833D38" w:rsidRPr="00A14B59" w:rsidRDefault="00833D38" w:rsidP="000D1FAE">
            <w:pPr>
              <w:spacing w:before="0" w:line="276" w:lineRule="auto"/>
              <w:ind w:firstLine="0"/>
              <w:jc w:val="left"/>
              <w:rPr>
                <w:b w:val="0"/>
                <w:bCs/>
                <w:color w:val="000000"/>
                <w:sz w:val="20"/>
                <w:szCs w:val="20"/>
                <w:lang w:val="hy-AM"/>
              </w:rPr>
            </w:pPr>
            <w:r w:rsidRPr="00A14B59">
              <w:rPr>
                <w:bCs/>
                <w:color w:val="000000"/>
                <w:sz w:val="20"/>
                <w:szCs w:val="20"/>
                <w:lang w:val="hy-AM"/>
              </w:rPr>
              <w:t>ԸՆԴԱՄԵՆԸ</w:t>
            </w:r>
          </w:p>
        </w:tc>
        <w:tc>
          <w:tcPr>
            <w:tcW w:w="1519" w:type="dxa"/>
            <w:tcBorders>
              <w:top w:val="nil"/>
              <w:left w:val="nil"/>
              <w:bottom w:val="single" w:sz="4" w:space="0" w:color="auto"/>
              <w:right w:val="single" w:sz="4" w:space="0" w:color="auto"/>
            </w:tcBorders>
            <w:shd w:val="clear" w:color="auto" w:fill="DBE5F1"/>
            <w:vAlign w:val="center"/>
          </w:tcPr>
          <w:p w:rsidR="00833D38" w:rsidRPr="00A14B59" w:rsidRDefault="00833D38" w:rsidP="000D1FAE">
            <w:pPr>
              <w:spacing w:before="0" w:line="276" w:lineRule="auto"/>
              <w:ind w:firstLine="0"/>
              <w:jc w:val="center"/>
              <w:rPr>
                <w:b w:val="0"/>
                <w:bCs/>
                <w:color w:val="000000"/>
                <w:sz w:val="20"/>
                <w:szCs w:val="20"/>
              </w:rPr>
            </w:pPr>
            <w:r w:rsidRPr="00A14B59">
              <w:rPr>
                <w:bCs/>
                <w:color w:val="000000"/>
                <w:sz w:val="20"/>
                <w:szCs w:val="20"/>
              </w:rPr>
              <w:t xml:space="preserve">67,606,297.1 </w:t>
            </w:r>
          </w:p>
        </w:tc>
        <w:tc>
          <w:tcPr>
            <w:tcW w:w="1502" w:type="dxa"/>
            <w:tcBorders>
              <w:top w:val="single" w:sz="4" w:space="0" w:color="auto"/>
              <w:left w:val="single" w:sz="4" w:space="0" w:color="auto"/>
              <w:bottom w:val="single" w:sz="4" w:space="0" w:color="auto"/>
              <w:right w:val="single" w:sz="4" w:space="0" w:color="auto"/>
            </w:tcBorders>
            <w:shd w:val="clear" w:color="auto" w:fill="DBE5F1"/>
            <w:vAlign w:val="center"/>
          </w:tcPr>
          <w:p w:rsidR="00833D38" w:rsidRPr="00A14B59" w:rsidRDefault="00833D38" w:rsidP="000D1FAE">
            <w:pPr>
              <w:spacing w:before="0" w:line="276" w:lineRule="auto"/>
              <w:ind w:firstLine="0"/>
              <w:jc w:val="center"/>
              <w:rPr>
                <w:b w:val="0"/>
                <w:bCs/>
                <w:color w:val="000000"/>
                <w:sz w:val="20"/>
                <w:szCs w:val="20"/>
              </w:rPr>
            </w:pPr>
            <w:r w:rsidRPr="00A14B59">
              <w:rPr>
                <w:bCs/>
                <w:color w:val="000000"/>
                <w:sz w:val="20"/>
                <w:szCs w:val="20"/>
              </w:rPr>
              <w:t>82,364,940.</w:t>
            </w:r>
            <w:r w:rsidRPr="00A14B59">
              <w:rPr>
                <w:bCs/>
                <w:color w:val="000000"/>
                <w:sz w:val="20"/>
                <w:szCs w:val="20"/>
                <w:lang w:val="en-US"/>
              </w:rPr>
              <w:t>5</w:t>
            </w:r>
            <w:r w:rsidRPr="00A14B59">
              <w:rPr>
                <w:bCs/>
                <w:color w:val="000000"/>
                <w:sz w:val="20"/>
                <w:szCs w:val="20"/>
              </w:rPr>
              <w:t xml:space="preserve"> </w:t>
            </w:r>
          </w:p>
        </w:tc>
        <w:tc>
          <w:tcPr>
            <w:tcW w:w="1516" w:type="dxa"/>
            <w:tcBorders>
              <w:top w:val="nil"/>
              <w:left w:val="nil"/>
              <w:bottom w:val="single" w:sz="4" w:space="0" w:color="auto"/>
              <w:right w:val="single" w:sz="4" w:space="0" w:color="auto"/>
            </w:tcBorders>
            <w:shd w:val="clear" w:color="auto" w:fill="DBE5F1"/>
            <w:vAlign w:val="center"/>
          </w:tcPr>
          <w:p w:rsidR="00833D38" w:rsidRPr="00A14B59" w:rsidRDefault="00833D38" w:rsidP="000D1FAE">
            <w:pPr>
              <w:spacing w:before="0" w:line="276" w:lineRule="auto"/>
              <w:ind w:firstLine="0"/>
              <w:jc w:val="center"/>
              <w:rPr>
                <w:b w:val="0"/>
                <w:bCs/>
                <w:color w:val="000000"/>
                <w:sz w:val="20"/>
                <w:szCs w:val="20"/>
                <w:lang w:val="en-US" w:eastAsia="en-US"/>
              </w:rPr>
            </w:pPr>
            <w:r w:rsidRPr="00A14B59">
              <w:rPr>
                <w:bCs/>
                <w:color w:val="000000"/>
                <w:sz w:val="20"/>
                <w:szCs w:val="20"/>
              </w:rPr>
              <w:t>86,581,371.0</w:t>
            </w:r>
          </w:p>
        </w:tc>
        <w:tc>
          <w:tcPr>
            <w:tcW w:w="1494" w:type="dxa"/>
            <w:tcBorders>
              <w:top w:val="nil"/>
              <w:left w:val="nil"/>
              <w:bottom w:val="single" w:sz="8" w:space="0" w:color="auto"/>
              <w:right w:val="single" w:sz="8" w:space="0" w:color="auto"/>
            </w:tcBorders>
            <w:shd w:val="clear" w:color="000000" w:fill="DBE5F1"/>
            <w:vAlign w:val="center"/>
          </w:tcPr>
          <w:p w:rsidR="00833D38" w:rsidRPr="00A14B59" w:rsidRDefault="00833D38" w:rsidP="000D1FAE">
            <w:pPr>
              <w:spacing w:before="0" w:line="276" w:lineRule="auto"/>
              <w:ind w:firstLine="0"/>
              <w:jc w:val="center"/>
              <w:rPr>
                <w:bCs/>
                <w:color w:val="000000"/>
                <w:sz w:val="20"/>
                <w:szCs w:val="20"/>
              </w:rPr>
            </w:pPr>
            <w:r w:rsidRPr="00A14B59">
              <w:rPr>
                <w:bCs/>
                <w:color w:val="000000"/>
                <w:sz w:val="20"/>
                <w:szCs w:val="20"/>
              </w:rPr>
              <w:t>91,158,389.0</w:t>
            </w:r>
          </w:p>
        </w:tc>
        <w:tc>
          <w:tcPr>
            <w:tcW w:w="1560" w:type="dxa"/>
            <w:tcBorders>
              <w:top w:val="nil"/>
              <w:left w:val="nil"/>
              <w:bottom w:val="single" w:sz="8" w:space="0" w:color="auto"/>
              <w:right w:val="single" w:sz="8" w:space="0" w:color="auto"/>
            </w:tcBorders>
            <w:shd w:val="clear" w:color="000000" w:fill="DBE5F1"/>
            <w:vAlign w:val="center"/>
          </w:tcPr>
          <w:p w:rsidR="00833D38" w:rsidRPr="00A14B59" w:rsidRDefault="00833D38" w:rsidP="000D1FAE">
            <w:pPr>
              <w:spacing w:before="0" w:line="276" w:lineRule="auto"/>
              <w:ind w:firstLine="0"/>
              <w:jc w:val="center"/>
              <w:rPr>
                <w:bCs/>
                <w:color w:val="000000"/>
                <w:sz w:val="20"/>
                <w:szCs w:val="20"/>
              </w:rPr>
            </w:pPr>
            <w:r w:rsidRPr="00A14B59">
              <w:rPr>
                <w:bCs/>
                <w:color w:val="000000"/>
                <w:sz w:val="20"/>
                <w:szCs w:val="20"/>
                <w:lang w:val="en-US"/>
              </w:rPr>
              <w:t>10</w:t>
            </w:r>
            <w:r>
              <w:rPr>
                <w:bCs/>
                <w:color w:val="000000"/>
                <w:sz w:val="20"/>
                <w:szCs w:val="20"/>
                <w:lang w:val="hy-AM"/>
              </w:rPr>
              <w:t>3</w:t>
            </w:r>
            <w:r w:rsidRPr="00A14B59">
              <w:rPr>
                <w:bCs/>
                <w:color w:val="000000"/>
                <w:sz w:val="20"/>
                <w:szCs w:val="20"/>
                <w:lang w:val="hy-AM"/>
              </w:rPr>
              <w:t>,</w:t>
            </w:r>
            <w:r>
              <w:rPr>
                <w:bCs/>
                <w:color w:val="000000"/>
                <w:sz w:val="20"/>
                <w:szCs w:val="20"/>
                <w:lang w:val="hy-AM"/>
              </w:rPr>
              <w:t>294</w:t>
            </w:r>
            <w:r w:rsidRPr="00A14B59">
              <w:rPr>
                <w:bCs/>
                <w:color w:val="000000"/>
                <w:sz w:val="20"/>
                <w:szCs w:val="20"/>
                <w:lang w:val="hy-AM"/>
              </w:rPr>
              <w:t>,</w:t>
            </w:r>
            <w:r>
              <w:rPr>
                <w:bCs/>
                <w:color w:val="000000"/>
                <w:sz w:val="20"/>
                <w:szCs w:val="20"/>
                <w:lang w:val="hy-AM"/>
              </w:rPr>
              <w:t>144</w:t>
            </w:r>
            <w:r w:rsidRPr="00A14B59">
              <w:rPr>
                <w:bCs/>
                <w:color w:val="000000"/>
                <w:sz w:val="20"/>
                <w:szCs w:val="20"/>
                <w:lang w:val="en-US"/>
              </w:rPr>
              <w:t>.7</w:t>
            </w:r>
          </w:p>
        </w:tc>
      </w:tr>
      <w:tr w:rsidR="00833D38" w:rsidRPr="00A14B59" w:rsidTr="000D1FAE">
        <w:trPr>
          <w:trHeight w:val="540"/>
        </w:trPr>
        <w:tc>
          <w:tcPr>
            <w:tcW w:w="2600" w:type="dxa"/>
            <w:tcBorders>
              <w:top w:val="nil"/>
              <w:left w:val="single" w:sz="8" w:space="0" w:color="auto"/>
              <w:bottom w:val="single" w:sz="4" w:space="0" w:color="auto"/>
              <w:right w:val="single" w:sz="4" w:space="0" w:color="auto"/>
            </w:tcBorders>
            <w:shd w:val="clear" w:color="auto" w:fill="FFFFFF"/>
            <w:vAlign w:val="center"/>
            <w:hideMark/>
          </w:tcPr>
          <w:p w:rsidR="00833D38" w:rsidRPr="00A14B59" w:rsidRDefault="00833D38" w:rsidP="000D1FAE">
            <w:pPr>
              <w:spacing w:before="0" w:line="276" w:lineRule="auto"/>
              <w:ind w:firstLine="0"/>
              <w:jc w:val="left"/>
              <w:rPr>
                <w:bCs/>
                <w:sz w:val="20"/>
                <w:szCs w:val="20"/>
              </w:rPr>
            </w:pPr>
            <w:r w:rsidRPr="00A14B59">
              <w:rPr>
                <w:bCs/>
                <w:sz w:val="20"/>
                <w:szCs w:val="20"/>
              </w:rPr>
              <w:t>Պետական բյուջեից համայնքների բյուջեներին ֆինանսական համահարթեցման սկզբունքով տրվող դոտացիաներ, որից</w:t>
            </w:r>
          </w:p>
        </w:tc>
        <w:tc>
          <w:tcPr>
            <w:tcW w:w="1519" w:type="dxa"/>
            <w:tcBorders>
              <w:top w:val="nil"/>
              <w:left w:val="nil"/>
              <w:bottom w:val="single" w:sz="4" w:space="0" w:color="auto"/>
              <w:right w:val="single" w:sz="4" w:space="0" w:color="auto"/>
            </w:tcBorders>
            <w:shd w:val="clear" w:color="auto" w:fill="FFFFFF"/>
            <w:vAlign w:val="center"/>
          </w:tcPr>
          <w:p w:rsidR="00833D38" w:rsidRPr="00A14B59" w:rsidRDefault="00833D38" w:rsidP="000D1FAE">
            <w:pPr>
              <w:spacing w:before="0" w:line="276" w:lineRule="auto"/>
              <w:ind w:firstLine="0"/>
              <w:jc w:val="right"/>
              <w:rPr>
                <w:iCs/>
                <w:sz w:val="20"/>
                <w:szCs w:val="20"/>
              </w:rPr>
            </w:pPr>
            <w:r w:rsidRPr="00A14B59">
              <w:rPr>
                <w:iCs/>
                <w:sz w:val="20"/>
                <w:szCs w:val="20"/>
              </w:rPr>
              <w:t xml:space="preserve">51,071,361.3 </w:t>
            </w: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833D38" w:rsidRPr="00A14B59" w:rsidRDefault="00833D38" w:rsidP="000D1FAE">
            <w:pPr>
              <w:spacing w:before="0" w:line="276" w:lineRule="auto"/>
              <w:ind w:firstLine="0"/>
              <w:jc w:val="right"/>
              <w:rPr>
                <w:iCs/>
                <w:sz w:val="20"/>
                <w:szCs w:val="20"/>
              </w:rPr>
            </w:pPr>
            <w:r w:rsidRPr="00A14B59">
              <w:rPr>
                <w:sz w:val="20"/>
                <w:szCs w:val="20"/>
              </w:rPr>
              <w:t xml:space="preserve">55,378,535.0 </w:t>
            </w:r>
          </w:p>
        </w:tc>
        <w:tc>
          <w:tcPr>
            <w:tcW w:w="1516" w:type="dxa"/>
            <w:tcBorders>
              <w:top w:val="nil"/>
              <w:left w:val="nil"/>
              <w:bottom w:val="single" w:sz="4" w:space="0" w:color="auto"/>
              <w:right w:val="single" w:sz="4" w:space="0" w:color="auto"/>
            </w:tcBorders>
            <w:shd w:val="clear" w:color="auto" w:fill="FFFFFF"/>
            <w:vAlign w:val="center"/>
          </w:tcPr>
          <w:p w:rsidR="00833D38" w:rsidRPr="00A14B59" w:rsidRDefault="00833D38" w:rsidP="000D1FAE">
            <w:pPr>
              <w:spacing w:before="0" w:line="276" w:lineRule="auto"/>
              <w:ind w:firstLine="0"/>
              <w:jc w:val="right"/>
              <w:rPr>
                <w:iCs/>
                <w:sz w:val="20"/>
                <w:szCs w:val="20"/>
              </w:rPr>
            </w:pPr>
            <w:r w:rsidRPr="00A14B59">
              <w:rPr>
                <w:sz w:val="20"/>
                <w:szCs w:val="20"/>
              </w:rPr>
              <w:t xml:space="preserve">64,596,984.0 </w:t>
            </w:r>
          </w:p>
        </w:tc>
        <w:tc>
          <w:tcPr>
            <w:tcW w:w="1494" w:type="dxa"/>
            <w:tcBorders>
              <w:top w:val="nil"/>
              <w:left w:val="nil"/>
              <w:bottom w:val="single" w:sz="8" w:space="0" w:color="auto"/>
              <w:right w:val="single" w:sz="8" w:space="0" w:color="auto"/>
            </w:tcBorders>
            <w:shd w:val="clear" w:color="000000" w:fill="FFFFFF"/>
            <w:vAlign w:val="center"/>
          </w:tcPr>
          <w:p w:rsidR="00833D38" w:rsidRPr="00A14B59" w:rsidRDefault="00833D38" w:rsidP="000D1FAE">
            <w:pPr>
              <w:spacing w:before="0" w:line="276" w:lineRule="auto"/>
              <w:ind w:firstLine="0"/>
              <w:jc w:val="right"/>
              <w:rPr>
                <w:sz w:val="20"/>
                <w:szCs w:val="20"/>
              </w:rPr>
            </w:pPr>
            <w:r w:rsidRPr="00A14B59">
              <w:rPr>
                <w:sz w:val="20"/>
                <w:szCs w:val="20"/>
              </w:rPr>
              <w:t>64,349,123.0</w:t>
            </w:r>
          </w:p>
        </w:tc>
        <w:tc>
          <w:tcPr>
            <w:tcW w:w="1560" w:type="dxa"/>
            <w:tcBorders>
              <w:top w:val="nil"/>
              <w:left w:val="nil"/>
              <w:bottom w:val="single" w:sz="8" w:space="0" w:color="auto"/>
              <w:right w:val="single" w:sz="8" w:space="0" w:color="auto"/>
            </w:tcBorders>
            <w:shd w:val="clear" w:color="000000" w:fill="FFFFFF"/>
            <w:noWrap/>
            <w:vAlign w:val="center"/>
          </w:tcPr>
          <w:p w:rsidR="00833D38" w:rsidRPr="00A14B59" w:rsidRDefault="00833D38" w:rsidP="000D1FAE">
            <w:pPr>
              <w:spacing w:before="0" w:line="276" w:lineRule="auto"/>
              <w:ind w:firstLine="0"/>
              <w:jc w:val="right"/>
              <w:rPr>
                <w:sz w:val="20"/>
                <w:szCs w:val="20"/>
              </w:rPr>
            </w:pPr>
            <w:r w:rsidRPr="00A14B59">
              <w:rPr>
                <w:sz w:val="20"/>
                <w:szCs w:val="20"/>
              </w:rPr>
              <w:t>69,754,656.6</w:t>
            </w:r>
          </w:p>
        </w:tc>
      </w:tr>
      <w:tr w:rsidR="00833D38" w:rsidRPr="00A14B59" w:rsidTr="000D1FAE">
        <w:trPr>
          <w:trHeight w:val="270"/>
        </w:trPr>
        <w:tc>
          <w:tcPr>
            <w:tcW w:w="2600" w:type="dxa"/>
            <w:tcBorders>
              <w:top w:val="nil"/>
              <w:left w:val="single" w:sz="8" w:space="0" w:color="auto"/>
              <w:bottom w:val="single" w:sz="4" w:space="0" w:color="auto"/>
              <w:right w:val="single" w:sz="4" w:space="0" w:color="auto"/>
            </w:tcBorders>
            <w:shd w:val="clear" w:color="auto" w:fill="DBE5F1"/>
            <w:vAlign w:val="center"/>
            <w:hideMark/>
          </w:tcPr>
          <w:p w:rsidR="00833D38" w:rsidRPr="00A14B59" w:rsidRDefault="00833D38" w:rsidP="000D1FAE">
            <w:pPr>
              <w:spacing w:before="0" w:line="276" w:lineRule="auto"/>
              <w:ind w:firstLine="0"/>
              <w:jc w:val="left"/>
              <w:rPr>
                <w:iCs/>
                <w:sz w:val="20"/>
                <w:szCs w:val="20"/>
              </w:rPr>
            </w:pPr>
            <w:r w:rsidRPr="00A14B59">
              <w:rPr>
                <w:iCs/>
                <w:sz w:val="20"/>
                <w:szCs w:val="20"/>
              </w:rPr>
              <w:t>Այլ ընթացիկ դրամաշնորհներ համայնքներին, որից</w:t>
            </w:r>
          </w:p>
        </w:tc>
        <w:tc>
          <w:tcPr>
            <w:tcW w:w="1519" w:type="dxa"/>
            <w:tcBorders>
              <w:top w:val="nil"/>
              <w:left w:val="nil"/>
              <w:bottom w:val="single" w:sz="4" w:space="0" w:color="auto"/>
              <w:right w:val="single" w:sz="4" w:space="0" w:color="auto"/>
            </w:tcBorders>
            <w:shd w:val="clear" w:color="auto" w:fill="DBE5F1"/>
            <w:vAlign w:val="center"/>
          </w:tcPr>
          <w:p w:rsidR="00833D38" w:rsidRPr="00A14B59" w:rsidRDefault="00833D38" w:rsidP="000D1FAE">
            <w:pPr>
              <w:spacing w:before="0" w:line="276" w:lineRule="auto"/>
              <w:ind w:firstLine="0"/>
              <w:jc w:val="right"/>
              <w:rPr>
                <w:iCs/>
                <w:sz w:val="20"/>
                <w:szCs w:val="20"/>
              </w:rPr>
            </w:pPr>
            <w:r w:rsidRPr="00A14B59">
              <w:rPr>
                <w:iCs/>
                <w:sz w:val="20"/>
                <w:szCs w:val="20"/>
              </w:rPr>
              <w:t xml:space="preserve">2,242.0 </w:t>
            </w:r>
          </w:p>
        </w:tc>
        <w:tc>
          <w:tcPr>
            <w:tcW w:w="1502" w:type="dxa"/>
            <w:tcBorders>
              <w:top w:val="single" w:sz="4" w:space="0" w:color="auto"/>
              <w:left w:val="single" w:sz="4" w:space="0" w:color="auto"/>
              <w:bottom w:val="single" w:sz="4" w:space="0" w:color="auto"/>
              <w:right w:val="single" w:sz="4" w:space="0" w:color="auto"/>
            </w:tcBorders>
            <w:shd w:val="clear" w:color="auto" w:fill="DBE5F1"/>
            <w:vAlign w:val="center"/>
          </w:tcPr>
          <w:p w:rsidR="00833D38" w:rsidRPr="00A14B59" w:rsidRDefault="00833D38" w:rsidP="000D1FAE">
            <w:pPr>
              <w:spacing w:before="0" w:line="276" w:lineRule="auto"/>
              <w:ind w:firstLine="0"/>
              <w:jc w:val="right"/>
              <w:rPr>
                <w:iCs/>
                <w:sz w:val="20"/>
                <w:szCs w:val="20"/>
              </w:rPr>
            </w:pPr>
            <w:r w:rsidRPr="00A14B59">
              <w:rPr>
                <w:iCs/>
                <w:sz w:val="20"/>
                <w:szCs w:val="20"/>
              </w:rPr>
              <w:t xml:space="preserve">          3,372,222.2 </w:t>
            </w:r>
          </w:p>
          <w:p w:rsidR="00833D38" w:rsidRPr="00A14B59" w:rsidRDefault="00833D38" w:rsidP="000D1FAE">
            <w:pPr>
              <w:spacing w:before="0" w:line="276" w:lineRule="auto"/>
              <w:ind w:firstLine="0"/>
              <w:jc w:val="right"/>
              <w:rPr>
                <w:iCs/>
                <w:sz w:val="20"/>
                <w:szCs w:val="20"/>
              </w:rPr>
            </w:pPr>
          </w:p>
        </w:tc>
        <w:tc>
          <w:tcPr>
            <w:tcW w:w="1516" w:type="dxa"/>
            <w:tcBorders>
              <w:top w:val="nil"/>
              <w:left w:val="nil"/>
              <w:bottom w:val="single" w:sz="4" w:space="0" w:color="auto"/>
              <w:right w:val="single" w:sz="4" w:space="0" w:color="auto"/>
            </w:tcBorders>
            <w:shd w:val="clear" w:color="auto" w:fill="DBE5F1"/>
            <w:vAlign w:val="center"/>
          </w:tcPr>
          <w:p w:rsidR="00833D38" w:rsidRPr="00A14B59" w:rsidRDefault="00833D38" w:rsidP="000D1FAE">
            <w:pPr>
              <w:spacing w:before="0" w:line="276" w:lineRule="auto"/>
              <w:ind w:firstLine="0"/>
              <w:jc w:val="right"/>
              <w:rPr>
                <w:iCs/>
                <w:sz w:val="20"/>
                <w:szCs w:val="20"/>
              </w:rPr>
            </w:pPr>
            <w:r w:rsidRPr="00A14B59">
              <w:rPr>
                <w:iCs/>
                <w:sz w:val="20"/>
                <w:szCs w:val="20"/>
              </w:rPr>
              <w:t xml:space="preserve">              28</w:t>
            </w:r>
            <w:r w:rsidRPr="00A14B59">
              <w:rPr>
                <w:iCs/>
                <w:sz w:val="20"/>
                <w:szCs w:val="20"/>
                <w:lang w:val="en-US"/>
              </w:rPr>
              <w:t>,</w:t>
            </w:r>
            <w:r w:rsidRPr="00A14B59">
              <w:rPr>
                <w:iCs/>
                <w:sz w:val="20"/>
                <w:szCs w:val="20"/>
              </w:rPr>
              <w:t>219.3</w:t>
            </w:r>
          </w:p>
          <w:p w:rsidR="00833D38" w:rsidRPr="00A14B59" w:rsidRDefault="00833D38" w:rsidP="000D1FAE">
            <w:pPr>
              <w:spacing w:before="0" w:line="276" w:lineRule="auto"/>
              <w:ind w:firstLine="0"/>
              <w:jc w:val="right"/>
              <w:rPr>
                <w:iCs/>
                <w:sz w:val="20"/>
                <w:szCs w:val="20"/>
              </w:rPr>
            </w:pPr>
          </w:p>
        </w:tc>
        <w:tc>
          <w:tcPr>
            <w:tcW w:w="1494" w:type="dxa"/>
            <w:tcBorders>
              <w:top w:val="single" w:sz="8" w:space="0" w:color="auto"/>
              <w:left w:val="single" w:sz="8" w:space="0" w:color="auto"/>
              <w:bottom w:val="single" w:sz="8" w:space="0" w:color="000000"/>
              <w:right w:val="single" w:sz="8" w:space="0" w:color="auto"/>
            </w:tcBorders>
            <w:shd w:val="clear" w:color="000000" w:fill="DBE5F1"/>
            <w:vAlign w:val="center"/>
          </w:tcPr>
          <w:p w:rsidR="00833D38" w:rsidRPr="00A14B59" w:rsidRDefault="00833D38" w:rsidP="000D1FAE">
            <w:pPr>
              <w:spacing w:before="0" w:line="276" w:lineRule="auto"/>
              <w:ind w:firstLine="0"/>
              <w:jc w:val="right"/>
              <w:rPr>
                <w:iCs/>
                <w:sz w:val="20"/>
                <w:szCs w:val="20"/>
              </w:rPr>
            </w:pPr>
            <w:r w:rsidRPr="00A14B59">
              <w:rPr>
                <w:iCs/>
                <w:sz w:val="20"/>
                <w:szCs w:val="20"/>
              </w:rPr>
              <w:t>265,232.3</w:t>
            </w:r>
          </w:p>
        </w:tc>
        <w:tc>
          <w:tcPr>
            <w:tcW w:w="1560" w:type="dxa"/>
            <w:tcBorders>
              <w:top w:val="single" w:sz="8" w:space="0" w:color="auto"/>
              <w:left w:val="single" w:sz="8" w:space="0" w:color="auto"/>
              <w:bottom w:val="single" w:sz="8" w:space="0" w:color="000000"/>
              <w:right w:val="single" w:sz="8" w:space="0" w:color="auto"/>
            </w:tcBorders>
            <w:shd w:val="clear" w:color="000000" w:fill="DBE5F1"/>
            <w:noWrap/>
            <w:vAlign w:val="center"/>
          </w:tcPr>
          <w:p w:rsidR="00833D38" w:rsidRPr="00A14B59" w:rsidRDefault="00833D38" w:rsidP="000D1FAE">
            <w:pPr>
              <w:spacing w:before="0" w:line="276" w:lineRule="auto"/>
              <w:ind w:firstLine="0"/>
              <w:jc w:val="right"/>
              <w:rPr>
                <w:iCs/>
                <w:sz w:val="20"/>
                <w:szCs w:val="20"/>
              </w:rPr>
            </w:pPr>
            <w:r w:rsidRPr="00A14B59">
              <w:rPr>
                <w:iCs/>
                <w:sz w:val="20"/>
                <w:szCs w:val="20"/>
              </w:rPr>
              <w:t>783,103.0</w:t>
            </w:r>
          </w:p>
        </w:tc>
      </w:tr>
      <w:tr w:rsidR="00833D38" w:rsidRPr="00A14B59" w:rsidTr="000D1FAE">
        <w:trPr>
          <w:trHeight w:val="750"/>
        </w:trPr>
        <w:tc>
          <w:tcPr>
            <w:tcW w:w="2600" w:type="dxa"/>
            <w:tcBorders>
              <w:top w:val="nil"/>
              <w:left w:val="single" w:sz="8" w:space="0" w:color="auto"/>
              <w:bottom w:val="single" w:sz="4" w:space="0" w:color="auto"/>
              <w:right w:val="single" w:sz="4" w:space="0" w:color="auto"/>
            </w:tcBorders>
            <w:shd w:val="clear" w:color="auto" w:fill="FFFFFF"/>
            <w:vAlign w:val="center"/>
            <w:hideMark/>
          </w:tcPr>
          <w:p w:rsidR="00833D38" w:rsidRPr="00DA5AFF" w:rsidRDefault="00833D38" w:rsidP="000D1FAE">
            <w:pPr>
              <w:spacing w:before="0" w:line="276" w:lineRule="auto"/>
              <w:ind w:firstLine="0"/>
              <w:jc w:val="left"/>
              <w:rPr>
                <w:b w:val="0"/>
                <w:i/>
                <w:iCs/>
                <w:sz w:val="20"/>
                <w:szCs w:val="20"/>
                <w:lang w:val="hy-AM"/>
              </w:rPr>
            </w:pPr>
            <w:r w:rsidRPr="00A14B59">
              <w:rPr>
                <w:b w:val="0"/>
                <w:i/>
                <w:iCs/>
                <w:sz w:val="20"/>
                <w:szCs w:val="20"/>
              </w:rPr>
              <w:t>«Նվազագույն ամսական աշխատավարձի մասին» օրենքի կիրարկմամբ պայմանավորված ֆինանսական փոխհա</w:t>
            </w:r>
            <w:r w:rsidRPr="00A14B59">
              <w:rPr>
                <w:b w:val="0"/>
                <w:i/>
                <w:iCs/>
                <w:sz w:val="20"/>
                <w:szCs w:val="20"/>
              </w:rPr>
              <w:softHyphen/>
              <w:t xml:space="preserve">տուցում </w:t>
            </w:r>
            <w:r>
              <w:rPr>
                <w:b w:val="0"/>
                <w:i/>
                <w:iCs/>
                <w:sz w:val="20"/>
                <w:szCs w:val="20"/>
                <w:lang w:val="hy-AM"/>
              </w:rPr>
              <w:t>ՏԻՄ-երին</w:t>
            </w:r>
          </w:p>
        </w:tc>
        <w:tc>
          <w:tcPr>
            <w:tcW w:w="1519" w:type="dxa"/>
            <w:tcBorders>
              <w:top w:val="nil"/>
              <w:left w:val="nil"/>
              <w:bottom w:val="single" w:sz="4" w:space="0" w:color="auto"/>
              <w:right w:val="single" w:sz="4" w:space="0" w:color="auto"/>
            </w:tcBorders>
            <w:shd w:val="clear" w:color="auto" w:fill="FFFFFF"/>
            <w:vAlign w:val="center"/>
          </w:tcPr>
          <w:p w:rsidR="00833D38" w:rsidRPr="00A14B59" w:rsidRDefault="00833D38" w:rsidP="000D1FAE">
            <w:pPr>
              <w:spacing w:before="0" w:line="276" w:lineRule="auto"/>
              <w:ind w:firstLine="0"/>
              <w:jc w:val="right"/>
              <w:rPr>
                <w:b w:val="0"/>
                <w:iCs/>
                <w:sz w:val="20"/>
                <w:szCs w:val="20"/>
              </w:rPr>
            </w:pPr>
            <w:r w:rsidRPr="00A14B59">
              <w:rPr>
                <w:rFonts w:ascii="Calibri" w:hAnsi="Calibri" w:cs="Calibri"/>
                <w:b w:val="0"/>
                <w:iCs/>
                <w:sz w:val="20"/>
                <w:szCs w:val="20"/>
              </w:rPr>
              <w:t> </w:t>
            </w: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833D38" w:rsidRPr="00A14B59" w:rsidRDefault="00833D38" w:rsidP="000D1FAE">
            <w:pPr>
              <w:spacing w:before="0" w:line="240" w:lineRule="auto"/>
              <w:ind w:firstLine="0"/>
              <w:contextualSpacing w:val="0"/>
              <w:jc w:val="right"/>
              <w:rPr>
                <w:b w:val="0"/>
                <w:iCs/>
                <w:sz w:val="20"/>
                <w:szCs w:val="20"/>
              </w:rPr>
            </w:pPr>
            <w:r w:rsidRPr="00A14B59">
              <w:rPr>
                <w:b w:val="0"/>
                <w:iCs/>
                <w:sz w:val="20"/>
                <w:szCs w:val="20"/>
              </w:rPr>
              <w:t>3,321,871.7</w:t>
            </w:r>
          </w:p>
          <w:p w:rsidR="00833D38" w:rsidRPr="00A14B59" w:rsidRDefault="00833D38" w:rsidP="000D1FAE">
            <w:pPr>
              <w:spacing w:before="0" w:line="276" w:lineRule="auto"/>
              <w:ind w:firstLine="0"/>
              <w:jc w:val="right"/>
              <w:rPr>
                <w:b w:val="0"/>
                <w:iCs/>
                <w:sz w:val="20"/>
                <w:szCs w:val="20"/>
              </w:rPr>
            </w:pPr>
            <w:r w:rsidRPr="00A14B59">
              <w:rPr>
                <w:b w:val="0"/>
                <w:sz w:val="20"/>
                <w:szCs w:val="20"/>
              </w:rPr>
              <w:t xml:space="preserve"> </w:t>
            </w:r>
          </w:p>
        </w:tc>
        <w:tc>
          <w:tcPr>
            <w:tcW w:w="1516" w:type="dxa"/>
            <w:tcBorders>
              <w:top w:val="nil"/>
              <w:left w:val="nil"/>
              <w:bottom w:val="single" w:sz="4" w:space="0" w:color="auto"/>
              <w:right w:val="single" w:sz="4" w:space="0" w:color="auto"/>
            </w:tcBorders>
            <w:shd w:val="clear" w:color="auto" w:fill="FFFFFF"/>
            <w:vAlign w:val="center"/>
          </w:tcPr>
          <w:p w:rsidR="00833D38" w:rsidRPr="00A14B59" w:rsidRDefault="00833D38" w:rsidP="000D1FAE">
            <w:pPr>
              <w:spacing w:before="0" w:line="276" w:lineRule="auto"/>
              <w:ind w:firstLine="0"/>
              <w:jc w:val="right"/>
              <w:rPr>
                <w:b w:val="0"/>
                <w:iCs/>
                <w:sz w:val="20"/>
                <w:szCs w:val="20"/>
              </w:rPr>
            </w:pPr>
          </w:p>
        </w:tc>
        <w:tc>
          <w:tcPr>
            <w:tcW w:w="1494" w:type="dxa"/>
            <w:tcBorders>
              <w:top w:val="single" w:sz="8" w:space="0" w:color="auto"/>
              <w:left w:val="single" w:sz="8" w:space="0" w:color="auto"/>
              <w:bottom w:val="single" w:sz="8" w:space="0" w:color="000000"/>
              <w:right w:val="single" w:sz="8" w:space="0" w:color="auto"/>
            </w:tcBorders>
            <w:vAlign w:val="center"/>
          </w:tcPr>
          <w:p w:rsidR="00833D38" w:rsidRPr="00A14B59" w:rsidRDefault="00833D38" w:rsidP="000D1FAE">
            <w:pPr>
              <w:spacing w:before="0" w:line="276" w:lineRule="auto"/>
              <w:ind w:firstLine="0"/>
              <w:jc w:val="right"/>
              <w:rPr>
                <w:b w:val="0"/>
                <w:iCs/>
                <w:sz w:val="20"/>
                <w:szCs w:val="20"/>
              </w:rPr>
            </w:pPr>
          </w:p>
        </w:tc>
        <w:tc>
          <w:tcPr>
            <w:tcW w:w="1560" w:type="dxa"/>
            <w:tcBorders>
              <w:top w:val="single" w:sz="8" w:space="0" w:color="auto"/>
              <w:left w:val="single" w:sz="8" w:space="0" w:color="auto"/>
              <w:bottom w:val="single" w:sz="8" w:space="0" w:color="000000"/>
              <w:right w:val="single" w:sz="8" w:space="0" w:color="auto"/>
            </w:tcBorders>
            <w:noWrap/>
            <w:vAlign w:val="center"/>
          </w:tcPr>
          <w:p w:rsidR="00833D38" w:rsidRPr="00A14B59" w:rsidRDefault="00833D38" w:rsidP="000D1FAE">
            <w:pPr>
              <w:spacing w:before="0" w:line="276" w:lineRule="auto"/>
              <w:ind w:firstLine="0"/>
              <w:jc w:val="right"/>
              <w:rPr>
                <w:b w:val="0"/>
                <w:iCs/>
                <w:sz w:val="20"/>
                <w:szCs w:val="20"/>
              </w:rPr>
            </w:pPr>
          </w:p>
        </w:tc>
      </w:tr>
      <w:tr w:rsidR="00833D38" w:rsidRPr="00A14B59" w:rsidTr="000D1FAE">
        <w:trPr>
          <w:trHeight w:val="270"/>
        </w:trPr>
        <w:tc>
          <w:tcPr>
            <w:tcW w:w="2600" w:type="dxa"/>
            <w:tcBorders>
              <w:top w:val="nil"/>
              <w:left w:val="single" w:sz="8" w:space="0" w:color="auto"/>
              <w:bottom w:val="single" w:sz="4" w:space="0" w:color="auto"/>
              <w:right w:val="single" w:sz="4" w:space="0" w:color="auto"/>
            </w:tcBorders>
            <w:shd w:val="clear" w:color="auto" w:fill="DBE5F1"/>
            <w:vAlign w:val="center"/>
            <w:hideMark/>
          </w:tcPr>
          <w:p w:rsidR="00833D38" w:rsidRPr="00A14B59" w:rsidRDefault="00833D38" w:rsidP="000D1FAE">
            <w:pPr>
              <w:spacing w:before="0" w:line="276" w:lineRule="auto"/>
              <w:ind w:firstLine="0"/>
              <w:jc w:val="left"/>
              <w:rPr>
                <w:bCs/>
                <w:sz w:val="20"/>
                <w:szCs w:val="20"/>
              </w:rPr>
            </w:pPr>
            <w:r w:rsidRPr="00A14B59">
              <w:rPr>
                <w:bCs/>
                <w:sz w:val="20"/>
                <w:szCs w:val="20"/>
              </w:rPr>
              <w:t>Սուբվենցիաներ համայնքներին, այդ թվում</w:t>
            </w:r>
          </w:p>
        </w:tc>
        <w:tc>
          <w:tcPr>
            <w:tcW w:w="1519" w:type="dxa"/>
            <w:tcBorders>
              <w:top w:val="nil"/>
              <w:left w:val="nil"/>
              <w:bottom w:val="single" w:sz="4" w:space="0" w:color="auto"/>
              <w:right w:val="single" w:sz="4" w:space="0" w:color="auto"/>
            </w:tcBorders>
            <w:shd w:val="clear" w:color="auto" w:fill="DBE5F1"/>
            <w:vAlign w:val="center"/>
          </w:tcPr>
          <w:p w:rsidR="00833D38" w:rsidRPr="00A14B59" w:rsidRDefault="00833D38" w:rsidP="000D1FAE">
            <w:pPr>
              <w:spacing w:before="0" w:line="276" w:lineRule="auto"/>
              <w:ind w:firstLine="0"/>
              <w:jc w:val="right"/>
              <w:rPr>
                <w:bCs/>
                <w:iCs/>
                <w:sz w:val="20"/>
                <w:szCs w:val="20"/>
              </w:rPr>
            </w:pPr>
            <w:r w:rsidRPr="00A14B59">
              <w:rPr>
                <w:bCs/>
                <w:iCs/>
                <w:sz w:val="20"/>
                <w:szCs w:val="20"/>
              </w:rPr>
              <w:t xml:space="preserve">15,801,349.6 </w:t>
            </w:r>
          </w:p>
        </w:tc>
        <w:tc>
          <w:tcPr>
            <w:tcW w:w="1502" w:type="dxa"/>
            <w:tcBorders>
              <w:top w:val="single" w:sz="4" w:space="0" w:color="auto"/>
              <w:left w:val="single" w:sz="4" w:space="0" w:color="auto"/>
              <w:bottom w:val="single" w:sz="4" w:space="0" w:color="auto"/>
              <w:right w:val="single" w:sz="4" w:space="0" w:color="auto"/>
            </w:tcBorders>
            <w:shd w:val="clear" w:color="auto" w:fill="DBE5F1"/>
            <w:vAlign w:val="center"/>
          </w:tcPr>
          <w:p w:rsidR="00833D38" w:rsidRPr="00A14B59" w:rsidRDefault="00833D38" w:rsidP="000D1FAE">
            <w:pPr>
              <w:spacing w:before="0" w:line="276" w:lineRule="auto"/>
              <w:ind w:firstLine="0"/>
              <w:jc w:val="right"/>
              <w:rPr>
                <w:bCs/>
                <w:iCs/>
                <w:sz w:val="20"/>
                <w:szCs w:val="20"/>
              </w:rPr>
            </w:pPr>
            <w:r w:rsidRPr="00A14B59">
              <w:rPr>
                <w:bCs/>
                <w:sz w:val="20"/>
                <w:szCs w:val="20"/>
                <w:lang w:val="en-US"/>
              </w:rPr>
              <w:t>22,860,028.8</w:t>
            </w:r>
          </w:p>
        </w:tc>
        <w:tc>
          <w:tcPr>
            <w:tcW w:w="1516" w:type="dxa"/>
            <w:tcBorders>
              <w:top w:val="nil"/>
              <w:left w:val="nil"/>
              <w:bottom w:val="single" w:sz="4" w:space="0" w:color="auto"/>
              <w:right w:val="single" w:sz="4" w:space="0" w:color="auto"/>
            </w:tcBorders>
            <w:shd w:val="clear" w:color="auto" w:fill="DBE5F1"/>
            <w:vAlign w:val="center"/>
          </w:tcPr>
          <w:p w:rsidR="00833D38" w:rsidRPr="00A14B59" w:rsidRDefault="00833D38" w:rsidP="000D1FAE">
            <w:pPr>
              <w:spacing w:before="0" w:line="276" w:lineRule="auto"/>
              <w:ind w:firstLine="0"/>
              <w:jc w:val="right"/>
              <w:rPr>
                <w:bCs/>
                <w:sz w:val="20"/>
                <w:szCs w:val="20"/>
                <w:lang w:val="en-US"/>
              </w:rPr>
            </w:pPr>
            <w:r w:rsidRPr="00A14B59">
              <w:rPr>
                <w:bCs/>
                <w:sz w:val="20"/>
                <w:szCs w:val="20"/>
                <w:lang w:val="en-US"/>
              </w:rPr>
              <w:t>21,028,722.5</w:t>
            </w:r>
          </w:p>
        </w:tc>
        <w:tc>
          <w:tcPr>
            <w:tcW w:w="1494" w:type="dxa"/>
            <w:tcBorders>
              <w:top w:val="nil"/>
              <w:left w:val="nil"/>
              <w:bottom w:val="single" w:sz="8" w:space="0" w:color="auto"/>
              <w:right w:val="single" w:sz="8" w:space="0" w:color="auto"/>
            </w:tcBorders>
            <w:shd w:val="clear" w:color="000000" w:fill="DBE5F1"/>
            <w:vAlign w:val="center"/>
          </w:tcPr>
          <w:p w:rsidR="00833D38" w:rsidRPr="00A14B59" w:rsidRDefault="00833D38" w:rsidP="000D1FAE">
            <w:pPr>
              <w:spacing w:before="0" w:line="276" w:lineRule="auto"/>
              <w:ind w:firstLine="0"/>
              <w:jc w:val="right"/>
              <w:rPr>
                <w:bCs/>
                <w:sz w:val="20"/>
                <w:szCs w:val="20"/>
                <w:lang w:val="en-US"/>
              </w:rPr>
            </w:pPr>
            <w:r w:rsidRPr="00A14B59">
              <w:rPr>
                <w:bCs/>
                <w:sz w:val="20"/>
                <w:szCs w:val="20"/>
                <w:lang w:val="en-US"/>
              </w:rPr>
              <w:t>25,388,827.9</w:t>
            </w:r>
          </w:p>
        </w:tc>
        <w:tc>
          <w:tcPr>
            <w:tcW w:w="1560" w:type="dxa"/>
            <w:tcBorders>
              <w:top w:val="nil"/>
              <w:left w:val="nil"/>
              <w:bottom w:val="single" w:sz="8" w:space="0" w:color="auto"/>
              <w:right w:val="single" w:sz="8" w:space="0" w:color="auto"/>
            </w:tcBorders>
            <w:shd w:val="clear" w:color="000000" w:fill="DBE5F1"/>
            <w:noWrap/>
            <w:vAlign w:val="center"/>
          </w:tcPr>
          <w:p w:rsidR="00833D38" w:rsidRPr="00A14B59" w:rsidRDefault="00833D38" w:rsidP="000D1FAE">
            <w:pPr>
              <w:spacing w:before="0" w:line="276" w:lineRule="auto"/>
              <w:ind w:firstLine="0"/>
              <w:jc w:val="right"/>
              <w:rPr>
                <w:bCs/>
                <w:sz w:val="20"/>
                <w:szCs w:val="20"/>
                <w:lang w:val="en-US"/>
              </w:rPr>
            </w:pPr>
            <w:r w:rsidRPr="00A14B59">
              <w:rPr>
                <w:bCs/>
                <w:sz w:val="20"/>
                <w:szCs w:val="20"/>
                <w:lang w:val="en-US"/>
              </w:rPr>
              <w:t>3</w:t>
            </w:r>
            <w:r>
              <w:rPr>
                <w:bCs/>
                <w:sz w:val="20"/>
                <w:szCs w:val="20"/>
                <w:lang w:val="hy-AM"/>
              </w:rPr>
              <w:t>1</w:t>
            </w:r>
            <w:r w:rsidRPr="00A14B59">
              <w:rPr>
                <w:bCs/>
                <w:sz w:val="20"/>
                <w:szCs w:val="20"/>
                <w:lang w:val="hy-AM"/>
              </w:rPr>
              <w:t>,</w:t>
            </w:r>
            <w:r>
              <w:rPr>
                <w:bCs/>
                <w:sz w:val="20"/>
                <w:szCs w:val="20"/>
                <w:lang w:val="hy-AM"/>
              </w:rPr>
              <w:t>782</w:t>
            </w:r>
            <w:r w:rsidRPr="00A14B59">
              <w:rPr>
                <w:bCs/>
                <w:sz w:val="20"/>
                <w:szCs w:val="20"/>
                <w:lang w:val="hy-AM"/>
              </w:rPr>
              <w:t>,</w:t>
            </w:r>
            <w:r>
              <w:rPr>
                <w:bCs/>
                <w:sz w:val="20"/>
                <w:szCs w:val="20"/>
                <w:lang w:val="hy-AM"/>
              </w:rPr>
              <w:t>682</w:t>
            </w:r>
            <w:r w:rsidRPr="00A14B59">
              <w:rPr>
                <w:bCs/>
                <w:sz w:val="20"/>
                <w:szCs w:val="20"/>
                <w:lang w:val="en-US"/>
              </w:rPr>
              <w:t>.5</w:t>
            </w:r>
          </w:p>
        </w:tc>
      </w:tr>
      <w:tr w:rsidR="00833D38" w:rsidRPr="00A14B59" w:rsidTr="000D1FAE">
        <w:trPr>
          <w:trHeight w:val="709"/>
        </w:trPr>
        <w:tc>
          <w:tcPr>
            <w:tcW w:w="2600" w:type="dxa"/>
            <w:tcBorders>
              <w:top w:val="nil"/>
              <w:left w:val="single" w:sz="8" w:space="0" w:color="auto"/>
              <w:bottom w:val="single" w:sz="4" w:space="0" w:color="auto"/>
              <w:right w:val="single" w:sz="4" w:space="0" w:color="auto"/>
            </w:tcBorders>
            <w:shd w:val="clear" w:color="auto" w:fill="FFFFFF"/>
            <w:vAlign w:val="center"/>
            <w:hideMark/>
          </w:tcPr>
          <w:p w:rsidR="00833D38" w:rsidRPr="00A14B59" w:rsidRDefault="00833D38" w:rsidP="000D1FAE">
            <w:pPr>
              <w:spacing w:before="0" w:line="276" w:lineRule="auto"/>
              <w:ind w:firstLine="0"/>
              <w:jc w:val="left"/>
              <w:rPr>
                <w:b w:val="0"/>
                <w:i/>
                <w:iCs/>
                <w:sz w:val="20"/>
                <w:szCs w:val="20"/>
              </w:rPr>
            </w:pPr>
            <w:r w:rsidRPr="00A14B59">
              <w:rPr>
                <w:b w:val="0"/>
                <w:i/>
                <w:iCs/>
                <w:sz w:val="20"/>
                <w:szCs w:val="20"/>
              </w:rPr>
              <w:t>ընթացիկ սուբվենցիաներ</w:t>
            </w:r>
          </w:p>
        </w:tc>
        <w:tc>
          <w:tcPr>
            <w:tcW w:w="1519" w:type="dxa"/>
            <w:tcBorders>
              <w:top w:val="nil"/>
              <w:left w:val="nil"/>
              <w:bottom w:val="single" w:sz="4" w:space="0" w:color="auto"/>
              <w:right w:val="single" w:sz="4" w:space="0" w:color="auto"/>
            </w:tcBorders>
            <w:shd w:val="clear" w:color="auto" w:fill="FFFFFF"/>
            <w:vAlign w:val="center"/>
          </w:tcPr>
          <w:p w:rsidR="00833D38" w:rsidRPr="00A14B59" w:rsidRDefault="00833D38" w:rsidP="000D1FAE">
            <w:pPr>
              <w:spacing w:before="0" w:line="276" w:lineRule="auto"/>
              <w:ind w:firstLine="0"/>
              <w:jc w:val="right"/>
              <w:rPr>
                <w:b w:val="0"/>
                <w:iCs/>
                <w:sz w:val="20"/>
                <w:szCs w:val="20"/>
              </w:rPr>
            </w:pPr>
            <w:r w:rsidRPr="00A14B59">
              <w:rPr>
                <w:b w:val="0"/>
                <w:iCs/>
                <w:sz w:val="20"/>
                <w:szCs w:val="20"/>
              </w:rPr>
              <w:t xml:space="preserve">9,268,940.8 </w:t>
            </w: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833D38" w:rsidRPr="00A14B59" w:rsidRDefault="00833D38" w:rsidP="000D1FAE">
            <w:pPr>
              <w:spacing w:before="0" w:line="276" w:lineRule="auto"/>
              <w:ind w:firstLine="0"/>
              <w:jc w:val="right"/>
              <w:rPr>
                <w:b w:val="0"/>
                <w:iCs/>
                <w:sz w:val="20"/>
                <w:szCs w:val="20"/>
              </w:rPr>
            </w:pPr>
            <w:r w:rsidRPr="00A14B59">
              <w:rPr>
                <w:b w:val="0"/>
                <w:iCs/>
                <w:sz w:val="20"/>
                <w:szCs w:val="20"/>
              </w:rPr>
              <w:t xml:space="preserve">          8,741,376.7 </w:t>
            </w:r>
          </w:p>
          <w:p w:rsidR="00833D38" w:rsidRPr="00A14B59" w:rsidRDefault="00833D38" w:rsidP="000D1FAE">
            <w:pPr>
              <w:spacing w:before="0" w:line="276" w:lineRule="auto"/>
              <w:ind w:firstLine="0"/>
              <w:jc w:val="right"/>
              <w:rPr>
                <w:b w:val="0"/>
                <w:iCs/>
                <w:sz w:val="20"/>
                <w:szCs w:val="20"/>
              </w:rPr>
            </w:pPr>
          </w:p>
        </w:tc>
        <w:tc>
          <w:tcPr>
            <w:tcW w:w="1516" w:type="dxa"/>
            <w:tcBorders>
              <w:top w:val="nil"/>
              <w:left w:val="nil"/>
              <w:bottom w:val="single" w:sz="4" w:space="0" w:color="auto"/>
              <w:right w:val="single" w:sz="4" w:space="0" w:color="auto"/>
            </w:tcBorders>
            <w:shd w:val="clear" w:color="auto" w:fill="FFFFFF"/>
            <w:vAlign w:val="center"/>
          </w:tcPr>
          <w:p w:rsidR="00833D38" w:rsidRPr="00A14B59" w:rsidRDefault="00833D38" w:rsidP="000D1FAE">
            <w:pPr>
              <w:spacing w:before="0" w:line="276" w:lineRule="auto"/>
              <w:ind w:firstLine="0"/>
              <w:jc w:val="right"/>
              <w:rPr>
                <w:b w:val="0"/>
                <w:sz w:val="20"/>
                <w:szCs w:val="20"/>
                <w:lang w:val="en-US"/>
              </w:rPr>
            </w:pPr>
            <w:r w:rsidRPr="00A14B59">
              <w:rPr>
                <w:b w:val="0"/>
                <w:sz w:val="20"/>
                <w:szCs w:val="20"/>
                <w:lang w:val="en-US"/>
              </w:rPr>
              <w:t xml:space="preserve">7,135,964.7 </w:t>
            </w:r>
          </w:p>
        </w:tc>
        <w:tc>
          <w:tcPr>
            <w:tcW w:w="1494" w:type="dxa"/>
            <w:tcBorders>
              <w:top w:val="single" w:sz="4" w:space="0" w:color="auto"/>
              <w:left w:val="nil"/>
              <w:bottom w:val="single" w:sz="4" w:space="0" w:color="auto"/>
              <w:right w:val="single" w:sz="4" w:space="0" w:color="auto"/>
            </w:tcBorders>
            <w:shd w:val="clear" w:color="auto" w:fill="auto"/>
            <w:vAlign w:val="center"/>
          </w:tcPr>
          <w:p w:rsidR="00833D38" w:rsidRPr="00A14B59" w:rsidRDefault="00833D38" w:rsidP="000D1FAE">
            <w:pPr>
              <w:spacing w:before="0" w:line="276" w:lineRule="auto"/>
              <w:ind w:firstLine="0"/>
              <w:jc w:val="right"/>
              <w:rPr>
                <w:b w:val="0"/>
                <w:sz w:val="20"/>
                <w:szCs w:val="20"/>
                <w:lang w:val="en-US"/>
              </w:rPr>
            </w:pPr>
            <w:r w:rsidRPr="00A14B59">
              <w:rPr>
                <w:b w:val="0"/>
                <w:sz w:val="20"/>
                <w:szCs w:val="20"/>
                <w:lang w:val="en-US"/>
              </w:rPr>
              <w:t>6,940,393.6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3D38" w:rsidRPr="00A14B59" w:rsidRDefault="00833D38" w:rsidP="000D1FAE">
            <w:pPr>
              <w:spacing w:before="0" w:line="276" w:lineRule="auto"/>
              <w:ind w:firstLine="0"/>
              <w:jc w:val="right"/>
              <w:rPr>
                <w:b w:val="0"/>
                <w:sz w:val="20"/>
                <w:szCs w:val="20"/>
                <w:lang w:val="en-US"/>
              </w:rPr>
            </w:pPr>
            <w:r w:rsidRPr="00A14B59">
              <w:rPr>
                <w:b w:val="0"/>
                <w:sz w:val="20"/>
                <w:szCs w:val="20"/>
                <w:lang w:val="en-US"/>
              </w:rPr>
              <w:t>7,705,582.7</w:t>
            </w:r>
          </w:p>
        </w:tc>
      </w:tr>
      <w:tr w:rsidR="00833D38" w:rsidRPr="00A14B59" w:rsidTr="000D1FAE">
        <w:trPr>
          <w:trHeight w:val="270"/>
        </w:trPr>
        <w:tc>
          <w:tcPr>
            <w:tcW w:w="2600" w:type="dxa"/>
            <w:tcBorders>
              <w:top w:val="nil"/>
              <w:left w:val="single" w:sz="8" w:space="0" w:color="auto"/>
              <w:bottom w:val="single" w:sz="4" w:space="0" w:color="auto"/>
              <w:right w:val="single" w:sz="4" w:space="0" w:color="auto"/>
            </w:tcBorders>
            <w:shd w:val="clear" w:color="auto" w:fill="FFFFFF"/>
            <w:vAlign w:val="center"/>
            <w:hideMark/>
          </w:tcPr>
          <w:p w:rsidR="00833D38" w:rsidRPr="00A14B59" w:rsidRDefault="00833D38" w:rsidP="000D1FAE">
            <w:pPr>
              <w:spacing w:before="0" w:line="276" w:lineRule="auto"/>
              <w:ind w:firstLine="0"/>
              <w:jc w:val="left"/>
              <w:rPr>
                <w:b w:val="0"/>
                <w:i/>
                <w:iCs/>
                <w:sz w:val="20"/>
                <w:szCs w:val="20"/>
              </w:rPr>
            </w:pPr>
            <w:r w:rsidRPr="00A14B59">
              <w:rPr>
                <w:b w:val="0"/>
                <w:i/>
                <w:iCs/>
                <w:sz w:val="20"/>
                <w:szCs w:val="20"/>
              </w:rPr>
              <w:t>կապիտալ սուբվենցիաներ</w:t>
            </w:r>
          </w:p>
        </w:tc>
        <w:tc>
          <w:tcPr>
            <w:tcW w:w="1519" w:type="dxa"/>
            <w:tcBorders>
              <w:top w:val="nil"/>
              <w:left w:val="nil"/>
              <w:bottom w:val="single" w:sz="4" w:space="0" w:color="auto"/>
              <w:right w:val="single" w:sz="4" w:space="0" w:color="auto"/>
            </w:tcBorders>
            <w:shd w:val="clear" w:color="auto" w:fill="FFFFFF"/>
            <w:vAlign w:val="center"/>
          </w:tcPr>
          <w:p w:rsidR="00833D38" w:rsidRPr="00A14B59" w:rsidRDefault="00833D38" w:rsidP="000D1FAE">
            <w:pPr>
              <w:spacing w:before="0" w:line="276" w:lineRule="auto"/>
              <w:ind w:firstLine="0"/>
              <w:jc w:val="right"/>
              <w:rPr>
                <w:b w:val="0"/>
                <w:iCs/>
                <w:sz w:val="20"/>
                <w:szCs w:val="20"/>
              </w:rPr>
            </w:pPr>
            <w:r w:rsidRPr="00A14B59">
              <w:rPr>
                <w:b w:val="0"/>
                <w:iCs/>
                <w:sz w:val="20"/>
                <w:szCs w:val="20"/>
              </w:rPr>
              <w:t xml:space="preserve">6,532,408.8 </w:t>
            </w: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833D38" w:rsidRPr="00A14B59" w:rsidRDefault="00833D38" w:rsidP="000D1FAE">
            <w:pPr>
              <w:spacing w:before="0" w:line="276" w:lineRule="auto"/>
              <w:ind w:firstLine="0"/>
              <w:jc w:val="right"/>
              <w:rPr>
                <w:b w:val="0"/>
                <w:sz w:val="20"/>
                <w:szCs w:val="20"/>
                <w:lang w:val="en-US"/>
              </w:rPr>
            </w:pPr>
            <w:r w:rsidRPr="00A14B59">
              <w:rPr>
                <w:b w:val="0"/>
                <w:sz w:val="20"/>
                <w:szCs w:val="20"/>
                <w:lang w:val="en-US"/>
              </w:rPr>
              <w:t xml:space="preserve">          14,118,652.1 </w:t>
            </w:r>
          </w:p>
          <w:p w:rsidR="00833D38" w:rsidRPr="00A14B59" w:rsidRDefault="00833D38" w:rsidP="000D1FAE">
            <w:pPr>
              <w:spacing w:before="0" w:line="276" w:lineRule="auto"/>
              <w:ind w:firstLine="0"/>
              <w:jc w:val="right"/>
              <w:rPr>
                <w:b w:val="0"/>
                <w:iCs/>
                <w:sz w:val="20"/>
                <w:szCs w:val="20"/>
              </w:rPr>
            </w:pPr>
          </w:p>
        </w:tc>
        <w:tc>
          <w:tcPr>
            <w:tcW w:w="1516" w:type="dxa"/>
            <w:tcBorders>
              <w:top w:val="nil"/>
              <w:left w:val="nil"/>
              <w:bottom w:val="single" w:sz="4" w:space="0" w:color="auto"/>
              <w:right w:val="single" w:sz="4" w:space="0" w:color="auto"/>
            </w:tcBorders>
            <w:shd w:val="clear" w:color="auto" w:fill="FFFFFF"/>
            <w:vAlign w:val="center"/>
          </w:tcPr>
          <w:p w:rsidR="00833D38" w:rsidRPr="00A14B59" w:rsidRDefault="00833D38" w:rsidP="000D1FAE">
            <w:pPr>
              <w:spacing w:before="0" w:line="276" w:lineRule="auto"/>
              <w:ind w:firstLine="0"/>
              <w:jc w:val="right"/>
              <w:rPr>
                <w:b w:val="0"/>
                <w:sz w:val="20"/>
                <w:szCs w:val="20"/>
                <w:lang w:val="en-US"/>
              </w:rPr>
            </w:pPr>
            <w:r w:rsidRPr="00A14B59">
              <w:rPr>
                <w:b w:val="0"/>
                <w:sz w:val="20"/>
                <w:szCs w:val="20"/>
                <w:lang w:val="en-US"/>
              </w:rPr>
              <w:t>13,892,757.8</w:t>
            </w:r>
          </w:p>
        </w:tc>
        <w:tc>
          <w:tcPr>
            <w:tcW w:w="1494" w:type="dxa"/>
            <w:tcBorders>
              <w:top w:val="single" w:sz="4" w:space="0" w:color="auto"/>
              <w:left w:val="nil"/>
              <w:bottom w:val="single" w:sz="4" w:space="0" w:color="auto"/>
              <w:right w:val="single" w:sz="4" w:space="0" w:color="auto"/>
            </w:tcBorders>
            <w:shd w:val="clear" w:color="auto" w:fill="auto"/>
            <w:vAlign w:val="center"/>
          </w:tcPr>
          <w:p w:rsidR="00833D38" w:rsidRPr="00A14B59" w:rsidRDefault="00833D38" w:rsidP="000D1FAE">
            <w:pPr>
              <w:spacing w:before="0" w:line="276" w:lineRule="auto"/>
              <w:ind w:firstLine="0"/>
              <w:jc w:val="right"/>
              <w:rPr>
                <w:b w:val="0"/>
                <w:sz w:val="20"/>
                <w:szCs w:val="20"/>
                <w:lang w:val="en-US"/>
              </w:rPr>
            </w:pPr>
            <w:r w:rsidRPr="00A14B59">
              <w:rPr>
                <w:b w:val="0"/>
                <w:sz w:val="20"/>
                <w:szCs w:val="20"/>
                <w:lang w:val="en-US"/>
              </w:rPr>
              <w:t>18,448,434.3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3D38" w:rsidRPr="005B2BEB" w:rsidRDefault="00833D38" w:rsidP="000D1FAE">
            <w:pPr>
              <w:spacing w:before="0" w:line="276" w:lineRule="auto"/>
              <w:ind w:firstLine="0"/>
              <w:jc w:val="right"/>
              <w:rPr>
                <w:b w:val="0"/>
                <w:sz w:val="20"/>
                <w:szCs w:val="20"/>
                <w:lang w:val="en-US"/>
              </w:rPr>
            </w:pPr>
            <w:r w:rsidRPr="005B2BEB">
              <w:rPr>
                <w:b w:val="0"/>
                <w:sz w:val="20"/>
                <w:szCs w:val="20"/>
                <w:lang w:val="en-US"/>
              </w:rPr>
              <w:t>24</w:t>
            </w:r>
            <w:r>
              <w:rPr>
                <w:b w:val="0"/>
                <w:sz w:val="20"/>
                <w:szCs w:val="20"/>
                <w:lang w:val="hy-AM"/>
              </w:rPr>
              <w:t>,</w:t>
            </w:r>
            <w:r w:rsidRPr="005B2BEB">
              <w:rPr>
                <w:b w:val="0"/>
                <w:sz w:val="20"/>
                <w:szCs w:val="20"/>
                <w:lang w:val="en-US"/>
              </w:rPr>
              <w:t>077</w:t>
            </w:r>
            <w:r>
              <w:rPr>
                <w:b w:val="0"/>
                <w:sz w:val="20"/>
                <w:szCs w:val="20"/>
                <w:lang w:val="hy-AM"/>
              </w:rPr>
              <w:t>,</w:t>
            </w:r>
            <w:r w:rsidRPr="005B2BEB">
              <w:rPr>
                <w:b w:val="0"/>
                <w:sz w:val="20"/>
                <w:szCs w:val="20"/>
                <w:lang w:val="en-US"/>
              </w:rPr>
              <w:t>099.8</w:t>
            </w:r>
          </w:p>
        </w:tc>
      </w:tr>
      <w:tr w:rsidR="00833D38" w:rsidRPr="00A14B59" w:rsidTr="000D1FAE">
        <w:trPr>
          <w:trHeight w:val="825"/>
        </w:trPr>
        <w:tc>
          <w:tcPr>
            <w:tcW w:w="2600" w:type="dxa"/>
            <w:tcBorders>
              <w:top w:val="nil"/>
              <w:left w:val="single" w:sz="8" w:space="0" w:color="auto"/>
              <w:bottom w:val="single" w:sz="8" w:space="0" w:color="auto"/>
              <w:right w:val="single" w:sz="4" w:space="0" w:color="auto"/>
            </w:tcBorders>
            <w:shd w:val="clear" w:color="auto" w:fill="DBE5F1"/>
            <w:vAlign w:val="center"/>
            <w:hideMark/>
          </w:tcPr>
          <w:p w:rsidR="00833D38" w:rsidRPr="00A14B59" w:rsidRDefault="00833D38" w:rsidP="000D1FAE">
            <w:pPr>
              <w:spacing w:before="0" w:line="276" w:lineRule="auto"/>
              <w:ind w:firstLine="0"/>
              <w:jc w:val="left"/>
              <w:rPr>
                <w:bCs/>
                <w:sz w:val="20"/>
                <w:szCs w:val="20"/>
              </w:rPr>
            </w:pPr>
            <w:r w:rsidRPr="00A14B59">
              <w:rPr>
                <w:bCs/>
                <w:sz w:val="20"/>
                <w:szCs w:val="20"/>
              </w:rPr>
              <w:t>Սահմանամերձ հա</w:t>
            </w:r>
            <w:r w:rsidRPr="00A14B59">
              <w:rPr>
                <w:bCs/>
                <w:sz w:val="20"/>
                <w:szCs w:val="20"/>
              </w:rPr>
              <w:softHyphen/>
              <w:t>մայնք</w:t>
            </w:r>
            <w:r w:rsidRPr="00A14B59">
              <w:rPr>
                <w:bCs/>
                <w:sz w:val="20"/>
                <w:szCs w:val="20"/>
              </w:rPr>
              <w:softHyphen/>
              <w:t>ների սոցիալական աջակցության մասին ՀՀ օրենքի կիրարկմամբ պայմանավորված պե</w:t>
            </w:r>
            <w:r w:rsidRPr="00A14B59">
              <w:rPr>
                <w:bCs/>
                <w:sz w:val="20"/>
                <w:szCs w:val="20"/>
              </w:rPr>
              <w:softHyphen/>
              <w:t>տա</w:t>
            </w:r>
            <w:r w:rsidRPr="00A14B59">
              <w:rPr>
                <w:bCs/>
                <w:sz w:val="20"/>
                <w:szCs w:val="20"/>
              </w:rPr>
              <w:softHyphen/>
              <w:t>կան աջակցություն սահմանամերձ համայնքներին</w:t>
            </w:r>
          </w:p>
        </w:tc>
        <w:tc>
          <w:tcPr>
            <w:tcW w:w="1519" w:type="dxa"/>
            <w:tcBorders>
              <w:top w:val="nil"/>
              <w:left w:val="nil"/>
              <w:bottom w:val="single" w:sz="8" w:space="0" w:color="auto"/>
              <w:right w:val="single" w:sz="4" w:space="0" w:color="auto"/>
            </w:tcBorders>
            <w:shd w:val="clear" w:color="auto" w:fill="DBE5F1"/>
            <w:vAlign w:val="center"/>
          </w:tcPr>
          <w:p w:rsidR="00833D38" w:rsidRPr="00A14B59" w:rsidRDefault="00833D38" w:rsidP="000D1FAE">
            <w:pPr>
              <w:spacing w:before="0" w:line="276" w:lineRule="auto"/>
              <w:ind w:firstLine="0"/>
              <w:jc w:val="right"/>
              <w:rPr>
                <w:bCs/>
                <w:iCs/>
                <w:sz w:val="20"/>
                <w:szCs w:val="20"/>
              </w:rPr>
            </w:pPr>
            <w:r w:rsidRPr="00A14B59">
              <w:rPr>
                <w:bCs/>
                <w:iCs/>
                <w:sz w:val="20"/>
                <w:szCs w:val="20"/>
              </w:rPr>
              <w:t xml:space="preserve">731,344.2 </w:t>
            </w:r>
          </w:p>
        </w:tc>
        <w:tc>
          <w:tcPr>
            <w:tcW w:w="1502" w:type="dxa"/>
            <w:tcBorders>
              <w:top w:val="single" w:sz="4" w:space="0" w:color="auto"/>
              <w:left w:val="single" w:sz="4" w:space="0" w:color="auto"/>
              <w:bottom w:val="single" w:sz="4" w:space="0" w:color="auto"/>
              <w:right w:val="single" w:sz="4" w:space="0" w:color="auto"/>
            </w:tcBorders>
            <w:shd w:val="clear" w:color="auto" w:fill="DBE5F1"/>
            <w:vAlign w:val="center"/>
          </w:tcPr>
          <w:p w:rsidR="00833D38" w:rsidRPr="00A14B59" w:rsidRDefault="00833D38" w:rsidP="000D1FAE">
            <w:pPr>
              <w:spacing w:before="0" w:line="276" w:lineRule="auto"/>
              <w:ind w:firstLine="0"/>
              <w:jc w:val="right"/>
              <w:rPr>
                <w:bCs/>
                <w:iCs/>
                <w:sz w:val="20"/>
                <w:szCs w:val="20"/>
              </w:rPr>
            </w:pPr>
            <w:r w:rsidRPr="00A14B59">
              <w:rPr>
                <w:bCs/>
                <w:sz w:val="20"/>
                <w:szCs w:val="20"/>
                <w:lang w:val="en-US"/>
              </w:rPr>
              <w:t>754</w:t>
            </w:r>
            <w:r w:rsidRPr="00A14B59">
              <w:rPr>
                <w:bCs/>
                <w:sz w:val="20"/>
                <w:szCs w:val="20"/>
              </w:rPr>
              <w:t>,</w:t>
            </w:r>
            <w:r w:rsidRPr="00A14B59">
              <w:rPr>
                <w:bCs/>
                <w:sz w:val="20"/>
                <w:szCs w:val="20"/>
                <w:lang w:val="en-US"/>
              </w:rPr>
              <w:t>154</w:t>
            </w:r>
            <w:r w:rsidRPr="00A14B59">
              <w:rPr>
                <w:bCs/>
                <w:sz w:val="20"/>
                <w:szCs w:val="20"/>
              </w:rPr>
              <w:t>.</w:t>
            </w:r>
            <w:r w:rsidRPr="00A14B59">
              <w:rPr>
                <w:bCs/>
                <w:sz w:val="20"/>
                <w:szCs w:val="20"/>
                <w:lang w:val="en-US"/>
              </w:rPr>
              <w:t>5</w:t>
            </w:r>
            <w:r w:rsidRPr="00A14B59">
              <w:rPr>
                <w:bCs/>
                <w:sz w:val="20"/>
                <w:szCs w:val="20"/>
              </w:rPr>
              <w:t xml:space="preserve"> </w:t>
            </w:r>
          </w:p>
        </w:tc>
        <w:tc>
          <w:tcPr>
            <w:tcW w:w="1516" w:type="dxa"/>
            <w:tcBorders>
              <w:top w:val="nil"/>
              <w:left w:val="nil"/>
              <w:bottom w:val="single" w:sz="8" w:space="0" w:color="auto"/>
              <w:right w:val="single" w:sz="4" w:space="0" w:color="auto"/>
            </w:tcBorders>
            <w:shd w:val="clear" w:color="auto" w:fill="DBE5F1"/>
            <w:vAlign w:val="center"/>
          </w:tcPr>
          <w:p w:rsidR="00833D38" w:rsidRPr="00A14B59" w:rsidRDefault="00833D38" w:rsidP="000D1FAE">
            <w:pPr>
              <w:spacing w:before="0" w:line="276" w:lineRule="auto"/>
              <w:ind w:firstLine="0"/>
              <w:jc w:val="right"/>
              <w:rPr>
                <w:bCs/>
                <w:iCs/>
                <w:sz w:val="20"/>
                <w:szCs w:val="20"/>
              </w:rPr>
            </w:pPr>
            <w:r w:rsidRPr="00A14B59">
              <w:rPr>
                <w:bCs/>
                <w:sz w:val="20"/>
                <w:szCs w:val="20"/>
              </w:rPr>
              <w:t>927</w:t>
            </w:r>
            <w:r w:rsidRPr="00A14B59">
              <w:rPr>
                <w:bCs/>
                <w:sz w:val="20"/>
                <w:szCs w:val="20"/>
                <w:lang w:val="en-US"/>
              </w:rPr>
              <w:t>,</w:t>
            </w:r>
            <w:r w:rsidRPr="00A14B59">
              <w:rPr>
                <w:bCs/>
                <w:sz w:val="20"/>
                <w:szCs w:val="20"/>
              </w:rPr>
              <w:t>445.2</w:t>
            </w:r>
          </w:p>
        </w:tc>
        <w:tc>
          <w:tcPr>
            <w:tcW w:w="1494" w:type="dxa"/>
            <w:tcBorders>
              <w:top w:val="single" w:sz="4" w:space="0" w:color="auto"/>
              <w:left w:val="nil"/>
              <w:bottom w:val="single" w:sz="8" w:space="0" w:color="auto"/>
              <w:right w:val="single" w:sz="8" w:space="0" w:color="auto"/>
            </w:tcBorders>
            <w:shd w:val="clear" w:color="000000" w:fill="DBE5F1"/>
            <w:vAlign w:val="center"/>
          </w:tcPr>
          <w:p w:rsidR="00833D38" w:rsidRPr="00A14B59" w:rsidRDefault="00833D38" w:rsidP="000D1FAE">
            <w:pPr>
              <w:spacing w:before="0" w:line="276" w:lineRule="auto"/>
              <w:ind w:firstLine="0"/>
              <w:jc w:val="right"/>
              <w:rPr>
                <w:bCs/>
                <w:sz w:val="20"/>
                <w:szCs w:val="20"/>
              </w:rPr>
            </w:pPr>
            <w:r w:rsidRPr="00A14B59">
              <w:rPr>
                <w:bCs/>
                <w:sz w:val="20"/>
                <w:szCs w:val="20"/>
              </w:rPr>
              <w:t>1,155,205.8</w:t>
            </w:r>
          </w:p>
        </w:tc>
        <w:tc>
          <w:tcPr>
            <w:tcW w:w="1560" w:type="dxa"/>
            <w:tcBorders>
              <w:top w:val="single" w:sz="4" w:space="0" w:color="auto"/>
              <w:left w:val="nil"/>
              <w:bottom w:val="single" w:sz="8" w:space="0" w:color="auto"/>
              <w:right w:val="single" w:sz="8" w:space="0" w:color="auto"/>
            </w:tcBorders>
            <w:shd w:val="clear" w:color="000000" w:fill="DBE5F1"/>
            <w:noWrap/>
            <w:vAlign w:val="center"/>
          </w:tcPr>
          <w:p w:rsidR="00833D38" w:rsidRPr="00A14B59" w:rsidRDefault="00833D38" w:rsidP="000D1FAE">
            <w:pPr>
              <w:spacing w:before="0" w:line="276" w:lineRule="auto"/>
              <w:ind w:firstLine="0"/>
              <w:jc w:val="right"/>
              <w:rPr>
                <w:bCs/>
                <w:sz w:val="20"/>
                <w:szCs w:val="20"/>
              </w:rPr>
            </w:pPr>
            <w:r w:rsidRPr="00A14B59">
              <w:rPr>
                <w:color w:val="000000"/>
                <w:sz w:val="20"/>
                <w:szCs w:val="20"/>
                <w:lang w:val="en-US"/>
              </w:rPr>
              <w:t>973,672.6</w:t>
            </w:r>
          </w:p>
        </w:tc>
      </w:tr>
    </w:tbl>
    <w:p w:rsidR="00833D38" w:rsidRPr="00A14B59" w:rsidRDefault="00833D38" w:rsidP="00833D38"/>
    <w:p w:rsidR="00833D38" w:rsidRPr="00A14B59" w:rsidRDefault="00833D38" w:rsidP="00833D38">
      <w:pPr>
        <w:spacing w:before="0" w:line="276" w:lineRule="auto"/>
        <w:ind w:firstLine="475"/>
        <w:contextualSpacing w:val="0"/>
        <w:rPr>
          <w:b w:val="0"/>
          <w:szCs w:val="22"/>
          <w:lang w:val="af-ZA" w:eastAsia="en-US"/>
        </w:rPr>
      </w:pPr>
      <w:r w:rsidRPr="00A14B59">
        <w:rPr>
          <w:b w:val="0"/>
          <w:szCs w:val="22"/>
          <w:lang w:val="af-ZA" w:eastAsia="en-US"/>
        </w:rPr>
        <w:t xml:space="preserve">2023 </w:t>
      </w:r>
      <w:r w:rsidRPr="00A14B59">
        <w:rPr>
          <w:b w:val="0"/>
          <w:szCs w:val="22"/>
          <w:lang w:val="hy-AM" w:eastAsia="en-US"/>
        </w:rPr>
        <w:t>թվակա</w:t>
      </w:r>
      <w:r w:rsidRPr="00A14B59">
        <w:rPr>
          <w:rFonts w:cs="Sylfaen"/>
          <w:b w:val="0"/>
          <w:szCs w:val="22"/>
          <w:lang w:val="hy-AM" w:eastAsia="en-US"/>
        </w:rPr>
        <w:t>նի</w:t>
      </w:r>
      <w:r w:rsidRPr="00A14B59">
        <w:rPr>
          <w:b w:val="0"/>
          <w:szCs w:val="22"/>
          <w:lang w:val="af-ZA" w:eastAsia="en-US"/>
        </w:rPr>
        <w:t xml:space="preserve"> </w:t>
      </w:r>
      <w:r w:rsidRPr="00A14B59">
        <w:rPr>
          <w:rFonts w:cs="Sylfaen"/>
          <w:b w:val="0"/>
          <w:szCs w:val="22"/>
          <w:lang w:val="hy-AM" w:eastAsia="en-US"/>
        </w:rPr>
        <w:t>ծախսերի</w:t>
      </w:r>
      <w:r w:rsidRPr="00A14B59">
        <w:rPr>
          <w:b w:val="0"/>
          <w:szCs w:val="22"/>
          <w:lang w:val="af-ZA" w:eastAsia="en-US"/>
        </w:rPr>
        <w:t xml:space="preserve"> </w:t>
      </w:r>
      <w:r w:rsidRPr="00A14B59">
        <w:rPr>
          <w:rFonts w:cs="Sylfaen"/>
          <w:b w:val="0"/>
          <w:szCs w:val="22"/>
          <w:lang w:val="hy-AM" w:eastAsia="en-US"/>
        </w:rPr>
        <w:t>ընդհանուր</w:t>
      </w:r>
      <w:r w:rsidRPr="00A14B59">
        <w:rPr>
          <w:b w:val="0"/>
          <w:szCs w:val="22"/>
          <w:lang w:val="af-ZA" w:eastAsia="en-US"/>
        </w:rPr>
        <w:t xml:space="preserve"> </w:t>
      </w:r>
      <w:r w:rsidRPr="00A14B59">
        <w:rPr>
          <w:rFonts w:cs="Sylfaen"/>
          <w:b w:val="0"/>
          <w:szCs w:val="22"/>
          <w:lang w:val="hy-AM" w:eastAsia="en-US"/>
        </w:rPr>
        <w:t>ծավալի</w:t>
      </w:r>
      <w:r w:rsidRPr="00A14B59">
        <w:rPr>
          <w:b w:val="0"/>
          <w:szCs w:val="22"/>
          <w:lang w:val="af-ZA" w:eastAsia="en-US"/>
        </w:rPr>
        <w:t xml:space="preserve"> </w:t>
      </w:r>
      <w:r>
        <w:rPr>
          <w:b w:val="0"/>
          <w:szCs w:val="22"/>
          <w:lang w:val="hy-AM" w:eastAsia="en-US"/>
        </w:rPr>
        <w:t>21.</w:t>
      </w:r>
      <w:r w:rsidRPr="007455FC">
        <w:rPr>
          <w:b w:val="0"/>
          <w:szCs w:val="22"/>
          <w:lang w:val="af-ZA" w:eastAsia="en-US"/>
        </w:rPr>
        <w:t>5</w:t>
      </w:r>
      <w:r w:rsidRPr="00A14B59">
        <w:rPr>
          <w:b w:val="0"/>
          <w:szCs w:val="22"/>
          <w:lang w:val="af-ZA" w:eastAsia="en-US"/>
        </w:rPr>
        <w:t xml:space="preserve"> %-</w:t>
      </w:r>
      <w:r w:rsidRPr="00A14B59">
        <w:rPr>
          <w:rFonts w:cs="Sylfaen"/>
          <w:b w:val="0"/>
          <w:szCs w:val="22"/>
          <w:lang w:val="hy-AM" w:eastAsia="en-US"/>
        </w:rPr>
        <w:t>ը</w:t>
      </w:r>
      <w:r w:rsidRPr="00A14B59">
        <w:rPr>
          <w:b w:val="0"/>
          <w:szCs w:val="22"/>
          <w:lang w:val="af-ZA" w:eastAsia="en-US"/>
        </w:rPr>
        <w:t xml:space="preserve"> </w:t>
      </w:r>
      <w:r w:rsidRPr="00A14B59">
        <w:rPr>
          <w:rFonts w:cs="Sylfaen"/>
          <w:b w:val="0"/>
          <w:szCs w:val="22"/>
          <w:lang w:val="hy-AM" w:eastAsia="en-US"/>
        </w:rPr>
        <w:t>կկազմեն</w:t>
      </w:r>
      <w:r w:rsidRPr="00A14B59">
        <w:rPr>
          <w:rFonts w:cs="Sylfaen"/>
          <w:b w:val="0"/>
          <w:szCs w:val="22"/>
          <w:lang w:val="af-ZA" w:eastAsia="en-US"/>
        </w:rPr>
        <w:t xml:space="preserve"> </w:t>
      </w:r>
      <w:r w:rsidRPr="00A14B59">
        <w:rPr>
          <w:rFonts w:cs="Sylfaen"/>
          <w:b w:val="0"/>
          <w:szCs w:val="22"/>
          <w:lang w:val="hy-AM" w:eastAsia="en-US"/>
        </w:rPr>
        <w:t>ոչ</w:t>
      </w:r>
      <w:r w:rsidRPr="00A14B59">
        <w:rPr>
          <w:rFonts w:cs="Sylfaen"/>
          <w:b w:val="0"/>
          <w:szCs w:val="22"/>
          <w:lang w:val="af-ZA" w:eastAsia="en-US"/>
        </w:rPr>
        <w:t xml:space="preserve"> </w:t>
      </w:r>
      <w:r w:rsidRPr="00A14B59">
        <w:rPr>
          <w:rFonts w:cs="Sylfaen"/>
          <w:b w:val="0"/>
          <w:szCs w:val="22"/>
          <w:lang w:val="hy-AM" w:eastAsia="en-US"/>
        </w:rPr>
        <w:t>ֆինանսական</w:t>
      </w:r>
      <w:r w:rsidRPr="00A14B59">
        <w:rPr>
          <w:rFonts w:cs="Sylfaen"/>
          <w:b w:val="0"/>
          <w:szCs w:val="22"/>
          <w:lang w:val="af-ZA" w:eastAsia="en-US"/>
        </w:rPr>
        <w:t xml:space="preserve"> </w:t>
      </w:r>
      <w:r w:rsidRPr="00A14B59">
        <w:rPr>
          <w:rFonts w:cs="Sylfaen"/>
          <w:b w:val="0"/>
          <w:szCs w:val="22"/>
          <w:lang w:val="hy-AM" w:eastAsia="en-US"/>
        </w:rPr>
        <w:t>ակտիվ</w:t>
      </w:r>
      <w:r w:rsidRPr="00A14B59">
        <w:rPr>
          <w:rFonts w:cs="Sylfaen"/>
          <w:b w:val="0"/>
          <w:szCs w:val="22"/>
          <w:lang w:val="af-ZA" w:eastAsia="en-US"/>
        </w:rPr>
        <w:softHyphen/>
      </w:r>
      <w:r w:rsidRPr="00A14B59">
        <w:rPr>
          <w:rFonts w:cs="Sylfaen"/>
          <w:b w:val="0"/>
          <w:szCs w:val="22"/>
          <w:lang w:val="hy-AM" w:eastAsia="en-US"/>
        </w:rPr>
        <w:t>ների</w:t>
      </w:r>
      <w:r w:rsidRPr="00A14B59">
        <w:rPr>
          <w:rFonts w:cs="Sylfaen"/>
          <w:b w:val="0"/>
          <w:szCs w:val="22"/>
          <w:lang w:val="af-ZA" w:eastAsia="en-US"/>
        </w:rPr>
        <w:t xml:space="preserve"> </w:t>
      </w:r>
      <w:r w:rsidRPr="00A14B59">
        <w:rPr>
          <w:rFonts w:cs="Sylfaen"/>
          <w:b w:val="0"/>
          <w:szCs w:val="22"/>
          <w:lang w:val="hy-AM" w:eastAsia="en-US"/>
        </w:rPr>
        <w:t>գծով</w:t>
      </w:r>
      <w:r w:rsidRPr="00A14B59">
        <w:rPr>
          <w:b w:val="0"/>
          <w:szCs w:val="22"/>
          <w:lang w:val="af-ZA" w:eastAsia="en-US"/>
        </w:rPr>
        <w:t xml:space="preserve"> </w:t>
      </w:r>
      <w:r w:rsidRPr="00A14B59">
        <w:rPr>
          <w:rFonts w:cs="Sylfaen"/>
          <w:b w:val="0"/>
          <w:szCs w:val="22"/>
          <w:lang w:val="hy-AM" w:eastAsia="en-US"/>
        </w:rPr>
        <w:t>ծախսերը</w:t>
      </w:r>
      <w:r w:rsidRPr="00A14B59">
        <w:rPr>
          <w:rFonts w:cs="Sylfaen"/>
          <w:b w:val="0"/>
          <w:szCs w:val="22"/>
          <w:lang w:val="af-ZA" w:eastAsia="en-US"/>
        </w:rPr>
        <w:t xml:space="preserve">, </w:t>
      </w:r>
      <w:r w:rsidRPr="00A14B59">
        <w:rPr>
          <w:b w:val="0"/>
          <w:szCs w:val="22"/>
          <w:lang w:val="af-ZA" w:eastAsia="en-US"/>
        </w:rPr>
        <w:t xml:space="preserve">(2022 </w:t>
      </w:r>
      <w:r w:rsidRPr="00A14B59">
        <w:rPr>
          <w:b w:val="0"/>
          <w:szCs w:val="22"/>
          <w:lang w:val="hy-AM" w:eastAsia="en-US"/>
        </w:rPr>
        <w:t>թվակա</w:t>
      </w:r>
      <w:r w:rsidRPr="00A14B59">
        <w:rPr>
          <w:rFonts w:cs="Sylfaen"/>
          <w:b w:val="0"/>
          <w:szCs w:val="22"/>
          <w:lang w:val="hy-AM" w:eastAsia="en-US"/>
        </w:rPr>
        <w:t>նին</w:t>
      </w:r>
      <w:r w:rsidRPr="00A14B59">
        <w:rPr>
          <w:b w:val="0"/>
          <w:szCs w:val="22"/>
          <w:lang w:val="af-ZA" w:eastAsia="en-US"/>
        </w:rPr>
        <w:t xml:space="preserve"> </w:t>
      </w:r>
      <w:r w:rsidRPr="00A14B59">
        <w:rPr>
          <w:rFonts w:cs="Sylfaen"/>
          <w:b w:val="0"/>
          <w:szCs w:val="22"/>
          <w:lang w:val="hy-AM" w:eastAsia="en-US"/>
        </w:rPr>
        <w:t>այդ</w:t>
      </w:r>
      <w:r w:rsidRPr="00A14B59">
        <w:rPr>
          <w:b w:val="0"/>
          <w:szCs w:val="22"/>
          <w:lang w:val="af-ZA" w:eastAsia="en-US"/>
        </w:rPr>
        <w:t xml:space="preserve"> </w:t>
      </w:r>
      <w:r w:rsidRPr="00A14B59">
        <w:rPr>
          <w:rFonts w:cs="Sylfaen"/>
          <w:b w:val="0"/>
          <w:szCs w:val="22"/>
          <w:lang w:val="hy-AM" w:eastAsia="en-US"/>
        </w:rPr>
        <w:t>ցուցանիշը</w:t>
      </w:r>
      <w:r w:rsidRPr="00A14B59">
        <w:rPr>
          <w:rFonts w:cs="Sylfaen"/>
          <w:b w:val="0"/>
          <w:szCs w:val="22"/>
          <w:lang w:val="af-ZA" w:eastAsia="en-US"/>
        </w:rPr>
        <w:t xml:space="preserve"> </w:t>
      </w:r>
      <w:r w:rsidRPr="00A14B59">
        <w:rPr>
          <w:rFonts w:cs="Sylfaen"/>
          <w:b w:val="0"/>
          <w:szCs w:val="22"/>
          <w:lang w:val="hy-AM" w:eastAsia="en-US"/>
        </w:rPr>
        <w:t>ծրագրվել</w:t>
      </w:r>
      <w:r w:rsidRPr="00A14B59">
        <w:rPr>
          <w:b w:val="0"/>
          <w:szCs w:val="22"/>
          <w:lang w:val="af-ZA" w:eastAsia="en-US"/>
        </w:rPr>
        <w:t xml:space="preserve"> </w:t>
      </w:r>
      <w:r w:rsidRPr="00A14B59">
        <w:rPr>
          <w:rFonts w:cs="Sylfaen"/>
          <w:b w:val="0"/>
          <w:szCs w:val="22"/>
          <w:lang w:val="hy-AM" w:eastAsia="en-US"/>
        </w:rPr>
        <w:t>է</w:t>
      </w:r>
      <w:r w:rsidRPr="00A14B59">
        <w:rPr>
          <w:b w:val="0"/>
          <w:szCs w:val="22"/>
          <w:lang w:val="af-ZA" w:eastAsia="en-US"/>
        </w:rPr>
        <w:t xml:space="preserve"> </w:t>
      </w:r>
      <w:r w:rsidRPr="00A14B59">
        <w:rPr>
          <w:b w:val="0"/>
          <w:szCs w:val="22"/>
          <w:lang w:val="hy-AM" w:eastAsia="en-US"/>
        </w:rPr>
        <w:t>15.65</w:t>
      </w:r>
      <w:r w:rsidRPr="00A14B59">
        <w:rPr>
          <w:b w:val="0"/>
          <w:szCs w:val="22"/>
          <w:lang w:val="af-ZA" w:eastAsia="en-US"/>
        </w:rPr>
        <w:t xml:space="preserve">%): </w:t>
      </w:r>
    </w:p>
    <w:p w:rsidR="00833D38" w:rsidRPr="00A14B59" w:rsidRDefault="00833D38" w:rsidP="00833D38">
      <w:pPr>
        <w:spacing w:line="276" w:lineRule="auto"/>
        <w:ind w:firstLine="475"/>
        <w:rPr>
          <w:b w:val="0"/>
          <w:lang w:val="af-ZA"/>
        </w:rPr>
      </w:pPr>
    </w:p>
    <w:p w:rsidR="00833D38" w:rsidRPr="00A14B59" w:rsidRDefault="00833D38" w:rsidP="00833D38">
      <w:pPr>
        <w:spacing w:line="276" w:lineRule="auto"/>
        <w:ind w:firstLine="475"/>
        <w:rPr>
          <w:b w:val="0"/>
          <w:lang w:val="af-ZA"/>
        </w:rPr>
      </w:pPr>
    </w:p>
    <w:p w:rsidR="00833D38" w:rsidRPr="00A14B59" w:rsidRDefault="00833D38" w:rsidP="00833D38">
      <w:pPr>
        <w:spacing w:line="276" w:lineRule="auto"/>
        <w:ind w:firstLine="475"/>
        <w:rPr>
          <w:b w:val="0"/>
          <w:lang w:val="af-ZA"/>
        </w:rPr>
      </w:pPr>
      <w:r w:rsidRPr="00A14B59">
        <w:rPr>
          <w:b w:val="0"/>
          <w:lang w:val="af-ZA"/>
        </w:rPr>
        <w:t>20</w:t>
      </w:r>
      <w:r w:rsidRPr="00A14B59">
        <w:rPr>
          <w:b w:val="0"/>
          <w:lang w:val="hy-AM"/>
        </w:rPr>
        <w:t>2</w:t>
      </w:r>
      <w:r w:rsidRPr="00A14B59">
        <w:rPr>
          <w:b w:val="0"/>
          <w:lang w:val="af-ZA"/>
        </w:rPr>
        <w:t xml:space="preserve">3 </w:t>
      </w:r>
      <w:r w:rsidRPr="00A14B59">
        <w:rPr>
          <w:b w:val="0"/>
          <w:lang w:val="hy-AM"/>
        </w:rPr>
        <w:t>թվակա</w:t>
      </w:r>
      <w:r w:rsidRPr="00A14B59">
        <w:rPr>
          <w:rFonts w:cs="Sylfaen"/>
          <w:b w:val="0"/>
          <w:lang w:val="hy-AM"/>
        </w:rPr>
        <w:t>նի</w:t>
      </w:r>
      <w:r w:rsidRPr="00A14B59">
        <w:rPr>
          <w:b w:val="0"/>
          <w:lang w:val="af-ZA"/>
        </w:rPr>
        <w:t xml:space="preserve"> </w:t>
      </w:r>
      <w:r w:rsidRPr="00A14B59">
        <w:rPr>
          <w:rFonts w:cs="Sylfaen"/>
          <w:b w:val="0"/>
          <w:lang w:val="hy-AM"/>
        </w:rPr>
        <w:t>ընթացքում</w:t>
      </w:r>
      <w:r w:rsidRPr="00A14B59">
        <w:rPr>
          <w:rFonts w:cs="Sylfaen"/>
          <w:b w:val="0"/>
          <w:lang w:val="af-ZA"/>
        </w:rPr>
        <w:t xml:space="preserve"> </w:t>
      </w:r>
      <w:r w:rsidRPr="00A14B59">
        <w:rPr>
          <w:rFonts w:cs="Sylfaen"/>
          <w:b w:val="0"/>
          <w:lang w:val="hy-AM"/>
        </w:rPr>
        <w:t>ոչ</w:t>
      </w:r>
      <w:r w:rsidRPr="00A14B59">
        <w:rPr>
          <w:rFonts w:cs="Sylfaen"/>
          <w:b w:val="0"/>
          <w:lang w:val="af-ZA"/>
        </w:rPr>
        <w:t xml:space="preserve"> </w:t>
      </w:r>
      <w:r w:rsidRPr="00A14B59">
        <w:rPr>
          <w:rFonts w:cs="Sylfaen"/>
          <w:b w:val="0"/>
          <w:lang w:val="hy-AM"/>
        </w:rPr>
        <w:t>ֆինանսական</w:t>
      </w:r>
      <w:r w:rsidRPr="00A14B59">
        <w:rPr>
          <w:rFonts w:cs="Sylfaen"/>
          <w:b w:val="0"/>
          <w:lang w:val="af-ZA"/>
        </w:rPr>
        <w:t xml:space="preserve"> </w:t>
      </w:r>
      <w:r w:rsidRPr="00A14B59">
        <w:rPr>
          <w:rFonts w:cs="Sylfaen"/>
          <w:b w:val="0"/>
          <w:lang w:val="hy-AM"/>
        </w:rPr>
        <w:t>ակտիվ</w:t>
      </w:r>
      <w:r w:rsidRPr="00A14B59">
        <w:rPr>
          <w:rFonts w:cs="Sylfaen"/>
          <w:b w:val="0"/>
          <w:lang w:val="af-ZA"/>
        </w:rPr>
        <w:softHyphen/>
      </w:r>
      <w:r w:rsidRPr="00A14B59">
        <w:rPr>
          <w:rFonts w:cs="Sylfaen"/>
          <w:b w:val="0"/>
          <w:lang w:val="hy-AM"/>
        </w:rPr>
        <w:t>ների</w:t>
      </w:r>
      <w:r w:rsidRPr="00A14B59">
        <w:rPr>
          <w:rFonts w:cs="Sylfaen"/>
          <w:b w:val="0"/>
          <w:lang w:val="af-ZA"/>
        </w:rPr>
        <w:t xml:space="preserve"> </w:t>
      </w:r>
      <w:r w:rsidRPr="00A14B59">
        <w:rPr>
          <w:rFonts w:cs="Sylfaen"/>
          <w:b w:val="0"/>
          <w:lang w:val="hy-AM"/>
        </w:rPr>
        <w:t>գծով</w:t>
      </w:r>
      <w:r w:rsidRPr="00A14B59">
        <w:rPr>
          <w:rFonts w:cs="Sylfaen"/>
          <w:b w:val="0"/>
          <w:lang w:val="af-ZA"/>
        </w:rPr>
        <w:t xml:space="preserve"> </w:t>
      </w:r>
      <w:r w:rsidRPr="00A14B59">
        <w:rPr>
          <w:rFonts w:cs="Sylfaen"/>
          <w:b w:val="0"/>
          <w:lang w:val="hy-AM"/>
        </w:rPr>
        <w:t>ծախսերի</w:t>
      </w:r>
      <w:r w:rsidRPr="00A14B59">
        <w:rPr>
          <w:b w:val="0"/>
          <w:lang w:val="af-ZA"/>
        </w:rPr>
        <w:t xml:space="preserve"> </w:t>
      </w:r>
      <w:r w:rsidRPr="00A14B59">
        <w:rPr>
          <w:b w:val="0"/>
          <w:lang w:val="hy-AM"/>
        </w:rPr>
        <w:t xml:space="preserve">ֆինանսավորման կառուցվածքում արձանագրվում է ներքին աղբյուրների ծավալի </w:t>
      </w:r>
      <w:r w:rsidRPr="00A14B59">
        <w:rPr>
          <w:b w:val="0"/>
        </w:rPr>
        <w:t>ավելացում</w:t>
      </w:r>
      <w:r w:rsidRPr="00A14B59">
        <w:rPr>
          <w:b w:val="0"/>
          <w:lang w:val="af-ZA"/>
        </w:rPr>
        <w:t xml:space="preserve">, </w:t>
      </w:r>
      <w:r w:rsidRPr="00A14B59">
        <w:rPr>
          <w:b w:val="0"/>
          <w:lang w:val="en-US"/>
        </w:rPr>
        <w:t>իսկ</w:t>
      </w:r>
      <w:r w:rsidRPr="00A14B59">
        <w:rPr>
          <w:b w:val="0"/>
          <w:lang w:val="af-ZA"/>
        </w:rPr>
        <w:t xml:space="preserve"> </w:t>
      </w:r>
      <w:r w:rsidRPr="00A14B59">
        <w:rPr>
          <w:b w:val="0"/>
          <w:lang w:val="hy-AM"/>
        </w:rPr>
        <w:t>արտաքին աղբյուրների ծավալները նվազում:</w:t>
      </w:r>
      <w:r w:rsidRPr="00A14B59">
        <w:rPr>
          <w:b w:val="0"/>
          <w:lang w:val="af-ZA"/>
        </w:rPr>
        <w:t xml:space="preserve"> </w:t>
      </w:r>
    </w:p>
    <w:p w:rsidR="00833D38" w:rsidRPr="00A14B59" w:rsidRDefault="00833D38" w:rsidP="00833D38">
      <w:pPr>
        <w:spacing w:line="276" w:lineRule="auto"/>
        <w:ind w:firstLine="475"/>
        <w:jc w:val="center"/>
        <w:rPr>
          <w:rFonts w:eastAsia="Calibri"/>
          <w:b w:val="0"/>
          <w:i/>
          <w:iCs/>
          <w:color w:val="000000"/>
          <w:lang w:val="hy-AM"/>
        </w:rPr>
      </w:pPr>
    </w:p>
    <w:p w:rsidR="00833D38" w:rsidRPr="00A14B59" w:rsidRDefault="00833D38" w:rsidP="00833D38">
      <w:pPr>
        <w:spacing w:after="200"/>
        <w:rPr>
          <w:rFonts w:cs="Sylfaen"/>
          <w:b w:val="0"/>
          <w:bCs/>
          <w:color w:val="5B9BD5"/>
          <w:sz w:val="18"/>
          <w:szCs w:val="18"/>
          <w:lang w:val="hy-AM"/>
        </w:rPr>
      </w:pPr>
      <w:bookmarkStart w:id="296" w:name="_Toc115255405"/>
      <w:bookmarkStart w:id="297" w:name="_Toc120805290"/>
      <w:r w:rsidRPr="00A14B59">
        <w:rPr>
          <w:b w:val="0"/>
          <w:bCs/>
          <w:color w:val="5B9BD5"/>
          <w:sz w:val="18"/>
          <w:szCs w:val="18"/>
          <w:lang w:val="hy-AM"/>
        </w:rPr>
        <w:t xml:space="preserve">Գծապատկեր </w:t>
      </w:r>
      <w:r w:rsidRPr="00A14B59">
        <w:rPr>
          <w:b w:val="0"/>
          <w:bCs/>
          <w:color w:val="5B9BD5"/>
          <w:sz w:val="18"/>
          <w:szCs w:val="18"/>
        </w:rPr>
        <w:fldChar w:fldCharType="begin"/>
      </w:r>
      <w:r w:rsidRPr="00A14B59">
        <w:rPr>
          <w:b w:val="0"/>
          <w:bCs/>
          <w:color w:val="5B9BD5"/>
          <w:sz w:val="18"/>
          <w:szCs w:val="18"/>
          <w:lang w:val="hy-AM"/>
        </w:rPr>
        <w:instrText xml:space="preserve"> SEQ Գծապատկեր \* ARABIC </w:instrText>
      </w:r>
      <w:r w:rsidRPr="00A14B59">
        <w:rPr>
          <w:b w:val="0"/>
          <w:bCs/>
          <w:color w:val="5B9BD5"/>
          <w:sz w:val="18"/>
          <w:szCs w:val="18"/>
        </w:rPr>
        <w:fldChar w:fldCharType="separate"/>
      </w:r>
      <w:r w:rsidR="008177DF">
        <w:rPr>
          <w:b w:val="0"/>
          <w:bCs/>
          <w:noProof/>
          <w:color w:val="5B9BD5"/>
          <w:sz w:val="18"/>
          <w:szCs w:val="18"/>
          <w:lang w:val="hy-AM"/>
        </w:rPr>
        <w:t>4</w:t>
      </w:r>
      <w:r w:rsidRPr="00A14B59">
        <w:rPr>
          <w:b w:val="0"/>
          <w:bCs/>
          <w:color w:val="5B9BD5"/>
          <w:sz w:val="18"/>
          <w:szCs w:val="18"/>
        </w:rPr>
        <w:fldChar w:fldCharType="end"/>
      </w:r>
      <w:r w:rsidRPr="00A14B59">
        <w:rPr>
          <w:color w:val="5B9BD5"/>
          <w:sz w:val="18"/>
          <w:szCs w:val="18"/>
          <w:lang w:val="hy-AM"/>
        </w:rPr>
        <w:t>.</w:t>
      </w:r>
      <w:r w:rsidRPr="00A14B59">
        <w:rPr>
          <w:rFonts w:eastAsia="Calibri"/>
          <w:b w:val="0"/>
          <w:bCs/>
          <w:i/>
          <w:iCs/>
          <w:color w:val="000000"/>
          <w:sz w:val="20"/>
          <w:szCs w:val="20"/>
          <w:lang w:val="hy-AM"/>
        </w:rPr>
        <w:t xml:space="preserve"> </w:t>
      </w:r>
      <w:r w:rsidRPr="00A14B59">
        <w:rPr>
          <w:rFonts w:cs="Sylfaen"/>
          <w:b w:val="0"/>
          <w:bCs/>
          <w:i/>
          <w:color w:val="5B9BD5"/>
          <w:sz w:val="20"/>
          <w:szCs w:val="20"/>
          <w:lang w:val="hy-AM"/>
        </w:rPr>
        <w:t>2019-2023 թթ</w:t>
      </w:r>
      <w:r w:rsidRPr="00A14B59">
        <w:rPr>
          <w:rFonts w:ascii="Cambria Math" w:hAnsi="Cambria Math" w:cs="Cambria Math"/>
          <w:b w:val="0"/>
          <w:bCs/>
          <w:i/>
          <w:color w:val="5B9BD5"/>
          <w:sz w:val="20"/>
          <w:szCs w:val="20"/>
          <w:lang w:val="hy-AM"/>
        </w:rPr>
        <w:t>․</w:t>
      </w:r>
      <w:r w:rsidRPr="00A14B59">
        <w:rPr>
          <w:rFonts w:cs="Sylfaen"/>
          <w:b w:val="0"/>
          <w:bCs/>
          <w:i/>
          <w:color w:val="5B9BD5"/>
          <w:sz w:val="20"/>
          <w:szCs w:val="20"/>
          <w:lang w:val="hy-AM"/>
        </w:rPr>
        <w:t>ոչ ֆինանսական ակտիվ</w:t>
      </w:r>
      <w:r w:rsidRPr="00A14B59">
        <w:rPr>
          <w:rFonts w:cs="Sylfaen"/>
          <w:b w:val="0"/>
          <w:bCs/>
          <w:i/>
          <w:color w:val="5B9BD5"/>
          <w:sz w:val="20"/>
          <w:szCs w:val="20"/>
          <w:lang w:val="hy-AM"/>
        </w:rPr>
        <w:softHyphen/>
        <w:t>ների գծով ծախսերի ֆինանսավորման կառուցվածքը</w:t>
      </w:r>
      <w:bookmarkEnd w:id="296"/>
      <w:bookmarkEnd w:id="297"/>
    </w:p>
    <w:p w:rsidR="00833D38" w:rsidRPr="00A14B59" w:rsidRDefault="00833D38" w:rsidP="00833D38">
      <w:pPr>
        <w:rPr>
          <w:lang w:val="hy-AM"/>
        </w:rPr>
      </w:pPr>
      <w:r w:rsidRPr="00A14B59">
        <w:rPr>
          <w:noProof/>
          <w:lang w:val="en-US" w:eastAsia="en-US"/>
        </w:rPr>
        <mc:AlternateContent>
          <mc:Choice Requires="wps">
            <w:drawing>
              <wp:anchor distT="0" distB="0" distL="114300" distR="114300" simplePos="0" relativeHeight="251651072" behindDoc="0" locked="0" layoutInCell="1" allowOverlap="1" wp14:anchorId="0EB68AD8" wp14:editId="0BF9306D">
                <wp:simplePos x="0" y="0"/>
                <wp:positionH relativeFrom="column">
                  <wp:posOffset>2188210</wp:posOffset>
                </wp:positionH>
                <wp:positionV relativeFrom="paragraph">
                  <wp:posOffset>1310640</wp:posOffset>
                </wp:positionV>
                <wp:extent cx="158750" cy="1422400"/>
                <wp:effectExtent l="19050" t="19050" r="12700" b="44450"/>
                <wp:wrapNone/>
                <wp:docPr id="41" name="Left Brac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422400"/>
                        </a:xfrm>
                        <a:prstGeom prst="leftBrace">
                          <a:avLst>
                            <a:gd name="adj1" fmla="val 89859"/>
                            <a:gd name="adj2" fmla="val 50000"/>
                          </a:avLst>
                        </a:prstGeom>
                        <a:noFill/>
                        <a:ln w="47625" cap="flat" cmpd="sng" algn="ctr">
                          <a:solidFill>
                            <a:srgbClr val="1F497D">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type w14:anchorId="249673B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 o:spid="_x0000_s1026" type="#_x0000_t87" style="position:absolute;margin-left:172.3pt;margin-top:103.2pt;width:12.5pt;height:11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" adj="2166" strokecolor="#17375e" strokeweight="3.75pt"/>
            </w:pict>
          </mc:Fallback>
        </mc:AlternateContent>
      </w:r>
      <w:r w:rsidRPr="00A14B59">
        <w:rPr>
          <w:noProof/>
          <w:lang w:val="en-US" w:eastAsia="en-US"/>
        </w:rPr>
        <mc:AlternateContent>
          <mc:Choice Requires="wps">
            <w:drawing>
              <wp:anchor distT="0" distB="0" distL="114300" distR="114300" simplePos="0" relativeHeight="251648000" behindDoc="0" locked="0" layoutInCell="1" allowOverlap="1" wp14:anchorId="71C382A9" wp14:editId="74788F05">
                <wp:simplePos x="0" y="0"/>
                <wp:positionH relativeFrom="column">
                  <wp:posOffset>3280410</wp:posOffset>
                </wp:positionH>
                <wp:positionV relativeFrom="paragraph">
                  <wp:posOffset>1380490</wp:posOffset>
                </wp:positionV>
                <wp:extent cx="152400" cy="1381125"/>
                <wp:effectExtent l="19050" t="19050" r="19050" b="47625"/>
                <wp:wrapNone/>
                <wp:docPr id="39" name="Left Brac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81125"/>
                        </a:xfrm>
                        <a:prstGeom prst="leftBrace">
                          <a:avLst>
                            <a:gd name="adj1" fmla="val 89859"/>
                            <a:gd name="adj2" fmla="val 50000"/>
                          </a:avLst>
                        </a:prstGeom>
                        <a:noFill/>
                        <a:ln w="47625" cap="flat" cmpd="sng" algn="ctr">
                          <a:solidFill>
                            <a:srgbClr val="1F497D">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6F938B47" id="Left Brace 1" o:spid="_x0000_s1026" type="#_x0000_t87" style="position:absolute;margin-left:258.3pt;margin-top:108.7pt;width:12pt;height:108.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" adj="2142" strokecolor="#17375e" strokeweight="3.75pt"/>
            </w:pict>
          </mc:Fallback>
        </mc:AlternateContent>
      </w:r>
      <w:r w:rsidRPr="00A14B59">
        <w:rPr>
          <w:noProof/>
          <w:lang w:val="en-US" w:eastAsia="en-US"/>
        </w:rPr>
        <mc:AlternateContent>
          <mc:Choice Requires="wps">
            <w:drawing>
              <wp:anchor distT="0" distB="0" distL="114300" distR="114300" simplePos="0" relativeHeight="251641856" behindDoc="0" locked="0" layoutInCell="1" allowOverlap="1" wp14:anchorId="501395F2" wp14:editId="1A6C4ABF">
                <wp:simplePos x="0" y="0"/>
                <wp:positionH relativeFrom="column">
                  <wp:posOffset>4232910</wp:posOffset>
                </wp:positionH>
                <wp:positionV relativeFrom="paragraph">
                  <wp:posOffset>497840</wp:posOffset>
                </wp:positionV>
                <wp:extent cx="190500" cy="2238375"/>
                <wp:effectExtent l="19050" t="19050" r="19050" b="47625"/>
                <wp:wrapNone/>
                <wp:docPr id="38" name="Left Brac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2238375"/>
                        </a:xfrm>
                        <a:prstGeom prst="leftBrace">
                          <a:avLst>
                            <a:gd name="adj1" fmla="val 89859"/>
                            <a:gd name="adj2" fmla="val 50000"/>
                          </a:avLst>
                        </a:prstGeom>
                        <a:noFill/>
                        <a:ln w="47625" cap="flat" cmpd="sng" algn="ctr">
                          <a:solidFill>
                            <a:srgbClr val="1F497D">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34CC488C" id="Left Brace 1" o:spid="_x0000_s1026" type="#_x0000_t87" style="position:absolute;margin-left:333.3pt;margin-top:39.2pt;width:15pt;height:176.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" adj="1652" strokecolor="#17375e" strokeweight="3.75pt"/>
            </w:pict>
          </mc:Fallback>
        </mc:AlternateContent>
      </w:r>
      <w:r w:rsidRPr="00A14B59">
        <w:rPr>
          <w:noProof/>
          <w:lang w:val="en-US" w:eastAsia="en-US"/>
        </w:rPr>
        <mc:AlternateContent>
          <mc:Choice Requires="wps">
            <w:drawing>
              <wp:anchor distT="0" distB="0" distL="114300" distR="114300" simplePos="0" relativeHeight="251644928" behindDoc="0" locked="0" layoutInCell="1" allowOverlap="1" wp14:anchorId="477C2F18" wp14:editId="02277DEB">
                <wp:simplePos x="0" y="0"/>
                <wp:positionH relativeFrom="column">
                  <wp:posOffset>5312410</wp:posOffset>
                </wp:positionH>
                <wp:positionV relativeFrom="paragraph">
                  <wp:posOffset>135890</wp:posOffset>
                </wp:positionV>
                <wp:extent cx="190500" cy="2597150"/>
                <wp:effectExtent l="19050" t="19050" r="19050" b="31750"/>
                <wp:wrapNone/>
                <wp:docPr id="37" name="Left Brac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2597150"/>
                        </a:xfrm>
                        <a:prstGeom prst="leftBrace">
                          <a:avLst>
                            <a:gd name="adj1" fmla="val 89859"/>
                            <a:gd name="adj2" fmla="val 50000"/>
                          </a:avLst>
                        </a:prstGeom>
                        <a:noFill/>
                        <a:ln w="47625" cap="flat" cmpd="sng" algn="ctr">
                          <a:solidFill>
                            <a:srgbClr val="1F497D">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23C03AA2" id="Left Brace 37" o:spid="_x0000_s1026" type="#_x0000_t87" style="position:absolute;margin-left:418.3pt;margin-top:10.7pt;width:15pt;height:20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" adj="1424" strokecolor="#17375e" strokeweight="3.75pt"/>
            </w:pict>
          </mc:Fallback>
        </mc:AlternateContent>
      </w:r>
      <w:r w:rsidRPr="00A14B59">
        <w:rPr>
          <w:noProof/>
          <w:lang w:val="en-US" w:eastAsia="en-US"/>
        </w:rPr>
        <w:drawing>
          <wp:inline distT="0" distB="0" distL="0" distR="0" wp14:anchorId="40165DD0" wp14:editId="3519CC4F">
            <wp:extent cx="5886450" cy="4857750"/>
            <wp:effectExtent l="0" t="0" r="0" b="0"/>
            <wp:docPr id="23"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A14B59">
        <w:rPr>
          <w:lang w:val="hy-AM"/>
        </w:rPr>
        <w:t xml:space="preserve"> </w:t>
      </w:r>
    </w:p>
    <w:p w:rsidR="00833D38" w:rsidRPr="00A14B59" w:rsidRDefault="00833D38" w:rsidP="00833D38">
      <w:pPr>
        <w:ind w:firstLine="480"/>
        <w:rPr>
          <w:rFonts w:cs="Sylfaen"/>
          <w:b w:val="0"/>
          <w:lang w:val="hy-AM"/>
        </w:rPr>
      </w:pPr>
      <w:r w:rsidRPr="00A14B59">
        <w:rPr>
          <w:rFonts w:cs="Sylfaen"/>
          <w:b w:val="0"/>
          <w:lang w:val="hy-AM"/>
        </w:rPr>
        <w:t>Ոչ</w:t>
      </w:r>
      <w:r w:rsidRPr="00A14B59">
        <w:rPr>
          <w:b w:val="0"/>
          <w:lang w:val="hy-AM"/>
        </w:rPr>
        <w:t xml:space="preserve"> </w:t>
      </w:r>
      <w:r w:rsidRPr="00A14B59">
        <w:rPr>
          <w:rFonts w:cs="Sylfaen"/>
          <w:b w:val="0"/>
          <w:lang w:val="hy-AM"/>
        </w:rPr>
        <w:t>ֆինանսական</w:t>
      </w:r>
      <w:r w:rsidRPr="00A14B59">
        <w:rPr>
          <w:b w:val="0"/>
          <w:lang w:val="hy-AM"/>
        </w:rPr>
        <w:t xml:space="preserve"> </w:t>
      </w:r>
      <w:r w:rsidRPr="00A14B59">
        <w:rPr>
          <w:rFonts w:cs="Sylfaen"/>
          <w:b w:val="0"/>
          <w:lang w:val="hy-AM"/>
        </w:rPr>
        <w:t>ակտիվների</w:t>
      </w:r>
      <w:r w:rsidRPr="00A14B59">
        <w:rPr>
          <w:b w:val="0"/>
          <w:lang w:val="hy-AM"/>
        </w:rPr>
        <w:t xml:space="preserve"> </w:t>
      </w:r>
      <w:r w:rsidRPr="00A14B59">
        <w:rPr>
          <w:rFonts w:cs="Sylfaen"/>
          <w:b w:val="0"/>
          <w:lang w:val="hy-AM"/>
        </w:rPr>
        <w:t>գծով</w:t>
      </w:r>
      <w:r w:rsidRPr="00A14B59">
        <w:rPr>
          <w:b w:val="0"/>
          <w:lang w:val="hy-AM"/>
        </w:rPr>
        <w:t xml:space="preserve"> </w:t>
      </w:r>
      <w:r w:rsidRPr="00A14B59">
        <w:rPr>
          <w:rFonts w:cs="Sylfaen"/>
          <w:b w:val="0"/>
          <w:lang w:val="hy-AM"/>
        </w:rPr>
        <w:t>ծախսերի</w:t>
      </w:r>
      <w:r w:rsidRPr="00A14B59">
        <w:rPr>
          <w:b w:val="0"/>
          <w:lang w:val="hy-AM"/>
        </w:rPr>
        <w:t xml:space="preserve"> </w:t>
      </w:r>
      <w:r w:rsidRPr="00A14B59">
        <w:rPr>
          <w:rFonts w:cs="Sylfaen"/>
          <w:b w:val="0"/>
          <w:lang w:val="hy-AM"/>
        </w:rPr>
        <w:t>իրակա</w:t>
      </w:r>
      <w:r w:rsidRPr="00A14B59">
        <w:rPr>
          <w:rFonts w:cs="Sylfaen"/>
          <w:b w:val="0"/>
          <w:lang w:val="hy-AM"/>
        </w:rPr>
        <w:softHyphen/>
        <w:t>նացման</w:t>
      </w:r>
      <w:r w:rsidRPr="00A14B59">
        <w:rPr>
          <w:b w:val="0"/>
          <w:lang w:val="hy-AM"/>
        </w:rPr>
        <w:t xml:space="preserve"> </w:t>
      </w:r>
      <w:r w:rsidRPr="00A14B59">
        <w:rPr>
          <w:rFonts w:cs="Sylfaen"/>
          <w:b w:val="0"/>
          <w:lang w:val="hy-AM"/>
        </w:rPr>
        <w:t>գե</w:t>
      </w:r>
      <w:r w:rsidRPr="00A14B59">
        <w:rPr>
          <w:rFonts w:cs="Sylfaen"/>
          <w:b w:val="0"/>
          <w:lang w:val="hy-AM"/>
        </w:rPr>
        <w:softHyphen/>
        <w:t>րա</w:t>
      </w:r>
      <w:r w:rsidRPr="00A14B59">
        <w:rPr>
          <w:rFonts w:cs="Sylfaen"/>
          <w:b w:val="0"/>
          <w:lang w:val="hy-AM"/>
        </w:rPr>
        <w:softHyphen/>
      </w:r>
      <w:r w:rsidRPr="00A14B59">
        <w:rPr>
          <w:rFonts w:cs="Sylfaen"/>
          <w:b w:val="0"/>
          <w:lang w:val="hy-AM"/>
        </w:rPr>
        <w:softHyphen/>
        <w:t>կայու</w:t>
      </w:r>
      <w:r w:rsidRPr="00A14B59">
        <w:rPr>
          <w:rFonts w:cs="Sylfaen"/>
          <w:b w:val="0"/>
          <w:lang w:val="hy-AM"/>
        </w:rPr>
        <w:softHyphen/>
        <w:t>թյունները</w:t>
      </w:r>
      <w:r w:rsidRPr="00A14B59">
        <w:rPr>
          <w:b w:val="0"/>
          <w:lang w:val="hy-AM"/>
        </w:rPr>
        <w:t xml:space="preserve"> հանդիսանալու են ինչպես ենթակառուցվածքային, այնպես էլ սոցիալական ոլորտներում ներդրումները</w:t>
      </w:r>
      <w:r w:rsidRPr="00A14B59">
        <w:rPr>
          <w:rFonts w:cs="Sylfaen"/>
          <w:b w:val="0"/>
          <w:lang w:val="hy-AM"/>
        </w:rPr>
        <w:t>:</w:t>
      </w:r>
    </w:p>
    <w:p w:rsidR="00833D38" w:rsidRPr="00A14B59" w:rsidRDefault="00833D38" w:rsidP="00833D38">
      <w:pPr>
        <w:ind w:firstLine="480"/>
        <w:rPr>
          <w:rFonts w:cs="Sylfaen"/>
          <w:b w:val="0"/>
          <w:lang w:val="hy-AM"/>
        </w:rPr>
      </w:pPr>
    </w:p>
    <w:p w:rsidR="00833D38" w:rsidRPr="00A14B59" w:rsidRDefault="00833D38" w:rsidP="00833D38">
      <w:pPr>
        <w:ind w:firstLine="480"/>
        <w:rPr>
          <w:rFonts w:cs="Sylfaen"/>
          <w:b w:val="0"/>
          <w:lang w:val="hy-AM"/>
        </w:rPr>
      </w:pPr>
    </w:p>
    <w:p w:rsidR="00833D38" w:rsidRPr="00A14B59" w:rsidRDefault="00833D38" w:rsidP="00833D38">
      <w:pPr>
        <w:ind w:firstLine="480"/>
        <w:rPr>
          <w:rFonts w:cs="Sylfaen"/>
          <w:b w:val="0"/>
          <w:lang w:val="hy-AM"/>
        </w:rPr>
      </w:pPr>
    </w:p>
    <w:p w:rsidR="00833D38" w:rsidRPr="00A14B59" w:rsidRDefault="00833D38" w:rsidP="00833D38">
      <w:pPr>
        <w:spacing w:before="0" w:line="240" w:lineRule="auto"/>
        <w:ind w:firstLine="562"/>
        <w:rPr>
          <w:b w:val="0"/>
          <w:bCs/>
          <w:color w:val="5B9BD5"/>
          <w:sz w:val="20"/>
          <w:szCs w:val="20"/>
          <w:lang w:val="hy-AM"/>
        </w:rPr>
      </w:pPr>
      <w:bookmarkStart w:id="298" w:name="_Toc83928949"/>
      <w:bookmarkStart w:id="299" w:name="_Toc115255383"/>
      <w:bookmarkStart w:id="300" w:name="_Toc120805270"/>
      <w:r w:rsidRPr="00A14B59">
        <w:rPr>
          <w:b w:val="0"/>
          <w:bCs/>
          <w:color w:val="5B9BD5"/>
          <w:sz w:val="18"/>
          <w:szCs w:val="18"/>
          <w:lang w:val="hy-AM"/>
        </w:rPr>
        <w:t xml:space="preserve">Աղյուսակ </w:t>
      </w:r>
      <w:r w:rsidRPr="00A14B59">
        <w:rPr>
          <w:b w:val="0"/>
          <w:bCs/>
          <w:color w:val="5B9BD5"/>
          <w:sz w:val="18"/>
          <w:szCs w:val="18"/>
        </w:rPr>
        <w:fldChar w:fldCharType="begin"/>
      </w:r>
      <w:r w:rsidRPr="00A14B59">
        <w:rPr>
          <w:b w:val="0"/>
          <w:bCs/>
          <w:color w:val="5B9BD5"/>
          <w:sz w:val="18"/>
          <w:szCs w:val="18"/>
          <w:lang w:val="hy-AM"/>
        </w:rPr>
        <w:instrText xml:space="preserve"> SEQ Աղյուսակ \* ARABIC </w:instrText>
      </w:r>
      <w:r w:rsidRPr="00A14B59">
        <w:rPr>
          <w:b w:val="0"/>
          <w:bCs/>
          <w:color w:val="5B9BD5"/>
          <w:sz w:val="18"/>
          <w:szCs w:val="18"/>
        </w:rPr>
        <w:fldChar w:fldCharType="separate"/>
      </w:r>
      <w:r w:rsidR="008177DF">
        <w:rPr>
          <w:b w:val="0"/>
          <w:bCs/>
          <w:noProof/>
          <w:color w:val="5B9BD5"/>
          <w:sz w:val="18"/>
          <w:szCs w:val="18"/>
          <w:lang w:val="hy-AM"/>
        </w:rPr>
        <w:t>11</w:t>
      </w:r>
      <w:r w:rsidRPr="00A14B59">
        <w:rPr>
          <w:b w:val="0"/>
          <w:bCs/>
          <w:color w:val="5B9BD5"/>
          <w:sz w:val="18"/>
          <w:szCs w:val="18"/>
        </w:rPr>
        <w:fldChar w:fldCharType="end"/>
      </w:r>
      <w:r w:rsidRPr="00A14B59">
        <w:rPr>
          <w:b w:val="0"/>
          <w:bCs/>
          <w:color w:val="5B9BD5"/>
          <w:sz w:val="18"/>
          <w:szCs w:val="18"/>
          <w:lang w:val="hy-AM"/>
        </w:rPr>
        <w:t>.</w:t>
      </w:r>
      <w:r w:rsidRPr="00A14B59">
        <w:rPr>
          <w:b w:val="0"/>
          <w:bCs/>
          <w:color w:val="5B9BD5"/>
          <w:sz w:val="20"/>
          <w:szCs w:val="20"/>
          <w:lang w:val="af-ZA"/>
        </w:rPr>
        <w:t xml:space="preserve"> </w:t>
      </w:r>
      <w:r w:rsidRPr="00A14B59">
        <w:rPr>
          <w:b w:val="0"/>
          <w:bCs/>
          <w:i/>
          <w:color w:val="5B9BD5"/>
          <w:sz w:val="20"/>
          <w:szCs w:val="20"/>
          <w:lang w:val="af-ZA"/>
        </w:rPr>
        <w:t>2019-202</w:t>
      </w:r>
      <w:r w:rsidRPr="00A14B59">
        <w:rPr>
          <w:b w:val="0"/>
          <w:bCs/>
          <w:i/>
          <w:color w:val="5B9BD5"/>
          <w:sz w:val="20"/>
          <w:szCs w:val="20"/>
          <w:lang w:val="hy-AM"/>
        </w:rPr>
        <w:t>3</w:t>
      </w:r>
      <w:r w:rsidRPr="00A14B59">
        <w:rPr>
          <w:b w:val="0"/>
          <w:bCs/>
          <w:i/>
          <w:color w:val="5B9BD5"/>
          <w:sz w:val="20"/>
          <w:szCs w:val="20"/>
          <w:lang w:val="it-IT"/>
        </w:rPr>
        <w:t>թթ.</w:t>
      </w:r>
      <w:r w:rsidRPr="00A14B59">
        <w:rPr>
          <w:b w:val="0"/>
          <w:bCs/>
          <w:i/>
          <w:color w:val="5B9BD5"/>
          <w:sz w:val="20"/>
          <w:szCs w:val="20"/>
          <w:lang w:val="af-ZA"/>
        </w:rPr>
        <w:t xml:space="preserve"> </w:t>
      </w:r>
      <w:r w:rsidRPr="00A14B59">
        <w:rPr>
          <w:rFonts w:cs="Sylfaen"/>
          <w:b w:val="0"/>
          <w:bCs/>
          <w:i/>
          <w:color w:val="5B9BD5"/>
          <w:sz w:val="20"/>
          <w:szCs w:val="20"/>
          <w:lang w:val="hy-AM"/>
        </w:rPr>
        <w:t>ոչ</w:t>
      </w:r>
      <w:r w:rsidRPr="00A14B59">
        <w:rPr>
          <w:b w:val="0"/>
          <w:bCs/>
          <w:i/>
          <w:color w:val="5B9BD5"/>
          <w:sz w:val="20"/>
          <w:szCs w:val="20"/>
          <w:lang w:val="hy-AM"/>
        </w:rPr>
        <w:t xml:space="preserve"> </w:t>
      </w:r>
      <w:r w:rsidRPr="00A14B59">
        <w:rPr>
          <w:rFonts w:cs="Sylfaen"/>
          <w:b w:val="0"/>
          <w:bCs/>
          <w:i/>
          <w:color w:val="5B9BD5"/>
          <w:sz w:val="20"/>
          <w:szCs w:val="20"/>
          <w:lang w:val="hy-AM"/>
        </w:rPr>
        <w:t>ֆինանսական</w:t>
      </w:r>
      <w:r w:rsidRPr="00A14B59">
        <w:rPr>
          <w:b w:val="0"/>
          <w:bCs/>
          <w:i/>
          <w:color w:val="5B9BD5"/>
          <w:sz w:val="20"/>
          <w:szCs w:val="20"/>
          <w:lang w:val="hy-AM"/>
        </w:rPr>
        <w:t xml:space="preserve"> </w:t>
      </w:r>
      <w:r w:rsidRPr="00A14B59">
        <w:rPr>
          <w:rFonts w:cs="Sylfaen"/>
          <w:b w:val="0"/>
          <w:bCs/>
          <w:i/>
          <w:color w:val="5B9BD5"/>
          <w:sz w:val="20"/>
          <w:szCs w:val="20"/>
          <w:lang w:val="hy-AM"/>
        </w:rPr>
        <w:t>ակտիվ</w:t>
      </w:r>
      <w:r w:rsidRPr="00A14B59">
        <w:rPr>
          <w:rFonts w:cs="Sylfaen"/>
          <w:b w:val="0"/>
          <w:bCs/>
          <w:i/>
          <w:color w:val="5B9BD5"/>
          <w:sz w:val="20"/>
          <w:szCs w:val="20"/>
          <w:lang w:val="hy-AM"/>
        </w:rPr>
        <w:softHyphen/>
        <w:t>ների</w:t>
      </w:r>
      <w:r w:rsidRPr="00A14B59">
        <w:rPr>
          <w:b w:val="0"/>
          <w:bCs/>
          <w:i/>
          <w:color w:val="5B9BD5"/>
          <w:sz w:val="20"/>
          <w:szCs w:val="20"/>
          <w:lang w:val="hy-AM"/>
        </w:rPr>
        <w:t xml:space="preserve"> </w:t>
      </w:r>
      <w:r w:rsidRPr="00A14B59">
        <w:rPr>
          <w:rFonts w:cs="Sylfaen"/>
          <w:b w:val="0"/>
          <w:bCs/>
          <w:i/>
          <w:color w:val="5B9BD5"/>
          <w:sz w:val="20"/>
          <w:szCs w:val="20"/>
          <w:lang w:val="hy-AM"/>
        </w:rPr>
        <w:t>գծով</w:t>
      </w:r>
      <w:r w:rsidRPr="00A14B59">
        <w:rPr>
          <w:b w:val="0"/>
          <w:bCs/>
          <w:i/>
          <w:color w:val="5B9BD5"/>
          <w:sz w:val="20"/>
          <w:szCs w:val="20"/>
          <w:lang w:val="hy-AM"/>
        </w:rPr>
        <w:t xml:space="preserve"> </w:t>
      </w:r>
      <w:r w:rsidRPr="00A14B59">
        <w:rPr>
          <w:rFonts w:cs="Sylfaen"/>
          <w:b w:val="0"/>
          <w:bCs/>
          <w:i/>
          <w:color w:val="5B9BD5"/>
          <w:sz w:val="20"/>
          <w:szCs w:val="20"/>
          <w:lang w:val="hy-AM"/>
        </w:rPr>
        <w:t>ծախսերի</w:t>
      </w:r>
      <w:r w:rsidRPr="00A14B59">
        <w:rPr>
          <w:b w:val="0"/>
          <w:bCs/>
          <w:i/>
          <w:color w:val="5B9BD5"/>
          <w:sz w:val="20"/>
          <w:szCs w:val="20"/>
          <w:lang w:val="hy-AM"/>
        </w:rPr>
        <w:t xml:space="preserve"> ֆինանսավորման կառուցվածը ըստ արտաքին և ներքին աղբյուրների</w:t>
      </w:r>
      <w:bookmarkEnd w:id="298"/>
      <w:bookmarkEnd w:id="299"/>
      <w:bookmarkEnd w:id="300"/>
    </w:p>
    <w:p w:rsidR="00833D38" w:rsidRPr="00A14B59" w:rsidRDefault="00833D38" w:rsidP="00833D38">
      <w:pPr>
        <w:spacing w:before="0" w:line="240" w:lineRule="auto"/>
        <w:ind w:firstLine="562"/>
        <w:jc w:val="center"/>
        <w:rPr>
          <w:sz w:val="20"/>
          <w:szCs w:val="20"/>
          <w:lang w:val="hy-AM"/>
        </w:rPr>
      </w:pPr>
      <w:r w:rsidRPr="00A14B59">
        <w:rPr>
          <w:sz w:val="20"/>
          <w:szCs w:val="20"/>
          <w:lang w:val="hy-AM"/>
        </w:rPr>
        <w:t xml:space="preserve">                                                                                                                                  մլն դրամ</w:t>
      </w:r>
    </w:p>
    <w:p w:rsidR="00833D38" w:rsidRPr="00A14B59" w:rsidRDefault="00833D38" w:rsidP="00833D38">
      <w:pPr>
        <w:spacing w:before="0" w:line="240" w:lineRule="auto"/>
        <w:ind w:firstLine="562"/>
        <w:jc w:val="right"/>
        <w:rPr>
          <w:sz w:val="20"/>
          <w:szCs w:val="20"/>
          <w:lang w:val="hy-AM"/>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0"/>
        <w:gridCol w:w="1116"/>
        <w:gridCol w:w="1058"/>
        <w:gridCol w:w="1136"/>
        <w:gridCol w:w="1140"/>
        <w:gridCol w:w="1133"/>
      </w:tblGrid>
      <w:tr w:rsidR="00833D38" w:rsidRPr="006F4C8F" w:rsidTr="005E78D2">
        <w:trPr>
          <w:trHeight w:val="467"/>
        </w:trPr>
        <w:tc>
          <w:tcPr>
            <w:tcW w:w="4340" w:type="dxa"/>
            <w:shd w:val="clear" w:color="000000" w:fill="C6D9F1"/>
            <w:vAlign w:val="center"/>
            <w:hideMark/>
          </w:tcPr>
          <w:p w:rsidR="00833D38" w:rsidRPr="000D1FAE" w:rsidRDefault="00833D38" w:rsidP="000D1FAE">
            <w:pPr>
              <w:spacing w:before="0" w:line="240" w:lineRule="auto"/>
              <w:ind w:firstLine="0"/>
              <w:contextualSpacing w:val="0"/>
              <w:jc w:val="right"/>
              <w:rPr>
                <w:rFonts w:cs="Calibri"/>
                <w:bCs/>
                <w:color w:val="000000"/>
                <w:sz w:val="20"/>
                <w:szCs w:val="20"/>
                <w:lang w:val="en-US" w:eastAsia="en-US"/>
              </w:rPr>
            </w:pPr>
            <w:r w:rsidRPr="000D1FAE">
              <w:rPr>
                <w:rFonts w:cs="Calibri"/>
                <w:bCs/>
                <w:color w:val="000000"/>
                <w:sz w:val="20"/>
                <w:szCs w:val="20"/>
                <w:lang w:val="en-US" w:eastAsia="en-US"/>
              </w:rPr>
              <w:t>Ցուցանիշներ</w:t>
            </w:r>
          </w:p>
        </w:tc>
        <w:tc>
          <w:tcPr>
            <w:tcW w:w="1116" w:type="dxa"/>
            <w:shd w:val="clear" w:color="000000" w:fill="C6D9F1"/>
            <w:vAlign w:val="center"/>
            <w:hideMark/>
          </w:tcPr>
          <w:p w:rsidR="00833D38" w:rsidRPr="000D1FAE" w:rsidRDefault="00833D38" w:rsidP="000D1FAE">
            <w:pPr>
              <w:spacing w:before="0" w:line="240" w:lineRule="auto"/>
              <w:ind w:firstLine="0"/>
              <w:contextualSpacing w:val="0"/>
              <w:jc w:val="center"/>
              <w:rPr>
                <w:rFonts w:cs="Calibri"/>
                <w:bCs/>
                <w:color w:val="000000"/>
                <w:sz w:val="20"/>
                <w:szCs w:val="20"/>
                <w:lang w:val="en-US" w:eastAsia="en-US"/>
              </w:rPr>
            </w:pPr>
            <w:r w:rsidRPr="000D1FAE">
              <w:rPr>
                <w:rFonts w:cs="Calibri"/>
                <w:bCs/>
                <w:color w:val="000000"/>
                <w:sz w:val="20"/>
                <w:szCs w:val="20"/>
                <w:lang w:val="en-US" w:eastAsia="en-US"/>
              </w:rPr>
              <w:t>2019թ.</w:t>
            </w:r>
          </w:p>
        </w:tc>
        <w:tc>
          <w:tcPr>
            <w:tcW w:w="1058" w:type="dxa"/>
            <w:shd w:val="clear" w:color="000000" w:fill="C6D9F1"/>
            <w:vAlign w:val="center"/>
            <w:hideMark/>
          </w:tcPr>
          <w:p w:rsidR="00833D38" w:rsidRPr="000D1FAE" w:rsidRDefault="00833D38" w:rsidP="000D1FAE">
            <w:pPr>
              <w:spacing w:before="0" w:line="240" w:lineRule="auto"/>
              <w:ind w:firstLine="0"/>
              <w:contextualSpacing w:val="0"/>
              <w:jc w:val="center"/>
              <w:rPr>
                <w:rFonts w:cs="Calibri"/>
                <w:bCs/>
                <w:color w:val="000000"/>
                <w:sz w:val="20"/>
                <w:szCs w:val="20"/>
                <w:lang w:val="en-US" w:eastAsia="en-US"/>
              </w:rPr>
            </w:pPr>
            <w:r w:rsidRPr="000D1FAE">
              <w:rPr>
                <w:rFonts w:cs="Calibri"/>
                <w:bCs/>
                <w:color w:val="000000"/>
                <w:sz w:val="20"/>
                <w:szCs w:val="20"/>
                <w:lang w:val="en-US" w:eastAsia="en-US"/>
              </w:rPr>
              <w:t>2020թ.</w:t>
            </w:r>
          </w:p>
        </w:tc>
        <w:tc>
          <w:tcPr>
            <w:tcW w:w="1136" w:type="dxa"/>
            <w:shd w:val="clear" w:color="000000" w:fill="C6D9F1"/>
            <w:vAlign w:val="center"/>
            <w:hideMark/>
          </w:tcPr>
          <w:p w:rsidR="00833D38" w:rsidRPr="000D1FAE" w:rsidRDefault="00833D38" w:rsidP="000D1FAE">
            <w:pPr>
              <w:spacing w:before="0" w:line="240" w:lineRule="auto"/>
              <w:ind w:firstLine="0"/>
              <w:contextualSpacing w:val="0"/>
              <w:jc w:val="center"/>
              <w:rPr>
                <w:rFonts w:cs="Calibri"/>
                <w:bCs/>
                <w:color w:val="000000"/>
                <w:sz w:val="20"/>
                <w:szCs w:val="20"/>
                <w:lang w:val="en-US" w:eastAsia="en-US"/>
              </w:rPr>
            </w:pPr>
            <w:r w:rsidRPr="000D1FAE">
              <w:rPr>
                <w:rFonts w:cs="Calibri"/>
                <w:bCs/>
                <w:color w:val="000000"/>
                <w:sz w:val="20"/>
                <w:szCs w:val="20"/>
                <w:lang w:val="en-US" w:eastAsia="en-US"/>
              </w:rPr>
              <w:t>2021թ.</w:t>
            </w:r>
          </w:p>
        </w:tc>
        <w:tc>
          <w:tcPr>
            <w:tcW w:w="1140" w:type="dxa"/>
            <w:shd w:val="clear" w:color="000000" w:fill="C6D9F1"/>
            <w:vAlign w:val="center"/>
            <w:hideMark/>
          </w:tcPr>
          <w:p w:rsidR="00833D38" w:rsidRPr="000D1FAE" w:rsidRDefault="00833D38" w:rsidP="000D1FAE">
            <w:pPr>
              <w:spacing w:before="0" w:line="240" w:lineRule="auto"/>
              <w:ind w:firstLine="0"/>
              <w:contextualSpacing w:val="0"/>
              <w:jc w:val="center"/>
              <w:rPr>
                <w:rFonts w:cs="Calibri"/>
                <w:bCs/>
                <w:color w:val="000000"/>
                <w:sz w:val="20"/>
                <w:szCs w:val="20"/>
                <w:lang w:val="en-US" w:eastAsia="en-US"/>
              </w:rPr>
            </w:pPr>
            <w:r w:rsidRPr="000D1FAE">
              <w:rPr>
                <w:rFonts w:cs="Calibri"/>
                <w:bCs/>
                <w:color w:val="000000"/>
                <w:sz w:val="20"/>
                <w:szCs w:val="20"/>
                <w:lang w:val="en-US" w:eastAsia="en-US"/>
              </w:rPr>
              <w:t>2022թ.</w:t>
            </w:r>
          </w:p>
        </w:tc>
        <w:tc>
          <w:tcPr>
            <w:tcW w:w="1133" w:type="dxa"/>
            <w:shd w:val="clear" w:color="000000" w:fill="C6D9F1"/>
            <w:vAlign w:val="center"/>
            <w:hideMark/>
          </w:tcPr>
          <w:p w:rsidR="00833D38" w:rsidRPr="000D1FAE" w:rsidRDefault="00833D38" w:rsidP="000D1FAE">
            <w:pPr>
              <w:spacing w:before="0" w:line="240" w:lineRule="auto"/>
              <w:ind w:firstLine="0"/>
              <w:contextualSpacing w:val="0"/>
              <w:jc w:val="center"/>
              <w:rPr>
                <w:rFonts w:cs="Calibri"/>
                <w:bCs/>
                <w:color w:val="000000"/>
                <w:sz w:val="20"/>
                <w:szCs w:val="20"/>
                <w:lang w:val="en-US" w:eastAsia="en-US"/>
              </w:rPr>
            </w:pPr>
            <w:r w:rsidRPr="000D1FAE">
              <w:rPr>
                <w:rFonts w:cs="Calibri"/>
                <w:bCs/>
                <w:color w:val="000000"/>
                <w:sz w:val="20"/>
                <w:szCs w:val="20"/>
                <w:lang w:val="en-US" w:eastAsia="en-US"/>
              </w:rPr>
              <w:t>2023թ.</w:t>
            </w:r>
          </w:p>
        </w:tc>
      </w:tr>
      <w:tr w:rsidR="00833D38" w:rsidRPr="006F4C8F" w:rsidTr="005E78D2">
        <w:trPr>
          <w:trHeight w:val="422"/>
        </w:trPr>
        <w:tc>
          <w:tcPr>
            <w:tcW w:w="4340"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 xml:space="preserve"> Ընդամենը </w:t>
            </w:r>
          </w:p>
        </w:tc>
        <w:tc>
          <w:tcPr>
            <w:tcW w:w="1116"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193,017</w:t>
            </w:r>
          </w:p>
        </w:tc>
        <w:tc>
          <w:tcPr>
            <w:tcW w:w="1058"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227,698</w:t>
            </w:r>
          </w:p>
        </w:tc>
        <w:tc>
          <w:tcPr>
            <w:tcW w:w="1136" w:type="dxa"/>
            <w:shd w:val="clear" w:color="auto" w:fill="auto"/>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215,936</w:t>
            </w:r>
          </w:p>
        </w:tc>
        <w:tc>
          <w:tcPr>
            <w:tcW w:w="1140"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351,944</w:t>
            </w:r>
          </w:p>
        </w:tc>
        <w:tc>
          <w:tcPr>
            <w:tcW w:w="1133"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557,660</w:t>
            </w:r>
          </w:p>
        </w:tc>
      </w:tr>
      <w:tr w:rsidR="00833D38" w:rsidRPr="006F4C8F" w:rsidTr="005E78D2">
        <w:trPr>
          <w:trHeight w:val="431"/>
        </w:trPr>
        <w:tc>
          <w:tcPr>
            <w:tcW w:w="4340"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 xml:space="preserve"> -  արտաքին աղբյուրներ </w:t>
            </w:r>
          </w:p>
        </w:tc>
        <w:tc>
          <w:tcPr>
            <w:tcW w:w="1116"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71,631</w:t>
            </w:r>
          </w:p>
        </w:tc>
        <w:tc>
          <w:tcPr>
            <w:tcW w:w="1058"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44,266</w:t>
            </w:r>
          </w:p>
        </w:tc>
        <w:tc>
          <w:tcPr>
            <w:tcW w:w="1136"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82,926</w:t>
            </w:r>
          </w:p>
        </w:tc>
        <w:tc>
          <w:tcPr>
            <w:tcW w:w="1140"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130,358</w:t>
            </w:r>
          </w:p>
        </w:tc>
        <w:tc>
          <w:tcPr>
            <w:tcW w:w="1133"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121,902</w:t>
            </w:r>
          </w:p>
        </w:tc>
      </w:tr>
      <w:tr w:rsidR="00833D38" w:rsidRPr="006F4C8F" w:rsidTr="005E78D2">
        <w:trPr>
          <w:trHeight w:val="422"/>
        </w:trPr>
        <w:tc>
          <w:tcPr>
            <w:tcW w:w="4340"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 xml:space="preserve"> -  ներքին աղբյուրներ </w:t>
            </w:r>
          </w:p>
        </w:tc>
        <w:tc>
          <w:tcPr>
            <w:tcW w:w="1116"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121,387</w:t>
            </w:r>
          </w:p>
        </w:tc>
        <w:tc>
          <w:tcPr>
            <w:tcW w:w="1058"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183,433</w:t>
            </w:r>
          </w:p>
        </w:tc>
        <w:tc>
          <w:tcPr>
            <w:tcW w:w="1136"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133,009</w:t>
            </w:r>
          </w:p>
        </w:tc>
        <w:tc>
          <w:tcPr>
            <w:tcW w:w="1140"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221,586</w:t>
            </w:r>
          </w:p>
        </w:tc>
        <w:tc>
          <w:tcPr>
            <w:tcW w:w="1133"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435,758</w:t>
            </w:r>
          </w:p>
        </w:tc>
      </w:tr>
      <w:tr w:rsidR="00833D38" w:rsidRPr="006F4C8F" w:rsidTr="005E78D2">
        <w:trPr>
          <w:trHeight w:val="404"/>
        </w:trPr>
        <w:tc>
          <w:tcPr>
            <w:tcW w:w="4340"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 xml:space="preserve"> Տրանսպորտ, այդ թվում </w:t>
            </w:r>
          </w:p>
        </w:tc>
        <w:tc>
          <w:tcPr>
            <w:tcW w:w="1116"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34,357</w:t>
            </w:r>
          </w:p>
        </w:tc>
        <w:tc>
          <w:tcPr>
            <w:tcW w:w="1058" w:type="dxa"/>
            <w:shd w:val="clear" w:color="auto" w:fill="auto"/>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42,170</w:t>
            </w:r>
          </w:p>
        </w:tc>
        <w:tc>
          <w:tcPr>
            <w:tcW w:w="1136"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58,833</w:t>
            </w:r>
          </w:p>
        </w:tc>
        <w:tc>
          <w:tcPr>
            <w:tcW w:w="1140" w:type="dxa"/>
            <w:shd w:val="clear" w:color="auto" w:fill="auto"/>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99,505</w:t>
            </w:r>
          </w:p>
        </w:tc>
        <w:tc>
          <w:tcPr>
            <w:tcW w:w="1133" w:type="dxa"/>
            <w:shd w:val="clear" w:color="auto" w:fill="auto"/>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105,874</w:t>
            </w:r>
          </w:p>
        </w:tc>
      </w:tr>
      <w:tr w:rsidR="00833D38" w:rsidRPr="006F4C8F" w:rsidTr="005E78D2">
        <w:trPr>
          <w:trHeight w:val="341"/>
        </w:trPr>
        <w:tc>
          <w:tcPr>
            <w:tcW w:w="4340" w:type="dxa"/>
            <w:shd w:val="clear" w:color="auto" w:fill="auto"/>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 xml:space="preserve"> -  արտաքին աղբյուրներ </w:t>
            </w:r>
          </w:p>
        </w:tc>
        <w:tc>
          <w:tcPr>
            <w:tcW w:w="1116" w:type="dxa"/>
            <w:shd w:val="clear" w:color="auto" w:fill="auto"/>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18,830</w:t>
            </w:r>
          </w:p>
        </w:tc>
        <w:tc>
          <w:tcPr>
            <w:tcW w:w="1058" w:type="dxa"/>
            <w:shd w:val="clear" w:color="auto" w:fill="auto"/>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14,286</w:t>
            </w:r>
          </w:p>
        </w:tc>
        <w:tc>
          <w:tcPr>
            <w:tcW w:w="1136" w:type="dxa"/>
            <w:shd w:val="clear" w:color="auto" w:fill="auto"/>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24,692</w:t>
            </w:r>
          </w:p>
        </w:tc>
        <w:tc>
          <w:tcPr>
            <w:tcW w:w="1140"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52,404</w:t>
            </w:r>
          </w:p>
        </w:tc>
        <w:tc>
          <w:tcPr>
            <w:tcW w:w="1133"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50,467</w:t>
            </w:r>
          </w:p>
        </w:tc>
      </w:tr>
      <w:tr w:rsidR="00833D38" w:rsidRPr="006F4C8F" w:rsidTr="005E78D2">
        <w:trPr>
          <w:trHeight w:val="422"/>
        </w:trPr>
        <w:tc>
          <w:tcPr>
            <w:tcW w:w="4340"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 xml:space="preserve"> -  ներքին աղբյուրներ </w:t>
            </w:r>
          </w:p>
        </w:tc>
        <w:tc>
          <w:tcPr>
            <w:tcW w:w="1116"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15,528</w:t>
            </w:r>
          </w:p>
        </w:tc>
        <w:tc>
          <w:tcPr>
            <w:tcW w:w="1058"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27,884</w:t>
            </w:r>
          </w:p>
        </w:tc>
        <w:tc>
          <w:tcPr>
            <w:tcW w:w="1136"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34,140</w:t>
            </w:r>
          </w:p>
        </w:tc>
        <w:tc>
          <w:tcPr>
            <w:tcW w:w="1140"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47,101</w:t>
            </w:r>
          </w:p>
        </w:tc>
        <w:tc>
          <w:tcPr>
            <w:tcW w:w="1133"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55,406</w:t>
            </w:r>
          </w:p>
        </w:tc>
      </w:tr>
      <w:tr w:rsidR="00833D38" w:rsidRPr="006F4C8F" w:rsidTr="005E78D2">
        <w:trPr>
          <w:trHeight w:val="404"/>
        </w:trPr>
        <w:tc>
          <w:tcPr>
            <w:tcW w:w="4340"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 xml:space="preserve"> Էներգետիկա, այդ թվում </w:t>
            </w:r>
          </w:p>
        </w:tc>
        <w:tc>
          <w:tcPr>
            <w:tcW w:w="1116"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4,489</w:t>
            </w:r>
          </w:p>
        </w:tc>
        <w:tc>
          <w:tcPr>
            <w:tcW w:w="1058" w:type="dxa"/>
            <w:shd w:val="clear" w:color="auto" w:fill="auto"/>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182</w:t>
            </w:r>
          </w:p>
        </w:tc>
        <w:tc>
          <w:tcPr>
            <w:tcW w:w="1136"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1,207</w:t>
            </w:r>
          </w:p>
        </w:tc>
        <w:tc>
          <w:tcPr>
            <w:tcW w:w="1140"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1,088</w:t>
            </w:r>
          </w:p>
        </w:tc>
        <w:tc>
          <w:tcPr>
            <w:tcW w:w="1133"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2,030</w:t>
            </w:r>
          </w:p>
        </w:tc>
      </w:tr>
      <w:tr w:rsidR="00833D38" w:rsidRPr="006F4C8F" w:rsidTr="005E78D2">
        <w:trPr>
          <w:trHeight w:val="359"/>
        </w:trPr>
        <w:tc>
          <w:tcPr>
            <w:tcW w:w="4340"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 xml:space="preserve"> -  արտաքին աղբյուրներ </w:t>
            </w:r>
          </w:p>
        </w:tc>
        <w:tc>
          <w:tcPr>
            <w:tcW w:w="1116"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4,489</w:t>
            </w:r>
          </w:p>
        </w:tc>
        <w:tc>
          <w:tcPr>
            <w:tcW w:w="1058"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182</w:t>
            </w:r>
          </w:p>
        </w:tc>
        <w:tc>
          <w:tcPr>
            <w:tcW w:w="1136"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1,207</w:t>
            </w:r>
          </w:p>
        </w:tc>
        <w:tc>
          <w:tcPr>
            <w:tcW w:w="1140"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1,088</w:t>
            </w:r>
          </w:p>
        </w:tc>
        <w:tc>
          <w:tcPr>
            <w:tcW w:w="1133"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2,030</w:t>
            </w:r>
          </w:p>
        </w:tc>
      </w:tr>
      <w:tr w:rsidR="00833D38" w:rsidRPr="006F4C8F" w:rsidTr="005E78D2">
        <w:trPr>
          <w:trHeight w:val="431"/>
        </w:trPr>
        <w:tc>
          <w:tcPr>
            <w:tcW w:w="4340"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 xml:space="preserve"> -  ներքին աղբյուրներ </w:t>
            </w:r>
          </w:p>
        </w:tc>
        <w:tc>
          <w:tcPr>
            <w:tcW w:w="1116"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0</w:t>
            </w:r>
          </w:p>
        </w:tc>
        <w:tc>
          <w:tcPr>
            <w:tcW w:w="1058"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0</w:t>
            </w:r>
          </w:p>
        </w:tc>
        <w:tc>
          <w:tcPr>
            <w:tcW w:w="1136"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0</w:t>
            </w:r>
          </w:p>
        </w:tc>
        <w:tc>
          <w:tcPr>
            <w:tcW w:w="1140"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0</w:t>
            </w:r>
          </w:p>
        </w:tc>
        <w:tc>
          <w:tcPr>
            <w:tcW w:w="1133"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0</w:t>
            </w:r>
          </w:p>
        </w:tc>
      </w:tr>
      <w:tr w:rsidR="00833D38" w:rsidRPr="006F4C8F" w:rsidTr="005E78D2">
        <w:trPr>
          <w:trHeight w:val="422"/>
        </w:trPr>
        <w:tc>
          <w:tcPr>
            <w:tcW w:w="4340" w:type="dxa"/>
            <w:shd w:val="clear" w:color="000000" w:fill="FFFFFF"/>
            <w:vAlign w:val="center"/>
            <w:hideMark/>
          </w:tcPr>
          <w:p w:rsidR="00833D38" w:rsidRPr="00833D38" w:rsidRDefault="00833D38" w:rsidP="00833D38">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 xml:space="preserve">Շրջակա միջավայր և գյուղատնտեսություն </w:t>
            </w:r>
          </w:p>
        </w:tc>
        <w:tc>
          <w:tcPr>
            <w:tcW w:w="1116"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3,904</w:t>
            </w:r>
          </w:p>
        </w:tc>
        <w:tc>
          <w:tcPr>
            <w:tcW w:w="1058" w:type="dxa"/>
            <w:shd w:val="clear" w:color="auto" w:fill="auto"/>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1,526</w:t>
            </w:r>
          </w:p>
        </w:tc>
        <w:tc>
          <w:tcPr>
            <w:tcW w:w="1136" w:type="dxa"/>
            <w:shd w:val="clear" w:color="auto" w:fill="auto"/>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7,294</w:t>
            </w:r>
          </w:p>
        </w:tc>
        <w:tc>
          <w:tcPr>
            <w:tcW w:w="1140"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5,758</w:t>
            </w:r>
          </w:p>
        </w:tc>
        <w:tc>
          <w:tcPr>
            <w:tcW w:w="1133"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3,754</w:t>
            </w:r>
          </w:p>
        </w:tc>
      </w:tr>
      <w:tr w:rsidR="00833D38" w:rsidRPr="006F4C8F" w:rsidTr="005E78D2">
        <w:trPr>
          <w:trHeight w:val="431"/>
        </w:trPr>
        <w:tc>
          <w:tcPr>
            <w:tcW w:w="4340" w:type="dxa"/>
            <w:shd w:val="clear" w:color="auto" w:fill="auto"/>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 xml:space="preserve"> -  արտաքին աղբյուրներ </w:t>
            </w:r>
          </w:p>
        </w:tc>
        <w:tc>
          <w:tcPr>
            <w:tcW w:w="1116" w:type="dxa"/>
            <w:shd w:val="clear" w:color="auto" w:fill="auto"/>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3,558</w:t>
            </w:r>
          </w:p>
        </w:tc>
        <w:tc>
          <w:tcPr>
            <w:tcW w:w="1058" w:type="dxa"/>
            <w:shd w:val="clear" w:color="auto" w:fill="auto"/>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1,175</w:t>
            </w:r>
          </w:p>
        </w:tc>
        <w:tc>
          <w:tcPr>
            <w:tcW w:w="1136" w:type="dxa"/>
            <w:shd w:val="clear" w:color="auto" w:fill="auto"/>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6,754</w:t>
            </w:r>
          </w:p>
        </w:tc>
        <w:tc>
          <w:tcPr>
            <w:tcW w:w="1140"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5,157</w:t>
            </w:r>
          </w:p>
        </w:tc>
        <w:tc>
          <w:tcPr>
            <w:tcW w:w="1133"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2,668</w:t>
            </w:r>
          </w:p>
        </w:tc>
      </w:tr>
      <w:tr w:rsidR="00833D38" w:rsidRPr="006F4C8F" w:rsidTr="005E78D2">
        <w:trPr>
          <w:trHeight w:val="422"/>
        </w:trPr>
        <w:tc>
          <w:tcPr>
            <w:tcW w:w="4340"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 xml:space="preserve"> -  ներքին աղբյուրներ </w:t>
            </w:r>
          </w:p>
        </w:tc>
        <w:tc>
          <w:tcPr>
            <w:tcW w:w="1116"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346</w:t>
            </w:r>
          </w:p>
        </w:tc>
        <w:tc>
          <w:tcPr>
            <w:tcW w:w="1058"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351</w:t>
            </w:r>
          </w:p>
        </w:tc>
        <w:tc>
          <w:tcPr>
            <w:tcW w:w="1136"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540</w:t>
            </w:r>
          </w:p>
        </w:tc>
        <w:tc>
          <w:tcPr>
            <w:tcW w:w="1140"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602</w:t>
            </w:r>
          </w:p>
        </w:tc>
        <w:tc>
          <w:tcPr>
            <w:tcW w:w="1133"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1,086</w:t>
            </w:r>
          </w:p>
        </w:tc>
      </w:tr>
      <w:tr w:rsidR="00833D38" w:rsidRPr="006F4C8F" w:rsidTr="005E78D2">
        <w:trPr>
          <w:trHeight w:val="431"/>
        </w:trPr>
        <w:tc>
          <w:tcPr>
            <w:tcW w:w="4340"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 xml:space="preserve"> Ջրային տնտեսություն </w:t>
            </w:r>
          </w:p>
        </w:tc>
        <w:tc>
          <w:tcPr>
            <w:tcW w:w="1116"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6,820</w:t>
            </w:r>
          </w:p>
        </w:tc>
        <w:tc>
          <w:tcPr>
            <w:tcW w:w="1058" w:type="dxa"/>
            <w:shd w:val="clear" w:color="auto" w:fill="auto"/>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11,523</w:t>
            </w:r>
          </w:p>
        </w:tc>
        <w:tc>
          <w:tcPr>
            <w:tcW w:w="1136" w:type="dxa"/>
            <w:shd w:val="clear" w:color="auto" w:fill="auto"/>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20,151</w:t>
            </w:r>
          </w:p>
        </w:tc>
        <w:tc>
          <w:tcPr>
            <w:tcW w:w="1140"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34,699</w:t>
            </w:r>
          </w:p>
        </w:tc>
        <w:tc>
          <w:tcPr>
            <w:tcW w:w="1133"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38,357</w:t>
            </w:r>
          </w:p>
        </w:tc>
      </w:tr>
      <w:tr w:rsidR="00833D38" w:rsidRPr="006F4C8F" w:rsidTr="005E78D2">
        <w:trPr>
          <w:trHeight w:val="449"/>
        </w:trPr>
        <w:tc>
          <w:tcPr>
            <w:tcW w:w="4340" w:type="dxa"/>
            <w:shd w:val="clear" w:color="auto" w:fill="auto"/>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 xml:space="preserve"> -  արտաքին աղբյուրներ </w:t>
            </w:r>
          </w:p>
        </w:tc>
        <w:tc>
          <w:tcPr>
            <w:tcW w:w="1116"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4,662</w:t>
            </w:r>
          </w:p>
        </w:tc>
        <w:tc>
          <w:tcPr>
            <w:tcW w:w="1058"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9,513</w:t>
            </w:r>
          </w:p>
        </w:tc>
        <w:tc>
          <w:tcPr>
            <w:tcW w:w="1136"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18,464</w:t>
            </w:r>
          </w:p>
        </w:tc>
        <w:tc>
          <w:tcPr>
            <w:tcW w:w="1140"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25,542</w:t>
            </w:r>
          </w:p>
        </w:tc>
        <w:tc>
          <w:tcPr>
            <w:tcW w:w="1133"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29,348</w:t>
            </w:r>
          </w:p>
        </w:tc>
      </w:tr>
      <w:tr w:rsidR="00833D38" w:rsidRPr="006F4C8F" w:rsidTr="005E78D2">
        <w:trPr>
          <w:trHeight w:val="431"/>
        </w:trPr>
        <w:tc>
          <w:tcPr>
            <w:tcW w:w="4340"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 xml:space="preserve"> -  ներքին աղբյուրներ </w:t>
            </w:r>
          </w:p>
        </w:tc>
        <w:tc>
          <w:tcPr>
            <w:tcW w:w="1116"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2,158</w:t>
            </w:r>
          </w:p>
        </w:tc>
        <w:tc>
          <w:tcPr>
            <w:tcW w:w="1058"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2,009</w:t>
            </w:r>
          </w:p>
        </w:tc>
        <w:tc>
          <w:tcPr>
            <w:tcW w:w="1136"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1,687</w:t>
            </w:r>
          </w:p>
        </w:tc>
        <w:tc>
          <w:tcPr>
            <w:tcW w:w="1140"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9,156</w:t>
            </w:r>
          </w:p>
        </w:tc>
        <w:tc>
          <w:tcPr>
            <w:tcW w:w="1133"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9,009</w:t>
            </w:r>
          </w:p>
        </w:tc>
      </w:tr>
      <w:tr w:rsidR="00833D38" w:rsidRPr="006F4C8F" w:rsidTr="005E78D2">
        <w:trPr>
          <w:trHeight w:val="422"/>
        </w:trPr>
        <w:tc>
          <w:tcPr>
            <w:tcW w:w="4340"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 xml:space="preserve"> Առողջապահություն </w:t>
            </w:r>
          </w:p>
        </w:tc>
        <w:tc>
          <w:tcPr>
            <w:tcW w:w="1116"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1,979</w:t>
            </w:r>
          </w:p>
        </w:tc>
        <w:tc>
          <w:tcPr>
            <w:tcW w:w="1058" w:type="dxa"/>
            <w:shd w:val="clear" w:color="auto" w:fill="auto"/>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4,631</w:t>
            </w:r>
          </w:p>
        </w:tc>
        <w:tc>
          <w:tcPr>
            <w:tcW w:w="1136" w:type="dxa"/>
            <w:shd w:val="clear" w:color="auto" w:fill="auto"/>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961</w:t>
            </w:r>
          </w:p>
        </w:tc>
        <w:tc>
          <w:tcPr>
            <w:tcW w:w="1140"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7,177</w:t>
            </w:r>
          </w:p>
        </w:tc>
        <w:tc>
          <w:tcPr>
            <w:tcW w:w="1133"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11,645</w:t>
            </w:r>
          </w:p>
        </w:tc>
      </w:tr>
      <w:tr w:rsidR="00833D38" w:rsidRPr="006F4C8F" w:rsidTr="005E78D2">
        <w:trPr>
          <w:trHeight w:val="431"/>
        </w:trPr>
        <w:tc>
          <w:tcPr>
            <w:tcW w:w="4340" w:type="dxa"/>
            <w:shd w:val="clear" w:color="auto" w:fill="auto"/>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 xml:space="preserve"> -  արտաքին աղբյուրներ </w:t>
            </w:r>
          </w:p>
        </w:tc>
        <w:tc>
          <w:tcPr>
            <w:tcW w:w="1116" w:type="dxa"/>
            <w:shd w:val="clear" w:color="auto" w:fill="auto"/>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530</w:t>
            </w:r>
          </w:p>
        </w:tc>
        <w:tc>
          <w:tcPr>
            <w:tcW w:w="1058" w:type="dxa"/>
            <w:shd w:val="clear" w:color="auto" w:fill="auto"/>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2,566</w:t>
            </w:r>
          </w:p>
        </w:tc>
        <w:tc>
          <w:tcPr>
            <w:tcW w:w="1136" w:type="dxa"/>
            <w:shd w:val="clear" w:color="auto" w:fill="auto"/>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961</w:t>
            </w:r>
          </w:p>
        </w:tc>
        <w:tc>
          <w:tcPr>
            <w:tcW w:w="1140"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7,177</w:t>
            </w:r>
          </w:p>
        </w:tc>
        <w:tc>
          <w:tcPr>
            <w:tcW w:w="1133"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2,845</w:t>
            </w:r>
          </w:p>
        </w:tc>
      </w:tr>
      <w:tr w:rsidR="00833D38" w:rsidRPr="006F4C8F" w:rsidTr="005E78D2">
        <w:trPr>
          <w:trHeight w:val="422"/>
        </w:trPr>
        <w:tc>
          <w:tcPr>
            <w:tcW w:w="4340"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 xml:space="preserve"> -  ներքին աղբյուրներ </w:t>
            </w:r>
          </w:p>
        </w:tc>
        <w:tc>
          <w:tcPr>
            <w:tcW w:w="1116"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1,450</w:t>
            </w:r>
          </w:p>
        </w:tc>
        <w:tc>
          <w:tcPr>
            <w:tcW w:w="1058"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2,065</w:t>
            </w:r>
          </w:p>
        </w:tc>
        <w:tc>
          <w:tcPr>
            <w:tcW w:w="1136"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0</w:t>
            </w:r>
          </w:p>
        </w:tc>
        <w:tc>
          <w:tcPr>
            <w:tcW w:w="1140"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0</w:t>
            </w:r>
          </w:p>
        </w:tc>
        <w:tc>
          <w:tcPr>
            <w:tcW w:w="1133"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8,800</w:t>
            </w:r>
          </w:p>
        </w:tc>
      </w:tr>
      <w:tr w:rsidR="00833D38" w:rsidRPr="006F4C8F" w:rsidTr="005E78D2">
        <w:trPr>
          <w:trHeight w:val="494"/>
        </w:trPr>
        <w:tc>
          <w:tcPr>
            <w:tcW w:w="4340"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eastAsia="en-US"/>
              </w:rPr>
            </w:pPr>
            <w:r w:rsidRPr="00833D38">
              <w:rPr>
                <w:rFonts w:cs="Calibri"/>
                <w:b w:val="0"/>
                <w:bCs/>
                <w:i/>
                <w:iCs/>
                <w:color w:val="000000"/>
                <w:sz w:val="20"/>
                <w:szCs w:val="20"/>
                <w:lang w:val="en-US" w:eastAsia="en-US"/>
              </w:rPr>
              <w:t>Կրթություն</w:t>
            </w:r>
            <w:r w:rsidRPr="00833D38">
              <w:rPr>
                <w:rFonts w:eastAsia="Microsoft JhengHei" w:cs="Calibri"/>
                <w:b w:val="0"/>
                <w:bCs/>
                <w:color w:val="000000"/>
                <w:sz w:val="20"/>
                <w:szCs w:val="20"/>
                <w:lang w:val="en-US" w:eastAsia="en-US"/>
              </w:rPr>
              <w:t>﹐</w:t>
            </w:r>
            <w:r w:rsidRPr="00833D38">
              <w:rPr>
                <w:rFonts w:cs="Calibri"/>
                <w:b w:val="0"/>
                <w:bCs/>
                <w:color w:val="000000"/>
                <w:sz w:val="20"/>
                <w:szCs w:val="20"/>
                <w:lang w:val="en-US" w:eastAsia="en-US"/>
              </w:rPr>
              <w:t>գիտություն</w:t>
            </w:r>
            <w:r w:rsidRPr="00833D38">
              <w:rPr>
                <w:rFonts w:cs="Calibri"/>
                <w:b w:val="0"/>
                <w:bCs/>
                <w:color w:val="000000"/>
                <w:sz w:val="20"/>
                <w:szCs w:val="20"/>
                <w:lang w:eastAsia="en-US"/>
              </w:rPr>
              <w:t xml:space="preserve"> </w:t>
            </w:r>
            <w:r w:rsidRPr="00833D38">
              <w:rPr>
                <w:rFonts w:cs="Calibri"/>
                <w:b w:val="0"/>
                <w:bCs/>
                <w:color w:val="000000"/>
                <w:sz w:val="20"/>
                <w:szCs w:val="20"/>
                <w:lang w:val="en-US" w:eastAsia="en-US"/>
              </w:rPr>
              <w:t>մշակույթ</w:t>
            </w:r>
            <w:r w:rsidRPr="00833D38">
              <w:rPr>
                <w:rFonts w:cs="Calibri"/>
                <w:b w:val="0"/>
                <w:bCs/>
                <w:color w:val="000000"/>
                <w:sz w:val="20"/>
                <w:szCs w:val="20"/>
                <w:lang w:eastAsia="en-US"/>
              </w:rPr>
              <w:t xml:space="preserve"> </w:t>
            </w:r>
            <w:r w:rsidRPr="00833D38">
              <w:rPr>
                <w:rFonts w:cs="Calibri"/>
                <w:b w:val="0"/>
                <w:bCs/>
                <w:color w:val="000000"/>
                <w:sz w:val="20"/>
                <w:szCs w:val="20"/>
                <w:lang w:val="en-US" w:eastAsia="en-US"/>
              </w:rPr>
              <w:t>և</w:t>
            </w:r>
            <w:r w:rsidRPr="00833D38">
              <w:rPr>
                <w:rFonts w:cs="Calibri"/>
                <w:b w:val="0"/>
                <w:bCs/>
                <w:color w:val="000000"/>
                <w:sz w:val="20"/>
                <w:szCs w:val="20"/>
                <w:lang w:eastAsia="en-US"/>
              </w:rPr>
              <w:t xml:space="preserve"> </w:t>
            </w:r>
            <w:r w:rsidRPr="00833D38">
              <w:rPr>
                <w:rFonts w:cs="Calibri"/>
                <w:b w:val="0"/>
                <w:bCs/>
                <w:color w:val="000000"/>
                <w:sz w:val="20"/>
                <w:szCs w:val="20"/>
                <w:lang w:val="en-US" w:eastAsia="en-US"/>
              </w:rPr>
              <w:t>սպորտ</w:t>
            </w:r>
            <w:r w:rsidRPr="00833D38">
              <w:rPr>
                <w:rFonts w:cs="Calibri"/>
                <w:b w:val="0"/>
                <w:bCs/>
                <w:color w:val="000000"/>
                <w:sz w:val="20"/>
                <w:szCs w:val="20"/>
                <w:lang w:eastAsia="en-US"/>
              </w:rPr>
              <w:t xml:space="preserve"> </w:t>
            </w:r>
          </w:p>
        </w:tc>
        <w:tc>
          <w:tcPr>
            <w:tcW w:w="1116"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4,774</w:t>
            </w:r>
          </w:p>
        </w:tc>
        <w:tc>
          <w:tcPr>
            <w:tcW w:w="1058" w:type="dxa"/>
            <w:shd w:val="clear" w:color="auto" w:fill="auto"/>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12,314</w:t>
            </w:r>
          </w:p>
        </w:tc>
        <w:tc>
          <w:tcPr>
            <w:tcW w:w="1136"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9,977</w:t>
            </w:r>
          </w:p>
        </w:tc>
        <w:tc>
          <w:tcPr>
            <w:tcW w:w="1140"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33,346</w:t>
            </w:r>
          </w:p>
        </w:tc>
        <w:tc>
          <w:tcPr>
            <w:tcW w:w="1133"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52,274</w:t>
            </w:r>
          </w:p>
        </w:tc>
      </w:tr>
      <w:tr w:rsidR="00833D38" w:rsidRPr="006F4C8F" w:rsidTr="005E78D2">
        <w:trPr>
          <w:trHeight w:val="431"/>
        </w:trPr>
        <w:tc>
          <w:tcPr>
            <w:tcW w:w="4340" w:type="dxa"/>
            <w:shd w:val="clear" w:color="auto" w:fill="auto"/>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 xml:space="preserve"> -  արտաքին աղբյուրներ </w:t>
            </w:r>
          </w:p>
        </w:tc>
        <w:tc>
          <w:tcPr>
            <w:tcW w:w="1116" w:type="dxa"/>
            <w:shd w:val="clear" w:color="auto" w:fill="auto"/>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1,672</w:t>
            </w:r>
          </w:p>
        </w:tc>
        <w:tc>
          <w:tcPr>
            <w:tcW w:w="1058" w:type="dxa"/>
            <w:shd w:val="clear" w:color="auto" w:fill="auto"/>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8,786</w:t>
            </w:r>
          </w:p>
        </w:tc>
        <w:tc>
          <w:tcPr>
            <w:tcW w:w="1136" w:type="dxa"/>
            <w:shd w:val="clear" w:color="auto" w:fill="auto"/>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8,540</w:t>
            </w:r>
          </w:p>
        </w:tc>
        <w:tc>
          <w:tcPr>
            <w:tcW w:w="1140"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8,963</w:t>
            </w:r>
          </w:p>
        </w:tc>
        <w:tc>
          <w:tcPr>
            <w:tcW w:w="1133"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13,550</w:t>
            </w:r>
          </w:p>
        </w:tc>
      </w:tr>
      <w:tr w:rsidR="00833D38" w:rsidRPr="006F4C8F" w:rsidTr="005E78D2">
        <w:trPr>
          <w:trHeight w:val="422"/>
        </w:trPr>
        <w:tc>
          <w:tcPr>
            <w:tcW w:w="4340"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 xml:space="preserve"> -  ներքին աղբյուրներ </w:t>
            </w:r>
          </w:p>
        </w:tc>
        <w:tc>
          <w:tcPr>
            <w:tcW w:w="1116"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3,102</w:t>
            </w:r>
          </w:p>
        </w:tc>
        <w:tc>
          <w:tcPr>
            <w:tcW w:w="1058"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3,528</w:t>
            </w:r>
          </w:p>
        </w:tc>
        <w:tc>
          <w:tcPr>
            <w:tcW w:w="1136"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1,437</w:t>
            </w:r>
          </w:p>
        </w:tc>
        <w:tc>
          <w:tcPr>
            <w:tcW w:w="1140"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24,382</w:t>
            </w:r>
          </w:p>
        </w:tc>
        <w:tc>
          <w:tcPr>
            <w:tcW w:w="1133"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38,724</w:t>
            </w:r>
          </w:p>
        </w:tc>
      </w:tr>
      <w:tr w:rsidR="00833D38" w:rsidRPr="006F4C8F" w:rsidTr="005E78D2">
        <w:trPr>
          <w:trHeight w:val="404"/>
        </w:trPr>
        <w:tc>
          <w:tcPr>
            <w:tcW w:w="4340"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 xml:space="preserve"> Սոցիալական </w:t>
            </w:r>
          </w:p>
        </w:tc>
        <w:tc>
          <w:tcPr>
            <w:tcW w:w="1116"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547</w:t>
            </w:r>
          </w:p>
        </w:tc>
        <w:tc>
          <w:tcPr>
            <w:tcW w:w="1058" w:type="dxa"/>
            <w:shd w:val="clear" w:color="auto" w:fill="auto"/>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1,520</w:t>
            </w:r>
          </w:p>
        </w:tc>
        <w:tc>
          <w:tcPr>
            <w:tcW w:w="1136"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2,500</w:t>
            </w:r>
          </w:p>
        </w:tc>
        <w:tc>
          <w:tcPr>
            <w:tcW w:w="1140"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2,927</w:t>
            </w:r>
          </w:p>
        </w:tc>
        <w:tc>
          <w:tcPr>
            <w:tcW w:w="1133"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7,813</w:t>
            </w:r>
          </w:p>
        </w:tc>
      </w:tr>
      <w:tr w:rsidR="00833D38" w:rsidRPr="006F4C8F" w:rsidTr="005E78D2">
        <w:trPr>
          <w:trHeight w:val="359"/>
        </w:trPr>
        <w:tc>
          <w:tcPr>
            <w:tcW w:w="4340" w:type="dxa"/>
            <w:shd w:val="clear" w:color="auto" w:fill="auto"/>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 xml:space="preserve"> -  արտաքին աղբյուրներ </w:t>
            </w:r>
          </w:p>
        </w:tc>
        <w:tc>
          <w:tcPr>
            <w:tcW w:w="1116"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465</w:t>
            </w:r>
          </w:p>
        </w:tc>
        <w:tc>
          <w:tcPr>
            <w:tcW w:w="1058" w:type="dxa"/>
            <w:shd w:val="clear" w:color="auto" w:fill="auto"/>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1,208</w:t>
            </w:r>
          </w:p>
        </w:tc>
        <w:tc>
          <w:tcPr>
            <w:tcW w:w="1136"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1,210</w:t>
            </w:r>
          </w:p>
        </w:tc>
        <w:tc>
          <w:tcPr>
            <w:tcW w:w="1140"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2,615</w:t>
            </w:r>
          </w:p>
        </w:tc>
        <w:tc>
          <w:tcPr>
            <w:tcW w:w="1133"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7,375</w:t>
            </w:r>
          </w:p>
        </w:tc>
      </w:tr>
      <w:tr w:rsidR="00833D38" w:rsidRPr="006F4C8F" w:rsidTr="005E78D2">
        <w:trPr>
          <w:trHeight w:val="431"/>
        </w:trPr>
        <w:tc>
          <w:tcPr>
            <w:tcW w:w="4340"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 xml:space="preserve"> -  ներքին աղբյուրներ </w:t>
            </w:r>
          </w:p>
        </w:tc>
        <w:tc>
          <w:tcPr>
            <w:tcW w:w="1116"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82</w:t>
            </w:r>
          </w:p>
        </w:tc>
        <w:tc>
          <w:tcPr>
            <w:tcW w:w="1058"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312</w:t>
            </w:r>
          </w:p>
        </w:tc>
        <w:tc>
          <w:tcPr>
            <w:tcW w:w="1136"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1,291</w:t>
            </w:r>
          </w:p>
        </w:tc>
        <w:tc>
          <w:tcPr>
            <w:tcW w:w="1140"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312</w:t>
            </w:r>
          </w:p>
        </w:tc>
        <w:tc>
          <w:tcPr>
            <w:tcW w:w="1133"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438</w:t>
            </w:r>
          </w:p>
        </w:tc>
      </w:tr>
      <w:tr w:rsidR="00833D38" w:rsidRPr="006F4C8F" w:rsidTr="005E78D2">
        <w:trPr>
          <w:trHeight w:val="449"/>
        </w:trPr>
        <w:tc>
          <w:tcPr>
            <w:tcW w:w="4340"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 xml:space="preserve"> Ուժային </w:t>
            </w:r>
          </w:p>
        </w:tc>
        <w:tc>
          <w:tcPr>
            <w:tcW w:w="1116"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114,347</w:t>
            </w:r>
          </w:p>
        </w:tc>
        <w:tc>
          <w:tcPr>
            <w:tcW w:w="1058"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140,390</w:t>
            </w:r>
          </w:p>
        </w:tc>
        <w:tc>
          <w:tcPr>
            <w:tcW w:w="1136"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88,736</w:t>
            </w:r>
          </w:p>
        </w:tc>
        <w:tc>
          <w:tcPr>
            <w:tcW w:w="1140"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131,313</w:t>
            </w:r>
          </w:p>
        </w:tc>
        <w:tc>
          <w:tcPr>
            <w:tcW w:w="1133"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291,246</w:t>
            </w:r>
          </w:p>
        </w:tc>
      </w:tr>
      <w:tr w:rsidR="00833D38" w:rsidRPr="006F4C8F" w:rsidTr="005E78D2">
        <w:trPr>
          <w:trHeight w:val="386"/>
        </w:trPr>
        <w:tc>
          <w:tcPr>
            <w:tcW w:w="4340"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 xml:space="preserve"> -  արտաքին աղբյուրներ </w:t>
            </w:r>
          </w:p>
        </w:tc>
        <w:tc>
          <w:tcPr>
            <w:tcW w:w="1116"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31,389</w:t>
            </w:r>
          </w:p>
        </w:tc>
        <w:tc>
          <w:tcPr>
            <w:tcW w:w="1058"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0</w:t>
            </w:r>
          </w:p>
        </w:tc>
        <w:tc>
          <w:tcPr>
            <w:tcW w:w="1136"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0</w:t>
            </w:r>
          </w:p>
        </w:tc>
        <w:tc>
          <w:tcPr>
            <w:tcW w:w="1140"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0</w:t>
            </w:r>
          </w:p>
        </w:tc>
        <w:tc>
          <w:tcPr>
            <w:tcW w:w="1133"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0</w:t>
            </w:r>
          </w:p>
        </w:tc>
      </w:tr>
      <w:tr w:rsidR="00833D38" w:rsidRPr="006F4C8F" w:rsidTr="005E78D2">
        <w:trPr>
          <w:trHeight w:val="422"/>
        </w:trPr>
        <w:tc>
          <w:tcPr>
            <w:tcW w:w="4340"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 xml:space="preserve"> -  ներքին աղբյուրներ </w:t>
            </w:r>
          </w:p>
        </w:tc>
        <w:tc>
          <w:tcPr>
            <w:tcW w:w="1116"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82,958</w:t>
            </w:r>
          </w:p>
        </w:tc>
        <w:tc>
          <w:tcPr>
            <w:tcW w:w="1058"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140,390</w:t>
            </w:r>
          </w:p>
        </w:tc>
        <w:tc>
          <w:tcPr>
            <w:tcW w:w="1136"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88,736</w:t>
            </w:r>
          </w:p>
        </w:tc>
        <w:tc>
          <w:tcPr>
            <w:tcW w:w="1140"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131,313</w:t>
            </w:r>
          </w:p>
        </w:tc>
        <w:tc>
          <w:tcPr>
            <w:tcW w:w="1133"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291,246</w:t>
            </w:r>
          </w:p>
        </w:tc>
      </w:tr>
      <w:tr w:rsidR="00833D38" w:rsidRPr="006F4C8F" w:rsidTr="005E78D2">
        <w:trPr>
          <w:trHeight w:val="404"/>
        </w:trPr>
        <w:tc>
          <w:tcPr>
            <w:tcW w:w="4340"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 xml:space="preserve"> Այլ </w:t>
            </w:r>
          </w:p>
        </w:tc>
        <w:tc>
          <w:tcPr>
            <w:tcW w:w="1116"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21,800</w:t>
            </w:r>
          </w:p>
        </w:tc>
        <w:tc>
          <w:tcPr>
            <w:tcW w:w="1058"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13,444</w:t>
            </w:r>
          </w:p>
        </w:tc>
        <w:tc>
          <w:tcPr>
            <w:tcW w:w="1136"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26,277</w:t>
            </w:r>
          </w:p>
        </w:tc>
        <w:tc>
          <w:tcPr>
            <w:tcW w:w="1140"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36,132</w:t>
            </w:r>
          </w:p>
        </w:tc>
        <w:tc>
          <w:tcPr>
            <w:tcW w:w="1133"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44,667</w:t>
            </w:r>
          </w:p>
        </w:tc>
      </w:tr>
      <w:tr w:rsidR="00833D38" w:rsidRPr="006F4C8F" w:rsidTr="005E78D2">
        <w:trPr>
          <w:trHeight w:val="449"/>
        </w:trPr>
        <w:tc>
          <w:tcPr>
            <w:tcW w:w="4340"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 xml:space="preserve"> -  արտաքին աղբյուրներ </w:t>
            </w:r>
          </w:p>
        </w:tc>
        <w:tc>
          <w:tcPr>
            <w:tcW w:w="1116"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6,037.00</w:t>
            </w:r>
          </w:p>
        </w:tc>
        <w:tc>
          <w:tcPr>
            <w:tcW w:w="1058"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i/>
                <w:iCs/>
                <w:color w:val="000000"/>
                <w:sz w:val="20"/>
                <w:szCs w:val="20"/>
                <w:lang w:val="en-US" w:eastAsia="en-US"/>
              </w:rPr>
            </w:pPr>
            <w:r w:rsidRPr="00833D38">
              <w:rPr>
                <w:rFonts w:cs="Calibri"/>
                <w:b w:val="0"/>
                <w:bCs/>
                <w:i/>
                <w:iCs/>
                <w:color w:val="000000"/>
                <w:sz w:val="20"/>
                <w:szCs w:val="20"/>
                <w:lang w:val="en-US" w:eastAsia="en-US"/>
              </w:rPr>
              <w:t>6,551.00</w:t>
            </w:r>
          </w:p>
        </w:tc>
        <w:tc>
          <w:tcPr>
            <w:tcW w:w="1136"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21,099.00</w:t>
            </w:r>
          </w:p>
        </w:tc>
        <w:tc>
          <w:tcPr>
            <w:tcW w:w="1140"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27,412.00</w:t>
            </w:r>
          </w:p>
        </w:tc>
        <w:tc>
          <w:tcPr>
            <w:tcW w:w="1133" w:type="dxa"/>
            <w:shd w:val="clear" w:color="000000" w:fill="FFFFFF"/>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13,618.80</w:t>
            </w:r>
          </w:p>
        </w:tc>
      </w:tr>
      <w:tr w:rsidR="00833D38" w:rsidRPr="006F4C8F" w:rsidTr="005E78D2">
        <w:trPr>
          <w:trHeight w:val="476"/>
        </w:trPr>
        <w:tc>
          <w:tcPr>
            <w:tcW w:w="4340"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 xml:space="preserve"> -  ներքին աղբյուրներ </w:t>
            </w:r>
          </w:p>
        </w:tc>
        <w:tc>
          <w:tcPr>
            <w:tcW w:w="1116"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15,764.00</w:t>
            </w:r>
          </w:p>
        </w:tc>
        <w:tc>
          <w:tcPr>
            <w:tcW w:w="1058"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6,894.00</w:t>
            </w:r>
          </w:p>
        </w:tc>
        <w:tc>
          <w:tcPr>
            <w:tcW w:w="1136"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5,178.00</w:t>
            </w:r>
          </w:p>
        </w:tc>
        <w:tc>
          <w:tcPr>
            <w:tcW w:w="1140"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8,719.00</w:t>
            </w:r>
          </w:p>
        </w:tc>
        <w:tc>
          <w:tcPr>
            <w:tcW w:w="1133" w:type="dxa"/>
            <w:shd w:val="clear" w:color="000000" w:fill="C6D9F1"/>
            <w:vAlign w:val="center"/>
            <w:hideMark/>
          </w:tcPr>
          <w:p w:rsidR="00833D38" w:rsidRPr="00833D38" w:rsidRDefault="00833D38" w:rsidP="000D1FAE">
            <w:pPr>
              <w:spacing w:before="0" w:line="240" w:lineRule="auto"/>
              <w:ind w:firstLine="0"/>
              <w:contextualSpacing w:val="0"/>
              <w:jc w:val="right"/>
              <w:rPr>
                <w:rFonts w:cs="Calibri"/>
                <w:b w:val="0"/>
                <w:bCs/>
                <w:color w:val="000000"/>
                <w:sz w:val="20"/>
                <w:szCs w:val="20"/>
                <w:lang w:val="en-US" w:eastAsia="en-US"/>
              </w:rPr>
            </w:pPr>
            <w:r w:rsidRPr="00833D38">
              <w:rPr>
                <w:rFonts w:cs="Calibri"/>
                <w:b w:val="0"/>
                <w:bCs/>
                <w:color w:val="000000"/>
                <w:sz w:val="20"/>
                <w:szCs w:val="20"/>
                <w:lang w:val="en-US" w:eastAsia="en-US"/>
              </w:rPr>
              <w:t>31,048.60</w:t>
            </w:r>
          </w:p>
        </w:tc>
      </w:tr>
    </w:tbl>
    <w:p w:rsidR="00C74BDD" w:rsidRDefault="00C74BDD" w:rsidP="00C74BDD">
      <w:pPr>
        <w:keepNext/>
        <w:tabs>
          <w:tab w:val="left" w:pos="709"/>
        </w:tabs>
        <w:spacing w:before="0" w:line="276" w:lineRule="auto"/>
        <w:ind w:firstLine="0"/>
        <w:jc w:val="left"/>
        <w:outlineLvl w:val="2"/>
        <w:rPr>
          <w:rFonts w:eastAsia="Calibri" w:cs="GHEA Grapalat"/>
          <w:bCs/>
          <w:sz w:val="24"/>
          <w:szCs w:val="26"/>
          <w:lang w:val="af-ZA" w:eastAsia="en-US"/>
        </w:rPr>
      </w:pPr>
      <w:bookmarkStart w:id="301" w:name="_Toc83728879"/>
      <w:bookmarkStart w:id="302" w:name="_Toc114153061"/>
      <w:bookmarkStart w:id="303" w:name="_Toc120805216"/>
      <w:r w:rsidRPr="00C74BDD">
        <w:rPr>
          <w:rFonts w:eastAsia="Calibri" w:cs="GHEA Grapalat"/>
          <w:bCs/>
          <w:sz w:val="24"/>
          <w:szCs w:val="26"/>
          <w:lang w:val="af-ZA" w:eastAsia="en-US"/>
        </w:rPr>
        <w:t>ԾԱԽՍԵՐՆ ԸՍՏ ԳՈՐԾԱՌԱԿԱՆ ԴԱՍԱԿԱՐԳՄԱՆ</w:t>
      </w:r>
      <w:bookmarkEnd w:id="301"/>
      <w:bookmarkEnd w:id="302"/>
      <w:bookmarkEnd w:id="303"/>
    </w:p>
    <w:p w:rsidR="00C74BDD" w:rsidRPr="00C74BDD" w:rsidRDefault="00C74BDD" w:rsidP="00C74BDD">
      <w:pPr>
        <w:keepNext/>
        <w:tabs>
          <w:tab w:val="left" w:pos="709"/>
        </w:tabs>
        <w:spacing w:before="0" w:line="276" w:lineRule="auto"/>
        <w:ind w:firstLine="0"/>
        <w:jc w:val="left"/>
        <w:outlineLvl w:val="2"/>
        <w:rPr>
          <w:rFonts w:eastAsia="Calibri" w:cs="GHEA Grapalat"/>
          <w:bCs/>
          <w:sz w:val="24"/>
          <w:szCs w:val="26"/>
          <w:lang w:val="af-ZA" w:eastAsia="en-US"/>
        </w:rPr>
      </w:pPr>
    </w:p>
    <w:p w:rsidR="00242CCC" w:rsidRPr="00C74BDD" w:rsidRDefault="00242CCC" w:rsidP="00242CCC">
      <w:pPr>
        <w:spacing w:before="0" w:after="200" w:line="276" w:lineRule="auto"/>
        <w:ind w:firstLine="720"/>
        <w:contextualSpacing w:val="0"/>
        <w:rPr>
          <w:rFonts w:eastAsiaTheme="minorHAnsi" w:cs="Cambria Math"/>
          <w:b w:val="0"/>
          <w:szCs w:val="22"/>
          <w:lang w:val="hy-AM" w:eastAsia="en-US"/>
        </w:rPr>
      </w:pPr>
      <w:r w:rsidRPr="00C74BDD">
        <w:rPr>
          <w:rFonts w:eastAsiaTheme="minorHAnsi" w:cs="Cambria Math"/>
          <w:b w:val="0"/>
          <w:szCs w:val="22"/>
          <w:lang w:val="af-ZA" w:eastAsia="en-US"/>
        </w:rPr>
        <w:t>2019-2023</w:t>
      </w:r>
      <w:r w:rsidRPr="00C74BDD">
        <w:rPr>
          <w:rFonts w:eastAsiaTheme="minorHAnsi" w:cs="Cambria Math"/>
          <w:b w:val="0"/>
          <w:szCs w:val="22"/>
          <w:lang w:val="en-US" w:eastAsia="en-US"/>
        </w:rPr>
        <w:t>թթ</w:t>
      </w:r>
      <w:r w:rsidRPr="00C74BDD">
        <w:rPr>
          <w:rFonts w:eastAsiaTheme="minorHAnsi" w:cs="Cambria Math" w:hint="eastAsia"/>
          <w:b w:val="0"/>
          <w:szCs w:val="22"/>
          <w:lang w:val="af-ZA" w:eastAsia="en-US"/>
        </w:rPr>
        <w:t>․</w:t>
      </w:r>
      <w:r w:rsidRPr="00C74BDD">
        <w:rPr>
          <w:rFonts w:eastAsiaTheme="minorHAnsi" w:cs="Cambria Math"/>
          <w:b w:val="0"/>
          <w:szCs w:val="22"/>
          <w:lang w:val="en-US" w:eastAsia="en-US"/>
        </w:rPr>
        <w:t>ժամանակահատվածում</w:t>
      </w:r>
      <w:r w:rsidRPr="00C74BDD">
        <w:rPr>
          <w:rFonts w:eastAsiaTheme="minorHAnsi" w:cs="Cambria Math"/>
          <w:b w:val="0"/>
          <w:szCs w:val="22"/>
          <w:lang w:val="af-ZA" w:eastAsia="en-US"/>
        </w:rPr>
        <w:t xml:space="preserve"> </w:t>
      </w:r>
      <w:r w:rsidRPr="00C74BDD">
        <w:rPr>
          <w:rFonts w:eastAsiaTheme="minorHAnsi" w:cs="Cambria Math"/>
          <w:b w:val="0"/>
          <w:szCs w:val="22"/>
          <w:lang w:val="en-US" w:eastAsia="en-US"/>
        </w:rPr>
        <w:t>նկատելի</w:t>
      </w:r>
      <w:r w:rsidRPr="00C74BDD">
        <w:rPr>
          <w:rFonts w:eastAsiaTheme="minorHAnsi" w:cs="Cambria Math"/>
          <w:b w:val="0"/>
          <w:szCs w:val="22"/>
          <w:lang w:val="af-ZA" w:eastAsia="en-US"/>
        </w:rPr>
        <w:t xml:space="preserve"> </w:t>
      </w:r>
      <w:r w:rsidRPr="00C74BDD">
        <w:rPr>
          <w:rFonts w:eastAsiaTheme="minorHAnsi" w:cs="Cambria Math"/>
          <w:b w:val="0"/>
          <w:szCs w:val="22"/>
          <w:lang w:val="en-US" w:eastAsia="en-US"/>
        </w:rPr>
        <w:t>է</w:t>
      </w:r>
      <w:r w:rsidRPr="00C74BDD">
        <w:rPr>
          <w:rFonts w:eastAsiaTheme="minorHAnsi" w:cs="Cambria Math"/>
          <w:b w:val="0"/>
          <w:szCs w:val="22"/>
          <w:lang w:val="af-ZA" w:eastAsia="en-US"/>
        </w:rPr>
        <w:t xml:space="preserve"> </w:t>
      </w:r>
      <w:r w:rsidRPr="00C74BDD">
        <w:rPr>
          <w:rFonts w:eastAsiaTheme="minorHAnsi" w:cs="Cambria Math"/>
          <w:b w:val="0"/>
          <w:szCs w:val="22"/>
          <w:lang w:val="en-US" w:eastAsia="en-US"/>
        </w:rPr>
        <w:t>նախորդ</w:t>
      </w:r>
      <w:r w:rsidRPr="00C74BDD">
        <w:rPr>
          <w:rFonts w:eastAsiaTheme="minorHAnsi" w:cs="Cambria Math"/>
          <w:b w:val="0"/>
          <w:szCs w:val="22"/>
          <w:lang w:val="af-ZA" w:eastAsia="en-US"/>
        </w:rPr>
        <w:t xml:space="preserve"> </w:t>
      </w:r>
      <w:r w:rsidRPr="00C74BDD">
        <w:rPr>
          <w:rFonts w:eastAsiaTheme="minorHAnsi" w:cs="Cambria Math"/>
          <w:b w:val="0"/>
          <w:szCs w:val="22"/>
          <w:lang w:val="en-US" w:eastAsia="en-US"/>
        </w:rPr>
        <w:t>տարվա</w:t>
      </w:r>
      <w:r w:rsidRPr="00C74BDD">
        <w:rPr>
          <w:rFonts w:eastAsiaTheme="minorHAnsi" w:cs="Cambria Math"/>
          <w:b w:val="0"/>
          <w:szCs w:val="22"/>
          <w:lang w:val="af-ZA" w:eastAsia="en-US"/>
        </w:rPr>
        <w:t xml:space="preserve"> </w:t>
      </w:r>
      <w:r w:rsidRPr="00C74BDD">
        <w:rPr>
          <w:rFonts w:eastAsiaTheme="minorHAnsi" w:cs="Cambria Math"/>
          <w:b w:val="0"/>
          <w:szCs w:val="22"/>
          <w:lang w:val="en-US" w:eastAsia="en-US"/>
        </w:rPr>
        <w:t>համեմատությամբ</w:t>
      </w:r>
      <w:r w:rsidRPr="00C74BDD">
        <w:rPr>
          <w:rFonts w:eastAsiaTheme="minorHAnsi" w:cs="Cambria Math"/>
          <w:b w:val="0"/>
          <w:szCs w:val="22"/>
          <w:lang w:val="af-ZA" w:eastAsia="en-US"/>
        </w:rPr>
        <w:t xml:space="preserve"> </w:t>
      </w:r>
      <w:r w:rsidRPr="00C74BDD">
        <w:rPr>
          <w:rFonts w:eastAsiaTheme="minorHAnsi" w:cs="Cambria Math"/>
          <w:b w:val="0"/>
          <w:szCs w:val="22"/>
          <w:lang w:val="en-US" w:eastAsia="en-US"/>
        </w:rPr>
        <w:t>պետական</w:t>
      </w:r>
      <w:r w:rsidRPr="00C74BDD">
        <w:rPr>
          <w:rFonts w:eastAsiaTheme="minorHAnsi" w:cs="Cambria Math"/>
          <w:b w:val="0"/>
          <w:szCs w:val="22"/>
          <w:lang w:val="af-ZA" w:eastAsia="en-US"/>
        </w:rPr>
        <w:t xml:space="preserve"> </w:t>
      </w:r>
      <w:r w:rsidRPr="00C74BDD">
        <w:rPr>
          <w:rFonts w:eastAsiaTheme="minorHAnsi" w:cs="Cambria Math"/>
          <w:b w:val="0"/>
          <w:szCs w:val="22"/>
          <w:lang w:val="en-US" w:eastAsia="en-US"/>
        </w:rPr>
        <w:t>բյուջեի</w:t>
      </w:r>
      <w:r w:rsidRPr="00C74BDD">
        <w:rPr>
          <w:rFonts w:eastAsiaTheme="minorHAnsi" w:cs="Cambria Math"/>
          <w:b w:val="0"/>
          <w:szCs w:val="22"/>
          <w:lang w:val="af-ZA" w:eastAsia="en-US"/>
        </w:rPr>
        <w:t xml:space="preserve"> </w:t>
      </w:r>
      <w:r w:rsidRPr="00C74BDD">
        <w:rPr>
          <w:rFonts w:eastAsiaTheme="minorHAnsi" w:cs="Cambria Math"/>
          <w:b w:val="0"/>
          <w:szCs w:val="22"/>
          <w:lang w:val="en-US" w:eastAsia="en-US"/>
        </w:rPr>
        <w:t>ընդամենը</w:t>
      </w:r>
      <w:r w:rsidRPr="00C74BDD">
        <w:rPr>
          <w:rFonts w:eastAsiaTheme="minorHAnsi" w:cs="Cambria Math"/>
          <w:b w:val="0"/>
          <w:szCs w:val="22"/>
          <w:lang w:val="af-ZA" w:eastAsia="en-US"/>
        </w:rPr>
        <w:t xml:space="preserve"> </w:t>
      </w:r>
      <w:r w:rsidRPr="00C74BDD">
        <w:rPr>
          <w:rFonts w:eastAsiaTheme="minorHAnsi" w:cs="Cambria Math"/>
          <w:b w:val="0"/>
          <w:szCs w:val="22"/>
          <w:lang w:val="en-US" w:eastAsia="en-US"/>
        </w:rPr>
        <w:t>ծախսերի</w:t>
      </w:r>
      <w:r w:rsidRPr="00C74BDD">
        <w:rPr>
          <w:rFonts w:eastAsiaTheme="minorHAnsi" w:cs="Cambria Math"/>
          <w:b w:val="0"/>
          <w:szCs w:val="22"/>
          <w:lang w:val="af-ZA" w:eastAsia="en-US"/>
        </w:rPr>
        <w:t xml:space="preserve"> </w:t>
      </w:r>
      <w:r w:rsidRPr="00C74BDD">
        <w:rPr>
          <w:rFonts w:eastAsiaTheme="minorHAnsi" w:cs="Cambria Math"/>
          <w:b w:val="0"/>
          <w:szCs w:val="22"/>
          <w:lang w:val="en-US" w:eastAsia="en-US"/>
        </w:rPr>
        <w:t>աճը՝</w:t>
      </w:r>
      <w:r w:rsidRPr="00C74BDD">
        <w:rPr>
          <w:rFonts w:eastAsiaTheme="minorHAnsi" w:cs="Cambria Math"/>
          <w:b w:val="0"/>
          <w:szCs w:val="22"/>
          <w:lang w:val="af-ZA" w:eastAsia="en-US"/>
        </w:rPr>
        <w:t xml:space="preserve"> 2020</w:t>
      </w:r>
      <w:r w:rsidRPr="00C74BDD">
        <w:rPr>
          <w:rFonts w:eastAsiaTheme="minorHAnsi" w:cs="Cambria Math"/>
          <w:b w:val="0"/>
          <w:szCs w:val="22"/>
          <w:lang w:val="en-US" w:eastAsia="en-US"/>
        </w:rPr>
        <w:t>թ</w:t>
      </w:r>
      <w:r w:rsidRPr="00C74BDD">
        <w:rPr>
          <w:rFonts w:eastAsiaTheme="minorHAnsi" w:cs="Cambria Math"/>
          <w:b w:val="0"/>
          <w:szCs w:val="22"/>
          <w:lang w:val="af-ZA" w:eastAsia="en-US"/>
        </w:rPr>
        <w:t xml:space="preserve"> </w:t>
      </w:r>
      <w:r w:rsidRPr="00C74BDD">
        <w:rPr>
          <w:rFonts w:eastAsiaTheme="minorHAnsi" w:cs="Cambria Math"/>
          <w:b w:val="0"/>
          <w:szCs w:val="22"/>
          <w:lang w:val="en-US" w:eastAsia="en-US"/>
        </w:rPr>
        <w:t>թվականին՝</w:t>
      </w:r>
      <w:r w:rsidRPr="00C74BDD">
        <w:rPr>
          <w:rFonts w:eastAsiaTheme="minorHAnsi" w:cs="Cambria Math"/>
          <w:b w:val="0"/>
          <w:szCs w:val="22"/>
          <w:lang w:val="af-ZA" w:eastAsia="en-US"/>
        </w:rPr>
        <w:t xml:space="preserve"> 2019</w:t>
      </w:r>
      <w:r>
        <w:rPr>
          <w:rFonts w:eastAsiaTheme="minorHAnsi" w:cs="Cambria Math"/>
          <w:b w:val="0"/>
          <w:szCs w:val="22"/>
          <w:lang w:val="af-ZA" w:eastAsia="en-US"/>
        </w:rPr>
        <w:t xml:space="preserve"> </w:t>
      </w:r>
      <w:r w:rsidRPr="00C74BDD">
        <w:rPr>
          <w:rFonts w:eastAsiaTheme="minorHAnsi" w:cs="Cambria Math"/>
          <w:b w:val="0"/>
          <w:szCs w:val="22"/>
          <w:lang w:val="en-US" w:eastAsia="en-US"/>
        </w:rPr>
        <w:t>թ</w:t>
      </w:r>
      <w:r w:rsidRPr="00C74BDD">
        <w:rPr>
          <w:rFonts w:eastAsiaTheme="minorHAnsi" w:cs="Cambria Math"/>
          <w:b w:val="0"/>
          <w:szCs w:val="22"/>
          <w:lang w:val="hy-AM" w:eastAsia="en-US"/>
        </w:rPr>
        <w:t>վականի</w:t>
      </w:r>
      <w:r w:rsidRPr="00C74BDD">
        <w:rPr>
          <w:rFonts w:eastAsiaTheme="minorHAnsi" w:cs="Cambria Math"/>
          <w:b w:val="0"/>
          <w:szCs w:val="22"/>
          <w:lang w:val="af-ZA" w:eastAsia="en-US"/>
        </w:rPr>
        <w:t xml:space="preserve"> </w:t>
      </w:r>
      <w:r w:rsidRPr="00C74BDD">
        <w:rPr>
          <w:rFonts w:eastAsiaTheme="minorHAnsi" w:cs="Cambria Math"/>
          <w:b w:val="0"/>
          <w:szCs w:val="22"/>
          <w:lang w:val="en-US" w:eastAsia="en-US"/>
        </w:rPr>
        <w:t>համեմատ</w:t>
      </w:r>
      <w:r w:rsidRPr="00C74BDD">
        <w:rPr>
          <w:rFonts w:eastAsiaTheme="minorHAnsi" w:cs="Cambria Math"/>
          <w:b w:val="0"/>
          <w:szCs w:val="22"/>
          <w:lang w:val="af-ZA" w:eastAsia="en-US"/>
        </w:rPr>
        <w:t xml:space="preserve"> 265,6 </w:t>
      </w:r>
      <w:r w:rsidRPr="00C74BDD">
        <w:rPr>
          <w:rFonts w:eastAsiaTheme="minorHAnsi" w:cs="Cambria Math"/>
          <w:b w:val="0"/>
          <w:szCs w:val="22"/>
          <w:lang w:val="en-US" w:eastAsia="en-US"/>
        </w:rPr>
        <w:t>մլրդ</w:t>
      </w:r>
      <w:r w:rsidRPr="00C74BDD">
        <w:rPr>
          <w:rFonts w:eastAsiaTheme="minorHAnsi" w:cs="Cambria Math"/>
          <w:b w:val="0"/>
          <w:szCs w:val="22"/>
          <w:lang w:val="af-ZA" w:eastAsia="en-US"/>
        </w:rPr>
        <w:t xml:space="preserve">. </w:t>
      </w:r>
      <w:r w:rsidRPr="00C74BDD">
        <w:rPr>
          <w:rFonts w:eastAsiaTheme="minorHAnsi" w:cs="Cambria Math"/>
          <w:b w:val="0"/>
          <w:szCs w:val="22"/>
          <w:lang w:val="en-US" w:eastAsia="en-US"/>
        </w:rPr>
        <w:t>ՀՀ</w:t>
      </w:r>
      <w:r w:rsidRPr="00C74BDD">
        <w:rPr>
          <w:rFonts w:eastAsiaTheme="minorHAnsi" w:cs="Cambria Math"/>
          <w:b w:val="0"/>
          <w:szCs w:val="22"/>
          <w:lang w:val="af-ZA" w:eastAsia="en-US"/>
        </w:rPr>
        <w:t xml:space="preserve"> </w:t>
      </w:r>
      <w:r w:rsidRPr="00C74BDD">
        <w:rPr>
          <w:rFonts w:eastAsiaTheme="minorHAnsi" w:cs="Cambria Math"/>
          <w:b w:val="0"/>
          <w:szCs w:val="22"/>
          <w:lang w:val="en-US" w:eastAsia="en-US"/>
        </w:rPr>
        <w:t>դրամի</w:t>
      </w:r>
      <w:r w:rsidRPr="00C74BDD">
        <w:rPr>
          <w:rFonts w:eastAsiaTheme="minorHAnsi" w:cs="Cambria Math"/>
          <w:b w:val="0"/>
          <w:szCs w:val="22"/>
          <w:lang w:val="af-ZA" w:eastAsia="en-US"/>
        </w:rPr>
        <w:t>, 2021</w:t>
      </w:r>
      <w:r w:rsidRPr="00C74BDD">
        <w:rPr>
          <w:rFonts w:eastAsiaTheme="minorHAnsi" w:cs="Cambria Math"/>
          <w:b w:val="0"/>
          <w:szCs w:val="22"/>
          <w:lang w:val="hy-AM" w:eastAsia="en-US"/>
        </w:rPr>
        <w:t xml:space="preserve"> թվականին՝ 2020-ի համեմատ՝ 109.7 մլրդ. ՀՀ դրամի չափով։ Բացառություն չէ նաև 2022թ</w:t>
      </w:r>
      <w:r w:rsidRPr="00C74BDD">
        <w:rPr>
          <w:rFonts w:ascii="Cambria Math" w:eastAsiaTheme="minorHAnsi" w:hAnsi="Cambria Math" w:cs="Cambria Math"/>
          <w:b w:val="0"/>
          <w:szCs w:val="22"/>
          <w:lang w:val="hy-AM" w:eastAsia="en-US"/>
        </w:rPr>
        <w:t>․</w:t>
      </w:r>
      <w:r w:rsidRPr="00C74BDD">
        <w:rPr>
          <w:rFonts w:eastAsiaTheme="minorHAnsi" w:cs="Cambria Math"/>
          <w:b w:val="0"/>
          <w:szCs w:val="22"/>
          <w:lang w:val="hy-AM" w:eastAsia="en-US"/>
        </w:rPr>
        <w:t xml:space="preserve"> պետական բյուջեն, որը նախորդ՝ 2021 թվականի համեմատ հաստատվել է ծախսերի 179.7 մլրդ</w:t>
      </w:r>
      <w:r w:rsidRPr="00C74BDD">
        <w:rPr>
          <w:rFonts w:ascii="Cambria Math" w:eastAsiaTheme="minorHAnsi" w:hAnsi="Cambria Math" w:cs="Cambria Math"/>
          <w:b w:val="0"/>
          <w:szCs w:val="22"/>
          <w:lang w:val="hy-AM" w:eastAsia="en-US"/>
        </w:rPr>
        <w:t>․</w:t>
      </w:r>
      <w:r w:rsidRPr="00C74BDD">
        <w:rPr>
          <w:rFonts w:eastAsiaTheme="minorHAnsi" w:cs="Cambria Math"/>
          <w:b w:val="0"/>
          <w:szCs w:val="22"/>
          <w:lang w:val="hy-AM" w:eastAsia="en-US"/>
        </w:rPr>
        <w:t xml:space="preserve"> ՀՀ դրամ ավել չափով։  Ծախսերի աճման միտումը պահպանվելու է 2023 թվականին</w:t>
      </w:r>
      <w:r w:rsidRPr="00C74BDD">
        <w:rPr>
          <w:rFonts w:ascii="Cambria Math" w:eastAsiaTheme="minorHAnsi" w:hAnsi="Cambria Math" w:cs="Cambria Math"/>
          <w:b w:val="0"/>
          <w:szCs w:val="22"/>
          <w:lang w:val="hy-AM" w:eastAsia="en-US"/>
        </w:rPr>
        <w:t>․</w:t>
      </w:r>
      <w:r w:rsidRPr="00C74BDD">
        <w:rPr>
          <w:rFonts w:eastAsiaTheme="minorHAnsi" w:cs="Cambria Math"/>
          <w:b w:val="0"/>
          <w:szCs w:val="22"/>
          <w:lang w:val="hy-AM" w:eastAsia="en-US"/>
        </w:rPr>
        <w:t xml:space="preserve"> ծախսային չափաքանակների հնարավորությունները սահմանվում են ավելի բարձր, քան նախորդ հաստատված՝ 2022 թվականի բյուջետային ծախսերի չափաքանակներն են՝ շուրջ 40</w:t>
      </w:r>
      <w:r w:rsidRPr="00DA55BC">
        <w:rPr>
          <w:rFonts w:eastAsiaTheme="minorHAnsi" w:cs="Cambria Math"/>
          <w:b w:val="0"/>
          <w:szCs w:val="22"/>
          <w:lang w:val="hy-AM" w:eastAsia="en-US"/>
        </w:rPr>
        <w:t>7</w:t>
      </w:r>
      <w:r w:rsidRPr="00B968EF">
        <w:rPr>
          <w:rFonts w:eastAsiaTheme="minorHAnsi" w:cs="Cambria Math"/>
          <w:b w:val="0"/>
          <w:szCs w:val="22"/>
          <w:lang w:val="hy-AM" w:eastAsia="en-US"/>
        </w:rPr>
        <w:t>.</w:t>
      </w:r>
      <w:r w:rsidRPr="00DA55BC">
        <w:rPr>
          <w:rFonts w:eastAsiaTheme="minorHAnsi" w:cs="Cambria Math"/>
          <w:b w:val="0"/>
          <w:szCs w:val="22"/>
          <w:lang w:val="hy-AM" w:eastAsia="en-US"/>
        </w:rPr>
        <w:t>0</w:t>
      </w:r>
      <w:r w:rsidRPr="00C74BDD">
        <w:rPr>
          <w:rFonts w:eastAsiaTheme="minorHAnsi" w:cs="Cambria Math"/>
          <w:b w:val="0"/>
          <w:szCs w:val="22"/>
          <w:lang w:val="hy-AM" w:eastAsia="en-US"/>
        </w:rPr>
        <w:t xml:space="preserve"> մլրդ ՀՀ դրամի չափով:</w:t>
      </w:r>
    </w:p>
    <w:p w:rsidR="00242CCC" w:rsidRPr="00C74BDD" w:rsidRDefault="00242CCC" w:rsidP="00242CCC">
      <w:pPr>
        <w:spacing w:before="0" w:after="200" w:line="276" w:lineRule="auto"/>
        <w:ind w:firstLine="0"/>
        <w:contextualSpacing w:val="0"/>
        <w:jc w:val="left"/>
        <w:rPr>
          <w:rFonts w:eastAsiaTheme="minorHAnsi" w:cs="Cambria Math"/>
          <w:b w:val="0"/>
          <w:sz w:val="24"/>
          <w:lang w:val="hy-AM" w:eastAsia="en-US"/>
        </w:rPr>
      </w:pPr>
    </w:p>
    <w:p w:rsidR="00242CCC" w:rsidRPr="00C74BDD" w:rsidRDefault="00242CCC" w:rsidP="00242CCC">
      <w:pPr>
        <w:spacing w:before="0" w:after="200" w:line="276" w:lineRule="auto"/>
        <w:ind w:firstLine="0"/>
        <w:contextualSpacing w:val="0"/>
        <w:jc w:val="left"/>
        <w:rPr>
          <w:rFonts w:eastAsiaTheme="minorHAnsi" w:cs="Cambria Math"/>
          <w:b w:val="0"/>
          <w:bCs/>
          <w:i/>
          <w:color w:val="4F81BD" w:themeColor="accent1"/>
          <w:sz w:val="20"/>
          <w:szCs w:val="20"/>
          <w:lang w:val="hy-AM" w:eastAsia="en-US"/>
        </w:rPr>
      </w:pPr>
      <w:bookmarkStart w:id="304" w:name="_Toc83718602"/>
      <w:bookmarkStart w:id="305" w:name="_Toc89428820"/>
      <w:bookmarkStart w:id="306" w:name="_Toc120805291"/>
      <w:r w:rsidRPr="00C74BDD">
        <w:rPr>
          <w:rFonts w:eastAsiaTheme="minorHAnsi" w:cs="Cambria Math"/>
          <w:b w:val="0"/>
          <w:bCs/>
          <w:color w:val="4F81BD" w:themeColor="accent1"/>
          <w:sz w:val="18"/>
          <w:szCs w:val="18"/>
          <w:lang w:val="en-US" w:eastAsia="en-US"/>
        </w:rPr>
        <w:t xml:space="preserve">Գծապատկեր </w:t>
      </w:r>
      <w:r w:rsidRPr="00C74BDD">
        <w:rPr>
          <w:rFonts w:ascii="Calibri" w:eastAsia="Calibri" w:hAnsi="Calibri" w:cs="Cambria Math"/>
          <w:sz w:val="24"/>
          <w:szCs w:val="22"/>
          <w:lang w:val="en-US" w:eastAsia="en-US"/>
        </w:rPr>
        <w:fldChar w:fldCharType="begin"/>
      </w:r>
      <w:r w:rsidRPr="00C74BDD">
        <w:rPr>
          <w:rFonts w:eastAsiaTheme="minorHAnsi" w:cs="Cambria Math"/>
          <w:b w:val="0"/>
          <w:bCs/>
          <w:color w:val="4F81BD" w:themeColor="accent1"/>
          <w:sz w:val="18"/>
          <w:szCs w:val="18"/>
          <w:lang w:val="en-US" w:eastAsia="en-US"/>
        </w:rPr>
        <w:instrText xml:space="preserve"> SEQ Գծապատկեր \* ARABIC </w:instrText>
      </w:r>
      <w:r w:rsidRPr="00C74BDD">
        <w:rPr>
          <w:rFonts w:ascii="Calibri" w:eastAsia="Calibri" w:hAnsi="Calibri" w:cs="Cambria Math"/>
          <w:sz w:val="24"/>
          <w:szCs w:val="22"/>
          <w:lang w:val="en-US" w:eastAsia="en-US"/>
        </w:rPr>
        <w:fldChar w:fldCharType="separate"/>
      </w:r>
      <w:r w:rsidR="008177DF">
        <w:rPr>
          <w:rFonts w:eastAsiaTheme="minorHAnsi" w:cs="Cambria Math"/>
          <w:b w:val="0"/>
          <w:bCs/>
          <w:noProof/>
          <w:color w:val="4F81BD" w:themeColor="accent1"/>
          <w:sz w:val="18"/>
          <w:szCs w:val="18"/>
          <w:lang w:val="en-US" w:eastAsia="en-US"/>
        </w:rPr>
        <w:t>5</w:t>
      </w:r>
      <w:r w:rsidRPr="00C74BDD">
        <w:rPr>
          <w:rFonts w:ascii="Calibri" w:eastAsia="Calibri" w:hAnsi="Calibri" w:cs="Cambria Math"/>
          <w:sz w:val="24"/>
          <w:szCs w:val="22"/>
          <w:lang w:val="en-US" w:eastAsia="en-US"/>
        </w:rPr>
        <w:fldChar w:fldCharType="end"/>
      </w:r>
      <w:r w:rsidRPr="00C74BDD">
        <w:rPr>
          <w:rFonts w:eastAsiaTheme="minorHAnsi" w:cs="Cambria Math"/>
          <w:b w:val="0"/>
          <w:bCs/>
          <w:color w:val="4F81BD" w:themeColor="accent1"/>
          <w:sz w:val="18"/>
          <w:szCs w:val="18"/>
          <w:lang w:val="en-US" w:eastAsia="en-US"/>
        </w:rPr>
        <w:t xml:space="preserve">. </w:t>
      </w:r>
      <w:r w:rsidRPr="00C74BDD">
        <w:rPr>
          <w:rFonts w:eastAsiaTheme="minorHAnsi" w:cs="Cambria Math"/>
          <w:b w:val="0"/>
          <w:bCs/>
          <w:i/>
          <w:color w:val="4F81BD" w:themeColor="accent1"/>
          <w:sz w:val="20"/>
          <w:szCs w:val="20"/>
          <w:lang w:val="hy-AM" w:eastAsia="en-US"/>
        </w:rPr>
        <w:t>2018-2023թթ</w:t>
      </w:r>
      <w:r w:rsidRPr="00C74BDD">
        <w:rPr>
          <w:rFonts w:ascii="Cambria Math" w:eastAsiaTheme="minorHAnsi" w:hAnsi="Cambria Math" w:cs="Cambria Math"/>
          <w:b w:val="0"/>
          <w:bCs/>
          <w:i/>
          <w:color w:val="4F81BD" w:themeColor="accent1"/>
          <w:sz w:val="20"/>
          <w:szCs w:val="20"/>
          <w:lang w:val="hy-AM" w:eastAsia="en-US"/>
        </w:rPr>
        <w:t>․</w:t>
      </w:r>
      <w:r w:rsidRPr="00C74BDD">
        <w:rPr>
          <w:rFonts w:eastAsiaTheme="minorHAnsi" w:cs="Cambria Math"/>
          <w:b w:val="0"/>
          <w:bCs/>
          <w:i/>
          <w:color w:val="4F81BD" w:themeColor="accent1"/>
          <w:sz w:val="20"/>
          <w:szCs w:val="20"/>
          <w:lang w:val="hy-AM" w:eastAsia="en-US"/>
        </w:rPr>
        <w:t xml:space="preserve"> ծախսերի համեմատականը</w:t>
      </w:r>
      <w:bookmarkEnd w:id="304"/>
      <w:bookmarkEnd w:id="305"/>
      <w:bookmarkEnd w:id="306"/>
      <w:r w:rsidRPr="00C74BDD">
        <w:rPr>
          <w:rFonts w:eastAsiaTheme="minorHAnsi" w:cs="Cambria Math"/>
          <w:b w:val="0"/>
          <w:bCs/>
          <w:i/>
          <w:color w:val="4F81BD" w:themeColor="accent1"/>
          <w:sz w:val="20"/>
          <w:szCs w:val="20"/>
          <w:lang w:val="hy-AM" w:eastAsia="en-US"/>
        </w:rPr>
        <w:t xml:space="preserve"> </w:t>
      </w:r>
    </w:p>
    <w:p w:rsidR="00242CCC" w:rsidRPr="00C74BDD" w:rsidRDefault="00242CCC" w:rsidP="00242CCC">
      <w:pPr>
        <w:spacing w:before="0" w:after="200" w:line="276" w:lineRule="auto"/>
        <w:ind w:firstLine="0"/>
        <w:contextualSpacing w:val="0"/>
        <w:jc w:val="left"/>
        <w:rPr>
          <w:rFonts w:eastAsiaTheme="minorHAnsi" w:cs="Cambria Math"/>
          <w:b w:val="0"/>
          <w:sz w:val="24"/>
          <w:lang w:val="en-US" w:eastAsia="en-US"/>
        </w:rPr>
      </w:pPr>
      <w:r w:rsidRPr="00C74BDD">
        <w:rPr>
          <w:rFonts w:eastAsiaTheme="minorHAnsi" w:cs="Cambria Math"/>
          <w:b w:val="0"/>
          <w:noProof/>
          <w:sz w:val="24"/>
          <w:lang w:val="en-US" w:eastAsia="en-US"/>
        </w:rPr>
        <w:drawing>
          <wp:inline distT="0" distB="0" distL="0" distR="0" wp14:anchorId="5D2EBFE4" wp14:editId="658486D6">
            <wp:extent cx="5943600" cy="2974975"/>
            <wp:effectExtent l="0" t="0" r="0" b="0"/>
            <wp:docPr id="11"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42CCC" w:rsidRPr="00C74BDD" w:rsidRDefault="00242CCC" w:rsidP="00242CCC">
      <w:pPr>
        <w:spacing w:before="0" w:after="200" w:line="276" w:lineRule="auto"/>
        <w:contextualSpacing w:val="0"/>
        <w:rPr>
          <w:rFonts w:eastAsiaTheme="minorHAnsi" w:cs="Cambria Math"/>
          <w:b w:val="0"/>
          <w:szCs w:val="22"/>
          <w:lang w:val="en-US" w:eastAsia="en-US"/>
        </w:rPr>
      </w:pPr>
      <w:r w:rsidRPr="00C74BDD">
        <w:rPr>
          <w:rFonts w:eastAsiaTheme="minorHAnsi" w:cs="Cambria Math"/>
          <w:b w:val="0"/>
          <w:szCs w:val="22"/>
          <w:lang w:val="en-US" w:eastAsia="en-US"/>
        </w:rPr>
        <w:t>ՀՀ 201</w:t>
      </w:r>
      <w:r w:rsidRPr="00C74BDD">
        <w:rPr>
          <w:rFonts w:eastAsiaTheme="minorHAnsi" w:cs="Cambria Math"/>
          <w:b w:val="0"/>
          <w:szCs w:val="22"/>
          <w:lang w:val="hy-AM" w:eastAsia="en-US"/>
        </w:rPr>
        <w:t>9</w:t>
      </w:r>
      <w:r w:rsidRPr="00C74BDD">
        <w:rPr>
          <w:rFonts w:eastAsiaTheme="minorHAnsi" w:cs="Cambria Math"/>
          <w:b w:val="0"/>
          <w:szCs w:val="22"/>
          <w:lang w:val="en-US" w:eastAsia="en-US"/>
        </w:rPr>
        <w:t>-202</w:t>
      </w:r>
      <w:r w:rsidRPr="00C74BDD">
        <w:rPr>
          <w:rFonts w:eastAsiaTheme="minorHAnsi" w:cs="Cambria Math"/>
          <w:b w:val="0"/>
          <w:szCs w:val="22"/>
          <w:lang w:val="hy-AM" w:eastAsia="en-US"/>
        </w:rPr>
        <w:t xml:space="preserve">3 </w:t>
      </w:r>
      <w:r w:rsidRPr="00C74BDD">
        <w:rPr>
          <w:rFonts w:eastAsiaTheme="minorHAnsi" w:cs="Cambria Math"/>
          <w:b w:val="0"/>
          <w:szCs w:val="22"/>
          <w:lang w:val="en-US" w:eastAsia="en-US"/>
        </w:rPr>
        <w:t>թվականների պետական բյուջեների ծախսեր՝ ըստ ոլորտ</w:t>
      </w:r>
      <w:r w:rsidRPr="00C74BDD">
        <w:rPr>
          <w:rFonts w:eastAsiaTheme="minorHAnsi" w:cs="Cambria Math"/>
          <w:b w:val="0"/>
          <w:szCs w:val="22"/>
          <w:lang w:val="en-US" w:eastAsia="en-US"/>
        </w:rPr>
        <w:softHyphen/>
        <w:t>ների բնութագրվում են ստորև ներկայացված աղյուսակի ցուցանիշներով:</w:t>
      </w:r>
    </w:p>
    <w:p w:rsidR="00242CCC" w:rsidRPr="00C74BDD" w:rsidRDefault="00242CCC" w:rsidP="00242CCC">
      <w:pPr>
        <w:spacing w:before="0"/>
        <w:rPr>
          <w:bCs/>
          <w:i/>
          <w:color w:val="4F81BD" w:themeColor="accent1"/>
          <w:szCs w:val="22"/>
          <w:lang w:val="hy-AM"/>
        </w:rPr>
      </w:pPr>
    </w:p>
    <w:p w:rsidR="00242CCC" w:rsidRPr="00C74BDD" w:rsidRDefault="00242CCC" w:rsidP="00242CCC">
      <w:pPr>
        <w:spacing w:before="0"/>
        <w:rPr>
          <w:bCs/>
          <w:i/>
          <w:color w:val="4F81BD" w:themeColor="accent1"/>
          <w:sz w:val="20"/>
          <w:szCs w:val="20"/>
          <w:lang w:val="hy-AM"/>
        </w:rPr>
      </w:pPr>
      <w:bookmarkStart w:id="307" w:name="_Toc83728702"/>
      <w:bookmarkStart w:id="308" w:name="_Toc89428774"/>
      <w:bookmarkStart w:id="309" w:name="_Toc120805271"/>
      <w:r w:rsidRPr="00C74BDD">
        <w:rPr>
          <w:bCs/>
          <w:i/>
          <w:color w:val="4F81BD" w:themeColor="accent1"/>
          <w:sz w:val="20"/>
          <w:szCs w:val="20"/>
          <w:lang w:val="hy-AM"/>
        </w:rPr>
        <w:t xml:space="preserve">Աղյուսակ </w:t>
      </w:r>
      <w:r w:rsidRPr="00C74BDD">
        <w:rPr>
          <w:bCs/>
          <w:i/>
          <w:color w:val="4F81BD" w:themeColor="accent1"/>
          <w:sz w:val="20"/>
          <w:szCs w:val="20"/>
          <w:lang w:val="hy-AM"/>
        </w:rPr>
        <w:fldChar w:fldCharType="begin"/>
      </w:r>
      <w:r w:rsidRPr="00C74BDD">
        <w:rPr>
          <w:bCs/>
          <w:i/>
          <w:color w:val="4F81BD" w:themeColor="accent1"/>
          <w:sz w:val="20"/>
          <w:szCs w:val="20"/>
          <w:lang w:val="hy-AM"/>
        </w:rPr>
        <w:instrText xml:space="preserve"> SEQ Աղյուսակ \* ARABIC </w:instrText>
      </w:r>
      <w:r w:rsidRPr="00C74BDD">
        <w:rPr>
          <w:bCs/>
          <w:i/>
          <w:color w:val="4F81BD" w:themeColor="accent1"/>
          <w:sz w:val="20"/>
          <w:szCs w:val="20"/>
          <w:lang w:val="hy-AM"/>
        </w:rPr>
        <w:fldChar w:fldCharType="separate"/>
      </w:r>
      <w:r w:rsidR="008177DF">
        <w:rPr>
          <w:bCs/>
          <w:i/>
          <w:noProof/>
          <w:color w:val="4F81BD" w:themeColor="accent1"/>
          <w:sz w:val="20"/>
          <w:szCs w:val="20"/>
          <w:lang w:val="hy-AM"/>
        </w:rPr>
        <w:t>12</w:t>
      </w:r>
      <w:r w:rsidRPr="00C74BDD">
        <w:rPr>
          <w:bCs/>
          <w:i/>
          <w:color w:val="4F81BD" w:themeColor="accent1"/>
          <w:sz w:val="20"/>
          <w:szCs w:val="20"/>
          <w:lang w:val="hy-AM"/>
        </w:rPr>
        <w:fldChar w:fldCharType="end"/>
      </w:r>
      <w:r w:rsidRPr="00C74BDD">
        <w:rPr>
          <w:rFonts w:ascii="Cambria Math" w:hAnsi="Cambria Math" w:cs="Cambria Math"/>
          <w:bCs/>
          <w:i/>
          <w:color w:val="4F81BD" w:themeColor="accent1"/>
          <w:sz w:val="20"/>
          <w:szCs w:val="20"/>
          <w:lang w:val="hy-AM"/>
        </w:rPr>
        <w:t>․</w:t>
      </w:r>
      <w:r w:rsidRPr="00C74BDD">
        <w:rPr>
          <w:bCs/>
          <w:i/>
          <w:color w:val="4F81BD" w:themeColor="accent1"/>
          <w:sz w:val="20"/>
          <w:szCs w:val="20"/>
          <w:lang w:val="hy-AM"/>
        </w:rPr>
        <w:t xml:space="preserve"> ՀՀ 2019-2023թթ. պետական բյուջեների ծախսերը՝ ըստ ոլորտների (մլն. դրամ)</w:t>
      </w:r>
      <w:bookmarkEnd w:id="307"/>
      <w:bookmarkEnd w:id="308"/>
      <w:bookmarkEnd w:id="309"/>
    </w:p>
    <w:tbl>
      <w:tblPr>
        <w:tblW w:w="52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34"/>
        <w:gridCol w:w="1452"/>
        <w:gridCol w:w="1348"/>
        <w:gridCol w:w="1470"/>
        <w:gridCol w:w="1586"/>
        <w:gridCol w:w="1464"/>
      </w:tblGrid>
      <w:tr w:rsidR="00242CCC" w:rsidRPr="00C74BDD" w:rsidTr="00650C81">
        <w:trPr>
          <w:trHeight w:val="20"/>
          <w:tblHeader/>
        </w:trPr>
        <w:tc>
          <w:tcPr>
            <w:tcW w:w="1465" w:type="pct"/>
            <w:shd w:val="clear" w:color="auto" w:fill="4F81BD" w:themeFill="accent1"/>
            <w:tcMar>
              <w:top w:w="0" w:type="dxa"/>
              <w:left w:w="57" w:type="dxa"/>
              <w:bottom w:w="0" w:type="dxa"/>
              <w:right w:w="57" w:type="dxa"/>
            </w:tcMar>
            <w:vAlign w:val="center"/>
            <w:hideMark/>
          </w:tcPr>
          <w:p w:rsidR="00242CCC" w:rsidRPr="00C74BDD" w:rsidRDefault="00242CCC" w:rsidP="00650C81">
            <w:pPr>
              <w:spacing w:before="0" w:line="276" w:lineRule="auto"/>
              <w:jc w:val="center"/>
              <w:rPr>
                <w:rFonts w:cs="Arial"/>
                <w:b w:val="0"/>
                <w:color w:val="FFFFFF" w:themeColor="background1"/>
                <w:sz w:val="20"/>
                <w:szCs w:val="20"/>
                <w:lang w:val="hy-AM"/>
              </w:rPr>
            </w:pPr>
            <w:r w:rsidRPr="00C74BDD">
              <w:rPr>
                <w:rFonts w:cs="Arial"/>
                <w:b w:val="0"/>
                <w:color w:val="FFFFFF" w:themeColor="background1"/>
                <w:sz w:val="20"/>
                <w:szCs w:val="20"/>
                <w:lang w:val="hy-AM"/>
              </w:rPr>
              <w:t>Ցուցանիշներ</w:t>
            </w:r>
          </w:p>
        </w:tc>
        <w:tc>
          <w:tcPr>
            <w:tcW w:w="701" w:type="pct"/>
            <w:shd w:val="clear" w:color="auto" w:fill="4F81BD" w:themeFill="accent1"/>
            <w:vAlign w:val="center"/>
          </w:tcPr>
          <w:p w:rsidR="00242CCC" w:rsidRPr="00C74BDD" w:rsidRDefault="00242CCC" w:rsidP="00650C81">
            <w:pPr>
              <w:spacing w:before="0" w:line="276" w:lineRule="auto"/>
              <w:ind w:firstLine="0"/>
              <w:jc w:val="left"/>
              <w:rPr>
                <w:rFonts w:cs="Arial"/>
                <w:b w:val="0"/>
                <w:color w:val="FFFFFF" w:themeColor="background1"/>
                <w:sz w:val="20"/>
                <w:szCs w:val="20"/>
                <w:lang w:val="hy-AM"/>
              </w:rPr>
            </w:pPr>
            <w:r w:rsidRPr="00C74BDD">
              <w:rPr>
                <w:rFonts w:cs="Arial"/>
                <w:b w:val="0"/>
                <w:color w:val="FFFFFF" w:themeColor="background1"/>
                <w:sz w:val="20"/>
                <w:szCs w:val="20"/>
                <w:lang w:val="hy-AM"/>
              </w:rPr>
              <w:t>2019թ</w:t>
            </w:r>
            <w:r w:rsidRPr="00C74BDD">
              <w:rPr>
                <w:rFonts w:ascii="Cambria Math" w:hAnsi="Cambria Math" w:cs="Cambria Math"/>
                <w:b w:val="0"/>
                <w:color w:val="FFFFFF" w:themeColor="background1"/>
                <w:sz w:val="20"/>
                <w:szCs w:val="20"/>
                <w:lang w:val="hy-AM"/>
              </w:rPr>
              <w:t>․</w:t>
            </w:r>
            <w:r w:rsidRPr="00C74BDD">
              <w:rPr>
                <w:rFonts w:cs="Arial"/>
                <w:b w:val="0"/>
                <w:color w:val="FFFFFF" w:themeColor="background1"/>
                <w:sz w:val="20"/>
                <w:szCs w:val="20"/>
                <w:lang w:val="hy-AM"/>
              </w:rPr>
              <w:t xml:space="preserve">  փաստացի</w:t>
            </w:r>
          </w:p>
        </w:tc>
        <w:tc>
          <w:tcPr>
            <w:tcW w:w="651" w:type="pct"/>
            <w:shd w:val="clear" w:color="auto" w:fill="4F81BD" w:themeFill="accent1"/>
            <w:vAlign w:val="center"/>
          </w:tcPr>
          <w:p w:rsidR="00242CCC" w:rsidRPr="00C74BDD" w:rsidRDefault="00242CCC" w:rsidP="00650C81">
            <w:pPr>
              <w:spacing w:before="0" w:line="276" w:lineRule="auto"/>
              <w:ind w:firstLine="0"/>
              <w:jc w:val="left"/>
              <w:rPr>
                <w:rFonts w:cs="Arial"/>
                <w:b w:val="0"/>
                <w:color w:val="FFFFFF" w:themeColor="background1"/>
                <w:sz w:val="20"/>
                <w:szCs w:val="20"/>
                <w:lang w:val="hy-AM"/>
              </w:rPr>
            </w:pPr>
            <w:r w:rsidRPr="00C74BDD">
              <w:rPr>
                <w:rFonts w:cs="Arial"/>
                <w:b w:val="0"/>
                <w:color w:val="FFFFFF" w:themeColor="background1"/>
                <w:sz w:val="20"/>
                <w:szCs w:val="20"/>
                <w:lang w:val="hy-AM"/>
              </w:rPr>
              <w:t>2020թ</w:t>
            </w:r>
            <w:r w:rsidRPr="00C74BDD">
              <w:rPr>
                <w:rFonts w:ascii="Cambria Math" w:hAnsi="Cambria Math" w:cs="Cambria Math"/>
                <w:b w:val="0"/>
                <w:color w:val="FFFFFF" w:themeColor="background1"/>
                <w:sz w:val="20"/>
                <w:szCs w:val="20"/>
                <w:lang w:val="hy-AM"/>
              </w:rPr>
              <w:t>․</w:t>
            </w:r>
            <w:r w:rsidRPr="00C74BDD">
              <w:rPr>
                <w:rFonts w:cs="Arial"/>
                <w:b w:val="0"/>
                <w:color w:val="FFFFFF" w:themeColor="background1"/>
                <w:sz w:val="20"/>
                <w:szCs w:val="20"/>
                <w:lang w:val="hy-AM"/>
              </w:rPr>
              <w:t xml:space="preserve"> փաստացի</w:t>
            </w:r>
          </w:p>
        </w:tc>
        <w:tc>
          <w:tcPr>
            <w:tcW w:w="710" w:type="pct"/>
            <w:shd w:val="clear" w:color="auto" w:fill="4F81BD" w:themeFill="accent1"/>
            <w:vAlign w:val="center"/>
            <w:hideMark/>
          </w:tcPr>
          <w:p w:rsidR="00242CCC" w:rsidRPr="00C74BDD" w:rsidRDefault="00242CCC" w:rsidP="00650C81">
            <w:pPr>
              <w:spacing w:before="0" w:line="276" w:lineRule="auto"/>
              <w:ind w:firstLine="0"/>
              <w:jc w:val="left"/>
              <w:rPr>
                <w:rFonts w:cs="Arial"/>
                <w:b w:val="0"/>
                <w:color w:val="FFFFFF" w:themeColor="background1"/>
                <w:sz w:val="20"/>
                <w:szCs w:val="20"/>
                <w:lang w:val="hy-AM"/>
              </w:rPr>
            </w:pPr>
            <w:r w:rsidRPr="00C74BDD">
              <w:rPr>
                <w:rFonts w:cs="Arial"/>
                <w:b w:val="0"/>
                <w:color w:val="FFFFFF" w:themeColor="background1"/>
                <w:sz w:val="20"/>
                <w:szCs w:val="20"/>
                <w:lang w:val="hy-AM"/>
              </w:rPr>
              <w:t>2021թ</w:t>
            </w:r>
            <w:r w:rsidRPr="00C74BDD">
              <w:rPr>
                <w:rFonts w:ascii="Cambria Math" w:hAnsi="Cambria Math" w:cs="Cambria Math"/>
                <w:b w:val="0"/>
                <w:color w:val="FFFFFF" w:themeColor="background1"/>
                <w:sz w:val="20"/>
                <w:szCs w:val="20"/>
                <w:lang w:val="hy-AM"/>
              </w:rPr>
              <w:t>․</w:t>
            </w:r>
            <w:r w:rsidRPr="00C74BDD">
              <w:rPr>
                <w:rFonts w:cs="Arial"/>
                <w:b w:val="0"/>
                <w:color w:val="FFFFFF" w:themeColor="background1"/>
                <w:sz w:val="20"/>
                <w:szCs w:val="20"/>
                <w:lang w:val="hy-AM"/>
              </w:rPr>
              <w:t xml:space="preserve"> փաստացի</w:t>
            </w:r>
          </w:p>
        </w:tc>
        <w:tc>
          <w:tcPr>
            <w:tcW w:w="766" w:type="pct"/>
            <w:shd w:val="clear" w:color="auto" w:fill="4F81BD" w:themeFill="accent1"/>
            <w:vAlign w:val="center"/>
          </w:tcPr>
          <w:p w:rsidR="00242CCC" w:rsidRPr="00C74BDD" w:rsidRDefault="00242CCC" w:rsidP="00650C81">
            <w:pPr>
              <w:spacing w:before="0" w:line="276" w:lineRule="auto"/>
              <w:ind w:firstLine="0"/>
              <w:jc w:val="left"/>
              <w:rPr>
                <w:rFonts w:cs="Arial"/>
                <w:b w:val="0"/>
                <w:color w:val="FFFFFF" w:themeColor="background1"/>
                <w:sz w:val="20"/>
                <w:szCs w:val="20"/>
                <w:lang w:val="hy-AM"/>
              </w:rPr>
            </w:pPr>
            <w:r w:rsidRPr="00C74BDD">
              <w:rPr>
                <w:rFonts w:cs="Arial"/>
                <w:b w:val="0"/>
                <w:color w:val="FFFFFF" w:themeColor="background1"/>
                <w:sz w:val="20"/>
                <w:szCs w:val="20"/>
                <w:lang w:val="hy-AM"/>
              </w:rPr>
              <w:t>2022թ</w:t>
            </w:r>
            <w:r w:rsidRPr="00C74BDD">
              <w:rPr>
                <w:rFonts w:ascii="Cambria Math" w:hAnsi="Cambria Math" w:cs="Cambria Math"/>
                <w:b w:val="0"/>
                <w:color w:val="FFFFFF" w:themeColor="background1"/>
                <w:sz w:val="20"/>
                <w:szCs w:val="20"/>
                <w:lang w:val="hy-AM"/>
              </w:rPr>
              <w:t>․</w:t>
            </w:r>
            <w:r w:rsidRPr="00C74BDD">
              <w:rPr>
                <w:rFonts w:cs="Arial"/>
                <w:b w:val="0"/>
                <w:color w:val="FFFFFF" w:themeColor="background1"/>
                <w:sz w:val="20"/>
                <w:szCs w:val="20"/>
                <w:lang w:val="hy-AM"/>
              </w:rPr>
              <w:t xml:space="preserve"> հաստատված</w:t>
            </w:r>
          </w:p>
        </w:tc>
        <w:tc>
          <w:tcPr>
            <w:tcW w:w="707" w:type="pct"/>
            <w:shd w:val="clear" w:color="auto" w:fill="4F81BD" w:themeFill="accent1"/>
            <w:vAlign w:val="center"/>
          </w:tcPr>
          <w:p w:rsidR="00242CCC" w:rsidRPr="00C74BDD" w:rsidRDefault="00242CCC" w:rsidP="00650C81">
            <w:pPr>
              <w:spacing w:before="0" w:line="276" w:lineRule="auto"/>
              <w:ind w:firstLine="0"/>
              <w:jc w:val="left"/>
              <w:rPr>
                <w:rFonts w:cs="Arial"/>
                <w:b w:val="0"/>
                <w:color w:val="FFFFFF" w:themeColor="background1"/>
                <w:sz w:val="20"/>
                <w:szCs w:val="20"/>
                <w:lang w:val="hy-AM"/>
              </w:rPr>
            </w:pPr>
            <w:r w:rsidRPr="00C74BDD">
              <w:rPr>
                <w:rFonts w:cs="Arial"/>
                <w:b w:val="0"/>
                <w:color w:val="FFFFFF" w:themeColor="background1"/>
                <w:sz w:val="20"/>
                <w:szCs w:val="20"/>
                <w:lang w:val="hy-AM"/>
              </w:rPr>
              <w:t>2023թ. նախագիծ</w:t>
            </w:r>
          </w:p>
        </w:tc>
      </w:tr>
      <w:tr w:rsidR="00242CCC" w:rsidRPr="00C74BDD" w:rsidTr="00650C81">
        <w:trPr>
          <w:trHeight w:val="467"/>
        </w:trPr>
        <w:tc>
          <w:tcPr>
            <w:tcW w:w="1465" w:type="pct"/>
            <w:shd w:val="clear" w:color="auto" w:fill="C6D9F1" w:themeFill="text2" w:themeFillTint="33"/>
            <w:tcMar>
              <w:top w:w="0" w:type="dxa"/>
              <w:left w:w="57" w:type="dxa"/>
              <w:bottom w:w="0" w:type="dxa"/>
              <w:right w:w="57" w:type="dxa"/>
            </w:tcMar>
            <w:vAlign w:val="center"/>
            <w:hideMark/>
          </w:tcPr>
          <w:p w:rsidR="00242CCC" w:rsidRPr="00C74BDD" w:rsidRDefault="00242CCC" w:rsidP="00650C81">
            <w:pPr>
              <w:spacing w:before="0" w:line="276" w:lineRule="auto"/>
              <w:ind w:firstLine="0"/>
              <w:rPr>
                <w:rFonts w:cs="Arial"/>
                <w:sz w:val="20"/>
                <w:szCs w:val="20"/>
              </w:rPr>
            </w:pPr>
            <w:r w:rsidRPr="00C74BDD">
              <w:rPr>
                <w:rFonts w:cs="Arial"/>
                <w:sz w:val="20"/>
                <w:szCs w:val="20"/>
              </w:rPr>
              <w:t>ԸՆԴԱՄԵՆԸ</w:t>
            </w:r>
          </w:p>
        </w:tc>
        <w:tc>
          <w:tcPr>
            <w:tcW w:w="701" w:type="pct"/>
            <w:shd w:val="clear" w:color="auto" w:fill="C6D9F1" w:themeFill="text2" w:themeFillTint="33"/>
          </w:tcPr>
          <w:p w:rsidR="00242CCC" w:rsidRPr="00C74BDD" w:rsidRDefault="00242CCC" w:rsidP="00401AC9">
            <w:pPr>
              <w:spacing w:before="0" w:line="276" w:lineRule="auto"/>
              <w:ind w:firstLine="0"/>
              <w:jc w:val="right"/>
              <w:rPr>
                <w:rFonts w:cs="Arial"/>
                <w:sz w:val="20"/>
                <w:szCs w:val="20"/>
              </w:rPr>
            </w:pPr>
            <w:r w:rsidRPr="00C74BDD">
              <w:rPr>
                <w:rFonts w:cs="Arial"/>
                <w:sz w:val="20"/>
                <w:szCs w:val="20"/>
              </w:rPr>
              <w:t>1,629,436.9</w:t>
            </w:r>
          </w:p>
        </w:tc>
        <w:tc>
          <w:tcPr>
            <w:tcW w:w="651" w:type="pct"/>
            <w:shd w:val="clear" w:color="auto" w:fill="C6D9F1" w:themeFill="text2" w:themeFillTint="33"/>
          </w:tcPr>
          <w:p w:rsidR="00242CCC" w:rsidRPr="00C74BDD" w:rsidRDefault="00242CCC" w:rsidP="00401AC9">
            <w:pPr>
              <w:spacing w:before="0" w:line="276" w:lineRule="auto"/>
              <w:ind w:firstLine="0"/>
              <w:jc w:val="right"/>
              <w:rPr>
                <w:rFonts w:cs="Arial"/>
                <w:sz w:val="20"/>
                <w:szCs w:val="20"/>
              </w:rPr>
            </w:pPr>
            <w:r w:rsidRPr="00C74BDD">
              <w:rPr>
                <w:rFonts w:cs="Arial"/>
                <w:sz w:val="20"/>
                <w:szCs w:val="20"/>
              </w:rPr>
              <w:t>1,894,647.0</w:t>
            </w:r>
          </w:p>
        </w:tc>
        <w:tc>
          <w:tcPr>
            <w:tcW w:w="710" w:type="pct"/>
            <w:shd w:val="clear" w:color="auto" w:fill="C6D9F1" w:themeFill="text2" w:themeFillTint="33"/>
            <w:tcMar>
              <w:top w:w="0" w:type="dxa"/>
              <w:left w:w="30" w:type="dxa"/>
              <w:bottom w:w="0" w:type="dxa"/>
              <w:right w:w="30" w:type="dxa"/>
            </w:tcMar>
          </w:tcPr>
          <w:p w:rsidR="00242CCC" w:rsidRPr="00C74BDD" w:rsidRDefault="00242CCC" w:rsidP="00A9535E">
            <w:pPr>
              <w:spacing w:before="0" w:line="276" w:lineRule="auto"/>
              <w:ind w:firstLine="0"/>
              <w:jc w:val="right"/>
              <w:rPr>
                <w:rFonts w:cs="Arial"/>
                <w:sz w:val="20"/>
                <w:szCs w:val="20"/>
              </w:rPr>
            </w:pPr>
            <w:r w:rsidRPr="00C74BDD">
              <w:rPr>
                <w:rFonts w:cs="Arial"/>
                <w:sz w:val="20"/>
                <w:szCs w:val="20"/>
              </w:rPr>
              <w:t>2,004,300</w:t>
            </w:r>
            <w:r w:rsidR="00A9535E">
              <w:rPr>
                <w:rFonts w:cs="Arial"/>
                <w:sz w:val="20"/>
                <w:szCs w:val="20"/>
                <w:lang w:val="en-US"/>
              </w:rPr>
              <w:t>.</w:t>
            </w:r>
            <w:r w:rsidRPr="00C74BDD">
              <w:rPr>
                <w:rFonts w:cs="Arial"/>
                <w:sz w:val="20"/>
                <w:szCs w:val="20"/>
              </w:rPr>
              <w:t>9</w:t>
            </w:r>
          </w:p>
        </w:tc>
        <w:tc>
          <w:tcPr>
            <w:tcW w:w="766" w:type="pct"/>
            <w:shd w:val="clear" w:color="auto" w:fill="C6D9F1" w:themeFill="text2" w:themeFillTint="33"/>
          </w:tcPr>
          <w:p w:rsidR="00242CCC" w:rsidRPr="00C74BDD" w:rsidRDefault="00242CCC" w:rsidP="00401AC9">
            <w:pPr>
              <w:spacing w:before="0" w:line="276" w:lineRule="auto"/>
              <w:ind w:firstLine="0"/>
              <w:jc w:val="right"/>
              <w:rPr>
                <w:rFonts w:cs="Arial"/>
                <w:sz w:val="20"/>
                <w:szCs w:val="20"/>
              </w:rPr>
            </w:pPr>
            <w:r w:rsidRPr="00C74BDD">
              <w:rPr>
                <w:rFonts w:cs="Arial"/>
                <w:sz w:val="20"/>
                <w:szCs w:val="20"/>
              </w:rPr>
              <w:t>2,184,040.1</w:t>
            </w:r>
          </w:p>
        </w:tc>
        <w:tc>
          <w:tcPr>
            <w:tcW w:w="707" w:type="pct"/>
            <w:shd w:val="clear" w:color="auto" w:fill="C6D9F1" w:themeFill="text2" w:themeFillTint="33"/>
          </w:tcPr>
          <w:p w:rsidR="00242CCC" w:rsidRPr="001C2B17" w:rsidRDefault="00242CCC" w:rsidP="001C2B17">
            <w:pPr>
              <w:spacing w:before="0" w:line="276" w:lineRule="auto"/>
              <w:ind w:firstLine="0"/>
              <w:jc w:val="right"/>
              <w:rPr>
                <w:rFonts w:cs="Arial"/>
                <w:sz w:val="20"/>
                <w:szCs w:val="20"/>
                <w:lang w:val="en-US"/>
              </w:rPr>
            </w:pPr>
            <w:r w:rsidRPr="00C74BDD">
              <w:rPr>
                <w:rFonts w:cs="Arial"/>
                <w:sz w:val="20"/>
                <w:szCs w:val="20"/>
              </w:rPr>
              <w:t>2,590,</w:t>
            </w:r>
            <w:r>
              <w:rPr>
                <w:rFonts w:cs="Arial"/>
                <w:sz w:val="20"/>
                <w:szCs w:val="20"/>
              </w:rPr>
              <w:t>973.</w:t>
            </w:r>
            <w:r w:rsidR="001C2B17">
              <w:rPr>
                <w:rFonts w:cs="Arial"/>
                <w:sz w:val="20"/>
                <w:szCs w:val="20"/>
                <w:lang w:val="en-US"/>
              </w:rPr>
              <w:t>1</w:t>
            </w:r>
          </w:p>
        </w:tc>
      </w:tr>
      <w:tr w:rsidR="00242CCC" w:rsidRPr="00C74BDD" w:rsidTr="00650C81">
        <w:trPr>
          <w:trHeight w:val="645"/>
        </w:trPr>
        <w:tc>
          <w:tcPr>
            <w:tcW w:w="1465" w:type="pct"/>
            <w:shd w:val="solid" w:color="FFFFFF" w:fill="auto"/>
            <w:tcMar>
              <w:top w:w="0" w:type="dxa"/>
              <w:left w:w="57" w:type="dxa"/>
              <w:bottom w:w="0" w:type="dxa"/>
              <w:right w:w="57" w:type="dxa"/>
            </w:tcMar>
            <w:vAlign w:val="center"/>
            <w:hideMark/>
          </w:tcPr>
          <w:p w:rsidR="00242CCC" w:rsidRPr="00C74BDD" w:rsidRDefault="00242CCC" w:rsidP="00650C81">
            <w:pPr>
              <w:spacing w:before="0" w:line="276" w:lineRule="auto"/>
              <w:ind w:firstLine="0"/>
              <w:jc w:val="left"/>
              <w:rPr>
                <w:rFonts w:cs="Arial"/>
                <w:b w:val="0"/>
                <w:bCs/>
                <w:sz w:val="20"/>
                <w:szCs w:val="20"/>
              </w:rPr>
            </w:pPr>
            <w:r w:rsidRPr="00C74BDD">
              <w:rPr>
                <w:rFonts w:cs="Arial"/>
                <w:b w:val="0"/>
                <w:bCs/>
                <w:sz w:val="20"/>
                <w:szCs w:val="20"/>
              </w:rPr>
              <w:t>- Հարաբերությունը ՀՆԱ-ի նկատմամբ (%)</w:t>
            </w:r>
          </w:p>
        </w:tc>
        <w:tc>
          <w:tcPr>
            <w:tcW w:w="701" w:type="pct"/>
            <w:shd w:val="solid" w:color="FFFFFF" w:fill="auto"/>
          </w:tcPr>
          <w:p w:rsidR="00242CCC" w:rsidRPr="00C74BDD" w:rsidRDefault="00242CCC" w:rsidP="00401AC9">
            <w:pPr>
              <w:spacing w:before="0" w:line="276" w:lineRule="auto"/>
              <w:ind w:firstLine="0"/>
              <w:jc w:val="right"/>
              <w:rPr>
                <w:rFonts w:cs="Arial"/>
                <w:b w:val="0"/>
                <w:bCs/>
                <w:sz w:val="20"/>
                <w:szCs w:val="20"/>
              </w:rPr>
            </w:pPr>
            <w:r w:rsidRPr="00C74BDD">
              <w:rPr>
                <w:rFonts w:cs="Arial"/>
                <w:b w:val="0"/>
                <w:bCs/>
                <w:sz w:val="20"/>
                <w:szCs w:val="20"/>
              </w:rPr>
              <w:t>24.8%</w:t>
            </w:r>
          </w:p>
        </w:tc>
        <w:tc>
          <w:tcPr>
            <w:tcW w:w="651" w:type="pct"/>
            <w:shd w:val="solid" w:color="FFFFFF" w:fill="auto"/>
          </w:tcPr>
          <w:p w:rsidR="00242CCC" w:rsidRPr="00C74BDD" w:rsidRDefault="00242CCC" w:rsidP="00401AC9">
            <w:pPr>
              <w:spacing w:before="0" w:line="276" w:lineRule="auto"/>
              <w:ind w:firstLine="0"/>
              <w:jc w:val="right"/>
              <w:rPr>
                <w:rFonts w:cs="Arial"/>
                <w:b w:val="0"/>
                <w:bCs/>
                <w:sz w:val="20"/>
                <w:szCs w:val="20"/>
              </w:rPr>
            </w:pPr>
            <w:r w:rsidRPr="00C74BDD">
              <w:rPr>
                <w:rFonts w:cs="Arial"/>
                <w:b w:val="0"/>
                <w:bCs/>
                <w:sz w:val="20"/>
                <w:szCs w:val="20"/>
              </w:rPr>
              <w:t>30.6%</w:t>
            </w:r>
          </w:p>
        </w:tc>
        <w:tc>
          <w:tcPr>
            <w:tcW w:w="710" w:type="pct"/>
            <w:shd w:val="solid" w:color="FFFFFF" w:fill="auto"/>
            <w:tcMar>
              <w:top w:w="0" w:type="dxa"/>
              <w:left w:w="30" w:type="dxa"/>
              <w:bottom w:w="0" w:type="dxa"/>
              <w:right w:w="30" w:type="dxa"/>
            </w:tcMar>
          </w:tcPr>
          <w:p w:rsidR="00242CCC" w:rsidRPr="00C74BDD" w:rsidRDefault="00242CCC" w:rsidP="00401AC9">
            <w:pPr>
              <w:spacing w:before="0" w:line="276" w:lineRule="auto"/>
              <w:ind w:firstLine="0"/>
              <w:jc w:val="right"/>
              <w:rPr>
                <w:rFonts w:cs="Arial"/>
                <w:b w:val="0"/>
                <w:bCs/>
                <w:sz w:val="20"/>
                <w:szCs w:val="20"/>
              </w:rPr>
            </w:pPr>
            <w:r w:rsidRPr="00C74BDD">
              <w:rPr>
                <w:rFonts w:cs="Arial"/>
                <w:b w:val="0"/>
                <w:bCs/>
                <w:sz w:val="20"/>
                <w:szCs w:val="20"/>
              </w:rPr>
              <w:t>28,7%</w:t>
            </w:r>
          </w:p>
        </w:tc>
        <w:tc>
          <w:tcPr>
            <w:tcW w:w="766" w:type="pct"/>
            <w:shd w:val="solid" w:color="FFFFFF" w:fill="auto"/>
          </w:tcPr>
          <w:p w:rsidR="00242CCC" w:rsidRPr="00C74BDD" w:rsidRDefault="00242CCC" w:rsidP="00401AC9">
            <w:pPr>
              <w:spacing w:before="0" w:line="276" w:lineRule="auto"/>
              <w:ind w:firstLine="0"/>
              <w:jc w:val="right"/>
              <w:rPr>
                <w:rFonts w:cs="Arial"/>
                <w:b w:val="0"/>
                <w:bCs/>
                <w:sz w:val="20"/>
                <w:szCs w:val="20"/>
              </w:rPr>
            </w:pPr>
            <w:r w:rsidRPr="00C74BDD">
              <w:rPr>
                <w:rFonts w:cs="Arial"/>
                <w:b w:val="0"/>
                <w:bCs/>
                <w:sz w:val="20"/>
                <w:szCs w:val="20"/>
              </w:rPr>
              <w:t>27.8%</w:t>
            </w:r>
          </w:p>
        </w:tc>
        <w:tc>
          <w:tcPr>
            <w:tcW w:w="707" w:type="pct"/>
            <w:shd w:val="solid" w:color="FFFFFF" w:fill="auto"/>
          </w:tcPr>
          <w:p w:rsidR="00242CCC" w:rsidRPr="00C74BDD" w:rsidRDefault="00242CCC" w:rsidP="00401AC9">
            <w:pPr>
              <w:spacing w:before="0" w:line="276" w:lineRule="auto"/>
              <w:ind w:firstLine="0"/>
              <w:jc w:val="right"/>
              <w:rPr>
                <w:rFonts w:cs="Arial"/>
                <w:b w:val="0"/>
                <w:bCs/>
                <w:sz w:val="20"/>
                <w:szCs w:val="20"/>
              </w:rPr>
            </w:pPr>
            <w:r w:rsidRPr="00C74BDD">
              <w:rPr>
                <w:rFonts w:cs="Arial"/>
                <w:b w:val="0"/>
                <w:bCs/>
                <w:sz w:val="20"/>
                <w:szCs w:val="20"/>
              </w:rPr>
              <w:t>27.8%</w:t>
            </w:r>
          </w:p>
        </w:tc>
      </w:tr>
      <w:tr w:rsidR="00242CCC" w:rsidRPr="00C74BDD" w:rsidTr="00650C81">
        <w:trPr>
          <w:trHeight w:val="20"/>
        </w:trPr>
        <w:tc>
          <w:tcPr>
            <w:tcW w:w="1465" w:type="pct"/>
            <w:shd w:val="clear" w:color="auto" w:fill="C6D9F1" w:themeFill="text2" w:themeFillTint="33"/>
            <w:tcMar>
              <w:top w:w="0" w:type="dxa"/>
              <w:left w:w="57" w:type="dxa"/>
              <w:bottom w:w="0" w:type="dxa"/>
              <w:right w:w="57" w:type="dxa"/>
            </w:tcMar>
            <w:vAlign w:val="center"/>
            <w:hideMark/>
          </w:tcPr>
          <w:p w:rsidR="00242CCC" w:rsidRPr="003E5BC9" w:rsidRDefault="00242CCC" w:rsidP="00650C81">
            <w:pPr>
              <w:spacing w:before="0" w:line="276" w:lineRule="auto"/>
              <w:ind w:firstLine="0"/>
              <w:jc w:val="left"/>
              <w:rPr>
                <w:rFonts w:cs="Arial"/>
                <w:sz w:val="20"/>
                <w:szCs w:val="20"/>
              </w:rPr>
            </w:pPr>
            <w:r w:rsidRPr="00C74BDD">
              <w:rPr>
                <w:rFonts w:cs="Arial"/>
                <w:sz w:val="20"/>
                <w:szCs w:val="20"/>
              </w:rPr>
              <w:t>ԸՆԴՀԱՆՈՒՐ</w:t>
            </w:r>
            <w:r w:rsidRPr="003E5BC9">
              <w:rPr>
                <w:rFonts w:cs="Arial"/>
                <w:sz w:val="20"/>
                <w:szCs w:val="20"/>
              </w:rPr>
              <w:t xml:space="preserve"> </w:t>
            </w:r>
            <w:r w:rsidRPr="00C74BDD">
              <w:rPr>
                <w:rFonts w:cs="Arial"/>
                <w:sz w:val="20"/>
                <w:szCs w:val="20"/>
              </w:rPr>
              <w:t>ԲՆՈՒՅԹԻ</w:t>
            </w:r>
            <w:r w:rsidRPr="003E5BC9">
              <w:rPr>
                <w:rFonts w:cs="Arial"/>
                <w:sz w:val="20"/>
                <w:szCs w:val="20"/>
              </w:rPr>
              <w:t xml:space="preserve"> </w:t>
            </w:r>
            <w:r w:rsidRPr="00C74BDD">
              <w:rPr>
                <w:rFonts w:cs="Arial"/>
                <w:sz w:val="20"/>
                <w:szCs w:val="20"/>
              </w:rPr>
              <w:t>ՀԱՆՐԱՅԻՆ</w:t>
            </w:r>
            <w:r w:rsidRPr="003E5BC9">
              <w:rPr>
                <w:rFonts w:cs="Arial"/>
                <w:sz w:val="20"/>
                <w:szCs w:val="20"/>
              </w:rPr>
              <w:t xml:space="preserve"> </w:t>
            </w:r>
            <w:r w:rsidRPr="00C74BDD">
              <w:rPr>
                <w:rFonts w:cs="Arial"/>
                <w:sz w:val="20"/>
                <w:szCs w:val="20"/>
              </w:rPr>
              <w:t>ԾԱՌԱՅՈՒԹՅՈՒՆՆԵՐ</w:t>
            </w:r>
            <w:r w:rsidRPr="003E5BC9">
              <w:rPr>
                <w:rFonts w:cs="Arial"/>
                <w:sz w:val="20"/>
                <w:szCs w:val="20"/>
              </w:rPr>
              <w:t xml:space="preserve">  </w:t>
            </w:r>
            <w:r w:rsidRPr="00C74BDD">
              <w:rPr>
                <w:rFonts w:cs="Arial"/>
                <w:sz w:val="20"/>
                <w:szCs w:val="20"/>
              </w:rPr>
              <w:t>ԵՎ</w:t>
            </w:r>
            <w:r w:rsidRPr="003E5BC9">
              <w:rPr>
                <w:rFonts w:cs="Arial"/>
                <w:sz w:val="20"/>
                <w:szCs w:val="20"/>
              </w:rPr>
              <w:t xml:space="preserve"> </w:t>
            </w:r>
            <w:r w:rsidRPr="00C74BDD">
              <w:rPr>
                <w:rFonts w:cs="Arial"/>
                <w:sz w:val="20"/>
                <w:szCs w:val="20"/>
              </w:rPr>
              <w:t>ՊԱՀՈՒՍՏԱՅԻՆ</w:t>
            </w:r>
            <w:r w:rsidRPr="003E5BC9">
              <w:rPr>
                <w:rFonts w:cs="Arial"/>
                <w:sz w:val="20"/>
                <w:szCs w:val="20"/>
              </w:rPr>
              <w:t xml:space="preserve"> </w:t>
            </w:r>
            <w:r w:rsidRPr="00C74BDD">
              <w:rPr>
                <w:rFonts w:cs="Arial"/>
                <w:sz w:val="20"/>
                <w:szCs w:val="20"/>
              </w:rPr>
              <w:t>ՖՈՆԴԵՐ</w:t>
            </w:r>
          </w:p>
        </w:tc>
        <w:tc>
          <w:tcPr>
            <w:tcW w:w="701" w:type="pct"/>
            <w:shd w:val="clear" w:color="auto" w:fill="C6D9F1" w:themeFill="text2" w:themeFillTint="33"/>
          </w:tcPr>
          <w:p w:rsidR="00242CCC" w:rsidRPr="00C74BDD" w:rsidRDefault="00242CCC" w:rsidP="00401AC9">
            <w:pPr>
              <w:spacing w:before="0" w:line="276" w:lineRule="auto"/>
              <w:ind w:firstLine="0"/>
              <w:jc w:val="right"/>
              <w:rPr>
                <w:rFonts w:cs="Arial"/>
                <w:sz w:val="20"/>
                <w:szCs w:val="20"/>
              </w:rPr>
            </w:pPr>
            <w:r w:rsidRPr="00C74BDD">
              <w:rPr>
                <w:rFonts w:cs="Arial"/>
                <w:sz w:val="20"/>
                <w:szCs w:val="20"/>
              </w:rPr>
              <w:t>320,072.9</w:t>
            </w:r>
          </w:p>
        </w:tc>
        <w:tc>
          <w:tcPr>
            <w:tcW w:w="651" w:type="pct"/>
            <w:shd w:val="clear" w:color="auto" w:fill="C6D9F1" w:themeFill="text2" w:themeFillTint="33"/>
          </w:tcPr>
          <w:p w:rsidR="00242CCC" w:rsidRPr="00C74BDD" w:rsidRDefault="00242CCC" w:rsidP="00401AC9">
            <w:pPr>
              <w:spacing w:before="0" w:line="276" w:lineRule="auto"/>
              <w:ind w:firstLine="0"/>
              <w:jc w:val="right"/>
              <w:rPr>
                <w:rFonts w:cs="Arial"/>
                <w:sz w:val="20"/>
                <w:szCs w:val="20"/>
              </w:rPr>
            </w:pPr>
            <w:r w:rsidRPr="00C74BDD">
              <w:rPr>
                <w:rFonts w:cs="Arial"/>
                <w:sz w:val="20"/>
                <w:szCs w:val="20"/>
              </w:rPr>
              <w:t>344,340.6</w:t>
            </w:r>
          </w:p>
        </w:tc>
        <w:tc>
          <w:tcPr>
            <w:tcW w:w="710" w:type="pct"/>
            <w:shd w:val="clear" w:color="auto" w:fill="C6D9F1" w:themeFill="text2" w:themeFillTint="33"/>
            <w:tcMar>
              <w:top w:w="0" w:type="dxa"/>
              <w:left w:w="30" w:type="dxa"/>
              <w:bottom w:w="0" w:type="dxa"/>
              <w:right w:w="30" w:type="dxa"/>
            </w:tcMar>
          </w:tcPr>
          <w:p w:rsidR="00242CCC" w:rsidRPr="00C74BDD" w:rsidRDefault="00A9535E" w:rsidP="00401AC9">
            <w:pPr>
              <w:spacing w:before="0" w:line="276" w:lineRule="auto"/>
              <w:ind w:firstLine="0"/>
              <w:jc w:val="right"/>
              <w:rPr>
                <w:rFonts w:cs="Arial"/>
                <w:sz w:val="20"/>
                <w:szCs w:val="20"/>
              </w:rPr>
            </w:pPr>
            <w:r>
              <w:rPr>
                <w:rFonts w:cs="Arial"/>
                <w:sz w:val="20"/>
                <w:szCs w:val="20"/>
              </w:rPr>
              <w:t>380,973</w:t>
            </w:r>
            <w:r>
              <w:rPr>
                <w:rFonts w:cs="Arial"/>
                <w:sz w:val="20"/>
                <w:szCs w:val="20"/>
                <w:lang w:val="en-US"/>
              </w:rPr>
              <w:t>.</w:t>
            </w:r>
            <w:r w:rsidR="00242CCC" w:rsidRPr="00C74BDD">
              <w:rPr>
                <w:rFonts w:cs="Arial"/>
                <w:sz w:val="20"/>
                <w:szCs w:val="20"/>
              </w:rPr>
              <w:t>3</w:t>
            </w:r>
          </w:p>
        </w:tc>
        <w:tc>
          <w:tcPr>
            <w:tcW w:w="766" w:type="pct"/>
            <w:shd w:val="clear" w:color="auto" w:fill="C6D9F1" w:themeFill="text2" w:themeFillTint="33"/>
          </w:tcPr>
          <w:p w:rsidR="00242CCC" w:rsidRPr="00C74BDD" w:rsidRDefault="00242CCC" w:rsidP="00401AC9">
            <w:pPr>
              <w:spacing w:before="0" w:line="276" w:lineRule="auto"/>
              <w:ind w:firstLine="0"/>
              <w:jc w:val="right"/>
              <w:rPr>
                <w:rFonts w:cs="Arial"/>
                <w:sz w:val="20"/>
                <w:szCs w:val="20"/>
              </w:rPr>
            </w:pPr>
            <w:r w:rsidRPr="00C74BDD">
              <w:rPr>
                <w:rFonts w:cs="Arial"/>
                <w:sz w:val="20"/>
                <w:szCs w:val="20"/>
              </w:rPr>
              <w:t>498,427.9</w:t>
            </w:r>
          </w:p>
        </w:tc>
        <w:tc>
          <w:tcPr>
            <w:tcW w:w="707" w:type="pct"/>
            <w:shd w:val="clear" w:color="auto" w:fill="C6D9F1" w:themeFill="text2" w:themeFillTint="33"/>
          </w:tcPr>
          <w:p w:rsidR="00242CCC" w:rsidRPr="0003683A" w:rsidRDefault="00242CCC" w:rsidP="0003683A">
            <w:pPr>
              <w:spacing w:before="0" w:after="200" w:line="276" w:lineRule="auto"/>
              <w:ind w:firstLine="0"/>
              <w:contextualSpacing w:val="0"/>
              <w:jc w:val="right"/>
              <w:rPr>
                <w:rFonts w:cs="Arial"/>
                <w:sz w:val="20"/>
                <w:szCs w:val="20"/>
                <w:lang w:val="en-US"/>
              </w:rPr>
            </w:pPr>
            <w:r>
              <w:rPr>
                <w:rFonts w:eastAsiaTheme="minorHAnsi" w:cs="Cambria Math"/>
                <w:bCs/>
                <w:sz w:val="20"/>
                <w:szCs w:val="20"/>
                <w:lang w:eastAsia="en-US"/>
              </w:rPr>
              <w:t>549,</w:t>
            </w:r>
            <w:r w:rsidR="0003683A">
              <w:rPr>
                <w:rFonts w:eastAsiaTheme="minorHAnsi" w:cs="Cambria Math"/>
                <w:bCs/>
                <w:sz w:val="20"/>
                <w:szCs w:val="20"/>
                <w:lang w:val="en-US" w:eastAsia="en-US"/>
              </w:rPr>
              <w:t>388</w:t>
            </w:r>
            <w:r>
              <w:rPr>
                <w:rFonts w:eastAsiaTheme="minorHAnsi" w:cs="Cambria Math"/>
                <w:bCs/>
                <w:sz w:val="20"/>
                <w:szCs w:val="20"/>
                <w:lang w:eastAsia="en-US"/>
              </w:rPr>
              <w:t>.</w:t>
            </w:r>
            <w:r w:rsidR="0003683A">
              <w:rPr>
                <w:rFonts w:eastAsiaTheme="minorHAnsi" w:cs="Cambria Math"/>
                <w:bCs/>
                <w:sz w:val="20"/>
                <w:szCs w:val="20"/>
                <w:lang w:val="en-US" w:eastAsia="en-US"/>
              </w:rPr>
              <w:t>2</w:t>
            </w:r>
          </w:p>
        </w:tc>
      </w:tr>
      <w:tr w:rsidR="00242CCC" w:rsidRPr="00C74BDD" w:rsidTr="00650C81">
        <w:trPr>
          <w:trHeight w:val="417"/>
        </w:trPr>
        <w:tc>
          <w:tcPr>
            <w:tcW w:w="1465" w:type="pct"/>
            <w:shd w:val="solid" w:color="FFFFFF" w:fill="auto"/>
            <w:tcMar>
              <w:top w:w="0" w:type="dxa"/>
              <w:left w:w="57" w:type="dxa"/>
              <w:bottom w:w="0" w:type="dxa"/>
              <w:right w:w="57" w:type="dxa"/>
            </w:tcMar>
            <w:vAlign w:val="center"/>
            <w:hideMark/>
          </w:tcPr>
          <w:p w:rsidR="00242CCC" w:rsidRPr="00C74BDD" w:rsidRDefault="00242CCC" w:rsidP="00650C81">
            <w:pPr>
              <w:spacing w:before="0" w:line="276" w:lineRule="auto"/>
              <w:ind w:firstLine="0"/>
              <w:jc w:val="left"/>
              <w:rPr>
                <w:rFonts w:cs="Arial"/>
                <w:b w:val="0"/>
                <w:bCs/>
                <w:sz w:val="20"/>
                <w:szCs w:val="20"/>
              </w:rPr>
            </w:pPr>
            <w:r w:rsidRPr="00C74BDD">
              <w:rPr>
                <w:rFonts w:cs="Arial"/>
                <w:b w:val="0"/>
                <w:bCs/>
                <w:sz w:val="20"/>
                <w:szCs w:val="20"/>
              </w:rPr>
              <w:t>- Հարաբերությունը ՀՆԱ-ի նկատմամբ (%)</w:t>
            </w:r>
          </w:p>
        </w:tc>
        <w:tc>
          <w:tcPr>
            <w:tcW w:w="701" w:type="pct"/>
            <w:shd w:val="solid" w:color="FFFFFF" w:fill="auto"/>
          </w:tcPr>
          <w:p w:rsidR="00242CCC" w:rsidRPr="00C74BDD" w:rsidRDefault="00242CCC" w:rsidP="00401AC9">
            <w:pPr>
              <w:spacing w:before="0" w:line="276" w:lineRule="auto"/>
              <w:ind w:firstLine="0"/>
              <w:jc w:val="right"/>
              <w:rPr>
                <w:rFonts w:cs="Arial"/>
                <w:b w:val="0"/>
                <w:bCs/>
                <w:sz w:val="20"/>
                <w:szCs w:val="20"/>
              </w:rPr>
            </w:pPr>
            <w:r w:rsidRPr="00C74BDD">
              <w:rPr>
                <w:rFonts w:cs="Arial"/>
                <w:b w:val="0"/>
                <w:bCs/>
                <w:sz w:val="20"/>
                <w:szCs w:val="20"/>
              </w:rPr>
              <w:t>4.9%</w:t>
            </w:r>
          </w:p>
        </w:tc>
        <w:tc>
          <w:tcPr>
            <w:tcW w:w="651" w:type="pct"/>
            <w:shd w:val="solid" w:color="FFFFFF" w:fill="auto"/>
          </w:tcPr>
          <w:p w:rsidR="00242CCC" w:rsidRPr="00C74BDD" w:rsidRDefault="00242CCC" w:rsidP="00401AC9">
            <w:pPr>
              <w:spacing w:before="0" w:line="276" w:lineRule="auto"/>
              <w:ind w:firstLine="0"/>
              <w:jc w:val="right"/>
              <w:rPr>
                <w:rFonts w:cs="Arial"/>
                <w:b w:val="0"/>
                <w:bCs/>
                <w:sz w:val="20"/>
                <w:szCs w:val="20"/>
              </w:rPr>
            </w:pPr>
            <w:r w:rsidRPr="00C74BDD">
              <w:rPr>
                <w:rFonts w:cs="Arial"/>
                <w:b w:val="0"/>
                <w:bCs/>
                <w:sz w:val="20"/>
                <w:szCs w:val="20"/>
              </w:rPr>
              <w:t>5.5%</w:t>
            </w:r>
          </w:p>
        </w:tc>
        <w:tc>
          <w:tcPr>
            <w:tcW w:w="710" w:type="pct"/>
            <w:shd w:val="solid" w:color="FFFFFF" w:fill="auto"/>
            <w:tcMar>
              <w:top w:w="0" w:type="dxa"/>
              <w:left w:w="30" w:type="dxa"/>
              <w:bottom w:w="0" w:type="dxa"/>
              <w:right w:w="30" w:type="dxa"/>
            </w:tcMar>
          </w:tcPr>
          <w:p w:rsidR="00242CCC" w:rsidRPr="00C74BDD" w:rsidRDefault="00242CCC" w:rsidP="00401AC9">
            <w:pPr>
              <w:spacing w:before="0" w:line="276" w:lineRule="auto"/>
              <w:ind w:firstLine="0"/>
              <w:jc w:val="right"/>
              <w:rPr>
                <w:rFonts w:cs="Arial"/>
                <w:b w:val="0"/>
                <w:bCs/>
                <w:sz w:val="20"/>
                <w:szCs w:val="20"/>
              </w:rPr>
            </w:pPr>
            <w:r w:rsidRPr="00C74BDD">
              <w:rPr>
                <w:rFonts w:cs="Arial"/>
                <w:b w:val="0"/>
                <w:bCs/>
                <w:sz w:val="20"/>
                <w:szCs w:val="20"/>
              </w:rPr>
              <w:t>5,5%</w:t>
            </w:r>
          </w:p>
        </w:tc>
        <w:tc>
          <w:tcPr>
            <w:tcW w:w="766" w:type="pct"/>
            <w:shd w:val="solid" w:color="FFFFFF" w:fill="auto"/>
          </w:tcPr>
          <w:p w:rsidR="00242CCC" w:rsidRPr="00C74BDD" w:rsidRDefault="00242CCC" w:rsidP="00401AC9">
            <w:pPr>
              <w:spacing w:before="0" w:line="276" w:lineRule="auto"/>
              <w:ind w:firstLine="0"/>
              <w:jc w:val="right"/>
              <w:rPr>
                <w:rFonts w:cs="Arial"/>
                <w:b w:val="0"/>
                <w:bCs/>
                <w:sz w:val="20"/>
                <w:szCs w:val="20"/>
              </w:rPr>
            </w:pPr>
            <w:r w:rsidRPr="00C74BDD">
              <w:rPr>
                <w:rFonts w:cs="Arial"/>
                <w:b w:val="0"/>
                <w:bCs/>
                <w:sz w:val="20"/>
                <w:szCs w:val="20"/>
              </w:rPr>
              <w:t>6</w:t>
            </w:r>
            <w:r w:rsidRPr="00C74BDD">
              <w:rPr>
                <w:rFonts w:ascii="Cambria Math" w:hAnsi="Cambria Math" w:cs="Cambria Math"/>
                <w:b w:val="0"/>
                <w:bCs/>
                <w:sz w:val="20"/>
                <w:szCs w:val="20"/>
              </w:rPr>
              <w:t>․</w:t>
            </w:r>
            <w:r w:rsidRPr="00C74BDD">
              <w:rPr>
                <w:rFonts w:cs="Arial"/>
                <w:b w:val="0"/>
                <w:bCs/>
                <w:sz w:val="20"/>
                <w:szCs w:val="20"/>
              </w:rPr>
              <w:t>3%</w:t>
            </w:r>
          </w:p>
        </w:tc>
        <w:tc>
          <w:tcPr>
            <w:tcW w:w="707" w:type="pct"/>
            <w:shd w:val="solid" w:color="FFFFFF" w:fill="auto"/>
          </w:tcPr>
          <w:p w:rsidR="00242CCC" w:rsidRPr="00C74BDD" w:rsidRDefault="00242CCC" w:rsidP="00401AC9">
            <w:pPr>
              <w:spacing w:before="0" w:line="276" w:lineRule="auto"/>
              <w:ind w:firstLine="0"/>
              <w:jc w:val="right"/>
              <w:rPr>
                <w:rFonts w:cs="Arial"/>
                <w:b w:val="0"/>
                <w:bCs/>
                <w:sz w:val="20"/>
                <w:szCs w:val="20"/>
              </w:rPr>
            </w:pPr>
            <w:r>
              <w:rPr>
                <w:rFonts w:cs="Arial"/>
                <w:b w:val="0"/>
                <w:bCs/>
                <w:sz w:val="20"/>
                <w:szCs w:val="20"/>
              </w:rPr>
              <w:t>5</w:t>
            </w:r>
            <w:r w:rsidRPr="00C74BDD">
              <w:rPr>
                <w:rFonts w:cs="Arial"/>
                <w:b w:val="0"/>
                <w:bCs/>
                <w:sz w:val="20"/>
                <w:szCs w:val="20"/>
              </w:rPr>
              <w:t>.</w:t>
            </w:r>
            <w:r>
              <w:rPr>
                <w:rFonts w:cs="Arial"/>
                <w:b w:val="0"/>
                <w:bCs/>
                <w:sz w:val="20"/>
                <w:szCs w:val="20"/>
              </w:rPr>
              <w:t>9</w:t>
            </w:r>
            <w:r w:rsidRPr="00C74BDD">
              <w:rPr>
                <w:rFonts w:cs="Arial"/>
                <w:b w:val="0"/>
                <w:bCs/>
                <w:sz w:val="20"/>
                <w:szCs w:val="20"/>
              </w:rPr>
              <w:t>%</w:t>
            </w:r>
          </w:p>
        </w:tc>
      </w:tr>
      <w:tr w:rsidR="00242CCC" w:rsidRPr="00C74BDD" w:rsidTr="00650C81">
        <w:trPr>
          <w:trHeight w:val="20"/>
        </w:trPr>
        <w:tc>
          <w:tcPr>
            <w:tcW w:w="1465" w:type="pct"/>
            <w:shd w:val="solid" w:color="FFFFFF" w:fill="auto"/>
            <w:tcMar>
              <w:top w:w="0" w:type="dxa"/>
              <w:left w:w="57" w:type="dxa"/>
              <w:bottom w:w="0" w:type="dxa"/>
              <w:right w:w="57" w:type="dxa"/>
            </w:tcMar>
            <w:vAlign w:val="center"/>
            <w:hideMark/>
          </w:tcPr>
          <w:p w:rsidR="00242CCC" w:rsidRPr="003E5BC9" w:rsidRDefault="00242CCC" w:rsidP="00650C81">
            <w:pPr>
              <w:spacing w:before="0" w:line="276" w:lineRule="auto"/>
              <w:ind w:firstLine="0"/>
              <w:jc w:val="left"/>
              <w:rPr>
                <w:rFonts w:cs="Arial"/>
                <w:b w:val="0"/>
                <w:bCs/>
                <w:sz w:val="20"/>
                <w:szCs w:val="20"/>
              </w:rPr>
            </w:pPr>
            <w:r w:rsidRPr="003E5BC9">
              <w:rPr>
                <w:rFonts w:cs="Arial"/>
                <w:b w:val="0"/>
                <w:bCs/>
                <w:sz w:val="20"/>
                <w:szCs w:val="20"/>
              </w:rPr>
              <w:t xml:space="preserve">- </w:t>
            </w:r>
            <w:r w:rsidRPr="00C74BDD">
              <w:rPr>
                <w:rFonts w:cs="Arial"/>
                <w:b w:val="0"/>
                <w:bCs/>
                <w:sz w:val="20"/>
                <w:szCs w:val="20"/>
              </w:rPr>
              <w:t>տեսակարար</w:t>
            </w:r>
            <w:r w:rsidRPr="003E5BC9">
              <w:rPr>
                <w:rFonts w:cs="Arial"/>
                <w:b w:val="0"/>
                <w:bCs/>
                <w:sz w:val="20"/>
                <w:szCs w:val="20"/>
              </w:rPr>
              <w:t xml:space="preserve"> </w:t>
            </w:r>
            <w:r w:rsidRPr="00C74BDD">
              <w:rPr>
                <w:rFonts w:cs="Arial"/>
                <w:b w:val="0"/>
                <w:bCs/>
                <w:sz w:val="20"/>
                <w:szCs w:val="20"/>
              </w:rPr>
              <w:t>կշիռը</w:t>
            </w:r>
            <w:r w:rsidRPr="003E5BC9">
              <w:rPr>
                <w:rFonts w:cs="Arial"/>
                <w:b w:val="0"/>
                <w:bCs/>
                <w:sz w:val="20"/>
                <w:szCs w:val="20"/>
              </w:rPr>
              <w:t xml:space="preserve"> </w:t>
            </w:r>
            <w:r w:rsidRPr="00C74BDD">
              <w:rPr>
                <w:rFonts w:cs="Arial"/>
                <w:b w:val="0"/>
                <w:bCs/>
                <w:sz w:val="20"/>
                <w:szCs w:val="20"/>
              </w:rPr>
              <w:t>ծախսերի</w:t>
            </w:r>
            <w:r w:rsidRPr="003E5BC9">
              <w:rPr>
                <w:rFonts w:cs="Arial"/>
                <w:b w:val="0"/>
                <w:bCs/>
                <w:sz w:val="20"/>
                <w:szCs w:val="20"/>
              </w:rPr>
              <w:t xml:space="preserve"> </w:t>
            </w:r>
            <w:r w:rsidRPr="00C74BDD">
              <w:rPr>
                <w:rFonts w:cs="Arial"/>
                <w:b w:val="0"/>
                <w:bCs/>
                <w:sz w:val="20"/>
                <w:szCs w:val="20"/>
              </w:rPr>
              <w:t>ամբողջ</w:t>
            </w:r>
            <w:r w:rsidRPr="003E5BC9">
              <w:rPr>
                <w:rFonts w:cs="Arial"/>
                <w:b w:val="0"/>
                <w:bCs/>
                <w:sz w:val="20"/>
                <w:szCs w:val="20"/>
              </w:rPr>
              <w:t xml:space="preserve"> </w:t>
            </w:r>
            <w:r w:rsidRPr="00C74BDD">
              <w:rPr>
                <w:rFonts w:cs="Arial"/>
                <w:b w:val="0"/>
                <w:bCs/>
                <w:sz w:val="20"/>
                <w:szCs w:val="20"/>
              </w:rPr>
              <w:t>ծավալում</w:t>
            </w:r>
            <w:r w:rsidRPr="003E5BC9">
              <w:rPr>
                <w:rFonts w:cs="Arial"/>
                <w:b w:val="0"/>
                <w:bCs/>
                <w:sz w:val="20"/>
                <w:szCs w:val="20"/>
              </w:rPr>
              <w:t xml:space="preserve"> (%)</w:t>
            </w:r>
          </w:p>
        </w:tc>
        <w:tc>
          <w:tcPr>
            <w:tcW w:w="701" w:type="pct"/>
            <w:shd w:val="solid" w:color="FFFFFF" w:fill="auto"/>
          </w:tcPr>
          <w:p w:rsidR="00242CCC" w:rsidRPr="00C74BDD" w:rsidRDefault="00242CCC" w:rsidP="00401AC9">
            <w:pPr>
              <w:spacing w:before="0" w:line="276" w:lineRule="auto"/>
              <w:ind w:firstLine="0"/>
              <w:jc w:val="right"/>
              <w:rPr>
                <w:rFonts w:cs="Arial"/>
                <w:b w:val="0"/>
                <w:bCs/>
                <w:sz w:val="20"/>
                <w:szCs w:val="20"/>
              </w:rPr>
            </w:pPr>
            <w:r w:rsidRPr="00C74BDD">
              <w:rPr>
                <w:rFonts w:cs="Arial"/>
                <w:b w:val="0"/>
                <w:bCs/>
                <w:sz w:val="20"/>
                <w:szCs w:val="20"/>
              </w:rPr>
              <w:t>19.6%</w:t>
            </w:r>
          </w:p>
        </w:tc>
        <w:tc>
          <w:tcPr>
            <w:tcW w:w="651" w:type="pct"/>
            <w:shd w:val="solid" w:color="FFFFFF" w:fill="auto"/>
          </w:tcPr>
          <w:p w:rsidR="00242CCC" w:rsidRPr="00C74BDD" w:rsidRDefault="00242CCC" w:rsidP="00401AC9">
            <w:pPr>
              <w:spacing w:before="0" w:line="276" w:lineRule="auto"/>
              <w:ind w:firstLine="0"/>
              <w:jc w:val="right"/>
              <w:rPr>
                <w:rFonts w:cs="Arial"/>
                <w:b w:val="0"/>
                <w:bCs/>
                <w:sz w:val="20"/>
                <w:szCs w:val="20"/>
              </w:rPr>
            </w:pPr>
            <w:r w:rsidRPr="00C74BDD">
              <w:rPr>
                <w:rFonts w:cs="Arial"/>
                <w:b w:val="0"/>
                <w:bCs/>
                <w:sz w:val="20"/>
                <w:szCs w:val="20"/>
              </w:rPr>
              <w:t>18.2%</w:t>
            </w:r>
          </w:p>
        </w:tc>
        <w:tc>
          <w:tcPr>
            <w:tcW w:w="710" w:type="pct"/>
            <w:shd w:val="solid" w:color="FFFFFF" w:fill="auto"/>
            <w:tcMar>
              <w:top w:w="0" w:type="dxa"/>
              <w:left w:w="30" w:type="dxa"/>
              <w:bottom w:w="0" w:type="dxa"/>
              <w:right w:w="30" w:type="dxa"/>
            </w:tcMar>
          </w:tcPr>
          <w:p w:rsidR="00242CCC" w:rsidRPr="00C74BDD" w:rsidRDefault="00242CCC" w:rsidP="00401AC9">
            <w:pPr>
              <w:spacing w:before="0" w:line="276" w:lineRule="auto"/>
              <w:ind w:firstLine="0"/>
              <w:jc w:val="right"/>
              <w:rPr>
                <w:rFonts w:cs="Arial"/>
                <w:b w:val="0"/>
                <w:bCs/>
                <w:sz w:val="20"/>
                <w:szCs w:val="20"/>
              </w:rPr>
            </w:pPr>
            <w:r w:rsidRPr="00C74BDD">
              <w:rPr>
                <w:rFonts w:cs="Arial"/>
                <w:b w:val="0"/>
                <w:bCs/>
                <w:sz w:val="20"/>
                <w:szCs w:val="20"/>
              </w:rPr>
              <w:t>19.0%</w:t>
            </w:r>
          </w:p>
        </w:tc>
        <w:tc>
          <w:tcPr>
            <w:tcW w:w="766" w:type="pct"/>
            <w:shd w:val="solid" w:color="FFFFFF" w:fill="auto"/>
          </w:tcPr>
          <w:p w:rsidR="00242CCC" w:rsidRPr="00C74BDD" w:rsidRDefault="00242CCC" w:rsidP="00401AC9">
            <w:pPr>
              <w:spacing w:before="0" w:line="276" w:lineRule="auto"/>
              <w:ind w:firstLine="0"/>
              <w:jc w:val="right"/>
              <w:rPr>
                <w:rFonts w:cs="Arial"/>
                <w:b w:val="0"/>
                <w:bCs/>
                <w:sz w:val="20"/>
                <w:szCs w:val="20"/>
              </w:rPr>
            </w:pPr>
            <w:r w:rsidRPr="00C74BDD">
              <w:rPr>
                <w:rFonts w:cs="Arial"/>
                <w:b w:val="0"/>
                <w:bCs/>
                <w:sz w:val="20"/>
                <w:szCs w:val="20"/>
              </w:rPr>
              <w:t>22.8%</w:t>
            </w:r>
          </w:p>
        </w:tc>
        <w:tc>
          <w:tcPr>
            <w:tcW w:w="707" w:type="pct"/>
            <w:shd w:val="solid" w:color="FFFFFF" w:fill="auto"/>
          </w:tcPr>
          <w:p w:rsidR="00242CCC" w:rsidRPr="00C74BDD" w:rsidRDefault="00242CCC" w:rsidP="00401AC9">
            <w:pPr>
              <w:spacing w:before="0" w:line="276" w:lineRule="auto"/>
              <w:ind w:firstLine="0"/>
              <w:jc w:val="right"/>
              <w:rPr>
                <w:rFonts w:cs="Arial"/>
                <w:b w:val="0"/>
                <w:bCs/>
                <w:sz w:val="20"/>
                <w:szCs w:val="20"/>
              </w:rPr>
            </w:pPr>
            <w:r w:rsidRPr="00C74BDD">
              <w:rPr>
                <w:rFonts w:cs="Arial"/>
                <w:b w:val="0"/>
                <w:bCs/>
                <w:sz w:val="20"/>
                <w:szCs w:val="20"/>
              </w:rPr>
              <w:t>2</w:t>
            </w:r>
            <w:r w:rsidRPr="00C74BDD">
              <w:rPr>
                <w:rFonts w:cs="Arial"/>
                <w:b w:val="0"/>
                <w:bCs/>
                <w:sz w:val="20"/>
                <w:szCs w:val="20"/>
                <w:lang w:val="en-US"/>
              </w:rPr>
              <w:t>1</w:t>
            </w:r>
            <w:r w:rsidRPr="00C74BDD">
              <w:rPr>
                <w:rFonts w:cs="Arial"/>
                <w:b w:val="0"/>
                <w:bCs/>
                <w:sz w:val="20"/>
                <w:szCs w:val="20"/>
              </w:rPr>
              <w:t>.</w:t>
            </w:r>
            <w:r>
              <w:rPr>
                <w:rFonts w:cs="Arial"/>
                <w:b w:val="0"/>
                <w:bCs/>
                <w:sz w:val="20"/>
                <w:szCs w:val="20"/>
              </w:rPr>
              <w:t>2</w:t>
            </w:r>
            <w:r w:rsidRPr="00C74BDD">
              <w:rPr>
                <w:rFonts w:cs="Arial"/>
                <w:b w:val="0"/>
                <w:bCs/>
                <w:sz w:val="20"/>
                <w:szCs w:val="20"/>
              </w:rPr>
              <w:t>%</w:t>
            </w:r>
          </w:p>
        </w:tc>
      </w:tr>
      <w:tr w:rsidR="00242CCC" w:rsidRPr="00C74BDD" w:rsidTr="00650C81">
        <w:trPr>
          <w:trHeight w:val="795"/>
        </w:trPr>
        <w:tc>
          <w:tcPr>
            <w:tcW w:w="1465" w:type="pct"/>
            <w:shd w:val="clear" w:color="auto" w:fill="C6D9F1" w:themeFill="text2" w:themeFillTint="33"/>
            <w:tcMar>
              <w:top w:w="0" w:type="dxa"/>
              <w:left w:w="57" w:type="dxa"/>
              <w:bottom w:w="0" w:type="dxa"/>
              <w:right w:w="57" w:type="dxa"/>
            </w:tcMar>
            <w:vAlign w:val="bottom"/>
            <w:hideMark/>
          </w:tcPr>
          <w:p w:rsidR="00242CCC" w:rsidRPr="003E5BC9" w:rsidRDefault="00242CCC" w:rsidP="00650C81">
            <w:pPr>
              <w:spacing w:before="0" w:line="276" w:lineRule="auto"/>
              <w:ind w:firstLine="0"/>
              <w:jc w:val="left"/>
              <w:rPr>
                <w:rFonts w:cs="Arial"/>
                <w:sz w:val="20"/>
                <w:szCs w:val="20"/>
              </w:rPr>
            </w:pPr>
            <w:r w:rsidRPr="00C74BDD">
              <w:rPr>
                <w:rFonts w:cs="Arial"/>
                <w:sz w:val="20"/>
                <w:szCs w:val="20"/>
              </w:rPr>
              <w:t>ՊԱՇՏՊԱՆՈՒԹՅՈՒՆ</w:t>
            </w:r>
            <w:r w:rsidRPr="003E5BC9">
              <w:rPr>
                <w:rFonts w:cs="Arial"/>
                <w:sz w:val="20"/>
                <w:szCs w:val="20"/>
              </w:rPr>
              <w:t xml:space="preserve">, </w:t>
            </w:r>
            <w:r w:rsidRPr="00C74BDD">
              <w:rPr>
                <w:rFonts w:cs="Arial"/>
                <w:sz w:val="20"/>
                <w:szCs w:val="20"/>
              </w:rPr>
              <w:t>ՀԱՍԱՐԱԿԱԿԱՆ</w:t>
            </w:r>
            <w:r w:rsidRPr="003E5BC9">
              <w:rPr>
                <w:rFonts w:cs="Arial"/>
                <w:sz w:val="20"/>
                <w:szCs w:val="20"/>
              </w:rPr>
              <w:t xml:space="preserve"> </w:t>
            </w:r>
            <w:r w:rsidRPr="00C74BDD">
              <w:rPr>
                <w:rFonts w:cs="Arial"/>
                <w:sz w:val="20"/>
                <w:szCs w:val="20"/>
              </w:rPr>
              <w:t>ԿԱՐԳ</w:t>
            </w:r>
            <w:r w:rsidRPr="003E5BC9">
              <w:rPr>
                <w:rFonts w:cs="Arial"/>
                <w:sz w:val="20"/>
                <w:szCs w:val="20"/>
              </w:rPr>
              <w:t xml:space="preserve">,  </w:t>
            </w:r>
            <w:r w:rsidRPr="00C74BDD">
              <w:rPr>
                <w:rFonts w:cs="Arial"/>
                <w:sz w:val="20"/>
                <w:szCs w:val="20"/>
              </w:rPr>
              <w:t>ԱՆՎՏԱՆԳՈՒԹՅՈՒՆ</w:t>
            </w:r>
            <w:r w:rsidRPr="003E5BC9">
              <w:rPr>
                <w:rFonts w:cs="Arial"/>
                <w:sz w:val="20"/>
                <w:szCs w:val="20"/>
              </w:rPr>
              <w:t xml:space="preserve"> </w:t>
            </w:r>
            <w:r w:rsidRPr="00C74BDD">
              <w:rPr>
                <w:rFonts w:cs="Arial"/>
                <w:sz w:val="20"/>
                <w:szCs w:val="20"/>
              </w:rPr>
              <w:t>ԵՎ</w:t>
            </w:r>
            <w:r w:rsidRPr="003E5BC9">
              <w:rPr>
                <w:rFonts w:cs="Arial"/>
                <w:sz w:val="20"/>
                <w:szCs w:val="20"/>
              </w:rPr>
              <w:t xml:space="preserve"> </w:t>
            </w:r>
            <w:r w:rsidRPr="00C74BDD">
              <w:rPr>
                <w:rFonts w:cs="Arial"/>
                <w:sz w:val="20"/>
                <w:szCs w:val="20"/>
              </w:rPr>
              <w:t>ԴԱՏԱԿԱՆ</w:t>
            </w:r>
            <w:r w:rsidRPr="003E5BC9">
              <w:rPr>
                <w:rFonts w:cs="Arial"/>
                <w:sz w:val="20"/>
                <w:szCs w:val="20"/>
              </w:rPr>
              <w:t xml:space="preserve"> </w:t>
            </w:r>
            <w:r w:rsidRPr="00C74BDD">
              <w:rPr>
                <w:rFonts w:cs="Arial"/>
                <w:sz w:val="20"/>
                <w:szCs w:val="20"/>
              </w:rPr>
              <w:t>ԳՈՐԾՈՒՆԵՈՒԹՅՈՒՆ</w:t>
            </w:r>
          </w:p>
        </w:tc>
        <w:tc>
          <w:tcPr>
            <w:tcW w:w="701" w:type="pct"/>
            <w:shd w:val="clear" w:color="auto" w:fill="C6D9F1" w:themeFill="text2" w:themeFillTint="33"/>
          </w:tcPr>
          <w:p w:rsidR="00242CCC" w:rsidRPr="00C74BDD" w:rsidRDefault="00242CCC" w:rsidP="00401AC9">
            <w:pPr>
              <w:spacing w:before="0" w:line="276" w:lineRule="auto"/>
              <w:ind w:firstLine="0"/>
              <w:jc w:val="right"/>
              <w:rPr>
                <w:rFonts w:cs="Arial"/>
                <w:sz w:val="20"/>
                <w:szCs w:val="20"/>
              </w:rPr>
            </w:pPr>
            <w:r w:rsidRPr="00C74BDD">
              <w:rPr>
                <w:rFonts w:cs="Arial"/>
                <w:sz w:val="20"/>
                <w:szCs w:val="20"/>
              </w:rPr>
              <w:t>459,284.1</w:t>
            </w:r>
          </w:p>
        </w:tc>
        <w:tc>
          <w:tcPr>
            <w:tcW w:w="651" w:type="pct"/>
            <w:shd w:val="clear" w:color="auto" w:fill="C6D9F1" w:themeFill="text2" w:themeFillTint="33"/>
          </w:tcPr>
          <w:p w:rsidR="00242CCC" w:rsidRPr="00C74BDD" w:rsidRDefault="00242CCC" w:rsidP="00401AC9">
            <w:pPr>
              <w:spacing w:before="0" w:line="276" w:lineRule="auto"/>
              <w:ind w:firstLine="0"/>
              <w:jc w:val="right"/>
              <w:rPr>
                <w:rFonts w:cs="Arial"/>
                <w:sz w:val="20"/>
                <w:szCs w:val="20"/>
              </w:rPr>
            </w:pPr>
            <w:r w:rsidRPr="00C74BDD">
              <w:rPr>
                <w:rFonts w:cs="Arial"/>
                <w:sz w:val="20"/>
                <w:szCs w:val="20"/>
              </w:rPr>
              <w:t>539,185.3</w:t>
            </w:r>
          </w:p>
        </w:tc>
        <w:tc>
          <w:tcPr>
            <w:tcW w:w="710" w:type="pct"/>
            <w:shd w:val="clear" w:color="auto" w:fill="C6D9F1" w:themeFill="text2" w:themeFillTint="33"/>
            <w:tcMar>
              <w:top w:w="0" w:type="dxa"/>
              <w:left w:w="30" w:type="dxa"/>
              <w:bottom w:w="0" w:type="dxa"/>
              <w:right w:w="30" w:type="dxa"/>
            </w:tcMar>
          </w:tcPr>
          <w:p w:rsidR="00242CCC" w:rsidRPr="00C74BDD" w:rsidRDefault="00A9535E" w:rsidP="00401AC9">
            <w:pPr>
              <w:spacing w:before="0" w:line="276" w:lineRule="auto"/>
              <w:ind w:firstLine="0"/>
              <w:jc w:val="right"/>
              <w:rPr>
                <w:rFonts w:cs="Arial"/>
                <w:sz w:val="20"/>
                <w:szCs w:val="20"/>
              </w:rPr>
            </w:pPr>
            <w:r>
              <w:rPr>
                <w:rFonts w:cs="Arial"/>
                <w:sz w:val="20"/>
                <w:szCs w:val="20"/>
              </w:rPr>
              <w:t>495,984</w:t>
            </w:r>
            <w:r>
              <w:rPr>
                <w:rFonts w:cs="Arial"/>
                <w:sz w:val="20"/>
                <w:szCs w:val="20"/>
                <w:lang w:val="en-US"/>
              </w:rPr>
              <w:t>.</w:t>
            </w:r>
            <w:r w:rsidR="00242CCC" w:rsidRPr="00C74BDD">
              <w:rPr>
                <w:rFonts w:cs="Arial"/>
                <w:sz w:val="20"/>
                <w:szCs w:val="20"/>
              </w:rPr>
              <w:t>9</w:t>
            </w:r>
          </w:p>
        </w:tc>
        <w:tc>
          <w:tcPr>
            <w:tcW w:w="766" w:type="pct"/>
            <w:shd w:val="clear" w:color="auto" w:fill="C6D9F1" w:themeFill="text2" w:themeFillTint="33"/>
          </w:tcPr>
          <w:p w:rsidR="00242CCC" w:rsidRPr="00C74BDD" w:rsidRDefault="00242CCC" w:rsidP="00401AC9">
            <w:pPr>
              <w:spacing w:before="0" w:line="276" w:lineRule="auto"/>
              <w:ind w:firstLine="0"/>
              <w:jc w:val="right"/>
              <w:rPr>
                <w:rFonts w:cs="Arial"/>
                <w:sz w:val="20"/>
                <w:szCs w:val="20"/>
              </w:rPr>
            </w:pPr>
            <w:r w:rsidRPr="00C74BDD">
              <w:rPr>
                <w:rFonts w:cs="Arial"/>
                <w:sz w:val="20"/>
                <w:szCs w:val="20"/>
              </w:rPr>
              <w:t>518,619.0</w:t>
            </w:r>
          </w:p>
        </w:tc>
        <w:tc>
          <w:tcPr>
            <w:tcW w:w="707" w:type="pct"/>
            <w:shd w:val="clear" w:color="auto" w:fill="C6D9F1" w:themeFill="text2" w:themeFillTint="33"/>
          </w:tcPr>
          <w:p w:rsidR="00242CCC" w:rsidRPr="00DA55BC" w:rsidRDefault="00242CCC" w:rsidP="00A9535E">
            <w:pPr>
              <w:spacing w:before="0" w:after="200" w:line="276" w:lineRule="auto"/>
              <w:ind w:firstLine="0"/>
              <w:contextualSpacing w:val="0"/>
              <w:jc w:val="right"/>
              <w:rPr>
                <w:rFonts w:eastAsiaTheme="minorHAnsi" w:cs="Cambria Math"/>
                <w:bCs/>
                <w:sz w:val="20"/>
                <w:szCs w:val="20"/>
                <w:lang w:eastAsia="en-US"/>
              </w:rPr>
            </w:pPr>
            <w:r w:rsidRPr="00C74BDD">
              <w:rPr>
                <w:rFonts w:eastAsiaTheme="minorHAnsi" w:cs="Cambria Math"/>
                <w:bCs/>
                <w:sz w:val="20"/>
                <w:szCs w:val="20"/>
                <w:lang w:val="en-US" w:eastAsia="en-US"/>
              </w:rPr>
              <w:t>7</w:t>
            </w:r>
            <w:r>
              <w:rPr>
                <w:rFonts w:eastAsiaTheme="minorHAnsi" w:cs="Cambria Math"/>
                <w:bCs/>
                <w:sz w:val="20"/>
                <w:szCs w:val="20"/>
                <w:lang w:eastAsia="en-US"/>
              </w:rPr>
              <w:t>23</w:t>
            </w:r>
            <w:r w:rsidRPr="00C74BDD">
              <w:rPr>
                <w:rFonts w:eastAsiaTheme="minorHAnsi" w:cs="Cambria Math"/>
                <w:bCs/>
                <w:sz w:val="20"/>
                <w:szCs w:val="20"/>
                <w:lang w:val="en-US" w:eastAsia="en-US"/>
              </w:rPr>
              <w:t>,</w:t>
            </w:r>
            <w:r w:rsidR="00A9535E">
              <w:rPr>
                <w:rFonts w:eastAsiaTheme="minorHAnsi" w:cs="Cambria Math"/>
                <w:bCs/>
                <w:sz w:val="20"/>
                <w:szCs w:val="20"/>
                <w:lang w:val="en-US" w:eastAsia="en-US"/>
              </w:rPr>
              <w:t>242</w:t>
            </w:r>
            <w:r w:rsidRPr="00C74BDD">
              <w:rPr>
                <w:rFonts w:eastAsiaTheme="minorHAnsi" w:cs="Cambria Math"/>
                <w:bCs/>
                <w:sz w:val="20"/>
                <w:szCs w:val="20"/>
                <w:lang w:val="en-US" w:eastAsia="en-US"/>
              </w:rPr>
              <w:t>.</w:t>
            </w:r>
            <w:r w:rsidR="00A9535E">
              <w:rPr>
                <w:rFonts w:eastAsiaTheme="minorHAnsi" w:cs="Cambria Math"/>
                <w:bCs/>
                <w:sz w:val="20"/>
                <w:szCs w:val="20"/>
                <w:lang w:val="en-US" w:eastAsia="en-US"/>
              </w:rPr>
              <w:t>8</w:t>
            </w:r>
          </w:p>
          <w:p w:rsidR="00242CCC" w:rsidRPr="00C74BDD" w:rsidRDefault="00242CCC" w:rsidP="00401AC9">
            <w:pPr>
              <w:spacing w:before="0" w:after="200" w:line="276" w:lineRule="auto"/>
              <w:ind w:firstLine="0"/>
              <w:contextualSpacing w:val="0"/>
              <w:jc w:val="right"/>
              <w:rPr>
                <w:rFonts w:cs="Arial"/>
                <w:sz w:val="20"/>
                <w:szCs w:val="20"/>
              </w:rPr>
            </w:pPr>
          </w:p>
        </w:tc>
      </w:tr>
      <w:tr w:rsidR="00242CCC" w:rsidRPr="00C74BDD" w:rsidTr="00650C81">
        <w:trPr>
          <w:trHeight w:val="20"/>
        </w:trPr>
        <w:tc>
          <w:tcPr>
            <w:tcW w:w="1465" w:type="pct"/>
            <w:shd w:val="clear" w:color="auto" w:fill="FFFFFF"/>
            <w:tcMar>
              <w:top w:w="0" w:type="dxa"/>
              <w:left w:w="57" w:type="dxa"/>
              <w:bottom w:w="0" w:type="dxa"/>
              <w:right w:w="57" w:type="dxa"/>
            </w:tcMar>
            <w:vAlign w:val="center"/>
            <w:hideMark/>
          </w:tcPr>
          <w:p w:rsidR="00242CCC" w:rsidRPr="00C74BDD" w:rsidRDefault="00242CCC" w:rsidP="00650C81">
            <w:pPr>
              <w:spacing w:before="0" w:line="276" w:lineRule="auto"/>
              <w:ind w:firstLine="0"/>
              <w:jc w:val="left"/>
              <w:rPr>
                <w:rFonts w:cs="Arial"/>
                <w:b w:val="0"/>
                <w:bCs/>
                <w:sz w:val="20"/>
                <w:szCs w:val="20"/>
              </w:rPr>
            </w:pPr>
            <w:r w:rsidRPr="00C74BDD">
              <w:rPr>
                <w:rFonts w:cs="Arial"/>
                <w:b w:val="0"/>
                <w:bCs/>
                <w:sz w:val="20"/>
                <w:szCs w:val="20"/>
              </w:rPr>
              <w:t>- Հարաբերությունը ՀՆԱ-ի նկատմամբ (%)</w:t>
            </w:r>
          </w:p>
        </w:tc>
        <w:tc>
          <w:tcPr>
            <w:tcW w:w="701" w:type="pct"/>
            <w:shd w:val="clear" w:color="auto" w:fill="FFFFFF"/>
          </w:tcPr>
          <w:p w:rsidR="00242CCC" w:rsidRPr="00C74BDD" w:rsidRDefault="00242CCC" w:rsidP="00401AC9">
            <w:pPr>
              <w:spacing w:before="0" w:line="276" w:lineRule="auto"/>
              <w:ind w:firstLine="0"/>
              <w:jc w:val="right"/>
              <w:rPr>
                <w:rFonts w:cs="Arial"/>
                <w:b w:val="0"/>
                <w:bCs/>
                <w:sz w:val="20"/>
                <w:szCs w:val="20"/>
              </w:rPr>
            </w:pPr>
            <w:r w:rsidRPr="00C74BDD">
              <w:rPr>
                <w:rFonts w:cs="Arial"/>
                <w:b w:val="0"/>
                <w:bCs/>
                <w:sz w:val="20"/>
                <w:szCs w:val="20"/>
              </w:rPr>
              <w:t>7.0%</w:t>
            </w:r>
          </w:p>
        </w:tc>
        <w:tc>
          <w:tcPr>
            <w:tcW w:w="651" w:type="pct"/>
            <w:shd w:val="clear" w:color="auto" w:fill="FFFFFF"/>
          </w:tcPr>
          <w:p w:rsidR="00242CCC" w:rsidRPr="00C74BDD" w:rsidRDefault="00242CCC" w:rsidP="00401AC9">
            <w:pPr>
              <w:spacing w:before="0" w:line="276" w:lineRule="auto"/>
              <w:ind w:firstLine="0"/>
              <w:jc w:val="right"/>
              <w:rPr>
                <w:rFonts w:cs="Arial"/>
                <w:b w:val="0"/>
                <w:bCs/>
                <w:sz w:val="20"/>
                <w:szCs w:val="20"/>
              </w:rPr>
            </w:pPr>
            <w:r w:rsidRPr="00C74BDD">
              <w:rPr>
                <w:rFonts w:cs="Arial"/>
                <w:b w:val="0"/>
                <w:bCs/>
                <w:sz w:val="20"/>
                <w:szCs w:val="20"/>
              </w:rPr>
              <w:t>8.7%</w:t>
            </w:r>
          </w:p>
        </w:tc>
        <w:tc>
          <w:tcPr>
            <w:tcW w:w="710" w:type="pct"/>
            <w:shd w:val="clear" w:color="auto" w:fill="FFFFFF"/>
          </w:tcPr>
          <w:p w:rsidR="00242CCC" w:rsidRPr="00C74BDD" w:rsidRDefault="00242CCC" w:rsidP="00401AC9">
            <w:pPr>
              <w:spacing w:before="0" w:line="276" w:lineRule="auto"/>
              <w:ind w:firstLine="0"/>
              <w:jc w:val="right"/>
              <w:rPr>
                <w:rFonts w:cs="Arial"/>
                <w:b w:val="0"/>
                <w:bCs/>
                <w:sz w:val="20"/>
                <w:szCs w:val="20"/>
              </w:rPr>
            </w:pPr>
            <w:r w:rsidRPr="00C74BDD">
              <w:rPr>
                <w:rFonts w:cs="Arial"/>
                <w:b w:val="0"/>
                <w:bCs/>
                <w:sz w:val="20"/>
                <w:szCs w:val="20"/>
              </w:rPr>
              <w:t>7.1%</w:t>
            </w:r>
          </w:p>
        </w:tc>
        <w:tc>
          <w:tcPr>
            <w:tcW w:w="766" w:type="pct"/>
            <w:shd w:val="clear" w:color="auto" w:fill="FFFFFF"/>
          </w:tcPr>
          <w:p w:rsidR="00242CCC" w:rsidRPr="00C74BDD" w:rsidRDefault="00242CCC" w:rsidP="00401AC9">
            <w:pPr>
              <w:spacing w:before="0" w:line="276" w:lineRule="auto"/>
              <w:ind w:firstLine="0"/>
              <w:jc w:val="right"/>
              <w:rPr>
                <w:rFonts w:cs="Arial"/>
                <w:b w:val="0"/>
                <w:bCs/>
                <w:sz w:val="20"/>
                <w:szCs w:val="20"/>
              </w:rPr>
            </w:pPr>
            <w:r w:rsidRPr="00C74BDD">
              <w:rPr>
                <w:rFonts w:cs="Arial"/>
                <w:b w:val="0"/>
                <w:bCs/>
                <w:sz w:val="20"/>
                <w:szCs w:val="20"/>
              </w:rPr>
              <w:t>6.6%</w:t>
            </w:r>
          </w:p>
        </w:tc>
        <w:tc>
          <w:tcPr>
            <w:tcW w:w="707" w:type="pct"/>
            <w:shd w:val="clear" w:color="auto" w:fill="FFFFFF"/>
          </w:tcPr>
          <w:p w:rsidR="00242CCC" w:rsidRPr="00C74BDD" w:rsidRDefault="00242CCC" w:rsidP="00401AC9">
            <w:pPr>
              <w:spacing w:before="0" w:line="276" w:lineRule="auto"/>
              <w:ind w:firstLine="0"/>
              <w:jc w:val="right"/>
              <w:rPr>
                <w:rFonts w:cs="Arial"/>
                <w:b w:val="0"/>
                <w:bCs/>
                <w:sz w:val="20"/>
                <w:szCs w:val="20"/>
                <w:lang w:val="en-US"/>
              </w:rPr>
            </w:pPr>
            <w:r w:rsidRPr="00C74BDD">
              <w:rPr>
                <w:rFonts w:cs="Arial"/>
                <w:b w:val="0"/>
                <w:bCs/>
                <w:sz w:val="20"/>
                <w:szCs w:val="20"/>
                <w:lang w:val="en-US"/>
              </w:rPr>
              <w:t>7.</w:t>
            </w:r>
            <w:r>
              <w:rPr>
                <w:rFonts w:cs="Arial"/>
                <w:b w:val="0"/>
                <w:bCs/>
                <w:sz w:val="20"/>
                <w:szCs w:val="20"/>
              </w:rPr>
              <w:t>8</w:t>
            </w:r>
            <w:r w:rsidRPr="00C74BDD">
              <w:rPr>
                <w:rFonts w:cs="Arial"/>
                <w:b w:val="0"/>
                <w:bCs/>
                <w:sz w:val="20"/>
                <w:szCs w:val="20"/>
              </w:rPr>
              <w:t>%</w:t>
            </w:r>
          </w:p>
        </w:tc>
      </w:tr>
      <w:tr w:rsidR="00242CCC" w:rsidRPr="00C74BDD" w:rsidTr="00650C81">
        <w:trPr>
          <w:trHeight w:val="20"/>
        </w:trPr>
        <w:tc>
          <w:tcPr>
            <w:tcW w:w="1465" w:type="pct"/>
            <w:shd w:val="clear" w:color="auto" w:fill="FFFFFF"/>
            <w:tcMar>
              <w:top w:w="0" w:type="dxa"/>
              <w:left w:w="57" w:type="dxa"/>
              <w:bottom w:w="0" w:type="dxa"/>
              <w:right w:w="57" w:type="dxa"/>
            </w:tcMar>
            <w:vAlign w:val="center"/>
            <w:hideMark/>
          </w:tcPr>
          <w:p w:rsidR="00242CCC" w:rsidRPr="003E5BC9" w:rsidRDefault="00242CCC" w:rsidP="00650C81">
            <w:pPr>
              <w:spacing w:before="0" w:line="276" w:lineRule="auto"/>
              <w:ind w:firstLine="0"/>
              <w:jc w:val="left"/>
              <w:rPr>
                <w:rFonts w:cs="Arial"/>
                <w:b w:val="0"/>
                <w:bCs/>
                <w:sz w:val="20"/>
                <w:szCs w:val="20"/>
              </w:rPr>
            </w:pPr>
            <w:r w:rsidRPr="003E5BC9">
              <w:rPr>
                <w:rFonts w:cs="Arial"/>
                <w:b w:val="0"/>
                <w:bCs/>
                <w:sz w:val="20"/>
                <w:szCs w:val="20"/>
              </w:rPr>
              <w:t xml:space="preserve">- </w:t>
            </w:r>
            <w:r w:rsidRPr="00C74BDD">
              <w:rPr>
                <w:rFonts w:cs="Arial"/>
                <w:b w:val="0"/>
                <w:bCs/>
                <w:sz w:val="20"/>
                <w:szCs w:val="20"/>
              </w:rPr>
              <w:t>տեսակարար</w:t>
            </w:r>
            <w:r w:rsidRPr="003E5BC9">
              <w:rPr>
                <w:rFonts w:cs="Arial"/>
                <w:b w:val="0"/>
                <w:bCs/>
                <w:sz w:val="20"/>
                <w:szCs w:val="20"/>
              </w:rPr>
              <w:t xml:space="preserve"> </w:t>
            </w:r>
            <w:r w:rsidRPr="00C74BDD">
              <w:rPr>
                <w:rFonts w:cs="Arial"/>
                <w:b w:val="0"/>
                <w:bCs/>
                <w:sz w:val="20"/>
                <w:szCs w:val="20"/>
              </w:rPr>
              <w:t>կշիռը</w:t>
            </w:r>
            <w:r w:rsidRPr="003E5BC9">
              <w:rPr>
                <w:rFonts w:cs="Arial"/>
                <w:b w:val="0"/>
                <w:bCs/>
                <w:sz w:val="20"/>
                <w:szCs w:val="20"/>
              </w:rPr>
              <w:t xml:space="preserve"> </w:t>
            </w:r>
            <w:r w:rsidRPr="00C74BDD">
              <w:rPr>
                <w:rFonts w:cs="Arial"/>
                <w:b w:val="0"/>
                <w:bCs/>
                <w:sz w:val="20"/>
                <w:szCs w:val="20"/>
              </w:rPr>
              <w:t>ծախսերի</w:t>
            </w:r>
            <w:r w:rsidRPr="003E5BC9">
              <w:rPr>
                <w:rFonts w:cs="Arial"/>
                <w:b w:val="0"/>
                <w:bCs/>
                <w:sz w:val="20"/>
                <w:szCs w:val="20"/>
              </w:rPr>
              <w:t xml:space="preserve"> </w:t>
            </w:r>
            <w:r w:rsidRPr="00C74BDD">
              <w:rPr>
                <w:rFonts w:cs="Arial"/>
                <w:b w:val="0"/>
                <w:bCs/>
                <w:sz w:val="20"/>
                <w:szCs w:val="20"/>
              </w:rPr>
              <w:t>ամբողջ</w:t>
            </w:r>
            <w:r w:rsidRPr="003E5BC9">
              <w:rPr>
                <w:rFonts w:cs="Arial"/>
                <w:b w:val="0"/>
                <w:bCs/>
                <w:sz w:val="20"/>
                <w:szCs w:val="20"/>
              </w:rPr>
              <w:t xml:space="preserve"> </w:t>
            </w:r>
            <w:r w:rsidRPr="00C74BDD">
              <w:rPr>
                <w:rFonts w:cs="Arial"/>
                <w:b w:val="0"/>
                <w:bCs/>
                <w:sz w:val="20"/>
                <w:szCs w:val="20"/>
              </w:rPr>
              <w:t>ծավալում</w:t>
            </w:r>
            <w:r w:rsidRPr="003E5BC9">
              <w:rPr>
                <w:rFonts w:cs="Arial"/>
                <w:b w:val="0"/>
                <w:bCs/>
                <w:sz w:val="20"/>
                <w:szCs w:val="20"/>
              </w:rPr>
              <w:t xml:space="preserve"> (%)</w:t>
            </w:r>
          </w:p>
        </w:tc>
        <w:tc>
          <w:tcPr>
            <w:tcW w:w="701" w:type="pct"/>
            <w:shd w:val="clear" w:color="auto" w:fill="FFFFFF"/>
          </w:tcPr>
          <w:p w:rsidR="00242CCC" w:rsidRPr="00C74BDD" w:rsidRDefault="00242CCC" w:rsidP="00401AC9">
            <w:pPr>
              <w:spacing w:before="0" w:line="276" w:lineRule="auto"/>
              <w:ind w:firstLine="0"/>
              <w:jc w:val="right"/>
              <w:rPr>
                <w:rFonts w:cs="Arial"/>
                <w:b w:val="0"/>
                <w:bCs/>
                <w:sz w:val="20"/>
                <w:szCs w:val="20"/>
              </w:rPr>
            </w:pPr>
            <w:r w:rsidRPr="00C74BDD">
              <w:rPr>
                <w:rFonts w:cs="Arial"/>
                <w:b w:val="0"/>
                <w:bCs/>
                <w:sz w:val="20"/>
                <w:szCs w:val="20"/>
              </w:rPr>
              <w:t>28.2%</w:t>
            </w:r>
          </w:p>
        </w:tc>
        <w:tc>
          <w:tcPr>
            <w:tcW w:w="651" w:type="pct"/>
            <w:shd w:val="clear" w:color="auto" w:fill="FFFFFF"/>
          </w:tcPr>
          <w:p w:rsidR="00242CCC" w:rsidRPr="00C74BDD" w:rsidRDefault="00242CCC" w:rsidP="00401AC9">
            <w:pPr>
              <w:spacing w:before="0" w:line="276" w:lineRule="auto"/>
              <w:ind w:firstLine="0"/>
              <w:jc w:val="right"/>
              <w:rPr>
                <w:rFonts w:cs="Arial"/>
                <w:b w:val="0"/>
                <w:bCs/>
                <w:sz w:val="20"/>
                <w:szCs w:val="20"/>
              </w:rPr>
            </w:pPr>
            <w:r w:rsidRPr="00C74BDD">
              <w:rPr>
                <w:rFonts w:cs="Arial"/>
                <w:b w:val="0"/>
                <w:bCs/>
                <w:sz w:val="20"/>
                <w:szCs w:val="20"/>
              </w:rPr>
              <w:t>28.5%</w:t>
            </w:r>
          </w:p>
        </w:tc>
        <w:tc>
          <w:tcPr>
            <w:tcW w:w="710" w:type="pct"/>
            <w:shd w:val="clear" w:color="auto" w:fill="FFFFFF"/>
          </w:tcPr>
          <w:p w:rsidR="00242CCC" w:rsidRPr="00C74BDD" w:rsidRDefault="00242CCC" w:rsidP="00401AC9">
            <w:pPr>
              <w:spacing w:before="0" w:line="276" w:lineRule="auto"/>
              <w:ind w:firstLine="0"/>
              <w:jc w:val="right"/>
              <w:rPr>
                <w:rFonts w:cs="Arial"/>
                <w:b w:val="0"/>
                <w:bCs/>
                <w:sz w:val="20"/>
                <w:szCs w:val="20"/>
              </w:rPr>
            </w:pPr>
            <w:r w:rsidRPr="00C74BDD">
              <w:rPr>
                <w:rFonts w:cs="Arial"/>
                <w:b w:val="0"/>
                <w:bCs/>
                <w:sz w:val="20"/>
                <w:szCs w:val="20"/>
              </w:rPr>
              <w:t>24.7%</w:t>
            </w:r>
          </w:p>
        </w:tc>
        <w:tc>
          <w:tcPr>
            <w:tcW w:w="766" w:type="pct"/>
            <w:shd w:val="clear" w:color="auto" w:fill="FFFFFF"/>
          </w:tcPr>
          <w:p w:rsidR="00242CCC" w:rsidRPr="00C74BDD" w:rsidRDefault="00242CCC" w:rsidP="00401AC9">
            <w:pPr>
              <w:spacing w:before="0" w:line="276" w:lineRule="auto"/>
              <w:ind w:firstLine="0"/>
              <w:jc w:val="right"/>
              <w:rPr>
                <w:rFonts w:cs="Arial"/>
                <w:b w:val="0"/>
                <w:bCs/>
                <w:sz w:val="20"/>
                <w:szCs w:val="20"/>
              </w:rPr>
            </w:pPr>
            <w:r w:rsidRPr="00C74BDD">
              <w:rPr>
                <w:rFonts w:cs="Arial"/>
                <w:b w:val="0"/>
                <w:bCs/>
                <w:sz w:val="20"/>
                <w:szCs w:val="20"/>
              </w:rPr>
              <w:t>23.7%</w:t>
            </w:r>
          </w:p>
        </w:tc>
        <w:tc>
          <w:tcPr>
            <w:tcW w:w="707" w:type="pct"/>
            <w:shd w:val="clear" w:color="auto" w:fill="FFFFFF"/>
          </w:tcPr>
          <w:p w:rsidR="00242CCC" w:rsidRPr="00C74BDD" w:rsidRDefault="00242CCC" w:rsidP="00401AC9">
            <w:pPr>
              <w:spacing w:before="0" w:line="276" w:lineRule="auto"/>
              <w:ind w:firstLine="0"/>
              <w:jc w:val="right"/>
              <w:rPr>
                <w:rFonts w:cs="Arial"/>
                <w:b w:val="0"/>
                <w:bCs/>
                <w:sz w:val="20"/>
                <w:szCs w:val="20"/>
                <w:lang w:val="en-US"/>
              </w:rPr>
            </w:pPr>
            <w:r w:rsidRPr="00C74BDD">
              <w:rPr>
                <w:rFonts w:cs="Arial"/>
                <w:b w:val="0"/>
                <w:bCs/>
                <w:sz w:val="20"/>
                <w:szCs w:val="20"/>
                <w:lang w:val="en-US"/>
              </w:rPr>
              <w:t>27.</w:t>
            </w:r>
            <w:r>
              <w:rPr>
                <w:rFonts w:cs="Arial"/>
                <w:b w:val="0"/>
                <w:bCs/>
                <w:sz w:val="20"/>
                <w:szCs w:val="20"/>
              </w:rPr>
              <w:t>9</w:t>
            </w:r>
            <w:r w:rsidRPr="00C74BDD">
              <w:rPr>
                <w:rFonts w:cs="Arial"/>
                <w:b w:val="0"/>
                <w:bCs/>
                <w:sz w:val="20"/>
                <w:szCs w:val="20"/>
              </w:rPr>
              <w:t>%</w:t>
            </w:r>
          </w:p>
        </w:tc>
      </w:tr>
      <w:tr w:rsidR="00242CCC" w:rsidRPr="00C74BDD" w:rsidTr="00650C81">
        <w:trPr>
          <w:trHeight w:val="20"/>
        </w:trPr>
        <w:tc>
          <w:tcPr>
            <w:tcW w:w="1465" w:type="pct"/>
            <w:shd w:val="clear" w:color="auto" w:fill="C6D9F1" w:themeFill="text2" w:themeFillTint="33"/>
            <w:tcMar>
              <w:top w:w="0" w:type="dxa"/>
              <w:left w:w="57" w:type="dxa"/>
              <w:bottom w:w="0" w:type="dxa"/>
              <w:right w:w="57" w:type="dxa"/>
            </w:tcMar>
            <w:vAlign w:val="center"/>
            <w:hideMark/>
          </w:tcPr>
          <w:p w:rsidR="00242CCC" w:rsidRPr="00C74BDD" w:rsidRDefault="00242CCC" w:rsidP="00650C81">
            <w:pPr>
              <w:spacing w:before="0" w:line="276" w:lineRule="auto"/>
              <w:ind w:firstLine="0"/>
              <w:jc w:val="left"/>
              <w:rPr>
                <w:rFonts w:cs="Arial"/>
                <w:sz w:val="20"/>
                <w:szCs w:val="20"/>
              </w:rPr>
            </w:pPr>
            <w:r w:rsidRPr="00C74BDD">
              <w:rPr>
                <w:rFonts w:cs="Arial"/>
                <w:sz w:val="20"/>
                <w:szCs w:val="20"/>
              </w:rPr>
              <w:t>ՏՆՏԵՍԱԿԱՆ ՈԼՈՐՏ</w:t>
            </w:r>
          </w:p>
        </w:tc>
        <w:tc>
          <w:tcPr>
            <w:tcW w:w="701" w:type="pct"/>
            <w:shd w:val="clear" w:color="auto" w:fill="C6D9F1" w:themeFill="text2" w:themeFillTint="33"/>
          </w:tcPr>
          <w:p w:rsidR="00242CCC" w:rsidRPr="00C74BDD" w:rsidRDefault="00242CCC" w:rsidP="00401AC9">
            <w:pPr>
              <w:spacing w:before="0" w:line="276" w:lineRule="auto"/>
              <w:ind w:firstLine="0"/>
              <w:jc w:val="right"/>
              <w:rPr>
                <w:rFonts w:cs="Arial"/>
                <w:sz w:val="20"/>
                <w:szCs w:val="20"/>
              </w:rPr>
            </w:pPr>
            <w:r w:rsidRPr="00C74BDD">
              <w:rPr>
                <w:rFonts w:cs="Arial"/>
                <w:sz w:val="20"/>
                <w:szCs w:val="20"/>
              </w:rPr>
              <w:t>133,980.8</w:t>
            </w:r>
          </w:p>
        </w:tc>
        <w:tc>
          <w:tcPr>
            <w:tcW w:w="651" w:type="pct"/>
            <w:shd w:val="clear" w:color="auto" w:fill="C6D9F1" w:themeFill="text2" w:themeFillTint="33"/>
          </w:tcPr>
          <w:p w:rsidR="00242CCC" w:rsidRPr="00C74BDD" w:rsidRDefault="00242CCC" w:rsidP="00401AC9">
            <w:pPr>
              <w:spacing w:before="0" w:line="276" w:lineRule="auto"/>
              <w:ind w:firstLine="0"/>
              <w:jc w:val="right"/>
              <w:rPr>
                <w:rFonts w:cs="Arial"/>
                <w:sz w:val="20"/>
                <w:szCs w:val="20"/>
              </w:rPr>
            </w:pPr>
            <w:r w:rsidRPr="00C74BDD">
              <w:rPr>
                <w:rFonts w:cs="Arial"/>
                <w:sz w:val="20"/>
                <w:szCs w:val="20"/>
              </w:rPr>
              <w:t>138,887.2</w:t>
            </w:r>
          </w:p>
        </w:tc>
        <w:tc>
          <w:tcPr>
            <w:tcW w:w="710" w:type="pct"/>
            <w:shd w:val="clear" w:color="auto" w:fill="C6D9F1" w:themeFill="text2" w:themeFillTint="33"/>
            <w:tcMar>
              <w:top w:w="0" w:type="dxa"/>
              <w:left w:w="30" w:type="dxa"/>
              <w:bottom w:w="0" w:type="dxa"/>
              <w:right w:w="30" w:type="dxa"/>
            </w:tcMar>
          </w:tcPr>
          <w:p w:rsidR="00242CCC" w:rsidRPr="00C74BDD" w:rsidRDefault="00242CCC" w:rsidP="00401AC9">
            <w:pPr>
              <w:spacing w:before="0" w:line="276" w:lineRule="auto"/>
              <w:ind w:firstLine="0"/>
              <w:jc w:val="right"/>
              <w:rPr>
                <w:rFonts w:cs="Arial"/>
                <w:sz w:val="20"/>
                <w:szCs w:val="20"/>
              </w:rPr>
            </w:pPr>
            <w:r w:rsidRPr="00C74BDD">
              <w:rPr>
                <w:rFonts w:cs="Arial"/>
                <w:sz w:val="20"/>
                <w:szCs w:val="20"/>
              </w:rPr>
              <w:t>16</w:t>
            </w:r>
            <w:r>
              <w:rPr>
                <w:rFonts w:cs="Arial"/>
                <w:sz w:val="20"/>
                <w:szCs w:val="20"/>
                <w:lang w:val="en-US"/>
              </w:rPr>
              <w:t>7</w:t>
            </w:r>
            <w:r w:rsidRPr="00C74BDD">
              <w:rPr>
                <w:rFonts w:cs="Arial"/>
                <w:sz w:val="20"/>
                <w:szCs w:val="20"/>
              </w:rPr>
              <w:t>,330.0</w:t>
            </w:r>
          </w:p>
        </w:tc>
        <w:tc>
          <w:tcPr>
            <w:tcW w:w="766" w:type="pct"/>
            <w:shd w:val="clear" w:color="auto" w:fill="C6D9F1" w:themeFill="text2" w:themeFillTint="33"/>
          </w:tcPr>
          <w:p w:rsidR="00242CCC" w:rsidRPr="00C74BDD" w:rsidRDefault="00242CCC" w:rsidP="00401AC9">
            <w:pPr>
              <w:spacing w:before="0" w:line="276" w:lineRule="auto"/>
              <w:ind w:firstLine="0"/>
              <w:jc w:val="right"/>
              <w:rPr>
                <w:rFonts w:cs="Arial"/>
                <w:sz w:val="20"/>
                <w:szCs w:val="20"/>
              </w:rPr>
            </w:pPr>
            <w:r w:rsidRPr="00C74BDD">
              <w:rPr>
                <w:rFonts w:cs="Arial"/>
                <w:sz w:val="20"/>
                <w:szCs w:val="20"/>
              </w:rPr>
              <w:t>237,390.2</w:t>
            </w:r>
          </w:p>
        </w:tc>
        <w:tc>
          <w:tcPr>
            <w:tcW w:w="707" w:type="pct"/>
            <w:shd w:val="clear" w:color="auto" w:fill="C6D9F1" w:themeFill="text2" w:themeFillTint="33"/>
          </w:tcPr>
          <w:p w:rsidR="00242CCC" w:rsidRPr="00DE17C4" w:rsidRDefault="00242CCC" w:rsidP="00401AC9">
            <w:pPr>
              <w:spacing w:before="0" w:after="200" w:line="276" w:lineRule="auto"/>
              <w:ind w:firstLine="0"/>
              <w:contextualSpacing w:val="0"/>
              <w:jc w:val="right"/>
              <w:rPr>
                <w:rFonts w:cs="Arial"/>
                <w:sz w:val="20"/>
                <w:szCs w:val="20"/>
              </w:rPr>
            </w:pPr>
            <w:r w:rsidRPr="00C74BDD">
              <w:rPr>
                <w:rFonts w:eastAsiaTheme="minorHAnsi" w:cs="Cambria Math"/>
                <w:bCs/>
                <w:sz w:val="20"/>
                <w:szCs w:val="20"/>
                <w:lang w:val="en-US" w:eastAsia="en-US"/>
              </w:rPr>
              <w:t>2</w:t>
            </w:r>
            <w:r w:rsidRPr="00C74BDD">
              <w:rPr>
                <w:rFonts w:eastAsiaTheme="minorHAnsi" w:cs="Cambria Math"/>
                <w:bCs/>
                <w:sz w:val="20"/>
                <w:szCs w:val="20"/>
                <w:lang w:eastAsia="en-US"/>
              </w:rPr>
              <w:t>6</w:t>
            </w:r>
            <w:r w:rsidRPr="00C74BDD">
              <w:rPr>
                <w:rFonts w:eastAsiaTheme="minorHAnsi" w:cs="Cambria Math"/>
                <w:bCs/>
                <w:sz w:val="20"/>
                <w:szCs w:val="20"/>
                <w:lang w:val="en-US" w:eastAsia="en-US"/>
              </w:rPr>
              <w:t>7,</w:t>
            </w:r>
            <w:r>
              <w:rPr>
                <w:rFonts w:eastAsiaTheme="minorHAnsi" w:cs="Cambria Math"/>
                <w:bCs/>
                <w:sz w:val="20"/>
                <w:szCs w:val="20"/>
                <w:lang w:eastAsia="en-US"/>
              </w:rPr>
              <w:t>617</w:t>
            </w:r>
            <w:r w:rsidRPr="00C74BDD">
              <w:rPr>
                <w:rFonts w:eastAsiaTheme="minorHAnsi" w:cs="Cambria Math"/>
                <w:bCs/>
                <w:sz w:val="20"/>
                <w:szCs w:val="20"/>
                <w:lang w:val="en-US" w:eastAsia="en-US"/>
              </w:rPr>
              <w:t>.</w:t>
            </w:r>
            <w:r>
              <w:rPr>
                <w:rFonts w:eastAsiaTheme="minorHAnsi" w:cs="Cambria Math"/>
                <w:bCs/>
                <w:sz w:val="20"/>
                <w:szCs w:val="20"/>
                <w:lang w:eastAsia="en-US"/>
              </w:rPr>
              <w:t>9</w:t>
            </w:r>
          </w:p>
        </w:tc>
      </w:tr>
      <w:tr w:rsidR="00242CCC" w:rsidRPr="00C74BDD" w:rsidTr="00650C81">
        <w:trPr>
          <w:trHeight w:val="20"/>
        </w:trPr>
        <w:tc>
          <w:tcPr>
            <w:tcW w:w="1465" w:type="pct"/>
            <w:shd w:val="clear" w:color="auto" w:fill="FFFFFF"/>
            <w:tcMar>
              <w:top w:w="0" w:type="dxa"/>
              <w:left w:w="57" w:type="dxa"/>
              <w:bottom w:w="0" w:type="dxa"/>
              <w:right w:w="57" w:type="dxa"/>
            </w:tcMar>
            <w:vAlign w:val="center"/>
            <w:hideMark/>
          </w:tcPr>
          <w:p w:rsidR="00242CCC" w:rsidRPr="00C74BDD" w:rsidRDefault="00242CCC" w:rsidP="00650C81">
            <w:pPr>
              <w:spacing w:before="0" w:line="276" w:lineRule="auto"/>
              <w:ind w:firstLine="0"/>
              <w:jc w:val="left"/>
              <w:rPr>
                <w:rFonts w:cs="Arial"/>
                <w:b w:val="0"/>
                <w:bCs/>
                <w:sz w:val="20"/>
                <w:szCs w:val="20"/>
              </w:rPr>
            </w:pPr>
            <w:r w:rsidRPr="00C74BDD">
              <w:rPr>
                <w:rFonts w:cs="Arial"/>
                <w:b w:val="0"/>
                <w:bCs/>
                <w:sz w:val="20"/>
                <w:szCs w:val="20"/>
              </w:rPr>
              <w:t>- Հարաբերությունը ՀՆԱ-ի նկատմամբ (%)</w:t>
            </w:r>
          </w:p>
        </w:tc>
        <w:tc>
          <w:tcPr>
            <w:tcW w:w="701" w:type="pct"/>
            <w:shd w:val="clear" w:color="auto" w:fill="FFFFFF"/>
          </w:tcPr>
          <w:p w:rsidR="00242CCC" w:rsidRPr="00C74BDD" w:rsidRDefault="00242CCC" w:rsidP="00401AC9">
            <w:pPr>
              <w:spacing w:before="0" w:line="276" w:lineRule="auto"/>
              <w:ind w:firstLine="0"/>
              <w:jc w:val="right"/>
              <w:rPr>
                <w:rFonts w:cs="Arial"/>
                <w:b w:val="0"/>
                <w:bCs/>
                <w:sz w:val="20"/>
                <w:szCs w:val="20"/>
              </w:rPr>
            </w:pPr>
            <w:r w:rsidRPr="00C74BDD">
              <w:rPr>
                <w:rFonts w:cs="Arial"/>
                <w:b w:val="0"/>
                <w:bCs/>
                <w:sz w:val="20"/>
                <w:szCs w:val="20"/>
              </w:rPr>
              <w:t>2.0%</w:t>
            </w:r>
          </w:p>
        </w:tc>
        <w:tc>
          <w:tcPr>
            <w:tcW w:w="651" w:type="pct"/>
            <w:shd w:val="clear" w:color="auto" w:fill="FFFFFF"/>
          </w:tcPr>
          <w:p w:rsidR="00242CCC" w:rsidRPr="00C74BDD" w:rsidRDefault="00242CCC" w:rsidP="00401AC9">
            <w:pPr>
              <w:spacing w:before="0" w:line="276" w:lineRule="auto"/>
              <w:ind w:firstLine="0"/>
              <w:jc w:val="right"/>
              <w:rPr>
                <w:rFonts w:cs="Arial"/>
                <w:b w:val="0"/>
                <w:bCs/>
                <w:sz w:val="20"/>
                <w:szCs w:val="20"/>
              </w:rPr>
            </w:pPr>
            <w:r w:rsidRPr="00C74BDD">
              <w:rPr>
                <w:rFonts w:cs="Arial"/>
                <w:b w:val="0"/>
                <w:bCs/>
                <w:sz w:val="20"/>
                <w:szCs w:val="20"/>
              </w:rPr>
              <w:t>2.4%</w:t>
            </w:r>
          </w:p>
        </w:tc>
        <w:tc>
          <w:tcPr>
            <w:tcW w:w="710" w:type="pct"/>
            <w:shd w:val="clear" w:color="auto" w:fill="FFFFFF"/>
          </w:tcPr>
          <w:p w:rsidR="00242CCC" w:rsidRPr="00C74BDD" w:rsidRDefault="00242CCC" w:rsidP="00401AC9">
            <w:pPr>
              <w:spacing w:before="0" w:line="276" w:lineRule="auto"/>
              <w:ind w:firstLine="0"/>
              <w:jc w:val="right"/>
              <w:rPr>
                <w:rFonts w:cs="Arial"/>
                <w:b w:val="0"/>
                <w:bCs/>
                <w:sz w:val="20"/>
                <w:szCs w:val="20"/>
              </w:rPr>
            </w:pPr>
            <w:r w:rsidRPr="00C74BDD">
              <w:rPr>
                <w:rFonts w:cs="Arial"/>
                <w:b w:val="0"/>
                <w:bCs/>
                <w:sz w:val="20"/>
                <w:szCs w:val="20"/>
              </w:rPr>
              <w:t>2.4%</w:t>
            </w:r>
          </w:p>
        </w:tc>
        <w:tc>
          <w:tcPr>
            <w:tcW w:w="766" w:type="pct"/>
            <w:shd w:val="clear" w:color="auto" w:fill="FFFFFF"/>
          </w:tcPr>
          <w:p w:rsidR="00242CCC" w:rsidRPr="00C74BDD" w:rsidRDefault="00242CCC" w:rsidP="00401AC9">
            <w:pPr>
              <w:spacing w:before="0" w:line="276" w:lineRule="auto"/>
              <w:ind w:firstLine="0"/>
              <w:jc w:val="right"/>
              <w:rPr>
                <w:rFonts w:cs="Arial"/>
                <w:b w:val="0"/>
                <w:bCs/>
                <w:sz w:val="20"/>
                <w:szCs w:val="20"/>
              </w:rPr>
            </w:pPr>
            <w:r w:rsidRPr="00C74BDD">
              <w:rPr>
                <w:rFonts w:cs="Arial"/>
                <w:b w:val="0"/>
                <w:bCs/>
                <w:sz w:val="20"/>
                <w:szCs w:val="20"/>
              </w:rPr>
              <w:t>3.0%</w:t>
            </w:r>
          </w:p>
        </w:tc>
        <w:tc>
          <w:tcPr>
            <w:tcW w:w="707" w:type="pct"/>
            <w:shd w:val="clear" w:color="auto" w:fill="FFFFFF"/>
          </w:tcPr>
          <w:p w:rsidR="00242CCC" w:rsidRPr="00C74BDD" w:rsidRDefault="00242CCC" w:rsidP="00401AC9">
            <w:pPr>
              <w:spacing w:before="0" w:line="276" w:lineRule="auto"/>
              <w:ind w:firstLine="0"/>
              <w:jc w:val="right"/>
              <w:rPr>
                <w:rFonts w:cs="Arial"/>
                <w:b w:val="0"/>
                <w:bCs/>
                <w:sz w:val="20"/>
                <w:szCs w:val="20"/>
                <w:lang w:val="en-US"/>
              </w:rPr>
            </w:pPr>
            <w:r w:rsidRPr="00C74BDD">
              <w:rPr>
                <w:rFonts w:cs="Arial"/>
                <w:b w:val="0"/>
                <w:bCs/>
                <w:sz w:val="20"/>
                <w:szCs w:val="20"/>
                <w:lang w:val="en-US"/>
              </w:rPr>
              <w:t>2.</w:t>
            </w:r>
            <w:r w:rsidRPr="00C74BDD">
              <w:rPr>
                <w:rFonts w:cs="Arial"/>
                <w:b w:val="0"/>
                <w:bCs/>
                <w:sz w:val="20"/>
                <w:szCs w:val="20"/>
              </w:rPr>
              <w:t>9%</w:t>
            </w:r>
          </w:p>
        </w:tc>
      </w:tr>
      <w:tr w:rsidR="00242CCC" w:rsidRPr="00C74BDD" w:rsidTr="00650C81">
        <w:trPr>
          <w:trHeight w:val="20"/>
        </w:trPr>
        <w:tc>
          <w:tcPr>
            <w:tcW w:w="1465" w:type="pct"/>
            <w:shd w:val="clear" w:color="auto" w:fill="FFFFFF"/>
            <w:tcMar>
              <w:top w:w="0" w:type="dxa"/>
              <w:left w:w="57" w:type="dxa"/>
              <w:bottom w:w="0" w:type="dxa"/>
              <w:right w:w="57" w:type="dxa"/>
            </w:tcMar>
            <w:vAlign w:val="center"/>
            <w:hideMark/>
          </w:tcPr>
          <w:p w:rsidR="00242CCC" w:rsidRPr="003E5BC9" w:rsidRDefault="00242CCC" w:rsidP="00650C81">
            <w:pPr>
              <w:spacing w:before="0" w:line="276" w:lineRule="auto"/>
              <w:ind w:firstLine="0"/>
              <w:jc w:val="left"/>
              <w:rPr>
                <w:rFonts w:cs="Arial"/>
                <w:b w:val="0"/>
                <w:bCs/>
                <w:sz w:val="20"/>
                <w:szCs w:val="20"/>
              </w:rPr>
            </w:pPr>
            <w:r w:rsidRPr="003E5BC9">
              <w:rPr>
                <w:rFonts w:cs="Arial"/>
                <w:b w:val="0"/>
                <w:bCs/>
                <w:sz w:val="20"/>
                <w:szCs w:val="20"/>
              </w:rPr>
              <w:t xml:space="preserve">- </w:t>
            </w:r>
            <w:r w:rsidRPr="00C74BDD">
              <w:rPr>
                <w:rFonts w:cs="Arial"/>
                <w:b w:val="0"/>
                <w:bCs/>
                <w:sz w:val="20"/>
                <w:szCs w:val="20"/>
              </w:rPr>
              <w:t>տեսակարար</w:t>
            </w:r>
            <w:r w:rsidRPr="003E5BC9">
              <w:rPr>
                <w:rFonts w:cs="Arial"/>
                <w:b w:val="0"/>
                <w:bCs/>
                <w:sz w:val="20"/>
                <w:szCs w:val="20"/>
              </w:rPr>
              <w:t xml:space="preserve"> </w:t>
            </w:r>
            <w:r w:rsidRPr="00C74BDD">
              <w:rPr>
                <w:rFonts w:cs="Arial"/>
                <w:b w:val="0"/>
                <w:bCs/>
                <w:sz w:val="20"/>
                <w:szCs w:val="20"/>
              </w:rPr>
              <w:t>կշիռը</w:t>
            </w:r>
            <w:r w:rsidRPr="003E5BC9">
              <w:rPr>
                <w:rFonts w:cs="Arial"/>
                <w:b w:val="0"/>
                <w:bCs/>
                <w:sz w:val="20"/>
                <w:szCs w:val="20"/>
              </w:rPr>
              <w:t xml:space="preserve"> </w:t>
            </w:r>
            <w:r w:rsidRPr="00C74BDD">
              <w:rPr>
                <w:rFonts w:cs="Arial"/>
                <w:b w:val="0"/>
                <w:bCs/>
                <w:sz w:val="20"/>
                <w:szCs w:val="20"/>
              </w:rPr>
              <w:t>ծախսերի</w:t>
            </w:r>
            <w:r w:rsidRPr="003E5BC9">
              <w:rPr>
                <w:rFonts w:cs="Arial"/>
                <w:b w:val="0"/>
                <w:bCs/>
                <w:sz w:val="20"/>
                <w:szCs w:val="20"/>
              </w:rPr>
              <w:t xml:space="preserve"> </w:t>
            </w:r>
            <w:r w:rsidRPr="00C74BDD">
              <w:rPr>
                <w:rFonts w:cs="Arial"/>
                <w:b w:val="0"/>
                <w:bCs/>
                <w:sz w:val="20"/>
                <w:szCs w:val="20"/>
              </w:rPr>
              <w:t>ամբողջ</w:t>
            </w:r>
            <w:r w:rsidRPr="003E5BC9">
              <w:rPr>
                <w:rFonts w:cs="Arial"/>
                <w:b w:val="0"/>
                <w:bCs/>
                <w:sz w:val="20"/>
                <w:szCs w:val="20"/>
              </w:rPr>
              <w:t xml:space="preserve"> </w:t>
            </w:r>
            <w:r w:rsidRPr="00C74BDD">
              <w:rPr>
                <w:rFonts w:cs="Arial"/>
                <w:b w:val="0"/>
                <w:bCs/>
                <w:sz w:val="20"/>
                <w:szCs w:val="20"/>
              </w:rPr>
              <w:t>ծավալում</w:t>
            </w:r>
            <w:r w:rsidRPr="003E5BC9">
              <w:rPr>
                <w:rFonts w:cs="Arial"/>
                <w:b w:val="0"/>
                <w:bCs/>
                <w:sz w:val="20"/>
                <w:szCs w:val="20"/>
              </w:rPr>
              <w:t xml:space="preserve"> (%)</w:t>
            </w:r>
          </w:p>
        </w:tc>
        <w:tc>
          <w:tcPr>
            <w:tcW w:w="701" w:type="pct"/>
            <w:shd w:val="clear" w:color="auto" w:fill="FFFFFF"/>
          </w:tcPr>
          <w:p w:rsidR="00242CCC" w:rsidRPr="00C74BDD" w:rsidRDefault="00242CCC" w:rsidP="00401AC9">
            <w:pPr>
              <w:spacing w:before="0" w:line="276" w:lineRule="auto"/>
              <w:ind w:firstLine="0"/>
              <w:jc w:val="right"/>
              <w:rPr>
                <w:rFonts w:cs="Arial"/>
                <w:b w:val="0"/>
                <w:bCs/>
                <w:sz w:val="20"/>
                <w:szCs w:val="20"/>
              </w:rPr>
            </w:pPr>
            <w:r w:rsidRPr="00C74BDD">
              <w:rPr>
                <w:rFonts w:cs="Arial"/>
                <w:b w:val="0"/>
                <w:bCs/>
                <w:sz w:val="20"/>
                <w:szCs w:val="20"/>
              </w:rPr>
              <w:t>8.2%</w:t>
            </w:r>
          </w:p>
        </w:tc>
        <w:tc>
          <w:tcPr>
            <w:tcW w:w="651" w:type="pct"/>
            <w:shd w:val="clear" w:color="auto" w:fill="FFFFFF"/>
          </w:tcPr>
          <w:p w:rsidR="00242CCC" w:rsidRPr="00C74BDD" w:rsidRDefault="00242CCC" w:rsidP="00401AC9">
            <w:pPr>
              <w:spacing w:before="0" w:line="276" w:lineRule="auto"/>
              <w:ind w:firstLine="0"/>
              <w:jc w:val="right"/>
              <w:rPr>
                <w:rFonts w:cs="Arial"/>
                <w:b w:val="0"/>
                <w:bCs/>
                <w:sz w:val="20"/>
                <w:szCs w:val="20"/>
              </w:rPr>
            </w:pPr>
            <w:r w:rsidRPr="00C74BDD">
              <w:rPr>
                <w:rFonts w:cs="Arial"/>
                <w:b w:val="0"/>
                <w:bCs/>
                <w:sz w:val="20"/>
                <w:szCs w:val="20"/>
              </w:rPr>
              <w:t>7.3%</w:t>
            </w:r>
          </w:p>
        </w:tc>
        <w:tc>
          <w:tcPr>
            <w:tcW w:w="710" w:type="pct"/>
            <w:shd w:val="clear" w:color="auto" w:fill="FFFFFF"/>
          </w:tcPr>
          <w:p w:rsidR="00242CCC" w:rsidRPr="00C74BDD" w:rsidRDefault="00242CCC" w:rsidP="00401AC9">
            <w:pPr>
              <w:spacing w:before="0" w:line="276" w:lineRule="auto"/>
              <w:ind w:firstLine="0"/>
              <w:jc w:val="right"/>
              <w:rPr>
                <w:rFonts w:cs="Arial"/>
                <w:b w:val="0"/>
                <w:bCs/>
                <w:sz w:val="20"/>
                <w:szCs w:val="20"/>
              </w:rPr>
            </w:pPr>
            <w:r w:rsidRPr="00C74BDD">
              <w:rPr>
                <w:rFonts w:cs="Arial"/>
                <w:b w:val="0"/>
                <w:bCs/>
                <w:sz w:val="20"/>
                <w:szCs w:val="20"/>
              </w:rPr>
              <w:t>8.3%</w:t>
            </w:r>
          </w:p>
        </w:tc>
        <w:tc>
          <w:tcPr>
            <w:tcW w:w="766" w:type="pct"/>
            <w:shd w:val="clear" w:color="auto" w:fill="FFFFFF"/>
          </w:tcPr>
          <w:p w:rsidR="00242CCC" w:rsidRPr="00C74BDD" w:rsidRDefault="00242CCC" w:rsidP="00401AC9">
            <w:pPr>
              <w:spacing w:before="0" w:line="276" w:lineRule="auto"/>
              <w:ind w:firstLine="0"/>
              <w:jc w:val="right"/>
              <w:rPr>
                <w:rFonts w:cs="Arial"/>
                <w:b w:val="0"/>
                <w:bCs/>
                <w:sz w:val="20"/>
                <w:szCs w:val="20"/>
              </w:rPr>
            </w:pPr>
            <w:r w:rsidRPr="00C74BDD">
              <w:rPr>
                <w:rFonts w:cs="Arial"/>
                <w:b w:val="0"/>
                <w:bCs/>
                <w:sz w:val="20"/>
                <w:szCs w:val="20"/>
              </w:rPr>
              <w:t>10.9%</w:t>
            </w:r>
          </w:p>
        </w:tc>
        <w:tc>
          <w:tcPr>
            <w:tcW w:w="707" w:type="pct"/>
            <w:shd w:val="clear" w:color="auto" w:fill="FFFFFF"/>
          </w:tcPr>
          <w:p w:rsidR="00242CCC" w:rsidRPr="00C74BDD" w:rsidRDefault="00242CCC" w:rsidP="00401AC9">
            <w:pPr>
              <w:spacing w:before="0" w:line="276" w:lineRule="auto"/>
              <w:ind w:firstLine="0"/>
              <w:jc w:val="right"/>
              <w:rPr>
                <w:rFonts w:cs="Arial"/>
                <w:b w:val="0"/>
                <w:bCs/>
                <w:sz w:val="20"/>
                <w:szCs w:val="20"/>
                <w:lang w:val="en-US"/>
              </w:rPr>
            </w:pPr>
            <w:r w:rsidRPr="00C74BDD">
              <w:rPr>
                <w:rFonts w:cs="Arial"/>
                <w:b w:val="0"/>
                <w:bCs/>
                <w:sz w:val="20"/>
                <w:szCs w:val="20"/>
              </w:rPr>
              <w:t>10</w:t>
            </w:r>
            <w:r w:rsidRPr="00C74BDD">
              <w:rPr>
                <w:rFonts w:cs="Arial"/>
                <w:b w:val="0"/>
                <w:bCs/>
                <w:sz w:val="20"/>
                <w:szCs w:val="20"/>
                <w:lang w:val="en-US"/>
              </w:rPr>
              <w:t>.3</w:t>
            </w:r>
            <w:r w:rsidRPr="00C74BDD">
              <w:rPr>
                <w:rFonts w:cs="Arial"/>
                <w:b w:val="0"/>
                <w:bCs/>
                <w:sz w:val="20"/>
                <w:szCs w:val="20"/>
              </w:rPr>
              <w:t>%</w:t>
            </w:r>
          </w:p>
        </w:tc>
      </w:tr>
      <w:tr w:rsidR="00242CCC" w:rsidRPr="00C74BDD" w:rsidTr="00650C81">
        <w:trPr>
          <w:trHeight w:val="20"/>
        </w:trPr>
        <w:tc>
          <w:tcPr>
            <w:tcW w:w="1465" w:type="pct"/>
            <w:shd w:val="clear" w:color="auto" w:fill="C6D9F1" w:themeFill="text2" w:themeFillTint="33"/>
            <w:tcMar>
              <w:top w:w="0" w:type="dxa"/>
              <w:left w:w="57" w:type="dxa"/>
              <w:bottom w:w="0" w:type="dxa"/>
              <w:right w:w="57" w:type="dxa"/>
            </w:tcMar>
            <w:vAlign w:val="center"/>
            <w:hideMark/>
          </w:tcPr>
          <w:p w:rsidR="00242CCC" w:rsidRPr="00C74BDD" w:rsidRDefault="00242CCC" w:rsidP="00650C81">
            <w:pPr>
              <w:spacing w:before="0" w:line="276" w:lineRule="auto"/>
              <w:ind w:firstLine="0"/>
              <w:jc w:val="left"/>
              <w:rPr>
                <w:rFonts w:cs="Arial"/>
                <w:sz w:val="20"/>
                <w:szCs w:val="20"/>
              </w:rPr>
            </w:pPr>
            <w:r w:rsidRPr="00C74BDD">
              <w:rPr>
                <w:rFonts w:cs="Arial"/>
                <w:sz w:val="20"/>
                <w:szCs w:val="20"/>
              </w:rPr>
              <w:t>ՍՈՑԻԱԼԱԿԱՆ ՈԼՈՐՏ</w:t>
            </w:r>
          </w:p>
        </w:tc>
        <w:tc>
          <w:tcPr>
            <w:tcW w:w="701" w:type="pct"/>
            <w:shd w:val="clear" w:color="auto" w:fill="C6D9F1" w:themeFill="text2" w:themeFillTint="33"/>
          </w:tcPr>
          <w:p w:rsidR="00242CCC" w:rsidRPr="00C74BDD" w:rsidRDefault="00242CCC" w:rsidP="00401AC9">
            <w:pPr>
              <w:spacing w:before="0" w:line="276" w:lineRule="auto"/>
              <w:ind w:firstLine="0"/>
              <w:jc w:val="right"/>
              <w:rPr>
                <w:rFonts w:cs="Arial"/>
                <w:sz w:val="20"/>
                <w:szCs w:val="20"/>
              </w:rPr>
            </w:pPr>
            <w:r w:rsidRPr="00C74BDD">
              <w:rPr>
                <w:rFonts w:cs="Arial"/>
                <w:sz w:val="20"/>
                <w:szCs w:val="20"/>
              </w:rPr>
              <w:t>716,099.0</w:t>
            </w:r>
          </w:p>
        </w:tc>
        <w:tc>
          <w:tcPr>
            <w:tcW w:w="651" w:type="pct"/>
            <w:shd w:val="clear" w:color="auto" w:fill="C6D9F1" w:themeFill="text2" w:themeFillTint="33"/>
          </w:tcPr>
          <w:p w:rsidR="00242CCC" w:rsidRPr="00C74BDD" w:rsidRDefault="00242CCC" w:rsidP="00401AC9">
            <w:pPr>
              <w:spacing w:before="0" w:line="276" w:lineRule="auto"/>
              <w:ind w:firstLine="0"/>
              <w:jc w:val="right"/>
              <w:rPr>
                <w:rFonts w:cs="Arial"/>
                <w:sz w:val="20"/>
                <w:szCs w:val="20"/>
              </w:rPr>
            </w:pPr>
            <w:r w:rsidRPr="00C74BDD">
              <w:rPr>
                <w:rFonts w:cs="Arial"/>
                <w:sz w:val="20"/>
                <w:szCs w:val="20"/>
              </w:rPr>
              <w:t>872,233.8</w:t>
            </w:r>
          </w:p>
        </w:tc>
        <w:tc>
          <w:tcPr>
            <w:tcW w:w="710" w:type="pct"/>
            <w:shd w:val="clear" w:color="auto" w:fill="C6D9F1" w:themeFill="text2" w:themeFillTint="33"/>
            <w:tcMar>
              <w:top w:w="0" w:type="dxa"/>
              <w:left w:w="30" w:type="dxa"/>
              <w:bottom w:w="0" w:type="dxa"/>
              <w:right w:w="30" w:type="dxa"/>
            </w:tcMar>
          </w:tcPr>
          <w:p w:rsidR="00242CCC" w:rsidRPr="00C74BDD" w:rsidRDefault="00242CCC" w:rsidP="00401AC9">
            <w:pPr>
              <w:spacing w:before="0" w:line="276" w:lineRule="auto"/>
              <w:ind w:firstLine="0"/>
              <w:jc w:val="right"/>
              <w:rPr>
                <w:rFonts w:cs="Arial"/>
                <w:sz w:val="20"/>
                <w:szCs w:val="20"/>
              </w:rPr>
            </w:pPr>
            <w:r w:rsidRPr="00C74BDD">
              <w:rPr>
                <w:rFonts w:cs="Arial"/>
                <w:sz w:val="20"/>
                <w:szCs w:val="20"/>
              </w:rPr>
              <w:t>960,012.6</w:t>
            </w:r>
          </w:p>
        </w:tc>
        <w:tc>
          <w:tcPr>
            <w:tcW w:w="766" w:type="pct"/>
            <w:shd w:val="clear" w:color="auto" w:fill="C6D9F1" w:themeFill="text2" w:themeFillTint="33"/>
          </w:tcPr>
          <w:p w:rsidR="00242CCC" w:rsidRPr="00C74BDD" w:rsidRDefault="00242CCC" w:rsidP="00401AC9">
            <w:pPr>
              <w:spacing w:before="0" w:line="276" w:lineRule="auto"/>
              <w:ind w:firstLine="0"/>
              <w:jc w:val="right"/>
              <w:rPr>
                <w:rFonts w:cs="Arial"/>
                <w:sz w:val="20"/>
                <w:szCs w:val="20"/>
              </w:rPr>
            </w:pPr>
            <w:r w:rsidRPr="00C74BDD">
              <w:rPr>
                <w:rFonts w:cs="Arial"/>
                <w:sz w:val="20"/>
                <w:szCs w:val="20"/>
              </w:rPr>
              <w:t>929,603.0</w:t>
            </w:r>
          </w:p>
        </w:tc>
        <w:tc>
          <w:tcPr>
            <w:tcW w:w="707" w:type="pct"/>
            <w:shd w:val="clear" w:color="auto" w:fill="C6D9F1" w:themeFill="text2" w:themeFillTint="33"/>
          </w:tcPr>
          <w:p w:rsidR="00242CCC" w:rsidRPr="00DA55BC" w:rsidRDefault="00242CCC" w:rsidP="00401AC9">
            <w:pPr>
              <w:spacing w:before="0" w:after="200" w:line="276" w:lineRule="auto"/>
              <w:ind w:firstLine="0"/>
              <w:contextualSpacing w:val="0"/>
              <w:jc w:val="right"/>
              <w:rPr>
                <w:rFonts w:cs="Arial"/>
                <w:sz w:val="20"/>
                <w:szCs w:val="20"/>
              </w:rPr>
            </w:pPr>
            <w:r w:rsidRPr="00C74BDD">
              <w:rPr>
                <w:rFonts w:eastAsiaTheme="minorHAnsi" w:cs="Cambria Math"/>
                <w:bCs/>
                <w:sz w:val="20"/>
                <w:szCs w:val="20"/>
                <w:lang w:val="en-US" w:eastAsia="en-US"/>
              </w:rPr>
              <w:t>1,</w:t>
            </w:r>
            <w:r>
              <w:rPr>
                <w:rFonts w:eastAsiaTheme="minorHAnsi" w:cs="Cambria Math"/>
                <w:bCs/>
                <w:sz w:val="20"/>
                <w:szCs w:val="20"/>
                <w:lang w:eastAsia="en-US"/>
              </w:rPr>
              <w:t>050</w:t>
            </w:r>
            <w:r w:rsidRPr="00C74BDD">
              <w:rPr>
                <w:rFonts w:eastAsiaTheme="minorHAnsi" w:cs="Cambria Math"/>
                <w:bCs/>
                <w:sz w:val="20"/>
                <w:szCs w:val="20"/>
                <w:lang w:val="en-US" w:eastAsia="en-US"/>
              </w:rPr>
              <w:t>,</w:t>
            </w:r>
            <w:r>
              <w:rPr>
                <w:rFonts w:eastAsiaTheme="minorHAnsi" w:cs="Cambria Math"/>
                <w:bCs/>
                <w:sz w:val="20"/>
                <w:szCs w:val="20"/>
                <w:lang w:eastAsia="en-US"/>
              </w:rPr>
              <w:t>724.2</w:t>
            </w:r>
          </w:p>
        </w:tc>
      </w:tr>
      <w:tr w:rsidR="00242CCC" w:rsidRPr="00C74BDD" w:rsidTr="00650C81">
        <w:trPr>
          <w:trHeight w:val="20"/>
        </w:trPr>
        <w:tc>
          <w:tcPr>
            <w:tcW w:w="1465" w:type="pct"/>
            <w:shd w:val="clear" w:color="auto" w:fill="FFFFFF"/>
            <w:tcMar>
              <w:top w:w="0" w:type="dxa"/>
              <w:left w:w="57" w:type="dxa"/>
              <w:bottom w:w="0" w:type="dxa"/>
              <w:right w:w="57" w:type="dxa"/>
            </w:tcMar>
            <w:vAlign w:val="center"/>
            <w:hideMark/>
          </w:tcPr>
          <w:p w:rsidR="00242CCC" w:rsidRPr="00C74BDD" w:rsidRDefault="00242CCC" w:rsidP="00650C81">
            <w:pPr>
              <w:spacing w:before="0" w:line="276" w:lineRule="auto"/>
              <w:ind w:firstLine="0"/>
              <w:jc w:val="left"/>
              <w:rPr>
                <w:rFonts w:cs="Arial"/>
                <w:b w:val="0"/>
                <w:bCs/>
                <w:sz w:val="20"/>
                <w:szCs w:val="20"/>
              </w:rPr>
            </w:pPr>
            <w:r w:rsidRPr="00C74BDD">
              <w:rPr>
                <w:rFonts w:cs="Arial"/>
                <w:b w:val="0"/>
                <w:bCs/>
                <w:sz w:val="20"/>
                <w:szCs w:val="20"/>
              </w:rPr>
              <w:t>- Հարաբերությունը ՀՆԱ-ի նկատմամբ (%)</w:t>
            </w:r>
          </w:p>
        </w:tc>
        <w:tc>
          <w:tcPr>
            <w:tcW w:w="701" w:type="pct"/>
            <w:shd w:val="clear" w:color="auto" w:fill="FFFFFF"/>
          </w:tcPr>
          <w:p w:rsidR="00242CCC" w:rsidRPr="00C74BDD" w:rsidRDefault="00242CCC" w:rsidP="00401AC9">
            <w:pPr>
              <w:spacing w:before="0" w:line="276" w:lineRule="auto"/>
              <w:ind w:firstLine="0"/>
              <w:jc w:val="right"/>
              <w:rPr>
                <w:rFonts w:cs="Arial"/>
                <w:b w:val="0"/>
                <w:bCs/>
                <w:sz w:val="20"/>
                <w:szCs w:val="20"/>
              </w:rPr>
            </w:pPr>
            <w:r w:rsidRPr="00C74BDD">
              <w:rPr>
                <w:rFonts w:cs="Arial"/>
                <w:b w:val="0"/>
                <w:bCs/>
                <w:sz w:val="20"/>
                <w:szCs w:val="20"/>
              </w:rPr>
              <w:t>10.9%</w:t>
            </w:r>
          </w:p>
        </w:tc>
        <w:tc>
          <w:tcPr>
            <w:tcW w:w="651" w:type="pct"/>
            <w:shd w:val="clear" w:color="auto" w:fill="FFFFFF"/>
          </w:tcPr>
          <w:p w:rsidR="00242CCC" w:rsidRPr="00C74BDD" w:rsidRDefault="00242CCC" w:rsidP="00401AC9">
            <w:pPr>
              <w:spacing w:before="0" w:line="276" w:lineRule="auto"/>
              <w:ind w:firstLine="0"/>
              <w:jc w:val="right"/>
              <w:rPr>
                <w:rFonts w:cs="Arial"/>
                <w:b w:val="0"/>
                <w:bCs/>
                <w:sz w:val="20"/>
                <w:szCs w:val="20"/>
              </w:rPr>
            </w:pPr>
            <w:r w:rsidRPr="00C74BDD">
              <w:rPr>
                <w:rFonts w:cs="Arial"/>
                <w:b w:val="0"/>
                <w:bCs/>
                <w:sz w:val="20"/>
                <w:szCs w:val="20"/>
              </w:rPr>
              <w:t>14.1%</w:t>
            </w:r>
          </w:p>
        </w:tc>
        <w:tc>
          <w:tcPr>
            <w:tcW w:w="710" w:type="pct"/>
            <w:shd w:val="clear" w:color="auto" w:fill="FFFFFF"/>
          </w:tcPr>
          <w:p w:rsidR="00242CCC" w:rsidRPr="00C74BDD" w:rsidRDefault="00242CCC" w:rsidP="00401AC9">
            <w:pPr>
              <w:spacing w:before="0" w:line="276" w:lineRule="auto"/>
              <w:ind w:firstLine="0"/>
              <w:jc w:val="right"/>
              <w:rPr>
                <w:rFonts w:cs="Arial"/>
                <w:b w:val="0"/>
                <w:bCs/>
                <w:sz w:val="20"/>
                <w:szCs w:val="20"/>
              </w:rPr>
            </w:pPr>
            <w:r w:rsidRPr="00C74BDD">
              <w:rPr>
                <w:rFonts w:cs="Arial"/>
                <w:b w:val="0"/>
                <w:bCs/>
                <w:sz w:val="20"/>
                <w:szCs w:val="20"/>
              </w:rPr>
              <w:t>13.7%</w:t>
            </w:r>
          </w:p>
        </w:tc>
        <w:tc>
          <w:tcPr>
            <w:tcW w:w="766" w:type="pct"/>
            <w:shd w:val="clear" w:color="auto" w:fill="FFFFFF"/>
          </w:tcPr>
          <w:p w:rsidR="00242CCC" w:rsidRPr="00C74BDD" w:rsidRDefault="00242CCC" w:rsidP="00401AC9">
            <w:pPr>
              <w:spacing w:before="0" w:line="276" w:lineRule="auto"/>
              <w:ind w:firstLine="0"/>
              <w:jc w:val="right"/>
              <w:rPr>
                <w:rFonts w:cs="Arial"/>
                <w:b w:val="0"/>
                <w:bCs/>
                <w:sz w:val="20"/>
                <w:szCs w:val="20"/>
              </w:rPr>
            </w:pPr>
            <w:r w:rsidRPr="00C74BDD">
              <w:rPr>
                <w:rFonts w:cs="Arial"/>
                <w:b w:val="0"/>
                <w:bCs/>
                <w:sz w:val="20"/>
                <w:szCs w:val="20"/>
              </w:rPr>
              <w:t>11.8%</w:t>
            </w:r>
          </w:p>
        </w:tc>
        <w:tc>
          <w:tcPr>
            <w:tcW w:w="707" w:type="pct"/>
            <w:shd w:val="clear" w:color="auto" w:fill="FFFFFF"/>
          </w:tcPr>
          <w:p w:rsidR="00242CCC" w:rsidRPr="00C74BDD" w:rsidRDefault="00242CCC" w:rsidP="00401AC9">
            <w:pPr>
              <w:spacing w:before="0" w:line="276" w:lineRule="auto"/>
              <w:ind w:firstLine="0"/>
              <w:jc w:val="right"/>
              <w:rPr>
                <w:rFonts w:cs="Arial"/>
                <w:b w:val="0"/>
                <w:bCs/>
                <w:sz w:val="20"/>
                <w:szCs w:val="20"/>
                <w:lang w:val="en-US"/>
              </w:rPr>
            </w:pPr>
            <w:r w:rsidRPr="00C74BDD">
              <w:rPr>
                <w:rFonts w:cs="Arial"/>
                <w:b w:val="0"/>
                <w:bCs/>
                <w:sz w:val="20"/>
                <w:szCs w:val="20"/>
                <w:lang w:val="en-US"/>
              </w:rPr>
              <w:t>11.</w:t>
            </w:r>
            <w:r>
              <w:rPr>
                <w:rFonts w:cs="Arial"/>
                <w:b w:val="0"/>
                <w:bCs/>
                <w:sz w:val="20"/>
                <w:szCs w:val="20"/>
              </w:rPr>
              <w:t>3</w:t>
            </w:r>
            <w:r w:rsidRPr="00C74BDD">
              <w:rPr>
                <w:rFonts w:cs="Arial"/>
                <w:b w:val="0"/>
                <w:bCs/>
                <w:sz w:val="20"/>
                <w:szCs w:val="20"/>
                <w:lang w:val="en-US"/>
              </w:rPr>
              <w:t>%</w:t>
            </w:r>
          </w:p>
        </w:tc>
      </w:tr>
      <w:tr w:rsidR="00242CCC" w:rsidRPr="00C74BDD" w:rsidTr="00650C81">
        <w:trPr>
          <w:trHeight w:val="20"/>
        </w:trPr>
        <w:tc>
          <w:tcPr>
            <w:tcW w:w="1465" w:type="pct"/>
            <w:shd w:val="clear" w:color="auto" w:fill="FFFFFF"/>
            <w:tcMar>
              <w:top w:w="0" w:type="dxa"/>
              <w:left w:w="57" w:type="dxa"/>
              <w:bottom w:w="0" w:type="dxa"/>
              <w:right w:w="57" w:type="dxa"/>
            </w:tcMar>
            <w:vAlign w:val="center"/>
            <w:hideMark/>
          </w:tcPr>
          <w:p w:rsidR="00242CCC" w:rsidRPr="003E5BC9" w:rsidRDefault="00242CCC" w:rsidP="00650C81">
            <w:pPr>
              <w:spacing w:before="0" w:line="276" w:lineRule="auto"/>
              <w:ind w:firstLine="0"/>
              <w:jc w:val="left"/>
              <w:rPr>
                <w:rFonts w:cs="Arial"/>
                <w:b w:val="0"/>
                <w:bCs/>
                <w:sz w:val="20"/>
                <w:szCs w:val="20"/>
              </w:rPr>
            </w:pPr>
            <w:r w:rsidRPr="003E5BC9">
              <w:rPr>
                <w:rFonts w:cs="Arial"/>
                <w:b w:val="0"/>
                <w:bCs/>
                <w:sz w:val="20"/>
                <w:szCs w:val="20"/>
              </w:rPr>
              <w:t xml:space="preserve">- </w:t>
            </w:r>
            <w:r w:rsidRPr="00C74BDD">
              <w:rPr>
                <w:rFonts w:cs="Arial"/>
                <w:b w:val="0"/>
                <w:bCs/>
                <w:sz w:val="20"/>
                <w:szCs w:val="20"/>
              </w:rPr>
              <w:t>տեսակարար</w:t>
            </w:r>
            <w:r w:rsidRPr="003E5BC9">
              <w:rPr>
                <w:rFonts w:cs="Arial"/>
                <w:b w:val="0"/>
                <w:bCs/>
                <w:sz w:val="20"/>
                <w:szCs w:val="20"/>
              </w:rPr>
              <w:t xml:space="preserve"> </w:t>
            </w:r>
            <w:r w:rsidRPr="00C74BDD">
              <w:rPr>
                <w:rFonts w:cs="Arial"/>
                <w:b w:val="0"/>
                <w:bCs/>
                <w:sz w:val="20"/>
                <w:szCs w:val="20"/>
              </w:rPr>
              <w:t>կշիռը</w:t>
            </w:r>
            <w:r w:rsidRPr="003E5BC9">
              <w:rPr>
                <w:rFonts w:cs="Arial"/>
                <w:b w:val="0"/>
                <w:bCs/>
                <w:sz w:val="20"/>
                <w:szCs w:val="20"/>
              </w:rPr>
              <w:t xml:space="preserve"> </w:t>
            </w:r>
            <w:r w:rsidRPr="00C74BDD">
              <w:rPr>
                <w:rFonts w:cs="Arial"/>
                <w:b w:val="0"/>
                <w:bCs/>
                <w:sz w:val="20"/>
                <w:szCs w:val="20"/>
              </w:rPr>
              <w:t>ծախսերի</w:t>
            </w:r>
            <w:r w:rsidRPr="003E5BC9">
              <w:rPr>
                <w:rFonts w:cs="Arial"/>
                <w:b w:val="0"/>
                <w:bCs/>
                <w:sz w:val="20"/>
                <w:szCs w:val="20"/>
              </w:rPr>
              <w:t xml:space="preserve"> </w:t>
            </w:r>
            <w:r w:rsidRPr="00C74BDD">
              <w:rPr>
                <w:rFonts w:cs="Arial"/>
                <w:b w:val="0"/>
                <w:bCs/>
                <w:sz w:val="20"/>
                <w:szCs w:val="20"/>
              </w:rPr>
              <w:t>ամբողջ</w:t>
            </w:r>
            <w:r w:rsidRPr="003E5BC9">
              <w:rPr>
                <w:rFonts w:cs="Arial"/>
                <w:b w:val="0"/>
                <w:bCs/>
                <w:sz w:val="20"/>
                <w:szCs w:val="20"/>
              </w:rPr>
              <w:t xml:space="preserve"> </w:t>
            </w:r>
            <w:r w:rsidRPr="00C74BDD">
              <w:rPr>
                <w:rFonts w:cs="Arial"/>
                <w:b w:val="0"/>
                <w:bCs/>
                <w:sz w:val="20"/>
                <w:szCs w:val="20"/>
              </w:rPr>
              <w:t>ծավալում</w:t>
            </w:r>
            <w:r w:rsidRPr="003E5BC9">
              <w:rPr>
                <w:rFonts w:cs="Arial"/>
                <w:b w:val="0"/>
                <w:bCs/>
                <w:sz w:val="20"/>
                <w:szCs w:val="20"/>
              </w:rPr>
              <w:t xml:space="preserve"> (%)</w:t>
            </w:r>
          </w:p>
        </w:tc>
        <w:tc>
          <w:tcPr>
            <w:tcW w:w="701" w:type="pct"/>
            <w:shd w:val="clear" w:color="auto" w:fill="FFFFFF"/>
          </w:tcPr>
          <w:p w:rsidR="00242CCC" w:rsidRPr="00C74BDD" w:rsidRDefault="00242CCC" w:rsidP="00401AC9">
            <w:pPr>
              <w:spacing w:before="0" w:line="276" w:lineRule="auto"/>
              <w:ind w:firstLine="0"/>
              <w:jc w:val="right"/>
              <w:rPr>
                <w:rFonts w:cs="Arial"/>
                <w:b w:val="0"/>
                <w:bCs/>
                <w:sz w:val="20"/>
                <w:szCs w:val="20"/>
              </w:rPr>
            </w:pPr>
            <w:r w:rsidRPr="00C74BDD">
              <w:rPr>
                <w:rFonts w:cs="Arial"/>
                <w:b w:val="0"/>
                <w:bCs/>
                <w:sz w:val="20"/>
                <w:szCs w:val="20"/>
              </w:rPr>
              <w:t>43.9%</w:t>
            </w:r>
          </w:p>
        </w:tc>
        <w:tc>
          <w:tcPr>
            <w:tcW w:w="651" w:type="pct"/>
            <w:shd w:val="clear" w:color="auto" w:fill="FFFFFF"/>
          </w:tcPr>
          <w:p w:rsidR="00242CCC" w:rsidRPr="00C74BDD" w:rsidRDefault="00242CCC" w:rsidP="00401AC9">
            <w:pPr>
              <w:spacing w:before="0" w:line="276" w:lineRule="auto"/>
              <w:ind w:firstLine="0"/>
              <w:jc w:val="right"/>
              <w:rPr>
                <w:rFonts w:cs="Arial"/>
                <w:b w:val="0"/>
                <w:bCs/>
                <w:sz w:val="20"/>
                <w:szCs w:val="20"/>
              </w:rPr>
            </w:pPr>
            <w:r w:rsidRPr="00C74BDD">
              <w:rPr>
                <w:rFonts w:cs="Arial"/>
                <w:b w:val="0"/>
                <w:bCs/>
                <w:sz w:val="20"/>
                <w:szCs w:val="20"/>
              </w:rPr>
              <w:t>46.0%</w:t>
            </w:r>
          </w:p>
        </w:tc>
        <w:tc>
          <w:tcPr>
            <w:tcW w:w="710" w:type="pct"/>
            <w:shd w:val="clear" w:color="auto" w:fill="FFFFFF"/>
          </w:tcPr>
          <w:p w:rsidR="00242CCC" w:rsidRPr="00C74BDD" w:rsidRDefault="00242CCC" w:rsidP="00401AC9">
            <w:pPr>
              <w:spacing w:before="0" w:line="276" w:lineRule="auto"/>
              <w:ind w:firstLine="0"/>
              <w:jc w:val="right"/>
              <w:rPr>
                <w:rFonts w:cs="Arial"/>
                <w:b w:val="0"/>
                <w:bCs/>
                <w:sz w:val="20"/>
                <w:szCs w:val="20"/>
              </w:rPr>
            </w:pPr>
            <w:r w:rsidRPr="00C74BDD">
              <w:rPr>
                <w:rFonts w:cs="Arial"/>
                <w:b w:val="0"/>
                <w:bCs/>
                <w:sz w:val="20"/>
                <w:szCs w:val="20"/>
              </w:rPr>
              <w:t>47.9%</w:t>
            </w:r>
          </w:p>
        </w:tc>
        <w:tc>
          <w:tcPr>
            <w:tcW w:w="766" w:type="pct"/>
            <w:shd w:val="clear" w:color="auto" w:fill="FFFFFF"/>
          </w:tcPr>
          <w:p w:rsidR="00242CCC" w:rsidRPr="00C74BDD" w:rsidRDefault="00242CCC" w:rsidP="00401AC9">
            <w:pPr>
              <w:spacing w:before="0" w:line="276" w:lineRule="auto"/>
              <w:ind w:firstLine="0"/>
              <w:jc w:val="right"/>
              <w:rPr>
                <w:rFonts w:cs="Arial"/>
                <w:b w:val="0"/>
                <w:bCs/>
                <w:sz w:val="20"/>
                <w:szCs w:val="20"/>
              </w:rPr>
            </w:pPr>
            <w:r w:rsidRPr="00C74BDD">
              <w:rPr>
                <w:rFonts w:cs="Arial"/>
                <w:b w:val="0"/>
                <w:bCs/>
                <w:sz w:val="20"/>
                <w:szCs w:val="20"/>
              </w:rPr>
              <w:t>42.6%</w:t>
            </w:r>
          </w:p>
        </w:tc>
        <w:tc>
          <w:tcPr>
            <w:tcW w:w="707" w:type="pct"/>
            <w:shd w:val="clear" w:color="auto" w:fill="FFFFFF"/>
          </w:tcPr>
          <w:p w:rsidR="00242CCC" w:rsidRPr="00C74BDD" w:rsidRDefault="00242CCC" w:rsidP="00401AC9">
            <w:pPr>
              <w:spacing w:before="0" w:line="276" w:lineRule="auto"/>
              <w:ind w:firstLine="0"/>
              <w:jc w:val="right"/>
              <w:rPr>
                <w:rFonts w:cs="Arial"/>
                <w:b w:val="0"/>
                <w:bCs/>
                <w:sz w:val="20"/>
                <w:szCs w:val="20"/>
                <w:lang w:val="en-US"/>
              </w:rPr>
            </w:pPr>
            <w:r w:rsidRPr="00C74BDD">
              <w:rPr>
                <w:rFonts w:cs="Arial"/>
                <w:b w:val="0"/>
                <w:bCs/>
                <w:sz w:val="20"/>
                <w:szCs w:val="20"/>
                <w:lang w:val="en-US"/>
              </w:rPr>
              <w:t>40.</w:t>
            </w:r>
            <w:r>
              <w:rPr>
                <w:rFonts w:cs="Arial"/>
                <w:b w:val="0"/>
                <w:bCs/>
                <w:sz w:val="20"/>
                <w:szCs w:val="20"/>
              </w:rPr>
              <w:t>6</w:t>
            </w:r>
            <w:r w:rsidRPr="00C74BDD">
              <w:rPr>
                <w:rFonts w:cs="Arial"/>
                <w:b w:val="0"/>
                <w:bCs/>
                <w:sz w:val="20"/>
                <w:szCs w:val="20"/>
                <w:lang w:val="en-US"/>
              </w:rPr>
              <w:t>%</w:t>
            </w:r>
          </w:p>
        </w:tc>
      </w:tr>
    </w:tbl>
    <w:p w:rsidR="00242CCC" w:rsidRPr="00C74BDD" w:rsidRDefault="00242CCC" w:rsidP="00242CCC">
      <w:pPr>
        <w:spacing w:before="0" w:after="200" w:line="276" w:lineRule="auto"/>
        <w:ind w:firstLine="0"/>
        <w:contextualSpacing w:val="0"/>
        <w:jc w:val="left"/>
        <w:rPr>
          <w:rFonts w:eastAsiaTheme="minorHAnsi" w:cs="Cambria Math"/>
          <w:b w:val="0"/>
          <w:sz w:val="24"/>
          <w:lang w:val="en-US" w:eastAsia="en-US"/>
        </w:rPr>
      </w:pPr>
    </w:p>
    <w:p w:rsidR="00242CCC" w:rsidRDefault="00242CCC" w:rsidP="00242CCC">
      <w:pPr>
        <w:spacing w:before="0" w:after="200" w:line="276" w:lineRule="auto"/>
        <w:ind w:firstLine="720"/>
        <w:contextualSpacing w:val="0"/>
        <w:rPr>
          <w:rFonts w:eastAsiaTheme="minorHAnsi" w:cs="Cambria Math"/>
          <w:b w:val="0"/>
          <w:szCs w:val="22"/>
          <w:lang w:val="hy-AM" w:eastAsia="en-US"/>
        </w:rPr>
      </w:pPr>
      <w:r w:rsidRPr="00C74BDD">
        <w:rPr>
          <w:rFonts w:eastAsiaTheme="minorHAnsi" w:cs="Cambria Math"/>
          <w:b w:val="0"/>
          <w:szCs w:val="22"/>
          <w:lang w:val="en-US" w:eastAsia="en-US"/>
        </w:rPr>
        <w:t>ՀՀ 20</w:t>
      </w:r>
      <w:r w:rsidRPr="00C74BDD">
        <w:rPr>
          <w:rFonts w:eastAsiaTheme="minorHAnsi" w:cs="Cambria Math"/>
          <w:b w:val="0"/>
          <w:szCs w:val="22"/>
          <w:lang w:val="hy-AM" w:eastAsia="en-US"/>
        </w:rPr>
        <w:t>19</w:t>
      </w:r>
      <w:r w:rsidRPr="00C74BDD">
        <w:rPr>
          <w:rFonts w:eastAsiaTheme="minorHAnsi" w:cs="Cambria Math"/>
          <w:b w:val="0"/>
          <w:szCs w:val="22"/>
          <w:lang w:val="en-US" w:eastAsia="en-US"/>
        </w:rPr>
        <w:t>-20</w:t>
      </w:r>
      <w:r w:rsidRPr="00C74BDD">
        <w:rPr>
          <w:rFonts w:eastAsiaTheme="minorHAnsi" w:cs="Cambria Math"/>
          <w:b w:val="0"/>
          <w:szCs w:val="22"/>
          <w:lang w:val="hy-AM" w:eastAsia="en-US"/>
        </w:rPr>
        <w:t>23 թվականների պետական բյուջեի ծախսերն ըստ ոլորտների ունեն հետևյալ գրաֆիկական տեսքը.</w:t>
      </w:r>
    </w:p>
    <w:p w:rsidR="009D2783" w:rsidRDefault="001E3067" w:rsidP="00242CCC">
      <w:pPr>
        <w:spacing w:before="0" w:after="200" w:line="276" w:lineRule="auto"/>
        <w:ind w:firstLine="720"/>
        <w:contextualSpacing w:val="0"/>
        <w:rPr>
          <w:rFonts w:eastAsiaTheme="minorHAnsi" w:cs="Cambria Math"/>
          <w:b w:val="0"/>
          <w:szCs w:val="22"/>
          <w:lang w:val="hy-AM" w:eastAsia="en-US"/>
        </w:rPr>
      </w:pPr>
      <w:r w:rsidRPr="00C74BDD">
        <w:rPr>
          <w:rFonts w:eastAsiaTheme="minorHAnsi" w:cs="Cambria Math"/>
          <w:b w:val="0"/>
          <w:noProof/>
          <w:sz w:val="24"/>
          <w:lang w:val="en-US" w:eastAsia="en-US"/>
        </w:rPr>
        <w:drawing>
          <wp:anchor distT="0" distB="0" distL="114300" distR="114300" simplePos="0" relativeHeight="251654144" behindDoc="0" locked="0" layoutInCell="1" allowOverlap="1" wp14:anchorId="7171AE47" wp14:editId="3137CA7D">
            <wp:simplePos x="0" y="0"/>
            <wp:positionH relativeFrom="column">
              <wp:posOffset>0</wp:posOffset>
            </wp:positionH>
            <wp:positionV relativeFrom="paragraph">
              <wp:posOffset>0</wp:posOffset>
            </wp:positionV>
            <wp:extent cx="6082665" cy="3190875"/>
            <wp:effectExtent l="0" t="0" r="13335" b="9525"/>
            <wp:wrapNone/>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p>
    <w:p w:rsidR="009D2783" w:rsidRDefault="009D2783" w:rsidP="00242CCC">
      <w:pPr>
        <w:spacing w:before="0" w:after="200" w:line="276" w:lineRule="auto"/>
        <w:ind w:firstLine="720"/>
        <w:contextualSpacing w:val="0"/>
        <w:rPr>
          <w:rFonts w:eastAsiaTheme="minorHAnsi" w:cs="Cambria Math"/>
          <w:b w:val="0"/>
          <w:szCs w:val="22"/>
          <w:lang w:val="hy-AM" w:eastAsia="en-US"/>
        </w:rPr>
      </w:pPr>
    </w:p>
    <w:p w:rsidR="009D2783" w:rsidRDefault="009D2783" w:rsidP="00242CCC">
      <w:pPr>
        <w:spacing w:before="0" w:after="200" w:line="276" w:lineRule="auto"/>
        <w:ind w:firstLine="720"/>
        <w:contextualSpacing w:val="0"/>
        <w:rPr>
          <w:rFonts w:eastAsiaTheme="minorHAnsi" w:cs="Cambria Math"/>
          <w:b w:val="0"/>
          <w:szCs w:val="22"/>
          <w:lang w:val="hy-AM" w:eastAsia="en-US"/>
        </w:rPr>
      </w:pPr>
    </w:p>
    <w:p w:rsidR="00D82AD1" w:rsidRDefault="00D82AD1" w:rsidP="00242CCC">
      <w:pPr>
        <w:spacing w:before="0" w:after="200" w:line="276" w:lineRule="auto"/>
        <w:ind w:firstLine="720"/>
        <w:contextualSpacing w:val="0"/>
        <w:rPr>
          <w:rFonts w:eastAsiaTheme="minorHAnsi" w:cs="Cambria Math"/>
          <w:b w:val="0"/>
          <w:szCs w:val="22"/>
          <w:lang w:val="hy-AM" w:eastAsia="en-US"/>
        </w:rPr>
      </w:pPr>
    </w:p>
    <w:p w:rsidR="00D82AD1" w:rsidRDefault="00D82AD1" w:rsidP="00242CCC">
      <w:pPr>
        <w:spacing w:before="0" w:after="200" w:line="276" w:lineRule="auto"/>
        <w:ind w:firstLine="720"/>
        <w:contextualSpacing w:val="0"/>
        <w:rPr>
          <w:rFonts w:eastAsiaTheme="minorHAnsi" w:cs="Cambria Math"/>
          <w:b w:val="0"/>
          <w:szCs w:val="22"/>
          <w:lang w:val="hy-AM" w:eastAsia="en-US"/>
        </w:rPr>
      </w:pPr>
    </w:p>
    <w:p w:rsidR="00D82AD1" w:rsidRDefault="00D82AD1" w:rsidP="00242CCC">
      <w:pPr>
        <w:spacing w:before="0" w:after="200" w:line="276" w:lineRule="auto"/>
        <w:ind w:firstLine="720"/>
        <w:contextualSpacing w:val="0"/>
        <w:rPr>
          <w:rFonts w:eastAsiaTheme="minorHAnsi" w:cs="Cambria Math"/>
          <w:b w:val="0"/>
          <w:szCs w:val="22"/>
          <w:lang w:val="hy-AM" w:eastAsia="en-US"/>
        </w:rPr>
      </w:pPr>
    </w:p>
    <w:p w:rsidR="00D82AD1" w:rsidRDefault="00D82AD1" w:rsidP="00242CCC">
      <w:pPr>
        <w:spacing w:before="0" w:after="200" w:line="276" w:lineRule="auto"/>
        <w:ind w:firstLine="720"/>
        <w:contextualSpacing w:val="0"/>
        <w:rPr>
          <w:rFonts w:eastAsiaTheme="minorHAnsi" w:cs="Cambria Math"/>
          <w:b w:val="0"/>
          <w:szCs w:val="22"/>
          <w:lang w:val="hy-AM" w:eastAsia="en-US"/>
        </w:rPr>
      </w:pPr>
    </w:p>
    <w:p w:rsidR="00D82AD1" w:rsidRDefault="00D82AD1" w:rsidP="00242CCC">
      <w:pPr>
        <w:spacing w:before="0" w:after="200" w:line="276" w:lineRule="auto"/>
        <w:ind w:firstLine="720"/>
        <w:contextualSpacing w:val="0"/>
        <w:rPr>
          <w:rFonts w:eastAsiaTheme="minorHAnsi" w:cs="Cambria Math"/>
          <w:b w:val="0"/>
          <w:szCs w:val="22"/>
          <w:lang w:val="hy-AM" w:eastAsia="en-US"/>
        </w:rPr>
      </w:pPr>
    </w:p>
    <w:p w:rsidR="009D2783" w:rsidRDefault="009D2783" w:rsidP="00242CCC">
      <w:pPr>
        <w:spacing w:before="0" w:after="200" w:line="276" w:lineRule="auto"/>
        <w:ind w:firstLine="720"/>
        <w:contextualSpacing w:val="0"/>
        <w:rPr>
          <w:rFonts w:eastAsiaTheme="minorHAnsi" w:cs="Cambria Math"/>
          <w:b w:val="0"/>
          <w:szCs w:val="22"/>
          <w:lang w:val="hy-AM" w:eastAsia="en-US"/>
        </w:rPr>
      </w:pPr>
    </w:p>
    <w:p w:rsidR="001E3067" w:rsidRPr="00C74BDD" w:rsidRDefault="001E3067" w:rsidP="001E3067">
      <w:pPr>
        <w:spacing w:before="0" w:line="276" w:lineRule="auto"/>
        <w:ind w:firstLine="720"/>
        <w:contextualSpacing w:val="0"/>
        <w:rPr>
          <w:rFonts w:eastAsiaTheme="minorHAnsi" w:cs="Cambria Math"/>
          <w:b w:val="0"/>
          <w:szCs w:val="22"/>
          <w:lang w:val="hy-AM" w:eastAsia="en-US"/>
        </w:rPr>
      </w:pPr>
      <w:r w:rsidRPr="00C74BDD">
        <w:rPr>
          <w:rFonts w:eastAsiaTheme="minorHAnsi" w:cs="Cambria Math"/>
          <w:b w:val="0"/>
          <w:szCs w:val="22"/>
          <w:lang w:val="hy-AM" w:eastAsia="en-US"/>
        </w:rPr>
        <w:t>2019-2023թթ</w:t>
      </w:r>
      <w:r w:rsidRPr="00C74BDD">
        <w:rPr>
          <w:rFonts w:eastAsiaTheme="minorHAnsi" w:cs="Cambria Math" w:hint="eastAsia"/>
          <w:b w:val="0"/>
          <w:szCs w:val="22"/>
          <w:lang w:val="hy-AM" w:eastAsia="en-US"/>
        </w:rPr>
        <w:t>․</w:t>
      </w:r>
      <w:r w:rsidRPr="00C74BDD">
        <w:rPr>
          <w:rFonts w:eastAsiaTheme="minorHAnsi" w:cs="Cambria Math"/>
          <w:b w:val="0"/>
          <w:szCs w:val="22"/>
          <w:lang w:val="hy-AM" w:eastAsia="en-US"/>
        </w:rPr>
        <w:t xml:space="preserve"> պետական բյուջեի ընդամենը ծախսերում գերակայել են սոցիալական բնույթի ծախսերը (կրթություն, սոցիալական պաշտպանություն, առողջապահություն և այլն) միջինում 4</w:t>
      </w:r>
      <w:r w:rsidRPr="00E06607">
        <w:rPr>
          <w:rFonts w:eastAsiaTheme="minorHAnsi" w:cs="Cambria Math"/>
          <w:b w:val="0"/>
          <w:szCs w:val="22"/>
          <w:lang w:val="hy-AM" w:eastAsia="en-US"/>
        </w:rPr>
        <w:t>4</w:t>
      </w:r>
      <w:r w:rsidRPr="00C74BDD">
        <w:rPr>
          <w:rFonts w:eastAsiaTheme="minorHAnsi" w:cs="Cambria Math"/>
          <w:b w:val="0"/>
          <w:szCs w:val="22"/>
          <w:lang w:val="hy-AM" w:eastAsia="en-US"/>
        </w:rPr>
        <w:t>%, պաշտպանության, հասարակական կարգի,  անվտանգության և դատական գործունեությանն՝ միջինում 27%, ընդհանուր բնույթի հանրային ծառայությունների,այդ թվում հիմնական բաժիններին չդասվող պահուստային ֆոնդերի՝ միջինում 2</w:t>
      </w:r>
      <w:r w:rsidRPr="00E06607">
        <w:rPr>
          <w:rFonts w:eastAsiaTheme="minorHAnsi" w:cs="Cambria Math"/>
          <w:b w:val="0"/>
          <w:szCs w:val="22"/>
          <w:lang w:val="hy-AM" w:eastAsia="en-US"/>
        </w:rPr>
        <w:t>0</w:t>
      </w:r>
      <w:r w:rsidRPr="00C74BDD">
        <w:rPr>
          <w:rFonts w:eastAsiaTheme="minorHAnsi" w:cs="Cambria Math"/>
          <w:b w:val="0"/>
          <w:szCs w:val="22"/>
          <w:lang w:val="hy-AM" w:eastAsia="en-US"/>
        </w:rPr>
        <w:t xml:space="preserve">%, տնտեսական ոլորտի՝ միջինում 9% ֆինանսավորումը։ Այս միտումը կշանունակվի նաև 2023 թվականին։ </w:t>
      </w:r>
    </w:p>
    <w:p w:rsidR="00242CCC" w:rsidRPr="00C74BDD" w:rsidRDefault="00242CCC" w:rsidP="0003683A">
      <w:pPr>
        <w:spacing w:before="0" w:line="276" w:lineRule="auto"/>
        <w:ind w:firstLine="720"/>
        <w:contextualSpacing w:val="0"/>
        <w:rPr>
          <w:rFonts w:eastAsiaTheme="minorHAnsi" w:cs="Cambria Math"/>
          <w:b w:val="0"/>
          <w:szCs w:val="22"/>
          <w:lang w:val="hy-AM" w:eastAsia="en-US"/>
        </w:rPr>
      </w:pPr>
      <w:r w:rsidRPr="00C74BDD">
        <w:rPr>
          <w:rFonts w:eastAsiaTheme="minorHAnsi" w:cs="Cambria Math"/>
          <w:b w:val="0"/>
          <w:szCs w:val="22"/>
          <w:lang w:val="hy-AM" w:eastAsia="en-US"/>
        </w:rPr>
        <w:t xml:space="preserve">2023թ. ընդհանուր բնույթի  հանրային ծառայությունների և պահուստային ֆոնդերի ոլորտին ուղղվելիք միջոցները նախատեսվել են շուրջ </w:t>
      </w:r>
      <w:r w:rsidRPr="00DA55BC">
        <w:rPr>
          <w:rFonts w:eastAsiaTheme="minorHAnsi" w:cs="Cambria Math"/>
          <w:b w:val="0"/>
          <w:szCs w:val="22"/>
          <w:lang w:val="hy-AM" w:eastAsia="en-US"/>
        </w:rPr>
        <w:t>5</w:t>
      </w:r>
      <w:r w:rsidR="0003683A" w:rsidRPr="0003683A">
        <w:rPr>
          <w:rFonts w:eastAsiaTheme="minorHAnsi" w:cs="Cambria Math"/>
          <w:b w:val="0"/>
          <w:szCs w:val="22"/>
          <w:lang w:val="hy-AM" w:eastAsia="en-US"/>
        </w:rPr>
        <w:t>0</w:t>
      </w:r>
      <w:r w:rsidRPr="00C74BDD">
        <w:rPr>
          <w:rFonts w:eastAsiaTheme="minorHAnsi" w:cs="Cambria Math"/>
          <w:b w:val="0"/>
          <w:szCs w:val="22"/>
          <w:lang w:val="hy-AM" w:eastAsia="en-US"/>
        </w:rPr>
        <w:t>,</w:t>
      </w:r>
      <w:r w:rsidR="0003683A" w:rsidRPr="0003683A">
        <w:rPr>
          <w:rFonts w:eastAsiaTheme="minorHAnsi" w:cs="Cambria Math"/>
          <w:b w:val="0"/>
          <w:szCs w:val="22"/>
          <w:lang w:val="hy-AM" w:eastAsia="en-US"/>
        </w:rPr>
        <w:t>960</w:t>
      </w:r>
      <w:r w:rsidRPr="00C74BDD">
        <w:rPr>
          <w:rFonts w:eastAsiaTheme="minorHAnsi" w:cs="Cambria Math"/>
          <w:b w:val="0"/>
          <w:szCs w:val="22"/>
          <w:lang w:val="hy-AM" w:eastAsia="en-US"/>
        </w:rPr>
        <w:t>.</w:t>
      </w:r>
      <w:r w:rsidR="0003683A" w:rsidRPr="0003683A">
        <w:rPr>
          <w:rFonts w:eastAsiaTheme="minorHAnsi" w:cs="Cambria Math"/>
          <w:b w:val="0"/>
          <w:szCs w:val="22"/>
          <w:lang w:val="hy-AM" w:eastAsia="en-US"/>
        </w:rPr>
        <w:t>3</w:t>
      </w:r>
      <w:r w:rsidRPr="00C74BDD">
        <w:rPr>
          <w:b w:val="0"/>
          <w:sz w:val="20"/>
          <w:szCs w:val="20"/>
          <w:lang w:val="hy-AM" w:eastAsia="en-US"/>
        </w:rPr>
        <w:t xml:space="preserve"> </w:t>
      </w:r>
      <w:r w:rsidRPr="00C74BDD">
        <w:rPr>
          <w:rFonts w:eastAsiaTheme="minorHAnsi" w:cs="Cambria Math"/>
          <w:b w:val="0"/>
          <w:szCs w:val="22"/>
          <w:lang w:val="hy-AM" w:eastAsia="en-US"/>
        </w:rPr>
        <w:t xml:space="preserve">մլն. դրամով ավել՝ համեմատած 2022 թվականի հետ: </w:t>
      </w:r>
    </w:p>
    <w:p w:rsidR="00242CCC" w:rsidRPr="00C74BDD" w:rsidRDefault="00242CCC" w:rsidP="00A9535E">
      <w:pPr>
        <w:spacing w:before="0" w:line="276" w:lineRule="auto"/>
        <w:ind w:firstLine="720"/>
        <w:contextualSpacing w:val="0"/>
        <w:rPr>
          <w:rFonts w:eastAsiaTheme="minorHAnsi" w:cs="Cambria Math"/>
          <w:b w:val="0"/>
          <w:szCs w:val="22"/>
          <w:lang w:val="hy-AM" w:eastAsia="en-US"/>
        </w:rPr>
      </w:pPr>
      <w:r w:rsidRPr="00C74BDD">
        <w:rPr>
          <w:rFonts w:eastAsiaTheme="minorHAnsi" w:cs="Cambria Math"/>
          <w:b w:val="0"/>
          <w:szCs w:val="22"/>
          <w:lang w:val="hy-AM" w:eastAsia="en-US"/>
        </w:rPr>
        <w:t xml:space="preserve">2023թ. պետական բյուջեի նախագծով նախատեսվում է նաև պաշտպանության, հասարակական կարգի, անվտանգության և դատական գործունեության ոլորտին հատկացվելիք միջոցների աճ՝ 2022 թվականի համեմատ շուրջ </w:t>
      </w:r>
      <w:r w:rsidRPr="00DA55BC">
        <w:rPr>
          <w:rFonts w:eastAsiaTheme="minorHAnsi" w:cs="Cambria Math"/>
          <w:b w:val="0"/>
          <w:szCs w:val="22"/>
          <w:lang w:val="hy-AM" w:eastAsia="en-US"/>
        </w:rPr>
        <w:t>204,</w:t>
      </w:r>
      <w:r w:rsidR="00A9535E" w:rsidRPr="00A9535E">
        <w:rPr>
          <w:rFonts w:eastAsiaTheme="minorHAnsi" w:cs="Cambria Math"/>
          <w:b w:val="0"/>
          <w:szCs w:val="22"/>
          <w:lang w:val="hy-AM" w:eastAsia="en-US"/>
        </w:rPr>
        <w:t>623</w:t>
      </w:r>
      <w:r w:rsidRPr="00DA55BC">
        <w:rPr>
          <w:rFonts w:eastAsiaTheme="minorHAnsi" w:cs="Cambria Math"/>
          <w:b w:val="0"/>
          <w:szCs w:val="22"/>
          <w:lang w:val="hy-AM" w:eastAsia="en-US"/>
        </w:rPr>
        <w:t>.</w:t>
      </w:r>
      <w:r w:rsidR="00A9535E" w:rsidRPr="00A9535E">
        <w:rPr>
          <w:rFonts w:eastAsiaTheme="minorHAnsi" w:cs="Cambria Math"/>
          <w:b w:val="0"/>
          <w:szCs w:val="22"/>
          <w:lang w:val="hy-AM" w:eastAsia="en-US"/>
        </w:rPr>
        <w:t>8</w:t>
      </w:r>
      <w:r w:rsidRPr="00C74BDD">
        <w:rPr>
          <w:rFonts w:eastAsiaTheme="minorHAnsi" w:cs="Cambria Math"/>
          <w:b w:val="0"/>
          <w:szCs w:val="22"/>
          <w:lang w:val="hy-AM" w:eastAsia="en-US"/>
        </w:rPr>
        <w:t xml:space="preserve"> մլն դրամի չափով, որը հիմնականում ուղղվելու է ռազմական պաշտպանության, հասարակական կարգի և անվտանգության, ազգային անվտանգության, դատական գործունեություն և իրավական պաշտպանության ապահովմանը:</w:t>
      </w:r>
    </w:p>
    <w:p w:rsidR="00242CCC" w:rsidRPr="00C74BDD" w:rsidRDefault="00242CCC" w:rsidP="00242CCC">
      <w:pPr>
        <w:spacing w:before="0" w:line="276" w:lineRule="auto"/>
        <w:ind w:firstLine="720"/>
        <w:contextualSpacing w:val="0"/>
        <w:rPr>
          <w:rFonts w:eastAsiaTheme="minorHAnsi" w:cs="Cambria Math"/>
          <w:b w:val="0"/>
          <w:szCs w:val="22"/>
          <w:lang w:val="hy-AM" w:eastAsia="en-US"/>
        </w:rPr>
      </w:pPr>
      <w:r w:rsidRPr="00C74BDD">
        <w:rPr>
          <w:rFonts w:eastAsiaTheme="minorHAnsi" w:cs="Cambria Math"/>
          <w:b w:val="0"/>
          <w:szCs w:val="22"/>
          <w:lang w:val="hy-AM" w:eastAsia="en-US"/>
        </w:rPr>
        <w:t>2023 թվականին, ինչպես և 2022 թվականին, տնտեսության ճյուղերի պետական ֆինանսավորումը նպատակաուղղված է լինելու ենթակառուցվածքների, տնտեսության իրական հատվածի, բարձր տեխնոլոգիական արդյունաբերական, ինչպես նաև բնապահպանական բարձր չափանիշներին համապատասխանող՝ արտահանմանը միտված մրցունակ և ներառական տնտեսության կառուցմանն ուղղված ծրագրերի իրականացմանը։ 202</w:t>
      </w:r>
      <w:r w:rsidR="00DE3EF8" w:rsidRPr="000D1FAE">
        <w:rPr>
          <w:rFonts w:eastAsiaTheme="minorHAnsi" w:cs="Cambria Math"/>
          <w:b w:val="0"/>
          <w:szCs w:val="22"/>
          <w:lang w:val="hy-AM" w:eastAsia="en-US"/>
        </w:rPr>
        <w:t>3</w:t>
      </w:r>
      <w:r w:rsidRPr="00C74BDD">
        <w:rPr>
          <w:rFonts w:eastAsiaTheme="minorHAnsi" w:cs="Cambria Math"/>
          <w:b w:val="0"/>
          <w:szCs w:val="22"/>
          <w:lang w:val="hy-AM" w:eastAsia="en-US"/>
        </w:rPr>
        <w:t xml:space="preserve"> թվականին տնտեսության ոլորտի հատկացումներն ուղղվելու են ՀՀ կառավարության 2021-2026թթ. ծրագրով սահմանված տնտեսության մրցունակության և արտադրողականության աճի, տնտեսական հնարավորությունների ընդլայնման և դրանց հավասար հասանելիության ապահովմանը:</w:t>
      </w:r>
    </w:p>
    <w:p w:rsidR="00242CCC" w:rsidRPr="00C74BDD" w:rsidRDefault="00242CCC" w:rsidP="00242CCC">
      <w:pPr>
        <w:spacing w:before="0" w:line="276" w:lineRule="auto"/>
        <w:ind w:firstLine="0"/>
        <w:contextualSpacing w:val="0"/>
        <w:rPr>
          <w:rFonts w:eastAsiaTheme="minorHAnsi" w:cs="Cambria Math"/>
          <w:b w:val="0"/>
          <w:szCs w:val="22"/>
          <w:lang w:val="hy-AM" w:eastAsia="en-US"/>
        </w:rPr>
      </w:pPr>
    </w:p>
    <w:p w:rsidR="00242CCC" w:rsidRPr="00C74BDD" w:rsidRDefault="00242CCC" w:rsidP="00242CCC">
      <w:pPr>
        <w:spacing w:after="200"/>
        <w:rPr>
          <w:b w:val="0"/>
          <w:bCs/>
          <w:i/>
          <w:iCs/>
          <w:color w:val="4F81BD" w:themeColor="accent1"/>
          <w:sz w:val="20"/>
          <w:szCs w:val="20"/>
          <w:lang w:val="hy-AM"/>
        </w:rPr>
      </w:pPr>
      <w:bookmarkStart w:id="310" w:name="_Toc83728703"/>
      <w:bookmarkStart w:id="311" w:name="_Toc89428775"/>
      <w:bookmarkStart w:id="312" w:name="_Toc120805272"/>
      <w:r w:rsidRPr="00C74BDD">
        <w:rPr>
          <w:b w:val="0"/>
          <w:bCs/>
          <w:i/>
          <w:iCs/>
          <w:color w:val="4F81BD" w:themeColor="accent1"/>
          <w:sz w:val="20"/>
          <w:szCs w:val="20"/>
          <w:lang w:val="hy-AM"/>
        </w:rPr>
        <w:t xml:space="preserve">Աղյուսակ </w:t>
      </w:r>
      <w:r w:rsidRPr="00C74BDD">
        <w:rPr>
          <w:b w:val="0"/>
          <w:bCs/>
          <w:i/>
          <w:iCs/>
          <w:color w:val="4F81BD" w:themeColor="accent1"/>
          <w:sz w:val="20"/>
          <w:szCs w:val="20"/>
          <w:lang w:val="hy-AM"/>
        </w:rPr>
        <w:fldChar w:fldCharType="begin"/>
      </w:r>
      <w:r w:rsidRPr="00C74BDD">
        <w:rPr>
          <w:b w:val="0"/>
          <w:bCs/>
          <w:i/>
          <w:iCs/>
          <w:color w:val="4F81BD" w:themeColor="accent1"/>
          <w:sz w:val="20"/>
          <w:szCs w:val="20"/>
          <w:lang w:val="hy-AM"/>
        </w:rPr>
        <w:instrText xml:space="preserve"> SEQ Աղյուսակ \* ARABIC </w:instrText>
      </w:r>
      <w:r w:rsidRPr="00C74BDD">
        <w:rPr>
          <w:b w:val="0"/>
          <w:bCs/>
          <w:i/>
          <w:iCs/>
          <w:color w:val="4F81BD" w:themeColor="accent1"/>
          <w:sz w:val="20"/>
          <w:szCs w:val="20"/>
          <w:lang w:val="hy-AM"/>
        </w:rPr>
        <w:fldChar w:fldCharType="separate"/>
      </w:r>
      <w:r w:rsidR="008177DF">
        <w:rPr>
          <w:b w:val="0"/>
          <w:bCs/>
          <w:i/>
          <w:iCs/>
          <w:noProof/>
          <w:color w:val="4F81BD" w:themeColor="accent1"/>
          <w:sz w:val="20"/>
          <w:szCs w:val="20"/>
          <w:lang w:val="hy-AM"/>
        </w:rPr>
        <w:t>13</w:t>
      </w:r>
      <w:r w:rsidRPr="00C74BDD">
        <w:rPr>
          <w:b w:val="0"/>
          <w:bCs/>
          <w:i/>
          <w:iCs/>
          <w:color w:val="4F81BD" w:themeColor="accent1"/>
          <w:sz w:val="20"/>
          <w:szCs w:val="20"/>
          <w:lang w:val="hy-AM"/>
        </w:rPr>
        <w:fldChar w:fldCharType="end"/>
      </w:r>
      <w:r w:rsidRPr="00C74BDD">
        <w:rPr>
          <w:rFonts w:ascii="Cambria Math" w:hAnsi="Cambria Math" w:cs="Cambria Math"/>
          <w:b w:val="0"/>
          <w:bCs/>
          <w:i/>
          <w:iCs/>
          <w:color w:val="4F81BD" w:themeColor="accent1"/>
          <w:sz w:val="20"/>
          <w:szCs w:val="20"/>
          <w:lang w:val="hy-AM"/>
        </w:rPr>
        <w:t>․</w:t>
      </w:r>
      <w:r w:rsidRPr="00C74BDD">
        <w:rPr>
          <w:b w:val="0"/>
          <w:bCs/>
          <w:i/>
          <w:iCs/>
          <w:color w:val="4F81BD" w:themeColor="accent1"/>
          <w:sz w:val="20"/>
          <w:szCs w:val="20"/>
          <w:lang w:val="hy-AM"/>
        </w:rPr>
        <w:t xml:space="preserve"> </w:t>
      </w:r>
      <w:r w:rsidRPr="00C74BDD">
        <w:rPr>
          <w:rFonts w:cs="GHEA Grapalat"/>
          <w:b w:val="0"/>
          <w:bCs/>
          <w:i/>
          <w:iCs/>
          <w:color w:val="4F81BD" w:themeColor="accent1"/>
          <w:sz w:val="20"/>
          <w:szCs w:val="20"/>
          <w:lang w:val="hy-AM"/>
        </w:rPr>
        <w:t>Տնտեսական</w:t>
      </w:r>
      <w:r w:rsidRPr="00C74BDD">
        <w:rPr>
          <w:b w:val="0"/>
          <w:bCs/>
          <w:i/>
          <w:iCs/>
          <w:color w:val="4F81BD" w:themeColor="accent1"/>
          <w:sz w:val="20"/>
          <w:szCs w:val="20"/>
          <w:lang w:val="hy-AM"/>
        </w:rPr>
        <w:t xml:space="preserve"> </w:t>
      </w:r>
      <w:r w:rsidRPr="00C74BDD">
        <w:rPr>
          <w:rFonts w:cs="GHEA Grapalat"/>
          <w:b w:val="0"/>
          <w:bCs/>
          <w:i/>
          <w:iCs/>
          <w:color w:val="4F81BD" w:themeColor="accent1"/>
          <w:sz w:val="20"/>
          <w:szCs w:val="20"/>
          <w:lang w:val="hy-AM"/>
        </w:rPr>
        <w:t>ոլորտի</w:t>
      </w:r>
      <w:r w:rsidRPr="00C74BDD">
        <w:rPr>
          <w:b w:val="0"/>
          <w:bCs/>
          <w:i/>
          <w:iCs/>
          <w:color w:val="4F81BD" w:themeColor="accent1"/>
          <w:sz w:val="20"/>
          <w:szCs w:val="20"/>
          <w:lang w:val="hy-AM"/>
        </w:rPr>
        <w:t xml:space="preserve"> 2019-2023թթ</w:t>
      </w:r>
      <w:r w:rsidRPr="00C74BDD">
        <w:rPr>
          <w:rFonts w:ascii="Cambria Math" w:hAnsi="Cambria Math" w:cs="Cambria Math"/>
          <w:b w:val="0"/>
          <w:bCs/>
          <w:i/>
          <w:iCs/>
          <w:color w:val="4F81BD" w:themeColor="accent1"/>
          <w:sz w:val="20"/>
          <w:szCs w:val="20"/>
          <w:lang w:val="hy-AM"/>
        </w:rPr>
        <w:t>․</w:t>
      </w:r>
      <w:r w:rsidRPr="00C74BDD">
        <w:rPr>
          <w:b w:val="0"/>
          <w:bCs/>
          <w:i/>
          <w:iCs/>
          <w:color w:val="4F81BD" w:themeColor="accent1"/>
          <w:sz w:val="20"/>
          <w:szCs w:val="20"/>
          <w:lang w:val="hy-AM"/>
        </w:rPr>
        <w:t xml:space="preserve"> </w:t>
      </w:r>
      <w:r w:rsidRPr="00C74BDD">
        <w:rPr>
          <w:rFonts w:cs="GHEA Grapalat"/>
          <w:b w:val="0"/>
          <w:bCs/>
          <w:i/>
          <w:iCs/>
          <w:color w:val="4F81BD" w:themeColor="accent1"/>
          <w:sz w:val="20"/>
          <w:szCs w:val="20"/>
          <w:lang w:val="hy-AM"/>
        </w:rPr>
        <w:t>բյուջետային</w:t>
      </w:r>
      <w:r w:rsidRPr="00C74BDD">
        <w:rPr>
          <w:b w:val="0"/>
          <w:bCs/>
          <w:i/>
          <w:iCs/>
          <w:color w:val="4F81BD" w:themeColor="accent1"/>
          <w:sz w:val="20"/>
          <w:szCs w:val="20"/>
          <w:lang w:val="hy-AM"/>
        </w:rPr>
        <w:t xml:space="preserve"> </w:t>
      </w:r>
      <w:r w:rsidRPr="00C74BDD">
        <w:rPr>
          <w:rFonts w:cs="GHEA Grapalat"/>
          <w:b w:val="0"/>
          <w:bCs/>
          <w:i/>
          <w:iCs/>
          <w:color w:val="4F81BD" w:themeColor="accent1"/>
          <w:sz w:val="20"/>
          <w:szCs w:val="20"/>
          <w:lang w:val="hy-AM"/>
        </w:rPr>
        <w:t>ծախսերը</w:t>
      </w:r>
      <w:r w:rsidRPr="00C74BDD">
        <w:rPr>
          <w:b w:val="0"/>
          <w:bCs/>
          <w:i/>
          <w:iCs/>
          <w:color w:val="4F81BD" w:themeColor="accent1"/>
          <w:sz w:val="20"/>
          <w:szCs w:val="20"/>
          <w:lang w:val="hy-AM"/>
        </w:rPr>
        <w:t xml:space="preserve"> (</w:t>
      </w:r>
      <w:r w:rsidRPr="00C74BDD">
        <w:rPr>
          <w:rFonts w:cs="GHEA Grapalat"/>
          <w:b w:val="0"/>
          <w:bCs/>
          <w:i/>
          <w:iCs/>
          <w:color w:val="4F81BD" w:themeColor="accent1"/>
          <w:sz w:val="20"/>
          <w:szCs w:val="20"/>
          <w:lang w:val="hy-AM"/>
        </w:rPr>
        <w:t>մլն</w:t>
      </w:r>
      <w:r w:rsidRPr="00C74BDD">
        <w:rPr>
          <w:b w:val="0"/>
          <w:bCs/>
          <w:i/>
          <w:iCs/>
          <w:color w:val="4F81BD" w:themeColor="accent1"/>
          <w:sz w:val="20"/>
          <w:szCs w:val="20"/>
          <w:lang w:val="hy-AM"/>
        </w:rPr>
        <w:t xml:space="preserve">. </w:t>
      </w:r>
      <w:r w:rsidRPr="00C74BDD">
        <w:rPr>
          <w:rFonts w:cs="GHEA Grapalat"/>
          <w:b w:val="0"/>
          <w:bCs/>
          <w:i/>
          <w:iCs/>
          <w:color w:val="4F81BD" w:themeColor="accent1"/>
          <w:sz w:val="20"/>
          <w:szCs w:val="20"/>
          <w:lang w:val="hy-AM"/>
        </w:rPr>
        <w:t>դրամ</w:t>
      </w:r>
      <w:r w:rsidRPr="00C74BDD">
        <w:rPr>
          <w:b w:val="0"/>
          <w:bCs/>
          <w:i/>
          <w:iCs/>
          <w:color w:val="4F81BD" w:themeColor="accent1"/>
          <w:sz w:val="20"/>
          <w:szCs w:val="20"/>
          <w:lang w:val="hy-AM"/>
        </w:rPr>
        <w:t>)</w:t>
      </w:r>
      <w:bookmarkEnd w:id="310"/>
      <w:bookmarkEnd w:id="311"/>
      <w:bookmarkEnd w:id="312"/>
    </w:p>
    <w:tbl>
      <w:tblPr>
        <w:tblW w:w="5449" w:type="pct"/>
        <w:tblInd w:w="-441"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3627"/>
        <w:gridCol w:w="1512"/>
        <w:gridCol w:w="1358"/>
        <w:gridCol w:w="1354"/>
        <w:gridCol w:w="1506"/>
        <w:gridCol w:w="1354"/>
      </w:tblGrid>
      <w:tr w:rsidR="00242CCC" w:rsidRPr="00C74BDD" w:rsidTr="00650C81">
        <w:trPr>
          <w:trHeight w:val="20"/>
          <w:tblHeader/>
        </w:trPr>
        <w:tc>
          <w:tcPr>
            <w:tcW w:w="1693" w:type="pct"/>
            <w:tcBorders>
              <w:top w:val="double" w:sz="4" w:space="0" w:color="auto"/>
              <w:left w:val="double" w:sz="4" w:space="0" w:color="auto"/>
              <w:bottom w:val="single" w:sz="8" w:space="0" w:color="auto"/>
              <w:right w:val="single" w:sz="8" w:space="0" w:color="auto"/>
            </w:tcBorders>
            <w:shd w:val="clear" w:color="auto" w:fill="4F81BD" w:themeFill="accent1"/>
            <w:tcMar>
              <w:top w:w="0" w:type="dxa"/>
              <w:left w:w="57" w:type="dxa"/>
              <w:bottom w:w="0" w:type="dxa"/>
              <w:right w:w="57" w:type="dxa"/>
            </w:tcMar>
            <w:hideMark/>
          </w:tcPr>
          <w:p w:rsidR="00242CCC" w:rsidRPr="00C74BDD" w:rsidRDefault="00242CCC" w:rsidP="00650C81">
            <w:pPr>
              <w:spacing w:before="0" w:line="276" w:lineRule="auto"/>
              <w:jc w:val="center"/>
              <w:rPr>
                <w:rFonts w:cs="Arial"/>
                <w:b w:val="0"/>
                <w:color w:val="FFFFFF" w:themeColor="background1"/>
                <w:sz w:val="20"/>
                <w:szCs w:val="20"/>
                <w:lang w:val="hy-AM"/>
              </w:rPr>
            </w:pPr>
            <w:r w:rsidRPr="00C74BDD">
              <w:rPr>
                <w:rFonts w:cs="Arial"/>
                <w:b w:val="0"/>
                <w:color w:val="FFFFFF" w:themeColor="background1"/>
                <w:sz w:val="20"/>
                <w:szCs w:val="20"/>
                <w:lang w:val="hy-AM"/>
              </w:rPr>
              <w:t>Ցուցանիշներ</w:t>
            </w:r>
          </w:p>
        </w:tc>
        <w:tc>
          <w:tcPr>
            <w:tcW w:w="706" w:type="pct"/>
            <w:tcBorders>
              <w:top w:val="double" w:sz="4" w:space="0" w:color="auto"/>
              <w:left w:val="single" w:sz="8" w:space="0" w:color="auto"/>
              <w:bottom w:val="single" w:sz="8" w:space="0" w:color="auto"/>
              <w:right w:val="single" w:sz="8" w:space="0" w:color="auto"/>
            </w:tcBorders>
            <w:shd w:val="clear" w:color="auto" w:fill="4F81BD" w:themeFill="accent1"/>
            <w:tcMar>
              <w:top w:w="0" w:type="dxa"/>
              <w:left w:w="57" w:type="dxa"/>
              <w:bottom w:w="0" w:type="dxa"/>
              <w:right w:w="57" w:type="dxa"/>
            </w:tcMar>
            <w:hideMark/>
          </w:tcPr>
          <w:p w:rsidR="00242CCC" w:rsidRPr="00C74BDD" w:rsidRDefault="00242CCC" w:rsidP="00650C81">
            <w:pPr>
              <w:spacing w:before="0" w:line="276" w:lineRule="auto"/>
              <w:ind w:firstLine="0"/>
              <w:jc w:val="left"/>
              <w:rPr>
                <w:rFonts w:cs="Arial"/>
                <w:b w:val="0"/>
                <w:color w:val="FFFFFF" w:themeColor="background1"/>
                <w:sz w:val="20"/>
                <w:szCs w:val="20"/>
                <w:lang w:val="hy-AM"/>
              </w:rPr>
            </w:pPr>
            <w:r w:rsidRPr="00C74BDD">
              <w:rPr>
                <w:rFonts w:cs="Arial"/>
                <w:b w:val="0"/>
                <w:color w:val="FFFFFF" w:themeColor="background1"/>
                <w:sz w:val="20"/>
                <w:szCs w:val="20"/>
                <w:lang w:val="hy-AM"/>
              </w:rPr>
              <w:t>2019թ</w:t>
            </w:r>
            <w:r w:rsidRPr="00C74BDD">
              <w:rPr>
                <w:rFonts w:ascii="Cambria Math" w:hAnsi="Cambria Math" w:cs="Cambria Math"/>
                <w:b w:val="0"/>
                <w:color w:val="FFFFFF" w:themeColor="background1"/>
                <w:sz w:val="20"/>
                <w:szCs w:val="20"/>
                <w:lang w:val="hy-AM"/>
              </w:rPr>
              <w:t>․</w:t>
            </w:r>
            <w:r w:rsidRPr="00C74BDD">
              <w:rPr>
                <w:rFonts w:cs="Arial"/>
                <w:b w:val="0"/>
                <w:color w:val="FFFFFF" w:themeColor="background1"/>
                <w:sz w:val="20"/>
                <w:szCs w:val="20"/>
                <w:lang w:val="hy-AM"/>
              </w:rPr>
              <w:t xml:space="preserve">  փաստացի</w:t>
            </w:r>
          </w:p>
        </w:tc>
        <w:tc>
          <w:tcPr>
            <w:tcW w:w="634" w:type="pct"/>
            <w:tcBorders>
              <w:top w:val="double" w:sz="4" w:space="0" w:color="auto"/>
              <w:left w:val="single" w:sz="8" w:space="0" w:color="auto"/>
              <w:bottom w:val="single" w:sz="8" w:space="0" w:color="auto"/>
              <w:right w:val="single" w:sz="8" w:space="0" w:color="auto"/>
            </w:tcBorders>
            <w:shd w:val="clear" w:color="auto" w:fill="4F81BD" w:themeFill="accent1"/>
            <w:hideMark/>
          </w:tcPr>
          <w:p w:rsidR="00242CCC" w:rsidRPr="00C74BDD" w:rsidRDefault="00242CCC" w:rsidP="00650C81">
            <w:pPr>
              <w:spacing w:before="0" w:line="276" w:lineRule="auto"/>
              <w:ind w:firstLine="0"/>
              <w:jc w:val="left"/>
              <w:rPr>
                <w:rFonts w:cs="Arial"/>
                <w:b w:val="0"/>
                <w:color w:val="FFFFFF" w:themeColor="background1"/>
                <w:sz w:val="20"/>
                <w:szCs w:val="20"/>
                <w:lang w:val="hy-AM"/>
              </w:rPr>
            </w:pPr>
            <w:r w:rsidRPr="00C74BDD">
              <w:rPr>
                <w:rFonts w:cs="Arial"/>
                <w:b w:val="0"/>
                <w:color w:val="FFFFFF" w:themeColor="background1"/>
                <w:sz w:val="20"/>
                <w:szCs w:val="20"/>
                <w:lang w:val="hy-AM"/>
              </w:rPr>
              <w:t>2020թ</w:t>
            </w:r>
            <w:r w:rsidRPr="00C74BDD">
              <w:rPr>
                <w:rFonts w:ascii="Cambria Math" w:hAnsi="Cambria Math" w:cs="Cambria Math"/>
                <w:b w:val="0"/>
                <w:color w:val="FFFFFF" w:themeColor="background1"/>
                <w:sz w:val="20"/>
                <w:szCs w:val="20"/>
                <w:lang w:val="hy-AM"/>
              </w:rPr>
              <w:t>․</w:t>
            </w:r>
            <w:r w:rsidRPr="00C74BDD">
              <w:rPr>
                <w:rFonts w:cs="Arial"/>
                <w:b w:val="0"/>
                <w:color w:val="FFFFFF" w:themeColor="background1"/>
                <w:sz w:val="20"/>
                <w:szCs w:val="20"/>
                <w:lang w:val="hy-AM"/>
              </w:rPr>
              <w:t xml:space="preserve"> փաստացի</w:t>
            </w:r>
          </w:p>
        </w:tc>
        <w:tc>
          <w:tcPr>
            <w:tcW w:w="632" w:type="pct"/>
            <w:tcBorders>
              <w:top w:val="double" w:sz="4" w:space="0" w:color="auto"/>
              <w:left w:val="single" w:sz="8" w:space="0" w:color="auto"/>
              <w:bottom w:val="single" w:sz="8" w:space="0" w:color="auto"/>
              <w:right w:val="double" w:sz="4" w:space="0" w:color="auto"/>
            </w:tcBorders>
            <w:shd w:val="clear" w:color="auto" w:fill="4F81BD" w:themeFill="accent1"/>
            <w:hideMark/>
          </w:tcPr>
          <w:p w:rsidR="00242CCC" w:rsidRPr="00C74BDD" w:rsidRDefault="00242CCC" w:rsidP="00650C81">
            <w:pPr>
              <w:spacing w:before="0" w:line="276" w:lineRule="auto"/>
              <w:ind w:firstLine="0"/>
              <w:jc w:val="left"/>
              <w:rPr>
                <w:rFonts w:cs="Arial"/>
                <w:b w:val="0"/>
                <w:color w:val="FFFFFF" w:themeColor="background1"/>
                <w:sz w:val="20"/>
                <w:szCs w:val="20"/>
                <w:lang w:val="hy-AM"/>
              </w:rPr>
            </w:pPr>
            <w:r w:rsidRPr="00C74BDD">
              <w:rPr>
                <w:rFonts w:cs="Arial"/>
                <w:b w:val="0"/>
                <w:color w:val="FFFFFF" w:themeColor="background1"/>
                <w:sz w:val="20"/>
                <w:szCs w:val="20"/>
                <w:lang w:val="hy-AM"/>
              </w:rPr>
              <w:t>2021թ</w:t>
            </w:r>
            <w:r w:rsidRPr="00C74BDD">
              <w:rPr>
                <w:rFonts w:ascii="Cambria Math" w:hAnsi="Cambria Math" w:cs="Cambria Math"/>
                <w:b w:val="0"/>
                <w:color w:val="FFFFFF" w:themeColor="background1"/>
                <w:sz w:val="20"/>
                <w:szCs w:val="20"/>
                <w:lang w:val="hy-AM"/>
              </w:rPr>
              <w:t>․</w:t>
            </w:r>
            <w:r w:rsidRPr="00C74BDD">
              <w:rPr>
                <w:rFonts w:cs="Arial"/>
                <w:b w:val="0"/>
                <w:color w:val="FFFFFF" w:themeColor="background1"/>
                <w:sz w:val="20"/>
                <w:szCs w:val="20"/>
                <w:lang w:val="hy-AM"/>
              </w:rPr>
              <w:t xml:space="preserve"> փաստացի</w:t>
            </w:r>
          </w:p>
        </w:tc>
        <w:tc>
          <w:tcPr>
            <w:tcW w:w="703" w:type="pct"/>
            <w:tcBorders>
              <w:top w:val="double" w:sz="4" w:space="0" w:color="auto"/>
              <w:left w:val="single" w:sz="8" w:space="0" w:color="auto"/>
              <w:bottom w:val="single" w:sz="8" w:space="0" w:color="auto"/>
              <w:right w:val="double" w:sz="4" w:space="0" w:color="auto"/>
            </w:tcBorders>
            <w:shd w:val="clear" w:color="auto" w:fill="4F81BD" w:themeFill="accent1"/>
          </w:tcPr>
          <w:p w:rsidR="00242CCC" w:rsidRPr="00C74BDD" w:rsidRDefault="00242CCC" w:rsidP="00650C81">
            <w:pPr>
              <w:spacing w:before="0" w:line="276" w:lineRule="auto"/>
              <w:ind w:firstLine="0"/>
              <w:jc w:val="left"/>
              <w:rPr>
                <w:rFonts w:cs="Arial"/>
                <w:b w:val="0"/>
                <w:color w:val="FFFFFF" w:themeColor="background1"/>
                <w:sz w:val="20"/>
                <w:szCs w:val="20"/>
                <w:lang w:val="hy-AM"/>
              </w:rPr>
            </w:pPr>
            <w:r w:rsidRPr="00C74BDD">
              <w:rPr>
                <w:rFonts w:cs="Arial"/>
                <w:b w:val="0"/>
                <w:color w:val="FFFFFF" w:themeColor="background1"/>
                <w:sz w:val="20"/>
                <w:szCs w:val="20"/>
                <w:lang w:val="hy-AM"/>
              </w:rPr>
              <w:t>2022թ</w:t>
            </w:r>
            <w:r w:rsidRPr="00C74BDD">
              <w:rPr>
                <w:rFonts w:ascii="Cambria Math" w:hAnsi="Cambria Math" w:cs="Cambria Math"/>
                <w:b w:val="0"/>
                <w:color w:val="FFFFFF" w:themeColor="background1"/>
                <w:sz w:val="20"/>
                <w:szCs w:val="20"/>
                <w:lang w:val="hy-AM"/>
              </w:rPr>
              <w:t>․</w:t>
            </w:r>
            <w:r w:rsidRPr="00C74BDD">
              <w:rPr>
                <w:rFonts w:cs="Arial"/>
                <w:b w:val="0"/>
                <w:color w:val="FFFFFF" w:themeColor="background1"/>
                <w:sz w:val="20"/>
                <w:szCs w:val="20"/>
                <w:lang w:val="hy-AM"/>
              </w:rPr>
              <w:t xml:space="preserve"> հաստատված</w:t>
            </w:r>
          </w:p>
        </w:tc>
        <w:tc>
          <w:tcPr>
            <w:tcW w:w="633" w:type="pct"/>
            <w:tcBorders>
              <w:top w:val="double" w:sz="4" w:space="0" w:color="auto"/>
              <w:left w:val="single" w:sz="8" w:space="0" w:color="auto"/>
              <w:bottom w:val="single" w:sz="8" w:space="0" w:color="auto"/>
              <w:right w:val="double" w:sz="4" w:space="0" w:color="auto"/>
            </w:tcBorders>
            <w:shd w:val="clear" w:color="auto" w:fill="4F81BD" w:themeFill="accent1"/>
          </w:tcPr>
          <w:p w:rsidR="00242CCC" w:rsidRPr="00C74BDD" w:rsidRDefault="00242CCC" w:rsidP="00650C81">
            <w:pPr>
              <w:spacing w:before="0" w:line="276" w:lineRule="auto"/>
              <w:ind w:firstLine="0"/>
              <w:jc w:val="left"/>
              <w:rPr>
                <w:rFonts w:cs="Arial"/>
                <w:b w:val="0"/>
                <w:color w:val="FFFFFF" w:themeColor="background1"/>
                <w:sz w:val="20"/>
                <w:szCs w:val="20"/>
                <w:lang w:val="hy-AM"/>
              </w:rPr>
            </w:pPr>
            <w:r w:rsidRPr="00C74BDD">
              <w:rPr>
                <w:rFonts w:cs="Arial"/>
                <w:b w:val="0"/>
                <w:color w:val="FFFFFF" w:themeColor="background1"/>
                <w:sz w:val="20"/>
                <w:szCs w:val="20"/>
                <w:lang w:val="hy-AM"/>
              </w:rPr>
              <w:t>2023թ</w:t>
            </w:r>
            <w:r w:rsidRPr="00C74BDD">
              <w:rPr>
                <w:rFonts w:ascii="Cambria Math" w:hAnsi="Cambria Math" w:cs="Cambria Math"/>
                <w:b w:val="0"/>
                <w:color w:val="FFFFFF" w:themeColor="background1"/>
                <w:sz w:val="20"/>
                <w:szCs w:val="20"/>
                <w:lang w:val="hy-AM"/>
              </w:rPr>
              <w:t>․</w:t>
            </w:r>
            <w:r w:rsidRPr="00C74BDD">
              <w:rPr>
                <w:rFonts w:cs="Arial"/>
                <w:b w:val="0"/>
                <w:color w:val="FFFFFF" w:themeColor="background1"/>
                <w:sz w:val="20"/>
                <w:szCs w:val="20"/>
                <w:lang w:val="hy-AM"/>
              </w:rPr>
              <w:t xml:space="preserve"> նախագիծ</w:t>
            </w:r>
          </w:p>
        </w:tc>
      </w:tr>
      <w:tr w:rsidR="00242CCC" w:rsidRPr="00C74BDD" w:rsidTr="00650C81">
        <w:trPr>
          <w:trHeight w:val="20"/>
        </w:trPr>
        <w:tc>
          <w:tcPr>
            <w:tcW w:w="1693" w:type="pct"/>
            <w:tcBorders>
              <w:top w:val="single" w:sz="8" w:space="0" w:color="auto"/>
              <w:left w:val="double" w:sz="4"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rsidR="00242CCC" w:rsidRPr="00C74BDD" w:rsidRDefault="00242CCC" w:rsidP="00650C81">
            <w:pPr>
              <w:spacing w:before="0" w:line="276" w:lineRule="auto"/>
              <w:ind w:firstLine="0"/>
              <w:jc w:val="left"/>
              <w:rPr>
                <w:rFonts w:cs="Arial"/>
                <w:sz w:val="20"/>
                <w:szCs w:val="20"/>
                <w:lang w:val="hy-AM"/>
              </w:rPr>
            </w:pPr>
            <w:r w:rsidRPr="00C74BDD">
              <w:rPr>
                <w:rFonts w:cs="Arial"/>
                <w:sz w:val="20"/>
                <w:szCs w:val="20"/>
                <w:lang w:val="hy-AM"/>
              </w:rPr>
              <w:t>ՏՆՏԵՍԱԿԱՆ ՈԼՈՐՏ ԸՆԴԱՄԵՆԸ</w:t>
            </w:r>
          </w:p>
        </w:tc>
        <w:tc>
          <w:tcPr>
            <w:tcW w:w="706"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rsidR="00242CCC" w:rsidRPr="00C74BDD" w:rsidRDefault="00242CCC" w:rsidP="009D2783">
            <w:pPr>
              <w:spacing w:before="0" w:line="276" w:lineRule="auto"/>
              <w:ind w:firstLine="0"/>
              <w:jc w:val="right"/>
              <w:rPr>
                <w:rFonts w:cs="Arial"/>
                <w:sz w:val="20"/>
                <w:szCs w:val="20"/>
                <w:lang w:val="hy-AM"/>
              </w:rPr>
            </w:pPr>
            <w:r w:rsidRPr="00C74BDD">
              <w:rPr>
                <w:rFonts w:cs="Arial"/>
                <w:sz w:val="20"/>
                <w:szCs w:val="20"/>
                <w:lang w:val="hy-AM"/>
              </w:rPr>
              <w:t>133,980.8</w:t>
            </w:r>
          </w:p>
        </w:tc>
        <w:tc>
          <w:tcPr>
            <w:tcW w:w="634"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30" w:type="dxa"/>
              <w:bottom w:w="0" w:type="dxa"/>
              <w:right w:w="30" w:type="dxa"/>
            </w:tcMar>
            <w:vAlign w:val="center"/>
            <w:hideMark/>
          </w:tcPr>
          <w:p w:rsidR="00242CCC" w:rsidRPr="00C74BDD" w:rsidRDefault="00242CCC" w:rsidP="009D2783">
            <w:pPr>
              <w:spacing w:before="0" w:line="276" w:lineRule="auto"/>
              <w:ind w:firstLine="0"/>
              <w:jc w:val="right"/>
              <w:rPr>
                <w:rFonts w:cs="Arial"/>
                <w:sz w:val="20"/>
                <w:szCs w:val="20"/>
                <w:lang w:val="hy-AM"/>
              </w:rPr>
            </w:pPr>
            <w:r w:rsidRPr="00C74BDD">
              <w:rPr>
                <w:rFonts w:cs="Arial"/>
                <w:sz w:val="20"/>
                <w:szCs w:val="20"/>
                <w:lang w:val="hy-AM"/>
              </w:rPr>
              <w:t>138,887.2</w:t>
            </w:r>
          </w:p>
        </w:tc>
        <w:tc>
          <w:tcPr>
            <w:tcW w:w="632" w:type="pct"/>
            <w:tcBorders>
              <w:top w:val="single" w:sz="8" w:space="0" w:color="auto"/>
              <w:left w:val="single" w:sz="8" w:space="0" w:color="auto"/>
              <w:bottom w:val="single" w:sz="8" w:space="0" w:color="auto"/>
              <w:right w:val="double" w:sz="4" w:space="0" w:color="auto"/>
            </w:tcBorders>
            <w:shd w:val="clear" w:color="auto" w:fill="C6D9F1" w:themeFill="text2" w:themeFillTint="33"/>
            <w:tcMar>
              <w:top w:w="0" w:type="dxa"/>
              <w:left w:w="30" w:type="dxa"/>
              <w:bottom w:w="0" w:type="dxa"/>
              <w:right w:w="30" w:type="dxa"/>
            </w:tcMar>
            <w:vAlign w:val="center"/>
            <w:hideMark/>
          </w:tcPr>
          <w:p w:rsidR="00242CCC" w:rsidRPr="00C74BDD" w:rsidRDefault="00242CCC" w:rsidP="009D2783">
            <w:pPr>
              <w:spacing w:before="0" w:line="276" w:lineRule="auto"/>
              <w:ind w:firstLine="0"/>
              <w:jc w:val="right"/>
              <w:rPr>
                <w:rFonts w:cs="Arial"/>
                <w:sz w:val="20"/>
                <w:szCs w:val="20"/>
                <w:lang w:val="hy-AM"/>
              </w:rPr>
            </w:pPr>
            <w:r w:rsidRPr="00C74BDD">
              <w:rPr>
                <w:rFonts w:cs="Arial"/>
                <w:sz w:val="20"/>
                <w:szCs w:val="20"/>
                <w:lang w:val="hy-AM"/>
              </w:rPr>
              <w:t>167,330.0</w:t>
            </w:r>
          </w:p>
        </w:tc>
        <w:tc>
          <w:tcPr>
            <w:tcW w:w="703" w:type="pct"/>
            <w:tcBorders>
              <w:top w:val="single" w:sz="8" w:space="0" w:color="auto"/>
              <w:left w:val="single" w:sz="8" w:space="0" w:color="auto"/>
              <w:bottom w:val="single" w:sz="8" w:space="0" w:color="auto"/>
              <w:right w:val="double" w:sz="4" w:space="0" w:color="auto"/>
            </w:tcBorders>
            <w:shd w:val="clear" w:color="auto" w:fill="C6D9F1" w:themeFill="text2" w:themeFillTint="33"/>
            <w:vAlign w:val="center"/>
          </w:tcPr>
          <w:p w:rsidR="00242CCC" w:rsidRPr="00C74BDD" w:rsidRDefault="00242CCC" w:rsidP="009D2783">
            <w:pPr>
              <w:spacing w:before="0" w:line="276" w:lineRule="auto"/>
              <w:ind w:firstLine="0"/>
              <w:jc w:val="right"/>
              <w:rPr>
                <w:rFonts w:cs="Arial"/>
                <w:sz w:val="20"/>
                <w:szCs w:val="20"/>
                <w:lang w:val="hy-AM"/>
              </w:rPr>
            </w:pPr>
            <w:r w:rsidRPr="00C74BDD">
              <w:rPr>
                <w:rFonts w:cs="Arial"/>
                <w:sz w:val="20"/>
                <w:szCs w:val="20"/>
                <w:lang w:val="hy-AM"/>
              </w:rPr>
              <w:t>237,390</w:t>
            </w:r>
            <w:r w:rsidRPr="00C74BDD">
              <w:rPr>
                <w:rFonts w:ascii="Cambria Math" w:hAnsi="Cambria Math" w:cs="Cambria Math"/>
                <w:sz w:val="20"/>
                <w:szCs w:val="20"/>
                <w:lang w:val="hy-AM"/>
              </w:rPr>
              <w:t>․</w:t>
            </w:r>
            <w:r w:rsidRPr="00C74BDD">
              <w:rPr>
                <w:rFonts w:cs="Arial"/>
                <w:sz w:val="20"/>
                <w:szCs w:val="20"/>
                <w:lang w:val="hy-AM"/>
              </w:rPr>
              <w:t>2</w:t>
            </w:r>
          </w:p>
        </w:tc>
        <w:tc>
          <w:tcPr>
            <w:tcW w:w="633" w:type="pct"/>
            <w:tcBorders>
              <w:top w:val="single" w:sz="8" w:space="0" w:color="auto"/>
              <w:left w:val="single" w:sz="8" w:space="0" w:color="auto"/>
              <w:bottom w:val="single" w:sz="8" w:space="0" w:color="auto"/>
              <w:right w:val="double" w:sz="4" w:space="0" w:color="auto"/>
            </w:tcBorders>
            <w:shd w:val="clear" w:color="auto" w:fill="C6D9F1" w:themeFill="text2" w:themeFillTint="33"/>
            <w:vAlign w:val="bottom"/>
          </w:tcPr>
          <w:p w:rsidR="00242CCC" w:rsidRPr="00DE17C4" w:rsidRDefault="00242CCC" w:rsidP="009D2783">
            <w:pPr>
              <w:spacing w:before="0" w:line="276" w:lineRule="auto"/>
              <w:ind w:firstLine="0"/>
              <w:jc w:val="right"/>
              <w:rPr>
                <w:rFonts w:cs="Arial"/>
                <w:sz w:val="20"/>
                <w:szCs w:val="20"/>
              </w:rPr>
            </w:pPr>
            <w:r w:rsidRPr="00C74BDD">
              <w:rPr>
                <w:rFonts w:eastAsiaTheme="minorHAnsi" w:cs="Cambria Math"/>
                <w:bCs/>
                <w:sz w:val="20"/>
                <w:szCs w:val="20"/>
                <w:lang w:val="en-US" w:eastAsia="en-US"/>
              </w:rPr>
              <w:t>2</w:t>
            </w:r>
            <w:r w:rsidRPr="00C74BDD">
              <w:rPr>
                <w:rFonts w:eastAsiaTheme="minorHAnsi" w:cs="Cambria Math"/>
                <w:bCs/>
                <w:sz w:val="20"/>
                <w:szCs w:val="20"/>
                <w:lang w:eastAsia="en-US"/>
              </w:rPr>
              <w:t>6</w:t>
            </w:r>
            <w:r w:rsidRPr="00C74BDD">
              <w:rPr>
                <w:rFonts w:eastAsiaTheme="minorHAnsi" w:cs="Cambria Math"/>
                <w:bCs/>
                <w:sz w:val="20"/>
                <w:szCs w:val="20"/>
                <w:lang w:val="en-US" w:eastAsia="en-US"/>
              </w:rPr>
              <w:t>7,</w:t>
            </w:r>
            <w:r>
              <w:rPr>
                <w:rFonts w:eastAsiaTheme="minorHAnsi" w:cs="Cambria Math"/>
                <w:bCs/>
                <w:sz w:val="20"/>
                <w:szCs w:val="20"/>
                <w:lang w:eastAsia="en-US"/>
              </w:rPr>
              <w:t>617</w:t>
            </w:r>
            <w:r>
              <w:rPr>
                <w:rFonts w:eastAsiaTheme="minorHAnsi" w:cs="Cambria Math"/>
                <w:bCs/>
                <w:sz w:val="20"/>
                <w:szCs w:val="20"/>
                <w:lang w:val="en-US" w:eastAsia="en-US"/>
              </w:rPr>
              <w:t>.</w:t>
            </w:r>
            <w:r>
              <w:rPr>
                <w:rFonts w:eastAsiaTheme="minorHAnsi" w:cs="Cambria Math"/>
                <w:bCs/>
                <w:sz w:val="20"/>
                <w:szCs w:val="20"/>
                <w:lang w:eastAsia="en-US"/>
              </w:rPr>
              <w:t>9</w:t>
            </w:r>
          </w:p>
        </w:tc>
      </w:tr>
      <w:tr w:rsidR="00242CCC" w:rsidRPr="00C74BDD" w:rsidTr="00650C81">
        <w:trPr>
          <w:trHeight w:val="20"/>
        </w:trPr>
        <w:tc>
          <w:tcPr>
            <w:tcW w:w="1693" w:type="pct"/>
            <w:tcBorders>
              <w:top w:val="single" w:sz="8" w:space="0" w:color="auto"/>
              <w:left w:val="double" w:sz="4"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rsidR="00242CCC" w:rsidRPr="00C74BDD" w:rsidRDefault="00242CCC" w:rsidP="00650C81">
            <w:pPr>
              <w:spacing w:before="0" w:line="276" w:lineRule="auto"/>
              <w:ind w:firstLine="0"/>
              <w:jc w:val="left"/>
              <w:rPr>
                <w:rFonts w:cs="Arial"/>
                <w:b w:val="0"/>
                <w:bCs/>
                <w:sz w:val="20"/>
                <w:szCs w:val="20"/>
                <w:lang w:val="hy-AM"/>
              </w:rPr>
            </w:pPr>
            <w:r w:rsidRPr="00C74BDD">
              <w:rPr>
                <w:rFonts w:cs="Arial"/>
                <w:b w:val="0"/>
                <w:bCs/>
                <w:sz w:val="20"/>
                <w:szCs w:val="20"/>
                <w:lang w:val="hy-AM"/>
              </w:rPr>
              <w:t>- Հարաբերությունը ՀՆԱ-ի նկատմամբ (%)</w:t>
            </w:r>
          </w:p>
        </w:tc>
        <w:tc>
          <w:tcPr>
            <w:tcW w:w="706"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2.0%</w:t>
            </w:r>
          </w:p>
        </w:tc>
        <w:tc>
          <w:tcPr>
            <w:tcW w:w="634" w:type="pct"/>
            <w:tcBorders>
              <w:top w:val="single" w:sz="8" w:space="0" w:color="auto"/>
              <w:left w:val="single" w:sz="8" w:space="0" w:color="auto"/>
              <w:bottom w:val="single" w:sz="8" w:space="0" w:color="auto"/>
              <w:right w:val="single" w:sz="8" w:space="0" w:color="auto"/>
            </w:tcBorders>
            <w:shd w:val="solid" w:color="FFFFFF" w:fill="auto"/>
            <w:tcMar>
              <w:top w:w="0" w:type="dxa"/>
              <w:left w:w="30" w:type="dxa"/>
              <w:bottom w:w="0" w:type="dxa"/>
              <w:right w:w="30" w:type="dxa"/>
            </w:tcMar>
            <w:vAlign w:val="center"/>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2.4%</w:t>
            </w:r>
          </w:p>
        </w:tc>
        <w:tc>
          <w:tcPr>
            <w:tcW w:w="632" w:type="pct"/>
            <w:tcBorders>
              <w:top w:val="single" w:sz="8" w:space="0" w:color="auto"/>
              <w:left w:val="single" w:sz="8" w:space="0" w:color="auto"/>
              <w:bottom w:val="single" w:sz="8" w:space="0" w:color="auto"/>
              <w:right w:val="double" w:sz="4" w:space="0" w:color="auto"/>
            </w:tcBorders>
            <w:shd w:val="solid" w:color="FFFFFF" w:fill="auto"/>
            <w:tcMar>
              <w:top w:w="0" w:type="dxa"/>
              <w:left w:w="30" w:type="dxa"/>
              <w:bottom w:w="0" w:type="dxa"/>
              <w:right w:w="30" w:type="dxa"/>
            </w:tcMar>
            <w:vAlign w:val="center"/>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2.4%</w:t>
            </w:r>
          </w:p>
        </w:tc>
        <w:tc>
          <w:tcPr>
            <w:tcW w:w="703" w:type="pct"/>
            <w:tcBorders>
              <w:top w:val="single" w:sz="8" w:space="0" w:color="auto"/>
              <w:left w:val="single" w:sz="8" w:space="0" w:color="auto"/>
              <w:bottom w:val="single" w:sz="8" w:space="0" w:color="auto"/>
              <w:right w:val="double" w:sz="4" w:space="0" w:color="auto"/>
            </w:tcBorders>
            <w:shd w:val="solid" w:color="FFFFFF" w:fill="auto"/>
            <w:vAlign w:val="center"/>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3.0%</w:t>
            </w:r>
          </w:p>
        </w:tc>
        <w:tc>
          <w:tcPr>
            <w:tcW w:w="633" w:type="pct"/>
            <w:tcBorders>
              <w:top w:val="single" w:sz="8" w:space="0" w:color="auto"/>
              <w:left w:val="single" w:sz="8" w:space="0" w:color="auto"/>
              <w:bottom w:val="single" w:sz="8" w:space="0" w:color="auto"/>
              <w:right w:val="double" w:sz="4" w:space="0" w:color="auto"/>
            </w:tcBorders>
            <w:shd w:val="solid" w:color="FFFFFF" w:fill="auto"/>
            <w:vAlign w:val="center"/>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2.9%</w:t>
            </w:r>
          </w:p>
        </w:tc>
      </w:tr>
      <w:tr w:rsidR="00242CCC" w:rsidRPr="00C74BDD" w:rsidTr="00650C81">
        <w:trPr>
          <w:trHeight w:val="961"/>
        </w:trPr>
        <w:tc>
          <w:tcPr>
            <w:tcW w:w="1693" w:type="pct"/>
            <w:tcBorders>
              <w:top w:val="single" w:sz="8" w:space="0" w:color="auto"/>
              <w:left w:val="double" w:sz="4"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rsidR="00242CCC" w:rsidRPr="00C74BDD" w:rsidRDefault="00242CCC" w:rsidP="00650C81">
            <w:pPr>
              <w:spacing w:before="0" w:line="276" w:lineRule="auto"/>
              <w:ind w:firstLine="0"/>
              <w:jc w:val="left"/>
              <w:rPr>
                <w:rFonts w:cs="Arial"/>
                <w:b w:val="0"/>
                <w:bCs/>
                <w:sz w:val="20"/>
                <w:szCs w:val="20"/>
                <w:lang w:val="hy-AM"/>
              </w:rPr>
            </w:pPr>
            <w:r w:rsidRPr="00C74BDD">
              <w:rPr>
                <w:rFonts w:cs="Arial"/>
                <w:b w:val="0"/>
                <w:bCs/>
                <w:sz w:val="20"/>
                <w:szCs w:val="20"/>
                <w:lang w:val="hy-AM"/>
              </w:rPr>
              <w:t>- տեսակարար կշիռը ծախսերի ամբողջ ծավալում (%)</w:t>
            </w:r>
          </w:p>
        </w:tc>
        <w:tc>
          <w:tcPr>
            <w:tcW w:w="706"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8.2%</w:t>
            </w:r>
          </w:p>
        </w:tc>
        <w:tc>
          <w:tcPr>
            <w:tcW w:w="634" w:type="pct"/>
            <w:tcBorders>
              <w:top w:val="single" w:sz="8" w:space="0" w:color="auto"/>
              <w:left w:val="single" w:sz="8" w:space="0" w:color="auto"/>
              <w:bottom w:val="single" w:sz="8" w:space="0" w:color="auto"/>
              <w:right w:val="single" w:sz="8" w:space="0" w:color="auto"/>
            </w:tcBorders>
            <w:shd w:val="solid" w:color="FFFFFF" w:fill="auto"/>
            <w:tcMar>
              <w:top w:w="0" w:type="dxa"/>
              <w:left w:w="30" w:type="dxa"/>
              <w:bottom w:w="0" w:type="dxa"/>
              <w:right w:w="30" w:type="dxa"/>
            </w:tcMar>
            <w:vAlign w:val="center"/>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7.3%</w:t>
            </w:r>
          </w:p>
        </w:tc>
        <w:tc>
          <w:tcPr>
            <w:tcW w:w="632" w:type="pct"/>
            <w:tcBorders>
              <w:top w:val="single" w:sz="8" w:space="0" w:color="auto"/>
              <w:left w:val="single" w:sz="8" w:space="0" w:color="auto"/>
              <w:bottom w:val="single" w:sz="8" w:space="0" w:color="auto"/>
              <w:right w:val="double" w:sz="4" w:space="0" w:color="auto"/>
            </w:tcBorders>
            <w:shd w:val="solid" w:color="FFFFFF" w:fill="auto"/>
            <w:tcMar>
              <w:top w:w="0" w:type="dxa"/>
              <w:left w:w="30" w:type="dxa"/>
              <w:bottom w:w="0" w:type="dxa"/>
              <w:right w:w="30" w:type="dxa"/>
            </w:tcMar>
            <w:vAlign w:val="center"/>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8.3%</w:t>
            </w:r>
          </w:p>
        </w:tc>
        <w:tc>
          <w:tcPr>
            <w:tcW w:w="703" w:type="pct"/>
            <w:tcBorders>
              <w:top w:val="single" w:sz="8" w:space="0" w:color="auto"/>
              <w:left w:val="single" w:sz="8" w:space="0" w:color="auto"/>
              <w:bottom w:val="single" w:sz="8" w:space="0" w:color="auto"/>
              <w:right w:val="double" w:sz="4" w:space="0" w:color="auto"/>
            </w:tcBorders>
            <w:shd w:val="solid" w:color="FFFFFF" w:fill="auto"/>
            <w:vAlign w:val="center"/>
          </w:tcPr>
          <w:p w:rsidR="00242CCC" w:rsidRPr="00C74BDD" w:rsidRDefault="00242CCC" w:rsidP="009D2783">
            <w:pPr>
              <w:spacing w:before="0" w:line="276" w:lineRule="auto"/>
              <w:ind w:firstLine="0"/>
              <w:jc w:val="right"/>
              <w:rPr>
                <w:rFonts w:cs="Arial"/>
                <w:b w:val="0"/>
                <w:bCs/>
                <w:sz w:val="20"/>
                <w:szCs w:val="20"/>
                <w:lang w:val="en-US"/>
              </w:rPr>
            </w:pPr>
            <w:r w:rsidRPr="00C74BDD">
              <w:rPr>
                <w:rFonts w:cs="Arial"/>
                <w:b w:val="0"/>
                <w:bCs/>
                <w:sz w:val="20"/>
                <w:szCs w:val="20"/>
                <w:lang w:val="hy-AM"/>
              </w:rPr>
              <w:t>10.9%</w:t>
            </w:r>
            <w:r w:rsidRPr="00C74BDD">
              <w:rPr>
                <w:rFonts w:cs="Arial"/>
                <w:b w:val="0"/>
                <w:bCs/>
                <w:sz w:val="20"/>
                <w:szCs w:val="20"/>
                <w:lang w:val="en-US"/>
              </w:rPr>
              <w:t xml:space="preserve"> </w:t>
            </w:r>
          </w:p>
        </w:tc>
        <w:tc>
          <w:tcPr>
            <w:tcW w:w="633" w:type="pct"/>
            <w:tcBorders>
              <w:top w:val="single" w:sz="8" w:space="0" w:color="auto"/>
              <w:left w:val="single" w:sz="8" w:space="0" w:color="auto"/>
              <w:bottom w:val="single" w:sz="8" w:space="0" w:color="auto"/>
              <w:right w:val="double" w:sz="4" w:space="0" w:color="auto"/>
            </w:tcBorders>
            <w:shd w:val="solid" w:color="FFFFFF" w:fill="auto"/>
            <w:vAlign w:val="center"/>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10.3%</w:t>
            </w:r>
          </w:p>
        </w:tc>
      </w:tr>
      <w:tr w:rsidR="00242CCC" w:rsidRPr="00C74BDD" w:rsidTr="00650C81">
        <w:trPr>
          <w:trHeight w:val="20"/>
        </w:trPr>
        <w:tc>
          <w:tcPr>
            <w:tcW w:w="1693" w:type="pct"/>
            <w:tcBorders>
              <w:top w:val="single" w:sz="8" w:space="0" w:color="auto"/>
              <w:left w:val="double" w:sz="4"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rsidR="00242CCC" w:rsidRPr="00C74BDD" w:rsidRDefault="00242CCC" w:rsidP="00650C81">
            <w:pPr>
              <w:spacing w:before="0" w:line="276" w:lineRule="auto"/>
              <w:ind w:firstLine="0"/>
              <w:jc w:val="left"/>
              <w:rPr>
                <w:rFonts w:cs="Arial"/>
                <w:sz w:val="20"/>
                <w:szCs w:val="20"/>
                <w:lang w:val="hy-AM"/>
              </w:rPr>
            </w:pPr>
            <w:r w:rsidRPr="00C74BDD">
              <w:rPr>
                <w:rFonts w:cs="Arial"/>
                <w:sz w:val="20"/>
                <w:szCs w:val="20"/>
                <w:lang w:val="hy-AM"/>
              </w:rPr>
              <w:t>այդ թվում`</w:t>
            </w:r>
          </w:p>
        </w:tc>
        <w:tc>
          <w:tcPr>
            <w:tcW w:w="706"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tcPr>
          <w:p w:rsidR="00242CCC" w:rsidRPr="00C74BDD" w:rsidRDefault="00242CCC" w:rsidP="009D2783">
            <w:pPr>
              <w:spacing w:before="0" w:line="276" w:lineRule="auto"/>
              <w:ind w:firstLine="0"/>
              <w:jc w:val="right"/>
              <w:rPr>
                <w:rFonts w:cs="Arial"/>
                <w:sz w:val="20"/>
                <w:szCs w:val="20"/>
                <w:lang w:val="hy-AM"/>
              </w:rPr>
            </w:pPr>
          </w:p>
        </w:tc>
        <w:tc>
          <w:tcPr>
            <w:tcW w:w="634" w:type="pct"/>
            <w:tcBorders>
              <w:top w:val="single" w:sz="8" w:space="0" w:color="auto"/>
              <w:left w:val="single" w:sz="8" w:space="0" w:color="auto"/>
              <w:bottom w:val="single" w:sz="8" w:space="0" w:color="auto"/>
              <w:right w:val="single" w:sz="8" w:space="0" w:color="auto"/>
            </w:tcBorders>
            <w:shd w:val="solid" w:color="FFFFFF" w:fill="auto"/>
            <w:tcMar>
              <w:top w:w="0" w:type="dxa"/>
              <w:left w:w="30" w:type="dxa"/>
              <w:bottom w:w="0" w:type="dxa"/>
              <w:right w:w="30" w:type="dxa"/>
            </w:tcMar>
            <w:vAlign w:val="center"/>
          </w:tcPr>
          <w:p w:rsidR="00242CCC" w:rsidRPr="00C74BDD" w:rsidRDefault="00242CCC" w:rsidP="009D2783">
            <w:pPr>
              <w:spacing w:before="0" w:line="276" w:lineRule="auto"/>
              <w:ind w:firstLine="0"/>
              <w:jc w:val="right"/>
              <w:rPr>
                <w:rFonts w:cs="Arial"/>
                <w:sz w:val="20"/>
                <w:szCs w:val="20"/>
                <w:lang w:val="hy-AM"/>
              </w:rPr>
            </w:pPr>
          </w:p>
        </w:tc>
        <w:tc>
          <w:tcPr>
            <w:tcW w:w="632" w:type="pct"/>
            <w:tcBorders>
              <w:top w:val="single" w:sz="8" w:space="0" w:color="auto"/>
              <w:left w:val="single" w:sz="8" w:space="0" w:color="auto"/>
              <w:bottom w:val="single" w:sz="8" w:space="0" w:color="auto"/>
              <w:right w:val="double" w:sz="4" w:space="0" w:color="auto"/>
            </w:tcBorders>
            <w:shd w:val="solid" w:color="FFFFFF" w:fill="auto"/>
            <w:tcMar>
              <w:top w:w="0" w:type="dxa"/>
              <w:left w:w="30" w:type="dxa"/>
              <w:bottom w:w="0" w:type="dxa"/>
              <w:right w:w="30" w:type="dxa"/>
            </w:tcMar>
            <w:vAlign w:val="center"/>
          </w:tcPr>
          <w:p w:rsidR="00242CCC" w:rsidRPr="00C74BDD" w:rsidRDefault="00242CCC" w:rsidP="009D2783">
            <w:pPr>
              <w:spacing w:before="0" w:line="276" w:lineRule="auto"/>
              <w:ind w:firstLine="0"/>
              <w:jc w:val="right"/>
              <w:rPr>
                <w:rFonts w:cs="Arial"/>
                <w:sz w:val="20"/>
                <w:szCs w:val="20"/>
                <w:lang w:val="hy-AM"/>
              </w:rPr>
            </w:pPr>
          </w:p>
        </w:tc>
        <w:tc>
          <w:tcPr>
            <w:tcW w:w="703" w:type="pct"/>
            <w:tcBorders>
              <w:top w:val="single" w:sz="8" w:space="0" w:color="auto"/>
              <w:left w:val="single" w:sz="8" w:space="0" w:color="auto"/>
              <w:bottom w:val="single" w:sz="8" w:space="0" w:color="auto"/>
              <w:right w:val="double" w:sz="4" w:space="0" w:color="auto"/>
            </w:tcBorders>
            <w:shd w:val="solid" w:color="FFFFFF" w:fill="auto"/>
            <w:vAlign w:val="center"/>
          </w:tcPr>
          <w:p w:rsidR="00242CCC" w:rsidRPr="00C74BDD" w:rsidRDefault="00242CCC" w:rsidP="009D2783">
            <w:pPr>
              <w:spacing w:before="0" w:line="276" w:lineRule="auto"/>
              <w:ind w:firstLine="0"/>
              <w:jc w:val="right"/>
              <w:rPr>
                <w:rFonts w:cs="Arial"/>
                <w:sz w:val="20"/>
                <w:szCs w:val="20"/>
                <w:lang w:val="hy-AM"/>
              </w:rPr>
            </w:pPr>
          </w:p>
        </w:tc>
        <w:tc>
          <w:tcPr>
            <w:tcW w:w="633" w:type="pct"/>
            <w:tcBorders>
              <w:top w:val="single" w:sz="8" w:space="0" w:color="auto"/>
              <w:left w:val="single" w:sz="8" w:space="0" w:color="auto"/>
              <w:bottom w:val="single" w:sz="8" w:space="0" w:color="auto"/>
              <w:right w:val="double" w:sz="4" w:space="0" w:color="auto"/>
            </w:tcBorders>
            <w:shd w:val="solid" w:color="FFFFFF" w:fill="auto"/>
            <w:vAlign w:val="center"/>
          </w:tcPr>
          <w:p w:rsidR="00242CCC" w:rsidRPr="00C74BDD" w:rsidRDefault="00242CCC" w:rsidP="009D2783">
            <w:pPr>
              <w:spacing w:before="0" w:line="276" w:lineRule="auto"/>
              <w:ind w:firstLine="0"/>
              <w:jc w:val="right"/>
              <w:rPr>
                <w:rFonts w:cs="Arial"/>
                <w:b w:val="0"/>
                <w:bCs/>
                <w:sz w:val="20"/>
                <w:szCs w:val="20"/>
                <w:lang w:val="hy-AM"/>
              </w:rPr>
            </w:pPr>
          </w:p>
        </w:tc>
      </w:tr>
      <w:tr w:rsidR="00242CCC" w:rsidRPr="00C74BDD" w:rsidTr="00650C81">
        <w:trPr>
          <w:trHeight w:val="20"/>
        </w:trPr>
        <w:tc>
          <w:tcPr>
            <w:tcW w:w="1693" w:type="pct"/>
            <w:tcBorders>
              <w:top w:val="single" w:sz="8" w:space="0" w:color="auto"/>
              <w:left w:val="double" w:sz="4"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rsidR="00242CCC" w:rsidRPr="00C74BDD" w:rsidRDefault="00242CCC" w:rsidP="00650C81">
            <w:pPr>
              <w:spacing w:before="0" w:line="276" w:lineRule="auto"/>
              <w:ind w:firstLine="0"/>
              <w:jc w:val="left"/>
              <w:rPr>
                <w:rFonts w:cs="Arial"/>
                <w:sz w:val="20"/>
                <w:szCs w:val="20"/>
                <w:lang w:val="hy-AM"/>
              </w:rPr>
            </w:pPr>
            <w:r w:rsidRPr="00C74BDD">
              <w:rPr>
                <w:rFonts w:cs="Arial"/>
                <w:sz w:val="20"/>
                <w:szCs w:val="20"/>
                <w:lang w:val="hy-AM"/>
              </w:rPr>
              <w:t>1.ՏՆՏԵՍԱԿԱՆ ՀԱՐԱԲԵՐՈՒԹՅՈՒՆՆԵՐ</w:t>
            </w:r>
          </w:p>
        </w:tc>
        <w:tc>
          <w:tcPr>
            <w:tcW w:w="706"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rsidR="00242CCC" w:rsidRPr="00C74BDD" w:rsidRDefault="00242CCC" w:rsidP="009D2783">
            <w:pPr>
              <w:spacing w:before="0" w:line="276" w:lineRule="auto"/>
              <w:ind w:firstLine="0"/>
              <w:jc w:val="right"/>
              <w:rPr>
                <w:rFonts w:cs="Arial"/>
                <w:sz w:val="20"/>
                <w:szCs w:val="20"/>
                <w:lang w:val="hy-AM"/>
              </w:rPr>
            </w:pPr>
            <w:r w:rsidRPr="00C74BDD">
              <w:rPr>
                <w:rFonts w:cs="Arial"/>
                <w:sz w:val="20"/>
                <w:szCs w:val="20"/>
                <w:lang w:val="hy-AM"/>
              </w:rPr>
              <w:t>111,916.2</w:t>
            </w:r>
          </w:p>
        </w:tc>
        <w:tc>
          <w:tcPr>
            <w:tcW w:w="634"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30" w:type="dxa"/>
              <w:bottom w:w="0" w:type="dxa"/>
              <w:right w:w="30" w:type="dxa"/>
            </w:tcMar>
            <w:vAlign w:val="center"/>
            <w:hideMark/>
          </w:tcPr>
          <w:p w:rsidR="00242CCC" w:rsidRPr="00C74BDD" w:rsidRDefault="00242CCC" w:rsidP="009D2783">
            <w:pPr>
              <w:spacing w:before="0" w:line="276" w:lineRule="auto"/>
              <w:ind w:firstLine="0"/>
              <w:jc w:val="right"/>
              <w:rPr>
                <w:rFonts w:cs="Arial"/>
                <w:sz w:val="20"/>
                <w:szCs w:val="20"/>
                <w:lang w:val="hy-AM"/>
              </w:rPr>
            </w:pPr>
            <w:r w:rsidRPr="00C74BDD">
              <w:rPr>
                <w:rFonts w:cs="Arial"/>
                <w:sz w:val="20"/>
                <w:szCs w:val="20"/>
                <w:lang w:val="hy-AM"/>
              </w:rPr>
              <w:t>125,559.4</w:t>
            </w:r>
          </w:p>
        </w:tc>
        <w:tc>
          <w:tcPr>
            <w:tcW w:w="632" w:type="pct"/>
            <w:tcBorders>
              <w:top w:val="single" w:sz="8" w:space="0" w:color="auto"/>
              <w:left w:val="single" w:sz="8" w:space="0" w:color="auto"/>
              <w:bottom w:val="single" w:sz="8" w:space="0" w:color="auto"/>
              <w:right w:val="double" w:sz="4" w:space="0" w:color="auto"/>
            </w:tcBorders>
            <w:shd w:val="clear" w:color="auto" w:fill="C6D9F1" w:themeFill="text2" w:themeFillTint="33"/>
            <w:tcMar>
              <w:top w:w="0" w:type="dxa"/>
              <w:left w:w="30" w:type="dxa"/>
              <w:bottom w:w="0" w:type="dxa"/>
              <w:right w:w="30" w:type="dxa"/>
            </w:tcMar>
            <w:vAlign w:val="center"/>
            <w:hideMark/>
          </w:tcPr>
          <w:p w:rsidR="00242CCC" w:rsidRPr="00C74BDD" w:rsidRDefault="00242CCC" w:rsidP="009D2783">
            <w:pPr>
              <w:spacing w:before="0" w:line="276" w:lineRule="auto"/>
              <w:ind w:firstLine="0"/>
              <w:jc w:val="right"/>
              <w:rPr>
                <w:rFonts w:cs="Arial"/>
                <w:sz w:val="20"/>
                <w:szCs w:val="20"/>
                <w:lang w:val="hy-AM"/>
              </w:rPr>
            </w:pPr>
            <w:r w:rsidRPr="00C74BDD">
              <w:rPr>
                <w:rFonts w:cs="Arial"/>
                <w:sz w:val="20"/>
                <w:szCs w:val="20"/>
                <w:lang w:val="hy-AM"/>
              </w:rPr>
              <w:t>151,763.9</w:t>
            </w:r>
          </w:p>
        </w:tc>
        <w:tc>
          <w:tcPr>
            <w:tcW w:w="703" w:type="pct"/>
            <w:tcBorders>
              <w:top w:val="single" w:sz="8" w:space="0" w:color="auto"/>
              <w:left w:val="single" w:sz="8" w:space="0" w:color="auto"/>
              <w:bottom w:val="single" w:sz="8" w:space="0" w:color="auto"/>
              <w:right w:val="double" w:sz="4" w:space="0" w:color="auto"/>
            </w:tcBorders>
            <w:shd w:val="clear" w:color="auto" w:fill="C6D9F1" w:themeFill="text2" w:themeFillTint="33"/>
            <w:vAlign w:val="center"/>
          </w:tcPr>
          <w:p w:rsidR="00242CCC" w:rsidRPr="00C74BDD" w:rsidRDefault="00242CCC" w:rsidP="009D2783">
            <w:pPr>
              <w:spacing w:before="0" w:line="276" w:lineRule="auto"/>
              <w:ind w:firstLine="0"/>
              <w:jc w:val="right"/>
              <w:rPr>
                <w:rFonts w:cs="Arial"/>
                <w:sz w:val="20"/>
                <w:szCs w:val="20"/>
                <w:lang w:val="hy-AM"/>
              </w:rPr>
            </w:pPr>
            <w:r w:rsidRPr="00C74BDD">
              <w:rPr>
                <w:rFonts w:cs="Arial"/>
                <w:sz w:val="20"/>
                <w:szCs w:val="20"/>
                <w:lang w:val="hy-AM"/>
              </w:rPr>
              <w:t>211,599.0</w:t>
            </w:r>
          </w:p>
        </w:tc>
        <w:tc>
          <w:tcPr>
            <w:tcW w:w="633" w:type="pct"/>
            <w:tcBorders>
              <w:top w:val="single" w:sz="8" w:space="0" w:color="auto"/>
              <w:left w:val="single" w:sz="8" w:space="0" w:color="auto"/>
              <w:bottom w:val="single" w:sz="8" w:space="0" w:color="auto"/>
              <w:right w:val="double" w:sz="4" w:space="0" w:color="auto"/>
            </w:tcBorders>
            <w:shd w:val="clear" w:color="auto" w:fill="C6D9F1" w:themeFill="text2" w:themeFillTint="33"/>
            <w:vAlign w:val="center"/>
          </w:tcPr>
          <w:p w:rsidR="00242CCC" w:rsidRPr="00DE17C4" w:rsidRDefault="00242CCC" w:rsidP="009D2783">
            <w:pPr>
              <w:spacing w:before="0" w:line="276" w:lineRule="auto"/>
              <w:ind w:firstLine="0"/>
              <w:jc w:val="right"/>
              <w:rPr>
                <w:rFonts w:cs="Arial"/>
                <w:sz w:val="20"/>
                <w:szCs w:val="20"/>
              </w:rPr>
            </w:pPr>
            <w:r w:rsidRPr="00C74BDD">
              <w:rPr>
                <w:rFonts w:cs="Arial"/>
                <w:sz w:val="20"/>
                <w:szCs w:val="20"/>
                <w:lang w:val="hy-AM"/>
              </w:rPr>
              <w:t>2</w:t>
            </w:r>
            <w:r>
              <w:rPr>
                <w:rFonts w:cs="Arial"/>
                <w:sz w:val="20"/>
                <w:szCs w:val="20"/>
                <w:lang w:val="en-US"/>
              </w:rPr>
              <w:t>39</w:t>
            </w:r>
            <w:r w:rsidRPr="00C74BDD">
              <w:rPr>
                <w:rFonts w:cs="Arial"/>
                <w:sz w:val="20"/>
                <w:szCs w:val="20"/>
                <w:lang w:val="hy-AM"/>
              </w:rPr>
              <w:t>,</w:t>
            </w:r>
            <w:r>
              <w:rPr>
                <w:rFonts w:cs="Arial"/>
                <w:sz w:val="20"/>
                <w:szCs w:val="20"/>
              </w:rPr>
              <w:t>252</w:t>
            </w:r>
            <w:r w:rsidRPr="00C74BDD">
              <w:rPr>
                <w:rFonts w:cs="Arial"/>
                <w:sz w:val="20"/>
                <w:szCs w:val="20"/>
                <w:lang w:val="hy-AM"/>
              </w:rPr>
              <w:t>.</w:t>
            </w:r>
            <w:r>
              <w:rPr>
                <w:rFonts w:cs="Arial"/>
                <w:sz w:val="20"/>
                <w:szCs w:val="20"/>
              </w:rPr>
              <w:t>5</w:t>
            </w:r>
          </w:p>
        </w:tc>
      </w:tr>
      <w:tr w:rsidR="00242CCC" w:rsidRPr="00C74BDD" w:rsidTr="00650C81">
        <w:trPr>
          <w:trHeight w:val="20"/>
        </w:trPr>
        <w:tc>
          <w:tcPr>
            <w:tcW w:w="1693" w:type="pct"/>
            <w:tcBorders>
              <w:top w:val="single" w:sz="8" w:space="0" w:color="auto"/>
              <w:left w:val="double" w:sz="4" w:space="0" w:color="auto"/>
              <w:bottom w:val="single" w:sz="8" w:space="0" w:color="auto"/>
              <w:right w:val="single" w:sz="8" w:space="0" w:color="auto"/>
            </w:tcBorders>
            <w:shd w:val="clear" w:color="auto" w:fill="FFFFFF"/>
            <w:tcMar>
              <w:top w:w="0" w:type="dxa"/>
              <w:left w:w="57" w:type="dxa"/>
              <w:bottom w:w="0" w:type="dxa"/>
              <w:right w:w="85" w:type="dxa"/>
            </w:tcMar>
            <w:vAlign w:val="center"/>
            <w:hideMark/>
          </w:tcPr>
          <w:p w:rsidR="00242CCC" w:rsidRPr="00C74BDD" w:rsidRDefault="00242CCC" w:rsidP="00650C81">
            <w:pPr>
              <w:spacing w:before="0" w:line="276" w:lineRule="auto"/>
              <w:ind w:firstLine="0"/>
              <w:jc w:val="left"/>
              <w:rPr>
                <w:rFonts w:cs="Arial"/>
                <w:b w:val="0"/>
                <w:bCs/>
                <w:sz w:val="20"/>
                <w:szCs w:val="20"/>
                <w:lang w:val="hy-AM"/>
              </w:rPr>
            </w:pPr>
            <w:r w:rsidRPr="00C74BDD">
              <w:rPr>
                <w:rFonts w:cs="Arial"/>
                <w:b w:val="0"/>
                <w:bCs/>
                <w:sz w:val="20"/>
                <w:szCs w:val="20"/>
                <w:lang w:val="hy-AM"/>
              </w:rPr>
              <w:t>- Հարաբերությունը ՀՆԱ-ի նկատմամբ (%)</w:t>
            </w:r>
          </w:p>
        </w:tc>
        <w:tc>
          <w:tcPr>
            <w:tcW w:w="706" w:type="pct"/>
            <w:tcBorders>
              <w:top w:val="single" w:sz="8" w:space="0" w:color="auto"/>
              <w:left w:val="single" w:sz="8" w:space="0" w:color="auto"/>
              <w:bottom w:val="single" w:sz="8" w:space="0" w:color="auto"/>
              <w:right w:val="single" w:sz="8" w:space="0" w:color="auto"/>
            </w:tcBorders>
            <w:shd w:val="clear" w:color="auto" w:fill="FFFFFF"/>
            <w:tcMar>
              <w:top w:w="0" w:type="dxa"/>
              <w:left w:w="57" w:type="dxa"/>
              <w:bottom w:w="0" w:type="dxa"/>
              <w:right w:w="85" w:type="dxa"/>
            </w:tcMar>
            <w:vAlign w:val="center"/>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1.70%</w:t>
            </w:r>
          </w:p>
        </w:tc>
        <w:tc>
          <w:tcPr>
            <w:tcW w:w="634"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2,03%</w:t>
            </w:r>
          </w:p>
        </w:tc>
        <w:tc>
          <w:tcPr>
            <w:tcW w:w="632" w:type="pct"/>
            <w:tcBorders>
              <w:top w:val="single" w:sz="8" w:space="0" w:color="auto"/>
              <w:left w:val="single" w:sz="8" w:space="0" w:color="auto"/>
              <w:bottom w:val="single" w:sz="8" w:space="0" w:color="auto"/>
              <w:right w:val="double" w:sz="4" w:space="0" w:color="auto"/>
            </w:tcBorders>
            <w:shd w:val="clear" w:color="auto" w:fill="FFFFFF"/>
            <w:vAlign w:val="center"/>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2.17%</w:t>
            </w:r>
          </w:p>
        </w:tc>
        <w:tc>
          <w:tcPr>
            <w:tcW w:w="703" w:type="pct"/>
            <w:tcBorders>
              <w:top w:val="single" w:sz="8" w:space="0" w:color="auto"/>
              <w:left w:val="single" w:sz="8" w:space="0" w:color="auto"/>
              <w:bottom w:val="single" w:sz="8" w:space="0" w:color="auto"/>
              <w:right w:val="double" w:sz="4" w:space="0" w:color="auto"/>
            </w:tcBorders>
            <w:shd w:val="clear" w:color="auto" w:fill="FFFFFF"/>
            <w:vAlign w:val="center"/>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2.69%</w:t>
            </w:r>
          </w:p>
        </w:tc>
        <w:tc>
          <w:tcPr>
            <w:tcW w:w="633" w:type="pct"/>
            <w:tcBorders>
              <w:top w:val="single" w:sz="8" w:space="0" w:color="auto"/>
              <w:left w:val="single" w:sz="8" w:space="0" w:color="auto"/>
              <w:bottom w:val="single" w:sz="8" w:space="0" w:color="auto"/>
              <w:right w:val="double" w:sz="4" w:space="0" w:color="auto"/>
            </w:tcBorders>
            <w:shd w:val="clear" w:color="auto" w:fill="FFFFFF"/>
            <w:vAlign w:val="center"/>
          </w:tcPr>
          <w:p w:rsidR="00242CCC" w:rsidRPr="00C74BDD" w:rsidRDefault="00242CCC" w:rsidP="009D2783">
            <w:pPr>
              <w:spacing w:before="0" w:line="276" w:lineRule="auto"/>
              <w:ind w:firstLine="0"/>
              <w:jc w:val="right"/>
              <w:rPr>
                <w:rFonts w:cs="Arial"/>
                <w:b w:val="0"/>
                <w:bCs/>
                <w:sz w:val="20"/>
                <w:szCs w:val="20"/>
                <w:lang w:val="en-US"/>
              </w:rPr>
            </w:pPr>
            <w:r w:rsidRPr="00C74BDD">
              <w:rPr>
                <w:rFonts w:cs="Arial"/>
                <w:b w:val="0"/>
                <w:bCs/>
                <w:sz w:val="20"/>
                <w:szCs w:val="20"/>
                <w:lang w:val="en-US"/>
              </w:rPr>
              <w:t>2.6%</w:t>
            </w:r>
          </w:p>
        </w:tc>
      </w:tr>
      <w:tr w:rsidR="00242CCC" w:rsidRPr="00C74BDD" w:rsidTr="00650C81">
        <w:trPr>
          <w:trHeight w:val="20"/>
        </w:trPr>
        <w:tc>
          <w:tcPr>
            <w:tcW w:w="1693" w:type="pct"/>
            <w:tcBorders>
              <w:top w:val="single" w:sz="8" w:space="0" w:color="auto"/>
              <w:left w:val="double" w:sz="4" w:space="0" w:color="auto"/>
              <w:bottom w:val="single" w:sz="8" w:space="0" w:color="auto"/>
              <w:right w:val="single" w:sz="8" w:space="0" w:color="auto"/>
            </w:tcBorders>
            <w:shd w:val="clear" w:color="auto" w:fill="FFFFFF"/>
            <w:tcMar>
              <w:top w:w="0" w:type="dxa"/>
              <w:left w:w="57" w:type="dxa"/>
              <w:bottom w:w="0" w:type="dxa"/>
              <w:right w:w="85" w:type="dxa"/>
            </w:tcMar>
            <w:vAlign w:val="center"/>
            <w:hideMark/>
          </w:tcPr>
          <w:p w:rsidR="00242CCC" w:rsidRPr="00C74BDD" w:rsidRDefault="00242CCC" w:rsidP="00650C81">
            <w:pPr>
              <w:spacing w:before="0" w:line="276" w:lineRule="auto"/>
              <w:ind w:firstLine="0"/>
              <w:jc w:val="left"/>
              <w:rPr>
                <w:rFonts w:cs="Arial"/>
                <w:b w:val="0"/>
                <w:bCs/>
                <w:sz w:val="20"/>
                <w:szCs w:val="20"/>
                <w:lang w:val="hy-AM"/>
              </w:rPr>
            </w:pPr>
            <w:r w:rsidRPr="00C74BDD">
              <w:rPr>
                <w:rFonts w:cs="Arial"/>
                <w:b w:val="0"/>
                <w:bCs/>
                <w:sz w:val="20"/>
                <w:szCs w:val="20"/>
                <w:lang w:val="hy-AM"/>
              </w:rPr>
              <w:t>- տեսակարար կշիռը ծախսերի ամբողջ ծավալում (%)</w:t>
            </w:r>
          </w:p>
        </w:tc>
        <w:tc>
          <w:tcPr>
            <w:tcW w:w="706" w:type="pct"/>
            <w:tcBorders>
              <w:top w:val="single" w:sz="8" w:space="0" w:color="auto"/>
              <w:left w:val="single" w:sz="8" w:space="0" w:color="auto"/>
              <w:bottom w:val="single" w:sz="8" w:space="0" w:color="auto"/>
              <w:right w:val="single" w:sz="8" w:space="0" w:color="auto"/>
            </w:tcBorders>
            <w:shd w:val="clear" w:color="auto" w:fill="FFFFFF"/>
            <w:tcMar>
              <w:top w:w="0" w:type="dxa"/>
              <w:left w:w="57" w:type="dxa"/>
              <w:bottom w:w="0" w:type="dxa"/>
              <w:right w:w="85" w:type="dxa"/>
            </w:tcMar>
            <w:vAlign w:val="center"/>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6.9%</w:t>
            </w:r>
          </w:p>
        </w:tc>
        <w:tc>
          <w:tcPr>
            <w:tcW w:w="634"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6.6%</w:t>
            </w:r>
          </w:p>
        </w:tc>
        <w:tc>
          <w:tcPr>
            <w:tcW w:w="632" w:type="pct"/>
            <w:tcBorders>
              <w:top w:val="single" w:sz="8" w:space="0" w:color="auto"/>
              <w:left w:val="single" w:sz="8" w:space="0" w:color="auto"/>
              <w:bottom w:val="single" w:sz="8" w:space="0" w:color="auto"/>
              <w:right w:val="double" w:sz="4" w:space="0" w:color="auto"/>
            </w:tcBorders>
            <w:shd w:val="clear" w:color="auto" w:fill="FFFFFF"/>
            <w:vAlign w:val="center"/>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7.6%</w:t>
            </w:r>
          </w:p>
        </w:tc>
        <w:tc>
          <w:tcPr>
            <w:tcW w:w="703" w:type="pct"/>
            <w:tcBorders>
              <w:top w:val="single" w:sz="8" w:space="0" w:color="auto"/>
              <w:left w:val="single" w:sz="8" w:space="0" w:color="auto"/>
              <w:bottom w:val="single" w:sz="8" w:space="0" w:color="auto"/>
              <w:right w:val="double" w:sz="4" w:space="0" w:color="auto"/>
            </w:tcBorders>
            <w:shd w:val="clear" w:color="auto" w:fill="FFFFFF"/>
            <w:vAlign w:val="center"/>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9.7%</w:t>
            </w:r>
          </w:p>
        </w:tc>
        <w:tc>
          <w:tcPr>
            <w:tcW w:w="633" w:type="pct"/>
            <w:tcBorders>
              <w:top w:val="single" w:sz="8" w:space="0" w:color="auto"/>
              <w:left w:val="single" w:sz="8" w:space="0" w:color="auto"/>
              <w:bottom w:val="single" w:sz="8" w:space="0" w:color="auto"/>
              <w:right w:val="double" w:sz="4" w:space="0" w:color="auto"/>
            </w:tcBorders>
            <w:shd w:val="clear" w:color="auto" w:fill="FFFFFF"/>
            <w:vAlign w:val="center"/>
          </w:tcPr>
          <w:p w:rsidR="00242CCC" w:rsidRPr="00C74BDD" w:rsidRDefault="00242CCC" w:rsidP="009D2783">
            <w:pPr>
              <w:spacing w:before="0" w:line="276" w:lineRule="auto"/>
              <w:ind w:firstLine="0"/>
              <w:jc w:val="right"/>
              <w:rPr>
                <w:rFonts w:cs="Arial"/>
                <w:b w:val="0"/>
                <w:bCs/>
                <w:sz w:val="20"/>
                <w:szCs w:val="20"/>
                <w:lang w:val="en-US"/>
              </w:rPr>
            </w:pPr>
            <w:r w:rsidRPr="00C74BDD">
              <w:rPr>
                <w:rFonts w:cs="Arial"/>
                <w:b w:val="0"/>
                <w:bCs/>
                <w:sz w:val="20"/>
                <w:szCs w:val="20"/>
                <w:lang w:val="en-US"/>
              </w:rPr>
              <w:t>9.</w:t>
            </w:r>
            <w:r>
              <w:rPr>
                <w:rFonts w:cs="Arial"/>
                <w:b w:val="0"/>
                <w:bCs/>
                <w:sz w:val="20"/>
                <w:szCs w:val="20"/>
                <w:lang w:val="en-US"/>
              </w:rPr>
              <w:t>2</w:t>
            </w:r>
            <w:r w:rsidRPr="00C74BDD">
              <w:rPr>
                <w:rFonts w:cs="Arial"/>
                <w:b w:val="0"/>
                <w:bCs/>
                <w:sz w:val="20"/>
                <w:szCs w:val="20"/>
                <w:lang w:val="en-US"/>
              </w:rPr>
              <w:t>%</w:t>
            </w:r>
          </w:p>
        </w:tc>
      </w:tr>
      <w:tr w:rsidR="00242CCC" w:rsidRPr="00C74BDD" w:rsidTr="00650C81">
        <w:trPr>
          <w:trHeight w:val="20"/>
        </w:trPr>
        <w:tc>
          <w:tcPr>
            <w:tcW w:w="1693" w:type="pct"/>
            <w:tcBorders>
              <w:top w:val="single" w:sz="8" w:space="0" w:color="auto"/>
              <w:left w:val="double" w:sz="4"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rsidR="00242CCC" w:rsidRPr="00C74BDD" w:rsidRDefault="00242CCC" w:rsidP="00650C81">
            <w:pPr>
              <w:spacing w:before="0" w:line="276" w:lineRule="auto"/>
              <w:ind w:firstLine="0"/>
              <w:jc w:val="left"/>
              <w:rPr>
                <w:rFonts w:cs="Arial"/>
                <w:sz w:val="20"/>
                <w:szCs w:val="20"/>
                <w:lang w:val="hy-AM"/>
              </w:rPr>
            </w:pPr>
            <w:r w:rsidRPr="00C74BDD">
              <w:rPr>
                <w:rFonts w:cs="Arial"/>
                <w:sz w:val="20"/>
                <w:szCs w:val="20"/>
                <w:lang w:val="hy-AM"/>
              </w:rPr>
              <w:t>2.ՇՐՋԱԿԱ  ՄԻՋԱՎԱՅՐԻ ՊԱՇՏՊԱՆՈՒԹՅՈՒՆ</w:t>
            </w:r>
          </w:p>
        </w:tc>
        <w:tc>
          <w:tcPr>
            <w:tcW w:w="706"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rsidR="00242CCC" w:rsidRPr="00C74BDD" w:rsidRDefault="00242CCC" w:rsidP="009D2783">
            <w:pPr>
              <w:spacing w:before="0" w:line="276" w:lineRule="auto"/>
              <w:ind w:firstLine="0"/>
              <w:jc w:val="right"/>
              <w:rPr>
                <w:rFonts w:cs="Arial"/>
                <w:sz w:val="20"/>
                <w:szCs w:val="20"/>
                <w:lang w:val="hy-AM"/>
              </w:rPr>
            </w:pPr>
            <w:r w:rsidRPr="00C74BDD">
              <w:rPr>
                <w:rFonts w:cs="Arial"/>
                <w:sz w:val="20"/>
                <w:szCs w:val="20"/>
                <w:lang w:val="hy-AM"/>
              </w:rPr>
              <w:t>5,816.9</w:t>
            </w:r>
          </w:p>
        </w:tc>
        <w:tc>
          <w:tcPr>
            <w:tcW w:w="634"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30" w:type="dxa"/>
              <w:bottom w:w="0" w:type="dxa"/>
              <w:right w:w="30" w:type="dxa"/>
            </w:tcMar>
            <w:vAlign w:val="center"/>
            <w:hideMark/>
          </w:tcPr>
          <w:p w:rsidR="00242CCC" w:rsidRPr="00C74BDD" w:rsidRDefault="00242CCC" w:rsidP="009D2783">
            <w:pPr>
              <w:spacing w:before="0" w:line="276" w:lineRule="auto"/>
              <w:ind w:firstLine="0"/>
              <w:jc w:val="right"/>
              <w:rPr>
                <w:rFonts w:cs="Arial"/>
                <w:sz w:val="20"/>
                <w:szCs w:val="20"/>
                <w:lang w:val="hy-AM"/>
              </w:rPr>
            </w:pPr>
            <w:r w:rsidRPr="00C74BDD">
              <w:rPr>
                <w:rFonts w:cs="Arial"/>
                <w:sz w:val="20"/>
                <w:szCs w:val="20"/>
                <w:lang w:val="hy-AM"/>
              </w:rPr>
              <w:t>4,424.2</w:t>
            </w:r>
          </w:p>
        </w:tc>
        <w:tc>
          <w:tcPr>
            <w:tcW w:w="632" w:type="pct"/>
            <w:tcBorders>
              <w:top w:val="single" w:sz="8" w:space="0" w:color="auto"/>
              <w:left w:val="single" w:sz="8" w:space="0" w:color="auto"/>
              <w:bottom w:val="single" w:sz="8" w:space="0" w:color="auto"/>
              <w:right w:val="double" w:sz="4" w:space="0" w:color="auto"/>
            </w:tcBorders>
            <w:shd w:val="clear" w:color="auto" w:fill="C6D9F1" w:themeFill="text2" w:themeFillTint="33"/>
            <w:tcMar>
              <w:top w:w="0" w:type="dxa"/>
              <w:left w:w="30" w:type="dxa"/>
              <w:bottom w:w="0" w:type="dxa"/>
              <w:right w:w="30" w:type="dxa"/>
            </w:tcMar>
            <w:vAlign w:val="center"/>
            <w:hideMark/>
          </w:tcPr>
          <w:p w:rsidR="00242CCC" w:rsidRPr="00C74BDD" w:rsidRDefault="00242CCC" w:rsidP="009D2783">
            <w:pPr>
              <w:spacing w:before="0" w:line="276" w:lineRule="auto"/>
              <w:ind w:firstLine="0"/>
              <w:jc w:val="right"/>
              <w:rPr>
                <w:rFonts w:cs="Arial"/>
                <w:sz w:val="20"/>
                <w:szCs w:val="20"/>
                <w:lang w:val="hy-AM"/>
              </w:rPr>
            </w:pPr>
            <w:r w:rsidRPr="00C74BDD">
              <w:rPr>
                <w:rFonts w:cs="Arial"/>
                <w:sz w:val="20"/>
                <w:szCs w:val="20"/>
                <w:lang w:val="hy-AM"/>
              </w:rPr>
              <w:t>6,024.3</w:t>
            </w:r>
          </w:p>
        </w:tc>
        <w:tc>
          <w:tcPr>
            <w:tcW w:w="703" w:type="pct"/>
            <w:tcBorders>
              <w:top w:val="single" w:sz="8" w:space="0" w:color="auto"/>
              <w:left w:val="single" w:sz="8" w:space="0" w:color="auto"/>
              <w:bottom w:val="single" w:sz="8" w:space="0" w:color="auto"/>
              <w:right w:val="double" w:sz="4" w:space="0" w:color="auto"/>
            </w:tcBorders>
            <w:shd w:val="clear" w:color="auto" w:fill="C6D9F1" w:themeFill="text2" w:themeFillTint="33"/>
            <w:vAlign w:val="center"/>
          </w:tcPr>
          <w:p w:rsidR="00242CCC" w:rsidRPr="00C74BDD" w:rsidRDefault="00242CCC" w:rsidP="009D2783">
            <w:pPr>
              <w:spacing w:before="0" w:line="276" w:lineRule="auto"/>
              <w:ind w:firstLine="0"/>
              <w:jc w:val="right"/>
              <w:rPr>
                <w:rFonts w:cs="Arial"/>
                <w:sz w:val="20"/>
                <w:szCs w:val="20"/>
                <w:lang w:val="hy-AM"/>
              </w:rPr>
            </w:pPr>
            <w:r w:rsidRPr="00C74BDD">
              <w:rPr>
                <w:rFonts w:cs="Arial"/>
                <w:sz w:val="20"/>
                <w:szCs w:val="20"/>
                <w:lang w:val="hy-AM"/>
              </w:rPr>
              <w:t>9,766.5</w:t>
            </w:r>
          </w:p>
        </w:tc>
        <w:tc>
          <w:tcPr>
            <w:tcW w:w="633" w:type="pct"/>
            <w:tcBorders>
              <w:top w:val="single" w:sz="8" w:space="0" w:color="auto"/>
              <w:left w:val="single" w:sz="8" w:space="0" w:color="auto"/>
              <w:bottom w:val="single" w:sz="8" w:space="0" w:color="auto"/>
              <w:right w:val="double" w:sz="4" w:space="0" w:color="auto"/>
            </w:tcBorders>
            <w:shd w:val="clear" w:color="auto" w:fill="C6D9F1" w:themeFill="text2" w:themeFillTint="33"/>
            <w:vAlign w:val="center"/>
          </w:tcPr>
          <w:p w:rsidR="00242CCC" w:rsidRPr="00C74BDD" w:rsidRDefault="00242CCC" w:rsidP="009D2783">
            <w:pPr>
              <w:spacing w:before="0" w:line="276" w:lineRule="auto"/>
              <w:ind w:firstLine="0"/>
              <w:jc w:val="right"/>
              <w:rPr>
                <w:rFonts w:cs="Arial"/>
                <w:sz w:val="20"/>
                <w:szCs w:val="20"/>
                <w:lang w:val="hy-AM"/>
              </w:rPr>
            </w:pPr>
            <w:r>
              <w:rPr>
                <w:rFonts w:eastAsiaTheme="minorHAnsi" w:cs="Cambria Math"/>
                <w:bCs/>
                <w:sz w:val="20"/>
                <w:szCs w:val="20"/>
                <w:lang w:val="en-US" w:eastAsia="en-US"/>
              </w:rPr>
              <w:t>9,392</w:t>
            </w:r>
            <w:r w:rsidRPr="00C74BDD">
              <w:rPr>
                <w:rFonts w:eastAsiaTheme="minorHAnsi" w:cs="Cambria Math"/>
                <w:bCs/>
                <w:sz w:val="20"/>
                <w:szCs w:val="20"/>
                <w:lang w:val="en-US" w:eastAsia="en-US"/>
              </w:rPr>
              <w:t>.</w:t>
            </w:r>
            <w:r>
              <w:rPr>
                <w:rFonts w:eastAsiaTheme="minorHAnsi" w:cs="Cambria Math"/>
                <w:bCs/>
                <w:sz w:val="20"/>
                <w:szCs w:val="20"/>
                <w:lang w:val="en-US" w:eastAsia="en-US"/>
              </w:rPr>
              <w:t>2</w:t>
            </w:r>
          </w:p>
        </w:tc>
      </w:tr>
      <w:tr w:rsidR="00242CCC" w:rsidRPr="00C74BDD" w:rsidTr="00650C81">
        <w:trPr>
          <w:trHeight w:val="20"/>
        </w:trPr>
        <w:tc>
          <w:tcPr>
            <w:tcW w:w="1693" w:type="pct"/>
            <w:tcBorders>
              <w:top w:val="single" w:sz="8" w:space="0" w:color="auto"/>
              <w:left w:val="double" w:sz="4"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rsidR="00242CCC" w:rsidRPr="00C74BDD" w:rsidRDefault="00242CCC" w:rsidP="00650C81">
            <w:pPr>
              <w:spacing w:before="0" w:line="276" w:lineRule="auto"/>
              <w:ind w:firstLine="0"/>
              <w:jc w:val="left"/>
              <w:rPr>
                <w:rFonts w:cs="Arial"/>
                <w:b w:val="0"/>
                <w:bCs/>
                <w:sz w:val="20"/>
                <w:szCs w:val="20"/>
                <w:lang w:val="hy-AM"/>
              </w:rPr>
            </w:pPr>
            <w:r w:rsidRPr="00C74BDD">
              <w:rPr>
                <w:rFonts w:cs="Arial"/>
                <w:b w:val="0"/>
                <w:bCs/>
                <w:sz w:val="20"/>
                <w:szCs w:val="20"/>
                <w:lang w:val="hy-AM"/>
              </w:rPr>
              <w:t>- Հարաբերությունը ՀՆԱ-ի նկատմամբ (%)</w:t>
            </w:r>
          </w:p>
        </w:tc>
        <w:tc>
          <w:tcPr>
            <w:tcW w:w="706"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0.09%</w:t>
            </w:r>
          </w:p>
        </w:tc>
        <w:tc>
          <w:tcPr>
            <w:tcW w:w="634" w:type="pct"/>
            <w:tcBorders>
              <w:top w:val="single" w:sz="8" w:space="0" w:color="auto"/>
              <w:left w:val="single" w:sz="8" w:space="0" w:color="auto"/>
              <w:bottom w:val="single" w:sz="8" w:space="0" w:color="auto"/>
              <w:right w:val="single" w:sz="8" w:space="0" w:color="auto"/>
            </w:tcBorders>
            <w:shd w:val="solid" w:color="FFFFFF" w:fill="auto"/>
            <w:tcMar>
              <w:top w:w="0" w:type="dxa"/>
              <w:left w:w="30" w:type="dxa"/>
              <w:bottom w:w="0" w:type="dxa"/>
              <w:right w:w="30" w:type="dxa"/>
            </w:tcMar>
            <w:vAlign w:val="center"/>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0.07%</w:t>
            </w:r>
          </w:p>
        </w:tc>
        <w:tc>
          <w:tcPr>
            <w:tcW w:w="632" w:type="pct"/>
            <w:tcBorders>
              <w:top w:val="single" w:sz="8" w:space="0" w:color="auto"/>
              <w:left w:val="single" w:sz="8" w:space="0" w:color="auto"/>
              <w:bottom w:val="single" w:sz="8" w:space="0" w:color="auto"/>
              <w:right w:val="double" w:sz="4" w:space="0" w:color="auto"/>
            </w:tcBorders>
            <w:shd w:val="solid" w:color="FFFFFF" w:fill="auto"/>
            <w:tcMar>
              <w:top w:w="0" w:type="dxa"/>
              <w:left w:w="30" w:type="dxa"/>
              <w:bottom w:w="0" w:type="dxa"/>
              <w:right w:w="30" w:type="dxa"/>
            </w:tcMar>
            <w:vAlign w:val="center"/>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0.08%</w:t>
            </w:r>
          </w:p>
        </w:tc>
        <w:tc>
          <w:tcPr>
            <w:tcW w:w="703" w:type="pct"/>
            <w:tcBorders>
              <w:top w:val="single" w:sz="8" w:space="0" w:color="auto"/>
              <w:left w:val="single" w:sz="8" w:space="0" w:color="auto"/>
              <w:bottom w:val="single" w:sz="8" w:space="0" w:color="auto"/>
              <w:right w:val="double" w:sz="4" w:space="0" w:color="auto"/>
            </w:tcBorders>
            <w:shd w:val="solid" w:color="FFFFFF" w:fill="auto"/>
            <w:vAlign w:val="center"/>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0.12%</w:t>
            </w:r>
          </w:p>
        </w:tc>
        <w:tc>
          <w:tcPr>
            <w:tcW w:w="633" w:type="pct"/>
            <w:tcBorders>
              <w:top w:val="single" w:sz="8" w:space="0" w:color="auto"/>
              <w:left w:val="single" w:sz="8" w:space="0" w:color="auto"/>
              <w:bottom w:val="single" w:sz="8" w:space="0" w:color="auto"/>
              <w:right w:val="double" w:sz="4" w:space="0" w:color="auto"/>
            </w:tcBorders>
            <w:shd w:val="solid" w:color="FFFFFF" w:fill="auto"/>
            <w:vAlign w:val="center"/>
          </w:tcPr>
          <w:p w:rsidR="00242CCC" w:rsidRPr="00C74BDD" w:rsidRDefault="00242CCC" w:rsidP="009D2783">
            <w:pPr>
              <w:spacing w:before="0" w:line="276" w:lineRule="auto"/>
              <w:ind w:firstLine="0"/>
              <w:jc w:val="right"/>
              <w:rPr>
                <w:rFonts w:cs="Arial"/>
                <w:b w:val="0"/>
                <w:bCs/>
                <w:sz w:val="20"/>
                <w:szCs w:val="20"/>
                <w:lang w:val="en-US"/>
              </w:rPr>
            </w:pPr>
            <w:r w:rsidRPr="00C74BDD">
              <w:rPr>
                <w:rFonts w:cs="Arial"/>
                <w:b w:val="0"/>
                <w:bCs/>
                <w:sz w:val="20"/>
                <w:szCs w:val="20"/>
                <w:lang w:val="en-US"/>
              </w:rPr>
              <w:t>0.1%</w:t>
            </w:r>
          </w:p>
        </w:tc>
      </w:tr>
      <w:tr w:rsidR="00242CCC" w:rsidRPr="00C74BDD" w:rsidTr="00650C81">
        <w:trPr>
          <w:trHeight w:val="20"/>
        </w:trPr>
        <w:tc>
          <w:tcPr>
            <w:tcW w:w="1693" w:type="pct"/>
            <w:tcBorders>
              <w:top w:val="single" w:sz="8" w:space="0" w:color="auto"/>
              <w:left w:val="double" w:sz="4"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rsidR="00242CCC" w:rsidRPr="00C74BDD" w:rsidRDefault="00242CCC" w:rsidP="00650C81">
            <w:pPr>
              <w:spacing w:before="0" w:line="276" w:lineRule="auto"/>
              <w:ind w:firstLine="0"/>
              <w:jc w:val="left"/>
              <w:rPr>
                <w:rFonts w:cs="Arial"/>
                <w:b w:val="0"/>
                <w:bCs/>
                <w:sz w:val="20"/>
                <w:szCs w:val="20"/>
                <w:lang w:val="hy-AM"/>
              </w:rPr>
            </w:pPr>
            <w:r w:rsidRPr="00C74BDD">
              <w:rPr>
                <w:rFonts w:cs="Arial"/>
                <w:b w:val="0"/>
                <w:bCs/>
                <w:sz w:val="20"/>
                <w:szCs w:val="20"/>
                <w:lang w:val="hy-AM"/>
              </w:rPr>
              <w:t>- տեսակարար կշիռը ծախսերի ամբողջ ծավալում (%)</w:t>
            </w:r>
          </w:p>
        </w:tc>
        <w:tc>
          <w:tcPr>
            <w:tcW w:w="706"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0.36%</w:t>
            </w:r>
          </w:p>
        </w:tc>
        <w:tc>
          <w:tcPr>
            <w:tcW w:w="634" w:type="pct"/>
            <w:tcBorders>
              <w:top w:val="single" w:sz="8" w:space="0" w:color="auto"/>
              <w:left w:val="single" w:sz="8" w:space="0" w:color="auto"/>
              <w:bottom w:val="single" w:sz="8" w:space="0" w:color="auto"/>
              <w:right w:val="single" w:sz="8" w:space="0" w:color="auto"/>
            </w:tcBorders>
            <w:shd w:val="solid" w:color="FFFFFF" w:fill="auto"/>
            <w:tcMar>
              <w:top w:w="0" w:type="dxa"/>
              <w:left w:w="30" w:type="dxa"/>
              <w:bottom w:w="0" w:type="dxa"/>
              <w:right w:w="30" w:type="dxa"/>
            </w:tcMar>
            <w:vAlign w:val="center"/>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0.23%</w:t>
            </w:r>
          </w:p>
        </w:tc>
        <w:tc>
          <w:tcPr>
            <w:tcW w:w="632" w:type="pct"/>
            <w:tcBorders>
              <w:top w:val="single" w:sz="8" w:space="0" w:color="auto"/>
              <w:left w:val="single" w:sz="8" w:space="0" w:color="auto"/>
              <w:bottom w:val="single" w:sz="8" w:space="0" w:color="auto"/>
              <w:right w:val="double" w:sz="4" w:space="0" w:color="auto"/>
            </w:tcBorders>
            <w:shd w:val="solid" w:color="FFFFFF" w:fill="auto"/>
            <w:tcMar>
              <w:top w:w="0" w:type="dxa"/>
              <w:left w:w="30" w:type="dxa"/>
              <w:bottom w:w="0" w:type="dxa"/>
              <w:right w:w="30" w:type="dxa"/>
            </w:tcMar>
            <w:vAlign w:val="center"/>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0.30%</w:t>
            </w:r>
          </w:p>
        </w:tc>
        <w:tc>
          <w:tcPr>
            <w:tcW w:w="703" w:type="pct"/>
            <w:tcBorders>
              <w:top w:val="single" w:sz="8" w:space="0" w:color="auto"/>
              <w:left w:val="single" w:sz="8" w:space="0" w:color="auto"/>
              <w:bottom w:val="single" w:sz="8" w:space="0" w:color="auto"/>
              <w:right w:val="double" w:sz="4" w:space="0" w:color="auto"/>
            </w:tcBorders>
            <w:shd w:val="solid" w:color="FFFFFF" w:fill="auto"/>
            <w:vAlign w:val="center"/>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0.45%</w:t>
            </w:r>
          </w:p>
        </w:tc>
        <w:tc>
          <w:tcPr>
            <w:tcW w:w="633" w:type="pct"/>
            <w:tcBorders>
              <w:top w:val="single" w:sz="8" w:space="0" w:color="auto"/>
              <w:left w:val="single" w:sz="8" w:space="0" w:color="auto"/>
              <w:bottom w:val="single" w:sz="8" w:space="0" w:color="auto"/>
              <w:right w:val="double" w:sz="4" w:space="0" w:color="auto"/>
            </w:tcBorders>
            <w:shd w:val="solid" w:color="FFFFFF" w:fill="auto"/>
            <w:vAlign w:val="center"/>
          </w:tcPr>
          <w:p w:rsidR="00242CCC" w:rsidRPr="00C74BDD" w:rsidRDefault="00242CCC" w:rsidP="009D2783">
            <w:pPr>
              <w:spacing w:before="0" w:line="276" w:lineRule="auto"/>
              <w:ind w:firstLine="0"/>
              <w:jc w:val="right"/>
              <w:rPr>
                <w:rFonts w:cs="Arial"/>
                <w:b w:val="0"/>
                <w:bCs/>
                <w:sz w:val="20"/>
                <w:szCs w:val="20"/>
                <w:lang w:val="en-US"/>
              </w:rPr>
            </w:pPr>
            <w:r w:rsidRPr="00C74BDD">
              <w:rPr>
                <w:rFonts w:cs="Arial"/>
                <w:b w:val="0"/>
                <w:bCs/>
                <w:sz w:val="20"/>
                <w:szCs w:val="20"/>
                <w:lang w:val="en-US"/>
              </w:rPr>
              <w:t>0.</w:t>
            </w:r>
            <w:r>
              <w:rPr>
                <w:rFonts w:cs="Arial"/>
                <w:b w:val="0"/>
                <w:bCs/>
                <w:sz w:val="20"/>
                <w:szCs w:val="20"/>
                <w:lang w:val="en-US"/>
              </w:rPr>
              <w:t>4</w:t>
            </w:r>
            <w:r w:rsidRPr="00C74BDD">
              <w:rPr>
                <w:rFonts w:cs="Arial"/>
                <w:b w:val="0"/>
                <w:bCs/>
                <w:sz w:val="20"/>
                <w:szCs w:val="20"/>
                <w:lang w:val="en-US"/>
              </w:rPr>
              <w:t>%</w:t>
            </w:r>
          </w:p>
        </w:tc>
      </w:tr>
      <w:tr w:rsidR="00242CCC" w:rsidRPr="00C74BDD" w:rsidTr="00650C81">
        <w:trPr>
          <w:trHeight w:val="20"/>
        </w:trPr>
        <w:tc>
          <w:tcPr>
            <w:tcW w:w="1693" w:type="pct"/>
            <w:tcBorders>
              <w:top w:val="single" w:sz="8" w:space="0" w:color="auto"/>
              <w:left w:val="double" w:sz="4"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rsidR="00242CCC" w:rsidRPr="00C74BDD" w:rsidRDefault="00242CCC" w:rsidP="00650C81">
            <w:pPr>
              <w:spacing w:before="0" w:line="276" w:lineRule="auto"/>
              <w:ind w:firstLine="0"/>
              <w:jc w:val="left"/>
              <w:rPr>
                <w:rFonts w:cs="Arial"/>
                <w:sz w:val="20"/>
                <w:szCs w:val="20"/>
                <w:lang w:val="hy-AM"/>
              </w:rPr>
            </w:pPr>
            <w:r w:rsidRPr="00C74BDD">
              <w:rPr>
                <w:rFonts w:cs="Arial"/>
                <w:sz w:val="20"/>
                <w:szCs w:val="20"/>
                <w:lang w:val="hy-AM"/>
              </w:rPr>
              <w:t>3. ԲՆԱԿԱՐԱՆԱՅԻՆ ՇԻՆԱՐԱՐՈՒԹՅՈՒՆ ԵՎ ԿՈՄՈՒՆԱԼ ԾԱՌԱՅՈՒԹՅՈՒՆՆԵՐ</w:t>
            </w:r>
          </w:p>
        </w:tc>
        <w:tc>
          <w:tcPr>
            <w:tcW w:w="706"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rsidR="00242CCC" w:rsidRPr="00C74BDD" w:rsidRDefault="00242CCC" w:rsidP="009D2783">
            <w:pPr>
              <w:spacing w:before="0" w:line="276" w:lineRule="auto"/>
              <w:ind w:firstLine="0"/>
              <w:jc w:val="right"/>
              <w:rPr>
                <w:rFonts w:cs="Arial"/>
                <w:sz w:val="20"/>
                <w:szCs w:val="20"/>
                <w:lang w:val="hy-AM"/>
              </w:rPr>
            </w:pPr>
            <w:r w:rsidRPr="00C74BDD">
              <w:rPr>
                <w:rFonts w:cs="Arial"/>
                <w:sz w:val="20"/>
                <w:szCs w:val="20"/>
                <w:lang w:val="hy-AM"/>
              </w:rPr>
              <w:t>16,247.5</w:t>
            </w:r>
          </w:p>
        </w:tc>
        <w:tc>
          <w:tcPr>
            <w:tcW w:w="634"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30" w:type="dxa"/>
              <w:bottom w:w="0" w:type="dxa"/>
              <w:right w:w="30" w:type="dxa"/>
            </w:tcMar>
            <w:vAlign w:val="center"/>
            <w:hideMark/>
          </w:tcPr>
          <w:p w:rsidR="00242CCC" w:rsidRPr="00C74BDD" w:rsidRDefault="00242CCC" w:rsidP="009D2783">
            <w:pPr>
              <w:spacing w:before="0" w:line="276" w:lineRule="auto"/>
              <w:ind w:firstLine="0"/>
              <w:jc w:val="right"/>
              <w:rPr>
                <w:rFonts w:cs="Arial"/>
                <w:sz w:val="20"/>
                <w:szCs w:val="20"/>
                <w:lang w:val="hy-AM"/>
              </w:rPr>
            </w:pPr>
            <w:r w:rsidRPr="00C74BDD">
              <w:rPr>
                <w:rFonts w:cs="Arial"/>
                <w:sz w:val="20"/>
                <w:szCs w:val="20"/>
                <w:lang w:val="hy-AM"/>
              </w:rPr>
              <w:t>8,903.6</w:t>
            </w:r>
          </w:p>
        </w:tc>
        <w:tc>
          <w:tcPr>
            <w:tcW w:w="632" w:type="pct"/>
            <w:tcBorders>
              <w:top w:val="single" w:sz="8" w:space="0" w:color="auto"/>
              <w:left w:val="single" w:sz="8" w:space="0" w:color="auto"/>
              <w:bottom w:val="single" w:sz="8" w:space="0" w:color="auto"/>
              <w:right w:val="double" w:sz="4" w:space="0" w:color="auto"/>
            </w:tcBorders>
            <w:shd w:val="clear" w:color="auto" w:fill="C6D9F1" w:themeFill="text2" w:themeFillTint="33"/>
            <w:tcMar>
              <w:top w:w="0" w:type="dxa"/>
              <w:left w:w="30" w:type="dxa"/>
              <w:bottom w:w="0" w:type="dxa"/>
              <w:right w:w="30" w:type="dxa"/>
            </w:tcMar>
            <w:vAlign w:val="center"/>
            <w:hideMark/>
          </w:tcPr>
          <w:p w:rsidR="00242CCC" w:rsidRPr="00C74BDD" w:rsidRDefault="0003683A" w:rsidP="0003683A">
            <w:pPr>
              <w:spacing w:before="0" w:line="276" w:lineRule="auto"/>
              <w:ind w:firstLine="0"/>
              <w:jc w:val="right"/>
              <w:rPr>
                <w:rFonts w:cs="Arial"/>
                <w:sz w:val="20"/>
                <w:szCs w:val="20"/>
                <w:lang w:val="hy-AM"/>
              </w:rPr>
            </w:pPr>
            <w:r>
              <w:rPr>
                <w:rFonts w:cs="Arial"/>
                <w:sz w:val="20"/>
                <w:szCs w:val="20"/>
                <w:lang w:val="hy-AM"/>
              </w:rPr>
              <w:t>9,541</w:t>
            </w:r>
            <w:r>
              <w:rPr>
                <w:rFonts w:cs="Arial"/>
                <w:sz w:val="20"/>
                <w:szCs w:val="20"/>
                <w:lang w:val="en-US"/>
              </w:rPr>
              <w:t>.</w:t>
            </w:r>
            <w:r w:rsidR="00242CCC" w:rsidRPr="00C74BDD">
              <w:rPr>
                <w:rFonts w:cs="Arial"/>
                <w:sz w:val="20"/>
                <w:szCs w:val="20"/>
                <w:lang w:val="hy-AM"/>
              </w:rPr>
              <w:t>8</w:t>
            </w:r>
          </w:p>
        </w:tc>
        <w:tc>
          <w:tcPr>
            <w:tcW w:w="703" w:type="pct"/>
            <w:tcBorders>
              <w:top w:val="single" w:sz="8" w:space="0" w:color="auto"/>
              <w:left w:val="single" w:sz="8" w:space="0" w:color="auto"/>
              <w:bottom w:val="single" w:sz="8" w:space="0" w:color="auto"/>
              <w:right w:val="double" w:sz="4" w:space="0" w:color="auto"/>
            </w:tcBorders>
            <w:shd w:val="clear" w:color="auto" w:fill="C6D9F1" w:themeFill="text2" w:themeFillTint="33"/>
            <w:vAlign w:val="center"/>
          </w:tcPr>
          <w:p w:rsidR="00242CCC" w:rsidRPr="00C74BDD" w:rsidRDefault="00242CCC" w:rsidP="009D2783">
            <w:pPr>
              <w:spacing w:before="0" w:line="276" w:lineRule="auto"/>
              <w:ind w:firstLine="0"/>
              <w:jc w:val="right"/>
              <w:rPr>
                <w:rFonts w:cs="Arial"/>
                <w:sz w:val="20"/>
                <w:szCs w:val="20"/>
                <w:lang w:val="hy-AM"/>
              </w:rPr>
            </w:pPr>
            <w:r w:rsidRPr="00C74BDD">
              <w:rPr>
                <w:rFonts w:cs="Arial"/>
                <w:sz w:val="20"/>
                <w:szCs w:val="20"/>
                <w:lang w:val="hy-AM"/>
              </w:rPr>
              <w:t>16,024.6</w:t>
            </w:r>
          </w:p>
        </w:tc>
        <w:tc>
          <w:tcPr>
            <w:tcW w:w="633" w:type="pct"/>
            <w:tcBorders>
              <w:top w:val="single" w:sz="8" w:space="0" w:color="auto"/>
              <w:left w:val="single" w:sz="8" w:space="0" w:color="auto"/>
              <w:bottom w:val="single" w:sz="8" w:space="0" w:color="auto"/>
              <w:right w:val="double" w:sz="4" w:space="0" w:color="auto"/>
            </w:tcBorders>
            <w:shd w:val="clear" w:color="auto" w:fill="C6D9F1" w:themeFill="text2" w:themeFillTint="33"/>
            <w:vAlign w:val="center"/>
          </w:tcPr>
          <w:p w:rsidR="00242CCC" w:rsidRPr="00C74BDD" w:rsidRDefault="00242CCC" w:rsidP="009D2783">
            <w:pPr>
              <w:spacing w:before="0" w:line="276" w:lineRule="auto"/>
              <w:ind w:firstLine="0"/>
              <w:jc w:val="right"/>
              <w:rPr>
                <w:rFonts w:cs="Arial"/>
                <w:sz w:val="20"/>
                <w:szCs w:val="20"/>
                <w:lang w:val="hy-AM"/>
              </w:rPr>
            </w:pPr>
            <w:r w:rsidRPr="00C74BDD">
              <w:rPr>
                <w:rFonts w:eastAsiaTheme="minorHAnsi" w:cs="Cambria Math"/>
                <w:bCs/>
                <w:sz w:val="20"/>
                <w:szCs w:val="20"/>
                <w:lang w:val="en-US" w:eastAsia="en-US"/>
              </w:rPr>
              <w:t>1</w:t>
            </w:r>
            <w:r>
              <w:rPr>
                <w:rFonts w:eastAsiaTheme="minorHAnsi" w:cs="Cambria Math"/>
                <w:bCs/>
                <w:sz w:val="20"/>
                <w:szCs w:val="20"/>
                <w:lang w:val="en-US" w:eastAsia="en-US"/>
              </w:rPr>
              <w:t>8</w:t>
            </w:r>
            <w:r w:rsidRPr="00C74BDD">
              <w:rPr>
                <w:rFonts w:eastAsiaTheme="minorHAnsi" w:cs="Cambria Math"/>
                <w:bCs/>
                <w:sz w:val="20"/>
                <w:szCs w:val="20"/>
                <w:lang w:val="en-US" w:eastAsia="en-US"/>
              </w:rPr>
              <w:t>,</w:t>
            </w:r>
            <w:r>
              <w:rPr>
                <w:rFonts w:eastAsiaTheme="minorHAnsi" w:cs="Cambria Math"/>
                <w:bCs/>
                <w:sz w:val="20"/>
                <w:szCs w:val="20"/>
                <w:lang w:val="en-US" w:eastAsia="en-US"/>
              </w:rPr>
              <w:t>973</w:t>
            </w:r>
            <w:r w:rsidRPr="00C74BDD">
              <w:rPr>
                <w:rFonts w:eastAsiaTheme="minorHAnsi" w:cs="Cambria Math"/>
                <w:bCs/>
                <w:sz w:val="20"/>
                <w:szCs w:val="20"/>
                <w:lang w:val="en-US" w:eastAsia="en-US"/>
              </w:rPr>
              <w:t>.</w:t>
            </w:r>
            <w:r>
              <w:rPr>
                <w:rFonts w:eastAsiaTheme="minorHAnsi" w:cs="Cambria Math"/>
                <w:bCs/>
                <w:sz w:val="20"/>
                <w:szCs w:val="20"/>
                <w:lang w:val="en-US" w:eastAsia="en-US"/>
              </w:rPr>
              <w:t>2</w:t>
            </w:r>
          </w:p>
        </w:tc>
      </w:tr>
      <w:tr w:rsidR="00242CCC" w:rsidRPr="00C74BDD" w:rsidTr="00650C81">
        <w:trPr>
          <w:trHeight w:val="20"/>
        </w:trPr>
        <w:tc>
          <w:tcPr>
            <w:tcW w:w="1693" w:type="pct"/>
            <w:tcBorders>
              <w:top w:val="single" w:sz="8" w:space="0" w:color="auto"/>
              <w:left w:val="double" w:sz="4"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rsidR="00242CCC" w:rsidRPr="00C74BDD" w:rsidRDefault="00242CCC" w:rsidP="00650C81">
            <w:pPr>
              <w:spacing w:before="0" w:line="276" w:lineRule="auto"/>
              <w:ind w:firstLine="0"/>
              <w:jc w:val="left"/>
              <w:rPr>
                <w:rFonts w:cs="Arial"/>
                <w:b w:val="0"/>
                <w:bCs/>
                <w:sz w:val="20"/>
                <w:szCs w:val="20"/>
                <w:lang w:val="hy-AM"/>
              </w:rPr>
            </w:pPr>
            <w:r w:rsidRPr="00C74BDD">
              <w:rPr>
                <w:rFonts w:cs="Arial"/>
                <w:b w:val="0"/>
                <w:bCs/>
                <w:sz w:val="20"/>
                <w:szCs w:val="20"/>
                <w:lang w:val="hy-AM"/>
              </w:rPr>
              <w:t>- Հարաբերությունը ՀՆԱ-ի նկատմամբ (%)</w:t>
            </w:r>
          </w:p>
        </w:tc>
        <w:tc>
          <w:tcPr>
            <w:tcW w:w="706"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0.25%</w:t>
            </w:r>
          </w:p>
        </w:tc>
        <w:tc>
          <w:tcPr>
            <w:tcW w:w="634" w:type="pct"/>
            <w:tcBorders>
              <w:top w:val="single" w:sz="8" w:space="0" w:color="auto"/>
              <w:left w:val="single" w:sz="8" w:space="0" w:color="auto"/>
              <w:bottom w:val="single" w:sz="8" w:space="0" w:color="auto"/>
              <w:right w:val="single" w:sz="8" w:space="0" w:color="auto"/>
            </w:tcBorders>
            <w:shd w:val="solid" w:color="FFFFFF" w:fill="auto"/>
            <w:tcMar>
              <w:top w:w="0" w:type="dxa"/>
              <w:left w:w="30" w:type="dxa"/>
              <w:bottom w:w="0" w:type="dxa"/>
              <w:right w:w="30" w:type="dxa"/>
            </w:tcMar>
            <w:vAlign w:val="center"/>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0.01%</w:t>
            </w:r>
          </w:p>
        </w:tc>
        <w:tc>
          <w:tcPr>
            <w:tcW w:w="632" w:type="pct"/>
            <w:tcBorders>
              <w:top w:val="single" w:sz="8" w:space="0" w:color="auto"/>
              <w:left w:val="single" w:sz="8" w:space="0" w:color="auto"/>
              <w:bottom w:val="single" w:sz="8" w:space="0" w:color="auto"/>
              <w:right w:val="double" w:sz="4" w:space="0" w:color="auto"/>
            </w:tcBorders>
            <w:shd w:val="solid" w:color="FFFFFF" w:fill="auto"/>
            <w:tcMar>
              <w:top w:w="0" w:type="dxa"/>
              <w:left w:w="30" w:type="dxa"/>
              <w:bottom w:w="0" w:type="dxa"/>
              <w:right w:w="30" w:type="dxa"/>
            </w:tcMar>
            <w:vAlign w:val="center"/>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0.13%</w:t>
            </w:r>
          </w:p>
        </w:tc>
        <w:tc>
          <w:tcPr>
            <w:tcW w:w="703" w:type="pct"/>
            <w:tcBorders>
              <w:top w:val="single" w:sz="8" w:space="0" w:color="auto"/>
              <w:left w:val="single" w:sz="8" w:space="0" w:color="auto"/>
              <w:bottom w:val="single" w:sz="8" w:space="0" w:color="auto"/>
              <w:right w:val="double" w:sz="4" w:space="0" w:color="auto"/>
            </w:tcBorders>
            <w:shd w:val="solid" w:color="FFFFFF" w:fill="auto"/>
            <w:vAlign w:val="center"/>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0.20%</w:t>
            </w:r>
          </w:p>
        </w:tc>
        <w:tc>
          <w:tcPr>
            <w:tcW w:w="633" w:type="pct"/>
            <w:tcBorders>
              <w:top w:val="single" w:sz="8" w:space="0" w:color="auto"/>
              <w:left w:val="single" w:sz="8" w:space="0" w:color="auto"/>
              <w:bottom w:val="single" w:sz="8" w:space="0" w:color="auto"/>
              <w:right w:val="double" w:sz="4" w:space="0" w:color="auto"/>
            </w:tcBorders>
            <w:shd w:val="solid" w:color="FFFFFF" w:fill="auto"/>
            <w:vAlign w:val="center"/>
          </w:tcPr>
          <w:p w:rsidR="00242CCC" w:rsidRPr="00C74BDD" w:rsidRDefault="00242CCC" w:rsidP="009D2783">
            <w:pPr>
              <w:spacing w:before="0" w:line="276" w:lineRule="auto"/>
              <w:ind w:firstLine="0"/>
              <w:jc w:val="right"/>
              <w:rPr>
                <w:rFonts w:cs="Arial"/>
                <w:b w:val="0"/>
                <w:bCs/>
                <w:sz w:val="20"/>
                <w:szCs w:val="20"/>
                <w:lang w:val="en-US"/>
              </w:rPr>
            </w:pPr>
            <w:r w:rsidRPr="00C74BDD">
              <w:rPr>
                <w:rFonts w:cs="Arial"/>
                <w:b w:val="0"/>
                <w:bCs/>
                <w:sz w:val="20"/>
                <w:szCs w:val="20"/>
                <w:lang w:val="en-US"/>
              </w:rPr>
              <w:t>0.20%</w:t>
            </w:r>
          </w:p>
        </w:tc>
      </w:tr>
      <w:tr w:rsidR="00242CCC" w:rsidRPr="00C74BDD" w:rsidTr="00650C81">
        <w:trPr>
          <w:trHeight w:val="20"/>
        </w:trPr>
        <w:tc>
          <w:tcPr>
            <w:tcW w:w="1693" w:type="pct"/>
            <w:tcBorders>
              <w:top w:val="single" w:sz="8" w:space="0" w:color="auto"/>
              <w:left w:val="double" w:sz="4" w:space="0" w:color="auto"/>
              <w:bottom w:val="double" w:sz="4" w:space="0" w:color="auto"/>
              <w:right w:val="single" w:sz="8" w:space="0" w:color="auto"/>
            </w:tcBorders>
            <w:shd w:val="solid" w:color="FFFFFF" w:fill="auto"/>
            <w:tcMar>
              <w:top w:w="0" w:type="dxa"/>
              <w:left w:w="57" w:type="dxa"/>
              <w:bottom w:w="0" w:type="dxa"/>
              <w:right w:w="85" w:type="dxa"/>
            </w:tcMar>
            <w:vAlign w:val="center"/>
            <w:hideMark/>
          </w:tcPr>
          <w:p w:rsidR="00242CCC" w:rsidRPr="00C74BDD" w:rsidRDefault="00242CCC" w:rsidP="00650C81">
            <w:pPr>
              <w:spacing w:before="0" w:line="276" w:lineRule="auto"/>
              <w:ind w:firstLine="0"/>
              <w:jc w:val="left"/>
              <w:rPr>
                <w:rFonts w:cs="Arial"/>
                <w:b w:val="0"/>
                <w:bCs/>
                <w:sz w:val="20"/>
                <w:szCs w:val="20"/>
                <w:lang w:val="hy-AM"/>
              </w:rPr>
            </w:pPr>
            <w:r w:rsidRPr="00C74BDD">
              <w:rPr>
                <w:rFonts w:cs="Arial"/>
                <w:b w:val="0"/>
                <w:bCs/>
                <w:sz w:val="20"/>
                <w:szCs w:val="20"/>
                <w:lang w:val="hy-AM"/>
              </w:rPr>
              <w:t>- տեսակարար կշիռը ծախսերի ամբողջ ծավալում (%)</w:t>
            </w:r>
          </w:p>
        </w:tc>
        <w:tc>
          <w:tcPr>
            <w:tcW w:w="706" w:type="pct"/>
            <w:tcBorders>
              <w:top w:val="single" w:sz="8" w:space="0" w:color="auto"/>
              <w:left w:val="single" w:sz="8" w:space="0" w:color="auto"/>
              <w:bottom w:val="double" w:sz="4" w:space="0" w:color="auto"/>
              <w:right w:val="single" w:sz="8" w:space="0" w:color="auto"/>
            </w:tcBorders>
            <w:shd w:val="solid" w:color="FFFFFF" w:fill="auto"/>
            <w:tcMar>
              <w:top w:w="0" w:type="dxa"/>
              <w:left w:w="57" w:type="dxa"/>
              <w:bottom w:w="0" w:type="dxa"/>
              <w:right w:w="85" w:type="dxa"/>
            </w:tcMar>
            <w:vAlign w:val="center"/>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1.00%</w:t>
            </w:r>
          </w:p>
        </w:tc>
        <w:tc>
          <w:tcPr>
            <w:tcW w:w="634" w:type="pct"/>
            <w:tcBorders>
              <w:top w:val="single" w:sz="8" w:space="0" w:color="auto"/>
              <w:left w:val="single" w:sz="8" w:space="0" w:color="auto"/>
              <w:bottom w:val="double" w:sz="4" w:space="0" w:color="auto"/>
              <w:right w:val="single" w:sz="8" w:space="0" w:color="auto"/>
            </w:tcBorders>
            <w:shd w:val="solid" w:color="FFFFFF" w:fill="auto"/>
            <w:tcMar>
              <w:top w:w="0" w:type="dxa"/>
              <w:left w:w="30" w:type="dxa"/>
              <w:bottom w:w="0" w:type="dxa"/>
              <w:right w:w="30" w:type="dxa"/>
            </w:tcMar>
            <w:vAlign w:val="center"/>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0</w:t>
            </w:r>
            <w:r w:rsidRPr="00C74BDD">
              <w:rPr>
                <w:rFonts w:ascii="Cambria Math" w:hAnsi="Cambria Math" w:cs="Cambria Math"/>
                <w:b w:val="0"/>
                <w:bCs/>
                <w:sz w:val="20"/>
                <w:szCs w:val="20"/>
                <w:lang w:val="hy-AM"/>
              </w:rPr>
              <w:t>․</w:t>
            </w:r>
            <w:r w:rsidRPr="00C74BDD">
              <w:rPr>
                <w:rFonts w:cs="Arial"/>
                <w:b w:val="0"/>
                <w:bCs/>
                <w:sz w:val="20"/>
                <w:szCs w:val="20"/>
                <w:lang w:val="hy-AM"/>
              </w:rPr>
              <w:t>47%</w:t>
            </w:r>
          </w:p>
        </w:tc>
        <w:tc>
          <w:tcPr>
            <w:tcW w:w="632" w:type="pct"/>
            <w:tcBorders>
              <w:top w:val="single" w:sz="8" w:space="0" w:color="auto"/>
              <w:left w:val="single" w:sz="8" w:space="0" w:color="auto"/>
              <w:bottom w:val="double" w:sz="4" w:space="0" w:color="auto"/>
              <w:right w:val="double" w:sz="4" w:space="0" w:color="auto"/>
            </w:tcBorders>
            <w:shd w:val="solid" w:color="FFFFFF" w:fill="auto"/>
            <w:tcMar>
              <w:top w:w="0" w:type="dxa"/>
              <w:left w:w="30" w:type="dxa"/>
              <w:bottom w:w="0" w:type="dxa"/>
              <w:right w:w="30" w:type="dxa"/>
            </w:tcMar>
            <w:vAlign w:val="center"/>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0.47%</w:t>
            </w:r>
          </w:p>
        </w:tc>
        <w:tc>
          <w:tcPr>
            <w:tcW w:w="703" w:type="pct"/>
            <w:tcBorders>
              <w:top w:val="single" w:sz="8" w:space="0" w:color="auto"/>
              <w:left w:val="single" w:sz="8" w:space="0" w:color="auto"/>
              <w:bottom w:val="double" w:sz="4" w:space="0" w:color="auto"/>
              <w:right w:val="double" w:sz="4" w:space="0" w:color="auto"/>
            </w:tcBorders>
            <w:shd w:val="solid" w:color="FFFFFF" w:fill="auto"/>
            <w:vAlign w:val="center"/>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0.73%</w:t>
            </w:r>
          </w:p>
        </w:tc>
        <w:tc>
          <w:tcPr>
            <w:tcW w:w="633" w:type="pct"/>
            <w:tcBorders>
              <w:top w:val="single" w:sz="8" w:space="0" w:color="auto"/>
              <w:left w:val="single" w:sz="8" w:space="0" w:color="auto"/>
              <w:bottom w:val="double" w:sz="4" w:space="0" w:color="auto"/>
              <w:right w:val="double" w:sz="4" w:space="0" w:color="auto"/>
            </w:tcBorders>
            <w:shd w:val="solid" w:color="FFFFFF" w:fill="auto"/>
            <w:vAlign w:val="center"/>
          </w:tcPr>
          <w:p w:rsidR="00242CCC" w:rsidRPr="00C74BDD" w:rsidRDefault="00242CCC" w:rsidP="009D2783">
            <w:pPr>
              <w:spacing w:before="0" w:line="276" w:lineRule="auto"/>
              <w:ind w:firstLine="0"/>
              <w:jc w:val="right"/>
              <w:rPr>
                <w:rFonts w:cs="Arial"/>
                <w:b w:val="0"/>
                <w:bCs/>
                <w:sz w:val="20"/>
                <w:szCs w:val="20"/>
                <w:lang w:val="en-US"/>
              </w:rPr>
            </w:pPr>
            <w:r w:rsidRPr="00C74BDD">
              <w:rPr>
                <w:rFonts w:cs="Arial"/>
                <w:b w:val="0"/>
                <w:bCs/>
                <w:sz w:val="20"/>
                <w:szCs w:val="20"/>
                <w:lang w:val="en-US"/>
              </w:rPr>
              <w:t>0.</w:t>
            </w:r>
            <w:r>
              <w:rPr>
                <w:rFonts w:cs="Arial"/>
                <w:b w:val="0"/>
                <w:bCs/>
                <w:sz w:val="20"/>
                <w:szCs w:val="20"/>
                <w:lang w:val="en-US"/>
              </w:rPr>
              <w:t>73</w:t>
            </w:r>
            <w:r w:rsidRPr="00C74BDD">
              <w:rPr>
                <w:rFonts w:cs="Arial"/>
                <w:b w:val="0"/>
                <w:bCs/>
                <w:sz w:val="20"/>
                <w:szCs w:val="20"/>
                <w:lang w:val="en-US"/>
              </w:rPr>
              <w:t>%</w:t>
            </w:r>
          </w:p>
        </w:tc>
      </w:tr>
    </w:tbl>
    <w:p w:rsidR="00242CCC" w:rsidRDefault="00242CCC" w:rsidP="00242CCC">
      <w:pPr>
        <w:spacing w:before="0" w:after="200" w:line="276" w:lineRule="auto"/>
        <w:ind w:firstLine="720"/>
        <w:contextualSpacing w:val="0"/>
        <w:rPr>
          <w:rFonts w:eastAsiaTheme="minorHAnsi" w:cs="Cambria Math"/>
          <w:b w:val="0"/>
          <w:szCs w:val="22"/>
          <w:lang w:val="en-US" w:eastAsia="en-US"/>
        </w:rPr>
      </w:pPr>
    </w:p>
    <w:p w:rsidR="00242CCC" w:rsidRPr="00C74BDD" w:rsidRDefault="00242CCC" w:rsidP="00242CCC">
      <w:pPr>
        <w:spacing w:before="0" w:after="200" w:line="276" w:lineRule="auto"/>
        <w:ind w:firstLine="720"/>
        <w:contextualSpacing w:val="0"/>
        <w:rPr>
          <w:rFonts w:eastAsiaTheme="minorHAnsi" w:cs="Cambria Math"/>
          <w:b w:val="0"/>
          <w:szCs w:val="22"/>
          <w:lang w:val="en-US" w:eastAsia="en-US"/>
        </w:rPr>
      </w:pPr>
      <w:r w:rsidRPr="00C74BDD">
        <w:rPr>
          <w:rFonts w:eastAsiaTheme="minorHAnsi" w:cs="Cambria Math"/>
          <w:b w:val="0"/>
          <w:szCs w:val="22"/>
          <w:lang w:val="en-US" w:eastAsia="en-US"/>
        </w:rPr>
        <w:t>Սոցիալական ոլորտի խմբում 201</w:t>
      </w:r>
      <w:r w:rsidRPr="00C74BDD">
        <w:rPr>
          <w:rFonts w:eastAsiaTheme="minorHAnsi" w:cs="Cambria Math"/>
          <w:b w:val="0"/>
          <w:szCs w:val="22"/>
          <w:lang w:val="hy-AM" w:eastAsia="en-US"/>
        </w:rPr>
        <w:t>9</w:t>
      </w:r>
      <w:r w:rsidRPr="00C74BDD">
        <w:rPr>
          <w:rFonts w:eastAsiaTheme="minorHAnsi" w:cs="Cambria Math"/>
          <w:b w:val="0"/>
          <w:szCs w:val="22"/>
          <w:lang w:val="en-US" w:eastAsia="en-US"/>
        </w:rPr>
        <w:t>-202</w:t>
      </w:r>
      <w:r w:rsidRPr="00C74BDD">
        <w:rPr>
          <w:rFonts w:eastAsiaTheme="minorHAnsi" w:cs="Cambria Math"/>
          <w:b w:val="0"/>
          <w:szCs w:val="22"/>
          <w:lang w:val="hy-AM" w:eastAsia="en-US"/>
        </w:rPr>
        <w:t>2</w:t>
      </w:r>
      <w:r w:rsidRPr="00C74BDD">
        <w:rPr>
          <w:rFonts w:eastAsiaTheme="minorHAnsi" w:cs="Cambria Math"/>
          <w:b w:val="0"/>
          <w:szCs w:val="22"/>
          <w:lang w:val="en-US" w:eastAsia="en-US"/>
        </w:rPr>
        <w:t xml:space="preserve"> թվականներին առանցքային են եղել և 20</w:t>
      </w:r>
      <w:r w:rsidRPr="00C74BDD">
        <w:rPr>
          <w:rFonts w:eastAsiaTheme="minorHAnsi" w:cs="Cambria Math"/>
          <w:b w:val="0"/>
          <w:szCs w:val="22"/>
          <w:lang w:val="hy-AM" w:eastAsia="en-US"/>
        </w:rPr>
        <w:t>23</w:t>
      </w:r>
      <w:r w:rsidRPr="00C74BDD">
        <w:rPr>
          <w:rFonts w:eastAsiaTheme="minorHAnsi" w:cs="Cambria Math"/>
          <w:b w:val="0"/>
          <w:szCs w:val="22"/>
          <w:lang w:val="en-US" w:eastAsia="en-US"/>
        </w:rPr>
        <w:t xml:space="preserve"> շարունակվելու են կարևորվել հատկապես սոցիալական ապահովության, կրթության և առողջապահության բնա</w:t>
      </w:r>
      <w:r w:rsidRPr="00C74BDD">
        <w:rPr>
          <w:rFonts w:eastAsiaTheme="minorHAnsi" w:cs="Cambria Math"/>
          <w:b w:val="0"/>
          <w:szCs w:val="22"/>
          <w:lang w:val="en-US" w:eastAsia="en-US"/>
        </w:rPr>
        <w:softHyphen/>
        <w:t>գա</w:t>
      </w:r>
      <w:r w:rsidRPr="00C74BDD">
        <w:rPr>
          <w:rFonts w:eastAsiaTheme="minorHAnsi" w:cs="Cambria Math"/>
          <w:b w:val="0"/>
          <w:szCs w:val="22"/>
          <w:lang w:val="en-US" w:eastAsia="en-US"/>
        </w:rPr>
        <w:softHyphen/>
        <w:t>վառ</w:t>
      </w:r>
      <w:r w:rsidRPr="00C74BDD">
        <w:rPr>
          <w:rFonts w:eastAsiaTheme="minorHAnsi" w:cs="Cambria Math"/>
          <w:b w:val="0"/>
          <w:szCs w:val="22"/>
          <w:lang w:val="en-US" w:eastAsia="en-US"/>
        </w:rPr>
        <w:softHyphen/>
        <w:t>նե</w:t>
      </w:r>
      <w:r w:rsidRPr="00C74BDD">
        <w:rPr>
          <w:rFonts w:eastAsiaTheme="minorHAnsi" w:cs="Cambria Math"/>
          <w:b w:val="0"/>
          <w:szCs w:val="22"/>
          <w:lang w:val="en-US" w:eastAsia="en-US"/>
        </w:rPr>
        <w:softHyphen/>
        <w:t>րի զարգաց</w:t>
      </w:r>
      <w:r w:rsidRPr="00C74BDD">
        <w:rPr>
          <w:rFonts w:eastAsiaTheme="minorHAnsi" w:cs="Cambria Math"/>
          <w:b w:val="0"/>
          <w:szCs w:val="22"/>
          <w:lang w:val="en-US" w:eastAsia="en-US"/>
        </w:rPr>
        <w:softHyphen/>
        <w:t xml:space="preserve">ման ռազմավարական ծրագրերի իրականացումը: </w:t>
      </w:r>
    </w:p>
    <w:p w:rsidR="00242CCC" w:rsidRPr="00C74BDD" w:rsidRDefault="00242CCC" w:rsidP="00242CCC">
      <w:pPr>
        <w:keepNext/>
        <w:spacing w:after="200"/>
        <w:rPr>
          <w:b w:val="0"/>
          <w:bCs/>
          <w:i/>
          <w:iCs/>
          <w:color w:val="4F81BD" w:themeColor="accent1"/>
          <w:sz w:val="20"/>
          <w:szCs w:val="20"/>
          <w:lang w:val="hy-AM"/>
        </w:rPr>
      </w:pPr>
      <w:bookmarkStart w:id="313" w:name="_Toc89428776"/>
      <w:bookmarkStart w:id="314" w:name="_Toc120805273"/>
      <w:r w:rsidRPr="00C74BDD">
        <w:rPr>
          <w:b w:val="0"/>
          <w:bCs/>
          <w:i/>
          <w:iCs/>
          <w:color w:val="4F81BD" w:themeColor="accent1"/>
          <w:sz w:val="20"/>
          <w:szCs w:val="20"/>
          <w:lang w:val="hy-AM"/>
        </w:rPr>
        <w:t xml:space="preserve">Աղյուսակ </w:t>
      </w:r>
      <w:r w:rsidRPr="00C74BDD">
        <w:rPr>
          <w:b w:val="0"/>
          <w:bCs/>
          <w:i/>
          <w:iCs/>
          <w:color w:val="4F81BD" w:themeColor="accent1"/>
          <w:sz w:val="20"/>
          <w:szCs w:val="20"/>
          <w:lang w:val="hy-AM"/>
        </w:rPr>
        <w:fldChar w:fldCharType="begin"/>
      </w:r>
      <w:r w:rsidRPr="00C74BDD">
        <w:rPr>
          <w:b w:val="0"/>
          <w:bCs/>
          <w:i/>
          <w:iCs/>
          <w:color w:val="4F81BD" w:themeColor="accent1"/>
          <w:sz w:val="20"/>
          <w:szCs w:val="20"/>
          <w:lang w:val="hy-AM"/>
        </w:rPr>
        <w:instrText xml:space="preserve"> SEQ Աղյուսակ \* ARABIC </w:instrText>
      </w:r>
      <w:r w:rsidRPr="00C74BDD">
        <w:rPr>
          <w:b w:val="0"/>
          <w:bCs/>
          <w:i/>
          <w:iCs/>
          <w:color w:val="4F81BD" w:themeColor="accent1"/>
          <w:sz w:val="20"/>
          <w:szCs w:val="20"/>
          <w:lang w:val="hy-AM"/>
        </w:rPr>
        <w:fldChar w:fldCharType="separate"/>
      </w:r>
      <w:r w:rsidR="008177DF">
        <w:rPr>
          <w:b w:val="0"/>
          <w:bCs/>
          <w:i/>
          <w:iCs/>
          <w:noProof/>
          <w:color w:val="4F81BD" w:themeColor="accent1"/>
          <w:sz w:val="20"/>
          <w:szCs w:val="20"/>
          <w:lang w:val="hy-AM"/>
        </w:rPr>
        <w:t>14</w:t>
      </w:r>
      <w:r w:rsidRPr="00C74BDD">
        <w:rPr>
          <w:b w:val="0"/>
          <w:bCs/>
          <w:i/>
          <w:iCs/>
          <w:color w:val="4F81BD" w:themeColor="accent1"/>
          <w:sz w:val="20"/>
          <w:szCs w:val="20"/>
          <w:lang w:val="hy-AM"/>
        </w:rPr>
        <w:fldChar w:fldCharType="end"/>
      </w:r>
      <w:r w:rsidRPr="00C74BDD">
        <w:rPr>
          <w:rFonts w:ascii="Cambria Math" w:hAnsi="Cambria Math" w:cs="Cambria Math"/>
          <w:b w:val="0"/>
          <w:bCs/>
          <w:i/>
          <w:iCs/>
          <w:color w:val="4F81BD" w:themeColor="accent1"/>
          <w:sz w:val="20"/>
          <w:szCs w:val="20"/>
          <w:lang w:val="hy-AM"/>
        </w:rPr>
        <w:t>․</w:t>
      </w:r>
      <w:r w:rsidRPr="00C74BDD">
        <w:rPr>
          <w:b w:val="0"/>
          <w:bCs/>
          <w:i/>
          <w:iCs/>
          <w:color w:val="4F81BD" w:themeColor="accent1"/>
          <w:sz w:val="20"/>
          <w:szCs w:val="20"/>
          <w:lang w:val="hy-AM"/>
        </w:rPr>
        <w:t xml:space="preserve"> Սոցիալական ոլորտի 2019-2023թթ</w:t>
      </w:r>
      <w:r w:rsidRPr="00C74BDD">
        <w:rPr>
          <w:rFonts w:ascii="Cambria Math" w:hAnsi="Cambria Math" w:cs="Cambria Math"/>
          <w:b w:val="0"/>
          <w:bCs/>
          <w:i/>
          <w:iCs/>
          <w:color w:val="4F81BD" w:themeColor="accent1"/>
          <w:sz w:val="20"/>
          <w:szCs w:val="20"/>
          <w:lang w:val="hy-AM"/>
        </w:rPr>
        <w:t>․</w:t>
      </w:r>
      <w:r w:rsidRPr="00C74BDD">
        <w:rPr>
          <w:b w:val="0"/>
          <w:bCs/>
          <w:i/>
          <w:iCs/>
          <w:color w:val="4F81BD" w:themeColor="accent1"/>
          <w:sz w:val="20"/>
          <w:szCs w:val="20"/>
          <w:lang w:val="hy-AM"/>
        </w:rPr>
        <w:t xml:space="preserve"> բյուջետային ծախսերը (մլն դրամ)</w:t>
      </w:r>
      <w:bookmarkEnd w:id="313"/>
      <w:bookmarkEnd w:id="314"/>
    </w:p>
    <w:tbl>
      <w:tblPr>
        <w:tblW w:w="5316" w:type="pct"/>
        <w:tblInd w:w="-12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163"/>
        <w:gridCol w:w="1449"/>
        <w:gridCol w:w="1261"/>
        <w:gridCol w:w="1517"/>
        <w:gridCol w:w="1611"/>
        <w:gridCol w:w="1448"/>
      </w:tblGrid>
      <w:tr w:rsidR="00242CCC" w:rsidRPr="00C74BDD" w:rsidTr="00650C81">
        <w:trPr>
          <w:trHeight w:val="20"/>
          <w:tblHeader/>
        </w:trPr>
        <w:tc>
          <w:tcPr>
            <w:tcW w:w="1513" w:type="pct"/>
            <w:tcBorders>
              <w:top w:val="double" w:sz="4" w:space="0" w:color="auto"/>
              <w:left w:val="double" w:sz="4" w:space="0" w:color="auto"/>
              <w:bottom w:val="double" w:sz="4" w:space="0" w:color="auto"/>
              <w:right w:val="single" w:sz="6" w:space="0" w:color="auto"/>
            </w:tcBorders>
            <w:shd w:val="clear" w:color="auto" w:fill="4F81BD" w:themeFill="accent1"/>
            <w:tcMar>
              <w:top w:w="0" w:type="dxa"/>
              <w:left w:w="57" w:type="dxa"/>
              <w:bottom w:w="0" w:type="dxa"/>
              <w:right w:w="85" w:type="dxa"/>
            </w:tcMar>
            <w:vAlign w:val="center"/>
            <w:hideMark/>
          </w:tcPr>
          <w:p w:rsidR="00242CCC" w:rsidRPr="00C74BDD" w:rsidRDefault="00242CCC" w:rsidP="00650C81">
            <w:pPr>
              <w:spacing w:before="0" w:line="276" w:lineRule="auto"/>
              <w:jc w:val="center"/>
              <w:rPr>
                <w:rFonts w:cs="Arial"/>
                <w:b w:val="0"/>
                <w:color w:val="FFFFFF" w:themeColor="background1"/>
                <w:sz w:val="20"/>
                <w:szCs w:val="20"/>
                <w:lang w:val="hy-AM"/>
              </w:rPr>
            </w:pPr>
            <w:r w:rsidRPr="00C74BDD">
              <w:rPr>
                <w:rFonts w:cs="Arial"/>
                <w:b w:val="0"/>
                <w:color w:val="FFFFFF" w:themeColor="background1"/>
                <w:sz w:val="20"/>
                <w:szCs w:val="20"/>
                <w:lang w:val="hy-AM"/>
              </w:rPr>
              <w:t>Ցուցանիշներ</w:t>
            </w:r>
          </w:p>
        </w:tc>
        <w:tc>
          <w:tcPr>
            <w:tcW w:w="693" w:type="pct"/>
            <w:tcBorders>
              <w:top w:val="double" w:sz="4" w:space="0" w:color="auto"/>
              <w:left w:val="single" w:sz="6" w:space="0" w:color="auto"/>
              <w:bottom w:val="double" w:sz="4" w:space="0" w:color="auto"/>
              <w:right w:val="single" w:sz="6" w:space="0" w:color="auto"/>
            </w:tcBorders>
            <w:shd w:val="clear" w:color="auto" w:fill="4F81BD" w:themeFill="accent1"/>
            <w:tcMar>
              <w:top w:w="0" w:type="dxa"/>
              <w:left w:w="57" w:type="dxa"/>
              <w:bottom w:w="0" w:type="dxa"/>
              <w:right w:w="85" w:type="dxa"/>
            </w:tcMar>
            <w:vAlign w:val="center"/>
            <w:hideMark/>
          </w:tcPr>
          <w:p w:rsidR="00242CCC" w:rsidRPr="00C74BDD" w:rsidRDefault="00242CCC" w:rsidP="00650C81">
            <w:pPr>
              <w:spacing w:before="0" w:line="276" w:lineRule="auto"/>
              <w:ind w:firstLine="0"/>
              <w:jc w:val="left"/>
              <w:rPr>
                <w:rFonts w:cs="Arial"/>
                <w:b w:val="0"/>
                <w:color w:val="FFFFFF" w:themeColor="background1"/>
                <w:sz w:val="20"/>
                <w:szCs w:val="20"/>
                <w:lang w:val="hy-AM"/>
              </w:rPr>
            </w:pPr>
            <w:r w:rsidRPr="00C74BDD">
              <w:rPr>
                <w:rFonts w:cs="Arial"/>
                <w:b w:val="0"/>
                <w:color w:val="FFFFFF" w:themeColor="background1"/>
                <w:sz w:val="20"/>
                <w:szCs w:val="20"/>
                <w:lang w:val="hy-AM"/>
              </w:rPr>
              <w:t>2019թ</w:t>
            </w:r>
            <w:r w:rsidRPr="00C74BDD">
              <w:rPr>
                <w:rFonts w:ascii="Cambria Math" w:hAnsi="Cambria Math" w:cs="Cambria Math"/>
                <w:b w:val="0"/>
                <w:color w:val="FFFFFF" w:themeColor="background1"/>
                <w:sz w:val="20"/>
                <w:szCs w:val="20"/>
                <w:lang w:val="hy-AM"/>
              </w:rPr>
              <w:t>․</w:t>
            </w:r>
            <w:r w:rsidRPr="00C74BDD">
              <w:rPr>
                <w:rFonts w:cs="Arial"/>
                <w:b w:val="0"/>
                <w:color w:val="FFFFFF" w:themeColor="background1"/>
                <w:sz w:val="20"/>
                <w:szCs w:val="20"/>
                <w:lang w:val="hy-AM"/>
              </w:rPr>
              <w:t xml:space="preserve">  փաստացի</w:t>
            </w:r>
          </w:p>
        </w:tc>
        <w:tc>
          <w:tcPr>
            <w:tcW w:w="603" w:type="pct"/>
            <w:tcBorders>
              <w:top w:val="double" w:sz="4" w:space="0" w:color="auto"/>
              <w:left w:val="single" w:sz="6" w:space="0" w:color="auto"/>
              <w:bottom w:val="double" w:sz="4" w:space="0" w:color="auto"/>
              <w:right w:val="single" w:sz="6" w:space="0" w:color="auto"/>
            </w:tcBorders>
            <w:shd w:val="clear" w:color="auto" w:fill="4F81BD" w:themeFill="accent1"/>
            <w:vAlign w:val="center"/>
            <w:hideMark/>
          </w:tcPr>
          <w:p w:rsidR="00242CCC" w:rsidRPr="00C74BDD" w:rsidRDefault="00242CCC" w:rsidP="00650C81">
            <w:pPr>
              <w:spacing w:before="0" w:line="276" w:lineRule="auto"/>
              <w:ind w:firstLine="0"/>
              <w:jc w:val="left"/>
              <w:rPr>
                <w:rFonts w:cs="Arial"/>
                <w:b w:val="0"/>
                <w:color w:val="FFFFFF" w:themeColor="background1"/>
                <w:sz w:val="20"/>
                <w:szCs w:val="20"/>
                <w:lang w:val="hy-AM"/>
              </w:rPr>
            </w:pPr>
            <w:r w:rsidRPr="00C74BDD">
              <w:rPr>
                <w:rFonts w:cs="Arial"/>
                <w:b w:val="0"/>
                <w:color w:val="FFFFFF" w:themeColor="background1"/>
                <w:sz w:val="20"/>
                <w:szCs w:val="20"/>
                <w:lang w:val="hy-AM"/>
              </w:rPr>
              <w:t>2020թ</w:t>
            </w:r>
            <w:r w:rsidRPr="00C74BDD">
              <w:rPr>
                <w:rFonts w:ascii="Cambria Math" w:hAnsi="Cambria Math" w:cs="Cambria Math"/>
                <w:b w:val="0"/>
                <w:color w:val="FFFFFF" w:themeColor="background1"/>
                <w:sz w:val="20"/>
                <w:szCs w:val="20"/>
                <w:lang w:val="hy-AM"/>
              </w:rPr>
              <w:t>․</w:t>
            </w:r>
            <w:r w:rsidRPr="00C74BDD">
              <w:rPr>
                <w:rFonts w:cs="Arial"/>
                <w:b w:val="0"/>
                <w:color w:val="FFFFFF" w:themeColor="background1"/>
                <w:sz w:val="20"/>
                <w:szCs w:val="20"/>
                <w:lang w:val="hy-AM"/>
              </w:rPr>
              <w:t xml:space="preserve"> փաստացի</w:t>
            </w:r>
          </w:p>
        </w:tc>
        <w:tc>
          <w:tcPr>
            <w:tcW w:w="726" w:type="pct"/>
            <w:tcBorders>
              <w:top w:val="double" w:sz="4" w:space="0" w:color="auto"/>
              <w:left w:val="single" w:sz="6" w:space="0" w:color="auto"/>
              <w:bottom w:val="double" w:sz="4" w:space="0" w:color="auto"/>
              <w:right w:val="double" w:sz="4" w:space="0" w:color="auto"/>
            </w:tcBorders>
            <w:shd w:val="clear" w:color="auto" w:fill="4F81BD" w:themeFill="accent1"/>
            <w:vAlign w:val="center"/>
            <w:hideMark/>
          </w:tcPr>
          <w:p w:rsidR="00242CCC" w:rsidRPr="00C74BDD" w:rsidRDefault="00242CCC" w:rsidP="00650C81">
            <w:pPr>
              <w:spacing w:before="0" w:line="276" w:lineRule="auto"/>
              <w:ind w:firstLine="0"/>
              <w:jc w:val="left"/>
              <w:rPr>
                <w:rFonts w:cs="Arial"/>
                <w:b w:val="0"/>
                <w:color w:val="FFFFFF" w:themeColor="background1"/>
                <w:sz w:val="20"/>
                <w:szCs w:val="20"/>
                <w:lang w:val="hy-AM"/>
              </w:rPr>
            </w:pPr>
            <w:r w:rsidRPr="00C74BDD">
              <w:rPr>
                <w:rFonts w:cs="Arial"/>
                <w:b w:val="0"/>
                <w:color w:val="FFFFFF" w:themeColor="background1"/>
                <w:sz w:val="20"/>
                <w:szCs w:val="20"/>
                <w:lang w:val="hy-AM"/>
              </w:rPr>
              <w:t>2021թ</w:t>
            </w:r>
            <w:r w:rsidRPr="00C74BDD">
              <w:rPr>
                <w:rFonts w:ascii="Cambria Math" w:hAnsi="Cambria Math" w:cs="Cambria Math"/>
                <w:b w:val="0"/>
                <w:color w:val="FFFFFF" w:themeColor="background1"/>
                <w:sz w:val="20"/>
                <w:szCs w:val="20"/>
                <w:lang w:val="hy-AM"/>
              </w:rPr>
              <w:t>․</w:t>
            </w:r>
            <w:r w:rsidRPr="00C74BDD">
              <w:rPr>
                <w:rFonts w:cs="Arial"/>
                <w:b w:val="0"/>
                <w:color w:val="FFFFFF" w:themeColor="background1"/>
                <w:sz w:val="20"/>
                <w:szCs w:val="20"/>
                <w:lang w:val="hy-AM"/>
              </w:rPr>
              <w:t xml:space="preserve"> փաստացի</w:t>
            </w:r>
          </w:p>
        </w:tc>
        <w:tc>
          <w:tcPr>
            <w:tcW w:w="771" w:type="pct"/>
            <w:tcBorders>
              <w:top w:val="double" w:sz="4" w:space="0" w:color="auto"/>
              <w:left w:val="single" w:sz="6" w:space="0" w:color="auto"/>
              <w:bottom w:val="double" w:sz="4" w:space="0" w:color="auto"/>
              <w:right w:val="double" w:sz="4" w:space="0" w:color="auto"/>
            </w:tcBorders>
            <w:shd w:val="clear" w:color="auto" w:fill="4F81BD" w:themeFill="accent1"/>
            <w:vAlign w:val="center"/>
          </w:tcPr>
          <w:p w:rsidR="00242CCC" w:rsidRPr="00C74BDD" w:rsidRDefault="00242CCC" w:rsidP="00650C81">
            <w:pPr>
              <w:spacing w:before="0" w:line="276" w:lineRule="auto"/>
              <w:ind w:firstLine="0"/>
              <w:jc w:val="left"/>
              <w:rPr>
                <w:rFonts w:cs="Arial"/>
                <w:b w:val="0"/>
                <w:color w:val="FFFFFF" w:themeColor="background1"/>
                <w:sz w:val="20"/>
                <w:szCs w:val="20"/>
                <w:lang w:val="hy-AM"/>
              </w:rPr>
            </w:pPr>
            <w:r w:rsidRPr="00C74BDD">
              <w:rPr>
                <w:rFonts w:cs="Arial"/>
                <w:b w:val="0"/>
                <w:color w:val="FFFFFF" w:themeColor="background1"/>
                <w:sz w:val="20"/>
                <w:szCs w:val="20"/>
                <w:lang w:val="hy-AM"/>
              </w:rPr>
              <w:t>2022թ</w:t>
            </w:r>
            <w:r w:rsidRPr="00C74BDD">
              <w:rPr>
                <w:rFonts w:ascii="Cambria Math" w:hAnsi="Cambria Math" w:cs="Cambria Math"/>
                <w:b w:val="0"/>
                <w:color w:val="FFFFFF" w:themeColor="background1"/>
                <w:sz w:val="20"/>
                <w:szCs w:val="20"/>
                <w:lang w:val="hy-AM"/>
              </w:rPr>
              <w:t>․</w:t>
            </w:r>
            <w:r w:rsidRPr="00C74BDD">
              <w:rPr>
                <w:rFonts w:cs="Arial"/>
                <w:b w:val="0"/>
                <w:color w:val="FFFFFF" w:themeColor="background1"/>
                <w:sz w:val="20"/>
                <w:szCs w:val="20"/>
                <w:lang w:val="hy-AM"/>
              </w:rPr>
              <w:t xml:space="preserve"> հաստատված</w:t>
            </w:r>
          </w:p>
        </w:tc>
        <w:tc>
          <w:tcPr>
            <w:tcW w:w="693" w:type="pct"/>
            <w:tcBorders>
              <w:top w:val="double" w:sz="4" w:space="0" w:color="auto"/>
              <w:left w:val="single" w:sz="6" w:space="0" w:color="auto"/>
              <w:bottom w:val="double" w:sz="4" w:space="0" w:color="auto"/>
              <w:right w:val="double" w:sz="4" w:space="0" w:color="auto"/>
            </w:tcBorders>
            <w:shd w:val="clear" w:color="auto" w:fill="4F81BD" w:themeFill="accent1"/>
          </w:tcPr>
          <w:p w:rsidR="00242CCC" w:rsidRPr="00C74BDD" w:rsidRDefault="00242CCC" w:rsidP="00650C81">
            <w:pPr>
              <w:spacing w:before="0" w:line="276" w:lineRule="auto"/>
              <w:ind w:firstLine="0"/>
              <w:jc w:val="left"/>
              <w:rPr>
                <w:rFonts w:cs="Arial"/>
                <w:b w:val="0"/>
                <w:color w:val="FFFFFF" w:themeColor="background1"/>
                <w:sz w:val="20"/>
                <w:szCs w:val="20"/>
                <w:lang w:val="hy-AM"/>
              </w:rPr>
            </w:pPr>
            <w:r w:rsidRPr="00C74BDD">
              <w:rPr>
                <w:rFonts w:cs="Arial"/>
                <w:b w:val="0"/>
                <w:color w:val="FFFFFF" w:themeColor="background1"/>
                <w:sz w:val="20"/>
                <w:szCs w:val="20"/>
                <w:lang w:val="hy-AM"/>
              </w:rPr>
              <w:t>2023թ. նախագիծ</w:t>
            </w:r>
          </w:p>
        </w:tc>
      </w:tr>
      <w:tr w:rsidR="00242CCC" w:rsidRPr="00C74BDD" w:rsidTr="00650C81">
        <w:trPr>
          <w:trHeight w:val="20"/>
        </w:trPr>
        <w:tc>
          <w:tcPr>
            <w:tcW w:w="1513" w:type="pct"/>
            <w:tcBorders>
              <w:top w:val="double" w:sz="4" w:space="0" w:color="auto"/>
              <w:left w:val="double" w:sz="4"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rsidR="00242CCC" w:rsidRPr="00C74BDD" w:rsidRDefault="00242CCC" w:rsidP="00650C81">
            <w:pPr>
              <w:spacing w:before="0" w:line="276" w:lineRule="auto"/>
              <w:ind w:firstLine="0"/>
              <w:jc w:val="left"/>
              <w:rPr>
                <w:rFonts w:cs="Arial"/>
                <w:sz w:val="20"/>
                <w:szCs w:val="20"/>
                <w:lang w:val="hy-AM"/>
              </w:rPr>
            </w:pPr>
            <w:r w:rsidRPr="00C74BDD">
              <w:rPr>
                <w:rFonts w:cs="Arial"/>
                <w:sz w:val="20"/>
                <w:szCs w:val="20"/>
                <w:lang w:val="hy-AM"/>
              </w:rPr>
              <w:t>ՍՈՑԻԱԼԱԿԱՆ ՈԼՈՐՏ ԸՆԴԱՄԵՆԸ</w:t>
            </w:r>
          </w:p>
        </w:tc>
        <w:tc>
          <w:tcPr>
            <w:tcW w:w="693" w:type="pct"/>
            <w:tcBorders>
              <w:top w:val="double" w:sz="4" w:space="0" w:color="auto"/>
              <w:left w:val="single" w:sz="6" w:space="0" w:color="auto"/>
              <w:bottom w:val="single" w:sz="4" w:space="0" w:color="auto"/>
              <w:right w:val="single" w:sz="6" w:space="0" w:color="auto"/>
            </w:tcBorders>
            <w:shd w:val="clear" w:color="auto" w:fill="C6D9F1" w:themeFill="text2" w:themeFillTint="33"/>
            <w:tcMar>
              <w:top w:w="0" w:type="dxa"/>
              <w:left w:w="57" w:type="dxa"/>
              <w:bottom w:w="0" w:type="dxa"/>
              <w:right w:w="85" w:type="dxa"/>
            </w:tcMar>
            <w:vAlign w:val="center"/>
            <w:hideMark/>
          </w:tcPr>
          <w:p w:rsidR="00242CCC" w:rsidRPr="00C74BDD" w:rsidRDefault="00242CCC" w:rsidP="009D2783">
            <w:pPr>
              <w:spacing w:before="0" w:line="276" w:lineRule="auto"/>
              <w:ind w:firstLine="0"/>
              <w:jc w:val="right"/>
              <w:rPr>
                <w:rFonts w:cs="Arial"/>
                <w:sz w:val="20"/>
                <w:szCs w:val="20"/>
                <w:lang w:val="hy-AM"/>
              </w:rPr>
            </w:pPr>
            <w:r w:rsidRPr="00C74BDD">
              <w:rPr>
                <w:rFonts w:cs="Arial"/>
                <w:sz w:val="20"/>
                <w:szCs w:val="20"/>
                <w:lang w:val="hy-AM"/>
              </w:rPr>
              <w:t xml:space="preserve">716,099.00 </w:t>
            </w:r>
          </w:p>
        </w:tc>
        <w:tc>
          <w:tcPr>
            <w:tcW w:w="603" w:type="pct"/>
            <w:tcBorders>
              <w:top w:val="double" w:sz="4" w:space="0" w:color="auto"/>
              <w:left w:val="single" w:sz="6" w:space="0" w:color="auto"/>
              <w:bottom w:val="single" w:sz="4" w:space="0" w:color="auto"/>
              <w:right w:val="single" w:sz="6" w:space="0" w:color="auto"/>
            </w:tcBorders>
            <w:shd w:val="clear" w:color="auto" w:fill="C6D9F1" w:themeFill="text2" w:themeFillTint="33"/>
            <w:tcMar>
              <w:top w:w="0" w:type="dxa"/>
              <w:left w:w="30" w:type="dxa"/>
              <w:bottom w:w="0" w:type="dxa"/>
              <w:right w:w="30" w:type="dxa"/>
            </w:tcMar>
            <w:vAlign w:val="center"/>
            <w:hideMark/>
          </w:tcPr>
          <w:p w:rsidR="00242CCC" w:rsidRPr="00C74BDD" w:rsidRDefault="00242CCC" w:rsidP="009D2783">
            <w:pPr>
              <w:spacing w:before="0" w:line="276" w:lineRule="auto"/>
              <w:ind w:firstLine="0"/>
              <w:jc w:val="right"/>
              <w:rPr>
                <w:rFonts w:cs="Arial"/>
                <w:sz w:val="20"/>
                <w:szCs w:val="20"/>
                <w:lang w:val="hy-AM"/>
              </w:rPr>
            </w:pPr>
            <w:r w:rsidRPr="00C74BDD">
              <w:rPr>
                <w:rFonts w:cs="Arial"/>
                <w:sz w:val="20"/>
                <w:szCs w:val="20"/>
                <w:lang w:val="hy-AM"/>
              </w:rPr>
              <w:t>872,233.8</w:t>
            </w:r>
          </w:p>
        </w:tc>
        <w:tc>
          <w:tcPr>
            <w:tcW w:w="726" w:type="pct"/>
            <w:tcBorders>
              <w:top w:val="double" w:sz="4" w:space="0" w:color="auto"/>
              <w:left w:val="single" w:sz="6" w:space="0" w:color="auto"/>
              <w:bottom w:val="single" w:sz="4" w:space="0" w:color="auto"/>
              <w:right w:val="double" w:sz="4" w:space="0" w:color="auto"/>
            </w:tcBorders>
            <w:shd w:val="clear" w:color="auto" w:fill="C6D9F1" w:themeFill="text2" w:themeFillTint="33"/>
            <w:tcMar>
              <w:top w:w="0" w:type="dxa"/>
              <w:left w:w="30" w:type="dxa"/>
              <w:bottom w:w="0" w:type="dxa"/>
              <w:right w:w="30" w:type="dxa"/>
            </w:tcMar>
            <w:vAlign w:val="center"/>
            <w:hideMark/>
          </w:tcPr>
          <w:p w:rsidR="00242CCC" w:rsidRPr="00C74BDD" w:rsidRDefault="00D82AD1" w:rsidP="009D2783">
            <w:pPr>
              <w:spacing w:before="0" w:line="276" w:lineRule="auto"/>
              <w:ind w:firstLine="0"/>
              <w:jc w:val="right"/>
              <w:rPr>
                <w:rFonts w:cs="Arial"/>
                <w:sz w:val="20"/>
                <w:szCs w:val="20"/>
                <w:lang w:val="hy-AM"/>
              </w:rPr>
            </w:pPr>
            <w:r w:rsidRPr="00C74BDD">
              <w:rPr>
                <w:rFonts w:cs="Arial"/>
                <w:sz w:val="20"/>
                <w:szCs w:val="20"/>
              </w:rPr>
              <w:t>960,012.6</w:t>
            </w:r>
          </w:p>
        </w:tc>
        <w:tc>
          <w:tcPr>
            <w:tcW w:w="771" w:type="pct"/>
            <w:tcBorders>
              <w:top w:val="double" w:sz="4" w:space="0" w:color="auto"/>
              <w:left w:val="single" w:sz="6" w:space="0" w:color="auto"/>
              <w:bottom w:val="single" w:sz="4" w:space="0" w:color="auto"/>
              <w:right w:val="double" w:sz="4" w:space="0" w:color="auto"/>
            </w:tcBorders>
            <w:shd w:val="clear" w:color="auto" w:fill="C6D9F1" w:themeFill="text2" w:themeFillTint="33"/>
            <w:vAlign w:val="center"/>
          </w:tcPr>
          <w:p w:rsidR="00242CCC" w:rsidRPr="00C74BDD" w:rsidRDefault="00242CCC" w:rsidP="009D2783">
            <w:pPr>
              <w:spacing w:before="0" w:line="276" w:lineRule="auto"/>
              <w:ind w:firstLine="0"/>
              <w:jc w:val="right"/>
              <w:rPr>
                <w:rFonts w:cs="Arial"/>
                <w:sz w:val="20"/>
                <w:szCs w:val="20"/>
                <w:lang w:val="hy-AM"/>
              </w:rPr>
            </w:pPr>
            <w:r w:rsidRPr="00C74BDD">
              <w:rPr>
                <w:rFonts w:cs="Arial"/>
                <w:sz w:val="20"/>
                <w:szCs w:val="20"/>
                <w:lang w:val="hy-AM"/>
              </w:rPr>
              <w:t>929,603.0</w:t>
            </w:r>
          </w:p>
        </w:tc>
        <w:tc>
          <w:tcPr>
            <w:tcW w:w="693" w:type="pct"/>
            <w:tcBorders>
              <w:top w:val="double" w:sz="4" w:space="0" w:color="auto"/>
              <w:left w:val="single" w:sz="6" w:space="0" w:color="auto"/>
              <w:bottom w:val="single" w:sz="4" w:space="0" w:color="auto"/>
              <w:right w:val="double" w:sz="4" w:space="0" w:color="auto"/>
            </w:tcBorders>
            <w:shd w:val="clear" w:color="auto" w:fill="C6D9F1" w:themeFill="text2" w:themeFillTint="33"/>
            <w:vAlign w:val="center"/>
          </w:tcPr>
          <w:p w:rsidR="00242CCC" w:rsidRPr="00C74BDD" w:rsidRDefault="00242CCC" w:rsidP="009D2783">
            <w:pPr>
              <w:spacing w:before="0" w:line="276" w:lineRule="auto"/>
              <w:ind w:firstLine="0"/>
              <w:jc w:val="right"/>
              <w:rPr>
                <w:rFonts w:cs="Arial"/>
                <w:sz w:val="20"/>
                <w:szCs w:val="20"/>
                <w:lang w:val="hy-AM"/>
              </w:rPr>
            </w:pPr>
            <w:r w:rsidRPr="00C74BDD">
              <w:rPr>
                <w:rFonts w:eastAsiaTheme="minorHAnsi" w:cs="Cambria Math"/>
                <w:bCs/>
                <w:sz w:val="20"/>
                <w:szCs w:val="20"/>
                <w:lang w:val="en-US" w:eastAsia="en-US"/>
              </w:rPr>
              <w:t>1,0</w:t>
            </w:r>
            <w:r>
              <w:rPr>
                <w:rFonts w:eastAsiaTheme="minorHAnsi" w:cs="Cambria Math"/>
                <w:bCs/>
                <w:sz w:val="20"/>
                <w:szCs w:val="20"/>
                <w:lang w:val="en-US" w:eastAsia="en-US"/>
              </w:rPr>
              <w:t>50</w:t>
            </w:r>
            <w:r w:rsidRPr="00C74BDD">
              <w:rPr>
                <w:rFonts w:eastAsiaTheme="minorHAnsi" w:cs="Cambria Math"/>
                <w:bCs/>
                <w:sz w:val="20"/>
                <w:szCs w:val="20"/>
                <w:lang w:val="en-US" w:eastAsia="en-US"/>
              </w:rPr>
              <w:t>,</w:t>
            </w:r>
            <w:r>
              <w:rPr>
                <w:rFonts w:eastAsiaTheme="minorHAnsi" w:cs="Cambria Math"/>
                <w:bCs/>
                <w:sz w:val="20"/>
                <w:szCs w:val="20"/>
                <w:lang w:eastAsia="en-US"/>
              </w:rPr>
              <w:t>7</w:t>
            </w:r>
            <w:r>
              <w:rPr>
                <w:rFonts w:eastAsiaTheme="minorHAnsi" w:cs="Cambria Math"/>
                <w:bCs/>
                <w:sz w:val="20"/>
                <w:szCs w:val="20"/>
                <w:lang w:val="en-US" w:eastAsia="en-US"/>
              </w:rPr>
              <w:t>24</w:t>
            </w:r>
            <w:r w:rsidRPr="00C74BDD">
              <w:rPr>
                <w:rFonts w:eastAsiaTheme="minorHAnsi" w:cs="Cambria Math"/>
                <w:bCs/>
                <w:sz w:val="20"/>
                <w:szCs w:val="20"/>
                <w:lang w:val="en-US" w:eastAsia="en-US"/>
              </w:rPr>
              <w:t>.</w:t>
            </w:r>
            <w:r>
              <w:rPr>
                <w:rFonts w:eastAsiaTheme="minorHAnsi" w:cs="Cambria Math"/>
                <w:bCs/>
                <w:sz w:val="20"/>
                <w:szCs w:val="20"/>
                <w:lang w:val="en-US" w:eastAsia="en-US"/>
              </w:rPr>
              <w:t>2</w:t>
            </w:r>
          </w:p>
        </w:tc>
      </w:tr>
      <w:tr w:rsidR="00242CCC" w:rsidRPr="00C74BDD" w:rsidTr="00650C81">
        <w:trPr>
          <w:trHeight w:val="20"/>
        </w:trPr>
        <w:tc>
          <w:tcPr>
            <w:tcW w:w="1513" w:type="pct"/>
            <w:tcBorders>
              <w:top w:val="single" w:sz="6" w:space="0" w:color="auto"/>
              <w:left w:val="double" w:sz="4" w:space="0" w:color="auto"/>
              <w:bottom w:val="single" w:sz="6" w:space="0" w:color="auto"/>
              <w:right w:val="single" w:sz="6" w:space="0" w:color="auto"/>
            </w:tcBorders>
            <w:tcMar>
              <w:top w:w="0" w:type="dxa"/>
              <w:left w:w="108" w:type="dxa"/>
              <w:bottom w:w="0" w:type="dxa"/>
              <w:right w:w="108" w:type="dxa"/>
            </w:tcMar>
            <w:hideMark/>
          </w:tcPr>
          <w:p w:rsidR="00242CCC" w:rsidRPr="00C74BDD" w:rsidRDefault="00242CCC" w:rsidP="00650C81">
            <w:pPr>
              <w:spacing w:before="0" w:line="276" w:lineRule="auto"/>
              <w:ind w:firstLine="0"/>
              <w:jc w:val="left"/>
              <w:rPr>
                <w:rFonts w:cs="Arial"/>
                <w:b w:val="0"/>
                <w:bCs/>
                <w:sz w:val="20"/>
                <w:szCs w:val="20"/>
                <w:lang w:val="hy-AM"/>
              </w:rPr>
            </w:pPr>
            <w:r w:rsidRPr="00C74BDD">
              <w:rPr>
                <w:rFonts w:cs="Arial"/>
                <w:b w:val="0"/>
                <w:bCs/>
                <w:sz w:val="20"/>
                <w:szCs w:val="20"/>
                <w:lang w:val="hy-AM"/>
              </w:rPr>
              <w:t>- Հարաբերությունը ՀՆԱ-ի նկատմամբ (%)</w:t>
            </w:r>
          </w:p>
        </w:tc>
        <w:tc>
          <w:tcPr>
            <w:tcW w:w="693"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10.9%</w:t>
            </w:r>
          </w:p>
        </w:tc>
        <w:tc>
          <w:tcPr>
            <w:tcW w:w="603"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14.1%</w:t>
            </w:r>
          </w:p>
        </w:tc>
        <w:tc>
          <w:tcPr>
            <w:tcW w:w="726" w:type="pct"/>
            <w:tcBorders>
              <w:top w:val="single" w:sz="6" w:space="0" w:color="auto"/>
              <w:left w:val="single" w:sz="6" w:space="0" w:color="auto"/>
              <w:bottom w:val="single" w:sz="6" w:space="0" w:color="auto"/>
              <w:right w:val="double" w:sz="4" w:space="0" w:color="auto"/>
            </w:tcBorders>
            <w:tcMar>
              <w:top w:w="0" w:type="dxa"/>
              <w:left w:w="108" w:type="dxa"/>
              <w:bottom w:w="0" w:type="dxa"/>
              <w:right w:w="108" w:type="dxa"/>
            </w:tcMar>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11.8%</w:t>
            </w:r>
          </w:p>
        </w:tc>
        <w:tc>
          <w:tcPr>
            <w:tcW w:w="771" w:type="pct"/>
            <w:tcBorders>
              <w:top w:val="single" w:sz="6" w:space="0" w:color="auto"/>
              <w:left w:val="single" w:sz="6" w:space="0" w:color="auto"/>
              <w:bottom w:val="single" w:sz="6" w:space="0" w:color="auto"/>
              <w:right w:val="double" w:sz="4" w:space="0" w:color="auto"/>
            </w:tcBorders>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11.8%</w:t>
            </w:r>
          </w:p>
        </w:tc>
        <w:tc>
          <w:tcPr>
            <w:tcW w:w="693" w:type="pct"/>
            <w:tcBorders>
              <w:top w:val="single" w:sz="6" w:space="0" w:color="auto"/>
              <w:left w:val="single" w:sz="6" w:space="0" w:color="auto"/>
              <w:bottom w:val="single" w:sz="6" w:space="0" w:color="auto"/>
              <w:right w:val="double" w:sz="4" w:space="0" w:color="auto"/>
            </w:tcBorders>
          </w:tcPr>
          <w:p w:rsidR="00242CCC" w:rsidRPr="00C74BDD" w:rsidRDefault="00242CCC" w:rsidP="009D2783">
            <w:pPr>
              <w:spacing w:before="0" w:line="276" w:lineRule="auto"/>
              <w:ind w:firstLine="0"/>
              <w:jc w:val="right"/>
              <w:rPr>
                <w:rFonts w:cs="Arial"/>
                <w:b w:val="0"/>
                <w:bCs/>
                <w:sz w:val="20"/>
                <w:szCs w:val="20"/>
                <w:lang w:val="en-US"/>
              </w:rPr>
            </w:pPr>
            <w:r w:rsidRPr="00C74BDD">
              <w:rPr>
                <w:rFonts w:cs="Arial"/>
                <w:b w:val="0"/>
                <w:bCs/>
                <w:sz w:val="20"/>
                <w:szCs w:val="20"/>
                <w:lang w:val="en-US"/>
              </w:rPr>
              <w:t>11.</w:t>
            </w:r>
            <w:r>
              <w:rPr>
                <w:rFonts w:cs="Arial"/>
                <w:b w:val="0"/>
                <w:bCs/>
                <w:sz w:val="20"/>
                <w:szCs w:val="20"/>
                <w:lang w:val="en-US"/>
              </w:rPr>
              <w:t>3</w:t>
            </w:r>
            <w:r w:rsidRPr="00C74BDD">
              <w:rPr>
                <w:rFonts w:cs="Arial"/>
                <w:b w:val="0"/>
                <w:bCs/>
                <w:sz w:val="20"/>
                <w:szCs w:val="20"/>
                <w:lang w:val="en-US"/>
              </w:rPr>
              <w:t>%</w:t>
            </w:r>
          </w:p>
        </w:tc>
      </w:tr>
      <w:tr w:rsidR="00242CCC" w:rsidRPr="00C74BDD" w:rsidTr="00650C81">
        <w:trPr>
          <w:trHeight w:val="20"/>
        </w:trPr>
        <w:tc>
          <w:tcPr>
            <w:tcW w:w="1513" w:type="pct"/>
            <w:tcBorders>
              <w:top w:val="single" w:sz="6" w:space="0" w:color="auto"/>
              <w:left w:val="double" w:sz="4" w:space="0" w:color="auto"/>
              <w:bottom w:val="single" w:sz="6" w:space="0" w:color="auto"/>
              <w:right w:val="single" w:sz="6" w:space="0" w:color="auto"/>
            </w:tcBorders>
            <w:tcMar>
              <w:top w:w="0" w:type="dxa"/>
              <w:left w:w="108" w:type="dxa"/>
              <w:bottom w:w="0" w:type="dxa"/>
              <w:right w:w="108" w:type="dxa"/>
            </w:tcMar>
            <w:hideMark/>
          </w:tcPr>
          <w:p w:rsidR="00242CCC" w:rsidRPr="00C74BDD" w:rsidRDefault="00242CCC" w:rsidP="00650C81">
            <w:pPr>
              <w:spacing w:before="0" w:line="276" w:lineRule="auto"/>
              <w:ind w:firstLine="0"/>
              <w:jc w:val="left"/>
              <w:rPr>
                <w:rFonts w:cs="Arial"/>
                <w:b w:val="0"/>
                <w:bCs/>
                <w:sz w:val="20"/>
                <w:szCs w:val="20"/>
                <w:lang w:val="hy-AM"/>
              </w:rPr>
            </w:pPr>
            <w:r w:rsidRPr="00C74BDD">
              <w:rPr>
                <w:rFonts w:cs="Arial"/>
                <w:b w:val="0"/>
                <w:bCs/>
                <w:sz w:val="20"/>
                <w:szCs w:val="20"/>
                <w:lang w:val="hy-AM"/>
              </w:rPr>
              <w:t>- տեսակարար կշիռը ծախսերի ամբողջ ծավալում (%)</w:t>
            </w:r>
          </w:p>
        </w:tc>
        <w:tc>
          <w:tcPr>
            <w:tcW w:w="693"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43.9%</w:t>
            </w:r>
          </w:p>
        </w:tc>
        <w:tc>
          <w:tcPr>
            <w:tcW w:w="603"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46.0%</w:t>
            </w:r>
          </w:p>
        </w:tc>
        <w:tc>
          <w:tcPr>
            <w:tcW w:w="726" w:type="pct"/>
            <w:tcBorders>
              <w:top w:val="single" w:sz="6" w:space="0" w:color="auto"/>
              <w:left w:val="single" w:sz="6" w:space="0" w:color="auto"/>
              <w:bottom w:val="single" w:sz="6" w:space="0" w:color="auto"/>
              <w:right w:val="double" w:sz="4" w:space="0" w:color="auto"/>
            </w:tcBorders>
            <w:tcMar>
              <w:top w:w="0" w:type="dxa"/>
              <w:left w:w="108" w:type="dxa"/>
              <w:bottom w:w="0" w:type="dxa"/>
              <w:right w:w="108" w:type="dxa"/>
            </w:tcMar>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42.6%</w:t>
            </w:r>
          </w:p>
        </w:tc>
        <w:tc>
          <w:tcPr>
            <w:tcW w:w="771" w:type="pct"/>
            <w:tcBorders>
              <w:top w:val="single" w:sz="6" w:space="0" w:color="auto"/>
              <w:left w:val="single" w:sz="6" w:space="0" w:color="auto"/>
              <w:bottom w:val="single" w:sz="6" w:space="0" w:color="auto"/>
              <w:right w:val="double" w:sz="4" w:space="0" w:color="auto"/>
            </w:tcBorders>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42.6%</w:t>
            </w:r>
          </w:p>
        </w:tc>
        <w:tc>
          <w:tcPr>
            <w:tcW w:w="693" w:type="pct"/>
            <w:tcBorders>
              <w:top w:val="single" w:sz="6" w:space="0" w:color="auto"/>
              <w:left w:val="single" w:sz="6" w:space="0" w:color="auto"/>
              <w:bottom w:val="single" w:sz="6" w:space="0" w:color="auto"/>
              <w:right w:val="double" w:sz="4" w:space="0" w:color="auto"/>
            </w:tcBorders>
          </w:tcPr>
          <w:p w:rsidR="00242CCC" w:rsidRPr="00C74BDD" w:rsidRDefault="00242CCC" w:rsidP="009D2783">
            <w:pPr>
              <w:spacing w:before="0" w:line="276" w:lineRule="auto"/>
              <w:ind w:firstLine="0"/>
              <w:jc w:val="right"/>
              <w:rPr>
                <w:rFonts w:cs="Arial"/>
                <w:b w:val="0"/>
                <w:bCs/>
                <w:sz w:val="20"/>
                <w:szCs w:val="20"/>
                <w:lang w:val="en-US"/>
              </w:rPr>
            </w:pPr>
            <w:r w:rsidRPr="00C74BDD">
              <w:rPr>
                <w:rFonts w:cs="Arial"/>
                <w:b w:val="0"/>
                <w:bCs/>
                <w:sz w:val="20"/>
                <w:szCs w:val="20"/>
                <w:lang w:val="en-US"/>
              </w:rPr>
              <w:t>40.</w:t>
            </w:r>
            <w:r>
              <w:rPr>
                <w:rFonts w:cs="Arial"/>
                <w:b w:val="0"/>
                <w:bCs/>
                <w:sz w:val="20"/>
                <w:szCs w:val="20"/>
              </w:rPr>
              <w:t>6</w:t>
            </w:r>
            <w:r w:rsidRPr="00C74BDD">
              <w:rPr>
                <w:rFonts w:cs="Arial"/>
                <w:b w:val="0"/>
                <w:bCs/>
                <w:sz w:val="20"/>
                <w:szCs w:val="20"/>
                <w:lang w:val="en-US"/>
              </w:rPr>
              <w:t>%</w:t>
            </w:r>
          </w:p>
        </w:tc>
      </w:tr>
      <w:tr w:rsidR="00242CCC" w:rsidRPr="00C74BDD" w:rsidTr="00650C81">
        <w:trPr>
          <w:trHeight w:val="20"/>
        </w:trPr>
        <w:tc>
          <w:tcPr>
            <w:tcW w:w="1513" w:type="pct"/>
            <w:tcBorders>
              <w:top w:val="single" w:sz="6" w:space="0" w:color="auto"/>
              <w:left w:val="double" w:sz="4" w:space="0" w:color="auto"/>
              <w:bottom w:val="single" w:sz="6" w:space="0" w:color="auto"/>
              <w:right w:val="single" w:sz="4" w:space="0" w:color="auto"/>
            </w:tcBorders>
            <w:shd w:val="solid" w:color="FFFFFF" w:fill="auto"/>
            <w:tcMar>
              <w:top w:w="0" w:type="dxa"/>
              <w:left w:w="57" w:type="dxa"/>
              <w:bottom w:w="0" w:type="dxa"/>
              <w:right w:w="85" w:type="dxa"/>
            </w:tcMar>
            <w:vAlign w:val="center"/>
            <w:hideMark/>
          </w:tcPr>
          <w:p w:rsidR="00242CCC" w:rsidRPr="00C74BDD" w:rsidRDefault="00242CCC" w:rsidP="00650C81">
            <w:pPr>
              <w:spacing w:before="0" w:line="276" w:lineRule="auto"/>
              <w:ind w:firstLine="0"/>
              <w:jc w:val="left"/>
              <w:rPr>
                <w:rFonts w:cs="Arial"/>
                <w:sz w:val="20"/>
                <w:szCs w:val="20"/>
                <w:lang w:val="hy-AM"/>
              </w:rPr>
            </w:pPr>
            <w:r w:rsidRPr="00C74BDD">
              <w:rPr>
                <w:rFonts w:cs="Arial"/>
                <w:sz w:val="20"/>
                <w:szCs w:val="20"/>
                <w:lang w:val="hy-AM"/>
              </w:rPr>
              <w:t>այդ թվում`</w:t>
            </w:r>
          </w:p>
        </w:tc>
        <w:tc>
          <w:tcPr>
            <w:tcW w:w="693" w:type="pct"/>
            <w:tcBorders>
              <w:top w:val="single" w:sz="4" w:space="0" w:color="auto"/>
              <w:left w:val="single" w:sz="4" w:space="0" w:color="auto"/>
              <w:bottom w:val="single" w:sz="4" w:space="0" w:color="auto"/>
              <w:right w:val="single" w:sz="4" w:space="0" w:color="auto"/>
            </w:tcBorders>
            <w:shd w:val="solid" w:color="FFFFFF" w:fill="auto"/>
            <w:tcMar>
              <w:top w:w="0" w:type="dxa"/>
              <w:left w:w="57" w:type="dxa"/>
              <w:bottom w:w="0" w:type="dxa"/>
              <w:right w:w="85" w:type="dxa"/>
            </w:tcMar>
            <w:vAlign w:val="center"/>
          </w:tcPr>
          <w:p w:rsidR="00242CCC" w:rsidRPr="00C74BDD" w:rsidRDefault="00242CCC" w:rsidP="009D2783">
            <w:pPr>
              <w:spacing w:before="0" w:line="276" w:lineRule="auto"/>
              <w:ind w:firstLine="0"/>
              <w:jc w:val="right"/>
              <w:rPr>
                <w:rFonts w:cs="Arial"/>
                <w:b w:val="0"/>
                <w:bCs/>
                <w:sz w:val="20"/>
                <w:szCs w:val="20"/>
                <w:lang w:val="hy-AM"/>
              </w:rPr>
            </w:pPr>
          </w:p>
        </w:tc>
        <w:tc>
          <w:tcPr>
            <w:tcW w:w="603" w:type="pct"/>
            <w:tcBorders>
              <w:top w:val="single" w:sz="4" w:space="0" w:color="auto"/>
              <w:left w:val="single" w:sz="4" w:space="0" w:color="auto"/>
              <w:bottom w:val="single" w:sz="4" w:space="0" w:color="auto"/>
              <w:right w:val="single" w:sz="4" w:space="0" w:color="auto"/>
            </w:tcBorders>
            <w:shd w:val="solid" w:color="FFFFFF" w:fill="auto"/>
            <w:tcMar>
              <w:top w:w="0" w:type="dxa"/>
              <w:left w:w="30" w:type="dxa"/>
              <w:bottom w:w="0" w:type="dxa"/>
              <w:right w:w="30" w:type="dxa"/>
            </w:tcMar>
            <w:vAlign w:val="center"/>
          </w:tcPr>
          <w:p w:rsidR="00242CCC" w:rsidRPr="00C74BDD" w:rsidRDefault="00242CCC" w:rsidP="009D2783">
            <w:pPr>
              <w:spacing w:before="0" w:line="276" w:lineRule="auto"/>
              <w:ind w:firstLine="0"/>
              <w:jc w:val="right"/>
              <w:rPr>
                <w:rFonts w:cs="Arial"/>
                <w:b w:val="0"/>
                <w:bCs/>
                <w:sz w:val="20"/>
                <w:szCs w:val="20"/>
                <w:lang w:val="hy-AM"/>
              </w:rPr>
            </w:pPr>
          </w:p>
        </w:tc>
        <w:tc>
          <w:tcPr>
            <w:tcW w:w="726" w:type="pct"/>
            <w:tcBorders>
              <w:top w:val="single" w:sz="4" w:space="0" w:color="auto"/>
              <w:left w:val="single" w:sz="4" w:space="0" w:color="auto"/>
              <w:bottom w:val="single" w:sz="4" w:space="0" w:color="auto"/>
              <w:right w:val="double" w:sz="4" w:space="0" w:color="auto"/>
            </w:tcBorders>
            <w:shd w:val="solid" w:color="FFFFFF" w:fill="auto"/>
            <w:tcMar>
              <w:top w:w="0" w:type="dxa"/>
              <w:left w:w="30" w:type="dxa"/>
              <w:bottom w:w="0" w:type="dxa"/>
              <w:right w:w="30" w:type="dxa"/>
            </w:tcMar>
            <w:vAlign w:val="center"/>
          </w:tcPr>
          <w:p w:rsidR="00242CCC" w:rsidRPr="00C74BDD" w:rsidRDefault="00242CCC" w:rsidP="009D2783">
            <w:pPr>
              <w:spacing w:before="0" w:line="276" w:lineRule="auto"/>
              <w:ind w:firstLine="0"/>
              <w:jc w:val="right"/>
              <w:rPr>
                <w:rFonts w:cs="Arial"/>
                <w:b w:val="0"/>
                <w:bCs/>
                <w:sz w:val="20"/>
                <w:szCs w:val="20"/>
                <w:lang w:val="hy-AM"/>
              </w:rPr>
            </w:pPr>
          </w:p>
        </w:tc>
        <w:tc>
          <w:tcPr>
            <w:tcW w:w="771" w:type="pct"/>
            <w:tcBorders>
              <w:top w:val="single" w:sz="4" w:space="0" w:color="auto"/>
              <w:left w:val="single" w:sz="4" w:space="0" w:color="auto"/>
              <w:bottom w:val="single" w:sz="4" w:space="0" w:color="auto"/>
              <w:right w:val="double" w:sz="4" w:space="0" w:color="auto"/>
            </w:tcBorders>
            <w:shd w:val="solid" w:color="FFFFFF" w:fill="auto"/>
            <w:vAlign w:val="center"/>
          </w:tcPr>
          <w:p w:rsidR="00242CCC" w:rsidRPr="00C74BDD" w:rsidRDefault="00242CCC" w:rsidP="009D2783">
            <w:pPr>
              <w:spacing w:before="0" w:line="276" w:lineRule="auto"/>
              <w:ind w:firstLine="0"/>
              <w:jc w:val="right"/>
              <w:rPr>
                <w:rFonts w:cs="Arial"/>
                <w:b w:val="0"/>
                <w:bCs/>
                <w:sz w:val="20"/>
                <w:szCs w:val="20"/>
                <w:lang w:val="hy-AM"/>
              </w:rPr>
            </w:pPr>
          </w:p>
        </w:tc>
        <w:tc>
          <w:tcPr>
            <w:tcW w:w="693" w:type="pct"/>
            <w:tcBorders>
              <w:top w:val="single" w:sz="4" w:space="0" w:color="auto"/>
              <w:left w:val="single" w:sz="4" w:space="0" w:color="auto"/>
              <w:bottom w:val="single" w:sz="4" w:space="0" w:color="auto"/>
              <w:right w:val="double" w:sz="4" w:space="0" w:color="auto"/>
            </w:tcBorders>
            <w:shd w:val="solid" w:color="FFFFFF" w:fill="auto"/>
          </w:tcPr>
          <w:p w:rsidR="00242CCC" w:rsidRPr="00C74BDD" w:rsidRDefault="00242CCC" w:rsidP="009D2783">
            <w:pPr>
              <w:spacing w:before="0" w:line="276" w:lineRule="auto"/>
              <w:ind w:firstLine="0"/>
              <w:jc w:val="right"/>
              <w:rPr>
                <w:rFonts w:cs="Arial"/>
                <w:b w:val="0"/>
                <w:bCs/>
                <w:sz w:val="20"/>
                <w:szCs w:val="20"/>
                <w:lang w:val="hy-AM"/>
              </w:rPr>
            </w:pPr>
          </w:p>
        </w:tc>
      </w:tr>
      <w:tr w:rsidR="00242CCC" w:rsidRPr="00C74BDD" w:rsidTr="00650C81">
        <w:trPr>
          <w:trHeight w:val="20"/>
        </w:trPr>
        <w:tc>
          <w:tcPr>
            <w:tcW w:w="1513" w:type="pct"/>
            <w:tcBorders>
              <w:top w:val="single" w:sz="6" w:space="0" w:color="auto"/>
              <w:left w:val="double" w:sz="4" w:space="0" w:color="auto"/>
              <w:bottom w:val="single" w:sz="6" w:space="0" w:color="auto"/>
              <w:right w:val="single" w:sz="4" w:space="0" w:color="auto"/>
            </w:tcBorders>
            <w:shd w:val="clear" w:color="auto" w:fill="C6D9F1" w:themeFill="text2" w:themeFillTint="33"/>
            <w:tcMar>
              <w:top w:w="0" w:type="dxa"/>
              <w:left w:w="57" w:type="dxa"/>
              <w:bottom w:w="0" w:type="dxa"/>
              <w:right w:w="85" w:type="dxa"/>
            </w:tcMar>
            <w:vAlign w:val="center"/>
            <w:hideMark/>
          </w:tcPr>
          <w:p w:rsidR="00242CCC" w:rsidRPr="00C74BDD" w:rsidRDefault="00242CCC" w:rsidP="00650C81">
            <w:pPr>
              <w:spacing w:before="0" w:line="276" w:lineRule="auto"/>
              <w:ind w:firstLine="0"/>
              <w:jc w:val="left"/>
              <w:rPr>
                <w:rFonts w:cs="Arial"/>
                <w:sz w:val="20"/>
                <w:szCs w:val="20"/>
                <w:lang w:val="hy-AM"/>
              </w:rPr>
            </w:pPr>
            <w:r w:rsidRPr="00C74BDD">
              <w:rPr>
                <w:rFonts w:cs="Arial"/>
                <w:sz w:val="20"/>
                <w:szCs w:val="20"/>
                <w:lang w:val="hy-AM"/>
              </w:rPr>
              <w:t>1. ԿՐԹՈՒԹՅՈՒՆ</w:t>
            </w:r>
          </w:p>
        </w:tc>
        <w:tc>
          <w:tcPr>
            <w:tcW w:w="693" w:type="pct"/>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57" w:type="dxa"/>
              <w:bottom w:w="0" w:type="dxa"/>
              <w:right w:w="85" w:type="dxa"/>
            </w:tcMar>
            <w:vAlign w:val="center"/>
            <w:hideMark/>
          </w:tcPr>
          <w:p w:rsidR="00242CCC" w:rsidRPr="00C74BDD" w:rsidRDefault="00242CCC" w:rsidP="009D2783">
            <w:pPr>
              <w:spacing w:before="0" w:line="276" w:lineRule="auto"/>
              <w:ind w:firstLine="0"/>
              <w:jc w:val="right"/>
              <w:rPr>
                <w:rFonts w:cs="Arial"/>
                <w:sz w:val="20"/>
                <w:szCs w:val="20"/>
                <w:lang w:val="hy-AM"/>
              </w:rPr>
            </w:pPr>
            <w:r w:rsidRPr="00C74BDD">
              <w:rPr>
                <w:rFonts w:cs="Arial"/>
                <w:sz w:val="20"/>
                <w:szCs w:val="20"/>
                <w:lang w:val="hy-AM"/>
              </w:rPr>
              <w:t>129,336.3</w:t>
            </w:r>
          </w:p>
        </w:tc>
        <w:tc>
          <w:tcPr>
            <w:tcW w:w="603" w:type="pct"/>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30" w:type="dxa"/>
              <w:bottom w:w="0" w:type="dxa"/>
              <w:right w:w="30" w:type="dxa"/>
            </w:tcMar>
            <w:vAlign w:val="center"/>
            <w:hideMark/>
          </w:tcPr>
          <w:p w:rsidR="00242CCC" w:rsidRPr="00C74BDD" w:rsidRDefault="00242CCC" w:rsidP="009D2783">
            <w:pPr>
              <w:spacing w:before="0" w:line="276" w:lineRule="auto"/>
              <w:ind w:firstLine="0"/>
              <w:jc w:val="right"/>
              <w:rPr>
                <w:rFonts w:cs="Arial"/>
                <w:sz w:val="20"/>
                <w:szCs w:val="20"/>
                <w:lang w:val="hy-AM"/>
              </w:rPr>
            </w:pPr>
            <w:r w:rsidRPr="00C74BDD">
              <w:rPr>
                <w:rFonts w:cs="Arial"/>
                <w:sz w:val="20"/>
                <w:szCs w:val="20"/>
                <w:lang w:val="hy-AM"/>
              </w:rPr>
              <w:t>143,796.3</w:t>
            </w:r>
          </w:p>
        </w:tc>
        <w:tc>
          <w:tcPr>
            <w:tcW w:w="726" w:type="pct"/>
            <w:tcBorders>
              <w:top w:val="single" w:sz="4" w:space="0" w:color="auto"/>
              <w:left w:val="single" w:sz="4" w:space="0" w:color="auto"/>
              <w:bottom w:val="single" w:sz="4" w:space="0" w:color="auto"/>
              <w:right w:val="double" w:sz="4" w:space="0" w:color="auto"/>
            </w:tcBorders>
            <w:shd w:val="clear" w:color="auto" w:fill="C6D9F1" w:themeFill="text2" w:themeFillTint="33"/>
            <w:tcMar>
              <w:top w:w="0" w:type="dxa"/>
              <w:left w:w="30" w:type="dxa"/>
              <w:bottom w:w="0" w:type="dxa"/>
              <w:right w:w="30" w:type="dxa"/>
            </w:tcMar>
            <w:vAlign w:val="center"/>
            <w:hideMark/>
          </w:tcPr>
          <w:p w:rsidR="00242CCC" w:rsidRPr="00C74BDD" w:rsidRDefault="00242CCC" w:rsidP="009D2783">
            <w:pPr>
              <w:spacing w:before="0" w:line="276" w:lineRule="auto"/>
              <w:ind w:firstLine="0"/>
              <w:jc w:val="right"/>
              <w:rPr>
                <w:rFonts w:cs="Arial"/>
                <w:sz w:val="20"/>
                <w:szCs w:val="20"/>
                <w:lang w:val="hy-AM"/>
              </w:rPr>
            </w:pPr>
            <w:r w:rsidRPr="00C74BDD">
              <w:rPr>
                <w:rFonts w:cs="Arial"/>
                <w:sz w:val="20"/>
                <w:szCs w:val="20"/>
                <w:lang w:val="hy-AM"/>
              </w:rPr>
              <w:t>149,086.3</w:t>
            </w:r>
          </w:p>
        </w:tc>
        <w:tc>
          <w:tcPr>
            <w:tcW w:w="771" w:type="pct"/>
            <w:tcBorders>
              <w:top w:val="single" w:sz="4" w:space="0" w:color="auto"/>
              <w:left w:val="single" w:sz="4" w:space="0" w:color="auto"/>
              <w:bottom w:val="single" w:sz="4" w:space="0" w:color="auto"/>
              <w:right w:val="double" w:sz="4" w:space="0" w:color="auto"/>
            </w:tcBorders>
            <w:shd w:val="clear" w:color="auto" w:fill="C6D9F1" w:themeFill="text2" w:themeFillTint="33"/>
            <w:vAlign w:val="center"/>
          </w:tcPr>
          <w:p w:rsidR="00242CCC" w:rsidRPr="00C74BDD" w:rsidRDefault="00242CCC" w:rsidP="009D2783">
            <w:pPr>
              <w:spacing w:before="0" w:line="276" w:lineRule="auto"/>
              <w:ind w:firstLine="0"/>
              <w:jc w:val="right"/>
              <w:rPr>
                <w:rFonts w:cs="Arial"/>
                <w:sz w:val="20"/>
                <w:szCs w:val="20"/>
                <w:lang w:val="hy-AM"/>
              </w:rPr>
            </w:pPr>
            <w:r w:rsidRPr="00C74BDD">
              <w:rPr>
                <w:rFonts w:cs="Arial"/>
                <w:sz w:val="20"/>
                <w:szCs w:val="20"/>
                <w:lang w:val="hy-AM"/>
              </w:rPr>
              <w:t>193,026.5</w:t>
            </w:r>
          </w:p>
        </w:tc>
        <w:tc>
          <w:tcPr>
            <w:tcW w:w="693" w:type="pct"/>
            <w:tcBorders>
              <w:top w:val="single" w:sz="4" w:space="0" w:color="auto"/>
              <w:left w:val="single" w:sz="4" w:space="0" w:color="auto"/>
              <w:bottom w:val="single" w:sz="4" w:space="0" w:color="auto"/>
              <w:right w:val="double" w:sz="4" w:space="0" w:color="auto"/>
            </w:tcBorders>
            <w:shd w:val="clear" w:color="auto" w:fill="C6D9F1" w:themeFill="text2" w:themeFillTint="33"/>
          </w:tcPr>
          <w:p w:rsidR="00242CCC" w:rsidRPr="00C74BDD" w:rsidRDefault="00242CCC" w:rsidP="009D2783">
            <w:pPr>
              <w:spacing w:before="0" w:line="276" w:lineRule="auto"/>
              <w:ind w:firstLine="0"/>
              <w:jc w:val="right"/>
              <w:rPr>
                <w:rFonts w:cs="Arial"/>
                <w:sz w:val="20"/>
                <w:szCs w:val="20"/>
                <w:lang w:val="hy-AM"/>
              </w:rPr>
            </w:pPr>
            <w:r>
              <w:rPr>
                <w:rFonts w:eastAsiaTheme="minorHAnsi" w:cs="Cambria Math"/>
                <w:bCs/>
                <w:sz w:val="20"/>
                <w:szCs w:val="20"/>
                <w:lang w:val="en-US" w:eastAsia="en-US"/>
              </w:rPr>
              <w:t>211,909.6</w:t>
            </w:r>
          </w:p>
        </w:tc>
      </w:tr>
      <w:tr w:rsidR="00242CCC" w:rsidRPr="00C74BDD" w:rsidTr="00650C81">
        <w:trPr>
          <w:trHeight w:val="20"/>
        </w:trPr>
        <w:tc>
          <w:tcPr>
            <w:tcW w:w="1513" w:type="pct"/>
            <w:tcBorders>
              <w:top w:val="single" w:sz="6" w:space="0" w:color="auto"/>
              <w:left w:val="double" w:sz="4" w:space="0" w:color="auto"/>
              <w:bottom w:val="single" w:sz="6" w:space="0" w:color="auto"/>
              <w:right w:val="single" w:sz="6" w:space="0" w:color="auto"/>
            </w:tcBorders>
            <w:shd w:val="clear" w:color="auto" w:fill="FFFFFF"/>
            <w:tcMar>
              <w:top w:w="0" w:type="dxa"/>
              <w:left w:w="57" w:type="dxa"/>
              <w:bottom w:w="0" w:type="dxa"/>
              <w:right w:w="85" w:type="dxa"/>
            </w:tcMar>
            <w:vAlign w:val="center"/>
            <w:hideMark/>
          </w:tcPr>
          <w:p w:rsidR="00242CCC" w:rsidRPr="00C74BDD" w:rsidRDefault="00242CCC" w:rsidP="00650C81">
            <w:pPr>
              <w:spacing w:before="0" w:line="276" w:lineRule="auto"/>
              <w:ind w:firstLine="0"/>
              <w:jc w:val="left"/>
              <w:rPr>
                <w:rFonts w:cs="Arial"/>
                <w:b w:val="0"/>
                <w:bCs/>
                <w:sz w:val="20"/>
                <w:szCs w:val="20"/>
                <w:lang w:val="hy-AM"/>
              </w:rPr>
            </w:pPr>
            <w:r w:rsidRPr="00C74BDD">
              <w:rPr>
                <w:rFonts w:cs="Arial"/>
                <w:b w:val="0"/>
                <w:bCs/>
                <w:sz w:val="20"/>
                <w:szCs w:val="20"/>
                <w:lang w:val="hy-AM"/>
              </w:rPr>
              <w:t>- Հարաբերությունը ՀՆԱ-ի նկատմամբ (%)</w:t>
            </w:r>
          </w:p>
        </w:tc>
        <w:tc>
          <w:tcPr>
            <w:tcW w:w="693" w:type="pct"/>
            <w:tcBorders>
              <w:top w:val="single" w:sz="4"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2.0%</w:t>
            </w:r>
          </w:p>
        </w:tc>
        <w:tc>
          <w:tcPr>
            <w:tcW w:w="603" w:type="pct"/>
            <w:tcBorders>
              <w:top w:val="single" w:sz="4" w:space="0" w:color="auto"/>
              <w:left w:val="single" w:sz="6" w:space="0" w:color="auto"/>
              <w:bottom w:val="single" w:sz="6" w:space="0" w:color="auto"/>
              <w:right w:val="single" w:sz="6" w:space="0" w:color="auto"/>
            </w:tcBorders>
            <w:shd w:val="clear" w:color="auto" w:fill="FFFFFF"/>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2.3%</w:t>
            </w:r>
          </w:p>
        </w:tc>
        <w:tc>
          <w:tcPr>
            <w:tcW w:w="726" w:type="pct"/>
            <w:tcBorders>
              <w:top w:val="single" w:sz="4" w:space="0" w:color="auto"/>
              <w:left w:val="single" w:sz="6" w:space="0" w:color="auto"/>
              <w:bottom w:val="single" w:sz="6" w:space="0" w:color="auto"/>
              <w:right w:val="double" w:sz="4" w:space="0" w:color="auto"/>
            </w:tcBorders>
            <w:shd w:val="clear" w:color="auto" w:fill="FFFFFF"/>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2.3%</w:t>
            </w:r>
          </w:p>
        </w:tc>
        <w:tc>
          <w:tcPr>
            <w:tcW w:w="771" w:type="pct"/>
            <w:tcBorders>
              <w:top w:val="single" w:sz="4" w:space="0" w:color="auto"/>
              <w:left w:val="single" w:sz="6" w:space="0" w:color="auto"/>
              <w:bottom w:val="single" w:sz="6" w:space="0" w:color="auto"/>
              <w:right w:val="double" w:sz="4" w:space="0" w:color="auto"/>
            </w:tcBorders>
            <w:shd w:val="clear" w:color="auto" w:fill="FFFFFF"/>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2.5%</w:t>
            </w:r>
          </w:p>
        </w:tc>
        <w:tc>
          <w:tcPr>
            <w:tcW w:w="693" w:type="pct"/>
            <w:tcBorders>
              <w:top w:val="single" w:sz="4" w:space="0" w:color="auto"/>
              <w:left w:val="single" w:sz="6" w:space="0" w:color="auto"/>
              <w:bottom w:val="single" w:sz="6" w:space="0" w:color="auto"/>
              <w:right w:val="double" w:sz="4" w:space="0" w:color="auto"/>
            </w:tcBorders>
            <w:shd w:val="clear" w:color="auto" w:fill="FFFFFF"/>
          </w:tcPr>
          <w:p w:rsidR="00242CCC" w:rsidRPr="00C74BDD" w:rsidRDefault="00242CCC" w:rsidP="009D2783">
            <w:pPr>
              <w:spacing w:before="0" w:line="276" w:lineRule="auto"/>
              <w:ind w:firstLine="0"/>
              <w:jc w:val="right"/>
              <w:rPr>
                <w:rFonts w:cs="Arial"/>
                <w:b w:val="0"/>
                <w:bCs/>
                <w:sz w:val="20"/>
                <w:szCs w:val="20"/>
                <w:lang w:val="en-US"/>
              </w:rPr>
            </w:pPr>
            <w:r w:rsidRPr="00C74BDD">
              <w:rPr>
                <w:rFonts w:cs="Arial"/>
                <w:b w:val="0"/>
                <w:bCs/>
                <w:sz w:val="20"/>
                <w:szCs w:val="20"/>
                <w:lang w:val="en-US"/>
              </w:rPr>
              <w:t>2.3%</w:t>
            </w:r>
          </w:p>
        </w:tc>
      </w:tr>
      <w:tr w:rsidR="00242CCC" w:rsidRPr="00C74BDD" w:rsidTr="00650C81">
        <w:trPr>
          <w:trHeight w:val="20"/>
        </w:trPr>
        <w:tc>
          <w:tcPr>
            <w:tcW w:w="1513" w:type="pct"/>
            <w:tcBorders>
              <w:top w:val="single" w:sz="6" w:space="0" w:color="auto"/>
              <w:left w:val="double" w:sz="4" w:space="0" w:color="auto"/>
              <w:bottom w:val="single" w:sz="6" w:space="0" w:color="auto"/>
              <w:right w:val="single" w:sz="6" w:space="0" w:color="auto"/>
            </w:tcBorders>
            <w:shd w:val="clear" w:color="auto" w:fill="FFFFFF"/>
            <w:tcMar>
              <w:top w:w="0" w:type="dxa"/>
              <w:left w:w="57" w:type="dxa"/>
              <w:bottom w:w="0" w:type="dxa"/>
              <w:right w:w="85" w:type="dxa"/>
            </w:tcMar>
            <w:vAlign w:val="center"/>
            <w:hideMark/>
          </w:tcPr>
          <w:p w:rsidR="00242CCC" w:rsidRPr="00C74BDD" w:rsidRDefault="00242CCC" w:rsidP="00650C81">
            <w:pPr>
              <w:spacing w:before="0" w:line="276" w:lineRule="auto"/>
              <w:ind w:firstLine="0"/>
              <w:jc w:val="left"/>
              <w:rPr>
                <w:rFonts w:cs="Arial"/>
                <w:b w:val="0"/>
                <w:bCs/>
                <w:sz w:val="20"/>
                <w:szCs w:val="20"/>
                <w:lang w:val="hy-AM"/>
              </w:rPr>
            </w:pPr>
            <w:r w:rsidRPr="00C74BDD">
              <w:rPr>
                <w:rFonts w:cs="Arial"/>
                <w:b w:val="0"/>
                <w:bCs/>
                <w:sz w:val="20"/>
                <w:szCs w:val="20"/>
                <w:lang w:val="hy-AM"/>
              </w:rPr>
              <w:t>- տեսակարար կշիռը ծախսերի ամբողջ ծավալում (%)</w:t>
            </w:r>
          </w:p>
        </w:tc>
        <w:tc>
          <w:tcPr>
            <w:tcW w:w="693" w:type="pct"/>
            <w:tcBorders>
              <w:top w:val="single" w:sz="6"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7.9%</w:t>
            </w:r>
          </w:p>
        </w:tc>
        <w:tc>
          <w:tcPr>
            <w:tcW w:w="603" w:type="pct"/>
            <w:tcBorders>
              <w:top w:val="single" w:sz="6" w:space="0" w:color="auto"/>
              <w:left w:val="single" w:sz="6" w:space="0" w:color="auto"/>
              <w:bottom w:val="single" w:sz="6" w:space="0" w:color="auto"/>
              <w:right w:val="single" w:sz="6" w:space="0" w:color="auto"/>
            </w:tcBorders>
            <w:shd w:val="clear" w:color="auto" w:fill="FFFFFF"/>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7.6%</w:t>
            </w:r>
          </w:p>
        </w:tc>
        <w:tc>
          <w:tcPr>
            <w:tcW w:w="726" w:type="pct"/>
            <w:tcBorders>
              <w:top w:val="single" w:sz="6" w:space="0" w:color="auto"/>
              <w:left w:val="single" w:sz="6" w:space="0" w:color="auto"/>
              <w:bottom w:val="single" w:sz="6" w:space="0" w:color="auto"/>
              <w:right w:val="double" w:sz="4" w:space="0" w:color="auto"/>
            </w:tcBorders>
            <w:shd w:val="clear" w:color="auto" w:fill="FFFFFF"/>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7.4%</w:t>
            </w:r>
          </w:p>
        </w:tc>
        <w:tc>
          <w:tcPr>
            <w:tcW w:w="771" w:type="pct"/>
            <w:tcBorders>
              <w:top w:val="single" w:sz="6" w:space="0" w:color="auto"/>
              <w:left w:val="single" w:sz="6" w:space="0" w:color="auto"/>
              <w:bottom w:val="single" w:sz="6" w:space="0" w:color="auto"/>
              <w:right w:val="double" w:sz="4" w:space="0" w:color="auto"/>
            </w:tcBorders>
            <w:shd w:val="clear" w:color="auto" w:fill="FFFFFF"/>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8.8%</w:t>
            </w:r>
          </w:p>
        </w:tc>
        <w:tc>
          <w:tcPr>
            <w:tcW w:w="693" w:type="pct"/>
            <w:tcBorders>
              <w:top w:val="single" w:sz="6" w:space="0" w:color="auto"/>
              <w:left w:val="single" w:sz="6" w:space="0" w:color="auto"/>
              <w:bottom w:val="single" w:sz="6" w:space="0" w:color="auto"/>
              <w:right w:val="double" w:sz="4" w:space="0" w:color="auto"/>
            </w:tcBorders>
            <w:shd w:val="clear" w:color="auto" w:fill="FFFFFF"/>
          </w:tcPr>
          <w:p w:rsidR="00242CCC" w:rsidRPr="00C74BDD" w:rsidRDefault="00242CCC" w:rsidP="009D2783">
            <w:pPr>
              <w:spacing w:before="0" w:line="276" w:lineRule="auto"/>
              <w:ind w:firstLine="0"/>
              <w:jc w:val="right"/>
              <w:rPr>
                <w:rFonts w:cs="Arial"/>
                <w:b w:val="0"/>
                <w:bCs/>
                <w:sz w:val="20"/>
                <w:szCs w:val="20"/>
                <w:lang w:val="en-US"/>
              </w:rPr>
            </w:pPr>
            <w:r w:rsidRPr="00C74BDD">
              <w:rPr>
                <w:rFonts w:cs="Arial"/>
                <w:b w:val="0"/>
                <w:bCs/>
                <w:sz w:val="20"/>
                <w:szCs w:val="20"/>
                <w:lang w:val="en-US"/>
              </w:rPr>
              <w:t>8.2%</w:t>
            </w:r>
          </w:p>
        </w:tc>
      </w:tr>
      <w:tr w:rsidR="00242CCC" w:rsidRPr="00C74BDD" w:rsidTr="00650C81">
        <w:trPr>
          <w:trHeight w:val="20"/>
        </w:trPr>
        <w:tc>
          <w:tcPr>
            <w:tcW w:w="1513" w:type="pct"/>
            <w:tcBorders>
              <w:top w:val="single" w:sz="6" w:space="0" w:color="auto"/>
              <w:left w:val="double" w:sz="4"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rsidR="00242CCC" w:rsidRPr="00C74BDD" w:rsidRDefault="00242CCC" w:rsidP="00650C81">
            <w:pPr>
              <w:spacing w:before="0" w:line="276" w:lineRule="auto"/>
              <w:ind w:firstLine="0"/>
              <w:jc w:val="left"/>
              <w:rPr>
                <w:rFonts w:cs="Arial"/>
                <w:sz w:val="20"/>
                <w:szCs w:val="20"/>
                <w:lang w:val="hy-AM"/>
              </w:rPr>
            </w:pPr>
            <w:r w:rsidRPr="00C74BDD">
              <w:rPr>
                <w:rFonts w:cs="Arial"/>
                <w:sz w:val="20"/>
                <w:szCs w:val="20"/>
                <w:lang w:val="hy-AM"/>
              </w:rPr>
              <w:t>2.ՍՈՑԻԱԼԱԿԱՆ ՊԱՇՏՊԱՆՈՒԹՅՈՒՆ</w:t>
            </w:r>
          </w:p>
        </w:tc>
        <w:tc>
          <w:tcPr>
            <w:tcW w:w="693"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rsidR="00242CCC" w:rsidRPr="00C74BDD" w:rsidRDefault="00242CCC" w:rsidP="009D2783">
            <w:pPr>
              <w:spacing w:before="0" w:line="276" w:lineRule="auto"/>
              <w:ind w:firstLine="0"/>
              <w:jc w:val="right"/>
              <w:rPr>
                <w:rFonts w:cs="Arial"/>
                <w:sz w:val="20"/>
                <w:szCs w:val="20"/>
                <w:lang w:val="hy-AM"/>
              </w:rPr>
            </w:pPr>
            <w:r w:rsidRPr="00C74BDD">
              <w:rPr>
                <w:rFonts w:cs="Arial"/>
                <w:sz w:val="20"/>
                <w:szCs w:val="20"/>
                <w:lang w:val="hy-AM"/>
              </w:rPr>
              <w:t>453,921.2</w:t>
            </w:r>
          </w:p>
        </w:tc>
        <w:tc>
          <w:tcPr>
            <w:tcW w:w="603"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0" w:type="dxa"/>
              <w:left w:w="30" w:type="dxa"/>
              <w:bottom w:w="0" w:type="dxa"/>
              <w:right w:w="30" w:type="dxa"/>
            </w:tcMar>
            <w:vAlign w:val="center"/>
            <w:hideMark/>
          </w:tcPr>
          <w:p w:rsidR="00242CCC" w:rsidRPr="00C74BDD" w:rsidRDefault="00242CCC" w:rsidP="009D2783">
            <w:pPr>
              <w:spacing w:before="0" w:line="276" w:lineRule="auto"/>
              <w:ind w:firstLine="0"/>
              <w:jc w:val="right"/>
              <w:rPr>
                <w:rFonts w:cs="Arial"/>
                <w:sz w:val="20"/>
                <w:szCs w:val="20"/>
                <w:lang w:val="hy-AM"/>
              </w:rPr>
            </w:pPr>
            <w:r w:rsidRPr="00C74BDD">
              <w:rPr>
                <w:rFonts w:cs="Arial"/>
                <w:sz w:val="20"/>
                <w:szCs w:val="20"/>
                <w:lang w:val="hy-AM"/>
              </w:rPr>
              <w:t>546,575.7</w:t>
            </w:r>
          </w:p>
        </w:tc>
        <w:tc>
          <w:tcPr>
            <w:tcW w:w="726" w:type="pct"/>
            <w:tcBorders>
              <w:top w:val="single" w:sz="6" w:space="0" w:color="auto"/>
              <w:left w:val="single" w:sz="6" w:space="0" w:color="auto"/>
              <w:bottom w:val="single" w:sz="6" w:space="0" w:color="auto"/>
              <w:right w:val="double" w:sz="4" w:space="0" w:color="auto"/>
            </w:tcBorders>
            <w:shd w:val="clear" w:color="auto" w:fill="C6D9F1" w:themeFill="text2" w:themeFillTint="33"/>
            <w:tcMar>
              <w:top w:w="0" w:type="dxa"/>
              <w:left w:w="30" w:type="dxa"/>
              <w:bottom w:w="0" w:type="dxa"/>
              <w:right w:w="30" w:type="dxa"/>
            </w:tcMar>
            <w:vAlign w:val="center"/>
            <w:hideMark/>
          </w:tcPr>
          <w:p w:rsidR="00242CCC" w:rsidRPr="00C74BDD" w:rsidRDefault="00242CCC" w:rsidP="009D2783">
            <w:pPr>
              <w:spacing w:before="0" w:line="276" w:lineRule="auto"/>
              <w:ind w:firstLine="0"/>
              <w:jc w:val="right"/>
              <w:rPr>
                <w:rFonts w:cs="Arial"/>
                <w:sz w:val="20"/>
                <w:szCs w:val="20"/>
                <w:lang w:val="hy-AM"/>
              </w:rPr>
            </w:pPr>
            <w:r w:rsidRPr="00C74BDD">
              <w:rPr>
                <w:rFonts w:cs="Arial"/>
                <w:sz w:val="20"/>
                <w:szCs w:val="20"/>
                <w:lang w:val="hy-AM"/>
              </w:rPr>
              <w:t>620,005.4</w:t>
            </w:r>
          </w:p>
        </w:tc>
        <w:tc>
          <w:tcPr>
            <w:tcW w:w="771" w:type="pct"/>
            <w:tcBorders>
              <w:top w:val="single" w:sz="6" w:space="0" w:color="auto"/>
              <w:left w:val="single" w:sz="6" w:space="0" w:color="auto"/>
              <w:bottom w:val="single" w:sz="6" w:space="0" w:color="auto"/>
              <w:right w:val="double" w:sz="4" w:space="0" w:color="auto"/>
            </w:tcBorders>
            <w:shd w:val="clear" w:color="auto" w:fill="C6D9F1" w:themeFill="text2" w:themeFillTint="33"/>
            <w:vAlign w:val="center"/>
          </w:tcPr>
          <w:p w:rsidR="00242CCC" w:rsidRPr="00C74BDD" w:rsidRDefault="00242CCC" w:rsidP="009D2783">
            <w:pPr>
              <w:spacing w:before="0" w:line="276" w:lineRule="auto"/>
              <w:ind w:firstLine="0"/>
              <w:jc w:val="right"/>
              <w:rPr>
                <w:rFonts w:cs="Arial"/>
                <w:sz w:val="20"/>
                <w:szCs w:val="20"/>
                <w:lang w:val="hy-AM"/>
              </w:rPr>
            </w:pPr>
            <w:r w:rsidRPr="00C74BDD">
              <w:rPr>
                <w:rFonts w:cs="Arial"/>
                <w:sz w:val="20"/>
                <w:szCs w:val="20"/>
                <w:lang w:val="hy-AM"/>
              </w:rPr>
              <w:t>581,318.0</w:t>
            </w:r>
          </w:p>
        </w:tc>
        <w:tc>
          <w:tcPr>
            <w:tcW w:w="693" w:type="pct"/>
            <w:tcBorders>
              <w:top w:val="single" w:sz="6" w:space="0" w:color="auto"/>
              <w:left w:val="single" w:sz="6" w:space="0" w:color="auto"/>
              <w:bottom w:val="single" w:sz="6" w:space="0" w:color="auto"/>
              <w:right w:val="double" w:sz="4" w:space="0" w:color="auto"/>
            </w:tcBorders>
            <w:shd w:val="clear" w:color="auto" w:fill="C6D9F1" w:themeFill="text2" w:themeFillTint="33"/>
            <w:vAlign w:val="center"/>
          </w:tcPr>
          <w:p w:rsidR="00242CCC" w:rsidRPr="00C74BDD" w:rsidRDefault="00242CCC" w:rsidP="009D2783">
            <w:pPr>
              <w:spacing w:before="0" w:line="276" w:lineRule="auto"/>
              <w:ind w:firstLine="0"/>
              <w:jc w:val="right"/>
              <w:rPr>
                <w:rFonts w:cs="Arial"/>
                <w:sz w:val="20"/>
                <w:szCs w:val="20"/>
                <w:lang w:val="hy-AM"/>
              </w:rPr>
            </w:pPr>
            <w:r w:rsidRPr="00C74BDD">
              <w:rPr>
                <w:rFonts w:eastAsiaTheme="minorHAnsi" w:cs="Cambria Math"/>
                <w:bCs/>
                <w:sz w:val="20"/>
                <w:szCs w:val="20"/>
                <w:lang w:val="en-US" w:eastAsia="en-US"/>
              </w:rPr>
              <w:t>6</w:t>
            </w:r>
            <w:r>
              <w:rPr>
                <w:rFonts w:eastAsiaTheme="minorHAnsi" w:cs="Cambria Math"/>
                <w:bCs/>
                <w:sz w:val="20"/>
                <w:szCs w:val="20"/>
                <w:lang w:val="en-US" w:eastAsia="en-US"/>
              </w:rPr>
              <w:t>5</w:t>
            </w:r>
            <w:r>
              <w:rPr>
                <w:rFonts w:eastAsiaTheme="minorHAnsi" w:cs="Cambria Math"/>
                <w:bCs/>
                <w:sz w:val="20"/>
                <w:szCs w:val="20"/>
                <w:lang w:eastAsia="en-US"/>
              </w:rPr>
              <w:t>3</w:t>
            </w:r>
            <w:r w:rsidRPr="00C74BDD">
              <w:rPr>
                <w:rFonts w:eastAsiaTheme="minorHAnsi" w:cs="Cambria Math"/>
                <w:bCs/>
                <w:sz w:val="20"/>
                <w:szCs w:val="20"/>
                <w:lang w:val="en-US" w:eastAsia="en-US"/>
              </w:rPr>
              <w:t>,</w:t>
            </w:r>
            <w:r>
              <w:rPr>
                <w:rFonts w:eastAsiaTheme="minorHAnsi" w:cs="Cambria Math"/>
                <w:bCs/>
                <w:sz w:val="20"/>
                <w:szCs w:val="20"/>
                <w:lang w:eastAsia="en-US"/>
              </w:rPr>
              <w:t>458</w:t>
            </w:r>
            <w:r w:rsidRPr="00C74BDD">
              <w:rPr>
                <w:rFonts w:eastAsiaTheme="minorHAnsi" w:cs="Cambria Math"/>
                <w:bCs/>
                <w:sz w:val="20"/>
                <w:szCs w:val="20"/>
                <w:lang w:val="en-US" w:eastAsia="en-US"/>
              </w:rPr>
              <w:t>.</w:t>
            </w:r>
            <w:r>
              <w:rPr>
                <w:rFonts w:eastAsiaTheme="minorHAnsi" w:cs="Cambria Math"/>
                <w:bCs/>
                <w:sz w:val="20"/>
                <w:szCs w:val="20"/>
                <w:lang w:val="en-US" w:eastAsia="en-US"/>
              </w:rPr>
              <w:t>3</w:t>
            </w:r>
          </w:p>
        </w:tc>
      </w:tr>
      <w:tr w:rsidR="00242CCC" w:rsidRPr="00C74BDD" w:rsidTr="00650C81">
        <w:trPr>
          <w:trHeight w:val="20"/>
        </w:trPr>
        <w:tc>
          <w:tcPr>
            <w:tcW w:w="1513" w:type="pct"/>
            <w:tcBorders>
              <w:top w:val="single" w:sz="6" w:space="0" w:color="auto"/>
              <w:left w:val="double" w:sz="4" w:space="0" w:color="auto"/>
              <w:bottom w:val="single" w:sz="6" w:space="0" w:color="auto"/>
              <w:right w:val="single" w:sz="6" w:space="0" w:color="auto"/>
            </w:tcBorders>
            <w:shd w:val="clear" w:color="auto" w:fill="FFFFFF"/>
            <w:tcMar>
              <w:top w:w="0" w:type="dxa"/>
              <w:left w:w="57" w:type="dxa"/>
              <w:bottom w:w="0" w:type="dxa"/>
              <w:right w:w="85" w:type="dxa"/>
            </w:tcMar>
            <w:vAlign w:val="center"/>
            <w:hideMark/>
          </w:tcPr>
          <w:p w:rsidR="00242CCC" w:rsidRPr="00C74BDD" w:rsidRDefault="00242CCC" w:rsidP="00650C81">
            <w:pPr>
              <w:spacing w:before="0" w:line="276" w:lineRule="auto"/>
              <w:ind w:firstLine="0"/>
              <w:jc w:val="left"/>
              <w:rPr>
                <w:rFonts w:cs="Arial"/>
                <w:b w:val="0"/>
                <w:bCs/>
                <w:sz w:val="20"/>
                <w:szCs w:val="20"/>
                <w:lang w:val="hy-AM"/>
              </w:rPr>
            </w:pPr>
            <w:r w:rsidRPr="00C74BDD">
              <w:rPr>
                <w:rFonts w:cs="Arial"/>
                <w:b w:val="0"/>
                <w:bCs/>
                <w:sz w:val="20"/>
                <w:szCs w:val="20"/>
                <w:lang w:val="hy-AM"/>
              </w:rPr>
              <w:t>- Հարաբերությունը ՀՆԱ-ի նկատմամբ (%)</w:t>
            </w:r>
          </w:p>
        </w:tc>
        <w:tc>
          <w:tcPr>
            <w:tcW w:w="693" w:type="pct"/>
            <w:tcBorders>
              <w:top w:val="single" w:sz="6"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6.9%</w:t>
            </w:r>
          </w:p>
        </w:tc>
        <w:tc>
          <w:tcPr>
            <w:tcW w:w="603" w:type="pct"/>
            <w:tcBorders>
              <w:top w:val="single" w:sz="6" w:space="0" w:color="auto"/>
              <w:left w:val="single" w:sz="6" w:space="0" w:color="auto"/>
              <w:bottom w:val="single" w:sz="6" w:space="0" w:color="auto"/>
              <w:right w:val="single" w:sz="6" w:space="0" w:color="auto"/>
            </w:tcBorders>
            <w:shd w:val="clear" w:color="auto" w:fill="FFFFFF"/>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8.8%</w:t>
            </w:r>
          </w:p>
        </w:tc>
        <w:tc>
          <w:tcPr>
            <w:tcW w:w="726" w:type="pct"/>
            <w:tcBorders>
              <w:top w:val="single" w:sz="6" w:space="0" w:color="auto"/>
              <w:left w:val="single" w:sz="6" w:space="0" w:color="auto"/>
              <w:bottom w:val="single" w:sz="6" w:space="0" w:color="auto"/>
              <w:right w:val="double" w:sz="4" w:space="0" w:color="auto"/>
            </w:tcBorders>
            <w:shd w:val="clear" w:color="auto" w:fill="FFFFFF"/>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8.9%</w:t>
            </w:r>
          </w:p>
        </w:tc>
        <w:tc>
          <w:tcPr>
            <w:tcW w:w="771" w:type="pct"/>
            <w:tcBorders>
              <w:top w:val="single" w:sz="6" w:space="0" w:color="auto"/>
              <w:left w:val="single" w:sz="6" w:space="0" w:color="auto"/>
              <w:bottom w:val="single" w:sz="6" w:space="0" w:color="auto"/>
              <w:right w:val="double" w:sz="4" w:space="0" w:color="auto"/>
            </w:tcBorders>
            <w:shd w:val="clear" w:color="auto" w:fill="FFFFFF"/>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7.4%</w:t>
            </w:r>
          </w:p>
        </w:tc>
        <w:tc>
          <w:tcPr>
            <w:tcW w:w="693" w:type="pct"/>
            <w:tcBorders>
              <w:top w:val="single" w:sz="6" w:space="0" w:color="auto"/>
              <w:left w:val="single" w:sz="6" w:space="0" w:color="auto"/>
              <w:bottom w:val="single" w:sz="6" w:space="0" w:color="auto"/>
              <w:right w:val="double" w:sz="4" w:space="0" w:color="auto"/>
            </w:tcBorders>
            <w:shd w:val="clear" w:color="auto" w:fill="FFFFFF"/>
          </w:tcPr>
          <w:p w:rsidR="00242CCC" w:rsidRPr="00C74BDD" w:rsidRDefault="00242CCC" w:rsidP="009D2783">
            <w:pPr>
              <w:spacing w:before="0" w:line="276" w:lineRule="auto"/>
              <w:ind w:firstLine="0"/>
              <w:jc w:val="right"/>
              <w:rPr>
                <w:rFonts w:cs="Arial"/>
                <w:b w:val="0"/>
                <w:bCs/>
                <w:sz w:val="20"/>
                <w:szCs w:val="20"/>
                <w:lang w:val="en-US"/>
              </w:rPr>
            </w:pPr>
            <w:r w:rsidRPr="00C74BDD">
              <w:rPr>
                <w:rFonts w:cs="Arial"/>
                <w:b w:val="0"/>
                <w:bCs/>
                <w:sz w:val="20"/>
                <w:szCs w:val="20"/>
                <w:lang w:val="en-US"/>
              </w:rPr>
              <w:t>7%</w:t>
            </w:r>
          </w:p>
        </w:tc>
      </w:tr>
      <w:tr w:rsidR="00242CCC" w:rsidRPr="00C74BDD" w:rsidTr="00650C81">
        <w:trPr>
          <w:trHeight w:val="20"/>
        </w:trPr>
        <w:tc>
          <w:tcPr>
            <w:tcW w:w="1513" w:type="pct"/>
            <w:tcBorders>
              <w:top w:val="single" w:sz="6" w:space="0" w:color="auto"/>
              <w:left w:val="double" w:sz="4" w:space="0" w:color="auto"/>
              <w:bottom w:val="single" w:sz="6" w:space="0" w:color="auto"/>
              <w:right w:val="single" w:sz="6" w:space="0" w:color="auto"/>
            </w:tcBorders>
            <w:shd w:val="clear" w:color="auto" w:fill="FFFFFF"/>
            <w:tcMar>
              <w:top w:w="0" w:type="dxa"/>
              <w:left w:w="57" w:type="dxa"/>
              <w:bottom w:w="0" w:type="dxa"/>
              <w:right w:w="85" w:type="dxa"/>
            </w:tcMar>
            <w:vAlign w:val="center"/>
            <w:hideMark/>
          </w:tcPr>
          <w:p w:rsidR="00242CCC" w:rsidRPr="00C74BDD" w:rsidRDefault="00242CCC" w:rsidP="00650C81">
            <w:pPr>
              <w:spacing w:before="0" w:line="276" w:lineRule="auto"/>
              <w:ind w:firstLine="0"/>
              <w:jc w:val="left"/>
              <w:rPr>
                <w:rFonts w:cs="Arial"/>
                <w:b w:val="0"/>
                <w:bCs/>
                <w:sz w:val="20"/>
                <w:szCs w:val="20"/>
                <w:lang w:val="hy-AM"/>
              </w:rPr>
            </w:pPr>
            <w:r w:rsidRPr="00C74BDD">
              <w:rPr>
                <w:rFonts w:cs="Arial"/>
                <w:b w:val="0"/>
                <w:bCs/>
                <w:sz w:val="20"/>
                <w:szCs w:val="20"/>
                <w:lang w:val="hy-AM"/>
              </w:rPr>
              <w:t>- տեսակարար կշիռը ծախսերի ամբողջ ծավալում (%)</w:t>
            </w:r>
          </w:p>
        </w:tc>
        <w:tc>
          <w:tcPr>
            <w:tcW w:w="693" w:type="pct"/>
            <w:tcBorders>
              <w:top w:val="single" w:sz="6"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27.9%</w:t>
            </w:r>
          </w:p>
        </w:tc>
        <w:tc>
          <w:tcPr>
            <w:tcW w:w="603" w:type="pct"/>
            <w:tcBorders>
              <w:top w:val="single" w:sz="6" w:space="0" w:color="auto"/>
              <w:left w:val="single" w:sz="6" w:space="0" w:color="auto"/>
              <w:bottom w:val="single" w:sz="6" w:space="0" w:color="auto"/>
              <w:right w:val="single" w:sz="6" w:space="0" w:color="auto"/>
            </w:tcBorders>
            <w:shd w:val="clear" w:color="auto" w:fill="FFFFFF"/>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28,8%</w:t>
            </w:r>
          </w:p>
        </w:tc>
        <w:tc>
          <w:tcPr>
            <w:tcW w:w="726" w:type="pct"/>
            <w:tcBorders>
              <w:top w:val="single" w:sz="6" w:space="0" w:color="auto"/>
              <w:left w:val="single" w:sz="6" w:space="0" w:color="auto"/>
              <w:bottom w:val="single" w:sz="6" w:space="0" w:color="auto"/>
              <w:right w:val="double" w:sz="4" w:space="0" w:color="auto"/>
            </w:tcBorders>
            <w:shd w:val="clear" w:color="auto" w:fill="FFFFFF"/>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30.9%</w:t>
            </w:r>
          </w:p>
        </w:tc>
        <w:tc>
          <w:tcPr>
            <w:tcW w:w="771" w:type="pct"/>
            <w:tcBorders>
              <w:top w:val="single" w:sz="6" w:space="0" w:color="auto"/>
              <w:left w:val="single" w:sz="6" w:space="0" w:color="auto"/>
              <w:bottom w:val="single" w:sz="6" w:space="0" w:color="auto"/>
              <w:right w:val="double" w:sz="4" w:space="0" w:color="auto"/>
            </w:tcBorders>
            <w:shd w:val="clear" w:color="auto" w:fill="FFFFFF"/>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26.6%</w:t>
            </w:r>
          </w:p>
        </w:tc>
        <w:tc>
          <w:tcPr>
            <w:tcW w:w="693" w:type="pct"/>
            <w:tcBorders>
              <w:top w:val="single" w:sz="6" w:space="0" w:color="auto"/>
              <w:left w:val="single" w:sz="6" w:space="0" w:color="auto"/>
              <w:bottom w:val="single" w:sz="6" w:space="0" w:color="auto"/>
              <w:right w:val="double" w:sz="4" w:space="0" w:color="auto"/>
            </w:tcBorders>
            <w:shd w:val="clear" w:color="auto" w:fill="FFFFFF"/>
          </w:tcPr>
          <w:p w:rsidR="00242CCC" w:rsidRPr="00C74BDD" w:rsidRDefault="00242CCC" w:rsidP="009D2783">
            <w:pPr>
              <w:spacing w:before="0" w:line="276" w:lineRule="auto"/>
              <w:ind w:firstLine="0"/>
              <w:jc w:val="right"/>
              <w:rPr>
                <w:rFonts w:cs="Arial"/>
                <w:b w:val="0"/>
                <w:bCs/>
                <w:sz w:val="20"/>
                <w:szCs w:val="20"/>
                <w:lang w:val="en-US"/>
              </w:rPr>
            </w:pPr>
            <w:r w:rsidRPr="00C74BDD">
              <w:rPr>
                <w:rFonts w:cs="Arial"/>
                <w:b w:val="0"/>
                <w:bCs/>
                <w:sz w:val="20"/>
                <w:szCs w:val="20"/>
                <w:lang w:val="en-US"/>
              </w:rPr>
              <w:t>25</w:t>
            </w:r>
            <w:r>
              <w:rPr>
                <w:rFonts w:cs="Arial"/>
                <w:b w:val="0"/>
                <w:bCs/>
                <w:sz w:val="20"/>
                <w:szCs w:val="20"/>
                <w:lang w:val="en-US"/>
              </w:rPr>
              <w:t>.2</w:t>
            </w:r>
            <w:r w:rsidRPr="00C74BDD">
              <w:rPr>
                <w:rFonts w:cs="Arial"/>
                <w:b w:val="0"/>
                <w:bCs/>
                <w:sz w:val="20"/>
                <w:szCs w:val="20"/>
                <w:lang w:val="en-US"/>
              </w:rPr>
              <w:t>%</w:t>
            </w:r>
          </w:p>
        </w:tc>
      </w:tr>
      <w:tr w:rsidR="00242CCC" w:rsidRPr="00C74BDD" w:rsidTr="00650C81">
        <w:trPr>
          <w:trHeight w:val="20"/>
        </w:trPr>
        <w:tc>
          <w:tcPr>
            <w:tcW w:w="1513" w:type="pct"/>
            <w:tcBorders>
              <w:top w:val="single" w:sz="6" w:space="0" w:color="auto"/>
              <w:left w:val="double" w:sz="4"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rsidR="00242CCC" w:rsidRPr="00C74BDD" w:rsidRDefault="00242CCC" w:rsidP="00650C81">
            <w:pPr>
              <w:spacing w:before="0" w:line="276" w:lineRule="auto"/>
              <w:ind w:firstLine="0"/>
              <w:jc w:val="left"/>
              <w:rPr>
                <w:rFonts w:cs="Arial"/>
                <w:sz w:val="20"/>
                <w:szCs w:val="20"/>
                <w:lang w:val="hy-AM"/>
              </w:rPr>
            </w:pPr>
            <w:r w:rsidRPr="00C74BDD">
              <w:rPr>
                <w:rFonts w:cs="Arial"/>
                <w:sz w:val="20"/>
                <w:szCs w:val="20"/>
                <w:lang w:val="hy-AM"/>
              </w:rPr>
              <w:t>3. ԱՌՈՂՋԱՊԱՀՈՒԹՅՈՒՆ</w:t>
            </w:r>
          </w:p>
        </w:tc>
        <w:tc>
          <w:tcPr>
            <w:tcW w:w="693"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rsidR="00242CCC" w:rsidRPr="00C74BDD" w:rsidRDefault="00242CCC" w:rsidP="009D2783">
            <w:pPr>
              <w:spacing w:before="0" w:line="276" w:lineRule="auto"/>
              <w:ind w:firstLine="0"/>
              <w:jc w:val="right"/>
              <w:rPr>
                <w:rFonts w:cs="Arial"/>
                <w:sz w:val="20"/>
                <w:szCs w:val="20"/>
                <w:lang w:val="hy-AM"/>
              </w:rPr>
            </w:pPr>
            <w:r w:rsidRPr="00C74BDD">
              <w:rPr>
                <w:rFonts w:cs="Arial"/>
                <w:sz w:val="20"/>
                <w:szCs w:val="20"/>
                <w:lang w:val="hy-AM"/>
              </w:rPr>
              <w:t>99,283,0</w:t>
            </w:r>
          </w:p>
        </w:tc>
        <w:tc>
          <w:tcPr>
            <w:tcW w:w="603"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0" w:type="dxa"/>
              <w:left w:w="30" w:type="dxa"/>
              <w:bottom w:w="0" w:type="dxa"/>
              <w:right w:w="30" w:type="dxa"/>
            </w:tcMar>
            <w:vAlign w:val="center"/>
            <w:hideMark/>
          </w:tcPr>
          <w:p w:rsidR="00242CCC" w:rsidRPr="00C74BDD" w:rsidRDefault="00242CCC" w:rsidP="009D2783">
            <w:pPr>
              <w:spacing w:before="0" w:line="276" w:lineRule="auto"/>
              <w:ind w:firstLine="0"/>
              <w:jc w:val="right"/>
              <w:rPr>
                <w:rFonts w:cs="Arial"/>
                <w:sz w:val="20"/>
                <w:szCs w:val="20"/>
                <w:lang w:val="hy-AM"/>
              </w:rPr>
            </w:pPr>
            <w:r w:rsidRPr="00C74BDD">
              <w:rPr>
                <w:rFonts w:cs="Arial"/>
                <w:sz w:val="20"/>
                <w:szCs w:val="20"/>
                <w:lang w:val="hy-AM"/>
              </w:rPr>
              <w:t>148,236.7</w:t>
            </w:r>
          </w:p>
        </w:tc>
        <w:tc>
          <w:tcPr>
            <w:tcW w:w="726" w:type="pct"/>
            <w:tcBorders>
              <w:top w:val="single" w:sz="6" w:space="0" w:color="auto"/>
              <w:left w:val="single" w:sz="6" w:space="0" w:color="auto"/>
              <w:bottom w:val="single" w:sz="6" w:space="0" w:color="auto"/>
              <w:right w:val="double" w:sz="4" w:space="0" w:color="auto"/>
            </w:tcBorders>
            <w:shd w:val="clear" w:color="auto" w:fill="C6D9F1" w:themeFill="text2" w:themeFillTint="33"/>
            <w:tcMar>
              <w:top w:w="0" w:type="dxa"/>
              <w:left w:w="30" w:type="dxa"/>
              <w:bottom w:w="0" w:type="dxa"/>
              <w:right w:w="30" w:type="dxa"/>
            </w:tcMar>
            <w:vAlign w:val="center"/>
            <w:hideMark/>
          </w:tcPr>
          <w:p w:rsidR="00242CCC" w:rsidRPr="00C74BDD" w:rsidRDefault="00242CCC" w:rsidP="009D2783">
            <w:pPr>
              <w:spacing w:before="0" w:line="276" w:lineRule="auto"/>
              <w:ind w:firstLine="0"/>
              <w:jc w:val="right"/>
              <w:rPr>
                <w:rFonts w:cs="Arial"/>
                <w:sz w:val="20"/>
                <w:szCs w:val="20"/>
                <w:lang w:val="hy-AM"/>
              </w:rPr>
            </w:pPr>
            <w:r w:rsidRPr="00C74BDD">
              <w:rPr>
                <w:rFonts w:cs="Arial"/>
                <w:sz w:val="20"/>
                <w:szCs w:val="20"/>
                <w:lang w:val="hy-AM"/>
              </w:rPr>
              <w:t>160,496.8</w:t>
            </w:r>
          </w:p>
        </w:tc>
        <w:tc>
          <w:tcPr>
            <w:tcW w:w="771" w:type="pct"/>
            <w:tcBorders>
              <w:top w:val="single" w:sz="6" w:space="0" w:color="auto"/>
              <w:left w:val="single" w:sz="6" w:space="0" w:color="auto"/>
              <w:bottom w:val="single" w:sz="6" w:space="0" w:color="auto"/>
              <w:right w:val="double" w:sz="4" w:space="0" w:color="auto"/>
            </w:tcBorders>
            <w:shd w:val="clear" w:color="auto" w:fill="C6D9F1" w:themeFill="text2" w:themeFillTint="33"/>
            <w:vAlign w:val="center"/>
          </w:tcPr>
          <w:p w:rsidR="00242CCC" w:rsidRPr="00C74BDD" w:rsidRDefault="00242CCC" w:rsidP="009D2783">
            <w:pPr>
              <w:spacing w:before="0" w:line="276" w:lineRule="auto"/>
              <w:ind w:firstLine="0"/>
              <w:jc w:val="right"/>
              <w:rPr>
                <w:rFonts w:cs="Arial"/>
                <w:sz w:val="20"/>
                <w:szCs w:val="20"/>
                <w:lang w:val="hy-AM"/>
              </w:rPr>
            </w:pPr>
            <w:r w:rsidRPr="00C74BDD">
              <w:rPr>
                <w:rFonts w:cs="Arial"/>
                <w:sz w:val="20"/>
                <w:szCs w:val="20"/>
                <w:lang w:val="hy-AM"/>
              </w:rPr>
              <w:t>122,484.1</w:t>
            </w:r>
          </w:p>
        </w:tc>
        <w:tc>
          <w:tcPr>
            <w:tcW w:w="693" w:type="pct"/>
            <w:tcBorders>
              <w:top w:val="single" w:sz="6" w:space="0" w:color="auto"/>
              <w:left w:val="single" w:sz="6" w:space="0" w:color="auto"/>
              <w:bottom w:val="single" w:sz="6" w:space="0" w:color="auto"/>
              <w:right w:val="double" w:sz="4" w:space="0" w:color="auto"/>
            </w:tcBorders>
            <w:shd w:val="clear" w:color="auto" w:fill="C6D9F1" w:themeFill="text2" w:themeFillTint="33"/>
            <w:vAlign w:val="center"/>
          </w:tcPr>
          <w:p w:rsidR="00242CCC" w:rsidRPr="00AD648D" w:rsidRDefault="00242CCC" w:rsidP="009D2783">
            <w:pPr>
              <w:spacing w:before="0" w:line="276" w:lineRule="auto"/>
              <w:ind w:firstLine="0"/>
              <w:jc w:val="right"/>
              <w:rPr>
                <w:rFonts w:cs="Arial"/>
                <w:sz w:val="20"/>
                <w:szCs w:val="20"/>
                <w:lang w:val="en-US"/>
              </w:rPr>
            </w:pPr>
            <w:r w:rsidRPr="00C74BDD">
              <w:rPr>
                <w:rFonts w:eastAsiaTheme="minorHAnsi" w:cs="Cambria Math"/>
                <w:bCs/>
                <w:sz w:val="20"/>
                <w:szCs w:val="20"/>
                <w:lang w:val="en-US" w:eastAsia="en-US"/>
              </w:rPr>
              <w:t>14</w:t>
            </w:r>
            <w:r>
              <w:rPr>
                <w:rFonts w:eastAsiaTheme="minorHAnsi" w:cs="Cambria Math"/>
                <w:bCs/>
                <w:sz w:val="20"/>
                <w:szCs w:val="20"/>
                <w:lang w:val="en-US" w:eastAsia="en-US"/>
              </w:rPr>
              <w:t>8</w:t>
            </w:r>
            <w:r w:rsidRPr="00C74BDD">
              <w:rPr>
                <w:rFonts w:cs="Arial"/>
                <w:sz w:val="20"/>
                <w:szCs w:val="20"/>
                <w:lang w:val="hy-AM"/>
              </w:rPr>
              <w:t>,</w:t>
            </w:r>
            <w:r>
              <w:rPr>
                <w:rFonts w:cs="Arial"/>
                <w:sz w:val="20"/>
                <w:szCs w:val="20"/>
                <w:lang w:val="en-US"/>
              </w:rPr>
              <w:t>979</w:t>
            </w:r>
            <w:r>
              <w:rPr>
                <w:rFonts w:cs="Arial"/>
                <w:sz w:val="20"/>
                <w:szCs w:val="20"/>
                <w:lang w:val="hy-AM"/>
              </w:rPr>
              <w:t>.</w:t>
            </w:r>
            <w:r>
              <w:rPr>
                <w:rFonts w:cs="Arial"/>
                <w:sz w:val="20"/>
                <w:szCs w:val="20"/>
                <w:lang w:val="en-US"/>
              </w:rPr>
              <w:t>5</w:t>
            </w:r>
          </w:p>
        </w:tc>
      </w:tr>
      <w:tr w:rsidR="00242CCC" w:rsidRPr="00C74BDD" w:rsidTr="00650C81">
        <w:trPr>
          <w:trHeight w:val="20"/>
        </w:trPr>
        <w:tc>
          <w:tcPr>
            <w:tcW w:w="1513" w:type="pct"/>
            <w:tcBorders>
              <w:top w:val="single" w:sz="6" w:space="0" w:color="auto"/>
              <w:left w:val="double" w:sz="4" w:space="0" w:color="auto"/>
              <w:bottom w:val="single" w:sz="6" w:space="0" w:color="auto"/>
              <w:right w:val="single" w:sz="6" w:space="0" w:color="auto"/>
            </w:tcBorders>
            <w:shd w:val="clear" w:color="auto" w:fill="FFFFFF"/>
            <w:tcMar>
              <w:top w:w="0" w:type="dxa"/>
              <w:left w:w="57" w:type="dxa"/>
              <w:bottom w:w="0" w:type="dxa"/>
              <w:right w:w="85" w:type="dxa"/>
            </w:tcMar>
            <w:vAlign w:val="center"/>
            <w:hideMark/>
          </w:tcPr>
          <w:p w:rsidR="00242CCC" w:rsidRPr="00C74BDD" w:rsidRDefault="00242CCC" w:rsidP="00650C81">
            <w:pPr>
              <w:spacing w:before="0" w:line="276" w:lineRule="auto"/>
              <w:ind w:firstLine="0"/>
              <w:jc w:val="left"/>
              <w:rPr>
                <w:rFonts w:cs="Arial"/>
                <w:b w:val="0"/>
                <w:bCs/>
                <w:sz w:val="20"/>
                <w:szCs w:val="20"/>
                <w:lang w:val="hy-AM"/>
              </w:rPr>
            </w:pPr>
            <w:r w:rsidRPr="00C74BDD">
              <w:rPr>
                <w:rFonts w:cs="Arial"/>
                <w:b w:val="0"/>
                <w:bCs/>
                <w:sz w:val="20"/>
                <w:szCs w:val="20"/>
                <w:lang w:val="hy-AM"/>
              </w:rPr>
              <w:t>- Հարաբերությունը ՀՆԱ-ի նկատմամբ (%)</w:t>
            </w:r>
          </w:p>
        </w:tc>
        <w:tc>
          <w:tcPr>
            <w:tcW w:w="693" w:type="pct"/>
            <w:tcBorders>
              <w:top w:val="single" w:sz="6"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1.5%</w:t>
            </w:r>
          </w:p>
        </w:tc>
        <w:tc>
          <w:tcPr>
            <w:tcW w:w="603" w:type="pct"/>
            <w:tcBorders>
              <w:top w:val="single" w:sz="6" w:space="0" w:color="auto"/>
              <w:left w:val="single" w:sz="6" w:space="0" w:color="auto"/>
              <w:bottom w:val="single" w:sz="6" w:space="0" w:color="auto"/>
              <w:right w:val="single" w:sz="6" w:space="0" w:color="auto"/>
            </w:tcBorders>
            <w:shd w:val="clear" w:color="auto" w:fill="FFFFFF"/>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2</w:t>
            </w:r>
            <w:r w:rsidRPr="00C74BDD">
              <w:rPr>
                <w:rFonts w:ascii="Cambria Math" w:hAnsi="Cambria Math" w:cs="Cambria Math"/>
                <w:b w:val="0"/>
                <w:bCs/>
                <w:sz w:val="20"/>
                <w:szCs w:val="20"/>
                <w:lang w:val="hy-AM"/>
              </w:rPr>
              <w:t>․</w:t>
            </w:r>
            <w:r w:rsidRPr="00C74BDD">
              <w:rPr>
                <w:rFonts w:cs="Arial"/>
                <w:b w:val="0"/>
                <w:bCs/>
                <w:sz w:val="20"/>
                <w:szCs w:val="20"/>
                <w:lang w:val="hy-AM"/>
              </w:rPr>
              <w:t>3%</w:t>
            </w:r>
          </w:p>
        </w:tc>
        <w:tc>
          <w:tcPr>
            <w:tcW w:w="726" w:type="pct"/>
            <w:tcBorders>
              <w:top w:val="single" w:sz="6" w:space="0" w:color="auto"/>
              <w:left w:val="single" w:sz="6" w:space="0" w:color="auto"/>
              <w:bottom w:val="single" w:sz="6" w:space="0" w:color="auto"/>
              <w:right w:val="double" w:sz="4" w:space="0" w:color="auto"/>
            </w:tcBorders>
            <w:shd w:val="clear" w:color="auto" w:fill="FFFFFF"/>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2.3%</w:t>
            </w:r>
          </w:p>
        </w:tc>
        <w:tc>
          <w:tcPr>
            <w:tcW w:w="771" w:type="pct"/>
            <w:tcBorders>
              <w:top w:val="single" w:sz="6" w:space="0" w:color="auto"/>
              <w:left w:val="single" w:sz="6" w:space="0" w:color="auto"/>
              <w:bottom w:val="single" w:sz="6" w:space="0" w:color="auto"/>
              <w:right w:val="double" w:sz="4" w:space="0" w:color="auto"/>
            </w:tcBorders>
            <w:shd w:val="clear" w:color="auto" w:fill="FFFFFF"/>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1.6%</w:t>
            </w:r>
          </w:p>
        </w:tc>
        <w:tc>
          <w:tcPr>
            <w:tcW w:w="693" w:type="pct"/>
            <w:tcBorders>
              <w:top w:val="single" w:sz="6" w:space="0" w:color="auto"/>
              <w:left w:val="single" w:sz="6" w:space="0" w:color="auto"/>
              <w:bottom w:val="single" w:sz="6" w:space="0" w:color="auto"/>
              <w:right w:val="double" w:sz="4" w:space="0" w:color="auto"/>
            </w:tcBorders>
            <w:shd w:val="clear" w:color="auto" w:fill="FFFFFF"/>
          </w:tcPr>
          <w:p w:rsidR="00242CCC" w:rsidRPr="00C74BDD" w:rsidRDefault="00242CCC" w:rsidP="009D2783">
            <w:pPr>
              <w:spacing w:before="0" w:after="200"/>
              <w:ind w:firstLine="0"/>
              <w:contextualSpacing w:val="0"/>
              <w:jc w:val="right"/>
              <w:rPr>
                <w:rFonts w:cs="Arial"/>
                <w:b w:val="0"/>
                <w:bCs/>
                <w:sz w:val="20"/>
                <w:szCs w:val="20"/>
                <w:lang w:val="en-US"/>
              </w:rPr>
            </w:pPr>
            <w:r w:rsidRPr="00C74BDD">
              <w:rPr>
                <w:rFonts w:cs="Arial"/>
                <w:b w:val="0"/>
                <w:bCs/>
                <w:sz w:val="20"/>
                <w:szCs w:val="20"/>
                <w:lang w:val="en-US"/>
              </w:rPr>
              <w:t>1.6%</w:t>
            </w:r>
          </w:p>
        </w:tc>
      </w:tr>
      <w:tr w:rsidR="00242CCC" w:rsidRPr="00C74BDD" w:rsidTr="00650C81">
        <w:trPr>
          <w:trHeight w:val="426"/>
        </w:trPr>
        <w:tc>
          <w:tcPr>
            <w:tcW w:w="1513" w:type="pct"/>
            <w:tcBorders>
              <w:top w:val="single" w:sz="6" w:space="0" w:color="auto"/>
              <w:left w:val="double" w:sz="4" w:space="0" w:color="auto"/>
              <w:bottom w:val="single" w:sz="6" w:space="0" w:color="auto"/>
              <w:right w:val="single" w:sz="6" w:space="0" w:color="auto"/>
            </w:tcBorders>
            <w:shd w:val="clear" w:color="auto" w:fill="FFFFFF"/>
            <w:tcMar>
              <w:top w:w="0" w:type="dxa"/>
              <w:left w:w="57" w:type="dxa"/>
              <w:bottom w:w="0" w:type="dxa"/>
              <w:right w:w="85" w:type="dxa"/>
            </w:tcMar>
            <w:vAlign w:val="center"/>
            <w:hideMark/>
          </w:tcPr>
          <w:p w:rsidR="00242CCC" w:rsidRPr="00C74BDD" w:rsidRDefault="00242CCC" w:rsidP="00650C81">
            <w:pPr>
              <w:spacing w:before="0" w:line="276" w:lineRule="auto"/>
              <w:ind w:firstLine="0"/>
              <w:jc w:val="left"/>
              <w:rPr>
                <w:rFonts w:cs="Arial"/>
                <w:b w:val="0"/>
                <w:bCs/>
                <w:sz w:val="20"/>
                <w:szCs w:val="20"/>
                <w:lang w:val="hy-AM"/>
              </w:rPr>
            </w:pPr>
            <w:r w:rsidRPr="00C74BDD">
              <w:rPr>
                <w:rFonts w:cs="Arial"/>
                <w:b w:val="0"/>
                <w:bCs/>
                <w:sz w:val="20"/>
                <w:szCs w:val="20"/>
                <w:lang w:val="hy-AM"/>
              </w:rPr>
              <w:t>- տեսակարար կշիռը ծախսերի ամբողջ ծավալում (%)</w:t>
            </w:r>
          </w:p>
        </w:tc>
        <w:tc>
          <w:tcPr>
            <w:tcW w:w="693" w:type="pct"/>
            <w:tcBorders>
              <w:top w:val="single" w:sz="6"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6.1%</w:t>
            </w:r>
          </w:p>
        </w:tc>
        <w:tc>
          <w:tcPr>
            <w:tcW w:w="603" w:type="pct"/>
            <w:tcBorders>
              <w:top w:val="single" w:sz="6" w:space="0" w:color="auto"/>
              <w:left w:val="single" w:sz="6" w:space="0" w:color="auto"/>
              <w:bottom w:val="single" w:sz="6" w:space="0" w:color="auto"/>
              <w:right w:val="single" w:sz="6" w:space="0" w:color="auto"/>
            </w:tcBorders>
            <w:shd w:val="clear" w:color="auto" w:fill="FFFFFF"/>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7</w:t>
            </w:r>
            <w:r w:rsidRPr="00C74BDD">
              <w:rPr>
                <w:rFonts w:ascii="Cambria Math" w:hAnsi="Cambria Math" w:cs="Cambria Math"/>
                <w:b w:val="0"/>
                <w:bCs/>
                <w:sz w:val="20"/>
                <w:szCs w:val="20"/>
                <w:lang w:val="hy-AM"/>
              </w:rPr>
              <w:t>․</w:t>
            </w:r>
            <w:r w:rsidRPr="00C74BDD">
              <w:rPr>
                <w:rFonts w:cs="Arial"/>
                <w:b w:val="0"/>
                <w:bCs/>
                <w:sz w:val="20"/>
                <w:szCs w:val="20"/>
                <w:lang w:val="hy-AM"/>
              </w:rPr>
              <w:t>8%</w:t>
            </w:r>
          </w:p>
        </w:tc>
        <w:tc>
          <w:tcPr>
            <w:tcW w:w="726" w:type="pct"/>
            <w:tcBorders>
              <w:top w:val="single" w:sz="6" w:space="0" w:color="auto"/>
              <w:left w:val="single" w:sz="6" w:space="0" w:color="auto"/>
              <w:bottom w:val="single" w:sz="6" w:space="0" w:color="auto"/>
              <w:right w:val="double" w:sz="4" w:space="0" w:color="auto"/>
            </w:tcBorders>
            <w:shd w:val="clear" w:color="auto" w:fill="FFFFFF"/>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8.0%</w:t>
            </w:r>
          </w:p>
        </w:tc>
        <w:tc>
          <w:tcPr>
            <w:tcW w:w="771" w:type="pct"/>
            <w:tcBorders>
              <w:top w:val="single" w:sz="6" w:space="0" w:color="auto"/>
              <w:left w:val="single" w:sz="6" w:space="0" w:color="auto"/>
              <w:bottom w:val="single" w:sz="6" w:space="0" w:color="auto"/>
              <w:right w:val="double" w:sz="4" w:space="0" w:color="auto"/>
            </w:tcBorders>
            <w:shd w:val="clear" w:color="auto" w:fill="FFFFFF"/>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5.6%</w:t>
            </w:r>
          </w:p>
        </w:tc>
        <w:tc>
          <w:tcPr>
            <w:tcW w:w="693" w:type="pct"/>
            <w:tcBorders>
              <w:top w:val="single" w:sz="6" w:space="0" w:color="auto"/>
              <w:left w:val="single" w:sz="6" w:space="0" w:color="auto"/>
              <w:bottom w:val="single" w:sz="6" w:space="0" w:color="auto"/>
              <w:right w:val="double" w:sz="4" w:space="0" w:color="auto"/>
            </w:tcBorders>
            <w:shd w:val="clear" w:color="auto" w:fill="FFFFFF"/>
          </w:tcPr>
          <w:p w:rsidR="00242CCC" w:rsidRPr="00C74BDD" w:rsidRDefault="00242CCC" w:rsidP="009D2783">
            <w:pPr>
              <w:spacing w:before="0" w:line="276" w:lineRule="auto"/>
              <w:ind w:firstLine="0"/>
              <w:jc w:val="right"/>
              <w:rPr>
                <w:rFonts w:cs="Arial"/>
                <w:b w:val="0"/>
                <w:bCs/>
                <w:sz w:val="20"/>
                <w:szCs w:val="20"/>
                <w:lang w:val="en-US"/>
              </w:rPr>
            </w:pPr>
            <w:r w:rsidRPr="00C74BDD">
              <w:rPr>
                <w:rFonts w:cs="Arial"/>
                <w:b w:val="0"/>
                <w:bCs/>
                <w:sz w:val="20"/>
                <w:szCs w:val="20"/>
                <w:lang w:val="en-US"/>
              </w:rPr>
              <w:t>5.</w:t>
            </w:r>
            <w:r>
              <w:rPr>
                <w:rFonts w:cs="Arial"/>
                <w:b w:val="0"/>
                <w:bCs/>
                <w:sz w:val="20"/>
                <w:szCs w:val="20"/>
                <w:lang w:val="en-US"/>
              </w:rPr>
              <w:t>7</w:t>
            </w:r>
            <w:r w:rsidRPr="00C74BDD">
              <w:rPr>
                <w:rFonts w:cs="Arial"/>
                <w:b w:val="0"/>
                <w:bCs/>
                <w:sz w:val="20"/>
                <w:szCs w:val="20"/>
                <w:lang w:val="en-US"/>
              </w:rPr>
              <w:t>%</w:t>
            </w:r>
          </w:p>
        </w:tc>
      </w:tr>
      <w:tr w:rsidR="00242CCC" w:rsidRPr="00C74BDD" w:rsidTr="00650C81">
        <w:trPr>
          <w:trHeight w:val="20"/>
        </w:trPr>
        <w:tc>
          <w:tcPr>
            <w:tcW w:w="1513" w:type="pct"/>
            <w:tcBorders>
              <w:top w:val="single" w:sz="6" w:space="0" w:color="auto"/>
              <w:left w:val="double" w:sz="4"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rsidR="00242CCC" w:rsidRPr="00C74BDD" w:rsidRDefault="00242CCC" w:rsidP="00650C81">
            <w:pPr>
              <w:spacing w:before="0" w:line="276" w:lineRule="auto"/>
              <w:ind w:firstLine="0"/>
              <w:jc w:val="left"/>
              <w:rPr>
                <w:rFonts w:cs="Arial"/>
                <w:sz w:val="20"/>
                <w:szCs w:val="20"/>
                <w:lang w:val="hy-AM"/>
              </w:rPr>
            </w:pPr>
            <w:r w:rsidRPr="00C74BDD">
              <w:rPr>
                <w:rFonts w:cs="Arial"/>
                <w:sz w:val="20"/>
                <w:szCs w:val="20"/>
                <w:lang w:val="hy-AM"/>
              </w:rPr>
              <w:t>4. ՀԱՆԳԻՍՏ, ՄՇԱԿՈՒՅԹ ԵՎ ԿՐՈՆ</w:t>
            </w:r>
          </w:p>
        </w:tc>
        <w:tc>
          <w:tcPr>
            <w:tcW w:w="693"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rsidR="00242CCC" w:rsidRPr="00C74BDD" w:rsidRDefault="00242CCC" w:rsidP="009D2783">
            <w:pPr>
              <w:spacing w:before="0" w:line="276" w:lineRule="auto"/>
              <w:ind w:firstLine="0"/>
              <w:jc w:val="right"/>
              <w:rPr>
                <w:rFonts w:cs="Arial"/>
                <w:sz w:val="20"/>
                <w:szCs w:val="20"/>
                <w:lang w:val="hy-AM"/>
              </w:rPr>
            </w:pPr>
            <w:r w:rsidRPr="00C74BDD">
              <w:rPr>
                <w:rFonts w:cs="Arial"/>
                <w:sz w:val="20"/>
                <w:szCs w:val="20"/>
                <w:lang w:val="hy-AM"/>
              </w:rPr>
              <w:t>33,558,3</w:t>
            </w:r>
          </w:p>
        </w:tc>
        <w:tc>
          <w:tcPr>
            <w:tcW w:w="603"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0" w:type="dxa"/>
              <w:left w:w="30" w:type="dxa"/>
              <w:bottom w:w="0" w:type="dxa"/>
              <w:right w:w="30" w:type="dxa"/>
            </w:tcMar>
            <w:vAlign w:val="center"/>
            <w:hideMark/>
          </w:tcPr>
          <w:p w:rsidR="00242CCC" w:rsidRPr="00C74BDD" w:rsidRDefault="00242CCC" w:rsidP="009D2783">
            <w:pPr>
              <w:spacing w:before="0" w:line="276" w:lineRule="auto"/>
              <w:ind w:firstLine="0"/>
              <w:jc w:val="right"/>
              <w:rPr>
                <w:rFonts w:cs="Arial"/>
                <w:sz w:val="20"/>
                <w:szCs w:val="20"/>
                <w:lang w:val="hy-AM"/>
              </w:rPr>
            </w:pPr>
            <w:r w:rsidRPr="00C74BDD">
              <w:rPr>
                <w:rFonts w:cs="Arial"/>
                <w:sz w:val="20"/>
                <w:szCs w:val="20"/>
                <w:lang w:val="hy-AM"/>
              </w:rPr>
              <w:t>33,625.0</w:t>
            </w:r>
          </w:p>
        </w:tc>
        <w:tc>
          <w:tcPr>
            <w:tcW w:w="726" w:type="pct"/>
            <w:tcBorders>
              <w:top w:val="single" w:sz="6" w:space="0" w:color="auto"/>
              <w:left w:val="single" w:sz="6" w:space="0" w:color="auto"/>
              <w:bottom w:val="single" w:sz="6" w:space="0" w:color="auto"/>
              <w:right w:val="double" w:sz="4" w:space="0" w:color="auto"/>
            </w:tcBorders>
            <w:shd w:val="clear" w:color="auto" w:fill="C6D9F1" w:themeFill="text2" w:themeFillTint="33"/>
            <w:tcMar>
              <w:top w:w="0" w:type="dxa"/>
              <w:left w:w="30" w:type="dxa"/>
              <w:bottom w:w="0" w:type="dxa"/>
              <w:right w:w="30" w:type="dxa"/>
            </w:tcMar>
            <w:vAlign w:val="center"/>
            <w:hideMark/>
          </w:tcPr>
          <w:p w:rsidR="00242CCC" w:rsidRPr="00C74BDD" w:rsidRDefault="00242CCC" w:rsidP="009D2783">
            <w:pPr>
              <w:spacing w:before="0" w:line="276" w:lineRule="auto"/>
              <w:ind w:firstLine="0"/>
              <w:jc w:val="right"/>
              <w:rPr>
                <w:rFonts w:cs="Arial"/>
                <w:sz w:val="20"/>
                <w:szCs w:val="20"/>
                <w:lang w:val="hy-AM"/>
              </w:rPr>
            </w:pPr>
            <w:r w:rsidRPr="00C74BDD">
              <w:rPr>
                <w:rFonts w:cs="Arial"/>
                <w:sz w:val="20"/>
                <w:szCs w:val="20"/>
                <w:lang w:val="hy-AM"/>
              </w:rPr>
              <w:t>30,424.0</w:t>
            </w:r>
          </w:p>
        </w:tc>
        <w:tc>
          <w:tcPr>
            <w:tcW w:w="771" w:type="pct"/>
            <w:tcBorders>
              <w:top w:val="single" w:sz="6" w:space="0" w:color="auto"/>
              <w:left w:val="single" w:sz="6" w:space="0" w:color="auto"/>
              <w:bottom w:val="single" w:sz="6" w:space="0" w:color="auto"/>
              <w:right w:val="double" w:sz="4" w:space="0" w:color="auto"/>
            </w:tcBorders>
            <w:shd w:val="clear" w:color="auto" w:fill="C6D9F1" w:themeFill="text2" w:themeFillTint="33"/>
            <w:vAlign w:val="center"/>
          </w:tcPr>
          <w:p w:rsidR="00242CCC" w:rsidRPr="00C74BDD" w:rsidRDefault="00242CCC" w:rsidP="009D2783">
            <w:pPr>
              <w:spacing w:before="0" w:line="276" w:lineRule="auto"/>
              <w:ind w:firstLine="0"/>
              <w:jc w:val="right"/>
              <w:rPr>
                <w:rFonts w:cs="Arial"/>
                <w:sz w:val="20"/>
                <w:szCs w:val="20"/>
                <w:lang w:val="hy-AM"/>
              </w:rPr>
            </w:pPr>
            <w:r w:rsidRPr="00C74BDD">
              <w:rPr>
                <w:rFonts w:cs="Arial"/>
                <w:sz w:val="20"/>
                <w:szCs w:val="20"/>
                <w:lang w:val="hy-AM"/>
              </w:rPr>
              <w:t>32,774.3</w:t>
            </w:r>
          </w:p>
        </w:tc>
        <w:tc>
          <w:tcPr>
            <w:tcW w:w="693" w:type="pct"/>
            <w:tcBorders>
              <w:top w:val="single" w:sz="6" w:space="0" w:color="auto"/>
              <w:left w:val="single" w:sz="6" w:space="0" w:color="auto"/>
              <w:bottom w:val="single" w:sz="6" w:space="0" w:color="auto"/>
              <w:right w:val="double" w:sz="4" w:space="0" w:color="auto"/>
            </w:tcBorders>
            <w:shd w:val="clear" w:color="auto" w:fill="C6D9F1" w:themeFill="text2" w:themeFillTint="33"/>
            <w:vAlign w:val="center"/>
          </w:tcPr>
          <w:p w:rsidR="00242CCC" w:rsidRPr="00AD648D" w:rsidRDefault="00242CCC" w:rsidP="009D2783">
            <w:pPr>
              <w:spacing w:before="0" w:line="276" w:lineRule="auto"/>
              <w:ind w:firstLine="0"/>
              <w:jc w:val="right"/>
              <w:rPr>
                <w:rFonts w:cs="Arial"/>
                <w:sz w:val="20"/>
                <w:szCs w:val="20"/>
                <w:lang w:val="en-US"/>
              </w:rPr>
            </w:pPr>
            <w:r w:rsidRPr="00C74BDD">
              <w:rPr>
                <w:rFonts w:cs="Arial"/>
                <w:sz w:val="20"/>
                <w:szCs w:val="20"/>
                <w:lang w:val="hy-AM"/>
              </w:rPr>
              <w:t>3</w:t>
            </w:r>
            <w:r w:rsidRPr="00C74BDD">
              <w:rPr>
                <w:rFonts w:cs="Arial"/>
                <w:sz w:val="20"/>
                <w:szCs w:val="20"/>
                <w:lang w:val="en-US"/>
              </w:rPr>
              <w:t>6</w:t>
            </w:r>
            <w:r w:rsidRPr="00C74BDD">
              <w:rPr>
                <w:rFonts w:cs="Arial"/>
                <w:sz w:val="20"/>
                <w:szCs w:val="20"/>
                <w:lang w:val="hy-AM"/>
              </w:rPr>
              <w:t>,</w:t>
            </w:r>
            <w:r>
              <w:rPr>
                <w:rFonts w:cs="Arial"/>
                <w:sz w:val="20"/>
                <w:szCs w:val="20"/>
                <w:lang w:val="en-US"/>
              </w:rPr>
              <w:t>376</w:t>
            </w:r>
            <w:r w:rsidRPr="00C74BDD">
              <w:rPr>
                <w:rFonts w:cs="Arial"/>
                <w:sz w:val="20"/>
                <w:szCs w:val="20"/>
                <w:lang w:val="hy-AM"/>
              </w:rPr>
              <w:t>.</w:t>
            </w:r>
            <w:r>
              <w:rPr>
                <w:rFonts w:cs="Arial"/>
                <w:sz w:val="20"/>
                <w:szCs w:val="20"/>
                <w:lang w:val="en-US"/>
              </w:rPr>
              <w:t>8</w:t>
            </w:r>
          </w:p>
        </w:tc>
      </w:tr>
      <w:tr w:rsidR="00242CCC" w:rsidRPr="00C74BDD" w:rsidTr="00650C81">
        <w:trPr>
          <w:trHeight w:val="395"/>
        </w:trPr>
        <w:tc>
          <w:tcPr>
            <w:tcW w:w="1513" w:type="pct"/>
            <w:tcBorders>
              <w:top w:val="single" w:sz="6" w:space="0" w:color="auto"/>
              <w:left w:val="double" w:sz="4" w:space="0" w:color="auto"/>
              <w:bottom w:val="single" w:sz="6" w:space="0" w:color="auto"/>
              <w:right w:val="single" w:sz="6" w:space="0" w:color="auto"/>
            </w:tcBorders>
            <w:shd w:val="solid" w:color="FFFFFF" w:fill="auto"/>
            <w:tcMar>
              <w:top w:w="0" w:type="dxa"/>
              <w:left w:w="57" w:type="dxa"/>
              <w:bottom w:w="0" w:type="dxa"/>
              <w:right w:w="85" w:type="dxa"/>
            </w:tcMar>
            <w:vAlign w:val="center"/>
            <w:hideMark/>
          </w:tcPr>
          <w:p w:rsidR="00242CCC" w:rsidRPr="00C74BDD" w:rsidRDefault="00242CCC" w:rsidP="00650C81">
            <w:pPr>
              <w:spacing w:before="0" w:line="276" w:lineRule="auto"/>
              <w:ind w:firstLine="0"/>
              <w:jc w:val="left"/>
              <w:rPr>
                <w:rFonts w:cs="Arial"/>
                <w:b w:val="0"/>
                <w:bCs/>
                <w:sz w:val="20"/>
                <w:szCs w:val="20"/>
                <w:lang w:val="hy-AM"/>
              </w:rPr>
            </w:pPr>
            <w:r w:rsidRPr="00C74BDD">
              <w:rPr>
                <w:rFonts w:cs="Arial"/>
                <w:b w:val="0"/>
                <w:bCs/>
                <w:sz w:val="20"/>
                <w:szCs w:val="20"/>
                <w:lang w:val="hy-AM"/>
              </w:rPr>
              <w:t>- Հարաբերությունը ՀՆԱ-ի նկատմամբ (%)</w:t>
            </w:r>
          </w:p>
        </w:tc>
        <w:tc>
          <w:tcPr>
            <w:tcW w:w="693" w:type="pct"/>
            <w:tcBorders>
              <w:top w:val="single" w:sz="6" w:space="0" w:color="auto"/>
              <w:left w:val="single" w:sz="6" w:space="0" w:color="auto"/>
              <w:bottom w:val="single" w:sz="6" w:space="0" w:color="auto"/>
              <w:right w:val="single" w:sz="6" w:space="0" w:color="auto"/>
            </w:tcBorders>
            <w:shd w:val="solid" w:color="FFFFFF" w:fill="auto"/>
            <w:tcMar>
              <w:top w:w="0" w:type="dxa"/>
              <w:left w:w="57" w:type="dxa"/>
              <w:bottom w:w="0" w:type="dxa"/>
              <w:right w:w="85" w:type="dxa"/>
            </w:tcMar>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0.5%</w:t>
            </w:r>
          </w:p>
        </w:tc>
        <w:tc>
          <w:tcPr>
            <w:tcW w:w="603" w:type="pct"/>
            <w:tcBorders>
              <w:top w:val="single" w:sz="6" w:space="0" w:color="auto"/>
              <w:left w:val="single" w:sz="6" w:space="0" w:color="auto"/>
              <w:bottom w:val="single" w:sz="6" w:space="0" w:color="auto"/>
              <w:right w:val="single" w:sz="6" w:space="0" w:color="auto"/>
            </w:tcBorders>
            <w:shd w:val="solid" w:color="FFFFFF" w:fill="auto"/>
            <w:tcMar>
              <w:top w:w="0" w:type="dxa"/>
              <w:left w:w="30" w:type="dxa"/>
              <w:bottom w:w="0" w:type="dxa"/>
              <w:right w:w="30" w:type="dxa"/>
            </w:tcMar>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0.2%</w:t>
            </w:r>
          </w:p>
        </w:tc>
        <w:tc>
          <w:tcPr>
            <w:tcW w:w="726" w:type="pct"/>
            <w:tcBorders>
              <w:top w:val="single" w:sz="6" w:space="0" w:color="auto"/>
              <w:left w:val="single" w:sz="6" w:space="0" w:color="auto"/>
              <w:bottom w:val="single" w:sz="6" w:space="0" w:color="auto"/>
              <w:right w:val="double" w:sz="4" w:space="0" w:color="auto"/>
            </w:tcBorders>
            <w:shd w:val="solid" w:color="FFFFFF" w:fill="auto"/>
            <w:tcMar>
              <w:top w:w="0" w:type="dxa"/>
              <w:left w:w="30" w:type="dxa"/>
              <w:bottom w:w="0" w:type="dxa"/>
              <w:right w:w="30" w:type="dxa"/>
            </w:tcMar>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0.4%</w:t>
            </w:r>
          </w:p>
        </w:tc>
        <w:tc>
          <w:tcPr>
            <w:tcW w:w="771" w:type="pct"/>
            <w:tcBorders>
              <w:top w:val="single" w:sz="6" w:space="0" w:color="auto"/>
              <w:left w:val="single" w:sz="6" w:space="0" w:color="auto"/>
              <w:bottom w:val="single" w:sz="6" w:space="0" w:color="auto"/>
              <w:right w:val="double" w:sz="4" w:space="0" w:color="auto"/>
            </w:tcBorders>
            <w:shd w:val="solid" w:color="FFFFFF" w:fill="auto"/>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0.4%</w:t>
            </w:r>
          </w:p>
        </w:tc>
        <w:tc>
          <w:tcPr>
            <w:tcW w:w="693" w:type="pct"/>
            <w:tcBorders>
              <w:top w:val="single" w:sz="6" w:space="0" w:color="auto"/>
              <w:left w:val="single" w:sz="6" w:space="0" w:color="auto"/>
              <w:bottom w:val="single" w:sz="6" w:space="0" w:color="auto"/>
              <w:right w:val="double" w:sz="4" w:space="0" w:color="auto"/>
            </w:tcBorders>
            <w:shd w:val="solid" w:color="FFFFFF" w:fill="auto"/>
          </w:tcPr>
          <w:p w:rsidR="00242CCC" w:rsidRPr="00C74BDD" w:rsidRDefault="00242CCC" w:rsidP="009D2783">
            <w:pPr>
              <w:spacing w:before="0" w:line="276" w:lineRule="auto"/>
              <w:ind w:firstLine="0"/>
              <w:jc w:val="right"/>
              <w:rPr>
                <w:rFonts w:cs="Arial"/>
                <w:b w:val="0"/>
                <w:bCs/>
                <w:sz w:val="20"/>
                <w:szCs w:val="20"/>
                <w:lang w:val="en-US"/>
              </w:rPr>
            </w:pPr>
            <w:r w:rsidRPr="00C74BDD">
              <w:rPr>
                <w:rFonts w:cs="Arial"/>
                <w:b w:val="0"/>
                <w:bCs/>
                <w:sz w:val="20"/>
                <w:szCs w:val="20"/>
                <w:lang w:val="en-US"/>
              </w:rPr>
              <w:t>0.4%</w:t>
            </w:r>
          </w:p>
        </w:tc>
      </w:tr>
      <w:tr w:rsidR="00242CCC" w:rsidRPr="00C74BDD" w:rsidTr="00650C81">
        <w:trPr>
          <w:trHeight w:val="20"/>
        </w:trPr>
        <w:tc>
          <w:tcPr>
            <w:tcW w:w="1513" w:type="pct"/>
            <w:tcBorders>
              <w:top w:val="single" w:sz="6" w:space="0" w:color="auto"/>
              <w:left w:val="double" w:sz="4" w:space="0" w:color="auto"/>
              <w:bottom w:val="double" w:sz="4" w:space="0" w:color="auto"/>
              <w:right w:val="single" w:sz="6" w:space="0" w:color="auto"/>
            </w:tcBorders>
            <w:shd w:val="solid" w:color="FFFFFF" w:fill="auto"/>
            <w:tcMar>
              <w:top w:w="0" w:type="dxa"/>
              <w:left w:w="57" w:type="dxa"/>
              <w:bottom w:w="0" w:type="dxa"/>
              <w:right w:w="85" w:type="dxa"/>
            </w:tcMar>
            <w:vAlign w:val="center"/>
            <w:hideMark/>
          </w:tcPr>
          <w:p w:rsidR="00242CCC" w:rsidRPr="00C74BDD" w:rsidRDefault="00242CCC" w:rsidP="00650C81">
            <w:pPr>
              <w:spacing w:before="0" w:line="276" w:lineRule="auto"/>
              <w:ind w:firstLine="0"/>
              <w:jc w:val="left"/>
              <w:rPr>
                <w:rFonts w:cs="Arial"/>
                <w:b w:val="0"/>
                <w:bCs/>
                <w:sz w:val="20"/>
                <w:szCs w:val="20"/>
                <w:lang w:val="hy-AM"/>
              </w:rPr>
            </w:pPr>
            <w:r w:rsidRPr="00C74BDD">
              <w:rPr>
                <w:rFonts w:cs="Arial"/>
                <w:b w:val="0"/>
                <w:bCs/>
                <w:sz w:val="20"/>
                <w:szCs w:val="20"/>
                <w:lang w:val="hy-AM"/>
              </w:rPr>
              <w:t>- տեսակարար կշիռը ծախսերի ամբողջ ծավալում (%)</w:t>
            </w:r>
          </w:p>
        </w:tc>
        <w:tc>
          <w:tcPr>
            <w:tcW w:w="693" w:type="pct"/>
            <w:tcBorders>
              <w:top w:val="single" w:sz="6" w:space="0" w:color="auto"/>
              <w:left w:val="single" w:sz="6" w:space="0" w:color="auto"/>
              <w:bottom w:val="double" w:sz="4" w:space="0" w:color="auto"/>
              <w:right w:val="single" w:sz="6" w:space="0" w:color="auto"/>
            </w:tcBorders>
            <w:shd w:val="solid" w:color="FFFFFF" w:fill="auto"/>
            <w:tcMar>
              <w:top w:w="0" w:type="dxa"/>
              <w:left w:w="57" w:type="dxa"/>
              <w:bottom w:w="0" w:type="dxa"/>
              <w:right w:w="85" w:type="dxa"/>
            </w:tcMar>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2.1%</w:t>
            </w:r>
          </w:p>
        </w:tc>
        <w:tc>
          <w:tcPr>
            <w:tcW w:w="603" w:type="pct"/>
            <w:tcBorders>
              <w:top w:val="single" w:sz="6" w:space="0" w:color="auto"/>
              <w:left w:val="single" w:sz="6" w:space="0" w:color="auto"/>
              <w:bottom w:val="double" w:sz="4" w:space="0" w:color="auto"/>
              <w:right w:val="single" w:sz="6" w:space="0" w:color="auto"/>
            </w:tcBorders>
            <w:shd w:val="solid" w:color="FFFFFF" w:fill="auto"/>
            <w:tcMar>
              <w:top w:w="0" w:type="dxa"/>
              <w:left w:w="30" w:type="dxa"/>
              <w:bottom w:w="0" w:type="dxa"/>
              <w:right w:w="30" w:type="dxa"/>
            </w:tcMar>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1.8%</w:t>
            </w:r>
          </w:p>
        </w:tc>
        <w:tc>
          <w:tcPr>
            <w:tcW w:w="726" w:type="pct"/>
            <w:tcBorders>
              <w:top w:val="single" w:sz="6" w:space="0" w:color="auto"/>
              <w:left w:val="single" w:sz="6" w:space="0" w:color="auto"/>
              <w:bottom w:val="double" w:sz="4" w:space="0" w:color="auto"/>
              <w:right w:val="double" w:sz="4" w:space="0" w:color="auto"/>
            </w:tcBorders>
            <w:shd w:val="solid" w:color="FFFFFF" w:fill="auto"/>
            <w:tcMar>
              <w:top w:w="0" w:type="dxa"/>
              <w:left w:w="30" w:type="dxa"/>
              <w:bottom w:w="0" w:type="dxa"/>
              <w:right w:w="30" w:type="dxa"/>
            </w:tcMar>
            <w:hideMark/>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1.5%</w:t>
            </w:r>
          </w:p>
        </w:tc>
        <w:tc>
          <w:tcPr>
            <w:tcW w:w="771" w:type="pct"/>
            <w:tcBorders>
              <w:top w:val="single" w:sz="6" w:space="0" w:color="auto"/>
              <w:left w:val="single" w:sz="6" w:space="0" w:color="auto"/>
              <w:bottom w:val="double" w:sz="4" w:space="0" w:color="auto"/>
              <w:right w:val="double" w:sz="4" w:space="0" w:color="auto"/>
            </w:tcBorders>
            <w:shd w:val="solid" w:color="FFFFFF" w:fill="auto"/>
          </w:tcPr>
          <w:p w:rsidR="00242CCC" w:rsidRPr="00C74BDD" w:rsidRDefault="00242CCC" w:rsidP="009D2783">
            <w:pPr>
              <w:spacing w:before="0" w:line="276" w:lineRule="auto"/>
              <w:ind w:firstLine="0"/>
              <w:jc w:val="right"/>
              <w:rPr>
                <w:rFonts w:cs="Arial"/>
                <w:b w:val="0"/>
                <w:bCs/>
                <w:sz w:val="20"/>
                <w:szCs w:val="20"/>
                <w:lang w:val="hy-AM"/>
              </w:rPr>
            </w:pPr>
            <w:r w:rsidRPr="00C74BDD">
              <w:rPr>
                <w:rFonts w:cs="Arial"/>
                <w:b w:val="0"/>
                <w:bCs/>
                <w:sz w:val="20"/>
                <w:szCs w:val="20"/>
                <w:lang w:val="hy-AM"/>
              </w:rPr>
              <w:t>1.5%</w:t>
            </w:r>
          </w:p>
        </w:tc>
        <w:tc>
          <w:tcPr>
            <w:tcW w:w="693" w:type="pct"/>
            <w:tcBorders>
              <w:top w:val="single" w:sz="6" w:space="0" w:color="auto"/>
              <w:left w:val="single" w:sz="6" w:space="0" w:color="auto"/>
              <w:bottom w:val="double" w:sz="4" w:space="0" w:color="auto"/>
              <w:right w:val="double" w:sz="4" w:space="0" w:color="auto"/>
            </w:tcBorders>
            <w:shd w:val="solid" w:color="FFFFFF" w:fill="auto"/>
          </w:tcPr>
          <w:p w:rsidR="00242CCC" w:rsidRPr="00C74BDD" w:rsidRDefault="00242CCC" w:rsidP="009D2783">
            <w:pPr>
              <w:spacing w:before="0" w:line="276" w:lineRule="auto"/>
              <w:ind w:firstLine="0"/>
              <w:jc w:val="right"/>
              <w:rPr>
                <w:rFonts w:cs="Arial"/>
                <w:b w:val="0"/>
                <w:bCs/>
                <w:sz w:val="20"/>
                <w:szCs w:val="20"/>
                <w:lang w:val="en-US"/>
              </w:rPr>
            </w:pPr>
            <w:r w:rsidRPr="00C74BDD">
              <w:rPr>
                <w:rFonts w:cs="Arial"/>
                <w:b w:val="0"/>
                <w:bCs/>
                <w:sz w:val="20"/>
                <w:szCs w:val="20"/>
                <w:lang w:val="en-US"/>
              </w:rPr>
              <w:t>1.4%</w:t>
            </w:r>
          </w:p>
        </w:tc>
      </w:tr>
    </w:tbl>
    <w:p w:rsidR="00242CCC" w:rsidRDefault="00242CCC" w:rsidP="00242CCC">
      <w:pPr>
        <w:spacing w:before="0" w:line="276" w:lineRule="auto"/>
        <w:ind w:firstLine="720"/>
        <w:contextualSpacing w:val="0"/>
        <w:rPr>
          <w:rFonts w:eastAsiaTheme="minorHAnsi" w:cs="Cambria Math"/>
          <w:b w:val="0"/>
          <w:szCs w:val="22"/>
          <w:lang w:val="en-US" w:eastAsia="en-US"/>
        </w:rPr>
      </w:pPr>
    </w:p>
    <w:p w:rsidR="00242CCC" w:rsidRPr="00C74BDD" w:rsidRDefault="00242CCC" w:rsidP="00242CCC">
      <w:pPr>
        <w:spacing w:before="0" w:line="276" w:lineRule="auto"/>
        <w:ind w:firstLine="720"/>
        <w:contextualSpacing w:val="0"/>
        <w:rPr>
          <w:rFonts w:eastAsiaTheme="minorHAnsi" w:cs="Cambria Math"/>
          <w:b w:val="0"/>
          <w:szCs w:val="22"/>
          <w:lang w:val="en-US" w:eastAsia="en-US"/>
        </w:rPr>
      </w:pPr>
      <w:r w:rsidRPr="00C74BDD">
        <w:rPr>
          <w:rFonts w:eastAsiaTheme="minorHAnsi" w:cs="Cambria Math"/>
          <w:b w:val="0"/>
          <w:szCs w:val="22"/>
          <w:lang w:val="en-US" w:eastAsia="en-US"/>
        </w:rPr>
        <w:t>2019-2023թթ</w:t>
      </w:r>
      <w:r w:rsidRPr="00C74BDD">
        <w:rPr>
          <w:rFonts w:eastAsiaTheme="minorHAnsi" w:cs="Cambria Math" w:hint="eastAsia"/>
          <w:b w:val="0"/>
          <w:szCs w:val="22"/>
          <w:lang w:val="en-US" w:eastAsia="en-US"/>
        </w:rPr>
        <w:t>․</w:t>
      </w:r>
      <w:r w:rsidRPr="00C74BDD">
        <w:rPr>
          <w:rFonts w:eastAsiaTheme="minorHAnsi" w:cs="Cambria Math"/>
          <w:b w:val="0"/>
          <w:szCs w:val="22"/>
          <w:lang w:val="en-US" w:eastAsia="en-US"/>
        </w:rPr>
        <w:t>ժամանակահատվածում կրթության և առողջապահության ոլորտների ֆինանսավորումը ՀՆԱ նկատմամբ փոփոխական բնույթ է կրել։</w:t>
      </w:r>
      <w:r w:rsidRPr="00C74BDD">
        <w:rPr>
          <w:rFonts w:eastAsiaTheme="minorHAnsi" w:cs="Cambria Math"/>
          <w:b w:val="0"/>
          <w:szCs w:val="22"/>
          <w:lang w:val="en-US" w:eastAsia="en-US"/>
        </w:rPr>
        <w:tab/>
      </w:r>
    </w:p>
    <w:p w:rsidR="00242CCC" w:rsidRPr="00C74BDD" w:rsidRDefault="00242CCC" w:rsidP="00242CCC">
      <w:pPr>
        <w:spacing w:before="0" w:line="276" w:lineRule="auto"/>
        <w:ind w:firstLine="720"/>
        <w:contextualSpacing w:val="0"/>
        <w:rPr>
          <w:rFonts w:eastAsiaTheme="minorHAnsi" w:cs="Cambria Math"/>
          <w:b w:val="0"/>
          <w:szCs w:val="22"/>
          <w:lang w:val="en-US" w:eastAsia="en-US"/>
        </w:rPr>
      </w:pPr>
      <w:r w:rsidRPr="00C74BDD">
        <w:rPr>
          <w:rFonts w:eastAsiaTheme="minorHAnsi" w:cs="Cambria Math"/>
          <w:b w:val="0"/>
          <w:szCs w:val="22"/>
          <w:lang w:val="en-US" w:eastAsia="en-US"/>
        </w:rPr>
        <w:t xml:space="preserve"> 202</w:t>
      </w:r>
      <w:r w:rsidRPr="00C74BDD">
        <w:rPr>
          <w:rFonts w:eastAsiaTheme="minorHAnsi" w:cs="Cambria Math"/>
          <w:b w:val="0"/>
          <w:szCs w:val="22"/>
          <w:lang w:val="hy-AM" w:eastAsia="en-US"/>
        </w:rPr>
        <w:t>3</w:t>
      </w:r>
      <w:r w:rsidRPr="00C74BDD">
        <w:rPr>
          <w:rFonts w:eastAsiaTheme="minorHAnsi" w:cs="Cambria Math"/>
          <w:b w:val="0"/>
          <w:szCs w:val="22"/>
          <w:lang w:val="en-US" w:eastAsia="en-US"/>
        </w:rPr>
        <w:t>թ</w:t>
      </w:r>
      <w:r w:rsidRPr="00C74BDD">
        <w:rPr>
          <w:rFonts w:eastAsiaTheme="minorHAnsi" w:cs="Cambria Math" w:hint="eastAsia"/>
          <w:b w:val="0"/>
          <w:szCs w:val="22"/>
          <w:lang w:val="en-US" w:eastAsia="en-US"/>
        </w:rPr>
        <w:t>․</w:t>
      </w:r>
      <w:r w:rsidRPr="00C74BDD">
        <w:rPr>
          <w:rFonts w:eastAsiaTheme="minorHAnsi" w:cs="Cambria Math"/>
          <w:b w:val="0"/>
          <w:szCs w:val="22"/>
          <w:lang w:val="en-US" w:eastAsia="en-US"/>
        </w:rPr>
        <w:t xml:space="preserve">համար այս ոլորտների բյուջետային ծախսերի չափաքանակները սահմանելիս առաջնային է դիտարկվել նշված ոլորտների համար ծախսեր/ՀՆԱ ցուցանիշի առաջանցիկ մակարդակի ապահովումը։ </w:t>
      </w:r>
    </w:p>
    <w:p w:rsidR="00242CCC" w:rsidRPr="00C74BDD" w:rsidRDefault="00242CCC" w:rsidP="00242CCC">
      <w:pPr>
        <w:spacing w:before="0" w:line="276" w:lineRule="auto"/>
        <w:ind w:firstLine="720"/>
        <w:contextualSpacing w:val="0"/>
        <w:rPr>
          <w:rFonts w:eastAsiaTheme="minorHAnsi" w:cs="Cambria Math"/>
          <w:b w:val="0"/>
          <w:szCs w:val="22"/>
          <w:lang w:val="hy-AM" w:eastAsia="en-US"/>
        </w:rPr>
      </w:pPr>
      <w:r w:rsidRPr="00C74BDD">
        <w:rPr>
          <w:rFonts w:eastAsiaTheme="minorHAnsi" w:cs="Cambria Math"/>
          <w:b w:val="0"/>
          <w:szCs w:val="22"/>
          <w:lang w:val="en-US" w:eastAsia="en-US"/>
        </w:rPr>
        <w:t>201</w:t>
      </w:r>
      <w:r w:rsidRPr="00C74BDD">
        <w:rPr>
          <w:rFonts w:eastAsiaTheme="minorHAnsi" w:cs="Cambria Math"/>
          <w:b w:val="0"/>
          <w:szCs w:val="22"/>
          <w:lang w:val="hy-AM" w:eastAsia="en-US"/>
        </w:rPr>
        <w:t>9</w:t>
      </w:r>
      <w:r w:rsidRPr="00C74BDD">
        <w:rPr>
          <w:rFonts w:eastAsiaTheme="minorHAnsi" w:cs="Cambria Math"/>
          <w:b w:val="0"/>
          <w:szCs w:val="22"/>
          <w:lang w:val="en-US" w:eastAsia="en-US"/>
        </w:rPr>
        <w:t>-2023թթ</w:t>
      </w:r>
      <w:r w:rsidRPr="00C74BDD">
        <w:rPr>
          <w:rFonts w:eastAsiaTheme="minorHAnsi" w:cs="Cambria Math" w:hint="eastAsia"/>
          <w:b w:val="0"/>
          <w:szCs w:val="22"/>
          <w:lang w:val="en-US" w:eastAsia="en-US"/>
        </w:rPr>
        <w:t>․</w:t>
      </w:r>
      <w:r w:rsidRPr="00C74BDD">
        <w:rPr>
          <w:rFonts w:eastAsiaTheme="minorHAnsi" w:cs="Cambria Math"/>
          <w:b w:val="0"/>
          <w:szCs w:val="22"/>
          <w:lang w:val="en-US" w:eastAsia="en-US"/>
        </w:rPr>
        <w:t xml:space="preserve"> ընթացքում կրթության ոլորտին ուղղված պետական միջոցները կազմել են համապատասխանաբար 129,336.3, 143,796.3, 149,086.3, 193,026.5 </w:t>
      </w:r>
      <w:r w:rsidRPr="00C74BDD">
        <w:rPr>
          <w:rFonts w:eastAsiaTheme="minorHAnsi" w:cs="Cambria Math"/>
          <w:b w:val="0"/>
          <w:szCs w:val="22"/>
          <w:lang w:val="hy-AM" w:eastAsia="en-US"/>
        </w:rPr>
        <w:t>և</w:t>
      </w:r>
      <w:r w:rsidRPr="00C74BDD">
        <w:rPr>
          <w:rFonts w:eastAsiaTheme="minorHAnsi" w:cs="Cambria Math"/>
          <w:b w:val="0"/>
          <w:szCs w:val="22"/>
          <w:lang w:val="en-US" w:eastAsia="en-US"/>
        </w:rPr>
        <w:t xml:space="preserve"> </w:t>
      </w:r>
      <w:r w:rsidRPr="00354D95">
        <w:rPr>
          <w:rFonts w:eastAsiaTheme="minorHAnsi" w:cs="Cambria Math"/>
          <w:b w:val="0"/>
          <w:szCs w:val="22"/>
          <w:lang w:val="en-US" w:eastAsia="en-US"/>
        </w:rPr>
        <w:t>211,909.6</w:t>
      </w:r>
      <w:r w:rsidRPr="00354D95">
        <w:rPr>
          <w:rFonts w:eastAsiaTheme="minorHAnsi" w:cs="Cambria Math"/>
          <w:b w:val="0"/>
          <w:szCs w:val="22"/>
          <w:lang w:val="hy-AM" w:eastAsia="en-US"/>
        </w:rPr>
        <w:t xml:space="preserve"> </w:t>
      </w:r>
      <w:r w:rsidRPr="00C74BDD">
        <w:rPr>
          <w:rFonts w:eastAsiaTheme="minorHAnsi" w:cs="Cambria Math"/>
          <w:b w:val="0"/>
          <w:szCs w:val="22"/>
          <w:lang w:val="en-US" w:eastAsia="en-US"/>
        </w:rPr>
        <w:t>մլն. ՀՀ դրամ: 2023թ</w:t>
      </w:r>
      <w:r w:rsidRPr="00C74BDD">
        <w:rPr>
          <w:rFonts w:ascii="Cambria Math" w:eastAsiaTheme="minorHAnsi" w:hAnsi="Cambria Math" w:cs="Cambria Math"/>
          <w:b w:val="0"/>
          <w:szCs w:val="22"/>
          <w:lang w:val="en-US" w:eastAsia="en-US"/>
        </w:rPr>
        <w:t>․</w:t>
      </w:r>
      <w:r w:rsidRPr="00C74BDD">
        <w:rPr>
          <w:rFonts w:eastAsiaTheme="minorHAnsi" w:cs="Cambria Math"/>
          <w:b w:val="0"/>
          <w:szCs w:val="22"/>
          <w:lang w:val="en-US" w:eastAsia="en-US"/>
        </w:rPr>
        <w:t xml:space="preserve"> ոլորտի ֆինանսավորման համար հատկացվելիք 21</w:t>
      </w:r>
      <w:r>
        <w:rPr>
          <w:rFonts w:eastAsiaTheme="minorHAnsi" w:cs="Cambria Math"/>
          <w:b w:val="0"/>
          <w:szCs w:val="22"/>
          <w:lang w:val="en-US" w:eastAsia="en-US"/>
        </w:rPr>
        <w:t>1</w:t>
      </w:r>
      <w:r w:rsidRPr="00C74BDD">
        <w:rPr>
          <w:rFonts w:eastAsiaTheme="minorHAnsi" w:cs="Cambria Math"/>
          <w:b w:val="0"/>
          <w:szCs w:val="22"/>
          <w:lang w:val="en-US" w:eastAsia="en-US"/>
        </w:rPr>
        <w:t>,</w:t>
      </w:r>
      <w:r>
        <w:rPr>
          <w:rFonts w:eastAsiaTheme="minorHAnsi" w:cs="Cambria Math"/>
          <w:b w:val="0"/>
          <w:szCs w:val="22"/>
          <w:lang w:val="en-US" w:eastAsia="en-US"/>
        </w:rPr>
        <w:t>909</w:t>
      </w:r>
      <w:r w:rsidRPr="00C74BDD">
        <w:rPr>
          <w:rFonts w:eastAsiaTheme="minorHAnsi" w:cs="Cambria Math"/>
          <w:b w:val="0"/>
          <w:szCs w:val="22"/>
          <w:lang w:val="en-US" w:eastAsia="en-US"/>
        </w:rPr>
        <w:t>.</w:t>
      </w:r>
      <w:r>
        <w:rPr>
          <w:rFonts w:eastAsiaTheme="minorHAnsi" w:cs="Cambria Math"/>
          <w:b w:val="0"/>
          <w:szCs w:val="22"/>
          <w:lang w:val="en-US" w:eastAsia="en-US"/>
        </w:rPr>
        <w:t>6</w:t>
      </w:r>
      <w:r w:rsidRPr="00C74BDD">
        <w:rPr>
          <w:rFonts w:eastAsiaTheme="minorHAnsi" w:cs="Cambria Math"/>
          <w:b w:val="0"/>
          <w:szCs w:val="22"/>
          <w:lang w:val="hy-AM" w:eastAsia="en-US"/>
        </w:rPr>
        <w:t xml:space="preserve"> մլն դրամը նախատեսվում է համամասնորեն ուղղել կրթության առանձին տեսակների՝ նախադպրոցական, տարրական, միջնակարգ, մասնագիտական, բարձրագույն, հետբուհական, ինչպես նաև կրթությանը տրամադրվող օժանդակ ծառայությունների ֆինանսավորմանը։ </w:t>
      </w:r>
    </w:p>
    <w:p w:rsidR="00242CCC" w:rsidRPr="00C74BDD" w:rsidRDefault="00242CCC" w:rsidP="001E3067">
      <w:pPr>
        <w:spacing w:before="0" w:line="276" w:lineRule="auto"/>
        <w:ind w:firstLine="720"/>
        <w:contextualSpacing w:val="0"/>
        <w:rPr>
          <w:rFonts w:eastAsiaTheme="minorHAnsi" w:cs="Cambria Math"/>
          <w:b w:val="0"/>
          <w:szCs w:val="22"/>
          <w:lang w:val="hy-AM" w:eastAsia="en-US"/>
        </w:rPr>
      </w:pPr>
      <w:r w:rsidRPr="00C74BDD">
        <w:rPr>
          <w:rFonts w:eastAsiaTheme="minorHAnsi" w:cs="Cambria Math"/>
          <w:b w:val="0"/>
          <w:szCs w:val="22"/>
          <w:lang w:val="hy-AM" w:eastAsia="en-US"/>
        </w:rPr>
        <w:t>Առողջապահության ոլորտի ֆինանսավորումը 2019-2023թթ համապատասխանաբար կազմել է 99,283,0, 148,236.7,</w:t>
      </w:r>
      <w:r w:rsidRPr="00AD648D">
        <w:rPr>
          <w:rFonts w:eastAsiaTheme="minorHAnsi" w:cs="Cambria Math"/>
          <w:b w:val="0"/>
          <w:szCs w:val="22"/>
          <w:lang w:val="hy-AM" w:eastAsia="en-US"/>
        </w:rPr>
        <w:t xml:space="preserve"> </w:t>
      </w:r>
      <w:r w:rsidRPr="00C74BDD">
        <w:rPr>
          <w:rFonts w:eastAsiaTheme="minorHAnsi" w:cs="Cambria Math"/>
          <w:b w:val="0"/>
          <w:szCs w:val="22"/>
          <w:lang w:val="hy-AM" w:eastAsia="en-US"/>
        </w:rPr>
        <w:t>160,496.8, 122,484.1 և</w:t>
      </w:r>
      <w:r>
        <w:rPr>
          <w:rFonts w:eastAsiaTheme="minorHAnsi" w:cs="Cambria Math"/>
          <w:b w:val="0"/>
          <w:szCs w:val="22"/>
          <w:lang w:val="hy-AM" w:eastAsia="en-US"/>
        </w:rPr>
        <w:t xml:space="preserve"> 14</w:t>
      </w:r>
      <w:r w:rsidRPr="00AD648D">
        <w:rPr>
          <w:rFonts w:eastAsiaTheme="minorHAnsi" w:cs="Cambria Math"/>
          <w:b w:val="0"/>
          <w:szCs w:val="22"/>
          <w:lang w:val="hy-AM" w:eastAsia="en-US"/>
        </w:rPr>
        <w:t>8</w:t>
      </w:r>
      <w:r w:rsidRPr="00C74BDD">
        <w:rPr>
          <w:rFonts w:eastAsiaTheme="minorHAnsi" w:cs="Cambria Math"/>
          <w:b w:val="0"/>
          <w:szCs w:val="22"/>
          <w:lang w:val="hy-AM" w:eastAsia="en-US"/>
        </w:rPr>
        <w:t>,</w:t>
      </w:r>
      <w:r w:rsidRPr="00AD648D">
        <w:rPr>
          <w:rFonts w:eastAsiaTheme="minorHAnsi" w:cs="Cambria Math"/>
          <w:b w:val="0"/>
          <w:szCs w:val="22"/>
          <w:lang w:val="hy-AM" w:eastAsia="en-US"/>
        </w:rPr>
        <w:t>979</w:t>
      </w:r>
      <w:r w:rsidRPr="00C74BDD">
        <w:rPr>
          <w:rFonts w:eastAsiaTheme="minorHAnsi" w:cs="Cambria Math"/>
          <w:b w:val="0"/>
          <w:szCs w:val="22"/>
          <w:lang w:val="hy-AM" w:eastAsia="en-US"/>
        </w:rPr>
        <w:t>.</w:t>
      </w:r>
      <w:r w:rsidR="001E3067" w:rsidRPr="001E3067">
        <w:rPr>
          <w:rFonts w:eastAsiaTheme="minorHAnsi" w:cs="Cambria Math"/>
          <w:b w:val="0"/>
          <w:szCs w:val="22"/>
          <w:lang w:val="hy-AM" w:eastAsia="en-US"/>
        </w:rPr>
        <w:t>5</w:t>
      </w:r>
      <w:r w:rsidRPr="00C74BDD">
        <w:rPr>
          <w:rFonts w:eastAsiaTheme="minorHAnsi" w:cs="Cambria Math"/>
          <w:b w:val="0"/>
          <w:szCs w:val="22"/>
          <w:lang w:val="hy-AM" w:eastAsia="en-US"/>
        </w:rPr>
        <w:t xml:space="preserve">  մլն</w:t>
      </w:r>
      <w:r w:rsidRPr="00C74BDD">
        <w:rPr>
          <w:rFonts w:eastAsiaTheme="minorHAnsi" w:cs="Cambria Math" w:hint="eastAsia"/>
          <w:b w:val="0"/>
          <w:szCs w:val="22"/>
          <w:lang w:val="hy-AM" w:eastAsia="en-US"/>
        </w:rPr>
        <w:t xml:space="preserve"> </w:t>
      </w:r>
      <w:r w:rsidRPr="00C74BDD">
        <w:rPr>
          <w:rFonts w:eastAsiaTheme="minorHAnsi" w:cs="Cambria Math"/>
          <w:b w:val="0"/>
          <w:szCs w:val="22"/>
          <w:lang w:val="hy-AM" w:eastAsia="en-US"/>
        </w:rPr>
        <w:t>դրամ։ 2023թ</w:t>
      </w:r>
      <w:r w:rsidRPr="00C74BDD">
        <w:rPr>
          <w:rFonts w:eastAsiaTheme="minorHAnsi" w:cs="Cambria Math" w:hint="eastAsia"/>
          <w:b w:val="0"/>
          <w:szCs w:val="22"/>
          <w:lang w:val="hy-AM" w:eastAsia="en-US"/>
        </w:rPr>
        <w:t>․</w:t>
      </w:r>
      <w:r w:rsidRPr="00C74BDD">
        <w:rPr>
          <w:rFonts w:eastAsiaTheme="minorHAnsi" w:cs="Cambria Math"/>
          <w:b w:val="0"/>
          <w:szCs w:val="22"/>
          <w:lang w:val="hy-AM" w:eastAsia="en-US"/>
        </w:rPr>
        <w:t>ոլորտին ուղղվող ծախսերը նախորդ տարվա համեմատ ավելացել են 26,</w:t>
      </w:r>
      <w:r w:rsidRPr="00AD648D">
        <w:rPr>
          <w:rFonts w:eastAsiaTheme="minorHAnsi" w:cs="Cambria Math"/>
          <w:b w:val="0"/>
          <w:szCs w:val="22"/>
          <w:lang w:val="hy-AM" w:eastAsia="en-US"/>
        </w:rPr>
        <w:t>495</w:t>
      </w:r>
      <w:r w:rsidRPr="00C74BDD">
        <w:rPr>
          <w:rFonts w:eastAsiaTheme="minorHAnsi" w:cs="Cambria Math"/>
          <w:b w:val="0"/>
          <w:szCs w:val="22"/>
          <w:lang w:val="hy-AM" w:eastAsia="en-US"/>
        </w:rPr>
        <w:t>.</w:t>
      </w:r>
      <w:r w:rsidRPr="00AD648D">
        <w:rPr>
          <w:rFonts w:eastAsiaTheme="minorHAnsi" w:cs="Cambria Math"/>
          <w:b w:val="0"/>
          <w:szCs w:val="22"/>
          <w:lang w:val="hy-AM" w:eastAsia="en-US"/>
        </w:rPr>
        <w:t>4</w:t>
      </w:r>
      <w:r w:rsidRPr="00C74BDD">
        <w:rPr>
          <w:rFonts w:eastAsiaTheme="minorHAnsi" w:cs="Cambria Math"/>
          <w:b w:val="0"/>
          <w:szCs w:val="22"/>
          <w:lang w:val="hy-AM" w:eastAsia="en-US"/>
        </w:rPr>
        <w:t xml:space="preserve"> մլն. դրամով և պլանավորվում են</w:t>
      </w:r>
      <w:r>
        <w:rPr>
          <w:rFonts w:eastAsiaTheme="minorHAnsi" w:cs="Cambria Math"/>
          <w:b w:val="0"/>
          <w:szCs w:val="22"/>
          <w:lang w:val="hy-AM" w:eastAsia="en-US"/>
        </w:rPr>
        <w:t xml:space="preserve"> 14</w:t>
      </w:r>
      <w:r w:rsidRPr="00AD648D">
        <w:rPr>
          <w:rFonts w:eastAsiaTheme="minorHAnsi" w:cs="Cambria Math"/>
          <w:b w:val="0"/>
          <w:szCs w:val="22"/>
          <w:lang w:val="hy-AM" w:eastAsia="en-US"/>
        </w:rPr>
        <w:t>8,979</w:t>
      </w:r>
      <w:r w:rsidRPr="00C74BDD">
        <w:rPr>
          <w:rFonts w:eastAsiaTheme="minorHAnsi" w:cs="Cambria Math"/>
          <w:b w:val="0"/>
          <w:szCs w:val="22"/>
          <w:lang w:val="hy-AM" w:eastAsia="en-US"/>
        </w:rPr>
        <w:t>.</w:t>
      </w:r>
      <w:r w:rsidRPr="00AD648D">
        <w:rPr>
          <w:rFonts w:eastAsiaTheme="minorHAnsi" w:cs="Cambria Math"/>
          <w:b w:val="0"/>
          <w:szCs w:val="22"/>
          <w:lang w:val="hy-AM" w:eastAsia="en-US"/>
        </w:rPr>
        <w:t>5</w:t>
      </w:r>
      <w:r w:rsidRPr="00C74BDD">
        <w:rPr>
          <w:rFonts w:eastAsiaTheme="minorHAnsi" w:cs="Cambria Math"/>
          <w:b w:val="0"/>
          <w:szCs w:val="22"/>
          <w:lang w:val="hy-AM" w:eastAsia="en-US"/>
        </w:rPr>
        <w:t xml:space="preserve">  մլն դրամի չափով, որոնք, հաշվի առնելով 2020-2022թթ</w:t>
      </w:r>
      <w:r w:rsidRPr="00C74BDD">
        <w:rPr>
          <w:rFonts w:eastAsiaTheme="minorHAnsi" w:cs="Cambria Math" w:hint="eastAsia"/>
          <w:b w:val="0"/>
          <w:szCs w:val="22"/>
          <w:lang w:val="hy-AM" w:eastAsia="en-US"/>
        </w:rPr>
        <w:t>․</w:t>
      </w:r>
      <w:r w:rsidRPr="00C74BDD">
        <w:rPr>
          <w:rFonts w:eastAsiaTheme="minorHAnsi" w:cs="Cambria Math"/>
          <w:b w:val="0"/>
          <w:szCs w:val="22"/>
          <w:lang w:val="hy-AM" w:eastAsia="en-US"/>
        </w:rPr>
        <w:t xml:space="preserve">համավարակով պայմանավորված առողջապահության համակարգի համաշխարհային արդի մարտահրավերներն, առաջնահերթ ուղղվելու են վերջինիս դեմ պայքարի միջոցառումների իրականացմանը, հանրությանը պատվաստանյութերով ապահովմանը, առողջապահական համակարգի ռիսկերին արագ և համարժեք արձագանքմանը։ Միաժամանակ, համաձայն ՀՀ կառավարության 2021-2026թթ. ծրագրի առաջնահերթությունների, առողջապահության ոլորտի ֆինանսավորումը 2023 թվականին ուղղվելու է նաև մարզային առողջապահական կազմակերպությունների շենքային և նյութատեխնիկական պայմանների բարելավման աշխատանքների իրականացմանը:  </w:t>
      </w:r>
    </w:p>
    <w:p w:rsidR="00242CCC" w:rsidRPr="00C74BDD" w:rsidRDefault="00242CCC" w:rsidP="00242CCC">
      <w:pPr>
        <w:spacing w:before="0" w:line="276" w:lineRule="auto"/>
        <w:ind w:firstLine="720"/>
        <w:contextualSpacing w:val="0"/>
        <w:rPr>
          <w:rFonts w:eastAsiaTheme="minorHAnsi" w:cs="Cambria Math"/>
          <w:b w:val="0"/>
          <w:szCs w:val="22"/>
          <w:lang w:val="hy-AM" w:eastAsia="en-US"/>
        </w:rPr>
      </w:pPr>
      <w:r w:rsidRPr="00C74BDD">
        <w:rPr>
          <w:rFonts w:eastAsiaTheme="minorHAnsi" w:cs="Cambria Math"/>
          <w:b w:val="0"/>
          <w:szCs w:val="22"/>
          <w:lang w:val="hy-AM" w:eastAsia="en-US"/>
        </w:rPr>
        <w:t>2019-2021թթ</w:t>
      </w:r>
      <w:r w:rsidRPr="00C74BDD">
        <w:rPr>
          <w:rFonts w:eastAsiaTheme="minorHAnsi" w:cs="Cambria Math" w:hint="eastAsia"/>
          <w:b w:val="0"/>
          <w:szCs w:val="22"/>
          <w:lang w:val="hy-AM" w:eastAsia="en-US"/>
        </w:rPr>
        <w:t>․</w:t>
      </w:r>
      <w:r w:rsidRPr="00C74BDD">
        <w:rPr>
          <w:rFonts w:eastAsiaTheme="minorHAnsi" w:cs="Cambria Math"/>
          <w:b w:val="0"/>
          <w:szCs w:val="22"/>
          <w:lang w:val="hy-AM" w:eastAsia="en-US"/>
        </w:rPr>
        <w:t xml:space="preserve"> սոցիալական պաշտպանության ոլորտի ֆինանսավորումն աճողական բնույթ է կրել՝ համապատասխանաբար կազմելով 453,921.2, 546,575.7 620,005.4 մլն դրամ։ </w:t>
      </w:r>
      <w:r>
        <w:rPr>
          <w:rFonts w:eastAsiaTheme="minorHAnsi" w:cs="Cambria Math"/>
          <w:b w:val="0"/>
          <w:szCs w:val="22"/>
          <w:lang w:val="hy-AM" w:eastAsia="en-US"/>
        </w:rPr>
        <w:t xml:space="preserve">Բացառություն է </w:t>
      </w:r>
      <w:r w:rsidRPr="00C74BDD">
        <w:rPr>
          <w:rFonts w:eastAsiaTheme="minorHAnsi" w:cs="Cambria Math"/>
          <w:b w:val="0"/>
          <w:szCs w:val="22"/>
          <w:lang w:val="hy-AM" w:eastAsia="en-US"/>
        </w:rPr>
        <w:t xml:space="preserve">2022 </w:t>
      </w:r>
      <w:r>
        <w:rPr>
          <w:rFonts w:eastAsiaTheme="minorHAnsi" w:cs="Cambria Math"/>
          <w:b w:val="0"/>
          <w:szCs w:val="22"/>
          <w:lang w:val="hy-AM" w:eastAsia="en-US"/>
        </w:rPr>
        <w:t>թվականը, երբ</w:t>
      </w:r>
      <w:r w:rsidRPr="00C74BDD">
        <w:rPr>
          <w:rFonts w:eastAsiaTheme="minorHAnsi" w:cs="Cambria Math"/>
          <w:b w:val="0"/>
          <w:szCs w:val="22"/>
          <w:lang w:val="hy-AM" w:eastAsia="en-US"/>
        </w:rPr>
        <w:t xml:space="preserve"> ոլո</w:t>
      </w:r>
      <w:r>
        <w:rPr>
          <w:rFonts w:eastAsiaTheme="minorHAnsi" w:cs="Cambria Math"/>
          <w:b w:val="0"/>
          <w:szCs w:val="22"/>
          <w:lang w:val="hy-AM" w:eastAsia="en-US"/>
        </w:rPr>
        <w:t>ր</w:t>
      </w:r>
      <w:r w:rsidRPr="00C74BDD">
        <w:rPr>
          <w:rFonts w:eastAsiaTheme="minorHAnsi" w:cs="Cambria Math"/>
          <w:b w:val="0"/>
          <w:szCs w:val="22"/>
          <w:lang w:val="hy-AM" w:eastAsia="en-US"/>
        </w:rPr>
        <w:t xml:space="preserve">տին ուղղվող ծախսերը նախորդ տարվա համեմատ նվազել են: 2023թ. ոլորտի ֆինանսավորման աճի միտումը վերստին է դրսևորվում՝ կազմելով </w:t>
      </w:r>
      <w:r w:rsidRPr="00AD648D">
        <w:rPr>
          <w:rFonts w:eastAsiaTheme="minorHAnsi" w:cs="Cambria Math"/>
          <w:b w:val="0"/>
          <w:szCs w:val="22"/>
          <w:lang w:val="hy-AM" w:eastAsia="en-US"/>
        </w:rPr>
        <w:t>65</w:t>
      </w:r>
      <w:r w:rsidRPr="00B968EF">
        <w:rPr>
          <w:rFonts w:eastAsiaTheme="minorHAnsi" w:cs="Cambria Math"/>
          <w:b w:val="0"/>
          <w:szCs w:val="22"/>
          <w:lang w:val="hy-AM" w:eastAsia="en-US"/>
        </w:rPr>
        <w:t>3</w:t>
      </w:r>
      <w:r w:rsidRPr="00AD648D">
        <w:rPr>
          <w:rFonts w:eastAsiaTheme="minorHAnsi" w:cs="Cambria Math"/>
          <w:b w:val="0"/>
          <w:szCs w:val="22"/>
          <w:lang w:val="hy-AM" w:eastAsia="en-US"/>
        </w:rPr>
        <w:t>,</w:t>
      </w:r>
      <w:r w:rsidRPr="00B968EF">
        <w:rPr>
          <w:rFonts w:eastAsiaTheme="minorHAnsi" w:cs="Cambria Math"/>
          <w:b w:val="0"/>
          <w:szCs w:val="22"/>
          <w:lang w:val="hy-AM" w:eastAsia="en-US"/>
        </w:rPr>
        <w:t>458</w:t>
      </w:r>
      <w:r w:rsidRPr="00AD648D">
        <w:rPr>
          <w:rFonts w:eastAsiaTheme="minorHAnsi" w:cs="Cambria Math"/>
          <w:b w:val="0"/>
          <w:szCs w:val="22"/>
          <w:lang w:val="hy-AM" w:eastAsia="en-US"/>
        </w:rPr>
        <w:t>.3 մլն</w:t>
      </w:r>
      <w:r w:rsidRPr="00C74BDD">
        <w:rPr>
          <w:rFonts w:eastAsiaTheme="minorHAnsi" w:cs="Cambria Math" w:hint="eastAsia"/>
          <w:b w:val="0"/>
          <w:szCs w:val="22"/>
          <w:lang w:val="hy-AM" w:eastAsia="en-US"/>
        </w:rPr>
        <w:t>․</w:t>
      </w:r>
      <w:r w:rsidRPr="00C74BDD">
        <w:rPr>
          <w:rFonts w:eastAsiaTheme="minorHAnsi" w:cs="Cambria Math"/>
          <w:b w:val="0"/>
          <w:szCs w:val="22"/>
          <w:lang w:val="hy-AM" w:eastAsia="en-US"/>
        </w:rPr>
        <w:t>դրամ, որը, ինչպես և դիտարկվող տարիների ընթացքում, առաջնահերթ ուղղվելու է տարեցներին և հաշմանդամներին աջակցության տրամադրմանը, ինչպես նաև գործազրկության, սոցիալական հատուկ արտոնությունների, բնակարային ապահովման, ընտանեկան նպաստների տրամադրման և այլ սոցիալական ծառայությունների ապահովմանը։ Բացի այդ, ՀՀ կառավարության 2021-2026թթ. ծրագրով սահմանված առաջնահերթություններից ելնելով, ոլորտի հատկացումները ուղղվելու են ծնելիության խթանմանը և բազմազավակ ընտանիքներին պետական աջակցության ցուցաբերմանը:</w:t>
      </w:r>
    </w:p>
    <w:p w:rsidR="00242CCC" w:rsidRPr="00C74BDD" w:rsidRDefault="00242CCC" w:rsidP="00242CCC">
      <w:pPr>
        <w:spacing w:before="0" w:line="276" w:lineRule="auto"/>
        <w:ind w:firstLine="720"/>
        <w:contextualSpacing w:val="0"/>
        <w:rPr>
          <w:rFonts w:eastAsiaTheme="minorHAnsi" w:cs="Cambria Math"/>
          <w:b w:val="0"/>
          <w:szCs w:val="22"/>
          <w:lang w:val="hy-AM" w:eastAsia="en-US"/>
        </w:rPr>
      </w:pPr>
      <w:r w:rsidRPr="00C74BDD">
        <w:rPr>
          <w:rFonts w:eastAsiaTheme="minorHAnsi" w:cs="Cambria Math"/>
          <w:b w:val="0"/>
          <w:szCs w:val="22"/>
          <w:lang w:val="hy-AM" w:eastAsia="en-US"/>
        </w:rPr>
        <w:t>2023 թվականի ընթացքում պետական բյուջեների ծախ</w:t>
      </w:r>
      <w:r w:rsidRPr="00C74BDD">
        <w:rPr>
          <w:rFonts w:eastAsiaTheme="minorHAnsi" w:cs="Cambria Math"/>
          <w:b w:val="0"/>
          <w:szCs w:val="22"/>
          <w:lang w:val="hy-AM" w:eastAsia="en-US"/>
        </w:rPr>
        <w:softHyphen/>
        <w:t>սերի ընդհանուր ծավալը որոշ կախ</w:t>
      </w:r>
      <w:r w:rsidRPr="00C74BDD">
        <w:rPr>
          <w:rFonts w:eastAsiaTheme="minorHAnsi" w:cs="Cambria Math"/>
          <w:b w:val="0"/>
          <w:szCs w:val="22"/>
          <w:lang w:val="hy-AM" w:eastAsia="en-US"/>
        </w:rPr>
        <w:softHyphen/>
        <w:t>վածության մեջ կլինի նաև արտաքին հոսքերից:</w:t>
      </w:r>
    </w:p>
    <w:p w:rsidR="00242CCC" w:rsidRPr="00C74BDD" w:rsidRDefault="00242CCC" w:rsidP="00242CCC">
      <w:pPr>
        <w:spacing w:before="0" w:line="276" w:lineRule="auto"/>
        <w:ind w:firstLine="0"/>
        <w:contextualSpacing w:val="0"/>
        <w:jc w:val="left"/>
        <w:rPr>
          <w:rFonts w:eastAsiaTheme="minorHAnsi" w:cs="Cambria Math"/>
          <w:b w:val="0"/>
          <w:sz w:val="24"/>
          <w:lang w:val="hy-AM" w:eastAsia="en-US"/>
        </w:rPr>
      </w:pPr>
    </w:p>
    <w:p w:rsidR="00242CCC" w:rsidRPr="00C56AE5" w:rsidRDefault="00242CCC" w:rsidP="00242CCC">
      <w:pPr>
        <w:spacing w:after="200"/>
        <w:rPr>
          <w:b w:val="0"/>
          <w:bCs/>
          <w:color w:val="4F81BD" w:themeColor="accent1"/>
          <w:sz w:val="18"/>
          <w:szCs w:val="18"/>
          <w:lang w:val="hy-AM"/>
        </w:rPr>
      </w:pPr>
      <w:bookmarkStart w:id="315" w:name="_Toc83728704"/>
      <w:bookmarkStart w:id="316" w:name="_Toc89428777"/>
      <w:bookmarkStart w:id="317" w:name="_Toc120805274"/>
      <w:r w:rsidRPr="00C56AE5">
        <w:rPr>
          <w:b w:val="0"/>
          <w:bCs/>
          <w:color w:val="4F81BD" w:themeColor="accent1"/>
          <w:sz w:val="18"/>
          <w:szCs w:val="18"/>
          <w:lang w:val="hy-AM"/>
        </w:rPr>
        <w:t xml:space="preserve">Աղյուսակ </w:t>
      </w:r>
      <w:r w:rsidRPr="00C74BDD">
        <w:rPr>
          <w:b w:val="0"/>
          <w:bCs/>
          <w:color w:val="4F81BD" w:themeColor="accent1"/>
          <w:sz w:val="18"/>
          <w:szCs w:val="18"/>
        </w:rPr>
        <w:fldChar w:fldCharType="begin"/>
      </w:r>
      <w:r w:rsidRPr="00C56AE5">
        <w:rPr>
          <w:b w:val="0"/>
          <w:bCs/>
          <w:color w:val="4F81BD" w:themeColor="accent1"/>
          <w:sz w:val="18"/>
          <w:szCs w:val="18"/>
          <w:lang w:val="hy-AM"/>
        </w:rPr>
        <w:instrText xml:space="preserve"> SEQ Աղյուսակ \* ARABIC </w:instrText>
      </w:r>
      <w:r w:rsidRPr="00C74BDD">
        <w:rPr>
          <w:b w:val="0"/>
          <w:bCs/>
          <w:color w:val="4F81BD" w:themeColor="accent1"/>
          <w:sz w:val="18"/>
          <w:szCs w:val="18"/>
        </w:rPr>
        <w:fldChar w:fldCharType="separate"/>
      </w:r>
      <w:r w:rsidR="008177DF">
        <w:rPr>
          <w:b w:val="0"/>
          <w:bCs/>
          <w:noProof/>
          <w:color w:val="4F81BD" w:themeColor="accent1"/>
          <w:sz w:val="18"/>
          <w:szCs w:val="18"/>
          <w:lang w:val="hy-AM"/>
        </w:rPr>
        <w:t>15</w:t>
      </w:r>
      <w:r w:rsidRPr="00C74BDD">
        <w:rPr>
          <w:b w:val="0"/>
          <w:bCs/>
          <w:color w:val="4F81BD" w:themeColor="accent1"/>
          <w:sz w:val="18"/>
          <w:szCs w:val="18"/>
        </w:rPr>
        <w:fldChar w:fldCharType="end"/>
      </w:r>
      <w:r w:rsidRPr="00C56AE5">
        <w:rPr>
          <w:b w:val="0"/>
          <w:bCs/>
          <w:color w:val="4F81BD" w:themeColor="accent1"/>
          <w:sz w:val="18"/>
          <w:szCs w:val="18"/>
          <w:lang w:val="hy-AM"/>
        </w:rPr>
        <w:t>. Արտաքին աղբյուրներից 202</w:t>
      </w:r>
      <w:r w:rsidRPr="00C74BDD">
        <w:rPr>
          <w:b w:val="0"/>
          <w:bCs/>
          <w:color w:val="4F81BD" w:themeColor="accent1"/>
          <w:sz w:val="18"/>
          <w:szCs w:val="18"/>
          <w:lang w:val="hy-AM"/>
        </w:rPr>
        <w:t>3</w:t>
      </w:r>
      <w:r w:rsidRPr="00C56AE5">
        <w:rPr>
          <w:b w:val="0"/>
          <w:bCs/>
          <w:color w:val="4F81BD" w:themeColor="accent1"/>
          <w:sz w:val="18"/>
          <w:szCs w:val="18"/>
          <w:lang w:val="hy-AM"/>
        </w:rPr>
        <w:t>թ. ստացվելիք միջոցների (վարկերի և պաշտո</w:t>
      </w:r>
      <w:r w:rsidRPr="00C56AE5">
        <w:rPr>
          <w:b w:val="0"/>
          <w:bCs/>
          <w:color w:val="4F81BD" w:themeColor="accent1"/>
          <w:sz w:val="18"/>
          <w:szCs w:val="18"/>
          <w:lang w:val="hy-AM"/>
        </w:rPr>
        <w:softHyphen/>
        <w:t>նական դրամաշնորհներ) հաշվին ֆինանսավորվող ծախսերը</w:t>
      </w:r>
      <w:bookmarkEnd w:id="315"/>
      <w:bookmarkEnd w:id="316"/>
      <w:bookmarkEnd w:id="317"/>
    </w:p>
    <w:p w:rsidR="00242CCC" w:rsidRPr="00C56AE5" w:rsidRDefault="00242CCC" w:rsidP="00242CCC">
      <w:pPr>
        <w:spacing w:after="200"/>
        <w:rPr>
          <w:b w:val="0"/>
          <w:bCs/>
          <w:color w:val="4F81BD" w:themeColor="accent1"/>
          <w:sz w:val="18"/>
          <w:szCs w:val="18"/>
          <w:lang w:val="hy-AM"/>
        </w:rPr>
      </w:pPr>
    </w:p>
    <w:tbl>
      <w:tblPr>
        <w:tblW w:w="9256" w:type="dxa"/>
        <w:tblLook w:val="04A0" w:firstRow="1" w:lastRow="0" w:firstColumn="1" w:lastColumn="0" w:noHBand="0" w:noVBand="1"/>
      </w:tblPr>
      <w:tblGrid>
        <w:gridCol w:w="2588"/>
        <w:gridCol w:w="1424"/>
        <w:gridCol w:w="1515"/>
        <w:gridCol w:w="1251"/>
        <w:gridCol w:w="1255"/>
        <w:gridCol w:w="1223"/>
      </w:tblGrid>
      <w:tr w:rsidR="00242CCC" w:rsidRPr="00C74BDD" w:rsidTr="00650C81">
        <w:trPr>
          <w:trHeight w:val="330"/>
        </w:trPr>
        <w:tc>
          <w:tcPr>
            <w:tcW w:w="2588"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242CCC" w:rsidRPr="00FA719D" w:rsidRDefault="00242CCC" w:rsidP="00650C81">
            <w:pPr>
              <w:spacing w:before="0" w:after="200" w:line="276" w:lineRule="auto"/>
              <w:jc w:val="center"/>
              <w:rPr>
                <w:rFonts w:ascii="Calibri" w:eastAsia="Calibri" w:hAnsi="Calibri"/>
                <w:bCs/>
                <w:color w:val="FFFFFF" w:themeColor="background1"/>
                <w:szCs w:val="22"/>
                <w:lang w:val="hy-AM"/>
              </w:rPr>
            </w:pPr>
            <w:r w:rsidRPr="00FA719D">
              <w:rPr>
                <w:rFonts w:ascii="Calibri" w:eastAsia="Calibri" w:hAnsi="Calibri"/>
                <w:bCs/>
                <w:color w:val="FFFFFF" w:themeColor="background1"/>
                <w:szCs w:val="22"/>
                <w:lang w:val="hy-AM"/>
              </w:rPr>
              <w:t>Ցուցանիշներ</w:t>
            </w:r>
          </w:p>
        </w:tc>
        <w:tc>
          <w:tcPr>
            <w:tcW w:w="1424"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242CCC" w:rsidRPr="00FA719D" w:rsidRDefault="00242CCC" w:rsidP="00650C81">
            <w:pPr>
              <w:spacing w:before="0" w:after="200" w:line="240" w:lineRule="auto"/>
              <w:ind w:firstLine="0"/>
              <w:jc w:val="center"/>
              <w:rPr>
                <w:rFonts w:ascii="Calibri" w:eastAsia="Calibri" w:hAnsi="Calibri" w:cs="Calibri"/>
                <w:bCs/>
                <w:color w:val="FFFFFF" w:themeColor="background1"/>
                <w:szCs w:val="22"/>
              </w:rPr>
            </w:pPr>
            <w:r w:rsidRPr="00FA719D">
              <w:rPr>
                <w:rFonts w:ascii="Calibri" w:eastAsia="Calibri" w:hAnsi="Calibri" w:cs="Calibri"/>
                <w:bCs/>
                <w:color w:val="FFFFFF" w:themeColor="background1"/>
                <w:szCs w:val="22"/>
              </w:rPr>
              <w:t>2019թ.</w:t>
            </w:r>
          </w:p>
        </w:tc>
        <w:tc>
          <w:tcPr>
            <w:tcW w:w="1515"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242CCC" w:rsidRPr="00FA719D" w:rsidRDefault="00242CCC" w:rsidP="00650C81">
            <w:pPr>
              <w:spacing w:before="0" w:after="200" w:line="240" w:lineRule="auto"/>
              <w:ind w:firstLine="0"/>
              <w:jc w:val="center"/>
              <w:rPr>
                <w:rFonts w:ascii="Calibri" w:eastAsia="Calibri" w:hAnsi="Calibri" w:cs="Calibri"/>
                <w:bCs/>
                <w:color w:val="FFFFFF" w:themeColor="background1"/>
                <w:szCs w:val="22"/>
              </w:rPr>
            </w:pPr>
            <w:r w:rsidRPr="00FA719D">
              <w:rPr>
                <w:rFonts w:ascii="Calibri" w:eastAsia="Calibri" w:hAnsi="Calibri" w:cs="Calibri"/>
                <w:bCs/>
                <w:color w:val="FFFFFF" w:themeColor="background1"/>
                <w:szCs w:val="22"/>
              </w:rPr>
              <w:t>2020 թ.</w:t>
            </w:r>
          </w:p>
        </w:tc>
        <w:tc>
          <w:tcPr>
            <w:tcW w:w="1251"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242CCC" w:rsidRPr="00FA719D" w:rsidRDefault="00242CCC" w:rsidP="00650C81">
            <w:pPr>
              <w:spacing w:before="0" w:after="200" w:line="240" w:lineRule="auto"/>
              <w:ind w:firstLine="0"/>
              <w:jc w:val="center"/>
              <w:rPr>
                <w:rFonts w:ascii="Calibri" w:eastAsia="Calibri" w:hAnsi="Calibri" w:cs="Calibri"/>
                <w:bCs/>
                <w:color w:val="FFFFFF" w:themeColor="background1"/>
                <w:szCs w:val="22"/>
              </w:rPr>
            </w:pPr>
            <w:r w:rsidRPr="00FA719D">
              <w:rPr>
                <w:rFonts w:ascii="Calibri" w:eastAsia="Calibri" w:hAnsi="Calibri" w:cs="Calibri"/>
                <w:bCs/>
                <w:color w:val="FFFFFF" w:themeColor="background1"/>
                <w:szCs w:val="22"/>
              </w:rPr>
              <w:t>2021թ.</w:t>
            </w:r>
          </w:p>
        </w:tc>
        <w:tc>
          <w:tcPr>
            <w:tcW w:w="1255"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242CCC" w:rsidRPr="00FA719D" w:rsidRDefault="00242CCC" w:rsidP="00650C81">
            <w:pPr>
              <w:spacing w:before="0" w:after="200" w:line="240" w:lineRule="auto"/>
              <w:ind w:firstLine="0"/>
              <w:jc w:val="center"/>
              <w:rPr>
                <w:rFonts w:ascii="Calibri" w:eastAsia="Calibri" w:hAnsi="Calibri" w:cs="Calibri"/>
                <w:bCs/>
                <w:color w:val="FFFFFF" w:themeColor="background1"/>
                <w:szCs w:val="22"/>
              </w:rPr>
            </w:pPr>
            <w:r w:rsidRPr="00FA719D">
              <w:rPr>
                <w:rFonts w:ascii="Calibri" w:eastAsia="Calibri" w:hAnsi="Calibri" w:cs="Calibri"/>
                <w:bCs/>
                <w:color w:val="FFFFFF" w:themeColor="background1"/>
                <w:szCs w:val="22"/>
              </w:rPr>
              <w:t>202</w:t>
            </w:r>
            <w:r w:rsidRPr="00FA719D">
              <w:rPr>
                <w:rFonts w:ascii="Calibri" w:eastAsia="Calibri" w:hAnsi="Calibri" w:cs="Calibri"/>
                <w:bCs/>
                <w:color w:val="FFFFFF" w:themeColor="background1"/>
                <w:szCs w:val="22"/>
                <w:lang w:val="hy-AM"/>
              </w:rPr>
              <w:t>2</w:t>
            </w:r>
            <w:r w:rsidRPr="00FA719D">
              <w:rPr>
                <w:rFonts w:ascii="Calibri" w:eastAsia="Calibri" w:hAnsi="Calibri" w:cs="Calibri"/>
                <w:bCs/>
                <w:color w:val="FFFFFF" w:themeColor="background1"/>
                <w:szCs w:val="22"/>
              </w:rPr>
              <w:t>թ.</w:t>
            </w:r>
          </w:p>
        </w:tc>
        <w:tc>
          <w:tcPr>
            <w:tcW w:w="1223"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242CCC" w:rsidRPr="00FA719D" w:rsidRDefault="00242CCC" w:rsidP="00650C81">
            <w:pPr>
              <w:spacing w:before="0" w:after="200" w:line="240" w:lineRule="auto"/>
              <w:ind w:firstLine="0"/>
              <w:jc w:val="center"/>
              <w:rPr>
                <w:rFonts w:ascii="Calibri" w:eastAsia="Calibri" w:hAnsi="Calibri" w:cs="Calibri"/>
                <w:color w:val="FFFFFF" w:themeColor="background1"/>
                <w:szCs w:val="22"/>
                <w:lang w:val="hy-AM"/>
              </w:rPr>
            </w:pPr>
            <w:r w:rsidRPr="00FA719D">
              <w:rPr>
                <w:rFonts w:ascii="Calibri" w:eastAsia="Calibri" w:hAnsi="Calibri" w:cs="Calibri"/>
                <w:color w:val="FFFFFF" w:themeColor="background1"/>
                <w:szCs w:val="22"/>
                <w:lang w:val="hy-AM"/>
              </w:rPr>
              <w:t>2023թ.</w:t>
            </w:r>
          </w:p>
        </w:tc>
      </w:tr>
      <w:tr w:rsidR="00242CCC" w:rsidRPr="00C74BDD" w:rsidTr="00650C81">
        <w:trPr>
          <w:trHeight w:val="1200"/>
        </w:trPr>
        <w:tc>
          <w:tcPr>
            <w:tcW w:w="258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242CCC" w:rsidRPr="003E5BC9" w:rsidRDefault="00242CCC" w:rsidP="00650C81">
            <w:pPr>
              <w:spacing w:before="0" w:after="200" w:line="240" w:lineRule="auto"/>
              <w:ind w:firstLine="0"/>
              <w:jc w:val="left"/>
              <w:rPr>
                <w:rFonts w:ascii="Calibri" w:eastAsia="Calibri" w:hAnsi="Calibri" w:cs="Calibri"/>
                <w:bCs/>
                <w:color w:val="000000"/>
                <w:sz w:val="20"/>
                <w:szCs w:val="20"/>
              </w:rPr>
            </w:pPr>
            <w:r w:rsidRPr="00C74BDD">
              <w:rPr>
                <w:rFonts w:ascii="Calibri" w:eastAsia="Calibri" w:hAnsi="Calibri" w:cs="Sylfaen"/>
                <w:bCs/>
                <w:color w:val="000000"/>
                <w:sz w:val="20"/>
                <w:szCs w:val="20"/>
                <w:lang w:val="hy-AM"/>
              </w:rPr>
              <w:t>Արտաքին աղբյուրների հաշվին ֆինանսավորվող ծախսերի ծավալը (մլն դրամ)</w:t>
            </w:r>
          </w:p>
        </w:tc>
        <w:tc>
          <w:tcPr>
            <w:tcW w:w="14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242CCC" w:rsidRPr="00FA719D" w:rsidRDefault="00242CCC" w:rsidP="00650C81">
            <w:pPr>
              <w:spacing w:before="0" w:after="200" w:line="276" w:lineRule="auto"/>
              <w:ind w:firstLine="0"/>
              <w:contextualSpacing w:val="0"/>
              <w:jc w:val="center"/>
              <w:rPr>
                <w:rFonts w:eastAsia="Calibri" w:cs="Calibri"/>
                <w:b w:val="0"/>
                <w:bCs/>
                <w:color w:val="000000"/>
                <w:szCs w:val="22"/>
                <w:lang w:val="en-US" w:eastAsia="en-US"/>
              </w:rPr>
            </w:pPr>
            <w:r w:rsidRPr="00FA719D">
              <w:rPr>
                <w:rFonts w:eastAsia="Calibri" w:cs="Calibri"/>
                <w:b w:val="0"/>
                <w:bCs/>
                <w:color w:val="000000"/>
                <w:szCs w:val="22"/>
                <w:lang w:val="en-US" w:eastAsia="en-US"/>
              </w:rPr>
              <w:t>76,301.5</w:t>
            </w:r>
          </w:p>
        </w:tc>
        <w:tc>
          <w:tcPr>
            <w:tcW w:w="15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242CCC" w:rsidRPr="00FA719D" w:rsidRDefault="00242CCC" w:rsidP="00650C81">
            <w:pPr>
              <w:spacing w:before="0" w:after="200" w:line="276" w:lineRule="auto"/>
              <w:ind w:firstLine="0"/>
              <w:contextualSpacing w:val="0"/>
              <w:jc w:val="center"/>
              <w:rPr>
                <w:rFonts w:eastAsia="Calibri" w:cs="Calibri"/>
                <w:b w:val="0"/>
                <w:bCs/>
                <w:color w:val="000000"/>
                <w:szCs w:val="22"/>
                <w:lang w:val="en-US" w:eastAsia="en-US"/>
              </w:rPr>
            </w:pPr>
            <w:r w:rsidRPr="00FA719D">
              <w:rPr>
                <w:rFonts w:eastAsia="Calibri" w:cs="Calibri"/>
                <w:b w:val="0"/>
                <w:bCs/>
                <w:color w:val="000000"/>
                <w:szCs w:val="22"/>
                <w:lang w:val="en-US" w:eastAsia="en-US"/>
              </w:rPr>
              <w:t>161,535.7</w:t>
            </w:r>
          </w:p>
        </w:tc>
        <w:tc>
          <w:tcPr>
            <w:tcW w:w="12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42CCC" w:rsidRPr="00FA719D" w:rsidRDefault="00242CCC" w:rsidP="00650C81">
            <w:pPr>
              <w:spacing w:before="0" w:after="200" w:line="276" w:lineRule="auto"/>
              <w:ind w:firstLine="0"/>
              <w:contextualSpacing w:val="0"/>
              <w:jc w:val="center"/>
              <w:rPr>
                <w:rFonts w:eastAsia="Calibri" w:cs="Calibri"/>
                <w:b w:val="0"/>
                <w:bCs/>
                <w:color w:val="000000"/>
                <w:szCs w:val="22"/>
                <w:lang w:val="en-US" w:eastAsia="en-US"/>
              </w:rPr>
            </w:pPr>
            <w:r w:rsidRPr="00FA719D">
              <w:rPr>
                <w:rFonts w:eastAsia="Calibri" w:cs="Calibri"/>
                <w:b w:val="0"/>
                <w:bCs/>
                <w:color w:val="000000"/>
                <w:szCs w:val="22"/>
                <w:lang w:val="en-US" w:eastAsia="en-US"/>
              </w:rPr>
              <w:t>86,707.3</w:t>
            </w:r>
          </w:p>
        </w:tc>
        <w:tc>
          <w:tcPr>
            <w:tcW w:w="125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42CCC" w:rsidRPr="00FA719D" w:rsidRDefault="00242CCC" w:rsidP="00650C81">
            <w:pPr>
              <w:spacing w:before="0" w:after="200" w:line="276" w:lineRule="auto"/>
              <w:ind w:firstLine="0"/>
              <w:contextualSpacing w:val="0"/>
              <w:jc w:val="center"/>
              <w:rPr>
                <w:rFonts w:eastAsia="Calibri" w:cs="Calibri"/>
                <w:b w:val="0"/>
                <w:bCs/>
                <w:color w:val="000000"/>
                <w:szCs w:val="22"/>
                <w:lang w:val="en-US" w:eastAsia="en-US"/>
              </w:rPr>
            </w:pPr>
            <w:r w:rsidRPr="00FA719D">
              <w:rPr>
                <w:rFonts w:eastAsia="Calibri" w:cs="Calibri"/>
                <w:b w:val="0"/>
                <w:bCs/>
                <w:color w:val="000000"/>
                <w:szCs w:val="22"/>
                <w:lang w:val="en-US" w:eastAsia="en-US"/>
              </w:rPr>
              <w:t>129,389.0</w:t>
            </w:r>
          </w:p>
        </w:tc>
        <w:tc>
          <w:tcPr>
            <w:tcW w:w="12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42CCC" w:rsidRPr="00FA719D" w:rsidRDefault="00242CCC" w:rsidP="00650C81">
            <w:pPr>
              <w:spacing w:before="0" w:after="200" w:line="276" w:lineRule="auto"/>
              <w:ind w:firstLine="0"/>
              <w:contextualSpacing w:val="0"/>
              <w:jc w:val="center"/>
              <w:rPr>
                <w:rFonts w:eastAsia="Calibri" w:cs="Calibri"/>
                <w:b w:val="0"/>
                <w:bCs/>
                <w:color w:val="000000"/>
                <w:szCs w:val="22"/>
                <w:lang w:val="en-US" w:eastAsia="en-US"/>
              </w:rPr>
            </w:pPr>
            <w:r w:rsidRPr="00FA719D">
              <w:rPr>
                <w:rFonts w:eastAsia="Calibri" w:cs="Calibri"/>
                <w:b w:val="0"/>
                <w:bCs/>
                <w:color w:val="000000"/>
                <w:szCs w:val="22"/>
                <w:lang w:val="en-US" w:eastAsia="en-US"/>
              </w:rPr>
              <w:t>110,263.1</w:t>
            </w:r>
          </w:p>
        </w:tc>
      </w:tr>
      <w:tr w:rsidR="00242CCC" w:rsidRPr="00C74BDD" w:rsidTr="00650C81">
        <w:trPr>
          <w:trHeight w:val="780"/>
        </w:trPr>
        <w:tc>
          <w:tcPr>
            <w:tcW w:w="2588" w:type="dxa"/>
            <w:tcBorders>
              <w:top w:val="single" w:sz="4" w:space="0" w:color="auto"/>
              <w:left w:val="single" w:sz="4" w:space="0" w:color="auto"/>
              <w:bottom w:val="single" w:sz="4" w:space="0" w:color="auto"/>
              <w:right w:val="single" w:sz="4" w:space="0" w:color="auto"/>
            </w:tcBorders>
            <w:hideMark/>
          </w:tcPr>
          <w:p w:rsidR="00242CCC" w:rsidRPr="00C74BDD" w:rsidRDefault="00242CCC" w:rsidP="00650C81">
            <w:pPr>
              <w:spacing w:before="0" w:after="200" w:line="240" w:lineRule="auto"/>
              <w:ind w:firstLine="0"/>
              <w:jc w:val="left"/>
              <w:rPr>
                <w:rFonts w:ascii="Calibri" w:eastAsia="Calibri" w:hAnsi="Calibri" w:cs="Calibri"/>
                <w:bCs/>
                <w:color w:val="000000"/>
                <w:sz w:val="20"/>
                <w:szCs w:val="20"/>
              </w:rPr>
            </w:pPr>
            <w:r w:rsidRPr="00C74BDD">
              <w:rPr>
                <w:rFonts w:ascii="Calibri" w:eastAsia="Calibri" w:hAnsi="Calibri" w:cs="Calibri"/>
                <w:bCs/>
                <w:color w:val="000000"/>
                <w:sz w:val="20"/>
                <w:szCs w:val="20"/>
                <w:lang w:val="hy-AM"/>
              </w:rPr>
              <w:t xml:space="preserve">- </w:t>
            </w:r>
            <w:r w:rsidRPr="00C74BDD">
              <w:rPr>
                <w:rFonts w:ascii="Calibri" w:eastAsia="Calibri" w:hAnsi="Calibri" w:cs="Calibri"/>
                <w:bCs/>
                <w:color w:val="000000"/>
                <w:sz w:val="20"/>
                <w:szCs w:val="20"/>
              </w:rPr>
              <w:t>հ</w:t>
            </w:r>
            <w:r w:rsidRPr="00C74BDD">
              <w:rPr>
                <w:rFonts w:ascii="Calibri" w:eastAsia="Calibri" w:hAnsi="Calibri" w:cs="Calibri"/>
                <w:bCs/>
                <w:color w:val="000000"/>
                <w:sz w:val="20"/>
                <w:szCs w:val="20"/>
                <w:lang w:val="hy-AM"/>
              </w:rPr>
              <w:t>արաբերությունը ՀՆԱ-ի նկատմամբ (%)</w:t>
            </w:r>
          </w:p>
        </w:tc>
        <w:tc>
          <w:tcPr>
            <w:tcW w:w="1424" w:type="dxa"/>
            <w:tcBorders>
              <w:top w:val="single" w:sz="4" w:space="0" w:color="auto"/>
              <w:left w:val="single" w:sz="4" w:space="0" w:color="auto"/>
              <w:bottom w:val="single" w:sz="4" w:space="0" w:color="auto"/>
              <w:right w:val="single" w:sz="4" w:space="0" w:color="auto"/>
            </w:tcBorders>
            <w:vAlign w:val="center"/>
            <w:hideMark/>
          </w:tcPr>
          <w:p w:rsidR="00242CCC" w:rsidRPr="00FA719D" w:rsidRDefault="00242CCC" w:rsidP="00650C81">
            <w:pPr>
              <w:spacing w:before="0" w:after="200" w:line="276" w:lineRule="auto"/>
              <w:ind w:firstLine="0"/>
              <w:contextualSpacing w:val="0"/>
              <w:jc w:val="center"/>
              <w:rPr>
                <w:rFonts w:eastAsia="Calibri" w:cs="Calibri"/>
                <w:b w:val="0"/>
                <w:bCs/>
                <w:color w:val="000000"/>
                <w:sz w:val="20"/>
                <w:szCs w:val="20"/>
                <w:lang w:val="en-US" w:eastAsia="en-US"/>
              </w:rPr>
            </w:pPr>
            <w:r w:rsidRPr="00FA719D">
              <w:rPr>
                <w:rFonts w:eastAsia="Calibri" w:cs="Calibri"/>
                <w:b w:val="0"/>
                <w:bCs/>
                <w:color w:val="000000"/>
                <w:sz w:val="20"/>
                <w:szCs w:val="20"/>
                <w:lang w:val="en-US" w:eastAsia="en-US"/>
              </w:rPr>
              <w:t>1.2%</w:t>
            </w:r>
          </w:p>
        </w:tc>
        <w:tc>
          <w:tcPr>
            <w:tcW w:w="1515" w:type="dxa"/>
            <w:tcBorders>
              <w:top w:val="single" w:sz="4" w:space="0" w:color="auto"/>
              <w:left w:val="single" w:sz="4" w:space="0" w:color="auto"/>
              <w:bottom w:val="single" w:sz="4" w:space="0" w:color="auto"/>
              <w:right w:val="single" w:sz="4" w:space="0" w:color="auto"/>
            </w:tcBorders>
            <w:vAlign w:val="center"/>
            <w:hideMark/>
          </w:tcPr>
          <w:p w:rsidR="00242CCC" w:rsidRPr="00FA719D" w:rsidRDefault="00242CCC" w:rsidP="00650C81">
            <w:pPr>
              <w:spacing w:before="0" w:after="200" w:line="276" w:lineRule="auto"/>
              <w:ind w:firstLine="0"/>
              <w:contextualSpacing w:val="0"/>
              <w:jc w:val="center"/>
              <w:rPr>
                <w:rFonts w:eastAsia="Calibri" w:cs="Calibri"/>
                <w:b w:val="0"/>
                <w:bCs/>
                <w:color w:val="000000"/>
                <w:sz w:val="20"/>
                <w:szCs w:val="20"/>
                <w:lang w:val="en-US" w:eastAsia="en-US"/>
              </w:rPr>
            </w:pPr>
            <w:r w:rsidRPr="00FA719D">
              <w:rPr>
                <w:rFonts w:eastAsia="Calibri" w:cs="Calibri"/>
                <w:b w:val="0"/>
                <w:bCs/>
                <w:color w:val="000000"/>
                <w:sz w:val="20"/>
                <w:szCs w:val="20"/>
                <w:lang w:val="en-US" w:eastAsia="en-US"/>
              </w:rPr>
              <w:t>2.6%</w:t>
            </w:r>
          </w:p>
        </w:tc>
        <w:tc>
          <w:tcPr>
            <w:tcW w:w="1251" w:type="dxa"/>
            <w:tcBorders>
              <w:top w:val="single" w:sz="4" w:space="0" w:color="auto"/>
              <w:left w:val="single" w:sz="4" w:space="0" w:color="auto"/>
              <w:bottom w:val="single" w:sz="4" w:space="0" w:color="auto"/>
              <w:right w:val="single" w:sz="4" w:space="0" w:color="auto"/>
            </w:tcBorders>
            <w:vAlign w:val="center"/>
          </w:tcPr>
          <w:p w:rsidR="00242CCC" w:rsidRPr="00FA719D" w:rsidRDefault="00242CCC" w:rsidP="00650C81">
            <w:pPr>
              <w:spacing w:before="0" w:after="200" w:line="276" w:lineRule="auto"/>
              <w:ind w:firstLine="0"/>
              <w:contextualSpacing w:val="0"/>
              <w:jc w:val="center"/>
              <w:rPr>
                <w:rFonts w:eastAsia="Calibri" w:cs="Calibri"/>
                <w:b w:val="0"/>
                <w:bCs/>
                <w:color w:val="000000"/>
                <w:sz w:val="20"/>
                <w:szCs w:val="20"/>
                <w:lang w:val="en-US" w:eastAsia="en-US"/>
              </w:rPr>
            </w:pPr>
            <w:r w:rsidRPr="00FA719D">
              <w:rPr>
                <w:rFonts w:eastAsia="Calibri" w:cs="Calibri"/>
                <w:b w:val="0"/>
                <w:bCs/>
                <w:color w:val="000000"/>
                <w:sz w:val="20"/>
                <w:szCs w:val="20"/>
                <w:lang w:val="en-US" w:eastAsia="en-US"/>
              </w:rPr>
              <w:t>1.4%</w:t>
            </w:r>
          </w:p>
        </w:tc>
        <w:tc>
          <w:tcPr>
            <w:tcW w:w="1255" w:type="dxa"/>
            <w:tcBorders>
              <w:top w:val="single" w:sz="4" w:space="0" w:color="auto"/>
              <w:left w:val="single" w:sz="4" w:space="0" w:color="auto"/>
              <w:bottom w:val="single" w:sz="4" w:space="0" w:color="auto"/>
              <w:right w:val="single" w:sz="4" w:space="0" w:color="auto"/>
            </w:tcBorders>
            <w:vAlign w:val="center"/>
          </w:tcPr>
          <w:p w:rsidR="00242CCC" w:rsidRPr="00FA719D" w:rsidRDefault="00242CCC" w:rsidP="00650C81">
            <w:pPr>
              <w:spacing w:before="0" w:after="200" w:line="276" w:lineRule="auto"/>
              <w:ind w:firstLine="0"/>
              <w:contextualSpacing w:val="0"/>
              <w:jc w:val="center"/>
              <w:rPr>
                <w:rFonts w:eastAsia="Calibri" w:cs="Calibri"/>
                <w:b w:val="0"/>
                <w:bCs/>
                <w:color w:val="000000"/>
                <w:sz w:val="20"/>
                <w:szCs w:val="20"/>
                <w:lang w:val="en-US" w:eastAsia="en-US"/>
              </w:rPr>
            </w:pPr>
            <w:r w:rsidRPr="00FA719D">
              <w:rPr>
                <w:rFonts w:eastAsia="Calibri" w:cs="Calibri"/>
                <w:b w:val="0"/>
                <w:bCs/>
                <w:color w:val="000000"/>
                <w:sz w:val="20"/>
                <w:szCs w:val="20"/>
                <w:lang w:val="en-US" w:eastAsia="en-US"/>
              </w:rPr>
              <w:t>1.6%</w:t>
            </w:r>
          </w:p>
        </w:tc>
        <w:tc>
          <w:tcPr>
            <w:tcW w:w="1223" w:type="dxa"/>
            <w:tcBorders>
              <w:top w:val="single" w:sz="4" w:space="0" w:color="auto"/>
              <w:left w:val="single" w:sz="4" w:space="0" w:color="auto"/>
              <w:bottom w:val="single" w:sz="4" w:space="0" w:color="auto"/>
              <w:right w:val="single" w:sz="4" w:space="0" w:color="auto"/>
            </w:tcBorders>
            <w:vAlign w:val="center"/>
          </w:tcPr>
          <w:p w:rsidR="00242CCC" w:rsidRPr="00FA719D" w:rsidRDefault="00242CCC" w:rsidP="00650C81">
            <w:pPr>
              <w:spacing w:before="0" w:after="200" w:line="276" w:lineRule="auto"/>
              <w:ind w:firstLine="0"/>
              <w:contextualSpacing w:val="0"/>
              <w:jc w:val="center"/>
              <w:rPr>
                <w:rFonts w:eastAsia="Calibri" w:cs="Calibri"/>
                <w:b w:val="0"/>
                <w:bCs/>
                <w:color w:val="000000"/>
                <w:sz w:val="20"/>
                <w:szCs w:val="20"/>
                <w:lang w:val="en-US" w:eastAsia="en-US"/>
              </w:rPr>
            </w:pPr>
            <w:r w:rsidRPr="00FA719D">
              <w:rPr>
                <w:rFonts w:eastAsia="Calibri" w:cs="Calibri"/>
                <w:b w:val="0"/>
                <w:bCs/>
                <w:color w:val="000000"/>
                <w:sz w:val="20"/>
                <w:szCs w:val="20"/>
                <w:lang w:val="en-US" w:eastAsia="en-US"/>
              </w:rPr>
              <w:t>1.2%</w:t>
            </w:r>
          </w:p>
        </w:tc>
      </w:tr>
      <w:tr w:rsidR="00242CCC" w:rsidRPr="00C74BDD" w:rsidTr="00650C81">
        <w:trPr>
          <w:trHeight w:val="817"/>
        </w:trPr>
        <w:tc>
          <w:tcPr>
            <w:tcW w:w="258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242CCC" w:rsidRPr="003E5BC9" w:rsidRDefault="00242CCC" w:rsidP="00650C81">
            <w:pPr>
              <w:spacing w:before="0" w:after="200" w:line="240" w:lineRule="auto"/>
              <w:ind w:firstLine="0"/>
              <w:jc w:val="left"/>
              <w:rPr>
                <w:rFonts w:ascii="Calibri" w:eastAsia="Calibri" w:hAnsi="Calibri" w:cs="Calibri"/>
                <w:bCs/>
                <w:color w:val="000000"/>
                <w:sz w:val="20"/>
                <w:szCs w:val="20"/>
              </w:rPr>
            </w:pPr>
            <w:r w:rsidRPr="00C74BDD">
              <w:rPr>
                <w:rFonts w:ascii="Calibri" w:eastAsia="Calibri" w:hAnsi="Calibri" w:cs="Calibri"/>
                <w:bCs/>
                <w:color w:val="000000"/>
                <w:sz w:val="20"/>
                <w:szCs w:val="20"/>
                <w:lang w:val="hy-AM"/>
              </w:rPr>
              <w:t>-</w:t>
            </w:r>
            <w:r w:rsidRPr="003E5BC9">
              <w:rPr>
                <w:rFonts w:ascii="Calibri" w:eastAsia="Calibri" w:hAnsi="Calibri" w:cs="Calibri"/>
                <w:bCs/>
                <w:color w:val="000000"/>
                <w:sz w:val="20"/>
                <w:szCs w:val="20"/>
              </w:rPr>
              <w:t xml:space="preserve"> </w:t>
            </w:r>
            <w:r w:rsidRPr="00C74BDD">
              <w:rPr>
                <w:rFonts w:ascii="Calibri" w:eastAsia="Calibri" w:hAnsi="Calibri" w:cs="Calibri"/>
                <w:bCs/>
                <w:color w:val="000000"/>
                <w:sz w:val="20"/>
                <w:szCs w:val="20"/>
                <w:lang w:val="hy-AM"/>
              </w:rPr>
              <w:t>տեսակարար կշիռը ծախսերի ամբողջ ծավալում (%)</w:t>
            </w:r>
          </w:p>
        </w:tc>
        <w:tc>
          <w:tcPr>
            <w:tcW w:w="14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242CCC" w:rsidRPr="00FA719D" w:rsidRDefault="00242CCC" w:rsidP="00650C81">
            <w:pPr>
              <w:spacing w:before="0" w:after="200" w:line="276" w:lineRule="auto"/>
              <w:ind w:firstLine="0"/>
              <w:contextualSpacing w:val="0"/>
              <w:jc w:val="center"/>
              <w:rPr>
                <w:rFonts w:eastAsia="Calibri" w:cs="Calibri"/>
                <w:b w:val="0"/>
                <w:bCs/>
                <w:color w:val="000000"/>
                <w:sz w:val="20"/>
                <w:szCs w:val="20"/>
                <w:lang w:val="en-US" w:eastAsia="en-US"/>
              </w:rPr>
            </w:pPr>
            <w:r w:rsidRPr="00FA719D">
              <w:rPr>
                <w:rFonts w:eastAsia="Calibri" w:cs="Calibri"/>
                <w:b w:val="0"/>
                <w:bCs/>
                <w:color w:val="000000"/>
                <w:sz w:val="20"/>
                <w:szCs w:val="20"/>
                <w:lang w:val="en-US" w:eastAsia="en-US"/>
              </w:rPr>
              <w:t>4.7%</w:t>
            </w:r>
          </w:p>
        </w:tc>
        <w:tc>
          <w:tcPr>
            <w:tcW w:w="15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242CCC" w:rsidRPr="00FA719D" w:rsidRDefault="00242CCC" w:rsidP="00650C81">
            <w:pPr>
              <w:spacing w:before="0" w:after="200" w:line="276" w:lineRule="auto"/>
              <w:ind w:firstLine="0"/>
              <w:contextualSpacing w:val="0"/>
              <w:jc w:val="center"/>
              <w:rPr>
                <w:rFonts w:eastAsia="Calibri" w:cs="Calibri"/>
                <w:b w:val="0"/>
                <w:bCs/>
                <w:color w:val="000000"/>
                <w:sz w:val="20"/>
                <w:szCs w:val="20"/>
                <w:lang w:val="en-US" w:eastAsia="en-US"/>
              </w:rPr>
            </w:pPr>
            <w:r w:rsidRPr="00FA719D">
              <w:rPr>
                <w:rFonts w:eastAsia="Calibri" w:cs="Calibri"/>
                <w:b w:val="0"/>
                <w:bCs/>
                <w:color w:val="000000"/>
                <w:sz w:val="20"/>
                <w:szCs w:val="20"/>
                <w:lang w:val="en-US" w:eastAsia="en-US"/>
              </w:rPr>
              <w:t>8.9%</w:t>
            </w:r>
          </w:p>
        </w:tc>
        <w:tc>
          <w:tcPr>
            <w:tcW w:w="12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42CCC" w:rsidRPr="00FA719D" w:rsidRDefault="00242CCC" w:rsidP="00650C81">
            <w:pPr>
              <w:spacing w:before="0" w:after="200" w:line="276" w:lineRule="auto"/>
              <w:ind w:firstLine="0"/>
              <w:contextualSpacing w:val="0"/>
              <w:jc w:val="center"/>
              <w:rPr>
                <w:rFonts w:eastAsia="Calibri" w:cs="Calibri"/>
                <w:b w:val="0"/>
                <w:bCs/>
                <w:color w:val="000000"/>
                <w:sz w:val="20"/>
                <w:szCs w:val="20"/>
                <w:lang w:val="en-US" w:eastAsia="en-US"/>
              </w:rPr>
            </w:pPr>
            <w:r w:rsidRPr="00FA719D">
              <w:rPr>
                <w:rFonts w:eastAsia="Calibri" w:cs="Calibri"/>
                <w:b w:val="0"/>
                <w:bCs/>
                <w:color w:val="000000"/>
                <w:sz w:val="20"/>
                <w:szCs w:val="20"/>
                <w:lang w:val="en-US" w:eastAsia="en-US"/>
              </w:rPr>
              <w:t>4.7%</w:t>
            </w:r>
          </w:p>
        </w:tc>
        <w:tc>
          <w:tcPr>
            <w:tcW w:w="125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42CCC" w:rsidRPr="00FA719D" w:rsidRDefault="00242CCC" w:rsidP="00650C81">
            <w:pPr>
              <w:spacing w:before="0" w:after="200" w:line="276" w:lineRule="auto"/>
              <w:ind w:firstLine="0"/>
              <w:contextualSpacing w:val="0"/>
              <w:jc w:val="center"/>
              <w:rPr>
                <w:rFonts w:eastAsia="Calibri" w:cs="Calibri"/>
                <w:b w:val="0"/>
                <w:bCs/>
                <w:color w:val="000000"/>
                <w:sz w:val="20"/>
                <w:szCs w:val="20"/>
                <w:lang w:val="en-US" w:eastAsia="en-US"/>
              </w:rPr>
            </w:pPr>
            <w:r w:rsidRPr="00FA719D">
              <w:rPr>
                <w:rFonts w:eastAsia="Calibri" w:cs="Calibri"/>
                <w:b w:val="0"/>
                <w:bCs/>
                <w:color w:val="000000"/>
                <w:sz w:val="20"/>
                <w:szCs w:val="20"/>
                <w:lang w:val="en-US" w:eastAsia="en-US"/>
              </w:rPr>
              <w:t>6.0%</w:t>
            </w:r>
          </w:p>
        </w:tc>
        <w:tc>
          <w:tcPr>
            <w:tcW w:w="12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42CCC" w:rsidRPr="00FA719D" w:rsidRDefault="00242CCC" w:rsidP="00650C81">
            <w:pPr>
              <w:spacing w:before="0" w:after="200" w:line="276" w:lineRule="auto"/>
              <w:ind w:firstLine="0"/>
              <w:contextualSpacing w:val="0"/>
              <w:jc w:val="center"/>
              <w:rPr>
                <w:rFonts w:eastAsia="Calibri" w:cs="Calibri"/>
                <w:b w:val="0"/>
                <w:bCs/>
                <w:color w:val="000000"/>
                <w:sz w:val="20"/>
                <w:szCs w:val="20"/>
                <w:lang w:val="en-US" w:eastAsia="en-US"/>
              </w:rPr>
            </w:pPr>
            <w:r w:rsidRPr="00FA719D">
              <w:rPr>
                <w:rFonts w:eastAsia="Calibri" w:cs="Calibri"/>
                <w:b w:val="0"/>
                <w:bCs/>
                <w:color w:val="000000"/>
                <w:sz w:val="20"/>
                <w:szCs w:val="20"/>
                <w:lang w:val="en-US" w:eastAsia="en-US"/>
              </w:rPr>
              <w:t>4.3%</w:t>
            </w:r>
          </w:p>
        </w:tc>
      </w:tr>
    </w:tbl>
    <w:p w:rsidR="00242CCC" w:rsidRPr="00C74BDD" w:rsidRDefault="00242CCC" w:rsidP="00242CCC">
      <w:pPr>
        <w:spacing w:before="0" w:after="200" w:line="276" w:lineRule="auto"/>
        <w:ind w:firstLine="0"/>
        <w:contextualSpacing w:val="0"/>
        <w:jc w:val="left"/>
        <w:rPr>
          <w:rFonts w:eastAsiaTheme="minorHAnsi" w:cs="Cambria Math"/>
          <w:b w:val="0"/>
          <w:sz w:val="24"/>
          <w:highlight w:val="yellow"/>
          <w:lang w:val="en-US" w:eastAsia="en-US"/>
        </w:rPr>
      </w:pPr>
    </w:p>
    <w:p w:rsidR="00242CCC" w:rsidRPr="00C74BDD" w:rsidRDefault="00242CCC" w:rsidP="00242CCC">
      <w:pPr>
        <w:spacing w:before="0" w:after="200" w:line="276" w:lineRule="auto"/>
        <w:ind w:firstLine="720"/>
        <w:contextualSpacing w:val="0"/>
        <w:rPr>
          <w:rFonts w:eastAsiaTheme="minorHAnsi" w:cs="Cambria Math"/>
          <w:b w:val="0"/>
          <w:szCs w:val="22"/>
          <w:lang w:val="en-US" w:eastAsia="en-US"/>
        </w:rPr>
      </w:pPr>
      <w:r w:rsidRPr="00C74BDD">
        <w:rPr>
          <w:rFonts w:eastAsiaTheme="minorHAnsi" w:cs="Cambria Math"/>
          <w:b w:val="0"/>
          <w:szCs w:val="22"/>
          <w:lang w:val="en-US" w:eastAsia="en-US"/>
        </w:rPr>
        <w:t>Արտաքին  աղբյուրներից վարկերի և պաշտոնական դրամաշնորհների տեսքով ստաց</w:t>
      </w:r>
      <w:r w:rsidRPr="00C74BDD">
        <w:rPr>
          <w:rFonts w:eastAsiaTheme="minorHAnsi" w:cs="Cambria Math"/>
          <w:b w:val="0"/>
          <w:szCs w:val="22"/>
          <w:lang w:val="en-US" w:eastAsia="en-US"/>
        </w:rPr>
        <w:softHyphen/>
        <w:t>վե</w:t>
      </w:r>
      <w:r w:rsidRPr="00C74BDD">
        <w:rPr>
          <w:rFonts w:eastAsiaTheme="minorHAnsi" w:cs="Cambria Math"/>
          <w:b w:val="0"/>
          <w:szCs w:val="22"/>
          <w:lang w:val="en-US" w:eastAsia="en-US"/>
        </w:rPr>
        <w:softHyphen/>
        <w:t>լիք մի</w:t>
      </w:r>
      <w:r w:rsidRPr="00C74BDD">
        <w:rPr>
          <w:rFonts w:eastAsiaTheme="minorHAnsi" w:cs="Cambria Math"/>
          <w:b w:val="0"/>
          <w:szCs w:val="22"/>
          <w:lang w:val="en-US" w:eastAsia="en-US"/>
        </w:rPr>
        <w:softHyphen/>
        <w:t>ջոցների հաշվին 202</w:t>
      </w:r>
      <w:r w:rsidRPr="00C74BDD">
        <w:rPr>
          <w:rFonts w:eastAsiaTheme="minorHAnsi" w:cs="Cambria Math"/>
          <w:b w:val="0"/>
          <w:szCs w:val="22"/>
          <w:lang w:val="hy-AM" w:eastAsia="en-US"/>
        </w:rPr>
        <w:t>3</w:t>
      </w:r>
      <w:r w:rsidRPr="00C74BDD">
        <w:rPr>
          <w:rFonts w:eastAsiaTheme="minorHAnsi" w:cs="Cambria Math"/>
          <w:b w:val="0"/>
          <w:szCs w:val="22"/>
          <w:lang w:val="en-US" w:eastAsia="en-US"/>
        </w:rPr>
        <w:t xml:space="preserve"> թվականին ֆինանսավորվող ծախսերի տեսակարար կշիռը ծախսերի ամբողջ ծավալում կազմում է </w:t>
      </w:r>
      <w:r w:rsidRPr="00C74BDD">
        <w:rPr>
          <w:rFonts w:eastAsiaTheme="minorHAnsi" w:cs="Cambria Math"/>
          <w:b w:val="0"/>
          <w:szCs w:val="22"/>
          <w:lang w:val="hy-AM" w:eastAsia="en-US"/>
        </w:rPr>
        <w:t>4</w:t>
      </w:r>
      <w:r w:rsidRPr="00C74BDD">
        <w:rPr>
          <w:rFonts w:eastAsiaTheme="minorHAnsi" w:cs="Cambria Math"/>
          <w:b w:val="0"/>
          <w:szCs w:val="22"/>
          <w:lang w:val="en-US" w:eastAsia="en-US"/>
        </w:rPr>
        <w:t>.</w:t>
      </w:r>
      <w:r>
        <w:rPr>
          <w:rFonts w:eastAsiaTheme="minorHAnsi" w:cs="Cambria Math"/>
          <w:b w:val="0"/>
          <w:szCs w:val="22"/>
          <w:lang w:val="en-US" w:eastAsia="en-US"/>
        </w:rPr>
        <w:t>3</w:t>
      </w:r>
      <w:r w:rsidRPr="00C74BDD">
        <w:rPr>
          <w:rFonts w:eastAsiaTheme="minorHAnsi" w:cs="Cambria Math"/>
          <w:b w:val="0"/>
          <w:szCs w:val="22"/>
          <w:lang w:val="en-US" w:eastAsia="en-US"/>
        </w:rPr>
        <w:t>% և ՀՆԱ-ի նկատ</w:t>
      </w:r>
      <w:r w:rsidRPr="00C74BDD">
        <w:rPr>
          <w:rFonts w:eastAsiaTheme="minorHAnsi" w:cs="Cambria Math"/>
          <w:b w:val="0"/>
          <w:szCs w:val="22"/>
          <w:lang w:val="en-US" w:eastAsia="en-US"/>
        </w:rPr>
        <w:softHyphen/>
        <w:t>մամբ՝ 1.</w:t>
      </w:r>
      <w:r w:rsidRPr="00C74BDD">
        <w:rPr>
          <w:rFonts w:eastAsiaTheme="minorHAnsi" w:cs="Cambria Math"/>
          <w:b w:val="0"/>
          <w:szCs w:val="22"/>
          <w:lang w:val="hy-AM" w:eastAsia="en-US"/>
        </w:rPr>
        <w:t>2</w:t>
      </w:r>
      <w:r w:rsidRPr="00C74BDD">
        <w:rPr>
          <w:rFonts w:eastAsiaTheme="minorHAnsi" w:cs="Cambria Math"/>
          <w:b w:val="0"/>
          <w:szCs w:val="22"/>
          <w:lang w:val="en-US" w:eastAsia="en-US"/>
        </w:rPr>
        <w:t xml:space="preserve">%: </w:t>
      </w:r>
    </w:p>
    <w:p w:rsidR="00242CCC" w:rsidRPr="00C74BDD" w:rsidRDefault="00242CCC" w:rsidP="00242CCC">
      <w:pPr>
        <w:spacing w:before="0" w:line="240" w:lineRule="auto"/>
        <w:ind w:firstLine="0"/>
        <w:contextualSpacing w:val="0"/>
        <w:jc w:val="left"/>
        <w:rPr>
          <w:rFonts w:eastAsia="Calibri" w:cs="GHEA Grapalat"/>
          <w:bCs/>
          <w:sz w:val="24"/>
          <w:szCs w:val="26"/>
          <w:lang w:val="en-US" w:eastAsia="en-US"/>
        </w:rPr>
      </w:pPr>
    </w:p>
    <w:p w:rsidR="00242CCC" w:rsidRPr="00A06A0A" w:rsidRDefault="00242CCC" w:rsidP="00242CCC">
      <w:pPr>
        <w:rPr>
          <w:lang w:val="en-US"/>
        </w:rPr>
      </w:pPr>
    </w:p>
    <w:p w:rsidR="00242CCC" w:rsidRDefault="00242CCC">
      <w:pPr>
        <w:spacing w:before="0" w:line="240" w:lineRule="auto"/>
        <w:ind w:firstLine="0"/>
        <w:contextualSpacing w:val="0"/>
        <w:jc w:val="left"/>
        <w:rPr>
          <w:rFonts w:eastAsia="Calibri" w:cs="GHEA Grapalat"/>
          <w:bCs/>
          <w:sz w:val="24"/>
          <w:szCs w:val="26"/>
          <w:lang w:val="en-US" w:eastAsia="en-US"/>
        </w:rPr>
      </w:pPr>
      <w:r>
        <w:rPr>
          <w:rFonts w:eastAsia="Calibri" w:cs="GHEA Grapalat"/>
          <w:bCs/>
          <w:sz w:val="24"/>
          <w:szCs w:val="26"/>
          <w:lang w:val="en-US" w:eastAsia="en-US"/>
        </w:rPr>
        <w:br w:type="page"/>
      </w:r>
    </w:p>
    <w:p w:rsidR="00A14B59" w:rsidRPr="00C74BDD" w:rsidRDefault="00A14B59" w:rsidP="004D4BD5">
      <w:pPr>
        <w:spacing w:before="0" w:line="240" w:lineRule="auto"/>
        <w:ind w:firstLine="0"/>
        <w:contextualSpacing w:val="0"/>
        <w:jc w:val="left"/>
        <w:rPr>
          <w:rFonts w:eastAsia="Calibri" w:cs="GHEA Grapalat"/>
          <w:bCs/>
          <w:sz w:val="24"/>
          <w:szCs w:val="26"/>
          <w:lang w:val="en-US" w:eastAsia="en-US"/>
        </w:rPr>
      </w:pPr>
    </w:p>
    <w:p w:rsidR="00453D56" w:rsidRPr="007955BB" w:rsidRDefault="00453D56" w:rsidP="004D4BD5">
      <w:pPr>
        <w:spacing w:before="0" w:line="240" w:lineRule="auto"/>
        <w:ind w:firstLine="0"/>
        <w:contextualSpacing w:val="0"/>
        <w:jc w:val="left"/>
        <w:rPr>
          <w:rFonts w:eastAsia="Calibri" w:cs="GHEA Grapalat"/>
          <w:bCs/>
          <w:sz w:val="24"/>
          <w:szCs w:val="26"/>
          <w:lang w:val="af-ZA" w:eastAsia="en-US"/>
        </w:rPr>
      </w:pPr>
      <w:r w:rsidRPr="007955BB">
        <w:rPr>
          <w:rFonts w:eastAsia="Calibri" w:cs="GHEA Grapalat"/>
          <w:bCs/>
          <w:sz w:val="24"/>
          <w:szCs w:val="26"/>
          <w:lang w:val="af-ZA" w:eastAsia="en-US"/>
        </w:rPr>
        <w:t>202</w:t>
      </w:r>
      <w:r w:rsidR="00893128" w:rsidRPr="007955BB">
        <w:rPr>
          <w:rFonts w:eastAsia="Calibri" w:cs="GHEA Grapalat"/>
          <w:bCs/>
          <w:sz w:val="24"/>
          <w:szCs w:val="26"/>
          <w:lang w:val="hy-AM" w:eastAsia="en-US"/>
        </w:rPr>
        <w:t>3</w:t>
      </w:r>
      <w:r w:rsidR="00AB7355" w:rsidRPr="007955BB">
        <w:rPr>
          <w:rFonts w:eastAsia="Calibri" w:cs="GHEA Grapalat"/>
          <w:bCs/>
          <w:sz w:val="24"/>
          <w:szCs w:val="26"/>
          <w:lang w:val="af-ZA" w:eastAsia="en-US"/>
        </w:rPr>
        <w:t xml:space="preserve"> </w:t>
      </w:r>
      <w:r w:rsidRPr="007955BB">
        <w:rPr>
          <w:rFonts w:eastAsia="Calibri" w:cs="GHEA Grapalat"/>
          <w:bCs/>
          <w:sz w:val="24"/>
          <w:szCs w:val="26"/>
          <w:lang w:val="af-ZA" w:eastAsia="en-US"/>
        </w:rPr>
        <w:t>Թ</w:t>
      </w:r>
      <w:r w:rsidR="00AB7355" w:rsidRPr="007955BB">
        <w:rPr>
          <w:rFonts w:eastAsia="Calibri" w:cs="GHEA Grapalat"/>
          <w:bCs/>
          <w:sz w:val="24"/>
          <w:szCs w:val="26"/>
          <w:lang w:val="af-ZA" w:eastAsia="en-US"/>
        </w:rPr>
        <w:t>ՎԱԿԱՆԻ</w:t>
      </w:r>
      <w:r w:rsidRPr="007955BB">
        <w:rPr>
          <w:rFonts w:eastAsia="Calibri" w:cs="GHEA Grapalat"/>
          <w:bCs/>
          <w:sz w:val="24"/>
          <w:szCs w:val="26"/>
          <w:lang w:val="af-ZA" w:eastAsia="en-US"/>
        </w:rPr>
        <w:t xml:space="preserve"> ԲՅՈՒՋԵԻ ԱՌԱՋՆԱՀԵՐԹՈՒԹՅՈՒՆՆԵՐ</w:t>
      </w:r>
      <w:bookmarkEnd w:id="271"/>
      <w:bookmarkEnd w:id="272"/>
      <w:r w:rsidRPr="007955BB">
        <w:rPr>
          <w:rFonts w:eastAsia="Calibri" w:cs="GHEA Grapalat"/>
          <w:bCs/>
          <w:sz w:val="24"/>
          <w:szCs w:val="26"/>
          <w:lang w:val="af-ZA" w:eastAsia="en-US"/>
        </w:rPr>
        <w:t>Ը</w:t>
      </w:r>
    </w:p>
    <w:p w:rsidR="00453D56" w:rsidRPr="007955BB" w:rsidRDefault="00453D56" w:rsidP="00453D56">
      <w:pPr>
        <w:spacing w:before="40" w:after="60" w:line="276" w:lineRule="auto"/>
        <w:ind w:firstLine="475"/>
        <w:contextualSpacing w:val="0"/>
        <w:rPr>
          <w:rFonts w:eastAsiaTheme="minorEastAsia" w:cstheme="minorBidi"/>
          <w:b w:val="0"/>
          <w:szCs w:val="22"/>
          <w:lang w:val="hy-AM" w:eastAsia="en-US"/>
        </w:rPr>
      </w:pPr>
      <w:r w:rsidRPr="007955BB">
        <w:rPr>
          <w:rFonts w:eastAsiaTheme="minorEastAsia" w:cstheme="minorBidi"/>
          <w:b w:val="0"/>
          <w:szCs w:val="22"/>
          <w:lang w:val="hy-AM" w:eastAsia="en-US"/>
        </w:rPr>
        <w:t>ՀՀ կառավարության ծրագրին համապատասխան ծախսային քաղաքականության արդյունավետության բարձրացման տեսանկյունից միջնաժամկետ ժամանակահատվածում կարևորվում է հանրային ֆինանսների նպատակային, խնայողաբար և ադյունավետ օգտագործումը, ինչի արդյունքում ՀՀ պետական բյուջեի ծախսերի կառուցվածքում աստիճանաբար հնարավորության սահմաններում կմեծանա մարդկային կապիտալին և ենթակառուցվածքներին ուղղվող ծախսերի տեսակարար կշիռը:</w:t>
      </w:r>
    </w:p>
    <w:p w:rsidR="00813A99" w:rsidRPr="007955BB" w:rsidRDefault="00453D56" w:rsidP="00813A99">
      <w:pPr>
        <w:spacing w:before="0" w:line="276" w:lineRule="auto"/>
        <w:ind w:firstLine="475"/>
        <w:contextualSpacing w:val="0"/>
        <w:rPr>
          <w:rFonts w:eastAsiaTheme="minorEastAsia" w:cs="Arial"/>
          <w:b w:val="0"/>
          <w:szCs w:val="22"/>
          <w:lang w:val="hy-AM" w:eastAsia="en-US"/>
        </w:rPr>
      </w:pPr>
      <w:r w:rsidRPr="007955BB">
        <w:rPr>
          <w:rFonts w:eastAsiaTheme="minorEastAsia" w:cstheme="minorBidi"/>
          <w:b w:val="0"/>
          <w:szCs w:val="22"/>
          <w:lang w:val="hy-AM" w:eastAsia="en-US"/>
        </w:rPr>
        <w:t>202</w:t>
      </w:r>
      <w:r w:rsidR="00893128" w:rsidRPr="007955BB">
        <w:rPr>
          <w:rFonts w:eastAsiaTheme="minorEastAsia" w:cstheme="minorBidi"/>
          <w:b w:val="0"/>
          <w:szCs w:val="22"/>
          <w:lang w:val="hy-AM" w:eastAsia="en-US"/>
        </w:rPr>
        <w:t>3</w:t>
      </w:r>
      <w:r w:rsidRPr="007955BB">
        <w:rPr>
          <w:rFonts w:eastAsiaTheme="minorEastAsia" w:cstheme="minorBidi"/>
          <w:b w:val="0"/>
          <w:szCs w:val="22"/>
          <w:lang w:val="hy-AM" w:eastAsia="en-US"/>
        </w:rPr>
        <w:t>թ</w:t>
      </w:r>
      <w:r w:rsidR="00813A99" w:rsidRPr="007955BB">
        <w:rPr>
          <w:rFonts w:eastAsiaTheme="minorEastAsia" w:cstheme="minorBidi"/>
          <w:b w:val="0"/>
          <w:szCs w:val="22"/>
          <w:lang w:val="hy-AM" w:eastAsia="en-US"/>
        </w:rPr>
        <w:t>.</w:t>
      </w:r>
      <w:r w:rsidRPr="007955BB">
        <w:rPr>
          <w:rFonts w:eastAsiaTheme="minorEastAsia" w:cstheme="minorBidi"/>
          <w:b w:val="0"/>
          <w:szCs w:val="22"/>
          <w:lang w:val="hy-AM" w:eastAsia="en-US"/>
        </w:rPr>
        <w:t xml:space="preserve"> </w:t>
      </w:r>
      <w:r w:rsidR="00813A99" w:rsidRPr="007955BB">
        <w:rPr>
          <w:rFonts w:eastAsiaTheme="minorEastAsia" w:cstheme="minorBidi"/>
          <w:b w:val="0"/>
          <w:szCs w:val="22"/>
          <w:lang w:val="hy-AM" w:eastAsia="en-US"/>
        </w:rPr>
        <w:t>բյուջեի 6-րդ</w:t>
      </w:r>
      <w:r w:rsidRPr="007955BB">
        <w:rPr>
          <w:rFonts w:eastAsiaTheme="minorEastAsia" w:cstheme="minorBidi"/>
          <w:b w:val="0"/>
          <w:szCs w:val="22"/>
          <w:lang w:val="hy-AM" w:eastAsia="en-US"/>
        </w:rPr>
        <w:t xml:space="preserve"> հավելվածով ներկայացվել են </w:t>
      </w:r>
      <w:r w:rsidR="00813A99" w:rsidRPr="007955BB">
        <w:rPr>
          <w:rFonts w:eastAsiaTheme="minorEastAsia" w:cstheme="minorBidi"/>
          <w:b w:val="0"/>
          <w:szCs w:val="22"/>
          <w:lang w:val="hy-AM" w:eastAsia="en-US"/>
        </w:rPr>
        <w:t xml:space="preserve">ծախսային առաջնահերթությունները՝ </w:t>
      </w:r>
      <w:r w:rsidR="00A84186" w:rsidRPr="007955BB">
        <w:rPr>
          <w:rFonts w:eastAsiaTheme="minorEastAsia" w:cstheme="minorBidi"/>
          <w:b w:val="0"/>
          <w:szCs w:val="22"/>
          <w:lang w:val="hy-AM" w:eastAsia="en-US"/>
        </w:rPr>
        <w:t>1</w:t>
      </w:r>
      <w:r w:rsidR="004421C6" w:rsidRPr="004421C6">
        <w:rPr>
          <w:rFonts w:eastAsiaTheme="minorEastAsia" w:cstheme="minorBidi"/>
          <w:b w:val="0"/>
          <w:szCs w:val="22"/>
          <w:lang w:val="hy-AM" w:eastAsia="en-US"/>
        </w:rPr>
        <w:t>3</w:t>
      </w:r>
      <w:r w:rsidR="00813A99" w:rsidRPr="007955BB">
        <w:rPr>
          <w:rFonts w:eastAsiaTheme="minorEastAsia" w:cstheme="minorBidi"/>
          <w:b w:val="0"/>
          <w:szCs w:val="22"/>
          <w:lang w:val="hy-AM" w:eastAsia="en-US"/>
        </w:rPr>
        <w:t>,</w:t>
      </w:r>
      <w:r w:rsidR="004421C6" w:rsidRPr="004421C6">
        <w:rPr>
          <w:rFonts w:eastAsiaTheme="minorEastAsia" w:cstheme="minorBidi"/>
          <w:b w:val="0"/>
          <w:szCs w:val="22"/>
          <w:lang w:val="hy-AM" w:eastAsia="en-US"/>
        </w:rPr>
        <w:t>622</w:t>
      </w:r>
      <w:r w:rsidR="00813A99" w:rsidRPr="007955BB">
        <w:rPr>
          <w:rFonts w:eastAsiaTheme="minorEastAsia" w:cstheme="minorBidi"/>
          <w:b w:val="0"/>
          <w:szCs w:val="22"/>
          <w:lang w:val="hy-AM" w:eastAsia="en-US"/>
        </w:rPr>
        <w:t xml:space="preserve"> մլրդ դրամի չափով</w:t>
      </w:r>
      <w:r w:rsidRPr="007955BB">
        <w:rPr>
          <w:rFonts w:eastAsiaTheme="minorEastAsia" w:cstheme="minorBidi"/>
          <w:b w:val="0"/>
          <w:szCs w:val="22"/>
          <w:lang w:val="hy-AM" w:eastAsia="en-US"/>
        </w:rPr>
        <w:t xml:space="preserve">: </w:t>
      </w:r>
    </w:p>
    <w:p w:rsidR="00453D56" w:rsidRPr="007955BB" w:rsidRDefault="00453D56" w:rsidP="00FA67A9">
      <w:pPr>
        <w:spacing w:before="0" w:line="276" w:lineRule="auto"/>
        <w:ind w:firstLine="475"/>
        <w:contextualSpacing w:val="0"/>
        <w:rPr>
          <w:rFonts w:eastAsiaTheme="minorEastAsia" w:cstheme="minorBidi"/>
          <w:b w:val="0"/>
          <w:szCs w:val="22"/>
          <w:lang w:val="hy-AM" w:eastAsia="en-US"/>
        </w:rPr>
      </w:pPr>
      <w:r w:rsidRPr="007955BB">
        <w:rPr>
          <w:rFonts w:eastAsiaTheme="minorEastAsia" w:cstheme="minorBidi"/>
          <w:b w:val="0"/>
          <w:szCs w:val="22"/>
          <w:lang w:val="hy-AM" w:eastAsia="en-US"/>
        </w:rPr>
        <w:t>ԲԳԿ-ների կողմից ներկայացված առաջնահերթությունները 202</w:t>
      </w:r>
      <w:r w:rsidR="002A5E3C" w:rsidRPr="007955BB">
        <w:rPr>
          <w:rFonts w:eastAsiaTheme="minorEastAsia" w:cstheme="minorBidi"/>
          <w:b w:val="0"/>
          <w:szCs w:val="22"/>
          <w:lang w:val="hy-AM" w:eastAsia="en-US"/>
        </w:rPr>
        <w:t>3</w:t>
      </w:r>
      <w:r w:rsidRPr="007955BB">
        <w:rPr>
          <w:rFonts w:eastAsiaTheme="minorEastAsia" w:cstheme="minorBidi"/>
          <w:b w:val="0"/>
          <w:szCs w:val="22"/>
          <w:lang w:val="hy-AM" w:eastAsia="en-US"/>
        </w:rPr>
        <w:t>թ. բյուջեում լրացուցիչ ֆինանսական միջոցների առկայության պայմաններում (Հայաստանի Հանրապետության տնտեսական զարգացման բարենպաստ միջավայրի և այլ գործոններով պայմանավորված), ինչպես նաև 202</w:t>
      </w:r>
      <w:r w:rsidR="002A5E3C" w:rsidRPr="007955BB">
        <w:rPr>
          <w:rFonts w:eastAsiaTheme="minorEastAsia" w:cstheme="minorBidi"/>
          <w:b w:val="0"/>
          <w:szCs w:val="22"/>
          <w:lang w:val="hy-AM" w:eastAsia="en-US"/>
        </w:rPr>
        <w:t>3</w:t>
      </w:r>
      <w:r w:rsidRPr="007955BB">
        <w:rPr>
          <w:rFonts w:eastAsiaTheme="minorEastAsia" w:cstheme="minorBidi"/>
          <w:b w:val="0"/>
          <w:szCs w:val="22"/>
          <w:lang w:val="hy-AM" w:eastAsia="en-US"/>
        </w:rPr>
        <w:t>թ ընթացքում բյուջեով նախատեսված ծախսերի կրճատման, ծախսային ուղղությունների գծով հնարավոր գերակայությունների (առաջնահերթությունների) փոփոխման արդյունքում վերաբաշխումների (փոխատեղումների), խնայողությունների առկայության, Հայաստանի Հանրապետության օրենսդրությամբ սահմանված կարգով Հայաստանի Հանրապետության պետական բյուջեի դեֆիցիտի սահմանաչափի ավելացման պարագայում վերջիններիս ֆինանսավորումը պետք է իրականացվեն առաջնահերթ կարգով՝ կապիտալ ծախսերի դեպքում հիմք ընդունելով համապատասխան նախագծանախահաշվային փաստաթղթերի հիման վրա այդ աշխատանքների արժեքների ճշգրտումները։</w:t>
      </w:r>
    </w:p>
    <w:p w:rsidR="000123D5" w:rsidRPr="007955BB" w:rsidRDefault="00453D56" w:rsidP="00FA67A9">
      <w:pPr>
        <w:spacing w:before="0" w:line="276" w:lineRule="auto"/>
        <w:ind w:firstLine="475"/>
        <w:rPr>
          <w:lang w:val="hy-AM"/>
        </w:rPr>
      </w:pPr>
      <w:r w:rsidRPr="007955BB">
        <w:rPr>
          <w:rFonts w:eastAsiaTheme="minorEastAsia" w:cstheme="minorBidi"/>
          <w:b w:val="0"/>
          <w:szCs w:val="22"/>
          <w:lang w:val="hy-AM" w:eastAsia="en-US"/>
        </w:rPr>
        <w:t>Առաջնահերթություններում</w:t>
      </w:r>
      <w:r w:rsidRPr="007955BB">
        <w:rPr>
          <w:rFonts w:eastAsiaTheme="minorEastAsia" w:cs="Arial"/>
          <w:b w:val="0"/>
          <w:szCs w:val="22"/>
          <w:lang w:val="hy-AM" w:eastAsia="en-US"/>
        </w:rPr>
        <w:t xml:space="preserve"> կարևորվում է նաև կ</w:t>
      </w:r>
      <w:r w:rsidRPr="007955BB">
        <w:rPr>
          <w:rFonts w:eastAsiaTheme="minorEastAsia" w:cstheme="minorBidi"/>
          <w:b w:val="0"/>
          <w:szCs w:val="22"/>
          <w:lang w:val="hy-AM" w:eastAsia="en-US"/>
        </w:rPr>
        <w:t>ապիտալ ծրագրերի դերը, որոնք իրենց ուրույն տեղն են գտել նաև ՊՖԿՀ բարեփոխումների ռազմավարությունում, որտեղ «Հանրային ներդրումների կառավարման» համակարգի ներդրումը դիտվում է որպես կապիտալ ծրագրերի գնահատման, առաջնահերթությունների որոշման և ֆինանսավորման համար անհրաժեշտ ռեսուրսների հաշվարկման առանցքային գործիքակազմի բաղադրիչներից մեկը: Այս միջոցառման իրականացումը ապագայում կնպաստի կապիտալ ծախսերի իրականացման արդյունավետության բարձրացմանը՝ խթանելով երկարաժամկետ տնտեսական աճի արագացումը:</w:t>
      </w:r>
      <w:r w:rsidR="000123D5" w:rsidRPr="007955BB">
        <w:rPr>
          <w:b w:val="0"/>
          <w:lang w:val="hy-AM"/>
        </w:rPr>
        <w:br w:type="page"/>
      </w:r>
    </w:p>
    <w:p w:rsidR="00E85612" w:rsidRDefault="00E85612" w:rsidP="007C65A5">
      <w:pPr>
        <w:keepNext/>
        <w:tabs>
          <w:tab w:val="left" w:pos="709"/>
        </w:tabs>
        <w:spacing w:before="0" w:line="276" w:lineRule="auto"/>
        <w:ind w:firstLine="0"/>
        <w:jc w:val="left"/>
        <w:outlineLvl w:val="2"/>
        <w:rPr>
          <w:rFonts w:eastAsia="Calibri" w:cs="GHEA Grapalat"/>
          <w:bCs/>
          <w:sz w:val="24"/>
          <w:lang w:val="hy-AM" w:eastAsia="en-US"/>
        </w:rPr>
      </w:pPr>
      <w:bookmarkStart w:id="318" w:name="_Toc120805217"/>
      <w:r w:rsidRPr="007955BB">
        <w:rPr>
          <w:rFonts w:eastAsia="Calibri" w:cs="GHEA Grapalat"/>
          <w:bCs/>
          <w:sz w:val="24"/>
          <w:lang w:val="af-ZA" w:eastAsia="en-US"/>
        </w:rPr>
        <w:t xml:space="preserve">ԾԱԽՍԵՐՆ ԸՍՏ </w:t>
      </w:r>
      <w:r w:rsidRPr="007955BB">
        <w:rPr>
          <w:rFonts w:eastAsia="Calibri" w:cs="GHEA Grapalat"/>
          <w:bCs/>
          <w:sz w:val="24"/>
          <w:lang w:val="hy-AM" w:eastAsia="en-US"/>
        </w:rPr>
        <w:t>ԲՅՈՒՋԵՏԱՅԻՆ ԳԼԽԱՎՈՐ ԿԱՐԳԱԴՐԻՉՆԵՐԻ</w:t>
      </w:r>
      <w:bookmarkEnd w:id="318"/>
    </w:p>
    <w:p w:rsidR="00F278C8" w:rsidRPr="007955BB" w:rsidRDefault="00F278C8" w:rsidP="007C65A5">
      <w:pPr>
        <w:keepNext/>
        <w:tabs>
          <w:tab w:val="left" w:pos="709"/>
        </w:tabs>
        <w:spacing w:before="0" w:line="276" w:lineRule="auto"/>
        <w:ind w:firstLine="0"/>
        <w:jc w:val="left"/>
        <w:outlineLvl w:val="2"/>
        <w:rPr>
          <w:rFonts w:eastAsia="Calibri" w:cs="GHEA Grapalat"/>
          <w:bCs/>
          <w:sz w:val="24"/>
          <w:lang w:val="af-ZA" w:eastAsia="en-US"/>
        </w:rPr>
      </w:pPr>
    </w:p>
    <w:p w:rsidR="00442DED" w:rsidRPr="007955BB" w:rsidRDefault="00E42A8A" w:rsidP="00F278C8">
      <w:pPr>
        <w:keepNext/>
        <w:tabs>
          <w:tab w:val="left" w:pos="709"/>
        </w:tabs>
        <w:spacing w:before="0" w:line="276" w:lineRule="auto"/>
        <w:ind w:firstLine="0"/>
        <w:jc w:val="left"/>
        <w:outlineLvl w:val="2"/>
        <w:rPr>
          <w:rFonts w:eastAsia="Calibri" w:cs="GHEA Grapalat"/>
          <w:sz w:val="24"/>
          <w:lang w:val="af-ZA" w:eastAsia="en-US"/>
        </w:rPr>
      </w:pPr>
      <w:bookmarkStart w:id="319" w:name="_Toc57655473"/>
      <w:bookmarkStart w:id="320" w:name="_Toc120805218"/>
      <w:r w:rsidRPr="007955BB">
        <w:rPr>
          <w:rFonts w:eastAsia="Calibri" w:cs="GHEA Grapalat"/>
          <w:sz w:val="24"/>
          <w:lang w:val="af-ZA" w:eastAsia="en-US"/>
        </w:rPr>
        <w:t>Հանրային իշխանության</w:t>
      </w:r>
      <w:r w:rsidR="00442DED" w:rsidRPr="007955BB">
        <w:rPr>
          <w:rFonts w:eastAsia="Calibri" w:cs="GHEA Grapalat"/>
          <w:sz w:val="24"/>
          <w:lang w:val="af-ZA" w:eastAsia="en-US"/>
        </w:rPr>
        <w:t xml:space="preserve"> մարմինների պահպանման ծախսեր</w:t>
      </w:r>
      <w:bookmarkEnd w:id="319"/>
      <w:bookmarkEnd w:id="320"/>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 xml:space="preserve">Ոլորտը ներառում է Սահմանադրությամբ և օրենքով ստեղծված պետական մարմինների պահպանմանն ուղղված բյուջետային ծրագրերի ու միջոցառումների շրջանակը, որն ընդգրկում է պետական իշխանության մարմինների (օրենսդիր, գործադիր և դատական), Սահմանադրությամբ և օրենքով ստեղծված ինքնավար և անկախ մարմինների ընթացիկ պահպանումը և տեխնիկական միջոցներով ապահովումը: </w:t>
      </w:r>
    </w:p>
    <w:p w:rsidR="003D07C3" w:rsidRPr="003D07C3" w:rsidRDefault="003D07C3" w:rsidP="003D07C3">
      <w:pPr>
        <w:spacing w:line="276" w:lineRule="auto"/>
        <w:ind w:firstLine="720"/>
        <w:rPr>
          <w:rFonts w:eastAsia="Calibri"/>
          <w:b w:val="0"/>
          <w:szCs w:val="22"/>
          <w:lang w:val="hy-AM"/>
        </w:rPr>
      </w:pPr>
      <w:r w:rsidRPr="003D07C3">
        <w:rPr>
          <w:rFonts w:eastAsia="Calibri"/>
          <w:b w:val="0"/>
          <w:szCs w:val="22"/>
          <w:lang w:val="hy-AM"/>
        </w:rPr>
        <w:t>Պետական կառավարման համակարգի մարմինների պահպանման ծախսերի ընդհանուր գումարը ՀՀ 2023 թվականի պետական բյուջեի նախագծում ծրագրավորված է   1</w:t>
      </w:r>
      <w:r w:rsidR="003F238B" w:rsidRPr="003F238B">
        <w:rPr>
          <w:rFonts w:eastAsia="Calibri"/>
          <w:b w:val="0"/>
          <w:szCs w:val="22"/>
          <w:lang w:val="hy-AM"/>
        </w:rPr>
        <w:t>5</w:t>
      </w:r>
      <w:r w:rsidR="00DA24C6" w:rsidRPr="00DA24C6">
        <w:rPr>
          <w:rFonts w:eastAsia="Calibri"/>
          <w:b w:val="0"/>
          <w:szCs w:val="22"/>
          <w:lang w:val="hy-AM"/>
        </w:rPr>
        <w:t>1</w:t>
      </w:r>
      <w:r w:rsidRPr="003D07C3">
        <w:rPr>
          <w:rFonts w:eastAsia="Calibri"/>
          <w:b w:val="0"/>
          <w:szCs w:val="22"/>
          <w:lang w:val="hy-AM"/>
        </w:rPr>
        <w:t>,</w:t>
      </w:r>
      <w:r w:rsidR="001B35A1">
        <w:rPr>
          <w:rFonts w:eastAsia="Calibri"/>
          <w:b w:val="0"/>
          <w:szCs w:val="22"/>
          <w:lang w:val="hy-AM"/>
        </w:rPr>
        <w:t>332</w:t>
      </w:r>
      <w:r w:rsidRPr="003D07C3">
        <w:rPr>
          <w:rFonts w:eastAsia="Calibri"/>
          <w:b w:val="0"/>
          <w:szCs w:val="22"/>
          <w:lang w:val="hy-AM"/>
        </w:rPr>
        <w:t>.</w:t>
      </w:r>
      <w:r w:rsidR="001B35A1">
        <w:rPr>
          <w:rFonts w:eastAsia="Calibri"/>
          <w:b w:val="0"/>
          <w:szCs w:val="22"/>
          <w:lang w:val="hy-AM"/>
        </w:rPr>
        <w:t>5</w:t>
      </w:r>
      <w:r w:rsidRPr="003D07C3">
        <w:rPr>
          <w:rFonts w:eastAsia="Calibri"/>
          <w:b w:val="0"/>
          <w:szCs w:val="22"/>
          <w:lang w:val="hy-AM"/>
        </w:rPr>
        <w:t xml:space="preserve"> մլն դրամի չափով, որը 2021 թվականի բյուջետային տարվա փաստացի և 2022 թվականի բյուջետային տարվա համար հաստատված համապատասխան ցուցանիշների նկատմամբ կազմում է համապատասխանաբար 1</w:t>
      </w:r>
      <w:r w:rsidR="003F238B" w:rsidRPr="003E756F">
        <w:rPr>
          <w:rFonts w:eastAsia="Calibri"/>
          <w:b w:val="0"/>
          <w:szCs w:val="22"/>
          <w:lang w:val="hy-AM"/>
        </w:rPr>
        <w:t>2</w:t>
      </w:r>
      <w:r w:rsidR="00DA24C6" w:rsidRPr="00DA24C6">
        <w:rPr>
          <w:rFonts w:eastAsia="Calibri"/>
          <w:b w:val="0"/>
          <w:szCs w:val="22"/>
          <w:lang w:val="hy-AM"/>
        </w:rPr>
        <w:t>1</w:t>
      </w:r>
      <w:r w:rsidRPr="003D07C3">
        <w:rPr>
          <w:rFonts w:eastAsia="Calibri"/>
          <w:b w:val="0"/>
          <w:szCs w:val="22"/>
          <w:lang w:val="hy-AM"/>
        </w:rPr>
        <w:t>.</w:t>
      </w:r>
      <w:r w:rsidR="00DA24C6" w:rsidRPr="00DA24C6">
        <w:rPr>
          <w:rFonts w:eastAsia="Calibri"/>
          <w:b w:val="0"/>
          <w:szCs w:val="22"/>
          <w:lang w:val="hy-AM"/>
        </w:rPr>
        <w:t>1</w:t>
      </w:r>
      <w:r w:rsidRPr="003D07C3">
        <w:rPr>
          <w:rFonts w:eastAsia="Calibri"/>
          <w:b w:val="0"/>
          <w:szCs w:val="22"/>
          <w:lang w:val="hy-AM"/>
        </w:rPr>
        <w:t xml:space="preserve"> և 11</w:t>
      </w:r>
      <w:r w:rsidR="00DA24C6" w:rsidRPr="00DA24C6">
        <w:rPr>
          <w:rFonts w:eastAsia="Calibri"/>
          <w:b w:val="0"/>
          <w:szCs w:val="22"/>
          <w:lang w:val="hy-AM"/>
        </w:rPr>
        <w:t>3</w:t>
      </w:r>
      <w:r w:rsidRPr="003D07C3">
        <w:rPr>
          <w:rFonts w:eastAsia="Calibri"/>
          <w:b w:val="0"/>
          <w:szCs w:val="22"/>
          <w:lang w:val="hy-AM"/>
        </w:rPr>
        <w:t>.</w:t>
      </w:r>
      <w:r w:rsidR="00DA24C6" w:rsidRPr="00DA24C6">
        <w:rPr>
          <w:rFonts w:eastAsia="Calibri"/>
          <w:b w:val="0"/>
          <w:szCs w:val="22"/>
          <w:lang w:val="hy-AM"/>
        </w:rPr>
        <w:t>2</w:t>
      </w:r>
      <w:r w:rsidRPr="003D07C3">
        <w:rPr>
          <w:rFonts w:eastAsia="Calibri"/>
          <w:b w:val="0"/>
          <w:szCs w:val="22"/>
          <w:lang w:val="hy-AM"/>
        </w:rPr>
        <w:t xml:space="preserve"> տոկոս: Նշված ցուցանիշների համեմատությունը արտացոլված է սույն բացատրագրի N 2 աղյուսակում:</w:t>
      </w:r>
    </w:p>
    <w:p w:rsidR="003D07C3" w:rsidRPr="003D07C3" w:rsidRDefault="003D07C3" w:rsidP="003D07C3">
      <w:pPr>
        <w:spacing w:line="276" w:lineRule="auto"/>
        <w:ind w:firstLine="720"/>
        <w:rPr>
          <w:rFonts w:eastAsia="Calibri"/>
          <w:b w:val="0"/>
          <w:szCs w:val="22"/>
          <w:lang w:val="hy-AM"/>
        </w:rPr>
      </w:pPr>
      <w:r w:rsidRPr="003D07C3">
        <w:rPr>
          <w:rFonts w:eastAsia="Calibri"/>
          <w:b w:val="0"/>
          <w:szCs w:val="22"/>
          <w:lang w:val="hy-AM"/>
        </w:rPr>
        <w:t>ՀՀ 2023 թվականի պետական բյուջեի նախագծում ծրագրավորված պետական կառավարման համակարգի մարմինների պահպանման ընթացիկ ծախսերը նախատեսվել են       14</w:t>
      </w:r>
      <w:r w:rsidR="003E756F" w:rsidRPr="000D4082">
        <w:rPr>
          <w:rFonts w:eastAsia="Calibri"/>
          <w:b w:val="0"/>
          <w:szCs w:val="22"/>
          <w:lang w:val="hy-AM"/>
        </w:rPr>
        <w:t>7</w:t>
      </w:r>
      <w:r w:rsidRPr="003D07C3">
        <w:rPr>
          <w:rFonts w:eastAsia="Calibri"/>
          <w:b w:val="0"/>
          <w:szCs w:val="22"/>
          <w:lang w:val="hy-AM"/>
        </w:rPr>
        <w:t>,</w:t>
      </w:r>
      <w:r w:rsidR="003E756F" w:rsidRPr="000D4082">
        <w:rPr>
          <w:rFonts w:eastAsia="Calibri"/>
          <w:b w:val="0"/>
          <w:szCs w:val="22"/>
          <w:lang w:val="hy-AM"/>
        </w:rPr>
        <w:t>8</w:t>
      </w:r>
      <w:r w:rsidR="001B35A1">
        <w:rPr>
          <w:rFonts w:eastAsia="Calibri"/>
          <w:b w:val="0"/>
          <w:szCs w:val="22"/>
          <w:lang w:val="hy-AM"/>
        </w:rPr>
        <w:t>47</w:t>
      </w:r>
      <w:r w:rsidRPr="003D07C3">
        <w:rPr>
          <w:rFonts w:eastAsia="Calibri"/>
          <w:b w:val="0"/>
          <w:szCs w:val="22"/>
          <w:lang w:val="hy-AM"/>
        </w:rPr>
        <w:t>.</w:t>
      </w:r>
      <w:r w:rsidR="001B35A1">
        <w:rPr>
          <w:rFonts w:eastAsia="Calibri"/>
          <w:b w:val="0"/>
          <w:szCs w:val="22"/>
          <w:lang w:val="hy-AM"/>
        </w:rPr>
        <w:t>1</w:t>
      </w:r>
      <w:r w:rsidRPr="003D07C3">
        <w:rPr>
          <w:rFonts w:eastAsia="Calibri"/>
          <w:b w:val="0"/>
          <w:szCs w:val="22"/>
          <w:lang w:val="hy-AM"/>
        </w:rPr>
        <w:t xml:space="preserve"> մլն դրամի չափով, իսկ ոչ ֆինանսական (կապիտալ) ակտիվների գծով ծախսերը նախատեսվել են 3,4</w:t>
      </w:r>
      <w:r w:rsidR="003E756F" w:rsidRPr="000D4082">
        <w:rPr>
          <w:rFonts w:eastAsia="Calibri"/>
          <w:b w:val="0"/>
          <w:szCs w:val="22"/>
          <w:lang w:val="hy-AM"/>
        </w:rPr>
        <w:t>85</w:t>
      </w:r>
      <w:r w:rsidRPr="003D07C3">
        <w:rPr>
          <w:rFonts w:eastAsia="Calibri"/>
          <w:b w:val="0"/>
          <w:szCs w:val="22"/>
          <w:lang w:val="hy-AM"/>
        </w:rPr>
        <w:t>.</w:t>
      </w:r>
      <w:r w:rsidR="003E756F" w:rsidRPr="000D4082">
        <w:rPr>
          <w:rFonts w:eastAsia="Calibri"/>
          <w:b w:val="0"/>
          <w:szCs w:val="22"/>
          <w:lang w:val="hy-AM"/>
        </w:rPr>
        <w:t>4</w:t>
      </w:r>
      <w:r w:rsidRPr="003D07C3">
        <w:rPr>
          <w:rFonts w:eastAsia="Calibri"/>
          <w:b w:val="0"/>
          <w:szCs w:val="22"/>
          <w:lang w:val="hy-AM"/>
        </w:rPr>
        <w:t xml:space="preserve"> մլն դրամի չափով` առանձին պետական մարմիններում տեխնիկական կարողությունների զարգացման նպատակով:</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 xml:space="preserve">Պետական կառավարման համակարգի մարմինների պահպանման ծախսերը ծրագրավորելիս դիտարկվում է Կառավարության ծրագրով նախանշված ուղղություններին և նպատակներին դրանց համապատասխանությունը, ինչպես նաև հաշվի են առնվում պետական կառավարման համակարգի ինստիտուցիոնալ բարեփոխումները՝ համաձայն առանձին ոլորտների ռազմավարական ծրագրերի: </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 xml:space="preserve">Հանրային կառավարման համակարգի խորքային բարեփոխումների անհրաժեշտությունն ամրագրված է ՀՀ կառավարության 2021 թվականի օգոստոսի 18-ի N 1363-Ա որոշմամբ հավանության արժանացած ՀՀ կառավարության 2021-2026թթ. հնգամյա ծրագրով: Կառավարությունը 2019 թվականից ձեռնամուխ է եղել հանրային կառավարման համակարգում համընդգրկուն բարեփոխումների օրակարգ ձևավորելու ու իրագործելու գործին: Մի շարք կարևոր ռազմավարություններ ու գործողությունների ծրագրեր են ընդունվել և սկսել իրագործվել, որոնցից՝ հակակոռուպցիոն, պետական ֆինանսների կառավարման, թվայնացման, դատական և իրավական բարեփոխումների և այլն: </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Հանրային կառավարման համակարգի համալիր բարեփոխման նպատակով ՀՀ կառավարության 13.05.2022թ. N 691-Լ որոշմամբ ընդունվել է «Հանրային կառավարման բարեփոխումների ռազմավարությունը, 2022-2024 թվականների ճանապարհային քարտեզը և արդյունքային շրջանակը, ռազմավարության իրականացման հսկողությունն ու համակարգումն ապահովող անձանց ցանկը:</w:t>
      </w:r>
    </w:p>
    <w:p w:rsidR="00924667" w:rsidRPr="007955BB" w:rsidRDefault="00924667" w:rsidP="00924667">
      <w:pPr>
        <w:spacing w:line="276" w:lineRule="auto"/>
        <w:ind w:firstLine="720"/>
        <w:rPr>
          <w:rFonts w:eastAsia="Calibri"/>
          <w:b w:val="0"/>
          <w:color w:val="FF0000"/>
          <w:szCs w:val="22"/>
          <w:lang w:val="hy-AM"/>
        </w:rPr>
      </w:pPr>
      <w:r w:rsidRPr="007955BB">
        <w:rPr>
          <w:rFonts w:eastAsia="Calibri"/>
          <w:b w:val="0"/>
          <w:szCs w:val="22"/>
          <w:lang w:val="hy-AM"/>
        </w:rPr>
        <w:t xml:space="preserve">ՀՀ կառավարության 2019թ. հոկտեմբերի 3-ի «Հայաստանի Հանրապետության հակակոռուպցիոն ռազմավարությունը և դրա իրականացման 2019-2022 թվականների միջոցառումների ծրագիրը հաստատելու մասին» N 1332-Ն որոշման դրույթներին համապատասխան, 2021 թվականի մարտի 24-ին ընդունվել է  «Հակակոռուպցիոն կոմիտեի մասին» ՀՕ-147-Ն օրենքը, որից հետո ընդունվել են Հակակոռուպցիոն կոմիտեի ստեղծման և ձևավորման հետ կապված, ինչպես նաև գործունեության ոլորտը կարգավորող մի շարք իրավական ակտեր: </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 xml:space="preserve">ՀՀ կառավարության 21 հուլիսի 2022 թվականի N 1133-Լ որոշմամբ հաստատվել է ՀՀ դատական և իրավական բարեփոխումների 2022-2026 թվականների ռազմավարությունը և այդ ռազմավարությունից բխող գործողությունների ծրագիրը: Մասնավորապես, Ծրագրի 5-րդ նպաատկը նախանշված է քրեաիրավական ոլորտի բարեփոխումների ուղղությամբ: Այս բարեփոխումների ուղղությամբ սահմանված են որոշակի արդյունքներ, որոնց իրականացման նպատակով համապատասխան միջոցներ են նախատեսված ՀՀ 2023 թվականի պետական բյուջեի նախագծում: Այսպես, նախատեսվում է ապահովել և վերազինել նախաքննության մարմիններին անհրաժեշտ տեխնիկական միջոցներով, մասնավորապես համակարգչային սարքավորումներով և տեսախցիկներով (Գործողություն 1), զինել Պրոբացիայի ծառայությանն էլեկտրոնային հսկողության անհրաժեշտ միջոցներով և ենթակառուցվածքներով՝ կալանքին այլընտրանք հանդիսացող խափանման միջոցների (տնային կալանք, վարչական հսկողություն) և ազատազրկման այլընտրանք հանդիսացող պատիժների (ազատության սահմանափակում) կիրառման նպատակով (Գործողություն 2), ապահովել նախաքննություն իրականացնող մարմինների և դատախազության կադրային համալրվածությունը (Գործողություն 3): Այս բոլոր գործողությունների ուղղությամբ համապատասխան միջոցների հատկացումը նախատաեսված է ինչպես 2022 թվականի ընթացքում, այնպես էլ ՀՀ 2023 թվականի պետական բյուջեի նախագծում: </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 xml:space="preserve">ՀՀ դատական և իրավական բարեփոխումների ռազմավարության համատեքստում ՀՀ քրեական դատավարության նոր օրենսգիրքն ընդունվել է 2021 թվականի հունիսի 30-ի ՀՕ-306-Ն օրենքով և ուժի մեջ է մտել 2022 թվականի հուլիսի 1-ին: Օրենսգրքով հետաքննությունը դարձել է նախաքննությանն օժանդակող գործունեություն և նախկինում նախատեսված հետաքննության ինստիտուտը այլևս չի գործելու: </w:t>
      </w:r>
    </w:p>
    <w:p w:rsidR="00924667" w:rsidRDefault="00924667" w:rsidP="00924667">
      <w:pPr>
        <w:spacing w:line="276" w:lineRule="auto"/>
        <w:ind w:firstLine="720"/>
        <w:rPr>
          <w:rFonts w:eastAsia="Calibri"/>
          <w:b w:val="0"/>
          <w:szCs w:val="22"/>
          <w:lang w:val="hy-AM"/>
        </w:rPr>
      </w:pPr>
      <w:r w:rsidRPr="007955BB">
        <w:rPr>
          <w:rFonts w:eastAsia="Calibri"/>
          <w:b w:val="0"/>
          <w:szCs w:val="22"/>
          <w:lang w:val="hy-AM"/>
        </w:rPr>
        <w:t xml:space="preserve">Այդ կապակցությամբ, Նախաքննություն իրականացնող մարմինների (Քննչական կոմիտեի) և դատախազության կադրային համալրվածությունը ՀՀ վարչապետի 08.06.2022թ. «Հայաստանի Հանրապետության վարչապետի 2018 թվականի հունիսի 11-ի N 706-Ա և 2018 թվականի սեպտեմբերի 18-ի N 1222-Ա որոշումներում փոփոխություններ կատարելու մասին» N 653-Ա որոշմամբ կրճատվել են հետաքննություն իրականացնող մարմինների քննիչների հաստիքները (ՀՀ </w:t>
      </w:r>
      <w:r w:rsidR="00734D27">
        <w:rPr>
          <w:rFonts w:eastAsia="Calibri"/>
          <w:b w:val="0"/>
          <w:szCs w:val="22"/>
          <w:lang w:val="hy-AM"/>
        </w:rPr>
        <w:t>ԱԻՆ</w:t>
      </w:r>
      <w:r w:rsidRPr="007955BB">
        <w:rPr>
          <w:rFonts w:eastAsia="Calibri"/>
          <w:b w:val="0"/>
          <w:szCs w:val="22"/>
          <w:lang w:val="hy-AM"/>
        </w:rPr>
        <w:t xml:space="preserve">՝ 39 հաստիք, ՀՀ քրեակատարողական ծառայություն՝ 13 հաստիք, ՀՀ ոստիկանություն՝ 177 հաստիք և ՀՀ </w:t>
      </w:r>
      <w:r w:rsidR="00991194">
        <w:rPr>
          <w:rFonts w:eastAsia="Calibri"/>
          <w:b w:val="0"/>
          <w:szCs w:val="22"/>
          <w:lang w:val="hy-AM"/>
        </w:rPr>
        <w:t>ՊՆ</w:t>
      </w:r>
      <w:r w:rsidRPr="007955BB">
        <w:rPr>
          <w:rFonts w:eastAsia="Calibri"/>
          <w:b w:val="0"/>
          <w:szCs w:val="22"/>
          <w:lang w:val="hy-AM"/>
        </w:rPr>
        <w:t xml:space="preserve">` 33 հաստիք) և ավելացվել են ՀՀ քննչական կոմիտեի քննիչների թիվը՝ 210 միավորով և ՀՀ դատախազության դատախազների թիվը՝ 20-ով: </w:t>
      </w:r>
    </w:p>
    <w:p w:rsidR="003D07C3" w:rsidRPr="003D07C3" w:rsidRDefault="003D07C3" w:rsidP="003D07C3">
      <w:pPr>
        <w:spacing w:line="276" w:lineRule="auto"/>
        <w:ind w:firstLine="720"/>
        <w:rPr>
          <w:rFonts w:eastAsia="Calibri"/>
          <w:b w:val="0"/>
          <w:szCs w:val="22"/>
          <w:lang w:val="hy-AM"/>
        </w:rPr>
      </w:pPr>
      <w:r w:rsidRPr="003D07C3">
        <w:rPr>
          <w:rFonts w:eastAsia="Calibri"/>
          <w:b w:val="0"/>
          <w:szCs w:val="22"/>
          <w:lang w:val="hy-AM"/>
        </w:rPr>
        <w:t xml:space="preserve">Հայաստանի Հանրապետության քրեական դատավարության նոր օրենսգիրքն (այսուհետ՝ Օրենսգիրք) ընդունվել է 2021 թվականի հունիսի 30-ի ՀՕ-306-Ն օրենքով: Օրենքսգրքի 483-րդ հոդվածով սահմանված անցումային դրույթների 15-րդ, 16-րդ և 17-րդ մասերով սահմանվել են քննչական ենթակայության նոր կանոնները, որոնք պետական եկամուտների կոմիտեի առնչությամբ գործելու են մինչև 2023 թվականի հունվարի 1-ը: Այդ կապակցությամբ նախատեսվում է Պետական եկամուտների կոմիտեի կառուցվածքում գործող Քննչական մարմնի 55 հաստիքները </w:t>
      </w:r>
      <w:r w:rsidR="00884350" w:rsidRPr="00884350">
        <w:rPr>
          <w:rFonts w:eastAsia="Calibri"/>
          <w:b w:val="0"/>
          <w:szCs w:val="22"/>
          <w:lang w:val="hy-AM"/>
        </w:rPr>
        <w:t>2023 թվականի հունվարի 1-</w:t>
      </w:r>
      <w:r w:rsidR="00884350">
        <w:rPr>
          <w:rFonts w:eastAsia="Calibri"/>
          <w:b w:val="0"/>
          <w:szCs w:val="22"/>
          <w:lang w:val="hy-AM"/>
        </w:rPr>
        <w:t>ից</w:t>
      </w:r>
      <w:r w:rsidR="00884350" w:rsidRPr="00884350">
        <w:rPr>
          <w:rFonts w:eastAsia="Calibri"/>
          <w:b w:val="0"/>
          <w:szCs w:val="22"/>
          <w:lang w:val="hy-AM"/>
        </w:rPr>
        <w:t xml:space="preserve"> </w:t>
      </w:r>
      <w:r w:rsidRPr="003D07C3">
        <w:rPr>
          <w:rFonts w:eastAsia="Calibri"/>
          <w:b w:val="0"/>
          <w:szCs w:val="22"/>
          <w:lang w:val="hy-AM"/>
        </w:rPr>
        <w:t>տեղափոխել Քննչական կոմիտե:</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Միաժամանակ, ինչպես վերոհիշյալ ռազմավարությամբ, այնպես էլ Կառավարության ծրագրով ամրագրված է հակաոռուպցիոն համակարգի մարմինների ստեղծման անհրաժեշտությունը, մասնավորապես, կոռուպցիայի դեմ պայքարի ինստիտուցիոնալ համակարգի կայացման և շարունակական զարգացման տեսանկյունից կարևորվում է նաև հակակոռուպցիոն մասնագիտացված դատարանների ստեղծումը, որոնք պետք է օգտվեն բավարար մարդկային, վարչական և նյութական ռեսուրսներից, ինչը կհանգեցնի մասնագիտացված դատավորների կողմից գործերի առավել որակյալ, բազմակողմանի և արդյունավետ լուծմանը:</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Այս կապակցությամբ 2021 թվականին ստեղծվել է Հակակոռուպցիոն դատարանը, ինչպես նաև Քրեական և Քաղաքացիական վերաքննիչ դատարաններում ավելացվել է հակակոռուպցիոն գործեր քննող դատավորների թվակազմը, իսկ 2022 թվականին Վճռաբեկ դատարանում գործող երկու պալատների փոխարեն ձևավորվել է թվով 4 պալատ, արդ թվում՝ Հակակոռուպցիոն պալատը: Արդյունքում, դատավորների թվակազմը ավելացվել է 13 դատավորով:</w:t>
      </w:r>
    </w:p>
    <w:p w:rsidR="00900CEA" w:rsidRPr="007955BB" w:rsidRDefault="00900CEA" w:rsidP="00900CEA">
      <w:pPr>
        <w:spacing w:line="276" w:lineRule="auto"/>
        <w:ind w:firstLine="720"/>
        <w:rPr>
          <w:rFonts w:eastAsia="Calibri"/>
          <w:color w:val="FF0000"/>
          <w:szCs w:val="22"/>
          <w:lang w:val="hy-AM"/>
        </w:rPr>
      </w:pPr>
    </w:p>
    <w:p w:rsidR="00900CEA" w:rsidRPr="007955BB" w:rsidRDefault="00900CEA" w:rsidP="00F278C8">
      <w:pPr>
        <w:spacing w:line="276" w:lineRule="auto"/>
        <w:ind w:firstLine="0"/>
        <w:jc w:val="center"/>
        <w:rPr>
          <w:rFonts w:eastAsia="Calibri"/>
          <w:b w:val="0"/>
          <w:szCs w:val="22"/>
          <w:lang w:val="hy-AM"/>
        </w:rPr>
      </w:pPr>
      <w:r w:rsidRPr="007955BB">
        <w:rPr>
          <w:rFonts w:eastAsia="Calibri"/>
          <w:szCs w:val="22"/>
          <w:lang w:val="hy-AM"/>
        </w:rPr>
        <w:t>Պետական կառավարման համակարգի մարմինների պահպանման ծախսերի ծրագրավորման առանձնահատկությունները</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Պետական կառավարման համակարգի մարմինների պահպանման ծախսերը ՀՀ 2023 թվականի պե</w:t>
      </w:r>
      <w:r w:rsidRPr="007955BB">
        <w:rPr>
          <w:rFonts w:eastAsia="Calibri"/>
          <w:b w:val="0"/>
          <w:szCs w:val="22"/>
          <w:lang w:val="hy-AM"/>
        </w:rPr>
        <w:softHyphen/>
      </w:r>
      <w:r w:rsidRPr="007955BB">
        <w:rPr>
          <w:rFonts w:eastAsia="Calibri"/>
          <w:b w:val="0"/>
          <w:szCs w:val="22"/>
          <w:lang w:val="hy-AM"/>
        </w:rPr>
        <w:softHyphen/>
        <w:t>տա</w:t>
      </w:r>
      <w:r w:rsidRPr="007955BB">
        <w:rPr>
          <w:rFonts w:eastAsia="Calibri"/>
          <w:b w:val="0"/>
          <w:szCs w:val="22"/>
          <w:lang w:val="hy-AM"/>
        </w:rPr>
        <w:softHyphen/>
      </w:r>
      <w:r w:rsidRPr="007955BB">
        <w:rPr>
          <w:rFonts w:eastAsia="Calibri"/>
          <w:b w:val="0"/>
          <w:szCs w:val="22"/>
          <w:lang w:val="hy-AM"/>
        </w:rPr>
        <w:softHyphen/>
      </w:r>
      <w:r w:rsidRPr="007955BB">
        <w:rPr>
          <w:rFonts w:eastAsia="Calibri"/>
          <w:b w:val="0"/>
          <w:szCs w:val="22"/>
          <w:lang w:val="hy-AM"/>
        </w:rPr>
        <w:softHyphen/>
      </w:r>
      <w:r w:rsidRPr="007955BB">
        <w:rPr>
          <w:rFonts w:eastAsia="Calibri"/>
          <w:b w:val="0"/>
          <w:szCs w:val="22"/>
          <w:lang w:val="hy-AM"/>
        </w:rPr>
        <w:softHyphen/>
        <w:t>կան բյուջեի նախագծում գլխավորապես ծրագրավորվել են հիմք ընդունելով ՀՀ կառավա</w:t>
      </w:r>
      <w:r w:rsidRPr="007955BB">
        <w:rPr>
          <w:rFonts w:eastAsia="Calibri"/>
          <w:b w:val="0"/>
          <w:szCs w:val="22"/>
          <w:lang w:val="hy-AM"/>
        </w:rPr>
        <w:softHyphen/>
        <w:t>րու</w:t>
      </w:r>
      <w:r w:rsidRPr="007955BB">
        <w:rPr>
          <w:rFonts w:eastAsia="Calibri"/>
          <w:b w:val="0"/>
          <w:szCs w:val="22"/>
          <w:lang w:val="hy-AM"/>
        </w:rPr>
        <w:softHyphen/>
        <w:t>թյան 2022 թվականի հունիսի 30-ի N</w:t>
      </w:r>
      <w:r w:rsidRPr="007955BB">
        <w:rPr>
          <w:rFonts w:ascii="Calibri" w:eastAsia="Calibri" w:hAnsi="Calibri" w:cs="Calibri"/>
          <w:b w:val="0"/>
          <w:szCs w:val="22"/>
          <w:lang w:val="hy-AM"/>
        </w:rPr>
        <w:t> </w:t>
      </w:r>
      <w:r w:rsidRPr="007955BB">
        <w:rPr>
          <w:rFonts w:eastAsia="Calibri"/>
          <w:b w:val="0"/>
          <w:szCs w:val="22"/>
          <w:lang w:val="hy-AM"/>
        </w:rPr>
        <w:t xml:space="preserve">1010-Ն որոշմամբ հաստատված Հայաստանի Հանրապետության 2023-2025 թվականների պետական </w:t>
      </w:r>
      <w:r w:rsidR="00E77748">
        <w:rPr>
          <w:rFonts w:eastAsia="Calibri"/>
          <w:b w:val="0"/>
          <w:szCs w:val="22"/>
          <w:lang w:val="hy-AM"/>
        </w:rPr>
        <w:t>ՄԺԾԾ</w:t>
      </w:r>
      <w:r w:rsidRPr="007955BB">
        <w:rPr>
          <w:rFonts w:eastAsia="Calibri"/>
          <w:b w:val="0"/>
          <w:szCs w:val="22"/>
          <w:lang w:val="hy-AM"/>
        </w:rPr>
        <w:t xml:space="preserve"> ցուցանիշները, ինչպես նաև, ըստ անհրաժեշտության, կատարվել են փոփոխություններ՝ պայմանավորված </w:t>
      </w:r>
      <w:r w:rsidR="00E77748">
        <w:rPr>
          <w:rFonts w:eastAsia="Calibri"/>
          <w:b w:val="0"/>
          <w:szCs w:val="22"/>
          <w:lang w:val="hy-AM"/>
        </w:rPr>
        <w:t>ՄԺԾԾ</w:t>
      </w:r>
      <w:r w:rsidRPr="007955BB">
        <w:rPr>
          <w:rFonts w:eastAsia="Calibri"/>
          <w:b w:val="0"/>
          <w:szCs w:val="22"/>
          <w:lang w:val="hy-AM"/>
        </w:rPr>
        <w:t xml:space="preserve"> ընդունումից հետո պահպանման ծախսերին առնչվող օրենսդրական և իրավական ակտերում կատարված փոփոխություններով: </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 xml:space="preserve">ՀՀ 2023 թվականի պետական բյուջեի նախագծում պետական կառավարման համակարգի մարմինների պահպանման ծախսերը հաշվարկելիս հաշվի են առնվել կառուցվածքային և գործառութային կարգավորումների արդյունքում ՀՀ վարչապետի որոշմամբ հաստատված համապատասխան մարմինների աշխատողների առավելագույն թվաքանակի փոփոխությունները։ </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ՀՀ 2023 թվականի պետական բյուջեի նախագծում պետական մարմինների պահպանման ծախսերը հաշվարկվել են հիմք ընդունելով 20</w:t>
      </w:r>
      <w:r w:rsidR="00E23C79">
        <w:rPr>
          <w:rFonts w:eastAsia="Calibri"/>
          <w:b w:val="0"/>
          <w:szCs w:val="22"/>
          <w:lang w:val="hy-AM"/>
        </w:rPr>
        <w:t>544</w:t>
      </w:r>
      <w:r w:rsidRPr="007955BB">
        <w:rPr>
          <w:rFonts w:eastAsia="Calibri"/>
          <w:b w:val="0"/>
          <w:szCs w:val="22"/>
          <w:lang w:val="hy-AM"/>
        </w:rPr>
        <w:t xml:space="preserve"> հաստիքային միավորների քանակը, որը 2022 թվականի համեմատ ավելացել է</w:t>
      </w:r>
      <w:r w:rsidR="00E23C79">
        <w:rPr>
          <w:rFonts w:eastAsia="Calibri"/>
          <w:b w:val="0"/>
          <w:szCs w:val="22"/>
          <w:lang w:val="hy-AM"/>
        </w:rPr>
        <w:t xml:space="preserve"> 359</w:t>
      </w:r>
      <w:r w:rsidRPr="007955BB">
        <w:rPr>
          <w:rFonts w:eastAsia="Calibri"/>
          <w:b w:val="0"/>
          <w:szCs w:val="22"/>
          <w:lang w:val="hy-AM"/>
        </w:rPr>
        <w:t xml:space="preserve"> միավորով: Թվաքանակի փոփոխությունը հիմնականում պայմանավորված է օրենսդրական կարգավորումներով</w:t>
      </w:r>
      <w:r w:rsidR="00D7555D">
        <w:rPr>
          <w:rFonts w:eastAsia="Calibri"/>
          <w:b w:val="0"/>
          <w:szCs w:val="22"/>
          <w:lang w:val="hy-AM"/>
        </w:rPr>
        <w:t>։</w:t>
      </w:r>
      <w:r w:rsidRPr="007955BB">
        <w:rPr>
          <w:rFonts w:eastAsia="Calibri"/>
          <w:b w:val="0"/>
          <w:szCs w:val="22"/>
          <w:lang w:val="hy-AM"/>
        </w:rPr>
        <w:t xml:space="preserve"> </w:t>
      </w:r>
      <w:r w:rsidR="00D7555D" w:rsidRPr="00D7555D">
        <w:rPr>
          <w:rFonts w:eastAsia="Calibri"/>
          <w:b w:val="0"/>
          <w:szCs w:val="22"/>
          <w:lang w:val="hy-AM"/>
        </w:rPr>
        <w:t xml:space="preserve">Հայաստանի Հանրապետության քրեական դատավարության նոր օրենսգրքում առկա իրավակարգավորումների համաձայն, որն ուժի մեջ է մտել 2022 թվականի հուլիսի 1-ից, նախկին հետաքննության ինստիտուտը այլևս չի </w:t>
      </w:r>
      <w:r w:rsidR="00D7555D">
        <w:rPr>
          <w:rFonts w:eastAsia="Calibri"/>
          <w:b w:val="0"/>
          <w:szCs w:val="22"/>
          <w:lang w:val="hy-AM"/>
        </w:rPr>
        <w:t>գործելու,</w:t>
      </w:r>
      <w:r w:rsidR="00D7555D" w:rsidRPr="00D7555D">
        <w:rPr>
          <w:rFonts w:eastAsia="Calibri"/>
          <w:b w:val="0"/>
          <w:szCs w:val="22"/>
          <w:lang w:val="hy-AM"/>
        </w:rPr>
        <w:t xml:space="preserve"> և նշված փոփոխությամբ պայմանավորված մի շարք փոփոխություններ են կատարվել հանրային իշխանության առանձին մարմինների հաստիքային միավորների թվաքանակներում։ Մասնավորապես</w:t>
      </w:r>
      <w:r w:rsidR="00D7555D">
        <w:rPr>
          <w:rFonts w:ascii="Cambria Math" w:eastAsia="Calibri" w:hAnsi="Cambria Math" w:cs="Cambria Math"/>
          <w:b w:val="0"/>
          <w:szCs w:val="22"/>
          <w:lang w:val="hy-AM"/>
        </w:rPr>
        <w:t>,</w:t>
      </w:r>
      <w:r w:rsidR="00D7555D" w:rsidRPr="00D7555D">
        <w:rPr>
          <w:rFonts w:eastAsia="Calibri"/>
          <w:b w:val="0"/>
          <w:szCs w:val="22"/>
          <w:lang w:val="hy-AM"/>
        </w:rPr>
        <w:t xml:space="preserve"> ՀՀ ոստիկանության, ՀՀ քրեակատարողական ծառայության, ՀՀ պաշտպանության նախարարության հետաքննչական գործառույթներ իրականացնո</w:t>
      </w:r>
      <w:r w:rsidR="00D7555D">
        <w:rPr>
          <w:rFonts w:eastAsia="Calibri"/>
          <w:b w:val="0"/>
          <w:szCs w:val="22"/>
          <w:lang w:val="hy-AM"/>
        </w:rPr>
        <w:t>ղ</w:t>
      </w:r>
      <w:r w:rsidR="00D7555D" w:rsidRPr="00D7555D">
        <w:rPr>
          <w:rFonts w:eastAsia="Calibri"/>
          <w:b w:val="0"/>
          <w:szCs w:val="22"/>
          <w:lang w:val="hy-AM"/>
        </w:rPr>
        <w:t xml:space="preserve"> հաստիքների կրճատման հաշվին ավելացվել են ՀՀ քննչական կոմիտեի և ՀՀ դատախազության հաստիքային միավորների թվաքանակը։ Այսպիսով, նշված հաստիքային միավորների</w:t>
      </w:r>
      <w:r w:rsidR="00D7555D">
        <w:rPr>
          <w:rFonts w:eastAsia="Calibri"/>
          <w:b w:val="0"/>
          <w:szCs w:val="22"/>
          <w:lang w:val="hy-AM"/>
        </w:rPr>
        <w:t xml:space="preserve"> ավելացումը </w:t>
      </w:r>
      <w:r w:rsidR="00BE1516">
        <w:rPr>
          <w:rFonts w:eastAsia="Calibri"/>
          <w:b w:val="0"/>
          <w:szCs w:val="22"/>
          <w:lang w:val="hy-AM"/>
        </w:rPr>
        <w:t>հետևանք</w:t>
      </w:r>
      <w:r w:rsidR="00D7555D">
        <w:rPr>
          <w:rFonts w:eastAsia="Calibri"/>
          <w:b w:val="0"/>
          <w:szCs w:val="22"/>
          <w:lang w:val="hy-AM"/>
        </w:rPr>
        <w:t xml:space="preserve"> է</w:t>
      </w:r>
      <w:r w:rsidR="00D7555D" w:rsidRPr="00D7555D">
        <w:rPr>
          <w:rFonts w:eastAsia="Calibri"/>
          <w:b w:val="0"/>
          <w:szCs w:val="22"/>
          <w:lang w:val="hy-AM"/>
        </w:rPr>
        <w:t xml:space="preserve"> օրենսդրական </w:t>
      </w:r>
      <w:r w:rsidR="00BE1516">
        <w:rPr>
          <w:rFonts w:eastAsia="Calibri"/>
          <w:b w:val="0"/>
          <w:szCs w:val="22"/>
          <w:lang w:val="hy-AM"/>
        </w:rPr>
        <w:t>փոփոխությունների արդյունքում</w:t>
      </w:r>
      <w:r w:rsidR="00D7555D" w:rsidRPr="00D7555D">
        <w:rPr>
          <w:rFonts w:eastAsia="Calibri"/>
          <w:b w:val="0"/>
          <w:szCs w:val="22"/>
          <w:lang w:val="hy-AM"/>
        </w:rPr>
        <w:t xml:space="preserve"> ուժային մարմինների</w:t>
      </w:r>
      <w:r w:rsidR="00BE1516">
        <w:rPr>
          <w:rFonts w:eastAsia="Calibri"/>
          <w:b w:val="0"/>
          <w:szCs w:val="22"/>
          <w:lang w:val="hy-AM"/>
        </w:rPr>
        <w:t>՝ նախաքննության գործառույթներ իրականացնող</w:t>
      </w:r>
      <w:r w:rsidR="00D7555D" w:rsidRPr="00D7555D">
        <w:rPr>
          <w:rFonts w:eastAsia="Calibri"/>
          <w:b w:val="0"/>
          <w:szCs w:val="22"/>
          <w:lang w:val="hy-AM"/>
        </w:rPr>
        <w:t xml:space="preserve"> հաստիքային </w:t>
      </w:r>
      <w:r w:rsidR="00BE1516">
        <w:rPr>
          <w:rFonts w:eastAsia="Calibri"/>
          <w:b w:val="0"/>
          <w:szCs w:val="22"/>
          <w:lang w:val="hy-AM"/>
        </w:rPr>
        <w:t>միավորները</w:t>
      </w:r>
      <w:r w:rsidR="00D7555D">
        <w:rPr>
          <w:rFonts w:eastAsia="Calibri"/>
          <w:b w:val="0"/>
          <w:szCs w:val="22"/>
          <w:lang w:val="hy-AM"/>
        </w:rPr>
        <w:t xml:space="preserve"> </w:t>
      </w:r>
      <w:r w:rsidR="00D7555D" w:rsidRPr="00D7555D">
        <w:rPr>
          <w:rFonts w:eastAsia="Calibri"/>
          <w:b w:val="0"/>
          <w:szCs w:val="22"/>
          <w:lang w:val="hy-AM"/>
        </w:rPr>
        <w:t xml:space="preserve">ՀՀ քննչական կոմիտե և ՀՀ </w:t>
      </w:r>
      <w:r w:rsidR="00D7555D">
        <w:rPr>
          <w:rFonts w:eastAsia="Calibri"/>
          <w:b w:val="0"/>
          <w:szCs w:val="22"/>
          <w:lang w:val="hy-AM"/>
        </w:rPr>
        <w:t xml:space="preserve">դատախազություն </w:t>
      </w:r>
      <w:r w:rsidR="00D7555D" w:rsidRPr="00D7555D">
        <w:rPr>
          <w:rFonts w:eastAsia="Calibri"/>
          <w:b w:val="0"/>
          <w:szCs w:val="22"/>
          <w:lang w:val="hy-AM"/>
        </w:rPr>
        <w:t>տեղափոխ</w:t>
      </w:r>
      <w:r w:rsidR="00BE1516">
        <w:rPr>
          <w:rFonts w:eastAsia="Calibri"/>
          <w:b w:val="0"/>
          <w:szCs w:val="22"/>
          <w:lang w:val="hy-AM"/>
        </w:rPr>
        <w:t>ելու</w:t>
      </w:r>
      <w:r w:rsidR="00D7555D">
        <w:rPr>
          <w:rFonts w:eastAsia="Calibri"/>
          <w:b w:val="0"/>
          <w:szCs w:val="22"/>
          <w:lang w:val="hy-AM"/>
        </w:rPr>
        <w:t>։</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ՀՀ պետական մարմինների աշխատողների թվաքանակի փոփոխությունը արտացոլված է սույն բացատրագրի N 2ա աղյուսակում:</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Ծախսերի ծրագրավորման սկզբունքները ըստ առանձին ծախսային ուղղու</w:t>
      </w:r>
      <w:r w:rsidRPr="007955BB">
        <w:rPr>
          <w:rFonts w:eastAsia="Calibri"/>
          <w:b w:val="0"/>
          <w:szCs w:val="22"/>
          <w:lang w:val="hy-AM"/>
        </w:rPr>
        <w:softHyphen/>
        <w:t>թյունների.</w:t>
      </w:r>
    </w:p>
    <w:p w:rsidR="00924667" w:rsidRPr="007955BB" w:rsidRDefault="00924667" w:rsidP="00924667">
      <w:pPr>
        <w:spacing w:line="276" w:lineRule="auto"/>
        <w:ind w:firstLine="720"/>
        <w:rPr>
          <w:rFonts w:eastAsia="Calibri"/>
          <w:szCs w:val="22"/>
          <w:lang w:val="hy-AM"/>
        </w:rPr>
      </w:pPr>
      <w:r w:rsidRPr="007955BB">
        <w:rPr>
          <w:rFonts w:eastAsia="Calibri"/>
          <w:szCs w:val="22"/>
          <w:lang w:val="hy-AM"/>
        </w:rPr>
        <w:t>Աշխատավարձի ֆոնդ</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Պետական կառավարման համակարգի մարմինների պահպանման ծախսերում աշխա</w:t>
      </w:r>
      <w:r w:rsidRPr="007955BB">
        <w:rPr>
          <w:rFonts w:eastAsia="Calibri"/>
          <w:b w:val="0"/>
          <w:szCs w:val="22"/>
          <w:lang w:val="hy-AM"/>
        </w:rPr>
        <w:softHyphen/>
        <w:t>տավարձի ֆոնդում ներառվում են ինչպես աշխատողներին վճարվող հիմնական աշխատավարձերը, հավելումներն ու հավելավճարները, այնպես էլ պարգևատրման և դրամական խրախուսման համար օրենսդրությամբ նախատեսված միջոցները: Աշխատավարձի ֆոնդը հաշվարկվել է «Պետական պաշտոններ և պետական ծառայության պաշտոններ զբաղեցնող անձանց վարձատրության մասին» ՀՀ օրենքի դրույթներին և ՀՀ կառավարության 2014 թվականի հուլիսի 3-ի «Պետական իշխանության մարմիններում քաղաքա</w:t>
      </w:r>
      <w:r w:rsidRPr="007955BB">
        <w:rPr>
          <w:rFonts w:eastAsia="Calibri"/>
          <w:b w:val="0"/>
          <w:szCs w:val="22"/>
          <w:lang w:val="hy-AM"/>
        </w:rPr>
        <w:softHyphen/>
        <w:t>ցիական աշխատանք կատարող և տեխնիկական սպասարկում իրականացնող անձանց պաշտո</w:t>
      </w:r>
      <w:r w:rsidRPr="007955BB">
        <w:rPr>
          <w:rFonts w:eastAsia="Calibri"/>
          <w:b w:val="0"/>
          <w:szCs w:val="22"/>
          <w:lang w:val="hy-AM"/>
        </w:rPr>
        <w:softHyphen/>
      </w:r>
      <w:r w:rsidRPr="007955BB">
        <w:rPr>
          <w:rFonts w:eastAsia="Calibri"/>
          <w:b w:val="0"/>
          <w:szCs w:val="22"/>
          <w:lang w:val="hy-AM"/>
        </w:rPr>
        <w:softHyphen/>
        <w:t>նային դրույքաչափերը սահմանելու մասին» N 737-Ն որոշման պահանջներին համապատասխան։</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Աշխատավարձի ֆոնդը ծրագրավորվել է հաշ</w:t>
      </w:r>
      <w:r w:rsidRPr="007955BB">
        <w:rPr>
          <w:rFonts w:eastAsia="Calibri"/>
          <w:b w:val="0"/>
          <w:szCs w:val="22"/>
          <w:lang w:val="hy-AM"/>
        </w:rPr>
        <w:softHyphen/>
        <w:t>վի առ</w:t>
      </w:r>
      <w:r w:rsidRPr="007955BB">
        <w:rPr>
          <w:rFonts w:eastAsia="Calibri"/>
          <w:b w:val="0"/>
          <w:szCs w:val="22"/>
          <w:lang w:val="hy-AM"/>
        </w:rPr>
        <w:softHyphen/>
        <w:t>նե</w:t>
      </w:r>
      <w:r w:rsidRPr="007955BB">
        <w:rPr>
          <w:rFonts w:eastAsia="Calibri"/>
          <w:b w:val="0"/>
          <w:szCs w:val="22"/>
          <w:lang w:val="hy-AM"/>
        </w:rPr>
        <w:softHyphen/>
        <w:t>լով՝ պետական պաշտոն զբաղեցնող անձանց պաշտոնային դրույքաչափերի նկատմամբ գործող օրենսդրությամբ նախա</w:t>
      </w:r>
      <w:r w:rsidRPr="007955BB">
        <w:rPr>
          <w:rFonts w:eastAsia="Calibri"/>
          <w:b w:val="0"/>
          <w:szCs w:val="22"/>
          <w:lang w:val="hy-AM"/>
        </w:rPr>
        <w:softHyphen/>
        <w:t>տեսված հավելավճարները (դասային, դիվանագիտական աստիճանների, կոչման, աշխատանքային ստա</w:t>
      </w:r>
      <w:r w:rsidRPr="007955BB">
        <w:rPr>
          <w:rFonts w:eastAsia="Calibri"/>
          <w:b w:val="0"/>
          <w:szCs w:val="22"/>
          <w:lang w:val="hy-AM"/>
        </w:rPr>
        <w:softHyphen/>
        <w:t xml:space="preserve">ժի և այլն), հավելումները (բարձր լեռնային, ծանր, վնասակար աշխատանքների համար և այլն) և պետական ծառայողների հիմնական աշխատավարձի բնականոն աճերը, ինչպես նաև ՀՀ օրենսդրությամբ սահմանված նվազագույն աշխատավարձի չափը չգերազանցող աշխատավարձ ստացողների համար՝ «Հայաստանի Հանրապետության պաշտպանության ժամանակ զինծառայողների կյանքին կամ առողջությանը պատճառված վնասների հատուցման մասին» ՀՀ օրենքով սահմանված դրոշմանիշային վճարի գումարը </w:t>
      </w:r>
      <w:bookmarkStart w:id="321" w:name="_Hlk51424056"/>
      <w:r w:rsidRPr="007955BB">
        <w:rPr>
          <w:rFonts w:eastAsia="Calibri"/>
          <w:b w:val="0"/>
          <w:szCs w:val="22"/>
          <w:lang w:val="hy-AM"/>
        </w:rPr>
        <w:t>և «Նվազագույն ամսական աշխատավարձի մասին» ՀՀ</w:t>
      </w:r>
      <w:bookmarkEnd w:id="321"/>
      <w:r w:rsidRPr="007955BB">
        <w:rPr>
          <w:rFonts w:eastAsia="Calibri"/>
          <w:b w:val="0"/>
          <w:szCs w:val="22"/>
          <w:lang w:val="hy-AM"/>
        </w:rPr>
        <w:t xml:space="preserve"> օրենքի պահանջները:</w:t>
      </w:r>
    </w:p>
    <w:p w:rsidR="00CE2A87" w:rsidRPr="00CE2A87" w:rsidRDefault="00CE2A87" w:rsidP="00CE2A87">
      <w:pPr>
        <w:spacing w:line="276" w:lineRule="auto"/>
        <w:ind w:firstLine="720"/>
        <w:rPr>
          <w:rFonts w:eastAsia="Calibri"/>
          <w:b w:val="0"/>
          <w:szCs w:val="22"/>
          <w:lang w:val="hy-AM"/>
        </w:rPr>
      </w:pPr>
      <w:r w:rsidRPr="00CE2A87">
        <w:rPr>
          <w:rFonts w:eastAsia="Calibri"/>
          <w:b w:val="0"/>
          <w:szCs w:val="22"/>
          <w:lang w:val="hy-AM"/>
        </w:rPr>
        <w:t>ՀՀ 2023 թվականի պետական բյուջեի նախագծով նախատեսվում է բարձրացնել օրենքով սահմանված բազային աշխատավարձի չափը, միաժամանակ ապահովելով ընդամենը աշխատանքի վարձատրության գծով նախատեսվող ծախսերի աճ՝ միջինը շուրջ 10%-ի չափով:</w:t>
      </w:r>
    </w:p>
    <w:p w:rsidR="00CE2A87" w:rsidRPr="00CE2A87" w:rsidRDefault="00CE2A87" w:rsidP="00CE2A87">
      <w:pPr>
        <w:spacing w:line="276" w:lineRule="auto"/>
        <w:ind w:firstLine="720"/>
        <w:rPr>
          <w:rFonts w:eastAsia="Calibri"/>
          <w:b w:val="0"/>
          <w:szCs w:val="22"/>
          <w:lang w:val="hy-AM"/>
        </w:rPr>
      </w:pPr>
      <w:r w:rsidRPr="00CE2A87">
        <w:rPr>
          <w:rFonts w:eastAsia="Calibri"/>
          <w:b w:val="0"/>
          <w:szCs w:val="22"/>
          <w:lang w:val="hy-AM"/>
        </w:rPr>
        <w:t>2023 թվականի համար աշխատավարձի ֆոնդի հաշվարկման հիմքում բազային աշխա</w:t>
      </w:r>
      <w:r w:rsidRPr="00CE2A87">
        <w:rPr>
          <w:rFonts w:eastAsia="Calibri"/>
          <w:b w:val="0"/>
          <w:szCs w:val="22"/>
          <w:lang w:val="hy-AM"/>
        </w:rPr>
        <w:softHyphen/>
        <w:t>տավարձի չափ է ընդունվել 83,200.0 դրամը:</w:t>
      </w:r>
    </w:p>
    <w:p w:rsidR="00CE2A87" w:rsidRPr="00CE2A87" w:rsidRDefault="00CE2A87" w:rsidP="00CE2A87">
      <w:pPr>
        <w:spacing w:line="276" w:lineRule="auto"/>
        <w:ind w:firstLine="720"/>
        <w:rPr>
          <w:rFonts w:eastAsia="Calibri"/>
          <w:b w:val="0"/>
          <w:szCs w:val="22"/>
          <w:lang w:val="hy-AM"/>
        </w:rPr>
      </w:pPr>
      <w:r w:rsidRPr="00CE2A87">
        <w:rPr>
          <w:rFonts w:eastAsia="Calibri"/>
          <w:b w:val="0"/>
          <w:szCs w:val="22"/>
          <w:lang w:val="hy-AM"/>
        </w:rPr>
        <w:t xml:space="preserve">Աշխատավարձի բարձրացումն իրականացվել է պարգևատրման գումարի մասնակի նվազեցման հաշվին: Ընդհանուր առմամբ փոփոխվել է պարգևատրման ֆոնդի հաշվարկման մեխանիզմը: Բոլոր մարմինների համար կիրառվել է պարգևատրման ֆոնդի (ներառյալ հանրային ծառայողների պարգևատրման ֆոնդը) հաշվարկման 16% դրույքաչափ՝ ներկայիս 30%-ի փոխարեն: Բացի այդ, ի տարբերություն գործող հաշվարկի, երբ պարգևատրման ֆոնդը հաշվարկվում է աշխատավարձի տարեկան ֆոնդի նկատմամբ, </w:t>
      </w:r>
      <w:r w:rsidR="0038123A" w:rsidRPr="0038123A">
        <w:rPr>
          <w:rFonts w:eastAsia="Calibri"/>
          <w:b w:val="0"/>
          <w:szCs w:val="22"/>
          <w:lang w:val="hy-AM"/>
        </w:rPr>
        <w:t xml:space="preserve">2023 թվականի համար </w:t>
      </w:r>
      <w:r w:rsidRPr="00CE2A87">
        <w:rPr>
          <w:rFonts w:eastAsia="Calibri"/>
          <w:b w:val="0"/>
          <w:szCs w:val="22"/>
          <w:lang w:val="hy-AM"/>
        </w:rPr>
        <w:t>պարգևատրման ֆոնդը (ներառյալ հանրային ծառայողների պարգևատրման ֆոնդը) հաշվարկ</w:t>
      </w:r>
      <w:r w:rsidR="0038123A" w:rsidRPr="0038123A">
        <w:rPr>
          <w:rFonts w:eastAsia="Calibri"/>
          <w:b w:val="0"/>
          <w:szCs w:val="22"/>
          <w:lang w:val="hy-AM"/>
        </w:rPr>
        <w:t>վ</w:t>
      </w:r>
      <w:r w:rsidRPr="00CE2A87">
        <w:rPr>
          <w:rFonts w:eastAsia="Calibri"/>
          <w:b w:val="0"/>
          <w:szCs w:val="22"/>
          <w:lang w:val="hy-AM"/>
        </w:rPr>
        <w:t xml:space="preserve">ել </w:t>
      </w:r>
      <w:r w:rsidR="0038123A" w:rsidRPr="0038123A">
        <w:rPr>
          <w:rFonts w:eastAsia="Calibri"/>
          <w:b w:val="0"/>
          <w:szCs w:val="22"/>
          <w:lang w:val="hy-AM"/>
        </w:rPr>
        <w:t xml:space="preserve">է </w:t>
      </w:r>
      <w:r w:rsidRPr="00CE2A87">
        <w:rPr>
          <w:rFonts w:eastAsia="Calibri"/>
          <w:b w:val="0"/>
          <w:szCs w:val="22"/>
          <w:lang w:val="hy-AM"/>
        </w:rPr>
        <w:t>միայն հիմնական աշխատավարձի նկատմամբ (առանց հավելումների և հավելավճարների)՝ դրա 16%-ի չափով:</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 xml:space="preserve">Աշխատավարձի ֆոնդում նախատեսվել է նաև հանրային ծառայողների պարգևատրման ֆոնդ` նրանց 2022 թվականի տարեկան աշխատավարձի ֆոնդի 10 տոկոսի չափով: </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Բացի այդ, հաշվարկվել է նաև ավելացված հաստիքների վարձատրության ծախսերը:</w:t>
      </w:r>
    </w:p>
    <w:p w:rsidR="00924667" w:rsidRPr="007955BB" w:rsidRDefault="00924667" w:rsidP="00924667">
      <w:pPr>
        <w:spacing w:line="276" w:lineRule="auto"/>
        <w:ind w:firstLine="720"/>
        <w:rPr>
          <w:rFonts w:eastAsia="Calibri"/>
          <w:b w:val="0"/>
          <w:szCs w:val="22"/>
          <w:lang w:val="hy-AM"/>
        </w:rPr>
      </w:pPr>
      <w:r w:rsidRPr="007955BB">
        <w:rPr>
          <w:rFonts w:eastAsia="Calibri"/>
          <w:szCs w:val="22"/>
          <w:lang w:val="hy-AM"/>
        </w:rPr>
        <w:t>Էներգետիկ ծառայությունների</w:t>
      </w:r>
      <w:r w:rsidRPr="007955BB">
        <w:rPr>
          <w:rFonts w:eastAsia="Calibri"/>
          <w:b w:val="0"/>
          <w:szCs w:val="22"/>
          <w:lang w:val="hy-AM"/>
        </w:rPr>
        <w:t>` էլեկտրաէներգիայի, վառելիքի և ջեռուցման ծախսերը ծրագրավորվել են ՀՀ կառա</w:t>
      </w:r>
      <w:r w:rsidRPr="007955BB">
        <w:rPr>
          <w:rFonts w:eastAsia="Calibri"/>
          <w:b w:val="0"/>
          <w:szCs w:val="22"/>
          <w:lang w:val="hy-AM"/>
        </w:rPr>
        <w:softHyphen/>
        <w:t>վարության 2005 թվականի ապրիլի 28-ի «Հայաստանի Հանրա</w:t>
      </w:r>
      <w:r w:rsidRPr="007955BB">
        <w:rPr>
          <w:rFonts w:eastAsia="Calibri"/>
          <w:b w:val="0"/>
          <w:szCs w:val="22"/>
          <w:lang w:val="hy-AM"/>
        </w:rPr>
        <w:softHyphen/>
        <w:t>պետության պետական բյուջեի նախագծում Հայաստանի Հանրապետության պետական մար</w:t>
      </w:r>
      <w:r w:rsidRPr="007955BB">
        <w:rPr>
          <w:rFonts w:eastAsia="Calibri"/>
          <w:b w:val="0"/>
          <w:szCs w:val="22"/>
          <w:lang w:val="hy-AM"/>
        </w:rPr>
        <w:softHyphen/>
        <w:t>մինների գծով բյուջե</w:t>
      </w:r>
      <w:r w:rsidRPr="007955BB">
        <w:rPr>
          <w:rFonts w:eastAsia="Calibri"/>
          <w:b w:val="0"/>
          <w:szCs w:val="22"/>
          <w:lang w:val="hy-AM"/>
        </w:rPr>
        <w:softHyphen/>
        <w:t>տային ծախ</w:t>
      </w:r>
      <w:r w:rsidRPr="007955BB">
        <w:rPr>
          <w:rFonts w:eastAsia="Calibri"/>
          <w:b w:val="0"/>
          <w:szCs w:val="22"/>
          <w:lang w:val="hy-AM"/>
        </w:rPr>
        <w:softHyphen/>
        <w:t>սե</w:t>
      </w:r>
      <w:r w:rsidRPr="007955BB">
        <w:rPr>
          <w:rFonts w:eastAsia="Calibri"/>
          <w:b w:val="0"/>
          <w:szCs w:val="22"/>
          <w:lang w:val="hy-AM"/>
        </w:rPr>
        <w:softHyphen/>
        <w:t>րի առանձին տեսակների ջեռուցման, վառելիքի և էլեկտրա</w:t>
      </w:r>
      <w:r w:rsidRPr="007955BB">
        <w:rPr>
          <w:rFonts w:eastAsia="Calibri"/>
          <w:b w:val="0"/>
          <w:szCs w:val="22"/>
          <w:lang w:val="hy-AM"/>
        </w:rPr>
        <w:softHyphen/>
        <w:t>էներգիայի ձեռք</w:t>
      </w:r>
      <w:r w:rsidRPr="007955BB">
        <w:rPr>
          <w:rFonts w:eastAsia="Calibri"/>
          <w:b w:val="0"/>
          <w:szCs w:val="22"/>
          <w:lang w:val="hy-AM"/>
        </w:rPr>
        <w:softHyphen/>
        <w:t>բերման ծա</w:t>
      </w:r>
      <w:r w:rsidRPr="007955BB">
        <w:rPr>
          <w:rFonts w:eastAsia="Calibri"/>
          <w:b w:val="0"/>
          <w:szCs w:val="22"/>
          <w:lang w:val="hy-AM"/>
        </w:rPr>
        <w:softHyphen/>
        <w:t>վալ</w:t>
      </w:r>
      <w:r w:rsidRPr="007955BB">
        <w:rPr>
          <w:rFonts w:eastAsia="Calibri"/>
          <w:b w:val="0"/>
          <w:szCs w:val="22"/>
          <w:lang w:val="hy-AM"/>
        </w:rPr>
        <w:softHyphen/>
        <w:t>ների հաշվարկման հիմքում դրվող նորմաները հաս</w:t>
      </w:r>
      <w:r w:rsidRPr="007955BB">
        <w:rPr>
          <w:rFonts w:eastAsia="Calibri"/>
          <w:b w:val="0"/>
          <w:szCs w:val="22"/>
          <w:lang w:val="hy-AM"/>
        </w:rPr>
        <w:softHyphen/>
        <w:t>տատելու մասին» N 629-Ն որոշ</w:t>
      </w:r>
      <w:r w:rsidRPr="007955BB">
        <w:rPr>
          <w:rFonts w:eastAsia="Calibri"/>
          <w:b w:val="0"/>
          <w:szCs w:val="22"/>
          <w:lang w:val="hy-AM"/>
        </w:rPr>
        <w:softHyphen/>
        <w:t>ման պա</w:t>
      </w:r>
      <w:r w:rsidRPr="007955BB">
        <w:rPr>
          <w:rFonts w:eastAsia="Calibri"/>
          <w:b w:val="0"/>
          <w:szCs w:val="22"/>
          <w:lang w:val="hy-AM"/>
        </w:rPr>
        <w:softHyphen/>
        <w:t>հանջ</w:t>
      </w:r>
      <w:r w:rsidRPr="007955BB">
        <w:rPr>
          <w:rFonts w:eastAsia="Calibri"/>
          <w:b w:val="0"/>
          <w:szCs w:val="22"/>
          <w:lang w:val="hy-AM"/>
        </w:rPr>
        <w:softHyphen/>
      </w:r>
      <w:r w:rsidRPr="007955BB">
        <w:rPr>
          <w:rFonts w:eastAsia="Calibri"/>
          <w:b w:val="0"/>
          <w:szCs w:val="22"/>
          <w:lang w:val="hy-AM"/>
        </w:rPr>
        <w:softHyphen/>
        <w:t>նե</w:t>
      </w:r>
      <w:r w:rsidRPr="007955BB">
        <w:rPr>
          <w:rFonts w:eastAsia="Calibri"/>
          <w:b w:val="0"/>
          <w:szCs w:val="22"/>
          <w:lang w:val="hy-AM"/>
        </w:rPr>
        <w:softHyphen/>
        <w:t>րին համապատասխան` հաշվի առնելով գործող սակագ</w:t>
      </w:r>
      <w:r w:rsidRPr="007955BB">
        <w:rPr>
          <w:rFonts w:eastAsia="Calibri"/>
          <w:b w:val="0"/>
          <w:szCs w:val="22"/>
          <w:lang w:val="hy-AM"/>
        </w:rPr>
        <w:softHyphen/>
        <w:t>ները։ Բնական գազի սակագինը սահ</w:t>
      </w:r>
      <w:r w:rsidRPr="007955BB">
        <w:rPr>
          <w:rFonts w:eastAsia="Calibri"/>
          <w:b w:val="0"/>
          <w:szCs w:val="22"/>
          <w:lang w:val="hy-AM"/>
        </w:rPr>
        <w:softHyphen/>
        <w:t>ման</w:t>
      </w:r>
      <w:r w:rsidRPr="007955BB">
        <w:rPr>
          <w:rFonts w:eastAsia="Calibri"/>
          <w:b w:val="0"/>
          <w:szCs w:val="22"/>
          <w:lang w:val="hy-AM"/>
        </w:rPr>
        <w:softHyphen/>
        <w:t xml:space="preserve">վել է Հանրային ծառայությունները կարգավորող հանձնաժողովի 01.03.2022թ. N 83-Ն որոշմամբ (յուրաքանչյուր հազար խորանարդ մետր բնական գազի սակագինը՝ տարեկան մինչև 600 խորանարդ մետր բնական գազի համար՝ 100000 դրամ դրամ է, իսկ 600 խորանարդ մետրը գերազանցող բնական գազի համար՝ 143700 դրամ)։ </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Հանրային ծառայությունները կարգավորող հանձնաժողովի 2021 թվականի դեկտեմբերի 29-ի N 478-Ն որոշմամբ էլեկտրաէներգիայի սակագինը սահմանվել է 53.48 դրամ՝ 47.98 դրամի փոխարեն (1-ին կետի 4-րդ ենթակետ): Էլեկտրա</w:t>
      </w:r>
      <w:r w:rsidRPr="007955BB">
        <w:rPr>
          <w:rFonts w:eastAsia="Calibri"/>
          <w:b w:val="0"/>
          <w:szCs w:val="22"/>
          <w:lang w:val="hy-AM"/>
        </w:rPr>
        <w:softHyphen/>
        <w:t>էներգիայի ծախ</w:t>
      </w:r>
      <w:r w:rsidRPr="007955BB">
        <w:rPr>
          <w:rFonts w:eastAsia="Calibri"/>
          <w:b w:val="0"/>
          <w:szCs w:val="22"/>
          <w:lang w:val="hy-AM"/>
        </w:rPr>
        <w:softHyphen/>
        <w:t>սերը ծրագրավոր</w:t>
      </w:r>
      <w:r w:rsidRPr="007955BB">
        <w:rPr>
          <w:rFonts w:eastAsia="Calibri"/>
          <w:b w:val="0"/>
          <w:szCs w:val="22"/>
          <w:lang w:val="hy-AM"/>
        </w:rPr>
        <w:softHyphen/>
        <w:t>վել են սահմանված նոր</w:t>
      </w:r>
      <w:r w:rsidRPr="007955BB">
        <w:rPr>
          <w:rFonts w:eastAsia="Calibri"/>
          <w:b w:val="0"/>
          <w:szCs w:val="22"/>
          <w:lang w:val="hy-AM"/>
        </w:rPr>
        <w:softHyphen/>
        <w:t xml:space="preserve">մաներով հաշվարկվածի 65%-ի չափով: </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Հանրային ծառայությունները կարգավորող հանձնաժողովի 2021 թվականի նոյեմբերի 30-ի N 405-Ն որոշմամբ ջրի սակագինը սահմանվել է 200.47 դրամ՝ 180.0 դրամի փոխարեն (1-ին կետի 2-րդ ենթակետ):</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Պետական մարմին</w:t>
      </w:r>
      <w:r w:rsidRPr="007955BB">
        <w:rPr>
          <w:rFonts w:eastAsia="Calibri"/>
          <w:b w:val="0"/>
          <w:szCs w:val="22"/>
          <w:lang w:val="hy-AM"/>
        </w:rPr>
        <w:softHyphen/>
        <w:t>ների կողմից խմելու ջրի մատակարարման և ջրահեռացման ծառայություն</w:t>
      </w:r>
      <w:r w:rsidRPr="007955BB">
        <w:rPr>
          <w:rFonts w:eastAsia="Calibri"/>
          <w:b w:val="0"/>
          <w:szCs w:val="22"/>
          <w:lang w:val="hy-AM"/>
        </w:rPr>
        <w:softHyphen/>
        <w:t>ներից օգտվելու վարձի վճարման ծախսերը հաշվարկվել են գործող սակագներով՝ հիմք ընդունելով յուրաքանչյուր հաստիքային միավորի համար սահման</w:t>
      </w:r>
      <w:r w:rsidRPr="007955BB">
        <w:rPr>
          <w:rFonts w:eastAsia="Calibri"/>
          <w:b w:val="0"/>
          <w:szCs w:val="22"/>
          <w:lang w:val="hy-AM"/>
        </w:rPr>
        <w:softHyphen/>
        <w:t>ված նորմատիվը` օրական 30 լիտր (հիմք ՀՀ կառավարության 23.09.2004թ. N 1536-Ն որոշում): Բացի այդ, ՀՀ դատարան</w:t>
      </w:r>
      <w:r w:rsidRPr="007955BB">
        <w:rPr>
          <w:rFonts w:eastAsia="Calibri"/>
          <w:b w:val="0"/>
          <w:szCs w:val="22"/>
          <w:lang w:val="hy-AM"/>
        </w:rPr>
        <w:softHyphen/>
        <w:t>ների համար ՀՀ կառավարության 2005 թվականի մայիսի 12-ի N 732-Ա որոշման պահանջ</w:t>
      </w:r>
      <w:r w:rsidRPr="007955BB">
        <w:rPr>
          <w:rFonts w:eastAsia="Calibri"/>
          <w:b w:val="0"/>
          <w:szCs w:val="22"/>
          <w:lang w:val="hy-AM"/>
        </w:rPr>
        <w:softHyphen/>
        <w:t>ներին համապատասխան նախատեսվել է նաև լրացուցիչ ծախս` ելնելով դատական նիստերի դահլիճների ընդհանուր մակերեսի մեծու</w:t>
      </w:r>
      <w:r w:rsidRPr="007955BB">
        <w:rPr>
          <w:rFonts w:eastAsia="Calibri"/>
          <w:b w:val="0"/>
          <w:szCs w:val="22"/>
          <w:lang w:val="hy-AM"/>
        </w:rPr>
        <w:softHyphen/>
        <w:t xml:space="preserve">թյունից: </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Կապի ծառայությունների վճարները հաշվարկվել են ՀՀ կառավարութ</w:t>
      </w:r>
      <w:r w:rsidRPr="007955BB">
        <w:rPr>
          <w:rFonts w:eastAsia="Calibri"/>
          <w:b w:val="0"/>
          <w:szCs w:val="22"/>
          <w:lang w:val="hy-AM"/>
        </w:rPr>
        <w:softHyphen/>
        <w:t>յան 2004 թվա</w:t>
      </w:r>
      <w:r w:rsidRPr="007955BB">
        <w:rPr>
          <w:rFonts w:eastAsia="Calibri"/>
          <w:b w:val="0"/>
          <w:szCs w:val="22"/>
          <w:lang w:val="hy-AM"/>
        </w:rPr>
        <w:softHyphen/>
      </w:r>
      <w:r w:rsidRPr="007955BB">
        <w:rPr>
          <w:rFonts w:eastAsia="Calibri"/>
          <w:b w:val="0"/>
          <w:szCs w:val="22"/>
          <w:lang w:val="hy-AM"/>
        </w:rPr>
        <w:softHyphen/>
        <w:t>կանի սեպտեմբերի 23-ի «Հայաստանի Հանրապետության պետական մարմինների կա</w:t>
      </w:r>
      <w:r w:rsidRPr="007955BB">
        <w:rPr>
          <w:rFonts w:eastAsia="Calibri"/>
          <w:b w:val="0"/>
          <w:szCs w:val="22"/>
          <w:lang w:val="hy-AM"/>
        </w:rPr>
        <w:softHyphen/>
        <w:t>պի և կոմունալ ծախսերի նորմաներ սահմանելու մասին» N 1536-Ն և ՀՀ կառավարության 2004 թվա</w:t>
      </w:r>
      <w:r w:rsidRPr="007955BB">
        <w:rPr>
          <w:rFonts w:eastAsia="Calibri"/>
          <w:b w:val="0"/>
          <w:szCs w:val="22"/>
          <w:lang w:val="hy-AM"/>
        </w:rPr>
        <w:softHyphen/>
        <w:t>կանի դեկտեմբերի 30-ի «Հայաստանի Հանրապետության պետական մարմիններում կա</w:t>
      </w:r>
      <w:r w:rsidRPr="007955BB">
        <w:rPr>
          <w:rFonts w:eastAsia="Calibri"/>
          <w:b w:val="0"/>
          <w:szCs w:val="22"/>
          <w:lang w:val="hy-AM"/>
        </w:rPr>
        <w:softHyphen/>
        <w:t>պի ծառա</w:t>
      </w:r>
      <w:r w:rsidRPr="007955BB">
        <w:rPr>
          <w:rFonts w:eastAsia="Calibri"/>
          <w:b w:val="0"/>
          <w:szCs w:val="22"/>
          <w:lang w:val="hy-AM"/>
        </w:rPr>
        <w:softHyphen/>
        <w:t>յությունների նորմաները և հեռախոսակապից օգտվելու օրինակելի ներքին կա</w:t>
      </w:r>
      <w:r w:rsidRPr="007955BB">
        <w:rPr>
          <w:rFonts w:eastAsia="Calibri"/>
          <w:b w:val="0"/>
          <w:szCs w:val="22"/>
          <w:lang w:val="hy-AM"/>
        </w:rPr>
        <w:softHyphen/>
        <w:t>նոն</w:t>
      </w:r>
      <w:r w:rsidRPr="007955BB">
        <w:rPr>
          <w:rFonts w:eastAsia="Calibri"/>
          <w:b w:val="0"/>
          <w:szCs w:val="22"/>
          <w:lang w:val="hy-AM"/>
        </w:rPr>
        <w:softHyphen/>
        <w:t>ները հաստատելու մասին» N 1956-Ն որոշումների պահանջներին համապատասխան: 2023 թվականի համար հեռա</w:t>
      </w:r>
      <w:r w:rsidRPr="007955BB">
        <w:rPr>
          <w:rFonts w:eastAsia="Calibri"/>
          <w:b w:val="0"/>
          <w:szCs w:val="22"/>
          <w:lang w:val="hy-AM"/>
        </w:rPr>
        <w:softHyphen/>
      </w:r>
      <w:r w:rsidRPr="007955BB">
        <w:rPr>
          <w:rFonts w:eastAsia="Calibri"/>
          <w:b w:val="0"/>
          <w:szCs w:val="22"/>
          <w:lang w:val="hy-AM"/>
        </w:rPr>
        <w:softHyphen/>
        <w:t>խո</w:t>
      </w:r>
      <w:r w:rsidRPr="007955BB">
        <w:rPr>
          <w:rFonts w:eastAsia="Calibri"/>
          <w:b w:val="0"/>
          <w:szCs w:val="22"/>
          <w:lang w:val="hy-AM"/>
        </w:rPr>
        <w:softHyphen/>
        <w:t>սային խոսակցությունների տարեկան սահմանաչափը ծրագրավորվել է սահման</w:t>
      </w:r>
      <w:r w:rsidRPr="007955BB">
        <w:rPr>
          <w:rFonts w:eastAsia="Calibri"/>
          <w:b w:val="0"/>
          <w:szCs w:val="22"/>
          <w:lang w:val="hy-AM"/>
        </w:rPr>
        <w:softHyphen/>
        <w:t>ված նոր</w:t>
      </w:r>
      <w:r w:rsidRPr="007955BB">
        <w:rPr>
          <w:rFonts w:eastAsia="Calibri"/>
          <w:b w:val="0"/>
          <w:szCs w:val="22"/>
          <w:lang w:val="hy-AM"/>
        </w:rPr>
        <w:softHyphen/>
        <w:t xml:space="preserve">մայի 30%-ի չափով: </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 xml:space="preserve">ՀՀ վարչապետի հանձնարարականի համաձայն նախաձեռնվել է գործող որոշումներով սահմանված հեռախոսային կապի նորմաները վերանայելու գործընթաց, որի շրջանակներում նախատեսվում է հանել փոստային կապի համար սահմանված սահմանափակումը՝ հաշվի առնելով, որ նշված ծախսի գծով պետական մարմինների կողմից իրականացվող փաստացի ծախսը մեծամասամբ գերազանցում է նշված սահմանաչափը, պայմանավորված առանձին մարմինների կողմից օրենքով սահմանված կարգով պաշտոնական ծանուցումներ իրականացնելու և այլ կանոնադրական գործառույթներ իրականացնելու անհրաժեշտությամբ: Միաժամանակ, կապի ծախսերը հաշվարկելիս հաշվի է առնվել փոստային կապի ծառայությունների սակագնի բարձրացումը` համաձայն Հանրային ծառայությունները կարգավորող հանձնաժողովի 2022թ. ապրիլի 27-ի N 165-Ն որոշման, որով սահմանվել են «Հայփոստ» </w:t>
      </w:r>
      <w:r w:rsidR="00D26A9D">
        <w:rPr>
          <w:rFonts w:eastAsia="Calibri"/>
          <w:b w:val="0"/>
          <w:szCs w:val="22"/>
          <w:lang w:val="hy-AM"/>
        </w:rPr>
        <w:t>ՓԲԸ</w:t>
      </w:r>
      <w:r w:rsidRPr="007955BB">
        <w:rPr>
          <w:rFonts w:eastAsia="Calibri"/>
          <w:b w:val="0"/>
          <w:szCs w:val="22"/>
          <w:lang w:val="hy-AM"/>
        </w:rPr>
        <w:t xml:space="preserve"> կողմից ՀՀ ամբողջ տարածքում մատուցվող փոստային կապի ունիվերսալ ծառայությունների սակագները: </w:t>
      </w:r>
    </w:p>
    <w:p w:rsidR="00924667" w:rsidRPr="007955BB" w:rsidRDefault="00924667" w:rsidP="00924667">
      <w:pPr>
        <w:spacing w:line="276" w:lineRule="auto"/>
        <w:ind w:firstLine="720"/>
        <w:rPr>
          <w:rFonts w:eastAsia="Calibri"/>
          <w:b w:val="0"/>
          <w:color w:val="FF0000"/>
          <w:szCs w:val="22"/>
          <w:lang w:val="hy-AM"/>
        </w:rPr>
      </w:pPr>
      <w:r w:rsidRPr="007955BB">
        <w:rPr>
          <w:rFonts w:eastAsia="Calibri"/>
          <w:b w:val="0"/>
          <w:szCs w:val="22"/>
          <w:lang w:val="hy-AM"/>
        </w:rPr>
        <w:t>Ծառայողական գործուղումների գծով ծախսերը նախատեսվում են որոշակի գործառույթների իրականացումն ապահովելու նպատակով, իսկ ծախսերի հատուցումն իրականացվում է ՀՀ կառավարության 2005 թվականի դեկտեմբերի 29-ի N 2335-Ն որոշմամբ սահ</w:t>
      </w:r>
      <w:r w:rsidRPr="007955BB">
        <w:rPr>
          <w:rFonts w:eastAsia="Calibri"/>
          <w:b w:val="0"/>
          <w:szCs w:val="22"/>
          <w:lang w:val="hy-AM"/>
        </w:rPr>
        <w:softHyphen/>
        <w:t>ման</w:t>
      </w:r>
      <w:r w:rsidRPr="007955BB">
        <w:rPr>
          <w:rFonts w:eastAsia="Calibri"/>
          <w:b w:val="0"/>
          <w:szCs w:val="22"/>
          <w:lang w:val="hy-AM"/>
        </w:rPr>
        <w:softHyphen/>
        <w:t>ված նորմաներով: Ներքին գործուղման ծախսերը վերահաշվարկվել են հաշվի առնելով 2022 թվականի ապրիլի 7-ի N</w:t>
      </w:r>
      <w:r w:rsidRPr="007955BB">
        <w:rPr>
          <w:rFonts w:ascii="Courier New" w:eastAsia="Calibri" w:hAnsi="Courier New" w:cs="Courier New"/>
          <w:b w:val="0"/>
          <w:szCs w:val="22"/>
          <w:lang w:val="hy-AM"/>
        </w:rPr>
        <w:t> </w:t>
      </w:r>
      <w:r w:rsidRPr="007955BB">
        <w:rPr>
          <w:rFonts w:eastAsia="Calibri"/>
          <w:b w:val="0"/>
          <w:szCs w:val="22"/>
          <w:lang w:val="hy-AM"/>
        </w:rPr>
        <w:t>439-Ն որոշմամբ կատարված փոփոխությունը, օրապահիկը սահմանվել է 5.0 հազար դրամ՝ նախկին 3.0 հազար դրամի փոխարեն</w:t>
      </w:r>
      <w:r w:rsidRPr="007955BB">
        <w:rPr>
          <w:rFonts w:eastAsia="Calibri"/>
          <w:b w:val="0"/>
          <w:color w:val="FF0000"/>
          <w:szCs w:val="22"/>
          <w:lang w:val="hy-AM"/>
        </w:rPr>
        <w:t xml:space="preserve">: </w:t>
      </w:r>
    </w:p>
    <w:p w:rsidR="00924667" w:rsidRPr="007955BB" w:rsidRDefault="00924667" w:rsidP="00924667">
      <w:pPr>
        <w:spacing w:line="276" w:lineRule="auto"/>
        <w:ind w:firstLine="720"/>
        <w:rPr>
          <w:rFonts w:eastAsia="Calibri"/>
          <w:b w:val="0"/>
          <w:szCs w:val="22"/>
          <w:lang w:val="hy-AM"/>
        </w:rPr>
      </w:pPr>
      <w:r w:rsidRPr="007955BB">
        <w:rPr>
          <w:rFonts w:eastAsia="Calibri"/>
          <w:b w:val="0"/>
          <w:szCs w:val="22"/>
          <w:lang w:val="hy-AM"/>
        </w:rPr>
        <w:t>ՀՀ 2023 թվականի պետական բյուջեի նախագծում պահ</w:t>
      </w:r>
      <w:r w:rsidRPr="007955BB">
        <w:rPr>
          <w:rFonts w:eastAsia="Calibri"/>
          <w:b w:val="0"/>
          <w:szCs w:val="22"/>
          <w:lang w:val="hy-AM"/>
        </w:rPr>
        <w:softHyphen/>
        <w:t>պանվել է պետական կառավարման համակարգի մարմինների արտա</w:t>
      </w:r>
      <w:r w:rsidRPr="007955BB">
        <w:rPr>
          <w:rFonts w:eastAsia="Calibri"/>
          <w:b w:val="0"/>
          <w:szCs w:val="22"/>
          <w:lang w:val="hy-AM"/>
        </w:rPr>
        <w:softHyphen/>
        <w:t>սահ</w:t>
      </w:r>
      <w:r w:rsidRPr="007955BB">
        <w:rPr>
          <w:rFonts w:eastAsia="Calibri"/>
          <w:b w:val="0"/>
          <w:szCs w:val="22"/>
          <w:lang w:val="hy-AM"/>
        </w:rPr>
        <w:softHyphen/>
        <w:t>ման</w:t>
      </w:r>
      <w:r w:rsidRPr="007955BB">
        <w:rPr>
          <w:rFonts w:eastAsia="Calibri"/>
          <w:b w:val="0"/>
          <w:szCs w:val="22"/>
          <w:lang w:val="hy-AM"/>
        </w:rPr>
        <w:softHyphen/>
        <w:t>յան պաշտոնական գործուղումների հետ կապված ծախ</w:t>
      </w:r>
      <w:r w:rsidRPr="007955BB">
        <w:rPr>
          <w:rFonts w:eastAsia="Calibri"/>
          <w:b w:val="0"/>
          <w:szCs w:val="22"/>
          <w:lang w:val="hy-AM"/>
        </w:rPr>
        <w:softHyphen/>
        <w:t>սերի գծով հատկացումները ՀՀ պետական բյուջեում առանձին տողով արտացոլվող կենտրո</w:t>
      </w:r>
      <w:r w:rsidRPr="007955BB">
        <w:rPr>
          <w:rFonts w:eastAsia="Calibri"/>
          <w:b w:val="0"/>
          <w:szCs w:val="22"/>
          <w:lang w:val="hy-AM"/>
        </w:rPr>
        <w:softHyphen/>
        <w:t>նացված ֆոնդում ներառելու սկզբուն</w:t>
      </w:r>
      <w:r w:rsidRPr="007955BB">
        <w:rPr>
          <w:rFonts w:eastAsia="Calibri"/>
          <w:b w:val="0"/>
          <w:szCs w:val="22"/>
          <w:lang w:val="hy-AM"/>
        </w:rPr>
        <w:softHyphen/>
        <w:t xml:space="preserve">քը: </w:t>
      </w:r>
    </w:p>
    <w:p w:rsidR="00900CEA" w:rsidRPr="007955BB" w:rsidRDefault="00900CEA" w:rsidP="00900CEA">
      <w:pPr>
        <w:spacing w:before="40" w:line="276" w:lineRule="auto"/>
        <w:ind w:firstLine="547"/>
        <w:contextualSpacing w:val="0"/>
        <w:rPr>
          <w:rFonts w:eastAsia="Calibri"/>
          <w:b w:val="0"/>
          <w:szCs w:val="22"/>
          <w:lang w:val="hy-AM"/>
        </w:rPr>
      </w:pPr>
      <w:r w:rsidRPr="007955BB">
        <w:rPr>
          <w:rFonts w:eastAsia="Calibri"/>
          <w:szCs w:val="22"/>
          <w:lang w:val="hy-AM"/>
        </w:rPr>
        <w:t>Ծառայողական ավտոմեքենաների</w:t>
      </w:r>
      <w:r w:rsidRPr="007955BB">
        <w:rPr>
          <w:rFonts w:eastAsia="Calibri"/>
          <w:b w:val="0"/>
          <w:szCs w:val="22"/>
          <w:lang w:val="hy-AM"/>
        </w:rPr>
        <w:t xml:space="preserve"> պահպանման ծախսերը ծրագրավորվել են  համապատասխան մարմինների կողմից 2023 թվականի բյուջետային ֆինանսավորման հայտերով  ներկայացված ծառայողական ավտոմեքենաների քանակին համապատասխան, բայց ոչ ավելի քան ՀՀ կառավարության 2005 թվականի փետրվարի 17-ի N 194-Ն որոշմամբ նախատեսված սահմանաքանակը։ Ընդ որում, 1 մեքենայի պահպանման տարեկան ծախսը հաշվարկվել է 1,2 մլն դրամի չափով (պահպանվել է նախորդ տարիների մակարդակը):</w:t>
      </w:r>
    </w:p>
    <w:p w:rsidR="00900CEA" w:rsidRPr="007955BB" w:rsidRDefault="00900CEA" w:rsidP="00900CEA">
      <w:pPr>
        <w:spacing w:line="276" w:lineRule="auto"/>
        <w:ind w:firstLine="720"/>
        <w:rPr>
          <w:rFonts w:eastAsia="Calibri"/>
          <w:b w:val="0"/>
          <w:szCs w:val="22"/>
          <w:lang w:val="hy-AM"/>
        </w:rPr>
      </w:pPr>
      <w:r w:rsidRPr="007955BB">
        <w:rPr>
          <w:rFonts w:eastAsia="Calibri"/>
          <w:b w:val="0"/>
          <w:szCs w:val="22"/>
          <w:lang w:val="hy-AM"/>
        </w:rPr>
        <w:t>Մեքենաների պահպանման ծախսերի ծրագրավորման նշված միասնական սկզբունքից շեղումներ են թույլ տրվել մի շարք մարմինների պահպանման ծախսերում՝ ելնելով դրանց գործառութային առանձնահատկություններից կամ կապված օպերատիվ հետախուզական գործունեություն հետ, նախատեսվում է լրացուցիչ տրանսպորտային նյութերի ձեռքբերման ծախս (Հակակոռուպցիոն կոմիտե, Քննչական կոմիտե, Մարդու իրավունքների պաշտպանի աշխատակազմ) կամ պահպանման ծախսերում նախատեսվել են միջոցներ՝ որպես նշված գործունեության հետ կապված տրանսպորտային ծախսերի փոխհատուցում (ՊԵԿ, ՀՀ դատախազություն):</w:t>
      </w:r>
    </w:p>
    <w:p w:rsidR="00900CEA" w:rsidRPr="007955BB" w:rsidRDefault="00900CEA" w:rsidP="00900CEA">
      <w:pPr>
        <w:spacing w:line="276" w:lineRule="auto"/>
        <w:ind w:firstLine="720"/>
        <w:rPr>
          <w:rFonts w:eastAsia="Calibri"/>
          <w:b w:val="0"/>
          <w:szCs w:val="22"/>
          <w:lang w:val="hy-AM"/>
        </w:rPr>
      </w:pPr>
      <w:r w:rsidRPr="007955BB">
        <w:rPr>
          <w:rFonts w:eastAsia="Calibri"/>
          <w:b w:val="0"/>
          <w:szCs w:val="22"/>
          <w:lang w:val="hy-AM"/>
        </w:rPr>
        <w:t>ՀՀ վարչապետի հանձնարարությամբ նախատեսվում է վերանայել ծառայողական ավտոմեքենաների հատկացման, ինչպես նաև դրանց պահպանման և շահագործման հետ կապված կարգավորումները:</w:t>
      </w:r>
    </w:p>
    <w:p w:rsidR="00900CEA" w:rsidRPr="007955BB" w:rsidRDefault="00900CEA" w:rsidP="00900CEA">
      <w:pPr>
        <w:spacing w:line="276" w:lineRule="auto"/>
        <w:ind w:firstLine="720"/>
        <w:rPr>
          <w:rFonts w:eastAsia="Calibri"/>
          <w:b w:val="0"/>
          <w:szCs w:val="22"/>
          <w:lang w:val="hy-AM"/>
        </w:rPr>
      </w:pPr>
      <w:r w:rsidRPr="007955BB">
        <w:rPr>
          <w:rFonts w:eastAsia="Calibri"/>
          <w:szCs w:val="22"/>
          <w:lang w:val="hy-AM"/>
        </w:rPr>
        <w:t>Շենքերի և կառույցների ընթացիկ նորոգման</w:t>
      </w:r>
      <w:r w:rsidRPr="007955BB">
        <w:rPr>
          <w:rFonts w:eastAsia="Calibri"/>
          <w:b w:val="0"/>
          <w:szCs w:val="22"/>
          <w:lang w:val="hy-AM"/>
        </w:rPr>
        <w:t xml:space="preserve"> ծախսերը նախատեսելիս  կիրառվել է միասնական մոտեցում, նախագծով նախատեսված գումարը հաշվարկվել է տվյալ մարմնի կողմից օգտագործվող (բացառությամբ վարձակալած) տարածքների համար՝ 1քմ-ը 800 դրամ հաշվարկով: </w:t>
      </w:r>
    </w:p>
    <w:p w:rsidR="00900CEA" w:rsidRPr="007955BB" w:rsidRDefault="00900CEA" w:rsidP="00900CEA">
      <w:pPr>
        <w:spacing w:line="276" w:lineRule="auto"/>
        <w:ind w:firstLine="720"/>
        <w:rPr>
          <w:rFonts w:eastAsia="Calibri"/>
          <w:b w:val="0"/>
          <w:szCs w:val="22"/>
          <w:lang w:val="hy-AM"/>
        </w:rPr>
      </w:pPr>
      <w:r w:rsidRPr="007955BB">
        <w:rPr>
          <w:rFonts w:eastAsia="Calibri"/>
          <w:b w:val="0"/>
          <w:szCs w:val="22"/>
          <w:lang w:val="hy-AM"/>
        </w:rPr>
        <w:t>Միաժամանակ, պահպանման մի շարք այլ պայմանագրային ծառայությունների ձեռքբերման ծախսերը նախատեսելիս դրանք դիտարկվել են նախորդ տարիների փաստացի ծախսի մակարդակը հաշվի առնելով:</w:t>
      </w:r>
    </w:p>
    <w:p w:rsidR="00900CEA" w:rsidRPr="007955BB" w:rsidRDefault="00900CEA" w:rsidP="00900CEA">
      <w:pPr>
        <w:spacing w:line="276" w:lineRule="auto"/>
        <w:ind w:firstLine="720"/>
        <w:rPr>
          <w:rFonts w:eastAsia="Calibri"/>
          <w:b w:val="0"/>
          <w:szCs w:val="22"/>
          <w:lang w:val="hy-AM"/>
        </w:rPr>
      </w:pPr>
      <w:r w:rsidRPr="007955BB">
        <w:rPr>
          <w:rFonts w:eastAsia="Calibri"/>
          <w:szCs w:val="22"/>
          <w:lang w:val="hy-AM"/>
        </w:rPr>
        <w:t>Վարչական սարքավորումների</w:t>
      </w:r>
      <w:r w:rsidRPr="007955BB">
        <w:rPr>
          <w:rFonts w:eastAsia="Calibri"/>
          <w:b w:val="0"/>
          <w:szCs w:val="22"/>
          <w:lang w:val="hy-AM"/>
        </w:rPr>
        <w:t xml:space="preserve"> նախատեսման հարցում կիրառվել է միասնական մոտեցում:</w:t>
      </w:r>
    </w:p>
    <w:p w:rsidR="00900CEA" w:rsidRPr="007955BB" w:rsidRDefault="00900CEA" w:rsidP="00900CEA">
      <w:pPr>
        <w:spacing w:line="276" w:lineRule="auto"/>
        <w:ind w:firstLine="720"/>
        <w:rPr>
          <w:rFonts w:eastAsia="Calibri"/>
          <w:b w:val="0"/>
          <w:szCs w:val="22"/>
          <w:lang w:val="hy-AM"/>
        </w:rPr>
      </w:pPr>
      <w:r w:rsidRPr="007955BB">
        <w:rPr>
          <w:rFonts w:eastAsia="Calibri"/>
          <w:b w:val="0"/>
          <w:szCs w:val="22"/>
          <w:lang w:val="hy-AM"/>
        </w:rPr>
        <w:t xml:space="preserve">Հայտերով ներկայացված տեղեկատվության վերլուծության արդյունքում գնահատվել է առանձին մարմիններում յուրաքանչյուր աշխատատեղի՝ համակարգչային սարքավորումներով հագեցվածության և գույքով կահավորվածության մակարդակը, հիմք ընդունելով ՀՀ ֆինանսների նախարարի 2016թ. հունվարի 8-ի «Հանրային հատվածի կազմակերպություններում նոր հիմնական միջոցների և սկզբնական արժեքով հաշվառվող կենսաբանական ակտիվների մաշվածության հաշվարկման նորմատիվային օգտակար ծառայության ժամկետները հաստատելու մասին» N 3-Ն հրամանի պահանջները: </w:t>
      </w:r>
    </w:p>
    <w:p w:rsidR="00900CEA" w:rsidRPr="007955BB" w:rsidRDefault="00900CEA" w:rsidP="00900CEA">
      <w:pPr>
        <w:spacing w:line="276" w:lineRule="auto"/>
        <w:ind w:firstLine="720"/>
        <w:rPr>
          <w:rFonts w:eastAsia="Calibri"/>
          <w:b w:val="0"/>
          <w:szCs w:val="22"/>
          <w:lang w:val="hy-AM"/>
        </w:rPr>
      </w:pPr>
      <w:r w:rsidRPr="007955BB">
        <w:rPr>
          <w:rFonts w:eastAsia="Calibri"/>
          <w:b w:val="0"/>
          <w:szCs w:val="22"/>
          <w:lang w:val="hy-AM"/>
        </w:rPr>
        <w:t xml:space="preserve">ՀՀ 2023թ. պետական բյուջեի նախագծով նախատեսվում է միասնական սկզբունքով, ներկայացված հայտերի շրջանակներում, ապահովել օգտակար ծառայության ժամկետներում գտնվող վարչական սարքավորումներով և գույքով առնվազն 70% հագեցվածություն, բայց ոչ ավելի քան ներկայացված հայտը: </w:t>
      </w:r>
    </w:p>
    <w:p w:rsidR="00900CEA" w:rsidRPr="007955BB" w:rsidRDefault="00900CEA" w:rsidP="00900CEA">
      <w:pPr>
        <w:spacing w:line="276" w:lineRule="auto"/>
        <w:ind w:firstLine="720"/>
        <w:rPr>
          <w:rFonts w:eastAsia="Calibri"/>
          <w:b w:val="0"/>
          <w:szCs w:val="22"/>
          <w:lang w:val="hy-AM"/>
        </w:rPr>
      </w:pPr>
      <w:r w:rsidRPr="007955BB">
        <w:rPr>
          <w:rFonts w:eastAsia="Calibri"/>
          <w:b w:val="0"/>
          <w:szCs w:val="22"/>
          <w:lang w:val="hy-AM"/>
        </w:rPr>
        <w:t>Այն դեպքերում, երբ առկա է համակարգչային սարքավորումներով հագեցվածության  կամ կահավորանքի թերհամալրում՝ առկա աշխատատեղերի քանակի համեմատ, բյուջետային ֆինանսավորման հայտն ընդունվել է ամբողջությամբ՝ հնարավորություն ստեղծելով ապահովել աշխատատեղերի առավելագույն հագեցվածություն:</w:t>
      </w:r>
    </w:p>
    <w:p w:rsidR="00A3274E" w:rsidRPr="007955BB" w:rsidRDefault="00A3274E" w:rsidP="00A3274E">
      <w:pPr>
        <w:spacing w:line="276" w:lineRule="auto"/>
        <w:ind w:firstLine="720"/>
        <w:rPr>
          <w:rFonts w:eastAsia="Calibri"/>
          <w:szCs w:val="22"/>
          <w:lang w:val="hy-AM"/>
        </w:rPr>
      </w:pPr>
    </w:p>
    <w:p w:rsidR="00060470" w:rsidRPr="007955BB" w:rsidRDefault="00277648" w:rsidP="007F28F7">
      <w:pPr>
        <w:pStyle w:val="Heading3"/>
      </w:pPr>
      <w:bookmarkStart w:id="322" w:name="_Toc120805219"/>
      <w:r w:rsidRPr="007955BB">
        <w:t>ՀՀ ա</w:t>
      </w:r>
      <w:r w:rsidR="00B857F9" w:rsidRPr="007955BB">
        <w:t>ռողջապահության նախարարություն</w:t>
      </w:r>
      <w:bookmarkEnd w:id="322"/>
    </w:p>
    <w:p w:rsidR="00282038" w:rsidRPr="007955BB" w:rsidRDefault="00282038" w:rsidP="00282038">
      <w:pPr>
        <w:spacing w:before="0" w:line="288" w:lineRule="auto"/>
        <w:rPr>
          <w:rFonts w:eastAsia="Calibri"/>
          <w:b w:val="0"/>
          <w:szCs w:val="22"/>
          <w:lang w:val="hy-AM" w:eastAsia="en-US"/>
          <w14:textOutline w14:w="9525" w14:cap="rnd" w14:cmpd="sng" w14:algn="ctr">
            <w14:noFill/>
            <w14:prstDash w14:val="solid"/>
            <w14:bevel/>
          </w14:textOutline>
        </w:rPr>
      </w:pPr>
      <w:r w:rsidRPr="007955BB">
        <w:rPr>
          <w:rFonts w:eastAsia="Calibri"/>
          <w:b w:val="0"/>
          <w:szCs w:val="22"/>
          <w:lang w:val="hy-AM" w:eastAsia="en-US"/>
          <w14:textOutline w14:w="9525" w14:cap="rnd" w14:cmpd="sng" w14:algn="ctr">
            <w14:noFill/>
            <w14:prstDash w14:val="solid"/>
            <w14:bevel/>
          </w14:textOutline>
        </w:rPr>
        <w:t xml:space="preserve">ՀՀ առողջապահության նախարարության գծով </w:t>
      </w:r>
      <w:r w:rsidRPr="007955BB">
        <w:rPr>
          <w:rFonts w:eastAsia="Calibri" w:cs="Sylfaen"/>
          <w:b w:val="0"/>
          <w:szCs w:val="22"/>
          <w:lang w:val="af-ZA" w:eastAsia="en-US"/>
          <w14:textOutline w14:w="9525" w14:cap="rnd" w14:cmpd="sng" w14:algn="ctr">
            <w14:noFill/>
            <w14:prstDash w14:val="solid"/>
            <w14:bevel/>
          </w14:textOutline>
        </w:rPr>
        <w:t>ՀՀ 2023 թվականի պետական բյուջեի նախագծով նախատեսվում է</w:t>
      </w:r>
      <w:r w:rsidR="00A637A2" w:rsidRPr="007955BB">
        <w:rPr>
          <w:rFonts w:eastAsia="Calibri" w:cs="Sylfaen"/>
          <w:b w:val="0"/>
          <w:szCs w:val="22"/>
          <w:lang w:val="af-ZA" w:eastAsia="en-US"/>
          <w14:textOutline w14:w="9525" w14:cap="rnd" w14:cmpd="sng" w14:algn="ctr">
            <w14:noFill/>
            <w14:prstDash w14:val="solid"/>
            <w14:bevel/>
          </w14:textOutline>
        </w:rPr>
        <w:t xml:space="preserve"> 146,</w:t>
      </w:r>
      <w:r w:rsidR="00CD39F1">
        <w:rPr>
          <w:rFonts w:eastAsia="Calibri" w:cs="Sylfaen"/>
          <w:b w:val="0"/>
          <w:szCs w:val="22"/>
          <w:lang w:val="af-ZA" w:eastAsia="en-US"/>
          <w14:textOutline w14:w="9525" w14:cap="rnd" w14:cmpd="sng" w14:algn="ctr">
            <w14:noFill/>
            <w14:prstDash w14:val="solid"/>
            <w14:bevel/>
          </w14:textOutline>
        </w:rPr>
        <w:t>290</w:t>
      </w:r>
      <w:r w:rsidRPr="007955BB">
        <w:rPr>
          <w:rFonts w:eastAsia="Calibri" w:cs="Sylfaen"/>
          <w:b w:val="0"/>
          <w:szCs w:val="22"/>
          <w:lang w:val="af-ZA" w:eastAsia="en-US"/>
          <w14:textOutline w14:w="9525" w14:cap="rnd" w14:cmpd="sng" w14:algn="ctr">
            <w14:noFill/>
            <w14:prstDash w14:val="solid"/>
            <w14:bevel/>
          </w14:textOutline>
        </w:rPr>
        <w:t>.</w:t>
      </w:r>
      <w:r w:rsidR="00CD39F1">
        <w:rPr>
          <w:rFonts w:eastAsia="Calibri" w:cs="Sylfaen"/>
          <w:b w:val="0"/>
          <w:szCs w:val="22"/>
          <w:lang w:val="af-ZA" w:eastAsia="en-US"/>
          <w14:textOutline w14:w="9525" w14:cap="rnd" w14:cmpd="sng" w14:algn="ctr">
            <w14:noFill/>
            <w14:prstDash w14:val="solid"/>
            <w14:bevel/>
          </w14:textOutline>
        </w:rPr>
        <w:t>5</w:t>
      </w:r>
      <w:r w:rsidRPr="007955BB">
        <w:rPr>
          <w:rFonts w:eastAsia="Calibri" w:cs="Sylfaen"/>
          <w:b w:val="0"/>
          <w:color w:val="000000"/>
          <w:szCs w:val="22"/>
          <w:lang w:val="af-ZA" w:eastAsia="en-US"/>
          <w14:textOutline w14:w="9525" w14:cap="rnd" w14:cmpd="sng" w14:algn="ctr">
            <w14:noFill/>
            <w14:prstDash w14:val="solid"/>
            <w14:bevel/>
          </w14:textOutline>
        </w:rPr>
        <w:t xml:space="preserve"> մլն դրամի ծախսեր</w:t>
      </w:r>
      <w:r w:rsidRPr="007955BB">
        <w:rPr>
          <w:rFonts w:eastAsia="Calibri" w:cs="Sylfaen"/>
          <w:b w:val="0"/>
          <w:color w:val="000000"/>
          <w:szCs w:val="22"/>
          <w:lang w:val="hy-AM" w:eastAsia="en-US"/>
          <w14:textOutline w14:w="9525" w14:cap="rnd" w14:cmpd="sng" w14:algn="ctr">
            <w14:noFill/>
            <w14:prstDash w14:val="solid"/>
            <w14:bevel/>
          </w14:textOutline>
        </w:rPr>
        <w:t xml:space="preserve"> </w:t>
      </w:r>
      <w:r w:rsidRPr="007955BB">
        <w:rPr>
          <w:rFonts w:eastAsia="Calibri" w:cs="Sylfaen"/>
          <w:b w:val="0"/>
          <w:color w:val="000000"/>
          <w:szCs w:val="22"/>
          <w:lang w:val="af-ZA" w:eastAsia="en-US"/>
          <w14:textOutline w14:w="9525" w14:cap="rnd" w14:cmpd="sng" w14:algn="ctr">
            <w14:noFill/>
            <w14:prstDash w14:val="solid"/>
            <w14:bevel/>
          </w14:textOutline>
        </w:rPr>
        <w:t>(</w:t>
      </w:r>
      <w:r w:rsidRPr="007955BB">
        <w:rPr>
          <w:rFonts w:eastAsia="Calibri" w:cs="Sylfaen"/>
          <w:b w:val="0"/>
          <w:color w:val="000000"/>
          <w:szCs w:val="22"/>
          <w:lang w:val="hy-AM" w:eastAsia="en-US"/>
          <w14:textOutline w14:w="9525" w14:cap="rnd" w14:cmpd="sng" w14:algn="ctr">
            <w14:noFill/>
            <w14:prstDash w14:val="solid"/>
            <w14:bevel/>
          </w14:textOutline>
        </w:rPr>
        <w:t>ներառյալ կառավարման</w:t>
      </w:r>
      <w:r w:rsidRPr="007955BB">
        <w:rPr>
          <w:rFonts w:eastAsia="Calibri" w:cs="Sylfaen"/>
          <w:b w:val="0"/>
          <w:color w:val="000000"/>
          <w:szCs w:val="22"/>
          <w:lang w:val="af-ZA" w:eastAsia="en-US"/>
          <w14:textOutline w14:w="9525" w14:cap="rnd" w14:cmpd="sng" w14:algn="ctr">
            <w14:noFill/>
            <w14:prstDash w14:val="solid"/>
            <w14:bevel/>
          </w14:textOutline>
        </w:rPr>
        <w:t xml:space="preserve"> </w:t>
      </w:r>
      <w:r w:rsidRPr="007955BB">
        <w:rPr>
          <w:rFonts w:eastAsia="Calibri" w:cs="Sylfaen"/>
          <w:b w:val="0"/>
          <w:color w:val="000000"/>
          <w:szCs w:val="22"/>
          <w:lang w:val="hy-AM" w:eastAsia="en-US"/>
          <w14:textOutline w14:w="9525" w14:cap="rnd" w14:cmpd="sng" w14:algn="ctr">
            <w14:noFill/>
            <w14:prstDash w14:val="solid"/>
            <w14:bevel/>
          </w14:textOutline>
        </w:rPr>
        <w:t>ապարատի պահպանման ծախսերը</w:t>
      </w:r>
      <w:r w:rsidRPr="007955BB">
        <w:rPr>
          <w:rFonts w:eastAsia="Calibri" w:cs="Sylfaen"/>
          <w:b w:val="0"/>
          <w:color w:val="000000"/>
          <w:szCs w:val="22"/>
          <w:lang w:val="af-ZA" w:eastAsia="en-US"/>
          <w14:textOutline w14:w="9525" w14:cap="rnd" w14:cmpd="sng" w14:algn="ctr">
            <w14:noFill/>
            <w14:prstDash w14:val="solid"/>
            <w14:bevel/>
          </w14:textOutline>
        </w:rPr>
        <w:t>)</w:t>
      </w:r>
      <w:r w:rsidRPr="007955BB">
        <w:rPr>
          <w:rFonts w:eastAsia="Calibri"/>
          <w:b w:val="0"/>
          <w:szCs w:val="22"/>
          <w:lang w:val="hy-AM" w:eastAsia="en-US"/>
          <w14:textOutline w14:w="9525" w14:cap="rnd" w14:cmpd="sng" w14:algn="ctr">
            <w14:noFill/>
            <w14:prstDash w14:val="solid"/>
            <w14:bevel/>
          </w14:textOutline>
        </w:rPr>
        <w:t xml:space="preserve">, որի շրջանակներում նախատեսվում է իրականացնել հետևյալ ծրագրերը. </w:t>
      </w:r>
    </w:p>
    <w:p w:rsidR="00282038" w:rsidRPr="00A8149B" w:rsidRDefault="00282038" w:rsidP="00282038">
      <w:pPr>
        <w:spacing w:before="0" w:line="288" w:lineRule="auto"/>
        <w:rPr>
          <w:rFonts w:eastAsia="Calibri"/>
          <w:szCs w:val="22"/>
          <w:lang w:val="hy-AM" w:eastAsia="en-US"/>
          <w14:textOutline w14:w="9525" w14:cap="rnd" w14:cmpd="sng" w14:algn="ctr">
            <w14:noFill/>
            <w14:prstDash w14:val="solid"/>
            <w14:bevel/>
          </w14:textOutline>
        </w:rPr>
      </w:pPr>
      <w:r w:rsidRPr="007955BB">
        <w:rPr>
          <w:rFonts w:eastAsia="Calibri"/>
          <w:szCs w:val="22"/>
          <w:lang w:val="hy-AM" w:eastAsia="en-US"/>
          <w14:textOutline w14:w="9525" w14:cap="rnd" w14:cmpd="sng" w14:algn="ctr">
            <w14:noFill/>
            <w14:prstDash w14:val="solid"/>
            <w14:bevel/>
          </w14:textOutline>
        </w:rPr>
        <w:t>Հանրային</w:t>
      </w:r>
      <w:r w:rsidRPr="007955BB">
        <w:rPr>
          <w:rFonts w:eastAsia="Calibri" w:cs="Arial Armenian"/>
          <w:szCs w:val="22"/>
          <w:lang w:val="hy-AM" w:eastAsia="en-US"/>
          <w14:textOutline w14:w="9525" w14:cap="rnd" w14:cmpd="sng" w14:algn="ctr">
            <w14:noFill/>
            <w14:prstDash w14:val="solid"/>
            <w14:bevel/>
          </w14:textOutline>
        </w:rPr>
        <w:t xml:space="preserve"> </w:t>
      </w:r>
      <w:r w:rsidRPr="007955BB">
        <w:rPr>
          <w:rFonts w:eastAsia="Calibri"/>
          <w:szCs w:val="22"/>
          <w:lang w:val="hy-AM" w:eastAsia="en-US"/>
          <w14:textOutline w14:w="9525" w14:cap="rnd" w14:cmpd="sng" w14:algn="ctr">
            <w14:noFill/>
            <w14:prstDash w14:val="solid"/>
            <w14:bevel/>
          </w14:textOutline>
        </w:rPr>
        <w:t>առողջության պահպանում</w:t>
      </w:r>
      <w:r w:rsidRPr="007955BB">
        <w:rPr>
          <w:rFonts w:eastAsia="Calibri"/>
          <w:b w:val="0"/>
          <w:szCs w:val="22"/>
          <w:lang w:val="hy-AM" w:eastAsia="en-US"/>
          <w14:textOutline w14:w="9525" w14:cap="rnd" w14:cmpd="sng" w14:algn="ctr">
            <w14:noFill/>
            <w14:prstDash w14:val="solid"/>
            <w14:bevel/>
          </w14:textOutline>
        </w:rPr>
        <w:t xml:space="preserve"> ծրագրի գծով 2023թ. նախատեսվել է 11,510.3 մլն դրամ: Ծրագրի նպատակն է մարդու օրգանիզմի վրա շրջակա միջավայրի վնասակար և վտանգավոր գործոնների ազդեցության բացառումը և նվազեցումը, կառավարելի վարակիչ հիվ</w:t>
      </w:r>
      <w:r w:rsidRPr="00A8149B">
        <w:rPr>
          <w:rFonts w:eastAsia="Calibri"/>
          <w:b w:val="0"/>
          <w:szCs w:val="22"/>
          <w:lang w:val="hy-AM" w:eastAsia="en-US"/>
          <w14:textOutline w14:w="9525" w14:cap="rnd" w14:cmpd="sng" w14:algn="ctr">
            <w14:noFill/>
            <w14:prstDash w14:val="solid"/>
            <w14:bevel/>
          </w14:textOutline>
        </w:rPr>
        <w:t>անդությունների դեմ պայքարը:</w:t>
      </w:r>
      <w:r w:rsidRPr="00A8149B">
        <w:rPr>
          <w:rFonts w:eastAsia="Calibri"/>
          <w:szCs w:val="22"/>
          <w:lang w:val="hy-AM" w:eastAsia="en-US"/>
          <w14:textOutline w14:w="9525" w14:cap="rnd" w14:cmpd="sng" w14:algn="ctr">
            <w14:noFill/>
            <w14:prstDash w14:val="solid"/>
            <w14:bevel/>
          </w14:textOutline>
        </w:rPr>
        <w:t xml:space="preserve"> </w:t>
      </w:r>
    </w:p>
    <w:p w:rsidR="00282038" w:rsidRPr="00A8149B" w:rsidRDefault="00282038" w:rsidP="00282038">
      <w:pPr>
        <w:spacing w:before="0" w:line="288" w:lineRule="auto"/>
        <w:rPr>
          <w:rFonts w:eastAsia="Calibri"/>
          <w:szCs w:val="22"/>
          <w:lang w:val="hy-AM" w:eastAsia="en-US"/>
          <w14:textOutline w14:w="9525" w14:cap="rnd" w14:cmpd="sng" w14:algn="ctr">
            <w14:noFill/>
            <w14:prstDash w14:val="solid"/>
            <w14:bevel/>
          </w14:textOutline>
        </w:rPr>
      </w:pPr>
      <w:r w:rsidRPr="00A8149B">
        <w:rPr>
          <w:rFonts w:eastAsia="Calibri"/>
          <w:b w:val="0"/>
          <w:szCs w:val="22"/>
          <w:lang w:val="hy-AM" w:eastAsia="en-US"/>
          <w14:textOutline w14:w="9525" w14:cap="rnd" w14:cmpd="sng" w14:algn="ctr">
            <w14:noFill/>
            <w14:prstDash w14:val="solid"/>
            <w14:bevel/>
          </w14:textOutline>
        </w:rPr>
        <w:t>Ծրագրի շրջանակներում նախատեսվում է իրականացնել թվով 580142 հատ հետազոտություններ վարակիչ օջախների ախտահա</w:t>
      </w:r>
      <w:r w:rsidR="00A8149B" w:rsidRPr="00A8149B">
        <w:rPr>
          <w:rFonts w:eastAsia="Calibri"/>
          <w:b w:val="0"/>
          <w:szCs w:val="22"/>
          <w:lang w:val="hy-AM" w:eastAsia="en-US"/>
          <w14:textOutline w14:w="9525" w14:cap="rnd" w14:cmpd="sng" w14:algn="ctr">
            <w14:noFill/>
            <w14:prstDash w14:val="solid"/>
            <w14:bevel/>
          </w14:textOutline>
        </w:rPr>
        <w:t>ն</w:t>
      </w:r>
      <w:r w:rsidRPr="00A8149B">
        <w:rPr>
          <w:rFonts w:eastAsia="Calibri"/>
          <w:b w:val="0"/>
          <w:szCs w:val="22"/>
          <w:lang w:val="hy-AM" w:eastAsia="en-US"/>
          <w14:textOutline w14:w="9525" w14:cap="rnd" w14:cmpd="sng" w14:algn="ctr">
            <w14:noFill/>
            <w14:prstDash w14:val="solid"/>
            <w14:bevel/>
          </w14:textOutline>
        </w:rPr>
        <w:t xml:space="preserve">ման նպատակով,  60% ՀՀ բժշկական օգնություն և սպասարկում իրականացնող կազմակերպություններում վարակի հսկողության առանձին բաղադրիչների գնահատում, 99%-ով ապահովել համաճարակաբանական հետազոտության ենթակա հիվանդությունների օջախների ընդգրկվածությունը, 90%-ով բնական օջախների տարածքների կենդանամակաբուծական հետազոտություններով ընդգրկվածությունը, պատվաստանյութերի արդյունավետ կառավարման նպատակով՝  ապահովել 1045200 դեղաչափ պատվաստանյութերի ստացումը՝ 845000 պատվաստումներ իրականացնելու համար, </w:t>
      </w:r>
      <w:r w:rsidR="000635F8" w:rsidRPr="000635F8">
        <w:rPr>
          <w:rFonts w:eastAsia="Calibri"/>
          <w:b w:val="0"/>
          <w:szCs w:val="22"/>
          <w:lang w:val="hy-AM" w:eastAsia="en-US"/>
          <w14:textOutline w14:w="9525" w14:cap="rnd" w14:cmpd="sng" w14:algn="ctr">
            <w14:noFill/>
            <w14:prstDash w14:val="solid"/>
            <w14:bevel/>
          </w14:textOutline>
        </w:rPr>
        <w:t>Հ</w:t>
      </w:r>
      <w:r w:rsidRPr="00A8149B">
        <w:rPr>
          <w:rFonts w:eastAsia="Calibri"/>
          <w:b w:val="0"/>
          <w:szCs w:val="22"/>
          <w:lang w:val="hy-AM" w:eastAsia="en-US"/>
          <w14:textOutline w14:w="9525" w14:cap="rnd" w14:cmpd="sng" w14:algn="ctr">
            <w14:noFill/>
            <w14:prstDash w14:val="solid"/>
            <w14:bevel/>
          </w14:textOutline>
        </w:rPr>
        <w:t xml:space="preserve">անրապետությունում արյան, արյան բաղադրամասերի և արյան  պատրաստուկների  անհրաժեշտ  քանակության (100%) ապահովումը,  իրականացնել 5 տեսակի առողջ ապրելակերպի խթանմանն ու ծխելու դեմ պայքարին ուղղված և 5 առողջ ապրելակերպի հանրային իրազեկման թեմատիկ միջոցառումներ, ինչպես նաև </w:t>
      </w:r>
      <w:r w:rsidRPr="00A8149B">
        <w:rPr>
          <w:rFonts w:cs="Sylfaen"/>
          <w:b w:val="0"/>
          <w:szCs w:val="22"/>
          <w:lang w:val="hy-AM"/>
          <w14:textOutline w14:w="9525" w14:cap="rnd" w14:cmpd="sng" w14:algn="ctr">
            <w14:noFill/>
            <w14:prstDash w14:val="solid"/>
            <w14:bevel/>
          </w14:textOutline>
        </w:rPr>
        <w:t>Հայաստանի Հանրապետությունում կորոնավիրուսային վարակի (CՕVID-19) կանխարգելման, վերահսկման, բուժման և այլ համալիր միջոցառումներ</w:t>
      </w:r>
      <w:r w:rsidRPr="00A8149B">
        <w:rPr>
          <w:rFonts w:eastAsia="Calibri"/>
          <w:b w:val="0"/>
          <w:szCs w:val="22"/>
          <w:lang w:val="hy-AM" w:eastAsia="en-US"/>
          <w14:textOutline w14:w="9525" w14:cap="rnd" w14:cmpd="sng" w14:algn="ctr">
            <w14:noFill/>
            <w14:prstDash w14:val="solid"/>
            <w14:bevel/>
          </w14:textOutline>
        </w:rPr>
        <w:t>:</w:t>
      </w:r>
    </w:p>
    <w:p w:rsidR="00282038" w:rsidRPr="007955BB" w:rsidRDefault="00282038" w:rsidP="00282038">
      <w:pPr>
        <w:widowControl w:val="0"/>
        <w:tabs>
          <w:tab w:val="left" w:pos="180"/>
        </w:tabs>
        <w:spacing w:before="0" w:line="288" w:lineRule="auto"/>
        <w:ind w:firstLine="720"/>
        <w:rPr>
          <w:b w:val="0"/>
          <w:lang w:val="hy-AM"/>
        </w:rPr>
      </w:pPr>
      <w:r w:rsidRPr="007955BB">
        <w:rPr>
          <w:rFonts w:cs="Sylfaen"/>
          <w:bCs/>
          <w:szCs w:val="22"/>
          <w:lang w:val="hy-AM"/>
        </w:rPr>
        <w:t xml:space="preserve">Առողջության առաջնային պահպանում </w:t>
      </w:r>
      <w:r w:rsidRPr="007955BB">
        <w:rPr>
          <w:b w:val="0"/>
          <w:lang w:val="hy-AM"/>
        </w:rPr>
        <w:t xml:space="preserve">ծրագրի գծով նախատեսվել է 30,302.8 մլն դրամ: </w:t>
      </w:r>
    </w:p>
    <w:p w:rsidR="00282038" w:rsidRPr="007955BB" w:rsidRDefault="00282038" w:rsidP="00282038">
      <w:pPr>
        <w:spacing w:before="0" w:line="288" w:lineRule="auto"/>
        <w:ind w:firstLine="720"/>
        <w:rPr>
          <w:b w:val="0"/>
          <w:lang w:val="hy-AM"/>
        </w:rPr>
      </w:pPr>
      <w:r w:rsidRPr="007955BB">
        <w:rPr>
          <w:b w:val="0"/>
          <w:lang w:val="hy-AM"/>
        </w:rPr>
        <w:t xml:space="preserve">Ծրագրի նպատակն է բնակչությանը մատչելի և որակյալ առաջնային բժշկական օգնության և սպասարկման տրամադրումը, առողջության վատթարացման ռիսկի գործոնների վերհանումը և դրանց հնարավոր անբարենպաստ ազդեցության կանխարգելումը, որը ներառում է առողջության առաջնային պահպանման գծով կազմակերպություններում գրանցված 3077381 բնակչի՝ ընտանեկան բժշկի, ընդհանուր պրակտիկայի թերապևտի, ընդհանուր պրակտիկայի մանկաբույժի կողմից մատուցվող ծառայություններ՝ հավաքագրված բնակչության շրջանում հիվանդությունների կանխարգելումը, վաղ հայտնաբերումը, ախտորոշումը, բուժումը, քրոնիկ հիվանդների դինամիկ հսկողությունը (ներառյալ ակտիվ կանչերը), ժամանակավոր անաշխատունակության փորձաքննությունը, տնային կանչերի իրականացումը, ըստ ցուցումների, հիվանդների հոսպիտալացման կազմակերպումը, բնակչության բժշկահիգիենիկ կրթումը, թվով 389666 աշակերտների՝ դպրոցում բժշկական օգնություն և սպասարկումը, անվճար կամ արտոնյալ պայմաններով դեղեր ստանալու իրավունք ունեցող թվով 864000 անձանց դեղերով ապահովումը, առավել տարածված ոչ վարակիչ հիվանդությունների (արյան շրջանառության համակարգի, շաքարային դիաբետի, չարորակ նորագոյացությունների և այլն) վաղ հայտնաբերման և կանխարգելման գործընթացի պարտադիր իրականացումը, վարակիչ հիվանդությունների կանխարգելում ու վաղ հայտնաբերումը, ինչպես նաև ախտորոշման ճշտման նպատակով լաբորատոր-գործիքային 195230 հետազոտությունների իրականացումը: </w:t>
      </w:r>
    </w:p>
    <w:p w:rsidR="00282038" w:rsidRPr="007955BB" w:rsidRDefault="00282038" w:rsidP="00282038">
      <w:pPr>
        <w:spacing w:before="0" w:line="288" w:lineRule="auto"/>
        <w:ind w:firstLine="720"/>
        <w:rPr>
          <w:rFonts w:cs="Sylfaen"/>
          <w:b w:val="0"/>
          <w:szCs w:val="22"/>
          <w:lang w:val="hy-AM"/>
        </w:rPr>
      </w:pPr>
      <w:r w:rsidRPr="007955BB">
        <w:rPr>
          <w:rFonts w:cs="Sylfaen"/>
          <w:bCs/>
          <w:szCs w:val="22"/>
          <w:lang w:val="hy-AM"/>
        </w:rPr>
        <w:t>Դատաբժշկական և ախտաբանաանատոմիական ծառայություններ</w:t>
      </w:r>
      <w:r w:rsidR="000635F8" w:rsidRPr="000635F8">
        <w:rPr>
          <w:rFonts w:cs="Sylfaen"/>
          <w:bCs/>
          <w:szCs w:val="22"/>
          <w:lang w:val="hy-AM"/>
        </w:rPr>
        <w:t xml:space="preserve"> ծրագրի</w:t>
      </w:r>
      <w:r w:rsidRPr="007955BB">
        <w:rPr>
          <w:rFonts w:cs="Sylfaen"/>
          <w:bCs/>
          <w:szCs w:val="22"/>
          <w:lang w:val="hy-AM"/>
        </w:rPr>
        <w:t xml:space="preserve"> </w:t>
      </w:r>
      <w:r w:rsidRPr="007955BB">
        <w:rPr>
          <w:b w:val="0"/>
          <w:lang w:val="hy-AM"/>
        </w:rPr>
        <w:t>գծով նախատեսվել է 479</w:t>
      </w:r>
      <w:r w:rsidR="00C57CF9" w:rsidRPr="007955BB">
        <w:rPr>
          <w:b w:val="0"/>
          <w:lang w:val="hy-AM"/>
        </w:rPr>
        <w:t>.</w:t>
      </w:r>
      <w:r w:rsidRPr="007955BB">
        <w:rPr>
          <w:b w:val="0"/>
          <w:lang w:val="hy-AM"/>
        </w:rPr>
        <w:t>1 մլն դրամ:</w:t>
      </w:r>
      <w:bookmarkStart w:id="323" w:name="_Hlk19663384"/>
      <w:r w:rsidRPr="007955BB">
        <w:rPr>
          <w:b w:val="0"/>
          <w:lang w:val="hy-AM"/>
        </w:rPr>
        <w:t xml:space="preserve"> </w:t>
      </w:r>
      <w:r w:rsidRPr="007955BB">
        <w:rPr>
          <w:rFonts w:cs="Sylfaen"/>
          <w:b w:val="0"/>
          <w:szCs w:val="22"/>
          <w:lang w:val="hy-AM"/>
        </w:rPr>
        <w:t xml:space="preserve">Ծրագրի նպատակն է Հանրապետության ուժային մարմինների որոշումների հիման վրա դատաբժշկական և գենետիկ փորձաքննությունների ապահովումը` մահերի պատճառների վերհանման նպատակով դիակների փորձաքննությունների միջոցով, ինչպես նաև պաթանատոմիական կանխորոշումների հիման վրա ախտորոշման և բուժման արդյունավետության բարձրացումը: Ծրագրի ակնկալվող արդյունքը մահերի պատճառների բացահայտումն է: </w:t>
      </w:r>
    </w:p>
    <w:p w:rsidR="00282038" w:rsidRPr="007955BB" w:rsidRDefault="000635F8" w:rsidP="00282038">
      <w:pPr>
        <w:tabs>
          <w:tab w:val="left" w:pos="180"/>
        </w:tabs>
        <w:spacing w:before="0" w:line="288" w:lineRule="auto"/>
        <w:ind w:firstLine="720"/>
        <w:rPr>
          <w:rFonts w:cs="Sylfaen"/>
          <w:b w:val="0"/>
          <w:szCs w:val="22"/>
          <w:lang w:val="hy-AM"/>
        </w:rPr>
      </w:pPr>
      <w:r>
        <w:rPr>
          <w:rFonts w:cs="Sylfaen"/>
          <w:b w:val="0"/>
          <w:szCs w:val="22"/>
          <w:lang w:val="hy-AM"/>
        </w:rPr>
        <w:t>Ծրագրի շրջանակներում նախատեսվում է</w:t>
      </w:r>
      <w:r w:rsidR="00282038" w:rsidRPr="007955BB">
        <w:rPr>
          <w:rFonts w:cs="Sylfaen"/>
          <w:b w:val="0"/>
          <w:szCs w:val="22"/>
          <w:lang w:val="hy-AM"/>
        </w:rPr>
        <w:t xml:space="preserve"> իրականացնել դատաբժշկական և գենետիկ ծառայությունների գծով 48258 փորձաքննություն, վիրահատական և բիոպսիոն նյութերի 3456 հետազոտություններ, ինչպես նաև 576 ախտաբանաանատոմիական դիահերձումներ:</w:t>
      </w:r>
      <w:bookmarkEnd w:id="323"/>
    </w:p>
    <w:p w:rsidR="00282038" w:rsidRPr="007955BB" w:rsidRDefault="00282038" w:rsidP="00282038">
      <w:pPr>
        <w:spacing w:before="0" w:line="288" w:lineRule="auto"/>
        <w:ind w:firstLine="720"/>
        <w:rPr>
          <w:b w:val="0"/>
          <w:lang w:val="hy-AM"/>
        </w:rPr>
      </w:pPr>
      <w:r w:rsidRPr="007955BB">
        <w:rPr>
          <w:rFonts w:cs="Sylfaen"/>
          <w:bCs/>
          <w:szCs w:val="22"/>
          <w:lang w:val="hy-AM"/>
        </w:rPr>
        <w:t>Դեղապահովում ծրագր</w:t>
      </w:r>
      <w:bookmarkStart w:id="324" w:name="_Hlk19664365"/>
      <w:r w:rsidR="000635F8" w:rsidRPr="000635F8">
        <w:rPr>
          <w:rFonts w:cs="Sylfaen"/>
          <w:bCs/>
          <w:szCs w:val="22"/>
          <w:lang w:val="hy-AM"/>
        </w:rPr>
        <w:t>ի</w:t>
      </w:r>
      <w:r w:rsidRPr="007955BB">
        <w:rPr>
          <w:rFonts w:cs="Sylfaen"/>
          <w:bCs/>
          <w:szCs w:val="22"/>
          <w:lang w:val="hy-AM"/>
        </w:rPr>
        <w:t xml:space="preserve"> </w:t>
      </w:r>
      <w:r w:rsidRPr="007955BB">
        <w:rPr>
          <w:b w:val="0"/>
          <w:lang w:val="hy-AM"/>
        </w:rPr>
        <w:t>գծով նախատեսվել է 4,119.9 մլն դրամ:</w:t>
      </w:r>
    </w:p>
    <w:p w:rsidR="00282038" w:rsidRPr="007955BB" w:rsidRDefault="00282038" w:rsidP="00282038">
      <w:pPr>
        <w:tabs>
          <w:tab w:val="left" w:pos="180"/>
        </w:tabs>
        <w:spacing w:before="0" w:line="288" w:lineRule="auto"/>
        <w:ind w:firstLine="720"/>
        <w:rPr>
          <w:rFonts w:cs="Sylfaen"/>
          <w:b w:val="0"/>
          <w:szCs w:val="22"/>
          <w:lang w:val="hy-AM"/>
        </w:rPr>
      </w:pPr>
      <w:r w:rsidRPr="007955BB">
        <w:rPr>
          <w:rFonts w:cs="Sylfaen"/>
          <w:b w:val="0"/>
          <w:szCs w:val="22"/>
          <w:lang w:val="hy-AM"/>
        </w:rPr>
        <w:t>Ծրագրի նպատակը դեղերի անվտանգության, արդյունավետության և որակի ապահովումն է, ՀՀ հիմնական դեղերի ցանկում առկա կենսականորեն անհրաժեշտ դեղերի ֆիզիկական և տնտեսական մատչելիության բարձրացումը, որի արդյունքում ակնկալվում է Հանրապետությունում առանձին հիվանդություններով տառապող անձանց առանցքային նշանակության դեղորայքի մատչելիության բարձրացում: Ծրագրի շրջանակներում նախատեսված հատկացումներն ուղղվելու են ՀՀ կառավարության 2019թ.-ի մայիսի 30-ի N 642-Ն որոշմամբ սահմանված թվով 189029 շահառուներին՝ պետության կողմից անվճար և արտոնյալ պայմաններով դեղորայքի տրամադրման համար ապահովելով 12 հիվանդության ծածկույթ: Ծրագրի շրջանակներում նախատեսվում է իրականացնել նաև թվով 150 հատ մարդասիրական օգնության կարգով ստացվող դեղերի և բժշկական պարագաների բեռների ստացման, մաքսազերծման և պահպանման ծառայություններ:</w:t>
      </w:r>
    </w:p>
    <w:bookmarkEnd w:id="324"/>
    <w:p w:rsidR="00282038" w:rsidRPr="007955BB" w:rsidRDefault="00282038" w:rsidP="00282038">
      <w:pPr>
        <w:tabs>
          <w:tab w:val="left" w:pos="180"/>
          <w:tab w:val="left" w:pos="851"/>
        </w:tabs>
        <w:spacing w:before="0" w:line="288" w:lineRule="auto"/>
        <w:ind w:firstLine="720"/>
        <w:rPr>
          <w:rFonts w:cs="Sylfaen"/>
          <w:b w:val="0"/>
          <w:szCs w:val="22"/>
          <w:lang w:val="hy-AM"/>
        </w:rPr>
      </w:pPr>
      <w:r w:rsidRPr="007955BB">
        <w:rPr>
          <w:rFonts w:cs="Sylfaen"/>
          <w:bCs/>
          <w:szCs w:val="22"/>
          <w:lang w:val="hy-AM"/>
        </w:rPr>
        <w:t xml:space="preserve">Խորհրդատվական, մասնագիտական աջակցություն և հետազոտություններ </w:t>
      </w:r>
      <w:r w:rsidRPr="007955BB">
        <w:rPr>
          <w:rFonts w:cs="Sylfaen"/>
          <w:b w:val="0"/>
          <w:bCs/>
          <w:szCs w:val="22"/>
          <w:lang w:val="hy-AM"/>
        </w:rPr>
        <w:t>ծրագրի գծով նախատեսվել է 382.4 մլն դրամ:</w:t>
      </w:r>
      <w:bookmarkStart w:id="325" w:name="_Hlk19665130"/>
      <w:r w:rsidRPr="007955BB">
        <w:rPr>
          <w:rFonts w:cs="Sylfaen"/>
          <w:b w:val="0"/>
          <w:bCs/>
          <w:szCs w:val="22"/>
          <w:lang w:val="hy-AM"/>
        </w:rPr>
        <w:t xml:space="preserve"> </w:t>
      </w:r>
      <w:r w:rsidRPr="007955BB">
        <w:rPr>
          <w:rFonts w:cs="Sylfaen"/>
          <w:b w:val="0"/>
          <w:szCs w:val="22"/>
          <w:lang w:val="hy-AM"/>
        </w:rPr>
        <w:t xml:space="preserve">Ծրագրի նպատակն է բժշկական օգնության կազմակերպման ու որակի բարձրացման կարգավորման մասնագիտական, խորհրդատվական, կազմակերպամեթոդական ապահովումը, համակարգի գործունեության արդյունքների գնահատումը, ինչպես նաև բժիշկ-մասնագետների ժամանակավոր ուղեգրման միջոցով ՀՀ մարզային առողջապահական կազմակերպություններում բժշկական ծառայությունների մատուցումը: </w:t>
      </w:r>
    </w:p>
    <w:p w:rsidR="00282038" w:rsidRPr="007955BB" w:rsidRDefault="00282038" w:rsidP="00282038">
      <w:pPr>
        <w:tabs>
          <w:tab w:val="left" w:pos="180"/>
          <w:tab w:val="left" w:pos="851"/>
        </w:tabs>
        <w:spacing w:before="0" w:line="288" w:lineRule="auto"/>
        <w:ind w:firstLine="720"/>
        <w:rPr>
          <w:b w:val="0"/>
          <w:bCs/>
          <w:lang w:val="hy-AM"/>
        </w:rPr>
      </w:pPr>
      <w:r w:rsidRPr="007955BB">
        <w:rPr>
          <w:rFonts w:cs="Sylfaen"/>
          <w:b w:val="0"/>
          <w:szCs w:val="22"/>
          <w:lang w:val="hy-AM"/>
        </w:rPr>
        <w:t>Ծրագրի շրջանակներում նախատեվում է իրականացնել 250 հատ շարունակական մասնագիտական զարգացման կրեդիտային համակարգի ծառայություններ, 25 ուղեցույցերի, գործելակարգերի, հաշվառման ձևերի և այլ փաստաթղթերի մշակման ծառայություններ, 5</w:t>
      </w:r>
      <w:r w:rsidR="000635F8">
        <w:rPr>
          <w:rFonts w:cs="Sylfaen"/>
          <w:b w:val="0"/>
          <w:szCs w:val="22"/>
          <w:lang w:val="hy-AM"/>
        </w:rPr>
        <w:t xml:space="preserve">0 բժիշկ-մասնագետների ուղեգրումն </w:t>
      </w:r>
      <w:r w:rsidRPr="007955BB">
        <w:rPr>
          <w:rFonts w:cs="Sylfaen"/>
          <w:b w:val="0"/>
          <w:szCs w:val="22"/>
          <w:lang w:val="hy-AM"/>
        </w:rPr>
        <w:t>ընդունված 20 մարզային առողջապահական կազմակերպություններ, ինչպես նաև 1200 բուժաշխատողների շարունակական մասնագիտական վերապատրաստման դասընթացներ:</w:t>
      </w:r>
      <w:bookmarkEnd w:id="325"/>
    </w:p>
    <w:p w:rsidR="00282038" w:rsidRPr="007955BB" w:rsidRDefault="00282038" w:rsidP="00282038">
      <w:pPr>
        <w:tabs>
          <w:tab w:val="left" w:pos="180"/>
          <w:tab w:val="left" w:pos="851"/>
        </w:tabs>
        <w:spacing w:before="0" w:line="288" w:lineRule="auto"/>
        <w:ind w:firstLine="720"/>
        <w:rPr>
          <w:rFonts w:cs="Sylfaen"/>
          <w:b w:val="0"/>
          <w:szCs w:val="22"/>
          <w:lang w:val="hy-AM"/>
        </w:rPr>
      </w:pPr>
      <w:r w:rsidRPr="007955BB">
        <w:rPr>
          <w:rFonts w:cs="Sylfaen"/>
          <w:bCs/>
          <w:szCs w:val="22"/>
          <w:lang w:val="hy-AM"/>
        </w:rPr>
        <w:t xml:space="preserve">Մոր և մանկան առողջության պահպանում ծրագրի </w:t>
      </w:r>
      <w:r w:rsidRPr="007955BB">
        <w:rPr>
          <w:rFonts w:cs="Sylfaen"/>
          <w:b w:val="0"/>
          <w:bCs/>
          <w:szCs w:val="22"/>
          <w:lang w:val="hy-AM"/>
        </w:rPr>
        <w:t xml:space="preserve">գծով նախատեսվել է 21,017.0 մլն դրամ: </w:t>
      </w:r>
      <w:r w:rsidRPr="007955BB">
        <w:rPr>
          <w:rFonts w:cs="Sylfaen"/>
          <w:b w:val="0"/>
          <w:szCs w:val="22"/>
          <w:lang w:val="hy-AM"/>
        </w:rPr>
        <w:t xml:space="preserve">Ծրագրի նպատակն է մոր և մանկան առողջության պահպանումը, կանանց և երեխաներին մատուցվող բժշկական ծառայությունների մատչելիության և որակի բարելավումը, որի արդյունքում ակնկալվում է մանկական և մայրական մահացության և հիվանդացության կրճատում, կանանց վերարտադրողական առողջության բարելավում: </w:t>
      </w:r>
    </w:p>
    <w:p w:rsidR="00282038" w:rsidRPr="007955BB" w:rsidRDefault="00282038" w:rsidP="00282038">
      <w:pPr>
        <w:tabs>
          <w:tab w:val="left" w:pos="180"/>
          <w:tab w:val="left" w:pos="540"/>
        </w:tabs>
        <w:spacing w:before="0" w:line="288" w:lineRule="auto"/>
        <w:ind w:firstLine="720"/>
        <w:rPr>
          <w:rFonts w:cs="Sylfaen"/>
          <w:b w:val="0"/>
          <w:szCs w:val="22"/>
          <w:lang w:val="hy-AM" w:eastAsia="x-none"/>
        </w:rPr>
      </w:pPr>
      <w:r w:rsidRPr="007955BB">
        <w:rPr>
          <w:rFonts w:cs="Sylfaen"/>
          <w:b w:val="0"/>
          <w:szCs w:val="22"/>
          <w:lang w:val="hy-AM" w:eastAsia="x-none"/>
        </w:rPr>
        <w:t>Ծրագրի շրջանակներում նախատեսվում է իրականացնել մանկաբարձական բժշկական օգնության ծառայություններից օգտվելու 51631 դեպք, 36114 հատ ծնունդներ, 13267 կեսարյան հատում, երեխաների բժշկական օգնության գծով ծառայություններից օգտվելու 81810 դեպք, մտավոր, հոգեկան (վարքագծային), լսողական, ֆիզիկական (շարժողական) և զարգացման այլ խանգարումներով երեխաների վերականգնողական բուժման գծով ծառայություններից օգտվելու 91780 դեպք, 1206 ամուսնական զույգերի տրամադրել վերարտադրողական օժանդակ տեխնոլոգիաների կիրառմամբ բժշկական օգնության ծառայություններ, այդ թվում՝ իրականացնել 22921 հատ հետազոտություններ, ինչպես նաև անցկացնել 135000 հատ բնածին հիպոթիրեոզի, ֆենիլկենտոնուրիայի և լսողութ</w:t>
      </w:r>
      <w:r w:rsidR="000635F8" w:rsidRPr="000635F8">
        <w:rPr>
          <w:rFonts w:cs="Sylfaen"/>
          <w:b w:val="0"/>
          <w:szCs w:val="22"/>
          <w:lang w:val="hy-AM" w:eastAsia="x-none"/>
        </w:rPr>
        <w:t>յ</w:t>
      </w:r>
      <w:r w:rsidRPr="007955BB">
        <w:rPr>
          <w:rFonts w:cs="Sylfaen"/>
          <w:b w:val="0"/>
          <w:szCs w:val="22"/>
          <w:lang w:val="hy-AM" w:eastAsia="x-none"/>
        </w:rPr>
        <w:t>ան խանգարումների վաղ հայտնաբերման նպատակով նորածնային սկրինինգի հետազոտություններ:</w:t>
      </w:r>
    </w:p>
    <w:p w:rsidR="00282038" w:rsidRPr="007955BB" w:rsidRDefault="00282038" w:rsidP="00282038">
      <w:pPr>
        <w:tabs>
          <w:tab w:val="left" w:pos="180"/>
          <w:tab w:val="left" w:pos="540"/>
        </w:tabs>
        <w:spacing w:before="0" w:line="288" w:lineRule="auto"/>
        <w:ind w:firstLine="720"/>
        <w:rPr>
          <w:rFonts w:cs="Sylfaen"/>
          <w:b w:val="0"/>
          <w:szCs w:val="22"/>
          <w:lang w:val="hy-AM" w:eastAsia="x-none"/>
        </w:rPr>
      </w:pPr>
      <w:r w:rsidRPr="007955BB">
        <w:rPr>
          <w:rFonts w:cs="Sylfaen"/>
          <w:bCs/>
          <w:szCs w:val="22"/>
          <w:lang w:val="hy-AM" w:eastAsia="x-none"/>
        </w:rPr>
        <w:t xml:space="preserve">Շտապ բժշկական օգնություն ծրագրի </w:t>
      </w:r>
      <w:r w:rsidRPr="007955BB">
        <w:rPr>
          <w:rFonts w:cs="Sylfaen"/>
          <w:b w:val="0"/>
          <w:szCs w:val="22"/>
          <w:lang w:val="hy-AM" w:eastAsia="x-none"/>
        </w:rPr>
        <w:t>գծով նախատեսվել է 5,311.0 մլն դրամ:</w:t>
      </w:r>
    </w:p>
    <w:p w:rsidR="00282038" w:rsidRPr="007955BB" w:rsidRDefault="00282038" w:rsidP="00282038">
      <w:pPr>
        <w:tabs>
          <w:tab w:val="left" w:pos="180"/>
        </w:tabs>
        <w:spacing w:before="0" w:line="288" w:lineRule="auto"/>
        <w:ind w:firstLine="720"/>
        <w:rPr>
          <w:rFonts w:cs="Sylfaen"/>
          <w:b w:val="0"/>
          <w:szCs w:val="22"/>
          <w:lang w:val="hy-AM"/>
        </w:rPr>
      </w:pPr>
      <w:r w:rsidRPr="007955BB">
        <w:rPr>
          <w:rFonts w:cs="Sylfaen"/>
          <w:b w:val="0"/>
          <w:szCs w:val="22"/>
          <w:lang w:val="hy-AM"/>
        </w:rPr>
        <w:t xml:space="preserve">Ծրագրի նպատակն է մարդու կյանքին և առողջությանը վտանգ սպառնացող վիճակներում որակյալ շտապ բժշկական օգնության ծառայությունների տրամադրումը, որի արդյունքում նախատեսվում է բարելավել շտապ օգնության համակարգի պատրաստվածությունը, արձագանքման արագությունը, հասանելիության և բժշկական օգնության ծառայությունների որակը: </w:t>
      </w:r>
    </w:p>
    <w:p w:rsidR="00282038" w:rsidRPr="007955BB" w:rsidRDefault="00282038" w:rsidP="00282038">
      <w:pPr>
        <w:tabs>
          <w:tab w:val="left" w:pos="180"/>
        </w:tabs>
        <w:spacing w:before="0" w:line="288" w:lineRule="auto"/>
        <w:ind w:firstLine="720"/>
        <w:rPr>
          <w:rFonts w:cs="Sylfaen"/>
          <w:b w:val="0"/>
          <w:szCs w:val="22"/>
          <w:lang w:val="hy-AM"/>
        </w:rPr>
      </w:pPr>
      <w:r w:rsidRPr="007955BB">
        <w:rPr>
          <w:rFonts w:cs="Sylfaen"/>
          <w:b w:val="0"/>
          <w:szCs w:val="22"/>
          <w:lang w:val="hy-AM"/>
        </w:rPr>
        <w:t xml:space="preserve">Ծրագրի շրջանակներում նախատեսված </w:t>
      </w:r>
      <w:r w:rsidR="000635F8" w:rsidRPr="000635F8">
        <w:rPr>
          <w:rFonts w:cs="Sylfaen"/>
          <w:b w:val="0"/>
          <w:szCs w:val="22"/>
          <w:lang w:val="hy-AM"/>
        </w:rPr>
        <w:t xml:space="preserve">է </w:t>
      </w:r>
      <w:r w:rsidRPr="007955BB">
        <w:rPr>
          <w:rFonts w:cs="Sylfaen"/>
          <w:b w:val="0"/>
          <w:szCs w:val="22"/>
          <w:lang w:val="hy-AM"/>
        </w:rPr>
        <w:t>իրականացնել 571301 հատ շտապ օգնության և 100 հատ օդային ճանապարհով սանիտարական ավիացիայի կանչեր, ինչպես նաև 16900 հատ մարզերից Երևան կամ այլ տարածաշրջանային հիվանդանոցներ հիվանդի տեղափոխման դեպքեր:</w:t>
      </w:r>
    </w:p>
    <w:p w:rsidR="00282038" w:rsidRPr="007955BB" w:rsidRDefault="00282038" w:rsidP="00282038">
      <w:pPr>
        <w:tabs>
          <w:tab w:val="left" w:pos="180"/>
        </w:tabs>
        <w:spacing w:before="0" w:line="288" w:lineRule="auto"/>
        <w:ind w:firstLine="720"/>
        <w:rPr>
          <w:rFonts w:cs="Sylfaen"/>
          <w:b w:val="0"/>
          <w:szCs w:val="22"/>
          <w:lang w:val="hy-AM"/>
        </w:rPr>
      </w:pPr>
      <w:r w:rsidRPr="007955BB">
        <w:rPr>
          <w:rFonts w:cs="Sylfaen"/>
          <w:bCs/>
          <w:szCs w:val="22"/>
          <w:lang w:val="hy-AM"/>
        </w:rPr>
        <w:t xml:space="preserve">Ոչ վարակիչ հիվանդությունների բժշկական օգնության ապահովում </w:t>
      </w:r>
      <w:r w:rsidRPr="007955BB">
        <w:rPr>
          <w:rFonts w:cs="Sylfaen"/>
          <w:b w:val="0"/>
          <w:bCs/>
          <w:szCs w:val="22"/>
          <w:lang w:val="hy-AM"/>
        </w:rPr>
        <w:t>ծր</w:t>
      </w:r>
      <w:r w:rsidRPr="007955BB">
        <w:rPr>
          <w:rFonts w:cs="Sylfaen"/>
          <w:b w:val="0"/>
          <w:szCs w:val="22"/>
          <w:lang w:val="hy-AM"/>
        </w:rPr>
        <w:t>ագրի գծով նախատեսվել է 20,103.5 մլն դրամ:</w:t>
      </w:r>
    </w:p>
    <w:p w:rsidR="00282038" w:rsidRPr="007955BB" w:rsidRDefault="00282038" w:rsidP="00282038">
      <w:pPr>
        <w:tabs>
          <w:tab w:val="left" w:pos="180"/>
        </w:tabs>
        <w:spacing w:before="0" w:line="288" w:lineRule="auto"/>
        <w:ind w:firstLine="720"/>
        <w:rPr>
          <w:rFonts w:cs="Sylfaen"/>
          <w:b w:val="0"/>
          <w:szCs w:val="22"/>
          <w:lang w:val="hy-AM"/>
        </w:rPr>
      </w:pPr>
      <w:r w:rsidRPr="007955BB">
        <w:rPr>
          <w:rFonts w:cs="Sylfaen"/>
          <w:b w:val="0"/>
          <w:szCs w:val="22"/>
          <w:lang w:val="hy-AM"/>
        </w:rPr>
        <w:t>Ծրագրի նպատակն է ոչ վարակիչ հիվանդությունների (մասնավորապես՛ սիրտանոթային, շաքարային դիաբետի և չարորակ նորագոյացությունների) բուժման արդյունավետության բարձրացումը: Ծրագրի իրականացման արդյունքում նախատեսվում է նվազեցնել ոչ վարակիչ հիվանդություններով պայմանավորված հիվանդացությունը և մահացությունը:</w:t>
      </w:r>
    </w:p>
    <w:p w:rsidR="00282038" w:rsidRPr="007955BB" w:rsidRDefault="00282038" w:rsidP="00282038">
      <w:pPr>
        <w:tabs>
          <w:tab w:val="left" w:pos="180"/>
        </w:tabs>
        <w:spacing w:before="0" w:line="288" w:lineRule="auto"/>
        <w:ind w:firstLine="720"/>
        <w:rPr>
          <w:rFonts w:cs="Sylfaen"/>
          <w:b w:val="0"/>
          <w:szCs w:val="22"/>
          <w:lang w:val="hy-AM"/>
        </w:rPr>
      </w:pPr>
      <w:r w:rsidRPr="007955BB">
        <w:rPr>
          <w:rFonts w:cs="Sylfaen"/>
          <w:b w:val="0"/>
          <w:szCs w:val="22"/>
          <w:lang w:val="hy-AM"/>
        </w:rPr>
        <w:t>Ծրագրի շրջա</w:t>
      </w:r>
      <w:r w:rsidR="000635F8">
        <w:rPr>
          <w:rFonts w:cs="Sylfaen"/>
          <w:b w:val="0"/>
          <w:szCs w:val="22"/>
          <w:lang w:val="hy-AM"/>
        </w:rPr>
        <w:t>նակներում նախատեսված հատկացումն</w:t>
      </w:r>
      <w:r w:rsidRPr="007955BB">
        <w:rPr>
          <w:rFonts w:cs="Sylfaen"/>
          <w:b w:val="0"/>
          <w:szCs w:val="22"/>
          <w:lang w:val="hy-AM"/>
        </w:rPr>
        <w:t>երն ուղղվելու են 160650 հատ հեմոդիալիզի անցկացման սեանսներին, անհետաձգելի բժշկական օգնության ծառայություններից օգտվելու՝ 26857 դեպքի, գլխուղեղի սուր կամ ենթասուր իշեմիկ</w:t>
      </w:r>
      <w:r w:rsidR="000635F8">
        <w:rPr>
          <w:rFonts w:cs="Sylfaen"/>
          <w:b w:val="0"/>
          <w:szCs w:val="22"/>
          <w:lang w:val="hy-AM"/>
        </w:rPr>
        <w:t xml:space="preserve"> ինսուլտի բուժման՝ 557 դեպքի, ա</w:t>
      </w:r>
      <w:r w:rsidRPr="007955BB">
        <w:rPr>
          <w:rFonts w:cs="Sylfaen"/>
          <w:b w:val="0"/>
          <w:szCs w:val="22"/>
          <w:lang w:val="hy-AM"/>
        </w:rPr>
        <w:t>ո</w:t>
      </w:r>
      <w:r w:rsidR="000635F8" w:rsidRPr="000635F8">
        <w:rPr>
          <w:rFonts w:cs="Sylfaen"/>
          <w:b w:val="0"/>
          <w:szCs w:val="22"/>
          <w:lang w:val="hy-AM"/>
        </w:rPr>
        <w:t>ր</w:t>
      </w:r>
      <w:r w:rsidRPr="007955BB">
        <w:rPr>
          <w:rFonts w:cs="Sylfaen"/>
          <w:b w:val="0"/>
          <w:szCs w:val="22"/>
          <w:lang w:val="hy-AM"/>
        </w:rPr>
        <w:t>տայի շերտազատված անևրիզմայի վիրահատական բուժման՝ 100 դեպքի, հիվանդանոցային պայմաններում արտահիվանդանոցային բժշկական օգնության (emergency)` 87456 դեպքի, հոգեկան և նարկոլոգիական հիվանդների բժշկական օգնության գծով ծառայություններից օգտվելու՝ 8095 դեպքի, ուռուցքաբանական և արյունաբանական հիվանդությունների բժշկական օգնության գծով ծառայություններից օգտվելու՝ 36400 դեպքի և 7450 վիրաբուժական միջամտությունների, ինչպես նաև սրտի անհետաձգելի վիրահատությունների գծով՝ 2183 դեպքի, կորոնարոգրաֆիայով ավարտված՝ 116 դեպքի, սրտի ռիթմը վարող սարքի իմպլանտացիայի՝ 300 դեպքի, անհետաձգելի թրոմբոլիզի՝ 300 դեպքի, սուր ինֆա</w:t>
      </w:r>
      <w:r w:rsidR="000635F8" w:rsidRPr="000635F8">
        <w:rPr>
          <w:rFonts w:cs="Sylfaen"/>
          <w:b w:val="0"/>
          <w:szCs w:val="22"/>
          <w:lang w:val="hy-AM"/>
        </w:rPr>
        <w:t>ր</w:t>
      </w:r>
      <w:r w:rsidRPr="007955BB">
        <w:rPr>
          <w:rFonts w:cs="Sylfaen"/>
          <w:b w:val="0"/>
          <w:szCs w:val="22"/>
          <w:lang w:val="hy-AM"/>
        </w:rPr>
        <w:t xml:space="preserve">կտի դեպքում անհետաձգելի ֆիբինոլիզի՝ 200 դեպքի իրականացմանը: </w:t>
      </w:r>
    </w:p>
    <w:p w:rsidR="00282038" w:rsidRPr="007955BB" w:rsidRDefault="00282038" w:rsidP="00282038">
      <w:pPr>
        <w:tabs>
          <w:tab w:val="left" w:pos="180"/>
        </w:tabs>
        <w:spacing w:before="0" w:line="288" w:lineRule="auto"/>
        <w:ind w:firstLine="720"/>
        <w:rPr>
          <w:rFonts w:cs="Sylfaen"/>
          <w:b w:val="0"/>
          <w:szCs w:val="22"/>
          <w:lang w:val="hy-AM"/>
        </w:rPr>
      </w:pPr>
      <w:r w:rsidRPr="007955BB">
        <w:rPr>
          <w:rFonts w:cs="Sylfaen"/>
          <w:bCs/>
          <w:szCs w:val="22"/>
          <w:lang w:val="hy-AM"/>
        </w:rPr>
        <w:t xml:space="preserve">Սոցիալապես անապահով և առանձին խմբերի անձանց բժշկական օգնություն </w:t>
      </w:r>
      <w:r w:rsidRPr="007955BB">
        <w:rPr>
          <w:rFonts w:cs="Sylfaen"/>
          <w:b w:val="0"/>
          <w:bCs/>
          <w:szCs w:val="22"/>
          <w:lang w:val="hy-AM"/>
        </w:rPr>
        <w:t>ծրագրի գծով նախատեսվել է 36,203.2 մլն դրամ:</w:t>
      </w:r>
    </w:p>
    <w:p w:rsidR="00282038" w:rsidRPr="007955BB" w:rsidRDefault="00282038" w:rsidP="00282038">
      <w:pPr>
        <w:tabs>
          <w:tab w:val="left" w:pos="180"/>
        </w:tabs>
        <w:spacing w:before="0" w:line="288" w:lineRule="auto"/>
        <w:ind w:firstLine="720"/>
        <w:rPr>
          <w:rFonts w:cs="Sylfaen"/>
          <w:b w:val="0"/>
          <w:szCs w:val="22"/>
          <w:lang w:val="hy-AM"/>
        </w:rPr>
      </w:pPr>
      <w:bookmarkStart w:id="326" w:name="_Hlk19669190"/>
      <w:r w:rsidRPr="007955BB">
        <w:rPr>
          <w:rFonts w:cs="Sylfaen"/>
          <w:b w:val="0"/>
          <w:szCs w:val="22"/>
          <w:lang w:val="hy-AM"/>
        </w:rPr>
        <w:t xml:space="preserve">Ծրագրի նպատակն է սոցիալապես անապահով և հատուկ խմբերում ընդգրկված անձանց բժշկական օգնության հասանելիության և մատչելիության մակարդակի բարձրացումը, հիվանդանոցային որակյալ բժշկական օգնության ապահովումը: </w:t>
      </w:r>
    </w:p>
    <w:p w:rsidR="00282038" w:rsidRPr="007955BB" w:rsidRDefault="00282038" w:rsidP="00282038">
      <w:pPr>
        <w:tabs>
          <w:tab w:val="left" w:pos="180"/>
        </w:tabs>
        <w:spacing w:before="0" w:line="288" w:lineRule="auto"/>
        <w:ind w:firstLine="720"/>
        <w:rPr>
          <w:rFonts w:cs="Sylfaen"/>
          <w:b w:val="0"/>
          <w:szCs w:val="22"/>
          <w:lang w:val="hy-AM"/>
        </w:rPr>
      </w:pPr>
      <w:r w:rsidRPr="007955BB">
        <w:rPr>
          <w:rFonts w:cs="Sylfaen"/>
          <w:b w:val="0"/>
          <w:szCs w:val="22"/>
          <w:lang w:val="hy-AM"/>
        </w:rPr>
        <w:t>Ծրագիրը հանդիսանում է սոցիալապես անապահով և հատուկ խմբերում ընդգրկված շահառուների սոցիալական երաշխիքի առողջապահական բաղադրիչը և ապահովում է բնակչության սոցիալապես անապահով և հատուկ խմբերում ընդգրկվածների, զինծառայողների, ինչպես նաև փրկարար ծառայողների և նրանց ընտանիքի անդամն</w:t>
      </w:r>
      <w:r w:rsidR="000635F8" w:rsidRPr="000635F8">
        <w:rPr>
          <w:rFonts w:cs="Sylfaen"/>
          <w:b w:val="0"/>
          <w:szCs w:val="22"/>
          <w:lang w:val="hy-AM"/>
        </w:rPr>
        <w:t>ե</w:t>
      </w:r>
      <w:r w:rsidRPr="007955BB">
        <w:rPr>
          <w:rFonts w:cs="Sylfaen"/>
          <w:b w:val="0"/>
          <w:szCs w:val="22"/>
          <w:lang w:val="hy-AM"/>
        </w:rPr>
        <w:t>րի,</w:t>
      </w:r>
      <w:r w:rsidRPr="007955BB">
        <w:rPr>
          <w:lang w:val="hy-AM"/>
        </w:rPr>
        <w:t xml:space="preserve"> </w:t>
      </w:r>
      <w:r w:rsidRPr="007955BB">
        <w:rPr>
          <w:rFonts w:cs="Sylfaen"/>
          <w:b w:val="0"/>
          <w:szCs w:val="22"/>
          <w:lang w:val="hy-AM"/>
        </w:rPr>
        <w:t>պետական հիմնարկների և կազմակերպությունների աշխատողների և թրաֆիքինգի զոհերի գծով բժշկական օգնության ծառայություններից օգտվելու 319743 դեպքի, ինչպես նաև ստոմատոլոգիական բժշկական օգնության գծով 102636 դեպքի, մարդու օրգանների փոխպատվաստման 18 դեպքի և ոսկրածուծի փոխպատվաստման 20 դեպքի իրականացումը:</w:t>
      </w:r>
      <w:bookmarkEnd w:id="326"/>
    </w:p>
    <w:p w:rsidR="00282038" w:rsidRPr="007955BB" w:rsidRDefault="00282038" w:rsidP="00282038">
      <w:pPr>
        <w:tabs>
          <w:tab w:val="left" w:pos="180"/>
        </w:tabs>
        <w:spacing w:before="0" w:line="288" w:lineRule="auto"/>
        <w:ind w:firstLine="720"/>
        <w:rPr>
          <w:rFonts w:cs="Sylfaen"/>
          <w:b w:val="0"/>
          <w:szCs w:val="22"/>
          <w:lang w:val="hy-AM"/>
        </w:rPr>
      </w:pPr>
      <w:r w:rsidRPr="007955BB">
        <w:rPr>
          <w:rFonts w:cs="Sylfaen"/>
          <w:bCs/>
          <w:szCs w:val="22"/>
          <w:lang w:val="hy-AM"/>
        </w:rPr>
        <w:t xml:space="preserve">Վարակիչ հիվանդությունների կանխարգելում ծրագիր </w:t>
      </w:r>
      <w:r w:rsidRPr="007955BB">
        <w:rPr>
          <w:rFonts w:cs="Sylfaen"/>
          <w:b w:val="0"/>
          <w:bCs/>
          <w:szCs w:val="22"/>
          <w:lang w:val="hy-AM"/>
        </w:rPr>
        <w:t>գծով նախատեսվել է 2,307.3 մլն դրամ:</w:t>
      </w:r>
    </w:p>
    <w:p w:rsidR="00282038" w:rsidRPr="007955BB" w:rsidRDefault="00282038" w:rsidP="00282038">
      <w:pPr>
        <w:tabs>
          <w:tab w:val="left" w:pos="0"/>
          <w:tab w:val="left" w:pos="567"/>
        </w:tabs>
        <w:spacing w:before="0" w:line="288" w:lineRule="auto"/>
        <w:ind w:firstLine="720"/>
        <w:rPr>
          <w:rFonts w:cs="Sylfaen"/>
          <w:b w:val="0"/>
          <w:szCs w:val="22"/>
          <w:lang w:val="hy-AM"/>
        </w:rPr>
      </w:pPr>
      <w:r w:rsidRPr="007955BB">
        <w:rPr>
          <w:rFonts w:cs="Sylfaen"/>
          <w:b w:val="0"/>
          <w:szCs w:val="22"/>
          <w:lang w:val="hy-AM"/>
        </w:rPr>
        <w:tab/>
        <w:t>Ծրագրի նպատակն է վարակիչ և բնակչության համար մեծ ռիսկ ներկայացնող հիվանդությունների (մալարիա, տուբերկուլյոզ, ՄԻԱՎ/ՁԻԱՀ և այլն) վաղ հայտնաբերումը, արդյուն</w:t>
      </w:r>
      <w:r w:rsidR="000635F8" w:rsidRPr="000635F8">
        <w:rPr>
          <w:rFonts w:cs="Sylfaen"/>
          <w:b w:val="0"/>
          <w:szCs w:val="22"/>
          <w:lang w:val="hy-AM"/>
        </w:rPr>
        <w:t>ա</w:t>
      </w:r>
      <w:r w:rsidRPr="007955BB">
        <w:rPr>
          <w:rFonts w:cs="Sylfaen"/>
          <w:b w:val="0"/>
          <w:szCs w:val="22"/>
          <w:lang w:val="hy-AM"/>
        </w:rPr>
        <w:t xml:space="preserve">վետ հակազդումը և բժշկական օգնության ապահովումը, որի իրականացման արդյունքում նախատեսվում է նվազեցնել վարակի փոխանցումը, վարակիչ հիվանդություններով պայմանավորված հիվանդացությունը և մահացությունը: </w:t>
      </w:r>
    </w:p>
    <w:p w:rsidR="00282038" w:rsidRPr="007955BB" w:rsidRDefault="00282038" w:rsidP="00282038">
      <w:pPr>
        <w:tabs>
          <w:tab w:val="left" w:pos="0"/>
          <w:tab w:val="left" w:pos="567"/>
        </w:tabs>
        <w:spacing w:before="0" w:line="288" w:lineRule="auto"/>
        <w:ind w:firstLine="720"/>
        <w:rPr>
          <w:rFonts w:cs="Sylfaen"/>
          <w:b w:val="0"/>
          <w:szCs w:val="22"/>
          <w:lang w:val="hy-AM"/>
        </w:rPr>
      </w:pPr>
      <w:r w:rsidRPr="007955BB">
        <w:rPr>
          <w:rFonts w:cs="Sylfaen"/>
          <w:b w:val="0"/>
          <w:szCs w:val="22"/>
          <w:lang w:val="hy-AM"/>
        </w:rPr>
        <w:t>Ծրագրի շրջանակներում նախատեսված հատկացումներն ուղղվելու են ՄԻԱՎ/ՁԻԱՀ-ի  կանխարգելման և բուժօգնության ծառայությունների գծով 26290 հետազոտությունների, 30406 ՄԻԱՎ/ՁԻԱՀ-ով հիվանդների դիսպանսերային հսկողության, տուբերկուլյոզի բժշկական օգնության գծով ծառայություններից օգտվելու 570 դեպքի, ինչպես նաև աղիքային և այլ ինֆեկցիոն հիվանդությունների բժշկական օգնության գծով ծառայություններից օգտվելու 11690 դեպքի իրականացմանը:</w:t>
      </w:r>
    </w:p>
    <w:p w:rsidR="00282038" w:rsidRPr="007955BB" w:rsidRDefault="00282038" w:rsidP="00282038">
      <w:pPr>
        <w:tabs>
          <w:tab w:val="left" w:pos="180"/>
        </w:tabs>
        <w:spacing w:before="0" w:line="288" w:lineRule="auto"/>
        <w:ind w:firstLine="720"/>
        <w:rPr>
          <w:rFonts w:cs="Sylfaen"/>
          <w:bCs/>
          <w:szCs w:val="22"/>
          <w:lang w:val="hy-AM"/>
        </w:rPr>
      </w:pPr>
      <w:r w:rsidRPr="007955BB">
        <w:rPr>
          <w:rFonts w:cs="Sylfaen"/>
          <w:bCs/>
          <w:szCs w:val="22"/>
          <w:lang w:val="hy-AM"/>
        </w:rPr>
        <w:t xml:space="preserve"> Առողջապահության համակարգի արդիականացման և արդյունավետության բարձրացման ծրագիր</w:t>
      </w:r>
    </w:p>
    <w:p w:rsidR="00282038" w:rsidRPr="007955BB" w:rsidRDefault="00282038" w:rsidP="00282038">
      <w:pPr>
        <w:numPr>
          <w:ilvl w:val="12"/>
          <w:numId w:val="0"/>
        </w:numPr>
        <w:tabs>
          <w:tab w:val="left" w:pos="851"/>
          <w:tab w:val="left" w:pos="9214"/>
        </w:tabs>
        <w:spacing w:before="0" w:line="288" w:lineRule="auto"/>
        <w:ind w:firstLine="720"/>
        <w:contextualSpacing w:val="0"/>
        <w:rPr>
          <w:b w:val="0"/>
          <w:szCs w:val="22"/>
          <w:lang w:val="hy-AM" w:eastAsia="en-US"/>
        </w:rPr>
      </w:pPr>
      <w:r w:rsidRPr="007955BB">
        <w:rPr>
          <w:b w:val="0"/>
          <w:szCs w:val="22"/>
          <w:lang w:val="hy-AM" w:eastAsia="en-US"/>
        </w:rPr>
        <w:t>Ծրագրի նպատակն է Առողջապահության համակարգի արդիականացում և զարգացում վարակիչ և բնակչության համար մեծ ռիսկ ներկայացնող հիվանդությունների (մալարիա, տուբերկուլյոզ, ՄԻԱՎ/ՁԻԱՀ և այլն) վաղ հայտնաբերումը, արդյուն</w:t>
      </w:r>
      <w:r w:rsidR="000635F8" w:rsidRPr="000635F8">
        <w:rPr>
          <w:b w:val="0"/>
          <w:szCs w:val="22"/>
          <w:lang w:val="hy-AM" w:eastAsia="en-US"/>
        </w:rPr>
        <w:t>ա</w:t>
      </w:r>
      <w:r w:rsidRPr="007955BB">
        <w:rPr>
          <w:b w:val="0"/>
          <w:szCs w:val="22"/>
          <w:lang w:val="hy-AM" w:eastAsia="en-US"/>
        </w:rPr>
        <w:t>վետ հակազդումը և բժշկական օգնության ապահովումը:</w:t>
      </w:r>
    </w:p>
    <w:p w:rsidR="00282038" w:rsidRPr="007955BB" w:rsidRDefault="00282038" w:rsidP="00282038">
      <w:pPr>
        <w:numPr>
          <w:ilvl w:val="12"/>
          <w:numId w:val="0"/>
        </w:numPr>
        <w:tabs>
          <w:tab w:val="left" w:pos="851"/>
          <w:tab w:val="left" w:pos="9214"/>
        </w:tabs>
        <w:spacing w:before="0" w:line="288" w:lineRule="auto"/>
        <w:ind w:firstLine="720"/>
        <w:contextualSpacing w:val="0"/>
        <w:rPr>
          <w:b w:val="0"/>
          <w:color w:val="FF0000"/>
          <w:szCs w:val="22"/>
          <w:lang w:val="hy-AM" w:eastAsia="en-US"/>
        </w:rPr>
      </w:pPr>
      <w:r w:rsidRPr="007955BB">
        <w:rPr>
          <w:b w:val="0"/>
          <w:szCs w:val="22"/>
          <w:lang w:val="hy-AM" w:eastAsia="en-US"/>
        </w:rPr>
        <w:t>Ծրագրի շրջանակներում նախատեսվում է՝ խորհրդատվական ծառայությունների մատուցում,ս</w:t>
      </w:r>
      <w:r w:rsidRPr="007955BB">
        <w:rPr>
          <w:rFonts w:cs="Sylfaen"/>
          <w:b w:val="0"/>
          <w:lang w:val="hy-AM"/>
        </w:rPr>
        <w:t>քրինինգային</w:t>
      </w:r>
      <w:r w:rsidRPr="007955BB">
        <w:rPr>
          <w:rFonts w:cs="Sylfaen"/>
          <w:b w:val="0"/>
          <w:lang w:val="af-ZA"/>
        </w:rPr>
        <w:t xml:space="preserve"> </w:t>
      </w:r>
      <w:r w:rsidRPr="007955BB">
        <w:rPr>
          <w:rFonts w:cs="Sylfaen"/>
          <w:b w:val="0"/>
          <w:lang w:val="hy-AM"/>
        </w:rPr>
        <w:t>հետազոտությունների</w:t>
      </w:r>
      <w:r w:rsidRPr="007955BB">
        <w:rPr>
          <w:rFonts w:cs="Sylfaen"/>
          <w:b w:val="0"/>
          <w:lang w:val="af-ZA"/>
        </w:rPr>
        <w:t xml:space="preserve"> </w:t>
      </w:r>
      <w:r w:rsidRPr="007955BB">
        <w:rPr>
          <w:rFonts w:cs="Sylfaen"/>
          <w:b w:val="0"/>
          <w:lang w:val="hy-AM"/>
        </w:rPr>
        <w:t>իրականացում</w:t>
      </w:r>
      <w:r w:rsidRPr="007955BB">
        <w:rPr>
          <w:rFonts w:cs="Sylfaen"/>
          <w:b w:val="0"/>
          <w:lang w:val="af-ZA"/>
        </w:rPr>
        <w:t xml:space="preserve">, </w:t>
      </w:r>
      <w:r w:rsidRPr="007955BB">
        <w:rPr>
          <w:rFonts w:cs="Sylfaen"/>
          <w:b w:val="0"/>
          <w:szCs w:val="22"/>
          <w:lang w:val="af-ZA"/>
        </w:rPr>
        <w:t xml:space="preserve">հանրապետության տարբեր մարզերում </w:t>
      </w:r>
      <w:r w:rsidRPr="007955BB">
        <w:rPr>
          <w:b w:val="0"/>
          <w:szCs w:val="22"/>
          <w:lang w:val="hy-AM"/>
        </w:rPr>
        <w:t>ընտրված հիվանդանոցների արդյունավետության և որակի բարելավում</w:t>
      </w:r>
      <w:r w:rsidRPr="007955BB">
        <w:rPr>
          <w:b w:val="0"/>
          <w:szCs w:val="22"/>
          <w:lang w:val="af-ZA"/>
        </w:rPr>
        <w:t>,</w:t>
      </w:r>
      <w:r w:rsidRPr="007955BB">
        <w:rPr>
          <w:b w:val="0"/>
          <w:szCs w:val="22"/>
          <w:lang w:val="hy-AM"/>
        </w:rPr>
        <w:t xml:space="preserve"> </w:t>
      </w:r>
      <w:r w:rsidRPr="007955BB">
        <w:rPr>
          <w:rFonts w:cs="Sylfaen"/>
          <w:b w:val="0"/>
          <w:lang w:val="hy-AM"/>
        </w:rPr>
        <w:t xml:space="preserve">նոր բժշկական կենտրոնների կառուցում, </w:t>
      </w:r>
      <w:r w:rsidRPr="007955BB">
        <w:rPr>
          <w:rFonts w:cs="Sylfaen"/>
          <w:b w:val="0"/>
          <w:szCs w:val="22"/>
          <w:lang w:val="af-ZA"/>
        </w:rPr>
        <w:t>տուբերկուլ</w:t>
      </w:r>
      <w:r w:rsidR="000635F8">
        <w:rPr>
          <w:rFonts w:cs="Sylfaen"/>
          <w:b w:val="0"/>
          <w:szCs w:val="22"/>
          <w:lang w:val="af-ZA"/>
        </w:rPr>
        <w:t>յ</w:t>
      </w:r>
      <w:r w:rsidRPr="007955BB">
        <w:rPr>
          <w:rFonts w:cs="Sylfaen"/>
          <w:b w:val="0"/>
          <w:szCs w:val="22"/>
          <w:lang w:val="af-ZA"/>
        </w:rPr>
        <w:t>ոզի բոլոր տեսակների և ՄԻԱՎ/ՁԻԱՀ-ի ախտորոշման հասանելիության բուժման մոնիթորինգի և կանխարգելման ապահովում, տուբերկուլ</w:t>
      </w:r>
      <w:r w:rsidR="000635F8">
        <w:rPr>
          <w:rFonts w:cs="Sylfaen"/>
          <w:b w:val="0"/>
          <w:szCs w:val="22"/>
          <w:lang w:val="af-ZA"/>
        </w:rPr>
        <w:t>յ</w:t>
      </w:r>
      <w:r w:rsidRPr="007955BB">
        <w:rPr>
          <w:rFonts w:cs="Sylfaen"/>
          <w:b w:val="0"/>
          <w:szCs w:val="22"/>
          <w:lang w:val="af-ZA"/>
        </w:rPr>
        <w:t xml:space="preserve">ոզով հիվանդների սոցիալական և հոգեբանական օժանդակություն, հիվանդների ակտիվ հայտնաբերման միջոցառումներ, բուժման մոնիթորինգի, վարակի վերահսկման բարելավում, ներառյալ մեթադոնային փոխարինող </w:t>
      </w:r>
      <w:r w:rsidRPr="007955BB">
        <w:rPr>
          <w:b w:val="0"/>
          <w:lang w:val="hy-AM" w:eastAsia="en-US"/>
        </w:rPr>
        <w:t xml:space="preserve">բուժման իրականացում, որի արդյունքում </w:t>
      </w:r>
      <w:r w:rsidRPr="007955BB">
        <w:rPr>
          <w:b w:val="0"/>
          <w:szCs w:val="22"/>
          <w:lang w:val="hy-AM" w:eastAsia="en-US"/>
        </w:rPr>
        <w:t>նվազեցվում է վարակի փոխանցումը, վարակիչ հիվանդություններով պայմանավորված հիվանդացությունը և մահացությունը, բարելավում առողջապահական ծառայությունները:</w:t>
      </w:r>
    </w:p>
    <w:p w:rsidR="00282038" w:rsidRPr="007955BB" w:rsidRDefault="00282038" w:rsidP="00282038">
      <w:pPr>
        <w:numPr>
          <w:ilvl w:val="12"/>
          <w:numId w:val="0"/>
        </w:numPr>
        <w:tabs>
          <w:tab w:val="left" w:pos="851"/>
          <w:tab w:val="left" w:pos="9214"/>
        </w:tabs>
        <w:spacing w:before="0" w:line="288" w:lineRule="auto"/>
        <w:ind w:firstLine="720"/>
        <w:contextualSpacing w:val="0"/>
        <w:rPr>
          <w:b w:val="0"/>
          <w:szCs w:val="22"/>
          <w:lang w:val="hy-AM" w:eastAsia="en-US"/>
        </w:rPr>
      </w:pPr>
      <w:r w:rsidRPr="007955BB">
        <w:rPr>
          <w:b w:val="0"/>
          <w:szCs w:val="22"/>
          <w:lang w:val="hy-AM" w:eastAsia="en-US"/>
        </w:rPr>
        <w:t>Ծրագրի համար ՀՀ 2023թ. պետական բյուջե</w:t>
      </w:r>
      <w:r w:rsidR="000635F8" w:rsidRPr="000635F8">
        <w:rPr>
          <w:b w:val="0"/>
          <w:szCs w:val="22"/>
          <w:lang w:val="hy-AM" w:eastAsia="en-US"/>
        </w:rPr>
        <w:t xml:space="preserve">ով </w:t>
      </w:r>
      <w:r w:rsidRPr="007955BB">
        <w:rPr>
          <w:b w:val="0"/>
          <w:szCs w:val="22"/>
          <w:lang w:val="hy-AM" w:eastAsia="en-US"/>
        </w:rPr>
        <w:t>նախատեսվել է 4,6</w:t>
      </w:r>
      <w:r w:rsidR="00CD39F1" w:rsidRPr="00917EA1">
        <w:rPr>
          <w:b w:val="0"/>
          <w:szCs w:val="22"/>
          <w:lang w:val="hy-AM" w:eastAsia="en-US"/>
        </w:rPr>
        <w:t>09</w:t>
      </w:r>
      <w:r w:rsidRPr="007955BB">
        <w:rPr>
          <w:b w:val="0"/>
          <w:szCs w:val="22"/>
          <w:lang w:val="hy-AM" w:eastAsia="en-US"/>
        </w:rPr>
        <w:t>.</w:t>
      </w:r>
      <w:r w:rsidR="00CD39F1" w:rsidRPr="00917EA1">
        <w:rPr>
          <w:b w:val="0"/>
          <w:szCs w:val="22"/>
          <w:lang w:val="hy-AM" w:eastAsia="en-US"/>
        </w:rPr>
        <w:t>3</w:t>
      </w:r>
      <w:r w:rsidRPr="007955BB">
        <w:rPr>
          <w:b w:val="0"/>
          <w:szCs w:val="22"/>
          <w:lang w:val="hy-AM" w:eastAsia="en-US"/>
        </w:rPr>
        <w:t xml:space="preserve"> մլն դրամ, որից՝ վարկային միջոցների գ</w:t>
      </w:r>
      <w:r w:rsidR="000635F8">
        <w:rPr>
          <w:b w:val="0"/>
          <w:szCs w:val="22"/>
          <w:lang w:val="hy-AM" w:eastAsia="en-US"/>
        </w:rPr>
        <w:t>ծով 3,</w:t>
      </w:r>
      <w:r w:rsidR="00CD39F1" w:rsidRPr="00917EA1">
        <w:rPr>
          <w:b w:val="0"/>
          <w:szCs w:val="22"/>
          <w:lang w:val="hy-AM" w:eastAsia="en-US"/>
        </w:rPr>
        <w:t>736</w:t>
      </w:r>
      <w:r w:rsidR="000635F8">
        <w:rPr>
          <w:b w:val="0"/>
          <w:szCs w:val="22"/>
          <w:lang w:val="hy-AM" w:eastAsia="en-US"/>
        </w:rPr>
        <w:t>.</w:t>
      </w:r>
      <w:r w:rsidR="00CD39F1" w:rsidRPr="00917EA1">
        <w:rPr>
          <w:b w:val="0"/>
          <w:szCs w:val="22"/>
          <w:lang w:val="hy-AM" w:eastAsia="en-US"/>
        </w:rPr>
        <w:t>3</w:t>
      </w:r>
      <w:r w:rsidR="000635F8">
        <w:rPr>
          <w:b w:val="0"/>
          <w:szCs w:val="22"/>
          <w:lang w:val="hy-AM" w:eastAsia="en-US"/>
        </w:rPr>
        <w:t xml:space="preserve"> մլն դրամ, համաֆինան</w:t>
      </w:r>
      <w:r w:rsidRPr="007955BB">
        <w:rPr>
          <w:b w:val="0"/>
          <w:szCs w:val="22"/>
          <w:lang w:val="hy-AM" w:eastAsia="en-US"/>
        </w:rPr>
        <w:t>սավորման գծով՝ 8</w:t>
      </w:r>
      <w:r w:rsidR="00CD39F1" w:rsidRPr="00917EA1">
        <w:rPr>
          <w:b w:val="0"/>
          <w:szCs w:val="22"/>
          <w:lang w:val="hy-AM" w:eastAsia="en-US"/>
        </w:rPr>
        <w:t>73</w:t>
      </w:r>
      <w:r w:rsidRPr="007955BB">
        <w:rPr>
          <w:b w:val="0"/>
          <w:szCs w:val="22"/>
          <w:lang w:val="hy-AM" w:eastAsia="en-US"/>
        </w:rPr>
        <w:t>.</w:t>
      </w:r>
      <w:r w:rsidR="00CD39F1" w:rsidRPr="00917EA1">
        <w:rPr>
          <w:b w:val="0"/>
          <w:szCs w:val="22"/>
          <w:lang w:val="hy-AM" w:eastAsia="en-US"/>
        </w:rPr>
        <w:t>0</w:t>
      </w:r>
      <w:r w:rsidRPr="007955BB">
        <w:rPr>
          <w:b w:val="0"/>
          <w:szCs w:val="22"/>
          <w:lang w:val="hy-AM" w:eastAsia="en-US"/>
        </w:rPr>
        <w:t xml:space="preserve"> մլն դրամ: </w:t>
      </w:r>
    </w:p>
    <w:p w:rsidR="00112E2F" w:rsidRPr="007955BB" w:rsidRDefault="00112E2F" w:rsidP="00112E2F">
      <w:pPr>
        <w:tabs>
          <w:tab w:val="left" w:pos="180"/>
        </w:tabs>
        <w:spacing w:before="0" w:line="288" w:lineRule="auto"/>
        <w:ind w:firstLine="720"/>
        <w:rPr>
          <w:b w:val="0"/>
          <w:szCs w:val="22"/>
          <w:lang w:val="hy-AM" w:eastAsia="en-US"/>
        </w:rPr>
      </w:pPr>
      <w:r w:rsidRPr="007955BB">
        <w:rPr>
          <w:rFonts w:cs="Sylfaen"/>
          <w:bCs/>
          <w:szCs w:val="22"/>
          <w:lang w:val="hy-AM"/>
        </w:rPr>
        <w:t xml:space="preserve">Առողջապահական կազմակերպությունների շինարարական և նախագծային աշխատանքների համար </w:t>
      </w:r>
      <w:r w:rsidRPr="007955BB">
        <w:rPr>
          <w:rFonts w:cs="Sylfaen"/>
          <w:b w:val="0"/>
          <w:bCs/>
          <w:szCs w:val="22"/>
          <w:lang w:val="hy-AM"/>
        </w:rPr>
        <w:t>ՀՀ 2023թ. պետական բյուջեով նախատեսվել է 8,799.6 մլն դրամ:</w:t>
      </w:r>
    </w:p>
    <w:p w:rsidR="00282038" w:rsidRPr="007955BB" w:rsidRDefault="00282038" w:rsidP="00282038">
      <w:pPr>
        <w:spacing w:before="0"/>
        <w:rPr>
          <w:rFonts w:eastAsia="Calibri"/>
          <w:b w:val="0"/>
          <w:szCs w:val="22"/>
          <w:lang w:val="hy-AM" w:eastAsia="en-US"/>
          <w14:textOutline w14:w="9525" w14:cap="rnd" w14:cmpd="sng" w14:algn="ctr">
            <w14:noFill/>
            <w14:prstDash w14:val="solid"/>
            <w14:bevel/>
          </w14:textOutline>
        </w:rPr>
      </w:pPr>
    </w:p>
    <w:p w:rsidR="00632A9E" w:rsidRPr="007955BB" w:rsidRDefault="00F0615A" w:rsidP="007F28F7">
      <w:pPr>
        <w:pStyle w:val="Heading3"/>
      </w:pPr>
      <w:bookmarkStart w:id="327" w:name="_Toc120805220"/>
      <w:r w:rsidRPr="007955BB">
        <w:t>ՀՀ կ</w:t>
      </w:r>
      <w:r w:rsidR="004D4C68" w:rsidRPr="007955BB">
        <w:t>րթությ</w:t>
      </w:r>
      <w:r w:rsidRPr="007955BB">
        <w:t>ան</w:t>
      </w:r>
      <w:r w:rsidR="00E66B09" w:rsidRPr="007955BB">
        <w:t>,</w:t>
      </w:r>
      <w:r w:rsidRPr="007955BB">
        <w:t xml:space="preserve"> գիտության</w:t>
      </w:r>
      <w:r w:rsidR="00E66B09" w:rsidRPr="007955BB">
        <w:t>, մշակույթի և սպորտի</w:t>
      </w:r>
      <w:r w:rsidRPr="007955BB">
        <w:t xml:space="preserve"> նախարարություն</w:t>
      </w:r>
      <w:bookmarkEnd w:id="327"/>
    </w:p>
    <w:p w:rsidR="002D2E24" w:rsidRPr="007955BB" w:rsidRDefault="002D2E24" w:rsidP="007C65A5">
      <w:pPr>
        <w:numPr>
          <w:ilvl w:val="12"/>
          <w:numId w:val="0"/>
        </w:numPr>
        <w:tabs>
          <w:tab w:val="left" w:pos="851"/>
          <w:tab w:val="left" w:pos="9214"/>
        </w:tabs>
        <w:spacing w:before="0" w:line="276" w:lineRule="auto"/>
        <w:ind w:firstLine="720"/>
        <w:contextualSpacing w:val="0"/>
        <w:rPr>
          <w:color w:val="000000"/>
          <w:szCs w:val="22"/>
          <w:lang w:val="hy-AM" w:eastAsia="en-US"/>
        </w:rPr>
      </w:pPr>
      <w:bookmarkStart w:id="328" w:name="OLE_LINK4"/>
      <w:r w:rsidRPr="007955BB">
        <w:rPr>
          <w:color w:val="000000"/>
          <w:szCs w:val="22"/>
          <w:lang w:val="hy-AM" w:eastAsia="en-US"/>
        </w:rPr>
        <w:t>Կրթություն</w:t>
      </w:r>
    </w:p>
    <w:p w:rsidR="009774A5" w:rsidRPr="007955BB" w:rsidRDefault="009774A5" w:rsidP="009774A5">
      <w:pPr>
        <w:numPr>
          <w:ilvl w:val="12"/>
          <w:numId w:val="0"/>
        </w:numPr>
        <w:tabs>
          <w:tab w:val="left" w:pos="851"/>
          <w:tab w:val="left" w:pos="9214"/>
        </w:tabs>
        <w:spacing w:before="0" w:line="276" w:lineRule="auto"/>
        <w:ind w:firstLine="720"/>
        <w:contextualSpacing w:val="0"/>
        <w:rPr>
          <w:b w:val="0"/>
          <w:color w:val="000000"/>
          <w:szCs w:val="22"/>
          <w:lang w:val="hy-AM" w:eastAsia="en-US"/>
        </w:rPr>
      </w:pPr>
      <w:r w:rsidRPr="007955BB">
        <w:rPr>
          <w:b w:val="0"/>
          <w:color w:val="000000"/>
          <w:szCs w:val="22"/>
          <w:lang w:val="hy-AM" w:eastAsia="en-US"/>
        </w:rPr>
        <w:t xml:space="preserve">ՀՀ </w:t>
      </w:r>
      <w:r w:rsidR="00D35F72">
        <w:rPr>
          <w:b w:val="0"/>
          <w:color w:val="000000"/>
          <w:szCs w:val="22"/>
          <w:lang w:val="hy-AM" w:eastAsia="en-US"/>
        </w:rPr>
        <w:t>ԿԳՄՍՆ</w:t>
      </w:r>
      <w:r w:rsidRPr="007955BB">
        <w:rPr>
          <w:b w:val="0"/>
          <w:color w:val="000000"/>
          <w:szCs w:val="22"/>
          <w:lang w:val="hy-AM" w:eastAsia="en-US"/>
        </w:rPr>
        <w:t xml:space="preserve"> գծով ՀՀ 2023 թվականի պետական բյուջեի նախագծով նախատեսվում է հատկացնել </w:t>
      </w:r>
      <w:r w:rsidR="007C06A7" w:rsidRPr="007955BB">
        <w:rPr>
          <w:b w:val="0"/>
          <w:color w:val="000000"/>
          <w:szCs w:val="22"/>
          <w:lang w:val="hy-AM" w:eastAsia="en-US"/>
        </w:rPr>
        <w:t>250</w:t>
      </w:r>
      <w:r w:rsidRPr="007955BB">
        <w:rPr>
          <w:b w:val="0"/>
          <w:color w:val="000000"/>
          <w:szCs w:val="22"/>
          <w:lang w:val="hy-AM" w:eastAsia="en-US"/>
        </w:rPr>
        <w:t>,</w:t>
      </w:r>
      <w:r w:rsidR="004B3828">
        <w:rPr>
          <w:b w:val="0"/>
          <w:color w:val="000000"/>
          <w:szCs w:val="22"/>
          <w:lang w:val="hy-AM" w:eastAsia="en-US"/>
        </w:rPr>
        <w:t>2</w:t>
      </w:r>
      <w:r w:rsidR="000A00B0" w:rsidRPr="000A00B0">
        <w:rPr>
          <w:b w:val="0"/>
          <w:color w:val="000000"/>
          <w:szCs w:val="22"/>
          <w:lang w:val="hy-AM" w:eastAsia="en-US"/>
        </w:rPr>
        <w:t>68</w:t>
      </w:r>
      <w:r w:rsidRPr="007955BB">
        <w:rPr>
          <w:b w:val="0"/>
          <w:color w:val="000000"/>
          <w:szCs w:val="22"/>
          <w:lang w:val="af-ZA" w:eastAsia="en-US"/>
        </w:rPr>
        <w:t>.</w:t>
      </w:r>
      <w:r w:rsidR="000A00B0">
        <w:rPr>
          <w:b w:val="0"/>
          <w:color w:val="000000"/>
          <w:szCs w:val="22"/>
          <w:lang w:val="af-ZA" w:eastAsia="en-US"/>
        </w:rPr>
        <w:t>5</w:t>
      </w:r>
      <w:r w:rsidRPr="007955BB">
        <w:rPr>
          <w:b w:val="0"/>
          <w:color w:val="000000"/>
          <w:szCs w:val="22"/>
          <w:lang w:val="hy-AM" w:eastAsia="en-US"/>
        </w:rPr>
        <w:t xml:space="preserve"> մլն դրամ (ներառյալ կառավարման ապարատի պահպանման ծախսերը):</w:t>
      </w:r>
    </w:p>
    <w:p w:rsidR="009774A5" w:rsidRPr="007955BB" w:rsidRDefault="009774A5" w:rsidP="009774A5">
      <w:pPr>
        <w:spacing w:before="0" w:line="276" w:lineRule="auto"/>
        <w:rPr>
          <w:b w:val="0"/>
          <w:lang w:val="hy-AM"/>
        </w:rPr>
      </w:pPr>
      <w:r w:rsidRPr="007955BB">
        <w:rPr>
          <w:b w:val="0"/>
          <w:lang w:val="hy-AM"/>
        </w:rPr>
        <w:t>Հատկացվելիք միջոցներն ուղղվելու են հետևյալ ծրագրերի իրականացմանը.</w:t>
      </w:r>
    </w:p>
    <w:p w:rsidR="009774A5" w:rsidRPr="007955BB" w:rsidRDefault="009774A5" w:rsidP="009774A5">
      <w:pPr>
        <w:spacing w:before="0" w:line="276" w:lineRule="auto"/>
        <w:rPr>
          <w:b w:val="0"/>
          <w:color w:val="000000"/>
          <w:szCs w:val="22"/>
          <w:lang w:val="hy-AM" w:eastAsia="en-US"/>
        </w:rPr>
      </w:pPr>
      <w:r w:rsidRPr="007955BB">
        <w:rPr>
          <w:color w:val="000000"/>
          <w:szCs w:val="22"/>
          <w:lang w:val="hy-AM" w:eastAsia="en-US"/>
        </w:rPr>
        <w:t>Նախնական (արհեստագործական) և միջին մասնագիտական կրթության</w:t>
      </w:r>
      <w:r w:rsidRPr="007955BB">
        <w:rPr>
          <w:b w:val="0"/>
          <w:color w:val="000000"/>
          <w:szCs w:val="22"/>
          <w:lang w:val="hy-AM" w:eastAsia="en-US"/>
        </w:rPr>
        <w:t xml:space="preserve"> ծրագրի գծով 2023 թվականին նախատեսվում է հատկացնել 14,807.7 մլն դրամ:</w:t>
      </w:r>
    </w:p>
    <w:p w:rsidR="009774A5" w:rsidRPr="007955BB" w:rsidRDefault="009774A5" w:rsidP="009774A5">
      <w:pPr>
        <w:numPr>
          <w:ilvl w:val="12"/>
          <w:numId w:val="0"/>
        </w:numPr>
        <w:tabs>
          <w:tab w:val="left" w:pos="851"/>
          <w:tab w:val="left" w:pos="9214"/>
        </w:tabs>
        <w:spacing w:before="0" w:line="276" w:lineRule="auto"/>
        <w:ind w:firstLine="720"/>
        <w:contextualSpacing w:val="0"/>
        <w:rPr>
          <w:b w:val="0"/>
          <w:szCs w:val="22"/>
          <w:lang w:val="hy-AM" w:eastAsia="en-US"/>
        </w:rPr>
      </w:pPr>
      <w:r w:rsidRPr="007955BB">
        <w:rPr>
          <w:b w:val="0"/>
          <w:color w:val="000000"/>
          <w:szCs w:val="22"/>
          <w:lang w:val="hy-AM" w:eastAsia="en-US"/>
        </w:rPr>
        <w:t>Ծրագրի նպատակն է՝ աշխատաշուկայի արդի պահանջներին համապատասխան նախնական մասնագիտական (արհեստագործական) և միջին մասնագիտական կրթության որակավորում ունեցող մասնագետների պատրաստումը, կրթության մատչելիության ապահովումը: Ծրագրով ծախսերը նախատեսվել են հանրապետության 21 արհեստագործական ուսումնարաններում արհեստագործական կրթության մեջ ընդգրկվող 7.6 հազար սովորողների, 6</w:t>
      </w:r>
      <w:r w:rsidR="004B3828" w:rsidRPr="004B3828">
        <w:rPr>
          <w:b w:val="0"/>
          <w:color w:val="000000"/>
          <w:szCs w:val="22"/>
          <w:lang w:val="hy-AM" w:eastAsia="en-US"/>
        </w:rPr>
        <w:t>8</w:t>
      </w:r>
      <w:r w:rsidRPr="007955BB">
        <w:rPr>
          <w:b w:val="0"/>
          <w:color w:val="000000"/>
          <w:szCs w:val="22"/>
          <w:lang w:val="hy-AM" w:eastAsia="en-US"/>
        </w:rPr>
        <w:t xml:space="preserve"> հաստատություններում միջին մասնագիտական կրթության մեջ ընդգրկվող 21.1 հազար սովորողների ուսուցման գծով, ինչպես նաև</w:t>
      </w:r>
      <w:r w:rsidRPr="007955BB">
        <w:rPr>
          <w:b w:val="0"/>
          <w:szCs w:val="22"/>
          <w:lang w:val="hy-AM" w:eastAsia="en-US"/>
        </w:rPr>
        <w:t xml:space="preserve"> ուսումնական հաստատությունների շենքային պայմանների բարելավման և կառուցման նպատակով:</w:t>
      </w:r>
    </w:p>
    <w:p w:rsidR="009774A5" w:rsidRPr="007955BB" w:rsidRDefault="009774A5" w:rsidP="009774A5">
      <w:pPr>
        <w:spacing w:before="0" w:line="276" w:lineRule="auto"/>
        <w:ind w:firstLine="547"/>
        <w:rPr>
          <w:rFonts w:eastAsia="Calibri"/>
          <w:b w:val="0"/>
          <w:szCs w:val="22"/>
          <w:lang w:val="hy-AM" w:eastAsia="en-US"/>
        </w:rPr>
      </w:pPr>
      <w:r w:rsidRPr="007955BB">
        <w:rPr>
          <w:b w:val="0"/>
          <w:szCs w:val="22"/>
          <w:lang w:val="hy-AM" w:eastAsia="en-US"/>
        </w:rPr>
        <w:t>Նախնական (արհեստագործական) և միջին մասնագիտական կրթության ոլորտի բարեփոխումներն ամրագրված են ՀՀ կառավարության ծրագրի «4.3 Կրթություն» բաժնում:</w:t>
      </w:r>
    </w:p>
    <w:p w:rsidR="009774A5" w:rsidRPr="007955BB" w:rsidRDefault="009774A5" w:rsidP="009774A5">
      <w:pPr>
        <w:spacing w:before="0" w:line="276" w:lineRule="auto"/>
        <w:rPr>
          <w:b w:val="0"/>
          <w:color w:val="000000"/>
          <w:szCs w:val="22"/>
          <w:lang w:val="hy-AM" w:eastAsia="en-US"/>
        </w:rPr>
      </w:pPr>
      <w:r w:rsidRPr="007955BB">
        <w:rPr>
          <w:szCs w:val="22"/>
          <w:lang w:val="hy-AM" w:eastAsia="en-US"/>
        </w:rPr>
        <w:t xml:space="preserve">Բարձրագույն և հետբուհական մասնագիտական կրթության </w:t>
      </w:r>
      <w:r w:rsidRPr="007955BB">
        <w:rPr>
          <w:b w:val="0"/>
          <w:color w:val="000000"/>
          <w:szCs w:val="22"/>
          <w:lang w:val="hy-AM" w:eastAsia="en-US"/>
        </w:rPr>
        <w:t>ծրագրի գծով 2023 թվականին նախատեսվում է հատկացնել 14,044.7 մլն դրամ:</w:t>
      </w:r>
    </w:p>
    <w:p w:rsidR="009774A5" w:rsidRPr="007955BB" w:rsidRDefault="009774A5" w:rsidP="009774A5">
      <w:pPr>
        <w:numPr>
          <w:ilvl w:val="12"/>
          <w:numId w:val="0"/>
        </w:numPr>
        <w:tabs>
          <w:tab w:val="left" w:pos="851"/>
          <w:tab w:val="left" w:pos="9214"/>
        </w:tabs>
        <w:spacing w:before="0" w:line="276" w:lineRule="auto"/>
        <w:ind w:firstLine="720"/>
        <w:contextualSpacing w:val="0"/>
        <w:rPr>
          <w:b w:val="0"/>
          <w:szCs w:val="22"/>
          <w:lang w:val="hy-AM" w:eastAsia="en-US"/>
        </w:rPr>
      </w:pPr>
      <w:r w:rsidRPr="007955BB">
        <w:rPr>
          <w:b w:val="0"/>
          <w:szCs w:val="22"/>
          <w:lang w:val="hy-AM" w:eastAsia="en-US"/>
        </w:rPr>
        <w:t xml:space="preserve">Ծրագրի նպատակն է՝ ապահովել մատչելի, որակյալ և մրցունակ բարձրագույն և հետբուհական մասնագիտական կրթություն: Ծրագրով ծախսերը նախատեսվել են 12.9 հազար ուսանողի կրթության, մարտական գործողություններին մասնակցած ուսանողների, երկու և ավելի անչափահաս երեխա ունեցող ուսանողների ուսման վճարի մասնակի փոխհատուցման, ինչպես նաև </w:t>
      </w:r>
      <w:r w:rsidRPr="007955BB">
        <w:rPr>
          <w:rFonts w:eastAsia="Calibri"/>
          <w:b w:val="0"/>
          <w:szCs w:val="22"/>
          <w:lang w:val="af-ZA" w:eastAsia="en-US"/>
        </w:rPr>
        <w:t>«Երևանի Կոմիտասի անվան պետական կոնսերվատորիա» ՊՈԱԿ-ի շինարարական աշխատանքների</w:t>
      </w:r>
      <w:r w:rsidRPr="007955BB">
        <w:rPr>
          <w:rFonts w:eastAsia="Calibri"/>
          <w:b w:val="0"/>
          <w:szCs w:val="22"/>
          <w:lang w:val="hy-AM" w:eastAsia="en-US"/>
        </w:rPr>
        <w:t xml:space="preserve"> գծով</w:t>
      </w:r>
      <w:r w:rsidRPr="007955BB">
        <w:rPr>
          <w:b w:val="0"/>
          <w:szCs w:val="22"/>
          <w:lang w:val="hy-AM" w:eastAsia="en-US"/>
        </w:rPr>
        <w:t xml:space="preserve">: </w:t>
      </w:r>
    </w:p>
    <w:p w:rsidR="009774A5" w:rsidRPr="007955BB" w:rsidRDefault="009774A5" w:rsidP="009774A5">
      <w:pPr>
        <w:spacing w:before="0" w:line="276" w:lineRule="auto"/>
        <w:ind w:firstLine="547"/>
        <w:rPr>
          <w:rFonts w:eastAsia="Calibri"/>
          <w:b w:val="0"/>
          <w:szCs w:val="22"/>
          <w:lang w:val="hy-AM" w:eastAsia="en-US"/>
        </w:rPr>
      </w:pPr>
      <w:r w:rsidRPr="007955BB">
        <w:rPr>
          <w:b w:val="0"/>
          <w:szCs w:val="22"/>
          <w:lang w:val="hy-AM" w:eastAsia="en-US"/>
        </w:rPr>
        <w:t>Բարձրագույն կրթության ոլորտի բարեփոխումներն ամրագրված են ՀՀ կառավարության ծրագրի «4.3 Կրթություն» բաժնում:</w:t>
      </w:r>
    </w:p>
    <w:p w:rsidR="009774A5" w:rsidRPr="007955BB" w:rsidRDefault="009774A5" w:rsidP="009774A5">
      <w:pPr>
        <w:spacing w:before="0" w:line="276" w:lineRule="auto"/>
        <w:ind w:firstLine="547"/>
        <w:rPr>
          <w:b w:val="0"/>
          <w:szCs w:val="22"/>
          <w:lang w:val="hy-AM" w:eastAsia="en-US"/>
        </w:rPr>
      </w:pPr>
      <w:r w:rsidRPr="007955BB">
        <w:rPr>
          <w:szCs w:val="22"/>
          <w:lang w:val="hy-AM" w:eastAsia="en-US"/>
        </w:rPr>
        <w:t xml:space="preserve">Հանրակրթության </w:t>
      </w:r>
      <w:r w:rsidRPr="007955BB">
        <w:rPr>
          <w:b w:val="0"/>
          <w:szCs w:val="22"/>
          <w:lang w:val="hy-AM" w:eastAsia="en-US"/>
        </w:rPr>
        <w:t xml:space="preserve">ծրագրի գծով </w:t>
      </w:r>
      <w:r w:rsidRPr="007955BB">
        <w:rPr>
          <w:b w:val="0"/>
          <w:color w:val="000000"/>
          <w:szCs w:val="22"/>
          <w:lang w:val="hy-AM" w:eastAsia="en-US"/>
        </w:rPr>
        <w:t>2023 թվականին նախատեսվում է հատկացնել 127,</w:t>
      </w:r>
      <w:r w:rsidR="004B3828" w:rsidRPr="004B3828">
        <w:rPr>
          <w:b w:val="0"/>
          <w:color w:val="000000"/>
          <w:szCs w:val="22"/>
          <w:lang w:val="hy-AM" w:eastAsia="en-US"/>
        </w:rPr>
        <w:t>333</w:t>
      </w:r>
      <w:r w:rsidRPr="007955BB">
        <w:rPr>
          <w:b w:val="0"/>
          <w:color w:val="000000"/>
          <w:szCs w:val="22"/>
          <w:lang w:val="hy-AM" w:eastAsia="en-US"/>
        </w:rPr>
        <w:t>.</w:t>
      </w:r>
      <w:r w:rsidR="004B3828" w:rsidRPr="004B3828">
        <w:rPr>
          <w:b w:val="0"/>
          <w:color w:val="000000"/>
          <w:szCs w:val="22"/>
          <w:lang w:val="hy-AM" w:eastAsia="en-US"/>
        </w:rPr>
        <w:t>7</w:t>
      </w:r>
      <w:r w:rsidRPr="007955BB">
        <w:rPr>
          <w:b w:val="0"/>
          <w:color w:val="000000"/>
          <w:szCs w:val="22"/>
          <w:lang w:val="hy-AM" w:eastAsia="en-US"/>
        </w:rPr>
        <w:t xml:space="preserve"> մլն դրամ:</w:t>
      </w:r>
    </w:p>
    <w:p w:rsidR="009774A5" w:rsidRPr="007955BB" w:rsidRDefault="009774A5" w:rsidP="009774A5">
      <w:pPr>
        <w:spacing w:before="0" w:line="276" w:lineRule="auto"/>
        <w:ind w:firstLine="547"/>
        <w:rPr>
          <w:b w:val="0"/>
          <w:szCs w:val="22"/>
          <w:lang w:val="hy-AM" w:eastAsia="en-US"/>
        </w:rPr>
      </w:pPr>
      <w:r w:rsidRPr="007955BB">
        <w:rPr>
          <w:b w:val="0"/>
          <w:szCs w:val="22"/>
          <w:lang w:val="hy-AM" w:eastAsia="en-US"/>
        </w:rPr>
        <w:t xml:space="preserve">Ծրագրի նպատակն է՝ ապահովել անվճար և որակյալ հանրակրթություն: Ծրագրի շրջանակներում միջոցներ են նախատեսվել պարտադիր կրթության երեք մակարդակներում սովորողների ուսուցման գծով: Նախագծով ծախսերը հաշվարկվել են 1336 հանրակրթական դպրոցների, միջին տարեկան հաշվարկով, 410.2 հազար աշակերտի ուսուցման գծով, որից 8.1 հազարը՝ նախադպրոցական կրթության մեջ ընդգրկվածների թվաքանակն է: </w:t>
      </w:r>
    </w:p>
    <w:p w:rsidR="009774A5" w:rsidRPr="007955BB" w:rsidRDefault="009774A5" w:rsidP="009774A5">
      <w:pPr>
        <w:spacing w:before="0" w:line="276" w:lineRule="auto"/>
        <w:ind w:firstLine="547"/>
        <w:rPr>
          <w:b w:val="0"/>
          <w:szCs w:val="22"/>
          <w:lang w:val="hy-AM" w:eastAsia="en-US"/>
        </w:rPr>
      </w:pPr>
      <w:r w:rsidRPr="007955BB">
        <w:rPr>
          <w:rFonts w:cs="Arial"/>
          <w:b w:val="0"/>
          <w:szCs w:val="22"/>
          <w:lang w:val="hy-AM" w:eastAsia="en-US"/>
        </w:rPr>
        <w:t>Հ</w:t>
      </w:r>
      <w:r w:rsidRPr="007955BB">
        <w:rPr>
          <w:b w:val="0"/>
          <w:szCs w:val="22"/>
          <w:lang w:val="hy-AM" w:eastAsia="en-US"/>
        </w:rPr>
        <w:t xml:space="preserve">աշվարկներում համապատասխան միջոցներ են նախատեսվել ՀՀ բոլոր մարզերում և Երևան քաղաքում համընդհանուր ներառական կրթության իրականացման, ինչպես նաև «Կայուն դպրոցական սնունդ» ծրագրի շրջանակներում մարզերի հանրակրթական դպրոցների տարրական դասարանների և դպրոցին նախապատրաստման խմբերի (նախակրթարանների)  111.8 հազար երեխաների սննդով ապահովման գծով: </w:t>
      </w:r>
    </w:p>
    <w:p w:rsidR="009774A5" w:rsidRPr="007955BB" w:rsidRDefault="009774A5" w:rsidP="009774A5">
      <w:pPr>
        <w:spacing w:before="0" w:line="276" w:lineRule="auto"/>
        <w:ind w:firstLine="547"/>
        <w:rPr>
          <w:b w:val="0"/>
          <w:szCs w:val="22"/>
          <w:lang w:val="hy-AM" w:eastAsia="en-US"/>
        </w:rPr>
      </w:pPr>
      <w:r w:rsidRPr="007955BB">
        <w:rPr>
          <w:b w:val="0"/>
          <w:szCs w:val="22"/>
          <w:lang w:val="hy-AM" w:eastAsia="en-US"/>
        </w:rPr>
        <w:t>Ծրագրի շրջանակներում միջոցներ են նախատեսվել hանրակրթական դպրոցների մանկավարժների և դպրոցահասակ երեխաների տրանսպորտային ծախսերի փոխհատուցման, սոցիալական որոշ խմբերի 1.5-5 տարեկան 17420 երեխաների նախադպրոցական կրթության ապահովման, «Մոդուլային» տիպի մանկապարտեզների շենքային ապահովման գծով: Ծախսեր են նախատեսվել նաև սովորողների միջազգային գնահատման ծրագրին (PISA) մասնակցության, ՀՀ պետական հանրակրթական բոլոր ուսումնական հաստատություններում ԲՏՃՄ ոլորտի (բացառությամբ մաթեմատիկայի), գյուղական բնակավայրերում մինչև 100 աշակերտ ունեցող դպրոցների, ՀՀ Սյունիքի մարզում բազմահամակազմ դասարաններում դասավանդող ուսուցիչների համար հավելավճարների տրամադրման գծով (2022 թվականին նշված ծախսերը նախատեսված չեն եղել):</w:t>
      </w:r>
    </w:p>
    <w:p w:rsidR="009774A5" w:rsidRPr="007955BB" w:rsidRDefault="009774A5" w:rsidP="009774A5">
      <w:pPr>
        <w:spacing w:before="0" w:line="276" w:lineRule="auto"/>
        <w:ind w:firstLine="547"/>
        <w:rPr>
          <w:b w:val="0"/>
          <w:szCs w:val="22"/>
          <w:lang w:val="hy-AM" w:eastAsia="en-US"/>
        </w:rPr>
      </w:pPr>
      <w:r w:rsidRPr="007955BB">
        <w:rPr>
          <w:b w:val="0"/>
          <w:szCs w:val="22"/>
          <w:lang w:val="hy-AM" w:eastAsia="en-US"/>
        </w:rPr>
        <w:t xml:space="preserve">Հանրակրթության և նախադպրոցական կրթության վերաբերյալ դրույթներն ամրագրված են ՀՀ կառավարության ծրագրի «4.3 Կրթություն» բաժնում: </w:t>
      </w:r>
    </w:p>
    <w:p w:rsidR="009774A5" w:rsidRPr="007955BB" w:rsidRDefault="009774A5" w:rsidP="009774A5">
      <w:pPr>
        <w:spacing w:before="0" w:line="276" w:lineRule="auto"/>
        <w:ind w:firstLine="547"/>
        <w:rPr>
          <w:b w:val="0"/>
          <w:szCs w:val="22"/>
          <w:lang w:val="hy-AM" w:eastAsia="en-US"/>
        </w:rPr>
      </w:pPr>
      <w:r w:rsidRPr="007955BB">
        <w:rPr>
          <w:szCs w:val="22"/>
          <w:lang w:val="hy-AM" w:eastAsia="en-US"/>
        </w:rPr>
        <w:t xml:space="preserve"> Արտադպրոցական դաստիարակության</w:t>
      </w:r>
      <w:r w:rsidRPr="007955BB">
        <w:rPr>
          <w:b w:val="0"/>
          <w:szCs w:val="22"/>
          <w:lang w:val="hy-AM" w:eastAsia="en-US"/>
        </w:rPr>
        <w:t xml:space="preserve"> ծրագրի գծով 2023 թվականին </w:t>
      </w:r>
      <w:r w:rsidRPr="007955BB">
        <w:rPr>
          <w:b w:val="0"/>
          <w:color w:val="000000"/>
          <w:szCs w:val="22"/>
          <w:lang w:val="hy-AM" w:eastAsia="en-US"/>
        </w:rPr>
        <w:t>նախատեսվում է հատկացնել</w:t>
      </w:r>
      <w:r w:rsidRPr="007955BB">
        <w:rPr>
          <w:b w:val="0"/>
          <w:szCs w:val="22"/>
          <w:lang w:val="hy-AM" w:eastAsia="en-US"/>
        </w:rPr>
        <w:t xml:space="preserve"> </w:t>
      </w:r>
      <w:r w:rsidR="007C06A7" w:rsidRPr="007955BB">
        <w:rPr>
          <w:b w:val="0"/>
          <w:szCs w:val="22"/>
          <w:lang w:val="hy-AM" w:eastAsia="en-US"/>
        </w:rPr>
        <w:t>6</w:t>
      </w:r>
      <w:r w:rsidRPr="007955BB">
        <w:rPr>
          <w:b w:val="0"/>
          <w:szCs w:val="22"/>
          <w:lang w:val="hy-AM" w:eastAsia="en-US"/>
        </w:rPr>
        <w:t>,</w:t>
      </w:r>
      <w:r w:rsidR="007C06A7" w:rsidRPr="007955BB">
        <w:rPr>
          <w:b w:val="0"/>
          <w:szCs w:val="22"/>
          <w:lang w:val="hy-AM" w:eastAsia="en-US"/>
        </w:rPr>
        <w:t>032</w:t>
      </w:r>
      <w:r w:rsidRPr="007955BB">
        <w:rPr>
          <w:b w:val="0"/>
          <w:szCs w:val="22"/>
          <w:lang w:val="hy-AM" w:eastAsia="en-US"/>
        </w:rPr>
        <w:t>.</w:t>
      </w:r>
      <w:r w:rsidR="007C06A7" w:rsidRPr="007955BB">
        <w:rPr>
          <w:b w:val="0"/>
          <w:szCs w:val="22"/>
          <w:lang w:val="hy-AM" w:eastAsia="en-US"/>
        </w:rPr>
        <w:t>6</w:t>
      </w:r>
      <w:r w:rsidRPr="007955BB">
        <w:rPr>
          <w:b w:val="0"/>
          <w:szCs w:val="22"/>
          <w:lang w:val="hy-AM" w:eastAsia="en-US"/>
        </w:rPr>
        <w:t xml:space="preserve"> մլն դրամ:</w:t>
      </w:r>
    </w:p>
    <w:p w:rsidR="009774A5" w:rsidRPr="007955BB" w:rsidRDefault="009774A5" w:rsidP="009774A5">
      <w:pPr>
        <w:spacing w:before="0" w:line="276" w:lineRule="auto"/>
        <w:ind w:firstLine="547"/>
        <w:rPr>
          <w:b w:val="0"/>
          <w:szCs w:val="22"/>
          <w:lang w:val="hy-AM" w:eastAsia="en-US"/>
        </w:rPr>
      </w:pPr>
      <w:r w:rsidRPr="007955BB">
        <w:rPr>
          <w:b w:val="0"/>
          <w:szCs w:val="22"/>
          <w:lang w:val="hy-AM" w:eastAsia="en-US"/>
        </w:rPr>
        <w:t xml:space="preserve">Ծրագրի նպատակն է՝ նպաստել հանրակրթական ուսուցման համակարգում  ընդգրկված երեխաների ֆիզիկական, հոգևոր և գեղագիտական զարգացմանը, բնապահպանական և կիրառական գիտելիքների ձեռքբերմանը: </w:t>
      </w:r>
    </w:p>
    <w:p w:rsidR="009774A5" w:rsidRPr="007955BB" w:rsidRDefault="009774A5" w:rsidP="009774A5">
      <w:pPr>
        <w:spacing w:before="0" w:line="276" w:lineRule="auto"/>
        <w:ind w:firstLine="547"/>
        <w:rPr>
          <w:b w:val="0"/>
          <w:szCs w:val="22"/>
          <w:lang w:val="hy-AM" w:eastAsia="en-US"/>
        </w:rPr>
      </w:pPr>
      <w:r w:rsidRPr="007955BB">
        <w:rPr>
          <w:b w:val="0"/>
          <w:szCs w:val="22"/>
          <w:lang w:val="hy-AM" w:eastAsia="en-US"/>
        </w:rPr>
        <w:t>Ծրագրի շրջանակներում միջոցներ են նախատեսվել 3200 դպրոցականների ամառային հանգստի, ՀՀ հանրակրթական ծրագրեր իրականացնող ուսումնական հաստատությունների 11-րդ դասարանների 15759 աշակերտների ռազմամարզական ճամբարի կազմակերպման գծով:</w:t>
      </w:r>
    </w:p>
    <w:p w:rsidR="009774A5" w:rsidRPr="007955BB" w:rsidRDefault="009774A5" w:rsidP="009774A5">
      <w:pPr>
        <w:spacing w:before="0" w:line="276" w:lineRule="auto"/>
        <w:ind w:firstLine="547"/>
        <w:rPr>
          <w:b w:val="0"/>
          <w:szCs w:val="22"/>
          <w:lang w:val="hy-AM" w:eastAsia="en-US"/>
        </w:rPr>
      </w:pPr>
      <w:r w:rsidRPr="007955BB">
        <w:rPr>
          <w:b w:val="0"/>
          <w:szCs w:val="22"/>
          <w:lang w:val="hy-AM" w:eastAsia="en-US"/>
        </w:rPr>
        <w:t>Արտադպրոցական դաստիարակության վերաբերյալ դրույթներն ամրագրված են ՀՀ կառավարության ծրագրի «4.3 Կրթություն»,  «4.8 Սպորտ» բաժիններում,  «4.9 Մշակույթ»  բաժնի մշակութային կրթության վերաբերյալ ենթաբաժնում:</w:t>
      </w:r>
    </w:p>
    <w:p w:rsidR="009774A5" w:rsidRPr="007955BB" w:rsidRDefault="009774A5" w:rsidP="009774A5">
      <w:pPr>
        <w:spacing w:before="0" w:line="276" w:lineRule="auto"/>
        <w:ind w:firstLine="547"/>
        <w:rPr>
          <w:b w:val="0"/>
          <w:color w:val="000000"/>
          <w:szCs w:val="22"/>
          <w:lang w:val="hy-AM" w:eastAsia="en-US"/>
        </w:rPr>
      </w:pPr>
      <w:r w:rsidRPr="007955BB">
        <w:rPr>
          <w:b w:val="0"/>
          <w:szCs w:val="22"/>
          <w:lang w:val="hy-AM" w:eastAsia="en-US"/>
        </w:rPr>
        <w:t xml:space="preserve"> </w:t>
      </w:r>
      <w:r w:rsidRPr="007955BB">
        <w:rPr>
          <w:szCs w:val="22"/>
          <w:lang w:val="hy-AM" w:eastAsia="en-US"/>
        </w:rPr>
        <w:t>Ապահով դպրոց</w:t>
      </w:r>
      <w:r w:rsidRPr="007955BB">
        <w:rPr>
          <w:b w:val="0"/>
          <w:szCs w:val="22"/>
          <w:lang w:val="hy-AM" w:eastAsia="en-US"/>
        </w:rPr>
        <w:t xml:space="preserve"> ծրագրի </w:t>
      </w:r>
      <w:r w:rsidRPr="007955BB">
        <w:rPr>
          <w:b w:val="0"/>
          <w:color w:val="000000"/>
          <w:szCs w:val="22"/>
          <w:lang w:val="hy-AM" w:eastAsia="en-US"/>
        </w:rPr>
        <w:t xml:space="preserve">գծով 2023 թվականին նախատեսվում է հատկացնել </w:t>
      </w:r>
      <w:r w:rsidRPr="007955BB">
        <w:rPr>
          <w:b w:val="0"/>
          <w:szCs w:val="22"/>
          <w:lang w:val="hy-AM" w:eastAsia="en-US"/>
        </w:rPr>
        <w:t xml:space="preserve">15,199.0 </w:t>
      </w:r>
      <w:r w:rsidRPr="007955BB">
        <w:rPr>
          <w:b w:val="0"/>
          <w:color w:val="000000"/>
          <w:szCs w:val="22"/>
          <w:lang w:val="hy-AM" w:eastAsia="en-US"/>
        </w:rPr>
        <w:t>մլն դրամ:</w:t>
      </w:r>
    </w:p>
    <w:p w:rsidR="009774A5" w:rsidRPr="007955BB" w:rsidRDefault="009774A5" w:rsidP="009774A5">
      <w:pPr>
        <w:spacing w:before="0" w:line="276" w:lineRule="auto"/>
        <w:ind w:firstLine="547"/>
        <w:rPr>
          <w:b w:val="0"/>
          <w:szCs w:val="22"/>
          <w:lang w:val="hy-AM" w:eastAsia="en-US"/>
        </w:rPr>
      </w:pPr>
      <w:r w:rsidRPr="007955BB">
        <w:rPr>
          <w:b w:val="0"/>
          <w:szCs w:val="22"/>
          <w:lang w:val="hy-AM" w:eastAsia="en-US"/>
        </w:rPr>
        <w:t xml:space="preserve">Ծրագրի նպատակն է՝ դպրոցներին սպառնացող աղետների ռիսկի կառավարման կարողությունների հզորացում, դպրոցի անձնակազմի և աշակերտների անվտանգության ապահովման մակարդակի բարձրացում՝ կիրառելով ներառական և երեխայակենտրոն մոտեցում: Ծրագրով ծախսերը նախատեսվել են՝ փոքրաքանակ երեխաներով համալրված հանրակրթական դպրոցների  մոդուլային շենքերի կառուցման, մարզադահլիճների կառուցման, հիմնանորոգման և նախագծային աշխատանքների, ինչպես նաև գույքով ապահովման գծով: </w:t>
      </w:r>
    </w:p>
    <w:p w:rsidR="009774A5" w:rsidRPr="007955BB" w:rsidRDefault="009774A5" w:rsidP="009774A5">
      <w:pPr>
        <w:spacing w:before="0" w:line="276" w:lineRule="auto"/>
        <w:ind w:firstLine="547"/>
        <w:rPr>
          <w:b w:val="0"/>
          <w:color w:val="000000"/>
          <w:szCs w:val="22"/>
          <w:lang w:val="hy-AM" w:eastAsia="en-US"/>
        </w:rPr>
      </w:pPr>
      <w:r w:rsidRPr="007955BB">
        <w:rPr>
          <w:szCs w:val="22"/>
          <w:lang w:val="hy-AM" w:eastAsia="en-US"/>
        </w:rPr>
        <w:t>Կրթության որակի ապահովում</w:t>
      </w:r>
      <w:r w:rsidRPr="007955BB">
        <w:rPr>
          <w:b w:val="0"/>
          <w:szCs w:val="22"/>
          <w:lang w:val="hy-AM" w:eastAsia="en-US"/>
        </w:rPr>
        <w:t xml:space="preserve"> ծրագրի </w:t>
      </w:r>
      <w:r w:rsidRPr="007955BB">
        <w:rPr>
          <w:b w:val="0"/>
          <w:color w:val="000000"/>
          <w:szCs w:val="22"/>
          <w:lang w:val="hy-AM" w:eastAsia="en-US"/>
        </w:rPr>
        <w:t xml:space="preserve">գծով 2023 թվականին նախատեսվում է հատկացնել </w:t>
      </w:r>
      <w:r w:rsidRPr="007955BB">
        <w:rPr>
          <w:b w:val="0"/>
          <w:szCs w:val="22"/>
          <w:lang w:val="hy-AM" w:eastAsia="en-US"/>
        </w:rPr>
        <w:t>8,</w:t>
      </w:r>
      <w:r w:rsidR="004B3828" w:rsidRPr="004B3828">
        <w:rPr>
          <w:b w:val="0"/>
          <w:szCs w:val="22"/>
          <w:lang w:val="hy-AM" w:eastAsia="en-US"/>
        </w:rPr>
        <w:t>649</w:t>
      </w:r>
      <w:r w:rsidRPr="007955BB">
        <w:rPr>
          <w:b w:val="0"/>
          <w:szCs w:val="22"/>
          <w:lang w:val="hy-AM" w:eastAsia="en-US"/>
        </w:rPr>
        <w:t>.</w:t>
      </w:r>
      <w:r w:rsidR="004B3828" w:rsidRPr="004B3828">
        <w:rPr>
          <w:b w:val="0"/>
          <w:szCs w:val="22"/>
          <w:lang w:val="hy-AM" w:eastAsia="en-US"/>
        </w:rPr>
        <w:t>1</w:t>
      </w:r>
      <w:r w:rsidRPr="007955BB">
        <w:rPr>
          <w:b w:val="0"/>
          <w:szCs w:val="22"/>
          <w:lang w:val="hy-AM" w:eastAsia="en-US"/>
        </w:rPr>
        <w:t xml:space="preserve"> </w:t>
      </w:r>
      <w:r w:rsidRPr="007955BB">
        <w:rPr>
          <w:b w:val="0"/>
          <w:color w:val="000000"/>
          <w:szCs w:val="22"/>
          <w:lang w:val="hy-AM" w:eastAsia="en-US"/>
        </w:rPr>
        <w:t>մլն դրամ:</w:t>
      </w:r>
    </w:p>
    <w:p w:rsidR="009774A5" w:rsidRPr="007955BB" w:rsidRDefault="009774A5" w:rsidP="009774A5">
      <w:pPr>
        <w:spacing w:before="0" w:line="276" w:lineRule="auto"/>
        <w:ind w:firstLine="540"/>
        <w:rPr>
          <w:b w:val="0"/>
          <w:szCs w:val="22"/>
          <w:lang w:val="hy-AM" w:eastAsia="en-US"/>
        </w:rPr>
      </w:pPr>
      <w:r w:rsidRPr="007955BB">
        <w:rPr>
          <w:b w:val="0"/>
          <w:szCs w:val="22"/>
          <w:lang w:val="hy-AM" w:eastAsia="en-US"/>
        </w:rPr>
        <w:t>Ծրագրի նպատակն է՝ ընթացիկ աշխատանքների, բարեփոխումների և նոր նախաձեռնությունների միջոցով կրթության ոլորտում իրականացվող միջոցառումների, մատուցվող ծառայությունների բովանդակության և կազմակերպման որակի շարունակական բարելավում: Ծրագրի շրջանակներում միջոցներ են նախատեսվել հանրակրթության պետական կրթական չափորոշ</w:t>
      </w:r>
      <w:r w:rsidR="00A22BBD" w:rsidRPr="00A22BBD">
        <w:rPr>
          <w:b w:val="0"/>
          <w:szCs w:val="22"/>
          <w:lang w:val="hy-AM" w:eastAsia="en-US"/>
        </w:rPr>
        <w:t>չ</w:t>
      </w:r>
      <w:r w:rsidRPr="007955BB">
        <w:rPr>
          <w:b w:val="0"/>
          <w:szCs w:val="22"/>
          <w:lang w:val="hy-AM" w:eastAsia="en-US"/>
        </w:rPr>
        <w:t xml:space="preserve">ի և առարկայական ծրագրերին համապատասխան տնօրենների և ուսուցիչների վերապատրաստման, կամավոր ատեստավորման արդյունքում ուսուցիչներին հավելավճարների տրամադրման, հանրակրթական հիմնական և նախադպրոցական ծրագրեր իրականացնող ուսումնական հաստատությունների հերթական ատեստավորման ենթակա ուսուցիչների և մանկավարժների վերապատրաստման գծով: Ուսուցիչների մասնագիտական շարունակական զարգացման և վարձատրության փոխկապակցված մեխանիզմի ներդրման վերաբերյալ դրույթն ամրագրված է ՀՀ կառավարության ծրագրի «4.3 Կրթություն» բաժնում: </w:t>
      </w:r>
    </w:p>
    <w:p w:rsidR="009774A5" w:rsidRPr="007955BB" w:rsidRDefault="009774A5" w:rsidP="009774A5">
      <w:pPr>
        <w:numPr>
          <w:ilvl w:val="12"/>
          <w:numId w:val="0"/>
        </w:numPr>
        <w:tabs>
          <w:tab w:val="left" w:pos="851"/>
          <w:tab w:val="left" w:pos="9214"/>
        </w:tabs>
        <w:spacing w:before="0" w:line="276" w:lineRule="auto"/>
        <w:ind w:firstLine="540"/>
        <w:contextualSpacing w:val="0"/>
        <w:rPr>
          <w:b w:val="0"/>
          <w:szCs w:val="22"/>
          <w:lang w:val="hy-AM" w:eastAsia="en-US"/>
        </w:rPr>
      </w:pPr>
      <w:r w:rsidRPr="007955BB">
        <w:rPr>
          <w:b w:val="0"/>
          <w:szCs w:val="22"/>
          <w:lang w:val="hy-AM" w:eastAsia="en-US"/>
        </w:rPr>
        <w:t xml:space="preserve">Համաշխարհային բանկի աջակցությամբ իրականացվող «Կրթության բարելավում» ծրագրի լրացուցիչ ֆինանսավորման վարկային ծրագրի շրջանակներում նախատեսվում է օժանդակել նախադպրոցական ծառայությունների ստեղծմանը և զարգացմանը, կրթության կառավարման և տեղեկատվական համակարգի բարելավմանը, նախատեսվում է նաև բուհերում նորարարական և զարգացման ծրագրերի իրականացման նպատակով դրամաշնորհների մրցակցային հիմունքներով տրամադրում, 4 ավագ դպրոցների վերակառուցում, անհրաժեշտ գույքով համալրում, ինչպես նաև կշարունակվեն հանրակրթական դպրոցների վերազինման, շուրջ 100 ուսումնական հաստատությունների ժամանակակից բնագիտական և ինժեներական լաբորատոր, համակարգչային սարքավորումներով և գույքով հագեցած նոր լաբորատորիաների հիմնման աշխատանքները։ </w:t>
      </w:r>
    </w:p>
    <w:p w:rsidR="009774A5" w:rsidRPr="007955BB" w:rsidRDefault="009774A5" w:rsidP="009774A5">
      <w:pPr>
        <w:spacing w:before="0" w:line="276" w:lineRule="auto"/>
        <w:ind w:firstLine="547"/>
        <w:rPr>
          <w:b w:val="0"/>
          <w:color w:val="000000"/>
          <w:szCs w:val="22"/>
          <w:lang w:val="hy-AM" w:eastAsia="en-US"/>
        </w:rPr>
      </w:pPr>
      <w:r w:rsidRPr="007955BB">
        <w:rPr>
          <w:szCs w:val="22"/>
          <w:lang w:val="hy-AM" w:eastAsia="en-US"/>
        </w:rPr>
        <w:t>Համընդհանուր ներառական կրթության համակարգի ներդրում</w:t>
      </w:r>
      <w:r w:rsidRPr="007955BB">
        <w:rPr>
          <w:b w:val="0"/>
          <w:szCs w:val="22"/>
          <w:lang w:val="hy-AM" w:eastAsia="en-US"/>
        </w:rPr>
        <w:t xml:space="preserve"> ծրագրի </w:t>
      </w:r>
      <w:r w:rsidRPr="007955BB">
        <w:rPr>
          <w:b w:val="0"/>
          <w:color w:val="000000"/>
          <w:szCs w:val="22"/>
          <w:lang w:val="hy-AM" w:eastAsia="en-US"/>
        </w:rPr>
        <w:t xml:space="preserve">գծով 2023 թվականին նախատեսվում է հատկացնել </w:t>
      </w:r>
      <w:r w:rsidRPr="007955BB">
        <w:rPr>
          <w:b w:val="0"/>
          <w:szCs w:val="22"/>
          <w:lang w:val="hy-AM" w:eastAsia="en-US"/>
        </w:rPr>
        <w:t xml:space="preserve">4,278.5 </w:t>
      </w:r>
      <w:r w:rsidRPr="007955BB">
        <w:rPr>
          <w:b w:val="0"/>
          <w:color w:val="000000"/>
          <w:szCs w:val="22"/>
          <w:lang w:val="hy-AM" w:eastAsia="en-US"/>
        </w:rPr>
        <w:t>մլն դրամ:</w:t>
      </w:r>
    </w:p>
    <w:p w:rsidR="009774A5" w:rsidRPr="007955BB" w:rsidRDefault="009774A5" w:rsidP="009774A5">
      <w:pPr>
        <w:spacing w:before="0" w:line="276" w:lineRule="auto"/>
        <w:ind w:firstLine="547"/>
        <w:rPr>
          <w:b w:val="0"/>
          <w:szCs w:val="22"/>
          <w:lang w:val="hy-AM" w:eastAsia="en-US"/>
        </w:rPr>
      </w:pPr>
      <w:r w:rsidRPr="007955BB">
        <w:rPr>
          <w:b w:val="0"/>
          <w:szCs w:val="22"/>
          <w:lang w:val="hy-AM" w:eastAsia="en-US"/>
        </w:rPr>
        <w:t xml:space="preserve">Ծրագրի նպատակն է՝ յուրաքանչյուր երեխայի համար կրթության մատչելիության, հավասար մասնակցության հնարավորության և որակի ապահովում՛ զարգացման առանձնահատկություններին համապատասխան և անհրաժեշտ պայմանների ստեղծման միջոցով: Ծրագրի շրջանակներում միջոցներ են նախատեսվել մանկավարժահոգեբանական աջակցության ծառայությունների և կրթության առանձնահատուկ պայմանների կարիք ունեցող երեխաների կրթության կազմակերպմանն օժանդակող միջոցառումների գծով՝ համընդհանուր ներառական կրթության անցմամբ պայմանավորված, տարածքային մանկավարժահոգեբանական աջակցության կենտրոնների գործունեության հետ կապված: </w:t>
      </w:r>
    </w:p>
    <w:p w:rsidR="009774A5" w:rsidRPr="007955BB" w:rsidRDefault="009774A5" w:rsidP="009774A5">
      <w:pPr>
        <w:spacing w:before="0" w:line="276" w:lineRule="auto"/>
        <w:ind w:firstLine="547"/>
        <w:rPr>
          <w:b w:val="0"/>
          <w:color w:val="000000"/>
          <w:szCs w:val="22"/>
          <w:lang w:val="hy-AM" w:eastAsia="en-US"/>
        </w:rPr>
      </w:pPr>
      <w:r w:rsidRPr="007955BB">
        <w:rPr>
          <w:szCs w:val="22"/>
          <w:lang w:val="hy-AM" w:eastAsia="en-US"/>
        </w:rPr>
        <w:t>Մշակութային և գեղագիտական դաստիարակության</w:t>
      </w:r>
      <w:r w:rsidRPr="007955BB">
        <w:rPr>
          <w:b w:val="0"/>
          <w:szCs w:val="22"/>
          <w:lang w:val="hy-AM" w:eastAsia="en-US"/>
        </w:rPr>
        <w:t xml:space="preserve"> ծրագրի </w:t>
      </w:r>
      <w:r w:rsidRPr="007955BB">
        <w:rPr>
          <w:b w:val="0"/>
          <w:color w:val="000000"/>
          <w:szCs w:val="22"/>
          <w:lang w:val="hy-AM" w:eastAsia="en-US"/>
        </w:rPr>
        <w:t xml:space="preserve">գծով 2023 թվականին նախատեսվում է հատկացնել </w:t>
      </w:r>
      <w:r w:rsidRPr="007955BB">
        <w:rPr>
          <w:b w:val="0"/>
          <w:szCs w:val="22"/>
          <w:lang w:val="hy-AM" w:eastAsia="en-US"/>
        </w:rPr>
        <w:t xml:space="preserve">342.9 </w:t>
      </w:r>
      <w:r w:rsidRPr="007955BB">
        <w:rPr>
          <w:b w:val="0"/>
          <w:color w:val="000000"/>
          <w:szCs w:val="22"/>
          <w:lang w:val="hy-AM" w:eastAsia="en-US"/>
        </w:rPr>
        <w:t>մլն դրամ:</w:t>
      </w:r>
    </w:p>
    <w:p w:rsidR="009774A5" w:rsidRPr="007955BB" w:rsidRDefault="009774A5" w:rsidP="009774A5">
      <w:pPr>
        <w:spacing w:before="0" w:line="276" w:lineRule="auto"/>
        <w:ind w:firstLine="547"/>
        <w:rPr>
          <w:b w:val="0"/>
          <w:szCs w:val="22"/>
          <w:lang w:val="hy-AM" w:eastAsia="en-US"/>
        </w:rPr>
      </w:pPr>
      <w:r w:rsidRPr="007955BB">
        <w:rPr>
          <w:b w:val="0"/>
          <w:szCs w:val="22"/>
          <w:lang w:val="hy-AM" w:eastAsia="en-US"/>
        </w:rPr>
        <w:t xml:space="preserve">Ծրագրի նպատակն է՝ երեխաների հոգևոր և գեղագիտական ընդունակությունների բացահայտումը և զարգացումը: Ծրագրի շրջանակներում միջոցներ են նախատեսվել երաժշտական, արվեստի, գեղարվեստի և պարարվեստի դպրոցներում 3800 աշակերտների և 920 ուսուցիչների համար ուսումնամեթոդական աշխատանքների կազմակերպման, ազգային, փողային և լարային  նվագարանների գծով 1181 սովորողների ուսման վարձավճարի փոխհատուցման, շնորհալի պատանի 15 երաժիշտ կատարողների մասնագիտական կարողությունների զարգացման և կատարելագործման նպատակով: </w:t>
      </w:r>
    </w:p>
    <w:p w:rsidR="009774A5" w:rsidRPr="007955BB" w:rsidRDefault="009774A5" w:rsidP="009774A5">
      <w:pPr>
        <w:spacing w:before="0" w:line="276" w:lineRule="auto"/>
        <w:ind w:firstLine="547"/>
        <w:rPr>
          <w:b w:val="0"/>
          <w:color w:val="000000"/>
          <w:szCs w:val="22"/>
          <w:lang w:val="hy-AM" w:eastAsia="en-US"/>
        </w:rPr>
      </w:pPr>
      <w:r w:rsidRPr="007955BB">
        <w:rPr>
          <w:szCs w:val="22"/>
          <w:lang w:val="hy-AM" w:eastAsia="en-US"/>
        </w:rPr>
        <w:t>Կրթության, մշակույթի և սպորտի ոլորտներում միջազգային և սփյուռքի հետ համագործակցության զարգացում</w:t>
      </w:r>
      <w:r w:rsidRPr="007955BB">
        <w:rPr>
          <w:b w:val="0"/>
          <w:szCs w:val="22"/>
          <w:lang w:val="hy-AM" w:eastAsia="en-US"/>
        </w:rPr>
        <w:t xml:space="preserve"> ծրագրի </w:t>
      </w:r>
      <w:r w:rsidRPr="007955BB">
        <w:rPr>
          <w:b w:val="0"/>
          <w:color w:val="000000"/>
          <w:szCs w:val="22"/>
          <w:lang w:val="hy-AM" w:eastAsia="en-US"/>
        </w:rPr>
        <w:t xml:space="preserve">գծով 2023 թվականին նախատեսվում է հատկացնել </w:t>
      </w:r>
      <w:r w:rsidR="004B3828">
        <w:rPr>
          <w:b w:val="0"/>
          <w:szCs w:val="22"/>
          <w:lang w:val="hy-AM" w:eastAsia="en-US"/>
        </w:rPr>
        <w:t>3</w:t>
      </w:r>
      <w:r w:rsidR="000A00B0" w:rsidRPr="00587938">
        <w:rPr>
          <w:b w:val="0"/>
          <w:szCs w:val="22"/>
          <w:lang w:val="hy-AM" w:eastAsia="en-US"/>
        </w:rPr>
        <w:t>45</w:t>
      </w:r>
      <w:r w:rsidR="004B3828" w:rsidRPr="004B3828">
        <w:rPr>
          <w:b w:val="0"/>
          <w:szCs w:val="22"/>
          <w:lang w:val="hy-AM" w:eastAsia="en-US"/>
        </w:rPr>
        <w:t>.</w:t>
      </w:r>
      <w:r w:rsidR="000A00B0" w:rsidRPr="00587938">
        <w:rPr>
          <w:b w:val="0"/>
          <w:szCs w:val="22"/>
          <w:lang w:val="hy-AM" w:eastAsia="en-US"/>
        </w:rPr>
        <w:t>3</w:t>
      </w:r>
      <w:r w:rsidRPr="007955BB">
        <w:rPr>
          <w:b w:val="0"/>
          <w:szCs w:val="22"/>
          <w:lang w:val="hy-AM" w:eastAsia="en-US"/>
        </w:rPr>
        <w:t xml:space="preserve"> </w:t>
      </w:r>
      <w:r w:rsidRPr="007955BB">
        <w:rPr>
          <w:b w:val="0"/>
          <w:color w:val="000000"/>
          <w:szCs w:val="22"/>
          <w:lang w:val="hy-AM" w:eastAsia="en-US"/>
        </w:rPr>
        <w:t>մլն դրամ:</w:t>
      </w:r>
    </w:p>
    <w:p w:rsidR="009774A5" w:rsidRPr="007955BB" w:rsidRDefault="009774A5" w:rsidP="009774A5">
      <w:pPr>
        <w:spacing w:before="0" w:line="276" w:lineRule="auto"/>
        <w:ind w:firstLine="547"/>
        <w:rPr>
          <w:b w:val="0"/>
          <w:szCs w:val="22"/>
          <w:lang w:val="hy-AM" w:eastAsia="en-US"/>
        </w:rPr>
      </w:pPr>
      <w:r w:rsidRPr="007955BB">
        <w:rPr>
          <w:b w:val="0"/>
          <w:szCs w:val="22"/>
          <w:lang w:val="hy-AM" w:eastAsia="en-US"/>
        </w:rPr>
        <w:t xml:space="preserve">Ծրագրի նպատակն է՝ կրթության, մշակույթի և սպորտի ոլորտներում միջազգային համագործակցության ընդլայնումը, սփյուռքում և օտարերկրյա պետություններում հայկական կրթական կարողությունների հզորացումը: Ծրագրով նախատեսվող միջոցները կուղղվեն Սփյուռքի կրթօջախների ուսուցիչների կարողությունների հզորացմանը, դասագրքերի և այլ ուսումնական նյութերի մշակմանն ու տրամադրմանը, օտարերկրյա պետություններում հայերենի և հայագիտական առարկաների դասավանդմանը: </w:t>
      </w:r>
    </w:p>
    <w:p w:rsidR="009774A5" w:rsidRPr="007955BB" w:rsidRDefault="009774A5" w:rsidP="009774A5">
      <w:pPr>
        <w:spacing w:before="0" w:line="276" w:lineRule="auto"/>
        <w:ind w:firstLine="547"/>
        <w:rPr>
          <w:b w:val="0"/>
          <w:szCs w:val="22"/>
          <w:lang w:val="hy-AM" w:eastAsia="en-US"/>
        </w:rPr>
      </w:pPr>
      <w:r w:rsidRPr="007955BB">
        <w:rPr>
          <w:b w:val="0"/>
          <w:szCs w:val="22"/>
          <w:lang w:val="hy-AM" w:eastAsia="en-US"/>
        </w:rPr>
        <w:t>Սփյուռքի հետ համագործակցության վերաբերյալ դրույթներն ամրագրված են ՀՀ կառավարության ծրագրի «1.4 Սփյուռք»,  «4.7 Երիտասարդություն» բաժիններում,  «4.9 Մշակույթ»  բաժնի մշակութային ժառանգության վերաբերյալ ենթաբաժնում</w:t>
      </w:r>
      <w:r w:rsidRPr="007955BB">
        <w:rPr>
          <w:b w:val="0"/>
          <w:szCs w:val="22"/>
          <w:lang w:val="af-ZA" w:eastAsia="en-US"/>
        </w:rPr>
        <w:t>:</w:t>
      </w:r>
    </w:p>
    <w:p w:rsidR="009774A5" w:rsidRPr="007955BB" w:rsidRDefault="009774A5" w:rsidP="009774A5">
      <w:pPr>
        <w:spacing w:before="0" w:line="276" w:lineRule="auto"/>
        <w:ind w:firstLine="547"/>
        <w:rPr>
          <w:b w:val="0"/>
          <w:color w:val="000000"/>
          <w:szCs w:val="22"/>
          <w:lang w:val="hy-AM" w:eastAsia="en-US"/>
        </w:rPr>
      </w:pPr>
      <w:r w:rsidRPr="007955BB">
        <w:rPr>
          <w:rFonts w:cs="Arial"/>
          <w:kern w:val="16"/>
          <w:szCs w:val="22"/>
          <w:lang w:val="hy-AM" w:eastAsia="en-US"/>
        </w:rPr>
        <w:t xml:space="preserve">Կրթության ոլորտում տեղեկատվական և հաղորդակցական տեխնոլոգիաների ներդրում  </w:t>
      </w:r>
      <w:r w:rsidRPr="007955BB">
        <w:rPr>
          <w:b w:val="0"/>
          <w:szCs w:val="22"/>
          <w:lang w:val="hy-AM" w:eastAsia="en-US"/>
        </w:rPr>
        <w:t xml:space="preserve">ծրագրի </w:t>
      </w:r>
      <w:r w:rsidRPr="007955BB">
        <w:rPr>
          <w:b w:val="0"/>
          <w:color w:val="000000"/>
          <w:szCs w:val="22"/>
          <w:lang w:val="hy-AM" w:eastAsia="en-US"/>
        </w:rPr>
        <w:t xml:space="preserve">գծով 2023 թվականին նախատեսվում է հատկացնել </w:t>
      </w:r>
      <w:r w:rsidR="004B3828" w:rsidRPr="004B3828">
        <w:rPr>
          <w:b w:val="0"/>
          <w:szCs w:val="22"/>
          <w:lang w:val="hy-AM" w:eastAsia="en-US"/>
        </w:rPr>
        <w:t>803</w:t>
      </w:r>
      <w:r w:rsidRPr="007955BB">
        <w:rPr>
          <w:b w:val="0"/>
          <w:szCs w:val="22"/>
          <w:lang w:val="hy-AM" w:eastAsia="en-US"/>
        </w:rPr>
        <w:t>.</w:t>
      </w:r>
      <w:r w:rsidR="004B3828" w:rsidRPr="004B3828">
        <w:rPr>
          <w:b w:val="0"/>
          <w:szCs w:val="22"/>
          <w:lang w:val="hy-AM" w:eastAsia="en-US"/>
        </w:rPr>
        <w:t>6</w:t>
      </w:r>
      <w:r w:rsidRPr="007955BB">
        <w:rPr>
          <w:b w:val="0"/>
          <w:szCs w:val="22"/>
          <w:lang w:val="hy-AM" w:eastAsia="en-US"/>
        </w:rPr>
        <w:t xml:space="preserve"> </w:t>
      </w:r>
      <w:r w:rsidRPr="007955BB">
        <w:rPr>
          <w:b w:val="0"/>
          <w:color w:val="000000"/>
          <w:szCs w:val="22"/>
          <w:lang w:val="hy-AM" w:eastAsia="en-US"/>
        </w:rPr>
        <w:t>մլն դրամ:</w:t>
      </w:r>
    </w:p>
    <w:p w:rsidR="009774A5" w:rsidRPr="007955BB" w:rsidRDefault="009774A5" w:rsidP="009774A5">
      <w:pPr>
        <w:spacing w:before="0" w:line="276" w:lineRule="auto"/>
        <w:ind w:firstLine="547"/>
        <w:rPr>
          <w:b w:val="0"/>
          <w:szCs w:val="22"/>
          <w:lang w:val="hy-AM" w:eastAsia="en-US"/>
        </w:rPr>
      </w:pPr>
      <w:r w:rsidRPr="007955BB">
        <w:rPr>
          <w:b w:val="0"/>
          <w:szCs w:val="22"/>
          <w:lang w:val="hy-AM" w:eastAsia="en-US"/>
        </w:rPr>
        <w:t>Ծրագրի նպատակն է՝ կրթության ոլորտում տեղեկատվական և հաղորդակցական տեխնոլոգիաների կիրառման ընդլայնումը: Ծրագրի շրջանակներում միջոցներ են նախատեսվել ՀՀ հանրակրթական ուսումնական հաստատություններում տվյալների փոխանակման կապի ապահովման և սպասարկման, հեռավար դասընթացների կազմակերպման, կրթության ոլորտում ՏՀՏ բնագավառի ծրագրերի համակարգման գծով:</w:t>
      </w:r>
    </w:p>
    <w:p w:rsidR="002D2E24" w:rsidRPr="007955BB" w:rsidRDefault="002D2E24" w:rsidP="002D2E24">
      <w:pPr>
        <w:spacing w:before="0" w:line="276" w:lineRule="auto"/>
        <w:ind w:firstLine="547"/>
        <w:rPr>
          <w:szCs w:val="22"/>
          <w:lang w:val="hy-AM" w:eastAsia="en-US"/>
        </w:rPr>
      </w:pPr>
      <w:r w:rsidRPr="007955BB">
        <w:rPr>
          <w:szCs w:val="22"/>
          <w:lang w:val="hy-AM" w:eastAsia="en-US"/>
        </w:rPr>
        <w:t>Գիտություն</w:t>
      </w:r>
    </w:p>
    <w:p w:rsidR="00103C9F" w:rsidRPr="00103C9F" w:rsidRDefault="00103C9F" w:rsidP="00103C9F">
      <w:pPr>
        <w:spacing w:before="0" w:line="276" w:lineRule="auto"/>
        <w:ind w:firstLine="547"/>
        <w:rPr>
          <w:b w:val="0"/>
          <w:szCs w:val="22"/>
          <w:lang w:val="hy-AM" w:eastAsia="en-US"/>
        </w:rPr>
      </w:pPr>
      <w:r w:rsidRPr="00103C9F">
        <w:rPr>
          <w:szCs w:val="22"/>
          <w:lang w:val="hy-AM" w:eastAsia="en-US"/>
        </w:rPr>
        <w:t xml:space="preserve">Գիտական և գիտատեխնիկական հետազոտությունների ծրագրի </w:t>
      </w:r>
      <w:r w:rsidRPr="00103C9F">
        <w:rPr>
          <w:b w:val="0"/>
          <w:szCs w:val="22"/>
          <w:lang w:val="hy-AM" w:eastAsia="en-US"/>
        </w:rPr>
        <w:t>նպատակն է՝ գիտական և գիտատեխնիկական գործունեության հիմնարար, կիրառական և թեմատիկ հետազոտությունների իրականացում, ենթակառուցվածքի և ազգային արժեք ներկայացնող գիտական  օբյեկտների պահպանում և զարգացում, գիտական ներուժի վերարտադրության ապահովում: Ծրագրի գծով 2023 թվականին նախատեսվել է 29,811.5 մլն դրամ:</w:t>
      </w:r>
    </w:p>
    <w:p w:rsidR="00103C9F" w:rsidRPr="00103C9F" w:rsidRDefault="00103C9F" w:rsidP="00103C9F">
      <w:pPr>
        <w:spacing w:before="0" w:line="276" w:lineRule="auto"/>
        <w:ind w:firstLine="547"/>
        <w:rPr>
          <w:b w:val="0"/>
          <w:szCs w:val="22"/>
          <w:lang w:val="hy-AM" w:eastAsia="en-US"/>
        </w:rPr>
      </w:pPr>
      <w:r w:rsidRPr="00103C9F">
        <w:rPr>
          <w:szCs w:val="22"/>
          <w:lang w:val="hy-AM" w:eastAsia="en-US"/>
        </w:rPr>
        <w:t>«</w:t>
      </w:r>
      <w:r w:rsidRPr="00103C9F">
        <w:rPr>
          <w:b w:val="0"/>
          <w:szCs w:val="22"/>
          <w:lang w:val="hy-AM" w:eastAsia="en-US"/>
        </w:rPr>
        <w:t xml:space="preserve">Գիտական ենթակառուցվածքի արդիականացում» միջոցառման գծով նախատեսվել է գիտական կազմակերպությունների և բուհերի գիտական ստորաբաժանումների  զարգացման, ծրագրերի իրականացման, գիտական սարքավորումների արդիականացման, միջազգային համագործակցության աջակցության նպատակով: </w:t>
      </w:r>
      <w:bookmarkStart w:id="329" w:name="_Hlk77769403"/>
      <w:r w:rsidRPr="00103C9F">
        <w:rPr>
          <w:b w:val="0"/>
          <w:szCs w:val="22"/>
          <w:lang w:val="hy-AM" w:eastAsia="en-US"/>
        </w:rPr>
        <w:t>Միջոցառմանը հատկացվող միջոցներում ընդգրկված է գիտաշխատողների աշխատավարձի ավելացում</w:t>
      </w:r>
      <w:bookmarkEnd w:id="329"/>
      <w:r w:rsidRPr="00103C9F">
        <w:rPr>
          <w:b w:val="0"/>
          <w:szCs w:val="22"/>
          <w:lang w:val="hy-AM" w:eastAsia="en-US"/>
        </w:rPr>
        <w:t>ը՝ պայմանավորված 13.05.2021թ. «Հայաստանի Հանրապետության կառավարության 2001 թվականի նոյեմբերի 17-ի N 1121 որոշման մեջ փոփոխություններ և լրացումներ կատարելու մասին» ՀՀ կառավարության N 747-Լ որոշմամբ 2022-2025 թվականներին գիտական կադրերի աշխատավարձի աստիճանական ավելացմամբ, ինչպես նաև միջազգային գիտական ծրագրերի, կառույցների անդամակցությունը և գիտատեղեկատվական շտեմարանի ռեսուրսների օգտագործումը («Հորիզոն Եվրոպա» շրջանակային (9-րդ) ծրագրի մասնակցություն, Միջուկային հետազոտությունների միացյալ ինստիտուտ, Բարձր էներգիաների ստերեոսկոպիկ համակարգ, Տեսական ֆիզիկայի միջազգային կենտրոն, Քլարիվեյթ Անալիտիքս):</w:t>
      </w:r>
    </w:p>
    <w:p w:rsidR="00103C9F" w:rsidRPr="00103C9F" w:rsidRDefault="00103C9F" w:rsidP="00103C9F">
      <w:pPr>
        <w:spacing w:before="0" w:line="276" w:lineRule="auto"/>
        <w:ind w:firstLine="547"/>
        <w:rPr>
          <w:b w:val="0"/>
          <w:szCs w:val="22"/>
          <w:lang w:val="hy-AM" w:eastAsia="en-US"/>
        </w:rPr>
      </w:pPr>
      <w:r w:rsidRPr="00103C9F">
        <w:rPr>
          <w:b w:val="0"/>
          <w:szCs w:val="22"/>
          <w:lang w:val="hy-AM" w:eastAsia="en-US"/>
        </w:rPr>
        <w:t>Աշխատավարձերի բարձրացման գծով համապատասխան միջոցներ են նախատեսվել նաև «Քենդլ» սինքրոտրոնային հետազոտությունների ինստիտուտ» հիմնադրամին՝ արագացուցչային ֆիզիկայի և տեխնիկայի բնագավառում գիտական և գիտատեխնիկական հետազոտությունների, «Ա. Ի. Ալիխանյանի անվան ազգային գիտական լաբորատորիա (Երևանի ֆիզիկայի ինստիտուտ)» հիմնադրամին՝ ֆիզիկայի բնագավառում գիտական և գիտատեխնիկական հետազոտությունների իրականացման նպատակով, «Ազգային արժեք ներկայացնող գիտական օբյեկտների պահպանություն» միջոցառման մեջ ընդգրկված՝ Հին ձեռագրերի ինստիտուտին, Ցեղասպանության թանգարանին, Բյուրականի աստղադիտարանին:</w:t>
      </w:r>
    </w:p>
    <w:p w:rsidR="00103C9F" w:rsidRPr="00103C9F" w:rsidRDefault="00103C9F" w:rsidP="00103C9F">
      <w:pPr>
        <w:spacing w:before="0" w:line="276" w:lineRule="auto"/>
        <w:ind w:firstLine="547"/>
        <w:rPr>
          <w:b w:val="0"/>
          <w:szCs w:val="22"/>
          <w:lang w:val="hy-AM" w:eastAsia="en-US"/>
        </w:rPr>
      </w:pPr>
      <w:r w:rsidRPr="00103C9F">
        <w:rPr>
          <w:b w:val="0"/>
          <w:szCs w:val="22"/>
          <w:lang w:val="hy-AM" w:eastAsia="en-US"/>
        </w:rPr>
        <w:t>«Գիտական և գիտատեխնիկական պայմանագրային (թեմատիկ) հետազոտություններ» միջոցառման գծով նախատեսված միջոցներում հաշվի է առնվել նոր մրցութային ծրագրերի իրականացումը: Միջոցառման շրջանակում իրականացվում են դրամաշնորհային մրցույթներ, որոնց համար որպես արդյունքային ցուցանիշներ են սահմանվում միջազգային չափանիշներին համապատասխան գիտական արդյունքները:</w:t>
      </w:r>
    </w:p>
    <w:p w:rsidR="00103C9F" w:rsidRPr="00103C9F" w:rsidRDefault="00103C9F" w:rsidP="00103C9F">
      <w:pPr>
        <w:spacing w:before="0" w:line="276" w:lineRule="auto"/>
        <w:ind w:firstLine="547"/>
        <w:rPr>
          <w:b w:val="0"/>
          <w:szCs w:val="22"/>
          <w:lang w:val="hy-AM" w:eastAsia="en-US"/>
        </w:rPr>
      </w:pPr>
      <w:r w:rsidRPr="00103C9F">
        <w:rPr>
          <w:b w:val="0"/>
          <w:szCs w:val="22"/>
          <w:lang w:val="hy-AM" w:eastAsia="en-US"/>
        </w:rPr>
        <w:t>Ծրագրում նախատեսվել են ՀՀ ԳԱԱ իսկական (42) և թղթակից (53) անդամների պատվովճարների տրամադրումը, պետական գիտական ծրագրերում ընդգրկված` գիտական աստիճան ունեցող գիտաշխատողներին հավելավճարների տրամադրումը (618 գիտության դոկտորների և 1550 գիտության թեկնածուների հաշվով), գիտական և գիտատեխնիկական նպատակային-ծրագրային հետազոտությունների համար միջոցները:</w:t>
      </w:r>
    </w:p>
    <w:p w:rsidR="00103C9F" w:rsidRPr="00103C9F" w:rsidRDefault="00103C9F" w:rsidP="00103C9F">
      <w:pPr>
        <w:spacing w:before="0" w:line="276" w:lineRule="auto"/>
        <w:ind w:firstLine="547"/>
        <w:rPr>
          <w:b w:val="0"/>
          <w:szCs w:val="22"/>
          <w:lang w:val="hy-AM" w:eastAsia="en-US"/>
        </w:rPr>
      </w:pPr>
      <w:r w:rsidRPr="00103C9F">
        <w:rPr>
          <w:b w:val="0"/>
          <w:szCs w:val="22"/>
          <w:lang w:val="hy-AM" w:eastAsia="en-US"/>
        </w:rPr>
        <w:t>2023 թվականին նախատեսվում են իրականացնել 2 նոր միջոցառումներ ևս՝ գիտական կենտրոնների վերանորոգումը և գիտական կենտրոնները ժամանակակից սարքավորումներով վերազինումն ու համատեղ օգտագործման գիտական սարքավորումների կենտրոնների ստեղծումը:</w:t>
      </w:r>
    </w:p>
    <w:p w:rsidR="00103C9F" w:rsidRPr="00103C9F" w:rsidRDefault="00103C9F" w:rsidP="00103C9F">
      <w:pPr>
        <w:spacing w:before="0" w:line="276" w:lineRule="auto"/>
        <w:ind w:firstLine="547"/>
        <w:rPr>
          <w:b w:val="0"/>
          <w:szCs w:val="22"/>
          <w:lang w:val="hy-AM" w:eastAsia="en-US"/>
        </w:rPr>
      </w:pPr>
      <w:r w:rsidRPr="00103C9F">
        <w:rPr>
          <w:b w:val="0"/>
          <w:szCs w:val="22"/>
          <w:lang w:val="hy-AM" w:eastAsia="en-US"/>
        </w:rPr>
        <w:t xml:space="preserve">Գիտության ոլորտի զարգացման վերաբերյալ դրույթներն ամրագրված են ՀՀ կառավարության ծրագրի «4.4 Գիտությունն» բաժնում: </w:t>
      </w:r>
    </w:p>
    <w:p w:rsidR="002C6873" w:rsidRPr="007955BB" w:rsidRDefault="002C6873" w:rsidP="002C6873">
      <w:pPr>
        <w:spacing w:line="276" w:lineRule="auto"/>
        <w:ind w:firstLine="600"/>
        <w:rPr>
          <w:noProof/>
          <w:szCs w:val="22"/>
          <w:lang w:val="af-ZA"/>
        </w:rPr>
      </w:pPr>
      <w:r w:rsidRPr="007955BB">
        <w:rPr>
          <w:noProof/>
          <w:szCs w:val="22"/>
          <w:lang w:val="hy-AM"/>
        </w:rPr>
        <w:t>Մշակույթ</w:t>
      </w:r>
    </w:p>
    <w:p w:rsidR="002C6873" w:rsidRPr="007955BB" w:rsidRDefault="002C6873" w:rsidP="002C6873">
      <w:pPr>
        <w:spacing w:line="276" w:lineRule="auto"/>
        <w:ind w:firstLine="600"/>
        <w:rPr>
          <w:b w:val="0"/>
          <w:noProof/>
          <w:szCs w:val="22"/>
          <w:lang w:val="af-ZA"/>
        </w:rPr>
      </w:pPr>
      <w:r w:rsidRPr="007955BB">
        <w:rPr>
          <w:b w:val="0"/>
          <w:noProof/>
          <w:szCs w:val="22"/>
          <w:lang w:val="hy-AM"/>
        </w:rPr>
        <w:t>ՀՀ</w:t>
      </w:r>
      <w:r w:rsidRPr="007955BB">
        <w:rPr>
          <w:b w:val="0"/>
          <w:noProof/>
          <w:szCs w:val="22"/>
          <w:lang w:val="af-ZA"/>
        </w:rPr>
        <w:t xml:space="preserve"> </w:t>
      </w:r>
      <w:r w:rsidRPr="007955BB">
        <w:rPr>
          <w:b w:val="0"/>
          <w:noProof/>
          <w:szCs w:val="22"/>
          <w:lang w:val="hy-AM"/>
        </w:rPr>
        <w:t>կառավարության</w:t>
      </w:r>
      <w:r w:rsidRPr="007955BB">
        <w:rPr>
          <w:b w:val="0"/>
          <w:noProof/>
          <w:szCs w:val="22"/>
          <w:lang w:val="af-ZA"/>
        </w:rPr>
        <w:t xml:space="preserve"> </w:t>
      </w:r>
      <w:r w:rsidRPr="007955BB">
        <w:rPr>
          <w:b w:val="0"/>
          <w:noProof/>
          <w:szCs w:val="22"/>
          <w:lang w:val="hy-AM"/>
        </w:rPr>
        <w:t>վարած</w:t>
      </w:r>
      <w:r w:rsidRPr="007955BB">
        <w:rPr>
          <w:b w:val="0"/>
          <w:noProof/>
          <w:szCs w:val="22"/>
          <w:lang w:val="af-ZA"/>
        </w:rPr>
        <w:t xml:space="preserve"> </w:t>
      </w:r>
      <w:r w:rsidRPr="007955BB">
        <w:rPr>
          <w:b w:val="0"/>
          <w:noProof/>
          <w:szCs w:val="22"/>
          <w:lang w:val="hy-AM"/>
        </w:rPr>
        <w:t>մշակութային</w:t>
      </w:r>
      <w:r w:rsidRPr="007955BB">
        <w:rPr>
          <w:b w:val="0"/>
          <w:noProof/>
          <w:szCs w:val="22"/>
          <w:lang w:val="af-ZA"/>
        </w:rPr>
        <w:t xml:space="preserve"> </w:t>
      </w:r>
      <w:r w:rsidRPr="007955BB">
        <w:rPr>
          <w:b w:val="0"/>
          <w:noProof/>
          <w:szCs w:val="22"/>
          <w:lang w:val="hy-AM"/>
        </w:rPr>
        <w:t>քաղաքականությանը</w:t>
      </w:r>
      <w:r w:rsidRPr="007955BB">
        <w:rPr>
          <w:b w:val="0"/>
          <w:noProof/>
          <w:szCs w:val="22"/>
          <w:lang w:val="af-ZA"/>
        </w:rPr>
        <w:t xml:space="preserve"> </w:t>
      </w:r>
      <w:r w:rsidRPr="007955BB">
        <w:rPr>
          <w:b w:val="0"/>
          <w:noProof/>
          <w:szCs w:val="22"/>
          <w:lang w:val="hy-AM"/>
        </w:rPr>
        <w:t>համապա</w:t>
      </w:r>
      <w:r w:rsidRPr="007955BB">
        <w:rPr>
          <w:b w:val="0"/>
          <w:noProof/>
          <w:szCs w:val="22"/>
          <w:lang w:val="af-ZA"/>
        </w:rPr>
        <w:softHyphen/>
      </w:r>
      <w:r w:rsidRPr="007955BB">
        <w:rPr>
          <w:b w:val="0"/>
          <w:noProof/>
          <w:szCs w:val="22"/>
          <w:lang w:val="hy-AM"/>
        </w:rPr>
        <w:t>տասխան</w:t>
      </w:r>
      <w:r w:rsidRPr="007955BB">
        <w:rPr>
          <w:b w:val="0"/>
          <w:noProof/>
          <w:szCs w:val="22"/>
          <w:lang w:val="af-ZA"/>
        </w:rPr>
        <w:t xml:space="preserve"> </w:t>
      </w:r>
      <w:r w:rsidRPr="007955BB">
        <w:rPr>
          <w:b w:val="0"/>
          <w:noProof/>
          <w:szCs w:val="22"/>
          <w:lang w:val="hy-AM"/>
        </w:rPr>
        <w:t>մշակույթի</w:t>
      </w:r>
      <w:r w:rsidRPr="007955BB">
        <w:rPr>
          <w:b w:val="0"/>
          <w:noProof/>
          <w:szCs w:val="22"/>
          <w:lang w:val="af-ZA"/>
        </w:rPr>
        <w:t xml:space="preserve"> </w:t>
      </w:r>
      <w:r w:rsidRPr="007955BB">
        <w:rPr>
          <w:b w:val="0"/>
          <w:noProof/>
          <w:szCs w:val="22"/>
          <w:lang w:val="hy-AM"/>
        </w:rPr>
        <w:t>ոլորտում</w:t>
      </w:r>
      <w:r w:rsidRPr="007955BB">
        <w:rPr>
          <w:b w:val="0"/>
          <w:noProof/>
          <w:szCs w:val="22"/>
          <w:lang w:val="af-ZA"/>
        </w:rPr>
        <w:t xml:space="preserve"> </w:t>
      </w:r>
      <w:r w:rsidRPr="007955BB">
        <w:rPr>
          <w:b w:val="0"/>
          <w:noProof/>
          <w:szCs w:val="22"/>
          <w:lang w:val="hy-AM"/>
        </w:rPr>
        <w:t>իրականացվում</w:t>
      </w:r>
      <w:r w:rsidRPr="007955BB">
        <w:rPr>
          <w:b w:val="0"/>
          <w:noProof/>
          <w:szCs w:val="22"/>
          <w:lang w:val="af-ZA"/>
        </w:rPr>
        <w:t xml:space="preserve"> </w:t>
      </w:r>
      <w:r w:rsidRPr="007955BB">
        <w:rPr>
          <w:b w:val="0"/>
          <w:noProof/>
          <w:szCs w:val="22"/>
          <w:lang w:val="hy-AM"/>
        </w:rPr>
        <w:t>են</w:t>
      </w:r>
      <w:r w:rsidRPr="007955BB">
        <w:rPr>
          <w:b w:val="0"/>
          <w:noProof/>
          <w:szCs w:val="22"/>
          <w:lang w:val="af-ZA"/>
        </w:rPr>
        <w:t xml:space="preserve"> </w:t>
      </w:r>
      <w:r w:rsidRPr="007955BB">
        <w:rPr>
          <w:b w:val="0"/>
          <w:noProof/>
          <w:szCs w:val="22"/>
          <w:lang w:val="hy-AM"/>
        </w:rPr>
        <w:t>մշակութային</w:t>
      </w:r>
      <w:r w:rsidRPr="007955BB">
        <w:rPr>
          <w:b w:val="0"/>
          <w:noProof/>
          <w:szCs w:val="22"/>
          <w:lang w:val="af-ZA"/>
        </w:rPr>
        <w:t xml:space="preserve"> </w:t>
      </w:r>
      <w:r w:rsidRPr="007955BB">
        <w:rPr>
          <w:b w:val="0"/>
          <w:noProof/>
          <w:szCs w:val="22"/>
          <w:lang w:val="hy-AM"/>
        </w:rPr>
        <w:t>ժառանգության</w:t>
      </w:r>
      <w:r w:rsidRPr="007955BB">
        <w:rPr>
          <w:b w:val="0"/>
          <w:noProof/>
          <w:szCs w:val="22"/>
          <w:lang w:val="af-ZA"/>
        </w:rPr>
        <w:t xml:space="preserve"> (</w:t>
      </w:r>
      <w:r w:rsidRPr="007955BB">
        <w:rPr>
          <w:b w:val="0"/>
          <w:noProof/>
          <w:szCs w:val="22"/>
          <w:lang w:val="hy-AM"/>
        </w:rPr>
        <w:t>նյութական</w:t>
      </w:r>
      <w:r w:rsidRPr="007955BB">
        <w:rPr>
          <w:b w:val="0"/>
          <w:noProof/>
          <w:szCs w:val="22"/>
          <w:lang w:val="af-ZA"/>
        </w:rPr>
        <w:t xml:space="preserve"> </w:t>
      </w:r>
      <w:r w:rsidRPr="007955BB">
        <w:rPr>
          <w:b w:val="0"/>
          <w:noProof/>
          <w:szCs w:val="22"/>
          <w:lang w:val="hy-AM"/>
        </w:rPr>
        <w:t>և</w:t>
      </w:r>
      <w:r w:rsidRPr="007955BB">
        <w:rPr>
          <w:b w:val="0"/>
          <w:noProof/>
          <w:szCs w:val="22"/>
          <w:lang w:val="af-ZA"/>
        </w:rPr>
        <w:t xml:space="preserve"> </w:t>
      </w:r>
      <w:r w:rsidRPr="007955BB">
        <w:rPr>
          <w:b w:val="0"/>
          <w:noProof/>
          <w:szCs w:val="22"/>
          <w:lang w:val="hy-AM"/>
        </w:rPr>
        <w:t>ոչ</w:t>
      </w:r>
      <w:r w:rsidRPr="007955BB">
        <w:rPr>
          <w:b w:val="0"/>
          <w:noProof/>
          <w:szCs w:val="22"/>
          <w:lang w:val="af-ZA"/>
        </w:rPr>
        <w:t xml:space="preserve"> </w:t>
      </w:r>
      <w:r w:rsidRPr="007955BB">
        <w:rPr>
          <w:b w:val="0"/>
          <w:noProof/>
          <w:szCs w:val="22"/>
          <w:lang w:val="hy-AM"/>
        </w:rPr>
        <w:t>նյութական</w:t>
      </w:r>
      <w:r w:rsidRPr="007955BB">
        <w:rPr>
          <w:b w:val="0"/>
          <w:noProof/>
          <w:szCs w:val="22"/>
          <w:lang w:val="af-ZA"/>
        </w:rPr>
        <w:t xml:space="preserve">) </w:t>
      </w:r>
      <w:r w:rsidRPr="007955BB">
        <w:rPr>
          <w:b w:val="0"/>
          <w:noProof/>
          <w:szCs w:val="22"/>
          <w:lang w:val="hy-AM"/>
        </w:rPr>
        <w:t>պահպանության</w:t>
      </w:r>
      <w:r w:rsidRPr="007955BB">
        <w:rPr>
          <w:b w:val="0"/>
          <w:noProof/>
          <w:szCs w:val="22"/>
          <w:lang w:val="af-ZA"/>
        </w:rPr>
        <w:t xml:space="preserve">, </w:t>
      </w:r>
      <w:r w:rsidRPr="007955BB">
        <w:rPr>
          <w:b w:val="0"/>
          <w:noProof/>
          <w:szCs w:val="22"/>
          <w:lang w:val="hy-AM"/>
        </w:rPr>
        <w:t>պաշտպանության</w:t>
      </w:r>
      <w:r w:rsidRPr="007955BB">
        <w:rPr>
          <w:b w:val="0"/>
          <w:noProof/>
          <w:szCs w:val="22"/>
          <w:lang w:val="af-ZA"/>
        </w:rPr>
        <w:t xml:space="preserve">, </w:t>
      </w:r>
      <w:r w:rsidRPr="007955BB">
        <w:rPr>
          <w:b w:val="0"/>
          <w:noProof/>
          <w:szCs w:val="22"/>
          <w:lang w:val="hy-AM"/>
        </w:rPr>
        <w:t>ուսումնասիրության</w:t>
      </w:r>
      <w:r w:rsidRPr="007955BB">
        <w:rPr>
          <w:b w:val="0"/>
          <w:noProof/>
          <w:szCs w:val="22"/>
          <w:lang w:val="af-ZA"/>
        </w:rPr>
        <w:t xml:space="preserve">, </w:t>
      </w:r>
      <w:r w:rsidRPr="007955BB">
        <w:rPr>
          <w:b w:val="0"/>
          <w:noProof/>
          <w:szCs w:val="22"/>
          <w:lang w:val="hy-AM"/>
        </w:rPr>
        <w:t>ազգային</w:t>
      </w:r>
      <w:r w:rsidRPr="007955BB">
        <w:rPr>
          <w:b w:val="0"/>
          <w:noProof/>
          <w:szCs w:val="22"/>
          <w:lang w:val="af-ZA"/>
        </w:rPr>
        <w:t xml:space="preserve"> </w:t>
      </w:r>
      <w:r w:rsidRPr="007955BB">
        <w:rPr>
          <w:b w:val="0"/>
          <w:noProof/>
          <w:szCs w:val="22"/>
          <w:lang w:val="hy-AM"/>
        </w:rPr>
        <w:t>արվեստների</w:t>
      </w:r>
      <w:r w:rsidRPr="007955BB">
        <w:rPr>
          <w:b w:val="0"/>
          <w:noProof/>
          <w:szCs w:val="22"/>
          <w:lang w:val="af-ZA"/>
        </w:rPr>
        <w:t xml:space="preserve"> </w:t>
      </w:r>
      <w:r w:rsidRPr="007955BB">
        <w:rPr>
          <w:b w:val="0"/>
          <w:noProof/>
          <w:szCs w:val="22"/>
          <w:lang w:val="hy-AM"/>
        </w:rPr>
        <w:t>հենքի</w:t>
      </w:r>
      <w:r w:rsidRPr="007955BB">
        <w:rPr>
          <w:b w:val="0"/>
          <w:noProof/>
          <w:szCs w:val="22"/>
          <w:lang w:val="af-ZA"/>
        </w:rPr>
        <w:t xml:space="preserve"> </w:t>
      </w:r>
      <w:r w:rsidRPr="007955BB">
        <w:rPr>
          <w:b w:val="0"/>
          <w:noProof/>
          <w:szCs w:val="22"/>
          <w:lang w:val="hy-AM"/>
        </w:rPr>
        <w:t>և</w:t>
      </w:r>
      <w:r w:rsidRPr="007955BB">
        <w:rPr>
          <w:b w:val="0"/>
          <w:noProof/>
          <w:szCs w:val="22"/>
          <w:lang w:val="af-ZA"/>
        </w:rPr>
        <w:t xml:space="preserve"> </w:t>
      </w:r>
      <w:r w:rsidRPr="007955BB">
        <w:rPr>
          <w:b w:val="0"/>
          <w:noProof/>
          <w:szCs w:val="22"/>
          <w:lang w:val="hy-AM"/>
        </w:rPr>
        <w:t>ավանդույթների</w:t>
      </w:r>
      <w:r w:rsidRPr="007955BB">
        <w:rPr>
          <w:b w:val="0"/>
          <w:noProof/>
          <w:szCs w:val="22"/>
          <w:lang w:val="af-ZA"/>
        </w:rPr>
        <w:t xml:space="preserve"> </w:t>
      </w:r>
      <w:r w:rsidRPr="007955BB">
        <w:rPr>
          <w:b w:val="0"/>
          <w:noProof/>
          <w:szCs w:val="22"/>
          <w:lang w:val="hy-AM"/>
        </w:rPr>
        <w:t>հիմքի</w:t>
      </w:r>
      <w:r w:rsidRPr="007955BB">
        <w:rPr>
          <w:b w:val="0"/>
          <w:noProof/>
          <w:szCs w:val="22"/>
          <w:lang w:val="af-ZA"/>
        </w:rPr>
        <w:t xml:space="preserve"> </w:t>
      </w:r>
      <w:r w:rsidRPr="007955BB">
        <w:rPr>
          <w:b w:val="0"/>
          <w:noProof/>
          <w:szCs w:val="22"/>
          <w:lang w:val="hy-AM"/>
        </w:rPr>
        <w:t>վրա</w:t>
      </w:r>
      <w:r w:rsidRPr="007955BB">
        <w:rPr>
          <w:b w:val="0"/>
          <w:noProof/>
          <w:szCs w:val="22"/>
          <w:lang w:val="af-ZA"/>
        </w:rPr>
        <w:t xml:space="preserve"> </w:t>
      </w:r>
      <w:r w:rsidRPr="007955BB">
        <w:rPr>
          <w:b w:val="0"/>
          <w:noProof/>
          <w:szCs w:val="22"/>
          <w:lang w:val="hy-AM"/>
        </w:rPr>
        <w:t>ժամանակակից</w:t>
      </w:r>
      <w:r w:rsidRPr="007955BB">
        <w:rPr>
          <w:b w:val="0"/>
          <w:noProof/>
          <w:szCs w:val="22"/>
          <w:lang w:val="af-ZA"/>
        </w:rPr>
        <w:t xml:space="preserve"> </w:t>
      </w:r>
      <w:r w:rsidRPr="007955BB">
        <w:rPr>
          <w:b w:val="0"/>
          <w:noProof/>
          <w:szCs w:val="22"/>
          <w:lang w:val="hy-AM"/>
        </w:rPr>
        <w:t>մարդու</w:t>
      </w:r>
      <w:r w:rsidRPr="007955BB">
        <w:rPr>
          <w:b w:val="0"/>
          <w:noProof/>
          <w:szCs w:val="22"/>
          <w:lang w:val="af-ZA"/>
        </w:rPr>
        <w:t xml:space="preserve"> </w:t>
      </w:r>
      <w:r w:rsidRPr="007955BB">
        <w:rPr>
          <w:b w:val="0"/>
          <w:noProof/>
          <w:szCs w:val="22"/>
          <w:lang w:val="hy-AM"/>
        </w:rPr>
        <w:t>ընկալումներին</w:t>
      </w:r>
      <w:r w:rsidRPr="007955BB">
        <w:rPr>
          <w:b w:val="0"/>
          <w:noProof/>
          <w:szCs w:val="22"/>
          <w:lang w:val="af-ZA"/>
        </w:rPr>
        <w:t xml:space="preserve"> </w:t>
      </w:r>
      <w:r w:rsidRPr="007955BB">
        <w:rPr>
          <w:b w:val="0"/>
          <w:noProof/>
          <w:szCs w:val="22"/>
          <w:lang w:val="hy-AM"/>
        </w:rPr>
        <w:t>ու</w:t>
      </w:r>
      <w:r w:rsidRPr="007955BB">
        <w:rPr>
          <w:b w:val="0"/>
          <w:noProof/>
          <w:szCs w:val="22"/>
          <w:lang w:val="af-ZA"/>
        </w:rPr>
        <w:t xml:space="preserve"> </w:t>
      </w:r>
      <w:r w:rsidRPr="007955BB">
        <w:rPr>
          <w:b w:val="0"/>
          <w:noProof/>
          <w:szCs w:val="22"/>
          <w:lang w:val="hy-AM"/>
        </w:rPr>
        <w:t>ձգտումներին</w:t>
      </w:r>
      <w:r w:rsidRPr="007955BB">
        <w:rPr>
          <w:b w:val="0"/>
          <w:noProof/>
          <w:szCs w:val="22"/>
          <w:lang w:val="af-ZA"/>
        </w:rPr>
        <w:t xml:space="preserve"> </w:t>
      </w:r>
      <w:r w:rsidRPr="007955BB">
        <w:rPr>
          <w:b w:val="0"/>
          <w:noProof/>
          <w:szCs w:val="22"/>
          <w:lang w:val="hy-AM"/>
        </w:rPr>
        <w:t>համահունչ</w:t>
      </w:r>
      <w:r w:rsidRPr="007955BB">
        <w:rPr>
          <w:b w:val="0"/>
          <w:noProof/>
          <w:szCs w:val="22"/>
          <w:lang w:val="af-ZA"/>
        </w:rPr>
        <w:t xml:space="preserve"> </w:t>
      </w:r>
      <w:r w:rsidRPr="007955BB">
        <w:rPr>
          <w:b w:val="0"/>
          <w:noProof/>
          <w:szCs w:val="22"/>
          <w:lang w:val="hy-AM"/>
        </w:rPr>
        <w:t>ժամանակակից</w:t>
      </w:r>
      <w:r w:rsidRPr="007955BB">
        <w:rPr>
          <w:b w:val="0"/>
          <w:noProof/>
          <w:szCs w:val="22"/>
          <w:lang w:val="af-ZA"/>
        </w:rPr>
        <w:t xml:space="preserve"> </w:t>
      </w:r>
      <w:r w:rsidRPr="007955BB">
        <w:rPr>
          <w:b w:val="0"/>
          <w:noProof/>
          <w:szCs w:val="22"/>
          <w:lang w:val="hy-AM"/>
        </w:rPr>
        <w:t>ար</w:t>
      </w:r>
      <w:r w:rsidRPr="007955BB">
        <w:rPr>
          <w:b w:val="0"/>
          <w:noProof/>
          <w:szCs w:val="22"/>
          <w:lang w:val="af-ZA"/>
        </w:rPr>
        <w:softHyphen/>
      </w:r>
      <w:r w:rsidRPr="007955BB">
        <w:rPr>
          <w:b w:val="0"/>
          <w:noProof/>
          <w:szCs w:val="22"/>
          <w:lang w:val="hy-AM"/>
        </w:rPr>
        <w:t>վեստի</w:t>
      </w:r>
      <w:r w:rsidRPr="007955BB">
        <w:rPr>
          <w:b w:val="0"/>
          <w:noProof/>
          <w:szCs w:val="22"/>
          <w:lang w:val="af-ZA"/>
        </w:rPr>
        <w:t xml:space="preserve"> </w:t>
      </w:r>
      <w:r w:rsidRPr="007955BB">
        <w:rPr>
          <w:b w:val="0"/>
          <w:noProof/>
          <w:szCs w:val="22"/>
          <w:lang w:val="hy-AM"/>
        </w:rPr>
        <w:t>ստեղծման</w:t>
      </w:r>
      <w:r w:rsidRPr="007955BB">
        <w:rPr>
          <w:b w:val="0"/>
          <w:noProof/>
          <w:szCs w:val="22"/>
          <w:lang w:val="af-ZA"/>
        </w:rPr>
        <w:t xml:space="preserve"> </w:t>
      </w:r>
      <w:r w:rsidRPr="007955BB">
        <w:rPr>
          <w:b w:val="0"/>
          <w:noProof/>
          <w:szCs w:val="22"/>
          <w:lang w:val="hy-AM"/>
        </w:rPr>
        <w:t>և</w:t>
      </w:r>
      <w:r w:rsidRPr="007955BB">
        <w:rPr>
          <w:b w:val="0"/>
          <w:noProof/>
          <w:szCs w:val="22"/>
          <w:lang w:val="af-ZA"/>
        </w:rPr>
        <w:t xml:space="preserve"> </w:t>
      </w:r>
      <w:r w:rsidRPr="007955BB">
        <w:rPr>
          <w:b w:val="0"/>
          <w:noProof/>
          <w:szCs w:val="22"/>
          <w:lang w:val="hy-AM"/>
        </w:rPr>
        <w:t>տարածման</w:t>
      </w:r>
      <w:r w:rsidRPr="007955BB">
        <w:rPr>
          <w:b w:val="0"/>
          <w:noProof/>
          <w:szCs w:val="22"/>
          <w:lang w:val="af-ZA"/>
        </w:rPr>
        <w:t xml:space="preserve">, </w:t>
      </w:r>
      <w:r w:rsidRPr="007955BB">
        <w:rPr>
          <w:b w:val="0"/>
          <w:noProof/>
          <w:szCs w:val="22"/>
          <w:lang w:val="hy-AM"/>
        </w:rPr>
        <w:t>ազգաբնակչության</w:t>
      </w:r>
      <w:r w:rsidRPr="007955BB">
        <w:rPr>
          <w:b w:val="0"/>
          <w:noProof/>
          <w:szCs w:val="22"/>
          <w:lang w:val="af-ZA"/>
        </w:rPr>
        <w:t xml:space="preserve"> </w:t>
      </w:r>
      <w:r w:rsidRPr="007955BB">
        <w:rPr>
          <w:b w:val="0"/>
          <w:noProof/>
          <w:szCs w:val="22"/>
          <w:lang w:val="hy-AM"/>
        </w:rPr>
        <w:t>ստեղծագործական</w:t>
      </w:r>
      <w:r w:rsidRPr="007955BB">
        <w:rPr>
          <w:b w:val="0"/>
          <w:noProof/>
          <w:szCs w:val="22"/>
          <w:lang w:val="af-ZA"/>
        </w:rPr>
        <w:t xml:space="preserve"> </w:t>
      </w:r>
      <w:r w:rsidRPr="007955BB">
        <w:rPr>
          <w:b w:val="0"/>
          <w:noProof/>
          <w:szCs w:val="22"/>
          <w:lang w:val="hy-AM"/>
        </w:rPr>
        <w:t>ներուժի</w:t>
      </w:r>
      <w:r w:rsidRPr="007955BB">
        <w:rPr>
          <w:b w:val="0"/>
          <w:noProof/>
          <w:szCs w:val="22"/>
          <w:lang w:val="af-ZA"/>
        </w:rPr>
        <w:t xml:space="preserve"> </w:t>
      </w:r>
      <w:r w:rsidRPr="007955BB">
        <w:rPr>
          <w:b w:val="0"/>
          <w:noProof/>
          <w:szCs w:val="22"/>
          <w:lang w:val="hy-AM"/>
        </w:rPr>
        <w:t>խթանման</w:t>
      </w:r>
      <w:r w:rsidRPr="007955BB">
        <w:rPr>
          <w:b w:val="0"/>
          <w:noProof/>
          <w:szCs w:val="22"/>
          <w:lang w:val="af-ZA"/>
        </w:rPr>
        <w:t xml:space="preserve">, </w:t>
      </w:r>
      <w:r w:rsidRPr="007955BB">
        <w:rPr>
          <w:b w:val="0"/>
          <w:noProof/>
          <w:szCs w:val="22"/>
          <w:lang w:val="hy-AM"/>
        </w:rPr>
        <w:t>նոր</w:t>
      </w:r>
      <w:r w:rsidRPr="007955BB">
        <w:rPr>
          <w:b w:val="0"/>
          <w:noProof/>
          <w:szCs w:val="22"/>
          <w:lang w:val="af-ZA"/>
        </w:rPr>
        <w:t xml:space="preserve"> </w:t>
      </w:r>
      <w:r w:rsidRPr="007955BB">
        <w:rPr>
          <w:b w:val="0"/>
          <w:noProof/>
          <w:szCs w:val="22"/>
          <w:lang w:val="hy-AM"/>
        </w:rPr>
        <w:t>մտահղացումների</w:t>
      </w:r>
      <w:r w:rsidRPr="007955BB">
        <w:rPr>
          <w:b w:val="0"/>
          <w:noProof/>
          <w:szCs w:val="22"/>
          <w:lang w:val="af-ZA"/>
        </w:rPr>
        <w:t xml:space="preserve"> </w:t>
      </w:r>
      <w:r w:rsidRPr="007955BB">
        <w:rPr>
          <w:b w:val="0"/>
          <w:noProof/>
          <w:szCs w:val="22"/>
          <w:lang w:val="hy-AM"/>
        </w:rPr>
        <w:t>ու</w:t>
      </w:r>
      <w:r w:rsidRPr="007955BB">
        <w:rPr>
          <w:b w:val="0"/>
          <w:noProof/>
          <w:szCs w:val="22"/>
          <w:lang w:val="af-ZA"/>
        </w:rPr>
        <w:t xml:space="preserve"> </w:t>
      </w:r>
      <w:r w:rsidRPr="007955BB">
        <w:rPr>
          <w:b w:val="0"/>
          <w:noProof/>
          <w:szCs w:val="22"/>
          <w:lang w:val="hy-AM"/>
        </w:rPr>
        <w:t>գաղափարների</w:t>
      </w:r>
      <w:r w:rsidRPr="007955BB">
        <w:rPr>
          <w:b w:val="0"/>
          <w:noProof/>
          <w:szCs w:val="22"/>
          <w:lang w:val="af-ZA"/>
        </w:rPr>
        <w:t xml:space="preserve"> </w:t>
      </w:r>
      <w:r w:rsidRPr="007955BB">
        <w:rPr>
          <w:b w:val="0"/>
          <w:noProof/>
          <w:szCs w:val="22"/>
          <w:lang w:val="hy-AM"/>
        </w:rPr>
        <w:t>ներդրման</w:t>
      </w:r>
      <w:r w:rsidRPr="007955BB">
        <w:rPr>
          <w:b w:val="0"/>
          <w:noProof/>
          <w:szCs w:val="22"/>
          <w:lang w:val="af-ZA"/>
        </w:rPr>
        <w:t xml:space="preserve"> </w:t>
      </w:r>
      <w:r w:rsidRPr="007955BB">
        <w:rPr>
          <w:b w:val="0"/>
          <w:noProof/>
          <w:szCs w:val="22"/>
          <w:lang w:val="hy-AM"/>
        </w:rPr>
        <w:t>անհրաժեշտ</w:t>
      </w:r>
      <w:r w:rsidRPr="007955BB">
        <w:rPr>
          <w:b w:val="0"/>
          <w:noProof/>
          <w:szCs w:val="22"/>
          <w:lang w:val="af-ZA"/>
        </w:rPr>
        <w:t xml:space="preserve"> </w:t>
      </w:r>
      <w:r w:rsidRPr="007955BB">
        <w:rPr>
          <w:b w:val="0"/>
          <w:noProof/>
          <w:szCs w:val="22"/>
          <w:lang w:val="hy-AM"/>
        </w:rPr>
        <w:t>պայմանների</w:t>
      </w:r>
      <w:r w:rsidRPr="007955BB">
        <w:rPr>
          <w:b w:val="0"/>
          <w:noProof/>
          <w:szCs w:val="22"/>
          <w:lang w:val="af-ZA"/>
        </w:rPr>
        <w:t xml:space="preserve"> </w:t>
      </w:r>
      <w:r w:rsidRPr="007955BB">
        <w:rPr>
          <w:b w:val="0"/>
          <w:noProof/>
          <w:szCs w:val="22"/>
          <w:lang w:val="hy-AM"/>
        </w:rPr>
        <w:t>ապահովման</w:t>
      </w:r>
      <w:r w:rsidRPr="007955BB">
        <w:rPr>
          <w:b w:val="0"/>
          <w:noProof/>
          <w:szCs w:val="22"/>
          <w:lang w:val="af-ZA"/>
        </w:rPr>
        <w:t xml:space="preserve">, </w:t>
      </w:r>
      <w:r w:rsidRPr="007955BB">
        <w:rPr>
          <w:b w:val="0"/>
          <w:noProof/>
          <w:szCs w:val="22"/>
          <w:lang w:val="hy-AM"/>
        </w:rPr>
        <w:t>ժամանակակից</w:t>
      </w:r>
      <w:r w:rsidRPr="007955BB">
        <w:rPr>
          <w:b w:val="0"/>
          <w:noProof/>
          <w:szCs w:val="22"/>
          <w:lang w:val="af-ZA"/>
        </w:rPr>
        <w:t xml:space="preserve"> </w:t>
      </w:r>
      <w:r w:rsidRPr="007955BB">
        <w:rPr>
          <w:b w:val="0"/>
          <w:noProof/>
          <w:szCs w:val="22"/>
          <w:lang w:val="hy-AM"/>
        </w:rPr>
        <w:t>մշա</w:t>
      </w:r>
      <w:r w:rsidRPr="007955BB">
        <w:rPr>
          <w:b w:val="0"/>
          <w:noProof/>
          <w:szCs w:val="22"/>
          <w:lang w:val="af-ZA"/>
        </w:rPr>
        <w:softHyphen/>
      </w:r>
      <w:r w:rsidRPr="007955BB">
        <w:rPr>
          <w:b w:val="0"/>
          <w:noProof/>
          <w:szCs w:val="22"/>
          <w:lang w:val="hy-AM"/>
        </w:rPr>
        <w:t>կութային</w:t>
      </w:r>
      <w:r w:rsidRPr="007955BB">
        <w:rPr>
          <w:b w:val="0"/>
          <w:noProof/>
          <w:szCs w:val="22"/>
          <w:lang w:val="af-ZA"/>
        </w:rPr>
        <w:t xml:space="preserve"> </w:t>
      </w:r>
      <w:r w:rsidRPr="007955BB">
        <w:rPr>
          <w:b w:val="0"/>
          <w:noProof/>
          <w:szCs w:val="22"/>
          <w:lang w:val="hy-AM"/>
        </w:rPr>
        <w:t>մրցունակ</w:t>
      </w:r>
      <w:r w:rsidRPr="007955BB">
        <w:rPr>
          <w:b w:val="0"/>
          <w:noProof/>
          <w:szCs w:val="22"/>
          <w:lang w:val="af-ZA"/>
        </w:rPr>
        <w:t xml:space="preserve"> </w:t>
      </w:r>
      <w:r w:rsidRPr="007955BB">
        <w:rPr>
          <w:b w:val="0"/>
          <w:noProof/>
          <w:szCs w:val="22"/>
          <w:lang w:val="hy-AM"/>
        </w:rPr>
        <w:t>արտադրանքի</w:t>
      </w:r>
      <w:r w:rsidRPr="007955BB">
        <w:rPr>
          <w:b w:val="0"/>
          <w:noProof/>
          <w:szCs w:val="22"/>
          <w:lang w:val="af-ZA"/>
        </w:rPr>
        <w:t xml:space="preserve"> </w:t>
      </w:r>
      <w:r w:rsidRPr="007955BB">
        <w:rPr>
          <w:b w:val="0"/>
          <w:noProof/>
          <w:szCs w:val="22"/>
          <w:lang w:val="hy-AM"/>
        </w:rPr>
        <w:t>ստեղծման</w:t>
      </w:r>
      <w:r w:rsidRPr="007955BB">
        <w:rPr>
          <w:b w:val="0"/>
          <w:noProof/>
          <w:szCs w:val="22"/>
          <w:lang w:val="af-ZA"/>
        </w:rPr>
        <w:t xml:space="preserve">, </w:t>
      </w:r>
      <w:r w:rsidRPr="007955BB">
        <w:rPr>
          <w:b w:val="0"/>
          <w:noProof/>
          <w:szCs w:val="22"/>
          <w:lang w:val="hy-AM"/>
        </w:rPr>
        <w:t>մշակութային</w:t>
      </w:r>
      <w:r w:rsidRPr="007955BB">
        <w:rPr>
          <w:b w:val="0"/>
          <w:noProof/>
          <w:szCs w:val="22"/>
          <w:lang w:val="af-ZA"/>
        </w:rPr>
        <w:t xml:space="preserve"> </w:t>
      </w:r>
      <w:r w:rsidRPr="007955BB">
        <w:rPr>
          <w:b w:val="0"/>
          <w:noProof/>
          <w:szCs w:val="22"/>
          <w:lang w:val="hy-AM"/>
        </w:rPr>
        <w:t>միջոցառում</w:t>
      </w:r>
      <w:r w:rsidRPr="007955BB">
        <w:rPr>
          <w:b w:val="0"/>
          <w:noProof/>
          <w:szCs w:val="22"/>
          <w:lang w:val="af-ZA"/>
        </w:rPr>
        <w:softHyphen/>
      </w:r>
      <w:r w:rsidRPr="007955BB">
        <w:rPr>
          <w:b w:val="0"/>
          <w:noProof/>
          <w:szCs w:val="22"/>
          <w:lang w:val="hy-AM"/>
        </w:rPr>
        <w:t>ների</w:t>
      </w:r>
      <w:r w:rsidRPr="007955BB">
        <w:rPr>
          <w:b w:val="0"/>
          <w:noProof/>
          <w:szCs w:val="22"/>
          <w:lang w:val="af-ZA"/>
        </w:rPr>
        <w:t xml:space="preserve"> </w:t>
      </w:r>
      <w:r w:rsidRPr="007955BB">
        <w:rPr>
          <w:b w:val="0"/>
          <w:noProof/>
          <w:szCs w:val="22"/>
          <w:lang w:val="hy-AM"/>
        </w:rPr>
        <w:t>իրակա</w:t>
      </w:r>
      <w:r w:rsidRPr="007955BB">
        <w:rPr>
          <w:b w:val="0"/>
          <w:noProof/>
          <w:szCs w:val="22"/>
          <w:lang w:val="af-ZA"/>
        </w:rPr>
        <w:softHyphen/>
      </w:r>
      <w:r w:rsidRPr="007955BB">
        <w:rPr>
          <w:b w:val="0"/>
          <w:noProof/>
          <w:szCs w:val="22"/>
          <w:lang w:val="hy-AM"/>
        </w:rPr>
        <w:t>նաց</w:t>
      </w:r>
      <w:r w:rsidRPr="007955BB">
        <w:rPr>
          <w:b w:val="0"/>
          <w:noProof/>
          <w:szCs w:val="22"/>
          <w:lang w:val="af-ZA"/>
        </w:rPr>
        <w:softHyphen/>
      </w:r>
      <w:r w:rsidRPr="007955BB">
        <w:rPr>
          <w:b w:val="0"/>
          <w:noProof/>
          <w:szCs w:val="22"/>
          <w:lang w:val="hy-AM"/>
        </w:rPr>
        <w:t>ման</w:t>
      </w:r>
      <w:r w:rsidRPr="007955BB">
        <w:rPr>
          <w:b w:val="0"/>
          <w:noProof/>
          <w:szCs w:val="22"/>
          <w:lang w:val="af-ZA"/>
        </w:rPr>
        <w:t xml:space="preserve"> </w:t>
      </w:r>
      <w:r w:rsidRPr="007955BB">
        <w:rPr>
          <w:b w:val="0"/>
          <w:noProof/>
          <w:szCs w:val="22"/>
          <w:lang w:val="hy-AM"/>
        </w:rPr>
        <w:t>ծառայություններ</w:t>
      </w:r>
      <w:r w:rsidRPr="007955BB">
        <w:rPr>
          <w:b w:val="0"/>
          <w:noProof/>
          <w:szCs w:val="22"/>
          <w:lang w:val="af-ZA"/>
        </w:rPr>
        <w:t xml:space="preserve"> (</w:t>
      </w:r>
      <w:r w:rsidRPr="007955BB">
        <w:rPr>
          <w:b w:val="0"/>
          <w:noProof/>
          <w:szCs w:val="22"/>
          <w:lang w:val="hy-AM"/>
        </w:rPr>
        <w:t>հիմք՝</w:t>
      </w:r>
      <w:r w:rsidRPr="007955BB">
        <w:rPr>
          <w:b w:val="0"/>
          <w:noProof/>
          <w:szCs w:val="22"/>
          <w:lang w:val="af-ZA"/>
        </w:rPr>
        <w:t xml:space="preserve"> </w:t>
      </w:r>
      <w:r w:rsidRPr="007955BB">
        <w:rPr>
          <w:b w:val="0"/>
          <w:noProof/>
          <w:szCs w:val="22"/>
          <w:lang w:val="hy-AM"/>
        </w:rPr>
        <w:t>ՀՀ</w:t>
      </w:r>
      <w:r w:rsidRPr="007955BB">
        <w:rPr>
          <w:b w:val="0"/>
          <w:noProof/>
          <w:szCs w:val="22"/>
          <w:lang w:val="af-ZA"/>
        </w:rPr>
        <w:t xml:space="preserve"> </w:t>
      </w:r>
      <w:r w:rsidRPr="007955BB">
        <w:rPr>
          <w:b w:val="0"/>
          <w:noProof/>
          <w:szCs w:val="22"/>
          <w:lang w:val="hy-AM"/>
        </w:rPr>
        <w:t>կառավարության</w:t>
      </w:r>
      <w:r w:rsidRPr="007955BB">
        <w:rPr>
          <w:b w:val="0"/>
          <w:noProof/>
          <w:szCs w:val="22"/>
          <w:lang w:val="af-ZA"/>
        </w:rPr>
        <w:t xml:space="preserve"> </w:t>
      </w:r>
      <w:r w:rsidRPr="007955BB">
        <w:rPr>
          <w:b w:val="0"/>
          <w:noProof/>
          <w:szCs w:val="22"/>
          <w:lang w:val="hy-AM"/>
        </w:rPr>
        <w:t>ծրագրի</w:t>
      </w:r>
      <w:r w:rsidRPr="007955BB">
        <w:rPr>
          <w:b w:val="0"/>
          <w:noProof/>
          <w:szCs w:val="22"/>
          <w:lang w:val="af-ZA"/>
        </w:rPr>
        <w:t xml:space="preserve"> «4.9 </w:t>
      </w:r>
      <w:r w:rsidRPr="007955BB">
        <w:rPr>
          <w:b w:val="0"/>
          <w:noProof/>
          <w:szCs w:val="22"/>
          <w:lang w:val="hy-AM"/>
        </w:rPr>
        <w:t>Մշակույթ</w:t>
      </w:r>
      <w:r w:rsidRPr="007955BB">
        <w:rPr>
          <w:b w:val="0"/>
          <w:noProof/>
          <w:szCs w:val="22"/>
          <w:lang w:val="af-ZA"/>
        </w:rPr>
        <w:t xml:space="preserve">» </w:t>
      </w:r>
      <w:r w:rsidRPr="007955BB">
        <w:rPr>
          <w:b w:val="0"/>
          <w:noProof/>
          <w:szCs w:val="22"/>
          <w:lang w:val="hy-AM"/>
        </w:rPr>
        <w:t>բաժին</w:t>
      </w:r>
      <w:r w:rsidRPr="007955BB">
        <w:rPr>
          <w:b w:val="0"/>
          <w:noProof/>
          <w:szCs w:val="22"/>
          <w:lang w:val="af-ZA"/>
        </w:rPr>
        <w:t>):</w:t>
      </w:r>
    </w:p>
    <w:p w:rsidR="002C6873" w:rsidRPr="007955BB" w:rsidRDefault="002C6873" w:rsidP="002C6873">
      <w:pPr>
        <w:numPr>
          <w:ilvl w:val="12"/>
          <w:numId w:val="0"/>
        </w:numPr>
        <w:tabs>
          <w:tab w:val="left" w:pos="851"/>
        </w:tabs>
        <w:spacing w:line="276" w:lineRule="auto"/>
        <w:ind w:firstLine="540"/>
        <w:rPr>
          <w:b w:val="0"/>
          <w:noProof/>
          <w:szCs w:val="22"/>
          <w:lang w:val="af-ZA"/>
        </w:rPr>
      </w:pPr>
      <w:r w:rsidRPr="007955BB">
        <w:rPr>
          <w:b w:val="0"/>
          <w:noProof/>
          <w:szCs w:val="22"/>
          <w:lang w:val="en-US"/>
        </w:rPr>
        <w:t>Մ</w:t>
      </w:r>
      <w:r w:rsidRPr="007955BB">
        <w:rPr>
          <w:b w:val="0"/>
          <w:noProof/>
          <w:szCs w:val="22"/>
        </w:rPr>
        <w:t>շակույթի</w:t>
      </w:r>
      <w:r w:rsidRPr="007955BB">
        <w:rPr>
          <w:b w:val="0"/>
          <w:noProof/>
          <w:szCs w:val="22"/>
          <w:lang w:val="af-ZA"/>
        </w:rPr>
        <w:t xml:space="preserve"> </w:t>
      </w:r>
      <w:r w:rsidRPr="007955BB">
        <w:rPr>
          <w:b w:val="0"/>
          <w:noProof/>
          <w:szCs w:val="22"/>
        </w:rPr>
        <w:t>ոլորտի</w:t>
      </w:r>
      <w:r w:rsidRPr="007955BB">
        <w:rPr>
          <w:b w:val="0"/>
          <w:noProof/>
          <w:szCs w:val="22"/>
          <w:lang w:val="af-ZA"/>
        </w:rPr>
        <w:t xml:space="preserve"> </w:t>
      </w:r>
      <w:r w:rsidRPr="007955BB">
        <w:rPr>
          <w:b w:val="0"/>
          <w:noProof/>
          <w:szCs w:val="22"/>
        </w:rPr>
        <w:t>համար</w:t>
      </w:r>
      <w:r w:rsidRPr="007955BB">
        <w:rPr>
          <w:b w:val="0"/>
          <w:noProof/>
          <w:szCs w:val="22"/>
          <w:lang w:val="af-ZA"/>
        </w:rPr>
        <w:t xml:space="preserve"> </w:t>
      </w:r>
      <w:r w:rsidRPr="007955BB">
        <w:rPr>
          <w:b w:val="0"/>
          <w:noProof/>
          <w:szCs w:val="22"/>
        </w:rPr>
        <w:t>նախատեսված</w:t>
      </w:r>
      <w:r w:rsidRPr="007955BB">
        <w:rPr>
          <w:b w:val="0"/>
          <w:noProof/>
          <w:szCs w:val="22"/>
          <w:lang w:val="af-ZA"/>
        </w:rPr>
        <w:t xml:space="preserve"> </w:t>
      </w:r>
      <w:r w:rsidRPr="007955BB">
        <w:rPr>
          <w:b w:val="0"/>
          <w:noProof/>
          <w:szCs w:val="22"/>
        </w:rPr>
        <w:t>հատկացումներն</w:t>
      </w:r>
      <w:r w:rsidRPr="007955BB">
        <w:rPr>
          <w:b w:val="0"/>
          <w:noProof/>
          <w:szCs w:val="22"/>
          <w:lang w:val="af-ZA"/>
        </w:rPr>
        <w:t xml:space="preserve"> </w:t>
      </w:r>
      <w:r w:rsidRPr="007955BB">
        <w:rPr>
          <w:b w:val="0"/>
          <w:noProof/>
          <w:szCs w:val="22"/>
        </w:rPr>
        <w:t>ուղղվել</w:t>
      </w:r>
      <w:r w:rsidRPr="007955BB">
        <w:rPr>
          <w:b w:val="0"/>
          <w:noProof/>
          <w:szCs w:val="22"/>
          <w:lang w:val="hy-AM"/>
        </w:rPr>
        <w:t>ու</w:t>
      </w:r>
      <w:r w:rsidRPr="007955BB">
        <w:rPr>
          <w:b w:val="0"/>
          <w:noProof/>
          <w:szCs w:val="22"/>
          <w:lang w:val="af-ZA"/>
        </w:rPr>
        <w:t xml:space="preserve"> </w:t>
      </w:r>
      <w:r w:rsidRPr="007955BB">
        <w:rPr>
          <w:b w:val="0"/>
          <w:noProof/>
          <w:szCs w:val="22"/>
        </w:rPr>
        <w:t>են</w:t>
      </w:r>
      <w:r w:rsidRPr="007955BB">
        <w:rPr>
          <w:b w:val="0"/>
          <w:noProof/>
          <w:szCs w:val="22"/>
          <w:lang w:val="af-ZA"/>
        </w:rPr>
        <w:t xml:space="preserve"> </w:t>
      </w:r>
      <w:r w:rsidRPr="007955BB">
        <w:rPr>
          <w:b w:val="0"/>
          <w:noProof/>
          <w:szCs w:val="22"/>
          <w:lang w:val="hy-AM"/>
        </w:rPr>
        <w:t>5</w:t>
      </w:r>
      <w:r w:rsidRPr="007955BB">
        <w:rPr>
          <w:b w:val="0"/>
          <w:noProof/>
          <w:szCs w:val="22"/>
          <w:lang w:val="af-ZA"/>
        </w:rPr>
        <w:t xml:space="preserve"> </w:t>
      </w:r>
      <w:r w:rsidRPr="007955BB">
        <w:rPr>
          <w:b w:val="0"/>
          <w:noProof/>
          <w:szCs w:val="22"/>
        </w:rPr>
        <w:t>ծրագրերի</w:t>
      </w:r>
      <w:r w:rsidRPr="007955BB">
        <w:rPr>
          <w:b w:val="0"/>
          <w:noProof/>
          <w:szCs w:val="22"/>
          <w:lang w:val="af-ZA"/>
        </w:rPr>
        <w:t xml:space="preserve"> </w:t>
      </w:r>
      <w:r w:rsidRPr="007955BB">
        <w:rPr>
          <w:b w:val="0"/>
          <w:noProof/>
          <w:szCs w:val="22"/>
        </w:rPr>
        <w:t>իրականացմանը</w:t>
      </w:r>
      <w:r w:rsidRPr="007955BB">
        <w:rPr>
          <w:b w:val="0"/>
          <w:noProof/>
          <w:szCs w:val="22"/>
          <w:lang w:val="af-ZA"/>
        </w:rPr>
        <w:t xml:space="preserve">: </w:t>
      </w:r>
    </w:p>
    <w:p w:rsidR="002C6873" w:rsidRPr="007955BB" w:rsidRDefault="002C6873" w:rsidP="002A3101">
      <w:pPr>
        <w:numPr>
          <w:ilvl w:val="12"/>
          <w:numId w:val="0"/>
        </w:numPr>
        <w:tabs>
          <w:tab w:val="left" w:pos="851"/>
        </w:tabs>
        <w:spacing w:line="276" w:lineRule="auto"/>
        <w:ind w:firstLine="540"/>
        <w:rPr>
          <w:b w:val="0"/>
          <w:noProof/>
          <w:szCs w:val="22"/>
          <w:lang w:val="af-ZA"/>
        </w:rPr>
      </w:pPr>
      <w:r w:rsidRPr="007955BB">
        <w:rPr>
          <w:b w:val="0"/>
          <w:noProof/>
          <w:szCs w:val="22"/>
          <w:lang w:val="hy-AM"/>
        </w:rPr>
        <w:t>Ոլորտում հ</w:t>
      </w:r>
      <w:r w:rsidRPr="007955BB">
        <w:rPr>
          <w:b w:val="0"/>
          <w:noProof/>
          <w:szCs w:val="22"/>
        </w:rPr>
        <w:t>իմնանորոգման</w:t>
      </w:r>
      <w:r w:rsidRPr="007955BB">
        <w:rPr>
          <w:b w:val="0"/>
          <w:noProof/>
          <w:szCs w:val="22"/>
          <w:lang w:val="af-ZA"/>
        </w:rPr>
        <w:t xml:space="preserve"> </w:t>
      </w:r>
      <w:r w:rsidRPr="007955BB">
        <w:rPr>
          <w:b w:val="0"/>
          <w:noProof/>
          <w:szCs w:val="22"/>
        </w:rPr>
        <w:t>և</w:t>
      </w:r>
      <w:r w:rsidRPr="007955BB">
        <w:rPr>
          <w:b w:val="0"/>
          <w:noProof/>
          <w:szCs w:val="22"/>
          <w:lang w:val="af-ZA"/>
        </w:rPr>
        <w:t xml:space="preserve"> </w:t>
      </w:r>
      <w:r w:rsidRPr="007955BB">
        <w:rPr>
          <w:b w:val="0"/>
          <w:noProof/>
          <w:szCs w:val="22"/>
        </w:rPr>
        <w:t>շինարարության</w:t>
      </w:r>
      <w:r w:rsidRPr="007955BB">
        <w:rPr>
          <w:b w:val="0"/>
          <w:noProof/>
          <w:szCs w:val="22"/>
          <w:lang w:val="af-ZA"/>
        </w:rPr>
        <w:t xml:space="preserve"> </w:t>
      </w:r>
      <w:r w:rsidRPr="007955BB">
        <w:rPr>
          <w:b w:val="0"/>
          <w:noProof/>
          <w:szCs w:val="22"/>
        </w:rPr>
        <w:t>համար</w:t>
      </w:r>
      <w:r w:rsidRPr="007955BB">
        <w:rPr>
          <w:b w:val="0"/>
          <w:noProof/>
          <w:szCs w:val="22"/>
          <w:lang w:val="af-ZA"/>
        </w:rPr>
        <w:t xml:space="preserve"> </w:t>
      </w:r>
      <w:r w:rsidRPr="007955BB">
        <w:rPr>
          <w:b w:val="0"/>
          <w:noProof/>
          <w:szCs w:val="22"/>
        </w:rPr>
        <w:t>նախատեսված</w:t>
      </w:r>
      <w:r w:rsidRPr="007955BB">
        <w:rPr>
          <w:b w:val="0"/>
          <w:noProof/>
          <w:szCs w:val="22"/>
          <w:lang w:val="af-ZA"/>
        </w:rPr>
        <w:t xml:space="preserve"> </w:t>
      </w:r>
      <w:r w:rsidRPr="007955BB">
        <w:rPr>
          <w:b w:val="0"/>
          <w:noProof/>
          <w:szCs w:val="22"/>
        </w:rPr>
        <w:t>հատկացումներ</w:t>
      </w:r>
      <w:r w:rsidRPr="007955BB">
        <w:rPr>
          <w:b w:val="0"/>
          <w:noProof/>
          <w:szCs w:val="22"/>
          <w:lang w:val="hy-AM"/>
        </w:rPr>
        <w:t>ի շրջանակներում իրականացվելու են հ</w:t>
      </w:r>
      <w:r w:rsidRPr="007955BB">
        <w:rPr>
          <w:b w:val="0"/>
          <w:noProof/>
          <w:szCs w:val="22"/>
        </w:rPr>
        <w:t>ուշարձանների</w:t>
      </w:r>
      <w:r w:rsidRPr="007955BB">
        <w:rPr>
          <w:b w:val="0"/>
          <w:noProof/>
          <w:szCs w:val="22"/>
          <w:lang w:val="af-ZA"/>
        </w:rPr>
        <w:t xml:space="preserve"> </w:t>
      </w:r>
      <w:r w:rsidRPr="007955BB">
        <w:rPr>
          <w:b w:val="0"/>
          <w:noProof/>
          <w:szCs w:val="22"/>
        </w:rPr>
        <w:t>ամրակայմ</w:t>
      </w:r>
      <w:r w:rsidRPr="007955BB">
        <w:rPr>
          <w:b w:val="0"/>
          <w:noProof/>
          <w:szCs w:val="22"/>
          <w:lang w:val="hy-AM"/>
        </w:rPr>
        <w:t>ան</w:t>
      </w:r>
      <w:r w:rsidRPr="007955BB">
        <w:rPr>
          <w:b w:val="0"/>
          <w:noProof/>
          <w:szCs w:val="22"/>
          <w:lang w:val="af-ZA"/>
        </w:rPr>
        <w:t xml:space="preserve">, </w:t>
      </w:r>
      <w:r w:rsidRPr="007955BB">
        <w:rPr>
          <w:b w:val="0"/>
          <w:noProof/>
          <w:szCs w:val="22"/>
        </w:rPr>
        <w:t>նորոգմ</w:t>
      </w:r>
      <w:r w:rsidRPr="007955BB">
        <w:rPr>
          <w:b w:val="0"/>
          <w:noProof/>
          <w:szCs w:val="22"/>
          <w:lang w:val="hy-AM"/>
        </w:rPr>
        <w:t>ան</w:t>
      </w:r>
      <w:r w:rsidRPr="007955BB">
        <w:rPr>
          <w:b w:val="0"/>
          <w:noProof/>
          <w:szCs w:val="22"/>
          <w:lang w:val="af-ZA"/>
        </w:rPr>
        <w:t xml:space="preserve"> </w:t>
      </w:r>
      <w:r w:rsidRPr="007955BB">
        <w:rPr>
          <w:b w:val="0"/>
          <w:noProof/>
          <w:szCs w:val="22"/>
        </w:rPr>
        <w:t>և</w:t>
      </w:r>
      <w:r w:rsidRPr="007955BB">
        <w:rPr>
          <w:b w:val="0"/>
          <w:noProof/>
          <w:szCs w:val="22"/>
          <w:lang w:val="af-ZA"/>
        </w:rPr>
        <w:t xml:space="preserve"> </w:t>
      </w:r>
      <w:r w:rsidRPr="007955BB">
        <w:rPr>
          <w:b w:val="0"/>
          <w:noProof/>
          <w:szCs w:val="22"/>
        </w:rPr>
        <w:t>վերականգնմ</w:t>
      </w:r>
      <w:r w:rsidRPr="007955BB">
        <w:rPr>
          <w:b w:val="0"/>
          <w:noProof/>
          <w:szCs w:val="22"/>
          <w:lang w:val="hy-AM"/>
        </w:rPr>
        <w:t xml:space="preserve">ան, թանգարանների և պատկերասրահների հիմնանորոգման </w:t>
      </w:r>
      <w:r w:rsidRPr="007955BB">
        <w:rPr>
          <w:b w:val="0"/>
          <w:noProof/>
          <w:szCs w:val="22"/>
          <w:lang w:val="en-US"/>
        </w:rPr>
        <w:t>և</w:t>
      </w:r>
      <w:r w:rsidRPr="007955BB">
        <w:rPr>
          <w:b w:val="0"/>
          <w:noProof/>
          <w:szCs w:val="22"/>
          <w:lang w:val="af-ZA"/>
        </w:rPr>
        <w:t xml:space="preserve"> թատրոնների շենքերի կապիտալ վերանորոգման</w:t>
      </w:r>
      <w:r w:rsidRPr="007955BB">
        <w:rPr>
          <w:b w:val="0"/>
          <w:noProof/>
          <w:szCs w:val="22"/>
          <w:lang w:val="hy-AM"/>
        </w:rPr>
        <w:t xml:space="preserve"> աշխատանքներ</w:t>
      </w:r>
      <w:r w:rsidRPr="007955BB">
        <w:rPr>
          <w:b w:val="0"/>
          <w:noProof/>
          <w:szCs w:val="22"/>
          <w:lang w:val="af-ZA"/>
        </w:rPr>
        <w:t>:</w:t>
      </w:r>
    </w:p>
    <w:p w:rsidR="002C6873" w:rsidRPr="007955BB" w:rsidRDefault="002C6873" w:rsidP="002A3101">
      <w:pPr>
        <w:numPr>
          <w:ilvl w:val="12"/>
          <w:numId w:val="0"/>
        </w:numPr>
        <w:tabs>
          <w:tab w:val="left" w:pos="851"/>
        </w:tabs>
        <w:spacing w:line="276" w:lineRule="auto"/>
        <w:ind w:firstLine="540"/>
        <w:rPr>
          <w:b w:val="0"/>
          <w:noProof/>
          <w:szCs w:val="22"/>
          <w:lang w:val="af-ZA"/>
        </w:rPr>
      </w:pPr>
      <w:r w:rsidRPr="007955BB">
        <w:rPr>
          <w:noProof/>
          <w:szCs w:val="22"/>
          <w:lang w:val="hy-AM"/>
        </w:rPr>
        <w:t>Կինեմատոգրաֆիայի</w:t>
      </w:r>
      <w:r w:rsidRPr="007955BB">
        <w:rPr>
          <w:noProof/>
          <w:szCs w:val="22"/>
          <w:lang w:val="af-ZA"/>
        </w:rPr>
        <w:t xml:space="preserve"> </w:t>
      </w:r>
      <w:r w:rsidRPr="007955BB">
        <w:rPr>
          <w:noProof/>
          <w:szCs w:val="22"/>
          <w:lang w:val="hy-AM"/>
        </w:rPr>
        <w:t>ծրագրի</w:t>
      </w:r>
      <w:r w:rsidRPr="007955BB">
        <w:rPr>
          <w:b w:val="0"/>
          <w:noProof/>
          <w:szCs w:val="22"/>
          <w:lang w:val="af-ZA"/>
        </w:rPr>
        <w:t xml:space="preserve"> </w:t>
      </w:r>
      <w:r w:rsidRPr="007955BB">
        <w:rPr>
          <w:b w:val="0"/>
          <w:noProof/>
          <w:szCs w:val="22"/>
          <w:lang w:val="hy-AM"/>
        </w:rPr>
        <w:t>նպատակն</w:t>
      </w:r>
      <w:r w:rsidRPr="007955BB">
        <w:rPr>
          <w:b w:val="0"/>
          <w:noProof/>
          <w:szCs w:val="22"/>
          <w:lang w:val="af-ZA"/>
        </w:rPr>
        <w:t xml:space="preserve"> </w:t>
      </w:r>
      <w:r w:rsidRPr="007955BB">
        <w:rPr>
          <w:b w:val="0"/>
          <w:noProof/>
          <w:szCs w:val="22"/>
          <w:lang w:val="hy-AM"/>
        </w:rPr>
        <w:t>է</w:t>
      </w:r>
      <w:r w:rsidRPr="007955BB">
        <w:rPr>
          <w:b w:val="0"/>
          <w:noProof/>
          <w:szCs w:val="22"/>
          <w:lang w:val="af-ZA"/>
        </w:rPr>
        <w:t xml:space="preserve"> </w:t>
      </w:r>
      <w:r w:rsidRPr="007955BB">
        <w:rPr>
          <w:b w:val="0"/>
          <w:noProof/>
          <w:szCs w:val="22"/>
          <w:lang w:val="hy-AM"/>
        </w:rPr>
        <w:t>աջակցել</w:t>
      </w:r>
      <w:r w:rsidRPr="007955BB">
        <w:rPr>
          <w:b w:val="0"/>
          <w:noProof/>
          <w:szCs w:val="22"/>
          <w:lang w:val="af-ZA"/>
        </w:rPr>
        <w:t xml:space="preserve"> </w:t>
      </w:r>
      <w:r w:rsidRPr="007955BB">
        <w:rPr>
          <w:b w:val="0"/>
          <w:noProof/>
          <w:szCs w:val="22"/>
          <w:lang w:val="hy-AM"/>
        </w:rPr>
        <w:t>կինոարվեստի</w:t>
      </w:r>
      <w:r w:rsidRPr="007955BB">
        <w:rPr>
          <w:b w:val="0"/>
          <w:noProof/>
          <w:szCs w:val="22"/>
          <w:lang w:val="af-ZA"/>
        </w:rPr>
        <w:t xml:space="preserve"> </w:t>
      </w:r>
      <w:r w:rsidRPr="007955BB">
        <w:rPr>
          <w:b w:val="0"/>
          <w:noProof/>
          <w:szCs w:val="22"/>
          <w:lang w:val="hy-AM"/>
        </w:rPr>
        <w:t>և</w:t>
      </w:r>
      <w:r w:rsidRPr="007955BB">
        <w:rPr>
          <w:b w:val="0"/>
          <w:noProof/>
          <w:szCs w:val="22"/>
          <w:lang w:val="af-ZA"/>
        </w:rPr>
        <w:t xml:space="preserve"> </w:t>
      </w:r>
      <w:r w:rsidRPr="007955BB">
        <w:rPr>
          <w:b w:val="0"/>
          <w:noProof/>
          <w:szCs w:val="22"/>
          <w:lang w:val="hy-AM"/>
        </w:rPr>
        <w:t>կինոարտադրության</w:t>
      </w:r>
      <w:r w:rsidRPr="007955BB">
        <w:rPr>
          <w:b w:val="0"/>
          <w:noProof/>
          <w:szCs w:val="22"/>
          <w:lang w:val="af-ZA"/>
        </w:rPr>
        <w:t xml:space="preserve"> </w:t>
      </w:r>
      <w:r w:rsidRPr="007955BB">
        <w:rPr>
          <w:b w:val="0"/>
          <w:noProof/>
          <w:szCs w:val="22"/>
          <w:lang w:val="hy-AM"/>
        </w:rPr>
        <w:t>զարգացմանը</w:t>
      </w:r>
      <w:r w:rsidRPr="007955BB">
        <w:rPr>
          <w:b w:val="0"/>
          <w:noProof/>
          <w:szCs w:val="22"/>
          <w:lang w:val="af-ZA"/>
        </w:rPr>
        <w:t xml:space="preserve">, </w:t>
      </w:r>
      <w:r w:rsidRPr="007955BB">
        <w:rPr>
          <w:b w:val="0"/>
          <w:noProof/>
          <w:szCs w:val="22"/>
          <w:lang w:val="hy-AM"/>
        </w:rPr>
        <w:t>հայկական</w:t>
      </w:r>
      <w:r w:rsidRPr="007955BB">
        <w:rPr>
          <w:b w:val="0"/>
          <w:noProof/>
          <w:szCs w:val="22"/>
          <w:lang w:val="af-ZA"/>
        </w:rPr>
        <w:t xml:space="preserve"> </w:t>
      </w:r>
      <w:r w:rsidRPr="007955BB">
        <w:rPr>
          <w:b w:val="0"/>
          <w:noProof/>
          <w:szCs w:val="22"/>
          <w:lang w:val="hy-AM"/>
        </w:rPr>
        <w:t>ավանդույթների</w:t>
      </w:r>
      <w:r w:rsidRPr="007955BB">
        <w:rPr>
          <w:b w:val="0"/>
          <w:noProof/>
          <w:szCs w:val="22"/>
          <w:lang w:val="af-ZA"/>
        </w:rPr>
        <w:t xml:space="preserve"> </w:t>
      </w:r>
      <w:r w:rsidRPr="007955BB">
        <w:rPr>
          <w:b w:val="0"/>
          <w:noProof/>
          <w:szCs w:val="22"/>
          <w:lang w:val="hy-AM"/>
        </w:rPr>
        <w:t>շարունակականության</w:t>
      </w:r>
      <w:r w:rsidRPr="007955BB">
        <w:rPr>
          <w:b w:val="0"/>
          <w:noProof/>
          <w:szCs w:val="22"/>
          <w:lang w:val="af-ZA"/>
        </w:rPr>
        <w:t xml:space="preserve"> </w:t>
      </w:r>
      <w:r w:rsidRPr="007955BB">
        <w:rPr>
          <w:b w:val="0"/>
          <w:noProof/>
          <w:szCs w:val="22"/>
          <w:lang w:val="hy-AM"/>
        </w:rPr>
        <w:t>ապահովմանը</w:t>
      </w:r>
      <w:r w:rsidRPr="007955BB">
        <w:rPr>
          <w:b w:val="0"/>
          <w:noProof/>
          <w:szCs w:val="22"/>
          <w:lang w:val="af-ZA"/>
        </w:rPr>
        <w:t xml:space="preserve"> </w:t>
      </w:r>
      <w:r w:rsidRPr="007955BB">
        <w:rPr>
          <w:b w:val="0"/>
          <w:noProof/>
          <w:szCs w:val="22"/>
          <w:lang w:val="hy-AM"/>
        </w:rPr>
        <w:t>և</w:t>
      </w:r>
      <w:r w:rsidRPr="007955BB">
        <w:rPr>
          <w:b w:val="0"/>
          <w:noProof/>
          <w:szCs w:val="22"/>
          <w:lang w:val="af-ZA"/>
        </w:rPr>
        <w:t xml:space="preserve"> </w:t>
      </w:r>
      <w:r w:rsidRPr="007955BB">
        <w:rPr>
          <w:b w:val="0"/>
          <w:noProof/>
          <w:szCs w:val="22"/>
          <w:lang w:val="hy-AM"/>
        </w:rPr>
        <w:t>կինոարվեստի</w:t>
      </w:r>
      <w:r w:rsidRPr="007955BB">
        <w:rPr>
          <w:b w:val="0"/>
          <w:noProof/>
          <w:szCs w:val="22"/>
          <w:lang w:val="af-ZA"/>
        </w:rPr>
        <w:t xml:space="preserve"> </w:t>
      </w:r>
      <w:r w:rsidRPr="007955BB">
        <w:rPr>
          <w:b w:val="0"/>
          <w:noProof/>
          <w:szCs w:val="22"/>
          <w:lang w:val="hy-AM"/>
        </w:rPr>
        <w:t>հանրահռչակմանը</w:t>
      </w:r>
      <w:r w:rsidRPr="007955BB">
        <w:rPr>
          <w:b w:val="0"/>
          <w:noProof/>
          <w:szCs w:val="22"/>
          <w:lang w:val="af-ZA"/>
        </w:rPr>
        <w:t>:</w:t>
      </w:r>
    </w:p>
    <w:p w:rsidR="002C6873" w:rsidRPr="007955BB" w:rsidRDefault="002C6873" w:rsidP="002A3101">
      <w:pPr>
        <w:numPr>
          <w:ilvl w:val="12"/>
          <w:numId w:val="0"/>
        </w:numPr>
        <w:tabs>
          <w:tab w:val="left" w:pos="851"/>
        </w:tabs>
        <w:spacing w:line="276" w:lineRule="auto"/>
        <w:ind w:firstLine="540"/>
        <w:rPr>
          <w:b w:val="0"/>
          <w:noProof/>
          <w:szCs w:val="22"/>
          <w:lang w:val="af-ZA"/>
        </w:rPr>
      </w:pPr>
      <w:r w:rsidRPr="007955BB">
        <w:rPr>
          <w:b w:val="0"/>
          <w:noProof/>
          <w:szCs w:val="22"/>
        </w:rPr>
        <w:t>Կինեմատոգրաֆիայի</w:t>
      </w:r>
      <w:r w:rsidRPr="007955BB">
        <w:rPr>
          <w:b w:val="0"/>
          <w:noProof/>
          <w:szCs w:val="22"/>
          <w:lang w:val="af-ZA"/>
        </w:rPr>
        <w:t xml:space="preserve"> </w:t>
      </w:r>
      <w:r w:rsidRPr="007955BB">
        <w:rPr>
          <w:b w:val="0"/>
          <w:noProof/>
          <w:szCs w:val="22"/>
        </w:rPr>
        <w:t>ծրագրի</w:t>
      </w:r>
      <w:r w:rsidRPr="007955BB">
        <w:rPr>
          <w:b w:val="0"/>
          <w:noProof/>
          <w:szCs w:val="22"/>
          <w:lang w:val="af-ZA"/>
        </w:rPr>
        <w:t xml:space="preserve"> </w:t>
      </w:r>
      <w:r w:rsidRPr="007955BB">
        <w:rPr>
          <w:b w:val="0"/>
          <w:noProof/>
          <w:szCs w:val="22"/>
        </w:rPr>
        <w:t>համար</w:t>
      </w:r>
      <w:r w:rsidRPr="007955BB">
        <w:rPr>
          <w:b w:val="0"/>
          <w:noProof/>
          <w:szCs w:val="22"/>
          <w:lang w:val="af-ZA"/>
        </w:rPr>
        <w:t xml:space="preserve"> 202</w:t>
      </w:r>
      <w:r w:rsidRPr="007955BB">
        <w:rPr>
          <w:b w:val="0"/>
          <w:noProof/>
          <w:szCs w:val="22"/>
          <w:lang w:val="hy-AM"/>
        </w:rPr>
        <w:t>3</w:t>
      </w:r>
      <w:r w:rsidRPr="007955BB">
        <w:rPr>
          <w:b w:val="0"/>
          <w:noProof/>
          <w:szCs w:val="22"/>
          <w:lang w:val="af-ZA"/>
        </w:rPr>
        <w:t xml:space="preserve"> թվականին </w:t>
      </w:r>
      <w:r w:rsidRPr="007955BB">
        <w:rPr>
          <w:b w:val="0"/>
          <w:noProof/>
          <w:szCs w:val="22"/>
        </w:rPr>
        <w:t>նախատեսվում</w:t>
      </w:r>
      <w:r w:rsidRPr="007955BB">
        <w:rPr>
          <w:b w:val="0"/>
          <w:noProof/>
          <w:szCs w:val="22"/>
          <w:lang w:val="af-ZA"/>
        </w:rPr>
        <w:t xml:space="preserve"> </w:t>
      </w:r>
      <w:r w:rsidRPr="007955BB">
        <w:rPr>
          <w:b w:val="0"/>
          <w:noProof/>
          <w:szCs w:val="22"/>
        </w:rPr>
        <w:t>է</w:t>
      </w:r>
      <w:r w:rsidRPr="007955BB">
        <w:rPr>
          <w:b w:val="0"/>
          <w:noProof/>
          <w:szCs w:val="22"/>
          <w:lang w:val="af-ZA"/>
        </w:rPr>
        <w:t xml:space="preserve"> </w:t>
      </w:r>
      <w:r w:rsidRPr="007955BB">
        <w:rPr>
          <w:b w:val="0"/>
          <w:noProof/>
          <w:szCs w:val="22"/>
        </w:rPr>
        <w:t>հատկացնել</w:t>
      </w:r>
      <w:r w:rsidRPr="007955BB">
        <w:rPr>
          <w:b w:val="0"/>
          <w:noProof/>
          <w:szCs w:val="22"/>
          <w:lang w:val="af-ZA"/>
        </w:rPr>
        <w:t xml:space="preserve"> </w:t>
      </w:r>
      <w:r w:rsidRPr="007955BB">
        <w:rPr>
          <w:b w:val="0"/>
          <w:noProof/>
          <w:szCs w:val="22"/>
          <w:lang w:val="hy-AM"/>
        </w:rPr>
        <w:t>849</w:t>
      </w:r>
      <w:r w:rsidRPr="007955BB">
        <w:rPr>
          <w:b w:val="0"/>
          <w:noProof/>
          <w:szCs w:val="22"/>
          <w:lang w:val="af-ZA"/>
        </w:rPr>
        <w:t>.</w:t>
      </w:r>
      <w:r w:rsidRPr="007955BB">
        <w:rPr>
          <w:b w:val="0"/>
          <w:noProof/>
          <w:szCs w:val="22"/>
          <w:lang w:val="hy-AM"/>
        </w:rPr>
        <w:t>7</w:t>
      </w:r>
      <w:r w:rsidRPr="007955BB">
        <w:rPr>
          <w:b w:val="0"/>
          <w:noProof/>
          <w:szCs w:val="22"/>
          <w:lang w:val="af-ZA"/>
        </w:rPr>
        <w:t xml:space="preserve"> </w:t>
      </w:r>
      <w:r w:rsidRPr="007955BB">
        <w:rPr>
          <w:b w:val="0"/>
          <w:noProof/>
          <w:szCs w:val="22"/>
        </w:rPr>
        <w:t>մլն</w:t>
      </w:r>
      <w:r w:rsidRPr="007955BB">
        <w:rPr>
          <w:b w:val="0"/>
          <w:noProof/>
          <w:szCs w:val="22"/>
          <w:lang w:val="af-ZA"/>
        </w:rPr>
        <w:t xml:space="preserve"> </w:t>
      </w:r>
      <w:r w:rsidRPr="007955BB">
        <w:rPr>
          <w:b w:val="0"/>
          <w:noProof/>
          <w:szCs w:val="22"/>
        </w:rPr>
        <w:t>դրամ</w:t>
      </w:r>
      <w:r w:rsidRPr="007955BB">
        <w:rPr>
          <w:b w:val="0"/>
          <w:noProof/>
          <w:szCs w:val="22"/>
          <w:lang w:val="af-ZA"/>
        </w:rPr>
        <w:t xml:space="preserve">: </w:t>
      </w:r>
    </w:p>
    <w:p w:rsidR="002C6873" w:rsidRPr="007955BB" w:rsidRDefault="002C6873" w:rsidP="002A3101">
      <w:pPr>
        <w:numPr>
          <w:ilvl w:val="12"/>
          <w:numId w:val="0"/>
        </w:numPr>
        <w:tabs>
          <w:tab w:val="left" w:pos="851"/>
        </w:tabs>
        <w:spacing w:line="276" w:lineRule="auto"/>
        <w:ind w:firstLine="540"/>
        <w:rPr>
          <w:b w:val="0"/>
          <w:noProof/>
          <w:szCs w:val="22"/>
          <w:lang w:val="af-ZA"/>
        </w:rPr>
      </w:pPr>
      <w:r w:rsidRPr="007955BB">
        <w:rPr>
          <w:b w:val="0"/>
          <w:noProof/>
          <w:szCs w:val="22"/>
        </w:rPr>
        <w:t>Ծրագրի</w:t>
      </w:r>
      <w:r w:rsidRPr="007955BB">
        <w:rPr>
          <w:b w:val="0"/>
          <w:noProof/>
          <w:szCs w:val="22"/>
          <w:lang w:val="af-ZA"/>
        </w:rPr>
        <w:t xml:space="preserve"> </w:t>
      </w:r>
      <w:r w:rsidRPr="007955BB">
        <w:rPr>
          <w:b w:val="0"/>
          <w:noProof/>
          <w:szCs w:val="22"/>
        </w:rPr>
        <w:t>շրջանակներում</w:t>
      </w:r>
      <w:r w:rsidRPr="007955BB">
        <w:rPr>
          <w:b w:val="0"/>
          <w:noProof/>
          <w:szCs w:val="22"/>
          <w:lang w:val="af-ZA"/>
        </w:rPr>
        <w:t xml:space="preserve"> </w:t>
      </w:r>
      <w:r w:rsidRPr="007955BB">
        <w:rPr>
          <w:b w:val="0"/>
          <w:noProof/>
          <w:szCs w:val="22"/>
        </w:rPr>
        <w:t>հատկացումներն</w:t>
      </w:r>
      <w:r w:rsidRPr="007955BB">
        <w:rPr>
          <w:b w:val="0"/>
          <w:noProof/>
          <w:szCs w:val="22"/>
          <w:lang w:val="af-ZA"/>
        </w:rPr>
        <w:t xml:space="preserve"> </w:t>
      </w:r>
      <w:r w:rsidRPr="007955BB">
        <w:rPr>
          <w:b w:val="0"/>
          <w:noProof/>
          <w:szCs w:val="22"/>
        </w:rPr>
        <w:t>ուղղվելու</w:t>
      </w:r>
      <w:r w:rsidRPr="007955BB">
        <w:rPr>
          <w:b w:val="0"/>
          <w:noProof/>
          <w:szCs w:val="22"/>
          <w:lang w:val="af-ZA"/>
        </w:rPr>
        <w:t xml:space="preserve"> </w:t>
      </w:r>
      <w:r w:rsidRPr="007955BB">
        <w:rPr>
          <w:b w:val="0"/>
          <w:noProof/>
          <w:szCs w:val="22"/>
        </w:rPr>
        <w:t>են</w:t>
      </w:r>
      <w:r w:rsidRPr="007955BB">
        <w:rPr>
          <w:b w:val="0"/>
          <w:noProof/>
          <w:szCs w:val="22"/>
          <w:lang w:val="af-ZA"/>
        </w:rPr>
        <w:t xml:space="preserve"> </w:t>
      </w:r>
      <w:r w:rsidRPr="007955BB">
        <w:rPr>
          <w:b w:val="0"/>
          <w:noProof/>
          <w:szCs w:val="22"/>
        </w:rPr>
        <w:t>ֆիլմերի</w:t>
      </w:r>
      <w:r w:rsidRPr="007955BB">
        <w:rPr>
          <w:b w:val="0"/>
          <w:noProof/>
          <w:szCs w:val="22"/>
          <w:lang w:val="af-ZA"/>
        </w:rPr>
        <w:t xml:space="preserve"> </w:t>
      </w:r>
      <w:r w:rsidRPr="007955BB">
        <w:rPr>
          <w:b w:val="0"/>
          <w:noProof/>
          <w:szCs w:val="22"/>
        </w:rPr>
        <w:t>արտադրությանը</w:t>
      </w:r>
      <w:r w:rsidRPr="007955BB">
        <w:rPr>
          <w:b w:val="0"/>
          <w:noProof/>
          <w:szCs w:val="22"/>
          <w:lang w:val="af-ZA"/>
        </w:rPr>
        <w:t xml:space="preserve">, </w:t>
      </w:r>
      <w:r w:rsidRPr="007955BB">
        <w:rPr>
          <w:b w:val="0"/>
          <w:noProof/>
          <w:szCs w:val="22"/>
        </w:rPr>
        <w:t>կինո</w:t>
      </w:r>
      <w:r w:rsidRPr="007955BB">
        <w:rPr>
          <w:b w:val="0"/>
          <w:noProof/>
          <w:szCs w:val="22"/>
          <w:lang w:val="af-ZA"/>
        </w:rPr>
        <w:t>-</w:t>
      </w:r>
      <w:r w:rsidRPr="007955BB">
        <w:rPr>
          <w:b w:val="0"/>
          <w:noProof/>
          <w:szCs w:val="22"/>
        </w:rPr>
        <w:t>ֆոտո</w:t>
      </w:r>
      <w:r w:rsidRPr="007955BB">
        <w:rPr>
          <w:b w:val="0"/>
          <w:noProof/>
          <w:szCs w:val="22"/>
          <w:lang w:val="af-ZA"/>
        </w:rPr>
        <w:t>-</w:t>
      </w:r>
      <w:r w:rsidRPr="007955BB">
        <w:rPr>
          <w:b w:val="0"/>
          <w:noProof/>
          <w:szCs w:val="22"/>
        </w:rPr>
        <w:t>ֆոնո</w:t>
      </w:r>
      <w:r w:rsidRPr="007955BB">
        <w:rPr>
          <w:b w:val="0"/>
          <w:noProof/>
          <w:szCs w:val="22"/>
          <w:lang w:val="af-ZA"/>
        </w:rPr>
        <w:t xml:space="preserve"> </w:t>
      </w:r>
      <w:r w:rsidRPr="007955BB">
        <w:rPr>
          <w:b w:val="0"/>
          <w:noProof/>
          <w:szCs w:val="22"/>
        </w:rPr>
        <w:t>հավաքածուի</w:t>
      </w:r>
      <w:r w:rsidRPr="007955BB">
        <w:rPr>
          <w:b w:val="0"/>
          <w:noProof/>
          <w:szCs w:val="22"/>
          <w:lang w:val="af-ZA"/>
        </w:rPr>
        <w:t xml:space="preserve"> </w:t>
      </w:r>
      <w:r w:rsidRPr="007955BB">
        <w:rPr>
          <w:b w:val="0"/>
          <w:noProof/>
          <w:szCs w:val="22"/>
        </w:rPr>
        <w:t>պահպանմանը</w:t>
      </w:r>
      <w:r w:rsidRPr="007955BB">
        <w:rPr>
          <w:b w:val="0"/>
          <w:noProof/>
          <w:szCs w:val="22"/>
          <w:lang w:val="af-ZA"/>
        </w:rPr>
        <w:t xml:space="preserve">, </w:t>
      </w:r>
      <w:r w:rsidRPr="007955BB">
        <w:rPr>
          <w:b w:val="0"/>
          <w:noProof/>
          <w:szCs w:val="22"/>
        </w:rPr>
        <w:t>թվայնացմանը</w:t>
      </w:r>
      <w:r w:rsidRPr="007955BB">
        <w:rPr>
          <w:b w:val="0"/>
          <w:noProof/>
          <w:szCs w:val="22"/>
          <w:lang w:val="af-ZA"/>
        </w:rPr>
        <w:t xml:space="preserve">, </w:t>
      </w:r>
      <w:r w:rsidR="006761BC">
        <w:rPr>
          <w:b w:val="0"/>
          <w:noProof/>
          <w:szCs w:val="22"/>
          <w:lang w:val="af-ZA"/>
        </w:rPr>
        <w:t xml:space="preserve">կինոարվեստի նախագծերի, </w:t>
      </w:r>
      <w:r w:rsidRPr="007955BB">
        <w:rPr>
          <w:b w:val="0"/>
          <w:noProof/>
          <w:szCs w:val="22"/>
          <w:lang w:val="af-ZA"/>
        </w:rPr>
        <w:t xml:space="preserve"> </w:t>
      </w:r>
      <w:r w:rsidRPr="007955BB">
        <w:rPr>
          <w:b w:val="0"/>
          <w:noProof/>
          <w:szCs w:val="22"/>
        </w:rPr>
        <w:t>միջազգային</w:t>
      </w:r>
      <w:r w:rsidRPr="007955BB">
        <w:rPr>
          <w:b w:val="0"/>
          <w:noProof/>
          <w:szCs w:val="22"/>
          <w:lang w:val="af-ZA"/>
        </w:rPr>
        <w:t xml:space="preserve"> </w:t>
      </w:r>
      <w:r w:rsidRPr="007955BB">
        <w:rPr>
          <w:b w:val="0"/>
          <w:noProof/>
          <w:szCs w:val="22"/>
        </w:rPr>
        <w:t>կինո</w:t>
      </w:r>
      <w:r w:rsidR="006761BC">
        <w:rPr>
          <w:b w:val="0"/>
          <w:noProof/>
          <w:szCs w:val="22"/>
          <w:lang w:val="en-US"/>
        </w:rPr>
        <w:t>նախագծերին</w:t>
      </w:r>
      <w:r w:rsidR="006761BC" w:rsidRPr="006761BC">
        <w:rPr>
          <w:b w:val="0"/>
          <w:noProof/>
          <w:szCs w:val="22"/>
          <w:lang w:val="af-ZA"/>
        </w:rPr>
        <w:t xml:space="preserve"> </w:t>
      </w:r>
      <w:r w:rsidR="006761BC">
        <w:rPr>
          <w:b w:val="0"/>
          <w:noProof/>
          <w:szCs w:val="22"/>
          <w:lang w:val="en-US"/>
        </w:rPr>
        <w:t>մասնակցու</w:t>
      </w:r>
      <w:r w:rsidRPr="007955BB">
        <w:rPr>
          <w:b w:val="0"/>
          <w:noProof/>
          <w:szCs w:val="22"/>
        </w:rPr>
        <w:t>թյանը</w:t>
      </w:r>
      <w:r w:rsidRPr="007955BB">
        <w:rPr>
          <w:b w:val="0"/>
          <w:noProof/>
          <w:szCs w:val="22"/>
          <w:lang w:val="af-ZA"/>
        </w:rPr>
        <w:t xml:space="preserve"> (</w:t>
      </w:r>
      <w:r w:rsidRPr="007955BB">
        <w:rPr>
          <w:b w:val="0"/>
          <w:noProof/>
          <w:szCs w:val="22"/>
        </w:rPr>
        <w:t>նոր</w:t>
      </w:r>
      <w:r w:rsidRPr="007955BB">
        <w:rPr>
          <w:b w:val="0"/>
          <w:noProof/>
          <w:szCs w:val="22"/>
          <w:lang w:val="af-ZA"/>
        </w:rPr>
        <w:t xml:space="preserve"> </w:t>
      </w:r>
      <w:r w:rsidR="00AF3C6A" w:rsidRPr="007955BB">
        <w:rPr>
          <w:b w:val="0"/>
          <w:noProof/>
          <w:szCs w:val="22"/>
          <w:lang w:val="af-ZA"/>
        </w:rPr>
        <w:t xml:space="preserve">և շարունակվող </w:t>
      </w:r>
      <w:r w:rsidRPr="007955BB">
        <w:rPr>
          <w:b w:val="0"/>
          <w:noProof/>
          <w:szCs w:val="22"/>
        </w:rPr>
        <w:t>կինոնկարների</w:t>
      </w:r>
      <w:r w:rsidRPr="007955BB">
        <w:rPr>
          <w:b w:val="0"/>
          <w:noProof/>
          <w:szCs w:val="22"/>
          <w:lang w:val="af-ZA"/>
        </w:rPr>
        <w:t xml:space="preserve"> </w:t>
      </w:r>
      <w:r w:rsidRPr="007955BB">
        <w:rPr>
          <w:b w:val="0"/>
          <w:noProof/>
          <w:szCs w:val="22"/>
        </w:rPr>
        <w:t>թիվը</w:t>
      </w:r>
      <w:r w:rsidRPr="007955BB">
        <w:rPr>
          <w:b w:val="0"/>
          <w:noProof/>
          <w:szCs w:val="22"/>
          <w:lang w:val="af-ZA"/>
        </w:rPr>
        <w:t xml:space="preserve"> </w:t>
      </w:r>
      <w:r w:rsidRPr="007955BB">
        <w:rPr>
          <w:b w:val="0"/>
          <w:noProof/>
          <w:szCs w:val="22"/>
        </w:rPr>
        <w:t>նախատեսվում</w:t>
      </w:r>
      <w:r w:rsidRPr="007955BB">
        <w:rPr>
          <w:b w:val="0"/>
          <w:noProof/>
          <w:szCs w:val="22"/>
          <w:lang w:val="af-ZA"/>
        </w:rPr>
        <w:t xml:space="preserve"> </w:t>
      </w:r>
      <w:r w:rsidRPr="007955BB">
        <w:rPr>
          <w:b w:val="0"/>
          <w:noProof/>
          <w:szCs w:val="22"/>
        </w:rPr>
        <w:t>է</w:t>
      </w:r>
      <w:r w:rsidRPr="007955BB">
        <w:rPr>
          <w:b w:val="0"/>
          <w:noProof/>
          <w:szCs w:val="22"/>
          <w:lang w:val="af-ZA"/>
        </w:rPr>
        <w:t xml:space="preserve"> </w:t>
      </w:r>
      <w:r w:rsidR="000B0108">
        <w:rPr>
          <w:b w:val="0"/>
          <w:noProof/>
          <w:szCs w:val="22"/>
          <w:lang w:val="af-ZA"/>
        </w:rPr>
        <w:t>19</w:t>
      </w:r>
      <w:r w:rsidRPr="007955BB">
        <w:rPr>
          <w:b w:val="0"/>
          <w:noProof/>
          <w:szCs w:val="22"/>
          <w:lang w:val="af-ZA"/>
        </w:rPr>
        <w:t xml:space="preserve">, </w:t>
      </w:r>
      <w:r w:rsidRPr="007955BB">
        <w:rPr>
          <w:b w:val="0"/>
          <w:noProof/>
          <w:szCs w:val="22"/>
        </w:rPr>
        <w:t>միջազգային</w:t>
      </w:r>
      <w:r w:rsidR="00DD3B4A">
        <w:rPr>
          <w:b w:val="0"/>
          <w:noProof/>
          <w:szCs w:val="22"/>
          <w:lang w:val="af-ZA"/>
        </w:rPr>
        <w:t xml:space="preserve"> </w:t>
      </w:r>
      <w:r w:rsidRPr="007955BB">
        <w:rPr>
          <w:b w:val="0"/>
          <w:noProof/>
          <w:szCs w:val="22"/>
        </w:rPr>
        <w:t>կինոնախագծերին</w:t>
      </w:r>
      <w:r w:rsidRPr="007955BB">
        <w:rPr>
          <w:b w:val="0"/>
          <w:noProof/>
          <w:szCs w:val="22"/>
          <w:lang w:val="af-ZA"/>
        </w:rPr>
        <w:t xml:space="preserve"> </w:t>
      </w:r>
      <w:r w:rsidRPr="007955BB">
        <w:rPr>
          <w:b w:val="0"/>
          <w:noProof/>
          <w:szCs w:val="22"/>
        </w:rPr>
        <w:t>մասնակցության</w:t>
      </w:r>
      <w:r w:rsidRPr="007955BB">
        <w:rPr>
          <w:b w:val="0"/>
          <w:noProof/>
          <w:szCs w:val="22"/>
          <w:lang w:val="af-ZA"/>
        </w:rPr>
        <w:t xml:space="preserve"> </w:t>
      </w:r>
      <w:r w:rsidRPr="007955BB">
        <w:rPr>
          <w:b w:val="0"/>
          <w:noProof/>
          <w:szCs w:val="22"/>
        </w:rPr>
        <w:t>թիվը՝</w:t>
      </w:r>
      <w:r w:rsidRPr="007955BB">
        <w:rPr>
          <w:b w:val="0"/>
          <w:noProof/>
          <w:szCs w:val="22"/>
          <w:lang w:val="af-ZA"/>
        </w:rPr>
        <w:t xml:space="preserve"> </w:t>
      </w:r>
      <w:r w:rsidR="006761BC">
        <w:rPr>
          <w:b w:val="0"/>
          <w:noProof/>
          <w:szCs w:val="22"/>
          <w:lang w:val="af-ZA"/>
        </w:rPr>
        <w:t>8</w:t>
      </w:r>
      <w:r w:rsidRPr="007955BB">
        <w:rPr>
          <w:b w:val="0"/>
          <w:noProof/>
          <w:szCs w:val="22"/>
          <w:lang w:val="af-ZA"/>
        </w:rPr>
        <w:t xml:space="preserve">, </w:t>
      </w:r>
      <w:r w:rsidR="006761BC">
        <w:rPr>
          <w:b w:val="0"/>
          <w:noProof/>
          <w:szCs w:val="22"/>
          <w:lang w:val="en-US"/>
        </w:rPr>
        <w:t>կինոարվեստի</w:t>
      </w:r>
      <w:r w:rsidR="006761BC" w:rsidRPr="00110D7D">
        <w:rPr>
          <w:b w:val="0"/>
          <w:noProof/>
          <w:szCs w:val="22"/>
          <w:lang w:val="af-ZA"/>
        </w:rPr>
        <w:t xml:space="preserve"> </w:t>
      </w:r>
      <w:r w:rsidR="006761BC">
        <w:rPr>
          <w:b w:val="0"/>
          <w:noProof/>
          <w:szCs w:val="22"/>
          <w:lang w:val="en-US"/>
        </w:rPr>
        <w:t>նախագծերի</w:t>
      </w:r>
      <w:r w:rsidRPr="007955BB">
        <w:rPr>
          <w:b w:val="0"/>
          <w:noProof/>
          <w:szCs w:val="22"/>
          <w:lang w:val="af-ZA"/>
        </w:rPr>
        <w:t xml:space="preserve"> </w:t>
      </w:r>
      <w:r w:rsidRPr="007955BB">
        <w:rPr>
          <w:b w:val="0"/>
          <w:noProof/>
          <w:szCs w:val="22"/>
        </w:rPr>
        <w:t>թիվը՝</w:t>
      </w:r>
      <w:r w:rsidRPr="007955BB">
        <w:rPr>
          <w:b w:val="0"/>
          <w:noProof/>
          <w:szCs w:val="22"/>
          <w:lang w:val="af-ZA"/>
        </w:rPr>
        <w:t xml:space="preserve"> 5):</w:t>
      </w:r>
    </w:p>
    <w:p w:rsidR="002C6873" w:rsidRPr="007955BB" w:rsidRDefault="002C6873" w:rsidP="002A3101">
      <w:pPr>
        <w:numPr>
          <w:ilvl w:val="12"/>
          <w:numId w:val="0"/>
        </w:numPr>
        <w:tabs>
          <w:tab w:val="left" w:pos="851"/>
        </w:tabs>
        <w:spacing w:line="276" w:lineRule="auto"/>
        <w:ind w:firstLine="540"/>
        <w:rPr>
          <w:b w:val="0"/>
          <w:noProof/>
          <w:szCs w:val="22"/>
          <w:lang w:val="af-ZA"/>
        </w:rPr>
      </w:pPr>
      <w:r w:rsidRPr="007955BB">
        <w:rPr>
          <w:noProof/>
          <w:szCs w:val="22"/>
          <w:lang w:val="hy-AM"/>
        </w:rPr>
        <w:t>Մշակութային</w:t>
      </w:r>
      <w:r w:rsidRPr="007955BB">
        <w:rPr>
          <w:noProof/>
          <w:szCs w:val="22"/>
          <w:lang w:val="af-ZA"/>
        </w:rPr>
        <w:t xml:space="preserve"> </w:t>
      </w:r>
      <w:r w:rsidRPr="007955BB">
        <w:rPr>
          <w:noProof/>
          <w:szCs w:val="22"/>
          <w:lang w:val="hy-AM"/>
        </w:rPr>
        <w:t>ժառանգության</w:t>
      </w:r>
      <w:r w:rsidRPr="007955BB">
        <w:rPr>
          <w:noProof/>
          <w:szCs w:val="22"/>
          <w:lang w:val="af-ZA"/>
        </w:rPr>
        <w:t xml:space="preserve"> </w:t>
      </w:r>
      <w:r w:rsidRPr="007955BB">
        <w:rPr>
          <w:b w:val="0"/>
          <w:noProof/>
          <w:szCs w:val="22"/>
          <w:lang w:val="hy-AM"/>
        </w:rPr>
        <w:t>ծրագրի նպատակն</w:t>
      </w:r>
      <w:r w:rsidRPr="007955BB">
        <w:rPr>
          <w:b w:val="0"/>
          <w:noProof/>
          <w:szCs w:val="22"/>
          <w:lang w:val="af-ZA"/>
        </w:rPr>
        <w:t xml:space="preserve"> </w:t>
      </w:r>
      <w:r w:rsidRPr="007955BB">
        <w:rPr>
          <w:b w:val="0"/>
          <w:noProof/>
          <w:szCs w:val="22"/>
          <w:lang w:val="hy-AM"/>
        </w:rPr>
        <w:t>է</w:t>
      </w:r>
      <w:r w:rsidRPr="007955BB">
        <w:rPr>
          <w:b w:val="0"/>
          <w:noProof/>
          <w:szCs w:val="22"/>
          <w:lang w:val="af-ZA"/>
        </w:rPr>
        <w:t xml:space="preserve"> </w:t>
      </w:r>
      <w:r w:rsidRPr="007955BB">
        <w:rPr>
          <w:b w:val="0"/>
          <w:noProof/>
          <w:szCs w:val="22"/>
          <w:lang w:val="hy-AM"/>
        </w:rPr>
        <w:t>ապահովել</w:t>
      </w:r>
      <w:r w:rsidRPr="007955BB">
        <w:rPr>
          <w:b w:val="0"/>
          <w:noProof/>
          <w:szCs w:val="22"/>
          <w:lang w:val="af-ZA"/>
        </w:rPr>
        <w:t xml:space="preserve"> </w:t>
      </w:r>
      <w:r w:rsidRPr="007955BB">
        <w:rPr>
          <w:b w:val="0"/>
          <w:noProof/>
          <w:szCs w:val="22"/>
          <w:lang w:val="hy-AM"/>
        </w:rPr>
        <w:t>մշակութային</w:t>
      </w:r>
      <w:r w:rsidRPr="007955BB">
        <w:rPr>
          <w:b w:val="0"/>
          <w:noProof/>
          <w:szCs w:val="22"/>
          <w:lang w:val="af-ZA"/>
        </w:rPr>
        <w:t xml:space="preserve"> </w:t>
      </w:r>
      <w:r w:rsidRPr="007955BB">
        <w:rPr>
          <w:b w:val="0"/>
          <w:noProof/>
          <w:szCs w:val="22"/>
          <w:lang w:val="hy-AM"/>
        </w:rPr>
        <w:t>ժառանգության</w:t>
      </w:r>
      <w:r w:rsidRPr="007955BB">
        <w:rPr>
          <w:b w:val="0"/>
          <w:noProof/>
          <w:szCs w:val="22"/>
          <w:lang w:val="af-ZA"/>
        </w:rPr>
        <w:t xml:space="preserve"> </w:t>
      </w:r>
      <w:r w:rsidRPr="007955BB">
        <w:rPr>
          <w:b w:val="0"/>
          <w:noProof/>
          <w:szCs w:val="22"/>
          <w:lang w:val="hy-AM"/>
        </w:rPr>
        <w:t>պահպանումը</w:t>
      </w:r>
      <w:r w:rsidRPr="007955BB">
        <w:rPr>
          <w:b w:val="0"/>
          <w:noProof/>
          <w:szCs w:val="22"/>
          <w:lang w:val="af-ZA"/>
        </w:rPr>
        <w:t xml:space="preserve">, </w:t>
      </w:r>
      <w:r w:rsidRPr="007955BB">
        <w:rPr>
          <w:b w:val="0"/>
          <w:noProof/>
          <w:szCs w:val="22"/>
          <w:lang w:val="hy-AM"/>
        </w:rPr>
        <w:t>օգտագործումը</w:t>
      </w:r>
      <w:r w:rsidRPr="007955BB">
        <w:rPr>
          <w:b w:val="0"/>
          <w:noProof/>
          <w:szCs w:val="22"/>
          <w:lang w:val="af-ZA"/>
        </w:rPr>
        <w:t xml:space="preserve">, </w:t>
      </w:r>
      <w:r w:rsidRPr="007955BB">
        <w:rPr>
          <w:b w:val="0"/>
          <w:noProof/>
          <w:szCs w:val="22"/>
          <w:lang w:val="hy-AM"/>
        </w:rPr>
        <w:t>համալրումը</w:t>
      </w:r>
      <w:r w:rsidRPr="007955BB">
        <w:rPr>
          <w:b w:val="0"/>
          <w:noProof/>
          <w:szCs w:val="22"/>
          <w:lang w:val="af-ZA"/>
        </w:rPr>
        <w:t xml:space="preserve"> </w:t>
      </w:r>
      <w:r w:rsidRPr="007955BB">
        <w:rPr>
          <w:b w:val="0"/>
          <w:noProof/>
          <w:szCs w:val="22"/>
          <w:lang w:val="hy-AM"/>
        </w:rPr>
        <w:t>և</w:t>
      </w:r>
      <w:r w:rsidRPr="007955BB">
        <w:rPr>
          <w:b w:val="0"/>
          <w:noProof/>
          <w:szCs w:val="22"/>
          <w:lang w:val="af-ZA"/>
        </w:rPr>
        <w:t xml:space="preserve"> </w:t>
      </w:r>
      <w:r w:rsidRPr="007955BB">
        <w:rPr>
          <w:b w:val="0"/>
          <w:noProof/>
          <w:szCs w:val="22"/>
          <w:lang w:val="hy-AM"/>
        </w:rPr>
        <w:t>հանրահռչակումը</w:t>
      </w:r>
      <w:r w:rsidRPr="007955BB">
        <w:rPr>
          <w:b w:val="0"/>
          <w:noProof/>
          <w:szCs w:val="22"/>
          <w:lang w:val="af-ZA"/>
        </w:rPr>
        <w:t>:</w:t>
      </w:r>
    </w:p>
    <w:p w:rsidR="002C6873" w:rsidRPr="007955BB" w:rsidRDefault="002C6873" w:rsidP="002A3101">
      <w:pPr>
        <w:numPr>
          <w:ilvl w:val="12"/>
          <w:numId w:val="0"/>
        </w:numPr>
        <w:tabs>
          <w:tab w:val="left" w:pos="851"/>
        </w:tabs>
        <w:spacing w:line="276" w:lineRule="auto"/>
        <w:ind w:firstLine="540"/>
        <w:rPr>
          <w:b w:val="0"/>
          <w:noProof/>
          <w:szCs w:val="22"/>
          <w:lang w:val="af-ZA"/>
        </w:rPr>
      </w:pPr>
      <w:r w:rsidRPr="007955BB">
        <w:rPr>
          <w:b w:val="0"/>
          <w:noProof/>
          <w:szCs w:val="22"/>
        </w:rPr>
        <w:t>Ծրագրի</w:t>
      </w:r>
      <w:r w:rsidRPr="007955BB">
        <w:rPr>
          <w:b w:val="0"/>
          <w:noProof/>
          <w:szCs w:val="22"/>
          <w:lang w:val="af-ZA"/>
        </w:rPr>
        <w:t xml:space="preserve"> </w:t>
      </w:r>
      <w:r w:rsidRPr="007955BB">
        <w:rPr>
          <w:b w:val="0"/>
          <w:noProof/>
          <w:szCs w:val="22"/>
        </w:rPr>
        <w:t>շրջանակներում</w:t>
      </w:r>
      <w:r w:rsidRPr="007955BB">
        <w:rPr>
          <w:b w:val="0"/>
          <w:noProof/>
          <w:szCs w:val="22"/>
          <w:lang w:val="af-ZA"/>
        </w:rPr>
        <w:t xml:space="preserve"> </w:t>
      </w:r>
      <w:r w:rsidRPr="007955BB">
        <w:rPr>
          <w:b w:val="0"/>
          <w:noProof/>
          <w:szCs w:val="22"/>
        </w:rPr>
        <w:t>հատկացումներն</w:t>
      </w:r>
      <w:r w:rsidRPr="007955BB">
        <w:rPr>
          <w:b w:val="0"/>
          <w:noProof/>
          <w:szCs w:val="22"/>
          <w:lang w:val="af-ZA"/>
        </w:rPr>
        <w:t xml:space="preserve"> </w:t>
      </w:r>
      <w:r w:rsidRPr="007955BB">
        <w:rPr>
          <w:b w:val="0"/>
          <w:noProof/>
          <w:szCs w:val="22"/>
        </w:rPr>
        <w:t>ուղղվելու</w:t>
      </w:r>
      <w:r w:rsidRPr="007955BB">
        <w:rPr>
          <w:b w:val="0"/>
          <w:noProof/>
          <w:szCs w:val="22"/>
          <w:lang w:val="af-ZA"/>
        </w:rPr>
        <w:t xml:space="preserve"> </w:t>
      </w:r>
      <w:r w:rsidRPr="007955BB">
        <w:rPr>
          <w:b w:val="0"/>
          <w:noProof/>
          <w:szCs w:val="22"/>
        </w:rPr>
        <w:t>են</w:t>
      </w:r>
      <w:r w:rsidRPr="007955BB">
        <w:rPr>
          <w:b w:val="0"/>
          <w:noProof/>
          <w:szCs w:val="22"/>
          <w:lang w:val="af-ZA"/>
        </w:rPr>
        <w:t xml:space="preserve"> </w:t>
      </w:r>
      <w:r w:rsidRPr="007955BB">
        <w:rPr>
          <w:b w:val="0"/>
          <w:noProof/>
          <w:szCs w:val="22"/>
        </w:rPr>
        <w:t>պատմամշակութային</w:t>
      </w:r>
      <w:r w:rsidRPr="007955BB">
        <w:rPr>
          <w:b w:val="0"/>
          <w:noProof/>
          <w:szCs w:val="22"/>
          <w:lang w:val="af-ZA"/>
        </w:rPr>
        <w:t xml:space="preserve"> </w:t>
      </w:r>
      <w:r w:rsidRPr="007955BB">
        <w:rPr>
          <w:b w:val="0"/>
          <w:noProof/>
          <w:szCs w:val="22"/>
        </w:rPr>
        <w:t>ժառանգության</w:t>
      </w:r>
      <w:r w:rsidRPr="007955BB">
        <w:rPr>
          <w:b w:val="0"/>
          <w:noProof/>
          <w:szCs w:val="22"/>
          <w:lang w:val="af-ZA"/>
        </w:rPr>
        <w:t xml:space="preserve"> </w:t>
      </w:r>
      <w:r w:rsidRPr="007955BB">
        <w:rPr>
          <w:b w:val="0"/>
          <w:noProof/>
          <w:szCs w:val="22"/>
        </w:rPr>
        <w:t>գիտահետազոտական</w:t>
      </w:r>
      <w:r w:rsidRPr="007955BB">
        <w:rPr>
          <w:b w:val="0"/>
          <w:noProof/>
          <w:szCs w:val="22"/>
          <w:lang w:val="af-ZA"/>
        </w:rPr>
        <w:t xml:space="preserve"> </w:t>
      </w:r>
      <w:r w:rsidRPr="007955BB">
        <w:rPr>
          <w:b w:val="0"/>
          <w:noProof/>
          <w:szCs w:val="22"/>
        </w:rPr>
        <w:t>աշխատանքների</w:t>
      </w:r>
      <w:r w:rsidRPr="007955BB">
        <w:rPr>
          <w:b w:val="0"/>
          <w:noProof/>
          <w:szCs w:val="22"/>
          <w:lang w:val="af-ZA"/>
        </w:rPr>
        <w:t xml:space="preserve">, </w:t>
      </w:r>
      <w:r w:rsidRPr="007955BB">
        <w:rPr>
          <w:b w:val="0"/>
          <w:noProof/>
          <w:szCs w:val="22"/>
        </w:rPr>
        <w:t>մշակութային</w:t>
      </w:r>
      <w:r w:rsidRPr="007955BB">
        <w:rPr>
          <w:b w:val="0"/>
          <w:noProof/>
          <w:szCs w:val="22"/>
          <w:lang w:val="af-ZA"/>
        </w:rPr>
        <w:t xml:space="preserve"> </w:t>
      </w:r>
      <w:r w:rsidRPr="007955BB">
        <w:rPr>
          <w:b w:val="0"/>
          <w:noProof/>
          <w:szCs w:val="22"/>
        </w:rPr>
        <w:t>արժեքների</w:t>
      </w:r>
      <w:r w:rsidRPr="007955BB">
        <w:rPr>
          <w:b w:val="0"/>
          <w:noProof/>
          <w:szCs w:val="22"/>
          <w:lang w:val="af-ZA"/>
        </w:rPr>
        <w:t xml:space="preserve"> </w:t>
      </w:r>
      <w:r w:rsidRPr="007955BB">
        <w:rPr>
          <w:b w:val="0"/>
          <w:noProof/>
          <w:szCs w:val="22"/>
        </w:rPr>
        <w:t>փորձաքննության</w:t>
      </w:r>
      <w:r w:rsidRPr="007955BB">
        <w:rPr>
          <w:b w:val="0"/>
          <w:noProof/>
          <w:szCs w:val="22"/>
          <w:lang w:val="af-ZA"/>
        </w:rPr>
        <w:t xml:space="preserve">, </w:t>
      </w:r>
      <w:r w:rsidRPr="007955BB">
        <w:rPr>
          <w:b w:val="0"/>
          <w:noProof/>
          <w:szCs w:val="22"/>
        </w:rPr>
        <w:t>թանգարանային</w:t>
      </w:r>
      <w:r w:rsidRPr="007955BB">
        <w:rPr>
          <w:b w:val="0"/>
          <w:noProof/>
          <w:szCs w:val="22"/>
          <w:lang w:val="af-ZA"/>
        </w:rPr>
        <w:t xml:space="preserve"> </w:t>
      </w:r>
      <w:r w:rsidRPr="007955BB">
        <w:rPr>
          <w:b w:val="0"/>
          <w:noProof/>
          <w:szCs w:val="22"/>
        </w:rPr>
        <w:t>ծառայությունների</w:t>
      </w:r>
      <w:r w:rsidRPr="007955BB">
        <w:rPr>
          <w:b w:val="0"/>
          <w:noProof/>
          <w:szCs w:val="22"/>
          <w:lang w:val="af-ZA"/>
        </w:rPr>
        <w:t xml:space="preserve"> </w:t>
      </w:r>
      <w:r w:rsidRPr="007955BB">
        <w:rPr>
          <w:b w:val="0"/>
          <w:noProof/>
          <w:szCs w:val="22"/>
        </w:rPr>
        <w:t>իրականացմանը</w:t>
      </w:r>
      <w:r w:rsidRPr="007955BB">
        <w:rPr>
          <w:b w:val="0"/>
          <w:noProof/>
          <w:szCs w:val="22"/>
          <w:lang w:val="af-ZA"/>
        </w:rPr>
        <w:t xml:space="preserve">, </w:t>
      </w:r>
      <w:r w:rsidRPr="007955BB">
        <w:rPr>
          <w:b w:val="0"/>
          <w:noProof/>
          <w:szCs w:val="22"/>
        </w:rPr>
        <w:t>ՀՀ</w:t>
      </w:r>
      <w:r w:rsidRPr="007955BB">
        <w:rPr>
          <w:b w:val="0"/>
          <w:noProof/>
          <w:szCs w:val="22"/>
          <w:lang w:val="af-ZA"/>
        </w:rPr>
        <w:t xml:space="preserve"> </w:t>
      </w:r>
      <w:r w:rsidRPr="007955BB">
        <w:rPr>
          <w:b w:val="0"/>
          <w:noProof/>
          <w:szCs w:val="22"/>
        </w:rPr>
        <w:t>տարածքում</w:t>
      </w:r>
      <w:r w:rsidRPr="007955BB">
        <w:rPr>
          <w:b w:val="0"/>
          <w:noProof/>
          <w:szCs w:val="22"/>
          <w:lang w:val="af-ZA"/>
        </w:rPr>
        <w:t xml:space="preserve"> </w:t>
      </w:r>
      <w:r w:rsidRPr="007955BB">
        <w:rPr>
          <w:b w:val="0"/>
          <w:noProof/>
          <w:szCs w:val="22"/>
        </w:rPr>
        <w:t>և</w:t>
      </w:r>
      <w:r w:rsidRPr="007955BB">
        <w:rPr>
          <w:b w:val="0"/>
          <w:noProof/>
          <w:szCs w:val="22"/>
          <w:lang w:val="af-ZA"/>
        </w:rPr>
        <w:t xml:space="preserve"> </w:t>
      </w:r>
      <w:r w:rsidRPr="007955BB">
        <w:rPr>
          <w:b w:val="0"/>
          <w:noProof/>
          <w:szCs w:val="22"/>
        </w:rPr>
        <w:t>օտարերկրյա</w:t>
      </w:r>
      <w:r w:rsidRPr="007955BB">
        <w:rPr>
          <w:b w:val="0"/>
          <w:noProof/>
          <w:szCs w:val="22"/>
          <w:lang w:val="af-ZA"/>
        </w:rPr>
        <w:t xml:space="preserve"> </w:t>
      </w:r>
      <w:r w:rsidRPr="007955BB">
        <w:rPr>
          <w:b w:val="0"/>
          <w:noProof/>
          <w:szCs w:val="22"/>
        </w:rPr>
        <w:t>պետություններում</w:t>
      </w:r>
      <w:r w:rsidRPr="007955BB">
        <w:rPr>
          <w:b w:val="0"/>
          <w:noProof/>
          <w:szCs w:val="22"/>
          <w:lang w:val="af-ZA"/>
        </w:rPr>
        <w:t xml:space="preserve"> </w:t>
      </w:r>
      <w:r w:rsidRPr="007955BB">
        <w:rPr>
          <w:b w:val="0"/>
          <w:noProof/>
          <w:szCs w:val="22"/>
        </w:rPr>
        <w:t>գտնվող</w:t>
      </w:r>
      <w:r w:rsidRPr="007955BB">
        <w:rPr>
          <w:b w:val="0"/>
          <w:noProof/>
          <w:szCs w:val="22"/>
          <w:lang w:val="af-ZA"/>
        </w:rPr>
        <w:t xml:space="preserve"> </w:t>
      </w:r>
      <w:r w:rsidRPr="007955BB">
        <w:rPr>
          <w:b w:val="0"/>
          <w:noProof/>
          <w:szCs w:val="22"/>
        </w:rPr>
        <w:t>հայ</w:t>
      </w:r>
      <w:r w:rsidRPr="007955BB">
        <w:rPr>
          <w:b w:val="0"/>
          <w:noProof/>
          <w:szCs w:val="22"/>
          <w:lang w:val="af-ZA"/>
        </w:rPr>
        <w:t xml:space="preserve"> </w:t>
      </w:r>
      <w:r w:rsidRPr="007955BB">
        <w:rPr>
          <w:b w:val="0"/>
          <w:noProof/>
          <w:szCs w:val="22"/>
        </w:rPr>
        <w:t>ճարտարապետության</w:t>
      </w:r>
      <w:r w:rsidRPr="007955BB">
        <w:rPr>
          <w:b w:val="0"/>
          <w:noProof/>
          <w:szCs w:val="22"/>
          <w:lang w:val="af-ZA"/>
        </w:rPr>
        <w:t xml:space="preserve">, </w:t>
      </w:r>
      <w:r w:rsidRPr="007955BB">
        <w:rPr>
          <w:b w:val="0"/>
          <w:noProof/>
          <w:szCs w:val="22"/>
        </w:rPr>
        <w:t>մշակույթին</w:t>
      </w:r>
      <w:r w:rsidRPr="007955BB">
        <w:rPr>
          <w:b w:val="0"/>
          <w:noProof/>
          <w:szCs w:val="22"/>
          <w:lang w:val="af-ZA"/>
        </w:rPr>
        <w:t xml:space="preserve"> </w:t>
      </w:r>
      <w:r w:rsidRPr="007955BB">
        <w:rPr>
          <w:b w:val="0"/>
          <w:noProof/>
          <w:szCs w:val="22"/>
        </w:rPr>
        <w:t>և</w:t>
      </w:r>
      <w:r w:rsidRPr="007955BB">
        <w:rPr>
          <w:b w:val="0"/>
          <w:noProof/>
          <w:szCs w:val="22"/>
          <w:lang w:val="af-ZA"/>
        </w:rPr>
        <w:t xml:space="preserve"> </w:t>
      </w:r>
      <w:r w:rsidRPr="007955BB">
        <w:rPr>
          <w:b w:val="0"/>
          <w:noProof/>
          <w:szCs w:val="22"/>
        </w:rPr>
        <w:t>պատմությանն</w:t>
      </w:r>
      <w:r w:rsidRPr="007955BB">
        <w:rPr>
          <w:b w:val="0"/>
          <w:noProof/>
          <w:szCs w:val="22"/>
          <w:lang w:val="af-ZA"/>
        </w:rPr>
        <w:t xml:space="preserve"> </w:t>
      </w:r>
      <w:r w:rsidRPr="007955BB">
        <w:rPr>
          <w:b w:val="0"/>
          <w:noProof/>
          <w:szCs w:val="22"/>
        </w:rPr>
        <w:t>առնչվող</w:t>
      </w:r>
      <w:r w:rsidRPr="007955BB">
        <w:rPr>
          <w:b w:val="0"/>
          <w:noProof/>
          <w:szCs w:val="22"/>
          <w:lang w:val="af-ZA"/>
        </w:rPr>
        <w:t xml:space="preserve"> </w:t>
      </w:r>
      <w:r w:rsidRPr="007955BB">
        <w:rPr>
          <w:b w:val="0"/>
          <w:noProof/>
          <w:szCs w:val="22"/>
        </w:rPr>
        <w:t>հուշարձանների</w:t>
      </w:r>
      <w:r w:rsidRPr="007955BB">
        <w:rPr>
          <w:b w:val="0"/>
          <w:noProof/>
          <w:szCs w:val="22"/>
          <w:lang w:val="af-ZA"/>
        </w:rPr>
        <w:t xml:space="preserve"> </w:t>
      </w:r>
      <w:r w:rsidRPr="007955BB">
        <w:rPr>
          <w:b w:val="0"/>
          <w:noProof/>
          <w:szCs w:val="22"/>
        </w:rPr>
        <w:t>ուսումնասիրմանը</w:t>
      </w:r>
      <w:r w:rsidRPr="007955BB">
        <w:rPr>
          <w:b w:val="0"/>
          <w:noProof/>
          <w:szCs w:val="22"/>
          <w:lang w:val="af-ZA"/>
        </w:rPr>
        <w:t xml:space="preserve"> </w:t>
      </w:r>
      <w:r w:rsidRPr="007955BB">
        <w:rPr>
          <w:b w:val="0"/>
          <w:noProof/>
          <w:szCs w:val="22"/>
        </w:rPr>
        <w:t>և</w:t>
      </w:r>
      <w:r w:rsidRPr="007955BB">
        <w:rPr>
          <w:b w:val="0"/>
          <w:noProof/>
          <w:szCs w:val="22"/>
          <w:lang w:val="af-ZA"/>
        </w:rPr>
        <w:t xml:space="preserve"> </w:t>
      </w:r>
      <w:r w:rsidRPr="007955BB">
        <w:rPr>
          <w:b w:val="0"/>
          <w:noProof/>
          <w:szCs w:val="22"/>
        </w:rPr>
        <w:t>պահպանմանը</w:t>
      </w:r>
      <w:r w:rsidRPr="007955BB">
        <w:rPr>
          <w:b w:val="0"/>
          <w:noProof/>
          <w:szCs w:val="22"/>
          <w:lang w:val="af-ZA"/>
        </w:rPr>
        <w:t xml:space="preserve">, </w:t>
      </w:r>
      <w:r w:rsidRPr="007955BB">
        <w:rPr>
          <w:b w:val="0"/>
          <w:noProof/>
          <w:szCs w:val="22"/>
        </w:rPr>
        <w:t>հուշարձանների</w:t>
      </w:r>
      <w:r w:rsidRPr="007955BB">
        <w:rPr>
          <w:b w:val="0"/>
          <w:noProof/>
          <w:szCs w:val="22"/>
          <w:lang w:val="af-ZA"/>
        </w:rPr>
        <w:t xml:space="preserve"> </w:t>
      </w:r>
      <w:r w:rsidRPr="007955BB">
        <w:rPr>
          <w:b w:val="0"/>
          <w:noProof/>
          <w:szCs w:val="22"/>
        </w:rPr>
        <w:t>ամրակայմանը</w:t>
      </w:r>
      <w:r w:rsidRPr="007955BB">
        <w:rPr>
          <w:b w:val="0"/>
          <w:noProof/>
          <w:szCs w:val="22"/>
          <w:lang w:val="af-ZA"/>
        </w:rPr>
        <w:t xml:space="preserve">, </w:t>
      </w:r>
      <w:r w:rsidRPr="007955BB">
        <w:rPr>
          <w:b w:val="0"/>
          <w:noProof/>
          <w:szCs w:val="22"/>
        </w:rPr>
        <w:t>նորոգմանը</w:t>
      </w:r>
      <w:r w:rsidRPr="007955BB">
        <w:rPr>
          <w:b w:val="0"/>
          <w:noProof/>
          <w:szCs w:val="22"/>
          <w:lang w:val="af-ZA"/>
        </w:rPr>
        <w:t xml:space="preserve">, </w:t>
      </w:r>
      <w:r w:rsidRPr="007955BB">
        <w:rPr>
          <w:b w:val="0"/>
          <w:noProof/>
          <w:szCs w:val="22"/>
        </w:rPr>
        <w:t>վերականգնմանը</w:t>
      </w:r>
      <w:r w:rsidRPr="007955BB">
        <w:rPr>
          <w:b w:val="0"/>
          <w:noProof/>
          <w:szCs w:val="22"/>
          <w:lang w:val="af-ZA"/>
        </w:rPr>
        <w:t xml:space="preserve"> (</w:t>
      </w:r>
      <w:r w:rsidRPr="007955BB">
        <w:rPr>
          <w:b w:val="0"/>
          <w:noProof/>
          <w:szCs w:val="22"/>
        </w:rPr>
        <w:t>ամրակայված</w:t>
      </w:r>
      <w:r w:rsidRPr="007955BB">
        <w:rPr>
          <w:b w:val="0"/>
          <w:noProof/>
          <w:szCs w:val="22"/>
          <w:lang w:val="af-ZA"/>
        </w:rPr>
        <w:t xml:space="preserve">, </w:t>
      </w:r>
      <w:r w:rsidRPr="007955BB">
        <w:rPr>
          <w:b w:val="0"/>
          <w:noProof/>
          <w:szCs w:val="22"/>
        </w:rPr>
        <w:t>նորոգված</w:t>
      </w:r>
      <w:r w:rsidRPr="007955BB">
        <w:rPr>
          <w:b w:val="0"/>
          <w:noProof/>
          <w:szCs w:val="22"/>
          <w:lang w:val="af-ZA"/>
        </w:rPr>
        <w:t xml:space="preserve"> </w:t>
      </w:r>
      <w:r w:rsidRPr="007955BB">
        <w:rPr>
          <w:b w:val="0"/>
          <w:noProof/>
          <w:szCs w:val="22"/>
        </w:rPr>
        <w:t>և</w:t>
      </w:r>
      <w:r w:rsidRPr="007955BB">
        <w:rPr>
          <w:b w:val="0"/>
          <w:noProof/>
          <w:szCs w:val="22"/>
          <w:lang w:val="af-ZA"/>
        </w:rPr>
        <w:t xml:space="preserve"> </w:t>
      </w:r>
      <w:r w:rsidRPr="007955BB">
        <w:rPr>
          <w:b w:val="0"/>
          <w:noProof/>
          <w:szCs w:val="22"/>
        </w:rPr>
        <w:t>վերականգնված</w:t>
      </w:r>
      <w:r w:rsidRPr="007955BB">
        <w:rPr>
          <w:b w:val="0"/>
          <w:noProof/>
          <w:szCs w:val="22"/>
          <w:lang w:val="af-ZA"/>
        </w:rPr>
        <w:t xml:space="preserve"> </w:t>
      </w:r>
      <w:r w:rsidRPr="007955BB">
        <w:rPr>
          <w:b w:val="0"/>
          <w:noProof/>
          <w:szCs w:val="22"/>
        </w:rPr>
        <w:t>հուշարձանների</w:t>
      </w:r>
      <w:r w:rsidRPr="007955BB">
        <w:rPr>
          <w:b w:val="0"/>
          <w:noProof/>
          <w:szCs w:val="22"/>
          <w:lang w:val="af-ZA"/>
        </w:rPr>
        <w:t xml:space="preserve"> </w:t>
      </w:r>
      <w:r w:rsidRPr="007955BB">
        <w:rPr>
          <w:b w:val="0"/>
          <w:noProof/>
          <w:szCs w:val="22"/>
          <w:lang w:val="en-US"/>
        </w:rPr>
        <w:t>տոկոսը</w:t>
      </w:r>
      <w:r w:rsidRPr="007955BB">
        <w:rPr>
          <w:b w:val="0"/>
          <w:noProof/>
          <w:szCs w:val="22"/>
          <w:lang w:val="af-ZA"/>
        </w:rPr>
        <w:t xml:space="preserve"> </w:t>
      </w:r>
      <w:r w:rsidRPr="007955BB">
        <w:rPr>
          <w:b w:val="0"/>
          <w:noProof/>
          <w:szCs w:val="22"/>
        </w:rPr>
        <w:t>ընդամենի</w:t>
      </w:r>
      <w:r w:rsidRPr="007955BB">
        <w:rPr>
          <w:b w:val="0"/>
          <w:noProof/>
          <w:szCs w:val="22"/>
          <w:lang w:val="af-ZA"/>
        </w:rPr>
        <w:t xml:space="preserve"> </w:t>
      </w:r>
      <w:r w:rsidRPr="007955BB">
        <w:rPr>
          <w:b w:val="0"/>
          <w:noProof/>
          <w:szCs w:val="22"/>
        </w:rPr>
        <w:t>նկատմամբ</w:t>
      </w:r>
      <w:r w:rsidRPr="007955BB">
        <w:rPr>
          <w:b w:val="0"/>
          <w:noProof/>
          <w:szCs w:val="22"/>
          <w:lang w:val="af-ZA"/>
        </w:rPr>
        <w:t xml:space="preserve"> </w:t>
      </w:r>
      <w:r w:rsidRPr="007955BB">
        <w:rPr>
          <w:b w:val="0"/>
          <w:noProof/>
          <w:szCs w:val="22"/>
        </w:rPr>
        <w:t>նախատեսվում</w:t>
      </w:r>
      <w:r w:rsidRPr="007955BB">
        <w:rPr>
          <w:b w:val="0"/>
          <w:noProof/>
          <w:szCs w:val="22"/>
          <w:lang w:val="af-ZA"/>
        </w:rPr>
        <w:t xml:space="preserve"> </w:t>
      </w:r>
      <w:r w:rsidRPr="007955BB">
        <w:rPr>
          <w:b w:val="0"/>
          <w:noProof/>
          <w:szCs w:val="22"/>
        </w:rPr>
        <w:t>է</w:t>
      </w:r>
      <w:r w:rsidRPr="007955BB">
        <w:rPr>
          <w:b w:val="0"/>
          <w:noProof/>
          <w:szCs w:val="22"/>
          <w:lang w:val="af-ZA"/>
        </w:rPr>
        <w:t xml:space="preserve"> 0.0</w:t>
      </w:r>
      <w:r w:rsidRPr="007955BB">
        <w:rPr>
          <w:b w:val="0"/>
          <w:noProof/>
          <w:szCs w:val="22"/>
          <w:lang w:val="hy-AM"/>
        </w:rPr>
        <w:t>7</w:t>
      </w:r>
      <w:r w:rsidRPr="007955BB">
        <w:rPr>
          <w:b w:val="0"/>
          <w:noProof/>
          <w:szCs w:val="22"/>
          <w:lang w:val="af-ZA"/>
        </w:rPr>
        <w:t xml:space="preserve">%, </w:t>
      </w:r>
      <w:r w:rsidRPr="007955BB">
        <w:rPr>
          <w:b w:val="0"/>
          <w:noProof/>
          <w:szCs w:val="22"/>
        </w:rPr>
        <w:t>ուսումնասիրված</w:t>
      </w:r>
      <w:r w:rsidRPr="007955BB">
        <w:rPr>
          <w:b w:val="0"/>
          <w:noProof/>
          <w:szCs w:val="22"/>
          <w:lang w:val="af-ZA"/>
        </w:rPr>
        <w:t xml:space="preserve">, </w:t>
      </w:r>
      <w:r w:rsidRPr="007955BB">
        <w:rPr>
          <w:b w:val="0"/>
          <w:noProof/>
          <w:szCs w:val="22"/>
        </w:rPr>
        <w:t>նախագծված</w:t>
      </w:r>
      <w:r w:rsidRPr="007955BB">
        <w:rPr>
          <w:b w:val="0"/>
          <w:noProof/>
          <w:szCs w:val="22"/>
          <w:lang w:val="af-ZA"/>
        </w:rPr>
        <w:t xml:space="preserve"> </w:t>
      </w:r>
      <w:r w:rsidRPr="007955BB">
        <w:rPr>
          <w:b w:val="0"/>
          <w:noProof/>
          <w:szCs w:val="22"/>
        </w:rPr>
        <w:t>հուշարձանների</w:t>
      </w:r>
      <w:r w:rsidRPr="007955BB">
        <w:rPr>
          <w:b w:val="0"/>
          <w:noProof/>
          <w:szCs w:val="22"/>
          <w:lang w:val="af-ZA"/>
        </w:rPr>
        <w:t xml:space="preserve"> </w:t>
      </w:r>
      <w:r w:rsidRPr="007955BB">
        <w:rPr>
          <w:b w:val="0"/>
          <w:noProof/>
          <w:szCs w:val="22"/>
          <w:lang w:val="en-US"/>
        </w:rPr>
        <w:t>տոկոսը</w:t>
      </w:r>
      <w:r w:rsidRPr="007955BB">
        <w:rPr>
          <w:b w:val="0"/>
          <w:noProof/>
          <w:szCs w:val="22"/>
          <w:lang w:val="af-ZA"/>
        </w:rPr>
        <w:t xml:space="preserve"> </w:t>
      </w:r>
      <w:r w:rsidRPr="007955BB">
        <w:rPr>
          <w:b w:val="0"/>
          <w:noProof/>
          <w:szCs w:val="22"/>
        </w:rPr>
        <w:t>ընդամենի</w:t>
      </w:r>
      <w:r w:rsidRPr="007955BB">
        <w:rPr>
          <w:b w:val="0"/>
          <w:noProof/>
          <w:szCs w:val="22"/>
          <w:lang w:val="af-ZA"/>
        </w:rPr>
        <w:t xml:space="preserve"> </w:t>
      </w:r>
      <w:r w:rsidRPr="007955BB">
        <w:rPr>
          <w:b w:val="0"/>
          <w:noProof/>
          <w:szCs w:val="22"/>
        </w:rPr>
        <w:t>մեջ՝</w:t>
      </w:r>
      <w:r w:rsidRPr="007955BB">
        <w:rPr>
          <w:b w:val="0"/>
          <w:noProof/>
          <w:szCs w:val="22"/>
          <w:lang w:val="af-ZA"/>
        </w:rPr>
        <w:t xml:space="preserve"> 0.0</w:t>
      </w:r>
      <w:r w:rsidRPr="007955BB">
        <w:rPr>
          <w:b w:val="0"/>
          <w:noProof/>
          <w:szCs w:val="22"/>
          <w:lang w:val="hy-AM"/>
        </w:rPr>
        <w:t>6</w:t>
      </w:r>
      <w:r w:rsidRPr="007955BB">
        <w:rPr>
          <w:b w:val="0"/>
          <w:noProof/>
          <w:szCs w:val="22"/>
          <w:lang w:val="af-ZA"/>
        </w:rPr>
        <w:t xml:space="preserve">%, </w:t>
      </w:r>
      <w:r w:rsidRPr="007955BB">
        <w:rPr>
          <w:b w:val="0"/>
          <w:noProof/>
          <w:szCs w:val="22"/>
        </w:rPr>
        <w:t>թանգարանային</w:t>
      </w:r>
      <w:r w:rsidRPr="007955BB">
        <w:rPr>
          <w:b w:val="0"/>
          <w:noProof/>
          <w:szCs w:val="22"/>
          <w:lang w:val="af-ZA"/>
        </w:rPr>
        <w:t xml:space="preserve"> </w:t>
      </w:r>
      <w:r w:rsidRPr="007955BB">
        <w:rPr>
          <w:b w:val="0"/>
          <w:noProof/>
          <w:szCs w:val="22"/>
        </w:rPr>
        <w:t>հավաքածուների</w:t>
      </w:r>
      <w:r w:rsidRPr="007955BB">
        <w:rPr>
          <w:b w:val="0"/>
          <w:noProof/>
          <w:szCs w:val="22"/>
          <w:lang w:val="af-ZA"/>
        </w:rPr>
        <w:t xml:space="preserve"> </w:t>
      </w:r>
      <w:r w:rsidRPr="007955BB">
        <w:rPr>
          <w:b w:val="0"/>
          <w:noProof/>
          <w:szCs w:val="22"/>
        </w:rPr>
        <w:t>և</w:t>
      </w:r>
      <w:r w:rsidRPr="007955BB">
        <w:rPr>
          <w:b w:val="0"/>
          <w:noProof/>
          <w:szCs w:val="22"/>
          <w:lang w:val="af-ZA"/>
        </w:rPr>
        <w:t xml:space="preserve"> </w:t>
      </w:r>
      <w:r w:rsidRPr="007955BB">
        <w:rPr>
          <w:b w:val="0"/>
          <w:noProof/>
          <w:szCs w:val="22"/>
        </w:rPr>
        <w:t>ոչ</w:t>
      </w:r>
      <w:r w:rsidRPr="007955BB">
        <w:rPr>
          <w:b w:val="0"/>
          <w:noProof/>
          <w:szCs w:val="22"/>
          <w:lang w:val="af-ZA"/>
        </w:rPr>
        <w:t xml:space="preserve"> </w:t>
      </w:r>
      <w:r w:rsidRPr="007955BB">
        <w:rPr>
          <w:b w:val="0"/>
          <w:noProof/>
          <w:szCs w:val="22"/>
        </w:rPr>
        <w:t>նյութական</w:t>
      </w:r>
      <w:r w:rsidRPr="007955BB">
        <w:rPr>
          <w:b w:val="0"/>
          <w:noProof/>
          <w:szCs w:val="22"/>
          <w:lang w:val="af-ZA"/>
        </w:rPr>
        <w:t xml:space="preserve"> </w:t>
      </w:r>
      <w:r w:rsidRPr="007955BB">
        <w:rPr>
          <w:b w:val="0"/>
          <w:noProof/>
          <w:szCs w:val="22"/>
        </w:rPr>
        <w:t>մշակութային</w:t>
      </w:r>
      <w:r w:rsidRPr="007955BB">
        <w:rPr>
          <w:b w:val="0"/>
          <w:noProof/>
          <w:szCs w:val="22"/>
          <w:lang w:val="af-ZA"/>
        </w:rPr>
        <w:t xml:space="preserve"> </w:t>
      </w:r>
      <w:r w:rsidRPr="007955BB">
        <w:rPr>
          <w:b w:val="0"/>
          <w:noProof/>
          <w:szCs w:val="22"/>
        </w:rPr>
        <w:t>ժառանգության</w:t>
      </w:r>
      <w:r w:rsidRPr="007955BB">
        <w:rPr>
          <w:b w:val="0"/>
          <w:noProof/>
          <w:szCs w:val="22"/>
          <w:lang w:val="af-ZA"/>
        </w:rPr>
        <w:t xml:space="preserve"> </w:t>
      </w:r>
      <w:r w:rsidRPr="007955BB">
        <w:rPr>
          <w:b w:val="0"/>
          <w:noProof/>
          <w:szCs w:val="22"/>
        </w:rPr>
        <w:t>միջազգայնացման</w:t>
      </w:r>
      <w:r w:rsidRPr="007955BB">
        <w:rPr>
          <w:b w:val="0"/>
          <w:noProof/>
          <w:szCs w:val="22"/>
          <w:lang w:val="af-ZA"/>
        </w:rPr>
        <w:t xml:space="preserve"> </w:t>
      </w:r>
      <w:r w:rsidRPr="007955BB">
        <w:rPr>
          <w:b w:val="0"/>
          <w:noProof/>
          <w:szCs w:val="22"/>
        </w:rPr>
        <w:t>նախագծերի</w:t>
      </w:r>
      <w:r w:rsidRPr="007955BB">
        <w:rPr>
          <w:b w:val="0"/>
          <w:noProof/>
          <w:szCs w:val="22"/>
          <w:lang w:val="af-ZA"/>
        </w:rPr>
        <w:t xml:space="preserve"> </w:t>
      </w:r>
      <w:r w:rsidRPr="007955BB">
        <w:rPr>
          <w:b w:val="0"/>
          <w:noProof/>
          <w:szCs w:val="22"/>
        </w:rPr>
        <w:t>քանակը՝</w:t>
      </w:r>
      <w:r w:rsidRPr="007955BB">
        <w:rPr>
          <w:b w:val="0"/>
          <w:noProof/>
          <w:szCs w:val="22"/>
          <w:lang w:val="af-ZA"/>
        </w:rPr>
        <w:t xml:space="preserve"> </w:t>
      </w:r>
      <w:r w:rsidRPr="007955BB">
        <w:rPr>
          <w:b w:val="0"/>
          <w:noProof/>
          <w:szCs w:val="22"/>
          <w:lang w:val="hy-AM"/>
        </w:rPr>
        <w:t>9</w:t>
      </w:r>
      <w:r w:rsidRPr="007955BB">
        <w:rPr>
          <w:b w:val="0"/>
          <w:noProof/>
          <w:szCs w:val="22"/>
          <w:lang w:val="af-ZA"/>
        </w:rPr>
        <w:t>):</w:t>
      </w:r>
    </w:p>
    <w:p w:rsidR="002C6873" w:rsidRPr="007955BB" w:rsidRDefault="002C6873" w:rsidP="002C6873">
      <w:pPr>
        <w:numPr>
          <w:ilvl w:val="12"/>
          <w:numId w:val="0"/>
        </w:numPr>
        <w:tabs>
          <w:tab w:val="left" w:pos="851"/>
        </w:tabs>
        <w:spacing w:line="276" w:lineRule="auto"/>
        <w:ind w:firstLine="540"/>
        <w:rPr>
          <w:b w:val="0"/>
          <w:noProof/>
          <w:szCs w:val="22"/>
          <w:lang w:val="af-ZA"/>
        </w:rPr>
      </w:pPr>
      <w:r w:rsidRPr="007955BB">
        <w:rPr>
          <w:b w:val="0"/>
          <w:noProof/>
          <w:szCs w:val="22"/>
        </w:rPr>
        <w:t>Մշակութային</w:t>
      </w:r>
      <w:r w:rsidRPr="007955BB">
        <w:rPr>
          <w:b w:val="0"/>
          <w:noProof/>
          <w:szCs w:val="22"/>
          <w:lang w:val="af-ZA"/>
        </w:rPr>
        <w:t xml:space="preserve"> </w:t>
      </w:r>
      <w:r w:rsidRPr="007955BB">
        <w:rPr>
          <w:b w:val="0"/>
          <w:noProof/>
          <w:szCs w:val="22"/>
        </w:rPr>
        <w:t>ժառանգության</w:t>
      </w:r>
      <w:r w:rsidRPr="007955BB">
        <w:rPr>
          <w:b w:val="0"/>
          <w:noProof/>
          <w:szCs w:val="22"/>
          <w:lang w:val="af-ZA"/>
        </w:rPr>
        <w:t xml:space="preserve"> </w:t>
      </w:r>
      <w:r w:rsidRPr="007955BB">
        <w:rPr>
          <w:b w:val="0"/>
          <w:noProof/>
          <w:szCs w:val="22"/>
        </w:rPr>
        <w:t>ծրագրի</w:t>
      </w:r>
      <w:r w:rsidRPr="007955BB">
        <w:rPr>
          <w:b w:val="0"/>
          <w:noProof/>
          <w:szCs w:val="22"/>
          <w:lang w:val="af-ZA"/>
        </w:rPr>
        <w:t xml:space="preserve"> </w:t>
      </w:r>
      <w:r w:rsidRPr="007955BB">
        <w:rPr>
          <w:b w:val="0"/>
          <w:noProof/>
          <w:szCs w:val="22"/>
        </w:rPr>
        <w:t>համար</w:t>
      </w:r>
      <w:r w:rsidRPr="007955BB">
        <w:rPr>
          <w:b w:val="0"/>
          <w:noProof/>
          <w:szCs w:val="22"/>
          <w:lang w:val="af-ZA"/>
        </w:rPr>
        <w:t xml:space="preserve"> 202</w:t>
      </w:r>
      <w:r w:rsidRPr="007955BB">
        <w:rPr>
          <w:b w:val="0"/>
          <w:noProof/>
          <w:szCs w:val="22"/>
          <w:lang w:val="hy-AM"/>
        </w:rPr>
        <w:t>3</w:t>
      </w:r>
      <w:r w:rsidRPr="007955BB">
        <w:rPr>
          <w:b w:val="0"/>
          <w:noProof/>
          <w:szCs w:val="22"/>
          <w:lang w:val="af-ZA"/>
        </w:rPr>
        <w:t xml:space="preserve"> թվականին </w:t>
      </w:r>
      <w:r w:rsidRPr="007955BB">
        <w:rPr>
          <w:b w:val="0"/>
          <w:noProof/>
          <w:szCs w:val="22"/>
        </w:rPr>
        <w:t>նախատեսվում</w:t>
      </w:r>
      <w:r w:rsidRPr="007955BB">
        <w:rPr>
          <w:b w:val="0"/>
          <w:noProof/>
          <w:szCs w:val="22"/>
          <w:lang w:val="af-ZA"/>
        </w:rPr>
        <w:t xml:space="preserve"> </w:t>
      </w:r>
      <w:r w:rsidRPr="007955BB">
        <w:rPr>
          <w:b w:val="0"/>
          <w:noProof/>
          <w:szCs w:val="22"/>
        </w:rPr>
        <w:t>է</w:t>
      </w:r>
      <w:r w:rsidRPr="007955BB">
        <w:rPr>
          <w:b w:val="0"/>
          <w:noProof/>
          <w:szCs w:val="22"/>
          <w:lang w:val="af-ZA"/>
        </w:rPr>
        <w:t xml:space="preserve"> </w:t>
      </w:r>
      <w:r w:rsidRPr="007955BB">
        <w:rPr>
          <w:b w:val="0"/>
          <w:noProof/>
          <w:szCs w:val="22"/>
        </w:rPr>
        <w:t>հատկացնել</w:t>
      </w:r>
      <w:r w:rsidRPr="007955BB">
        <w:rPr>
          <w:b w:val="0"/>
          <w:noProof/>
          <w:szCs w:val="22"/>
          <w:lang w:val="af-ZA"/>
        </w:rPr>
        <w:t xml:space="preserve"> </w:t>
      </w:r>
      <w:r w:rsidR="000A357A" w:rsidRPr="007955BB">
        <w:rPr>
          <w:b w:val="0"/>
          <w:noProof/>
          <w:szCs w:val="22"/>
          <w:lang w:val="af-ZA"/>
        </w:rPr>
        <w:t>4</w:t>
      </w:r>
      <w:r w:rsidRPr="007955BB">
        <w:rPr>
          <w:b w:val="0"/>
          <w:noProof/>
          <w:szCs w:val="22"/>
          <w:lang w:val="af-ZA"/>
        </w:rPr>
        <w:t>,</w:t>
      </w:r>
      <w:r w:rsidR="000A357A" w:rsidRPr="007955BB">
        <w:rPr>
          <w:b w:val="0"/>
          <w:noProof/>
          <w:szCs w:val="22"/>
          <w:lang w:val="af-ZA"/>
        </w:rPr>
        <w:t>063</w:t>
      </w:r>
      <w:r w:rsidRPr="007955BB">
        <w:rPr>
          <w:b w:val="0"/>
          <w:noProof/>
          <w:szCs w:val="22"/>
          <w:lang w:val="af-ZA"/>
        </w:rPr>
        <w:t>.</w:t>
      </w:r>
      <w:r w:rsidR="000A357A" w:rsidRPr="007955BB">
        <w:rPr>
          <w:b w:val="0"/>
          <w:noProof/>
          <w:szCs w:val="22"/>
          <w:lang w:val="af-ZA"/>
        </w:rPr>
        <w:t>5</w:t>
      </w:r>
      <w:r w:rsidRPr="007955BB">
        <w:rPr>
          <w:b w:val="0"/>
          <w:noProof/>
          <w:szCs w:val="22"/>
          <w:lang w:val="af-ZA"/>
        </w:rPr>
        <w:t xml:space="preserve"> </w:t>
      </w:r>
      <w:r w:rsidRPr="007955BB">
        <w:rPr>
          <w:b w:val="0"/>
          <w:noProof/>
          <w:szCs w:val="22"/>
        </w:rPr>
        <w:t>մլն</w:t>
      </w:r>
      <w:r w:rsidRPr="007955BB">
        <w:rPr>
          <w:b w:val="0"/>
          <w:noProof/>
          <w:szCs w:val="22"/>
          <w:lang w:val="af-ZA"/>
        </w:rPr>
        <w:t xml:space="preserve"> </w:t>
      </w:r>
      <w:r w:rsidRPr="007955BB">
        <w:rPr>
          <w:b w:val="0"/>
          <w:noProof/>
          <w:szCs w:val="22"/>
        </w:rPr>
        <w:t>դրամ</w:t>
      </w:r>
      <w:r w:rsidRPr="007955BB">
        <w:rPr>
          <w:b w:val="0"/>
          <w:noProof/>
          <w:szCs w:val="22"/>
          <w:lang w:val="af-ZA"/>
        </w:rPr>
        <w:t xml:space="preserve">: </w:t>
      </w:r>
    </w:p>
    <w:p w:rsidR="002C6873" w:rsidRPr="007955BB" w:rsidRDefault="002C6873" w:rsidP="002C6873">
      <w:pPr>
        <w:numPr>
          <w:ilvl w:val="12"/>
          <w:numId w:val="0"/>
        </w:numPr>
        <w:tabs>
          <w:tab w:val="left" w:pos="851"/>
        </w:tabs>
        <w:spacing w:line="276" w:lineRule="auto"/>
        <w:ind w:firstLine="540"/>
        <w:rPr>
          <w:b w:val="0"/>
          <w:noProof/>
          <w:szCs w:val="22"/>
          <w:lang w:val="af-ZA"/>
        </w:rPr>
      </w:pPr>
      <w:r w:rsidRPr="007955BB">
        <w:rPr>
          <w:noProof/>
          <w:szCs w:val="22"/>
          <w:lang w:val="hy-AM"/>
        </w:rPr>
        <w:t>Գրահրատարակչության</w:t>
      </w:r>
      <w:r w:rsidRPr="007955BB">
        <w:rPr>
          <w:noProof/>
          <w:szCs w:val="22"/>
          <w:lang w:val="af-ZA"/>
        </w:rPr>
        <w:t xml:space="preserve"> </w:t>
      </w:r>
      <w:r w:rsidRPr="007955BB">
        <w:rPr>
          <w:noProof/>
          <w:szCs w:val="22"/>
          <w:lang w:val="hy-AM"/>
        </w:rPr>
        <w:t>և</w:t>
      </w:r>
      <w:r w:rsidRPr="007955BB">
        <w:rPr>
          <w:noProof/>
          <w:szCs w:val="22"/>
          <w:lang w:val="af-ZA"/>
        </w:rPr>
        <w:t xml:space="preserve"> </w:t>
      </w:r>
      <w:r w:rsidRPr="007955BB">
        <w:rPr>
          <w:noProof/>
          <w:szCs w:val="22"/>
          <w:lang w:val="hy-AM"/>
        </w:rPr>
        <w:t>գրադարանների</w:t>
      </w:r>
      <w:r w:rsidRPr="007955BB">
        <w:rPr>
          <w:noProof/>
          <w:szCs w:val="22"/>
          <w:lang w:val="af-ZA"/>
        </w:rPr>
        <w:t xml:space="preserve"> </w:t>
      </w:r>
      <w:r w:rsidRPr="007955BB">
        <w:rPr>
          <w:b w:val="0"/>
          <w:noProof/>
          <w:szCs w:val="22"/>
          <w:lang w:val="hy-AM"/>
        </w:rPr>
        <w:t>ծրագրի</w:t>
      </w:r>
      <w:r w:rsidRPr="007955BB">
        <w:rPr>
          <w:b w:val="0"/>
          <w:noProof/>
          <w:szCs w:val="22"/>
          <w:lang w:val="af-ZA"/>
        </w:rPr>
        <w:t xml:space="preserve"> </w:t>
      </w:r>
      <w:r w:rsidRPr="007955BB">
        <w:rPr>
          <w:b w:val="0"/>
          <w:noProof/>
          <w:szCs w:val="22"/>
          <w:lang w:val="hy-AM"/>
        </w:rPr>
        <w:t>նպատակն</w:t>
      </w:r>
      <w:r w:rsidRPr="007955BB">
        <w:rPr>
          <w:b w:val="0"/>
          <w:noProof/>
          <w:szCs w:val="22"/>
          <w:lang w:val="af-ZA"/>
        </w:rPr>
        <w:t xml:space="preserve"> </w:t>
      </w:r>
      <w:r w:rsidRPr="007955BB">
        <w:rPr>
          <w:b w:val="0"/>
          <w:noProof/>
          <w:szCs w:val="22"/>
          <w:lang w:val="hy-AM"/>
        </w:rPr>
        <w:t>է</w:t>
      </w:r>
      <w:r w:rsidRPr="007955BB">
        <w:rPr>
          <w:b w:val="0"/>
          <w:noProof/>
          <w:szCs w:val="22"/>
          <w:lang w:val="af-ZA"/>
        </w:rPr>
        <w:t xml:space="preserve"> </w:t>
      </w:r>
      <w:r w:rsidRPr="007955BB">
        <w:rPr>
          <w:b w:val="0"/>
          <w:noProof/>
          <w:szCs w:val="22"/>
          <w:lang w:val="hy-AM"/>
        </w:rPr>
        <w:t>նպաստել</w:t>
      </w:r>
      <w:r w:rsidRPr="007955BB">
        <w:rPr>
          <w:b w:val="0"/>
          <w:noProof/>
          <w:szCs w:val="22"/>
          <w:lang w:val="af-ZA"/>
        </w:rPr>
        <w:t xml:space="preserve"> </w:t>
      </w:r>
      <w:r w:rsidRPr="007955BB">
        <w:rPr>
          <w:b w:val="0"/>
          <w:noProof/>
          <w:szCs w:val="22"/>
          <w:lang w:val="hy-AM"/>
        </w:rPr>
        <w:t>գրականության</w:t>
      </w:r>
      <w:r w:rsidRPr="007955BB">
        <w:rPr>
          <w:b w:val="0"/>
          <w:noProof/>
          <w:szCs w:val="22"/>
          <w:lang w:val="af-ZA"/>
        </w:rPr>
        <w:t xml:space="preserve"> </w:t>
      </w:r>
      <w:r w:rsidRPr="007955BB">
        <w:rPr>
          <w:b w:val="0"/>
          <w:noProof/>
          <w:szCs w:val="22"/>
          <w:lang w:val="hy-AM"/>
        </w:rPr>
        <w:t>հրատարակմանը</w:t>
      </w:r>
      <w:r w:rsidRPr="007955BB">
        <w:rPr>
          <w:b w:val="0"/>
          <w:noProof/>
          <w:szCs w:val="22"/>
          <w:lang w:val="af-ZA"/>
        </w:rPr>
        <w:t xml:space="preserve">, </w:t>
      </w:r>
      <w:r w:rsidRPr="007955BB">
        <w:rPr>
          <w:b w:val="0"/>
          <w:noProof/>
          <w:szCs w:val="22"/>
          <w:lang w:val="hy-AM"/>
        </w:rPr>
        <w:t>տարածմանը</w:t>
      </w:r>
      <w:r w:rsidRPr="007955BB">
        <w:rPr>
          <w:b w:val="0"/>
          <w:noProof/>
          <w:szCs w:val="22"/>
          <w:lang w:val="af-ZA"/>
        </w:rPr>
        <w:t xml:space="preserve"> </w:t>
      </w:r>
      <w:r w:rsidRPr="007955BB">
        <w:rPr>
          <w:b w:val="0"/>
          <w:noProof/>
          <w:szCs w:val="22"/>
          <w:lang w:val="hy-AM"/>
        </w:rPr>
        <w:t>և</w:t>
      </w:r>
      <w:r w:rsidRPr="007955BB">
        <w:rPr>
          <w:b w:val="0"/>
          <w:noProof/>
          <w:szCs w:val="22"/>
          <w:lang w:val="af-ZA"/>
        </w:rPr>
        <w:t xml:space="preserve"> </w:t>
      </w:r>
      <w:r w:rsidRPr="007955BB">
        <w:rPr>
          <w:b w:val="0"/>
          <w:noProof/>
          <w:szCs w:val="22"/>
          <w:lang w:val="hy-AM"/>
        </w:rPr>
        <w:t>հանրահռչակմանը</w:t>
      </w:r>
      <w:r w:rsidRPr="007955BB">
        <w:rPr>
          <w:b w:val="0"/>
          <w:noProof/>
          <w:szCs w:val="22"/>
          <w:lang w:val="af-ZA"/>
        </w:rPr>
        <w:t>:</w:t>
      </w:r>
    </w:p>
    <w:p w:rsidR="002C6873" w:rsidRPr="007955BB" w:rsidRDefault="002C6873" w:rsidP="002C6873">
      <w:pPr>
        <w:numPr>
          <w:ilvl w:val="12"/>
          <w:numId w:val="0"/>
        </w:numPr>
        <w:tabs>
          <w:tab w:val="left" w:pos="851"/>
        </w:tabs>
        <w:spacing w:line="276" w:lineRule="auto"/>
        <w:ind w:firstLine="540"/>
        <w:rPr>
          <w:b w:val="0"/>
          <w:noProof/>
          <w:szCs w:val="22"/>
          <w:lang w:val="af-ZA"/>
        </w:rPr>
      </w:pPr>
      <w:r w:rsidRPr="007955BB">
        <w:rPr>
          <w:b w:val="0"/>
          <w:noProof/>
          <w:szCs w:val="22"/>
        </w:rPr>
        <w:t>Ծրագրի</w:t>
      </w:r>
      <w:r w:rsidRPr="007955BB">
        <w:rPr>
          <w:b w:val="0"/>
          <w:noProof/>
          <w:szCs w:val="22"/>
          <w:lang w:val="af-ZA"/>
        </w:rPr>
        <w:t xml:space="preserve"> </w:t>
      </w:r>
      <w:r w:rsidRPr="007955BB">
        <w:rPr>
          <w:b w:val="0"/>
          <w:noProof/>
          <w:szCs w:val="22"/>
        </w:rPr>
        <w:t>շրջանակներում</w:t>
      </w:r>
      <w:r w:rsidRPr="007955BB">
        <w:rPr>
          <w:b w:val="0"/>
          <w:noProof/>
          <w:szCs w:val="22"/>
          <w:lang w:val="af-ZA"/>
        </w:rPr>
        <w:t xml:space="preserve"> </w:t>
      </w:r>
      <w:r w:rsidRPr="007955BB">
        <w:rPr>
          <w:b w:val="0"/>
          <w:noProof/>
          <w:szCs w:val="22"/>
        </w:rPr>
        <w:t>հատկացումներն</w:t>
      </w:r>
      <w:r w:rsidRPr="007955BB">
        <w:rPr>
          <w:b w:val="0"/>
          <w:noProof/>
          <w:szCs w:val="22"/>
          <w:lang w:val="af-ZA"/>
        </w:rPr>
        <w:t xml:space="preserve"> </w:t>
      </w:r>
      <w:r w:rsidRPr="007955BB">
        <w:rPr>
          <w:b w:val="0"/>
          <w:noProof/>
          <w:szCs w:val="22"/>
        </w:rPr>
        <w:t>ուղղվելու</w:t>
      </w:r>
      <w:r w:rsidRPr="007955BB">
        <w:rPr>
          <w:b w:val="0"/>
          <w:noProof/>
          <w:szCs w:val="22"/>
          <w:lang w:val="af-ZA"/>
        </w:rPr>
        <w:t xml:space="preserve"> </w:t>
      </w:r>
      <w:r w:rsidRPr="007955BB">
        <w:rPr>
          <w:b w:val="0"/>
          <w:noProof/>
          <w:szCs w:val="22"/>
        </w:rPr>
        <w:t>են</w:t>
      </w:r>
      <w:r w:rsidRPr="007955BB">
        <w:rPr>
          <w:b w:val="0"/>
          <w:noProof/>
          <w:szCs w:val="22"/>
          <w:lang w:val="af-ZA"/>
        </w:rPr>
        <w:t xml:space="preserve"> </w:t>
      </w:r>
      <w:r w:rsidRPr="007955BB">
        <w:rPr>
          <w:b w:val="0"/>
          <w:noProof/>
          <w:szCs w:val="22"/>
        </w:rPr>
        <w:t>թարգմանական</w:t>
      </w:r>
      <w:r w:rsidRPr="007955BB">
        <w:rPr>
          <w:b w:val="0"/>
          <w:noProof/>
          <w:szCs w:val="22"/>
          <w:lang w:val="af-ZA"/>
        </w:rPr>
        <w:t xml:space="preserve"> </w:t>
      </w:r>
      <w:r w:rsidRPr="007955BB">
        <w:rPr>
          <w:b w:val="0"/>
          <w:noProof/>
          <w:szCs w:val="22"/>
        </w:rPr>
        <w:t>ծրագրերին</w:t>
      </w:r>
      <w:r w:rsidRPr="007955BB">
        <w:rPr>
          <w:b w:val="0"/>
          <w:noProof/>
          <w:szCs w:val="22"/>
          <w:lang w:val="af-ZA"/>
        </w:rPr>
        <w:t xml:space="preserve"> </w:t>
      </w:r>
      <w:r w:rsidRPr="007955BB">
        <w:rPr>
          <w:b w:val="0"/>
          <w:noProof/>
          <w:szCs w:val="22"/>
        </w:rPr>
        <w:t>և</w:t>
      </w:r>
      <w:r w:rsidRPr="007955BB">
        <w:rPr>
          <w:b w:val="0"/>
          <w:noProof/>
          <w:szCs w:val="22"/>
          <w:lang w:val="af-ZA"/>
        </w:rPr>
        <w:t xml:space="preserve"> </w:t>
      </w:r>
      <w:r w:rsidRPr="007955BB">
        <w:rPr>
          <w:b w:val="0"/>
          <w:noProof/>
          <w:szCs w:val="22"/>
        </w:rPr>
        <w:t>ստեղծագործողներին</w:t>
      </w:r>
      <w:r w:rsidRPr="007955BB">
        <w:rPr>
          <w:b w:val="0"/>
          <w:noProof/>
          <w:szCs w:val="22"/>
          <w:lang w:val="af-ZA"/>
        </w:rPr>
        <w:t xml:space="preserve"> </w:t>
      </w:r>
      <w:r w:rsidRPr="007955BB">
        <w:rPr>
          <w:b w:val="0"/>
          <w:noProof/>
          <w:szCs w:val="22"/>
        </w:rPr>
        <w:t>աջակցմանը</w:t>
      </w:r>
      <w:r w:rsidRPr="007955BB">
        <w:rPr>
          <w:b w:val="0"/>
          <w:noProof/>
          <w:szCs w:val="22"/>
          <w:lang w:val="af-ZA"/>
        </w:rPr>
        <w:t xml:space="preserve">, </w:t>
      </w:r>
      <w:r w:rsidRPr="007955BB">
        <w:rPr>
          <w:b w:val="0"/>
          <w:noProof/>
          <w:szCs w:val="22"/>
        </w:rPr>
        <w:t>գրականության</w:t>
      </w:r>
      <w:r w:rsidRPr="007955BB">
        <w:rPr>
          <w:b w:val="0"/>
          <w:noProof/>
          <w:szCs w:val="22"/>
          <w:lang w:val="af-ZA"/>
        </w:rPr>
        <w:t xml:space="preserve"> </w:t>
      </w:r>
      <w:r w:rsidRPr="007955BB">
        <w:rPr>
          <w:b w:val="0"/>
          <w:noProof/>
          <w:szCs w:val="22"/>
        </w:rPr>
        <w:t>և</w:t>
      </w:r>
      <w:r w:rsidRPr="007955BB">
        <w:rPr>
          <w:b w:val="0"/>
          <w:noProof/>
          <w:szCs w:val="22"/>
          <w:lang w:val="af-ZA"/>
        </w:rPr>
        <w:t xml:space="preserve"> </w:t>
      </w:r>
      <w:r w:rsidRPr="007955BB">
        <w:rPr>
          <w:b w:val="0"/>
          <w:noProof/>
          <w:szCs w:val="22"/>
        </w:rPr>
        <w:t>ոչ</w:t>
      </w:r>
      <w:r w:rsidRPr="007955BB">
        <w:rPr>
          <w:b w:val="0"/>
          <w:noProof/>
          <w:szCs w:val="22"/>
          <w:lang w:val="af-ZA"/>
        </w:rPr>
        <w:t xml:space="preserve"> </w:t>
      </w:r>
      <w:r w:rsidRPr="007955BB">
        <w:rPr>
          <w:b w:val="0"/>
          <w:noProof/>
          <w:szCs w:val="22"/>
        </w:rPr>
        <w:t>պետական</w:t>
      </w:r>
      <w:r w:rsidRPr="007955BB">
        <w:rPr>
          <w:b w:val="0"/>
          <w:noProof/>
          <w:szCs w:val="22"/>
          <w:lang w:val="af-ZA"/>
        </w:rPr>
        <w:t xml:space="preserve"> </w:t>
      </w:r>
      <w:r w:rsidRPr="007955BB">
        <w:rPr>
          <w:b w:val="0"/>
          <w:noProof/>
          <w:szCs w:val="22"/>
        </w:rPr>
        <w:t>մամուլի</w:t>
      </w:r>
      <w:r w:rsidRPr="007955BB">
        <w:rPr>
          <w:b w:val="0"/>
          <w:noProof/>
          <w:szCs w:val="22"/>
          <w:lang w:val="af-ZA"/>
        </w:rPr>
        <w:t xml:space="preserve"> </w:t>
      </w:r>
      <w:r w:rsidRPr="007955BB">
        <w:rPr>
          <w:b w:val="0"/>
          <w:noProof/>
          <w:szCs w:val="22"/>
        </w:rPr>
        <w:t>հրատարակմանը</w:t>
      </w:r>
      <w:r w:rsidRPr="007955BB">
        <w:rPr>
          <w:b w:val="0"/>
          <w:noProof/>
          <w:szCs w:val="22"/>
          <w:lang w:val="af-ZA"/>
        </w:rPr>
        <w:t xml:space="preserve">, </w:t>
      </w:r>
      <w:r w:rsidRPr="007955BB">
        <w:rPr>
          <w:b w:val="0"/>
          <w:noProof/>
          <w:szCs w:val="22"/>
        </w:rPr>
        <w:t>գրադարանային</w:t>
      </w:r>
      <w:r w:rsidRPr="007955BB">
        <w:rPr>
          <w:b w:val="0"/>
          <w:noProof/>
          <w:szCs w:val="22"/>
          <w:lang w:val="af-ZA"/>
        </w:rPr>
        <w:t xml:space="preserve"> </w:t>
      </w:r>
      <w:r w:rsidRPr="007955BB">
        <w:rPr>
          <w:b w:val="0"/>
          <w:noProof/>
          <w:szCs w:val="22"/>
        </w:rPr>
        <w:t>ծառայությունների</w:t>
      </w:r>
      <w:r w:rsidRPr="007955BB">
        <w:rPr>
          <w:b w:val="0"/>
          <w:noProof/>
          <w:szCs w:val="22"/>
          <w:lang w:val="af-ZA"/>
        </w:rPr>
        <w:t xml:space="preserve"> </w:t>
      </w:r>
      <w:r w:rsidRPr="007955BB">
        <w:rPr>
          <w:b w:val="0"/>
          <w:noProof/>
          <w:szCs w:val="22"/>
        </w:rPr>
        <w:t>իրականացմանը</w:t>
      </w:r>
      <w:r w:rsidRPr="007955BB">
        <w:rPr>
          <w:b w:val="0"/>
          <w:noProof/>
          <w:szCs w:val="22"/>
          <w:lang w:val="af-ZA"/>
        </w:rPr>
        <w:t xml:space="preserve">, </w:t>
      </w:r>
      <w:r w:rsidRPr="007955BB">
        <w:rPr>
          <w:b w:val="0"/>
          <w:noProof/>
          <w:szCs w:val="22"/>
        </w:rPr>
        <w:t>գրականության</w:t>
      </w:r>
      <w:r w:rsidRPr="007955BB">
        <w:rPr>
          <w:b w:val="0"/>
          <w:noProof/>
          <w:szCs w:val="22"/>
          <w:lang w:val="af-ZA"/>
        </w:rPr>
        <w:t xml:space="preserve"> </w:t>
      </w:r>
      <w:r w:rsidRPr="007955BB">
        <w:rPr>
          <w:b w:val="0"/>
          <w:noProof/>
          <w:szCs w:val="22"/>
        </w:rPr>
        <w:t>հանրահռչակմանը</w:t>
      </w:r>
      <w:r w:rsidRPr="007955BB">
        <w:rPr>
          <w:b w:val="0"/>
          <w:noProof/>
          <w:szCs w:val="22"/>
          <w:lang w:val="af-ZA"/>
        </w:rPr>
        <w:t xml:space="preserve">, </w:t>
      </w:r>
      <w:r w:rsidRPr="007955BB">
        <w:rPr>
          <w:b w:val="0"/>
          <w:noProof/>
          <w:szCs w:val="22"/>
        </w:rPr>
        <w:t>գրական</w:t>
      </w:r>
      <w:r w:rsidRPr="007955BB">
        <w:rPr>
          <w:b w:val="0"/>
          <w:noProof/>
          <w:szCs w:val="22"/>
          <w:lang w:val="af-ZA"/>
        </w:rPr>
        <w:t xml:space="preserve"> </w:t>
      </w:r>
      <w:r w:rsidRPr="007955BB">
        <w:rPr>
          <w:b w:val="0"/>
          <w:noProof/>
          <w:szCs w:val="22"/>
        </w:rPr>
        <w:t>ծրագրերին</w:t>
      </w:r>
      <w:r w:rsidRPr="007955BB">
        <w:rPr>
          <w:b w:val="0"/>
          <w:noProof/>
          <w:szCs w:val="22"/>
          <w:lang w:val="af-ZA"/>
        </w:rPr>
        <w:t xml:space="preserve"> </w:t>
      </w:r>
      <w:r w:rsidRPr="007955BB">
        <w:rPr>
          <w:b w:val="0"/>
          <w:noProof/>
          <w:szCs w:val="22"/>
        </w:rPr>
        <w:t>և</w:t>
      </w:r>
      <w:r w:rsidRPr="007955BB">
        <w:rPr>
          <w:b w:val="0"/>
          <w:noProof/>
          <w:szCs w:val="22"/>
          <w:lang w:val="af-ZA"/>
        </w:rPr>
        <w:t xml:space="preserve"> </w:t>
      </w:r>
      <w:r w:rsidRPr="007955BB">
        <w:rPr>
          <w:b w:val="0"/>
          <w:noProof/>
          <w:szCs w:val="22"/>
        </w:rPr>
        <w:t>գրքերի</w:t>
      </w:r>
      <w:r w:rsidRPr="007955BB">
        <w:rPr>
          <w:b w:val="0"/>
          <w:noProof/>
          <w:szCs w:val="22"/>
          <w:lang w:val="af-ZA"/>
        </w:rPr>
        <w:t xml:space="preserve"> </w:t>
      </w:r>
      <w:r w:rsidRPr="007955BB">
        <w:rPr>
          <w:b w:val="0"/>
          <w:noProof/>
          <w:szCs w:val="22"/>
        </w:rPr>
        <w:t>միջազգային</w:t>
      </w:r>
      <w:r w:rsidRPr="007955BB">
        <w:rPr>
          <w:b w:val="0"/>
          <w:noProof/>
          <w:szCs w:val="22"/>
          <w:lang w:val="af-ZA"/>
        </w:rPr>
        <w:t xml:space="preserve"> </w:t>
      </w:r>
      <w:r w:rsidRPr="007955BB">
        <w:rPr>
          <w:b w:val="0"/>
          <w:noProof/>
          <w:szCs w:val="22"/>
        </w:rPr>
        <w:t>ցուցահանդեսներին</w:t>
      </w:r>
      <w:r w:rsidRPr="007955BB">
        <w:rPr>
          <w:b w:val="0"/>
          <w:noProof/>
          <w:szCs w:val="22"/>
          <w:lang w:val="af-ZA"/>
        </w:rPr>
        <w:t xml:space="preserve"> </w:t>
      </w:r>
      <w:r w:rsidRPr="007955BB">
        <w:rPr>
          <w:b w:val="0"/>
          <w:noProof/>
          <w:szCs w:val="22"/>
        </w:rPr>
        <w:t>մասնակցությանը</w:t>
      </w:r>
      <w:r w:rsidRPr="007955BB">
        <w:rPr>
          <w:b w:val="0"/>
          <w:noProof/>
          <w:szCs w:val="22"/>
          <w:lang w:val="af-ZA"/>
        </w:rPr>
        <w:t xml:space="preserve"> (</w:t>
      </w:r>
      <w:r w:rsidRPr="007955BB">
        <w:rPr>
          <w:b w:val="0"/>
          <w:noProof/>
          <w:szCs w:val="22"/>
        </w:rPr>
        <w:t>թարգմանական</w:t>
      </w:r>
      <w:r w:rsidRPr="007955BB">
        <w:rPr>
          <w:b w:val="0"/>
          <w:noProof/>
          <w:szCs w:val="22"/>
          <w:lang w:val="af-ZA"/>
        </w:rPr>
        <w:t xml:space="preserve"> </w:t>
      </w:r>
      <w:r w:rsidRPr="007955BB">
        <w:rPr>
          <w:b w:val="0"/>
          <w:noProof/>
          <w:szCs w:val="22"/>
        </w:rPr>
        <w:t>ծրագրերի</w:t>
      </w:r>
      <w:r w:rsidRPr="007955BB">
        <w:rPr>
          <w:b w:val="0"/>
          <w:noProof/>
          <w:szCs w:val="22"/>
          <w:lang w:val="af-ZA"/>
        </w:rPr>
        <w:t xml:space="preserve"> </w:t>
      </w:r>
      <w:r w:rsidRPr="007955BB">
        <w:rPr>
          <w:b w:val="0"/>
          <w:noProof/>
          <w:szCs w:val="22"/>
        </w:rPr>
        <w:t>և</w:t>
      </w:r>
      <w:r w:rsidRPr="007955BB">
        <w:rPr>
          <w:b w:val="0"/>
          <w:noProof/>
          <w:szCs w:val="22"/>
          <w:lang w:val="af-ZA"/>
        </w:rPr>
        <w:t xml:space="preserve"> </w:t>
      </w:r>
      <w:r w:rsidRPr="007955BB">
        <w:rPr>
          <w:b w:val="0"/>
          <w:noProof/>
          <w:szCs w:val="22"/>
        </w:rPr>
        <w:t>աջակցություն</w:t>
      </w:r>
      <w:r w:rsidRPr="007955BB">
        <w:rPr>
          <w:b w:val="0"/>
          <w:noProof/>
          <w:szCs w:val="22"/>
          <w:lang w:val="af-ZA"/>
        </w:rPr>
        <w:t xml:space="preserve"> </w:t>
      </w:r>
      <w:r w:rsidRPr="007955BB">
        <w:rPr>
          <w:b w:val="0"/>
          <w:noProof/>
          <w:szCs w:val="22"/>
        </w:rPr>
        <w:t>ստացած</w:t>
      </w:r>
      <w:r w:rsidRPr="007955BB">
        <w:rPr>
          <w:b w:val="0"/>
          <w:noProof/>
          <w:szCs w:val="22"/>
          <w:lang w:val="af-ZA"/>
        </w:rPr>
        <w:t xml:space="preserve"> </w:t>
      </w:r>
      <w:r w:rsidRPr="007955BB">
        <w:rPr>
          <w:b w:val="0"/>
          <w:noProof/>
          <w:szCs w:val="22"/>
        </w:rPr>
        <w:t>ստեղծագործողների</w:t>
      </w:r>
      <w:r w:rsidRPr="007955BB">
        <w:rPr>
          <w:b w:val="0"/>
          <w:noProof/>
          <w:szCs w:val="22"/>
          <w:lang w:val="af-ZA"/>
        </w:rPr>
        <w:t xml:space="preserve"> </w:t>
      </w:r>
      <w:r w:rsidRPr="007955BB">
        <w:rPr>
          <w:b w:val="0"/>
          <w:noProof/>
          <w:szCs w:val="22"/>
        </w:rPr>
        <w:t>ու</w:t>
      </w:r>
      <w:r w:rsidRPr="007955BB">
        <w:rPr>
          <w:b w:val="0"/>
          <w:noProof/>
          <w:szCs w:val="22"/>
          <w:lang w:val="af-ZA"/>
        </w:rPr>
        <w:t xml:space="preserve"> </w:t>
      </w:r>
      <w:r w:rsidRPr="007955BB">
        <w:rPr>
          <w:b w:val="0"/>
          <w:noProof/>
          <w:szCs w:val="22"/>
        </w:rPr>
        <w:t>հետազոտողների</w:t>
      </w:r>
      <w:r w:rsidRPr="007955BB">
        <w:rPr>
          <w:b w:val="0"/>
          <w:noProof/>
          <w:szCs w:val="22"/>
          <w:lang w:val="af-ZA"/>
        </w:rPr>
        <w:t xml:space="preserve"> </w:t>
      </w:r>
      <w:r w:rsidRPr="007955BB">
        <w:rPr>
          <w:b w:val="0"/>
          <w:noProof/>
          <w:szCs w:val="22"/>
        </w:rPr>
        <w:t>թիվը</w:t>
      </w:r>
      <w:r w:rsidRPr="007955BB">
        <w:rPr>
          <w:b w:val="0"/>
          <w:noProof/>
          <w:szCs w:val="22"/>
          <w:lang w:val="af-ZA"/>
        </w:rPr>
        <w:t xml:space="preserve"> </w:t>
      </w:r>
      <w:r w:rsidRPr="007955BB">
        <w:rPr>
          <w:b w:val="0"/>
          <w:noProof/>
          <w:szCs w:val="22"/>
        </w:rPr>
        <w:t>նախատեսվում</w:t>
      </w:r>
      <w:r w:rsidRPr="007955BB">
        <w:rPr>
          <w:b w:val="0"/>
          <w:noProof/>
          <w:szCs w:val="22"/>
          <w:lang w:val="af-ZA"/>
        </w:rPr>
        <w:t xml:space="preserve"> </w:t>
      </w:r>
      <w:r w:rsidRPr="007955BB">
        <w:rPr>
          <w:b w:val="0"/>
          <w:noProof/>
          <w:szCs w:val="22"/>
        </w:rPr>
        <w:t>է</w:t>
      </w:r>
      <w:r w:rsidRPr="007955BB">
        <w:rPr>
          <w:b w:val="0"/>
          <w:noProof/>
          <w:szCs w:val="22"/>
          <w:lang w:val="af-ZA"/>
        </w:rPr>
        <w:t xml:space="preserve"> 36, </w:t>
      </w:r>
      <w:r w:rsidRPr="007955BB">
        <w:rPr>
          <w:b w:val="0"/>
          <w:noProof/>
          <w:szCs w:val="22"/>
        </w:rPr>
        <w:t>պետական</w:t>
      </w:r>
      <w:r w:rsidRPr="007955BB">
        <w:rPr>
          <w:b w:val="0"/>
          <w:noProof/>
          <w:szCs w:val="22"/>
          <w:lang w:val="af-ZA"/>
        </w:rPr>
        <w:t xml:space="preserve"> </w:t>
      </w:r>
      <w:r w:rsidRPr="007955BB">
        <w:rPr>
          <w:b w:val="0"/>
          <w:noProof/>
          <w:szCs w:val="22"/>
        </w:rPr>
        <w:t>աջակցություն</w:t>
      </w:r>
      <w:r w:rsidRPr="007955BB">
        <w:rPr>
          <w:b w:val="0"/>
          <w:noProof/>
          <w:szCs w:val="22"/>
          <w:lang w:val="af-ZA"/>
        </w:rPr>
        <w:t xml:space="preserve"> </w:t>
      </w:r>
      <w:r w:rsidRPr="007955BB">
        <w:rPr>
          <w:b w:val="0"/>
          <w:noProof/>
          <w:szCs w:val="22"/>
        </w:rPr>
        <w:t>ստացող</w:t>
      </w:r>
      <w:r w:rsidRPr="007955BB">
        <w:rPr>
          <w:b w:val="0"/>
          <w:noProof/>
          <w:szCs w:val="22"/>
          <w:lang w:val="af-ZA"/>
        </w:rPr>
        <w:t xml:space="preserve"> </w:t>
      </w:r>
      <w:r w:rsidRPr="007955BB">
        <w:rPr>
          <w:b w:val="0"/>
          <w:noProof/>
          <w:szCs w:val="22"/>
        </w:rPr>
        <w:t>ազգային</w:t>
      </w:r>
      <w:r w:rsidRPr="007955BB">
        <w:rPr>
          <w:b w:val="0"/>
          <w:noProof/>
          <w:szCs w:val="22"/>
          <w:lang w:val="af-ZA"/>
        </w:rPr>
        <w:t xml:space="preserve"> </w:t>
      </w:r>
      <w:r w:rsidRPr="007955BB">
        <w:rPr>
          <w:b w:val="0"/>
          <w:noProof/>
          <w:szCs w:val="22"/>
        </w:rPr>
        <w:t>փոքրամասնությունների</w:t>
      </w:r>
      <w:r w:rsidRPr="007955BB">
        <w:rPr>
          <w:b w:val="0"/>
          <w:noProof/>
          <w:szCs w:val="22"/>
          <w:lang w:val="af-ZA"/>
        </w:rPr>
        <w:t xml:space="preserve">, </w:t>
      </w:r>
      <w:r w:rsidRPr="007955BB">
        <w:rPr>
          <w:b w:val="0"/>
          <w:noProof/>
          <w:szCs w:val="22"/>
        </w:rPr>
        <w:t>գրական</w:t>
      </w:r>
      <w:r w:rsidRPr="007955BB">
        <w:rPr>
          <w:b w:val="0"/>
          <w:noProof/>
          <w:szCs w:val="22"/>
          <w:lang w:val="af-ZA"/>
        </w:rPr>
        <w:t xml:space="preserve">, </w:t>
      </w:r>
      <w:r w:rsidRPr="007955BB">
        <w:rPr>
          <w:b w:val="0"/>
          <w:noProof/>
          <w:szCs w:val="22"/>
        </w:rPr>
        <w:t>մշակութային</w:t>
      </w:r>
      <w:r w:rsidRPr="007955BB">
        <w:rPr>
          <w:b w:val="0"/>
          <w:noProof/>
          <w:szCs w:val="22"/>
          <w:lang w:val="af-ZA"/>
        </w:rPr>
        <w:t xml:space="preserve"> </w:t>
      </w:r>
      <w:r w:rsidRPr="007955BB">
        <w:rPr>
          <w:b w:val="0"/>
          <w:noProof/>
          <w:szCs w:val="22"/>
        </w:rPr>
        <w:t>ոչ</w:t>
      </w:r>
      <w:r w:rsidRPr="007955BB">
        <w:rPr>
          <w:b w:val="0"/>
          <w:noProof/>
          <w:szCs w:val="22"/>
          <w:lang w:val="af-ZA"/>
        </w:rPr>
        <w:t xml:space="preserve"> </w:t>
      </w:r>
      <w:r w:rsidRPr="007955BB">
        <w:rPr>
          <w:b w:val="0"/>
          <w:noProof/>
          <w:szCs w:val="22"/>
        </w:rPr>
        <w:t>պետական</w:t>
      </w:r>
      <w:r w:rsidRPr="007955BB">
        <w:rPr>
          <w:b w:val="0"/>
          <w:noProof/>
          <w:szCs w:val="22"/>
          <w:lang w:val="af-ZA"/>
        </w:rPr>
        <w:t xml:space="preserve"> </w:t>
      </w:r>
      <w:r w:rsidRPr="007955BB">
        <w:rPr>
          <w:b w:val="0"/>
          <w:noProof/>
          <w:szCs w:val="22"/>
        </w:rPr>
        <w:t>լրատվամիջոցների</w:t>
      </w:r>
      <w:r w:rsidRPr="007955BB">
        <w:rPr>
          <w:b w:val="0"/>
          <w:noProof/>
          <w:szCs w:val="22"/>
          <w:lang w:val="af-ZA"/>
        </w:rPr>
        <w:t xml:space="preserve"> </w:t>
      </w:r>
      <w:r w:rsidRPr="007955BB">
        <w:rPr>
          <w:b w:val="0"/>
          <w:noProof/>
          <w:szCs w:val="22"/>
        </w:rPr>
        <w:t>քանակը՝</w:t>
      </w:r>
      <w:r w:rsidRPr="007955BB">
        <w:rPr>
          <w:b w:val="0"/>
          <w:noProof/>
          <w:szCs w:val="22"/>
          <w:lang w:val="af-ZA"/>
        </w:rPr>
        <w:t xml:space="preserve"> 26,</w:t>
      </w:r>
      <w:r w:rsidRPr="007955BB">
        <w:rPr>
          <w:b w:val="0"/>
          <w:lang w:val="af-ZA"/>
        </w:rPr>
        <w:t xml:space="preserve"> </w:t>
      </w:r>
      <w:r w:rsidR="002A3101">
        <w:rPr>
          <w:b w:val="0"/>
          <w:lang w:val="af-ZA"/>
        </w:rPr>
        <w:t>հ</w:t>
      </w:r>
      <w:r w:rsidRPr="007955BB">
        <w:rPr>
          <w:b w:val="0"/>
          <w:noProof/>
          <w:szCs w:val="22"/>
        </w:rPr>
        <w:t>անրապետությունում</w:t>
      </w:r>
      <w:r w:rsidRPr="007955BB">
        <w:rPr>
          <w:b w:val="0"/>
          <w:noProof/>
          <w:szCs w:val="22"/>
          <w:lang w:val="af-ZA"/>
        </w:rPr>
        <w:t xml:space="preserve"> </w:t>
      </w:r>
      <w:r w:rsidRPr="007955BB">
        <w:rPr>
          <w:b w:val="0"/>
          <w:noProof/>
          <w:szCs w:val="22"/>
        </w:rPr>
        <w:t>իրականացվող</w:t>
      </w:r>
      <w:r w:rsidRPr="007955BB">
        <w:rPr>
          <w:b w:val="0"/>
          <w:noProof/>
          <w:szCs w:val="22"/>
          <w:lang w:val="af-ZA"/>
        </w:rPr>
        <w:t xml:space="preserve"> </w:t>
      </w:r>
      <w:r w:rsidRPr="007955BB">
        <w:rPr>
          <w:b w:val="0"/>
          <w:noProof/>
          <w:szCs w:val="22"/>
        </w:rPr>
        <w:t>գրական</w:t>
      </w:r>
      <w:r w:rsidRPr="007955BB">
        <w:rPr>
          <w:b w:val="0"/>
          <w:noProof/>
          <w:szCs w:val="22"/>
          <w:lang w:val="af-ZA"/>
        </w:rPr>
        <w:t xml:space="preserve"> </w:t>
      </w:r>
      <w:r w:rsidRPr="007955BB">
        <w:rPr>
          <w:b w:val="0"/>
          <w:noProof/>
          <w:szCs w:val="22"/>
        </w:rPr>
        <w:t>ծրագրերի</w:t>
      </w:r>
      <w:r w:rsidRPr="007955BB">
        <w:rPr>
          <w:b w:val="0"/>
          <w:noProof/>
          <w:szCs w:val="22"/>
          <w:lang w:val="af-ZA"/>
        </w:rPr>
        <w:t xml:space="preserve"> </w:t>
      </w:r>
      <w:r w:rsidRPr="007955BB">
        <w:rPr>
          <w:b w:val="0"/>
          <w:noProof/>
          <w:szCs w:val="22"/>
        </w:rPr>
        <w:t>և</w:t>
      </w:r>
      <w:r w:rsidRPr="007955BB">
        <w:rPr>
          <w:b w:val="0"/>
          <w:noProof/>
          <w:szCs w:val="22"/>
          <w:lang w:val="af-ZA"/>
        </w:rPr>
        <w:t xml:space="preserve"> </w:t>
      </w:r>
      <w:r w:rsidRPr="007955BB">
        <w:rPr>
          <w:b w:val="0"/>
          <w:noProof/>
          <w:szCs w:val="22"/>
        </w:rPr>
        <w:t>միջազգային</w:t>
      </w:r>
      <w:r w:rsidRPr="007955BB">
        <w:rPr>
          <w:b w:val="0"/>
          <w:noProof/>
          <w:szCs w:val="22"/>
          <w:lang w:val="af-ZA"/>
        </w:rPr>
        <w:t xml:space="preserve"> </w:t>
      </w:r>
      <w:r w:rsidRPr="007955BB">
        <w:rPr>
          <w:b w:val="0"/>
          <w:noProof/>
          <w:szCs w:val="22"/>
        </w:rPr>
        <w:t>ցուցահանդեսներին</w:t>
      </w:r>
      <w:r w:rsidRPr="007955BB">
        <w:rPr>
          <w:b w:val="0"/>
          <w:noProof/>
          <w:szCs w:val="22"/>
          <w:lang w:val="af-ZA"/>
        </w:rPr>
        <w:t xml:space="preserve"> </w:t>
      </w:r>
      <w:r w:rsidRPr="007955BB">
        <w:rPr>
          <w:b w:val="0"/>
          <w:noProof/>
          <w:szCs w:val="22"/>
        </w:rPr>
        <w:t>մասնակցության</w:t>
      </w:r>
      <w:r w:rsidRPr="007955BB">
        <w:rPr>
          <w:b w:val="0"/>
          <w:noProof/>
          <w:szCs w:val="22"/>
          <w:lang w:val="af-ZA"/>
        </w:rPr>
        <w:t xml:space="preserve">  </w:t>
      </w:r>
      <w:r w:rsidRPr="007955BB">
        <w:rPr>
          <w:b w:val="0"/>
          <w:noProof/>
          <w:szCs w:val="22"/>
        </w:rPr>
        <w:t>թիվը՝</w:t>
      </w:r>
      <w:r w:rsidRPr="007955BB">
        <w:rPr>
          <w:b w:val="0"/>
          <w:noProof/>
          <w:szCs w:val="22"/>
          <w:lang w:val="af-ZA"/>
        </w:rPr>
        <w:t xml:space="preserve"> 3):</w:t>
      </w:r>
    </w:p>
    <w:p w:rsidR="002C6873" w:rsidRPr="007955BB" w:rsidRDefault="002C6873" w:rsidP="002C6873">
      <w:pPr>
        <w:numPr>
          <w:ilvl w:val="12"/>
          <w:numId w:val="0"/>
        </w:numPr>
        <w:tabs>
          <w:tab w:val="left" w:pos="851"/>
        </w:tabs>
        <w:spacing w:line="276" w:lineRule="auto"/>
        <w:ind w:firstLine="540"/>
        <w:rPr>
          <w:b w:val="0"/>
          <w:noProof/>
          <w:szCs w:val="22"/>
          <w:lang w:val="af-ZA"/>
        </w:rPr>
      </w:pPr>
      <w:r w:rsidRPr="007955BB">
        <w:rPr>
          <w:b w:val="0"/>
          <w:noProof/>
          <w:szCs w:val="22"/>
        </w:rPr>
        <w:t>Գրահրատարակչության</w:t>
      </w:r>
      <w:r w:rsidRPr="007955BB">
        <w:rPr>
          <w:b w:val="0"/>
          <w:noProof/>
          <w:szCs w:val="22"/>
          <w:lang w:val="af-ZA"/>
        </w:rPr>
        <w:t xml:space="preserve"> </w:t>
      </w:r>
      <w:r w:rsidRPr="007955BB">
        <w:rPr>
          <w:b w:val="0"/>
          <w:noProof/>
          <w:szCs w:val="22"/>
        </w:rPr>
        <w:t>և</w:t>
      </w:r>
      <w:r w:rsidRPr="007955BB">
        <w:rPr>
          <w:b w:val="0"/>
          <w:noProof/>
          <w:szCs w:val="22"/>
          <w:lang w:val="af-ZA"/>
        </w:rPr>
        <w:t xml:space="preserve"> </w:t>
      </w:r>
      <w:r w:rsidRPr="007955BB">
        <w:rPr>
          <w:b w:val="0"/>
          <w:noProof/>
          <w:szCs w:val="22"/>
        </w:rPr>
        <w:t>գրադարանների</w:t>
      </w:r>
      <w:r w:rsidRPr="007955BB">
        <w:rPr>
          <w:b w:val="0"/>
          <w:noProof/>
          <w:szCs w:val="22"/>
          <w:lang w:val="af-ZA"/>
        </w:rPr>
        <w:t xml:space="preserve"> </w:t>
      </w:r>
      <w:r w:rsidRPr="007955BB">
        <w:rPr>
          <w:b w:val="0"/>
          <w:noProof/>
          <w:szCs w:val="22"/>
        </w:rPr>
        <w:t>ծրագրի</w:t>
      </w:r>
      <w:r w:rsidRPr="007955BB">
        <w:rPr>
          <w:b w:val="0"/>
          <w:noProof/>
          <w:szCs w:val="22"/>
          <w:lang w:val="af-ZA"/>
        </w:rPr>
        <w:t xml:space="preserve"> </w:t>
      </w:r>
      <w:r w:rsidRPr="007955BB">
        <w:rPr>
          <w:b w:val="0"/>
          <w:noProof/>
          <w:szCs w:val="22"/>
        </w:rPr>
        <w:t>համար</w:t>
      </w:r>
      <w:r w:rsidRPr="007955BB">
        <w:rPr>
          <w:b w:val="0"/>
          <w:noProof/>
          <w:szCs w:val="22"/>
          <w:lang w:val="af-ZA"/>
        </w:rPr>
        <w:t xml:space="preserve"> 2023 թվականին </w:t>
      </w:r>
      <w:r w:rsidRPr="007955BB">
        <w:rPr>
          <w:b w:val="0"/>
          <w:noProof/>
          <w:szCs w:val="22"/>
        </w:rPr>
        <w:t>նախատեսվում</w:t>
      </w:r>
      <w:r w:rsidRPr="007955BB">
        <w:rPr>
          <w:b w:val="0"/>
          <w:noProof/>
          <w:szCs w:val="22"/>
          <w:lang w:val="af-ZA"/>
        </w:rPr>
        <w:t xml:space="preserve"> </w:t>
      </w:r>
      <w:r w:rsidRPr="007955BB">
        <w:rPr>
          <w:b w:val="0"/>
          <w:noProof/>
          <w:szCs w:val="22"/>
        </w:rPr>
        <w:t>է</w:t>
      </w:r>
      <w:r w:rsidRPr="007955BB">
        <w:rPr>
          <w:b w:val="0"/>
          <w:noProof/>
          <w:szCs w:val="22"/>
          <w:lang w:val="af-ZA"/>
        </w:rPr>
        <w:t xml:space="preserve"> </w:t>
      </w:r>
      <w:r w:rsidRPr="007955BB">
        <w:rPr>
          <w:b w:val="0"/>
          <w:noProof/>
          <w:szCs w:val="22"/>
        </w:rPr>
        <w:t>հատկացնել</w:t>
      </w:r>
      <w:r w:rsidRPr="007955BB">
        <w:rPr>
          <w:b w:val="0"/>
          <w:noProof/>
          <w:szCs w:val="22"/>
          <w:lang w:val="af-ZA"/>
        </w:rPr>
        <w:t xml:space="preserve"> 1,726.3 </w:t>
      </w:r>
      <w:r w:rsidRPr="007955BB">
        <w:rPr>
          <w:b w:val="0"/>
          <w:noProof/>
          <w:szCs w:val="22"/>
        </w:rPr>
        <w:t>մլն</w:t>
      </w:r>
      <w:r w:rsidRPr="007955BB">
        <w:rPr>
          <w:b w:val="0"/>
          <w:noProof/>
          <w:szCs w:val="22"/>
          <w:lang w:val="af-ZA"/>
        </w:rPr>
        <w:t xml:space="preserve"> </w:t>
      </w:r>
      <w:r w:rsidRPr="007955BB">
        <w:rPr>
          <w:b w:val="0"/>
          <w:noProof/>
          <w:szCs w:val="22"/>
        </w:rPr>
        <w:t>դրամ</w:t>
      </w:r>
      <w:r w:rsidRPr="007955BB">
        <w:rPr>
          <w:b w:val="0"/>
          <w:noProof/>
          <w:szCs w:val="22"/>
          <w:lang w:val="af-ZA"/>
        </w:rPr>
        <w:t xml:space="preserve">: </w:t>
      </w:r>
    </w:p>
    <w:p w:rsidR="002C6873" w:rsidRPr="007955BB" w:rsidRDefault="002C6873" w:rsidP="002C6873">
      <w:pPr>
        <w:numPr>
          <w:ilvl w:val="12"/>
          <w:numId w:val="0"/>
        </w:numPr>
        <w:tabs>
          <w:tab w:val="left" w:pos="851"/>
        </w:tabs>
        <w:spacing w:line="276" w:lineRule="auto"/>
        <w:ind w:firstLine="540"/>
        <w:rPr>
          <w:b w:val="0"/>
          <w:noProof/>
          <w:szCs w:val="22"/>
          <w:lang w:val="af-ZA"/>
        </w:rPr>
      </w:pPr>
      <w:r w:rsidRPr="007955BB">
        <w:rPr>
          <w:noProof/>
          <w:szCs w:val="22"/>
          <w:lang w:val="hy-AM"/>
        </w:rPr>
        <w:t>Արվեստների</w:t>
      </w:r>
      <w:r w:rsidRPr="007955BB">
        <w:rPr>
          <w:noProof/>
          <w:szCs w:val="22"/>
          <w:lang w:val="af-ZA"/>
        </w:rPr>
        <w:t xml:space="preserve"> </w:t>
      </w:r>
      <w:r w:rsidRPr="007955BB">
        <w:rPr>
          <w:noProof/>
          <w:szCs w:val="22"/>
          <w:lang w:val="hy-AM"/>
        </w:rPr>
        <w:t>ծրագրի</w:t>
      </w:r>
      <w:r w:rsidRPr="007955BB">
        <w:rPr>
          <w:b w:val="0"/>
          <w:noProof/>
          <w:szCs w:val="22"/>
          <w:lang w:val="af-ZA"/>
        </w:rPr>
        <w:t xml:space="preserve"> </w:t>
      </w:r>
      <w:r w:rsidRPr="007955BB">
        <w:rPr>
          <w:b w:val="0"/>
          <w:noProof/>
          <w:szCs w:val="22"/>
          <w:lang w:val="hy-AM"/>
        </w:rPr>
        <w:t>նպատակն</w:t>
      </w:r>
      <w:r w:rsidRPr="007955BB">
        <w:rPr>
          <w:b w:val="0"/>
          <w:noProof/>
          <w:szCs w:val="22"/>
          <w:lang w:val="af-ZA"/>
        </w:rPr>
        <w:t xml:space="preserve"> </w:t>
      </w:r>
      <w:r w:rsidRPr="007955BB">
        <w:rPr>
          <w:b w:val="0"/>
          <w:noProof/>
          <w:szCs w:val="22"/>
          <w:lang w:val="hy-AM"/>
        </w:rPr>
        <w:t>է</w:t>
      </w:r>
      <w:r w:rsidRPr="007955BB">
        <w:rPr>
          <w:b w:val="0"/>
          <w:noProof/>
          <w:szCs w:val="22"/>
          <w:lang w:val="af-ZA"/>
        </w:rPr>
        <w:t xml:space="preserve"> </w:t>
      </w:r>
      <w:r w:rsidRPr="007955BB">
        <w:rPr>
          <w:b w:val="0"/>
          <w:noProof/>
          <w:szCs w:val="22"/>
          <w:lang w:val="hy-AM"/>
        </w:rPr>
        <w:t>նպաստել</w:t>
      </w:r>
      <w:r w:rsidRPr="007955BB">
        <w:rPr>
          <w:b w:val="0"/>
          <w:noProof/>
          <w:szCs w:val="22"/>
          <w:lang w:val="af-ZA"/>
        </w:rPr>
        <w:t xml:space="preserve"> </w:t>
      </w:r>
      <w:r w:rsidRPr="007955BB">
        <w:rPr>
          <w:b w:val="0"/>
          <w:noProof/>
          <w:szCs w:val="22"/>
          <w:lang w:val="hy-AM"/>
        </w:rPr>
        <w:t>ազգային</w:t>
      </w:r>
      <w:r w:rsidRPr="007955BB">
        <w:rPr>
          <w:b w:val="0"/>
          <w:noProof/>
          <w:szCs w:val="22"/>
          <w:lang w:val="af-ZA"/>
        </w:rPr>
        <w:t xml:space="preserve"> </w:t>
      </w:r>
      <w:r w:rsidRPr="007955BB">
        <w:rPr>
          <w:b w:val="0"/>
          <w:noProof/>
          <w:szCs w:val="22"/>
          <w:lang w:val="hy-AM"/>
        </w:rPr>
        <w:t>հենքի</w:t>
      </w:r>
      <w:r w:rsidRPr="007955BB">
        <w:rPr>
          <w:b w:val="0"/>
          <w:noProof/>
          <w:szCs w:val="22"/>
          <w:lang w:val="af-ZA"/>
        </w:rPr>
        <w:t xml:space="preserve"> </w:t>
      </w:r>
      <w:r w:rsidRPr="007955BB">
        <w:rPr>
          <w:b w:val="0"/>
          <w:noProof/>
          <w:szCs w:val="22"/>
          <w:lang w:val="hy-AM"/>
        </w:rPr>
        <w:t>վրա</w:t>
      </w:r>
      <w:r w:rsidRPr="007955BB">
        <w:rPr>
          <w:b w:val="0"/>
          <w:noProof/>
          <w:szCs w:val="22"/>
          <w:lang w:val="af-ZA"/>
        </w:rPr>
        <w:t xml:space="preserve"> </w:t>
      </w:r>
      <w:r w:rsidRPr="007955BB">
        <w:rPr>
          <w:b w:val="0"/>
          <w:noProof/>
          <w:szCs w:val="22"/>
          <w:lang w:val="hy-AM"/>
        </w:rPr>
        <w:t>ժամանակակից</w:t>
      </w:r>
      <w:r w:rsidRPr="007955BB">
        <w:rPr>
          <w:b w:val="0"/>
          <w:noProof/>
          <w:szCs w:val="22"/>
          <w:lang w:val="af-ZA"/>
        </w:rPr>
        <w:t xml:space="preserve"> </w:t>
      </w:r>
      <w:r w:rsidRPr="007955BB">
        <w:rPr>
          <w:b w:val="0"/>
          <w:noProof/>
          <w:szCs w:val="22"/>
          <w:lang w:val="hy-AM"/>
        </w:rPr>
        <w:t>թատերարվեստի</w:t>
      </w:r>
      <w:r w:rsidRPr="007955BB">
        <w:rPr>
          <w:b w:val="0"/>
          <w:noProof/>
          <w:szCs w:val="22"/>
          <w:lang w:val="af-ZA"/>
        </w:rPr>
        <w:t xml:space="preserve">, </w:t>
      </w:r>
      <w:r w:rsidRPr="007955BB">
        <w:rPr>
          <w:b w:val="0"/>
          <w:noProof/>
          <w:szCs w:val="22"/>
          <w:lang w:val="hy-AM"/>
        </w:rPr>
        <w:t>երաժշտարվեստի</w:t>
      </w:r>
      <w:r w:rsidRPr="007955BB">
        <w:rPr>
          <w:b w:val="0"/>
          <w:noProof/>
          <w:szCs w:val="22"/>
          <w:lang w:val="af-ZA"/>
        </w:rPr>
        <w:t xml:space="preserve">, </w:t>
      </w:r>
      <w:r w:rsidRPr="007955BB">
        <w:rPr>
          <w:b w:val="0"/>
          <w:noProof/>
          <w:szCs w:val="22"/>
          <w:lang w:val="hy-AM"/>
        </w:rPr>
        <w:t>կերպարվեստի</w:t>
      </w:r>
      <w:r w:rsidRPr="007955BB">
        <w:rPr>
          <w:b w:val="0"/>
          <w:noProof/>
          <w:szCs w:val="22"/>
          <w:lang w:val="af-ZA"/>
        </w:rPr>
        <w:t xml:space="preserve"> </w:t>
      </w:r>
      <w:r w:rsidRPr="007955BB">
        <w:rPr>
          <w:b w:val="0"/>
          <w:noProof/>
          <w:szCs w:val="22"/>
          <w:lang w:val="hy-AM"/>
        </w:rPr>
        <w:t>և</w:t>
      </w:r>
      <w:r w:rsidRPr="007955BB">
        <w:rPr>
          <w:b w:val="0"/>
          <w:noProof/>
          <w:szCs w:val="22"/>
          <w:lang w:val="af-ZA"/>
        </w:rPr>
        <w:t xml:space="preserve"> </w:t>
      </w:r>
      <w:r w:rsidRPr="007955BB">
        <w:rPr>
          <w:b w:val="0"/>
          <w:noProof/>
          <w:szCs w:val="22"/>
          <w:lang w:val="hy-AM"/>
        </w:rPr>
        <w:t>պարարվեստի</w:t>
      </w:r>
      <w:r w:rsidRPr="007955BB">
        <w:rPr>
          <w:b w:val="0"/>
          <w:noProof/>
          <w:szCs w:val="22"/>
          <w:lang w:val="af-ZA"/>
        </w:rPr>
        <w:t xml:space="preserve"> </w:t>
      </w:r>
      <w:r w:rsidRPr="007955BB">
        <w:rPr>
          <w:b w:val="0"/>
          <w:noProof/>
          <w:szCs w:val="22"/>
          <w:lang w:val="hy-AM"/>
        </w:rPr>
        <w:t>զարգացմանը</w:t>
      </w:r>
      <w:r w:rsidRPr="007955BB">
        <w:rPr>
          <w:b w:val="0"/>
          <w:noProof/>
          <w:szCs w:val="22"/>
          <w:lang w:val="af-ZA"/>
        </w:rPr>
        <w:t xml:space="preserve"> </w:t>
      </w:r>
      <w:r w:rsidRPr="007955BB">
        <w:rPr>
          <w:b w:val="0"/>
          <w:noProof/>
          <w:szCs w:val="22"/>
          <w:lang w:val="hy-AM"/>
        </w:rPr>
        <w:t>և</w:t>
      </w:r>
      <w:r w:rsidRPr="007955BB">
        <w:rPr>
          <w:b w:val="0"/>
          <w:noProof/>
          <w:szCs w:val="22"/>
          <w:lang w:val="af-ZA"/>
        </w:rPr>
        <w:t xml:space="preserve"> </w:t>
      </w:r>
      <w:r w:rsidRPr="007955BB">
        <w:rPr>
          <w:b w:val="0"/>
          <w:noProof/>
          <w:szCs w:val="22"/>
          <w:lang w:val="hy-AM"/>
        </w:rPr>
        <w:t>հանրահռչակմանը</w:t>
      </w:r>
      <w:r w:rsidRPr="007955BB">
        <w:rPr>
          <w:b w:val="0"/>
          <w:noProof/>
          <w:szCs w:val="22"/>
          <w:lang w:val="af-ZA"/>
        </w:rPr>
        <w:t>:</w:t>
      </w:r>
    </w:p>
    <w:p w:rsidR="002C6873" w:rsidRPr="007955BB" w:rsidRDefault="002C6873" w:rsidP="002C6873">
      <w:pPr>
        <w:numPr>
          <w:ilvl w:val="12"/>
          <w:numId w:val="0"/>
        </w:numPr>
        <w:tabs>
          <w:tab w:val="left" w:pos="851"/>
        </w:tabs>
        <w:spacing w:line="276" w:lineRule="auto"/>
        <w:ind w:firstLine="540"/>
        <w:rPr>
          <w:b w:val="0"/>
          <w:noProof/>
          <w:szCs w:val="22"/>
          <w:lang w:val="af-ZA"/>
        </w:rPr>
      </w:pPr>
      <w:r w:rsidRPr="007955BB">
        <w:rPr>
          <w:b w:val="0"/>
          <w:noProof/>
          <w:szCs w:val="22"/>
        </w:rPr>
        <w:t>Ծրագրի</w:t>
      </w:r>
      <w:r w:rsidRPr="007955BB">
        <w:rPr>
          <w:b w:val="0"/>
          <w:noProof/>
          <w:szCs w:val="22"/>
          <w:lang w:val="af-ZA"/>
        </w:rPr>
        <w:t xml:space="preserve"> </w:t>
      </w:r>
      <w:r w:rsidRPr="007955BB">
        <w:rPr>
          <w:b w:val="0"/>
          <w:noProof/>
          <w:szCs w:val="22"/>
        </w:rPr>
        <w:t>շրջանակներում</w:t>
      </w:r>
      <w:r w:rsidRPr="007955BB">
        <w:rPr>
          <w:b w:val="0"/>
          <w:noProof/>
          <w:szCs w:val="22"/>
          <w:lang w:val="af-ZA"/>
        </w:rPr>
        <w:t xml:space="preserve"> </w:t>
      </w:r>
      <w:r w:rsidRPr="007955BB">
        <w:rPr>
          <w:b w:val="0"/>
          <w:noProof/>
          <w:szCs w:val="22"/>
        </w:rPr>
        <w:t>հատկացումներն</w:t>
      </w:r>
      <w:r w:rsidRPr="007955BB">
        <w:rPr>
          <w:b w:val="0"/>
          <w:noProof/>
          <w:szCs w:val="22"/>
          <w:lang w:val="af-ZA"/>
        </w:rPr>
        <w:t xml:space="preserve"> </w:t>
      </w:r>
      <w:r w:rsidRPr="007955BB">
        <w:rPr>
          <w:b w:val="0"/>
          <w:noProof/>
          <w:szCs w:val="22"/>
        </w:rPr>
        <w:t>ուղղվելու</w:t>
      </w:r>
      <w:r w:rsidRPr="007955BB">
        <w:rPr>
          <w:b w:val="0"/>
          <w:noProof/>
          <w:szCs w:val="22"/>
          <w:lang w:val="af-ZA"/>
        </w:rPr>
        <w:t xml:space="preserve"> </w:t>
      </w:r>
      <w:r w:rsidRPr="007955BB">
        <w:rPr>
          <w:b w:val="0"/>
          <w:noProof/>
          <w:szCs w:val="22"/>
        </w:rPr>
        <w:t>են</w:t>
      </w:r>
      <w:r w:rsidRPr="007955BB">
        <w:rPr>
          <w:b w:val="0"/>
          <w:noProof/>
          <w:szCs w:val="22"/>
          <w:lang w:val="af-ZA"/>
        </w:rPr>
        <w:t xml:space="preserve"> o</w:t>
      </w:r>
      <w:r w:rsidRPr="007955BB">
        <w:rPr>
          <w:b w:val="0"/>
          <w:noProof/>
          <w:szCs w:val="22"/>
        </w:rPr>
        <w:t>պերային</w:t>
      </w:r>
      <w:r w:rsidRPr="007955BB">
        <w:rPr>
          <w:b w:val="0"/>
          <w:noProof/>
          <w:szCs w:val="22"/>
          <w:lang w:val="af-ZA"/>
        </w:rPr>
        <w:t xml:space="preserve"> </w:t>
      </w:r>
      <w:r w:rsidRPr="007955BB">
        <w:rPr>
          <w:b w:val="0"/>
          <w:noProof/>
          <w:szCs w:val="22"/>
        </w:rPr>
        <w:t>և</w:t>
      </w:r>
      <w:r w:rsidRPr="007955BB">
        <w:rPr>
          <w:b w:val="0"/>
          <w:noProof/>
          <w:szCs w:val="22"/>
          <w:lang w:val="af-ZA"/>
        </w:rPr>
        <w:t xml:space="preserve"> </w:t>
      </w:r>
      <w:r w:rsidRPr="007955BB">
        <w:rPr>
          <w:b w:val="0"/>
          <w:noProof/>
          <w:szCs w:val="22"/>
        </w:rPr>
        <w:t>բալետային</w:t>
      </w:r>
      <w:r w:rsidRPr="007955BB">
        <w:rPr>
          <w:b w:val="0"/>
          <w:noProof/>
          <w:szCs w:val="22"/>
          <w:lang w:val="af-ZA"/>
        </w:rPr>
        <w:t xml:space="preserve"> </w:t>
      </w:r>
      <w:r w:rsidRPr="007955BB">
        <w:rPr>
          <w:b w:val="0"/>
          <w:noProof/>
          <w:szCs w:val="22"/>
        </w:rPr>
        <w:t>արվեստի</w:t>
      </w:r>
      <w:r w:rsidRPr="007955BB">
        <w:rPr>
          <w:b w:val="0"/>
          <w:noProof/>
          <w:szCs w:val="22"/>
          <w:lang w:val="af-ZA"/>
        </w:rPr>
        <w:t xml:space="preserve">, </w:t>
      </w:r>
      <w:r w:rsidRPr="007955BB">
        <w:rPr>
          <w:b w:val="0"/>
          <w:noProof/>
          <w:szCs w:val="22"/>
        </w:rPr>
        <w:t>թատերական</w:t>
      </w:r>
      <w:r w:rsidRPr="007955BB">
        <w:rPr>
          <w:b w:val="0"/>
          <w:noProof/>
          <w:szCs w:val="22"/>
          <w:lang w:val="af-ZA"/>
        </w:rPr>
        <w:t xml:space="preserve"> </w:t>
      </w:r>
      <w:r w:rsidRPr="007955BB">
        <w:rPr>
          <w:rFonts w:eastAsia="MS Mincho" w:cs="MS Mincho"/>
          <w:b w:val="0"/>
          <w:kern w:val="16"/>
          <w:szCs w:val="22"/>
        </w:rPr>
        <w:t>ներկայացումների</w:t>
      </w:r>
      <w:r w:rsidRPr="007955BB">
        <w:rPr>
          <w:b w:val="0"/>
          <w:noProof/>
          <w:szCs w:val="22"/>
          <w:lang w:val="af-ZA"/>
        </w:rPr>
        <w:t xml:space="preserve">, </w:t>
      </w:r>
      <w:r w:rsidRPr="007955BB">
        <w:rPr>
          <w:b w:val="0"/>
          <w:noProof/>
          <w:szCs w:val="22"/>
        </w:rPr>
        <w:t>երաժշտարվեստի</w:t>
      </w:r>
      <w:r w:rsidRPr="007955BB">
        <w:rPr>
          <w:b w:val="0"/>
          <w:noProof/>
          <w:szCs w:val="22"/>
          <w:lang w:val="af-ZA"/>
        </w:rPr>
        <w:t xml:space="preserve"> </w:t>
      </w:r>
      <w:r w:rsidRPr="007955BB">
        <w:rPr>
          <w:b w:val="0"/>
          <w:noProof/>
          <w:szCs w:val="22"/>
        </w:rPr>
        <w:t>և</w:t>
      </w:r>
      <w:r w:rsidRPr="007955BB">
        <w:rPr>
          <w:b w:val="0"/>
          <w:noProof/>
          <w:szCs w:val="22"/>
          <w:lang w:val="af-ZA"/>
        </w:rPr>
        <w:t xml:space="preserve"> </w:t>
      </w:r>
      <w:r w:rsidRPr="007955BB">
        <w:rPr>
          <w:b w:val="0"/>
          <w:noProof/>
          <w:szCs w:val="22"/>
        </w:rPr>
        <w:t>պարարվեստի</w:t>
      </w:r>
      <w:r w:rsidRPr="007955BB">
        <w:rPr>
          <w:b w:val="0"/>
          <w:noProof/>
          <w:szCs w:val="22"/>
          <w:lang w:val="af-ZA"/>
        </w:rPr>
        <w:t xml:space="preserve"> </w:t>
      </w:r>
      <w:r w:rsidRPr="007955BB">
        <w:rPr>
          <w:b w:val="0"/>
          <w:noProof/>
          <w:szCs w:val="22"/>
        </w:rPr>
        <w:t>համերգների</w:t>
      </w:r>
      <w:r w:rsidRPr="007955BB">
        <w:rPr>
          <w:b w:val="0"/>
          <w:noProof/>
          <w:szCs w:val="22"/>
          <w:lang w:val="af-ZA"/>
        </w:rPr>
        <w:t xml:space="preserve">, </w:t>
      </w:r>
      <w:r w:rsidRPr="007955BB">
        <w:rPr>
          <w:b w:val="0"/>
          <w:noProof/>
          <w:szCs w:val="22"/>
        </w:rPr>
        <w:t>մշակութային</w:t>
      </w:r>
      <w:r w:rsidRPr="007955BB">
        <w:rPr>
          <w:b w:val="0"/>
          <w:noProof/>
          <w:szCs w:val="22"/>
          <w:lang w:val="af-ZA"/>
        </w:rPr>
        <w:t xml:space="preserve"> </w:t>
      </w:r>
      <w:r w:rsidRPr="007955BB">
        <w:rPr>
          <w:b w:val="0"/>
          <w:noProof/>
          <w:szCs w:val="22"/>
        </w:rPr>
        <w:t>միջոցառումների</w:t>
      </w:r>
      <w:r w:rsidRPr="007955BB">
        <w:rPr>
          <w:b w:val="0"/>
          <w:noProof/>
          <w:szCs w:val="22"/>
          <w:lang w:val="af-ZA"/>
        </w:rPr>
        <w:t xml:space="preserve"> </w:t>
      </w:r>
      <w:r w:rsidRPr="007955BB">
        <w:rPr>
          <w:b w:val="0"/>
          <w:noProof/>
          <w:szCs w:val="22"/>
        </w:rPr>
        <w:t>իրականացմանը</w:t>
      </w:r>
      <w:r w:rsidRPr="007955BB">
        <w:rPr>
          <w:b w:val="0"/>
          <w:noProof/>
          <w:szCs w:val="22"/>
          <w:lang w:val="af-ZA"/>
        </w:rPr>
        <w:t>, «</w:t>
      </w:r>
      <w:r w:rsidRPr="007955BB">
        <w:rPr>
          <w:b w:val="0"/>
          <w:noProof/>
          <w:szCs w:val="22"/>
        </w:rPr>
        <w:t>Ժողովրդական</w:t>
      </w:r>
      <w:r w:rsidRPr="007955BB">
        <w:rPr>
          <w:b w:val="0"/>
          <w:noProof/>
          <w:szCs w:val="22"/>
          <w:lang w:val="af-ZA"/>
        </w:rPr>
        <w:t xml:space="preserve">» </w:t>
      </w:r>
      <w:r w:rsidRPr="007955BB">
        <w:rPr>
          <w:b w:val="0"/>
          <w:noProof/>
          <w:szCs w:val="22"/>
        </w:rPr>
        <w:t>պատվավոր</w:t>
      </w:r>
      <w:r w:rsidRPr="007955BB">
        <w:rPr>
          <w:b w:val="0"/>
          <w:noProof/>
          <w:szCs w:val="22"/>
          <w:lang w:val="af-ZA"/>
        </w:rPr>
        <w:t xml:space="preserve"> </w:t>
      </w:r>
      <w:r w:rsidRPr="007955BB">
        <w:rPr>
          <w:b w:val="0"/>
          <w:noProof/>
          <w:szCs w:val="22"/>
        </w:rPr>
        <w:t>կոչման</w:t>
      </w:r>
      <w:r w:rsidRPr="007955BB">
        <w:rPr>
          <w:b w:val="0"/>
          <w:noProof/>
          <w:szCs w:val="22"/>
          <w:lang w:val="af-ZA"/>
        </w:rPr>
        <w:t xml:space="preserve"> </w:t>
      </w:r>
      <w:r w:rsidRPr="007955BB">
        <w:rPr>
          <w:b w:val="0"/>
          <w:noProof/>
          <w:szCs w:val="22"/>
        </w:rPr>
        <w:t>արժանացած</w:t>
      </w:r>
      <w:r w:rsidRPr="007955BB">
        <w:rPr>
          <w:b w:val="0"/>
          <w:noProof/>
          <w:szCs w:val="22"/>
          <w:lang w:val="af-ZA"/>
        </w:rPr>
        <w:t xml:space="preserve"> </w:t>
      </w:r>
      <w:r w:rsidRPr="007955BB">
        <w:rPr>
          <w:b w:val="0"/>
          <w:noProof/>
          <w:szCs w:val="22"/>
        </w:rPr>
        <w:t>անձանց</w:t>
      </w:r>
      <w:r w:rsidRPr="007955BB">
        <w:rPr>
          <w:b w:val="0"/>
          <w:noProof/>
          <w:szCs w:val="22"/>
          <w:lang w:val="af-ZA"/>
        </w:rPr>
        <w:t xml:space="preserve"> </w:t>
      </w:r>
      <w:r w:rsidRPr="007955BB">
        <w:rPr>
          <w:b w:val="0"/>
          <w:noProof/>
          <w:szCs w:val="22"/>
        </w:rPr>
        <w:t>պատվովճարի</w:t>
      </w:r>
      <w:r w:rsidRPr="007955BB">
        <w:rPr>
          <w:b w:val="0"/>
          <w:noProof/>
          <w:szCs w:val="22"/>
          <w:lang w:val="af-ZA"/>
        </w:rPr>
        <w:t xml:space="preserve"> </w:t>
      </w:r>
      <w:r w:rsidRPr="007955BB">
        <w:rPr>
          <w:b w:val="0"/>
          <w:noProof/>
          <w:szCs w:val="22"/>
        </w:rPr>
        <w:t>հատկացմանը</w:t>
      </w:r>
      <w:r w:rsidRPr="007955BB">
        <w:rPr>
          <w:b w:val="0"/>
          <w:noProof/>
          <w:szCs w:val="22"/>
          <w:lang w:val="af-ZA"/>
        </w:rPr>
        <w:t>,</w:t>
      </w:r>
      <w:r w:rsidRPr="007955BB">
        <w:rPr>
          <w:b w:val="0"/>
          <w:szCs w:val="22"/>
          <w:lang w:val="af-ZA"/>
        </w:rPr>
        <w:t xml:space="preserve"> </w:t>
      </w:r>
      <w:r w:rsidRPr="007955BB">
        <w:rPr>
          <w:b w:val="0"/>
          <w:noProof/>
          <w:szCs w:val="22"/>
        </w:rPr>
        <w:t>թատրոնների</w:t>
      </w:r>
      <w:r w:rsidRPr="007955BB">
        <w:rPr>
          <w:b w:val="0"/>
          <w:noProof/>
          <w:szCs w:val="22"/>
          <w:lang w:val="af-ZA"/>
        </w:rPr>
        <w:t xml:space="preserve"> </w:t>
      </w:r>
      <w:r w:rsidRPr="007955BB">
        <w:rPr>
          <w:b w:val="0"/>
          <w:noProof/>
          <w:szCs w:val="22"/>
        </w:rPr>
        <w:t>շենքերի</w:t>
      </w:r>
      <w:r w:rsidRPr="007955BB">
        <w:rPr>
          <w:b w:val="0"/>
          <w:noProof/>
          <w:szCs w:val="22"/>
          <w:lang w:val="af-ZA"/>
        </w:rPr>
        <w:t xml:space="preserve"> </w:t>
      </w:r>
      <w:r w:rsidRPr="007955BB">
        <w:rPr>
          <w:b w:val="0"/>
          <w:noProof/>
          <w:szCs w:val="22"/>
        </w:rPr>
        <w:t>կապիտալ</w:t>
      </w:r>
      <w:r w:rsidRPr="007955BB">
        <w:rPr>
          <w:b w:val="0"/>
          <w:noProof/>
          <w:szCs w:val="22"/>
          <w:lang w:val="af-ZA"/>
        </w:rPr>
        <w:t xml:space="preserve"> </w:t>
      </w:r>
      <w:r w:rsidRPr="007955BB">
        <w:rPr>
          <w:b w:val="0"/>
          <w:noProof/>
          <w:szCs w:val="22"/>
        </w:rPr>
        <w:t>վերանորոգման</w:t>
      </w:r>
      <w:r w:rsidRPr="007955BB">
        <w:rPr>
          <w:b w:val="0"/>
          <w:noProof/>
          <w:szCs w:val="22"/>
          <w:lang w:val="af-ZA"/>
        </w:rPr>
        <w:t xml:space="preserve"> </w:t>
      </w:r>
      <w:r w:rsidRPr="007955BB">
        <w:rPr>
          <w:b w:val="0"/>
          <w:noProof/>
          <w:szCs w:val="22"/>
        </w:rPr>
        <w:t>համար</w:t>
      </w:r>
      <w:r w:rsidRPr="007955BB">
        <w:rPr>
          <w:b w:val="0"/>
          <w:noProof/>
          <w:szCs w:val="22"/>
          <w:lang w:val="af-ZA"/>
        </w:rPr>
        <w:t xml:space="preserve"> </w:t>
      </w:r>
      <w:r w:rsidRPr="007955BB">
        <w:rPr>
          <w:b w:val="0"/>
          <w:noProof/>
          <w:szCs w:val="22"/>
        </w:rPr>
        <w:t>ներդրումների</w:t>
      </w:r>
      <w:r w:rsidRPr="007955BB">
        <w:rPr>
          <w:b w:val="0"/>
          <w:noProof/>
          <w:szCs w:val="22"/>
          <w:lang w:val="af-ZA"/>
        </w:rPr>
        <w:t xml:space="preserve"> </w:t>
      </w:r>
      <w:r w:rsidRPr="007955BB">
        <w:rPr>
          <w:b w:val="0"/>
          <w:noProof/>
          <w:szCs w:val="22"/>
        </w:rPr>
        <w:t>իրականացմանը</w:t>
      </w:r>
      <w:r w:rsidRPr="007955BB">
        <w:rPr>
          <w:b w:val="0"/>
          <w:noProof/>
          <w:szCs w:val="22"/>
          <w:lang w:val="af-ZA"/>
        </w:rPr>
        <w:t xml:space="preserve"> (</w:t>
      </w:r>
      <w:r w:rsidRPr="007955BB">
        <w:rPr>
          <w:b w:val="0"/>
          <w:noProof/>
          <w:szCs w:val="22"/>
        </w:rPr>
        <w:t>արվեստի</w:t>
      </w:r>
      <w:r w:rsidRPr="007955BB">
        <w:rPr>
          <w:b w:val="0"/>
          <w:noProof/>
          <w:szCs w:val="22"/>
          <w:lang w:val="af-ZA"/>
        </w:rPr>
        <w:t xml:space="preserve"> </w:t>
      </w:r>
      <w:r w:rsidRPr="007955BB">
        <w:rPr>
          <w:b w:val="0"/>
          <w:noProof/>
          <w:szCs w:val="22"/>
        </w:rPr>
        <w:t>տարբեր</w:t>
      </w:r>
      <w:r w:rsidRPr="007955BB">
        <w:rPr>
          <w:b w:val="0"/>
          <w:noProof/>
          <w:szCs w:val="22"/>
          <w:lang w:val="af-ZA"/>
        </w:rPr>
        <w:t xml:space="preserve"> </w:t>
      </w:r>
      <w:r w:rsidRPr="007955BB">
        <w:rPr>
          <w:b w:val="0"/>
          <w:noProof/>
          <w:szCs w:val="22"/>
        </w:rPr>
        <w:t>ոլորտներում</w:t>
      </w:r>
      <w:r w:rsidRPr="007955BB">
        <w:rPr>
          <w:b w:val="0"/>
          <w:noProof/>
          <w:szCs w:val="22"/>
          <w:lang w:val="af-ZA"/>
        </w:rPr>
        <w:t xml:space="preserve"> </w:t>
      </w:r>
      <w:r w:rsidRPr="007955BB">
        <w:rPr>
          <w:b w:val="0"/>
          <w:noProof/>
          <w:szCs w:val="22"/>
        </w:rPr>
        <w:t>ստեղծագործական</w:t>
      </w:r>
      <w:r w:rsidRPr="007955BB">
        <w:rPr>
          <w:b w:val="0"/>
          <w:noProof/>
          <w:szCs w:val="22"/>
          <w:lang w:val="af-ZA"/>
        </w:rPr>
        <w:t xml:space="preserve"> </w:t>
      </w:r>
      <w:r w:rsidR="000B0108">
        <w:rPr>
          <w:b w:val="0"/>
          <w:noProof/>
          <w:szCs w:val="22"/>
          <w:lang w:val="af-ZA"/>
        </w:rPr>
        <w:t>ծրագրերի, հանրապետական և միջազգային փառատոների, մանկապատանեկան մշակութային միջոցառումների</w:t>
      </w:r>
      <w:r w:rsidRPr="007955BB">
        <w:rPr>
          <w:b w:val="0"/>
          <w:noProof/>
          <w:szCs w:val="22"/>
          <w:lang w:val="af-ZA"/>
        </w:rPr>
        <w:t xml:space="preserve"> </w:t>
      </w:r>
      <w:r w:rsidRPr="007955BB">
        <w:rPr>
          <w:b w:val="0"/>
          <w:noProof/>
          <w:szCs w:val="22"/>
        </w:rPr>
        <w:t>քանակը</w:t>
      </w:r>
      <w:r w:rsidRPr="007955BB">
        <w:rPr>
          <w:b w:val="0"/>
          <w:noProof/>
          <w:szCs w:val="22"/>
          <w:lang w:val="af-ZA"/>
        </w:rPr>
        <w:t xml:space="preserve"> </w:t>
      </w:r>
      <w:r w:rsidRPr="007955BB">
        <w:rPr>
          <w:b w:val="0"/>
          <w:noProof/>
          <w:szCs w:val="22"/>
        </w:rPr>
        <w:t>նախատեսվում</w:t>
      </w:r>
      <w:r w:rsidRPr="007955BB">
        <w:rPr>
          <w:b w:val="0"/>
          <w:noProof/>
          <w:szCs w:val="22"/>
          <w:lang w:val="af-ZA"/>
        </w:rPr>
        <w:t xml:space="preserve"> </w:t>
      </w:r>
      <w:r w:rsidRPr="007955BB">
        <w:rPr>
          <w:b w:val="0"/>
          <w:noProof/>
          <w:szCs w:val="22"/>
        </w:rPr>
        <w:t>է</w:t>
      </w:r>
      <w:r w:rsidRPr="007955BB">
        <w:rPr>
          <w:b w:val="0"/>
          <w:noProof/>
          <w:szCs w:val="22"/>
          <w:lang w:val="af-ZA"/>
        </w:rPr>
        <w:t xml:space="preserve"> </w:t>
      </w:r>
      <w:r w:rsidR="00AF3C6A" w:rsidRPr="007955BB">
        <w:rPr>
          <w:b w:val="0"/>
          <w:noProof/>
          <w:szCs w:val="22"/>
          <w:lang w:val="af-ZA"/>
        </w:rPr>
        <w:t>7</w:t>
      </w:r>
      <w:r w:rsidR="000B0108">
        <w:rPr>
          <w:b w:val="0"/>
          <w:noProof/>
          <w:szCs w:val="22"/>
          <w:lang w:val="af-ZA"/>
        </w:rPr>
        <w:t>6</w:t>
      </w:r>
      <w:r w:rsidRPr="007955BB">
        <w:rPr>
          <w:b w:val="0"/>
          <w:noProof/>
          <w:szCs w:val="22"/>
          <w:lang w:val="af-ZA"/>
        </w:rPr>
        <w:t xml:space="preserve">, </w:t>
      </w:r>
      <w:r w:rsidRPr="007955BB">
        <w:rPr>
          <w:b w:val="0"/>
          <w:noProof/>
          <w:szCs w:val="22"/>
        </w:rPr>
        <w:t>արվեստի</w:t>
      </w:r>
      <w:r w:rsidRPr="007955BB">
        <w:rPr>
          <w:b w:val="0"/>
          <w:noProof/>
          <w:szCs w:val="22"/>
          <w:lang w:val="af-ZA"/>
        </w:rPr>
        <w:t xml:space="preserve"> </w:t>
      </w:r>
      <w:r w:rsidRPr="007955BB">
        <w:rPr>
          <w:b w:val="0"/>
          <w:noProof/>
          <w:szCs w:val="22"/>
        </w:rPr>
        <w:t>միջազգային</w:t>
      </w:r>
      <w:r w:rsidRPr="007955BB">
        <w:rPr>
          <w:b w:val="0"/>
          <w:noProof/>
          <w:szCs w:val="22"/>
          <w:lang w:val="af-ZA"/>
        </w:rPr>
        <w:t xml:space="preserve"> </w:t>
      </w:r>
      <w:r w:rsidRPr="007955BB">
        <w:rPr>
          <w:b w:val="0"/>
          <w:noProof/>
          <w:szCs w:val="22"/>
        </w:rPr>
        <w:t>նախագծերին</w:t>
      </w:r>
      <w:r w:rsidRPr="007955BB">
        <w:rPr>
          <w:b w:val="0"/>
          <w:noProof/>
          <w:szCs w:val="22"/>
          <w:lang w:val="af-ZA"/>
        </w:rPr>
        <w:t xml:space="preserve"> </w:t>
      </w:r>
      <w:r w:rsidRPr="007955BB">
        <w:rPr>
          <w:b w:val="0"/>
          <w:noProof/>
          <w:szCs w:val="22"/>
        </w:rPr>
        <w:t>մասնակցող</w:t>
      </w:r>
      <w:r w:rsidRPr="007955BB">
        <w:rPr>
          <w:b w:val="0"/>
          <w:noProof/>
          <w:szCs w:val="22"/>
          <w:lang w:val="af-ZA"/>
        </w:rPr>
        <w:t xml:space="preserve"> </w:t>
      </w:r>
      <w:r w:rsidRPr="007955BB">
        <w:rPr>
          <w:b w:val="0"/>
          <w:noProof/>
          <w:szCs w:val="22"/>
        </w:rPr>
        <w:t>խմբերի</w:t>
      </w:r>
      <w:r w:rsidRPr="007955BB">
        <w:rPr>
          <w:b w:val="0"/>
          <w:noProof/>
          <w:szCs w:val="22"/>
          <w:lang w:val="af-ZA"/>
        </w:rPr>
        <w:t xml:space="preserve"> </w:t>
      </w:r>
      <w:r w:rsidRPr="007955BB">
        <w:rPr>
          <w:b w:val="0"/>
          <w:noProof/>
          <w:szCs w:val="22"/>
        </w:rPr>
        <w:t>թիվը՝</w:t>
      </w:r>
      <w:r w:rsidRPr="007955BB">
        <w:rPr>
          <w:b w:val="0"/>
          <w:noProof/>
          <w:szCs w:val="22"/>
          <w:lang w:val="af-ZA"/>
        </w:rPr>
        <w:t xml:space="preserve"> 11, </w:t>
      </w:r>
      <w:r w:rsidRPr="007955BB">
        <w:rPr>
          <w:b w:val="0"/>
          <w:noProof/>
          <w:szCs w:val="22"/>
        </w:rPr>
        <w:t>իսկ</w:t>
      </w:r>
      <w:r w:rsidRPr="007955BB">
        <w:rPr>
          <w:b w:val="0"/>
          <w:noProof/>
          <w:szCs w:val="22"/>
          <w:lang w:val="af-ZA"/>
        </w:rPr>
        <w:t xml:space="preserve"> </w:t>
      </w:r>
      <w:r w:rsidRPr="007955BB">
        <w:rPr>
          <w:b w:val="0"/>
          <w:noProof/>
          <w:szCs w:val="22"/>
        </w:rPr>
        <w:t>մասնակցող</w:t>
      </w:r>
      <w:r w:rsidRPr="007955BB">
        <w:rPr>
          <w:b w:val="0"/>
          <w:noProof/>
          <w:szCs w:val="22"/>
          <w:lang w:val="af-ZA"/>
        </w:rPr>
        <w:t xml:space="preserve"> </w:t>
      </w:r>
      <w:r w:rsidRPr="007955BB">
        <w:rPr>
          <w:b w:val="0"/>
          <w:noProof/>
          <w:szCs w:val="22"/>
        </w:rPr>
        <w:t>արվեստագետների</w:t>
      </w:r>
      <w:r w:rsidRPr="007955BB">
        <w:rPr>
          <w:b w:val="0"/>
          <w:noProof/>
          <w:szCs w:val="22"/>
          <w:lang w:val="af-ZA"/>
        </w:rPr>
        <w:t xml:space="preserve"> </w:t>
      </w:r>
      <w:r w:rsidRPr="007955BB">
        <w:rPr>
          <w:b w:val="0"/>
          <w:noProof/>
          <w:szCs w:val="22"/>
        </w:rPr>
        <w:t>թիվը՝</w:t>
      </w:r>
      <w:r w:rsidRPr="007955BB">
        <w:rPr>
          <w:b w:val="0"/>
          <w:noProof/>
          <w:szCs w:val="22"/>
          <w:lang w:val="af-ZA"/>
        </w:rPr>
        <w:t xml:space="preserve"> 29, </w:t>
      </w:r>
      <w:r w:rsidR="00AF3C6A" w:rsidRPr="007955BB">
        <w:rPr>
          <w:b w:val="0"/>
          <w:noProof/>
          <w:szCs w:val="22"/>
          <w:lang w:val="en-US"/>
        </w:rPr>
        <w:t>իրականացվող</w:t>
      </w:r>
      <w:r w:rsidR="00AF3C6A" w:rsidRPr="007955BB">
        <w:rPr>
          <w:b w:val="0"/>
          <w:noProof/>
          <w:szCs w:val="22"/>
          <w:lang w:val="af-ZA"/>
        </w:rPr>
        <w:t xml:space="preserve"> </w:t>
      </w:r>
      <w:r w:rsidR="00AF3C6A" w:rsidRPr="007955BB">
        <w:rPr>
          <w:b w:val="0"/>
          <w:noProof/>
          <w:szCs w:val="22"/>
          <w:lang w:val="en-US"/>
        </w:rPr>
        <w:t>հոբելյանների</w:t>
      </w:r>
      <w:r w:rsidRPr="007955BB">
        <w:rPr>
          <w:b w:val="0"/>
          <w:noProof/>
          <w:szCs w:val="22"/>
          <w:lang w:val="af-ZA"/>
        </w:rPr>
        <w:t xml:space="preserve"> </w:t>
      </w:r>
      <w:r w:rsidRPr="007955BB">
        <w:rPr>
          <w:b w:val="0"/>
          <w:noProof/>
          <w:szCs w:val="22"/>
        </w:rPr>
        <w:t>թիվը՝</w:t>
      </w:r>
      <w:r w:rsidRPr="007955BB">
        <w:rPr>
          <w:b w:val="0"/>
          <w:noProof/>
          <w:szCs w:val="22"/>
          <w:lang w:val="af-ZA"/>
        </w:rPr>
        <w:t xml:space="preserve"> </w:t>
      </w:r>
      <w:r w:rsidR="00AF3C6A" w:rsidRPr="007955BB">
        <w:rPr>
          <w:b w:val="0"/>
          <w:noProof/>
          <w:szCs w:val="22"/>
          <w:lang w:val="af-ZA"/>
        </w:rPr>
        <w:t>16</w:t>
      </w:r>
      <w:r w:rsidRPr="007955BB">
        <w:rPr>
          <w:b w:val="0"/>
          <w:noProof/>
          <w:szCs w:val="22"/>
          <w:lang w:val="af-ZA"/>
        </w:rPr>
        <w:t>):</w:t>
      </w:r>
    </w:p>
    <w:p w:rsidR="002C6873" w:rsidRPr="007955BB" w:rsidRDefault="002C6873" w:rsidP="002C6873">
      <w:pPr>
        <w:numPr>
          <w:ilvl w:val="12"/>
          <w:numId w:val="0"/>
        </w:numPr>
        <w:tabs>
          <w:tab w:val="left" w:pos="851"/>
        </w:tabs>
        <w:spacing w:line="276" w:lineRule="auto"/>
        <w:ind w:firstLine="540"/>
        <w:rPr>
          <w:b w:val="0"/>
          <w:noProof/>
          <w:szCs w:val="22"/>
          <w:lang w:val="af-ZA"/>
        </w:rPr>
      </w:pPr>
      <w:r w:rsidRPr="007955BB">
        <w:rPr>
          <w:b w:val="0"/>
          <w:noProof/>
          <w:szCs w:val="22"/>
        </w:rPr>
        <w:t>Արվեստների</w:t>
      </w:r>
      <w:r w:rsidRPr="007955BB">
        <w:rPr>
          <w:b w:val="0"/>
          <w:noProof/>
          <w:szCs w:val="22"/>
          <w:lang w:val="af-ZA"/>
        </w:rPr>
        <w:t xml:space="preserve"> </w:t>
      </w:r>
      <w:r w:rsidRPr="007955BB">
        <w:rPr>
          <w:b w:val="0"/>
          <w:noProof/>
          <w:szCs w:val="22"/>
        </w:rPr>
        <w:t>ծրագրի</w:t>
      </w:r>
      <w:r w:rsidRPr="007955BB">
        <w:rPr>
          <w:b w:val="0"/>
          <w:noProof/>
          <w:szCs w:val="22"/>
          <w:lang w:val="af-ZA"/>
        </w:rPr>
        <w:t xml:space="preserve"> </w:t>
      </w:r>
      <w:r w:rsidRPr="007955BB">
        <w:rPr>
          <w:b w:val="0"/>
          <w:noProof/>
          <w:szCs w:val="22"/>
        </w:rPr>
        <w:t>համար</w:t>
      </w:r>
      <w:r w:rsidRPr="007955BB">
        <w:rPr>
          <w:b w:val="0"/>
          <w:noProof/>
          <w:szCs w:val="22"/>
          <w:lang w:val="af-ZA"/>
        </w:rPr>
        <w:t xml:space="preserve"> 2023 թվականին </w:t>
      </w:r>
      <w:r w:rsidRPr="007955BB">
        <w:rPr>
          <w:b w:val="0"/>
          <w:noProof/>
          <w:szCs w:val="22"/>
        </w:rPr>
        <w:t>նախատեսվում</w:t>
      </w:r>
      <w:r w:rsidRPr="007955BB">
        <w:rPr>
          <w:b w:val="0"/>
          <w:noProof/>
          <w:szCs w:val="22"/>
          <w:lang w:val="af-ZA"/>
        </w:rPr>
        <w:t xml:space="preserve"> </w:t>
      </w:r>
      <w:r w:rsidRPr="007955BB">
        <w:rPr>
          <w:b w:val="0"/>
          <w:noProof/>
          <w:szCs w:val="22"/>
        </w:rPr>
        <w:t>է</w:t>
      </w:r>
      <w:r w:rsidRPr="007955BB">
        <w:rPr>
          <w:b w:val="0"/>
          <w:noProof/>
          <w:szCs w:val="22"/>
          <w:lang w:val="af-ZA"/>
        </w:rPr>
        <w:t xml:space="preserve"> </w:t>
      </w:r>
      <w:r w:rsidRPr="007955BB">
        <w:rPr>
          <w:b w:val="0"/>
          <w:noProof/>
          <w:szCs w:val="22"/>
        </w:rPr>
        <w:t>հատկացնել</w:t>
      </w:r>
      <w:r w:rsidRPr="007955BB">
        <w:rPr>
          <w:b w:val="0"/>
          <w:noProof/>
          <w:szCs w:val="22"/>
          <w:lang w:val="af-ZA"/>
        </w:rPr>
        <w:t xml:space="preserve"> </w:t>
      </w:r>
      <w:r w:rsidRPr="007955BB">
        <w:rPr>
          <w:b w:val="0"/>
          <w:noProof/>
          <w:szCs w:val="22"/>
          <w:lang w:val="hy-AM"/>
        </w:rPr>
        <w:t>9</w:t>
      </w:r>
      <w:r w:rsidRPr="007955BB">
        <w:rPr>
          <w:b w:val="0"/>
          <w:noProof/>
          <w:szCs w:val="22"/>
          <w:lang w:val="af-ZA"/>
        </w:rPr>
        <w:t>,</w:t>
      </w:r>
      <w:r w:rsidR="000B75BE">
        <w:rPr>
          <w:b w:val="0"/>
          <w:noProof/>
          <w:szCs w:val="22"/>
          <w:lang w:val="af-ZA"/>
        </w:rPr>
        <w:t>9</w:t>
      </w:r>
      <w:r w:rsidR="000C17D5" w:rsidRPr="007955BB">
        <w:rPr>
          <w:b w:val="0"/>
          <w:noProof/>
          <w:szCs w:val="22"/>
          <w:lang w:val="af-ZA"/>
        </w:rPr>
        <w:t>48</w:t>
      </w:r>
      <w:r w:rsidRPr="007955BB">
        <w:rPr>
          <w:b w:val="0"/>
          <w:noProof/>
          <w:szCs w:val="22"/>
          <w:lang w:val="af-ZA"/>
        </w:rPr>
        <w:t>.</w:t>
      </w:r>
      <w:r w:rsidR="000C17D5" w:rsidRPr="007955BB">
        <w:rPr>
          <w:b w:val="0"/>
          <w:noProof/>
          <w:szCs w:val="22"/>
          <w:lang w:val="af-ZA"/>
        </w:rPr>
        <w:t>6</w:t>
      </w:r>
      <w:r w:rsidRPr="007955BB">
        <w:rPr>
          <w:b w:val="0"/>
          <w:noProof/>
          <w:szCs w:val="22"/>
          <w:lang w:val="af-ZA"/>
        </w:rPr>
        <w:t xml:space="preserve"> </w:t>
      </w:r>
      <w:r w:rsidRPr="007955BB">
        <w:rPr>
          <w:b w:val="0"/>
          <w:noProof/>
          <w:szCs w:val="22"/>
        </w:rPr>
        <w:t>մլն</w:t>
      </w:r>
      <w:r w:rsidRPr="007955BB">
        <w:rPr>
          <w:b w:val="0"/>
          <w:noProof/>
          <w:szCs w:val="22"/>
          <w:lang w:val="af-ZA"/>
        </w:rPr>
        <w:t xml:space="preserve"> </w:t>
      </w:r>
      <w:r w:rsidRPr="007955BB">
        <w:rPr>
          <w:b w:val="0"/>
          <w:noProof/>
          <w:szCs w:val="22"/>
        </w:rPr>
        <w:t>դրամ</w:t>
      </w:r>
      <w:r w:rsidRPr="007955BB">
        <w:rPr>
          <w:b w:val="0"/>
          <w:noProof/>
          <w:szCs w:val="22"/>
          <w:lang w:val="af-ZA"/>
        </w:rPr>
        <w:t>:</w:t>
      </w:r>
    </w:p>
    <w:p w:rsidR="002C6873" w:rsidRPr="007955BB" w:rsidRDefault="002C6873" w:rsidP="002C6873">
      <w:pPr>
        <w:numPr>
          <w:ilvl w:val="12"/>
          <w:numId w:val="0"/>
        </w:numPr>
        <w:tabs>
          <w:tab w:val="left" w:pos="851"/>
        </w:tabs>
        <w:spacing w:line="276" w:lineRule="auto"/>
        <w:ind w:firstLine="540"/>
        <w:rPr>
          <w:b w:val="0"/>
          <w:noProof/>
          <w:szCs w:val="22"/>
          <w:lang w:val="af-ZA"/>
        </w:rPr>
      </w:pPr>
      <w:r w:rsidRPr="007955BB">
        <w:rPr>
          <w:noProof/>
          <w:szCs w:val="22"/>
          <w:lang w:val="hy-AM"/>
        </w:rPr>
        <w:t>Մարզերի</w:t>
      </w:r>
      <w:r w:rsidRPr="007955BB">
        <w:rPr>
          <w:noProof/>
          <w:szCs w:val="22"/>
          <w:lang w:val="af-ZA"/>
        </w:rPr>
        <w:t xml:space="preserve"> </w:t>
      </w:r>
      <w:r w:rsidRPr="007955BB">
        <w:rPr>
          <w:noProof/>
          <w:szCs w:val="22"/>
          <w:lang w:val="hy-AM"/>
        </w:rPr>
        <w:t>մշակութային</w:t>
      </w:r>
      <w:r w:rsidRPr="007955BB">
        <w:rPr>
          <w:noProof/>
          <w:szCs w:val="22"/>
          <w:lang w:val="af-ZA"/>
        </w:rPr>
        <w:t xml:space="preserve"> </w:t>
      </w:r>
      <w:r w:rsidRPr="007955BB">
        <w:rPr>
          <w:noProof/>
          <w:szCs w:val="22"/>
          <w:lang w:val="hy-AM"/>
        </w:rPr>
        <w:t>զարգացման</w:t>
      </w:r>
      <w:r w:rsidRPr="007955BB">
        <w:rPr>
          <w:noProof/>
          <w:szCs w:val="22"/>
          <w:lang w:val="af-ZA"/>
        </w:rPr>
        <w:t xml:space="preserve"> </w:t>
      </w:r>
      <w:r w:rsidRPr="007955BB">
        <w:rPr>
          <w:b w:val="0"/>
          <w:noProof/>
          <w:szCs w:val="22"/>
          <w:lang w:val="hy-AM"/>
        </w:rPr>
        <w:t>ծրագրի</w:t>
      </w:r>
      <w:r w:rsidRPr="007955BB">
        <w:rPr>
          <w:b w:val="0"/>
          <w:noProof/>
          <w:szCs w:val="22"/>
          <w:lang w:val="af-ZA"/>
        </w:rPr>
        <w:t xml:space="preserve"> </w:t>
      </w:r>
      <w:r w:rsidRPr="007955BB">
        <w:rPr>
          <w:b w:val="0"/>
          <w:noProof/>
          <w:szCs w:val="22"/>
          <w:lang w:val="hy-AM"/>
        </w:rPr>
        <w:t>նպատակն</w:t>
      </w:r>
      <w:r w:rsidRPr="007955BB">
        <w:rPr>
          <w:b w:val="0"/>
          <w:noProof/>
          <w:szCs w:val="22"/>
          <w:lang w:val="af-ZA"/>
        </w:rPr>
        <w:t xml:space="preserve"> </w:t>
      </w:r>
      <w:r w:rsidRPr="007955BB">
        <w:rPr>
          <w:b w:val="0"/>
          <w:noProof/>
          <w:szCs w:val="22"/>
          <w:lang w:val="hy-AM"/>
        </w:rPr>
        <w:t>է</w:t>
      </w:r>
      <w:r w:rsidRPr="007955BB">
        <w:rPr>
          <w:b w:val="0"/>
          <w:noProof/>
          <w:szCs w:val="22"/>
          <w:lang w:val="af-ZA"/>
        </w:rPr>
        <w:t xml:space="preserve"> </w:t>
      </w:r>
      <w:r w:rsidRPr="007955BB">
        <w:rPr>
          <w:b w:val="0"/>
          <w:noProof/>
          <w:szCs w:val="22"/>
          <w:lang w:val="hy-AM"/>
        </w:rPr>
        <w:t>նպաստել</w:t>
      </w:r>
      <w:r w:rsidRPr="007955BB">
        <w:rPr>
          <w:b w:val="0"/>
          <w:noProof/>
          <w:szCs w:val="22"/>
          <w:lang w:val="af-ZA"/>
        </w:rPr>
        <w:t xml:space="preserve"> </w:t>
      </w:r>
      <w:r w:rsidRPr="007955BB">
        <w:rPr>
          <w:b w:val="0"/>
          <w:noProof/>
          <w:szCs w:val="22"/>
          <w:lang w:val="hy-AM"/>
        </w:rPr>
        <w:t>մարզերում</w:t>
      </w:r>
      <w:r w:rsidRPr="007955BB">
        <w:rPr>
          <w:b w:val="0"/>
          <w:noProof/>
          <w:szCs w:val="22"/>
          <w:lang w:val="af-ZA"/>
        </w:rPr>
        <w:t xml:space="preserve"> </w:t>
      </w:r>
      <w:r w:rsidRPr="007955BB">
        <w:rPr>
          <w:b w:val="0"/>
          <w:noProof/>
          <w:szCs w:val="22"/>
          <w:lang w:val="hy-AM"/>
        </w:rPr>
        <w:t>մշակութային</w:t>
      </w:r>
      <w:r w:rsidRPr="007955BB">
        <w:rPr>
          <w:b w:val="0"/>
          <w:noProof/>
          <w:szCs w:val="22"/>
          <w:lang w:val="af-ZA"/>
        </w:rPr>
        <w:t xml:space="preserve"> </w:t>
      </w:r>
      <w:r w:rsidRPr="007955BB">
        <w:rPr>
          <w:b w:val="0"/>
          <w:noProof/>
          <w:szCs w:val="22"/>
          <w:lang w:val="hy-AM"/>
        </w:rPr>
        <w:t>կյանքի</w:t>
      </w:r>
      <w:r w:rsidRPr="007955BB">
        <w:rPr>
          <w:b w:val="0"/>
          <w:noProof/>
          <w:szCs w:val="22"/>
          <w:lang w:val="af-ZA"/>
        </w:rPr>
        <w:t xml:space="preserve"> </w:t>
      </w:r>
      <w:r w:rsidRPr="007955BB">
        <w:rPr>
          <w:b w:val="0"/>
          <w:noProof/>
          <w:szCs w:val="22"/>
          <w:lang w:val="hy-AM"/>
        </w:rPr>
        <w:t>և</w:t>
      </w:r>
      <w:r w:rsidRPr="007955BB">
        <w:rPr>
          <w:b w:val="0"/>
          <w:noProof/>
          <w:szCs w:val="22"/>
          <w:lang w:val="af-ZA"/>
        </w:rPr>
        <w:t xml:space="preserve"> </w:t>
      </w:r>
      <w:r w:rsidRPr="007955BB">
        <w:rPr>
          <w:b w:val="0"/>
          <w:noProof/>
          <w:szCs w:val="22"/>
          <w:lang w:val="hy-AM"/>
        </w:rPr>
        <w:t>մշակութաստեղծ</w:t>
      </w:r>
      <w:r w:rsidRPr="007955BB">
        <w:rPr>
          <w:b w:val="0"/>
          <w:noProof/>
          <w:szCs w:val="22"/>
          <w:lang w:val="af-ZA"/>
        </w:rPr>
        <w:t xml:space="preserve"> </w:t>
      </w:r>
      <w:r w:rsidRPr="007955BB">
        <w:rPr>
          <w:b w:val="0"/>
          <w:noProof/>
          <w:szCs w:val="22"/>
          <w:lang w:val="hy-AM"/>
        </w:rPr>
        <w:t>գործունեության</w:t>
      </w:r>
      <w:r w:rsidRPr="007955BB">
        <w:rPr>
          <w:b w:val="0"/>
          <w:noProof/>
          <w:szCs w:val="22"/>
          <w:lang w:val="af-ZA"/>
        </w:rPr>
        <w:t xml:space="preserve"> </w:t>
      </w:r>
      <w:r w:rsidRPr="007955BB">
        <w:rPr>
          <w:b w:val="0"/>
          <w:noProof/>
          <w:szCs w:val="22"/>
          <w:lang w:val="hy-AM"/>
        </w:rPr>
        <w:t>ակտիվացմանը</w:t>
      </w:r>
      <w:r w:rsidRPr="007955BB">
        <w:rPr>
          <w:b w:val="0"/>
          <w:noProof/>
          <w:szCs w:val="22"/>
          <w:lang w:val="af-ZA"/>
        </w:rPr>
        <w:t>:</w:t>
      </w:r>
    </w:p>
    <w:p w:rsidR="002C6873" w:rsidRPr="007955BB" w:rsidRDefault="002C6873" w:rsidP="002C6873">
      <w:pPr>
        <w:numPr>
          <w:ilvl w:val="12"/>
          <w:numId w:val="0"/>
        </w:numPr>
        <w:tabs>
          <w:tab w:val="left" w:pos="851"/>
        </w:tabs>
        <w:spacing w:line="276" w:lineRule="auto"/>
        <w:ind w:firstLine="540"/>
        <w:rPr>
          <w:b w:val="0"/>
          <w:noProof/>
          <w:szCs w:val="22"/>
          <w:lang w:val="af-ZA"/>
        </w:rPr>
      </w:pPr>
      <w:r w:rsidRPr="007955BB">
        <w:rPr>
          <w:b w:val="0"/>
          <w:noProof/>
          <w:szCs w:val="22"/>
        </w:rPr>
        <w:t>Ծրագրի</w:t>
      </w:r>
      <w:r w:rsidRPr="007955BB">
        <w:rPr>
          <w:b w:val="0"/>
          <w:noProof/>
          <w:szCs w:val="22"/>
          <w:lang w:val="af-ZA"/>
        </w:rPr>
        <w:t xml:space="preserve"> </w:t>
      </w:r>
      <w:r w:rsidRPr="007955BB">
        <w:rPr>
          <w:b w:val="0"/>
          <w:noProof/>
          <w:szCs w:val="22"/>
        </w:rPr>
        <w:t>շրջանակներում</w:t>
      </w:r>
      <w:r w:rsidRPr="007955BB">
        <w:rPr>
          <w:b w:val="0"/>
          <w:noProof/>
          <w:szCs w:val="22"/>
          <w:lang w:val="af-ZA"/>
        </w:rPr>
        <w:t xml:space="preserve"> </w:t>
      </w:r>
      <w:r w:rsidRPr="007955BB">
        <w:rPr>
          <w:b w:val="0"/>
          <w:noProof/>
          <w:szCs w:val="22"/>
        </w:rPr>
        <w:t>հատկացումներն</w:t>
      </w:r>
      <w:r w:rsidRPr="007955BB">
        <w:rPr>
          <w:b w:val="0"/>
          <w:noProof/>
          <w:szCs w:val="22"/>
          <w:lang w:val="af-ZA"/>
        </w:rPr>
        <w:t xml:space="preserve"> </w:t>
      </w:r>
      <w:r w:rsidRPr="007955BB">
        <w:rPr>
          <w:b w:val="0"/>
          <w:noProof/>
          <w:szCs w:val="22"/>
        </w:rPr>
        <w:t>ուղղվելու</w:t>
      </w:r>
      <w:r w:rsidRPr="007955BB">
        <w:rPr>
          <w:b w:val="0"/>
          <w:noProof/>
          <w:szCs w:val="22"/>
          <w:lang w:val="af-ZA"/>
        </w:rPr>
        <w:t xml:space="preserve"> </w:t>
      </w:r>
      <w:r w:rsidRPr="007955BB">
        <w:rPr>
          <w:b w:val="0"/>
          <w:noProof/>
          <w:szCs w:val="22"/>
        </w:rPr>
        <w:t>են</w:t>
      </w:r>
      <w:r w:rsidRPr="007955BB">
        <w:rPr>
          <w:b w:val="0"/>
          <w:noProof/>
          <w:szCs w:val="22"/>
          <w:lang w:val="af-ZA"/>
        </w:rPr>
        <w:t xml:space="preserve"> </w:t>
      </w:r>
      <w:r w:rsidRPr="007955BB">
        <w:rPr>
          <w:b w:val="0"/>
          <w:noProof/>
          <w:szCs w:val="22"/>
        </w:rPr>
        <w:t>մարզերում</w:t>
      </w:r>
      <w:r w:rsidRPr="007955BB">
        <w:rPr>
          <w:b w:val="0"/>
          <w:noProof/>
          <w:szCs w:val="22"/>
          <w:lang w:val="af-ZA"/>
        </w:rPr>
        <w:t xml:space="preserve"> </w:t>
      </w:r>
      <w:r w:rsidRPr="007955BB">
        <w:rPr>
          <w:b w:val="0"/>
          <w:noProof/>
          <w:szCs w:val="22"/>
        </w:rPr>
        <w:t>մշակութային</w:t>
      </w:r>
      <w:r w:rsidRPr="007955BB">
        <w:rPr>
          <w:b w:val="0"/>
          <w:noProof/>
          <w:szCs w:val="22"/>
          <w:lang w:val="af-ZA"/>
        </w:rPr>
        <w:t xml:space="preserve"> </w:t>
      </w:r>
      <w:r w:rsidRPr="007955BB">
        <w:rPr>
          <w:b w:val="0"/>
          <w:noProof/>
          <w:szCs w:val="22"/>
        </w:rPr>
        <w:t>միջոցառումների</w:t>
      </w:r>
      <w:r w:rsidRPr="007955BB">
        <w:rPr>
          <w:b w:val="0"/>
          <w:noProof/>
          <w:szCs w:val="22"/>
          <w:lang w:val="af-ZA"/>
        </w:rPr>
        <w:t xml:space="preserve"> </w:t>
      </w:r>
      <w:r w:rsidRPr="007955BB">
        <w:rPr>
          <w:b w:val="0"/>
          <w:noProof/>
          <w:szCs w:val="22"/>
        </w:rPr>
        <w:t>իրականացմանը</w:t>
      </w:r>
      <w:r w:rsidRPr="007955BB">
        <w:rPr>
          <w:b w:val="0"/>
          <w:noProof/>
          <w:szCs w:val="22"/>
          <w:lang w:val="af-ZA"/>
        </w:rPr>
        <w:t xml:space="preserve">, </w:t>
      </w:r>
      <w:r w:rsidRPr="007955BB">
        <w:rPr>
          <w:b w:val="0"/>
          <w:noProof/>
          <w:szCs w:val="22"/>
        </w:rPr>
        <w:t>համայնքային</w:t>
      </w:r>
      <w:r w:rsidRPr="007955BB">
        <w:rPr>
          <w:b w:val="0"/>
          <w:noProof/>
          <w:szCs w:val="22"/>
          <w:lang w:val="af-ZA"/>
        </w:rPr>
        <w:t xml:space="preserve"> </w:t>
      </w:r>
      <w:r w:rsidRPr="007955BB">
        <w:rPr>
          <w:b w:val="0"/>
          <w:noProof/>
          <w:szCs w:val="22"/>
        </w:rPr>
        <w:t>մշակույթի</w:t>
      </w:r>
      <w:r w:rsidRPr="007955BB">
        <w:rPr>
          <w:b w:val="0"/>
          <w:noProof/>
          <w:szCs w:val="22"/>
          <w:lang w:val="af-ZA"/>
        </w:rPr>
        <w:t xml:space="preserve"> </w:t>
      </w:r>
      <w:r w:rsidRPr="007955BB">
        <w:rPr>
          <w:b w:val="0"/>
          <w:noProof/>
          <w:szCs w:val="22"/>
        </w:rPr>
        <w:t>և</w:t>
      </w:r>
      <w:r w:rsidRPr="007955BB">
        <w:rPr>
          <w:b w:val="0"/>
          <w:noProof/>
          <w:szCs w:val="22"/>
          <w:lang w:val="af-ZA"/>
        </w:rPr>
        <w:t xml:space="preserve"> </w:t>
      </w:r>
      <w:r w:rsidRPr="007955BB">
        <w:rPr>
          <w:b w:val="0"/>
          <w:noProof/>
          <w:szCs w:val="22"/>
        </w:rPr>
        <w:t>ազատ</w:t>
      </w:r>
      <w:r w:rsidRPr="007955BB">
        <w:rPr>
          <w:b w:val="0"/>
          <w:noProof/>
          <w:szCs w:val="22"/>
          <w:lang w:val="af-ZA"/>
        </w:rPr>
        <w:t xml:space="preserve"> </w:t>
      </w:r>
      <w:r w:rsidRPr="007955BB">
        <w:rPr>
          <w:b w:val="0"/>
          <w:noProof/>
          <w:szCs w:val="22"/>
        </w:rPr>
        <w:t>ժամանցի</w:t>
      </w:r>
      <w:r w:rsidRPr="007955BB">
        <w:rPr>
          <w:b w:val="0"/>
          <w:noProof/>
          <w:szCs w:val="22"/>
          <w:lang w:val="af-ZA"/>
        </w:rPr>
        <w:t xml:space="preserve"> </w:t>
      </w:r>
      <w:r w:rsidRPr="007955BB">
        <w:rPr>
          <w:b w:val="0"/>
          <w:noProof/>
          <w:szCs w:val="22"/>
        </w:rPr>
        <w:t>կազմակերպմանը</w:t>
      </w:r>
      <w:r w:rsidRPr="007955BB">
        <w:rPr>
          <w:b w:val="0"/>
          <w:noProof/>
          <w:szCs w:val="22"/>
          <w:lang w:val="af-ZA"/>
        </w:rPr>
        <w:t xml:space="preserve"> (</w:t>
      </w:r>
      <w:r w:rsidRPr="007955BB">
        <w:rPr>
          <w:b w:val="0"/>
          <w:noProof/>
          <w:szCs w:val="22"/>
        </w:rPr>
        <w:t>մշակութային</w:t>
      </w:r>
      <w:r w:rsidRPr="007955BB">
        <w:rPr>
          <w:b w:val="0"/>
          <w:noProof/>
          <w:szCs w:val="22"/>
          <w:lang w:val="af-ZA"/>
        </w:rPr>
        <w:t xml:space="preserve"> </w:t>
      </w:r>
      <w:r w:rsidRPr="007955BB">
        <w:rPr>
          <w:b w:val="0"/>
          <w:noProof/>
          <w:szCs w:val="22"/>
        </w:rPr>
        <w:t>միջոցառումներում</w:t>
      </w:r>
      <w:r w:rsidRPr="007955BB">
        <w:rPr>
          <w:b w:val="0"/>
          <w:noProof/>
          <w:szCs w:val="22"/>
          <w:lang w:val="af-ZA"/>
        </w:rPr>
        <w:t xml:space="preserve"> </w:t>
      </w:r>
      <w:r w:rsidRPr="007955BB">
        <w:rPr>
          <w:b w:val="0"/>
          <w:noProof/>
          <w:szCs w:val="22"/>
        </w:rPr>
        <w:t>ընդգրկված</w:t>
      </w:r>
      <w:r w:rsidRPr="007955BB">
        <w:rPr>
          <w:b w:val="0"/>
          <w:noProof/>
          <w:szCs w:val="22"/>
          <w:lang w:val="af-ZA"/>
        </w:rPr>
        <w:t xml:space="preserve"> </w:t>
      </w:r>
      <w:r w:rsidRPr="007955BB">
        <w:rPr>
          <w:b w:val="0"/>
          <w:noProof/>
          <w:szCs w:val="22"/>
        </w:rPr>
        <w:t>համայնքների</w:t>
      </w:r>
      <w:r w:rsidRPr="007955BB">
        <w:rPr>
          <w:b w:val="0"/>
          <w:noProof/>
          <w:szCs w:val="22"/>
          <w:lang w:val="af-ZA"/>
        </w:rPr>
        <w:t xml:space="preserve"> </w:t>
      </w:r>
      <w:r w:rsidRPr="007955BB">
        <w:rPr>
          <w:b w:val="0"/>
          <w:noProof/>
          <w:szCs w:val="22"/>
          <w:lang w:val="hy-AM"/>
        </w:rPr>
        <w:t>թիվը</w:t>
      </w:r>
      <w:r w:rsidRPr="007955BB">
        <w:rPr>
          <w:b w:val="0"/>
          <w:noProof/>
          <w:szCs w:val="22"/>
          <w:lang w:val="af-ZA"/>
        </w:rPr>
        <w:t xml:space="preserve"> </w:t>
      </w:r>
      <w:r w:rsidRPr="007955BB">
        <w:rPr>
          <w:b w:val="0"/>
          <w:noProof/>
          <w:szCs w:val="22"/>
        </w:rPr>
        <w:t>կկազմի</w:t>
      </w:r>
      <w:r w:rsidRPr="007955BB">
        <w:rPr>
          <w:b w:val="0"/>
          <w:noProof/>
          <w:szCs w:val="22"/>
          <w:lang w:val="af-ZA"/>
        </w:rPr>
        <w:t xml:space="preserve"> </w:t>
      </w:r>
      <w:r w:rsidRPr="007955BB">
        <w:rPr>
          <w:b w:val="0"/>
          <w:noProof/>
          <w:szCs w:val="22"/>
          <w:lang w:val="hy-AM"/>
        </w:rPr>
        <w:t>160</w:t>
      </w:r>
      <w:r w:rsidRPr="007955BB">
        <w:rPr>
          <w:b w:val="0"/>
          <w:noProof/>
          <w:szCs w:val="22"/>
          <w:lang w:val="af-ZA"/>
        </w:rPr>
        <w:t>):</w:t>
      </w:r>
    </w:p>
    <w:p w:rsidR="002C6873" w:rsidRPr="007955BB" w:rsidRDefault="002C6873" w:rsidP="002C6873">
      <w:pPr>
        <w:numPr>
          <w:ilvl w:val="12"/>
          <w:numId w:val="0"/>
        </w:numPr>
        <w:tabs>
          <w:tab w:val="left" w:pos="851"/>
        </w:tabs>
        <w:spacing w:line="276" w:lineRule="auto"/>
        <w:ind w:firstLine="540"/>
        <w:rPr>
          <w:b w:val="0"/>
          <w:noProof/>
          <w:szCs w:val="22"/>
          <w:lang w:val="af-ZA"/>
        </w:rPr>
      </w:pPr>
      <w:r w:rsidRPr="007955BB">
        <w:rPr>
          <w:b w:val="0"/>
          <w:noProof/>
          <w:szCs w:val="22"/>
        </w:rPr>
        <w:t>Մարզերի</w:t>
      </w:r>
      <w:r w:rsidRPr="007955BB">
        <w:rPr>
          <w:b w:val="0"/>
          <w:noProof/>
          <w:szCs w:val="22"/>
          <w:lang w:val="af-ZA"/>
        </w:rPr>
        <w:t xml:space="preserve"> </w:t>
      </w:r>
      <w:r w:rsidRPr="007955BB">
        <w:rPr>
          <w:b w:val="0"/>
          <w:noProof/>
          <w:szCs w:val="22"/>
        </w:rPr>
        <w:t>մշակութային</w:t>
      </w:r>
      <w:r w:rsidRPr="007955BB">
        <w:rPr>
          <w:b w:val="0"/>
          <w:noProof/>
          <w:szCs w:val="22"/>
          <w:lang w:val="af-ZA"/>
        </w:rPr>
        <w:t xml:space="preserve"> </w:t>
      </w:r>
      <w:r w:rsidRPr="007955BB">
        <w:rPr>
          <w:b w:val="0"/>
          <w:noProof/>
          <w:szCs w:val="22"/>
        </w:rPr>
        <w:t>զարգացման</w:t>
      </w:r>
      <w:r w:rsidRPr="007955BB">
        <w:rPr>
          <w:b w:val="0"/>
          <w:noProof/>
          <w:szCs w:val="22"/>
          <w:lang w:val="af-ZA"/>
        </w:rPr>
        <w:t xml:space="preserve"> </w:t>
      </w:r>
      <w:r w:rsidRPr="007955BB">
        <w:rPr>
          <w:b w:val="0"/>
          <w:noProof/>
          <w:szCs w:val="22"/>
        </w:rPr>
        <w:t>ծրագրի</w:t>
      </w:r>
      <w:r w:rsidRPr="007955BB">
        <w:rPr>
          <w:b w:val="0"/>
          <w:noProof/>
          <w:szCs w:val="22"/>
          <w:lang w:val="af-ZA"/>
        </w:rPr>
        <w:t xml:space="preserve"> </w:t>
      </w:r>
      <w:r w:rsidRPr="007955BB">
        <w:rPr>
          <w:b w:val="0"/>
          <w:noProof/>
          <w:szCs w:val="22"/>
        </w:rPr>
        <w:t>համար</w:t>
      </w:r>
      <w:r w:rsidRPr="007955BB">
        <w:rPr>
          <w:b w:val="0"/>
          <w:noProof/>
          <w:szCs w:val="22"/>
          <w:lang w:val="af-ZA"/>
        </w:rPr>
        <w:t xml:space="preserve"> 2023 թվականին </w:t>
      </w:r>
      <w:r w:rsidRPr="007955BB">
        <w:rPr>
          <w:b w:val="0"/>
          <w:noProof/>
          <w:szCs w:val="22"/>
        </w:rPr>
        <w:t>նախատեսվում</w:t>
      </w:r>
      <w:r w:rsidRPr="007955BB">
        <w:rPr>
          <w:b w:val="0"/>
          <w:noProof/>
          <w:szCs w:val="22"/>
          <w:lang w:val="af-ZA"/>
        </w:rPr>
        <w:t xml:space="preserve"> </w:t>
      </w:r>
      <w:r w:rsidRPr="007955BB">
        <w:rPr>
          <w:b w:val="0"/>
          <w:noProof/>
          <w:szCs w:val="22"/>
        </w:rPr>
        <w:t>է</w:t>
      </w:r>
      <w:r w:rsidRPr="007955BB">
        <w:rPr>
          <w:b w:val="0"/>
          <w:noProof/>
          <w:szCs w:val="22"/>
          <w:lang w:val="af-ZA"/>
        </w:rPr>
        <w:t xml:space="preserve"> </w:t>
      </w:r>
      <w:r w:rsidRPr="007955BB">
        <w:rPr>
          <w:b w:val="0"/>
          <w:noProof/>
          <w:szCs w:val="22"/>
        </w:rPr>
        <w:t>հատկացնել</w:t>
      </w:r>
      <w:r w:rsidRPr="007955BB">
        <w:rPr>
          <w:b w:val="0"/>
          <w:noProof/>
          <w:szCs w:val="22"/>
          <w:lang w:val="af-ZA"/>
        </w:rPr>
        <w:t xml:space="preserve"> 87.2 </w:t>
      </w:r>
      <w:r w:rsidRPr="007955BB">
        <w:rPr>
          <w:b w:val="0"/>
          <w:noProof/>
          <w:szCs w:val="22"/>
        </w:rPr>
        <w:t>մլն</w:t>
      </w:r>
      <w:r w:rsidRPr="007955BB">
        <w:rPr>
          <w:b w:val="0"/>
          <w:noProof/>
          <w:szCs w:val="22"/>
          <w:lang w:val="af-ZA"/>
        </w:rPr>
        <w:t xml:space="preserve"> </w:t>
      </w:r>
      <w:r w:rsidRPr="007955BB">
        <w:rPr>
          <w:b w:val="0"/>
          <w:noProof/>
          <w:szCs w:val="22"/>
        </w:rPr>
        <w:t>դրամ</w:t>
      </w:r>
      <w:r w:rsidRPr="007955BB">
        <w:rPr>
          <w:b w:val="0"/>
          <w:noProof/>
          <w:szCs w:val="22"/>
          <w:lang w:val="af-ZA"/>
        </w:rPr>
        <w:t xml:space="preserve">: </w:t>
      </w:r>
    </w:p>
    <w:p w:rsidR="002C6873" w:rsidRPr="007955BB" w:rsidRDefault="002C6873" w:rsidP="002C6873">
      <w:pPr>
        <w:numPr>
          <w:ilvl w:val="12"/>
          <w:numId w:val="0"/>
        </w:numPr>
        <w:tabs>
          <w:tab w:val="left" w:pos="851"/>
        </w:tabs>
        <w:spacing w:line="276" w:lineRule="auto"/>
        <w:ind w:firstLine="540"/>
        <w:rPr>
          <w:noProof/>
          <w:szCs w:val="22"/>
          <w:lang w:val="af-ZA"/>
        </w:rPr>
      </w:pPr>
      <w:r w:rsidRPr="007955BB">
        <w:rPr>
          <w:noProof/>
          <w:szCs w:val="22"/>
        </w:rPr>
        <w:t>Ֆիզիկական</w:t>
      </w:r>
      <w:r w:rsidRPr="007955BB">
        <w:rPr>
          <w:noProof/>
          <w:szCs w:val="22"/>
          <w:lang w:val="af-ZA"/>
        </w:rPr>
        <w:t xml:space="preserve"> </w:t>
      </w:r>
      <w:r w:rsidRPr="007955BB">
        <w:rPr>
          <w:noProof/>
          <w:szCs w:val="22"/>
        </w:rPr>
        <w:t>կուլտուրա</w:t>
      </w:r>
      <w:r w:rsidRPr="007955BB">
        <w:rPr>
          <w:noProof/>
          <w:szCs w:val="22"/>
          <w:lang w:val="af-ZA"/>
        </w:rPr>
        <w:t xml:space="preserve"> </w:t>
      </w:r>
      <w:r w:rsidRPr="007955BB">
        <w:rPr>
          <w:noProof/>
          <w:szCs w:val="22"/>
        </w:rPr>
        <w:t>և</w:t>
      </w:r>
      <w:r w:rsidRPr="007955BB">
        <w:rPr>
          <w:noProof/>
          <w:szCs w:val="22"/>
          <w:lang w:val="af-ZA"/>
        </w:rPr>
        <w:t xml:space="preserve"> </w:t>
      </w:r>
      <w:r w:rsidRPr="007955BB">
        <w:rPr>
          <w:noProof/>
          <w:szCs w:val="22"/>
        </w:rPr>
        <w:t>սպորտ</w:t>
      </w:r>
    </w:p>
    <w:p w:rsidR="002C6873" w:rsidRPr="007955BB" w:rsidRDefault="002C6873" w:rsidP="002C6873">
      <w:pPr>
        <w:spacing w:line="276" w:lineRule="auto"/>
        <w:ind w:left="-142" w:firstLine="682"/>
        <w:rPr>
          <w:b w:val="0"/>
          <w:szCs w:val="22"/>
          <w:lang w:val="hy-AM"/>
        </w:rPr>
      </w:pPr>
      <w:r w:rsidRPr="007955BB">
        <w:rPr>
          <w:b w:val="0"/>
          <w:szCs w:val="22"/>
          <w:lang w:val="hy-AM"/>
        </w:rPr>
        <w:t xml:space="preserve">Սպորտի ոլորտում պետական քաղաքականությունն ուղղված է առողջ ապրելակերպի խթանմանը՝ մասսայական սպորտային միջոցառումներում բնակչության տարիքային և սոցիալական տարբեր խմբեր ներգրավելու միջոցով, ինչպես նաև սպորտի ոլորտում ՀՀ միջազգային հեղինակության բարձրացմանը՝ միջազգային և տեղական մրցումներին հայ մարզիկների մասնակցության ընդլայնման միջոցով </w:t>
      </w:r>
      <w:r w:rsidRPr="007955BB">
        <w:rPr>
          <w:b w:val="0"/>
          <w:noProof/>
          <w:szCs w:val="22"/>
          <w:lang w:val="hy-AM"/>
        </w:rPr>
        <w:t>(հիմք՝ ՀՀ կառավարության ծրագրի «4.8 Սպորտ» բաժին)</w:t>
      </w:r>
      <w:r w:rsidRPr="007955BB">
        <w:rPr>
          <w:b w:val="0"/>
          <w:szCs w:val="22"/>
          <w:lang w:val="hy-AM"/>
        </w:rPr>
        <w:t xml:space="preserve">: </w:t>
      </w:r>
    </w:p>
    <w:p w:rsidR="002C6873" w:rsidRPr="007955BB" w:rsidRDefault="002C6873" w:rsidP="002C6873">
      <w:pPr>
        <w:numPr>
          <w:ilvl w:val="12"/>
          <w:numId w:val="0"/>
        </w:numPr>
        <w:tabs>
          <w:tab w:val="left" w:pos="851"/>
        </w:tabs>
        <w:spacing w:line="276" w:lineRule="auto"/>
        <w:ind w:firstLine="540"/>
        <w:rPr>
          <w:b w:val="0"/>
          <w:noProof/>
          <w:szCs w:val="22"/>
          <w:lang w:val="hy-AM"/>
        </w:rPr>
      </w:pPr>
      <w:r w:rsidRPr="007955BB">
        <w:rPr>
          <w:b w:val="0"/>
          <w:noProof/>
          <w:szCs w:val="22"/>
          <w:lang w:val="hy-AM"/>
        </w:rPr>
        <w:t>Նախագծով սպորտի համար նախատեսված  հատկացումներն ուղղվելու են 2 ծրագրերի իրականացմանը:</w:t>
      </w:r>
    </w:p>
    <w:p w:rsidR="002C6873" w:rsidRPr="007955BB" w:rsidRDefault="002C6873" w:rsidP="002C6873">
      <w:pPr>
        <w:numPr>
          <w:ilvl w:val="12"/>
          <w:numId w:val="0"/>
        </w:numPr>
        <w:tabs>
          <w:tab w:val="left" w:pos="851"/>
        </w:tabs>
        <w:spacing w:line="276" w:lineRule="auto"/>
        <w:ind w:firstLine="540"/>
        <w:rPr>
          <w:b w:val="0"/>
          <w:noProof/>
          <w:szCs w:val="22"/>
          <w:lang w:val="hy-AM"/>
        </w:rPr>
      </w:pPr>
      <w:r w:rsidRPr="007955BB">
        <w:rPr>
          <w:noProof/>
          <w:szCs w:val="22"/>
          <w:lang w:val="hy-AM"/>
        </w:rPr>
        <w:t xml:space="preserve">Մեծ  նվաճումների սպորտ </w:t>
      </w:r>
      <w:r w:rsidRPr="007955BB">
        <w:rPr>
          <w:b w:val="0"/>
          <w:noProof/>
          <w:szCs w:val="22"/>
          <w:lang w:val="hy-AM"/>
        </w:rPr>
        <w:t>ծրագրի նպատակն է նպաստել Հայաստանում մեծ սպորտի շարունակական զարգացմանը և միջազգային հարթակներում ՀՀ դիրքի բարելավմանը:</w:t>
      </w:r>
    </w:p>
    <w:p w:rsidR="002C6873" w:rsidRPr="007955BB" w:rsidRDefault="002C6873" w:rsidP="002C6873">
      <w:pPr>
        <w:numPr>
          <w:ilvl w:val="12"/>
          <w:numId w:val="0"/>
        </w:numPr>
        <w:tabs>
          <w:tab w:val="left" w:pos="851"/>
        </w:tabs>
        <w:spacing w:line="276" w:lineRule="auto"/>
        <w:ind w:firstLine="540"/>
        <w:rPr>
          <w:b w:val="0"/>
          <w:noProof/>
          <w:szCs w:val="22"/>
          <w:lang w:val="hy-AM"/>
        </w:rPr>
      </w:pPr>
      <w:r w:rsidRPr="007955BB">
        <w:rPr>
          <w:b w:val="0"/>
          <w:noProof/>
          <w:szCs w:val="22"/>
          <w:lang w:val="hy-AM"/>
        </w:rPr>
        <w:t>Ծրագրի շրջանակներում հատկացումներն ուղղվելու են օլիմպիական խաղերին, միջազգային տարբեր մակարդակի միջոցառումներին, ուսումնամարզական հավաքներին, hանրապետական առաջնություններին Հայաստանի հավաքական թիմերի մասնակցության ապահովմանը, աշխարհի, Եվրոպայի առաջնություններում հաղթողների և մրցանակակիրների պարգևատրման ծախսերի իրականացմանը, ՀՀ հավաքական թիմերի գլխավոր և ավագ մարզիչների վարձատրությանը և աշխարհի չեմպիոններին, օլիմպիական խաղերի և շախմատի համաշխարհային օլիմպիադայի մրցանակակիրներին պատվովճարի, օլիմպիական խաղերում, աշխարհի և Եվրոպայի առաջնություններում բարձր արդյունքների հասած ՀՀ հավաքական թիմերի մարզիկներին և նրանց մարզիչներին անվանական թոշակի հատկացմանը, շախմատիստների պատրաստմանը, հաշմանդամային և նավամոդելային սպորտին աջակցմանը, սպորտային բժշկության և հակադոպինգային հսկողության և շախմատի մրցույթների պատրաստման ծառայությունների իրականացմանը (ՀՀ առաջնությունների և միջազգային մարզական միջոցառումների մասնակիցների թիվը նախատեսվում է համապատասխանաբար՝ 9</w:t>
      </w:r>
      <w:r w:rsidR="00896173" w:rsidRPr="00896173">
        <w:rPr>
          <w:b w:val="0"/>
          <w:noProof/>
          <w:szCs w:val="22"/>
          <w:lang w:val="hy-AM"/>
        </w:rPr>
        <w:t>7</w:t>
      </w:r>
      <w:r w:rsidRPr="007955BB">
        <w:rPr>
          <w:b w:val="0"/>
          <w:noProof/>
          <w:szCs w:val="22"/>
          <w:lang w:val="hy-AM"/>
        </w:rPr>
        <w:t>80 և 20</w:t>
      </w:r>
      <w:r w:rsidR="00896173" w:rsidRPr="00896173">
        <w:rPr>
          <w:b w:val="0"/>
          <w:noProof/>
          <w:szCs w:val="22"/>
          <w:lang w:val="hy-AM"/>
        </w:rPr>
        <w:t>63</w:t>
      </w:r>
      <w:r w:rsidRPr="007955BB">
        <w:rPr>
          <w:b w:val="0"/>
          <w:noProof/>
          <w:szCs w:val="22"/>
          <w:lang w:val="hy-AM"/>
        </w:rPr>
        <w:t xml:space="preserve">): </w:t>
      </w:r>
    </w:p>
    <w:p w:rsidR="002C6873" w:rsidRPr="007955BB" w:rsidRDefault="002C6873" w:rsidP="002C6873">
      <w:pPr>
        <w:numPr>
          <w:ilvl w:val="12"/>
          <w:numId w:val="0"/>
        </w:numPr>
        <w:tabs>
          <w:tab w:val="left" w:pos="851"/>
        </w:tabs>
        <w:spacing w:line="276" w:lineRule="auto"/>
        <w:ind w:firstLine="540"/>
        <w:rPr>
          <w:b w:val="0"/>
          <w:noProof/>
          <w:szCs w:val="22"/>
          <w:lang w:val="hy-AM"/>
        </w:rPr>
      </w:pPr>
      <w:r w:rsidRPr="007955BB">
        <w:rPr>
          <w:b w:val="0"/>
          <w:noProof/>
          <w:szCs w:val="22"/>
          <w:lang w:val="hy-AM"/>
        </w:rPr>
        <w:t>Մեծ նվաճումների սպորտ» ծրագրի համար 2023 թվականին նախատեսվում է հատկացնել 4,785.3 մլն դրամ:</w:t>
      </w:r>
    </w:p>
    <w:p w:rsidR="002C6873" w:rsidRPr="007955BB" w:rsidRDefault="002C6873" w:rsidP="002C6873">
      <w:pPr>
        <w:numPr>
          <w:ilvl w:val="12"/>
          <w:numId w:val="0"/>
        </w:numPr>
        <w:tabs>
          <w:tab w:val="left" w:pos="851"/>
        </w:tabs>
        <w:spacing w:line="276" w:lineRule="auto"/>
        <w:ind w:firstLine="540"/>
        <w:rPr>
          <w:b w:val="0"/>
          <w:noProof/>
          <w:szCs w:val="22"/>
          <w:lang w:val="hy-AM"/>
        </w:rPr>
      </w:pPr>
      <w:r w:rsidRPr="007955BB">
        <w:rPr>
          <w:b w:val="0"/>
          <w:noProof/>
          <w:szCs w:val="22"/>
          <w:lang w:val="hy-AM"/>
        </w:rPr>
        <w:t xml:space="preserve"> 2023թ. նախատեսվում է Երևանում անցկացնել ծանրամարտի մեծահասկների Եվրոպայի առաջնություն</w:t>
      </w:r>
      <w:r w:rsidRPr="007955BB">
        <w:rPr>
          <w:b w:val="0"/>
          <w:noProof/>
          <w:szCs w:val="22"/>
          <w:lang w:val="af-ZA"/>
        </w:rPr>
        <w:t xml:space="preserve">, որի համար նախատեսված է 990.0 մլն դրամ </w:t>
      </w:r>
      <w:r w:rsidRPr="007955BB">
        <w:rPr>
          <w:b w:val="0"/>
          <w:noProof/>
          <w:szCs w:val="22"/>
          <w:lang w:val="hy-AM"/>
        </w:rPr>
        <w:t>(մասնակիցների թիվը նախատեսվում է 650)</w:t>
      </w:r>
      <w:r w:rsidRPr="007955BB">
        <w:rPr>
          <w:b w:val="0"/>
          <w:noProof/>
          <w:szCs w:val="22"/>
          <w:lang w:val="af-ZA"/>
        </w:rPr>
        <w:t>:</w:t>
      </w:r>
    </w:p>
    <w:p w:rsidR="002C6873" w:rsidRPr="007955BB" w:rsidRDefault="002C6873" w:rsidP="002C6873">
      <w:pPr>
        <w:numPr>
          <w:ilvl w:val="12"/>
          <w:numId w:val="0"/>
        </w:numPr>
        <w:tabs>
          <w:tab w:val="left" w:pos="851"/>
        </w:tabs>
        <w:spacing w:line="276" w:lineRule="auto"/>
        <w:ind w:firstLine="540"/>
        <w:rPr>
          <w:b w:val="0"/>
          <w:noProof/>
          <w:szCs w:val="22"/>
          <w:lang w:val="hy-AM"/>
        </w:rPr>
      </w:pPr>
      <w:r w:rsidRPr="007955BB">
        <w:rPr>
          <w:noProof/>
          <w:szCs w:val="22"/>
          <w:lang w:val="hy-AM"/>
        </w:rPr>
        <w:t xml:space="preserve">Մասսայական սպորտ </w:t>
      </w:r>
      <w:r w:rsidRPr="007955BB">
        <w:rPr>
          <w:b w:val="0"/>
          <w:noProof/>
          <w:szCs w:val="22"/>
          <w:lang w:val="hy-AM"/>
        </w:rPr>
        <w:t>ծրագրի նպատակն է ապահովել բնակչության շրջանում առողջ ապրելակերպի արմատավորումը, անհատի բազմակողմանի ու ներդաշնակ զարգացման գործում ֆիզիկական կուլտուրայի և սպորտի դերի բարձրացումը:</w:t>
      </w:r>
    </w:p>
    <w:p w:rsidR="002C6873" w:rsidRPr="007955BB" w:rsidRDefault="002C6873" w:rsidP="002C6873">
      <w:pPr>
        <w:numPr>
          <w:ilvl w:val="12"/>
          <w:numId w:val="0"/>
        </w:numPr>
        <w:tabs>
          <w:tab w:val="left" w:pos="851"/>
        </w:tabs>
        <w:spacing w:line="276" w:lineRule="auto"/>
        <w:ind w:firstLine="540"/>
        <w:rPr>
          <w:b w:val="0"/>
          <w:noProof/>
          <w:szCs w:val="22"/>
          <w:lang w:val="hy-AM"/>
        </w:rPr>
      </w:pPr>
      <w:r w:rsidRPr="007955BB">
        <w:rPr>
          <w:b w:val="0"/>
          <w:noProof/>
          <w:szCs w:val="22"/>
          <w:lang w:val="hy-AM"/>
        </w:rPr>
        <w:t>Ծրագրի շրջանակներում հատկացումներն ուղղվելու են Համաշխարհային ունիվերսիադային Հայաստանի ուսանողական մարզական պատվիրակության մասնակցության ապահովմանը և  մասսայական սպորտի միջոցառումների իրականացմանը (մասսայական սպորտային միջոցառումներին մասնակիցների  թիվը կանխատեսվում է՝ 30000) և մարզական օբյեկտների շինարարությանը և հիմնանորոգմանը:</w:t>
      </w:r>
    </w:p>
    <w:p w:rsidR="002C6873" w:rsidRPr="007955BB" w:rsidRDefault="002C6873" w:rsidP="002C6873">
      <w:pPr>
        <w:numPr>
          <w:ilvl w:val="12"/>
          <w:numId w:val="0"/>
        </w:numPr>
        <w:tabs>
          <w:tab w:val="left" w:pos="851"/>
        </w:tabs>
        <w:spacing w:line="276" w:lineRule="auto"/>
        <w:ind w:firstLine="540"/>
        <w:rPr>
          <w:b w:val="0"/>
          <w:noProof/>
          <w:szCs w:val="22"/>
          <w:lang w:val="hy-AM"/>
        </w:rPr>
      </w:pPr>
      <w:r w:rsidRPr="007955BB">
        <w:rPr>
          <w:b w:val="0"/>
          <w:noProof/>
          <w:szCs w:val="22"/>
          <w:lang w:val="hy-AM"/>
        </w:rPr>
        <w:t>Մասսայական սպորտ» ծրագրի համար 2023 թվականին նախատեսվում է հատկացնել 2,</w:t>
      </w:r>
      <w:r w:rsidR="00896173" w:rsidRPr="00896173">
        <w:rPr>
          <w:b w:val="0"/>
          <w:noProof/>
          <w:szCs w:val="22"/>
          <w:lang w:val="hy-AM"/>
        </w:rPr>
        <w:t>90</w:t>
      </w:r>
      <w:r w:rsidRPr="007955BB">
        <w:rPr>
          <w:b w:val="0"/>
          <w:noProof/>
          <w:szCs w:val="22"/>
          <w:lang w:val="hy-AM"/>
        </w:rPr>
        <w:t>3.0 մլն դրամ:</w:t>
      </w:r>
    </w:p>
    <w:p w:rsidR="002C6873" w:rsidRPr="007955BB" w:rsidRDefault="002C6873" w:rsidP="002C6873">
      <w:pPr>
        <w:numPr>
          <w:ilvl w:val="12"/>
          <w:numId w:val="0"/>
        </w:numPr>
        <w:tabs>
          <w:tab w:val="left" w:pos="851"/>
        </w:tabs>
        <w:spacing w:line="276" w:lineRule="auto"/>
        <w:ind w:firstLine="540"/>
        <w:rPr>
          <w:b w:val="0"/>
          <w:noProof/>
          <w:szCs w:val="22"/>
          <w:lang w:val="hy-AM"/>
        </w:rPr>
      </w:pPr>
      <w:r w:rsidRPr="007955BB">
        <w:rPr>
          <w:noProof/>
          <w:szCs w:val="22"/>
          <w:lang w:val="hy-AM"/>
        </w:rPr>
        <w:t xml:space="preserve">Երիտասարդության </w:t>
      </w:r>
      <w:r w:rsidRPr="007955BB">
        <w:rPr>
          <w:b w:val="0"/>
          <w:noProof/>
          <w:szCs w:val="22"/>
          <w:lang w:val="hy-AM"/>
        </w:rPr>
        <w:t>ծրագրի նպատակն է նպաստել սոցիալ-տնտեսական, քաղաքական և մշակութային կյանքին երիտասարդների լիարժեք ներգրավմանը և նրանց ստեղծագործական ներուժի ամբողջական դրսևորմանը</w:t>
      </w:r>
      <w:r w:rsidRPr="007955BB">
        <w:rPr>
          <w:b w:val="0"/>
          <w:szCs w:val="22"/>
          <w:lang w:val="af-ZA"/>
        </w:rPr>
        <w:t xml:space="preserve"> </w:t>
      </w:r>
      <w:r w:rsidRPr="007955BB">
        <w:rPr>
          <w:b w:val="0"/>
          <w:noProof/>
          <w:szCs w:val="22"/>
          <w:lang w:val="hy-AM"/>
        </w:rPr>
        <w:t>(հիմք՝ ՀՀ կառավարության «4.7 Երիտասարդություն» բաժին):</w:t>
      </w:r>
    </w:p>
    <w:p w:rsidR="002C6873" w:rsidRPr="007955BB" w:rsidRDefault="002C6873" w:rsidP="002C6873">
      <w:pPr>
        <w:numPr>
          <w:ilvl w:val="12"/>
          <w:numId w:val="0"/>
        </w:numPr>
        <w:tabs>
          <w:tab w:val="left" w:pos="851"/>
        </w:tabs>
        <w:spacing w:line="276" w:lineRule="auto"/>
        <w:ind w:firstLine="540"/>
        <w:rPr>
          <w:b w:val="0"/>
          <w:noProof/>
          <w:szCs w:val="22"/>
          <w:lang w:val="hy-AM"/>
        </w:rPr>
      </w:pPr>
      <w:r w:rsidRPr="007955BB">
        <w:rPr>
          <w:b w:val="0"/>
          <w:noProof/>
          <w:szCs w:val="22"/>
          <w:lang w:val="hy-AM"/>
        </w:rPr>
        <w:t>Ծրագրի շրջանակներում հատկացումներն ուղղվելու են երիտասարդական պետական քաղաքականությանն ուղղված ծրագրերի և միջոցառումների, «ՀՀ տարվա երիտասարդական մայրաքաղաք» միջոցառման, երիտասարդական ծրագրերի շրջանակներում թրաֆիքինգի դեմ պայքարի միջոցառումների իրականացմանը, երիտասարդ ընտանիքներին աջակցմանը (սուբսիդավորվող ընտանիքների թիվը կկազմի 7935):</w:t>
      </w:r>
    </w:p>
    <w:p w:rsidR="002C6873" w:rsidRPr="007955BB" w:rsidRDefault="002C6873" w:rsidP="002C6873">
      <w:pPr>
        <w:numPr>
          <w:ilvl w:val="12"/>
          <w:numId w:val="0"/>
        </w:numPr>
        <w:tabs>
          <w:tab w:val="left" w:pos="851"/>
        </w:tabs>
        <w:spacing w:line="276" w:lineRule="auto"/>
        <w:ind w:firstLine="540"/>
        <w:rPr>
          <w:b w:val="0"/>
          <w:noProof/>
          <w:szCs w:val="22"/>
          <w:lang w:val="hy-AM"/>
        </w:rPr>
      </w:pPr>
      <w:r w:rsidRPr="007955BB">
        <w:rPr>
          <w:b w:val="0"/>
          <w:noProof/>
          <w:szCs w:val="22"/>
          <w:lang w:val="hy-AM"/>
        </w:rPr>
        <w:t>Երիտասարդության ծրագրի համար 2023 թվականին նախատեսվում է հատկացնել 2,230.4 մլն դրամ:</w:t>
      </w:r>
    </w:p>
    <w:p w:rsidR="00437B7A" w:rsidRPr="007955BB" w:rsidRDefault="00437B7A" w:rsidP="007C65A5">
      <w:pPr>
        <w:numPr>
          <w:ilvl w:val="12"/>
          <w:numId w:val="0"/>
        </w:numPr>
        <w:tabs>
          <w:tab w:val="left" w:pos="851"/>
        </w:tabs>
        <w:spacing w:line="276" w:lineRule="auto"/>
        <w:ind w:left="-142" w:firstLine="540"/>
        <w:rPr>
          <w:noProof/>
          <w:szCs w:val="22"/>
          <w:lang w:val="hy-AM"/>
        </w:rPr>
      </w:pPr>
    </w:p>
    <w:p w:rsidR="009506DE" w:rsidRPr="007955BB" w:rsidRDefault="00640206" w:rsidP="007F28F7">
      <w:pPr>
        <w:pStyle w:val="Heading3"/>
        <w:rPr>
          <w:noProof/>
        </w:rPr>
      </w:pPr>
      <w:bookmarkStart w:id="330" w:name="_Toc526009805"/>
      <w:bookmarkEnd w:id="328"/>
      <w:r w:rsidRPr="007955BB">
        <w:rPr>
          <w:noProof/>
        </w:rPr>
        <w:tab/>
      </w:r>
      <w:bookmarkStart w:id="331" w:name="_Toc120805221"/>
      <w:r w:rsidR="009506DE" w:rsidRPr="007955BB">
        <w:rPr>
          <w:noProof/>
        </w:rPr>
        <w:t>ՀՀ աշխատանքի և սոցիալական հարցերի նախարարություն</w:t>
      </w:r>
      <w:bookmarkEnd w:id="330"/>
      <w:bookmarkEnd w:id="331"/>
      <w:r w:rsidR="009506DE" w:rsidRPr="007955BB">
        <w:rPr>
          <w:noProof/>
        </w:rPr>
        <w:t xml:space="preserve"> </w:t>
      </w:r>
    </w:p>
    <w:p w:rsidR="007F28F7" w:rsidRPr="007F28F7" w:rsidRDefault="007F28F7" w:rsidP="00AD7A03">
      <w:pPr>
        <w:tabs>
          <w:tab w:val="left" w:pos="0"/>
        </w:tabs>
        <w:spacing w:before="0" w:line="276" w:lineRule="auto"/>
        <w:contextualSpacing w:val="0"/>
        <w:rPr>
          <w:bCs/>
          <w:color w:val="191919"/>
          <w:szCs w:val="22"/>
          <w:shd w:val="clear" w:color="auto" w:fill="FFFFFF"/>
          <w:lang w:val="hy-AM" w:eastAsia="en-US"/>
        </w:rPr>
      </w:pPr>
      <w:r w:rsidRPr="007F28F7">
        <w:rPr>
          <w:b w:val="0"/>
          <w:bCs/>
          <w:color w:val="191919"/>
          <w:szCs w:val="22"/>
          <w:shd w:val="clear" w:color="auto" w:fill="FFFFFF"/>
          <w:lang w:val="hy-AM" w:eastAsia="en-US"/>
        </w:rPr>
        <w:t>ՀՀ աշխատանքի</w:t>
      </w:r>
      <w:r w:rsidRPr="00C43BF7">
        <w:rPr>
          <w:b w:val="0"/>
          <w:bCs/>
          <w:color w:val="191919"/>
          <w:szCs w:val="22"/>
          <w:shd w:val="clear" w:color="auto" w:fill="FFFFFF"/>
          <w:lang w:val="af-ZA" w:eastAsia="en-US"/>
        </w:rPr>
        <w:t xml:space="preserve"> </w:t>
      </w:r>
      <w:r w:rsidRPr="007F28F7">
        <w:rPr>
          <w:b w:val="0"/>
          <w:bCs/>
          <w:color w:val="191919"/>
          <w:szCs w:val="22"/>
          <w:shd w:val="clear" w:color="auto" w:fill="FFFFFF"/>
          <w:lang w:val="hy-AM" w:eastAsia="en-US"/>
        </w:rPr>
        <w:t>և</w:t>
      </w:r>
      <w:r w:rsidRPr="00C43BF7">
        <w:rPr>
          <w:b w:val="0"/>
          <w:bCs/>
          <w:color w:val="191919"/>
          <w:szCs w:val="22"/>
          <w:shd w:val="clear" w:color="auto" w:fill="FFFFFF"/>
          <w:lang w:val="af-ZA" w:eastAsia="en-US"/>
        </w:rPr>
        <w:t xml:space="preserve"> </w:t>
      </w:r>
      <w:r w:rsidRPr="007F28F7">
        <w:rPr>
          <w:b w:val="0"/>
          <w:bCs/>
          <w:color w:val="191919"/>
          <w:szCs w:val="22"/>
          <w:shd w:val="clear" w:color="auto" w:fill="FFFFFF"/>
          <w:lang w:val="hy-AM" w:eastAsia="en-US"/>
        </w:rPr>
        <w:t>սոցիալական</w:t>
      </w:r>
      <w:r w:rsidRPr="00C43BF7">
        <w:rPr>
          <w:b w:val="0"/>
          <w:bCs/>
          <w:color w:val="191919"/>
          <w:szCs w:val="22"/>
          <w:shd w:val="clear" w:color="auto" w:fill="FFFFFF"/>
          <w:lang w:val="af-ZA" w:eastAsia="en-US"/>
        </w:rPr>
        <w:t xml:space="preserve"> </w:t>
      </w:r>
      <w:r w:rsidRPr="007F28F7">
        <w:rPr>
          <w:b w:val="0"/>
          <w:bCs/>
          <w:color w:val="191919"/>
          <w:szCs w:val="22"/>
          <w:shd w:val="clear" w:color="auto" w:fill="FFFFFF"/>
          <w:lang w:val="hy-AM" w:eastAsia="en-US"/>
        </w:rPr>
        <w:t>հարցերի</w:t>
      </w:r>
      <w:r w:rsidRPr="00C43BF7">
        <w:rPr>
          <w:b w:val="0"/>
          <w:bCs/>
          <w:color w:val="191919"/>
          <w:szCs w:val="22"/>
          <w:shd w:val="clear" w:color="auto" w:fill="FFFFFF"/>
          <w:lang w:val="af-ZA" w:eastAsia="en-US"/>
        </w:rPr>
        <w:t xml:space="preserve"> </w:t>
      </w:r>
      <w:r w:rsidRPr="007F28F7">
        <w:rPr>
          <w:b w:val="0"/>
          <w:bCs/>
          <w:color w:val="191919"/>
          <w:szCs w:val="22"/>
          <w:shd w:val="clear" w:color="auto" w:fill="FFFFFF"/>
          <w:lang w:val="hy-AM" w:eastAsia="en-US"/>
        </w:rPr>
        <w:t>նախարարության գծով նախատեսվում է 6</w:t>
      </w:r>
      <w:r w:rsidR="00E06FF8" w:rsidRPr="00E06FF8">
        <w:rPr>
          <w:b w:val="0"/>
          <w:bCs/>
          <w:color w:val="191919"/>
          <w:szCs w:val="22"/>
          <w:shd w:val="clear" w:color="auto" w:fill="FFFFFF"/>
          <w:lang w:val="af-ZA" w:eastAsia="en-US"/>
        </w:rPr>
        <w:t>53</w:t>
      </w:r>
      <w:r w:rsidRPr="007F28F7">
        <w:rPr>
          <w:b w:val="0"/>
          <w:bCs/>
          <w:color w:val="191919"/>
          <w:szCs w:val="22"/>
          <w:shd w:val="clear" w:color="auto" w:fill="FFFFFF"/>
          <w:lang w:val="hy-AM" w:eastAsia="en-US"/>
        </w:rPr>
        <w:t>,</w:t>
      </w:r>
      <w:r w:rsidR="00230342">
        <w:rPr>
          <w:b w:val="0"/>
          <w:bCs/>
          <w:color w:val="191919"/>
          <w:szCs w:val="22"/>
          <w:shd w:val="clear" w:color="auto" w:fill="FFFFFF"/>
          <w:lang w:val="af-ZA" w:eastAsia="en-US"/>
        </w:rPr>
        <w:t>7</w:t>
      </w:r>
      <w:r w:rsidR="00E06FF8" w:rsidRPr="00E06FF8">
        <w:rPr>
          <w:b w:val="0"/>
          <w:bCs/>
          <w:color w:val="191919"/>
          <w:szCs w:val="22"/>
          <w:shd w:val="clear" w:color="auto" w:fill="FFFFFF"/>
          <w:lang w:val="af-ZA" w:eastAsia="en-US"/>
        </w:rPr>
        <w:t>78</w:t>
      </w:r>
      <w:r w:rsidRPr="007F28F7">
        <w:rPr>
          <w:b w:val="0"/>
          <w:bCs/>
          <w:color w:val="191919"/>
          <w:szCs w:val="22"/>
          <w:shd w:val="clear" w:color="auto" w:fill="FFFFFF"/>
          <w:lang w:val="af-ZA" w:eastAsia="en-US"/>
        </w:rPr>
        <w:t>.</w:t>
      </w:r>
      <w:r w:rsidR="00E06FF8">
        <w:rPr>
          <w:b w:val="0"/>
          <w:bCs/>
          <w:color w:val="191919"/>
          <w:szCs w:val="22"/>
          <w:shd w:val="clear" w:color="auto" w:fill="FFFFFF"/>
          <w:lang w:val="af-ZA" w:eastAsia="en-US"/>
        </w:rPr>
        <w:t>1</w:t>
      </w:r>
      <w:r w:rsidRPr="007F28F7">
        <w:rPr>
          <w:b w:val="0"/>
          <w:bCs/>
          <w:color w:val="191919"/>
          <w:szCs w:val="22"/>
          <w:shd w:val="clear" w:color="auto" w:fill="FFFFFF"/>
          <w:lang w:val="hy-AM" w:eastAsia="en-US"/>
        </w:rPr>
        <w:t xml:space="preserve"> մլն դրամ</w:t>
      </w:r>
      <w:r w:rsidRPr="007F28F7">
        <w:rPr>
          <w:b w:val="0"/>
          <w:bCs/>
          <w:color w:val="191919"/>
          <w:szCs w:val="22"/>
          <w:shd w:val="clear" w:color="auto" w:fill="FFFFFF"/>
          <w:lang w:val="af-ZA" w:eastAsia="en-US"/>
        </w:rPr>
        <w:t xml:space="preserve"> </w:t>
      </w:r>
      <w:r w:rsidRPr="007F28F7">
        <w:rPr>
          <w:b w:val="0"/>
          <w:color w:val="000000"/>
          <w:szCs w:val="22"/>
          <w:lang w:val="hy-AM" w:eastAsia="en-US"/>
        </w:rPr>
        <w:t>(ներառյալ կառավարման ապարատի պահպանման ծախսերը)</w:t>
      </w:r>
      <w:r w:rsidRPr="007F28F7">
        <w:rPr>
          <w:rFonts w:cs="Sylfaen"/>
          <w:b w:val="0"/>
          <w:szCs w:val="22"/>
          <w:lang w:val="hy-AM"/>
        </w:rPr>
        <w:t>¸</w:t>
      </w:r>
      <w:r w:rsidRPr="007F28F7">
        <w:rPr>
          <w:rFonts w:cs="Sylfaen"/>
          <w:b w:val="0"/>
          <w:szCs w:val="22"/>
          <w:lang w:val="af-ZA"/>
        </w:rPr>
        <w:t xml:space="preserve"> </w:t>
      </w:r>
      <w:r w:rsidRPr="007F28F7">
        <w:rPr>
          <w:b w:val="0"/>
          <w:bCs/>
          <w:color w:val="191919"/>
          <w:szCs w:val="22"/>
          <w:shd w:val="clear" w:color="auto" w:fill="FFFFFF"/>
          <w:lang w:val="hy-AM" w:eastAsia="en-US"/>
        </w:rPr>
        <w:t>որի շրջանակներում նախատեսվում է իրականացնել հետևյալ ծրագրերը.</w:t>
      </w:r>
    </w:p>
    <w:p w:rsidR="00924858" w:rsidRPr="00C43BF7" w:rsidRDefault="00924858" w:rsidP="00AD7A03">
      <w:pPr>
        <w:spacing w:before="0" w:line="276" w:lineRule="auto"/>
        <w:ind w:firstLine="540"/>
        <w:contextualSpacing w:val="0"/>
        <w:rPr>
          <w:rFonts w:eastAsia="Calibri" w:cs="Calibri"/>
          <w:bCs/>
          <w:color w:val="191919"/>
          <w:szCs w:val="22"/>
          <w:shd w:val="clear" w:color="auto" w:fill="FFFFFF"/>
          <w:lang w:val="hy-AM" w:eastAsia="en-US"/>
        </w:rPr>
      </w:pPr>
      <w:r w:rsidRPr="00924858">
        <w:rPr>
          <w:rFonts w:eastAsia="Calibri" w:cs="Calibri"/>
          <w:bCs/>
          <w:color w:val="191919"/>
          <w:szCs w:val="22"/>
          <w:shd w:val="clear" w:color="auto" w:fill="FFFFFF"/>
          <w:lang w:val="hy-AM" w:eastAsia="en-US"/>
        </w:rPr>
        <w:t xml:space="preserve">Պարգևավճարներ և պատվովճարներ ծրագրի </w:t>
      </w:r>
      <w:r w:rsidRPr="00924858">
        <w:rPr>
          <w:rFonts w:eastAsia="Calibri" w:cs="Calibri"/>
          <w:b w:val="0"/>
          <w:bCs/>
          <w:color w:val="191919"/>
          <w:szCs w:val="22"/>
          <w:shd w:val="clear" w:color="auto" w:fill="FFFFFF"/>
          <w:lang w:val="hy-AM" w:eastAsia="en-US"/>
        </w:rPr>
        <w:t>վերջնական արդյունքը զինծառայողների, այդ թվում՝  Հայրենական մեծ պատերազմի վետերանների և նրանց ընտանիքների անդամների սոցիալական պաշտպանվածության մակարդակի բարձրացումն է:</w:t>
      </w:r>
    </w:p>
    <w:p w:rsidR="00924858" w:rsidRPr="00924858" w:rsidRDefault="00924858" w:rsidP="00AD7A03">
      <w:pPr>
        <w:spacing w:before="0" w:line="276" w:lineRule="auto"/>
        <w:ind w:firstLine="540"/>
        <w:contextualSpacing w:val="0"/>
        <w:rPr>
          <w:rFonts w:eastAsia="Calibri" w:cs="Calibri"/>
          <w:bCs/>
          <w:color w:val="191919"/>
          <w:szCs w:val="22"/>
          <w:shd w:val="clear" w:color="auto" w:fill="FFFFFF"/>
          <w:lang w:val="hy-AM" w:eastAsia="en-US"/>
        </w:rPr>
      </w:pPr>
      <w:r w:rsidRPr="00924858">
        <w:rPr>
          <w:rFonts w:eastAsia="Calibri" w:cs="Calibri"/>
          <w:b w:val="0"/>
          <w:bCs/>
          <w:color w:val="191919"/>
          <w:szCs w:val="22"/>
          <w:shd w:val="clear" w:color="auto" w:fill="FFFFFF"/>
          <w:lang w:val="hy-AM" w:eastAsia="en-US"/>
        </w:rPr>
        <w:t>2023 թվականի համար նախատեսվում է հատկացվել 11.0</w:t>
      </w:r>
      <w:r w:rsidR="00DC2ED9" w:rsidRPr="00C43BF7">
        <w:rPr>
          <w:rFonts w:eastAsia="Calibri" w:cs="Calibri"/>
          <w:b w:val="0"/>
          <w:bCs/>
          <w:color w:val="191919"/>
          <w:szCs w:val="22"/>
          <w:shd w:val="clear" w:color="auto" w:fill="FFFFFF"/>
          <w:lang w:val="hy-AM" w:eastAsia="en-US"/>
        </w:rPr>
        <w:t>34</w:t>
      </w:r>
      <w:r w:rsidRPr="00924858">
        <w:rPr>
          <w:rFonts w:eastAsia="Calibri" w:cs="Calibri"/>
          <w:b w:val="0"/>
          <w:bCs/>
          <w:color w:val="191919"/>
          <w:szCs w:val="22"/>
          <w:shd w:val="clear" w:color="auto" w:fill="FFFFFF"/>
          <w:lang w:val="hy-AM" w:eastAsia="en-US"/>
        </w:rPr>
        <w:t>.3 մլն դրամ` 34499 շահառուի համար։</w:t>
      </w:r>
    </w:p>
    <w:p w:rsidR="007F28F7" w:rsidRPr="007F28F7" w:rsidRDefault="007F28F7" w:rsidP="00AD7A03">
      <w:pPr>
        <w:tabs>
          <w:tab w:val="left" w:pos="0"/>
        </w:tabs>
        <w:spacing w:before="0" w:line="276" w:lineRule="auto"/>
        <w:contextualSpacing w:val="0"/>
        <w:rPr>
          <w:b w:val="0"/>
          <w:bCs/>
          <w:color w:val="191919"/>
          <w:szCs w:val="22"/>
          <w:shd w:val="clear" w:color="auto" w:fill="FFFFFF"/>
          <w:lang w:val="hy-AM" w:eastAsia="en-US"/>
        </w:rPr>
      </w:pPr>
      <w:r w:rsidRPr="007F28F7">
        <w:rPr>
          <w:iCs/>
          <w:color w:val="191919"/>
          <w:szCs w:val="22"/>
          <w:shd w:val="clear" w:color="auto" w:fill="FFFFFF"/>
          <w:lang w:val="hy-AM" w:eastAsia="en-US"/>
        </w:rPr>
        <w:t>Անապահով սոցիալական խմբերին աջակցություն</w:t>
      </w:r>
      <w:r w:rsidRPr="007F28F7">
        <w:rPr>
          <w:bCs/>
          <w:color w:val="191919"/>
          <w:szCs w:val="22"/>
          <w:shd w:val="clear" w:color="auto" w:fill="FFFFFF"/>
          <w:lang w:val="hy-AM" w:eastAsia="en-US"/>
        </w:rPr>
        <w:t xml:space="preserve"> </w:t>
      </w:r>
      <w:r w:rsidRPr="007F28F7">
        <w:rPr>
          <w:b w:val="0"/>
          <w:bCs/>
          <w:color w:val="191919"/>
          <w:szCs w:val="22"/>
          <w:shd w:val="clear" w:color="auto" w:fill="FFFFFF"/>
          <w:lang w:val="hy-AM" w:eastAsia="en-US"/>
        </w:rPr>
        <w:t>ծրագրի վերջնական արդյունքը՝ օժանդակել անապահով ընտանիքների կենսամակարդակի բարձրացմանը՝ դրանով մեղմելով աղքատությունը և կրճատելով ծայրահեղ աղքատությունը:</w:t>
      </w:r>
    </w:p>
    <w:p w:rsidR="007F28F7" w:rsidRPr="007F28F7" w:rsidRDefault="007F28F7" w:rsidP="00AD7A03">
      <w:pPr>
        <w:tabs>
          <w:tab w:val="left" w:pos="0"/>
        </w:tabs>
        <w:spacing w:before="0" w:line="276" w:lineRule="auto"/>
        <w:contextualSpacing w:val="0"/>
        <w:rPr>
          <w:b w:val="0"/>
          <w:bCs/>
          <w:color w:val="191919"/>
          <w:szCs w:val="22"/>
          <w:shd w:val="clear" w:color="auto" w:fill="FFFFFF"/>
          <w:lang w:val="hy-AM" w:eastAsia="en-US"/>
        </w:rPr>
      </w:pPr>
      <w:r w:rsidRPr="007F28F7">
        <w:rPr>
          <w:b w:val="0"/>
          <w:bCs/>
          <w:color w:val="191919"/>
          <w:szCs w:val="22"/>
          <w:shd w:val="clear" w:color="auto" w:fill="FFFFFF"/>
          <w:lang w:val="hy-AM" w:eastAsia="en-US"/>
        </w:rPr>
        <w:t xml:space="preserve">2023 թվականի պետական բյուջեով ծրագրի համար նախատեսվում է 33,408.7 մլն դրամ: Մինչ համակարգի վերանայումը՝ 2023 թվականին </w:t>
      </w:r>
      <w:r w:rsidR="00980531">
        <w:rPr>
          <w:b w:val="0"/>
          <w:bCs/>
          <w:color w:val="191919"/>
          <w:szCs w:val="22"/>
          <w:shd w:val="clear" w:color="auto" w:fill="FFFFFF"/>
          <w:lang w:val="hy-AM" w:eastAsia="en-US"/>
        </w:rPr>
        <w:t>ԸԿԲՆ</w:t>
      </w:r>
      <w:r w:rsidRPr="007F28F7">
        <w:rPr>
          <w:b w:val="0"/>
          <w:bCs/>
          <w:color w:val="191919"/>
          <w:szCs w:val="22"/>
          <w:shd w:val="clear" w:color="auto" w:fill="FFFFFF"/>
          <w:lang w:val="hy-AM" w:eastAsia="en-US"/>
        </w:rPr>
        <w:t xml:space="preserve"> կտրամադրվի շուրջ 89629 ընտանիքների, իսկ նպաստի միջին ամսական չափը կկազմի 33,350 դրամ: Հաշվի առնելով երեխաներին սոցիալական աջակցություն տրամադրելու առաջնահերթության սկզբունքը` հաշվարկներում կանխատեսվել է, որ 89629 ընտանիքների մոտ 71%-ը կկազմեն երեխա ունեցող ընտանիքները: </w:t>
      </w:r>
    </w:p>
    <w:p w:rsidR="007F28F7" w:rsidRPr="007F28F7" w:rsidRDefault="007F28F7" w:rsidP="00AD7A03">
      <w:pPr>
        <w:tabs>
          <w:tab w:val="left" w:pos="0"/>
        </w:tabs>
        <w:spacing w:before="0" w:line="276" w:lineRule="auto"/>
        <w:contextualSpacing w:val="0"/>
        <w:rPr>
          <w:b w:val="0"/>
          <w:bCs/>
          <w:color w:val="191919"/>
          <w:szCs w:val="22"/>
          <w:shd w:val="clear" w:color="auto" w:fill="FFFFFF"/>
          <w:lang w:val="hy-AM" w:eastAsia="en-US"/>
        </w:rPr>
      </w:pPr>
      <w:r w:rsidRPr="007F28F7">
        <w:rPr>
          <w:bCs/>
          <w:color w:val="191919"/>
          <w:szCs w:val="22"/>
          <w:shd w:val="clear" w:color="auto" w:fill="FFFFFF"/>
          <w:lang w:val="hy-AM" w:eastAsia="en-US"/>
        </w:rPr>
        <w:t xml:space="preserve">Սոցիալական փաթեթների ապահովում </w:t>
      </w:r>
      <w:r w:rsidRPr="007F28F7">
        <w:rPr>
          <w:b w:val="0"/>
          <w:bCs/>
          <w:color w:val="191919"/>
          <w:szCs w:val="22"/>
          <w:shd w:val="clear" w:color="auto" w:fill="FFFFFF"/>
          <w:lang w:val="hy-AM" w:eastAsia="en-US"/>
        </w:rPr>
        <w:t xml:space="preserve">ծրագրի վերջնական արդյունքը պետական մարմինների աշխատակիցների կյանքի որակի բարելավումն է՝ սոցիալական երաշխիքների ապահովման և աշխատանքային մոտիվացիայի բարձրացման նպատակով: </w:t>
      </w:r>
    </w:p>
    <w:p w:rsidR="007F28F7" w:rsidRPr="007F28F7" w:rsidRDefault="007F28F7" w:rsidP="00AD7A03">
      <w:pPr>
        <w:tabs>
          <w:tab w:val="left" w:pos="0"/>
        </w:tabs>
        <w:spacing w:before="0" w:line="276" w:lineRule="auto"/>
        <w:contextualSpacing w:val="0"/>
        <w:rPr>
          <w:b w:val="0"/>
          <w:bCs/>
          <w:color w:val="191919"/>
          <w:szCs w:val="22"/>
          <w:shd w:val="clear" w:color="auto" w:fill="FFFFFF"/>
          <w:lang w:val="hy-AM" w:eastAsia="en-US"/>
        </w:rPr>
      </w:pPr>
      <w:r w:rsidRPr="007F28F7">
        <w:rPr>
          <w:b w:val="0"/>
          <w:bCs/>
          <w:color w:val="191919"/>
          <w:szCs w:val="22"/>
          <w:shd w:val="clear" w:color="auto" w:fill="FFFFFF"/>
          <w:lang w:val="hy-AM" w:eastAsia="en-US"/>
        </w:rPr>
        <w:t>2023 թվականի համար նախատեսվում է 10,619.5 մլն դրամ՝ 147493 շահառուի հաշվարկով։</w:t>
      </w:r>
    </w:p>
    <w:p w:rsidR="007F28F7" w:rsidRPr="007F28F7" w:rsidRDefault="007F28F7" w:rsidP="00AD7A03">
      <w:pPr>
        <w:tabs>
          <w:tab w:val="left" w:pos="0"/>
        </w:tabs>
        <w:spacing w:before="0" w:line="276" w:lineRule="auto"/>
        <w:contextualSpacing w:val="0"/>
        <w:rPr>
          <w:b w:val="0"/>
          <w:bCs/>
          <w:color w:val="191919"/>
          <w:szCs w:val="22"/>
          <w:shd w:val="clear" w:color="auto" w:fill="FFFFFF"/>
          <w:lang w:val="hy-AM" w:eastAsia="en-US"/>
        </w:rPr>
      </w:pPr>
      <w:r w:rsidRPr="007F28F7">
        <w:rPr>
          <w:iCs/>
          <w:color w:val="191919"/>
          <w:szCs w:val="22"/>
          <w:shd w:val="clear" w:color="auto" w:fill="FFFFFF"/>
          <w:lang w:val="hy-AM" w:eastAsia="en-US"/>
        </w:rPr>
        <w:t>Խնամքի ծառայություններ 18 տարեկանից բարձր տարիքի անձանց</w:t>
      </w:r>
      <w:r w:rsidRPr="007F28F7">
        <w:rPr>
          <w:color w:val="191919"/>
          <w:szCs w:val="22"/>
          <w:shd w:val="clear" w:color="auto" w:fill="FFFFFF"/>
          <w:lang w:val="hy-AM" w:eastAsia="en-US"/>
        </w:rPr>
        <w:t xml:space="preserve"> </w:t>
      </w:r>
      <w:r w:rsidRPr="007F28F7">
        <w:rPr>
          <w:b w:val="0"/>
          <w:bCs/>
          <w:color w:val="191919"/>
          <w:szCs w:val="22"/>
          <w:shd w:val="clear" w:color="auto" w:fill="FFFFFF"/>
          <w:lang w:val="hy-AM" w:eastAsia="en-US"/>
        </w:rPr>
        <w:t xml:space="preserve">ծրագրի վերջնական արդյունքը խնամքի կարիք ունեցող 18 տարեկանից բարձր տարիքի անձանց իրենց գնահատված անհատական սոցիալական կարիքներին համապատասխան խնամքի ծառայությունների տրամադրումն է՝ բնականոն կենսագործունեության ապահովման նպատակով: </w:t>
      </w:r>
    </w:p>
    <w:p w:rsidR="007F28F7" w:rsidRPr="007F28F7" w:rsidRDefault="007F28F7" w:rsidP="00AD7A03">
      <w:pPr>
        <w:tabs>
          <w:tab w:val="left" w:pos="0"/>
        </w:tabs>
        <w:spacing w:before="0" w:line="276" w:lineRule="auto"/>
        <w:contextualSpacing w:val="0"/>
        <w:rPr>
          <w:b w:val="0"/>
          <w:bCs/>
          <w:color w:val="191919"/>
          <w:szCs w:val="22"/>
          <w:shd w:val="clear" w:color="auto" w:fill="FFFFFF"/>
          <w:lang w:val="hy-AM" w:eastAsia="en-US"/>
        </w:rPr>
      </w:pPr>
      <w:r w:rsidRPr="007F28F7">
        <w:rPr>
          <w:b w:val="0"/>
          <w:bCs/>
          <w:color w:val="191919"/>
          <w:szCs w:val="22"/>
          <w:shd w:val="clear" w:color="auto" w:fill="FFFFFF"/>
          <w:lang w:val="hy-AM" w:eastAsia="en-US"/>
        </w:rPr>
        <w:t xml:space="preserve">Ծրագրի իրականացման համար 2023 թվականին </w:t>
      </w:r>
      <w:r w:rsidRPr="007F28F7">
        <w:rPr>
          <w:rFonts w:cs="GHEA Grapalat"/>
          <w:b w:val="0"/>
          <w:bCs/>
          <w:color w:val="191919"/>
          <w:szCs w:val="22"/>
          <w:shd w:val="clear" w:color="auto" w:fill="FFFFFF"/>
          <w:lang w:val="hy-AM" w:eastAsia="en-US"/>
        </w:rPr>
        <w:t>նախ</w:t>
      </w:r>
      <w:r w:rsidR="00924858">
        <w:rPr>
          <w:b w:val="0"/>
          <w:bCs/>
          <w:color w:val="191919"/>
          <w:szCs w:val="22"/>
          <w:shd w:val="clear" w:color="auto" w:fill="FFFFFF"/>
          <w:lang w:val="hy-AM" w:eastAsia="en-US"/>
        </w:rPr>
        <w:t>ատեսվում է 3,763.</w:t>
      </w:r>
      <w:r w:rsidRPr="007F28F7">
        <w:rPr>
          <w:b w:val="0"/>
          <w:bCs/>
          <w:color w:val="191919"/>
          <w:szCs w:val="22"/>
          <w:shd w:val="clear" w:color="auto" w:fill="FFFFFF"/>
          <w:lang w:val="hy-AM" w:eastAsia="en-US"/>
        </w:rPr>
        <w:t xml:space="preserve">4 մլն դրամ, որի շրջանակում շուրջօրյա խնամքի տրամադրման ծառայություններ են տրամադրվելու 1260, տնային պայմաններում խնամքի ծառայություններ (այդ թվում՝ հոգեկան առողջության խնդիրներ ունեցող անձանց ևս)՝ 1250, ցերեկային կենտրոններում խնամքի և բարեգործական ճաշարաններում սննդի տրամադրման համար՝ 1200, անօթևան մարդկանց ժամանակավոր կացարանում՝ 100 շահառուի: </w:t>
      </w:r>
    </w:p>
    <w:p w:rsidR="007F28F7" w:rsidRPr="007F28F7" w:rsidRDefault="007F28F7" w:rsidP="00AD7A03">
      <w:pPr>
        <w:tabs>
          <w:tab w:val="left" w:pos="0"/>
        </w:tabs>
        <w:spacing w:before="0" w:line="276" w:lineRule="auto"/>
        <w:contextualSpacing w:val="0"/>
        <w:rPr>
          <w:b w:val="0"/>
          <w:bCs/>
          <w:color w:val="191919"/>
          <w:szCs w:val="22"/>
          <w:shd w:val="clear" w:color="auto" w:fill="FFFFFF"/>
          <w:lang w:val="hy-AM" w:eastAsia="en-US"/>
        </w:rPr>
      </w:pPr>
      <w:r w:rsidRPr="007F28F7">
        <w:rPr>
          <w:b w:val="0"/>
          <w:bCs/>
          <w:color w:val="191919"/>
          <w:szCs w:val="22"/>
          <w:shd w:val="clear" w:color="auto" w:fill="FFFFFF"/>
          <w:lang w:val="hy-AM" w:eastAsia="en-US"/>
        </w:rPr>
        <w:t>Վերանայվելու են ծառայությունների մատուցման չափորոշիչները, արդյունքում բարելավվելու է մատուցվող ծառայությունների որակն ու մեծանալու է հասցեականությունը, ներդրվող համայնքահեն ծառայություններում կարևորություն է տրվելու համայնքի մասնակցությանը և ավելի մեծ թվով հասարակական կազմակերպությունների ընդգրկվածությանը:</w:t>
      </w:r>
    </w:p>
    <w:p w:rsidR="007F28F7" w:rsidRPr="007F28F7" w:rsidRDefault="007F28F7" w:rsidP="00AD7A03">
      <w:pPr>
        <w:tabs>
          <w:tab w:val="left" w:pos="0"/>
        </w:tabs>
        <w:spacing w:before="0" w:line="276" w:lineRule="auto"/>
        <w:contextualSpacing w:val="0"/>
        <w:rPr>
          <w:b w:val="0"/>
          <w:bCs/>
          <w:color w:val="191919"/>
          <w:szCs w:val="22"/>
          <w:shd w:val="clear" w:color="auto" w:fill="FFFFFF"/>
          <w:lang w:val="hy-AM" w:eastAsia="en-US"/>
        </w:rPr>
      </w:pPr>
      <w:r w:rsidRPr="007F28F7">
        <w:rPr>
          <w:b w:val="0"/>
          <w:bCs/>
          <w:color w:val="191919"/>
          <w:szCs w:val="22"/>
          <w:shd w:val="clear" w:color="auto" w:fill="FFFFFF"/>
          <w:lang w:val="hy-AM" w:eastAsia="en-US"/>
        </w:rPr>
        <w:t>Միաժամանակ, բացի վերը նշված միջոցառումներից նախատեսվում է մեկնարկել տարեց և (կամ) հաշմանդամություն ունեցող անձանց շուրջօրյա խնամք մատուցող ՊՈԱԿ-ների շենքային պայմանների բարելավման աշխատանքներ: Այդ նպատակով նախատեսված 118.2 մլն դրամի շրջանակներում ակնկալվում է ձեռք բերել թվով 4 շենքերի վերակառուցման նախագծանախահաշվային փաստաթղթերը:</w:t>
      </w:r>
    </w:p>
    <w:p w:rsidR="00924858" w:rsidRPr="00924858" w:rsidRDefault="00924858" w:rsidP="00AD7A03">
      <w:pPr>
        <w:spacing w:before="0" w:line="276" w:lineRule="auto"/>
        <w:ind w:firstLine="720"/>
        <w:contextualSpacing w:val="0"/>
        <w:rPr>
          <w:rFonts w:eastAsia="Calibri" w:cs="Calibri"/>
          <w:b w:val="0"/>
          <w:szCs w:val="22"/>
          <w:lang w:val="hy-AM" w:eastAsia="en-US"/>
        </w:rPr>
      </w:pPr>
      <w:r w:rsidRPr="00924858">
        <w:rPr>
          <w:rFonts w:eastAsia="Calibri" w:cs="Calibri"/>
          <w:szCs w:val="22"/>
          <w:lang w:val="hy-AM" w:eastAsia="en-US"/>
        </w:rPr>
        <w:t>Ժողովրդագրական վիճակի բարելավում ծրագրի</w:t>
      </w:r>
      <w:r w:rsidRPr="00924858">
        <w:rPr>
          <w:rFonts w:eastAsia="Calibri" w:cs="Calibri"/>
          <w:b w:val="0"/>
          <w:szCs w:val="22"/>
          <w:lang w:val="hy-AM" w:eastAsia="en-US"/>
        </w:rPr>
        <w:t xml:space="preserve"> վերջնական արդյունքը ժողովրդագրական վիճակի բարելավումը և բազմազավակության աճն է: </w:t>
      </w:r>
    </w:p>
    <w:p w:rsidR="00924858" w:rsidRPr="00924858" w:rsidRDefault="00924858" w:rsidP="00AD7A03">
      <w:pPr>
        <w:spacing w:before="0" w:line="276" w:lineRule="auto"/>
        <w:ind w:firstLine="720"/>
        <w:contextualSpacing w:val="0"/>
        <w:rPr>
          <w:rFonts w:eastAsia="Calibri" w:cs="Calibri"/>
          <w:b w:val="0"/>
          <w:szCs w:val="22"/>
          <w:lang w:val="hy-AM" w:eastAsia="en-US"/>
        </w:rPr>
      </w:pPr>
      <w:r w:rsidRPr="00924858">
        <w:rPr>
          <w:rFonts w:eastAsia="Calibri" w:cs="Calibri"/>
          <w:b w:val="0"/>
          <w:szCs w:val="22"/>
          <w:lang w:val="hy-AM" w:eastAsia="en-US"/>
        </w:rPr>
        <w:t>Ծրագրի գծով 2023 թվականի համար նախատեսվում է հատկացնել 51,296.0 մլն դրամ։</w:t>
      </w:r>
    </w:p>
    <w:p w:rsidR="00924858" w:rsidRPr="00924858" w:rsidRDefault="00924858" w:rsidP="00AD7A03">
      <w:pPr>
        <w:spacing w:before="0" w:line="276" w:lineRule="auto"/>
        <w:ind w:firstLine="720"/>
        <w:contextualSpacing w:val="0"/>
        <w:rPr>
          <w:rFonts w:eastAsia="Calibri" w:cs="Calibri"/>
          <w:b w:val="0"/>
          <w:szCs w:val="22"/>
          <w:lang w:val="hy-AM" w:eastAsia="en-US"/>
        </w:rPr>
      </w:pPr>
      <w:r w:rsidRPr="00924858">
        <w:rPr>
          <w:rFonts w:eastAsia="Calibri" w:cs="Calibri"/>
          <w:b w:val="0"/>
          <w:szCs w:val="22"/>
          <w:lang w:val="hy-AM" w:eastAsia="en-US"/>
        </w:rPr>
        <w:t>2023 թվականին էականորեն կավելանան մինչև 2 տարեկան երեխայի խնամքի նպաստի գծով ծախսերը: 2023 թվականի համար այս միջոցառման գծով ծախսերը կանխատեսվել են 20,350.7 մլն դրամի չափով։</w:t>
      </w:r>
    </w:p>
    <w:p w:rsidR="00924858" w:rsidRPr="00924858" w:rsidRDefault="00924858" w:rsidP="00AD7A03">
      <w:pPr>
        <w:spacing w:before="0" w:line="276" w:lineRule="auto"/>
        <w:ind w:firstLine="720"/>
        <w:contextualSpacing w:val="0"/>
        <w:rPr>
          <w:rFonts w:eastAsia="Calibri" w:cs="Calibri"/>
          <w:b w:val="0"/>
          <w:szCs w:val="22"/>
          <w:lang w:val="hy-AM" w:eastAsia="en-US"/>
        </w:rPr>
      </w:pPr>
      <w:r w:rsidRPr="00924858">
        <w:rPr>
          <w:rFonts w:eastAsia="Calibri" w:cs="Calibri"/>
          <w:b w:val="0"/>
          <w:szCs w:val="22"/>
          <w:lang w:val="hy-AM" w:eastAsia="en-US"/>
        </w:rPr>
        <w:t>Այս դեպքում հարկ է նկատի ունենալ, որ ՀՀ կառավարության 2021-2026 թվականների գործունեության միջոցառումների ծրագրի «Աշխատանքի և սոցիալական հարցերի նախարարություն» բաժնի 17.2-րդ կետով նախատեսված է, որ 2023թ. հունվարի 1-ից հետո ծնված երեխաների խնամքի համար մինչև 2 տարեկան երեխայի խնամքի նպաստ նշանակել բոլոր մայրերին՝ անկախ նրանց հաշվառման (բնակության) վայրի (ներկայումս վճարվում է խնամքի արձակուրդում գտնվող վարձու աշխատողին և անկախ խնամքի արձակուրդում գտնվելու հանգամանքից՝ գյուղաբնակ ծնողին)։ Արդյունքում շահառուների թիվը կավելանա ի հաշիվ չաշխատող, քաղաքաբնակ, ինչպես նաև վարձու աշխատող հանդիսացող, բայց խնամքի արձակուրդում չգտնվող մայրերի՝ 2023թվականի հունվարի 1-ին և դրանից հետո ծնված երեխաների խնամքի կապակցությամբ։</w:t>
      </w:r>
    </w:p>
    <w:p w:rsidR="00924858" w:rsidRPr="00924858" w:rsidRDefault="00924858" w:rsidP="00AD7A03">
      <w:pPr>
        <w:spacing w:before="0" w:line="276" w:lineRule="auto"/>
        <w:ind w:firstLine="720"/>
        <w:contextualSpacing w:val="0"/>
        <w:rPr>
          <w:rFonts w:eastAsia="Calibri" w:cs="Calibri"/>
          <w:b w:val="0"/>
          <w:szCs w:val="22"/>
          <w:lang w:val="hy-AM" w:eastAsia="en-US"/>
        </w:rPr>
      </w:pPr>
      <w:r w:rsidRPr="00924858">
        <w:rPr>
          <w:rFonts w:eastAsia="Calibri" w:cs="Calibri"/>
          <w:b w:val="0"/>
          <w:szCs w:val="22"/>
          <w:lang w:val="hy-AM" w:eastAsia="en-US"/>
        </w:rPr>
        <w:t>Ընդ որում, նախատեսվում է, որ խնամքի արձակուրդում գտնվող ծնողի դեպքում նպաստի չափը հաշվարկվելու է նվազագույն աշխատավարձի նկատմամբ ՀՀ կառավարության սահմանած տոկոսից, իսկ չաշխատող կամ վարձու աշխատող հանդիսացող, բայց խնամքի արձակուրդում չգտնվող մայրերի դեպքում՝ խնամքի արձակուրդում գտնվող ծնողի համար սահմանված գումարի 85 տոկոսը չգերազանցող չափով։ Գյուղաբնակ և միաժամանակ խնամքի արձակուրդում գտնվող ծնողին խնամքի նպաստը կվճարվի նշված 2 գումարների հանրագումարի չափով։</w:t>
      </w:r>
    </w:p>
    <w:p w:rsidR="00924858" w:rsidRPr="00924858" w:rsidRDefault="00924858" w:rsidP="00AD7A03">
      <w:pPr>
        <w:spacing w:before="0" w:line="276" w:lineRule="auto"/>
        <w:ind w:firstLine="720"/>
        <w:contextualSpacing w:val="0"/>
        <w:rPr>
          <w:rFonts w:eastAsia="Calibri" w:cs="Calibri"/>
          <w:b w:val="0"/>
          <w:szCs w:val="22"/>
          <w:lang w:val="hy-AM" w:eastAsia="en-US"/>
        </w:rPr>
      </w:pPr>
      <w:r w:rsidRPr="00924858">
        <w:rPr>
          <w:rFonts w:eastAsia="Calibri" w:cs="Calibri"/>
          <w:b w:val="0"/>
          <w:szCs w:val="22"/>
          <w:lang w:val="hy-AM" w:eastAsia="en-US"/>
        </w:rPr>
        <w:t xml:space="preserve">2023 թվականին պահպանվելու են 2022 թվականի համար սահմանված երեխայի ծննդյան միանվագ նպաստի չափերը՝ 1-ին կամ 2-րդ երեխայի ծննդյան դեպքում՝ 300 հազար դրամ, 3-րդ կամ 4-րդ երեխայի ծննդյան դեպքում՝ 1 մլն դրամ, 5-րդ և յուրաքանչյուր հաջորդ երեխայի ծննդյան դեպքում 1.5 մլն դրամ: </w:t>
      </w:r>
    </w:p>
    <w:p w:rsidR="00924858" w:rsidRPr="00924858" w:rsidRDefault="00924858" w:rsidP="00AD7A03">
      <w:pPr>
        <w:spacing w:before="0" w:line="276" w:lineRule="auto"/>
        <w:ind w:firstLine="720"/>
        <w:contextualSpacing w:val="0"/>
        <w:rPr>
          <w:rFonts w:eastAsia="Calibri" w:cs="Calibri"/>
          <w:b w:val="0"/>
          <w:szCs w:val="22"/>
          <w:lang w:val="hy-AM" w:eastAsia="en-US"/>
        </w:rPr>
      </w:pPr>
      <w:r w:rsidRPr="00924858">
        <w:rPr>
          <w:rFonts w:eastAsia="Calibri" w:cs="Calibri"/>
          <w:b w:val="0"/>
          <w:szCs w:val="22"/>
          <w:lang w:val="hy-AM" w:eastAsia="en-US"/>
        </w:rPr>
        <w:t xml:space="preserve">2023 թվականին նախատեսվում է հատկացնել 19,897.4 մլն դրամ՝ 36024 նորածինների ծննդյան կապակցությամբ երեխայի ծննդյան միանվագ նպաստ տրամադրելու համար։ </w:t>
      </w:r>
    </w:p>
    <w:p w:rsidR="00924858" w:rsidRPr="00924858" w:rsidRDefault="00924858" w:rsidP="00AD7A03">
      <w:pPr>
        <w:spacing w:before="0" w:line="276" w:lineRule="auto"/>
        <w:ind w:firstLine="720"/>
        <w:contextualSpacing w:val="0"/>
        <w:rPr>
          <w:rFonts w:eastAsia="Calibri" w:cs="Calibri"/>
          <w:b w:val="0"/>
          <w:szCs w:val="22"/>
          <w:lang w:val="hy-AM" w:eastAsia="en-US"/>
        </w:rPr>
      </w:pPr>
      <w:r w:rsidRPr="00924858">
        <w:rPr>
          <w:rFonts w:eastAsia="Calibri" w:cs="Calibri"/>
          <w:b w:val="0"/>
          <w:szCs w:val="22"/>
          <w:lang w:val="hy-AM" w:eastAsia="en-US"/>
        </w:rPr>
        <w:t>Բազմազավակ և երիտասարդ ընտանիքների բնակարանային ապահովությանն աջակցելու նպատակով իրականացվող միջոցառման շրջանակներում այդ ընտանիքներին տրամադրվում է պետական աջակցություն է՝ իրենց հիպոթեքային վարկերի մարման համար։ Այս նպատակով 2023 թվականի համար ծախսերը կանխատեսվել են 1,290.8 մլն դրամի չափով:</w:t>
      </w:r>
    </w:p>
    <w:p w:rsidR="00924858" w:rsidRPr="00924858" w:rsidRDefault="00924858" w:rsidP="00AD7A03">
      <w:pPr>
        <w:spacing w:before="0" w:line="276" w:lineRule="auto"/>
        <w:ind w:firstLine="720"/>
        <w:contextualSpacing w:val="0"/>
        <w:rPr>
          <w:rFonts w:eastAsia="Calibri" w:cs="Calibri"/>
          <w:b w:val="0"/>
          <w:szCs w:val="22"/>
          <w:lang w:val="hy-AM" w:eastAsia="en-US"/>
        </w:rPr>
      </w:pPr>
      <w:r w:rsidRPr="00924858">
        <w:rPr>
          <w:rFonts w:eastAsia="Calibri" w:cs="Calibri"/>
          <w:b w:val="0"/>
          <w:szCs w:val="22"/>
          <w:lang w:val="hy-AM" w:eastAsia="en-US"/>
        </w:rPr>
        <w:t>2023 թվականին կշարունակվի իրականացվել ժողովրդագրական իրավիճակի բարելավմանն ուղղված՝ ընտանիքում 3-րդ և յուրաքանչյուր հաջորդ երեխայի ծնվելու կապակցությամբ միջոցառումը, որի շրջանակներում 2022 թվականի հունվարի 1-ից հետո ծնված երեխայի ծնողին՝ մինչև երեխայի 6 տարեկանը լրանալը վճարվելու է 50000 դրամ: 2023 թվականին միջոցառման իրականացմանը կուղղվի 9,730.8 մլն դրամ, ինչի հաշվին հնարավոր կլինի պետական աջակցություն տրամադրել միջին ամսական շուրջ 16218 երեխաների ընտանիքներին: Միջոցառման շարունակականության հարցը կքննարկվի 2026թվականին՝ նախորդ ժամանակահատվածի արդյունավետության գնահատականի հիման վրա:</w:t>
      </w:r>
    </w:p>
    <w:p w:rsidR="00924858" w:rsidRPr="00924858" w:rsidRDefault="00924858" w:rsidP="00AD7A03">
      <w:pPr>
        <w:spacing w:before="0" w:line="276" w:lineRule="auto"/>
        <w:ind w:firstLine="720"/>
        <w:contextualSpacing w:val="0"/>
        <w:rPr>
          <w:rFonts w:eastAsia="Calibri" w:cs="Calibri"/>
          <w:b w:val="0"/>
          <w:szCs w:val="22"/>
          <w:lang w:val="hy-AM" w:eastAsia="en-US"/>
        </w:rPr>
      </w:pPr>
      <w:r w:rsidRPr="00924858">
        <w:rPr>
          <w:rFonts w:eastAsia="Calibri" w:cs="Calibri"/>
          <w:szCs w:val="22"/>
          <w:lang w:val="hy-AM" w:eastAsia="en-US"/>
        </w:rPr>
        <w:t xml:space="preserve">Սոցիալական աջակցություն անաշխատունակության դեպքում ծրագրի </w:t>
      </w:r>
      <w:r w:rsidRPr="00924858">
        <w:rPr>
          <w:rFonts w:eastAsia="Calibri" w:cs="Calibri"/>
          <w:b w:val="0"/>
          <w:szCs w:val="22"/>
          <w:lang w:val="hy-AM" w:eastAsia="en-US"/>
        </w:rPr>
        <w:t xml:space="preserve">վերջնական արդյունքը ժամանակավոր անաշխատունակության հետևանքով (այդ թվում` հղիության և ծննդաբերության պատճառով) եկամտի կորստի մասնակի կամ ամբողջական փոխհատուցման, ինչպես նաև չաշխատող մայրերին մայրության նպաստի տրամադրման ապահովումն է: 2023 թվականին այս ծրագրի գծով նախատեսվում է հատկացնել 20,571.9 մլն դրամ։ </w:t>
      </w:r>
    </w:p>
    <w:p w:rsidR="00924858" w:rsidRPr="00924858" w:rsidRDefault="00924858" w:rsidP="00AD7A03">
      <w:pPr>
        <w:spacing w:before="0" w:line="276" w:lineRule="auto"/>
        <w:ind w:firstLine="720"/>
        <w:contextualSpacing w:val="0"/>
        <w:rPr>
          <w:rFonts w:eastAsia="Calibri" w:cs="Calibri"/>
          <w:b w:val="0"/>
          <w:szCs w:val="22"/>
          <w:lang w:val="hy-AM" w:eastAsia="en-US"/>
        </w:rPr>
      </w:pPr>
      <w:r w:rsidRPr="00924858">
        <w:rPr>
          <w:rFonts w:eastAsia="Calibri" w:cs="Calibri"/>
          <w:b w:val="0"/>
          <w:szCs w:val="22"/>
          <w:lang w:val="hy-AM" w:eastAsia="en-US"/>
        </w:rPr>
        <w:t xml:space="preserve">Ժամանակավոր անաշխատունակության նպաստների գծով 2023 թվականի ծախսը կանխատեսվել է 6,289.2 մլն դրամի չափով՝ հաշվի առնելով 2023 թվականին նվազագույն ամսական աշխատավարձի ավելացման հնարավոր ազդեցությունը: </w:t>
      </w:r>
    </w:p>
    <w:p w:rsidR="00924858" w:rsidRPr="00924858" w:rsidRDefault="00924858" w:rsidP="00AD7A03">
      <w:pPr>
        <w:spacing w:before="0" w:line="276" w:lineRule="auto"/>
        <w:ind w:firstLine="720"/>
        <w:contextualSpacing w:val="0"/>
        <w:rPr>
          <w:rFonts w:eastAsia="Calibri" w:cs="Calibri"/>
          <w:b w:val="0"/>
          <w:szCs w:val="22"/>
          <w:lang w:val="hy-AM" w:eastAsia="en-US"/>
        </w:rPr>
      </w:pPr>
      <w:r w:rsidRPr="00924858">
        <w:rPr>
          <w:rFonts w:eastAsia="Calibri" w:cs="Calibri"/>
          <w:b w:val="0"/>
          <w:szCs w:val="22"/>
          <w:lang w:val="hy-AM" w:eastAsia="en-US"/>
        </w:rPr>
        <w:t>Աշխատող և չաշխատող մայրերին մայրության նպաստ տրամադրելու նպատակով 2023 թվականի համար նախատեսվել է 14,047.2 մլն դրամ:</w:t>
      </w:r>
    </w:p>
    <w:p w:rsidR="00924858" w:rsidRPr="00924858" w:rsidRDefault="00924858" w:rsidP="00AD7A03">
      <w:pPr>
        <w:spacing w:before="0" w:line="276" w:lineRule="auto"/>
        <w:ind w:firstLine="720"/>
        <w:contextualSpacing w:val="0"/>
        <w:rPr>
          <w:rFonts w:eastAsia="Calibri" w:cs="Calibri"/>
          <w:b w:val="0"/>
          <w:szCs w:val="22"/>
          <w:lang w:val="hy-AM" w:eastAsia="en-US"/>
        </w:rPr>
      </w:pPr>
      <w:r w:rsidRPr="00924858">
        <w:rPr>
          <w:rFonts w:eastAsia="Calibri" w:cs="Calibri"/>
          <w:b w:val="0"/>
          <w:szCs w:val="22"/>
          <w:lang w:val="hy-AM" w:eastAsia="en-US"/>
        </w:rPr>
        <w:t>Մարդու իրավունքների պաշտպանի դիմումի հիման վրա՝ ՀՀ քաղաքացիական օրենսգրքի 1086-րդ հոդվածի, ՀՀ աշխատանքային օրենսգրքի 236-րդ հոդվածի, ՀՀ կառավարության 1992թ. նոյեմբերի 15-ի «Ձեռնարկությունների, հիմնարկների ու կազմակերպությունների (անկախ սեփականության ձևից) աշխատողներին աշխատանքային պարտականությունների կատարման հետ կապված խեղման, մասնագիտական հիվանդության և առողջության այլ վնասման հետևանքով պատճառված վնասի փոխհատուցման կարգի մասին կանոնները հաստատելու մասին» N 579 որոշման, ՀՀ կառավարության 2009թ. հուլիսի 23-ի «Կյանքին կամ առողջությանը պատճառված վնասի համար՝ սահմանված կարգով պատասխանատու ճանաչված իրավաբանական անձի լուծարման կամ սնանկ ճանաչման դեպքում համապատասխան վճարների կապիտալացման և դրանք տուժողին վճարելու կարգը հաստատելու մասին» N 914-Ն որոշման՝ Սահմանադրությանը համապատասխանության հարցը որոշելու վերաբերյալ գործով Սահմանադրական դատարանի 2021թ. նոյեմբերի 30-ի ՍԴՈ-1618 որոշման 3-րդ կետի համաձայն՝ ՀՀ կառավարության 1992թ. նոյեմբերի 15-ի N 579 որոշմամբ ամրագրված իրավակարգավորումները համապատասխանում են Սահմանադրությանն այնպիսի մեկնաբանությամբ, համաձայն որի՝ մինչև ՀՀ կառավարության 2004թ. հուլիսի 22-ի N 1094-Ն որոշմամբ կատարված փոփոխությունն ուժի մեջ մտնելն աշխատանքային պարտականությունների կատարման հետ կապված խեղման, մասնագիտական հիվանդության և առողջության այլ վնաս կրած անձինք կազմակերպության գործունեության դադարեցման դեպքում կապիտալացված միջոցների բացակայության կամ անբավարար լինելու պարագայում պահպանում են պետական բյուջեի հաշվին փոխհատուցում ստանալու իրավունքը:</w:t>
      </w:r>
    </w:p>
    <w:p w:rsidR="00924858" w:rsidRPr="00924858" w:rsidRDefault="00924858" w:rsidP="00AD7A03">
      <w:pPr>
        <w:spacing w:before="0" w:line="276" w:lineRule="auto"/>
        <w:ind w:firstLine="540"/>
        <w:contextualSpacing w:val="0"/>
        <w:rPr>
          <w:rFonts w:eastAsia="Calibri" w:cs="Calibri"/>
          <w:b w:val="0"/>
          <w:szCs w:val="22"/>
          <w:lang w:val="hy-AM" w:eastAsia="en-US"/>
        </w:rPr>
      </w:pPr>
      <w:r w:rsidRPr="00924858">
        <w:rPr>
          <w:rFonts w:eastAsia="Calibri" w:cs="Calibri"/>
          <w:b w:val="0"/>
          <w:szCs w:val="22"/>
          <w:lang w:val="hy-AM" w:eastAsia="en-US"/>
        </w:rPr>
        <w:t>Վերոգրյալով պայմանավորված 2023 թվականի համար վնասի փոխհատուցում է նախատեսվել խեղում, մասնագիտական հիվանդություն և առողջության այլ վնասներ ստացած 450 շահառուի համար շուրջ 222.0 մլն դրամ:</w:t>
      </w:r>
    </w:p>
    <w:p w:rsidR="007F28F7" w:rsidRPr="007F28F7" w:rsidRDefault="007F28F7" w:rsidP="00AD7A03">
      <w:pPr>
        <w:tabs>
          <w:tab w:val="left" w:pos="0"/>
        </w:tabs>
        <w:spacing w:before="0" w:line="276" w:lineRule="auto"/>
        <w:contextualSpacing w:val="0"/>
        <w:rPr>
          <w:b w:val="0"/>
          <w:bCs/>
          <w:color w:val="191919"/>
          <w:szCs w:val="22"/>
          <w:shd w:val="clear" w:color="auto" w:fill="FFFFFF"/>
          <w:lang w:val="hy-AM" w:eastAsia="en-US"/>
        </w:rPr>
      </w:pPr>
      <w:r w:rsidRPr="007F28F7">
        <w:rPr>
          <w:iCs/>
          <w:color w:val="191919"/>
          <w:szCs w:val="22"/>
          <w:shd w:val="clear" w:color="auto" w:fill="FFFFFF"/>
          <w:lang w:val="hy-AM" w:eastAsia="en-US"/>
        </w:rPr>
        <w:t>Զբաղվածության ծրագրի</w:t>
      </w:r>
      <w:r w:rsidRPr="007F28F7">
        <w:rPr>
          <w:b w:val="0"/>
          <w:bCs/>
          <w:color w:val="191919"/>
          <w:szCs w:val="22"/>
          <w:shd w:val="clear" w:color="auto" w:fill="FFFFFF"/>
          <w:lang w:val="hy-AM" w:eastAsia="en-US"/>
        </w:rPr>
        <w:t xml:space="preserve"> վերջնական արդյունքը Կայուն և ժամանակավոր զբաղվածների թվաքանակի աճն է՝ բնակչության կայուն և ժամանակավոր զբաղվածության ապահովմանը միտված պայմանների ստեղծման նպատակով: </w:t>
      </w:r>
    </w:p>
    <w:p w:rsidR="007F28F7" w:rsidRPr="007F28F7" w:rsidRDefault="007F28F7" w:rsidP="00AD7A03">
      <w:pPr>
        <w:tabs>
          <w:tab w:val="left" w:pos="0"/>
        </w:tabs>
        <w:spacing w:before="0" w:line="276" w:lineRule="auto"/>
        <w:contextualSpacing w:val="0"/>
        <w:rPr>
          <w:b w:val="0"/>
          <w:bCs/>
          <w:color w:val="191919"/>
          <w:szCs w:val="22"/>
          <w:shd w:val="clear" w:color="auto" w:fill="FFFFFF"/>
          <w:lang w:val="hy-AM" w:eastAsia="en-US"/>
        </w:rPr>
      </w:pPr>
      <w:r w:rsidRPr="007F28F7">
        <w:rPr>
          <w:b w:val="0"/>
          <w:bCs/>
          <w:color w:val="191919"/>
          <w:szCs w:val="22"/>
          <w:shd w:val="clear" w:color="auto" w:fill="FFFFFF"/>
          <w:lang w:val="hy-AM" w:eastAsia="en-US"/>
        </w:rPr>
        <w:t>2023 թվականին նախատեսվել է զբաղվածության ծրագրին հատկացնել 1,</w:t>
      </w:r>
      <w:r w:rsidR="00DC2ED9" w:rsidRPr="00DC2ED9">
        <w:rPr>
          <w:b w:val="0"/>
          <w:bCs/>
          <w:color w:val="191919"/>
          <w:szCs w:val="22"/>
          <w:shd w:val="clear" w:color="auto" w:fill="FFFFFF"/>
          <w:lang w:val="hy-AM" w:eastAsia="en-US"/>
        </w:rPr>
        <w:t>910</w:t>
      </w:r>
      <w:r w:rsidRPr="007F28F7">
        <w:rPr>
          <w:b w:val="0"/>
          <w:bCs/>
          <w:color w:val="191919"/>
          <w:szCs w:val="22"/>
          <w:shd w:val="clear" w:color="auto" w:fill="FFFFFF"/>
          <w:lang w:val="hy-AM" w:eastAsia="en-US"/>
        </w:rPr>
        <w:t>.</w:t>
      </w:r>
      <w:r w:rsidR="00DC2ED9" w:rsidRPr="00DC2ED9">
        <w:rPr>
          <w:b w:val="0"/>
          <w:bCs/>
          <w:color w:val="191919"/>
          <w:szCs w:val="22"/>
          <w:shd w:val="clear" w:color="auto" w:fill="FFFFFF"/>
          <w:lang w:val="hy-AM" w:eastAsia="en-US"/>
        </w:rPr>
        <w:t>6</w:t>
      </w:r>
      <w:r w:rsidRPr="007F28F7">
        <w:rPr>
          <w:b w:val="0"/>
          <w:bCs/>
          <w:color w:val="191919"/>
          <w:szCs w:val="22"/>
          <w:shd w:val="clear" w:color="auto" w:fill="FFFFFF"/>
          <w:lang w:val="hy-AM" w:eastAsia="en-US"/>
        </w:rPr>
        <w:t xml:space="preserve"> մլն դրամ, որի շրջանակում կիրականացվի զբաղվածության պետական թվով 8 ծրագիր: Զբաղվածության պետական ծրագրերում նախատեսվում է ընդգրկել 5215 շահառու, ընդ որում 2900–ը` ժամանակավոր բնույթ ունեցող՝ սեզոնային և վարձատրվող հասարակական աշխատանքներում:</w:t>
      </w:r>
    </w:p>
    <w:p w:rsidR="007F28F7" w:rsidRPr="007F28F7" w:rsidRDefault="007F28F7" w:rsidP="00AD7A03">
      <w:pPr>
        <w:tabs>
          <w:tab w:val="left" w:pos="0"/>
        </w:tabs>
        <w:spacing w:before="0" w:line="276" w:lineRule="auto"/>
        <w:rPr>
          <w:b w:val="0"/>
          <w:bCs/>
          <w:color w:val="191919"/>
          <w:szCs w:val="22"/>
          <w:shd w:val="clear" w:color="auto" w:fill="FFFFFF"/>
          <w:lang w:val="hy-AM" w:eastAsia="en-US"/>
        </w:rPr>
      </w:pPr>
      <w:r w:rsidRPr="007F28F7">
        <w:rPr>
          <w:bCs/>
          <w:color w:val="191919"/>
          <w:szCs w:val="22"/>
          <w:shd w:val="clear" w:color="auto" w:fill="FFFFFF"/>
          <w:lang w:val="hy-AM" w:eastAsia="en-US"/>
        </w:rPr>
        <w:t>Բնակարանային ապահովման</w:t>
      </w:r>
      <w:r w:rsidRPr="007F28F7">
        <w:rPr>
          <w:bCs/>
          <w:kern w:val="16"/>
          <w:szCs w:val="22"/>
          <w:lang w:val="hy-AM" w:eastAsia="en-US"/>
        </w:rPr>
        <w:t xml:space="preserve"> </w:t>
      </w:r>
      <w:r w:rsidRPr="007F28F7">
        <w:rPr>
          <w:b w:val="0"/>
          <w:bCs/>
          <w:color w:val="191919"/>
          <w:szCs w:val="22"/>
          <w:shd w:val="clear" w:color="auto" w:fill="FFFFFF"/>
          <w:lang w:val="hy-AM" w:eastAsia="en-US"/>
        </w:rPr>
        <w:t xml:space="preserve">ծրագրի համար 2023 թվականին նախատեսվում է </w:t>
      </w:r>
      <w:r w:rsidR="00DC2ED9" w:rsidRPr="00DC2ED9">
        <w:rPr>
          <w:b w:val="0"/>
          <w:bCs/>
          <w:color w:val="191919"/>
          <w:szCs w:val="22"/>
          <w:shd w:val="clear" w:color="auto" w:fill="FFFFFF"/>
          <w:lang w:val="hy-AM" w:eastAsia="en-US"/>
        </w:rPr>
        <w:t>4</w:t>
      </w:r>
      <w:r w:rsidRPr="007F28F7">
        <w:rPr>
          <w:b w:val="0"/>
          <w:bCs/>
          <w:color w:val="191919"/>
          <w:szCs w:val="22"/>
          <w:shd w:val="clear" w:color="auto" w:fill="FFFFFF"/>
          <w:lang w:val="hy-AM" w:eastAsia="en-US"/>
        </w:rPr>
        <w:t>,</w:t>
      </w:r>
      <w:r w:rsidR="00DC2ED9" w:rsidRPr="00DC2ED9">
        <w:rPr>
          <w:b w:val="0"/>
          <w:bCs/>
          <w:color w:val="191919"/>
          <w:szCs w:val="22"/>
          <w:shd w:val="clear" w:color="auto" w:fill="FFFFFF"/>
          <w:lang w:val="hy-AM" w:eastAsia="en-US"/>
        </w:rPr>
        <w:t>353</w:t>
      </w:r>
      <w:r w:rsidRPr="007F28F7">
        <w:rPr>
          <w:b w:val="0"/>
          <w:bCs/>
          <w:color w:val="191919"/>
          <w:szCs w:val="22"/>
          <w:shd w:val="clear" w:color="auto" w:fill="FFFFFF"/>
          <w:lang w:val="hy-AM" w:eastAsia="en-US"/>
        </w:rPr>
        <w:t>.</w:t>
      </w:r>
      <w:r w:rsidR="00DC2ED9" w:rsidRPr="00DC2ED9">
        <w:rPr>
          <w:b w:val="0"/>
          <w:bCs/>
          <w:color w:val="191919"/>
          <w:szCs w:val="22"/>
          <w:shd w:val="clear" w:color="auto" w:fill="FFFFFF"/>
          <w:lang w:val="hy-AM" w:eastAsia="en-US"/>
        </w:rPr>
        <w:t>7</w:t>
      </w:r>
      <w:r w:rsidRPr="007F28F7">
        <w:rPr>
          <w:b w:val="0"/>
          <w:bCs/>
          <w:color w:val="191919"/>
          <w:szCs w:val="22"/>
          <w:shd w:val="clear" w:color="auto" w:fill="FFFFFF"/>
          <w:lang w:val="hy-AM" w:eastAsia="en-US"/>
        </w:rPr>
        <w:t xml:space="preserve"> մլն դրամ: Ծրագրի նպատակն է հանրապետությունում մշտական բնակության վայր չունեցող անօթևան անձանց բնակարանային ապահովման բարելավման աջակցությունը: Իրականացվելու են թվով 21</w:t>
      </w:r>
      <w:r w:rsidR="00587938" w:rsidRPr="00587938">
        <w:rPr>
          <w:b w:val="0"/>
          <w:bCs/>
          <w:color w:val="191919"/>
          <w:szCs w:val="22"/>
          <w:shd w:val="clear" w:color="auto" w:fill="FFFFFF"/>
          <w:lang w:val="hy-AM" w:eastAsia="en-US"/>
        </w:rPr>
        <w:t>4</w:t>
      </w:r>
      <w:r w:rsidRPr="007F28F7">
        <w:rPr>
          <w:b w:val="0"/>
          <w:bCs/>
          <w:color w:val="191919"/>
          <w:szCs w:val="22"/>
          <w:shd w:val="clear" w:color="auto" w:fill="FFFFFF"/>
          <w:lang w:val="hy-AM" w:eastAsia="en-US"/>
        </w:rPr>
        <w:t xml:space="preserve"> ընտանիքների բնակարանային ապահովման և բնակարանային պայմանների բարելավման աջակցությանն ուղղված աշխատանքներ, այդ թվում՝ </w:t>
      </w:r>
    </w:p>
    <w:p w:rsidR="007F28F7" w:rsidRPr="007F28F7" w:rsidRDefault="007F28F7" w:rsidP="00AD7A03">
      <w:pPr>
        <w:tabs>
          <w:tab w:val="left" w:pos="0"/>
        </w:tabs>
        <w:spacing w:before="0" w:line="276" w:lineRule="auto"/>
        <w:rPr>
          <w:b w:val="0"/>
          <w:bCs/>
          <w:color w:val="191919"/>
          <w:szCs w:val="22"/>
          <w:shd w:val="clear" w:color="auto" w:fill="FFFFFF"/>
          <w:lang w:val="hy-AM" w:eastAsia="en-US"/>
        </w:rPr>
      </w:pPr>
      <w:r w:rsidRPr="007F28F7">
        <w:rPr>
          <w:b w:val="0"/>
          <w:bCs/>
          <w:color w:val="191919"/>
          <w:szCs w:val="22"/>
          <w:shd w:val="clear" w:color="auto" w:fill="FFFFFF"/>
          <w:lang w:val="hy-AM" w:eastAsia="en-US"/>
        </w:rPr>
        <w:t>- ՀՀ ՊՆ համակարգի՝ թվով 60 անօթևան և բնակարանային պայմանների բարելավման կարիք ունեցող` զոհված (մահացած) առաջին, երկրորդ և երրորդ կարգի հաշմանդամ զինծառայողների ընտանիքների և թվով 100 զինծառայողների, նրանց հավասարեցված անձանց և նրանց ընտանիքների անդամների,</w:t>
      </w:r>
    </w:p>
    <w:p w:rsidR="007F28F7" w:rsidRPr="007F28F7" w:rsidRDefault="007F28F7" w:rsidP="00AD7A03">
      <w:pPr>
        <w:tabs>
          <w:tab w:val="left" w:pos="0"/>
        </w:tabs>
        <w:spacing w:before="0" w:line="276" w:lineRule="auto"/>
        <w:contextualSpacing w:val="0"/>
        <w:rPr>
          <w:b w:val="0"/>
          <w:bCs/>
          <w:color w:val="191919"/>
          <w:szCs w:val="22"/>
          <w:shd w:val="clear" w:color="auto" w:fill="FFFFFF"/>
          <w:lang w:val="hy-AM" w:eastAsia="en-US"/>
        </w:rPr>
      </w:pPr>
      <w:r w:rsidRPr="007F28F7">
        <w:rPr>
          <w:b w:val="0"/>
          <w:bCs/>
          <w:color w:val="191919"/>
          <w:szCs w:val="22"/>
          <w:shd w:val="clear" w:color="auto" w:fill="FFFFFF"/>
          <w:lang w:val="hy-AM" w:eastAsia="en-US"/>
        </w:rPr>
        <w:t>- ՀՀ Լոռու մարզի Սպիտակ քաղաքում վթարային շենքի փոխարեն նոր բազմաբնակարան շենքի կառուցման արդյունքում թվով 36 ընտանիքների,</w:t>
      </w:r>
    </w:p>
    <w:p w:rsidR="007F28F7" w:rsidRPr="007F28F7" w:rsidRDefault="007F28F7" w:rsidP="00AD7A03">
      <w:pPr>
        <w:tabs>
          <w:tab w:val="left" w:pos="0"/>
        </w:tabs>
        <w:spacing w:before="0" w:line="276" w:lineRule="auto"/>
        <w:contextualSpacing w:val="0"/>
        <w:rPr>
          <w:szCs w:val="22"/>
          <w:lang w:val="hy-AM"/>
        </w:rPr>
      </w:pPr>
      <w:r w:rsidRPr="007F28F7">
        <w:rPr>
          <w:b w:val="0"/>
          <w:bCs/>
          <w:color w:val="191919"/>
          <w:szCs w:val="22"/>
          <w:shd w:val="clear" w:color="auto" w:fill="FFFFFF"/>
          <w:lang w:val="hy-AM" w:eastAsia="en-US"/>
        </w:rPr>
        <w:t xml:space="preserve">- երկրաշարժի հետևանքով անօթևան մնացած՝ ՀՀ Լոռու մարզի թվով 14 և ՀՀ Շիրակի մարզի թվով </w:t>
      </w:r>
      <w:r w:rsidR="001524DB" w:rsidRPr="00235E4F">
        <w:rPr>
          <w:b w:val="0"/>
          <w:bCs/>
          <w:color w:val="191919"/>
          <w:szCs w:val="22"/>
          <w:shd w:val="clear" w:color="auto" w:fill="FFFFFF"/>
          <w:lang w:val="hy-AM" w:eastAsia="en-US"/>
        </w:rPr>
        <w:t>4</w:t>
      </w:r>
      <w:r w:rsidRPr="007F28F7">
        <w:rPr>
          <w:b w:val="0"/>
          <w:bCs/>
          <w:color w:val="191919"/>
          <w:szCs w:val="22"/>
          <w:shd w:val="clear" w:color="auto" w:fill="FFFFFF"/>
          <w:lang w:val="hy-AM" w:eastAsia="en-US"/>
        </w:rPr>
        <w:t xml:space="preserve"> ընտանիքների:</w:t>
      </w:r>
    </w:p>
    <w:p w:rsidR="007F28F7" w:rsidRPr="007F28F7" w:rsidRDefault="007F28F7" w:rsidP="00B70D89">
      <w:pPr>
        <w:tabs>
          <w:tab w:val="left" w:pos="0"/>
        </w:tabs>
        <w:spacing w:before="0" w:line="276" w:lineRule="auto"/>
        <w:contextualSpacing w:val="0"/>
        <w:rPr>
          <w:b w:val="0"/>
          <w:bCs/>
          <w:color w:val="191919"/>
          <w:szCs w:val="22"/>
          <w:shd w:val="clear" w:color="auto" w:fill="FFFFFF"/>
          <w:lang w:val="hy-AM" w:eastAsia="en-US"/>
        </w:rPr>
      </w:pPr>
      <w:r w:rsidRPr="007F28F7">
        <w:rPr>
          <w:b w:val="0"/>
          <w:bCs/>
          <w:color w:val="191919"/>
          <w:szCs w:val="22"/>
          <w:shd w:val="clear" w:color="auto" w:fill="FFFFFF"/>
          <w:lang w:val="hy-AM" w:eastAsia="en-US"/>
        </w:rPr>
        <w:t>Բացի այդ 2023 թվականին նախատեսվում է իրականացնել «</w:t>
      </w:r>
      <w:r w:rsidR="00B70D89">
        <w:rPr>
          <w:b w:val="0"/>
          <w:bCs/>
          <w:color w:val="191919"/>
          <w:szCs w:val="22"/>
          <w:shd w:val="clear" w:color="auto" w:fill="FFFFFF"/>
          <w:lang w:val="hy-AM" w:eastAsia="en-US"/>
        </w:rPr>
        <w:t>ԼՂ</w:t>
      </w:r>
      <w:r w:rsidRPr="007F28F7">
        <w:rPr>
          <w:b w:val="0"/>
          <w:bCs/>
          <w:color w:val="191919"/>
          <w:szCs w:val="22"/>
          <w:shd w:val="clear" w:color="auto" w:fill="FFFFFF"/>
          <w:lang w:val="hy-AM" w:eastAsia="en-US"/>
        </w:rPr>
        <w:t xml:space="preserve"> առանձին շրջաններից տեղահանված ընտանիքների համար բնակարանային մատչելիության ապահովման պետական աջակցության ծրագիրը» նոր միջոցառումը, որը հնարավորություն կտա տեղահանված 1283 ընտանիքների ձեռք բերել բնակելի անշարժ գույք կամ կառուցել անհատական բնակելի տուն։ Շահառուներն </w:t>
      </w:r>
      <w:r w:rsidR="00B70D89">
        <w:rPr>
          <w:b w:val="0"/>
          <w:bCs/>
          <w:color w:val="191919"/>
          <w:szCs w:val="22"/>
          <w:shd w:val="clear" w:color="auto" w:fill="FFFFFF"/>
          <w:lang w:val="hy-AM" w:eastAsia="en-US"/>
        </w:rPr>
        <w:t>ԼՂ</w:t>
      </w:r>
      <w:r w:rsidRPr="007F28F7">
        <w:rPr>
          <w:b w:val="0"/>
          <w:bCs/>
          <w:color w:val="191919"/>
          <w:szCs w:val="22"/>
          <w:shd w:val="clear" w:color="auto" w:fill="FFFFFF"/>
          <w:lang w:val="hy-AM" w:eastAsia="en-US"/>
        </w:rPr>
        <w:t xml:space="preserve"> առանձին շրջաններում 2020թ. սեպտեմբերի 27-ի դրությամբ բնակված կամ </w:t>
      </w:r>
      <w:r w:rsidR="00B70D89">
        <w:rPr>
          <w:b w:val="0"/>
          <w:bCs/>
          <w:color w:val="191919"/>
          <w:szCs w:val="22"/>
          <w:shd w:val="clear" w:color="auto" w:fill="FFFFFF"/>
          <w:lang w:val="hy-AM" w:eastAsia="en-US"/>
        </w:rPr>
        <w:t>ԼՂ</w:t>
      </w:r>
      <w:r w:rsidRPr="007F28F7">
        <w:rPr>
          <w:b w:val="0"/>
          <w:bCs/>
          <w:color w:val="191919"/>
          <w:szCs w:val="22"/>
          <w:shd w:val="clear" w:color="auto" w:fill="FFFFFF"/>
          <w:lang w:val="hy-AM" w:eastAsia="en-US"/>
        </w:rPr>
        <w:t xml:space="preserve"> </w:t>
      </w:r>
      <w:r w:rsidR="00734D27">
        <w:rPr>
          <w:b w:val="0"/>
          <w:bCs/>
          <w:color w:val="191919"/>
          <w:szCs w:val="22"/>
          <w:shd w:val="clear" w:color="auto" w:fill="FFFFFF"/>
          <w:lang w:val="hy-AM" w:eastAsia="en-US"/>
        </w:rPr>
        <w:t>-</w:t>
      </w:r>
      <w:r w:rsidRPr="007F28F7">
        <w:rPr>
          <w:b w:val="0"/>
          <w:bCs/>
          <w:color w:val="191919"/>
          <w:szCs w:val="22"/>
          <w:shd w:val="clear" w:color="auto" w:fill="FFFFFF"/>
          <w:lang w:val="hy-AM" w:eastAsia="en-US"/>
        </w:rPr>
        <w:t xml:space="preserve">ում հաշվառված, առնվազն վերջին երեք ամիսներին փաստացի բնակված կամ վերջին երեք տարում փաստացի բնակված և Ադրբեջանի կողմից 2020 թ. սեպտեմբերի 27-ին սանձազերծված պատերազմի հետևանքով տեղահանված ընտանիքներն են (այդ թվում՝ մեկ անձից բաղկացած), այդ թվում՝ 2020 թ. սեպտեմբերի 27-ից հետո տվյալ ընտանիքում ծնված երեխան՝ բացառությամբ այն ընտանիքների, որոնք որևէ ծրագրի շրջանակում գործուղվել են </w:t>
      </w:r>
      <w:r w:rsidR="00B70D89">
        <w:rPr>
          <w:b w:val="0"/>
          <w:bCs/>
          <w:color w:val="191919"/>
          <w:szCs w:val="22"/>
          <w:shd w:val="clear" w:color="auto" w:fill="FFFFFF"/>
          <w:lang w:val="hy-AM" w:eastAsia="en-US"/>
        </w:rPr>
        <w:t>ԼՂ</w:t>
      </w:r>
      <w:r w:rsidRPr="007F28F7">
        <w:rPr>
          <w:b w:val="0"/>
          <w:bCs/>
          <w:color w:val="191919"/>
          <w:szCs w:val="22"/>
          <w:shd w:val="clear" w:color="auto" w:fill="FFFFFF"/>
          <w:lang w:val="hy-AM" w:eastAsia="en-US"/>
        </w:rPr>
        <w:t xml:space="preserve"> մինչև 2020 թ. սեպտեմբերի 27-ը և վերջին երեք ամիսներին բնակվել են այնտեղ։</w:t>
      </w:r>
    </w:p>
    <w:p w:rsidR="00924858" w:rsidRPr="00924858" w:rsidRDefault="00924858" w:rsidP="00AD7A03">
      <w:pPr>
        <w:spacing w:before="0" w:line="276" w:lineRule="auto"/>
        <w:ind w:firstLine="720"/>
        <w:contextualSpacing w:val="0"/>
        <w:rPr>
          <w:rFonts w:eastAsia="Calibri" w:cs="Calibri"/>
          <w:b w:val="0"/>
          <w:szCs w:val="22"/>
          <w:lang w:val="hy-AM" w:eastAsia="en-US"/>
        </w:rPr>
      </w:pPr>
      <w:r w:rsidRPr="00924858">
        <w:rPr>
          <w:rFonts w:eastAsia="Calibri" w:cs="Calibri"/>
          <w:szCs w:val="22"/>
          <w:lang w:val="hy-AM" w:eastAsia="en-US"/>
        </w:rPr>
        <w:t xml:space="preserve">Կենսաթոշակային ապահովություն ծրագրի </w:t>
      </w:r>
      <w:r w:rsidRPr="00924858">
        <w:rPr>
          <w:rFonts w:eastAsia="Calibri" w:cs="Calibri"/>
          <w:b w:val="0"/>
          <w:szCs w:val="22"/>
          <w:lang w:val="hy-AM" w:eastAsia="en-US"/>
        </w:rPr>
        <w:t xml:space="preserve">վերջնական արդյունքը օրենքով սահմանված դեպքերում և կարգով պետական կենսաթոշակների տրամադրման (նշանակման և վճարման), ինչպես նաև  պետական բյուջեի միջոցների հաշվին օրենքով սահմանված դեպքերում պարտադիր կուտակային համակարգի մասնակցի համար (օգտին) մինչև նրա կենսաթոշակային տարիքը լրանալը կուտակային հատկացումների կատարման ապահովումն է: 2023 թվականին այս ծրագրի գծով նախատեսվում է հատկացնել </w:t>
      </w:r>
      <w:r w:rsidR="00DC2ED9">
        <w:rPr>
          <w:rFonts w:eastAsia="Calibri" w:cs="Calibri"/>
          <w:b w:val="0"/>
          <w:szCs w:val="22"/>
          <w:lang w:val="hy-AM" w:eastAsia="en-US"/>
        </w:rPr>
        <w:t>422,304.</w:t>
      </w:r>
      <w:r w:rsidRPr="00924858">
        <w:rPr>
          <w:rFonts w:eastAsia="Calibri" w:cs="Calibri"/>
          <w:b w:val="0"/>
          <w:szCs w:val="22"/>
          <w:lang w:val="hy-AM" w:eastAsia="en-US"/>
        </w:rPr>
        <w:t>8 մլն դրամ</w:t>
      </w:r>
      <w:r w:rsidR="00DC2ED9" w:rsidRPr="00DC2ED9">
        <w:rPr>
          <w:rFonts w:eastAsia="Calibri" w:cs="Calibri"/>
          <w:b w:val="0"/>
          <w:szCs w:val="22"/>
          <w:lang w:val="hy-AM" w:eastAsia="en-US"/>
        </w:rPr>
        <w:t>, որից 114,100.0 մլն դրամը կուտակային կենսաթոշակն է</w:t>
      </w:r>
      <w:r w:rsidRPr="00924858">
        <w:rPr>
          <w:rFonts w:eastAsia="Calibri" w:cs="Calibri"/>
          <w:b w:val="0"/>
          <w:szCs w:val="22"/>
          <w:lang w:val="hy-AM" w:eastAsia="en-US"/>
        </w:rPr>
        <w:t xml:space="preserve">։ </w:t>
      </w:r>
    </w:p>
    <w:p w:rsidR="00924858" w:rsidRPr="00924858" w:rsidRDefault="00924858" w:rsidP="00D37B16">
      <w:pPr>
        <w:spacing w:before="0" w:line="276" w:lineRule="auto"/>
        <w:ind w:firstLine="720"/>
        <w:contextualSpacing w:val="0"/>
        <w:rPr>
          <w:rFonts w:eastAsia="Calibri" w:cs="Calibri"/>
          <w:b w:val="0"/>
          <w:szCs w:val="22"/>
          <w:lang w:val="hy-AM" w:eastAsia="en-US"/>
        </w:rPr>
      </w:pPr>
      <w:r w:rsidRPr="00924858">
        <w:rPr>
          <w:rFonts w:eastAsia="Calibri" w:cs="Calibri"/>
          <w:b w:val="0"/>
          <w:szCs w:val="22"/>
          <w:lang w:val="hy-AM" w:eastAsia="en-US"/>
        </w:rPr>
        <w:t>2023 թվականի կանխատեսումներում հաշվի են առնվել կենսաթոշակային ապահովության ոլորտի հիմնական ցուցանիշների՝ 2022 թվականի սեպտեմբերի 1-ից բարձրացված չափերը և դրանց՝ 2023 թվականի ընթացքում նախատեսվող բարձրացումները։ Մասնավորապես, կանխատեսումներում հիմք են ընդունվել հետևյալ ցուցանիշները (երկու թվով ներկայացված լինելու դեպքում 1-ը տվյալ ցուցանիշի՝ 2022 թվականի սեպտեմբերի 1-ի դրությամբ չափն է, իսկ 2-րդը՝ տարվա ընթացքում բարձրացվելիք նոր չափը)։</w:t>
      </w:r>
    </w:p>
    <w:p w:rsidR="00924858" w:rsidRPr="00924858" w:rsidRDefault="00924858" w:rsidP="00D37B16">
      <w:pPr>
        <w:numPr>
          <w:ilvl w:val="0"/>
          <w:numId w:val="65"/>
        </w:numPr>
        <w:spacing w:before="0" w:line="276" w:lineRule="auto"/>
        <w:ind w:left="0" w:firstLine="540"/>
        <w:contextualSpacing w:val="0"/>
        <w:rPr>
          <w:rFonts w:eastAsia="Calibri" w:cs="Calibri"/>
          <w:b w:val="0"/>
          <w:szCs w:val="22"/>
          <w:lang w:val="hy-AM" w:eastAsia="en-US"/>
        </w:rPr>
      </w:pPr>
      <w:r w:rsidRPr="00924858">
        <w:rPr>
          <w:rFonts w:eastAsia="Calibri" w:cs="Calibri"/>
          <w:b w:val="0"/>
          <w:szCs w:val="22"/>
          <w:lang w:val="hy-AM" w:eastAsia="en-US"/>
        </w:rPr>
        <w:t xml:space="preserve"> նվազագույն կենսաթոշակի չափը` 31600 դրամ (մինչև 01.09.2022թ 28600 դրամի փոխարեն),</w:t>
      </w:r>
    </w:p>
    <w:p w:rsidR="00924858" w:rsidRPr="00924858" w:rsidRDefault="00924858" w:rsidP="00D37B16">
      <w:pPr>
        <w:numPr>
          <w:ilvl w:val="0"/>
          <w:numId w:val="65"/>
        </w:numPr>
        <w:spacing w:before="0" w:line="276" w:lineRule="auto"/>
        <w:ind w:left="0" w:firstLine="540"/>
        <w:contextualSpacing w:val="0"/>
        <w:rPr>
          <w:rFonts w:eastAsia="Calibri" w:cs="Calibri"/>
          <w:b w:val="0"/>
          <w:szCs w:val="22"/>
          <w:lang w:val="hy-AM" w:eastAsia="en-US"/>
        </w:rPr>
      </w:pPr>
      <w:r w:rsidRPr="00924858">
        <w:rPr>
          <w:rFonts w:eastAsia="Calibri" w:cs="Calibri"/>
          <w:b w:val="0"/>
          <w:szCs w:val="22"/>
          <w:lang w:val="hy-AM" w:eastAsia="en-US"/>
        </w:rPr>
        <w:t xml:space="preserve"> աշխատանքային հաշվարկելու համար հիմնական կենսաթոշակի չափը՝ 21000/36000 դրամ (մինչև 01.09.2022թ. 18000 դրամի փոխարեն),</w:t>
      </w:r>
    </w:p>
    <w:p w:rsidR="00924858" w:rsidRPr="00924858" w:rsidRDefault="00924858" w:rsidP="00D37B16">
      <w:pPr>
        <w:numPr>
          <w:ilvl w:val="0"/>
          <w:numId w:val="65"/>
        </w:numPr>
        <w:spacing w:before="0" w:line="276" w:lineRule="auto"/>
        <w:ind w:left="0" w:firstLine="540"/>
        <w:contextualSpacing w:val="0"/>
        <w:rPr>
          <w:rFonts w:eastAsia="Calibri" w:cs="Calibri"/>
          <w:b w:val="0"/>
          <w:szCs w:val="22"/>
          <w:lang w:val="hy-AM" w:eastAsia="en-US"/>
        </w:rPr>
      </w:pPr>
      <w:r w:rsidRPr="00924858">
        <w:rPr>
          <w:rFonts w:eastAsia="Calibri" w:cs="Calibri"/>
          <w:b w:val="0"/>
          <w:szCs w:val="22"/>
          <w:lang w:val="hy-AM" w:eastAsia="en-US"/>
        </w:rPr>
        <w:t xml:space="preserve"> աշխատանքային ստաժի մեկ տարվա արժեքը (նախատեսվում է կենսաթոշակային օրենսդրությամբ վերանայել կենսաթոշակների հաշվարկման բանաձևը՝ ստաժի համար սահմանելով ընդհանուր մեկ արժեք)` համապատասխանաբար` 500/525 (մինչև 01.09.2022թ 500 դրամի փոխարեն),  </w:t>
      </w:r>
    </w:p>
    <w:p w:rsidR="00924858" w:rsidRPr="00924858" w:rsidRDefault="00924858" w:rsidP="00D37B16">
      <w:pPr>
        <w:numPr>
          <w:ilvl w:val="0"/>
          <w:numId w:val="65"/>
        </w:numPr>
        <w:spacing w:before="0" w:line="276" w:lineRule="auto"/>
        <w:ind w:left="0" w:firstLine="540"/>
        <w:contextualSpacing w:val="0"/>
        <w:rPr>
          <w:rFonts w:eastAsia="Calibri" w:cs="Calibri"/>
          <w:b w:val="0"/>
          <w:szCs w:val="22"/>
          <w:lang w:val="hy-AM" w:eastAsia="en-US"/>
        </w:rPr>
      </w:pPr>
      <w:r w:rsidRPr="00924858">
        <w:rPr>
          <w:rFonts w:eastAsia="Calibri" w:cs="Calibri"/>
          <w:b w:val="0"/>
          <w:szCs w:val="22"/>
          <w:lang w:val="hy-AM" w:eastAsia="en-US"/>
        </w:rPr>
        <w:t xml:space="preserve"> զինվորական կենսաթոշակը հաշվարկելու համար հիմնական կենսաթոշակի չափը՝ 20000 դրամ (մինչև 01.09.2022թ. 18000 դրամի փոխարեն),</w:t>
      </w:r>
    </w:p>
    <w:p w:rsidR="00924858" w:rsidRPr="00924858" w:rsidRDefault="00924858" w:rsidP="00D37B16">
      <w:pPr>
        <w:numPr>
          <w:ilvl w:val="0"/>
          <w:numId w:val="65"/>
        </w:numPr>
        <w:spacing w:before="0" w:line="276" w:lineRule="auto"/>
        <w:ind w:left="0" w:firstLine="540"/>
        <w:contextualSpacing w:val="0"/>
        <w:rPr>
          <w:rFonts w:eastAsia="Calibri" w:cs="Calibri"/>
          <w:b w:val="0"/>
          <w:szCs w:val="22"/>
          <w:lang w:val="hy-AM" w:eastAsia="en-US"/>
        </w:rPr>
      </w:pPr>
      <w:r w:rsidRPr="00924858">
        <w:rPr>
          <w:rFonts w:eastAsia="Calibri" w:cs="Calibri"/>
          <w:b w:val="0"/>
          <w:szCs w:val="22"/>
          <w:lang w:val="hy-AM" w:eastAsia="en-US"/>
        </w:rPr>
        <w:t xml:space="preserve"> զինվորական ծառայության մեկ տարվա արժեքը՝ 1600/1750 դրամ (մինչև 01.09.2022թ 1600 դրամի փոխարեն),</w:t>
      </w:r>
    </w:p>
    <w:p w:rsidR="00924858" w:rsidRPr="00924858" w:rsidRDefault="00924858" w:rsidP="00D37B16">
      <w:pPr>
        <w:numPr>
          <w:ilvl w:val="0"/>
          <w:numId w:val="65"/>
        </w:numPr>
        <w:spacing w:before="0" w:line="276" w:lineRule="auto"/>
        <w:ind w:left="0" w:firstLine="540"/>
        <w:contextualSpacing w:val="0"/>
        <w:rPr>
          <w:rFonts w:eastAsia="Calibri" w:cs="Calibri"/>
          <w:b w:val="0"/>
          <w:szCs w:val="22"/>
          <w:lang w:val="hy-AM" w:eastAsia="en-US"/>
        </w:rPr>
      </w:pPr>
      <w:r w:rsidRPr="00924858">
        <w:rPr>
          <w:rFonts w:eastAsia="Calibri" w:cs="Calibri"/>
          <w:b w:val="0"/>
          <w:szCs w:val="22"/>
          <w:lang w:val="hy-AM" w:eastAsia="en-US"/>
        </w:rPr>
        <w:t xml:space="preserve"> պարտադիր ժամկետային զինվորական ծառայության շարքային կազմի զինծառայողի հաշմանդամության զինվորական կենսաթոշակի չափերը`</w:t>
      </w:r>
    </w:p>
    <w:p w:rsidR="00924858" w:rsidRPr="00924858" w:rsidRDefault="00924858" w:rsidP="00D37B16">
      <w:pPr>
        <w:spacing w:before="0" w:line="276" w:lineRule="auto"/>
        <w:ind w:firstLine="720"/>
        <w:contextualSpacing w:val="0"/>
        <w:rPr>
          <w:rFonts w:eastAsia="Calibri" w:cs="Calibri"/>
          <w:b w:val="0"/>
          <w:szCs w:val="22"/>
          <w:lang w:val="hy-AM" w:eastAsia="en-US"/>
        </w:rPr>
      </w:pPr>
      <w:r w:rsidRPr="00924858">
        <w:rPr>
          <w:rFonts w:eastAsia="Calibri" w:cs="Calibri"/>
          <w:b w:val="0"/>
          <w:szCs w:val="22"/>
          <w:lang w:val="hy-AM" w:eastAsia="en-US"/>
        </w:rPr>
        <w:t>ա</w:t>
      </w:r>
      <w:r w:rsidRPr="00924858">
        <w:rPr>
          <w:rFonts w:ascii="Cambria Math" w:eastAsia="Calibri" w:hAnsi="Cambria Math" w:cs="Cambria Math"/>
          <w:b w:val="0"/>
          <w:szCs w:val="22"/>
          <w:lang w:val="hy-AM" w:eastAsia="en-US"/>
        </w:rPr>
        <w:t>․</w:t>
      </w:r>
      <w:r w:rsidRPr="00924858">
        <w:rPr>
          <w:rFonts w:eastAsia="Calibri" w:cs="Calibri"/>
          <w:b w:val="0"/>
          <w:szCs w:val="22"/>
          <w:lang w:val="hy-AM" w:eastAsia="en-US"/>
        </w:rPr>
        <w:t xml:space="preserve"> առաջին խմբի հաշմանդամի համար՝ 46000/50600 դրամ (43000 դրամի փոխարեն)</w:t>
      </w:r>
    </w:p>
    <w:p w:rsidR="00924858" w:rsidRPr="00924858" w:rsidRDefault="00924858" w:rsidP="00D37B16">
      <w:pPr>
        <w:spacing w:before="0" w:line="276" w:lineRule="auto"/>
        <w:ind w:firstLine="720"/>
        <w:contextualSpacing w:val="0"/>
        <w:rPr>
          <w:rFonts w:eastAsia="Calibri" w:cs="Calibri"/>
          <w:b w:val="0"/>
          <w:szCs w:val="22"/>
          <w:lang w:val="hy-AM" w:eastAsia="en-US"/>
        </w:rPr>
      </w:pPr>
      <w:r w:rsidRPr="00924858">
        <w:rPr>
          <w:rFonts w:eastAsia="Calibri" w:cs="Calibri"/>
          <w:b w:val="0"/>
          <w:szCs w:val="22"/>
          <w:lang w:val="hy-AM" w:eastAsia="en-US"/>
        </w:rPr>
        <w:t>բ</w:t>
      </w:r>
      <w:r w:rsidRPr="00924858">
        <w:rPr>
          <w:rFonts w:ascii="Cambria Math" w:eastAsia="Calibri" w:hAnsi="Cambria Math" w:cs="Cambria Math"/>
          <w:b w:val="0"/>
          <w:szCs w:val="22"/>
          <w:lang w:val="hy-AM" w:eastAsia="en-US"/>
        </w:rPr>
        <w:t>․</w:t>
      </w:r>
      <w:r w:rsidRPr="00924858">
        <w:rPr>
          <w:rFonts w:eastAsia="Calibri" w:cs="Calibri"/>
          <w:b w:val="0"/>
          <w:szCs w:val="22"/>
          <w:lang w:val="hy-AM" w:eastAsia="en-US"/>
        </w:rPr>
        <w:t xml:space="preserve"> երկրորդ խմբի հաշմանդամի համար՝ 36000/41400 դրամ (մինչև 01.09.2022թ 33000 դրամի փոխարեն)</w:t>
      </w:r>
    </w:p>
    <w:p w:rsidR="00924858" w:rsidRPr="00924858" w:rsidRDefault="00924858" w:rsidP="00D37B16">
      <w:pPr>
        <w:spacing w:before="0" w:line="276" w:lineRule="auto"/>
        <w:ind w:firstLine="720"/>
        <w:contextualSpacing w:val="0"/>
        <w:rPr>
          <w:rFonts w:eastAsia="Calibri" w:cs="Calibri"/>
          <w:b w:val="0"/>
          <w:szCs w:val="22"/>
          <w:lang w:val="hy-AM" w:eastAsia="en-US"/>
        </w:rPr>
      </w:pPr>
      <w:r w:rsidRPr="00924858">
        <w:rPr>
          <w:rFonts w:eastAsia="Calibri" w:cs="Calibri"/>
          <w:b w:val="0"/>
          <w:szCs w:val="22"/>
          <w:lang w:val="hy-AM" w:eastAsia="en-US"/>
        </w:rPr>
        <w:t>գ</w:t>
      </w:r>
      <w:r w:rsidRPr="00924858">
        <w:rPr>
          <w:rFonts w:ascii="Cambria Math" w:eastAsia="Calibri" w:hAnsi="Cambria Math" w:cs="Cambria Math"/>
          <w:b w:val="0"/>
          <w:szCs w:val="22"/>
          <w:lang w:val="hy-AM" w:eastAsia="en-US"/>
        </w:rPr>
        <w:t>․</w:t>
      </w:r>
      <w:r w:rsidRPr="00924858">
        <w:rPr>
          <w:rFonts w:eastAsia="Calibri" w:cs="Calibri"/>
          <w:b w:val="0"/>
          <w:szCs w:val="22"/>
          <w:lang w:val="hy-AM" w:eastAsia="en-US"/>
        </w:rPr>
        <w:t xml:space="preserve"> երրորդ խմբի հաշմանդամի համար՝ 33000/38000 դրամ (մինչև 01.09.2022թ 30000 դրամի փոխարեն) </w:t>
      </w:r>
    </w:p>
    <w:p w:rsidR="00924858" w:rsidRPr="00924858" w:rsidRDefault="00924858" w:rsidP="00D37B16">
      <w:pPr>
        <w:numPr>
          <w:ilvl w:val="0"/>
          <w:numId w:val="65"/>
        </w:numPr>
        <w:spacing w:before="0" w:line="276" w:lineRule="auto"/>
        <w:ind w:left="0" w:firstLine="540"/>
        <w:contextualSpacing w:val="0"/>
        <w:rPr>
          <w:rFonts w:eastAsia="Calibri" w:cs="Calibri"/>
          <w:b w:val="0"/>
          <w:szCs w:val="22"/>
          <w:lang w:val="hy-AM" w:eastAsia="en-US"/>
        </w:rPr>
      </w:pPr>
      <w:r w:rsidRPr="00924858">
        <w:rPr>
          <w:rFonts w:eastAsia="Calibri" w:cs="Calibri"/>
          <w:b w:val="0"/>
          <w:szCs w:val="22"/>
          <w:lang w:val="hy-AM" w:eastAsia="en-US"/>
        </w:rPr>
        <w:t>պարտադիր ժամկետային զինվորական ծառայության շարքային կազմի մահացած (զոհված) զինծառայողի ընտանիքի անդամի կերակրողին կորցնելու դեպքում զինվորական կենսաթոշակի չափը՝ 33000/38000 դրամ (մինչև 01.09.2022թ. 30000 դրամի փոխարեն)։</w:t>
      </w:r>
    </w:p>
    <w:p w:rsidR="00924858" w:rsidRPr="00924858" w:rsidRDefault="00924858" w:rsidP="00D37B16">
      <w:pPr>
        <w:spacing w:before="0" w:line="276" w:lineRule="auto"/>
        <w:ind w:firstLine="720"/>
        <w:contextualSpacing w:val="0"/>
        <w:rPr>
          <w:rFonts w:eastAsia="Calibri" w:cs="Calibri"/>
          <w:b w:val="0"/>
          <w:szCs w:val="22"/>
          <w:lang w:val="hy-AM" w:eastAsia="en-US"/>
        </w:rPr>
      </w:pPr>
      <w:r w:rsidRPr="00924858">
        <w:rPr>
          <w:rFonts w:eastAsia="Calibri" w:cs="Calibri"/>
          <w:b w:val="0"/>
          <w:szCs w:val="22"/>
          <w:lang w:val="hy-AM" w:eastAsia="en-US"/>
        </w:rPr>
        <w:t xml:space="preserve">Արդյունքում նախատեվում է, որ աշխատանքային կենսաթոշակի միջին ամսական չափը 2023 թվականին կկազմի 50323 դրամ, 2022 թվականի 43512 դրամի դիմաց։ </w:t>
      </w:r>
    </w:p>
    <w:p w:rsidR="00924858" w:rsidRPr="00924858" w:rsidRDefault="00924858" w:rsidP="00D37B16">
      <w:pPr>
        <w:spacing w:before="0" w:line="276" w:lineRule="auto"/>
        <w:ind w:firstLine="720"/>
        <w:contextualSpacing w:val="0"/>
        <w:rPr>
          <w:rFonts w:eastAsia="Calibri" w:cs="Calibri"/>
          <w:b w:val="0"/>
          <w:szCs w:val="22"/>
          <w:lang w:val="hy-AM" w:eastAsia="en-US"/>
        </w:rPr>
      </w:pPr>
      <w:r w:rsidRPr="00924858">
        <w:rPr>
          <w:rFonts w:eastAsia="Calibri" w:cs="Calibri"/>
          <w:b w:val="0"/>
          <w:szCs w:val="22"/>
          <w:lang w:val="hy-AM" w:eastAsia="en-US"/>
        </w:rPr>
        <w:t>Զինվորական կենսաթոշակի միջին ամսական չափը 2023 թվականին կկազմի 89003 դրամ:</w:t>
      </w:r>
    </w:p>
    <w:p w:rsidR="00924858" w:rsidRPr="00924858" w:rsidRDefault="00924858" w:rsidP="00D37B16">
      <w:pPr>
        <w:spacing w:before="0" w:line="276" w:lineRule="auto"/>
        <w:ind w:firstLine="720"/>
        <w:contextualSpacing w:val="0"/>
        <w:rPr>
          <w:rFonts w:eastAsia="Calibri" w:cs="Calibri"/>
          <w:b w:val="0"/>
          <w:szCs w:val="22"/>
          <w:lang w:val="hy-AM" w:eastAsia="en-US"/>
        </w:rPr>
      </w:pPr>
      <w:r w:rsidRPr="00924858">
        <w:rPr>
          <w:rFonts w:eastAsia="Calibri" w:cs="Calibri"/>
          <w:b w:val="0"/>
          <w:szCs w:val="22"/>
          <w:lang w:val="hy-AM" w:eastAsia="en-US"/>
        </w:rPr>
        <w:t xml:space="preserve">2023 թվականին կշարունակվեն «Էլեկտրոնային կենսաթոշակ» տեղեկատվական համակարգի արդիականացման (կատարելագործման) աշխատանքները` որոշումների կայացման գործընթացի ավտոմատացման, այլ տեղեկատվական համակարգերից ինքնաշխատ եղանակով ստացվող և կիրառվող տեղեկատվության (տվյալների) շրջանակի ընդլայնման, կենսաթոշակային ապահովության և պետական նպաստների բնագավառի կառավարման համակարգի արդյունավետության բարելավման նպատակով: </w:t>
      </w:r>
    </w:p>
    <w:p w:rsidR="00924858" w:rsidRPr="00924858" w:rsidRDefault="00924858" w:rsidP="00D37B16">
      <w:pPr>
        <w:spacing w:before="0" w:line="276" w:lineRule="auto"/>
        <w:ind w:firstLine="540"/>
        <w:contextualSpacing w:val="0"/>
        <w:rPr>
          <w:rFonts w:eastAsia="Calibri" w:cs="Calibri"/>
          <w:b w:val="0"/>
          <w:szCs w:val="22"/>
          <w:lang w:val="hy-AM" w:eastAsia="en-US"/>
        </w:rPr>
      </w:pPr>
      <w:r w:rsidRPr="00924858">
        <w:rPr>
          <w:rFonts w:eastAsia="Calibri" w:cs="Calibri"/>
          <w:szCs w:val="22"/>
          <w:lang w:val="hy-AM" w:eastAsia="en-US"/>
        </w:rPr>
        <w:t xml:space="preserve">Սոցիալական ապահովություն ծրագրի գծով </w:t>
      </w:r>
      <w:r w:rsidRPr="00924858">
        <w:rPr>
          <w:rFonts w:eastAsia="Calibri" w:cs="Calibri"/>
          <w:b w:val="0"/>
          <w:szCs w:val="22"/>
          <w:lang w:val="hy-AM" w:eastAsia="en-US"/>
        </w:rPr>
        <w:t xml:space="preserve">2023 թվականի համար նախատեսվել է </w:t>
      </w:r>
      <w:r>
        <w:rPr>
          <w:rFonts w:eastAsia="Calibri" w:cs="Calibri"/>
          <w:b w:val="0"/>
          <w:szCs w:val="22"/>
          <w:lang w:val="hy-AM" w:eastAsia="en-US"/>
        </w:rPr>
        <w:t>7</w:t>
      </w:r>
      <w:r w:rsidR="00DC2ED9" w:rsidRPr="00E26A49">
        <w:rPr>
          <w:rFonts w:eastAsia="Calibri" w:cs="Calibri"/>
          <w:b w:val="0"/>
          <w:szCs w:val="22"/>
          <w:lang w:val="hy-AM" w:eastAsia="en-US"/>
        </w:rPr>
        <w:t>6</w:t>
      </w:r>
      <w:r>
        <w:rPr>
          <w:rFonts w:eastAsia="Calibri" w:cs="Calibri"/>
          <w:b w:val="0"/>
          <w:szCs w:val="22"/>
          <w:lang w:val="hy-AM" w:eastAsia="en-US"/>
        </w:rPr>
        <w:t>,</w:t>
      </w:r>
      <w:r w:rsidRPr="00924858">
        <w:rPr>
          <w:rFonts w:eastAsia="Calibri" w:cs="Calibri"/>
          <w:b w:val="0"/>
          <w:szCs w:val="22"/>
          <w:lang w:val="hy-AM" w:eastAsia="en-US"/>
        </w:rPr>
        <w:t>3</w:t>
      </w:r>
      <w:r w:rsidR="00DC2ED9" w:rsidRPr="00E26A49">
        <w:rPr>
          <w:rFonts w:eastAsia="Calibri" w:cs="Calibri"/>
          <w:b w:val="0"/>
          <w:szCs w:val="22"/>
          <w:lang w:val="hy-AM" w:eastAsia="en-US"/>
        </w:rPr>
        <w:t>31</w:t>
      </w:r>
      <w:r w:rsidRPr="00924858">
        <w:rPr>
          <w:rFonts w:eastAsia="Calibri" w:cs="Calibri"/>
          <w:b w:val="0"/>
          <w:szCs w:val="22"/>
          <w:lang w:val="hy-AM" w:eastAsia="en-US"/>
        </w:rPr>
        <w:t>.1 մլն դրամ։</w:t>
      </w:r>
    </w:p>
    <w:p w:rsidR="007F28F7" w:rsidRPr="00C43BF7" w:rsidRDefault="007F28F7" w:rsidP="00AD7A03">
      <w:pPr>
        <w:tabs>
          <w:tab w:val="left" w:pos="0"/>
        </w:tabs>
        <w:spacing w:before="0" w:line="276" w:lineRule="auto"/>
        <w:contextualSpacing w:val="0"/>
        <w:rPr>
          <w:rFonts w:cs="Browallia New"/>
          <w:b w:val="0"/>
          <w:szCs w:val="22"/>
          <w:lang w:val="hy-AM"/>
        </w:rPr>
      </w:pPr>
      <w:r w:rsidRPr="007F28F7">
        <w:rPr>
          <w:iCs/>
          <w:color w:val="191919"/>
          <w:szCs w:val="22"/>
          <w:shd w:val="clear" w:color="auto" w:fill="FFFFFF"/>
          <w:lang w:val="hy-AM" w:eastAsia="en-US"/>
        </w:rPr>
        <w:t>Ընտանիքներին, կանանց և երեխաներին աջակցություն</w:t>
      </w:r>
      <w:r w:rsidRPr="00C43BF7">
        <w:rPr>
          <w:rFonts w:cs="Browallia New"/>
          <w:szCs w:val="22"/>
          <w:lang w:val="hy-AM"/>
        </w:rPr>
        <w:t xml:space="preserve"> </w:t>
      </w:r>
      <w:r w:rsidRPr="00C43BF7">
        <w:rPr>
          <w:rFonts w:cs="Browallia New"/>
          <w:b w:val="0"/>
          <w:szCs w:val="22"/>
          <w:lang w:val="hy-AM"/>
        </w:rPr>
        <w:t>ծրագրի վերջնական արդյունքը ընտանիքներին՝ կանանց և երեխաներին մատուցվող սոցիալական ծառայությունների և դրանց հասցեականության բարելավումն է՝ նրանց հասարակություն ինտեգրման նպատակով:</w:t>
      </w:r>
    </w:p>
    <w:p w:rsidR="007F28F7" w:rsidRPr="00C43BF7" w:rsidRDefault="007F28F7" w:rsidP="00AD7A03">
      <w:pPr>
        <w:tabs>
          <w:tab w:val="left" w:pos="0"/>
        </w:tabs>
        <w:spacing w:before="0" w:line="276" w:lineRule="auto"/>
        <w:contextualSpacing w:val="0"/>
        <w:rPr>
          <w:rFonts w:cs="Browallia New"/>
          <w:b w:val="0"/>
          <w:szCs w:val="22"/>
          <w:lang w:val="hy-AM"/>
        </w:rPr>
      </w:pPr>
      <w:r w:rsidRPr="00C43BF7">
        <w:rPr>
          <w:rFonts w:cs="Browallia New"/>
          <w:b w:val="0"/>
          <w:szCs w:val="22"/>
          <w:lang w:val="hy-AM"/>
        </w:rPr>
        <w:t>2023 թվականի համար նախատեսվում է 4,761.7</w:t>
      </w:r>
      <w:r w:rsidRPr="007F28F7">
        <w:rPr>
          <w:rFonts w:cs="Browallia New"/>
          <w:b w:val="0"/>
          <w:szCs w:val="22"/>
          <w:lang w:val="hy-AM"/>
        </w:rPr>
        <w:t xml:space="preserve"> </w:t>
      </w:r>
      <w:r w:rsidRPr="00C43BF7">
        <w:rPr>
          <w:rFonts w:cs="Browallia New"/>
          <w:b w:val="0"/>
          <w:szCs w:val="22"/>
          <w:lang w:val="hy-AM"/>
        </w:rPr>
        <w:t xml:space="preserve">մլն դրամ։ </w:t>
      </w:r>
    </w:p>
    <w:p w:rsidR="007F28F7" w:rsidRPr="00C43BF7" w:rsidRDefault="007F28F7" w:rsidP="00AD7A03">
      <w:pPr>
        <w:tabs>
          <w:tab w:val="left" w:pos="0"/>
        </w:tabs>
        <w:spacing w:before="0" w:line="276" w:lineRule="auto"/>
        <w:rPr>
          <w:rFonts w:cs="Browallia New"/>
          <w:b w:val="0"/>
          <w:szCs w:val="22"/>
          <w:lang w:val="hy-AM"/>
        </w:rPr>
      </w:pPr>
      <w:r w:rsidRPr="007F28F7">
        <w:rPr>
          <w:rFonts w:cs="Browallia New"/>
          <w:b w:val="0"/>
          <w:szCs w:val="22"/>
          <w:lang w:val="hy-AM"/>
        </w:rPr>
        <w:t xml:space="preserve">Կշարունակվի </w:t>
      </w:r>
      <w:r w:rsidRPr="00C43BF7">
        <w:rPr>
          <w:rFonts w:cs="Browallia New"/>
          <w:b w:val="0"/>
          <w:szCs w:val="22"/>
          <w:lang w:val="hy-AM"/>
        </w:rPr>
        <w:t>«Երեխաների շուրջօրյա խնամքի ծառայություններ» միջոցառ</w:t>
      </w:r>
      <w:r w:rsidRPr="007F28F7">
        <w:rPr>
          <w:rFonts w:cs="Browallia New"/>
          <w:b w:val="0"/>
          <w:szCs w:val="22"/>
          <w:lang w:val="hy-AM"/>
        </w:rPr>
        <w:t>ու</w:t>
      </w:r>
      <w:r w:rsidRPr="00C43BF7">
        <w:rPr>
          <w:rFonts w:cs="Browallia New"/>
          <w:b w:val="0"/>
          <w:szCs w:val="22"/>
          <w:lang w:val="hy-AM"/>
        </w:rPr>
        <w:t>մ</w:t>
      </w:r>
      <w:r w:rsidRPr="007F28F7">
        <w:rPr>
          <w:rFonts w:cs="Browallia New"/>
          <w:b w:val="0"/>
          <w:szCs w:val="22"/>
          <w:lang w:val="hy-AM"/>
        </w:rPr>
        <w:t>ը, որի</w:t>
      </w:r>
      <w:r w:rsidRPr="00C43BF7">
        <w:rPr>
          <w:rFonts w:cs="Browallia New"/>
          <w:b w:val="0"/>
          <w:szCs w:val="22"/>
          <w:lang w:val="hy-AM"/>
        </w:rPr>
        <w:t xml:space="preserve"> շրջանակում </w:t>
      </w:r>
      <w:r w:rsidRPr="007F28F7">
        <w:rPr>
          <w:rFonts w:cs="Browallia New"/>
          <w:b w:val="0"/>
          <w:szCs w:val="22"/>
          <w:lang w:val="hy-AM"/>
        </w:rPr>
        <w:t xml:space="preserve">բնակչության սոցիալական պաշտպանության ընդհանուր և հատուկ/մասնագիտացված տիպի 5 հաստատություններում </w:t>
      </w:r>
      <w:r w:rsidRPr="00C43BF7">
        <w:rPr>
          <w:rFonts w:cs="Browallia New"/>
          <w:b w:val="0"/>
          <w:szCs w:val="22"/>
          <w:lang w:val="hy-AM"/>
        </w:rPr>
        <w:t xml:space="preserve">նախատեսվում է իրականացնել </w:t>
      </w:r>
      <w:r w:rsidRPr="007F28F7">
        <w:rPr>
          <w:rFonts w:cs="Browallia New"/>
          <w:b w:val="0"/>
          <w:szCs w:val="22"/>
          <w:lang w:val="hy-AM"/>
        </w:rPr>
        <w:t>61</w:t>
      </w:r>
      <w:r w:rsidRPr="00C43BF7">
        <w:rPr>
          <w:rFonts w:cs="Browallia New"/>
          <w:b w:val="0"/>
          <w:szCs w:val="22"/>
          <w:lang w:val="hy-AM"/>
        </w:rPr>
        <w:t xml:space="preserve">5 երեխայի խնամքն ու դաստիարակությունը: </w:t>
      </w:r>
    </w:p>
    <w:p w:rsidR="007F28F7" w:rsidRPr="00C43BF7" w:rsidRDefault="007F28F7" w:rsidP="00AD7A03">
      <w:pPr>
        <w:tabs>
          <w:tab w:val="left" w:pos="0"/>
        </w:tabs>
        <w:spacing w:before="0" w:line="276" w:lineRule="auto"/>
        <w:rPr>
          <w:rFonts w:cs="Browallia New"/>
          <w:b w:val="0"/>
          <w:szCs w:val="22"/>
          <w:lang w:val="hy-AM"/>
        </w:rPr>
      </w:pPr>
      <w:r w:rsidRPr="007F28F7">
        <w:rPr>
          <w:rFonts w:cs="Browallia New"/>
          <w:b w:val="0"/>
          <w:szCs w:val="22"/>
          <w:lang w:val="hy-AM"/>
        </w:rPr>
        <w:t>Ծրագրի շրջանակում մ</w:t>
      </w:r>
      <w:r w:rsidRPr="00C43BF7">
        <w:rPr>
          <w:rFonts w:cs="Browallia New"/>
          <w:b w:val="0"/>
          <w:szCs w:val="22"/>
          <w:lang w:val="hy-AM"/>
        </w:rPr>
        <w:t xml:space="preserve">անկատների </w:t>
      </w:r>
      <w:r w:rsidRPr="00C43BF7">
        <w:rPr>
          <w:rFonts w:cs="Sylfaen"/>
          <w:b w:val="0"/>
          <w:szCs w:val="22"/>
          <w:lang w:val="hy-AM"/>
        </w:rPr>
        <w:t>շրջանավարտներին մեկ տարի շարունակ՝ ամսական հաճախությամբ</w:t>
      </w:r>
      <w:r w:rsidRPr="007F28F7">
        <w:rPr>
          <w:rFonts w:cs="Sylfaen"/>
          <w:b w:val="0"/>
          <w:szCs w:val="22"/>
          <w:lang w:val="hy-AM"/>
        </w:rPr>
        <w:t xml:space="preserve"> կտրամադրվի</w:t>
      </w:r>
      <w:r w:rsidRPr="00C43BF7">
        <w:rPr>
          <w:rFonts w:cs="Sylfaen"/>
          <w:b w:val="0"/>
          <w:szCs w:val="22"/>
          <w:lang w:val="hy-AM"/>
        </w:rPr>
        <w:t xml:space="preserve"> նվազագույն սպառողական զամբյուղին համարժեք դրամական օգնության </w:t>
      </w:r>
      <w:r w:rsidRPr="00C43BF7">
        <w:rPr>
          <w:rFonts w:cs="Browallia New"/>
          <w:b w:val="0"/>
          <w:szCs w:val="22"/>
          <w:lang w:val="hy-AM"/>
        </w:rPr>
        <w:t xml:space="preserve">և շրջանավարտների համար </w:t>
      </w:r>
      <w:r w:rsidRPr="007F28F7">
        <w:rPr>
          <w:rFonts w:cs="Browallia New"/>
          <w:b w:val="0"/>
          <w:szCs w:val="22"/>
          <w:lang w:val="hy-AM"/>
        </w:rPr>
        <w:t xml:space="preserve">կվարձակալվի </w:t>
      </w:r>
      <w:r w:rsidRPr="00C43BF7">
        <w:rPr>
          <w:rFonts w:cs="Browallia New"/>
          <w:b w:val="0"/>
          <w:szCs w:val="22"/>
          <w:lang w:val="hy-AM"/>
        </w:rPr>
        <w:t xml:space="preserve">բնակարան, </w:t>
      </w:r>
      <w:r w:rsidRPr="007F28F7">
        <w:rPr>
          <w:rFonts w:cs="Browallia New"/>
          <w:b w:val="0"/>
          <w:szCs w:val="22"/>
          <w:lang w:val="hy-AM"/>
        </w:rPr>
        <w:t>որի համար նախատեսվում է 20.4 մլն դրամ ։</w:t>
      </w:r>
    </w:p>
    <w:p w:rsidR="007F28F7" w:rsidRPr="00C43BF7" w:rsidRDefault="007F28F7" w:rsidP="00AD7A03">
      <w:pPr>
        <w:tabs>
          <w:tab w:val="left" w:pos="0"/>
        </w:tabs>
        <w:spacing w:before="0" w:line="276" w:lineRule="auto"/>
        <w:rPr>
          <w:rFonts w:cs="Browallia New"/>
          <w:b w:val="0"/>
          <w:szCs w:val="22"/>
          <w:lang w:val="hy-AM"/>
        </w:rPr>
      </w:pPr>
      <w:r w:rsidRPr="00C43BF7">
        <w:rPr>
          <w:rFonts w:cs="Browallia New"/>
          <w:b w:val="0"/>
          <w:szCs w:val="22"/>
          <w:lang w:val="hy-AM"/>
        </w:rPr>
        <w:t>Կյանքի դժվարին իրավիճակում հայտնված երեխայի ընտանիքում ապրելու իրավունքը ապահովելու, նրանց խնամքի</w:t>
      </w:r>
      <w:r w:rsidRPr="007F28F7">
        <w:rPr>
          <w:rFonts w:cs="Browallia New"/>
          <w:b w:val="0"/>
          <w:szCs w:val="22"/>
          <w:lang w:val="hy-AM"/>
        </w:rPr>
        <w:t>,</w:t>
      </w:r>
      <w:r w:rsidRPr="00C43BF7">
        <w:rPr>
          <w:rFonts w:cs="Browallia New"/>
          <w:b w:val="0"/>
          <w:szCs w:val="22"/>
          <w:lang w:val="hy-AM"/>
        </w:rPr>
        <w:t xml:space="preserve"> այլընտրանքային ծառայություններ տրամադրելու նպատակով շարունակվելու է իրականացվել «Երեխաների և ընտանիքների աջակցության տրամադրման ծառայություններ» միջոցառումը, որի շրջանակում վեց աջակցության կենտրոնում սոցիալ-հոգեբանական ծառայություններ կտրամադրվեն կյանքի դժվարին իրավիճակում հայտնված 600 երեխայի և նրանց ընտանիքներին</w:t>
      </w:r>
      <w:r w:rsidRPr="007F28F7">
        <w:rPr>
          <w:rFonts w:cs="Browallia New"/>
          <w:b w:val="0"/>
          <w:szCs w:val="22"/>
          <w:lang w:val="hy-AM"/>
        </w:rPr>
        <w:t>: Մ</w:t>
      </w:r>
      <w:r w:rsidRPr="00C43BF7">
        <w:rPr>
          <w:rFonts w:cs="Browallia New"/>
          <w:b w:val="0"/>
          <w:szCs w:val="22"/>
          <w:lang w:val="hy-AM"/>
        </w:rPr>
        <w:t>իաժամանակ, կարճաժամկետ խնամք իրականացնելու նպատակով երեք ճգնաժամային կենտրոններում շարունակվելու է 0-18 տարեկան 15</w:t>
      </w:r>
      <w:r w:rsidRPr="007F28F7">
        <w:rPr>
          <w:rFonts w:cs="Browallia New"/>
          <w:b w:val="0"/>
          <w:szCs w:val="22"/>
          <w:lang w:val="hy-AM"/>
        </w:rPr>
        <w:t>0</w:t>
      </w:r>
      <w:r w:rsidRPr="00C43BF7">
        <w:rPr>
          <w:rFonts w:cs="Browallia New"/>
          <w:b w:val="0"/>
          <w:szCs w:val="22"/>
          <w:lang w:val="hy-AM"/>
        </w:rPr>
        <w:t xml:space="preserve"> երեխաների կարճաժամկետ շուրջօրյա խնամքի ծառայությունների իրականացումը</w:t>
      </w:r>
      <w:r w:rsidRPr="007F28F7">
        <w:rPr>
          <w:rFonts w:cs="Browallia New"/>
          <w:b w:val="0"/>
          <w:szCs w:val="22"/>
          <w:lang w:val="hy-AM"/>
        </w:rPr>
        <w:t>:</w:t>
      </w:r>
    </w:p>
    <w:p w:rsidR="007F28F7" w:rsidRPr="00C43BF7" w:rsidRDefault="007F28F7" w:rsidP="00AD7A03">
      <w:pPr>
        <w:tabs>
          <w:tab w:val="left" w:pos="0"/>
        </w:tabs>
        <w:spacing w:before="0" w:line="276" w:lineRule="auto"/>
        <w:rPr>
          <w:rFonts w:cs="Browallia New"/>
          <w:b w:val="0"/>
          <w:szCs w:val="22"/>
          <w:lang w:val="hy-AM"/>
        </w:rPr>
      </w:pPr>
      <w:r w:rsidRPr="00C43BF7">
        <w:rPr>
          <w:rFonts w:cs="Browallia New"/>
          <w:b w:val="0"/>
          <w:szCs w:val="22"/>
          <w:lang w:val="hy-AM"/>
        </w:rPr>
        <w:t xml:space="preserve">Պատվիրակված հասարակական կազմակերպությունների կողմից հանրապետության բոլոր մարզերում կիրականացվի «Երեխաների խնամքի ցերեկային ծառայությունների տրամադրում» միջոցառումը, որի </w:t>
      </w:r>
      <w:r w:rsidRPr="007F28F7">
        <w:rPr>
          <w:rFonts w:cs="Browallia New"/>
          <w:b w:val="0"/>
          <w:szCs w:val="22"/>
          <w:lang w:val="hy-AM"/>
        </w:rPr>
        <w:t xml:space="preserve">նպատակն է </w:t>
      </w:r>
      <w:r w:rsidRPr="00C43BF7">
        <w:rPr>
          <w:rFonts w:cs="Sylfaen"/>
          <w:b w:val="0"/>
          <w:szCs w:val="22"/>
          <w:lang w:val="hy-AM"/>
        </w:rPr>
        <w:t>ՀՀ երեխաների խնամք և պաշտպանություն իրականացնող հաստատություններում խնամվող երեխաներին կենսաբանական ընտանիք վերադարձնելու, ինչպես նաև նրանց մուտքը սահմանափակելու հետ կապված իրազեկման աշխատանքների իրականացում և ծրագրերի կառավարում</w:t>
      </w:r>
      <w:r w:rsidRPr="007F28F7">
        <w:rPr>
          <w:rFonts w:cs="Sylfaen"/>
          <w:b w:val="0"/>
          <w:szCs w:val="22"/>
          <w:lang w:val="hy-AM"/>
        </w:rPr>
        <w:t xml:space="preserve">, որի </w:t>
      </w:r>
      <w:r w:rsidRPr="00C43BF7">
        <w:rPr>
          <w:rFonts w:cs="Browallia New"/>
          <w:b w:val="0"/>
          <w:szCs w:val="22"/>
          <w:lang w:val="hy-AM"/>
        </w:rPr>
        <w:t xml:space="preserve">շրջանակում </w:t>
      </w:r>
      <w:r w:rsidRPr="007F28F7">
        <w:rPr>
          <w:rFonts w:cs="Browallia New"/>
          <w:b w:val="0"/>
          <w:szCs w:val="22"/>
          <w:lang w:val="hy-AM"/>
        </w:rPr>
        <w:t xml:space="preserve">նվազագույնը 20 կենտրոններում կյանքի դժվարին իրավիճակում հայտնված 3500 </w:t>
      </w:r>
      <w:r w:rsidRPr="00C43BF7">
        <w:rPr>
          <w:rFonts w:cs="Browallia New"/>
          <w:b w:val="0"/>
          <w:szCs w:val="22"/>
          <w:lang w:val="hy-AM"/>
        </w:rPr>
        <w:t>երեխա</w:t>
      </w:r>
      <w:r w:rsidRPr="007F28F7">
        <w:rPr>
          <w:rFonts w:cs="Browallia New"/>
          <w:b w:val="0"/>
          <w:szCs w:val="22"/>
          <w:lang w:val="hy-AM"/>
        </w:rPr>
        <w:t>ների և նրանց ծնողներին</w:t>
      </w:r>
      <w:r w:rsidRPr="00C43BF7">
        <w:rPr>
          <w:rFonts w:cs="Browallia New"/>
          <w:b w:val="0"/>
          <w:szCs w:val="22"/>
          <w:lang w:val="hy-AM"/>
        </w:rPr>
        <w:t xml:space="preserve"> </w:t>
      </w:r>
      <w:r w:rsidRPr="007F28F7">
        <w:rPr>
          <w:rFonts w:cs="Browallia New"/>
          <w:b w:val="0"/>
          <w:szCs w:val="22"/>
          <w:lang w:val="hy-AM"/>
        </w:rPr>
        <w:t>կտարամադրվեն սոցիալական սպասար</w:t>
      </w:r>
      <w:r w:rsidRPr="00C43BF7">
        <w:rPr>
          <w:rFonts w:cs="Browallia New"/>
          <w:b w:val="0"/>
          <w:szCs w:val="22"/>
          <w:lang w:val="hy-AM"/>
        </w:rPr>
        <w:t>կ</w:t>
      </w:r>
      <w:r w:rsidRPr="007F28F7">
        <w:rPr>
          <w:rFonts w:cs="Browallia New"/>
          <w:b w:val="0"/>
          <w:szCs w:val="22"/>
          <w:lang w:val="hy-AM"/>
        </w:rPr>
        <w:t>ման ծառայություններ, ինչպես նաև սոցիալական, հոգեբանական, իրավաբանական խորհրդատվություն և աջակցություն</w:t>
      </w:r>
      <w:r w:rsidRPr="00C43BF7">
        <w:rPr>
          <w:rFonts w:cs="Browallia New"/>
          <w:b w:val="0"/>
          <w:szCs w:val="22"/>
          <w:lang w:val="hy-AM"/>
        </w:rPr>
        <w:t xml:space="preserve">: </w:t>
      </w:r>
    </w:p>
    <w:p w:rsidR="007F28F7" w:rsidRPr="00C43BF7" w:rsidRDefault="007F28F7" w:rsidP="00AD7A03">
      <w:pPr>
        <w:tabs>
          <w:tab w:val="left" w:pos="0"/>
        </w:tabs>
        <w:spacing w:before="0" w:line="276" w:lineRule="auto"/>
        <w:ind w:left="1"/>
        <w:rPr>
          <w:rFonts w:cs="Browallia New"/>
          <w:b w:val="0"/>
          <w:szCs w:val="22"/>
          <w:lang w:val="hy-AM"/>
        </w:rPr>
      </w:pPr>
      <w:r w:rsidRPr="00C43BF7">
        <w:rPr>
          <w:rFonts w:cs="Browallia New"/>
          <w:b w:val="0"/>
          <w:szCs w:val="22"/>
          <w:lang w:val="hy-AM"/>
        </w:rPr>
        <w:t>Մանկատներում խնամվող 7-18 տարեկան դպրոցահասակ երեխաների համար ընտանեկան միջավայրին մոտ միջավայր ապահովելու և կենցաղային որոշակի հմտությունների ձեռքբերման նպատակով կշարունակվի «Երեխաների շուրջօրյա խնամքի բնակչության սոցիալական պաշտպանության հաստատություններում խնամվող դպրոցական տարիքի երեխաներին դրամական աջակցության տրամադրում» միջոցառումը:</w:t>
      </w:r>
    </w:p>
    <w:p w:rsidR="007F28F7" w:rsidRPr="007F28F7" w:rsidRDefault="007F28F7" w:rsidP="00AD7A03">
      <w:pPr>
        <w:tabs>
          <w:tab w:val="left" w:pos="0"/>
        </w:tabs>
        <w:spacing w:before="0" w:line="276" w:lineRule="auto"/>
        <w:ind w:left="1"/>
        <w:rPr>
          <w:rFonts w:cs="Browallia New"/>
          <w:b w:val="0"/>
          <w:szCs w:val="22"/>
          <w:lang w:val="hy-AM"/>
        </w:rPr>
      </w:pPr>
      <w:r w:rsidRPr="007F28F7">
        <w:rPr>
          <w:b w:val="0"/>
          <w:szCs w:val="22"/>
          <w:lang w:val="hy-AM"/>
        </w:rPr>
        <w:t>Մ</w:t>
      </w:r>
      <w:r w:rsidRPr="00C43BF7">
        <w:rPr>
          <w:b w:val="0"/>
          <w:szCs w:val="22"/>
          <w:lang w:val="hy-AM"/>
        </w:rPr>
        <w:t>արդկանց</w:t>
      </w:r>
      <w:r w:rsidRPr="007F28F7">
        <w:rPr>
          <w:b w:val="0"/>
          <w:szCs w:val="22"/>
          <w:lang w:val="hy-AM"/>
        </w:rPr>
        <w:t xml:space="preserve"> թրաֆիքինգի և</w:t>
      </w:r>
      <w:r w:rsidRPr="00C43BF7">
        <w:rPr>
          <w:b w:val="0"/>
          <w:szCs w:val="22"/>
          <w:lang w:val="hy-AM"/>
        </w:rPr>
        <w:t xml:space="preserve"> շահագործման երևույթի կանխարգելմանն ուղղված քաղաքականության շարունակականության ապահովման նպատակով </w:t>
      </w:r>
      <w:r w:rsidRPr="007F28F7">
        <w:rPr>
          <w:b w:val="0"/>
          <w:szCs w:val="22"/>
          <w:lang w:val="hy-AM"/>
        </w:rPr>
        <w:t xml:space="preserve">2023 թվականին շարունակվելու են </w:t>
      </w:r>
      <w:r w:rsidRPr="00C43BF7">
        <w:rPr>
          <w:b w:val="0"/>
          <w:szCs w:val="22"/>
          <w:lang w:val="hy-AM"/>
        </w:rPr>
        <w:t>«Թրաֆիքինգի և շահագործման, սեռական բռնության ենթարկված անձանց սոցիալ-հոգեբանական վերականգնողական ծառայություններ» միջոցառումը, որի շրջանակներում նախատեսվում է</w:t>
      </w:r>
      <w:r w:rsidRPr="007F28F7">
        <w:rPr>
          <w:b w:val="0"/>
          <w:szCs w:val="22"/>
          <w:lang w:val="hy-AM"/>
        </w:rPr>
        <w:t xml:space="preserve"> </w:t>
      </w:r>
      <w:r w:rsidRPr="00C43BF7">
        <w:rPr>
          <w:b w:val="0"/>
          <w:szCs w:val="22"/>
          <w:lang w:val="hy-AM"/>
        </w:rPr>
        <w:t>ծառայությունների մատուցում 8 թրաֆիքինգի և շահագործման ենթարկված անձի</w:t>
      </w:r>
      <w:r w:rsidRPr="007F28F7">
        <w:rPr>
          <w:b w:val="0"/>
          <w:szCs w:val="22"/>
          <w:lang w:val="hy-AM"/>
        </w:rPr>
        <w:t>,</w:t>
      </w:r>
      <w:r w:rsidRPr="00C43BF7">
        <w:rPr>
          <w:b w:val="0"/>
          <w:szCs w:val="22"/>
          <w:lang w:val="hy-AM"/>
        </w:rPr>
        <w:t xml:space="preserve"> ինչպես նաև «Մարդկանց թրաֆիքինգի և/կամ շահագործման զոհերին միանվագ դրամական փոխհատուցման տրամադրում» միջոցառումը, որի </w:t>
      </w:r>
      <w:r w:rsidRPr="007F28F7">
        <w:rPr>
          <w:b w:val="0"/>
          <w:szCs w:val="22"/>
          <w:lang w:val="hy-AM"/>
        </w:rPr>
        <w:t>շրջանակներում նախատեսվում է միանվագ դրամական փոխհատուցման տրամադրում 7 թրաֆիքինգի և շահագործման ենթարկված անձի</w:t>
      </w:r>
      <w:r w:rsidRPr="00C43BF7">
        <w:rPr>
          <w:b w:val="0"/>
          <w:szCs w:val="22"/>
          <w:lang w:val="hy-AM"/>
        </w:rPr>
        <w:t>:</w:t>
      </w:r>
    </w:p>
    <w:p w:rsidR="007F28F7" w:rsidRDefault="007F28F7" w:rsidP="00AD7A03">
      <w:pPr>
        <w:tabs>
          <w:tab w:val="left" w:pos="0"/>
        </w:tabs>
        <w:spacing w:before="0" w:line="276" w:lineRule="auto"/>
        <w:rPr>
          <w:b w:val="0"/>
          <w:szCs w:val="22"/>
          <w:lang w:val="hy-AM"/>
        </w:rPr>
      </w:pPr>
      <w:r w:rsidRPr="00C43BF7">
        <w:rPr>
          <w:b w:val="0"/>
          <w:szCs w:val="22"/>
          <w:lang w:val="hy-AM"/>
        </w:rPr>
        <w:t>Ընտանիքում բռնության ենթարկված անձանց օրենսդրությամբ սահմանված աջակցության տրամադրման նպատակո</w:t>
      </w:r>
      <w:r w:rsidRPr="007F28F7">
        <w:rPr>
          <w:b w:val="0"/>
          <w:szCs w:val="22"/>
          <w:lang w:val="hy-AM"/>
        </w:rPr>
        <w:t xml:space="preserve">վ՝ </w:t>
      </w:r>
      <w:r w:rsidRPr="00C43BF7">
        <w:rPr>
          <w:b w:val="0"/>
          <w:szCs w:val="22"/>
          <w:lang w:val="hy-AM"/>
        </w:rPr>
        <w:t xml:space="preserve">«Ընտանիքներին, կանանց և երեխաներին աջակցության ծրագրի» շրջանակներում </w:t>
      </w:r>
      <w:r w:rsidRPr="007F28F7">
        <w:rPr>
          <w:b w:val="0"/>
          <w:szCs w:val="22"/>
          <w:lang w:val="hy-AM"/>
        </w:rPr>
        <w:t xml:space="preserve">շարունակվելու են </w:t>
      </w:r>
      <w:r w:rsidRPr="00C43BF7">
        <w:rPr>
          <w:b w:val="0"/>
          <w:szCs w:val="22"/>
          <w:lang w:val="hy-AM"/>
        </w:rPr>
        <w:t>իրական</w:t>
      </w:r>
      <w:r w:rsidRPr="007F28F7">
        <w:rPr>
          <w:b w:val="0"/>
          <w:szCs w:val="22"/>
          <w:lang w:val="hy-AM"/>
        </w:rPr>
        <w:t>ա</w:t>
      </w:r>
      <w:r w:rsidRPr="00C43BF7">
        <w:rPr>
          <w:b w:val="0"/>
          <w:szCs w:val="22"/>
          <w:lang w:val="hy-AM"/>
        </w:rPr>
        <w:t xml:space="preserve">ցվել հետևյալ երեք միջոցառումները՝ </w:t>
      </w:r>
      <w:r w:rsidRPr="00C43BF7">
        <w:rPr>
          <w:rFonts w:cs="GHEA Grapalat"/>
          <w:b w:val="0"/>
          <w:szCs w:val="22"/>
          <w:lang w:val="hy-AM"/>
        </w:rPr>
        <w:t>«</w:t>
      </w:r>
      <w:r w:rsidRPr="00C43BF7">
        <w:rPr>
          <w:b w:val="0"/>
          <w:szCs w:val="22"/>
          <w:lang w:val="hy-AM"/>
        </w:rPr>
        <w:t xml:space="preserve">Ընտանիքում բռնության ենթարկված անձանց ապաստարանի ծառայություններ», որի շրջանակներում նախատեսվում է համապատասխան ծառայությունների </w:t>
      </w:r>
      <w:r w:rsidRPr="007F28F7">
        <w:rPr>
          <w:b w:val="0"/>
          <w:szCs w:val="22"/>
          <w:lang w:val="hy-AM"/>
        </w:rPr>
        <w:t>մատուցում</w:t>
      </w:r>
      <w:r w:rsidRPr="00C43BF7">
        <w:rPr>
          <w:b w:val="0"/>
          <w:szCs w:val="22"/>
          <w:lang w:val="hy-AM"/>
        </w:rPr>
        <w:t xml:space="preserve"> </w:t>
      </w:r>
      <w:r w:rsidRPr="007F28F7">
        <w:rPr>
          <w:b w:val="0"/>
          <w:szCs w:val="22"/>
          <w:lang w:val="hy-AM"/>
        </w:rPr>
        <w:t>60 ընտանիքում բռնության ենթարկված անձի,</w:t>
      </w:r>
      <w:r w:rsidRPr="00C43BF7">
        <w:rPr>
          <w:b w:val="0"/>
          <w:szCs w:val="22"/>
          <w:lang w:val="hy-AM"/>
        </w:rPr>
        <w:t xml:space="preserve"> «Ընտանիքում բռնության ենթարկված անձանց աջակցության կենտրոնների ծառայություններ»</w:t>
      </w:r>
      <w:r w:rsidRPr="007F28F7">
        <w:rPr>
          <w:b w:val="0"/>
          <w:szCs w:val="22"/>
          <w:lang w:val="hy-AM"/>
        </w:rPr>
        <w:t>, որի շրջանակներում նախատեսվում է համապատասխան ծառայությունների մատուցում 1500 ընտանիքում բռնության ենթարկված անձի</w:t>
      </w:r>
      <w:r w:rsidRPr="00C43BF7">
        <w:rPr>
          <w:b w:val="0"/>
          <w:szCs w:val="22"/>
          <w:lang w:val="hy-AM"/>
        </w:rPr>
        <w:t xml:space="preserve"> և «Ընտանիքում բռնության ենթարկվածների </w:t>
      </w:r>
      <w:r w:rsidRPr="007F28F7">
        <w:rPr>
          <w:b w:val="0"/>
          <w:szCs w:val="22"/>
          <w:lang w:val="hy-AM"/>
        </w:rPr>
        <w:t>ժամանակավոր աջակցություն» միջոցառումը, որի շրջանակներում նախատեսվում է ընտանիքում բռնության ենթարկված շուրջ 100 անձի ֆինանսական աջակցության տրամադրում։</w:t>
      </w:r>
    </w:p>
    <w:p w:rsidR="007D01FA" w:rsidRPr="009070BD" w:rsidRDefault="007D01FA" w:rsidP="007D01FA">
      <w:pPr>
        <w:spacing w:before="0" w:line="276" w:lineRule="auto"/>
        <w:ind w:firstLine="720"/>
        <w:rPr>
          <w:rFonts w:cs="Sylfaen"/>
          <w:b w:val="0"/>
          <w:szCs w:val="22"/>
          <w:lang w:val="af-ZA"/>
        </w:rPr>
      </w:pPr>
      <w:r w:rsidRPr="007D01FA">
        <w:rPr>
          <w:bCs/>
          <w:color w:val="191919"/>
          <w:szCs w:val="22"/>
          <w:shd w:val="clear" w:color="auto" w:fill="FFFFFF"/>
          <w:lang w:val="hy-AM" w:eastAsia="en-US"/>
        </w:rPr>
        <w:t>Սոցիալական պաշտպանության ոլորտի զարգացման</w:t>
      </w:r>
      <w:r w:rsidRPr="009070BD">
        <w:rPr>
          <w:rFonts w:cs="Sylfaen"/>
          <w:b w:val="0"/>
          <w:szCs w:val="22"/>
          <w:lang w:val="af-ZA"/>
        </w:rPr>
        <w:t xml:space="preserve"> ծրագր</w:t>
      </w:r>
      <w:r>
        <w:rPr>
          <w:rFonts w:cs="Sylfaen"/>
          <w:b w:val="0"/>
          <w:szCs w:val="22"/>
          <w:lang w:val="af-ZA"/>
        </w:rPr>
        <w:t xml:space="preserve">ի գծով </w:t>
      </w:r>
      <w:r w:rsidRPr="009070BD">
        <w:rPr>
          <w:rFonts w:cs="Sylfaen"/>
          <w:b w:val="0"/>
          <w:szCs w:val="22"/>
          <w:lang w:val="af-ZA"/>
        </w:rPr>
        <w:t xml:space="preserve">նախատեսվում է </w:t>
      </w:r>
      <w:r>
        <w:rPr>
          <w:rFonts w:cs="Sylfaen"/>
          <w:b w:val="0"/>
          <w:szCs w:val="22"/>
          <w:lang w:val="af-ZA"/>
        </w:rPr>
        <w:t>128</w:t>
      </w:r>
      <w:r>
        <w:rPr>
          <w:rFonts w:cs="Sylfaen"/>
          <w:b w:val="0"/>
          <w:szCs w:val="22"/>
          <w:lang w:val="hy-AM"/>
        </w:rPr>
        <w:t>.3</w:t>
      </w:r>
      <w:r w:rsidRPr="009070BD">
        <w:rPr>
          <w:rFonts w:cs="Sylfaen"/>
          <w:b w:val="0"/>
          <w:szCs w:val="22"/>
          <w:lang w:val="af-ZA"/>
        </w:rPr>
        <w:t xml:space="preserve"> մլն դրամ</w:t>
      </w:r>
      <w:r>
        <w:rPr>
          <w:rFonts w:cs="Sylfaen"/>
          <w:b w:val="0"/>
          <w:szCs w:val="22"/>
          <w:lang w:val="af-ZA"/>
        </w:rPr>
        <w:t xml:space="preserve">: Ծրագրի շրջանակում նախատեսվում է </w:t>
      </w:r>
      <w:r w:rsidR="00A87AC0">
        <w:rPr>
          <w:rFonts w:cs="Sylfaen"/>
          <w:b w:val="0"/>
          <w:szCs w:val="22"/>
          <w:lang w:val="af-ZA"/>
        </w:rPr>
        <w:t>մ</w:t>
      </w:r>
      <w:r w:rsidRPr="009070BD">
        <w:rPr>
          <w:rFonts w:cs="Sylfaen"/>
          <w:b w:val="0"/>
          <w:szCs w:val="22"/>
          <w:lang w:val="af-ZA"/>
        </w:rPr>
        <w:t>ե</w:t>
      </w:r>
      <w:r>
        <w:rPr>
          <w:rFonts w:cs="Sylfaen"/>
          <w:b w:val="0"/>
          <w:szCs w:val="22"/>
          <w:lang w:val="af-ZA"/>
        </w:rPr>
        <w:t>թոդաբանական ձեռնարկների մշակում,</w:t>
      </w:r>
      <w:r w:rsidRPr="009070BD">
        <w:rPr>
          <w:rFonts w:cs="Sylfaen"/>
          <w:b w:val="0"/>
          <w:szCs w:val="22"/>
          <w:lang w:val="af-ZA"/>
        </w:rPr>
        <w:t xml:space="preserve"> հետազոտությունների անցկացում</w:t>
      </w:r>
      <w:r w:rsidR="00A87AC0">
        <w:rPr>
          <w:rFonts w:cs="Sylfaen"/>
          <w:b w:val="0"/>
          <w:szCs w:val="22"/>
          <w:lang w:val="af-ZA"/>
        </w:rPr>
        <w:t>,</w:t>
      </w:r>
      <w:r w:rsidRPr="009070BD">
        <w:rPr>
          <w:rFonts w:cs="Sylfaen"/>
          <w:b w:val="0"/>
          <w:szCs w:val="22"/>
          <w:lang w:val="af-ZA"/>
        </w:rPr>
        <w:t xml:space="preserve"> սոցիալական ապահովությա</w:t>
      </w:r>
      <w:r>
        <w:rPr>
          <w:rFonts w:cs="Sylfaen"/>
          <w:b w:val="0"/>
          <w:szCs w:val="22"/>
          <w:lang w:val="af-ZA"/>
        </w:rPr>
        <w:t>ն ոլորտի կադրերի վերապատրաստում և</w:t>
      </w:r>
      <w:r w:rsidRPr="009070BD">
        <w:rPr>
          <w:rFonts w:cs="Sylfaen"/>
          <w:b w:val="0"/>
          <w:szCs w:val="22"/>
          <w:lang w:val="af-ZA"/>
        </w:rPr>
        <w:t xml:space="preserve"> </w:t>
      </w:r>
      <w:r w:rsidR="00A87AC0">
        <w:rPr>
          <w:rFonts w:cs="Sylfaen"/>
          <w:b w:val="0"/>
          <w:szCs w:val="22"/>
          <w:lang w:val="af-ZA"/>
        </w:rPr>
        <w:t>մասնագիտական կողմնորոշման</w:t>
      </w:r>
      <w:r w:rsidRPr="009070BD">
        <w:rPr>
          <w:rFonts w:cs="Sylfaen"/>
          <w:b w:val="0"/>
          <w:szCs w:val="22"/>
          <w:lang w:val="af-ZA"/>
        </w:rPr>
        <w:t xml:space="preserve"> համակարգի մեթոդաբանության ապահովման և կադրեր</w:t>
      </w:r>
      <w:r w:rsidR="00A87AC0">
        <w:rPr>
          <w:rFonts w:cs="Sylfaen"/>
          <w:b w:val="0"/>
          <w:szCs w:val="22"/>
          <w:lang w:val="af-ZA"/>
        </w:rPr>
        <w:t>ի վերապատրաստումներ</w:t>
      </w:r>
      <w:r w:rsidRPr="009070BD">
        <w:rPr>
          <w:rFonts w:cs="Sylfaen"/>
          <w:b w:val="0"/>
          <w:szCs w:val="22"/>
          <w:lang w:val="af-ZA"/>
        </w:rPr>
        <w:t>:</w:t>
      </w:r>
    </w:p>
    <w:p w:rsidR="007F28F7" w:rsidRPr="00C43BF7" w:rsidRDefault="007F28F7" w:rsidP="00AD7A03">
      <w:pPr>
        <w:tabs>
          <w:tab w:val="left" w:pos="0"/>
        </w:tabs>
        <w:spacing w:before="0" w:line="276" w:lineRule="auto"/>
        <w:contextualSpacing w:val="0"/>
        <w:rPr>
          <w:rFonts w:cs="Browallia New"/>
          <w:b w:val="0"/>
          <w:bCs/>
          <w:szCs w:val="22"/>
          <w:lang w:val="af-ZA"/>
        </w:rPr>
      </w:pPr>
      <w:r w:rsidRPr="007F28F7">
        <w:rPr>
          <w:bCs/>
          <w:color w:val="191919"/>
          <w:szCs w:val="22"/>
          <w:shd w:val="clear" w:color="auto" w:fill="FFFFFF"/>
          <w:lang w:val="hy-AM" w:eastAsia="en-US"/>
        </w:rPr>
        <w:t>Հաշմանդամություն ունեցող անձանց աջակցություն</w:t>
      </w:r>
      <w:r w:rsidRPr="007F28F7">
        <w:rPr>
          <w:rFonts w:cs="Sylfaen"/>
          <w:b w:val="0"/>
          <w:bCs/>
          <w:szCs w:val="22"/>
          <w:lang w:val="hy-AM"/>
        </w:rPr>
        <w:t xml:space="preserve"> </w:t>
      </w:r>
      <w:r w:rsidRPr="007F28F7">
        <w:rPr>
          <w:rFonts w:cs="Browallia New"/>
          <w:b w:val="0"/>
          <w:bCs/>
          <w:szCs w:val="22"/>
          <w:lang w:val="fr-FR"/>
        </w:rPr>
        <w:t>ծրագրի</w:t>
      </w:r>
      <w:r w:rsidRPr="00C43BF7">
        <w:rPr>
          <w:rFonts w:cs="Browallia New"/>
          <w:b w:val="0"/>
          <w:bCs/>
          <w:szCs w:val="22"/>
          <w:lang w:val="af-ZA"/>
        </w:rPr>
        <w:t xml:space="preserve"> </w:t>
      </w:r>
      <w:r w:rsidRPr="007F28F7">
        <w:rPr>
          <w:rFonts w:cs="Browallia New"/>
          <w:b w:val="0"/>
          <w:bCs/>
          <w:szCs w:val="22"/>
          <w:lang w:val="fr-FR"/>
        </w:rPr>
        <w:t>վերջնական</w:t>
      </w:r>
      <w:r w:rsidRPr="00C43BF7">
        <w:rPr>
          <w:rFonts w:cs="Browallia New"/>
          <w:b w:val="0"/>
          <w:bCs/>
          <w:szCs w:val="22"/>
          <w:lang w:val="af-ZA"/>
        </w:rPr>
        <w:t xml:space="preserve"> </w:t>
      </w:r>
      <w:r w:rsidRPr="007F28F7">
        <w:rPr>
          <w:rFonts w:cs="Browallia New"/>
          <w:b w:val="0"/>
          <w:bCs/>
          <w:szCs w:val="22"/>
          <w:lang w:val="fr-FR"/>
        </w:rPr>
        <w:t>արդյունքը</w:t>
      </w:r>
      <w:r w:rsidRPr="00C43BF7">
        <w:rPr>
          <w:rFonts w:cs="Browallia New"/>
          <w:b w:val="0"/>
          <w:bCs/>
          <w:szCs w:val="22"/>
          <w:lang w:val="af-ZA"/>
        </w:rPr>
        <w:t xml:space="preserve"> </w:t>
      </w:r>
      <w:r w:rsidRPr="007F28F7">
        <w:rPr>
          <w:rFonts w:cs="Browallia New"/>
          <w:b w:val="0"/>
          <w:bCs/>
          <w:szCs w:val="22"/>
          <w:lang w:val="fr-FR"/>
        </w:rPr>
        <w:t>հաշմանդամություն</w:t>
      </w:r>
      <w:r w:rsidRPr="00C43BF7">
        <w:rPr>
          <w:rFonts w:cs="Browallia New"/>
          <w:b w:val="0"/>
          <w:bCs/>
          <w:szCs w:val="22"/>
          <w:lang w:val="af-ZA"/>
        </w:rPr>
        <w:t xml:space="preserve"> </w:t>
      </w:r>
      <w:r w:rsidRPr="007F28F7">
        <w:rPr>
          <w:rFonts w:cs="Browallia New"/>
          <w:b w:val="0"/>
          <w:bCs/>
          <w:szCs w:val="22"/>
          <w:lang w:val="fr-FR"/>
        </w:rPr>
        <w:t>ունեցող</w:t>
      </w:r>
      <w:r w:rsidRPr="00C43BF7">
        <w:rPr>
          <w:rFonts w:cs="Browallia New"/>
          <w:b w:val="0"/>
          <w:bCs/>
          <w:szCs w:val="22"/>
          <w:lang w:val="af-ZA"/>
        </w:rPr>
        <w:t xml:space="preserve"> </w:t>
      </w:r>
      <w:r w:rsidRPr="007F28F7">
        <w:rPr>
          <w:rFonts w:cs="Browallia New"/>
          <w:b w:val="0"/>
          <w:bCs/>
          <w:szCs w:val="22"/>
          <w:lang w:val="fr-FR"/>
        </w:rPr>
        <w:t>անձանց</w:t>
      </w:r>
      <w:r w:rsidRPr="00C43BF7">
        <w:rPr>
          <w:rFonts w:cs="Browallia New"/>
          <w:b w:val="0"/>
          <w:bCs/>
          <w:szCs w:val="22"/>
          <w:lang w:val="af-ZA"/>
        </w:rPr>
        <w:t xml:space="preserve"> </w:t>
      </w:r>
      <w:r w:rsidRPr="007F28F7">
        <w:rPr>
          <w:rFonts w:cs="Browallia New"/>
          <w:b w:val="0"/>
          <w:bCs/>
          <w:szCs w:val="22"/>
          <w:lang w:val="fr-FR"/>
        </w:rPr>
        <w:t>մատուցվող</w:t>
      </w:r>
      <w:r w:rsidRPr="00C43BF7">
        <w:rPr>
          <w:rFonts w:cs="Browallia New"/>
          <w:b w:val="0"/>
          <w:bCs/>
          <w:szCs w:val="22"/>
          <w:lang w:val="af-ZA"/>
        </w:rPr>
        <w:t xml:space="preserve"> </w:t>
      </w:r>
      <w:r w:rsidRPr="007F28F7">
        <w:rPr>
          <w:rFonts w:cs="Browallia New"/>
          <w:b w:val="0"/>
          <w:bCs/>
          <w:szCs w:val="22"/>
          <w:lang w:val="fr-FR"/>
        </w:rPr>
        <w:t>սոցիալական</w:t>
      </w:r>
      <w:r w:rsidRPr="00C43BF7">
        <w:rPr>
          <w:rFonts w:cs="Browallia New"/>
          <w:b w:val="0"/>
          <w:bCs/>
          <w:szCs w:val="22"/>
          <w:lang w:val="af-ZA"/>
        </w:rPr>
        <w:t xml:space="preserve"> </w:t>
      </w:r>
      <w:r w:rsidRPr="007F28F7">
        <w:rPr>
          <w:rFonts w:cs="Browallia New"/>
          <w:b w:val="0"/>
          <w:bCs/>
          <w:szCs w:val="22"/>
          <w:lang w:val="fr-FR"/>
        </w:rPr>
        <w:t>ծառայությունների</w:t>
      </w:r>
      <w:r w:rsidRPr="00C43BF7">
        <w:rPr>
          <w:rFonts w:cs="Browallia New"/>
          <w:b w:val="0"/>
          <w:bCs/>
          <w:szCs w:val="22"/>
          <w:lang w:val="af-ZA"/>
        </w:rPr>
        <w:t xml:space="preserve"> </w:t>
      </w:r>
      <w:r w:rsidRPr="007F28F7">
        <w:rPr>
          <w:rFonts w:cs="Browallia New"/>
          <w:b w:val="0"/>
          <w:bCs/>
          <w:szCs w:val="22"/>
          <w:lang w:val="fr-FR"/>
        </w:rPr>
        <w:t>հասցեականության</w:t>
      </w:r>
      <w:r w:rsidRPr="00C43BF7">
        <w:rPr>
          <w:rFonts w:cs="Browallia New"/>
          <w:b w:val="0"/>
          <w:bCs/>
          <w:szCs w:val="22"/>
          <w:lang w:val="af-ZA"/>
        </w:rPr>
        <w:t xml:space="preserve"> </w:t>
      </w:r>
      <w:r w:rsidRPr="007F28F7">
        <w:rPr>
          <w:rFonts w:cs="Browallia New"/>
          <w:b w:val="0"/>
          <w:bCs/>
          <w:szCs w:val="22"/>
          <w:lang w:val="fr-FR"/>
        </w:rPr>
        <w:t>և</w:t>
      </w:r>
      <w:r w:rsidRPr="00C43BF7">
        <w:rPr>
          <w:rFonts w:cs="Browallia New"/>
          <w:b w:val="0"/>
          <w:bCs/>
          <w:szCs w:val="22"/>
          <w:lang w:val="af-ZA"/>
        </w:rPr>
        <w:t xml:space="preserve"> </w:t>
      </w:r>
      <w:r w:rsidRPr="007F28F7">
        <w:rPr>
          <w:rFonts w:cs="Browallia New"/>
          <w:b w:val="0"/>
          <w:bCs/>
          <w:szCs w:val="22"/>
          <w:lang w:val="fr-FR"/>
        </w:rPr>
        <w:t>արդյունավետության</w:t>
      </w:r>
      <w:r w:rsidRPr="00C43BF7">
        <w:rPr>
          <w:rFonts w:cs="Browallia New"/>
          <w:b w:val="0"/>
          <w:bCs/>
          <w:szCs w:val="22"/>
          <w:lang w:val="af-ZA"/>
        </w:rPr>
        <w:t xml:space="preserve"> </w:t>
      </w:r>
      <w:r w:rsidRPr="007F28F7">
        <w:rPr>
          <w:rFonts w:cs="Browallia New"/>
          <w:b w:val="0"/>
          <w:bCs/>
          <w:szCs w:val="22"/>
          <w:lang w:val="fr-FR"/>
        </w:rPr>
        <w:t>բարձրացումն</w:t>
      </w:r>
      <w:r w:rsidRPr="00C43BF7">
        <w:rPr>
          <w:rFonts w:cs="Browallia New"/>
          <w:b w:val="0"/>
          <w:bCs/>
          <w:szCs w:val="22"/>
          <w:lang w:val="af-ZA"/>
        </w:rPr>
        <w:t xml:space="preserve"> </w:t>
      </w:r>
      <w:r w:rsidRPr="007F28F7">
        <w:rPr>
          <w:rFonts w:cs="Browallia New"/>
          <w:b w:val="0"/>
          <w:bCs/>
          <w:szCs w:val="22"/>
          <w:lang w:val="fr-FR"/>
        </w:rPr>
        <w:t>է՝</w:t>
      </w:r>
      <w:r w:rsidRPr="00C43BF7">
        <w:rPr>
          <w:rFonts w:cs="Browallia New"/>
          <w:b w:val="0"/>
          <w:bCs/>
          <w:szCs w:val="22"/>
          <w:lang w:val="af-ZA"/>
        </w:rPr>
        <w:t xml:space="preserve"> </w:t>
      </w:r>
      <w:r w:rsidRPr="007F28F7">
        <w:rPr>
          <w:rFonts w:cs="Browallia New"/>
          <w:b w:val="0"/>
          <w:bCs/>
          <w:szCs w:val="22"/>
          <w:lang w:val="fr-FR"/>
        </w:rPr>
        <w:t>հասարակություն</w:t>
      </w:r>
      <w:r w:rsidRPr="00C43BF7">
        <w:rPr>
          <w:rFonts w:cs="Browallia New"/>
          <w:b w:val="0"/>
          <w:bCs/>
          <w:szCs w:val="22"/>
          <w:lang w:val="af-ZA"/>
        </w:rPr>
        <w:t xml:space="preserve"> </w:t>
      </w:r>
      <w:r w:rsidRPr="007F28F7">
        <w:rPr>
          <w:rFonts w:cs="Browallia New"/>
          <w:b w:val="0"/>
          <w:bCs/>
          <w:szCs w:val="22"/>
          <w:lang w:val="fr-FR"/>
        </w:rPr>
        <w:t>սոցիալական</w:t>
      </w:r>
      <w:r w:rsidRPr="00C43BF7">
        <w:rPr>
          <w:rFonts w:cs="Browallia New"/>
          <w:b w:val="0"/>
          <w:bCs/>
          <w:szCs w:val="22"/>
          <w:lang w:val="af-ZA"/>
        </w:rPr>
        <w:t xml:space="preserve"> </w:t>
      </w:r>
      <w:r w:rsidRPr="007F28F7">
        <w:rPr>
          <w:rFonts w:cs="Browallia New"/>
          <w:b w:val="0"/>
          <w:bCs/>
          <w:szCs w:val="22"/>
          <w:lang w:val="fr-FR"/>
        </w:rPr>
        <w:t>ներառման</w:t>
      </w:r>
      <w:r w:rsidRPr="00C43BF7">
        <w:rPr>
          <w:rFonts w:cs="Browallia New"/>
          <w:b w:val="0"/>
          <w:bCs/>
          <w:szCs w:val="22"/>
          <w:lang w:val="af-ZA"/>
        </w:rPr>
        <w:t xml:space="preserve"> </w:t>
      </w:r>
      <w:r w:rsidRPr="007F28F7">
        <w:rPr>
          <w:rFonts w:cs="Browallia New"/>
          <w:b w:val="0"/>
          <w:bCs/>
          <w:szCs w:val="22"/>
          <w:lang w:val="fr-FR"/>
        </w:rPr>
        <w:t>նպատակով</w:t>
      </w:r>
      <w:r w:rsidRPr="00C43BF7">
        <w:rPr>
          <w:rFonts w:cs="Browallia New"/>
          <w:b w:val="0"/>
          <w:bCs/>
          <w:szCs w:val="22"/>
          <w:lang w:val="af-ZA"/>
        </w:rPr>
        <w:t>:</w:t>
      </w:r>
    </w:p>
    <w:p w:rsidR="007F28F7" w:rsidRPr="00C43BF7" w:rsidRDefault="007F28F7" w:rsidP="00AD7A03">
      <w:pPr>
        <w:tabs>
          <w:tab w:val="left" w:pos="0"/>
        </w:tabs>
        <w:spacing w:before="0" w:line="276" w:lineRule="auto"/>
        <w:contextualSpacing w:val="0"/>
        <w:rPr>
          <w:rFonts w:cs="Browallia New"/>
          <w:b w:val="0"/>
          <w:bCs/>
          <w:szCs w:val="22"/>
          <w:lang w:val="af-ZA"/>
        </w:rPr>
      </w:pPr>
      <w:r w:rsidRPr="007F28F7">
        <w:rPr>
          <w:rFonts w:cs="Browallia New"/>
          <w:b w:val="0"/>
          <w:bCs/>
          <w:szCs w:val="22"/>
          <w:lang w:val="fr-FR"/>
        </w:rPr>
        <w:t>Ծրագրի</w:t>
      </w:r>
      <w:r w:rsidRPr="00C43BF7">
        <w:rPr>
          <w:rFonts w:cs="Browallia New"/>
          <w:b w:val="0"/>
          <w:bCs/>
          <w:szCs w:val="22"/>
          <w:lang w:val="af-ZA"/>
        </w:rPr>
        <w:t xml:space="preserve"> </w:t>
      </w:r>
      <w:r w:rsidRPr="007F28F7">
        <w:rPr>
          <w:rFonts w:cs="Browallia New"/>
          <w:b w:val="0"/>
          <w:bCs/>
          <w:szCs w:val="22"/>
          <w:lang w:val="fr-FR"/>
        </w:rPr>
        <w:t>գծով</w:t>
      </w:r>
      <w:r w:rsidRPr="00C43BF7">
        <w:rPr>
          <w:rFonts w:cs="Browallia New"/>
          <w:b w:val="0"/>
          <w:bCs/>
          <w:szCs w:val="22"/>
          <w:lang w:val="af-ZA"/>
        </w:rPr>
        <w:t xml:space="preserve"> 2023 </w:t>
      </w:r>
      <w:r w:rsidRPr="007F28F7">
        <w:rPr>
          <w:rFonts w:cs="Browallia New"/>
          <w:b w:val="0"/>
          <w:bCs/>
          <w:szCs w:val="22"/>
          <w:lang w:val="fr-FR"/>
        </w:rPr>
        <w:t>թվականի</w:t>
      </w:r>
      <w:r w:rsidRPr="00C43BF7">
        <w:rPr>
          <w:rFonts w:cs="Browallia New"/>
          <w:b w:val="0"/>
          <w:bCs/>
          <w:szCs w:val="22"/>
          <w:lang w:val="af-ZA"/>
        </w:rPr>
        <w:t xml:space="preserve"> </w:t>
      </w:r>
      <w:r w:rsidRPr="007F28F7">
        <w:rPr>
          <w:rFonts w:cs="Browallia New"/>
          <w:b w:val="0"/>
          <w:bCs/>
          <w:szCs w:val="22"/>
          <w:lang w:val="fr-FR"/>
        </w:rPr>
        <w:t>համար</w:t>
      </w:r>
      <w:r w:rsidRPr="00C43BF7">
        <w:rPr>
          <w:rFonts w:cs="Browallia New"/>
          <w:b w:val="0"/>
          <w:bCs/>
          <w:szCs w:val="22"/>
          <w:lang w:val="af-ZA"/>
        </w:rPr>
        <w:t xml:space="preserve"> </w:t>
      </w:r>
      <w:r w:rsidRPr="007F28F7">
        <w:rPr>
          <w:rFonts w:cs="Browallia New"/>
          <w:b w:val="0"/>
          <w:bCs/>
          <w:szCs w:val="22"/>
          <w:lang w:val="fr-FR"/>
        </w:rPr>
        <w:t>նախատեսվում</w:t>
      </w:r>
      <w:r w:rsidRPr="00C43BF7">
        <w:rPr>
          <w:rFonts w:cs="Browallia New"/>
          <w:b w:val="0"/>
          <w:bCs/>
          <w:szCs w:val="22"/>
          <w:lang w:val="af-ZA"/>
        </w:rPr>
        <w:t xml:space="preserve"> </w:t>
      </w:r>
      <w:r w:rsidRPr="007F28F7">
        <w:rPr>
          <w:rFonts w:cs="Browallia New"/>
          <w:b w:val="0"/>
          <w:bCs/>
          <w:szCs w:val="22"/>
          <w:lang w:val="fr-FR"/>
        </w:rPr>
        <w:t>է</w:t>
      </w:r>
      <w:r w:rsidRPr="00C43BF7">
        <w:rPr>
          <w:rFonts w:cs="Browallia New"/>
          <w:b w:val="0"/>
          <w:bCs/>
          <w:szCs w:val="22"/>
          <w:lang w:val="af-ZA"/>
        </w:rPr>
        <w:t xml:space="preserve"> 2,227.5 </w:t>
      </w:r>
      <w:r w:rsidRPr="007F28F7">
        <w:rPr>
          <w:rFonts w:cs="Browallia New"/>
          <w:b w:val="0"/>
          <w:bCs/>
          <w:szCs w:val="22"/>
          <w:lang w:val="fr-FR"/>
        </w:rPr>
        <w:t>մլն</w:t>
      </w:r>
      <w:r w:rsidRPr="00C43BF7">
        <w:rPr>
          <w:rFonts w:cs="Browallia New"/>
          <w:b w:val="0"/>
          <w:bCs/>
          <w:szCs w:val="22"/>
          <w:lang w:val="af-ZA"/>
        </w:rPr>
        <w:t xml:space="preserve"> </w:t>
      </w:r>
      <w:r w:rsidRPr="007F28F7">
        <w:rPr>
          <w:rFonts w:cs="Browallia New"/>
          <w:b w:val="0"/>
          <w:bCs/>
          <w:szCs w:val="22"/>
          <w:lang w:val="fr-FR"/>
        </w:rPr>
        <w:t>դրամ։</w:t>
      </w:r>
    </w:p>
    <w:p w:rsidR="007F28F7" w:rsidRPr="00C43BF7" w:rsidRDefault="007F28F7" w:rsidP="00AD7A03">
      <w:pPr>
        <w:tabs>
          <w:tab w:val="left" w:pos="0"/>
        </w:tabs>
        <w:spacing w:before="0" w:line="276" w:lineRule="auto"/>
        <w:contextualSpacing w:val="0"/>
        <w:rPr>
          <w:rFonts w:cs="Browallia New"/>
          <w:b w:val="0"/>
          <w:bCs/>
          <w:szCs w:val="22"/>
          <w:lang w:val="af-ZA"/>
        </w:rPr>
      </w:pPr>
      <w:r w:rsidRPr="007F28F7">
        <w:rPr>
          <w:rFonts w:cs="Browallia New"/>
          <w:b w:val="0"/>
          <w:bCs/>
          <w:szCs w:val="22"/>
          <w:lang w:val="fr-FR"/>
        </w:rPr>
        <w:t>Պետական</w:t>
      </w:r>
      <w:r w:rsidRPr="00C43BF7">
        <w:rPr>
          <w:rFonts w:cs="Browallia New"/>
          <w:b w:val="0"/>
          <w:bCs/>
          <w:szCs w:val="22"/>
          <w:lang w:val="af-ZA"/>
        </w:rPr>
        <w:t xml:space="preserve"> </w:t>
      </w:r>
      <w:r w:rsidRPr="007F28F7">
        <w:rPr>
          <w:rFonts w:cs="Browallia New"/>
          <w:b w:val="0"/>
          <w:bCs/>
          <w:szCs w:val="22"/>
          <w:lang w:val="fr-FR"/>
        </w:rPr>
        <w:t>նպատակային</w:t>
      </w:r>
      <w:r w:rsidRPr="00C43BF7">
        <w:rPr>
          <w:rFonts w:cs="Browallia New"/>
          <w:b w:val="0"/>
          <w:bCs/>
          <w:szCs w:val="22"/>
          <w:lang w:val="af-ZA"/>
        </w:rPr>
        <w:t xml:space="preserve"> </w:t>
      </w:r>
      <w:r w:rsidRPr="007F28F7">
        <w:rPr>
          <w:rFonts w:cs="Browallia New"/>
          <w:b w:val="0"/>
          <w:bCs/>
          <w:szCs w:val="22"/>
          <w:lang w:val="fr-FR"/>
        </w:rPr>
        <w:t>ծրագրերի</w:t>
      </w:r>
      <w:r w:rsidRPr="00C43BF7">
        <w:rPr>
          <w:rFonts w:cs="Browallia New"/>
          <w:b w:val="0"/>
          <w:bCs/>
          <w:szCs w:val="22"/>
          <w:lang w:val="af-ZA"/>
        </w:rPr>
        <w:t xml:space="preserve"> </w:t>
      </w:r>
      <w:r w:rsidRPr="007F28F7">
        <w:rPr>
          <w:rFonts w:cs="Browallia New"/>
          <w:b w:val="0"/>
          <w:bCs/>
          <w:szCs w:val="22"/>
          <w:lang w:val="fr-FR"/>
        </w:rPr>
        <w:t>շրջանակներում</w:t>
      </w:r>
      <w:r w:rsidRPr="00C43BF7">
        <w:rPr>
          <w:rFonts w:cs="Browallia New"/>
          <w:b w:val="0"/>
          <w:bCs/>
          <w:szCs w:val="22"/>
          <w:lang w:val="af-ZA"/>
        </w:rPr>
        <w:t xml:space="preserve"> </w:t>
      </w:r>
      <w:r w:rsidRPr="007F28F7">
        <w:rPr>
          <w:rFonts w:cs="Browallia New"/>
          <w:b w:val="0"/>
          <w:bCs/>
          <w:szCs w:val="22"/>
          <w:lang w:val="fr-FR"/>
        </w:rPr>
        <w:t>հաշմանդամություն</w:t>
      </w:r>
      <w:r w:rsidRPr="00C43BF7">
        <w:rPr>
          <w:rFonts w:cs="Browallia New"/>
          <w:b w:val="0"/>
          <w:bCs/>
          <w:szCs w:val="22"/>
          <w:lang w:val="af-ZA"/>
        </w:rPr>
        <w:t xml:space="preserve"> </w:t>
      </w:r>
      <w:r w:rsidRPr="007F28F7">
        <w:rPr>
          <w:rFonts w:cs="Browallia New"/>
          <w:b w:val="0"/>
          <w:bCs/>
          <w:szCs w:val="22"/>
          <w:lang w:val="fr-FR"/>
        </w:rPr>
        <w:t>ունեցող</w:t>
      </w:r>
      <w:r w:rsidRPr="00C43BF7">
        <w:rPr>
          <w:rFonts w:cs="Browallia New"/>
          <w:b w:val="0"/>
          <w:bCs/>
          <w:szCs w:val="22"/>
          <w:lang w:val="af-ZA"/>
        </w:rPr>
        <w:t xml:space="preserve"> </w:t>
      </w:r>
      <w:r w:rsidRPr="007F28F7">
        <w:rPr>
          <w:rFonts w:cs="Browallia New"/>
          <w:b w:val="0"/>
          <w:bCs/>
          <w:szCs w:val="22"/>
          <w:lang w:val="fr-FR"/>
        </w:rPr>
        <w:t>անձանց</w:t>
      </w:r>
      <w:r w:rsidRPr="00C43BF7">
        <w:rPr>
          <w:rFonts w:cs="Browallia New"/>
          <w:b w:val="0"/>
          <w:bCs/>
          <w:szCs w:val="22"/>
          <w:lang w:val="af-ZA"/>
        </w:rPr>
        <w:t xml:space="preserve"> </w:t>
      </w:r>
      <w:r w:rsidRPr="007F28F7">
        <w:rPr>
          <w:rFonts w:cs="Browallia New"/>
          <w:b w:val="0"/>
          <w:bCs/>
          <w:szCs w:val="22"/>
          <w:lang w:val="fr-FR"/>
        </w:rPr>
        <w:t>պետական</w:t>
      </w:r>
      <w:r w:rsidRPr="00C43BF7">
        <w:rPr>
          <w:rFonts w:cs="Browallia New"/>
          <w:b w:val="0"/>
          <w:bCs/>
          <w:szCs w:val="22"/>
          <w:lang w:val="af-ZA"/>
        </w:rPr>
        <w:t xml:space="preserve"> </w:t>
      </w:r>
      <w:r w:rsidRPr="007F28F7">
        <w:rPr>
          <w:rFonts w:cs="Browallia New"/>
          <w:b w:val="0"/>
          <w:bCs/>
          <w:szCs w:val="22"/>
          <w:lang w:val="fr-FR"/>
        </w:rPr>
        <w:t>հավաստագրերի</w:t>
      </w:r>
      <w:r w:rsidRPr="00C43BF7">
        <w:rPr>
          <w:rFonts w:cs="Browallia New"/>
          <w:b w:val="0"/>
          <w:bCs/>
          <w:szCs w:val="22"/>
          <w:lang w:val="af-ZA"/>
        </w:rPr>
        <w:t xml:space="preserve"> </w:t>
      </w:r>
      <w:r w:rsidRPr="007F28F7">
        <w:rPr>
          <w:rFonts w:cs="Browallia New"/>
          <w:b w:val="0"/>
          <w:bCs/>
          <w:szCs w:val="22"/>
          <w:lang w:val="fr-FR"/>
        </w:rPr>
        <w:t>հիման</w:t>
      </w:r>
      <w:r w:rsidRPr="00C43BF7">
        <w:rPr>
          <w:rFonts w:cs="Browallia New"/>
          <w:b w:val="0"/>
          <w:bCs/>
          <w:szCs w:val="22"/>
          <w:lang w:val="af-ZA"/>
        </w:rPr>
        <w:t xml:space="preserve"> </w:t>
      </w:r>
      <w:r w:rsidRPr="007F28F7">
        <w:rPr>
          <w:rFonts w:cs="Browallia New"/>
          <w:b w:val="0"/>
          <w:bCs/>
          <w:szCs w:val="22"/>
          <w:lang w:val="fr-FR"/>
        </w:rPr>
        <w:t>վրա</w:t>
      </w:r>
      <w:r w:rsidRPr="00C43BF7">
        <w:rPr>
          <w:rFonts w:cs="Browallia New"/>
          <w:b w:val="0"/>
          <w:bCs/>
          <w:szCs w:val="22"/>
          <w:lang w:val="af-ZA"/>
        </w:rPr>
        <w:t xml:space="preserve"> </w:t>
      </w:r>
      <w:r w:rsidRPr="007F28F7">
        <w:rPr>
          <w:rFonts w:cs="Browallia New"/>
          <w:b w:val="0"/>
          <w:bCs/>
          <w:szCs w:val="22"/>
          <w:lang w:val="fr-FR"/>
        </w:rPr>
        <w:t>տրամադրվելու</w:t>
      </w:r>
      <w:r w:rsidRPr="00C43BF7">
        <w:rPr>
          <w:rFonts w:cs="Browallia New"/>
          <w:b w:val="0"/>
          <w:bCs/>
          <w:szCs w:val="22"/>
          <w:lang w:val="af-ZA"/>
        </w:rPr>
        <w:t xml:space="preserve"> </w:t>
      </w:r>
      <w:r w:rsidRPr="007F28F7">
        <w:rPr>
          <w:rFonts w:cs="Browallia New"/>
          <w:b w:val="0"/>
          <w:bCs/>
          <w:szCs w:val="22"/>
          <w:lang w:val="fr-FR"/>
        </w:rPr>
        <w:t>են</w:t>
      </w:r>
      <w:r w:rsidRPr="00C43BF7">
        <w:rPr>
          <w:rFonts w:cs="Browallia New"/>
          <w:b w:val="0"/>
          <w:bCs/>
          <w:szCs w:val="22"/>
          <w:lang w:val="af-ZA"/>
        </w:rPr>
        <w:t xml:space="preserve"> </w:t>
      </w:r>
      <w:r w:rsidRPr="007F28F7">
        <w:rPr>
          <w:rFonts w:cs="Browallia New"/>
          <w:b w:val="0"/>
          <w:bCs/>
          <w:szCs w:val="22"/>
          <w:lang w:val="fr-FR"/>
        </w:rPr>
        <w:t>աջակցող</w:t>
      </w:r>
      <w:r w:rsidRPr="00C43BF7">
        <w:rPr>
          <w:rFonts w:cs="Browallia New"/>
          <w:b w:val="0"/>
          <w:bCs/>
          <w:szCs w:val="22"/>
          <w:lang w:val="af-ZA"/>
        </w:rPr>
        <w:t xml:space="preserve"> </w:t>
      </w:r>
      <w:r w:rsidRPr="007F28F7">
        <w:rPr>
          <w:rFonts w:cs="Browallia New"/>
          <w:b w:val="0"/>
          <w:bCs/>
          <w:szCs w:val="22"/>
          <w:lang w:val="fr-FR"/>
        </w:rPr>
        <w:t>միջոցներ</w:t>
      </w:r>
      <w:r w:rsidRPr="00C43BF7">
        <w:rPr>
          <w:rFonts w:cs="Browallia New"/>
          <w:b w:val="0"/>
          <w:bCs/>
          <w:szCs w:val="22"/>
          <w:lang w:val="af-ZA"/>
        </w:rPr>
        <w:t xml:space="preserve"> (</w:t>
      </w:r>
      <w:r w:rsidRPr="007F28F7">
        <w:rPr>
          <w:rFonts w:cs="Browallia New"/>
          <w:b w:val="0"/>
          <w:bCs/>
          <w:szCs w:val="22"/>
          <w:lang w:val="fr-FR"/>
        </w:rPr>
        <w:t>այդ</w:t>
      </w:r>
      <w:r w:rsidRPr="00C43BF7">
        <w:rPr>
          <w:rFonts w:cs="Browallia New"/>
          <w:b w:val="0"/>
          <w:bCs/>
          <w:szCs w:val="22"/>
          <w:lang w:val="af-ZA"/>
        </w:rPr>
        <w:t xml:space="preserve"> </w:t>
      </w:r>
      <w:r w:rsidRPr="007F28F7">
        <w:rPr>
          <w:rFonts w:cs="Browallia New"/>
          <w:b w:val="0"/>
          <w:bCs/>
          <w:szCs w:val="22"/>
          <w:lang w:val="fr-FR"/>
        </w:rPr>
        <w:t>թվում՝</w:t>
      </w:r>
      <w:r w:rsidRPr="00C43BF7">
        <w:rPr>
          <w:rFonts w:cs="Browallia New"/>
          <w:b w:val="0"/>
          <w:bCs/>
          <w:szCs w:val="22"/>
          <w:lang w:val="af-ZA"/>
        </w:rPr>
        <w:t xml:space="preserve"> </w:t>
      </w:r>
      <w:r w:rsidRPr="007F28F7">
        <w:rPr>
          <w:rFonts w:cs="Browallia New"/>
          <w:b w:val="0"/>
          <w:bCs/>
          <w:szCs w:val="22"/>
          <w:lang w:val="fr-FR"/>
        </w:rPr>
        <w:t>պրոթեզներ</w:t>
      </w:r>
      <w:r w:rsidRPr="00C43BF7">
        <w:rPr>
          <w:rFonts w:cs="Browallia New"/>
          <w:b w:val="0"/>
          <w:bCs/>
          <w:szCs w:val="22"/>
          <w:lang w:val="af-ZA"/>
        </w:rPr>
        <w:t xml:space="preserve">, </w:t>
      </w:r>
      <w:r w:rsidRPr="007F28F7">
        <w:rPr>
          <w:rFonts w:cs="Browallia New"/>
          <w:b w:val="0"/>
          <w:bCs/>
          <w:szCs w:val="22"/>
          <w:lang w:val="fr-FR"/>
        </w:rPr>
        <w:t>օրթեզներ</w:t>
      </w:r>
      <w:r w:rsidRPr="00C43BF7">
        <w:rPr>
          <w:rFonts w:cs="Browallia New"/>
          <w:b w:val="0"/>
          <w:bCs/>
          <w:szCs w:val="22"/>
          <w:lang w:val="af-ZA"/>
        </w:rPr>
        <w:t xml:space="preserve">, </w:t>
      </w:r>
      <w:r w:rsidRPr="007F28F7">
        <w:rPr>
          <w:rFonts w:cs="Browallia New"/>
          <w:b w:val="0"/>
          <w:bCs/>
          <w:szCs w:val="22"/>
          <w:lang w:val="fr-FR"/>
        </w:rPr>
        <w:t>քայլակներ</w:t>
      </w:r>
      <w:r w:rsidRPr="00C43BF7">
        <w:rPr>
          <w:rFonts w:cs="Browallia New"/>
          <w:b w:val="0"/>
          <w:bCs/>
          <w:szCs w:val="22"/>
          <w:lang w:val="af-ZA"/>
        </w:rPr>
        <w:t xml:space="preserve">, </w:t>
      </w:r>
      <w:r w:rsidRPr="007F28F7">
        <w:rPr>
          <w:rFonts w:cs="Browallia New"/>
          <w:b w:val="0"/>
          <w:bCs/>
          <w:szCs w:val="22"/>
          <w:lang w:val="fr-FR"/>
        </w:rPr>
        <w:t>անվասայլակներ</w:t>
      </w:r>
      <w:r w:rsidRPr="00C43BF7">
        <w:rPr>
          <w:rFonts w:cs="Browallia New"/>
          <w:b w:val="0"/>
          <w:bCs/>
          <w:szCs w:val="22"/>
          <w:lang w:val="af-ZA"/>
        </w:rPr>
        <w:t xml:space="preserve">, </w:t>
      </w:r>
      <w:r w:rsidRPr="007F28F7">
        <w:rPr>
          <w:rFonts w:cs="Browallia New"/>
          <w:b w:val="0"/>
          <w:bCs/>
          <w:szCs w:val="22"/>
          <w:lang w:val="fr-FR"/>
        </w:rPr>
        <w:t>լսողական</w:t>
      </w:r>
      <w:r w:rsidRPr="00C43BF7">
        <w:rPr>
          <w:rFonts w:cs="Browallia New"/>
          <w:b w:val="0"/>
          <w:bCs/>
          <w:szCs w:val="22"/>
          <w:lang w:val="af-ZA"/>
        </w:rPr>
        <w:t xml:space="preserve"> </w:t>
      </w:r>
      <w:r w:rsidRPr="007F28F7">
        <w:rPr>
          <w:rFonts w:cs="Browallia New"/>
          <w:b w:val="0"/>
          <w:bCs/>
          <w:szCs w:val="22"/>
          <w:lang w:val="fr-FR"/>
        </w:rPr>
        <w:t>սարքեր</w:t>
      </w:r>
      <w:r w:rsidRPr="00C43BF7">
        <w:rPr>
          <w:rFonts w:cs="Browallia New"/>
          <w:b w:val="0"/>
          <w:bCs/>
          <w:szCs w:val="22"/>
          <w:lang w:val="af-ZA"/>
        </w:rPr>
        <w:t xml:space="preserve"> </w:t>
      </w:r>
      <w:r w:rsidRPr="007F28F7">
        <w:rPr>
          <w:rFonts w:cs="Browallia New"/>
          <w:b w:val="0"/>
          <w:bCs/>
          <w:szCs w:val="22"/>
          <w:lang w:val="fr-FR"/>
        </w:rPr>
        <w:t>և</w:t>
      </w:r>
      <w:r w:rsidRPr="00C43BF7">
        <w:rPr>
          <w:rFonts w:cs="Browallia New"/>
          <w:b w:val="0"/>
          <w:bCs/>
          <w:szCs w:val="22"/>
          <w:lang w:val="af-ZA"/>
        </w:rPr>
        <w:t xml:space="preserve"> </w:t>
      </w:r>
      <w:r w:rsidRPr="007F28F7">
        <w:rPr>
          <w:rFonts w:cs="Browallia New"/>
          <w:b w:val="0"/>
          <w:bCs/>
          <w:szCs w:val="22"/>
          <w:lang w:val="fr-FR"/>
        </w:rPr>
        <w:t>այլն</w:t>
      </w:r>
      <w:r w:rsidRPr="00C43BF7">
        <w:rPr>
          <w:rFonts w:cs="Browallia New"/>
          <w:b w:val="0"/>
          <w:bCs/>
          <w:szCs w:val="22"/>
          <w:lang w:val="af-ZA"/>
        </w:rPr>
        <w:t xml:space="preserve">, </w:t>
      </w:r>
      <w:r w:rsidRPr="007F28F7">
        <w:rPr>
          <w:rFonts w:cs="Browallia New"/>
          <w:b w:val="0"/>
          <w:bCs/>
          <w:szCs w:val="22"/>
          <w:lang w:val="fr-FR"/>
        </w:rPr>
        <w:t>շուրջ</w:t>
      </w:r>
      <w:r w:rsidRPr="00C43BF7">
        <w:rPr>
          <w:rFonts w:cs="Browallia New"/>
          <w:b w:val="0"/>
          <w:bCs/>
          <w:szCs w:val="22"/>
          <w:lang w:val="af-ZA"/>
        </w:rPr>
        <w:t xml:space="preserve"> </w:t>
      </w:r>
      <w:r w:rsidRPr="007F28F7">
        <w:rPr>
          <w:rFonts w:cs="Browallia New"/>
          <w:b w:val="0"/>
          <w:bCs/>
          <w:szCs w:val="22"/>
          <w:lang w:val="fr-FR"/>
        </w:rPr>
        <w:t>տարեկան</w:t>
      </w:r>
      <w:r w:rsidRPr="00C43BF7">
        <w:rPr>
          <w:rFonts w:cs="Browallia New"/>
          <w:b w:val="0"/>
          <w:bCs/>
          <w:szCs w:val="22"/>
          <w:lang w:val="af-ZA"/>
        </w:rPr>
        <w:t xml:space="preserve"> 14900 </w:t>
      </w:r>
      <w:r w:rsidRPr="007F28F7">
        <w:rPr>
          <w:rFonts w:cs="Browallia New"/>
          <w:b w:val="0"/>
          <w:bCs/>
          <w:szCs w:val="22"/>
          <w:lang w:val="fr-FR"/>
        </w:rPr>
        <w:t>աջակցող</w:t>
      </w:r>
      <w:r w:rsidRPr="00C43BF7">
        <w:rPr>
          <w:rFonts w:cs="Browallia New"/>
          <w:b w:val="0"/>
          <w:bCs/>
          <w:szCs w:val="22"/>
          <w:lang w:val="af-ZA"/>
        </w:rPr>
        <w:t xml:space="preserve"> </w:t>
      </w:r>
      <w:r w:rsidRPr="007F28F7">
        <w:rPr>
          <w:rFonts w:cs="Browallia New"/>
          <w:b w:val="0"/>
          <w:bCs/>
          <w:szCs w:val="22"/>
          <w:lang w:val="fr-FR"/>
        </w:rPr>
        <w:t>միջոց</w:t>
      </w:r>
      <w:r w:rsidRPr="00C43BF7">
        <w:rPr>
          <w:rFonts w:cs="Browallia New"/>
          <w:b w:val="0"/>
          <w:bCs/>
          <w:szCs w:val="22"/>
          <w:lang w:val="af-ZA"/>
        </w:rPr>
        <w:t>)</w:t>
      </w:r>
      <w:r w:rsidRPr="007F28F7">
        <w:rPr>
          <w:rFonts w:cs="Browallia New"/>
          <w:b w:val="0"/>
          <w:bCs/>
          <w:szCs w:val="22"/>
          <w:lang w:val="fr-FR"/>
        </w:rPr>
        <w:t>՝</w:t>
      </w:r>
      <w:r w:rsidRPr="00C43BF7">
        <w:rPr>
          <w:rFonts w:cs="Browallia New"/>
          <w:b w:val="0"/>
          <w:bCs/>
          <w:szCs w:val="22"/>
          <w:lang w:val="af-ZA"/>
        </w:rPr>
        <w:t xml:space="preserve"> </w:t>
      </w:r>
      <w:r w:rsidRPr="007F28F7">
        <w:rPr>
          <w:rFonts w:cs="Browallia New"/>
          <w:b w:val="0"/>
          <w:bCs/>
          <w:szCs w:val="22"/>
          <w:lang w:val="fr-FR"/>
        </w:rPr>
        <w:t>հասարակական</w:t>
      </w:r>
      <w:r w:rsidRPr="00C43BF7">
        <w:rPr>
          <w:rFonts w:cs="Browallia New"/>
          <w:b w:val="0"/>
          <w:bCs/>
          <w:szCs w:val="22"/>
          <w:lang w:val="af-ZA"/>
        </w:rPr>
        <w:t xml:space="preserve"> </w:t>
      </w:r>
      <w:r w:rsidRPr="007F28F7">
        <w:rPr>
          <w:rFonts w:cs="Browallia New"/>
          <w:b w:val="0"/>
          <w:bCs/>
          <w:szCs w:val="22"/>
          <w:lang w:val="fr-FR"/>
        </w:rPr>
        <w:t>կյանքում</w:t>
      </w:r>
      <w:r w:rsidRPr="00C43BF7">
        <w:rPr>
          <w:rFonts w:cs="Browallia New"/>
          <w:b w:val="0"/>
          <w:bCs/>
          <w:szCs w:val="22"/>
          <w:lang w:val="af-ZA"/>
        </w:rPr>
        <w:t xml:space="preserve"> </w:t>
      </w:r>
      <w:r w:rsidRPr="007F28F7">
        <w:rPr>
          <w:rFonts w:cs="Browallia New"/>
          <w:b w:val="0"/>
          <w:bCs/>
          <w:szCs w:val="22"/>
          <w:lang w:val="fr-FR"/>
        </w:rPr>
        <w:t>նրանց</w:t>
      </w:r>
      <w:r w:rsidRPr="00C43BF7">
        <w:rPr>
          <w:rFonts w:cs="Browallia New"/>
          <w:b w:val="0"/>
          <w:bCs/>
          <w:szCs w:val="22"/>
          <w:lang w:val="af-ZA"/>
        </w:rPr>
        <w:t xml:space="preserve"> </w:t>
      </w:r>
      <w:r w:rsidRPr="007F28F7">
        <w:rPr>
          <w:rFonts w:cs="Browallia New"/>
          <w:b w:val="0"/>
          <w:bCs/>
          <w:szCs w:val="22"/>
          <w:lang w:val="fr-FR"/>
        </w:rPr>
        <w:t>մասնակցությունը</w:t>
      </w:r>
      <w:r w:rsidRPr="00C43BF7">
        <w:rPr>
          <w:rFonts w:cs="Browallia New"/>
          <w:b w:val="0"/>
          <w:bCs/>
          <w:szCs w:val="22"/>
          <w:lang w:val="af-ZA"/>
        </w:rPr>
        <w:t xml:space="preserve"> </w:t>
      </w:r>
      <w:r w:rsidRPr="007F28F7">
        <w:rPr>
          <w:rFonts w:cs="Browallia New"/>
          <w:b w:val="0"/>
          <w:bCs/>
          <w:szCs w:val="22"/>
          <w:lang w:val="fr-FR"/>
        </w:rPr>
        <w:t>խթանելու</w:t>
      </w:r>
      <w:r w:rsidRPr="00C43BF7">
        <w:rPr>
          <w:rFonts w:cs="Browallia New"/>
          <w:b w:val="0"/>
          <w:bCs/>
          <w:szCs w:val="22"/>
          <w:lang w:val="af-ZA"/>
        </w:rPr>
        <w:t xml:space="preserve"> </w:t>
      </w:r>
      <w:r w:rsidRPr="007F28F7">
        <w:rPr>
          <w:rFonts w:cs="Browallia New"/>
          <w:b w:val="0"/>
          <w:bCs/>
          <w:szCs w:val="22"/>
          <w:lang w:val="fr-FR"/>
        </w:rPr>
        <w:t>նպատակով</w:t>
      </w:r>
      <w:r w:rsidRPr="00C43BF7">
        <w:rPr>
          <w:rFonts w:cs="Browallia New"/>
          <w:b w:val="0"/>
          <w:bCs/>
          <w:szCs w:val="22"/>
          <w:lang w:val="af-ZA"/>
        </w:rPr>
        <w:t xml:space="preserve">: </w:t>
      </w:r>
    </w:p>
    <w:p w:rsidR="007F28F7" w:rsidRPr="00C43BF7" w:rsidRDefault="007F28F7" w:rsidP="00AD7A03">
      <w:pPr>
        <w:tabs>
          <w:tab w:val="left" w:pos="0"/>
        </w:tabs>
        <w:spacing w:before="0" w:line="276" w:lineRule="auto"/>
        <w:contextualSpacing w:val="0"/>
        <w:rPr>
          <w:rFonts w:cs="Browallia New"/>
          <w:b w:val="0"/>
          <w:bCs/>
          <w:szCs w:val="22"/>
          <w:lang w:val="af-ZA"/>
        </w:rPr>
      </w:pPr>
      <w:r w:rsidRPr="007F28F7">
        <w:rPr>
          <w:rFonts w:cs="Browallia New"/>
          <w:b w:val="0"/>
          <w:bCs/>
          <w:szCs w:val="22"/>
          <w:lang w:val="fr-FR"/>
        </w:rPr>
        <w:t>Շարունակվելու</w:t>
      </w:r>
      <w:r w:rsidRPr="00C43BF7">
        <w:rPr>
          <w:rFonts w:cs="Browallia New"/>
          <w:b w:val="0"/>
          <w:bCs/>
          <w:szCs w:val="22"/>
          <w:lang w:val="af-ZA"/>
        </w:rPr>
        <w:t xml:space="preserve"> </w:t>
      </w:r>
      <w:r w:rsidRPr="007F28F7">
        <w:rPr>
          <w:rFonts w:cs="Browallia New"/>
          <w:b w:val="0"/>
          <w:bCs/>
          <w:szCs w:val="22"/>
          <w:lang w:val="fr-FR"/>
        </w:rPr>
        <w:t>է</w:t>
      </w:r>
      <w:r w:rsidRPr="00C43BF7">
        <w:rPr>
          <w:rFonts w:cs="Browallia New"/>
          <w:b w:val="0"/>
          <w:bCs/>
          <w:szCs w:val="22"/>
          <w:lang w:val="af-ZA"/>
        </w:rPr>
        <w:t xml:space="preserve"> </w:t>
      </w:r>
      <w:r w:rsidRPr="007F28F7">
        <w:rPr>
          <w:rFonts w:cs="Browallia New"/>
          <w:b w:val="0"/>
          <w:bCs/>
          <w:szCs w:val="22"/>
          <w:lang w:val="fr-FR"/>
        </w:rPr>
        <w:t>պետական</w:t>
      </w:r>
      <w:r w:rsidRPr="00C43BF7">
        <w:rPr>
          <w:rFonts w:cs="Browallia New"/>
          <w:b w:val="0"/>
          <w:bCs/>
          <w:szCs w:val="22"/>
          <w:lang w:val="af-ZA"/>
        </w:rPr>
        <w:t xml:space="preserve"> </w:t>
      </w:r>
      <w:r w:rsidRPr="007F28F7">
        <w:rPr>
          <w:rFonts w:cs="Browallia New"/>
          <w:b w:val="0"/>
          <w:bCs/>
          <w:szCs w:val="22"/>
          <w:lang w:val="fr-FR"/>
        </w:rPr>
        <w:t>աջակցություն</w:t>
      </w:r>
      <w:r w:rsidRPr="00C43BF7">
        <w:rPr>
          <w:rFonts w:cs="Browallia New"/>
          <w:b w:val="0"/>
          <w:bCs/>
          <w:szCs w:val="22"/>
          <w:lang w:val="af-ZA"/>
        </w:rPr>
        <w:t xml:space="preserve"> </w:t>
      </w:r>
      <w:r w:rsidRPr="007F28F7">
        <w:rPr>
          <w:rFonts w:cs="Browallia New"/>
          <w:b w:val="0"/>
          <w:bCs/>
          <w:szCs w:val="22"/>
          <w:lang w:val="fr-FR"/>
        </w:rPr>
        <w:t>ցուցաբերվել</w:t>
      </w:r>
      <w:r w:rsidRPr="00C43BF7">
        <w:rPr>
          <w:rFonts w:cs="Browallia New"/>
          <w:b w:val="0"/>
          <w:bCs/>
          <w:szCs w:val="22"/>
          <w:lang w:val="af-ZA"/>
        </w:rPr>
        <w:t xml:space="preserve"> </w:t>
      </w:r>
      <w:r w:rsidRPr="007F28F7">
        <w:rPr>
          <w:rFonts w:cs="Browallia New"/>
          <w:b w:val="0"/>
          <w:bCs/>
          <w:szCs w:val="22"/>
          <w:lang w:val="fr-FR"/>
        </w:rPr>
        <w:t>հասարակական</w:t>
      </w:r>
      <w:r w:rsidRPr="00C43BF7">
        <w:rPr>
          <w:rFonts w:cs="Browallia New"/>
          <w:b w:val="0"/>
          <w:bCs/>
          <w:szCs w:val="22"/>
          <w:lang w:val="af-ZA"/>
        </w:rPr>
        <w:t xml:space="preserve"> </w:t>
      </w:r>
      <w:r w:rsidRPr="007F28F7">
        <w:rPr>
          <w:rFonts w:cs="Browallia New"/>
          <w:b w:val="0"/>
          <w:bCs/>
          <w:szCs w:val="22"/>
          <w:lang w:val="fr-FR"/>
        </w:rPr>
        <w:t>կազմակերպություններին</w:t>
      </w:r>
      <w:r w:rsidRPr="00C43BF7">
        <w:rPr>
          <w:rFonts w:cs="Browallia New"/>
          <w:b w:val="0"/>
          <w:bCs/>
          <w:szCs w:val="22"/>
          <w:lang w:val="af-ZA"/>
        </w:rPr>
        <w:t xml:space="preserve">` </w:t>
      </w:r>
      <w:r w:rsidRPr="007F28F7">
        <w:rPr>
          <w:rFonts w:cs="Browallia New"/>
          <w:b w:val="0"/>
          <w:bCs/>
          <w:szCs w:val="22"/>
          <w:lang w:val="fr-FR"/>
        </w:rPr>
        <w:t>ցերեկային</w:t>
      </w:r>
      <w:r w:rsidRPr="00C43BF7">
        <w:rPr>
          <w:rFonts w:cs="Browallia New"/>
          <w:b w:val="0"/>
          <w:bCs/>
          <w:szCs w:val="22"/>
          <w:lang w:val="af-ZA"/>
        </w:rPr>
        <w:t xml:space="preserve"> </w:t>
      </w:r>
      <w:r w:rsidRPr="007F28F7">
        <w:rPr>
          <w:rFonts w:cs="Browallia New"/>
          <w:b w:val="0"/>
          <w:bCs/>
          <w:szCs w:val="22"/>
          <w:lang w:val="fr-FR"/>
        </w:rPr>
        <w:t>կենտրոններում</w:t>
      </w:r>
      <w:r w:rsidRPr="00C43BF7">
        <w:rPr>
          <w:rFonts w:cs="Browallia New"/>
          <w:b w:val="0"/>
          <w:bCs/>
          <w:szCs w:val="22"/>
          <w:lang w:val="af-ZA"/>
        </w:rPr>
        <w:t xml:space="preserve"> </w:t>
      </w:r>
      <w:r w:rsidRPr="007F28F7">
        <w:rPr>
          <w:rFonts w:cs="Browallia New"/>
          <w:b w:val="0"/>
          <w:bCs/>
          <w:szCs w:val="22"/>
          <w:lang w:val="fr-FR"/>
        </w:rPr>
        <w:t>հաշմանդամություն</w:t>
      </w:r>
      <w:r w:rsidRPr="00C43BF7">
        <w:rPr>
          <w:rFonts w:cs="Browallia New"/>
          <w:b w:val="0"/>
          <w:bCs/>
          <w:szCs w:val="22"/>
          <w:lang w:val="af-ZA"/>
        </w:rPr>
        <w:t xml:space="preserve"> </w:t>
      </w:r>
      <w:r w:rsidRPr="007F28F7">
        <w:rPr>
          <w:rFonts w:cs="Browallia New"/>
          <w:b w:val="0"/>
          <w:bCs/>
          <w:szCs w:val="22"/>
          <w:lang w:val="fr-FR"/>
        </w:rPr>
        <w:t>ունեցող</w:t>
      </w:r>
      <w:r w:rsidRPr="00C43BF7">
        <w:rPr>
          <w:rFonts w:cs="Browallia New"/>
          <w:b w:val="0"/>
          <w:bCs/>
          <w:szCs w:val="22"/>
          <w:lang w:val="af-ZA"/>
        </w:rPr>
        <w:t xml:space="preserve"> </w:t>
      </w:r>
      <w:r w:rsidRPr="007F28F7">
        <w:rPr>
          <w:rFonts w:cs="Browallia New"/>
          <w:b w:val="0"/>
          <w:bCs/>
          <w:szCs w:val="22"/>
          <w:lang w:val="fr-FR"/>
        </w:rPr>
        <w:t>անձանց</w:t>
      </w:r>
      <w:r w:rsidRPr="00C43BF7">
        <w:rPr>
          <w:rFonts w:cs="Browallia New"/>
          <w:b w:val="0"/>
          <w:bCs/>
          <w:szCs w:val="22"/>
          <w:lang w:val="af-ZA"/>
        </w:rPr>
        <w:t xml:space="preserve"> </w:t>
      </w:r>
      <w:r w:rsidRPr="007F28F7">
        <w:rPr>
          <w:rFonts w:cs="Browallia New"/>
          <w:b w:val="0"/>
          <w:bCs/>
          <w:szCs w:val="22"/>
          <w:lang w:val="fr-FR"/>
        </w:rPr>
        <w:t>խնամք</w:t>
      </w:r>
      <w:r w:rsidRPr="00C43BF7">
        <w:rPr>
          <w:rFonts w:cs="Browallia New"/>
          <w:b w:val="0"/>
          <w:bCs/>
          <w:szCs w:val="22"/>
          <w:lang w:val="af-ZA"/>
        </w:rPr>
        <w:t xml:space="preserve"> </w:t>
      </w:r>
      <w:r w:rsidRPr="007F28F7">
        <w:rPr>
          <w:rFonts w:cs="Browallia New"/>
          <w:b w:val="0"/>
          <w:bCs/>
          <w:szCs w:val="22"/>
          <w:lang w:val="fr-FR"/>
        </w:rPr>
        <w:t>և</w:t>
      </w:r>
      <w:r w:rsidRPr="00C43BF7">
        <w:rPr>
          <w:rFonts w:cs="Browallia New"/>
          <w:b w:val="0"/>
          <w:bCs/>
          <w:szCs w:val="22"/>
          <w:lang w:val="af-ZA"/>
        </w:rPr>
        <w:t xml:space="preserve"> </w:t>
      </w:r>
      <w:r w:rsidRPr="007F28F7">
        <w:rPr>
          <w:rFonts w:cs="Browallia New"/>
          <w:b w:val="0"/>
          <w:bCs/>
          <w:szCs w:val="22"/>
          <w:lang w:val="fr-FR"/>
        </w:rPr>
        <w:t>սոցիալ</w:t>
      </w:r>
      <w:r w:rsidRPr="00C43BF7">
        <w:rPr>
          <w:rFonts w:cs="Browallia New"/>
          <w:b w:val="0"/>
          <w:bCs/>
          <w:szCs w:val="22"/>
          <w:lang w:val="af-ZA"/>
        </w:rPr>
        <w:t>-</w:t>
      </w:r>
      <w:r w:rsidRPr="007F28F7">
        <w:rPr>
          <w:rFonts w:cs="Browallia New"/>
          <w:b w:val="0"/>
          <w:bCs/>
          <w:szCs w:val="22"/>
          <w:lang w:val="fr-FR"/>
        </w:rPr>
        <w:t>վերականգնողական</w:t>
      </w:r>
      <w:r w:rsidRPr="00C43BF7">
        <w:rPr>
          <w:rFonts w:cs="Browallia New"/>
          <w:b w:val="0"/>
          <w:bCs/>
          <w:szCs w:val="22"/>
          <w:lang w:val="af-ZA"/>
        </w:rPr>
        <w:t xml:space="preserve">, </w:t>
      </w:r>
      <w:r w:rsidRPr="007F28F7">
        <w:rPr>
          <w:rFonts w:cs="Browallia New"/>
          <w:b w:val="0"/>
          <w:bCs/>
          <w:szCs w:val="22"/>
          <w:lang w:val="fr-FR"/>
        </w:rPr>
        <w:t>սոցիալ</w:t>
      </w:r>
      <w:r w:rsidRPr="00C43BF7">
        <w:rPr>
          <w:rFonts w:cs="Browallia New"/>
          <w:b w:val="0"/>
          <w:bCs/>
          <w:szCs w:val="22"/>
          <w:lang w:val="af-ZA"/>
        </w:rPr>
        <w:t>-</w:t>
      </w:r>
      <w:r w:rsidRPr="007F28F7">
        <w:rPr>
          <w:rFonts w:cs="Browallia New"/>
          <w:b w:val="0"/>
          <w:bCs/>
          <w:szCs w:val="22"/>
          <w:lang w:val="fr-FR"/>
        </w:rPr>
        <w:t>հոգեբանական</w:t>
      </w:r>
      <w:r w:rsidRPr="00C43BF7">
        <w:rPr>
          <w:rFonts w:cs="Browallia New"/>
          <w:b w:val="0"/>
          <w:bCs/>
          <w:szCs w:val="22"/>
          <w:lang w:val="af-ZA"/>
        </w:rPr>
        <w:t xml:space="preserve"> </w:t>
      </w:r>
      <w:r w:rsidRPr="007F28F7">
        <w:rPr>
          <w:rFonts w:cs="Browallia New"/>
          <w:b w:val="0"/>
          <w:bCs/>
          <w:szCs w:val="22"/>
          <w:lang w:val="fr-FR"/>
        </w:rPr>
        <w:t>ծառայություններ</w:t>
      </w:r>
      <w:r w:rsidRPr="00C43BF7">
        <w:rPr>
          <w:rFonts w:cs="Browallia New"/>
          <w:b w:val="0"/>
          <w:bCs/>
          <w:szCs w:val="22"/>
          <w:lang w:val="af-ZA"/>
        </w:rPr>
        <w:t xml:space="preserve"> </w:t>
      </w:r>
      <w:r w:rsidRPr="007F28F7">
        <w:rPr>
          <w:rFonts w:cs="Browallia New"/>
          <w:b w:val="0"/>
          <w:bCs/>
          <w:szCs w:val="22"/>
          <w:lang w:val="fr-FR"/>
        </w:rPr>
        <w:t>մատուցելու</w:t>
      </w:r>
      <w:r w:rsidRPr="00C43BF7">
        <w:rPr>
          <w:rFonts w:cs="Browallia New"/>
          <w:b w:val="0"/>
          <w:bCs/>
          <w:szCs w:val="22"/>
          <w:lang w:val="af-ZA"/>
        </w:rPr>
        <w:t xml:space="preserve"> </w:t>
      </w:r>
      <w:r w:rsidRPr="007F28F7">
        <w:rPr>
          <w:rFonts w:cs="Browallia New"/>
          <w:b w:val="0"/>
          <w:bCs/>
          <w:szCs w:val="22"/>
          <w:lang w:val="fr-FR"/>
        </w:rPr>
        <w:t>նպատակով</w:t>
      </w:r>
      <w:r w:rsidRPr="00C43BF7">
        <w:rPr>
          <w:rFonts w:cs="Browallia New"/>
          <w:b w:val="0"/>
          <w:bCs/>
          <w:szCs w:val="22"/>
          <w:lang w:val="af-ZA"/>
        </w:rPr>
        <w:t xml:space="preserve">: </w:t>
      </w:r>
    </w:p>
    <w:p w:rsidR="007F28F7" w:rsidRPr="007F28F7" w:rsidRDefault="007F28F7" w:rsidP="00AD7A03">
      <w:pPr>
        <w:tabs>
          <w:tab w:val="left" w:pos="0"/>
        </w:tabs>
        <w:spacing w:before="0" w:line="276" w:lineRule="auto"/>
        <w:contextualSpacing w:val="0"/>
        <w:rPr>
          <w:rFonts w:cs="Browallia New"/>
          <w:b w:val="0"/>
          <w:bCs/>
          <w:szCs w:val="22"/>
          <w:lang w:val="hy-AM"/>
        </w:rPr>
      </w:pPr>
      <w:r w:rsidRPr="007F28F7">
        <w:rPr>
          <w:bCs/>
          <w:color w:val="191919"/>
          <w:szCs w:val="22"/>
          <w:shd w:val="clear" w:color="auto" w:fill="FFFFFF"/>
          <w:lang w:val="hy-AM" w:eastAsia="en-US"/>
        </w:rPr>
        <w:t>Ավանդների փոխհատուցում</w:t>
      </w:r>
      <w:r w:rsidRPr="007F28F7">
        <w:rPr>
          <w:rFonts w:cs="Browallia New"/>
          <w:b w:val="0"/>
          <w:bCs/>
          <w:szCs w:val="22"/>
          <w:lang w:val="hy-AM"/>
        </w:rPr>
        <w:t xml:space="preserve"> ծրագրի շրջանակում «ՎՏԲ-Հայաստան</w:t>
      </w:r>
      <w:r w:rsidRPr="007F28F7">
        <w:rPr>
          <w:b w:val="0"/>
          <w:bCs/>
          <w:szCs w:val="22"/>
          <w:lang w:val="af-ZA" w:eastAsia="en-US"/>
        </w:rPr>
        <w:t>»</w:t>
      </w:r>
      <w:r w:rsidRPr="007F28F7">
        <w:rPr>
          <w:rFonts w:cs="Browallia New"/>
          <w:b w:val="0"/>
          <w:bCs/>
          <w:szCs w:val="22"/>
          <w:lang w:val="hy-AM"/>
        </w:rPr>
        <w:t xml:space="preserve"> ՓԲԸ-ում ավանդատու հանդիսացող և նախկին ԽՍՀՄ Խնայբանկի ՀԽՍՀ հանրապետական բանկում մինչև 1993 թվականի հունիսի 10-ը ներդրված դրամական ավանդների փոխհատուցում ն է:</w:t>
      </w:r>
    </w:p>
    <w:p w:rsidR="007F28F7" w:rsidRDefault="007F28F7" w:rsidP="00AD7A03">
      <w:pPr>
        <w:tabs>
          <w:tab w:val="left" w:pos="0"/>
        </w:tabs>
        <w:spacing w:before="0" w:line="276" w:lineRule="auto"/>
        <w:contextualSpacing w:val="0"/>
        <w:rPr>
          <w:rFonts w:cs="Browallia New"/>
          <w:b w:val="0"/>
          <w:bCs/>
          <w:szCs w:val="22"/>
          <w:lang w:val="hy-AM"/>
        </w:rPr>
      </w:pPr>
      <w:r w:rsidRPr="007F28F7">
        <w:rPr>
          <w:rFonts w:cs="Browallia New"/>
          <w:b w:val="0"/>
          <w:bCs/>
          <w:szCs w:val="22"/>
          <w:lang w:val="hy-AM"/>
        </w:rPr>
        <w:t>Ծրագրի գծով 2023 թվականի համար կանխատեսվում է 1,111.0 մլն դրամ։ 2023 թվականին փոխհատուցում կտրամադրվի շուրջ 5844 շահառուի: Ներդրված դրամական ավանդների դիմաց փոխհատուցում ստանալու իրավունք կտրվի մինչև 1940թ. հունիսի 30-ը ներառյալ ծնված ավանդատուներին:</w:t>
      </w:r>
    </w:p>
    <w:p w:rsidR="00E26A49" w:rsidRPr="00A83C94" w:rsidRDefault="00E26A49" w:rsidP="00E26A49">
      <w:pPr>
        <w:pStyle w:val="BodyText"/>
        <w:spacing w:line="276" w:lineRule="auto"/>
        <w:ind w:firstLine="709"/>
        <w:jc w:val="both"/>
        <w:rPr>
          <w:rFonts w:ascii="GHEA Grapalat" w:hAnsi="GHEA Grapalat" w:cs="Browallia New"/>
          <w:b w:val="0"/>
          <w:sz w:val="22"/>
          <w:szCs w:val="22"/>
          <w:lang w:val="hy-AM"/>
        </w:rPr>
      </w:pPr>
      <w:r w:rsidRPr="00A83C94">
        <w:rPr>
          <w:rFonts w:ascii="Calibri" w:hAnsi="Calibri" w:cs="Calibri"/>
          <w:sz w:val="22"/>
          <w:szCs w:val="22"/>
          <w:lang w:val="hy-AM"/>
        </w:rPr>
        <w:t> </w:t>
      </w:r>
      <w:r w:rsidRPr="00A83C94">
        <w:rPr>
          <w:rFonts w:ascii="GHEA Grapalat" w:hAnsi="GHEA Grapalat" w:cs="Browallia New"/>
          <w:sz w:val="22"/>
          <w:szCs w:val="22"/>
          <w:lang w:val="hy-AM"/>
        </w:rPr>
        <w:t>Սոցիալական պաշտպանության համակարգի բարեփոխումներ</w:t>
      </w:r>
      <w:r w:rsidRPr="00A83C94">
        <w:rPr>
          <w:rFonts w:ascii="GHEA Grapalat" w:hAnsi="GHEA Grapalat" w:cs="Browallia New"/>
          <w:b w:val="0"/>
          <w:sz w:val="22"/>
          <w:szCs w:val="22"/>
          <w:lang w:val="hy-AM"/>
        </w:rPr>
        <w:t xml:space="preserve"> ծրագրի գծով  202</w:t>
      </w:r>
      <w:r w:rsidRPr="00E26A49">
        <w:rPr>
          <w:rFonts w:ascii="GHEA Grapalat" w:hAnsi="GHEA Grapalat" w:cs="Browallia New"/>
          <w:b w:val="0"/>
          <w:sz w:val="22"/>
          <w:szCs w:val="22"/>
          <w:lang w:val="hy-AM"/>
        </w:rPr>
        <w:t>3</w:t>
      </w:r>
      <w:r>
        <w:rPr>
          <w:rFonts w:ascii="GHEA Grapalat" w:hAnsi="GHEA Grapalat" w:cs="Browallia New"/>
          <w:b w:val="0"/>
          <w:sz w:val="22"/>
          <w:szCs w:val="22"/>
          <w:lang w:val="hy-AM"/>
        </w:rPr>
        <w:t xml:space="preserve"> թվականին  նախատեսվել է  1</w:t>
      </w:r>
      <w:r w:rsidRPr="00A83C94">
        <w:rPr>
          <w:rFonts w:ascii="GHEA Grapalat" w:hAnsi="GHEA Grapalat" w:cs="Browallia New"/>
          <w:b w:val="0"/>
          <w:sz w:val="22"/>
          <w:szCs w:val="22"/>
          <w:lang w:val="hy-AM"/>
        </w:rPr>
        <w:t>,</w:t>
      </w:r>
      <w:r w:rsidRPr="007D01FA">
        <w:rPr>
          <w:rFonts w:ascii="GHEA Grapalat" w:hAnsi="GHEA Grapalat" w:cs="Browallia New"/>
          <w:b w:val="0"/>
          <w:sz w:val="22"/>
          <w:szCs w:val="22"/>
          <w:lang w:val="hy-AM"/>
        </w:rPr>
        <w:t>450</w:t>
      </w:r>
      <w:r w:rsidRPr="002526E9">
        <w:rPr>
          <w:rFonts w:ascii="GHEA Grapalat" w:hAnsi="GHEA Grapalat" w:cs="Browallia New"/>
          <w:b w:val="0"/>
          <w:sz w:val="22"/>
          <w:szCs w:val="22"/>
          <w:lang w:val="hy-AM"/>
        </w:rPr>
        <w:t>.</w:t>
      </w:r>
      <w:r w:rsidRPr="007D01FA">
        <w:rPr>
          <w:rFonts w:ascii="GHEA Grapalat" w:hAnsi="GHEA Grapalat" w:cs="Browallia New"/>
          <w:b w:val="0"/>
          <w:sz w:val="22"/>
          <w:szCs w:val="22"/>
          <w:lang w:val="hy-AM"/>
        </w:rPr>
        <w:t>3</w:t>
      </w:r>
      <w:r w:rsidRPr="00A83C94">
        <w:rPr>
          <w:rFonts w:ascii="GHEA Grapalat" w:hAnsi="GHEA Grapalat" w:cs="Browallia New"/>
          <w:b w:val="0"/>
          <w:sz w:val="22"/>
          <w:szCs w:val="22"/>
          <w:lang w:val="hy-AM"/>
        </w:rPr>
        <w:t xml:space="preserve"> մլն դրամ: Ծրագրի նպատակն է բարելավել սոցիալական պաշտպանության ծառայությունների տրամադրումը, աջակցել կենսաթոշակային համակարգի արդիականացմանը և զբաղվածության նոր ռազմավարության իրականացմանը, հզորացնել սոցիալական պաշտպա</w:t>
      </w:r>
      <w:r w:rsidRPr="00A83C94">
        <w:rPr>
          <w:rFonts w:ascii="GHEA Grapalat" w:hAnsi="GHEA Grapalat" w:cs="Browallia New"/>
          <w:b w:val="0"/>
          <w:sz w:val="22"/>
          <w:szCs w:val="22"/>
          <w:lang w:val="hy-AM"/>
        </w:rPr>
        <w:softHyphen/>
        <w:t>նու</w:t>
      </w:r>
      <w:r w:rsidRPr="00A83C94">
        <w:rPr>
          <w:rFonts w:ascii="GHEA Grapalat" w:hAnsi="GHEA Grapalat" w:cs="Browallia New"/>
          <w:b w:val="0"/>
          <w:sz w:val="22"/>
          <w:szCs w:val="22"/>
          <w:lang w:val="hy-AM"/>
        </w:rPr>
        <w:softHyphen/>
        <w:t>թյան նպաստներ վճարող և ծառայություններ տրամադրող մարմինների վերլուծական, մշտադիտարկման և գնահատման գործառույթները:  Ծրագրի շրջանակներում նախատեսվում է՝  ավարտին հասցնել 13 ՄՍԾՏԿ-ների և Միասնական սոցիալական ծառայության կենտրոնական գրասենյակի վերանորոգման աշխատանքները, ինչպես նաև տարածքային կենտրոնների և գրասենյակի կարիքների համար կահավորման միջոցների և սարքավորումների ձեռքբերում, մեկ միասնական էլեկտրոնային տեղեկատվական համակարգի ներդրում:</w:t>
      </w:r>
    </w:p>
    <w:p w:rsidR="00E26A49" w:rsidRPr="007F28F7" w:rsidRDefault="00E26A49" w:rsidP="00AD7A03">
      <w:pPr>
        <w:tabs>
          <w:tab w:val="left" w:pos="0"/>
        </w:tabs>
        <w:spacing w:before="0" w:line="276" w:lineRule="auto"/>
        <w:contextualSpacing w:val="0"/>
        <w:rPr>
          <w:rFonts w:cs="Browallia New"/>
          <w:b w:val="0"/>
          <w:bCs/>
          <w:szCs w:val="22"/>
          <w:lang w:val="hy-AM"/>
        </w:rPr>
      </w:pPr>
    </w:p>
    <w:p w:rsidR="002C5287" w:rsidRPr="00953EC2" w:rsidRDefault="002C5287" w:rsidP="00AD7A03">
      <w:pPr>
        <w:pStyle w:val="Heading3"/>
        <w:spacing w:line="276" w:lineRule="auto"/>
        <w:rPr>
          <w:noProof/>
          <w:lang w:val="hy-AM"/>
        </w:rPr>
      </w:pPr>
    </w:p>
    <w:p w:rsidR="00366B0D" w:rsidRPr="007955BB" w:rsidRDefault="00366B0D" w:rsidP="00AD7A03">
      <w:pPr>
        <w:pStyle w:val="Heading3"/>
        <w:spacing w:line="276" w:lineRule="auto"/>
        <w:rPr>
          <w:noProof/>
        </w:rPr>
      </w:pPr>
      <w:bookmarkStart w:id="332" w:name="_Toc120805222"/>
      <w:r w:rsidRPr="007955BB">
        <w:rPr>
          <w:noProof/>
        </w:rPr>
        <w:t xml:space="preserve">ՀՀ </w:t>
      </w:r>
      <w:r w:rsidR="004E7CE1" w:rsidRPr="007955BB">
        <w:rPr>
          <w:noProof/>
        </w:rPr>
        <w:t>տարածքային կառավարման և</w:t>
      </w:r>
      <w:r w:rsidRPr="007955BB">
        <w:rPr>
          <w:noProof/>
        </w:rPr>
        <w:t xml:space="preserve"> ենթակառուցվածքների նախարարություն</w:t>
      </w:r>
      <w:bookmarkEnd w:id="332"/>
    </w:p>
    <w:p w:rsidR="00A4471C" w:rsidRPr="007955BB" w:rsidRDefault="00A4471C" w:rsidP="00AD7A03">
      <w:pPr>
        <w:widowControl w:val="0"/>
        <w:spacing w:line="276" w:lineRule="auto"/>
        <w:ind w:firstLine="630"/>
        <w:rPr>
          <w:rFonts w:cs="Sylfaen"/>
          <w:b w:val="0"/>
          <w:szCs w:val="22"/>
          <w:lang w:val="hy-AM"/>
        </w:rPr>
      </w:pPr>
      <w:r w:rsidRPr="007955BB">
        <w:rPr>
          <w:rFonts w:cs="Sylfaen"/>
          <w:b w:val="0"/>
          <w:szCs w:val="22"/>
          <w:lang w:val="hy-AM"/>
        </w:rPr>
        <w:t>ՀՀ տարածքային կառավարման և ենթակառուցվածքների նախարարության գծով 202</w:t>
      </w:r>
      <w:r w:rsidRPr="007955BB">
        <w:rPr>
          <w:rFonts w:cs="Sylfaen"/>
          <w:b w:val="0"/>
          <w:szCs w:val="22"/>
          <w:lang w:val="af-ZA"/>
        </w:rPr>
        <w:t>3</w:t>
      </w:r>
      <w:r w:rsidRPr="007955BB">
        <w:rPr>
          <w:rFonts w:cs="Sylfaen"/>
          <w:b w:val="0"/>
          <w:szCs w:val="22"/>
          <w:lang w:val="hy-AM"/>
        </w:rPr>
        <w:t xml:space="preserve"> թվականի պետական բյուջեով նախատես</w:t>
      </w:r>
      <w:r w:rsidRPr="007955BB">
        <w:rPr>
          <w:rFonts w:cs="Sylfaen"/>
          <w:b w:val="0"/>
          <w:szCs w:val="22"/>
          <w:lang w:val="hy-AM"/>
        </w:rPr>
        <w:softHyphen/>
        <w:t xml:space="preserve">վում է </w:t>
      </w:r>
      <w:r w:rsidR="00875E26" w:rsidRPr="007955BB">
        <w:rPr>
          <w:rFonts w:cs="Sylfaen"/>
          <w:b w:val="0"/>
          <w:szCs w:val="22"/>
          <w:lang w:val="hy-AM"/>
        </w:rPr>
        <w:t>29</w:t>
      </w:r>
      <w:r w:rsidR="000A7082" w:rsidRPr="000A7082">
        <w:rPr>
          <w:rFonts w:cs="Sylfaen"/>
          <w:b w:val="0"/>
          <w:szCs w:val="22"/>
          <w:lang w:val="af-ZA"/>
        </w:rPr>
        <w:t>7</w:t>
      </w:r>
      <w:r w:rsidR="00875E26" w:rsidRPr="007955BB">
        <w:rPr>
          <w:rFonts w:cs="Sylfaen"/>
          <w:b w:val="0"/>
          <w:szCs w:val="22"/>
          <w:lang w:val="hy-AM"/>
        </w:rPr>
        <w:t>,</w:t>
      </w:r>
      <w:r w:rsidR="00230342">
        <w:rPr>
          <w:rFonts w:cs="Sylfaen"/>
          <w:b w:val="0"/>
          <w:szCs w:val="22"/>
          <w:lang w:val="af-ZA"/>
        </w:rPr>
        <w:t>446</w:t>
      </w:r>
      <w:r w:rsidR="00875E26" w:rsidRPr="007955BB">
        <w:rPr>
          <w:rFonts w:cs="Sylfaen"/>
          <w:b w:val="0"/>
          <w:szCs w:val="22"/>
          <w:lang w:val="hy-AM"/>
        </w:rPr>
        <w:t>.</w:t>
      </w:r>
      <w:r w:rsidR="00230342" w:rsidRPr="00DC0F55">
        <w:rPr>
          <w:rFonts w:cs="Sylfaen"/>
          <w:b w:val="0"/>
          <w:szCs w:val="22"/>
          <w:lang w:val="af-ZA"/>
        </w:rPr>
        <w:t>9</w:t>
      </w:r>
      <w:r w:rsidR="00875E26" w:rsidRPr="007955BB">
        <w:rPr>
          <w:rFonts w:cs="Sylfaen"/>
          <w:b w:val="0"/>
          <w:szCs w:val="22"/>
          <w:lang w:val="hy-AM"/>
        </w:rPr>
        <w:t xml:space="preserve"> </w:t>
      </w:r>
      <w:r w:rsidRPr="007955BB">
        <w:rPr>
          <w:rFonts w:cs="Sylfaen"/>
          <w:b w:val="0"/>
          <w:szCs w:val="22"/>
          <w:lang w:val="hy-AM"/>
        </w:rPr>
        <w:t xml:space="preserve">մլն դրամի ծախսեր </w:t>
      </w:r>
      <w:r w:rsidRPr="007955BB">
        <w:rPr>
          <w:b w:val="0"/>
          <w:color w:val="000000"/>
          <w:szCs w:val="22"/>
          <w:lang w:val="hy-AM" w:eastAsia="en-US"/>
        </w:rPr>
        <w:t>(ներառյալ կառավարման ապարատի պահպանման ծախսերը)</w:t>
      </w:r>
      <w:r w:rsidRPr="007955BB">
        <w:rPr>
          <w:rFonts w:cs="Sylfaen"/>
          <w:b w:val="0"/>
          <w:szCs w:val="22"/>
          <w:lang w:val="hy-AM"/>
        </w:rPr>
        <w:t>¸ որի շրջանակներում նախատեսվում է իրականացնել հետևյալ ծրագրերը.</w:t>
      </w:r>
    </w:p>
    <w:p w:rsidR="00A4471C" w:rsidRPr="007955BB" w:rsidRDefault="00A4471C" w:rsidP="00A4471C">
      <w:pPr>
        <w:spacing w:before="0" w:line="276" w:lineRule="auto"/>
        <w:rPr>
          <w:b w:val="0"/>
          <w:bCs/>
          <w:iCs/>
          <w:lang w:val="hy-AM"/>
        </w:rPr>
      </w:pPr>
      <w:r w:rsidRPr="007955BB">
        <w:rPr>
          <w:bCs/>
          <w:iCs/>
          <w:lang w:val="hy-AM"/>
        </w:rPr>
        <w:t xml:space="preserve">Ոռոգման համակարգի առողջացում </w:t>
      </w:r>
      <w:r w:rsidRPr="007955BB">
        <w:rPr>
          <w:b w:val="0"/>
          <w:bCs/>
          <w:iCs/>
          <w:lang w:val="hy-AM"/>
        </w:rPr>
        <w:t xml:space="preserve">ծրագրի </w:t>
      </w:r>
      <w:r w:rsidRPr="007955BB">
        <w:rPr>
          <w:rFonts w:cs="Sylfaen"/>
          <w:b w:val="0"/>
          <w:lang w:val="hy-AM"/>
        </w:rPr>
        <w:t>գծով  2023 թվականին  նախատեսվել է  3</w:t>
      </w:r>
      <w:r w:rsidR="00E76006" w:rsidRPr="000A7082">
        <w:rPr>
          <w:rFonts w:cs="GHEA Grapalat"/>
          <w:b w:val="0"/>
          <w:lang w:val="hy-AM"/>
        </w:rPr>
        <w:t>1</w:t>
      </w:r>
      <w:r w:rsidRPr="007955BB">
        <w:rPr>
          <w:rFonts w:cs="GHEA Grapalat"/>
          <w:b w:val="0"/>
          <w:lang w:val="hy-AM"/>
        </w:rPr>
        <w:t>,</w:t>
      </w:r>
      <w:r w:rsidR="00206F70" w:rsidRPr="00206F70">
        <w:rPr>
          <w:rFonts w:cs="GHEA Grapalat"/>
          <w:b w:val="0"/>
          <w:lang w:val="hy-AM"/>
        </w:rPr>
        <w:t>111</w:t>
      </w:r>
      <w:r w:rsidRPr="007955BB">
        <w:rPr>
          <w:rFonts w:cs="GHEA Grapalat"/>
          <w:b w:val="0"/>
          <w:lang w:val="hy-AM"/>
        </w:rPr>
        <w:t>.</w:t>
      </w:r>
      <w:r w:rsidR="00E76006" w:rsidRPr="000A7082">
        <w:rPr>
          <w:rFonts w:cs="GHEA Grapalat"/>
          <w:b w:val="0"/>
          <w:lang w:val="hy-AM"/>
        </w:rPr>
        <w:t>7</w:t>
      </w:r>
      <w:r w:rsidRPr="007955BB">
        <w:rPr>
          <w:rFonts w:cs="GHEA Grapalat"/>
          <w:b w:val="0"/>
          <w:lang w:val="hy-AM"/>
        </w:rPr>
        <w:t xml:space="preserve"> մլն դրամ</w:t>
      </w:r>
      <w:r w:rsidRPr="007955BB">
        <w:rPr>
          <w:b w:val="0"/>
          <w:bCs/>
          <w:iCs/>
          <w:lang w:val="hy-AM"/>
        </w:rPr>
        <w:t>.</w:t>
      </w:r>
    </w:p>
    <w:p w:rsidR="00EF6476" w:rsidRPr="007955BB" w:rsidRDefault="00A4471C" w:rsidP="00EF6476">
      <w:pPr>
        <w:spacing w:line="276" w:lineRule="auto"/>
        <w:rPr>
          <w:b w:val="0"/>
          <w:szCs w:val="22"/>
          <w:lang w:val="hy-AM"/>
        </w:rPr>
      </w:pPr>
      <w:r w:rsidRPr="007955BB">
        <w:rPr>
          <w:b w:val="0"/>
          <w:szCs w:val="22"/>
          <w:lang w:val="hy-AM"/>
        </w:rPr>
        <w:t>Ծրագրի նպատակն է ստեղծել ոռոգման ոլորտի զարգացման և բարեփոխումների շարունակականության, ֆինանսական կայունության համար բավարար հիմքեր, ապահովել ենթակառուցվածքների և ոլորտային կազմակերպությունների ինքնաբավ և տնտեսապես անկախ գործունեությունը, որով ակնկալվում է նվազեցնել ոռոգման ջրի կորուստները, ավելացնել փաստացի ոռոգելի հողատարածքների մակերեսը: Ծրագրի շրջանակներում նախա</w:t>
      </w:r>
      <w:r w:rsidRPr="007955BB">
        <w:rPr>
          <w:b w:val="0"/>
          <w:szCs w:val="22"/>
          <w:lang w:val="hy-AM"/>
        </w:rPr>
        <w:softHyphen/>
        <w:t>տեսվում է սուբսիդավորել «Ջրառ» ՓԲԸ-ի և 15 ջրօգտագործողների ընկերությունների գործունեության արդյունքում</w:t>
      </w:r>
      <w:r w:rsidR="00EF6476" w:rsidRPr="007955BB">
        <w:rPr>
          <w:b w:val="0"/>
          <w:szCs w:val="22"/>
          <w:lang w:val="hy-AM"/>
        </w:rPr>
        <w:t xml:space="preserve"> առաջացող ֆինանսական ճեղքվածքը, ոռոգման համակարգերի մայր և երկրորդ կարգի ջրանցքների բաժանարար կետերը կահավորել 748 SCADA համակարգով հագեցած ջրաչափական սարքավորումներով, վերականգնել 4 խորքային հոր, ինչպես նաև տեղադրել պոմպակայանի շուրջ 190 մ մղման և 747 գծմ ոռոգման խողովակներ: Բացի այդ, նախատեսվում է ձեռքբերել թվով 6 փոքր և</w:t>
      </w:r>
      <w:r w:rsidR="00206F70">
        <w:rPr>
          <w:b w:val="0"/>
          <w:szCs w:val="22"/>
          <w:lang w:val="hy-AM"/>
        </w:rPr>
        <w:t xml:space="preserve"> միջին ջրամբարների կառուցման և 1</w:t>
      </w:r>
      <w:r w:rsidR="00EF6476" w:rsidRPr="007955BB">
        <w:rPr>
          <w:b w:val="0"/>
          <w:szCs w:val="22"/>
          <w:lang w:val="hy-AM"/>
        </w:rPr>
        <w:t xml:space="preserve"> ջրամբարի վերականգնման և վերազինման աշխատանքների նախագծանախահաշվային փաստաթղթեր, սկսել 31 օրվա կարգավորիչ ջրավազանների կառուցման և 2 ջրամբարների վերականգնման ու վերազինման աշխատանքներ: Միևնույն ժամանակ, նախատեսվում է իրականացնել հակահեղեղային առաջնահերթ միջոցառումներ՝ մաքրելով գետերի և հեղեղատարների հուները, իրականացնելով ափերի ամրացման աշխատանքներ</w:t>
      </w:r>
      <w:r w:rsidR="00A71B31" w:rsidRPr="00A71B31">
        <w:rPr>
          <w:b w:val="0"/>
          <w:szCs w:val="22"/>
          <w:lang w:val="hy-AM"/>
        </w:rPr>
        <w:t>,</w:t>
      </w:r>
      <w:r w:rsidR="00EF6476" w:rsidRPr="007955BB">
        <w:rPr>
          <w:b w:val="0"/>
          <w:szCs w:val="22"/>
          <w:lang w:val="hy-AM"/>
        </w:rPr>
        <w:t xml:space="preserve"> ինչպես նաև Արարատյան ջրավազանի ձկնաբուծական տնտեսությունների ելքային ջրերի վերաօգտագործման նպատակով տեխնիկատնտեսական ուսումնասիրման աշխատանքներ:</w:t>
      </w:r>
    </w:p>
    <w:p w:rsidR="00A4471C" w:rsidRPr="007955BB" w:rsidRDefault="00A4471C" w:rsidP="00A4471C">
      <w:pPr>
        <w:spacing w:line="276" w:lineRule="auto"/>
        <w:rPr>
          <w:b w:val="0"/>
          <w:szCs w:val="22"/>
          <w:lang w:val="hy-AM"/>
        </w:rPr>
      </w:pPr>
      <w:r w:rsidRPr="007955BB">
        <w:rPr>
          <w:b w:val="0"/>
          <w:szCs w:val="22"/>
          <w:lang w:val="hy-AM"/>
        </w:rPr>
        <w:t xml:space="preserve">Արտաքին աղբյուրների ֆինանսավորմամբ իրականացվող շարունակական ծրագրերի ներքո նախատեսվում է ավարտին հասցնել Վեդու ջրամբարի կառուցման (կկառուցվի  15մ բարձրությամբ Վեդու ջրամբարի պատվարը, կվերականգնվի Վեդու ջրամբարի ոռոգման ներտնտեսային ցանցի 80,0 կմ հատվածը), ինչպես նաև Կապսի ջրամբարի 8.0 մ բարձրությամբ պատվարի շինարարական աշխատանքները: ՀՀ մարզերում կհիմնանորոգվի ոռոգման ցանցերի շուրջ 81,1 կմ հատվածը, որով կբարելավվի ոռոգման համակարգերի ընդանուր վիճակը։ </w:t>
      </w:r>
    </w:p>
    <w:p w:rsidR="00A4471C" w:rsidRPr="007955BB" w:rsidRDefault="00A4471C" w:rsidP="00A4471C">
      <w:pPr>
        <w:spacing w:line="276" w:lineRule="auto"/>
        <w:rPr>
          <w:b w:val="0"/>
          <w:szCs w:val="22"/>
          <w:lang w:val="hy-AM"/>
        </w:rPr>
      </w:pPr>
      <w:r w:rsidRPr="007955BB">
        <w:rPr>
          <w:b w:val="0"/>
          <w:szCs w:val="22"/>
          <w:lang w:val="hy-AM"/>
        </w:rPr>
        <w:t xml:space="preserve">Միաժամանակ Եվրոմիության համատեղ ֆինանսավորմամբ նախատեսվում է իրականացնել՝ ոռոգման համակարգի կառուցում, որի շրջանակներում կիրականացվի 17 բնակավայրերում պոմպակայանների, խողովակաշարերի և ջրագծերի կառուցում: </w:t>
      </w:r>
    </w:p>
    <w:p w:rsidR="00A4471C" w:rsidRPr="007955BB" w:rsidRDefault="00A4471C" w:rsidP="00A4471C">
      <w:pPr>
        <w:spacing w:before="0" w:line="276" w:lineRule="auto"/>
        <w:rPr>
          <w:b w:val="0"/>
          <w:bCs/>
          <w:iCs/>
          <w:lang w:val="hy-AM"/>
        </w:rPr>
      </w:pPr>
      <w:r w:rsidRPr="007955BB">
        <w:rPr>
          <w:szCs w:val="22"/>
          <w:lang w:val="hy-AM"/>
        </w:rPr>
        <w:t>Որոտան</w:t>
      </w:r>
      <w:r w:rsidRPr="007955BB">
        <w:rPr>
          <w:szCs w:val="22"/>
          <w:lang w:val="af-ZA"/>
        </w:rPr>
        <w:t>-</w:t>
      </w:r>
      <w:r w:rsidRPr="007955BB">
        <w:rPr>
          <w:szCs w:val="22"/>
          <w:lang w:val="hy-AM"/>
        </w:rPr>
        <w:t>Արփա</w:t>
      </w:r>
      <w:r w:rsidRPr="007955BB">
        <w:rPr>
          <w:szCs w:val="22"/>
          <w:lang w:val="af-ZA"/>
        </w:rPr>
        <w:t>-</w:t>
      </w:r>
      <w:r w:rsidRPr="007955BB">
        <w:rPr>
          <w:szCs w:val="22"/>
          <w:lang w:val="hy-AM"/>
        </w:rPr>
        <w:t>Սևան</w:t>
      </w:r>
      <w:r w:rsidRPr="007955BB">
        <w:rPr>
          <w:szCs w:val="22"/>
          <w:lang w:val="af-ZA"/>
        </w:rPr>
        <w:t xml:space="preserve"> </w:t>
      </w:r>
      <w:r w:rsidRPr="007955BB">
        <w:rPr>
          <w:szCs w:val="22"/>
          <w:lang w:val="hy-AM"/>
        </w:rPr>
        <w:t>թունելի</w:t>
      </w:r>
      <w:r w:rsidRPr="007955BB">
        <w:rPr>
          <w:szCs w:val="22"/>
          <w:lang w:val="af-ZA"/>
        </w:rPr>
        <w:t xml:space="preserve"> </w:t>
      </w:r>
      <w:r w:rsidRPr="007955BB">
        <w:rPr>
          <w:szCs w:val="22"/>
          <w:lang w:val="hy-AM"/>
        </w:rPr>
        <w:t>ջրային</w:t>
      </w:r>
      <w:r w:rsidRPr="007955BB">
        <w:rPr>
          <w:szCs w:val="22"/>
          <w:lang w:val="af-ZA"/>
        </w:rPr>
        <w:t xml:space="preserve"> </w:t>
      </w:r>
      <w:r w:rsidRPr="007955BB">
        <w:rPr>
          <w:szCs w:val="22"/>
          <w:lang w:val="hy-AM"/>
        </w:rPr>
        <w:t>համակարգի</w:t>
      </w:r>
      <w:r w:rsidRPr="007955BB">
        <w:rPr>
          <w:szCs w:val="22"/>
          <w:lang w:val="af-ZA"/>
        </w:rPr>
        <w:t xml:space="preserve"> </w:t>
      </w:r>
      <w:r w:rsidRPr="007955BB">
        <w:rPr>
          <w:szCs w:val="22"/>
          <w:lang w:val="hy-AM"/>
        </w:rPr>
        <w:t>կառավարում</w:t>
      </w:r>
      <w:r w:rsidRPr="007955BB">
        <w:rPr>
          <w:szCs w:val="22"/>
          <w:lang w:val="af-ZA"/>
        </w:rPr>
        <w:t xml:space="preserve"> </w:t>
      </w:r>
      <w:r w:rsidRPr="007955BB">
        <w:rPr>
          <w:b w:val="0"/>
          <w:bCs/>
          <w:iCs/>
          <w:lang w:val="hy-AM"/>
        </w:rPr>
        <w:t>ծրագրի</w:t>
      </w:r>
      <w:r w:rsidRPr="007955BB">
        <w:rPr>
          <w:b w:val="0"/>
          <w:bCs/>
          <w:iCs/>
          <w:lang w:val="af-ZA"/>
        </w:rPr>
        <w:t xml:space="preserve"> </w:t>
      </w:r>
      <w:r w:rsidRPr="007955BB">
        <w:rPr>
          <w:rFonts w:cs="Sylfaen"/>
          <w:b w:val="0"/>
          <w:lang w:val="hy-AM"/>
        </w:rPr>
        <w:t>գծով 2023 թվականին  նախատեսվել է  1</w:t>
      </w:r>
      <w:r w:rsidRPr="007955BB">
        <w:rPr>
          <w:rFonts w:cs="Sylfaen"/>
          <w:b w:val="0"/>
          <w:lang w:val="af-ZA"/>
        </w:rPr>
        <w:t>,025.8</w:t>
      </w:r>
      <w:r w:rsidRPr="007955BB">
        <w:rPr>
          <w:rFonts w:cs="Sylfaen"/>
          <w:b w:val="0"/>
          <w:lang w:val="hy-AM"/>
        </w:rPr>
        <w:t xml:space="preserve"> </w:t>
      </w:r>
      <w:r w:rsidRPr="007955BB">
        <w:rPr>
          <w:rFonts w:cs="GHEA Grapalat"/>
          <w:b w:val="0"/>
          <w:lang w:val="hy-AM"/>
        </w:rPr>
        <w:t>մլն</w:t>
      </w:r>
      <w:r w:rsidRPr="007955BB">
        <w:rPr>
          <w:rFonts w:cs="Sylfaen"/>
          <w:b w:val="0"/>
          <w:lang w:val="hy-AM"/>
        </w:rPr>
        <w:t xml:space="preserve"> </w:t>
      </w:r>
      <w:r w:rsidRPr="007955BB">
        <w:rPr>
          <w:rFonts w:cs="GHEA Grapalat"/>
          <w:b w:val="0"/>
          <w:lang w:val="hy-AM"/>
        </w:rPr>
        <w:t>դրամ</w:t>
      </w:r>
      <w:r w:rsidRPr="007955BB">
        <w:rPr>
          <w:b w:val="0"/>
          <w:bCs/>
          <w:iCs/>
          <w:lang w:val="hy-AM"/>
        </w:rPr>
        <w:t>.</w:t>
      </w:r>
    </w:p>
    <w:p w:rsidR="00A4471C" w:rsidRPr="007955BB" w:rsidRDefault="00A4471C" w:rsidP="00A4471C">
      <w:pPr>
        <w:spacing w:line="276" w:lineRule="auto"/>
        <w:rPr>
          <w:b w:val="0"/>
          <w:szCs w:val="22"/>
          <w:lang w:val="hy-AM"/>
        </w:rPr>
      </w:pPr>
      <w:r w:rsidRPr="007955BB">
        <w:rPr>
          <w:b w:val="0"/>
          <w:szCs w:val="22"/>
          <w:lang w:val="hy-AM"/>
        </w:rPr>
        <w:t>Ծրագրի</w:t>
      </w:r>
      <w:r w:rsidRPr="007955BB">
        <w:rPr>
          <w:b w:val="0"/>
          <w:szCs w:val="22"/>
          <w:lang w:val="af-ZA"/>
        </w:rPr>
        <w:t xml:space="preserve"> </w:t>
      </w:r>
      <w:r w:rsidRPr="007955BB">
        <w:rPr>
          <w:b w:val="0"/>
          <w:szCs w:val="22"/>
          <w:lang w:val="hy-AM"/>
        </w:rPr>
        <w:t>նպատակն</w:t>
      </w:r>
      <w:r w:rsidRPr="007955BB">
        <w:rPr>
          <w:b w:val="0"/>
          <w:szCs w:val="22"/>
          <w:lang w:val="af-ZA"/>
        </w:rPr>
        <w:t xml:space="preserve"> </w:t>
      </w:r>
      <w:r w:rsidRPr="007955BB">
        <w:rPr>
          <w:b w:val="0"/>
          <w:szCs w:val="22"/>
          <w:lang w:val="hy-AM"/>
        </w:rPr>
        <w:t>է</w:t>
      </w:r>
      <w:r w:rsidRPr="007955BB">
        <w:rPr>
          <w:b w:val="0"/>
          <w:szCs w:val="22"/>
          <w:lang w:val="af-ZA"/>
        </w:rPr>
        <w:t xml:space="preserve"> </w:t>
      </w:r>
      <w:r w:rsidRPr="007955BB">
        <w:rPr>
          <w:b w:val="0"/>
          <w:szCs w:val="22"/>
          <w:lang w:val="hy-AM"/>
        </w:rPr>
        <w:t>վերականգնել</w:t>
      </w:r>
      <w:r w:rsidRPr="007955BB">
        <w:rPr>
          <w:b w:val="0"/>
          <w:szCs w:val="22"/>
          <w:lang w:val="af-ZA"/>
        </w:rPr>
        <w:t xml:space="preserve"> </w:t>
      </w:r>
      <w:r w:rsidRPr="007955BB">
        <w:rPr>
          <w:b w:val="0"/>
          <w:szCs w:val="22"/>
          <w:lang w:val="hy-AM"/>
        </w:rPr>
        <w:t>Արփա</w:t>
      </w:r>
      <w:r w:rsidRPr="007955BB">
        <w:rPr>
          <w:b w:val="0"/>
          <w:szCs w:val="22"/>
          <w:lang w:val="af-ZA"/>
        </w:rPr>
        <w:t>-</w:t>
      </w:r>
      <w:r w:rsidRPr="007955BB">
        <w:rPr>
          <w:b w:val="0"/>
          <w:szCs w:val="22"/>
          <w:lang w:val="hy-AM"/>
        </w:rPr>
        <w:t>Սևան</w:t>
      </w:r>
      <w:r w:rsidRPr="007955BB">
        <w:rPr>
          <w:b w:val="0"/>
          <w:szCs w:val="22"/>
          <w:lang w:val="af-ZA"/>
        </w:rPr>
        <w:t xml:space="preserve"> </w:t>
      </w:r>
      <w:r w:rsidRPr="007955BB">
        <w:rPr>
          <w:b w:val="0"/>
          <w:szCs w:val="22"/>
          <w:lang w:val="hy-AM"/>
        </w:rPr>
        <w:t>թունելի</w:t>
      </w:r>
      <w:r w:rsidRPr="007955BB">
        <w:rPr>
          <w:b w:val="0"/>
          <w:szCs w:val="22"/>
          <w:lang w:val="af-ZA"/>
        </w:rPr>
        <w:t xml:space="preserve"> </w:t>
      </w:r>
      <w:r w:rsidRPr="007955BB">
        <w:rPr>
          <w:b w:val="0"/>
          <w:szCs w:val="22"/>
          <w:lang w:val="hy-AM"/>
        </w:rPr>
        <w:t>վթարային</w:t>
      </w:r>
      <w:r w:rsidRPr="007955BB">
        <w:rPr>
          <w:b w:val="0"/>
          <w:szCs w:val="22"/>
          <w:lang w:val="af-ZA"/>
        </w:rPr>
        <w:t xml:space="preserve"> </w:t>
      </w:r>
      <w:r w:rsidRPr="007955BB">
        <w:rPr>
          <w:b w:val="0"/>
          <w:szCs w:val="22"/>
          <w:lang w:val="hy-AM"/>
        </w:rPr>
        <w:t>հատվածները</w:t>
      </w:r>
      <w:r w:rsidRPr="007955BB">
        <w:rPr>
          <w:b w:val="0"/>
          <w:szCs w:val="22"/>
          <w:lang w:val="af-ZA"/>
        </w:rPr>
        <w:t xml:space="preserve"> </w:t>
      </w:r>
      <w:r w:rsidRPr="007955BB">
        <w:rPr>
          <w:b w:val="0"/>
          <w:szCs w:val="22"/>
          <w:lang w:val="hy-AM"/>
        </w:rPr>
        <w:t>և</w:t>
      </w:r>
      <w:r w:rsidRPr="007955BB">
        <w:rPr>
          <w:b w:val="0"/>
          <w:szCs w:val="22"/>
          <w:lang w:val="af-ZA"/>
        </w:rPr>
        <w:t xml:space="preserve"> </w:t>
      </w:r>
      <w:r w:rsidRPr="007955BB">
        <w:rPr>
          <w:b w:val="0"/>
          <w:szCs w:val="22"/>
          <w:lang w:val="hy-AM"/>
        </w:rPr>
        <w:t>պահպանել</w:t>
      </w:r>
      <w:r w:rsidRPr="007955BB">
        <w:rPr>
          <w:b w:val="0"/>
          <w:szCs w:val="22"/>
          <w:lang w:val="af-ZA"/>
        </w:rPr>
        <w:t xml:space="preserve"> </w:t>
      </w:r>
      <w:r w:rsidRPr="007955BB">
        <w:rPr>
          <w:b w:val="0"/>
          <w:szCs w:val="22"/>
          <w:lang w:val="hy-AM"/>
        </w:rPr>
        <w:t>այն</w:t>
      </w:r>
      <w:r w:rsidRPr="007955BB">
        <w:rPr>
          <w:b w:val="0"/>
          <w:szCs w:val="22"/>
          <w:lang w:val="af-ZA"/>
        </w:rPr>
        <w:t xml:space="preserve">, </w:t>
      </w:r>
      <w:r w:rsidRPr="007955BB">
        <w:rPr>
          <w:b w:val="0"/>
          <w:szCs w:val="22"/>
          <w:lang w:val="hy-AM"/>
        </w:rPr>
        <w:t>որից</w:t>
      </w:r>
      <w:r w:rsidRPr="007955BB">
        <w:rPr>
          <w:b w:val="0"/>
          <w:szCs w:val="22"/>
          <w:lang w:val="af-ZA"/>
        </w:rPr>
        <w:t xml:space="preserve"> </w:t>
      </w:r>
      <w:r w:rsidRPr="007955BB">
        <w:rPr>
          <w:b w:val="0"/>
          <w:szCs w:val="22"/>
          <w:lang w:val="hy-AM"/>
        </w:rPr>
        <w:t>ակնկալվող</w:t>
      </w:r>
      <w:r w:rsidRPr="007955BB">
        <w:rPr>
          <w:b w:val="0"/>
          <w:szCs w:val="22"/>
          <w:lang w:val="af-ZA"/>
        </w:rPr>
        <w:t xml:space="preserve"> </w:t>
      </w:r>
      <w:r w:rsidRPr="007955BB">
        <w:rPr>
          <w:b w:val="0"/>
          <w:szCs w:val="22"/>
          <w:lang w:val="hy-AM"/>
        </w:rPr>
        <w:t>վերջնական</w:t>
      </w:r>
      <w:r w:rsidRPr="007955BB">
        <w:rPr>
          <w:b w:val="0"/>
          <w:szCs w:val="22"/>
          <w:lang w:val="af-ZA"/>
        </w:rPr>
        <w:t xml:space="preserve"> </w:t>
      </w:r>
      <w:r w:rsidRPr="007955BB">
        <w:rPr>
          <w:b w:val="0"/>
          <w:szCs w:val="22"/>
          <w:lang w:val="hy-AM"/>
        </w:rPr>
        <w:t>արդյունքն</w:t>
      </w:r>
      <w:r w:rsidRPr="007955BB">
        <w:rPr>
          <w:b w:val="0"/>
          <w:szCs w:val="22"/>
          <w:lang w:val="af-ZA"/>
        </w:rPr>
        <w:t xml:space="preserve"> </w:t>
      </w:r>
      <w:r w:rsidRPr="007955BB">
        <w:rPr>
          <w:b w:val="0"/>
          <w:szCs w:val="22"/>
          <w:lang w:val="hy-AM"/>
        </w:rPr>
        <w:t>է</w:t>
      </w:r>
      <w:r w:rsidRPr="007955BB">
        <w:rPr>
          <w:b w:val="0"/>
          <w:szCs w:val="22"/>
          <w:lang w:val="af-ZA"/>
        </w:rPr>
        <w:t xml:space="preserve"> </w:t>
      </w:r>
      <w:r w:rsidRPr="007955BB">
        <w:rPr>
          <w:b w:val="0"/>
          <w:szCs w:val="22"/>
          <w:lang w:val="hy-AM"/>
        </w:rPr>
        <w:t>առավելագույն քանակի ջուր տեղափոխել դեպի Սևանա լիճ: Ծրագրի շրջանակներում նախա</w:t>
      </w:r>
      <w:r w:rsidRPr="007955BB">
        <w:rPr>
          <w:b w:val="0"/>
          <w:szCs w:val="22"/>
          <w:lang w:val="hy-AM"/>
        </w:rPr>
        <w:softHyphen/>
        <w:t xml:space="preserve">տեսվում է իրականացնել Որոտան-Արփա-Սևան թունելի 48 կմ երկարությամբ հատվածի պահպանման ու շահագործման և թունելի վթարային առանձին՝ </w:t>
      </w:r>
      <w:r w:rsidR="00A527DC" w:rsidRPr="007955BB">
        <w:rPr>
          <w:b w:val="0"/>
          <w:szCs w:val="22"/>
          <w:lang w:val="hy-AM"/>
        </w:rPr>
        <w:t>94.4</w:t>
      </w:r>
      <w:r w:rsidRPr="007955BB">
        <w:rPr>
          <w:b w:val="0"/>
          <w:szCs w:val="22"/>
          <w:lang w:val="hy-AM"/>
        </w:rPr>
        <w:t xml:space="preserve"> գծմ հատվածների հիմնանորոգման աշխատանքներ։</w:t>
      </w:r>
    </w:p>
    <w:p w:rsidR="00A4471C" w:rsidRPr="007955BB" w:rsidRDefault="00A4471C" w:rsidP="00A4471C">
      <w:pPr>
        <w:spacing w:before="0" w:line="276" w:lineRule="auto"/>
        <w:rPr>
          <w:b w:val="0"/>
          <w:bCs/>
          <w:iCs/>
          <w:lang w:val="hy-AM"/>
        </w:rPr>
      </w:pPr>
      <w:r w:rsidRPr="007955BB">
        <w:rPr>
          <w:szCs w:val="22"/>
          <w:lang w:val="af-ZA"/>
        </w:rPr>
        <w:t xml:space="preserve">Սոցիալական ներդրումների և տեղական զարգացման </w:t>
      </w:r>
      <w:r w:rsidRPr="007955BB">
        <w:rPr>
          <w:b w:val="0"/>
          <w:szCs w:val="22"/>
          <w:lang w:val="af-ZA"/>
        </w:rPr>
        <w:t>ծրագր</w:t>
      </w:r>
      <w:r w:rsidRPr="007955BB">
        <w:rPr>
          <w:b w:val="0"/>
          <w:szCs w:val="22"/>
          <w:lang w:val="hy-AM"/>
        </w:rPr>
        <w:t xml:space="preserve">ի </w:t>
      </w:r>
      <w:r w:rsidRPr="007955BB">
        <w:rPr>
          <w:rFonts w:cs="Sylfaen"/>
          <w:b w:val="0"/>
          <w:lang w:val="hy-AM"/>
        </w:rPr>
        <w:t xml:space="preserve">գծով 2023 թվականին  նախատեսվել է  </w:t>
      </w:r>
      <w:r w:rsidR="006443F4">
        <w:rPr>
          <w:rFonts w:cs="Sylfaen"/>
          <w:b w:val="0"/>
          <w:lang w:val="hy-AM"/>
        </w:rPr>
        <w:t>6</w:t>
      </w:r>
      <w:r w:rsidRPr="007955BB">
        <w:rPr>
          <w:rFonts w:cs="Sylfaen"/>
          <w:b w:val="0"/>
          <w:lang w:val="af-ZA"/>
        </w:rPr>
        <w:t>,</w:t>
      </w:r>
      <w:r w:rsidR="006443F4">
        <w:rPr>
          <w:rFonts w:cs="Sylfaen"/>
          <w:b w:val="0"/>
          <w:lang w:val="af-ZA"/>
        </w:rPr>
        <w:t>25</w:t>
      </w:r>
      <w:r w:rsidR="002C5287">
        <w:rPr>
          <w:rFonts w:cs="Sylfaen"/>
          <w:b w:val="0"/>
          <w:lang w:val="af-ZA"/>
        </w:rPr>
        <w:t>8</w:t>
      </w:r>
      <w:r w:rsidR="000A7082">
        <w:rPr>
          <w:rFonts w:cs="Sylfaen"/>
          <w:b w:val="0"/>
          <w:lang w:val="af-ZA"/>
        </w:rPr>
        <w:t>.</w:t>
      </w:r>
      <w:r w:rsidR="006443F4">
        <w:rPr>
          <w:rFonts w:cs="Sylfaen"/>
          <w:b w:val="0"/>
          <w:lang w:val="af-ZA"/>
        </w:rPr>
        <w:t>5</w:t>
      </w:r>
      <w:r w:rsidRPr="007955BB">
        <w:rPr>
          <w:rFonts w:cs="Sylfaen"/>
          <w:b w:val="0"/>
          <w:lang w:val="hy-AM"/>
        </w:rPr>
        <w:t xml:space="preserve"> մլն </w:t>
      </w:r>
      <w:r w:rsidRPr="007955BB">
        <w:rPr>
          <w:rFonts w:cs="GHEA Grapalat"/>
          <w:b w:val="0"/>
          <w:lang w:val="hy-AM"/>
        </w:rPr>
        <w:t>դրամ</w:t>
      </w:r>
      <w:r w:rsidRPr="007955BB">
        <w:rPr>
          <w:b w:val="0"/>
          <w:bCs/>
          <w:iCs/>
          <w:lang w:val="hy-AM"/>
        </w:rPr>
        <w:t>.</w:t>
      </w:r>
    </w:p>
    <w:p w:rsidR="00A4471C" w:rsidRPr="007955BB" w:rsidRDefault="00A4471C" w:rsidP="00A4471C">
      <w:pPr>
        <w:spacing w:line="276" w:lineRule="auto"/>
        <w:rPr>
          <w:b w:val="0"/>
          <w:szCs w:val="22"/>
          <w:lang w:val="hy-AM"/>
        </w:rPr>
      </w:pPr>
      <w:r w:rsidRPr="007955BB">
        <w:rPr>
          <w:b w:val="0"/>
          <w:szCs w:val="22"/>
          <w:lang w:val="hy-AM"/>
        </w:rPr>
        <w:t>Ծրագրի նպատակն է նպաստել բնակչության նյութական և ոչ նյութական բարեկեցության աճին, որով նախատեսվում է համայնքային և միջհամայնքային ենթակառուցվածքների և որակի հասանելիության բարելավում, ինստիտուցիոնալ և ֆինանասական կարողությունների հզորացում: Ծրագրի շրջանակներում նախատեսվում է իրականացնել 2 համայնքներում խմելու ջրի ջրամատակարարման և 2 համայնքներում ոռոգման համակարգերի հիմնանորոգման և կառուցման աշխատանքները, ևս 32 համայնքներում նախատեսվում է համայնքային կենտրոններին, դպրոցներին և մանկապարտեզներին գույքի տրամադրում, 32 համայնքներ կօգտվեն հիմնանորոգված և նոր կառուցված ջրագծերի, առողջապահության, կրթության, մշակույթի, հատուկ խնամքի և  ենթակառուցվածքների ոլորտի օբյեկտներից:</w:t>
      </w:r>
    </w:p>
    <w:p w:rsidR="00A4471C" w:rsidRPr="007955BB" w:rsidRDefault="00A4471C" w:rsidP="00A4471C">
      <w:pPr>
        <w:spacing w:line="276" w:lineRule="auto"/>
        <w:rPr>
          <w:b w:val="0"/>
          <w:szCs w:val="22"/>
          <w:lang w:val="af-ZA"/>
        </w:rPr>
      </w:pPr>
      <w:r w:rsidRPr="007955BB">
        <w:rPr>
          <w:szCs w:val="22"/>
          <w:lang w:val="hy-AM"/>
        </w:rPr>
        <w:t>Կոլեկտորադրենաժային</w:t>
      </w:r>
      <w:r w:rsidRPr="007955BB">
        <w:rPr>
          <w:szCs w:val="22"/>
          <w:lang w:val="af-ZA"/>
        </w:rPr>
        <w:t xml:space="preserve"> </w:t>
      </w:r>
      <w:r w:rsidRPr="007955BB">
        <w:rPr>
          <w:szCs w:val="22"/>
          <w:lang w:val="hy-AM"/>
        </w:rPr>
        <w:t>ծառայություններ</w:t>
      </w:r>
      <w:r w:rsidRPr="007955BB">
        <w:rPr>
          <w:szCs w:val="22"/>
          <w:lang w:val="af-ZA"/>
        </w:rPr>
        <w:t xml:space="preserve"> </w:t>
      </w:r>
      <w:r w:rsidRPr="007955BB">
        <w:rPr>
          <w:b w:val="0"/>
          <w:bCs/>
          <w:iCs/>
          <w:lang w:val="hy-AM"/>
        </w:rPr>
        <w:t xml:space="preserve">ծրագրի </w:t>
      </w:r>
      <w:r w:rsidRPr="007955BB">
        <w:rPr>
          <w:rFonts w:cs="Sylfaen"/>
          <w:b w:val="0"/>
          <w:lang w:val="hy-AM"/>
        </w:rPr>
        <w:t>գծով 2023 թվականին  նախատեսվել է  290</w:t>
      </w:r>
      <w:r w:rsidRPr="007955BB">
        <w:rPr>
          <w:rFonts w:ascii="Cambria Math" w:hAnsi="Cambria Math" w:cs="Cambria Math"/>
          <w:b w:val="0"/>
          <w:lang w:val="hy-AM"/>
        </w:rPr>
        <w:t>․</w:t>
      </w:r>
      <w:r w:rsidRPr="007955BB">
        <w:rPr>
          <w:rFonts w:cs="Sylfaen"/>
          <w:b w:val="0"/>
          <w:lang w:val="hy-AM"/>
        </w:rPr>
        <w:t>8 մլն դրամ.</w:t>
      </w:r>
    </w:p>
    <w:p w:rsidR="00A4471C" w:rsidRPr="007955BB" w:rsidRDefault="00A4471C" w:rsidP="00A4471C">
      <w:pPr>
        <w:spacing w:line="276" w:lineRule="auto"/>
        <w:rPr>
          <w:b w:val="0"/>
          <w:szCs w:val="22"/>
          <w:lang w:val="af-ZA"/>
        </w:rPr>
      </w:pPr>
      <w:r w:rsidRPr="007955BB">
        <w:rPr>
          <w:b w:val="0"/>
          <w:szCs w:val="22"/>
          <w:lang w:val="hy-AM"/>
        </w:rPr>
        <w:t>Ծրագրի</w:t>
      </w:r>
      <w:r w:rsidRPr="007955BB">
        <w:rPr>
          <w:b w:val="0"/>
          <w:szCs w:val="22"/>
          <w:lang w:val="af-ZA"/>
        </w:rPr>
        <w:t xml:space="preserve"> </w:t>
      </w:r>
      <w:r w:rsidRPr="007955BB">
        <w:rPr>
          <w:b w:val="0"/>
          <w:szCs w:val="22"/>
          <w:lang w:val="hy-AM"/>
        </w:rPr>
        <w:t>նպատակն</w:t>
      </w:r>
      <w:r w:rsidRPr="007955BB">
        <w:rPr>
          <w:b w:val="0"/>
          <w:szCs w:val="22"/>
          <w:lang w:val="af-ZA"/>
        </w:rPr>
        <w:t xml:space="preserve"> </w:t>
      </w:r>
      <w:r w:rsidRPr="007955BB">
        <w:rPr>
          <w:b w:val="0"/>
          <w:szCs w:val="22"/>
          <w:lang w:val="hy-AM"/>
        </w:rPr>
        <w:t>է</w:t>
      </w:r>
      <w:r w:rsidRPr="007955BB">
        <w:rPr>
          <w:b w:val="0"/>
          <w:szCs w:val="22"/>
          <w:lang w:val="af-ZA"/>
        </w:rPr>
        <w:t xml:space="preserve"> </w:t>
      </w:r>
      <w:r w:rsidRPr="007955BB">
        <w:rPr>
          <w:b w:val="0"/>
          <w:szCs w:val="22"/>
          <w:lang w:val="hy-AM"/>
        </w:rPr>
        <w:t>բարելավել</w:t>
      </w:r>
      <w:r w:rsidRPr="007955BB">
        <w:rPr>
          <w:b w:val="0"/>
          <w:szCs w:val="22"/>
          <w:lang w:val="af-ZA"/>
        </w:rPr>
        <w:t xml:space="preserve"> </w:t>
      </w:r>
      <w:r w:rsidRPr="007955BB">
        <w:rPr>
          <w:b w:val="0"/>
          <w:szCs w:val="22"/>
          <w:lang w:val="hy-AM"/>
        </w:rPr>
        <w:t>ՀՀ</w:t>
      </w:r>
      <w:r w:rsidRPr="007955BB">
        <w:rPr>
          <w:b w:val="0"/>
          <w:szCs w:val="22"/>
          <w:lang w:val="af-ZA"/>
        </w:rPr>
        <w:t xml:space="preserve"> </w:t>
      </w:r>
      <w:r w:rsidRPr="007955BB">
        <w:rPr>
          <w:b w:val="0"/>
          <w:szCs w:val="22"/>
          <w:lang w:val="hy-AM"/>
        </w:rPr>
        <w:t>ոռոգելի</w:t>
      </w:r>
      <w:r w:rsidRPr="007955BB">
        <w:rPr>
          <w:b w:val="0"/>
          <w:szCs w:val="22"/>
          <w:lang w:val="af-ZA"/>
        </w:rPr>
        <w:t xml:space="preserve"> </w:t>
      </w:r>
      <w:r w:rsidRPr="007955BB">
        <w:rPr>
          <w:b w:val="0"/>
          <w:szCs w:val="22"/>
          <w:lang w:val="hy-AM"/>
        </w:rPr>
        <w:t>հողերի</w:t>
      </w:r>
      <w:r w:rsidRPr="007955BB">
        <w:rPr>
          <w:b w:val="0"/>
          <w:szCs w:val="22"/>
          <w:lang w:val="af-ZA"/>
        </w:rPr>
        <w:t xml:space="preserve"> </w:t>
      </w:r>
      <w:r w:rsidRPr="007955BB">
        <w:rPr>
          <w:b w:val="0"/>
          <w:szCs w:val="22"/>
          <w:lang w:val="hy-AM"/>
        </w:rPr>
        <w:t>մելիորատիվ</w:t>
      </w:r>
      <w:r w:rsidRPr="007955BB">
        <w:rPr>
          <w:b w:val="0"/>
          <w:szCs w:val="22"/>
          <w:lang w:val="af-ZA"/>
        </w:rPr>
        <w:t xml:space="preserve"> </w:t>
      </w:r>
      <w:r w:rsidRPr="007955BB">
        <w:rPr>
          <w:b w:val="0"/>
          <w:szCs w:val="22"/>
          <w:lang w:val="hy-AM"/>
        </w:rPr>
        <w:t>վիճակը</w:t>
      </w:r>
      <w:r w:rsidRPr="007955BB">
        <w:rPr>
          <w:b w:val="0"/>
          <w:szCs w:val="22"/>
          <w:lang w:val="af-ZA"/>
        </w:rPr>
        <w:t xml:space="preserve">, </w:t>
      </w:r>
      <w:r w:rsidRPr="007955BB">
        <w:rPr>
          <w:b w:val="0"/>
          <w:szCs w:val="22"/>
          <w:lang w:val="hy-AM"/>
        </w:rPr>
        <w:t>կարգավորել</w:t>
      </w:r>
      <w:r w:rsidRPr="007955BB">
        <w:rPr>
          <w:b w:val="0"/>
          <w:szCs w:val="22"/>
          <w:lang w:val="af-ZA"/>
        </w:rPr>
        <w:t xml:space="preserve"> </w:t>
      </w:r>
      <w:r w:rsidRPr="007955BB">
        <w:rPr>
          <w:b w:val="0"/>
          <w:szCs w:val="22"/>
          <w:lang w:val="hy-AM"/>
        </w:rPr>
        <w:t>գրունտային</w:t>
      </w:r>
      <w:r w:rsidRPr="007955BB">
        <w:rPr>
          <w:b w:val="0"/>
          <w:szCs w:val="22"/>
          <w:lang w:val="af-ZA"/>
        </w:rPr>
        <w:t xml:space="preserve"> </w:t>
      </w:r>
      <w:r w:rsidRPr="007955BB">
        <w:rPr>
          <w:b w:val="0"/>
          <w:szCs w:val="22"/>
          <w:lang w:val="hy-AM"/>
        </w:rPr>
        <w:t>ջրերի</w:t>
      </w:r>
      <w:r w:rsidRPr="007955BB">
        <w:rPr>
          <w:b w:val="0"/>
          <w:szCs w:val="22"/>
          <w:lang w:val="af-ZA"/>
        </w:rPr>
        <w:t xml:space="preserve"> </w:t>
      </w:r>
      <w:r w:rsidRPr="007955BB">
        <w:rPr>
          <w:b w:val="0"/>
          <w:szCs w:val="22"/>
          <w:lang w:val="hy-AM"/>
        </w:rPr>
        <w:t>մակարդակները</w:t>
      </w:r>
      <w:r w:rsidRPr="007955BB">
        <w:rPr>
          <w:b w:val="0"/>
          <w:szCs w:val="22"/>
          <w:lang w:val="af-ZA"/>
        </w:rPr>
        <w:t xml:space="preserve">, </w:t>
      </w:r>
      <w:r w:rsidRPr="007955BB">
        <w:rPr>
          <w:b w:val="0"/>
          <w:szCs w:val="22"/>
          <w:lang w:val="hy-AM"/>
        </w:rPr>
        <w:t>կանխել</w:t>
      </w:r>
      <w:r w:rsidRPr="007955BB">
        <w:rPr>
          <w:b w:val="0"/>
          <w:szCs w:val="22"/>
          <w:lang w:val="af-ZA"/>
        </w:rPr>
        <w:t xml:space="preserve"> </w:t>
      </w:r>
      <w:r w:rsidRPr="007955BB">
        <w:rPr>
          <w:b w:val="0"/>
          <w:szCs w:val="22"/>
          <w:lang w:val="hy-AM"/>
        </w:rPr>
        <w:t>հողատեսքերի</w:t>
      </w:r>
      <w:r w:rsidRPr="007955BB">
        <w:rPr>
          <w:b w:val="0"/>
          <w:szCs w:val="22"/>
          <w:lang w:val="af-ZA"/>
        </w:rPr>
        <w:t xml:space="preserve"> </w:t>
      </w:r>
      <w:r w:rsidRPr="007955BB">
        <w:rPr>
          <w:b w:val="0"/>
          <w:szCs w:val="22"/>
          <w:lang w:val="hy-AM"/>
        </w:rPr>
        <w:t>աղակալումը</w:t>
      </w:r>
      <w:r w:rsidRPr="007955BB">
        <w:rPr>
          <w:b w:val="0"/>
          <w:szCs w:val="22"/>
          <w:lang w:val="af-ZA"/>
        </w:rPr>
        <w:t xml:space="preserve">, </w:t>
      </w:r>
      <w:r w:rsidRPr="007955BB">
        <w:rPr>
          <w:b w:val="0"/>
          <w:szCs w:val="22"/>
          <w:lang w:val="hy-AM"/>
        </w:rPr>
        <w:t>բնակավայրերի</w:t>
      </w:r>
      <w:r w:rsidRPr="007955BB">
        <w:rPr>
          <w:b w:val="0"/>
          <w:szCs w:val="22"/>
          <w:lang w:val="af-ZA"/>
        </w:rPr>
        <w:t xml:space="preserve"> </w:t>
      </w:r>
      <w:r w:rsidRPr="007955BB">
        <w:rPr>
          <w:b w:val="0"/>
          <w:szCs w:val="22"/>
          <w:lang w:val="hy-AM"/>
        </w:rPr>
        <w:t>ջրակալումը</w:t>
      </w:r>
      <w:r w:rsidRPr="007955BB">
        <w:rPr>
          <w:b w:val="0"/>
          <w:szCs w:val="22"/>
          <w:lang w:val="af-ZA"/>
        </w:rPr>
        <w:t xml:space="preserve"> </w:t>
      </w:r>
      <w:r w:rsidRPr="007955BB">
        <w:rPr>
          <w:b w:val="0"/>
          <w:szCs w:val="22"/>
          <w:lang w:val="hy-AM"/>
        </w:rPr>
        <w:t>և</w:t>
      </w:r>
      <w:r w:rsidRPr="007955BB">
        <w:rPr>
          <w:b w:val="0"/>
          <w:szCs w:val="22"/>
          <w:lang w:val="af-ZA"/>
        </w:rPr>
        <w:t xml:space="preserve"> </w:t>
      </w:r>
      <w:r w:rsidRPr="007955BB">
        <w:rPr>
          <w:b w:val="0"/>
          <w:szCs w:val="22"/>
          <w:lang w:val="hy-AM"/>
        </w:rPr>
        <w:t>ապահովել</w:t>
      </w:r>
      <w:r w:rsidRPr="007955BB">
        <w:rPr>
          <w:b w:val="0"/>
          <w:szCs w:val="22"/>
          <w:lang w:val="af-ZA"/>
        </w:rPr>
        <w:t xml:space="preserve"> </w:t>
      </w:r>
      <w:r w:rsidRPr="007955BB">
        <w:rPr>
          <w:b w:val="0"/>
          <w:szCs w:val="22"/>
          <w:lang w:val="hy-AM"/>
        </w:rPr>
        <w:t>մշակաբույսերի</w:t>
      </w:r>
      <w:r w:rsidRPr="007955BB">
        <w:rPr>
          <w:b w:val="0"/>
          <w:szCs w:val="22"/>
          <w:lang w:val="af-ZA"/>
        </w:rPr>
        <w:t xml:space="preserve"> </w:t>
      </w:r>
      <w:r w:rsidRPr="007955BB">
        <w:rPr>
          <w:b w:val="0"/>
          <w:szCs w:val="22"/>
          <w:lang w:val="hy-AM"/>
        </w:rPr>
        <w:t>բնականոն</w:t>
      </w:r>
      <w:r w:rsidRPr="007955BB">
        <w:rPr>
          <w:b w:val="0"/>
          <w:szCs w:val="22"/>
          <w:lang w:val="af-ZA"/>
        </w:rPr>
        <w:t xml:space="preserve"> </w:t>
      </w:r>
      <w:r w:rsidRPr="007955BB">
        <w:rPr>
          <w:b w:val="0"/>
          <w:szCs w:val="22"/>
          <w:lang w:val="hy-AM"/>
        </w:rPr>
        <w:t>աճը</w:t>
      </w:r>
      <w:r w:rsidRPr="007955BB">
        <w:rPr>
          <w:b w:val="0"/>
          <w:szCs w:val="22"/>
          <w:lang w:val="af-ZA"/>
        </w:rPr>
        <w:t xml:space="preserve">, </w:t>
      </w:r>
      <w:r w:rsidRPr="007955BB">
        <w:rPr>
          <w:b w:val="0"/>
          <w:szCs w:val="22"/>
          <w:lang w:val="hy-AM"/>
        </w:rPr>
        <w:t>որի</w:t>
      </w:r>
      <w:r w:rsidRPr="007955BB">
        <w:rPr>
          <w:b w:val="0"/>
          <w:szCs w:val="22"/>
          <w:lang w:val="af-ZA"/>
        </w:rPr>
        <w:t xml:space="preserve"> </w:t>
      </w:r>
      <w:r w:rsidRPr="007955BB">
        <w:rPr>
          <w:b w:val="0"/>
          <w:szCs w:val="22"/>
          <w:lang w:val="hy-AM"/>
        </w:rPr>
        <w:t>վերջնական</w:t>
      </w:r>
      <w:r w:rsidRPr="007955BB">
        <w:rPr>
          <w:b w:val="0"/>
          <w:szCs w:val="22"/>
          <w:lang w:val="af-ZA"/>
        </w:rPr>
        <w:t xml:space="preserve"> </w:t>
      </w:r>
      <w:r w:rsidRPr="007955BB">
        <w:rPr>
          <w:b w:val="0"/>
          <w:szCs w:val="22"/>
          <w:lang w:val="hy-AM"/>
        </w:rPr>
        <w:t>արդյունքն</w:t>
      </w:r>
      <w:r w:rsidRPr="007955BB">
        <w:rPr>
          <w:b w:val="0"/>
          <w:szCs w:val="22"/>
          <w:lang w:val="af-ZA"/>
        </w:rPr>
        <w:t xml:space="preserve"> </w:t>
      </w:r>
      <w:r w:rsidRPr="007955BB">
        <w:rPr>
          <w:b w:val="0"/>
          <w:szCs w:val="22"/>
          <w:lang w:val="hy-AM"/>
        </w:rPr>
        <w:t>է</w:t>
      </w:r>
      <w:r w:rsidRPr="007955BB">
        <w:rPr>
          <w:b w:val="0"/>
          <w:szCs w:val="22"/>
          <w:lang w:val="af-ZA"/>
        </w:rPr>
        <w:t xml:space="preserve"> </w:t>
      </w:r>
      <w:r w:rsidRPr="007955BB">
        <w:rPr>
          <w:b w:val="0"/>
          <w:szCs w:val="22"/>
          <w:lang w:val="hy-AM"/>
        </w:rPr>
        <w:t>ավելացնել</w:t>
      </w:r>
      <w:r w:rsidRPr="007955BB">
        <w:rPr>
          <w:b w:val="0"/>
          <w:szCs w:val="22"/>
          <w:lang w:val="af-ZA"/>
        </w:rPr>
        <w:t xml:space="preserve"> </w:t>
      </w:r>
      <w:r w:rsidRPr="007955BB">
        <w:rPr>
          <w:b w:val="0"/>
          <w:szCs w:val="22"/>
          <w:lang w:val="hy-AM"/>
        </w:rPr>
        <w:t>մշակելի</w:t>
      </w:r>
      <w:r w:rsidRPr="007955BB">
        <w:rPr>
          <w:b w:val="0"/>
          <w:szCs w:val="22"/>
          <w:lang w:val="af-ZA"/>
        </w:rPr>
        <w:t xml:space="preserve"> </w:t>
      </w:r>
      <w:r w:rsidRPr="007955BB">
        <w:rPr>
          <w:b w:val="0"/>
          <w:szCs w:val="22"/>
          <w:lang w:val="hy-AM"/>
        </w:rPr>
        <w:t>հողատարածքների</w:t>
      </w:r>
      <w:r w:rsidRPr="007955BB">
        <w:rPr>
          <w:b w:val="0"/>
          <w:szCs w:val="22"/>
          <w:lang w:val="af-ZA"/>
        </w:rPr>
        <w:t xml:space="preserve"> </w:t>
      </w:r>
      <w:r w:rsidRPr="007955BB">
        <w:rPr>
          <w:b w:val="0"/>
          <w:szCs w:val="22"/>
          <w:lang w:val="hy-AM"/>
        </w:rPr>
        <w:t>մակերեսը</w:t>
      </w:r>
      <w:r w:rsidRPr="007955BB">
        <w:rPr>
          <w:b w:val="0"/>
          <w:szCs w:val="22"/>
          <w:lang w:val="af-ZA"/>
        </w:rPr>
        <w:t xml:space="preserve">: </w:t>
      </w:r>
      <w:r w:rsidRPr="007955BB">
        <w:rPr>
          <w:b w:val="0"/>
          <w:szCs w:val="22"/>
          <w:lang w:val="hy-AM"/>
        </w:rPr>
        <w:t>Ծրագրի</w:t>
      </w:r>
      <w:r w:rsidRPr="007955BB">
        <w:rPr>
          <w:b w:val="0"/>
          <w:szCs w:val="22"/>
          <w:lang w:val="af-ZA"/>
        </w:rPr>
        <w:t xml:space="preserve"> </w:t>
      </w:r>
      <w:r w:rsidRPr="007955BB">
        <w:rPr>
          <w:b w:val="0"/>
          <w:szCs w:val="22"/>
          <w:lang w:val="hy-AM"/>
        </w:rPr>
        <w:t>շրջանակներում</w:t>
      </w:r>
      <w:r w:rsidRPr="007955BB">
        <w:rPr>
          <w:b w:val="0"/>
          <w:szCs w:val="22"/>
          <w:lang w:val="af-ZA"/>
        </w:rPr>
        <w:t xml:space="preserve"> </w:t>
      </w:r>
      <w:r w:rsidRPr="007955BB">
        <w:rPr>
          <w:b w:val="0"/>
          <w:szCs w:val="22"/>
          <w:lang w:val="hy-AM"/>
        </w:rPr>
        <w:t>նախատեսվում</w:t>
      </w:r>
      <w:r w:rsidRPr="007955BB">
        <w:rPr>
          <w:b w:val="0"/>
          <w:szCs w:val="22"/>
          <w:lang w:val="af-ZA"/>
        </w:rPr>
        <w:t xml:space="preserve"> </w:t>
      </w:r>
      <w:r w:rsidRPr="007955BB">
        <w:rPr>
          <w:b w:val="0"/>
          <w:szCs w:val="22"/>
          <w:lang w:val="hy-AM"/>
        </w:rPr>
        <w:t>է</w:t>
      </w:r>
      <w:r w:rsidRPr="007955BB">
        <w:rPr>
          <w:b w:val="0"/>
          <w:szCs w:val="22"/>
          <w:lang w:val="af-ZA"/>
        </w:rPr>
        <w:t xml:space="preserve"> </w:t>
      </w:r>
      <w:r w:rsidRPr="007955BB">
        <w:rPr>
          <w:b w:val="0"/>
          <w:szCs w:val="22"/>
          <w:lang w:val="hy-AM"/>
        </w:rPr>
        <w:t>մաքրել</w:t>
      </w:r>
      <w:r w:rsidRPr="007955BB">
        <w:rPr>
          <w:b w:val="0"/>
          <w:szCs w:val="22"/>
          <w:lang w:val="af-ZA"/>
        </w:rPr>
        <w:t xml:space="preserve"> </w:t>
      </w:r>
      <w:r w:rsidRPr="007955BB">
        <w:rPr>
          <w:b w:val="0"/>
          <w:szCs w:val="22"/>
          <w:lang w:val="hy-AM"/>
        </w:rPr>
        <w:t>և</w:t>
      </w:r>
      <w:r w:rsidRPr="007955BB">
        <w:rPr>
          <w:b w:val="0"/>
          <w:szCs w:val="22"/>
          <w:lang w:val="af-ZA"/>
        </w:rPr>
        <w:t xml:space="preserve"> </w:t>
      </w:r>
      <w:r w:rsidRPr="007955BB">
        <w:rPr>
          <w:b w:val="0"/>
          <w:szCs w:val="22"/>
          <w:lang w:val="hy-AM"/>
        </w:rPr>
        <w:t>վերանորոգել</w:t>
      </w:r>
      <w:r w:rsidRPr="007955BB">
        <w:rPr>
          <w:b w:val="0"/>
          <w:szCs w:val="22"/>
          <w:lang w:val="af-ZA"/>
        </w:rPr>
        <w:t xml:space="preserve"> 222 </w:t>
      </w:r>
      <w:r w:rsidRPr="007955BB">
        <w:rPr>
          <w:b w:val="0"/>
          <w:szCs w:val="22"/>
          <w:lang w:val="hy-AM"/>
        </w:rPr>
        <w:t>կմ</w:t>
      </w:r>
      <w:r w:rsidRPr="007955BB">
        <w:rPr>
          <w:b w:val="0"/>
          <w:szCs w:val="22"/>
          <w:lang w:val="af-ZA"/>
        </w:rPr>
        <w:t xml:space="preserve"> </w:t>
      </w:r>
      <w:r w:rsidRPr="007955BB">
        <w:rPr>
          <w:b w:val="0"/>
          <w:szCs w:val="22"/>
          <w:lang w:val="hy-AM"/>
        </w:rPr>
        <w:t>երկարությամբ</w:t>
      </w:r>
      <w:r w:rsidRPr="007955BB">
        <w:rPr>
          <w:b w:val="0"/>
          <w:szCs w:val="22"/>
          <w:lang w:val="af-ZA"/>
        </w:rPr>
        <w:t xml:space="preserve"> </w:t>
      </w:r>
      <w:r w:rsidRPr="007955BB">
        <w:rPr>
          <w:b w:val="0"/>
          <w:szCs w:val="22"/>
          <w:lang w:val="hy-AM"/>
        </w:rPr>
        <w:t>կոլեկտորադրենաժային</w:t>
      </w:r>
      <w:r w:rsidRPr="007955BB">
        <w:rPr>
          <w:b w:val="0"/>
          <w:szCs w:val="22"/>
          <w:lang w:val="af-ZA"/>
        </w:rPr>
        <w:t xml:space="preserve"> </w:t>
      </w:r>
      <w:r w:rsidRPr="007955BB">
        <w:rPr>
          <w:b w:val="0"/>
          <w:szCs w:val="22"/>
          <w:lang w:val="hy-AM"/>
        </w:rPr>
        <w:t>ցանց</w:t>
      </w:r>
      <w:r w:rsidRPr="007955BB">
        <w:rPr>
          <w:b w:val="0"/>
          <w:szCs w:val="22"/>
          <w:lang w:val="af-ZA"/>
        </w:rPr>
        <w:t>:</w:t>
      </w:r>
    </w:p>
    <w:p w:rsidR="00A4471C" w:rsidRPr="007955BB" w:rsidRDefault="00A4471C" w:rsidP="00A4471C">
      <w:pPr>
        <w:widowControl w:val="0"/>
        <w:spacing w:line="276" w:lineRule="auto"/>
        <w:rPr>
          <w:rFonts w:cs="Sylfaen"/>
          <w:b w:val="0"/>
          <w:szCs w:val="22"/>
          <w:lang w:val="af-ZA"/>
        </w:rPr>
      </w:pPr>
      <w:r w:rsidRPr="007955BB">
        <w:rPr>
          <w:rFonts w:cs="Sylfaen"/>
          <w:szCs w:val="22"/>
          <w:lang w:val="hy-AM"/>
        </w:rPr>
        <w:t>Տարածքային</w:t>
      </w:r>
      <w:r w:rsidRPr="007955BB">
        <w:rPr>
          <w:rFonts w:cs="Sylfaen"/>
          <w:szCs w:val="22"/>
          <w:lang w:val="af-ZA"/>
        </w:rPr>
        <w:t xml:space="preserve"> </w:t>
      </w:r>
      <w:r w:rsidRPr="007955BB">
        <w:rPr>
          <w:rFonts w:cs="Sylfaen"/>
          <w:szCs w:val="22"/>
          <w:lang w:val="hy-AM"/>
        </w:rPr>
        <w:t>կառավարման</w:t>
      </w:r>
      <w:r w:rsidRPr="007955BB">
        <w:rPr>
          <w:rFonts w:cs="Sylfaen"/>
          <w:szCs w:val="22"/>
          <w:lang w:val="af-ZA"/>
        </w:rPr>
        <w:t xml:space="preserve"> </w:t>
      </w:r>
      <w:r w:rsidRPr="007955BB">
        <w:rPr>
          <w:rFonts w:cs="Sylfaen"/>
          <w:szCs w:val="22"/>
          <w:lang w:val="hy-AM"/>
        </w:rPr>
        <w:t>և</w:t>
      </w:r>
      <w:r w:rsidRPr="007955BB">
        <w:rPr>
          <w:rFonts w:cs="Sylfaen"/>
          <w:szCs w:val="22"/>
          <w:lang w:val="af-ZA"/>
        </w:rPr>
        <w:t xml:space="preserve"> </w:t>
      </w:r>
      <w:r w:rsidR="00DA5AFF">
        <w:rPr>
          <w:rFonts w:cs="Sylfaen"/>
          <w:szCs w:val="22"/>
          <w:lang w:val="hy-AM"/>
        </w:rPr>
        <w:t>ՏԻՄ</w:t>
      </w:r>
      <w:r w:rsidRPr="007955BB">
        <w:rPr>
          <w:rFonts w:cs="Sylfaen"/>
          <w:szCs w:val="22"/>
          <w:lang w:val="af-ZA"/>
        </w:rPr>
        <w:t xml:space="preserve"> </w:t>
      </w:r>
      <w:r w:rsidRPr="007955BB">
        <w:rPr>
          <w:rFonts w:cs="Sylfaen"/>
          <w:szCs w:val="22"/>
          <w:lang w:val="hy-AM"/>
        </w:rPr>
        <w:t>ներկայացուցիչների</w:t>
      </w:r>
      <w:r w:rsidRPr="007955BB">
        <w:rPr>
          <w:rFonts w:cs="Sylfaen"/>
          <w:szCs w:val="22"/>
          <w:lang w:val="af-ZA"/>
        </w:rPr>
        <w:t xml:space="preserve"> </w:t>
      </w:r>
      <w:r w:rsidRPr="007955BB">
        <w:rPr>
          <w:rFonts w:cs="Sylfaen"/>
          <w:szCs w:val="22"/>
          <w:lang w:val="hy-AM"/>
        </w:rPr>
        <w:t>մասնագիտական</w:t>
      </w:r>
      <w:r w:rsidRPr="007955BB">
        <w:rPr>
          <w:rFonts w:cs="Sylfaen"/>
          <w:szCs w:val="22"/>
          <w:lang w:val="af-ZA"/>
        </w:rPr>
        <w:t xml:space="preserve"> </w:t>
      </w:r>
      <w:r w:rsidRPr="007955BB">
        <w:rPr>
          <w:rFonts w:cs="Sylfaen"/>
          <w:szCs w:val="22"/>
          <w:lang w:val="hy-AM"/>
        </w:rPr>
        <w:t>վերապատրաստում</w:t>
      </w:r>
      <w:r w:rsidRPr="007955BB">
        <w:rPr>
          <w:rFonts w:cs="Sylfaen"/>
          <w:szCs w:val="22"/>
          <w:lang w:val="af-ZA"/>
        </w:rPr>
        <w:t xml:space="preserve"> </w:t>
      </w:r>
      <w:r w:rsidRPr="007955BB">
        <w:rPr>
          <w:rFonts w:cs="Sylfaen"/>
          <w:szCs w:val="22"/>
          <w:lang w:val="hy-AM"/>
        </w:rPr>
        <w:t>և</w:t>
      </w:r>
      <w:r w:rsidRPr="007955BB">
        <w:rPr>
          <w:rFonts w:cs="Sylfaen"/>
          <w:szCs w:val="22"/>
          <w:lang w:val="af-ZA"/>
        </w:rPr>
        <w:t xml:space="preserve"> </w:t>
      </w:r>
      <w:r w:rsidRPr="007955BB">
        <w:rPr>
          <w:rFonts w:cs="Sylfaen"/>
          <w:szCs w:val="22"/>
          <w:lang w:val="hy-AM"/>
        </w:rPr>
        <w:t>հատուկ</w:t>
      </w:r>
      <w:r w:rsidRPr="007955BB">
        <w:rPr>
          <w:rFonts w:cs="Sylfaen"/>
          <w:szCs w:val="22"/>
          <w:lang w:val="af-ZA"/>
        </w:rPr>
        <w:t xml:space="preserve"> </w:t>
      </w:r>
      <w:r w:rsidRPr="007955BB">
        <w:rPr>
          <w:rFonts w:cs="Sylfaen"/>
          <w:szCs w:val="22"/>
          <w:lang w:val="hy-AM"/>
        </w:rPr>
        <w:t>ուսուցում</w:t>
      </w:r>
      <w:r w:rsidRPr="007955BB">
        <w:rPr>
          <w:rFonts w:cs="Sylfaen"/>
          <w:szCs w:val="22"/>
          <w:lang w:val="af-ZA"/>
        </w:rPr>
        <w:t xml:space="preserve"> </w:t>
      </w:r>
      <w:r w:rsidRPr="007955BB">
        <w:rPr>
          <w:b w:val="0"/>
          <w:bCs/>
          <w:iCs/>
          <w:lang w:val="hy-AM"/>
        </w:rPr>
        <w:t xml:space="preserve">ծրագրի </w:t>
      </w:r>
      <w:r w:rsidRPr="007955BB">
        <w:rPr>
          <w:rFonts w:cs="Sylfaen"/>
          <w:b w:val="0"/>
          <w:lang w:val="hy-AM"/>
        </w:rPr>
        <w:t>գծով 202</w:t>
      </w:r>
      <w:r w:rsidRPr="007955BB">
        <w:rPr>
          <w:rFonts w:cs="Sylfaen"/>
          <w:b w:val="0"/>
          <w:lang w:val="af-ZA"/>
        </w:rPr>
        <w:t>3</w:t>
      </w:r>
      <w:r w:rsidRPr="007955BB">
        <w:rPr>
          <w:rFonts w:cs="Sylfaen"/>
          <w:b w:val="0"/>
          <w:lang w:val="hy-AM"/>
        </w:rPr>
        <w:t xml:space="preserve"> թվականին  նախատեսվել է  1</w:t>
      </w:r>
      <w:r w:rsidRPr="007955BB">
        <w:rPr>
          <w:rFonts w:cs="Sylfaen"/>
          <w:b w:val="0"/>
          <w:lang w:val="af-ZA"/>
        </w:rPr>
        <w:t>4.6</w:t>
      </w:r>
      <w:r w:rsidRPr="007955BB">
        <w:rPr>
          <w:rFonts w:cs="Sylfaen"/>
          <w:b w:val="0"/>
          <w:lang w:val="hy-AM"/>
        </w:rPr>
        <w:t xml:space="preserve"> </w:t>
      </w:r>
      <w:r w:rsidRPr="007955BB">
        <w:rPr>
          <w:rFonts w:cs="GHEA Grapalat"/>
          <w:b w:val="0"/>
          <w:lang w:val="hy-AM"/>
        </w:rPr>
        <w:t>մլն</w:t>
      </w:r>
      <w:r w:rsidRPr="007955BB">
        <w:rPr>
          <w:rFonts w:cs="Sylfaen"/>
          <w:b w:val="0"/>
          <w:lang w:val="hy-AM"/>
        </w:rPr>
        <w:t xml:space="preserve"> </w:t>
      </w:r>
      <w:r w:rsidRPr="007955BB">
        <w:rPr>
          <w:rFonts w:cs="GHEA Grapalat"/>
          <w:b w:val="0"/>
          <w:lang w:val="hy-AM"/>
        </w:rPr>
        <w:t>դրամ</w:t>
      </w:r>
      <w:r w:rsidRPr="007955BB">
        <w:rPr>
          <w:b w:val="0"/>
          <w:bCs/>
          <w:iCs/>
          <w:lang w:val="hy-AM"/>
        </w:rPr>
        <w:t>.</w:t>
      </w:r>
    </w:p>
    <w:p w:rsidR="00C105C9" w:rsidRPr="0035406E" w:rsidRDefault="00C105C9" w:rsidP="00C105C9">
      <w:pPr>
        <w:widowControl w:val="0"/>
        <w:spacing w:line="276" w:lineRule="auto"/>
        <w:rPr>
          <w:rFonts w:cs="Sylfaen"/>
          <w:b w:val="0"/>
          <w:szCs w:val="22"/>
          <w:lang w:val="af-ZA"/>
        </w:rPr>
      </w:pPr>
      <w:r w:rsidRPr="00C105C9">
        <w:rPr>
          <w:rFonts w:cs="Sylfaen"/>
          <w:b w:val="0"/>
          <w:szCs w:val="22"/>
        </w:rPr>
        <w:t>Ծրագրի</w:t>
      </w:r>
      <w:r w:rsidRPr="0035406E">
        <w:rPr>
          <w:rFonts w:cs="Sylfaen"/>
          <w:b w:val="0"/>
          <w:szCs w:val="22"/>
          <w:lang w:val="af-ZA"/>
        </w:rPr>
        <w:t xml:space="preserve"> </w:t>
      </w:r>
      <w:r w:rsidRPr="00C105C9">
        <w:rPr>
          <w:rFonts w:cs="Sylfaen"/>
          <w:b w:val="0"/>
          <w:szCs w:val="22"/>
        </w:rPr>
        <w:t>նպատակն</w:t>
      </w:r>
      <w:r w:rsidRPr="0035406E">
        <w:rPr>
          <w:rFonts w:cs="Sylfaen"/>
          <w:b w:val="0"/>
          <w:szCs w:val="22"/>
          <w:lang w:val="af-ZA"/>
        </w:rPr>
        <w:t xml:space="preserve"> </w:t>
      </w:r>
      <w:r w:rsidRPr="00C105C9">
        <w:rPr>
          <w:rFonts w:cs="Sylfaen"/>
          <w:b w:val="0"/>
          <w:szCs w:val="22"/>
        </w:rPr>
        <w:t>է</w:t>
      </w:r>
      <w:r w:rsidRPr="0035406E">
        <w:rPr>
          <w:rFonts w:cs="Sylfaen"/>
          <w:b w:val="0"/>
          <w:szCs w:val="22"/>
          <w:lang w:val="af-ZA"/>
        </w:rPr>
        <w:t xml:space="preserve"> </w:t>
      </w:r>
      <w:r w:rsidRPr="00C105C9">
        <w:rPr>
          <w:rFonts w:cs="Sylfaen"/>
          <w:b w:val="0"/>
          <w:szCs w:val="22"/>
        </w:rPr>
        <w:t>տարածքային</w:t>
      </w:r>
      <w:r w:rsidRPr="0035406E">
        <w:rPr>
          <w:rFonts w:cs="Sylfaen"/>
          <w:b w:val="0"/>
          <w:szCs w:val="22"/>
          <w:lang w:val="af-ZA"/>
        </w:rPr>
        <w:t xml:space="preserve"> </w:t>
      </w:r>
      <w:r w:rsidRPr="00C105C9">
        <w:rPr>
          <w:rFonts w:cs="Sylfaen"/>
          <w:b w:val="0"/>
          <w:szCs w:val="22"/>
        </w:rPr>
        <w:t>կառավարման</w:t>
      </w:r>
      <w:r w:rsidRPr="0035406E">
        <w:rPr>
          <w:rFonts w:cs="Sylfaen"/>
          <w:b w:val="0"/>
          <w:szCs w:val="22"/>
          <w:lang w:val="af-ZA"/>
        </w:rPr>
        <w:t xml:space="preserve"> </w:t>
      </w:r>
      <w:r w:rsidRPr="00C105C9">
        <w:rPr>
          <w:rFonts w:cs="Sylfaen"/>
          <w:b w:val="0"/>
          <w:szCs w:val="22"/>
        </w:rPr>
        <w:t>և</w:t>
      </w:r>
      <w:r w:rsidRPr="0035406E">
        <w:rPr>
          <w:rFonts w:cs="Sylfaen"/>
          <w:b w:val="0"/>
          <w:szCs w:val="22"/>
          <w:lang w:val="af-ZA"/>
        </w:rPr>
        <w:t xml:space="preserve"> </w:t>
      </w:r>
      <w:r w:rsidR="00DA5AFF">
        <w:rPr>
          <w:rFonts w:cs="Sylfaen"/>
          <w:b w:val="0"/>
          <w:szCs w:val="22"/>
          <w:lang w:val="hy-AM"/>
        </w:rPr>
        <w:t>ՏԻՄ-երի</w:t>
      </w:r>
      <w:r w:rsidRPr="0035406E">
        <w:rPr>
          <w:rFonts w:cs="Sylfaen"/>
          <w:b w:val="0"/>
          <w:szCs w:val="22"/>
          <w:lang w:val="af-ZA"/>
        </w:rPr>
        <w:t xml:space="preserve">, </w:t>
      </w:r>
      <w:r w:rsidRPr="00C105C9">
        <w:rPr>
          <w:rFonts w:cs="Sylfaen"/>
          <w:b w:val="0"/>
          <w:szCs w:val="22"/>
        </w:rPr>
        <w:t>ինչպես</w:t>
      </w:r>
      <w:r w:rsidRPr="0035406E">
        <w:rPr>
          <w:rFonts w:cs="Sylfaen"/>
          <w:b w:val="0"/>
          <w:szCs w:val="22"/>
          <w:lang w:val="af-ZA"/>
        </w:rPr>
        <w:t xml:space="preserve"> </w:t>
      </w:r>
      <w:r w:rsidRPr="00C105C9">
        <w:rPr>
          <w:rFonts w:cs="Sylfaen"/>
          <w:b w:val="0"/>
          <w:szCs w:val="22"/>
        </w:rPr>
        <w:t>նաև</w:t>
      </w:r>
      <w:r w:rsidRPr="0035406E">
        <w:rPr>
          <w:rFonts w:cs="Sylfaen"/>
          <w:b w:val="0"/>
          <w:szCs w:val="22"/>
          <w:lang w:val="af-ZA"/>
        </w:rPr>
        <w:t xml:space="preserve"> </w:t>
      </w:r>
      <w:r w:rsidRPr="00C105C9">
        <w:rPr>
          <w:rFonts w:cs="Sylfaen"/>
          <w:b w:val="0"/>
          <w:szCs w:val="22"/>
        </w:rPr>
        <w:t>համայնքային</w:t>
      </w:r>
      <w:r w:rsidRPr="0035406E">
        <w:rPr>
          <w:rFonts w:cs="Sylfaen"/>
          <w:b w:val="0"/>
          <w:szCs w:val="22"/>
          <w:lang w:val="af-ZA"/>
        </w:rPr>
        <w:t xml:space="preserve"> </w:t>
      </w:r>
      <w:r w:rsidRPr="00C105C9">
        <w:rPr>
          <w:rFonts w:cs="Sylfaen"/>
          <w:b w:val="0"/>
          <w:szCs w:val="22"/>
        </w:rPr>
        <w:t>ծառայողների</w:t>
      </w:r>
      <w:r w:rsidRPr="0035406E">
        <w:rPr>
          <w:rFonts w:cs="Sylfaen"/>
          <w:b w:val="0"/>
          <w:szCs w:val="22"/>
          <w:lang w:val="af-ZA"/>
        </w:rPr>
        <w:t xml:space="preserve"> </w:t>
      </w:r>
      <w:r w:rsidRPr="00C105C9">
        <w:rPr>
          <w:rFonts w:cs="Sylfaen"/>
          <w:b w:val="0"/>
          <w:szCs w:val="22"/>
        </w:rPr>
        <w:t>աշխատանքի</w:t>
      </w:r>
      <w:r w:rsidRPr="0035406E">
        <w:rPr>
          <w:rFonts w:cs="Sylfaen"/>
          <w:b w:val="0"/>
          <w:szCs w:val="22"/>
          <w:lang w:val="af-ZA"/>
        </w:rPr>
        <w:t xml:space="preserve"> </w:t>
      </w:r>
      <w:r w:rsidRPr="00C105C9">
        <w:rPr>
          <w:rFonts w:cs="Sylfaen"/>
          <w:b w:val="0"/>
          <w:szCs w:val="22"/>
        </w:rPr>
        <w:t>արդյունավետության</w:t>
      </w:r>
      <w:r w:rsidRPr="0035406E">
        <w:rPr>
          <w:rFonts w:cs="Sylfaen"/>
          <w:b w:val="0"/>
          <w:szCs w:val="22"/>
          <w:lang w:val="af-ZA"/>
        </w:rPr>
        <w:t xml:space="preserve"> </w:t>
      </w:r>
      <w:r w:rsidRPr="00C105C9">
        <w:rPr>
          <w:rFonts w:cs="Sylfaen"/>
          <w:b w:val="0"/>
          <w:szCs w:val="22"/>
        </w:rPr>
        <w:t>բարելավումը</w:t>
      </w:r>
      <w:r w:rsidRPr="0035406E">
        <w:rPr>
          <w:rFonts w:cs="Sylfaen"/>
          <w:b w:val="0"/>
          <w:szCs w:val="22"/>
          <w:lang w:val="af-ZA"/>
        </w:rPr>
        <w:t>:</w:t>
      </w:r>
    </w:p>
    <w:p w:rsidR="00A4471C" w:rsidRPr="007955BB" w:rsidRDefault="00A4471C" w:rsidP="00A4471C">
      <w:pPr>
        <w:widowControl w:val="0"/>
        <w:spacing w:line="276" w:lineRule="auto"/>
        <w:rPr>
          <w:rFonts w:cs="Sylfaen"/>
          <w:b w:val="0"/>
          <w:szCs w:val="22"/>
          <w:lang w:val="af-ZA"/>
        </w:rPr>
      </w:pPr>
      <w:r w:rsidRPr="007955BB">
        <w:rPr>
          <w:rFonts w:cs="Sylfaen"/>
          <w:b w:val="0"/>
          <w:szCs w:val="22"/>
        </w:rPr>
        <w:t>Միջոցառմամբ</w:t>
      </w:r>
      <w:r w:rsidRPr="0035406E">
        <w:rPr>
          <w:rFonts w:cs="Sylfaen"/>
          <w:b w:val="0"/>
          <w:szCs w:val="22"/>
          <w:lang w:val="af-ZA"/>
        </w:rPr>
        <w:t xml:space="preserve"> </w:t>
      </w:r>
      <w:r w:rsidRPr="007955BB">
        <w:rPr>
          <w:rFonts w:cs="Sylfaen"/>
          <w:b w:val="0"/>
          <w:szCs w:val="22"/>
        </w:rPr>
        <w:t>նախատեսվում</w:t>
      </w:r>
      <w:r w:rsidRPr="0035406E">
        <w:rPr>
          <w:rFonts w:cs="Sylfaen"/>
          <w:b w:val="0"/>
          <w:szCs w:val="22"/>
          <w:lang w:val="af-ZA"/>
        </w:rPr>
        <w:t xml:space="preserve"> </w:t>
      </w:r>
      <w:r w:rsidRPr="007955BB">
        <w:rPr>
          <w:rFonts w:cs="Sylfaen"/>
          <w:b w:val="0"/>
          <w:szCs w:val="22"/>
        </w:rPr>
        <w:t>է</w:t>
      </w:r>
      <w:r w:rsidRPr="0035406E">
        <w:rPr>
          <w:rFonts w:cs="Sylfaen"/>
          <w:b w:val="0"/>
          <w:szCs w:val="22"/>
          <w:lang w:val="af-ZA"/>
        </w:rPr>
        <w:t xml:space="preserve"> </w:t>
      </w:r>
      <w:r w:rsidRPr="007955BB">
        <w:rPr>
          <w:rFonts w:cs="Sylfaen"/>
          <w:b w:val="0"/>
          <w:szCs w:val="22"/>
        </w:rPr>
        <w:t>իրականացնել</w:t>
      </w:r>
      <w:r w:rsidRPr="0035406E">
        <w:rPr>
          <w:rFonts w:cs="Sylfaen"/>
          <w:b w:val="0"/>
          <w:szCs w:val="22"/>
          <w:lang w:val="af-ZA"/>
        </w:rPr>
        <w:t xml:space="preserve"> </w:t>
      </w:r>
      <w:r w:rsidRPr="007955BB">
        <w:rPr>
          <w:rFonts w:cs="Sylfaen"/>
          <w:b w:val="0"/>
          <w:szCs w:val="22"/>
        </w:rPr>
        <w:t>համայնքային</w:t>
      </w:r>
      <w:r w:rsidRPr="0035406E">
        <w:rPr>
          <w:rFonts w:cs="Sylfaen"/>
          <w:b w:val="0"/>
          <w:szCs w:val="22"/>
          <w:lang w:val="af-ZA"/>
        </w:rPr>
        <w:t xml:space="preserve"> </w:t>
      </w:r>
      <w:r w:rsidRPr="007955BB">
        <w:rPr>
          <w:rFonts w:cs="Sylfaen"/>
          <w:b w:val="0"/>
          <w:szCs w:val="22"/>
        </w:rPr>
        <w:t>ծառայողների</w:t>
      </w:r>
      <w:r w:rsidRPr="0035406E">
        <w:rPr>
          <w:rFonts w:cs="Sylfaen"/>
          <w:b w:val="0"/>
          <w:szCs w:val="22"/>
          <w:lang w:val="af-ZA"/>
        </w:rPr>
        <w:t xml:space="preserve">, </w:t>
      </w:r>
      <w:r w:rsidRPr="007955BB">
        <w:rPr>
          <w:rFonts w:cs="Sylfaen"/>
          <w:b w:val="0"/>
          <w:szCs w:val="22"/>
        </w:rPr>
        <w:t>տեղական</w:t>
      </w:r>
      <w:r w:rsidRPr="0035406E">
        <w:rPr>
          <w:rFonts w:cs="Sylfaen"/>
          <w:b w:val="0"/>
          <w:szCs w:val="22"/>
          <w:lang w:val="af-ZA"/>
        </w:rPr>
        <w:t xml:space="preserve"> </w:t>
      </w:r>
      <w:r w:rsidRPr="007955BB">
        <w:rPr>
          <w:rFonts w:cs="Sylfaen"/>
          <w:b w:val="0"/>
          <w:szCs w:val="22"/>
        </w:rPr>
        <w:t>ինքնակառավարման</w:t>
      </w:r>
      <w:r w:rsidRPr="007955BB">
        <w:rPr>
          <w:rFonts w:cs="Sylfaen"/>
          <w:b w:val="0"/>
          <w:szCs w:val="22"/>
          <w:lang w:val="af-ZA"/>
        </w:rPr>
        <w:t xml:space="preserve"> </w:t>
      </w:r>
      <w:r w:rsidRPr="007955BB">
        <w:rPr>
          <w:rFonts w:cs="Sylfaen"/>
          <w:b w:val="0"/>
          <w:szCs w:val="22"/>
        </w:rPr>
        <w:t>և</w:t>
      </w:r>
      <w:r w:rsidRPr="007955BB">
        <w:rPr>
          <w:rFonts w:cs="Sylfaen"/>
          <w:b w:val="0"/>
          <w:szCs w:val="22"/>
          <w:lang w:val="af-ZA"/>
        </w:rPr>
        <w:t xml:space="preserve"> </w:t>
      </w:r>
      <w:r w:rsidRPr="007955BB">
        <w:rPr>
          <w:rFonts w:cs="Sylfaen"/>
          <w:b w:val="0"/>
          <w:szCs w:val="22"/>
        </w:rPr>
        <w:t>տարածքային</w:t>
      </w:r>
      <w:r w:rsidRPr="007955BB">
        <w:rPr>
          <w:rFonts w:cs="Sylfaen"/>
          <w:b w:val="0"/>
          <w:szCs w:val="22"/>
          <w:lang w:val="af-ZA"/>
        </w:rPr>
        <w:t xml:space="preserve"> </w:t>
      </w:r>
      <w:r w:rsidRPr="007955BB">
        <w:rPr>
          <w:rFonts w:cs="Sylfaen"/>
          <w:b w:val="0"/>
          <w:szCs w:val="22"/>
        </w:rPr>
        <w:t>կառավարման</w:t>
      </w:r>
      <w:r w:rsidRPr="007955BB">
        <w:rPr>
          <w:rFonts w:cs="Sylfaen"/>
          <w:b w:val="0"/>
          <w:szCs w:val="22"/>
          <w:lang w:val="af-ZA"/>
        </w:rPr>
        <w:t xml:space="preserve"> </w:t>
      </w:r>
      <w:r w:rsidRPr="007955BB">
        <w:rPr>
          <w:rFonts w:cs="Sylfaen"/>
          <w:b w:val="0"/>
          <w:szCs w:val="22"/>
        </w:rPr>
        <w:t>մարմիններ</w:t>
      </w:r>
      <w:r w:rsidRPr="007955BB">
        <w:rPr>
          <w:rFonts w:cs="Sylfaen"/>
          <w:b w:val="0"/>
          <w:szCs w:val="22"/>
          <w:lang w:val="af-ZA"/>
        </w:rPr>
        <w:t xml:space="preserve"> 1050 </w:t>
      </w:r>
      <w:r w:rsidRPr="007955BB">
        <w:rPr>
          <w:rFonts w:cs="Sylfaen"/>
          <w:b w:val="0"/>
          <w:szCs w:val="22"/>
        </w:rPr>
        <w:t>աշխատակիցների</w:t>
      </w:r>
      <w:r w:rsidRPr="007955BB">
        <w:rPr>
          <w:rFonts w:cs="Sylfaen"/>
          <w:b w:val="0"/>
          <w:szCs w:val="22"/>
          <w:lang w:val="af-ZA"/>
        </w:rPr>
        <w:t xml:space="preserve"> </w:t>
      </w:r>
      <w:r w:rsidRPr="007955BB">
        <w:rPr>
          <w:rFonts w:cs="Sylfaen"/>
          <w:b w:val="0"/>
          <w:szCs w:val="22"/>
        </w:rPr>
        <w:t>վերապատրաստում</w:t>
      </w:r>
      <w:r w:rsidRPr="007955BB">
        <w:rPr>
          <w:rFonts w:cs="Sylfaen"/>
          <w:b w:val="0"/>
          <w:szCs w:val="22"/>
          <w:lang w:val="af-ZA"/>
        </w:rPr>
        <w:t>:</w:t>
      </w:r>
    </w:p>
    <w:p w:rsidR="00A4471C" w:rsidRPr="007955BB" w:rsidRDefault="00A4471C" w:rsidP="00A4471C">
      <w:pPr>
        <w:widowControl w:val="0"/>
        <w:shd w:val="clear" w:color="auto" w:fill="FFFFFF"/>
        <w:spacing w:line="276" w:lineRule="auto"/>
        <w:rPr>
          <w:rFonts w:cs="Sylfaen"/>
          <w:b w:val="0"/>
          <w:color w:val="000000"/>
          <w:szCs w:val="22"/>
          <w:lang w:val="af-ZA"/>
        </w:rPr>
      </w:pPr>
      <w:r w:rsidRPr="007955BB">
        <w:rPr>
          <w:rFonts w:cs="Sylfaen"/>
          <w:color w:val="000000"/>
          <w:szCs w:val="22"/>
          <w:lang w:val="hy-AM"/>
        </w:rPr>
        <w:t xml:space="preserve">Կոշտ թափոնների կառավարում </w:t>
      </w:r>
      <w:r w:rsidRPr="007955BB">
        <w:rPr>
          <w:b w:val="0"/>
          <w:bCs/>
          <w:iCs/>
          <w:color w:val="000000"/>
          <w:lang w:val="hy-AM"/>
        </w:rPr>
        <w:t xml:space="preserve">ծրագրի </w:t>
      </w:r>
      <w:r w:rsidRPr="007955BB">
        <w:rPr>
          <w:rFonts w:cs="Sylfaen"/>
          <w:b w:val="0"/>
          <w:color w:val="000000"/>
          <w:lang w:val="hy-AM"/>
        </w:rPr>
        <w:t>գծով 202</w:t>
      </w:r>
      <w:r w:rsidRPr="007955BB">
        <w:rPr>
          <w:rFonts w:cs="Sylfaen"/>
          <w:b w:val="0"/>
          <w:color w:val="000000"/>
          <w:lang w:val="af-ZA"/>
        </w:rPr>
        <w:t>3</w:t>
      </w:r>
      <w:r w:rsidRPr="007955BB">
        <w:rPr>
          <w:rFonts w:cs="Sylfaen"/>
          <w:b w:val="0"/>
          <w:color w:val="000000"/>
          <w:lang w:val="hy-AM"/>
        </w:rPr>
        <w:t xml:space="preserve"> թվականին  նախատեսվել է 2,</w:t>
      </w:r>
      <w:r w:rsidR="000A7082" w:rsidRPr="000A7082">
        <w:rPr>
          <w:rFonts w:cs="Sylfaen"/>
          <w:b w:val="0"/>
          <w:color w:val="000000"/>
          <w:lang w:val="af-ZA"/>
        </w:rPr>
        <w:t>433</w:t>
      </w:r>
      <w:r w:rsidRPr="007955BB">
        <w:rPr>
          <w:rFonts w:cs="Sylfaen"/>
          <w:b w:val="0"/>
          <w:color w:val="000000"/>
          <w:lang w:val="hy-AM"/>
        </w:rPr>
        <w:t>.</w:t>
      </w:r>
      <w:r w:rsidR="000A7082" w:rsidRPr="000A7082">
        <w:rPr>
          <w:rFonts w:cs="Sylfaen"/>
          <w:b w:val="0"/>
          <w:color w:val="000000"/>
          <w:lang w:val="af-ZA"/>
        </w:rPr>
        <w:t>4</w:t>
      </w:r>
      <w:r w:rsidRPr="007955BB">
        <w:rPr>
          <w:rFonts w:cs="Sylfaen"/>
          <w:b w:val="0"/>
          <w:color w:val="000000"/>
          <w:lang w:val="hy-AM"/>
        </w:rPr>
        <w:t xml:space="preserve"> մլն </w:t>
      </w:r>
      <w:r w:rsidRPr="007955BB">
        <w:rPr>
          <w:rFonts w:cs="GHEA Grapalat"/>
          <w:b w:val="0"/>
          <w:color w:val="000000"/>
          <w:lang w:val="hy-AM"/>
        </w:rPr>
        <w:t>դրամ</w:t>
      </w:r>
      <w:r w:rsidRPr="007955BB">
        <w:rPr>
          <w:b w:val="0"/>
          <w:bCs/>
          <w:iCs/>
          <w:color w:val="000000"/>
          <w:lang w:val="hy-AM"/>
        </w:rPr>
        <w:t>.</w:t>
      </w:r>
    </w:p>
    <w:p w:rsidR="00A4471C" w:rsidRPr="007955BB" w:rsidRDefault="00A4471C" w:rsidP="00A4471C">
      <w:pPr>
        <w:widowControl w:val="0"/>
        <w:shd w:val="clear" w:color="auto" w:fill="FFFFFF"/>
        <w:spacing w:line="276" w:lineRule="auto"/>
        <w:rPr>
          <w:rFonts w:cs="Sylfaen"/>
          <w:b w:val="0"/>
          <w:color w:val="000000"/>
          <w:lang w:val="hy-AM"/>
        </w:rPr>
      </w:pPr>
      <w:r w:rsidRPr="007955BB">
        <w:rPr>
          <w:rFonts w:cs="Sylfaen"/>
          <w:b w:val="0"/>
          <w:color w:val="000000"/>
          <w:szCs w:val="22"/>
        </w:rPr>
        <w:t>Ծրագրի</w:t>
      </w:r>
      <w:r w:rsidRPr="007955BB">
        <w:rPr>
          <w:rFonts w:cs="Sylfaen"/>
          <w:b w:val="0"/>
          <w:color w:val="000000"/>
          <w:szCs w:val="22"/>
          <w:lang w:val="af-ZA"/>
        </w:rPr>
        <w:t xml:space="preserve"> </w:t>
      </w:r>
      <w:r w:rsidRPr="007955BB">
        <w:rPr>
          <w:rFonts w:cs="Sylfaen"/>
          <w:b w:val="0"/>
          <w:color w:val="000000"/>
          <w:szCs w:val="22"/>
        </w:rPr>
        <w:t>նպատակն</w:t>
      </w:r>
      <w:r w:rsidRPr="007955BB">
        <w:rPr>
          <w:rFonts w:cs="Sylfaen"/>
          <w:b w:val="0"/>
          <w:color w:val="000000"/>
          <w:szCs w:val="22"/>
          <w:lang w:val="af-ZA"/>
        </w:rPr>
        <w:t xml:space="preserve"> </w:t>
      </w:r>
      <w:r w:rsidRPr="007955BB">
        <w:rPr>
          <w:rFonts w:cs="Sylfaen"/>
          <w:b w:val="0"/>
          <w:color w:val="000000"/>
          <w:szCs w:val="22"/>
        </w:rPr>
        <w:t>է</w:t>
      </w:r>
      <w:r w:rsidRPr="007955BB">
        <w:rPr>
          <w:rFonts w:cs="Sylfaen"/>
          <w:b w:val="0"/>
          <w:color w:val="000000"/>
          <w:szCs w:val="22"/>
          <w:lang w:val="af-ZA"/>
        </w:rPr>
        <w:t xml:space="preserve"> </w:t>
      </w:r>
      <w:r w:rsidRPr="007955BB">
        <w:rPr>
          <w:rFonts w:cs="Sylfaen"/>
          <w:b w:val="0"/>
          <w:color w:val="000000"/>
          <w:szCs w:val="22"/>
        </w:rPr>
        <w:t>կենցաղային</w:t>
      </w:r>
      <w:r w:rsidRPr="007955BB">
        <w:rPr>
          <w:rFonts w:cs="Sylfaen"/>
          <w:b w:val="0"/>
          <w:color w:val="000000"/>
          <w:szCs w:val="22"/>
          <w:lang w:val="af-ZA"/>
        </w:rPr>
        <w:t xml:space="preserve"> </w:t>
      </w:r>
      <w:r w:rsidRPr="007955BB">
        <w:rPr>
          <w:rFonts w:cs="Sylfaen"/>
          <w:b w:val="0"/>
          <w:color w:val="000000"/>
          <w:szCs w:val="22"/>
        </w:rPr>
        <w:t>թափոնների</w:t>
      </w:r>
      <w:r w:rsidRPr="007955BB">
        <w:rPr>
          <w:rFonts w:cs="Sylfaen"/>
          <w:b w:val="0"/>
          <w:color w:val="000000"/>
          <w:szCs w:val="22"/>
          <w:lang w:val="af-ZA"/>
        </w:rPr>
        <w:t xml:space="preserve"> </w:t>
      </w:r>
      <w:r w:rsidRPr="007955BB">
        <w:rPr>
          <w:rFonts w:cs="Sylfaen"/>
          <w:b w:val="0"/>
          <w:color w:val="000000"/>
          <w:szCs w:val="22"/>
        </w:rPr>
        <w:t>արդյունավետ</w:t>
      </w:r>
      <w:r w:rsidRPr="007955BB">
        <w:rPr>
          <w:rFonts w:cs="Sylfaen"/>
          <w:b w:val="0"/>
          <w:color w:val="000000"/>
          <w:szCs w:val="22"/>
          <w:lang w:val="af-ZA"/>
        </w:rPr>
        <w:t xml:space="preserve"> </w:t>
      </w:r>
      <w:r w:rsidRPr="007955BB">
        <w:rPr>
          <w:rFonts w:cs="Sylfaen"/>
          <w:b w:val="0"/>
          <w:color w:val="000000"/>
          <w:szCs w:val="22"/>
        </w:rPr>
        <w:t>կառավարումը</w:t>
      </w:r>
      <w:r w:rsidRPr="007955BB">
        <w:rPr>
          <w:rFonts w:cs="Sylfaen"/>
          <w:b w:val="0"/>
          <w:color w:val="000000"/>
          <w:szCs w:val="22"/>
          <w:lang w:val="af-ZA"/>
        </w:rPr>
        <w:t xml:space="preserve">, </w:t>
      </w:r>
      <w:r w:rsidRPr="007955BB">
        <w:rPr>
          <w:rFonts w:cs="Sylfaen"/>
          <w:b w:val="0"/>
          <w:color w:val="000000"/>
          <w:szCs w:val="22"/>
        </w:rPr>
        <w:t>սոցիալական</w:t>
      </w:r>
      <w:r w:rsidRPr="007955BB">
        <w:rPr>
          <w:rFonts w:cs="Sylfaen"/>
          <w:b w:val="0"/>
          <w:color w:val="000000"/>
          <w:szCs w:val="22"/>
          <w:lang w:val="af-ZA"/>
        </w:rPr>
        <w:t xml:space="preserve"> </w:t>
      </w:r>
      <w:r w:rsidRPr="007955BB">
        <w:rPr>
          <w:rFonts w:cs="Sylfaen"/>
          <w:b w:val="0"/>
          <w:color w:val="000000"/>
          <w:szCs w:val="22"/>
        </w:rPr>
        <w:t>և</w:t>
      </w:r>
      <w:r w:rsidRPr="007955BB">
        <w:rPr>
          <w:rFonts w:cs="Sylfaen"/>
          <w:b w:val="0"/>
          <w:color w:val="000000"/>
          <w:szCs w:val="22"/>
          <w:lang w:val="af-ZA"/>
        </w:rPr>
        <w:t xml:space="preserve"> </w:t>
      </w:r>
      <w:r w:rsidRPr="007955BB">
        <w:rPr>
          <w:rFonts w:cs="Sylfaen"/>
          <w:b w:val="0"/>
          <w:color w:val="000000"/>
          <w:szCs w:val="22"/>
        </w:rPr>
        <w:t>բնապահպանական</w:t>
      </w:r>
      <w:r w:rsidRPr="007955BB">
        <w:rPr>
          <w:rFonts w:cs="Sylfaen"/>
          <w:b w:val="0"/>
          <w:color w:val="000000"/>
          <w:szCs w:val="22"/>
          <w:lang w:val="af-ZA"/>
        </w:rPr>
        <w:t xml:space="preserve"> </w:t>
      </w:r>
      <w:r w:rsidRPr="007955BB">
        <w:rPr>
          <w:rFonts w:cs="Sylfaen"/>
          <w:b w:val="0"/>
          <w:color w:val="000000"/>
          <w:szCs w:val="22"/>
        </w:rPr>
        <w:t>խնդիրների</w:t>
      </w:r>
      <w:r w:rsidRPr="007955BB">
        <w:rPr>
          <w:rFonts w:cs="Sylfaen"/>
          <w:b w:val="0"/>
          <w:color w:val="000000"/>
          <w:szCs w:val="22"/>
          <w:lang w:val="af-ZA"/>
        </w:rPr>
        <w:t xml:space="preserve"> </w:t>
      </w:r>
      <w:r w:rsidRPr="007955BB">
        <w:rPr>
          <w:rFonts w:cs="Sylfaen"/>
          <w:b w:val="0"/>
          <w:color w:val="000000"/>
          <w:szCs w:val="22"/>
        </w:rPr>
        <w:t>լուծումը</w:t>
      </w:r>
      <w:r w:rsidRPr="007955BB">
        <w:rPr>
          <w:rFonts w:cs="Sylfaen"/>
          <w:b w:val="0"/>
          <w:color w:val="000000"/>
          <w:szCs w:val="22"/>
          <w:lang w:val="hy-AM"/>
        </w:rPr>
        <w:t xml:space="preserve">, մասնավորապես </w:t>
      </w:r>
      <w:r w:rsidRPr="007955BB">
        <w:rPr>
          <w:rFonts w:cs="Sylfaen"/>
          <w:b w:val="0"/>
          <w:color w:val="000000"/>
          <w:lang w:val="hy-AM"/>
        </w:rPr>
        <w:t xml:space="preserve">բարելավել հանրապետությունում աղբահանության և սանիտարական մաքրման համակարգը,  ինչպես նաև նպաստել հանրապետությունում </w:t>
      </w:r>
      <w:r w:rsidR="00D35F72">
        <w:rPr>
          <w:rFonts w:cs="Sylfaen"/>
          <w:b w:val="0"/>
          <w:color w:val="000000"/>
          <w:lang w:val="hy-AM"/>
        </w:rPr>
        <w:t>ԿԿԹ-</w:t>
      </w:r>
      <w:r w:rsidRPr="007955BB">
        <w:rPr>
          <w:rFonts w:cs="Sylfaen"/>
          <w:b w:val="0"/>
          <w:color w:val="000000"/>
          <w:lang w:val="hy-AM"/>
        </w:rPr>
        <w:t>ի արդյունավետ կառավարմանը:</w:t>
      </w:r>
    </w:p>
    <w:p w:rsidR="00A4471C" w:rsidRPr="007955BB" w:rsidRDefault="00A4471C" w:rsidP="00A4471C">
      <w:pPr>
        <w:widowControl w:val="0"/>
        <w:shd w:val="clear" w:color="auto" w:fill="FFFFFF"/>
        <w:spacing w:line="276" w:lineRule="auto"/>
        <w:rPr>
          <w:b w:val="0"/>
          <w:color w:val="000000"/>
          <w:lang w:val="hy-AM"/>
        </w:rPr>
      </w:pPr>
      <w:r w:rsidRPr="007955BB">
        <w:rPr>
          <w:b w:val="0"/>
          <w:bCs/>
          <w:color w:val="000000"/>
          <w:lang w:val="hy-AM"/>
        </w:rPr>
        <w:t xml:space="preserve">Ծրագրով նախատեսվում է բարելավել 2 մարզերի աղբահանության համակարգը և կառուցել ԵՄ չափանիշներին համապատասխան աղբավայր Հրազդան քաղաքում, ինչպես նաև </w:t>
      </w:r>
      <w:r w:rsidRPr="007955BB">
        <w:rPr>
          <w:b w:val="0"/>
          <w:color w:val="000000"/>
          <w:lang w:val="hy-AM"/>
        </w:rPr>
        <w:t xml:space="preserve">երկու մարզերում ներդնել ԵՄ չափանիշներին համապատասխան աղբահանության համակարգ, այդ թվում կառուցել 2 փոխաբեռնման կայան՝ Ակունք և Մարտունի համայնքներում, ձեռք բերել անհրաժեշտ տեխնիկա, աղբատար մեքենաներ,  աղբամաններ։ </w:t>
      </w:r>
    </w:p>
    <w:p w:rsidR="00A4471C" w:rsidRPr="007955BB" w:rsidRDefault="00A4471C" w:rsidP="00A4471C">
      <w:pPr>
        <w:widowControl w:val="0"/>
        <w:shd w:val="clear" w:color="auto" w:fill="FFFFFF"/>
        <w:spacing w:line="276" w:lineRule="auto"/>
        <w:rPr>
          <w:rFonts w:eastAsia="Calibri"/>
          <w:b w:val="0"/>
          <w:color w:val="000000"/>
          <w:szCs w:val="22"/>
          <w:lang w:val="hy-AM" w:eastAsia="en-US"/>
        </w:rPr>
      </w:pPr>
      <w:r w:rsidRPr="007955BB">
        <w:rPr>
          <w:b w:val="0"/>
          <w:color w:val="000000"/>
          <w:lang w:val="hy-AM"/>
        </w:rPr>
        <w:t xml:space="preserve">Միաժամանակ միջազգային կազմակերպությունների կողմից վարկային և դրամաշնորհային միջոցների ֆինանսավորմամբ (քննարկման փուլում է) </w:t>
      </w:r>
      <w:r w:rsidRPr="007955BB">
        <w:rPr>
          <w:rFonts w:eastAsia="Calibri"/>
          <w:b w:val="0"/>
          <w:color w:val="000000"/>
          <w:szCs w:val="22"/>
          <w:lang w:val="hy-AM" w:eastAsia="en-US"/>
        </w:rPr>
        <w:t>նախատեսվում է 8 մարզերի աղբահանության և կոշտ թափոնների ինտեգրված համակարգի (4 սանիտարական աղբավայր, 16 փոխբեռնման կայան</w:t>
      </w:r>
      <w:r w:rsidRPr="007955BB">
        <w:rPr>
          <w:rFonts w:ascii="Calibri" w:eastAsia="Calibri" w:hAnsi="Calibri" w:cs="Calibri"/>
          <w:b w:val="0"/>
          <w:color w:val="000000"/>
          <w:szCs w:val="22"/>
          <w:lang w:val="hy-AM" w:eastAsia="en-US"/>
        </w:rPr>
        <w:t xml:space="preserve">) </w:t>
      </w:r>
      <w:r w:rsidRPr="007955BB">
        <w:rPr>
          <w:rFonts w:eastAsia="Calibri"/>
          <w:b w:val="0"/>
          <w:color w:val="000000"/>
          <w:szCs w:val="22"/>
          <w:lang w:val="hy-AM" w:eastAsia="en-US"/>
        </w:rPr>
        <w:t>ներդրման ծրագիր</w:t>
      </w:r>
    </w:p>
    <w:p w:rsidR="00A4471C" w:rsidRPr="007955BB" w:rsidRDefault="00A4471C" w:rsidP="00A4471C">
      <w:pPr>
        <w:widowControl w:val="0"/>
        <w:spacing w:line="276" w:lineRule="auto"/>
        <w:rPr>
          <w:rFonts w:cs="Sylfaen"/>
          <w:b w:val="0"/>
          <w:szCs w:val="22"/>
          <w:lang w:val="af-ZA"/>
        </w:rPr>
      </w:pPr>
      <w:r w:rsidRPr="007955BB">
        <w:rPr>
          <w:rFonts w:cs="Sylfaen"/>
          <w:szCs w:val="22"/>
          <w:lang w:val="hy-AM"/>
        </w:rPr>
        <w:t>Ճանապարհային</w:t>
      </w:r>
      <w:r w:rsidRPr="007955BB">
        <w:rPr>
          <w:rFonts w:cs="Sylfaen"/>
          <w:szCs w:val="22"/>
          <w:lang w:val="af-ZA"/>
        </w:rPr>
        <w:t xml:space="preserve"> </w:t>
      </w:r>
      <w:r w:rsidRPr="007955BB">
        <w:rPr>
          <w:rFonts w:cs="Sylfaen"/>
          <w:szCs w:val="22"/>
          <w:lang w:val="hy-AM"/>
        </w:rPr>
        <w:t>ցանցի</w:t>
      </w:r>
      <w:r w:rsidRPr="007955BB">
        <w:rPr>
          <w:rFonts w:cs="Sylfaen"/>
          <w:szCs w:val="22"/>
          <w:lang w:val="af-ZA"/>
        </w:rPr>
        <w:t xml:space="preserve"> </w:t>
      </w:r>
      <w:r w:rsidRPr="007955BB">
        <w:rPr>
          <w:rFonts w:cs="Sylfaen"/>
          <w:szCs w:val="22"/>
          <w:lang w:val="hy-AM"/>
        </w:rPr>
        <w:t>բարելավում</w:t>
      </w:r>
      <w:r w:rsidRPr="007955BB">
        <w:rPr>
          <w:rFonts w:cs="Sylfaen"/>
          <w:szCs w:val="22"/>
          <w:lang w:val="af-ZA"/>
        </w:rPr>
        <w:t xml:space="preserve"> </w:t>
      </w:r>
      <w:r w:rsidRPr="007955BB">
        <w:rPr>
          <w:b w:val="0"/>
          <w:bCs/>
          <w:iCs/>
          <w:lang w:val="hy-AM"/>
        </w:rPr>
        <w:t xml:space="preserve">ծրագրի </w:t>
      </w:r>
      <w:r w:rsidRPr="007955BB">
        <w:rPr>
          <w:rFonts w:cs="Sylfaen"/>
          <w:b w:val="0"/>
          <w:lang w:val="hy-AM"/>
        </w:rPr>
        <w:t>գծով 2023 թվականին նախատեսվել է  11</w:t>
      </w:r>
      <w:r w:rsidR="000A7082" w:rsidRPr="000A7082">
        <w:rPr>
          <w:rFonts w:cs="Sylfaen"/>
          <w:b w:val="0"/>
          <w:lang w:val="hy-AM"/>
        </w:rPr>
        <w:t>6</w:t>
      </w:r>
      <w:r w:rsidRPr="007955BB">
        <w:rPr>
          <w:rFonts w:cs="Sylfaen"/>
          <w:b w:val="0"/>
          <w:lang w:val="hy-AM"/>
        </w:rPr>
        <w:t>,</w:t>
      </w:r>
      <w:r w:rsidR="000A7082" w:rsidRPr="000A7082">
        <w:rPr>
          <w:rFonts w:cs="Sylfaen"/>
          <w:b w:val="0"/>
          <w:lang w:val="hy-AM"/>
        </w:rPr>
        <w:t>6</w:t>
      </w:r>
      <w:r w:rsidR="00DC0F55" w:rsidRPr="00517894">
        <w:rPr>
          <w:rFonts w:cs="Sylfaen"/>
          <w:b w:val="0"/>
          <w:lang w:val="hy-AM"/>
        </w:rPr>
        <w:t>63</w:t>
      </w:r>
      <w:r w:rsidRPr="007955BB">
        <w:rPr>
          <w:rFonts w:cs="Sylfaen"/>
          <w:b w:val="0"/>
          <w:lang w:val="hy-AM"/>
        </w:rPr>
        <w:t>.</w:t>
      </w:r>
      <w:r w:rsidR="00DC0F55" w:rsidRPr="00517894">
        <w:rPr>
          <w:rFonts w:cs="Sylfaen"/>
          <w:b w:val="0"/>
          <w:lang w:val="hy-AM"/>
        </w:rPr>
        <w:t>5</w:t>
      </w:r>
      <w:r w:rsidRPr="007955BB">
        <w:rPr>
          <w:rFonts w:cs="Sylfaen"/>
          <w:b w:val="0"/>
          <w:lang w:val="hy-AM"/>
        </w:rPr>
        <w:t xml:space="preserve"> մլն </w:t>
      </w:r>
      <w:r w:rsidRPr="007955BB">
        <w:rPr>
          <w:rFonts w:cs="GHEA Grapalat"/>
          <w:b w:val="0"/>
          <w:lang w:val="hy-AM"/>
        </w:rPr>
        <w:t>դրամ</w:t>
      </w:r>
      <w:r w:rsidRPr="007955BB">
        <w:rPr>
          <w:b w:val="0"/>
          <w:bCs/>
          <w:iCs/>
          <w:lang w:val="hy-AM"/>
        </w:rPr>
        <w:t>.</w:t>
      </w:r>
    </w:p>
    <w:p w:rsidR="00A4471C" w:rsidRPr="007955BB" w:rsidRDefault="00A4471C" w:rsidP="00A4471C">
      <w:pPr>
        <w:widowControl w:val="0"/>
        <w:spacing w:line="276" w:lineRule="auto"/>
        <w:rPr>
          <w:rFonts w:cs="Sylfaen"/>
          <w:b w:val="0"/>
          <w:szCs w:val="22"/>
          <w:lang w:val="af-ZA"/>
        </w:rPr>
      </w:pPr>
      <w:r w:rsidRPr="007955BB">
        <w:rPr>
          <w:rFonts w:cs="Sylfaen"/>
          <w:b w:val="0"/>
          <w:szCs w:val="22"/>
          <w:lang w:val="hy-AM"/>
        </w:rPr>
        <w:t>Ծրագրի</w:t>
      </w:r>
      <w:r w:rsidRPr="007955BB">
        <w:rPr>
          <w:rFonts w:cs="Sylfaen"/>
          <w:b w:val="0"/>
          <w:szCs w:val="22"/>
          <w:lang w:val="af-ZA"/>
        </w:rPr>
        <w:t xml:space="preserve"> </w:t>
      </w:r>
      <w:r w:rsidRPr="007955BB">
        <w:rPr>
          <w:rFonts w:cs="Sylfaen"/>
          <w:b w:val="0"/>
          <w:szCs w:val="22"/>
          <w:lang w:val="hy-AM"/>
        </w:rPr>
        <w:t>նպատակն</w:t>
      </w:r>
      <w:r w:rsidRPr="007955BB">
        <w:rPr>
          <w:rFonts w:cs="Sylfaen"/>
          <w:b w:val="0"/>
          <w:szCs w:val="22"/>
          <w:lang w:val="af-ZA"/>
        </w:rPr>
        <w:t xml:space="preserve"> </w:t>
      </w:r>
      <w:r w:rsidRPr="007955BB">
        <w:rPr>
          <w:rFonts w:cs="Sylfaen"/>
          <w:b w:val="0"/>
          <w:szCs w:val="22"/>
          <w:lang w:val="hy-AM"/>
        </w:rPr>
        <w:t>է</w:t>
      </w:r>
      <w:r w:rsidRPr="007955BB">
        <w:rPr>
          <w:rFonts w:cs="Sylfaen"/>
          <w:b w:val="0"/>
          <w:szCs w:val="22"/>
          <w:lang w:val="af-ZA"/>
        </w:rPr>
        <w:t xml:space="preserve"> </w:t>
      </w:r>
      <w:r w:rsidRPr="007955BB">
        <w:rPr>
          <w:rFonts w:cs="Sylfaen"/>
          <w:b w:val="0"/>
          <w:szCs w:val="22"/>
          <w:lang w:val="hy-AM"/>
        </w:rPr>
        <w:t>ճանապարհային</w:t>
      </w:r>
      <w:r w:rsidRPr="007955BB">
        <w:rPr>
          <w:rFonts w:cs="Sylfaen"/>
          <w:b w:val="0"/>
          <w:szCs w:val="22"/>
          <w:lang w:val="af-ZA"/>
        </w:rPr>
        <w:t xml:space="preserve"> </w:t>
      </w:r>
      <w:r w:rsidRPr="007955BB">
        <w:rPr>
          <w:rFonts w:cs="Sylfaen"/>
          <w:b w:val="0"/>
          <w:szCs w:val="22"/>
          <w:lang w:val="hy-AM"/>
        </w:rPr>
        <w:t>ցանցի</w:t>
      </w:r>
      <w:r w:rsidRPr="007955BB">
        <w:rPr>
          <w:rFonts w:cs="Sylfaen"/>
          <w:b w:val="0"/>
          <w:szCs w:val="22"/>
          <w:lang w:val="af-ZA"/>
        </w:rPr>
        <w:t xml:space="preserve"> </w:t>
      </w:r>
      <w:r w:rsidRPr="007955BB">
        <w:rPr>
          <w:rFonts w:cs="Sylfaen"/>
          <w:b w:val="0"/>
          <w:szCs w:val="22"/>
          <w:lang w:val="hy-AM"/>
        </w:rPr>
        <w:t>բարելավումն</w:t>
      </w:r>
      <w:r w:rsidRPr="007955BB">
        <w:rPr>
          <w:rFonts w:cs="Sylfaen"/>
          <w:b w:val="0"/>
          <w:szCs w:val="22"/>
          <w:lang w:val="af-ZA"/>
        </w:rPr>
        <w:t xml:space="preserve"> </w:t>
      </w:r>
      <w:r w:rsidRPr="007955BB">
        <w:rPr>
          <w:rFonts w:cs="Sylfaen"/>
          <w:b w:val="0"/>
          <w:szCs w:val="22"/>
          <w:lang w:val="hy-AM"/>
        </w:rPr>
        <w:t>ու</w:t>
      </w:r>
      <w:r w:rsidRPr="007955BB">
        <w:rPr>
          <w:rFonts w:cs="Sylfaen"/>
          <w:b w:val="0"/>
          <w:szCs w:val="22"/>
          <w:lang w:val="af-ZA"/>
        </w:rPr>
        <w:t xml:space="preserve"> </w:t>
      </w:r>
      <w:r w:rsidRPr="007955BB">
        <w:rPr>
          <w:rFonts w:cs="Sylfaen"/>
          <w:b w:val="0"/>
          <w:szCs w:val="22"/>
          <w:lang w:val="hy-AM"/>
        </w:rPr>
        <w:t>անվտանգ</w:t>
      </w:r>
      <w:r w:rsidRPr="007955BB">
        <w:rPr>
          <w:rFonts w:cs="Sylfaen"/>
          <w:b w:val="0"/>
          <w:szCs w:val="22"/>
          <w:lang w:val="af-ZA"/>
        </w:rPr>
        <w:t xml:space="preserve"> </w:t>
      </w:r>
      <w:r w:rsidRPr="007955BB">
        <w:rPr>
          <w:rFonts w:cs="Sylfaen"/>
          <w:b w:val="0"/>
          <w:szCs w:val="22"/>
          <w:lang w:val="hy-AM"/>
        </w:rPr>
        <w:t>երթևեկության</w:t>
      </w:r>
      <w:r w:rsidRPr="007955BB">
        <w:rPr>
          <w:rFonts w:cs="Sylfaen"/>
          <w:b w:val="0"/>
          <w:szCs w:val="22"/>
          <w:lang w:val="af-ZA"/>
        </w:rPr>
        <w:t xml:space="preserve"> </w:t>
      </w:r>
      <w:r w:rsidRPr="007955BB">
        <w:rPr>
          <w:rFonts w:cs="Sylfaen"/>
          <w:b w:val="0"/>
          <w:szCs w:val="22"/>
          <w:lang w:val="hy-AM"/>
        </w:rPr>
        <w:t>ապահովումը</w:t>
      </w:r>
      <w:r w:rsidRPr="007955BB">
        <w:rPr>
          <w:rFonts w:cs="Sylfaen"/>
          <w:b w:val="0"/>
          <w:szCs w:val="22"/>
          <w:lang w:val="af-ZA"/>
        </w:rPr>
        <w:t xml:space="preserve">, </w:t>
      </w:r>
      <w:r w:rsidRPr="007955BB">
        <w:rPr>
          <w:rFonts w:cs="Sylfaen"/>
          <w:b w:val="0"/>
          <w:szCs w:val="22"/>
          <w:lang w:val="hy-AM"/>
        </w:rPr>
        <w:t>որի</w:t>
      </w:r>
      <w:r w:rsidRPr="007955BB">
        <w:rPr>
          <w:rFonts w:cs="Sylfaen"/>
          <w:b w:val="0"/>
          <w:szCs w:val="22"/>
          <w:lang w:val="af-ZA"/>
        </w:rPr>
        <w:t xml:space="preserve"> </w:t>
      </w:r>
      <w:r w:rsidRPr="007955BB">
        <w:rPr>
          <w:rFonts w:cs="Sylfaen"/>
          <w:b w:val="0"/>
          <w:szCs w:val="22"/>
          <w:lang w:val="hy-AM"/>
        </w:rPr>
        <w:t>շրջանակներում</w:t>
      </w:r>
      <w:r w:rsidRPr="007955BB">
        <w:rPr>
          <w:rFonts w:cs="Sylfaen"/>
          <w:b w:val="0"/>
          <w:szCs w:val="22"/>
          <w:lang w:val="af-ZA"/>
        </w:rPr>
        <w:t xml:space="preserve"> 2023 </w:t>
      </w:r>
      <w:r w:rsidRPr="007955BB">
        <w:rPr>
          <w:rFonts w:cs="Sylfaen"/>
          <w:b w:val="0"/>
          <w:szCs w:val="22"/>
          <w:lang w:val="hy-AM"/>
        </w:rPr>
        <w:t>թվականին</w:t>
      </w:r>
      <w:r w:rsidRPr="007955BB">
        <w:rPr>
          <w:rFonts w:cs="Sylfaen"/>
          <w:b w:val="0"/>
          <w:szCs w:val="22"/>
          <w:lang w:val="af-ZA"/>
        </w:rPr>
        <w:t xml:space="preserve"> </w:t>
      </w:r>
      <w:r w:rsidRPr="007955BB">
        <w:rPr>
          <w:rFonts w:cs="Sylfaen"/>
          <w:b w:val="0"/>
          <w:szCs w:val="22"/>
          <w:lang w:val="hy-AM"/>
        </w:rPr>
        <w:t>ակնկալվում</w:t>
      </w:r>
      <w:r w:rsidRPr="007955BB">
        <w:rPr>
          <w:rFonts w:cs="Sylfaen"/>
          <w:b w:val="0"/>
          <w:szCs w:val="22"/>
          <w:lang w:val="af-ZA"/>
        </w:rPr>
        <w:t xml:space="preserve"> </w:t>
      </w:r>
      <w:r w:rsidRPr="007955BB">
        <w:rPr>
          <w:rFonts w:cs="Sylfaen"/>
          <w:b w:val="0"/>
          <w:szCs w:val="22"/>
          <w:lang w:val="hy-AM"/>
        </w:rPr>
        <w:t>է</w:t>
      </w:r>
      <w:r w:rsidRPr="007955BB">
        <w:rPr>
          <w:rFonts w:cs="Sylfaen"/>
          <w:b w:val="0"/>
          <w:szCs w:val="22"/>
          <w:lang w:val="af-ZA"/>
        </w:rPr>
        <w:t xml:space="preserve"> </w:t>
      </w:r>
      <w:r w:rsidRPr="007955BB">
        <w:rPr>
          <w:rFonts w:cs="Sylfaen"/>
          <w:b w:val="0"/>
          <w:szCs w:val="22"/>
          <w:lang w:val="hy-AM"/>
        </w:rPr>
        <w:t>համայնքների</w:t>
      </w:r>
      <w:r w:rsidRPr="007955BB">
        <w:rPr>
          <w:rFonts w:cs="Sylfaen"/>
          <w:b w:val="0"/>
          <w:szCs w:val="22"/>
          <w:lang w:val="af-ZA"/>
        </w:rPr>
        <w:t xml:space="preserve"> </w:t>
      </w:r>
      <w:r w:rsidRPr="007955BB">
        <w:rPr>
          <w:rFonts w:cs="Sylfaen"/>
          <w:b w:val="0"/>
          <w:szCs w:val="22"/>
          <w:lang w:val="hy-AM"/>
        </w:rPr>
        <w:t>տրանսպորտային</w:t>
      </w:r>
      <w:r w:rsidRPr="007955BB">
        <w:rPr>
          <w:rFonts w:cs="Sylfaen"/>
          <w:b w:val="0"/>
          <w:szCs w:val="22"/>
          <w:lang w:val="af-ZA"/>
        </w:rPr>
        <w:t xml:space="preserve"> </w:t>
      </w:r>
      <w:r w:rsidRPr="007955BB">
        <w:rPr>
          <w:rFonts w:cs="Sylfaen"/>
          <w:b w:val="0"/>
          <w:szCs w:val="22"/>
          <w:lang w:val="hy-AM"/>
        </w:rPr>
        <w:t>կապի</w:t>
      </w:r>
      <w:r w:rsidRPr="007955BB">
        <w:rPr>
          <w:rFonts w:cs="Sylfaen"/>
          <w:b w:val="0"/>
          <w:szCs w:val="22"/>
          <w:lang w:val="af-ZA"/>
        </w:rPr>
        <w:t xml:space="preserve"> </w:t>
      </w:r>
      <w:r w:rsidRPr="007955BB">
        <w:rPr>
          <w:rFonts w:cs="Sylfaen"/>
          <w:b w:val="0"/>
          <w:szCs w:val="22"/>
          <w:lang w:val="hy-AM"/>
        </w:rPr>
        <w:t>ցուցանիշի</w:t>
      </w:r>
      <w:r w:rsidRPr="007955BB">
        <w:rPr>
          <w:rFonts w:cs="Sylfaen"/>
          <w:b w:val="0"/>
          <w:szCs w:val="22"/>
          <w:lang w:val="af-ZA"/>
        </w:rPr>
        <w:t xml:space="preserve"> (</w:t>
      </w:r>
      <w:r w:rsidRPr="007955BB">
        <w:rPr>
          <w:rFonts w:cs="Sylfaen"/>
          <w:b w:val="0"/>
          <w:szCs w:val="22"/>
          <w:lang w:val="hy-AM"/>
        </w:rPr>
        <w:t>հիմնական</w:t>
      </w:r>
      <w:r w:rsidRPr="007955BB">
        <w:rPr>
          <w:rFonts w:cs="Sylfaen"/>
          <w:b w:val="0"/>
          <w:szCs w:val="22"/>
          <w:lang w:val="af-ZA"/>
        </w:rPr>
        <w:t xml:space="preserve"> </w:t>
      </w:r>
      <w:r w:rsidRPr="007955BB">
        <w:rPr>
          <w:rFonts w:cs="Sylfaen"/>
          <w:b w:val="0"/>
          <w:szCs w:val="22"/>
          <w:lang w:val="hy-AM"/>
        </w:rPr>
        <w:t>ճանապարհային</w:t>
      </w:r>
      <w:r w:rsidRPr="007955BB">
        <w:rPr>
          <w:rFonts w:cs="Sylfaen"/>
          <w:b w:val="0"/>
          <w:szCs w:val="22"/>
          <w:lang w:val="af-ZA"/>
        </w:rPr>
        <w:t xml:space="preserve"> </w:t>
      </w:r>
      <w:r w:rsidRPr="007955BB">
        <w:rPr>
          <w:rFonts w:cs="Sylfaen"/>
          <w:b w:val="0"/>
          <w:szCs w:val="22"/>
          <w:lang w:val="hy-AM"/>
        </w:rPr>
        <w:t>ցանցի</w:t>
      </w:r>
      <w:r w:rsidRPr="007955BB">
        <w:rPr>
          <w:rFonts w:cs="Sylfaen"/>
          <w:b w:val="0"/>
          <w:szCs w:val="22"/>
          <w:lang w:val="af-ZA"/>
        </w:rPr>
        <w:t xml:space="preserve"> </w:t>
      </w:r>
      <w:r w:rsidRPr="007955BB">
        <w:rPr>
          <w:rFonts w:cs="Sylfaen"/>
          <w:b w:val="0"/>
          <w:szCs w:val="22"/>
          <w:lang w:val="hy-AM"/>
        </w:rPr>
        <w:t>կամ</w:t>
      </w:r>
      <w:r w:rsidRPr="007955BB">
        <w:rPr>
          <w:rFonts w:cs="Sylfaen"/>
          <w:b w:val="0"/>
          <w:szCs w:val="22"/>
          <w:lang w:val="af-ZA"/>
        </w:rPr>
        <w:t xml:space="preserve"> </w:t>
      </w:r>
      <w:r w:rsidRPr="007955BB">
        <w:rPr>
          <w:rFonts w:cs="Sylfaen"/>
          <w:b w:val="0"/>
          <w:szCs w:val="22"/>
          <w:lang w:val="hy-AM"/>
        </w:rPr>
        <w:t>մարզկենտրոնների</w:t>
      </w:r>
      <w:r w:rsidRPr="007955BB">
        <w:rPr>
          <w:rFonts w:cs="Sylfaen"/>
          <w:b w:val="0"/>
          <w:szCs w:val="22"/>
          <w:lang w:val="af-ZA"/>
        </w:rPr>
        <w:t xml:space="preserve"> </w:t>
      </w:r>
      <w:r w:rsidRPr="007955BB">
        <w:rPr>
          <w:rFonts w:cs="Sylfaen"/>
          <w:b w:val="0"/>
          <w:szCs w:val="22"/>
          <w:lang w:val="hy-AM"/>
        </w:rPr>
        <w:t>հետ</w:t>
      </w:r>
      <w:r w:rsidRPr="007955BB">
        <w:rPr>
          <w:rFonts w:cs="Sylfaen"/>
          <w:b w:val="0"/>
          <w:szCs w:val="22"/>
          <w:lang w:val="af-ZA"/>
        </w:rPr>
        <w:t xml:space="preserve"> </w:t>
      </w:r>
      <w:r w:rsidRPr="007955BB">
        <w:rPr>
          <w:rFonts w:cs="Sylfaen"/>
          <w:b w:val="0"/>
          <w:szCs w:val="22"/>
          <w:lang w:val="hy-AM"/>
        </w:rPr>
        <w:t>առնվազն</w:t>
      </w:r>
      <w:r w:rsidRPr="007955BB">
        <w:rPr>
          <w:rFonts w:cs="Sylfaen"/>
          <w:b w:val="0"/>
          <w:szCs w:val="22"/>
          <w:lang w:val="af-ZA"/>
        </w:rPr>
        <w:t xml:space="preserve"> </w:t>
      </w:r>
      <w:r w:rsidRPr="007955BB">
        <w:rPr>
          <w:rFonts w:cs="Sylfaen"/>
          <w:b w:val="0"/>
          <w:szCs w:val="22"/>
          <w:lang w:val="hy-AM"/>
        </w:rPr>
        <w:t>մեկ</w:t>
      </w:r>
      <w:r w:rsidRPr="007955BB">
        <w:rPr>
          <w:rFonts w:cs="Sylfaen"/>
          <w:b w:val="0"/>
          <w:szCs w:val="22"/>
          <w:lang w:val="af-ZA"/>
        </w:rPr>
        <w:t xml:space="preserve"> </w:t>
      </w:r>
      <w:r w:rsidRPr="007955BB">
        <w:rPr>
          <w:rFonts w:cs="Sylfaen"/>
          <w:b w:val="0"/>
          <w:szCs w:val="22"/>
          <w:lang w:val="hy-AM"/>
        </w:rPr>
        <w:t>բավարար</w:t>
      </w:r>
      <w:r w:rsidRPr="007955BB">
        <w:rPr>
          <w:rFonts w:cs="Sylfaen"/>
          <w:b w:val="0"/>
          <w:szCs w:val="22"/>
          <w:lang w:val="af-ZA"/>
        </w:rPr>
        <w:t xml:space="preserve"> </w:t>
      </w:r>
      <w:r w:rsidRPr="007955BB">
        <w:rPr>
          <w:rFonts w:cs="Sylfaen"/>
          <w:b w:val="0"/>
          <w:szCs w:val="22"/>
          <w:lang w:val="hy-AM"/>
        </w:rPr>
        <w:t>կամ</w:t>
      </w:r>
      <w:r w:rsidRPr="007955BB">
        <w:rPr>
          <w:rFonts w:cs="Sylfaen"/>
          <w:b w:val="0"/>
          <w:szCs w:val="22"/>
          <w:lang w:val="af-ZA"/>
        </w:rPr>
        <w:t xml:space="preserve"> </w:t>
      </w:r>
      <w:r w:rsidRPr="007955BB">
        <w:rPr>
          <w:rFonts w:cs="Sylfaen"/>
          <w:b w:val="0"/>
          <w:szCs w:val="22"/>
          <w:lang w:val="hy-AM"/>
        </w:rPr>
        <w:t>ավելի</w:t>
      </w:r>
      <w:r w:rsidRPr="007955BB">
        <w:rPr>
          <w:rFonts w:cs="Sylfaen"/>
          <w:b w:val="0"/>
          <w:szCs w:val="22"/>
          <w:lang w:val="af-ZA"/>
        </w:rPr>
        <w:t xml:space="preserve"> </w:t>
      </w:r>
      <w:r w:rsidRPr="007955BB">
        <w:rPr>
          <w:rFonts w:cs="Sylfaen"/>
          <w:b w:val="0"/>
          <w:szCs w:val="22"/>
          <w:lang w:val="hy-AM"/>
        </w:rPr>
        <w:t>լավ</w:t>
      </w:r>
      <w:r w:rsidRPr="007955BB">
        <w:rPr>
          <w:rFonts w:cs="Sylfaen"/>
          <w:b w:val="0"/>
          <w:szCs w:val="22"/>
          <w:lang w:val="af-ZA"/>
        </w:rPr>
        <w:t xml:space="preserve"> </w:t>
      </w:r>
      <w:r w:rsidRPr="007955BB">
        <w:rPr>
          <w:rFonts w:cs="Sylfaen"/>
          <w:b w:val="0"/>
          <w:szCs w:val="22"/>
          <w:lang w:val="hy-AM"/>
        </w:rPr>
        <w:t>վիճակում</w:t>
      </w:r>
      <w:r w:rsidRPr="007955BB">
        <w:rPr>
          <w:rFonts w:cs="Sylfaen"/>
          <w:b w:val="0"/>
          <w:szCs w:val="22"/>
          <w:lang w:val="af-ZA"/>
        </w:rPr>
        <w:t xml:space="preserve"> </w:t>
      </w:r>
      <w:r w:rsidRPr="007955BB">
        <w:rPr>
          <w:rFonts w:cs="Sylfaen"/>
          <w:b w:val="0"/>
          <w:szCs w:val="22"/>
          <w:lang w:val="hy-AM"/>
        </w:rPr>
        <w:t>գտնվող</w:t>
      </w:r>
      <w:r w:rsidRPr="007955BB">
        <w:rPr>
          <w:rFonts w:cs="Sylfaen"/>
          <w:b w:val="0"/>
          <w:szCs w:val="22"/>
          <w:lang w:val="af-ZA"/>
        </w:rPr>
        <w:t xml:space="preserve"> </w:t>
      </w:r>
      <w:r w:rsidRPr="007955BB">
        <w:rPr>
          <w:rFonts w:cs="Sylfaen"/>
          <w:b w:val="0"/>
          <w:szCs w:val="22"/>
          <w:lang w:val="hy-AM"/>
        </w:rPr>
        <w:t>ճանապարհներ</w:t>
      </w:r>
      <w:r w:rsidRPr="007955BB">
        <w:rPr>
          <w:rFonts w:cs="Sylfaen"/>
          <w:b w:val="0"/>
          <w:szCs w:val="22"/>
          <w:lang w:val="af-ZA"/>
        </w:rPr>
        <w:t xml:space="preserve"> </w:t>
      </w:r>
      <w:r w:rsidRPr="007955BB">
        <w:rPr>
          <w:rFonts w:cs="Sylfaen"/>
          <w:b w:val="0"/>
          <w:szCs w:val="22"/>
          <w:lang w:val="hy-AM"/>
        </w:rPr>
        <w:t>ունեցող</w:t>
      </w:r>
      <w:r w:rsidRPr="007955BB">
        <w:rPr>
          <w:rFonts w:cs="Sylfaen"/>
          <w:b w:val="0"/>
          <w:szCs w:val="22"/>
          <w:lang w:val="af-ZA"/>
        </w:rPr>
        <w:t xml:space="preserve"> </w:t>
      </w:r>
      <w:r w:rsidRPr="007955BB">
        <w:rPr>
          <w:rFonts w:cs="Sylfaen"/>
          <w:b w:val="0"/>
          <w:szCs w:val="22"/>
          <w:lang w:val="hy-AM"/>
        </w:rPr>
        <w:t>բնակավայրերի</w:t>
      </w:r>
      <w:r w:rsidRPr="007955BB">
        <w:rPr>
          <w:rFonts w:cs="Sylfaen"/>
          <w:b w:val="0"/>
          <w:szCs w:val="22"/>
          <w:lang w:val="af-ZA"/>
        </w:rPr>
        <w:t xml:space="preserve"> </w:t>
      </w:r>
      <w:r w:rsidRPr="007955BB">
        <w:rPr>
          <w:rFonts w:cs="Sylfaen"/>
          <w:b w:val="0"/>
          <w:szCs w:val="22"/>
          <w:lang w:val="hy-AM"/>
        </w:rPr>
        <w:t>մասնաբաժինը</w:t>
      </w:r>
      <w:r w:rsidRPr="007955BB">
        <w:rPr>
          <w:rFonts w:cs="Sylfaen"/>
          <w:b w:val="0"/>
          <w:szCs w:val="22"/>
          <w:lang w:val="af-ZA"/>
        </w:rPr>
        <w:t xml:space="preserve"> </w:t>
      </w:r>
      <w:r w:rsidRPr="007955BB">
        <w:rPr>
          <w:rFonts w:cs="Sylfaen"/>
          <w:b w:val="0"/>
          <w:szCs w:val="22"/>
          <w:lang w:val="hy-AM"/>
        </w:rPr>
        <w:t>բնակավայրերի</w:t>
      </w:r>
      <w:r w:rsidRPr="007955BB">
        <w:rPr>
          <w:rFonts w:cs="Sylfaen"/>
          <w:b w:val="0"/>
          <w:szCs w:val="22"/>
          <w:lang w:val="af-ZA"/>
        </w:rPr>
        <w:t xml:space="preserve"> </w:t>
      </w:r>
      <w:r w:rsidRPr="007955BB">
        <w:rPr>
          <w:rFonts w:cs="Sylfaen"/>
          <w:b w:val="0"/>
          <w:szCs w:val="22"/>
          <w:lang w:val="hy-AM"/>
        </w:rPr>
        <w:t>ընդհանուր</w:t>
      </w:r>
      <w:r w:rsidRPr="007955BB">
        <w:rPr>
          <w:rFonts w:cs="Sylfaen"/>
          <w:b w:val="0"/>
          <w:szCs w:val="22"/>
          <w:lang w:val="af-ZA"/>
        </w:rPr>
        <w:t xml:space="preserve"> </w:t>
      </w:r>
      <w:r w:rsidRPr="007955BB">
        <w:rPr>
          <w:rFonts w:cs="Sylfaen"/>
          <w:b w:val="0"/>
          <w:szCs w:val="22"/>
          <w:lang w:val="hy-AM"/>
        </w:rPr>
        <w:t>թվում</w:t>
      </w:r>
      <w:r w:rsidRPr="007955BB">
        <w:rPr>
          <w:rFonts w:cs="Sylfaen"/>
          <w:b w:val="0"/>
          <w:szCs w:val="22"/>
          <w:lang w:val="af-ZA"/>
        </w:rPr>
        <w:t xml:space="preserve">) </w:t>
      </w:r>
      <w:r w:rsidRPr="007955BB">
        <w:rPr>
          <w:rFonts w:cs="Sylfaen"/>
          <w:b w:val="0"/>
          <w:szCs w:val="22"/>
          <w:lang w:val="hy-AM"/>
        </w:rPr>
        <w:t>մասով</w:t>
      </w:r>
      <w:r w:rsidRPr="007955BB">
        <w:rPr>
          <w:rFonts w:cs="Sylfaen"/>
          <w:b w:val="0"/>
          <w:szCs w:val="22"/>
          <w:lang w:val="af-ZA"/>
        </w:rPr>
        <w:t xml:space="preserve"> </w:t>
      </w:r>
      <w:r w:rsidRPr="007955BB">
        <w:rPr>
          <w:rFonts w:cs="Sylfaen"/>
          <w:b w:val="0"/>
          <w:szCs w:val="22"/>
          <w:lang w:val="hy-AM"/>
        </w:rPr>
        <w:t>բազային</w:t>
      </w:r>
      <w:r w:rsidRPr="007955BB">
        <w:rPr>
          <w:rFonts w:cs="Sylfaen"/>
          <w:b w:val="0"/>
          <w:szCs w:val="22"/>
          <w:lang w:val="af-ZA"/>
        </w:rPr>
        <w:t xml:space="preserve"> 65.9 </w:t>
      </w:r>
      <w:r w:rsidRPr="007955BB">
        <w:rPr>
          <w:rFonts w:cs="Sylfaen"/>
          <w:b w:val="0"/>
          <w:szCs w:val="22"/>
          <w:lang w:val="hy-AM"/>
        </w:rPr>
        <w:t>տոկոսի</w:t>
      </w:r>
      <w:r w:rsidRPr="007955BB">
        <w:rPr>
          <w:rFonts w:cs="Sylfaen"/>
          <w:b w:val="0"/>
          <w:szCs w:val="22"/>
          <w:lang w:val="af-ZA"/>
        </w:rPr>
        <w:t xml:space="preserve"> </w:t>
      </w:r>
      <w:r w:rsidRPr="007955BB">
        <w:rPr>
          <w:rFonts w:cs="Sylfaen"/>
          <w:b w:val="0"/>
          <w:szCs w:val="22"/>
          <w:lang w:val="hy-AM"/>
        </w:rPr>
        <w:t>դիմաց</w:t>
      </w:r>
      <w:r w:rsidRPr="007955BB">
        <w:rPr>
          <w:rFonts w:cs="Sylfaen"/>
          <w:b w:val="0"/>
          <w:szCs w:val="22"/>
          <w:lang w:val="af-ZA"/>
        </w:rPr>
        <w:t xml:space="preserve"> </w:t>
      </w:r>
      <w:r w:rsidRPr="007955BB">
        <w:rPr>
          <w:rFonts w:cs="Sylfaen"/>
          <w:b w:val="0"/>
          <w:szCs w:val="22"/>
          <w:lang w:val="hy-AM"/>
        </w:rPr>
        <w:t>ապահովել</w:t>
      </w:r>
      <w:r w:rsidRPr="007955BB">
        <w:rPr>
          <w:rFonts w:cs="Sylfaen"/>
          <w:b w:val="0"/>
          <w:szCs w:val="22"/>
          <w:lang w:val="af-ZA"/>
        </w:rPr>
        <w:t xml:space="preserve"> 68 </w:t>
      </w:r>
      <w:r w:rsidRPr="007955BB">
        <w:rPr>
          <w:rFonts w:cs="Sylfaen"/>
          <w:b w:val="0"/>
          <w:szCs w:val="22"/>
          <w:lang w:val="hy-AM"/>
        </w:rPr>
        <w:t>տոկոս</w:t>
      </w:r>
      <w:r w:rsidRPr="007955BB">
        <w:rPr>
          <w:rFonts w:cs="Sylfaen"/>
          <w:b w:val="0"/>
          <w:szCs w:val="22"/>
          <w:lang w:val="af-ZA"/>
        </w:rPr>
        <w:t xml:space="preserve"> </w:t>
      </w:r>
      <w:r w:rsidRPr="007955BB">
        <w:rPr>
          <w:rFonts w:cs="Sylfaen"/>
          <w:b w:val="0"/>
          <w:szCs w:val="22"/>
          <w:lang w:val="hy-AM"/>
        </w:rPr>
        <w:t>թիրախային</w:t>
      </w:r>
      <w:r w:rsidRPr="007955BB">
        <w:rPr>
          <w:rFonts w:cs="Sylfaen"/>
          <w:b w:val="0"/>
          <w:szCs w:val="22"/>
          <w:lang w:val="af-ZA"/>
        </w:rPr>
        <w:t xml:space="preserve"> </w:t>
      </w:r>
      <w:r w:rsidRPr="007955BB">
        <w:rPr>
          <w:rFonts w:cs="Sylfaen"/>
          <w:b w:val="0"/>
          <w:szCs w:val="22"/>
          <w:lang w:val="hy-AM"/>
        </w:rPr>
        <w:t>ցուցանիշը</w:t>
      </w:r>
      <w:r w:rsidRPr="007955BB">
        <w:rPr>
          <w:rFonts w:cs="Sylfaen"/>
          <w:b w:val="0"/>
          <w:szCs w:val="22"/>
          <w:lang w:val="af-ZA"/>
        </w:rPr>
        <w:t xml:space="preserve">, </w:t>
      </w:r>
      <w:r w:rsidRPr="007955BB">
        <w:rPr>
          <w:rFonts w:cs="Sylfaen"/>
          <w:b w:val="0"/>
          <w:szCs w:val="22"/>
          <w:lang w:val="hy-AM"/>
        </w:rPr>
        <w:t>իսկ</w:t>
      </w:r>
      <w:r w:rsidRPr="007955BB">
        <w:rPr>
          <w:rFonts w:cs="Sylfaen"/>
          <w:b w:val="0"/>
          <w:szCs w:val="22"/>
          <w:lang w:val="af-ZA"/>
        </w:rPr>
        <w:t xml:space="preserve"> </w:t>
      </w:r>
      <w:r w:rsidRPr="007955BB">
        <w:rPr>
          <w:rFonts w:cs="GHEA Grapalat"/>
          <w:b w:val="0"/>
          <w:szCs w:val="22"/>
          <w:lang w:val="hy-AM"/>
        </w:rPr>
        <w:t>միջպետական</w:t>
      </w:r>
      <w:r w:rsidRPr="007955BB">
        <w:rPr>
          <w:rFonts w:cs="Sylfaen"/>
          <w:b w:val="0"/>
          <w:szCs w:val="22"/>
          <w:lang w:val="af-ZA"/>
        </w:rPr>
        <w:t xml:space="preserve"> </w:t>
      </w:r>
      <w:r w:rsidRPr="007955BB">
        <w:rPr>
          <w:rFonts w:cs="Sylfaen"/>
          <w:b w:val="0"/>
          <w:szCs w:val="22"/>
          <w:lang w:val="hy-AM"/>
        </w:rPr>
        <w:t>նշանակության</w:t>
      </w:r>
      <w:r w:rsidRPr="007955BB">
        <w:rPr>
          <w:rFonts w:cs="Sylfaen"/>
          <w:b w:val="0"/>
          <w:szCs w:val="22"/>
          <w:lang w:val="af-ZA"/>
        </w:rPr>
        <w:t xml:space="preserve"> </w:t>
      </w:r>
      <w:r w:rsidRPr="007955BB">
        <w:rPr>
          <w:rFonts w:cs="Sylfaen"/>
          <w:b w:val="0"/>
          <w:szCs w:val="22"/>
          <w:lang w:val="hy-AM"/>
        </w:rPr>
        <w:t>ճանապարհների</w:t>
      </w:r>
      <w:r w:rsidRPr="007955BB">
        <w:rPr>
          <w:rFonts w:cs="Sylfaen"/>
          <w:b w:val="0"/>
          <w:szCs w:val="22"/>
          <w:lang w:val="af-ZA"/>
        </w:rPr>
        <w:t xml:space="preserve"> </w:t>
      </w:r>
      <w:r w:rsidRPr="007955BB">
        <w:rPr>
          <w:rFonts w:cs="Sylfaen"/>
          <w:b w:val="0"/>
          <w:szCs w:val="22"/>
          <w:lang w:val="hy-AM"/>
        </w:rPr>
        <w:t>անհարթության</w:t>
      </w:r>
      <w:r w:rsidRPr="007955BB">
        <w:rPr>
          <w:rFonts w:cs="Sylfaen"/>
          <w:b w:val="0"/>
          <w:szCs w:val="22"/>
          <w:lang w:val="af-ZA"/>
        </w:rPr>
        <w:t xml:space="preserve"> IRI </w:t>
      </w:r>
      <w:r w:rsidRPr="007955BB">
        <w:rPr>
          <w:rFonts w:cs="Sylfaen"/>
          <w:b w:val="0"/>
          <w:szCs w:val="22"/>
          <w:lang w:val="hy-AM"/>
        </w:rPr>
        <w:t>գործակցի</w:t>
      </w:r>
      <w:r w:rsidRPr="007955BB">
        <w:rPr>
          <w:rFonts w:cs="Sylfaen"/>
          <w:b w:val="0"/>
          <w:szCs w:val="22"/>
          <w:lang w:val="af-ZA"/>
        </w:rPr>
        <w:t xml:space="preserve"> </w:t>
      </w:r>
      <w:r w:rsidRPr="007955BB">
        <w:rPr>
          <w:rFonts w:cs="Sylfaen"/>
          <w:b w:val="0"/>
          <w:szCs w:val="22"/>
          <w:lang w:val="hy-AM"/>
        </w:rPr>
        <w:t>միջին</w:t>
      </w:r>
      <w:r w:rsidRPr="007955BB">
        <w:rPr>
          <w:rFonts w:cs="Sylfaen"/>
          <w:b w:val="0"/>
          <w:szCs w:val="22"/>
          <w:lang w:val="af-ZA"/>
        </w:rPr>
        <w:t xml:space="preserve"> </w:t>
      </w:r>
      <w:r w:rsidRPr="007955BB">
        <w:rPr>
          <w:rFonts w:cs="Sylfaen"/>
          <w:b w:val="0"/>
          <w:szCs w:val="22"/>
          <w:lang w:val="hy-AM"/>
        </w:rPr>
        <w:t>թվաբանականի</w:t>
      </w:r>
      <w:r w:rsidRPr="007955BB">
        <w:rPr>
          <w:rFonts w:cs="Sylfaen"/>
          <w:b w:val="0"/>
          <w:szCs w:val="22"/>
          <w:lang w:val="af-ZA"/>
        </w:rPr>
        <w:t xml:space="preserve"> </w:t>
      </w:r>
      <w:r w:rsidRPr="007955BB">
        <w:rPr>
          <w:rFonts w:cs="Sylfaen"/>
          <w:b w:val="0"/>
          <w:szCs w:val="22"/>
          <w:lang w:val="hy-AM"/>
        </w:rPr>
        <w:t>համար՝</w:t>
      </w:r>
      <w:r w:rsidRPr="007955BB">
        <w:rPr>
          <w:rFonts w:cs="Sylfaen"/>
          <w:b w:val="0"/>
          <w:szCs w:val="22"/>
          <w:lang w:val="af-ZA"/>
        </w:rPr>
        <w:t xml:space="preserve"> </w:t>
      </w:r>
      <w:r w:rsidRPr="007955BB">
        <w:rPr>
          <w:rFonts w:cs="Sylfaen"/>
          <w:b w:val="0"/>
          <w:szCs w:val="22"/>
          <w:lang w:val="hy-AM"/>
        </w:rPr>
        <w:t>պահպանել</w:t>
      </w:r>
      <w:r w:rsidRPr="007955BB">
        <w:rPr>
          <w:rFonts w:cs="Sylfaen"/>
          <w:b w:val="0"/>
          <w:szCs w:val="22"/>
          <w:lang w:val="af-ZA"/>
        </w:rPr>
        <w:t xml:space="preserve"> 6.3 </w:t>
      </w:r>
      <w:r w:rsidRPr="007955BB">
        <w:rPr>
          <w:rFonts w:cs="Sylfaen"/>
          <w:b w:val="0"/>
          <w:szCs w:val="22"/>
          <w:lang w:val="hy-AM"/>
        </w:rPr>
        <w:t>մ</w:t>
      </w:r>
      <w:r w:rsidRPr="007955BB">
        <w:rPr>
          <w:rFonts w:cs="Sylfaen"/>
          <w:b w:val="0"/>
          <w:szCs w:val="22"/>
          <w:lang w:val="af-ZA"/>
        </w:rPr>
        <w:t>/</w:t>
      </w:r>
      <w:r w:rsidRPr="007955BB">
        <w:rPr>
          <w:rFonts w:cs="Sylfaen"/>
          <w:b w:val="0"/>
          <w:szCs w:val="22"/>
          <w:lang w:val="hy-AM"/>
        </w:rPr>
        <w:t>կմ</w:t>
      </w:r>
      <w:r w:rsidRPr="007955BB">
        <w:rPr>
          <w:rFonts w:ascii="Calibri" w:hAnsi="Calibri" w:cs="Calibri"/>
          <w:b w:val="0"/>
          <w:szCs w:val="22"/>
          <w:lang w:val="af-ZA"/>
        </w:rPr>
        <w:t> </w:t>
      </w:r>
      <w:r w:rsidRPr="007955BB">
        <w:rPr>
          <w:rFonts w:cs="Sylfaen"/>
          <w:b w:val="0"/>
          <w:szCs w:val="22"/>
          <w:lang w:val="hy-AM"/>
        </w:rPr>
        <w:t>ցուցանիշը</w:t>
      </w:r>
      <w:r w:rsidRPr="007955BB">
        <w:rPr>
          <w:rFonts w:cs="Sylfaen"/>
          <w:b w:val="0"/>
          <w:szCs w:val="22"/>
          <w:lang w:val="af-ZA"/>
        </w:rPr>
        <w:t>:</w:t>
      </w:r>
    </w:p>
    <w:p w:rsidR="00A4471C" w:rsidRPr="007955BB" w:rsidRDefault="00A4471C" w:rsidP="00A4471C">
      <w:pPr>
        <w:widowControl w:val="0"/>
        <w:spacing w:line="276" w:lineRule="auto"/>
        <w:ind w:left="1" w:firstLine="566"/>
        <w:rPr>
          <w:rFonts w:cs="Sylfaen"/>
          <w:b w:val="0"/>
          <w:szCs w:val="22"/>
          <w:lang w:val="hy-AM"/>
        </w:rPr>
      </w:pPr>
      <w:r w:rsidRPr="007955BB">
        <w:rPr>
          <w:rFonts w:cs="Sylfaen"/>
          <w:b w:val="0"/>
          <w:szCs w:val="22"/>
          <w:lang w:val="hy-AM"/>
        </w:rPr>
        <w:t>Ծրագրի</w:t>
      </w:r>
      <w:r w:rsidRPr="007955BB">
        <w:rPr>
          <w:rFonts w:cs="Sylfaen"/>
          <w:b w:val="0"/>
          <w:szCs w:val="22"/>
          <w:lang w:val="af-ZA"/>
        </w:rPr>
        <w:t xml:space="preserve"> </w:t>
      </w:r>
      <w:r w:rsidRPr="007955BB">
        <w:rPr>
          <w:rFonts w:cs="Sylfaen"/>
          <w:b w:val="0"/>
          <w:szCs w:val="22"/>
          <w:lang w:val="hy-AM"/>
        </w:rPr>
        <w:t>շրջանակներում</w:t>
      </w:r>
      <w:r w:rsidRPr="007955BB">
        <w:rPr>
          <w:rFonts w:cs="Sylfaen"/>
          <w:b w:val="0"/>
          <w:szCs w:val="22"/>
          <w:lang w:val="af-ZA"/>
        </w:rPr>
        <w:t xml:space="preserve"> </w:t>
      </w:r>
      <w:r w:rsidRPr="007955BB">
        <w:rPr>
          <w:rFonts w:cs="Sylfaen"/>
          <w:b w:val="0"/>
          <w:szCs w:val="22"/>
          <w:lang w:val="hy-AM"/>
        </w:rPr>
        <w:t>ներքին</w:t>
      </w:r>
      <w:r w:rsidRPr="007955BB">
        <w:rPr>
          <w:rFonts w:cs="Sylfaen"/>
          <w:b w:val="0"/>
          <w:szCs w:val="22"/>
          <w:lang w:val="af-ZA"/>
        </w:rPr>
        <w:t xml:space="preserve"> </w:t>
      </w:r>
      <w:r w:rsidRPr="007955BB">
        <w:rPr>
          <w:rFonts w:cs="Sylfaen"/>
          <w:b w:val="0"/>
          <w:szCs w:val="22"/>
          <w:lang w:val="hy-AM"/>
        </w:rPr>
        <w:t>և</w:t>
      </w:r>
      <w:r w:rsidRPr="007955BB">
        <w:rPr>
          <w:rFonts w:cs="Sylfaen"/>
          <w:b w:val="0"/>
          <w:szCs w:val="22"/>
          <w:lang w:val="af-ZA"/>
        </w:rPr>
        <w:t xml:space="preserve"> </w:t>
      </w:r>
      <w:r w:rsidRPr="007955BB">
        <w:rPr>
          <w:rFonts w:cs="Sylfaen"/>
          <w:b w:val="0"/>
          <w:szCs w:val="22"/>
          <w:lang w:val="hy-AM"/>
        </w:rPr>
        <w:t>արտաքին</w:t>
      </w:r>
      <w:r w:rsidRPr="007955BB">
        <w:rPr>
          <w:rFonts w:cs="Sylfaen"/>
          <w:b w:val="0"/>
          <w:szCs w:val="22"/>
          <w:lang w:val="af-ZA"/>
        </w:rPr>
        <w:t xml:space="preserve"> </w:t>
      </w:r>
      <w:r w:rsidRPr="007955BB">
        <w:rPr>
          <w:rFonts w:cs="Sylfaen"/>
          <w:b w:val="0"/>
          <w:szCs w:val="22"/>
          <w:lang w:val="hy-AM"/>
        </w:rPr>
        <w:t>աղբյուրների</w:t>
      </w:r>
      <w:r w:rsidRPr="007955BB">
        <w:rPr>
          <w:rFonts w:cs="Sylfaen"/>
          <w:b w:val="0"/>
          <w:szCs w:val="22"/>
          <w:lang w:val="af-ZA"/>
        </w:rPr>
        <w:t xml:space="preserve"> </w:t>
      </w:r>
      <w:r w:rsidRPr="007955BB">
        <w:rPr>
          <w:rFonts w:cs="Sylfaen"/>
          <w:b w:val="0"/>
          <w:szCs w:val="22"/>
          <w:lang w:val="hy-AM"/>
        </w:rPr>
        <w:t>ֆինանսավորմամբ</w:t>
      </w:r>
      <w:r w:rsidRPr="007955BB">
        <w:rPr>
          <w:rFonts w:cs="Sylfaen"/>
          <w:b w:val="0"/>
          <w:color w:val="FF0000"/>
          <w:szCs w:val="22"/>
          <w:lang w:val="hy-AM"/>
        </w:rPr>
        <w:t xml:space="preserve"> </w:t>
      </w:r>
      <w:r w:rsidRPr="007955BB">
        <w:rPr>
          <w:rFonts w:cs="Sylfaen"/>
          <w:b w:val="0"/>
          <w:szCs w:val="22"/>
          <w:lang w:val="hy-AM"/>
        </w:rPr>
        <w:t>նախատեսվում</w:t>
      </w:r>
      <w:r w:rsidRPr="007955BB">
        <w:rPr>
          <w:rFonts w:cs="Sylfaen"/>
          <w:b w:val="0"/>
          <w:szCs w:val="22"/>
          <w:lang w:val="af-ZA"/>
        </w:rPr>
        <w:t xml:space="preserve"> </w:t>
      </w:r>
      <w:r w:rsidRPr="007955BB">
        <w:rPr>
          <w:rFonts w:cs="Sylfaen"/>
          <w:b w:val="0"/>
          <w:szCs w:val="22"/>
          <w:lang w:val="hy-AM"/>
        </w:rPr>
        <w:t>է իրականացնել միջպետական, հանրապետական և մարզային նշանակության ավտոմոբիլային ճանապարհների ցանցի նորոգում, հիմնանորոգում և որակի շարունակական բարձրացում, որի շնորհիվ կունենանք շուրջ 500 կմ վերանորոգված ավտոճանապարհներ:</w:t>
      </w:r>
    </w:p>
    <w:p w:rsidR="00A4471C" w:rsidRPr="007955BB" w:rsidRDefault="00A4471C" w:rsidP="00A4471C">
      <w:pPr>
        <w:spacing w:before="0" w:line="276" w:lineRule="auto"/>
        <w:ind w:firstLine="720"/>
        <w:rPr>
          <w:rFonts w:cs="Sylfaen"/>
          <w:b w:val="0"/>
          <w:szCs w:val="22"/>
          <w:lang w:val="hy-AM"/>
        </w:rPr>
      </w:pPr>
      <w:r w:rsidRPr="007955BB">
        <w:rPr>
          <w:rFonts w:cs="Sylfaen"/>
          <w:b w:val="0"/>
          <w:szCs w:val="22"/>
          <w:lang w:val="hy-AM"/>
        </w:rPr>
        <w:t>Մասնավորապես. 2023 թվականին ներքին աղբյուրների հաշվին նախատեսվում է իրականացնել շուրջ</w:t>
      </w:r>
      <w:r w:rsidRPr="007955BB">
        <w:rPr>
          <w:rFonts w:cs="Sylfaen"/>
          <w:b w:val="0"/>
          <w:szCs w:val="22"/>
          <w:lang w:val="af-ZA"/>
        </w:rPr>
        <w:t xml:space="preserve"> </w:t>
      </w:r>
      <w:r w:rsidRPr="007955BB">
        <w:rPr>
          <w:rFonts w:cs="Sylfaen"/>
          <w:b w:val="0"/>
          <w:szCs w:val="22"/>
          <w:lang w:val="hy-AM"/>
        </w:rPr>
        <w:t>260</w:t>
      </w:r>
      <w:r w:rsidRPr="007955BB">
        <w:rPr>
          <w:rFonts w:cs="Sylfaen"/>
          <w:b w:val="0"/>
          <w:szCs w:val="22"/>
          <w:lang w:val="af-ZA"/>
        </w:rPr>
        <w:t xml:space="preserve">.0 </w:t>
      </w:r>
      <w:r w:rsidRPr="007955BB">
        <w:rPr>
          <w:rFonts w:cs="Sylfaen"/>
          <w:b w:val="0"/>
          <w:szCs w:val="22"/>
          <w:lang w:val="hy-AM"/>
        </w:rPr>
        <w:t>կմ</w:t>
      </w:r>
      <w:r w:rsidRPr="007955BB">
        <w:rPr>
          <w:rFonts w:cs="Sylfaen"/>
          <w:b w:val="0"/>
          <w:szCs w:val="22"/>
          <w:lang w:val="af-ZA"/>
        </w:rPr>
        <w:t xml:space="preserve"> </w:t>
      </w:r>
      <w:r w:rsidRPr="007955BB">
        <w:rPr>
          <w:rFonts w:cs="Sylfaen"/>
          <w:b w:val="0"/>
          <w:szCs w:val="22"/>
          <w:lang w:val="hy-AM"/>
        </w:rPr>
        <w:t>երկարությամբ</w:t>
      </w:r>
      <w:r w:rsidRPr="007955BB">
        <w:rPr>
          <w:rFonts w:cs="Sylfaen"/>
          <w:b w:val="0"/>
          <w:szCs w:val="22"/>
          <w:lang w:val="af-ZA"/>
        </w:rPr>
        <w:t xml:space="preserve"> </w:t>
      </w:r>
      <w:r w:rsidRPr="007955BB">
        <w:rPr>
          <w:rFonts w:cs="Sylfaen"/>
          <w:b w:val="0"/>
          <w:szCs w:val="22"/>
          <w:lang w:val="hy-AM"/>
        </w:rPr>
        <w:t>միջպետական</w:t>
      </w:r>
      <w:r w:rsidRPr="007955BB">
        <w:rPr>
          <w:rFonts w:cs="Sylfaen"/>
          <w:b w:val="0"/>
          <w:szCs w:val="22"/>
          <w:lang w:val="af-ZA"/>
        </w:rPr>
        <w:t xml:space="preserve"> </w:t>
      </w:r>
      <w:r w:rsidRPr="007955BB">
        <w:rPr>
          <w:rFonts w:cs="Sylfaen"/>
          <w:b w:val="0"/>
          <w:szCs w:val="22"/>
          <w:lang w:val="hy-AM"/>
        </w:rPr>
        <w:t>հանրապետական</w:t>
      </w:r>
      <w:r w:rsidRPr="007955BB">
        <w:rPr>
          <w:rFonts w:cs="Sylfaen"/>
          <w:b w:val="0"/>
          <w:szCs w:val="22"/>
          <w:lang w:val="af-ZA"/>
        </w:rPr>
        <w:t xml:space="preserve"> </w:t>
      </w:r>
      <w:r w:rsidRPr="007955BB">
        <w:rPr>
          <w:rFonts w:cs="Sylfaen"/>
          <w:b w:val="0"/>
          <w:szCs w:val="22"/>
          <w:lang w:val="hy-AM"/>
        </w:rPr>
        <w:t>և</w:t>
      </w:r>
      <w:r w:rsidRPr="007955BB">
        <w:rPr>
          <w:rFonts w:cs="Sylfaen"/>
          <w:b w:val="0"/>
          <w:szCs w:val="22"/>
          <w:lang w:val="af-ZA"/>
        </w:rPr>
        <w:t xml:space="preserve"> </w:t>
      </w:r>
      <w:r w:rsidRPr="007955BB">
        <w:rPr>
          <w:rFonts w:cs="Sylfaen"/>
          <w:b w:val="0"/>
          <w:szCs w:val="22"/>
          <w:lang w:val="hy-AM"/>
        </w:rPr>
        <w:t>մարզային</w:t>
      </w:r>
      <w:r w:rsidRPr="007955BB">
        <w:rPr>
          <w:rFonts w:cs="Sylfaen"/>
          <w:b w:val="0"/>
          <w:szCs w:val="22"/>
          <w:lang w:val="af-ZA"/>
        </w:rPr>
        <w:t xml:space="preserve"> </w:t>
      </w:r>
      <w:r w:rsidRPr="007955BB">
        <w:rPr>
          <w:rFonts w:cs="Sylfaen"/>
          <w:b w:val="0"/>
          <w:szCs w:val="22"/>
          <w:lang w:val="hy-AM"/>
        </w:rPr>
        <w:t>նշանակության</w:t>
      </w:r>
      <w:r w:rsidRPr="007955BB">
        <w:rPr>
          <w:rFonts w:cs="Sylfaen"/>
          <w:b w:val="0"/>
          <w:szCs w:val="22"/>
          <w:lang w:val="af-ZA"/>
        </w:rPr>
        <w:t xml:space="preserve"> </w:t>
      </w:r>
      <w:r w:rsidRPr="007955BB">
        <w:rPr>
          <w:rFonts w:cs="Sylfaen"/>
          <w:b w:val="0"/>
          <w:szCs w:val="22"/>
          <w:lang w:val="hy-AM"/>
        </w:rPr>
        <w:t>ավտոմոբիլային</w:t>
      </w:r>
      <w:r w:rsidRPr="007955BB">
        <w:rPr>
          <w:rFonts w:cs="Sylfaen"/>
          <w:b w:val="0"/>
          <w:szCs w:val="22"/>
          <w:lang w:val="af-ZA"/>
        </w:rPr>
        <w:t xml:space="preserve"> </w:t>
      </w:r>
      <w:r w:rsidRPr="007955BB">
        <w:rPr>
          <w:rFonts w:cs="Sylfaen"/>
          <w:b w:val="0"/>
          <w:szCs w:val="22"/>
          <w:lang w:val="hy-AM"/>
        </w:rPr>
        <w:t>ճանապարհների և թվով</w:t>
      </w:r>
      <w:r w:rsidRPr="007955BB">
        <w:rPr>
          <w:rFonts w:cs="Sylfaen"/>
          <w:b w:val="0"/>
          <w:szCs w:val="22"/>
          <w:lang w:val="af-ZA"/>
        </w:rPr>
        <w:t xml:space="preserve"> 8 տրանսպորտային օբյեկտների</w:t>
      </w:r>
      <w:r w:rsidRPr="007955BB">
        <w:rPr>
          <w:rFonts w:cs="Sylfaen"/>
          <w:b w:val="0"/>
          <w:szCs w:val="22"/>
          <w:lang w:val="hy-AM"/>
        </w:rPr>
        <w:t xml:space="preserve"> հիմնանորոգման, 50 կմ միջին</w:t>
      </w:r>
      <w:r w:rsidRPr="007955BB">
        <w:rPr>
          <w:rFonts w:cs="Sylfaen"/>
          <w:b w:val="0"/>
          <w:szCs w:val="22"/>
          <w:lang w:val="af-ZA"/>
        </w:rPr>
        <w:t xml:space="preserve"> </w:t>
      </w:r>
      <w:r w:rsidRPr="007955BB">
        <w:rPr>
          <w:rFonts w:cs="Sylfaen"/>
          <w:b w:val="0"/>
          <w:szCs w:val="22"/>
          <w:lang w:val="hy-AM"/>
        </w:rPr>
        <w:t>նորոգման, 4074.7</w:t>
      </w:r>
      <w:r w:rsidRPr="007955BB">
        <w:rPr>
          <w:rFonts w:cs="Sylfaen"/>
          <w:b w:val="0"/>
          <w:szCs w:val="22"/>
          <w:lang w:val="af-ZA"/>
        </w:rPr>
        <w:t xml:space="preserve"> </w:t>
      </w:r>
      <w:r w:rsidRPr="007955BB">
        <w:rPr>
          <w:rFonts w:cs="Sylfaen"/>
          <w:b w:val="0"/>
          <w:szCs w:val="22"/>
          <w:lang w:val="hy-AM"/>
        </w:rPr>
        <w:t>կմ</w:t>
      </w:r>
      <w:r w:rsidRPr="007955BB">
        <w:rPr>
          <w:rFonts w:cs="Sylfaen"/>
          <w:b w:val="0"/>
          <w:szCs w:val="22"/>
          <w:lang w:val="af-ZA"/>
        </w:rPr>
        <w:t xml:space="preserve"> </w:t>
      </w:r>
      <w:r w:rsidRPr="007955BB">
        <w:rPr>
          <w:rFonts w:cs="Sylfaen"/>
          <w:b w:val="0"/>
          <w:szCs w:val="22"/>
          <w:lang w:val="hy-AM"/>
        </w:rPr>
        <w:t>ամառային</w:t>
      </w:r>
      <w:r w:rsidRPr="007955BB">
        <w:rPr>
          <w:rFonts w:cs="Sylfaen"/>
          <w:b w:val="0"/>
          <w:szCs w:val="22"/>
          <w:lang w:val="af-ZA"/>
        </w:rPr>
        <w:t xml:space="preserve"> </w:t>
      </w:r>
      <w:r w:rsidRPr="007955BB">
        <w:rPr>
          <w:rFonts w:cs="Sylfaen"/>
          <w:b w:val="0"/>
          <w:szCs w:val="22"/>
          <w:lang w:val="hy-AM"/>
        </w:rPr>
        <w:t>և</w:t>
      </w:r>
      <w:r w:rsidRPr="007955BB">
        <w:rPr>
          <w:rFonts w:cs="Sylfaen"/>
          <w:b w:val="0"/>
          <w:szCs w:val="22"/>
          <w:lang w:val="af-ZA"/>
        </w:rPr>
        <w:t xml:space="preserve"> </w:t>
      </w:r>
      <w:r w:rsidRPr="007955BB">
        <w:rPr>
          <w:rFonts w:cs="Sylfaen"/>
          <w:b w:val="0"/>
          <w:szCs w:val="22"/>
          <w:lang w:val="hy-AM"/>
        </w:rPr>
        <w:t>5212.7</w:t>
      </w:r>
      <w:r w:rsidRPr="007955BB">
        <w:rPr>
          <w:rFonts w:cs="Sylfaen"/>
          <w:b w:val="0"/>
          <w:szCs w:val="22"/>
          <w:lang w:val="af-ZA"/>
        </w:rPr>
        <w:t xml:space="preserve"> </w:t>
      </w:r>
      <w:r w:rsidRPr="007955BB">
        <w:rPr>
          <w:rFonts w:cs="Sylfaen"/>
          <w:b w:val="0"/>
          <w:szCs w:val="22"/>
          <w:lang w:val="hy-AM"/>
        </w:rPr>
        <w:t>կմ ձմեռային պահպանման, ինչպես նաև 3 թունելների և 5 կամուրջների պահպանման ու շահագործման աշխատանքներ:</w:t>
      </w:r>
    </w:p>
    <w:p w:rsidR="00A4471C" w:rsidRPr="007955BB" w:rsidRDefault="00A4471C" w:rsidP="00A4471C">
      <w:pPr>
        <w:widowControl w:val="0"/>
        <w:spacing w:line="276" w:lineRule="auto"/>
        <w:ind w:left="1" w:firstLine="566"/>
        <w:rPr>
          <w:rFonts w:cs="Sylfaen"/>
          <w:b w:val="0"/>
          <w:szCs w:val="22"/>
          <w:lang w:val="hy-AM"/>
        </w:rPr>
      </w:pPr>
      <w:r w:rsidRPr="007955BB">
        <w:rPr>
          <w:rFonts w:cs="Sylfaen"/>
          <w:b w:val="0"/>
          <w:szCs w:val="22"/>
          <w:lang w:val="hy-AM"/>
        </w:rPr>
        <w:t xml:space="preserve">Արտաքին աղբյուրների ֆինանսավորմամբ իրականացվող շարունակական ծրագրերի ներքո կշարունակվեն ռազմավարական նշանակություն ունեցող Հյուսիս-Հարավ ճանապարհային միջանցքի վերանորոգման աշխատանքները (Տրանշ 2 և 3-ի մասով), ինչպես նաև մեկնարկելու են Քաջարան-Ագարակ, Սիսիան-Քաջարան և Քաջարանի թունել տանող ճանապարհահատվածների հողերի օտարման և վերակառուցման աշխատանքները: </w:t>
      </w:r>
    </w:p>
    <w:p w:rsidR="00A4471C" w:rsidRPr="007955BB" w:rsidRDefault="00A4471C" w:rsidP="00A4471C">
      <w:pPr>
        <w:widowControl w:val="0"/>
        <w:spacing w:line="276" w:lineRule="auto"/>
        <w:ind w:firstLine="720"/>
        <w:rPr>
          <w:rFonts w:cs="Sylfaen"/>
          <w:b w:val="0"/>
          <w:szCs w:val="22"/>
          <w:lang w:val="af-ZA"/>
        </w:rPr>
      </w:pPr>
      <w:r w:rsidRPr="007955BB">
        <w:rPr>
          <w:rFonts w:cs="Sylfaen"/>
          <w:szCs w:val="22"/>
          <w:lang w:val="hy-AM"/>
        </w:rPr>
        <w:t>Աջակցություն</w:t>
      </w:r>
      <w:r w:rsidRPr="007955BB">
        <w:rPr>
          <w:rFonts w:cs="Sylfaen"/>
          <w:szCs w:val="22"/>
          <w:lang w:val="af-ZA"/>
        </w:rPr>
        <w:t xml:space="preserve"> </w:t>
      </w:r>
      <w:r w:rsidRPr="007955BB">
        <w:rPr>
          <w:rFonts w:cs="Sylfaen"/>
          <w:szCs w:val="22"/>
          <w:lang w:val="hy-AM"/>
        </w:rPr>
        <w:t>փախստականների</w:t>
      </w:r>
      <w:r w:rsidRPr="007955BB">
        <w:rPr>
          <w:rFonts w:cs="Sylfaen"/>
          <w:szCs w:val="22"/>
          <w:lang w:val="af-ZA"/>
        </w:rPr>
        <w:t xml:space="preserve"> </w:t>
      </w:r>
      <w:r w:rsidRPr="007955BB">
        <w:rPr>
          <w:rFonts w:cs="Sylfaen"/>
          <w:szCs w:val="22"/>
          <w:lang w:val="hy-AM"/>
        </w:rPr>
        <w:t xml:space="preserve">ինտեգրմանը </w:t>
      </w:r>
      <w:r w:rsidRPr="007955BB">
        <w:rPr>
          <w:b w:val="0"/>
          <w:bCs/>
          <w:iCs/>
          <w:lang w:val="hy-AM"/>
        </w:rPr>
        <w:t>ծրագրի</w:t>
      </w:r>
      <w:r w:rsidRPr="007955BB">
        <w:rPr>
          <w:b w:val="0"/>
          <w:bCs/>
          <w:iCs/>
          <w:lang w:val="af-ZA"/>
        </w:rPr>
        <w:t xml:space="preserve"> </w:t>
      </w:r>
      <w:r w:rsidRPr="007955BB">
        <w:rPr>
          <w:rFonts w:cs="Sylfaen"/>
          <w:b w:val="0"/>
          <w:lang w:val="hy-AM"/>
        </w:rPr>
        <w:t xml:space="preserve">գծով 2023 թվականին  նախատեսվել է 158.9 </w:t>
      </w:r>
      <w:r w:rsidRPr="007955BB">
        <w:rPr>
          <w:rFonts w:cs="GHEA Grapalat"/>
          <w:b w:val="0"/>
          <w:lang w:val="hy-AM"/>
        </w:rPr>
        <w:t>մլն</w:t>
      </w:r>
      <w:r w:rsidRPr="007955BB">
        <w:rPr>
          <w:rFonts w:cs="Sylfaen"/>
          <w:b w:val="0"/>
          <w:lang w:val="hy-AM"/>
        </w:rPr>
        <w:t xml:space="preserve"> </w:t>
      </w:r>
      <w:r w:rsidRPr="007955BB">
        <w:rPr>
          <w:rFonts w:cs="GHEA Grapalat"/>
          <w:b w:val="0"/>
          <w:lang w:val="hy-AM"/>
        </w:rPr>
        <w:t>դրամ</w:t>
      </w:r>
      <w:r w:rsidRPr="007955BB">
        <w:rPr>
          <w:b w:val="0"/>
          <w:bCs/>
          <w:iCs/>
          <w:lang w:val="hy-AM"/>
        </w:rPr>
        <w:t>.</w:t>
      </w:r>
    </w:p>
    <w:p w:rsidR="00A4471C" w:rsidRPr="007955BB" w:rsidRDefault="00A4471C" w:rsidP="00A4471C">
      <w:pPr>
        <w:widowControl w:val="0"/>
        <w:spacing w:line="276" w:lineRule="auto"/>
        <w:ind w:firstLine="720"/>
        <w:rPr>
          <w:rFonts w:cs="Sylfaen"/>
          <w:b w:val="0"/>
          <w:szCs w:val="22"/>
          <w:lang w:val="af-ZA"/>
        </w:rPr>
      </w:pPr>
      <w:r w:rsidRPr="007955BB">
        <w:rPr>
          <w:rFonts w:cs="Sylfaen"/>
          <w:b w:val="0"/>
          <w:szCs w:val="22"/>
        </w:rPr>
        <w:t>Ծրագրի</w:t>
      </w:r>
      <w:r w:rsidRPr="007955BB">
        <w:rPr>
          <w:rFonts w:cs="Sylfaen"/>
          <w:b w:val="0"/>
          <w:szCs w:val="22"/>
          <w:lang w:val="af-ZA"/>
        </w:rPr>
        <w:t xml:space="preserve"> </w:t>
      </w:r>
      <w:r w:rsidRPr="007955BB">
        <w:rPr>
          <w:rFonts w:cs="Sylfaen"/>
          <w:b w:val="0"/>
          <w:szCs w:val="22"/>
        </w:rPr>
        <w:t>նպատակն</w:t>
      </w:r>
      <w:r w:rsidRPr="007955BB">
        <w:rPr>
          <w:rFonts w:cs="Sylfaen"/>
          <w:b w:val="0"/>
          <w:szCs w:val="22"/>
          <w:lang w:val="af-ZA"/>
        </w:rPr>
        <w:t xml:space="preserve"> </w:t>
      </w:r>
      <w:r w:rsidRPr="007955BB">
        <w:rPr>
          <w:rFonts w:cs="Sylfaen"/>
          <w:b w:val="0"/>
          <w:szCs w:val="22"/>
        </w:rPr>
        <w:t>է</w:t>
      </w:r>
      <w:r w:rsidRPr="007955BB">
        <w:rPr>
          <w:rFonts w:cs="Sylfaen"/>
          <w:b w:val="0"/>
          <w:szCs w:val="22"/>
          <w:lang w:val="af-ZA"/>
        </w:rPr>
        <w:t xml:space="preserve"> </w:t>
      </w:r>
      <w:r w:rsidRPr="007955BB">
        <w:rPr>
          <w:rFonts w:cs="Sylfaen"/>
          <w:b w:val="0"/>
          <w:szCs w:val="22"/>
        </w:rPr>
        <w:t>ապահովել</w:t>
      </w:r>
      <w:r w:rsidRPr="007955BB">
        <w:rPr>
          <w:rFonts w:cs="Sylfaen"/>
          <w:b w:val="0"/>
          <w:szCs w:val="22"/>
          <w:lang w:val="af-ZA"/>
        </w:rPr>
        <w:t xml:space="preserve"> </w:t>
      </w:r>
      <w:r w:rsidRPr="007955BB">
        <w:rPr>
          <w:rFonts w:cs="Sylfaen"/>
          <w:b w:val="0"/>
          <w:szCs w:val="22"/>
        </w:rPr>
        <w:t>փախստականների</w:t>
      </w:r>
      <w:r w:rsidRPr="007955BB">
        <w:rPr>
          <w:rFonts w:cs="Sylfaen"/>
          <w:b w:val="0"/>
          <w:szCs w:val="22"/>
          <w:lang w:val="af-ZA"/>
        </w:rPr>
        <w:t xml:space="preserve"> </w:t>
      </w:r>
      <w:r w:rsidRPr="007955BB">
        <w:rPr>
          <w:rFonts w:cs="Sylfaen"/>
          <w:b w:val="0"/>
          <w:szCs w:val="22"/>
        </w:rPr>
        <w:t>ինտեգրումը</w:t>
      </w:r>
      <w:r w:rsidRPr="007955BB">
        <w:rPr>
          <w:rFonts w:cs="Sylfaen"/>
          <w:b w:val="0"/>
          <w:szCs w:val="22"/>
          <w:lang w:val="af-ZA"/>
        </w:rPr>
        <w:t xml:space="preserve"> </w:t>
      </w:r>
      <w:r w:rsidRPr="007955BB">
        <w:rPr>
          <w:rFonts w:cs="Sylfaen"/>
          <w:b w:val="0"/>
          <w:szCs w:val="22"/>
        </w:rPr>
        <w:t>հասարակությանը</w:t>
      </w:r>
      <w:r w:rsidRPr="007955BB">
        <w:rPr>
          <w:rFonts w:cs="Sylfaen"/>
          <w:b w:val="0"/>
          <w:szCs w:val="22"/>
          <w:lang w:val="af-ZA"/>
        </w:rPr>
        <w:t xml:space="preserve">, </w:t>
      </w:r>
      <w:r w:rsidRPr="007955BB">
        <w:rPr>
          <w:rFonts w:cs="Sylfaen"/>
          <w:b w:val="0"/>
          <w:szCs w:val="22"/>
        </w:rPr>
        <w:t>որի</w:t>
      </w:r>
      <w:r w:rsidRPr="007955BB">
        <w:rPr>
          <w:rFonts w:cs="Sylfaen"/>
          <w:b w:val="0"/>
          <w:szCs w:val="22"/>
          <w:lang w:val="af-ZA"/>
        </w:rPr>
        <w:t xml:space="preserve"> </w:t>
      </w:r>
      <w:r w:rsidRPr="007955BB">
        <w:rPr>
          <w:rFonts w:cs="Sylfaen"/>
          <w:b w:val="0"/>
          <w:szCs w:val="22"/>
        </w:rPr>
        <w:t>շրջանակներում</w:t>
      </w:r>
      <w:r w:rsidRPr="007955BB">
        <w:rPr>
          <w:rFonts w:cs="Sylfaen"/>
          <w:b w:val="0"/>
          <w:szCs w:val="22"/>
          <w:lang w:val="af-ZA"/>
        </w:rPr>
        <w:t xml:space="preserve"> </w:t>
      </w:r>
      <w:r w:rsidRPr="007955BB">
        <w:rPr>
          <w:rFonts w:cs="Sylfaen"/>
          <w:b w:val="0"/>
          <w:szCs w:val="22"/>
        </w:rPr>
        <w:t>նախա</w:t>
      </w:r>
      <w:r w:rsidRPr="007955BB">
        <w:rPr>
          <w:rFonts w:cs="Sylfaen"/>
          <w:b w:val="0"/>
          <w:szCs w:val="22"/>
          <w:lang w:val="af-ZA"/>
        </w:rPr>
        <w:softHyphen/>
      </w:r>
      <w:r w:rsidRPr="007955BB">
        <w:rPr>
          <w:rFonts w:cs="Sylfaen"/>
          <w:b w:val="0"/>
          <w:szCs w:val="22"/>
        </w:rPr>
        <w:t>տեսվում</w:t>
      </w:r>
      <w:r w:rsidRPr="007955BB">
        <w:rPr>
          <w:rFonts w:cs="Sylfaen"/>
          <w:b w:val="0"/>
          <w:szCs w:val="22"/>
          <w:lang w:val="af-ZA"/>
        </w:rPr>
        <w:t xml:space="preserve"> </w:t>
      </w:r>
      <w:r w:rsidRPr="007955BB">
        <w:rPr>
          <w:rFonts w:cs="Sylfaen"/>
          <w:b w:val="0"/>
          <w:szCs w:val="22"/>
        </w:rPr>
        <w:t>է</w:t>
      </w:r>
      <w:r w:rsidRPr="007955BB">
        <w:rPr>
          <w:rFonts w:cs="Sylfaen"/>
          <w:b w:val="0"/>
          <w:szCs w:val="22"/>
          <w:lang w:val="af-ZA"/>
        </w:rPr>
        <w:t xml:space="preserve"> 40-45 </w:t>
      </w:r>
      <w:r w:rsidRPr="007955BB">
        <w:rPr>
          <w:rFonts w:cs="Sylfaen"/>
          <w:b w:val="0"/>
          <w:szCs w:val="22"/>
        </w:rPr>
        <w:t>ապաստան</w:t>
      </w:r>
      <w:r w:rsidRPr="007955BB">
        <w:rPr>
          <w:rFonts w:cs="Sylfaen"/>
          <w:b w:val="0"/>
          <w:szCs w:val="22"/>
          <w:lang w:val="af-ZA"/>
        </w:rPr>
        <w:t xml:space="preserve"> </w:t>
      </w:r>
      <w:r w:rsidRPr="007955BB">
        <w:rPr>
          <w:rFonts w:cs="Sylfaen"/>
          <w:b w:val="0"/>
          <w:szCs w:val="22"/>
        </w:rPr>
        <w:t>հայցողի</w:t>
      </w:r>
      <w:r w:rsidRPr="007955BB">
        <w:rPr>
          <w:rFonts w:cs="Sylfaen"/>
          <w:b w:val="0"/>
          <w:szCs w:val="22"/>
          <w:lang w:val="af-ZA"/>
        </w:rPr>
        <w:t xml:space="preserve"> </w:t>
      </w:r>
      <w:r w:rsidRPr="007955BB">
        <w:rPr>
          <w:rFonts w:cs="Sylfaen"/>
          <w:b w:val="0"/>
          <w:szCs w:val="22"/>
        </w:rPr>
        <w:t>մուտք</w:t>
      </w:r>
      <w:r w:rsidRPr="007955BB">
        <w:rPr>
          <w:rFonts w:cs="Sylfaen"/>
          <w:b w:val="0"/>
          <w:szCs w:val="22"/>
          <w:lang w:val="af-ZA"/>
        </w:rPr>
        <w:t xml:space="preserve"> </w:t>
      </w:r>
      <w:r w:rsidRPr="007955BB">
        <w:rPr>
          <w:rFonts w:cs="Sylfaen"/>
          <w:b w:val="0"/>
          <w:szCs w:val="22"/>
          <w:lang w:val="hy-AM"/>
        </w:rPr>
        <w:t xml:space="preserve">ժամանակավոր </w:t>
      </w:r>
      <w:r w:rsidRPr="007955BB">
        <w:rPr>
          <w:rFonts w:cs="Sylfaen"/>
          <w:b w:val="0"/>
          <w:szCs w:val="22"/>
        </w:rPr>
        <w:t>կացարան՝</w:t>
      </w:r>
      <w:r w:rsidRPr="007955BB">
        <w:rPr>
          <w:rFonts w:cs="Sylfaen"/>
          <w:b w:val="0"/>
          <w:szCs w:val="22"/>
          <w:lang w:val="af-ZA"/>
        </w:rPr>
        <w:t xml:space="preserve"> </w:t>
      </w:r>
      <w:r w:rsidRPr="007955BB">
        <w:rPr>
          <w:rFonts w:cs="Sylfaen"/>
          <w:b w:val="0"/>
          <w:szCs w:val="22"/>
        </w:rPr>
        <w:t>յուրաքանչյուրին</w:t>
      </w:r>
      <w:r w:rsidRPr="007955BB">
        <w:rPr>
          <w:rFonts w:cs="Sylfaen"/>
          <w:b w:val="0"/>
          <w:szCs w:val="22"/>
          <w:lang w:val="af-ZA"/>
        </w:rPr>
        <w:t xml:space="preserve"> 150 </w:t>
      </w:r>
      <w:r w:rsidRPr="007955BB">
        <w:rPr>
          <w:rFonts w:cs="Sylfaen"/>
          <w:b w:val="0"/>
          <w:szCs w:val="22"/>
        </w:rPr>
        <w:t>օր</w:t>
      </w:r>
      <w:r w:rsidRPr="007955BB">
        <w:rPr>
          <w:rFonts w:cs="Sylfaen"/>
          <w:b w:val="0"/>
          <w:szCs w:val="22"/>
          <w:lang w:val="af-ZA"/>
        </w:rPr>
        <w:t xml:space="preserve"> </w:t>
      </w:r>
      <w:r w:rsidRPr="007955BB">
        <w:rPr>
          <w:rFonts w:cs="Sylfaen"/>
          <w:b w:val="0"/>
          <w:szCs w:val="22"/>
        </w:rPr>
        <w:t>կեցության</w:t>
      </w:r>
      <w:r w:rsidRPr="007955BB">
        <w:rPr>
          <w:rFonts w:cs="Sylfaen"/>
          <w:b w:val="0"/>
          <w:szCs w:val="22"/>
          <w:lang w:val="af-ZA"/>
        </w:rPr>
        <w:t xml:space="preserve"> </w:t>
      </w:r>
      <w:r w:rsidRPr="007955BB">
        <w:rPr>
          <w:rFonts w:cs="Sylfaen"/>
          <w:b w:val="0"/>
          <w:szCs w:val="22"/>
        </w:rPr>
        <w:t>ապահովումով</w:t>
      </w:r>
      <w:r w:rsidRPr="007955BB">
        <w:rPr>
          <w:rFonts w:cs="Sylfaen"/>
          <w:b w:val="0"/>
          <w:szCs w:val="22"/>
          <w:lang w:val="af-ZA"/>
        </w:rPr>
        <w:t xml:space="preserve"> (</w:t>
      </w:r>
      <w:r w:rsidRPr="007955BB">
        <w:rPr>
          <w:rFonts w:cs="Sylfaen"/>
          <w:b w:val="0"/>
          <w:szCs w:val="22"/>
        </w:rPr>
        <w:t>տարեկան</w:t>
      </w:r>
      <w:r w:rsidRPr="007955BB">
        <w:rPr>
          <w:rFonts w:cs="Sylfaen"/>
          <w:b w:val="0"/>
          <w:szCs w:val="22"/>
          <w:lang w:val="af-ZA"/>
        </w:rPr>
        <w:t xml:space="preserve"> </w:t>
      </w:r>
      <w:r w:rsidRPr="007955BB">
        <w:rPr>
          <w:rFonts w:cs="Sylfaen"/>
          <w:b w:val="0"/>
          <w:szCs w:val="22"/>
        </w:rPr>
        <w:t>միջինում</w:t>
      </w:r>
      <w:r w:rsidRPr="007955BB">
        <w:rPr>
          <w:rFonts w:cs="Sylfaen"/>
          <w:b w:val="0"/>
          <w:szCs w:val="22"/>
          <w:lang w:val="af-ZA"/>
        </w:rPr>
        <w:t xml:space="preserve"> 588 </w:t>
      </w:r>
      <w:r w:rsidRPr="007955BB">
        <w:rPr>
          <w:rFonts w:cs="Sylfaen"/>
          <w:b w:val="0"/>
          <w:szCs w:val="22"/>
        </w:rPr>
        <w:t>փախստական</w:t>
      </w:r>
      <w:r w:rsidRPr="007955BB">
        <w:rPr>
          <w:rFonts w:cs="Sylfaen"/>
          <w:b w:val="0"/>
          <w:szCs w:val="22"/>
          <w:lang w:val="af-ZA"/>
        </w:rPr>
        <w:t>),</w:t>
      </w:r>
      <w:r w:rsidRPr="007955BB">
        <w:rPr>
          <w:rFonts w:cs="Sylfaen"/>
          <w:b w:val="0"/>
          <w:szCs w:val="22"/>
          <w:lang w:val="hy-AM"/>
        </w:rPr>
        <w:t xml:space="preserve"> </w:t>
      </w:r>
      <w:r w:rsidRPr="007955BB">
        <w:rPr>
          <w:rFonts w:cs="Sylfaen"/>
          <w:b w:val="0"/>
          <w:szCs w:val="22"/>
        </w:rPr>
        <w:t>ապաստան</w:t>
      </w:r>
      <w:r w:rsidRPr="007955BB">
        <w:rPr>
          <w:rFonts w:cs="Sylfaen"/>
          <w:b w:val="0"/>
          <w:szCs w:val="22"/>
          <w:lang w:val="af-ZA"/>
        </w:rPr>
        <w:t xml:space="preserve"> </w:t>
      </w:r>
      <w:r w:rsidRPr="007955BB">
        <w:rPr>
          <w:rFonts w:cs="Sylfaen"/>
          <w:b w:val="0"/>
          <w:szCs w:val="22"/>
        </w:rPr>
        <w:t>հայցող</w:t>
      </w:r>
      <w:r w:rsidRPr="007955BB">
        <w:rPr>
          <w:rFonts w:cs="Sylfaen"/>
          <w:b w:val="0"/>
          <w:szCs w:val="22"/>
          <w:lang w:val="hy-AM"/>
        </w:rPr>
        <w:t>ներ</w:t>
      </w:r>
      <w:r w:rsidRPr="007955BB">
        <w:rPr>
          <w:rFonts w:cs="Sylfaen"/>
          <w:b w:val="0"/>
          <w:szCs w:val="22"/>
        </w:rPr>
        <w:t>ի</w:t>
      </w:r>
      <w:r w:rsidRPr="007955BB">
        <w:rPr>
          <w:rFonts w:cs="Sylfaen"/>
          <w:b w:val="0"/>
          <w:szCs w:val="22"/>
          <w:lang w:val="af-ZA"/>
        </w:rPr>
        <w:t xml:space="preserve"> </w:t>
      </w:r>
      <w:r w:rsidRPr="007955BB">
        <w:rPr>
          <w:rFonts w:cs="Sylfaen"/>
          <w:b w:val="0"/>
          <w:szCs w:val="22"/>
          <w:lang w:val="hy-AM"/>
        </w:rPr>
        <w:t xml:space="preserve">համար թարգմանչական ծառայությունների տրամադրում, Ժամանակավոր տեղավորման կենտրոնում չտեղավորված ապաստան հայցող 37 ընտանիքների </w:t>
      </w:r>
      <w:r w:rsidRPr="007955BB">
        <w:rPr>
          <w:rFonts w:cs="Sylfaen"/>
          <w:b w:val="0"/>
          <w:szCs w:val="22"/>
        </w:rPr>
        <w:t>դրամական</w:t>
      </w:r>
      <w:r w:rsidRPr="007955BB">
        <w:rPr>
          <w:rFonts w:cs="Sylfaen"/>
          <w:b w:val="0"/>
          <w:szCs w:val="22"/>
          <w:lang w:val="af-ZA"/>
        </w:rPr>
        <w:t xml:space="preserve"> </w:t>
      </w:r>
      <w:r w:rsidRPr="007955BB">
        <w:rPr>
          <w:rFonts w:cs="Sylfaen"/>
          <w:b w:val="0"/>
          <w:szCs w:val="22"/>
        </w:rPr>
        <w:t>օգնության</w:t>
      </w:r>
      <w:r w:rsidRPr="007955BB">
        <w:rPr>
          <w:rFonts w:cs="Sylfaen"/>
          <w:b w:val="0"/>
          <w:szCs w:val="22"/>
          <w:lang w:val="af-ZA"/>
        </w:rPr>
        <w:t xml:space="preserve"> </w:t>
      </w:r>
      <w:r w:rsidRPr="007955BB">
        <w:rPr>
          <w:rFonts w:cs="Sylfaen"/>
          <w:b w:val="0"/>
          <w:szCs w:val="22"/>
        </w:rPr>
        <w:t>տրամադրում</w:t>
      </w:r>
      <w:r w:rsidRPr="007955BB">
        <w:rPr>
          <w:rFonts w:cs="Sylfaen"/>
          <w:b w:val="0"/>
          <w:szCs w:val="22"/>
          <w:lang w:val="af-ZA"/>
        </w:rPr>
        <w:t xml:space="preserve">, </w:t>
      </w:r>
      <w:r w:rsidRPr="007955BB">
        <w:rPr>
          <w:rFonts w:cs="Sylfaen"/>
          <w:b w:val="0"/>
          <w:szCs w:val="22"/>
        </w:rPr>
        <w:t>ապաստան</w:t>
      </w:r>
      <w:r w:rsidRPr="007955BB">
        <w:rPr>
          <w:rFonts w:cs="Sylfaen"/>
          <w:b w:val="0"/>
          <w:szCs w:val="22"/>
          <w:lang w:val="af-ZA"/>
        </w:rPr>
        <w:t xml:space="preserve"> </w:t>
      </w:r>
      <w:r w:rsidRPr="007955BB">
        <w:rPr>
          <w:rFonts w:cs="Sylfaen"/>
          <w:b w:val="0"/>
          <w:szCs w:val="22"/>
        </w:rPr>
        <w:t>ստացած</w:t>
      </w:r>
      <w:r w:rsidRPr="007955BB">
        <w:rPr>
          <w:rFonts w:cs="Sylfaen"/>
          <w:b w:val="0"/>
          <w:szCs w:val="22"/>
          <w:lang w:val="af-ZA"/>
        </w:rPr>
        <w:t xml:space="preserve"> 25 </w:t>
      </w:r>
      <w:r w:rsidRPr="007955BB">
        <w:rPr>
          <w:rFonts w:cs="Sylfaen"/>
          <w:b w:val="0"/>
          <w:szCs w:val="22"/>
        </w:rPr>
        <w:t>ընտանիքների</w:t>
      </w:r>
      <w:r w:rsidRPr="007955BB">
        <w:rPr>
          <w:rFonts w:cs="Sylfaen"/>
          <w:b w:val="0"/>
          <w:szCs w:val="22"/>
          <w:lang w:val="af-ZA"/>
        </w:rPr>
        <w:t xml:space="preserve"> </w:t>
      </w:r>
      <w:r w:rsidRPr="007955BB">
        <w:rPr>
          <w:rFonts w:cs="Sylfaen"/>
          <w:b w:val="0"/>
          <w:szCs w:val="22"/>
        </w:rPr>
        <w:t>բնակարաններ</w:t>
      </w:r>
      <w:r w:rsidRPr="007955BB">
        <w:rPr>
          <w:rFonts w:cs="Sylfaen"/>
          <w:b w:val="0"/>
          <w:szCs w:val="22"/>
          <w:lang w:val="af-ZA"/>
        </w:rPr>
        <w:t xml:space="preserve"> </w:t>
      </w:r>
      <w:r w:rsidRPr="007955BB">
        <w:rPr>
          <w:rFonts w:cs="Sylfaen"/>
          <w:b w:val="0"/>
          <w:szCs w:val="22"/>
        </w:rPr>
        <w:t>վարձակալելու</w:t>
      </w:r>
      <w:r w:rsidRPr="007955BB">
        <w:rPr>
          <w:rFonts w:cs="Sylfaen"/>
          <w:b w:val="0"/>
          <w:szCs w:val="22"/>
          <w:lang w:val="af-ZA"/>
        </w:rPr>
        <w:t xml:space="preserve"> </w:t>
      </w:r>
      <w:r w:rsidRPr="007955BB">
        <w:rPr>
          <w:rFonts w:cs="Sylfaen"/>
          <w:b w:val="0"/>
          <w:szCs w:val="22"/>
        </w:rPr>
        <w:t>համար</w:t>
      </w:r>
      <w:r w:rsidRPr="007955BB">
        <w:rPr>
          <w:rFonts w:cs="Sylfaen"/>
          <w:b w:val="0"/>
          <w:szCs w:val="22"/>
          <w:lang w:val="af-ZA"/>
        </w:rPr>
        <w:t xml:space="preserve"> </w:t>
      </w:r>
      <w:r w:rsidRPr="007955BB">
        <w:rPr>
          <w:rFonts w:cs="Sylfaen"/>
          <w:b w:val="0"/>
          <w:szCs w:val="22"/>
        </w:rPr>
        <w:t>սուբսիդիաների</w:t>
      </w:r>
      <w:r w:rsidRPr="007955BB">
        <w:rPr>
          <w:rFonts w:cs="Sylfaen"/>
          <w:b w:val="0"/>
          <w:szCs w:val="22"/>
          <w:lang w:val="af-ZA"/>
        </w:rPr>
        <w:t xml:space="preserve"> </w:t>
      </w:r>
      <w:r w:rsidRPr="007955BB">
        <w:rPr>
          <w:rFonts w:cs="Sylfaen"/>
          <w:b w:val="0"/>
          <w:szCs w:val="22"/>
        </w:rPr>
        <w:t>տրամադրում</w:t>
      </w:r>
      <w:r w:rsidR="00162512" w:rsidRPr="007955BB">
        <w:rPr>
          <w:rFonts w:cs="Sylfaen"/>
          <w:b w:val="0"/>
          <w:szCs w:val="22"/>
          <w:lang w:val="af-ZA"/>
        </w:rPr>
        <w:t>:</w:t>
      </w:r>
    </w:p>
    <w:p w:rsidR="00A4471C" w:rsidRPr="007955BB" w:rsidRDefault="00A4471C" w:rsidP="00A4471C">
      <w:pPr>
        <w:widowControl w:val="0"/>
        <w:spacing w:line="276" w:lineRule="auto"/>
        <w:rPr>
          <w:rFonts w:cs="Sylfaen"/>
          <w:b w:val="0"/>
          <w:szCs w:val="22"/>
          <w:lang w:val="af-ZA"/>
        </w:rPr>
      </w:pPr>
      <w:r w:rsidRPr="007955BB">
        <w:rPr>
          <w:rFonts w:cs="Sylfaen"/>
          <w:szCs w:val="22"/>
          <w:lang w:val="hy-AM"/>
        </w:rPr>
        <w:t>Ջրամատակարարման</w:t>
      </w:r>
      <w:r w:rsidRPr="007955BB">
        <w:rPr>
          <w:rFonts w:cs="Sylfaen"/>
          <w:szCs w:val="22"/>
          <w:lang w:val="af-ZA"/>
        </w:rPr>
        <w:t xml:space="preserve"> </w:t>
      </w:r>
      <w:r w:rsidRPr="007955BB">
        <w:rPr>
          <w:rFonts w:cs="Sylfaen"/>
          <w:szCs w:val="22"/>
          <w:lang w:val="hy-AM"/>
        </w:rPr>
        <w:t>և</w:t>
      </w:r>
      <w:r w:rsidRPr="007955BB">
        <w:rPr>
          <w:rFonts w:cs="Sylfaen"/>
          <w:szCs w:val="22"/>
          <w:lang w:val="af-ZA"/>
        </w:rPr>
        <w:t xml:space="preserve"> </w:t>
      </w:r>
      <w:r w:rsidRPr="007955BB">
        <w:rPr>
          <w:rFonts w:cs="Sylfaen"/>
          <w:szCs w:val="22"/>
          <w:lang w:val="hy-AM"/>
        </w:rPr>
        <w:t>ջրահեռացման</w:t>
      </w:r>
      <w:r w:rsidRPr="007955BB">
        <w:rPr>
          <w:rFonts w:cs="Sylfaen"/>
          <w:szCs w:val="22"/>
          <w:lang w:val="af-ZA"/>
        </w:rPr>
        <w:t xml:space="preserve"> </w:t>
      </w:r>
      <w:r w:rsidRPr="007955BB">
        <w:rPr>
          <w:rFonts w:cs="Sylfaen"/>
          <w:b w:val="0"/>
          <w:szCs w:val="22"/>
          <w:lang w:val="hy-AM"/>
        </w:rPr>
        <w:t xml:space="preserve">ծրագրի </w:t>
      </w:r>
      <w:r w:rsidRPr="007955BB">
        <w:rPr>
          <w:rFonts w:cs="Sylfaen"/>
          <w:b w:val="0"/>
          <w:lang w:val="hy-AM"/>
        </w:rPr>
        <w:t>գծով 2023 թվականին նախատեսվել է  15,</w:t>
      </w:r>
      <w:r w:rsidR="00E76006" w:rsidRPr="00E76006">
        <w:rPr>
          <w:rFonts w:cs="Sylfaen"/>
          <w:b w:val="0"/>
          <w:lang w:val="af-ZA"/>
        </w:rPr>
        <w:t>7</w:t>
      </w:r>
      <w:r w:rsidR="00E76006">
        <w:rPr>
          <w:rFonts w:cs="Sylfaen"/>
          <w:b w:val="0"/>
          <w:lang w:val="af-ZA"/>
        </w:rPr>
        <w:t>72.1</w:t>
      </w:r>
      <w:r w:rsidRPr="007955BB">
        <w:rPr>
          <w:rFonts w:cs="Sylfaen"/>
          <w:b w:val="0"/>
          <w:lang w:val="hy-AM"/>
        </w:rPr>
        <w:t xml:space="preserve"> </w:t>
      </w:r>
      <w:r w:rsidRPr="007955BB">
        <w:rPr>
          <w:rFonts w:cs="GHEA Grapalat"/>
          <w:b w:val="0"/>
          <w:lang w:val="hy-AM"/>
        </w:rPr>
        <w:t>մլն</w:t>
      </w:r>
      <w:r w:rsidRPr="007955BB">
        <w:rPr>
          <w:rFonts w:cs="Sylfaen"/>
          <w:b w:val="0"/>
          <w:lang w:val="hy-AM"/>
        </w:rPr>
        <w:t xml:space="preserve"> </w:t>
      </w:r>
      <w:r w:rsidRPr="007955BB">
        <w:rPr>
          <w:rFonts w:cs="GHEA Grapalat"/>
          <w:b w:val="0"/>
          <w:lang w:val="hy-AM"/>
        </w:rPr>
        <w:t>դրամ</w:t>
      </w:r>
      <w:r w:rsidRPr="007955BB">
        <w:rPr>
          <w:b w:val="0"/>
          <w:bCs/>
          <w:iCs/>
          <w:lang w:val="hy-AM"/>
        </w:rPr>
        <w:t>.</w:t>
      </w:r>
    </w:p>
    <w:p w:rsidR="00A4471C" w:rsidRPr="007955BB" w:rsidRDefault="00A4471C" w:rsidP="00A4471C">
      <w:pPr>
        <w:widowControl w:val="0"/>
        <w:spacing w:line="276" w:lineRule="auto"/>
        <w:rPr>
          <w:rFonts w:cs="Sylfaen"/>
          <w:b w:val="0"/>
          <w:szCs w:val="22"/>
          <w:lang w:val="af-ZA"/>
        </w:rPr>
      </w:pPr>
      <w:r w:rsidRPr="007955BB">
        <w:rPr>
          <w:rFonts w:cs="Sylfaen"/>
          <w:b w:val="0"/>
          <w:szCs w:val="22"/>
        </w:rPr>
        <w:t>Ծրագրի</w:t>
      </w:r>
      <w:r w:rsidRPr="007955BB">
        <w:rPr>
          <w:rFonts w:cs="Sylfaen"/>
          <w:b w:val="0"/>
          <w:szCs w:val="22"/>
          <w:lang w:val="af-ZA"/>
        </w:rPr>
        <w:t xml:space="preserve"> </w:t>
      </w:r>
      <w:r w:rsidRPr="007955BB">
        <w:rPr>
          <w:rFonts w:cs="Sylfaen"/>
          <w:b w:val="0"/>
          <w:szCs w:val="22"/>
        </w:rPr>
        <w:t>նպատակն</w:t>
      </w:r>
      <w:r w:rsidRPr="007955BB">
        <w:rPr>
          <w:rFonts w:cs="Sylfaen"/>
          <w:b w:val="0"/>
          <w:szCs w:val="22"/>
          <w:lang w:val="af-ZA"/>
        </w:rPr>
        <w:t xml:space="preserve"> </w:t>
      </w:r>
      <w:r w:rsidRPr="007955BB">
        <w:rPr>
          <w:rFonts w:cs="Sylfaen"/>
          <w:b w:val="0"/>
          <w:szCs w:val="22"/>
        </w:rPr>
        <w:t>է</w:t>
      </w:r>
      <w:r w:rsidRPr="007955BB">
        <w:rPr>
          <w:rFonts w:cs="Sylfaen"/>
          <w:b w:val="0"/>
          <w:szCs w:val="22"/>
          <w:lang w:val="af-ZA"/>
        </w:rPr>
        <w:t xml:space="preserve"> </w:t>
      </w:r>
      <w:r w:rsidRPr="007955BB">
        <w:rPr>
          <w:rFonts w:cs="Sylfaen"/>
          <w:b w:val="0"/>
          <w:szCs w:val="22"/>
        </w:rPr>
        <w:t>ջրամատակարարման</w:t>
      </w:r>
      <w:r w:rsidRPr="007955BB">
        <w:rPr>
          <w:rFonts w:cs="Sylfaen"/>
          <w:b w:val="0"/>
          <w:szCs w:val="22"/>
          <w:lang w:val="af-ZA"/>
        </w:rPr>
        <w:t xml:space="preserve">, </w:t>
      </w:r>
      <w:r w:rsidRPr="007955BB">
        <w:rPr>
          <w:rFonts w:cs="Sylfaen"/>
          <w:b w:val="0"/>
          <w:szCs w:val="22"/>
        </w:rPr>
        <w:t>ջրահեռացման</w:t>
      </w:r>
      <w:r w:rsidRPr="007955BB">
        <w:rPr>
          <w:rFonts w:cs="Sylfaen"/>
          <w:b w:val="0"/>
          <w:szCs w:val="22"/>
          <w:lang w:val="af-ZA"/>
        </w:rPr>
        <w:t xml:space="preserve"> </w:t>
      </w:r>
      <w:r w:rsidRPr="007955BB">
        <w:rPr>
          <w:rFonts w:cs="Sylfaen"/>
          <w:b w:val="0"/>
          <w:szCs w:val="22"/>
        </w:rPr>
        <w:t>և</w:t>
      </w:r>
      <w:r w:rsidRPr="007955BB">
        <w:rPr>
          <w:rFonts w:cs="Sylfaen"/>
          <w:b w:val="0"/>
          <w:szCs w:val="22"/>
          <w:lang w:val="af-ZA"/>
        </w:rPr>
        <w:t xml:space="preserve"> </w:t>
      </w:r>
      <w:r w:rsidRPr="007955BB">
        <w:rPr>
          <w:rFonts w:cs="Sylfaen"/>
          <w:b w:val="0"/>
          <w:szCs w:val="22"/>
        </w:rPr>
        <w:t>կեղտաջրերի</w:t>
      </w:r>
      <w:r w:rsidRPr="007955BB">
        <w:rPr>
          <w:rFonts w:cs="Sylfaen"/>
          <w:b w:val="0"/>
          <w:szCs w:val="22"/>
          <w:lang w:val="af-ZA"/>
        </w:rPr>
        <w:t xml:space="preserve"> </w:t>
      </w:r>
      <w:r w:rsidRPr="007955BB">
        <w:rPr>
          <w:rFonts w:cs="Sylfaen"/>
          <w:b w:val="0"/>
          <w:szCs w:val="22"/>
        </w:rPr>
        <w:t>մաքրման</w:t>
      </w:r>
      <w:r w:rsidRPr="007955BB">
        <w:rPr>
          <w:rFonts w:cs="Sylfaen"/>
          <w:b w:val="0"/>
          <w:szCs w:val="22"/>
          <w:lang w:val="af-ZA"/>
        </w:rPr>
        <w:t xml:space="preserve"> </w:t>
      </w:r>
      <w:r w:rsidRPr="007955BB">
        <w:rPr>
          <w:rFonts w:cs="Sylfaen"/>
          <w:b w:val="0"/>
          <w:szCs w:val="22"/>
        </w:rPr>
        <w:t>աշխատանքների</w:t>
      </w:r>
      <w:r w:rsidRPr="007955BB">
        <w:rPr>
          <w:rFonts w:cs="Sylfaen"/>
          <w:b w:val="0"/>
          <w:szCs w:val="22"/>
          <w:lang w:val="af-ZA"/>
        </w:rPr>
        <w:t xml:space="preserve"> </w:t>
      </w:r>
      <w:r w:rsidRPr="007955BB">
        <w:rPr>
          <w:rFonts w:cs="Sylfaen"/>
          <w:b w:val="0"/>
          <w:szCs w:val="22"/>
        </w:rPr>
        <w:t>արդյունավետության</w:t>
      </w:r>
      <w:r w:rsidRPr="007955BB">
        <w:rPr>
          <w:rFonts w:cs="Sylfaen"/>
          <w:b w:val="0"/>
          <w:szCs w:val="22"/>
          <w:lang w:val="af-ZA"/>
        </w:rPr>
        <w:t xml:space="preserve"> </w:t>
      </w:r>
      <w:r w:rsidRPr="007955BB">
        <w:rPr>
          <w:rFonts w:cs="Sylfaen"/>
          <w:b w:val="0"/>
          <w:szCs w:val="22"/>
        </w:rPr>
        <w:t>բարձրացումը</w:t>
      </w:r>
      <w:r w:rsidRPr="007955BB">
        <w:rPr>
          <w:rFonts w:cs="Sylfaen"/>
          <w:b w:val="0"/>
          <w:szCs w:val="22"/>
          <w:lang w:val="af-ZA"/>
        </w:rPr>
        <w:t xml:space="preserve">, </w:t>
      </w:r>
      <w:r w:rsidRPr="007955BB">
        <w:rPr>
          <w:rFonts w:cs="Sylfaen"/>
          <w:b w:val="0"/>
          <w:szCs w:val="22"/>
        </w:rPr>
        <w:t>համակարգերում</w:t>
      </w:r>
      <w:r w:rsidRPr="007955BB">
        <w:rPr>
          <w:rFonts w:cs="Sylfaen"/>
          <w:b w:val="0"/>
          <w:szCs w:val="22"/>
          <w:lang w:val="af-ZA"/>
        </w:rPr>
        <w:t xml:space="preserve"> </w:t>
      </w:r>
      <w:r w:rsidRPr="007955BB">
        <w:rPr>
          <w:rFonts w:cs="Sylfaen"/>
          <w:b w:val="0"/>
          <w:szCs w:val="22"/>
        </w:rPr>
        <w:t>ջրամատակարարման</w:t>
      </w:r>
      <w:r w:rsidRPr="007955BB">
        <w:rPr>
          <w:rFonts w:cs="Sylfaen"/>
          <w:b w:val="0"/>
          <w:szCs w:val="22"/>
          <w:lang w:val="af-ZA"/>
        </w:rPr>
        <w:t xml:space="preserve"> </w:t>
      </w:r>
      <w:r w:rsidRPr="007955BB">
        <w:rPr>
          <w:rFonts w:cs="Sylfaen"/>
          <w:b w:val="0"/>
          <w:szCs w:val="22"/>
        </w:rPr>
        <w:t>շարունակականության</w:t>
      </w:r>
      <w:r w:rsidRPr="007955BB">
        <w:rPr>
          <w:rFonts w:cs="Sylfaen"/>
          <w:b w:val="0"/>
          <w:szCs w:val="22"/>
          <w:lang w:val="af-ZA"/>
        </w:rPr>
        <w:t xml:space="preserve"> </w:t>
      </w:r>
      <w:r w:rsidRPr="007955BB">
        <w:rPr>
          <w:rFonts w:cs="Sylfaen"/>
          <w:b w:val="0"/>
          <w:szCs w:val="22"/>
        </w:rPr>
        <w:t>և</w:t>
      </w:r>
      <w:r w:rsidRPr="007955BB">
        <w:rPr>
          <w:rFonts w:cs="Sylfaen"/>
          <w:b w:val="0"/>
          <w:szCs w:val="22"/>
          <w:lang w:val="af-ZA"/>
        </w:rPr>
        <w:t xml:space="preserve"> </w:t>
      </w:r>
      <w:r w:rsidRPr="007955BB">
        <w:rPr>
          <w:rFonts w:cs="Sylfaen"/>
          <w:b w:val="0"/>
          <w:szCs w:val="22"/>
        </w:rPr>
        <w:t>ջրի</w:t>
      </w:r>
      <w:r w:rsidRPr="007955BB">
        <w:rPr>
          <w:rFonts w:cs="Sylfaen"/>
          <w:b w:val="0"/>
          <w:szCs w:val="22"/>
          <w:lang w:val="af-ZA"/>
        </w:rPr>
        <w:t xml:space="preserve"> </w:t>
      </w:r>
      <w:r w:rsidRPr="007955BB">
        <w:rPr>
          <w:rFonts w:cs="Sylfaen"/>
          <w:b w:val="0"/>
          <w:szCs w:val="22"/>
        </w:rPr>
        <w:t>որակի</w:t>
      </w:r>
      <w:r w:rsidRPr="007955BB">
        <w:rPr>
          <w:rFonts w:cs="Sylfaen"/>
          <w:b w:val="0"/>
          <w:szCs w:val="22"/>
          <w:lang w:val="af-ZA"/>
        </w:rPr>
        <w:t xml:space="preserve"> </w:t>
      </w:r>
      <w:r w:rsidRPr="007955BB">
        <w:rPr>
          <w:rFonts w:cs="Sylfaen"/>
          <w:b w:val="0"/>
          <w:szCs w:val="22"/>
        </w:rPr>
        <w:t>բարելավման</w:t>
      </w:r>
      <w:r w:rsidRPr="007955BB">
        <w:rPr>
          <w:rFonts w:cs="Sylfaen"/>
          <w:b w:val="0"/>
          <w:szCs w:val="22"/>
          <w:lang w:val="af-ZA"/>
        </w:rPr>
        <w:t xml:space="preserve"> </w:t>
      </w:r>
      <w:r w:rsidRPr="007955BB">
        <w:rPr>
          <w:rFonts w:cs="Sylfaen"/>
          <w:b w:val="0"/>
          <w:szCs w:val="22"/>
        </w:rPr>
        <w:t>ապահովումը</w:t>
      </w:r>
      <w:r w:rsidRPr="007955BB">
        <w:rPr>
          <w:rFonts w:cs="Sylfaen"/>
          <w:b w:val="0"/>
          <w:szCs w:val="22"/>
          <w:lang w:val="af-ZA"/>
        </w:rPr>
        <w:t xml:space="preserve">, </w:t>
      </w:r>
      <w:r w:rsidRPr="007955BB">
        <w:rPr>
          <w:rFonts w:cs="Sylfaen"/>
          <w:b w:val="0"/>
          <w:szCs w:val="22"/>
        </w:rPr>
        <w:t>կառավարման</w:t>
      </w:r>
      <w:r w:rsidRPr="007955BB">
        <w:rPr>
          <w:rFonts w:cs="Sylfaen"/>
          <w:b w:val="0"/>
          <w:szCs w:val="22"/>
          <w:lang w:val="af-ZA"/>
        </w:rPr>
        <w:t xml:space="preserve"> </w:t>
      </w:r>
      <w:r w:rsidRPr="007955BB">
        <w:rPr>
          <w:rFonts w:cs="Sylfaen"/>
          <w:b w:val="0"/>
          <w:szCs w:val="22"/>
        </w:rPr>
        <w:t>բարեփո</w:t>
      </w:r>
      <w:r w:rsidRPr="007955BB">
        <w:rPr>
          <w:rFonts w:cs="Sylfaen"/>
          <w:b w:val="0"/>
          <w:szCs w:val="22"/>
          <w:lang w:val="af-ZA"/>
        </w:rPr>
        <w:softHyphen/>
      </w:r>
      <w:r w:rsidRPr="007955BB">
        <w:rPr>
          <w:rFonts w:cs="Sylfaen"/>
          <w:b w:val="0"/>
          <w:szCs w:val="22"/>
        </w:rPr>
        <w:t>խումների</w:t>
      </w:r>
      <w:r w:rsidRPr="007955BB">
        <w:rPr>
          <w:rFonts w:cs="Sylfaen"/>
          <w:b w:val="0"/>
          <w:szCs w:val="22"/>
          <w:lang w:val="af-ZA"/>
        </w:rPr>
        <w:t xml:space="preserve"> </w:t>
      </w:r>
      <w:r w:rsidRPr="007955BB">
        <w:rPr>
          <w:rFonts w:cs="Sylfaen"/>
          <w:b w:val="0"/>
          <w:szCs w:val="22"/>
        </w:rPr>
        <w:t>խորացումն</w:t>
      </w:r>
      <w:r w:rsidRPr="007955BB">
        <w:rPr>
          <w:rFonts w:cs="Sylfaen"/>
          <w:b w:val="0"/>
          <w:szCs w:val="22"/>
          <w:lang w:val="af-ZA"/>
        </w:rPr>
        <w:t xml:space="preserve"> </w:t>
      </w:r>
      <w:r w:rsidRPr="007955BB">
        <w:rPr>
          <w:rFonts w:cs="Sylfaen"/>
          <w:b w:val="0"/>
          <w:szCs w:val="22"/>
        </w:rPr>
        <w:t>ու</w:t>
      </w:r>
      <w:r w:rsidRPr="007955BB">
        <w:rPr>
          <w:rFonts w:cs="Sylfaen"/>
          <w:b w:val="0"/>
          <w:szCs w:val="22"/>
          <w:lang w:val="af-ZA"/>
        </w:rPr>
        <w:t xml:space="preserve"> </w:t>
      </w:r>
      <w:r w:rsidRPr="007955BB">
        <w:rPr>
          <w:rFonts w:cs="Sylfaen"/>
          <w:b w:val="0"/>
          <w:szCs w:val="22"/>
        </w:rPr>
        <w:t>ամրապնդումը</w:t>
      </w:r>
      <w:r w:rsidRPr="007955BB">
        <w:rPr>
          <w:rFonts w:cs="Sylfaen"/>
          <w:b w:val="0"/>
          <w:szCs w:val="22"/>
          <w:lang w:val="af-ZA"/>
        </w:rPr>
        <w:t xml:space="preserve">, </w:t>
      </w:r>
      <w:r w:rsidRPr="007955BB">
        <w:rPr>
          <w:rFonts w:cs="Sylfaen"/>
          <w:b w:val="0"/>
          <w:szCs w:val="22"/>
        </w:rPr>
        <w:t>կատարելագործումը</w:t>
      </w:r>
      <w:r w:rsidRPr="007955BB">
        <w:rPr>
          <w:rFonts w:cs="Sylfaen"/>
          <w:b w:val="0"/>
          <w:szCs w:val="22"/>
          <w:lang w:val="af-ZA"/>
        </w:rPr>
        <w:t xml:space="preserve">, </w:t>
      </w:r>
      <w:r w:rsidRPr="007955BB">
        <w:rPr>
          <w:rFonts w:cs="Sylfaen"/>
          <w:b w:val="0"/>
          <w:szCs w:val="22"/>
        </w:rPr>
        <w:t>ներդրումների</w:t>
      </w:r>
      <w:r w:rsidRPr="007955BB">
        <w:rPr>
          <w:rFonts w:cs="Sylfaen"/>
          <w:b w:val="0"/>
          <w:szCs w:val="22"/>
          <w:lang w:val="af-ZA"/>
        </w:rPr>
        <w:t xml:space="preserve"> </w:t>
      </w:r>
      <w:r w:rsidRPr="007955BB">
        <w:rPr>
          <w:rFonts w:cs="Sylfaen"/>
          <w:b w:val="0"/>
          <w:szCs w:val="22"/>
        </w:rPr>
        <w:t>անհրաժեշտ</w:t>
      </w:r>
      <w:r w:rsidRPr="007955BB">
        <w:rPr>
          <w:rFonts w:cs="Sylfaen"/>
          <w:b w:val="0"/>
          <w:szCs w:val="22"/>
          <w:lang w:val="af-ZA"/>
        </w:rPr>
        <w:t xml:space="preserve"> </w:t>
      </w:r>
      <w:r w:rsidRPr="007955BB">
        <w:rPr>
          <w:rFonts w:cs="Sylfaen"/>
          <w:b w:val="0"/>
          <w:szCs w:val="22"/>
        </w:rPr>
        <w:t>ծավալների</w:t>
      </w:r>
      <w:r w:rsidRPr="007955BB">
        <w:rPr>
          <w:rFonts w:cs="Sylfaen"/>
          <w:b w:val="0"/>
          <w:szCs w:val="22"/>
          <w:lang w:val="af-ZA"/>
        </w:rPr>
        <w:t xml:space="preserve"> </w:t>
      </w:r>
      <w:r w:rsidRPr="007955BB">
        <w:rPr>
          <w:rFonts w:cs="Sylfaen"/>
          <w:b w:val="0"/>
          <w:szCs w:val="22"/>
        </w:rPr>
        <w:t>ներգրավումը</w:t>
      </w:r>
      <w:r w:rsidRPr="007955BB">
        <w:rPr>
          <w:rFonts w:cs="Sylfaen"/>
          <w:b w:val="0"/>
          <w:szCs w:val="22"/>
          <w:lang w:val="af-ZA"/>
        </w:rPr>
        <w:t xml:space="preserve"> </w:t>
      </w:r>
      <w:r w:rsidRPr="007955BB">
        <w:rPr>
          <w:rFonts w:cs="Sylfaen"/>
          <w:b w:val="0"/>
          <w:szCs w:val="22"/>
        </w:rPr>
        <w:t>և</w:t>
      </w:r>
      <w:r w:rsidRPr="007955BB">
        <w:rPr>
          <w:rFonts w:cs="Sylfaen"/>
          <w:b w:val="0"/>
          <w:szCs w:val="22"/>
          <w:lang w:val="af-ZA"/>
        </w:rPr>
        <w:t xml:space="preserve"> </w:t>
      </w:r>
      <w:r w:rsidRPr="007955BB">
        <w:rPr>
          <w:rFonts w:cs="Sylfaen"/>
          <w:b w:val="0"/>
          <w:szCs w:val="22"/>
        </w:rPr>
        <w:t>իրականացումը</w:t>
      </w:r>
      <w:r w:rsidRPr="007955BB">
        <w:rPr>
          <w:rFonts w:cs="Sylfaen"/>
          <w:b w:val="0"/>
          <w:szCs w:val="22"/>
          <w:lang w:val="af-ZA"/>
        </w:rPr>
        <w:t xml:space="preserve">: </w:t>
      </w:r>
    </w:p>
    <w:p w:rsidR="00A914D2" w:rsidRDefault="00A914D2" w:rsidP="00A914D2">
      <w:pPr>
        <w:widowControl w:val="0"/>
        <w:spacing w:line="276" w:lineRule="auto"/>
        <w:rPr>
          <w:rFonts w:cs="Sylfaen"/>
          <w:b w:val="0"/>
          <w:szCs w:val="22"/>
          <w:lang w:val="af-ZA"/>
        </w:rPr>
      </w:pPr>
      <w:r w:rsidRPr="007955BB">
        <w:rPr>
          <w:rFonts w:cs="Sylfaen"/>
          <w:b w:val="0"/>
          <w:szCs w:val="22"/>
        </w:rPr>
        <w:t>Ծրագրի</w:t>
      </w:r>
      <w:r w:rsidRPr="007955BB">
        <w:rPr>
          <w:rFonts w:cs="Sylfaen"/>
          <w:b w:val="0"/>
          <w:szCs w:val="22"/>
          <w:lang w:val="af-ZA"/>
        </w:rPr>
        <w:t xml:space="preserve"> </w:t>
      </w:r>
      <w:r w:rsidRPr="007955BB">
        <w:rPr>
          <w:rFonts w:cs="Sylfaen"/>
          <w:b w:val="0"/>
          <w:szCs w:val="22"/>
        </w:rPr>
        <w:t>շրջանակներում</w:t>
      </w:r>
      <w:r w:rsidRPr="007955BB">
        <w:rPr>
          <w:rFonts w:cs="Sylfaen"/>
          <w:b w:val="0"/>
          <w:szCs w:val="22"/>
          <w:lang w:val="af-ZA"/>
        </w:rPr>
        <w:t xml:space="preserve"> 2023 </w:t>
      </w:r>
      <w:r w:rsidRPr="007955BB">
        <w:rPr>
          <w:rFonts w:cs="Sylfaen"/>
          <w:b w:val="0"/>
          <w:szCs w:val="22"/>
        </w:rPr>
        <w:t>թվականին</w:t>
      </w:r>
      <w:r w:rsidRPr="007955BB">
        <w:rPr>
          <w:rFonts w:cs="Sylfaen"/>
          <w:b w:val="0"/>
          <w:szCs w:val="22"/>
          <w:lang w:val="af-ZA"/>
        </w:rPr>
        <w:t xml:space="preserve"> </w:t>
      </w:r>
      <w:r w:rsidRPr="007955BB">
        <w:rPr>
          <w:rFonts w:cs="Sylfaen"/>
          <w:b w:val="0"/>
          <w:szCs w:val="22"/>
        </w:rPr>
        <w:t>ներքին</w:t>
      </w:r>
      <w:r w:rsidRPr="007955BB">
        <w:rPr>
          <w:rFonts w:cs="Sylfaen"/>
          <w:b w:val="0"/>
          <w:szCs w:val="22"/>
          <w:lang w:val="af-ZA"/>
        </w:rPr>
        <w:t xml:space="preserve"> </w:t>
      </w:r>
      <w:r w:rsidRPr="007955BB">
        <w:rPr>
          <w:rFonts w:cs="Sylfaen"/>
          <w:b w:val="0"/>
          <w:szCs w:val="22"/>
        </w:rPr>
        <w:t>աղբյուրների</w:t>
      </w:r>
      <w:r w:rsidRPr="007955BB">
        <w:rPr>
          <w:rFonts w:cs="Sylfaen"/>
          <w:b w:val="0"/>
          <w:szCs w:val="22"/>
          <w:lang w:val="af-ZA"/>
        </w:rPr>
        <w:t xml:space="preserve"> </w:t>
      </w:r>
      <w:r w:rsidRPr="007955BB">
        <w:rPr>
          <w:rFonts w:cs="Sylfaen"/>
          <w:b w:val="0"/>
          <w:szCs w:val="22"/>
        </w:rPr>
        <w:t>ֆինանսավորմամբ</w:t>
      </w:r>
      <w:r w:rsidRPr="007955BB">
        <w:rPr>
          <w:rFonts w:cs="Sylfaen"/>
          <w:b w:val="0"/>
          <w:szCs w:val="22"/>
          <w:lang w:val="af-ZA"/>
        </w:rPr>
        <w:t xml:space="preserve"> </w:t>
      </w:r>
      <w:r w:rsidRPr="007955BB">
        <w:rPr>
          <w:rFonts w:cs="Sylfaen"/>
          <w:b w:val="0"/>
          <w:szCs w:val="22"/>
        </w:rPr>
        <w:t>մեկնարկելու</w:t>
      </w:r>
      <w:r w:rsidRPr="007955BB">
        <w:rPr>
          <w:rFonts w:cs="Sylfaen"/>
          <w:b w:val="0"/>
          <w:szCs w:val="22"/>
          <w:lang w:val="af-ZA"/>
        </w:rPr>
        <w:t xml:space="preserve"> </w:t>
      </w:r>
      <w:r w:rsidRPr="007955BB">
        <w:rPr>
          <w:rFonts w:cs="Sylfaen"/>
          <w:b w:val="0"/>
          <w:szCs w:val="22"/>
        </w:rPr>
        <w:t>են</w:t>
      </w:r>
      <w:r w:rsidRPr="007955BB">
        <w:rPr>
          <w:rFonts w:cs="Sylfaen"/>
          <w:b w:val="0"/>
          <w:szCs w:val="22"/>
          <w:lang w:val="af-ZA"/>
        </w:rPr>
        <w:t xml:space="preserve"> </w:t>
      </w:r>
      <w:r w:rsidRPr="007955BB">
        <w:rPr>
          <w:rFonts w:cs="Sylfaen"/>
          <w:b w:val="0"/>
          <w:szCs w:val="22"/>
        </w:rPr>
        <w:t>թվով</w:t>
      </w:r>
      <w:r w:rsidRPr="007955BB">
        <w:rPr>
          <w:rFonts w:cs="Sylfaen"/>
          <w:b w:val="0"/>
          <w:szCs w:val="22"/>
          <w:lang w:val="af-ZA"/>
        </w:rPr>
        <w:t xml:space="preserve"> 2 </w:t>
      </w:r>
      <w:r w:rsidRPr="007955BB">
        <w:rPr>
          <w:rFonts w:cs="Sylfaen"/>
          <w:b w:val="0"/>
          <w:szCs w:val="22"/>
        </w:rPr>
        <w:t>քլորակայանի</w:t>
      </w:r>
      <w:r w:rsidRPr="007955BB">
        <w:rPr>
          <w:rFonts w:cs="Sylfaen"/>
          <w:b w:val="0"/>
          <w:szCs w:val="22"/>
          <w:lang w:val="af-ZA"/>
        </w:rPr>
        <w:t xml:space="preserve"> </w:t>
      </w:r>
      <w:r w:rsidRPr="007955BB">
        <w:rPr>
          <w:rFonts w:cs="Sylfaen"/>
          <w:b w:val="0"/>
          <w:szCs w:val="22"/>
        </w:rPr>
        <w:t>կառուցման</w:t>
      </w:r>
      <w:r w:rsidRPr="007955BB">
        <w:rPr>
          <w:rFonts w:cs="Sylfaen"/>
          <w:b w:val="0"/>
          <w:szCs w:val="22"/>
          <w:lang w:val="af-ZA"/>
        </w:rPr>
        <w:t xml:space="preserve"> </w:t>
      </w:r>
      <w:r w:rsidRPr="007955BB">
        <w:rPr>
          <w:rFonts w:cs="Sylfaen"/>
          <w:b w:val="0"/>
          <w:szCs w:val="22"/>
        </w:rPr>
        <w:t>աշխատանքները</w:t>
      </w:r>
      <w:r w:rsidRPr="007955BB">
        <w:rPr>
          <w:rFonts w:cs="Sylfaen"/>
          <w:b w:val="0"/>
          <w:szCs w:val="22"/>
          <w:lang w:val="af-ZA"/>
        </w:rPr>
        <w:t xml:space="preserve">, </w:t>
      </w:r>
      <w:r w:rsidRPr="007955BB">
        <w:rPr>
          <w:rFonts w:cs="Sylfaen"/>
          <w:b w:val="0"/>
          <w:szCs w:val="22"/>
        </w:rPr>
        <w:t>ինչպես</w:t>
      </w:r>
      <w:r w:rsidRPr="007955BB">
        <w:rPr>
          <w:rFonts w:cs="Sylfaen"/>
          <w:b w:val="0"/>
          <w:szCs w:val="22"/>
          <w:lang w:val="af-ZA"/>
        </w:rPr>
        <w:t xml:space="preserve"> </w:t>
      </w:r>
      <w:r w:rsidRPr="007955BB">
        <w:rPr>
          <w:rFonts w:cs="Sylfaen"/>
          <w:b w:val="0"/>
          <w:szCs w:val="22"/>
        </w:rPr>
        <w:t>նաև</w:t>
      </w:r>
      <w:r w:rsidRPr="007955BB">
        <w:rPr>
          <w:rFonts w:cs="Sylfaen"/>
          <w:b w:val="0"/>
          <w:szCs w:val="22"/>
          <w:lang w:val="af-ZA"/>
        </w:rPr>
        <w:t xml:space="preserve"> </w:t>
      </w:r>
      <w:r w:rsidRPr="007955BB">
        <w:rPr>
          <w:rFonts w:cs="Sylfaen"/>
          <w:b w:val="0"/>
          <w:szCs w:val="22"/>
        </w:rPr>
        <w:t>Վեոլիա</w:t>
      </w:r>
      <w:r w:rsidRPr="007955BB">
        <w:rPr>
          <w:rFonts w:cs="Sylfaen"/>
          <w:b w:val="0"/>
          <w:szCs w:val="22"/>
          <w:lang w:val="af-ZA"/>
        </w:rPr>
        <w:t xml:space="preserve"> </w:t>
      </w:r>
      <w:r w:rsidRPr="007955BB">
        <w:rPr>
          <w:rFonts w:cs="Sylfaen"/>
          <w:b w:val="0"/>
          <w:szCs w:val="22"/>
        </w:rPr>
        <w:t>Ջուր</w:t>
      </w:r>
      <w:r w:rsidRPr="007955BB">
        <w:rPr>
          <w:rFonts w:cs="Sylfaen"/>
          <w:b w:val="0"/>
          <w:szCs w:val="22"/>
          <w:lang w:val="af-ZA"/>
        </w:rPr>
        <w:t xml:space="preserve"> </w:t>
      </w:r>
      <w:r w:rsidRPr="007955BB">
        <w:rPr>
          <w:rFonts w:cs="Sylfaen"/>
          <w:b w:val="0"/>
          <w:szCs w:val="22"/>
        </w:rPr>
        <w:t>ՓԲԸ</w:t>
      </w:r>
      <w:r w:rsidRPr="007955BB">
        <w:rPr>
          <w:rFonts w:cs="Sylfaen"/>
          <w:b w:val="0"/>
          <w:szCs w:val="22"/>
          <w:lang w:val="af-ZA"/>
        </w:rPr>
        <w:t>-</w:t>
      </w:r>
      <w:r w:rsidRPr="007955BB">
        <w:rPr>
          <w:rFonts w:cs="Sylfaen"/>
          <w:b w:val="0"/>
          <w:szCs w:val="22"/>
        </w:rPr>
        <w:t>ի</w:t>
      </w:r>
      <w:r w:rsidRPr="007955BB">
        <w:rPr>
          <w:rFonts w:cs="Sylfaen"/>
          <w:b w:val="0"/>
          <w:szCs w:val="22"/>
          <w:lang w:val="af-ZA"/>
        </w:rPr>
        <w:t xml:space="preserve"> </w:t>
      </w:r>
      <w:r w:rsidRPr="007955BB">
        <w:rPr>
          <w:rFonts w:cs="Sylfaen"/>
          <w:b w:val="0"/>
          <w:szCs w:val="22"/>
        </w:rPr>
        <w:t>կողմից</w:t>
      </w:r>
      <w:r w:rsidRPr="007955BB">
        <w:rPr>
          <w:rFonts w:cs="Sylfaen"/>
          <w:b w:val="0"/>
          <w:szCs w:val="22"/>
          <w:lang w:val="af-ZA"/>
        </w:rPr>
        <w:t xml:space="preserve"> </w:t>
      </w:r>
      <w:r w:rsidRPr="007955BB">
        <w:rPr>
          <w:rFonts w:cs="Sylfaen"/>
          <w:b w:val="0"/>
          <w:szCs w:val="22"/>
        </w:rPr>
        <w:t>չսպասարկվող</w:t>
      </w:r>
      <w:r w:rsidRPr="007955BB">
        <w:rPr>
          <w:rFonts w:cs="Sylfaen"/>
          <w:b w:val="0"/>
          <w:szCs w:val="22"/>
          <w:lang w:val="af-ZA"/>
        </w:rPr>
        <w:t xml:space="preserve"> </w:t>
      </w:r>
      <w:r w:rsidRPr="007955BB">
        <w:rPr>
          <w:rFonts w:cs="Sylfaen"/>
          <w:b w:val="0"/>
          <w:szCs w:val="22"/>
        </w:rPr>
        <w:t>բնակավայրերում</w:t>
      </w:r>
      <w:r w:rsidRPr="007955BB">
        <w:rPr>
          <w:rFonts w:cs="Sylfaen"/>
          <w:b w:val="0"/>
          <w:szCs w:val="22"/>
          <w:lang w:val="af-ZA"/>
        </w:rPr>
        <w:t xml:space="preserve"> </w:t>
      </w:r>
      <w:r w:rsidRPr="007955BB">
        <w:rPr>
          <w:rFonts w:cs="Sylfaen"/>
          <w:b w:val="0"/>
          <w:szCs w:val="22"/>
        </w:rPr>
        <w:t>խմելու</w:t>
      </w:r>
      <w:r w:rsidRPr="007955BB">
        <w:rPr>
          <w:rFonts w:cs="Sylfaen"/>
          <w:b w:val="0"/>
          <w:szCs w:val="22"/>
          <w:lang w:val="af-ZA"/>
        </w:rPr>
        <w:t xml:space="preserve"> </w:t>
      </w:r>
      <w:r w:rsidRPr="007955BB">
        <w:rPr>
          <w:rFonts w:cs="Sylfaen"/>
          <w:b w:val="0"/>
          <w:szCs w:val="22"/>
        </w:rPr>
        <w:t>ջրի</w:t>
      </w:r>
      <w:r w:rsidRPr="007955BB">
        <w:rPr>
          <w:rFonts w:cs="Sylfaen"/>
          <w:b w:val="0"/>
          <w:szCs w:val="22"/>
          <w:lang w:val="af-ZA"/>
        </w:rPr>
        <w:t xml:space="preserve"> </w:t>
      </w:r>
      <w:r w:rsidRPr="007955BB">
        <w:rPr>
          <w:rFonts w:cs="Sylfaen"/>
          <w:b w:val="0"/>
          <w:szCs w:val="22"/>
        </w:rPr>
        <w:t>մատակարարման</w:t>
      </w:r>
      <w:r w:rsidRPr="007955BB">
        <w:rPr>
          <w:rFonts w:cs="Sylfaen"/>
          <w:b w:val="0"/>
          <w:szCs w:val="22"/>
          <w:lang w:val="af-ZA"/>
        </w:rPr>
        <w:t xml:space="preserve"> </w:t>
      </w:r>
      <w:r w:rsidRPr="007955BB">
        <w:rPr>
          <w:rFonts w:cs="Sylfaen"/>
          <w:b w:val="0"/>
          <w:szCs w:val="22"/>
        </w:rPr>
        <w:t>և</w:t>
      </w:r>
      <w:r w:rsidRPr="007955BB">
        <w:rPr>
          <w:rFonts w:cs="Sylfaen"/>
          <w:b w:val="0"/>
          <w:szCs w:val="22"/>
          <w:lang w:val="af-ZA"/>
        </w:rPr>
        <w:t xml:space="preserve"> </w:t>
      </w:r>
      <w:r w:rsidRPr="007955BB">
        <w:rPr>
          <w:rFonts w:cs="Sylfaen"/>
          <w:b w:val="0"/>
          <w:szCs w:val="22"/>
        </w:rPr>
        <w:t>ջրահեռացման</w:t>
      </w:r>
      <w:r w:rsidRPr="007955BB">
        <w:rPr>
          <w:rFonts w:cs="Sylfaen"/>
          <w:b w:val="0"/>
          <w:szCs w:val="22"/>
          <w:lang w:val="af-ZA"/>
        </w:rPr>
        <w:t xml:space="preserve"> </w:t>
      </w:r>
      <w:r w:rsidRPr="007955BB">
        <w:rPr>
          <w:rFonts w:cs="Sylfaen"/>
          <w:b w:val="0"/>
          <w:szCs w:val="22"/>
        </w:rPr>
        <w:t>ոլորտում</w:t>
      </w:r>
      <w:r w:rsidRPr="007955BB">
        <w:rPr>
          <w:rFonts w:cs="Sylfaen"/>
          <w:b w:val="0"/>
          <w:szCs w:val="22"/>
          <w:lang w:val="af-ZA"/>
        </w:rPr>
        <w:t xml:space="preserve"> </w:t>
      </w:r>
      <w:r w:rsidRPr="007955BB">
        <w:rPr>
          <w:rFonts w:cs="Sylfaen"/>
          <w:b w:val="0"/>
          <w:szCs w:val="22"/>
        </w:rPr>
        <w:t>առկա</w:t>
      </w:r>
      <w:r w:rsidRPr="007955BB">
        <w:rPr>
          <w:rFonts w:cs="Sylfaen"/>
          <w:b w:val="0"/>
          <w:szCs w:val="22"/>
          <w:lang w:val="af-ZA"/>
        </w:rPr>
        <w:t xml:space="preserve"> </w:t>
      </w:r>
      <w:r w:rsidRPr="007955BB">
        <w:rPr>
          <w:rFonts w:cs="Sylfaen"/>
          <w:b w:val="0"/>
          <w:szCs w:val="22"/>
        </w:rPr>
        <w:t>խնդիրների</w:t>
      </w:r>
      <w:r w:rsidRPr="007955BB">
        <w:rPr>
          <w:rFonts w:cs="Sylfaen"/>
          <w:b w:val="0"/>
          <w:szCs w:val="22"/>
          <w:lang w:val="af-ZA"/>
        </w:rPr>
        <w:t xml:space="preserve"> </w:t>
      </w:r>
      <w:r w:rsidRPr="007955BB">
        <w:rPr>
          <w:rFonts w:cs="Sylfaen"/>
          <w:b w:val="0"/>
          <w:szCs w:val="22"/>
        </w:rPr>
        <w:t>կարգավորման</w:t>
      </w:r>
      <w:r w:rsidRPr="007955BB">
        <w:rPr>
          <w:rFonts w:cs="Sylfaen"/>
          <w:b w:val="0"/>
          <w:szCs w:val="22"/>
          <w:lang w:val="af-ZA"/>
        </w:rPr>
        <w:t xml:space="preserve"> </w:t>
      </w:r>
      <w:r w:rsidRPr="007955BB">
        <w:rPr>
          <w:rFonts w:cs="Sylfaen"/>
          <w:b w:val="0"/>
          <w:szCs w:val="22"/>
        </w:rPr>
        <w:t>նպատակով</w:t>
      </w:r>
      <w:r w:rsidRPr="007955BB">
        <w:rPr>
          <w:rFonts w:cs="Sylfaen"/>
          <w:b w:val="0"/>
          <w:szCs w:val="22"/>
          <w:lang w:val="af-ZA"/>
        </w:rPr>
        <w:t xml:space="preserve"> </w:t>
      </w:r>
      <w:r w:rsidRPr="007955BB">
        <w:rPr>
          <w:rFonts w:cs="Sylfaen"/>
          <w:b w:val="0"/>
          <w:szCs w:val="22"/>
        </w:rPr>
        <w:t>նախատեսվում</w:t>
      </w:r>
      <w:r w:rsidRPr="007955BB">
        <w:rPr>
          <w:rFonts w:cs="Sylfaen"/>
          <w:b w:val="0"/>
          <w:szCs w:val="22"/>
          <w:lang w:val="af-ZA"/>
        </w:rPr>
        <w:t xml:space="preserve"> </w:t>
      </w:r>
      <w:r w:rsidRPr="007955BB">
        <w:rPr>
          <w:rFonts w:cs="Sylfaen"/>
          <w:b w:val="0"/>
          <w:szCs w:val="22"/>
        </w:rPr>
        <w:t>է</w:t>
      </w:r>
      <w:r w:rsidRPr="007955BB">
        <w:rPr>
          <w:rFonts w:cs="Sylfaen"/>
          <w:b w:val="0"/>
          <w:szCs w:val="22"/>
          <w:lang w:val="af-ZA"/>
        </w:rPr>
        <w:t xml:space="preserve"> 2 </w:t>
      </w:r>
      <w:r w:rsidRPr="007955BB">
        <w:rPr>
          <w:rFonts w:cs="Sylfaen"/>
          <w:b w:val="0"/>
          <w:szCs w:val="22"/>
        </w:rPr>
        <w:t>բնակավայրերում</w:t>
      </w:r>
      <w:r w:rsidRPr="007955BB">
        <w:rPr>
          <w:rFonts w:cs="Sylfaen"/>
          <w:b w:val="0"/>
          <w:szCs w:val="22"/>
          <w:lang w:val="af-ZA"/>
        </w:rPr>
        <w:t xml:space="preserve"> </w:t>
      </w:r>
      <w:r w:rsidRPr="007955BB">
        <w:rPr>
          <w:rFonts w:cs="Sylfaen"/>
          <w:b w:val="0"/>
          <w:szCs w:val="22"/>
        </w:rPr>
        <w:t>իրականացնել</w:t>
      </w:r>
      <w:r w:rsidRPr="007955BB">
        <w:rPr>
          <w:rFonts w:cs="Sylfaen"/>
          <w:b w:val="0"/>
          <w:szCs w:val="22"/>
          <w:lang w:val="af-ZA"/>
        </w:rPr>
        <w:t xml:space="preserve"> </w:t>
      </w:r>
      <w:r w:rsidRPr="007955BB">
        <w:rPr>
          <w:rFonts w:cs="Sylfaen"/>
          <w:b w:val="0"/>
          <w:szCs w:val="22"/>
        </w:rPr>
        <w:t>ջրամատակարարման</w:t>
      </w:r>
      <w:r w:rsidRPr="007955BB">
        <w:rPr>
          <w:rFonts w:cs="Sylfaen"/>
          <w:b w:val="0"/>
          <w:szCs w:val="22"/>
          <w:lang w:val="af-ZA"/>
        </w:rPr>
        <w:t xml:space="preserve"> </w:t>
      </w:r>
      <w:r w:rsidRPr="007955BB">
        <w:rPr>
          <w:rFonts w:cs="Sylfaen"/>
          <w:b w:val="0"/>
          <w:szCs w:val="22"/>
        </w:rPr>
        <w:t>և</w:t>
      </w:r>
      <w:r w:rsidRPr="007955BB">
        <w:rPr>
          <w:rFonts w:cs="Sylfaen"/>
          <w:b w:val="0"/>
          <w:szCs w:val="22"/>
          <w:lang w:val="af-ZA"/>
        </w:rPr>
        <w:t xml:space="preserve"> </w:t>
      </w:r>
      <w:r w:rsidRPr="007955BB">
        <w:rPr>
          <w:rFonts w:cs="Sylfaen"/>
          <w:b w:val="0"/>
          <w:szCs w:val="22"/>
        </w:rPr>
        <w:t>ջրահեռացման</w:t>
      </w:r>
      <w:r w:rsidRPr="007955BB">
        <w:rPr>
          <w:rFonts w:cs="Sylfaen"/>
          <w:b w:val="0"/>
          <w:szCs w:val="22"/>
          <w:lang w:val="af-ZA"/>
        </w:rPr>
        <w:t xml:space="preserve"> </w:t>
      </w:r>
      <w:r w:rsidRPr="007955BB">
        <w:rPr>
          <w:rFonts w:cs="Sylfaen"/>
          <w:b w:val="0"/>
          <w:szCs w:val="22"/>
        </w:rPr>
        <w:t>միջոցառումներ</w:t>
      </w:r>
      <w:r w:rsidRPr="007955BB">
        <w:rPr>
          <w:rFonts w:cs="Sylfaen"/>
          <w:b w:val="0"/>
          <w:szCs w:val="22"/>
          <w:lang w:val="af-ZA"/>
        </w:rPr>
        <w:t xml:space="preserve">, </w:t>
      </w:r>
      <w:r w:rsidRPr="007955BB">
        <w:rPr>
          <w:rFonts w:cs="Sylfaen"/>
          <w:b w:val="0"/>
          <w:szCs w:val="22"/>
        </w:rPr>
        <w:t>իսկ</w:t>
      </w:r>
      <w:r w:rsidRPr="007955BB">
        <w:rPr>
          <w:rFonts w:cs="Sylfaen"/>
          <w:b w:val="0"/>
          <w:szCs w:val="22"/>
          <w:lang w:val="af-ZA"/>
        </w:rPr>
        <w:t xml:space="preserve"> 6 </w:t>
      </w:r>
      <w:r w:rsidRPr="007955BB">
        <w:rPr>
          <w:rFonts w:cs="Sylfaen"/>
          <w:b w:val="0"/>
          <w:szCs w:val="22"/>
        </w:rPr>
        <w:t>բնակավայերի</w:t>
      </w:r>
      <w:r w:rsidRPr="007955BB">
        <w:rPr>
          <w:rFonts w:cs="Sylfaen"/>
          <w:b w:val="0"/>
          <w:szCs w:val="22"/>
          <w:lang w:val="af-ZA"/>
        </w:rPr>
        <w:t xml:space="preserve"> </w:t>
      </w:r>
      <w:r w:rsidRPr="007955BB">
        <w:rPr>
          <w:rFonts w:cs="Sylfaen"/>
          <w:b w:val="0"/>
          <w:szCs w:val="22"/>
        </w:rPr>
        <w:t>միջոցառումների</w:t>
      </w:r>
      <w:r w:rsidRPr="007955BB">
        <w:rPr>
          <w:rFonts w:cs="Sylfaen"/>
          <w:b w:val="0"/>
          <w:szCs w:val="22"/>
          <w:lang w:val="af-ZA"/>
        </w:rPr>
        <w:t xml:space="preserve"> </w:t>
      </w:r>
      <w:r w:rsidRPr="007955BB">
        <w:rPr>
          <w:rFonts w:cs="Sylfaen"/>
          <w:b w:val="0"/>
          <w:szCs w:val="22"/>
        </w:rPr>
        <w:t>համար՝</w:t>
      </w:r>
      <w:r w:rsidRPr="007955BB">
        <w:rPr>
          <w:rFonts w:cs="Sylfaen"/>
          <w:b w:val="0"/>
          <w:szCs w:val="22"/>
          <w:lang w:val="af-ZA"/>
        </w:rPr>
        <w:t xml:space="preserve"> </w:t>
      </w:r>
      <w:r w:rsidRPr="007955BB">
        <w:rPr>
          <w:rFonts w:cs="Sylfaen"/>
          <w:b w:val="0"/>
          <w:szCs w:val="22"/>
        </w:rPr>
        <w:t>նախագծանախահաշվային</w:t>
      </w:r>
      <w:r w:rsidRPr="007955BB">
        <w:rPr>
          <w:rFonts w:cs="Sylfaen"/>
          <w:b w:val="0"/>
          <w:szCs w:val="22"/>
          <w:lang w:val="af-ZA"/>
        </w:rPr>
        <w:t xml:space="preserve"> </w:t>
      </w:r>
      <w:r w:rsidRPr="007955BB">
        <w:rPr>
          <w:rFonts w:cs="Sylfaen"/>
          <w:b w:val="0"/>
          <w:szCs w:val="22"/>
        </w:rPr>
        <w:t>փաստաթղթերի</w:t>
      </w:r>
      <w:r w:rsidRPr="007955BB">
        <w:rPr>
          <w:rFonts w:cs="Sylfaen"/>
          <w:b w:val="0"/>
          <w:szCs w:val="22"/>
          <w:lang w:val="af-ZA"/>
        </w:rPr>
        <w:t xml:space="preserve"> </w:t>
      </w:r>
      <w:r w:rsidRPr="007955BB">
        <w:rPr>
          <w:rFonts w:cs="Sylfaen"/>
          <w:b w:val="0"/>
          <w:szCs w:val="22"/>
        </w:rPr>
        <w:t>մշակման</w:t>
      </w:r>
      <w:r w:rsidRPr="007955BB">
        <w:rPr>
          <w:rFonts w:cs="Sylfaen"/>
          <w:b w:val="0"/>
          <w:szCs w:val="22"/>
          <w:lang w:val="af-ZA"/>
        </w:rPr>
        <w:t xml:space="preserve"> </w:t>
      </w:r>
      <w:r w:rsidRPr="007955BB">
        <w:rPr>
          <w:rFonts w:cs="Sylfaen"/>
          <w:b w:val="0"/>
          <w:szCs w:val="22"/>
        </w:rPr>
        <w:t>աշխատանքներ</w:t>
      </w:r>
      <w:r w:rsidRPr="007955BB">
        <w:rPr>
          <w:rFonts w:cs="Sylfaen"/>
          <w:b w:val="0"/>
          <w:szCs w:val="22"/>
          <w:lang w:val="af-ZA"/>
        </w:rPr>
        <w:t xml:space="preserve">: Բացի այդ, շարունակվելու </w:t>
      </w:r>
      <w:r w:rsidR="00A71B31">
        <w:rPr>
          <w:rFonts w:cs="Sylfaen"/>
          <w:b w:val="0"/>
          <w:szCs w:val="22"/>
          <w:lang w:val="af-ZA"/>
        </w:rPr>
        <w:t>են</w:t>
      </w:r>
      <w:r w:rsidRPr="007955BB">
        <w:rPr>
          <w:rFonts w:cs="Sylfaen"/>
          <w:b w:val="0"/>
          <w:szCs w:val="22"/>
          <w:lang w:val="af-ZA"/>
        </w:rPr>
        <w:t xml:space="preserve"> 2022թ-ին սկսած՝ թվով 26 բնակավայրերի </w:t>
      </w:r>
      <w:r w:rsidRPr="007955BB">
        <w:rPr>
          <w:rFonts w:cs="Sylfaen"/>
          <w:b w:val="0"/>
          <w:szCs w:val="22"/>
          <w:lang w:val="hy-AM"/>
        </w:rPr>
        <w:t>ջրամատակարարման</w:t>
      </w:r>
      <w:r w:rsidRPr="007955BB">
        <w:rPr>
          <w:rFonts w:cs="Sylfaen"/>
          <w:b w:val="0"/>
          <w:szCs w:val="22"/>
          <w:lang w:val="af-ZA"/>
        </w:rPr>
        <w:t xml:space="preserve"> </w:t>
      </w:r>
      <w:r w:rsidRPr="007955BB">
        <w:rPr>
          <w:rFonts w:cs="Sylfaen"/>
          <w:b w:val="0"/>
          <w:szCs w:val="22"/>
          <w:lang w:val="hy-AM"/>
        </w:rPr>
        <w:t>և</w:t>
      </w:r>
      <w:r w:rsidRPr="007955BB">
        <w:rPr>
          <w:rFonts w:cs="Sylfaen"/>
          <w:b w:val="0"/>
          <w:szCs w:val="22"/>
          <w:lang w:val="af-ZA"/>
        </w:rPr>
        <w:t xml:space="preserve"> </w:t>
      </w:r>
      <w:r w:rsidRPr="007955BB">
        <w:rPr>
          <w:rFonts w:cs="Sylfaen"/>
          <w:b w:val="0"/>
          <w:szCs w:val="22"/>
          <w:lang w:val="hy-AM"/>
        </w:rPr>
        <w:t>ջրահեռացման</w:t>
      </w:r>
      <w:r w:rsidRPr="007955BB">
        <w:rPr>
          <w:rFonts w:cs="Sylfaen"/>
          <w:b w:val="0"/>
          <w:szCs w:val="22"/>
          <w:lang w:val="af-ZA"/>
        </w:rPr>
        <w:t xml:space="preserve"> համակարգերի հիմնանորոգման և կառուցման </w:t>
      </w:r>
      <w:r w:rsidRPr="007955BB">
        <w:rPr>
          <w:rFonts w:cs="Sylfaen"/>
          <w:b w:val="0"/>
          <w:szCs w:val="22"/>
          <w:lang w:val="hy-AM"/>
        </w:rPr>
        <w:t>աշխատանքները</w:t>
      </w:r>
      <w:r w:rsidRPr="007955BB">
        <w:rPr>
          <w:rFonts w:cs="Sylfaen"/>
          <w:b w:val="0"/>
          <w:szCs w:val="22"/>
          <w:lang w:val="af-ZA"/>
        </w:rPr>
        <w:t>:</w:t>
      </w:r>
    </w:p>
    <w:p w:rsidR="00E76006" w:rsidRPr="00E76006" w:rsidRDefault="00E76006" w:rsidP="00A914D2">
      <w:pPr>
        <w:widowControl w:val="0"/>
        <w:spacing w:line="276" w:lineRule="auto"/>
        <w:rPr>
          <w:rFonts w:cs="Sylfaen"/>
          <w:b w:val="0"/>
          <w:szCs w:val="22"/>
          <w:lang w:val="af-ZA"/>
        </w:rPr>
      </w:pPr>
      <w:r w:rsidRPr="00E76006">
        <w:rPr>
          <w:rFonts w:cs="Sylfaen"/>
          <w:b w:val="0"/>
          <w:szCs w:val="22"/>
        </w:rPr>
        <w:t>Ծրագրի</w:t>
      </w:r>
      <w:r w:rsidRPr="00E76006">
        <w:rPr>
          <w:rFonts w:cs="Sylfaen"/>
          <w:b w:val="0"/>
          <w:szCs w:val="22"/>
          <w:lang w:val="af-ZA"/>
        </w:rPr>
        <w:t xml:space="preserve"> </w:t>
      </w:r>
      <w:r w:rsidRPr="00E76006">
        <w:rPr>
          <w:rFonts w:cs="Sylfaen"/>
          <w:b w:val="0"/>
          <w:szCs w:val="22"/>
        </w:rPr>
        <w:t>շրջանակներում</w:t>
      </w:r>
      <w:r w:rsidRPr="00E76006">
        <w:rPr>
          <w:rFonts w:cs="Sylfaen"/>
          <w:b w:val="0"/>
          <w:szCs w:val="22"/>
          <w:lang w:val="af-ZA"/>
        </w:rPr>
        <w:t xml:space="preserve"> </w:t>
      </w:r>
      <w:r w:rsidRPr="00E76006">
        <w:rPr>
          <w:rFonts w:cs="Sylfaen"/>
          <w:b w:val="0"/>
          <w:szCs w:val="22"/>
        </w:rPr>
        <w:t>նախատեսվում</w:t>
      </w:r>
      <w:r w:rsidRPr="00E76006">
        <w:rPr>
          <w:rFonts w:cs="Sylfaen"/>
          <w:b w:val="0"/>
          <w:szCs w:val="22"/>
          <w:lang w:val="af-ZA"/>
        </w:rPr>
        <w:t xml:space="preserve"> </w:t>
      </w:r>
      <w:r w:rsidRPr="00E76006">
        <w:rPr>
          <w:rFonts w:cs="Sylfaen"/>
          <w:b w:val="0"/>
          <w:szCs w:val="22"/>
        </w:rPr>
        <w:t>է</w:t>
      </w:r>
      <w:r w:rsidRPr="00E76006">
        <w:rPr>
          <w:rFonts w:cs="Sylfaen"/>
          <w:b w:val="0"/>
          <w:szCs w:val="22"/>
          <w:lang w:val="af-ZA"/>
        </w:rPr>
        <w:t xml:space="preserve"> </w:t>
      </w:r>
      <w:r w:rsidRPr="00E76006">
        <w:rPr>
          <w:rFonts w:cs="Sylfaen"/>
          <w:b w:val="0"/>
          <w:szCs w:val="22"/>
        </w:rPr>
        <w:t>խմելու</w:t>
      </w:r>
      <w:r w:rsidRPr="00E76006">
        <w:rPr>
          <w:rFonts w:cs="Sylfaen"/>
          <w:b w:val="0"/>
          <w:szCs w:val="22"/>
          <w:lang w:val="af-ZA"/>
        </w:rPr>
        <w:t xml:space="preserve"> </w:t>
      </w:r>
      <w:r w:rsidRPr="00E76006">
        <w:rPr>
          <w:rFonts w:cs="Sylfaen"/>
          <w:b w:val="0"/>
          <w:szCs w:val="22"/>
        </w:rPr>
        <w:t>ջրի</w:t>
      </w:r>
      <w:r w:rsidRPr="00E76006">
        <w:rPr>
          <w:rFonts w:cs="Sylfaen"/>
          <w:b w:val="0"/>
          <w:szCs w:val="22"/>
          <w:lang w:val="af-ZA"/>
        </w:rPr>
        <w:t xml:space="preserve"> </w:t>
      </w:r>
      <w:r w:rsidRPr="00E76006">
        <w:rPr>
          <w:rFonts w:cs="Sylfaen"/>
          <w:b w:val="0"/>
          <w:szCs w:val="22"/>
        </w:rPr>
        <w:t>սակագները</w:t>
      </w:r>
      <w:r w:rsidRPr="00E76006">
        <w:rPr>
          <w:rFonts w:cs="Sylfaen"/>
          <w:b w:val="0"/>
          <w:szCs w:val="22"/>
          <w:lang w:val="af-ZA"/>
        </w:rPr>
        <w:t xml:space="preserve"> </w:t>
      </w:r>
      <w:r w:rsidRPr="00E76006">
        <w:rPr>
          <w:rFonts w:cs="Sylfaen"/>
          <w:b w:val="0"/>
          <w:szCs w:val="22"/>
        </w:rPr>
        <w:t>անփոփոխ</w:t>
      </w:r>
      <w:r w:rsidRPr="00E76006">
        <w:rPr>
          <w:rFonts w:cs="Sylfaen"/>
          <w:b w:val="0"/>
          <w:szCs w:val="22"/>
          <w:lang w:val="af-ZA"/>
        </w:rPr>
        <w:t xml:space="preserve"> </w:t>
      </w:r>
      <w:r w:rsidRPr="00E76006">
        <w:rPr>
          <w:rFonts w:cs="Sylfaen"/>
          <w:b w:val="0"/>
          <w:szCs w:val="22"/>
        </w:rPr>
        <w:t>թողնելու</w:t>
      </w:r>
      <w:r w:rsidRPr="00E76006">
        <w:rPr>
          <w:rFonts w:cs="Sylfaen"/>
          <w:b w:val="0"/>
          <w:szCs w:val="22"/>
          <w:lang w:val="af-ZA"/>
        </w:rPr>
        <w:t xml:space="preserve"> </w:t>
      </w:r>
      <w:r w:rsidRPr="00E76006">
        <w:rPr>
          <w:rFonts w:cs="Sylfaen"/>
          <w:b w:val="0"/>
          <w:szCs w:val="22"/>
        </w:rPr>
        <w:t>նպատակով</w:t>
      </w:r>
      <w:r w:rsidRPr="00E76006">
        <w:rPr>
          <w:rFonts w:cs="Sylfaen"/>
          <w:b w:val="0"/>
          <w:szCs w:val="22"/>
          <w:lang w:val="af-ZA"/>
        </w:rPr>
        <w:t xml:space="preserve"> </w:t>
      </w:r>
      <w:r w:rsidRPr="00E76006">
        <w:rPr>
          <w:rFonts w:cs="Sylfaen"/>
          <w:b w:val="0"/>
          <w:szCs w:val="22"/>
        </w:rPr>
        <w:t>սուբսիդավորել</w:t>
      </w:r>
      <w:r w:rsidRPr="00E76006">
        <w:rPr>
          <w:rFonts w:cs="Sylfaen"/>
          <w:b w:val="0"/>
          <w:szCs w:val="22"/>
          <w:lang w:val="af-ZA"/>
        </w:rPr>
        <w:t xml:space="preserve"> </w:t>
      </w:r>
      <w:r w:rsidRPr="00E76006">
        <w:rPr>
          <w:rFonts w:cs="Sylfaen"/>
          <w:b w:val="0"/>
          <w:szCs w:val="22"/>
        </w:rPr>
        <w:t>ջրամատակարարման</w:t>
      </w:r>
      <w:r w:rsidRPr="00E76006">
        <w:rPr>
          <w:rFonts w:cs="Sylfaen"/>
          <w:b w:val="0"/>
          <w:szCs w:val="22"/>
          <w:lang w:val="af-ZA"/>
        </w:rPr>
        <w:t xml:space="preserve"> </w:t>
      </w:r>
      <w:r w:rsidRPr="00E76006">
        <w:rPr>
          <w:rFonts w:cs="Sylfaen"/>
          <w:b w:val="0"/>
          <w:szCs w:val="22"/>
        </w:rPr>
        <w:t>և</w:t>
      </w:r>
      <w:r w:rsidRPr="00E76006">
        <w:rPr>
          <w:rFonts w:cs="Sylfaen"/>
          <w:b w:val="0"/>
          <w:szCs w:val="22"/>
          <w:lang w:val="af-ZA"/>
        </w:rPr>
        <w:t xml:space="preserve"> </w:t>
      </w:r>
      <w:r w:rsidRPr="00E76006">
        <w:rPr>
          <w:rFonts w:cs="Sylfaen"/>
          <w:b w:val="0"/>
          <w:szCs w:val="22"/>
        </w:rPr>
        <w:t>ջրահեռացման</w:t>
      </w:r>
      <w:r w:rsidRPr="00E76006">
        <w:rPr>
          <w:rFonts w:cs="Sylfaen"/>
          <w:b w:val="0"/>
          <w:szCs w:val="22"/>
          <w:lang w:val="af-ZA"/>
        </w:rPr>
        <w:t xml:space="preserve"> </w:t>
      </w:r>
      <w:r w:rsidRPr="00E76006">
        <w:rPr>
          <w:rFonts w:cs="Sylfaen"/>
          <w:b w:val="0"/>
          <w:szCs w:val="22"/>
        </w:rPr>
        <w:t>ծառայություններ</w:t>
      </w:r>
      <w:r w:rsidRPr="00E76006">
        <w:rPr>
          <w:rFonts w:cs="Sylfaen"/>
          <w:b w:val="0"/>
          <w:szCs w:val="22"/>
          <w:lang w:val="af-ZA"/>
        </w:rPr>
        <w:t xml:space="preserve"> </w:t>
      </w:r>
      <w:r w:rsidRPr="00E76006">
        <w:rPr>
          <w:rFonts w:cs="Sylfaen"/>
          <w:b w:val="0"/>
          <w:szCs w:val="22"/>
        </w:rPr>
        <w:t>մատուցող</w:t>
      </w:r>
      <w:r w:rsidRPr="00E76006">
        <w:rPr>
          <w:rFonts w:cs="Sylfaen"/>
          <w:b w:val="0"/>
          <w:szCs w:val="22"/>
          <w:lang w:val="af-ZA"/>
        </w:rPr>
        <w:t xml:space="preserve"> </w:t>
      </w:r>
      <w:r w:rsidRPr="00E76006">
        <w:rPr>
          <w:rFonts w:cs="Sylfaen"/>
          <w:b w:val="0"/>
          <w:szCs w:val="22"/>
        </w:rPr>
        <w:t>ընկերությանը՝</w:t>
      </w:r>
      <w:r w:rsidRPr="00E76006">
        <w:rPr>
          <w:rFonts w:cs="Sylfaen"/>
          <w:b w:val="0"/>
          <w:szCs w:val="22"/>
          <w:lang w:val="af-ZA"/>
        </w:rPr>
        <w:t xml:space="preserve"> «</w:t>
      </w:r>
      <w:r w:rsidRPr="00E76006">
        <w:rPr>
          <w:rFonts w:cs="Sylfaen"/>
          <w:b w:val="0"/>
          <w:szCs w:val="22"/>
        </w:rPr>
        <w:t>Վեոլիա</w:t>
      </w:r>
      <w:r w:rsidRPr="00E76006">
        <w:rPr>
          <w:rFonts w:cs="Sylfaen"/>
          <w:b w:val="0"/>
          <w:szCs w:val="22"/>
          <w:lang w:val="af-ZA"/>
        </w:rPr>
        <w:t xml:space="preserve"> </w:t>
      </w:r>
      <w:r w:rsidRPr="00E76006">
        <w:rPr>
          <w:rFonts w:cs="Sylfaen"/>
          <w:b w:val="0"/>
          <w:szCs w:val="22"/>
        </w:rPr>
        <w:t>Ջուր</w:t>
      </w:r>
      <w:r w:rsidRPr="00E76006">
        <w:rPr>
          <w:rFonts w:cs="Sylfaen"/>
          <w:b w:val="0"/>
          <w:szCs w:val="22"/>
          <w:lang w:val="af-ZA"/>
        </w:rPr>
        <w:t xml:space="preserve">» </w:t>
      </w:r>
      <w:r w:rsidRPr="00E76006">
        <w:rPr>
          <w:rFonts w:cs="Sylfaen"/>
          <w:b w:val="0"/>
          <w:szCs w:val="22"/>
        </w:rPr>
        <w:t>ՓԲԸ</w:t>
      </w:r>
      <w:r w:rsidRPr="00E76006">
        <w:rPr>
          <w:rFonts w:cs="Sylfaen"/>
          <w:b w:val="0"/>
          <w:szCs w:val="22"/>
          <w:lang w:val="af-ZA"/>
        </w:rPr>
        <w:t>-</w:t>
      </w:r>
      <w:r w:rsidRPr="00E76006">
        <w:rPr>
          <w:rFonts w:cs="Sylfaen"/>
          <w:b w:val="0"/>
          <w:szCs w:val="22"/>
        </w:rPr>
        <w:t>ին</w:t>
      </w:r>
      <w:r w:rsidRPr="00E76006">
        <w:rPr>
          <w:rFonts w:cs="Sylfaen"/>
          <w:b w:val="0"/>
          <w:szCs w:val="22"/>
          <w:lang w:val="af-ZA"/>
        </w:rPr>
        <w:t xml:space="preserve">: </w:t>
      </w:r>
    </w:p>
    <w:p w:rsidR="00A4471C" w:rsidRPr="007955BB" w:rsidRDefault="00A4471C" w:rsidP="00A914D2">
      <w:pPr>
        <w:widowControl w:val="0"/>
        <w:spacing w:line="276" w:lineRule="auto"/>
        <w:rPr>
          <w:b w:val="0"/>
          <w:color w:val="0D0D0D"/>
          <w:szCs w:val="22"/>
          <w:lang w:val="af-ZA"/>
        </w:rPr>
      </w:pPr>
      <w:r w:rsidRPr="007955BB">
        <w:rPr>
          <w:b w:val="0"/>
          <w:color w:val="0D0D0D"/>
          <w:szCs w:val="22"/>
          <w:lang w:val="af-ZA"/>
        </w:rPr>
        <w:t>Արտաքին աղբյուրների ֆինանսավորմամբ իրականացվող շարունակական ծրագրերի ներքո նախատեսվում է բարելավել Երևանի ջրամատակարարումը</w:t>
      </w:r>
      <w:r w:rsidRPr="007955BB">
        <w:rPr>
          <w:b w:val="0"/>
          <w:color w:val="0D0D0D"/>
          <w:szCs w:val="22"/>
          <w:lang w:val="hy-AM"/>
        </w:rPr>
        <w:t>՝</w:t>
      </w:r>
      <w:r w:rsidRPr="007955BB">
        <w:rPr>
          <w:b w:val="0"/>
          <w:color w:val="0D0D0D"/>
          <w:szCs w:val="22"/>
          <w:lang w:val="af-ZA"/>
        </w:rPr>
        <w:t xml:space="preserve"> Հաղթանակ, Սիլիկյան և Մալաթիա թաղամասերում, ինչպես նաև </w:t>
      </w:r>
      <w:r w:rsidRPr="007955BB">
        <w:rPr>
          <w:b w:val="0"/>
          <w:color w:val="0D0D0D"/>
          <w:szCs w:val="22"/>
          <w:lang w:val="hy-AM"/>
        </w:rPr>
        <w:t xml:space="preserve">իրականացնել </w:t>
      </w:r>
      <w:r w:rsidRPr="007955BB">
        <w:rPr>
          <w:b w:val="0"/>
          <w:color w:val="0D0D0D"/>
          <w:szCs w:val="22"/>
          <w:lang w:val="af-ZA"/>
        </w:rPr>
        <w:t xml:space="preserve">ՀՀ մարզերում մեկնարկած ջրամատակարարման և ջրահեռացման համակարգերի վերականգնման աշխատանքները։ Երևանում նախատեսվում է նորոգել ընդհանուր առմամբ </w:t>
      </w:r>
      <w:r w:rsidRPr="007955BB">
        <w:rPr>
          <w:b w:val="0"/>
          <w:color w:val="0D0D0D"/>
          <w:szCs w:val="22"/>
          <w:lang w:val="hy-AM"/>
        </w:rPr>
        <w:t>51</w:t>
      </w:r>
      <w:r w:rsidRPr="007955BB">
        <w:rPr>
          <w:b w:val="0"/>
          <w:color w:val="0D0D0D"/>
          <w:szCs w:val="22"/>
          <w:lang w:val="af-ZA"/>
        </w:rPr>
        <w:t xml:space="preserve"> կմ ջրագիծ, 26,4 կմ մուտքագիծ և </w:t>
      </w:r>
      <w:r w:rsidRPr="007955BB">
        <w:rPr>
          <w:b w:val="0"/>
          <w:color w:val="0D0D0D"/>
          <w:szCs w:val="22"/>
          <w:lang w:val="hy-AM"/>
        </w:rPr>
        <w:t>3200</w:t>
      </w:r>
      <w:r w:rsidRPr="007955BB">
        <w:rPr>
          <w:b w:val="0"/>
          <w:color w:val="0D0D0D"/>
          <w:szCs w:val="22"/>
          <w:lang w:val="af-ZA"/>
        </w:rPr>
        <w:t xml:space="preserve"> հատ տնային միացումներ։ ՀՀ մարզերում ընդհանուր առմամբ նախատեսվում է նորոգել 255,5 կմ ջրագիծ, 10.5 կմ կոյուղագիծ և </w:t>
      </w:r>
      <w:r w:rsidR="00DF08A3">
        <w:rPr>
          <w:b w:val="0"/>
          <w:color w:val="0D0D0D"/>
          <w:szCs w:val="22"/>
          <w:lang w:val="af-ZA"/>
        </w:rPr>
        <w:t xml:space="preserve">իրականացնել </w:t>
      </w:r>
      <w:r w:rsidRPr="007955BB">
        <w:rPr>
          <w:b w:val="0"/>
          <w:color w:val="0D0D0D"/>
          <w:szCs w:val="22"/>
          <w:lang w:val="af-ZA"/>
        </w:rPr>
        <w:t>8700 հատ տնային միացումներ։</w:t>
      </w:r>
    </w:p>
    <w:p w:rsidR="00A4471C" w:rsidRPr="007955BB" w:rsidRDefault="00A4471C" w:rsidP="00A4471C">
      <w:pPr>
        <w:widowControl w:val="0"/>
        <w:spacing w:line="276" w:lineRule="auto"/>
        <w:rPr>
          <w:b w:val="0"/>
          <w:szCs w:val="22"/>
          <w:lang w:val="af-ZA"/>
        </w:rPr>
      </w:pPr>
      <w:r w:rsidRPr="007955BB">
        <w:rPr>
          <w:rFonts w:cs="Sylfaen"/>
          <w:szCs w:val="22"/>
          <w:lang w:val="hy-AM"/>
        </w:rPr>
        <w:t>Ընդերքի</w:t>
      </w:r>
      <w:r w:rsidRPr="007955BB">
        <w:rPr>
          <w:rFonts w:cs="Sylfaen"/>
          <w:szCs w:val="22"/>
          <w:lang w:val="af-ZA"/>
        </w:rPr>
        <w:t xml:space="preserve"> </w:t>
      </w:r>
      <w:r w:rsidRPr="007955BB">
        <w:rPr>
          <w:rFonts w:cs="Sylfaen"/>
          <w:szCs w:val="22"/>
          <w:lang w:val="hy-AM"/>
        </w:rPr>
        <w:t>ուսումնասիրության</w:t>
      </w:r>
      <w:r w:rsidRPr="007955BB">
        <w:rPr>
          <w:rFonts w:cs="Sylfaen"/>
          <w:szCs w:val="22"/>
          <w:lang w:val="af-ZA"/>
        </w:rPr>
        <w:t xml:space="preserve">, </w:t>
      </w:r>
      <w:r w:rsidRPr="007955BB">
        <w:rPr>
          <w:rFonts w:cs="Sylfaen"/>
          <w:szCs w:val="22"/>
          <w:lang w:val="hy-AM"/>
        </w:rPr>
        <w:t>օգտագործման</w:t>
      </w:r>
      <w:r w:rsidRPr="007955BB">
        <w:rPr>
          <w:rFonts w:cs="Sylfaen"/>
          <w:szCs w:val="22"/>
          <w:lang w:val="af-ZA"/>
        </w:rPr>
        <w:t xml:space="preserve"> </w:t>
      </w:r>
      <w:r w:rsidRPr="007955BB">
        <w:rPr>
          <w:rFonts w:cs="Sylfaen"/>
          <w:szCs w:val="22"/>
          <w:lang w:val="hy-AM"/>
        </w:rPr>
        <w:t>և</w:t>
      </w:r>
      <w:r w:rsidRPr="007955BB">
        <w:rPr>
          <w:rFonts w:cs="Sylfaen"/>
          <w:szCs w:val="22"/>
          <w:lang w:val="af-ZA"/>
        </w:rPr>
        <w:t xml:space="preserve"> </w:t>
      </w:r>
      <w:r w:rsidRPr="007955BB">
        <w:rPr>
          <w:rFonts w:cs="Sylfaen"/>
          <w:szCs w:val="22"/>
          <w:lang w:val="hy-AM"/>
        </w:rPr>
        <w:t>պահպանման</w:t>
      </w:r>
      <w:r w:rsidRPr="007955BB">
        <w:rPr>
          <w:rFonts w:cs="Sylfaen"/>
          <w:szCs w:val="22"/>
          <w:lang w:val="af-ZA"/>
        </w:rPr>
        <w:t xml:space="preserve"> </w:t>
      </w:r>
      <w:r w:rsidRPr="007955BB">
        <w:rPr>
          <w:rFonts w:cs="Sylfaen"/>
          <w:szCs w:val="22"/>
          <w:lang w:val="hy-AM"/>
        </w:rPr>
        <w:t xml:space="preserve">ծառայություններ </w:t>
      </w:r>
      <w:r w:rsidRPr="007955BB">
        <w:rPr>
          <w:b w:val="0"/>
          <w:szCs w:val="22"/>
          <w:lang w:val="hy-AM"/>
        </w:rPr>
        <w:t>ծրագրի</w:t>
      </w:r>
      <w:r w:rsidRPr="007955BB">
        <w:rPr>
          <w:b w:val="0"/>
          <w:szCs w:val="22"/>
          <w:lang w:val="af-ZA"/>
        </w:rPr>
        <w:t xml:space="preserve"> </w:t>
      </w:r>
      <w:r w:rsidRPr="007955BB">
        <w:rPr>
          <w:b w:val="0"/>
          <w:szCs w:val="22"/>
          <w:lang w:val="hy-AM"/>
        </w:rPr>
        <w:t>գծով</w:t>
      </w:r>
      <w:r w:rsidRPr="007955BB">
        <w:rPr>
          <w:b w:val="0"/>
          <w:szCs w:val="22"/>
          <w:lang w:val="af-ZA"/>
        </w:rPr>
        <w:t xml:space="preserve"> 2023 </w:t>
      </w:r>
      <w:r w:rsidRPr="007955BB">
        <w:rPr>
          <w:b w:val="0"/>
          <w:szCs w:val="22"/>
          <w:lang w:val="hy-AM"/>
        </w:rPr>
        <w:t>թվականին</w:t>
      </w:r>
      <w:r w:rsidRPr="007955BB">
        <w:rPr>
          <w:b w:val="0"/>
          <w:szCs w:val="22"/>
          <w:lang w:val="af-ZA"/>
        </w:rPr>
        <w:t xml:space="preserve"> </w:t>
      </w:r>
      <w:r w:rsidRPr="007955BB">
        <w:rPr>
          <w:b w:val="0"/>
          <w:szCs w:val="22"/>
          <w:lang w:val="hy-AM"/>
        </w:rPr>
        <w:t>նախատեսվել</w:t>
      </w:r>
      <w:r w:rsidRPr="007955BB">
        <w:rPr>
          <w:b w:val="0"/>
          <w:szCs w:val="22"/>
          <w:lang w:val="af-ZA"/>
        </w:rPr>
        <w:t xml:space="preserve"> </w:t>
      </w:r>
      <w:r w:rsidRPr="007955BB">
        <w:rPr>
          <w:b w:val="0"/>
          <w:szCs w:val="22"/>
          <w:lang w:val="hy-AM"/>
        </w:rPr>
        <w:t>է</w:t>
      </w:r>
      <w:r w:rsidRPr="007955BB">
        <w:rPr>
          <w:b w:val="0"/>
          <w:szCs w:val="22"/>
          <w:lang w:val="af-ZA"/>
        </w:rPr>
        <w:t xml:space="preserve"> 29.4 </w:t>
      </w:r>
      <w:r w:rsidRPr="007955BB">
        <w:rPr>
          <w:b w:val="0"/>
          <w:szCs w:val="22"/>
          <w:lang w:val="hy-AM"/>
        </w:rPr>
        <w:t>մլն</w:t>
      </w:r>
      <w:r w:rsidRPr="007955BB">
        <w:rPr>
          <w:b w:val="0"/>
          <w:szCs w:val="22"/>
          <w:lang w:val="af-ZA"/>
        </w:rPr>
        <w:t xml:space="preserve"> </w:t>
      </w:r>
      <w:r w:rsidRPr="007955BB">
        <w:rPr>
          <w:b w:val="0"/>
          <w:szCs w:val="22"/>
          <w:lang w:val="hy-AM"/>
        </w:rPr>
        <w:t>դրամ</w:t>
      </w:r>
      <w:r w:rsidRPr="007955BB">
        <w:rPr>
          <w:b w:val="0"/>
          <w:szCs w:val="22"/>
          <w:lang w:val="af-ZA"/>
        </w:rPr>
        <w:t>.</w:t>
      </w:r>
    </w:p>
    <w:p w:rsidR="00A4471C" w:rsidRPr="007955BB" w:rsidRDefault="00A4471C" w:rsidP="00A4471C">
      <w:pPr>
        <w:spacing w:line="276" w:lineRule="auto"/>
        <w:rPr>
          <w:b w:val="0"/>
          <w:lang w:val="af-ZA"/>
        </w:rPr>
      </w:pPr>
      <w:r w:rsidRPr="007955BB">
        <w:rPr>
          <w:b w:val="0"/>
          <w:lang w:val="hy-AM"/>
        </w:rPr>
        <w:t>Ծրագրի</w:t>
      </w:r>
      <w:r w:rsidRPr="007955BB">
        <w:rPr>
          <w:b w:val="0"/>
          <w:lang w:val="af-ZA"/>
        </w:rPr>
        <w:t xml:space="preserve"> </w:t>
      </w:r>
      <w:r w:rsidRPr="007955BB">
        <w:rPr>
          <w:b w:val="0"/>
          <w:lang w:val="hy-AM"/>
        </w:rPr>
        <w:t>նպատակն</w:t>
      </w:r>
      <w:r w:rsidRPr="007955BB">
        <w:rPr>
          <w:b w:val="0"/>
          <w:lang w:val="af-ZA"/>
        </w:rPr>
        <w:t xml:space="preserve"> </w:t>
      </w:r>
      <w:r w:rsidRPr="007955BB">
        <w:rPr>
          <w:b w:val="0"/>
          <w:lang w:val="hy-AM"/>
        </w:rPr>
        <w:t>է</w:t>
      </w:r>
      <w:r w:rsidRPr="007955BB">
        <w:rPr>
          <w:b w:val="0"/>
          <w:lang w:val="af-ZA"/>
        </w:rPr>
        <w:t xml:space="preserve"> </w:t>
      </w:r>
      <w:r w:rsidRPr="007955BB">
        <w:rPr>
          <w:b w:val="0"/>
        </w:rPr>
        <w:t>ե</w:t>
      </w:r>
      <w:r w:rsidRPr="007955BB">
        <w:rPr>
          <w:b w:val="0"/>
          <w:lang w:val="en-US"/>
        </w:rPr>
        <w:t>րկրաբանական</w:t>
      </w:r>
      <w:r w:rsidRPr="007955BB">
        <w:rPr>
          <w:b w:val="0"/>
          <w:lang w:val="af-ZA"/>
        </w:rPr>
        <w:t xml:space="preserve"> </w:t>
      </w:r>
      <w:r w:rsidRPr="007955BB">
        <w:rPr>
          <w:b w:val="0"/>
          <w:lang w:val="en-US"/>
        </w:rPr>
        <w:t>տեղեկության</w:t>
      </w:r>
      <w:r w:rsidRPr="007955BB">
        <w:rPr>
          <w:b w:val="0"/>
          <w:lang w:val="af-ZA"/>
        </w:rPr>
        <w:t xml:space="preserve"> </w:t>
      </w:r>
      <w:r w:rsidRPr="007955BB">
        <w:rPr>
          <w:b w:val="0"/>
          <w:lang w:val="en-US"/>
        </w:rPr>
        <w:t>ընդունում</w:t>
      </w:r>
      <w:r w:rsidRPr="007955BB">
        <w:rPr>
          <w:b w:val="0"/>
        </w:rPr>
        <w:t>ը</w:t>
      </w:r>
      <w:r w:rsidRPr="007955BB">
        <w:rPr>
          <w:b w:val="0"/>
          <w:lang w:val="af-ZA"/>
        </w:rPr>
        <w:t xml:space="preserve"> </w:t>
      </w:r>
      <w:r w:rsidRPr="007955BB">
        <w:rPr>
          <w:b w:val="0"/>
          <w:lang w:val="en-US"/>
        </w:rPr>
        <w:t>և</w:t>
      </w:r>
      <w:r w:rsidRPr="007955BB">
        <w:rPr>
          <w:b w:val="0"/>
          <w:lang w:val="af-ZA"/>
        </w:rPr>
        <w:t xml:space="preserve"> </w:t>
      </w:r>
      <w:r w:rsidRPr="007955BB">
        <w:rPr>
          <w:b w:val="0"/>
          <w:lang w:val="en-US"/>
        </w:rPr>
        <w:t>պահպանում</w:t>
      </w:r>
      <w:r w:rsidRPr="007955BB">
        <w:rPr>
          <w:b w:val="0"/>
        </w:rPr>
        <w:t>ը</w:t>
      </w:r>
      <w:r w:rsidRPr="007955BB">
        <w:rPr>
          <w:b w:val="0"/>
          <w:lang w:val="af-ZA"/>
        </w:rPr>
        <w:t xml:space="preserve">, </w:t>
      </w:r>
      <w:r w:rsidRPr="007955BB">
        <w:rPr>
          <w:b w:val="0"/>
          <w:lang w:val="en-US"/>
        </w:rPr>
        <w:t>ընդերքօգտագործման</w:t>
      </w:r>
      <w:r w:rsidRPr="007955BB">
        <w:rPr>
          <w:b w:val="0"/>
          <w:lang w:val="af-ZA"/>
        </w:rPr>
        <w:t xml:space="preserve"> </w:t>
      </w:r>
      <w:r w:rsidRPr="007955BB">
        <w:rPr>
          <w:b w:val="0"/>
          <w:lang w:val="en-US"/>
        </w:rPr>
        <w:t>ֆոնդի</w:t>
      </w:r>
      <w:r w:rsidRPr="007955BB">
        <w:rPr>
          <w:b w:val="0"/>
          <w:lang w:val="af-ZA"/>
        </w:rPr>
        <w:t xml:space="preserve"> </w:t>
      </w:r>
      <w:r w:rsidRPr="007955BB">
        <w:rPr>
          <w:b w:val="0"/>
          <w:lang w:val="en-US"/>
        </w:rPr>
        <w:t>ստեղծում</w:t>
      </w:r>
      <w:r w:rsidRPr="007955BB">
        <w:rPr>
          <w:b w:val="0"/>
        </w:rPr>
        <w:t>ը</w:t>
      </w:r>
      <w:r w:rsidRPr="007955BB">
        <w:rPr>
          <w:b w:val="0"/>
          <w:lang w:val="af-ZA"/>
        </w:rPr>
        <w:t xml:space="preserve"> </w:t>
      </w:r>
      <w:r w:rsidRPr="007955BB">
        <w:rPr>
          <w:b w:val="0"/>
          <w:lang w:val="en-US"/>
        </w:rPr>
        <w:t>և</w:t>
      </w:r>
      <w:r w:rsidRPr="007955BB">
        <w:rPr>
          <w:b w:val="0"/>
          <w:lang w:val="af-ZA"/>
        </w:rPr>
        <w:t xml:space="preserve"> </w:t>
      </w:r>
      <w:r w:rsidRPr="007955BB">
        <w:rPr>
          <w:b w:val="0"/>
          <w:lang w:val="en-US"/>
        </w:rPr>
        <w:t>վարում</w:t>
      </w:r>
      <w:r w:rsidRPr="007955BB">
        <w:rPr>
          <w:b w:val="0"/>
        </w:rPr>
        <w:t>ը</w:t>
      </w:r>
      <w:r w:rsidRPr="007955BB">
        <w:rPr>
          <w:b w:val="0"/>
          <w:lang w:val="af-ZA"/>
        </w:rPr>
        <w:t xml:space="preserve">, </w:t>
      </w:r>
      <w:r w:rsidRPr="007955BB">
        <w:rPr>
          <w:b w:val="0"/>
          <w:lang w:val="en-US"/>
        </w:rPr>
        <w:t>պաշարների</w:t>
      </w:r>
      <w:r w:rsidRPr="007955BB">
        <w:rPr>
          <w:b w:val="0"/>
          <w:lang w:val="af-ZA"/>
        </w:rPr>
        <w:t xml:space="preserve"> </w:t>
      </w:r>
      <w:r w:rsidRPr="007955BB">
        <w:rPr>
          <w:b w:val="0"/>
          <w:lang w:val="en-US"/>
        </w:rPr>
        <w:t>պետական</w:t>
      </w:r>
      <w:r w:rsidRPr="007955BB">
        <w:rPr>
          <w:b w:val="0"/>
          <w:lang w:val="af-ZA"/>
        </w:rPr>
        <w:t xml:space="preserve"> </w:t>
      </w:r>
      <w:r w:rsidRPr="007955BB">
        <w:rPr>
          <w:b w:val="0"/>
          <w:lang w:val="en-US"/>
        </w:rPr>
        <w:t>հաշվեկշռի</w:t>
      </w:r>
      <w:r w:rsidRPr="007955BB">
        <w:rPr>
          <w:b w:val="0"/>
          <w:lang w:val="af-ZA"/>
        </w:rPr>
        <w:t xml:space="preserve">, </w:t>
      </w:r>
      <w:r w:rsidRPr="007955BB">
        <w:rPr>
          <w:b w:val="0"/>
          <w:lang w:val="en-US"/>
        </w:rPr>
        <w:t>հանքավայրերի</w:t>
      </w:r>
      <w:r w:rsidRPr="007955BB">
        <w:rPr>
          <w:b w:val="0"/>
          <w:lang w:val="af-ZA"/>
        </w:rPr>
        <w:t xml:space="preserve"> </w:t>
      </w:r>
      <w:r w:rsidRPr="007955BB">
        <w:rPr>
          <w:b w:val="0"/>
          <w:lang w:val="en-US"/>
        </w:rPr>
        <w:t>և</w:t>
      </w:r>
      <w:r w:rsidRPr="007955BB">
        <w:rPr>
          <w:b w:val="0"/>
          <w:lang w:val="af-ZA"/>
        </w:rPr>
        <w:t xml:space="preserve"> </w:t>
      </w:r>
      <w:r w:rsidRPr="007955BB">
        <w:rPr>
          <w:b w:val="0"/>
          <w:lang w:val="en-US"/>
        </w:rPr>
        <w:t>երևակումների</w:t>
      </w:r>
      <w:r w:rsidRPr="007955BB">
        <w:rPr>
          <w:b w:val="0"/>
          <w:lang w:val="af-ZA"/>
        </w:rPr>
        <w:t xml:space="preserve"> </w:t>
      </w:r>
      <w:r w:rsidRPr="007955BB">
        <w:rPr>
          <w:b w:val="0"/>
          <w:lang w:val="en-US"/>
        </w:rPr>
        <w:t>պետական</w:t>
      </w:r>
      <w:r w:rsidRPr="007955BB">
        <w:rPr>
          <w:b w:val="0"/>
          <w:lang w:val="af-ZA"/>
        </w:rPr>
        <w:t xml:space="preserve"> </w:t>
      </w:r>
      <w:r w:rsidRPr="007955BB">
        <w:rPr>
          <w:b w:val="0"/>
          <w:lang w:val="en-US"/>
        </w:rPr>
        <w:t>կադաստրի</w:t>
      </w:r>
      <w:r w:rsidRPr="007955BB">
        <w:rPr>
          <w:b w:val="0"/>
          <w:lang w:val="af-ZA"/>
        </w:rPr>
        <w:t xml:space="preserve"> </w:t>
      </w:r>
      <w:r w:rsidRPr="007955BB">
        <w:rPr>
          <w:b w:val="0"/>
          <w:lang w:val="en-US"/>
        </w:rPr>
        <w:t>վարումը</w:t>
      </w:r>
      <w:r w:rsidRPr="007955BB">
        <w:rPr>
          <w:b w:val="0"/>
          <w:lang w:val="af-ZA"/>
        </w:rPr>
        <w:t xml:space="preserve">, </w:t>
      </w:r>
      <w:r w:rsidRPr="007955BB">
        <w:rPr>
          <w:b w:val="0"/>
          <w:lang w:val="en-US"/>
        </w:rPr>
        <w:t>իրավունքների</w:t>
      </w:r>
      <w:r w:rsidRPr="007955BB">
        <w:rPr>
          <w:b w:val="0"/>
          <w:lang w:val="af-ZA"/>
        </w:rPr>
        <w:t xml:space="preserve"> </w:t>
      </w:r>
      <w:r w:rsidRPr="007955BB">
        <w:rPr>
          <w:b w:val="0"/>
          <w:lang w:val="en-US"/>
        </w:rPr>
        <w:t>պետական</w:t>
      </w:r>
      <w:r w:rsidRPr="007955BB">
        <w:rPr>
          <w:b w:val="0"/>
          <w:lang w:val="af-ZA"/>
        </w:rPr>
        <w:t xml:space="preserve"> </w:t>
      </w:r>
      <w:r w:rsidRPr="007955BB">
        <w:rPr>
          <w:b w:val="0"/>
          <w:lang w:val="en-US"/>
        </w:rPr>
        <w:t>հաշվառումը</w:t>
      </w:r>
      <w:r w:rsidRPr="007955BB">
        <w:rPr>
          <w:b w:val="0"/>
          <w:lang w:val="af-ZA"/>
        </w:rPr>
        <w:t xml:space="preserve">, </w:t>
      </w:r>
      <w:r w:rsidRPr="007955BB">
        <w:rPr>
          <w:b w:val="0"/>
          <w:lang w:val="en-US"/>
        </w:rPr>
        <w:t>տեղեկատվության</w:t>
      </w:r>
      <w:r w:rsidRPr="007955BB">
        <w:rPr>
          <w:b w:val="0"/>
          <w:lang w:val="af-ZA"/>
        </w:rPr>
        <w:t xml:space="preserve"> </w:t>
      </w:r>
      <w:r w:rsidRPr="007955BB">
        <w:rPr>
          <w:b w:val="0"/>
          <w:lang w:val="en-US"/>
        </w:rPr>
        <w:t>վերլուծումը</w:t>
      </w:r>
      <w:r w:rsidRPr="007955BB">
        <w:rPr>
          <w:b w:val="0"/>
          <w:lang w:val="af-ZA"/>
        </w:rPr>
        <w:t xml:space="preserve"> </w:t>
      </w:r>
      <w:r w:rsidRPr="007955BB">
        <w:rPr>
          <w:b w:val="0"/>
          <w:lang w:val="en-US"/>
        </w:rPr>
        <w:t>և</w:t>
      </w:r>
      <w:r w:rsidRPr="007955BB">
        <w:rPr>
          <w:b w:val="0"/>
          <w:lang w:val="af-ZA"/>
        </w:rPr>
        <w:t xml:space="preserve"> </w:t>
      </w:r>
      <w:r w:rsidRPr="007955BB">
        <w:rPr>
          <w:b w:val="0"/>
          <w:lang w:val="en-US"/>
        </w:rPr>
        <w:t>տրամադրումը</w:t>
      </w:r>
      <w:r w:rsidRPr="007955BB">
        <w:rPr>
          <w:b w:val="0"/>
          <w:lang w:val="af-ZA"/>
        </w:rPr>
        <w:t>:</w:t>
      </w:r>
    </w:p>
    <w:p w:rsidR="00A4471C" w:rsidRPr="007955BB" w:rsidRDefault="00A4471C" w:rsidP="00A4471C">
      <w:pPr>
        <w:spacing w:line="276" w:lineRule="auto"/>
        <w:rPr>
          <w:b w:val="0"/>
          <w:lang w:val="af-ZA"/>
        </w:rPr>
      </w:pPr>
      <w:r w:rsidRPr="007955BB">
        <w:rPr>
          <w:rFonts w:ascii="Calibri" w:hAnsi="Calibri" w:cs="Calibri"/>
          <w:b w:val="0"/>
          <w:lang w:val="af-ZA"/>
        </w:rPr>
        <w:t> </w:t>
      </w:r>
      <w:r w:rsidRPr="007955BB">
        <w:rPr>
          <w:b w:val="0"/>
          <w:lang w:val="af-ZA"/>
        </w:rPr>
        <w:t xml:space="preserve"> </w:t>
      </w:r>
      <w:r w:rsidRPr="007955BB">
        <w:rPr>
          <w:b w:val="0"/>
          <w:lang w:val="en-US"/>
        </w:rPr>
        <w:t>Ծրագրի</w:t>
      </w:r>
      <w:r w:rsidRPr="007955BB">
        <w:rPr>
          <w:b w:val="0"/>
          <w:lang w:val="af-ZA"/>
        </w:rPr>
        <w:t xml:space="preserve"> </w:t>
      </w:r>
      <w:r w:rsidRPr="007955BB">
        <w:rPr>
          <w:b w:val="0"/>
          <w:lang w:val="en-US"/>
        </w:rPr>
        <w:t>շրջանակներում</w:t>
      </w:r>
      <w:r w:rsidRPr="007955BB">
        <w:rPr>
          <w:b w:val="0"/>
          <w:lang w:val="af-ZA"/>
        </w:rPr>
        <w:t xml:space="preserve"> </w:t>
      </w:r>
      <w:r w:rsidRPr="007955BB">
        <w:rPr>
          <w:b w:val="0"/>
          <w:lang w:val="en-US"/>
        </w:rPr>
        <w:t>նախատեսվում</w:t>
      </w:r>
      <w:r w:rsidRPr="007955BB">
        <w:rPr>
          <w:b w:val="0"/>
          <w:lang w:val="af-ZA"/>
        </w:rPr>
        <w:t xml:space="preserve"> </w:t>
      </w:r>
      <w:r w:rsidRPr="007955BB">
        <w:rPr>
          <w:b w:val="0"/>
          <w:lang w:val="en-US"/>
        </w:rPr>
        <w:t>է</w:t>
      </w:r>
      <w:r w:rsidRPr="007955BB">
        <w:rPr>
          <w:b w:val="0"/>
          <w:lang w:val="af-ZA"/>
        </w:rPr>
        <w:t xml:space="preserve"> 1570 </w:t>
      </w:r>
      <w:r w:rsidRPr="007955BB">
        <w:rPr>
          <w:b w:val="0"/>
          <w:lang w:val="en-US"/>
        </w:rPr>
        <w:t>երկրաբանական</w:t>
      </w:r>
      <w:r w:rsidRPr="007955BB">
        <w:rPr>
          <w:b w:val="0"/>
          <w:lang w:val="af-ZA"/>
        </w:rPr>
        <w:t xml:space="preserve"> </w:t>
      </w:r>
      <w:r w:rsidRPr="007955BB">
        <w:rPr>
          <w:b w:val="0"/>
          <w:lang w:val="en-US"/>
        </w:rPr>
        <w:t>նյութերի</w:t>
      </w:r>
      <w:r w:rsidRPr="007955BB">
        <w:rPr>
          <w:b w:val="0"/>
          <w:lang w:val="af-ZA"/>
        </w:rPr>
        <w:t xml:space="preserve"> </w:t>
      </w:r>
      <w:r w:rsidRPr="007955BB">
        <w:rPr>
          <w:b w:val="0"/>
          <w:lang w:val="en-US"/>
        </w:rPr>
        <w:t>ուսումնասիրությունների</w:t>
      </w:r>
      <w:r w:rsidRPr="007955BB">
        <w:rPr>
          <w:b w:val="0"/>
          <w:lang w:val="af-ZA"/>
        </w:rPr>
        <w:t xml:space="preserve"> </w:t>
      </w:r>
      <w:r w:rsidRPr="007955BB">
        <w:rPr>
          <w:b w:val="0"/>
          <w:lang w:val="en-US"/>
        </w:rPr>
        <w:t>վերաբերյալ</w:t>
      </w:r>
      <w:r w:rsidRPr="007955BB">
        <w:rPr>
          <w:b w:val="0"/>
          <w:lang w:val="af-ZA"/>
        </w:rPr>
        <w:t xml:space="preserve"> </w:t>
      </w:r>
      <w:r w:rsidRPr="007955BB">
        <w:rPr>
          <w:b w:val="0"/>
          <w:lang w:val="en-US"/>
        </w:rPr>
        <w:t>տեղեկությունների</w:t>
      </w:r>
      <w:r w:rsidRPr="007955BB">
        <w:rPr>
          <w:b w:val="0"/>
          <w:lang w:val="af-ZA"/>
        </w:rPr>
        <w:t xml:space="preserve"> </w:t>
      </w:r>
      <w:r w:rsidRPr="007955BB">
        <w:rPr>
          <w:b w:val="0"/>
          <w:lang w:val="en-US"/>
        </w:rPr>
        <w:t>ընդունում</w:t>
      </w:r>
      <w:r w:rsidRPr="007955BB">
        <w:rPr>
          <w:b w:val="0"/>
          <w:lang w:val="af-ZA"/>
        </w:rPr>
        <w:t xml:space="preserve">, </w:t>
      </w:r>
      <w:r w:rsidRPr="007955BB">
        <w:rPr>
          <w:b w:val="0"/>
          <w:lang w:val="en-US"/>
        </w:rPr>
        <w:t>թվայնացում</w:t>
      </w:r>
      <w:r w:rsidRPr="007955BB">
        <w:rPr>
          <w:b w:val="0"/>
          <w:lang w:val="af-ZA"/>
        </w:rPr>
        <w:t xml:space="preserve"> </w:t>
      </w:r>
      <w:r w:rsidRPr="007955BB">
        <w:rPr>
          <w:b w:val="0"/>
          <w:lang w:val="en-US"/>
        </w:rPr>
        <w:t>և</w:t>
      </w:r>
      <w:r w:rsidRPr="007955BB">
        <w:rPr>
          <w:b w:val="0"/>
          <w:lang w:val="af-ZA"/>
        </w:rPr>
        <w:t xml:space="preserve"> </w:t>
      </w:r>
      <w:r w:rsidRPr="007955BB">
        <w:rPr>
          <w:b w:val="0"/>
          <w:lang w:val="en-US"/>
        </w:rPr>
        <w:t>կայքում</w:t>
      </w:r>
      <w:r w:rsidRPr="007955BB">
        <w:rPr>
          <w:b w:val="0"/>
          <w:lang w:val="af-ZA"/>
        </w:rPr>
        <w:t xml:space="preserve"> </w:t>
      </w:r>
      <w:r w:rsidRPr="007955BB">
        <w:rPr>
          <w:b w:val="0"/>
          <w:lang w:val="en-US"/>
        </w:rPr>
        <w:t>տեղադրում</w:t>
      </w:r>
      <w:r w:rsidRPr="007955BB">
        <w:rPr>
          <w:b w:val="0"/>
          <w:lang w:val="af-ZA"/>
        </w:rPr>
        <w:t xml:space="preserve">, 965 </w:t>
      </w:r>
      <w:r w:rsidRPr="007955BB">
        <w:rPr>
          <w:b w:val="0"/>
          <w:lang w:val="en-US"/>
        </w:rPr>
        <w:t>հանքավայրերի</w:t>
      </w:r>
      <w:r w:rsidRPr="007955BB">
        <w:rPr>
          <w:b w:val="0"/>
          <w:lang w:val="af-ZA"/>
        </w:rPr>
        <w:t xml:space="preserve"> </w:t>
      </w:r>
      <w:r w:rsidRPr="007955BB">
        <w:rPr>
          <w:b w:val="0"/>
          <w:lang w:val="en-US"/>
        </w:rPr>
        <w:t>օգտակար</w:t>
      </w:r>
      <w:r w:rsidRPr="007955BB">
        <w:rPr>
          <w:b w:val="0"/>
          <w:lang w:val="af-ZA"/>
        </w:rPr>
        <w:t xml:space="preserve"> </w:t>
      </w:r>
      <w:r w:rsidRPr="007955BB">
        <w:rPr>
          <w:b w:val="0"/>
          <w:lang w:val="en-US"/>
        </w:rPr>
        <w:t>հանածոների</w:t>
      </w:r>
      <w:r w:rsidRPr="007955BB">
        <w:rPr>
          <w:b w:val="0"/>
          <w:lang w:val="af-ZA"/>
        </w:rPr>
        <w:t xml:space="preserve"> </w:t>
      </w:r>
      <w:r w:rsidRPr="007955BB">
        <w:rPr>
          <w:b w:val="0"/>
          <w:lang w:val="en-US"/>
        </w:rPr>
        <w:t>պաշարների</w:t>
      </w:r>
      <w:r w:rsidRPr="007955BB">
        <w:rPr>
          <w:b w:val="0"/>
          <w:lang w:val="af-ZA"/>
        </w:rPr>
        <w:t xml:space="preserve">, 150 </w:t>
      </w:r>
      <w:r w:rsidRPr="007955BB">
        <w:rPr>
          <w:b w:val="0"/>
          <w:lang w:val="en-US"/>
        </w:rPr>
        <w:t>ընդերքի</w:t>
      </w:r>
      <w:r w:rsidRPr="007955BB">
        <w:rPr>
          <w:b w:val="0"/>
          <w:lang w:val="af-ZA"/>
        </w:rPr>
        <w:t xml:space="preserve"> </w:t>
      </w:r>
      <w:r w:rsidRPr="007955BB">
        <w:rPr>
          <w:b w:val="0"/>
          <w:lang w:val="en-US"/>
        </w:rPr>
        <w:t>տեղամասերի</w:t>
      </w:r>
      <w:r w:rsidRPr="007955BB">
        <w:rPr>
          <w:b w:val="0"/>
          <w:lang w:val="af-ZA"/>
        </w:rPr>
        <w:t xml:space="preserve"> </w:t>
      </w:r>
      <w:r w:rsidRPr="007955BB">
        <w:rPr>
          <w:b w:val="0"/>
          <w:lang w:val="en-US"/>
        </w:rPr>
        <w:t>ներկայացված</w:t>
      </w:r>
      <w:r w:rsidRPr="007955BB">
        <w:rPr>
          <w:b w:val="0"/>
          <w:lang w:val="af-ZA"/>
        </w:rPr>
        <w:t xml:space="preserve"> </w:t>
      </w:r>
      <w:r w:rsidRPr="007955BB">
        <w:rPr>
          <w:b w:val="0"/>
          <w:lang w:val="en-US"/>
        </w:rPr>
        <w:t>կոորդինատների</w:t>
      </w:r>
      <w:r w:rsidRPr="007955BB">
        <w:rPr>
          <w:b w:val="0"/>
          <w:lang w:val="af-ZA"/>
        </w:rPr>
        <w:t xml:space="preserve"> </w:t>
      </w:r>
      <w:r w:rsidRPr="007955BB">
        <w:rPr>
          <w:b w:val="0"/>
          <w:lang w:val="en-US"/>
        </w:rPr>
        <w:t>վերաբերյալ</w:t>
      </w:r>
      <w:r w:rsidRPr="007955BB">
        <w:rPr>
          <w:b w:val="0"/>
          <w:lang w:val="af-ZA"/>
        </w:rPr>
        <w:t xml:space="preserve"> </w:t>
      </w:r>
      <w:r w:rsidRPr="007955BB">
        <w:rPr>
          <w:b w:val="0"/>
          <w:lang w:val="en-US"/>
        </w:rPr>
        <w:t>տեղեկությունների</w:t>
      </w:r>
      <w:r w:rsidRPr="007955BB">
        <w:rPr>
          <w:b w:val="0"/>
          <w:lang w:val="af-ZA"/>
        </w:rPr>
        <w:t xml:space="preserve"> </w:t>
      </w:r>
      <w:r w:rsidRPr="007955BB">
        <w:rPr>
          <w:b w:val="0"/>
          <w:lang w:val="en-US"/>
        </w:rPr>
        <w:t>և</w:t>
      </w:r>
      <w:r w:rsidRPr="007955BB">
        <w:rPr>
          <w:b w:val="0"/>
          <w:lang w:val="af-ZA"/>
        </w:rPr>
        <w:t xml:space="preserve"> </w:t>
      </w:r>
      <w:r w:rsidRPr="007955BB">
        <w:rPr>
          <w:b w:val="0"/>
          <w:lang w:val="en-US"/>
        </w:rPr>
        <w:t>տրամադրված</w:t>
      </w:r>
      <w:r w:rsidRPr="007955BB">
        <w:rPr>
          <w:b w:val="0"/>
          <w:lang w:val="af-ZA"/>
        </w:rPr>
        <w:t xml:space="preserve"> 450 </w:t>
      </w:r>
      <w:r w:rsidRPr="007955BB">
        <w:rPr>
          <w:b w:val="0"/>
          <w:lang w:val="en-US"/>
        </w:rPr>
        <w:t>ընդերքօգտագործման</w:t>
      </w:r>
      <w:r w:rsidRPr="007955BB">
        <w:rPr>
          <w:b w:val="0"/>
          <w:lang w:val="af-ZA"/>
        </w:rPr>
        <w:t xml:space="preserve"> </w:t>
      </w:r>
      <w:r w:rsidRPr="007955BB">
        <w:rPr>
          <w:b w:val="0"/>
          <w:lang w:val="en-US"/>
        </w:rPr>
        <w:t>իրավունքների</w:t>
      </w:r>
      <w:r w:rsidRPr="007955BB">
        <w:rPr>
          <w:b w:val="0"/>
          <w:lang w:val="af-ZA"/>
        </w:rPr>
        <w:t xml:space="preserve"> </w:t>
      </w:r>
      <w:r w:rsidRPr="007955BB">
        <w:rPr>
          <w:b w:val="0"/>
          <w:lang w:val="en-US"/>
        </w:rPr>
        <w:t>հաշվառում</w:t>
      </w:r>
      <w:r w:rsidRPr="007955BB">
        <w:rPr>
          <w:b w:val="0"/>
          <w:lang w:val="af-ZA"/>
        </w:rPr>
        <w:t xml:space="preserve">, 50 </w:t>
      </w:r>
      <w:r w:rsidRPr="007955BB">
        <w:rPr>
          <w:b w:val="0"/>
          <w:lang w:val="en-US"/>
        </w:rPr>
        <w:t>ֆոնդային</w:t>
      </w:r>
      <w:r w:rsidRPr="007955BB">
        <w:rPr>
          <w:b w:val="0"/>
          <w:lang w:val="af-ZA"/>
        </w:rPr>
        <w:t xml:space="preserve"> </w:t>
      </w:r>
      <w:r w:rsidRPr="007955BB">
        <w:rPr>
          <w:b w:val="0"/>
          <w:lang w:val="en-US"/>
        </w:rPr>
        <w:t>նյութերի</w:t>
      </w:r>
      <w:r w:rsidRPr="007955BB">
        <w:rPr>
          <w:b w:val="0"/>
          <w:lang w:val="af-ZA"/>
        </w:rPr>
        <w:t xml:space="preserve"> </w:t>
      </w:r>
      <w:r w:rsidRPr="007955BB">
        <w:rPr>
          <w:b w:val="0"/>
          <w:lang w:val="en-US"/>
        </w:rPr>
        <w:t>ուսումնասիրություն</w:t>
      </w:r>
      <w:r w:rsidRPr="007955BB">
        <w:rPr>
          <w:b w:val="0"/>
          <w:lang w:val="af-ZA"/>
        </w:rPr>
        <w:t xml:space="preserve"> </w:t>
      </w:r>
      <w:r w:rsidRPr="007955BB">
        <w:rPr>
          <w:b w:val="0"/>
          <w:lang w:val="en-US"/>
        </w:rPr>
        <w:t>և</w:t>
      </w:r>
      <w:r w:rsidRPr="007955BB">
        <w:rPr>
          <w:b w:val="0"/>
          <w:lang w:val="af-ZA"/>
        </w:rPr>
        <w:t xml:space="preserve"> 100 </w:t>
      </w:r>
      <w:r w:rsidRPr="007955BB">
        <w:rPr>
          <w:b w:val="0"/>
          <w:lang w:val="en-US"/>
        </w:rPr>
        <w:t>ստորերկրյա</w:t>
      </w:r>
      <w:r w:rsidRPr="007955BB">
        <w:rPr>
          <w:b w:val="0"/>
          <w:lang w:val="af-ZA"/>
        </w:rPr>
        <w:t xml:space="preserve"> </w:t>
      </w:r>
      <w:r w:rsidRPr="007955BB">
        <w:rPr>
          <w:b w:val="0"/>
          <w:lang w:val="en-US"/>
        </w:rPr>
        <w:t>հանքային</w:t>
      </w:r>
      <w:r w:rsidRPr="007955BB">
        <w:rPr>
          <w:b w:val="0"/>
          <w:lang w:val="af-ZA"/>
        </w:rPr>
        <w:t xml:space="preserve"> </w:t>
      </w:r>
      <w:r w:rsidRPr="007955BB">
        <w:rPr>
          <w:b w:val="0"/>
          <w:lang w:val="en-US"/>
        </w:rPr>
        <w:t>ջրերի</w:t>
      </w:r>
      <w:r w:rsidRPr="007955BB">
        <w:rPr>
          <w:b w:val="0"/>
          <w:lang w:val="af-ZA"/>
        </w:rPr>
        <w:t xml:space="preserve"> </w:t>
      </w:r>
      <w:r w:rsidRPr="007955BB">
        <w:rPr>
          <w:b w:val="0"/>
          <w:lang w:val="en-US"/>
        </w:rPr>
        <w:t>հանքավայրերի</w:t>
      </w:r>
      <w:r w:rsidRPr="007955BB">
        <w:rPr>
          <w:b w:val="0"/>
          <w:lang w:val="af-ZA"/>
        </w:rPr>
        <w:t xml:space="preserve"> </w:t>
      </w:r>
      <w:r w:rsidRPr="007955BB">
        <w:rPr>
          <w:b w:val="0"/>
          <w:lang w:val="en-US"/>
        </w:rPr>
        <w:t>ջրակետերի</w:t>
      </w:r>
      <w:r w:rsidRPr="007955BB">
        <w:rPr>
          <w:b w:val="0"/>
          <w:lang w:val="af-ZA"/>
        </w:rPr>
        <w:t xml:space="preserve"> (</w:t>
      </w:r>
      <w:r w:rsidRPr="007955BB">
        <w:rPr>
          <w:b w:val="0"/>
          <w:lang w:val="en-US"/>
        </w:rPr>
        <w:t>հորատանցք</w:t>
      </w:r>
      <w:r w:rsidRPr="007955BB">
        <w:rPr>
          <w:b w:val="0"/>
          <w:lang w:val="af-ZA"/>
        </w:rPr>
        <w:t xml:space="preserve">, </w:t>
      </w:r>
      <w:r w:rsidRPr="007955BB">
        <w:rPr>
          <w:b w:val="0"/>
          <w:lang w:val="en-US"/>
        </w:rPr>
        <w:t>աղբյուր</w:t>
      </w:r>
      <w:r w:rsidRPr="007955BB">
        <w:rPr>
          <w:b w:val="0"/>
          <w:lang w:val="af-ZA"/>
        </w:rPr>
        <w:t xml:space="preserve">) </w:t>
      </w:r>
      <w:r w:rsidRPr="007955BB">
        <w:rPr>
          <w:b w:val="0"/>
          <w:lang w:val="en-US"/>
        </w:rPr>
        <w:t>գույքագրում</w:t>
      </w:r>
      <w:r w:rsidRPr="007955BB">
        <w:rPr>
          <w:b w:val="0"/>
          <w:lang w:val="af-ZA"/>
        </w:rPr>
        <w:t>:</w:t>
      </w:r>
    </w:p>
    <w:p w:rsidR="00A4471C" w:rsidRPr="007955BB" w:rsidRDefault="00A4471C" w:rsidP="00A4471C">
      <w:pPr>
        <w:widowControl w:val="0"/>
        <w:spacing w:line="276" w:lineRule="auto"/>
        <w:rPr>
          <w:rFonts w:cs="Sylfaen"/>
          <w:b w:val="0"/>
          <w:szCs w:val="22"/>
          <w:lang w:val="hy-AM"/>
        </w:rPr>
      </w:pPr>
      <w:r w:rsidRPr="007955BB">
        <w:rPr>
          <w:rFonts w:cs="Sylfaen"/>
          <w:szCs w:val="22"/>
          <w:lang w:val="hy-AM"/>
        </w:rPr>
        <w:t>Երկաթուղային</w:t>
      </w:r>
      <w:r w:rsidRPr="007955BB">
        <w:rPr>
          <w:rFonts w:cs="Sylfaen"/>
          <w:szCs w:val="22"/>
          <w:lang w:val="af-ZA"/>
        </w:rPr>
        <w:t xml:space="preserve"> </w:t>
      </w:r>
      <w:r w:rsidRPr="007955BB">
        <w:rPr>
          <w:rFonts w:cs="Sylfaen"/>
          <w:szCs w:val="22"/>
          <w:lang w:val="hy-AM"/>
        </w:rPr>
        <w:t>ցանցի</w:t>
      </w:r>
      <w:r w:rsidRPr="007955BB">
        <w:rPr>
          <w:rFonts w:cs="Sylfaen"/>
          <w:szCs w:val="22"/>
          <w:lang w:val="af-ZA"/>
        </w:rPr>
        <w:t xml:space="preserve"> </w:t>
      </w:r>
      <w:r w:rsidRPr="007955BB">
        <w:rPr>
          <w:rFonts w:cs="Sylfaen"/>
          <w:szCs w:val="22"/>
          <w:lang w:val="hy-AM"/>
        </w:rPr>
        <w:t>զարգացում</w:t>
      </w:r>
      <w:r w:rsidRPr="007955BB">
        <w:rPr>
          <w:rFonts w:cs="Sylfaen"/>
          <w:szCs w:val="22"/>
          <w:lang w:val="af-ZA"/>
        </w:rPr>
        <w:t xml:space="preserve"> </w:t>
      </w:r>
      <w:r w:rsidRPr="007955BB">
        <w:rPr>
          <w:rFonts w:cs="Sylfaen"/>
          <w:b w:val="0"/>
          <w:szCs w:val="22"/>
          <w:lang w:val="hy-AM"/>
        </w:rPr>
        <w:t>ծրագրի գծով ուղևորափոխադրումներից</w:t>
      </w:r>
      <w:r w:rsidRPr="007955BB">
        <w:rPr>
          <w:rFonts w:cs="Sylfaen"/>
          <w:b w:val="0"/>
          <w:szCs w:val="22"/>
          <w:lang w:val="af-ZA"/>
        </w:rPr>
        <w:t xml:space="preserve"> </w:t>
      </w:r>
      <w:r w:rsidRPr="007955BB">
        <w:rPr>
          <w:rFonts w:cs="Sylfaen"/>
          <w:b w:val="0"/>
          <w:szCs w:val="22"/>
          <w:lang w:val="hy-AM"/>
        </w:rPr>
        <w:t>ստացված</w:t>
      </w:r>
      <w:r w:rsidRPr="007955BB">
        <w:rPr>
          <w:rFonts w:cs="Sylfaen"/>
          <w:b w:val="0"/>
          <w:szCs w:val="22"/>
          <w:lang w:val="af-ZA"/>
        </w:rPr>
        <w:t xml:space="preserve"> </w:t>
      </w:r>
      <w:r w:rsidRPr="007955BB">
        <w:rPr>
          <w:rFonts w:cs="Sylfaen"/>
          <w:b w:val="0"/>
          <w:szCs w:val="22"/>
          <w:lang w:val="hy-AM"/>
        </w:rPr>
        <w:t>վնասի</w:t>
      </w:r>
      <w:r w:rsidRPr="007955BB">
        <w:rPr>
          <w:rFonts w:cs="Sylfaen"/>
          <w:b w:val="0"/>
          <w:szCs w:val="22"/>
          <w:lang w:val="af-ZA"/>
        </w:rPr>
        <w:t xml:space="preserve"> </w:t>
      </w:r>
      <w:r w:rsidRPr="007955BB">
        <w:rPr>
          <w:rFonts w:cs="Sylfaen"/>
          <w:b w:val="0"/>
          <w:szCs w:val="22"/>
          <w:lang w:val="hy-AM"/>
        </w:rPr>
        <w:t>դիմաց</w:t>
      </w:r>
      <w:r w:rsidRPr="007955BB">
        <w:rPr>
          <w:rFonts w:cs="Sylfaen"/>
          <w:b w:val="0"/>
          <w:szCs w:val="22"/>
          <w:lang w:val="af-ZA"/>
        </w:rPr>
        <w:t xml:space="preserve"> «</w:t>
      </w:r>
      <w:r w:rsidRPr="007955BB">
        <w:rPr>
          <w:rFonts w:cs="Sylfaen"/>
          <w:b w:val="0"/>
          <w:szCs w:val="22"/>
          <w:lang w:val="hy-AM"/>
        </w:rPr>
        <w:t>Հարավկովկասյան</w:t>
      </w:r>
      <w:r w:rsidRPr="007955BB">
        <w:rPr>
          <w:rFonts w:cs="Sylfaen"/>
          <w:b w:val="0"/>
          <w:szCs w:val="22"/>
          <w:lang w:val="af-ZA"/>
        </w:rPr>
        <w:t xml:space="preserve"> </w:t>
      </w:r>
      <w:r w:rsidRPr="007955BB">
        <w:rPr>
          <w:rFonts w:cs="Sylfaen"/>
          <w:b w:val="0"/>
          <w:szCs w:val="22"/>
          <w:lang w:val="hy-AM"/>
        </w:rPr>
        <w:t>երկաթուղի</w:t>
      </w:r>
      <w:r w:rsidRPr="007955BB">
        <w:rPr>
          <w:rFonts w:cs="Sylfaen"/>
          <w:b w:val="0"/>
          <w:szCs w:val="22"/>
          <w:lang w:val="af-ZA"/>
        </w:rPr>
        <w:t xml:space="preserve">» </w:t>
      </w:r>
      <w:r w:rsidRPr="007955BB">
        <w:rPr>
          <w:rFonts w:cs="Sylfaen"/>
          <w:b w:val="0"/>
          <w:szCs w:val="22"/>
          <w:lang w:val="hy-AM"/>
        </w:rPr>
        <w:t>ՓԲԸ</w:t>
      </w:r>
      <w:r w:rsidRPr="007955BB">
        <w:rPr>
          <w:rFonts w:cs="Sylfaen"/>
          <w:b w:val="0"/>
          <w:szCs w:val="22"/>
          <w:lang w:val="af-ZA"/>
        </w:rPr>
        <w:t>-</w:t>
      </w:r>
      <w:r w:rsidRPr="007955BB">
        <w:rPr>
          <w:rFonts w:cs="Sylfaen"/>
          <w:b w:val="0"/>
          <w:szCs w:val="22"/>
          <w:lang w:val="hy-AM"/>
        </w:rPr>
        <w:t>ին</w:t>
      </w:r>
      <w:r w:rsidRPr="007955BB">
        <w:rPr>
          <w:rFonts w:cs="Sylfaen"/>
          <w:b w:val="0"/>
          <w:szCs w:val="22"/>
          <w:lang w:val="af-ZA"/>
        </w:rPr>
        <w:t xml:space="preserve"> </w:t>
      </w:r>
      <w:r w:rsidRPr="007955BB">
        <w:rPr>
          <w:rFonts w:cs="Sylfaen"/>
          <w:b w:val="0"/>
          <w:szCs w:val="22"/>
          <w:lang w:val="hy-AM"/>
        </w:rPr>
        <w:t>սուբսիդիայի</w:t>
      </w:r>
      <w:r w:rsidRPr="007955BB">
        <w:rPr>
          <w:rFonts w:cs="Sylfaen"/>
          <w:b w:val="0"/>
          <w:szCs w:val="22"/>
          <w:lang w:val="af-ZA"/>
        </w:rPr>
        <w:t xml:space="preserve"> </w:t>
      </w:r>
      <w:r w:rsidRPr="007955BB">
        <w:rPr>
          <w:rFonts w:cs="Sylfaen"/>
          <w:b w:val="0"/>
          <w:szCs w:val="22"/>
          <w:lang w:val="hy-AM"/>
        </w:rPr>
        <w:t>տրամադրման</w:t>
      </w:r>
      <w:r w:rsidRPr="007955BB">
        <w:rPr>
          <w:rFonts w:cs="Sylfaen"/>
          <w:b w:val="0"/>
          <w:szCs w:val="22"/>
          <w:lang w:val="af-ZA"/>
        </w:rPr>
        <w:t xml:space="preserve"> </w:t>
      </w:r>
      <w:r w:rsidRPr="007955BB">
        <w:rPr>
          <w:rFonts w:cs="Sylfaen"/>
          <w:b w:val="0"/>
          <w:szCs w:val="22"/>
          <w:lang w:val="hy-AM"/>
        </w:rPr>
        <w:t>համար</w:t>
      </w:r>
      <w:r w:rsidRPr="007955BB">
        <w:rPr>
          <w:rFonts w:cs="Sylfaen"/>
          <w:b w:val="0"/>
          <w:szCs w:val="22"/>
          <w:lang w:val="af-ZA"/>
        </w:rPr>
        <w:t xml:space="preserve"> </w:t>
      </w:r>
      <w:r w:rsidRPr="007955BB">
        <w:rPr>
          <w:rFonts w:cs="Sylfaen"/>
          <w:b w:val="0"/>
          <w:szCs w:val="22"/>
          <w:lang w:val="hy-AM"/>
        </w:rPr>
        <w:t>նախատեսվում</w:t>
      </w:r>
      <w:r w:rsidRPr="007955BB">
        <w:rPr>
          <w:rFonts w:cs="Sylfaen"/>
          <w:b w:val="0"/>
          <w:szCs w:val="22"/>
          <w:lang w:val="af-ZA"/>
        </w:rPr>
        <w:t xml:space="preserve"> </w:t>
      </w:r>
      <w:r w:rsidRPr="007955BB">
        <w:rPr>
          <w:rFonts w:cs="Sylfaen"/>
          <w:b w:val="0"/>
          <w:szCs w:val="22"/>
          <w:lang w:val="hy-AM"/>
        </w:rPr>
        <w:t>է</w:t>
      </w:r>
      <w:r w:rsidRPr="007955BB">
        <w:rPr>
          <w:rFonts w:cs="Sylfaen"/>
          <w:b w:val="0"/>
          <w:szCs w:val="22"/>
          <w:lang w:val="af-ZA"/>
        </w:rPr>
        <w:t xml:space="preserve"> 2023 </w:t>
      </w:r>
      <w:r w:rsidRPr="007955BB">
        <w:rPr>
          <w:rFonts w:cs="Sylfaen"/>
          <w:b w:val="0"/>
          <w:szCs w:val="22"/>
          <w:lang w:val="hy-AM"/>
        </w:rPr>
        <w:t>թվականին</w:t>
      </w:r>
      <w:r w:rsidRPr="007955BB">
        <w:rPr>
          <w:rFonts w:cs="Sylfaen"/>
          <w:b w:val="0"/>
          <w:szCs w:val="22"/>
          <w:lang w:val="af-ZA"/>
        </w:rPr>
        <w:t xml:space="preserve"> </w:t>
      </w:r>
      <w:r w:rsidRPr="007955BB">
        <w:rPr>
          <w:rFonts w:cs="Sylfaen"/>
          <w:b w:val="0"/>
          <w:szCs w:val="22"/>
          <w:lang w:val="hy-AM"/>
        </w:rPr>
        <w:t>հատկացնել</w:t>
      </w:r>
      <w:r w:rsidRPr="007955BB">
        <w:rPr>
          <w:rFonts w:cs="Sylfaen"/>
          <w:b w:val="0"/>
          <w:szCs w:val="22"/>
          <w:lang w:val="af-ZA"/>
        </w:rPr>
        <w:t xml:space="preserve"> 370.1 </w:t>
      </w:r>
      <w:r w:rsidRPr="007955BB">
        <w:rPr>
          <w:rFonts w:cs="Sylfaen"/>
          <w:b w:val="0"/>
          <w:szCs w:val="22"/>
          <w:lang w:val="hy-AM"/>
        </w:rPr>
        <w:t>մլն</w:t>
      </w:r>
      <w:r w:rsidRPr="007955BB">
        <w:rPr>
          <w:rFonts w:cs="Sylfaen"/>
          <w:b w:val="0"/>
          <w:szCs w:val="22"/>
          <w:lang w:val="af-ZA"/>
        </w:rPr>
        <w:t xml:space="preserve"> </w:t>
      </w:r>
      <w:r w:rsidRPr="007955BB">
        <w:rPr>
          <w:rFonts w:cs="Sylfaen"/>
          <w:b w:val="0"/>
          <w:szCs w:val="22"/>
          <w:lang w:val="hy-AM"/>
        </w:rPr>
        <w:t>դրամ:</w:t>
      </w:r>
    </w:p>
    <w:p w:rsidR="00A4471C" w:rsidRPr="007955BB" w:rsidRDefault="00A4471C" w:rsidP="00A4471C">
      <w:pPr>
        <w:widowControl w:val="0"/>
        <w:spacing w:line="276" w:lineRule="auto"/>
        <w:rPr>
          <w:rFonts w:cs="Sylfaen"/>
          <w:b w:val="0"/>
          <w:szCs w:val="22"/>
          <w:lang w:val="af-ZA"/>
        </w:rPr>
      </w:pPr>
      <w:r w:rsidRPr="007955BB">
        <w:rPr>
          <w:rFonts w:cs="Sylfaen"/>
          <w:b w:val="0"/>
          <w:szCs w:val="22"/>
          <w:lang w:val="hy-AM"/>
        </w:rPr>
        <w:t>Միջոցառման</w:t>
      </w:r>
      <w:r w:rsidRPr="007955BB">
        <w:rPr>
          <w:rFonts w:cs="Sylfaen"/>
          <w:b w:val="0"/>
          <w:szCs w:val="22"/>
          <w:lang w:val="af-ZA"/>
        </w:rPr>
        <w:t xml:space="preserve"> </w:t>
      </w:r>
      <w:r w:rsidRPr="007955BB">
        <w:rPr>
          <w:rFonts w:cs="Sylfaen"/>
          <w:b w:val="0"/>
          <w:szCs w:val="22"/>
          <w:lang w:val="hy-AM"/>
        </w:rPr>
        <w:t>նպատակն</w:t>
      </w:r>
      <w:r w:rsidRPr="007955BB">
        <w:rPr>
          <w:rFonts w:cs="Sylfaen"/>
          <w:b w:val="0"/>
          <w:szCs w:val="22"/>
          <w:lang w:val="af-ZA"/>
        </w:rPr>
        <w:t xml:space="preserve"> </w:t>
      </w:r>
      <w:r w:rsidRPr="007955BB">
        <w:rPr>
          <w:rFonts w:cs="Sylfaen"/>
          <w:b w:val="0"/>
          <w:szCs w:val="22"/>
          <w:lang w:val="hy-AM"/>
        </w:rPr>
        <w:t>է</w:t>
      </w:r>
      <w:r w:rsidRPr="007955BB">
        <w:rPr>
          <w:rFonts w:cs="Sylfaen"/>
          <w:b w:val="0"/>
          <w:szCs w:val="22"/>
          <w:lang w:val="af-ZA"/>
        </w:rPr>
        <w:t xml:space="preserve"> </w:t>
      </w:r>
      <w:r w:rsidRPr="007955BB">
        <w:rPr>
          <w:rFonts w:cs="Sylfaen"/>
          <w:b w:val="0"/>
          <w:szCs w:val="22"/>
          <w:lang w:val="hy-AM"/>
        </w:rPr>
        <w:t>ՀՀ</w:t>
      </w:r>
      <w:r w:rsidRPr="007955BB">
        <w:rPr>
          <w:rFonts w:cs="Sylfaen"/>
          <w:b w:val="0"/>
          <w:szCs w:val="22"/>
          <w:lang w:val="af-ZA"/>
        </w:rPr>
        <w:t xml:space="preserve"> </w:t>
      </w:r>
      <w:r w:rsidRPr="007955BB">
        <w:rPr>
          <w:rFonts w:cs="Sylfaen"/>
          <w:b w:val="0"/>
          <w:szCs w:val="22"/>
          <w:lang w:val="hy-AM"/>
        </w:rPr>
        <w:t>կառավարության</w:t>
      </w:r>
      <w:r w:rsidRPr="007955BB">
        <w:rPr>
          <w:rFonts w:cs="Sylfaen"/>
          <w:b w:val="0"/>
          <w:szCs w:val="22"/>
          <w:lang w:val="af-ZA"/>
        </w:rPr>
        <w:t xml:space="preserve"> 07.02.2008</w:t>
      </w:r>
      <w:r w:rsidRPr="007955BB">
        <w:rPr>
          <w:rFonts w:cs="Sylfaen"/>
          <w:b w:val="0"/>
          <w:szCs w:val="22"/>
          <w:lang w:val="hy-AM"/>
        </w:rPr>
        <w:t>թ</w:t>
      </w:r>
      <w:r w:rsidRPr="007955BB">
        <w:rPr>
          <w:rFonts w:cs="Sylfaen"/>
          <w:b w:val="0"/>
          <w:szCs w:val="22"/>
          <w:lang w:val="af-ZA"/>
        </w:rPr>
        <w:t>. N 83-</w:t>
      </w:r>
      <w:r w:rsidRPr="007955BB">
        <w:rPr>
          <w:rFonts w:cs="Sylfaen"/>
          <w:b w:val="0"/>
          <w:szCs w:val="22"/>
          <w:lang w:val="hy-AM"/>
        </w:rPr>
        <w:t>Ա</w:t>
      </w:r>
      <w:r w:rsidRPr="007955BB">
        <w:rPr>
          <w:rFonts w:cs="Sylfaen"/>
          <w:b w:val="0"/>
          <w:szCs w:val="22"/>
          <w:lang w:val="af-ZA"/>
        </w:rPr>
        <w:t xml:space="preserve"> </w:t>
      </w:r>
      <w:r w:rsidRPr="007955BB">
        <w:rPr>
          <w:rFonts w:cs="Sylfaen"/>
          <w:b w:val="0"/>
          <w:szCs w:val="22"/>
          <w:lang w:val="hy-AM"/>
        </w:rPr>
        <w:t>որոշմամբ</w:t>
      </w:r>
      <w:r w:rsidRPr="007955BB">
        <w:rPr>
          <w:rFonts w:cs="Sylfaen"/>
          <w:b w:val="0"/>
          <w:szCs w:val="22"/>
          <w:lang w:val="af-ZA"/>
        </w:rPr>
        <w:t xml:space="preserve"> </w:t>
      </w:r>
      <w:r w:rsidRPr="007955BB">
        <w:rPr>
          <w:rFonts w:cs="Sylfaen"/>
          <w:b w:val="0"/>
          <w:szCs w:val="22"/>
          <w:lang w:val="hy-AM"/>
        </w:rPr>
        <w:t>հաս</w:t>
      </w:r>
      <w:r w:rsidRPr="007955BB">
        <w:rPr>
          <w:rFonts w:cs="Sylfaen"/>
          <w:b w:val="0"/>
          <w:szCs w:val="22"/>
          <w:lang w:val="af-ZA"/>
        </w:rPr>
        <w:softHyphen/>
      </w:r>
      <w:r w:rsidRPr="007955BB">
        <w:rPr>
          <w:rFonts w:cs="Sylfaen"/>
          <w:b w:val="0"/>
          <w:szCs w:val="22"/>
          <w:lang w:val="hy-AM"/>
        </w:rPr>
        <w:t>տատված</w:t>
      </w:r>
      <w:r w:rsidRPr="007955BB">
        <w:rPr>
          <w:rFonts w:cs="Sylfaen"/>
          <w:b w:val="0"/>
          <w:szCs w:val="22"/>
          <w:lang w:val="af-ZA"/>
        </w:rPr>
        <w:t xml:space="preserve"> </w:t>
      </w:r>
      <w:r w:rsidRPr="007955BB">
        <w:rPr>
          <w:rFonts w:cs="Sylfaen"/>
          <w:b w:val="0"/>
          <w:szCs w:val="22"/>
          <w:lang w:val="hy-AM"/>
        </w:rPr>
        <w:t>Կոնցեսիոն</w:t>
      </w:r>
      <w:r w:rsidRPr="007955BB">
        <w:rPr>
          <w:rFonts w:cs="Sylfaen"/>
          <w:b w:val="0"/>
          <w:szCs w:val="22"/>
          <w:lang w:val="af-ZA"/>
        </w:rPr>
        <w:t xml:space="preserve"> </w:t>
      </w:r>
      <w:r w:rsidRPr="007955BB">
        <w:rPr>
          <w:rFonts w:cs="Sylfaen"/>
          <w:b w:val="0"/>
          <w:szCs w:val="22"/>
          <w:lang w:val="hy-AM"/>
        </w:rPr>
        <w:t>պայմա</w:t>
      </w:r>
      <w:r w:rsidRPr="007955BB">
        <w:rPr>
          <w:rFonts w:cs="Sylfaen"/>
          <w:b w:val="0"/>
          <w:szCs w:val="22"/>
          <w:lang w:val="af-ZA"/>
        </w:rPr>
        <w:softHyphen/>
      </w:r>
      <w:r w:rsidRPr="007955BB">
        <w:rPr>
          <w:rFonts w:cs="Sylfaen"/>
          <w:b w:val="0"/>
          <w:szCs w:val="22"/>
          <w:lang w:val="hy-AM"/>
        </w:rPr>
        <w:t>նագրի</w:t>
      </w:r>
      <w:r w:rsidRPr="007955BB">
        <w:rPr>
          <w:rFonts w:cs="Sylfaen"/>
          <w:b w:val="0"/>
          <w:szCs w:val="22"/>
          <w:lang w:val="af-ZA"/>
        </w:rPr>
        <w:t xml:space="preserve"> </w:t>
      </w:r>
      <w:r w:rsidRPr="007955BB">
        <w:rPr>
          <w:rFonts w:cs="Sylfaen"/>
          <w:b w:val="0"/>
          <w:szCs w:val="22"/>
          <w:lang w:val="hy-AM"/>
        </w:rPr>
        <w:t>համաձայն</w:t>
      </w:r>
      <w:r w:rsidRPr="007955BB">
        <w:rPr>
          <w:rFonts w:cs="Sylfaen"/>
          <w:b w:val="0"/>
          <w:szCs w:val="22"/>
          <w:lang w:val="af-ZA"/>
        </w:rPr>
        <w:t xml:space="preserve"> </w:t>
      </w:r>
      <w:r w:rsidRPr="007955BB">
        <w:rPr>
          <w:rFonts w:cs="Sylfaen"/>
          <w:b w:val="0"/>
          <w:szCs w:val="22"/>
          <w:lang w:val="hy-AM"/>
        </w:rPr>
        <w:t xml:space="preserve">մասնակի </w:t>
      </w:r>
      <w:r w:rsidRPr="007955BB">
        <w:rPr>
          <w:rFonts w:cs="Sylfaen"/>
          <w:b w:val="0"/>
          <w:szCs w:val="22"/>
          <w:lang w:val="af-ZA"/>
        </w:rPr>
        <w:t xml:space="preserve">(30%) </w:t>
      </w:r>
      <w:r w:rsidRPr="007955BB">
        <w:rPr>
          <w:rFonts w:cs="Sylfaen"/>
          <w:b w:val="0"/>
          <w:szCs w:val="22"/>
          <w:lang w:val="hy-AM"/>
        </w:rPr>
        <w:t>սուբսիդավորել</w:t>
      </w:r>
      <w:r w:rsidRPr="007955BB">
        <w:rPr>
          <w:rFonts w:cs="Sylfaen"/>
          <w:b w:val="0"/>
          <w:szCs w:val="22"/>
          <w:lang w:val="af-ZA"/>
        </w:rPr>
        <w:t xml:space="preserve"> </w:t>
      </w:r>
      <w:r w:rsidRPr="007955BB">
        <w:rPr>
          <w:rFonts w:cs="Sylfaen"/>
          <w:b w:val="0"/>
          <w:szCs w:val="22"/>
          <w:lang w:val="hy-AM"/>
        </w:rPr>
        <w:t xml:space="preserve"> համաձայնեցված</w:t>
      </w:r>
      <w:r w:rsidRPr="007955BB">
        <w:rPr>
          <w:rFonts w:cs="Sylfaen"/>
          <w:b w:val="0"/>
          <w:szCs w:val="22"/>
          <w:lang w:val="af-ZA"/>
        </w:rPr>
        <w:t xml:space="preserve"> </w:t>
      </w:r>
      <w:r w:rsidRPr="007955BB">
        <w:rPr>
          <w:rFonts w:cs="Sylfaen"/>
          <w:b w:val="0"/>
          <w:szCs w:val="22"/>
          <w:lang w:val="hy-AM"/>
        </w:rPr>
        <w:t>ծավալներով</w:t>
      </w:r>
      <w:r w:rsidRPr="007955BB">
        <w:rPr>
          <w:rFonts w:cs="Sylfaen"/>
          <w:b w:val="0"/>
          <w:szCs w:val="22"/>
          <w:lang w:val="af-ZA"/>
        </w:rPr>
        <w:t xml:space="preserve"> </w:t>
      </w:r>
      <w:r w:rsidRPr="007955BB">
        <w:rPr>
          <w:rFonts w:cs="Sylfaen"/>
          <w:b w:val="0"/>
          <w:szCs w:val="22"/>
          <w:lang w:val="hy-AM"/>
        </w:rPr>
        <w:t>և</w:t>
      </w:r>
      <w:r w:rsidRPr="007955BB">
        <w:rPr>
          <w:rFonts w:cs="Sylfaen"/>
          <w:b w:val="0"/>
          <w:szCs w:val="22"/>
          <w:lang w:val="af-ZA"/>
        </w:rPr>
        <w:t xml:space="preserve"> </w:t>
      </w:r>
      <w:r w:rsidRPr="007955BB">
        <w:rPr>
          <w:rFonts w:cs="Sylfaen"/>
          <w:b w:val="0"/>
          <w:szCs w:val="22"/>
          <w:lang w:val="hy-AM"/>
        </w:rPr>
        <w:t>ուղղու</w:t>
      </w:r>
      <w:r w:rsidRPr="007955BB">
        <w:rPr>
          <w:rFonts w:cs="Sylfaen"/>
          <w:b w:val="0"/>
          <w:szCs w:val="22"/>
          <w:lang w:val="af-ZA"/>
        </w:rPr>
        <w:softHyphen/>
      </w:r>
      <w:r w:rsidRPr="007955BB">
        <w:rPr>
          <w:rFonts w:cs="Sylfaen"/>
          <w:b w:val="0"/>
          <w:szCs w:val="22"/>
          <w:lang w:val="hy-AM"/>
        </w:rPr>
        <w:t>թյուն</w:t>
      </w:r>
      <w:r w:rsidRPr="007955BB">
        <w:rPr>
          <w:rFonts w:cs="Sylfaen"/>
          <w:b w:val="0"/>
          <w:szCs w:val="22"/>
          <w:lang w:val="af-ZA"/>
        </w:rPr>
        <w:softHyphen/>
      </w:r>
      <w:r w:rsidRPr="007955BB">
        <w:rPr>
          <w:rFonts w:cs="Sylfaen"/>
          <w:b w:val="0"/>
          <w:szCs w:val="22"/>
          <w:lang w:val="hy-AM"/>
        </w:rPr>
        <w:t>ներով</w:t>
      </w:r>
      <w:r w:rsidRPr="007955BB">
        <w:rPr>
          <w:rFonts w:cs="Sylfaen"/>
          <w:b w:val="0"/>
          <w:szCs w:val="22"/>
          <w:lang w:val="af-ZA"/>
        </w:rPr>
        <w:t xml:space="preserve"> </w:t>
      </w:r>
      <w:r w:rsidRPr="007955BB">
        <w:rPr>
          <w:rFonts w:cs="Sylfaen"/>
          <w:b w:val="0"/>
          <w:szCs w:val="22"/>
          <w:lang w:val="hy-AM"/>
        </w:rPr>
        <w:t>ուղևորափոխադրումներից</w:t>
      </w:r>
      <w:r w:rsidRPr="007955BB">
        <w:rPr>
          <w:rFonts w:cs="Sylfaen"/>
          <w:b w:val="0"/>
          <w:szCs w:val="22"/>
          <w:lang w:val="af-ZA"/>
        </w:rPr>
        <w:t xml:space="preserve"> «</w:t>
      </w:r>
      <w:r w:rsidRPr="007955BB">
        <w:rPr>
          <w:rFonts w:cs="Sylfaen"/>
          <w:b w:val="0"/>
          <w:szCs w:val="22"/>
          <w:lang w:val="hy-AM"/>
        </w:rPr>
        <w:t>Հարավկով</w:t>
      </w:r>
      <w:r w:rsidRPr="007955BB">
        <w:rPr>
          <w:rFonts w:cs="Sylfaen"/>
          <w:b w:val="0"/>
          <w:szCs w:val="22"/>
          <w:lang w:val="af-ZA"/>
        </w:rPr>
        <w:softHyphen/>
      </w:r>
      <w:r w:rsidRPr="007955BB">
        <w:rPr>
          <w:rFonts w:cs="Sylfaen"/>
          <w:b w:val="0"/>
          <w:szCs w:val="22"/>
          <w:lang w:val="hy-AM"/>
        </w:rPr>
        <w:t>կասյան</w:t>
      </w:r>
      <w:r w:rsidRPr="007955BB">
        <w:rPr>
          <w:rFonts w:cs="Sylfaen"/>
          <w:b w:val="0"/>
          <w:szCs w:val="22"/>
          <w:lang w:val="af-ZA"/>
        </w:rPr>
        <w:t xml:space="preserve"> </w:t>
      </w:r>
      <w:r w:rsidRPr="007955BB">
        <w:rPr>
          <w:rFonts w:cs="Sylfaen"/>
          <w:b w:val="0"/>
          <w:szCs w:val="22"/>
          <w:lang w:val="hy-AM"/>
        </w:rPr>
        <w:t>երկաթուղի</w:t>
      </w:r>
      <w:r w:rsidRPr="007955BB">
        <w:rPr>
          <w:rFonts w:cs="Sylfaen"/>
          <w:b w:val="0"/>
          <w:szCs w:val="22"/>
          <w:lang w:val="af-ZA"/>
        </w:rPr>
        <w:t xml:space="preserve">» </w:t>
      </w:r>
      <w:r w:rsidRPr="007955BB">
        <w:rPr>
          <w:rFonts w:cs="Sylfaen"/>
          <w:b w:val="0"/>
          <w:szCs w:val="22"/>
          <w:lang w:val="hy-AM"/>
        </w:rPr>
        <w:t>ՓԲԸ</w:t>
      </w:r>
      <w:r w:rsidRPr="007955BB">
        <w:rPr>
          <w:rFonts w:cs="Sylfaen"/>
          <w:b w:val="0"/>
          <w:szCs w:val="22"/>
          <w:lang w:val="af-ZA"/>
        </w:rPr>
        <w:t>-</w:t>
      </w:r>
      <w:r w:rsidRPr="007955BB">
        <w:rPr>
          <w:rFonts w:cs="Sylfaen"/>
          <w:b w:val="0"/>
          <w:szCs w:val="22"/>
          <w:lang w:val="hy-AM"/>
        </w:rPr>
        <w:t>ի</w:t>
      </w:r>
      <w:r w:rsidRPr="007955BB">
        <w:rPr>
          <w:rFonts w:cs="Sylfaen"/>
          <w:b w:val="0"/>
          <w:szCs w:val="22"/>
          <w:lang w:val="af-ZA"/>
        </w:rPr>
        <w:t xml:space="preserve"> </w:t>
      </w:r>
      <w:r w:rsidRPr="007955BB">
        <w:rPr>
          <w:rFonts w:cs="Sylfaen"/>
          <w:b w:val="0"/>
          <w:szCs w:val="22"/>
          <w:lang w:val="hy-AM"/>
        </w:rPr>
        <w:t>նախորդ</w:t>
      </w:r>
      <w:r w:rsidRPr="007955BB">
        <w:rPr>
          <w:rFonts w:cs="Sylfaen"/>
          <w:b w:val="0"/>
          <w:szCs w:val="22"/>
          <w:lang w:val="af-ZA"/>
        </w:rPr>
        <w:t xml:space="preserve"> </w:t>
      </w:r>
      <w:r w:rsidRPr="007955BB">
        <w:rPr>
          <w:rFonts w:cs="Sylfaen"/>
          <w:b w:val="0"/>
          <w:szCs w:val="22"/>
          <w:lang w:val="hy-AM"/>
        </w:rPr>
        <w:t>տարվա</w:t>
      </w:r>
      <w:r w:rsidRPr="007955BB">
        <w:rPr>
          <w:rFonts w:cs="Sylfaen"/>
          <w:b w:val="0"/>
          <w:szCs w:val="22"/>
          <w:lang w:val="af-ZA"/>
        </w:rPr>
        <w:t xml:space="preserve"> </w:t>
      </w:r>
      <w:r w:rsidRPr="007955BB">
        <w:rPr>
          <w:rFonts w:cs="Sylfaen"/>
          <w:b w:val="0"/>
          <w:szCs w:val="22"/>
          <w:lang w:val="hy-AM"/>
        </w:rPr>
        <w:t>արդյունքներով</w:t>
      </w:r>
      <w:r w:rsidRPr="007955BB">
        <w:rPr>
          <w:rFonts w:cs="Sylfaen"/>
          <w:b w:val="0"/>
          <w:szCs w:val="22"/>
          <w:lang w:val="af-ZA"/>
        </w:rPr>
        <w:t xml:space="preserve"> </w:t>
      </w:r>
      <w:r w:rsidRPr="007955BB">
        <w:rPr>
          <w:rFonts w:cs="Sylfaen"/>
          <w:b w:val="0"/>
          <w:szCs w:val="22"/>
          <w:lang w:val="hy-AM"/>
        </w:rPr>
        <w:t>առաջացած</w:t>
      </w:r>
      <w:r w:rsidRPr="007955BB">
        <w:rPr>
          <w:rFonts w:cs="Sylfaen"/>
          <w:b w:val="0"/>
          <w:szCs w:val="22"/>
          <w:lang w:val="af-ZA"/>
        </w:rPr>
        <w:t xml:space="preserve"> </w:t>
      </w:r>
      <w:r w:rsidRPr="007955BB">
        <w:rPr>
          <w:rFonts w:cs="Sylfaen"/>
          <w:b w:val="0"/>
          <w:szCs w:val="22"/>
          <w:lang w:val="hy-AM"/>
        </w:rPr>
        <w:t>տարեկան</w:t>
      </w:r>
      <w:r w:rsidRPr="007955BB">
        <w:rPr>
          <w:rFonts w:cs="Sylfaen"/>
          <w:b w:val="0"/>
          <w:szCs w:val="22"/>
          <w:lang w:val="af-ZA"/>
        </w:rPr>
        <w:t xml:space="preserve"> </w:t>
      </w:r>
      <w:r w:rsidRPr="007955BB">
        <w:rPr>
          <w:rFonts w:cs="Sylfaen"/>
          <w:b w:val="0"/>
          <w:szCs w:val="22"/>
          <w:lang w:val="hy-AM"/>
        </w:rPr>
        <w:t>վնասը (ՀՀ</w:t>
      </w:r>
      <w:r w:rsidRPr="007955BB">
        <w:rPr>
          <w:rFonts w:cs="Sylfaen"/>
          <w:b w:val="0"/>
          <w:szCs w:val="22"/>
          <w:lang w:val="af-ZA"/>
        </w:rPr>
        <w:t xml:space="preserve"> </w:t>
      </w:r>
      <w:r w:rsidRPr="007955BB">
        <w:rPr>
          <w:rFonts w:cs="Sylfaen"/>
          <w:b w:val="0"/>
          <w:szCs w:val="22"/>
          <w:lang w:val="hy-AM"/>
        </w:rPr>
        <w:t>կառավարության</w:t>
      </w:r>
      <w:r w:rsidRPr="007955BB">
        <w:rPr>
          <w:rFonts w:cs="Sylfaen"/>
          <w:b w:val="0"/>
          <w:szCs w:val="22"/>
          <w:lang w:val="af-ZA"/>
        </w:rPr>
        <w:t xml:space="preserve"> 07.02.2008</w:t>
      </w:r>
      <w:r w:rsidRPr="007955BB">
        <w:rPr>
          <w:rFonts w:cs="Sylfaen"/>
          <w:b w:val="0"/>
          <w:szCs w:val="22"/>
          <w:lang w:val="hy-AM"/>
        </w:rPr>
        <w:t>թ</w:t>
      </w:r>
      <w:r w:rsidRPr="007955BB">
        <w:rPr>
          <w:rFonts w:cs="Sylfaen"/>
          <w:b w:val="0"/>
          <w:szCs w:val="22"/>
          <w:lang w:val="af-ZA"/>
        </w:rPr>
        <w:t xml:space="preserve"> N 83-</w:t>
      </w:r>
      <w:r w:rsidRPr="007955BB">
        <w:rPr>
          <w:rFonts w:cs="Sylfaen"/>
          <w:b w:val="0"/>
          <w:szCs w:val="22"/>
          <w:lang w:val="hy-AM"/>
        </w:rPr>
        <w:t>Ա</w:t>
      </w:r>
      <w:r w:rsidRPr="007955BB">
        <w:rPr>
          <w:rFonts w:cs="Sylfaen"/>
          <w:b w:val="0"/>
          <w:szCs w:val="22"/>
          <w:lang w:val="af-ZA"/>
        </w:rPr>
        <w:t xml:space="preserve"> </w:t>
      </w:r>
      <w:r w:rsidRPr="007955BB">
        <w:rPr>
          <w:rFonts w:cs="Sylfaen"/>
          <w:b w:val="0"/>
          <w:szCs w:val="22"/>
          <w:lang w:val="hy-AM"/>
        </w:rPr>
        <w:t>որոշումից բխող՝</w:t>
      </w:r>
      <w:r w:rsidRPr="007955BB">
        <w:rPr>
          <w:rFonts w:cs="Sylfaen"/>
          <w:b w:val="0"/>
          <w:szCs w:val="22"/>
          <w:lang w:val="af-ZA"/>
        </w:rPr>
        <w:t xml:space="preserve"> </w:t>
      </w:r>
      <w:r w:rsidRPr="007955BB">
        <w:rPr>
          <w:rFonts w:cs="Sylfaen"/>
          <w:b w:val="0"/>
          <w:szCs w:val="22"/>
          <w:lang w:val="hy-AM"/>
        </w:rPr>
        <w:t>կոնցեսիոների</w:t>
      </w:r>
      <w:r w:rsidRPr="007955BB">
        <w:rPr>
          <w:rFonts w:cs="Sylfaen"/>
          <w:b w:val="0"/>
          <w:szCs w:val="22"/>
          <w:lang w:val="af-ZA"/>
        </w:rPr>
        <w:t xml:space="preserve"> </w:t>
      </w:r>
      <w:r w:rsidRPr="007955BB">
        <w:rPr>
          <w:rFonts w:cs="Sylfaen"/>
          <w:b w:val="0"/>
          <w:szCs w:val="22"/>
          <w:lang w:val="hy-AM"/>
        </w:rPr>
        <w:t>կողմից</w:t>
      </w:r>
      <w:r w:rsidRPr="007955BB">
        <w:rPr>
          <w:rFonts w:cs="Sylfaen"/>
          <w:b w:val="0"/>
          <w:szCs w:val="22"/>
          <w:lang w:val="af-ZA"/>
        </w:rPr>
        <w:t xml:space="preserve"> </w:t>
      </w:r>
      <w:r w:rsidRPr="007955BB">
        <w:rPr>
          <w:rFonts w:cs="Sylfaen"/>
          <w:b w:val="0"/>
          <w:szCs w:val="22"/>
          <w:lang w:val="hy-AM"/>
        </w:rPr>
        <w:t>կանխատեսվող</w:t>
      </w:r>
      <w:r w:rsidRPr="007955BB">
        <w:rPr>
          <w:rFonts w:cs="Sylfaen"/>
          <w:b w:val="0"/>
          <w:szCs w:val="22"/>
          <w:lang w:val="af-ZA"/>
        </w:rPr>
        <w:t xml:space="preserve"> </w:t>
      </w:r>
      <w:r w:rsidRPr="007955BB">
        <w:rPr>
          <w:rFonts w:cs="Sylfaen"/>
          <w:b w:val="0"/>
          <w:szCs w:val="22"/>
          <w:lang w:val="hy-AM"/>
        </w:rPr>
        <w:t>կոնցեսիոն</w:t>
      </w:r>
      <w:r w:rsidRPr="007955BB">
        <w:rPr>
          <w:rFonts w:cs="Sylfaen"/>
          <w:b w:val="0"/>
          <w:szCs w:val="22"/>
          <w:lang w:val="af-ZA"/>
        </w:rPr>
        <w:t xml:space="preserve"> </w:t>
      </w:r>
      <w:r w:rsidRPr="007955BB">
        <w:rPr>
          <w:rFonts w:cs="Sylfaen"/>
          <w:b w:val="0"/>
          <w:szCs w:val="22"/>
          <w:lang w:val="hy-AM"/>
        </w:rPr>
        <w:t>տարեկան</w:t>
      </w:r>
      <w:r w:rsidRPr="007955BB">
        <w:rPr>
          <w:rFonts w:cs="Sylfaen"/>
          <w:b w:val="0"/>
          <w:szCs w:val="22"/>
          <w:lang w:val="af-ZA"/>
        </w:rPr>
        <w:t xml:space="preserve"> </w:t>
      </w:r>
      <w:r w:rsidRPr="007955BB">
        <w:rPr>
          <w:rFonts w:cs="Sylfaen"/>
          <w:b w:val="0"/>
          <w:szCs w:val="22"/>
          <w:lang w:val="hy-AM"/>
        </w:rPr>
        <w:t>վճարի</w:t>
      </w:r>
      <w:r w:rsidRPr="007955BB">
        <w:rPr>
          <w:rFonts w:cs="Sylfaen"/>
          <w:b w:val="0"/>
          <w:szCs w:val="22"/>
          <w:lang w:val="af-ZA"/>
        </w:rPr>
        <w:t xml:space="preserve"> </w:t>
      </w:r>
      <w:r w:rsidRPr="007955BB">
        <w:rPr>
          <w:rFonts w:cs="Sylfaen"/>
          <w:b w:val="0"/>
          <w:szCs w:val="22"/>
          <w:lang w:val="hy-AM"/>
        </w:rPr>
        <w:t>չափով)</w:t>
      </w:r>
      <w:r w:rsidRPr="007955BB">
        <w:rPr>
          <w:rFonts w:cs="Sylfaen"/>
          <w:b w:val="0"/>
          <w:szCs w:val="22"/>
          <w:lang w:val="af-ZA"/>
        </w:rPr>
        <w:t xml:space="preserve">: </w:t>
      </w:r>
    </w:p>
    <w:p w:rsidR="00A4471C" w:rsidRPr="007955BB" w:rsidRDefault="00A4471C" w:rsidP="00A4471C">
      <w:pPr>
        <w:widowControl w:val="0"/>
        <w:spacing w:line="276" w:lineRule="auto"/>
        <w:rPr>
          <w:rFonts w:cs="Sylfaen"/>
          <w:b w:val="0"/>
          <w:szCs w:val="22"/>
          <w:lang w:val="hy-AM"/>
        </w:rPr>
      </w:pPr>
      <w:r w:rsidRPr="007955BB">
        <w:rPr>
          <w:rFonts w:cs="Sylfaen"/>
          <w:szCs w:val="22"/>
        </w:rPr>
        <w:t>Պետական</w:t>
      </w:r>
      <w:r w:rsidRPr="007955BB">
        <w:rPr>
          <w:rFonts w:cs="Sylfaen"/>
          <w:szCs w:val="22"/>
          <w:lang w:val="af-ZA"/>
        </w:rPr>
        <w:t xml:space="preserve"> </w:t>
      </w:r>
      <w:r w:rsidRPr="007955BB">
        <w:rPr>
          <w:rFonts w:cs="Sylfaen"/>
          <w:szCs w:val="22"/>
        </w:rPr>
        <w:t>գույքի</w:t>
      </w:r>
      <w:r w:rsidRPr="007955BB">
        <w:rPr>
          <w:rFonts w:cs="Sylfaen"/>
          <w:szCs w:val="22"/>
          <w:lang w:val="af-ZA"/>
        </w:rPr>
        <w:t xml:space="preserve"> </w:t>
      </w:r>
      <w:r w:rsidRPr="007955BB">
        <w:rPr>
          <w:rFonts w:cs="Sylfaen"/>
          <w:szCs w:val="22"/>
        </w:rPr>
        <w:t>կառավարում</w:t>
      </w:r>
      <w:r w:rsidRPr="007955BB">
        <w:rPr>
          <w:rFonts w:cs="Sylfaen"/>
          <w:szCs w:val="22"/>
          <w:lang w:val="af-ZA"/>
        </w:rPr>
        <w:t xml:space="preserve"> </w:t>
      </w:r>
      <w:r w:rsidRPr="007955BB">
        <w:rPr>
          <w:rFonts w:cs="Sylfaen"/>
          <w:b w:val="0"/>
          <w:szCs w:val="22"/>
        </w:rPr>
        <w:t>ծրագրի</w:t>
      </w:r>
      <w:r w:rsidRPr="007955BB">
        <w:rPr>
          <w:rFonts w:cs="Sylfaen"/>
          <w:b w:val="0"/>
          <w:szCs w:val="22"/>
          <w:lang w:val="af-ZA"/>
        </w:rPr>
        <w:t xml:space="preserve"> </w:t>
      </w:r>
      <w:r w:rsidRPr="007955BB">
        <w:rPr>
          <w:rFonts w:cs="Sylfaen"/>
          <w:b w:val="0"/>
          <w:lang w:val="hy-AM"/>
        </w:rPr>
        <w:t>գծով 202</w:t>
      </w:r>
      <w:r w:rsidRPr="007955BB">
        <w:rPr>
          <w:rFonts w:cs="Sylfaen"/>
          <w:b w:val="0"/>
          <w:lang w:val="af-ZA"/>
        </w:rPr>
        <w:t>3</w:t>
      </w:r>
      <w:r w:rsidRPr="007955BB">
        <w:rPr>
          <w:rFonts w:cs="Sylfaen"/>
          <w:b w:val="0"/>
          <w:lang w:val="hy-AM"/>
        </w:rPr>
        <w:t xml:space="preserve"> </w:t>
      </w:r>
      <w:r w:rsidRPr="007955BB">
        <w:rPr>
          <w:rFonts w:cs="Sylfaen"/>
          <w:b w:val="0"/>
          <w:szCs w:val="22"/>
          <w:lang w:val="hy-AM"/>
        </w:rPr>
        <w:t>թվականին  նախատեսվում է.</w:t>
      </w:r>
    </w:p>
    <w:p w:rsidR="00A4471C" w:rsidRPr="007955BB" w:rsidRDefault="00A4471C" w:rsidP="00A4471C">
      <w:pPr>
        <w:widowControl w:val="0"/>
        <w:spacing w:line="276" w:lineRule="auto"/>
        <w:rPr>
          <w:rFonts w:cs="Sylfaen"/>
          <w:b w:val="0"/>
          <w:szCs w:val="22"/>
          <w:lang w:val="hy-AM"/>
        </w:rPr>
      </w:pPr>
      <w:r w:rsidRPr="007955BB">
        <w:rPr>
          <w:rFonts w:cs="Sylfaen"/>
          <w:b w:val="0"/>
          <w:szCs w:val="22"/>
          <w:lang w:val="hy-AM"/>
        </w:rPr>
        <w:t>499.4 մլն դրամ՝ պետական գույքի հաշվառման, գույքագրման, գնահատման, անշարժ գույքի պահառության, սպասարկման աշխատանքների և աճուրդների իրականացման ծառայությունների և պետական մարմիններին և կազմակերպություններին ամրացված՝ յուրաքանչյուր միավոր մինչև 10 մլն դրամ գնահատված արժեքով շարժական գույքի օտարման գործընթացում գտնվելու ժամանակահատվածում գույքի պահառության կազմակերպման համար:</w:t>
      </w:r>
    </w:p>
    <w:p w:rsidR="00A4471C" w:rsidRPr="007955BB" w:rsidRDefault="00A4471C" w:rsidP="00A4471C">
      <w:pPr>
        <w:widowControl w:val="0"/>
        <w:spacing w:line="276" w:lineRule="auto"/>
        <w:rPr>
          <w:rFonts w:cs="Sylfaen"/>
          <w:b w:val="0"/>
          <w:color w:val="FF0000"/>
          <w:szCs w:val="22"/>
          <w:lang w:val="hy-AM"/>
        </w:rPr>
      </w:pPr>
      <w:r w:rsidRPr="007955BB">
        <w:rPr>
          <w:rFonts w:cs="Sylfaen"/>
          <w:b w:val="0"/>
          <w:szCs w:val="22"/>
          <w:lang w:val="hy-AM"/>
        </w:rPr>
        <w:t>Նշվածի շրջանակներում նախատեսվում է ապահովել պետական սեփականություն հանդիսացող գույքի գույքագրման, գնահատման, հաշվառման, հաշվառված գույքի տվյալների մշակման, փոփոխությունների գրանցման, տեղեկատվության տրամադրման աշխատանքների, թվով 4 անշարժ գույքի պահառության, աճուրդների կազմակերպման և անցկացման ծառայությունների իրականացումը, ինչպես նաև պետական գույքի հաշվառման նոր ավտոմատացված ու ամբողջական համակարգի և էլեկտրոնային աճուրդների կազմակերպման ծրագրերի սպասարկում, բացի այդ Կառավարական N 2 (հասցե` ք.Երևան, Վ.Սարգսյան 3, Վ.Սարգսյան 3/8 և Վ. Սարգսյան 3/3), Կառավարական N 3 և Նալբանդյան 28 շենքերի սպասարկման ծառայությունների իրականացումը, որի մեջ ներառվում է նաև վերոնշյալ շենքերի թվով 18 վերելակների, օդորակման և օդափոխության համակարգերի, հաստիքային և վթարային էլեկտրասնուցման համակարգերի, ներքին ու արտաքին լուսավորության համակարգերի, ջրամատակարարման ու կոյուղուհամակարգի, հակահրդեհային անվտանգության ու ծխահեռացման համակարգի, անցակետային, անվտանգության և տեսահսկման համակարգի, հեռախոսային կապի և ինտերնետի ներքին ցանցերի, հետերաշխիքային սպասարկումը։</w:t>
      </w:r>
    </w:p>
    <w:p w:rsidR="00A4471C" w:rsidRPr="007955BB" w:rsidRDefault="00A4471C" w:rsidP="00A4471C">
      <w:pPr>
        <w:widowControl w:val="0"/>
        <w:spacing w:line="276" w:lineRule="auto"/>
        <w:rPr>
          <w:rFonts w:cs="Sylfaen"/>
          <w:b w:val="0"/>
          <w:szCs w:val="22"/>
          <w:lang w:val="hy-AM"/>
        </w:rPr>
      </w:pPr>
      <w:r w:rsidRPr="007955BB">
        <w:rPr>
          <w:rFonts w:cs="Sylfaen"/>
          <w:b w:val="0"/>
          <w:szCs w:val="22"/>
          <w:lang w:val="hy-AM"/>
        </w:rPr>
        <w:t>Բացի այդ պետական մարմինների կողմից օգտագործվող ոչ ֆինանսական ակտիվների ակտիվների օտարումից նախատեսվում է (10,000.0 մլն դրամի) մուտքեր:</w:t>
      </w:r>
    </w:p>
    <w:p w:rsidR="00A4471C" w:rsidRPr="007955BB" w:rsidRDefault="00A4471C" w:rsidP="00A4471C">
      <w:pPr>
        <w:widowControl w:val="0"/>
        <w:spacing w:line="276" w:lineRule="auto"/>
        <w:rPr>
          <w:rFonts w:cs="Sylfaen"/>
          <w:b w:val="0"/>
          <w:lang w:val="hy-AM"/>
        </w:rPr>
      </w:pPr>
      <w:r w:rsidRPr="007955BB">
        <w:rPr>
          <w:rFonts w:cs="Sylfaen"/>
          <w:szCs w:val="22"/>
          <w:lang w:val="hy-AM"/>
        </w:rPr>
        <w:t>Այլընտրանքային</w:t>
      </w:r>
      <w:r w:rsidRPr="007955BB">
        <w:rPr>
          <w:rFonts w:cs="Sylfaen"/>
          <w:szCs w:val="22"/>
          <w:lang w:val="af-ZA"/>
        </w:rPr>
        <w:t xml:space="preserve"> </w:t>
      </w:r>
      <w:r w:rsidRPr="007955BB">
        <w:rPr>
          <w:rFonts w:cs="Sylfaen"/>
          <w:szCs w:val="22"/>
          <w:lang w:val="hy-AM"/>
        </w:rPr>
        <w:t>աշխատանքային</w:t>
      </w:r>
      <w:r w:rsidRPr="007955BB">
        <w:rPr>
          <w:rFonts w:cs="Sylfaen"/>
          <w:szCs w:val="22"/>
          <w:lang w:val="af-ZA"/>
        </w:rPr>
        <w:t xml:space="preserve"> </w:t>
      </w:r>
      <w:r w:rsidRPr="007955BB">
        <w:rPr>
          <w:rFonts w:cs="Sylfaen"/>
          <w:szCs w:val="22"/>
          <w:lang w:val="hy-AM"/>
        </w:rPr>
        <w:t xml:space="preserve">ծառայություն </w:t>
      </w:r>
      <w:r w:rsidRPr="007955BB">
        <w:rPr>
          <w:rFonts w:cs="Sylfaen"/>
          <w:b w:val="0"/>
          <w:szCs w:val="22"/>
          <w:lang w:val="hy-AM"/>
        </w:rPr>
        <w:t>ծրագրի</w:t>
      </w:r>
      <w:r w:rsidRPr="007955BB">
        <w:rPr>
          <w:rFonts w:cs="Sylfaen"/>
          <w:b w:val="0"/>
          <w:szCs w:val="22"/>
          <w:lang w:val="af-ZA"/>
        </w:rPr>
        <w:t xml:space="preserve"> </w:t>
      </w:r>
      <w:r w:rsidRPr="007955BB">
        <w:rPr>
          <w:rFonts w:cs="Sylfaen"/>
          <w:b w:val="0"/>
          <w:lang w:val="hy-AM"/>
        </w:rPr>
        <w:t>գծով 2023 թվականին  նախատեսվել է</w:t>
      </w:r>
      <w:r w:rsidRPr="007955BB">
        <w:rPr>
          <w:b w:val="0"/>
          <w:szCs w:val="22"/>
          <w:lang w:val="it-IT"/>
        </w:rPr>
        <w:t xml:space="preserve"> 30.9 </w:t>
      </w:r>
      <w:r w:rsidRPr="007955BB">
        <w:rPr>
          <w:b w:val="0"/>
          <w:szCs w:val="22"/>
          <w:lang w:val="hy-AM"/>
        </w:rPr>
        <w:t>մլն</w:t>
      </w:r>
      <w:r w:rsidRPr="007955BB">
        <w:rPr>
          <w:b w:val="0"/>
          <w:szCs w:val="22"/>
          <w:lang w:val="it-IT"/>
        </w:rPr>
        <w:t xml:space="preserve"> </w:t>
      </w:r>
      <w:r w:rsidRPr="007955BB">
        <w:rPr>
          <w:b w:val="0"/>
          <w:szCs w:val="22"/>
          <w:lang w:val="hy-AM"/>
        </w:rPr>
        <w:t>դրամ:</w:t>
      </w:r>
    </w:p>
    <w:p w:rsidR="00A4471C" w:rsidRPr="007955BB" w:rsidRDefault="00A4471C" w:rsidP="00A4471C">
      <w:pPr>
        <w:widowControl w:val="0"/>
        <w:spacing w:line="276" w:lineRule="auto"/>
        <w:rPr>
          <w:rFonts w:cs="Arial"/>
          <w:b w:val="0"/>
          <w:noProof/>
          <w:szCs w:val="22"/>
          <w:lang w:val="hy-AM"/>
        </w:rPr>
      </w:pPr>
      <w:r w:rsidRPr="007955BB">
        <w:rPr>
          <w:rFonts w:cs="Sylfaen"/>
          <w:b w:val="0"/>
          <w:noProof/>
          <w:szCs w:val="22"/>
          <w:lang w:val="hy-AM"/>
        </w:rPr>
        <w:t>Ծրագրի նպատակն է քաղաքացիական պարտքի կատարման այլընտրանքային տարբերակների ապահովումը</w:t>
      </w:r>
      <w:r w:rsidRPr="007955BB">
        <w:rPr>
          <w:rFonts w:cs="Times Armenian"/>
          <w:b w:val="0"/>
          <w:kern w:val="16"/>
          <w:szCs w:val="22"/>
          <w:lang w:val="hy-AM"/>
        </w:rPr>
        <w:t>,</w:t>
      </w:r>
      <w:r w:rsidRPr="007955BB">
        <w:rPr>
          <w:b w:val="0"/>
          <w:szCs w:val="22"/>
          <w:lang w:val="it-IT"/>
        </w:rPr>
        <w:t xml:space="preserve"> </w:t>
      </w:r>
      <w:r w:rsidRPr="007955BB">
        <w:rPr>
          <w:rFonts w:cs="Arial"/>
          <w:b w:val="0"/>
          <w:noProof/>
          <w:szCs w:val="22"/>
          <w:lang w:val="hy-AM"/>
        </w:rPr>
        <w:t xml:space="preserve">որի շրջանակում թվով </w:t>
      </w:r>
      <w:r w:rsidR="004D0DAD" w:rsidRPr="007955BB">
        <w:rPr>
          <w:rFonts w:cs="Arial"/>
          <w:b w:val="0"/>
          <w:noProof/>
          <w:szCs w:val="22"/>
          <w:lang w:val="hy-AM"/>
        </w:rPr>
        <w:t>10</w:t>
      </w:r>
      <w:r w:rsidRPr="007955BB">
        <w:rPr>
          <w:rFonts w:cs="Arial"/>
          <w:b w:val="0"/>
          <w:noProof/>
          <w:szCs w:val="22"/>
          <w:lang w:val="hy-AM"/>
        </w:rPr>
        <w:t>5 այլընտրանքային աշխատանքային ծառայողների կտրամադրվի դրամական բավարարում և փոխհատուցում:</w:t>
      </w:r>
    </w:p>
    <w:p w:rsidR="00A4471C" w:rsidRPr="007955BB" w:rsidRDefault="00A4471C" w:rsidP="00A4471C">
      <w:pPr>
        <w:spacing w:before="0" w:line="240" w:lineRule="auto"/>
        <w:ind w:left="2" w:firstLine="565"/>
        <w:contextualSpacing w:val="0"/>
        <w:rPr>
          <w:rFonts w:cs="Sylfaen"/>
          <w:b w:val="0"/>
          <w:lang w:val="hy-AM"/>
        </w:rPr>
      </w:pPr>
      <w:r w:rsidRPr="007955BB">
        <w:rPr>
          <w:rFonts w:cs="Sylfaen"/>
          <w:szCs w:val="22"/>
          <w:lang w:val="hy-AM"/>
        </w:rPr>
        <w:t xml:space="preserve">Քաղաքային զարգացում </w:t>
      </w:r>
      <w:r w:rsidRPr="007955BB">
        <w:rPr>
          <w:rFonts w:cs="Sylfaen"/>
          <w:b w:val="0"/>
          <w:szCs w:val="22"/>
          <w:lang w:val="hy-AM"/>
        </w:rPr>
        <w:t>ծրագրի</w:t>
      </w:r>
      <w:r w:rsidRPr="007955BB">
        <w:rPr>
          <w:rFonts w:cs="Sylfaen"/>
          <w:b w:val="0"/>
          <w:szCs w:val="22"/>
          <w:lang w:val="af-ZA"/>
        </w:rPr>
        <w:t xml:space="preserve"> </w:t>
      </w:r>
      <w:r w:rsidRPr="007955BB">
        <w:rPr>
          <w:rFonts w:cs="Sylfaen"/>
          <w:b w:val="0"/>
          <w:lang w:val="hy-AM"/>
        </w:rPr>
        <w:t xml:space="preserve">գծով 2023 թվականին  նախատեսվել է </w:t>
      </w:r>
      <w:r w:rsidR="00875E26" w:rsidRPr="007955BB">
        <w:rPr>
          <w:rFonts w:cs="Sylfaen"/>
          <w:b w:val="0"/>
          <w:lang w:val="hy-AM"/>
        </w:rPr>
        <w:t>1</w:t>
      </w:r>
      <w:r w:rsidR="000A7082" w:rsidRPr="000A7082">
        <w:rPr>
          <w:rFonts w:cs="Sylfaen"/>
          <w:b w:val="0"/>
          <w:lang w:val="hy-AM"/>
        </w:rPr>
        <w:t>5</w:t>
      </w:r>
      <w:r w:rsidR="00875E26" w:rsidRPr="007955BB">
        <w:rPr>
          <w:rFonts w:cs="Sylfaen"/>
          <w:b w:val="0"/>
          <w:lang w:val="hy-AM"/>
        </w:rPr>
        <w:t>,</w:t>
      </w:r>
      <w:r w:rsidR="000A7082" w:rsidRPr="000A7082">
        <w:rPr>
          <w:rFonts w:cs="Sylfaen"/>
          <w:b w:val="0"/>
          <w:lang w:val="hy-AM"/>
        </w:rPr>
        <w:t>536</w:t>
      </w:r>
      <w:r w:rsidR="00875E26" w:rsidRPr="007955BB">
        <w:rPr>
          <w:rFonts w:cs="Sylfaen"/>
          <w:b w:val="0"/>
          <w:lang w:val="hy-AM"/>
        </w:rPr>
        <w:t>.</w:t>
      </w:r>
      <w:r w:rsidR="000A7082" w:rsidRPr="000A7082">
        <w:rPr>
          <w:rFonts w:cs="Sylfaen"/>
          <w:b w:val="0"/>
          <w:lang w:val="hy-AM"/>
        </w:rPr>
        <w:t>6</w:t>
      </w:r>
      <w:r w:rsidR="00875E26" w:rsidRPr="007955BB">
        <w:rPr>
          <w:rFonts w:cs="Sylfaen"/>
          <w:b w:val="0"/>
          <w:lang w:val="hy-AM"/>
        </w:rPr>
        <w:t xml:space="preserve"> </w:t>
      </w:r>
      <w:r w:rsidRPr="007955BB">
        <w:rPr>
          <w:rFonts w:cs="Sylfaen"/>
          <w:b w:val="0"/>
          <w:lang w:val="hy-AM"/>
        </w:rPr>
        <w:t>մլն դրամ:</w:t>
      </w:r>
    </w:p>
    <w:p w:rsidR="00875E26" w:rsidRPr="007955BB" w:rsidRDefault="00875E26" w:rsidP="00875E26">
      <w:pPr>
        <w:widowControl w:val="0"/>
        <w:spacing w:line="276" w:lineRule="auto"/>
        <w:rPr>
          <w:rFonts w:cs="Sylfaen"/>
          <w:b w:val="0"/>
          <w:szCs w:val="22"/>
          <w:lang w:val="hy-AM"/>
        </w:rPr>
      </w:pPr>
      <w:r w:rsidRPr="007955BB">
        <w:rPr>
          <w:rFonts w:cs="Sylfaen"/>
          <w:b w:val="0"/>
          <w:szCs w:val="22"/>
          <w:lang w:val="hy-AM"/>
        </w:rPr>
        <w:t>Ծրագրի նպատակն է քաղաքային ենթակառուցվածքների զարգացումը, որի շրջանակներում ներքին</w:t>
      </w:r>
      <w:r w:rsidRPr="007955BB">
        <w:rPr>
          <w:rFonts w:cs="Sylfaen"/>
          <w:b w:val="0"/>
          <w:szCs w:val="22"/>
          <w:lang w:val="af-ZA"/>
        </w:rPr>
        <w:t xml:space="preserve"> </w:t>
      </w:r>
      <w:r w:rsidRPr="007955BB">
        <w:rPr>
          <w:rFonts w:cs="Sylfaen"/>
          <w:b w:val="0"/>
          <w:szCs w:val="22"/>
          <w:lang w:val="hy-AM"/>
        </w:rPr>
        <w:t>և</w:t>
      </w:r>
      <w:r w:rsidRPr="007955BB">
        <w:rPr>
          <w:rFonts w:cs="Sylfaen"/>
          <w:b w:val="0"/>
          <w:szCs w:val="22"/>
          <w:lang w:val="af-ZA"/>
        </w:rPr>
        <w:t xml:space="preserve"> </w:t>
      </w:r>
      <w:r w:rsidRPr="007955BB">
        <w:rPr>
          <w:rFonts w:cs="Sylfaen"/>
          <w:b w:val="0"/>
          <w:szCs w:val="22"/>
          <w:lang w:val="hy-AM"/>
        </w:rPr>
        <w:t>արտաքին</w:t>
      </w:r>
      <w:r w:rsidRPr="007955BB">
        <w:rPr>
          <w:rFonts w:cs="Sylfaen"/>
          <w:b w:val="0"/>
          <w:szCs w:val="22"/>
          <w:lang w:val="af-ZA"/>
        </w:rPr>
        <w:t xml:space="preserve"> </w:t>
      </w:r>
      <w:r w:rsidRPr="007955BB">
        <w:rPr>
          <w:rFonts w:cs="Sylfaen"/>
          <w:b w:val="0"/>
          <w:szCs w:val="22"/>
          <w:lang w:val="hy-AM"/>
        </w:rPr>
        <w:t>աղբյուրների</w:t>
      </w:r>
      <w:r w:rsidRPr="007955BB">
        <w:rPr>
          <w:rFonts w:cs="Sylfaen"/>
          <w:b w:val="0"/>
          <w:szCs w:val="22"/>
          <w:lang w:val="af-ZA"/>
        </w:rPr>
        <w:t xml:space="preserve"> </w:t>
      </w:r>
      <w:r w:rsidRPr="007955BB">
        <w:rPr>
          <w:rFonts w:cs="Sylfaen"/>
          <w:b w:val="0"/>
          <w:szCs w:val="22"/>
          <w:lang w:val="hy-AM"/>
        </w:rPr>
        <w:t>ֆինանսավորմամբ</w:t>
      </w:r>
      <w:r w:rsidRPr="007955BB">
        <w:rPr>
          <w:rFonts w:cs="Sylfaen"/>
          <w:b w:val="0"/>
          <w:color w:val="FF0000"/>
          <w:szCs w:val="22"/>
          <w:lang w:val="hy-AM"/>
        </w:rPr>
        <w:t xml:space="preserve"> </w:t>
      </w:r>
      <w:r w:rsidRPr="007955BB">
        <w:rPr>
          <w:rFonts w:cs="Sylfaen"/>
          <w:b w:val="0"/>
          <w:szCs w:val="22"/>
          <w:lang w:val="hy-AM"/>
        </w:rPr>
        <w:t>նախատեսվում</w:t>
      </w:r>
      <w:r w:rsidRPr="007955BB">
        <w:rPr>
          <w:rFonts w:cs="Sylfaen"/>
          <w:b w:val="0"/>
          <w:szCs w:val="22"/>
          <w:lang w:val="af-ZA"/>
        </w:rPr>
        <w:t xml:space="preserve"> </w:t>
      </w:r>
      <w:r w:rsidRPr="007955BB">
        <w:rPr>
          <w:rFonts w:cs="Sylfaen"/>
          <w:b w:val="0"/>
          <w:szCs w:val="22"/>
          <w:lang w:val="hy-AM"/>
        </w:rPr>
        <w:t>է իրականացնել Երևանի մետրոպոլիտենով ուղևորափոխադրման ծառայությունների և Երևանի տարածքում ճանապարհային երթևեկության կարգավորման գծով պետության կողմից համայնքի ղեկավարին պատվիրակված լիազորությունների իրականացման, Երևան և Գյումրի քաղաքների փողոցների և արտաքին լուսավորության ցանցի հիմանորոգման, շահագործման ու պահպանման աշխատանքների իրականացում:</w:t>
      </w:r>
    </w:p>
    <w:p w:rsidR="00A4471C" w:rsidRPr="007955BB" w:rsidRDefault="00A4471C" w:rsidP="00A4471C">
      <w:pPr>
        <w:widowControl w:val="0"/>
        <w:spacing w:line="276" w:lineRule="auto"/>
        <w:rPr>
          <w:rFonts w:cs="Sylfaen"/>
          <w:b w:val="0"/>
          <w:szCs w:val="22"/>
          <w:lang w:val="hy-AM"/>
        </w:rPr>
      </w:pPr>
      <w:r w:rsidRPr="007955BB">
        <w:rPr>
          <w:rFonts w:cs="Sylfaen"/>
          <w:b w:val="0"/>
          <w:szCs w:val="22"/>
          <w:lang w:val="hy-AM"/>
        </w:rPr>
        <w:t>Մասնավորապես 2023 թվականին ներքին աղբյուրների հաշվին նախատեսվում է իրականացնել Երևանի մետրոպոլիտենի նորոգման աշխատանքներ և ապահովել 18.7 մլն ուղևորների անվտանգ ուղևորափոխադրումը:</w:t>
      </w:r>
    </w:p>
    <w:p w:rsidR="00A4471C" w:rsidRPr="007955BB" w:rsidRDefault="00A4471C" w:rsidP="00A4471C">
      <w:pPr>
        <w:widowControl w:val="0"/>
        <w:spacing w:line="276" w:lineRule="auto"/>
        <w:rPr>
          <w:rFonts w:cs="Sylfaen"/>
          <w:b w:val="0"/>
          <w:szCs w:val="22"/>
          <w:lang w:val="hy-AM"/>
        </w:rPr>
      </w:pPr>
      <w:r w:rsidRPr="007955BB">
        <w:rPr>
          <w:rFonts w:cs="Sylfaen"/>
          <w:b w:val="0"/>
          <w:szCs w:val="22"/>
          <w:lang w:val="hy-AM"/>
        </w:rPr>
        <w:t xml:space="preserve">Արտաքին աղբյուրների ֆինանսավորմամբ իրականացվող շարունակական ծրագրերի ներքո նախատեսվում է՝ Երևան քաղաքում 28 փողոցների արտաքին լուսավորության ցանցի արդիականացում, ավարտել  Բաբաջանյան-Աշտարակի խճուղի 9.4 կմ երկարությամբ և Արգավանդ - Բաբաջանյան ճանապարհահատվածի 1 կմ երկարությամբ  ճանապարհահատվածների կառուցումը, ձեռք  բերել ժամանակակից 12 մ-ոց ցածրահատակ սեղմված բնական գազով ավտոբուսներ, իսկ Գյումրի քաղաքում՝ ընտրված փողոցների վերանորոգում և լուավորության ցանցի արդիականացում: Ծրագրի շրջանակներում մեկնարկելու են նաև Երևան քաղաքի Իսակով-Արշակունյաց ճանապարհի և Ջրվեժի դեպոյի կառուցմանն ուղղված աշխատանքները: </w:t>
      </w:r>
    </w:p>
    <w:p w:rsidR="00A4471C" w:rsidRPr="007955BB" w:rsidRDefault="00A4471C" w:rsidP="00A4471C">
      <w:pPr>
        <w:spacing w:before="0" w:line="276" w:lineRule="auto"/>
        <w:ind w:firstLine="720"/>
        <w:rPr>
          <w:b w:val="0"/>
          <w:bCs/>
          <w:iCs/>
          <w:color w:val="000000"/>
          <w:lang w:val="hy-AM"/>
        </w:rPr>
      </w:pPr>
      <w:r w:rsidRPr="007955BB">
        <w:rPr>
          <w:color w:val="000000"/>
          <w:szCs w:val="22"/>
          <w:lang w:val="hy-AM"/>
        </w:rPr>
        <w:t xml:space="preserve">Էլեկտրաէներգետիկ համակարգի զարգացման </w:t>
      </w:r>
      <w:r w:rsidRPr="007955BB">
        <w:rPr>
          <w:b w:val="0"/>
          <w:bCs/>
          <w:iCs/>
          <w:color w:val="000000"/>
          <w:lang w:val="hy-AM"/>
        </w:rPr>
        <w:t>ծրագրի գծով 2023 թվականին նախա</w:t>
      </w:r>
      <w:r w:rsidRPr="007955BB">
        <w:rPr>
          <w:b w:val="0"/>
          <w:bCs/>
          <w:iCs/>
          <w:color w:val="000000"/>
          <w:lang w:val="hy-AM"/>
        </w:rPr>
        <w:softHyphen/>
        <w:t>տեսվում է հատկացնել 9</w:t>
      </w:r>
      <w:r w:rsidR="000A7082" w:rsidRPr="000A7082">
        <w:rPr>
          <w:b w:val="0"/>
          <w:bCs/>
          <w:iCs/>
          <w:color w:val="000000"/>
          <w:lang w:val="hy-AM"/>
        </w:rPr>
        <w:t>4</w:t>
      </w:r>
      <w:r w:rsidRPr="007955BB">
        <w:rPr>
          <w:b w:val="0"/>
          <w:bCs/>
          <w:iCs/>
          <w:color w:val="000000"/>
          <w:lang w:val="hy-AM"/>
        </w:rPr>
        <w:t>7.</w:t>
      </w:r>
      <w:r w:rsidR="000A7082" w:rsidRPr="000A7082">
        <w:rPr>
          <w:b w:val="0"/>
          <w:bCs/>
          <w:iCs/>
          <w:color w:val="000000"/>
          <w:lang w:val="hy-AM"/>
        </w:rPr>
        <w:t>0</w:t>
      </w:r>
      <w:r w:rsidRPr="007955BB">
        <w:rPr>
          <w:b w:val="0"/>
          <w:bCs/>
          <w:iCs/>
          <w:color w:val="000000"/>
          <w:lang w:val="hy-AM"/>
        </w:rPr>
        <w:t xml:space="preserve"> մլն դրամ:</w:t>
      </w:r>
    </w:p>
    <w:p w:rsidR="00A4471C" w:rsidRPr="007955BB" w:rsidRDefault="00A4471C" w:rsidP="00A4471C">
      <w:pPr>
        <w:spacing w:before="0" w:line="276" w:lineRule="auto"/>
        <w:ind w:firstLine="720"/>
        <w:rPr>
          <w:b w:val="0"/>
          <w:bCs/>
          <w:iCs/>
          <w:color w:val="000000"/>
          <w:lang w:val="hy-AM"/>
        </w:rPr>
      </w:pPr>
      <w:r w:rsidRPr="007955BB">
        <w:rPr>
          <w:b w:val="0"/>
          <w:bCs/>
          <w:iCs/>
          <w:color w:val="000000"/>
          <w:lang w:val="hy-AM"/>
        </w:rPr>
        <w:t>Ծրագրի նպատակն է նպաստել էլեկտրաէներգետիկ համակարգի հուսալիության բարձրացմանը և էլեկտրաէներգիայի անխափան մատակարարման ապահովմանը:</w:t>
      </w:r>
    </w:p>
    <w:p w:rsidR="00A4471C" w:rsidRPr="007955BB" w:rsidRDefault="00A4471C" w:rsidP="00A4471C">
      <w:pPr>
        <w:spacing w:before="0" w:line="276" w:lineRule="auto"/>
        <w:ind w:firstLine="720"/>
        <w:rPr>
          <w:b w:val="0"/>
          <w:bCs/>
          <w:iCs/>
          <w:color w:val="000000"/>
          <w:szCs w:val="22"/>
          <w:lang w:val="hy-AM"/>
        </w:rPr>
      </w:pPr>
      <w:r w:rsidRPr="007955BB">
        <w:rPr>
          <w:b w:val="0"/>
          <w:bCs/>
          <w:iCs/>
          <w:color w:val="000000"/>
          <w:lang w:val="hy-AM"/>
        </w:rPr>
        <w:t xml:space="preserve">Դրամաշնորհային ծրագրերի շրջանակներում կիրականացվեն Հայաստան-Վրաստան 400 կՎ լարման էլեկտրահաղորդման օդային գծերի և համապատասխան ենթակայանների կառուցման գլխավոր կապալառուների ընտրության և գլխավոր կապալառուների հետ համապատասխան պայմանագրերի կնքման </w:t>
      </w:r>
      <w:r w:rsidRPr="007955BB">
        <w:rPr>
          <w:b w:val="0"/>
          <w:bCs/>
          <w:iCs/>
          <w:color w:val="000000"/>
          <w:szCs w:val="22"/>
          <w:lang w:val="hy-AM"/>
        </w:rPr>
        <w:t>աշխատանքները, որը կապված է համանուն վարկային ծրագրի հետ:</w:t>
      </w:r>
    </w:p>
    <w:p w:rsidR="00A4471C" w:rsidRPr="007955BB" w:rsidRDefault="00A4471C" w:rsidP="00A4471C">
      <w:pPr>
        <w:spacing w:line="276" w:lineRule="auto"/>
        <w:rPr>
          <w:b w:val="0"/>
          <w:bCs/>
          <w:iCs/>
          <w:color w:val="000000"/>
          <w:szCs w:val="22"/>
          <w:lang w:val="hy-AM"/>
        </w:rPr>
      </w:pPr>
      <w:r w:rsidRPr="007955BB">
        <w:rPr>
          <w:b w:val="0"/>
          <w:bCs/>
          <w:iCs/>
          <w:color w:val="000000"/>
          <w:szCs w:val="22"/>
          <w:lang w:val="hy-AM"/>
        </w:rPr>
        <w:t>Արդյունքում՝ հայկական և վրացական էներգահամակարգերի միացման հետևանքով Հայաստան-Վրաստան էլեկտրաէներգիայի փոխանակման հզորությունը ներկայիս 200 մՎտ-ից առաջին փուլում կհասցվի 350 մՎտ-ի, հետագայում՝ ելնելով տարածաշրջանային շուկայի պահանջարկից մինչև 1050 մՎտ-ի:</w:t>
      </w:r>
    </w:p>
    <w:p w:rsidR="00A4471C" w:rsidRPr="007955BB" w:rsidRDefault="00A4471C" w:rsidP="00A4471C">
      <w:pPr>
        <w:spacing w:line="276" w:lineRule="auto"/>
        <w:rPr>
          <w:b w:val="0"/>
          <w:szCs w:val="22"/>
          <w:lang w:val="hy-AM"/>
        </w:rPr>
      </w:pPr>
      <w:r w:rsidRPr="007955BB">
        <w:rPr>
          <w:szCs w:val="22"/>
          <w:lang w:val="hy-AM"/>
        </w:rPr>
        <w:t xml:space="preserve">Ռադիոակտիվ թափոնների կառավարում </w:t>
      </w:r>
      <w:r w:rsidRPr="007955BB">
        <w:rPr>
          <w:b w:val="0"/>
          <w:szCs w:val="22"/>
          <w:lang w:val="hy-AM"/>
        </w:rPr>
        <w:t>ծրագրի գծով 2023 թվականին նախա</w:t>
      </w:r>
      <w:r w:rsidRPr="007955BB">
        <w:rPr>
          <w:b w:val="0"/>
          <w:szCs w:val="22"/>
          <w:lang w:val="hy-AM"/>
        </w:rPr>
        <w:softHyphen/>
        <w:t>տեսվում է հատկացնել 37.0 մլն դրամ:</w:t>
      </w:r>
    </w:p>
    <w:p w:rsidR="00A4471C" w:rsidRPr="007955BB" w:rsidRDefault="00A4471C" w:rsidP="00A4471C">
      <w:pPr>
        <w:spacing w:line="276" w:lineRule="auto"/>
        <w:rPr>
          <w:b w:val="0"/>
          <w:szCs w:val="22"/>
          <w:lang w:val="hy-AM"/>
        </w:rPr>
      </w:pPr>
      <w:r w:rsidRPr="007955BB">
        <w:rPr>
          <w:b w:val="0"/>
          <w:szCs w:val="22"/>
          <w:lang w:val="hy-AM"/>
        </w:rPr>
        <w:t xml:space="preserve">Ծրագրի նպատակն է միջուկային և ճառագայթային անվտանգության նորմերի ու կանոնների պահպանմամբ ռադիոակտիվ թափոնների կենտրոնացված փոխադրման, ուսումնասիրման, պահպանման, վնասազերծման և թաղման ապահովումը` մարդկանց և շրջակա միջավայրի իոնացնող ճառագայթման վնասակար ազդեցությունից պաշտպանելու համար: Ծրագրի կատարումից ակնկալվում է հայտնաբերված ռադիոակտիվ թափոնների 100% վնասազերծում: Ծրագրի շրջանակներում նախատեսվում է 150 ռադիոակտիվ թափոնների միջուկային և ճառագայթային անվտանգության նորմերի ու կանոնների պահպանմամբ կենտրոնացված փոխադրման, ուսումնասիրման, պահպանման և վնասազերծման աշխատանքներ: </w:t>
      </w:r>
    </w:p>
    <w:p w:rsidR="00A4471C" w:rsidRPr="007955BB" w:rsidRDefault="00A4471C" w:rsidP="00A4471C">
      <w:pPr>
        <w:spacing w:line="276" w:lineRule="auto"/>
        <w:rPr>
          <w:b w:val="0"/>
          <w:szCs w:val="22"/>
          <w:lang w:val="hy-AM"/>
        </w:rPr>
      </w:pPr>
      <w:r w:rsidRPr="007955BB">
        <w:rPr>
          <w:rFonts w:cs="Sylfaen"/>
          <w:szCs w:val="22"/>
          <w:lang w:val="hy-AM"/>
        </w:rPr>
        <w:t xml:space="preserve">Ավիացիայի բնագավառում վերահսկողության, կանոնակարգման և զարգացման ապահովում </w:t>
      </w:r>
      <w:r w:rsidRPr="007955BB">
        <w:rPr>
          <w:b w:val="0"/>
          <w:szCs w:val="22"/>
          <w:lang w:val="hy-AM"/>
        </w:rPr>
        <w:t>ծրագրի գծով 2023 թվականին նախա</w:t>
      </w:r>
      <w:r w:rsidRPr="007955BB">
        <w:rPr>
          <w:b w:val="0"/>
          <w:szCs w:val="22"/>
          <w:lang w:val="hy-AM"/>
        </w:rPr>
        <w:softHyphen/>
        <w:t>տեսվել է 1,5</w:t>
      </w:r>
      <w:r w:rsidR="00A92702" w:rsidRPr="00A92702">
        <w:rPr>
          <w:b w:val="0"/>
          <w:szCs w:val="22"/>
          <w:lang w:val="hy-AM"/>
        </w:rPr>
        <w:t>33</w:t>
      </w:r>
      <w:r w:rsidRPr="007955BB">
        <w:rPr>
          <w:b w:val="0"/>
          <w:szCs w:val="22"/>
          <w:lang w:val="hy-AM"/>
        </w:rPr>
        <w:t>.</w:t>
      </w:r>
      <w:r w:rsidR="000A7082" w:rsidRPr="000A7082">
        <w:rPr>
          <w:b w:val="0"/>
          <w:szCs w:val="22"/>
          <w:lang w:val="hy-AM"/>
        </w:rPr>
        <w:t>6</w:t>
      </w:r>
      <w:r w:rsidRPr="007955BB">
        <w:rPr>
          <w:b w:val="0"/>
          <w:szCs w:val="22"/>
          <w:lang w:val="hy-AM"/>
        </w:rPr>
        <w:t xml:space="preserve"> մլն դրամ (որից 1,4</w:t>
      </w:r>
      <w:r w:rsidR="00A92702" w:rsidRPr="00CE2A87">
        <w:rPr>
          <w:b w:val="0"/>
          <w:szCs w:val="22"/>
          <w:lang w:val="hy-AM"/>
        </w:rPr>
        <w:t>54</w:t>
      </w:r>
      <w:r w:rsidRPr="007955BB">
        <w:rPr>
          <w:b w:val="0"/>
          <w:szCs w:val="22"/>
          <w:lang w:val="hy-AM"/>
        </w:rPr>
        <w:t>.</w:t>
      </w:r>
      <w:r w:rsidR="00A92702" w:rsidRPr="00CE2A87">
        <w:rPr>
          <w:b w:val="0"/>
          <w:szCs w:val="22"/>
          <w:lang w:val="hy-AM"/>
        </w:rPr>
        <w:t>8</w:t>
      </w:r>
      <w:r w:rsidRPr="007955BB">
        <w:rPr>
          <w:b w:val="0"/>
          <w:szCs w:val="22"/>
          <w:lang w:val="hy-AM"/>
        </w:rPr>
        <w:t xml:space="preserve">  մլն դրամը ապարատի պահպանմանն ուղղվող գումարներն են):</w:t>
      </w:r>
    </w:p>
    <w:p w:rsidR="00A4471C" w:rsidRPr="007955BB" w:rsidRDefault="00A4471C" w:rsidP="00A4471C">
      <w:pPr>
        <w:widowControl w:val="0"/>
        <w:spacing w:line="276" w:lineRule="auto"/>
        <w:rPr>
          <w:b w:val="0"/>
          <w:szCs w:val="22"/>
          <w:lang w:val="hy-AM"/>
        </w:rPr>
      </w:pPr>
      <w:r w:rsidRPr="007955BB">
        <w:rPr>
          <w:rFonts w:cs="Sylfaen"/>
          <w:b w:val="0"/>
          <w:szCs w:val="22"/>
          <w:lang w:val="hy-AM"/>
        </w:rPr>
        <w:t>Նշված ծրագրի շրջանակներում կ</w:t>
      </w:r>
      <w:r w:rsidRPr="007955BB">
        <w:rPr>
          <w:b w:val="0"/>
          <w:szCs w:val="22"/>
          <w:lang w:val="hy-AM"/>
        </w:rPr>
        <w:t>վերապատրաստվեն ՀՀ տարածքային կառավարման և ենթակառուցվածքների նախարարության քաղաքացիական ավիացիայի կոմիտեի 180 աշխատակիցներ (</w:t>
      </w:r>
      <w:r w:rsidRPr="007955BB">
        <w:rPr>
          <w:rFonts w:cs="Sylfaen"/>
          <w:b w:val="0"/>
          <w:szCs w:val="22"/>
          <w:lang w:val="hy-AM"/>
        </w:rPr>
        <w:t xml:space="preserve">78.8 </w:t>
      </w:r>
      <w:r w:rsidRPr="007955BB">
        <w:rPr>
          <w:b w:val="0"/>
          <w:szCs w:val="22"/>
          <w:lang w:val="hy-AM"/>
        </w:rPr>
        <w:t>մլն դրամ):</w:t>
      </w:r>
    </w:p>
    <w:p w:rsidR="00A4471C" w:rsidRPr="007955BB" w:rsidRDefault="00A4471C" w:rsidP="00A4471C">
      <w:pPr>
        <w:widowControl w:val="0"/>
        <w:spacing w:line="276" w:lineRule="auto"/>
        <w:rPr>
          <w:b w:val="0"/>
          <w:szCs w:val="22"/>
          <w:lang w:val="hy-AM"/>
        </w:rPr>
      </w:pPr>
      <w:r w:rsidRPr="007955BB">
        <w:rPr>
          <w:rFonts w:cs="Sylfaen"/>
          <w:szCs w:val="22"/>
          <w:lang w:val="hy-AM"/>
        </w:rPr>
        <w:t xml:space="preserve">Դպրոցների սեյսմիկ անվտանգության մակարդակի բարձրացման </w:t>
      </w:r>
      <w:r w:rsidRPr="007955BB">
        <w:rPr>
          <w:b w:val="0"/>
          <w:szCs w:val="22"/>
          <w:lang w:val="hy-AM"/>
        </w:rPr>
        <w:t>ծրագրի գծով 2023 թվականին նախատեսվել է 11,</w:t>
      </w:r>
      <w:r w:rsidR="000A7082" w:rsidRPr="000A7082">
        <w:rPr>
          <w:b w:val="0"/>
          <w:szCs w:val="22"/>
          <w:lang w:val="hy-AM"/>
        </w:rPr>
        <w:t>047</w:t>
      </w:r>
      <w:r w:rsidRPr="007955BB">
        <w:rPr>
          <w:b w:val="0"/>
          <w:szCs w:val="22"/>
          <w:lang w:val="hy-AM"/>
        </w:rPr>
        <w:t>.</w:t>
      </w:r>
      <w:r w:rsidR="000A7082" w:rsidRPr="000A7082">
        <w:rPr>
          <w:b w:val="0"/>
          <w:szCs w:val="22"/>
          <w:lang w:val="hy-AM"/>
        </w:rPr>
        <w:t>3</w:t>
      </w:r>
      <w:r w:rsidRPr="007955BB">
        <w:rPr>
          <w:b w:val="0"/>
          <w:szCs w:val="22"/>
          <w:lang w:val="hy-AM"/>
        </w:rPr>
        <w:t xml:space="preserve"> մլն դրամ:</w:t>
      </w:r>
    </w:p>
    <w:p w:rsidR="00A4471C" w:rsidRPr="007955BB" w:rsidRDefault="00A4471C" w:rsidP="00A4471C">
      <w:pPr>
        <w:spacing w:line="276" w:lineRule="auto"/>
        <w:rPr>
          <w:b w:val="0"/>
          <w:szCs w:val="22"/>
          <w:lang w:val="hy-AM"/>
        </w:rPr>
      </w:pPr>
      <w:r w:rsidRPr="007955BB">
        <w:rPr>
          <w:b w:val="0"/>
          <w:szCs w:val="22"/>
          <w:lang w:val="hy-AM"/>
        </w:rPr>
        <w:t xml:space="preserve">Ծրագրի նպատակն է նպաստել երկրի սեյսմակայունության ապահովմանը, անհատական և հասարակական անվտանգության մակարդակի բարձրացմանը, որի գծով արտաքին աղբյուրների ֆինանսավորմամբ իրականացվող շարունակական ծրագրերի ներքո նախատեսվում է 23 դպրոցներում կշարունակվեն շինարարության և վերակառուցման աշխատանքներ,  շահագործման կհանձնվեն 5 դպրոցներ, 2500 աշակերտներ կհաճախեն սեյսմիկ անվտանգության չափանիշներին համապատասխան վերակառուցված կամ  նոր կառուցված դպրոցներ: </w:t>
      </w:r>
    </w:p>
    <w:p w:rsidR="00875E26" w:rsidRPr="007955BB" w:rsidRDefault="00A4471C" w:rsidP="00875E26">
      <w:pPr>
        <w:spacing w:line="276" w:lineRule="auto"/>
        <w:rPr>
          <w:rFonts w:cs="Sylfaen"/>
          <w:b w:val="0"/>
          <w:szCs w:val="22"/>
          <w:lang w:val="hy-AM"/>
        </w:rPr>
      </w:pPr>
      <w:r w:rsidRPr="007955BB">
        <w:rPr>
          <w:szCs w:val="22"/>
          <w:lang w:val="hy-AM"/>
        </w:rPr>
        <w:t xml:space="preserve">Տարածքային զարգացում </w:t>
      </w:r>
      <w:r w:rsidRPr="007955BB">
        <w:rPr>
          <w:b w:val="0"/>
          <w:szCs w:val="22"/>
          <w:lang w:val="hy-AM"/>
        </w:rPr>
        <w:t xml:space="preserve">ծրագրի գծով 2023 </w:t>
      </w:r>
      <w:r w:rsidRPr="007955BB">
        <w:rPr>
          <w:rFonts w:cs="Sylfaen"/>
          <w:b w:val="0"/>
          <w:szCs w:val="22"/>
          <w:lang w:val="hy-AM"/>
        </w:rPr>
        <w:t>թվակ</w:t>
      </w:r>
      <w:r w:rsidR="0001753D" w:rsidRPr="007955BB">
        <w:rPr>
          <w:rFonts w:cs="Sylfaen"/>
          <w:b w:val="0"/>
          <w:szCs w:val="22"/>
          <w:lang w:val="hy-AM"/>
        </w:rPr>
        <w:t>անին նախա</w:t>
      </w:r>
      <w:r w:rsidR="0001753D" w:rsidRPr="007955BB">
        <w:rPr>
          <w:rFonts w:cs="Sylfaen"/>
          <w:b w:val="0"/>
          <w:szCs w:val="22"/>
          <w:lang w:val="hy-AM"/>
        </w:rPr>
        <w:softHyphen/>
        <w:t xml:space="preserve">տեսվում է հատկացնել </w:t>
      </w:r>
      <w:r w:rsidR="00875E26" w:rsidRPr="007955BB">
        <w:rPr>
          <w:rFonts w:cs="Sylfaen"/>
          <w:b w:val="0"/>
          <w:szCs w:val="22"/>
          <w:lang w:val="hy-AM"/>
        </w:rPr>
        <w:t>9</w:t>
      </w:r>
      <w:r w:rsidR="00305EEA" w:rsidRPr="007C243D">
        <w:rPr>
          <w:rFonts w:cs="Sylfaen"/>
          <w:b w:val="0"/>
          <w:szCs w:val="22"/>
          <w:lang w:val="hy-AM"/>
        </w:rPr>
        <w:t>9</w:t>
      </w:r>
      <w:r w:rsidR="00875E26" w:rsidRPr="007955BB">
        <w:rPr>
          <w:rFonts w:cs="Sylfaen"/>
          <w:b w:val="0"/>
          <w:szCs w:val="22"/>
          <w:lang w:val="hy-AM"/>
        </w:rPr>
        <w:t>,</w:t>
      </w:r>
      <w:r w:rsidR="00305EEA" w:rsidRPr="007C243D">
        <w:rPr>
          <w:rFonts w:cs="Sylfaen"/>
          <w:b w:val="0"/>
          <w:szCs w:val="22"/>
          <w:lang w:val="hy-AM"/>
        </w:rPr>
        <w:t>020</w:t>
      </w:r>
      <w:r w:rsidR="00875E26" w:rsidRPr="007955BB">
        <w:rPr>
          <w:rFonts w:cs="Sylfaen"/>
          <w:b w:val="0"/>
          <w:szCs w:val="22"/>
          <w:lang w:val="hy-AM"/>
        </w:rPr>
        <w:t>.</w:t>
      </w:r>
      <w:r w:rsidR="00305EEA" w:rsidRPr="007C243D">
        <w:rPr>
          <w:rFonts w:cs="Sylfaen"/>
          <w:b w:val="0"/>
          <w:szCs w:val="22"/>
          <w:lang w:val="hy-AM"/>
        </w:rPr>
        <w:t>0</w:t>
      </w:r>
      <w:r w:rsidR="00875E26" w:rsidRPr="007955BB">
        <w:rPr>
          <w:rFonts w:cs="Sylfaen"/>
          <w:b w:val="0"/>
          <w:szCs w:val="22"/>
          <w:lang w:val="hy-AM"/>
        </w:rPr>
        <w:t xml:space="preserve"> մլն դրամ: </w:t>
      </w:r>
    </w:p>
    <w:p w:rsidR="00875E26" w:rsidRPr="007955BB" w:rsidRDefault="00875E26" w:rsidP="00875E26">
      <w:pPr>
        <w:spacing w:line="276" w:lineRule="auto"/>
        <w:rPr>
          <w:rFonts w:cs="Sylfaen"/>
          <w:b w:val="0"/>
          <w:szCs w:val="22"/>
          <w:lang w:val="hy-AM"/>
        </w:rPr>
      </w:pPr>
      <w:r w:rsidRPr="007955BB">
        <w:rPr>
          <w:rFonts w:cs="Sylfaen"/>
          <w:b w:val="0"/>
          <w:szCs w:val="22"/>
          <w:lang w:val="hy-AM"/>
        </w:rPr>
        <w:t>Ծրագրի նպատակն է տարածքային համաչափ զարգացման խթանումը (մասնավորապես ՀՀ համայնքների կառավարման արդյունավետության բարձրացումն ու տնտեսական գործունեության խթանումը (ներառյալ ՀՀ Գեղարքունիքի մարզի Արծվաշեն բնակավայրի), սահմանամերձ համայնքների սոցիալական աջակցությունը, ՀՀ կառավարության կողմից համաֆինանսավորման սկզբունքով համայնքներում սուբվենցիոն ծրագրերի իրականացումը, Երևան քաղաքի փողոցների ճանապարհաշինարարական աշխատանքների, արտաքին լուսավորության և վերգետնյա էլեկտրոտրանսպորտով ուղևորափոխադրումների ծառայությունների  մատուցման նպատակով Երևան քաղաքին սուբվենցիաների տրամադրումը, ինչպես նաև համայնքներին ֆինանսական համահարթեցման դոտացիաների տրամադրումը:</w:t>
      </w:r>
    </w:p>
    <w:p w:rsidR="00875E26" w:rsidRPr="007955BB" w:rsidRDefault="00A4471C" w:rsidP="00875E26">
      <w:pPr>
        <w:spacing w:line="276" w:lineRule="auto"/>
        <w:rPr>
          <w:b w:val="0"/>
          <w:szCs w:val="22"/>
          <w:lang w:val="hy-AM"/>
        </w:rPr>
      </w:pPr>
      <w:r w:rsidRPr="007955BB">
        <w:rPr>
          <w:b w:val="0"/>
          <w:szCs w:val="22"/>
          <w:lang w:val="hy-AM"/>
        </w:rPr>
        <w:t xml:space="preserve">Նշված ծրագրերի շրջանակներում նախատեսվում է </w:t>
      </w:r>
      <w:r w:rsidRPr="007955BB">
        <w:rPr>
          <w:rFonts w:cs="Sylfaen"/>
          <w:b w:val="0"/>
          <w:szCs w:val="22"/>
          <w:lang w:val="hy-AM"/>
        </w:rPr>
        <w:t>փոխհատուցել սոցիալական</w:t>
      </w:r>
      <w:r w:rsidRPr="00C43BF7">
        <w:rPr>
          <w:rFonts w:cs="Sylfaen"/>
          <w:b w:val="0"/>
          <w:szCs w:val="22"/>
          <w:lang w:val="hy-AM"/>
        </w:rPr>
        <w:t xml:space="preserve"> </w:t>
      </w:r>
      <w:r w:rsidRPr="007955BB">
        <w:rPr>
          <w:rFonts w:cs="Sylfaen"/>
          <w:b w:val="0"/>
          <w:szCs w:val="22"/>
          <w:lang w:val="hy-AM"/>
        </w:rPr>
        <w:t>աջակցություն</w:t>
      </w:r>
      <w:r w:rsidRPr="00C43BF7">
        <w:rPr>
          <w:rFonts w:cs="Sylfaen"/>
          <w:b w:val="0"/>
          <w:szCs w:val="22"/>
          <w:lang w:val="hy-AM"/>
        </w:rPr>
        <w:t xml:space="preserve"> </w:t>
      </w:r>
      <w:r w:rsidRPr="007955BB">
        <w:rPr>
          <w:rFonts w:cs="Sylfaen"/>
          <w:b w:val="0"/>
          <w:szCs w:val="22"/>
          <w:lang w:val="hy-AM"/>
        </w:rPr>
        <w:t>ստացող</w:t>
      </w:r>
      <w:r w:rsidRPr="00C43BF7">
        <w:rPr>
          <w:rFonts w:cs="Sylfaen"/>
          <w:b w:val="0"/>
          <w:szCs w:val="22"/>
          <w:lang w:val="hy-AM"/>
        </w:rPr>
        <w:t xml:space="preserve"> </w:t>
      </w:r>
      <w:r w:rsidRPr="007955BB">
        <w:rPr>
          <w:rFonts w:cs="Sylfaen"/>
          <w:b w:val="0"/>
          <w:szCs w:val="22"/>
          <w:lang w:val="hy-AM"/>
        </w:rPr>
        <w:t>սահմանամերձ</w:t>
      </w:r>
      <w:r w:rsidRPr="00C43BF7">
        <w:rPr>
          <w:rFonts w:cs="Sylfaen"/>
          <w:b w:val="0"/>
          <w:szCs w:val="22"/>
          <w:lang w:val="hy-AM"/>
        </w:rPr>
        <w:t xml:space="preserve"> </w:t>
      </w:r>
      <w:r w:rsidRPr="007955BB">
        <w:rPr>
          <w:rFonts w:cs="Sylfaen"/>
          <w:b w:val="0"/>
          <w:szCs w:val="22"/>
          <w:lang w:val="hy-AM"/>
        </w:rPr>
        <w:t>համայնքների</w:t>
      </w:r>
      <w:r w:rsidRPr="00C43BF7">
        <w:rPr>
          <w:rFonts w:cs="Sylfaen"/>
          <w:b w:val="0"/>
          <w:szCs w:val="22"/>
          <w:lang w:val="hy-AM"/>
        </w:rPr>
        <w:t xml:space="preserve"> </w:t>
      </w:r>
      <w:r w:rsidRPr="007955BB">
        <w:rPr>
          <w:rFonts w:cs="Sylfaen"/>
          <w:b w:val="0"/>
          <w:szCs w:val="22"/>
          <w:lang w:val="hy-AM"/>
        </w:rPr>
        <w:t>(23</w:t>
      </w:r>
      <w:r w:rsidRPr="00C43BF7">
        <w:rPr>
          <w:rFonts w:cs="Sylfaen"/>
          <w:b w:val="0"/>
          <w:szCs w:val="22"/>
          <w:lang w:val="hy-AM"/>
        </w:rPr>
        <w:t xml:space="preserve"> </w:t>
      </w:r>
      <w:r w:rsidRPr="007955BB">
        <w:rPr>
          <w:rFonts w:cs="Sylfaen"/>
          <w:b w:val="0"/>
          <w:szCs w:val="22"/>
          <w:lang w:val="hy-AM"/>
        </w:rPr>
        <w:t>համայնքների</w:t>
      </w:r>
      <w:r w:rsidRPr="00C43BF7">
        <w:rPr>
          <w:rFonts w:cs="Sylfaen"/>
          <w:b w:val="0"/>
          <w:szCs w:val="22"/>
          <w:lang w:val="hy-AM"/>
        </w:rPr>
        <w:t xml:space="preserve"> 8</w:t>
      </w:r>
      <w:r w:rsidRPr="007955BB">
        <w:rPr>
          <w:rFonts w:cs="Sylfaen"/>
          <w:b w:val="0"/>
          <w:szCs w:val="22"/>
          <w:lang w:val="hy-AM"/>
        </w:rPr>
        <w:t>2</w:t>
      </w:r>
      <w:r w:rsidRPr="00C43BF7">
        <w:rPr>
          <w:rFonts w:cs="Sylfaen"/>
          <w:b w:val="0"/>
          <w:szCs w:val="22"/>
          <w:lang w:val="hy-AM"/>
        </w:rPr>
        <w:t xml:space="preserve"> </w:t>
      </w:r>
      <w:r w:rsidRPr="007955BB">
        <w:rPr>
          <w:rFonts w:cs="Sylfaen"/>
          <w:b w:val="0"/>
          <w:szCs w:val="22"/>
          <w:lang w:val="hy-AM"/>
        </w:rPr>
        <w:t>բնակավայրեր) կողմից</w:t>
      </w:r>
      <w:r w:rsidRPr="00C43BF7">
        <w:rPr>
          <w:rFonts w:cs="Sylfaen"/>
          <w:b w:val="0"/>
          <w:szCs w:val="22"/>
          <w:lang w:val="hy-AM"/>
        </w:rPr>
        <w:t xml:space="preserve"> </w:t>
      </w:r>
      <w:r w:rsidRPr="007955BB">
        <w:rPr>
          <w:rFonts w:cs="Sylfaen"/>
          <w:b w:val="0"/>
          <w:szCs w:val="22"/>
          <w:lang w:val="hy-AM"/>
        </w:rPr>
        <w:t>ծախսված</w:t>
      </w:r>
      <w:r w:rsidRPr="00C43BF7">
        <w:rPr>
          <w:rFonts w:cs="Sylfaen"/>
          <w:b w:val="0"/>
          <w:szCs w:val="22"/>
          <w:lang w:val="hy-AM"/>
        </w:rPr>
        <w:t xml:space="preserve"> </w:t>
      </w:r>
      <w:r w:rsidRPr="007955BB">
        <w:rPr>
          <w:rFonts w:cs="Sylfaen"/>
          <w:b w:val="0"/>
          <w:szCs w:val="22"/>
          <w:lang w:val="hy-AM"/>
        </w:rPr>
        <w:t>բնական</w:t>
      </w:r>
      <w:r w:rsidRPr="00C43BF7">
        <w:rPr>
          <w:rFonts w:cs="Sylfaen"/>
          <w:b w:val="0"/>
          <w:szCs w:val="22"/>
          <w:lang w:val="hy-AM"/>
        </w:rPr>
        <w:t xml:space="preserve"> </w:t>
      </w:r>
      <w:r w:rsidRPr="007955BB">
        <w:rPr>
          <w:rFonts w:cs="Sylfaen"/>
          <w:b w:val="0"/>
          <w:szCs w:val="22"/>
          <w:lang w:val="hy-AM"/>
        </w:rPr>
        <w:t>գազի</w:t>
      </w:r>
      <w:r w:rsidRPr="00C43BF7">
        <w:rPr>
          <w:rFonts w:cs="Sylfaen"/>
          <w:b w:val="0"/>
          <w:szCs w:val="22"/>
          <w:lang w:val="hy-AM"/>
        </w:rPr>
        <w:t xml:space="preserve">, </w:t>
      </w:r>
      <w:r w:rsidRPr="007955BB">
        <w:rPr>
          <w:rFonts w:cs="Sylfaen"/>
          <w:b w:val="0"/>
          <w:szCs w:val="22"/>
          <w:lang w:val="hy-AM"/>
        </w:rPr>
        <w:t>էլեկտրաէներգիայի</w:t>
      </w:r>
      <w:r w:rsidRPr="00C43BF7">
        <w:rPr>
          <w:rFonts w:cs="Sylfaen"/>
          <w:b w:val="0"/>
          <w:szCs w:val="22"/>
          <w:lang w:val="hy-AM"/>
        </w:rPr>
        <w:t xml:space="preserve">, </w:t>
      </w:r>
      <w:r w:rsidRPr="007955BB">
        <w:rPr>
          <w:rFonts w:cs="Sylfaen"/>
          <w:b w:val="0"/>
          <w:szCs w:val="22"/>
          <w:lang w:val="hy-AM"/>
        </w:rPr>
        <w:t>ոռոգման</w:t>
      </w:r>
      <w:r w:rsidRPr="00C43BF7">
        <w:rPr>
          <w:rFonts w:cs="Sylfaen"/>
          <w:b w:val="0"/>
          <w:szCs w:val="22"/>
          <w:lang w:val="hy-AM"/>
        </w:rPr>
        <w:t xml:space="preserve"> </w:t>
      </w:r>
      <w:r w:rsidRPr="007955BB">
        <w:rPr>
          <w:rFonts w:cs="Sylfaen"/>
          <w:b w:val="0"/>
          <w:szCs w:val="22"/>
          <w:lang w:val="hy-AM"/>
        </w:rPr>
        <w:t>ջրի</w:t>
      </w:r>
      <w:r w:rsidRPr="00C43BF7">
        <w:rPr>
          <w:rFonts w:cs="Sylfaen"/>
          <w:b w:val="0"/>
          <w:szCs w:val="22"/>
          <w:lang w:val="hy-AM"/>
        </w:rPr>
        <w:t xml:space="preserve">, </w:t>
      </w:r>
      <w:r w:rsidRPr="007955BB">
        <w:rPr>
          <w:rFonts w:cs="Sylfaen"/>
          <w:b w:val="0"/>
          <w:szCs w:val="22"/>
          <w:lang w:val="hy-AM"/>
        </w:rPr>
        <w:t>սահմանամերձ</w:t>
      </w:r>
      <w:r w:rsidRPr="00C43BF7">
        <w:rPr>
          <w:rFonts w:cs="Sylfaen"/>
          <w:b w:val="0"/>
          <w:szCs w:val="22"/>
          <w:lang w:val="hy-AM"/>
        </w:rPr>
        <w:t xml:space="preserve"> </w:t>
      </w:r>
      <w:r w:rsidRPr="007955BB">
        <w:rPr>
          <w:rFonts w:cs="Sylfaen"/>
          <w:b w:val="0"/>
          <w:szCs w:val="22"/>
          <w:lang w:val="hy-AM"/>
        </w:rPr>
        <w:t>համայնքների</w:t>
      </w:r>
      <w:r w:rsidRPr="00C43BF7">
        <w:rPr>
          <w:rFonts w:cs="Sylfaen"/>
          <w:b w:val="0"/>
          <w:szCs w:val="22"/>
          <w:lang w:val="hy-AM"/>
        </w:rPr>
        <w:t xml:space="preserve"> </w:t>
      </w:r>
      <w:r w:rsidRPr="007955BB">
        <w:rPr>
          <w:rFonts w:cs="Sylfaen"/>
          <w:b w:val="0"/>
          <w:szCs w:val="22"/>
          <w:lang w:val="hy-AM"/>
        </w:rPr>
        <w:t>վարչական</w:t>
      </w:r>
      <w:r w:rsidRPr="00C43BF7">
        <w:rPr>
          <w:rFonts w:cs="Sylfaen"/>
          <w:b w:val="0"/>
          <w:szCs w:val="22"/>
          <w:lang w:val="hy-AM"/>
        </w:rPr>
        <w:t xml:space="preserve"> </w:t>
      </w:r>
      <w:r w:rsidRPr="007955BB">
        <w:rPr>
          <w:rFonts w:cs="Sylfaen"/>
          <w:b w:val="0"/>
          <w:szCs w:val="22"/>
          <w:lang w:val="hy-AM"/>
        </w:rPr>
        <w:t>տարածքում</w:t>
      </w:r>
      <w:r w:rsidRPr="00C43BF7">
        <w:rPr>
          <w:rFonts w:cs="Sylfaen"/>
          <w:b w:val="0"/>
          <w:szCs w:val="22"/>
          <w:lang w:val="hy-AM"/>
        </w:rPr>
        <w:t xml:space="preserve"> </w:t>
      </w:r>
      <w:r w:rsidRPr="007955BB">
        <w:rPr>
          <w:rFonts w:cs="Sylfaen"/>
          <w:b w:val="0"/>
          <w:szCs w:val="22"/>
          <w:lang w:val="hy-AM"/>
        </w:rPr>
        <w:t>գտնվող</w:t>
      </w:r>
      <w:r w:rsidRPr="00C43BF7">
        <w:rPr>
          <w:rFonts w:cs="Sylfaen"/>
          <w:b w:val="0"/>
          <w:szCs w:val="22"/>
          <w:lang w:val="hy-AM"/>
        </w:rPr>
        <w:t xml:space="preserve"> </w:t>
      </w:r>
      <w:r w:rsidRPr="007955BB">
        <w:rPr>
          <w:rFonts w:cs="Sylfaen"/>
          <w:b w:val="0"/>
          <w:szCs w:val="22"/>
          <w:lang w:val="hy-AM"/>
        </w:rPr>
        <w:t>մարտական</w:t>
      </w:r>
      <w:r w:rsidRPr="00C43BF7">
        <w:rPr>
          <w:rFonts w:cs="Sylfaen"/>
          <w:b w:val="0"/>
          <w:szCs w:val="22"/>
          <w:lang w:val="hy-AM"/>
        </w:rPr>
        <w:t xml:space="preserve"> </w:t>
      </w:r>
      <w:r w:rsidRPr="007955BB">
        <w:rPr>
          <w:rFonts w:cs="Sylfaen"/>
          <w:b w:val="0"/>
          <w:szCs w:val="22"/>
          <w:lang w:val="hy-AM"/>
        </w:rPr>
        <w:t>գործողությունների</w:t>
      </w:r>
      <w:r w:rsidRPr="00C43BF7">
        <w:rPr>
          <w:rFonts w:cs="Sylfaen"/>
          <w:b w:val="0"/>
          <w:szCs w:val="22"/>
          <w:lang w:val="hy-AM"/>
        </w:rPr>
        <w:t xml:space="preserve"> </w:t>
      </w:r>
      <w:r w:rsidRPr="007955BB">
        <w:rPr>
          <w:rFonts w:cs="Sylfaen"/>
          <w:b w:val="0"/>
          <w:szCs w:val="22"/>
          <w:lang w:val="hy-AM"/>
        </w:rPr>
        <w:t>հետևանքով</w:t>
      </w:r>
      <w:r w:rsidRPr="00C43BF7">
        <w:rPr>
          <w:rFonts w:cs="Sylfaen"/>
          <w:b w:val="0"/>
          <w:szCs w:val="22"/>
          <w:lang w:val="hy-AM"/>
        </w:rPr>
        <w:t xml:space="preserve"> </w:t>
      </w:r>
      <w:r w:rsidRPr="007955BB">
        <w:rPr>
          <w:rFonts w:cs="Sylfaen"/>
          <w:b w:val="0"/>
          <w:szCs w:val="22"/>
          <w:lang w:val="hy-AM"/>
        </w:rPr>
        <w:t>չօգտագործվող</w:t>
      </w:r>
      <w:r w:rsidRPr="00C43BF7">
        <w:rPr>
          <w:rFonts w:cs="Sylfaen"/>
          <w:b w:val="0"/>
          <w:szCs w:val="22"/>
          <w:lang w:val="hy-AM"/>
        </w:rPr>
        <w:t xml:space="preserve"> </w:t>
      </w:r>
      <w:r w:rsidRPr="007955BB">
        <w:rPr>
          <w:rFonts w:cs="Sylfaen"/>
          <w:b w:val="0"/>
          <w:szCs w:val="22"/>
          <w:lang w:val="hy-AM"/>
        </w:rPr>
        <w:t>և</w:t>
      </w:r>
      <w:r w:rsidRPr="00C43BF7">
        <w:rPr>
          <w:rFonts w:cs="Sylfaen"/>
          <w:b w:val="0"/>
          <w:szCs w:val="22"/>
          <w:lang w:val="hy-AM"/>
        </w:rPr>
        <w:t xml:space="preserve"> </w:t>
      </w:r>
      <w:r w:rsidRPr="007955BB">
        <w:rPr>
          <w:rFonts w:cs="Sylfaen"/>
          <w:b w:val="0"/>
          <w:szCs w:val="22"/>
          <w:lang w:val="hy-AM"/>
        </w:rPr>
        <w:t>հակառակորդի</w:t>
      </w:r>
      <w:r w:rsidRPr="00C43BF7">
        <w:rPr>
          <w:rFonts w:cs="Sylfaen"/>
          <w:b w:val="0"/>
          <w:szCs w:val="22"/>
          <w:lang w:val="hy-AM"/>
        </w:rPr>
        <w:t xml:space="preserve"> </w:t>
      </w:r>
      <w:r w:rsidRPr="007955BB">
        <w:rPr>
          <w:rFonts w:cs="Sylfaen"/>
          <w:b w:val="0"/>
          <w:szCs w:val="22"/>
          <w:lang w:val="hy-AM"/>
        </w:rPr>
        <w:t>կողմից</w:t>
      </w:r>
      <w:r w:rsidRPr="00C43BF7">
        <w:rPr>
          <w:rFonts w:cs="Sylfaen"/>
          <w:b w:val="0"/>
          <w:szCs w:val="22"/>
          <w:lang w:val="hy-AM"/>
        </w:rPr>
        <w:t xml:space="preserve"> </w:t>
      </w:r>
      <w:r w:rsidRPr="007955BB">
        <w:rPr>
          <w:rFonts w:cs="Sylfaen"/>
          <w:b w:val="0"/>
          <w:szCs w:val="22"/>
          <w:lang w:val="hy-AM"/>
        </w:rPr>
        <w:t>հողատարածքների</w:t>
      </w:r>
      <w:r w:rsidRPr="00C43BF7">
        <w:rPr>
          <w:rFonts w:cs="Sylfaen"/>
          <w:b w:val="0"/>
          <w:szCs w:val="22"/>
          <w:lang w:val="hy-AM"/>
        </w:rPr>
        <w:t xml:space="preserve"> </w:t>
      </w:r>
      <w:r w:rsidRPr="007955BB">
        <w:rPr>
          <w:rFonts w:cs="Sylfaen"/>
          <w:b w:val="0"/>
          <w:szCs w:val="22"/>
          <w:lang w:val="hy-AM"/>
        </w:rPr>
        <w:t>գնդակոծման</w:t>
      </w:r>
      <w:r w:rsidRPr="00C43BF7">
        <w:rPr>
          <w:rFonts w:cs="Sylfaen"/>
          <w:b w:val="0"/>
          <w:szCs w:val="22"/>
          <w:lang w:val="hy-AM"/>
        </w:rPr>
        <w:t xml:space="preserve"> </w:t>
      </w:r>
      <w:r w:rsidRPr="007955BB">
        <w:rPr>
          <w:rFonts w:cs="Sylfaen"/>
          <w:b w:val="0"/>
          <w:szCs w:val="22"/>
          <w:lang w:val="hy-AM"/>
        </w:rPr>
        <w:t>դեպքեր</w:t>
      </w:r>
      <w:r w:rsidRPr="00C43BF7">
        <w:rPr>
          <w:rFonts w:cs="Sylfaen"/>
          <w:b w:val="0"/>
          <w:szCs w:val="22"/>
          <w:lang w:val="hy-AM"/>
        </w:rPr>
        <w:t xml:space="preserve"> </w:t>
      </w:r>
      <w:r w:rsidRPr="007955BB">
        <w:rPr>
          <w:rFonts w:cs="Sylfaen"/>
          <w:b w:val="0"/>
          <w:szCs w:val="22"/>
          <w:lang w:val="hy-AM"/>
        </w:rPr>
        <w:t>ունեցող</w:t>
      </w:r>
      <w:r w:rsidRPr="00C43BF7">
        <w:rPr>
          <w:rFonts w:cs="Sylfaen"/>
          <w:b w:val="0"/>
          <w:szCs w:val="22"/>
          <w:lang w:val="hy-AM"/>
        </w:rPr>
        <w:t xml:space="preserve"> </w:t>
      </w:r>
      <w:r w:rsidRPr="007955BB">
        <w:rPr>
          <w:rFonts w:cs="Sylfaen"/>
          <w:b w:val="0"/>
          <w:szCs w:val="22"/>
          <w:lang w:val="hy-AM"/>
        </w:rPr>
        <w:t>գյուղատնտեսական</w:t>
      </w:r>
      <w:r w:rsidRPr="00C43BF7">
        <w:rPr>
          <w:rFonts w:cs="Sylfaen"/>
          <w:b w:val="0"/>
          <w:szCs w:val="22"/>
          <w:lang w:val="hy-AM"/>
        </w:rPr>
        <w:t xml:space="preserve"> </w:t>
      </w:r>
      <w:r w:rsidRPr="007955BB">
        <w:rPr>
          <w:rFonts w:cs="Sylfaen"/>
          <w:b w:val="0"/>
          <w:szCs w:val="22"/>
          <w:lang w:val="hy-AM"/>
        </w:rPr>
        <w:t>նշանակության</w:t>
      </w:r>
      <w:r w:rsidRPr="00C43BF7">
        <w:rPr>
          <w:rFonts w:cs="Sylfaen"/>
          <w:b w:val="0"/>
          <w:szCs w:val="22"/>
          <w:lang w:val="hy-AM"/>
        </w:rPr>
        <w:t xml:space="preserve"> </w:t>
      </w:r>
      <w:r w:rsidRPr="007955BB">
        <w:rPr>
          <w:rFonts w:cs="Sylfaen"/>
          <w:b w:val="0"/>
          <w:szCs w:val="22"/>
          <w:lang w:val="hy-AM"/>
        </w:rPr>
        <w:t>և</w:t>
      </w:r>
      <w:r w:rsidRPr="00C43BF7">
        <w:rPr>
          <w:rFonts w:cs="Sylfaen"/>
          <w:b w:val="0"/>
          <w:szCs w:val="22"/>
          <w:lang w:val="hy-AM"/>
        </w:rPr>
        <w:t xml:space="preserve"> </w:t>
      </w:r>
      <w:r w:rsidRPr="007955BB">
        <w:rPr>
          <w:rFonts w:cs="Sylfaen"/>
          <w:b w:val="0"/>
          <w:szCs w:val="22"/>
          <w:lang w:val="hy-AM"/>
        </w:rPr>
        <w:t>բնակավայրերի</w:t>
      </w:r>
      <w:r w:rsidRPr="00C43BF7">
        <w:rPr>
          <w:rFonts w:cs="Sylfaen"/>
          <w:b w:val="0"/>
          <w:szCs w:val="22"/>
          <w:lang w:val="hy-AM"/>
        </w:rPr>
        <w:t xml:space="preserve"> </w:t>
      </w:r>
      <w:r w:rsidRPr="007955BB">
        <w:rPr>
          <w:rFonts w:cs="Sylfaen"/>
          <w:b w:val="0"/>
          <w:szCs w:val="22"/>
          <w:lang w:val="hy-AM"/>
        </w:rPr>
        <w:t>բնակելի</w:t>
      </w:r>
      <w:r w:rsidRPr="00C43BF7">
        <w:rPr>
          <w:rFonts w:cs="Sylfaen"/>
          <w:b w:val="0"/>
          <w:szCs w:val="22"/>
          <w:lang w:val="hy-AM"/>
        </w:rPr>
        <w:t xml:space="preserve"> </w:t>
      </w:r>
      <w:r w:rsidRPr="007955BB">
        <w:rPr>
          <w:rFonts w:cs="Sylfaen"/>
          <w:b w:val="0"/>
          <w:szCs w:val="22"/>
          <w:lang w:val="hy-AM"/>
        </w:rPr>
        <w:t>կառուցապատման</w:t>
      </w:r>
      <w:r w:rsidRPr="00C43BF7">
        <w:rPr>
          <w:rFonts w:cs="Sylfaen"/>
          <w:b w:val="0"/>
          <w:szCs w:val="22"/>
          <w:lang w:val="hy-AM"/>
        </w:rPr>
        <w:t xml:space="preserve"> </w:t>
      </w:r>
      <w:r w:rsidRPr="007955BB">
        <w:rPr>
          <w:rFonts w:cs="Sylfaen"/>
          <w:b w:val="0"/>
          <w:szCs w:val="22"/>
          <w:lang w:val="hy-AM"/>
        </w:rPr>
        <w:t>հողատարածքների</w:t>
      </w:r>
      <w:r w:rsidRPr="00C43BF7">
        <w:rPr>
          <w:rFonts w:cs="Sylfaen"/>
          <w:b w:val="0"/>
          <w:szCs w:val="22"/>
          <w:lang w:val="hy-AM"/>
        </w:rPr>
        <w:t xml:space="preserve"> </w:t>
      </w:r>
      <w:r w:rsidRPr="007955BB">
        <w:rPr>
          <w:rFonts w:cs="Sylfaen"/>
          <w:b w:val="0"/>
          <w:szCs w:val="22"/>
          <w:lang w:val="hy-AM"/>
        </w:rPr>
        <w:t>և</w:t>
      </w:r>
      <w:r w:rsidRPr="00C43BF7">
        <w:rPr>
          <w:rFonts w:cs="Sylfaen"/>
          <w:b w:val="0"/>
          <w:szCs w:val="22"/>
          <w:lang w:val="hy-AM"/>
        </w:rPr>
        <w:t xml:space="preserve"> (</w:t>
      </w:r>
      <w:r w:rsidRPr="007955BB">
        <w:rPr>
          <w:rFonts w:cs="Sylfaen"/>
          <w:b w:val="0"/>
          <w:szCs w:val="22"/>
          <w:lang w:val="hy-AM"/>
        </w:rPr>
        <w:t>կամ</w:t>
      </w:r>
      <w:r w:rsidRPr="00C43BF7">
        <w:rPr>
          <w:rFonts w:cs="Sylfaen"/>
          <w:b w:val="0"/>
          <w:szCs w:val="22"/>
          <w:lang w:val="hy-AM"/>
        </w:rPr>
        <w:t xml:space="preserve">) </w:t>
      </w:r>
      <w:r w:rsidRPr="007955BB">
        <w:rPr>
          <w:rFonts w:cs="Sylfaen"/>
          <w:b w:val="0"/>
          <w:szCs w:val="22"/>
          <w:lang w:val="hy-AM"/>
        </w:rPr>
        <w:t>դրանց</w:t>
      </w:r>
      <w:r w:rsidRPr="00C43BF7">
        <w:rPr>
          <w:rFonts w:cs="Sylfaen"/>
          <w:b w:val="0"/>
          <w:szCs w:val="22"/>
          <w:lang w:val="hy-AM"/>
        </w:rPr>
        <w:t xml:space="preserve"> </w:t>
      </w:r>
      <w:r w:rsidRPr="007955BB">
        <w:rPr>
          <w:rFonts w:cs="Sylfaen"/>
          <w:b w:val="0"/>
          <w:szCs w:val="22"/>
          <w:lang w:val="hy-AM"/>
        </w:rPr>
        <w:t>բարելավումների</w:t>
      </w:r>
      <w:r w:rsidRPr="00C43BF7">
        <w:rPr>
          <w:rFonts w:cs="Sylfaen"/>
          <w:b w:val="0"/>
          <w:szCs w:val="22"/>
          <w:lang w:val="hy-AM"/>
        </w:rPr>
        <w:t xml:space="preserve"> </w:t>
      </w:r>
      <w:r w:rsidRPr="007955BB">
        <w:rPr>
          <w:rFonts w:cs="Sylfaen"/>
          <w:b w:val="0"/>
          <w:szCs w:val="22"/>
          <w:lang w:val="hy-AM"/>
        </w:rPr>
        <w:t>անշարժ</w:t>
      </w:r>
      <w:r w:rsidRPr="00C43BF7">
        <w:rPr>
          <w:rFonts w:cs="Sylfaen"/>
          <w:b w:val="0"/>
          <w:szCs w:val="22"/>
          <w:lang w:val="hy-AM"/>
        </w:rPr>
        <w:t xml:space="preserve"> </w:t>
      </w:r>
      <w:r w:rsidRPr="007955BB">
        <w:rPr>
          <w:rFonts w:cs="Sylfaen"/>
          <w:b w:val="0"/>
          <w:szCs w:val="22"/>
          <w:lang w:val="hy-AM"/>
        </w:rPr>
        <w:t>գույքի</w:t>
      </w:r>
      <w:r w:rsidRPr="00C43BF7">
        <w:rPr>
          <w:rFonts w:cs="Sylfaen"/>
          <w:b w:val="0"/>
          <w:szCs w:val="22"/>
          <w:lang w:val="hy-AM"/>
        </w:rPr>
        <w:t xml:space="preserve"> </w:t>
      </w:r>
      <w:r w:rsidRPr="007955BB">
        <w:rPr>
          <w:rFonts w:cs="Sylfaen"/>
          <w:b w:val="0"/>
          <w:szCs w:val="22"/>
          <w:lang w:val="hy-AM"/>
        </w:rPr>
        <w:t>հարկի</w:t>
      </w:r>
      <w:r w:rsidRPr="00C43BF7">
        <w:rPr>
          <w:rFonts w:cs="Sylfaen"/>
          <w:b w:val="0"/>
          <w:szCs w:val="22"/>
          <w:lang w:val="hy-AM"/>
        </w:rPr>
        <w:t xml:space="preserve"> </w:t>
      </w:r>
      <w:r w:rsidRPr="007955BB">
        <w:rPr>
          <w:rFonts w:cs="Sylfaen"/>
          <w:b w:val="0"/>
          <w:szCs w:val="22"/>
          <w:lang w:val="hy-AM"/>
        </w:rPr>
        <w:t>ծախսերը: Կիրականացվեն նաև սուբվենցիոն</w:t>
      </w:r>
      <w:r w:rsidRPr="00C43BF7">
        <w:rPr>
          <w:rFonts w:cs="Sylfaen"/>
          <w:b w:val="0"/>
          <w:szCs w:val="22"/>
          <w:lang w:val="hy-AM"/>
        </w:rPr>
        <w:t xml:space="preserve"> </w:t>
      </w:r>
      <w:r w:rsidR="00875E26" w:rsidRPr="007955BB">
        <w:rPr>
          <w:b w:val="0"/>
          <w:szCs w:val="22"/>
          <w:lang w:val="hy-AM"/>
        </w:rPr>
        <w:t xml:space="preserve">ծրագրեր՝ ՀՀ համայնքների և Երևան քաղաքի գծով։ </w:t>
      </w:r>
    </w:p>
    <w:p w:rsidR="00A4471C" w:rsidRPr="007955BB" w:rsidRDefault="00A4471C" w:rsidP="00A4471C">
      <w:pPr>
        <w:spacing w:line="276" w:lineRule="auto"/>
        <w:rPr>
          <w:b w:val="0"/>
          <w:szCs w:val="22"/>
          <w:lang w:val="hy-AM"/>
        </w:rPr>
      </w:pPr>
      <w:r w:rsidRPr="007955BB">
        <w:rPr>
          <w:b w:val="0"/>
          <w:szCs w:val="22"/>
          <w:lang w:val="hy-AM"/>
        </w:rPr>
        <w:t>Համայնքների ներդաշնակ զարգացումն ապահովելու նպատակով Տարածքային զարգացում ծրագրի շրջանակում նախատեսվում են</w:t>
      </w:r>
      <w:r w:rsidRPr="00C43BF7">
        <w:rPr>
          <w:b w:val="0"/>
          <w:szCs w:val="22"/>
          <w:lang w:val="hy-AM"/>
        </w:rPr>
        <w:t xml:space="preserve"> </w:t>
      </w:r>
      <w:r w:rsidRPr="007955BB">
        <w:rPr>
          <w:b w:val="0"/>
          <w:szCs w:val="22"/>
          <w:lang w:val="hy-AM"/>
        </w:rPr>
        <w:t xml:space="preserve">համայնքների բյուջեներին ֆինանսական համահարթեցման սկզբունքով` համայնքների ընթացիկ ծախսերի ծածկման համար անհատույց և անվերադարձ կարգով տրվող դրամական միջոցներ` ֆինանսական համահարթեցման դոտացիաներ: </w:t>
      </w:r>
    </w:p>
    <w:p w:rsidR="00A4471C" w:rsidRDefault="00A4471C" w:rsidP="00A4471C">
      <w:pPr>
        <w:spacing w:line="276" w:lineRule="auto"/>
        <w:rPr>
          <w:b w:val="0"/>
          <w:szCs w:val="22"/>
          <w:lang w:val="hy-AM"/>
        </w:rPr>
      </w:pPr>
      <w:r w:rsidRPr="007955BB">
        <w:rPr>
          <w:b w:val="0"/>
          <w:szCs w:val="22"/>
          <w:lang w:val="hy-AM"/>
        </w:rPr>
        <w:t>Հիմք ընդունելով «Տեղական ինքնակառավարման մասին» և «Հա</w:t>
      </w:r>
      <w:r w:rsidRPr="007955BB">
        <w:rPr>
          <w:b w:val="0"/>
          <w:szCs w:val="22"/>
          <w:lang w:val="hy-AM"/>
        </w:rPr>
        <w:softHyphen/>
        <w:t>յաս</w:t>
      </w:r>
      <w:r w:rsidRPr="007955BB">
        <w:rPr>
          <w:b w:val="0"/>
          <w:szCs w:val="22"/>
          <w:lang w:val="hy-AM"/>
        </w:rPr>
        <w:softHyphen/>
        <w:t>տա</w:t>
      </w:r>
      <w:r w:rsidRPr="007955BB">
        <w:rPr>
          <w:b w:val="0"/>
          <w:szCs w:val="22"/>
          <w:lang w:val="hy-AM"/>
        </w:rPr>
        <w:softHyphen/>
        <w:t>նի Հանրապետության բյուջետային համակարգի մասին» օրենքներով սահմանված համապատասխան դրույթները՝ 2023 թվականին հա</w:t>
      </w:r>
      <w:r w:rsidRPr="007955BB">
        <w:rPr>
          <w:b w:val="0"/>
          <w:szCs w:val="22"/>
          <w:lang w:val="hy-AM"/>
        </w:rPr>
        <w:softHyphen/>
        <w:t>մայնք</w:t>
      </w:r>
      <w:r w:rsidRPr="007955BB">
        <w:rPr>
          <w:b w:val="0"/>
          <w:szCs w:val="22"/>
          <w:lang w:val="hy-AM"/>
        </w:rPr>
        <w:softHyphen/>
        <w:t>նե</w:t>
      </w:r>
      <w:r w:rsidRPr="007955BB">
        <w:rPr>
          <w:b w:val="0"/>
          <w:szCs w:val="22"/>
          <w:lang w:val="hy-AM"/>
        </w:rPr>
        <w:softHyphen/>
        <w:t>րին տրա</w:t>
      </w:r>
      <w:r w:rsidRPr="007955BB">
        <w:rPr>
          <w:b w:val="0"/>
          <w:szCs w:val="22"/>
          <w:lang w:val="hy-AM"/>
        </w:rPr>
        <w:softHyphen/>
      </w:r>
      <w:r w:rsidRPr="007955BB">
        <w:rPr>
          <w:b w:val="0"/>
          <w:szCs w:val="22"/>
          <w:lang w:val="hy-AM"/>
        </w:rPr>
        <w:softHyphen/>
        <w:t>մադրվող ֆինան</w:t>
      </w:r>
      <w:r w:rsidRPr="007955BB">
        <w:rPr>
          <w:b w:val="0"/>
          <w:szCs w:val="22"/>
          <w:lang w:val="hy-AM"/>
        </w:rPr>
        <w:softHyphen/>
        <w:t>սական համա</w:t>
      </w:r>
      <w:r w:rsidRPr="007955BB">
        <w:rPr>
          <w:b w:val="0"/>
          <w:szCs w:val="22"/>
          <w:lang w:val="hy-AM"/>
        </w:rPr>
        <w:softHyphen/>
        <w:t>հարթեցման դոտա</w:t>
      </w:r>
      <w:r w:rsidRPr="007955BB">
        <w:rPr>
          <w:b w:val="0"/>
          <w:szCs w:val="22"/>
          <w:lang w:val="hy-AM"/>
        </w:rPr>
        <w:softHyphen/>
        <w:t>ցիա</w:t>
      </w:r>
      <w:r w:rsidRPr="007955BB">
        <w:rPr>
          <w:b w:val="0"/>
          <w:szCs w:val="22"/>
          <w:lang w:val="hy-AM"/>
        </w:rPr>
        <w:softHyphen/>
        <w:t>ների ընդհա</w:t>
      </w:r>
      <w:r w:rsidRPr="007955BB">
        <w:rPr>
          <w:b w:val="0"/>
          <w:szCs w:val="22"/>
          <w:lang w:val="hy-AM"/>
        </w:rPr>
        <w:softHyphen/>
        <w:t>նուր գումարը (ներ</w:t>
      </w:r>
      <w:r w:rsidRPr="007955BB">
        <w:rPr>
          <w:b w:val="0"/>
          <w:szCs w:val="22"/>
          <w:lang w:val="hy-AM"/>
        </w:rPr>
        <w:softHyphen/>
        <w:t>առ</w:t>
      </w:r>
      <w:r w:rsidRPr="007955BB">
        <w:rPr>
          <w:b w:val="0"/>
          <w:szCs w:val="22"/>
          <w:lang w:val="hy-AM"/>
        </w:rPr>
        <w:softHyphen/>
        <w:t>յալ պե</w:t>
      </w:r>
      <w:r w:rsidRPr="007955BB">
        <w:rPr>
          <w:b w:val="0"/>
          <w:szCs w:val="22"/>
          <w:lang w:val="hy-AM"/>
        </w:rPr>
        <w:softHyphen/>
        <w:t>տու</w:t>
      </w:r>
      <w:r w:rsidRPr="007955BB">
        <w:rPr>
          <w:b w:val="0"/>
          <w:szCs w:val="22"/>
          <w:lang w:val="hy-AM"/>
        </w:rPr>
        <w:softHyphen/>
        <w:t>թյան կողմից հա</w:t>
      </w:r>
      <w:r w:rsidRPr="007955BB">
        <w:rPr>
          <w:b w:val="0"/>
          <w:szCs w:val="22"/>
          <w:lang w:val="hy-AM"/>
        </w:rPr>
        <w:softHyphen/>
      </w:r>
      <w:r w:rsidRPr="007955BB">
        <w:rPr>
          <w:b w:val="0"/>
          <w:szCs w:val="22"/>
          <w:lang w:val="hy-AM"/>
        </w:rPr>
        <w:softHyphen/>
        <w:t>մայնք</w:t>
      </w:r>
      <w:r w:rsidRPr="007955BB">
        <w:rPr>
          <w:b w:val="0"/>
          <w:szCs w:val="22"/>
          <w:lang w:val="hy-AM"/>
        </w:rPr>
        <w:softHyphen/>
        <w:t>ներին տվյալ տարում տրվող փոխհա</w:t>
      </w:r>
      <w:r w:rsidRPr="007955BB">
        <w:rPr>
          <w:b w:val="0"/>
          <w:szCs w:val="22"/>
          <w:lang w:val="hy-AM"/>
        </w:rPr>
        <w:softHyphen/>
        <w:t>տուց</w:t>
      </w:r>
      <w:r w:rsidRPr="007955BB">
        <w:rPr>
          <w:b w:val="0"/>
          <w:szCs w:val="22"/>
          <w:lang w:val="hy-AM"/>
        </w:rPr>
        <w:softHyphen/>
        <w:t>ման գումարները) չպետք է պա</w:t>
      </w:r>
      <w:r w:rsidRPr="007955BB">
        <w:rPr>
          <w:b w:val="0"/>
          <w:szCs w:val="22"/>
          <w:lang w:val="hy-AM"/>
        </w:rPr>
        <w:softHyphen/>
        <w:t>կաս լինի ՀՀ 2021 թվա</w:t>
      </w:r>
      <w:r w:rsidRPr="007955BB">
        <w:rPr>
          <w:b w:val="0"/>
          <w:szCs w:val="22"/>
          <w:lang w:val="hy-AM"/>
        </w:rPr>
        <w:softHyphen/>
        <w:t>կանի հա</w:t>
      </w:r>
      <w:r w:rsidRPr="007955BB">
        <w:rPr>
          <w:b w:val="0"/>
          <w:szCs w:val="22"/>
          <w:lang w:val="hy-AM"/>
        </w:rPr>
        <w:softHyphen/>
        <w:t>մախմբված բյուջեի փաս</w:t>
      </w:r>
      <w:r w:rsidRPr="007955BB">
        <w:rPr>
          <w:b w:val="0"/>
          <w:szCs w:val="22"/>
          <w:lang w:val="hy-AM"/>
        </w:rPr>
        <w:softHyphen/>
        <w:t>տա</w:t>
      </w:r>
      <w:r w:rsidRPr="007955BB">
        <w:rPr>
          <w:b w:val="0"/>
          <w:szCs w:val="22"/>
          <w:lang w:val="hy-AM"/>
        </w:rPr>
        <w:softHyphen/>
        <w:t>ցի եկամուտների ընդ</w:t>
      </w:r>
      <w:r w:rsidRPr="007955BB">
        <w:rPr>
          <w:b w:val="0"/>
          <w:szCs w:val="22"/>
          <w:lang w:val="hy-AM"/>
        </w:rPr>
        <w:softHyphen/>
        <w:t>հանուր գու</w:t>
      </w:r>
      <w:r w:rsidRPr="007955BB">
        <w:rPr>
          <w:b w:val="0"/>
          <w:szCs w:val="22"/>
          <w:lang w:val="hy-AM"/>
        </w:rPr>
        <w:softHyphen/>
        <w:t>մարի` 1,743.9 մլրդ դրամի 4%-ը կազ</w:t>
      </w:r>
      <w:r w:rsidRPr="007955BB">
        <w:rPr>
          <w:b w:val="0"/>
          <w:szCs w:val="22"/>
          <w:lang w:val="hy-AM"/>
        </w:rPr>
        <w:softHyphen/>
        <w:t>մող 69,754.7 մլն դրամից: ՀՀ 2023 թվականի պետական բյուջեի նախագծով նախատեսվում է ֆինանսական համա</w:t>
      </w:r>
      <w:r w:rsidRPr="007955BB">
        <w:rPr>
          <w:b w:val="0"/>
          <w:szCs w:val="22"/>
          <w:lang w:val="hy-AM"/>
        </w:rPr>
        <w:softHyphen/>
        <w:t>հար</w:t>
      </w:r>
      <w:r w:rsidRPr="007955BB">
        <w:rPr>
          <w:b w:val="0"/>
          <w:szCs w:val="22"/>
          <w:lang w:val="hy-AM"/>
        </w:rPr>
        <w:softHyphen/>
        <w:t>թեց</w:t>
      </w:r>
      <w:r w:rsidRPr="007955BB">
        <w:rPr>
          <w:b w:val="0"/>
          <w:szCs w:val="22"/>
          <w:lang w:val="hy-AM"/>
        </w:rPr>
        <w:softHyphen/>
        <w:t>ման սկզբունքով ՀՀ համայնքներին (71 համայնքներին) տրամադրել ընդհանուր գումարով 69,754.7 մլն դրա</w:t>
      </w:r>
      <w:r w:rsidRPr="007955BB">
        <w:rPr>
          <w:b w:val="0"/>
          <w:szCs w:val="22"/>
          <w:lang w:val="hy-AM"/>
        </w:rPr>
        <w:softHyphen/>
      </w:r>
      <w:r w:rsidRPr="007955BB">
        <w:rPr>
          <w:b w:val="0"/>
          <w:szCs w:val="22"/>
          <w:lang w:val="hy-AM"/>
        </w:rPr>
        <w:softHyphen/>
        <w:t>մի դո</w:t>
      </w:r>
      <w:r w:rsidRPr="007955BB">
        <w:rPr>
          <w:b w:val="0"/>
          <w:szCs w:val="22"/>
          <w:lang w:val="hy-AM"/>
        </w:rPr>
        <w:softHyphen/>
        <w:t>տա</w:t>
      </w:r>
      <w:r w:rsidRPr="007955BB">
        <w:rPr>
          <w:b w:val="0"/>
          <w:szCs w:val="22"/>
          <w:lang w:val="hy-AM"/>
        </w:rPr>
        <w:softHyphen/>
        <w:t>ցիա</w:t>
      </w:r>
      <w:r w:rsidRPr="007955BB">
        <w:rPr>
          <w:b w:val="0"/>
          <w:szCs w:val="22"/>
          <w:lang w:val="hy-AM"/>
        </w:rPr>
        <w:softHyphen/>
        <w:t>ներ: ՀՀ 2023 թվականի պետական բյուջեի նախագծով նախատեսված ֆինան</w:t>
      </w:r>
      <w:r w:rsidRPr="007955BB">
        <w:rPr>
          <w:b w:val="0"/>
          <w:szCs w:val="22"/>
          <w:lang w:val="hy-AM"/>
        </w:rPr>
        <w:softHyphen/>
        <w:t>սական համա</w:t>
      </w:r>
      <w:r w:rsidRPr="007955BB">
        <w:rPr>
          <w:b w:val="0"/>
          <w:szCs w:val="22"/>
          <w:lang w:val="hy-AM"/>
        </w:rPr>
        <w:softHyphen/>
        <w:t>հար</w:t>
      </w:r>
      <w:r w:rsidRPr="007955BB">
        <w:rPr>
          <w:b w:val="0"/>
          <w:szCs w:val="22"/>
          <w:lang w:val="hy-AM"/>
        </w:rPr>
        <w:softHyphen/>
        <w:t>թեց</w:t>
      </w:r>
      <w:r w:rsidRPr="007955BB">
        <w:rPr>
          <w:b w:val="0"/>
          <w:szCs w:val="22"/>
          <w:lang w:val="hy-AM"/>
        </w:rPr>
        <w:softHyphen/>
        <w:t>ման սկզբունքով համայնքներին տրամադրվող դոտացիաների բաշխումն ըստ առանձին համայնք</w:t>
      </w:r>
      <w:r w:rsidRPr="007955BB">
        <w:rPr>
          <w:b w:val="0"/>
          <w:szCs w:val="22"/>
          <w:lang w:val="hy-AM"/>
        </w:rPr>
        <w:softHyphen/>
        <w:t>ների իրականացվել է «Ֆինանսական համահարթեցման մասին» ՀՀ օրենքի դրույթներին հա</w:t>
      </w:r>
      <w:r w:rsidRPr="007955BB">
        <w:rPr>
          <w:b w:val="0"/>
          <w:szCs w:val="22"/>
          <w:lang w:val="hy-AM"/>
        </w:rPr>
        <w:softHyphen/>
        <w:t>մա</w:t>
      </w:r>
      <w:r w:rsidRPr="007955BB">
        <w:rPr>
          <w:b w:val="0"/>
          <w:szCs w:val="22"/>
          <w:lang w:val="hy-AM"/>
        </w:rPr>
        <w:softHyphen/>
        <w:t>պա</w:t>
      </w:r>
      <w:r w:rsidRPr="007955BB">
        <w:rPr>
          <w:b w:val="0"/>
          <w:szCs w:val="22"/>
          <w:lang w:val="hy-AM"/>
        </w:rPr>
        <w:softHyphen/>
        <w:t>տասխան:</w:t>
      </w:r>
    </w:p>
    <w:p w:rsidR="005727CB" w:rsidRPr="00847D57" w:rsidRDefault="005727CB" w:rsidP="005727CB">
      <w:pPr>
        <w:spacing w:line="276" w:lineRule="auto"/>
        <w:rPr>
          <w:b w:val="0"/>
          <w:szCs w:val="22"/>
          <w:lang w:val="hy-AM"/>
        </w:rPr>
      </w:pPr>
      <w:r w:rsidRPr="00847D57">
        <w:rPr>
          <w:b w:val="0"/>
          <w:szCs w:val="22"/>
          <w:lang w:val="hy-AM"/>
        </w:rPr>
        <w:t>Ծրագրի շրջանակներում 2</w:t>
      </w:r>
      <w:r>
        <w:rPr>
          <w:b w:val="0"/>
          <w:szCs w:val="22"/>
          <w:lang w:val="hy-AM"/>
        </w:rPr>
        <w:t>023 թվականին նախատեսվում է</w:t>
      </w:r>
      <w:r w:rsidRPr="00847D57">
        <w:rPr>
          <w:b w:val="0"/>
          <w:szCs w:val="22"/>
          <w:lang w:val="hy-AM"/>
        </w:rPr>
        <w:t xml:space="preserve"> </w:t>
      </w:r>
      <w:r w:rsidRPr="00A4471C">
        <w:rPr>
          <w:b w:val="0"/>
          <w:szCs w:val="22"/>
          <w:lang w:val="hy-AM"/>
        </w:rPr>
        <w:t>«</w:t>
      </w:r>
      <w:r w:rsidRPr="00847D57">
        <w:rPr>
          <w:b w:val="0"/>
          <w:szCs w:val="22"/>
          <w:lang w:val="hy-AM"/>
        </w:rPr>
        <w:t>Ազդակիր բնակավայրերի և համայնքների բյուջեներին հատկացվող համայնքային մասհանումներ</w:t>
      </w:r>
      <w:r w:rsidRPr="00A4471C">
        <w:rPr>
          <w:b w:val="0"/>
          <w:szCs w:val="22"/>
          <w:lang w:val="hy-AM"/>
        </w:rPr>
        <w:t>»</w:t>
      </w:r>
      <w:r w:rsidRPr="00847D57">
        <w:rPr>
          <w:b w:val="0"/>
          <w:szCs w:val="22"/>
          <w:lang w:val="hy-AM"/>
        </w:rPr>
        <w:t xml:space="preserve"> միջոցառումը, որ</w:t>
      </w:r>
      <w:r w:rsidRPr="00784AC7">
        <w:rPr>
          <w:b w:val="0"/>
          <w:szCs w:val="22"/>
          <w:lang w:val="hy-AM"/>
        </w:rPr>
        <w:t>ի</w:t>
      </w:r>
      <w:r w:rsidRPr="00847D57">
        <w:rPr>
          <w:b w:val="0"/>
          <w:szCs w:val="22"/>
          <w:lang w:val="hy-AM"/>
        </w:rPr>
        <w:t xml:space="preserve"> </w:t>
      </w:r>
      <w:r>
        <w:rPr>
          <w:b w:val="0"/>
          <w:szCs w:val="22"/>
          <w:lang w:val="hy-AM"/>
        </w:rPr>
        <w:t>շրջանակներում (</w:t>
      </w:r>
      <w:r w:rsidRPr="00F47796">
        <w:rPr>
          <w:b w:val="0"/>
          <w:szCs w:val="22"/>
          <w:lang w:val="hy-AM"/>
        </w:rPr>
        <w:t>«Հայաստանի Հանրապետության բյուջետային համակարգի մասին օրենքում լրացումներ կատարելու մասին» 11</w:t>
      </w:r>
      <w:r w:rsidRPr="00F47796">
        <w:rPr>
          <w:rFonts w:ascii="Cambria Math" w:hAnsi="Cambria Math" w:cs="Cambria Math"/>
          <w:b w:val="0"/>
          <w:szCs w:val="22"/>
          <w:lang w:val="hy-AM"/>
        </w:rPr>
        <w:t>․</w:t>
      </w:r>
      <w:r w:rsidRPr="00F47796">
        <w:rPr>
          <w:b w:val="0"/>
          <w:szCs w:val="22"/>
          <w:lang w:val="hy-AM"/>
        </w:rPr>
        <w:t>03</w:t>
      </w:r>
      <w:r w:rsidRPr="00F47796">
        <w:rPr>
          <w:rFonts w:ascii="Cambria Math" w:hAnsi="Cambria Math" w:cs="Cambria Math"/>
          <w:b w:val="0"/>
          <w:szCs w:val="22"/>
          <w:lang w:val="hy-AM"/>
        </w:rPr>
        <w:t>․․</w:t>
      </w:r>
      <w:r w:rsidRPr="00F47796">
        <w:rPr>
          <w:b w:val="0"/>
          <w:szCs w:val="22"/>
          <w:lang w:val="hy-AM"/>
        </w:rPr>
        <w:t>2022</w:t>
      </w:r>
      <w:r w:rsidRPr="00F47796">
        <w:rPr>
          <w:rFonts w:cs="GHEA Grapalat"/>
          <w:b w:val="0"/>
          <w:szCs w:val="22"/>
          <w:lang w:val="hy-AM"/>
        </w:rPr>
        <w:t>թ</w:t>
      </w:r>
      <w:r w:rsidRPr="00F47796">
        <w:rPr>
          <w:rFonts w:ascii="Cambria Math" w:hAnsi="Cambria Math" w:cs="Cambria Math"/>
          <w:b w:val="0"/>
          <w:szCs w:val="22"/>
          <w:lang w:val="hy-AM"/>
        </w:rPr>
        <w:t>․</w:t>
      </w:r>
      <w:r w:rsidRPr="00F47796">
        <w:rPr>
          <w:b w:val="0"/>
          <w:szCs w:val="22"/>
          <w:lang w:val="hy-AM"/>
        </w:rPr>
        <w:t xml:space="preserve"> </w:t>
      </w:r>
      <w:r w:rsidRPr="00F47796">
        <w:rPr>
          <w:rFonts w:cs="GHEA Grapalat"/>
          <w:b w:val="0"/>
          <w:szCs w:val="22"/>
          <w:lang w:val="hy-AM"/>
        </w:rPr>
        <w:t>ՀՕ</w:t>
      </w:r>
      <w:r w:rsidRPr="00F47796">
        <w:rPr>
          <w:b w:val="0"/>
          <w:szCs w:val="22"/>
          <w:lang w:val="hy-AM"/>
        </w:rPr>
        <w:t>-52-</w:t>
      </w:r>
      <w:r w:rsidRPr="00F47796">
        <w:rPr>
          <w:rFonts w:cs="GHEA Grapalat"/>
          <w:b w:val="0"/>
          <w:szCs w:val="22"/>
          <w:lang w:val="hy-AM"/>
        </w:rPr>
        <w:t>Ն</w:t>
      </w:r>
      <w:r w:rsidRPr="00F47796">
        <w:rPr>
          <w:b w:val="0"/>
          <w:szCs w:val="22"/>
          <w:lang w:val="hy-AM"/>
        </w:rPr>
        <w:t xml:space="preserve"> </w:t>
      </w:r>
      <w:r w:rsidRPr="00F47796">
        <w:rPr>
          <w:rFonts w:cs="GHEA Grapalat"/>
          <w:b w:val="0"/>
          <w:szCs w:val="22"/>
          <w:lang w:val="hy-AM"/>
        </w:rPr>
        <w:t>օրենքի</w:t>
      </w:r>
      <w:r>
        <w:rPr>
          <w:b w:val="0"/>
          <w:szCs w:val="22"/>
          <w:lang w:val="hy-AM"/>
        </w:rPr>
        <w:t xml:space="preserve"> </w:t>
      </w:r>
      <w:r w:rsidRPr="00F47796">
        <w:rPr>
          <w:b w:val="0"/>
          <w:szCs w:val="22"/>
          <w:lang w:val="hy-AM"/>
        </w:rPr>
        <w:t>2-</w:t>
      </w:r>
      <w:r w:rsidRPr="00F47796">
        <w:rPr>
          <w:rFonts w:cs="GHEA Grapalat"/>
          <w:b w:val="0"/>
          <w:szCs w:val="22"/>
          <w:lang w:val="hy-AM"/>
        </w:rPr>
        <w:t>րդ</w:t>
      </w:r>
      <w:r w:rsidRPr="00F47796">
        <w:rPr>
          <w:b w:val="0"/>
          <w:szCs w:val="22"/>
          <w:lang w:val="hy-AM"/>
        </w:rPr>
        <w:t xml:space="preserve"> </w:t>
      </w:r>
      <w:r w:rsidRPr="00F47796">
        <w:rPr>
          <w:rFonts w:cs="GHEA Grapalat"/>
          <w:b w:val="0"/>
          <w:szCs w:val="22"/>
          <w:lang w:val="hy-AM"/>
        </w:rPr>
        <w:t>հոդվածի</w:t>
      </w:r>
      <w:r w:rsidRPr="00F47796">
        <w:rPr>
          <w:b w:val="0"/>
          <w:szCs w:val="22"/>
          <w:lang w:val="hy-AM"/>
        </w:rPr>
        <w:t xml:space="preserve"> </w:t>
      </w:r>
      <w:r w:rsidRPr="00F47796">
        <w:rPr>
          <w:rFonts w:cs="GHEA Grapalat"/>
          <w:b w:val="0"/>
          <w:szCs w:val="22"/>
          <w:lang w:val="hy-AM"/>
        </w:rPr>
        <w:t>պահանջով</w:t>
      </w:r>
      <w:r>
        <w:rPr>
          <w:rFonts w:cs="GHEA Grapalat"/>
          <w:b w:val="0"/>
          <w:szCs w:val="22"/>
          <w:lang w:val="hy-AM"/>
        </w:rPr>
        <w:t xml:space="preserve"> պայմանավորված)</w:t>
      </w:r>
      <w:r w:rsidRPr="00847D57">
        <w:rPr>
          <w:b w:val="0"/>
          <w:szCs w:val="22"/>
          <w:lang w:val="hy-AM"/>
        </w:rPr>
        <w:t xml:space="preserve"> </w:t>
      </w:r>
      <w:r>
        <w:rPr>
          <w:b w:val="0"/>
          <w:szCs w:val="22"/>
          <w:lang w:val="hy-AM"/>
        </w:rPr>
        <w:t xml:space="preserve">նախատեսվում է </w:t>
      </w:r>
      <w:r w:rsidRPr="00847D57">
        <w:rPr>
          <w:b w:val="0"/>
          <w:szCs w:val="22"/>
          <w:lang w:val="hy-AM"/>
        </w:rPr>
        <w:t xml:space="preserve">յուրաքանչյուր ռոյալթի վճարողի կողմից </w:t>
      </w:r>
      <w:r w:rsidRPr="00F47796">
        <w:rPr>
          <w:b w:val="0"/>
          <w:szCs w:val="22"/>
          <w:lang w:val="hy-AM"/>
        </w:rPr>
        <w:t xml:space="preserve">նախորդող երրորդ տարվա փաստացի </w:t>
      </w:r>
      <w:r>
        <w:rPr>
          <w:b w:val="0"/>
          <w:szCs w:val="22"/>
          <w:lang w:val="hy-AM"/>
        </w:rPr>
        <w:t xml:space="preserve">բյուջե </w:t>
      </w:r>
      <w:r w:rsidRPr="00F47796">
        <w:rPr>
          <w:b w:val="0"/>
          <w:szCs w:val="22"/>
          <w:lang w:val="hy-AM"/>
        </w:rPr>
        <w:t xml:space="preserve">վճարված </w:t>
      </w:r>
      <w:r w:rsidRPr="00847D57">
        <w:rPr>
          <w:b w:val="0"/>
          <w:szCs w:val="22"/>
          <w:lang w:val="hy-AM"/>
        </w:rPr>
        <w:t xml:space="preserve">ռոյալթիի չափի երկու տոկոսից ՀՀ բնակավայրերին և համայնքներին անվերադարձ կարգով </w:t>
      </w:r>
      <w:r>
        <w:rPr>
          <w:b w:val="0"/>
          <w:szCs w:val="22"/>
          <w:lang w:val="hy-AM"/>
        </w:rPr>
        <w:t>տրամադրել</w:t>
      </w:r>
      <w:r w:rsidRPr="00847D57">
        <w:rPr>
          <w:b w:val="0"/>
          <w:szCs w:val="22"/>
          <w:lang w:val="hy-AM"/>
        </w:rPr>
        <w:t xml:space="preserve"> մասհանումներ համայնքի սոցիալ-տնտեսական զարգացման ծրագրերի իրականացման համար</w:t>
      </w:r>
      <w:r>
        <w:rPr>
          <w:b w:val="0"/>
          <w:szCs w:val="22"/>
          <w:lang w:val="hy-AM"/>
        </w:rPr>
        <w:t>՝</w:t>
      </w:r>
      <w:r w:rsidRPr="00847D57">
        <w:rPr>
          <w:b w:val="0"/>
          <w:szCs w:val="22"/>
          <w:lang w:val="hy-AM"/>
        </w:rPr>
        <w:t xml:space="preserve"> 874</w:t>
      </w:r>
      <w:r w:rsidRPr="00A4471C">
        <w:rPr>
          <w:b w:val="0"/>
          <w:szCs w:val="22"/>
          <w:lang w:val="hy-AM"/>
        </w:rPr>
        <w:t>.7 մլն դրա</w:t>
      </w:r>
      <w:r w:rsidRPr="00A4471C">
        <w:rPr>
          <w:b w:val="0"/>
          <w:szCs w:val="22"/>
          <w:lang w:val="hy-AM"/>
        </w:rPr>
        <w:softHyphen/>
      </w:r>
      <w:r w:rsidRPr="00A4471C">
        <w:rPr>
          <w:b w:val="0"/>
          <w:szCs w:val="22"/>
          <w:lang w:val="hy-AM"/>
        </w:rPr>
        <w:softHyphen/>
        <w:t>մ</w:t>
      </w:r>
      <w:r w:rsidRPr="00671869">
        <w:rPr>
          <w:b w:val="0"/>
          <w:szCs w:val="22"/>
          <w:lang w:val="hy-AM"/>
        </w:rPr>
        <w:t xml:space="preserve"> </w:t>
      </w:r>
      <w:r w:rsidRPr="00847D57">
        <w:rPr>
          <w:b w:val="0"/>
          <w:szCs w:val="22"/>
          <w:lang w:val="hy-AM"/>
        </w:rPr>
        <w:t>ընդհանուր գումարով:</w:t>
      </w:r>
    </w:p>
    <w:p w:rsidR="00A4471C" w:rsidRPr="007955BB" w:rsidRDefault="00A4471C" w:rsidP="00A4471C">
      <w:pPr>
        <w:spacing w:before="0" w:line="276" w:lineRule="auto"/>
        <w:ind w:firstLine="720"/>
        <w:rPr>
          <w:b w:val="0"/>
          <w:bCs/>
          <w:iCs/>
          <w:color w:val="000000"/>
          <w:lang w:val="hy-AM"/>
        </w:rPr>
      </w:pPr>
      <w:r w:rsidRPr="007955BB">
        <w:rPr>
          <w:color w:val="000000"/>
          <w:szCs w:val="22"/>
          <w:lang w:val="hy-AM"/>
        </w:rPr>
        <w:t xml:space="preserve">էներգաարդյունավետության զարգացման </w:t>
      </w:r>
      <w:r w:rsidRPr="007955BB">
        <w:rPr>
          <w:b w:val="0"/>
          <w:bCs/>
          <w:iCs/>
          <w:color w:val="000000"/>
          <w:lang w:val="hy-AM"/>
        </w:rPr>
        <w:t>ծրագրի գծով 2023 թվականին նախա</w:t>
      </w:r>
      <w:r w:rsidRPr="007955BB">
        <w:rPr>
          <w:b w:val="0"/>
          <w:bCs/>
          <w:iCs/>
          <w:color w:val="000000"/>
          <w:lang w:val="hy-AM"/>
        </w:rPr>
        <w:softHyphen/>
        <w:t>տեսվում է հատկացնել 1,6</w:t>
      </w:r>
      <w:r w:rsidR="000A7082" w:rsidRPr="000A7082">
        <w:rPr>
          <w:b w:val="0"/>
          <w:bCs/>
          <w:iCs/>
          <w:color w:val="000000"/>
          <w:lang w:val="hy-AM"/>
        </w:rPr>
        <w:t>05</w:t>
      </w:r>
      <w:r w:rsidRPr="007955BB">
        <w:rPr>
          <w:b w:val="0"/>
          <w:bCs/>
          <w:iCs/>
          <w:color w:val="000000"/>
          <w:lang w:val="hy-AM"/>
        </w:rPr>
        <w:t>.</w:t>
      </w:r>
      <w:r w:rsidR="000A7082" w:rsidRPr="000A7082">
        <w:rPr>
          <w:b w:val="0"/>
          <w:bCs/>
          <w:iCs/>
          <w:color w:val="000000"/>
          <w:lang w:val="hy-AM"/>
        </w:rPr>
        <w:t>8</w:t>
      </w:r>
      <w:r w:rsidRPr="007955BB">
        <w:rPr>
          <w:b w:val="0"/>
          <w:bCs/>
          <w:iCs/>
          <w:color w:val="000000"/>
          <w:lang w:val="hy-AM"/>
        </w:rPr>
        <w:t xml:space="preserve"> մլն դրամ:</w:t>
      </w:r>
    </w:p>
    <w:p w:rsidR="00A4471C" w:rsidRPr="007955BB" w:rsidRDefault="00A4471C" w:rsidP="00A4471C">
      <w:pPr>
        <w:spacing w:before="0" w:line="276" w:lineRule="auto"/>
        <w:ind w:firstLine="720"/>
        <w:rPr>
          <w:b w:val="0"/>
          <w:bCs/>
          <w:iCs/>
          <w:color w:val="000000"/>
          <w:lang w:val="hy-AM"/>
        </w:rPr>
      </w:pPr>
      <w:r w:rsidRPr="007955BB">
        <w:rPr>
          <w:b w:val="0"/>
          <w:bCs/>
          <w:iCs/>
          <w:color w:val="000000"/>
          <w:lang w:val="hy-AM"/>
        </w:rPr>
        <w:t>Ծրագրի նպատակն է նպաստել Էներգախնայողության բարձրացման և վերականգնվող էներգետիկայի ներուժի առավելագույն իրացմանը։</w:t>
      </w:r>
    </w:p>
    <w:p w:rsidR="00A4471C" w:rsidRPr="007955BB" w:rsidRDefault="00A4471C" w:rsidP="00A4471C">
      <w:pPr>
        <w:widowControl w:val="0"/>
        <w:spacing w:line="276" w:lineRule="auto"/>
        <w:rPr>
          <w:b w:val="0"/>
          <w:bCs/>
          <w:iCs/>
          <w:color w:val="000000"/>
          <w:lang w:val="hy-AM"/>
        </w:rPr>
      </w:pPr>
      <w:r w:rsidRPr="007955BB">
        <w:rPr>
          <w:rFonts w:cs="Sylfaen"/>
          <w:b w:val="0"/>
          <w:szCs w:val="22"/>
          <w:lang w:val="hy-AM"/>
        </w:rPr>
        <w:t xml:space="preserve">   Ծրագրի </w:t>
      </w:r>
      <w:r w:rsidRPr="007955BB">
        <w:rPr>
          <w:b w:val="0"/>
          <w:bCs/>
          <w:iCs/>
          <w:color w:val="000000"/>
          <w:lang w:val="hy-AM"/>
        </w:rPr>
        <w:t>շրջանակներում նախատեսվում է սուբսիդավորել բնակարանի (բնակելի տան) էներգաարդյունավետ վերանորոգման համար ներգրավված վարկերի տոկոսադրույքը (վարկի գործողության ողջ ընթացքում, բայց ոչ ավելի, քան 7 տարի 1000 շահառուի համար):</w:t>
      </w:r>
    </w:p>
    <w:p w:rsidR="00A4471C" w:rsidRPr="007955BB" w:rsidRDefault="00A4471C" w:rsidP="00A4471C">
      <w:pPr>
        <w:spacing w:before="0" w:line="276" w:lineRule="auto"/>
        <w:ind w:firstLine="720"/>
        <w:rPr>
          <w:rFonts w:eastAsia="Calibri"/>
          <w:b w:val="0"/>
          <w:bCs/>
          <w:lang w:val="hy-AM"/>
        </w:rPr>
      </w:pPr>
      <w:r w:rsidRPr="007955BB">
        <w:rPr>
          <w:b w:val="0"/>
          <w:bCs/>
          <w:iCs/>
          <w:color w:val="000000"/>
          <w:lang w:val="hy-AM"/>
        </w:rPr>
        <w:t>Դրամաշնորհային ծրագրերի շրջանակներում նախատեսվում է հանրային և հասարակական շենքերում (մանկապարտեզներ, պոլիկլինիկաներ, մշակութային օջախներ) իրականացնել էներգաարդյունավետությանը և էներգախնայողությանն ուղղված հիմնանորոգման աշխատանքներ, որի արդյունքում կապահովվեն հանրային շենքերի սեյսմակայունությունը, ջերմամեկուսացման և լուսավորության համակարգերի, վերականգնվող էներգիայի աղբյուրների ինտեգրման, հաշմանդամների համար շենքերի հասանելիությունը, կկրճատվեն էներգետիկ սպասարկման ֆինանսական ծախսերը, ինչպես նաև</w:t>
      </w:r>
      <w:r w:rsidRPr="007955BB">
        <w:rPr>
          <w:rFonts w:cs="Sylfaen"/>
          <w:b w:val="0"/>
          <w:lang w:val="hy-AM"/>
        </w:rPr>
        <w:t xml:space="preserve"> տեղի կունենա արտանետվող CO</w:t>
      </w:r>
      <w:r w:rsidRPr="007955BB">
        <w:rPr>
          <w:rFonts w:cs="Sylfaen"/>
          <w:b w:val="0"/>
          <w:vertAlign w:val="subscript"/>
          <w:lang w:val="hy-AM"/>
        </w:rPr>
        <w:t>2</w:t>
      </w:r>
      <w:r w:rsidRPr="007955BB">
        <w:rPr>
          <w:rFonts w:cs="Sylfaen"/>
          <w:b w:val="0"/>
          <w:lang w:val="hy-AM"/>
        </w:rPr>
        <w:t xml:space="preserve"> գազի նվազեցում։</w:t>
      </w:r>
    </w:p>
    <w:p w:rsidR="002F5005" w:rsidRPr="007955BB" w:rsidRDefault="002F5005" w:rsidP="0023176E">
      <w:pPr>
        <w:spacing w:line="276" w:lineRule="auto"/>
        <w:rPr>
          <w:b w:val="0"/>
          <w:szCs w:val="22"/>
          <w:lang w:val="hy-AM"/>
        </w:rPr>
      </w:pPr>
    </w:p>
    <w:p w:rsidR="0023176E" w:rsidRPr="007955BB" w:rsidRDefault="0023176E" w:rsidP="007F28F7">
      <w:pPr>
        <w:pStyle w:val="Heading3"/>
        <w:rPr>
          <w:noProof/>
        </w:rPr>
      </w:pPr>
      <w:bookmarkStart w:id="333" w:name="_Toc83575904"/>
      <w:bookmarkStart w:id="334" w:name="_Toc120805223"/>
      <w:r w:rsidRPr="007955BB">
        <w:rPr>
          <w:noProof/>
        </w:rPr>
        <w:t>ՀՀ բարձր տեխնոլոգիական արդյունաբերության նախարարություն</w:t>
      </w:r>
      <w:bookmarkEnd w:id="333"/>
      <w:bookmarkEnd w:id="334"/>
    </w:p>
    <w:p w:rsidR="00875E26" w:rsidRPr="007955BB" w:rsidRDefault="003B5280" w:rsidP="00875E26">
      <w:pPr>
        <w:spacing w:before="0" w:line="276" w:lineRule="auto"/>
        <w:ind w:firstLine="450"/>
        <w:rPr>
          <w:rFonts w:eastAsia="Calibri" w:cs="Sylfaen"/>
          <w:b w:val="0"/>
          <w:szCs w:val="22"/>
          <w:lang w:val="hy-AM" w:eastAsia="en-US"/>
        </w:rPr>
      </w:pPr>
      <w:r w:rsidRPr="007955BB">
        <w:rPr>
          <w:b w:val="0"/>
          <w:color w:val="000000"/>
          <w:szCs w:val="22"/>
          <w:lang w:val="hy-AM" w:eastAsia="en-US"/>
        </w:rPr>
        <w:t xml:space="preserve">2023 թվականի ՀՀ պետական բյուջեով ՀՀ </w:t>
      </w:r>
      <w:r w:rsidRPr="007955BB">
        <w:rPr>
          <w:rFonts w:eastAsia="Calibri" w:cs="Sylfaen"/>
          <w:b w:val="0"/>
          <w:szCs w:val="22"/>
          <w:lang w:val="hy-AM" w:eastAsia="en-US"/>
        </w:rPr>
        <w:t xml:space="preserve">բարձր տեխնոլոգիական արդյունաբերության նախարարությանը նախատեսվում է հատկացնել </w:t>
      </w:r>
      <w:r w:rsidR="00875E26" w:rsidRPr="007955BB">
        <w:rPr>
          <w:rFonts w:eastAsia="Calibri" w:cs="Sylfaen"/>
          <w:b w:val="0"/>
          <w:szCs w:val="22"/>
          <w:lang w:val="hy-AM" w:eastAsia="en-US"/>
        </w:rPr>
        <w:t>1</w:t>
      </w:r>
      <w:r w:rsidR="00740D78" w:rsidRPr="00740D78">
        <w:rPr>
          <w:rFonts w:eastAsia="Calibri" w:cs="Sylfaen"/>
          <w:b w:val="0"/>
          <w:szCs w:val="22"/>
          <w:lang w:val="af-ZA" w:eastAsia="en-US"/>
        </w:rPr>
        <w:t>9</w:t>
      </w:r>
      <w:r w:rsidR="00875E26" w:rsidRPr="007955BB">
        <w:rPr>
          <w:rFonts w:eastAsia="Calibri" w:cs="Sylfaen"/>
          <w:b w:val="0"/>
          <w:szCs w:val="22"/>
          <w:lang w:val="hy-AM" w:eastAsia="en-US"/>
        </w:rPr>
        <w:t>,</w:t>
      </w:r>
      <w:r w:rsidR="00740D78" w:rsidRPr="00740D78">
        <w:rPr>
          <w:rFonts w:eastAsia="Calibri" w:cs="Sylfaen"/>
          <w:b w:val="0"/>
          <w:szCs w:val="22"/>
          <w:lang w:val="af-ZA" w:eastAsia="en-US"/>
        </w:rPr>
        <w:t>3</w:t>
      </w:r>
      <w:r w:rsidR="00875E26" w:rsidRPr="007955BB">
        <w:rPr>
          <w:rFonts w:eastAsia="Calibri" w:cs="Sylfaen"/>
          <w:b w:val="0"/>
          <w:szCs w:val="22"/>
          <w:lang w:val="hy-AM" w:eastAsia="en-US"/>
        </w:rPr>
        <w:t>4</w:t>
      </w:r>
      <w:r w:rsidR="00E86A21" w:rsidRPr="007955BB">
        <w:rPr>
          <w:rFonts w:eastAsia="Calibri" w:cs="Sylfaen"/>
          <w:b w:val="0"/>
          <w:szCs w:val="22"/>
          <w:lang w:val="af-ZA" w:eastAsia="en-US"/>
        </w:rPr>
        <w:t>9</w:t>
      </w:r>
      <w:r w:rsidR="00875E26" w:rsidRPr="007955BB">
        <w:rPr>
          <w:rFonts w:eastAsia="Calibri" w:cs="Sylfaen"/>
          <w:b w:val="0"/>
          <w:szCs w:val="22"/>
          <w:lang w:val="hy-AM" w:eastAsia="en-US"/>
        </w:rPr>
        <w:t>.</w:t>
      </w:r>
      <w:r w:rsidR="00740D78" w:rsidRPr="005C46A4">
        <w:rPr>
          <w:rFonts w:eastAsia="Calibri" w:cs="Sylfaen"/>
          <w:b w:val="0"/>
          <w:szCs w:val="22"/>
          <w:lang w:val="hy-AM" w:eastAsia="en-US"/>
        </w:rPr>
        <w:t>3</w:t>
      </w:r>
      <w:r w:rsidR="00875E26" w:rsidRPr="007955BB">
        <w:rPr>
          <w:rFonts w:eastAsia="Calibri" w:cs="Sylfaen"/>
          <w:b w:val="0"/>
          <w:szCs w:val="22"/>
          <w:lang w:val="hy-AM" w:eastAsia="en-US"/>
        </w:rPr>
        <w:t xml:space="preserve"> մլն դրամ </w:t>
      </w:r>
      <w:r w:rsidR="00875E26" w:rsidRPr="007955BB">
        <w:rPr>
          <w:b w:val="0"/>
          <w:color w:val="000000"/>
          <w:szCs w:val="22"/>
          <w:lang w:val="hy-AM" w:eastAsia="en-US"/>
        </w:rPr>
        <w:t>(ներառյալ կառավարման ապարատի պահպանման ծախսերը)</w:t>
      </w:r>
      <w:r w:rsidR="00875E26" w:rsidRPr="007955BB">
        <w:rPr>
          <w:rFonts w:eastAsia="Calibri" w:cs="Sylfaen"/>
          <w:b w:val="0"/>
          <w:szCs w:val="22"/>
          <w:lang w:val="hy-AM" w:eastAsia="en-US"/>
        </w:rPr>
        <w:t xml:space="preserve">: </w:t>
      </w:r>
      <w:r w:rsidR="00875E26" w:rsidRPr="007955BB">
        <w:rPr>
          <w:b w:val="0"/>
          <w:lang w:val="hy-AM"/>
        </w:rPr>
        <w:t>Հատկացվելիք միջոցներն ուղղվելու են հետևյալ ծրագրերի իրականացմանը.</w:t>
      </w:r>
    </w:p>
    <w:p w:rsidR="00875E26" w:rsidRPr="007955BB" w:rsidRDefault="00875E26" w:rsidP="00875E26">
      <w:pPr>
        <w:spacing w:before="0" w:line="276" w:lineRule="auto"/>
        <w:rPr>
          <w:rFonts w:eastAsia="Calibri"/>
          <w:b w:val="0"/>
          <w:szCs w:val="22"/>
          <w:lang w:val="hy-AM" w:eastAsia="en-US"/>
        </w:rPr>
      </w:pPr>
      <w:r w:rsidRPr="007955BB">
        <w:rPr>
          <w:rFonts w:eastAsia="Calibri"/>
          <w:szCs w:val="22"/>
          <w:lang w:val="hy-AM"/>
        </w:rPr>
        <w:t xml:space="preserve">Բարձր տեխնոլոգիական արդյունաբերության էկոհամակարգի, թվայնացման և շուկայի զարգացման </w:t>
      </w:r>
      <w:r w:rsidRPr="007955BB">
        <w:rPr>
          <w:rFonts w:eastAsia="Calibri"/>
          <w:b w:val="0"/>
          <w:szCs w:val="22"/>
          <w:lang w:val="hy-AM"/>
        </w:rPr>
        <w:t xml:space="preserve">ծրագրի գծով </w:t>
      </w:r>
      <w:r w:rsidRPr="007955BB">
        <w:rPr>
          <w:rFonts w:eastAsia="Calibri"/>
          <w:b w:val="0"/>
          <w:szCs w:val="22"/>
          <w:lang w:val="hy-AM" w:eastAsia="en-US"/>
        </w:rPr>
        <w:t xml:space="preserve">2023 թվականին նախատեսվել է հատկացնել </w:t>
      </w:r>
      <w:r w:rsidR="00110D7D" w:rsidRPr="00110D7D">
        <w:rPr>
          <w:rFonts w:eastAsia="Calibri"/>
          <w:b w:val="0"/>
          <w:szCs w:val="22"/>
          <w:lang w:val="hy-AM" w:eastAsia="en-US"/>
        </w:rPr>
        <w:t>8</w:t>
      </w:r>
      <w:r w:rsidRPr="007955BB">
        <w:rPr>
          <w:rFonts w:eastAsia="Calibri"/>
          <w:b w:val="0"/>
          <w:szCs w:val="22"/>
          <w:lang w:val="hy-AM" w:eastAsia="en-US"/>
        </w:rPr>
        <w:t>,</w:t>
      </w:r>
      <w:r w:rsidR="00110D7D" w:rsidRPr="00110D7D">
        <w:rPr>
          <w:rFonts w:eastAsia="Calibri"/>
          <w:b w:val="0"/>
          <w:szCs w:val="22"/>
          <w:lang w:val="hy-AM" w:eastAsia="en-US"/>
        </w:rPr>
        <w:t>73</w:t>
      </w:r>
      <w:r w:rsidRPr="007955BB">
        <w:rPr>
          <w:rFonts w:eastAsia="Calibri"/>
          <w:b w:val="0"/>
          <w:szCs w:val="22"/>
          <w:lang w:val="hy-AM" w:eastAsia="en-US"/>
        </w:rPr>
        <w:t>6.6 մլն դրամ:</w:t>
      </w:r>
    </w:p>
    <w:p w:rsidR="00875E26" w:rsidRPr="007955BB" w:rsidRDefault="00875E26" w:rsidP="00875E26">
      <w:pPr>
        <w:spacing w:before="0" w:line="276" w:lineRule="auto"/>
        <w:rPr>
          <w:rFonts w:eastAsia="Calibri"/>
          <w:b w:val="0"/>
          <w:szCs w:val="22"/>
          <w:lang w:val="hy-AM" w:eastAsia="en-US"/>
        </w:rPr>
      </w:pPr>
      <w:r w:rsidRPr="007955BB">
        <w:rPr>
          <w:rFonts w:eastAsia="Calibri"/>
          <w:b w:val="0"/>
          <w:szCs w:val="22"/>
          <w:lang w:val="hy-AM" w:eastAsia="en-US"/>
        </w:rPr>
        <w:t>Ծրագրի նպատակն է բարձր տեխնոլոգիաների ենթակառուցվածքների բարելավում, մասնավորապես.</w:t>
      </w:r>
    </w:p>
    <w:p w:rsidR="00875E26" w:rsidRPr="007955BB" w:rsidRDefault="00875E26" w:rsidP="00F04DA1">
      <w:pPr>
        <w:numPr>
          <w:ilvl w:val="0"/>
          <w:numId w:val="53"/>
        </w:numPr>
        <w:suppressAutoHyphens/>
        <w:spacing w:before="0" w:line="276" w:lineRule="auto"/>
        <w:ind w:left="0" w:firstLine="426"/>
        <w:contextualSpacing w:val="0"/>
        <w:rPr>
          <w:b w:val="0"/>
          <w:szCs w:val="22"/>
          <w:lang w:val="hy-AM" w:eastAsia="en-US"/>
        </w:rPr>
      </w:pPr>
      <w:r w:rsidRPr="007955BB">
        <w:rPr>
          <w:b w:val="0"/>
          <w:szCs w:val="22"/>
          <w:lang w:val="hy-AM" w:eastAsia="en-US"/>
        </w:rPr>
        <w:t xml:space="preserve"> Իրականացնել կադրերի թիրախավորված պատրաստում և վերապատրաստում, հաշվի առնելով շուկայի </w:t>
      </w:r>
      <w:r w:rsidRPr="007955BB">
        <w:rPr>
          <w:b w:val="0"/>
          <w:color w:val="000000"/>
          <w:szCs w:val="22"/>
          <w:lang w:val="hy-AM" w:eastAsia="en-US"/>
        </w:rPr>
        <w:t>կտրուկ զարգացումն ու կադրերի նկատմամբ շուկայի պահանջարկի կտրուկ աճը,</w:t>
      </w:r>
    </w:p>
    <w:p w:rsidR="00875E26" w:rsidRPr="007955BB" w:rsidRDefault="00875E26" w:rsidP="00F04DA1">
      <w:pPr>
        <w:numPr>
          <w:ilvl w:val="0"/>
          <w:numId w:val="53"/>
        </w:numPr>
        <w:suppressAutoHyphens/>
        <w:spacing w:before="0" w:line="276" w:lineRule="auto"/>
        <w:ind w:left="0" w:firstLine="426"/>
        <w:contextualSpacing w:val="0"/>
        <w:rPr>
          <w:b w:val="0"/>
          <w:szCs w:val="22"/>
          <w:lang w:val="hy-AM" w:eastAsia="en-US"/>
        </w:rPr>
      </w:pPr>
      <w:r w:rsidRPr="007955BB">
        <w:rPr>
          <w:b w:val="0"/>
          <w:color w:val="000000"/>
          <w:szCs w:val="22"/>
          <w:lang w:val="hy-AM" w:eastAsia="en-US"/>
        </w:rPr>
        <w:t xml:space="preserve"> Զարգացնել բարձր տեխնոլոգիական ոլորտի համար անհրաժեշտ էկոհամակարգը` ներառյալ թիրախավորված գիտահետազոտական աշխատանքների, ստեղծագործական խմբերի, նորաստեղծ ընկերությունների ֆինանսավորումը,</w:t>
      </w:r>
    </w:p>
    <w:p w:rsidR="00875E26" w:rsidRPr="007955BB" w:rsidRDefault="00875E26" w:rsidP="00F04DA1">
      <w:pPr>
        <w:numPr>
          <w:ilvl w:val="0"/>
          <w:numId w:val="53"/>
        </w:numPr>
        <w:suppressAutoHyphens/>
        <w:spacing w:before="0" w:line="276" w:lineRule="auto"/>
        <w:ind w:left="0" w:firstLine="426"/>
        <w:contextualSpacing w:val="0"/>
        <w:rPr>
          <w:b w:val="0"/>
          <w:szCs w:val="22"/>
          <w:lang w:val="hy-AM" w:eastAsia="en-US"/>
        </w:rPr>
      </w:pPr>
      <w:r w:rsidRPr="007955BB">
        <w:rPr>
          <w:b w:val="0"/>
          <w:szCs w:val="22"/>
          <w:lang w:val="hy-AM"/>
        </w:rPr>
        <w:t xml:space="preserve"> Հայկական Սփյուռքի ներգրավվածությունն ապահովելու համար հայկական ընկերությունների, կազմակերպությունների և անհատների հետ ստեղծել շարունակական համագործակցության հարթակ</w:t>
      </w:r>
      <w:r w:rsidRPr="007955BB">
        <w:rPr>
          <w:b w:val="0"/>
          <w:color w:val="000000"/>
          <w:szCs w:val="22"/>
          <w:lang w:val="hy-AM" w:eastAsia="en-US"/>
        </w:rPr>
        <w:t>,</w:t>
      </w:r>
    </w:p>
    <w:p w:rsidR="00875E26" w:rsidRPr="007955BB" w:rsidRDefault="00875E26" w:rsidP="00F04DA1">
      <w:pPr>
        <w:numPr>
          <w:ilvl w:val="0"/>
          <w:numId w:val="53"/>
        </w:numPr>
        <w:suppressAutoHyphens/>
        <w:spacing w:before="0" w:line="276" w:lineRule="auto"/>
        <w:ind w:left="0" w:firstLine="426"/>
        <w:contextualSpacing w:val="0"/>
        <w:rPr>
          <w:b w:val="0"/>
          <w:szCs w:val="22"/>
          <w:lang w:val="hy-AM" w:eastAsia="en-US"/>
        </w:rPr>
      </w:pPr>
      <w:r w:rsidRPr="007955BB">
        <w:rPr>
          <w:b w:val="0"/>
          <w:szCs w:val="22"/>
          <w:lang w:val="hy-AM"/>
        </w:rPr>
        <w:t xml:space="preserve"> Աջակցել </w:t>
      </w:r>
      <w:r w:rsidR="00D26A9D">
        <w:rPr>
          <w:b w:val="0"/>
          <w:szCs w:val="22"/>
          <w:lang w:val="hy-AM"/>
        </w:rPr>
        <w:t>ՏՏ</w:t>
      </w:r>
      <w:r w:rsidRPr="007955BB">
        <w:rPr>
          <w:b w:val="0"/>
          <w:szCs w:val="22"/>
          <w:lang w:val="hy-AM"/>
        </w:rPr>
        <w:t xml:space="preserve"> ոլորտում գործունեություն իրականացնող առևտրային կազմակերպություններին և անհատ ձեռնարկատերերին, ձեռք բերել թվային ծառայություններ։</w:t>
      </w:r>
    </w:p>
    <w:p w:rsidR="003B5280" w:rsidRPr="007955BB" w:rsidRDefault="003B5280" w:rsidP="000220DA">
      <w:pPr>
        <w:spacing w:before="0" w:line="276" w:lineRule="auto"/>
        <w:ind w:firstLine="540"/>
        <w:rPr>
          <w:b w:val="0"/>
          <w:iCs/>
          <w:color w:val="000000"/>
          <w:szCs w:val="22"/>
          <w:lang w:val="hy-AM" w:eastAsia="en-US"/>
        </w:rPr>
      </w:pPr>
      <w:r w:rsidRPr="007955BB">
        <w:rPr>
          <w:b w:val="0"/>
          <w:color w:val="000000"/>
          <w:szCs w:val="22"/>
          <w:lang w:val="hy-AM" w:eastAsia="en-US"/>
        </w:rPr>
        <w:t xml:space="preserve">Նշվածի շրջանակներում կապահովվի հետևյալ արդյունքային ցուցանիշները՝ </w:t>
      </w:r>
      <w:r w:rsidRPr="007955BB">
        <w:rPr>
          <w:b w:val="0"/>
          <w:szCs w:val="22"/>
          <w:lang w:val="hy-AM"/>
        </w:rPr>
        <w:t xml:space="preserve">ԲՈՒՀ- մասնավոր համագործակցության շրջանակներում կպատրաստվեն 2000 մասնագետներ, </w:t>
      </w:r>
      <w:r w:rsidRPr="007955BB">
        <w:rPr>
          <w:b w:val="0"/>
          <w:color w:val="000000"/>
          <w:szCs w:val="22"/>
          <w:lang w:val="hy-AM" w:eastAsia="en-US"/>
        </w:rPr>
        <w:t>դ</w:t>
      </w:r>
      <w:r w:rsidRPr="007955BB">
        <w:rPr>
          <w:b w:val="0"/>
          <w:iCs/>
          <w:color w:val="000000"/>
          <w:szCs w:val="22"/>
          <w:lang w:val="hy-AM" w:eastAsia="en-US"/>
        </w:rPr>
        <w:t xml:space="preserve">րամաշնորհային ծրագրի շրջանակներում 30 կազմակերպությունների կտրամադրվեն դրամաշնորհներ, </w:t>
      </w:r>
      <w:r w:rsidRPr="007955BB">
        <w:rPr>
          <w:b w:val="0"/>
          <w:color w:val="000000"/>
          <w:szCs w:val="22"/>
          <w:lang w:val="hy-AM" w:eastAsia="en-US"/>
        </w:rPr>
        <w:t xml:space="preserve"> կիրականացվի մեկ աքսելերացիոն ծրագիր՝ 30 շահառու թիմերի և 150 մասնակիցների համար, կիրականացվի տաղանդի ձևավորման և </w:t>
      </w:r>
      <w:r w:rsidRPr="007955BB">
        <w:rPr>
          <w:rFonts w:eastAsia="Calibri" w:cs="Sylfaen"/>
          <w:b w:val="0"/>
          <w:color w:val="000000"/>
          <w:szCs w:val="22"/>
          <w:lang w:val="hy-AM" w:eastAsia="en-US"/>
        </w:rPr>
        <w:t>գ</w:t>
      </w:r>
      <w:r w:rsidRPr="007955BB">
        <w:rPr>
          <w:rFonts w:eastAsia="Calibri"/>
          <w:b w:val="0"/>
          <w:color w:val="000000"/>
          <w:szCs w:val="22"/>
          <w:lang w:val="hy-AM" w:eastAsia="en-US"/>
        </w:rPr>
        <w:t>լոբալ տաղանդի ներգրավման համար 1-ական միջոցառում, բ</w:t>
      </w:r>
      <w:r w:rsidRPr="007955BB">
        <w:rPr>
          <w:b w:val="0"/>
          <w:iCs/>
          <w:color w:val="000000"/>
          <w:szCs w:val="22"/>
          <w:lang w:val="hy-AM" w:eastAsia="en-US"/>
        </w:rPr>
        <w:t xml:space="preserve">արձր տեխնոլոգիական ոլորտում արտասահմանում կիրականացվեն շուրջ 15 վերապատրաստման միջոցառումներ: </w:t>
      </w:r>
    </w:p>
    <w:p w:rsidR="003B5280" w:rsidRPr="007955BB" w:rsidRDefault="003B5280" w:rsidP="003B5280">
      <w:pPr>
        <w:suppressAutoHyphens/>
        <w:spacing w:before="0" w:line="276" w:lineRule="auto"/>
        <w:rPr>
          <w:b w:val="0"/>
          <w:iCs/>
          <w:color w:val="000000"/>
          <w:szCs w:val="22"/>
          <w:lang w:val="hy-AM" w:eastAsia="en-US"/>
        </w:rPr>
      </w:pPr>
      <w:r w:rsidRPr="007955BB">
        <w:rPr>
          <w:b w:val="0"/>
          <w:iCs/>
          <w:color w:val="000000"/>
          <w:szCs w:val="22"/>
          <w:lang w:val="hy-AM" w:eastAsia="en-US"/>
        </w:rPr>
        <w:t xml:space="preserve">Միաժամանակ պետական աջակցություն կտրամադրվի </w:t>
      </w:r>
      <w:r w:rsidR="00D26A9D">
        <w:rPr>
          <w:b w:val="0"/>
          <w:iCs/>
          <w:color w:val="000000"/>
          <w:szCs w:val="22"/>
          <w:lang w:val="hy-AM" w:eastAsia="en-US"/>
        </w:rPr>
        <w:t>ՏՏ</w:t>
      </w:r>
      <w:r w:rsidRPr="007955BB">
        <w:rPr>
          <w:b w:val="0"/>
          <w:iCs/>
          <w:color w:val="000000"/>
          <w:szCs w:val="22"/>
          <w:lang w:val="hy-AM" w:eastAsia="en-US"/>
        </w:rPr>
        <w:t xml:space="preserve"> ոլորտում գործունեություն իրականացնող առևտրային կազմակերպություններին և անհատ ձեռնարկատերերին՝ </w:t>
      </w:r>
      <w:r w:rsidR="00D35F72">
        <w:rPr>
          <w:b w:val="0"/>
          <w:iCs/>
          <w:color w:val="000000"/>
          <w:szCs w:val="22"/>
          <w:lang w:val="hy-AM" w:eastAsia="en-US"/>
        </w:rPr>
        <w:t>Հ</w:t>
      </w:r>
      <w:r w:rsidRPr="007955BB">
        <w:rPr>
          <w:b w:val="0"/>
          <w:iCs/>
          <w:color w:val="000000"/>
          <w:szCs w:val="22"/>
          <w:lang w:val="hy-AM" w:eastAsia="en-US"/>
        </w:rPr>
        <w:t>Հ</w:t>
      </w:r>
      <w:r w:rsidR="00D35F72">
        <w:rPr>
          <w:b w:val="0"/>
          <w:iCs/>
          <w:color w:val="000000"/>
          <w:szCs w:val="22"/>
          <w:lang w:val="hy-AM" w:eastAsia="en-US"/>
        </w:rPr>
        <w:t xml:space="preserve"> </w:t>
      </w:r>
      <w:r w:rsidRPr="007955BB">
        <w:rPr>
          <w:b w:val="0"/>
          <w:iCs/>
          <w:color w:val="000000"/>
          <w:szCs w:val="22"/>
          <w:lang w:val="hy-AM" w:eastAsia="en-US"/>
        </w:rPr>
        <w:t>կառա</w:t>
      </w:r>
      <w:r w:rsidRPr="007955BB">
        <w:rPr>
          <w:b w:val="0"/>
          <w:iCs/>
          <w:color w:val="000000"/>
          <w:szCs w:val="22"/>
          <w:lang w:val="hy-AM" w:eastAsia="en-US"/>
        </w:rPr>
        <w:softHyphen/>
        <w:t>վա</w:t>
      </w:r>
      <w:r w:rsidRPr="007955BB">
        <w:rPr>
          <w:b w:val="0"/>
          <w:iCs/>
          <w:color w:val="000000"/>
          <w:szCs w:val="22"/>
          <w:lang w:val="hy-AM" w:eastAsia="en-US"/>
        </w:rPr>
        <w:softHyphen/>
        <w:t>րու</w:t>
      </w:r>
      <w:r w:rsidRPr="007955BB">
        <w:rPr>
          <w:b w:val="0"/>
          <w:iCs/>
          <w:color w:val="000000"/>
          <w:szCs w:val="22"/>
          <w:lang w:val="hy-AM" w:eastAsia="en-US"/>
        </w:rPr>
        <w:softHyphen/>
        <w:t>թյան 2022 թվա</w:t>
      </w:r>
      <w:r w:rsidRPr="007955BB">
        <w:rPr>
          <w:b w:val="0"/>
          <w:iCs/>
          <w:color w:val="000000"/>
          <w:szCs w:val="22"/>
          <w:lang w:val="hy-AM" w:eastAsia="en-US"/>
        </w:rPr>
        <w:softHyphen/>
        <w:t>կանի մարտի 24-ի N 399-Լ որոշմամբ նախատեսված քաղաքականությամբ և շահառուների մասով:</w:t>
      </w:r>
    </w:p>
    <w:p w:rsidR="003B5280" w:rsidRPr="007955BB" w:rsidRDefault="003B5280" w:rsidP="003B5280">
      <w:pPr>
        <w:suppressAutoHyphens/>
        <w:spacing w:before="0" w:line="276" w:lineRule="auto"/>
        <w:ind w:firstLine="450"/>
        <w:rPr>
          <w:b w:val="0"/>
          <w:color w:val="000000"/>
          <w:szCs w:val="22"/>
          <w:lang w:val="hy-AM" w:eastAsia="en-US"/>
        </w:rPr>
      </w:pPr>
      <w:r w:rsidRPr="007955BB">
        <w:rPr>
          <w:color w:val="000000"/>
          <w:szCs w:val="22"/>
          <w:lang w:val="hy-AM" w:eastAsia="en-US"/>
        </w:rPr>
        <w:t xml:space="preserve">Պաշտպանության բնագավառում գիտական և գիտատեխնիկական նպատակային հետազոտություններ </w:t>
      </w:r>
      <w:r w:rsidRPr="007955BB">
        <w:rPr>
          <w:rFonts w:eastAsia="Calibri"/>
          <w:b w:val="0"/>
          <w:szCs w:val="22"/>
          <w:lang w:val="hy-AM"/>
        </w:rPr>
        <w:t xml:space="preserve">ծրագրի գծով </w:t>
      </w:r>
      <w:r w:rsidRPr="007955BB">
        <w:rPr>
          <w:rFonts w:eastAsia="Calibri"/>
          <w:b w:val="0"/>
          <w:szCs w:val="22"/>
          <w:lang w:val="hy-AM" w:eastAsia="en-US"/>
        </w:rPr>
        <w:t>2023 թվականին նախատեսվել է հատկացնել 6</w:t>
      </w:r>
      <w:r w:rsidRPr="007955BB">
        <w:rPr>
          <w:b w:val="0"/>
          <w:color w:val="000000"/>
          <w:szCs w:val="22"/>
          <w:lang w:val="hy-AM" w:eastAsia="en-US"/>
        </w:rPr>
        <w:t>,844.2 մլն դրամ:</w:t>
      </w:r>
    </w:p>
    <w:p w:rsidR="00FA498E" w:rsidRPr="007955BB" w:rsidRDefault="003B5280" w:rsidP="00FA498E">
      <w:pPr>
        <w:suppressAutoHyphens/>
        <w:spacing w:before="0" w:line="276" w:lineRule="auto"/>
        <w:ind w:firstLine="450"/>
        <w:rPr>
          <w:b w:val="0"/>
          <w:color w:val="000000"/>
          <w:szCs w:val="22"/>
          <w:lang w:val="hy-AM" w:eastAsia="en-US"/>
        </w:rPr>
      </w:pPr>
      <w:r w:rsidRPr="007955BB">
        <w:rPr>
          <w:b w:val="0"/>
          <w:color w:val="000000"/>
          <w:szCs w:val="22"/>
          <w:lang w:val="hy-AM" w:eastAsia="en-US"/>
        </w:rPr>
        <w:t>Ծրագրի նպատակն է նպաստել ՀՀ պաշտպանության և անվտանգության համակարգերի զարգացմանը, մասնավորապես իրականացնել գիտահետազոտական և փորձակոնստրուկտորական աշխատանքների իրականացում պաշտպանության համակարգի ապահովման համար:</w:t>
      </w:r>
      <w:r w:rsidR="00FA498E" w:rsidRPr="007955BB">
        <w:rPr>
          <w:b w:val="0"/>
          <w:color w:val="000000"/>
          <w:szCs w:val="22"/>
          <w:lang w:val="hy-AM" w:eastAsia="en-US"/>
        </w:rPr>
        <w:t xml:space="preserve"> 2023թ</w:t>
      </w:r>
      <w:r w:rsidR="00FA498E" w:rsidRPr="007955BB">
        <w:rPr>
          <w:rFonts w:ascii="Cambria Math" w:hAnsi="Cambria Math" w:cs="Cambria Math"/>
          <w:b w:val="0"/>
          <w:color w:val="000000"/>
          <w:szCs w:val="22"/>
          <w:lang w:val="hy-AM" w:eastAsia="en-US"/>
        </w:rPr>
        <w:t>․</w:t>
      </w:r>
      <w:r w:rsidR="00FA498E" w:rsidRPr="007955BB">
        <w:rPr>
          <w:b w:val="0"/>
          <w:color w:val="000000"/>
          <w:szCs w:val="22"/>
          <w:lang w:val="hy-AM" w:eastAsia="en-US"/>
        </w:rPr>
        <w:t xml:space="preserve"> նախատեսվում է.</w:t>
      </w:r>
    </w:p>
    <w:p w:rsidR="00FA498E" w:rsidRPr="007955BB" w:rsidRDefault="00FA498E" w:rsidP="00671869">
      <w:pPr>
        <w:suppressAutoHyphens/>
        <w:spacing w:before="0" w:line="276" w:lineRule="auto"/>
        <w:ind w:firstLine="426"/>
        <w:rPr>
          <w:b w:val="0"/>
          <w:color w:val="000000"/>
          <w:szCs w:val="22"/>
          <w:lang w:val="hy-AM" w:eastAsia="en-US"/>
        </w:rPr>
      </w:pPr>
      <w:r w:rsidRPr="007955BB">
        <w:rPr>
          <w:b w:val="0"/>
          <w:color w:val="000000"/>
          <w:szCs w:val="22"/>
          <w:lang w:val="hy-AM" w:eastAsia="en-US"/>
        </w:rPr>
        <w:t xml:space="preserve">- </w:t>
      </w:r>
      <w:r w:rsidRPr="007955BB">
        <w:rPr>
          <w:rFonts w:ascii="Calibri" w:hAnsi="Calibri" w:cs="Calibri"/>
          <w:b w:val="0"/>
          <w:color w:val="000000"/>
          <w:szCs w:val="22"/>
          <w:lang w:val="hy-AM" w:eastAsia="en-US"/>
        </w:rPr>
        <w:t>   </w:t>
      </w:r>
      <w:r w:rsidRPr="007955BB">
        <w:rPr>
          <w:b w:val="0"/>
          <w:color w:val="000000"/>
          <w:szCs w:val="22"/>
          <w:lang w:val="hy-AM" w:eastAsia="en-US"/>
        </w:rPr>
        <w:t>ՀՀ զինված ուժերում և այլ զորքերում շահագործվող սպառազինության և ռազմական տեխնիկայի ու ռազմատեխնիկական ունեցվածքի նորոգման համար անհրաժեշտ հզորությունների ստեղծումը, պահպանումը և զարգացումը,</w:t>
      </w:r>
    </w:p>
    <w:p w:rsidR="004C5D4B" w:rsidRPr="007955BB" w:rsidRDefault="00FA498E" w:rsidP="00671869">
      <w:pPr>
        <w:suppressAutoHyphens/>
        <w:spacing w:before="0" w:line="276" w:lineRule="auto"/>
        <w:ind w:firstLine="426"/>
        <w:rPr>
          <w:b w:val="0"/>
          <w:color w:val="000000"/>
          <w:szCs w:val="22"/>
          <w:lang w:val="hy-AM" w:eastAsia="en-US"/>
        </w:rPr>
      </w:pPr>
      <w:r w:rsidRPr="007955BB">
        <w:rPr>
          <w:b w:val="0"/>
          <w:color w:val="000000"/>
          <w:szCs w:val="22"/>
          <w:lang w:val="hy-AM" w:eastAsia="en-US"/>
        </w:rPr>
        <w:t xml:space="preserve">- </w:t>
      </w:r>
      <w:r w:rsidRPr="007955BB">
        <w:rPr>
          <w:rFonts w:ascii="Calibri" w:hAnsi="Calibri" w:cs="Calibri"/>
          <w:b w:val="0"/>
          <w:color w:val="000000"/>
          <w:szCs w:val="22"/>
          <w:lang w:val="hy-AM" w:eastAsia="en-US"/>
        </w:rPr>
        <w:t>   </w:t>
      </w:r>
      <w:r w:rsidRPr="007955BB">
        <w:rPr>
          <w:b w:val="0"/>
          <w:color w:val="000000"/>
          <w:szCs w:val="22"/>
          <w:lang w:val="hy-AM" w:eastAsia="en-US"/>
        </w:rPr>
        <w:t>ՀՀ զինված ուժերում և այլ զորքերում շահագործվող սպառազինության և ռազմական տեխնիկայի և ռազմատեխնիկական ունեցվածքի արդիականացման գործընթացի յուրացումը,</w:t>
      </w:r>
      <w:r w:rsidRPr="007955BB">
        <w:rPr>
          <w:b w:val="0"/>
          <w:color w:val="000000"/>
          <w:szCs w:val="22"/>
          <w:lang w:val="hy-AM" w:eastAsia="en-US"/>
        </w:rPr>
        <w:br/>
        <w:t>-</w:t>
      </w:r>
      <w:r w:rsidRPr="007955BB">
        <w:rPr>
          <w:rFonts w:ascii="Calibri" w:hAnsi="Calibri" w:cs="Calibri"/>
          <w:b w:val="0"/>
          <w:color w:val="000000"/>
          <w:szCs w:val="22"/>
          <w:lang w:val="hy-AM" w:eastAsia="en-US"/>
        </w:rPr>
        <w:t>    </w:t>
      </w:r>
      <w:r w:rsidRPr="007955BB">
        <w:rPr>
          <w:b w:val="0"/>
          <w:color w:val="000000"/>
          <w:szCs w:val="22"/>
          <w:lang w:val="hy-AM" w:eastAsia="en-US"/>
        </w:rPr>
        <w:t>Հրթիռաշինության</w:t>
      </w:r>
      <w:r w:rsidRPr="007955BB">
        <w:rPr>
          <w:rFonts w:ascii="Calibri" w:hAnsi="Calibri" w:cs="Calibri"/>
          <w:b w:val="0"/>
          <w:color w:val="000000"/>
          <w:szCs w:val="22"/>
          <w:lang w:val="hy-AM" w:eastAsia="en-US"/>
        </w:rPr>
        <w:t> </w:t>
      </w:r>
      <w:r w:rsidRPr="007955BB">
        <w:rPr>
          <w:b w:val="0"/>
          <w:color w:val="000000"/>
          <w:szCs w:val="22"/>
          <w:lang w:val="hy-AM" w:eastAsia="en-US"/>
        </w:rPr>
        <w:t>զարգացումը,</w:t>
      </w:r>
      <w:r w:rsidRPr="007955BB">
        <w:rPr>
          <w:b w:val="0"/>
          <w:color w:val="000000"/>
          <w:szCs w:val="22"/>
          <w:lang w:val="hy-AM" w:eastAsia="en-US"/>
        </w:rPr>
        <w:br/>
        <w:t>-</w:t>
      </w:r>
      <w:r w:rsidRPr="007955BB">
        <w:rPr>
          <w:rFonts w:ascii="Calibri" w:hAnsi="Calibri" w:cs="Calibri"/>
          <w:b w:val="0"/>
          <w:color w:val="000000"/>
          <w:szCs w:val="22"/>
          <w:lang w:val="hy-AM" w:eastAsia="en-US"/>
        </w:rPr>
        <w:t>    </w:t>
      </w:r>
      <w:r w:rsidRPr="007955BB">
        <w:rPr>
          <w:b w:val="0"/>
          <w:color w:val="000000"/>
          <w:szCs w:val="22"/>
          <w:lang w:val="hy-AM" w:eastAsia="en-US"/>
        </w:rPr>
        <w:t>Ավտոմատացված</w:t>
      </w:r>
      <w:r w:rsidRPr="007955BB">
        <w:rPr>
          <w:rFonts w:ascii="Calibri" w:hAnsi="Calibri" w:cs="Calibri"/>
          <w:b w:val="0"/>
          <w:color w:val="000000"/>
          <w:szCs w:val="22"/>
          <w:lang w:val="hy-AM" w:eastAsia="en-US"/>
        </w:rPr>
        <w:t> </w:t>
      </w:r>
      <w:r w:rsidRPr="007955BB">
        <w:rPr>
          <w:b w:val="0"/>
          <w:color w:val="000000"/>
          <w:szCs w:val="22"/>
          <w:lang w:val="hy-AM" w:eastAsia="en-US"/>
        </w:rPr>
        <w:t>կառավարման</w:t>
      </w:r>
      <w:r w:rsidRPr="007955BB">
        <w:rPr>
          <w:rFonts w:ascii="Calibri" w:hAnsi="Calibri" w:cs="Calibri"/>
          <w:b w:val="0"/>
          <w:color w:val="000000"/>
          <w:szCs w:val="22"/>
          <w:lang w:val="hy-AM" w:eastAsia="en-US"/>
        </w:rPr>
        <w:t> </w:t>
      </w:r>
      <w:r w:rsidRPr="007955BB">
        <w:rPr>
          <w:b w:val="0"/>
          <w:color w:val="000000"/>
          <w:szCs w:val="22"/>
          <w:lang w:val="hy-AM" w:eastAsia="en-US"/>
        </w:rPr>
        <w:t>համակարգերի</w:t>
      </w:r>
      <w:r w:rsidRPr="007955BB">
        <w:rPr>
          <w:rFonts w:ascii="Calibri" w:hAnsi="Calibri" w:cs="Calibri"/>
          <w:b w:val="0"/>
          <w:color w:val="000000"/>
          <w:szCs w:val="22"/>
          <w:lang w:val="hy-AM" w:eastAsia="en-US"/>
        </w:rPr>
        <w:t> </w:t>
      </w:r>
      <w:r w:rsidRPr="007955BB">
        <w:rPr>
          <w:b w:val="0"/>
          <w:color w:val="000000"/>
          <w:szCs w:val="22"/>
          <w:lang w:val="hy-AM" w:eastAsia="en-US"/>
        </w:rPr>
        <w:t>ստեղծումը,</w:t>
      </w:r>
      <w:r w:rsidRPr="007955BB">
        <w:rPr>
          <w:b w:val="0"/>
          <w:color w:val="000000"/>
          <w:szCs w:val="22"/>
          <w:lang w:val="hy-AM" w:eastAsia="en-US"/>
        </w:rPr>
        <w:br/>
        <w:t xml:space="preserve">- </w:t>
      </w:r>
      <w:r w:rsidRPr="007955BB">
        <w:rPr>
          <w:rFonts w:ascii="Calibri" w:hAnsi="Calibri" w:cs="Calibri"/>
          <w:b w:val="0"/>
          <w:color w:val="000000"/>
          <w:szCs w:val="22"/>
          <w:lang w:val="hy-AM" w:eastAsia="en-US"/>
        </w:rPr>
        <w:t>  </w:t>
      </w:r>
      <w:r w:rsidRPr="007955BB">
        <w:rPr>
          <w:b w:val="0"/>
          <w:color w:val="000000"/>
          <w:szCs w:val="22"/>
          <w:lang w:val="hy-AM" w:eastAsia="en-US"/>
        </w:rPr>
        <w:t xml:space="preserve">Ռազմական քիմիայի զարգացում նոր ստեղծվող պայթուցիկ նյութերի արտադրության կազմակերպման համար, </w:t>
      </w:r>
    </w:p>
    <w:p w:rsidR="00FA498E" w:rsidRPr="007955BB" w:rsidRDefault="00FA498E" w:rsidP="00671869">
      <w:pPr>
        <w:suppressAutoHyphens/>
        <w:spacing w:before="0" w:line="276" w:lineRule="auto"/>
        <w:ind w:firstLine="426"/>
        <w:rPr>
          <w:b w:val="0"/>
          <w:color w:val="000000"/>
          <w:szCs w:val="22"/>
          <w:lang w:val="hy-AM" w:eastAsia="en-US"/>
        </w:rPr>
      </w:pPr>
      <w:r w:rsidRPr="007955BB">
        <w:rPr>
          <w:b w:val="0"/>
          <w:color w:val="000000"/>
          <w:szCs w:val="22"/>
          <w:lang w:val="hy-AM" w:eastAsia="en-US"/>
        </w:rPr>
        <w:t>- Նոր սպառազինության և ռազմական տեխնիկայի ու ռազմատեխնիկական ունեցվածքի մշակում և արտադրություն։</w:t>
      </w:r>
    </w:p>
    <w:p w:rsidR="003B5280" w:rsidRPr="007955BB" w:rsidRDefault="003B5280" w:rsidP="003B5280">
      <w:pPr>
        <w:suppressAutoHyphens/>
        <w:spacing w:before="0" w:line="276" w:lineRule="auto"/>
        <w:rPr>
          <w:b w:val="0"/>
          <w:color w:val="000000"/>
          <w:szCs w:val="22"/>
          <w:lang w:val="hy-AM" w:eastAsia="en-US"/>
        </w:rPr>
      </w:pPr>
      <w:r w:rsidRPr="007955BB">
        <w:rPr>
          <w:rFonts w:eastAsia="Calibri" w:cs="Sylfaen"/>
          <w:szCs w:val="22"/>
          <w:lang w:val="hy-AM" w:eastAsia="en-US"/>
        </w:rPr>
        <w:t xml:space="preserve">Հեռահաղորդակցության ապահովում </w:t>
      </w:r>
      <w:r w:rsidRPr="007955BB">
        <w:rPr>
          <w:rFonts w:eastAsia="Calibri"/>
          <w:b w:val="0"/>
          <w:szCs w:val="22"/>
          <w:lang w:val="hy-AM"/>
        </w:rPr>
        <w:t xml:space="preserve">ծրագրի գծով </w:t>
      </w:r>
      <w:r w:rsidRPr="007955BB">
        <w:rPr>
          <w:rFonts w:eastAsia="Calibri"/>
          <w:b w:val="0"/>
          <w:szCs w:val="22"/>
          <w:lang w:val="hy-AM" w:eastAsia="en-US"/>
        </w:rPr>
        <w:t xml:space="preserve">2023 թվականին նախատեսվել է հատկացնել </w:t>
      </w:r>
      <w:r w:rsidRPr="007955BB">
        <w:rPr>
          <w:rFonts w:eastAsia="Calibri" w:cs="Sylfaen"/>
          <w:b w:val="0"/>
          <w:szCs w:val="22"/>
          <w:lang w:val="hy-AM" w:eastAsia="en-US"/>
        </w:rPr>
        <w:t>2,</w:t>
      </w:r>
      <w:r w:rsidR="00110D7D" w:rsidRPr="00740D78">
        <w:rPr>
          <w:rFonts w:eastAsia="Calibri" w:cs="Sylfaen"/>
          <w:b w:val="0"/>
          <w:szCs w:val="22"/>
          <w:lang w:val="hy-AM" w:eastAsia="en-US"/>
        </w:rPr>
        <w:t>361</w:t>
      </w:r>
      <w:r w:rsidRPr="007955BB">
        <w:rPr>
          <w:rFonts w:eastAsia="Calibri" w:cs="Sylfaen"/>
          <w:b w:val="0"/>
          <w:szCs w:val="22"/>
          <w:lang w:val="hy-AM" w:eastAsia="en-US"/>
        </w:rPr>
        <w:t>.</w:t>
      </w:r>
      <w:r w:rsidR="00110D7D" w:rsidRPr="00740D78">
        <w:rPr>
          <w:rFonts w:eastAsia="Calibri" w:cs="Sylfaen"/>
          <w:b w:val="0"/>
          <w:szCs w:val="22"/>
          <w:lang w:val="hy-AM" w:eastAsia="en-US"/>
        </w:rPr>
        <w:t>8</w:t>
      </w:r>
      <w:r w:rsidRPr="007955BB">
        <w:rPr>
          <w:rFonts w:eastAsia="Calibri" w:cs="Sylfaen"/>
          <w:b w:val="0"/>
          <w:szCs w:val="22"/>
          <w:lang w:val="hy-AM" w:eastAsia="en-US"/>
        </w:rPr>
        <w:t xml:space="preserve"> մլն դրամ</w:t>
      </w:r>
      <w:r w:rsidRPr="007955BB">
        <w:rPr>
          <w:b w:val="0"/>
          <w:color w:val="000000"/>
          <w:szCs w:val="22"/>
          <w:lang w:val="hy-AM" w:eastAsia="en-US"/>
        </w:rPr>
        <w:t>:</w:t>
      </w:r>
    </w:p>
    <w:p w:rsidR="003B5280" w:rsidRPr="007955BB" w:rsidRDefault="003B5280" w:rsidP="003B5280">
      <w:pPr>
        <w:spacing w:before="0" w:line="276" w:lineRule="auto"/>
        <w:ind w:firstLine="448"/>
        <w:contextualSpacing w:val="0"/>
        <w:rPr>
          <w:rFonts w:eastAsia="Calibri" w:cs="Sylfaen"/>
          <w:b w:val="0"/>
          <w:szCs w:val="22"/>
          <w:lang w:val="hy-AM" w:eastAsia="en-US"/>
        </w:rPr>
      </w:pPr>
      <w:r w:rsidRPr="007955BB">
        <w:rPr>
          <w:rFonts w:eastAsia="Calibri" w:cs="Sylfaen"/>
          <w:b w:val="0"/>
          <w:szCs w:val="22"/>
          <w:lang w:val="hy-AM" w:eastAsia="en-US"/>
        </w:rPr>
        <w:t xml:space="preserve">Ծրագրի նպատակն է ապահովել </w:t>
      </w:r>
      <w:r w:rsidR="00D35F72">
        <w:rPr>
          <w:rFonts w:eastAsia="Calibri" w:cs="Sylfaen"/>
          <w:b w:val="0"/>
          <w:szCs w:val="22"/>
          <w:lang w:val="hy-AM" w:eastAsia="en-US"/>
        </w:rPr>
        <w:t>ՀՀ</w:t>
      </w:r>
      <w:r w:rsidRPr="007955BB">
        <w:rPr>
          <w:rFonts w:eastAsia="Calibri" w:cs="Sylfaen"/>
          <w:b w:val="0"/>
          <w:szCs w:val="22"/>
          <w:lang w:val="hy-AM" w:eastAsia="en-US"/>
        </w:rPr>
        <w:t xml:space="preserve"> հեռահաղորդակցության և կապի ծառայությունների որակի կանոնակարգումն ու բարելավումը:</w:t>
      </w:r>
    </w:p>
    <w:p w:rsidR="003B5280" w:rsidRPr="007955BB" w:rsidRDefault="003B5280" w:rsidP="003B5280">
      <w:pPr>
        <w:spacing w:before="0" w:line="276" w:lineRule="auto"/>
        <w:ind w:firstLine="448"/>
        <w:contextualSpacing w:val="0"/>
        <w:rPr>
          <w:rFonts w:eastAsia="Calibri" w:cs="Sylfaen"/>
          <w:b w:val="0"/>
          <w:szCs w:val="22"/>
          <w:lang w:val="hy-AM" w:eastAsia="en-US"/>
        </w:rPr>
      </w:pPr>
      <w:r w:rsidRPr="007955BB">
        <w:rPr>
          <w:rFonts w:eastAsia="Calibri" w:cs="Sylfaen"/>
          <w:b w:val="0"/>
          <w:szCs w:val="22"/>
          <w:lang w:val="hy-AM" w:eastAsia="en-US"/>
        </w:rPr>
        <w:t xml:space="preserve">Ծրագրի շրջանակներում նախատեսվում է </w:t>
      </w:r>
      <w:r w:rsidRPr="007955BB">
        <w:rPr>
          <w:rFonts w:eastAsia="Calibri"/>
          <w:b w:val="0"/>
          <w:szCs w:val="22"/>
          <w:lang w:val="hy-AM" w:eastAsia="en-US"/>
        </w:rPr>
        <w:t xml:space="preserve">ռադիոհաճախականային տիրույթի 92 տոկոս մաքրության ապահովում, </w:t>
      </w:r>
      <w:r w:rsidRPr="007955BB">
        <w:rPr>
          <w:rFonts w:eastAsia="Calibri" w:cs="Sylfaen"/>
          <w:b w:val="0"/>
          <w:szCs w:val="22"/>
          <w:lang w:val="hy-AM" w:eastAsia="en-US"/>
        </w:rPr>
        <w:t>հեռահաղորդակ</w:t>
      </w:r>
      <w:r w:rsidRPr="007955BB">
        <w:rPr>
          <w:rFonts w:eastAsia="Calibri" w:cs="Sylfaen"/>
          <w:b w:val="0"/>
          <w:szCs w:val="22"/>
          <w:lang w:val="hy-AM" w:eastAsia="en-US"/>
        </w:rPr>
        <w:softHyphen/>
        <w:t xml:space="preserve">ցության և կապի ծառայությունների որակի կանոնակարգում ու բարելավում, ռադիոեթերի մոնիթորինգի և ազդանշանների տեխնիկական պարամետրերի չափումների անցկացում, Հանրապետական սփռման մուլտիպլեքսի արբանյակային   տարածման համար արբանյակային ունակության վարձակալում, ՀՀ-ում պետական մարմինների և ուսումնական հաստատությունների տվյալների փոխանակման կապի ապահովում և սպասարկում, ՀՀ տարածքում բազային և շարժական ռադիոմոնիտորինգի համակարգի ներդրում։ </w:t>
      </w:r>
    </w:p>
    <w:p w:rsidR="003B5280" w:rsidRPr="007955BB" w:rsidRDefault="003B5280" w:rsidP="003B5280">
      <w:pPr>
        <w:suppressAutoHyphens/>
        <w:spacing w:before="0" w:line="276" w:lineRule="auto"/>
        <w:rPr>
          <w:rFonts w:eastAsia="Calibri" w:cs="Sylfaen"/>
          <w:b w:val="0"/>
          <w:szCs w:val="22"/>
          <w:lang w:val="hy-AM" w:eastAsia="en-US"/>
        </w:rPr>
      </w:pPr>
      <w:r w:rsidRPr="007955BB">
        <w:rPr>
          <w:lang w:val="hy-AM"/>
        </w:rPr>
        <w:t xml:space="preserve">Ռազմարդյունաբերության համալիրի զարգացում </w:t>
      </w:r>
      <w:r w:rsidRPr="007955BB">
        <w:rPr>
          <w:b w:val="0"/>
          <w:lang w:val="hy-AM"/>
        </w:rPr>
        <w:t xml:space="preserve">ծրագրի գծով </w:t>
      </w:r>
      <w:r w:rsidRPr="007955BB">
        <w:rPr>
          <w:rFonts w:eastAsia="Calibri"/>
          <w:b w:val="0"/>
          <w:szCs w:val="22"/>
          <w:lang w:val="hy-AM" w:eastAsia="en-US"/>
        </w:rPr>
        <w:t>2023 թվականին նախատեսվել է հատկացնել 142.</w:t>
      </w:r>
      <w:r w:rsidR="00ED19C4" w:rsidRPr="0083096F">
        <w:rPr>
          <w:rFonts w:eastAsia="Calibri"/>
          <w:b w:val="0"/>
          <w:szCs w:val="22"/>
          <w:lang w:val="hy-AM" w:eastAsia="en-US"/>
        </w:rPr>
        <w:t>0</w:t>
      </w:r>
      <w:r w:rsidRPr="007955BB">
        <w:rPr>
          <w:rFonts w:eastAsia="Calibri" w:cs="Sylfaen"/>
          <w:b w:val="0"/>
          <w:szCs w:val="22"/>
          <w:lang w:val="hy-AM" w:eastAsia="en-US"/>
        </w:rPr>
        <w:t xml:space="preserve"> մլն դրամ՝ ռազմարդյունաբերական համալիրի կազմակերպություններին ֆինանսական աջակցության տրամադրելու նպատակով: </w:t>
      </w:r>
    </w:p>
    <w:p w:rsidR="007C51C0" w:rsidRPr="007955BB" w:rsidRDefault="007C51C0" w:rsidP="007C65A5">
      <w:pPr>
        <w:suppressAutoHyphens/>
        <w:spacing w:before="0" w:line="276" w:lineRule="auto"/>
        <w:ind w:left="2160" w:firstLine="0"/>
        <w:rPr>
          <w:rFonts w:eastAsia="Calibri"/>
          <w:b w:val="0"/>
          <w:szCs w:val="22"/>
          <w:lang w:val="hy-AM" w:eastAsia="en-US"/>
        </w:rPr>
      </w:pPr>
    </w:p>
    <w:p w:rsidR="003C0C2C" w:rsidRPr="007955BB" w:rsidRDefault="00885B84" w:rsidP="00832373">
      <w:pPr>
        <w:keepNext/>
        <w:spacing w:before="0" w:line="276" w:lineRule="auto"/>
        <w:ind w:firstLine="0"/>
        <w:contextualSpacing w:val="0"/>
        <w:jc w:val="center"/>
        <w:outlineLvl w:val="2"/>
        <w:rPr>
          <w:rFonts w:cs="Arial"/>
          <w:sz w:val="24"/>
          <w:lang w:val="hy-AM" w:eastAsia="en-US"/>
        </w:rPr>
      </w:pPr>
      <w:bookmarkStart w:id="335" w:name="_Toc120805224"/>
      <w:r w:rsidRPr="007955BB">
        <w:rPr>
          <w:rFonts w:cs="Arial"/>
          <w:sz w:val="24"/>
          <w:lang w:val="hy-AM" w:eastAsia="en-US"/>
        </w:rPr>
        <w:t>ՀՀ շրջակա միջավայրի նախարարություն</w:t>
      </w:r>
      <w:bookmarkEnd w:id="335"/>
    </w:p>
    <w:p w:rsidR="00E76006" w:rsidRPr="00E76006" w:rsidRDefault="00E76006" w:rsidP="00E76006">
      <w:pPr>
        <w:tabs>
          <w:tab w:val="left" w:pos="851"/>
        </w:tabs>
        <w:spacing w:before="0" w:line="276" w:lineRule="auto"/>
        <w:contextualSpacing w:val="0"/>
        <w:rPr>
          <w:rFonts w:eastAsia="Calibri"/>
          <w:b w:val="0"/>
          <w:szCs w:val="22"/>
          <w:lang w:val="hy-AM" w:eastAsia="en-US"/>
        </w:rPr>
      </w:pPr>
      <w:r w:rsidRPr="00E76006">
        <w:rPr>
          <w:rFonts w:eastAsia="Calibri"/>
          <w:b w:val="0"/>
          <w:szCs w:val="22"/>
          <w:lang w:val="hy-AM" w:eastAsia="en-US"/>
        </w:rPr>
        <w:t>ՀՀ շրջակա միջավայրի նախարարության գծով Նա</w:t>
      </w:r>
      <w:r w:rsidRPr="00E76006">
        <w:rPr>
          <w:rFonts w:eastAsia="Calibri"/>
          <w:b w:val="0"/>
          <w:szCs w:val="22"/>
          <w:lang w:val="hy-AM" w:eastAsia="en-US"/>
        </w:rPr>
        <w:softHyphen/>
        <w:t xml:space="preserve">խագծով նախատեսվում է հատկացնել </w:t>
      </w:r>
      <w:r w:rsidRPr="00E76006">
        <w:rPr>
          <w:rFonts w:eastAsia="Calibri" w:cs="Sylfaen"/>
          <w:b w:val="0"/>
          <w:szCs w:val="22"/>
          <w:lang w:val="af-ZA" w:eastAsia="en-US"/>
        </w:rPr>
        <w:t>8,</w:t>
      </w:r>
      <w:r w:rsidR="00B30FEB">
        <w:rPr>
          <w:rFonts w:eastAsia="Calibri" w:cs="Sylfaen"/>
          <w:b w:val="0"/>
          <w:szCs w:val="22"/>
          <w:lang w:val="af-ZA" w:eastAsia="en-US"/>
        </w:rPr>
        <w:t>6</w:t>
      </w:r>
      <w:r w:rsidRPr="00E76006">
        <w:rPr>
          <w:rFonts w:eastAsia="Calibri" w:cs="Sylfaen"/>
          <w:b w:val="0"/>
          <w:szCs w:val="22"/>
          <w:lang w:val="af-ZA" w:eastAsia="en-US"/>
        </w:rPr>
        <w:t xml:space="preserve">24.4 մլն դրամ </w:t>
      </w:r>
      <w:r w:rsidRPr="00E76006">
        <w:rPr>
          <w:rFonts w:eastAsia="Calibri"/>
          <w:b w:val="0"/>
          <w:color w:val="000000"/>
          <w:szCs w:val="22"/>
          <w:lang w:val="hy-AM" w:eastAsia="en-US"/>
        </w:rPr>
        <w:t>(ներառյալ կառավարման ապարատի պահպանման ծախսերը)</w:t>
      </w:r>
      <w:r w:rsidRPr="00E76006">
        <w:rPr>
          <w:rFonts w:eastAsia="Calibri"/>
          <w:b w:val="0"/>
          <w:szCs w:val="22"/>
          <w:lang w:val="hy-AM" w:eastAsia="en-US"/>
        </w:rPr>
        <w:t xml:space="preserve">, որի շրջանակներում նախատեսվում է իրականացնել հետևյալ ծրագրերը. </w:t>
      </w:r>
    </w:p>
    <w:p w:rsidR="00E76006" w:rsidRPr="00C43BF7" w:rsidRDefault="00E76006" w:rsidP="00E76006">
      <w:pPr>
        <w:tabs>
          <w:tab w:val="left" w:pos="851"/>
        </w:tabs>
        <w:autoSpaceDE w:val="0"/>
        <w:autoSpaceDN w:val="0"/>
        <w:adjustRightInd w:val="0"/>
        <w:spacing w:before="0" w:line="276" w:lineRule="auto"/>
        <w:contextualSpacing w:val="0"/>
        <w:rPr>
          <w:rFonts w:eastAsia="Calibri" w:cs="Sylfaen"/>
          <w:b w:val="0"/>
          <w:szCs w:val="22"/>
          <w:lang w:val="hy-AM" w:eastAsia="en-US"/>
        </w:rPr>
      </w:pPr>
      <w:r w:rsidRPr="00E76006">
        <w:rPr>
          <w:rFonts w:eastAsia="Calibri" w:cs="IRTEK Courier"/>
          <w:szCs w:val="22"/>
          <w:lang w:val="hy-AM" w:eastAsia="en-US"/>
        </w:rPr>
        <w:t>Շրջակա միջավայրի վրա ազդեցության գնահատում և մոնիթորինգ</w:t>
      </w:r>
      <w:r w:rsidRPr="00E76006">
        <w:rPr>
          <w:rFonts w:eastAsia="Calibri" w:cs="IRTEK Courier"/>
          <w:b w:val="0"/>
          <w:szCs w:val="22"/>
          <w:lang w:val="hy-AM" w:eastAsia="en-US"/>
        </w:rPr>
        <w:t xml:space="preserve"> ծ</w:t>
      </w:r>
      <w:r w:rsidRPr="00E76006">
        <w:rPr>
          <w:rFonts w:eastAsia="Calibri" w:cs="IRTEK Courier"/>
          <w:b w:val="0"/>
          <w:iCs/>
          <w:szCs w:val="22"/>
          <w:lang w:val="hy-AM" w:eastAsia="en-US"/>
        </w:rPr>
        <w:t xml:space="preserve">րագրի գծով </w:t>
      </w:r>
      <w:r w:rsidRPr="00C43BF7">
        <w:rPr>
          <w:rFonts w:eastAsia="Calibri" w:cs="Sylfaen"/>
          <w:b w:val="0"/>
          <w:szCs w:val="22"/>
          <w:lang w:val="hy-AM" w:eastAsia="en-US"/>
        </w:rPr>
        <w:t>2023 թվականին նախատեսվել է 2,103.5 մլն դրամ (ներառյալ կառավարման ապարատի պահպանման ծախսերը):</w:t>
      </w:r>
    </w:p>
    <w:p w:rsidR="00E76006" w:rsidRPr="00C43BF7" w:rsidRDefault="00E76006" w:rsidP="00E76006">
      <w:pPr>
        <w:spacing w:before="0" w:line="276" w:lineRule="auto"/>
        <w:contextualSpacing w:val="0"/>
        <w:rPr>
          <w:rFonts w:eastAsia="Calibri" w:cs="Sylfaen"/>
          <w:szCs w:val="22"/>
          <w:lang w:val="hy-AM" w:eastAsia="en-US"/>
        </w:rPr>
      </w:pPr>
      <w:r w:rsidRPr="00C43BF7">
        <w:rPr>
          <w:rFonts w:eastAsia="Calibri" w:cs="Sylfaen"/>
          <w:b w:val="0"/>
          <w:szCs w:val="22"/>
          <w:lang w:val="hy-AM" w:eastAsia="en-US"/>
        </w:rPr>
        <w:t>Ծրագրի նպատակն է նպաստել շրջակա միջավայրի և բնական ռեսուրսների (բացառությամբ օգտակար հանածոների) պահպանությանը՝ վերջինիս վերաբերյալ տեղեկատվության հրապարակմամբ:  Ծրագրի շրջանակներում նախատեսվում է երաշտների ռիսկերի նվազեցման և կլիմայական ռիսկերի արդյունավետ կառավարման նպատակով արդիականացնել «Հիդրոօդերևութաբանության և մոնիթորինգի կենտրոն» ՊՈԱԿ-ի տեխնիկական միջոցները և ձեռք բերել նոր սարքավորումներ, շրջակա միջավայրի վրա ազդեցության գնահատման նպատակով իրականացնել 200 հայտերի գնահատման, փորձաքննության և եզրակացությունների տրամադրման, 85 հայտերի տեխնիկական առաջադրանքների կազմման աշխատանքներ, հիդրոօդերևու</w:t>
      </w:r>
      <w:r w:rsidRPr="00C43BF7">
        <w:rPr>
          <w:rFonts w:eastAsia="Calibri" w:cs="Sylfaen"/>
          <w:b w:val="0"/>
          <w:szCs w:val="22"/>
          <w:lang w:val="hy-AM" w:eastAsia="en-US"/>
        </w:rPr>
        <w:softHyphen/>
        <w:t>թաբանական աշխատանքներ` մթնոլորտի և ջրոլորտի ուսումնա</w:t>
      </w:r>
      <w:r w:rsidRPr="00C43BF7">
        <w:rPr>
          <w:rFonts w:eastAsia="Calibri" w:cs="Sylfaen"/>
          <w:b w:val="0"/>
          <w:szCs w:val="22"/>
          <w:lang w:val="hy-AM" w:eastAsia="en-US"/>
        </w:rPr>
        <w:softHyphen/>
        <w:t>սիրու</w:t>
      </w:r>
      <w:r w:rsidRPr="00C43BF7">
        <w:rPr>
          <w:rFonts w:eastAsia="Calibri" w:cs="Sylfaen"/>
          <w:b w:val="0"/>
          <w:szCs w:val="22"/>
          <w:lang w:val="hy-AM" w:eastAsia="en-US"/>
        </w:rPr>
        <w:softHyphen/>
        <w:t>թյունների ձևով` շուրջ 159,856.0 օդերևութաբանական, հելիոերկրաֆիզիկական, ագրոօդերևութաբանական և 94,220.0 հիդրոլոգիական և ռադիոլոգիական դիտարկումների իրականացում, փաստացի և սպաս</w:t>
      </w:r>
      <w:r w:rsidRPr="00C43BF7">
        <w:rPr>
          <w:rFonts w:eastAsia="Calibri" w:cs="Sylfaen"/>
          <w:b w:val="0"/>
          <w:szCs w:val="22"/>
          <w:lang w:val="hy-AM" w:eastAsia="en-US"/>
        </w:rPr>
        <w:softHyphen/>
        <w:t>վող փոփոխությունների, ինչպես նաև դրանց հնարավոր հետևանքների մասին անհրա</w:t>
      </w:r>
      <w:r w:rsidRPr="00C43BF7">
        <w:rPr>
          <w:rFonts w:eastAsia="Calibri" w:cs="Sylfaen"/>
          <w:b w:val="0"/>
          <w:szCs w:val="22"/>
          <w:lang w:val="hy-AM" w:eastAsia="en-US"/>
        </w:rPr>
        <w:softHyphen/>
        <w:t>ժեշտ տեղե</w:t>
      </w:r>
      <w:r w:rsidRPr="00C43BF7">
        <w:rPr>
          <w:rFonts w:eastAsia="Calibri" w:cs="Sylfaen"/>
          <w:b w:val="0"/>
          <w:szCs w:val="22"/>
          <w:lang w:val="hy-AM" w:eastAsia="en-US"/>
        </w:rPr>
        <w:softHyphen/>
        <w:t xml:space="preserve">կատվության ապահովում և մթնոլորտային երևույթների կառավարում: </w:t>
      </w:r>
    </w:p>
    <w:p w:rsidR="00E76006" w:rsidRPr="00C43BF7" w:rsidRDefault="00E76006" w:rsidP="00E76006">
      <w:pPr>
        <w:spacing w:before="0" w:line="276" w:lineRule="auto"/>
        <w:contextualSpacing w:val="0"/>
        <w:rPr>
          <w:rFonts w:eastAsia="Calibri" w:cs="Sylfaen"/>
          <w:szCs w:val="22"/>
          <w:lang w:val="hy-AM" w:eastAsia="en-US"/>
        </w:rPr>
      </w:pPr>
      <w:r w:rsidRPr="00C43BF7">
        <w:rPr>
          <w:rFonts w:eastAsia="Calibri" w:cs="Sylfaen"/>
          <w:b w:val="0"/>
          <w:szCs w:val="22"/>
          <w:lang w:val="hy-AM" w:eastAsia="en-US"/>
        </w:rPr>
        <w:t>Բացի այդ կլիմայի փոփոխության բացասական հետևանքներին դիմակայելու նպատակով իրականացվում են մի շարք ծրագրեր՝ Կանաչ Կլիմայի Հիմնադրամի (GCF) աջակցությամբ CO2 ջերմոցային գազերի արտանետումների նվազեցման, էներգիայի սպառման և ֆինանսական միջոցների խնայողության նպատակով «Շենքերի ոլորտում Չափողականություն, հաշվետվողականություն և հավաստագրում համակարգի ստեղծում և գիտելիքների կառավարում» և Գլոբալ էկոլոգիական Հիմնադրամի (GEF) աջակցությամբ CO2 ջերմոցային գազերի կրճատում, էլեկտրական տրանսպորտային միջոցների ներդրում «Անցում էլեկտրական շարժունակությանը Հայաստանում» միջոցառումների շրջանակներում:</w:t>
      </w:r>
    </w:p>
    <w:p w:rsidR="00E76006" w:rsidRPr="00C43BF7" w:rsidRDefault="00E76006" w:rsidP="00E76006">
      <w:pPr>
        <w:tabs>
          <w:tab w:val="left" w:pos="851"/>
        </w:tabs>
        <w:autoSpaceDE w:val="0"/>
        <w:autoSpaceDN w:val="0"/>
        <w:adjustRightInd w:val="0"/>
        <w:spacing w:before="0" w:line="276" w:lineRule="auto"/>
        <w:contextualSpacing w:val="0"/>
        <w:rPr>
          <w:rFonts w:eastAsia="Calibri" w:cs="Sylfaen"/>
          <w:b w:val="0"/>
          <w:szCs w:val="22"/>
          <w:lang w:val="hy-AM" w:eastAsia="en-US"/>
        </w:rPr>
      </w:pPr>
      <w:r w:rsidRPr="00E76006">
        <w:rPr>
          <w:rFonts w:eastAsia="Calibri" w:cs="IRTEK Courier"/>
          <w:szCs w:val="22"/>
          <w:lang w:val="hy-AM" w:eastAsia="en-US"/>
        </w:rPr>
        <w:t>Բնապահպանական ծրագրերի իրականացում համայնքներում</w:t>
      </w:r>
      <w:r w:rsidRPr="00E76006">
        <w:rPr>
          <w:rFonts w:eastAsia="Calibri" w:cs="IRTEK Courier"/>
          <w:b w:val="0"/>
          <w:szCs w:val="22"/>
          <w:lang w:val="hy-AM" w:eastAsia="en-US"/>
        </w:rPr>
        <w:t xml:space="preserve"> ծրագրի </w:t>
      </w:r>
      <w:r w:rsidRPr="00C43BF7">
        <w:rPr>
          <w:rFonts w:eastAsia="Calibri" w:cs="IRTEK Courier"/>
          <w:b w:val="0"/>
          <w:iCs/>
          <w:szCs w:val="22"/>
          <w:lang w:val="hy-AM" w:eastAsia="en-US"/>
        </w:rPr>
        <w:t xml:space="preserve">գծով </w:t>
      </w:r>
      <w:r w:rsidRPr="00C43BF7">
        <w:rPr>
          <w:rFonts w:eastAsia="Calibri" w:cs="Sylfaen"/>
          <w:b w:val="0"/>
          <w:szCs w:val="22"/>
          <w:lang w:val="hy-AM" w:eastAsia="en-US"/>
        </w:rPr>
        <w:t>2023 թվականին նախատեսվել է 602.4 մլն դրամ</w:t>
      </w:r>
      <w:r w:rsidRPr="00C43BF7">
        <w:rPr>
          <w:rFonts w:eastAsia="Calibri" w:cs="Calibri"/>
          <w:b w:val="0"/>
          <w:szCs w:val="22"/>
          <w:lang w:val="hy-AM" w:eastAsia="en-US"/>
        </w:rPr>
        <w:t>:</w:t>
      </w:r>
    </w:p>
    <w:p w:rsidR="00E76006" w:rsidRPr="00E76006" w:rsidRDefault="00E76006" w:rsidP="00E76006">
      <w:pPr>
        <w:tabs>
          <w:tab w:val="left" w:pos="851"/>
        </w:tabs>
        <w:autoSpaceDE w:val="0"/>
        <w:autoSpaceDN w:val="0"/>
        <w:adjustRightInd w:val="0"/>
        <w:spacing w:before="0" w:line="276" w:lineRule="auto"/>
        <w:contextualSpacing w:val="0"/>
        <w:rPr>
          <w:rFonts w:eastAsia="Calibri" w:cs="Sylfaen"/>
          <w:b w:val="0"/>
          <w:szCs w:val="22"/>
          <w:lang w:val="hy-AM" w:eastAsia="en-US"/>
        </w:rPr>
      </w:pPr>
      <w:r w:rsidRPr="00C43BF7">
        <w:rPr>
          <w:rFonts w:eastAsia="Calibri" w:cs="Sylfaen"/>
          <w:b w:val="0"/>
          <w:szCs w:val="22"/>
          <w:lang w:val="hy-AM" w:eastAsia="en-US"/>
        </w:rPr>
        <w:t xml:space="preserve">Ծրագրի նպատակն է մեղմել հանքարդյունաբերության ոլորտում տնտեսական գործունեության հետևանքով շրջակա միջավայրին և բնակչության առողջությանը պատճառված վնասները: Նախատեսվում է </w:t>
      </w:r>
      <w:r w:rsidRPr="00E76006">
        <w:rPr>
          <w:rFonts w:eastAsia="Calibri" w:cs="Sylfaen"/>
          <w:b w:val="0"/>
          <w:szCs w:val="22"/>
          <w:lang w:val="hy-AM" w:eastAsia="en-US"/>
        </w:rPr>
        <w:t>«Ընկերությունների կողմից վճարվող բնապահպանական հարկի նպատակային օգտագործման մասին» ՀՀ օրենքի համաձայն ՀՀ թվով 9 համայնքների տրամադրե</w:t>
      </w:r>
      <w:r w:rsidRPr="00C43BF7">
        <w:rPr>
          <w:rFonts w:eastAsia="Calibri" w:cs="Sylfaen"/>
          <w:b w:val="0"/>
          <w:szCs w:val="22"/>
          <w:lang w:val="hy-AM" w:eastAsia="en-US"/>
        </w:rPr>
        <w:t>լ</w:t>
      </w:r>
      <w:r w:rsidRPr="00E76006">
        <w:rPr>
          <w:rFonts w:eastAsia="Calibri" w:cs="Sylfaen"/>
          <w:b w:val="0"/>
          <w:szCs w:val="22"/>
          <w:lang w:val="hy-AM" w:eastAsia="en-US"/>
        </w:rPr>
        <w:t xml:space="preserve"> սուբվենցիաներ</w:t>
      </w:r>
      <w:r w:rsidRPr="00C43BF7">
        <w:rPr>
          <w:rFonts w:eastAsia="Calibri" w:cs="Sylfaen"/>
          <w:b w:val="0"/>
          <w:szCs w:val="22"/>
          <w:lang w:val="hy-AM" w:eastAsia="en-US"/>
        </w:rPr>
        <w:t>՝</w:t>
      </w:r>
      <w:r w:rsidRPr="00E76006">
        <w:rPr>
          <w:rFonts w:eastAsia="Calibri" w:cs="Sylfaen"/>
          <w:b w:val="0"/>
          <w:szCs w:val="22"/>
          <w:lang w:val="hy-AM" w:eastAsia="en-US"/>
        </w:rPr>
        <w:t xml:space="preserve"> բնապահպանական ծրագրերի իրականացման համար:</w:t>
      </w:r>
    </w:p>
    <w:p w:rsidR="00E76006" w:rsidRPr="00E76006" w:rsidRDefault="00E76006" w:rsidP="00E76006">
      <w:pPr>
        <w:spacing w:before="0" w:line="276" w:lineRule="auto"/>
        <w:contextualSpacing w:val="0"/>
        <w:rPr>
          <w:rFonts w:eastAsia="Calibri" w:cs="Sylfaen"/>
          <w:b w:val="0"/>
          <w:szCs w:val="22"/>
          <w:lang w:val="hy-AM" w:eastAsia="en-US"/>
        </w:rPr>
      </w:pPr>
      <w:r w:rsidRPr="00E76006">
        <w:rPr>
          <w:rFonts w:eastAsia="Calibri" w:cs="Sylfaen"/>
          <w:szCs w:val="22"/>
          <w:lang w:val="hy-AM" w:eastAsia="en-US"/>
        </w:rPr>
        <w:t>Բնական պաշարների և բնության հատուկ պահպանվող տարածքների կառավարում և պահպանում</w:t>
      </w:r>
      <w:r w:rsidRPr="00E76006">
        <w:rPr>
          <w:rFonts w:eastAsia="Calibri" w:cs="Sylfaen"/>
          <w:b w:val="0"/>
          <w:szCs w:val="22"/>
          <w:lang w:val="hy-AM" w:eastAsia="en-US"/>
        </w:rPr>
        <w:t xml:space="preserve"> ծրագրի գծով 2023 թվականին նախատեսվել է 1,</w:t>
      </w:r>
      <w:r w:rsidR="00B30FEB" w:rsidRPr="003F238B">
        <w:rPr>
          <w:rFonts w:eastAsia="Calibri" w:cs="Sylfaen"/>
          <w:b w:val="0"/>
          <w:szCs w:val="22"/>
          <w:lang w:val="hy-AM" w:eastAsia="en-US"/>
        </w:rPr>
        <w:t>5</w:t>
      </w:r>
      <w:r w:rsidRPr="00E76006">
        <w:rPr>
          <w:rFonts w:eastAsia="Calibri" w:cs="Sylfaen"/>
          <w:b w:val="0"/>
          <w:szCs w:val="22"/>
          <w:lang w:val="hy-AM" w:eastAsia="en-US"/>
        </w:rPr>
        <w:t>88.5</w:t>
      </w:r>
      <w:r w:rsidRPr="00E76006">
        <w:rPr>
          <w:rFonts w:eastAsia="Calibri" w:cs="Sylfaen"/>
          <w:b w:val="0"/>
          <w:szCs w:val="22"/>
          <w:lang w:val="af-ZA" w:eastAsia="en-US"/>
        </w:rPr>
        <w:t xml:space="preserve"> </w:t>
      </w:r>
      <w:r w:rsidRPr="00E76006">
        <w:rPr>
          <w:rFonts w:eastAsia="Calibri" w:cs="Sylfaen"/>
          <w:b w:val="0"/>
          <w:szCs w:val="22"/>
          <w:lang w:val="hy-AM" w:eastAsia="en-US"/>
        </w:rPr>
        <w:t>մլն</w:t>
      </w:r>
      <w:r w:rsidRPr="00E76006">
        <w:rPr>
          <w:rFonts w:eastAsia="Calibri" w:cs="Sylfaen"/>
          <w:b w:val="0"/>
          <w:szCs w:val="22"/>
          <w:lang w:val="af-ZA" w:eastAsia="en-US"/>
        </w:rPr>
        <w:t xml:space="preserve"> </w:t>
      </w:r>
      <w:r w:rsidRPr="00E76006">
        <w:rPr>
          <w:rFonts w:eastAsia="Calibri" w:cs="Sylfaen"/>
          <w:b w:val="0"/>
          <w:szCs w:val="22"/>
          <w:lang w:val="hy-AM" w:eastAsia="en-US"/>
        </w:rPr>
        <w:t>դրամ:</w:t>
      </w:r>
    </w:p>
    <w:p w:rsidR="00E76006" w:rsidRPr="00E76006" w:rsidRDefault="00E76006" w:rsidP="00E76006">
      <w:pPr>
        <w:spacing w:before="0" w:line="276" w:lineRule="auto"/>
        <w:contextualSpacing w:val="0"/>
        <w:rPr>
          <w:rFonts w:eastAsia="Calibri" w:cs="Sylfaen"/>
          <w:b w:val="0"/>
          <w:szCs w:val="22"/>
          <w:lang w:val="hy-AM" w:eastAsia="en-US"/>
        </w:rPr>
      </w:pPr>
      <w:r w:rsidRPr="00E76006">
        <w:rPr>
          <w:rFonts w:eastAsia="Calibri" w:cs="Sylfaen"/>
          <w:b w:val="0"/>
          <w:szCs w:val="22"/>
          <w:lang w:val="hy-AM" w:eastAsia="en-US"/>
        </w:rPr>
        <w:t>Ծրագրի նպատակն է ապահովել բնական պաշարների և կենսաբազմազանության արդյունավետ կառավարումն ու պահպանությունը՝ ակնկալելով ապահովել բնական պաշարների և կենսաբազմազանության վերարտադրության աճը: Ծրագրի շրջանակներում նախատեսվում է մաքրել</w:t>
      </w:r>
      <w:r w:rsidRPr="00E76006">
        <w:rPr>
          <w:rFonts w:eastAsia="Calibri" w:cs="Sylfaen"/>
          <w:b w:val="0"/>
          <w:szCs w:val="22"/>
          <w:lang w:val="af-ZA" w:eastAsia="en-US"/>
        </w:rPr>
        <w:t xml:space="preserve"> </w:t>
      </w:r>
      <w:r w:rsidRPr="00E76006">
        <w:rPr>
          <w:rFonts w:eastAsia="Calibri" w:cs="Sylfaen"/>
          <w:b w:val="0"/>
          <w:szCs w:val="22"/>
          <w:lang w:val="hy-AM" w:eastAsia="en-US"/>
        </w:rPr>
        <w:t>Սևանա</w:t>
      </w:r>
      <w:r w:rsidRPr="00E76006">
        <w:rPr>
          <w:rFonts w:eastAsia="Calibri" w:cs="Sylfaen"/>
          <w:b w:val="0"/>
          <w:szCs w:val="22"/>
          <w:lang w:val="af-ZA" w:eastAsia="en-US"/>
        </w:rPr>
        <w:t xml:space="preserve"> </w:t>
      </w:r>
      <w:r w:rsidRPr="00E76006">
        <w:rPr>
          <w:rFonts w:eastAsia="Calibri" w:cs="Sylfaen"/>
          <w:b w:val="0"/>
          <w:szCs w:val="22"/>
          <w:lang w:val="hy-AM" w:eastAsia="en-US"/>
        </w:rPr>
        <w:t>լճի</w:t>
      </w:r>
      <w:r w:rsidRPr="00E76006">
        <w:rPr>
          <w:rFonts w:eastAsia="Calibri" w:cs="Sylfaen"/>
          <w:b w:val="0"/>
          <w:szCs w:val="22"/>
          <w:lang w:val="af-ZA" w:eastAsia="en-US"/>
        </w:rPr>
        <w:t xml:space="preserve"> </w:t>
      </w:r>
      <w:r w:rsidRPr="00E76006">
        <w:rPr>
          <w:rFonts w:eastAsia="Calibri" w:cs="Sylfaen"/>
          <w:b w:val="0"/>
          <w:szCs w:val="22"/>
          <w:lang w:val="hy-AM" w:eastAsia="en-US"/>
        </w:rPr>
        <w:t>շրջակայքի</w:t>
      </w:r>
      <w:r w:rsidRPr="00E76006">
        <w:rPr>
          <w:rFonts w:eastAsia="Calibri" w:cs="Sylfaen"/>
          <w:b w:val="0"/>
          <w:szCs w:val="22"/>
          <w:lang w:val="af-ZA" w:eastAsia="en-US"/>
        </w:rPr>
        <w:t xml:space="preserve"> </w:t>
      </w:r>
      <w:r w:rsidRPr="00E76006">
        <w:rPr>
          <w:rFonts w:eastAsia="Calibri" w:cs="Sylfaen"/>
          <w:b w:val="0"/>
          <w:szCs w:val="22"/>
          <w:lang w:val="hy-AM" w:eastAsia="en-US"/>
        </w:rPr>
        <w:t>244</w:t>
      </w:r>
      <w:r w:rsidRPr="00E76006">
        <w:rPr>
          <w:rFonts w:eastAsia="Calibri" w:cs="Sylfaen"/>
          <w:b w:val="0"/>
          <w:szCs w:val="22"/>
          <w:lang w:val="af-ZA" w:eastAsia="en-US"/>
        </w:rPr>
        <w:t xml:space="preserve"> </w:t>
      </w:r>
      <w:r w:rsidRPr="00E76006">
        <w:rPr>
          <w:rFonts w:eastAsia="Calibri" w:cs="Sylfaen"/>
          <w:b w:val="0"/>
          <w:szCs w:val="22"/>
          <w:lang w:val="hy-AM" w:eastAsia="en-US"/>
        </w:rPr>
        <w:t>հա</w:t>
      </w:r>
      <w:r w:rsidRPr="00E76006">
        <w:rPr>
          <w:rFonts w:eastAsia="Calibri" w:cs="Sylfaen"/>
          <w:b w:val="0"/>
          <w:szCs w:val="22"/>
          <w:lang w:val="af-ZA" w:eastAsia="en-US"/>
        </w:rPr>
        <w:t xml:space="preserve"> </w:t>
      </w:r>
      <w:r w:rsidRPr="00E76006">
        <w:rPr>
          <w:rFonts w:eastAsia="Calibri" w:cs="Sylfaen"/>
          <w:b w:val="0"/>
          <w:szCs w:val="22"/>
          <w:lang w:val="hy-AM" w:eastAsia="en-US"/>
        </w:rPr>
        <w:t>ջրածածկ</w:t>
      </w:r>
      <w:r w:rsidRPr="00E76006">
        <w:rPr>
          <w:rFonts w:eastAsia="Calibri" w:cs="Sylfaen"/>
          <w:b w:val="0"/>
          <w:szCs w:val="22"/>
          <w:lang w:val="af-ZA" w:eastAsia="en-US"/>
        </w:rPr>
        <w:t xml:space="preserve"> </w:t>
      </w:r>
      <w:r w:rsidRPr="00E76006">
        <w:rPr>
          <w:rFonts w:eastAsia="Calibri" w:cs="Sylfaen"/>
          <w:b w:val="0"/>
          <w:szCs w:val="22"/>
          <w:lang w:val="hy-AM" w:eastAsia="en-US"/>
        </w:rPr>
        <w:t xml:space="preserve">անտառտնկարկներ, ձեռք բերել Սևանա լիճ թափվող գետերի մաքրման աշխատանքների կատարման նախագծանախահաշվային փաստաթղթեր, ընդերքօգտագործման թափոնների լքված, տիրազուրկ տեղամասերի և օբյեկտների ռեկուլտիվացիայի համար մշակել նախագծային փաթեթներ, </w:t>
      </w:r>
      <w:r w:rsidRPr="00E76006">
        <w:rPr>
          <w:rFonts w:eastAsia="Calibri"/>
          <w:b w:val="0"/>
          <w:szCs w:val="22"/>
          <w:lang w:val="hy-AM" w:eastAsia="en-US"/>
        </w:rPr>
        <w:t xml:space="preserve">իրականացնել Uևանա լճի ջրահավաք ավազանի կենդանական ռեuուրuների (ձկան և խեցգետնի) պաշարների հաշվառման, </w:t>
      </w:r>
      <w:r w:rsidRPr="00E76006">
        <w:rPr>
          <w:rFonts w:eastAsia="Calibri" w:cs="IRTEK Courier"/>
          <w:b w:val="0"/>
          <w:szCs w:val="22"/>
          <w:lang w:val="pt-BR" w:eastAsia="en-US"/>
        </w:rPr>
        <w:t xml:space="preserve">«Սևան», «Դիլիջան», «Արևիկ» և «Արփի լիճ» ազգային պարկերում, «Խոսրովի անտառ» և «Շիկահող» պետական արգելոցներում, «Սոսու պուրակ», «Զանգեզուր» և «Զիկատար» արգելավայրերում, ինչպես նաև «Արգելոցապարկային համալիր» ՊՈԱԿ-ի տնօրինության ներքո գտնվող բնության հատուկ պահպանվող 328.1 հազ. հա տարածքների պահպանման, Սևանա լճի տարածքում գտնվող 3 հանրային լողափերի սպասարկման և պահպանման աշխատանքներ, ինչպես նաև իրականացնել </w:t>
      </w:r>
      <w:r w:rsidRPr="00E76006">
        <w:rPr>
          <w:rFonts w:eastAsia="Calibri" w:cs="IRTEK Courier"/>
          <w:b w:val="0"/>
          <w:szCs w:val="22"/>
          <w:lang w:val="hy-AM" w:eastAsia="en-US"/>
        </w:rPr>
        <w:t>որսի օբյեկտ հանդիսացող կենդանիների հաշվառում, որը</w:t>
      </w:r>
      <w:r w:rsidRPr="00E76006">
        <w:rPr>
          <w:rFonts w:eastAsia="Calibri"/>
          <w:b w:val="0"/>
          <w:szCs w:val="22"/>
          <w:lang w:val="hy-AM" w:eastAsia="en-US"/>
        </w:rPr>
        <w:t xml:space="preserve"> </w:t>
      </w:r>
      <w:r w:rsidRPr="00E76006">
        <w:rPr>
          <w:rFonts w:eastAsia="Calibri" w:cs="IRTEK Courier"/>
          <w:b w:val="0"/>
          <w:szCs w:val="22"/>
          <w:lang w:val="hy-AM" w:eastAsia="en-US"/>
        </w:rPr>
        <w:t xml:space="preserve">հնարավորություն կնձեռնի սահմանել  որսի կենդանիների տարեկան օգտագործման թույլատրելի չափաքանակներն ու որսի ժամկետները: </w:t>
      </w:r>
    </w:p>
    <w:p w:rsidR="00E76006" w:rsidRPr="00E76006" w:rsidRDefault="00E76006" w:rsidP="00E76006">
      <w:pPr>
        <w:spacing w:before="0" w:line="276" w:lineRule="auto"/>
        <w:contextualSpacing w:val="0"/>
        <w:rPr>
          <w:rFonts w:eastAsia="Calibri" w:cs="Sylfaen"/>
          <w:b w:val="0"/>
          <w:szCs w:val="22"/>
          <w:lang w:val="hy-AM" w:eastAsia="en-US"/>
        </w:rPr>
      </w:pPr>
      <w:r w:rsidRPr="00E76006">
        <w:rPr>
          <w:rFonts w:eastAsia="Calibri" w:cs="Sylfaen"/>
          <w:szCs w:val="22"/>
          <w:lang w:val="hy-AM" w:eastAsia="en-US"/>
        </w:rPr>
        <w:t>Անտառների կառավարում</w:t>
      </w:r>
      <w:r w:rsidRPr="00E76006">
        <w:rPr>
          <w:rFonts w:eastAsia="Calibri" w:cs="Sylfaen"/>
          <w:b w:val="0"/>
          <w:szCs w:val="22"/>
          <w:lang w:val="hy-AM" w:eastAsia="en-US"/>
        </w:rPr>
        <w:t xml:space="preserve"> ծրագրի գծով 2023 թվականին նախատեսվել է 2,679.8 մլն դրամ: </w:t>
      </w:r>
    </w:p>
    <w:p w:rsidR="00E76006" w:rsidRPr="00E76006" w:rsidRDefault="00E76006" w:rsidP="00E76006">
      <w:pPr>
        <w:spacing w:before="0" w:line="276" w:lineRule="auto"/>
        <w:contextualSpacing w:val="0"/>
        <w:rPr>
          <w:rFonts w:eastAsia="Calibri" w:cs="Sylfaen"/>
          <w:b w:val="0"/>
          <w:szCs w:val="22"/>
          <w:lang w:val="hy-AM" w:eastAsia="en-US"/>
        </w:rPr>
      </w:pPr>
      <w:r w:rsidRPr="00E76006">
        <w:rPr>
          <w:rFonts w:eastAsia="Calibri" w:cs="Sylfaen"/>
          <w:b w:val="0"/>
          <w:szCs w:val="22"/>
          <w:lang w:val="hy-AM" w:eastAsia="en-US"/>
        </w:rPr>
        <w:t>Ծրագրի նպատակն է ապահովել անտառային տարածքների կայուն կառավարումը՝ նպաստելով կայուն կառավարվող անտառային տարածքների աճին: Ծրագրի շրջանակներում նախատեսվում է իրականացնել «</w:t>
      </w:r>
      <w:r w:rsidRPr="00E76006">
        <w:rPr>
          <w:rFonts w:eastAsia="Calibri"/>
          <w:b w:val="0"/>
          <w:szCs w:val="22"/>
          <w:lang w:val="hy-AM" w:eastAsia="en-US"/>
        </w:rPr>
        <w:t>Հայանտառ</w:t>
      </w:r>
      <w:r w:rsidRPr="00E76006">
        <w:rPr>
          <w:rFonts w:eastAsia="Calibri"/>
          <w:b w:val="0"/>
          <w:szCs w:val="22"/>
          <w:lang w:val="af-ZA" w:eastAsia="en-US"/>
        </w:rPr>
        <w:t xml:space="preserve">» </w:t>
      </w:r>
      <w:r w:rsidRPr="00E76006">
        <w:rPr>
          <w:rFonts w:eastAsia="Calibri"/>
          <w:b w:val="0"/>
          <w:szCs w:val="22"/>
          <w:lang w:val="hy-AM" w:eastAsia="en-US"/>
        </w:rPr>
        <w:t>ՊՈԱԿ</w:t>
      </w:r>
      <w:r w:rsidRPr="00E76006">
        <w:rPr>
          <w:rFonts w:eastAsia="Calibri"/>
          <w:b w:val="0"/>
          <w:szCs w:val="22"/>
          <w:lang w:val="af-ZA" w:eastAsia="en-US"/>
        </w:rPr>
        <w:t>-</w:t>
      </w:r>
      <w:r w:rsidRPr="00E76006">
        <w:rPr>
          <w:rFonts w:eastAsia="Calibri"/>
          <w:b w:val="0"/>
          <w:szCs w:val="22"/>
          <w:lang w:val="hy-AM" w:eastAsia="en-US"/>
        </w:rPr>
        <w:t>ի</w:t>
      </w:r>
      <w:r w:rsidRPr="00E76006">
        <w:rPr>
          <w:rFonts w:eastAsia="Calibri"/>
          <w:b w:val="0"/>
          <w:szCs w:val="22"/>
          <w:lang w:val="af-ZA" w:eastAsia="en-US"/>
        </w:rPr>
        <w:t xml:space="preserve"> </w:t>
      </w:r>
      <w:r w:rsidRPr="00E76006">
        <w:rPr>
          <w:rFonts w:eastAsia="Calibri"/>
          <w:b w:val="0"/>
          <w:szCs w:val="22"/>
          <w:lang w:val="hy-AM" w:eastAsia="en-US"/>
        </w:rPr>
        <w:t>իրավասության</w:t>
      </w:r>
      <w:r w:rsidRPr="00E76006">
        <w:rPr>
          <w:rFonts w:eastAsia="Calibri"/>
          <w:b w:val="0"/>
          <w:szCs w:val="22"/>
          <w:lang w:val="af-ZA" w:eastAsia="en-US"/>
        </w:rPr>
        <w:t xml:space="preserve"> </w:t>
      </w:r>
      <w:r w:rsidRPr="00E76006">
        <w:rPr>
          <w:rFonts w:eastAsia="Calibri"/>
          <w:b w:val="0"/>
          <w:szCs w:val="22"/>
          <w:lang w:val="hy-AM" w:eastAsia="en-US"/>
        </w:rPr>
        <w:t>ներքո</w:t>
      </w:r>
      <w:r w:rsidRPr="00E76006">
        <w:rPr>
          <w:rFonts w:eastAsia="Calibri"/>
          <w:b w:val="0"/>
          <w:szCs w:val="22"/>
          <w:lang w:val="af-ZA" w:eastAsia="en-US"/>
        </w:rPr>
        <w:t xml:space="preserve"> </w:t>
      </w:r>
      <w:r w:rsidRPr="00E76006">
        <w:rPr>
          <w:rFonts w:eastAsia="Calibri"/>
          <w:b w:val="0"/>
          <w:szCs w:val="22"/>
          <w:lang w:val="hy-AM" w:eastAsia="en-US"/>
        </w:rPr>
        <w:t>գտնվող</w:t>
      </w:r>
      <w:r w:rsidRPr="00E76006">
        <w:rPr>
          <w:rFonts w:eastAsia="Calibri"/>
          <w:b w:val="0"/>
          <w:szCs w:val="22"/>
          <w:lang w:val="af-ZA" w:eastAsia="en-US"/>
        </w:rPr>
        <w:t xml:space="preserve"> </w:t>
      </w:r>
      <w:r w:rsidRPr="00E76006">
        <w:rPr>
          <w:rFonts w:eastAsia="Calibri"/>
          <w:b w:val="0"/>
          <w:szCs w:val="22"/>
          <w:lang w:val="hy-AM" w:eastAsia="en-US"/>
        </w:rPr>
        <w:t>անտառային</w:t>
      </w:r>
      <w:r w:rsidRPr="00E76006">
        <w:rPr>
          <w:rFonts w:eastAsia="Calibri"/>
          <w:b w:val="0"/>
          <w:szCs w:val="22"/>
          <w:lang w:val="af-ZA" w:eastAsia="en-US"/>
        </w:rPr>
        <w:t xml:space="preserve"> 342,400.0 </w:t>
      </w:r>
      <w:r w:rsidRPr="00E76006">
        <w:rPr>
          <w:rFonts w:eastAsia="Calibri"/>
          <w:b w:val="0"/>
          <w:szCs w:val="22"/>
          <w:lang w:val="hy-AM" w:eastAsia="en-US"/>
        </w:rPr>
        <w:t>հա</w:t>
      </w:r>
      <w:r w:rsidRPr="00E76006">
        <w:rPr>
          <w:rFonts w:eastAsia="Calibri"/>
          <w:b w:val="0"/>
          <w:szCs w:val="22"/>
          <w:lang w:val="af-ZA" w:eastAsia="en-US"/>
        </w:rPr>
        <w:t xml:space="preserve"> </w:t>
      </w:r>
      <w:r w:rsidRPr="00E76006">
        <w:rPr>
          <w:rFonts w:eastAsia="Calibri"/>
          <w:b w:val="0"/>
          <w:szCs w:val="22"/>
          <w:lang w:val="hy-AM" w:eastAsia="en-US"/>
        </w:rPr>
        <w:t>տարածքների</w:t>
      </w:r>
      <w:r w:rsidRPr="00E76006">
        <w:rPr>
          <w:rFonts w:eastAsia="Calibri"/>
          <w:b w:val="0"/>
          <w:szCs w:val="22"/>
          <w:lang w:val="af-ZA" w:eastAsia="en-US"/>
        </w:rPr>
        <w:t xml:space="preserve"> </w:t>
      </w:r>
      <w:r w:rsidRPr="00E76006">
        <w:rPr>
          <w:rFonts w:eastAsia="Calibri"/>
          <w:b w:val="0"/>
          <w:szCs w:val="22"/>
          <w:lang w:val="hy-AM" w:eastAsia="en-US"/>
        </w:rPr>
        <w:t xml:space="preserve">պահպանում, </w:t>
      </w:r>
      <w:r w:rsidRPr="00E76006">
        <w:rPr>
          <w:rFonts w:eastAsia="Calibri"/>
          <w:b w:val="0"/>
          <w:szCs w:val="22"/>
          <w:lang w:val="af-ZA" w:eastAsia="en-US"/>
        </w:rPr>
        <w:t>«</w:t>
      </w:r>
      <w:r w:rsidRPr="00E76006">
        <w:rPr>
          <w:rFonts w:eastAsia="Calibri"/>
          <w:b w:val="0"/>
          <w:szCs w:val="22"/>
          <w:lang w:val="hy-AM" w:eastAsia="en-US"/>
        </w:rPr>
        <w:t>Հայանտառ</w:t>
      </w:r>
      <w:r w:rsidRPr="00E76006">
        <w:rPr>
          <w:rFonts w:eastAsia="Calibri"/>
          <w:b w:val="0"/>
          <w:szCs w:val="22"/>
          <w:lang w:val="af-ZA" w:eastAsia="en-US"/>
        </w:rPr>
        <w:t xml:space="preserve">» </w:t>
      </w:r>
      <w:r w:rsidRPr="00E76006">
        <w:rPr>
          <w:rFonts w:eastAsia="Calibri"/>
          <w:b w:val="0"/>
          <w:szCs w:val="22"/>
          <w:lang w:val="hy-AM" w:eastAsia="en-US"/>
        </w:rPr>
        <w:t>ՊՈԱԿ</w:t>
      </w:r>
      <w:r w:rsidRPr="00E76006">
        <w:rPr>
          <w:rFonts w:eastAsia="Calibri"/>
          <w:b w:val="0"/>
          <w:szCs w:val="22"/>
          <w:lang w:val="af-ZA" w:eastAsia="en-US"/>
        </w:rPr>
        <w:t>-</w:t>
      </w:r>
      <w:r w:rsidRPr="00E76006">
        <w:rPr>
          <w:rFonts w:eastAsia="Calibri"/>
          <w:b w:val="0"/>
          <w:szCs w:val="22"/>
          <w:lang w:val="hy-AM" w:eastAsia="en-US"/>
        </w:rPr>
        <w:t>ի</w:t>
      </w:r>
      <w:r w:rsidRPr="00E76006">
        <w:rPr>
          <w:rFonts w:eastAsia="Calibri"/>
          <w:b w:val="0"/>
          <w:szCs w:val="22"/>
          <w:lang w:val="af-ZA" w:eastAsia="en-US"/>
        </w:rPr>
        <w:t xml:space="preserve"> </w:t>
      </w:r>
      <w:r w:rsidRPr="00E76006">
        <w:rPr>
          <w:rFonts w:eastAsia="Calibri"/>
          <w:b w:val="0"/>
          <w:szCs w:val="22"/>
          <w:lang w:val="hy-AM" w:eastAsia="en-US"/>
        </w:rPr>
        <w:t>մասնաճյուղերի</w:t>
      </w:r>
      <w:r w:rsidRPr="00E76006">
        <w:rPr>
          <w:rFonts w:eastAsia="Calibri"/>
          <w:b w:val="0"/>
          <w:szCs w:val="22"/>
          <w:lang w:val="af-ZA" w:eastAsia="en-US"/>
        </w:rPr>
        <w:t xml:space="preserve"> </w:t>
      </w:r>
      <w:r w:rsidRPr="00E76006">
        <w:rPr>
          <w:rFonts w:eastAsia="Calibri"/>
          <w:b w:val="0"/>
          <w:szCs w:val="22"/>
          <w:lang w:val="hy-AM" w:eastAsia="en-US"/>
        </w:rPr>
        <w:t>անտառածածկ</w:t>
      </w:r>
      <w:r w:rsidRPr="00E76006">
        <w:rPr>
          <w:rFonts w:eastAsia="Calibri"/>
          <w:b w:val="0"/>
          <w:szCs w:val="22"/>
          <w:lang w:val="af-ZA" w:eastAsia="en-US"/>
        </w:rPr>
        <w:t xml:space="preserve"> 9000 </w:t>
      </w:r>
      <w:r w:rsidRPr="00E76006">
        <w:rPr>
          <w:rFonts w:eastAsia="Calibri"/>
          <w:b w:val="0"/>
          <w:szCs w:val="22"/>
          <w:lang w:val="hy-AM" w:eastAsia="en-US"/>
        </w:rPr>
        <w:t>հա</w:t>
      </w:r>
      <w:r w:rsidRPr="00E76006">
        <w:rPr>
          <w:rFonts w:eastAsia="Calibri"/>
          <w:b w:val="0"/>
          <w:szCs w:val="22"/>
          <w:lang w:val="af-ZA" w:eastAsia="en-US"/>
        </w:rPr>
        <w:t xml:space="preserve"> </w:t>
      </w:r>
      <w:r w:rsidRPr="00E76006">
        <w:rPr>
          <w:rFonts w:eastAsia="Calibri"/>
          <w:b w:val="0"/>
          <w:szCs w:val="22"/>
          <w:lang w:val="hy-AM" w:eastAsia="en-US"/>
        </w:rPr>
        <w:t>տարածքում վնասատուների</w:t>
      </w:r>
      <w:r w:rsidRPr="00E76006">
        <w:rPr>
          <w:rFonts w:eastAsia="Calibri"/>
          <w:b w:val="0"/>
          <w:szCs w:val="22"/>
          <w:lang w:val="af-ZA" w:eastAsia="en-US"/>
        </w:rPr>
        <w:t xml:space="preserve"> </w:t>
      </w:r>
      <w:r w:rsidRPr="00E76006">
        <w:rPr>
          <w:rFonts w:eastAsia="Calibri"/>
          <w:b w:val="0"/>
          <w:szCs w:val="22"/>
          <w:lang w:val="hy-AM" w:eastAsia="en-US"/>
        </w:rPr>
        <w:t>դեմ ավիացիոն</w:t>
      </w:r>
      <w:r w:rsidRPr="00E76006">
        <w:rPr>
          <w:rFonts w:eastAsia="Calibri"/>
          <w:b w:val="0"/>
          <w:szCs w:val="22"/>
          <w:lang w:val="af-ZA" w:eastAsia="en-US"/>
        </w:rPr>
        <w:t xml:space="preserve"> </w:t>
      </w:r>
      <w:r w:rsidRPr="00E76006">
        <w:rPr>
          <w:rFonts w:eastAsia="Calibri"/>
          <w:b w:val="0"/>
          <w:szCs w:val="22"/>
          <w:lang w:val="hy-AM" w:eastAsia="en-US"/>
        </w:rPr>
        <w:t>պայքարի միջոցառումներ, 135.9 հազ. հա-ի մասով</w:t>
      </w:r>
      <w:r w:rsidRPr="00E76006">
        <w:rPr>
          <w:rFonts w:eastAsia="Calibri" w:cs="IRTEK Courier"/>
          <w:b w:val="0"/>
          <w:szCs w:val="22"/>
          <w:lang w:val="pt-BR" w:eastAsia="en-US"/>
        </w:rPr>
        <w:t xml:space="preserve"> թվով 4 հատ անտառկառավարման պլանների կազմման, 130 հա տարածքում անտառվերականգնման և անտառապատման աշխատանքներ:</w:t>
      </w:r>
    </w:p>
    <w:p w:rsidR="00E76006" w:rsidRPr="00E76006" w:rsidRDefault="00E76006" w:rsidP="00E76006">
      <w:pPr>
        <w:spacing w:before="0" w:line="276" w:lineRule="auto"/>
        <w:contextualSpacing w:val="0"/>
        <w:rPr>
          <w:rFonts w:eastAsia="Calibri" w:cs="Sylfaen"/>
          <w:szCs w:val="22"/>
          <w:lang w:val="hy-AM" w:eastAsia="en-US"/>
        </w:rPr>
      </w:pPr>
      <w:r w:rsidRPr="00E76006">
        <w:rPr>
          <w:rFonts w:eastAsia="Calibri"/>
          <w:szCs w:val="22"/>
          <w:lang w:val="ro-RO" w:eastAsia="en-US"/>
        </w:rPr>
        <w:t>Բնապահպանական նմուշների պահպանություն և ցուցադրություն</w:t>
      </w:r>
      <w:r w:rsidRPr="00E76006">
        <w:rPr>
          <w:rFonts w:eastAsia="Calibri"/>
          <w:b w:val="0"/>
          <w:szCs w:val="22"/>
          <w:lang w:val="ro-RO" w:eastAsia="en-US"/>
        </w:rPr>
        <w:t xml:space="preserve"> </w:t>
      </w:r>
      <w:r w:rsidRPr="00E76006">
        <w:rPr>
          <w:rFonts w:eastAsia="Calibri" w:cs="IRTEK Courier"/>
          <w:b w:val="0"/>
          <w:szCs w:val="22"/>
          <w:lang w:val="hy-AM" w:eastAsia="en-US"/>
        </w:rPr>
        <w:t>ծրագրի</w:t>
      </w:r>
      <w:r w:rsidRPr="00E76006">
        <w:rPr>
          <w:rFonts w:eastAsia="Calibri" w:cs="IRTEK Courier"/>
          <w:b w:val="0"/>
          <w:iCs/>
          <w:szCs w:val="22"/>
          <w:lang w:val="hy-AM" w:eastAsia="en-US"/>
        </w:rPr>
        <w:t xml:space="preserve"> </w:t>
      </w:r>
      <w:r w:rsidRPr="00E76006">
        <w:rPr>
          <w:rFonts w:eastAsia="Calibri" w:cs="Sylfaen"/>
          <w:b w:val="0"/>
          <w:szCs w:val="22"/>
          <w:lang w:val="hy-AM" w:eastAsia="en-US"/>
        </w:rPr>
        <w:t>գծով 202</w:t>
      </w:r>
      <w:r w:rsidR="003A6645" w:rsidRPr="00587938">
        <w:rPr>
          <w:rFonts w:eastAsia="Calibri" w:cs="Sylfaen"/>
          <w:b w:val="0"/>
          <w:szCs w:val="22"/>
          <w:lang w:val="hy-AM" w:eastAsia="en-US"/>
        </w:rPr>
        <w:t>3</w:t>
      </w:r>
      <w:r w:rsidRPr="00E76006">
        <w:rPr>
          <w:rFonts w:eastAsia="Calibri" w:cs="Sylfaen"/>
          <w:b w:val="0"/>
          <w:szCs w:val="22"/>
          <w:lang w:val="hy-AM" w:eastAsia="en-US"/>
        </w:rPr>
        <w:t xml:space="preserve"> թվականին նախատեսվել է 350.5</w:t>
      </w:r>
      <w:r w:rsidRPr="00E76006">
        <w:rPr>
          <w:rFonts w:eastAsia="Calibri" w:cs="Sylfaen"/>
          <w:b w:val="0"/>
          <w:szCs w:val="22"/>
          <w:lang w:val="af-ZA" w:eastAsia="en-US"/>
        </w:rPr>
        <w:t xml:space="preserve"> </w:t>
      </w:r>
      <w:r w:rsidRPr="00E76006">
        <w:rPr>
          <w:rFonts w:eastAsia="Calibri" w:cs="Sylfaen"/>
          <w:b w:val="0"/>
          <w:szCs w:val="22"/>
          <w:lang w:val="hy-AM" w:eastAsia="en-US"/>
        </w:rPr>
        <w:t>մլն</w:t>
      </w:r>
      <w:r w:rsidRPr="00E76006">
        <w:rPr>
          <w:rFonts w:eastAsia="Calibri" w:cs="Sylfaen"/>
          <w:b w:val="0"/>
          <w:szCs w:val="22"/>
          <w:lang w:val="af-ZA" w:eastAsia="en-US"/>
        </w:rPr>
        <w:t xml:space="preserve"> </w:t>
      </w:r>
      <w:r w:rsidRPr="00E76006">
        <w:rPr>
          <w:rFonts w:eastAsia="Calibri" w:cs="Sylfaen"/>
          <w:b w:val="0"/>
          <w:szCs w:val="22"/>
          <w:lang w:val="hy-AM" w:eastAsia="en-US"/>
        </w:rPr>
        <w:t xml:space="preserve">դրամ: </w:t>
      </w:r>
    </w:p>
    <w:p w:rsidR="00E76006" w:rsidRPr="00E76006" w:rsidRDefault="00E76006" w:rsidP="00E76006">
      <w:pPr>
        <w:spacing w:before="0" w:line="276" w:lineRule="auto"/>
        <w:contextualSpacing w:val="0"/>
        <w:rPr>
          <w:rFonts w:eastAsia="GHEAGrapalat"/>
          <w:b w:val="0"/>
          <w:szCs w:val="22"/>
          <w:lang w:val="hy-AM" w:eastAsia="en-US"/>
        </w:rPr>
      </w:pPr>
      <w:r w:rsidRPr="00E76006">
        <w:rPr>
          <w:rFonts w:eastAsia="Calibri" w:cs="Sylfaen"/>
          <w:b w:val="0"/>
          <w:szCs w:val="22"/>
          <w:lang w:val="hy-AM" w:eastAsia="en-US"/>
        </w:rPr>
        <w:t>Ծրագրի</w:t>
      </w:r>
      <w:r w:rsidRPr="00E76006">
        <w:rPr>
          <w:rFonts w:eastAsia="Calibri"/>
          <w:b w:val="0"/>
          <w:szCs w:val="22"/>
          <w:lang w:val="ro-RO" w:eastAsia="en-US"/>
        </w:rPr>
        <w:t xml:space="preserve"> նպատակն է </w:t>
      </w:r>
      <w:r w:rsidRPr="00E76006">
        <w:rPr>
          <w:rFonts w:eastAsia="Calibri" w:cs="Sylfaen"/>
          <w:b w:val="0"/>
          <w:szCs w:val="22"/>
          <w:lang w:val="hy-AM" w:eastAsia="en-US"/>
        </w:rPr>
        <w:t>մշտական և ժամանակավոր ցուցահանդեսների միջոցով հավաքածուները ներկայացնել հանրությանը և իրականացնել բնապահպանական քարոզչություն՝</w:t>
      </w:r>
      <w:r w:rsidRPr="00E76006">
        <w:rPr>
          <w:rFonts w:eastAsia="Calibri"/>
          <w:b w:val="0"/>
          <w:szCs w:val="22"/>
          <w:lang w:val="ro-RO" w:eastAsia="en-US"/>
        </w:rPr>
        <w:t xml:space="preserve"> նպաստելով բնապահպանական աշխարհայացքի ձևավորմանը, բնակչության էկոլոգիական</w:t>
      </w:r>
      <w:r w:rsidRPr="00E76006">
        <w:rPr>
          <w:rFonts w:eastAsia="Calibri" w:cs="Sylfaen"/>
          <w:b w:val="0"/>
          <w:szCs w:val="22"/>
          <w:lang w:val="hy-AM" w:eastAsia="en-US"/>
        </w:rPr>
        <w:t xml:space="preserve"> դաստիարակությանը: Ծրագրի շրջանակներում նախատեսվում է իրականացնել </w:t>
      </w:r>
      <w:r w:rsidRPr="00E76006">
        <w:rPr>
          <w:rFonts w:eastAsia="Calibri"/>
          <w:b w:val="0"/>
          <w:szCs w:val="22"/>
          <w:lang w:val="af-ZA" w:eastAsia="en-US"/>
        </w:rPr>
        <w:t>«</w:t>
      </w:r>
      <w:r w:rsidRPr="00E76006">
        <w:rPr>
          <w:rFonts w:eastAsia="Calibri"/>
          <w:b w:val="0"/>
          <w:szCs w:val="22"/>
          <w:lang w:val="hy-AM" w:eastAsia="en-US"/>
        </w:rPr>
        <w:t>Հայաստանի բնության պետական թանգարան</w:t>
      </w:r>
      <w:r w:rsidRPr="00E76006">
        <w:rPr>
          <w:rFonts w:eastAsia="Calibri"/>
          <w:b w:val="0"/>
          <w:szCs w:val="22"/>
          <w:lang w:val="af-ZA" w:eastAsia="en-US"/>
        </w:rPr>
        <w:t xml:space="preserve">» </w:t>
      </w:r>
      <w:r w:rsidRPr="00E76006">
        <w:rPr>
          <w:rFonts w:eastAsia="Calibri"/>
          <w:b w:val="0"/>
          <w:szCs w:val="22"/>
          <w:lang w:val="hy-AM" w:eastAsia="en-US"/>
        </w:rPr>
        <w:t>ՊՈԱԿ</w:t>
      </w:r>
      <w:r w:rsidRPr="00E76006">
        <w:rPr>
          <w:rFonts w:eastAsia="Calibri"/>
          <w:b w:val="0"/>
          <w:szCs w:val="22"/>
          <w:lang w:val="af-ZA" w:eastAsia="en-US"/>
        </w:rPr>
        <w:t>-</w:t>
      </w:r>
      <w:r w:rsidRPr="00E76006">
        <w:rPr>
          <w:rFonts w:eastAsia="Calibri"/>
          <w:b w:val="0"/>
          <w:szCs w:val="22"/>
          <w:lang w:val="hy-AM" w:eastAsia="en-US"/>
        </w:rPr>
        <w:t>ի</w:t>
      </w:r>
      <w:r w:rsidRPr="00E76006">
        <w:rPr>
          <w:rFonts w:eastAsia="Calibri"/>
          <w:b w:val="0"/>
          <w:szCs w:val="22"/>
          <w:lang w:val="af-ZA" w:eastAsia="en-US"/>
        </w:rPr>
        <w:t xml:space="preserve"> </w:t>
      </w:r>
      <w:r w:rsidRPr="00E76006">
        <w:rPr>
          <w:rFonts w:eastAsia="Calibri"/>
          <w:b w:val="0"/>
          <w:szCs w:val="22"/>
          <w:lang w:val="hy-AM" w:eastAsia="en-US"/>
        </w:rPr>
        <w:t>իրավասության</w:t>
      </w:r>
      <w:r w:rsidRPr="00E76006">
        <w:rPr>
          <w:rFonts w:eastAsia="Calibri"/>
          <w:b w:val="0"/>
          <w:szCs w:val="22"/>
          <w:lang w:val="af-ZA" w:eastAsia="en-US"/>
        </w:rPr>
        <w:t xml:space="preserve"> </w:t>
      </w:r>
      <w:r w:rsidRPr="00E76006">
        <w:rPr>
          <w:rFonts w:eastAsia="Calibri"/>
          <w:b w:val="0"/>
          <w:szCs w:val="22"/>
          <w:lang w:val="hy-AM" w:eastAsia="en-US"/>
        </w:rPr>
        <w:t>ներքո</w:t>
      </w:r>
      <w:r w:rsidRPr="00E76006">
        <w:rPr>
          <w:rFonts w:eastAsia="Calibri"/>
          <w:b w:val="0"/>
          <w:szCs w:val="22"/>
          <w:lang w:val="af-ZA" w:eastAsia="en-US"/>
        </w:rPr>
        <w:t xml:space="preserve"> </w:t>
      </w:r>
      <w:r w:rsidRPr="00E76006">
        <w:rPr>
          <w:rFonts w:eastAsia="Calibri"/>
          <w:b w:val="0"/>
          <w:szCs w:val="22"/>
          <w:lang w:val="hy-AM" w:eastAsia="en-US"/>
        </w:rPr>
        <w:t>գտնվող</w:t>
      </w:r>
      <w:r w:rsidRPr="00E76006">
        <w:rPr>
          <w:rFonts w:eastAsia="Calibri"/>
          <w:b w:val="0"/>
          <w:szCs w:val="22"/>
          <w:lang w:val="af-ZA" w:eastAsia="en-US"/>
        </w:rPr>
        <w:t xml:space="preserve"> Հայաստանին բնորոշ 6750 բնության օբյեկտների թանգարանային ցուցանմուշների պահպանության և ցուցադրության միջոցառումներ, </w:t>
      </w:r>
      <w:r w:rsidRPr="00E76006">
        <w:rPr>
          <w:rFonts w:eastAsia="GHEAGrapalat"/>
          <w:b w:val="0"/>
          <w:szCs w:val="22"/>
          <w:lang w:val="hy-AM" w:eastAsia="en-US"/>
        </w:rPr>
        <w:t>«Երևանի կենդանաբանական այգի» ՀՈԱԿ-ի միջոցով 161 տեսակի 780 գլուխ կենդանիների ցուցադրություննների միջոցառումներ:</w:t>
      </w:r>
    </w:p>
    <w:p w:rsidR="00CD73A1" w:rsidRPr="007955BB" w:rsidRDefault="00CD73A1" w:rsidP="00CD73A1">
      <w:pPr>
        <w:spacing w:before="0" w:line="276" w:lineRule="auto"/>
        <w:contextualSpacing w:val="0"/>
        <w:rPr>
          <w:rFonts w:eastAsia="GHEAGrapalat"/>
          <w:szCs w:val="22"/>
          <w:lang w:val="hy-AM" w:eastAsia="en-US"/>
        </w:rPr>
      </w:pPr>
    </w:p>
    <w:p w:rsidR="00583768" w:rsidRPr="007955BB" w:rsidRDefault="00583768" w:rsidP="00583768">
      <w:pPr>
        <w:spacing w:before="0" w:line="276" w:lineRule="auto"/>
        <w:ind w:firstLine="0"/>
        <w:contextualSpacing w:val="0"/>
        <w:jc w:val="left"/>
        <w:rPr>
          <w:rFonts w:eastAsia="Calibri"/>
          <w:b w:val="0"/>
          <w:sz w:val="24"/>
          <w:lang w:val="hy-AM" w:eastAsia="en-US"/>
        </w:rPr>
      </w:pPr>
    </w:p>
    <w:p w:rsidR="00AE497C" w:rsidRPr="007955BB" w:rsidRDefault="00AE497C" w:rsidP="00832373">
      <w:pPr>
        <w:keepNext/>
        <w:spacing w:before="0" w:line="276" w:lineRule="auto"/>
        <w:ind w:firstLine="0"/>
        <w:contextualSpacing w:val="0"/>
        <w:jc w:val="center"/>
        <w:outlineLvl w:val="2"/>
        <w:rPr>
          <w:sz w:val="24"/>
          <w:lang w:val="hy-AM"/>
        </w:rPr>
      </w:pPr>
      <w:bookmarkStart w:id="336" w:name="_Toc530663277"/>
      <w:bookmarkStart w:id="337" w:name="_Toc57655480"/>
      <w:bookmarkStart w:id="338" w:name="_Toc120805225"/>
      <w:r w:rsidRPr="007955BB">
        <w:rPr>
          <w:rFonts w:cs="Arial"/>
          <w:sz w:val="24"/>
          <w:lang w:val="hy-AM" w:eastAsia="en-US"/>
        </w:rPr>
        <w:t>ՀՀ էկոնոմիկայի նախա</w:t>
      </w:r>
      <w:r w:rsidRPr="007955BB">
        <w:rPr>
          <w:rFonts w:cs="Arial"/>
          <w:sz w:val="24"/>
          <w:lang w:val="hy-AM" w:eastAsia="en-US"/>
        </w:rPr>
        <w:softHyphen/>
        <w:t>րարու</w:t>
      </w:r>
      <w:r w:rsidRPr="007955BB">
        <w:rPr>
          <w:rFonts w:cs="Arial"/>
          <w:sz w:val="24"/>
          <w:lang w:val="hy-AM" w:eastAsia="en-US"/>
        </w:rPr>
        <w:softHyphen/>
        <w:t>թյուն</w:t>
      </w:r>
      <w:bookmarkEnd w:id="336"/>
      <w:bookmarkEnd w:id="337"/>
      <w:bookmarkEnd w:id="338"/>
    </w:p>
    <w:p w:rsidR="00454D52" w:rsidRPr="007955BB" w:rsidRDefault="00454D52" w:rsidP="00454D52">
      <w:pPr>
        <w:spacing w:before="0" w:line="276" w:lineRule="auto"/>
        <w:rPr>
          <w:b w:val="0"/>
          <w:lang w:val="hy-AM"/>
        </w:rPr>
      </w:pPr>
      <w:r w:rsidRPr="007955BB">
        <w:rPr>
          <w:b w:val="0"/>
          <w:lang w:val="hy-AM"/>
        </w:rPr>
        <w:t>ՀՀ էկոնոմիկայի նախա</w:t>
      </w:r>
      <w:r w:rsidRPr="007955BB">
        <w:rPr>
          <w:b w:val="0"/>
          <w:lang w:val="hy-AM"/>
        </w:rPr>
        <w:softHyphen/>
        <w:t>րարու</w:t>
      </w:r>
      <w:r w:rsidRPr="007955BB">
        <w:rPr>
          <w:b w:val="0"/>
          <w:lang w:val="hy-AM"/>
        </w:rPr>
        <w:softHyphen/>
        <w:t>թյան գծով Նախագ</w:t>
      </w:r>
      <w:r w:rsidR="0080622A" w:rsidRPr="007955BB">
        <w:rPr>
          <w:b w:val="0"/>
          <w:lang w:val="hy-AM"/>
        </w:rPr>
        <w:t>ծով նախատեսվում է հատկացնել 64,</w:t>
      </w:r>
      <w:r w:rsidR="00E51681">
        <w:rPr>
          <w:b w:val="0"/>
          <w:lang w:val="hy-AM"/>
        </w:rPr>
        <w:t>784</w:t>
      </w:r>
      <w:r w:rsidRPr="007955BB">
        <w:rPr>
          <w:b w:val="0"/>
          <w:lang w:val="hy-AM"/>
        </w:rPr>
        <w:t>.</w:t>
      </w:r>
      <w:r w:rsidR="00E51681" w:rsidRPr="00E51681">
        <w:rPr>
          <w:b w:val="0"/>
          <w:lang w:val="hy-AM"/>
        </w:rPr>
        <w:t>8</w:t>
      </w:r>
      <w:r w:rsidRPr="007955BB">
        <w:rPr>
          <w:b w:val="0"/>
          <w:lang w:val="hy-AM"/>
        </w:rPr>
        <w:t xml:space="preserve"> մլն դրամ </w:t>
      </w:r>
      <w:r w:rsidRPr="007955BB">
        <w:rPr>
          <w:b w:val="0"/>
          <w:color w:val="000000"/>
          <w:szCs w:val="22"/>
          <w:lang w:val="hy-AM" w:eastAsia="en-US"/>
        </w:rPr>
        <w:t>(ներառյալ կառավարման ապարատի պահպանման ծախսերը)</w:t>
      </w:r>
      <w:r w:rsidRPr="007955BB">
        <w:rPr>
          <w:b w:val="0"/>
          <w:lang w:val="hy-AM"/>
        </w:rPr>
        <w:t>: Հատկացվելիք միջոցներն ուղղվելու են հետևյալ ծրագրերի իրականացմանը.</w:t>
      </w:r>
    </w:p>
    <w:p w:rsidR="00454D52" w:rsidRPr="007955BB" w:rsidRDefault="00454D52" w:rsidP="00454D52">
      <w:pPr>
        <w:spacing w:before="0" w:line="276" w:lineRule="auto"/>
        <w:rPr>
          <w:b w:val="0"/>
          <w:lang w:val="hy-AM"/>
        </w:rPr>
      </w:pPr>
      <w:r w:rsidRPr="007955BB">
        <w:rPr>
          <w:lang w:val="hy-AM"/>
        </w:rPr>
        <w:t xml:space="preserve">Ստանդարտների մշակում և հավատարմագրման համակարգի զարգացում </w:t>
      </w:r>
      <w:r w:rsidRPr="007955BB">
        <w:rPr>
          <w:b w:val="0"/>
          <w:lang w:val="hy-AM"/>
        </w:rPr>
        <w:t>ծրագրի գծով 2023 թվականին նախատեսվել է հատկացնել 93,755.4 հազ</w:t>
      </w:r>
      <w:r w:rsidRPr="007955BB">
        <w:rPr>
          <w:rFonts w:ascii="Cambria Math" w:hAnsi="Cambria Math" w:cs="Cambria Math"/>
          <w:b w:val="0"/>
          <w:lang w:val="hy-AM"/>
        </w:rPr>
        <w:t>․</w:t>
      </w:r>
      <w:r w:rsidRPr="007955BB">
        <w:rPr>
          <w:b w:val="0"/>
          <w:lang w:val="hy-AM"/>
        </w:rPr>
        <w:t xml:space="preserve"> դրամ:</w:t>
      </w:r>
    </w:p>
    <w:p w:rsidR="00454D52" w:rsidRPr="007955BB" w:rsidRDefault="00454D52" w:rsidP="00454D52">
      <w:pPr>
        <w:spacing w:before="0" w:line="276" w:lineRule="auto"/>
        <w:rPr>
          <w:b w:val="0"/>
          <w:lang w:val="hy-AM"/>
        </w:rPr>
      </w:pPr>
      <w:r w:rsidRPr="007955BB">
        <w:rPr>
          <w:b w:val="0"/>
          <w:lang w:val="hy-AM"/>
        </w:rPr>
        <w:t>Ծրագրի նպատակն է աջակցել հայրենական արտադրանքի արտանահման ծավալների ավելացմանը, հայրենական արտադրողներին հնարավորություն տալ ապահովել տեխնիկական կանոնակարգերով սահմանված պահանջները, արտադրել միջազգային շուկայում մրցունակ արտադրանք: Ինչպես նաև համապատասխանության գնահատման մարմինների հավատարմագրումը, հավատարմագրված համապատասխանության գնահատման մարմինների կողմից մատուցվող ծառայությունների նկատմամբ սպառողների վստահության բարձրացումը, ՀՀ և ԵԱՏՄ տեխնիկական կանոնակարգերի համաձայն տրված համապատասխանության սերտիֆիկատների և գրանցված համապատասխանության հայտարարագրերի, հավատարմագրված  համապատասխանության գնահատման մարմինների ռեեստրների ձևավորումը, վարումը և արդիականացումը:</w:t>
      </w:r>
    </w:p>
    <w:p w:rsidR="00454D52" w:rsidRPr="007955BB" w:rsidRDefault="00454D52" w:rsidP="00454D52">
      <w:pPr>
        <w:spacing w:before="0" w:line="276" w:lineRule="auto"/>
        <w:rPr>
          <w:b w:val="0"/>
          <w:lang w:val="hy-AM"/>
        </w:rPr>
      </w:pPr>
      <w:r w:rsidRPr="007955BB">
        <w:rPr>
          <w:b w:val="0"/>
          <w:lang w:val="hy-AM"/>
        </w:rPr>
        <w:t xml:space="preserve">Ծրագրի շրջանակներում նախատեսվում է արտադրանքի  և ծառայությունների գծով մշակել 30 ազգային ստանդարտներ, հավատարմագրված համապատասխանության գնահատման մարմինների ազգային, արտադրանքի սերտիֆիկացման մարմինների, լաբորատորիաների ԵԱՏՄ, համապատասխանության սերտիֆիկատների, հայտարարագրերի ՀՀ և ԵԱՏՄ միասնական ռեեստրների և հավատարմագրման փորձագետների, գնահատողների, տեխնիկական փորձագետների ռեեստրների վարում՝ 5 հատ: </w:t>
      </w:r>
    </w:p>
    <w:p w:rsidR="00454D52" w:rsidRPr="007955BB" w:rsidRDefault="00454D52" w:rsidP="00454D52">
      <w:pPr>
        <w:spacing w:before="0" w:line="276" w:lineRule="auto"/>
        <w:rPr>
          <w:b w:val="0"/>
          <w:lang w:val="hy-AM"/>
        </w:rPr>
      </w:pPr>
      <w:r w:rsidRPr="007955BB">
        <w:rPr>
          <w:b w:val="0"/>
          <w:lang w:val="hy-AM"/>
        </w:rPr>
        <w:t>ԵՄ աջակցությամբ իրականացվող որակի ենթակառուցվածքի համակարգի արդիականացում դրամաշնորհային ծրագիրի նպատակն է ՍՉԱՄ ՓԲԸ-ում տրամաչափարկման կարողությունների հիմնում, փորձարկման կարողությունների  ընդլայնում՝ նոր լաբորատոր սարքավորումների ձեռքբերում, լաբորատորիաների վերազինում և ստեղծում:</w:t>
      </w:r>
    </w:p>
    <w:p w:rsidR="00454D52" w:rsidRPr="007955BB" w:rsidRDefault="00454D52" w:rsidP="00454D52">
      <w:pPr>
        <w:spacing w:before="0" w:line="276" w:lineRule="auto"/>
        <w:rPr>
          <w:b w:val="0"/>
          <w:lang w:val="hy-AM"/>
        </w:rPr>
      </w:pPr>
      <w:r w:rsidRPr="007955BB">
        <w:rPr>
          <w:lang w:val="hy-AM"/>
        </w:rPr>
        <w:t xml:space="preserve">Գիտելիքահենք, նորարարական տնտեսությանը և փոքր ու միջին ձեռնարկատիրությանը աջակցություն </w:t>
      </w:r>
      <w:r w:rsidRPr="007955BB">
        <w:rPr>
          <w:b w:val="0"/>
          <w:lang w:val="hy-AM"/>
        </w:rPr>
        <w:t>ծրագրի գծով 2023 թվականին նախատեսվել է հատկացնել 9.967.2 մլն դրամ:</w:t>
      </w:r>
    </w:p>
    <w:p w:rsidR="00454D52" w:rsidRPr="007955BB" w:rsidRDefault="00454D52" w:rsidP="00454D52">
      <w:pPr>
        <w:spacing w:before="0" w:line="276" w:lineRule="auto"/>
        <w:rPr>
          <w:b w:val="0"/>
          <w:lang w:val="hy-AM"/>
        </w:rPr>
      </w:pPr>
      <w:r w:rsidRPr="007955BB">
        <w:rPr>
          <w:b w:val="0"/>
          <w:lang w:val="hy-AM"/>
        </w:rPr>
        <w:t>Ծրագրի նպատակն է արտադրողականության բարձրացման նպատակով տնտեսության թվայնացման, նորարարական էլեկտրոնային կառավարման համակարգերի ներդրման, գիտելիքահենք գործարարությանը և փոքր ու միջին ձեռնարկատիրությանը աջակցություն:</w:t>
      </w:r>
    </w:p>
    <w:p w:rsidR="00454D52" w:rsidRPr="007955BB" w:rsidRDefault="00454D52" w:rsidP="00454D52">
      <w:pPr>
        <w:spacing w:before="0" w:line="276" w:lineRule="auto"/>
        <w:rPr>
          <w:b w:val="0"/>
          <w:lang w:val="hy-AM"/>
        </w:rPr>
      </w:pPr>
      <w:r w:rsidRPr="007955BB">
        <w:rPr>
          <w:b w:val="0"/>
          <w:lang w:val="hy-AM"/>
        </w:rPr>
        <w:t>Ծրագրի շրջանակներում նախատեսվում է գործող և սկսնակ ՓՄՁ-ի սուբյեկտներին 240 գործարար ուսուցողական, 5000 տեղեկատվական և խորհրդատվական, 35 ֆինանսական և ներդրումային աջակցության տրամադրում, 30 տեղական արտադրանքի արտահանմանն աջակցություն և ՓՄՁ-ի սուբյեկտների միջազգային համագործակցության ընդլայնման ապահովում: Տնտեսավարողների կողմից ներգրավված 110 բարձր որակավորում ունեցող մասնագետների ծախսերի մասնակի փոխհատուցում, ինչպես նաև 1600 տնտեսավարող սուբյեկտների սուբսիդավորում և Ծրագրի շրջանակներում ձեռք բերվող 600 սարքավորումների, սարքավորման բաղկացուցիչների վարկերի տոկոսների սուբսիդավորում:</w:t>
      </w:r>
    </w:p>
    <w:p w:rsidR="00454D52" w:rsidRPr="007955BB" w:rsidRDefault="00454D52" w:rsidP="00454D52">
      <w:pPr>
        <w:spacing w:before="0" w:line="276" w:lineRule="auto"/>
        <w:rPr>
          <w:b w:val="0"/>
          <w:lang w:val="hy-AM"/>
        </w:rPr>
      </w:pPr>
      <w:r w:rsidRPr="007955BB">
        <w:rPr>
          <w:lang w:val="hy-AM"/>
        </w:rPr>
        <w:t xml:space="preserve">Ներդրումների և արտահանման խթանման </w:t>
      </w:r>
      <w:r w:rsidRPr="007955BB">
        <w:rPr>
          <w:b w:val="0"/>
          <w:lang w:val="hy-AM"/>
        </w:rPr>
        <w:t>ծրագրի գծով 202</w:t>
      </w:r>
      <w:r w:rsidR="00671869" w:rsidRPr="007955BB">
        <w:rPr>
          <w:b w:val="0"/>
          <w:lang w:val="hy-AM"/>
        </w:rPr>
        <w:t>3</w:t>
      </w:r>
      <w:r w:rsidRPr="007955BB">
        <w:rPr>
          <w:b w:val="0"/>
          <w:lang w:val="hy-AM"/>
        </w:rPr>
        <w:t xml:space="preserve"> թ</w:t>
      </w:r>
      <w:r w:rsidR="00284631" w:rsidRPr="007955BB">
        <w:rPr>
          <w:b w:val="0"/>
          <w:lang w:val="hy-AM"/>
        </w:rPr>
        <w:t>վականին նախատեսվել է հատկացնել 5</w:t>
      </w:r>
      <w:r w:rsidRPr="007955BB">
        <w:rPr>
          <w:b w:val="0"/>
          <w:lang w:val="hy-AM"/>
        </w:rPr>
        <w:t>,850.0 մլն դրամ:</w:t>
      </w:r>
    </w:p>
    <w:p w:rsidR="00454D52" w:rsidRPr="007955BB" w:rsidRDefault="00454D52" w:rsidP="00454D52">
      <w:pPr>
        <w:spacing w:before="0" w:line="276" w:lineRule="auto"/>
        <w:rPr>
          <w:b w:val="0"/>
          <w:lang w:val="hy-AM"/>
        </w:rPr>
      </w:pPr>
      <w:r w:rsidRPr="007955BB">
        <w:rPr>
          <w:b w:val="0"/>
          <w:lang w:val="hy-AM"/>
        </w:rPr>
        <w:t xml:space="preserve">Ծրագրի հիմնական նպատակն է ՀՀ կառավարության կողմից հաստատված ՀՀ արտահանմանն ուղղված արդյունաբերական քաղաքականության ռազմավարությամբ սահմանված երկարաժամկետ հեռանկարում նպաստել տնտեսական աճի նոր շարժիչ ոլորտների ձևավորմանը, վերամշակող արդյունաբերության ճյուղերի և համալիրների զարգացմանը, արտահանման զարգացման ներուժ ունեցող ոլորտների հավասարակշռված և փուլային միջոցառումների իրականացմանը: Աջակցել ներդրողների սպասարկմանը, օտարերկրյա ներդրողների ներգրավմանը և հետներդրումային սպասարկմանը:  </w:t>
      </w:r>
    </w:p>
    <w:p w:rsidR="00454D52" w:rsidRPr="007955BB" w:rsidRDefault="00454D52" w:rsidP="00454D52">
      <w:pPr>
        <w:spacing w:before="0" w:line="276" w:lineRule="auto"/>
        <w:rPr>
          <w:b w:val="0"/>
          <w:lang w:val="hy-AM"/>
        </w:rPr>
      </w:pPr>
      <w:r w:rsidRPr="007955BB">
        <w:rPr>
          <w:b w:val="0"/>
          <w:lang w:val="hy-AM"/>
        </w:rPr>
        <w:t>Ծրագրի շրջանակներում նախատեսվում է արտադրական գործունեության միջազգային 7 ցուցահանդեսներին մասնակցության ապահովում, գործարար 5 համաժողովների (ֆորումների), 40 ներդրումային ծրագրերի ուղեկցում, ՀՀ-ում գործող օտարերկրյա ներդրողների 50 հետներդրումային շարունակական սպասարկում, ներդրումների ներգրավման ու գործարար կապերի հաստատման նպատակով ՀՀ-ում և արտերկրում 5 միջոցառումների կազմակերպում, 50 սկսնակ և գործող ՓՄՁ սուբյեկտներին գործարար տեղեկատվական և խորհրդատվական աջակության տրամադրում, 1 համաժողովի անցկացում և միջոցառման շրջանակներում ուսումնասիրվող հանրային ներդրումային ծրագրեր:</w:t>
      </w:r>
    </w:p>
    <w:p w:rsidR="00454D52" w:rsidRPr="007955BB" w:rsidRDefault="00454D52" w:rsidP="00454D52">
      <w:pPr>
        <w:spacing w:before="0" w:line="276" w:lineRule="auto"/>
        <w:rPr>
          <w:b w:val="0"/>
          <w:lang w:val="hy-AM"/>
        </w:rPr>
      </w:pPr>
      <w:r w:rsidRPr="007955BB">
        <w:rPr>
          <w:bCs/>
          <w:lang w:val="hy-AM"/>
        </w:rPr>
        <w:t xml:space="preserve">Գյուղատնտեսության խթանման </w:t>
      </w:r>
      <w:r w:rsidRPr="007955BB">
        <w:rPr>
          <w:b w:val="0"/>
          <w:bCs/>
          <w:lang w:val="hy-AM"/>
        </w:rPr>
        <w:t>ծրագրի գծով 2023 թվականին նախատեսվել է</w:t>
      </w:r>
      <w:r w:rsidRPr="007955BB">
        <w:rPr>
          <w:b w:val="0"/>
          <w:lang w:val="hy-AM"/>
        </w:rPr>
        <w:t xml:space="preserve"> հատկացնել </w:t>
      </w:r>
      <w:r w:rsidRPr="007955BB">
        <w:rPr>
          <w:b w:val="0"/>
          <w:bCs/>
          <w:lang w:val="hy-AM"/>
        </w:rPr>
        <w:t>1</w:t>
      </w:r>
      <w:r w:rsidR="00284631" w:rsidRPr="007955BB">
        <w:rPr>
          <w:b w:val="0"/>
          <w:bCs/>
          <w:lang w:val="hy-AM"/>
        </w:rPr>
        <w:t>9</w:t>
      </w:r>
      <w:r w:rsidRPr="007955BB">
        <w:rPr>
          <w:b w:val="0"/>
          <w:bCs/>
          <w:lang w:val="hy-AM"/>
        </w:rPr>
        <w:t>,</w:t>
      </w:r>
      <w:r w:rsidR="00E44BD0" w:rsidRPr="00E44BD0">
        <w:rPr>
          <w:b w:val="0"/>
          <w:bCs/>
          <w:lang w:val="hy-AM"/>
        </w:rPr>
        <w:t>586</w:t>
      </w:r>
      <w:r w:rsidRPr="007955BB">
        <w:rPr>
          <w:b w:val="0"/>
          <w:bCs/>
          <w:lang w:val="hy-AM"/>
        </w:rPr>
        <w:t>.</w:t>
      </w:r>
      <w:r w:rsidR="00E44BD0" w:rsidRPr="00E44BD0">
        <w:rPr>
          <w:b w:val="0"/>
          <w:bCs/>
          <w:lang w:val="hy-AM"/>
        </w:rPr>
        <w:t>1</w:t>
      </w:r>
      <w:r w:rsidRPr="007955BB">
        <w:rPr>
          <w:b w:val="0"/>
          <w:bCs/>
          <w:lang w:val="hy-AM"/>
        </w:rPr>
        <w:t xml:space="preserve"> մլն</w:t>
      </w:r>
      <w:r w:rsidRPr="007955BB">
        <w:rPr>
          <w:b w:val="0"/>
          <w:lang w:val="hy-AM"/>
        </w:rPr>
        <w:t xml:space="preserve"> դրամ: </w:t>
      </w:r>
    </w:p>
    <w:p w:rsidR="00454D52" w:rsidRPr="007955BB" w:rsidRDefault="00454D52" w:rsidP="00454D52">
      <w:pPr>
        <w:spacing w:before="0" w:line="276" w:lineRule="auto"/>
        <w:rPr>
          <w:b w:val="0"/>
          <w:lang w:val="hy-AM"/>
        </w:rPr>
      </w:pPr>
      <w:r w:rsidRPr="007955BB">
        <w:rPr>
          <w:b w:val="0"/>
          <w:lang w:val="hy-AM"/>
        </w:rPr>
        <w:t xml:space="preserve">Ծրագրի նպատակն է գյուղատնտեսական մթերքի և դրանց վերամշակումից ստացվող սննդամթերքի ծավալների ավելացումը: Ծրագրի շրջանակներում նախատեսվում է սուբսիդավորել 40396 տնտեսավարող սուբյեկտի` նախորդ տարիներին տրամադրված գյուղատնտեսական վարկերը, 213 տնտեսավարող սուբյեկտի՝ 2023թ. տրամադրվելիք և նախորդ տարիներին տրամադրված գյուղատնտեսական հումքի մթերումների (գնումների) նպատակով վարկերը, </w:t>
      </w:r>
      <w:r w:rsidRPr="007955BB">
        <w:rPr>
          <w:b w:val="0"/>
          <w:bCs/>
          <w:lang w:val="hy-AM"/>
        </w:rPr>
        <w:t>սուբսիդավորել 10000 հա հողատարածքի ապահովագրավճարները, ՀՀ տարածքից դուրս իրականացնել հայկական գինեգործության հանրահռչակմանը, հայկական գինիների առաջմղմանն ու արտահանմանն ուղղված 2 միջոցառումներ,</w:t>
      </w:r>
      <w:r w:rsidRPr="007955BB">
        <w:rPr>
          <w:lang w:val="hy-AM"/>
        </w:rPr>
        <w:t xml:space="preserve"> </w:t>
      </w:r>
      <w:r w:rsidRPr="007955BB">
        <w:rPr>
          <w:b w:val="0"/>
          <w:lang w:val="hy-AM"/>
        </w:rPr>
        <w:t>կոնյակի սպիրտ իրացնող (հարյուր հազար լիտրից ավելի) տնտեսվարող սուբյեկտների կողմից վճարված լրացուցիչ պետական տուրքի ետ վերադարձի ձևով օժանդակության տրամադրում՝ 10,000.0 հազ. լիտրին համարժեք</w:t>
      </w:r>
      <w:r w:rsidR="0065246C" w:rsidRPr="007955BB">
        <w:rPr>
          <w:b w:val="0"/>
          <w:lang w:val="hy-AM"/>
        </w:rPr>
        <w:t>,</w:t>
      </w:r>
      <w:r w:rsidRPr="007955BB">
        <w:rPr>
          <w:b w:val="0"/>
          <w:lang w:val="hy-AM"/>
        </w:rPr>
        <w:t xml:space="preserve"> </w:t>
      </w:r>
      <w:r w:rsidR="0065246C" w:rsidRPr="007955BB">
        <w:rPr>
          <w:b w:val="0"/>
          <w:lang w:val="hy-AM"/>
        </w:rPr>
        <w:t>հողային բարեփոխումների փորձնական ծրագրի շրջանակներում ձեռքբերված և շրջանառության մեջ ներառված գյուղատնտեսական նշանակության 130 հա հողեր, 65 հա բարելավված հողեր, չօգտագործվող գյուղատնտեսական նշանակության հողերի շրջանառության մեջ ներառում</w:t>
      </w:r>
      <w:r w:rsidR="00F93B1B" w:rsidRPr="007955BB">
        <w:rPr>
          <w:b w:val="0"/>
          <w:lang w:val="hy-AM"/>
        </w:rPr>
        <w:t xml:space="preserve"> </w:t>
      </w:r>
      <w:r w:rsidRPr="007955BB">
        <w:rPr>
          <w:b w:val="0"/>
          <w:lang w:val="hy-AM"/>
        </w:rPr>
        <w:t xml:space="preserve">և այլն: </w:t>
      </w:r>
    </w:p>
    <w:p w:rsidR="00454D52" w:rsidRPr="007955BB" w:rsidRDefault="00454D52" w:rsidP="00454D52">
      <w:pPr>
        <w:spacing w:before="0" w:line="276" w:lineRule="auto"/>
        <w:rPr>
          <w:b w:val="0"/>
          <w:lang w:val="hy-AM"/>
        </w:rPr>
      </w:pPr>
      <w:r w:rsidRPr="007955BB">
        <w:rPr>
          <w:lang w:val="hy-AM"/>
        </w:rPr>
        <w:t xml:space="preserve">Բուսաբուծության խթանում և բույսերի պաշտպանություն </w:t>
      </w:r>
      <w:r w:rsidRPr="007955BB">
        <w:rPr>
          <w:b w:val="0"/>
          <w:lang w:val="hy-AM"/>
        </w:rPr>
        <w:t xml:space="preserve">ծրագրի գծով 2023 թվականին նախատեսվել է հատկացնել 3,047.2 մլն դրամ: </w:t>
      </w:r>
    </w:p>
    <w:p w:rsidR="00454D52" w:rsidRPr="007955BB" w:rsidRDefault="00454D52" w:rsidP="00454D52">
      <w:pPr>
        <w:spacing w:before="0" w:line="276" w:lineRule="auto"/>
        <w:rPr>
          <w:b w:val="0"/>
          <w:lang w:val="hy-AM"/>
        </w:rPr>
      </w:pPr>
      <w:r w:rsidRPr="007955BB">
        <w:rPr>
          <w:b w:val="0"/>
          <w:lang w:val="hy-AM"/>
        </w:rPr>
        <w:t>Ծրագրի նպատակն է հողագործությունից ստացվող արդյունքի բարելավումը: Ծրագրի շրջանակներում նախատեսվում է վնասակար օրգանիզմների հայտնաբերման նպատակով հետազոտել 180,000 հեկտար տարածք, 85 համայնքի տրամադրել գյուղատնտեսական նշանակության հողերի կազմված ագրոքիմիական քարտեզներ, գյուղատնտեսական մշակաբույսերի առավել վնասակար օրգանիզմների դեմ իրականացնել պայքար 40,583.3 հեկտար տարածքում, իրականացնել բույսերի սերմերի որակի լաբորատոր հետազոտություններ և փաստաթղթավորում՝ 12 հազար տոննա, ինչպես նաև բույսերի նոր սորտերի ստուգիչ ցանքեր և դաշտային փորձարկումներ՝ 100 հատ, մասնակի փոխհատուցել 32,500 հա աշնանացան ցորենի ցանքատարածությունների վրա իրականացվելիք մշակության ծախսերը:</w:t>
      </w:r>
    </w:p>
    <w:p w:rsidR="00454D52" w:rsidRPr="007955BB" w:rsidRDefault="00454D52" w:rsidP="00454D52">
      <w:pPr>
        <w:spacing w:before="0" w:line="276" w:lineRule="auto"/>
        <w:rPr>
          <w:b w:val="0"/>
          <w:lang w:val="hy-AM"/>
        </w:rPr>
      </w:pPr>
      <w:r w:rsidRPr="007955BB">
        <w:rPr>
          <w:lang w:val="hy-AM"/>
        </w:rPr>
        <w:t>Անասնաբուժական ծառայություններ ծրագրի</w:t>
      </w:r>
      <w:r w:rsidRPr="007955BB">
        <w:rPr>
          <w:b w:val="0"/>
          <w:lang w:val="hy-AM"/>
        </w:rPr>
        <w:t xml:space="preserve"> գծով 2023 թվականին նախատեսվել է հատկացնել 1,</w:t>
      </w:r>
      <w:r w:rsidR="00245F6B" w:rsidRPr="003D07C3">
        <w:rPr>
          <w:b w:val="0"/>
          <w:lang w:val="hy-AM"/>
        </w:rPr>
        <w:t>837</w:t>
      </w:r>
      <w:r w:rsidRPr="007955BB">
        <w:rPr>
          <w:b w:val="0"/>
          <w:lang w:val="hy-AM"/>
        </w:rPr>
        <w:t>.</w:t>
      </w:r>
      <w:r w:rsidR="00E51681" w:rsidRPr="00E51681">
        <w:rPr>
          <w:b w:val="0"/>
          <w:lang w:val="hy-AM"/>
        </w:rPr>
        <w:t>1</w:t>
      </w:r>
      <w:r w:rsidRPr="007955BB">
        <w:rPr>
          <w:b w:val="0"/>
          <w:lang w:val="hy-AM"/>
        </w:rPr>
        <w:t xml:space="preserve"> մլն դրամ: </w:t>
      </w:r>
    </w:p>
    <w:p w:rsidR="00454D52" w:rsidRPr="007955BB" w:rsidRDefault="00454D52" w:rsidP="00454D52">
      <w:pPr>
        <w:spacing w:before="0" w:line="276" w:lineRule="auto"/>
        <w:rPr>
          <w:b w:val="0"/>
          <w:lang w:val="hy-AM"/>
        </w:rPr>
      </w:pPr>
      <w:r w:rsidRPr="007955BB">
        <w:rPr>
          <w:b w:val="0"/>
          <w:lang w:val="hy-AM"/>
        </w:rPr>
        <w:t xml:space="preserve">Ծրագրի նպատակն է անասնահամաճարակային կայուն ֆոնի ապահովումը: Ծրագրի շրջանակներում նախատեսվում է իրականացնել 978,837 հատ ախտորոշիչ միջոցառումներ, 3,769,771 հատ կանխարգելիչ (պատվաստումներ) միջոցառումներ և </w:t>
      </w:r>
      <w:r w:rsidR="00E51681" w:rsidRPr="00E51681">
        <w:rPr>
          <w:b w:val="0"/>
          <w:lang w:val="hy-AM"/>
        </w:rPr>
        <w:t>686</w:t>
      </w:r>
      <w:r w:rsidRPr="007955BB">
        <w:rPr>
          <w:b w:val="0"/>
          <w:lang w:val="hy-AM"/>
        </w:rPr>
        <w:t xml:space="preserve">,500 խոշոր եղջերավոր կենդանու համարակալում: </w:t>
      </w:r>
    </w:p>
    <w:p w:rsidR="00454D52" w:rsidRPr="007955BB" w:rsidRDefault="00454D52" w:rsidP="00454D52">
      <w:pPr>
        <w:spacing w:before="0" w:line="276" w:lineRule="auto"/>
        <w:rPr>
          <w:b w:val="0"/>
          <w:lang w:val="hy-AM"/>
        </w:rPr>
      </w:pPr>
      <w:r w:rsidRPr="007955BB">
        <w:rPr>
          <w:lang w:val="hy-AM"/>
        </w:rPr>
        <w:t xml:space="preserve">Գյուղատնտեսության արդիականացման </w:t>
      </w:r>
      <w:r w:rsidRPr="007955BB">
        <w:rPr>
          <w:b w:val="0"/>
          <w:lang w:val="hy-AM"/>
        </w:rPr>
        <w:t xml:space="preserve">ծրագրի գծով 2023 թվականին նախատեսվել է հատկացնել 12,383.4 մլն դրամ: </w:t>
      </w:r>
    </w:p>
    <w:p w:rsidR="00454D52" w:rsidRPr="007955BB" w:rsidRDefault="00454D52" w:rsidP="00454D52">
      <w:pPr>
        <w:spacing w:before="0" w:line="276" w:lineRule="auto"/>
        <w:rPr>
          <w:b w:val="0"/>
          <w:lang w:val="hy-AM"/>
        </w:rPr>
      </w:pPr>
      <w:r w:rsidRPr="007955BB">
        <w:rPr>
          <w:b w:val="0"/>
          <w:lang w:val="hy-AM"/>
        </w:rPr>
        <w:t>Ծրագրի նպատակն է գյուղատնտեսական տեխնիկական համակարգերի արդիականացումը, ինտենսիվ այգիների ներդրման և տոհմաբուծության մեջ նոր ցեղատեսակների բուծման գծով աջակցությունը: Ծրագրի շրջանակներում նախատեսվում է սուբսիդավորել՝</w:t>
      </w:r>
    </w:p>
    <w:p w:rsidR="00454D52" w:rsidRPr="007955BB" w:rsidRDefault="00454D52" w:rsidP="00454D52">
      <w:pPr>
        <w:spacing w:before="0" w:line="276" w:lineRule="auto"/>
        <w:rPr>
          <w:b w:val="0"/>
          <w:lang w:val="hy-AM"/>
        </w:rPr>
      </w:pPr>
      <w:r w:rsidRPr="007955BB">
        <w:rPr>
          <w:b w:val="0"/>
          <w:lang w:val="hy-AM"/>
        </w:rPr>
        <w:t xml:space="preserve">- նախորդ տարիներին հիմնված՝ 1,972.9 հեկտար նոր ինտենսիվ պտղատու այգիների համար տրամադրված վարկերը, </w:t>
      </w:r>
    </w:p>
    <w:p w:rsidR="00454D52" w:rsidRPr="007955BB" w:rsidRDefault="00454D52" w:rsidP="00454D52">
      <w:pPr>
        <w:spacing w:before="0" w:line="276" w:lineRule="auto"/>
        <w:rPr>
          <w:b w:val="0"/>
          <w:lang w:val="hy-AM"/>
        </w:rPr>
      </w:pPr>
      <w:r w:rsidRPr="007955BB">
        <w:rPr>
          <w:b w:val="0"/>
          <w:lang w:val="hy-AM"/>
        </w:rPr>
        <w:t xml:space="preserve">- 1,520 տնտեսավարող սուբյեկտի՝ 2023 թվականին տրամադրվելիք և նախորդ տարիներին տրամադրված՝ գյուղատնտեսական տեխնիկա ձեռքբերելու նպատակով վարկերը, </w:t>
      </w:r>
    </w:p>
    <w:p w:rsidR="00454D52" w:rsidRPr="007955BB" w:rsidRDefault="00454D52" w:rsidP="00454D52">
      <w:pPr>
        <w:spacing w:before="0" w:line="276" w:lineRule="auto"/>
        <w:rPr>
          <w:b w:val="0"/>
          <w:lang w:val="hy-AM"/>
        </w:rPr>
      </w:pPr>
      <w:r w:rsidRPr="007955BB">
        <w:rPr>
          <w:b w:val="0"/>
          <w:lang w:val="hy-AM"/>
        </w:rPr>
        <w:t xml:space="preserve">- 510 տնտեսավարող սուբյեկտի՝ 2023 թվականին տրամադրվելիք և նախորդ տարիներին տրամադրված ագրոպարենային ոլորտի սարքավորումներ ձեռքբերելու նպատակով վարկերը, </w:t>
      </w:r>
    </w:p>
    <w:p w:rsidR="00454D52" w:rsidRPr="007955BB" w:rsidRDefault="00454D52" w:rsidP="00454D52">
      <w:pPr>
        <w:spacing w:before="0" w:line="276" w:lineRule="auto"/>
        <w:rPr>
          <w:b w:val="0"/>
          <w:lang w:val="hy-AM"/>
        </w:rPr>
      </w:pPr>
      <w:r w:rsidRPr="007955BB">
        <w:rPr>
          <w:b w:val="0"/>
          <w:lang w:val="hy-AM"/>
        </w:rPr>
        <w:t xml:space="preserve">- 1157.3 հեկտար տարածքում ոռոգման արդիական համակարգ ներդնելու նպատակով նախորդ տարիներին տրամադրված վարկերը, </w:t>
      </w:r>
    </w:p>
    <w:p w:rsidR="00454D52" w:rsidRPr="007955BB" w:rsidRDefault="00454D52" w:rsidP="00454D52">
      <w:pPr>
        <w:spacing w:before="0" w:line="276" w:lineRule="auto"/>
        <w:rPr>
          <w:b w:val="0"/>
          <w:lang w:val="hy-AM"/>
        </w:rPr>
      </w:pPr>
      <w:r w:rsidRPr="007955BB">
        <w:rPr>
          <w:b w:val="0"/>
          <w:lang w:val="hy-AM"/>
        </w:rPr>
        <w:t xml:space="preserve">- 450 հեկտար տարածքում ինտենսիվ այգիներ հիմնելու նպատակով 2023թ. տրամադրվելիք վարկերը, </w:t>
      </w:r>
    </w:p>
    <w:p w:rsidR="00454D52" w:rsidRPr="007955BB" w:rsidRDefault="00454D52" w:rsidP="00454D52">
      <w:pPr>
        <w:spacing w:before="0" w:line="276" w:lineRule="auto"/>
        <w:rPr>
          <w:b w:val="0"/>
          <w:lang w:val="hy-AM"/>
        </w:rPr>
      </w:pPr>
      <w:r w:rsidRPr="007955BB">
        <w:rPr>
          <w:b w:val="0"/>
          <w:lang w:val="hy-AM"/>
        </w:rPr>
        <w:t xml:space="preserve">- նախորդ տարիներին 145.5 հեկտար տարածքում տեղակայված կարկտապաշտպան ցանցային համակարգերի համար տրամադրված վարկերը, </w:t>
      </w:r>
    </w:p>
    <w:p w:rsidR="00454D52" w:rsidRPr="007955BB" w:rsidRDefault="00454D52" w:rsidP="00454D52">
      <w:pPr>
        <w:spacing w:before="0" w:line="276" w:lineRule="auto"/>
        <w:rPr>
          <w:b w:val="0"/>
          <w:lang w:val="hy-AM"/>
        </w:rPr>
      </w:pPr>
      <w:r w:rsidRPr="007955BB">
        <w:rPr>
          <w:b w:val="0"/>
          <w:lang w:val="hy-AM"/>
        </w:rPr>
        <w:t xml:space="preserve">- 1890 գլուխ խոշոր եղջերավոր տոհմային կենդանիների ձեռքբերման համար նախորդ տարիներին տրամադրված և 450 խոշոր եղջերավոր տոհմային կենդանիների ձեռքբերման համար 2023 թվականին տրամադրվելիք վարկերը: </w:t>
      </w:r>
    </w:p>
    <w:p w:rsidR="00454D52" w:rsidRPr="007955BB" w:rsidRDefault="00454D52" w:rsidP="00454D52">
      <w:pPr>
        <w:spacing w:before="0" w:line="276" w:lineRule="auto"/>
        <w:rPr>
          <w:b w:val="0"/>
          <w:lang w:val="hy-AM"/>
        </w:rPr>
      </w:pPr>
      <w:r w:rsidRPr="007955BB">
        <w:rPr>
          <w:b w:val="0"/>
          <w:lang w:val="hy-AM"/>
        </w:rPr>
        <w:t xml:space="preserve">Ծրագրի շրջանակներում նախատեսվում է նաև մասնակի փոխհատուցել նախորդ տարիներից կառուցվող կամ վերակառուցվող 21 անասնաշենքի գծով և 85 հեկտար ինտենսիվ պտղատու այգիների հիմնման համար կատարված ծախսերը, ինչպես նաև 2023թ. կառուցվող կամ վերակառուցվող 4 անասնաշենքի, ձեռքբերվող 200 գլուխ մանր եղջերավոր տոհմային կենդանիների, հիմնվող 50 հեկտար ինտենսիվ պտղատու այգիների և ներդրվող 100 հա ոռոգման արդիական համակարգերի գծով կատարվող ծախսերը: </w:t>
      </w:r>
    </w:p>
    <w:p w:rsidR="00454D52" w:rsidRPr="007955BB" w:rsidRDefault="00454D52" w:rsidP="00454D52">
      <w:pPr>
        <w:spacing w:before="0" w:line="276" w:lineRule="auto"/>
        <w:ind w:firstLine="562"/>
        <w:rPr>
          <w:b w:val="0"/>
          <w:lang w:val="hy-AM"/>
        </w:rPr>
      </w:pPr>
      <w:r w:rsidRPr="007955BB">
        <w:rPr>
          <w:bCs/>
          <w:lang w:val="hy-AM"/>
        </w:rPr>
        <w:t xml:space="preserve">Գյուղական ենթակառուցվածքների վերականգնում և զարգացում </w:t>
      </w:r>
      <w:r w:rsidRPr="007955BB">
        <w:rPr>
          <w:b w:val="0"/>
          <w:lang w:val="hy-AM"/>
        </w:rPr>
        <w:t>ծրագրի գծով 2023 թվականին նախատեսվել է հատկացնել 6</w:t>
      </w:r>
      <w:r w:rsidR="006A662A" w:rsidRPr="006A662A">
        <w:rPr>
          <w:b w:val="0"/>
          <w:lang w:val="hy-AM"/>
        </w:rPr>
        <w:t>33</w:t>
      </w:r>
      <w:r w:rsidRPr="007955BB">
        <w:rPr>
          <w:b w:val="0"/>
          <w:lang w:val="hy-AM"/>
        </w:rPr>
        <w:t>.</w:t>
      </w:r>
      <w:r w:rsidR="006A662A" w:rsidRPr="006A662A">
        <w:rPr>
          <w:b w:val="0"/>
          <w:lang w:val="hy-AM"/>
        </w:rPr>
        <w:t>9</w:t>
      </w:r>
      <w:r w:rsidRPr="007955BB">
        <w:rPr>
          <w:b w:val="0"/>
          <w:lang w:val="hy-AM"/>
        </w:rPr>
        <w:t xml:space="preserve"> մլն դրամ:</w:t>
      </w:r>
    </w:p>
    <w:p w:rsidR="00454D52" w:rsidRPr="007955BB" w:rsidRDefault="00454D52" w:rsidP="00454D52">
      <w:pPr>
        <w:spacing w:before="0" w:line="276" w:lineRule="auto"/>
        <w:ind w:firstLine="562"/>
        <w:rPr>
          <w:b w:val="0"/>
          <w:lang w:val="hy-AM"/>
        </w:rPr>
      </w:pPr>
      <w:r w:rsidRPr="007955BB">
        <w:rPr>
          <w:b w:val="0"/>
          <w:lang w:val="hy-AM"/>
        </w:rPr>
        <w:t>Ծրագրի նպատակն է բարձրացնել գյուղատնտեսության ոլորտի  արդյունավետությունը: Ծրագրի շրջանակներում նախատեսվում է ՀՀ Արմավիրի և Արարատի մարզերում ներդնել ժամանակակից ոռոգման համակարգեր՝ գյուղացիական տնտեսվարողներին աջակցության նպատակով:</w:t>
      </w:r>
    </w:p>
    <w:p w:rsidR="00454D52" w:rsidRPr="007955BB" w:rsidRDefault="00454D52" w:rsidP="00454D52">
      <w:pPr>
        <w:spacing w:before="0" w:line="276" w:lineRule="auto"/>
        <w:rPr>
          <w:b w:val="0"/>
          <w:lang w:val="hy-AM"/>
        </w:rPr>
      </w:pPr>
      <w:r w:rsidRPr="007955BB">
        <w:rPr>
          <w:lang w:val="hy-AM"/>
        </w:rPr>
        <w:t xml:space="preserve">Ենթակառուցվածքների և գյուղական ֆինասավորման աջակցություն </w:t>
      </w:r>
      <w:r w:rsidRPr="007955BB">
        <w:rPr>
          <w:b w:val="0"/>
          <w:lang w:val="hy-AM"/>
        </w:rPr>
        <w:t>ծրագրի գծով 2023 թվականին նախատեսվել է հատկացնել 6</w:t>
      </w:r>
      <w:r w:rsidR="006A662A" w:rsidRPr="00E44BD0">
        <w:rPr>
          <w:b w:val="0"/>
          <w:lang w:val="hy-AM"/>
        </w:rPr>
        <w:t>26</w:t>
      </w:r>
      <w:r w:rsidRPr="007955BB">
        <w:rPr>
          <w:b w:val="0"/>
          <w:lang w:val="hy-AM"/>
        </w:rPr>
        <w:t>.2 մլն դրամ:</w:t>
      </w:r>
    </w:p>
    <w:p w:rsidR="00454D52" w:rsidRPr="00C43BF7" w:rsidRDefault="00454D52" w:rsidP="00454D52">
      <w:pPr>
        <w:spacing w:before="0" w:line="276" w:lineRule="auto"/>
        <w:rPr>
          <w:rFonts w:cs="Sylfaen"/>
          <w:b w:val="0"/>
          <w:bCs/>
          <w:lang w:val="hy-AM"/>
        </w:rPr>
      </w:pPr>
      <w:r w:rsidRPr="007955BB">
        <w:rPr>
          <w:b w:val="0"/>
          <w:lang w:val="hy-AM"/>
        </w:rPr>
        <w:t xml:space="preserve">Ծրագրի նպատակն է բարելավել գյուղական ազգաբնակչության տնտեսական ու սոցիալական կարգավիճակը և ստեղծել զբաղվածության </w:t>
      </w:r>
      <w:r w:rsidRPr="007955BB">
        <w:rPr>
          <w:rFonts w:cs="Arial"/>
          <w:b w:val="0"/>
          <w:lang w:val="hy-AM"/>
        </w:rPr>
        <w:t>ապահովման կայուն</w:t>
      </w:r>
      <w:r w:rsidRPr="007955BB">
        <w:rPr>
          <w:b w:val="0"/>
          <w:lang w:val="hy-AM"/>
        </w:rPr>
        <w:t xml:space="preserve"> </w:t>
      </w:r>
      <w:r w:rsidRPr="007955BB">
        <w:rPr>
          <w:rFonts w:cs="Arial"/>
          <w:b w:val="0"/>
          <w:lang w:val="hy-AM"/>
        </w:rPr>
        <w:t>մեխանիզմներ՝ զարգացնելով արտադրական համակարգերը և կապը</w:t>
      </w:r>
      <w:r w:rsidRPr="007955BB">
        <w:rPr>
          <w:b w:val="0"/>
          <w:lang w:val="hy-AM"/>
        </w:rPr>
        <w:t xml:space="preserve"> </w:t>
      </w:r>
      <w:r w:rsidRPr="007955BB">
        <w:rPr>
          <w:rFonts w:cs="Arial"/>
          <w:b w:val="0"/>
          <w:lang w:val="hy-AM"/>
        </w:rPr>
        <w:t>ապրանքային մշակաբույսերի արտադրության արժեշղթային օղակների հետ</w:t>
      </w:r>
      <w:r w:rsidRPr="007955BB">
        <w:rPr>
          <w:b w:val="0"/>
          <w:lang w:val="hy-AM"/>
        </w:rPr>
        <w:t xml:space="preserve">: Ծրագրի շրջանակներում </w:t>
      </w:r>
      <w:r w:rsidRPr="00C43BF7">
        <w:rPr>
          <w:rFonts w:cs="Sylfaen"/>
          <w:b w:val="0"/>
          <w:bCs/>
          <w:lang w:val="hy-AM"/>
        </w:rPr>
        <w:t>նախատեսվում է ՀՀ 4 համայնքներում իրականացնել ներդրումներ կայուն գյուղատնտեսական համակարգերում և տեխնոլոգիաներում, իրականացնել համայնքային հողերի էրոզիայի կանխարգելում:</w:t>
      </w:r>
    </w:p>
    <w:p w:rsidR="00454D52" w:rsidRPr="007955BB" w:rsidRDefault="00454D52" w:rsidP="00454D52">
      <w:pPr>
        <w:spacing w:before="0" w:line="276" w:lineRule="auto"/>
        <w:rPr>
          <w:b w:val="0"/>
          <w:lang w:val="hy-AM"/>
        </w:rPr>
      </w:pPr>
      <w:r w:rsidRPr="007955BB">
        <w:rPr>
          <w:lang w:val="hy-AM"/>
        </w:rPr>
        <w:t xml:space="preserve">Զբոսաշրջության զարգացման </w:t>
      </w:r>
      <w:r w:rsidRPr="007955BB">
        <w:rPr>
          <w:b w:val="0"/>
          <w:lang w:val="hy-AM"/>
        </w:rPr>
        <w:t>ծրագրի գծով 2023 թվ</w:t>
      </w:r>
      <w:r w:rsidR="006945DD">
        <w:rPr>
          <w:b w:val="0"/>
          <w:lang w:val="hy-AM"/>
        </w:rPr>
        <w:t>ականին նախատեսվել է հատկացնել 7,</w:t>
      </w:r>
      <w:r w:rsidR="00E44BD0" w:rsidRPr="00C43BF7">
        <w:rPr>
          <w:b w:val="0"/>
          <w:lang w:val="hy-AM"/>
        </w:rPr>
        <w:t>505</w:t>
      </w:r>
      <w:r w:rsidRPr="00C43BF7">
        <w:rPr>
          <w:b w:val="0"/>
          <w:lang w:val="hy-AM"/>
        </w:rPr>
        <w:t>.</w:t>
      </w:r>
      <w:r w:rsidR="00E44BD0" w:rsidRPr="00C43BF7">
        <w:rPr>
          <w:b w:val="0"/>
          <w:lang w:val="hy-AM"/>
        </w:rPr>
        <w:t>0</w:t>
      </w:r>
      <w:r w:rsidRPr="007955BB">
        <w:rPr>
          <w:b w:val="0"/>
          <w:lang w:val="hy-AM"/>
        </w:rPr>
        <w:t xml:space="preserve"> մլն դրամ:</w:t>
      </w:r>
    </w:p>
    <w:p w:rsidR="00454D52" w:rsidRPr="007955BB" w:rsidRDefault="00454D52" w:rsidP="00454D52">
      <w:pPr>
        <w:spacing w:before="0" w:line="276" w:lineRule="auto"/>
        <w:rPr>
          <w:b w:val="0"/>
          <w:lang w:val="hy-AM"/>
        </w:rPr>
      </w:pPr>
      <w:r w:rsidRPr="007955BB">
        <w:rPr>
          <w:b w:val="0"/>
          <w:lang w:val="hy-AM"/>
        </w:rPr>
        <w:t>Ծրագրի նպատակն է նպաստել ապահովել Հայաստան զբոսաշրջային այցելությունների դինամիկ աճին, Հայաստանի  կայուն և համաչափ տարածքային տնտեսական զարգացմանը, պատմամշակութային և բնության ժառանգության պահպանությանը, զարգացմանը և պատշաճ ներկայացմանն ու խթանմանը։</w:t>
      </w:r>
    </w:p>
    <w:p w:rsidR="00454D52" w:rsidRPr="007955BB" w:rsidRDefault="00454D52" w:rsidP="00454D52">
      <w:pPr>
        <w:spacing w:before="0" w:line="276" w:lineRule="auto"/>
        <w:rPr>
          <w:b w:val="0"/>
          <w:lang w:val="hy-AM"/>
        </w:rPr>
      </w:pPr>
      <w:r w:rsidRPr="007955BB">
        <w:rPr>
          <w:b w:val="0"/>
          <w:lang w:val="hy-AM"/>
        </w:rPr>
        <w:t xml:space="preserve"> Ծրագրի շրջանակներում նախատեսվում է նաև զբոսաշրջային վայրերի բարելավված մուտքային 7 կմ ճանապարհահատվածի կառուցման, 1 զբոսայգու բարելավման և փողոցային լուսավորության թվով 160 սյուների ու լամպերի փոխարինման աշխատանքներ:   Զբոսաշրջության աջակցության հետ կապված գործողությունների միջոցով  կստեղծվեն 350 ժամանակավոր և մշտական  աշխատատեղեր, միջազգային 4 ցուցահանդեսների մասնակցություն, միջազգային 8 ճանաչողական այցերի կազմակերպում, պետական աջակցություն ՀՀ մարզերում 8 փառատոների  կազմակերպմանը, 2 միջազգային միջոցառման կազմակերպում, աջակցություն զբոսաշրջային տեղեկատվական 6 կենտրոնների գործունեությանը, 3 թիրախային երկրներում ռոուդ շոուների կազմակերպում, պետական աջակցություն 5 DMO-ների (զբոսաշրջային այցելավայրերի կառավարման կազմակերպություններ) գործունեությանը, 2 միջազգային միջոցառման կազմակերպում:</w:t>
      </w:r>
    </w:p>
    <w:p w:rsidR="00F54D73" w:rsidRPr="007955BB" w:rsidRDefault="00F54D73" w:rsidP="00574F8B">
      <w:pPr>
        <w:spacing w:before="0" w:line="276" w:lineRule="auto"/>
        <w:rPr>
          <w:b w:val="0"/>
          <w:lang w:val="hy-AM"/>
        </w:rPr>
      </w:pPr>
    </w:p>
    <w:p w:rsidR="00F82D13" w:rsidRPr="007955BB" w:rsidRDefault="00F82D13" w:rsidP="00F82D13">
      <w:pPr>
        <w:keepNext/>
        <w:spacing w:before="0" w:line="276" w:lineRule="auto"/>
        <w:ind w:firstLine="0"/>
        <w:contextualSpacing w:val="0"/>
        <w:jc w:val="center"/>
        <w:outlineLvl w:val="2"/>
        <w:rPr>
          <w:sz w:val="24"/>
          <w:lang w:val="hy-AM"/>
        </w:rPr>
      </w:pPr>
      <w:bookmarkStart w:id="339" w:name="_Toc120805226"/>
      <w:r w:rsidRPr="007955BB">
        <w:rPr>
          <w:rFonts w:cs="Arial"/>
          <w:sz w:val="24"/>
          <w:lang w:val="hy-AM" w:eastAsia="en-US"/>
        </w:rPr>
        <w:t>ՀՀ ֆինանսների նախա</w:t>
      </w:r>
      <w:r w:rsidRPr="007955BB">
        <w:rPr>
          <w:rFonts w:cs="Arial"/>
          <w:sz w:val="24"/>
          <w:lang w:val="hy-AM" w:eastAsia="en-US"/>
        </w:rPr>
        <w:softHyphen/>
        <w:t>րարու</w:t>
      </w:r>
      <w:r w:rsidRPr="007955BB">
        <w:rPr>
          <w:rFonts w:cs="Arial"/>
          <w:sz w:val="24"/>
          <w:lang w:val="hy-AM" w:eastAsia="en-US"/>
        </w:rPr>
        <w:softHyphen/>
        <w:t>թյուն</w:t>
      </w:r>
      <w:bookmarkEnd w:id="339"/>
    </w:p>
    <w:p w:rsidR="00F82D13" w:rsidRPr="007955BB" w:rsidRDefault="00100580" w:rsidP="00F82D13">
      <w:pPr>
        <w:spacing w:before="0" w:line="276" w:lineRule="auto"/>
        <w:rPr>
          <w:b w:val="0"/>
          <w:lang w:val="hy-AM"/>
        </w:rPr>
      </w:pPr>
      <w:r w:rsidRPr="007955BB">
        <w:rPr>
          <w:b w:val="0"/>
          <w:color w:val="000000"/>
          <w:szCs w:val="22"/>
          <w:lang w:val="hy-AM" w:eastAsia="en-US"/>
        </w:rPr>
        <w:t>ՀՀ ֆինանսերի</w:t>
      </w:r>
      <w:r w:rsidR="00F82D13" w:rsidRPr="007955BB">
        <w:rPr>
          <w:b w:val="0"/>
          <w:color w:val="000000"/>
          <w:szCs w:val="22"/>
          <w:lang w:val="hy-AM" w:eastAsia="en-US"/>
        </w:rPr>
        <w:t xml:space="preserve"> նախա</w:t>
      </w:r>
      <w:r w:rsidR="00F82D13" w:rsidRPr="007955BB">
        <w:rPr>
          <w:b w:val="0"/>
          <w:color w:val="000000"/>
          <w:szCs w:val="22"/>
          <w:lang w:val="hy-AM" w:eastAsia="en-US"/>
        </w:rPr>
        <w:softHyphen/>
        <w:t>րարու</w:t>
      </w:r>
      <w:r w:rsidR="00F82D13" w:rsidRPr="007955BB">
        <w:rPr>
          <w:b w:val="0"/>
          <w:color w:val="000000"/>
          <w:szCs w:val="22"/>
          <w:lang w:val="hy-AM" w:eastAsia="en-US"/>
        </w:rPr>
        <w:softHyphen/>
        <w:t xml:space="preserve">թյան գծով Նախագծով նախատեսվում է հատկացնել </w:t>
      </w:r>
      <w:r w:rsidR="008152DD" w:rsidRPr="007955BB">
        <w:rPr>
          <w:b w:val="0"/>
          <w:color w:val="000000"/>
          <w:szCs w:val="22"/>
          <w:lang w:val="af-ZA" w:eastAsia="en-US"/>
        </w:rPr>
        <w:t>2</w:t>
      </w:r>
      <w:r w:rsidR="001D11E7" w:rsidRPr="007955BB">
        <w:rPr>
          <w:b w:val="0"/>
          <w:color w:val="000000"/>
          <w:szCs w:val="22"/>
          <w:lang w:val="af-ZA" w:eastAsia="en-US"/>
        </w:rPr>
        <w:t>76</w:t>
      </w:r>
      <w:r w:rsidR="008152DD" w:rsidRPr="007955BB">
        <w:rPr>
          <w:b w:val="0"/>
          <w:color w:val="000000"/>
          <w:szCs w:val="22"/>
          <w:lang w:val="af-ZA" w:eastAsia="en-US"/>
        </w:rPr>
        <w:t>,</w:t>
      </w:r>
      <w:r w:rsidR="00C34945" w:rsidRPr="007955BB">
        <w:rPr>
          <w:b w:val="0"/>
          <w:color w:val="000000"/>
          <w:szCs w:val="22"/>
          <w:lang w:val="af-ZA" w:eastAsia="en-US"/>
        </w:rPr>
        <w:t>367.6</w:t>
      </w:r>
      <w:r w:rsidR="00F82D13" w:rsidRPr="007955BB">
        <w:rPr>
          <w:b w:val="0"/>
          <w:color w:val="000000"/>
          <w:szCs w:val="22"/>
          <w:lang w:val="hy-AM" w:eastAsia="en-US"/>
        </w:rPr>
        <w:t xml:space="preserve"> մլն դրամ (ներառյալ կառավարման ապարատի պահպանման ծախսերը): Հատկացվելիք միջոցներն</w:t>
      </w:r>
      <w:r w:rsidR="00F82D13" w:rsidRPr="007955BB">
        <w:rPr>
          <w:b w:val="0"/>
          <w:lang w:val="hy-AM"/>
        </w:rPr>
        <w:t xml:space="preserve"> ուղղվելու են հետևյալ ծրագրերի իրականացմանը.</w:t>
      </w:r>
    </w:p>
    <w:p w:rsidR="00E622DF" w:rsidRPr="007955BB" w:rsidRDefault="00E622DF" w:rsidP="005C7E87">
      <w:pPr>
        <w:pStyle w:val="ListParagraph"/>
        <w:spacing w:before="0" w:line="276" w:lineRule="auto"/>
        <w:ind w:left="0"/>
        <w:rPr>
          <w:b w:val="0"/>
          <w:lang w:val="hy-AM"/>
        </w:rPr>
      </w:pPr>
      <w:r w:rsidRPr="007955BB">
        <w:rPr>
          <w:lang w:val="hy-AM"/>
        </w:rPr>
        <w:t>Պետական պարտքի կառավարում</w:t>
      </w:r>
      <w:r w:rsidRPr="007955BB">
        <w:rPr>
          <w:b w:val="0"/>
          <w:lang w:val="hy-AM"/>
        </w:rPr>
        <w:t xml:space="preserve"> ծրագրի գծով 202</w:t>
      </w:r>
      <w:r w:rsidR="001D11E7" w:rsidRPr="007955BB">
        <w:rPr>
          <w:b w:val="0"/>
          <w:lang w:val="hy-AM"/>
        </w:rPr>
        <w:t>3</w:t>
      </w:r>
      <w:r w:rsidRPr="007955BB">
        <w:rPr>
          <w:b w:val="0"/>
          <w:lang w:val="hy-AM"/>
        </w:rPr>
        <w:t xml:space="preserve"> թվականին նախատեսվել է հատկացնել 2</w:t>
      </w:r>
      <w:r w:rsidR="001D11E7" w:rsidRPr="007955BB">
        <w:rPr>
          <w:b w:val="0"/>
          <w:lang w:val="hy-AM"/>
        </w:rPr>
        <w:t>72</w:t>
      </w:r>
      <w:r w:rsidRPr="007955BB">
        <w:rPr>
          <w:b w:val="0"/>
          <w:lang w:val="hy-AM"/>
        </w:rPr>
        <w:t>,</w:t>
      </w:r>
      <w:r w:rsidR="001D11E7" w:rsidRPr="007955BB">
        <w:rPr>
          <w:b w:val="0"/>
          <w:lang w:val="hy-AM"/>
        </w:rPr>
        <w:t>195</w:t>
      </w:r>
      <w:r w:rsidRPr="007955BB">
        <w:rPr>
          <w:b w:val="0"/>
          <w:lang w:val="hy-AM"/>
        </w:rPr>
        <w:t>.</w:t>
      </w:r>
      <w:r w:rsidR="001D11E7" w:rsidRPr="007955BB">
        <w:rPr>
          <w:b w:val="0"/>
          <w:lang w:val="hy-AM"/>
        </w:rPr>
        <w:t>2</w:t>
      </w:r>
      <w:r w:rsidRPr="007955BB">
        <w:rPr>
          <w:b w:val="0"/>
          <w:lang w:val="hy-AM"/>
        </w:rPr>
        <w:t xml:space="preserve"> մլն դրամ: Ծրագրի նպատակն է Կառավարության ֆինանսական կարիքների բավարարման մշտական հնարավորության ապահովումը` երկարաժամկետ հատվածում նվազեցնելով պարտքի սպասարկման մեծությունը: Ծրագրի շրջանակներում նախատեսվում է </w:t>
      </w:r>
      <w:r w:rsidR="005C7E87" w:rsidRPr="007955BB">
        <w:rPr>
          <w:b w:val="0"/>
          <w:lang w:val="hy-AM"/>
        </w:rPr>
        <w:t>արտարժութային պետական պարտատոմսերի թողարկում, ՀՀ պետական պարտքի կառավարման գործընթացի հրապարակայնության ապահովում, պարտքի կառավարմանն առնչվող տեղեկատվական համակարգերի և ծրագրերի սպասարկում և կառավարության պարտքի և մուրհակների սպասարկում:</w:t>
      </w:r>
    </w:p>
    <w:p w:rsidR="00640ECA" w:rsidRPr="007955BB" w:rsidRDefault="00640ECA" w:rsidP="0059116C">
      <w:pPr>
        <w:pStyle w:val="ListParagraph"/>
        <w:spacing w:before="0" w:line="276" w:lineRule="auto"/>
        <w:ind w:left="0"/>
        <w:rPr>
          <w:b w:val="0"/>
          <w:lang w:val="hy-AM"/>
        </w:rPr>
      </w:pPr>
      <w:r w:rsidRPr="007955BB">
        <w:rPr>
          <w:lang w:val="hy-AM"/>
        </w:rPr>
        <w:t>Հանրային հատվածի ֆինանսական ոլորտի մասնագետների վերապատրաստում</w:t>
      </w:r>
      <w:r w:rsidRPr="007955BB">
        <w:rPr>
          <w:b w:val="0"/>
          <w:lang w:val="hy-AM"/>
        </w:rPr>
        <w:t xml:space="preserve">  ծրագրի գծով նախատեսվել է հատկացնել </w:t>
      </w:r>
      <w:r w:rsidR="005C7E87" w:rsidRPr="007955BB">
        <w:rPr>
          <w:b w:val="0"/>
          <w:lang w:val="hy-AM"/>
        </w:rPr>
        <w:t>2</w:t>
      </w:r>
      <w:r w:rsidR="001D11E7" w:rsidRPr="007955BB">
        <w:rPr>
          <w:b w:val="0"/>
          <w:lang w:val="hy-AM"/>
        </w:rPr>
        <w:t>3</w:t>
      </w:r>
      <w:r w:rsidR="005C7E87" w:rsidRPr="007955BB">
        <w:rPr>
          <w:b w:val="0"/>
          <w:lang w:val="hy-AM"/>
        </w:rPr>
        <w:t>.</w:t>
      </w:r>
      <w:r w:rsidR="001D11E7" w:rsidRPr="007955BB">
        <w:rPr>
          <w:b w:val="0"/>
          <w:lang w:val="hy-AM"/>
        </w:rPr>
        <w:t>6</w:t>
      </w:r>
      <w:r w:rsidR="005C7E87" w:rsidRPr="007955BB">
        <w:rPr>
          <w:b w:val="0"/>
          <w:lang w:val="hy-AM"/>
        </w:rPr>
        <w:t xml:space="preserve"> </w:t>
      </w:r>
      <w:r w:rsidRPr="007955BB">
        <w:rPr>
          <w:b w:val="0"/>
          <w:lang w:val="hy-AM"/>
        </w:rPr>
        <w:t xml:space="preserve">մլն դրամ: Ծրագրի նպատակն է հանրային հատվածի ֆինանսական ոլորտի մասնագետների աշխատանքի արդյունավետության բարելավումը, հանրային ֆինանսների կառավարման նոր գիտելիքների և փորձի յուրացումը: Ծրագրի շրջանակներում նախատեսվում է </w:t>
      </w:r>
      <w:r w:rsidR="003725C2" w:rsidRPr="007955BB">
        <w:rPr>
          <w:b w:val="0"/>
          <w:lang w:val="hy-AM"/>
        </w:rPr>
        <w:t>իրականացնել հետևյալ միջոցառումը:</w:t>
      </w:r>
    </w:p>
    <w:p w:rsidR="0059116C" w:rsidRPr="007955BB" w:rsidRDefault="005C7E87" w:rsidP="0059116C">
      <w:pPr>
        <w:spacing w:before="0" w:line="276" w:lineRule="auto"/>
        <w:ind w:firstLine="576"/>
        <w:rPr>
          <w:rFonts w:cs="Sylfaen"/>
          <w:sz w:val="24"/>
          <w:lang w:val="hy-AM"/>
        </w:rPr>
      </w:pPr>
      <w:r w:rsidRPr="007955BB">
        <w:rPr>
          <w:lang w:val="hy-AM"/>
        </w:rPr>
        <w:t>Հանրային ֆինանսների կառավարման բնագավառում պետական քաղաքականության մշակում, ծրագրերի համակարգում և մոնիտորինգ</w:t>
      </w:r>
      <w:r w:rsidRPr="007955BB">
        <w:rPr>
          <w:b w:val="0"/>
          <w:lang w:val="hy-AM"/>
        </w:rPr>
        <w:t xml:space="preserve"> ծրագրի գծով 202</w:t>
      </w:r>
      <w:r w:rsidR="001D11E7" w:rsidRPr="007955BB">
        <w:rPr>
          <w:b w:val="0"/>
          <w:lang w:val="hy-AM"/>
        </w:rPr>
        <w:t>3</w:t>
      </w:r>
      <w:r w:rsidRPr="007955BB">
        <w:rPr>
          <w:b w:val="0"/>
          <w:lang w:val="hy-AM"/>
        </w:rPr>
        <w:t xml:space="preserve"> թ</w:t>
      </w:r>
      <w:r w:rsidR="00C34945" w:rsidRPr="007955BB">
        <w:rPr>
          <w:b w:val="0"/>
          <w:lang w:val="hy-AM"/>
        </w:rPr>
        <w:t>վականին նախատեսվել է հատկացնել 4</w:t>
      </w:r>
      <w:r w:rsidRPr="007955BB">
        <w:rPr>
          <w:b w:val="0"/>
          <w:lang w:val="hy-AM"/>
        </w:rPr>
        <w:t>,</w:t>
      </w:r>
      <w:r w:rsidR="00C34945" w:rsidRPr="007955BB">
        <w:rPr>
          <w:b w:val="0"/>
          <w:lang w:val="hy-AM"/>
        </w:rPr>
        <w:t>029</w:t>
      </w:r>
      <w:r w:rsidR="008152DD" w:rsidRPr="007955BB">
        <w:rPr>
          <w:b w:val="0"/>
          <w:lang w:val="hy-AM"/>
        </w:rPr>
        <w:t>.</w:t>
      </w:r>
      <w:r w:rsidR="00C34945" w:rsidRPr="007955BB">
        <w:rPr>
          <w:b w:val="0"/>
          <w:lang w:val="hy-AM"/>
        </w:rPr>
        <w:t>5</w:t>
      </w:r>
      <w:r w:rsidR="008152DD" w:rsidRPr="007955BB">
        <w:rPr>
          <w:b w:val="0"/>
          <w:lang w:val="hy-AM"/>
        </w:rPr>
        <w:t xml:space="preserve"> </w:t>
      </w:r>
      <w:r w:rsidRPr="007955BB">
        <w:rPr>
          <w:b w:val="0"/>
          <w:lang w:val="hy-AM"/>
        </w:rPr>
        <w:t>մլն դրամ: Ծրագրի նպատակն է հանրային ֆինանսների կառավարման բնագավառում պետական քաղաքականության մշակումը և դրա կատարման համակարգումը, պետական ծրագրերի պլանավորումը, մշակումը, մոնիտորինգի (վերահսկման) ծառայությունների իրականացումը:</w:t>
      </w:r>
      <w:r w:rsidR="0059116C" w:rsidRPr="007955BB">
        <w:rPr>
          <w:b w:val="0"/>
          <w:lang w:val="hy-AM"/>
        </w:rPr>
        <w:t xml:space="preserve"> Ծրագրի շրջանակներում նախատեսվում է նաև ֆինանսական կառավարման համակարգի վճարահաշվարկային ծառայությունների մատուցում, ՀՀ համապատասխան վարկանիշի միջազգային հարթակում ապահովման նպատակով՝ ՀՀ սուվերեն վարկանիշի ստացում,  ՀՀ </w:t>
      </w:r>
      <w:r w:rsidR="006B7ED0">
        <w:rPr>
          <w:b w:val="0"/>
          <w:lang w:val="hy-AM"/>
        </w:rPr>
        <w:t>ՖՆ</w:t>
      </w:r>
      <w:r w:rsidR="0059116C" w:rsidRPr="007955BB">
        <w:rPr>
          <w:b w:val="0"/>
          <w:lang w:val="hy-AM"/>
        </w:rPr>
        <w:t xml:space="preserve"> և ՌԴ ֆինանսների նախարարության միջև` </w:t>
      </w:r>
      <w:r w:rsidR="00991194">
        <w:rPr>
          <w:b w:val="0"/>
          <w:lang w:val="hy-AM"/>
        </w:rPr>
        <w:t>ՌԴ</w:t>
      </w:r>
      <w:r w:rsidR="0059116C" w:rsidRPr="007955BB">
        <w:rPr>
          <w:b w:val="0"/>
          <w:lang w:val="hy-AM"/>
        </w:rPr>
        <w:t xml:space="preserve"> կողմից </w:t>
      </w:r>
      <w:r w:rsidR="00D35F72">
        <w:rPr>
          <w:b w:val="0"/>
          <w:lang w:val="hy-AM"/>
        </w:rPr>
        <w:t>ՀՀ-ին</w:t>
      </w:r>
      <w:r w:rsidR="0059116C" w:rsidRPr="007955BB">
        <w:rPr>
          <w:b w:val="0"/>
          <w:lang w:val="hy-AM"/>
        </w:rPr>
        <w:t xml:space="preserve"> անհատույց ֆինանսական օգնության դրամաշնորհային ծրագրի շրջանակներում Կառավարության ֆինանսական կառավարման տեղեկատվական համակարգերի ներդրում:</w:t>
      </w:r>
    </w:p>
    <w:p w:rsidR="003725C2" w:rsidRPr="007955BB" w:rsidRDefault="003725C2" w:rsidP="003725C2">
      <w:pPr>
        <w:pStyle w:val="ListParagraph"/>
        <w:spacing w:before="0" w:line="276" w:lineRule="auto"/>
        <w:ind w:left="0"/>
        <w:rPr>
          <w:b w:val="0"/>
          <w:lang w:val="hy-AM"/>
        </w:rPr>
      </w:pPr>
      <w:r w:rsidRPr="007955BB">
        <w:rPr>
          <w:lang w:val="hy-AM"/>
        </w:rPr>
        <w:t>Գնումների գործընթացի կարգավորում և համակարգում</w:t>
      </w:r>
      <w:r w:rsidRPr="007955BB">
        <w:rPr>
          <w:b w:val="0"/>
          <w:lang w:val="hy-AM"/>
        </w:rPr>
        <w:t xml:space="preserve"> ծրագրի գծով նախատեսվել է հատկացնել </w:t>
      </w:r>
      <w:r w:rsidR="005C7E87" w:rsidRPr="007955BB">
        <w:rPr>
          <w:b w:val="0"/>
          <w:lang w:val="hy-AM"/>
        </w:rPr>
        <w:t>1</w:t>
      </w:r>
      <w:r w:rsidR="001D11E7" w:rsidRPr="007955BB">
        <w:rPr>
          <w:b w:val="0"/>
          <w:lang w:val="hy-AM"/>
        </w:rPr>
        <w:t>19</w:t>
      </w:r>
      <w:r w:rsidRPr="007955BB">
        <w:rPr>
          <w:b w:val="0"/>
          <w:lang w:val="hy-AM"/>
        </w:rPr>
        <w:t>.</w:t>
      </w:r>
      <w:r w:rsidR="001D11E7" w:rsidRPr="007955BB">
        <w:rPr>
          <w:b w:val="0"/>
          <w:lang w:val="hy-AM"/>
        </w:rPr>
        <w:t>3</w:t>
      </w:r>
      <w:r w:rsidRPr="007955BB">
        <w:rPr>
          <w:b w:val="0"/>
          <w:lang w:val="hy-AM"/>
        </w:rPr>
        <w:t xml:space="preserve"> մլն դրամ: Ծրագրի նպատակն է հանրային միջոցների ծախսման արդյունավետության բարձրացումը և կոռուպցիոն ռիսկերի նվազեցումը: </w:t>
      </w:r>
      <w:r w:rsidR="005C7E87" w:rsidRPr="007955BB">
        <w:rPr>
          <w:b w:val="0"/>
          <w:lang w:val="hy-AM"/>
        </w:rPr>
        <w:t xml:space="preserve">Ծրագրի շրջանակներում նախատեսվում է պետական գնումների գործընթացի թափանցիկության՝ հրապարակայնության և մրցակցության աստիճանի բարձրացում՝ </w:t>
      </w:r>
      <w:r w:rsidR="00DD3367" w:rsidRPr="007955BB">
        <w:rPr>
          <w:b w:val="0"/>
          <w:lang w:val="hy-AM"/>
        </w:rPr>
        <w:t>է</w:t>
      </w:r>
      <w:r w:rsidR="005C7E87" w:rsidRPr="007955BB">
        <w:rPr>
          <w:b w:val="0"/>
          <w:lang w:val="hy-AM"/>
        </w:rPr>
        <w:t>լեկտրոնային գնումների համակարգի տեխնիկական սպասարկ</w:t>
      </w:r>
      <w:r w:rsidR="00373658" w:rsidRPr="007955BB">
        <w:rPr>
          <w:b w:val="0"/>
          <w:lang w:val="hy-AM"/>
        </w:rPr>
        <w:t>ում</w:t>
      </w:r>
      <w:r w:rsidR="005C7E87" w:rsidRPr="007955BB">
        <w:rPr>
          <w:b w:val="0"/>
          <w:lang w:val="hy-AM"/>
        </w:rPr>
        <w:t xml:space="preserve"> և գնումների պլանավոր</w:t>
      </w:r>
      <w:r w:rsidR="00373658" w:rsidRPr="007955BB">
        <w:rPr>
          <w:b w:val="0"/>
          <w:lang w:val="hy-AM"/>
        </w:rPr>
        <w:t>ում</w:t>
      </w:r>
      <w:r w:rsidR="005C7E87" w:rsidRPr="007955BB">
        <w:rPr>
          <w:b w:val="0"/>
          <w:lang w:val="hy-AM"/>
        </w:rPr>
        <w:t>, պայմանագրերի կառավարման ու գնումների հաշվետվողականության էլեկտրոնային համակարգի սպասարկ</w:t>
      </w:r>
      <w:r w:rsidR="00373658" w:rsidRPr="007955BB">
        <w:rPr>
          <w:b w:val="0"/>
          <w:lang w:val="hy-AM"/>
        </w:rPr>
        <w:t>ում, LSFinance (ԳԳՕ) և CLIENT-TREASURY համակարգի անխափան գործունեության ապահովում</w:t>
      </w:r>
      <w:r w:rsidR="00DD3367" w:rsidRPr="007955BB">
        <w:rPr>
          <w:b w:val="0"/>
          <w:lang w:val="hy-AM"/>
        </w:rPr>
        <w:t>:</w:t>
      </w:r>
    </w:p>
    <w:p w:rsidR="003725C2" w:rsidRPr="007955BB" w:rsidRDefault="003725C2" w:rsidP="00640ECA">
      <w:pPr>
        <w:pStyle w:val="ListParagraph"/>
        <w:spacing w:before="0" w:line="276" w:lineRule="auto"/>
        <w:ind w:left="0"/>
        <w:rPr>
          <w:b w:val="0"/>
          <w:lang w:val="hy-AM"/>
        </w:rPr>
      </w:pPr>
    </w:p>
    <w:p w:rsidR="00060470" w:rsidRPr="007955BB" w:rsidRDefault="004D4C68" w:rsidP="00832373">
      <w:pPr>
        <w:keepNext/>
        <w:spacing w:before="0" w:line="276" w:lineRule="auto"/>
        <w:ind w:firstLine="0"/>
        <w:contextualSpacing w:val="0"/>
        <w:jc w:val="center"/>
        <w:outlineLvl w:val="2"/>
        <w:rPr>
          <w:rFonts w:cs="Arial"/>
          <w:sz w:val="24"/>
          <w:lang w:val="hy-AM" w:eastAsia="en-US"/>
        </w:rPr>
      </w:pPr>
      <w:bookmarkStart w:id="340" w:name="_Toc120805227"/>
      <w:r w:rsidRPr="007955BB">
        <w:rPr>
          <w:rFonts w:cs="Arial"/>
          <w:sz w:val="24"/>
          <w:lang w:val="hy-AM" w:eastAsia="en-US"/>
        </w:rPr>
        <w:t xml:space="preserve">ՀՀ արտակարգ իրավիճակների </w:t>
      </w:r>
      <w:r w:rsidR="008C00B8" w:rsidRPr="007955BB">
        <w:rPr>
          <w:rFonts w:cs="Arial"/>
          <w:sz w:val="24"/>
          <w:lang w:val="hy-AM" w:eastAsia="en-US"/>
        </w:rPr>
        <w:t>նախարարությու</w:t>
      </w:r>
      <w:r w:rsidRPr="007955BB">
        <w:rPr>
          <w:rFonts w:cs="Arial"/>
          <w:sz w:val="24"/>
          <w:lang w:val="hy-AM" w:eastAsia="en-US"/>
        </w:rPr>
        <w:t>ն</w:t>
      </w:r>
      <w:bookmarkEnd w:id="340"/>
    </w:p>
    <w:p w:rsidR="00E551F6" w:rsidRPr="00C43BF7" w:rsidRDefault="00D35F72" w:rsidP="00E551F6">
      <w:pPr>
        <w:autoSpaceDE w:val="0"/>
        <w:autoSpaceDN w:val="0"/>
        <w:adjustRightInd w:val="0"/>
        <w:spacing w:before="0" w:line="276" w:lineRule="auto"/>
        <w:ind w:firstLine="720"/>
        <w:contextualSpacing w:val="0"/>
        <w:rPr>
          <w:b w:val="0"/>
          <w:szCs w:val="22"/>
          <w:lang w:val="hy-AM" w:eastAsia="en-US"/>
        </w:rPr>
      </w:pPr>
      <w:r>
        <w:rPr>
          <w:b w:val="0"/>
          <w:szCs w:val="22"/>
          <w:lang w:val="hy-AM" w:eastAsia="en-US"/>
        </w:rPr>
        <w:t>ՀՀ</w:t>
      </w:r>
      <w:r w:rsidR="00E551F6" w:rsidRPr="00C43BF7">
        <w:rPr>
          <w:b w:val="0"/>
          <w:szCs w:val="22"/>
          <w:lang w:val="hy-AM" w:eastAsia="en-US"/>
        </w:rPr>
        <w:t xml:space="preserve"> ազգային անվտանգության ապահովման կարևորագույն ոլորտներից մեկը՝ արտակարգ իրավիճակների համակարգը, իրականացնում է հանրապետությունում քաղաքացիական պաշտպանության և արտակարգ իրավիճակներում բնակչության պաշտպանության բնագավառներում միաuնական պետական քաղաքականության մշակման, բնական, արհեստական և տեխնածին աղետներ առաջացնող երևույթների ուսումնասիրության, կանխարգելման, հակազդման, հետևանքների վերացման, բնակչության վաղաժամ իրազեկման և ուսուցման գործառույթները:</w:t>
      </w:r>
    </w:p>
    <w:p w:rsidR="00E551F6" w:rsidRPr="00C43BF7" w:rsidRDefault="00E551F6" w:rsidP="00E551F6">
      <w:pPr>
        <w:autoSpaceDE w:val="0"/>
        <w:autoSpaceDN w:val="0"/>
        <w:adjustRightInd w:val="0"/>
        <w:spacing w:before="0" w:line="276" w:lineRule="auto"/>
        <w:ind w:firstLine="720"/>
        <w:contextualSpacing w:val="0"/>
        <w:rPr>
          <w:b w:val="0"/>
          <w:szCs w:val="22"/>
          <w:lang w:val="hy-AM" w:eastAsia="en-US"/>
        </w:rPr>
      </w:pPr>
      <w:r w:rsidRPr="00C43BF7">
        <w:rPr>
          <w:b w:val="0"/>
          <w:szCs w:val="22"/>
          <w:lang w:val="hy-AM" w:eastAsia="en-US"/>
        </w:rPr>
        <w:t>Ոլորտի հիմնական թիրախներն են՝ արտակարգ իրավիճակների բնագավառի պետական քաղաքականության մշակում՝ ծրագրերի համակարգում, արտակարգ իրավիճակների արդյունավետ արձագանքում, արտակարգ իրավիճակների կանխում, հնարավոր հետևանքների նվազեցում և վերացում, քաղաքացիական պաշտպանություն, բնակչության և տնտեսության օբյեկտների (տարածքների) պաշտպանություն, փրկարարական, վթարային փրկարարական, անհետաձգելի վթարավերականգնողական, հրդեհաշիջման և այլ աշխատանքների իրականացում, սեյսմիկ ռիսկերի գնահատում և նվազեցում, արտադրական վտանգավոր օբյեկտների շահագործմամբ պայմանավորված տեխնածին վթարների և դրանց հետևանքով հասարակությանը և տնտեսությանը պատճառվող վնասների ռիսկերի նվազեցում, ճգնաժամային կառավարման կարողությունների զարգացում, արտակարգ իրավիճակներում ռազմավարական նշանակության պաշարներով ապահովում և այլն, որոնք ներառված են աղետների ռիսկի կառավարման ազգային ռազմավարության իրականացման գործողությունների ծրագրում:</w:t>
      </w:r>
    </w:p>
    <w:p w:rsidR="008556D0" w:rsidRPr="00C43BF7" w:rsidRDefault="008556D0" w:rsidP="008556D0">
      <w:pPr>
        <w:autoSpaceDE w:val="0"/>
        <w:autoSpaceDN w:val="0"/>
        <w:adjustRightInd w:val="0"/>
        <w:spacing w:before="0" w:line="276" w:lineRule="auto"/>
        <w:ind w:firstLine="720"/>
        <w:contextualSpacing w:val="0"/>
        <w:rPr>
          <w:b w:val="0"/>
          <w:szCs w:val="22"/>
          <w:lang w:val="hy-AM" w:eastAsia="en-US"/>
        </w:rPr>
      </w:pPr>
      <w:r w:rsidRPr="00C43BF7">
        <w:rPr>
          <w:b w:val="0"/>
          <w:szCs w:val="22"/>
          <w:lang w:val="hy-AM" w:eastAsia="en-US"/>
        </w:rPr>
        <w:t xml:space="preserve">ՀՀ </w:t>
      </w:r>
      <w:r w:rsidR="00734D27" w:rsidRPr="00C43BF7">
        <w:rPr>
          <w:b w:val="0"/>
          <w:szCs w:val="22"/>
          <w:lang w:val="hy-AM" w:eastAsia="en-US"/>
        </w:rPr>
        <w:t>ԱԻՆ</w:t>
      </w:r>
      <w:r w:rsidRPr="00C43BF7">
        <w:rPr>
          <w:b w:val="0"/>
          <w:szCs w:val="22"/>
          <w:lang w:val="hy-AM" w:eastAsia="en-US"/>
        </w:rPr>
        <w:t>թյան գծով նա</w:t>
      </w:r>
      <w:r w:rsidRPr="00C43BF7">
        <w:rPr>
          <w:b w:val="0"/>
          <w:szCs w:val="22"/>
          <w:lang w:val="hy-AM" w:eastAsia="en-US"/>
        </w:rPr>
        <w:softHyphen/>
        <w:t>խագծով նախատեսվում է հատկացնել 16,451.7 մլն դրամ (ներառյալ կառավարման ապարատի պահպանման ծախսերը):</w:t>
      </w:r>
    </w:p>
    <w:p w:rsidR="00E551F6" w:rsidRPr="00C43BF7" w:rsidRDefault="00E551F6" w:rsidP="00E551F6">
      <w:pPr>
        <w:autoSpaceDE w:val="0"/>
        <w:autoSpaceDN w:val="0"/>
        <w:adjustRightInd w:val="0"/>
        <w:spacing w:before="0" w:line="276" w:lineRule="auto"/>
        <w:ind w:firstLine="720"/>
        <w:contextualSpacing w:val="0"/>
        <w:rPr>
          <w:b w:val="0"/>
          <w:szCs w:val="22"/>
          <w:lang w:val="hy-AM" w:eastAsia="en-US"/>
        </w:rPr>
      </w:pPr>
      <w:r w:rsidRPr="00C43BF7">
        <w:rPr>
          <w:b w:val="0"/>
          <w:szCs w:val="22"/>
          <w:lang w:val="hy-AM" w:eastAsia="en-US"/>
        </w:rPr>
        <w:t xml:space="preserve">Ոլորտային քաղաքականության թիրախների (վերջնական արդյունքների) ապահովման նպատակով ՀՀ </w:t>
      </w:r>
      <w:r w:rsidR="00734D27" w:rsidRPr="00C43BF7">
        <w:rPr>
          <w:b w:val="0"/>
          <w:szCs w:val="22"/>
          <w:lang w:val="hy-AM" w:eastAsia="en-US"/>
        </w:rPr>
        <w:t>ԱԻՆ</w:t>
      </w:r>
      <w:r w:rsidRPr="00C43BF7">
        <w:rPr>
          <w:b w:val="0"/>
          <w:szCs w:val="22"/>
          <w:lang w:val="hy-AM" w:eastAsia="en-US"/>
        </w:rPr>
        <w:t>թյան կողմից իրականցվող հիմնական ծրագրերն են.</w:t>
      </w:r>
    </w:p>
    <w:p w:rsidR="00E551F6" w:rsidRPr="00C43BF7" w:rsidRDefault="00E551F6" w:rsidP="00E551F6">
      <w:pPr>
        <w:autoSpaceDE w:val="0"/>
        <w:autoSpaceDN w:val="0"/>
        <w:adjustRightInd w:val="0"/>
        <w:spacing w:before="0" w:line="276" w:lineRule="auto"/>
        <w:ind w:firstLine="720"/>
        <w:contextualSpacing w:val="0"/>
        <w:rPr>
          <w:b w:val="0"/>
          <w:szCs w:val="22"/>
          <w:lang w:val="hy-AM" w:eastAsia="en-US"/>
        </w:rPr>
      </w:pPr>
      <w:r w:rsidRPr="00C43BF7">
        <w:rPr>
          <w:szCs w:val="22"/>
          <w:lang w:val="hy-AM" w:eastAsia="en-US"/>
        </w:rPr>
        <w:t>Փրկարարական ծառայություններ</w:t>
      </w:r>
      <w:r w:rsidRPr="00C43BF7">
        <w:rPr>
          <w:b w:val="0"/>
          <w:szCs w:val="22"/>
          <w:lang w:val="hy-AM" w:eastAsia="en-US"/>
        </w:rPr>
        <w:t xml:space="preserve"> ծրագրի նպատակն է արտակարգ իրավիճակների հնարավոր դեպքերի կանխումը, դրանց ժամանակին արձագանքումը, հետևանքների նվազեցումը և բնակչության պաշտպանությունը, Փրկարար ծառայությունում փրկարարական համակարգի կատարելագործումը և զարգացումը՝ աստիճանաբար համապատասխանեցնելով ժամանակակից ընդունված պահանջներին, զուգահեռաբար պետական փրկարարական կառույցի շուրջ ձևավորելով կամավորական փրկարարական ուժեր, փրկարար ծառայողների մասնագիտական, արագ արձագանքման փրկարար ուժերի պատրաստականության բարձրացումը</w:t>
      </w:r>
      <w:r w:rsidRPr="007955BB">
        <w:rPr>
          <w:b w:val="0"/>
          <w:szCs w:val="22"/>
          <w:lang w:val="hy-AM" w:eastAsia="en-US"/>
        </w:rPr>
        <w:t>,</w:t>
      </w:r>
      <w:r w:rsidRPr="00C43BF7">
        <w:rPr>
          <w:b w:val="0"/>
          <w:szCs w:val="22"/>
          <w:lang w:val="hy-AM" w:eastAsia="en-US"/>
        </w:rPr>
        <w:t xml:space="preserve"> քաղաքացիական պաշտպանության ուժերի հավաքական կենտրոնի քաղաքացիական պաշտպանության ուժերի ու ստորաբաժանումների խնդիրների առավել արդյունավետ դերաբաշխման և կառավարելիության բարձրացումը, սահմանամերձ բնակավայրերում փրկարարական և արագ արձագանքման այլ ուժերի ստեղծումը և զարգացումը, ՀՀ-ում և տարածաշրջանում՝ հնարավոր աղետների դեպքում մարդասիրական օգնության  ցուցաբերումը, ճգնաժամային կառավարման ազգային կենտրոնում մարդուն հրատապ օգնության համապետական համակարգի 911 դիսպետչերական ծառայության զարգացումը` ծառայության մատուցումը հնարավորինս մոտեցնելով միջազգային չափանիշներին:</w:t>
      </w:r>
    </w:p>
    <w:p w:rsidR="008556D0" w:rsidRPr="00C43BF7" w:rsidRDefault="00C64938" w:rsidP="008556D0">
      <w:pPr>
        <w:autoSpaceDE w:val="0"/>
        <w:autoSpaceDN w:val="0"/>
        <w:adjustRightInd w:val="0"/>
        <w:spacing w:before="0" w:line="276" w:lineRule="auto"/>
        <w:ind w:firstLine="720"/>
        <w:contextualSpacing w:val="0"/>
        <w:rPr>
          <w:b w:val="0"/>
          <w:szCs w:val="22"/>
          <w:lang w:val="hy-AM" w:eastAsia="en-US"/>
        </w:rPr>
      </w:pPr>
      <w:r w:rsidRPr="00C43BF7">
        <w:rPr>
          <w:b w:val="0"/>
          <w:szCs w:val="22"/>
          <w:lang w:val="hy-AM" w:eastAsia="en-US"/>
        </w:rPr>
        <w:tab/>
      </w:r>
      <w:r w:rsidR="008556D0" w:rsidRPr="00C43BF7">
        <w:rPr>
          <w:b w:val="0"/>
          <w:szCs w:val="22"/>
          <w:lang w:val="hy-AM" w:eastAsia="en-US"/>
        </w:rPr>
        <w:tab/>
        <w:t xml:space="preserve">2023թ. նախատեսվում է ծրագրին հատկացնել 13,540.2 մլն դրամ կամ 1.931.7 մլն դրամով (16.6%) ավել 2022 թվականի հաստատված բյուջեի նկատմամաբ: </w:t>
      </w:r>
    </w:p>
    <w:p w:rsidR="00E551F6" w:rsidRPr="00C43BF7" w:rsidRDefault="00E551F6" w:rsidP="008556D0">
      <w:pPr>
        <w:autoSpaceDE w:val="0"/>
        <w:autoSpaceDN w:val="0"/>
        <w:adjustRightInd w:val="0"/>
        <w:spacing w:before="0" w:line="276" w:lineRule="auto"/>
        <w:ind w:firstLine="720"/>
        <w:contextualSpacing w:val="0"/>
        <w:rPr>
          <w:rFonts w:eastAsia="GHEA Grapalat" w:cs="GHEA Grapalat"/>
          <w:b w:val="0"/>
          <w:bCs/>
          <w:lang w:val="hy-AM"/>
        </w:rPr>
      </w:pPr>
      <w:r w:rsidRPr="007955BB">
        <w:rPr>
          <w:rFonts w:eastAsia="GHEA Grapalat" w:cs="GHEA Grapalat"/>
          <w:bCs/>
          <w:lang w:val="hy-AM"/>
        </w:rPr>
        <w:t>Սեյսմիկ պաշտպանություն</w:t>
      </w:r>
      <w:r w:rsidRPr="007955BB">
        <w:rPr>
          <w:rFonts w:eastAsia="GHEA Grapalat" w:cs="GHEA Grapalat"/>
          <w:b w:val="0"/>
          <w:bCs/>
          <w:lang w:val="hy-AM"/>
        </w:rPr>
        <w:t xml:space="preserve"> </w:t>
      </w:r>
      <w:r w:rsidRPr="00C43BF7">
        <w:rPr>
          <w:rFonts w:eastAsia="GHEA Grapalat" w:cs="GHEA Grapalat"/>
          <w:b w:val="0"/>
          <w:bCs/>
          <w:lang w:val="hy-AM"/>
        </w:rPr>
        <w:t xml:space="preserve">ծրագրի գծով </w:t>
      </w:r>
      <w:r w:rsidRPr="007955BB">
        <w:rPr>
          <w:rFonts w:eastAsia="GHEA Grapalat" w:cs="GHEA Grapalat"/>
          <w:b w:val="0"/>
          <w:bCs/>
          <w:iCs/>
          <w:lang w:val="hy-AM"/>
        </w:rPr>
        <w:t>2023 թվականին նախատեսվել է</w:t>
      </w:r>
      <w:r w:rsidRPr="00C43BF7">
        <w:rPr>
          <w:rFonts w:eastAsia="GHEA Grapalat" w:cs="GHEA Grapalat"/>
          <w:b w:val="0"/>
          <w:bCs/>
          <w:iCs/>
          <w:lang w:val="hy-AM"/>
        </w:rPr>
        <w:t xml:space="preserve"> </w:t>
      </w:r>
      <w:r w:rsidRPr="007955BB">
        <w:rPr>
          <w:rFonts w:eastAsia="GHEA Grapalat" w:cs="GHEA Grapalat"/>
          <w:b w:val="0"/>
          <w:bCs/>
          <w:iCs/>
          <w:lang w:val="af-ZA"/>
        </w:rPr>
        <w:t xml:space="preserve">752.9 </w:t>
      </w:r>
      <w:r w:rsidRPr="00C43BF7">
        <w:rPr>
          <w:rFonts w:eastAsia="GHEA Grapalat" w:cs="GHEA Grapalat"/>
          <w:b w:val="0"/>
          <w:bCs/>
          <w:iCs/>
          <w:lang w:val="hy-AM"/>
        </w:rPr>
        <w:t>մլն</w:t>
      </w:r>
      <w:r w:rsidRPr="007955BB">
        <w:rPr>
          <w:rFonts w:eastAsia="GHEA Grapalat" w:cs="GHEA Grapalat"/>
          <w:b w:val="0"/>
          <w:bCs/>
          <w:iCs/>
          <w:lang w:val="af-ZA"/>
        </w:rPr>
        <w:t xml:space="preserve"> </w:t>
      </w:r>
      <w:r w:rsidRPr="007955BB">
        <w:rPr>
          <w:rFonts w:eastAsia="GHEA Grapalat" w:cs="GHEA Grapalat"/>
          <w:b w:val="0"/>
          <w:bCs/>
          <w:iCs/>
          <w:lang w:val="hy-AM"/>
        </w:rPr>
        <w:t>դրամ</w:t>
      </w:r>
      <w:r w:rsidRPr="00C43BF7">
        <w:rPr>
          <w:rFonts w:eastAsia="GHEA Grapalat" w:cs="GHEA Grapalat"/>
          <w:b w:val="0"/>
          <w:bCs/>
          <w:iCs/>
          <w:lang w:val="hy-AM"/>
        </w:rPr>
        <w:t xml:space="preserve">: </w:t>
      </w:r>
      <w:r w:rsidRPr="007955BB">
        <w:rPr>
          <w:rFonts w:eastAsia="GHEA Grapalat" w:cs="GHEA Grapalat"/>
          <w:b w:val="0"/>
          <w:bCs/>
          <w:lang w:val="hy-AM"/>
        </w:rPr>
        <w:t>Ծրագրի</w:t>
      </w:r>
      <w:r w:rsidRPr="00C43BF7">
        <w:rPr>
          <w:rFonts w:eastAsia="GHEA Grapalat" w:cs="GHEA Grapalat"/>
          <w:b w:val="0"/>
          <w:bCs/>
          <w:lang w:val="hy-AM"/>
        </w:rPr>
        <w:t xml:space="preserve"> </w:t>
      </w:r>
      <w:r w:rsidRPr="007955BB">
        <w:rPr>
          <w:rFonts w:eastAsia="GHEA Grapalat" w:cs="GHEA Grapalat"/>
          <w:b w:val="0"/>
          <w:bCs/>
          <w:lang w:val="hy-AM"/>
        </w:rPr>
        <w:t>նպատակն</w:t>
      </w:r>
      <w:r w:rsidRPr="00C43BF7">
        <w:rPr>
          <w:rFonts w:eastAsia="GHEA Grapalat" w:cs="GHEA Grapalat"/>
          <w:b w:val="0"/>
          <w:bCs/>
          <w:lang w:val="hy-AM"/>
        </w:rPr>
        <w:t xml:space="preserve"> </w:t>
      </w:r>
      <w:r w:rsidRPr="007955BB">
        <w:rPr>
          <w:rFonts w:eastAsia="GHEA Grapalat" w:cs="GHEA Grapalat"/>
          <w:b w:val="0"/>
          <w:bCs/>
          <w:lang w:val="hy-AM"/>
        </w:rPr>
        <w:t>է</w:t>
      </w:r>
      <w:r w:rsidRPr="00C43BF7">
        <w:rPr>
          <w:rFonts w:eastAsia="GHEA Grapalat" w:cs="GHEA Grapalat"/>
          <w:b w:val="0"/>
          <w:bCs/>
          <w:lang w:val="hy-AM"/>
        </w:rPr>
        <w:t xml:space="preserve"> </w:t>
      </w:r>
      <w:r w:rsidRPr="007955BB">
        <w:rPr>
          <w:rFonts w:eastAsia="GHEA Grapalat" w:cs="GHEA Grapalat"/>
          <w:b w:val="0"/>
          <w:bCs/>
          <w:lang w:val="hy-AM"/>
        </w:rPr>
        <w:t>Սեյսմիկ</w:t>
      </w:r>
      <w:r w:rsidRPr="00C43BF7">
        <w:rPr>
          <w:rFonts w:eastAsia="GHEA Grapalat" w:cs="GHEA Grapalat"/>
          <w:b w:val="0"/>
          <w:bCs/>
          <w:lang w:val="hy-AM"/>
        </w:rPr>
        <w:t xml:space="preserve"> </w:t>
      </w:r>
      <w:r w:rsidRPr="007955BB">
        <w:rPr>
          <w:rFonts w:eastAsia="GHEA Grapalat" w:cs="GHEA Grapalat"/>
          <w:b w:val="0"/>
          <w:bCs/>
          <w:lang w:val="hy-AM"/>
        </w:rPr>
        <w:t>ռիսկերի</w:t>
      </w:r>
      <w:r w:rsidRPr="00C43BF7">
        <w:rPr>
          <w:rFonts w:eastAsia="GHEA Grapalat" w:cs="GHEA Grapalat"/>
          <w:b w:val="0"/>
          <w:bCs/>
          <w:lang w:val="hy-AM"/>
        </w:rPr>
        <w:t xml:space="preserve"> </w:t>
      </w:r>
      <w:r w:rsidRPr="007955BB">
        <w:rPr>
          <w:rFonts w:eastAsia="GHEA Grapalat" w:cs="GHEA Grapalat"/>
          <w:b w:val="0"/>
          <w:bCs/>
          <w:lang w:val="hy-AM"/>
        </w:rPr>
        <w:t>գնահատումը</w:t>
      </w:r>
      <w:r w:rsidRPr="00C43BF7">
        <w:rPr>
          <w:rFonts w:eastAsia="GHEA Grapalat" w:cs="GHEA Grapalat"/>
          <w:b w:val="0"/>
          <w:bCs/>
          <w:lang w:val="hy-AM"/>
        </w:rPr>
        <w:t xml:space="preserve"> </w:t>
      </w:r>
      <w:r w:rsidRPr="007955BB">
        <w:rPr>
          <w:rFonts w:eastAsia="GHEA Grapalat" w:cs="GHEA Grapalat"/>
          <w:b w:val="0"/>
          <w:bCs/>
          <w:lang w:val="hy-AM"/>
        </w:rPr>
        <w:t>և</w:t>
      </w:r>
      <w:r w:rsidRPr="00C43BF7">
        <w:rPr>
          <w:rFonts w:eastAsia="GHEA Grapalat" w:cs="GHEA Grapalat"/>
          <w:b w:val="0"/>
          <w:bCs/>
          <w:lang w:val="hy-AM"/>
        </w:rPr>
        <w:t xml:space="preserve"> </w:t>
      </w:r>
      <w:r w:rsidRPr="007955BB">
        <w:rPr>
          <w:rFonts w:eastAsia="GHEA Grapalat" w:cs="GHEA Grapalat"/>
          <w:b w:val="0"/>
          <w:bCs/>
          <w:lang w:val="hy-AM"/>
        </w:rPr>
        <w:t>նվազեցումը</w:t>
      </w:r>
      <w:r w:rsidRPr="00C43BF7">
        <w:rPr>
          <w:rFonts w:eastAsia="GHEA Grapalat" w:cs="GHEA Grapalat"/>
          <w:b w:val="0"/>
          <w:bCs/>
          <w:lang w:val="hy-AM"/>
        </w:rPr>
        <w:t xml:space="preserve">: </w:t>
      </w:r>
      <w:r w:rsidRPr="007955BB">
        <w:rPr>
          <w:rFonts w:eastAsia="GHEA Grapalat" w:cs="GHEA Grapalat"/>
          <w:b w:val="0"/>
          <w:bCs/>
          <w:lang w:val="hy-AM"/>
        </w:rPr>
        <w:t>Ծրագրի շրջանակներում</w:t>
      </w:r>
      <w:r w:rsidRPr="00C43BF7">
        <w:rPr>
          <w:rFonts w:eastAsia="GHEA Grapalat" w:cs="GHEA Grapalat"/>
          <w:b w:val="0"/>
          <w:bCs/>
          <w:lang w:val="hy-AM"/>
        </w:rPr>
        <w:t xml:space="preserve"> </w:t>
      </w:r>
      <w:r w:rsidRPr="007955BB">
        <w:rPr>
          <w:rFonts w:eastAsia="GHEA Grapalat" w:cs="GHEA Grapalat"/>
          <w:b w:val="0"/>
          <w:bCs/>
          <w:lang w:val="hy-AM"/>
        </w:rPr>
        <w:t>նախատեսվում</w:t>
      </w:r>
      <w:r w:rsidRPr="00C43BF7">
        <w:rPr>
          <w:rFonts w:eastAsia="GHEA Grapalat" w:cs="GHEA Grapalat"/>
          <w:b w:val="0"/>
          <w:bCs/>
          <w:lang w:val="hy-AM"/>
        </w:rPr>
        <w:t xml:space="preserve"> է երկրաֆիզիկական, երկրադինամիկական և այլ դաշտերի մոնիտորինգի, սեյսմիկ վտանգի, այդ թվում ընթացիկ սեյսմիկ վտանգի, գնահատման </w:t>
      </w:r>
      <w:r w:rsidRPr="007955BB">
        <w:rPr>
          <w:rFonts w:eastAsia="GHEA Grapalat" w:cs="GHEA Grapalat"/>
          <w:b w:val="0"/>
          <w:bCs/>
          <w:lang w:val="hy-AM"/>
        </w:rPr>
        <w:t>515</w:t>
      </w:r>
      <w:r w:rsidRPr="00C43BF7">
        <w:rPr>
          <w:rFonts w:eastAsia="GHEA Grapalat" w:cs="GHEA Grapalat"/>
          <w:b w:val="0"/>
          <w:bCs/>
          <w:lang w:val="hy-AM"/>
        </w:rPr>
        <w:t xml:space="preserve"> հազար դիտարկումներ, ընդհանուր նշանակության 90 օբյեկտների վերաբերյալ տվյալների հավաքման, թվային բազաների ստեղծման և դրանց սեյսմիկ խոցելիության գնահատման աշխատանքներ: </w:t>
      </w:r>
    </w:p>
    <w:p w:rsidR="00E551F6" w:rsidRPr="00C43BF7" w:rsidRDefault="00E551F6" w:rsidP="00E551F6">
      <w:pPr>
        <w:spacing w:before="40" w:after="120" w:line="276" w:lineRule="auto"/>
        <w:ind w:left="1" w:firstLine="707"/>
        <w:rPr>
          <w:b w:val="0"/>
          <w:lang w:val="hy-AM"/>
        </w:rPr>
      </w:pPr>
      <w:r w:rsidRPr="00C43BF7">
        <w:rPr>
          <w:rFonts w:cs="GHEA Grapalat"/>
          <w:szCs w:val="22"/>
          <w:lang w:val="hy-AM" w:eastAsia="en-US"/>
        </w:rPr>
        <w:t>Տեխնիկական անվտանգության կանոնակարգում</w:t>
      </w:r>
      <w:r w:rsidRPr="007955BB">
        <w:rPr>
          <w:b w:val="0"/>
          <w:bCs/>
          <w:iCs/>
          <w:lang w:val="hy-AM"/>
        </w:rPr>
        <w:t xml:space="preserve"> ծրագրի գծով 2023 թվականին նախատեսվել է 431.6 մլն դրամ</w:t>
      </w:r>
      <w:r w:rsidRPr="00C43BF7">
        <w:rPr>
          <w:b w:val="0"/>
          <w:bCs/>
          <w:iCs/>
          <w:lang w:val="hy-AM"/>
        </w:rPr>
        <w:t xml:space="preserve">: </w:t>
      </w:r>
      <w:r w:rsidRPr="007955BB">
        <w:rPr>
          <w:b w:val="0"/>
          <w:lang w:val="hy-AM"/>
        </w:rPr>
        <w:t>Ծրագրի</w:t>
      </w:r>
      <w:r w:rsidRPr="00C43BF7">
        <w:rPr>
          <w:b w:val="0"/>
          <w:lang w:val="hy-AM"/>
        </w:rPr>
        <w:t xml:space="preserve"> նպատակն է </w:t>
      </w:r>
      <w:r w:rsidR="00D35F72">
        <w:rPr>
          <w:b w:val="0"/>
          <w:lang w:val="hy-AM"/>
        </w:rPr>
        <w:t>ՀՀ</w:t>
      </w:r>
      <w:r w:rsidRPr="00C43BF7">
        <w:rPr>
          <w:b w:val="0"/>
          <w:lang w:val="hy-AM"/>
        </w:rPr>
        <w:t xml:space="preserve"> տարածքում տեխնածին վթարների կանխարգելումը, դրանց հետևանքների վերացումը, նման վթարների հետևանքով հասարակությանը և տնտեսությանը հասցվող վնասների ռիսկի նվազեցումը, ինչպես նաև բնակչության և շրջակա միջավայրի պաշտպանությունը: </w:t>
      </w:r>
    </w:p>
    <w:p w:rsidR="00E551F6" w:rsidRPr="00C43BF7" w:rsidRDefault="00E551F6" w:rsidP="00E551F6">
      <w:pPr>
        <w:autoSpaceDE w:val="0"/>
        <w:autoSpaceDN w:val="0"/>
        <w:adjustRightInd w:val="0"/>
        <w:spacing w:before="0" w:line="276" w:lineRule="auto"/>
        <w:ind w:firstLine="720"/>
        <w:contextualSpacing w:val="0"/>
        <w:rPr>
          <w:b w:val="0"/>
          <w:szCs w:val="22"/>
          <w:lang w:val="hy-AM" w:eastAsia="en-US"/>
        </w:rPr>
      </w:pPr>
      <w:r w:rsidRPr="00C43BF7">
        <w:rPr>
          <w:rFonts w:cs="GHEA Grapalat"/>
          <w:szCs w:val="22"/>
          <w:lang w:val="hy-AM" w:eastAsia="en-US"/>
        </w:rPr>
        <w:t>Արտակարգ</w:t>
      </w:r>
      <w:r w:rsidRPr="00C43BF7">
        <w:rPr>
          <w:szCs w:val="22"/>
          <w:lang w:val="hy-AM" w:eastAsia="en-US"/>
        </w:rPr>
        <w:t xml:space="preserve"> </w:t>
      </w:r>
      <w:r w:rsidRPr="00C43BF7">
        <w:rPr>
          <w:rFonts w:cs="GHEA Grapalat"/>
          <w:szCs w:val="22"/>
          <w:lang w:val="hy-AM" w:eastAsia="en-US"/>
        </w:rPr>
        <w:t>իրավիճակների</w:t>
      </w:r>
      <w:r w:rsidRPr="00C43BF7">
        <w:rPr>
          <w:szCs w:val="22"/>
          <w:lang w:val="hy-AM" w:eastAsia="en-US"/>
        </w:rPr>
        <w:t xml:space="preserve"> </w:t>
      </w:r>
      <w:r w:rsidRPr="00C43BF7">
        <w:rPr>
          <w:rFonts w:cs="GHEA Grapalat"/>
          <w:szCs w:val="22"/>
          <w:lang w:val="hy-AM" w:eastAsia="en-US"/>
        </w:rPr>
        <w:t>արձագանքման</w:t>
      </w:r>
      <w:r w:rsidRPr="00C43BF7">
        <w:rPr>
          <w:szCs w:val="22"/>
          <w:lang w:val="hy-AM" w:eastAsia="en-US"/>
        </w:rPr>
        <w:t xml:space="preserve"> </w:t>
      </w:r>
      <w:r w:rsidRPr="00C43BF7">
        <w:rPr>
          <w:rFonts w:cs="GHEA Grapalat"/>
          <w:szCs w:val="22"/>
          <w:lang w:val="hy-AM" w:eastAsia="en-US"/>
        </w:rPr>
        <w:t>կարողությունների</w:t>
      </w:r>
      <w:r w:rsidRPr="00C43BF7">
        <w:rPr>
          <w:szCs w:val="22"/>
          <w:lang w:val="hy-AM" w:eastAsia="en-US"/>
        </w:rPr>
        <w:t xml:space="preserve"> </w:t>
      </w:r>
      <w:r w:rsidRPr="00C43BF7">
        <w:rPr>
          <w:rFonts w:cs="GHEA Grapalat"/>
          <w:szCs w:val="22"/>
          <w:lang w:val="hy-AM" w:eastAsia="en-US"/>
        </w:rPr>
        <w:t>զարգացում</w:t>
      </w:r>
      <w:r w:rsidRPr="007955BB">
        <w:rPr>
          <w:rFonts w:cs="GHEA Grapalat"/>
          <w:szCs w:val="22"/>
          <w:lang w:val="hy-AM" w:eastAsia="en-US"/>
        </w:rPr>
        <w:t xml:space="preserve"> </w:t>
      </w:r>
      <w:r w:rsidRPr="00C43BF7">
        <w:rPr>
          <w:b w:val="0"/>
          <w:szCs w:val="22"/>
          <w:lang w:val="hy-AM" w:eastAsia="en-US"/>
        </w:rPr>
        <w:t xml:space="preserve"> ծրագրի նպատակն </w:t>
      </w:r>
      <w:r w:rsidRPr="00C43BF7">
        <w:rPr>
          <w:rFonts w:cs="GHEA Grapalat"/>
          <w:b w:val="0"/>
          <w:szCs w:val="22"/>
          <w:lang w:val="hy-AM" w:eastAsia="en-US"/>
        </w:rPr>
        <w:t>է</w:t>
      </w:r>
      <w:r w:rsidRPr="00C43BF7">
        <w:rPr>
          <w:b w:val="0"/>
          <w:szCs w:val="22"/>
          <w:lang w:val="hy-AM" w:eastAsia="en-US"/>
        </w:rPr>
        <w:t xml:space="preserve"> </w:t>
      </w:r>
      <w:r w:rsidRPr="00C43BF7">
        <w:rPr>
          <w:rFonts w:cs="GHEA Grapalat"/>
          <w:b w:val="0"/>
          <w:szCs w:val="22"/>
          <w:lang w:val="hy-AM" w:eastAsia="en-US"/>
        </w:rPr>
        <w:t>արտակարգ</w:t>
      </w:r>
      <w:r w:rsidRPr="00C43BF7">
        <w:rPr>
          <w:b w:val="0"/>
          <w:szCs w:val="22"/>
          <w:lang w:val="hy-AM" w:eastAsia="en-US"/>
        </w:rPr>
        <w:t xml:space="preserve"> </w:t>
      </w:r>
      <w:r w:rsidRPr="00C43BF7">
        <w:rPr>
          <w:rFonts w:cs="GHEA Grapalat"/>
          <w:b w:val="0"/>
          <w:szCs w:val="22"/>
          <w:lang w:val="hy-AM" w:eastAsia="en-US"/>
        </w:rPr>
        <w:t>իրավիճակների</w:t>
      </w:r>
      <w:r w:rsidRPr="00C43BF7">
        <w:rPr>
          <w:b w:val="0"/>
          <w:szCs w:val="22"/>
          <w:lang w:val="hy-AM" w:eastAsia="en-US"/>
        </w:rPr>
        <w:t xml:space="preserve"> </w:t>
      </w:r>
      <w:r w:rsidRPr="00C43BF7">
        <w:rPr>
          <w:rFonts w:cs="GHEA Grapalat"/>
          <w:b w:val="0"/>
          <w:szCs w:val="22"/>
          <w:lang w:val="hy-AM" w:eastAsia="en-US"/>
        </w:rPr>
        <w:t>և</w:t>
      </w:r>
      <w:r w:rsidRPr="00C43BF7">
        <w:rPr>
          <w:b w:val="0"/>
          <w:szCs w:val="22"/>
          <w:lang w:val="hy-AM" w:eastAsia="en-US"/>
        </w:rPr>
        <w:t xml:space="preserve"> </w:t>
      </w:r>
      <w:r w:rsidRPr="00C43BF7">
        <w:rPr>
          <w:rFonts w:cs="GHEA Grapalat"/>
          <w:b w:val="0"/>
          <w:szCs w:val="22"/>
          <w:lang w:val="hy-AM" w:eastAsia="en-US"/>
        </w:rPr>
        <w:t>ճգնաժամային</w:t>
      </w:r>
      <w:r w:rsidRPr="00C43BF7">
        <w:rPr>
          <w:b w:val="0"/>
          <w:szCs w:val="22"/>
          <w:lang w:val="hy-AM" w:eastAsia="en-US"/>
        </w:rPr>
        <w:t xml:space="preserve"> </w:t>
      </w:r>
      <w:r w:rsidRPr="00C43BF7">
        <w:rPr>
          <w:rFonts w:cs="GHEA Grapalat"/>
          <w:b w:val="0"/>
          <w:szCs w:val="22"/>
          <w:lang w:val="hy-AM" w:eastAsia="en-US"/>
        </w:rPr>
        <w:t>կառավարման</w:t>
      </w:r>
      <w:r w:rsidRPr="00C43BF7">
        <w:rPr>
          <w:b w:val="0"/>
          <w:szCs w:val="22"/>
          <w:lang w:val="hy-AM" w:eastAsia="en-US"/>
        </w:rPr>
        <w:t xml:space="preserve"> </w:t>
      </w:r>
      <w:r w:rsidRPr="00C43BF7">
        <w:rPr>
          <w:rFonts w:cs="GHEA Grapalat"/>
          <w:b w:val="0"/>
          <w:szCs w:val="22"/>
          <w:lang w:val="hy-AM" w:eastAsia="en-US"/>
        </w:rPr>
        <w:t>կարողությունների</w:t>
      </w:r>
      <w:r w:rsidRPr="00C43BF7">
        <w:rPr>
          <w:b w:val="0"/>
          <w:szCs w:val="22"/>
          <w:lang w:val="hy-AM" w:eastAsia="en-US"/>
        </w:rPr>
        <w:t xml:space="preserve"> </w:t>
      </w:r>
      <w:r w:rsidRPr="00C43BF7">
        <w:rPr>
          <w:rFonts w:cs="GHEA Grapalat"/>
          <w:b w:val="0"/>
          <w:szCs w:val="22"/>
          <w:lang w:val="hy-AM" w:eastAsia="en-US"/>
        </w:rPr>
        <w:t>զարգացումը</w:t>
      </w:r>
      <w:r w:rsidRPr="00C43BF7">
        <w:rPr>
          <w:b w:val="0"/>
          <w:szCs w:val="22"/>
          <w:lang w:val="hy-AM" w:eastAsia="en-US"/>
        </w:rPr>
        <w:t xml:space="preserve"> </w:t>
      </w:r>
      <w:r w:rsidRPr="00C43BF7">
        <w:rPr>
          <w:rFonts w:cs="GHEA Grapalat"/>
          <w:b w:val="0"/>
          <w:szCs w:val="22"/>
          <w:lang w:val="hy-AM" w:eastAsia="en-US"/>
        </w:rPr>
        <w:t>պետական</w:t>
      </w:r>
      <w:r w:rsidRPr="00C43BF7">
        <w:rPr>
          <w:b w:val="0"/>
          <w:szCs w:val="22"/>
          <w:lang w:val="hy-AM" w:eastAsia="en-US"/>
        </w:rPr>
        <w:t xml:space="preserve"> </w:t>
      </w:r>
      <w:r w:rsidRPr="00C43BF7">
        <w:rPr>
          <w:rFonts w:cs="GHEA Grapalat"/>
          <w:b w:val="0"/>
          <w:szCs w:val="22"/>
          <w:lang w:val="hy-AM" w:eastAsia="en-US"/>
        </w:rPr>
        <w:t>կառավարման</w:t>
      </w:r>
      <w:r w:rsidRPr="00C43BF7">
        <w:rPr>
          <w:b w:val="0"/>
          <w:szCs w:val="22"/>
          <w:lang w:val="hy-AM" w:eastAsia="en-US"/>
        </w:rPr>
        <w:t xml:space="preserve">, </w:t>
      </w:r>
      <w:r w:rsidR="00DA5AFF">
        <w:rPr>
          <w:rFonts w:cs="GHEA Grapalat"/>
          <w:b w:val="0"/>
          <w:szCs w:val="22"/>
          <w:lang w:val="hy-AM" w:eastAsia="en-US"/>
        </w:rPr>
        <w:t>ՏԻՄ-</w:t>
      </w:r>
      <w:r w:rsidRPr="00C43BF7">
        <w:rPr>
          <w:b w:val="0"/>
          <w:szCs w:val="22"/>
          <w:lang w:val="hy-AM" w:eastAsia="en-US"/>
        </w:rPr>
        <w:t>երի և կազմակերպությունների ղեկավարների, մասնագետների համար ուսուցման կազմակերպումը: Ճգնաժամային կառավարման պետական ակադեմիայի հիմնական խնդիրն է զարգացնել ակադեմիայի հնարավորությունները` դարձնելով այն արտակարգ իրավիճակների և քաղաքացիական պաշտպանության մասնագետների պատրաստման ու վերապատրաստման կենտրոն: 202</w:t>
      </w:r>
      <w:r w:rsidRPr="007955BB">
        <w:rPr>
          <w:b w:val="0"/>
          <w:szCs w:val="22"/>
          <w:lang w:val="hy-AM" w:eastAsia="en-US"/>
        </w:rPr>
        <w:t>3</w:t>
      </w:r>
      <w:r w:rsidRPr="00C43BF7">
        <w:rPr>
          <w:b w:val="0"/>
          <w:szCs w:val="22"/>
          <w:lang w:val="hy-AM" w:eastAsia="en-US"/>
        </w:rPr>
        <w:t>թ. նախատեսվում է հատկացնել 121.</w:t>
      </w:r>
      <w:r w:rsidRPr="007955BB">
        <w:rPr>
          <w:b w:val="0"/>
          <w:szCs w:val="22"/>
          <w:lang w:val="hy-AM" w:eastAsia="en-US"/>
        </w:rPr>
        <w:t xml:space="preserve">0 </w:t>
      </w:r>
      <w:r w:rsidRPr="00C43BF7">
        <w:rPr>
          <w:b w:val="0"/>
          <w:szCs w:val="22"/>
          <w:lang w:val="hy-AM" w:eastAsia="en-US"/>
        </w:rPr>
        <w:t xml:space="preserve">մլն դրամ: 2022թ հաստատված բյուջեն կազմել է </w:t>
      </w:r>
      <w:r w:rsidRPr="007955BB">
        <w:rPr>
          <w:b w:val="0"/>
          <w:szCs w:val="22"/>
          <w:lang w:val="hy-AM" w:eastAsia="en-US"/>
        </w:rPr>
        <w:t>114</w:t>
      </w:r>
      <w:r w:rsidRPr="00C43BF7">
        <w:rPr>
          <w:b w:val="0"/>
          <w:szCs w:val="22"/>
          <w:lang w:val="hy-AM" w:eastAsia="en-US"/>
        </w:rPr>
        <w:t>.</w:t>
      </w:r>
      <w:r w:rsidRPr="007955BB">
        <w:rPr>
          <w:b w:val="0"/>
          <w:szCs w:val="22"/>
          <w:lang w:val="hy-AM" w:eastAsia="en-US"/>
        </w:rPr>
        <w:t>8</w:t>
      </w:r>
      <w:r w:rsidRPr="00C43BF7">
        <w:rPr>
          <w:b w:val="0"/>
          <w:szCs w:val="22"/>
          <w:lang w:val="hy-AM" w:eastAsia="en-US"/>
        </w:rPr>
        <w:t xml:space="preserve"> մլն դրամ:</w:t>
      </w:r>
    </w:p>
    <w:p w:rsidR="00E551F6" w:rsidRPr="00C43BF7" w:rsidRDefault="00E551F6" w:rsidP="00E551F6">
      <w:pPr>
        <w:autoSpaceDE w:val="0"/>
        <w:autoSpaceDN w:val="0"/>
        <w:adjustRightInd w:val="0"/>
        <w:spacing w:before="0" w:line="276" w:lineRule="auto"/>
        <w:ind w:firstLine="720"/>
        <w:contextualSpacing w:val="0"/>
        <w:rPr>
          <w:b w:val="0"/>
          <w:szCs w:val="22"/>
          <w:lang w:val="hy-AM" w:eastAsia="en-US"/>
        </w:rPr>
      </w:pPr>
      <w:r w:rsidRPr="00C43BF7">
        <w:rPr>
          <w:szCs w:val="22"/>
          <w:lang w:val="hy-AM" w:eastAsia="en-US"/>
        </w:rPr>
        <w:t>Ռազմավարական նշանակության պաշարների կառավարում</w:t>
      </w:r>
      <w:r w:rsidRPr="00C43BF7">
        <w:rPr>
          <w:b w:val="0"/>
          <w:szCs w:val="22"/>
          <w:lang w:val="hy-AM" w:eastAsia="en-US"/>
        </w:rPr>
        <w:t xml:space="preserve"> ծրագրի նպատակն է արտակարգ իրավիճակներում ռազմավարական նշանակության պաշարներով ապահովումը: Վերջինիս արդյունավետ իրագործման նպատակով անհրաժեշտ է ներդնել կառավարման ճկուն մեխանիզմներ և ապահովել դրանց պարբերական կատարելագործումը՝ արդի մարտահրավերներին համահունչ: 202</w:t>
      </w:r>
      <w:r w:rsidRPr="007955BB">
        <w:rPr>
          <w:b w:val="0"/>
          <w:szCs w:val="22"/>
          <w:lang w:val="hy-AM" w:eastAsia="en-US"/>
        </w:rPr>
        <w:t>3</w:t>
      </w:r>
      <w:r w:rsidRPr="00C43BF7">
        <w:rPr>
          <w:b w:val="0"/>
          <w:szCs w:val="22"/>
          <w:lang w:val="hy-AM" w:eastAsia="en-US"/>
        </w:rPr>
        <w:t>թ. նախատեսվում է հատկացնել 29.9 մլն դրամ:</w:t>
      </w:r>
    </w:p>
    <w:p w:rsidR="008A1520" w:rsidRPr="00C43BF7" w:rsidRDefault="008A1520" w:rsidP="00E551F6">
      <w:pPr>
        <w:autoSpaceDE w:val="0"/>
        <w:autoSpaceDN w:val="0"/>
        <w:adjustRightInd w:val="0"/>
        <w:spacing w:before="0" w:line="276" w:lineRule="auto"/>
        <w:ind w:firstLine="720"/>
        <w:contextualSpacing w:val="0"/>
        <w:rPr>
          <w:b w:val="0"/>
          <w:szCs w:val="22"/>
          <w:lang w:val="hy-AM" w:eastAsia="en-US"/>
        </w:rPr>
      </w:pPr>
    </w:p>
    <w:p w:rsidR="009F4194" w:rsidRPr="007955BB" w:rsidRDefault="009F4194" w:rsidP="00427D1F">
      <w:pPr>
        <w:keepNext/>
        <w:spacing w:before="0" w:line="276" w:lineRule="auto"/>
        <w:ind w:firstLine="0"/>
        <w:contextualSpacing w:val="0"/>
        <w:jc w:val="center"/>
        <w:outlineLvl w:val="2"/>
        <w:rPr>
          <w:rFonts w:cs="Arial"/>
          <w:sz w:val="24"/>
          <w:lang w:val="hy-AM" w:eastAsia="en-US"/>
        </w:rPr>
      </w:pPr>
      <w:bookmarkStart w:id="341" w:name="_Toc120805228"/>
      <w:r w:rsidRPr="007955BB">
        <w:rPr>
          <w:rFonts w:cs="Arial"/>
          <w:sz w:val="24"/>
          <w:lang w:val="hy-AM" w:eastAsia="en-US"/>
        </w:rPr>
        <w:t>ՀՀ արդարադատության նախարարությ</w:t>
      </w:r>
      <w:r w:rsidR="00823D17" w:rsidRPr="007955BB">
        <w:rPr>
          <w:rFonts w:cs="Arial"/>
          <w:sz w:val="24"/>
          <w:lang w:val="hy-AM" w:eastAsia="en-US"/>
        </w:rPr>
        <w:t>ուն</w:t>
      </w:r>
      <w:bookmarkEnd w:id="341"/>
    </w:p>
    <w:p w:rsidR="00815835" w:rsidRPr="00C43BF7" w:rsidRDefault="00D35F72" w:rsidP="00815835">
      <w:pPr>
        <w:spacing w:line="276" w:lineRule="auto"/>
        <w:ind w:firstLine="426"/>
        <w:rPr>
          <w:rFonts w:cs="Sylfaen"/>
          <w:b w:val="0"/>
          <w:szCs w:val="22"/>
          <w:lang w:val="hy-AM"/>
        </w:rPr>
      </w:pPr>
      <w:r>
        <w:rPr>
          <w:rFonts w:cs="Sylfaen"/>
          <w:b w:val="0"/>
          <w:szCs w:val="22"/>
          <w:lang w:val="hy-AM"/>
        </w:rPr>
        <w:t>ՀՀ</w:t>
      </w:r>
      <w:r w:rsidR="00815835" w:rsidRPr="00C43BF7">
        <w:rPr>
          <w:rFonts w:cs="Sylfaen"/>
          <w:b w:val="0"/>
          <w:szCs w:val="22"/>
          <w:lang w:val="hy-AM"/>
        </w:rPr>
        <w:t xml:space="preserve"> արդարադատության ոլորտի քաղաքականության իրականացման նպատակով 2023 թվականի պետական բյուջեի նախագծով  նախատեսվել է 2</w:t>
      </w:r>
      <w:r w:rsidR="00184733">
        <w:rPr>
          <w:rFonts w:cs="Sylfaen"/>
          <w:b w:val="0"/>
          <w:szCs w:val="22"/>
          <w:lang w:val="hy-AM"/>
        </w:rPr>
        <w:t>6</w:t>
      </w:r>
      <w:r w:rsidR="00AF6538">
        <w:rPr>
          <w:rFonts w:cs="Sylfaen"/>
          <w:b w:val="0"/>
          <w:szCs w:val="22"/>
          <w:lang w:val="hy-AM"/>
        </w:rPr>
        <w:t>,035.</w:t>
      </w:r>
      <w:r w:rsidR="00782AAE" w:rsidRPr="00BA70A3">
        <w:rPr>
          <w:rFonts w:cs="Sylfaen"/>
          <w:b w:val="0"/>
          <w:szCs w:val="22"/>
          <w:lang w:val="hy-AM"/>
        </w:rPr>
        <w:t>6</w:t>
      </w:r>
      <w:r w:rsidR="00815835" w:rsidRPr="00C43BF7">
        <w:rPr>
          <w:rFonts w:cs="Sylfaen"/>
          <w:b w:val="0"/>
          <w:szCs w:val="22"/>
          <w:lang w:val="hy-AM"/>
        </w:rPr>
        <w:t xml:space="preserve"> </w:t>
      </w:r>
      <w:r w:rsidR="00815835" w:rsidRPr="00C43BF7">
        <w:rPr>
          <w:rFonts w:cs="GHEA Grapalat"/>
          <w:b w:val="0"/>
          <w:szCs w:val="22"/>
          <w:lang w:val="hy-AM"/>
        </w:rPr>
        <w:t>մլ</w:t>
      </w:r>
      <w:r w:rsidR="00AF6538">
        <w:rPr>
          <w:rFonts w:cs="GHEA Grapalat"/>
          <w:b w:val="0"/>
          <w:szCs w:val="22"/>
          <w:lang w:val="hy-AM"/>
        </w:rPr>
        <w:t>ն</w:t>
      </w:r>
      <w:r w:rsidR="00815835" w:rsidRPr="00C43BF7">
        <w:rPr>
          <w:rFonts w:cs="Sylfaen"/>
          <w:b w:val="0"/>
          <w:szCs w:val="22"/>
          <w:lang w:val="hy-AM"/>
        </w:rPr>
        <w:t xml:space="preserve"> </w:t>
      </w:r>
      <w:r w:rsidR="00815835" w:rsidRPr="00C43BF7">
        <w:rPr>
          <w:rFonts w:cs="GHEA Grapalat"/>
          <w:b w:val="0"/>
          <w:szCs w:val="22"/>
          <w:lang w:val="hy-AM"/>
        </w:rPr>
        <w:t>դրամ</w:t>
      </w:r>
      <w:r w:rsidR="00815835" w:rsidRPr="00C43BF7">
        <w:rPr>
          <w:rFonts w:cs="Sylfaen"/>
          <w:b w:val="0"/>
          <w:szCs w:val="22"/>
          <w:lang w:val="hy-AM"/>
        </w:rPr>
        <w:t xml:space="preserve">, </w:t>
      </w:r>
      <w:r w:rsidR="00815835" w:rsidRPr="00C43BF7">
        <w:rPr>
          <w:rFonts w:cs="GHEA Grapalat"/>
          <w:b w:val="0"/>
          <w:szCs w:val="22"/>
          <w:lang w:val="hy-AM"/>
        </w:rPr>
        <w:t>այդ</w:t>
      </w:r>
      <w:r w:rsidR="00815835" w:rsidRPr="00C43BF7">
        <w:rPr>
          <w:rFonts w:cs="Sylfaen"/>
          <w:b w:val="0"/>
          <w:szCs w:val="22"/>
          <w:lang w:val="hy-AM"/>
        </w:rPr>
        <w:t xml:space="preserve"> </w:t>
      </w:r>
      <w:r w:rsidR="00815835" w:rsidRPr="00C43BF7">
        <w:rPr>
          <w:rFonts w:cs="GHEA Grapalat"/>
          <w:b w:val="0"/>
          <w:szCs w:val="22"/>
          <w:lang w:val="hy-AM"/>
        </w:rPr>
        <w:t>թվում՝</w:t>
      </w:r>
      <w:r w:rsidR="00815835" w:rsidRPr="00C43BF7">
        <w:rPr>
          <w:rFonts w:cs="Sylfaen"/>
          <w:b w:val="0"/>
          <w:szCs w:val="22"/>
          <w:lang w:val="hy-AM"/>
        </w:rPr>
        <w:t xml:space="preserve"> </w:t>
      </w:r>
      <w:r w:rsidR="00815835" w:rsidRPr="00C43BF7">
        <w:rPr>
          <w:rFonts w:cs="GHEA Grapalat"/>
          <w:b w:val="0"/>
          <w:szCs w:val="22"/>
          <w:lang w:val="hy-AM"/>
        </w:rPr>
        <w:t>կապիտալ</w:t>
      </w:r>
      <w:r w:rsidR="00815835" w:rsidRPr="00C43BF7">
        <w:rPr>
          <w:rFonts w:cs="Sylfaen"/>
          <w:b w:val="0"/>
          <w:szCs w:val="22"/>
          <w:lang w:val="hy-AM"/>
        </w:rPr>
        <w:t xml:space="preserve"> </w:t>
      </w:r>
      <w:r w:rsidR="00815835" w:rsidRPr="00C43BF7">
        <w:rPr>
          <w:rFonts w:cs="GHEA Grapalat"/>
          <w:b w:val="0"/>
          <w:szCs w:val="22"/>
          <w:lang w:val="hy-AM"/>
        </w:rPr>
        <w:t>ծախսերի</w:t>
      </w:r>
      <w:r w:rsidR="00815835" w:rsidRPr="00C43BF7">
        <w:rPr>
          <w:rFonts w:cs="Sylfaen"/>
          <w:b w:val="0"/>
          <w:szCs w:val="22"/>
          <w:lang w:val="hy-AM"/>
        </w:rPr>
        <w:t xml:space="preserve"> </w:t>
      </w:r>
      <w:r w:rsidR="00815835" w:rsidRPr="00C43BF7">
        <w:rPr>
          <w:rFonts w:cs="GHEA Grapalat"/>
          <w:b w:val="0"/>
          <w:szCs w:val="22"/>
          <w:lang w:val="hy-AM"/>
        </w:rPr>
        <w:t>գծով՝ 3</w:t>
      </w:r>
      <w:r w:rsidR="00AF6538" w:rsidRPr="00C43BF7">
        <w:rPr>
          <w:rFonts w:cs="GHEA Grapalat"/>
          <w:b w:val="0"/>
          <w:szCs w:val="22"/>
          <w:lang w:val="hy-AM"/>
        </w:rPr>
        <w:t>,576</w:t>
      </w:r>
      <w:r w:rsidR="00815835" w:rsidRPr="00C43BF7">
        <w:rPr>
          <w:rFonts w:cs="GHEA Grapalat"/>
          <w:b w:val="0"/>
          <w:szCs w:val="22"/>
          <w:lang w:val="hy-AM"/>
        </w:rPr>
        <w:t>.6 մլ</w:t>
      </w:r>
      <w:r w:rsidR="00AF6538" w:rsidRPr="00C43BF7">
        <w:rPr>
          <w:rFonts w:cs="GHEA Grapalat"/>
          <w:b w:val="0"/>
          <w:szCs w:val="22"/>
          <w:lang w:val="hy-AM"/>
        </w:rPr>
        <w:t>ն</w:t>
      </w:r>
      <w:r w:rsidR="00815835" w:rsidRPr="00C43BF7">
        <w:rPr>
          <w:rFonts w:cs="Sylfaen"/>
          <w:b w:val="0"/>
          <w:szCs w:val="22"/>
          <w:lang w:val="hy-AM"/>
        </w:rPr>
        <w:t xml:space="preserve"> </w:t>
      </w:r>
      <w:r w:rsidR="00815835" w:rsidRPr="00C43BF7">
        <w:rPr>
          <w:rFonts w:cs="GHEA Grapalat"/>
          <w:b w:val="0"/>
          <w:szCs w:val="22"/>
          <w:lang w:val="hy-AM"/>
        </w:rPr>
        <w:t>դրամ։</w:t>
      </w:r>
    </w:p>
    <w:p w:rsidR="00815835" w:rsidRPr="00C43BF7" w:rsidRDefault="00815835" w:rsidP="00815835">
      <w:pPr>
        <w:spacing w:line="276" w:lineRule="auto"/>
        <w:ind w:firstLine="426"/>
        <w:rPr>
          <w:rFonts w:cs="Sylfaen"/>
          <w:b w:val="0"/>
          <w:szCs w:val="22"/>
          <w:lang w:val="hy-AM"/>
        </w:rPr>
      </w:pPr>
      <w:r w:rsidRPr="00C43BF7">
        <w:rPr>
          <w:rFonts w:cs="Sylfaen"/>
          <w:b w:val="0"/>
          <w:szCs w:val="22"/>
          <w:lang w:val="hy-AM"/>
        </w:rPr>
        <w:t xml:space="preserve">Արդարադատության ոլորտում քաղաքականության մշակման, ծրագրերի համակարգման, խորհրդատվության և մոնիտորինգի ծրագրի գծով 2023 թվականի ընթացքում նախատեսվում է իրականացնել ՀՀ դատական և իրավական բարեփոխումների 2022-2026 թվականների ռազմավարությունից բխող 2022-2026 թվականների գործողությունների ծրագրով և </w:t>
      </w:r>
      <w:r w:rsidR="00D35F72">
        <w:rPr>
          <w:rFonts w:cs="Sylfaen"/>
          <w:b w:val="0"/>
          <w:szCs w:val="22"/>
          <w:lang w:val="hy-AM"/>
        </w:rPr>
        <w:t>ՀՀ</w:t>
      </w:r>
      <w:r w:rsidRPr="00C43BF7">
        <w:rPr>
          <w:rFonts w:cs="Sylfaen"/>
          <w:b w:val="0"/>
          <w:szCs w:val="22"/>
          <w:lang w:val="hy-AM"/>
        </w:rPr>
        <w:t xml:space="preserve"> հակակոռուպցիոն ռազմավարության և դրա իրականացման 2019-2022 թվականների սահմանված միջոցառումները: Մասնավորապես, նախատեսվում է ապահովել ռազմավարություններից բխող 400 իրավական ակտերի նախագծերի մշակում, 5000 պետական փորձագիտական եզրակացությունների, կարծիքների, դիրքորոշումների տրամադրում։ Արդյունքում 2023 թվականին նախատեսվում է իրականացնել դատաիրավական բարեփոխումներին ուղղված միջոցառումների շուրջ 50 և կոռուպցիայի դեմ պայքարի ռազմավարությունից բխող միջոցառումների 75 տոկոսը։</w:t>
      </w:r>
    </w:p>
    <w:p w:rsidR="00815835" w:rsidRPr="00C43BF7" w:rsidRDefault="00815835" w:rsidP="00815835">
      <w:pPr>
        <w:spacing w:line="276" w:lineRule="auto"/>
        <w:ind w:firstLine="426"/>
        <w:rPr>
          <w:rFonts w:cs="Sylfaen"/>
          <w:b w:val="0"/>
          <w:szCs w:val="22"/>
          <w:lang w:val="hy-AM"/>
        </w:rPr>
      </w:pPr>
      <w:r w:rsidRPr="00C43BF7">
        <w:rPr>
          <w:rFonts w:cs="Sylfaen"/>
          <w:b w:val="0"/>
          <w:szCs w:val="22"/>
          <w:lang w:val="hy-AM"/>
        </w:rPr>
        <w:t xml:space="preserve">Նախատեսվում է իրավաբանական անձանց պետական գրանցման գործընթացի արդյունավետության բարձրացմանն ուղղված շարունակական աշխատանքների իրականացում և պետական ռեգիստրում գրանցման ենթակա 45,500 սուբյեկտների և նրանց առանձնացված ստորաբաժանումների պետական գրանցում և հաշվառում։ </w:t>
      </w:r>
    </w:p>
    <w:p w:rsidR="00815835" w:rsidRPr="00C43BF7" w:rsidRDefault="00815835" w:rsidP="00815835">
      <w:pPr>
        <w:spacing w:line="276" w:lineRule="auto"/>
        <w:ind w:firstLine="426"/>
        <w:rPr>
          <w:rFonts w:cs="Sylfaen"/>
          <w:b w:val="0"/>
          <w:szCs w:val="22"/>
          <w:lang w:val="hy-AM"/>
        </w:rPr>
      </w:pPr>
      <w:r w:rsidRPr="00C43BF7">
        <w:rPr>
          <w:rFonts w:cs="Sylfaen"/>
          <w:b w:val="0"/>
          <w:szCs w:val="22"/>
          <w:lang w:val="hy-AM"/>
        </w:rPr>
        <w:t>Նախատեսվում է ապահովել անձնական տվյալների պաշտպանության ավելի բարձր մակարդակ, մասնավորապես՝ համապատասխանեցնել անձնական տվյալների պաշտպանության լիազոր մարմնի կարգավիճակն օրենքով սահմանված և միջազգային չափանիշներին՝ ապահովելով նաև մարդկային ռեսուրսների, մասնագիտական, նյութական և տեխնիկական կարողությունների զարգացում։ Անձնական տվյալների պաշտպանության նպատակով հասարակության իրազեկվածության նպատակով 2023 թվականին նախատեսվում է տրամադրել 230 խորհրդատվություն։</w:t>
      </w:r>
      <w:r w:rsidRPr="00C43BF7">
        <w:rPr>
          <w:rFonts w:cs="Sylfaen"/>
          <w:b w:val="0"/>
          <w:szCs w:val="22"/>
          <w:lang w:val="hy-AM"/>
        </w:rPr>
        <w:tab/>
        <w:t xml:space="preserve">Քաղաքացիական կացության ակտերի գրանցում ծրագրի գծով 2023 թվականին նախատեսվում է շարունակել նվազեցնել ոլորտում առկա վարչարարությունը` ապահովելով շուրջ 111,000 գրանցումներ, վկայակնների կրկնօրինակների, տեղեկանքների տրամադրում, մատուցվող ծառայությունների ավտոմատացման 100 տոկոս, մատուցվող ծառայությունների դիմաց ներկայացված բողոքների կրճատում՝ մինչև 5 տոկոս։ </w:t>
      </w:r>
    </w:p>
    <w:p w:rsidR="00815835" w:rsidRPr="00C43BF7" w:rsidRDefault="00815835" w:rsidP="00815835">
      <w:pPr>
        <w:spacing w:line="276" w:lineRule="auto"/>
        <w:ind w:firstLine="426"/>
        <w:rPr>
          <w:rFonts w:cs="Sylfaen"/>
          <w:b w:val="0"/>
          <w:szCs w:val="22"/>
          <w:lang w:val="hy-AM"/>
        </w:rPr>
      </w:pPr>
      <w:r w:rsidRPr="00C43BF7">
        <w:rPr>
          <w:rFonts w:cs="Sylfaen"/>
          <w:b w:val="0"/>
          <w:szCs w:val="22"/>
          <w:lang w:val="hy-AM"/>
        </w:rPr>
        <w:t xml:space="preserve">Դատական և հանրային պաշտպանություն ծրագրի գծով միջոցներն, ինչպես և նախկինում, ուղղվելու են իրավունքի պաշտպանության հասանելիության և օբյեկտիվության ապահովմանը: Ծրագրի գծով 2023 թվականին նախատեսվել են </w:t>
      </w:r>
      <w:r w:rsidRPr="00C43BF7">
        <w:rPr>
          <w:rFonts w:cs="GHEA Grapalat"/>
          <w:b w:val="0"/>
          <w:szCs w:val="22"/>
          <w:lang w:val="hy-AM"/>
        </w:rPr>
        <w:t>լրացուցիչ</w:t>
      </w:r>
      <w:r w:rsidRPr="00C43BF7">
        <w:rPr>
          <w:rFonts w:cs="Sylfaen"/>
          <w:b w:val="0"/>
          <w:szCs w:val="22"/>
          <w:lang w:val="hy-AM"/>
        </w:rPr>
        <w:t xml:space="preserve"> միջոցներ՝ </w:t>
      </w:r>
      <w:r w:rsidRPr="00C43BF7">
        <w:rPr>
          <w:rFonts w:cs="GHEA Grapalat"/>
          <w:b w:val="0"/>
          <w:szCs w:val="22"/>
          <w:lang w:val="hy-AM"/>
        </w:rPr>
        <w:t>փորձաքննությունների</w:t>
      </w:r>
      <w:r w:rsidRPr="00C43BF7">
        <w:rPr>
          <w:rFonts w:cs="Sylfaen"/>
          <w:b w:val="0"/>
          <w:szCs w:val="22"/>
          <w:lang w:val="hy-AM"/>
        </w:rPr>
        <w:t xml:space="preserve"> </w:t>
      </w:r>
      <w:r w:rsidRPr="00C43BF7">
        <w:rPr>
          <w:rFonts w:cs="GHEA Grapalat"/>
          <w:b w:val="0"/>
          <w:szCs w:val="22"/>
          <w:lang w:val="hy-AM"/>
        </w:rPr>
        <w:t>ծառայությունների</w:t>
      </w:r>
      <w:r w:rsidRPr="00C43BF7">
        <w:rPr>
          <w:rFonts w:cs="Sylfaen"/>
          <w:b w:val="0"/>
          <w:szCs w:val="22"/>
          <w:lang w:val="hy-AM"/>
        </w:rPr>
        <w:t xml:space="preserve"> </w:t>
      </w:r>
      <w:r w:rsidRPr="00C43BF7">
        <w:rPr>
          <w:rFonts w:cs="GHEA Grapalat"/>
          <w:b w:val="0"/>
          <w:szCs w:val="22"/>
          <w:lang w:val="hy-AM"/>
        </w:rPr>
        <w:t>ձեռքբերման</w:t>
      </w:r>
      <w:r w:rsidRPr="00C43BF7">
        <w:rPr>
          <w:rFonts w:cs="Sylfaen"/>
          <w:b w:val="0"/>
          <w:szCs w:val="22"/>
          <w:lang w:val="hy-AM"/>
        </w:rPr>
        <w:t xml:space="preserve"> </w:t>
      </w:r>
      <w:r w:rsidRPr="00C43BF7">
        <w:rPr>
          <w:rFonts w:cs="GHEA Grapalat"/>
          <w:b w:val="0"/>
          <w:szCs w:val="22"/>
          <w:lang w:val="hy-AM"/>
        </w:rPr>
        <w:t>նպատակով</w:t>
      </w:r>
      <w:r w:rsidRPr="00C43BF7">
        <w:rPr>
          <w:rFonts w:cs="Sylfaen"/>
          <w:b w:val="0"/>
          <w:szCs w:val="22"/>
          <w:lang w:val="hy-AM"/>
        </w:rPr>
        <w:t xml:space="preserve">, </w:t>
      </w:r>
      <w:r w:rsidRPr="00C43BF7">
        <w:rPr>
          <w:rFonts w:cs="GHEA Grapalat"/>
          <w:b w:val="0"/>
          <w:szCs w:val="22"/>
          <w:lang w:val="hy-AM"/>
        </w:rPr>
        <w:t>միաժամանակ</w:t>
      </w:r>
      <w:r w:rsidRPr="00C43BF7">
        <w:rPr>
          <w:rFonts w:cs="Sylfaen"/>
          <w:b w:val="0"/>
          <w:szCs w:val="22"/>
          <w:lang w:val="hy-AM"/>
        </w:rPr>
        <w:t xml:space="preserve"> </w:t>
      </w:r>
      <w:r w:rsidRPr="00C43BF7">
        <w:rPr>
          <w:rFonts w:cs="GHEA Grapalat"/>
          <w:b w:val="0"/>
          <w:szCs w:val="22"/>
          <w:lang w:val="hy-AM"/>
        </w:rPr>
        <w:t>ապահովելով</w:t>
      </w:r>
      <w:r w:rsidRPr="00C43BF7">
        <w:rPr>
          <w:rFonts w:cs="Sylfaen"/>
          <w:b w:val="0"/>
          <w:szCs w:val="22"/>
          <w:lang w:val="hy-AM"/>
        </w:rPr>
        <w:t xml:space="preserve"> </w:t>
      </w:r>
      <w:r w:rsidRPr="00C43BF7">
        <w:rPr>
          <w:rFonts w:cs="GHEA Grapalat"/>
          <w:b w:val="0"/>
          <w:szCs w:val="22"/>
          <w:lang w:val="hy-AM"/>
        </w:rPr>
        <w:t>առաջադրված</w:t>
      </w:r>
      <w:r w:rsidRPr="00C43BF7">
        <w:rPr>
          <w:rFonts w:cs="Sylfaen"/>
          <w:b w:val="0"/>
          <w:szCs w:val="22"/>
          <w:lang w:val="hy-AM"/>
        </w:rPr>
        <w:t xml:space="preserve"> </w:t>
      </w:r>
      <w:r w:rsidRPr="00C43BF7">
        <w:rPr>
          <w:rFonts w:cs="GHEA Grapalat"/>
          <w:b w:val="0"/>
          <w:szCs w:val="22"/>
          <w:lang w:val="hy-AM"/>
        </w:rPr>
        <w:t>հարցերի</w:t>
      </w:r>
      <w:r w:rsidRPr="00C43BF7">
        <w:rPr>
          <w:rFonts w:cs="Sylfaen"/>
          <w:b w:val="0"/>
          <w:szCs w:val="22"/>
          <w:lang w:val="hy-AM"/>
        </w:rPr>
        <w:t xml:space="preserve"> ընդհանուր քանակի մեջ փորձաքննությամբ լուծված հարցերի 90.5 տոկոս տեսակարար կշիռ և նույն հարցի վերաբերյալ կրկնակի փորձաքննությունների կրճատում՝ մինչև 4 տոկոս։ Բացի դրանից, լրացուցիչ գումար է նախատեսվել հանրային պաշտպանի ծառայությունների և սնանկության գործերով կառավարչական ծառայությունների ձեռքբերման գծով, քանի որ սնանկության գործերի քանակը տարեկան 1000-ից ավելի է։</w:t>
      </w:r>
    </w:p>
    <w:p w:rsidR="00815835" w:rsidRPr="00C43BF7" w:rsidRDefault="00815835" w:rsidP="00815835">
      <w:pPr>
        <w:spacing w:line="276" w:lineRule="auto"/>
        <w:ind w:firstLine="426"/>
        <w:rPr>
          <w:rFonts w:cs="Sylfaen"/>
          <w:b w:val="0"/>
          <w:szCs w:val="22"/>
          <w:lang w:val="hy-AM"/>
        </w:rPr>
      </w:pPr>
      <w:r w:rsidRPr="00C43BF7">
        <w:rPr>
          <w:rFonts w:cs="Sylfaen"/>
          <w:b w:val="0"/>
          <w:szCs w:val="22"/>
          <w:lang w:val="hy-AM"/>
        </w:rPr>
        <w:t xml:space="preserve">Ծրագրի շրջանակներում նախատեսվում է ապահովել օրենսդրությամբ սահմանված դեպքերում քաղաքացիներին անվճար իրավաբանական ծառայությունների տրամադրումը վարույթ ընդունած 17,334 գործերի գծով, hանրային պաշտպանների դեմ բողոքների քանակի հարաբերակցությունը վարած գործերի նկատմամբ սահմանելով  5 տոկոս: </w:t>
      </w:r>
    </w:p>
    <w:p w:rsidR="00815835" w:rsidRPr="00C43BF7" w:rsidRDefault="00815835" w:rsidP="00815835">
      <w:pPr>
        <w:spacing w:line="276" w:lineRule="auto"/>
        <w:ind w:firstLine="426"/>
        <w:rPr>
          <w:rFonts w:cs="Sylfaen"/>
          <w:b w:val="0"/>
          <w:strike/>
          <w:szCs w:val="22"/>
          <w:lang w:val="hy-AM"/>
        </w:rPr>
      </w:pPr>
      <w:r w:rsidRPr="00C43BF7">
        <w:rPr>
          <w:rFonts w:cs="Sylfaen"/>
          <w:b w:val="0"/>
          <w:szCs w:val="22"/>
          <w:lang w:val="hy-AM"/>
        </w:rPr>
        <w:t xml:space="preserve">«Քրեակատարողական ծառայություններ» ծրագրի </w:t>
      </w:r>
      <w:r w:rsidR="00184733">
        <w:rPr>
          <w:rFonts w:cs="Sylfaen"/>
          <w:b w:val="0"/>
          <w:szCs w:val="22"/>
          <w:lang w:val="hy-AM"/>
        </w:rPr>
        <w:t>գծով</w:t>
      </w:r>
      <w:r w:rsidRPr="00C43BF7">
        <w:rPr>
          <w:rFonts w:cs="Sylfaen"/>
          <w:b w:val="0"/>
          <w:szCs w:val="22"/>
          <w:lang w:val="hy-AM"/>
        </w:rPr>
        <w:t xml:space="preserve"> 2023 թվականին նախատեսվում է </w:t>
      </w:r>
      <w:r w:rsidR="00184733">
        <w:rPr>
          <w:rFonts w:cs="Sylfaen"/>
          <w:b w:val="0"/>
          <w:szCs w:val="22"/>
          <w:lang w:val="hy-AM"/>
        </w:rPr>
        <w:t>հատկացնել 14</w:t>
      </w:r>
      <w:r w:rsidR="00AF6538">
        <w:rPr>
          <w:rFonts w:cs="Sylfaen"/>
          <w:b w:val="0"/>
          <w:szCs w:val="22"/>
          <w:lang w:val="hy-AM"/>
        </w:rPr>
        <w:t>,661.2</w:t>
      </w:r>
      <w:r w:rsidR="00184733">
        <w:rPr>
          <w:rFonts w:cs="Sylfaen"/>
          <w:b w:val="0"/>
          <w:szCs w:val="22"/>
          <w:lang w:val="hy-AM"/>
        </w:rPr>
        <w:t xml:space="preserve"> մլ</w:t>
      </w:r>
      <w:r w:rsidR="00AF6538">
        <w:rPr>
          <w:rFonts w:cs="Sylfaen"/>
          <w:b w:val="0"/>
          <w:szCs w:val="22"/>
          <w:lang w:val="hy-AM"/>
        </w:rPr>
        <w:t>ն</w:t>
      </w:r>
      <w:r w:rsidR="00184733">
        <w:rPr>
          <w:rFonts w:cs="Sylfaen"/>
          <w:b w:val="0"/>
          <w:szCs w:val="22"/>
          <w:lang w:val="hy-AM"/>
        </w:rPr>
        <w:t xml:space="preserve"> դրամ, որը</w:t>
      </w:r>
      <w:r w:rsidRPr="00C43BF7">
        <w:rPr>
          <w:rFonts w:cs="Sylfaen"/>
          <w:b w:val="0"/>
          <w:szCs w:val="22"/>
          <w:lang w:val="hy-AM"/>
        </w:rPr>
        <w:t xml:space="preserve"> </w:t>
      </w:r>
      <w:r w:rsidR="00184733">
        <w:rPr>
          <w:rFonts w:cs="Sylfaen"/>
          <w:b w:val="0"/>
          <w:szCs w:val="22"/>
          <w:lang w:val="hy-AM"/>
        </w:rPr>
        <w:t xml:space="preserve">կուղղվի </w:t>
      </w:r>
      <w:r w:rsidRPr="00C43BF7">
        <w:rPr>
          <w:rFonts w:cs="Sylfaen"/>
          <w:b w:val="0"/>
          <w:szCs w:val="22"/>
          <w:lang w:val="hy-AM"/>
        </w:rPr>
        <w:t xml:space="preserve">քրեակատարողական հիմնարկների օպտիմալացման և արդիականացման ռազմավարական պլանները կյանքի կոչելուն, ազատությունից զրկված անձանց պահման պայմանների բարելավմանը, վերասոցիալականացման միջոցառումների իրականացմանը, տրամադրվող բժշկական օգնության և սպասարկման որակի բարձրացմանը, պրոբացիայի ինստիտուտի զարգացմանն ու արձանագրված ոլորտային խնդիրների լուծմանը: </w:t>
      </w:r>
    </w:p>
    <w:p w:rsidR="00815835" w:rsidRPr="00C43BF7" w:rsidRDefault="00815835" w:rsidP="00815835">
      <w:pPr>
        <w:spacing w:line="276" w:lineRule="auto"/>
        <w:ind w:firstLine="426"/>
        <w:rPr>
          <w:rFonts w:cs="Sylfaen"/>
          <w:b w:val="0"/>
          <w:szCs w:val="22"/>
          <w:lang w:val="hy-AM"/>
        </w:rPr>
      </w:pPr>
      <w:r w:rsidRPr="00C43BF7">
        <w:rPr>
          <w:rFonts w:cs="Sylfaen"/>
          <w:b w:val="0"/>
          <w:szCs w:val="22"/>
          <w:lang w:val="hy-AM"/>
        </w:rPr>
        <w:t xml:space="preserve">Ծրագրի շրջանակում նախատեսվում է դատապարտյալների 15 տոկոսին ապահովել աշխատանքով, աստիճանաբար ավելացնել ՔԿՀ-ում միջին մասնագիտական/տեխնիկական կրթություն ստացող, սոցիալական /սոցիալական վերականգնում և խորհրդատվություն/ աջակցություն ստացած դատապարտյալների և կալանավորվածների թիվը, ՔԿՀ-ում մշակութային կամ մարզական միջոցառումներին մասնակցած դատապարտյալների  տեսակարար կշիռը ընդհանուր դատապարտյալների մեջ: </w:t>
      </w:r>
    </w:p>
    <w:p w:rsidR="00815835" w:rsidRPr="00C43BF7" w:rsidRDefault="00815835" w:rsidP="00815835">
      <w:pPr>
        <w:spacing w:line="276" w:lineRule="auto"/>
        <w:ind w:firstLine="426"/>
        <w:rPr>
          <w:rFonts w:cs="Sylfaen"/>
          <w:b w:val="0"/>
          <w:szCs w:val="22"/>
          <w:lang w:val="hy-AM"/>
        </w:rPr>
      </w:pPr>
      <w:r w:rsidRPr="00C43BF7">
        <w:rPr>
          <w:rFonts w:cs="Sylfaen"/>
          <w:b w:val="0"/>
          <w:szCs w:val="22"/>
          <w:lang w:val="hy-AM"/>
        </w:rPr>
        <w:t>2023 թվականին շարունակվելու են քրեակատարողական հիմնարկներում բժշկական օգնության և սպասարկման ոլորտի կատարելագործմանն ուղղված աշխատանքները: Ծրագրի շրջանակներում նախատեսվում է առաջնային և մասնագիտացված բնույթի մոտ 85,000 բուժօգնություն ցույց տալ դատապարտյալներին և կալանավորված անձանց՝ ապահովելով բուժօգնության կազմակերպման ձգձգումների բացառումը</w:t>
      </w:r>
    </w:p>
    <w:p w:rsidR="00815835" w:rsidRPr="00C43BF7" w:rsidRDefault="00815835" w:rsidP="00815835">
      <w:pPr>
        <w:spacing w:line="276" w:lineRule="auto"/>
        <w:ind w:firstLine="426"/>
        <w:rPr>
          <w:rFonts w:cs="Sylfaen"/>
          <w:b w:val="0"/>
          <w:szCs w:val="22"/>
          <w:lang w:val="hy-AM"/>
        </w:rPr>
      </w:pPr>
      <w:r w:rsidRPr="00C43BF7">
        <w:rPr>
          <w:rFonts w:cs="Sylfaen"/>
          <w:b w:val="0"/>
          <w:szCs w:val="22"/>
          <w:lang w:val="hy-AM"/>
        </w:rPr>
        <w:t xml:space="preserve">Շարունակվելու է քրեակատարողական հիմնարկներում գտնվող,  իրավախախտում կատարած անձանց գեղագիտական դաստիարակության և կրթության ծրագրերի իրականացումը: Տարեկան հաստատված ծրագրերին մասնակցած և հավաստագրեր ստացած ունկնդիրների տեսակարար կշիռը մասնակիցների ընդհանուր թվաքանակի մեջ նախատեսվում է 80 տոկոս: ՀՀ քրեակատարողական օրենսգրքի 112-րդ հոդված 3-րդ մասի և «Կրթության մասին» օրենքում լրացում կատարելու մասին» 2022 թվականի մայիսի 25-ի ՀՕ-130-Ն օրենքով նախատեսված դրույթների համաձայն 2023 թվականին «Քրեակատարողական ծառայություններ» ծրագրի շրջանակներում կապահովվի անկախ տարիքից՝ ազատությունից զրկված անձանց համար հանրակրթության իրականացումը։ </w:t>
      </w:r>
    </w:p>
    <w:p w:rsidR="00815835" w:rsidRPr="00C43BF7" w:rsidRDefault="00815835" w:rsidP="00815835">
      <w:pPr>
        <w:spacing w:line="276" w:lineRule="auto"/>
        <w:ind w:firstLine="426"/>
        <w:rPr>
          <w:rFonts w:cs="Sylfaen"/>
          <w:b w:val="0"/>
          <w:szCs w:val="22"/>
          <w:lang w:val="hy-AM"/>
        </w:rPr>
      </w:pPr>
      <w:r w:rsidRPr="00C43BF7">
        <w:rPr>
          <w:rFonts w:cs="Sylfaen"/>
          <w:b w:val="0"/>
          <w:szCs w:val="22"/>
          <w:lang w:val="hy-AM"/>
        </w:rPr>
        <w:t xml:space="preserve">Կառավարությունը շարունակելու է վճռական մնալ վերականգնողական արդարադատության սկզբունքների արմատավորման հարցում: Այս համատեքստում հիմնական թիրախային ուղղությունները լինելու են զարգացնել Պրոբացիայի ծառայության կարողությունները և հզորացնել կադրային ներուժը: Պրոբացիայի ծառայությունում հաշվառված շահառուների համար նախատեսվում է իրականացնել 35 մշակութային միջոցառումներ, ավելացնել վերասոցիալականացման ծրագրերին մասնակցած շահառուների թիվը, հանրային աշխատանքներ պատժատեսակում ներգրավված շահառուների թիվը, արդյունքում ապահովելով կրկնահանցագործություն կատարած շահառուների թվի կրճատում: </w:t>
      </w:r>
    </w:p>
    <w:p w:rsidR="00815835" w:rsidRPr="00C43BF7" w:rsidRDefault="00815835" w:rsidP="00815835">
      <w:pPr>
        <w:spacing w:line="276" w:lineRule="auto"/>
        <w:ind w:firstLine="426"/>
        <w:rPr>
          <w:rFonts w:cs="Sylfaen"/>
          <w:b w:val="0"/>
          <w:szCs w:val="22"/>
          <w:lang w:val="hy-AM"/>
        </w:rPr>
      </w:pPr>
      <w:r w:rsidRPr="00C43BF7">
        <w:rPr>
          <w:rFonts w:cs="Sylfaen"/>
          <w:b w:val="0"/>
          <w:szCs w:val="22"/>
          <w:lang w:val="hy-AM"/>
        </w:rPr>
        <w:t xml:space="preserve">Ազատությունից զրկելուն այլընտրանք հանդիսացող նոր պատժատեսակների և խափանման միջոցների արդյունավետ կիրառման նպատակով Պրոբացիայի ծառայությանը 2023 թվականին շարունակվելու է էլեկտրոնային հսկողության համար անհրաժեշտ միջոցներով ու ենթակառուցվածքներով վերազինումը և, ըստ այդմ, իրավակիրառ պրակտիկայում էլեկտրոնային հսկողության փաստացի և պատշաճ կիրառումը: </w:t>
      </w:r>
    </w:p>
    <w:p w:rsidR="00815835" w:rsidRPr="00C43BF7" w:rsidRDefault="00815835" w:rsidP="00815835">
      <w:pPr>
        <w:spacing w:line="276" w:lineRule="auto"/>
        <w:ind w:firstLine="426"/>
        <w:rPr>
          <w:rFonts w:cs="Sylfaen"/>
          <w:b w:val="0"/>
          <w:szCs w:val="22"/>
          <w:lang w:val="hy-AM"/>
        </w:rPr>
      </w:pPr>
      <w:r w:rsidRPr="00C43BF7">
        <w:rPr>
          <w:rFonts w:cs="Sylfaen"/>
          <w:b w:val="0"/>
          <w:szCs w:val="22"/>
          <w:lang w:val="hy-AM"/>
        </w:rPr>
        <w:tab/>
        <w:t xml:space="preserve">«Իրավական իրազեկում և տեղեկատվության ապահովում» ծրագրի </w:t>
      </w:r>
      <w:r w:rsidR="00DC16E1">
        <w:rPr>
          <w:rFonts w:cs="Sylfaen"/>
          <w:b w:val="0"/>
          <w:szCs w:val="22"/>
          <w:lang w:val="hy-AM"/>
        </w:rPr>
        <w:t xml:space="preserve">գծով նախատեսվել է 1,233.0 մլն դրամ: Ծրագրի </w:t>
      </w:r>
      <w:r w:rsidRPr="00C43BF7">
        <w:rPr>
          <w:rFonts w:cs="Sylfaen"/>
          <w:b w:val="0"/>
          <w:szCs w:val="22"/>
          <w:lang w:val="hy-AM"/>
        </w:rPr>
        <w:t xml:space="preserve">մեջ ընդգրկվել </w:t>
      </w:r>
      <w:r w:rsidR="00DC16E1" w:rsidRPr="00C43BF7">
        <w:rPr>
          <w:rFonts w:cs="Sylfaen"/>
          <w:b w:val="0"/>
          <w:szCs w:val="22"/>
          <w:lang w:val="hy-AM"/>
        </w:rPr>
        <w:t xml:space="preserve">է </w:t>
      </w:r>
      <w:r w:rsidRPr="00C43BF7">
        <w:rPr>
          <w:rFonts w:cs="Sylfaen"/>
          <w:b w:val="0"/>
          <w:szCs w:val="22"/>
          <w:lang w:val="hy-AM"/>
        </w:rPr>
        <w:t xml:space="preserve">նոր միջոցառում՝ արխիվային ծառայությունները, որը նախկինում ներառված է եղել ԿԳՄՍ նախարարության կողմից իրականացվող ծրագրերում, ինչով էլ պայմանավորված է ծրագրի գումարի մեծությունը։ Այս ծրագրի շրջանակներում նախատեսվում է ապահովել Հայաստանի իրավական տեղեկատվության համակարգում` «ԱՐԼԻՍ» կայքում </w:t>
      </w:r>
      <w:r w:rsidR="00904CDF">
        <w:rPr>
          <w:rFonts w:cs="Sylfaen"/>
          <w:b w:val="0"/>
          <w:szCs w:val="22"/>
          <w:lang w:val="hy-AM"/>
        </w:rPr>
        <w:t xml:space="preserve">լրացուցիչ </w:t>
      </w:r>
      <w:r w:rsidRPr="00C43BF7">
        <w:rPr>
          <w:rFonts w:cs="Sylfaen"/>
          <w:b w:val="0"/>
          <w:szCs w:val="22"/>
          <w:lang w:val="hy-AM"/>
        </w:rPr>
        <w:t xml:space="preserve">մոտ 9,000 իրավական ակտի հրատարակում, տեղեկատվական համակարգի ամենշաբաթյա թարմացում, իրավական ակտերի էլեկտրոնային ժողովածուի պարբերական համալրում և  ՀՀ, ԵՏՄ, ԵՄ իրավական ակտերի, ՀՀ ազգային զեկույցների, ՀՀ պետական մարմինների կողմից միջազգային կառույցներ ներկայացվող և այդ կառույցների կողմից ՀՀ մարմիններ ներկայացվող փաստաթղթերի և հանձնարարվող այլ առանցքային փաստաթղթերի թարգմանությունների կատարումը: Ծրագրի նպատակն է ապահովել մոտ </w:t>
      </w:r>
      <w:r w:rsidR="00904CDF">
        <w:rPr>
          <w:rFonts w:cs="Sylfaen"/>
          <w:b w:val="0"/>
          <w:szCs w:val="22"/>
          <w:lang w:val="hy-AM"/>
        </w:rPr>
        <w:t>3</w:t>
      </w:r>
      <w:r w:rsidRPr="00C43BF7">
        <w:rPr>
          <w:rFonts w:cs="Sylfaen"/>
          <w:b w:val="0"/>
          <w:szCs w:val="22"/>
          <w:lang w:val="hy-AM"/>
        </w:rPr>
        <w:t xml:space="preserve"> տոկոս հանրային իրազեկվածության բարձրացում:  </w:t>
      </w:r>
    </w:p>
    <w:p w:rsidR="00C105C9" w:rsidRPr="00C43BF7" w:rsidRDefault="00815835" w:rsidP="00815835">
      <w:pPr>
        <w:spacing w:line="276" w:lineRule="auto"/>
        <w:ind w:firstLine="426"/>
        <w:rPr>
          <w:rFonts w:cs="Sylfaen"/>
          <w:b w:val="0"/>
          <w:szCs w:val="22"/>
          <w:lang w:val="hy-AM"/>
        </w:rPr>
      </w:pPr>
      <w:r w:rsidRPr="00C43BF7">
        <w:rPr>
          <w:rFonts w:cs="Sylfaen"/>
          <w:b w:val="0"/>
          <w:szCs w:val="22"/>
          <w:lang w:val="hy-AM"/>
        </w:rPr>
        <w:t xml:space="preserve"> «Արդարադատության համակարգի աշխատակիցների վերապատրաստում և հատուկ ուսուցում» ծրագրի գծով  2023 թվականին նախատեսվ</w:t>
      </w:r>
      <w:r w:rsidR="00052C8D">
        <w:rPr>
          <w:rFonts w:cs="Sylfaen"/>
          <w:b w:val="0"/>
          <w:szCs w:val="22"/>
          <w:lang w:val="hy-AM"/>
        </w:rPr>
        <w:t>ում է հատկացնել 501.9 մլն դրամ</w:t>
      </w:r>
      <w:r w:rsidRPr="00C43BF7">
        <w:rPr>
          <w:rFonts w:cs="Sylfaen"/>
          <w:b w:val="0"/>
          <w:szCs w:val="22"/>
          <w:lang w:val="hy-AM"/>
        </w:rPr>
        <w:t xml:space="preserve">՝ </w:t>
      </w:r>
      <w:r w:rsidRPr="00C43BF7">
        <w:rPr>
          <w:rFonts w:cs="GHEA Grapalat"/>
          <w:b w:val="0"/>
          <w:szCs w:val="22"/>
          <w:lang w:val="hy-AM"/>
        </w:rPr>
        <w:t>դատավորների</w:t>
      </w:r>
      <w:r w:rsidRPr="00C43BF7">
        <w:rPr>
          <w:rFonts w:cs="Sylfaen"/>
          <w:b w:val="0"/>
          <w:szCs w:val="22"/>
          <w:lang w:val="hy-AM"/>
        </w:rPr>
        <w:t xml:space="preserve"> </w:t>
      </w:r>
      <w:r w:rsidRPr="00C43BF7">
        <w:rPr>
          <w:rFonts w:cs="GHEA Grapalat"/>
          <w:b w:val="0"/>
          <w:szCs w:val="22"/>
          <w:lang w:val="hy-AM"/>
        </w:rPr>
        <w:t>թեկնածուների</w:t>
      </w:r>
      <w:r w:rsidRPr="00C43BF7">
        <w:rPr>
          <w:rFonts w:cs="Sylfaen"/>
          <w:b w:val="0"/>
          <w:szCs w:val="22"/>
          <w:lang w:val="hy-AM"/>
        </w:rPr>
        <w:t xml:space="preserve"> </w:t>
      </w:r>
      <w:r w:rsidRPr="00C43BF7">
        <w:rPr>
          <w:rFonts w:cs="GHEA Grapalat"/>
          <w:b w:val="0"/>
          <w:szCs w:val="22"/>
          <w:lang w:val="hy-AM"/>
        </w:rPr>
        <w:t>հավակնորդների</w:t>
      </w:r>
      <w:r w:rsidRPr="00C43BF7">
        <w:rPr>
          <w:rFonts w:cs="Sylfaen"/>
          <w:b w:val="0"/>
          <w:szCs w:val="22"/>
          <w:lang w:val="hy-AM"/>
        </w:rPr>
        <w:t xml:space="preserve"> </w:t>
      </w:r>
      <w:r w:rsidRPr="00C43BF7">
        <w:rPr>
          <w:rFonts w:cs="GHEA Grapalat"/>
          <w:b w:val="0"/>
          <w:szCs w:val="22"/>
          <w:lang w:val="hy-AM"/>
        </w:rPr>
        <w:t>և</w:t>
      </w:r>
      <w:r w:rsidRPr="00C43BF7">
        <w:rPr>
          <w:rFonts w:cs="Sylfaen"/>
          <w:b w:val="0"/>
          <w:szCs w:val="22"/>
          <w:lang w:val="hy-AM"/>
        </w:rPr>
        <w:t xml:space="preserve"> </w:t>
      </w:r>
      <w:r w:rsidRPr="00C43BF7">
        <w:rPr>
          <w:rFonts w:cs="GHEA Grapalat"/>
          <w:b w:val="0"/>
          <w:szCs w:val="22"/>
          <w:lang w:val="hy-AM"/>
        </w:rPr>
        <w:t>դատախազների</w:t>
      </w:r>
      <w:r w:rsidRPr="00C43BF7">
        <w:rPr>
          <w:rFonts w:cs="Sylfaen"/>
          <w:b w:val="0"/>
          <w:szCs w:val="22"/>
          <w:lang w:val="hy-AM"/>
        </w:rPr>
        <w:t xml:space="preserve"> </w:t>
      </w:r>
      <w:r w:rsidRPr="00C43BF7">
        <w:rPr>
          <w:rFonts w:cs="GHEA Grapalat"/>
          <w:b w:val="0"/>
          <w:szCs w:val="22"/>
          <w:lang w:val="hy-AM"/>
        </w:rPr>
        <w:t>թեկնածուների</w:t>
      </w:r>
      <w:r w:rsidRPr="00C43BF7">
        <w:rPr>
          <w:rFonts w:cs="Sylfaen"/>
          <w:b w:val="0"/>
          <w:szCs w:val="22"/>
          <w:lang w:val="hy-AM"/>
        </w:rPr>
        <w:t xml:space="preserve"> </w:t>
      </w:r>
      <w:r w:rsidRPr="00C43BF7">
        <w:rPr>
          <w:rFonts w:cs="GHEA Grapalat"/>
          <w:b w:val="0"/>
          <w:szCs w:val="22"/>
          <w:lang w:val="hy-AM"/>
        </w:rPr>
        <w:t>ցուցակում</w:t>
      </w:r>
      <w:r w:rsidRPr="00C43BF7">
        <w:rPr>
          <w:rFonts w:cs="Sylfaen"/>
          <w:b w:val="0"/>
          <w:szCs w:val="22"/>
          <w:lang w:val="hy-AM"/>
        </w:rPr>
        <w:t xml:space="preserve"> </w:t>
      </w:r>
      <w:r w:rsidRPr="00C43BF7">
        <w:rPr>
          <w:rFonts w:cs="GHEA Grapalat"/>
          <w:b w:val="0"/>
          <w:szCs w:val="22"/>
          <w:lang w:val="hy-AM"/>
        </w:rPr>
        <w:t>ընդգրկված</w:t>
      </w:r>
      <w:r w:rsidRPr="00C43BF7">
        <w:rPr>
          <w:rFonts w:cs="Sylfaen"/>
          <w:b w:val="0"/>
          <w:szCs w:val="22"/>
          <w:lang w:val="hy-AM"/>
        </w:rPr>
        <w:t xml:space="preserve"> </w:t>
      </w:r>
      <w:r w:rsidRPr="00C43BF7">
        <w:rPr>
          <w:rFonts w:cs="GHEA Grapalat"/>
          <w:b w:val="0"/>
          <w:szCs w:val="22"/>
          <w:lang w:val="hy-AM"/>
        </w:rPr>
        <w:t>անձանց</w:t>
      </w:r>
      <w:r w:rsidRPr="00C43BF7">
        <w:rPr>
          <w:rFonts w:cs="Sylfaen"/>
          <w:b w:val="0"/>
          <w:szCs w:val="22"/>
          <w:lang w:val="hy-AM"/>
        </w:rPr>
        <w:t xml:space="preserve"> </w:t>
      </w:r>
      <w:r w:rsidRPr="00C43BF7">
        <w:rPr>
          <w:rFonts w:cs="GHEA Grapalat"/>
          <w:b w:val="0"/>
          <w:szCs w:val="22"/>
          <w:lang w:val="hy-AM"/>
        </w:rPr>
        <w:t>Արդարադատության</w:t>
      </w:r>
      <w:r w:rsidRPr="00C43BF7">
        <w:rPr>
          <w:rFonts w:cs="Sylfaen"/>
          <w:b w:val="0"/>
          <w:szCs w:val="22"/>
          <w:lang w:val="hy-AM"/>
        </w:rPr>
        <w:t xml:space="preserve"> </w:t>
      </w:r>
      <w:r w:rsidRPr="00C43BF7">
        <w:rPr>
          <w:rFonts w:cs="GHEA Grapalat"/>
          <w:b w:val="0"/>
          <w:szCs w:val="22"/>
          <w:lang w:val="hy-AM"/>
        </w:rPr>
        <w:t>ակադեմիայում մասնագիտական պատրաստման ընթացքում կրթաթոշակի վճարման</w:t>
      </w:r>
      <w:r w:rsidR="004E46F2" w:rsidRPr="00C43BF7">
        <w:rPr>
          <w:rFonts w:cs="GHEA Grapalat"/>
          <w:b w:val="0"/>
          <w:szCs w:val="22"/>
          <w:lang w:val="hy-AM"/>
        </w:rPr>
        <w:t xml:space="preserve">, ինչպես նաև </w:t>
      </w:r>
      <w:r w:rsidR="004E46F2">
        <w:rPr>
          <w:rFonts w:cs="GHEA Grapalat"/>
          <w:b w:val="0"/>
          <w:szCs w:val="22"/>
          <w:lang w:val="hy-AM"/>
        </w:rPr>
        <w:t>հ</w:t>
      </w:r>
      <w:r w:rsidR="004E46F2" w:rsidRPr="00C43BF7">
        <w:rPr>
          <w:rFonts w:cs="GHEA Grapalat"/>
          <w:b w:val="0"/>
          <w:szCs w:val="22"/>
          <w:lang w:val="hy-AM"/>
        </w:rPr>
        <w:t>ատուկ ծառայողների վերապատրաստ</w:t>
      </w:r>
      <w:r w:rsidR="004E46F2">
        <w:rPr>
          <w:rFonts w:cs="GHEA Grapalat"/>
          <w:b w:val="0"/>
          <w:szCs w:val="22"/>
          <w:lang w:val="hy-AM"/>
        </w:rPr>
        <w:t>ման</w:t>
      </w:r>
      <w:r w:rsidR="004E46F2" w:rsidRPr="00C43BF7">
        <w:rPr>
          <w:rFonts w:cs="GHEA Grapalat"/>
          <w:b w:val="0"/>
          <w:szCs w:val="22"/>
          <w:lang w:val="hy-AM"/>
        </w:rPr>
        <w:t xml:space="preserve"> և հատուկ ուսուցման</w:t>
      </w:r>
      <w:r w:rsidR="004E46F2">
        <w:rPr>
          <w:rFonts w:cs="GHEA Grapalat"/>
          <w:b w:val="0"/>
          <w:szCs w:val="22"/>
          <w:lang w:val="hy-AM"/>
        </w:rPr>
        <w:t>,</w:t>
      </w:r>
      <w:r w:rsidR="004E46F2" w:rsidRPr="00C43BF7">
        <w:rPr>
          <w:rFonts w:cs="GHEA Grapalat"/>
          <w:b w:val="0"/>
          <w:szCs w:val="22"/>
          <w:lang w:val="hy-AM"/>
        </w:rPr>
        <w:t xml:space="preserve"> դատավորների և դատախազների</w:t>
      </w:r>
      <w:r w:rsidR="004E46F2">
        <w:rPr>
          <w:rFonts w:cs="GHEA Grapalat"/>
          <w:b w:val="0"/>
          <w:szCs w:val="22"/>
          <w:lang w:val="hy-AM"/>
        </w:rPr>
        <w:t xml:space="preserve">, </w:t>
      </w:r>
      <w:r w:rsidR="004E46F2" w:rsidRPr="00C43BF7">
        <w:rPr>
          <w:rFonts w:cs="GHEA Grapalat"/>
          <w:b w:val="0"/>
          <w:szCs w:val="22"/>
          <w:lang w:val="hy-AM"/>
        </w:rPr>
        <w:t>դատական ծառայողների, դատախազության աշխատակազմում ծառայողների, դատական կարգադրիչների վերապատրաստման և հատուկ ուսուցման կազմակերպ</w:t>
      </w:r>
      <w:r w:rsidR="004E46F2">
        <w:rPr>
          <w:rFonts w:cs="GHEA Grapalat"/>
          <w:b w:val="0"/>
          <w:szCs w:val="22"/>
          <w:lang w:val="hy-AM"/>
        </w:rPr>
        <w:t>ման նպատակով</w:t>
      </w:r>
      <w:r w:rsidRPr="00C43BF7">
        <w:rPr>
          <w:rFonts w:cs="GHEA Grapalat"/>
          <w:b w:val="0"/>
          <w:szCs w:val="22"/>
          <w:lang w:val="hy-AM"/>
        </w:rPr>
        <w:t>։  Այս ծրագրով նախատեսվում է ապահովել 2,250 հատուկ ծառայողների,  320 դատավորների</w:t>
      </w:r>
      <w:r w:rsidRPr="00C43BF7">
        <w:rPr>
          <w:rFonts w:cs="Sylfaen"/>
          <w:b w:val="0"/>
          <w:szCs w:val="22"/>
          <w:lang w:val="hy-AM"/>
        </w:rPr>
        <w:t xml:space="preserve">, 175 դատախազների, 150 դատական կարգադրիչների վերապատրաստումն ու  հատուկ ուսուցումը, ապահովելով վերապատրաստման հավաստագիր ստացած ունկնդիրների </w:t>
      </w:r>
      <w:r w:rsidR="00C105C9" w:rsidRPr="00C43BF7">
        <w:rPr>
          <w:rFonts w:cs="GHEA Grapalat"/>
          <w:b w:val="0"/>
          <w:szCs w:val="22"/>
          <w:lang w:val="hy-AM"/>
        </w:rPr>
        <w:t>99 տոկոս տեսակար կշիռ:</w:t>
      </w:r>
      <w:r w:rsidR="00C105C9" w:rsidRPr="00C43BF7">
        <w:rPr>
          <w:rFonts w:cs="Sylfaen"/>
          <w:b w:val="0"/>
          <w:szCs w:val="22"/>
          <w:lang w:val="hy-AM"/>
        </w:rPr>
        <w:t xml:space="preserve"> </w:t>
      </w:r>
    </w:p>
    <w:p w:rsidR="00815835" w:rsidRPr="00C43BF7" w:rsidRDefault="00815835" w:rsidP="00815835">
      <w:pPr>
        <w:spacing w:line="276" w:lineRule="auto"/>
        <w:ind w:firstLine="426"/>
        <w:rPr>
          <w:rFonts w:cs="Sylfaen"/>
          <w:b w:val="0"/>
          <w:szCs w:val="22"/>
          <w:lang w:val="hy-AM"/>
        </w:rPr>
      </w:pPr>
      <w:r w:rsidRPr="00C43BF7">
        <w:rPr>
          <w:rFonts w:cs="Sylfaen"/>
          <w:b w:val="0"/>
          <w:szCs w:val="22"/>
          <w:lang w:val="hy-AM"/>
        </w:rPr>
        <w:t>Հարկադիր կատարման ծ</w:t>
      </w:r>
      <w:r w:rsidRPr="00C43BF7">
        <w:rPr>
          <w:rFonts w:cs="GHEA Grapalat"/>
          <w:b w:val="0"/>
          <w:szCs w:val="22"/>
          <w:lang w:val="hy-AM"/>
        </w:rPr>
        <w:t>առայությունում</w:t>
      </w:r>
      <w:r w:rsidRPr="00C43BF7">
        <w:rPr>
          <w:rFonts w:cs="Sylfaen"/>
          <w:b w:val="0"/>
          <w:szCs w:val="22"/>
          <w:lang w:val="hy-AM"/>
        </w:rPr>
        <w:t xml:space="preserve"> </w:t>
      </w:r>
      <w:r w:rsidRPr="00C43BF7">
        <w:rPr>
          <w:rFonts w:cs="GHEA Grapalat"/>
          <w:b w:val="0"/>
          <w:szCs w:val="22"/>
          <w:lang w:val="hy-AM"/>
        </w:rPr>
        <w:t>ներդրվել</w:t>
      </w:r>
      <w:r w:rsidRPr="00C43BF7">
        <w:rPr>
          <w:rFonts w:cs="Sylfaen"/>
          <w:b w:val="0"/>
          <w:szCs w:val="22"/>
          <w:lang w:val="hy-AM"/>
        </w:rPr>
        <w:t xml:space="preserve"> </w:t>
      </w:r>
      <w:r w:rsidRPr="00C43BF7">
        <w:rPr>
          <w:rFonts w:cs="GHEA Grapalat"/>
          <w:b w:val="0"/>
          <w:szCs w:val="22"/>
          <w:lang w:val="hy-AM"/>
        </w:rPr>
        <w:t>է</w:t>
      </w:r>
      <w:r w:rsidRPr="00C43BF7">
        <w:rPr>
          <w:rFonts w:cs="Sylfaen"/>
          <w:b w:val="0"/>
          <w:szCs w:val="22"/>
          <w:lang w:val="hy-AM"/>
        </w:rPr>
        <w:t xml:space="preserve"> </w:t>
      </w:r>
      <w:r w:rsidRPr="00C43BF7">
        <w:rPr>
          <w:rFonts w:cs="GHEA Grapalat"/>
          <w:b w:val="0"/>
          <w:szCs w:val="22"/>
          <w:lang w:val="hy-AM"/>
        </w:rPr>
        <w:t>«Հիբրիդփոստ»</w:t>
      </w:r>
      <w:r w:rsidRPr="00C43BF7">
        <w:rPr>
          <w:rFonts w:cs="Sylfaen"/>
          <w:b w:val="0"/>
          <w:szCs w:val="22"/>
          <w:lang w:val="hy-AM"/>
        </w:rPr>
        <w:t xml:space="preserve"> </w:t>
      </w:r>
      <w:r w:rsidRPr="00C43BF7">
        <w:rPr>
          <w:rFonts w:cs="GHEA Grapalat"/>
          <w:b w:val="0"/>
          <w:szCs w:val="22"/>
          <w:lang w:val="hy-AM"/>
        </w:rPr>
        <w:t>նամակների</w:t>
      </w:r>
      <w:r w:rsidRPr="00C43BF7">
        <w:rPr>
          <w:rFonts w:cs="Sylfaen"/>
          <w:b w:val="0"/>
          <w:szCs w:val="22"/>
          <w:lang w:val="hy-AM"/>
        </w:rPr>
        <w:t xml:space="preserve"> </w:t>
      </w:r>
      <w:r w:rsidRPr="00C43BF7">
        <w:rPr>
          <w:rFonts w:cs="GHEA Grapalat"/>
          <w:b w:val="0"/>
          <w:szCs w:val="22"/>
          <w:lang w:val="hy-AM"/>
        </w:rPr>
        <w:t>էլեկտրոնային</w:t>
      </w:r>
      <w:r w:rsidRPr="00C43BF7">
        <w:rPr>
          <w:rFonts w:cs="Sylfaen"/>
          <w:b w:val="0"/>
          <w:szCs w:val="22"/>
          <w:lang w:val="hy-AM"/>
        </w:rPr>
        <w:t xml:space="preserve"> </w:t>
      </w:r>
      <w:r w:rsidRPr="00C43BF7">
        <w:rPr>
          <w:rFonts w:cs="GHEA Grapalat"/>
          <w:b w:val="0"/>
          <w:szCs w:val="22"/>
          <w:lang w:val="hy-AM"/>
        </w:rPr>
        <w:t>համակարգը։</w:t>
      </w:r>
      <w:r w:rsidRPr="00C43BF7">
        <w:rPr>
          <w:rFonts w:cs="Sylfaen"/>
          <w:b w:val="0"/>
          <w:szCs w:val="22"/>
          <w:lang w:val="hy-AM"/>
        </w:rPr>
        <w:t xml:space="preserve"> </w:t>
      </w:r>
    </w:p>
    <w:p w:rsidR="00815835" w:rsidRPr="00C43BF7" w:rsidRDefault="00815835" w:rsidP="00815835">
      <w:pPr>
        <w:spacing w:line="276" w:lineRule="auto"/>
        <w:ind w:firstLine="426"/>
        <w:rPr>
          <w:rFonts w:cs="Sylfaen"/>
          <w:b w:val="0"/>
          <w:szCs w:val="22"/>
          <w:lang w:val="hy-AM"/>
        </w:rPr>
      </w:pPr>
      <w:r w:rsidRPr="00C43BF7">
        <w:rPr>
          <w:rFonts w:cs="Sylfaen"/>
          <w:b w:val="0"/>
          <w:szCs w:val="22"/>
          <w:lang w:val="hy-AM"/>
        </w:rPr>
        <w:t xml:space="preserve">2023 թվականին Դատաիրավական բարեփոխումների շրջանակում իրականացվելու է հարկադիր կատարման ոլորտի համընդհանուր բարեփոխումներ՝ բարձրացնելու կատարողական գործողությունների արդյունավետությունը, առավելագույնս ապահովելու կատարողական վարույթի մասնակիցների օրինական շահերի պաշտպանությունը, նրանց խնդիրներին ու կարիքներին արագ և արդյունավետ արձագանքելու կառուցակարգերի ներդրմանը: 2023 թվականին նախատեսվում է ավարտել ընթացքի մեջ գտնվող կատարողական վարույթների 62 տոկոսը, բռնագանձման ենթակա գումարի նկատմամբ բռնագանձված գումարի և աճուրդով վերականգնված գումարի տեսակարար կշիռը նախատեսվել է յուրաքանչյուրը մոտ 13 տոկոս:  </w:t>
      </w:r>
    </w:p>
    <w:p w:rsidR="00815835" w:rsidRPr="00C43BF7" w:rsidRDefault="00815835" w:rsidP="00815835">
      <w:pPr>
        <w:spacing w:line="276" w:lineRule="auto"/>
        <w:ind w:firstLine="426"/>
        <w:rPr>
          <w:rFonts w:cs="Sylfaen"/>
          <w:b w:val="0"/>
          <w:szCs w:val="22"/>
          <w:lang w:val="hy-AM"/>
        </w:rPr>
      </w:pPr>
      <w:r w:rsidRPr="00C43BF7">
        <w:rPr>
          <w:rFonts w:cs="Sylfaen"/>
          <w:b w:val="0"/>
          <w:szCs w:val="22"/>
          <w:lang w:val="hy-AM"/>
        </w:rPr>
        <w:t xml:space="preserve">Հարկադիր կատարման վարույթի ամբողջական թվայնացման, ըստ այդմ' քաղաքացի-հարկադիր կատարող արդյունավետ հաղորդակցության ապահովման նպատակով հարկադիր կատարման ծառայության գծով 2023 թվականին նախատեսվել են միջոցներ տեխնիկական հագեցվածության բարելավման նպատակով: </w:t>
      </w:r>
    </w:p>
    <w:p w:rsidR="00815835" w:rsidRPr="007955BB" w:rsidRDefault="00815835" w:rsidP="00815835">
      <w:pPr>
        <w:spacing w:line="276" w:lineRule="auto"/>
        <w:ind w:firstLine="426"/>
        <w:rPr>
          <w:b w:val="0"/>
          <w:color w:val="FF0000"/>
          <w:szCs w:val="22"/>
          <w:lang w:val="hy-AM"/>
        </w:rPr>
      </w:pPr>
      <w:r w:rsidRPr="00C43BF7">
        <w:rPr>
          <w:rFonts w:cs="Sylfaen"/>
          <w:b w:val="0"/>
          <w:szCs w:val="22"/>
          <w:lang w:val="hy-AM"/>
        </w:rPr>
        <w:t xml:space="preserve">Հակակոռուպցիոն քաղաքականության մշակում, ծրագրերի համակարգում և մոնիտորինգի իրականացում ծրագրի գծով միջոցներն ուղղվել են հակակոռուպցիոն ռազմավարության միջոցառումների իրականացմանը, մասնավորապես՝ Հակակոռուպցիոն կոմիտեի և դատարանների շենքերի կառուցմանը։ </w:t>
      </w:r>
      <w:r w:rsidRPr="00C43BF7">
        <w:rPr>
          <w:rFonts w:cs="GHEA Grapalat"/>
          <w:b w:val="0"/>
          <w:szCs w:val="22"/>
          <w:lang w:val="hy-AM"/>
        </w:rPr>
        <w:t>Ծրագրի</w:t>
      </w:r>
      <w:r w:rsidRPr="00C43BF7">
        <w:rPr>
          <w:rFonts w:cs="Sylfaen"/>
          <w:b w:val="0"/>
          <w:szCs w:val="22"/>
          <w:lang w:val="hy-AM"/>
        </w:rPr>
        <w:t xml:space="preserve"> </w:t>
      </w:r>
      <w:r w:rsidRPr="00C43BF7">
        <w:rPr>
          <w:rFonts w:cs="GHEA Grapalat"/>
          <w:b w:val="0"/>
          <w:szCs w:val="22"/>
          <w:lang w:val="hy-AM"/>
        </w:rPr>
        <w:t>շրջանակներում</w:t>
      </w:r>
      <w:r w:rsidRPr="00C43BF7">
        <w:rPr>
          <w:rFonts w:cs="Sylfaen"/>
          <w:b w:val="0"/>
          <w:szCs w:val="22"/>
          <w:lang w:val="hy-AM"/>
        </w:rPr>
        <w:t xml:space="preserve"> </w:t>
      </w:r>
      <w:r w:rsidRPr="00C43BF7">
        <w:rPr>
          <w:rFonts w:cs="GHEA Grapalat"/>
          <w:b w:val="0"/>
          <w:szCs w:val="22"/>
          <w:lang w:val="hy-AM"/>
        </w:rPr>
        <w:t>նախատեսվում</w:t>
      </w:r>
      <w:r w:rsidRPr="00C43BF7">
        <w:rPr>
          <w:rFonts w:cs="Sylfaen"/>
          <w:b w:val="0"/>
          <w:szCs w:val="22"/>
          <w:lang w:val="hy-AM"/>
        </w:rPr>
        <w:t xml:space="preserve"> </w:t>
      </w:r>
      <w:r w:rsidRPr="00C43BF7">
        <w:rPr>
          <w:rFonts w:cs="GHEA Grapalat"/>
          <w:b w:val="0"/>
          <w:szCs w:val="22"/>
          <w:lang w:val="hy-AM"/>
        </w:rPr>
        <w:t>է</w:t>
      </w:r>
      <w:r w:rsidRPr="00C43BF7">
        <w:rPr>
          <w:rFonts w:cs="Sylfaen"/>
          <w:b w:val="0"/>
          <w:szCs w:val="22"/>
          <w:lang w:val="hy-AM"/>
        </w:rPr>
        <w:t xml:space="preserve"> </w:t>
      </w:r>
      <w:r w:rsidRPr="00C43BF7">
        <w:rPr>
          <w:rFonts w:cs="GHEA Grapalat"/>
          <w:b w:val="0"/>
          <w:szCs w:val="22"/>
          <w:lang w:val="hy-AM"/>
        </w:rPr>
        <w:t>ապահովել</w:t>
      </w:r>
      <w:r w:rsidRPr="00C43BF7">
        <w:rPr>
          <w:rFonts w:cs="Sylfaen"/>
          <w:b w:val="0"/>
          <w:szCs w:val="22"/>
          <w:lang w:val="hy-AM"/>
        </w:rPr>
        <w:t xml:space="preserve"> </w:t>
      </w:r>
      <w:r w:rsidRPr="00C43BF7">
        <w:rPr>
          <w:rFonts w:cs="GHEA Grapalat"/>
          <w:b w:val="0"/>
          <w:szCs w:val="22"/>
          <w:lang w:val="hy-AM"/>
        </w:rPr>
        <w:t>նաև</w:t>
      </w:r>
      <w:r w:rsidRPr="00C43BF7">
        <w:rPr>
          <w:rFonts w:cs="Sylfaen"/>
          <w:b w:val="0"/>
          <w:szCs w:val="22"/>
          <w:lang w:val="hy-AM"/>
        </w:rPr>
        <w:t xml:space="preserve"> </w:t>
      </w:r>
      <w:r w:rsidRPr="00C43BF7">
        <w:rPr>
          <w:rFonts w:cs="GHEA Grapalat"/>
          <w:b w:val="0"/>
          <w:szCs w:val="22"/>
          <w:lang w:val="hy-AM"/>
        </w:rPr>
        <w:t>Հակակոռուպցիոն</w:t>
      </w:r>
      <w:r w:rsidRPr="00C43BF7">
        <w:rPr>
          <w:rFonts w:cs="Sylfaen"/>
          <w:b w:val="0"/>
          <w:szCs w:val="22"/>
          <w:lang w:val="hy-AM"/>
        </w:rPr>
        <w:t xml:space="preserve"> </w:t>
      </w:r>
      <w:r w:rsidRPr="00C43BF7">
        <w:rPr>
          <w:rFonts w:cs="GHEA Grapalat"/>
          <w:b w:val="0"/>
          <w:szCs w:val="22"/>
          <w:lang w:val="hy-AM"/>
        </w:rPr>
        <w:t>կոմիտեի</w:t>
      </w:r>
      <w:r w:rsidRPr="00C43BF7">
        <w:rPr>
          <w:rFonts w:cs="Sylfaen"/>
          <w:b w:val="0"/>
          <w:szCs w:val="22"/>
          <w:lang w:val="hy-AM"/>
        </w:rPr>
        <w:t xml:space="preserve"> </w:t>
      </w:r>
      <w:r w:rsidRPr="00C43BF7">
        <w:rPr>
          <w:rFonts w:cs="GHEA Grapalat"/>
          <w:b w:val="0"/>
          <w:szCs w:val="22"/>
          <w:lang w:val="hy-AM"/>
        </w:rPr>
        <w:t>և</w:t>
      </w:r>
      <w:r w:rsidRPr="00C43BF7">
        <w:rPr>
          <w:rFonts w:cs="Sylfaen"/>
          <w:b w:val="0"/>
          <w:szCs w:val="22"/>
          <w:lang w:val="hy-AM"/>
        </w:rPr>
        <w:t xml:space="preserve"> </w:t>
      </w:r>
      <w:r w:rsidRPr="00C43BF7">
        <w:rPr>
          <w:rFonts w:cs="GHEA Grapalat"/>
          <w:b w:val="0"/>
          <w:szCs w:val="22"/>
          <w:lang w:val="hy-AM"/>
        </w:rPr>
        <w:t>Հակակոռուպցիոն</w:t>
      </w:r>
      <w:r w:rsidRPr="00C43BF7">
        <w:rPr>
          <w:rFonts w:cs="Sylfaen"/>
          <w:b w:val="0"/>
          <w:szCs w:val="22"/>
          <w:lang w:val="hy-AM"/>
        </w:rPr>
        <w:t xml:space="preserve"> </w:t>
      </w:r>
      <w:r w:rsidRPr="00C43BF7">
        <w:rPr>
          <w:rFonts w:cs="GHEA Grapalat"/>
          <w:b w:val="0"/>
          <w:szCs w:val="22"/>
          <w:lang w:val="hy-AM"/>
        </w:rPr>
        <w:t>դատարանների</w:t>
      </w:r>
      <w:r w:rsidRPr="00C43BF7">
        <w:rPr>
          <w:rFonts w:cs="Sylfaen"/>
          <w:b w:val="0"/>
          <w:szCs w:val="22"/>
          <w:lang w:val="hy-AM"/>
        </w:rPr>
        <w:t xml:space="preserve"> </w:t>
      </w:r>
      <w:r w:rsidRPr="00C43BF7">
        <w:rPr>
          <w:rFonts w:cs="GHEA Grapalat"/>
          <w:b w:val="0"/>
          <w:szCs w:val="22"/>
          <w:lang w:val="hy-AM"/>
        </w:rPr>
        <w:t>շենքային</w:t>
      </w:r>
      <w:r w:rsidRPr="00C43BF7">
        <w:rPr>
          <w:rFonts w:cs="Sylfaen"/>
          <w:b w:val="0"/>
          <w:szCs w:val="22"/>
          <w:lang w:val="hy-AM"/>
        </w:rPr>
        <w:t xml:space="preserve"> </w:t>
      </w:r>
      <w:r w:rsidRPr="00C43BF7">
        <w:rPr>
          <w:rFonts w:cs="GHEA Grapalat"/>
          <w:b w:val="0"/>
          <w:szCs w:val="22"/>
          <w:lang w:val="hy-AM"/>
        </w:rPr>
        <w:t>պայմանները</w:t>
      </w:r>
      <w:r w:rsidRPr="00C43BF7">
        <w:rPr>
          <w:rFonts w:cs="Sylfaen"/>
          <w:b w:val="0"/>
          <w:szCs w:val="22"/>
          <w:lang w:val="hy-AM"/>
        </w:rPr>
        <w:t>։</w:t>
      </w:r>
    </w:p>
    <w:p w:rsidR="00E4639A" w:rsidRPr="007955BB" w:rsidRDefault="00E4639A" w:rsidP="00E4639A">
      <w:pPr>
        <w:spacing w:before="0" w:line="276" w:lineRule="auto"/>
        <w:ind w:firstLine="0"/>
        <w:contextualSpacing w:val="0"/>
        <w:rPr>
          <w:rFonts w:cs="Sylfaen"/>
          <w:b w:val="0"/>
          <w:spacing w:val="4"/>
          <w:szCs w:val="22"/>
          <w:lang w:val="hy-AM"/>
        </w:rPr>
      </w:pPr>
    </w:p>
    <w:p w:rsidR="008C694F" w:rsidRPr="007955BB" w:rsidRDefault="008C694F" w:rsidP="008C694F">
      <w:pPr>
        <w:keepNext/>
        <w:spacing w:before="0" w:line="276" w:lineRule="auto"/>
        <w:ind w:firstLine="0"/>
        <w:contextualSpacing w:val="0"/>
        <w:jc w:val="center"/>
        <w:outlineLvl w:val="2"/>
        <w:rPr>
          <w:sz w:val="24"/>
          <w:lang w:val="hy-AM"/>
        </w:rPr>
      </w:pPr>
      <w:bookmarkStart w:id="342" w:name="_Toc120805229"/>
      <w:r w:rsidRPr="007955BB">
        <w:rPr>
          <w:rFonts w:cs="Arial"/>
          <w:sz w:val="24"/>
          <w:lang w:val="hy-AM" w:eastAsia="en-US"/>
        </w:rPr>
        <w:t>ՀՀ արտաքին գործերի նախա</w:t>
      </w:r>
      <w:r w:rsidRPr="007955BB">
        <w:rPr>
          <w:rFonts w:cs="Arial"/>
          <w:sz w:val="24"/>
          <w:lang w:val="hy-AM" w:eastAsia="en-US"/>
        </w:rPr>
        <w:softHyphen/>
        <w:t>րարու</w:t>
      </w:r>
      <w:r w:rsidRPr="007955BB">
        <w:rPr>
          <w:rFonts w:cs="Arial"/>
          <w:sz w:val="24"/>
          <w:lang w:val="hy-AM" w:eastAsia="en-US"/>
        </w:rPr>
        <w:softHyphen/>
        <w:t>թյուն</w:t>
      </w:r>
      <w:bookmarkEnd w:id="342"/>
    </w:p>
    <w:p w:rsidR="000C3320" w:rsidRPr="007955BB" w:rsidRDefault="000C3320" w:rsidP="00803793">
      <w:pPr>
        <w:spacing w:before="0" w:line="276" w:lineRule="auto"/>
        <w:rPr>
          <w:rFonts w:cs="Sylfaen"/>
          <w:b w:val="0"/>
          <w:szCs w:val="22"/>
          <w:lang w:val="hy-AM"/>
        </w:rPr>
      </w:pPr>
      <w:r w:rsidRPr="007955BB">
        <w:rPr>
          <w:rFonts w:cs="Sylfaen"/>
          <w:b w:val="0"/>
          <w:szCs w:val="22"/>
          <w:lang w:val="hy-AM"/>
        </w:rPr>
        <w:t>ՀՀ</w:t>
      </w:r>
      <w:r w:rsidRPr="007955BB">
        <w:rPr>
          <w:b w:val="0"/>
          <w:szCs w:val="22"/>
          <w:lang w:val="hy-AM"/>
        </w:rPr>
        <w:t xml:space="preserve"> </w:t>
      </w:r>
      <w:r w:rsidRPr="007955BB">
        <w:rPr>
          <w:rFonts w:cs="Sylfaen"/>
          <w:b w:val="0"/>
          <w:szCs w:val="22"/>
          <w:lang w:val="hy-AM"/>
        </w:rPr>
        <w:t>արտաքին</w:t>
      </w:r>
      <w:r w:rsidRPr="007955BB">
        <w:rPr>
          <w:b w:val="0"/>
          <w:szCs w:val="22"/>
          <w:lang w:val="hy-AM"/>
        </w:rPr>
        <w:t xml:space="preserve"> </w:t>
      </w:r>
      <w:r w:rsidRPr="007955BB">
        <w:rPr>
          <w:rFonts w:cs="Sylfaen"/>
          <w:b w:val="0"/>
          <w:szCs w:val="22"/>
          <w:lang w:val="hy-AM"/>
        </w:rPr>
        <w:t>գործերի</w:t>
      </w:r>
      <w:r w:rsidRPr="007955BB">
        <w:rPr>
          <w:b w:val="0"/>
          <w:szCs w:val="22"/>
          <w:lang w:val="hy-AM"/>
        </w:rPr>
        <w:t xml:space="preserve"> </w:t>
      </w:r>
      <w:r w:rsidRPr="007955BB">
        <w:rPr>
          <w:rFonts w:cs="Sylfaen"/>
          <w:b w:val="0"/>
          <w:szCs w:val="22"/>
          <w:lang w:val="hy-AM"/>
        </w:rPr>
        <w:t>նախարարությունը իրեն</w:t>
      </w:r>
      <w:r w:rsidRPr="007955BB">
        <w:rPr>
          <w:b w:val="0"/>
          <w:szCs w:val="22"/>
          <w:lang w:val="hy-AM"/>
        </w:rPr>
        <w:t xml:space="preserve"> </w:t>
      </w:r>
      <w:r w:rsidRPr="007955BB">
        <w:rPr>
          <w:rFonts w:cs="Sylfaen"/>
          <w:b w:val="0"/>
          <w:szCs w:val="22"/>
          <w:lang w:val="hy-AM"/>
        </w:rPr>
        <w:t>վերապահված</w:t>
      </w:r>
      <w:r w:rsidRPr="007955BB">
        <w:rPr>
          <w:b w:val="0"/>
          <w:szCs w:val="22"/>
          <w:lang w:val="hy-AM"/>
        </w:rPr>
        <w:t xml:space="preserve"> </w:t>
      </w:r>
      <w:r w:rsidRPr="007955BB">
        <w:rPr>
          <w:rFonts w:cs="Sylfaen"/>
          <w:b w:val="0"/>
          <w:szCs w:val="22"/>
          <w:lang w:val="hy-AM"/>
        </w:rPr>
        <w:t>լիազորությունների</w:t>
      </w:r>
      <w:r w:rsidRPr="007955BB">
        <w:rPr>
          <w:b w:val="0"/>
          <w:szCs w:val="22"/>
          <w:lang w:val="hy-AM"/>
        </w:rPr>
        <w:t xml:space="preserve"> </w:t>
      </w:r>
      <w:r w:rsidRPr="007955BB">
        <w:rPr>
          <w:rFonts w:cs="Sylfaen"/>
          <w:b w:val="0"/>
          <w:szCs w:val="22"/>
          <w:lang w:val="hy-AM"/>
        </w:rPr>
        <w:t xml:space="preserve">շրջանակներում </w:t>
      </w:r>
      <w:r w:rsidRPr="007955BB">
        <w:rPr>
          <w:b w:val="0"/>
          <w:szCs w:val="22"/>
          <w:lang w:val="hy-AM"/>
        </w:rPr>
        <w:t>ՀՀ Կառավարության ծրագրի հիման վրա մշ</w:t>
      </w:r>
      <w:r w:rsidRPr="007955BB">
        <w:rPr>
          <w:rFonts w:cs="Sylfaen"/>
          <w:b w:val="0"/>
          <w:szCs w:val="22"/>
          <w:lang w:val="hy-AM"/>
        </w:rPr>
        <w:t>ակում</w:t>
      </w:r>
      <w:r w:rsidRPr="007955BB">
        <w:rPr>
          <w:b w:val="0"/>
          <w:szCs w:val="22"/>
          <w:lang w:val="hy-AM"/>
        </w:rPr>
        <w:t xml:space="preserve"> </w:t>
      </w:r>
      <w:r w:rsidRPr="007955BB">
        <w:rPr>
          <w:rFonts w:cs="Sylfaen"/>
          <w:b w:val="0"/>
          <w:szCs w:val="22"/>
          <w:lang w:val="hy-AM"/>
        </w:rPr>
        <w:t>և</w:t>
      </w:r>
      <w:r w:rsidRPr="007955BB">
        <w:rPr>
          <w:b w:val="0"/>
          <w:szCs w:val="22"/>
          <w:lang w:val="hy-AM"/>
        </w:rPr>
        <w:t xml:space="preserve"> </w:t>
      </w:r>
      <w:r w:rsidRPr="007955BB">
        <w:rPr>
          <w:rFonts w:cs="Sylfaen"/>
          <w:b w:val="0"/>
          <w:szCs w:val="22"/>
          <w:lang w:val="hy-AM"/>
        </w:rPr>
        <w:t>իրականացնում</w:t>
      </w:r>
      <w:r w:rsidRPr="007955BB">
        <w:rPr>
          <w:b w:val="0"/>
          <w:szCs w:val="22"/>
          <w:lang w:val="hy-AM"/>
        </w:rPr>
        <w:t xml:space="preserve"> </w:t>
      </w:r>
      <w:r w:rsidRPr="007955BB">
        <w:rPr>
          <w:rFonts w:cs="Sylfaen"/>
          <w:b w:val="0"/>
          <w:szCs w:val="22"/>
          <w:lang w:val="hy-AM"/>
        </w:rPr>
        <w:t>է</w:t>
      </w:r>
      <w:r w:rsidRPr="007955BB">
        <w:rPr>
          <w:b w:val="0"/>
          <w:szCs w:val="22"/>
          <w:lang w:val="hy-AM"/>
        </w:rPr>
        <w:t xml:space="preserve"> </w:t>
      </w:r>
      <w:r w:rsidR="00D35F72">
        <w:rPr>
          <w:rFonts w:cs="Sylfaen"/>
          <w:b w:val="0"/>
          <w:szCs w:val="22"/>
          <w:lang w:val="hy-AM"/>
        </w:rPr>
        <w:t>ՀՀ</w:t>
      </w:r>
      <w:r w:rsidRPr="007955BB">
        <w:rPr>
          <w:b w:val="0"/>
          <w:szCs w:val="22"/>
          <w:lang w:val="hy-AM"/>
        </w:rPr>
        <w:t xml:space="preserve"> </w:t>
      </w:r>
      <w:r w:rsidRPr="007955BB">
        <w:rPr>
          <w:rFonts w:cs="Sylfaen"/>
          <w:b w:val="0"/>
          <w:szCs w:val="22"/>
          <w:lang w:val="hy-AM"/>
        </w:rPr>
        <w:t>արտաքին</w:t>
      </w:r>
      <w:r w:rsidRPr="007955BB">
        <w:rPr>
          <w:b w:val="0"/>
          <w:szCs w:val="22"/>
          <w:lang w:val="hy-AM"/>
        </w:rPr>
        <w:t xml:space="preserve"> </w:t>
      </w:r>
      <w:r w:rsidRPr="007955BB">
        <w:rPr>
          <w:rFonts w:cs="Sylfaen"/>
          <w:b w:val="0"/>
          <w:szCs w:val="22"/>
          <w:lang w:val="hy-AM"/>
        </w:rPr>
        <w:t>քաղաքականությունը,</w:t>
      </w:r>
      <w:r w:rsidRPr="007955BB">
        <w:rPr>
          <w:b w:val="0"/>
          <w:szCs w:val="22"/>
          <w:lang w:val="hy-AM"/>
        </w:rPr>
        <w:t xml:space="preserve"> </w:t>
      </w:r>
      <w:r w:rsidRPr="007955BB">
        <w:rPr>
          <w:rFonts w:cs="Sylfaen"/>
          <w:b w:val="0"/>
          <w:szCs w:val="22"/>
          <w:lang w:val="hy-AM"/>
        </w:rPr>
        <w:t>ինչպե</w:t>
      </w:r>
      <w:r w:rsidRPr="007955BB">
        <w:rPr>
          <w:b w:val="0"/>
          <w:szCs w:val="22"/>
          <w:lang w:val="hy-AM"/>
        </w:rPr>
        <w:t xml:space="preserve">u </w:t>
      </w:r>
      <w:r w:rsidRPr="007955BB">
        <w:rPr>
          <w:rFonts w:cs="Sylfaen"/>
          <w:b w:val="0"/>
          <w:szCs w:val="22"/>
          <w:lang w:val="hy-AM"/>
        </w:rPr>
        <w:t>նաև</w:t>
      </w:r>
      <w:r w:rsidRPr="007955BB">
        <w:rPr>
          <w:b w:val="0"/>
          <w:szCs w:val="22"/>
          <w:lang w:val="hy-AM"/>
        </w:rPr>
        <w:t xml:space="preserve"> </w:t>
      </w:r>
      <w:r w:rsidRPr="007955BB">
        <w:rPr>
          <w:rFonts w:cs="Sylfaen"/>
          <w:b w:val="0"/>
          <w:szCs w:val="22"/>
          <w:lang w:val="hy-AM"/>
        </w:rPr>
        <w:t>կազմակերպում</w:t>
      </w:r>
      <w:r w:rsidRPr="007955BB">
        <w:rPr>
          <w:b w:val="0"/>
          <w:szCs w:val="22"/>
          <w:lang w:val="hy-AM"/>
        </w:rPr>
        <w:t xml:space="preserve"> </w:t>
      </w:r>
      <w:r w:rsidRPr="007955BB">
        <w:rPr>
          <w:rFonts w:cs="Sylfaen"/>
          <w:b w:val="0"/>
          <w:szCs w:val="22"/>
          <w:lang w:val="hy-AM"/>
        </w:rPr>
        <w:t>և</w:t>
      </w:r>
      <w:r w:rsidRPr="007955BB">
        <w:rPr>
          <w:b w:val="0"/>
          <w:szCs w:val="22"/>
          <w:lang w:val="hy-AM"/>
        </w:rPr>
        <w:t xml:space="preserve"> </w:t>
      </w:r>
      <w:r w:rsidRPr="007955BB">
        <w:rPr>
          <w:rFonts w:cs="Sylfaen"/>
          <w:b w:val="0"/>
          <w:szCs w:val="22"/>
          <w:lang w:val="hy-AM"/>
        </w:rPr>
        <w:t>ղեկավարում</w:t>
      </w:r>
      <w:r w:rsidRPr="007955BB">
        <w:rPr>
          <w:b w:val="0"/>
          <w:szCs w:val="22"/>
          <w:lang w:val="hy-AM"/>
        </w:rPr>
        <w:t xml:space="preserve"> </w:t>
      </w:r>
      <w:r w:rsidRPr="007955BB">
        <w:rPr>
          <w:rFonts w:cs="Sylfaen"/>
          <w:b w:val="0"/>
          <w:szCs w:val="22"/>
          <w:lang w:val="hy-AM"/>
        </w:rPr>
        <w:t>է</w:t>
      </w:r>
      <w:r w:rsidRPr="007955BB">
        <w:rPr>
          <w:b w:val="0"/>
          <w:szCs w:val="22"/>
          <w:lang w:val="hy-AM"/>
        </w:rPr>
        <w:t xml:space="preserve"> </w:t>
      </w:r>
      <w:r w:rsidRPr="007955BB">
        <w:rPr>
          <w:rFonts w:cs="Sylfaen"/>
          <w:b w:val="0"/>
          <w:szCs w:val="22"/>
          <w:lang w:val="hy-AM"/>
        </w:rPr>
        <w:t xml:space="preserve">դիվանագիտական ծառայությունն օտարերկրյա  պետություններում և միջազգային կառույցներում: </w:t>
      </w:r>
    </w:p>
    <w:p w:rsidR="000C3320" w:rsidRPr="007955BB" w:rsidRDefault="00D35F72" w:rsidP="00803793">
      <w:pPr>
        <w:spacing w:line="276" w:lineRule="auto"/>
        <w:rPr>
          <w:rFonts w:cs="Sylfaen"/>
          <w:b w:val="0"/>
          <w:szCs w:val="22"/>
          <w:lang w:val="hy-AM"/>
        </w:rPr>
      </w:pPr>
      <w:r>
        <w:rPr>
          <w:rFonts w:cs="Sylfaen"/>
          <w:b w:val="0"/>
          <w:szCs w:val="22"/>
          <w:lang w:val="hy-AM"/>
        </w:rPr>
        <w:t>ՀՀ-ն</w:t>
      </w:r>
      <w:r w:rsidR="000C3320" w:rsidRPr="007955BB">
        <w:rPr>
          <w:rFonts w:cs="Sylfaen"/>
          <w:b w:val="0"/>
          <w:szCs w:val="22"/>
          <w:lang w:val="hy-AM"/>
        </w:rPr>
        <w:t xml:space="preserve"> դիվանագիտական հարաբերություններ է հաստատել աշխարհի 178 երկրի հետ, անդամակցում է 106 միջազգային կազմակերպության, այդ թվում՝ մասնագիտացված մարմինների, ծրագրերի, կոնվենցիաների և համաշխարհային հանրության կողմից ընկալվում է որպես կանխատեսելի ու հուսալի գործընկեր: Արտերկրում </w:t>
      </w:r>
      <w:r>
        <w:rPr>
          <w:rFonts w:cs="Sylfaen"/>
          <w:b w:val="0"/>
          <w:szCs w:val="22"/>
          <w:lang w:val="hy-AM"/>
        </w:rPr>
        <w:t>ՀՀ-ն</w:t>
      </w:r>
      <w:r w:rsidR="000C3320" w:rsidRPr="007955BB">
        <w:rPr>
          <w:rFonts w:cs="Sylfaen"/>
          <w:b w:val="0"/>
          <w:szCs w:val="22"/>
          <w:lang w:val="hy-AM"/>
        </w:rPr>
        <w:t xml:space="preserve"> ունի 43 ռեզիդենտ դեսպան, ովքեր հավատարմագրված են ընդհանուր առմամբ 79 երկրում։ ՀՀ մշտական ներկայացուցիչներ են նշանակված 11 միջազգային կազմակերպություններում, արտերկրում գործում է 10 ՀՀ գլխավոր հյուպատոսություն, 2 հյուպատոսական գրասենյակ:    </w:t>
      </w:r>
    </w:p>
    <w:p w:rsidR="000C3320" w:rsidRPr="007955BB" w:rsidRDefault="000C3320" w:rsidP="00803793">
      <w:pPr>
        <w:spacing w:before="0" w:line="276" w:lineRule="auto"/>
        <w:rPr>
          <w:rFonts w:cs="Sylfaen"/>
          <w:b w:val="0"/>
          <w:szCs w:val="22"/>
          <w:lang w:val="hy-AM"/>
        </w:rPr>
      </w:pPr>
      <w:r w:rsidRPr="007955BB">
        <w:rPr>
          <w:rFonts w:cs="Sylfaen"/>
          <w:b w:val="0"/>
          <w:szCs w:val="22"/>
          <w:lang w:val="hy-AM"/>
        </w:rPr>
        <w:t>ՀՀ արտաքին գործերի նախա</w:t>
      </w:r>
      <w:r w:rsidRPr="007955BB">
        <w:rPr>
          <w:rFonts w:cs="Sylfaen"/>
          <w:b w:val="0"/>
          <w:szCs w:val="22"/>
          <w:lang w:val="hy-AM"/>
        </w:rPr>
        <w:softHyphen/>
        <w:t>րարու</w:t>
      </w:r>
      <w:r w:rsidRPr="007955BB">
        <w:rPr>
          <w:rFonts w:cs="Sylfaen"/>
          <w:b w:val="0"/>
          <w:szCs w:val="22"/>
          <w:lang w:val="hy-AM"/>
        </w:rPr>
        <w:softHyphen/>
        <w:t>թյան գծով 2023 թվականի պետական բյուջեի նախագծով նախատեսվում է հատկացնել շուրջ 16.4 մլրդ դրամ (ներառյալ կառավարման ապարատի պահպանման ծախսերը): Հատկացվելիք միջոցներն ուղղվելու են հետևյալ ծրագրերի իրականացմանը.</w:t>
      </w:r>
    </w:p>
    <w:p w:rsidR="000C3320" w:rsidRPr="007955BB" w:rsidRDefault="000C3320" w:rsidP="00803793">
      <w:pPr>
        <w:spacing w:line="276" w:lineRule="auto"/>
        <w:rPr>
          <w:rFonts w:cs="Sylfaen"/>
          <w:b w:val="0"/>
          <w:szCs w:val="22"/>
          <w:lang w:val="hy-AM"/>
        </w:rPr>
      </w:pPr>
      <w:r w:rsidRPr="007955BB">
        <w:rPr>
          <w:rFonts w:cs="Sylfaen"/>
          <w:szCs w:val="22"/>
          <w:lang w:val="hy-AM"/>
        </w:rPr>
        <w:t>Արտաքին գործերի ոլորտում Կառավարության քաղաքականության մշակում և իրականացում.</w:t>
      </w:r>
      <w:r w:rsidRPr="007955BB">
        <w:rPr>
          <w:rFonts w:cs="Sylfaen"/>
          <w:b w:val="0"/>
          <w:szCs w:val="22"/>
          <w:lang w:val="hy-AM"/>
        </w:rPr>
        <w:t xml:space="preserve"> </w:t>
      </w:r>
    </w:p>
    <w:p w:rsidR="000C3320" w:rsidRPr="007955BB" w:rsidRDefault="000C3320" w:rsidP="00803793">
      <w:pPr>
        <w:spacing w:line="276" w:lineRule="auto"/>
        <w:rPr>
          <w:rFonts w:eastAsia="GHEA Grapalat" w:cs="GHEA Grapalat"/>
          <w:b w:val="0"/>
          <w:lang w:val="hy-AM"/>
        </w:rPr>
      </w:pPr>
      <w:r w:rsidRPr="007955BB">
        <w:rPr>
          <w:rFonts w:cs="Sylfaen"/>
          <w:b w:val="0"/>
          <w:szCs w:val="22"/>
          <w:lang w:val="hy-AM"/>
        </w:rPr>
        <w:t xml:space="preserve">Ծրագրի նպատակն է ՀՀ ինքնիշխանության պաշտպանությունը, Հայաստանի և </w:t>
      </w:r>
      <w:r w:rsidR="004C2EE0" w:rsidRPr="004C2EE0">
        <w:rPr>
          <w:rFonts w:cs="Sylfaen"/>
          <w:b w:val="0"/>
          <w:szCs w:val="22"/>
          <w:lang w:val="hy-AM"/>
        </w:rPr>
        <w:t>Ղարաբաղ</w:t>
      </w:r>
      <w:r w:rsidRPr="007955BB">
        <w:rPr>
          <w:rFonts w:cs="Sylfaen"/>
          <w:b w:val="0"/>
          <w:szCs w:val="22"/>
          <w:lang w:val="hy-AM"/>
        </w:rPr>
        <w:t>ի անվտանգության ապահովումը, ՀՀ միջազգային հեղինակության բարձրացումը</w:t>
      </w:r>
      <w:r w:rsidRPr="007955BB">
        <w:rPr>
          <w:rFonts w:eastAsia="GHEA Grapalat" w:cs="GHEA Grapalat"/>
          <w:b w:val="0"/>
          <w:lang w:val="hy-AM"/>
        </w:rPr>
        <w:t xml:space="preserve">, ՀՀ կայուն զարգացմանն ուղղված միջազգային և տարածաշրջանային համագործակցության ապահովումը, ինչպես նաև միջազգային իրավունքի հիման վրա՝ բոլոր պետությունների հետ բարիդրացիական, փոխշահավետ հարաբերությունների հաստատումն ու զարգացումը, միջազգային հարաբերություններում </w:t>
      </w:r>
      <w:r w:rsidR="00D35F72">
        <w:rPr>
          <w:rFonts w:eastAsia="GHEA Grapalat" w:cs="GHEA Grapalat"/>
          <w:b w:val="0"/>
          <w:lang w:val="hy-AM"/>
        </w:rPr>
        <w:t>ՀՀ</w:t>
      </w:r>
      <w:r w:rsidRPr="007955BB">
        <w:rPr>
          <w:rFonts w:eastAsia="GHEA Grapalat" w:cs="GHEA Grapalat"/>
          <w:b w:val="0"/>
          <w:lang w:val="hy-AM"/>
        </w:rPr>
        <w:t xml:space="preserve"> շահերի և իրավունքների ներկայացումը: </w:t>
      </w:r>
    </w:p>
    <w:p w:rsidR="000C3320" w:rsidRPr="007955BB" w:rsidRDefault="000C3320" w:rsidP="00803793">
      <w:pPr>
        <w:spacing w:line="276" w:lineRule="auto"/>
        <w:rPr>
          <w:rFonts w:eastAsia="Calibri"/>
          <w:b w:val="0"/>
          <w:spacing w:val="-6"/>
          <w:szCs w:val="22"/>
          <w:lang w:val="hy-AM"/>
        </w:rPr>
      </w:pPr>
      <w:r w:rsidRPr="007955BB">
        <w:rPr>
          <w:rFonts w:eastAsia="Calibri"/>
          <w:spacing w:val="-6"/>
          <w:szCs w:val="22"/>
          <w:lang w:val="hy-AM"/>
        </w:rPr>
        <w:t xml:space="preserve">Համագործակցություն </w:t>
      </w:r>
      <w:r w:rsidRPr="007955BB">
        <w:rPr>
          <w:rFonts w:eastAsia="Calibri" w:cs="GHEA Grapalat"/>
          <w:spacing w:val="-6"/>
          <w:szCs w:val="22"/>
          <w:lang w:val="hy-AM"/>
        </w:rPr>
        <w:t>միջազգային</w:t>
      </w:r>
      <w:r w:rsidRPr="007955BB">
        <w:rPr>
          <w:rFonts w:eastAsia="Calibri"/>
          <w:spacing w:val="-6"/>
          <w:szCs w:val="22"/>
          <w:lang w:val="hy-AM"/>
        </w:rPr>
        <w:t xml:space="preserve"> </w:t>
      </w:r>
      <w:r w:rsidRPr="007955BB">
        <w:rPr>
          <w:rFonts w:eastAsia="Calibri" w:cs="GHEA Grapalat"/>
          <w:spacing w:val="-6"/>
          <w:szCs w:val="22"/>
          <w:lang w:val="hy-AM"/>
        </w:rPr>
        <w:t>կազմակերպությունների</w:t>
      </w:r>
      <w:r w:rsidRPr="007955BB">
        <w:rPr>
          <w:rFonts w:eastAsia="Calibri"/>
          <w:spacing w:val="-6"/>
          <w:szCs w:val="22"/>
          <w:lang w:val="hy-AM"/>
        </w:rPr>
        <w:t xml:space="preserve"> </w:t>
      </w:r>
      <w:r w:rsidRPr="007955BB">
        <w:rPr>
          <w:rFonts w:eastAsia="Calibri" w:cs="GHEA Grapalat"/>
          <w:spacing w:val="-6"/>
          <w:szCs w:val="22"/>
          <w:lang w:val="hy-AM"/>
        </w:rPr>
        <w:t>հետ</w:t>
      </w:r>
      <w:r w:rsidRPr="007955BB">
        <w:rPr>
          <w:rFonts w:eastAsia="Calibri"/>
          <w:b w:val="0"/>
          <w:spacing w:val="-6"/>
          <w:szCs w:val="22"/>
          <w:lang w:val="hy-AM"/>
        </w:rPr>
        <w:t>.</w:t>
      </w:r>
    </w:p>
    <w:p w:rsidR="000C3320" w:rsidRPr="007955BB" w:rsidRDefault="000C3320" w:rsidP="00803793">
      <w:pPr>
        <w:spacing w:line="276" w:lineRule="auto"/>
        <w:rPr>
          <w:rFonts w:eastAsia="Calibri"/>
          <w:b w:val="0"/>
          <w:spacing w:val="-6"/>
          <w:szCs w:val="22"/>
          <w:lang w:val="hy-AM"/>
        </w:rPr>
      </w:pPr>
      <w:r w:rsidRPr="007955BB">
        <w:rPr>
          <w:b w:val="0"/>
          <w:lang w:val="hy-AM"/>
        </w:rPr>
        <w:t xml:space="preserve">Ծրագրի </w:t>
      </w:r>
      <w:r w:rsidRPr="007955BB">
        <w:rPr>
          <w:rFonts w:eastAsia="Calibri"/>
          <w:b w:val="0"/>
          <w:spacing w:val="-6"/>
          <w:szCs w:val="22"/>
          <w:lang w:val="hy-AM"/>
        </w:rPr>
        <w:t>նպատակն է միջազգային համագործակցության բազմակողմ ձևաչափերում ՀՀ ակտիվ ներգրավվածության միջոցով ՀՀ արտաքին քաղաքականության գերակայությունների իրագործումը, ինչպես նաև միջազգային կազմակերպությունների հետ և դրանց շրջանակներում բնականոն փոխհարաբերությունների ու արդյունավետ համագործակցության ապահովումն ու ընդլայնումը:</w:t>
      </w:r>
    </w:p>
    <w:p w:rsidR="000C3320" w:rsidRPr="007955BB" w:rsidRDefault="000C3320" w:rsidP="00803793">
      <w:pPr>
        <w:spacing w:line="276" w:lineRule="auto"/>
        <w:rPr>
          <w:rFonts w:eastAsia="Calibri" w:cs="GHEA Grapalat"/>
          <w:spacing w:val="-6"/>
          <w:szCs w:val="22"/>
          <w:lang w:val="hy-AM"/>
        </w:rPr>
      </w:pPr>
      <w:r w:rsidRPr="007955BB">
        <w:rPr>
          <w:rFonts w:eastAsia="Calibri" w:cs="GHEA Grapalat"/>
          <w:spacing w:val="-6"/>
          <w:szCs w:val="22"/>
          <w:lang w:val="hy-AM"/>
        </w:rPr>
        <w:t>Օտարերկրյա</w:t>
      </w:r>
      <w:r w:rsidRPr="007955BB">
        <w:rPr>
          <w:rFonts w:eastAsia="Calibri"/>
          <w:spacing w:val="-6"/>
          <w:szCs w:val="22"/>
          <w:lang w:val="hy-AM"/>
        </w:rPr>
        <w:t xml:space="preserve"> </w:t>
      </w:r>
      <w:r w:rsidRPr="007955BB">
        <w:rPr>
          <w:rFonts w:eastAsia="Calibri" w:cs="GHEA Grapalat"/>
          <w:spacing w:val="-6"/>
          <w:szCs w:val="22"/>
          <w:lang w:val="hy-AM"/>
        </w:rPr>
        <w:t>պետություններում</w:t>
      </w:r>
      <w:r w:rsidRPr="007955BB">
        <w:rPr>
          <w:rFonts w:eastAsia="Calibri"/>
          <w:spacing w:val="-6"/>
          <w:szCs w:val="22"/>
          <w:lang w:val="hy-AM"/>
        </w:rPr>
        <w:t xml:space="preserve"> </w:t>
      </w:r>
      <w:r w:rsidRPr="007955BB">
        <w:rPr>
          <w:rFonts w:eastAsia="Calibri" w:cs="GHEA Grapalat"/>
          <w:spacing w:val="-6"/>
          <w:szCs w:val="22"/>
          <w:lang w:val="hy-AM"/>
        </w:rPr>
        <w:t>ՀՀ</w:t>
      </w:r>
      <w:r w:rsidRPr="007955BB">
        <w:rPr>
          <w:rFonts w:eastAsia="Calibri"/>
          <w:spacing w:val="-6"/>
          <w:szCs w:val="22"/>
          <w:lang w:val="hy-AM"/>
        </w:rPr>
        <w:t xml:space="preserve"> </w:t>
      </w:r>
      <w:r w:rsidRPr="007955BB">
        <w:rPr>
          <w:rFonts w:eastAsia="Calibri" w:cs="GHEA Grapalat"/>
          <w:spacing w:val="-6"/>
          <w:szCs w:val="22"/>
          <w:lang w:val="hy-AM"/>
        </w:rPr>
        <w:t>դիվանագիտական</w:t>
      </w:r>
      <w:r w:rsidRPr="007955BB">
        <w:rPr>
          <w:rFonts w:eastAsia="Calibri"/>
          <w:spacing w:val="-6"/>
          <w:szCs w:val="22"/>
          <w:lang w:val="hy-AM"/>
        </w:rPr>
        <w:t xml:space="preserve"> </w:t>
      </w:r>
      <w:r w:rsidRPr="007955BB">
        <w:rPr>
          <w:rFonts w:eastAsia="Calibri" w:cs="GHEA Grapalat"/>
          <w:spacing w:val="-6"/>
          <w:szCs w:val="22"/>
          <w:lang w:val="hy-AM"/>
        </w:rPr>
        <w:t>ծառայության</w:t>
      </w:r>
      <w:r w:rsidRPr="007955BB">
        <w:rPr>
          <w:rFonts w:eastAsia="Calibri"/>
          <w:spacing w:val="-6"/>
          <w:szCs w:val="22"/>
          <w:lang w:val="hy-AM"/>
        </w:rPr>
        <w:t xml:space="preserve"> </w:t>
      </w:r>
      <w:r w:rsidRPr="007955BB">
        <w:rPr>
          <w:rFonts w:eastAsia="Calibri" w:cs="GHEA Grapalat"/>
          <w:spacing w:val="-6"/>
          <w:szCs w:val="22"/>
          <w:lang w:val="hy-AM"/>
        </w:rPr>
        <w:t>մարմինների</w:t>
      </w:r>
      <w:r w:rsidRPr="007955BB">
        <w:rPr>
          <w:rFonts w:eastAsia="Calibri"/>
          <w:spacing w:val="-6"/>
          <w:szCs w:val="22"/>
          <w:lang w:val="hy-AM"/>
        </w:rPr>
        <w:t xml:space="preserve"> </w:t>
      </w:r>
      <w:r w:rsidRPr="007955BB">
        <w:rPr>
          <w:rFonts w:eastAsia="Calibri" w:cs="GHEA Grapalat"/>
          <w:spacing w:val="-6"/>
          <w:szCs w:val="22"/>
          <w:lang w:val="hy-AM"/>
        </w:rPr>
        <w:t>գործունեության</w:t>
      </w:r>
      <w:r w:rsidRPr="007955BB">
        <w:rPr>
          <w:rFonts w:eastAsia="Calibri"/>
          <w:spacing w:val="-6"/>
          <w:szCs w:val="22"/>
          <w:lang w:val="hy-AM"/>
        </w:rPr>
        <w:t xml:space="preserve"> </w:t>
      </w:r>
      <w:r w:rsidRPr="007955BB">
        <w:rPr>
          <w:rFonts w:eastAsia="Calibri" w:cs="GHEA Grapalat"/>
          <w:spacing w:val="-6"/>
          <w:szCs w:val="22"/>
          <w:lang w:val="hy-AM"/>
        </w:rPr>
        <w:t>կազմակերպում</w:t>
      </w:r>
      <w:r w:rsidRPr="007955BB">
        <w:rPr>
          <w:rFonts w:eastAsia="Calibri"/>
          <w:spacing w:val="-6"/>
          <w:szCs w:val="22"/>
          <w:lang w:val="hy-AM"/>
        </w:rPr>
        <w:t xml:space="preserve"> </w:t>
      </w:r>
      <w:r w:rsidRPr="007955BB">
        <w:rPr>
          <w:rFonts w:eastAsia="Calibri" w:cs="GHEA Grapalat"/>
          <w:spacing w:val="-6"/>
          <w:szCs w:val="22"/>
          <w:lang w:val="hy-AM"/>
        </w:rPr>
        <w:t>և</w:t>
      </w:r>
      <w:r w:rsidRPr="007955BB">
        <w:rPr>
          <w:rFonts w:eastAsia="Calibri"/>
          <w:spacing w:val="-6"/>
          <w:szCs w:val="22"/>
          <w:lang w:val="hy-AM"/>
        </w:rPr>
        <w:t xml:space="preserve"> </w:t>
      </w:r>
      <w:r w:rsidRPr="007955BB">
        <w:rPr>
          <w:rFonts w:eastAsia="Calibri" w:cs="GHEA Grapalat"/>
          <w:spacing w:val="-6"/>
          <w:szCs w:val="22"/>
          <w:lang w:val="hy-AM"/>
        </w:rPr>
        <w:t>իրականացում.</w:t>
      </w:r>
    </w:p>
    <w:p w:rsidR="000C3320" w:rsidRPr="007955BB" w:rsidRDefault="000C3320" w:rsidP="00803793">
      <w:pPr>
        <w:spacing w:line="276" w:lineRule="auto"/>
        <w:rPr>
          <w:rFonts w:eastAsia="Calibri"/>
          <w:b w:val="0"/>
          <w:spacing w:val="-6"/>
          <w:szCs w:val="22"/>
          <w:lang w:val="hy-AM"/>
        </w:rPr>
      </w:pPr>
      <w:r w:rsidRPr="007955BB">
        <w:rPr>
          <w:b w:val="0"/>
          <w:lang w:val="hy-AM"/>
        </w:rPr>
        <w:t xml:space="preserve">Ծրագրի </w:t>
      </w:r>
      <w:r w:rsidRPr="007955BB">
        <w:rPr>
          <w:rFonts w:eastAsia="Calibri"/>
          <w:b w:val="0"/>
          <w:spacing w:val="-6"/>
          <w:szCs w:val="22"/>
          <w:lang w:val="hy-AM"/>
        </w:rPr>
        <w:t xml:space="preserve">նպատակն է </w:t>
      </w:r>
      <w:r w:rsidRPr="007955BB">
        <w:rPr>
          <w:rFonts w:eastAsia="GHEA Grapalat" w:cs="GHEA Grapalat"/>
          <w:b w:val="0"/>
          <w:szCs w:val="22"/>
          <w:lang w:val="hy-AM"/>
        </w:rPr>
        <w:t xml:space="preserve">ապահովել ՀՀ պաշտոնական ներկայությունն արտերկրում՝ նպաստելով ՀՀ ինքնիշխանության և շահերի պաշտպանությանը, Հայաստանի և </w:t>
      </w:r>
      <w:r w:rsidR="004C2EE0" w:rsidRPr="004C2EE0">
        <w:rPr>
          <w:rFonts w:eastAsia="GHEA Grapalat" w:cs="GHEA Grapalat"/>
          <w:b w:val="0"/>
          <w:szCs w:val="22"/>
          <w:lang w:val="hy-AM"/>
        </w:rPr>
        <w:t>Ղարաբաղի</w:t>
      </w:r>
      <w:r w:rsidRPr="007955BB">
        <w:rPr>
          <w:rFonts w:eastAsia="GHEA Grapalat" w:cs="GHEA Grapalat"/>
          <w:b w:val="0"/>
          <w:szCs w:val="22"/>
          <w:lang w:val="hy-AM"/>
        </w:rPr>
        <w:t xml:space="preserve"> անվտանգության ապահովմանը, հակահայկական քարոզչության հակազդմանը, միջազգային և տարածաշրջանային գործընթացներին ՀՀ ներգրավվածության ավելացմանը, ՀՀ կայուն զարգացման և տնտեսական արդիականացման համար նպաստավոր պայմանների ձևավորմանը, արտերկրում ՀՀ քաղաքացիների և իրավաբանական անձանց շահերի պաշտպանությանը:</w:t>
      </w:r>
      <w:r w:rsidRPr="007955BB">
        <w:rPr>
          <w:rFonts w:eastAsia="Calibri"/>
          <w:b w:val="0"/>
          <w:spacing w:val="-6"/>
          <w:szCs w:val="22"/>
          <w:lang w:val="hy-AM"/>
        </w:rPr>
        <w:t xml:space="preserve"> </w:t>
      </w:r>
    </w:p>
    <w:p w:rsidR="000C3320" w:rsidRPr="007955BB" w:rsidRDefault="000C3320" w:rsidP="00803793">
      <w:pPr>
        <w:spacing w:line="276" w:lineRule="auto"/>
        <w:rPr>
          <w:rFonts w:eastAsia="Calibri"/>
          <w:spacing w:val="-6"/>
          <w:szCs w:val="22"/>
          <w:lang w:val="hy-AM"/>
        </w:rPr>
      </w:pPr>
      <w:r w:rsidRPr="007955BB">
        <w:rPr>
          <w:rFonts w:eastAsia="Calibri" w:cs="GHEA Grapalat"/>
          <w:spacing w:val="-6"/>
          <w:szCs w:val="22"/>
          <w:lang w:val="hy-AM"/>
        </w:rPr>
        <w:t>Միջազգային</w:t>
      </w:r>
      <w:r w:rsidRPr="007955BB">
        <w:rPr>
          <w:rFonts w:eastAsia="Calibri"/>
          <w:spacing w:val="-6"/>
          <w:szCs w:val="22"/>
          <w:lang w:val="hy-AM"/>
        </w:rPr>
        <w:t xml:space="preserve"> </w:t>
      </w:r>
      <w:r w:rsidRPr="007955BB">
        <w:rPr>
          <w:rFonts w:eastAsia="Calibri" w:cs="GHEA Grapalat"/>
          <w:spacing w:val="-6"/>
          <w:szCs w:val="22"/>
          <w:lang w:val="hy-AM"/>
        </w:rPr>
        <w:t>հարաբերությունների</w:t>
      </w:r>
      <w:r w:rsidRPr="007955BB">
        <w:rPr>
          <w:rFonts w:eastAsia="Calibri"/>
          <w:spacing w:val="-6"/>
          <w:szCs w:val="22"/>
          <w:lang w:val="hy-AM"/>
        </w:rPr>
        <w:t xml:space="preserve"> </w:t>
      </w:r>
      <w:r w:rsidRPr="007955BB">
        <w:rPr>
          <w:rFonts w:eastAsia="Calibri" w:cs="GHEA Grapalat"/>
          <w:spacing w:val="-6"/>
          <w:szCs w:val="22"/>
          <w:lang w:val="hy-AM"/>
        </w:rPr>
        <w:t>և</w:t>
      </w:r>
      <w:r w:rsidRPr="007955BB">
        <w:rPr>
          <w:rFonts w:eastAsia="Calibri"/>
          <w:spacing w:val="-6"/>
          <w:szCs w:val="22"/>
          <w:lang w:val="hy-AM"/>
        </w:rPr>
        <w:t xml:space="preserve"> </w:t>
      </w:r>
      <w:r w:rsidRPr="007955BB">
        <w:rPr>
          <w:rFonts w:eastAsia="Calibri" w:cs="GHEA Grapalat"/>
          <w:spacing w:val="-6"/>
          <w:szCs w:val="22"/>
          <w:lang w:val="hy-AM"/>
        </w:rPr>
        <w:t>դիվանագիտության</w:t>
      </w:r>
      <w:r w:rsidRPr="007955BB">
        <w:rPr>
          <w:rFonts w:eastAsia="Calibri"/>
          <w:spacing w:val="-6"/>
          <w:szCs w:val="22"/>
          <w:lang w:val="hy-AM"/>
        </w:rPr>
        <w:t xml:space="preserve"> </w:t>
      </w:r>
      <w:r w:rsidRPr="007955BB">
        <w:rPr>
          <w:rFonts w:eastAsia="Calibri" w:cs="GHEA Grapalat"/>
          <w:spacing w:val="-6"/>
          <w:szCs w:val="22"/>
          <w:lang w:val="hy-AM"/>
        </w:rPr>
        <w:t>ո</w:t>
      </w:r>
      <w:r w:rsidRPr="007955BB">
        <w:rPr>
          <w:rFonts w:eastAsia="Calibri"/>
          <w:spacing w:val="-6"/>
          <w:szCs w:val="22"/>
          <w:lang w:val="hy-AM"/>
        </w:rPr>
        <w:t>լորտում մասնագետների պատրաստում և վերապատրաստում.</w:t>
      </w:r>
    </w:p>
    <w:p w:rsidR="000C3320" w:rsidRPr="007955BB" w:rsidRDefault="000C3320" w:rsidP="00803793">
      <w:pPr>
        <w:spacing w:line="276" w:lineRule="auto"/>
        <w:rPr>
          <w:rFonts w:eastAsia="Calibri"/>
          <w:b w:val="0"/>
          <w:spacing w:val="-6"/>
          <w:szCs w:val="22"/>
          <w:lang w:val="hy-AM"/>
        </w:rPr>
      </w:pPr>
      <w:r w:rsidRPr="007955BB">
        <w:rPr>
          <w:b w:val="0"/>
          <w:lang w:val="hy-AM"/>
        </w:rPr>
        <w:t xml:space="preserve"> Ծրագրի </w:t>
      </w:r>
      <w:r w:rsidRPr="007955BB">
        <w:rPr>
          <w:rFonts w:eastAsia="Calibri"/>
          <w:b w:val="0"/>
          <w:spacing w:val="-6"/>
          <w:szCs w:val="22"/>
          <w:lang w:val="hy-AM"/>
        </w:rPr>
        <w:t xml:space="preserve">նպատակն է </w:t>
      </w:r>
      <w:r w:rsidRPr="007955BB">
        <w:rPr>
          <w:rFonts w:eastAsia="GHEA Grapalat" w:cs="GHEA Grapalat"/>
          <w:b w:val="0"/>
          <w:szCs w:val="22"/>
          <w:lang w:val="hy-AM"/>
        </w:rPr>
        <w:t xml:space="preserve">դիվանագիտական և պետական ծառայության արդյունավետության բարձրացումը, դիվանագիտական ծառայության համալրումը նոր և որակյալ մասնագետներով, պետական ծառայողների, այդ թվում` դիվանագիտական ծառայողների վերապատրաստումը: </w:t>
      </w:r>
    </w:p>
    <w:p w:rsidR="000C3320" w:rsidRPr="007955BB" w:rsidRDefault="00D35F72" w:rsidP="00803793">
      <w:pPr>
        <w:spacing w:line="276" w:lineRule="auto"/>
        <w:rPr>
          <w:rFonts w:eastAsia="Calibri" w:cs="GHEA Grapalat"/>
          <w:spacing w:val="-6"/>
          <w:szCs w:val="22"/>
          <w:lang w:val="hy-AM"/>
        </w:rPr>
      </w:pPr>
      <w:r>
        <w:rPr>
          <w:rFonts w:eastAsia="Calibri" w:cs="GHEA Grapalat"/>
          <w:spacing w:val="-6"/>
          <w:szCs w:val="22"/>
          <w:lang w:val="hy-AM"/>
        </w:rPr>
        <w:t>ՀՀ-</w:t>
      </w:r>
      <w:r w:rsidR="000C3320" w:rsidRPr="007955BB">
        <w:rPr>
          <w:rFonts w:eastAsia="Calibri" w:cs="GHEA Grapalat"/>
          <w:spacing w:val="-6"/>
          <w:szCs w:val="22"/>
          <w:lang w:val="hy-AM"/>
        </w:rPr>
        <w:t>ում</w:t>
      </w:r>
      <w:r w:rsidR="000C3320" w:rsidRPr="007955BB">
        <w:rPr>
          <w:rFonts w:eastAsia="Calibri"/>
          <w:spacing w:val="-6"/>
          <w:szCs w:val="22"/>
          <w:lang w:val="hy-AM"/>
        </w:rPr>
        <w:t xml:space="preserve"> </w:t>
      </w:r>
      <w:r w:rsidR="000C3320" w:rsidRPr="007955BB">
        <w:rPr>
          <w:rFonts w:eastAsia="Calibri" w:cs="GHEA Grapalat"/>
          <w:spacing w:val="-6"/>
          <w:szCs w:val="22"/>
          <w:lang w:val="hy-AM"/>
        </w:rPr>
        <w:t>և</w:t>
      </w:r>
      <w:r w:rsidR="000C3320" w:rsidRPr="007955BB">
        <w:rPr>
          <w:rFonts w:eastAsia="Calibri"/>
          <w:spacing w:val="-6"/>
          <w:szCs w:val="22"/>
          <w:lang w:val="hy-AM"/>
        </w:rPr>
        <w:t xml:space="preserve"> </w:t>
      </w:r>
      <w:r w:rsidR="000C3320" w:rsidRPr="007955BB">
        <w:rPr>
          <w:rFonts w:eastAsia="Calibri" w:cs="GHEA Grapalat"/>
          <w:spacing w:val="-6"/>
          <w:szCs w:val="22"/>
          <w:lang w:val="hy-AM"/>
        </w:rPr>
        <w:t>օտարերկրյա</w:t>
      </w:r>
      <w:r w:rsidR="000C3320" w:rsidRPr="007955BB">
        <w:rPr>
          <w:rFonts w:eastAsia="Calibri"/>
          <w:spacing w:val="-6"/>
          <w:szCs w:val="22"/>
          <w:lang w:val="hy-AM"/>
        </w:rPr>
        <w:t xml:space="preserve"> </w:t>
      </w:r>
      <w:r w:rsidR="000C3320" w:rsidRPr="007955BB">
        <w:rPr>
          <w:rFonts w:eastAsia="Calibri" w:cs="GHEA Grapalat"/>
          <w:spacing w:val="-6"/>
          <w:szCs w:val="22"/>
          <w:lang w:val="hy-AM"/>
        </w:rPr>
        <w:t>պետություններում</w:t>
      </w:r>
      <w:r w:rsidR="000C3320" w:rsidRPr="007955BB">
        <w:rPr>
          <w:rFonts w:eastAsia="Calibri"/>
          <w:spacing w:val="-6"/>
          <w:szCs w:val="22"/>
          <w:lang w:val="hy-AM"/>
        </w:rPr>
        <w:t xml:space="preserve"> </w:t>
      </w:r>
      <w:r w:rsidR="000C3320" w:rsidRPr="007955BB">
        <w:rPr>
          <w:rFonts w:eastAsia="Calibri" w:cs="GHEA Grapalat"/>
          <w:spacing w:val="-6"/>
          <w:szCs w:val="22"/>
          <w:lang w:val="hy-AM"/>
        </w:rPr>
        <w:t>արարողակարգային</w:t>
      </w:r>
      <w:r w:rsidR="000C3320" w:rsidRPr="007955BB">
        <w:rPr>
          <w:rFonts w:eastAsia="Calibri"/>
          <w:spacing w:val="-6"/>
          <w:szCs w:val="22"/>
          <w:lang w:val="hy-AM"/>
        </w:rPr>
        <w:t xml:space="preserve"> </w:t>
      </w:r>
      <w:r w:rsidR="000C3320" w:rsidRPr="007955BB">
        <w:rPr>
          <w:rFonts w:eastAsia="Calibri" w:cs="GHEA Grapalat"/>
          <w:spacing w:val="-6"/>
          <w:szCs w:val="22"/>
          <w:lang w:val="hy-AM"/>
        </w:rPr>
        <w:t>միջոցառումների</w:t>
      </w:r>
      <w:r w:rsidR="000C3320" w:rsidRPr="007955BB">
        <w:rPr>
          <w:rFonts w:eastAsia="Calibri"/>
          <w:spacing w:val="-6"/>
          <w:szCs w:val="22"/>
          <w:lang w:val="hy-AM"/>
        </w:rPr>
        <w:t xml:space="preserve"> </w:t>
      </w:r>
      <w:r w:rsidR="000C3320" w:rsidRPr="007955BB">
        <w:rPr>
          <w:rFonts w:eastAsia="Calibri" w:cs="GHEA Grapalat"/>
          <w:spacing w:val="-6"/>
          <w:szCs w:val="22"/>
          <w:lang w:val="hy-AM"/>
        </w:rPr>
        <w:t>իրականացում.</w:t>
      </w:r>
    </w:p>
    <w:p w:rsidR="000C3320" w:rsidRPr="007955BB" w:rsidRDefault="000C3320" w:rsidP="00803793">
      <w:pPr>
        <w:spacing w:line="276" w:lineRule="auto"/>
        <w:rPr>
          <w:rFonts w:cs="Sylfaen"/>
          <w:b w:val="0"/>
          <w:bCs/>
          <w:color w:val="FF0000"/>
          <w:sz w:val="24"/>
          <w:lang w:val="hy-AM" w:eastAsia="en-US"/>
        </w:rPr>
      </w:pPr>
      <w:r w:rsidRPr="007955BB">
        <w:rPr>
          <w:b w:val="0"/>
          <w:lang w:val="hy-AM"/>
        </w:rPr>
        <w:t xml:space="preserve">Ծրագրի </w:t>
      </w:r>
      <w:r w:rsidRPr="007955BB">
        <w:rPr>
          <w:rFonts w:eastAsia="Calibri"/>
          <w:b w:val="0"/>
          <w:spacing w:val="-6"/>
          <w:szCs w:val="22"/>
          <w:lang w:val="hy-AM"/>
        </w:rPr>
        <w:t xml:space="preserve">նպատակն է </w:t>
      </w:r>
      <w:r w:rsidR="00D35F72">
        <w:rPr>
          <w:rFonts w:eastAsia="Calibri"/>
          <w:b w:val="0"/>
          <w:spacing w:val="-6"/>
          <w:szCs w:val="22"/>
          <w:lang w:val="hy-AM"/>
        </w:rPr>
        <w:t>ՀՀ-</w:t>
      </w:r>
      <w:r w:rsidRPr="007955BB">
        <w:rPr>
          <w:rFonts w:eastAsia="Calibri"/>
          <w:b w:val="0"/>
          <w:spacing w:val="-6"/>
          <w:szCs w:val="22"/>
          <w:lang w:val="hy-AM"/>
        </w:rPr>
        <w:t>ում և ՀՀ միջազգային հարաբերություններում պետական արարողակարգային կանոնների միասնական կիրառումն ու ապահովումը, ինչպես նաև միջազգային արարողակարգային չափանիշներին համապատասխան միջոցառումների կազմակերպումն ու իրականացումը:</w:t>
      </w:r>
    </w:p>
    <w:p w:rsidR="008C694F" w:rsidRPr="007955BB" w:rsidRDefault="008C694F" w:rsidP="008C694F">
      <w:pPr>
        <w:spacing w:line="276" w:lineRule="auto"/>
        <w:ind w:firstLine="426"/>
        <w:rPr>
          <w:b w:val="0"/>
          <w:szCs w:val="22"/>
          <w:lang w:val="hy-AM"/>
        </w:rPr>
      </w:pPr>
    </w:p>
    <w:p w:rsidR="00787739" w:rsidRPr="007955BB" w:rsidRDefault="00787739" w:rsidP="00427D1F">
      <w:pPr>
        <w:keepNext/>
        <w:spacing w:before="0" w:line="276" w:lineRule="auto"/>
        <w:ind w:firstLine="0"/>
        <w:contextualSpacing w:val="0"/>
        <w:jc w:val="center"/>
        <w:outlineLvl w:val="2"/>
        <w:rPr>
          <w:rFonts w:cs="Arial"/>
          <w:sz w:val="24"/>
          <w:lang w:val="af-ZA" w:eastAsia="en-US"/>
        </w:rPr>
      </w:pPr>
      <w:bookmarkStart w:id="343" w:name="_Toc120805230"/>
      <w:r w:rsidRPr="007955BB">
        <w:rPr>
          <w:rFonts w:cs="Arial"/>
          <w:sz w:val="24"/>
          <w:lang w:val="hy-AM" w:eastAsia="en-US"/>
        </w:rPr>
        <w:t>ՀՀ պաշտպանության նախարարություն</w:t>
      </w:r>
      <w:bookmarkEnd w:id="343"/>
      <w:r w:rsidR="00AC3502" w:rsidRPr="007955BB">
        <w:rPr>
          <w:rFonts w:cs="Arial"/>
          <w:sz w:val="24"/>
          <w:lang w:val="af-ZA" w:eastAsia="en-US"/>
        </w:rPr>
        <w:t xml:space="preserve"> </w:t>
      </w:r>
    </w:p>
    <w:p w:rsidR="00C4421C" w:rsidRPr="007955BB" w:rsidRDefault="00C4421C" w:rsidP="00C4421C">
      <w:pPr>
        <w:tabs>
          <w:tab w:val="left" w:pos="1080"/>
        </w:tabs>
        <w:spacing w:line="276" w:lineRule="auto"/>
        <w:ind w:firstLine="720"/>
        <w:rPr>
          <w:b w:val="0"/>
          <w:szCs w:val="22"/>
          <w:lang w:val="hy-AM"/>
        </w:rPr>
      </w:pPr>
      <w:r w:rsidRPr="007955BB">
        <w:rPr>
          <w:b w:val="0"/>
          <w:szCs w:val="22"/>
          <w:lang w:val="hy-AM"/>
        </w:rPr>
        <w:t xml:space="preserve">ՀՀ </w:t>
      </w:r>
      <w:r>
        <w:rPr>
          <w:b w:val="0"/>
          <w:szCs w:val="22"/>
          <w:lang w:val="hy-AM"/>
        </w:rPr>
        <w:t>ՊՆ</w:t>
      </w:r>
      <w:r w:rsidRPr="007955BB">
        <w:rPr>
          <w:b w:val="0"/>
          <w:szCs w:val="22"/>
          <w:lang w:val="hy-AM"/>
        </w:rPr>
        <w:t xml:space="preserve"> կողմից 2023 թվականին</w:t>
      </w:r>
      <w:r w:rsidRPr="007955BB">
        <w:rPr>
          <w:b w:val="0"/>
          <w:szCs w:val="22"/>
          <w:lang w:val="af-ZA"/>
        </w:rPr>
        <w:t xml:space="preserve"> </w:t>
      </w:r>
      <w:r w:rsidRPr="007955BB">
        <w:rPr>
          <w:b w:val="0"/>
          <w:szCs w:val="22"/>
          <w:lang w:val="hy-AM"/>
        </w:rPr>
        <w:t>ծախսերը</w:t>
      </w:r>
      <w:r w:rsidRPr="007955BB">
        <w:rPr>
          <w:b w:val="0"/>
          <w:szCs w:val="22"/>
          <w:lang w:val="af-ZA"/>
        </w:rPr>
        <w:t xml:space="preserve"> </w:t>
      </w:r>
      <w:r w:rsidRPr="007955BB">
        <w:rPr>
          <w:b w:val="0"/>
          <w:szCs w:val="22"/>
          <w:lang w:val="hy-AM"/>
        </w:rPr>
        <w:t>նախատեսվում</w:t>
      </w:r>
      <w:r w:rsidRPr="007955BB">
        <w:rPr>
          <w:b w:val="0"/>
          <w:szCs w:val="22"/>
          <w:lang w:val="af-ZA"/>
        </w:rPr>
        <w:t xml:space="preserve"> </w:t>
      </w:r>
      <w:r w:rsidRPr="007955BB">
        <w:rPr>
          <w:b w:val="0"/>
          <w:szCs w:val="22"/>
          <w:lang w:val="hy-AM"/>
        </w:rPr>
        <w:t>է</w:t>
      </w:r>
      <w:r w:rsidRPr="007955BB">
        <w:rPr>
          <w:b w:val="0"/>
          <w:szCs w:val="22"/>
          <w:lang w:val="af-ZA"/>
        </w:rPr>
        <w:t xml:space="preserve"> </w:t>
      </w:r>
      <w:r w:rsidRPr="007955BB">
        <w:rPr>
          <w:b w:val="0"/>
          <w:szCs w:val="22"/>
          <w:lang w:val="hy-AM"/>
        </w:rPr>
        <w:t>իրականացնել</w:t>
      </w:r>
      <w:r w:rsidRPr="007955BB">
        <w:rPr>
          <w:b w:val="0"/>
          <w:szCs w:val="22"/>
          <w:lang w:val="af-ZA"/>
        </w:rPr>
        <w:t xml:space="preserve"> </w:t>
      </w:r>
      <w:r w:rsidRPr="007955BB">
        <w:rPr>
          <w:b w:val="0"/>
          <w:szCs w:val="22"/>
          <w:lang w:val="hy-AM"/>
        </w:rPr>
        <w:t>հինգ ծրագրերի</w:t>
      </w:r>
      <w:r w:rsidRPr="007955BB">
        <w:rPr>
          <w:b w:val="0"/>
          <w:szCs w:val="22"/>
          <w:lang w:val="af-ZA"/>
        </w:rPr>
        <w:t xml:space="preserve"> </w:t>
      </w:r>
      <w:r w:rsidRPr="007955BB">
        <w:rPr>
          <w:b w:val="0"/>
          <w:szCs w:val="22"/>
          <w:lang w:val="hy-AM"/>
        </w:rPr>
        <w:t xml:space="preserve">շրջանակներում, որոնց գծով պետական բյուջեի նախագծով նախատեսվում է </w:t>
      </w:r>
      <w:r>
        <w:rPr>
          <w:b w:val="0"/>
          <w:szCs w:val="22"/>
          <w:lang w:val="af-ZA"/>
        </w:rPr>
        <w:t>517</w:t>
      </w:r>
      <w:r w:rsidRPr="007955BB">
        <w:rPr>
          <w:b w:val="0"/>
          <w:szCs w:val="22"/>
          <w:lang w:val="hy-AM"/>
        </w:rPr>
        <w:t>,</w:t>
      </w:r>
      <w:r w:rsidRPr="00C4421C">
        <w:rPr>
          <w:b w:val="0"/>
          <w:szCs w:val="22"/>
          <w:lang w:val="af-ZA"/>
        </w:rPr>
        <w:t>277</w:t>
      </w:r>
      <w:r w:rsidRPr="007955BB">
        <w:rPr>
          <w:b w:val="0"/>
          <w:szCs w:val="22"/>
          <w:lang w:val="hy-AM"/>
        </w:rPr>
        <w:t>.</w:t>
      </w:r>
      <w:r w:rsidRPr="00C4421C">
        <w:rPr>
          <w:b w:val="0"/>
          <w:szCs w:val="22"/>
          <w:lang w:val="af-ZA"/>
        </w:rPr>
        <w:t>3</w:t>
      </w:r>
      <w:r w:rsidRPr="007955BB">
        <w:rPr>
          <w:b w:val="0"/>
          <w:szCs w:val="22"/>
          <w:lang w:val="hy-AM"/>
        </w:rPr>
        <w:t xml:space="preserve"> մլն</w:t>
      </w:r>
      <w:r w:rsidRPr="007955BB">
        <w:rPr>
          <w:b w:val="0"/>
          <w:szCs w:val="22"/>
          <w:lang w:val="af-ZA"/>
        </w:rPr>
        <w:t xml:space="preserve"> </w:t>
      </w:r>
      <w:r w:rsidRPr="007955BB">
        <w:rPr>
          <w:b w:val="0"/>
          <w:szCs w:val="22"/>
          <w:lang w:val="hy-AM"/>
        </w:rPr>
        <w:t>դրամ,</w:t>
      </w:r>
      <w:r w:rsidRPr="007955BB">
        <w:rPr>
          <w:b w:val="0"/>
          <w:szCs w:val="22"/>
          <w:lang w:val="af-ZA"/>
        </w:rPr>
        <w:t xml:space="preserve"> </w:t>
      </w:r>
      <w:r w:rsidRPr="007955BB">
        <w:rPr>
          <w:b w:val="0"/>
          <w:szCs w:val="22"/>
          <w:lang w:val="hy-AM"/>
        </w:rPr>
        <w:t>որից ընթացիկ ծախսերի գծով` 2</w:t>
      </w:r>
      <w:r w:rsidRPr="00C4421C">
        <w:rPr>
          <w:b w:val="0"/>
          <w:szCs w:val="22"/>
          <w:lang w:val="af-ZA"/>
        </w:rPr>
        <w:t>37</w:t>
      </w:r>
      <w:r w:rsidRPr="007955BB">
        <w:rPr>
          <w:b w:val="0"/>
          <w:szCs w:val="22"/>
          <w:lang w:val="hy-AM"/>
        </w:rPr>
        <w:t>,</w:t>
      </w:r>
      <w:r w:rsidRPr="00C4421C">
        <w:rPr>
          <w:b w:val="0"/>
          <w:szCs w:val="22"/>
          <w:lang w:val="af-ZA"/>
        </w:rPr>
        <w:t>027</w:t>
      </w:r>
      <w:r w:rsidRPr="007955BB">
        <w:rPr>
          <w:b w:val="0"/>
          <w:szCs w:val="22"/>
          <w:lang w:val="hy-AM"/>
        </w:rPr>
        <w:t>.</w:t>
      </w:r>
      <w:r w:rsidRPr="00C4421C">
        <w:rPr>
          <w:b w:val="0"/>
          <w:szCs w:val="22"/>
          <w:lang w:val="af-ZA"/>
        </w:rPr>
        <w:t>4</w:t>
      </w:r>
      <w:r w:rsidRPr="007955BB">
        <w:rPr>
          <w:b w:val="0"/>
          <w:szCs w:val="22"/>
          <w:lang w:val="hy-AM"/>
        </w:rPr>
        <w:t xml:space="preserve"> մլն</w:t>
      </w:r>
      <w:r w:rsidRPr="007955BB">
        <w:rPr>
          <w:b w:val="0"/>
          <w:szCs w:val="22"/>
          <w:lang w:val="af-ZA"/>
        </w:rPr>
        <w:t xml:space="preserve"> </w:t>
      </w:r>
      <w:r w:rsidRPr="007955BB">
        <w:rPr>
          <w:b w:val="0"/>
          <w:szCs w:val="22"/>
          <w:lang w:val="hy-AM"/>
        </w:rPr>
        <w:t xml:space="preserve">դրամ կամ </w:t>
      </w:r>
      <w:r w:rsidRPr="00C4421C">
        <w:rPr>
          <w:b w:val="0"/>
          <w:color w:val="000000" w:themeColor="text1"/>
          <w:szCs w:val="22"/>
          <w:lang w:val="af-ZA"/>
        </w:rPr>
        <w:t>45</w:t>
      </w:r>
      <w:r w:rsidRPr="009E712F">
        <w:rPr>
          <w:b w:val="0"/>
          <w:color w:val="000000" w:themeColor="text1"/>
          <w:szCs w:val="22"/>
          <w:lang w:val="hy-AM"/>
        </w:rPr>
        <w:t>.</w:t>
      </w:r>
      <w:r w:rsidRPr="00C4421C">
        <w:rPr>
          <w:b w:val="0"/>
          <w:color w:val="000000" w:themeColor="text1"/>
          <w:szCs w:val="22"/>
          <w:lang w:val="af-ZA"/>
        </w:rPr>
        <w:t>8</w:t>
      </w:r>
      <w:r w:rsidRPr="002C54D3">
        <w:rPr>
          <w:b w:val="0"/>
          <w:color w:val="000000" w:themeColor="text1"/>
          <w:szCs w:val="22"/>
          <w:lang w:val="hy-AM"/>
        </w:rPr>
        <w:t xml:space="preserve">%, </w:t>
      </w:r>
      <w:r w:rsidRPr="007955BB">
        <w:rPr>
          <w:b w:val="0"/>
          <w:szCs w:val="22"/>
          <w:lang w:val="hy-AM"/>
        </w:rPr>
        <w:t xml:space="preserve">իսկ ոչ ֆինանսական ակտիվների գծով` </w:t>
      </w:r>
      <w:r w:rsidRPr="007955BB">
        <w:rPr>
          <w:b w:val="0"/>
          <w:szCs w:val="22"/>
          <w:lang w:val="af-ZA"/>
        </w:rPr>
        <w:t>280</w:t>
      </w:r>
      <w:r w:rsidRPr="007955BB">
        <w:rPr>
          <w:b w:val="0"/>
          <w:szCs w:val="22"/>
          <w:lang w:val="hy-AM"/>
        </w:rPr>
        <w:t>,</w:t>
      </w:r>
      <w:r w:rsidRPr="007955BB">
        <w:rPr>
          <w:b w:val="0"/>
          <w:szCs w:val="22"/>
          <w:lang w:val="af-ZA"/>
        </w:rPr>
        <w:t>249</w:t>
      </w:r>
      <w:r w:rsidRPr="007955BB">
        <w:rPr>
          <w:b w:val="0"/>
          <w:szCs w:val="22"/>
          <w:lang w:val="hy-AM"/>
        </w:rPr>
        <w:t>.9 մլն</w:t>
      </w:r>
      <w:r w:rsidRPr="007955BB">
        <w:rPr>
          <w:b w:val="0"/>
          <w:szCs w:val="22"/>
          <w:lang w:val="af-ZA"/>
        </w:rPr>
        <w:t xml:space="preserve"> </w:t>
      </w:r>
      <w:r w:rsidRPr="007955BB">
        <w:rPr>
          <w:b w:val="0"/>
          <w:szCs w:val="22"/>
          <w:lang w:val="hy-AM"/>
        </w:rPr>
        <w:t xml:space="preserve">դրամ </w:t>
      </w:r>
      <w:r w:rsidRPr="002C54D3">
        <w:rPr>
          <w:b w:val="0"/>
          <w:color w:val="000000" w:themeColor="text1"/>
          <w:szCs w:val="22"/>
          <w:lang w:val="hy-AM"/>
        </w:rPr>
        <w:t xml:space="preserve">կամ </w:t>
      </w:r>
      <w:r w:rsidRPr="009E712F">
        <w:rPr>
          <w:b w:val="0"/>
          <w:color w:val="000000" w:themeColor="text1"/>
          <w:szCs w:val="22"/>
          <w:lang w:val="af-ZA"/>
        </w:rPr>
        <w:t>54</w:t>
      </w:r>
      <w:r w:rsidRPr="009E712F">
        <w:rPr>
          <w:b w:val="0"/>
          <w:color w:val="000000" w:themeColor="text1"/>
          <w:szCs w:val="22"/>
          <w:lang w:val="hy-AM"/>
        </w:rPr>
        <w:t>.</w:t>
      </w:r>
      <w:r w:rsidRPr="00C4421C">
        <w:rPr>
          <w:b w:val="0"/>
          <w:color w:val="000000" w:themeColor="text1"/>
          <w:szCs w:val="22"/>
          <w:lang w:val="af-ZA"/>
        </w:rPr>
        <w:t>2</w:t>
      </w:r>
      <w:r w:rsidRPr="009E712F">
        <w:rPr>
          <w:b w:val="0"/>
          <w:color w:val="000000" w:themeColor="text1"/>
          <w:szCs w:val="22"/>
          <w:lang w:val="hy-AM"/>
        </w:rPr>
        <w:t>%-</w:t>
      </w:r>
      <w:r w:rsidRPr="002C54D3">
        <w:rPr>
          <w:b w:val="0"/>
          <w:color w:val="000000" w:themeColor="text1"/>
          <w:szCs w:val="22"/>
          <w:lang w:val="hy-AM"/>
        </w:rPr>
        <w:t>ը</w:t>
      </w:r>
      <w:r w:rsidRPr="007955BB">
        <w:rPr>
          <w:b w:val="0"/>
          <w:szCs w:val="22"/>
          <w:lang w:val="hy-AM"/>
        </w:rPr>
        <w:t xml:space="preserve">: Ծախսերի աճը </w:t>
      </w:r>
      <w:r w:rsidRPr="007955BB">
        <w:rPr>
          <w:rFonts w:cs="Times Armenian"/>
          <w:b w:val="0"/>
          <w:szCs w:val="22"/>
          <w:lang w:val="hy-AM"/>
        </w:rPr>
        <w:t>ՀՀ 202</w:t>
      </w:r>
      <w:r w:rsidRPr="007955BB">
        <w:rPr>
          <w:rFonts w:cs="Times Armenian"/>
          <w:b w:val="0"/>
          <w:szCs w:val="22"/>
          <w:lang w:val="af-ZA"/>
        </w:rPr>
        <w:t>2</w:t>
      </w:r>
      <w:r w:rsidRPr="007955BB">
        <w:rPr>
          <w:rFonts w:cs="Times Armenian"/>
          <w:b w:val="0"/>
          <w:szCs w:val="22"/>
          <w:lang w:val="hy-AM"/>
        </w:rPr>
        <w:t xml:space="preserve"> թվականի պետական բյուջեի նկատմամբ կկազմի </w:t>
      </w:r>
      <w:r w:rsidRPr="007955BB">
        <w:rPr>
          <w:rFonts w:cs="Times Armenian"/>
          <w:b w:val="0"/>
          <w:szCs w:val="22"/>
          <w:lang w:val="af-ZA"/>
        </w:rPr>
        <w:t>1</w:t>
      </w:r>
      <w:r>
        <w:rPr>
          <w:rFonts w:cs="Times Armenian"/>
          <w:b w:val="0"/>
          <w:szCs w:val="22"/>
          <w:lang w:val="af-ZA"/>
        </w:rPr>
        <w:t>71</w:t>
      </w:r>
      <w:r w:rsidRPr="007955BB">
        <w:rPr>
          <w:rFonts w:cs="Times Armenian"/>
          <w:b w:val="0"/>
          <w:szCs w:val="22"/>
          <w:lang w:val="hy-AM"/>
        </w:rPr>
        <w:t>,</w:t>
      </w:r>
      <w:r w:rsidRPr="00C4421C">
        <w:rPr>
          <w:rFonts w:cs="Times Armenian"/>
          <w:b w:val="0"/>
          <w:szCs w:val="22"/>
          <w:lang w:val="af-ZA"/>
        </w:rPr>
        <w:t>781</w:t>
      </w:r>
      <w:r w:rsidRPr="007955BB">
        <w:rPr>
          <w:rFonts w:cs="Times Armenian"/>
          <w:b w:val="0"/>
          <w:szCs w:val="22"/>
          <w:lang w:val="hy-AM"/>
        </w:rPr>
        <w:t>.</w:t>
      </w:r>
      <w:r w:rsidRPr="00C4421C">
        <w:rPr>
          <w:rFonts w:cs="Times Armenian"/>
          <w:b w:val="0"/>
          <w:szCs w:val="22"/>
          <w:lang w:val="af-ZA"/>
        </w:rPr>
        <w:t>8</w:t>
      </w:r>
      <w:r w:rsidRPr="007955BB">
        <w:rPr>
          <w:rFonts w:cs="Times Armenian"/>
          <w:b w:val="0"/>
          <w:szCs w:val="22"/>
          <w:lang w:val="hy-AM"/>
        </w:rPr>
        <w:t xml:space="preserve"> </w:t>
      </w:r>
      <w:r w:rsidRPr="007955BB">
        <w:rPr>
          <w:b w:val="0"/>
          <w:szCs w:val="22"/>
          <w:lang w:val="hy-AM"/>
        </w:rPr>
        <w:t>մլն</w:t>
      </w:r>
      <w:r w:rsidRPr="007955BB">
        <w:rPr>
          <w:b w:val="0"/>
          <w:szCs w:val="22"/>
          <w:lang w:val="af-ZA"/>
        </w:rPr>
        <w:t xml:space="preserve"> </w:t>
      </w:r>
      <w:r w:rsidRPr="007955BB">
        <w:rPr>
          <w:b w:val="0"/>
          <w:szCs w:val="22"/>
          <w:lang w:val="hy-AM"/>
        </w:rPr>
        <w:t>դրամ</w:t>
      </w:r>
      <w:r>
        <w:rPr>
          <w:rFonts w:cs="Times Armenian"/>
          <w:b w:val="0"/>
          <w:szCs w:val="22"/>
          <w:lang w:val="hy-AM"/>
        </w:rPr>
        <w:t xml:space="preserve">, </w:t>
      </w:r>
      <w:r w:rsidRPr="007955BB">
        <w:rPr>
          <w:rFonts w:cs="Times Armenian"/>
          <w:b w:val="0"/>
          <w:szCs w:val="22"/>
          <w:lang w:val="hy-AM"/>
        </w:rPr>
        <w:t>որն ուղղվելու է ոչ ֆինանսական ակտիվների գծով ծախսերի ֆինանսավորմանը:</w:t>
      </w:r>
    </w:p>
    <w:p w:rsidR="00C4421C" w:rsidRPr="007955BB" w:rsidRDefault="00C4421C" w:rsidP="00C4421C">
      <w:pPr>
        <w:tabs>
          <w:tab w:val="left" w:pos="1080"/>
        </w:tabs>
        <w:spacing w:line="276" w:lineRule="auto"/>
        <w:ind w:firstLine="720"/>
        <w:rPr>
          <w:rFonts w:cs="Sylfaen"/>
          <w:b w:val="0"/>
          <w:szCs w:val="22"/>
          <w:lang w:val="hy-AM"/>
        </w:rPr>
      </w:pPr>
      <w:r w:rsidRPr="007955BB">
        <w:rPr>
          <w:spacing w:val="-4"/>
          <w:szCs w:val="22"/>
          <w:lang w:val="hy-AM"/>
        </w:rPr>
        <w:t>ՀՀ պաշտպանության ապահովում</w:t>
      </w:r>
      <w:r w:rsidRPr="007955BB">
        <w:rPr>
          <w:b w:val="0"/>
          <w:spacing w:val="-4"/>
          <w:szCs w:val="22"/>
          <w:lang w:val="hy-AM"/>
        </w:rPr>
        <w:t xml:space="preserve"> ծրագիրը հ</w:t>
      </w:r>
      <w:r w:rsidRPr="007955BB">
        <w:rPr>
          <w:b w:val="0"/>
          <w:szCs w:val="22"/>
          <w:lang w:val="hy-AM"/>
        </w:rPr>
        <w:t xml:space="preserve">անդիսանում է ՀՀ </w:t>
      </w:r>
      <w:r>
        <w:rPr>
          <w:b w:val="0"/>
          <w:szCs w:val="22"/>
          <w:lang w:val="hy-AM"/>
        </w:rPr>
        <w:t>ՊՆ</w:t>
      </w:r>
      <w:r w:rsidRPr="007955BB">
        <w:rPr>
          <w:b w:val="0"/>
          <w:szCs w:val="22"/>
          <w:lang w:val="hy-AM"/>
        </w:rPr>
        <w:t xml:space="preserve"> համակարգի գործունեությունն ապահովող հիմնական ծրագիր, որի շրջանակներում նախատեսվում են </w:t>
      </w:r>
      <w:r w:rsidRPr="007955BB">
        <w:rPr>
          <w:rFonts w:cs="Sylfaen"/>
          <w:b w:val="0"/>
          <w:szCs w:val="22"/>
          <w:lang w:val="hy-AM"/>
        </w:rPr>
        <w:t>ՀՀ զինված</w:t>
      </w:r>
      <w:r w:rsidRPr="007955BB">
        <w:rPr>
          <w:rFonts w:cs="Times Armenian"/>
          <w:b w:val="0"/>
          <w:szCs w:val="22"/>
          <w:lang w:val="hy-AM"/>
        </w:rPr>
        <w:t xml:space="preserve"> </w:t>
      </w:r>
      <w:r w:rsidRPr="007955BB">
        <w:rPr>
          <w:rFonts w:cs="Sylfaen"/>
          <w:b w:val="0"/>
          <w:szCs w:val="22"/>
          <w:lang w:val="hy-AM"/>
        </w:rPr>
        <w:t>ուժերի</w:t>
      </w:r>
      <w:r w:rsidRPr="007955BB">
        <w:rPr>
          <w:rFonts w:cs="Times Armenian"/>
          <w:b w:val="0"/>
          <w:szCs w:val="22"/>
          <w:lang w:val="hy-AM"/>
        </w:rPr>
        <w:t xml:space="preserve"> </w:t>
      </w:r>
      <w:r w:rsidRPr="007955BB">
        <w:rPr>
          <w:rFonts w:cs="Sylfaen"/>
          <w:b w:val="0"/>
          <w:szCs w:val="22"/>
          <w:lang w:val="hy-AM"/>
        </w:rPr>
        <w:t>պահպանման</w:t>
      </w:r>
      <w:r w:rsidRPr="007955BB">
        <w:rPr>
          <w:rFonts w:cs="Times Armenian"/>
          <w:b w:val="0"/>
          <w:szCs w:val="22"/>
          <w:lang w:val="hy-AM"/>
        </w:rPr>
        <w:t>, ռ</w:t>
      </w:r>
      <w:r w:rsidRPr="007955BB">
        <w:rPr>
          <w:rFonts w:cs="Sylfaen"/>
          <w:b w:val="0"/>
          <w:szCs w:val="22"/>
          <w:lang w:val="hy-AM"/>
        </w:rPr>
        <w:t>ազմական</w:t>
      </w:r>
      <w:r w:rsidRPr="007955BB">
        <w:rPr>
          <w:rFonts w:cs="Times Armenian"/>
          <w:b w:val="0"/>
          <w:szCs w:val="22"/>
          <w:lang w:val="hy-AM"/>
        </w:rPr>
        <w:t xml:space="preserve">, </w:t>
      </w:r>
      <w:r w:rsidRPr="007955BB">
        <w:rPr>
          <w:rFonts w:cs="Sylfaen"/>
          <w:b w:val="0"/>
          <w:szCs w:val="22"/>
          <w:lang w:val="hy-AM"/>
        </w:rPr>
        <w:t>մարտական</w:t>
      </w:r>
      <w:r w:rsidRPr="007955BB">
        <w:rPr>
          <w:rFonts w:cs="Times Armenian"/>
          <w:b w:val="0"/>
          <w:szCs w:val="22"/>
          <w:lang w:val="hy-AM"/>
        </w:rPr>
        <w:t xml:space="preserve"> </w:t>
      </w:r>
      <w:r w:rsidRPr="007955BB">
        <w:rPr>
          <w:rFonts w:cs="Sylfaen"/>
          <w:b w:val="0"/>
          <w:szCs w:val="22"/>
          <w:lang w:val="hy-AM"/>
        </w:rPr>
        <w:t>տեխնիկայի</w:t>
      </w:r>
      <w:r w:rsidRPr="007955BB">
        <w:rPr>
          <w:rFonts w:cs="Times Armenian"/>
          <w:b w:val="0"/>
          <w:szCs w:val="22"/>
          <w:lang w:val="hy-AM"/>
        </w:rPr>
        <w:t xml:space="preserve">, </w:t>
      </w:r>
      <w:r w:rsidRPr="007955BB">
        <w:rPr>
          <w:rFonts w:cs="Sylfaen"/>
          <w:b w:val="0"/>
          <w:szCs w:val="22"/>
          <w:lang w:val="hy-AM"/>
        </w:rPr>
        <w:t>տրանսպորտային</w:t>
      </w:r>
      <w:r w:rsidRPr="007955BB">
        <w:rPr>
          <w:rFonts w:cs="Times Armenian"/>
          <w:b w:val="0"/>
          <w:szCs w:val="22"/>
          <w:lang w:val="hy-AM"/>
        </w:rPr>
        <w:t xml:space="preserve"> </w:t>
      </w:r>
      <w:r w:rsidRPr="007955BB">
        <w:rPr>
          <w:rFonts w:cs="Sylfaen"/>
          <w:b w:val="0"/>
          <w:szCs w:val="22"/>
          <w:lang w:val="hy-AM"/>
        </w:rPr>
        <w:t>միջոցների</w:t>
      </w:r>
      <w:r w:rsidRPr="007955BB">
        <w:rPr>
          <w:rFonts w:cs="Times Armenian"/>
          <w:b w:val="0"/>
          <w:szCs w:val="22"/>
          <w:lang w:val="hy-AM"/>
        </w:rPr>
        <w:t xml:space="preserve">, </w:t>
      </w:r>
      <w:r w:rsidRPr="007955BB">
        <w:rPr>
          <w:rFonts w:cs="Sylfaen"/>
          <w:b w:val="0"/>
          <w:szCs w:val="22"/>
          <w:lang w:val="hy-AM"/>
        </w:rPr>
        <w:t>կապի</w:t>
      </w:r>
      <w:r w:rsidRPr="007955BB">
        <w:rPr>
          <w:rFonts w:cs="Times Armenian"/>
          <w:b w:val="0"/>
          <w:szCs w:val="22"/>
          <w:lang w:val="hy-AM"/>
        </w:rPr>
        <w:t xml:space="preserve"> </w:t>
      </w:r>
      <w:r w:rsidRPr="007955BB">
        <w:rPr>
          <w:rFonts w:cs="Sylfaen"/>
          <w:b w:val="0"/>
          <w:szCs w:val="22"/>
          <w:lang w:val="hy-AM"/>
        </w:rPr>
        <w:t>համակարգի</w:t>
      </w:r>
      <w:r w:rsidRPr="007955BB">
        <w:rPr>
          <w:rFonts w:cs="Times Armenian"/>
          <w:b w:val="0"/>
          <w:szCs w:val="22"/>
          <w:lang w:val="hy-AM"/>
        </w:rPr>
        <w:t xml:space="preserve"> </w:t>
      </w:r>
      <w:r w:rsidRPr="007955BB">
        <w:rPr>
          <w:rFonts w:cs="Sylfaen"/>
          <w:b w:val="0"/>
          <w:szCs w:val="22"/>
          <w:lang w:val="hy-AM"/>
        </w:rPr>
        <w:t>սարքավորումների</w:t>
      </w:r>
      <w:r w:rsidRPr="007955BB">
        <w:rPr>
          <w:rFonts w:cs="Times Armenian"/>
          <w:b w:val="0"/>
          <w:szCs w:val="22"/>
          <w:lang w:val="hy-AM"/>
        </w:rPr>
        <w:t xml:space="preserve">, </w:t>
      </w:r>
      <w:r w:rsidRPr="007955BB">
        <w:rPr>
          <w:rFonts w:cs="Sylfaen"/>
          <w:b w:val="0"/>
          <w:szCs w:val="22"/>
          <w:lang w:val="hy-AM"/>
        </w:rPr>
        <w:t>զորանոցային</w:t>
      </w:r>
      <w:r w:rsidRPr="007955BB">
        <w:rPr>
          <w:rFonts w:cs="Times Armenian"/>
          <w:b w:val="0"/>
          <w:szCs w:val="22"/>
          <w:lang w:val="hy-AM"/>
        </w:rPr>
        <w:t xml:space="preserve"> </w:t>
      </w:r>
      <w:r w:rsidRPr="007955BB">
        <w:rPr>
          <w:rFonts w:cs="Sylfaen"/>
          <w:b w:val="0"/>
          <w:szCs w:val="22"/>
          <w:lang w:val="hy-AM"/>
        </w:rPr>
        <w:t>և</w:t>
      </w:r>
      <w:r w:rsidRPr="007955BB">
        <w:rPr>
          <w:rFonts w:cs="Times Armenian"/>
          <w:b w:val="0"/>
          <w:szCs w:val="22"/>
          <w:lang w:val="hy-AM"/>
        </w:rPr>
        <w:t xml:space="preserve"> </w:t>
      </w:r>
      <w:r w:rsidRPr="007955BB">
        <w:rPr>
          <w:rFonts w:cs="Sylfaen"/>
          <w:b w:val="0"/>
          <w:szCs w:val="22"/>
          <w:lang w:val="hy-AM"/>
        </w:rPr>
        <w:t>տեխնիկական</w:t>
      </w:r>
      <w:r w:rsidRPr="007955BB">
        <w:rPr>
          <w:rFonts w:cs="Times Armenian"/>
          <w:b w:val="0"/>
          <w:szCs w:val="22"/>
          <w:lang w:val="hy-AM"/>
        </w:rPr>
        <w:t xml:space="preserve"> գ</w:t>
      </w:r>
      <w:r w:rsidRPr="007955BB">
        <w:rPr>
          <w:rFonts w:cs="Sylfaen"/>
          <w:b w:val="0"/>
          <w:szCs w:val="22"/>
          <w:lang w:val="hy-AM"/>
        </w:rPr>
        <w:t>ույքի</w:t>
      </w:r>
      <w:r w:rsidRPr="007955BB">
        <w:rPr>
          <w:rFonts w:cs="Times Armenian"/>
          <w:b w:val="0"/>
          <w:szCs w:val="22"/>
          <w:lang w:val="hy-AM"/>
        </w:rPr>
        <w:t xml:space="preserve">, </w:t>
      </w:r>
      <w:r w:rsidRPr="007955BB">
        <w:rPr>
          <w:rFonts w:cs="Sylfaen"/>
          <w:b w:val="0"/>
          <w:szCs w:val="22"/>
          <w:lang w:val="hy-AM"/>
        </w:rPr>
        <w:t>պարենի</w:t>
      </w:r>
      <w:r w:rsidRPr="007955BB">
        <w:rPr>
          <w:rFonts w:cs="Times Armenian"/>
          <w:b w:val="0"/>
          <w:szCs w:val="22"/>
          <w:lang w:val="hy-AM"/>
        </w:rPr>
        <w:t xml:space="preserve">, </w:t>
      </w:r>
      <w:r w:rsidRPr="007955BB">
        <w:rPr>
          <w:rFonts w:cs="Sylfaen"/>
          <w:b w:val="0"/>
          <w:szCs w:val="22"/>
          <w:lang w:val="hy-AM"/>
        </w:rPr>
        <w:t>հանդերձանքի</w:t>
      </w:r>
      <w:r w:rsidRPr="007955BB">
        <w:rPr>
          <w:rFonts w:cs="Times Armenian"/>
          <w:b w:val="0"/>
          <w:szCs w:val="22"/>
          <w:lang w:val="hy-AM"/>
        </w:rPr>
        <w:t xml:space="preserve">, </w:t>
      </w:r>
      <w:r w:rsidRPr="007955BB">
        <w:rPr>
          <w:rFonts w:cs="Sylfaen"/>
          <w:b w:val="0"/>
          <w:szCs w:val="22"/>
          <w:lang w:val="hy-AM"/>
        </w:rPr>
        <w:t>վառելիքա</w:t>
      </w:r>
      <w:r w:rsidRPr="007955BB">
        <w:rPr>
          <w:rFonts w:cs="Times Armenian"/>
          <w:b w:val="0"/>
          <w:szCs w:val="22"/>
          <w:lang w:val="hy-AM"/>
        </w:rPr>
        <w:t>-</w:t>
      </w:r>
      <w:r w:rsidRPr="007955BB">
        <w:rPr>
          <w:rFonts w:cs="Sylfaen"/>
          <w:b w:val="0"/>
          <w:szCs w:val="22"/>
          <w:lang w:val="hy-AM"/>
        </w:rPr>
        <w:t>քսուքային</w:t>
      </w:r>
      <w:r w:rsidRPr="007955BB">
        <w:rPr>
          <w:rFonts w:cs="Times Armenian"/>
          <w:b w:val="0"/>
          <w:szCs w:val="22"/>
          <w:lang w:val="hy-AM"/>
        </w:rPr>
        <w:t xml:space="preserve"> </w:t>
      </w:r>
      <w:r w:rsidRPr="007955BB">
        <w:rPr>
          <w:rFonts w:cs="Sylfaen"/>
          <w:b w:val="0"/>
          <w:szCs w:val="22"/>
          <w:lang w:val="hy-AM"/>
        </w:rPr>
        <w:t>նյութերի</w:t>
      </w:r>
      <w:r w:rsidRPr="007955BB">
        <w:rPr>
          <w:rFonts w:cs="Times Armenian"/>
          <w:b w:val="0"/>
          <w:szCs w:val="22"/>
          <w:lang w:val="hy-AM"/>
        </w:rPr>
        <w:t xml:space="preserve"> </w:t>
      </w:r>
      <w:r w:rsidRPr="007955BB">
        <w:rPr>
          <w:rFonts w:cs="Sylfaen"/>
          <w:b w:val="0"/>
          <w:szCs w:val="22"/>
          <w:lang w:val="hy-AM"/>
        </w:rPr>
        <w:t>սահմանված</w:t>
      </w:r>
      <w:r w:rsidRPr="007955BB">
        <w:rPr>
          <w:rFonts w:cs="Times Armenian"/>
          <w:b w:val="0"/>
          <w:szCs w:val="22"/>
          <w:lang w:val="hy-AM"/>
        </w:rPr>
        <w:t xml:space="preserve"> </w:t>
      </w:r>
      <w:r w:rsidRPr="007955BB">
        <w:rPr>
          <w:rFonts w:cs="Sylfaen"/>
          <w:b w:val="0"/>
          <w:szCs w:val="22"/>
          <w:lang w:val="hy-AM"/>
        </w:rPr>
        <w:t>պաշարների</w:t>
      </w:r>
      <w:r w:rsidRPr="007955BB">
        <w:rPr>
          <w:rFonts w:cs="Times Armenian"/>
          <w:b w:val="0"/>
          <w:szCs w:val="22"/>
          <w:lang w:val="hy-AM"/>
        </w:rPr>
        <w:t xml:space="preserve"> </w:t>
      </w:r>
      <w:r w:rsidRPr="007955BB">
        <w:rPr>
          <w:rFonts w:cs="Sylfaen"/>
          <w:b w:val="0"/>
          <w:szCs w:val="22"/>
          <w:lang w:val="hy-AM"/>
        </w:rPr>
        <w:t>մակարդակի</w:t>
      </w:r>
      <w:r w:rsidRPr="007955BB">
        <w:rPr>
          <w:rFonts w:cs="Times Armenian"/>
          <w:b w:val="0"/>
          <w:szCs w:val="22"/>
          <w:lang w:val="hy-AM"/>
        </w:rPr>
        <w:t xml:space="preserve">, </w:t>
      </w:r>
      <w:r w:rsidRPr="007955BB">
        <w:rPr>
          <w:rFonts w:cs="Sylfaen"/>
          <w:b w:val="0"/>
          <w:szCs w:val="22"/>
          <w:lang w:val="hy-AM"/>
        </w:rPr>
        <w:t>զենքի</w:t>
      </w:r>
      <w:r w:rsidRPr="007955BB">
        <w:rPr>
          <w:rFonts w:cs="Times Armenian"/>
          <w:b w:val="0"/>
          <w:szCs w:val="22"/>
          <w:lang w:val="hy-AM"/>
        </w:rPr>
        <w:t xml:space="preserve"> </w:t>
      </w:r>
      <w:r w:rsidRPr="007955BB">
        <w:rPr>
          <w:rFonts w:cs="Sylfaen"/>
          <w:b w:val="0"/>
          <w:szCs w:val="22"/>
          <w:lang w:val="hy-AM"/>
        </w:rPr>
        <w:t>և</w:t>
      </w:r>
      <w:r w:rsidRPr="007955BB">
        <w:rPr>
          <w:rFonts w:cs="Times Armenian"/>
          <w:b w:val="0"/>
          <w:szCs w:val="22"/>
          <w:lang w:val="hy-AM"/>
        </w:rPr>
        <w:t xml:space="preserve"> </w:t>
      </w:r>
      <w:r w:rsidRPr="007955BB">
        <w:rPr>
          <w:rFonts w:cs="Sylfaen"/>
          <w:b w:val="0"/>
          <w:szCs w:val="22"/>
          <w:lang w:val="hy-AM"/>
        </w:rPr>
        <w:t>զինամթերքի</w:t>
      </w:r>
      <w:r w:rsidRPr="007955BB">
        <w:rPr>
          <w:rFonts w:cs="Times Armenian"/>
          <w:b w:val="0"/>
          <w:szCs w:val="22"/>
          <w:lang w:val="hy-AM"/>
        </w:rPr>
        <w:t xml:space="preserve"> </w:t>
      </w:r>
      <w:r w:rsidRPr="007955BB">
        <w:rPr>
          <w:rFonts w:cs="Sylfaen"/>
          <w:b w:val="0"/>
          <w:szCs w:val="22"/>
          <w:lang w:val="hy-AM"/>
        </w:rPr>
        <w:t>հնարավոր</w:t>
      </w:r>
      <w:r w:rsidRPr="007955BB">
        <w:rPr>
          <w:rFonts w:cs="Times Armenian"/>
          <w:b w:val="0"/>
          <w:szCs w:val="22"/>
          <w:lang w:val="hy-AM"/>
        </w:rPr>
        <w:t xml:space="preserve"> </w:t>
      </w:r>
      <w:r w:rsidRPr="007955BB">
        <w:rPr>
          <w:rFonts w:cs="Sylfaen"/>
          <w:b w:val="0"/>
          <w:szCs w:val="22"/>
          <w:lang w:val="hy-AM"/>
        </w:rPr>
        <w:t>ներհանրապետական</w:t>
      </w:r>
      <w:r w:rsidRPr="007955BB">
        <w:rPr>
          <w:rFonts w:cs="Times Armenian"/>
          <w:b w:val="0"/>
          <w:szCs w:val="22"/>
          <w:lang w:val="hy-AM"/>
        </w:rPr>
        <w:t xml:space="preserve"> գ</w:t>
      </w:r>
      <w:r w:rsidRPr="007955BB">
        <w:rPr>
          <w:rFonts w:cs="Sylfaen"/>
          <w:b w:val="0"/>
          <w:szCs w:val="22"/>
          <w:lang w:val="hy-AM"/>
        </w:rPr>
        <w:t>նումների</w:t>
      </w:r>
      <w:r w:rsidRPr="007955BB">
        <w:rPr>
          <w:rFonts w:cs="Times Armenian"/>
          <w:b w:val="0"/>
          <w:szCs w:val="22"/>
          <w:lang w:val="hy-AM"/>
        </w:rPr>
        <w:t xml:space="preserve">, </w:t>
      </w:r>
      <w:r w:rsidRPr="007955BB">
        <w:rPr>
          <w:rFonts w:cs="Sylfaen"/>
          <w:b w:val="0"/>
          <w:szCs w:val="22"/>
          <w:lang w:val="hy-AM"/>
        </w:rPr>
        <w:t>բանակի</w:t>
      </w:r>
      <w:r w:rsidRPr="007955BB">
        <w:rPr>
          <w:rFonts w:cs="Times Armenian"/>
          <w:b w:val="0"/>
          <w:szCs w:val="22"/>
          <w:lang w:val="hy-AM"/>
        </w:rPr>
        <w:t xml:space="preserve"> </w:t>
      </w:r>
      <w:r w:rsidRPr="007955BB">
        <w:rPr>
          <w:rFonts w:cs="Sylfaen"/>
          <w:b w:val="0"/>
          <w:szCs w:val="22"/>
          <w:lang w:val="hy-AM"/>
        </w:rPr>
        <w:t>մարտունակության</w:t>
      </w:r>
      <w:r w:rsidRPr="007955BB">
        <w:rPr>
          <w:rFonts w:cs="Times Armenian"/>
          <w:b w:val="0"/>
          <w:szCs w:val="22"/>
          <w:lang w:val="hy-AM"/>
        </w:rPr>
        <w:t xml:space="preserve"> </w:t>
      </w:r>
      <w:r w:rsidRPr="007955BB">
        <w:rPr>
          <w:rFonts w:cs="Sylfaen"/>
          <w:b w:val="0"/>
          <w:szCs w:val="22"/>
          <w:lang w:val="hy-AM"/>
        </w:rPr>
        <w:t>և</w:t>
      </w:r>
      <w:r w:rsidRPr="007955BB">
        <w:rPr>
          <w:rFonts w:cs="Times Armenian"/>
          <w:b w:val="0"/>
          <w:szCs w:val="22"/>
          <w:lang w:val="hy-AM"/>
        </w:rPr>
        <w:t xml:space="preserve"> </w:t>
      </w:r>
      <w:r w:rsidRPr="007955BB">
        <w:rPr>
          <w:rFonts w:cs="Sylfaen"/>
          <w:b w:val="0"/>
          <w:szCs w:val="22"/>
          <w:lang w:val="hy-AM"/>
        </w:rPr>
        <w:t>կենսապահովման</w:t>
      </w:r>
      <w:r w:rsidRPr="007955BB">
        <w:rPr>
          <w:rFonts w:cs="Times Armenian"/>
          <w:b w:val="0"/>
          <w:szCs w:val="22"/>
          <w:lang w:val="hy-AM"/>
        </w:rPr>
        <w:t xml:space="preserve"> </w:t>
      </w:r>
      <w:r w:rsidRPr="007955BB">
        <w:rPr>
          <w:rFonts w:cs="Sylfaen"/>
          <w:b w:val="0"/>
          <w:szCs w:val="22"/>
          <w:lang w:val="hy-AM"/>
        </w:rPr>
        <w:t>պահանջների</w:t>
      </w:r>
      <w:r w:rsidRPr="007955BB">
        <w:rPr>
          <w:rFonts w:cs="Times Armenian"/>
          <w:b w:val="0"/>
          <w:szCs w:val="22"/>
          <w:lang w:val="hy-AM"/>
        </w:rPr>
        <w:t xml:space="preserve"> </w:t>
      </w:r>
      <w:r w:rsidRPr="007955BB">
        <w:rPr>
          <w:rFonts w:cs="Sylfaen"/>
          <w:b w:val="0"/>
          <w:szCs w:val="22"/>
          <w:lang w:val="hy-AM"/>
        </w:rPr>
        <w:t>բավարարման ծախսերը:</w:t>
      </w:r>
    </w:p>
    <w:p w:rsidR="00C4421C" w:rsidRPr="007955BB" w:rsidRDefault="00C4421C" w:rsidP="00C4421C">
      <w:pPr>
        <w:tabs>
          <w:tab w:val="left" w:pos="1080"/>
        </w:tabs>
        <w:spacing w:line="276" w:lineRule="auto"/>
        <w:ind w:firstLine="720"/>
        <w:rPr>
          <w:rFonts w:cs="Times Armenian"/>
          <w:b w:val="0"/>
          <w:szCs w:val="22"/>
          <w:lang w:val="hy-AM"/>
        </w:rPr>
      </w:pPr>
      <w:r w:rsidRPr="007955BB">
        <w:rPr>
          <w:rFonts w:cs="Times Armenian"/>
          <w:b w:val="0"/>
          <w:szCs w:val="22"/>
          <w:lang w:val="hy-AM"/>
        </w:rPr>
        <w:t>ՀՀ 2023 թվականի պետական բյուջեի նախագծով վերոնշյալ ծրագրով նախատեսվել է 5</w:t>
      </w:r>
      <w:r w:rsidRPr="00C4421C">
        <w:rPr>
          <w:rFonts w:cs="Times Armenian"/>
          <w:b w:val="0"/>
          <w:szCs w:val="22"/>
          <w:lang w:val="hy-AM"/>
        </w:rPr>
        <w:t>12</w:t>
      </w:r>
      <w:r w:rsidRPr="007955BB">
        <w:rPr>
          <w:rFonts w:cs="Times Armenian"/>
          <w:b w:val="0"/>
          <w:szCs w:val="22"/>
          <w:lang w:val="hy-AM"/>
        </w:rPr>
        <w:t>,</w:t>
      </w:r>
      <w:r w:rsidRPr="00C4421C">
        <w:rPr>
          <w:rFonts w:cs="Times Armenian"/>
          <w:b w:val="0"/>
          <w:szCs w:val="22"/>
          <w:lang w:val="hy-AM"/>
        </w:rPr>
        <w:t>7</w:t>
      </w:r>
      <w:r w:rsidRPr="007955BB">
        <w:rPr>
          <w:rFonts w:cs="Times Armenian"/>
          <w:b w:val="0"/>
          <w:szCs w:val="22"/>
          <w:lang w:val="hy-AM"/>
        </w:rPr>
        <w:t xml:space="preserve">85.9 </w:t>
      </w:r>
      <w:r w:rsidRPr="007955BB">
        <w:rPr>
          <w:b w:val="0"/>
          <w:szCs w:val="22"/>
          <w:lang w:val="hy-AM"/>
        </w:rPr>
        <w:t>մլն դրամ</w:t>
      </w:r>
      <w:r w:rsidRPr="007955BB">
        <w:rPr>
          <w:rFonts w:cs="Times Armenian"/>
          <w:b w:val="0"/>
          <w:szCs w:val="22"/>
          <w:lang w:val="hy-AM"/>
        </w:rPr>
        <w:t>` ՀՀ 2022 թվականի պետական բյուջեից 1</w:t>
      </w:r>
      <w:r w:rsidRPr="00C4421C">
        <w:rPr>
          <w:rFonts w:cs="Times Armenian"/>
          <w:b w:val="0"/>
          <w:szCs w:val="22"/>
          <w:lang w:val="hy-AM"/>
        </w:rPr>
        <w:t>72</w:t>
      </w:r>
      <w:r>
        <w:rPr>
          <w:rFonts w:cs="Times Armenian"/>
          <w:b w:val="0"/>
          <w:szCs w:val="22"/>
          <w:lang w:val="hy-AM"/>
        </w:rPr>
        <w:t>,2</w:t>
      </w:r>
      <w:r w:rsidRPr="007955BB">
        <w:rPr>
          <w:rFonts w:cs="Times Armenian"/>
          <w:b w:val="0"/>
          <w:szCs w:val="22"/>
          <w:lang w:val="hy-AM"/>
        </w:rPr>
        <w:t xml:space="preserve">16.6 </w:t>
      </w:r>
      <w:r w:rsidRPr="007955BB">
        <w:rPr>
          <w:b w:val="0"/>
          <w:szCs w:val="22"/>
          <w:lang w:val="hy-AM"/>
        </w:rPr>
        <w:t xml:space="preserve">մլն </w:t>
      </w:r>
      <w:r w:rsidRPr="007955BB">
        <w:rPr>
          <w:rFonts w:cs="Times Armenian"/>
          <w:b w:val="0"/>
          <w:szCs w:val="22"/>
          <w:lang w:val="hy-AM"/>
        </w:rPr>
        <w:t>դրամով ավել:</w:t>
      </w:r>
    </w:p>
    <w:p w:rsidR="00C4421C" w:rsidRPr="007955BB" w:rsidRDefault="00C4421C" w:rsidP="00C4421C">
      <w:pPr>
        <w:tabs>
          <w:tab w:val="left" w:pos="1080"/>
        </w:tabs>
        <w:spacing w:line="276" w:lineRule="auto"/>
        <w:ind w:firstLine="720"/>
        <w:rPr>
          <w:rFonts w:cs="Times Armenian"/>
          <w:b w:val="0"/>
          <w:szCs w:val="22"/>
          <w:lang w:val="hy-AM"/>
        </w:rPr>
      </w:pPr>
      <w:r w:rsidRPr="007955BB">
        <w:rPr>
          <w:spacing w:val="-4"/>
          <w:szCs w:val="22"/>
          <w:lang w:val="hy-AM"/>
        </w:rPr>
        <w:t>Ռազմաբժշկական սպասարկում և առողջապահական ծառայություններ</w:t>
      </w:r>
      <w:r w:rsidRPr="007955BB">
        <w:rPr>
          <w:b w:val="0"/>
          <w:spacing w:val="-4"/>
          <w:szCs w:val="22"/>
          <w:lang w:val="hy-AM"/>
        </w:rPr>
        <w:t xml:space="preserve"> ծրագրի</w:t>
      </w:r>
      <w:r w:rsidRPr="00C43BF7">
        <w:rPr>
          <w:b w:val="0"/>
          <w:spacing w:val="-4"/>
          <w:szCs w:val="22"/>
          <w:lang w:val="hy-AM"/>
        </w:rPr>
        <w:t xml:space="preserve"> </w:t>
      </w:r>
      <w:r w:rsidRPr="007955BB">
        <w:rPr>
          <w:b w:val="0"/>
          <w:spacing w:val="-4"/>
          <w:szCs w:val="22"/>
          <w:lang w:val="hy-AM"/>
        </w:rPr>
        <w:t xml:space="preserve">գծով </w:t>
      </w:r>
      <w:r w:rsidRPr="007955BB">
        <w:rPr>
          <w:rFonts w:cs="Times Armenian"/>
          <w:b w:val="0"/>
          <w:szCs w:val="22"/>
          <w:lang w:val="hy-AM"/>
        </w:rPr>
        <w:t xml:space="preserve">ՀՀ 2023 թվականի պետական բյուջեի նախագծով նախատեսվել է </w:t>
      </w:r>
      <w:r w:rsidRPr="00C43BF7">
        <w:rPr>
          <w:rFonts w:cs="Times Armenian"/>
          <w:b w:val="0"/>
          <w:szCs w:val="22"/>
          <w:lang w:val="hy-AM"/>
        </w:rPr>
        <w:t>2,512.0</w:t>
      </w:r>
      <w:r w:rsidRPr="007955BB">
        <w:rPr>
          <w:rFonts w:cs="Times Armenian"/>
          <w:b w:val="0"/>
          <w:szCs w:val="22"/>
          <w:lang w:val="hy-AM"/>
        </w:rPr>
        <w:t xml:space="preserve"> </w:t>
      </w:r>
      <w:r w:rsidRPr="007955BB">
        <w:rPr>
          <w:b w:val="0"/>
          <w:szCs w:val="22"/>
          <w:lang w:val="hy-AM"/>
        </w:rPr>
        <w:t>մլն դրամ</w:t>
      </w:r>
      <w:r w:rsidRPr="007955BB">
        <w:rPr>
          <w:rFonts w:cs="Times Armenian"/>
          <w:b w:val="0"/>
          <w:szCs w:val="22"/>
          <w:lang w:val="hy-AM"/>
        </w:rPr>
        <w:t>, որի</w:t>
      </w:r>
      <w:r w:rsidRPr="00C43BF7">
        <w:rPr>
          <w:rFonts w:cs="Times Armenian"/>
          <w:b w:val="0"/>
          <w:szCs w:val="22"/>
          <w:lang w:val="hy-AM"/>
        </w:rPr>
        <w:t xml:space="preserve"> </w:t>
      </w:r>
      <w:r w:rsidRPr="007955BB">
        <w:rPr>
          <w:rFonts w:cs="Times Armenian"/>
          <w:b w:val="0"/>
          <w:szCs w:val="22"/>
          <w:lang w:val="hy-AM"/>
        </w:rPr>
        <w:t>շրջանակներում</w:t>
      </w:r>
      <w:r w:rsidRPr="00C43BF7">
        <w:rPr>
          <w:rFonts w:cs="Times Armenian"/>
          <w:b w:val="0"/>
          <w:szCs w:val="22"/>
          <w:lang w:val="hy-AM"/>
        </w:rPr>
        <w:t xml:space="preserve"> </w:t>
      </w:r>
      <w:r w:rsidRPr="00C43BF7">
        <w:rPr>
          <w:b w:val="0"/>
          <w:szCs w:val="22"/>
          <w:lang w:val="hy-AM"/>
        </w:rPr>
        <w:t>թվով 12 ռազմաբժշկական հաստատություններում (որից 2 կենտրոնական հոսպիտալներ, 6 կայազորային հոսպիտալներ և 3 առանձին բժշկական ջոկատներ, 1 կենտրոնական պոլիկլինիկա), 2 մասնագիտացված,  60 գնդային, 31 առանձին գումարտակային և գնդերի շուրջ 75 գումարտակային բուժկետերում կազմակերպվում է զինծառայողների և նրանց ընտանիքների անդամների առաջնային և մասնագիտացված բուժօգության ծառայությունները, զինված ուժերում համաճարակային անվտանգությունը ապահովելու և վարակիչ հիվանդությունների ներթափանցումը կանխելու նպատակով կազմակերպվելու է 16.9 տոննա բժշկական թափոնների ոչնչացման աշխատանքները, նախատեսվում է սպասարկման և ընթացիկ վերանորոգման ենթարկել 55 հատուկ բժշկական սարքերի, սարքավորումներ:</w:t>
      </w:r>
    </w:p>
    <w:p w:rsidR="00C4421C" w:rsidRPr="00C43BF7" w:rsidRDefault="00C4421C" w:rsidP="00C4421C">
      <w:pPr>
        <w:tabs>
          <w:tab w:val="left" w:pos="1080"/>
        </w:tabs>
        <w:spacing w:line="276" w:lineRule="auto"/>
        <w:ind w:firstLine="720"/>
        <w:rPr>
          <w:b w:val="0"/>
          <w:szCs w:val="22"/>
          <w:lang w:val="hy-AM"/>
        </w:rPr>
      </w:pPr>
      <w:r w:rsidRPr="00C43BF7">
        <w:rPr>
          <w:b w:val="0"/>
          <w:szCs w:val="22"/>
          <w:lang w:val="hy-AM"/>
        </w:rPr>
        <w:t>«Հոսպիտալների և բուժկետերի բժշկական սարքավորումներով համալրում» միջոցառման շրջանակներում 1</w:t>
      </w:r>
      <w:r w:rsidRPr="007955BB">
        <w:rPr>
          <w:b w:val="0"/>
          <w:szCs w:val="22"/>
          <w:lang w:val="hy-AM"/>
        </w:rPr>
        <w:t>,</w:t>
      </w:r>
      <w:r w:rsidRPr="00C43BF7">
        <w:rPr>
          <w:b w:val="0"/>
          <w:szCs w:val="22"/>
          <w:lang w:val="hy-AM"/>
        </w:rPr>
        <w:t xml:space="preserve">129.8 </w:t>
      </w:r>
      <w:r w:rsidRPr="007955BB">
        <w:rPr>
          <w:b w:val="0"/>
          <w:szCs w:val="22"/>
          <w:lang w:val="hy-AM"/>
        </w:rPr>
        <w:t>մլն դրամ</w:t>
      </w:r>
      <w:r w:rsidRPr="00C43BF7">
        <w:rPr>
          <w:b w:val="0"/>
          <w:szCs w:val="22"/>
          <w:lang w:val="hy-AM"/>
        </w:rPr>
        <w:t xml:space="preserve"> միջոցները կուղղվեն կենտրոնական և կայազորային զինվորական հոսպիտալները ԷՕՊ սարքի, նարկոզի, արհեստական շնչառության, ԷԷԳ, լապարասկոպ, ատամնաբուժության համար նախատեսված արդիական բժշկական սարքավորումներով համալրմանը:</w:t>
      </w:r>
    </w:p>
    <w:p w:rsidR="00C4421C" w:rsidRPr="00C43BF7" w:rsidRDefault="00C4421C" w:rsidP="00C4421C">
      <w:pPr>
        <w:tabs>
          <w:tab w:val="left" w:pos="1080"/>
        </w:tabs>
        <w:spacing w:line="276" w:lineRule="auto"/>
        <w:ind w:firstLine="720"/>
        <w:rPr>
          <w:b w:val="0"/>
          <w:szCs w:val="22"/>
          <w:lang w:val="hy-AM"/>
        </w:rPr>
      </w:pPr>
      <w:r w:rsidRPr="007955BB">
        <w:rPr>
          <w:spacing w:val="-4"/>
          <w:szCs w:val="22"/>
          <w:lang w:val="hy-AM"/>
        </w:rPr>
        <w:t>Ռազմական ուսուցում և վերապատրաստում</w:t>
      </w:r>
      <w:r w:rsidRPr="007955BB">
        <w:rPr>
          <w:b w:val="0"/>
          <w:spacing w:val="-4"/>
          <w:szCs w:val="22"/>
          <w:lang w:val="hy-AM"/>
        </w:rPr>
        <w:t xml:space="preserve"> </w:t>
      </w:r>
      <w:r w:rsidRPr="00C43BF7">
        <w:rPr>
          <w:b w:val="0"/>
          <w:spacing w:val="-4"/>
          <w:szCs w:val="22"/>
          <w:lang w:val="hy-AM"/>
        </w:rPr>
        <w:t xml:space="preserve">ծրագրի շրջանակներում </w:t>
      </w:r>
      <w:r w:rsidRPr="007955BB">
        <w:rPr>
          <w:b w:val="0"/>
          <w:spacing w:val="-4"/>
          <w:szCs w:val="22"/>
          <w:lang w:val="hy-AM"/>
        </w:rPr>
        <w:t>նախատեսվ</w:t>
      </w:r>
      <w:r w:rsidRPr="00C43BF7">
        <w:rPr>
          <w:b w:val="0"/>
          <w:spacing w:val="-4"/>
          <w:szCs w:val="22"/>
          <w:lang w:val="hy-AM"/>
        </w:rPr>
        <w:t xml:space="preserve">ում է իրականացնել ուսուցում արտերկրների ռազմական ուսումնական հաստատություններում և ակադեմիաներում: </w:t>
      </w:r>
      <w:r w:rsidRPr="007955BB">
        <w:rPr>
          <w:rFonts w:cs="Times Armenian"/>
          <w:b w:val="0"/>
          <w:szCs w:val="22"/>
          <w:lang w:val="hy-AM"/>
        </w:rPr>
        <w:t>ՀՀ 202</w:t>
      </w:r>
      <w:r w:rsidRPr="00C43BF7">
        <w:rPr>
          <w:rFonts w:cs="Times Armenian"/>
          <w:b w:val="0"/>
          <w:szCs w:val="22"/>
          <w:lang w:val="hy-AM"/>
        </w:rPr>
        <w:t>3</w:t>
      </w:r>
      <w:r w:rsidRPr="007955BB">
        <w:rPr>
          <w:rFonts w:cs="Times Armenian"/>
          <w:b w:val="0"/>
          <w:szCs w:val="22"/>
          <w:lang w:val="hy-AM"/>
        </w:rPr>
        <w:t xml:space="preserve"> թվականի պետական բյուջեի նախագծով նախատեսվել է </w:t>
      </w:r>
      <w:r w:rsidRPr="00C43BF7">
        <w:rPr>
          <w:rFonts w:cs="Times Armenian"/>
          <w:b w:val="0"/>
          <w:szCs w:val="22"/>
          <w:lang w:val="hy-AM"/>
        </w:rPr>
        <w:t>1,029.1</w:t>
      </w:r>
      <w:r w:rsidRPr="007955BB">
        <w:rPr>
          <w:rFonts w:cs="Times Armenian"/>
          <w:b w:val="0"/>
          <w:szCs w:val="22"/>
          <w:lang w:val="hy-AM"/>
        </w:rPr>
        <w:t xml:space="preserve"> </w:t>
      </w:r>
      <w:r w:rsidRPr="007955BB">
        <w:rPr>
          <w:b w:val="0"/>
          <w:szCs w:val="22"/>
          <w:lang w:val="hy-AM"/>
        </w:rPr>
        <w:t>մլն</w:t>
      </w:r>
      <w:r w:rsidRPr="00C43BF7">
        <w:rPr>
          <w:b w:val="0"/>
          <w:szCs w:val="22"/>
          <w:lang w:val="hy-AM"/>
        </w:rPr>
        <w:t xml:space="preserve"> </w:t>
      </w:r>
      <w:r w:rsidRPr="007955BB">
        <w:rPr>
          <w:b w:val="0"/>
          <w:szCs w:val="22"/>
          <w:lang w:val="hy-AM"/>
        </w:rPr>
        <w:t>դրամ</w:t>
      </w:r>
      <w:r w:rsidRPr="007955BB">
        <w:rPr>
          <w:b w:val="0"/>
          <w:spacing w:val="-4"/>
          <w:szCs w:val="22"/>
          <w:lang w:val="hy-AM"/>
        </w:rPr>
        <w:t>:</w:t>
      </w:r>
    </w:p>
    <w:p w:rsidR="00C4421C" w:rsidRPr="00C43BF7" w:rsidRDefault="00C4421C" w:rsidP="00C4421C">
      <w:pPr>
        <w:tabs>
          <w:tab w:val="left" w:pos="1080"/>
        </w:tabs>
        <w:spacing w:line="276" w:lineRule="auto"/>
        <w:ind w:firstLine="720"/>
        <w:rPr>
          <w:b w:val="0"/>
          <w:szCs w:val="22"/>
          <w:lang w:val="hy-AM"/>
        </w:rPr>
      </w:pPr>
      <w:r w:rsidRPr="007955BB">
        <w:rPr>
          <w:spacing w:val="-4"/>
          <w:szCs w:val="22"/>
          <w:lang w:val="hy-AM"/>
        </w:rPr>
        <w:t>Միջազգային ռազմական համագործակցություն</w:t>
      </w:r>
      <w:r w:rsidRPr="007955BB">
        <w:rPr>
          <w:b w:val="0"/>
          <w:spacing w:val="-4"/>
          <w:szCs w:val="22"/>
          <w:lang w:val="hy-AM"/>
        </w:rPr>
        <w:t xml:space="preserve"> ծրագրով </w:t>
      </w:r>
      <w:r w:rsidRPr="007955BB">
        <w:rPr>
          <w:rFonts w:cs="Times Armenian"/>
          <w:b w:val="0"/>
          <w:szCs w:val="22"/>
          <w:lang w:val="hy-AM"/>
        </w:rPr>
        <w:t>ՀՀ 202</w:t>
      </w:r>
      <w:r w:rsidRPr="00C43BF7">
        <w:rPr>
          <w:rFonts w:cs="Times Armenian"/>
          <w:b w:val="0"/>
          <w:szCs w:val="22"/>
          <w:lang w:val="hy-AM"/>
        </w:rPr>
        <w:t>3</w:t>
      </w:r>
      <w:r w:rsidRPr="007955BB">
        <w:rPr>
          <w:rFonts w:cs="Times Armenian"/>
          <w:b w:val="0"/>
          <w:szCs w:val="22"/>
          <w:lang w:val="hy-AM"/>
        </w:rPr>
        <w:t xml:space="preserve"> թվականի պետական բյուջեի նախագծով նախատեսվել է </w:t>
      </w:r>
      <w:r w:rsidRPr="00C43BF7">
        <w:rPr>
          <w:rFonts w:cs="Times Armenian"/>
          <w:b w:val="0"/>
          <w:szCs w:val="22"/>
          <w:lang w:val="hy-AM"/>
        </w:rPr>
        <w:t>735</w:t>
      </w:r>
      <w:r w:rsidRPr="007955BB">
        <w:rPr>
          <w:rFonts w:cs="Times Armenian"/>
          <w:b w:val="0"/>
          <w:szCs w:val="22"/>
          <w:lang w:val="hy-AM"/>
        </w:rPr>
        <w:t>.</w:t>
      </w:r>
      <w:r w:rsidRPr="00C43BF7">
        <w:rPr>
          <w:rFonts w:cs="Times Armenian"/>
          <w:b w:val="0"/>
          <w:szCs w:val="22"/>
          <w:lang w:val="hy-AM"/>
        </w:rPr>
        <w:t>1</w:t>
      </w:r>
      <w:r w:rsidRPr="007955BB">
        <w:rPr>
          <w:rFonts w:cs="Times Armenian"/>
          <w:b w:val="0"/>
          <w:szCs w:val="22"/>
          <w:lang w:val="hy-AM"/>
        </w:rPr>
        <w:t xml:space="preserve"> </w:t>
      </w:r>
      <w:r w:rsidRPr="007955BB">
        <w:rPr>
          <w:b w:val="0"/>
          <w:szCs w:val="22"/>
          <w:lang w:val="hy-AM"/>
        </w:rPr>
        <w:t>մլն</w:t>
      </w:r>
      <w:r w:rsidRPr="00C43BF7">
        <w:rPr>
          <w:b w:val="0"/>
          <w:szCs w:val="22"/>
          <w:lang w:val="hy-AM"/>
        </w:rPr>
        <w:t xml:space="preserve"> </w:t>
      </w:r>
      <w:r w:rsidRPr="007955BB">
        <w:rPr>
          <w:b w:val="0"/>
          <w:szCs w:val="22"/>
          <w:lang w:val="hy-AM"/>
        </w:rPr>
        <w:t>դրամ</w:t>
      </w:r>
      <w:r w:rsidRPr="00C43BF7">
        <w:rPr>
          <w:rFonts w:cs="Times Armenian"/>
          <w:b w:val="0"/>
          <w:szCs w:val="22"/>
          <w:lang w:val="hy-AM"/>
        </w:rPr>
        <w:t>, որի շրջանակներում</w:t>
      </w:r>
      <w:r w:rsidRPr="007955BB">
        <w:rPr>
          <w:b w:val="0"/>
          <w:spacing w:val="-4"/>
          <w:szCs w:val="22"/>
          <w:lang w:val="hy-AM"/>
        </w:rPr>
        <w:t xml:space="preserve"> </w:t>
      </w:r>
      <w:r w:rsidRPr="00C43BF7">
        <w:rPr>
          <w:b w:val="0"/>
          <w:spacing w:val="-4"/>
          <w:szCs w:val="22"/>
          <w:lang w:val="hy-AM"/>
        </w:rPr>
        <w:t>կ</w:t>
      </w:r>
      <w:r w:rsidRPr="007955BB">
        <w:rPr>
          <w:b w:val="0"/>
          <w:spacing w:val="-4"/>
          <w:szCs w:val="22"/>
          <w:lang w:val="hy-AM"/>
        </w:rPr>
        <w:t>իրականացվ</w:t>
      </w:r>
      <w:r w:rsidRPr="00C43BF7">
        <w:rPr>
          <w:b w:val="0"/>
          <w:spacing w:val="-4"/>
          <w:szCs w:val="22"/>
          <w:lang w:val="hy-AM"/>
        </w:rPr>
        <w:t>ի</w:t>
      </w:r>
      <w:r w:rsidRPr="007955BB">
        <w:rPr>
          <w:b w:val="0"/>
          <w:spacing w:val="-4"/>
          <w:szCs w:val="22"/>
          <w:lang w:val="hy-AM"/>
        </w:rPr>
        <w:t xml:space="preserve"> </w:t>
      </w:r>
      <w:r w:rsidRPr="00C43BF7">
        <w:rPr>
          <w:b w:val="0"/>
          <w:spacing w:val="-4"/>
          <w:szCs w:val="22"/>
          <w:lang w:val="hy-AM"/>
        </w:rPr>
        <w:t>օ</w:t>
      </w:r>
      <w:r w:rsidRPr="007955BB">
        <w:rPr>
          <w:b w:val="0"/>
          <w:spacing w:val="-4"/>
          <w:szCs w:val="22"/>
          <w:lang w:val="hy-AM"/>
        </w:rPr>
        <w:t>տարերկրյա պետություններում ՀՀ ռազմական կցորդների և միջազգային կազմակերպություններում (ՄԱԿ, ԵԱՀԿ, ՀԱՊԿ, ՆԱՏՕ) ռազմաքաղաքական և ռազմական ներկայացուցիչների պահպանման ծախսերի ֆինանսավորումը:</w:t>
      </w:r>
      <w:r w:rsidRPr="00C43BF7">
        <w:rPr>
          <w:b w:val="0"/>
          <w:spacing w:val="-4"/>
          <w:szCs w:val="22"/>
          <w:lang w:val="hy-AM"/>
        </w:rPr>
        <w:t xml:space="preserve"> Ծախսերը </w:t>
      </w:r>
      <w:r w:rsidRPr="007955BB">
        <w:rPr>
          <w:rFonts w:cs="Times Armenian"/>
          <w:b w:val="0"/>
          <w:szCs w:val="22"/>
          <w:lang w:val="hy-AM"/>
        </w:rPr>
        <w:t>ՀՀ 2022 թվականի պետական բյուջե</w:t>
      </w:r>
      <w:r w:rsidRPr="00C43BF7">
        <w:rPr>
          <w:rFonts w:cs="Times Armenian"/>
          <w:b w:val="0"/>
          <w:szCs w:val="22"/>
          <w:lang w:val="hy-AM"/>
        </w:rPr>
        <w:t>ի նկատմամբ</w:t>
      </w:r>
      <w:r w:rsidRPr="007955BB">
        <w:rPr>
          <w:rFonts w:cs="Times Armenian"/>
          <w:b w:val="0"/>
          <w:szCs w:val="22"/>
          <w:lang w:val="hy-AM"/>
        </w:rPr>
        <w:t xml:space="preserve"> </w:t>
      </w:r>
      <w:r w:rsidRPr="00C43BF7">
        <w:rPr>
          <w:rFonts w:cs="Times Armenian"/>
          <w:b w:val="0"/>
          <w:szCs w:val="22"/>
          <w:lang w:val="hy-AM"/>
        </w:rPr>
        <w:t>նվազել են 209.1</w:t>
      </w:r>
      <w:r w:rsidRPr="007955BB">
        <w:rPr>
          <w:rFonts w:cs="Times Armenian"/>
          <w:b w:val="0"/>
          <w:szCs w:val="22"/>
          <w:lang w:val="hy-AM"/>
        </w:rPr>
        <w:t xml:space="preserve"> </w:t>
      </w:r>
      <w:r w:rsidRPr="007955BB">
        <w:rPr>
          <w:b w:val="0"/>
          <w:szCs w:val="22"/>
          <w:lang w:val="hy-AM"/>
        </w:rPr>
        <w:t>մլն</w:t>
      </w:r>
      <w:r w:rsidRPr="00C43BF7">
        <w:rPr>
          <w:b w:val="0"/>
          <w:szCs w:val="22"/>
          <w:lang w:val="hy-AM"/>
        </w:rPr>
        <w:t xml:space="preserve"> </w:t>
      </w:r>
      <w:r w:rsidRPr="007955BB">
        <w:rPr>
          <w:b w:val="0"/>
          <w:szCs w:val="22"/>
          <w:lang w:val="hy-AM"/>
        </w:rPr>
        <w:t>դրամով</w:t>
      </w:r>
      <w:r w:rsidRPr="00C43BF7">
        <w:rPr>
          <w:b w:val="0"/>
          <w:szCs w:val="22"/>
          <w:lang w:val="hy-AM"/>
        </w:rPr>
        <w:t>, պայմանավորված ՀՀ դրամի նկատմամբ արտարժույթի փոխարժեքի փոփոխությամբ</w:t>
      </w:r>
      <w:r w:rsidRPr="00C43BF7">
        <w:rPr>
          <w:rFonts w:cs="Times Armenian"/>
          <w:b w:val="0"/>
          <w:szCs w:val="22"/>
          <w:lang w:val="hy-AM"/>
        </w:rPr>
        <w:t>:</w:t>
      </w:r>
    </w:p>
    <w:p w:rsidR="00C4421C" w:rsidRPr="007955BB" w:rsidRDefault="00C4421C" w:rsidP="00C4421C">
      <w:pPr>
        <w:tabs>
          <w:tab w:val="left" w:pos="1080"/>
        </w:tabs>
        <w:spacing w:line="276" w:lineRule="auto"/>
        <w:ind w:firstLine="720"/>
        <w:rPr>
          <w:rFonts w:cs="Times Armenian"/>
          <w:b w:val="0"/>
          <w:szCs w:val="22"/>
          <w:lang w:val="hy-AM"/>
        </w:rPr>
      </w:pPr>
      <w:r w:rsidRPr="007955BB">
        <w:rPr>
          <w:rFonts w:cs="Times Armenian"/>
          <w:szCs w:val="22"/>
          <w:lang w:val="hy-AM"/>
        </w:rPr>
        <w:t>Հումանիտար ականազերծման և փորձագիտական ծառայություններ</w:t>
      </w:r>
      <w:r w:rsidRPr="007955BB">
        <w:rPr>
          <w:rFonts w:cs="Times Armenian"/>
          <w:b w:val="0"/>
          <w:szCs w:val="22"/>
          <w:lang w:val="hy-AM"/>
        </w:rPr>
        <w:t xml:space="preserve"> ծրագրի շրջանակներում նախատեսվում է իրականացնել</w:t>
      </w:r>
      <w:r w:rsidRPr="00C43BF7">
        <w:rPr>
          <w:rFonts w:cs="Times Armenian"/>
          <w:b w:val="0"/>
          <w:szCs w:val="22"/>
          <w:lang w:val="hy-AM"/>
        </w:rPr>
        <w:t xml:space="preserve"> ակաականային գործողությունների ենթակա տարածքի հետազննում, քարտեզագրում, նախատեսվող ծավալի աշխատանքների հստակեցում և իրականացվող միջոցառումների</w:t>
      </w:r>
      <w:r w:rsidRPr="007955BB">
        <w:rPr>
          <w:rFonts w:cs="Times Armenian"/>
          <w:b w:val="0"/>
          <w:szCs w:val="22"/>
          <w:lang w:val="hy-AM"/>
        </w:rPr>
        <w:t>: ՀՀ 202</w:t>
      </w:r>
      <w:r w:rsidRPr="00C43BF7">
        <w:rPr>
          <w:rFonts w:cs="Times Armenian"/>
          <w:b w:val="0"/>
          <w:szCs w:val="22"/>
          <w:lang w:val="hy-AM"/>
        </w:rPr>
        <w:t>3</w:t>
      </w:r>
      <w:r w:rsidRPr="007955BB">
        <w:rPr>
          <w:rFonts w:cs="Times Armenian"/>
          <w:b w:val="0"/>
          <w:szCs w:val="22"/>
          <w:lang w:val="hy-AM"/>
        </w:rPr>
        <w:t xml:space="preserve"> թվականի պետական բյուջեի նախագծով նախատեսվել է 215.3 </w:t>
      </w:r>
      <w:r w:rsidRPr="007955BB">
        <w:rPr>
          <w:b w:val="0"/>
          <w:szCs w:val="22"/>
          <w:lang w:val="hy-AM"/>
        </w:rPr>
        <w:t>մլն</w:t>
      </w:r>
      <w:r w:rsidRPr="00C43BF7">
        <w:rPr>
          <w:b w:val="0"/>
          <w:szCs w:val="22"/>
          <w:lang w:val="hy-AM"/>
        </w:rPr>
        <w:t xml:space="preserve"> </w:t>
      </w:r>
      <w:r w:rsidRPr="007955BB">
        <w:rPr>
          <w:b w:val="0"/>
          <w:szCs w:val="22"/>
          <w:lang w:val="hy-AM"/>
        </w:rPr>
        <w:t>դրամ</w:t>
      </w:r>
      <w:r w:rsidRPr="007955BB">
        <w:rPr>
          <w:rFonts w:cs="Times Armenian"/>
          <w:b w:val="0"/>
          <w:szCs w:val="22"/>
          <w:lang w:val="hy-AM"/>
        </w:rPr>
        <w:t>:</w:t>
      </w:r>
    </w:p>
    <w:p w:rsidR="00AA2ADD" w:rsidRPr="007955BB" w:rsidRDefault="00AA2ADD" w:rsidP="007C65A5">
      <w:pPr>
        <w:tabs>
          <w:tab w:val="left" w:pos="1080"/>
        </w:tabs>
        <w:spacing w:line="276" w:lineRule="auto"/>
        <w:ind w:firstLine="720"/>
        <w:rPr>
          <w:szCs w:val="22"/>
          <w:lang w:val="hy-AM"/>
        </w:rPr>
      </w:pPr>
    </w:p>
    <w:p w:rsidR="00D83CD7" w:rsidRPr="007955BB" w:rsidRDefault="00787739" w:rsidP="00427D1F">
      <w:pPr>
        <w:keepNext/>
        <w:spacing w:before="0" w:line="276" w:lineRule="auto"/>
        <w:ind w:firstLine="0"/>
        <w:contextualSpacing w:val="0"/>
        <w:jc w:val="center"/>
        <w:outlineLvl w:val="2"/>
        <w:rPr>
          <w:rFonts w:cs="Arial"/>
          <w:sz w:val="24"/>
          <w:lang w:val="hy-AM" w:eastAsia="en-US"/>
        </w:rPr>
      </w:pPr>
      <w:bookmarkStart w:id="344" w:name="_Toc120805231"/>
      <w:r w:rsidRPr="007955BB">
        <w:rPr>
          <w:rFonts w:cs="Arial"/>
          <w:sz w:val="24"/>
          <w:lang w:val="hy-AM" w:eastAsia="en-US"/>
        </w:rPr>
        <w:t>ՀՀ Ոստիկանություն</w:t>
      </w:r>
      <w:bookmarkEnd w:id="344"/>
    </w:p>
    <w:p w:rsidR="007F5F7A" w:rsidRPr="007F5F7A" w:rsidRDefault="007F5F7A" w:rsidP="007F5F7A">
      <w:pPr>
        <w:spacing w:before="0" w:line="276" w:lineRule="auto"/>
        <w:rPr>
          <w:b w:val="0"/>
          <w:bCs/>
          <w:szCs w:val="22"/>
          <w:lang w:val="hy-AM"/>
        </w:rPr>
      </w:pPr>
      <w:r w:rsidRPr="007F5F7A">
        <w:rPr>
          <w:b w:val="0"/>
          <w:bCs/>
          <w:szCs w:val="22"/>
          <w:lang w:val="hy-AM"/>
        </w:rPr>
        <w:t xml:space="preserve">ՀՀ 2023 թվականի պետական բյուջեի նախագծով ՀՀ ոստիկանության ընդհանուր հատկացումները կազմում են 75,692.0 մլն դրամ, որը 2022 թվականի՝ 66,585.5 մլն.դրամի համեմատությամբ աճել է 9,106.3 մլն դրամով, կամ 13.7 %-ով: </w:t>
      </w:r>
    </w:p>
    <w:p w:rsidR="007F5F7A" w:rsidRPr="007F5F7A" w:rsidRDefault="007F5F7A" w:rsidP="007F5F7A">
      <w:pPr>
        <w:spacing w:before="0" w:line="276" w:lineRule="auto"/>
        <w:rPr>
          <w:b w:val="0"/>
          <w:bCs/>
          <w:szCs w:val="22"/>
          <w:lang w:val="hy-AM"/>
        </w:rPr>
      </w:pPr>
      <w:r w:rsidRPr="007F5F7A">
        <w:rPr>
          <w:b w:val="0"/>
          <w:bCs/>
          <w:szCs w:val="22"/>
          <w:lang w:val="hy-AM"/>
        </w:rPr>
        <w:t xml:space="preserve">Նախագծով նախատեսվող հատկացումները հիմնականում վերագրվում են  ընթացիկ ծախսերին՝ 68,820.7 մլն.դրամ, որը 2022 թվականի՝ 62,099.9 մլն դրամի նկատմամբ աճել է 6,720.8 մլն դրամի չափով, կամ 10,8 %-ով,  իսկ կապիտալ ծախսերը կազմել են 6,871.3 մլն դրամ, որը 2022 թվականի՝ 4,485.8 մլն դրամի նկատմամբ աճել է 2,385.5 մլն դրամի չափով։ </w:t>
      </w:r>
    </w:p>
    <w:p w:rsidR="007F5F7A" w:rsidRPr="007F5F7A" w:rsidRDefault="007F5F7A" w:rsidP="007F5F7A">
      <w:pPr>
        <w:spacing w:before="0" w:line="276" w:lineRule="auto"/>
        <w:rPr>
          <w:b w:val="0"/>
          <w:bCs/>
          <w:szCs w:val="22"/>
          <w:lang w:val="hy-AM"/>
        </w:rPr>
      </w:pPr>
      <w:r w:rsidRPr="007F5F7A">
        <w:rPr>
          <w:bCs/>
          <w:szCs w:val="22"/>
          <w:lang w:val="hy-AM"/>
        </w:rPr>
        <w:t>Ոստիկանության ոլորտների` կազմակերպաիրավական գործունեության, ծառայությունների մատուցման, հասարակական անվտանգության ապահովման և իրավախախտումների դեմ պայքարի քաղաքականության մշակում, մոնիտորինգ և կառավարում</w:t>
      </w:r>
      <w:r w:rsidRPr="007F5F7A">
        <w:rPr>
          <w:b w:val="0"/>
          <w:bCs/>
          <w:szCs w:val="22"/>
          <w:lang w:val="hy-AM"/>
        </w:rPr>
        <w:t xml:space="preserve"> ծրագրի գծով հատկացումները կազմում են 74,120.3 մլն դրամ, որը 2022 թվականի՝ 65,019.8 մլն դրամի համեմատությամբ աճել է 9,100.5 մլն դրամով, կամ 14.0 %-ով: Ընթացիկ ծախսերի գծով հատկացումները կազմում են 67,249.1 մլն դրամ, 2022 թվականի՝ 60,534.0 մլն դրամի նկատմամբ աճել է 6,715.1 մլն դրամի չափով, կամ 11,1 %-ով, իսկ կապիտալ ծախսերը կազմել են 6,871.3 մլն դրամ, որը 2022 թվականի՝ 4,485.8 մլն. դրամի նկատմամբ աճել է 2,385.5 մլն. դրամի չափով: Ծրագրով իրականացվող ոստիկանության գործունեության հիմնական նպատակներ են.</w:t>
      </w:r>
    </w:p>
    <w:p w:rsidR="002F19FD" w:rsidRPr="007955BB" w:rsidRDefault="002F19FD" w:rsidP="002F19FD">
      <w:pPr>
        <w:spacing w:before="0" w:line="276" w:lineRule="auto"/>
        <w:rPr>
          <w:b w:val="0"/>
          <w:szCs w:val="22"/>
          <w:lang w:val="hy-AM"/>
        </w:rPr>
      </w:pPr>
      <w:r w:rsidRPr="007955BB">
        <w:rPr>
          <w:rFonts w:cs="Sylfaen"/>
          <w:b w:val="0"/>
          <w:szCs w:val="22"/>
          <w:lang w:val="hy-AM"/>
        </w:rPr>
        <w:t>ա) մարդու</w:t>
      </w:r>
      <w:r w:rsidRPr="007955BB">
        <w:rPr>
          <w:b w:val="0"/>
          <w:szCs w:val="22"/>
          <w:lang w:val="hy-AM"/>
        </w:rPr>
        <w:t xml:space="preserve"> </w:t>
      </w:r>
      <w:r w:rsidRPr="007955BB">
        <w:rPr>
          <w:rFonts w:cs="Sylfaen"/>
          <w:b w:val="0"/>
          <w:szCs w:val="22"/>
          <w:lang w:val="hy-AM"/>
        </w:rPr>
        <w:t>կյանքի</w:t>
      </w:r>
      <w:r w:rsidRPr="007955BB">
        <w:rPr>
          <w:b w:val="0"/>
          <w:szCs w:val="22"/>
          <w:lang w:val="hy-AM"/>
        </w:rPr>
        <w:t xml:space="preserve">, </w:t>
      </w:r>
      <w:r w:rsidRPr="007955BB">
        <w:rPr>
          <w:rFonts w:cs="Sylfaen"/>
          <w:b w:val="0"/>
          <w:szCs w:val="22"/>
          <w:lang w:val="hy-AM"/>
        </w:rPr>
        <w:t>առողջության</w:t>
      </w:r>
      <w:r w:rsidRPr="007955BB">
        <w:rPr>
          <w:b w:val="0"/>
          <w:szCs w:val="22"/>
          <w:lang w:val="hy-AM"/>
        </w:rPr>
        <w:t xml:space="preserve">, </w:t>
      </w:r>
      <w:r w:rsidRPr="007955BB">
        <w:rPr>
          <w:rFonts w:cs="Sylfaen"/>
          <w:b w:val="0"/>
          <w:szCs w:val="22"/>
          <w:lang w:val="hy-AM"/>
        </w:rPr>
        <w:t>պատվի</w:t>
      </w:r>
      <w:r w:rsidRPr="007955BB">
        <w:rPr>
          <w:b w:val="0"/>
          <w:szCs w:val="22"/>
          <w:lang w:val="hy-AM"/>
        </w:rPr>
        <w:t xml:space="preserve">, </w:t>
      </w:r>
      <w:r w:rsidRPr="007955BB">
        <w:rPr>
          <w:rFonts w:cs="Sylfaen"/>
          <w:b w:val="0"/>
          <w:szCs w:val="22"/>
          <w:lang w:val="hy-AM"/>
        </w:rPr>
        <w:t>արժանապատվության</w:t>
      </w:r>
      <w:r w:rsidRPr="007955BB">
        <w:rPr>
          <w:b w:val="0"/>
          <w:szCs w:val="22"/>
          <w:lang w:val="hy-AM"/>
        </w:rPr>
        <w:t xml:space="preserve">, </w:t>
      </w:r>
      <w:r w:rsidRPr="007955BB">
        <w:rPr>
          <w:rFonts w:cs="Sylfaen"/>
          <w:b w:val="0"/>
          <w:szCs w:val="22"/>
          <w:lang w:val="hy-AM"/>
        </w:rPr>
        <w:t>իրավունքների</w:t>
      </w:r>
      <w:r w:rsidRPr="007955BB">
        <w:rPr>
          <w:b w:val="0"/>
          <w:szCs w:val="22"/>
          <w:lang w:val="hy-AM"/>
        </w:rPr>
        <w:t xml:space="preserve">, </w:t>
      </w:r>
      <w:r w:rsidRPr="007955BB">
        <w:rPr>
          <w:rFonts w:cs="Sylfaen"/>
          <w:b w:val="0"/>
          <w:szCs w:val="22"/>
          <w:lang w:val="hy-AM"/>
        </w:rPr>
        <w:t>ազատությունների</w:t>
      </w:r>
      <w:r w:rsidRPr="007955BB">
        <w:rPr>
          <w:b w:val="0"/>
          <w:szCs w:val="22"/>
          <w:lang w:val="hy-AM"/>
        </w:rPr>
        <w:t xml:space="preserve"> </w:t>
      </w:r>
      <w:r w:rsidRPr="007955BB">
        <w:rPr>
          <w:rFonts w:cs="Sylfaen"/>
          <w:b w:val="0"/>
          <w:szCs w:val="22"/>
          <w:lang w:val="hy-AM"/>
        </w:rPr>
        <w:t>ու</w:t>
      </w:r>
      <w:r w:rsidRPr="007955BB">
        <w:rPr>
          <w:b w:val="0"/>
          <w:szCs w:val="22"/>
          <w:lang w:val="hy-AM"/>
        </w:rPr>
        <w:t xml:space="preserve"> </w:t>
      </w:r>
      <w:r w:rsidRPr="007955BB">
        <w:rPr>
          <w:rFonts w:cs="Sylfaen"/>
          <w:b w:val="0"/>
          <w:szCs w:val="22"/>
          <w:lang w:val="hy-AM"/>
        </w:rPr>
        <w:t>օրինական</w:t>
      </w:r>
      <w:r w:rsidRPr="007955BB">
        <w:rPr>
          <w:b w:val="0"/>
          <w:szCs w:val="22"/>
          <w:lang w:val="hy-AM"/>
        </w:rPr>
        <w:t xml:space="preserve"> </w:t>
      </w:r>
      <w:r w:rsidRPr="007955BB">
        <w:rPr>
          <w:rFonts w:cs="Sylfaen"/>
          <w:b w:val="0"/>
          <w:szCs w:val="22"/>
          <w:lang w:val="hy-AM"/>
        </w:rPr>
        <w:t>շահերի պաշտպանությունը</w:t>
      </w:r>
      <w:r w:rsidRPr="007955BB">
        <w:rPr>
          <w:b w:val="0"/>
          <w:szCs w:val="22"/>
          <w:lang w:val="hy-AM"/>
        </w:rPr>
        <w:t xml:space="preserve"> </w:t>
      </w:r>
      <w:r w:rsidRPr="007955BB">
        <w:rPr>
          <w:rFonts w:cs="Sylfaen"/>
          <w:b w:val="0"/>
          <w:szCs w:val="22"/>
          <w:lang w:val="hy-AM"/>
        </w:rPr>
        <w:t>հանցավոր</w:t>
      </w:r>
      <w:r w:rsidRPr="007955BB">
        <w:rPr>
          <w:b w:val="0"/>
          <w:szCs w:val="22"/>
          <w:lang w:val="hy-AM"/>
        </w:rPr>
        <w:t xml:space="preserve"> </w:t>
      </w:r>
      <w:r w:rsidRPr="007955BB">
        <w:rPr>
          <w:rFonts w:cs="Sylfaen"/>
          <w:b w:val="0"/>
          <w:szCs w:val="22"/>
          <w:lang w:val="hy-AM"/>
        </w:rPr>
        <w:t>և</w:t>
      </w:r>
      <w:r w:rsidRPr="007955BB">
        <w:rPr>
          <w:b w:val="0"/>
          <w:szCs w:val="22"/>
          <w:lang w:val="hy-AM"/>
        </w:rPr>
        <w:t xml:space="preserve"> </w:t>
      </w:r>
      <w:r w:rsidRPr="007955BB">
        <w:rPr>
          <w:rFonts w:cs="Sylfaen"/>
          <w:b w:val="0"/>
          <w:szCs w:val="22"/>
          <w:lang w:val="hy-AM"/>
        </w:rPr>
        <w:t>այլ</w:t>
      </w:r>
      <w:r w:rsidRPr="007955BB">
        <w:rPr>
          <w:b w:val="0"/>
          <w:szCs w:val="22"/>
          <w:lang w:val="hy-AM"/>
        </w:rPr>
        <w:t xml:space="preserve"> </w:t>
      </w:r>
      <w:r w:rsidRPr="007955BB">
        <w:rPr>
          <w:rFonts w:cs="Sylfaen"/>
          <w:b w:val="0"/>
          <w:szCs w:val="22"/>
          <w:lang w:val="hy-AM"/>
        </w:rPr>
        <w:t>ոտնձգություններից</w:t>
      </w:r>
      <w:r w:rsidRPr="007955BB">
        <w:rPr>
          <w:b w:val="0"/>
          <w:szCs w:val="22"/>
          <w:lang w:val="hy-AM"/>
        </w:rPr>
        <w:t>,</w:t>
      </w:r>
    </w:p>
    <w:p w:rsidR="002F19FD" w:rsidRPr="007955BB" w:rsidRDefault="002F19FD" w:rsidP="002F19FD">
      <w:pPr>
        <w:spacing w:before="0" w:line="276" w:lineRule="auto"/>
        <w:rPr>
          <w:b w:val="0"/>
          <w:szCs w:val="22"/>
          <w:lang w:val="hy-AM"/>
        </w:rPr>
      </w:pPr>
      <w:r w:rsidRPr="007955BB">
        <w:rPr>
          <w:rFonts w:cs="Sylfaen"/>
          <w:b w:val="0"/>
          <w:szCs w:val="22"/>
          <w:lang w:val="hy-AM"/>
        </w:rPr>
        <w:t>բ) հասարակության ու պետության անվտանգության ապահովումը</w:t>
      </w:r>
      <w:r w:rsidRPr="007955BB">
        <w:rPr>
          <w:b w:val="0"/>
          <w:szCs w:val="22"/>
          <w:lang w:val="hy-AM"/>
        </w:rPr>
        <w:t>,</w:t>
      </w:r>
    </w:p>
    <w:p w:rsidR="002F19FD" w:rsidRPr="007955BB" w:rsidRDefault="002F19FD" w:rsidP="002F19FD">
      <w:pPr>
        <w:spacing w:before="0" w:line="276" w:lineRule="auto"/>
        <w:rPr>
          <w:b w:val="0"/>
          <w:szCs w:val="22"/>
          <w:lang w:val="hy-AM"/>
        </w:rPr>
      </w:pPr>
      <w:r w:rsidRPr="007955BB">
        <w:rPr>
          <w:rFonts w:cs="Sylfaen"/>
          <w:b w:val="0"/>
          <w:szCs w:val="22"/>
          <w:lang w:val="hy-AM"/>
        </w:rPr>
        <w:t>գ) հանցագործությունների</w:t>
      </w:r>
      <w:r w:rsidRPr="007955BB">
        <w:rPr>
          <w:b w:val="0"/>
          <w:szCs w:val="22"/>
          <w:lang w:val="hy-AM"/>
        </w:rPr>
        <w:t xml:space="preserve"> </w:t>
      </w:r>
      <w:r w:rsidRPr="007955BB">
        <w:rPr>
          <w:rFonts w:cs="Sylfaen"/>
          <w:b w:val="0"/>
          <w:szCs w:val="22"/>
          <w:lang w:val="hy-AM"/>
        </w:rPr>
        <w:t>ու</w:t>
      </w:r>
      <w:r w:rsidRPr="007955BB">
        <w:rPr>
          <w:b w:val="0"/>
          <w:szCs w:val="22"/>
          <w:lang w:val="hy-AM"/>
        </w:rPr>
        <w:t xml:space="preserve"> </w:t>
      </w:r>
      <w:r w:rsidRPr="007955BB">
        <w:rPr>
          <w:rFonts w:cs="Sylfaen"/>
          <w:b w:val="0"/>
          <w:szCs w:val="22"/>
          <w:lang w:val="hy-AM"/>
        </w:rPr>
        <w:t>վարչական</w:t>
      </w:r>
      <w:r w:rsidRPr="007955BB">
        <w:rPr>
          <w:b w:val="0"/>
          <w:szCs w:val="22"/>
          <w:lang w:val="hy-AM"/>
        </w:rPr>
        <w:t xml:space="preserve"> </w:t>
      </w:r>
      <w:r w:rsidRPr="007955BB">
        <w:rPr>
          <w:rFonts w:cs="Sylfaen"/>
          <w:b w:val="0"/>
          <w:szCs w:val="22"/>
          <w:lang w:val="hy-AM"/>
        </w:rPr>
        <w:t>իրավախախտումների հայտնաբերումը, բացահայտումը,</w:t>
      </w:r>
      <w:r w:rsidRPr="007955BB">
        <w:rPr>
          <w:b w:val="0"/>
          <w:szCs w:val="22"/>
          <w:lang w:val="hy-AM"/>
        </w:rPr>
        <w:t xml:space="preserve"> </w:t>
      </w:r>
      <w:r w:rsidRPr="007955BB">
        <w:rPr>
          <w:rFonts w:cs="Sylfaen"/>
          <w:b w:val="0"/>
          <w:szCs w:val="22"/>
          <w:lang w:val="hy-AM"/>
        </w:rPr>
        <w:t>նախականխումը</w:t>
      </w:r>
      <w:r w:rsidRPr="007955BB">
        <w:rPr>
          <w:b w:val="0"/>
          <w:szCs w:val="22"/>
          <w:lang w:val="hy-AM"/>
        </w:rPr>
        <w:t xml:space="preserve">, </w:t>
      </w:r>
      <w:r w:rsidRPr="007955BB">
        <w:rPr>
          <w:rFonts w:cs="Sylfaen"/>
          <w:b w:val="0"/>
          <w:szCs w:val="22"/>
          <w:lang w:val="hy-AM"/>
        </w:rPr>
        <w:t>կանխումը</w:t>
      </w:r>
      <w:r w:rsidRPr="007955BB">
        <w:rPr>
          <w:b w:val="0"/>
          <w:szCs w:val="22"/>
          <w:lang w:val="hy-AM"/>
        </w:rPr>
        <w:t xml:space="preserve"> </w:t>
      </w:r>
      <w:r w:rsidRPr="007955BB">
        <w:rPr>
          <w:rFonts w:cs="Sylfaen"/>
          <w:b w:val="0"/>
          <w:szCs w:val="22"/>
          <w:lang w:val="hy-AM"/>
        </w:rPr>
        <w:t>և</w:t>
      </w:r>
      <w:r w:rsidRPr="007955BB">
        <w:rPr>
          <w:b w:val="0"/>
          <w:szCs w:val="22"/>
          <w:lang w:val="hy-AM"/>
        </w:rPr>
        <w:t xml:space="preserve"> </w:t>
      </w:r>
      <w:r w:rsidRPr="007955BB">
        <w:rPr>
          <w:rFonts w:cs="Sylfaen"/>
          <w:b w:val="0"/>
          <w:szCs w:val="22"/>
          <w:lang w:val="hy-AM"/>
        </w:rPr>
        <w:t>խափանումը</w:t>
      </w:r>
      <w:r w:rsidRPr="007955BB">
        <w:rPr>
          <w:b w:val="0"/>
          <w:szCs w:val="22"/>
          <w:lang w:val="hy-AM"/>
        </w:rPr>
        <w:t>,</w:t>
      </w:r>
    </w:p>
    <w:p w:rsidR="002F19FD" w:rsidRPr="007955BB" w:rsidRDefault="002F19FD" w:rsidP="002F19FD">
      <w:pPr>
        <w:spacing w:before="0" w:line="276" w:lineRule="auto"/>
        <w:rPr>
          <w:b w:val="0"/>
          <w:szCs w:val="22"/>
          <w:lang w:val="hy-AM"/>
        </w:rPr>
      </w:pPr>
      <w:r w:rsidRPr="007955BB">
        <w:rPr>
          <w:rFonts w:cs="Sylfaen"/>
          <w:b w:val="0"/>
          <w:szCs w:val="22"/>
          <w:lang w:val="hy-AM"/>
        </w:rPr>
        <w:t>դ) հանցա</w:t>
      </w:r>
      <w:r w:rsidRPr="007955BB">
        <w:rPr>
          <w:b w:val="0"/>
          <w:szCs w:val="22"/>
          <w:lang w:val="hy-AM"/>
        </w:rPr>
        <w:t>գ</w:t>
      </w:r>
      <w:r w:rsidRPr="007955BB">
        <w:rPr>
          <w:rFonts w:cs="Sylfaen"/>
          <w:b w:val="0"/>
          <w:szCs w:val="22"/>
          <w:lang w:val="hy-AM"/>
        </w:rPr>
        <w:t>ործությունների և վարչական իրավախախտումների</w:t>
      </w:r>
      <w:r w:rsidRPr="007955BB">
        <w:rPr>
          <w:b w:val="0"/>
          <w:szCs w:val="22"/>
          <w:lang w:val="hy-AM"/>
        </w:rPr>
        <w:t xml:space="preserve"> </w:t>
      </w:r>
      <w:r w:rsidRPr="007955BB">
        <w:rPr>
          <w:rFonts w:cs="Sylfaen"/>
          <w:b w:val="0"/>
          <w:szCs w:val="22"/>
          <w:lang w:val="hy-AM"/>
        </w:rPr>
        <w:t>կանխար</w:t>
      </w:r>
      <w:r w:rsidRPr="007955BB">
        <w:rPr>
          <w:b w:val="0"/>
          <w:szCs w:val="22"/>
          <w:lang w:val="hy-AM"/>
        </w:rPr>
        <w:t>գ</w:t>
      </w:r>
      <w:r w:rsidRPr="007955BB">
        <w:rPr>
          <w:rFonts w:cs="Sylfaen"/>
          <w:b w:val="0"/>
          <w:szCs w:val="22"/>
          <w:lang w:val="hy-AM"/>
        </w:rPr>
        <w:t>ելմանը</w:t>
      </w:r>
      <w:r w:rsidRPr="007955BB">
        <w:rPr>
          <w:b w:val="0"/>
          <w:szCs w:val="22"/>
          <w:lang w:val="hy-AM"/>
        </w:rPr>
        <w:t xml:space="preserve">, հասարակական կարգի պահպանությանը և հասարակական անվտանգության </w:t>
      </w:r>
      <w:r w:rsidRPr="007955BB">
        <w:rPr>
          <w:rFonts w:cs="Sylfaen"/>
          <w:b w:val="0"/>
          <w:szCs w:val="22"/>
          <w:lang w:val="hy-AM"/>
        </w:rPr>
        <w:t>ապահովմանն</w:t>
      </w:r>
      <w:r w:rsidRPr="007955BB">
        <w:rPr>
          <w:b w:val="0"/>
          <w:szCs w:val="22"/>
          <w:lang w:val="hy-AM"/>
        </w:rPr>
        <w:t xml:space="preserve"> </w:t>
      </w:r>
      <w:r w:rsidRPr="007955BB">
        <w:rPr>
          <w:rFonts w:cs="Sylfaen"/>
          <w:b w:val="0"/>
          <w:szCs w:val="22"/>
          <w:lang w:val="hy-AM"/>
        </w:rPr>
        <w:t>ուղղված</w:t>
      </w:r>
      <w:r w:rsidRPr="007955BB">
        <w:rPr>
          <w:b w:val="0"/>
          <w:szCs w:val="22"/>
          <w:lang w:val="hy-AM"/>
        </w:rPr>
        <w:t xml:space="preserve"> </w:t>
      </w:r>
      <w:r w:rsidRPr="007955BB">
        <w:rPr>
          <w:rFonts w:cs="Sylfaen"/>
          <w:b w:val="0"/>
          <w:szCs w:val="22"/>
          <w:lang w:val="hy-AM"/>
        </w:rPr>
        <w:t>միջոցառումների</w:t>
      </w:r>
      <w:r w:rsidRPr="007955BB">
        <w:rPr>
          <w:b w:val="0"/>
          <w:szCs w:val="22"/>
          <w:lang w:val="hy-AM"/>
        </w:rPr>
        <w:t xml:space="preserve"> </w:t>
      </w:r>
      <w:r w:rsidRPr="007955BB">
        <w:rPr>
          <w:rFonts w:cs="Sylfaen"/>
          <w:b w:val="0"/>
          <w:szCs w:val="22"/>
          <w:lang w:val="hy-AM"/>
        </w:rPr>
        <w:t>արդյունավետության</w:t>
      </w:r>
      <w:r w:rsidRPr="007955BB">
        <w:rPr>
          <w:b w:val="0"/>
          <w:szCs w:val="22"/>
          <w:lang w:val="hy-AM"/>
        </w:rPr>
        <w:t xml:space="preserve"> </w:t>
      </w:r>
      <w:r w:rsidRPr="007955BB">
        <w:rPr>
          <w:rFonts w:cs="Sylfaen"/>
          <w:b w:val="0"/>
          <w:szCs w:val="22"/>
          <w:lang w:val="hy-AM"/>
        </w:rPr>
        <w:t>բարձրացումը</w:t>
      </w:r>
      <w:r w:rsidRPr="007955BB">
        <w:rPr>
          <w:b w:val="0"/>
          <w:szCs w:val="22"/>
          <w:lang w:val="hy-AM"/>
        </w:rPr>
        <w:t>,</w:t>
      </w:r>
    </w:p>
    <w:p w:rsidR="002F19FD" w:rsidRPr="007955BB" w:rsidRDefault="002F19FD" w:rsidP="002F19FD">
      <w:pPr>
        <w:spacing w:before="0" w:line="276" w:lineRule="auto"/>
        <w:rPr>
          <w:b w:val="0"/>
          <w:szCs w:val="22"/>
          <w:lang w:val="hy-AM"/>
        </w:rPr>
      </w:pPr>
      <w:r w:rsidRPr="007955BB">
        <w:rPr>
          <w:rFonts w:cs="Sylfaen"/>
          <w:b w:val="0"/>
          <w:szCs w:val="22"/>
          <w:lang w:val="hy-AM"/>
        </w:rPr>
        <w:t>ե) անչափահասների</w:t>
      </w:r>
      <w:r w:rsidRPr="007955BB">
        <w:rPr>
          <w:b w:val="0"/>
          <w:szCs w:val="22"/>
          <w:lang w:val="hy-AM"/>
        </w:rPr>
        <w:t xml:space="preserve"> նկատմամբ և անչափահասների կողմից կատարվող </w:t>
      </w:r>
      <w:r w:rsidRPr="007955BB">
        <w:rPr>
          <w:rFonts w:cs="Sylfaen"/>
          <w:b w:val="0"/>
          <w:szCs w:val="22"/>
          <w:lang w:val="hy-AM"/>
        </w:rPr>
        <w:t>հանցագործություններին</w:t>
      </w:r>
      <w:r w:rsidRPr="007955BB">
        <w:rPr>
          <w:b w:val="0"/>
          <w:szCs w:val="22"/>
          <w:lang w:val="hy-AM"/>
        </w:rPr>
        <w:t xml:space="preserve"> </w:t>
      </w:r>
      <w:r w:rsidRPr="007955BB">
        <w:rPr>
          <w:rFonts w:cs="Sylfaen"/>
          <w:b w:val="0"/>
          <w:szCs w:val="22"/>
          <w:lang w:val="hy-AM"/>
        </w:rPr>
        <w:t>հակազդելու</w:t>
      </w:r>
      <w:r w:rsidRPr="007955BB">
        <w:rPr>
          <w:b w:val="0"/>
          <w:szCs w:val="22"/>
          <w:lang w:val="hy-AM"/>
        </w:rPr>
        <w:t xml:space="preserve">, </w:t>
      </w:r>
      <w:r w:rsidRPr="007955BB">
        <w:rPr>
          <w:rFonts w:cs="Sylfaen"/>
          <w:b w:val="0"/>
          <w:szCs w:val="22"/>
          <w:lang w:val="hy-AM"/>
        </w:rPr>
        <w:t>ոստիկանության</w:t>
      </w:r>
      <w:r w:rsidRPr="007955BB">
        <w:rPr>
          <w:b w:val="0"/>
          <w:szCs w:val="22"/>
          <w:lang w:val="hy-AM"/>
        </w:rPr>
        <w:t xml:space="preserve"> </w:t>
      </w:r>
      <w:r w:rsidRPr="007955BB">
        <w:rPr>
          <w:rFonts w:cs="Sylfaen"/>
          <w:b w:val="0"/>
          <w:szCs w:val="22"/>
          <w:lang w:val="hy-AM"/>
        </w:rPr>
        <w:t>տեսադաշտում</w:t>
      </w:r>
      <w:r w:rsidRPr="007955BB">
        <w:rPr>
          <w:b w:val="0"/>
          <w:szCs w:val="22"/>
          <w:lang w:val="hy-AM"/>
        </w:rPr>
        <w:t xml:space="preserve"> գ</w:t>
      </w:r>
      <w:r w:rsidRPr="007955BB">
        <w:rPr>
          <w:rFonts w:cs="Sylfaen"/>
          <w:b w:val="0"/>
          <w:szCs w:val="22"/>
          <w:lang w:val="hy-AM"/>
        </w:rPr>
        <w:t>տնվող</w:t>
      </w:r>
      <w:r w:rsidRPr="007955BB">
        <w:rPr>
          <w:b w:val="0"/>
          <w:szCs w:val="22"/>
          <w:lang w:val="hy-AM"/>
        </w:rPr>
        <w:t xml:space="preserve"> </w:t>
      </w:r>
      <w:r w:rsidRPr="007955BB">
        <w:rPr>
          <w:rFonts w:cs="Sylfaen"/>
          <w:b w:val="0"/>
          <w:szCs w:val="22"/>
          <w:lang w:val="hy-AM"/>
        </w:rPr>
        <w:t>անչափահասների</w:t>
      </w:r>
      <w:r w:rsidRPr="007955BB">
        <w:rPr>
          <w:b w:val="0"/>
          <w:szCs w:val="22"/>
          <w:lang w:val="hy-AM"/>
        </w:rPr>
        <w:t xml:space="preserve"> </w:t>
      </w:r>
      <w:r w:rsidRPr="007955BB">
        <w:rPr>
          <w:rFonts w:cs="Sylfaen"/>
          <w:b w:val="0"/>
          <w:szCs w:val="22"/>
          <w:lang w:val="hy-AM"/>
        </w:rPr>
        <w:t>հետ</w:t>
      </w:r>
      <w:r w:rsidRPr="007955BB">
        <w:rPr>
          <w:b w:val="0"/>
          <w:szCs w:val="22"/>
          <w:lang w:val="hy-AM"/>
        </w:rPr>
        <w:t xml:space="preserve"> </w:t>
      </w:r>
      <w:r w:rsidRPr="007955BB">
        <w:rPr>
          <w:rFonts w:cs="Sylfaen"/>
          <w:b w:val="0"/>
          <w:szCs w:val="22"/>
          <w:lang w:val="hy-AM"/>
        </w:rPr>
        <w:t>տարվող</w:t>
      </w:r>
      <w:r w:rsidRPr="007955BB">
        <w:rPr>
          <w:b w:val="0"/>
          <w:szCs w:val="22"/>
          <w:lang w:val="hy-AM"/>
        </w:rPr>
        <w:t xml:space="preserve"> </w:t>
      </w:r>
      <w:r w:rsidRPr="007955BB">
        <w:rPr>
          <w:rFonts w:cs="Sylfaen"/>
          <w:b w:val="0"/>
          <w:szCs w:val="22"/>
          <w:lang w:val="hy-AM"/>
        </w:rPr>
        <w:t>կանխար</w:t>
      </w:r>
      <w:r w:rsidRPr="007955BB">
        <w:rPr>
          <w:b w:val="0"/>
          <w:szCs w:val="22"/>
          <w:lang w:val="hy-AM"/>
        </w:rPr>
        <w:t>գ</w:t>
      </w:r>
      <w:r w:rsidRPr="007955BB">
        <w:rPr>
          <w:rFonts w:cs="Sylfaen"/>
          <w:b w:val="0"/>
          <w:szCs w:val="22"/>
          <w:lang w:val="hy-AM"/>
        </w:rPr>
        <w:t>ելիչ</w:t>
      </w:r>
      <w:r w:rsidRPr="007955BB">
        <w:rPr>
          <w:b w:val="0"/>
          <w:szCs w:val="22"/>
          <w:lang w:val="hy-AM"/>
        </w:rPr>
        <w:t xml:space="preserve"> </w:t>
      </w:r>
      <w:r w:rsidRPr="007955BB">
        <w:rPr>
          <w:rFonts w:cs="Sylfaen"/>
          <w:b w:val="0"/>
          <w:szCs w:val="22"/>
          <w:lang w:val="hy-AM"/>
        </w:rPr>
        <w:t>դաստիարակչական</w:t>
      </w:r>
      <w:r w:rsidRPr="007955BB">
        <w:rPr>
          <w:b w:val="0"/>
          <w:szCs w:val="22"/>
          <w:lang w:val="hy-AM"/>
        </w:rPr>
        <w:t xml:space="preserve"> </w:t>
      </w:r>
      <w:r w:rsidRPr="007955BB">
        <w:rPr>
          <w:rFonts w:cs="Sylfaen"/>
          <w:b w:val="0"/>
          <w:szCs w:val="22"/>
          <w:lang w:val="hy-AM"/>
        </w:rPr>
        <w:t>աշխատանքների</w:t>
      </w:r>
      <w:r w:rsidRPr="007955BB">
        <w:rPr>
          <w:b w:val="0"/>
          <w:szCs w:val="22"/>
          <w:lang w:val="hy-AM"/>
        </w:rPr>
        <w:t xml:space="preserve"> </w:t>
      </w:r>
      <w:r w:rsidRPr="007955BB">
        <w:rPr>
          <w:rFonts w:cs="Sylfaen"/>
          <w:b w:val="0"/>
          <w:szCs w:val="22"/>
          <w:lang w:val="hy-AM"/>
        </w:rPr>
        <w:t>բարելավումը</w:t>
      </w:r>
      <w:r w:rsidRPr="007955BB">
        <w:rPr>
          <w:b w:val="0"/>
          <w:szCs w:val="22"/>
          <w:lang w:val="hy-AM"/>
        </w:rPr>
        <w:t>,</w:t>
      </w:r>
    </w:p>
    <w:p w:rsidR="002F19FD" w:rsidRPr="007955BB" w:rsidRDefault="002F19FD" w:rsidP="002F19FD">
      <w:pPr>
        <w:spacing w:before="0" w:line="276" w:lineRule="auto"/>
        <w:rPr>
          <w:b w:val="0"/>
          <w:szCs w:val="22"/>
          <w:lang w:val="hy-AM"/>
        </w:rPr>
      </w:pPr>
      <w:r w:rsidRPr="007955BB">
        <w:rPr>
          <w:rFonts w:cs="Sylfaen"/>
          <w:b w:val="0"/>
          <w:szCs w:val="22"/>
          <w:lang w:val="hy-AM"/>
        </w:rPr>
        <w:t>զ) ՀՀ քաղաքացիների, օտարերկրացիների և քաղաքացիություն չունեցող անձանց անձը հաստատող և (կամ) կարգավիճակը հավաստող փաստաթղթերի</w:t>
      </w:r>
      <w:r w:rsidRPr="007955BB">
        <w:rPr>
          <w:b w:val="0"/>
          <w:szCs w:val="22"/>
          <w:lang w:val="hy-AM"/>
        </w:rPr>
        <w:t xml:space="preserve"> </w:t>
      </w:r>
      <w:r w:rsidRPr="007955BB">
        <w:rPr>
          <w:rFonts w:cs="Sylfaen"/>
          <w:b w:val="0"/>
          <w:szCs w:val="22"/>
          <w:lang w:val="hy-AM"/>
        </w:rPr>
        <w:t>տրամադրման</w:t>
      </w:r>
      <w:r w:rsidRPr="007955BB">
        <w:rPr>
          <w:b w:val="0"/>
          <w:szCs w:val="22"/>
          <w:lang w:val="hy-AM"/>
        </w:rPr>
        <w:t xml:space="preserve"> </w:t>
      </w:r>
      <w:r w:rsidRPr="007955BB">
        <w:rPr>
          <w:rFonts w:cs="Sylfaen"/>
          <w:b w:val="0"/>
          <w:szCs w:val="22"/>
          <w:lang w:val="hy-AM"/>
        </w:rPr>
        <w:t>և</w:t>
      </w:r>
      <w:r w:rsidRPr="007955BB">
        <w:rPr>
          <w:b w:val="0"/>
          <w:szCs w:val="22"/>
          <w:lang w:val="hy-AM"/>
        </w:rPr>
        <w:t xml:space="preserve"> բնակչության պետական ռեգիստրի վարման աշխատանքների անխափան և արդյունավետ իրականացումը,</w:t>
      </w:r>
    </w:p>
    <w:p w:rsidR="002F19FD" w:rsidRPr="007955BB" w:rsidRDefault="002F19FD" w:rsidP="002F19FD">
      <w:pPr>
        <w:spacing w:before="0" w:line="276" w:lineRule="auto"/>
        <w:rPr>
          <w:b w:val="0"/>
          <w:szCs w:val="22"/>
          <w:lang w:val="hy-AM"/>
        </w:rPr>
      </w:pPr>
      <w:r w:rsidRPr="007955BB">
        <w:rPr>
          <w:rFonts w:cs="Sylfaen"/>
          <w:b w:val="0"/>
          <w:szCs w:val="22"/>
          <w:lang w:val="hy-AM"/>
        </w:rPr>
        <w:t>է) Ճանապարհային</w:t>
      </w:r>
      <w:r w:rsidRPr="007955BB">
        <w:rPr>
          <w:b w:val="0"/>
          <w:szCs w:val="22"/>
          <w:lang w:val="hy-AM"/>
        </w:rPr>
        <w:t xml:space="preserve"> </w:t>
      </w:r>
      <w:r w:rsidRPr="007955BB">
        <w:rPr>
          <w:rFonts w:cs="Sylfaen"/>
          <w:b w:val="0"/>
          <w:szCs w:val="22"/>
          <w:lang w:val="hy-AM"/>
        </w:rPr>
        <w:t>երթևեկության</w:t>
      </w:r>
      <w:r w:rsidRPr="007955BB">
        <w:rPr>
          <w:b w:val="0"/>
          <w:szCs w:val="22"/>
          <w:lang w:val="hy-AM"/>
        </w:rPr>
        <w:t xml:space="preserve"> </w:t>
      </w:r>
      <w:r w:rsidRPr="007955BB">
        <w:rPr>
          <w:rFonts w:cs="Sylfaen"/>
          <w:b w:val="0"/>
          <w:szCs w:val="22"/>
          <w:lang w:val="hy-AM"/>
        </w:rPr>
        <w:t>անվտանգության ապահովմանն ուղղված միջոցառումների</w:t>
      </w:r>
      <w:r w:rsidRPr="007955BB">
        <w:rPr>
          <w:b w:val="0"/>
          <w:szCs w:val="22"/>
          <w:lang w:val="hy-AM"/>
        </w:rPr>
        <w:t xml:space="preserve"> </w:t>
      </w:r>
      <w:r w:rsidRPr="007955BB">
        <w:rPr>
          <w:rFonts w:cs="Sylfaen"/>
          <w:b w:val="0"/>
          <w:szCs w:val="22"/>
          <w:lang w:val="hy-AM"/>
        </w:rPr>
        <w:t>արդյունավետության</w:t>
      </w:r>
      <w:r w:rsidRPr="007955BB">
        <w:rPr>
          <w:b w:val="0"/>
          <w:szCs w:val="22"/>
          <w:lang w:val="hy-AM"/>
        </w:rPr>
        <w:t xml:space="preserve"> </w:t>
      </w:r>
      <w:r w:rsidRPr="007955BB">
        <w:rPr>
          <w:rFonts w:cs="Sylfaen"/>
          <w:b w:val="0"/>
          <w:szCs w:val="22"/>
          <w:lang w:val="hy-AM"/>
        </w:rPr>
        <w:t>բարձրացումը, ճանապարհատրանսպորտային պատահարների և վթարների նվազեցումը</w:t>
      </w:r>
      <w:r w:rsidRPr="007955BB">
        <w:rPr>
          <w:b w:val="0"/>
          <w:szCs w:val="22"/>
          <w:lang w:val="hy-AM"/>
        </w:rPr>
        <w:t>,</w:t>
      </w:r>
    </w:p>
    <w:p w:rsidR="002F19FD" w:rsidRPr="007955BB" w:rsidRDefault="002F19FD" w:rsidP="002F19FD">
      <w:pPr>
        <w:spacing w:before="0" w:line="276" w:lineRule="auto"/>
        <w:rPr>
          <w:b w:val="0"/>
          <w:szCs w:val="22"/>
          <w:lang w:val="hy-AM"/>
        </w:rPr>
      </w:pPr>
      <w:r w:rsidRPr="007955BB">
        <w:rPr>
          <w:rFonts w:cs="Sylfaen"/>
          <w:b w:val="0"/>
          <w:szCs w:val="22"/>
          <w:lang w:val="hy-AM"/>
        </w:rPr>
        <w:t>ը) ոստիկանական</w:t>
      </w:r>
      <w:r w:rsidRPr="007955BB">
        <w:rPr>
          <w:b w:val="0"/>
          <w:szCs w:val="22"/>
          <w:lang w:val="hy-AM"/>
        </w:rPr>
        <w:t xml:space="preserve"> գ</w:t>
      </w:r>
      <w:r w:rsidRPr="007955BB">
        <w:rPr>
          <w:rFonts w:cs="Sylfaen"/>
          <w:b w:val="0"/>
          <w:szCs w:val="22"/>
          <w:lang w:val="hy-AM"/>
        </w:rPr>
        <w:t>ործունեության ոլորտը կանոնակարգող օրենսդրության բարելավումը</w:t>
      </w:r>
      <w:r w:rsidRPr="007955BB">
        <w:rPr>
          <w:b w:val="0"/>
          <w:szCs w:val="22"/>
          <w:lang w:val="hy-AM"/>
        </w:rPr>
        <w:t>,</w:t>
      </w:r>
    </w:p>
    <w:p w:rsidR="002F19FD" w:rsidRPr="007955BB" w:rsidRDefault="002F19FD" w:rsidP="002F19FD">
      <w:pPr>
        <w:spacing w:before="0" w:line="276" w:lineRule="auto"/>
        <w:rPr>
          <w:b w:val="0"/>
          <w:szCs w:val="22"/>
          <w:lang w:val="hy-AM"/>
        </w:rPr>
      </w:pPr>
      <w:r w:rsidRPr="007955BB">
        <w:rPr>
          <w:rFonts w:cs="Sylfaen"/>
          <w:b w:val="0"/>
          <w:szCs w:val="22"/>
          <w:lang w:val="hy-AM"/>
        </w:rPr>
        <w:t>թ) հանցավորության</w:t>
      </w:r>
      <w:r w:rsidRPr="007955BB">
        <w:rPr>
          <w:b w:val="0"/>
          <w:szCs w:val="22"/>
          <w:lang w:val="hy-AM"/>
        </w:rPr>
        <w:t xml:space="preserve"> </w:t>
      </w:r>
      <w:r w:rsidRPr="007955BB">
        <w:rPr>
          <w:rFonts w:cs="Sylfaen"/>
          <w:b w:val="0"/>
          <w:szCs w:val="22"/>
          <w:lang w:val="hy-AM"/>
        </w:rPr>
        <w:t>դեմ</w:t>
      </w:r>
      <w:r w:rsidRPr="007955BB">
        <w:rPr>
          <w:b w:val="0"/>
          <w:szCs w:val="22"/>
          <w:lang w:val="hy-AM"/>
        </w:rPr>
        <w:t xml:space="preserve"> </w:t>
      </w:r>
      <w:r w:rsidRPr="007955BB">
        <w:rPr>
          <w:rFonts w:cs="Sylfaen"/>
          <w:b w:val="0"/>
          <w:szCs w:val="22"/>
          <w:lang w:val="hy-AM"/>
        </w:rPr>
        <w:t>պայքարի</w:t>
      </w:r>
      <w:r w:rsidRPr="007955BB">
        <w:rPr>
          <w:b w:val="0"/>
          <w:szCs w:val="22"/>
          <w:lang w:val="hy-AM"/>
        </w:rPr>
        <w:t xml:space="preserve"> </w:t>
      </w:r>
      <w:r w:rsidRPr="007955BB">
        <w:rPr>
          <w:rFonts w:cs="Sylfaen"/>
          <w:b w:val="0"/>
          <w:szCs w:val="22"/>
          <w:lang w:val="hy-AM"/>
        </w:rPr>
        <w:t>ոլորտում</w:t>
      </w:r>
      <w:r w:rsidRPr="007955BB">
        <w:rPr>
          <w:b w:val="0"/>
          <w:szCs w:val="22"/>
          <w:lang w:val="hy-AM"/>
        </w:rPr>
        <w:t xml:space="preserve"> </w:t>
      </w:r>
      <w:r w:rsidRPr="007955BB">
        <w:rPr>
          <w:rFonts w:cs="Sylfaen"/>
          <w:b w:val="0"/>
          <w:szCs w:val="22"/>
          <w:lang w:val="hy-AM"/>
        </w:rPr>
        <w:t>միջազ</w:t>
      </w:r>
      <w:r w:rsidRPr="007955BB">
        <w:rPr>
          <w:b w:val="0"/>
          <w:szCs w:val="22"/>
          <w:lang w:val="hy-AM"/>
        </w:rPr>
        <w:t>գ</w:t>
      </w:r>
      <w:r w:rsidRPr="007955BB">
        <w:rPr>
          <w:rFonts w:cs="Sylfaen"/>
          <w:b w:val="0"/>
          <w:szCs w:val="22"/>
          <w:lang w:val="hy-AM"/>
        </w:rPr>
        <w:t>ային</w:t>
      </w:r>
      <w:r w:rsidRPr="007955BB">
        <w:rPr>
          <w:b w:val="0"/>
          <w:szCs w:val="22"/>
          <w:lang w:val="hy-AM"/>
        </w:rPr>
        <w:t xml:space="preserve"> </w:t>
      </w:r>
      <w:r w:rsidRPr="007955BB">
        <w:rPr>
          <w:rFonts w:cs="Sylfaen"/>
          <w:b w:val="0"/>
          <w:szCs w:val="22"/>
          <w:lang w:val="hy-AM"/>
        </w:rPr>
        <w:t>ոստիկանական</w:t>
      </w:r>
      <w:r w:rsidRPr="007955BB">
        <w:rPr>
          <w:b w:val="0"/>
          <w:szCs w:val="22"/>
          <w:lang w:val="hy-AM"/>
        </w:rPr>
        <w:t xml:space="preserve"> </w:t>
      </w:r>
      <w:r w:rsidRPr="007955BB">
        <w:rPr>
          <w:rFonts w:cs="Sylfaen"/>
          <w:b w:val="0"/>
          <w:szCs w:val="22"/>
          <w:lang w:val="hy-AM"/>
        </w:rPr>
        <w:t>և</w:t>
      </w:r>
      <w:r w:rsidRPr="007955BB">
        <w:rPr>
          <w:b w:val="0"/>
          <w:szCs w:val="22"/>
          <w:lang w:val="hy-AM"/>
        </w:rPr>
        <w:t xml:space="preserve"> </w:t>
      </w:r>
      <w:r w:rsidRPr="007955BB">
        <w:rPr>
          <w:rFonts w:cs="Sylfaen"/>
          <w:b w:val="0"/>
          <w:szCs w:val="22"/>
          <w:lang w:val="hy-AM"/>
        </w:rPr>
        <w:t>այլ</w:t>
      </w:r>
      <w:r w:rsidRPr="007955BB">
        <w:rPr>
          <w:b w:val="0"/>
          <w:szCs w:val="22"/>
          <w:lang w:val="hy-AM"/>
        </w:rPr>
        <w:t xml:space="preserve"> </w:t>
      </w:r>
      <w:r w:rsidRPr="007955BB">
        <w:rPr>
          <w:rFonts w:cs="Sylfaen"/>
          <w:b w:val="0"/>
          <w:szCs w:val="22"/>
          <w:lang w:val="hy-AM"/>
        </w:rPr>
        <w:t>կառույցների</w:t>
      </w:r>
      <w:r w:rsidRPr="007955BB">
        <w:rPr>
          <w:b w:val="0"/>
          <w:szCs w:val="22"/>
          <w:lang w:val="hy-AM"/>
        </w:rPr>
        <w:t xml:space="preserve"> </w:t>
      </w:r>
      <w:r w:rsidRPr="007955BB">
        <w:rPr>
          <w:rFonts w:cs="Sylfaen"/>
          <w:b w:val="0"/>
          <w:szCs w:val="22"/>
          <w:lang w:val="hy-AM"/>
        </w:rPr>
        <w:t>հետ</w:t>
      </w:r>
      <w:r w:rsidRPr="007955BB">
        <w:rPr>
          <w:b w:val="0"/>
          <w:szCs w:val="22"/>
          <w:lang w:val="hy-AM"/>
        </w:rPr>
        <w:t xml:space="preserve"> </w:t>
      </w:r>
      <w:r w:rsidRPr="007955BB">
        <w:rPr>
          <w:rFonts w:cs="Sylfaen"/>
          <w:b w:val="0"/>
          <w:szCs w:val="22"/>
          <w:lang w:val="hy-AM"/>
        </w:rPr>
        <w:t>փոխհամա</w:t>
      </w:r>
      <w:r w:rsidRPr="007955BB">
        <w:rPr>
          <w:b w:val="0"/>
          <w:szCs w:val="22"/>
          <w:lang w:val="hy-AM"/>
        </w:rPr>
        <w:t>գ</w:t>
      </w:r>
      <w:r w:rsidRPr="007955BB">
        <w:rPr>
          <w:rFonts w:cs="Sylfaen"/>
          <w:b w:val="0"/>
          <w:szCs w:val="22"/>
          <w:lang w:val="hy-AM"/>
        </w:rPr>
        <w:t>ործակցության</w:t>
      </w:r>
      <w:r w:rsidRPr="007955BB">
        <w:rPr>
          <w:b w:val="0"/>
          <w:szCs w:val="22"/>
          <w:lang w:val="hy-AM"/>
        </w:rPr>
        <w:t xml:space="preserve"> </w:t>
      </w:r>
      <w:r w:rsidRPr="007955BB">
        <w:rPr>
          <w:rFonts w:cs="Sylfaen"/>
          <w:b w:val="0"/>
          <w:szCs w:val="22"/>
          <w:lang w:val="hy-AM"/>
        </w:rPr>
        <w:t>ակտիվացումը</w:t>
      </w:r>
      <w:r w:rsidRPr="007955BB">
        <w:rPr>
          <w:b w:val="0"/>
          <w:szCs w:val="22"/>
          <w:lang w:val="hy-AM"/>
        </w:rPr>
        <w:t>,</w:t>
      </w:r>
    </w:p>
    <w:p w:rsidR="002F19FD" w:rsidRPr="007955BB" w:rsidRDefault="002F19FD" w:rsidP="002F19FD">
      <w:pPr>
        <w:spacing w:before="0" w:line="276" w:lineRule="auto"/>
        <w:rPr>
          <w:b w:val="0"/>
          <w:szCs w:val="22"/>
          <w:lang w:val="hy-AM"/>
        </w:rPr>
      </w:pPr>
      <w:r w:rsidRPr="007955BB">
        <w:rPr>
          <w:rFonts w:cs="Sylfaen"/>
          <w:b w:val="0"/>
          <w:szCs w:val="22"/>
          <w:lang w:val="hy-AM"/>
        </w:rPr>
        <w:t>ժ) Ոստիկանությունում Քաղաքացիական</w:t>
      </w:r>
      <w:r w:rsidRPr="007955BB">
        <w:rPr>
          <w:b w:val="0"/>
          <w:szCs w:val="22"/>
          <w:lang w:val="hy-AM"/>
        </w:rPr>
        <w:t xml:space="preserve"> </w:t>
      </w:r>
      <w:r w:rsidRPr="007955BB">
        <w:rPr>
          <w:rFonts w:cs="Sylfaen"/>
          <w:b w:val="0"/>
          <w:szCs w:val="22"/>
          <w:lang w:val="hy-AM"/>
        </w:rPr>
        <w:t>ծառայության</w:t>
      </w:r>
      <w:r w:rsidRPr="007955BB">
        <w:rPr>
          <w:b w:val="0"/>
          <w:szCs w:val="22"/>
          <w:lang w:val="hy-AM"/>
        </w:rPr>
        <w:t xml:space="preserve"> </w:t>
      </w:r>
      <w:r w:rsidRPr="007955BB">
        <w:rPr>
          <w:rFonts w:cs="Sylfaen"/>
          <w:b w:val="0"/>
          <w:szCs w:val="22"/>
          <w:lang w:val="hy-AM"/>
        </w:rPr>
        <w:t>համակար</w:t>
      </w:r>
      <w:r w:rsidRPr="007955BB">
        <w:rPr>
          <w:b w:val="0"/>
          <w:szCs w:val="22"/>
          <w:lang w:val="hy-AM"/>
        </w:rPr>
        <w:t>գ</w:t>
      </w:r>
      <w:r w:rsidRPr="007955BB">
        <w:rPr>
          <w:rFonts w:cs="Sylfaen"/>
          <w:b w:val="0"/>
          <w:szCs w:val="22"/>
          <w:lang w:val="hy-AM"/>
        </w:rPr>
        <w:t>ի ներդրման արդյունավետությանն ուղղված իրավական և կազմակերպչական աշխատանքների իրականացում</w:t>
      </w:r>
      <w:r w:rsidRPr="007955BB">
        <w:rPr>
          <w:b w:val="0"/>
          <w:szCs w:val="22"/>
          <w:lang w:val="hy-AM"/>
        </w:rPr>
        <w:t>:</w:t>
      </w:r>
    </w:p>
    <w:p w:rsidR="002F19FD" w:rsidRPr="007955BB" w:rsidRDefault="002F19FD" w:rsidP="002F19FD">
      <w:pPr>
        <w:spacing w:before="0" w:line="276" w:lineRule="auto"/>
        <w:rPr>
          <w:b w:val="0"/>
          <w:bCs/>
          <w:szCs w:val="22"/>
          <w:lang w:val="hy-AM"/>
        </w:rPr>
      </w:pPr>
      <w:r w:rsidRPr="007955BB">
        <w:rPr>
          <w:rFonts w:cs="Arian AMU"/>
          <w:szCs w:val="22"/>
          <w:lang w:val="hy-AM"/>
        </w:rPr>
        <w:t>Ոստիկանության կրթական ծառայություններ</w:t>
      </w:r>
      <w:r w:rsidRPr="007955BB">
        <w:rPr>
          <w:rFonts w:cs="Arian AMU"/>
          <w:b w:val="0"/>
          <w:szCs w:val="22"/>
          <w:lang w:val="hy-AM"/>
        </w:rPr>
        <w:t xml:space="preserve"> ծրագրի գծով</w:t>
      </w:r>
      <w:r w:rsidRPr="007955BB">
        <w:rPr>
          <w:b w:val="0"/>
          <w:bCs/>
          <w:szCs w:val="22"/>
          <w:lang w:val="hy-AM"/>
        </w:rPr>
        <w:t xml:space="preserve"> հատկացումները կազմում են 1,571.7 </w:t>
      </w:r>
      <w:r w:rsidRPr="007955BB">
        <w:rPr>
          <w:b w:val="0"/>
          <w:szCs w:val="22"/>
          <w:lang w:val="hy-AM"/>
        </w:rPr>
        <w:t>մլն</w:t>
      </w:r>
      <w:r w:rsidRPr="007955BB">
        <w:rPr>
          <w:b w:val="0"/>
          <w:bCs/>
          <w:szCs w:val="22"/>
          <w:lang w:val="hy-AM"/>
        </w:rPr>
        <w:t xml:space="preserve"> դրամ: </w:t>
      </w:r>
    </w:p>
    <w:p w:rsidR="002F19FD" w:rsidRPr="007955BB" w:rsidRDefault="002F19FD" w:rsidP="002F19FD">
      <w:pPr>
        <w:spacing w:before="0" w:line="276" w:lineRule="auto"/>
        <w:rPr>
          <w:rFonts w:cs="Sylfaen"/>
          <w:b w:val="0"/>
          <w:szCs w:val="22"/>
          <w:lang w:val="hy-AM"/>
        </w:rPr>
      </w:pPr>
      <w:r w:rsidRPr="007955BB">
        <w:rPr>
          <w:rFonts w:cs="Sylfaen"/>
          <w:b w:val="0"/>
          <w:szCs w:val="22"/>
          <w:lang w:val="hy-AM"/>
        </w:rPr>
        <w:t>Ծրագրի նպատակն է՝ ոստիկանության ծառայողների մասնագիտական գիտելիքների և գործնական  հմտությունների ձևավորումը:</w:t>
      </w:r>
      <w:r w:rsidRPr="007955BB">
        <w:rPr>
          <w:b w:val="0"/>
          <w:lang w:val="hy-AM"/>
        </w:rPr>
        <w:t xml:space="preserve">  Ծրագրի շրջանակներում միջոցներ են նախատեսվել ո</w:t>
      </w:r>
      <w:r w:rsidRPr="007955BB">
        <w:rPr>
          <w:rFonts w:cs="Sylfaen"/>
          <w:b w:val="0"/>
          <w:szCs w:val="22"/>
          <w:lang w:val="hy-AM"/>
        </w:rPr>
        <w:t>ստիկանության ծառայողների նախնական, միջին և բարձրագույն մասնագիտական կրթության գծով:</w:t>
      </w:r>
    </w:p>
    <w:p w:rsidR="00787739" w:rsidRPr="007955BB" w:rsidRDefault="00787739" w:rsidP="00427D1F">
      <w:pPr>
        <w:keepNext/>
        <w:spacing w:before="0" w:line="276" w:lineRule="auto"/>
        <w:ind w:firstLine="0"/>
        <w:contextualSpacing w:val="0"/>
        <w:jc w:val="center"/>
        <w:outlineLvl w:val="2"/>
        <w:rPr>
          <w:sz w:val="24"/>
          <w:lang w:val="hy-AM"/>
        </w:rPr>
      </w:pPr>
      <w:bookmarkStart w:id="345" w:name="_Toc120805232"/>
      <w:r w:rsidRPr="007955BB">
        <w:rPr>
          <w:rFonts w:cs="Arial"/>
          <w:sz w:val="24"/>
          <w:lang w:val="hy-AM" w:eastAsia="en-US"/>
        </w:rPr>
        <w:t>ՀՀ ազգային անվտանգության ծառայություն</w:t>
      </w:r>
      <w:bookmarkEnd w:id="345"/>
    </w:p>
    <w:p w:rsidR="00C4421C" w:rsidRPr="00C4421C" w:rsidRDefault="00C4421C" w:rsidP="00C4421C">
      <w:pPr>
        <w:spacing w:line="276" w:lineRule="auto"/>
        <w:ind w:firstLine="562"/>
        <w:rPr>
          <w:rFonts w:cs="Tahoma"/>
          <w:b w:val="0"/>
          <w:iCs/>
          <w:noProof/>
          <w:lang w:val="it-IT"/>
        </w:rPr>
      </w:pPr>
      <w:r w:rsidRPr="00C4421C">
        <w:rPr>
          <w:rFonts w:cs="Tahoma"/>
          <w:b w:val="0"/>
          <w:iCs/>
          <w:noProof/>
          <w:lang w:val="it-IT"/>
        </w:rPr>
        <w:t xml:space="preserve">ՀՀ ազգային անվտանգությունը պետության և հասարակության այնպիսի կացություն է, երբ ապահովված է անձի, հասարակության և պետության անվտանգությունը, երկրի տարածքային ամբողջականությունը, ինքնիշխանությունը, սահմանադրական կարգը, տնտեսության բնականոն զարգացումը, հասարակության նյութական և հոգևոր արժեքների, քաղաքացիների իրավունքների և ազատությունների, շրջակա միջավայրի պաշտպանությունը ներքին և արտաքին սպառնալիքներից: </w:t>
      </w:r>
    </w:p>
    <w:p w:rsidR="00C4421C" w:rsidRPr="00C4421C" w:rsidRDefault="00C4421C" w:rsidP="00C4421C">
      <w:pPr>
        <w:spacing w:line="276" w:lineRule="auto"/>
        <w:ind w:firstLine="562"/>
        <w:rPr>
          <w:rFonts w:cs="Tahoma"/>
          <w:b w:val="0"/>
          <w:iCs/>
          <w:noProof/>
          <w:lang w:val="it-IT"/>
        </w:rPr>
      </w:pPr>
      <w:r w:rsidRPr="00C4421C">
        <w:rPr>
          <w:rFonts w:cs="Tahoma"/>
          <w:b w:val="0"/>
          <w:iCs/>
          <w:noProof/>
          <w:lang w:val="it-IT"/>
        </w:rPr>
        <w:t>Պետական պահպանության ծառայությունն իրականացնում է պետական պահպանության ենթակա օբյեկտների անվտանգության ապահովման և պետական օբյեկտների պաշտպանության ոլորտի գործառույթ, իրավական, կազմակերպական, պահպանական, ռեժիմային, օպերատիվ-հետախուզական, տեխնիկական և այլ միջոցառումների համակցմամբ:</w:t>
      </w:r>
    </w:p>
    <w:p w:rsidR="00C4421C" w:rsidRPr="00C4421C" w:rsidRDefault="00C4421C" w:rsidP="00C4421C">
      <w:pPr>
        <w:spacing w:line="276" w:lineRule="auto"/>
        <w:ind w:firstLine="562"/>
        <w:rPr>
          <w:rFonts w:cs="Tahoma"/>
          <w:b w:val="0"/>
          <w:iCs/>
          <w:noProof/>
          <w:lang w:val="it-IT"/>
        </w:rPr>
      </w:pPr>
      <w:r w:rsidRPr="00C4421C">
        <w:rPr>
          <w:rFonts w:cs="Tahoma"/>
          <w:b w:val="0"/>
          <w:iCs/>
          <w:noProof/>
          <w:lang w:val="hy-AM"/>
        </w:rPr>
        <w:t>ՀՀ</w:t>
      </w:r>
      <w:r w:rsidRPr="00C4421C">
        <w:rPr>
          <w:rFonts w:cs="Tahoma"/>
          <w:b w:val="0"/>
          <w:iCs/>
          <w:noProof/>
          <w:lang w:val="it-IT"/>
        </w:rPr>
        <w:t xml:space="preserve"> արտաքին և ներքին անվտանգության ապահովման կարևորագույն նախապայմանն անվտանգության միջավայրի համակողմանի գնահատման հիման վրա արտաքին, ներքին և պաշտպանական քաղաքականության ճկուն գործիքակազմի ձևավորումն է, ինչը հնարավորություն կտա Կառավարության քաղաքական առաջնահերթությունները կյանքի կոչելու համար ստեղծել կայուն և կանխատեսելի մթնոլորտ, իսկ արտաքին անվտանգության ապահովման երաշխիքների համար՝ բավարար կարողություններ: Կառավարության առաջնահերթությունների թվում են </w:t>
      </w:r>
      <w:r w:rsidRPr="00C4421C">
        <w:rPr>
          <w:rFonts w:cs="Tahoma"/>
          <w:b w:val="0"/>
          <w:iCs/>
          <w:noProof/>
          <w:lang w:val="hy-AM"/>
        </w:rPr>
        <w:t>ՀՀ</w:t>
      </w:r>
      <w:r w:rsidRPr="00C4421C">
        <w:rPr>
          <w:rFonts w:cs="Tahoma"/>
          <w:b w:val="0"/>
          <w:iCs/>
          <w:noProof/>
          <w:lang w:val="it-IT"/>
        </w:rPr>
        <w:t xml:space="preserve"> ռազմավարական նշանակության օբյեկտների և ենթակառուցվածքների անվտանգության ապահովումը, անվտանգության մակարդակի բարձրացմանն ուղղված խնդիրների և դրանցից բխող միջոցառումների իրականացումը:</w:t>
      </w:r>
    </w:p>
    <w:p w:rsidR="00C4421C" w:rsidRPr="00C4421C" w:rsidRDefault="00C4421C" w:rsidP="00C4421C">
      <w:pPr>
        <w:spacing w:line="276" w:lineRule="auto"/>
        <w:ind w:firstLine="562"/>
        <w:rPr>
          <w:rFonts w:cs="Tahoma"/>
          <w:b w:val="0"/>
          <w:iCs/>
          <w:noProof/>
          <w:lang w:val="it-IT"/>
        </w:rPr>
      </w:pPr>
      <w:r w:rsidRPr="00C4421C">
        <w:rPr>
          <w:rFonts w:cs="Tahoma"/>
          <w:b w:val="0"/>
          <w:iCs/>
          <w:noProof/>
          <w:lang w:val="it-IT"/>
        </w:rPr>
        <w:t>Ազգային անվտանգության ծառայության նպատակներն են հետախուզական գործունեությունը, հակահետախուզական գործունեությունը, ռազմական հակահետախուզական գործունեությունը, պետական սահմանի պահպանությունը և պայքարը հանցագործությունների դեմ: Այս առումով վերջնական արդյունքներն են ՀՀ ազգային անվտանգության սպառնալիքների մասին տեղեկությունների ստացումը և կանխարգելիչ միջոցառումների անցկացումը, օտարերկրյա պետությունների հատուկ ծառայությունների և այլ կազմակերպությունների, ինչպես նաև առանձին անձանց հետախուզական գործունեության բացահայտումը, կանխումը և խափանումը, օպերատիվ-հետախուզական միջոցառումների շնորհիվ հանցագործությունների բացահայտումը, կանխումը և խափանումը, ՀՀ պետական սահմանի անձեռնմխելիության ապահովումը, սահմանափակումների կանխումը և խափանումը:</w:t>
      </w:r>
    </w:p>
    <w:p w:rsidR="00C4421C" w:rsidRPr="00C4421C" w:rsidRDefault="00C4421C" w:rsidP="00C4421C">
      <w:pPr>
        <w:spacing w:line="276" w:lineRule="auto"/>
        <w:ind w:firstLine="562"/>
        <w:rPr>
          <w:rFonts w:cs="Tahoma"/>
          <w:b w:val="0"/>
          <w:iCs/>
          <w:noProof/>
          <w:lang w:val="it-IT"/>
        </w:rPr>
      </w:pPr>
      <w:r w:rsidRPr="00C4421C">
        <w:rPr>
          <w:rFonts w:cs="Tahoma"/>
          <w:b w:val="0"/>
          <w:iCs/>
          <w:noProof/>
          <w:lang w:val="it-IT"/>
        </w:rPr>
        <w:t>Պետական պահպանության ծառայության նպատակներն են` իր իրավասության սահմաններում կազմակերպել պետական պահպանության ենթակա օբյեկտների անվտանգությունը, կանխատեսել և բացահայտել այդ օբյեկտներին սպառնացող վտանգը և նրանց կանխարգելման համար իրականացնել համալիր միջոցառումներ, պետական պահպանության օբյեկտների անվտանգությունն ապահովել նրանց մշտական կամ ժամանակավոր գտնվելու վայրում, իր իրավասության շրջանակներում մասնակցել ահաբեկչության դեմ պայքարին, պաշտպանել պահպանվող օբյեկտները, կանխել և խափանել պահպանվող օբյեկտներում հանցագործությունները և այլ իրավախախտումները, ապահովել սահմանված անցագրային ռեժիմն ու կարգը:</w:t>
      </w:r>
    </w:p>
    <w:p w:rsidR="00C4421C" w:rsidRPr="00C4421C" w:rsidRDefault="00C4421C" w:rsidP="00C4421C">
      <w:pPr>
        <w:spacing w:line="276" w:lineRule="auto"/>
        <w:ind w:firstLine="562"/>
        <w:rPr>
          <w:rFonts w:cs="Tahoma"/>
          <w:b w:val="0"/>
          <w:iCs/>
          <w:noProof/>
          <w:lang w:val="it-IT"/>
        </w:rPr>
      </w:pPr>
      <w:r w:rsidRPr="00C4421C">
        <w:rPr>
          <w:rFonts w:cs="Tahoma"/>
          <w:b w:val="0"/>
          <w:iCs/>
          <w:noProof/>
          <w:lang w:val="it-IT"/>
        </w:rPr>
        <w:t>Ազգային անվտանգության գերակա վերջնական արդյունքն է ազգային անվտանգության ապահովումը, իսկ պետական պահպանության ծառայության գերակա վերջնական արդյունքն է հատուկ պետական պաշտպանության ենթակա օբյեկտների անվտանգության ապահովումը:</w:t>
      </w:r>
    </w:p>
    <w:p w:rsidR="00C4421C" w:rsidRPr="00C4421C" w:rsidRDefault="00C4421C" w:rsidP="00C4421C">
      <w:pPr>
        <w:spacing w:line="276" w:lineRule="auto"/>
        <w:ind w:firstLine="562"/>
        <w:rPr>
          <w:rFonts w:cs="Tahoma"/>
          <w:b w:val="0"/>
          <w:iCs/>
          <w:noProof/>
          <w:lang w:val="hy-AM"/>
        </w:rPr>
      </w:pPr>
      <w:r w:rsidRPr="00C4421C">
        <w:rPr>
          <w:rFonts w:cs="Tahoma"/>
          <w:b w:val="0"/>
          <w:iCs/>
          <w:noProof/>
          <w:lang w:val="hy-AM"/>
        </w:rPr>
        <w:t>Ազգային անվտանգության համակարգի զարգացման հիմնական միտումները</w:t>
      </w:r>
      <w:r w:rsidRPr="00C4421C">
        <w:rPr>
          <w:rFonts w:cs="Tahoma"/>
          <w:b w:val="0"/>
          <w:iCs/>
          <w:noProof/>
          <w:lang w:val="it-IT"/>
        </w:rPr>
        <w:t xml:space="preserve"> նպատակաուղղված են </w:t>
      </w:r>
      <w:r w:rsidRPr="00C4421C">
        <w:rPr>
          <w:rFonts w:cs="Tahoma"/>
          <w:b w:val="0"/>
          <w:iCs/>
          <w:noProof/>
          <w:lang w:val="hy-AM"/>
        </w:rPr>
        <w:t>ներքին և արտաքին սպառնալիքներից անձի, հասարակության ու պետության անվտանգության ապահովման</w:t>
      </w:r>
      <w:r w:rsidRPr="00C4421C">
        <w:rPr>
          <w:rFonts w:cs="Tahoma"/>
          <w:b w:val="0"/>
          <w:iCs/>
          <w:noProof/>
          <w:lang w:val="it-IT"/>
        </w:rPr>
        <w:t xml:space="preserve"> բարձրացմանը,</w:t>
      </w:r>
      <w:r w:rsidRPr="00C4421C">
        <w:rPr>
          <w:rFonts w:cs="Tahoma"/>
          <w:b w:val="0"/>
          <w:iCs/>
          <w:noProof/>
          <w:lang w:val="hy-AM"/>
        </w:rPr>
        <w:t xml:space="preserve"> տնտեսության ոլորտում կատարվող հանցագործությունների, այդ թվում՝ կոռուպցիայի տարբեր դրսևորումների և տնտեսության զարգացմանը խոչընդոտող այլ երևույթների ժամանակին հայտնաբերման ու բացահայտման աշխատանքների ակտիվացմանը</w:t>
      </w:r>
      <w:r w:rsidRPr="00C4421C">
        <w:rPr>
          <w:rFonts w:cs="Tahoma"/>
          <w:b w:val="0"/>
          <w:iCs/>
          <w:noProof/>
          <w:lang w:val="it-IT"/>
        </w:rPr>
        <w:t xml:space="preserve">, </w:t>
      </w:r>
      <w:r w:rsidRPr="00C4421C">
        <w:rPr>
          <w:rFonts w:cs="Tahoma"/>
          <w:b w:val="0"/>
          <w:iCs/>
          <w:noProof/>
          <w:lang w:val="hy-AM"/>
        </w:rPr>
        <w:t>օպերատիվ</w:t>
      </w:r>
      <w:r w:rsidRPr="00C4421C">
        <w:rPr>
          <w:rFonts w:cs="Tahoma"/>
          <w:b w:val="0"/>
          <w:iCs/>
          <w:noProof/>
          <w:lang w:val="it-IT"/>
        </w:rPr>
        <w:t xml:space="preserve"> </w:t>
      </w:r>
      <w:r w:rsidRPr="00C4421C">
        <w:rPr>
          <w:rFonts w:cs="Tahoma"/>
          <w:b w:val="0"/>
          <w:iCs/>
          <w:noProof/>
          <w:lang w:val="hy-AM"/>
        </w:rPr>
        <w:t>գործունեության</w:t>
      </w:r>
      <w:r w:rsidRPr="00C4421C">
        <w:rPr>
          <w:rFonts w:cs="Tahoma"/>
          <w:b w:val="0"/>
          <w:iCs/>
          <w:noProof/>
          <w:lang w:val="it-IT"/>
        </w:rPr>
        <w:t xml:space="preserve"> </w:t>
      </w:r>
      <w:r w:rsidRPr="00C4421C">
        <w:rPr>
          <w:rFonts w:cs="Tahoma"/>
          <w:b w:val="0"/>
          <w:iCs/>
          <w:noProof/>
          <w:lang w:val="hy-AM"/>
        </w:rPr>
        <w:t>արդյունավետության</w:t>
      </w:r>
      <w:r w:rsidRPr="00C4421C">
        <w:rPr>
          <w:rFonts w:cs="Tahoma"/>
          <w:b w:val="0"/>
          <w:iCs/>
          <w:noProof/>
          <w:lang w:val="it-IT"/>
        </w:rPr>
        <w:t xml:space="preserve"> </w:t>
      </w:r>
      <w:r w:rsidRPr="00C4421C">
        <w:rPr>
          <w:rFonts w:cs="Tahoma"/>
          <w:b w:val="0"/>
          <w:iCs/>
          <w:noProof/>
          <w:lang w:val="hy-AM"/>
        </w:rPr>
        <w:t>բարձրացմանը</w:t>
      </w:r>
      <w:r w:rsidRPr="00C4421C">
        <w:rPr>
          <w:rFonts w:cs="Tahoma"/>
          <w:b w:val="0"/>
          <w:iCs/>
          <w:noProof/>
          <w:lang w:val="it-IT"/>
        </w:rPr>
        <w:t xml:space="preserve">, </w:t>
      </w:r>
      <w:r w:rsidRPr="00C4421C">
        <w:rPr>
          <w:rFonts w:cs="Tahoma"/>
          <w:b w:val="0"/>
          <w:iCs/>
          <w:noProof/>
          <w:lang w:val="hy-AM"/>
        </w:rPr>
        <w:t>պետական սահմանի շուրջօրյա հսկման և պահպանման</w:t>
      </w:r>
      <w:r w:rsidRPr="00C4421C">
        <w:rPr>
          <w:rFonts w:cs="Tahoma"/>
          <w:b w:val="0"/>
          <w:iCs/>
          <w:noProof/>
          <w:lang w:val="it-IT"/>
        </w:rPr>
        <w:t xml:space="preserve"> բարելավմանը</w:t>
      </w:r>
      <w:r w:rsidRPr="00C4421C">
        <w:rPr>
          <w:rFonts w:cs="Tahoma"/>
          <w:b w:val="0"/>
          <w:iCs/>
          <w:noProof/>
          <w:lang w:val="hy-AM"/>
        </w:rPr>
        <w:t>, այդ թվում նաև էլեկտրոնային համակարգերով և ծառայողական կենդանիներով (շներ, ձիեր և այլն)</w:t>
      </w:r>
      <w:r w:rsidRPr="00C4421C">
        <w:rPr>
          <w:rFonts w:cs="Tahoma"/>
          <w:b w:val="0"/>
          <w:iCs/>
          <w:noProof/>
          <w:lang w:val="it-IT"/>
        </w:rPr>
        <w:t>, հետախուզության, հակահետախուզության ոլորտի ընդլայնմանը, օտարերկրյա հատուկ ծառայությունների կողմից օգտագործվող գործակալական ցանցի բացահայտման հետ կապված աշխատանքների զարգացմանը, գաղտնի տեղեկատվության անվտանգություն մակարդակի բարելավմանը, նոր համակարգի ներդրման ապահովմանը:</w:t>
      </w:r>
    </w:p>
    <w:p w:rsidR="00C4421C" w:rsidRPr="00C4421C" w:rsidRDefault="00C4421C" w:rsidP="00C4421C">
      <w:pPr>
        <w:spacing w:line="276" w:lineRule="auto"/>
        <w:ind w:firstLine="562"/>
        <w:rPr>
          <w:rFonts w:cs="Tahoma"/>
          <w:b w:val="0"/>
          <w:iCs/>
          <w:noProof/>
          <w:lang w:val="it-IT"/>
        </w:rPr>
      </w:pPr>
      <w:r w:rsidRPr="00C4421C">
        <w:rPr>
          <w:rFonts w:cs="Tahoma"/>
          <w:b w:val="0"/>
          <w:iCs/>
          <w:noProof/>
          <w:lang w:val="it-IT"/>
        </w:rPr>
        <w:t>Պետական պահպանության ծառայության զարգացման հիմնական միտումները նպատակաուղղված են պետական պահպանության ծառայության հատուկ պետական պաշտպանության ենթակա անձանց, ինչպես նաև մշտական և ժամանակավոր պահպանվող օբյեկտների անվտանգության ապահովման բարձրացմանը, պետական պահպանության ապահովման համար տեխնիկա-տնտեսական բազայի ամրապնդմանը, զենք զինամթերքի արդիականացմանը և ավելացմանը, անհրաժեշտ նյութական ռեսուրսներով ապահովմանը, զինծառայողների և զինվորական կոչում չունեցող աշխատակիցների ֆինանսական և սոցիալական վիճակի բարելավմանը, սեփական ուսումնական կենտրոնի և նրան կից անհրաժեշտ շինություններով, լրացուցիչ պահեստներով ապահովմանը, ինչպես նաև անձնակազմի մասնագիտական պատրաստականության բարձրացմանը:</w:t>
      </w:r>
    </w:p>
    <w:p w:rsidR="00C4421C" w:rsidRPr="00C4421C" w:rsidRDefault="00C4421C" w:rsidP="00C4421C">
      <w:pPr>
        <w:spacing w:line="276" w:lineRule="auto"/>
        <w:ind w:firstLine="562"/>
        <w:rPr>
          <w:rFonts w:cs="Tahoma"/>
          <w:b w:val="0"/>
          <w:bCs/>
          <w:iCs/>
          <w:noProof/>
          <w:lang w:val="hy-AM"/>
        </w:rPr>
      </w:pPr>
      <w:r w:rsidRPr="00C4421C">
        <w:rPr>
          <w:rFonts w:cs="Tahoma"/>
          <w:b w:val="0"/>
          <w:bCs/>
          <w:iCs/>
          <w:noProof/>
          <w:lang w:val="hy-AM"/>
        </w:rPr>
        <w:t xml:space="preserve">Ոլորտային քաղաքականության թիրախների (վերջնական արդյունքների) ապահովման նպատակով ՀՀ </w:t>
      </w:r>
      <w:r w:rsidRPr="00C4421C">
        <w:rPr>
          <w:rFonts w:cs="Tahoma"/>
          <w:b w:val="0"/>
          <w:bCs/>
          <w:iCs/>
          <w:noProof/>
        </w:rPr>
        <w:t>ազգային</w:t>
      </w:r>
      <w:r w:rsidRPr="00C4421C">
        <w:rPr>
          <w:rFonts w:cs="Tahoma"/>
          <w:b w:val="0"/>
          <w:bCs/>
          <w:iCs/>
          <w:noProof/>
          <w:lang w:val="it-IT"/>
        </w:rPr>
        <w:t xml:space="preserve"> </w:t>
      </w:r>
      <w:r w:rsidRPr="00C4421C">
        <w:rPr>
          <w:rFonts w:cs="Tahoma"/>
          <w:b w:val="0"/>
          <w:bCs/>
          <w:iCs/>
          <w:noProof/>
        </w:rPr>
        <w:t>անվտանգության</w:t>
      </w:r>
      <w:r w:rsidRPr="00C4421C">
        <w:rPr>
          <w:rFonts w:cs="Tahoma"/>
          <w:b w:val="0"/>
          <w:bCs/>
          <w:iCs/>
          <w:noProof/>
          <w:lang w:val="it-IT"/>
        </w:rPr>
        <w:t xml:space="preserve"> </w:t>
      </w:r>
      <w:r w:rsidRPr="00C4421C">
        <w:rPr>
          <w:rFonts w:cs="Tahoma"/>
          <w:b w:val="0"/>
          <w:bCs/>
          <w:iCs/>
          <w:noProof/>
        </w:rPr>
        <w:t>ծառայության</w:t>
      </w:r>
      <w:r w:rsidRPr="00C4421C">
        <w:rPr>
          <w:rFonts w:cs="Tahoma"/>
          <w:b w:val="0"/>
          <w:bCs/>
          <w:iCs/>
          <w:noProof/>
          <w:lang w:val="hy-AM"/>
        </w:rPr>
        <w:t xml:space="preserve"> կողմից իրականցվում են հետևյալ ծրագրերը.</w:t>
      </w:r>
    </w:p>
    <w:p w:rsidR="00E52A20" w:rsidRPr="007955BB" w:rsidRDefault="00E52A20" w:rsidP="00E52A20">
      <w:pPr>
        <w:spacing w:before="0" w:line="276" w:lineRule="auto"/>
        <w:ind w:firstLine="562"/>
        <w:rPr>
          <w:rFonts w:cs="Times LatArm"/>
          <w:b w:val="0"/>
          <w:lang w:val="it-IT"/>
        </w:rPr>
      </w:pPr>
      <w:r w:rsidRPr="007955BB">
        <w:rPr>
          <w:rFonts w:cs="Times LatArm"/>
          <w:lang w:val="hy-AM"/>
        </w:rPr>
        <w:t>Ազգային</w:t>
      </w:r>
      <w:r w:rsidRPr="007955BB">
        <w:rPr>
          <w:rFonts w:cs="Times LatArm"/>
          <w:lang w:val="it-IT"/>
        </w:rPr>
        <w:t xml:space="preserve"> </w:t>
      </w:r>
      <w:r w:rsidRPr="007955BB">
        <w:rPr>
          <w:rFonts w:cs="Times LatArm"/>
          <w:lang w:val="hy-AM"/>
        </w:rPr>
        <w:t>անվտանգություն</w:t>
      </w:r>
      <w:r w:rsidRPr="007955BB">
        <w:rPr>
          <w:rFonts w:cs="Times LatArm"/>
          <w:b w:val="0"/>
          <w:lang w:val="it-IT"/>
        </w:rPr>
        <w:t xml:space="preserve"> </w:t>
      </w:r>
      <w:r w:rsidRPr="007955BB">
        <w:rPr>
          <w:rFonts w:cs="Times LatArm"/>
          <w:b w:val="0"/>
          <w:lang w:val="hy-AM"/>
        </w:rPr>
        <w:t>ծրագիր</w:t>
      </w:r>
      <w:r w:rsidRPr="007955BB">
        <w:rPr>
          <w:rFonts w:cs="Times LatArm"/>
          <w:b w:val="0"/>
          <w:lang w:val="it-IT"/>
        </w:rPr>
        <w:t>, որի</w:t>
      </w:r>
      <w:r w:rsidRPr="007955BB">
        <w:rPr>
          <w:rFonts w:eastAsia="Calibri" w:cs="Sylfaen"/>
          <w:b w:val="0"/>
          <w:szCs w:val="20"/>
          <w:lang w:val="af-ZA"/>
        </w:rPr>
        <w:t xml:space="preserve"> շրջանակներում նախատեսվում է</w:t>
      </w:r>
      <w:r w:rsidRPr="007955BB">
        <w:rPr>
          <w:rFonts w:eastAsia="Calibri" w:cs="Sylfaen"/>
          <w:b w:val="0"/>
          <w:szCs w:val="20"/>
          <w:lang w:val="hy-AM"/>
        </w:rPr>
        <w:t xml:space="preserve"> </w:t>
      </w:r>
      <w:r w:rsidRPr="007955BB">
        <w:rPr>
          <w:b w:val="0"/>
          <w:szCs w:val="20"/>
          <w:lang w:val="hy-AM"/>
        </w:rPr>
        <w:t>ՀՀ</w:t>
      </w:r>
      <w:r w:rsidRPr="007955BB">
        <w:rPr>
          <w:b w:val="0"/>
          <w:szCs w:val="20"/>
          <w:lang w:val="it-IT"/>
        </w:rPr>
        <w:t xml:space="preserve"> 2023 </w:t>
      </w:r>
      <w:r w:rsidRPr="007955BB">
        <w:rPr>
          <w:b w:val="0"/>
          <w:szCs w:val="20"/>
          <w:lang w:val="hy-AM"/>
        </w:rPr>
        <w:t>թվականի</w:t>
      </w:r>
      <w:r w:rsidRPr="007955BB">
        <w:rPr>
          <w:b w:val="0"/>
          <w:szCs w:val="20"/>
          <w:lang w:val="it-IT"/>
        </w:rPr>
        <w:t xml:space="preserve"> </w:t>
      </w:r>
      <w:r w:rsidRPr="007955BB">
        <w:rPr>
          <w:b w:val="0"/>
          <w:szCs w:val="20"/>
          <w:lang w:val="hy-AM"/>
        </w:rPr>
        <w:t>պետական</w:t>
      </w:r>
      <w:r w:rsidRPr="007955BB">
        <w:rPr>
          <w:b w:val="0"/>
          <w:szCs w:val="20"/>
          <w:lang w:val="it-IT"/>
        </w:rPr>
        <w:t xml:space="preserve"> </w:t>
      </w:r>
      <w:r w:rsidRPr="007955BB">
        <w:rPr>
          <w:b w:val="0"/>
          <w:szCs w:val="20"/>
          <w:lang w:val="hy-AM"/>
        </w:rPr>
        <w:t>բյուջեի</w:t>
      </w:r>
      <w:r w:rsidRPr="007955BB">
        <w:rPr>
          <w:b w:val="0"/>
          <w:szCs w:val="20"/>
          <w:lang w:val="it-IT"/>
        </w:rPr>
        <w:t xml:space="preserve"> </w:t>
      </w:r>
      <w:r w:rsidRPr="007955BB">
        <w:rPr>
          <w:b w:val="0"/>
          <w:szCs w:val="20"/>
          <w:lang w:val="hy-AM"/>
        </w:rPr>
        <w:t>նախագծով</w:t>
      </w:r>
      <w:r w:rsidRPr="007955BB">
        <w:rPr>
          <w:rFonts w:eastAsia="Calibri" w:cs="Sylfaen"/>
          <w:b w:val="0"/>
          <w:szCs w:val="20"/>
          <w:lang w:val="hy-AM"/>
        </w:rPr>
        <w:t xml:space="preserve"> հատկացնել 4</w:t>
      </w:r>
      <w:r w:rsidRPr="00E52A20">
        <w:rPr>
          <w:rFonts w:eastAsia="Calibri" w:cs="Sylfaen"/>
          <w:b w:val="0"/>
          <w:szCs w:val="20"/>
          <w:lang w:val="hy-AM"/>
        </w:rPr>
        <w:t>4</w:t>
      </w:r>
      <w:r w:rsidRPr="007955BB">
        <w:rPr>
          <w:rFonts w:eastAsia="Calibri" w:cs="Sylfaen"/>
          <w:b w:val="0"/>
          <w:szCs w:val="20"/>
          <w:lang w:val="hy-AM"/>
        </w:rPr>
        <w:t>,</w:t>
      </w:r>
      <w:r w:rsidRPr="00E52A20">
        <w:rPr>
          <w:rFonts w:eastAsia="Calibri" w:cs="Sylfaen"/>
          <w:b w:val="0"/>
          <w:szCs w:val="20"/>
          <w:lang w:val="hy-AM"/>
        </w:rPr>
        <w:t>469</w:t>
      </w:r>
      <w:r w:rsidRPr="007955BB">
        <w:rPr>
          <w:rFonts w:eastAsia="Calibri" w:cs="Sylfaen"/>
          <w:b w:val="0"/>
          <w:szCs w:val="20"/>
          <w:lang w:val="hy-AM"/>
        </w:rPr>
        <w:t>.</w:t>
      </w:r>
      <w:r w:rsidRPr="00E52A20">
        <w:rPr>
          <w:rFonts w:eastAsia="Calibri" w:cs="Sylfaen"/>
          <w:b w:val="0"/>
          <w:szCs w:val="20"/>
          <w:lang w:val="hy-AM"/>
        </w:rPr>
        <w:t>6</w:t>
      </w:r>
      <w:r w:rsidRPr="007955BB">
        <w:rPr>
          <w:rFonts w:eastAsia="Calibri" w:cs="Sylfaen"/>
          <w:b w:val="0"/>
          <w:szCs w:val="20"/>
          <w:lang w:val="hy-AM"/>
        </w:rPr>
        <w:t xml:space="preserve"> մլն դրամ կամ</w:t>
      </w:r>
      <w:r>
        <w:rPr>
          <w:rFonts w:eastAsia="Calibri" w:cs="Sylfaen"/>
          <w:b w:val="0"/>
          <w:szCs w:val="20"/>
          <w:lang w:val="hy-AM"/>
        </w:rPr>
        <w:t xml:space="preserve"> </w:t>
      </w:r>
      <w:r w:rsidRPr="00E52A20">
        <w:rPr>
          <w:rFonts w:eastAsia="Calibri" w:cs="Sylfaen"/>
          <w:b w:val="0"/>
          <w:szCs w:val="20"/>
          <w:lang w:val="hy-AM"/>
        </w:rPr>
        <w:t>5</w:t>
      </w:r>
      <w:r w:rsidRPr="007955BB">
        <w:rPr>
          <w:rFonts w:eastAsia="Calibri" w:cs="Sylfaen"/>
          <w:b w:val="0"/>
          <w:szCs w:val="20"/>
          <w:lang w:val="hy-AM"/>
        </w:rPr>
        <w:t>,</w:t>
      </w:r>
      <w:r w:rsidRPr="00E52A20">
        <w:rPr>
          <w:rFonts w:eastAsia="Calibri" w:cs="Sylfaen"/>
          <w:b w:val="0"/>
          <w:szCs w:val="20"/>
          <w:lang w:val="hy-AM"/>
        </w:rPr>
        <w:t>838</w:t>
      </w:r>
      <w:r w:rsidRPr="007955BB">
        <w:rPr>
          <w:rFonts w:eastAsia="Calibri" w:cs="Sylfaen"/>
          <w:b w:val="0"/>
          <w:szCs w:val="20"/>
          <w:lang w:val="hy-AM"/>
        </w:rPr>
        <w:t>.</w:t>
      </w:r>
      <w:r w:rsidRPr="00E52A20">
        <w:rPr>
          <w:rFonts w:eastAsia="Calibri" w:cs="Sylfaen"/>
          <w:b w:val="0"/>
          <w:szCs w:val="20"/>
          <w:lang w:val="hy-AM"/>
        </w:rPr>
        <w:t>7</w:t>
      </w:r>
      <w:r w:rsidRPr="007955BB">
        <w:rPr>
          <w:rFonts w:eastAsia="Calibri" w:cs="Sylfaen"/>
          <w:b w:val="0"/>
          <w:szCs w:val="20"/>
          <w:lang w:val="hy-AM"/>
        </w:rPr>
        <w:t xml:space="preserve"> մլն դրամով ավել ՀՀ 2022 թվականի պետական բյուջեի նկատմամբ՝</w:t>
      </w:r>
      <w:r w:rsidRPr="007955BB">
        <w:rPr>
          <w:b w:val="0"/>
          <w:szCs w:val="20"/>
          <w:lang w:val="hy-AM"/>
        </w:rPr>
        <w:t xml:space="preserve"> պայմանավորված</w:t>
      </w:r>
      <w:r w:rsidRPr="007955BB">
        <w:rPr>
          <w:b w:val="0"/>
          <w:szCs w:val="20"/>
          <w:lang w:val="it-IT"/>
        </w:rPr>
        <w:t xml:space="preserve"> </w:t>
      </w:r>
      <w:r w:rsidRPr="007955BB">
        <w:rPr>
          <w:b w:val="0"/>
          <w:szCs w:val="20"/>
          <w:lang w:val="hy-AM"/>
        </w:rPr>
        <w:t>ծառայության</w:t>
      </w:r>
      <w:r w:rsidRPr="007955BB">
        <w:rPr>
          <w:b w:val="0"/>
          <w:szCs w:val="20"/>
          <w:lang w:val="it-IT"/>
        </w:rPr>
        <w:t xml:space="preserve"> </w:t>
      </w:r>
      <w:r w:rsidRPr="007955BB">
        <w:rPr>
          <w:b w:val="0"/>
          <w:szCs w:val="20"/>
          <w:lang w:val="hy-AM"/>
        </w:rPr>
        <w:t>բնականոն</w:t>
      </w:r>
      <w:r w:rsidRPr="007955BB">
        <w:rPr>
          <w:b w:val="0"/>
          <w:szCs w:val="20"/>
          <w:lang w:val="it-IT"/>
        </w:rPr>
        <w:t xml:space="preserve"> </w:t>
      </w:r>
      <w:r w:rsidRPr="007955BB">
        <w:rPr>
          <w:b w:val="0"/>
          <w:szCs w:val="20"/>
          <w:lang w:val="hy-AM"/>
        </w:rPr>
        <w:t>գործունեության</w:t>
      </w:r>
      <w:r w:rsidRPr="007955BB">
        <w:rPr>
          <w:b w:val="0"/>
          <w:szCs w:val="20"/>
          <w:lang w:val="it-IT"/>
        </w:rPr>
        <w:t xml:space="preserve"> </w:t>
      </w:r>
      <w:r w:rsidRPr="007955BB">
        <w:rPr>
          <w:b w:val="0"/>
          <w:szCs w:val="20"/>
          <w:lang w:val="hy-AM"/>
        </w:rPr>
        <w:t>ապահովման</w:t>
      </w:r>
      <w:r w:rsidRPr="007955BB">
        <w:rPr>
          <w:b w:val="0"/>
          <w:szCs w:val="20"/>
          <w:lang w:val="it-IT"/>
        </w:rPr>
        <w:t xml:space="preserve"> </w:t>
      </w:r>
      <w:r w:rsidRPr="007955BB">
        <w:rPr>
          <w:b w:val="0"/>
          <w:szCs w:val="20"/>
          <w:lang w:val="hy-AM"/>
        </w:rPr>
        <w:t>անհրաժեշտությամբ</w:t>
      </w:r>
      <w:r w:rsidRPr="007955BB">
        <w:rPr>
          <w:b w:val="0"/>
          <w:szCs w:val="20"/>
          <w:lang w:val="it-IT"/>
        </w:rPr>
        <w:t>:</w:t>
      </w:r>
    </w:p>
    <w:p w:rsidR="009D0875" w:rsidRPr="007955BB" w:rsidRDefault="009D0875" w:rsidP="009D0875">
      <w:pPr>
        <w:spacing w:before="0" w:line="276" w:lineRule="auto"/>
        <w:ind w:firstLine="562"/>
        <w:rPr>
          <w:b w:val="0"/>
          <w:szCs w:val="20"/>
          <w:lang w:val="hy-AM"/>
        </w:rPr>
      </w:pPr>
      <w:r w:rsidRPr="007955BB">
        <w:rPr>
          <w:rFonts w:cs="Times LatArm"/>
        </w:rPr>
        <w:t>Պետական</w:t>
      </w:r>
      <w:r w:rsidRPr="007955BB">
        <w:rPr>
          <w:rFonts w:cs="Times LatArm"/>
          <w:lang w:val="af-ZA"/>
        </w:rPr>
        <w:t xml:space="preserve"> </w:t>
      </w:r>
      <w:r w:rsidRPr="007955BB">
        <w:rPr>
          <w:rFonts w:cs="Times LatArm"/>
        </w:rPr>
        <w:t>պահպ</w:t>
      </w:r>
      <w:r w:rsidRPr="007955BB">
        <w:rPr>
          <w:rFonts w:cs="Times LatArm"/>
          <w:lang w:val="hy-AM"/>
        </w:rPr>
        <w:t>ա</w:t>
      </w:r>
      <w:r w:rsidRPr="007955BB">
        <w:rPr>
          <w:rFonts w:cs="Times LatArm"/>
        </w:rPr>
        <w:t>նության</w:t>
      </w:r>
      <w:r w:rsidRPr="007955BB">
        <w:rPr>
          <w:rFonts w:cs="Times LatArm"/>
          <w:lang w:val="af-ZA"/>
        </w:rPr>
        <w:t xml:space="preserve"> </w:t>
      </w:r>
      <w:r w:rsidRPr="007955BB">
        <w:rPr>
          <w:rFonts w:cs="Times LatArm"/>
        </w:rPr>
        <w:t>ապահովում</w:t>
      </w:r>
      <w:r w:rsidRPr="007955BB">
        <w:rPr>
          <w:rFonts w:cs="Times LatArm"/>
          <w:b w:val="0"/>
          <w:lang w:val="af-ZA"/>
        </w:rPr>
        <w:t xml:space="preserve"> </w:t>
      </w:r>
      <w:r w:rsidRPr="007955BB">
        <w:rPr>
          <w:rFonts w:cs="Times LatArm"/>
          <w:b w:val="0"/>
          <w:lang w:val="hy-AM"/>
        </w:rPr>
        <w:t>ծրագիր</w:t>
      </w:r>
      <w:r w:rsidRPr="007955BB">
        <w:rPr>
          <w:rFonts w:cs="Times LatArm"/>
          <w:b w:val="0"/>
          <w:lang w:val="af-ZA"/>
        </w:rPr>
        <w:t>,</w:t>
      </w:r>
      <w:r w:rsidRPr="007955BB">
        <w:rPr>
          <w:rFonts w:cs="Times LatArm"/>
          <w:b w:val="0"/>
          <w:lang w:val="it-IT"/>
        </w:rPr>
        <w:t xml:space="preserve"> որի</w:t>
      </w:r>
      <w:r w:rsidRPr="007955BB">
        <w:rPr>
          <w:rFonts w:eastAsia="Calibri" w:cs="Sylfaen"/>
          <w:b w:val="0"/>
          <w:szCs w:val="20"/>
          <w:lang w:val="af-ZA"/>
        </w:rPr>
        <w:t xml:space="preserve"> շրջանակներում նախատեսվում է</w:t>
      </w:r>
      <w:r w:rsidRPr="007955BB">
        <w:rPr>
          <w:rFonts w:eastAsia="Calibri" w:cs="Sylfaen"/>
          <w:b w:val="0"/>
          <w:szCs w:val="20"/>
          <w:lang w:val="hy-AM"/>
        </w:rPr>
        <w:t xml:space="preserve"> </w:t>
      </w:r>
      <w:r w:rsidRPr="007955BB">
        <w:rPr>
          <w:b w:val="0"/>
          <w:szCs w:val="20"/>
          <w:lang w:val="hy-AM"/>
        </w:rPr>
        <w:t>ՀՀ</w:t>
      </w:r>
      <w:r w:rsidRPr="007955BB">
        <w:rPr>
          <w:b w:val="0"/>
          <w:szCs w:val="20"/>
          <w:lang w:val="it-IT"/>
        </w:rPr>
        <w:t xml:space="preserve"> 2023 </w:t>
      </w:r>
      <w:r w:rsidRPr="007955BB">
        <w:rPr>
          <w:b w:val="0"/>
          <w:szCs w:val="20"/>
          <w:lang w:val="hy-AM"/>
        </w:rPr>
        <w:t>թվականի</w:t>
      </w:r>
      <w:r w:rsidRPr="007955BB">
        <w:rPr>
          <w:b w:val="0"/>
          <w:szCs w:val="20"/>
          <w:lang w:val="it-IT"/>
        </w:rPr>
        <w:t xml:space="preserve"> </w:t>
      </w:r>
      <w:r w:rsidRPr="007955BB">
        <w:rPr>
          <w:b w:val="0"/>
          <w:szCs w:val="20"/>
          <w:lang w:val="hy-AM"/>
        </w:rPr>
        <w:t>պետական</w:t>
      </w:r>
      <w:r w:rsidRPr="007955BB">
        <w:rPr>
          <w:b w:val="0"/>
          <w:szCs w:val="20"/>
          <w:lang w:val="it-IT"/>
        </w:rPr>
        <w:t xml:space="preserve"> </w:t>
      </w:r>
      <w:r w:rsidRPr="007955BB">
        <w:rPr>
          <w:b w:val="0"/>
          <w:szCs w:val="20"/>
          <w:lang w:val="hy-AM"/>
        </w:rPr>
        <w:t>բյուջեի</w:t>
      </w:r>
      <w:r w:rsidRPr="007955BB">
        <w:rPr>
          <w:b w:val="0"/>
          <w:szCs w:val="20"/>
          <w:lang w:val="it-IT"/>
        </w:rPr>
        <w:t xml:space="preserve"> </w:t>
      </w:r>
      <w:r w:rsidRPr="007955BB">
        <w:rPr>
          <w:b w:val="0"/>
          <w:szCs w:val="20"/>
          <w:lang w:val="hy-AM"/>
        </w:rPr>
        <w:t>նախագծով</w:t>
      </w:r>
      <w:r w:rsidRPr="007955BB">
        <w:rPr>
          <w:rFonts w:eastAsia="Calibri" w:cs="Sylfaen"/>
          <w:b w:val="0"/>
          <w:szCs w:val="20"/>
          <w:lang w:val="hy-AM"/>
        </w:rPr>
        <w:t xml:space="preserve"> հատկացնել 4,</w:t>
      </w:r>
      <w:r w:rsidRPr="009D0875">
        <w:rPr>
          <w:rFonts w:eastAsia="Calibri" w:cs="Sylfaen"/>
          <w:b w:val="0"/>
          <w:szCs w:val="20"/>
          <w:lang w:val="it-IT"/>
        </w:rPr>
        <w:t>464</w:t>
      </w:r>
      <w:r w:rsidRPr="007955BB">
        <w:rPr>
          <w:rFonts w:eastAsia="Calibri" w:cs="Sylfaen"/>
          <w:b w:val="0"/>
          <w:szCs w:val="20"/>
          <w:lang w:val="hy-AM"/>
        </w:rPr>
        <w:t>.</w:t>
      </w:r>
      <w:r w:rsidRPr="009D0875">
        <w:rPr>
          <w:rFonts w:eastAsia="Calibri" w:cs="Sylfaen"/>
          <w:b w:val="0"/>
          <w:szCs w:val="20"/>
          <w:lang w:val="it-IT"/>
        </w:rPr>
        <w:t>6</w:t>
      </w:r>
      <w:r w:rsidRPr="007955BB">
        <w:rPr>
          <w:rFonts w:eastAsia="Calibri" w:cs="Sylfaen"/>
          <w:b w:val="0"/>
          <w:szCs w:val="20"/>
          <w:lang w:val="hy-AM"/>
        </w:rPr>
        <w:t xml:space="preserve"> մլն դրամ կամ </w:t>
      </w:r>
      <w:r w:rsidRPr="00317967">
        <w:rPr>
          <w:rFonts w:eastAsia="Calibri" w:cs="Sylfaen"/>
          <w:b w:val="0"/>
          <w:szCs w:val="20"/>
          <w:lang w:val="it-IT"/>
        </w:rPr>
        <w:t>4</w:t>
      </w:r>
      <w:r>
        <w:rPr>
          <w:rFonts w:eastAsia="Calibri" w:cs="Sylfaen"/>
          <w:b w:val="0"/>
          <w:szCs w:val="20"/>
          <w:lang w:val="it-IT"/>
        </w:rPr>
        <w:t>26</w:t>
      </w:r>
      <w:r w:rsidRPr="00317967">
        <w:rPr>
          <w:rFonts w:eastAsia="Calibri" w:cs="Sylfaen"/>
          <w:b w:val="0"/>
          <w:szCs w:val="20"/>
          <w:lang w:val="it-IT"/>
        </w:rPr>
        <w:t>.</w:t>
      </w:r>
      <w:r>
        <w:rPr>
          <w:rFonts w:eastAsia="Calibri" w:cs="Sylfaen"/>
          <w:b w:val="0"/>
          <w:szCs w:val="20"/>
          <w:lang w:val="it-IT"/>
        </w:rPr>
        <w:t>5</w:t>
      </w:r>
      <w:r w:rsidRPr="007955BB">
        <w:rPr>
          <w:rFonts w:eastAsia="Calibri" w:cs="Sylfaen"/>
          <w:b w:val="0"/>
          <w:szCs w:val="20"/>
          <w:lang w:val="hy-AM"/>
        </w:rPr>
        <w:t xml:space="preserve"> մլն դրամով ավել ՀՀ 202</w:t>
      </w:r>
      <w:r w:rsidRPr="007955BB">
        <w:rPr>
          <w:rFonts w:eastAsia="Calibri" w:cs="Sylfaen"/>
          <w:b w:val="0"/>
          <w:szCs w:val="20"/>
          <w:lang w:val="it-IT"/>
        </w:rPr>
        <w:t>2</w:t>
      </w:r>
      <w:r w:rsidRPr="007955BB">
        <w:rPr>
          <w:rFonts w:eastAsia="Calibri" w:cs="Sylfaen"/>
          <w:b w:val="0"/>
          <w:szCs w:val="20"/>
          <w:lang w:val="hy-AM"/>
        </w:rPr>
        <w:t xml:space="preserve"> թվականի պետական բյուջեի նկատմամբ՝</w:t>
      </w:r>
      <w:r w:rsidRPr="007955BB">
        <w:rPr>
          <w:b w:val="0"/>
          <w:szCs w:val="20"/>
          <w:lang w:val="hy-AM"/>
        </w:rPr>
        <w:t xml:space="preserve"> պայմանավորված</w:t>
      </w:r>
      <w:r w:rsidRPr="007955BB">
        <w:rPr>
          <w:b w:val="0"/>
          <w:szCs w:val="20"/>
          <w:lang w:val="it-IT"/>
        </w:rPr>
        <w:t xml:space="preserve"> </w:t>
      </w:r>
      <w:r w:rsidRPr="007955BB">
        <w:rPr>
          <w:b w:val="0"/>
          <w:szCs w:val="20"/>
          <w:lang w:val="hy-AM"/>
        </w:rPr>
        <w:t>թափուր</w:t>
      </w:r>
      <w:r w:rsidRPr="007955BB">
        <w:rPr>
          <w:b w:val="0"/>
          <w:szCs w:val="20"/>
          <w:lang w:val="af-ZA"/>
        </w:rPr>
        <w:t xml:space="preserve"> </w:t>
      </w:r>
      <w:r w:rsidRPr="007955BB">
        <w:rPr>
          <w:b w:val="0"/>
          <w:szCs w:val="20"/>
          <w:lang w:val="hy-AM"/>
        </w:rPr>
        <w:t>հաստիքների</w:t>
      </w:r>
      <w:r w:rsidRPr="007955BB">
        <w:rPr>
          <w:b w:val="0"/>
          <w:szCs w:val="20"/>
          <w:lang w:val="af-ZA"/>
        </w:rPr>
        <w:t xml:space="preserve"> </w:t>
      </w:r>
      <w:r w:rsidRPr="007955BB">
        <w:rPr>
          <w:b w:val="0"/>
          <w:szCs w:val="20"/>
          <w:lang w:val="hy-AM"/>
        </w:rPr>
        <w:t>համալրմամբ</w:t>
      </w:r>
      <w:r w:rsidRPr="007955BB">
        <w:rPr>
          <w:b w:val="0"/>
          <w:szCs w:val="20"/>
          <w:lang w:val="it-IT"/>
        </w:rPr>
        <w:t>:</w:t>
      </w:r>
    </w:p>
    <w:p w:rsidR="009D0875" w:rsidRPr="007955BB" w:rsidRDefault="009D0875" w:rsidP="009D0875">
      <w:pPr>
        <w:spacing w:line="276" w:lineRule="auto"/>
        <w:ind w:firstLine="562"/>
        <w:rPr>
          <w:rFonts w:cs="Times LatArm"/>
          <w:b w:val="0"/>
          <w:sz w:val="24"/>
          <w:lang w:val="hy-AM"/>
        </w:rPr>
      </w:pPr>
    </w:p>
    <w:p w:rsidR="00FC7885" w:rsidRPr="007955BB" w:rsidRDefault="00FC7885" w:rsidP="00427D1F">
      <w:pPr>
        <w:keepNext/>
        <w:spacing w:before="0" w:line="276" w:lineRule="auto"/>
        <w:ind w:firstLine="0"/>
        <w:contextualSpacing w:val="0"/>
        <w:jc w:val="center"/>
        <w:outlineLvl w:val="2"/>
        <w:rPr>
          <w:rFonts w:cs="Arial"/>
          <w:sz w:val="24"/>
          <w:lang w:val="hy-AM" w:eastAsia="en-US"/>
        </w:rPr>
      </w:pPr>
      <w:bookmarkStart w:id="346" w:name="_Toc120805233"/>
      <w:r w:rsidRPr="007955BB">
        <w:rPr>
          <w:rFonts w:cs="Arial"/>
          <w:sz w:val="24"/>
          <w:lang w:val="hy-AM" w:eastAsia="en-US"/>
        </w:rPr>
        <w:t>ՀՀ վարչապետի աշխատակազմ</w:t>
      </w:r>
      <w:bookmarkEnd w:id="346"/>
    </w:p>
    <w:p w:rsidR="00C31BDB" w:rsidRPr="007955BB" w:rsidRDefault="00C31BDB" w:rsidP="00530B17">
      <w:pPr>
        <w:spacing w:before="0" w:line="276" w:lineRule="auto"/>
        <w:rPr>
          <w:b w:val="0"/>
          <w:color w:val="000000"/>
          <w:szCs w:val="22"/>
          <w:lang w:val="hy-AM" w:eastAsia="en-US"/>
        </w:rPr>
      </w:pPr>
      <w:r w:rsidRPr="00C43BF7">
        <w:rPr>
          <w:rFonts w:cs="Sylfaen"/>
          <w:b w:val="0"/>
          <w:color w:val="000000"/>
          <w:szCs w:val="22"/>
          <w:lang w:val="hy-AM"/>
        </w:rPr>
        <w:t xml:space="preserve">ՀՀ վարչապետի աշխատակազմի գծով </w:t>
      </w:r>
      <w:r w:rsidRPr="007955BB">
        <w:rPr>
          <w:b w:val="0"/>
          <w:color w:val="000000"/>
          <w:szCs w:val="22"/>
          <w:lang w:val="hy-AM" w:eastAsia="en-US"/>
        </w:rPr>
        <w:t>ՀՀ 2023 թվականի պետական բյուջեի Նախագծով նախատեսվում է հատկացնել 19,</w:t>
      </w:r>
      <w:r w:rsidR="00DE7B73" w:rsidRPr="007955BB">
        <w:rPr>
          <w:b w:val="0"/>
          <w:color w:val="000000"/>
          <w:szCs w:val="22"/>
          <w:lang w:val="hy-AM" w:eastAsia="en-US"/>
        </w:rPr>
        <w:t>8</w:t>
      </w:r>
      <w:r w:rsidR="00A43254" w:rsidRPr="00A43254">
        <w:rPr>
          <w:b w:val="0"/>
          <w:color w:val="000000"/>
          <w:szCs w:val="22"/>
          <w:lang w:val="hy-AM" w:eastAsia="en-US"/>
        </w:rPr>
        <w:t>46</w:t>
      </w:r>
      <w:r w:rsidRPr="007955BB">
        <w:rPr>
          <w:b w:val="0"/>
          <w:color w:val="000000"/>
          <w:szCs w:val="22"/>
          <w:lang w:val="hy-AM" w:eastAsia="en-US"/>
        </w:rPr>
        <w:t>.</w:t>
      </w:r>
      <w:r w:rsidR="00A43254" w:rsidRPr="00A43254">
        <w:rPr>
          <w:b w:val="0"/>
          <w:color w:val="000000"/>
          <w:szCs w:val="22"/>
          <w:lang w:val="hy-AM" w:eastAsia="en-US"/>
        </w:rPr>
        <w:t>1</w:t>
      </w:r>
      <w:r w:rsidRPr="007955BB">
        <w:rPr>
          <w:b w:val="0"/>
          <w:color w:val="000000"/>
          <w:szCs w:val="22"/>
          <w:lang w:val="hy-AM" w:eastAsia="en-US"/>
        </w:rPr>
        <w:t xml:space="preserve"> մլն դրամ (ներառյալ կառավարման ապարատի պահպանման ծախսերը):</w:t>
      </w:r>
      <w:r w:rsidRPr="007955BB">
        <w:rPr>
          <w:rFonts w:cs="Sylfaen"/>
          <w:b w:val="0"/>
          <w:szCs w:val="22"/>
          <w:lang w:val="hy-AM"/>
        </w:rPr>
        <w:t xml:space="preserve"> Հ</w:t>
      </w:r>
      <w:r w:rsidRPr="007955BB">
        <w:rPr>
          <w:rFonts w:cs="Sylfaen"/>
          <w:b w:val="0"/>
          <w:szCs w:val="22"/>
          <w:lang w:val="af-ZA"/>
        </w:rPr>
        <w:t>ատկացվելիք միջոցներն ուղղվելու են հետևյալ ծրագրերի իրականացմանը.</w:t>
      </w:r>
      <w:r w:rsidRPr="007955BB">
        <w:rPr>
          <w:b w:val="0"/>
          <w:lang w:val="hy-AM"/>
        </w:rPr>
        <w:t xml:space="preserve"> </w:t>
      </w:r>
    </w:p>
    <w:p w:rsidR="00C31BDB" w:rsidRPr="007955BB" w:rsidRDefault="00C31BDB" w:rsidP="00530B17">
      <w:pPr>
        <w:spacing w:before="0" w:line="276" w:lineRule="auto"/>
        <w:rPr>
          <w:b w:val="0"/>
          <w:lang w:val="hy-AM"/>
        </w:rPr>
      </w:pPr>
      <w:r w:rsidRPr="007955BB">
        <w:rPr>
          <w:rFonts w:cs="Sylfaen"/>
          <w:bCs/>
          <w:szCs w:val="22"/>
          <w:lang w:val="af-ZA"/>
        </w:rPr>
        <w:t>ՀՀ Վարչապետի լիազորությունների իրականացման ապահովում</w:t>
      </w:r>
      <w:r w:rsidRPr="007955BB">
        <w:rPr>
          <w:rFonts w:cs="Sylfaen"/>
          <w:b w:val="0"/>
          <w:bCs/>
          <w:szCs w:val="22"/>
          <w:lang w:val="af-ZA"/>
        </w:rPr>
        <w:t xml:space="preserve"> </w:t>
      </w:r>
      <w:r w:rsidRPr="007955BB">
        <w:rPr>
          <w:b w:val="0"/>
          <w:lang w:val="hy-AM"/>
        </w:rPr>
        <w:t xml:space="preserve">ծրագրի գծով նախատեսվել է հատկացնել 1,915.7 մլն դրամ (առանց </w:t>
      </w:r>
      <w:r w:rsidRPr="007955BB">
        <w:rPr>
          <w:b w:val="0"/>
          <w:color w:val="000000"/>
          <w:szCs w:val="22"/>
          <w:lang w:val="hy-AM" w:eastAsia="en-US"/>
        </w:rPr>
        <w:t>կառավարման ապարատի պահպանման ծախսերի</w:t>
      </w:r>
      <w:r w:rsidRPr="007955BB">
        <w:rPr>
          <w:b w:val="0"/>
          <w:lang w:val="hy-AM"/>
        </w:rPr>
        <w:t>):</w:t>
      </w:r>
    </w:p>
    <w:p w:rsidR="00C31BDB" w:rsidRPr="00C43BF7" w:rsidRDefault="00C31BDB" w:rsidP="00530B17">
      <w:pPr>
        <w:tabs>
          <w:tab w:val="left" w:pos="851"/>
        </w:tabs>
        <w:spacing w:before="0" w:line="276" w:lineRule="auto"/>
        <w:rPr>
          <w:rFonts w:cs="Sylfaen"/>
          <w:b w:val="0"/>
          <w:bCs/>
          <w:szCs w:val="22"/>
          <w:lang w:val="hy-AM"/>
        </w:rPr>
      </w:pPr>
      <w:r w:rsidRPr="00C43BF7">
        <w:rPr>
          <w:rFonts w:cs="Sylfaen"/>
          <w:b w:val="0"/>
          <w:bCs/>
          <w:szCs w:val="22"/>
          <w:lang w:val="hy-AM"/>
        </w:rPr>
        <w:t>Ծրագրի նպատակներից է աջակցել օտարերկրյա ուղղակի ներդրումների ներգրավմանը, ներդրողներին խորհրդատվության և աջակցության տրամադրմանը, օտարերկրյա ներդրումային ծրագրերին բաժնեմասնակցությանը, ՊՄԳ ոլորտի զարգացման խթանմանը, ՊՄԳ ծրագրերի զարգացման աջակցությանը:</w:t>
      </w:r>
    </w:p>
    <w:p w:rsidR="00C31BDB" w:rsidRPr="00C43BF7" w:rsidRDefault="00C31BDB" w:rsidP="00530B17">
      <w:pPr>
        <w:spacing w:line="276" w:lineRule="auto"/>
        <w:rPr>
          <w:rFonts w:cs="Sylfaen"/>
          <w:b w:val="0"/>
          <w:bCs/>
          <w:szCs w:val="22"/>
          <w:lang w:val="hy-AM"/>
        </w:rPr>
      </w:pPr>
      <w:r w:rsidRPr="007955BB">
        <w:rPr>
          <w:rFonts w:cs="Times Armenian"/>
          <w:szCs w:val="22"/>
          <w:lang w:val="af-ZA"/>
        </w:rPr>
        <w:t xml:space="preserve">Տեսչական վերահսկողության </w:t>
      </w:r>
      <w:r w:rsidRPr="007955BB">
        <w:rPr>
          <w:b w:val="0"/>
          <w:lang w:val="hy-AM"/>
        </w:rPr>
        <w:t xml:space="preserve">ծրագրի գծով նախատեսվել է հատկացնել </w:t>
      </w:r>
      <w:r w:rsidRPr="00C43BF7">
        <w:rPr>
          <w:b w:val="0"/>
          <w:lang w:val="hy-AM"/>
        </w:rPr>
        <w:t>629.7</w:t>
      </w:r>
      <w:r w:rsidRPr="007955BB">
        <w:rPr>
          <w:b w:val="0"/>
          <w:lang w:val="hy-AM"/>
        </w:rPr>
        <w:t xml:space="preserve"> մլն դրամ</w:t>
      </w:r>
      <w:r w:rsidRPr="00C43BF7">
        <w:rPr>
          <w:b w:val="0"/>
          <w:lang w:val="hy-AM"/>
        </w:rPr>
        <w:t xml:space="preserve"> </w:t>
      </w:r>
      <w:r w:rsidRPr="007955BB">
        <w:rPr>
          <w:b w:val="0"/>
          <w:lang w:val="hy-AM"/>
        </w:rPr>
        <w:t>(</w:t>
      </w:r>
      <w:r w:rsidRPr="00C43BF7">
        <w:rPr>
          <w:rFonts w:cs="Sylfaen"/>
          <w:b w:val="0"/>
          <w:bCs/>
          <w:szCs w:val="22"/>
          <w:lang w:val="hy-AM"/>
        </w:rPr>
        <w:t>առանց կառավարման ապարատի պահպանման ծախսերի):</w:t>
      </w:r>
    </w:p>
    <w:p w:rsidR="00C31BDB" w:rsidRPr="007955BB" w:rsidRDefault="00C31BDB" w:rsidP="00530B17">
      <w:pPr>
        <w:spacing w:line="276" w:lineRule="auto"/>
        <w:rPr>
          <w:rFonts w:cs="Sylfaen"/>
          <w:b w:val="0"/>
          <w:bCs/>
          <w:szCs w:val="22"/>
          <w:lang w:val="hy-AM"/>
        </w:rPr>
      </w:pPr>
      <w:r w:rsidRPr="00C43BF7">
        <w:rPr>
          <w:rFonts w:cs="Sylfaen"/>
          <w:b w:val="0"/>
          <w:bCs/>
          <w:szCs w:val="22"/>
          <w:lang w:val="hy-AM"/>
        </w:rPr>
        <w:t xml:space="preserve">Ծրագրի նպատակն է </w:t>
      </w:r>
      <w:r w:rsidR="00D35F72">
        <w:rPr>
          <w:rFonts w:cs="Sylfaen"/>
          <w:b w:val="0"/>
          <w:bCs/>
          <w:szCs w:val="22"/>
          <w:lang w:val="hy-AM"/>
        </w:rPr>
        <w:t>ՀՀ-</w:t>
      </w:r>
      <w:r w:rsidRPr="00C43BF7">
        <w:rPr>
          <w:rFonts w:cs="Sylfaen"/>
          <w:b w:val="0"/>
          <w:bCs/>
          <w:szCs w:val="22"/>
          <w:lang w:val="hy-AM"/>
        </w:rPr>
        <w:t>ում ապրանք արտադրողների և ծառայություն մատուցող</w:t>
      </w:r>
      <w:r w:rsidRPr="00C43BF7">
        <w:rPr>
          <w:rFonts w:cs="Sylfaen"/>
          <w:b w:val="0"/>
          <w:bCs/>
          <w:szCs w:val="22"/>
          <w:lang w:val="hy-AM"/>
        </w:rPr>
        <w:softHyphen/>
        <w:t>ների կողմից սպառողներին իրացվող արտադրանքի նկատմամբ պետական վերահսկողության իրականացումը` ստանդարտացման և չափագիտական նորմերի ապահովման միջոցով</w:t>
      </w:r>
      <w:r w:rsidRPr="007955BB">
        <w:rPr>
          <w:rFonts w:cs="Sylfaen"/>
          <w:b w:val="0"/>
          <w:bCs/>
          <w:szCs w:val="22"/>
          <w:lang w:val="hy-AM"/>
        </w:rPr>
        <w:t xml:space="preserve">, ինչպես նաև </w:t>
      </w:r>
      <w:r w:rsidRPr="00C43BF7">
        <w:rPr>
          <w:rFonts w:cs="Sylfaen"/>
          <w:b w:val="0"/>
          <w:bCs/>
          <w:szCs w:val="22"/>
          <w:lang w:val="hy-AM"/>
        </w:rPr>
        <w:t xml:space="preserve">սննդամթերքի անվտանգության և որակի ապահովման  բնագավառներում միջազգային չափորոշիչների պահանջներին համապատասխան իրականացնել լաբորատոր փորձաքննություններ:                                                                                                                                                                    </w:t>
      </w:r>
    </w:p>
    <w:p w:rsidR="00C31BDB" w:rsidRPr="007955BB" w:rsidRDefault="00C31BDB" w:rsidP="00530B17">
      <w:pPr>
        <w:spacing w:before="0" w:line="276" w:lineRule="auto"/>
        <w:rPr>
          <w:b w:val="0"/>
          <w:szCs w:val="22"/>
          <w:lang w:val="af-ZA"/>
        </w:rPr>
      </w:pPr>
      <w:r w:rsidRPr="007955BB">
        <w:rPr>
          <w:rFonts w:cs="Sylfaen"/>
          <w:b w:val="0"/>
          <w:szCs w:val="22"/>
          <w:lang w:val="af-ZA"/>
        </w:rPr>
        <w:t>Ծրագրի շրջանակներում</w:t>
      </w:r>
      <w:r w:rsidRPr="007955BB">
        <w:rPr>
          <w:rFonts w:cs="Times Armenian"/>
          <w:b w:val="0"/>
          <w:szCs w:val="22"/>
          <w:lang w:val="af-ZA"/>
        </w:rPr>
        <w:t xml:space="preserve"> </w:t>
      </w:r>
      <w:r w:rsidRPr="007955BB">
        <w:rPr>
          <w:rFonts w:cs="Sylfaen"/>
          <w:b w:val="0"/>
          <w:szCs w:val="22"/>
          <w:lang w:val="af-ZA"/>
        </w:rPr>
        <w:t>նախատեսվում</w:t>
      </w:r>
      <w:r w:rsidRPr="007955BB">
        <w:rPr>
          <w:rFonts w:cs="Times Armenian"/>
          <w:b w:val="0"/>
          <w:szCs w:val="22"/>
          <w:lang w:val="af-ZA"/>
        </w:rPr>
        <w:t xml:space="preserve"> </w:t>
      </w:r>
      <w:r w:rsidRPr="007955BB">
        <w:rPr>
          <w:rFonts w:cs="Sylfaen"/>
          <w:b w:val="0"/>
          <w:szCs w:val="22"/>
          <w:lang w:val="af-ZA"/>
        </w:rPr>
        <w:t>է</w:t>
      </w:r>
      <w:r w:rsidRPr="007955BB">
        <w:rPr>
          <w:rFonts w:cs="Times Armenian"/>
          <w:b w:val="0"/>
          <w:szCs w:val="22"/>
          <w:lang w:val="af-ZA"/>
        </w:rPr>
        <w:t xml:space="preserve"> </w:t>
      </w:r>
      <w:r w:rsidRPr="007955BB">
        <w:rPr>
          <w:rFonts w:cs="Sylfaen"/>
          <w:b w:val="0"/>
          <w:szCs w:val="22"/>
          <w:lang w:val="af-ZA"/>
        </w:rPr>
        <w:t>իրականացնել</w:t>
      </w:r>
      <w:r w:rsidRPr="007955BB">
        <w:rPr>
          <w:rFonts w:cs="Times Armenian"/>
          <w:b w:val="0"/>
          <w:szCs w:val="22"/>
          <w:lang w:val="af-ZA"/>
        </w:rPr>
        <w:t xml:space="preserve"> </w:t>
      </w:r>
      <w:r w:rsidRPr="007955BB">
        <w:rPr>
          <w:rFonts w:cs="Sylfaen"/>
          <w:b w:val="0"/>
          <w:szCs w:val="22"/>
          <w:lang w:val="af-ZA"/>
        </w:rPr>
        <w:t>հետևյալ միջոցառումները.</w:t>
      </w:r>
    </w:p>
    <w:p w:rsidR="00C31BDB" w:rsidRPr="007955BB" w:rsidRDefault="00C31BDB" w:rsidP="00530B17">
      <w:pPr>
        <w:spacing w:line="276" w:lineRule="auto"/>
        <w:rPr>
          <w:rFonts w:cs="Times Armenian"/>
          <w:b w:val="0"/>
          <w:szCs w:val="22"/>
          <w:lang w:val="af-ZA"/>
        </w:rPr>
      </w:pPr>
      <w:r w:rsidRPr="007955BB">
        <w:rPr>
          <w:rFonts w:cs="Sylfaen"/>
          <w:b w:val="0"/>
          <w:bCs/>
          <w:szCs w:val="22"/>
          <w:lang w:val="fr-FR"/>
        </w:rPr>
        <w:t>փորձանմուշների</w:t>
      </w:r>
      <w:r w:rsidRPr="00C43BF7">
        <w:rPr>
          <w:rFonts w:cs="Sylfaen"/>
          <w:b w:val="0"/>
          <w:bCs/>
          <w:szCs w:val="22"/>
          <w:lang w:val="af-ZA"/>
        </w:rPr>
        <w:t xml:space="preserve"> </w:t>
      </w:r>
      <w:r w:rsidRPr="007955BB">
        <w:rPr>
          <w:rFonts w:cs="Sylfaen"/>
          <w:b w:val="0"/>
          <w:bCs/>
          <w:szCs w:val="22"/>
          <w:lang w:val="fr-FR"/>
        </w:rPr>
        <w:t>ձեռքբերման</w:t>
      </w:r>
      <w:r w:rsidRPr="007955BB">
        <w:rPr>
          <w:rFonts w:cs="Sylfaen"/>
          <w:b w:val="0"/>
          <w:bCs/>
          <w:szCs w:val="22"/>
          <w:lang w:val="hy-AM"/>
        </w:rPr>
        <w:t xml:space="preserve"> և</w:t>
      </w:r>
      <w:r w:rsidRPr="00C43BF7">
        <w:rPr>
          <w:rFonts w:cs="Sylfaen"/>
          <w:b w:val="0"/>
          <w:bCs/>
          <w:szCs w:val="22"/>
          <w:lang w:val="af-ZA"/>
        </w:rPr>
        <w:t xml:space="preserve"> </w:t>
      </w:r>
      <w:r w:rsidRPr="007955BB">
        <w:rPr>
          <w:rFonts w:cs="Sylfaen"/>
          <w:b w:val="0"/>
          <w:bCs/>
          <w:szCs w:val="22"/>
          <w:lang w:val="fr-FR"/>
        </w:rPr>
        <w:t>փորձարկման</w:t>
      </w:r>
      <w:r w:rsidRPr="00C43BF7">
        <w:rPr>
          <w:rFonts w:cs="Sylfaen"/>
          <w:b w:val="0"/>
          <w:bCs/>
          <w:szCs w:val="22"/>
          <w:lang w:val="af-ZA"/>
        </w:rPr>
        <w:t xml:space="preserve"> </w:t>
      </w:r>
      <w:r w:rsidRPr="007955BB">
        <w:rPr>
          <w:rFonts w:cs="Sylfaen"/>
          <w:b w:val="0"/>
          <w:bCs/>
          <w:szCs w:val="22"/>
          <w:lang w:val="fr-FR"/>
        </w:rPr>
        <w:t>ծախսեր</w:t>
      </w:r>
      <w:r w:rsidRPr="00C43BF7">
        <w:rPr>
          <w:rFonts w:cs="Sylfaen"/>
          <w:b w:val="0"/>
          <w:bCs/>
          <w:szCs w:val="22"/>
          <w:lang w:val="af-ZA"/>
        </w:rPr>
        <w:t>,</w:t>
      </w:r>
      <w:r w:rsidRPr="007955BB">
        <w:rPr>
          <w:rFonts w:cs="Times Armenian"/>
          <w:b w:val="0"/>
          <w:szCs w:val="22"/>
          <w:lang w:val="af-ZA"/>
        </w:rPr>
        <w:t xml:space="preserve"> շարժական լաբորատորիայի համար անհրաժեշտ ծախսեր,</w:t>
      </w:r>
      <w:r w:rsidRPr="007955BB">
        <w:rPr>
          <w:rFonts w:cs="Times Armenian"/>
          <w:b w:val="0"/>
          <w:szCs w:val="22"/>
          <w:lang w:val="hy-AM"/>
        </w:rPr>
        <w:t xml:space="preserve"> </w:t>
      </w:r>
      <w:r w:rsidRPr="007955BB">
        <w:rPr>
          <w:rFonts w:cs="Times Armenian"/>
          <w:b w:val="0"/>
          <w:szCs w:val="22"/>
          <w:lang w:val="af-ZA"/>
        </w:rPr>
        <w:t>արտադրական կանեփի նկատմամբ վերահսկողության իրականացման ժամանակ փորձարկումների կատարում, ինչպես նաև սննդամթերքի 868 լաբորատոր փորձաքննություններ, գյուղատնտեսական կենդանիների հիվանդությունների լաբորատոր ախտորոշման և կենդանական ծագում ունեցող հումքի և նյութի 995,000 լաբորատոր փորձաքննություններ, գյուղատնտեսական մշակաբույսերի ու բույսերի պաշտպանության միջոցների 5500 լաբորատոր փորձաքննություններ, մեղրի մեջ մնացորդային նյութերի լաբորատոր հսկողության նպատակով 863 հետազոտություններ և ձկան մեջ մնացորդային նյութերի լաբորատոր հսկողության նպատակով 792 հետազոտություններ, ինչպես նաև խոշոր և մանր եղջերավոր կենդանիների շճաբանական հետազոտության ենթակա նմուշների քանակը կկազմի 4400 հատ:</w:t>
      </w:r>
    </w:p>
    <w:p w:rsidR="00C31BDB" w:rsidRPr="007955BB" w:rsidRDefault="00C31BDB" w:rsidP="00530B17">
      <w:pPr>
        <w:spacing w:before="0" w:line="276" w:lineRule="auto"/>
        <w:rPr>
          <w:b w:val="0"/>
          <w:lang w:val="hy-AM"/>
        </w:rPr>
      </w:pPr>
      <w:r w:rsidRPr="007955BB">
        <w:rPr>
          <w:noProof/>
          <w:szCs w:val="22"/>
          <w:lang w:val="hy-AM"/>
        </w:rPr>
        <w:t xml:space="preserve">Աջակցություն հասարակական և այլ կազմակերպություններին </w:t>
      </w:r>
      <w:r w:rsidRPr="007955BB">
        <w:rPr>
          <w:b w:val="0"/>
          <w:noProof/>
          <w:szCs w:val="22"/>
          <w:lang w:val="hy-AM"/>
        </w:rPr>
        <w:t xml:space="preserve">ծրագրի </w:t>
      </w:r>
      <w:r w:rsidRPr="007955BB">
        <w:rPr>
          <w:b w:val="0"/>
          <w:lang w:val="hy-AM"/>
        </w:rPr>
        <w:t>գծով նախատեսվել է հատկացնել 58.9 մլն դրամ</w:t>
      </w:r>
      <w:r w:rsidRPr="00C43BF7">
        <w:rPr>
          <w:b w:val="0"/>
          <w:lang w:val="af-ZA"/>
        </w:rPr>
        <w:t xml:space="preserve"> </w:t>
      </w:r>
      <w:r w:rsidRPr="007955BB">
        <w:rPr>
          <w:b w:val="0"/>
          <w:lang w:val="hy-AM"/>
        </w:rPr>
        <w:t xml:space="preserve">(առանց </w:t>
      </w:r>
      <w:r w:rsidRPr="007955BB">
        <w:rPr>
          <w:b w:val="0"/>
          <w:color w:val="000000"/>
          <w:szCs w:val="22"/>
          <w:lang w:val="hy-AM" w:eastAsia="en-US"/>
        </w:rPr>
        <w:t>կառավարման ապարատի պահպանման ծախսերի</w:t>
      </w:r>
      <w:r w:rsidRPr="007955BB">
        <w:rPr>
          <w:b w:val="0"/>
          <w:lang w:val="hy-AM"/>
        </w:rPr>
        <w:t>):</w:t>
      </w:r>
    </w:p>
    <w:p w:rsidR="00C31BDB" w:rsidRPr="007955BB" w:rsidRDefault="00C31BDB" w:rsidP="00530B17">
      <w:pPr>
        <w:spacing w:before="0" w:line="276" w:lineRule="auto"/>
        <w:rPr>
          <w:b w:val="0"/>
          <w:noProof/>
          <w:szCs w:val="22"/>
          <w:lang w:val="hy-AM"/>
        </w:rPr>
      </w:pPr>
      <w:r w:rsidRPr="007955BB">
        <w:rPr>
          <w:b w:val="0"/>
          <w:noProof/>
          <w:szCs w:val="22"/>
          <w:lang w:val="hy-AM"/>
        </w:rPr>
        <w:t>Ծրագրի նպատակն է</w:t>
      </w:r>
      <w:r w:rsidRPr="007955BB">
        <w:rPr>
          <w:b w:val="0"/>
          <w:noProof/>
          <w:szCs w:val="22"/>
          <w:lang w:val="af-ZA"/>
        </w:rPr>
        <w:t xml:space="preserve"> </w:t>
      </w:r>
      <w:r w:rsidRPr="007955BB">
        <w:rPr>
          <w:b w:val="0"/>
          <w:noProof/>
          <w:szCs w:val="22"/>
          <w:lang w:val="hy-AM"/>
        </w:rPr>
        <w:t>նպաստել քաղաքացիական հասարակության զարգացմանը</w:t>
      </w:r>
      <w:r w:rsidRPr="007955BB">
        <w:rPr>
          <w:b w:val="0"/>
          <w:noProof/>
          <w:szCs w:val="22"/>
          <w:lang w:val="af-ZA"/>
        </w:rPr>
        <w:t>:</w:t>
      </w:r>
      <w:r w:rsidRPr="007955BB">
        <w:rPr>
          <w:b w:val="0"/>
          <w:noProof/>
          <w:szCs w:val="22"/>
          <w:lang w:val="hy-AM"/>
        </w:rPr>
        <w:t xml:space="preserve"> Ծրագրի</w:t>
      </w:r>
      <w:r w:rsidRPr="007955BB">
        <w:rPr>
          <w:b w:val="0"/>
          <w:noProof/>
          <w:szCs w:val="22"/>
          <w:lang w:val="af-ZA"/>
        </w:rPr>
        <w:t xml:space="preserve"> </w:t>
      </w:r>
      <w:r w:rsidRPr="007955BB">
        <w:rPr>
          <w:b w:val="0"/>
          <w:noProof/>
          <w:szCs w:val="22"/>
          <w:lang w:val="hy-AM"/>
        </w:rPr>
        <w:t>շրջանակներում</w:t>
      </w:r>
      <w:r w:rsidRPr="007955BB">
        <w:rPr>
          <w:b w:val="0"/>
          <w:noProof/>
          <w:szCs w:val="22"/>
          <w:lang w:val="af-ZA"/>
        </w:rPr>
        <w:t xml:space="preserve"> </w:t>
      </w:r>
      <w:r w:rsidRPr="007955BB">
        <w:rPr>
          <w:b w:val="0"/>
          <w:noProof/>
          <w:szCs w:val="22"/>
          <w:lang w:val="hy-AM"/>
        </w:rPr>
        <w:t>հատկացումներն</w:t>
      </w:r>
      <w:r w:rsidRPr="007955BB">
        <w:rPr>
          <w:b w:val="0"/>
          <w:noProof/>
          <w:szCs w:val="22"/>
          <w:lang w:val="af-ZA"/>
        </w:rPr>
        <w:t xml:space="preserve"> </w:t>
      </w:r>
      <w:r w:rsidRPr="007955BB">
        <w:rPr>
          <w:b w:val="0"/>
          <w:noProof/>
          <w:szCs w:val="22"/>
          <w:lang w:val="hy-AM"/>
        </w:rPr>
        <w:t>ուղղվելու</w:t>
      </w:r>
      <w:r w:rsidRPr="007955BB">
        <w:rPr>
          <w:b w:val="0"/>
          <w:noProof/>
          <w:szCs w:val="22"/>
          <w:lang w:val="af-ZA"/>
        </w:rPr>
        <w:t xml:space="preserve"> </w:t>
      </w:r>
      <w:r w:rsidRPr="007955BB">
        <w:rPr>
          <w:b w:val="0"/>
          <w:noProof/>
          <w:szCs w:val="22"/>
          <w:lang w:val="hy-AM"/>
        </w:rPr>
        <w:t>են</w:t>
      </w:r>
      <w:r w:rsidRPr="007955BB">
        <w:rPr>
          <w:b w:val="0"/>
          <w:noProof/>
          <w:szCs w:val="22"/>
          <w:lang w:val="af-ZA"/>
        </w:rPr>
        <w:t xml:space="preserve"> </w:t>
      </w:r>
      <w:r w:rsidRPr="007955BB">
        <w:rPr>
          <w:b w:val="0"/>
          <w:noProof/>
          <w:szCs w:val="22"/>
          <w:lang w:val="hy-AM"/>
        </w:rPr>
        <w:t>պ</w:t>
      </w:r>
      <w:r w:rsidRPr="007955BB">
        <w:rPr>
          <w:b w:val="0"/>
          <w:noProof/>
          <w:szCs w:val="22"/>
          <w:lang w:val="af-ZA"/>
        </w:rPr>
        <w:t>ետական կառավարման գործընթացներին քաղաքացիական հասարակության մասնակցության ապահով</w:t>
      </w:r>
      <w:r w:rsidRPr="007955BB">
        <w:rPr>
          <w:b w:val="0"/>
          <w:noProof/>
          <w:szCs w:val="22"/>
          <w:lang w:val="hy-AM"/>
        </w:rPr>
        <w:t>մանը, հասարակական կազմակերպություններին աջակցմանը</w:t>
      </w:r>
      <w:r w:rsidRPr="007955BB">
        <w:rPr>
          <w:b w:val="0"/>
          <w:noProof/>
          <w:szCs w:val="22"/>
          <w:lang w:val="af-ZA"/>
        </w:rPr>
        <w:t>:</w:t>
      </w:r>
      <w:r w:rsidRPr="007955BB">
        <w:rPr>
          <w:b w:val="0"/>
          <w:noProof/>
          <w:szCs w:val="22"/>
          <w:lang w:val="hy-AM"/>
        </w:rPr>
        <w:t xml:space="preserve"> </w:t>
      </w:r>
    </w:p>
    <w:p w:rsidR="00C31BDB" w:rsidRPr="007955BB" w:rsidRDefault="00C31BDB" w:rsidP="00530B17">
      <w:pPr>
        <w:spacing w:before="0" w:line="276" w:lineRule="auto"/>
        <w:rPr>
          <w:rFonts w:cs="Sylfaen"/>
          <w:b w:val="0"/>
          <w:bCs/>
          <w:iCs/>
          <w:color w:val="000000"/>
          <w:sz w:val="20"/>
          <w:szCs w:val="20"/>
          <w:lang w:val="hy-AM" w:eastAsia="en-US"/>
        </w:rPr>
      </w:pPr>
      <w:r w:rsidRPr="007955BB">
        <w:rPr>
          <w:noProof/>
          <w:szCs w:val="22"/>
          <w:lang w:val="hy-AM"/>
        </w:rPr>
        <w:t xml:space="preserve">   Հանրային</w:t>
      </w:r>
      <w:r w:rsidRPr="007955BB">
        <w:rPr>
          <w:noProof/>
          <w:szCs w:val="22"/>
          <w:lang w:val="af-ZA"/>
        </w:rPr>
        <w:t xml:space="preserve"> </w:t>
      </w:r>
      <w:r w:rsidRPr="007955BB">
        <w:rPr>
          <w:noProof/>
          <w:szCs w:val="22"/>
          <w:lang w:val="hy-AM"/>
        </w:rPr>
        <w:t>իրազեկում</w:t>
      </w:r>
      <w:r w:rsidRPr="007955BB">
        <w:rPr>
          <w:noProof/>
          <w:szCs w:val="22"/>
          <w:lang w:val="af-ZA"/>
        </w:rPr>
        <w:t xml:space="preserve"> </w:t>
      </w:r>
      <w:r w:rsidRPr="007955BB">
        <w:rPr>
          <w:b w:val="0"/>
          <w:noProof/>
          <w:szCs w:val="22"/>
          <w:lang w:val="hy-AM"/>
        </w:rPr>
        <w:t>ծրագրի գծով նախատեսվել է</w:t>
      </w:r>
      <w:r w:rsidRPr="007955BB">
        <w:rPr>
          <w:b w:val="0"/>
          <w:noProof/>
          <w:szCs w:val="22"/>
          <w:lang w:val="af-ZA"/>
        </w:rPr>
        <w:t xml:space="preserve"> </w:t>
      </w:r>
      <w:r w:rsidRPr="007955BB">
        <w:rPr>
          <w:b w:val="0"/>
          <w:noProof/>
          <w:szCs w:val="22"/>
          <w:lang w:val="hy-AM"/>
        </w:rPr>
        <w:t>հատկացնել</w:t>
      </w:r>
      <w:r w:rsidRPr="007955BB">
        <w:rPr>
          <w:b w:val="0"/>
          <w:noProof/>
          <w:szCs w:val="22"/>
          <w:lang w:val="af-ZA"/>
        </w:rPr>
        <w:t xml:space="preserve"> 1,078.0 </w:t>
      </w:r>
      <w:r w:rsidRPr="007955BB">
        <w:rPr>
          <w:b w:val="0"/>
          <w:noProof/>
          <w:szCs w:val="22"/>
          <w:lang w:val="hy-AM"/>
        </w:rPr>
        <w:t>մլն</w:t>
      </w:r>
      <w:r w:rsidRPr="007955BB">
        <w:rPr>
          <w:b w:val="0"/>
          <w:noProof/>
          <w:szCs w:val="22"/>
          <w:lang w:val="af-ZA"/>
        </w:rPr>
        <w:t xml:space="preserve"> </w:t>
      </w:r>
      <w:r w:rsidRPr="007955BB">
        <w:rPr>
          <w:b w:val="0"/>
          <w:noProof/>
          <w:szCs w:val="22"/>
          <w:lang w:val="hy-AM"/>
        </w:rPr>
        <w:t>դրամ</w:t>
      </w:r>
      <w:r w:rsidRPr="007955BB">
        <w:rPr>
          <w:b w:val="0"/>
          <w:noProof/>
          <w:szCs w:val="22"/>
          <w:lang w:val="af-ZA"/>
        </w:rPr>
        <w:t>:</w:t>
      </w:r>
      <w:r w:rsidRPr="007955BB">
        <w:rPr>
          <w:rFonts w:cs="Sylfaen"/>
          <w:b w:val="0"/>
          <w:bCs/>
          <w:iCs/>
          <w:color w:val="000000"/>
          <w:sz w:val="20"/>
          <w:szCs w:val="20"/>
          <w:lang w:val="hy-AM" w:eastAsia="en-US"/>
        </w:rPr>
        <w:t xml:space="preserve"> </w:t>
      </w:r>
    </w:p>
    <w:p w:rsidR="00C31BDB" w:rsidRPr="007955BB" w:rsidRDefault="00C31BDB" w:rsidP="00530B17">
      <w:pPr>
        <w:numPr>
          <w:ilvl w:val="12"/>
          <w:numId w:val="0"/>
        </w:numPr>
        <w:tabs>
          <w:tab w:val="left" w:pos="851"/>
        </w:tabs>
        <w:spacing w:before="0" w:line="276" w:lineRule="auto"/>
        <w:ind w:firstLine="567"/>
        <w:rPr>
          <w:b w:val="0"/>
          <w:noProof/>
          <w:szCs w:val="22"/>
          <w:lang w:val="af-ZA"/>
        </w:rPr>
      </w:pPr>
      <w:r w:rsidRPr="007955BB">
        <w:rPr>
          <w:b w:val="0"/>
          <w:noProof/>
          <w:szCs w:val="22"/>
          <w:lang w:val="hy-AM"/>
        </w:rPr>
        <w:t xml:space="preserve">        Ծրագրի նպատակն</w:t>
      </w:r>
      <w:r w:rsidRPr="007955BB">
        <w:rPr>
          <w:b w:val="0"/>
          <w:noProof/>
          <w:szCs w:val="22"/>
          <w:lang w:val="af-ZA"/>
        </w:rPr>
        <w:t xml:space="preserve"> </w:t>
      </w:r>
      <w:r w:rsidRPr="007955BB">
        <w:rPr>
          <w:b w:val="0"/>
          <w:noProof/>
          <w:szCs w:val="22"/>
          <w:lang w:val="hy-AM"/>
        </w:rPr>
        <w:t>է</w:t>
      </w:r>
      <w:r w:rsidRPr="007955BB">
        <w:rPr>
          <w:b w:val="0"/>
          <w:noProof/>
          <w:szCs w:val="22"/>
          <w:lang w:val="af-ZA"/>
        </w:rPr>
        <w:t xml:space="preserve"> </w:t>
      </w:r>
      <w:r w:rsidRPr="007955BB">
        <w:rPr>
          <w:b w:val="0"/>
          <w:noProof/>
          <w:szCs w:val="22"/>
          <w:lang w:val="hy-AM"/>
        </w:rPr>
        <w:t>ապահովել հանրային կապերի՝ պետական մարմինների թափանցիկությունը, տեղեկատվության մատչելիությունը</w:t>
      </w:r>
      <w:r w:rsidRPr="007955BB">
        <w:rPr>
          <w:b w:val="0"/>
          <w:noProof/>
          <w:szCs w:val="22"/>
          <w:lang w:val="af-ZA"/>
        </w:rPr>
        <w:t>:</w:t>
      </w:r>
    </w:p>
    <w:p w:rsidR="00C31BDB" w:rsidRPr="007955BB" w:rsidRDefault="00C31BDB" w:rsidP="00530B17">
      <w:pPr>
        <w:numPr>
          <w:ilvl w:val="12"/>
          <w:numId w:val="0"/>
        </w:numPr>
        <w:tabs>
          <w:tab w:val="left" w:pos="851"/>
        </w:tabs>
        <w:spacing w:before="0" w:line="276" w:lineRule="auto"/>
        <w:ind w:firstLine="567"/>
        <w:rPr>
          <w:b w:val="0"/>
          <w:noProof/>
          <w:szCs w:val="22"/>
          <w:lang w:val="af-ZA"/>
        </w:rPr>
      </w:pPr>
      <w:r w:rsidRPr="007955BB">
        <w:rPr>
          <w:b w:val="0"/>
          <w:noProof/>
          <w:szCs w:val="22"/>
          <w:lang w:val="af-ZA"/>
        </w:rPr>
        <w:t xml:space="preserve">        </w:t>
      </w:r>
      <w:r w:rsidRPr="007955BB">
        <w:rPr>
          <w:b w:val="0"/>
          <w:noProof/>
          <w:szCs w:val="22"/>
          <w:lang w:val="hy-AM"/>
        </w:rPr>
        <w:t>Ծ</w:t>
      </w:r>
      <w:r w:rsidRPr="007955BB">
        <w:rPr>
          <w:b w:val="0"/>
          <w:noProof/>
          <w:szCs w:val="22"/>
        </w:rPr>
        <w:t>րագրով</w:t>
      </w:r>
      <w:r w:rsidRPr="007955BB">
        <w:rPr>
          <w:b w:val="0"/>
          <w:noProof/>
          <w:szCs w:val="22"/>
          <w:lang w:val="af-ZA"/>
        </w:rPr>
        <w:t xml:space="preserve"> </w:t>
      </w:r>
      <w:r w:rsidRPr="007955BB">
        <w:rPr>
          <w:b w:val="0"/>
          <w:noProof/>
          <w:szCs w:val="22"/>
        </w:rPr>
        <w:t>նախատեսված</w:t>
      </w:r>
      <w:r w:rsidRPr="007955BB">
        <w:rPr>
          <w:b w:val="0"/>
          <w:noProof/>
          <w:szCs w:val="22"/>
          <w:lang w:val="af-ZA"/>
        </w:rPr>
        <w:t xml:space="preserve"> </w:t>
      </w:r>
      <w:r w:rsidRPr="007955BB">
        <w:rPr>
          <w:b w:val="0"/>
          <w:noProof/>
          <w:szCs w:val="22"/>
        </w:rPr>
        <w:t>հատկացումներն</w:t>
      </w:r>
      <w:r w:rsidRPr="007955BB">
        <w:rPr>
          <w:b w:val="0"/>
          <w:noProof/>
          <w:szCs w:val="22"/>
          <w:lang w:val="af-ZA"/>
        </w:rPr>
        <w:t xml:space="preserve"> </w:t>
      </w:r>
      <w:r w:rsidRPr="007955BB">
        <w:rPr>
          <w:b w:val="0"/>
          <w:noProof/>
          <w:szCs w:val="22"/>
        </w:rPr>
        <w:t>ուղղվելու</w:t>
      </w:r>
      <w:r w:rsidRPr="007955BB">
        <w:rPr>
          <w:b w:val="0"/>
          <w:noProof/>
          <w:szCs w:val="22"/>
          <w:lang w:val="af-ZA"/>
        </w:rPr>
        <w:t xml:space="preserve"> </w:t>
      </w:r>
      <w:r w:rsidRPr="007955BB">
        <w:rPr>
          <w:b w:val="0"/>
          <w:noProof/>
          <w:szCs w:val="22"/>
        </w:rPr>
        <w:t>են</w:t>
      </w:r>
      <w:r w:rsidRPr="007955BB">
        <w:rPr>
          <w:b w:val="0"/>
          <w:noProof/>
          <w:szCs w:val="22"/>
          <w:lang w:val="af-ZA"/>
        </w:rPr>
        <w:t xml:space="preserve"> </w:t>
      </w:r>
      <w:r w:rsidRPr="007955BB">
        <w:rPr>
          <w:b w:val="0"/>
          <w:noProof/>
          <w:szCs w:val="22"/>
        </w:rPr>
        <w:t>հանրային</w:t>
      </w:r>
      <w:r w:rsidRPr="007955BB">
        <w:rPr>
          <w:b w:val="0"/>
          <w:noProof/>
          <w:szCs w:val="22"/>
          <w:lang w:val="af-ZA"/>
        </w:rPr>
        <w:t xml:space="preserve"> </w:t>
      </w:r>
      <w:r w:rsidRPr="007955BB">
        <w:rPr>
          <w:b w:val="0"/>
          <w:noProof/>
          <w:szCs w:val="22"/>
        </w:rPr>
        <w:t>իրազեկման</w:t>
      </w:r>
      <w:r w:rsidRPr="007955BB">
        <w:rPr>
          <w:b w:val="0"/>
          <w:noProof/>
          <w:szCs w:val="22"/>
          <w:lang w:val="af-ZA"/>
        </w:rPr>
        <w:t xml:space="preserve"> </w:t>
      </w:r>
      <w:r w:rsidRPr="007955BB">
        <w:rPr>
          <w:b w:val="0"/>
          <w:noProof/>
          <w:szCs w:val="22"/>
        </w:rPr>
        <w:t>ապահովմանը</w:t>
      </w:r>
      <w:r w:rsidRPr="007955BB">
        <w:rPr>
          <w:b w:val="0"/>
          <w:noProof/>
          <w:szCs w:val="22"/>
          <w:lang w:val="af-ZA"/>
        </w:rPr>
        <w:t xml:space="preserve">, </w:t>
      </w:r>
      <w:r w:rsidRPr="007955BB">
        <w:rPr>
          <w:b w:val="0"/>
          <w:noProof/>
          <w:szCs w:val="22"/>
        </w:rPr>
        <w:t>պետական</w:t>
      </w:r>
      <w:r w:rsidRPr="007955BB">
        <w:rPr>
          <w:b w:val="0"/>
          <w:noProof/>
          <w:szCs w:val="22"/>
          <w:lang w:val="af-ZA"/>
        </w:rPr>
        <w:t xml:space="preserve"> </w:t>
      </w:r>
      <w:r w:rsidRPr="007955BB">
        <w:rPr>
          <w:b w:val="0"/>
          <w:noProof/>
          <w:szCs w:val="22"/>
        </w:rPr>
        <w:t>մամուլի</w:t>
      </w:r>
      <w:r w:rsidRPr="007955BB">
        <w:rPr>
          <w:b w:val="0"/>
          <w:noProof/>
          <w:szCs w:val="22"/>
          <w:lang w:val="af-ZA"/>
        </w:rPr>
        <w:t xml:space="preserve"> </w:t>
      </w:r>
      <w:r w:rsidRPr="007955BB">
        <w:rPr>
          <w:b w:val="0"/>
          <w:noProof/>
          <w:szCs w:val="22"/>
        </w:rPr>
        <w:t>հրատարակմանը</w:t>
      </w:r>
      <w:r w:rsidRPr="007955BB">
        <w:rPr>
          <w:b w:val="0"/>
          <w:noProof/>
          <w:szCs w:val="22"/>
          <w:lang w:val="af-ZA"/>
        </w:rPr>
        <w:t>, «Միր» միջպետական հեռուստառադիոընկերության ՀՀ մասնաբաժնի վճար</w:t>
      </w:r>
      <w:r w:rsidRPr="007955BB">
        <w:rPr>
          <w:b w:val="0"/>
          <w:noProof/>
          <w:szCs w:val="22"/>
          <w:lang w:val="hy-AM"/>
        </w:rPr>
        <w:t xml:space="preserve">մանը, </w:t>
      </w:r>
      <w:r w:rsidRPr="007955BB">
        <w:rPr>
          <w:b w:val="0"/>
          <w:noProof/>
          <w:szCs w:val="22"/>
        </w:rPr>
        <w:t>տեղեկատվության</w:t>
      </w:r>
      <w:r w:rsidRPr="007955BB">
        <w:rPr>
          <w:b w:val="0"/>
          <w:noProof/>
          <w:szCs w:val="22"/>
          <w:lang w:val="af-ZA"/>
        </w:rPr>
        <w:t xml:space="preserve"> </w:t>
      </w:r>
      <w:r w:rsidRPr="007955BB">
        <w:rPr>
          <w:b w:val="0"/>
          <w:noProof/>
          <w:szCs w:val="22"/>
        </w:rPr>
        <w:t>ձեռքբերման</w:t>
      </w:r>
      <w:r w:rsidRPr="007955BB">
        <w:rPr>
          <w:b w:val="0"/>
          <w:noProof/>
          <w:szCs w:val="22"/>
          <w:lang w:val="af-ZA"/>
        </w:rPr>
        <w:t xml:space="preserve">, </w:t>
      </w:r>
      <w:r w:rsidRPr="007955BB">
        <w:rPr>
          <w:b w:val="0"/>
          <w:noProof/>
          <w:szCs w:val="22"/>
        </w:rPr>
        <w:t>պահպանման</w:t>
      </w:r>
      <w:r w:rsidRPr="007955BB">
        <w:rPr>
          <w:b w:val="0"/>
          <w:noProof/>
          <w:szCs w:val="22"/>
          <w:lang w:val="af-ZA"/>
        </w:rPr>
        <w:t xml:space="preserve"> </w:t>
      </w:r>
      <w:r w:rsidRPr="007955BB">
        <w:rPr>
          <w:b w:val="0"/>
          <w:noProof/>
          <w:szCs w:val="22"/>
        </w:rPr>
        <w:t>և</w:t>
      </w:r>
      <w:r w:rsidRPr="007955BB">
        <w:rPr>
          <w:b w:val="0"/>
          <w:noProof/>
          <w:szCs w:val="22"/>
          <w:lang w:val="af-ZA"/>
        </w:rPr>
        <w:t xml:space="preserve"> </w:t>
      </w:r>
      <w:r w:rsidRPr="007955BB">
        <w:rPr>
          <w:b w:val="0"/>
          <w:noProof/>
          <w:szCs w:val="22"/>
        </w:rPr>
        <w:t>արխիվացման</w:t>
      </w:r>
      <w:r w:rsidRPr="007955BB">
        <w:rPr>
          <w:b w:val="0"/>
          <w:noProof/>
          <w:szCs w:val="22"/>
          <w:lang w:val="af-ZA"/>
        </w:rPr>
        <w:t xml:space="preserve"> </w:t>
      </w:r>
      <w:r w:rsidRPr="007955BB">
        <w:rPr>
          <w:b w:val="0"/>
          <w:noProof/>
          <w:szCs w:val="22"/>
        </w:rPr>
        <w:t>ծառայությունների</w:t>
      </w:r>
      <w:r w:rsidRPr="007955BB">
        <w:rPr>
          <w:b w:val="0"/>
          <w:noProof/>
          <w:szCs w:val="22"/>
          <w:lang w:val="af-ZA"/>
        </w:rPr>
        <w:t xml:space="preserve"> </w:t>
      </w:r>
      <w:r w:rsidRPr="007955BB">
        <w:rPr>
          <w:b w:val="0"/>
          <w:noProof/>
          <w:szCs w:val="22"/>
        </w:rPr>
        <w:t>իրականացմանը</w:t>
      </w:r>
      <w:r w:rsidRPr="007955BB">
        <w:rPr>
          <w:b w:val="0"/>
          <w:noProof/>
          <w:szCs w:val="22"/>
          <w:lang w:val="af-ZA"/>
        </w:rPr>
        <w:t xml:space="preserve">: </w:t>
      </w:r>
    </w:p>
    <w:p w:rsidR="00C31BDB" w:rsidRPr="007955BB" w:rsidRDefault="00C31BDB" w:rsidP="00530B17">
      <w:pPr>
        <w:numPr>
          <w:ilvl w:val="12"/>
          <w:numId w:val="0"/>
        </w:numPr>
        <w:tabs>
          <w:tab w:val="left" w:pos="851"/>
        </w:tabs>
        <w:spacing w:before="0" w:line="276" w:lineRule="auto"/>
        <w:ind w:firstLine="567"/>
        <w:rPr>
          <w:rFonts w:cs="Sylfaen"/>
          <w:b w:val="0"/>
          <w:bCs/>
          <w:iCs/>
          <w:color w:val="000000"/>
          <w:sz w:val="20"/>
          <w:szCs w:val="20"/>
          <w:lang w:val="hy-AM" w:eastAsia="en-US"/>
        </w:rPr>
      </w:pPr>
      <w:r w:rsidRPr="007955BB">
        <w:rPr>
          <w:noProof/>
          <w:szCs w:val="22"/>
          <w:lang w:val="hy-AM"/>
        </w:rPr>
        <w:t>Տոների</w:t>
      </w:r>
      <w:r w:rsidRPr="007955BB">
        <w:rPr>
          <w:noProof/>
          <w:szCs w:val="22"/>
          <w:lang w:val="af-ZA"/>
        </w:rPr>
        <w:t xml:space="preserve"> </w:t>
      </w:r>
      <w:r w:rsidRPr="007955BB">
        <w:rPr>
          <w:noProof/>
          <w:szCs w:val="22"/>
          <w:lang w:val="hy-AM"/>
        </w:rPr>
        <w:t>և</w:t>
      </w:r>
      <w:r w:rsidRPr="007955BB">
        <w:rPr>
          <w:noProof/>
          <w:szCs w:val="22"/>
          <w:lang w:val="af-ZA"/>
        </w:rPr>
        <w:t xml:space="preserve"> </w:t>
      </w:r>
      <w:r w:rsidRPr="007955BB">
        <w:rPr>
          <w:noProof/>
          <w:szCs w:val="22"/>
          <w:lang w:val="hy-AM"/>
        </w:rPr>
        <w:t>հիշատակի</w:t>
      </w:r>
      <w:r w:rsidRPr="007955BB">
        <w:rPr>
          <w:noProof/>
          <w:szCs w:val="22"/>
          <w:lang w:val="af-ZA"/>
        </w:rPr>
        <w:t xml:space="preserve"> </w:t>
      </w:r>
      <w:r w:rsidRPr="007955BB">
        <w:rPr>
          <w:noProof/>
          <w:szCs w:val="22"/>
          <w:lang w:val="hy-AM"/>
        </w:rPr>
        <w:t>օրերի</w:t>
      </w:r>
      <w:r w:rsidRPr="007955BB">
        <w:rPr>
          <w:noProof/>
          <w:szCs w:val="22"/>
          <w:lang w:val="af-ZA"/>
        </w:rPr>
        <w:t xml:space="preserve"> </w:t>
      </w:r>
      <w:r w:rsidRPr="007955BB">
        <w:rPr>
          <w:b w:val="0"/>
          <w:noProof/>
          <w:szCs w:val="22"/>
          <w:lang w:val="hy-AM"/>
        </w:rPr>
        <w:t>ծրագրի գծով նախատեսվել է</w:t>
      </w:r>
      <w:r w:rsidRPr="007955BB">
        <w:rPr>
          <w:b w:val="0"/>
          <w:noProof/>
          <w:szCs w:val="22"/>
          <w:lang w:val="af-ZA"/>
        </w:rPr>
        <w:t xml:space="preserve"> </w:t>
      </w:r>
      <w:r w:rsidRPr="007955BB">
        <w:rPr>
          <w:b w:val="0"/>
          <w:noProof/>
          <w:szCs w:val="22"/>
          <w:lang w:val="hy-AM"/>
        </w:rPr>
        <w:t>հատկացնել</w:t>
      </w:r>
      <w:r w:rsidRPr="007955BB">
        <w:rPr>
          <w:b w:val="0"/>
          <w:noProof/>
          <w:szCs w:val="22"/>
          <w:lang w:val="af-ZA"/>
        </w:rPr>
        <w:t xml:space="preserve"> </w:t>
      </w:r>
      <w:r w:rsidRPr="007955BB">
        <w:rPr>
          <w:b w:val="0"/>
          <w:noProof/>
          <w:szCs w:val="22"/>
          <w:lang w:val="hy-AM"/>
        </w:rPr>
        <w:t>40</w:t>
      </w:r>
      <w:r w:rsidRPr="007955BB">
        <w:rPr>
          <w:b w:val="0"/>
          <w:noProof/>
          <w:szCs w:val="22"/>
          <w:lang w:val="af-ZA"/>
        </w:rPr>
        <w:t xml:space="preserve">.0 </w:t>
      </w:r>
      <w:r w:rsidRPr="007955BB">
        <w:rPr>
          <w:b w:val="0"/>
          <w:noProof/>
          <w:szCs w:val="22"/>
          <w:lang w:val="hy-AM"/>
        </w:rPr>
        <w:t>մլն</w:t>
      </w:r>
      <w:r w:rsidRPr="007955BB">
        <w:rPr>
          <w:b w:val="0"/>
          <w:noProof/>
          <w:szCs w:val="22"/>
          <w:lang w:val="af-ZA"/>
        </w:rPr>
        <w:t xml:space="preserve"> </w:t>
      </w:r>
      <w:r w:rsidRPr="007955BB">
        <w:rPr>
          <w:b w:val="0"/>
          <w:noProof/>
          <w:szCs w:val="22"/>
          <w:lang w:val="hy-AM"/>
        </w:rPr>
        <w:t>դրամ</w:t>
      </w:r>
      <w:r w:rsidRPr="007955BB">
        <w:rPr>
          <w:b w:val="0"/>
          <w:noProof/>
          <w:szCs w:val="22"/>
          <w:lang w:val="af-ZA"/>
        </w:rPr>
        <w:t>:</w:t>
      </w:r>
      <w:r w:rsidRPr="007955BB">
        <w:rPr>
          <w:rFonts w:cs="Sylfaen"/>
          <w:b w:val="0"/>
          <w:bCs/>
          <w:iCs/>
          <w:color w:val="000000"/>
          <w:sz w:val="20"/>
          <w:szCs w:val="20"/>
          <w:lang w:val="hy-AM" w:eastAsia="en-US"/>
        </w:rPr>
        <w:t xml:space="preserve">    </w:t>
      </w:r>
    </w:p>
    <w:p w:rsidR="00C31BDB" w:rsidRPr="007955BB" w:rsidRDefault="00C31BDB" w:rsidP="00530B17">
      <w:pPr>
        <w:numPr>
          <w:ilvl w:val="12"/>
          <w:numId w:val="0"/>
        </w:numPr>
        <w:tabs>
          <w:tab w:val="left" w:pos="851"/>
        </w:tabs>
        <w:spacing w:before="0" w:line="276" w:lineRule="auto"/>
        <w:ind w:firstLine="567"/>
        <w:rPr>
          <w:b w:val="0"/>
          <w:noProof/>
          <w:szCs w:val="22"/>
          <w:lang w:val="af-ZA"/>
        </w:rPr>
      </w:pPr>
      <w:r w:rsidRPr="007955BB">
        <w:rPr>
          <w:rFonts w:cs="Sylfaen"/>
          <w:b w:val="0"/>
          <w:bCs/>
          <w:iCs/>
          <w:color w:val="000000"/>
          <w:szCs w:val="22"/>
          <w:lang w:val="hy-AM" w:eastAsia="en-US"/>
        </w:rPr>
        <w:t xml:space="preserve">Ծրագրի </w:t>
      </w:r>
      <w:r w:rsidRPr="007955BB">
        <w:rPr>
          <w:b w:val="0"/>
          <w:noProof/>
          <w:szCs w:val="22"/>
          <w:lang w:val="hy-AM"/>
        </w:rPr>
        <w:t>նպատակն</w:t>
      </w:r>
      <w:r w:rsidRPr="007955BB">
        <w:rPr>
          <w:b w:val="0"/>
          <w:noProof/>
          <w:szCs w:val="22"/>
          <w:lang w:val="af-ZA"/>
        </w:rPr>
        <w:t xml:space="preserve"> </w:t>
      </w:r>
      <w:r w:rsidRPr="007955BB">
        <w:rPr>
          <w:b w:val="0"/>
          <w:noProof/>
          <w:szCs w:val="22"/>
          <w:lang w:val="hy-AM"/>
        </w:rPr>
        <w:t>է</w:t>
      </w:r>
      <w:r w:rsidRPr="007955BB">
        <w:rPr>
          <w:b w:val="0"/>
          <w:noProof/>
          <w:szCs w:val="22"/>
          <w:lang w:val="af-ZA"/>
        </w:rPr>
        <w:t xml:space="preserve"> </w:t>
      </w:r>
      <w:r w:rsidRPr="007955BB">
        <w:rPr>
          <w:b w:val="0"/>
          <w:noProof/>
          <w:szCs w:val="22"/>
          <w:lang w:val="hy-AM"/>
        </w:rPr>
        <w:t>տոների</w:t>
      </w:r>
      <w:r w:rsidRPr="007955BB">
        <w:rPr>
          <w:b w:val="0"/>
          <w:noProof/>
          <w:szCs w:val="22"/>
          <w:lang w:val="af-ZA"/>
        </w:rPr>
        <w:t xml:space="preserve"> </w:t>
      </w:r>
      <w:r w:rsidRPr="007955BB">
        <w:rPr>
          <w:b w:val="0"/>
          <w:noProof/>
          <w:szCs w:val="22"/>
          <w:lang w:val="hy-AM"/>
        </w:rPr>
        <w:t>և</w:t>
      </w:r>
      <w:r w:rsidRPr="007955BB">
        <w:rPr>
          <w:b w:val="0"/>
          <w:noProof/>
          <w:szCs w:val="22"/>
          <w:lang w:val="af-ZA"/>
        </w:rPr>
        <w:t xml:space="preserve"> </w:t>
      </w:r>
      <w:r w:rsidRPr="007955BB">
        <w:rPr>
          <w:b w:val="0"/>
          <w:noProof/>
          <w:szCs w:val="22"/>
          <w:lang w:val="hy-AM"/>
        </w:rPr>
        <w:t>հիշատակի</w:t>
      </w:r>
      <w:r w:rsidRPr="007955BB">
        <w:rPr>
          <w:b w:val="0"/>
          <w:noProof/>
          <w:szCs w:val="22"/>
          <w:lang w:val="af-ZA"/>
        </w:rPr>
        <w:t xml:space="preserve"> </w:t>
      </w:r>
      <w:r w:rsidRPr="007955BB">
        <w:rPr>
          <w:b w:val="0"/>
          <w:noProof/>
          <w:szCs w:val="22"/>
          <w:lang w:val="hy-AM"/>
        </w:rPr>
        <w:t>օրերին</w:t>
      </w:r>
      <w:r w:rsidRPr="007955BB">
        <w:rPr>
          <w:b w:val="0"/>
          <w:noProof/>
          <w:szCs w:val="22"/>
          <w:lang w:val="af-ZA"/>
        </w:rPr>
        <w:t xml:space="preserve"> </w:t>
      </w:r>
      <w:r w:rsidRPr="007955BB">
        <w:rPr>
          <w:b w:val="0"/>
          <w:noProof/>
          <w:szCs w:val="22"/>
          <w:lang w:val="hy-AM"/>
        </w:rPr>
        <w:t>նվիրված</w:t>
      </w:r>
      <w:r w:rsidRPr="007955BB">
        <w:rPr>
          <w:b w:val="0"/>
          <w:noProof/>
          <w:szCs w:val="22"/>
          <w:lang w:val="af-ZA"/>
        </w:rPr>
        <w:t xml:space="preserve"> </w:t>
      </w:r>
      <w:r w:rsidRPr="007955BB">
        <w:rPr>
          <w:b w:val="0"/>
          <w:noProof/>
          <w:szCs w:val="22"/>
          <w:lang w:val="hy-AM"/>
        </w:rPr>
        <w:t>միջոցառումների</w:t>
      </w:r>
      <w:r w:rsidRPr="007955BB">
        <w:rPr>
          <w:b w:val="0"/>
          <w:noProof/>
          <w:szCs w:val="22"/>
          <w:lang w:val="af-ZA"/>
        </w:rPr>
        <w:t xml:space="preserve"> </w:t>
      </w:r>
      <w:r w:rsidRPr="007955BB">
        <w:rPr>
          <w:b w:val="0"/>
          <w:noProof/>
          <w:szCs w:val="22"/>
          <w:lang w:val="hy-AM"/>
        </w:rPr>
        <w:t>անցկացումը՝</w:t>
      </w:r>
      <w:r w:rsidRPr="007955BB">
        <w:rPr>
          <w:b w:val="0"/>
          <w:noProof/>
          <w:szCs w:val="22"/>
          <w:lang w:val="af-ZA"/>
        </w:rPr>
        <w:t xml:space="preserve"> </w:t>
      </w:r>
      <w:r w:rsidRPr="007955BB">
        <w:rPr>
          <w:b w:val="0"/>
          <w:noProof/>
          <w:szCs w:val="22"/>
          <w:lang w:val="hy-AM"/>
        </w:rPr>
        <w:t>ի</w:t>
      </w:r>
      <w:r w:rsidRPr="007955BB">
        <w:rPr>
          <w:b w:val="0"/>
          <w:noProof/>
          <w:szCs w:val="22"/>
          <w:lang w:val="af-ZA"/>
        </w:rPr>
        <w:t xml:space="preserve"> </w:t>
      </w:r>
      <w:r w:rsidRPr="007955BB">
        <w:rPr>
          <w:b w:val="0"/>
          <w:noProof/>
          <w:szCs w:val="22"/>
          <w:lang w:val="hy-AM"/>
        </w:rPr>
        <w:t>նպաստ</w:t>
      </w:r>
      <w:r w:rsidRPr="007955BB">
        <w:rPr>
          <w:b w:val="0"/>
          <w:noProof/>
          <w:szCs w:val="22"/>
          <w:lang w:val="af-ZA"/>
        </w:rPr>
        <w:t xml:space="preserve"> </w:t>
      </w:r>
      <w:r w:rsidRPr="007955BB">
        <w:rPr>
          <w:b w:val="0"/>
          <w:noProof/>
          <w:szCs w:val="22"/>
          <w:lang w:val="hy-AM"/>
        </w:rPr>
        <w:t>Ազգային</w:t>
      </w:r>
      <w:r w:rsidRPr="007955BB">
        <w:rPr>
          <w:b w:val="0"/>
          <w:noProof/>
          <w:szCs w:val="22"/>
          <w:lang w:val="af-ZA"/>
        </w:rPr>
        <w:t xml:space="preserve"> </w:t>
      </w:r>
      <w:r w:rsidRPr="007955BB">
        <w:rPr>
          <w:b w:val="0"/>
          <w:noProof/>
          <w:szCs w:val="22"/>
          <w:lang w:val="hy-AM"/>
        </w:rPr>
        <w:t>ինքնության</w:t>
      </w:r>
      <w:r w:rsidRPr="007955BB">
        <w:rPr>
          <w:b w:val="0"/>
          <w:noProof/>
          <w:szCs w:val="22"/>
          <w:lang w:val="af-ZA"/>
        </w:rPr>
        <w:t xml:space="preserve"> </w:t>
      </w:r>
      <w:r w:rsidRPr="007955BB">
        <w:rPr>
          <w:b w:val="0"/>
          <w:noProof/>
          <w:szCs w:val="22"/>
          <w:lang w:val="hy-AM"/>
        </w:rPr>
        <w:t>պահպանմանը</w:t>
      </w:r>
      <w:r w:rsidRPr="007955BB">
        <w:rPr>
          <w:b w:val="0"/>
          <w:noProof/>
          <w:szCs w:val="22"/>
          <w:lang w:val="af-ZA"/>
        </w:rPr>
        <w:t xml:space="preserve">:  </w:t>
      </w:r>
    </w:p>
    <w:p w:rsidR="00C31BDB" w:rsidRPr="007955BB" w:rsidRDefault="00C31BDB" w:rsidP="00530B17">
      <w:pPr>
        <w:numPr>
          <w:ilvl w:val="12"/>
          <w:numId w:val="0"/>
        </w:numPr>
        <w:tabs>
          <w:tab w:val="left" w:pos="851"/>
        </w:tabs>
        <w:spacing w:before="0" w:line="276" w:lineRule="auto"/>
        <w:ind w:firstLine="567"/>
        <w:rPr>
          <w:b w:val="0"/>
          <w:noProof/>
          <w:szCs w:val="22"/>
          <w:lang w:val="hy-AM"/>
        </w:rPr>
      </w:pPr>
      <w:r w:rsidRPr="007955BB">
        <w:rPr>
          <w:b w:val="0"/>
          <w:noProof/>
          <w:szCs w:val="22"/>
          <w:lang w:val="hy-AM"/>
        </w:rPr>
        <w:t>Ծրագրի</w:t>
      </w:r>
      <w:r w:rsidRPr="007955BB">
        <w:rPr>
          <w:b w:val="0"/>
          <w:noProof/>
          <w:szCs w:val="22"/>
          <w:lang w:val="af-ZA"/>
        </w:rPr>
        <w:t xml:space="preserve"> </w:t>
      </w:r>
      <w:r w:rsidRPr="007955BB">
        <w:rPr>
          <w:b w:val="0"/>
          <w:noProof/>
          <w:szCs w:val="22"/>
        </w:rPr>
        <w:t>շրջանակներում</w:t>
      </w:r>
      <w:r w:rsidRPr="007955BB">
        <w:rPr>
          <w:b w:val="0"/>
          <w:noProof/>
          <w:szCs w:val="22"/>
          <w:lang w:val="af-ZA"/>
        </w:rPr>
        <w:t xml:space="preserve"> </w:t>
      </w:r>
      <w:r w:rsidRPr="007955BB">
        <w:rPr>
          <w:b w:val="0"/>
          <w:noProof/>
          <w:szCs w:val="22"/>
        </w:rPr>
        <w:t>հատկացումները</w:t>
      </w:r>
      <w:r w:rsidRPr="007955BB">
        <w:rPr>
          <w:b w:val="0"/>
          <w:noProof/>
          <w:szCs w:val="22"/>
          <w:lang w:val="af-ZA"/>
        </w:rPr>
        <w:t xml:space="preserve"> </w:t>
      </w:r>
      <w:r w:rsidRPr="007955BB">
        <w:rPr>
          <w:b w:val="0"/>
          <w:noProof/>
          <w:szCs w:val="22"/>
        </w:rPr>
        <w:t>կուղղվեն</w:t>
      </w:r>
      <w:r w:rsidRPr="007955BB">
        <w:rPr>
          <w:b w:val="0"/>
          <w:noProof/>
          <w:szCs w:val="22"/>
          <w:lang w:val="af-ZA"/>
        </w:rPr>
        <w:t xml:space="preserve"> </w:t>
      </w:r>
      <w:r w:rsidRPr="007955BB">
        <w:rPr>
          <w:b w:val="0"/>
          <w:noProof/>
          <w:szCs w:val="22"/>
        </w:rPr>
        <w:t>Քաղաքացու</w:t>
      </w:r>
      <w:r w:rsidRPr="007955BB">
        <w:rPr>
          <w:b w:val="0"/>
          <w:noProof/>
          <w:szCs w:val="22"/>
          <w:lang w:val="af-ZA"/>
        </w:rPr>
        <w:t xml:space="preserve"> </w:t>
      </w:r>
      <w:r w:rsidRPr="007955BB">
        <w:rPr>
          <w:b w:val="0"/>
          <w:noProof/>
          <w:szCs w:val="22"/>
        </w:rPr>
        <w:t>օրվան</w:t>
      </w:r>
      <w:r w:rsidRPr="007955BB">
        <w:rPr>
          <w:b w:val="0"/>
          <w:noProof/>
          <w:szCs w:val="22"/>
          <w:lang w:val="af-ZA"/>
        </w:rPr>
        <w:t xml:space="preserve"> </w:t>
      </w:r>
      <w:r w:rsidRPr="007955BB">
        <w:rPr>
          <w:b w:val="0"/>
          <w:noProof/>
          <w:szCs w:val="22"/>
        </w:rPr>
        <w:t>նվիրված</w:t>
      </w:r>
      <w:r w:rsidRPr="007955BB">
        <w:rPr>
          <w:b w:val="0"/>
          <w:noProof/>
          <w:szCs w:val="22"/>
          <w:lang w:val="af-ZA"/>
        </w:rPr>
        <w:t xml:space="preserve"> </w:t>
      </w:r>
      <w:r w:rsidRPr="007955BB">
        <w:rPr>
          <w:b w:val="0"/>
          <w:noProof/>
          <w:szCs w:val="22"/>
        </w:rPr>
        <w:t>միջոցառ</w:t>
      </w:r>
      <w:r w:rsidRPr="007955BB">
        <w:rPr>
          <w:b w:val="0"/>
          <w:noProof/>
          <w:szCs w:val="22"/>
          <w:lang w:val="en-US"/>
        </w:rPr>
        <w:t>մանը</w:t>
      </w:r>
      <w:r w:rsidRPr="007955BB">
        <w:rPr>
          <w:b w:val="0"/>
          <w:noProof/>
          <w:szCs w:val="22"/>
          <w:lang w:val="af-ZA"/>
        </w:rPr>
        <w:t>:</w:t>
      </w:r>
    </w:p>
    <w:p w:rsidR="00C31BDB" w:rsidRPr="007955BB" w:rsidRDefault="00C31BDB" w:rsidP="00530B17">
      <w:pPr>
        <w:numPr>
          <w:ilvl w:val="12"/>
          <w:numId w:val="0"/>
        </w:numPr>
        <w:tabs>
          <w:tab w:val="left" w:pos="851"/>
        </w:tabs>
        <w:spacing w:line="276" w:lineRule="auto"/>
        <w:ind w:firstLine="567"/>
        <w:rPr>
          <w:b w:val="0"/>
          <w:noProof/>
          <w:szCs w:val="22"/>
          <w:lang w:val="hy-AM"/>
        </w:rPr>
      </w:pPr>
      <w:r w:rsidRPr="007955BB">
        <w:rPr>
          <w:noProof/>
          <w:szCs w:val="22"/>
          <w:lang w:val="hy-AM"/>
        </w:rPr>
        <w:t xml:space="preserve">Սփյուռքի գծով </w:t>
      </w:r>
      <w:r w:rsidRPr="007955BB">
        <w:rPr>
          <w:b w:val="0"/>
          <w:noProof/>
          <w:szCs w:val="22"/>
          <w:lang w:val="hy-AM"/>
        </w:rPr>
        <w:t>իրականացվում է 2 ծրագիր, որից.</w:t>
      </w:r>
    </w:p>
    <w:p w:rsidR="00C31BDB" w:rsidRPr="007955BB" w:rsidRDefault="00C31BDB" w:rsidP="00530B17">
      <w:pPr>
        <w:numPr>
          <w:ilvl w:val="12"/>
          <w:numId w:val="0"/>
        </w:numPr>
        <w:tabs>
          <w:tab w:val="left" w:pos="851"/>
        </w:tabs>
        <w:spacing w:line="276" w:lineRule="auto"/>
        <w:ind w:firstLine="567"/>
        <w:rPr>
          <w:rFonts w:cs="Sylfaen"/>
          <w:b w:val="0"/>
          <w:bCs/>
          <w:iCs/>
          <w:color w:val="000000"/>
          <w:sz w:val="20"/>
          <w:szCs w:val="20"/>
          <w:lang w:val="hy-AM" w:eastAsia="en-US"/>
        </w:rPr>
      </w:pPr>
      <w:r w:rsidRPr="007955BB">
        <w:rPr>
          <w:noProof/>
          <w:szCs w:val="22"/>
          <w:lang w:val="hy-AM"/>
        </w:rPr>
        <w:t xml:space="preserve">Հայաստան-Սփյուռք գործակցության </w:t>
      </w:r>
      <w:r w:rsidRPr="007955BB">
        <w:rPr>
          <w:b w:val="0"/>
          <w:noProof/>
          <w:szCs w:val="22"/>
          <w:lang w:val="hy-AM"/>
        </w:rPr>
        <w:t>ծրագրի գծով նախատեսվել է</w:t>
      </w:r>
      <w:r w:rsidRPr="007955BB">
        <w:rPr>
          <w:b w:val="0"/>
          <w:noProof/>
          <w:szCs w:val="22"/>
          <w:lang w:val="af-ZA"/>
        </w:rPr>
        <w:t xml:space="preserve"> </w:t>
      </w:r>
      <w:r w:rsidRPr="007955BB">
        <w:rPr>
          <w:b w:val="0"/>
          <w:noProof/>
          <w:szCs w:val="22"/>
          <w:lang w:val="hy-AM"/>
        </w:rPr>
        <w:t>հատկացնել</w:t>
      </w:r>
      <w:r w:rsidRPr="007955BB">
        <w:rPr>
          <w:b w:val="0"/>
          <w:noProof/>
          <w:szCs w:val="22"/>
          <w:lang w:val="af-ZA"/>
        </w:rPr>
        <w:t xml:space="preserve"> </w:t>
      </w:r>
      <w:r w:rsidR="00A43254" w:rsidRPr="00A43254">
        <w:rPr>
          <w:b w:val="0"/>
          <w:noProof/>
          <w:szCs w:val="22"/>
          <w:lang w:val="hy-AM"/>
        </w:rPr>
        <w:t>511</w:t>
      </w:r>
      <w:r w:rsidRPr="007955BB">
        <w:rPr>
          <w:b w:val="0"/>
          <w:noProof/>
          <w:szCs w:val="22"/>
          <w:lang w:val="hy-AM"/>
        </w:rPr>
        <w:t>.</w:t>
      </w:r>
      <w:r w:rsidR="00A43254" w:rsidRPr="00A43254">
        <w:rPr>
          <w:b w:val="0"/>
          <w:noProof/>
          <w:szCs w:val="22"/>
          <w:lang w:val="hy-AM"/>
        </w:rPr>
        <w:t>6</w:t>
      </w:r>
      <w:r w:rsidRPr="007955BB">
        <w:rPr>
          <w:b w:val="0"/>
          <w:noProof/>
          <w:szCs w:val="22"/>
          <w:lang w:val="af-ZA"/>
        </w:rPr>
        <w:t xml:space="preserve"> </w:t>
      </w:r>
      <w:r w:rsidRPr="007955BB">
        <w:rPr>
          <w:b w:val="0"/>
          <w:noProof/>
          <w:szCs w:val="22"/>
          <w:lang w:val="hy-AM"/>
        </w:rPr>
        <w:t>մլն</w:t>
      </w:r>
      <w:r w:rsidRPr="007955BB">
        <w:rPr>
          <w:b w:val="0"/>
          <w:noProof/>
          <w:szCs w:val="22"/>
          <w:lang w:val="af-ZA"/>
        </w:rPr>
        <w:t xml:space="preserve"> </w:t>
      </w:r>
      <w:r w:rsidRPr="007955BB">
        <w:rPr>
          <w:b w:val="0"/>
          <w:noProof/>
          <w:szCs w:val="22"/>
          <w:lang w:val="hy-AM"/>
        </w:rPr>
        <w:t>դրամ</w:t>
      </w:r>
      <w:r w:rsidRPr="007955BB">
        <w:rPr>
          <w:b w:val="0"/>
          <w:noProof/>
          <w:szCs w:val="22"/>
          <w:lang w:val="af-ZA"/>
        </w:rPr>
        <w:t>:</w:t>
      </w:r>
      <w:r w:rsidRPr="007955BB">
        <w:rPr>
          <w:rFonts w:cs="Sylfaen"/>
          <w:b w:val="0"/>
          <w:bCs/>
          <w:iCs/>
          <w:color w:val="000000"/>
          <w:sz w:val="20"/>
          <w:szCs w:val="20"/>
          <w:lang w:val="hy-AM" w:eastAsia="en-US"/>
        </w:rPr>
        <w:t xml:space="preserve">   </w:t>
      </w:r>
    </w:p>
    <w:p w:rsidR="00C31BDB" w:rsidRPr="00C43BF7" w:rsidRDefault="00C31BDB" w:rsidP="00530B17">
      <w:pPr>
        <w:spacing w:line="276" w:lineRule="auto"/>
        <w:rPr>
          <w:rFonts w:cs="Sylfaen"/>
          <w:b w:val="0"/>
          <w:bCs/>
          <w:szCs w:val="22"/>
          <w:lang w:val="hy-AM"/>
        </w:rPr>
      </w:pPr>
      <w:r w:rsidRPr="00C43BF7">
        <w:rPr>
          <w:rFonts w:cs="Sylfaen"/>
          <w:b w:val="0"/>
          <w:bCs/>
          <w:szCs w:val="22"/>
          <w:lang w:val="hy-AM"/>
        </w:rPr>
        <w:t xml:space="preserve">Ծրագրի նպատակն է նպաստել Հայաստան-Սփյուռք գործակցության զարգացմանը, հայապահպանությանն ու ազգային ինքնության պահպանմանը: </w:t>
      </w:r>
    </w:p>
    <w:p w:rsidR="00C31BDB" w:rsidRPr="00C43BF7" w:rsidRDefault="00C31BDB" w:rsidP="00530B17">
      <w:pPr>
        <w:spacing w:line="276" w:lineRule="auto"/>
        <w:rPr>
          <w:rFonts w:cs="Sylfaen"/>
          <w:b w:val="0"/>
          <w:bCs/>
          <w:szCs w:val="22"/>
          <w:lang w:val="hy-AM"/>
        </w:rPr>
      </w:pPr>
      <w:r w:rsidRPr="00C43BF7">
        <w:rPr>
          <w:rFonts w:cs="Sylfaen"/>
          <w:b w:val="0"/>
          <w:bCs/>
          <w:szCs w:val="22"/>
          <w:lang w:val="hy-AM"/>
        </w:rPr>
        <w:t xml:space="preserve">Ծրագրի շրջանակներում նախատեսվում է իրականացնել Սփյուռքի հայ երիտասարդության և պատանիների ուսումնաճանաչողական այցելություններ, հայերենի ուսուցման դասընթացներ՝ ընդգրկելով շուրջ 400 մասնակցի («Քայլ դեպի տուն»), </w:t>
      </w:r>
      <w:r w:rsidR="00D35F72">
        <w:rPr>
          <w:rFonts w:cs="Sylfaen"/>
          <w:b w:val="0"/>
          <w:bCs/>
          <w:szCs w:val="22"/>
          <w:lang w:val="hy-AM"/>
        </w:rPr>
        <w:t>ՀՀ-ի</w:t>
      </w:r>
      <w:r w:rsidRPr="00C43BF7">
        <w:rPr>
          <w:rFonts w:cs="Sylfaen"/>
          <w:b w:val="0"/>
          <w:bCs/>
          <w:szCs w:val="22"/>
          <w:lang w:val="hy-AM"/>
        </w:rPr>
        <w:t xml:space="preserve"> մասին սփյուռքի երիտասարդ առաջնորդների ճանաչողական և վերապատրաստման դասընթացների կազմակերպում շուրջ 20 մասնակցի համար, ինչպես նաև 18 այցելություններ սփյուռքի համայնքներ՝ խնդիրներին ծանոթանալու, դրանց լուծման ուղիների քննարկման, համայնքներում կազմակերպված միջոցառումներին մասնակցության և այլ նպատակներով, հնարավորություն է ընձեռնվում սփյուռքահայ լավագույն որակավորում ունեցող 100 մասնագետներին՝ նախորդ տարվա 50-ի դիմաց, իրենց մասնագիտական և փորձագիտական հմտություններով ներգրավվելու ՀՀ պետական կառավարման համակարգում («իԳործ»), պատրաստվելու և հեռարձակվելու են հայրենադարձության քարոզչության վերաբերյալ 84 հեռուստահաղորդումներ, տեսահոլովակներ և գովազդային նյութեր` ապահովելով սփյուռքահայերի իրազեկվածությունը:</w:t>
      </w:r>
    </w:p>
    <w:p w:rsidR="00C31BDB" w:rsidRPr="007955BB" w:rsidRDefault="00C31BDB" w:rsidP="00530B17">
      <w:pPr>
        <w:spacing w:line="276" w:lineRule="auto"/>
        <w:rPr>
          <w:b w:val="0"/>
          <w:szCs w:val="22"/>
          <w:lang w:val="af-ZA"/>
        </w:rPr>
      </w:pPr>
      <w:r w:rsidRPr="00C43BF7">
        <w:rPr>
          <w:rFonts w:cs="Sylfaen"/>
          <w:b w:val="0"/>
          <w:bCs/>
          <w:szCs w:val="22"/>
          <w:lang w:val="hy-AM"/>
        </w:rPr>
        <w:t xml:space="preserve">Ծրագրի շրջանակներում նախատեսվում է նաև </w:t>
      </w:r>
      <w:r w:rsidRPr="007955BB">
        <w:rPr>
          <w:rFonts w:cs="Sylfaen"/>
          <w:b w:val="0"/>
          <w:bCs/>
          <w:szCs w:val="22"/>
          <w:lang w:val="hy-AM"/>
        </w:rPr>
        <w:t xml:space="preserve">իրականացնել </w:t>
      </w:r>
      <w:r w:rsidRPr="00C43BF7">
        <w:rPr>
          <w:rFonts w:cs="Sylfaen"/>
          <w:b w:val="0"/>
          <w:bCs/>
          <w:szCs w:val="22"/>
          <w:lang w:val="hy-AM"/>
        </w:rPr>
        <w:t xml:space="preserve">Հայրենադարձության ինտեգրման կենտրոնի </w:t>
      </w:r>
      <w:r w:rsidRPr="007955BB">
        <w:rPr>
          <w:rFonts w:cs="Sylfaen"/>
          <w:b w:val="0"/>
          <w:bCs/>
          <w:szCs w:val="22"/>
          <w:lang w:val="hy-AM"/>
        </w:rPr>
        <w:t>ընթացիկ աշխատանքները</w:t>
      </w:r>
      <w:r w:rsidRPr="007955BB">
        <w:rPr>
          <w:b w:val="0"/>
          <w:szCs w:val="22"/>
          <w:lang w:val="af-ZA"/>
        </w:rPr>
        <w:t xml:space="preserve">, որը հնարավորություն </w:t>
      </w:r>
      <w:r w:rsidRPr="007955BB">
        <w:rPr>
          <w:b w:val="0"/>
          <w:szCs w:val="22"/>
          <w:lang w:val="hy-AM"/>
        </w:rPr>
        <w:t xml:space="preserve">է </w:t>
      </w:r>
      <w:r w:rsidRPr="007955BB">
        <w:rPr>
          <w:b w:val="0"/>
          <w:szCs w:val="22"/>
          <w:lang w:val="af-ZA"/>
        </w:rPr>
        <w:t>ընձեռ</w:t>
      </w:r>
      <w:r w:rsidRPr="007955BB">
        <w:rPr>
          <w:b w:val="0"/>
          <w:szCs w:val="22"/>
          <w:lang w:val="hy-AM"/>
        </w:rPr>
        <w:t>ում</w:t>
      </w:r>
      <w:r w:rsidRPr="007955BB">
        <w:rPr>
          <w:b w:val="0"/>
          <w:szCs w:val="22"/>
          <w:lang w:val="af-ZA"/>
        </w:rPr>
        <w:t xml:space="preserve"> կարգավորել հայրենադարձության հետ կապված տարատեսակ հարցեր</w:t>
      </w:r>
      <w:r w:rsidRPr="007955BB">
        <w:rPr>
          <w:b w:val="0"/>
          <w:szCs w:val="22"/>
          <w:lang w:val="hy-AM"/>
        </w:rPr>
        <w:t>ը</w:t>
      </w:r>
      <w:r w:rsidRPr="007955BB">
        <w:rPr>
          <w:b w:val="0"/>
          <w:szCs w:val="22"/>
          <w:lang w:val="af-ZA"/>
        </w:rPr>
        <w:t xml:space="preserve">, սպասարկելով շուրջ 2500 անձանց և նպաստում </w:t>
      </w:r>
      <w:r w:rsidR="00D35F72">
        <w:rPr>
          <w:b w:val="0"/>
          <w:szCs w:val="22"/>
          <w:lang w:val="hy-AM"/>
        </w:rPr>
        <w:t>ՀՀ-</w:t>
      </w:r>
      <w:r w:rsidRPr="007955BB">
        <w:rPr>
          <w:b w:val="0"/>
          <w:szCs w:val="22"/>
          <w:lang w:val="af-ZA"/>
        </w:rPr>
        <w:t>ում հայրենադարձների արագ և արդյունավետ ինտեգրմանը:</w:t>
      </w:r>
    </w:p>
    <w:p w:rsidR="00C31BDB" w:rsidRPr="007955BB" w:rsidRDefault="00C31BDB" w:rsidP="00530B17">
      <w:pPr>
        <w:numPr>
          <w:ilvl w:val="12"/>
          <w:numId w:val="0"/>
        </w:numPr>
        <w:tabs>
          <w:tab w:val="left" w:pos="851"/>
        </w:tabs>
        <w:spacing w:line="276" w:lineRule="auto"/>
        <w:ind w:firstLine="567"/>
        <w:rPr>
          <w:rFonts w:cs="Sylfaen"/>
          <w:b w:val="0"/>
          <w:bCs/>
          <w:iCs/>
          <w:color w:val="000000"/>
          <w:sz w:val="20"/>
          <w:szCs w:val="20"/>
          <w:lang w:val="hy-AM" w:eastAsia="en-US"/>
        </w:rPr>
      </w:pPr>
      <w:r w:rsidRPr="007955BB">
        <w:rPr>
          <w:noProof/>
          <w:szCs w:val="22"/>
          <w:lang w:val="hy-AM"/>
        </w:rPr>
        <w:t>ՀՀ զարգացման գործընթացներում Սփյուռքի ներուժի ներգրավում ծրագրի</w:t>
      </w:r>
      <w:r w:rsidRPr="007955BB">
        <w:rPr>
          <w:b w:val="0"/>
          <w:noProof/>
          <w:szCs w:val="22"/>
          <w:lang w:val="hy-AM"/>
        </w:rPr>
        <w:t xml:space="preserve"> գծով նախատեսվել է</w:t>
      </w:r>
      <w:r w:rsidRPr="007955BB">
        <w:rPr>
          <w:b w:val="0"/>
          <w:noProof/>
          <w:szCs w:val="22"/>
          <w:lang w:val="af-ZA"/>
        </w:rPr>
        <w:t xml:space="preserve"> </w:t>
      </w:r>
      <w:r w:rsidRPr="007955BB">
        <w:rPr>
          <w:b w:val="0"/>
          <w:noProof/>
          <w:szCs w:val="22"/>
          <w:lang w:val="hy-AM"/>
        </w:rPr>
        <w:t>հատկացնել</w:t>
      </w:r>
      <w:r w:rsidRPr="007955BB">
        <w:rPr>
          <w:b w:val="0"/>
          <w:noProof/>
          <w:szCs w:val="22"/>
          <w:lang w:val="af-ZA"/>
        </w:rPr>
        <w:t xml:space="preserve"> </w:t>
      </w:r>
      <w:r w:rsidRPr="007955BB">
        <w:rPr>
          <w:b w:val="0"/>
          <w:noProof/>
          <w:szCs w:val="22"/>
          <w:lang w:val="hy-AM"/>
        </w:rPr>
        <w:t>125.2</w:t>
      </w:r>
      <w:r w:rsidRPr="007955BB">
        <w:rPr>
          <w:b w:val="0"/>
          <w:noProof/>
          <w:szCs w:val="22"/>
          <w:lang w:val="af-ZA"/>
        </w:rPr>
        <w:t xml:space="preserve"> </w:t>
      </w:r>
      <w:r w:rsidRPr="007955BB">
        <w:rPr>
          <w:b w:val="0"/>
          <w:noProof/>
          <w:szCs w:val="22"/>
          <w:lang w:val="hy-AM"/>
        </w:rPr>
        <w:t>մլն</w:t>
      </w:r>
      <w:r w:rsidRPr="007955BB">
        <w:rPr>
          <w:b w:val="0"/>
          <w:noProof/>
          <w:szCs w:val="22"/>
          <w:lang w:val="af-ZA"/>
        </w:rPr>
        <w:t xml:space="preserve"> </w:t>
      </w:r>
      <w:r w:rsidRPr="007955BB">
        <w:rPr>
          <w:b w:val="0"/>
          <w:noProof/>
          <w:szCs w:val="22"/>
          <w:lang w:val="hy-AM"/>
        </w:rPr>
        <w:t>դրամ</w:t>
      </w:r>
      <w:r w:rsidRPr="007955BB">
        <w:rPr>
          <w:b w:val="0"/>
          <w:noProof/>
          <w:szCs w:val="22"/>
          <w:lang w:val="af-ZA"/>
        </w:rPr>
        <w:t>:</w:t>
      </w:r>
      <w:r w:rsidRPr="007955BB">
        <w:rPr>
          <w:rFonts w:cs="Sylfaen"/>
          <w:b w:val="0"/>
          <w:bCs/>
          <w:iCs/>
          <w:color w:val="000000"/>
          <w:sz w:val="20"/>
          <w:szCs w:val="20"/>
          <w:lang w:val="hy-AM" w:eastAsia="en-US"/>
        </w:rPr>
        <w:t xml:space="preserve">   </w:t>
      </w:r>
    </w:p>
    <w:p w:rsidR="00C31BDB" w:rsidRPr="007955BB" w:rsidRDefault="00C31BDB" w:rsidP="00530B17">
      <w:pPr>
        <w:numPr>
          <w:ilvl w:val="12"/>
          <w:numId w:val="0"/>
        </w:numPr>
        <w:tabs>
          <w:tab w:val="left" w:pos="851"/>
        </w:tabs>
        <w:spacing w:line="276" w:lineRule="auto"/>
        <w:ind w:firstLine="567"/>
        <w:rPr>
          <w:rFonts w:cs="Sylfaen"/>
          <w:b w:val="0"/>
          <w:kern w:val="16"/>
          <w:szCs w:val="22"/>
          <w:lang w:val="pt-BR"/>
        </w:rPr>
      </w:pPr>
      <w:r w:rsidRPr="007955BB">
        <w:rPr>
          <w:b w:val="0"/>
          <w:noProof/>
          <w:szCs w:val="22"/>
          <w:lang w:val="hy-AM"/>
        </w:rPr>
        <w:t xml:space="preserve">Ծրագրի նպատակն է ապահովել </w:t>
      </w:r>
      <w:r w:rsidRPr="007955BB">
        <w:rPr>
          <w:rFonts w:cs="Sylfaen"/>
          <w:b w:val="0"/>
          <w:bCs/>
          <w:szCs w:val="22"/>
          <w:lang w:val="hy-AM"/>
        </w:rPr>
        <w:t xml:space="preserve">սփյուռքի ներուժի բացահայտումը, տեղեկատվական համակարգերի ստեղծումը, կատարելագործումը և համալրումը, համատեղ ծրագրերի իրականացումը, համահայկական մասնագիտական ցանցերի ստեղծումը, </w:t>
      </w:r>
      <w:r w:rsidRPr="007955BB">
        <w:rPr>
          <w:rFonts w:cs="Sylfaen"/>
          <w:b w:val="0"/>
          <w:color w:val="000000"/>
          <w:szCs w:val="22"/>
          <w:shd w:val="clear" w:color="auto" w:fill="FFFFFF"/>
          <w:lang w:val="hy-AM"/>
        </w:rPr>
        <w:t>որի արդյունքում հնարավոր կլինի համախմբել Հայաստանի և</w:t>
      </w:r>
      <w:r w:rsidRPr="007955BB">
        <w:rPr>
          <w:rFonts w:cs="Sylfaen"/>
          <w:b w:val="0"/>
          <w:color w:val="000000"/>
          <w:szCs w:val="22"/>
          <w:shd w:val="clear" w:color="auto" w:fill="FFFFFF"/>
          <w:lang w:val="pt-BR"/>
        </w:rPr>
        <w:t xml:space="preserve"> </w:t>
      </w:r>
      <w:r w:rsidRPr="007955BB">
        <w:rPr>
          <w:rFonts w:cs="Sylfaen"/>
          <w:b w:val="0"/>
          <w:color w:val="000000"/>
          <w:szCs w:val="22"/>
          <w:shd w:val="clear" w:color="auto" w:fill="FFFFFF"/>
          <w:lang w:val="hy-AM"/>
        </w:rPr>
        <w:t>Սփյուռքի</w:t>
      </w:r>
      <w:r w:rsidRPr="007955BB">
        <w:rPr>
          <w:b w:val="0"/>
          <w:color w:val="000000"/>
          <w:szCs w:val="22"/>
          <w:shd w:val="clear" w:color="auto" w:fill="FFFFFF"/>
          <w:lang w:val="pt-BR"/>
        </w:rPr>
        <w:t xml:space="preserve"> </w:t>
      </w:r>
      <w:r w:rsidRPr="007955BB">
        <w:rPr>
          <w:rFonts w:cs="Sylfaen"/>
          <w:b w:val="0"/>
          <w:color w:val="000000"/>
          <w:szCs w:val="22"/>
          <w:shd w:val="clear" w:color="auto" w:fill="FFFFFF"/>
          <w:lang w:val="hy-AM"/>
        </w:rPr>
        <w:t>գիտական</w:t>
      </w:r>
      <w:r w:rsidRPr="007955BB">
        <w:rPr>
          <w:b w:val="0"/>
          <w:color w:val="000000"/>
          <w:szCs w:val="22"/>
          <w:shd w:val="clear" w:color="auto" w:fill="FFFFFF"/>
          <w:lang w:val="pt-BR"/>
        </w:rPr>
        <w:t xml:space="preserve">, </w:t>
      </w:r>
      <w:r w:rsidRPr="007955BB">
        <w:rPr>
          <w:rFonts w:cs="Sylfaen"/>
          <w:b w:val="0"/>
          <w:color w:val="000000"/>
          <w:szCs w:val="22"/>
          <w:shd w:val="clear" w:color="auto" w:fill="FFFFFF"/>
          <w:lang w:val="hy-AM"/>
        </w:rPr>
        <w:t>կրթական</w:t>
      </w:r>
      <w:r w:rsidRPr="007955BB">
        <w:rPr>
          <w:b w:val="0"/>
          <w:color w:val="000000"/>
          <w:szCs w:val="22"/>
          <w:shd w:val="clear" w:color="auto" w:fill="FFFFFF"/>
          <w:lang w:val="pt-BR"/>
        </w:rPr>
        <w:t xml:space="preserve">, </w:t>
      </w:r>
      <w:r w:rsidRPr="007955BB">
        <w:rPr>
          <w:rFonts w:cs="Sylfaen"/>
          <w:b w:val="0"/>
          <w:color w:val="000000"/>
          <w:szCs w:val="22"/>
          <w:shd w:val="clear" w:color="auto" w:fill="FFFFFF"/>
          <w:lang w:val="hy-AM"/>
        </w:rPr>
        <w:t>տնտեսական</w:t>
      </w:r>
      <w:r w:rsidRPr="007955BB">
        <w:rPr>
          <w:b w:val="0"/>
          <w:color w:val="000000"/>
          <w:szCs w:val="22"/>
          <w:shd w:val="clear" w:color="auto" w:fill="FFFFFF"/>
          <w:lang w:val="pt-BR"/>
        </w:rPr>
        <w:t xml:space="preserve">, </w:t>
      </w:r>
      <w:r w:rsidRPr="007955BB">
        <w:rPr>
          <w:rFonts w:cs="Sylfaen"/>
          <w:b w:val="0"/>
          <w:color w:val="000000"/>
          <w:szCs w:val="22"/>
          <w:shd w:val="clear" w:color="auto" w:fill="FFFFFF"/>
          <w:lang w:val="hy-AM"/>
        </w:rPr>
        <w:t>մշակութային</w:t>
      </w:r>
      <w:r w:rsidRPr="007955BB">
        <w:rPr>
          <w:b w:val="0"/>
          <w:color w:val="000000"/>
          <w:szCs w:val="22"/>
          <w:shd w:val="clear" w:color="auto" w:fill="FFFFFF"/>
          <w:lang w:val="pt-BR"/>
        </w:rPr>
        <w:t xml:space="preserve"> </w:t>
      </w:r>
      <w:r w:rsidRPr="007955BB">
        <w:rPr>
          <w:rFonts w:cs="Sylfaen"/>
          <w:b w:val="0"/>
          <w:color w:val="000000"/>
          <w:szCs w:val="22"/>
          <w:shd w:val="clear" w:color="auto" w:fill="FFFFFF"/>
          <w:lang w:val="hy-AM"/>
        </w:rPr>
        <w:t>և</w:t>
      </w:r>
      <w:r w:rsidRPr="007955BB">
        <w:rPr>
          <w:b w:val="0"/>
          <w:color w:val="000000"/>
          <w:szCs w:val="22"/>
          <w:shd w:val="clear" w:color="auto" w:fill="FFFFFF"/>
          <w:lang w:val="pt-BR"/>
        </w:rPr>
        <w:t xml:space="preserve"> </w:t>
      </w:r>
      <w:r w:rsidRPr="007955BB">
        <w:rPr>
          <w:rFonts w:cs="Sylfaen"/>
          <w:b w:val="0"/>
          <w:color w:val="000000"/>
          <w:szCs w:val="22"/>
          <w:shd w:val="clear" w:color="auto" w:fill="FFFFFF"/>
          <w:lang w:val="hy-AM"/>
        </w:rPr>
        <w:t>այլ</w:t>
      </w:r>
      <w:r w:rsidRPr="007955BB">
        <w:rPr>
          <w:b w:val="0"/>
          <w:color w:val="000000"/>
          <w:szCs w:val="22"/>
          <w:shd w:val="clear" w:color="auto" w:fill="FFFFFF"/>
          <w:lang w:val="pt-BR"/>
        </w:rPr>
        <w:t xml:space="preserve"> </w:t>
      </w:r>
      <w:r w:rsidRPr="007955BB">
        <w:rPr>
          <w:rFonts w:cs="Sylfaen"/>
          <w:b w:val="0"/>
          <w:color w:val="000000"/>
          <w:szCs w:val="22"/>
          <w:shd w:val="clear" w:color="auto" w:fill="FFFFFF"/>
          <w:lang w:val="hy-AM"/>
        </w:rPr>
        <w:t>ոլորտներում</w:t>
      </w:r>
      <w:r w:rsidRPr="007955BB">
        <w:rPr>
          <w:b w:val="0"/>
          <w:color w:val="000000"/>
          <w:szCs w:val="22"/>
          <w:shd w:val="clear" w:color="auto" w:fill="FFFFFF"/>
          <w:lang w:val="pt-BR"/>
        </w:rPr>
        <w:t xml:space="preserve"> </w:t>
      </w:r>
      <w:r w:rsidRPr="007955BB">
        <w:rPr>
          <w:rFonts w:cs="Sylfaen"/>
          <w:b w:val="0"/>
          <w:color w:val="000000"/>
          <w:szCs w:val="22"/>
          <w:shd w:val="clear" w:color="auto" w:fill="FFFFFF"/>
          <w:lang w:val="hy-AM"/>
        </w:rPr>
        <w:t>առկա</w:t>
      </w:r>
      <w:r w:rsidRPr="007955BB">
        <w:rPr>
          <w:b w:val="0"/>
          <w:color w:val="000000"/>
          <w:szCs w:val="22"/>
          <w:shd w:val="clear" w:color="auto" w:fill="FFFFFF"/>
          <w:lang w:val="pt-BR"/>
        </w:rPr>
        <w:t xml:space="preserve"> </w:t>
      </w:r>
      <w:r w:rsidRPr="007955BB">
        <w:rPr>
          <w:rFonts w:cs="Sylfaen"/>
          <w:b w:val="0"/>
          <w:color w:val="000000"/>
          <w:szCs w:val="22"/>
          <w:shd w:val="clear" w:color="auto" w:fill="FFFFFF"/>
          <w:lang w:val="hy-AM"/>
        </w:rPr>
        <w:t>ներուժը</w:t>
      </w:r>
      <w:r w:rsidRPr="007955BB">
        <w:rPr>
          <w:b w:val="0"/>
          <w:color w:val="000000"/>
          <w:szCs w:val="22"/>
          <w:shd w:val="clear" w:color="auto" w:fill="FFFFFF"/>
          <w:lang w:val="pt-BR"/>
        </w:rPr>
        <w:t xml:space="preserve"> </w:t>
      </w:r>
      <w:r w:rsidRPr="007955BB">
        <w:rPr>
          <w:rFonts w:cs="Sylfaen"/>
          <w:b w:val="0"/>
          <w:color w:val="000000"/>
          <w:szCs w:val="22"/>
          <w:shd w:val="clear" w:color="auto" w:fill="FFFFFF"/>
          <w:lang w:val="hy-AM"/>
        </w:rPr>
        <w:t xml:space="preserve">և այն </w:t>
      </w:r>
      <w:r w:rsidRPr="007955BB">
        <w:rPr>
          <w:b w:val="0"/>
          <w:color w:val="000000"/>
          <w:szCs w:val="22"/>
          <w:shd w:val="clear" w:color="auto" w:fill="FFFFFF"/>
          <w:lang w:val="pt-BR"/>
        </w:rPr>
        <w:t xml:space="preserve"> </w:t>
      </w:r>
      <w:r w:rsidRPr="007955BB">
        <w:rPr>
          <w:rFonts w:cs="Sylfaen"/>
          <w:b w:val="0"/>
          <w:color w:val="000000"/>
          <w:szCs w:val="22"/>
          <w:shd w:val="clear" w:color="auto" w:fill="FFFFFF"/>
          <w:lang w:val="hy-AM"/>
        </w:rPr>
        <w:t>արդյունավետ</w:t>
      </w:r>
      <w:r w:rsidRPr="007955BB">
        <w:rPr>
          <w:b w:val="0"/>
          <w:color w:val="000000"/>
          <w:szCs w:val="22"/>
          <w:shd w:val="clear" w:color="auto" w:fill="FFFFFF"/>
          <w:lang w:val="pt-BR"/>
        </w:rPr>
        <w:t xml:space="preserve"> </w:t>
      </w:r>
      <w:r w:rsidRPr="007955BB">
        <w:rPr>
          <w:rFonts w:cs="Sylfaen"/>
          <w:b w:val="0"/>
          <w:color w:val="000000"/>
          <w:szCs w:val="22"/>
          <w:shd w:val="clear" w:color="auto" w:fill="FFFFFF"/>
          <w:lang w:val="hy-AM"/>
        </w:rPr>
        <w:t>կիրառել առաջադրված</w:t>
      </w:r>
      <w:r w:rsidRPr="007955BB">
        <w:rPr>
          <w:b w:val="0"/>
          <w:color w:val="000000"/>
          <w:szCs w:val="22"/>
          <w:shd w:val="clear" w:color="auto" w:fill="FFFFFF"/>
          <w:lang w:val="pt-BR"/>
        </w:rPr>
        <w:t xml:space="preserve"> </w:t>
      </w:r>
      <w:r w:rsidRPr="007955BB">
        <w:rPr>
          <w:rFonts w:cs="Sylfaen"/>
          <w:b w:val="0"/>
          <w:color w:val="000000"/>
          <w:szCs w:val="22"/>
          <w:shd w:val="clear" w:color="auto" w:fill="FFFFFF"/>
          <w:lang w:val="hy-AM"/>
        </w:rPr>
        <w:t>խնդիրների</w:t>
      </w:r>
      <w:r w:rsidRPr="007955BB">
        <w:rPr>
          <w:b w:val="0"/>
          <w:color w:val="000000"/>
          <w:szCs w:val="22"/>
          <w:shd w:val="clear" w:color="auto" w:fill="FFFFFF"/>
          <w:lang w:val="pt-BR"/>
        </w:rPr>
        <w:t xml:space="preserve"> </w:t>
      </w:r>
      <w:r w:rsidRPr="007955BB">
        <w:rPr>
          <w:rFonts w:cs="Sylfaen"/>
          <w:b w:val="0"/>
          <w:color w:val="000000"/>
          <w:szCs w:val="22"/>
          <w:shd w:val="clear" w:color="auto" w:fill="FFFFFF"/>
          <w:lang w:val="hy-AM"/>
        </w:rPr>
        <w:t>լուծման</w:t>
      </w:r>
      <w:r w:rsidRPr="007955BB">
        <w:rPr>
          <w:b w:val="0"/>
          <w:color w:val="000000"/>
          <w:szCs w:val="22"/>
          <w:shd w:val="clear" w:color="auto" w:fill="FFFFFF"/>
          <w:lang w:val="pt-BR"/>
        </w:rPr>
        <w:t xml:space="preserve"> </w:t>
      </w:r>
      <w:r w:rsidRPr="007955BB">
        <w:rPr>
          <w:rFonts w:cs="Sylfaen"/>
          <w:b w:val="0"/>
          <w:color w:val="000000"/>
          <w:szCs w:val="22"/>
          <w:shd w:val="clear" w:color="auto" w:fill="FFFFFF"/>
          <w:lang w:val="hy-AM"/>
        </w:rPr>
        <w:t>համար</w:t>
      </w:r>
      <w:r w:rsidRPr="007955BB">
        <w:rPr>
          <w:b w:val="0"/>
          <w:color w:val="000000"/>
          <w:szCs w:val="22"/>
          <w:shd w:val="clear" w:color="auto" w:fill="FFFFFF"/>
          <w:lang w:val="pt-BR"/>
        </w:rPr>
        <w:t>:</w:t>
      </w:r>
    </w:p>
    <w:p w:rsidR="00C31BDB" w:rsidRPr="007955BB" w:rsidRDefault="00C31BDB" w:rsidP="00530B17">
      <w:pPr>
        <w:spacing w:before="0" w:line="276" w:lineRule="auto"/>
        <w:rPr>
          <w:b w:val="0"/>
          <w:noProof/>
          <w:szCs w:val="22"/>
          <w:lang w:val="hy-AM"/>
        </w:rPr>
      </w:pPr>
      <w:r w:rsidRPr="007955BB">
        <w:rPr>
          <w:b w:val="0"/>
          <w:noProof/>
          <w:szCs w:val="22"/>
          <w:lang w:val="hy-AM"/>
        </w:rPr>
        <w:t xml:space="preserve">   </w:t>
      </w:r>
      <w:r w:rsidRPr="007955BB">
        <w:rPr>
          <w:b w:val="0"/>
          <w:i/>
          <w:noProof/>
          <w:szCs w:val="22"/>
          <w:lang w:val="hy-AM"/>
        </w:rPr>
        <w:t xml:space="preserve"> </w:t>
      </w:r>
      <w:r w:rsidRPr="007955BB">
        <w:rPr>
          <w:b w:val="0"/>
          <w:i/>
          <w:noProof/>
          <w:szCs w:val="22"/>
          <w:lang w:val="pt-BR"/>
        </w:rPr>
        <w:t xml:space="preserve"> </w:t>
      </w:r>
      <w:r w:rsidRPr="007955BB">
        <w:rPr>
          <w:b w:val="0"/>
          <w:szCs w:val="22"/>
          <w:lang w:val="hy-AM"/>
        </w:rPr>
        <w:t>Ծրագրի</w:t>
      </w:r>
      <w:r w:rsidRPr="00C43BF7">
        <w:rPr>
          <w:b w:val="0"/>
          <w:szCs w:val="22"/>
          <w:lang w:val="pt-BR"/>
        </w:rPr>
        <w:t xml:space="preserve"> </w:t>
      </w:r>
      <w:r w:rsidRPr="007955BB">
        <w:rPr>
          <w:b w:val="0"/>
          <w:szCs w:val="22"/>
          <w:lang w:val="hy-AM"/>
        </w:rPr>
        <w:t>շրջանակներում նախատեսվում</w:t>
      </w:r>
      <w:r w:rsidRPr="00C43BF7">
        <w:rPr>
          <w:b w:val="0"/>
          <w:szCs w:val="22"/>
          <w:lang w:val="pt-BR"/>
        </w:rPr>
        <w:t xml:space="preserve"> </w:t>
      </w:r>
      <w:r w:rsidRPr="007955BB">
        <w:rPr>
          <w:b w:val="0"/>
          <w:szCs w:val="22"/>
          <w:lang w:val="hy-AM"/>
        </w:rPr>
        <w:t>է</w:t>
      </w:r>
      <w:r w:rsidRPr="00C43BF7">
        <w:rPr>
          <w:b w:val="0"/>
          <w:szCs w:val="22"/>
          <w:lang w:val="pt-BR"/>
        </w:rPr>
        <w:t xml:space="preserve"> </w:t>
      </w:r>
      <w:r w:rsidRPr="007955BB">
        <w:rPr>
          <w:b w:val="0"/>
          <w:szCs w:val="22"/>
          <w:lang w:val="hy-AM"/>
        </w:rPr>
        <w:t>իրականացնել</w:t>
      </w:r>
      <w:r w:rsidRPr="00C43BF7">
        <w:rPr>
          <w:b w:val="0"/>
          <w:szCs w:val="22"/>
          <w:lang w:val="pt-BR"/>
        </w:rPr>
        <w:t xml:space="preserve"> </w:t>
      </w:r>
      <w:r w:rsidRPr="007955BB">
        <w:rPr>
          <w:b w:val="0"/>
          <w:szCs w:val="22"/>
          <w:lang w:val="hy-AM"/>
        </w:rPr>
        <w:t xml:space="preserve">2 </w:t>
      </w:r>
      <w:r w:rsidRPr="007955BB">
        <w:rPr>
          <w:b w:val="0"/>
          <w:noProof/>
          <w:szCs w:val="22"/>
          <w:lang w:val="hy-AM"/>
        </w:rPr>
        <w:t>Համահայկական համաժողով (երիտասարդական համահայկական և ս</w:t>
      </w:r>
      <w:r w:rsidRPr="007955BB">
        <w:rPr>
          <w:rFonts w:eastAsia="Calibri"/>
          <w:b w:val="0"/>
          <w:color w:val="000000"/>
          <w:szCs w:val="22"/>
          <w:lang w:val="pt-BR"/>
        </w:rPr>
        <w:t xml:space="preserve">փյուռքահայ </w:t>
      </w:r>
      <w:r w:rsidRPr="007955BB">
        <w:rPr>
          <w:rFonts w:eastAsia="Calibri"/>
          <w:b w:val="0"/>
          <w:color w:val="000000"/>
          <w:szCs w:val="22"/>
          <w:lang w:val="hy-AM"/>
        </w:rPr>
        <w:t>իրավաբանների համաժողովներ</w:t>
      </w:r>
      <w:r w:rsidRPr="007955BB">
        <w:rPr>
          <w:rFonts w:eastAsia="Calibri"/>
          <w:b w:val="0"/>
          <w:color w:val="000000"/>
          <w:szCs w:val="22"/>
          <w:lang w:val="pt-BR"/>
        </w:rPr>
        <w:t>)</w:t>
      </w:r>
      <w:r w:rsidRPr="007955BB">
        <w:rPr>
          <w:rFonts w:eastAsia="Calibri"/>
          <w:b w:val="0"/>
          <w:color w:val="000000"/>
          <w:szCs w:val="22"/>
          <w:lang w:val="hy-AM"/>
        </w:rPr>
        <w:t xml:space="preserve">, որը ներգրավելու է </w:t>
      </w:r>
      <w:r w:rsidRPr="007955BB">
        <w:rPr>
          <w:b w:val="0"/>
          <w:noProof/>
          <w:szCs w:val="22"/>
          <w:lang w:val="hy-AM"/>
        </w:rPr>
        <w:t>շուրջ 1250 մասնակից, ինչպես նաև «</w:t>
      </w:r>
      <w:r w:rsidRPr="007955BB">
        <w:rPr>
          <w:b w:val="0"/>
          <w:noProof/>
          <w:szCs w:val="22"/>
          <w:lang w:val="pt-BR"/>
        </w:rPr>
        <w:t>Սփյուռքի մարդկային ներուժի վերհանում, դրա քարտեզագրում և տեղեկատվական բազայի ստեղծում»</w:t>
      </w:r>
      <w:r w:rsidRPr="007955BB">
        <w:rPr>
          <w:b w:val="0"/>
          <w:noProof/>
          <w:szCs w:val="22"/>
          <w:lang w:val="hy-AM"/>
        </w:rPr>
        <w:t xml:space="preserve"> միջոցառման գծով հավաքագրել  և մոտքագրել սփյուռքի մարդկային ներուժի 25 000 տվյալ: </w:t>
      </w:r>
    </w:p>
    <w:p w:rsidR="00C31BDB" w:rsidRPr="007955BB" w:rsidRDefault="00C31BDB" w:rsidP="00530B17">
      <w:pPr>
        <w:numPr>
          <w:ilvl w:val="12"/>
          <w:numId w:val="0"/>
        </w:numPr>
        <w:tabs>
          <w:tab w:val="left" w:pos="851"/>
        </w:tabs>
        <w:spacing w:line="276" w:lineRule="auto"/>
        <w:ind w:firstLine="567"/>
        <w:rPr>
          <w:rFonts w:cs="Times LatArm"/>
          <w:b w:val="0"/>
          <w:szCs w:val="22"/>
          <w:lang w:val="hy-AM"/>
        </w:rPr>
      </w:pPr>
      <w:r w:rsidRPr="007955BB">
        <w:rPr>
          <w:rFonts w:cs="Times LatArm"/>
          <w:szCs w:val="22"/>
          <w:lang w:val="hy-AM"/>
        </w:rPr>
        <w:t xml:space="preserve">Քաղաքացիական ծառայողների վերապատրաստում </w:t>
      </w:r>
      <w:r w:rsidRPr="007955BB">
        <w:rPr>
          <w:rFonts w:cs="Times LatArm"/>
          <w:b w:val="0"/>
          <w:szCs w:val="22"/>
          <w:lang w:val="hy-AM"/>
        </w:rPr>
        <w:t>ծրագրի գծով նախատեսվել է հատկացնել 10.0 մլն դրամ:</w:t>
      </w:r>
    </w:p>
    <w:p w:rsidR="00C31BDB" w:rsidRPr="007955BB" w:rsidRDefault="00C31BDB" w:rsidP="00530B17">
      <w:pPr>
        <w:numPr>
          <w:ilvl w:val="12"/>
          <w:numId w:val="0"/>
        </w:numPr>
        <w:tabs>
          <w:tab w:val="left" w:pos="851"/>
        </w:tabs>
        <w:spacing w:line="276" w:lineRule="auto"/>
        <w:ind w:firstLine="567"/>
        <w:rPr>
          <w:rFonts w:cs="Times LatArm"/>
          <w:b w:val="0"/>
          <w:szCs w:val="22"/>
          <w:lang w:val="hy-AM"/>
        </w:rPr>
      </w:pPr>
      <w:r w:rsidRPr="007955BB">
        <w:rPr>
          <w:rFonts w:cs="Times LatArm"/>
          <w:b w:val="0"/>
          <w:szCs w:val="22"/>
          <w:lang w:val="hy-AM"/>
        </w:rPr>
        <w:t>Ծրագրի նպատակն է 1400 քաղաքացիական ծառայողների մասնագիտական գիտելիքների, աշխատանքային ունակությունների հետևողական վերապատրաստում և ուսուցում:</w:t>
      </w:r>
    </w:p>
    <w:p w:rsidR="00C31BDB" w:rsidRPr="007955BB" w:rsidRDefault="00C31BDB" w:rsidP="00530B17">
      <w:pPr>
        <w:spacing w:line="276" w:lineRule="auto"/>
        <w:rPr>
          <w:rFonts w:cs="Times LatArm"/>
          <w:b w:val="0"/>
          <w:szCs w:val="22"/>
          <w:lang w:val="hy-AM"/>
        </w:rPr>
      </w:pPr>
      <w:r w:rsidRPr="007955BB">
        <w:rPr>
          <w:rFonts w:cs="Times LatArm"/>
          <w:szCs w:val="22"/>
          <w:lang w:val="hy-AM"/>
        </w:rPr>
        <w:t xml:space="preserve">Պետական հատվածի արդիականացման </w:t>
      </w:r>
      <w:r w:rsidRPr="007955BB">
        <w:rPr>
          <w:rFonts w:cs="Times LatArm"/>
          <w:b w:val="0"/>
          <w:szCs w:val="22"/>
          <w:lang w:val="hy-AM"/>
        </w:rPr>
        <w:t>ծրագրի գծով  նախատեսվել է  7</w:t>
      </w:r>
      <w:r w:rsidR="00FD071F" w:rsidRPr="00FD071F">
        <w:rPr>
          <w:rFonts w:cs="Times LatArm"/>
          <w:b w:val="0"/>
          <w:szCs w:val="22"/>
          <w:lang w:val="hy-AM"/>
        </w:rPr>
        <w:t>48</w:t>
      </w:r>
      <w:r w:rsidRPr="007955BB">
        <w:rPr>
          <w:rFonts w:cs="Times LatArm"/>
          <w:b w:val="0"/>
          <w:szCs w:val="22"/>
          <w:lang w:val="hy-AM"/>
        </w:rPr>
        <w:t>.</w:t>
      </w:r>
      <w:r w:rsidR="00FD071F" w:rsidRPr="00FD071F">
        <w:rPr>
          <w:rFonts w:cs="Times LatArm"/>
          <w:b w:val="0"/>
          <w:szCs w:val="22"/>
          <w:lang w:val="hy-AM"/>
        </w:rPr>
        <w:t>3</w:t>
      </w:r>
      <w:r w:rsidRPr="007955BB">
        <w:rPr>
          <w:rFonts w:cs="Times LatArm"/>
          <w:b w:val="0"/>
          <w:szCs w:val="22"/>
          <w:lang w:val="hy-AM"/>
        </w:rPr>
        <w:t xml:space="preserve"> մլն դրամ: </w:t>
      </w:r>
    </w:p>
    <w:p w:rsidR="00C31BDB" w:rsidRPr="007955BB" w:rsidRDefault="00C31BDB" w:rsidP="00530B17">
      <w:pPr>
        <w:spacing w:line="276" w:lineRule="auto"/>
        <w:rPr>
          <w:rFonts w:cs="Times LatArm"/>
          <w:b w:val="0"/>
          <w:szCs w:val="22"/>
          <w:lang w:val="hy-AM"/>
        </w:rPr>
      </w:pPr>
      <w:r w:rsidRPr="007955BB">
        <w:rPr>
          <w:rFonts w:cs="Times LatArm"/>
          <w:b w:val="0"/>
          <w:szCs w:val="22"/>
          <w:lang w:val="hy-AM"/>
        </w:rPr>
        <w:t xml:space="preserve">Ծրագրի նպատակն է Հանրային ֆինանսական հաշվետվությունների որակի և ընտրված էլեկտրոնային կառավարման կատարելագործված ծառայությունների հասանելիության բարելավում: </w:t>
      </w:r>
    </w:p>
    <w:p w:rsidR="00C31BDB" w:rsidRPr="007955BB" w:rsidRDefault="00C31BDB" w:rsidP="00530B17">
      <w:pPr>
        <w:spacing w:line="276" w:lineRule="auto"/>
        <w:rPr>
          <w:rFonts w:cs="Times LatArm"/>
          <w:b w:val="0"/>
          <w:szCs w:val="22"/>
          <w:lang w:val="hy-AM"/>
        </w:rPr>
      </w:pPr>
      <w:r w:rsidRPr="007955BB">
        <w:rPr>
          <w:rFonts w:cs="Times LatArm"/>
          <w:b w:val="0"/>
          <w:szCs w:val="22"/>
          <w:lang w:val="hy-AM"/>
        </w:rPr>
        <w:t xml:space="preserve">Ծրագրի շրջանակներում 2023 թվականին մեկնարկում է </w:t>
      </w:r>
      <w:r w:rsidRPr="007955BB">
        <w:rPr>
          <w:rFonts w:cs="Times LatArm"/>
          <w:szCs w:val="22"/>
          <w:lang w:val="hy-AM"/>
        </w:rPr>
        <w:t>Պետական հատվածի արդիականացման</w:t>
      </w:r>
      <w:r w:rsidRPr="007955BB">
        <w:rPr>
          <w:rFonts w:cs="Times LatArm"/>
          <w:b w:val="0"/>
          <w:szCs w:val="22"/>
          <w:lang w:val="hy-AM"/>
        </w:rPr>
        <w:t xml:space="preserve"> չորրորդ վարկային ծրագիրը, որի նպատակն է՝ քաղաքացիական ծառայության շարունակական բարեփոխումների, պետության և </w:t>
      </w:r>
      <w:r w:rsidR="00DA5AFF">
        <w:rPr>
          <w:rFonts w:cs="Times LatArm"/>
          <w:b w:val="0"/>
          <w:szCs w:val="22"/>
          <w:lang w:val="hy-AM"/>
        </w:rPr>
        <w:t>ՏԻՄ-</w:t>
      </w:r>
      <w:r w:rsidRPr="007955BB">
        <w:rPr>
          <w:rFonts w:cs="Times LatArm"/>
          <w:b w:val="0"/>
          <w:szCs w:val="22"/>
          <w:lang w:val="hy-AM"/>
        </w:rPr>
        <w:t>երի կողմից մատուցվող ծառայությունների թվայնացման և ընտրված էլեկտրոնային կառավարման համակարգերի ներդրման միջոցով աջակցել պետական կառավարման համակարգի արդիականացմանը: Ծրագրի շրջանակներում նախատեսվում է՝ Դրոշմանիշային վճարների գծով պարտավորությունների ինքնաշխատ հաշվառման համակարգի ներդրում, Մաքսային միասնական հաշվի համակարգի, Իրավաբանական անձանց էլեկտրոնային գրանցման e-register համակարգի արդիականացման, Արհեստական բանականության և մեքենայացված ուսուցման տեխնոլոգիաների հիման վրա ժամանակակից վերլուծական համակարգի հարկային և մաքսային էլեկտրոնային համակարգերում ներդրման նպատակով նախագծերի պատրաստում:</w:t>
      </w:r>
    </w:p>
    <w:p w:rsidR="00C31BDB" w:rsidRPr="007955BB" w:rsidRDefault="00C31BDB" w:rsidP="00530B17">
      <w:pPr>
        <w:overflowPunct w:val="0"/>
        <w:autoSpaceDE w:val="0"/>
        <w:autoSpaceDN w:val="0"/>
        <w:adjustRightInd w:val="0"/>
        <w:spacing w:line="276" w:lineRule="auto"/>
        <w:textAlignment w:val="baseline"/>
        <w:rPr>
          <w:rFonts w:cs="Times LatArm"/>
          <w:b w:val="0"/>
          <w:szCs w:val="22"/>
          <w:lang w:val="hy-AM"/>
        </w:rPr>
      </w:pPr>
      <w:r w:rsidRPr="007955BB">
        <w:rPr>
          <w:rFonts w:cs="Times LatArm"/>
          <w:szCs w:val="22"/>
          <w:lang w:val="hy-AM"/>
        </w:rPr>
        <w:t>Արդյունահանող ճյուղերի զարգացման</w:t>
      </w:r>
      <w:r w:rsidRPr="007955BB">
        <w:rPr>
          <w:rFonts w:cs="Times LatArm"/>
          <w:b w:val="0"/>
          <w:szCs w:val="22"/>
          <w:lang w:val="hy-AM"/>
        </w:rPr>
        <w:t xml:space="preserve"> ծրագրի գծով  նախատեսվել է  99.4 մլն դրամ: </w:t>
      </w:r>
    </w:p>
    <w:p w:rsidR="00C31BDB" w:rsidRPr="007955BB" w:rsidRDefault="00C31BDB" w:rsidP="00530B17">
      <w:pPr>
        <w:overflowPunct w:val="0"/>
        <w:autoSpaceDE w:val="0"/>
        <w:autoSpaceDN w:val="0"/>
        <w:adjustRightInd w:val="0"/>
        <w:spacing w:line="276" w:lineRule="auto"/>
        <w:textAlignment w:val="baseline"/>
        <w:rPr>
          <w:rFonts w:cs="Times LatArm"/>
          <w:b w:val="0"/>
          <w:szCs w:val="22"/>
          <w:lang w:val="hy-AM"/>
        </w:rPr>
      </w:pPr>
      <w:r w:rsidRPr="007955BB">
        <w:rPr>
          <w:rFonts w:cs="Times LatArm"/>
          <w:b w:val="0"/>
          <w:szCs w:val="22"/>
          <w:lang w:val="hy-AM"/>
        </w:rPr>
        <w:t xml:space="preserve">Ծրագրի նպատակն է Հայաստանում տնտեսական աճին հանքարդյունաբերության ոլորտի նպաստի ամրապնդումը: </w:t>
      </w:r>
    </w:p>
    <w:p w:rsidR="00C31BDB" w:rsidRPr="007955BB" w:rsidRDefault="00C31BDB" w:rsidP="00530B17">
      <w:pPr>
        <w:overflowPunct w:val="0"/>
        <w:autoSpaceDE w:val="0"/>
        <w:autoSpaceDN w:val="0"/>
        <w:adjustRightInd w:val="0"/>
        <w:spacing w:line="276" w:lineRule="auto"/>
        <w:textAlignment w:val="baseline"/>
        <w:rPr>
          <w:b w:val="0"/>
          <w:shd w:val="clear" w:color="auto" w:fill="FFFFFF"/>
          <w:lang w:val="hy-AM" w:eastAsia="en-US"/>
        </w:rPr>
      </w:pPr>
      <w:r w:rsidRPr="007955BB">
        <w:rPr>
          <w:rFonts w:cs="Times LatArm"/>
          <w:b w:val="0"/>
          <w:szCs w:val="22"/>
          <w:lang w:val="hy-AM"/>
        </w:rPr>
        <w:t>Ծրագրի շրջանակներում նախատեսվում է՝ Համաշխարհային բանկի աջակցությամբ իրականացվող «Հայաստանի արդյունահանող ճյուղերի թափանցիկության նախաձեռնությանն աջակցություն. Լրացուցիչ ֆինանսավորում» դրամաշնոր</w:t>
      </w:r>
      <w:r w:rsidRPr="007955BB">
        <w:rPr>
          <w:rFonts w:cs="Times LatArm"/>
          <w:b w:val="0"/>
          <w:szCs w:val="22"/>
          <w:lang w:val="hy-AM"/>
        </w:rPr>
        <w:softHyphen/>
        <w:t>հային ծրագիր, որի նպատակն է ԱՃԹՆ-ի միջազգային ստանդարտին համապատասխան՝ հանքաարդյունաբերության ոլորտի թափանցիկության և հաշվետվողականության բարձրացմանն աջակցություն, տվյալների համակարգված բացահայտումների համակարգի ներդնում:</w:t>
      </w:r>
      <w:r w:rsidRPr="007955BB">
        <w:rPr>
          <w:shd w:val="clear" w:color="auto" w:fill="FFFFFF"/>
          <w:lang w:val="hy-AM"/>
        </w:rPr>
        <w:t xml:space="preserve"> </w:t>
      </w:r>
      <w:r w:rsidRPr="007955BB">
        <w:rPr>
          <w:b w:val="0"/>
          <w:shd w:val="clear" w:color="auto" w:fill="FFFFFF"/>
          <w:lang w:val="hy-AM"/>
        </w:rPr>
        <w:t xml:space="preserve">2023 թվականին դրամաշնորհի միջոցներով կազմվելու է </w:t>
      </w:r>
      <w:r w:rsidR="00D35F72">
        <w:rPr>
          <w:b w:val="0"/>
          <w:shd w:val="clear" w:color="auto" w:fill="FFFFFF"/>
          <w:lang w:val="hy-AM"/>
        </w:rPr>
        <w:t>ՀՀ</w:t>
      </w:r>
      <w:r w:rsidRPr="007955BB">
        <w:rPr>
          <w:b w:val="0"/>
          <w:shd w:val="clear" w:color="auto" w:fill="FFFFFF"/>
          <w:lang w:val="hy-AM"/>
        </w:rPr>
        <w:t xml:space="preserve"> 5-րդ ազգային զեկույցը 2022 հաշվետու տարվա համար:</w:t>
      </w:r>
    </w:p>
    <w:p w:rsidR="00C31BDB" w:rsidRPr="007955BB" w:rsidRDefault="00C31BDB" w:rsidP="00C31BDB">
      <w:pPr>
        <w:numPr>
          <w:ilvl w:val="12"/>
          <w:numId w:val="0"/>
        </w:numPr>
        <w:tabs>
          <w:tab w:val="left" w:pos="851"/>
        </w:tabs>
        <w:spacing w:line="276" w:lineRule="auto"/>
        <w:ind w:firstLine="720"/>
        <w:rPr>
          <w:rFonts w:cs="Times LatArm"/>
          <w:b w:val="0"/>
          <w:szCs w:val="22"/>
          <w:lang w:val="hy-AM"/>
        </w:rPr>
      </w:pPr>
    </w:p>
    <w:p w:rsidR="00FC7885" w:rsidRPr="007955BB" w:rsidRDefault="00FC7885" w:rsidP="00427D1F">
      <w:pPr>
        <w:keepNext/>
        <w:spacing w:before="0" w:line="276" w:lineRule="auto"/>
        <w:ind w:firstLine="0"/>
        <w:contextualSpacing w:val="0"/>
        <w:jc w:val="center"/>
        <w:outlineLvl w:val="2"/>
        <w:rPr>
          <w:rFonts w:cs="Arial"/>
          <w:sz w:val="24"/>
          <w:lang w:val="hy-AM" w:eastAsia="en-US"/>
        </w:rPr>
      </w:pPr>
      <w:bookmarkStart w:id="347" w:name="_Toc120805234"/>
      <w:bookmarkStart w:id="348" w:name="_Toc526009822"/>
      <w:r w:rsidRPr="007955BB">
        <w:rPr>
          <w:rFonts w:cs="Arial"/>
          <w:sz w:val="24"/>
          <w:lang w:val="hy-AM" w:eastAsia="en-US"/>
        </w:rPr>
        <w:t>ՀՀ պետական եկամուտների կոմիտե</w:t>
      </w:r>
      <w:bookmarkEnd w:id="347"/>
    </w:p>
    <w:p w:rsidR="00F515CB" w:rsidRPr="007955BB" w:rsidRDefault="00F515CB" w:rsidP="00530B17">
      <w:pPr>
        <w:pStyle w:val="Bullet2"/>
      </w:pPr>
      <w:r w:rsidRPr="007955BB">
        <w:rPr>
          <w:b/>
          <w:lang w:val="hy-AM"/>
        </w:rPr>
        <w:t>Հարկային</w:t>
      </w:r>
      <w:r w:rsidRPr="007955BB">
        <w:rPr>
          <w:b/>
        </w:rPr>
        <w:t xml:space="preserve"> </w:t>
      </w:r>
      <w:r w:rsidRPr="007955BB">
        <w:rPr>
          <w:b/>
          <w:lang w:val="hy-AM"/>
        </w:rPr>
        <w:t>և</w:t>
      </w:r>
      <w:r w:rsidRPr="007955BB">
        <w:rPr>
          <w:b/>
        </w:rPr>
        <w:t xml:space="preserve"> </w:t>
      </w:r>
      <w:r w:rsidRPr="007955BB">
        <w:rPr>
          <w:b/>
          <w:lang w:val="hy-AM"/>
        </w:rPr>
        <w:t>մաքսային</w:t>
      </w:r>
      <w:r w:rsidRPr="007955BB">
        <w:rPr>
          <w:b/>
        </w:rPr>
        <w:t xml:space="preserve"> </w:t>
      </w:r>
      <w:r w:rsidRPr="007955BB">
        <w:rPr>
          <w:b/>
          <w:lang w:val="hy-AM"/>
        </w:rPr>
        <w:t>ծառայություններ</w:t>
      </w:r>
      <w:r w:rsidRPr="007955BB">
        <w:t xml:space="preserve"> </w:t>
      </w:r>
      <w:r w:rsidRPr="007955BB">
        <w:rPr>
          <w:lang w:val="hy-AM"/>
        </w:rPr>
        <w:t>ծրագրի</w:t>
      </w:r>
      <w:r w:rsidRPr="007955BB">
        <w:t xml:space="preserve"> </w:t>
      </w:r>
      <w:r w:rsidR="00427D1F" w:rsidRPr="007955BB">
        <w:t>գծով</w:t>
      </w:r>
      <w:r w:rsidRPr="007955BB">
        <w:t xml:space="preserve"> </w:t>
      </w:r>
      <w:r w:rsidR="00427D1F" w:rsidRPr="007955BB">
        <w:t>ՀՀ 202</w:t>
      </w:r>
      <w:r w:rsidR="00B55E68" w:rsidRPr="007955BB">
        <w:t>3</w:t>
      </w:r>
      <w:r w:rsidR="00427D1F" w:rsidRPr="007955BB">
        <w:t xml:space="preserve"> թվականի պետական բյուջեի նախագծով, </w:t>
      </w:r>
      <w:r w:rsidR="00427D1F" w:rsidRPr="007955BB">
        <w:rPr>
          <w:color w:val="000000"/>
          <w:lang w:val="hy-AM" w:eastAsia="en-US"/>
        </w:rPr>
        <w:t xml:space="preserve">ներառյալ </w:t>
      </w:r>
      <w:r w:rsidR="00427D1F" w:rsidRPr="007955BB">
        <w:rPr>
          <w:lang w:val="hy-AM" w:eastAsia="en-US"/>
        </w:rPr>
        <w:t>կառավարման ապարատի պահպանման ծախսերը,</w:t>
      </w:r>
      <w:r w:rsidR="00427D1F" w:rsidRPr="007955BB">
        <w:rPr>
          <w:lang w:val="hy-AM"/>
        </w:rPr>
        <w:t xml:space="preserve"> </w:t>
      </w:r>
      <w:r w:rsidRPr="007955BB">
        <w:rPr>
          <w:lang w:val="hy-AM"/>
        </w:rPr>
        <w:t>նախատեսվել</w:t>
      </w:r>
      <w:r w:rsidRPr="007955BB">
        <w:t xml:space="preserve"> </w:t>
      </w:r>
      <w:r w:rsidRPr="007955BB">
        <w:rPr>
          <w:lang w:val="hy-AM"/>
        </w:rPr>
        <w:t>է</w:t>
      </w:r>
      <w:r w:rsidRPr="007955BB">
        <w:t xml:space="preserve"> </w:t>
      </w:r>
      <w:r w:rsidRPr="007955BB">
        <w:rPr>
          <w:lang w:val="hy-AM"/>
        </w:rPr>
        <w:t>հատկացնել</w:t>
      </w:r>
      <w:r w:rsidRPr="007955BB">
        <w:t xml:space="preserve"> </w:t>
      </w:r>
      <w:r w:rsidR="009A59AC" w:rsidRPr="007955BB">
        <w:t>3</w:t>
      </w:r>
      <w:r w:rsidR="00DE0D20" w:rsidRPr="007955BB">
        <w:t>5</w:t>
      </w:r>
      <w:r w:rsidRPr="007955BB">
        <w:t>,</w:t>
      </w:r>
      <w:r w:rsidR="00FC4F22" w:rsidRPr="007955BB">
        <w:t>543</w:t>
      </w:r>
      <w:r w:rsidR="008152DD" w:rsidRPr="007955BB">
        <w:t>.</w:t>
      </w:r>
      <w:r w:rsidR="00FC4F22" w:rsidRPr="007955BB">
        <w:t>9</w:t>
      </w:r>
      <w:r w:rsidRPr="007955BB">
        <w:t xml:space="preserve"> մլն դրամ</w:t>
      </w:r>
      <w:r w:rsidR="00427D1F" w:rsidRPr="007955BB">
        <w:t xml:space="preserve">, </w:t>
      </w:r>
      <w:r w:rsidRPr="007955BB">
        <w:t>(</w:t>
      </w:r>
      <w:r w:rsidR="002C51C0" w:rsidRPr="007955BB">
        <w:t>այդ թվում՝</w:t>
      </w:r>
      <w:r w:rsidR="009A59AC" w:rsidRPr="007955BB">
        <w:t xml:space="preserve"> </w:t>
      </w:r>
      <w:r w:rsidRPr="007955BB">
        <w:t xml:space="preserve">վարկային միջոցներ՝ </w:t>
      </w:r>
      <w:r w:rsidR="00E04BF8" w:rsidRPr="007955BB">
        <w:t>669</w:t>
      </w:r>
      <w:r w:rsidRPr="007955BB">
        <w:t>.</w:t>
      </w:r>
      <w:r w:rsidR="00E04BF8" w:rsidRPr="007955BB">
        <w:t>7</w:t>
      </w:r>
      <w:r w:rsidRPr="007955BB">
        <w:t xml:space="preserve"> մլն</w:t>
      </w:r>
      <w:r w:rsidR="009A59AC" w:rsidRPr="007955BB">
        <w:t xml:space="preserve"> դրամ</w:t>
      </w:r>
      <w:r w:rsidRPr="007955BB">
        <w:t xml:space="preserve">, դրամաշնորհային միջոցներ՝ </w:t>
      </w:r>
      <w:r w:rsidR="008B10CB" w:rsidRPr="007955BB">
        <w:t>1,</w:t>
      </w:r>
      <w:r w:rsidR="00E04BF8" w:rsidRPr="007955BB">
        <w:t>863</w:t>
      </w:r>
      <w:r w:rsidRPr="007955BB">
        <w:t>.</w:t>
      </w:r>
      <w:r w:rsidR="00E04BF8" w:rsidRPr="007955BB">
        <w:t>2</w:t>
      </w:r>
      <w:r w:rsidRPr="007955BB">
        <w:t xml:space="preserve"> մլն դրամ, ՀՀ համաֆինանսավորում՝ ընդհանուր</w:t>
      </w:r>
      <w:r w:rsidR="008B10CB" w:rsidRPr="007955BB">
        <w:t xml:space="preserve"> </w:t>
      </w:r>
      <w:r w:rsidR="00E04BF8" w:rsidRPr="007955BB">
        <w:t>506</w:t>
      </w:r>
      <w:r w:rsidRPr="007955BB">
        <w:t>.</w:t>
      </w:r>
      <w:r w:rsidR="008B10CB" w:rsidRPr="007955BB">
        <w:t>6</w:t>
      </w:r>
      <w:r w:rsidRPr="007955BB">
        <w:t xml:space="preserve"> մլն դրամ): </w:t>
      </w:r>
    </w:p>
    <w:p w:rsidR="00F515CB" w:rsidRPr="007955BB" w:rsidRDefault="00F515CB" w:rsidP="00530B17">
      <w:pPr>
        <w:pStyle w:val="Bullet2"/>
      </w:pPr>
      <w:r w:rsidRPr="007955BB">
        <w:t>Ծրագրի նպատակը հարկային և մաքսային միասնական պետական քաղաքա</w:t>
      </w:r>
      <w:r w:rsidRPr="007955BB">
        <w:softHyphen/>
        <w:t>կանության իրականացումն է, հարկային և մաքսային օրենսդրության ամբողջական և համահավասար կիրառում</w:t>
      </w:r>
      <w:r w:rsidRPr="007955BB">
        <w:rPr>
          <w:lang w:val="en-US"/>
        </w:rPr>
        <w:t>ը</w:t>
      </w:r>
      <w:r w:rsidRPr="007955BB">
        <w:t xml:space="preserve"> ՀՀ տարածքում: Ծրագրի վերջնական արդյունքը` արդյունավետ հարկային և մաքսային հսկողության իրականացումն է և պետական բյուջեի եկամուտների ապահովումը: </w:t>
      </w:r>
    </w:p>
    <w:p w:rsidR="00DE0D20" w:rsidRPr="007955BB" w:rsidRDefault="00F515CB" w:rsidP="00530B17">
      <w:pPr>
        <w:pStyle w:val="Bullet2"/>
      </w:pPr>
      <w:r w:rsidRPr="007955BB">
        <w:t xml:space="preserve">Նշված ծրագրի շրջանակներում նախատեսվել է թվով </w:t>
      </w:r>
      <w:r w:rsidR="00DE0D20" w:rsidRPr="007955BB">
        <w:t>10</w:t>
      </w:r>
      <w:r w:rsidRPr="007955BB">
        <w:t xml:space="preserve"> միջոցառում, որից 4-ը՝ կապիտալ բնույթի (այդ թվում` մեկական վարկային և դրամաշնորհային միջոցների հաշվին իրականացվող): Մասնավորապես. նախատեսվում է </w:t>
      </w:r>
      <w:r w:rsidR="00D35F72">
        <w:t>ՀՀ-</w:t>
      </w:r>
      <w:r w:rsidRPr="007955BB">
        <w:t xml:space="preserve">ում արտադրվող և ներմուծվող ալկոհոլային խմիչքների </w:t>
      </w:r>
      <w:r w:rsidR="00DE0D20" w:rsidRPr="007955BB">
        <w:t>և ծխախոտի ակցիզային դրոշմանիշեր ձեռք բերելու համար հատկացնել 500</w:t>
      </w:r>
      <w:r w:rsidRPr="007955BB">
        <w:t>.0 մլն</w:t>
      </w:r>
      <w:r w:rsidR="00DE0D20" w:rsidRPr="007955BB">
        <w:t xml:space="preserve"> դրամ</w:t>
      </w:r>
      <w:r w:rsidRPr="007955BB">
        <w:t xml:space="preserve">, </w:t>
      </w:r>
      <w:r w:rsidR="00D35F72">
        <w:t>ՀՀ-</w:t>
      </w:r>
      <w:r w:rsidRPr="007955BB">
        <w:t xml:space="preserve">ում արտադրվող և ներմուծվող որոշակի ապրանքների </w:t>
      </w:r>
      <w:r w:rsidR="00DE0D20" w:rsidRPr="007955BB">
        <w:t xml:space="preserve">դրոշմապիտակների </w:t>
      </w:r>
      <w:r w:rsidRPr="007955BB">
        <w:t>համար</w:t>
      </w:r>
      <w:r w:rsidR="00DE0D20" w:rsidRPr="007955BB">
        <w:t>՝</w:t>
      </w:r>
      <w:r w:rsidRPr="007955BB">
        <w:t xml:space="preserve"> </w:t>
      </w:r>
      <w:r w:rsidR="00DE0D20" w:rsidRPr="007955BB">
        <w:t>5,292.</w:t>
      </w:r>
      <w:r w:rsidRPr="007955BB">
        <w:t xml:space="preserve">0 մլն </w:t>
      </w:r>
      <w:r w:rsidR="00DE0D20" w:rsidRPr="007955BB">
        <w:t>դրամ</w:t>
      </w:r>
      <w:r w:rsidRPr="007955BB">
        <w:t>:</w:t>
      </w:r>
    </w:p>
    <w:p w:rsidR="00F515CB" w:rsidRPr="007955BB" w:rsidRDefault="00F515CB" w:rsidP="00530B17">
      <w:pPr>
        <w:pStyle w:val="Bullet2"/>
      </w:pPr>
      <w:r w:rsidRPr="007955BB">
        <w:t>Նախատեսվում է շարունակել Կոմիտեի կարիքների համար անհրաժեշտ փորձաքննությունների կատարումը, եզրակացությունների տրամադրումը և անվճարու</w:t>
      </w:r>
      <w:r w:rsidRPr="007955BB">
        <w:softHyphen/>
        <w:t>նակ քաղաքացիներին իրավական ծառայու</w:t>
      </w:r>
      <w:r w:rsidRPr="007955BB">
        <w:softHyphen/>
        <w:t>թյունների տրամա</w:t>
      </w:r>
      <w:r w:rsidRPr="007955BB">
        <w:softHyphen/>
        <w:t>դրումը: Միաժամանակ, նախատեսվում է իրականացնել հարկային և մաքսային ծառայողների վերապատրաստման մեթոդիկայի մշակումը, պլանավորումը, ծրագրերի իրակա</w:t>
      </w:r>
      <w:r w:rsidRPr="007955BB">
        <w:softHyphen/>
        <w:t>նացումը և աջակցության ծառայությունների մատուցումը</w:t>
      </w:r>
      <w:r w:rsidR="00B55E68" w:rsidRPr="007955BB">
        <w:t>, 14</w:t>
      </w:r>
      <w:r w:rsidRPr="007955BB">
        <w:t>00 ծառայողների վերապատրաստումը:</w:t>
      </w:r>
    </w:p>
    <w:p w:rsidR="00243B52" w:rsidRPr="007955BB" w:rsidRDefault="00243B52" w:rsidP="00530B17">
      <w:pPr>
        <w:pStyle w:val="Bullet2"/>
      </w:pPr>
      <w:r w:rsidRPr="007955BB">
        <w:t xml:space="preserve">Բացի վերը նշվածից, նախատեսվում է նաև </w:t>
      </w:r>
      <w:r w:rsidR="00E77748">
        <w:t>ՊԵԿ-</w:t>
      </w:r>
      <w:r w:rsidRPr="007955BB">
        <w:t>ի շենքային ապահովվածության պայմանների բարելավմանն ուղղված միջոցառումներ, որոնց  նպատակն է Կոմիտեի կարիքնե</w:t>
      </w:r>
      <w:r w:rsidRPr="007955BB">
        <w:softHyphen/>
        <w:t xml:space="preserve">րի համար նոր շենքերի կառուցումը: </w:t>
      </w:r>
      <w:r w:rsidRPr="007955BB">
        <w:rPr>
          <w:lang w:val="en-US"/>
        </w:rPr>
        <w:t>Մասնավորապես</w:t>
      </w:r>
      <w:r w:rsidRPr="007955BB">
        <w:t xml:space="preserve">. նախատեսվում է </w:t>
      </w:r>
      <w:r w:rsidRPr="007955BB">
        <w:rPr>
          <w:lang w:val="en-US"/>
        </w:rPr>
        <w:t>սկսել</w:t>
      </w:r>
      <w:r w:rsidRPr="007955BB">
        <w:t xml:space="preserve"> Երևան քաղաքի արտաքին տնտեսական գործունեության կենտրոնի կառուցման և Արևելյան մաքսատան-վարչության Բագրատաշենի մաքսային կետ-բաժնի ենթակառուցվածքների վերակառուցում աշխատանքները:</w:t>
      </w:r>
    </w:p>
    <w:p w:rsidR="00F515CB" w:rsidRPr="007955BB" w:rsidRDefault="00F515CB" w:rsidP="00530B17">
      <w:pPr>
        <w:pStyle w:val="Bullet2"/>
        <w:rPr>
          <w:b/>
        </w:rPr>
      </w:pPr>
      <w:r w:rsidRPr="007955BB">
        <w:t xml:space="preserve">Ծրագրի շրջանակներում նախատեսվում է նաև </w:t>
      </w:r>
      <w:r w:rsidR="00DA5AFF">
        <w:rPr>
          <w:lang w:val="hy-AM"/>
        </w:rPr>
        <w:t>ՎԶԵԲ</w:t>
      </w:r>
      <w:r w:rsidRPr="007955BB">
        <w:t xml:space="preserve"> աջակցությամբ իրակա</w:t>
      </w:r>
      <w:r w:rsidRPr="007955BB">
        <w:softHyphen/>
        <w:t xml:space="preserve">նացվող «Մեղրիի սահմանային անցակետի ծրագիր» դրամաշնորհային և վարկային ծրագրերով </w:t>
      </w:r>
      <w:r w:rsidR="00E77748">
        <w:rPr>
          <w:lang w:val="hy-AM"/>
        </w:rPr>
        <w:t>ՊԵԿ-</w:t>
      </w:r>
      <w:r w:rsidRPr="007955BB">
        <w:t xml:space="preserve">ի նոր շենքային պայմանների ապահովումը, ինչի նպատակն է ՎԶԵԲ-ի կողմից տրամադրվող դրամաշնորհային </w:t>
      </w:r>
      <w:r w:rsidR="00E04BF8" w:rsidRPr="007955BB">
        <w:t>և վարկային ծրագրերի</w:t>
      </w:r>
      <w:r w:rsidRPr="007955BB">
        <w:t xml:space="preserve"> շրջա</w:t>
      </w:r>
      <w:r w:rsidRPr="007955BB">
        <w:softHyphen/>
        <w:t>նակներում Կոմիտեի Մեղրիի սահմանային անցակետում միջազգային չափորոշիչներին համա</w:t>
      </w:r>
      <w:r w:rsidRPr="007955BB">
        <w:softHyphen/>
        <w:t xml:space="preserve">պատասխան նոր մաքսակետի կառուցումը: </w:t>
      </w:r>
    </w:p>
    <w:p w:rsidR="00FC7885" w:rsidRPr="007955BB" w:rsidRDefault="00FC7885" w:rsidP="00FC7885">
      <w:pPr>
        <w:tabs>
          <w:tab w:val="left" w:pos="993"/>
        </w:tabs>
        <w:spacing w:before="0" w:line="276" w:lineRule="auto"/>
        <w:rPr>
          <w:b w:val="0"/>
          <w:szCs w:val="22"/>
          <w:lang w:val="af-ZA"/>
        </w:rPr>
      </w:pPr>
    </w:p>
    <w:p w:rsidR="00FC7885" w:rsidRPr="007955BB" w:rsidRDefault="00FC7885" w:rsidP="00427D1F">
      <w:pPr>
        <w:keepNext/>
        <w:spacing w:before="0" w:line="276" w:lineRule="auto"/>
        <w:ind w:firstLine="0"/>
        <w:contextualSpacing w:val="0"/>
        <w:jc w:val="center"/>
        <w:outlineLvl w:val="2"/>
        <w:rPr>
          <w:rFonts w:cs="Arial"/>
          <w:sz w:val="24"/>
          <w:lang w:val="hy-AM" w:eastAsia="en-US"/>
        </w:rPr>
      </w:pPr>
      <w:bookmarkStart w:id="349" w:name="_Toc120805235"/>
      <w:r w:rsidRPr="007955BB">
        <w:rPr>
          <w:rFonts w:cs="Arial"/>
          <w:sz w:val="24"/>
          <w:lang w:val="hy-AM" w:eastAsia="en-US"/>
        </w:rPr>
        <w:t>ՀՀ կադաստրի կոմիտե</w:t>
      </w:r>
      <w:bookmarkEnd w:id="349"/>
      <w:r w:rsidRPr="007955BB">
        <w:rPr>
          <w:rFonts w:cs="Arial"/>
          <w:sz w:val="24"/>
          <w:lang w:val="hy-AM" w:eastAsia="en-US"/>
        </w:rPr>
        <w:t xml:space="preserve"> </w:t>
      </w:r>
    </w:p>
    <w:p w:rsidR="00EF477B" w:rsidRPr="007955BB" w:rsidRDefault="00EF477B" w:rsidP="00EF477B">
      <w:pPr>
        <w:widowControl w:val="0"/>
        <w:spacing w:before="0" w:line="276" w:lineRule="auto"/>
        <w:rPr>
          <w:rFonts w:eastAsia="Calibri" w:cs="Sylfaen"/>
          <w:b w:val="0"/>
          <w:szCs w:val="22"/>
          <w:lang w:val="af-ZA"/>
        </w:rPr>
      </w:pPr>
      <w:r w:rsidRPr="007955BB">
        <w:rPr>
          <w:rFonts w:eastAsia="Calibri" w:cs="Sylfaen"/>
          <w:b w:val="0"/>
          <w:szCs w:val="22"/>
          <w:lang w:val="af-ZA"/>
        </w:rPr>
        <w:t>Անշարժ գույքի պետական ռեգիստրի համակարգի գծով ՀՀ 2023 թվականի պետական բյուջեի նախագծով նախատեսվում է 4,</w:t>
      </w:r>
      <w:r w:rsidR="00E86D75" w:rsidRPr="007955BB">
        <w:rPr>
          <w:rFonts w:eastAsia="Calibri" w:cs="Sylfaen"/>
          <w:b w:val="0"/>
          <w:szCs w:val="22"/>
          <w:lang w:val="af-ZA"/>
        </w:rPr>
        <w:t>418</w:t>
      </w:r>
      <w:r w:rsidRPr="007955BB">
        <w:rPr>
          <w:rFonts w:eastAsia="Calibri" w:cs="Sylfaen"/>
          <w:b w:val="0"/>
          <w:szCs w:val="22"/>
          <w:lang w:val="af-ZA"/>
        </w:rPr>
        <w:t>.</w:t>
      </w:r>
      <w:r w:rsidR="00E86D75" w:rsidRPr="007955BB">
        <w:rPr>
          <w:rFonts w:eastAsia="Calibri" w:cs="Sylfaen"/>
          <w:b w:val="0"/>
          <w:szCs w:val="22"/>
          <w:lang w:val="af-ZA"/>
        </w:rPr>
        <w:t>0</w:t>
      </w:r>
      <w:r w:rsidRPr="007955BB">
        <w:rPr>
          <w:rFonts w:eastAsia="Calibri" w:cs="Sylfaen"/>
          <w:b w:val="0"/>
          <w:szCs w:val="22"/>
          <w:lang w:val="af-ZA"/>
        </w:rPr>
        <w:t xml:space="preserve"> մլն դրամի ծախսեր (ներառյալ կառավարման ապարատի պահպանման ծախսերը)։ Նշված գումարի շրջանակներում նախատեսվում է իրականացնել Անշարժ գույքի կադաստրի վարման բնագավառում պետական քաղաքականության իրականացում ծրագիրը։ Ծրագրի նպատակն է անշարժ գույքի պետական միասնական կադաստրի համակարգի զարգացումը, պետության կողմից անշարժ գույքի նկատմամբ իրավունքների ճանաչումը, երաշխավորումը և պաշտպանությունը։ </w:t>
      </w:r>
    </w:p>
    <w:p w:rsidR="00EF477B" w:rsidRPr="007955BB" w:rsidRDefault="00EF477B" w:rsidP="00EF477B">
      <w:pPr>
        <w:widowControl w:val="0"/>
        <w:spacing w:before="0" w:line="276" w:lineRule="auto"/>
        <w:rPr>
          <w:rFonts w:eastAsia="Calibri" w:cs="Sylfaen"/>
          <w:b w:val="0"/>
          <w:szCs w:val="22"/>
          <w:lang w:val="af-ZA"/>
        </w:rPr>
      </w:pPr>
      <w:r w:rsidRPr="007955BB">
        <w:rPr>
          <w:rFonts w:eastAsia="Calibri" w:cs="Sylfaen"/>
          <w:b w:val="0"/>
          <w:szCs w:val="22"/>
          <w:lang w:val="af-ZA"/>
        </w:rPr>
        <w:t xml:space="preserve">Գեոդեզիայի ու քարտեզագրության բնագավառի զարգացման նպատակով նախատեսվում է շարունակել իրականացնել  երկրատեղեկատվական համակարգում </w:t>
      </w:r>
      <w:r w:rsidR="00D35F72">
        <w:rPr>
          <w:rFonts w:eastAsia="Calibri" w:cs="Sylfaen"/>
          <w:b w:val="0"/>
          <w:szCs w:val="22"/>
          <w:lang w:val="hy-AM"/>
        </w:rPr>
        <w:t>ՀՀ</w:t>
      </w:r>
      <w:r w:rsidRPr="007955BB">
        <w:rPr>
          <w:rFonts w:eastAsia="Calibri" w:cs="Sylfaen"/>
          <w:b w:val="0"/>
          <w:szCs w:val="22"/>
          <w:lang w:val="af-ZA"/>
        </w:rPr>
        <w:t xml:space="preserve"> բնակավայրերի քարտեզագրական հենքի ստեղծման աշխատանքները, ՀՀ օրթոֆոտոհատակագծերով ամբողջությամբ ծածկված համայնքների ճշգրտված կադաստրային թաղամասերի հատակագծերը, ՀՀ համայնքների կադաստրային թաղամասերի ուղղման նպատակով լրացուցիչ կետերի դիտարկման և թաղամասերի արտաքին սահմանների ամբողջական ուղղման աշխատանքները։</w:t>
      </w:r>
    </w:p>
    <w:p w:rsidR="00427D1F" w:rsidRPr="007955BB" w:rsidRDefault="00427D1F" w:rsidP="0081133C">
      <w:pPr>
        <w:widowControl w:val="0"/>
        <w:spacing w:before="0" w:line="276" w:lineRule="auto"/>
        <w:rPr>
          <w:rFonts w:eastAsia="Calibri" w:cs="Sylfaen"/>
          <w:b w:val="0"/>
          <w:szCs w:val="22"/>
          <w:lang w:val="af-ZA"/>
        </w:rPr>
      </w:pPr>
    </w:p>
    <w:p w:rsidR="00243DE8" w:rsidRPr="007955BB" w:rsidRDefault="00243DE8" w:rsidP="00427D1F">
      <w:pPr>
        <w:keepNext/>
        <w:spacing w:before="0" w:line="276" w:lineRule="auto"/>
        <w:ind w:firstLine="0"/>
        <w:contextualSpacing w:val="0"/>
        <w:jc w:val="center"/>
        <w:outlineLvl w:val="2"/>
        <w:rPr>
          <w:rFonts w:cs="Arial"/>
          <w:sz w:val="24"/>
          <w:lang w:val="hy-AM" w:eastAsia="en-US"/>
        </w:rPr>
      </w:pPr>
      <w:bookmarkStart w:id="350" w:name="_Toc120805236"/>
      <w:r w:rsidRPr="007955BB">
        <w:rPr>
          <w:rFonts w:cs="Arial"/>
          <w:sz w:val="24"/>
          <w:lang w:val="hy-AM" w:eastAsia="en-US"/>
        </w:rPr>
        <w:t>ՀՀ վիճակագրական կոմիտե</w:t>
      </w:r>
      <w:bookmarkEnd w:id="350"/>
    </w:p>
    <w:p w:rsidR="00C812A3" w:rsidRPr="007955BB" w:rsidRDefault="00C812A3" w:rsidP="00C812A3">
      <w:pPr>
        <w:spacing w:before="0" w:line="276" w:lineRule="auto"/>
        <w:contextualSpacing w:val="0"/>
        <w:rPr>
          <w:b w:val="0"/>
          <w:szCs w:val="22"/>
          <w:lang w:val="af-ZA" w:eastAsia="en-US"/>
        </w:rPr>
      </w:pPr>
      <w:r w:rsidRPr="007955BB">
        <w:rPr>
          <w:b w:val="0"/>
          <w:szCs w:val="22"/>
          <w:lang w:val="af-ZA" w:eastAsia="en-US"/>
        </w:rPr>
        <w:t>Վիճակագրական կոմիտեն ՀՀ կառավարությանը ենթակա պետական մարմին է, որն իր լիազորություններն իրականացնելիս անկախ է, ղեկավարվում է ՀՀ Սահմանադրությամբ, ՀՀ միջազգային պայմանագրերով, «Պաշտոնական վիճակագրության մասին» օրենքով և այլ իրավական ակտերով:</w:t>
      </w:r>
    </w:p>
    <w:p w:rsidR="00C812A3" w:rsidRPr="007955BB" w:rsidRDefault="00C812A3" w:rsidP="00C812A3">
      <w:pPr>
        <w:spacing w:before="0" w:line="276" w:lineRule="auto"/>
        <w:contextualSpacing w:val="0"/>
        <w:rPr>
          <w:b w:val="0"/>
          <w:szCs w:val="22"/>
          <w:lang w:val="af-ZA" w:eastAsia="en-US"/>
        </w:rPr>
      </w:pPr>
      <w:r w:rsidRPr="007955BB">
        <w:rPr>
          <w:b w:val="0"/>
          <w:szCs w:val="22"/>
          <w:lang w:val="af-ZA" w:eastAsia="en-US"/>
        </w:rPr>
        <w:t xml:space="preserve">Վիճակագրական կոմիտեն ՀՀ պաշտոնական վիճակագրության գլխավոր արտադրողն է և համակարգում է ազգային վիճակագրական համակարգում պաշտոնական վիճակագրության մշակմանը, արտադրությանը և տարածմանն ուղղված ողջ գործունեությունը, բացառությամբ  ՀՀ </w:t>
      </w:r>
      <w:r w:rsidR="00980531">
        <w:rPr>
          <w:b w:val="0"/>
          <w:szCs w:val="22"/>
          <w:lang w:val="hy-AM" w:eastAsia="en-US"/>
        </w:rPr>
        <w:t>ԿԲ-</w:t>
      </w:r>
      <w:r w:rsidRPr="007955BB">
        <w:rPr>
          <w:b w:val="0"/>
          <w:szCs w:val="22"/>
          <w:lang w:val="af-ZA" w:eastAsia="en-US"/>
        </w:rPr>
        <w:t>ի:</w:t>
      </w:r>
    </w:p>
    <w:p w:rsidR="00C812A3" w:rsidRPr="007955BB" w:rsidRDefault="00C812A3" w:rsidP="00C812A3">
      <w:pPr>
        <w:spacing w:before="0" w:line="276" w:lineRule="auto"/>
        <w:contextualSpacing w:val="0"/>
        <w:rPr>
          <w:b w:val="0"/>
          <w:szCs w:val="22"/>
          <w:lang w:val="af-ZA" w:eastAsia="en-US"/>
        </w:rPr>
      </w:pPr>
      <w:r w:rsidRPr="007955BB">
        <w:rPr>
          <w:b w:val="0"/>
          <w:szCs w:val="22"/>
          <w:lang w:val="af-ZA" w:eastAsia="en-US"/>
        </w:rPr>
        <w:t xml:space="preserve">Վիճակագրական կոմիտեի գծով </w:t>
      </w:r>
      <w:r w:rsidR="002708B0" w:rsidRPr="007955BB">
        <w:rPr>
          <w:b w:val="0"/>
          <w:szCs w:val="22"/>
          <w:lang w:val="af-ZA" w:eastAsia="en-US"/>
        </w:rPr>
        <w:t xml:space="preserve">ՀՀ 2023 թվականի պետական բյուջեով </w:t>
      </w:r>
      <w:r w:rsidRPr="007955BB">
        <w:rPr>
          <w:b w:val="0"/>
          <w:noProof/>
          <w:szCs w:val="22"/>
        </w:rPr>
        <w:t>նախատեսվում</w:t>
      </w:r>
      <w:r w:rsidRPr="007955BB">
        <w:rPr>
          <w:b w:val="0"/>
          <w:noProof/>
          <w:szCs w:val="22"/>
          <w:lang w:val="af-ZA"/>
        </w:rPr>
        <w:t xml:space="preserve"> </w:t>
      </w:r>
      <w:r w:rsidRPr="007955BB">
        <w:rPr>
          <w:b w:val="0"/>
          <w:noProof/>
          <w:szCs w:val="22"/>
        </w:rPr>
        <w:t>է</w:t>
      </w:r>
      <w:r w:rsidRPr="007955BB">
        <w:rPr>
          <w:b w:val="0"/>
          <w:noProof/>
          <w:szCs w:val="22"/>
          <w:lang w:val="af-ZA"/>
        </w:rPr>
        <w:t xml:space="preserve"> </w:t>
      </w:r>
      <w:r w:rsidRPr="007955BB">
        <w:rPr>
          <w:b w:val="0"/>
          <w:noProof/>
          <w:szCs w:val="22"/>
        </w:rPr>
        <w:t>հատկացնել</w:t>
      </w:r>
      <w:r w:rsidRPr="007955BB">
        <w:rPr>
          <w:b w:val="0"/>
          <w:noProof/>
          <w:szCs w:val="22"/>
          <w:lang w:val="af-ZA"/>
        </w:rPr>
        <w:t xml:space="preserve"> 2,1</w:t>
      </w:r>
      <w:r w:rsidR="00DE7B73" w:rsidRPr="007955BB">
        <w:rPr>
          <w:b w:val="0"/>
          <w:noProof/>
          <w:szCs w:val="22"/>
          <w:lang w:val="af-ZA"/>
        </w:rPr>
        <w:t>8</w:t>
      </w:r>
      <w:r w:rsidR="00A41DDF" w:rsidRPr="007955BB">
        <w:rPr>
          <w:b w:val="0"/>
          <w:noProof/>
          <w:szCs w:val="22"/>
          <w:lang w:val="af-ZA"/>
        </w:rPr>
        <w:t>5</w:t>
      </w:r>
      <w:r w:rsidRPr="007955BB">
        <w:rPr>
          <w:b w:val="0"/>
          <w:noProof/>
          <w:szCs w:val="22"/>
          <w:lang w:val="af-ZA"/>
        </w:rPr>
        <w:t>.</w:t>
      </w:r>
      <w:r w:rsidR="00DE7B73" w:rsidRPr="007955BB">
        <w:rPr>
          <w:b w:val="0"/>
          <w:noProof/>
          <w:szCs w:val="22"/>
          <w:lang w:val="af-ZA"/>
        </w:rPr>
        <w:t>8</w:t>
      </w:r>
      <w:r w:rsidRPr="007955BB">
        <w:rPr>
          <w:b w:val="0"/>
          <w:noProof/>
          <w:szCs w:val="22"/>
          <w:lang w:val="af-ZA"/>
        </w:rPr>
        <w:t xml:space="preserve"> </w:t>
      </w:r>
      <w:r w:rsidRPr="007955BB">
        <w:rPr>
          <w:b w:val="0"/>
          <w:noProof/>
          <w:szCs w:val="22"/>
        </w:rPr>
        <w:t>մլն</w:t>
      </w:r>
      <w:r w:rsidRPr="007955BB">
        <w:rPr>
          <w:b w:val="0"/>
          <w:noProof/>
          <w:szCs w:val="22"/>
          <w:lang w:val="af-ZA"/>
        </w:rPr>
        <w:t xml:space="preserve"> </w:t>
      </w:r>
      <w:r w:rsidRPr="007955BB">
        <w:rPr>
          <w:b w:val="0"/>
          <w:noProof/>
          <w:szCs w:val="22"/>
        </w:rPr>
        <w:t>դրամ</w:t>
      </w:r>
      <w:r w:rsidR="002708B0">
        <w:rPr>
          <w:b w:val="0"/>
          <w:noProof/>
          <w:szCs w:val="22"/>
          <w:lang w:val="hy-AM"/>
        </w:rPr>
        <w:t xml:space="preserve"> </w:t>
      </w:r>
      <w:r w:rsidR="002708B0" w:rsidRPr="007955BB">
        <w:rPr>
          <w:b w:val="0"/>
          <w:color w:val="000000"/>
          <w:szCs w:val="22"/>
          <w:lang w:val="hy-AM" w:eastAsia="en-US"/>
        </w:rPr>
        <w:t>(ներառյալ կառավարման ապարատի պահպանման ծախսերը)</w:t>
      </w:r>
      <w:r w:rsidR="002708B0">
        <w:rPr>
          <w:b w:val="0"/>
          <w:color w:val="000000"/>
          <w:szCs w:val="22"/>
          <w:lang w:val="hy-AM" w:eastAsia="en-US"/>
        </w:rPr>
        <w:t>,</w:t>
      </w:r>
      <w:r w:rsidRPr="007955BB">
        <w:rPr>
          <w:b w:val="0"/>
          <w:noProof/>
          <w:szCs w:val="22"/>
          <w:lang w:val="af-ZA"/>
        </w:rPr>
        <w:t xml:space="preserve"> </w:t>
      </w:r>
      <w:r w:rsidR="002708B0">
        <w:rPr>
          <w:b w:val="0"/>
          <w:noProof/>
          <w:szCs w:val="22"/>
          <w:lang w:val="hy-AM"/>
        </w:rPr>
        <w:t xml:space="preserve">որն </w:t>
      </w:r>
      <w:r w:rsidR="002708B0" w:rsidRPr="007955BB">
        <w:rPr>
          <w:b w:val="0"/>
          <w:szCs w:val="22"/>
          <w:lang w:val="af-ZA" w:eastAsia="en-US"/>
        </w:rPr>
        <w:t xml:space="preserve">ուղղվելու </w:t>
      </w:r>
      <w:r w:rsidR="002708B0">
        <w:rPr>
          <w:b w:val="0"/>
          <w:szCs w:val="22"/>
          <w:lang w:val="hy-AM" w:eastAsia="en-US"/>
        </w:rPr>
        <w:t xml:space="preserve">է </w:t>
      </w:r>
      <w:r w:rsidR="002708B0" w:rsidRPr="007955BB">
        <w:rPr>
          <w:szCs w:val="22"/>
          <w:lang w:val="af-ZA" w:eastAsia="en-US"/>
        </w:rPr>
        <w:t>Ազգային պաշտոնական վիճակագրության արտադրություն և տարածում ծրագր</w:t>
      </w:r>
      <w:r w:rsidR="002708B0" w:rsidRPr="007955BB">
        <w:rPr>
          <w:szCs w:val="22"/>
          <w:lang w:val="hy-AM" w:eastAsia="en-US"/>
        </w:rPr>
        <w:t>ի</w:t>
      </w:r>
      <w:r w:rsidR="002708B0" w:rsidRPr="007955BB">
        <w:rPr>
          <w:szCs w:val="22"/>
          <w:lang w:val="af-ZA" w:eastAsia="en-US"/>
        </w:rPr>
        <w:t xml:space="preserve"> </w:t>
      </w:r>
      <w:r w:rsidR="002708B0" w:rsidRPr="007955BB">
        <w:rPr>
          <w:b w:val="0"/>
          <w:szCs w:val="22"/>
          <w:lang w:val="af-ZA" w:eastAsia="en-US"/>
        </w:rPr>
        <w:t>իրականացմանը</w:t>
      </w:r>
      <w:r w:rsidR="002708B0" w:rsidRPr="007955BB">
        <w:rPr>
          <w:b w:val="0"/>
          <w:szCs w:val="22"/>
          <w:lang w:val="hy-AM" w:eastAsia="en-US"/>
        </w:rPr>
        <w:t>:</w:t>
      </w:r>
      <w:r w:rsidR="002708B0">
        <w:rPr>
          <w:b w:val="0"/>
          <w:szCs w:val="22"/>
          <w:lang w:val="hy-AM" w:eastAsia="en-US"/>
        </w:rPr>
        <w:t xml:space="preserve"> </w:t>
      </w:r>
    </w:p>
    <w:p w:rsidR="00C812A3" w:rsidRPr="007955BB" w:rsidRDefault="00C812A3" w:rsidP="00C812A3">
      <w:pPr>
        <w:spacing w:before="0" w:line="276" w:lineRule="auto"/>
        <w:contextualSpacing w:val="0"/>
        <w:rPr>
          <w:b w:val="0"/>
          <w:szCs w:val="22"/>
          <w:lang w:val="af-ZA" w:eastAsia="en-US"/>
        </w:rPr>
      </w:pPr>
      <w:r w:rsidRPr="007955BB">
        <w:rPr>
          <w:b w:val="0"/>
          <w:szCs w:val="22"/>
          <w:lang w:val="af-ZA" w:eastAsia="en-US"/>
        </w:rPr>
        <w:t>Ծրագրի նպատակն է տնտեսական և հասարակական գործընթացների վերաբերյալ պաշտոնական վիճակագրության մշակումը, արտադրումն ու տարածումը: Որպես վերջնական արդյունք, նախատեսվում է սույն ծրագրով նախատեսված ժամկետներով և պարբերականությամբ ամբողջական, համադրելի, արդիական և օգտատերերին հավասար մատչելիությամբ հասանելի պաշտոնական վիճա</w:t>
      </w:r>
      <w:r w:rsidRPr="007955BB">
        <w:rPr>
          <w:b w:val="0"/>
          <w:szCs w:val="22"/>
          <w:lang w:val="af-ZA" w:eastAsia="en-US"/>
        </w:rPr>
        <w:softHyphen/>
        <w:t>կա</w:t>
      </w:r>
      <w:r w:rsidRPr="007955BB">
        <w:rPr>
          <w:b w:val="0"/>
          <w:szCs w:val="22"/>
          <w:lang w:val="af-ZA" w:eastAsia="en-US"/>
        </w:rPr>
        <w:softHyphen/>
        <w:t xml:space="preserve">գրության ապահովում: </w:t>
      </w:r>
    </w:p>
    <w:p w:rsidR="0081133C" w:rsidRDefault="002708B0" w:rsidP="002708B0">
      <w:pPr>
        <w:widowControl w:val="0"/>
        <w:spacing w:before="0" w:line="276" w:lineRule="auto"/>
        <w:rPr>
          <w:b w:val="0"/>
          <w:szCs w:val="22"/>
          <w:lang w:val="hy-AM" w:eastAsia="en-US"/>
        </w:rPr>
      </w:pPr>
      <w:r w:rsidRPr="007955BB">
        <w:rPr>
          <w:b w:val="0"/>
          <w:noProof/>
          <w:szCs w:val="22"/>
        </w:rPr>
        <w:t>ՀՀ</w:t>
      </w:r>
      <w:r w:rsidRPr="007955BB">
        <w:rPr>
          <w:b w:val="0"/>
          <w:noProof/>
          <w:szCs w:val="22"/>
          <w:lang w:val="af-ZA"/>
        </w:rPr>
        <w:t xml:space="preserve"> 20</w:t>
      </w:r>
      <w:r w:rsidRPr="007955BB">
        <w:rPr>
          <w:b w:val="0"/>
          <w:noProof/>
          <w:szCs w:val="22"/>
          <w:lang w:val="hy-AM"/>
        </w:rPr>
        <w:t>2</w:t>
      </w:r>
      <w:r w:rsidRPr="007955BB">
        <w:rPr>
          <w:b w:val="0"/>
          <w:noProof/>
          <w:szCs w:val="22"/>
          <w:lang w:val="af-ZA"/>
        </w:rPr>
        <w:t xml:space="preserve">2 </w:t>
      </w:r>
      <w:r w:rsidRPr="007955BB">
        <w:rPr>
          <w:b w:val="0"/>
          <w:noProof/>
          <w:szCs w:val="22"/>
        </w:rPr>
        <w:t>թվականի</w:t>
      </w:r>
      <w:r w:rsidRPr="007955BB">
        <w:rPr>
          <w:b w:val="0"/>
          <w:noProof/>
          <w:szCs w:val="22"/>
          <w:lang w:val="af-ZA"/>
        </w:rPr>
        <w:t xml:space="preserve"> </w:t>
      </w:r>
      <w:r w:rsidRPr="007955BB">
        <w:rPr>
          <w:b w:val="0"/>
          <w:noProof/>
          <w:szCs w:val="22"/>
        </w:rPr>
        <w:t>պետական</w:t>
      </w:r>
      <w:r w:rsidRPr="007955BB">
        <w:rPr>
          <w:b w:val="0"/>
          <w:noProof/>
          <w:szCs w:val="22"/>
          <w:lang w:val="af-ZA"/>
        </w:rPr>
        <w:t xml:space="preserve"> </w:t>
      </w:r>
      <w:r w:rsidRPr="007955BB">
        <w:rPr>
          <w:b w:val="0"/>
          <w:noProof/>
          <w:szCs w:val="22"/>
        </w:rPr>
        <w:t>բյուջե</w:t>
      </w:r>
      <w:r>
        <w:rPr>
          <w:b w:val="0"/>
          <w:noProof/>
          <w:szCs w:val="22"/>
          <w:lang w:val="hy-AM"/>
        </w:rPr>
        <w:t>ի նկատմամբ ծ</w:t>
      </w:r>
      <w:r w:rsidRPr="007955BB">
        <w:rPr>
          <w:b w:val="0"/>
          <w:noProof/>
          <w:szCs w:val="22"/>
        </w:rPr>
        <w:t>ախսեր</w:t>
      </w:r>
      <w:r w:rsidRPr="007955BB">
        <w:rPr>
          <w:b w:val="0"/>
          <w:noProof/>
          <w:szCs w:val="22"/>
          <w:lang w:val="hy-AM"/>
        </w:rPr>
        <w:t xml:space="preserve">ի </w:t>
      </w:r>
      <w:r w:rsidRPr="007955BB">
        <w:rPr>
          <w:b w:val="0"/>
          <w:noProof/>
          <w:szCs w:val="22"/>
          <w:lang w:val="af-ZA"/>
        </w:rPr>
        <w:t>նվազ</w:t>
      </w:r>
      <w:r w:rsidRPr="007955BB">
        <w:rPr>
          <w:b w:val="0"/>
          <w:noProof/>
          <w:szCs w:val="22"/>
          <w:lang w:val="hy-AM"/>
        </w:rPr>
        <w:t xml:space="preserve">ումը պայմանավորված է հիմնականում </w:t>
      </w:r>
      <w:r w:rsidRPr="007955BB">
        <w:rPr>
          <w:b w:val="0"/>
          <w:szCs w:val="22"/>
          <w:lang w:val="af-ZA" w:eastAsia="en-US"/>
        </w:rPr>
        <w:t>Վիճակագրական համակարգի ամրապնդման ազգային ռազմավարական ծրագր</w:t>
      </w:r>
      <w:r w:rsidRPr="007955BB">
        <w:rPr>
          <w:b w:val="0"/>
          <w:szCs w:val="22"/>
          <w:lang w:val="hy-AM" w:eastAsia="en-US"/>
        </w:rPr>
        <w:t>ի ավարտով</w:t>
      </w:r>
      <w:r w:rsidRPr="007955BB">
        <w:rPr>
          <w:b w:val="0"/>
          <w:szCs w:val="22"/>
          <w:lang w:val="af-ZA" w:eastAsia="en-US"/>
        </w:rPr>
        <w:t>`</w:t>
      </w:r>
      <w:r w:rsidRPr="007955BB">
        <w:rPr>
          <w:b w:val="0"/>
          <w:szCs w:val="22"/>
          <w:lang w:val="hy-AM" w:eastAsia="en-US"/>
        </w:rPr>
        <w:t xml:space="preserve"> 524.8 մլն դրամ:</w:t>
      </w:r>
    </w:p>
    <w:p w:rsidR="002708B0" w:rsidRPr="007955BB" w:rsidRDefault="002708B0" w:rsidP="002708B0">
      <w:pPr>
        <w:widowControl w:val="0"/>
        <w:spacing w:before="0" w:line="276" w:lineRule="auto"/>
        <w:rPr>
          <w:rFonts w:eastAsia="Calibri" w:cs="Sylfaen"/>
          <w:b w:val="0"/>
          <w:color w:val="FF0000"/>
          <w:szCs w:val="22"/>
          <w:lang w:val="af-ZA"/>
        </w:rPr>
      </w:pPr>
    </w:p>
    <w:p w:rsidR="00FC7885" w:rsidRPr="007955BB" w:rsidRDefault="00FC7885" w:rsidP="00832373">
      <w:pPr>
        <w:keepNext/>
        <w:spacing w:before="0" w:line="276" w:lineRule="auto"/>
        <w:ind w:firstLine="0"/>
        <w:contextualSpacing w:val="0"/>
        <w:jc w:val="center"/>
        <w:outlineLvl w:val="2"/>
        <w:rPr>
          <w:rFonts w:cs="Arial"/>
          <w:sz w:val="24"/>
          <w:lang w:val="hy-AM" w:eastAsia="en-US"/>
        </w:rPr>
      </w:pPr>
      <w:bookmarkStart w:id="351" w:name="_Toc120805237"/>
      <w:r w:rsidRPr="007955BB">
        <w:rPr>
          <w:rFonts w:cs="Arial"/>
          <w:sz w:val="24"/>
          <w:lang w:val="hy-AM" w:eastAsia="en-US"/>
        </w:rPr>
        <w:t>ՀՀ քաղաքաշինության կոմիտե</w:t>
      </w:r>
      <w:bookmarkEnd w:id="348"/>
      <w:bookmarkEnd w:id="351"/>
    </w:p>
    <w:p w:rsidR="00B81A6F" w:rsidRPr="007955BB" w:rsidRDefault="00B81A6F" w:rsidP="00B81A6F">
      <w:pPr>
        <w:spacing w:after="220" w:line="276" w:lineRule="auto"/>
        <w:ind w:right="-5" w:firstLine="510"/>
        <w:rPr>
          <w:rFonts w:cs="Calibri"/>
          <w:b w:val="0"/>
          <w:iCs/>
          <w:szCs w:val="22"/>
          <w:lang w:val="hy-AM" w:eastAsia="en-GB"/>
        </w:rPr>
      </w:pPr>
      <w:r w:rsidRPr="007955BB">
        <w:rPr>
          <w:rFonts w:cs="Calibri"/>
          <w:iCs/>
          <w:szCs w:val="22"/>
          <w:lang w:val="hy-AM" w:eastAsia="en-GB"/>
        </w:rPr>
        <w:t>Քաղաքաշինության և ճարտարապետության բնագավառում պետական քաղաքականության իրականացում և կանոնակարգում</w:t>
      </w:r>
      <w:r w:rsidRPr="007955BB">
        <w:rPr>
          <w:rFonts w:cs="Calibri"/>
          <w:b w:val="0"/>
          <w:iCs/>
          <w:szCs w:val="22"/>
          <w:lang w:val="hy-AM" w:eastAsia="en-GB"/>
        </w:rPr>
        <w:t xml:space="preserve"> ծրագրի շրջանակներում 2023 թվականի համար նախատեսվել է շուրջ </w:t>
      </w:r>
      <w:r w:rsidR="008A5656" w:rsidRPr="007955BB">
        <w:rPr>
          <w:rFonts w:cs="Calibri"/>
          <w:b w:val="0"/>
          <w:iCs/>
          <w:szCs w:val="22"/>
          <w:lang w:val="hy-AM" w:eastAsia="en-GB"/>
        </w:rPr>
        <w:t>2</w:t>
      </w:r>
      <w:r w:rsidRPr="007955BB">
        <w:rPr>
          <w:rFonts w:cs="Calibri"/>
          <w:b w:val="0"/>
          <w:iCs/>
          <w:szCs w:val="22"/>
          <w:lang w:val="hy-AM" w:eastAsia="en-GB"/>
        </w:rPr>
        <w:t>,</w:t>
      </w:r>
      <w:r w:rsidR="00015655" w:rsidRPr="00015655">
        <w:rPr>
          <w:rFonts w:cs="Calibri"/>
          <w:b w:val="0"/>
          <w:iCs/>
          <w:szCs w:val="22"/>
          <w:lang w:val="hy-AM" w:eastAsia="en-GB"/>
        </w:rPr>
        <w:t>334</w:t>
      </w:r>
      <w:r w:rsidRPr="007955BB">
        <w:rPr>
          <w:rFonts w:cs="Calibri"/>
          <w:b w:val="0"/>
          <w:iCs/>
          <w:szCs w:val="22"/>
          <w:lang w:val="hy-AM" w:eastAsia="en-GB"/>
        </w:rPr>
        <w:t>.</w:t>
      </w:r>
      <w:r w:rsidR="00015655" w:rsidRPr="00015655">
        <w:rPr>
          <w:rFonts w:cs="Calibri"/>
          <w:b w:val="0"/>
          <w:iCs/>
          <w:szCs w:val="22"/>
          <w:lang w:val="hy-AM" w:eastAsia="en-GB"/>
        </w:rPr>
        <w:t>4</w:t>
      </w:r>
      <w:r w:rsidRPr="007955BB">
        <w:rPr>
          <w:rFonts w:cs="Calibri"/>
          <w:b w:val="0"/>
          <w:iCs/>
          <w:szCs w:val="22"/>
          <w:lang w:val="hy-AM" w:eastAsia="en-GB"/>
        </w:rPr>
        <w:t xml:space="preserve"> մլն դրամ (ներառյալ կառավարման ապարատի պահպանման ծախսերը՝ 6</w:t>
      </w:r>
      <w:r w:rsidR="00B751AC" w:rsidRPr="007955BB">
        <w:rPr>
          <w:rFonts w:cs="Calibri"/>
          <w:b w:val="0"/>
          <w:iCs/>
          <w:szCs w:val="22"/>
          <w:lang w:val="hy-AM" w:eastAsia="en-GB"/>
        </w:rPr>
        <w:t>85</w:t>
      </w:r>
      <w:r w:rsidRPr="007955BB">
        <w:rPr>
          <w:rFonts w:cs="Calibri"/>
          <w:b w:val="0"/>
          <w:iCs/>
          <w:szCs w:val="22"/>
          <w:lang w:val="hy-AM" w:eastAsia="en-GB"/>
        </w:rPr>
        <w:t>.</w:t>
      </w:r>
      <w:r w:rsidR="00B751AC" w:rsidRPr="007955BB">
        <w:rPr>
          <w:rFonts w:cs="Calibri"/>
          <w:b w:val="0"/>
          <w:iCs/>
          <w:szCs w:val="22"/>
          <w:lang w:val="hy-AM" w:eastAsia="en-GB"/>
        </w:rPr>
        <w:t>0</w:t>
      </w:r>
      <w:r w:rsidRPr="007955BB">
        <w:rPr>
          <w:rFonts w:cs="Calibri"/>
          <w:b w:val="0"/>
          <w:iCs/>
          <w:szCs w:val="22"/>
          <w:lang w:val="hy-AM" w:eastAsia="en-GB"/>
        </w:rPr>
        <w:t xml:space="preserve"> մլն դրամ)։ Ծրագրի նպատակն է շարունակել քաղաքաշինական գործունեության պետական կարգավորման միջոց հանդիսացող նորմատիվ փաստաթղթերի մշակումն ու շարունա</w:t>
      </w:r>
      <w:r w:rsidRPr="007955BB">
        <w:rPr>
          <w:rFonts w:cs="Calibri"/>
          <w:b w:val="0"/>
          <w:iCs/>
          <w:szCs w:val="22"/>
          <w:lang w:val="hy-AM" w:eastAsia="en-GB"/>
        </w:rPr>
        <w:softHyphen/>
        <w:t>կական արդիականացումը, դրանց ներդաշնակեցումը միջազգային նորմերին, տարածք</w:t>
      </w:r>
      <w:r w:rsidRPr="007955BB">
        <w:rPr>
          <w:rFonts w:cs="Calibri"/>
          <w:b w:val="0"/>
          <w:iCs/>
          <w:szCs w:val="22"/>
          <w:lang w:val="hy-AM" w:eastAsia="en-GB"/>
        </w:rPr>
        <w:softHyphen/>
        <w:t>ների և բնակավայրերի կայուն քաղաքաշինական զարգացումն ու դրան նպաստող համայնքների համակցված տարածական պլանավորման փաստաթղթերի մշակումը: Նշված նպատակին հասնելու համար իրականացվելու են միկրոռեգիոնալ մակարդակի համակցված տարածական պլանավորման թվով 28 փաստաթղթերի մշակման աշխատանքներ, այդ թվում՝ ՀՀ Լոռու (14 փաստաթուղթ) մարզի և ՀՀ Կոտայքի մարզի (10 փաստաթուղթ) փաստաթղթերը, ՀՀ Շիրակի մարզ (մասնակի` 4 փաստաթուղթ):</w:t>
      </w:r>
    </w:p>
    <w:p w:rsidR="00B81A6F" w:rsidRPr="007955BB" w:rsidRDefault="00B81A6F" w:rsidP="00B81A6F">
      <w:pPr>
        <w:spacing w:after="220" w:line="276" w:lineRule="auto"/>
        <w:ind w:left="-567" w:right="-5" w:firstLine="510"/>
        <w:rPr>
          <w:rFonts w:cs="Calibri"/>
          <w:b w:val="0"/>
          <w:iCs/>
          <w:szCs w:val="22"/>
          <w:lang w:val="hy-AM" w:eastAsia="en-GB"/>
        </w:rPr>
      </w:pPr>
      <w:r w:rsidRPr="007955BB">
        <w:rPr>
          <w:rFonts w:cs="Calibri"/>
          <w:b w:val="0"/>
          <w:iCs/>
          <w:szCs w:val="22"/>
          <w:lang w:val="hy-AM" w:eastAsia="en-GB"/>
        </w:rPr>
        <w:t>Մշակվելու և տեղայնացվելու են թվով 1</w:t>
      </w:r>
      <w:r w:rsidR="00015655" w:rsidRPr="00B30FEB">
        <w:rPr>
          <w:rFonts w:cs="Calibri"/>
          <w:b w:val="0"/>
          <w:iCs/>
          <w:szCs w:val="22"/>
          <w:lang w:val="hy-AM" w:eastAsia="en-GB"/>
        </w:rPr>
        <w:t>9</w:t>
      </w:r>
      <w:r w:rsidRPr="007955BB">
        <w:rPr>
          <w:rFonts w:cs="Calibri"/>
          <w:b w:val="0"/>
          <w:iCs/>
          <w:szCs w:val="22"/>
          <w:lang w:val="hy-AM" w:eastAsia="en-GB"/>
        </w:rPr>
        <w:t xml:space="preserve"> նորմատիվատեխնիկական փաստաթղթեր:</w:t>
      </w:r>
    </w:p>
    <w:p w:rsidR="005E4424" w:rsidRPr="005E4424" w:rsidRDefault="005E4424" w:rsidP="005E4424">
      <w:pPr>
        <w:spacing w:after="220" w:line="276" w:lineRule="auto"/>
        <w:ind w:right="-5" w:firstLine="510"/>
        <w:rPr>
          <w:rFonts w:cs="Calibri"/>
          <w:b w:val="0"/>
          <w:iCs/>
          <w:szCs w:val="22"/>
          <w:lang w:val="hy-AM" w:eastAsia="en-GB"/>
        </w:rPr>
      </w:pPr>
      <w:r w:rsidRPr="005E4424">
        <w:rPr>
          <w:rFonts w:cs="Calibri"/>
          <w:b w:val="0"/>
          <w:iCs/>
          <w:szCs w:val="22"/>
          <w:lang w:val="hy-AM" w:eastAsia="en-GB"/>
        </w:rPr>
        <w:t>Բացի այդ, կմեկնարկեն ՀՀ Լոռու մարզի Ստեփանավան համայնքի Աշոտաբերդ թաղամասի կառուցապատման, ՀՀ Շիրակի մարզի Աշոցք համայնքում նոր բնակելի թաղամասի նախագծման</w:t>
      </w:r>
      <w:r w:rsidR="004B59DD" w:rsidRPr="004B59DD">
        <w:rPr>
          <w:rFonts w:cs="Calibri"/>
          <w:b w:val="0"/>
          <w:iCs/>
          <w:szCs w:val="22"/>
          <w:lang w:val="hy-AM" w:eastAsia="en-GB"/>
        </w:rPr>
        <w:t xml:space="preserve"> աշխատանքները</w:t>
      </w:r>
      <w:r w:rsidRPr="005E4424">
        <w:rPr>
          <w:rFonts w:cs="Calibri"/>
          <w:b w:val="0"/>
          <w:iCs/>
          <w:szCs w:val="22"/>
          <w:lang w:val="hy-AM" w:eastAsia="en-GB"/>
        </w:rPr>
        <w:t>, ինչպես նաև կիրականացվեն և ավարտին կհասցվեն Գորիս համայնքի Շուռնուխ բնակավայրում բնակելի թաղամասի կառուցման աշխատանքները: Դրանց հետ մեկտեղ կմեկնարկեն անբավարար տեխնիկական վիճակում գտնվող բնակֆոնդի հիմնախնդրի լուծմանն ուղղված ծրագրերի իրականացման համար նախագծա</w:t>
      </w:r>
      <w:r w:rsidRPr="005E4424">
        <w:rPr>
          <w:rFonts w:cs="Calibri"/>
          <w:b w:val="0"/>
          <w:iCs/>
          <w:szCs w:val="22"/>
          <w:lang w:val="hy-AM" w:eastAsia="en-GB"/>
        </w:rPr>
        <w:softHyphen/>
        <w:t>նախա</w:t>
      </w:r>
      <w:r w:rsidRPr="005E4424">
        <w:rPr>
          <w:rFonts w:cs="Calibri"/>
          <w:b w:val="0"/>
          <w:iCs/>
          <w:szCs w:val="22"/>
          <w:lang w:val="hy-AM" w:eastAsia="en-GB"/>
        </w:rPr>
        <w:softHyphen/>
        <w:t>հաշվային փաստաթղթերի մշակման աշխատանքները:</w:t>
      </w:r>
    </w:p>
    <w:p w:rsidR="00B81A6F" w:rsidRPr="007955BB" w:rsidRDefault="00B81A6F" w:rsidP="00B81A6F">
      <w:pPr>
        <w:spacing w:after="220" w:line="276" w:lineRule="auto"/>
        <w:ind w:right="-5" w:firstLine="510"/>
        <w:rPr>
          <w:rFonts w:cs="Calibri"/>
          <w:b w:val="0"/>
          <w:iCs/>
          <w:szCs w:val="22"/>
          <w:lang w:val="hy-AM" w:eastAsia="en-GB"/>
        </w:rPr>
      </w:pPr>
      <w:r w:rsidRPr="007955BB">
        <w:rPr>
          <w:rFonts w:cs="Calibri"/>
          <w:b w:val="0"/>
          <w:iCs/>
          <w:szCs w:val="22"/>
          <w:lang w:val="hy-AM" w:eastAsia="en-GB"/>
        </w:rPr>
        <w:t>Միևնույն ժամանակ, ծրագրի շրջանակներում նախատեսվում է ապահովել կարևորագույն նշանակության շենքերի և շինությունների անվտանգ և մատչելի շահագործումը: Այդ նպատակի ապահովումն ակնկալվում է ռազմավարական մի շարք փաստաթղթերով նախանշված ծրագրերի իրագործմամբ, որը կունենա շարունակական բնույթ միջնաժամկետ հատվածում: Նպատակային թիրախներն են Երևան քաղաքում և ՀՀ մարզերում տեղակայված  կարևորագույն նշանակության այն օբյեկտները, որոնք առավել օգտագործելի կամ շահագործելի են հանրության կողմից: 2023 թվականի ընթացքում նշված ուղղությամբ նախատեսվում է իրականացնել Երևան քաղաքի թվով 29 կարևորագույն նշանակության շենքերի տեխնիկական վիճակի հետազննության եզրակացու</w:t>
      </w:r>
      <w:r w:rsidRPr="007955BB">
        <w:rPr>
          <w:rFonts w:cs="Calibri"/>
          <w:b w:val="0"/>
          <w:iCs/>
          <w:szCs w:val="22"/>
          <w:lang w:val="hy-AM" w:eastAsia="en-GB"/>
        </w:rPr>
        <w:softHyphen/>
        <w:t>թյունների և շենքերի անձնագրերի ձեռքբերում։</w:t>
      </w:r>
    </w:p>
    <w:p w:rsidR="00B81A6F" w:rsidRPr="007955BB" w:rsidRDefault="00B81A6F" w:rsidP="00B81A6F">
      <w:pPr>
        <w:spacing w:after="220" w:line="276" w:lineRule="auto"/>
        <w:ind w:right="-5" w:firstLine="510"/>
        <w:rPr>
          <w:rFonts w:cs="Calibri"/>
          <w:b w:val="0"/>
          <w:iCs/>
          <w:szCs w:val="22"/>
          <w:lang w:val="hy-AM" w:eastAsia="en-GB"/>
        </w:rPr>
      </w:pPr>
    </w:p>
    <w:p w:rsidR="00013DB1" w:rsidRPr="007955BB" w:rsidRDefault="00013DB1" w:rsidP="00013DB1">
      <w:pPr>
        <w:keepNext/>
        <w:spacing w:before="0" w:line="276" w:lineRule="auto"/>
        <w:ind w:firstLine="0"/>
        <w:contextualSpacing w:val="0"/>
        <w:jc w:val="center"/>
        <w:outlineLvl w:val="2"/>
        <w:rPr>
          <w:rFonts w:cs="Arial"/>
          <w:sz w:val="24"/>
          <w:lang w:val="hy-AM" w:eastAsia="en-US"/>
        </w:rPr>
      </w:pPr>
      <w:bookmarkStart w:id="352" w:name="_Toc120805238"/>
      <w:r w:rsidRPr="007955BB">
        <w:rPr>
          <w:rFonts w:cs="Arial"/>
          <w:sz w:val="24"/>
          <w:lang w:val="hy-AM" w:eastAsia="en-US"/>
        </w:rPr>
        <w:t>ՀՀ սահմանադրական դատարան</w:t>
      </w:r>
      <w:bookmarkEnd w:id="352"/>
    </w:p>
    <w:p w:rsidR="00013DB1" w:rsidRPr="007955BB" w:rsidRDefault="00013DB1" w:rsidP="00013DB1">
      <w:pPr>
        <w:spacing w:before="0" w:line="276" w:lineRule="auto"/>
        <w:ind w:firstLine="720"/>
        <w:contextualSpacing w:val="0"/>
        <w:rPr>
          <w:b w:val="0"/>
          <w:szCs w:val="22"/>
          <w:lang w:val="hy-AM"/>
        </w:rPr>
      </w:pPr>
      <w:r w:rsidRPr="007955BB">
        <w:rPr>
          <w:b w:val="0"/>
          <w:szCs w:val="22"/>
          <w:lang w:val="hy-AM"/>
        </w:rPr>
        <w:t xml:space="preserve">ՀՀ սահմանադրական դատարանը </w:t>
      </w:r>
      <w:r w:rsidR="00D35F72">
        <w:rPr>
          <w:b w:val="0"/>
          <w:szCs w:val="22"/>
          <w:lang w:val="hy-AM"/>
        </w:rPr>
        <w:t>ՀՀ</w:t>
      </w:r>
      <w:r w:rsidRPr="007955BB">
        <w:rPr>
          <w:b w:val="0"/>
          <w:szCs w:val="22"/>
          <w:lang w:val="hy-AM"/>
        </w:rPr>
        <w:t xml:space="preserve"> իրավակարգում ապահովելով Սահմանադրության գերակայությունը և անմիջական գործողությունը, որպես ռազմավարական առաջնահերթ խնդիր </w:t>
      </w:r>
      <w:r w:rsidR="00D35F72">
        <w:rPr>
          <w:b w:val="0"/>
          <w:szCs w:val="22"/>
          <w:lang w:val="hy-AM"/>
        </w:rPr>
        <w:t>ՀՀ</w:t>
      </w:r>
      <w:r w:rsidRPr="007955BB">
        <w:rPr>
          <w:b w:val="0"/>
          <w:szCs w:val="22"/>
          <w:lang w:val="hy-AM"/>
        </w:rPr>
        <w:t xml:space="preserve"> իրականացնում սահմանադրական արդարադատություն:</w:t>
      </w:r>
    </w:p>
    <w:p w:rsidR="00013DB1" w:rsidRPr="007955BB" w:rsidRDefault="00013DB1" w:rsidP="00013DB1">
      <w:pPr>
        <w:spacing w:before="0" w:line="276" w:lineRule="auto"/>
        <w:ind w:firstLine="720"/>
        <w:contextualSpacing w:val="0"/>
        <w:rPr>
          <w:rFonts w:cs="Sylfaen"/>
          <w:b w:val="0"/>
          <w:bCs/>
          <w:szCs w:val="22"/>
          <w:lang w:val="hy-AM"/>
        </w:rPr>
      </w:pPr>
      <w:r w:rsidRPr="007955BB">
        <w:rPr>
          <w:rFonts w:cs="Sylfaen"/>
          <w:b w:val="0"/>
          <w:bCs/>
          <w:szCs w:val="22"/>
          <w:lang w:val="hy-AM"/>
        </w:rPr>
        <w:t>ՀՀ սահմանադրական դատարանն օրենքով սահմանված կարգով շարունակելու է որոշել օրենքների, Ազգային ժողովի որոշումների, Հանրապետության Նախագահի հրամանագրերի, կառավարության, վարչապետի, ՏԻՄ որոշումների, մինչև միջազգային պայմանագրերի վավերացումը նրանցում ամրագրված պարտավորությունների համապատասխանությունը ՀՀ սահմանադրությանը, ինչպես նաև լուծելու է  հանրահավաքների արդյունքների ու պատգամավորների ընտրությունների արդյունքներով ընդունված որոշումների հետ կապված վեճերը:</w:t>
      </w:r>
    </w:p>
    <w:p w:rsidR="00013DB1" w:rsidRPr="007955BB" w:rsidRDefault="00013DB1" w:rsidP="00013DB1">
      <w:pPr>
        <w:spacing w:before="0" w:line="276" w:lineRule="auto"/>
        <w:ind w:firstLine="720"/>
        <w:contextualSpacing w:val="0"/>
        <w:rPr>
          <w:rFonts w:cs="Sylfaen"/>
          <w:b w:val="0"/>
          <w:bCs/>
          <w:szCs w:val="22"/>
          <w:lang w:val="hy-AM"/>
        </w:rPr>
      </w:pPr>
      <w:r w:rsidRPr="007955BB">
        <w:rPr>
          <w:rFonts w:cs="Sylfaen"/>
          <w:b w:val="0"/>
          <w:bCs/>
          <w:szCs w:val="22"/>
          <w:lang w:val="hy-AM"/>
        </w:rPr>
        <w:t>ՀՀ սահմանադրական դատարանի գործունեության ապահովում ծրագրով նախատեսված ՀՀ սահմանադրական դատարանի առաջնահերթ ռազմավարական նպատակներն են.</w:t>
      </w:r>
    </w:p>
    <w:p w:rsidR="00013DB1" w:rsidRPr="007955BB" w:rsidRDefault="00013DB1" w:rsidP="00F04DA1">
      <w:pPr>
        <w:numPr>
          <w:ilvl w:val="0"/>
          <w:numId w:val="47"/>
        </w:numPr>
        <w:overflowPunct w:val="0"/>
        <w:autoSpaceDE w:val="0"/>
        <w:autoSpaceDN w:val="0"/>
        <w:adjustRightInd w:val="0"/>
        <w:spacing w:before="0" w:line="276" w:lineRule="auto"/>
        <w:ind w:left="0"/>
        <w:contextualSpacing w:val="0"/>
        <w:textAlignment w:val="baseline"/>
        <w:rPr>
          <w:b w:val="0"/>
          <w:szCs w:val="22"/>
          <w:lang w:val="hy-AM"/>
        </w:rPr>
      </w:pPr>
      <w:r w:rsidRPr="007955BB">
        <w:rPr>
          <w:b w:val="0"/>
          <w:szCs w:val="22"/>
          <w:lang w:val="hy-AM"/>
        </w:rPr>
        <w:t xml:space="preserve">Բարձրացնել սահմանադրական արդարադատության արդյունավետությունը, ապահովել </w:t>
      </w:r>
      <w:r w:rsidR="00D35F72">
        <w:rPr>
          <w:b w:val="0"/>
          <w:szCs w:val="22"/>
          <w:lang w:val="hy-AM"/>
        </w:rPr>
        <w:t>ՀՀ-</w:t>
      </w:r>
      <w:r w:rsidRPr="007955BB">
        <w:rPr>
          <w:b w:val="0"/>
          <w:szCs w:val="22"/>
          <w:lang w:val="hy-AM"/>
        </w:rPr>
        <w:t>ում սահմանադրության գերակայությունն ու անմիջական գործողությունը,</w:t>
      </w:r>
    </w:p>
    <w:p w:rsidR="00013DB1" w:rsidRPr="007955BB" w:rsidRDefault="00013DB1" w:rsidP="00F04DA1">
      <w:pPr>
        <w:numPr>
          <w:ilvl w:val="0"/>
          <w:numId w:val="47"/>
        </w:numPr>
        <w:overflowPunct w:val="0"/>
        <w:autoSpaceDE w:val="0"/>
        <w:autoSpaceDN w:val="0"/>
        <w:adjustRightInd w:val="0"/>
        <w:spacing w:before="0" w:line="276" w:lineRule="auto"/>
        <w:ind w:left="0"/>
        <w:contextualSpacing w:val="0"/>
        <w:textAlignment w:val="baseline"/>
        <w:rPr>
          <w:b w:val="0"/>
          <w:szCs w:val="22"/>
          <w:lang w:val="hy-AM"/>
        </w:rPr>
      </w:pPr>
      <w:r w:rsidRPr="007955BB">
        <w:rPr>
          <w:b w:val="0"/>
          <w:szCs w:val="22"/>
          <w:lang w:val="hy-AM"/>
        </w:rPr>
        <w:t>իր գործունեությամբ նպաստել սահմանադրության և նրանում ամրագրված իրավունքների ու պարտավորությունների նկատմամբ հասարակության վստահության բարձրացմանը,</w:t>
      </w:r>
    </w:p>
    <w:p w:rsidR="00013DB1" w:rsidRPr="007955BB" w:rsidRDefault="00013DB1" w:rsidP="00F04DA1">
      <w:pPr>
        <w:numPr>
          <w:ilvl w:val="0"/>
          <w:numId w:val="47"/>
        </w:numPr>
        <w:overflowPunct w:val="0"/>
        <w:autoSpaceDE w:val="0"/>
        <w:autoSpaceDN w:val="0"/>
        <w:adjustRightInd w:val="0"/>
        <w:spacing w:before="0" w:line="276" w:lineRule="auto"/>
        <w:ind w:left="0"/>
        <w:contextualSpacing w:val="0"/>
        <w:textAlignment w:val="baseline"/>
        <w:rPr>
          <w:b w:val="0"/>
          <w:szCs w:val="22"/>
          <w:lang w:val="hy-AM"/>
        </w:rPr>
      </w:pPr>
      <w:r w:rsidRPr="007955BB">
        <w:rPr>
          <w:b w:val="0"/>
          <w:szCs w:val="22"/>
          <w:lang w:val="hy-AM"/>
        </w:rPr>
        <w:t>սահմանված կարգով որոշում կայացնել օրենքների, Ազգային ժողովի որոշումների և այլ նորմատիվ ակտերի սահմանադրությանը համապատասխանության մասին,</w:t>
      </w:r>
    </w:p>
    <w:p w:rsidR="00013DB1" w:rsidRPr="007955BB" w:rsidRDefault="00013DB1" w:rsidP="00F04DA1">
      <w:pPr>
        <w:numPr>
          <w:ilvl w:val="0"/>
          <w:numId w:val="47"/>
        </w:numPr>
        <w:overflowPunct w:val="0"/>
        <w:autoSpaceDE w:val="0"/>
        <w:autoSpaceDN w:val="0"/>
        <w:adjustRightInd w:val="0"/>
        <w:spacing w:before="0" w:line="276" w:lineRule="auto"/>
        <w:ind w:left="0"/>
        <w:contextualSpacing w:val="0"/>
        <w:textAlignment w:val="baseline"/>
        <w:rPr>
          <w:b w:val="0"/>
          <w:szCs w:val="22"/>
          <w:lang w:val="hy-AM"/>
        </w:rPr>
      </w:pPr>
      <w:r w:rsidRPr="007955BB">
        <w:rPr>
          <w:b w:val="0"/>
          <w:szCs w:val="22"/>
          <w:lang w:val="hy-AM"/>
        </w:rPr>
        <w:t>շարունակել Հանրապետությունում իրավունքի գերակայության ապահովման ուղղությամբ գործունեությունը:</w:t>
      </w:r>
    </w:p>
    <w:p w:rsidR="00013DB1" w:rsidRPr="007955BB" w:rsidRDefault="00013DB1" w:rsidP="00013DB1">
      <w:pPr>
        <w:overflowPunct w:val="0"/>
        <w:autoSpaceDE w:val="0"/>
        <w:autoSpaceDN w:val="0"/>
        <w:adjustRightInd w:val="0"/>
        <w:spacing w:before="0" w:line="276" w:lineRule="auto"/>
        <w:ind w:firstLine="720"/>
        <w:contextualSpacing w:val="0"/>
        <w:textAlignment w:val="baseline"/>
        <w:rPr>
          <w:b w:val="0"/>
          <w:szCs w:val="22"/>
          <w:lang w:val="hy-AM"/>
        </w:rPr>
      </w:pPr>
      <w:r w:rsidRPr="007955BB">
        <w:rPr>
          <w:b w:val="0"/>
          <w:szCs w:val="22"/>
          <w:lang w:val="hy-AM"/>
        </w:rPr>
        <w:t xml:space="preserve">Սահմանադրական արդարադատություն իրականացնելիս սահմանադրական դատարանն անկախ է և ենթարկվում է միայն Սահմանադրությանը: Սահմանադրական դատարանի որոշումներին բնորոշ են պարտադիրությունը, վերջնական լինելը, անմիջական գործողությունը: </w:t>
      </w:r>
    </w:p>
    <w:p w:rsidR="00013DB1" w:rsidRPr="007955BB" w:rsidRDefault="00013DB1" w:rsidP="00013DB1">
      <w:pPr>
        <w:spacing w:line="240" w:lineRule="auto"/>
        <w:ind w:firstLine="426"/>
        <w:rPr>
          <w:b w:val="0"/>
          <w:color w:val="FF0000"/>
          <w:szCs w:val="22"/>
          <w:lang w:val="hy-AM"/>
        </w:rPr>
      </w:pPr>
    </w:p>
    <w:p w:rsidR="00EA7341" w:rsidRPr="007955BB" w:rsidRDefault="00EA7341" w:rsidP="00427D1F">
      <w:pPr>
        <w:keepNext/>
        <w:spacing w:before="0" w:line="276" w:lineRule="auto"/>
        <w:ind w:firstLine="0"/>
        <w:contextualSpacing w:val="0"/>
        <w:jc w:val="center"/>
        <w:outlineLvl w:val="2"/>
        <w:rPr>
          <w:rFonts w:cs="Arial"/>
          <w:sz w:val="24"/>
          <w:lang w:val="af-ZA" w:eastAsia="en-US"/>
        </w:rPr>
      </w:pPr>
      <w:bookmarkStart w:id="353" w:name="_Toc120805239"/>
      <w:r w:rsidRPr="007955BB">
        <w:rPr>
          <w:rFonts w:cs="Arial"/>
          <w:sz w:val="24"/>
          <w:lang w:val="hy-AM" w:eastAsia="en-US"/>
        </w:rPr>
        <w:t>Բարձրագույն դատական խորհուրդ</w:t>
      </w:r>
      <w:bookmarkEnd w:id="353"/>
    </w:p>
    <w:p w:rsidR="00013DB1" w:rsidRPr="007955BB" w:rsidRDefault="00013DB1" w:rsidP="00013DB1">
      <w:pPr>
        <w:spacing w:before="0" w:line="276" w:lineRule="auto"/>
        <w:contextualSpacing w:val="0"/>
        <w:rPr>
          <w:b w:val="0"/>
          <w:szCs w:val="22"/>
          <w:lang w:val="af-ZA" w:eastAsia="en-US"/>
        </w:rPr>
      </w:pPr>
      <w:r w:rsidRPr="007955BB">
        <w:rPr>
          <w:b w:val="0"/>
          <w:szCs w:val="22"/>
          <w:lang w:val="af-ZA" w:eastAsia="en-US"/>
        </w:rPr>
        <w:t xml:space="preserve">Անկախ, անաչառ, մատչելի, արդյունավետ ու հաշվետու արդարադատություն ունենալու համար Բարձրագույն դատական խորհրդի և դատարանների </w:t>
      </w:r>
      <w:r w:rsidRPr="007955BB">
        <w:rPr>
          <w:szCs w:val="22"/>
          <w:lang w:val="af-ZA" w:eastAsia="en-US"/>
        </w:rPr>
        <w:t>Դատական իշխանության գործունեության ապահովում և իրականացում</w:t>
      </w:r>
      <w:r w:rsidRPr="007955BB">
        <w:rPr>
          <w:b w:val="0"/>
          <w:szCs w:val="22"/>
          <w:lang w:val="af-ZA" w:eastAsia="en-US"/>
        </w:rPr>
        <w:t xml:space="preserve"> ծրագրի համար վերջնական արդյունքի ցուցանիշ է սահմանվել World Economic Forum-ի 2018 թվականի հաշվետվության մեջ ներառված «դատական համակարգի անկախությունը իշխանության այլ ճյուղերի, անհատների կամ ընկերությունների ազդեցությունից» ցուցանիշը: WEF վերոնշյալ ցուցանիշը տատանվում է 1-ից 7 միավորի սանդղակում (1=ընդհանրապես անկախ չէ, 7=լիովին անկախ է): </w:t>
      </w:r>
      <w:r w:rsidR="00D35F72">
        <w:rPr>
          <w:b w:val="0"/>
          <w:szCs w:val="22"/>
          <w:lang w:val="hy-AM" w:eastAsia="en-US"/>
        </w:rPr>
        <w:t>ՀՀ</w:t>
      </w:r>
      <w:r w:rsidRPr="007955BB">
        <w:rPr>
          <w:b w:val="0"/>
          <w:szCs w:val="22"/>
          <w:lang w:val="af-ZA" w:eastAsia="en-US"/>
        </w:rPr>
        <w:t xml:space="preserve"> «դատական համակարգի անկախությունը իշխանության այլ ճյուղերի, անհատների կամ ընկերությունների ազդեցությունից» ցուցանիշը 2018 թվականին եղել է 3.3: Որպես վերջնական արդյունքի թիրախի ցուցանիշ սահմանվել է 6.3, ժամկետ՝ 2024թ.:</w:t>
      </w:r>
    </w:p>
    <w:p w:rsidR="00013DB1" w:rsidRPr="007955BB" w:rsidRDefault="00013DB1" w:rsidP="00013DB1">
      <w:pPr>
        <w:spacing w:before="0" w:line="276" w:lineRule="auto"/>
        <w:contextualSpacing w:val="0"/>
        <w:rPr>
          <w:b w:val="0"/>
          <w:szCs w:val="22"/>
          <w:lang w:val="af-ZA" w:eastAsia="en-US"/>
        </w:rPr>
      </w:pPr>
      <w:r w:rsidRPr="007955BB">
        <w:rPr>
          <w:b w:val="0"/>
          <w:szCs w:val="22"/>
          <w:lang w:val="af-ZA" w:eastAsia="en-US"/>
        </w:rPr>
        <w:t>Ծրագրի միջոցառումների համար սահմանվել են նաև քանակական և որակական ոչ ֆինանսական արդյունքային ցուցանիշներ: Այսպես, ոչ ֆինանսական արդյունքային ցուցանիշներն են՝ ավարտված գործերի թիվը ստացված գործերի թվում (տոկոս), բեկանված դատական ակտերի թիվը կայացված դատական ակտերի թվում (տոկոս):</w:t>
      </w:r>
    </w:p>
    <w:p w:rsidR="00013DB1" w:rsidRPr="007955BB" w:rsidRDefault="00013DB1" w:rsidP="00013DB1">
      <w:pPr>
        <w:spacing w:before="0" w:line="276" w:lineRule="auto"/>
        <w:contextualSpacing w:val="0"/>
        <w:rPr>
          <w:b w:val="0"/>
          <w:szCs w:val="22"/>
          <w:lang w:val="af-ZA" w:eastAsia="en-US"/>
        </w:rPr>
      </w:pPr>
      <w:r w:rsidRPr="007955BB">
        <w:rPr>
          <w:b w:val="0"/>
          <w:szCs w:val="22"/>
          <w:lang w:val="af-ZA" w:eastAsia="en-US"/>
        </w:rPr>
        <w:t>Ավարտված գործերի թիվը ստացված գործերի թվում որակական ցուցանիշի սահմանումը նպատակ է հետապնդում ցույց տալ հանրությանը, որ այն տարեցտարի դրական դինամիկա պետք է ապահովի և տարեվերջյան անավարտ գործերի թիվը պետք է նվազի, իսկ բեկանված դատական ակտերի թիվը կայացված դատական ակտերի թվում ցուցանիշն ընդհակառակը՝ տարեցտարի պետք է նվազի:</w:t>
      </w:r>
    </w:p>
    <w:p w:rsidR="00013DB1" w:rsidRPr="007955BB" w:rsidRDefault="00013DB1" w:rsidP="00013DB1">
      <w:pPr>
        <w:spacing w:before="0" w:line="276" w:lineRule="auto"/>
        <w:contextualSpacing w:val="0"/>
        <w:rPr>
          <w:b w:val="0"/>
          <w:szCs w:val="22"/>
          <w:lang w:val="af-ZA" w:eastAsia="en-US"/>
        </w:rPr>
      </w:pPr>
    </w:p>
    <w:p w:rsidR="00013DB1" w:rsidRPr="007955BB" w:rsidRDefault="00013DB1" w:rsidP="00013DB1">
      <w:pPr>
        <w:keepNext/>
        <w:spacing w:before="0" w:line="276" w:lineRule="auto"/>
        <w:ind w:firstLine="0"/>
        <w:contextualSpacing w:val="0"/>
        <w:jc w:val="center"/>
        <w:outlineLvl w:val="2"/>
        <w:rPr>
          <w:rFonts w:cs="Arial"/>
          <w:sz w:val="24"/>
          <w:lang w:val="hy-AM" w:eastAsia="en-US"/>
        </w:rPr>
      </w:pPr>
      <w:bookmarkStart w:id="354" w:name="_Toc120805240"/>
      <w:r w:rsidRPr="007955BB">
        <w:rPr>
          <w:rFonts w:cs="Arial"/>
          <w:sz w:val="24"/>
          <w:lang w:val="hy-AM" w:eastAsia="en-US"/>
        </w:rPr>
        <w:t>ՀՀ հակակոռուպցիոն կոմիտե</w:t>
      </w:r>
      <w:bookmarkEnd w:id="354"/>
    </w:p>
    <w:p w:rsidR="00013DB1" w:rsidRPr="007955BB" w:rsidRDefault="00013DB1" w:rsidP="00013DB1">
      <w:pPr>
        <w:spacing w:before="0" w:line="276" w:lineRule="auto"/>
        <w:contextualSpacing w:val="0"/>
        <w:rPr>
          <w:b w:val="0"/>
          <w:szCs w:val="22"/>
          <w:lang w:val="af-ZA" w:eastAsia="en-US"/>
        </w:rPr>
      </w:pPr>
      <w:r w:rsidRPr="007955BB">
        <w:rPr>
          <w:b w:val="0"/>
          <w:szCs w:val="22"/>
          <w:lang w:val="af-ZA" w:eastAsia="en-US"/>
        </w:rPr>
        <w:t xml:space="preserve">ՀՀ հակակոռուպցիոն կոմիտեն կազմակերպում և </w:t>
      </w:r>
      <w:r w:rsidRPr="007955BB">
        <w:rPr>
          <w:rFonts w:ascii="Calibri" w:hAnsi="Calibri" w:cs="Calibri"/>
          <w:b w:val="0"/>
          <w:szCs w:val="22"/>
          <w:lang w:val="af-ZA" w:eastAsia="en-US"/>
        </w:rPr>
        <w:t> </w:t>
      </w:r>
      <w:r w:rsidRPr="007955BB">
        <w:rPr>
          <w:rFonts w:cs="GHEA Grapalat"/>
          <w:b w:val="0"/>
          <w:szCs w:val="22"/>
          <w:lang w:val="af-ZA" w:eastAsia="en-US"/>
        </w:rPr>
        <w:t>իրականացնում</w:t>
      </w:r>
      <w:r w:rsidRPr="007955BB">
        <w:rPr>
          <w:b w:val="0"/>
          <w:szCs w:val="22"/>
          <w:lang w:val="af-ZA" w:eastAsia="en-US"/>
        </w:rPr>
        <w:t xml:space="preserve"> </w:t>
      </w:r>
      <w:r w:rsidRPr="007955BB">
        <w:rPr>
          <w:rFonts w:cs="GHEA Grapalat"/>
          <w:b w:val="0"/>
          <w:szCs w:val="22"/>
          <w:lang w:val="af-ZA" w:eastAsia="en-US"/>
        </w:rPr>
        <w:t>է</w:t>
      </w:r>
      <w:r w:rsidRPr="007955BB">
        <w:rPr>
          <w:b w:val="0"/>
          <w:szCs w:val="22"/>
          <w:lang w:val="af-ZA" w:eastAsia="en-US"/>
        </w:rPr>
        <w:t xml:space="preserve"> </w:t>
      </w:r>
      <w:r w:rsidR="00D35F72">
        <w:rPr>
          <w:rFonts w:cs="GHEA Grapalat"/>
          <w:b w:val="0"/>
          <w:szCs w:val="22"/>
          <w:lang w:val="hy-AM" w:eastAsia="en-US"/>
        </w:rPr>
        <w:t>ՀՀ</w:t>
      </w:r>
      <w:r w:rsidRPr="007955BB">
        <w:rPr>
          <w:b w:val="0"/>
          <w:szCs w:val="22"/>
          <w:lang w:val="af-ZA" w:eastAsia="en-US"/>
        </w:rPr>
        <w:t xml:space="preserve"> </w:t>
      </w:r>
      <w:r w:rsidRPr="007955BB">
        <w:rPr>
          <w:rFonts w:cs="GHEA Grapalat"/>
          <w:b w:val="0"/>
          <w:szCs w:val="22"/>
          <w:lang w:val="af-ZA" w:eastAsia="en-US"/>
        </w:rPr>
        <w:t>քրեական</w:t>
      </w:r>
      <w:r w:rsidRPr="007955BB">
        <w:rPr>
          <w:b w:val="0"/>
          <w:szCs w:val="22"/>
          <w:lang w:val="af-ZA" w:eastAsia="en-US"/>
        </w:rPr>
        <w:t xml:space="preserve"> </w:t>
      </w:r>
      <w:r w:rsidRPr="007955BB">
        <w:rPr>
          <w:rFonts w:cs="GHEA Grapalat"/>
          <w:b w:val="0"/>
          <w:szCs w:val="22"/>
          <w:lang w:val="af-ZA" w:eastAsia="en-US"/>
        </w:rPr>
        <w:t>օրենսգրքի</w:t>
      </w:r>
      <w:r w:rsidRPr="007955BB">
        <w:rPr>
          <w:b w:val="0"/>
          <w:szCs w:val="22"/>
          <w:lang w:val="af-ZA" w:eastAsia="en-US"/>
        </w:rPr>
        <w:t xml:space="preserve"> 6-</w:t>
      </w:r>
      <w:r w:rsidRPr="007955BB">
        <w:rPr>
          <w:rFonts w:cs="GHEA Grapalat"/>
          <w:b w:val="0"/>
          <w:szCs w:val="22"/>
          <w:lang w:val="af-ZA" w:eastAsia="en-US"/>
        </w:rPr>
        <w:t>րդ</w:t>
      </w:r>
      <w:r w:rsidRPr="007955BB">
        <w:rPr>
          <w:b w:val="0"/>
          <w:szCs w:val="22"/>
          <w:lang w:val="af-ZA" w:eastAsia="en-US"/>
        </w:rPr>
        <w:t xml:space="preserve"> </w:t>
      </w:r>
      <w:r w:rsidRPr="007955BB">
        <w:rPr>
          <w:rFonts w:cs="GHEA Grapalat"/>
          <w:b w:val="0"/>
          <w:szCs w:val="22"/>
          <w:lang w:val="af-ZA" w:eastAsia="en-US"/>
        </w:rPr>
        <w:t>հավելվածով</w:t>
      </w:r>
      <w:r w:rsidRPr="007955BB">
        <w:rPr>
          <w:b w:val="0"/>
          <w:szCs w:val="22"/>
          <w:lang w:val="af-ZA" w:eastAsia="en-US"/>
        </w:rPr>
        <w:t xml:space="preserve"> </w:t>
      </w:r>
      <w:r w:rsidRPr="007955BB">
        <w:rPr>
          <w:rFonts w:cs="GHEA Grapalat"/>
          <w:b w:val="0"/>
          <w:szCs w:val="22"/>
          <w:lang w:val="af-ZA" w:eastAsia="en-US"/>
        </w:rPr>
        <w:t>սահմանված</w:t>
      </w:r>
      <w:r w:rsidRPr="007955BB">
        <w:rPr>
          <w:b w:val="0"/>
          <w:szCs w:val="22"/>
          <w:lang w:val="af-ZA" w:eastAsia="en-US"/>
        </w:rPr>
        <w:t xml:space="preserve"> </w:t>
      </w:r>
      <w:r w:rsidRPr="007955BB">
        <w:rPr>
          <w:rFonts w:cs="GHEA Grapalat"/>
          <w:b w:val="0"/>
          <w:szCs w:val="22"/>
          <w:lang w:val="af-ZA" w:eastAsia="en-US"/>
        </w:rPr>
        <w:t>կոռուպցիոն</w:t>
      </w:r>
      <w:r w:rsidRPr="007955BB">
        <w:rPr>
          <w:b w:val="0"/>
          <w:szCs w:val="22"/>
          <w:lang w:val="af-ZA" w:eastAsia="en-US"/>
        </w:rPr>
        <w:t xml:space="preserve"> հանցագործությունների վերաբերյալ գործերով նախաքննությունը և իրականացնում է օպերատիվ-հետախուզական գործունեություն՝ «Օպերատիվ-հետախուզական գործունեության մասին» օրենքով սահմանված կարգով:</w:t>
      </w:r>
    </w:p>
    <w:p w:rsidR="00013DB1" w:rsidRPr="007955BB" w:rsidRDefault="00013DB1" w:rsidP="00013DB1">
      <w:pPr>
        <w:spacing w:before="0" w:line="276" w:lineRule="auto"/>
        <w:contextualSpacing w:val="0"/>
        <w:rPr>
          <w:b w:val="0"/>
          <w:szCs w:val="22"/>
          <w:lang w:val="af-ZA" w:eastAsia="en-US"/>
        </w:rPr>
      </w:pPr>
      <w:r w:rsidRPr="007955BB">
        <w:rPr>
          <w:b w:val="0"/>
          <w:szCs w:val="22"/>
          <w:lang w:val="af-ZA" w:eastAsia="en-US"/>
        </w:rPr>
        <w:t>ՀՀ հակակոռուպցիոն կոմիտեի կողմից իրականացվող գործունեության հիմնական նպատակն է կոռուպցիոն բնույթի հանցագործությունների բացահայտումն ու քննությունը:</w:t>
      </w:r>
    </w:p>
    <w:p w:rsidR="00013DB1" w:rsidRPr="007955BB" w:rsidRDefault="00013DB1" w:rsidP="00013DB1">
      <w:pPr>
        <w:spacing w:before="0" w:line="276" w:lineRule="auto"/>
        <w:contextualSpacing w:val="0"/>
        <w:rPr>
          <w:b w:val="0"/>
          <w:szCs w:val="22"/>
          <w:lang w:val="af-ZA" w:eastAsia="en-US"/>
        </w:rPr>
      </w:pPr>
      <w:r w:rsidRPr="007955BB">
        <w:rPr>
          <w:b w:val="0"/>
          <w:szCs w:val="22"/>
          <w:lang w:val="af-ZA" w:eastAsia="en-US"/>
        </w:rPr>
        <w:t>ՀՀ հակակոռուպցիոն կոմիտեն՝ որպես քննչական մարմին, պարտավոր է ձեռնարկել բոլոր միջոցները` քրեական օրենսգրքով նախատեսված կոռուպցիոն հանցանք կատարած բոլոր անձանց հայտնաբերելու և պատասխանատվության ենթարկելու ուղղությամբ: ՀՀ հակակոռուպցիոն կոմիտեի քննիչները քրեական վարույթով պատշաճ քննությունն ու դրա արդյունավետությունն ապահովելու նպատակով կատարում են օրենքով իրենց վերապահված բազմաթիվ քննչական գործողություններ՝ հարցաքննություններ, խուզարկություններ, զննումններ, առգրավումներ, ճանաչումներ, փորձարարություններ, նշանակում են տարաբնույթ փորձաքննություններ և այլն:</w:t>
      </w:r>
    </w:p>
    <w:p w:rsidR="00013DB1" w:rsidRPr="007955BB" w:rsidRDefault="00013DB1" w:rsidP="00013DB1">
      <w:pPr>
        <w:spacing w:before="0" w:line="276" w:lineRule="auto"/>
        <w:contextualSpacing w:val="0"/>
        <w:rPr>
          <w:b w:val="0"/>
          <w:szCs w:val="22"/>
          <w:lang w:val="af-ZA" w:eastAsia="en-US"/>
        </w:rPr>
      </w:pPr>
      <w:r w:rsidRPr="007955BB">
        <w:rPr>
          <w:b w:val="0"/>
          <w:szCs w:val="22"/>
          <w:lang w:val="af-ZA" w:eastAsia="en-US"/>
        </w:rPr>
        <w:t>Կատարվում են նաև բազմաթիվ օպերատիվ-հետախուզական միջոցառումներ: Նախաքննության ընթացքում վարույթ իրականացնող մարմինը պարզում է նաև հանցագործությունների կատարմանը նպաստող պատճառներն ու պայմանները, որից հետո դրանք վերացնելու և կանխելու նպատակով համապատասխան մարմիններին ներկայացնում է միջնորդագրեր: Հակակոռուպցիոն կոմիտեն ուսումնասիրում է նաև կոռուպցիոն հանցագործությունների քննության մեթոդիկան, ձեռնարկում միջոցառումներ՝ քննության դրական փորձը քննչական պրակտիկայում ներդնելու ուղղությամբ: Բացի այդ, քննարկում և լուծում է ստացված դիմումներն ու բողոքները:</w:t>
      </w:r>
    </w:p>
    <w:p w:rsidR="00013DB1" w:rsidRPr="007955BB" w:rsidRDefault="00013DB1" w:rsidP="00013DB1">
      <w:pPr>
        <w:spacing w:before="0" w:line="276" w:lineRule="auto"/>
        <w:contextualSpacing w:val="0"/>
        <w:rPr>
          <w:b w:val="0"/>
          <w:szCs w:val="22"/>
          <w:lang w:val="hy-AM" w:eastAsia="en-US"/>
        </w:rPr>
      </w:pPr>
    </w:p>
    <w:p w:rsidR="00CF61FB" w:rsidRPr="007955BB" w:rsidRDefault="00CF61FB" w:rsidP="00427D1F">
      <w:pPr>
        <w:keepNext/>
        <w:spacing w:before="0" w:line="276" w:lineRule="auto"/>
        <w:ind w:firstLine="0"/>
        <w:contextualSpacing w:val="0"/>
        <w:jc w:val="center"/>
        <w:outlineLvl w:val="2"/>
        <w:rPr>
          <w:rFonts w:cs="Arial"/>
          <w:sz w:val="24"/>
          <w:lang w:val="af-ZA" w:eastAsia="en-US"/>
        </w:rPr>
      </w:pPr>
      <w:bookmarkStart w:id="355" w:name="_Toc120805241"/>
      <w:r w:rsidRPr="007955BB">
        <w:rPr>
          <w:rFonts w:cs="Arial"/>
          <w:sz w:val="24"/>
          <w:lang w:val="hy-AM" w:eastAsia="en-US"/>
        </w:rPr>
        <w:t>ՀՀ դատախազությ</w:t>
      </w:r>
      <w:r w:rsidRPr="007C243D">
        <w:rPr>
          <w:rFonts w:cs="Arial"/>
          <w:sz w:val="24"/>
          <w:lang w:val="hy-AM" w:eastAsia="en-US"/>
        </w:rPr>
        <w:t>ուն</w:t>
      </w:r>
      <w:bookmarkEnd w:id="355"/>
    </w:p>
    <w:p w:rsidR="00C264B6" w:rsidRPr="007955BB" w:rsidRDefault="00C264B6" w:rsidP="00C264B6">
      <w:pPr>
        <w:spacing w:before="0" w:line="276" w:lineRule="auto"/>
        <w:contextualSpacing w:val="0"/>
        <w:rPr>
          <w:b w:val="0"/>
          <w:szCs w:val="22"/>
          <w:lang w:val="af-ZA" w:eastAsia="en-US"/>
        </w:rPr>
      </w:pPr>
      <w:r w:rsidRPr="007955BB">
        <w:rPr>
          <w:b w:val="0"/>
          <w:szCs w:val="22"/>
          <w:lang w:val="af-ZA" w:eastAsia="en-US"/>
        </w:rPr>
        <w:t>«Դատավարական ղեկավարում և դատախազական հսկողություն» ծրագրի նպատակն է՝ ՀՀ-ում հանցավորության դեմ պայքարը, հանցագործության դեպքերի կանխարգելումը և կրճատումը, հանցագործության բոլոր դեպքերի առնչությամբ բազմակողմանի, լրիվ և օբյեկտիվ քննության ապահովումը:</w:t>
      </w:r>
    </w:p>
    <w:p w:rsidR="00C264B6" w:rsidRPr="007955BB" w:rsidRDefault="00C264B6" w:rsidP="00C264B6">
      <w:pPr>
        <w:spacing w:before="0" w:line="276" w:lineRule="auto"/>
        <w:contextualSpacing w:val="0"/>
        <w:rPr>
          <w:b w:val="0"/>
          <w:szCs w:val="22"/>
          <w:lang w:val="af-ZA" w:eastAsia="en-US"/>
        </w:rPr>
      </w:pPr>
      <w:r w:rsidRPr="007955BB">
        <w:rPr>
          <w:b w:val="0"/>
          <w:szCs w:val="22"/>
          <w:lang w:val="af-ZA" w:eastAsia="en-US"/>
        </w:rPr>
        <w:t>ՀՀ դատախազության գործունեության հիմնական ոլորտներն են՝</w:t>
      </w:r>
    </w:p>
    <w:p w:rsidR="00C264B6" w:rsidRPr="007955BB" w:rsidRDefault="00C264B6" w:rsidP="00C264B6">
      <w:pPr>
        <w:spacing w:before="0" w:line="276" w:lineRule="auto"/>
        <w:contextualSpacing w:val="0"/>
        <w:rPr>
          <w:b w:val="0"/>
          <w:szCs w:val="22"/>
          <w:lang w:val="af-ZA" w:eastAsia="en-US"/>
        </w:rPr>
      </w:pPr>
      <w:r w:rsidRPr="007955BB">
        <w:rPr>
          <w:b w:val="0"/>
          <w:szCs w:val="22"/>
          <w:lang w:val="af-ZA" w:eastAsia="en-US"/>
        </w:rPr>
        <w:t>1)</w:t>
      </w:r>
      <w:r w:rsidRPr="007955BB">
        <w:rPr>
          <w:b w:val="0"/>
          <w:szCs w:val="22"/>
          <w:lang w:val="af-ZA" w:eastAsia="en-US"/>
        </w:rPr>
        <w:tab/>
        <w:t xml:space="preserve"> Կոռուպցիայի և կազմակերպված հանցավորության դեմ պայքարի ոլորտ</w:t>
      </w:r>
    </w:p>
    <w:p w:rsidR="00C264B6" w:rsidRPr="007955BB" w:rsidRDefault="00C264B6" w:rsidP="00C264B6">
      <w:pPr>
        <w:spacing w:before="0" w:line="276" w:lineRule="auto"/>
        <w:contextualSpacing w:val="0"/>
        <w:rPr>
          <w:b w:val="0"/>
          <w:szCs w:val="22"/>
          <w:lang w:val="af-ZA" w:eastAsia="en-US"/>
        </w:rPr>
      </w:pPr>
      <w:r w:rsidRPr="007955BB">
        <w:rPr>
          <w:b w:val="0"/>
          <w:szCs w:val="22"/>
          <w:lang w:val="af-ZA" w:eastAsia="en-US"/>
        </w:rPr>
        <w:t>2)</w:t>
      </w:r>
      <w:r w:rsidRPr="007955BB">
        <w:rPr>
          <w:b w:val="0"/>
          <w:szCs w:val="22"/>
          <w:lang w:val="af-ZA" w:eastAsia="en-US"/>
        </w:rPr>
        <w:tab/>
        <w:t xml:space="preserve"> Քրեական հետապնդում հարուցելու ոլորտ</w:t>
      </w:r>
    </w:p>
    <w:p w:rsidR="00C264B6" w:rsidRPr="007955BB" w:rsidRDefault="00C264B6" w:rsidP="00C264B6">
      <w:pPr>
        <w:spacing w:before="0" w:line="276" w:lineRule="auto"/>
        <w:contextualSpacing w:val="0"/>
        <w:rPr>
          <w:b w:val="0"/>
          <w:szCs w:val="22"/>
          <w:lang w:val="af-ZA" w:eastAsia="en-US"/>
        </w:rPr>
      </w:pPr>
      <w:r w:rsidRPr="007955BB">
        <w:rPr>
          <w:b w:val="0"/>
          <w:szCs w:val="22"/>
          <w:lang w:val="af-ZA" w:eastAsia="en-US"/>
        </w:rPr>
        <w:t>3)</w:t>
      </w:r>
      <w:r w:rsidRPr="007955BB">
        <w:rPr>
          <w:b w:val="0"/>
          <w:szCs w:val="22"/>
          <w:lang w:val="af-ZA" w:eastAsia="en-US"/>
        </w:rPr>
        <w:tab/>
        <w:t xml:space="preserve"> Հետաքննության և նախաքննության օրինականության նկատմամբ հսկողության իրականացման ոլորտ</w:t>
      </w:r>
    </w:p>
    <w:p w:rsidR="00C264B6" w:rsidRPr="007955BB" w:rsidRDefault="00C264B6" w:rsidP="00C264B6">
      <w:pPr>
        <w:spacing w:before="0" w:line="276" w:lineRule="auto"/>
        <w:contextualSpacing w:val="0"/>
        <w:rPr>
          <w:b w:val="0"/>
          <w:szCs w:val="22"/>
          <w:lang w:val="af-ZA" w:eastAsia="en-US"/>
        </w:rPr>
      </w:pPr>
      <w:r w:rsidRPr="007955BB">
        <w:rPr>
          <w:b w:val="0"/>
          <w:szCs w:val="22"/>
          <w:lang w:val="af-ZA" w:eastAsia="en-US"/>
        </w:rPr>
        <w:t>4)</w:t>
      </w:r>
      <w:r w:rsidRPr="007955BB">
        <w:rPr>
          <w:b w:val="0"/>
          <w:szCs w:val="22"/>
          <w:lang w:val="af-ZA" w:eastAsia="en-US"/>
        </w:rPr>
        <w:tab/>
        <w:t xml:space="preserve"> Պատիժների և հարկադրանքի այլ միջոցների կիրառման օրինականության նկատմամբ հսկողության իրականացման ոլորտ</w:t>
      </w:r>
    </w:p>
    <w:p w:rsidR="00C264B6" w:rsidRPr="007955BB" w:rsidRDefault="00C264B6" w:rsidP="00C264B6">
      <w:pPr>
        <w:spacing w:before="0" w:line="276" w:lineRule="auto"/>
        <w:contextualSpacing w:val="0"/>
        <w:rPr>
          <w:b w:val="0"/>
          <w:szCs w:val="22"/>
          <w:lang w:val="af-ZA" w:eastAsia="en-US"/>
        </w:rPr>
      </w:pPr>
      <w:r w:rsidRPr="007955BB">
        <w:rPr>
          <w:b w:val="0"/>
          <w:szCs w:val="22"/>
          <w:lang w:val="af-ZA" w:eastAsia="en-US"/>
        </w:rPr>
        <w:t>5)</w:t>
      </w:r>
      <w:r w:rsidRPr="007955BB">
        <w:rPr>
          <w:b w:val="0"/>
          <w:szCs w:val="22"/>
          <w:lang w:val="af-ZA" w:eastAsia="en-US"/>
        </w:rPr>
        <w:tab/>
        <w:t xml:space="preserve"> Դատարանում մեղադրանքի պաշտպանության և վճիռների, դատավճիռների և որոշումների բողոքարկման ոլորտներ</w:t>
      </w:r>
    </w:p>
    <w:p w:rsidR="00C264B6" w:rsidRPr="007955BB" w:rsidRDefault="00C264B6" w:rsidP="00C264B6">
      <w:pPr>
        <w:spacing w:before="0" w:line="276" w:lineRule="auto"/>
        <w:contextualSpacing w:val="0"/>
        <w:rPr>
          <w:b w:val="0"/>
          <w:szCs w:val="22"/>
          <w:lang w:val="af-ZA" w:eastAsia="en-US"/>
        </w:rPr>
      </w:pPr>
      <w:r w:rsidRPr="007955BB">
        <w:rPr>
          <w:b w:val="0"/>
          <w:szCs w:val="22"/>
          <w:lang w:val="af-ZA" w:eastAsia="en-US"/>
        </w:rPr>
        <w:t>6)</w:t>
      </w:r>
      <w:r w:rsidRPr="007955BB">
        <w:rPr>
          <w:b w:val="0"/>
          <w:szCs w:val="22"/>
          <w:lang w:val="af-ZA" w:eastAsia="en-US"/>
        </w:rPr>
        <w:tab/>
        <w:t xml:space="preserve"> Պետական շահերի պաշտպանության ոլորտ</w:t>
      </w:r>
    </w:p>
    <w:p w:rsidR="00C264B6" w:rsidRPr="007955BB" w:rsidRDefault="00C264B6" w:rsidP="00C264B6">
      <w:pPr>
        <w:spacing w:before="0" w:line="276" w:lineRule="auto"/>
        <w:contextualSpacing w:val="0"/>
        <w:rPr>
          <w:b w:val="0"/>
          <w:szCs w:val="22"/>
          <w:lang w:val="af-ZA" w:eastAsia="en-US"/>
        </w:rPr>
      </w:pPr>
      <w:r w:rsidRPr="007955BB">
        <w:rPr>
          <w:b w:val="0"/>
          <w:szCs w:val="22"/>
          <w:lang w:val="af-ZA" w:eastAsia="en-US"/>
        </w:rPr>
        <w:t>7)</w:t>
      </w:r>
      <w:r w:rsidRPr="007955BB">
        <w:rPr>
          <w:b w:val="0"/>
          <w:szCs w:val="22"/>
          <w:lang w:val="af-ZA" w:eastAsia="en-US"/>
        </w:rPr>
        <w:tab/>
        <w:t xml:space="preserve"> Ապօրինի ծագում ունեցող գույքի բռնագանձման ոլորտ:</w:t>
      </w:r>
    </w:p>
    <w:p w:rsidR="00CF61FB" w:rsidRPr="007955BB" w:rsidRDefault="00CF61FB" w:rsidP="00CF61FB">
      <w:pPr>
        <w:spacing w:before="0" w:line="276" w:lineRule="auto"/>
        <w:contextualSpacing w:val="0"/>
        <w:rPr>
          <w:b w:val="0"/>
          <w:szCs w:val="22"/>
          <w:lang w:val="af-ZA" w:eastAsia="en-US"/>
        </w:rPr>
      </w:pPr>
      <w:r w:rsidRPr="007955BB">
        <w:rPr>
          <w:b w:val="0"/>
          <w:szCs w:val="22"/>
          <w:lang w:val="af-ZA" w:eastAsia="en-US"/>
        </w:rPr>
        <w:tab/>
        <w:t xml:space="preserve">«Փորձաքննության ծառայությունների տրամադրում» ծրագրի նպատակն է  քրեական հետապնդում և արդարադատություն իրականացնող մարմինների կողմից նշանակվող դատական փորձաքննությունների պատշաճ իրականացմամբ համապատասխան պատշաճ որակի և դատավարական ու մեթոդական ընթացակարգերի պահպանմամբ ապացույցների ձեռք բերման միջոցով օժանդակել մինչդատական և դատական քրեական վարույթի իրականացմանը, ինչպես նաև անձի, հասարակության և պետության պաշտպանությանը հանցագործություններից: </w:t>
      </w:r>
    </w:p>
    <w:p w:rsidR="00CF61FB" w:rsidRPr="007955BB" w:rsidRDefault="00CF61FB" w:rsidP="00CF61FB">
      <w:pPr>
        <w:spacing w:before="0" w:line="276" w:lineRule="auto"/>
        <w:contextualSpacing w:val="0"/>
        <w:rPr>
          <w:b w:val="0"/>
          <w:szCs w:val="22"/>
          <w:lang w:val="af-ZA" w:eastAsia="en-US"/>
        </w:rPr>
      </w:pPr>
      <w:r w:rsidRPr="007955BB">
        <w:rPr>
          <w:b w:val="0"/>
          <w:szCs w:val="22"/>
          <w:lang w:val="af-ZA" w:eastAsia="en-US"/>
        </w:rPr>
        <w:t xml:space="preserve"> «Մասնագիտական ուսուցման և որակավորման բարձրացման» կազմակերպում» ծրագրի շրջանակներում նախատեսվում է իրականացնել փորձաքննությունների համար ելակետային տվյալներ ձեռք բերելու պարտականություններ և փորձաքննություններ նշանակելու լիազորություն ունեցող իրավասու մարմինների աշխատողների /նախաքննության, հետաքննության և այլ մարմինների աշխատակիցների/ ուսուցման, վերապատրաստման և որակավորման բարձրացման դասընթացների առավել որակյալ կազմակերպումը և իրականացումը:</w:t>
      </w:r>
    </w:p>
    <w:p w:rsidR="002456B8" w:rsidRPr="007955BB" w:rsidRDefault="002456B8" w:rsidP="002456B8">
      <w:pPr>
        <w:spacing w:before="0" w:line="276" w:lineRule="auto"/>
        <w:contextualSpacing w:val="0"/>
        <w:rPr>
          <w:b w:val="0"/>
          <w:szCs w:val="22"/>
          <w:lang w:val="af-ZA" w:eastAsia="en-US"/>
        </w:rPr>
      </w:pPr>
    </w:p>
    <w:p w:rsidR="002456B8" w:rsidRPr="007955BB" w:rsidRDefault="002456B8" w:rsidP="00832373">
      <w:pPr>
        <w:keepNext/>
        <w:spacing w:before="0" w:line="276" w:lineRule="auto"/>
        <w:ind w:firstLine="0"/>
        <w:contextualSpacing w:val="0"/>
        <w:jc w:val="center"/>
        <w:outlineLvl w:val="2"/>
        <w:rPr>
          <w:rFonts w:cs="Arial"/>
          <w:sz w:val="24"/>
          <w:lang w:val="af-ZA" w:eastAsia="en-US"/>
        </w:rPr>
      </w:pPr>
      <w:bookmarkStart w:id="356" w:name="_Toc120805242"/>
      <w:r w:rsidRPr="007955BB">
        <w:rPr>
          <w:rFonts w:cs="Arial"/>
          <w:sz w:val="24"/>
          <w:lang w:val="hy-AM" w:eastAsia="en-US"/>
        </w:rPr>
        <w:t>ՀՀ քննչական կոմիտե</w:t>
      </w:r>
      <w:bookmarkEnd w:id="356"/>
    </w:p>
    <w:p w:rsidR="00C264B6" w:rsidRPr="007955BB" w:rsidRDefault="00C264B6" w:rsidP="00C264B6">
      <w:pPr>
        <w:spacing w:before="0" w:line="276" w:lineRule="auto"/>
        <w:contextualSpacing w:val="0"/>
        <w:rPr>
          <w:b w:val="0"/>
          <w:szCs w:val="22"/>
          <w:lang w:val="af-ZA" w:eastAsia="en-US"/>
        </w:rPr>
      </w:pPr>
      <w:r w:rsidRPr="007955BB">
        <w:rPr>
          <w:b w:val="0"/>
          <w:szCs w:val="22"/>
          <w:lang w:val="en-US" w:eastAsia="en-US"/>
        </w:rPr>
        <w:t>ՀՀ</w:t>
      </w:r>
      <w:r w:rsidRPr="007955BB">
        <w:rPr>
          <w:b w:val="0"/>
          <w:szCs w:val="22"/>
          <w:lang w:val="af-ZA" w:eastAsia="en-US"/>
        </w:rPr>
        <w:t xml:space="preserve"> </w:t>
      </w:r>
      <w:r w:rsidRPr="007955BB">
        <w:rPr>
          <w:b w:val="0"/>
          <w:szCs w:val="22"/>
          <w:lang w:val="en-US" w:eastAsia="en-US"/>
        </w:rPr>
        <w:t>քննչական</w:t>
      </w:r>
      <w:r w:rsidRPr="007955BB">
        <w:rPr>
          <w:b w:val="0"/>
          <w:szCs w:val="22"/>
          <w:lang w:val="af-ZA" w:eastAsia="en-US"/>
        </w:rPr>
        <w:t xml:space="preserve"> </w:t>
      </w:r>
      <w:r w:rsidRPr="007955BB">
        <w:rPr>
          <w:b w:val="0"/>
          <w:szCs w:val="22"/>
          <w:lang w:val="en-US" w:eastAsia="en-US"/>
        </w:rPr>
        <w:t>կոմիտեի</w:t>
      </w:r>
      <w:r w:rsidRPr="007955BB">
        <w:rPr>
          <w:b w:val="0"/>
          <w:szCs w:val="22"/>
          <w:lang w:val="af-ZA" w:eastAsia="en-US"/>
        </w:rPr>
        <w:t xml:space="preserve"> </w:t>
      </w:r>
      <w:r w:rsidRPr="007955BB">
        <w:rPr>
          <w:b w:val="0"/>
          <w:szCs w:val="22"/>
          <w:lang w:val="en-US" w:eastAsia="en-US"/>
        </w:rPr>
        <w:t>հիմնական</w:t>
      </w:r>
      <w:r w:rsidRPr="007955BB">
        <w:rPr>
          <w:b w:val="0"/>
          <w:szCs w:val="22"/>
          <w:lang w:val="af-ZA" w:eastAsia="en-US"/>
        </w:rPr>
        <w:t xml:space="preserve"> </w:t>
      </w:r>
      <w:r w:rsidRPr="007955BB">
        <w:rPr>
          <w:b w:val="0"/>
          <w:szCs w:val="22"/>
          <w:lang w:val="en-US" w:eastAsia="en-US"/>
        </w:rPr>
        <w:t>նպատակը</w:t>
      </w:r>
      <w:r w:rsidRPr="007955BB">
        <w:rPr>
          <w:b w:val="0"/>
          <w:szCs w:val="22"/>
          <w:lang w:val="af-ZA" w:eastAsia="en-US"/>
        </w:rPr>
        <w:t xml:space="preserve"> </w:t>
      </w:r>
      <w:r w:rsidRPr="007955BB">
        <w:rPr>
          <w:b w:val="0"/>
          <w:szCs w:val="22"/>
          <w:lang w:val="en-US" w:eastAsia="en-US"/>
        </w:rPr>
        <w:t>ՀՀ</w:t>
      </w:r>
      <w:r w:rsidRPr="007955BB">
        <w:rPr>
          <w:b w:val="0"/>
          <w:szCs w:val="22"/>
          <w:lang w:val="af-ZA" w:eastAsia="en-US"/>
        </w:rPr>
        <w:t xml:space="preserve"> </w:t>
      </w:r>
      <w:r w:rsidRPr="007955BB">
        <w:rPr>
          <w:b w:val="0"/>
          <w:szCs w:val="22"/>
          <w:lang w:val="en-US" w:eastAsia="en-US"/>
        </w:rPr>
        <w:t>օրենսդրությամբ</w:t>
      </w:r>
      <w:r w:rsidRPr="007955BB">
        <w:rPr>
          <w:b w:val="0"/>
          <w:szCs w:val="22"/>
          <w:lang w:val="af-ZA" w:eastAsia="en-US"/>
        </w:rPr>
        <w:t xml:space="preserve"> </w:t>
      </w:r>
      <w:r w:rsidRPr="007955BB">
        <w:rPr>
          <w:b w:val="0"/>
          <w:szCs w:val="22"/>
          <w:lang w:val="en-US" w:eastAsia="en-US"/>
        </w:rPr>
        <w:t>սահմանված</w:t>
      </w:r>
      <w:r w:rsidRPr="007955BB">
        <w:rPr>
          <w:b w:val="0"/>
          <w:szCs w:val="22"/>
          <w:lang w:val="af-ZA" w:eastAsia="en-US"/>
        </w:rPr>
        <w:t xml:space="preserve"> </w:t>
      </w:r>
      <w:r w:rsidRPr="007955BB">
        <w:rPr>
          <w:b w:val="0"/>
          <w:szCs w:val="22"/>
          <w:lang w:val="en-US" w:eastAsia="en-US"/>
        </w:rPr>
        <w:t>կարգով</w:t>
      </w:r>
      <w:r w:rsidRPr="007955BB">
        <w:rPr>
          <w:b w:val="0"/>
          <w:szCs w:val="22"/>
          <w:lang w:val="af-ZA" w:eastAsia="en-US"/>
        </w:rPr>
        <w:t xml:space="preserve"> </w:t>
      </w:r>
      <w:r w:rsidRPr="007955BB">
        <w:rPr>
          <w:b w:val="0"/>
          <w:szCs w:val="22"/>
          <w:lang w:val="en-US" w:eastAsia="en-US"/>
        </w:rPr>
        <w:t>հանցագործությունների</w:t>
      </w:r>
      <w:r w:rsidRPr="007955BB">
        <w:rPr>
          <w:b w:val="0"/>
          <w:szCs w:val="22"/>
          <w:lang w:val="af-ZA" w:eastAsia="en-US"/>
        </w:rPr>
        <w:t xml:space="preserve"> </w:t>
      </w:r>
      <w:r w:rsidRPr="007955BB">
        <w:rPr>
          <w:b w:val="0"/>
          <w:szCs w:val="22"/>
          <w:lang w:val="en-US" w:eastAsia="en-US"/>
        </w:rPr>
        <w:t>վերաբերյալ</w:t>
      </w:r>
      <w:r w:rsidRPr="007955BB">
        <w:rPr>
          <w:b w:val="0"/>
          <w:szCs w:val="22"/>
          <w:lang w:val="af-ZA" w:eastAsia="en-US"/>
        </w:rPr>
        <w:t xml:space="preserve"> </w:t>
      </w:r>
      <w:r w:rsidRPr="007955BB">
        <w:rPr>
          <w:b w:val="0"/>
          <w:szCs w:val="22"/>
          <w:lang w:val="en-US" w:eastAsia="en-US"/>
        </w:rPr>
        <w:t>օբյեկտիվ</w:t>
      </w:r>
      <w:r w:rsidRPr="007955BB">
        <w:rPr>
          <w:b w:val="0"/>
          <w:szCs w:val="22"/>
          <w:lang w:val="af-ZA" w:eastAsia="en-US"/>
        </w:rPr>
        <w:t xml:space="preserve"> </w:t>
      </w:r>
      <w:r w:rsidRPr="007955BB">
        <w:rPr>
          <w:b w:val="0"/>
          <w:szCs w:val="22"/>
          <w:lang w:val="en-US" w:eastAsia="en-US"/>
        </w:rPr>
        <w:t>և</w:t>
      </w:r>
      <w:r w:rsidRPr="007955BB">
        <w:rPr>
          <w:b w:val="0"/>
          <w:szCs w:val="22"/>
          <w:lang w:val="af-ZA" w:eastAsia="en-US"/>
        </w:rPr>
        <w:t xml:space="preserve"> </w:t>
      </w:r>
      <w:r w:rsidRPr="007955BB">
        <w:rPr>
          <w:b w:val="0"/>
          <w:szCs w:val="22"/>
          <w:lang w:val="en-US" w:eastAsia="en-US"/>
        </w:rPr>
        <w:t>արդյունավետ</w:t>
      </w:r>
      <w:r w:rsidRPr="007955BB">
        <w:rPr>
          <w:b w:val="0"/>
          <w:szCs w:val="22"/>
          <w:lang w:val="af-ZA" w:eastAsia="en-US"/>
        </w:rPr>
        <w:t xml:space="preserve"> </w:t>
      </w:r>
      <w:r w:rsidRPr="007955BB">
        <w:rPr>
          <w:b w:val="0"/>
          <w:szCs w:val="22"/>
          <w:lang w:val="en-US" w:eastAsia="en-US"/>
        </w:rPr>
        <w:t>նախաքննության</w:t>
      </w:r>
      <w:r w:rsidRPr="007955BB">
        <w:rPr>
          <w:b w:val="0"/>
          <w:szCs w:val="22"/>
          <w:lang w:val="af-ZA" w:eastAsia="en-US"/>
        </w:rPr>
        <w:t xml:space="preserve"> </w:t>
      </w:r>
      <w:r w:rsidRPr="007955BB">
        <w:rPr>
          <w:b w:val="0"/>
          <w:szCs w:val="22"/>
          <w:lang w:val="en-US" w:eastAsia="en-US"/>
        </w:rPr>
        <w:t>իրականացումն</w:t>
      </w:r>
      <w:r w:rsidRPr="007955BB">
        <w:rPr>
          <w:b w:val="0"/>
          <w:szCs w:val="22"/>
          <w:lang w:val="af-ZA" w:eastAsia="en-US"/>
        </w:rPr>
        <w:t xml:space="preserve"> </w:t>
      </w:r>
      <w:r w:rsidRPr="007955BB">
        <w:rPr>
          <w:b w:val="0"/>
          <w:szCs w:val="22"/>
          <w:lang w:val="en-US" w:eastAsia="en-US"/>
        </w:rPr>
        <w:t>է</w:t>
      </w:r>
      <w:r w:rsidRPr="007955BB">
        <w:rPr>
          <w:b w:val="0"/>
          <w:szCs w:val="22"/>
          <w:lang w:val="af-ZA" w:eastAsia="en-US"/>
        </w:rPr>
        <w:t xml:space="preserve">, </w:t>
      </w:r>
      <w:r w:rsidRPr="007955BB">
        <w:rPr>
          <w:b w:val="0"/>
          <w:szCs w:val="22"/>
          <w:lang w:val="en-US" w:eastAsia="en-US"/>
        </w:rPr>
        <w:t>որի</w:t>
      </w:r>
      <w:r w:rsidRPr="007955BB">
        <w:rPr>
          <w:b w:val="0"/>
          <w:szCs w:val="22"/>
          <w:lang w:val="af-ZA" w:eastAsia="en-US"/>
        </w:rPr>
        <w:t xml:space="preserve"> </w:t>
      </w:r>
      <w:r w:rsidRPr="007955BB">
        <w:rPr>
          <w:b w:val="0"/>
          <w:szCs w:val="22"/>
          <w:lang w:val="en-US" w:eastAsia="en-US"/>
        </w:rPr>
        <w:t>իրագործման</w:t>
      </w:r>
      <w:r w:rsidRPr="007955BB">
        <w:rPr>
          <w:b w:val="0"/>
          <w:szCs w:val="22"/>
          <w:lang w:val="af-ZA" w:eastAsia="en-US"/>
        </w:rPr>
        <w:t xml:space="preserve"> </w:t>
      </w:r>
      <w:r w:rsidRPr="007955BB">
        <w:rPr>
          <w:b w:val="0"/>
          <w:szCs w:val="22"/>
          <w:lang w:val="en-US" w:eastAsia="en-US"/>
        </w:rPr>
        <w:t>համար</w:t>
      </w:r>
      <w:r w:rsidRPr="007955BB">
        <w:rPr>
          <w:b w:val="0"/>
          <w:szCs w:val="22"/>
          <w:lang w:val="af-ZA" w:eastAsia="en-US"/>
        </w:rPr>
        <w:t xml:space="preserve"> </w:t>
      </w:r>
      <w:r w:rsidRPr="007955BB">
        <w:rPr>
          <w:b w:val="0"/>
          <w:szCs w:val="22"/>
          <w:lang w:val="en-US" w:eastAsia="en-US"/>
        </w:rPr>
        <w:t>ակնկալվում</w:t>
      </w:r>
      <w:r w:rsidRPr="007955BB">
        <w:rPr>
          <w:b w:val="0"/>
          <w:szCs w:val="22"/>
          <w:lang w:val="af-ZA" w:eastAsia="en-US"/>
        </w:rPr>
        <w:t xml:space="preserve"> </w:t>
      </w:r>
      <w:r w:rsidRPr="007955BB">
        <w:rPr>
          <w:b w:val="0"/>
          <w:szCs w:val="22"/>
          <w:lang w:val="en-US" w:eastAsia="en-US"/>
        </w:rPr>
        <w:t>է</w:t>
      </w:r>
      <w:r w:rsidRPr="007955BB">
        <w:rPr>
          <w:b w:val="0"/>
          <w:szCs w:val="22"/>
          <w:lang w:val="af-ZA" w:eastAsia="en-US"/>
        </w:rPr>
        <w:t>.</w:t>
      </w:r>
    </w:p>
    <w:p w:rsidR="00C264B6" w:rsidRPr="007955BB" w:rsidRDefault="00C264B6" w:rsidP="00C264B6">
      <w:pPr>
        <w:spacing w:before="0" w:line="276" w:lineRule="auto"/>
        <w:contextualSpacing w:val="0"/>
        <w:rPr>
          <w:b w:val="0"/>
          <w:szCs w:val="22"/>
          <w:lang w:val="af-ZA" w:eastAsia="en-US"/>
        </w:rPr>
      </w:pPr>
      <w:r w:rsidRPr="007955BB">
        <w:rPr>
          <w:b w:val="0"/>
          <w:szCs w:val="22"/>
          <w:lang w:val="af-ZA" w:eastAsia="en-US"/>
        </w:rPr>
        <w:t xml:space="preserve">1. </w:t>
      </w:r>
      <w:r w:rsidRPr="007955BB">
        <w:rPr>
          <w:b w:val="0"/>
          <w:szCs w:val="22"/>
          <w:lang w:val="en-US" w:eastAsia="en-US"/>
        </w:rPr>
        <w:t>ՀՀ</w:t>
      </w:r>
      <w:r w:rsidRPr="007955BB">
        <w:rPr>
          <w:b w:val="0"/>
          <w:szCs w:val="22"/>
          <w:lang w:val="af-ZA" w:eastAsia="en-US"/>
        </w:rPr>
        <w:t xml:space="preserve"> </w:t>
      </w:r>
      <w:r w:rsidRPr="007955BB">
        <w:rPr>
          <w:b w:val="0"/>
          <w:szCs w:val="22"/>
          <w:lang w:val="en-US" w:eastAsia="en-US"/>
        </w:rPr>
        <w:t>քրեական</w:t>
      </w:r>
      <w:r w:rsidRPr="007955BB">
        <w:rPr>
          <w:b w:val="0"/>
          <w:szCs w:val="22"/>
          <w:lang w:val="af-ZA" w:eastAsia="en-US"/>
        </w:rPr>
        <w:t xml:space="preserve"> </w:t>
      </w:r>
      <w:r w:rsidRPr="007955BB">
        <w:rPr>
          <w:b w:val="0"/>
          <w:szCs w:val="22"/>
          <w:lang w:val="en-US" w:eastAsia="en-US"/>
        </w:rPr>
        <w:t>դատավարության</w:t>
      </w:r>
      <w:r w:rsidRPr="007955BB">
        <w:rPr>
          <w:b w:val="0"/>
          <w:szCs w:val="22"/>
          <w:lang w:val="af-ZA" w:eastAsia="en-US"/>
        </w:rPr>
        <w:t xml:space="preserve"> </w:t>
      </w:r>
      <w:r w:rsidRPr="007955BB">
        <w:rPr>
          <w:b w:val="0"/>
          <w:szCs w:val="22"/>
          <w:lang w:val="en-US" w:eastAsia="en-US"/>
        </w:rPr>
        <w:t>օրենսգրքով</w:t>
      </w:r>
      <w:r w:rsidRPr="007955BB">
        <w:rPr>
          <w:b w:val="0"/>
          <w:szCs w:val="22"/>
          <w:lang w:val="af-ZA" w:eastAsia="en-US"/>
        </w:rPr>
        <w:t xml:space="preserve"> </w:t>
      </w:r>
      <w:r w:rsidRPr="007955BB">
        <w:rPr>
          <w:b w:val="0"/>
          <w:szCs w:val="22"/>
          <w:lang w:val="en-US" w:eastAsia="en-US"/>
        </w:rPr>
        <w:t>իր</w:t>
      </w:r>
      <w:r w:rsidRPr="007955BB">
        <w:rPr>
          <w:b w:val="0"/>
          <w:szCs w:val="22"/>
          <w:lang w:val="af-ZA" w:eastAsia="en-US"/>
        </w:rPr>
        <w:t xml:space="preserve"> </w:t>
      </w:r>
      <w:r w:rsidRPr="007955BB">
        <w:rPr>
          <w:b w:val="0"/>
          <w:szCs w:val="22"/>
          <w:lang w:val="en-US" w:eastAsia="en-US"/>
        </w:rPr>
        <w:t>իրավասությանը</w:t>
      </w:r>
      <w:r w:rsidRPr="007955BB">
        <w:rPr>
          <w:b w:val="0"/>
          <w:szCs w:val="22"/>
          <w:lang w:val="af-ZA" w:eastAsia="en-US"/>
        </w:rPr>
        <w:t xml:space="preserve"> </w:t>
      </w:r>
      <w:r w:rsidRPr="007955BB">
        <w:rPr>
          <w:b w:val="0"/>
          <w:szCs w:val="22"/>
          <w:lang w:val="en-US" w:eastAsia="en-US"/>
        </w:rPr>
        <w:t>վերապահված՝</w:t>
      </w:r>
      <w:r w:rsidRPr="007955BB">
        <w:rPr>
          <w:b w:val="0"/>
          <w:szCs w:val="22"/>
          <w:lang w:val="af-ZA" w:eastAsia="en-US"/>
        </w:rPr>
        <w:t xml:space="preserve"> </w:t>
      </w:r>
      <w:r w:rsidRPr="007955BB">
        <w:rPr>
          <w:b w:val="0"/>
          <w:szCs w:val="22"/>
          <w:lang w:val="en-US" w:eastAsia="en-US"/>
        </w:rPr>
        <w:t>ենթադրյալ</w:t>
      </w:r>
      <w:r w:rsidRPr="007955BB">
        <w:rPr>
          <w:b w:val="0"/>
          <w:szCs w:val="22"/>
          <w:lang w:val="af-ZA" w:eastAsia="en-US"/>
        </w:rPr>
        <w:t xml:space="preserve"> </w:t>
      </w:r>
      <w:r w:rsidRPr="007955BB">
        <w:rPr>
          <w:b w:val="0"/>
          <w:szCs w:val="22"/>
          <w:lang w:val="en-US" w:eastAsia="en-US"/>
        </w:rPr>
        <w:t>հանցագործությունների</w:t>
      </w:r>
      <w:r w:rsidRPr="007955BB">
        <w:rPr>
          <w:b w:val="0"/>
          <w:szCs w:val="22"/>
          <w:lang w:val="af-ZA" w:eastAsia="en-US"/>
        </w:rPr>
        <w:t xml:space="preserve"> </w:t>
      </w:r>
      <w:r w:rsidRPr="007955BB">
        <w:rPr>
          <w:b w:val="0"/>
          <w:szCs w:val="22"/>
          <w:lang w:val="en-US" w:eastAsia="en-US"/>
        </w:rPr>
        <w:t>կապակցությամբ</w:t>
      </w:r>
      <w:r w:rsidRPr="007955BB">
        <w:rPr>
          <w:b w:val="0"/>
          <w:szCs w:val="22"/>
          <w:lang w:val="af-ZA" w:eastAsia="en-US"/>
        </w:rPr>
        <w:t xml:space="preserve"> </w:t>
      </w:r>
      <w:r w:rsidRPr="007955BB">
        <w:rPr>
          <w:b w:val="0"/>
          <w:szCs w:val="22"/>
          <w:lang w:val="en-US" w:eastAsia="en-US"/>
        </w:rPr>
        <w:t>նախաքննության</w:t>
      </w:r>
      <w:r w:rsidRPr="007955BB">
        <w:rPr>
          <w:b w:val="0"/>
          <w:szCs w:val="22"/>
          <w:lang w:val="af-ZA" w:eastAsia="en-US"/>
        </w:rPr>
        <w:t xml:space="preserve"> </w:t>
      </w:r>
      <w:r w:rsidRPr="007955BB">
        <w:rPr>
          <w:b w:val="0"/>
          <w:szCs w:val="22"/>
          <w:lang w:val="en-US" w:eastAsia="en-US"/>
        </w:rPr>
        <w:t>կազմակերպումը</w:t>
      </w:r>
      <w:r w:rsidRPr="007955BB">
        <w:rPr>
          <w:b w:val="0"/>
          <w:szCs w:val="22"/>
          <w:lang w:val="af-ZA" w:eastAsia="en-US"/>
        </w:rPr>
        <w:t xml:space="preserve"> </w:t>
      </w:r>
      <w:r w:rsidRPr="007955BB">
        <w:rPr>
          <w:b w:val="0"/>
          <w:szCs w:val="22"/>
          <w:lang w:val="en-US" w:eastAsia="en-US"/>
        </w:rPr>
        <w:t>և</w:t>
      </w:r>
      <w:r w:rsidRPr="007955BB">
        <w:rPr>
          <w:b w:val="0"/>
          <w:szCs w:val="22"/>
          <w:lang w:val="af-ZA" w:eastAsia="en-US"/>
        </w:rPr>
        <w:t xml:space="preserve"> </w:t>
      </w:r>
      <w:r w:rsidRPr="007955BB">
        <w:rPr>
          <w:b w:val="0"/>
          <w:szCs w:val="22"/>
          <w:lang w:val="en-US" w:eastAsia="en-US"/>
        </w:rPr>
        <w:t>իրականացումը</w:t>
      </w:r>
      <w:r w:rsidRPr="007955BB">
        <w:rPr>
          <w:b w:val="0"/>
          <w:szCs w:val="22"/>
          <w:lang w:val="af-ZA" w:eastAsia="en-US"/>
        </w:rPr>
        <w:t>.</w:t>
      </w:r>
    </w:p>
    <w:p w:rsidR="00C264B6" w:rsidRPr="007955BB" w:rsidRDefault="00C264B6" w:rsidP="00C264B6">
      <w:pPr>
        <w:spacing w:before="0" w:line="276" w:lineRule="auto"/>
        <w:contextualSpacing w:val="0"/>
        <w:rPr>
          <w:b w:val="0"/>
          <w:szCs w:val="22"/>
          <w:lang w:val="af-ZA" w:eastAsia="en-US"/>
        </w:rPr>
      </w:pPr>
      <w:r w:rsidRPr="007955BB">
        <w:rPr>
          <w:b w:val="0"/>
          <w:szCs w:val="22"/>
          <w:lang w:val="af-ZA" w:eastAsia="en-US"/>
        </w:rPr>
        <w:t xml:space="preserve">2. </w:t>
      </w:r>
      <w:r w:rsidRPr="007955BB">
        <w:rPr>
          <w:b w:val="0"/>
          <w:szCs w:val="22"/>
          <w:lang w:val="en-US" w:eastAsia="en-US"/>
        </w:rPr>
        <w:t>ապահովել</w:t>
      </w:r>
      <w:r w:rsidRPr="007955BB">
        <w:rPr>
          <w:b w:val="0"/>
          <w:szCs w:val="22"/>
          <w:lang w:val="af-ZA" w:eastAsia="en-US"/>
        </w:rPr>
        <w:t xml:space="preserve"> </w:t>
      </w:r>
      <w:r w:rsidRPr="007955BB">
        <w:rPr>
          <w:b w:val="0"/>
          <w:szCs w:val="22"/>
          <w:lang w:val="en-US" w:eastAsia="en-US"/>
        </w:rPr>
        <w:t>առերևույթ</w:t>
      </w:r>
      <w:r w:rsidRPr="007955BB">
        <w:rPr>
          <w:b w:val="0"/>
          <w:szCs w:val="22"/>
          <w:lang w:val="af-ZA" w:eastAsia="en-US"/>
        </w:rPr>
        <w:t xml:space="preserve"> </w:t>
      </w:r>
      <w:r w:rsidRPr="007955BB">
        <w:rPr>
          <w:b w:val="0"/>
          <w:szCs w:val="22"/>
          <w:lang w:val="en-US" w:eastAsia="en-US"/>
        </w:rPr>
        <w:t>հանցանք</w:t>
      </w:r>
      <w:r w:rsidRPr="007955BB">
        <w:rPr>
          <w:b w:val="0"/>
          <w:szCs w:val="22"/>
          <w:lang w:val="af-ZA" w:eastAsia="en-US"/>
        </w:rPr>
        <w:t xml:space="preserve"> </w:t>
      </w:r>
      <w:r w:rsidRPr="007955BB">
        <w:rPr>
          <w:b w:val="0"/>
          <w:szCs w:val="22"/>
          <w:lang w:val="en-US" w:eastAsia="en-US"/>
        </w:rPr>
        <w:t>կատարած</w:t>
      </w:r>
      <w:r w:rsidRPr="007955BB">
        <w:rPr>
          <w:b w:val="0"/>
          <w:szCs w:val="22"/>
          <w:lang w:val="af-ZA" w:eastAsia="en-US"/>
        </w:rPr>
        <w:t xml:space="preserve"> </w:t>
      </w:r>
      <w:r w:rsidRPr="007955BB">
        <w:rPr>
          <w:b w:val="0"/>
          <w:szCs w:val="22"/>
          <w:lang w:val="en-US" w:eastAsia="en-US"/>
        </w:rPr>
        <w:t>յուրաքանչյուր</w:t>
      </w:r>
      <w:r w:rsidRPr="007955BB">
        <w:rPr>
          <w:b w:val="0"/>
          <w:szCs w:val="22"/>
          <w:lang w:val="af-ZA" w:eastAsia="en-US"/>
        </w:rPr>
        <w:t xml:space="preserve"> </w:t>
      </w:r>
      <w:r w:rsidRPr="007955BB">
        <w:rPr>
          <w:b w:val="0"/>
          <w:szCs w:val="22"/>
          <w:lang w:val="en-US" w:eastAsia="en-US"/>
        </w:rPr>
        <w:t>անձի</w:t>
      </w:r>
      <w:r w:rsidRPr="007955BB">
        <w:rPr>
          <w:b w:val="0"/>
          <w:szCs w:val="22"/>
          <w:lang w:val="af-ZA" w:eastAsia="en-US"/>
        </w:rPr>
        <w:t xml:space="preserve"> </w:t>
      </w:r>
      <w:r w:rsidRPr="007955BB">
        <w:rPr>
          <w:b w:val="0"/>
          <w:szCs w:val="22"/>
          <w:lang w:val="en-US" w:eastAsia="en-US"/>
        </w:rPr>
        <w:t>նկատմամբ</w:t>
      </w:r>
      <w:r w:rsidRPr="007955BB">
        <w:rPr>
          <w:b w:val="0"/>
          <w:szCs w:val="22"/>
          <w:lang w:val="af-ZA" w:eastAsia="en-US"/>
        </w:rPr>
        <w:t xml:space="preserve"> </w:t>
      </w:r>
      <w:r w:rsidRPr="007955BB">
        <w:rPr>
          <w:b w:val="0"/>
          <w:szCs w:val="22"/>
          <w:lang w:val="en-US" w:eastAsia="en-US"/>
        </w:rPr>
        <w:t>օրենքով</w:t>
      </w:r>
      <w:r w:rsidRPr="007955BB">
        <w:rPr>
          <w:b w:val="0"/>
          <w:szCs w:val="22"/>
          <w:lang w:val="af-ZA" w:eastAsia="en-US"/>
        </w:rPr>
        <w:t xml:space="preserve"> </w:t>
      </w:r>
      <w:r w:rsidRPr="007955BB">
        <w:rPr>
          <w:b w:val="0"/>
          <w:szCs w:val="22"/>
          <w:lang w:val="en-US" w:eastAsia="en-US"/>
        </w:rPr>
        <w:t>սահմանված</w:t>
      </w:r>
      <w:r w:rsidRPr="007955BB">
        <w:rPr>
          <w:b w:val="0"/>
          <w:szCs w:val="22"/>
          <w:lang w:val="af-ZA" w:eastAsia="en-US"/>
        </w:rPr>
        <w:t xml:space="preserve"> </w:t>
      </w:r>
      <w:r w:rsidRPr="007955BB">
        <w:rPr>
          <w:b w:val="0"/>
          <w:szCs w:val="22"/>
          <w:lang w:val="en-US" w:eastAsia="en-US"/>
        </w:rPr>
        <w:t>դեպքերում</w:t>
      </w:r>
      <w:r w:rsidRPr="007955BB">
        <w:rPr>
          <w:b w:val="0"/>
          <w:szCs w:val="22"/>
          <w:lang w:val="af-ZA" w:eastAsia="en-US"/>
        </w:rPr>
        <w:t xml:space="preserve"> </w:t>
      </w:r>
      <w:r w:rsidRPr="007955BB">
        <w:rPr>
          <w:b w:val="0"/>
          <w:szCs w:val="22"/>
          <w:lang w:val="en-US" w:eastAsia="en-US"/>
        </w:rPr>
        <w:t>և</w:t>
      </w:r>
      <w:r w:rsidRPr="007955BB">
        <w:rPr>
          <w:b w:val="0"/>
          <w:szCs w:val="22"/>
          <w:lang w:val="af-ZA" w:eastAsia="en-US"/>
        </w:rPr>
        <w:t xml:space="preserve"> </w:t>
      </w:r>
      <w:r w:rsidRPr="007955BB">
        <w:rPr>
          <w:b w:val="0"/>
          <w:szCs w:val="22"/>
          <w:lang w:val="en-US" w:eastAsia="en-US"/>
        </w:rPr>
        <w:t>կարգով</w:t>
      </w:r>
      <w:r w:rsidRPr="007955BB">
        <w:rPr>
          <w:b w:val="0"/>
          <w:szCs w:val="22"/>
          <w:lang w:val="af-ZA" w:eastAsia="en-US"/>
        </w:rPr>
        <w:t xml:space="preserve"> </w:t>
      </w:r>
      <w:r w:rsidRPr="007955BB">
        <w:rPr>
          <w:b w:val="0"/>
          <w:szCs w:val="22"/>
          <w:lang w:val="en-US" w:eastAsia="en-US"/>
        </w:rPr>
        <w:t>քրեական</w:t>
      </w:r>
      <w:r w:rsidRPr="007955BB">
        <w:rPr>
          <w:b w:val="0"/>
          <w:szCs w:val="22"/>
          <w:lang w:val="af-ZA" w:eastAsia="en-US"/>
        </w:rPr>
        <w:t xml:space="preserve"> </w:t>
      </w:r>
      <w:r w:rsidRPr="007955BB">
        <w:rPr>
          <w:b w:val="0"/>
          <w:szCs w:val="22"/>
          <w:lang w:val="en-US" w:eastAsia="en-US"/>
        </w:rPr>
        <w:t>հետապնդման</w:t>
      </w:r>
      <w:r w:rsidRPr="007955BB">
        <w:rPr>
          <w:b w:val="0"/>
          <w:szCs w:val="22"/>
          <w:lang w:val="af-ZA" w:eastAsia="en-US"/>
        </w:rPr>
        <w:t xml:space="preserve"> </w:t>
      </w:r>
      <w:r w:rsidRPr="007955BB">
        <w:rPr>
          <w:b w:val="0"/>
          <w:szCs w:val="22"/>
          <w:lang w:val="en-US" w:eastAsia="en-US"/>
        </w:rPr>
        <w:t>հարուցումը</w:t>
      </w:r>
      <w:r w:rsidRPr="007955BB">
        <w:rPr>
          <w:b w:val="0"/>
          <w:szCs w:val="22"/>
          <w:lang w:val="af-ZA" w:eastAsia="en-US"/>
        </w:rPr>
        <w:t>.</w:t>
      </w:r>
    </w:p>
    <w:p w:rsidR="00C264B6" w:rsidRPr="007955BB" w:rsidRDefault="00C264B6" w:rsidP="00C264B6">
      <w:pPr>
        <w:spacing w:before="0" w:line="276" w:lineRule="auto"/>
        <w:contextualSpacing w:val="0"/>
        <w:rPr>
          <w:b w:val="0"/>
          <w:szCs w:val="22"/>
          <w:lang w:val="af-ZA" w:eastAsia="en-US"/>
        </w:rPr>
      </w:pPr>
      <w:r w:rsidRPr="007955BB">
        <w:rPr>
          <w:b w:val="0"/>
          <w:szCs w:val="22"/>
          <w:lang w:val="af-ZA" w:eastAsia="en-US"/>
        </w:rPr>
        <w:t xml:space="preserve">3. </w:t>
      </w:r>
      <w:r w:rsidRPr="007955BB">
        <w:rPr>
          <w:b w:val="0"/>
          <w:szCs w:val="22"/>
          <w:lang w:val="en-US" w:eastAsia="en-US"/>
        </w:rPr>
        <w:t>միջոցներ</w:t>
      </w:r>
      <w:r w:rsidRPr="007955BB">
        <w:rPr>
          <w:b w:val="0"/>
          <w:szCs w:val="22"/>
          <w:lang w:val="af-ZA" w:eastAsia="en-US"/>
        </w:rPr>
        <w:t xml:space="preserve"> </w:t>
      </w:r>
      <w:r w:rsidRPr="007955BB">
        <w:rPr>
          <w:b w:val="0"/>
          <w:szCs w:val="22"/>
          <w:lang w:val="en-US" w:eastAsia="en-US"/>
        </w:rPr>
        <w:t>ձեռնարկել</w:t>
      </w:r>
      <w:r w:rsidRPr="007955BB">
        <w:rPr>
          <w:b w:val="0"/>
          <w:szCs w:val="22"/>
          <w:lang w:val="af-ZA" w:eastAsia="en-US"/>
        </w:rPr>
        <w:t xml:space="preserve"> </w:t>
      </w:r>
      <w:r w:rsidRPr="007955BB">
        <w:rPr>
          <w:b w:val="0"/>
          <w:szCs w:val="22"/>
          <w:lang w:val="en-US" w:eastAsia="en-US"/>
        </w:rPr>
        <w:t>նախաքննության</w:t>
      </w:r>
      <w:r w:rsidRPr="007955BB">
        <w:rPr>
          <w:b w:val="0"/>
          <w:szCs w:val="22"/>
          <w:lang w:val="af-ZA" w:eastAsia="en-US"/>
        </w:rPr>
        <w:t xml:space="preserve"> </w:t>
      </w:r>
      <w:r w:rsidRPr="007955BB">
        <w:rPr>
          <w:b w:val="0"/>
          <w:szCs w:val="22"/>
          <w:lang w:val="en-US" w:eastAsia="en-US"/>
        </w:rPr>
        <w:t>ժամկետների</w:t>
      </w:r>
      <w:r w:rsidRPr="007955BB">
        <w:rPr>
          <w:b w:val="0"/>
          <w:szCs w:val="22"/>
          <w:lang w:val="af-ZA" w:eastAsia="en-US"/>
        </w:rPr>
        <w:t xml:space="preserve"> </w:t>
      </w:r>
      <w:r w:rsidRPr="007955BB">
        <w:rPr>
          <w:b w:val="0"/>
          <w:szCs w:val="22"/>
          <w:lang w:val="en-US" w:eastAsia="en-US"/>
        </w:rPr>
        <w:t>անհարկի</w:t>
      </w:r>
      <w:r w:rsidRPr="007955BB">
        <w:rPr>
          <w:b w:val="0"/>
          <w:szCs w:val="22"/>
          <w:lang w:val="af-ZA" w:eastAsia="en-US"/>
        </w:rPr>
        <w:t xml:space="preserve"> </w:t>
      </w:r>
      <w:r w:rsidRPr="007955BB">
        <w:rPr>
          <w:b w:val="0"/>
          <w:szCs w:val="22"/>
          <w:lang w:val="en-US" w:eastAsia="en-US"/>
        </w:rPr>
        <w:t>ձգձգումները</w:t>
      </w:r>
      <w:r w:rsidRPr="007955BB">
        <w:rPr>
          <w:b w:val="0"/>
          <w:szCs w:val="22"/>
          <w:lang w:val="af-ZA" w:eastAsia="en-US"/>
        </w:rPr>
        <w:t xml:space="preserve"> </w:t>
      </w:r>
      <w:r w:rsidRPr="007955BB">
        <w:rPr>
          <w:b w:val="0"/>
          <w:szCs w:val="22"/>
          <w:lang w:val="en-US" w:eastAsia="en-US"/>
        </w:rPr>
        <w:t>բացառելու</w:t>
      </w:r>
      <w:r w:rsidRPr="007955BB">
        <w:rPr>
          <w:b w:val="0"/>
          <w:szCs w:val="22"/>
          <w:lang w:val="af-ZA" w:eastAsia="en-US"/>
        </w:rPr>
        <w:t xml:space="preserve"> </w:t>
      </w:r>
      <w:r w:rsidRPr="007955BB">
        <w:rPr>
          <w:b w:val="0"/>
          <w:szCs w:val="22"/>
          <w:lang w:val="en-US" w:eastAsia="en-US"/>
        </w:rPr>
        <w:t>ուղղությամբ</w:t>
      </w:r>
      <w:r w:rsidRPr="007955BB">
        <w:rPr>
          <w:b w:val="0"/>
          <w:szCs w:val="22"/>
          <w:lang w:val="af-ZA" w:eastAsia="en-US"/>
        </w:rPr>
        <w:t>.</w:t>
      </w:r>
    </w:p>
    <w:p w:rsidR="00C264B6" w:rsidRPr="007955BB" w:rsidRDefault="00C264B6" w:rsidP="00C264B6">
      <w:pPr>
        <w:spacing w:before="0" w:line="276" w:lineRule="auto"/>
        <w:contextualSpacing w:val="0"/>
        <w:rPr>
          <w:b w:val="0"/>
          <w:szCs w:val="22"/>
          <w:lang w:val="af-ZA" w:eastAsia="en-US"/>
        </w:rPr>
      </w:pPr>
      <w:r w:rsidRPr="007955BB">
        <w:rPr>
          <w:b w:val="0"/>
          <w:szCs w:val="22"/>
          <w:lang w:val="af-ZA" w:eastAsia="en-US"/>
        </w:rPr>
        <w:t xml:space="preserve">4. </w:t>
      </w:r>
      <w:r w:rsidRPr="007955BB">
        <w:rPr>
          <w:b w:val="0"/>
          <w:szCs w:val="22"/>
          <w:lang w:val="en-US" w:eastAsia="en-US"/>
        </w:rPr>
        <w:t>միջոցներ</w:t>
      </w:r>
      <w:r w:rsidRPr="007955BB">
        <w:rPr>
          <w:b w:val="0"/>
          <w:szCs w:val="22"/>
          <w:lang w:val="af-ZA" w:eastAsia="en-US"/>
        </w:rPr>
        <w:t xml:space="preserve"> </w:t>
      </w:r>
      <w:r w:rsidRPr="007955BB">
        <w:rPr>
          <w:b w:val="0"/>
          <w:szCs w:val="22"/>
          <w:lang w:val="en-US" w:eastAsia="en-US"/>
        </w:rPr>
        <w:t>ձեռնարկել</w:t>
      </w:r>
      <w:r w:rsidRPr="007955BB">
        <w:rPr>
          <w:b w:val="0"/>
          <w:szCs w:val="22"/>
          <w:lang w:val="af-ZA" w:eastAsia="en-US"/>
        </w:rPr>
        <w:t xml:space="preserve"> </w:t>
      </w:r>
      <w:r w:rsidRPr="007955BB">
        <w:rPr>
          <w:b w:val="0"/>
          <w:szCs w:val="22"/>
          <w:lang w:val="en-US" w:eastAsia="en-US"/>
        </w:rPr>
        <w:t>պետությանը</w:t>
      </w:r>
      <w:r w:rsidRPr="007955BB">
        <w:rPr>
          <w:b w:val="0"/>
          <w:szCs w:val="22"/>
          <w:lang w:val="af-ZA" w:eastAsia="en-US"/>
        </w:rPr>
        <w:t xml:space="preserve">, </w:t>
      </w:r>
      <w:r w:rsidRPr="007955BB">
        <w:rPr>
          <w:b w:val="0"/>
          <w:szCs w:val="22"/>
          <w:lang w:val="en-US" w:eastAsia="en-US"/>
        </w:rPr>
        <w:t>ֆիզիկական</w:t>
      </w:r>
      <w:r w:rsidRPr="007955BB">
        <w:rPr>
          <w:b w:val="0"/>
          <w:szCs w:val="22"/>
          <w:lang w:val="af-ZA" w:eastAsia="en-US"/>
        </w:rPr>
        <w:t xml:space="preserve"> </w:t>
      </w:r>
      <w:r w:rsidRPr="007955BB">
        <w:rPr>
          <w:b w:val="0"/>
          <w:szCs w:val="22"/>
          <w:lang w:val="en-US" w:eastAsia="en-US"/>
        </w:rPr>
        <w:t>և</w:t>
      </w:r>
      <w:r w:rsidRPr="007955BB">
        <w:rPr>
          <w:b w:val="0"/>
          <w:szCs w:val="22"/>
          <w:lang w:val="af-ZA" w:eastAsia="en-US"/>
        </w:rPr>
        <w:t xml:space="preserve"> </w:t>
      </w:r>
      <w:r w:rsidRPr="007955BB">
        <w:rPr>
          <w:b w:val="0"/>
          <w:szCs w:val="22"/>
          <w:lang w:val="en-US" w:eastAsia="en-US"/>
        </w:rPr>
        <w:t>իրավաբանական</w:t>
      </w:r>
      <w:r w:rsidRPr="007955BB">
        <w:rPr>
          <w:b w:val="0"/>
          <w:szCs w:val="22"/>
          <w:lang w:val="af-ZA" w:eastAsia="en-US"/>
        </w:rPr>
        <w:t xml:space="preserve"> </w:t>
      </w:r>
      <w:r w:rsidRPr="007955BB">
        <w:rPr>
          <w:b w:val="0"/>
          <w:szCs w:val="22"/>
          <w:lang w:val="en-US" w:eastAsia="en-US"/>
        </w:rPr>
        <w:t>անձանց</w:t>
      </w:r>
      <w:r w:rsidRPr="007955BB">
        <w:rPr>
          <w:b w:val="0"/>
          <w:szCs w:val="22"/>
          <w:lang w:val="af-ZA" w:eastAsia="en-US"/>
        </w:rPr>
        <w:t xml:space="preserve"> </w:t>
      </w:r>
      <w:r w:rsidRPr="007955BB">
        <w:rPr>
          <w:b w:val="0"/>
          <w:szCs w:val="22"/>
          <w:lang w:val="en-US" w:eastAsia="en-US"/>
        </w:rPr>
        <w:t>պատճառված</w:t>
      </w:r>
      <w:r w:rsidRPr="007955BB">
        <w:rPr>
          <w:b w:val="0"/>
          <w:szCs w:val="22"/>
          <w:lang w:val="af-ZA" w:eastAsia="en-US"/>
        </w:rPr>
        <w:t xml:space="preserve"> </w:t>
      </w:r>
      <w:r w:rsidRPr="007955BB">
        <w:rPr>
          <w:b w:val="0"/>
          <w:szCs w:val="22"/>
          <w:lang w:val="en-US" w:eastAsia="en-US"/>
        </w:rPr>
        <w:t>վնասի</w:t>
      </w:r>
      <w:r w:rsidRPr="007955BB">
        <w:rPr>
          <w:b w:val="0"/>
          <w:szCs w:val="22"/>
          <w:lang w:val="af-ZA" w:eastAsia="en-US"/>
        </w:rPr>
        <w:t xml:space="preserve"> </w:t>
      </w:r>
      <w:r w:rsidRPr="007955BB">
        <w:rPr>
          <w:b w:val="0"/>
          <w:szCs w:val="22"/>
          <w:lang w:val="en-US" w:eastAsia="en-US"/>
        </w:rPr>
        <w:t>վերականգնման</w:t>
      </w:r>
      <w:r w:rsidRPr="007955BB">
        <w:rPr>
          <w:b w:val="0"/>
          <w:szCs w:val="22"/>
          <w:lang w:val="af-ZA" w:eastAsia="en-US"/>
        </w:rPr>
        <w:t xml:space="preserve"> </w:t>
      </w:r>
      <w:r w:rsidRPr="007955BB">
        <w:rPr>
          <w:b w:val="0"/>
          <w:szCs w:val="22"/>
          <w:lang w:val="en-US" w:eastAsia="en-US"/>
        </w:rPr>
        <w:t>ուղղությամբ</w:t>
      </w:r>
      <w:r w:rsidRPr="007955BB">
        <w:rPr>
          <w:b w:val="0"/>
          <w:szCs w:val="22"/>
          <w:lang w:val="af-ZA" w:eastAsia="en-US"/>
        </w:rPr>
        <w:t>.</w:t>
      </w:r>
    </w:p>
    <w:p w:rsidR="00C264B6" w:rsidRPr="007955BB" w:rsidRDefault="00C264B6" w:rsidP="00C264B6">
      <w:pPr>
        <w:spacing w:before="0" w:line="276" w:lineRule="auto"/>
        <w:contextualSpacing w:val="0"/>
        <w:rPr>
          <w:b w:val="0"/>
          <w:szCs w:val="22"/>
          <w:lang w:val="af-ZA" w:eastAsia="en-US"/>
        </w:rPr>
      </w:pPr>
      <w:r w:rsidRPr="007955BB">
        <w:rPr>
          <w:b w:val="0"/>
          <w:szCs w:val="22"/>
          <w:lang w:val="en-US" w:eastAsia="en-US"/>
        </w:rPr>
        <w:t>ՀՀ</w:t>
      </w:r>
      <w:r w:rsidRPr="007955BB">
        <w:rPr>
          <w:b w:val="0"/>
          <w:szCs w:val="22"/>
          <w:lang w:val="af-ZA" w:eastAsia="en-US"/>
        </w:rPr>
        <w:t xml:space="preserve"> </w:t>
      </w:r>
      <w:r w:rsidRPr="007955BB">
        <w:rPr>
          <w:b w:val="0"/>
          <w:szCs w:val="22"/>
          <w:lang w:val="en-US" w:eastAsia="en-US"/>
        </w:rPr>
        <w:t>քննչական</w:t>
      </w:r>
      <w:r w:rsidRPr="007955BB">
        <w:rPr>
          <w:b w:val="0"/>
          <w:szCs w:val="22"/>
          <w:lang w:val="af-ZA" w:eastAsia="en-US"/>
        </w:rPr>
        <w:t xml:space="preserve"> </w:t>
      </w:r>
      <w:r w:rsidRPr="007955BB">
        <w:rPr>
          <w:b w:val="0"/>
          <w:szCs w:val="22"/>
          <w:lang w:val="en-US" w:eastAsia="en-US"/>
        </w:rPr>
        <w:t>կոմիտեի</w:t>
      </w:r>
      <w:r w:rsidRPr="007955BB">
        <w:rPr>
          <w:b w:val="0"/>
          <w:szCs w:val="22"/>
          <w:lang w:val="af-ZA" w:eastAsia="en-US"/>
        </w:rPr>
        <w:t xml:space="preserve"> </w:t>
      </w:r>
      <w:r w:rsidRPr="007955BB">
        <w:rPr>
          <w:b w:val="0"/>
          <w:szCs w:val="22"/>
          <w:lang w:val="en-US" w:eastAsia="en-US"/>
        </w:rPr>
        <w:t>նպատակների</w:t>
      </w:r>
      <w:r w:rsidRPr="007955BB">
        <w:rPr>
          <w:b w:val="0"/>
          <w:szCs w:val="22"/>
          <w:lang w:val="af-ZA" w:eastAsia="en-US"/>
        </w:rPr>
        <w:t xml:space="preserve"> </w:t>
      </w:r>
      <w:r w:rsidRPr="007955BB">
        <w:rPr>
          <w:b w:val="0"/>
          <w:szCs w:val="22"/>
          <w:lang w:val="en-US" w:eastAsia="en-US"/>
        </w:rPr>
        <w:t>իրականացման</w:t>
      </w:r>
      <w:r w:rsidRPr="007955BB">
        <w:rPr>
          <w:b w:val="0"/>
          <w:szCs w:val="22"/>
          <w:lang w:val="af-ZA" w:eastAsia="en-US"/>
        </w:rPr>
        <w:t xml:space="preserve"> </w:t>
      </w:r>
      <w:r w:rsidRPr="007955BB">
        <w:rPr>
          <w:b w:val="0"/>
          <w:szCs w:val="22"/>
          <w:lang w:val="en-US" w:eastAsia="en-US"/>
        </w:rPr>
        <w:t>շրջանակներում</w:t>
      </w:r>
      <w:r w:rsidRPr="007955BB">
        <w:rPr>
          <w:b w:val="0"/>
          <w:szCs w:val="22"/>
          <w:lang w:val="af-ZA" w:eastAsia="en-US"/>
        </w:rPr>
        <w:t xml:space="preserve"> </w:t>
      </w:r>
      <w:r w:rsidRPr="007955BB">
        <w:rPr>
          <w:b w:val="0"/>
          <w:szCs w:val="22"/>
          <w:lang w:val="en-US" w:eastAsia="en-US"/>
        </w:rPr>
        <w:t>Կիբեռհանցագործությունների</w:t>
      </w:r>
      <w:r w:rsidRPr="007955BB">
        <w:rPr>
          <w:b w:val="0"/>
          <w:szCs w:val="22"/>
          <w:lang w:val="af-ZA" w:eastAsia="en-US"/>
        </w:rPr>
        <w:t xml:space="preserve"> </w:t>
      </w:r>
      <w:r w:rsidRPr="007955BB">
        <w:rPr>
          <w:b w:val="0"/>
          <w:szCs w:val="22"/>
          <w:lang w:val="en-US" w:eastAsia="en-US"/>
        </w:rPr>
        <w:t>դեմ</w:t>
      </w:r>
      <w:r w:rsidRPr="007955BB">
        <w:rPr>
          <w:b w:val="0"/>
          <w:szCs w:val="22"/>
          <w:lang w:val="af-ZA" w:eastAsia="en-US"/>
        </w:rPr>
        <w:t xml:space="preserve"> </w:t>
      </w:r>
      <w:r w:rsidRPr="007955BB">
        <w:rPr>
          <w:b w:val="0"/>
          <w:szCs w:val="22"/>
          <w:lang w:val="en-US" w:eastAsia="en-US"/>
        </w:rPr>
        <w:t>պայքարի</w:t>
      </w:r>
      <w:r w:rsidRPr="007955BB">
        <w:rPr>
          <w:b w:val="0"/>
          <w:szCs w:val="22"/>
          <w:lang w:val="af-ZA" w:eastAsia="en-US"/>
        </w:rPr>
        <w:t xml:space="preserve"> </w:t>
      </w:r>
      <w:r w:rsidRPr="007955BB">
        <w:rPr>
          <w:b w:val="0"/>
          <w:szCs w:val="22"/>
          <w:lang w:val="en-US" w:eastAsia="en-US"/>
        </w:rPr>
        <w:t>ոլորտում</w:t>
      </w:r>
      <w:r w:rsidRPr="007955BB">
        <w:rPr>
          <w:b w:val="0"/>
          <w:szCs w:val="22"/>
          <w:lang w:val="af-ZA" w:eastAsia="en-US"/>
        </w:rPr>
        <w:t xml:space="preserve"> </w:t>
      </w:r>
      <w:r w:rsidRPr="007955BB">
        <w:rPr>
          <w:b w:val="0"/>
          <w:szCs w:val="22"/>
          <w:lang w:val="en-US" w:eastAsia="en-US"/>
        </w:rPr>
        <w:t>ակնկալվում</w:t>
      </w:r>
      <w:r w:rsidRPr="007955BB">
        <w:rPr>
          <w:b w:val="0"/>
          <w:szCs w:val="22"/>
          <w:lang w:val="af-ZA" w:eastAsia="en-US"/>
        </w:rPr>
        <w:t xml:space="preserve"> </w:t>
      </w:r>
      <w:r w:rsidRPr="007955BB">
        <w:rPr>
          <w:b w:val="0"/>
          <w:szCs w:val="22"/>
          <w:lang w:val="en-US" w:eastAsia="en-US"/>
        </w:rPr>
        <w:t>է</w:t>
      </w:r>
      <w:r w:rsidRPr="007955BB">
        <w:rPr>
          <w:b w:val="0"/>
          <w:szCs w:val="22"/>
          <w:lang w:val="af-ZA" w:eastAsia="en-US"/>
        </w:rPr>
        <w:t>.</w:t>
      </w:r>
    </w:p>
    <w:p w:rsidR="00C264B6" w:rsidRPr="007955BB" w:rsidRDefault="00C264B6" w:rsidP="00C264B6">
      <w:pPr>
        <w:spacing w:before="0" w:line="276" w:lineRule="auto"/>
        <w:contextualSpacing w:val="0"/>
        <w:rPr>
          <w:b w:val="0"/>
          <w:szCs w:val="22"/>
          <w:lang w:val="af-ZA" w:eastAsia="en-US"/>
        </w:rPr>
      </w:pPr>
      <w:r w:rsidRPr="007955BB">
        <w:rPr>
          <w:b w:val="0"/>
          <w:szCs w:val="22"/>
          <w:lang w:val="af-ZA" w:eastAsia="en-US"/>
        </w:rPr>
        <w:t xml:space="preserve">1. </w:t>
      </w:r>
      <w:r w:rsidRPr="007955BB">
        <w:rPr>
          <w:b w:val="0"/>
          <w:szCs w:val="22"/>
          <w:lang w:val="en-US" w:eastAsia="en-US"/>
        </w:rPr>
        <w:t>իրականացնել</w:t>
      </w:r>
      <w:r w:rsidRPr="007955BB">
        <w:rPr>
          <w:b w:val="0"/>
          <w:szCs w:val="22"/>
          <w:lang w:val="af-ZA" w:eastAsia="en-US"/>
        </w:rPr>
        <w:t xml:space="preserve"> </w:t>
      </w:r>
      <w:r w:rsidRPr="007955BB">
        <w:rPr>
          <w:b w:val="0"/>
          <w:szCs w:val="22"/>
          <w:lang w:val="en-US" w:eastAsia="en-US"/>
        </w:rPr>
        <w:t>քննիչների</w:t>
      </w:r>
      <w:r w:rsidRPr="007955BB">
        <w:rPr>
          <w:b w:val="0"/>
          <w:szCs w:val="22"/>
          <w:lang w:val="af-ZA" w:eastAsia="en-US"/>
        </w:rPr>
        <w:t xml:space="preserve"> </w:t>
      </w:r>
      <w:r w:rsidRPr="007955BB">
        <w:rPr>
          <w:b w:val="0"/>
          <w:szCs w:val="22"/>
          <w:lang w:val="en-US" w:eastAsia="en-US"/>
        </w:rPr>
        <w:t>վերապատրաստումներ</w:t>
      </w:r>
      <w:r w:rsidRPr="007955BB">
        <w:rPr>
          <w:b w:val="0"/>
          <w:szCs w:val="22"/>
          <w:lang w:val="af-ZA" w:eastAsia="en-US"/>
        </w:rPr>
        <w:t xml:space="preserve"> </w:t>
      </w:r>
      <w:r w:rsidRPr="007955BB">
        <w:rPr>
          <w:b w:val="0"/>
          <w:szCs w:val="22"/>
          <w:lang w:val="en-US" w:eastAsia="en-US"/>
        </w:rPr>
        <w:t>կիբեռհանցագործությունների</w:t>
      </w:r>
      <w:r w:rsidRPr="007955BB">
        <w:rPr>
          <w:b w:val="0"/>
          <w:szCs w:val="22"/>
          <w:lang w:val="af-ZA" w:eastAsia="en-US"/>
        </w:rPr>
        <w:t xml:space="preserve"> </w:t>
      </w:r>
      <w:r w:rsidRPr="007955BB">
        <w:rPr>
          <w:b w:val="0"/>
          <w:szCs w:val="22"/>
          <w:lang w:val="en-US" w:eastAsia="en-US"/>
        </w:rPr>
        <w:t>քննության</w:t>
      </w:r>
      <w:r w:rsidRPr="007955BB">
        <w:rPr>
          <w:b w:val="0"/>
          <w:szCs w:val="22"/>
          <w:lang w:val="af-ZA" w:eastAsia="en-US"/>
        </w:rPr>
        <w:t xml:space="preserve"> </w:t>
      </w:r>
      <w:r w:rsidRPr="007955BB">
        <w:rPr>
          <w:b w:val="0"/>
          <w:szCs w:val="22"/>
          <w:lang w:val="en-US" w:eastAsia="en-US"/>
        </w:rPr>
        <w:t>առանձնահատկությունների</w:t>
      </w:r>
      <w:r w:rsidRPr="007955BB">
        <w:rPr>
          <w:b w:val="0"/>
          <w:szCs w:val="22"/>
          <w:lang w:val="af-ZA" w:eastAsia="en-US"/>
        </w:rPr>
        <w:t xml:space="preserve">, </w:t>
      </w:r>
      <w:r w:rsidRPr="007955BB">
        <w:rPr>
          <w:b w:val="0"/>
          <w:szCs w:val="22"/>
          <w:lang w:val="en-US" w:eastAsia="en-US"/>
        </w:rPr>
        <w:t>բարձր</w:t>
      </w:r>
      <w:r w:rsidRPr="007955BB">
        <w:rPr>
          <w:b w:val="0"/>
          <w:szCs w:val="22"/>
          <w:lang w:val="af-ZA" w:eastAsia="en-US"/>
        </w:rPr>
        <w:t xml:space="preserve"> </w:t>
      </w:r>
      <w:r w:rsidRPr="007955BB">
        <w:rPr>
          <w:b w:val="0"/>
          <w:szCs w:val="22"/>
          <w:lang w:val="en-US" w:eastAsia="en-US"/>
        </w:rPr>
        <w:t>տեխնոլոգիաների</w:t>
      </w:r>
      <w:r w:rsidRPr="007955BB">
        <w:rPr>
          <w:b w:val="0"/>
          <w:szCs w:val="22"/>
          <w:lang w:val="af-ZA" w:eastAsia="en-US"/>
        </w:rPr>
        <w:t xml:space="preserve"> </w:t>
      </w:r>
      <w:r w:rsidRPr="007955BB">
        <w:rPr>
          <w:b w:val="0"/>
          <w:szCs w:val="22"/>
          <w:lang w:val="en-US" w:eastAsia="en-US"/>
        </w:rPr>
        <w:t>ոլորտում</w:t>
      </w:r>
      <w:r w:rsidRPr="007955BB">
        <w:rPr>
          <w:b w:val="0"/>
          <w:szCs w:val="22"/>
          <w:lang w:val="af-ZA" w:eastAsia="en-US"/>
        </w:rPr>
        <w:t xml:space="preserve"> </w:t>
      </w:r>
      <w:r w:rsidRPr="007955BB">
        <w:rPr>
          <w:b w:val="0"/>
          <w:szCs w:val="22"/>
          <w:lang w:val="en-US" w:eastAsia="en-US"/>
        </w:rPr>
        <w:t>հմտությունների</w:t>
      </w:r>
      <w:r w:rsidRPr="007955BB">
        <w:rPr>
          <w:b w:val="0"/>
          <w:szCs w:val="22"/>
          <w:lang w:val="af-ZA" w:eastAsia="en-US"/>
        </w:rPr>
        <w:t xml:space="preserve"> </w:t>
      </w:r>
      <w:r w:rsidRPr="007955BB">
        <w:rPr>
          <w:b w:val="0"/>
          <w:szCs w:val="22"/>
          <w:lang w:val="en-US" w:eastAsia="en-US"/>
        </w:rPr>
        <w:t>զարգացման</w:t>
      </w:r>
      <w:r w:rsidRPr="007955BB">
        <w:rPr>
          <w:b w:val="0"/>
          <w:szCs w:val="22"/>
          <w:lang w:val="af-ZA" w:eastAsia="en-US"/>
        </w:rPr>
        <w:t xml:space="preserve">, </w:t>
      </w:r>
      <w:r w:rsidRPr="007955BB">
        <w:rPr>
          <w:b w:val="0"/>
          <w:szCs w:val="22"/>
          <w:lang w:val="en-US" w:eastAsia="en-US"/>
        </w:rPr>
        <w:t>տեղեկատվության</w:t>
      </w:r>
      <w:r w:rsidRPr="007955BB">
        <w:rPr>
          <w:b w:val="0"/>
          <w:szCs w:val="22"/>
          <w:lang w:val="af-ZA" w:eastAsia="en-US"/>
        </w:rPr>
        <w:t xml:space="preserve"> </w:t>
      </w:r>
      <w:r w:rsidRPr="007955BB">
        <w:rPr>
          <w:b w:val="0"/>
          <w:szCs w:val="22"/>
          <w:lang w:val="en-US" w:eastAsia="en-US"/>
        </w:rPr>
        <w:t>անվտանգության</w:t>
      </w:r>
      <w:r w:rsidRPr="007955BB">
        <w:rPr>
          <w:b w:val="0"/>
          <w:szCs w:val="22"/>
          <w:lang w:val="af-ZA" w:eastAsia="en-US"/>
        </w:rPr>
        <w:t xml:space="preserve">, </w:t>
      </w:r>
      <w:r w:rsidRPr="007955BB">
        <w:rPr>
          <w:b w:val="0"/>
          <w:szCs w:val="22"/>
          <w:lang w:val="en-US" w:eastAsia="en-US"/>
        </w:rPr>
        <w:t>համակարգչային</w:t>
      </w:r>
      <w:r w:rsidRPr="007955BB">
        <w:rPr>
          <w:b w:val="0"/>
          <w:szCs w:val="22"/>
          <w:lang w:val="af-ZA" w:eastAsia="en-US"/>
        </w:rPr>
        <w:t xml:space="preserve"> </w:t>
      </w:r>
      <w:r w:rsidRPr="007955BB">
        <w:rPr>
          <w:b w:val="0"/>
          <w:szCs w:val="22"/>
          <w:lang w:val="en-US" w:eastAsia="en-US"/>
        </w:rPr>
        <w:t>համակարգերում</w:t>
      </w:r>
      <w:r w:rsidRPr="007955BB">
        <w:rPr>
          <w:b w:val="0"/>
          <w:szCs w:val="22"/>
          <w:lang w:val="af-ZA" w:eastAsia="en-US"/>
        </w:rPr>
        <w:t xml:space="preserve"> </w:t>
      </w:r>
      <w:r w:rsidRPr="007955BB">
        <w:rPr>
          <w:b w:val="0"/>
          <w:szCs w:val="22"/>
          <w:lang w:val="en-US" w:eastAsia="en-US"/>
        </w:rPr>
        <w:t>առկա</w:t>
      </w:r>
      <w:r w:rsidRPr="007955BB">
        <w:rPr>
          <w:b w:val="0"/>
          <w:szCs w:val="22"/>
          <w:lang w:val="af-ZA" w:eastAsia="en-US"/>
        </w:rPr>
        <w:t xml:space="preserve"> </w:t>
      </w:r>
      <w:r w:rsidRPr="007955BB">
        <w:rPr>
          <w:b w:val="0"/>
          <w:szCs w:val="22"/>
          <w:lang w:val="en-US" w:eastAsia="en-US"/>
        </w:rPr>
        <w:t>տեղեկատվության</w:t>
      </w:r>
      <w:r w:rsidRPr="007955BB">
        <w:rPr>
          <w:b w:val="0"/>
          <w:szCs w:val="22"/>
          <w:lang w:val="af-ZA" w:eastAsia="en-US"/>
        </w:rPr>
        <w:t xml:space="preserve"> </w:t>
      </w:r>
      <w:r w:rsidRPr="007955BB">
        <w:rPr>
          <w:b w:val="0"/>
          <w:szCs w:val="22"/>
          <w:lang w:val="en-US" w:eastAsia="en-US"/>
        </w:rPr>
        <w:t>հետազոտման</w:t>
      </w:r>
      <w:r w:rsidRPr="007955BB">
        <w:rPr>
          <w:b w:val="0"/>
          <w:szCs w:val="22"/>
          <w:lang w:val="af-ZA" w:eastAsia="en-US"/>
        </w:rPr>
        <w:t xml:space="preserve"> </w:t>
      </w:r>
      <w:r w:rsidRPr="007955BB">
        <w:rPr>
          <w:b w:val="0"/>
          <w:szCs w:val="22"/>
          <w:lang w:val="en-US" w:eastAsia="en-US"/>
        </w:rPr>
        <w:t>ուղղությամբ</w:t>
      </w:r>
      <w:r w:rsidRPr="007955BB">
        <w:rPr>
          <w:b w:val="0"/>
          <w:szCs w:val="22"/>
          <w:lang w:val="af-ZA" w:eastAsia="en-US"/>
        </w:rPr>
        <w:t xml:space="preserve">, </w:t>
      </w:r>
      <w:r w:rsidRPr="007955BB">
        <w:rPr>
          <w:b w:val="0"/>
          <w:szCs w:val="22"/>
          <w:lang w:val="en-US" w:eastAsia="en-US"/>
        </w:rPr>
        <w:t>էլեկտրոնային</w:t>
      </w:r>
      <w:r w:rsidRPr="007955BB">
        <w:rPr>
          <w:b w:val="0"/>
          <w:szCs w:val="22"/>
          <w:lang w:val="af-ZA" w:eastAsia="en-US"/>
        </w:rPr>
        <w:t xml:space="preserve"> </w:t>
      </w:r>
      <w:r w:rsidRPr="007955BB">
        <w:rPr>
          <w:b w:val="0"/>
          <w:szCs w:val="22"/>
          <w:lang w:val="en-US" w:eastAsia="en-US"/>
        </w:rPr>
        <w:t>ապացույցների</w:t>
      </w:r>
      <w:r w:rsidRPr="007955BB">
        <w:rPr>
          <w:b w:val="0"/>
          <w:szCs w:val="22"/>
          <w:lang w:val="af-ZA" w:eastAsia="en-US"/>
        </w:rPr>
        <w:t xml:space="preserve"> </w:t>
      </w:r>
      <w:r w:rsidRPr="007955BB">
        <w:rPr>
          <w:b w:val="0"/>
          <w:szCs w:val="22"/>
          <w:lang w:val="en-US" w:eastAsia="en-US"/>
        </w:rPr>
        <w:t>ձեռքբերման</w:t>
      </w:r>
      <w:r w:rsidRPr="007955BB">
        <w:rPr>
          <w:b w:val="0"/>
          <w:szCs w:val="22"/>
          <w:lang w:val="af-ZA" w:eastAsia="en-US"/>
        </w:rPr>
        <w:t xml:space="preserve">, </w:t>
      </w:r>
      <w:r w:rsidRPr="007955BB">
        <w:rPr>
          <w:b w:val="0"/>
          <w:szCs w:val="22"/>
          <w:lang w:val="en-US" w:eastAsia="en-US"/>
        </w:rPr>
        <w:t>ոլորտի</w:t>
      </w:r>
      <w:r w:rsidRPr="007955BB">
        <w:rPr>
          <w:b w:val="0"/>
          <w:szCs w:val="22"/>
          <w:lang w:val="af-ZA" w:eastAsia="en-US"/>
        </w:rPr>
        <w:t xml:space="preserve"> </w:t>
      </w:r>
      <w:r w:rsidRPr="007955BB">
        <w:rPr>
          <w:b w:val="0"/>
          <w:szCs w:val="22"/>
          <w:lang w:val="en-US" w:eastAsia="en-US"/>
        </w:rPr>
        <w:t>միջազգային</w:t>
      </w:r>
      <w:r w:rsidRPr="007955BB">
        <w:rPr>
          <w:b w:val="0"/>
          <w:szCs w:val="22"/>
          <w:lang w:val="af-ZA" w:eastAsia="en-US"/>
        </w:rPr>
        <w:t xml:space="preserve"> </w:t>
      </w:r>
      <w:r w:rsidRPr="007955BB">
        <w:rPr>
          <w:b w:val="0"/>
          <w:szCs w:val="22"/>
          <w:lang w:val="en-US" w:eastAsia="en-US"/>
        </w:rPr>
        <w:t>կարգավորումներին</w:t>
      </w:r>
      <w:r w:rsidRPr="007955BB">
        <w:rPr>
          <w:b w:val="0"/>
          <w:szCs w:val="22"/>
          <w:lang w:val="af-ZA" w:eastAsia="en-US"/>
        </w:rPr>
        <w:t xml:space="preserve">, </w:t>
      </w:r>
      <w:r w:rsidRPr="007955BB">
        <w:rPr>
          <w:b w:val="0"/>
          <w:szCs w:val="22"/>
          <w:lang w:val="en-US" w:eastAsia="en-US"/>
        </w:rPr>
        <w:t>չափանիշներին</w:t>
      </w:r>
      <w:r w:rsidRPr="007955BB">
        <w:rPr>
          <w:b w:val="0"/>
          <w:szCs w:val="22"/>
          <w:lang w:val="af-ZA" w:eastAsia="en-US"/>
        </w:rPr>
        <w:t xml:space="preserve"> </w:t>
      </w:r>
      <w:r w:rsidRPr="007955BB">
        <w:rPr>
          <w:b w:val="0"/>
          <w:szCs w:val="22"/>
          <w:lang w:val="en-US" w:eastAsia="en-US"/>
        </w:rPr>
        <w:t>և</w:t>
      </w:r>
      <w:r w:rsidRPr="007955BB">
        <w:rPr>
          <w:b w:val="0"/>
          <w:szCs w:val="22"/>
          <w:lang w:val="af-ZA" w:eastAsia="en-US"/>
        </w:rPr>
        <w:t xml:space="preserve"> </w:t>
      </w:r>
      <w:r w:rsidRPr="007955BB">
        <w:rPr>
          <w:b w:val="0"/>
          <w:szCs w:val="22"/>
          <w:lang w:val="en-US" w:eastAsia="en-US"/>
        </w:rPr>
        <w:t>առաջատար</w:t>
      </w:r>
      <w:r w:rsidRPr="007955BB">
        <w:rPr>
          <w:b w:val="0"/>
          <w:szCs w:val="22"/>
          <w:lang w:val="af-ZA" w:eastAsia="en-US"/>
        </w:rPr>
        <w:t xml:space="preserve"> </w:t>
      </w:r>
      <w:r w:rsidRPr="007955BB">
        <w:rPr>
          <w:b w:val="0"/>
          <w:szCs w:val="22"/>
          <w:lang w:val="en-US" w:eastAsia="en-US"/>
        </w:rPr>
        <w:t>փորձին</w:t>
      </w:r>
      <w:r w:rsidRPr="007955BB">
        <w:rPr>
          <w:b w:val="0"/>
          <w:szCs w:val="22"/>
          <w:lang w:val="af-ZA" w:eastAsia="en-US"/>
        </w:rPr>
        <w:t xml:space="preserve"> </w:t>
      </w:r>
      <w:r w:rsidRPr="007955BB">
        <w:rPr>
          <w:b w:val="0"/>
          <w:szCs w:val="22"/>
          <w:lang w:val="en-US" w:eastAsia="en-US"/>
        </w:rPr>
        <w:t>ծանոթանալու</w:t>
      </w:r>
      <w:r w:rsidRPr="007955BB">
        <w:rPr>
          <w:b w:val="0"/>
          <w:szCs w:val="22"/>
          <w:lang w:val="af-ZA" w:eastAsia="en-US"/>
        </w:rPr>
        <w:t xml:space="preserve"> </w:t>
      </w:r>
      <w:r w:rsidRPr="007955BB">
        <w:rPr>
          <w:b w:val="0"/>
          <w:szCs w:val="22"/>
          <w:lang w:val="en-US" w:eastAsia="en-US"/>
        </w:rPr>
        <w:t>և</w:t>
      </w:r>
      <w:r w:rsidRPr="007955BB">
        <w:rPr>
          <w:b w:val="0"/>
          <w:szCs w:val="22"/>
          <w:lang w:val="af-ZA" w:eastAsia="en-US"/>
        </w:rPr>
        <w:t xml:space="preserve"> </w:t>
      </w:r>
      <w:r w:rsidRPr="007955BB">
        <w:rPr>
          <w:b w:val="0"/>
          <w:szCs w:val="22"/>
          <w:lang w:val="en-US" w:eastAsia="en-US"/>
        </w:rPr>
        <w:t>հետաքրքրություն</w:t>
      </w:r>
      <w:r w:rsidRPr="007955BB">
        <w:rPr>
          <w:b w:val="0"/>
          <w:szCs w:val="22"/>
          <w:lang w:val="af-ZA" w:eastAsia="en-US"/>
        </w:rPr>
        <w:t xml:space="preserve"> </w:t>
      </w:r>
      <w:r w:rsidRPr="007955BB">
        <w:rPr>
          <w:b w:val="0"/>
          <w:szCs w:val="22"/>
          <w:lang w:val="en-US" w:eastAsia="en-US"/>
        </w:rPr>
        <w:t>ու</w:t>
      </w:r>
      <w:r w:rsidRPr="007955BB">
        <w:rPr>
          <w:b w:val="0"/>
          <w:szCs w:val="22"/>
          <w:lang w:val="af-ZA" w:eastAsia="en-US"/>
        </w:rPr>
        <w:t xml:space="preserve"> </w:t>
      </w:r>
      <w:r w:rsidRPr="007955BB">
        <w:rPr>
          <w:b w:val="0"/>
          <w:szCs w:val="22"/>
          <w:lang w:val="en-US" w:eastAsia="en-US"/>
        </w:rPr>
        <w:t>կարևորություն</w:t>
      </w:r>
      <w:r w:rsidRPr="007955BB">
        <w:rPr>
          <w:b w:val="0"/>
          <w:szCs w:val="22"/>
          <w:lang w:val="af-ZA" w:eastAsia="en-US"/>
        </w:rPr>
        <w:t xml:space="preserve"> </w:t>
      </w:r>
      <w:r w:rsidRPr="007955BB">
        <w:rPr>
          <w:b w:val="0"/>
          <w:szCs w:val="22"/>
          <w:lang w:val="en-US" w:eastAsia="en-US"/>
        </w:rPr>
        <w:t>ներկայացնող</w:t>
      </w:r>
      <w:r w:rsidRPr="007955BB">
        <w:rPr>
          <w:b w:val="0"/>
          <w:szCs w:val="22"/>
          <w:lang w:val="af-ZA" w:eastAsia="en-US"/>
        </w:rPr>
        <w:t xml:space="preserve"> </w:t>
      </w:r>
      <w:r w:rsidRPr="007955BB">
        <w:rPr>
          <w:b w:val="0"/>
          <w:szCs w:val="22"/>
          <w:lang w:val="en-US" w:eastAsia="en-US"/>
        </w:rPr>
        <w:t>այլ</w:t>
      </w:r>
      <w:r w:rsidRPr="007955BB">
        <w:rPr>
          <w:b w:val="0"/>
          <w:szCs w:val="22"/>
          <w:lang w:val="af-ZA" w:eastAsia="en-US"/>
        </w:rPr>
        <w:t xml:space="preserve"> </w:t>
      </w:r>
      <w:r w:rsidRPr="007955BB">
        <w:rPr>
          <w:b w:val="0"/>
          <w:szCs w:val="22"/>
          <w:lang w:val="en-US" w:eastAsia="en-US"/>
        </w:rPr>
        <w:t>թեմաներով</w:t>
      </w:r>
      <w:r w:rsidRPr="007955BB">
        <w:rPr>
          <w:b w:val="0"/>
          <w:szCs w:val="22"/>
          <w:lang w:val="af-ZA" w:eastAsia="en-US"/>
        </w:rPr>
        <w:t>.</w:t>
      </w:r>
    </w:p>
    <w:p w:rsidR="00C264B6" w:rsidRPr="007955BB" w:rsidRDefault="00C264B6" w:rsidP="00C264B6">
      <w:pPr>
        <w:spacing w:before="0" w:line="276" w:lineRule="auto"/>
        <w:contextualSpacing w:val="0"/>
        <w:rPr>
          <w:b w:val="0"/>
          <w:szCs w:val="22"/>
          <w:lang w:val="af-ZA" w:eastAsia="en-US"/>
        </w:rPr>
      </w:pPr>
      <w:r w:rsidRPr="007955BB">
        <w:rPr>
          <w:b w:val="0"/>
          <w:szCs w:val="22"/>
          <w:lang w:val="af-ZA" w:eastAsia="en-US"/>
        </w:rPr>
        <w:t xml:space="preserve">2. </w:t>
      </w:r>
      <w:r w:rsidRPr="007955BB">
        <w:rPr>
          <w:b w:val="0"/>
          <w:szCs w:val="22"/>
          <w:lang w:val="en-US" w:eastAsia="en-US"/>
        </w:rPr>
        <w:t>իրականացնել</w:t>
      </w:r>
      <w:r w:rsidRPr="007955BB">
        <w:rPr>
          <w:b w:val="0"/>
          <w:szCs w:val="22"/>
          <w:lang w:val="af-ZA" w:eastAsia="en-US"/>
        </w:rPr>
        <w:t xml:space="preserve"> </w:t>
      </w:r>
      <w:r w:rsidRPr="007955BB">
        <w:rPr>
          <w:b w:val="0"/>
          <w:szCs w:val="22"/>
          <w:lang w:val="en-US" w:eastAsia="en-US"/>
        </w:rPr>
        <w:t>կիբեռհանցագործությունների</w:t>
      </w:r>
      <w:r w:rsidRPr="007955BB">
        <w:rPr>
          <w:b w:val="0"/>
          <w:szCs w:val="22"/>
          <w:lang w:val="af-ZA" w:eastAsia="en-US"/>
        </w:rPr>
        <w:t xml:space="preserve"> </w:t>
      </w:r>
      <w:r w:rsidRPr="007955BB">
        <w:rPr>
          <w:b w:val="0"/>
          <w:szCs w:val="22"/>
          <w:lang w:val="en-US" w:eastAsia="en-US"/>
        </w:rPr>
        <w:t>վերաբերյալ</w:t>
      </w:r>
      <w:r w:rsidRPr="007955BB">
        <w:rPr>
          <w:b w:val="0"/>
          <w:szCs w:val="22"/>
          <w:lang w:val="af-ZA" w:eastAsia="en-US"/>
        </w:rPr>
        <w:t xml:space="preserve"> </w:t>
      </w:r>
      <w:r w:rsidRPr="007955BB">
        <w:rPr>
          <w:b w:val="0"/>
          <w:szCs w:val="22"/>
          <w:lang w:val="en-US" w:eastAsia="en-US"/>
        </w:rPr>
        <w:t>բոլոր</w:t>
      </w:r>
      <w:r w:rsidRPr="007955BB">
        <w:rPr>
          <w:b w:val="0"/>
          <w:szCs w:val="22"/>
          <w:lang w:val="af-ZA" w:eastAsia="en-US"/>
        </w:rPr>
        <w:t xml:space="preserve"> </w:t>
      </w:r>
      <w:r w:rsidRPr="007955BB">
        <w:rPr>
          <w:b w:val="0"/>
          <w:szCs w:val="22"/>
          <w:lang w:val="en-US" w:eastAsia="en-US"/>
        </w:rPr>
        <w:t>քրեական</w:t>
      </w:r>
      <w:r w:rsidRPr="007955BB">
        <w:rPr>
          <w:b w:val="0"/>
          <w:szCs w:val="22"/>
          <w:lang w:val="af-ZA" w:eastAsia="en-US"/>
        </w:rPr>
        <w:t xml:space="preserve"> </w:t>
      </w:r>
      <w:r w:rsidRPr="007955BB">
        <w:rPr>
          <w:b w:val="0"/>
          <w:szCs w:val="22"/>
          <w:lang w:val="en-US" w:eastAsia="en-US"/>
        </w:rPr>
        <w:t>գործերի</w:t>
      </w:r>
      <w:r w:rsidRPr="007955BB">
        <w:rPr>
          <w:b w:val="0"/>
          <w:szCs w:val="22"/>
          <w:lang w:val="af-ZA" w:eastAsia="en-US"/>
        </w:rPr>
        <w:t xml:space="preserve"> </w:t>
      </w:r>
      <w:r w:rsidRPr="007955BB">
        <w:rPr>
          <w:b w:val="0"/>
          <w:szCs w:val="22"/>
          <w:lang w:val="en-US" w:eastAsia="en-US"/>
        </w:rPr>
        <w:t>հաշվառում</w:t>
      </w:r>
      <w:r w:rsidRPr="007955BB">
        <w:rPr>
          <w:b w:val="0"/>
          <w:szCs w:val="22"/>
          <w:lang w:val="af-ZA" w:eastAsia="en-US"/>
        </w:rPr>
        <w:t xml:space="preserve"> </w:t>
      </w:r>
      <w:r w:rsidRPr="007955BB">
        <w:rPr>
          <w:b w:val="0"/>
          <w:szCs w:val="22"/>
          <w:lang w:val="en-US" w:eastAsia="en-US"/>
        </w:rPr>
        <w:t>և</w:t>
      </w:r>
      <w:r w:rsidRPr="007955BB">
        <w:rPr>
          <w:b w:val="0"/>
          <w:szCs w:val="22"/>
          <w:lang w:val="af-ZA" w:eastAsia="en-US"/>
        </w:rPr>
        <w:t xml:space="preserve"> </w:t>
      </w:r>
      <w:r w:rsidRPr="007955BB">
        <w:rPr>
          <w:b w:val="0"/>
          <w:szCs w:val="22"/>
          <w:lang w:val="en-US" w:eastAsia="en-US"/>
        </w:rPr>
        <w:t>համակարգում</w:t>
      </w:r>
      <w:r w:rsidRPr="007955BB">
        <w:rPr>
          <w:b w:val="0"/>
          <w:szCs w:val="22"/>
          <w:lang w:val="af-ZA" w:eastAsia="en-US"/>
        </w:rPr>
        <w:t xml:space="preserve"> (</w:t>
      </w:r>
      <w:r w:rsidRPr="007955BB">
        <w:rPr>
          <w:b w:val="0"/>
          <w:szCs w:val="22"/>
          <w:lang w:val="en-US" w:eastAsia="en-US"/>
        </w:rPr>
        <w:t>կիբեռհանցագործությունների</w:t>
      </w:r>
      <w:r w:rsidRPr="007955BB">
        <w:rPr>
          <w:b w:val="0"/>
          <w:szCs w:val="22"/>
          <w:lang w:val="af-ZA" w:eastAsia="en-US"/>
        </w:rPr>
        <w:t xml:space="preserve"> </w:t>
      </w:r>
      <w:r w:rsidRPr="007955BB">
        <w:rPr>
          <w:b w:val="0"/>
          <w:szCs w:val="22"/>
          <w:lang w:val="en-US" w:eastAsia="en-US"/>
        </w:rPr>
        <w:t>քրեագիտական</w:t>
      </w:r>
      <w:r w:rsidRPr="007955BB">
        <w:rPr>
          <w:b w:val="0"/>
          <w:szCs w:val="22"/>
          <w:lang w:val="af-ZA" w:eastAsia="en-US"/>
        </w:rPr>
        <w:t xml:space="preserve"> </w:t>
      </w:r>
      <w:r w:rsidRPr="007955BB">
        <w:rPr>
          <w:b w:val="0"/>
          <w:szCs w:val="22"/>
          <w:lang w:val="en-US" w:eastAsia="en-US"/>
        </w:rPr>
        <w:t>շտեմարան</w:t>
      </w:r>
      <w:r w:rsidRPr="007955BB">
        <w:rPr>
          <w:b w:val="0"/>
          <w:szCs w:val="22"/>
          <w:lang w:val="af-ZA" w:eastAsia="en-US"/>
        </w:rPr>
        <w:t>),</w:t>
      </w:r>
      <w:r w:rsidRPr="007955BB">
        <w:rPr>
          <w:b w:val="0"/>
          <w:szCs w:val="22"/>
          <w:lang w:val="en-US" w:eastAsia="en-US"/>
        </w:rPr>
        <w:t>որը</w:t>
      </w:r>
      <w:r w:rsidRPr="007955BB">
        <w:rPr>
          <w:b w:val="0"/>
          <w:szCs w:val="22"/>
          <w:lang w:val="af-ZA" w:eastAsia="en-US"/>
        </w:rPr>
        <w:t xml:space="preserve"> </w:t>
      </w:r>
      <w:r w:rsidRPr="007955BB">
        <w:rPr>
          <w:b w:val="0"/>
          <w:szCs w:val="22"/>
          <w:lang w:val="en-US" w:eastAsia="en-US"/>
        </w:rPr>
        <w:t>օգտակար</w:t>
      </w:r>
      <w:r w:rsidRPr="007955BB">
        <w:rPr>
          <w:b w:val="0"/>
          <w:szCs w:val="22"/>
          <w:lang w:val="af-ZA" w:eastAsia="en-US"/>
        </w:rPr>
        <w:t xml:space="preserve"> </w:t>
      </w:r>
      <w:r w:rsidRPr="007955BB">
        <w:rPr>
          <w:b w:val="0"/>
          <w:szCs w:val="22"/>
          <w:lang w:val="en-US" w:eastAsia="en-US"/>
        </w:rPr>
        <w:t>դերակատարում</w:t>
      </w:r>
      <w:r w:rsidRPr="007955BB">
        <w:rPr>
          <w:b w:val="0"/>
          <w:szCs w:val="22"/>
          <w:lang w:val="af-ZA" w:eastAsia="en-US"/>
        </w:rPr>
        <w:t xml:space="preserve"> </w:t>
      </w:r>
      <w:r w:rsidRPr="007955BB">
        <w:rPr>
          <w:b w:val="0"/>
          <w:szCs w:val="22"/>
          <w:lang w:val="en-US" w:eastAsia="en-US"/>
        </w:rPr>
        <w:t>կունենա</w:t>
      </w:r>
      <w:r w:rsidRPr="007955BB">
        <w:rPr>
          <w:b w:val="0"/>
          <w:szCs w:val="22"/>
          <w:lang w:val="af-ZA" w:eastAsia="en-US"/>
        </w:rPr>
        <w:t xml:space="preserve"> </w:t>
      </w:r>
      <w:r w:rsidRPr="007955BB">
        <w:rPr>
          <w:b w:val="0"/>
          <w:szCs w:val="22"/>
          <w:lang w:val="en-US" w:eastAsia="en-US"/>
        </w:rPr>
        <w:t>հանցագործությունների</w:t>
      </w:r>
      <w:r w:rsidRPr="007955BB">
        <w:rPr>
          <w:b w:val="0"/>
          <w:szCs w:val="22"/>
          <w:lang w:val="af-ZA" w:eastAsia="en-US"/>
        </w:rPr>
        <w:t xml:space="preserve"> </w:t>
      </w:r>
      <w:r w:rsidRPr="007955BB">
        <w:rPr>
          <w:b w:val="0"/>
          <w:szCs w:val="22"/>
          <w:lang w:val="en-US" w:eastAsia="en-US"/>
        </w:rPr>
        <w:t>բացահայտման</w:t>
      </w:r>
      <w:r w:rsidRPr="007955BB">
        <w:rPr>
          <w:b w:val="0"/>
          <w:szCs w:val="22"/>
          <w:lang w:val="af-ZA" w:eastAsia="en-US"/>
        </w:rPr>
        <w:t xml:space="preserve"> </w:t>
      </w:r>
      <w:r w:rsidRPr="007955BB">
        <w:rPr>
          <w:b w:val="0"/>
          <w:szCs w:val="22"/>
          <w:lang w:val="en-US" w:eastAsia="en-US"/>
        </w:rPr>
        <w:t>համար</w:t>
      </w:r>
      <w:r w:rsidRPr="007955BB">
        <w:rPr>
          <w:b w:val="0"/>
          <w:szCs w:val="22"/>
          <w:lang w:val="af-ZA" w:eastAsia="en-US"/>
        </w:rPr>
        <w:t xml:space="preserve"> </w:t>
      </w:r>
      <w:r w:rsidRPr="007955BB">
        <w:rPr>
          <w:b w:val="0"/>
          <w:szCs w:val="22"/>
          <w:lang w:val="en-US" w:eastAsia="en-US"/>
        </w:rPr>
        <w:t>և</w:t>
      </w:r>
      <w:r w:rsidRPr="007955BB">
        <w:rPr>
          <w:b w:val="0"/>
          <w:szCs w:val="22"/>
          <w:lang w:val="af-ZA" w:eastAsia="en-US"/>
        </w:rPr>
        <w:t xml:space="preserve"> </w:t>
      </w:r>
      <w:r w:rsidRPr="007955BB">
        <w:rPr>
          <w:b w:val="0"/>
          <w:szCs w:val="22"/>
          <w:lang w:val="en-US" w:eastAsia="en-US"/>
        </w:rPr>
        <w:t>կգործի</w:t>
      </w:r>
      <w:r w:rsidRPr="007955BB">
        <w:rPr>
          <w:b w:val="0"/>
          <w:szCs w:val="22"/>
          <w:lang w:val="af-ZA" w:eastAsia="en-US"/>
        </w:rPr>
        <w:t xml:space="preserve"> </w:t>
      </w:r>
      <w:r w:rsidRPr="007955BB">
        <w:rPr>
          <w:b w:val="0"/>
          <w:szCs w:val="22"/>
          <w:lang w:val="en-US" w:eastAsia="en-US"/>
        </w:rPr>
        <w:t>համապատասխան</w:t>
      </w:r>
      <w:r w:rsidRPr="007955BB">
        <w:rPr>
          <w:b w:val="0"/>
          <w:szCs w:val="22"/>
          <w:lang w:val="af-ZA" w:eastAsia="en-US"/>
        </w:rPr>
        <w:t xml:space="preserve"> </w:t>
      </w:r>
      <w:r w:rsidRPr="007955BB">
        <w:rPr>
          <w:b w:val="0"/>
          <w:szCs w:val="22"/>
          <w:lang w:val="en-US" w:eastAsia="en-US"/>
        </w:rPr>
        <w:t>ծրագրային</w:t>
      </w:r>
      <w:r w:rsidRPr="007955BB">
        <w:rPr>
          <w:b w:val="0"/>
          <w:szCs w:val="22"/>
          <w:lang w:val="af-ZA" w:eastAsia="en-US"/>
        </w:rPr>
        <w:t xml:space="preserve"> </w:t>
      </w:r>
      <w:r w:rsidRPr="007955BB">
        <w:rPr>
          <w:b w:val="0"/>
          <w:szCs w:val="22"/>
          <w:lang w:val="en-US" w:eastAsia="en-US"/>
        </w:rPr>
        <w:t>ապահովման</w:t>
      </w:r>
      <w:r w:rsidRPr="007955BB">
        <w:rPr>
          <w:b w:val="0"/>
          <w:szCs w:val="22"/>
          <w:lang w:val="af-ZA" w:eastAsia="en-US"/>
        </w:rPr>
        <w:t xml:space="preserve"> </w:t>
      </w:r>
      <w:r w:rsidRPr="007955BB">
        <w:rPr>
          <w:b w:val="0"/>
          <w:szCs w:val="22"/>
          <w:lang w:val="en-US" w:eastAsia="en-US"/>
        </w:rPr>
        <w:t>միջոցով՝</w:t>
      </w:r>
      <w:r w:rsidRPr="007955BB">
        <w:rPr>
          <w:b w:val="0"/>
          <w:szCs w:val="22"/>
          <w:lang w:val="af-ZA" w:eastAsia="en-US"/>
        </w:rPr>
        <w:t xml:space="preserve"> </w:t>
      </w:r>
      <w:r w:rsidRPr="007955BB">
        <w:rPr>
          <w:b w:val="0"/>
          <w:szCs w:val="22"/>
          <w:lang w:val="en-US" w:eastAsia="en-US"/>
        </w:rPr>
        <w:t>բացահայտման</w:t>
      </w:r>
      <w:r w:rsidRPr="007955BB">
        <w:rPr>
          <w:b w:val="0"/>
          <w:szCs w:val="22"/>
          <w:lang w:val="af-ZA" w:eastAsia="en-US"/>
        </w:rPr>
        <w:t xml:space="preserve"> </w:t>
      </w:r>
      <w:r w:rsidRPr="007955BB">
        <w:rPr>
          <w:b w:val="0"/>
          <w:szCs w:val="22"/>
          <w:lang w:val="en-US" w:eastAsia="en-US"/>
        </w:rPr>
        <w:t>ուղղությամբ</w:t>
      </w:r>
      <w:r w:rsidRPr="007955BB">
        <w:rPr>
          <w:b w:val="0"/>
          <w:szCs w:val="22"/>
          <w:lang w:val="af-ZA" w:eastAsia="en-US"/>
        </w:rPr>
        <w:t xml:space="preserve"> </w:t>
      </w:r>
      <w:r w:rsidRPr="007955BB">
        <w:rPr>
          <w:b w:val="0"/>
          <w:szCs w:val="22"/>
          <w:lang w:val="en-US" w:eastAsia="en-US"/>
        </w:rPr>
        <w:t>աշխատանքներն</w:t>
      </w:r>
      <w:r w:rsidRPr="007955BB">
        <w:rPr>
          <w:b w:val="0"/>
          <w:szCs w:val="22"/>
          <w:lang w:val="af-ZA" w:eastAsia="en-US"/>
        </w:rPr>
        <w:t xml:space="preserve"> </w:t>
      </w:r>
      <w:r w:rsidRPr="007955BB">
        <w:rPr>
          <w:b w:val="0"/>
          <w:szCs w:val="22"/>
          <w:lang w:val="en-US" w:eastAsia="en-US"/>
        </w:rPr>
        <w:t>էլ</w:t>
      </w:r>
      <w:r w:rsidRPr="007955BB">
        <w:rPr>
          <w:b w:val="0"/>
          <w:szCs w:val="22"/>
          <w:lang w:val="af-ZA" w:eastAsia="en-US"/>
        </w:rPr>
        <w:t xml:space="preserve"> </w:t>
      </w:r>
      <w:r w:rsidRPr="007955BB">
        <w:rPr>
          <w:b w:val="0"/>
          <w:szCs w:val="22"/>
          <w:lang w:val="en-US" w:eastAsia="en-US"/>
        </w:rPr>
        <w:t>ավելի</w:t>
      </w:r>
      <w:r w:rsidRPr="007955BB">
        <w:rPr>
          <w:b w:val="0"/>
          <w:szCs w:val="22"/>
          <w:lang w:val="af-ZA" w:eastAsia="en-US"/>
        </w:rPr>
        <w:t xml:space="preserve"> </w:t>
      </w:r>
      <w:r w:rsidRPr="007955BB">
        <w:rPr>
          <w:b w:val="0"/>
          <w:szCs w:val="22"/>
          <w:lang w:val="en-US" w:eastAsia="en-US"/>
        </w:rPr>
        <w:t>արդյունավետ</w:t>
      </w:r>
      <w:r w:rsidRPr="007955BB">
        <w:rPr>
          <w:b w:val="0"/>
          <w:szCs w:val="22"/>
          <w:lang w:val="af-ZA" w:eastAsia="en-US"/>
        </w:rPr>
        <w:t xml:space="preserve"> </w:t>
      </w:r>
      <w:r w:rsidRPr="007955BB">
        <w:rPr>
          <w:b w:val="0"/>
          <w:szCs w:val="22"/>
          <w:lang w:val="en-US" w:eastAsia="en-US"/>
        </w:rPr>
        <w:t>ու</w:t>
      </w:r>
      <w:r w:rsidRPr="007955BB">
        <w:rPr>
          <w:b w:val="0"/>
          <w:szCs w:val="22"/>
          <w:lang w:val="af-ZA" w:eastAsia="en-US"/>
        </w:rPr>
        <w:t xml:space="preserve"> </w:t>
      </w:r>
      <w:r w:rsidRPr="007955BB">
        <w:rPr>
          <w:b w:val="0"/>
          <w:szCs w:val="22"/>
          <w:lang w:val="en-US" w:eastAsia="en-US"/>
        </w:rPr>
        <w:t>ինստիտուցիոնալ</w:t>
      </w:r>
      <w:r w:rsidRPr="007955BB">
        <w:rPr>
          <w:b w:val="0"/>
          <w:szCs w:val="22"/>
          <w:lang w:val="af-ZA" w:eastAsia="en-US"/>
        </w:rPr>
        <w:t xml:space="preserve"> </w:t>
      </w:r>
      <w:r w:rsidRPr="007955BB">
        <w:rPr>
          <w:b w:val="0"/>
          <w:szCs w:val="22"/>
          <w:lang w:val="en-US" w:eastAsia="en-US"/>
        </w:rPr>
        <w:t>առումով</w:t>
      </w:r>
      <w:r w:rsidRPr="007955BB">
        <w:rPr>
          <w:b w:val="0"/>
          <w:szCs w:val="22"/>
          <w:lang w:val="af-ZA" w:eastAsia="en-US"/>
        </w:rPr>
        <w:t xml:space="preserve"> </w:t>
      </w:r>
      <w:r w:rsidRPr="007955BB">
        <w:rPr>
          <w:b w:val="0"/>
          <w:szCs w:val="22"/>
          <w:lang w:val="en-US" w:eastAsia="en-US"/>
        </w:rPr>
        <w:t>առավել</w:t>
      </w:r>
      <w:r w:rsidRPr="007955BB">
        <w:rPr>
          <w:b w:val="0"/>
          <w:szCs w:val="22"/>
          <w:lang w:val="af-ZA" w:eastAsia="en-US"/>
        </w:rPr>
        <w:t xml:space="preserve"> </w:t>
      </w:r>
      <w:r w:rsidRPr="007955BB">
        <w:rPr>
          <w:b w:val="0"/>
          <w:szCs w:val="22"/>
          <w:lang w:val="en-US" w:eastAsia="en-US"/>
        </w:rPr>
        <w:t>համակարգված</w:t>
      </w:r>
      <w:r w:rsidRPr="007955BB">
        <w:rPr>
          <w:b w:val="0"/>
          <w:szCs w:val="22"/>
          <w:lang w:val="af-ZA" w:eastAsia="en-US"/>
        </w:rPr>
        <w:t xml:space="preserve"> </w:t>
      </w:r>
      <w:r w:rsidRPr="007955BB">
        <w:rPr>
          <w:b w:val="0"/>
          <w:szCs w:val="22"/>
          <w:lang w:val="en-US" w:eastAsia="en-US"/>
        </w:rPr>
        <w:t>դարձնելու</w:t>
      </w:r>
      <w:r w:rsidRPr="007955BB">
        <w:rPr>
          <w:b w:val="0"/>
          <w:szCs w:val="22"/>
          <w:lang w:val="af-ZA" w:eastAsia="en-US"/>
        </w:rPr>
        <w:t xml:space="preserve"> </w:t>
      </w:r>
      <w:r w:rsidRPr="007955BB">
        <w:rPr>
          <w:b w:val="0"/>
          <w:szCs w:val="22"/>
          <w:lang w:val="en-US" w:eastAsia="en-US"/>
        </w:rPr>
        <w:t>համար</w:t>
      </w:r>
      <w:r w:rsidRPr="007955BB">
        <w:rPr>
          <w:b w:val="0"/>
          <w:szCs w:val="22"/>
          <w:lang w:val="af-ZA" w:eastAsia="en-US"/>
        </w:rPr>
        <w:t>:</w:t>
      </w:r>
    </w:p>
    <w:p w:rsidR="00C264B6" w:rsidRPr="007955BB" w:rsidRDefault="00C264B6" w:rsidP="00C264B6">
      <w:pPr>
        <w:spacing w:before="0" w:line="276" w:lineRule="auto"/>
        <w:contextualSpacing w:val="0"/>
        <w:rPr>
          <w:b w:val="0"/>
          <w:szCs w:val="22"/>
          <w:lang w:val="af-ZA" w:eastAsia="en-US"/>
        </w:rPr>
      </w:pPr>
      <w:r w:rsidRPr="007955BB">
        <w:rPr>
          <w:b w:val="0"/>
          <w:szCs w:val="22"/>
          <w:lang w:val="hy-AM" w:eastAsia="en-US"/>
        </w:rPr>
        <w:t xml:space="preserve">ՀՀ քննչական կոմիտեն 2023 թվականին իրականացնելու է </w:t>
      </w:r>
      <w:r w:rsidRPr="007955BB">
        <w:rPr>
          <w:b w:val="0"/>
          <w:szCs w:val="22"/>
          <w:lang w:val="af-ZA" w:eastAsia="en-US"/>
        </w:rPr>
        <w:t xml:space="preserve">1180 </w:t>
      </w:r>
      <w:r w:rsidRPr="007955BB">
        <w:rPr>
          <w:b w:val="0"/>
          <w:szCs w:val="22"/>
          <w:lang w:val="en-US" w:eastAsia="en-US"/>
        </w:rPr>
        <w:t>դասիչով</w:t>
      </w:r>
      <w:r w:rsidRPr="007955BB">
        <w:rPr>
          <w:b w:val="0"/>
          <w:szCs w:val="22"/>
          <w:lang w:val="hy-AM" w:eastAsia="en-US"/>
        </w:rPr>
        <w:t xml:space="preserve"> ՀՀ քննչական ծառայություններ ծրագիր</w:t>
      </w:r>
      <w:r w:rsidRPr="007955BB">
        <w:rPr>
          <w:b w:val="0"/>
          <w:szCs w:val="22"/>
          <w:lang w:val="en-US" w:eastAsia="en-US"/>
        </w:rPr>
        <w:t>ը</w:t>
      </w:r>
      <w:r w:rsidRPr="007955BB">
        <w:rPr>
          <w:b w:val="0"/>
          <w:szCs w:val="22"/>
          <w:lang w:val="af-ZA" w:eastAsia="en-US"/>
        </w:rPr>
        <w:t>:</w:t>
      </w:r>
    </w:p>
    <w:p w:rsidR="00C264B6" w:rsidRPr="007955BB" w:rsidRDefault="00C264B6" w:rsidP="00C264B6">
      <w:pPr>
        <w:spacing w:before="0" w:line="276" w:lineRule="auto"/>
        <w:contextualSpacing w:val="0"/>
        <w:rPr>
          <w:b w:val="0"/>
          <w:szCs w:val="22"/>
          <w:lang w:val="hy-AM" w:eastAsia="en-US"/>
        </w:rPr>
      </w:pPr>
      <w:r w:rsidRPr="007955BB">
        <w:rPr>
          <w:b w:val="0"/>
          <w:szCs w:val="22"/>
          <w:lang w:val="hy-AM" w:eastAsia="en-US"/>
        </w:rPr>
        <w:t xml:space="preserve">Ծրագրի նպատակն է` </w:t>
      </w:r>
      <w:r w:rsidRPr="007955BB">
        <w:rPr>
          <w:b w:val="0"/>
          <w:szCs w:val="22"/>
          <w:lang w:val="en-US" w:eastAsia="en-US"/>
        </w:rPr>
        <w:t>ՀՀ</w:t>
      </w:r>
      <w:r w:rsidRPr="007955BB">
        <w:rPr>
          <w:b w:val="0"/>
          <w:szCs w:val="22"/>
          <w:lang w:val="hy-AM" w:eastAsia="en-US"/>
        </w:rPr>
        <w:t xml:space="preserve"> քրեական դատավարության օրենսգրքով իր իրավասությանը վերապահված՝ ենթադրյալ հանցագործությունների կապակցությամբ նախաքննության կազմակերպումը և իրականացումը, ինչպես նաև ՀՀ գլխավոր դատախազի կողմից քննչական այլ մարմինների վարույթից ՀՀ քննչական կոմիտեի վարույթ հանձնված քրեական գործերով նախաքննության իրականացում: Քննված քրեական գործերով հանցագործությունների կատարմանը նպաստող պատճառների ու պայմանների պարզումը և դրանք վերացնելու և կանխելու ուղղված միջոցների ձեռնարկելու նպատակով` համապատասխան մարմիններին միջնորդագրերի ներկայացնելը, հանցագործությունների քննության մեթոդիկայի ուսումնասիրությունը, քննության դրական փորձի ներդրումը քննչական պրակտիկայում, ստացված դիմումների և բողոքների քննարկումն ու լուծումը, ինչը վերջնական արդյունքում ձգտում է՝ քննության որակի, բազմակողմանիության, լրիվության, օբեկտիվության և արդյունավետության ապահովում, մարդու և քաղաքացու իրավունքների, հիմնարար ազատությունների, անձնական անձեռնմխելիության և մյուս իրավունքների պաշտպանության ապահովում, նախաքնության ժամկետների անհարկի ձգձգումների բացառում, պետությանը և քաղաքացիններին պատճառված վնասի վերականգնման ապահովում, ՀՀ միջազգային պայմանագրերով նախատեսված քրեական գործերով իրավական օգնություն ցույց տալու հարցերի լուծում, կոռուպցիոն երևույթների ծագման, դրանց պատճառների և նպաստող պայմանների բացահայտման ու դրանց կանխմանն ուղղված գործուղությունների իրականացում:</w:t>
      </w:r>
    </w:p>
    <w:p w:rsidR="00DC35CC" w:rsidRPr="007955BB" w:rsidRDefault="00DC35CC" w:rsidP="00DC35CC">
      <w:pPr>
        <w:spacing w:before="0" w:line="276" w:lineRule="auto"/>
        <w:contextualSpacing w:val="0"/>
        <w:rPr>
          <w:b w:val="0"/>
          <w:szCs w:val="22"/>
          <w:lang w:val="hy-AM" w:eastAsia="en-US"/>
        </w:rPr>
      </w:pPr>
      <w:r w:rsidRPr="007955BB">
        <w:rPr>
          <w:b w:val="0"/>
          <w:szCs w:val="22"/>
          <w:lang w:val="hy-AM" w:eastAsia="en-US"/>
        </w:rPr>
        <w:t>Ծրագրային վերոնշյալ դրույթներն առավել արդյունավետ իրականացնելուն է միտված աշխատանքային պայմանների բարելավումը: Այդ նպատակով նախատեսվում է սկսել և ավարտին հասցնել Կոմիտեի վարչական շենքերի պայմանների բարելավման աշխատանքները:</w:t>
      </w:r>
    </w:p>
    <w:p w:rsidR="00832373" w:rsidRPr="007955BB" w:rsidRDefault="00832373" w:rsidP="00DC35CC">
      <w:pPr>
        <w:spacing w:before="0" w:line="276" w:lineRule="auto"/>
        <w:contextualSpacing w:val="0"/>
        <w:rPr>
          <w:b w:val="0"/>
          <w:szCs w:val="22"/>
          <w:lang w:val="hy-AM" w:eastAsia="en-US"/>
        </w:rPr>
      </w:pPr>
    </w:p>
    <w:p w:rsidR="006C76BB" w:rsidRPr="007955BB" w:rsidRDefault="006C76BB" w:rsidP="00832373">
      <w:pPr>
        <w:keepNext/>
        <w:spacing w:before="0" w:line="276" w:lineRule="auto"/>
        <w:ind w:firstLine="0"/>
        <w:contextualSpacing w:val="0"/>
        <w:jc w:val="center"/>
        <w:outlineLvl w:val="2"/>
        <w:rPr>
          <w:rFonts w:cs="Arial"/>
          <w:sz w:val="24"/>
          <w:lang w:val="hy-AM" w:eastAsia="en-US"/>
        </w:rPr>
      </w:pPr>
      <w:bookmarkStart w:id="357" w:name="_Toc120805243"/>
      <w:r w:rsidRPr="007955BB">
        <w:rPr>
          <w:rFonts w:cs="Arial"/>
          <w:sz w:val="24"/>
          <w:lang w:val="hy-AM" w:eastAsia="en-US"/>
        </w:rPr>
        <w:t>ՀՀ պետական վերահսկողական ծառայություն</w:t>
      </w:r>
      <w:bookmarkEnd w:id="357"/>
    </w:p>
    <w:p w:rsidR="00C264B6" w:rsidRPr="007955BB" w:rsidRDefault="00C264B6" w:rsidP="00C264B6">
      <w:pPr>
        <w:spacing w:before="0" w:line="276" w:lineRule="auto"/>
        <w:ind w:firstLine="540"/>
        <w:contextualSpacing w:val="0"/>
        <w:rPr>
          <w:b w:val="0"/>
          <w:noProof/>
          <w:szCs w:val="22"/>
          <w:lang w:val="hy-AM"/>
        </w:rPr>
      </w:pPr>
      <w:r w:rsidRPr="007955BB">
        <w:rPr>
          <w:b w:val="0"/>
          <w:noProof/>
          <w:szCs w:val="22"/>
          <w:lang w:val="hy-AM"/>
        </w:rPr>
        <w:t xml:space="preserve">ՀՀ պետական վերահսկողական ծառայությունը (այսուհետ՝ Ծառայություն), համաձայն «Պետական վերահսկողական ծառայության մասին» ՀՀ օրենքի, պետական վերահսկողության ոլորտում գործող վարչապետին ենթակա մարմին է, որն իրականացնում է օրենքով իրեն վերապահված վերահսկողական լիազորություններ: </w:t>
      </w:r>
    </w:p>
    <w:p w:rsidR="00C264B6" w:rsidRPr="007955BB" w:rsidRDefault="00C264B6" w:rsidP="00C264B6">
      <w:pPr>
        <w:spacing w:before="0" w:line="276" w:lineRule="auto"/>
        <w:ind w:firstLine="540"/>
        <w:contextualSpacing w:val="0"/>
        <w:rPr>
          <w:b w:val="0"/>
          <w:noProof/>
          <w:szCs w:val="22"/>
          <w:lang w:val="hy-AM"/>
        </w:rPr>
      </w:pPr>
      <w:r w:rsidRPr="007955BB">
        <w:rPr>
          <w:b w:val="0"/>
          <w:noProof/>
          <w:szCs w:val="22"/>
          <w:lang w:val="hy-AM"/>
        </w:rPr>
        <w:t xml:space="preserve">Ծառայության գործունեության նպատակը </w:t>
      </w:r>
      <w:r w:rsidR="00D35F72">
        <w:rPr>
          <w:b w:val="0"/>
          <w:noProof/>
          <w:szCs w:val="22"/>
          <w:lang w:val="hy-AM"/>
        </w:rPr>
        <w:t>ՀՀ</w:t>
      </w:r>
      <w:r w:rsidRPr="007955BB">
        <w:rPr>
          <w:b w:val="0"/>
          <w:noProof/>
          <w:szCs w:val="22"/>
          <w:lang w:val="hy-AM"/>
        </w:rPr>
        <w:t xml:space="preserve"> վարչապետին </w:t>
      </w:r>
      <w:r w:rsidR="00D35F72">
        <w:rPr>
          <w:b w:val="0"/>
          <w:noProof/>
          <w:szCs w:val="22"/>
          <w:lang w:val="hy-AM"/>
        </w:rPr>
        <w:t>ՀՀ</w:t>
      </w:r>
      <w:r w:rsidRPr="007955BB">
        <w:rPr>
          <w:b w:val="0"/>
          <w:noProof/>
          <w:szCs w:val="22"/>
          <w:lang w:val="hy-AM"/>
        </w:rPr>
        <w:t xml:space="preserve"> Սահմանադրությամբ և օրենքներով վերապահված վերահսկողական լիազորությունների իրականացումն ապահովելն է: </w:t>
      </w:r>
    </w:p>
    <w:p w:rsidR="00C264B6" w:rsidRPr="007955BB" w:rsidRDefault="00C264B6" w:rsidP="00C264B6">
      <w:pPr>
        <w:spacing w:before="0" w:line="276" w:lineRule="auto"/>
        <w:ind w:firstLine="540"/>
        <w:contextualSpacing w:val="0"/>
        <w:rPr>
          <w:b w:val="0"/>
          <w:noProof/>
          <w:szCs w:val="22"/>
          <w:lang w:val="hy-AM"/>
        </w:rPr>
      </w:pPr>
      <w:r w:rsidRPr="007955BB">
        <w:rPr>
          <w:b w:val="0"/>
          <w:noProof/>
          <w:szCs w:val="22"/>
          <w:lang w:val="hy-AM"/>
        </w:rPr>
        <w:t>2019թ. ընթացքում իրականացվել է շուրջ 90 վերահսկողություն, վերահսկողության ընթացքում ՀՀ վարչապետին է ներկայացվել խախտումների, խնդիրների, դրանց պատճառների և հետևանքների վերաբերյալ թվով 85  վերլուծություն, դրանց վերաբերյալ տեղեկանքներ և զեկույցներ, մշակվել և ներկայացվել են թվով 12 իրավական ակտերի նախագծեր, իսկ դիմումների և բողոքների հիման վրա կատարվող ուսումնասիրությունների թիվը ստացված տեղեկատվության մեջ կազմել է շուրջ 4 տոկոս:</w:t>
      </w:r>
    </w:p>
    <w:p w:rsidR="00C264B6" w:rsidRPr="007955BB" w:rsidRDefault="00C264B6" w:rsidP="00C264B6">
      <w:pPr>
        <w:spacing w:before="0" w:line="276" w:lineRule="auto"/>
        <w:ind w:firstLine="540"/>
        <w:contextualSpacing w:val="0"/>
        <w:rPr>
          <w:b w:val="0"/>
          <w:noProof/>
          <w:szCs w:val="22"/>
          <w:lang w:val="hy-AM"/>
        </w:rPr>
      </w:pPr>
      <w:r w:rsidRPr="007955BB">
        <w:rPr>
          <w:b w:val="0"/>
          <w:noProof/>
          <w:szCs w:val="22"/>
          <w:lang w:val="hy-AM"/>
        </w:rPr>
        <w:t xml:space="preserve"> </w:t>
      </w:r>
      <w:r w:rsidRPr="007955BB">
        <w:rPr>
          <w:b w:val="0"/>
          <w:noProof/>
          <w:szCs w:val="22"/>
          <w:lang w:val="hy-AM"/>
        </w:rPr>
        <w:tab/>
      </w:r>
      <w:r w:rsidRPr="007955BB">
        <w:rPr>
          <w:b w:val="0"/>
          <w:noProof/>
          <w:szCs w:val="22"/>
          <w:lang w:val="hy-AM"/>
        </w:rPr>
        <w:tab/>
      </w:r>
      <w:r w:rsidRPr="007955BB">
        <w:rPr>
          <w:b w:val="0"/>
          <w:noProof/>
          <w:szCs w:val="22"/>
          <w:lang w:val="hy-AM"/>
        </w:rPr>
        <w:tab/>
        <w:t>2020թ. ընթացքում Ծառայությունը կատարված ուսումնասիրությունների և մշտադիտարկումների վերաբերյալ  ՀՀ վարչապետին է ներկայացրել շուրջ 80 տեղեկանք, վերջիններիս իրականացման արդյունքում իրավապահ մարմիններին է ուղարկվել 30 տեղեկանք, ուսումնասիրությունների և մշտադիտարկումների արդյունքներով պայմանավորված տվյալ ոլորտի արդյունավետության բարձրացման վերաբերյալ ներկայացվել են թվով 30 առաջարկություններ:</w:t>
      </w:r>
    </w:p>
    <w:p w:rsidR="00C264B6" w:rsidRPr="007955BB" w:rsidRDefault="00C264B6" w:rsidP="00C264B6">
      <w:pPr>
        <w:spacing w:before="0" w:line="276" w:lineRule="auto"/>
        <w:ind w:firstLine="540"/>
        <w:contextualSpacing w:val="0"/>
        <w:rPr>
          <w:b w:val="0"/>
          <w:noProof/>
          <w:szCs w:val="22"/>
          <w:lang w:val="hy-AM"/>
        </w:rPr>
      </w:pPr>
      <w:r w:rsidRPr="007955BB">
        <w:rPr>
          <w:b w:val="0"/>
          <w:noProof/>
          <w:szCs w:val="22"/>
          <w:lang w:val="hy-AM"/>
        </w:rPr>
        <w:t>2021թ. ընթացքում Ծառայությունը կատարված ուսումնասիրությունների և մշտադիտարկումների վերաբերյալ  ՀՀ վարչապետին է ներկայացրել 45 տեղեկանք, վերջիններիս իրականացման արդյունքում իրավապահ մարմիններին է ուղարկվել 27 տեղեկանք, ուսումնասիրությունների և մշտադիտարկումների արդյունքներով պայմանավորված տվյալ ոլորտի արդյունավետության բարձրացման վերաբերյալ ներկայացվել են թվով 149 առաջարկություններ, ուսումնասիրությունների և մշտադիտարկումների արդյունքում հարուցված քրեական գործերը կազմել են 67 տոկոս:</w:t>
      </w:r>
    </w:p>
    <w:p w:rsidR="00C264B6" w:rsidRPr="007955BB" w:rsidRDefault="00C264B6" w:rsidP="00C264B6">
      <w:pPr>
        <w:spacing w:before="0" w:line="276" w:lineRule="auto"/>
        <w:ind w:firstLine="540"/>
        <w:contextualSpacing w:val="0"/>
        <w:rPr>
          <w:b w:val="0"/>
          <w:noProof/>
          <w:szCs w:val="22"/>
          <w:lang w:val="hy-AM"/>
        </w:rPr>
      </w:pPr>
      <w:r w:rsidRPr="007955BB">
        <w:rPr>
          <w:b w:val="0"/>
          <w:noProof/>
          <w:szCs w:val="22"/>
          <w:lang w:val="hy-AM"/>
        </w:rPr>
        <w:t xml:space="preserve">2022թ. 1-ին </w:t>
      </w:r>
      <w:r w:rsidR="00E657B7" w:rsidRPr="00E657B7">
        <w:rPr>
          <w:b w:val="0"/>
          <w:noProof/>
          <w:szCs w:val="22"/>
          <w:lang w:val="hy-AM"/>
        </w:rPr>
        <w:t>ինն</w:t>
      </w:r>
      <w:r w:rsidRPr="007955BB">
        <w:rPr>
          <w:b w:val="0"/>
          <w:noProof/>
          <w:szCs w:val="22"/>
          <w:lang w:val="hy-AM"/>
        </w:rPr>
        <w:t xml:space="preserve"> ամիսների ընթացքում Ծառայությունը կատարել է 29 ուսումնասիրություն, 2</w:t>
      </w:r>
      <w:r w:rsidR="00E657B7" w:rsidRPr="00E657B7">
        <w:rPr>
          <w:b w:val="0"/>
          <w:noProof/>
          <w:szCs w:val="22"/>
          <w:lang w:val="hy-AM"/>
        </w:rPr>
        <w:t>57</w:t>
      </w:r>
      <w:r w:rsidRPr="007955BB">
        <w:rPr>
          <w:b w:val="0"/>
          <w:noProof/>
          <w:szCs w:val="22"/>
          <w:lang w:val="hy-AM"/>
        </w:rPr>
        <w:t xml:space="preserve"> մշտադիտարկում, </w:t>
      </w:r>
      <w:r w:rsidR="00E657B7" w:rsidRPr="00E657B7">
        <w:rPr>
          <w:b w:val="0"/>
          <w:noProof/>
          <w:szCs w:val="22"/>
          <w:lang w:val="hy-AM"/>
        </w:rPr>
        <w:t>կատարված ուսումնասիրությունների և մշտադիտարկումների ընթացքում ՀՀ</w:t>
      </w:r>
      <w:r w:rsidR="00E657B7" w:rsidRPr="00D73E68">
        <w:rPr>
          <w:b w:val="0"/>
          <w:noProof/>
          <w:szCs w:val="22"/>
          <w:lang w:val="hy-AM"/>
        </w:rPr>
        <w:t xml:space="preserve"> վարչապետին ներկայացվել է 48 տեղեկանք</w:t>
      </w:r>
      <w:r w:rsidRPr="007955BB">
        <w:rPr>
          <w:b w:val="0"/>
          <w:noProof/>
          <w:szCs w:val="22"/>
          <w:lang w:val="hy-AM"/>
        </w:rPr>
        <w:t>:</w:t>
      </w:r>
    </w:p>
    <w:p w:rsidR="00C264B6" w:rsidRPr="007955BB" w:rsidRDefault="00C264B6" w:rsidP="00C264B6">
      <w:pPr>
        <w:spacing w:before="0" w:line="276" w:lineRule="auto"/>
        <w:ind w:firstLine="540"/>
        <w:contextualSpacing w:val="0"/>
        <w:rPr>
          <w:b w:val="0"/>
          <w:noProof/>
          <w:szCs w:val="22"/>
          <w:lang w:val="hy-AM"/>
        </w:rPr>
      </w:pPr>
      <w:r w:rsidRPr="007955BB">
        <w:rPr>
          <w:b w:val="0"/>
          <w:noProof/>
          <w:szCs w:val="22"/>
          <w:lang w:val="hy-AM"/>
        </w:rPr>
        <w:t xml:space="preserve">Ծառայությունն իր գործառույթների իրականացման շրջանակներում 2023 թվականի ընթացքում ապահովելու է  ՀՀ վարչապետին ՀՀ Սահմանադրությամբ և օրենքներով վերապահված վերահսկողական լիազորությունների իրականացումը։ </w:t>
      </w:r>
    </w:p>
    <w:p w:rsidR="00C264B6" w:rsidRPr="007955BB" w:rsidRDefault="00C264B6" w:rsidP="00C264B6">
      <w:pPr>
        <w:spacing w:before="0" w:line="276" w:lineRule="auto"/>
        <w:ind w:firstLine="540"/>
        <w:contextualSpacing w:val="0"/>
        <w:rPr>
          <w:b w:val="0"/>
          <w:noProof/>
          <w:szCs w:val="22"/>
          <w:lang w:val="hy-AM"/>
        </w:rPr>
      </w:pPr>
      <w:r w:rsidRPr="007955BB">
        <w:rPr>
          <w:b w:val="0"/>
          <w:noProof/>
          <w:szCs w:val="22"/>
          <w:lang w:val="hy-AM"/>
        </w:rPr>
        <w:t>Վերջնական արդյունքը, որին ձգտում է Ծառայությունը՝ ՀՀ պետական միջոցների կառավարման, ձևավորման և օգտագործման արդյունավետության և օրինականության բարձրացումն է:</w:t>
      </w:r>
    </w:p>
    <w:p w:rsidR="00BD2822" w:rsidRPr="007955BB" w:rsidRDefault="00BD2822" w:rsidP="006C76BB">
      <w:pPr>
        <w:spacing w:before="0" w:line="276" w:lineRule="auto"/>
        <w:contextualSpacing w:val="0"/>
        <w:rPr>
          <w:b w:val="0"/>
          <w:szCs w:val="22"/>
          <w:lang w:val="hy-AM" w:eastAsia="en-US"/>
        </w:rPr>
      </w:pPr>
    </w:p>
    <w:p w:rsidR="00EA7341" w:rsidRPr="007955BB" w:rsidRDefault="00EA7341" w:rsidP="00832373">
      <w:pPr>
        <w:keepNext/>
        <w:spacing w:before="0" w:line="276" w:lineRule="auto"/>
        <w:ind w:firstLine="0"/>
        <w:contextualSpacing w:val="0"/>
        <w:jc w:val="center"/>
        <w:outlineLvl w:val="2"/>
        <w:rPr>
          <w:rFonts w:cs="Arial"/>
          <w:sz w:val="24"/>
          <w:lang w:val="hy-AM" w:eastAsia="en-US"/>
        </w:rPr>
      </w:pPr>
      <w:bookmarkStart w:id="358" w:name="_Toc120805244"/>
      <w:r w:rsidRPr="007955BB">
        <w:rPr>
          <w:rFonts w:cs="Arial"/>
          <w:sz w:val="24"/>
          <w:lang w:val="hy-AM" w:eastAsia="en-US"/>
        </w:rPr>
        <w:t>Հեռուստատեսության և ռադիոյի հանձնաժողով</w:t>
      </w:r>
      <w:bookmarkEnd w:id="358"/>
    </w:p>
    <w:p w:rsidR="00C264B6" w:rsidRPr="007955BB" w:rsidRDefault="00C264B6" w:rsidP="00C264B6">
      <w:pPr>
        <w:spacing w:before="0" w:line="276" w:lineRule="auto"/>
        <w:contextualSpacing w:val="0"/>
        <w:rPr>
          <w:b w:val="0"/>
          <w:color w:val="000000"/>
          <w:szCs w:val="22"/>
          <w:lang w:val="hy-AM" w:eastAsia="en-US"/>
        </w:rPr>
      </w:pPr>
      <w:r w:rsidRPr="007955BB">
        <w:rPr>
          <w:b w:val="0"/>
          <w:color w:val="000000"/>
          <w:szCs w:val="22"/>
          <w:lang w:val="hy-AM" w:eastAsia="en-US"/>
        </w:rPr>
        <w:t>Հեռուստատեսության և ռադիոյի հանձնաժողովը սահմանադրական կարգավիճակ ունեցող անկախ պետական մարմին է, որն ապահովում է հեռարձակվող լրատվության միջոցների ազատությունը, անկախությունը և բազմազանությունը, վերահսկում տեսալսողական մեդիածառայություն մատուցողների, օպերատորների և տեսալսողական ծրագրերի դիստրիբյուտորների գործունեությունը։</w:t>
      </w:r>
    </w:p>
    <w:p w:rsidR="00C264B6" w:rsidRPr="007955BB" w:rsidRDefault="00C264B6" w:rsidP="00C264B6">
      <w:pPr>
        <w:spacing w:before="0" w:line="276" w:lineRule="auto"/>
        <w:contextualSpacing w:val="0"/>
        <w:rPr>
          <w:b w:val="0"/>
          <w:color w:val="000000"/>
          <w:szCs w:val="22"/>
          <w:lang w:val="hy-AM" w:eastAsia="en-US"/>
        </w:rPr>
      </w:pPr>
      <w:r w:rsidRPr="007955BB">
        <w:rPr>
          <w:b w:val="0"/>
          <w:color w:val="000000"/>
          <w:szCs w:val="22"/>
          <w:lang w:val="hy-AM" w:eastAsia="en-US"/>
        </w:rPr>
        <w:t>Հեռուստատեսության և ռադիոյի հանձնաժողովի 2023 թվականի պետական բյուջեի նախագծով նախատեսված ծախսերն ուղղված են Հանձնաժողովի  Տեսալսողական մեդիայի ոլորտի կանոնակարգում ծրագրին, որի նպատակն է հեռարձակվող լրատվության միջոցների ազատության, անկախության և բազմազանության ապահովումը, տեսալսողական ոլորտի վերահսկումը և կարգավորումը, և որն էլ ուղղված է վերջնական արդյունքի՝ հեռարձակվող լրատվության միջոցների ազատության, անկախության և բազմազանության բարձր մակարդակի, մրցակցային հավասար պայմանների, տեսալսողական ոլորտում օրինախախտումների նվազեցման, հեղինակային իրավունքի պահպանության, ոլորտի համաչափ զարգացման ապահովմանը։</w:t>
      </w:r>
    </w:p>
    <w:p w:rsidR="00F17A4A" w:rsidRPr="007955BB" w:rsidRDefault="00F17A4A" w:rsidP="006C76BB">
      <w:pPr>
        <w:spacing w:before="0" w:line="276" w:lineRule="auto"/>
        <w:contextualSpacing w:val="0"/>
        <w:rPr>
          <w:b w:val="0"/>
          <w:szCs w:val="22"/>
          <w:lang w:val="hy-AM" w:eastAsia="en-US"/>
        </w:rPr>
      </w:pPr>
    </w:p>
    <w:p w:rsidR="00AD03E5" w:rsidRPr="007955BB" w:rsidRDefault="005A7E7A" w:rsidP="00832373">
      <w:pPr>
        <w:keepNext/>
        <w:spacing w:before="0" w:line="276" w:lineRule="auto"/>
        <w:ind w:firstLine="0"/>
        <w:contextualSpacing w:val="0"/>
        <w:jc w:val="center"/>
        <w:outlineLvl w:val="2"/>
        <w:rPr>
          <w:rFonts w:cs="Arial"/>
          <w:sz w:val="24"/>
          <w:lang w:val="hy-AM" w:eastAsia="en-US"/>
        </w:rPr>
      </w:pPr>
      <w:bookmarkStart w:id="359" w:name="_Toc120805245"/>
      <w:r w:rsidRPr="007955BB">
        <w:rPr>
          <w:rFonts w:cs="Arial"/>
          <w:sz w:val="24"/>
          <w:lang w:val="hy-AM" w:eastAsia="en-US"/>
        </w:rPr>
        <w:t xml:space="preserve">Հանրային </w:t>
      </w:r>
      <w:r w:rsidR="00C6276C" w:rsidRPr="007955BB">
        <w:rPr>
          <w:rFonts w:cs="Arial"/>
          <w:sz w:val="24"/>
          <w:lang w:val="hy-AM" w:eastAsia="en-US"/>
        </w:rPr>
        <w:t>հեռարձակողի</w:t>
      </w:r>
      <w:r w:rsidR="00AD03E5" w:rsidRPr="007955BB">
        <w:rPr>
          <w:rFonts w:cs="Arial"/>
          <w:sz w:val="24"/>
          <w:lang w:val="hy-AM" w:eastAsia="en-US"/>
        </w:rPr>
        <w:t xml:space="preserve"> խորհուրդ</w:t>
      </w:r>
      <w:bookmarkEnd w:id="359"/>
    </w:p>
    <w:p w:rsidR="00BA2127" w:rsidRPr="007955BB" w:rsidRDefault="00BA2127" w:rsidP="00BA2127">
      <w:pPr>
        <w:numPr>
          <w:ilvl w:val="12"/>
          <w:numId w:val="0"/>
        </w:numPr>
        <w:tabs>
          <w:tab w:val="left" w:pos="851"/>
        </w:tabs>
        <w:spacing w:line="276" w:lineRule="auto"/>
        <w:ind w:left="-142" w:firstLine="540"/>
        <w:rPr>
          <w:b w:val="0"/>
          <w:noProof/>
          <w:szCs w:val="22"/>
          <w:lang w:val="af-ZA"/>
        </w:rPr>
      </w:pPr>
      <w:r w:rsidRPr="007955BB">
        <w:rPr>
          <w:b w:val="0"/>
          <w:color w:val="000000"/>
          <w:szCs w:val="22"/>
          <w:lang w:val="hy-AM" w:eastAsia="en-US"/>
        </w:rPr>
        <w:t>ՀՀ 202</w:t>
      </w:r>
      <w:r w:rsidRPr="007955BB">
        <w:rPr>
          <w:b w:val="0"/>
          <w:color w:val="000000"/>
          <w:szCs w:val="22"/>
          <w:lang w:val="af-ZA" w:eastAsia="en-US"/>
        </w:rPr>
        <w:t>3</w:t>
      </w:r>
      <w:r w:rsidRPr="007955BB">
        <w:rPr>
          <w:b w:val="0"/>
          <w:color w:val="000000"/>
          <w:szCs w:val="22"/>
          <w:lang w:val="hy-AM" w:eastAsia="en-US"/>
        </w:rPr>
        <w:t xml:space="preserve"> թվականի պետական բյուջեի նախագծով Հանրային հեռարձակողի խորհրդի գծով նախատեսվում է հատկացնել 7,6</w:t>
      </w:r>
      <w:r w:rsidRPr="007955BB">
        <w:rPr>
          <w:b w:val="0"/>
          <w:color w:val="000000"/>
          <w:szCs w:val="22"/>
          <w:lang w:val="af-ZA" w:eastAsia="en-US"/>
        </w:rPr>
        <w:t>76</w:t>
      </w:r>
      <w:r w:rsidRPr="007955BB">
        <w:rPr>
          <w:b w:val="0"/>
          <w:color w:val="000000"/>
          <w:szCs w:val="22"/>
          <w:lang w:val="hy-AM" w:eastAsia="en-US"/>
        </w:rPr>
        <w:t xml:space="preserve">.2 մլն դրամ </w:t>
      </w:r>
      <w:r w:rsidRPr="007955BB">
        <w:rPr>
          <w:rFonts w:cs="Calibri"/>
          <w:b w:val="0"/>
          <w:iCs/>
          <w:szCs w:val="22"/>
          <w:lang w:val="hy-AM" w:eastAsia="en-GB"/>
        </w:rPr>
        <w:t>(ներառյալ կառավարման ապարատի պահպանման ծախսերը)</w:t>
      </w:r>
      <w:r w:rsidRPr="007955BB">
        <w:rPr>
          <w:b w:val="0"/>
          <w:noProof/>
          <w:szCs w:val="22"/>
          <w:lang w:val="af-ZA"/>
        </w:rPr>
        <w:t>:</w:t>
      </w:r>
    </w:p>
    <w:p w:rsidR="00AF03DF" w:rsidRPr="007955BB" w:rsidRDefault="00BA2127" w:rsidP="00AF03DF">
      <w:pPr>
        <w:numPr>
          <w:ilvl w:val="12"/>
          <w:numId w:val="0"/>
        </w:numPr>
        <w:tabs>
          <w:tab w:val="left" w:pos="851"/>
        </w:tabs>
        <w:spacing w:line="276" w:lineRule="auto"/>
        <w:ind w:left="-142" w:firstLine="540"/>
        <w:rPr>
          <w:b w:val="0"/>
          <w:noProof/>
          <w:color w:val="FF0000"/>
          <w:szCs w:val="22"/>
          <w:lang w:val="af-ZA"/>
        </w:rPr>
      </w:pPr>
      <w:r w:rsidRPr="007955BB">
        <w:rPr>
          <w:b w:val="0"/>
          <w:noProof/>
          <w:szCs w:val="22"/>
          <w:lang w:val="hy-AM"/>
        </w:rPr>
        <w:t>Հանրային հեռարձակողի խորհուրդ</w:t>
      </w:r>
      <w:r w:rsidRPr="007955BB">
        <w:rPr>
          <w:b w:val="0"/>
          <w:noProof/>
          <w:szCs w:val="22"/>
          <w:lang w:val="en-US"/>
        </w:rPr>
        <w:t>ի</w:t>
      </w:r>
      <w:r w:rsidRPr="007955BB">
        <w:rPr>
          <w:b w:val="0"/>
          <w:noProof/>
          <w:szCs w:val="22"/>
          <w:lang w:val="af-ZA"/>
        </w:rPr>
        <w:t xml:space="preserve"> </w:t>
      </w:r>
      <w:r w:rsidRPr="007955BB">
        <w:rPr>
          <w:b w:val="0"/>
          <w:noProof/>
          <w:szCs w:val="22"/>
          <w:lang w:val="en-US"/>
        </w:rPr>
        <w:t>կողմից</w:t>
      </w:r>
      <w:r w:rsidRPr="007955BB">
        <w:rPr>
          <w:b w:val="0"/>
          <w:noProof/>
          <w:szCs w:val="22"/>
          <w:lang w:val="af-ZA"/>
        </w:rPr>
        <w:t xml:space="preserve"> </w:t>
      </w:r>
      <w:r w:rsidRPr="007955BB">
        <w:rPr>
          <w:b w:val="0"/>
          <w:noProof/>
          <w:szCs w:val="22"/>
          <w:lang w:val="en-US"/>
        </w:rPr>
        <w:t>իրականացվող</w:t>
      </w:r>
      <w:r w:rsidRPr="007955BB">
        <w:rPr>
          <w:b w:val="0"/>
          <w:noProof/>
          <w:szCs w:val="22"/>
          <w:lang w:val="af-ZA"/>
        </w:rPr>
        <w:t xml:space="preserve"> </w:t>
      </w:r>
      <w:r w:rsidR="00AF03DF" w:rsidRPr="007955BB">
        <w:rPr>
          <w:noProof/>
          <w:szCs w:val="22"/>
          <w:lang w:val="hy-AM"/>
        </w:rPr>
        <w:t>Ռադիո</w:t>
      </w:r>
      <w:r w:rsidR="00AF03DF" w:rsidRPr="007955BB">
        <w:rPr>
          <w:noProof/>
          <w:szCs w:val="22"/>
          <w:lang w:val="af-ZA"/>
        </w:rPr>
        <w:t xml:space="preserve"> </w:t>
      </w:r>
      <w:r w:rsidR="00AF03DF" w:rsidRPr="007955BB">
        <w:rPr>
          <w:noProof/>
          <w:szCs w:val="22"/>
          <w:lang w:val="hy-AM"/>
        </w:rPr>
        <w:t>և</w:t>
      </w:r>
      <w:r w:rsidR="00AF03DF" w:rsidRPr="007955BB">
        <w:rPr>
          <w:noProof/>
          <w:szCs w:val="22"/>
          <w:lang w:val="af-ZA"/>
        </w:rPr>
        <w:t xml:space="preserve"> </w:t>
      </w:r>
      <w:r w:rsidR="00AF03DF" w:rsidRPr="007955BB">
        <w:rPr>
          <w:noProof/>
          <w:szCs w:val="22"/>
          <w:lang w:val="hy-AM"/>
        </w:rPr>
        <w:t>հեռուստահաղորդումների</w:t>
      </w:r>
      <w:r w:rsidR="00AF03DF" w:rsidRPr="007955BB">
        <w:rPr>
          <w:noProof/>
          <w:szCs w:val="22"/>
          <w:lang w:val="af-ZA"/>
        </w:rPr>
        <w:t xml:space="preserve"> </w:t>
      </w:r>
      <w:r w:rsidR="00AF03DF" w:rsidRPr="007955BB">
        <w:rPr>
          <w:noProof/>
          <w:szCs w:val="22"/>
          <w:lang w:val="hy-AM"/>
        </w:rPr>
        <w:t>հեռարձակում</w:t>
      </w:r>
      <w:r w:rsidR="00AF03DF" w:rsidRPr="007955BB">
        <w:rPr>
          <w:noProof/>
          <w:szCs w:val="22"/>
          <w:lang w:val="af-ZA"/>
        </w:rPr>
        <w:t xml:space="preserve"> </w:t>
      </w:r>
      <w:r w:rsidR="00AF03DF" w:rsidRPr="007955BB">
        <w:rPr>
          <w:b w:val="0"/>
          <w:noProof/>
          <w:szCs w:val="22"/>
          <w:lang w:val="hy-AM"/>
        </w:rPr>
        <w:t>ծրագրի նպատակն</w:t>
      </w:r>
      <w:r w:rsidR="00AF03DF" w:rsidRPr="007955BB">
        <w:rPr>
          <w:b w:val="0"/>
          <w:noProof/>
          <w:szCs w:val="22"/>
          <w:lang w:val="af-ZA"/>
        </w:rPr>
        <w:t xml:space="preserve"> </w:t>
      </w:r>
      <w:r w:rsidR="00AF03DF" w:rsidRPr="007955BB">
        <w:rPr>
          <w:b w:val="0"/>
          <w:noProof/>
          <w:szCs w:val="22"/>
          <w:lang w:val="hy-AM"/>
        </w:rPr>
        <w:t>է</w:t>
      </w:r>
      <w:r w:rsidR="00AF03DF" w:rsidRPr="007955BB">
        <w:rPr>
          <w:b w:val="0"/>
          <w:noProof/>
          <w:szCs w:val="22"/>
          <w:lang w:val="af-ZA"/>
        </w:rPr>
        <w:t xml:space="preserve"> </w:t>
      </w:r>
      <w:r w:rsidR="00AF03DF" w:rsidRPr="007955BB">
        <w:rPr>
          <w:b w:val="0"/>
          <w:noProof/>
          <w:szCs w:val="22"/>
          <w:lang w:val="hy-AM"/>
        </w:rPr>
        <w:t>ապահովել</w:t>
      </w:r>
      <w:r w:rsidR="00AF03DF" w:rsidRPr="007955BB">
        <w:rPr>
          <w:b w:val="0"/>
          <w:noProof/>
          <w:szCs w:val="22"/>
          <w:lang w:val="af-ZA"/>
        </w:rPr>
        <w:t xml:space="preserve"> </w:t>
      </w:r>
      <w:r w:rsidR="00AF03DF" w:rsidRPr="007955BB">
        <w:rPr>
          <w:b w:val="0"/>
          <w:noProof/>
          <w:szCs w:val="22"/>
          <w:lang w:val="hy-AM"/>
        </w:rPr>
        <w:t>բազմազան</w:t>
      </w:r>
      <w:r w:rsidR="00AF03DF" w:rsidRPr="007955BB">
        <w:rPr>
          <w:b w:val="0"/>
          <w:noProof/>
          <w:szCs w:val="22"/>
          <w:lang w:val="af-ZA"/>
        </w:rPr>
        <w:t xml:space="preserve"> </w:t>
      </w:r>
      <w:r w:rsidR="00AF03DF" w:rsidRPr="007955BB">
        <w:rPr>
          <w:b w:val="0"/>
          <w:noProof/>
          <w:szCs w:val="22"/>
          <w:lang w:val="hy-AM"/>
        </w:rPr>
        <w:t>տեղեկատվական</w:t>
      </w:r>
      <w:r w:rsidR="00AF03DF" w:rsidRPr="007955BB">
        <w:rPr>
          <w:b w:val="0"/>
          <w:noProof/>
          <w:szCs w:val="22"/>
          <w:lang w:val="af-ZA"/>
        </w:rPr>
        <w:t xml:space="preserve">, </w:t>
      </w:r>
      <w:r w:rsidR="00AF03DF" w:rsidRPr="007955BB">
        <w:rPr>
          <w:b w:val="0"/>
          <w:noProof/>
          <w:szCs w:val="22"/>
          <w:lang w:val="hy-AM"/>
        </w:rPr>
        <w:t>ճանաչողական</w:t>
      </w:r>
      <w:r w:rsidR="00AF03DF" w:rsidRPr="007955BB">
        <w:rPr>
          <w:b w:val="0"/>
          <w:noProof/>
          <w:szCs w:val="22"/>
          <w:lang w:val="af-ZA"/>
        </w:rPr>
        <w:t xml:space="preserve">, </w:t>
      </w:r>
      <w:r w:rsidR="00AF03DF" w:rsidRPr="007955BB">
        <w:rPr>
          <w:b w:val="0"/>
          <w:noProof/>
          <w:szCs w:val="22"/>
          <w:lang w:val="hy-AM"/>
        </w:rPr>
        <w:t>կրթական</w:t>
      </w:r>
      <w:r w:rsidR="00AF03DF" w:rsidRPr="007955BB">
        <w:rPr>
          <w:b w:val="0"/>
          <w:noProof/>
          <w:szCs w:val="22"/>
          <w:lang w:val="af-ZA"/>
        </w:rPr>
        <w:t xml:space="preserve">, </w:t>
      </w:r>
      <w:r w:rsidR="00AF03DF" w:rsidRPr="007955BB">
        <w:rPr>
          <w:b w:val="0"/>
          <w:noProof/>
          <w:szCs w:val="22"/>
          <w:lang w:val="hy-AM"/>
        </w:rPr>
        <w:t>ժամանցային</w:t>
      </w:r>
      <w:r w:rsidR="00AF03DF" w:rsidRPr="007955BB">
        <w:rPr>
          <w:b w:val="0"/>
          <w:noProof/>
          <w:szCs w:val="22"/>
          <w:lang w:val="af-ZA"/>
        </w:rPr>
        <w:t xml:space="preserve"> </w:t>
      </w:r>
      <w:r w:rsidR="00AF03DF" w:rsidRPr="007955BB">
        <w:rPr>
          <w:b w:val="0"/>
          <w:noProof/>
          <w:szCs w:val="22"/>
          <w:lang w:val="hy-AM"/>
        </w:rPr>
        <w:t>հեռուստատեսային և ռադիո հաղորդումների արտադրությունը և հեռարձակումը</w:t>
      </w:r>
      <w:r w:rsidR="00AF03DF" w:rsidRPr="007955BB">
        <w:rPr>
          <w:b w:val="0"/>
          <w:noProof/>
          <w:szCs w:val="22"/>
          <w:lang w:val="af-ZA"/>
        </w:rPr>
        <w:t>:</w:t>
      </w:r>
    </w:p>
    <w:p w:rsidR="00AF03DF" w:rsidRPr="007955BB" w:rsidRDefault="00AF03DF" w:rsidP="00AF03DF">
      <w:pPr>
        <w:numPr>
          <w:ilvl w:val="12"/>
          <w:numId w:val="0"/>
        </w:numPr>
        <w:tabs>
          <w:tab w:val="left" w:pos="851"/>
        </w:tabs>
        <w:spacing w:line="276" w:lineRule="auto"/>
        <w:ind w:left="-142" w:firstLine="540"/>
        <w:rPr>
          <w:b w:val="0"/>
          <w:noProof/>
          <w:szCs w:val="22"/>
          <w:lang w:val="hy-AM"/>
        </w:rPr>
      </w:pPr>
      <w:r w:rsidRPr="007955BB">
        <w:rPr>
          <w:b w:val="0"/>
          <w:color w:val="000000"/>
          <w:szCs w:val="22"/>
          <w:lang w:val="en-US" w:eastAsia="en-US"/>
        </w:rPr>
        <w:t>Ծրագրի</w:t>
      </w:r>
      <w:r w:rsidRPr="007955BB">
        <w:rPr>
          <w:b w:val="0"/>
          <w:color w:val="000000"/>
          <w:szCs w:val="22"/>
          <w:lang w:val="af-ZA" w:eastAsia="en-US"/>
        </w:rPr>
        <w:t xml:space="preserve"> </w:t>
      </w:r>
      <w:r w:rsidRPr="007955BB">
        <w:rPr>
          <w:b w:val="0"/>
          <w:color w:val="000000"/>
          <w:szCs w:val="22"/>
          <w:lang w:val="en-US" w:eastAsia="en-US"/>
        </w:rPr>
        <w:t>շրջանակներում</w:t>
      </w:r>
      <w:r w:rsidRPr="007955BB">
        <w:rPr>
          <w:b w:val="0"/>
          <w:color w:val="000000"/>
          <w:szCs w:val="22"/>
          <w:lang w:val="af-ZA" w:eastAsia="en-US"/>
        </w:rPr>
        <w:t xml:space="preserve"> </w:t>
      </w:r>
      <w:r w:rsidRPr="007955BB">
        <w:rPr>
          <w:b w:val="0"/>
          <w:color w:val="000000"/>
          <w:szCs w:val="22"/>
          <w:lang w:val="en-US" w:eastAsia="en-US"/>
        </w:rPr>
        <w:t>նախատեսվում</w:t>
      </w:r>
      <w:r w:rsidRPr="007955BB">
        <w:rPr>
          <w:b w:val="0"/>
          <w:color w:val="000000"/>
          <w:szCs w:val="22"/>
          <w:lang w:val="af-ZA" w:eastAsia="en-US"/>
        </w:rPr>
        <w:t xml:space="preserve"> </w:t>
      </w:r>
      <w:r w:rsidRPr="007955BB">
        <w:rPr>
          <w:b w:val="0"/>
          <w:color w:val="000000"/>
          <w:szCs w:val="22"/>
          <w:lang w:val="en-US" w:eastAsia="en-US"/>
        </w:rPr>
        <w:t>է</w:t>
      </w:r>
      <w:r w:rsidRPr="007955BB">
        <w:rPr>
          <w:b w:val="0"/>
          <w:color w:val="000000"/>
          <w:szCs w:val="22"/>
          <w:lang w:val="af-ZA" w:eastAsia="en-US"/>
        </w:rPr>
        <w:t xml:space="preserve"> </w:t>
      </w:r>
      <w:r w:rsidRPr="007955BB">
        <w:rPr>
          <w:b w:val="0"/>
          <w:color w:val="000000"/>
          <w:szCs w:val="22"/>
          <w:lang w:val="en-US" w:eastAsia="en-US"/>
        </w:rPr>
        <w:t>ապահովել</w:t>
      </w:r>
      <w:r w:rsidRPr="007955BB">
        <w:rPr>
          <w:b w:val="0"/>
          <w:color w:val="000000"/>
          <w:szCs w:val="22"/>
          <w:lang w:val="af-ZA" w:eastAsia="en-US"/>
        </w:rPr>
        <w:t xml:space="preserve"> </w:t>
      </w:r>
      <w:r w:rsidRPr="007955BB">
        <w:rPr>
          <w:b w:val="0"/>
          <w:color w:val="000000"/>
          <w:szCs w:val="22"/>
          <w:lang w:val="en-US" w:eastAsia="en-US"/>
        </w:rPr>
        <w:t>Հանրային</w:t>
      </w:r>
      <w:r w:rsidRPr="007955BB">
        <w:rPr>
          <w:b w:val="0"/>
          <w:color w:val="000000"/>
          <w:szCs w:val="22"/>
          <w:lang w:val="af-ZA" w:eastAsia="en-US"/>
        </w:rPr>
        <w:t xml:space="preserve"> </w:t>
      </w:r>
      <w:r w:rsidRPr="007955BB">
        <w:rPr>
          <w:b w:val="0"/>
          <w:color w:val="000000"/>
          <w:szCs w:val="22"/>
          <w:lang w:val="en-US" w:eastAsia="en-US"/>
        </w:rPr>
        <w:t>հեռուստաընկերության</w:t>
      </w:r>
      <w:r w:rsidRPr="007955BB">
        <w:rPr>
          <w:b w:val="0"/>
          <w:color w:val="000000"/>
          <w:szCs w:val="22"/>
          <w:lang w:val="af-ZA" w:eastAsia="en-US"/>
        </w:rPr>
        <w:t xml:space="preserve"> </w:t>
      </w:r>
      <w:r w:rsidRPr="007955BB">
        <w:rPr>
          <w:b w:val="0"/>
          <w:color w:val="000000"/>
          <w:szCs w:val="22"/>
          <w:lang w:val="en-US" w:eastAsia="en-US"/>
        </w:rPr>
        <w:t>առաջին</w:t>
      </w:r>
      <w:r w:rsidRPr="007955BB">
        <w:rPr>
          <w:b w:val="0"/>
          <w:color w:val="000000"/>
          <w:szCs w:val="22"/>
          <w:lang w:val="af-ZA" w:eastAsia="en-US"/>
        </w:rPr>
        <w:t xml:space="preserve"> </w:t>
      </w:r>
      <w:r w:rsidRPr="007955BB">
        <w:rPr>
          <w:b w:val="0"/>
          <w:color w:val="000000"/>
          <w:szCs w:val="22"/>
          <w:lang w:val="en-US" w:eastAsia="en-US"/>
        </w:rPr>
        <w:t>ալիքի</w:t>
      </w:r>
      <w:r w:rsidRPr="007955BB">
        <w:rPr>
          <w:b w:val="0"/>
          <w:color w:val="000000"/>
          <w:szCs w:val="22"/>
          <w:lang w:val="af-ZA" w:eastAsia="en-US"/>
        </w:rPr>
        <w:t xml:space="preserve"> </w:t>
      </w:r>
      <w:r w:rsidRPr="007955BB">
        <w:rPr>
          <w:b w:val="0"/>
          <w:color w:val="000000"/>
          <w:szCs w:val="22"/>
          <w:lang w:val="en-US" w:eastAsia="en-US"/>
        </w:rPr>
        <w:t>եթերում՝</w:t>
      </w:r>
      <w:r w:rsidRPr="007955BB">
        <w:rPr>
          <w:b w:val="0"/>
          <w:color w:val="000000"/>
          <w:szCs w:val="22"/>
          <w:lang w:val="af-ZA" w:eastAsia="en-US"/>
        </w:rPr>
        <w:t xml:space="preserve"> 3030 </w:t>
      </w:r>
      <w:r w:rsidRPr="007955BB">
        <w:rPr>
          <w:b w:val="0"/>
          <w:color w:val="000000"/>
          <w:szCs w:val="22"/>
          <w:lang w:val="en-US" w:eastAsia="en-US"/>
        </w:rPr>
        <w:t>ժամ</w:t>
      </w:r>
      <w:r w:rsidRPr="007955BB">
        <w:rPr>
          <w:b w:val="0"/>
          <w:color w:val="000000"/>
          <w:szCs w:val="22"/>
          <w:lang w:val="af-ZA" w:eastAsia="en-US"/>
        </w:rPr>
        <w:t xml:space="preserve">, </w:t>
      </w:r>
      <w:r w:rsidRPr="007955BB">
        <w:rPr>
          <w:b w:val="0"/>
          <w:color w:val="000000"/>
          <w:szCs w:val="22"/>
          <w:lang w:val="en-US" w:eastAsia="en-US"/>
        </w:rPr>
        <w:t>Հանրային</w:t>
      </w:r>
      <w:r w:rsidRPr="007955BB">
        <w:rPr>
          <w:b w:val="0"/>
          <w:color w:val="000000"/>
          <w:szCs w:val="22"/>
          <w:lang w:val="af-ZA" w:eastAsia="en-US"/>
        </w:rPr>
        <w:t xml:space="preserve"> </w:t>
      </w:r>
      <w:r w:rsidRPr="007955BB">
        <w:rPr>
          <w:b w:val="0"/>
          <w:color w:val="000000"/>
          <w:szCs w:val="22"/>
          <w:lang w:val="en-US" w:eastAsia="en-US"/>
        </w:rPr>
        <w:t>ռադիոընկերության</w:t>
      </w:r>
      <w:r w:rsidRPr="007955BB">
        <w:rPr>
          <w:b w:val="0"/>
          <w:color w:val="000000"/>
          <w:szCs w:val="22"/>
          <w:lang w:val="af-ZA" w:eastAsia="en-US"/>
        </w:rPr>
        <w:t xml:space="preserve"> </w:t>
      </w:r>
      <w:r w:rsidRPr="007955BB">
        <w:rPr>
          <w:b w:val="0"/>
          <w:color w:val="000000"/>
          <w:szCs w:val="22"/>
          <w:lang w:val="en-US" w:eastAsia="en-US"/>
        </w:rPr>
        <w:t>Առաջին</w:t>
      </w:r>
      <w:r w:rsidRPr="007955BB">
        <w:rPr>
          <w:b w:val="0"/>
          <w:color w:val="000000"/>
          <w:szCs w:val="22"/>
          <w:lang w:val="af-ZA" w:eastAsia="en-US"/>
        </w:rPr>
        <w:t xml:space="preserve"> </w:t>
      </w:r>
      <w:r w:rsidRPr="007955BB">
        <w:rPr>
          <w:b w:val="0"/>
          <w:color w:val="000000"/>
          <w:szCs w:val="22"/>
          <w:lang w:val="en-US" w:eastAsia="en-US"/>
        </w:rPr>
        <w:t>ծրագրերի</w:t>
      </w:r>
      <w:r w:rsidRPr="007955BB">
        <w:rPr>
          <w:b w:val="0"/>
          <w:color w:val="000000"/>
          <w:szCs w:val="22"/>
          <w:lang w:val="af-ZA" w:eastAsia="en-US"/>
        </w:rPr>
        <w:t xml:space="preserve"> </w:t>
      </w:r>
      <w:r w:rsidRPr="007955BB">
        <w:rPr>
          <w:b w:val="0"/>
          <w:color w:val="000000"/>
          <w:szCs w:val="22"/>
          <w:lang w:val="en-US" w:eastAsia="en-US"/>
        </w:rPr>
        <w:t>եթերում՝</w:t>
      </w:r>
      <w:r w:rsidRPr="007955BB">
        <w:rPr>
          <w:b w:val="0"/>
          <w:color w:val="000000"/>
          <w:szCs w:val="22"/>
          <w:lang w:val="af-ZA" w:eastAsia="en-US"/>
        </w:rPr>
        <w:t xml:space="preserve"> 4205 </w:t>
      </w:r>
      <w:r w:rsidRPr="007955BB">
        <w:rPr>
          <w:b w:val="0"/>
          <w:color w:val="000000"/>
          <w:szCs w:val="22"/>
          <w:lang w:val="en-US" w:eastAsia="en-US"/>
        </w:rPr>
        <w:t>ժամ</w:t>
      </w:r>
      <w:r w:rsidRPr="007955BB">
        <w:rPr>
          <w:b w:val="0"/>
          <w:color w:val="000000"/>
          <w:szCs w:val="22"/>
          <w:lang w:val="af-ZA" w:eastAsia="en-US"/>
        </w:rPr>
        <w:t xml:space="preserve"> </w:t>
      </w:r>
      <w:r w:rsidRPr="007955BB">
        <w:rPr>
          <w:b w:val="0"/>
          <w:color w:val="000000"/>
          <w:szCs w:val="22"/>
          <w:lang w:val="en-US" w:eastAsia="en-US"/>
        </w:rPr>
        <w:t>օրիգինալ</w:t>
      </w:r>
      <w:r w:rsidRPr="007955BB">
        <w:rPr>
          <w:b w:val="0"/>
          <w:color w:val="000000"/>
          <w:szCs w:val="22"/>
          <w:lang w:val="af-ZA" w:eastAsia="en-US"/>
        </w:rPr>
        <w:t xml:space="preserve"> (</w:t>
      </w:r>
      <w:r w:rsidRPr="007955BB">
        <w:rPr>
          <w:b w:val="0"/>
          <w:color w:val="000000"/>
          <w:szCs w:val="22"/>
          <w:lang w:val="hy-AM" w:eastAsia="en-US"/>
        </w:rPr>
        <w:t>նոր</w:t>
      </w:r>
      <w:r w:rsidRPr="007955BB">
        <w:rPr>
          <w:b w:val="0"/>
          <w:color w:val="000000"/>
          <w:szCs w:val="22"/>
          <w:lang w:val="af-ZA" w:eastAsia="en-US"/>
        </w:rPr>
        <w:t>)</w:t>
      </w:r>
      <w:r w:rsidRPr="007955BB">
        <w:rPr>
          <w:b w:val="0"/>
          <w:color w:val="000000"/>
          <w:szCs w:val="22"/>
          <w:lang w:val="hy-AM" w:eastAsia="en-US"/>
        </w:rPr>
        <w:t xml:space="preserve"> հաղորդումների հեռարձակում, Հանրային հեռուստաընկերության եթերում 55 բազմազան հաղորդաշարերի պատրաստում և հեռարձակում:</w:t>
      </w:r>
    </w:p>
    <w:p w:rsidR="00A93A45" w:rsidRPr="007955BB" w:rsidRDefault="00A93A45" w:rsidP="00661F3D">
      <w:pPr>
        <w:spacing w:line="276" w:lineRule="auto"/>
        <w:rPr>
          <w:b w:val="0"/>
          <w:szCs w:val="22"/>
          <w:lang w:val="hy-AM"/>
        </w:rPr>
      </w:pPr>
    </w:p>
    <w:p w:rsidR="00FC7885" w:rsidRPr="007955BB" w:rsidRDefault="00FC7885" w:rsidP="00832373">
      <w:pPr>
        <w:keepNext/>
        <w:spacing w:before="0" w:line="276" w:lineRule="auto"/>
        <w:ind w:firstLine="0"/>
        <w:contextualSpacing w:val="0"/>
        <w:jc w:val="center"/>
        <w:outlineLvl w:val="2"/>
        <w:rPr>
          <w:rFonts w:cs="Arial"/>
          <w:sz w:val="24"/>
          <w:lang w:val="hy-AM" w:eastAsia="en-US"/>
        </w:rPr>
      </w:pPr>
      <w:bookmarkStart w:id="360" w:name="_Toc120805246"/>
      <w:r w:rsidRPr="007955BB">
        <w:rPr>
          <w:rFonts w:cs="Arial"/>
          <w:sz w:val="24"/>
          <w:lang w:val="hy-AM" w:eastAsia="en-US"/>
        </w:rPr>
        <w:t>ՀՀ մրցակցության պաշտպանության հանձնաժողով</w:t>
      </w:r>
      <w:bookmarkEnd w:id="360"/>
    </w:p>
    <w:p w:rsidR="00C264B6" w:rsidRPr="007955BB" w:rsidRDefault="00D35F72" w:rsidP="00C264B6">
      <w:pPr>
        <w:spacing w:line="276" w:lineRule="auto"/>
        <w:rPr>
          <w:b w:val="0"/>
          <w:lang w:val="hy-AM"/>
        </w:rPr>
      </w:pPr>
      <w:r>
        <w:rPr>
          <w:b w:val="0"/>
          <w:lang w:val="hy-AM"/>
        </w:rPr>
        <w:t>ՀՀ</w:t>
      </w:r>
      <w:r w:rsidR="00C264B6" w:rsidRPr="007955BB">
        <w:rPr>
          <w:b w:val="0"/>
          <w:lang w:val="hy-AM"/>
        </w:rPr>
        <w:t xml:space="preserve"> մրցակցության պաշտպանության հանձնաժողովի (այսուհետ՝ Հանձնաժողով) գործունեությունն ուղղված է ազատ տնտեսական մրցակցության պաշտպանությանը և խրախուսմանը, ձեռնարկատիրության զարգացման և սպառողների շահերի պաշտպանությանը նպաստելուն, բարեխիղճ մրցակցության համար անհրաժեշտ միջավայրի ապահովմանը </w:t>
      </w:r>
      <w:r>
        <w:rPr>
          <w:b w:val="0"/>
          <w:lang w:val="hy-AM"/>
        </w:rPr>
        <w:t>ՀՀ-</w:t>
      </w:r>
      <w:r w:rsidR="00C264B6" w:rsidRPr="007955BB">
        <w:rPr>
          <w:b w:val="0"/>
          <w:lang w:val="hy-AM"/>
        </w:rPr>
        <w:t xml:space="preserve">ում։ </w:t>
      </w:r>
    </w:p>
    <w:p w:rsidR="00C264B6" w:rsidRPr="007955BB" w:rsidRDefault="00C264B6" w:rsidP="00C264B6">
      <w:pPr>
        <w:spacing w:line="276" w:lineRule="auto"/>
        <w:rPr>
          <w:b w:val="0"/>
          <w:lang w:val="hy-AM"/>
        </w:rPr>
      </w:pPr>
      <w:r w:rsidRPr="007955BB">
        <w:rPr>
          <w:b w:val="0"/>
          <w:lang w:val="hy-AM"/>
        </w:rPr>
        <w:t>Հանձնաժողովն իր գործառույթների շրջանակներում իրականացնում է ոլորտային ուսումնասիրություններ որևէ ոլորտում կամ ապրանքային շուկայում մրցակցային իրավիճակը, տնտեսական մրցակցության կանխման, սահմանափակման կամ արգելման կամ սպառողների շահերի վնասման դեպքերը պարզելու, մրցակցային իրավիճակի վրա ազդող այլ պայմանները բացահայտելու նպատակով։</w:t>
      </w:r>
    </w:p>
    <w:p w:rsidR="00C264B6" w:rsidRPr="007955BB" w:rsidRDefault="00C264B6" w:rsidP="00C264B6">
      <w:pPr>
        <w:spacing w:line="276" w:lineRule="auto"/>
        <w:rPr>
          <w:b w:val="0"/>
          <w:lang w:val="hy-AM"/>
        </w:rPr>
      </w:pPr>
      <w:r w:rsidRPr="007955BB">
        <w:rPr>
          <w:b w:val="0"/>
          <w:lang w:val="hy-AM"/>
        </w:rPr>
        <w:t>Ոլորտային ուսումնասիրության շրջանակում Հանձնաժողովը կարող է սահմանել ապրանքային շուկան, ուսումնասիրել ապրանքային շուկայի կառուցվածքը, կենտրոնացվածության աստիճանը, ոլորտի կամ շուկայի դինամիկան, հայտնաբերել անձանց խումբ հանդիսացող տնտեսվարող սուբյեկտներին, ուսումնասիրել ոլորտի կամ շուկայի իրավակարգավորումները և վեր հանել խնդիրները, այդ թվում՝ օրենսդրական բացերը և սողանցքները, բացահայտել շուկայում ինքնակարգավորման մեխանիզմները, պարզել օրենքի հնարավոր խախտման հատկանիշները, եզրահանգումներ կատարել մրցակցային իրավիճակի վերաբերյալ, կազմել վերլուծական հաշվետվություն:</w:t>
      </w:r>
    </w:p>
    <w:p w:rsidR="00C264B6" w:rsidRPr="007955BB" w:rsidRDefault="00D35F72" w:rsidP="00C264B6">
      <w:pPr>
        <w:spacing w:line="276" w:lineRule="auto"/>
        <w:rPr>
          <w:b w:val="0"/>
          <w:lang w:val="hy-AM"/>
        </w:rPr>
      </w:pPr>
      <w:r>
        <w:rPr>
          <w:b w:val="0"/>
          <w:lang w:val="hy-AM"/>
        </w:rPr>
        <w:t>ՀՀ-</w:t>
      </w:r>
      <w:r w:rsidR="00C264B6" w:rsidRPr="007955BB">
        <w:rPr>
          <w:b w:val="0"/>
          <w:lang w:val="hy-AM"/>
        </w:rPr>
        <w:t xml:space="preserve">ում արդյունավետ մրցակցային միջավայրի ձևավորման և տնտեսական մրցակցության պաշտպանության օրենսդրության դրույթների պահպանման նկատմամբ հսկողություն սահմանելու նպատակով Հանձնաժողովը յուրաքանչյուր տարի իրականացնում է լայն սպառում ունեցող պարենային և ոչ պարենային նշանակության ապրանքների և ծառայությունների 5 ոլորտի/շուկայի ուսումնասիրություն, որոնց արդյունքում բացահայտվում են առկա խնդիրները և առաջարկվում լուծումներ շուկայի ուղղակի կամ անուղղակի կարգավորման համար։ 5 տարվա ընթացքում ուսումնասիրելով լայն սպառում ունեցող պարենային և ոչ պարենային նշանակության ապրանքների և ծառայությունների 25 ապրանքային շուկա, Հանձնաժողովը հաջորդ տարիներին նույն հերթականությամբ անդրադառնում է նույն ապրանքային շուկաներին՝ տնտեսության մրցակցային վիճակի բարելավման և Հանձնաժողովի գործունեության արդյունավետության գնահատման նպատակով։ </w:t>
      </w:r>
    </w:p>
    <w:p w:rsidR="00C264B6" w:rsidRPr="007955BB" w:rsidRDefault="00C264B6" w:rsidP="00C264B6">
      <w:pPr>
        <w:spacing w:line="276" w:lineRule="auto"/>
        <w:rPr>
          <w:b w:val="0"/>
          <w:lang w:val="hy-AM"/>
        </w:rPr>
      </w:pPr>
      <w:r w:rsidRPr="007955BB">
        <w:rPr>
          <w:b w:val="0"/>
          <w:lang w:val="hy-AM"/>
        </w:rPr>
        <w:t>Տնտեսական մրցակցության ընթացիկ իրավիճակը գնահատելու նպատակով Հանձնաժողովը յուրաքանչյուր տարի իրականացնում է 100 հատ ուսումնասիրություններ մրցակցային ընթացիկ խնդիրների բացահայտման և կանխարգելման նպատակով։ 2021 թվականին Հանձնաժողովը փաստացի իրականացրել է 104 հատ ուսումնասիրություն։</w:t>
      </w:r>
    </w:p>
    <w:p w:rsidR="00FC7885" w:rsidRPr="007955BB" w:rsidRDefault="00FC7885" w:rsidP="00FC7885">
      <w:pPr>
        <w:tabs>
          <w:tab w:val="left" w:pos="993"/>
        </w:tabs>
        <w:spacing w:before="0" w:line="276" w:lineRule="auto"/>
        <w:rPr>
          <w:b w:val="0"/>
          <w:szCs w:val="22"/>
          <w:lang w:val="af-ZA"/>
        </w:rPr>
      </w:pPr>
    </w:p>
    <w:p w:rsidR="00FC7885" w:rsidRPr="007955BB" w:rsidRDefault="00FC7885" w:rsidP="00832373">
      <w:pPr>
        <w:keepNext/>
        <w:spacing w:before="0" w:line="276" w:lineRule="auto"/>
        <w:ind w:firstLine="0"/>
        <w:contextualSpacing w:val="0"/>
        <w:jc w:val="center"/>
        <w:outlineLvl w:val="2"/>
        <w:rPr>
          <w:rFonts w:cs="Arial"/>
          <w:sz w:val="24"/>
          <w:lang w:val="af-ZA" w:eastAsia="en-US"/>
        </w:rPr>
      </w:pPr>
      <w:bookmarkStart w:id="361" w:name="_Toc120805247"/>
      <w:r w:rsidRPr="007955BB">
        <w:rPr>
          <w:rFonts w:cs="Arial"/>
          <w:sz w:val="24"/>
          <w:lang w:val="hy-AM" w:eastAsia="en-US"/>
        </w:rPr>
        <w:t>ՀՀ կոռուպցիայի կանխարգելման հանձնաժողով</w:t>
      </w:r>
      <w:bookmarkEnd w:id="361"/>
      <w:r w:rsidRPr="007955BB">
        <w:rPr>
          <w:rFonts w:cs="Arial"/>
          <w:sz w:val="24"/>
          <w:lang w:val="af-ZA" w:eastAsia="en-US"/>
        </w:rPr>
        <w:t xml:space="preserve"> </w:t>
      </w:r>
    </w:p>
    <w:p w:rsidR="00C264B6" w:rsidRPr="007955BB" w:rsidRDefault="00C264B6" w:rsidP="00C264B6">
      <w:pPr>
        <w:spacing w:line="276" w:lineRule="auto"/>
        <w:ind w:firstLine="426"/>
        <w:rPr>
          <w:b w:val="0"/>
          <w:szCs w:val="22"/>
          <w:lang w:val="hy-AM"/>
        </w:rPr>
      </w:pPr>
      <w:r w:rsidRPr="007955BB">
        <w:rPr>
          <w:b w:val="0"/>
          <w:szCs w:val="22"/>
          <w:lang w:val="hy-AM"/>
        </w:rPr>
        <w:t xml:space="preserve">Կոռուպցիայի կանխարգելումը հանդիսանում է ՀՀ Կառավարության հակակոռուպցիոն քաղաքականության գերակա ոլորտներից մեկը, և իր ամրագրումն է ստացել ներպետական քաղաքականության փաստաթղթերում, ինչպես նաև միջազգային հարաբերություններից ստանձնած մի շարք պարտավորություններում։ </w:t>
      </w:r>
    </w:p>
    <w:p w:rsidR="00C264B6" w:rsidRPr="007955BB" w:rsidRDefault="00C264B6" w:rsidP="00C264B6">
      <w:pPr>
        <w:spacing w:line="276" w:lineRule="auto"/>
        <w:ind w:firstLine="426"/>
        <w:rPr>
          <w:b w:val="0"/>
          <w:szCs w:val="22"/>
          <w:lang w:val="hy-AM"/>
        </w:rPr>
      </w:pPr>
      <w:r w:rsidRPr="007955BB">
        <w:rPr>
          <w:b w:val="0"/>
          <w:szCs w:val="22"/>
          <w:lang w:val="hy-AM"/>
        </w:rPr>
        <w:t xml:space="preserve">2019 թվականի նոյեմբերի 19-ին ձևավորվել է Կոռուպցիայի կանխարգելման հանձնաժողովը, որին վերապահվել են ընդլայնված լիազորություններ: Կոռուպցիայի կանխարգելման մասին ՀՀ օրենքի, Դատական օրենսգիրք ՀՀ Սահմանադրական օրենքի, Դատախազության մասին ՀՀ օրենքի, Հանրային ծառայության մասին ՀՀ օրենքի և մի շարք այլ օրենքների փոփոխություններով Կոռուպցիայի կանխարգելման հանձնաժողովի առկա գործառույթներ զգալիորեն ավելացել են, որն իրենից ենթադրում է լրացուցիչ մարդկային և ֆինանսական ռեսուրսների ներգրավում, որի մի մասը նախորդ տարիներին և ներկայումս ստանձնել են միջազգային դոնոր կազմակերպությունները: </w:t>
      </w:r>
    </w:p>
    <w:p w:rsidR="00C264B6" w:rsidRPr="007955BB" w:rsidRDefault="00C264B6" w:rsidP="00C264B6">
      <w:pPr>
        <w:spacing w:line="276" w:lineRule="auto"/>
        <w:ind w:firstLine="426"/>
        <w:rPr>
          <w:b w:val="0"/>
          <w:szCs w:val="22"/>
          <w:lang w:val="hy-AM"/>
        </w:rPr>
      </w:pPr>
      <w:r w:rsidRPr="007955BB">
        <w:rPr>
          <w:b w:val="0"/>
          <w:szCs w:val="22"/>
          <w:lang w:val="hy-AM"/>
        </w:rPr>
        <w:t xml:space="preserve">Կոռուպցիայի կանխարգելման հանձնաժողովը 2023 թվականին իրականացնելու է </w:t>
      </w:r>
      <w:r w:rsidRPr="007955BB">
        <w:rPr>
          <w:szCs w:val="22"/>
          <w:lang w:val="hy-AM"/>
        </w:rPr>
        <w:t>Կոռուպցիայի կանխարգելման համակարգի զարգացման ապահովում</w:t>
      </w:r>
      <w:r w:rsidRPr="007955BB">
        <w:rPr>
          <w:b w:val="0"/>
          <w:szCs w:val="22"/>
          <w:lang w:val="hy-AM"/>
        </w:rPr>
        <w:t xml:space="preserve"> ծրագիրը իր 3 միջոցառումներով՝ «Կոռուպցիայի կանխարգելում և բարեվարքության համակարգի զարգացում» (պահպանման ընթացիկ ծախսերի գծով), «Հանձնաժողովի կարողությունների զարգացում» (պահպանման կապիտալ ծախսերի գծով) և «Կոռուպցիայի կանխարգելման բնագավառում կրթական և հանրային իրազեկման ծառայություններ» միջոցառումները:  </w:t>
      </w:r>
    </w:p>
    <w:p w:rsidR="00C264B6" w:rsidRPr="007955BB" w:rsidRDefault="00C264B6" w:rsidP="00C264B6">
      <w:pPr>
        <w:spacing w:line="276" w:lineRule="auto"/>
        <w:ind w:firstLine="426"/>
        <w:rPr>
          <w:b w:val="0"/>
          <w:szCs w:val="22"/>
          <w:lang w:val="hy-AM"/>
        </w:rPr>
      </w:pPr>
      <w:r w:rsidRPr="007955BB">
        <w:rPr>
          <w:b w:val="0"/>
          <w:szCs w:val="22"/>
          <w:lang w:val="hy-AM"/>
        </w:rPr>
        <w:t>Ծրագրի նպատակն է ապահովել պետական կառավարման և տեղական ինքնակառավարման ոլորտում կոռուպցիայի կանխարգելման համակարգային և անհատական գործուն մեխանիզմների ներդրումն ու արդյունավետ շահագործումը: Ծրագրի վերջնական արդյունքը հաշվետու ժամանակաշրջանում միտված է`</w:t>
      </w:r>
    </w:p>
    <w:p w:rsidR="00C264B6" w:rsidRPr="007955BB" w:rsidRDefault="00C264B6" w:rsidP="00C264B6">
      <w:pPr>
        <w:spacing w:line="276" w:lineRule="auto"/>
        <w:ind w:firstLine="426"/>
        <w:rPr>
          <w:b w:val="0"/>
          <w:szCs w:val="22"/>
          <w:lang w:val="hy-AM"/>
        </w:rPr>
      </w:pPr>
      <w:r w:rsidRPr="007955BB">
        <w:rPr>
          <w:b w:val="0"/>
          <w:szCs w:val="22"/>
          <w:lang w:val="hy-AM"/>
        </w:rPr>
        <w:t>1.</w:t>
      </w:r>
      <w:r w:rsidRPr="007955BB">
        <w:rPr>
          <w:b w:val="0"/>
          <w:szCs w:val="22"/>
          <w:lang w:val="hy-AM"/>
        </w:rPr>
        <w:tab/>
        <w:t>պետական կառավարման համակարգում բարեվարքության, կոռուպցիոն ռիսկերի գնահատման համակարգերի ներդրմանը</w:t>
      </w:r>
    </w:p>
    <w:p w:rsidR="00C264B6" w:rsidRPr="007955BB" w:rsidRDefault="00C264B6" w:rsidP="00C264B6">
      <w:pPr>
        <w:spacing w:line="276" w:lineRule="auto"/>
        <w:ind w:firstLine="426"/>
        <w:rPr>
          <w:b w:val="0"/>
          <w:szCs w:val="22"/>
          <w:lang w:val="hy-AM"/>
        </w:rPr>
      </w:pPr>
      <w:r w:rsidRPr="007955BB">
        <w:rPr>
          <w:b w:val="0"/>
          <w:szCs w:val="22"/>
          <w:lang w:val="hy-AM"/>
        </w:rPr>
        <w:t>2.</w:t>
      </w:r>
      <w:r w:rsidRPr="007955BB">
        <w:rPr>
          <w:b w:val="0"/>
          <w:szCs w:val="22"/>
          <w:lang w:val="hy-AM"/>
        </w:rPr>
        <w:tab/>
        <w:t>հայտարարագրերի ռիսկային ցուցիչների վրա հիմնված վերլուծության մեթոդաբանության գործարկմանը</w:t>
      </w:r>
    </w:p>
    <w:p w:rsidR="00C264B6" w:rsidRPr="007955BB" w:rsidRDefault="00C264B6" w:rsidP="00C264B6">
      <w:pPr>
        <w:spacing w:line="276" w:lineRule="auto"/>
        <w:ind w:firstLine="426"/>
        <w:rPr>
          <w:b w:val="0"/>
          <w:szCs w:val="22"/>
          <w:lang w:val="hy-AM"/>
        </w:rPr>
      </w:pPr>
      <w:r w:rsidRPr="007955BB">
        <w:rPr>
          <w:b w:val="0"/>
          <w:szCs w:val="22"/>
          <w:lang w:val="hy-AM"/>
        </w:rPr>
        <w:t>3.</w:t>
      </w:r>
      <w:r w:rsidRPr="007955BB">
        <w:rPr>
          <w:b w:val="0"/>
          <w:szCs w:val="22"/>
          <w:lang w:val="hy-AM"/>
        </w:rPr>
        <w:tab/>
        <w:t xml:space="preserve"> «Հանրային ծառայության մասին» ՀՀ օրենքի համաձայն պետական պաշտոնի նշանակման ենթակա անձանց բարեվարքության ամբողջական ստուգմանը</w:t>
      </w:r>
    </w:p>
    <w:p w:rsidR="00C264B6" w:rsidRPr="007955BB" w:rsidRDefault="00C264B6" w:rsidP="00C264B6">
      <w:pPr>
        <w:spacing w:line="276" w:lineRule="auto"/>
        <w:ind w:firstLine="426"/>
        <w:rPr>
          <w:b w:val="0"/>
          <w:szCs w:val="22"/>
          <w:lang w:val="hy-AM"/>
        </w:rPr>
      </w:pPr>
      <w:r w:rsidRPr="007955BB">
        <w:rPr>
          <w:b w:val="0"/>
          <w:szCs w:val="22"/>
          <w:lang w:val="hy-AM"/>
        </w:rPr>
        <w:t>4.</w:t>
      </w:r>
      <w:r w:rsidRPr="007955BB">
        <w:rPr>
          <w:b w:val="0"/>
          <w:szCs w:val="22"/>
          <w:lang w:val="hy-AM"/>
        </w:rPr>
        <w:tab/>
        <w:t>հակակոռուպցիոն երեք կրթական ծրագրերի ներդրմանը</w:t>
      </w:r>
    </w:p>
    <w:p w:rsidR="00C264B6" w:rsidRPr="007955BB" w:rsidRDefault="00C264B6" w:rsidP="00C264B6">
      <w:pPr>
        <w:spacing w:line="276" w:lineRule="auto"/>
        <w:ind w:firstLine="426"/>
        <w:rPr>
          <w:b w:val="0"/>
          <w:szCs w:val="22"/>
          <w:lang w:val="hy-AM"/>
        </w:rPr>
      </w:pPr>
      <w:r w:rsidRPr="007955BB">
        <w:rPr>
          <w:b w:val="0"/>
          <w:szCs w:val="22"/>
          <w:lang w:val="hy-AM"/>
        </w:rPr>
        <w:t>5.</w:t>
      </w:r>
      <w:r w:rsidRPr="007955BB">
        <w:rPr>
          <w:b w:val="0"/>
          <w:szCs w:val="22"/>
          <w:lang w:val="hy-AM"/>
        </w:rPr>
        <w:tab/>
        <w:t xml:space="preserve"> կոռուպցիայի կանխարգելման վերաբերյալ հանրային իրազեկման երկու ծրագրերի ներդրմանը</w:t>
      </w:r>
    </w:p>
    <w:p w:rsidR="00C264B6" w:rsidRPr="007955BB" w:rsidRDefault="00C264B6" w:rsidP="00C264B6">
      <w:pPr>
        <w:spacing w:line="276" w:lineRule="auto"/>
        <w:ind w:firstLine="426"/>
        <w:rPr>
          <w:b w:val="0"/>
          <w:szCs w:val="22"/>
          <w:lang w:val="hy-AM"/>
        </w:rPr>
      </w:pPr>
      <w:r w:rsidRPr="007955BB">
        <w:rPr>
          <w:b w:val="0"/>
          <w:szCs w:val="22"/>
          <w:lang w:val="hy-AM"/>
        </w:rPr>
        <w:t>6.</w:t>
      </w:r>
      <w:r w:rsidRPr="007955BB">
        <w:rPr>
          <w:b w:val="0"/>
          <w:szCs w:val="22"/>
          <w:lang w:val="hy-AM"/>
        </w:rPr>
        <w:tab/>
        <w:t>միջազգային համագործակցության ծրագրի ներդրմանը:</w:t>
      </w:r>
    </w:p>
    <w:p w:rsidR="00C264B6" w:rsidRPr="007955BB" w:rsidRDefault="00C264B6" w:rsidP="00C264B6">
      <w:pPr>
        <w:spacing w:line="276" w:lineRule="auto"/>
        <w:ind w:firstLine="426"/>
        <w:rPr>
          <w:b w:val="0"/>
          <w:szCs w:val="22"/>
          <w:lang w:val="hy-AM"/>
        </w:rPr>
      </w:pPr>
      <w:r w:rsidRPr="007955BB">
        <w:rPr>
          <w:b w:val="0"/>
          <w:szCs w:val="22"/>
          <w:lang w:val="hy-AM"/>
        </w:rPr>
        <w:t xml:space="preserve">Ծրագիրը իրենից ներկայացնում է Հանձնաժողովի պահպանման ծախսերը և միտված է Հանձնաժողովի կանոնադրական գործառույթների իրականացմանը: 2022 թվականի համեմատությամբ 2023 թվականի պետական բյուջեով հատկացվող միջոցների ծավալը միջոցառման մասով աճել է` գործառույթների ընդլայնմամբ, հաստիքների թվաքանակի և դրանց հետ կապված ծախսերի ավելացմամբ պայմանավորված: </w:t>
      </w:r>
    </w:p>
    <w:p w:rsidR="00C264B6" w:rsidRPr="007955BB" w:rsidRDefault="00C264B6" w:rsidP="00C264B6">
      <w:pPr>
        <w:spacing w:line="276" w:lineRule="auto"/>
        <w:ind w:firstLine="426"/>
        <w:rPr>
          <w:b w:val="0"/>
          <w:szCs w:val="22"/>
          <w:lang w:val="hy-AM"/>
        </w:rPr>
      </w:pPr>
      <w:r w:rsidRPr="007955BB">
        <w:rPr>
          <w:b w:val="0"/>
          <w:szCs w:val="22"/>
          <w:lang w:val="hy-AM"/>
        </w:rPr>
        <w:t>«Հանձնաժողովի կարողությունների զարգացում» միջոցառման գծով նախատեսվել են միջոցներ Հակակոռուպցիոն ռազմավարության միջոցառումներով նախատեսված ծրագրային փաթեթների ձեռքբերման համար՝ Նվերների ընդունման արգելքի հայեցակարգի հաստատումից հետո, գործընթացը պրակտիկայում կիրառելու համար անհրաժեշտ է գործարկել հայտարարագրման էլեկտրոնային ռեեստր և Բարեվարքության ուսումնասիրության ինքնաշխատ համակարգի ծրագիր:</w:t>
      </w:r>
    </w:p>
    <w:p w:rsidR="00C264B6" w:rsidRPr="007955BB" w:rsidRDefault="00C264B6" w:rsidP="00C264B6">
      <w:pPr>
        <w:spacing w:line="276" w:lineRule="auto"/>
        <w:ind w:firstLine="426"/>
        <w:rPr>
          <w:b w:val="0"/>
          <w:szCs w:val="22"/>
          <w:lang w:val="hy-AM"/>
        </w:rPr>
      </w:pPr>
      <w:r w:rsidRPr="007955BB">
        <w:rPr>
          <w:b w:val="0"/>
          <w:szCs w:val="22"/>
          <w:lang w:val="hy-AM"/>
        </w:rPr>
        <w:t>«Կոռուպցիայի կանխարգելման բնագավառում կրթական և հանրային իրազեկման ծառայություններ» միջոցառմանը ՀՀ 2023թ</w:t>
      </w:r>
      <w:r w:rsidRPr="007955BB">
        <w:rPr>
          <w:rFonts w:ascii="MS Gothic" w:eastAsia="MS Gothic" w:hAnsi="MS Gothic" w:cs="MS Gothic" w:hint="eastAsia"/>
          <w:b w:val="0"/>
          <w:szCs w:val="22"/>
          <w:lang w:val="hy-AM"/>
        </w:rPr>
        <w:t>․</w:t>
      </w:r>
      <w:r w:rsidRPr="007955BB">
        <w:rPr>
          <w:b w:val="0"/>
          <w:szCs w:val="22"/>
          <w:lang w:val="hy-AM"/>
        </w:rPr>
        <w:t xml:space="preserve">  </w:t>
      </w:r>
      <w:r w:rsidRPr="007955BB">
        <w:rPr>
          <w:rFonts w:cs="GHEA Grapalat"/>
          <w:b w:val="0"/>
          <w:szCs w:val="22"/>
          <w:lang w:val="hy-AM"/>
        </w:rPr>
        <w:t>պետական</w:t>
      </w:r>
      <w:r w:rsidRPr="007955BB">
        <w:rPr>
          <w:b w:val="0"/>
          <w:szCs w:val="22"/>
          <w:lang w:val="hy-AM"/>
        </w:rPr>
        <w:t xml:space="preserve"> </w:t>
      </w:r>
      <w:r w:rsidRPr="007955BB">
        <w:rPr>
          <w:rFonts w:cs="GHEA Grapalat"/>
          <w:b w:val="0"/>
          <w:szCs w:val="22"/>
          <w:lang w:val="hy-AM"/>
        </w:rPr>
        <w:t>բյուջեով</w:t>
      </w:r>
      <w:r w:rsidRPr="007955BB">
        <w:rPr>
          <w:b w:val="0"/>
          <w:szCs w:val="22"/>
          <w:lang w:val="hy-AM"/>
        </w:rPr>
        <w:t xml:space="preserve"> </w:t>
      </w:r>
      <w:r w:rsidRPr="007955BB">
        <w:rPr>
          <w:rFonts w:cs="GHEA Grapalat"/>
          <w:b w:val="0"/>
          <w:szCs w:val="22"/>
          <w:lang w:val="hy-AM"/>
        </w:rPr>
        <w:t>նախատեսվում</w:t>
      </w:r>
      <w:r w:rsidRPr="007955BB">
        <w:rPr>
          <w:b w:val="0"/>
          <w:szCs w:val="22"/>
          <w:lang w:val="hy-AM"/>
        </w:rPr>
        <w:t xml:space="preserve"> </w:t>
      </w:r>
      <w:r w:rsidRPr="007955BB">
        <w:rPr>
          <w:rFonts w:cs="GHEA Grapalat"/>
          <w:b w:val="0"/>
          <w:szCs w:val="22"/>
          <w:lang w:val="hy-AM"/>
        </w:rPr>
        <w:t>է</w:t>
      </w:r>
      <w:r w:rsidRPr="007955BB">
        <w:rPr>
          <w:b w:val="0"/>
          <w:szCs w:val="22"/>
          <w:lang w:val="hy-AM"/>
        </w:rPr>
        <w:t xml:space="preserve"> </w:t>
      </w:r>
      <w:r w:rsidRPr="007955BB">
        <w:rPr>
          <w:rFonts w:cs="GHEA Grapalat"/>
          <w:b w:val="0"/>
          <w:szCs w:val="22"/>
          <w:lang w:val="hy-AM"/>
        </w:rPr>
        <w:t>հատկացնել</w:t>
      </w:r>
      <w:r w:rsidRPr="007955BB">
        <w:rPr>
          <w:b w:val="0"/>
          <w:szCs w:val="22"/>
          <w:lang w:val="hy-AM"/>
        </w:rPr>
        <w:t xml:space="preserve"> 10.2 </w:t>
      </w:r>
      <w:r w:rsidRPr="007955BB">
        <w:rPr>
          <w:rFonts w:cs="GHEA Grapalat"/>
          <w:b w:val="0"/>
          <w:szCs w:val="22"/>
          <w:lang w:val="hy-AM"/>
        </w:rPr>
        <w:t>մլն</w:t>
      </w:r>
      <w:r w:rsidRPr="007955BB">
        <w:rPr>
          <w:b w:val="0"/>
          <w:szCs w:val="22"/>
          <w:lang w:val="hy-AM"/>
        </w:rPr>
        <w:t xml:space="preserve"> </w:t>
      </w:r>
      <w:r w:rsidRPr="007955BB">
        <w:rPr>
          <w:rFonts w:cs="GHEA Grapalat"/>
          <w:b w:val="0"/>
          <w:szCs w:val="22"/>
          <w:lang w:val="hy-AM"/>
        </w:rPr>
        <w:t>դրամ՝</w:t>
      </w:r>
      <w:r w:rsidRPr="007955BB">
        <w:rPr>
          <w:b w:val="0"/>
          <w:szCs w:val="22"/>
          <w:lang w:val="hy-AM"/>
        </w:rPr>
        <w:t xml:space="preserve"> </w:t>
      </w:r>
      <w:r w:rsidRPr="007955BB">
        <w:rPr>
          <w:rFonts w:cs="GHEA Grapalat"/>
          <w:b w:val="0"/>
          <w:szCs w:val="22"/>
          <w:lang w:val="hy-AM"/>
        </w:rPr>
        <w:t>որի</w:t>
      </w:r>
      <w:r w:rsidRPr="007955BB">
        <w:rPr>
          <w:b w:val="0"/>
          <w:szCs w:val="22"/>
          <w:lang w:val="hy-AM"/>
        </w:rPr>
        <w:t xml:space="preserve"> </w:t>
      </w:r>
      <w:r w:rsidRPr="007955BB">
        <w:rPr>
          <w:rFonts w:cs="GHEA Grapalat"/>
          <w:b w:val="0"/>
          <w:szCs w:val="22"/>
          <w:lang w:val="hy-AM"/>
        </w:rPr>
        <w:t>շրջանակում</w:t>
      </w:r>
      <w:r w:rsidRPr="007955BB">
        <w:rPr>
          <w:b w:val="0"/>
          <w:szCs w:val="22"/>
          <w:lang w:val="hy-AM"/>
        </w:rPr>
        <w:t xml:space="preserve"> </w:t>
      </w:r>
      <w:r w:rsidRPr="007955BB">
        <w:rPr>
          <w:rFonts w:cs="GHEA Grapalat"/>
          <w:b w:val="0"/>
          <w:szCs w:val="22"/>
          <w:lang w:val="hy-AM"/>
        </w:rPr>
        <w:t>իրականացվելու</w:t>
      </w:r>
      <w:r w:rsidRPr="007955BB">
        <w:rPr>
          <w:b w:val="0"/>
          <w:szCs w:val="22"/>
          <w:lang w:val="hy-AM"/>
        </w:rPr>
        <w:t xml:space="preserve"> </w:t>
      </w:r>
      <w:r w:rsidRPr="007955BB">
        <w:rPr>
          <w:rFonts w:cs="GHEA Grapalat"/>
          <w:b w:val="0"/>
          <w:szCs w:val="22"/>
          <w:lang w:val="hy-AM"/>
        </w:rPr>
        <w:t>է</w:t>
      </w:r>
      <w:r w:rsidRPr="007955BB">
        <w:rPr>
          <w:b w:val="0"/>
          <w:szCs w:val="22"/>
          <w:lang w:val="hy-AM"/>
        </w:rPr>
        <w:t xml:space="preserve"> </w:t>
      </w:r>
      <w:r w:rsidRPr="007955BB">
        <w:rPr>
          <w:rFonts w:cs="GHEA Grapalat"/>
          <w:b w:val="0"/>
          <w:szCs w:val="22"/>
          <w:lang w:val="hy-AM"/>
        </w:rPr>
        <w:t>հանրության</w:t>
      </w:r>
      <w:r w:rsidRPr="007955BB">
        <w:rPr>
          <w:b w:val="0"/>
          <w:szCs w:val="22"/>
          <w:lang w:val="hy-AM"/>
        </w:rPr>
        <w:t xml:space="preserve"> </w:t>
      </w:r>
      <w:r w:rsidRPr="007955BB">
        <w:rPr>
          <w:rFonts w:cs="GHEA Grapalat"/>
          <w:b w:val="0"/>
          <w:szCs w:val="22"/>
          <w:lang w:val="hy-AM"/>
        </w:rPr>
        <w:t>շրջանում</w:t>
      </w:r>
      <w:r w:rsidRPr="007955BB">
        <w:rPr>
          <w:b w:val="0"/>
          <w:szCs w:val="22"/>
          <w:lang w:val="hy-AM"/>
        </w:rPr>
        <w:t xml:space="preserve"> </w:t>
      </w:r>
      <w:r w:rsidRPr="007955BB">
        <w:rPr>
          <w:rFonts w:cs="GHEA Grapalat"/>
          <w:b w:val="0"/>
          <w:szCs w:val="22"/>
          <w:lang w:val="hy-AM"/>
        </w:rPr>
        <w:t>իրավագիտակցության</w:t>
      </w:r>
      <w:r w:rsidRPr="007955BB">
        <w:rPr>
          <w:b w:val="0"/>
          <w:szCs w:val="22"/>
          <w:lang w:val="hy-AM"/>
        </w:rPr>
        <w:t xml:space="preserve"> </w:t>
      </w:r>
      <w:r w:rsidRPr="007955BB">
        <w:rPr>
          <w:rFonts w:cs="GHEA Grapalat"/>
          <w:b w:val="0"/>
          <w:szCs w:val="22"/>
          <w:lang w:val="hy-AM"/>
        </w:rPr>
        <w:t>բարելավում</w:t>
      </w:r>
      <w:r w:rsidRPr="007955BB">
        <w:rPr>
          <w:b w:val="0"/>
          <w:szCs w:val="22"/>
          <w:lang w:val="hy-AM"/>
        </w:rPr>
        <w:t xml:space="preserve">, </w:t>
      </w:r>
      <w:r w:rsidRPr="007955BB">
        <w:rPr>
          <w:rFonts w:cs="GHEA Grapalat"/>
          <w:b w:val="0"/>
          <w:szCs w:val="22"/>
          <w:lang w:val="hy-AM"/>
        </w:rPr>
        <w:t>հակակոռուպցիոն</w:t>
      </w:r>
      <w:r w:rsidRPr="007955BB">
        <w:rPr>
          <w:b w:val="0"/>
          <w:szCs w:val="22"/>
          <w:lang w:val="hy-AM"/>
        </w:rPr>
        <w:t xml:space="preserve"> </w:t>
      </w:r>
      <w:r w:rsidRPr="007955BB">
        <w:rPr>
          <w:rFonts w:cs="GHEA Grapalat"/>
          <w:b w:val="0"/>
          <w:szCs w:val="22"/>
          <w:lang w:val="hy-AM"/>
        </w:rPr>
        <w:t>կրթական</w:t>
      </w:r>
      <w:r w:rsidRPr="007955BB">
        <w:rPr>
          <w:b w:val="0"/>
          <w:szCs w:val="22"/>
          <w:lang w:val="hy-AM"/>
        </w:rPr>
        <w:t xml:space="preserve"> </w:t>
      </w:r>
      <w:r w:rsidRPr="007955BB">
        <w:rPr>
          <w:rFonts w:cs="GHEA Grapalat"/>
          <w:b w:val="0"/>
          <w:szCs w:val="22"/>
          <w:lang w:val="hy-AM"/>
        </w:rPr>
        <w:t>ծրագրերի</w:t>
      </w:r>
      <w:r w:rsidRPr="007955BB">
        <w:rPr>
          <w:b w:val="0"/>
          <w:szCs w:val="22"/>
          <w:lang w:val="hy-AM"/>
        </w:rPr>
        <w:t xml:space="preserve"> </w:t>
      </w:r>
      <w:r w:rsidRPr="007955BB">
        <w:rPr>
          <w:rFonts w:cs="GHEA Grapalat"/>
          <w:b w:val="0"/>
          <w:szCs w:val="22"/>
          <w:lang w:val="hy-AM"/>
        </w:rPr>
        <w:t>և</w:t>
      </w:r>
      <w:r w:rsidRPr="007955BB">
        <w:rPr>
          <w:b w:val="0"/>
          <w:szCs w:val="22"/>
          <w:lang w:val="hy-AM"/>
        </w:rPr>
        <w:t xml:space="preserve"> </w:t>
      </w:r>
      <w:r w:rsidRPr="007955BB">
        <w:rPr>
          <w:rFonts w:cs="GHEA Grapalat"/>
          <w:b w:val="0"/>
          <w:szCs w:val="22"/>
          <w:lang w:val="hy-AM"/>
        </w:rPr>
        <w:t>ուսումնամեթոդական</w:t>
      </w:r>
      <w:r w:rsidRPr="007955BB">
        <w:rPr>
          <w:b w:val="0"/>
          <w:szCs w:val="22"/>
          <w:lang w:val="hy-AM"/>
        </w:rPr>
        <w:t xml:space="preserve"> </w:t>
      </w:r>
      <w:r w:rsidRPr="007955BB">
        <w:rPr>
          <w:rFonts w:cs="GHEA Grapalat"/>
          <w:b w:val="0"/>
          <w:szCs w:val="22"/>
          <w:lang w:val="hy-AM"/>
        </w:rPr>
        <w:t>նյութերի</w:t>
      </w:r>
      <w:r w:rsidRPr="007955BB">
        <w:rPr>
          <w:b w:val="0"/>
          <w:szCs w:val="22"/>
          <w:lang w:val="hy-AM"/>
        </w:rPr>
        <w:t xml:space="preserve"> </w:t>
      </w:r>
      <w:r w:rsidRPr="007955BB">
        <w:rPr>
          <w:rFonts w:cs="GHEA Grapalat"/>
          <w:b w:val="0"/>
          <w:szCs w:val="22"/>
          <w:lang w:val="hy-AM"/>
        </w:rPr>
        <w:t>մշակում</w:t>
      </w:r>
      <w:r w:rsidRPr="007955BB">
        <w:rPr>
          <w:b w:val="0"/>
          <w:szCs w:val="22"/>
          <w:lang w:val="hy-AM"/>
        </w:rPr>
        <w:t xml:space="preserve">, ԶԼՄ ներկայացուցիչների և ուսուցիչների վերապատրաստում: </w:t>
      </w:r>
    </w:p>
    <w:p w:rsidR="00C264B6" w:rsidRPr="007955BB" w:rsidRDefault="00C264B6" w:rsidP="00C264B6">
      <w:pPr>
        <w:spacing w:line="276" w:lineRule="auto"/>
        <w:ind w:firstLine="426"/>
        <w:rPr>
          <w:b w:val="0"/>
          <w:szCs w:val="22"/>
          <w:lang w:val="hy-AM"/>
        </w:rPr>
      </w:pPr>
      <w:r w:rsidRPr="007955BB">
        <w:rPr>
          <w:b w:val="0"/>
          <w:szCs w:val="22"/>
          <w:lang w:val="hy-AM"/>
        </w:rPr>
        <w:t>Կոռուպցիայի կանխարգելման հանձնաժողովի ծախսային ծրագրային գերակայությունները բխում են Հանձնաժողովի գործունեության հիմնական նպատակից, այն է՝ ապահովել պետական կառավարման և տեղական ինքնակառավարման ոլորտում կոռուպցիայի կանխարգելման համակարգային և անհատական գործուն մեխանիզմների ներդրումն ու արդյունավետ շահագործումը։</w:t>
      </w:r>
    </w:p>
    <w:p w:rsidR="00FC7885" w:rsidRPr="007955BB" w:rsidRDefault="00FC7885" w:rsidP="00FC7885">
      <w:pPr>
        <w:spacing w:line="276" w:lineRule="auto"/>
        <w:ind w:firstLine="426"/>
        <w:rPr>
          <w:b w:val="0"/>
          <w:szCs w:val="22"/>
          <w:lang w:val="hy-AM"/>
        </w:rPr>
      </w:pPr>
    </w:p>
    <w:p w:rsidR="00FC7885" w:rsidRPr="007955BB" w:rsidRDefault="00FC7885" w:rsidP="00832373">
      <w:pPr>
        <w:keepNext/>
        <w:spacing w:before="0" w:line="276" w:lineRule="auto"/>
        <w:ind w:firstLine="0"/>
        <w:contextualSpacing w:val="0"/>
        <w:jc w:val="center"/>
        <w:outlineLvl w:val="2"/>
        <w:rPr>
          <w:rFonts w:cs="Arial"/>
          <w:sz w:val="24"/>
          <w:lang w:val="af-ZA" w:eastAsia="en-US"/>
        </w:rPr>
      </w:pPr>
      <w:bookmarkStart w:id="362" w:name="_Toc120805248"/>
      <w:r w:rsidRPr="007955BB">
        <w:rPr>
          <w:rFonts w:cs="Arial"/>
          <w:sz w:val="24"/>
          <w:lang w:val="hy-AM" w:eastAsia="en-US"/>
        </w:rPr>
        <w:t>ՀՀ մարդու իրավունքների պաշտպանի աշխատակազմ</w:t>
      </w:r>
      <w:bookmarkEnd w:id="362"/>
      <w:r w:rsidRPr="007955BB">
        <w:rPr>
          <w:rFonts w:cs="Arial"/>
          <w:sz w:val="24"/>
          <w:lang w:val="af-ZA" w:eastAsia="en-US"/>
        </w:rPr>
        <w:t xml:space="preserve"> </w:t>
      </w:r>
    </w:p>
    <w:p w:rsidR="00013DB1" w:rsidRPr="007955BB" w:rsidRDefault="00013DB1" w:rsidP="00013DB1">
      <w:pPr>
        <w:spacing w:line="276" w:lineRule="auto"/>
        <w:ind w:firstLine="426"/>
        <w:rPr>
          <w:b w:val="0"/>
          <w:szCs w:val="22"/>
          <w:lang w:val="hy-AM"/>
        </w:rPr>
      </w:pPr>
      <w:r w:rsidRPr="007955BB">
        <w:rPr>
          <w:b w:val="0"/>
          <w:szCs w:val="22"/>
          <w:lang w:val="hy-AM"/>
        </w:rPr>
        <w:t>ՀՀ մարդու իրավունքների պաշտպանի աշխատակազմի գործունեությունը բաղկացած է երկու հիմնական ուղղություններից՝ անհատական դեպքերի քննարկում և համակարգային խնդիրների լուծմանն ուղղված քայլեր: Վերջինն իր հերթին հետապնդում է նաև կանխարգելիչ նպատակ՝ բացառելու ապագայում իրավունքների խախտման դեպքերը:</w:t>
      </w:r>
    </w:p>
    <w:p w:rsidR="00013DB1" w:rsidRPr="007955BB" w:rsidRDefault="00013DB1" w:rsidP="00013DB1">
      <w:pPr>
        <w:spacing w:line="276" w:lineRule="auto"/>
        <w:ind w:firstLine="426"/>
        <w:rPr>
          <w:b w:val="0"/>
          <w:szCs w:val="22"/>
          <w:lang w:val="hy-AM"/>
        </w:rPr>
      </w:pPr>
      <w:r w:rsidRPr="007955BB">
        <w:rPr>
          <w:b w:val="0"/>
          <w:szCs w:val="22"/>
          <w:lang w:val="hy-AM"/>
        </w:rPr>
        <w:t xml:space="preserve">Անհատական դեպքերի վերաբերյալ քննարկումներն իրականացվում են «Մարդու իրավունքների պաշտպանի մասին» սահմանադրական օրենքով նախատեսված երկու ուղղությամբ՝ բողոքի և սեփական նախաձեռնությամբ հարցի քննարկման ընթացակարգերով: </w:t>
      </w:r>
    </w:p>
    <w:p w:rsidR="00013DB1" w:rsidRPr="007955BB" w:rsidRDefault="00013DB1" w:rsidP="00013DB1">
      <w:pPr>
        <w:spacing w:line="276" w:lineRule="auto"/>
        <w:ind w:firstLine="426"/>
        <w:rPr>
          <w:b w:val="0"/>
          <w:szCs w:val="22"/>
          <w:lang w:val="hy-AM"/>
        </w:rPr>
      </w:pPr>
      <w:r w:rsidRPr="007955BB">
        <w:rPr>
          <w:b w:val="0"/>
          <w:szCs w:val="22"/>
          <w:lang w:val="hy-AM"/>
        </w:rPr>
        <w:t>Պաշտպանի աշխատակազմի գործունեության երկրորդ հիմնարար ուղղությունը համակարգային խնդիրների վերհանումն ու դրանց լուծման համար անհրաժեշտ ուղիների նախանշումն է: Հարկ է ընդգծել, որ անհատական դիմումներից բացի, համակարգային խնդիրների վերհանման աղբյուր են հանդիսանում նաև Պաշտպանի կոնվենցիոն մանդատների շրջանակում իրականացվող գործողությունները</w:t>
      </w:r>
      <w:r w:rsidRPr="007955BB">
        <w:rPr>
          <w:b w:val="0"/>
          <w:sz w:val="24"/>
          <w:vertAlign w:val="superscript"/>
          <w:lang w:val="hy-AM" w:eastAsia="en-US"/>
        </w:rPr>
        <w:footnoteReference w:id="18"/>
      </w:r>
      <w:r w:rsidRPr="007955BB">
        <w:rPr>
          <w:b w:val="0"/>
          <w:szCs w:val="22"/>
          <w:lang w:val="hy-AM"/>
        </w:rPr>
        <w:t>: Ոլորտային մշտադիտարկումների շնորհիվ բազմիցս արձանագրվել են խորքային խնդիրներ, որոնք պահանջում են օրենսդրական կամ այլ ինստիտուցիոնալ մոտեցում:</w:t>
      </w:r>
    </w:p>
    <w:p w:rsidR="00013DB1" w:rsidRPr="007955BB" w:rsidRDefault="00013DB1" w:rsidP="00013DB1">
      <w:pPr>
        <w:spacing w:line="276" w:lineRule="auto"/>
        <w:ind w:firstLine="426"/>
        <w:rPr>
          <w:b w:val="0"/>
          <w:szCs w:val="22"/>
          <w:lang w:val="hy-AM"/>
        </w:rPr>
      </w:pPr>
      <w:r w:rsidRPr="007955BB">
        <w:rPr>
          <w:b w:val="0"/>
          <w:szCs w:val="22"/>
          <w:lang w:val="hy-AM"/>
        </w:rPr>
        <w:t>Մարդու իրավունքների պաշտպանի գործունեությունն իր բնույթով պետք է լինի նաև կանխարգելիչ: Անհատական դիմումների քննարկումից և օրենքով վերապահված այլ գործառույթների իրականացումից վերհանված խնդիրներին հաճախ կարիք է լինում ցուցաբերել ինստիտուցիոնալ մոտեցում: Այդ առումով Պաշտպանի գործառույթները կարելի է դասակարգել հետևյալ հիմնական ուղղությունների՝</w:t>
      </w:r>
    </w:p>
    <w:p w:rsidR="00013DB1" w:rsidRPr="007955BB" w:rsidRDefault="00013DB1" w:rsidP="00013DB1">
      <w:pPr>
        <w:spacing w:line="276" w:lineRule="auto"/>
        <w:ind w:firstLine="426"/>
        <w:rPr>
          <w:b w:val="0"/>
          <w:szCs w:val="22"/>
          <w:lang w:val="hy-AM"/>
        </w:rPr>
      </w:pPr>
      <w:r w:rsidRPr="007955BB">
        <w:rPr>
          <w:b w:val="0"/>
          <w:szCs w:val="22"/>
          <w:lang w:val="hy-AM"/>
        </w:rPr>
        <w:t>1.</w:t>
      </w:r>
      <w:r w:rsidRPr="007955BB">
        <w:rPr>
          <w:b w:val="0"/>
          <w:szCs w:val="22"/>
          <w:lang w:val="hy-AM"/>
        </w:rPr>
        <w:tab/>
        <w:t>օրենքների և ենթաօրենսդրական ակտերի նախագծերի մշակում.</w:t>
      </w:r>
    </w:p>
    <w:p w:rsidR="00013DB1" w:rsidRPr="007955BB" w:rsidRDefault="00013DB1" w:rsidP="00013DB1">
      <w:pPr>
        <w:spacing w:line="276" w:lineRule="auto"/>
        <w:ind w:firstLine="426"/>
        <w:rPr>
          <w:b w:val="0"/>
          <w:szCs w:val="22"/>
          <w:lang w:val="hy-AM"/>
        </w:rPr>
      </w:pPr>
      <w:r w:rsidRPr="007955BB">
        <w:rPr>
          <w:b w:val="0"/>
          <w:szCs w:val="22"/>
          <w:lang w:val="hy-AM"/>
        </w:rPr>
        <w:t>2.</w:t>
      </w:r>
      <w:r w:rsidRPr="007955BB">
        <w:rPr>
          <w:b w:val="0"/>
          <w:szCs w:val="22"/>
          <w:lang w:val="hy-AM"/>
        </w:rPr>
        <w:tab/>
        <w:t>օրենքների, Ազգային ժողովի որոշումների, Հանրապետության նախագահի հրամանագրերի և կարգադրությունների, Կառավարության և վարչապետի որոշումների, ենթաօրենսդրական նորմատիվ իրավական ակտերի Սահմանադրության 2-րդ գլխի դրույթներին համապատասխանության հարցերով Սահմանադրական դատարան դիմումի հասցեագրում.</w:t>
      </w:r>
    </w:p>
    <w:p w:rsidR="00013DB1" w:rsidRPr="007955BB" w:rsidRDefault="00013DB1" w:rsidP="00013DB1">
      <w:pPr>
        <w:spacing w:line="276" w:lineRule="auto"/>
        <w:ind w:firstLine="426"/>
        <w:rPr>
          <w:b w:val="0"/>
          <w:szCs w:val="22"/>
          <w:lang w:val="hy-AM"/>
        </w:rPr>
      </w:pPr>
      <w:r w:rsidRPr="007955BB">
        <w:rPr>
          <w:b w:val="0"/>
          <w:szCs w:val="22"/>
          <w:lang w:val="hy-AM"/>
        </w:rPr>
        <w:t>3.</w:t>
      </w:r>
      <w:r w:rsidRPr="007955BB">
        <w:rPr>
          <w:b w:val="0"/>
          <w:szCs w:val="22"/>
          <w:lang w:val="hy-AM"/>
        </w:rPr>
        <w:tab/>
        <w:t>մինչև մարդու իրավունքներին և ազատություններին վերաբերող նորմատիվ իրավական ակտերի նախագծերի ընդունումը դրանց վերաբերյալ իրավասու մարմին գրավոր կարծիքների տրամադրում.</w:t>
      </w:r>
    </w:p>
    <w:p w:rsidR="00013DB1" w:rsidRPr="007955BB" w:rsidRDefault="00013DB1" w:rsidP="00013DB1">
      <w:pPr>
        <w:spacing w:line="276" w:lineRule="auto"/>
        <w:ind w:firstLine="426"/>
        <w:rPr>
          <w:b w:val="0"/>
          <w:szCs w:val="22"/>
          <w:lang w:val="hy-AM"/>
        </w:rPr>
      </w:pPr>
      <w:r w:rsidRPr="007955BB">
        <w:rPr>
          <w:b w:val="0"/>
          <w:szCs w:val="22"/>
          <w:lang w:val="hy-AM"/>
        </w:rPr>
        <w:t>4.</w:t>
      </w:r>
      <w:r w:rsidRPr="007955BB">
        <w:rPr>
          <w:b w:val="0"/>
          <w:szCs w:val="22"/>
          <w:lang w:val="hy-AM"/>
        </w:rPr>
        <w:tab/>
        <w:t>Սահմանադրական դատարանում քննվող՝ Սահմանադրության 2-րդ գլխի դրույթներին հակասությանը վերաբերող դիմումների վերաբերյալ հատուկ կարծիքների ներկայացում:</w:t>
      </w:r>
    </w:p>
    <w:p w:rsidR="00013DB1" w:rsidRPr="007955BB" w:rsidRDefault="00013DB1" w:rsidP="00013DB1">
      <w:pPr>
        <w:spacing w:line="276" w:lineRule="auto"/>
        <w:ind w:firstLine="426"/>
        <w:rPr>
          <w:b w:val="0"/>
          <w:szCs w:val="22"/>
          <w:lang w:val="hy-AM"/>
        </w:rPr>
      </w:pPr>
      <w:r w:rsidRPr="007955BB">
        <w:rPr>
          <w:b w:val="0"/>
          <w:szCs w:val="22"/>
          <w:lang w:val="hy-AM"/>
        </w:rPr>
        <w:t xml:space="preserve">Այս հիմնական ուղղություններով աշխատանքն իրականացվում է Պաշտպանի՝ նորմատիվ իրավական ակտերի կատարելագործմանն առնչվող սահմանադրական լիազորության շրջանակում: Սա թույլ է տալիս ոչ միայն նպաստել ներպետական օրենսդրության զարգացմանը, այլ նաև անհատական դիմումներից, մշտադիտարկումներից և այլ աղբյուրներից վերհանված խնդիրների լուծմանն ուղղված քայլեր ձեռնարկել: </w:t>
      </w:r>
    </w:p>
    <w:p w:rsidR="00013DB1" w:rsidRPr="007955BB" w:rsidRDefault="00013DB1" w:rsidP="00013DB1">
      <w:pPr>
        <w:spacing w:line="276" w:lineRule="auto"/>
        <w:ind w:firstLine="426"/>
        <w:rPr>
          <w:b w:val="0"/>
          <w:szCs w:val="22"/>
          <w:lang w:val="hy-AM"/>
        </w:rPr>
      </w:pPr>
      <w:r w:rsidRPr="007955BB">
        <w:rPr>
          <w:b w:val="0"/>
          <w:szCs w:val="22"/>
          <w:lang w:val="hy-AM"/>
        </w:rPr>
        <w:t>1. Օրենքների և ենթաօրենսդրական ակտերի նախագծերի մշակում</w:t>
      </w:r>
    </w:p>
    <w:p w:rsidR="00013DB1" w:rsidRPr="007955BB" w:rsidRDefault="00013DB1" w:rsidP="00013DB1">
      <w:pPr>
        <w:spacing w:line="276" w:lineRule="auto"/>
        <w:ind w:firstLine="426"/>
        <w:rPr>
          <w:b w:val="0"/>
          <w:szCs w:val="22"/>
          <w:lang w:val="hy-AM"/>
        </w:rPr>
      </w:pPr>
      <w:r w:rsidRPr="007955BB">
        <w:rPr>
          <w:b w:val="0"/>
          <w:szCs w:val="22"/>
          <w:lang w:val="hy-AM"/>
        </w:rPr>
        <w:t xml:space="preserve">Վերջին տարիներին գործադրվել է նոր պրակտիկա, որը ենթադրում է, որ մարդու իրավունքներին առնչվող համակարգային խնդիրների լուծման ուղղությամբ Պաշտպանի աշխատակազմում մշակվում են օրենսդրական նախագծեր, դրանք շրջանառվում են իրավասու պետական մարմինների, ինչպես նաև համապատասխան հասարակական կազմակերպությունների շրջանակներում և ներկայացվում կառավարության և խորհրդարանի քննարկմանը: </w:t>
      </w:r>
    </w:p>
    <w:p w:rsidR="00013DB1" w:rsidRPr="007955BB" w:rsidRDefault="00013DB1" w:rsidP="00013DB1">
      <w:pPr>
        <w:spacing w:line="276" w:lineRule="auto"/>
        <w:ind w:firstLine="426"/>
        <w:rPr>
          <w:b w:val="0"/>
          <w:szCs w:val="22"/>
          <w:lang w:val="hy-AM"/>
        </w:rPr>
      </w:pPr>
      <w:r w:rsidRPr="007955BB">
        <w:rPr>
          <w:b w:val="0"/>
          <w:szCs w:val="22"/>
          <w:lang w:val="hy-AM"/>
        </w:rPr>
        <w:t>2. Իրավական ակտերի Սահմանադրության համապատասխանության հարցերով Սահմանադրական դատարան դիմումի հասցեագրում</w:t>
      </w:r>
    </w:p>
    <w:p w:rsidR="00013DB1" w:rsidRPr="007955BB" w:rsidRDefault="00013DB1" w:rsidP="00013DB1">
      <w:pPr>
        <w:spacing w:line="276" w:lineRule="auto"/>
        <w:ind w:firstLine="426"/>
        <w:rPr>
          <w:b w:val="0"/>
          <w:szCs w:val="22"/>
          <w:lang w:val="hy-AM"/>
        </w:rPr>
      </w:pPr>
      <w:r w:rsidRPr="007955BB">
        <w:rPr>
          <w:b w:val="0"/>
          <w:szCs w:val="22"/>
          <w:lang w:val="hy-AM"/>
        </w:rPr>
        <w:t xml:space="preserve">Նորմատիվ իրավական ակտերի կատարելագործման սահմանադրական գործառույթի իրականացման կարևոր ուղղություններից է նաև Սահմանադրական դատարան դիմումների ներկայացումը: Դրանցով վիճարկվում են օրենսդրական կոնկրետ կարգավորումների հակասությունը Սահմանադրության 2-րդ գլխով նախատեսված դրույթներին: </w:t>
      </w:r>
    </w:p>
    <w:p w:rsidR="00013DB1" w:rsidRPr="007955BB" w:rsidRDefault="00013DB1" w:rsidP="00013DB1">
      <w:pPr>
        <w:spacing w:line="276" w:lineRule="auto"/>
        <w:ind w:firstLine="426"/>
        <w:rPr>
          <w:b w:val="0"/>
          <w:szCs w:val="22"/>
          <w:lang w:val="hy-AM"/>
        </w:rPr>
      </w:pPr>
      <w:r w:rsidRPr="007955BB">
        <w:rPr>
          <w:b w:val="0"/>
          <w:szCs w:val="22"/>
          <w:lang w:val="hy-AM"/>
        </w:rPr>
        <w:t>3. Մարդու իրավունքներին և ազատություններին վերաբերող նորմատիվ իրավական ակտերի նախագծերի վերաբերյալ գրավոր կարծիքի տրամադրում</w:t>
      </w:r>
    </w:p>
    <w:p w:rsidR="00013DB1" w:rsidRPr="007955BB" w:rsidRDefault="00013DB1" w:rsidP="00013DB1">
      <w:pPr>
        <w:spacing w:line="276" w:lineRule="auto"/>
        <w:ind w:firstLine="426"/>
        <w:rPr>
          <w:b w:val="0"/>
          <w:szCs w:val="22"/>
          <w:lang w:val="hy-AM"/>
        </w:rPr>
      </w:pPr>
      <w:r w:rsidRPr="007955BB">
        <w:rPr>
          <w:b w:val="0"/>
          <w:szCs w:val="22"/>
          <w:lang w:val="hy-AM"/>
        </w:rPr>
        <w:t xml:space="preserve">Պաշտպանն իր՝ նորմատիվ իրավական ակտերի կատարելագործման գործառույթի շրջանակներում 2023 թվականին շարունակելու է տրամադրել դիրքորոշումներ իրավասու մարմինների ներկայացրած փոփոխություններին ու  առաջարկություններին: </w:t>
      </w:r>
    </w:p>
    <w:p w:rsidR="00013DB1" w:rsidRPr="007955BB" w:rsidRDefault="00013DB1" w:rsidP="00013DB1">
      <w:pPr>
        <w:spacing w:line="276" w:lineRule="auto"/>
        <w:ind w:firstLine="426"/>
        <w:rPr>
          <w:b w:val="0"/>
          <w:szCs w:val="22"/>
          <w:lang w:val="hy-AM"/>
        </w:rPr>
      </w:pPr>
      <w:r w:rsidRPr="007955BB">
        <w:rPr>
          <w:b w:val="0"/>
          <w:szCs w:val="22"/>
          <w:lang w:val="hy-AM"/>
        </w:rPr>
        <w:t>4. Սահմանադրական դատարանում քննվող դիմումների վերաբերյալ հատուկ կարծիքների ներկայացում</w:t>
      </w:r>
    </w:p>
    <w:p w:rsidR="00013DB1" w:rsidRPr="007955BB" w:rsidRDefault="00013DB1" w:rsidP="00013DB1">
      <w:pPr>
        <w:spacing w:line="276" w:lineRule="auto"/>
        <w:ind w:firstLine="426"/>
        <w:rPr>
          <w:b w:val="0"/>
          <w:szCs w:val="22"/>
          <w:lang w:val="hy-AM"/>
        </w:rPr>
      </w:pPr>
      <w:r w:rsidRPr="007955BB">
        <w:rPr>
          <w:b w:val="0"/>
          <w:szCs w:val="22"/>
          <w:lang w:val="hy-AM"/>
        </w:rPr>
        <w:t xml:space="preserve">Պաշտպանը մշտական ներկայացուցիչ ունի նաև ՀՀ սահմանադրական դատարանում: Նշված գործառույթը հատկապես կարևորվում է նրանով, որ Պաշտպանը դատարանին ուղղված՝ Սահմանադրության 2-րդ գլխի դրույթներին վերաբերող դիմումների վերաբերյալ ներկայացնում է հատուկ դիրքորոշում (amicus brief): </w:t>
      </w:r>
    </w:p>
    <w:p w:rsidR="00013DB1" w:rsidRPr="007955BB" w:rsidRDefault="00013DB1" w:rsidP="00013DB1">
      <w:pPr>
        <w:spacing w:line="276" w:lineRule="auto"/>
        <w:ind w:firstLine="426"/>
        <w:rPr>
          <w:b w:val="0"/>
          <w:szCs w:val="22"/>
          <w:lang w:val="hy-AM"/>
        </w:rPr>
      </w:pPr>
      <w:r w:rsidRPr="007955BB">
        <w:rPr>
          <w:b w:val="0"/>
          <w:szCs w:val="22"/>
          <w:lang w:val="hy-AM"/>
        </w:rPr>
        <w:t>Վերոգրյալի հետ մեկտեղ՝ «Իրավահավասարության ապահովման մասին» օրենքի նախագծով նախատեսվում է երաշխավորել ՀՀ-ում յուրաքանչյուր անձի իրավունքների ու ազատությունների իրականացման հավասար հնարավորությունները, կատարելագործել խտրականության դեմ պայքարի բնագավառի օրենսդրությունը, ապահովել խտրականության կանխարգելման, դրանից իրավական և դատական պաշտպանության իրավական հիմքերը: Օրենսդրական փաթեթում ներառված է նաև ««Մարդու իրավունքների պաշտպանի մասին» սահմանադրական օրենքում լրացումներ կատարելու մասին» սահմանադրական օրենքի նախագիծը, որով հստակ կարգավորված են Պաշտպանի՝ իրավահավասարության ապահովման հարցում լիազորությունները, ինչպես նաև այդ լիազորությունների իրականացմանն ուղղված նոր իրավական գործիքները:</w:t>
      </w:r>
    </w:p>
    <w:p w:rsidR="00FC7885" w:rsidRPr="007955BB" w:rsidRDefault="00FC7885" w:rsidP="00FC7885">
      <w:pPr>
        <w:spacing w:line="276" w:lineRule="auto"/>
        <w:ind w:firstLine="426"/>
        <w:rPr>
          <w:b w:val="0"/>
          <w:szCs w:val="22"/>
          <w:lang w:val="hy-AM"/>
        </w:rPr>
      </w:pPr>
    </w:p>
    <w:p w:rsidR="007A3170" w:rsidRPr="007955BB" w:rsidRDefault="007A3170" w:rsidP="007A3170">
      <w:pPr>
        <w:keepNext/>
        <w:spacing w:before="0" w:line="276" w:lineRule="auto"/>
        <w:ind w:firstLine="0"/>
        <w:contextualSpacing w:val="0"/>
        <w:jc w:val="center"/>
        <w:outlineLvl w:val="2"/>
        <w:rPr>
          <w:b w:val="0"/>
          <w:sz w:val="24"/>
          <w:lang w:val="hy-AM"/>
        </w:rPr>
      </w:pPr>
      <w:bookmarkStart w:id="363" w:name="_Toc120805249"/>
      <w:r w:rsidRPr="007955BB">
        <w:rPr>
          <w:rFonts w:cs="Arial"/>
          <w:sz w:val="24"/>
          <w:lang w:val="hy-AM" w:eastAsia="en-US"/>
        </w:rPr>
        <w:t>ՀՀ հաշվեքննիչ պալատ</w:t>
      </w:r>
      <w:bookmarkEnd w:id="363"/>
    </w:p>
    <w:p w:rsidR="003054B4" w:rsidRPr="007955BB" w:rsidRDefault="003054B4" w:rsidP="003054B4">
      <w:pPr>
        <w:spacing w:line="276" w:lineRule="auto"/>
        <w:ind w:firstLine="426"/>
        <w:rPr>
          <w:b w:val="0"/>
          <w:szCs w:val="22"/>
          <w:lang w:val="hy-AM"/>
        </w:rPr>
      </w:pPr>
      <w:r w:rsidRPr="007955BB">
        <w:rPr>
          <w:b w:val="0"/>
          <w:szCs w:val="22"/>
          <w:lang w:val="hy-AM"/>
        </w:rPr>
        <w:t>Հաշվեքննիչ պալատի գործունեության նպատակն է հանրային ֆինանսների և սեփականության ոլորտում պետական և համայնքային բյուջեների միջոցների, ստացած փոխառությունների և վարկերի, պետական և համայնքային սեփականության օգտագործման օրինականության և արդյունավետության վերաբերյալ Ազգային ժողովին և հանրությանը ժամանակին, մասնագիտական և անկողմնակալ տեղեկատվություն ներկայացնելը:</w:t>
      </w:r>
    </w:p>
    <w:p w:rsidR="003054B4" w:rsidRPr="007955BB" w:rsidRDefault="003054B4" w:rsidP="003054B4">
      <w:pPr>
        <w:spacing w:line="276" w:lineRule="auto"/>
        <w:ind w:firstLine="426"/>
        <w:rPr>
          <w:b w:val="0"/>
          <w:szCs w:val="22"/>
          <w:lang w:val="hy-AM"/>
        </w:rPr>
      </w:pPr>
      <w:r w:rsidRPr="007955BB">
        <w:rPr>
          <w:b w:val="0"/>
          <w:szCs w:val="22"/>
          <w:lang w:val="hy-AM"/>
        </w:rPr>
        <w:t>Նպատակային թիրախներն ապահովելու համար Հաշվեքննիչ պալատը ձգտում է մինչև 2024 թվականը հասնել վերջնական արդյունքների՝ հետևյալ ուղղություններում.</w:t>
      </w:r>
    </w:p>
    <w:p w:rsidR="003054B4" w:rsidRPr="007955BB" w:rsidRDefault="003054B4" w:rsidP="003054B4">
      <w:pPr>
        <w:spacing w:line="276" w:lineRule="auto"/>
        <w:ind w:firstLine="426"/>
        <w:rPr>
          <w:b w:val="0"/>
          <w:szCs w:val="22"/>
          <w:lang w:val="hy-AM"/>
        </w:rPr>
      </w:pPr>
      <w:r w:rsidRPr="007955BB">
        <w:rPr>
          <w:b w:val="0"/>
          <w:szCs w:val="22"/>
          <w:lang w:val="hy-AM"/>
        </w:rPr>
        <w:t>- Արտաքին պետական հաշվեքննության ոլորտի վերաբերյալ ՀՀ օրենսդրության բարելավում՝ նկատի ունենալով INTOSAI ստանդարտներով  սահմանված ֆինանսական, գործառնական և կազմակերպչական անկախության հարցերը,</w:t>
      </w:r>
    </w:p>
    <w:p w:rsidR="003054B4" w:rsidRPr="007955BB" w:rsidRDefault="003054B4" w:rsidP="003054B4">
      <w:pPr>
        <w:spacing w:line="276" w:lineRule="auto"/>
        <w:ind w:firstLine="426"/>
        <w:rPr>
          <w:b w:val="0"/>
          <w:szCs w:val="22"/>
          <w:lang w:val="hy-AM"/>
        </w:rPr>
      </w:pPr>
      <w:r w:rsidRPr="007955BB">
        <w:rPr>
          <w:b w:val="0"/>
          <w:szCs w:val="22"/>
          <w:lang w:val="hy-AM"/>
        </w:rPr>
        <w:t>- Հաշվեքննության գործընթացի որակի բարձրացում՝ նկատի ունենալով նաև Հաշվեքննիչ պալատի ՏՏ ենթակառուցվածքների զարգացման հարցերը:</w:t>
      </w:r>
    </w:p>
    <w:p w:rsidR="003054B4" w:rsidRPr="007955BB" w:rsidRDefault="003054B4" w:rsidP="003054B4">
      <w:pPr>
        <w:spacing w:line="276" w:lineRule="auto"/>
        <w:ind w:firstLine="426"/>
        <w:rPr>
          <w:b w:val="0"/>
          <w:szCs w:val="22"/>
          <w:lang w:val="hy-AM"/>
        </w:rPr>
      </w:pPr>
      <w:r w:rsidRPr="007955BB">
        <w:rPr>
          <w:b w:val="0"/>
          <w:szCs w:val="22"/>
          <w:lang w:val="hy-AM"/>
        </w:rPr>
        <w:t>- Հաշվեքննիչ պալատում մասնագիտական կարողություների շարունակական զարգացում:</w:t>
      </w:r>
    </w:p>
    <w:p w:rsidR="003054B4" w:rsidRPr="007955BB" w:rsidRDefault="003054B4" w:rsidP="003054B4">
      <w:pPr>
        <w:spacing w:line="276" w:lineRule="auto"/>
        <w:ind w:firstLine="426"/>
        <w:rPr>
          <w:b w:val="0"/>
          <w:szCs w:val="22"/>
          <w:lang w:val="hy-AM"/>
        </w:rPr>
      </w:pPr>
      <w:r w:rsidRPr="007955BB">
        <w:rPr>
          <w:b w:val="0"/>
          <w:szCs w:val="22"/>
          <w:lang w:val="hy-AM"/>
        </w:rPr>
        <w:t xml:space="preserve">- Ազգային ժողովի, կառավարության և այլ շահառուների հետ համագործակցության զարգացում՝ հատկապես նկատի ունենալով հաշվեքննությունից հետո տարվող աշխատանքները՝ follow-up գործընթաց: </w:t>
      </w:r>
    </w:p>
    <w:p w:rsidR="003054B4" w:rsidRPr="007955BB" w:rsidRDefault="003054B4" w:rsidP="003054B4">
      <w:pPr>
        <w:spacing w:line="276" w:lineRule="auto"/>
        <w:ind w:firstLine="426"/>
        <w:rPr>
          <w:b w:val="0"/>
          <w:szCs w:val="22"/>
          <w:lang w:val="hy-AM"/>
        </w:rPr>
      </w:pPr>
      <w:r w:rsidRPr="007955BB">
        <w:rPr>
          <w:b w:val="0"/>
          <w:szCs w:val="22"/>
          <w:lang w:val="hy-AM"/>
        </w:rPr>
        <w:t xml:space="preserve"> Իր նպատակներին հասնելու համար Հաշվեքննիչ պալատը իրականացնում է գործառույթներ, որոնց վերջնական արդյունքի վերբերյալ գնահատական կարող է հանդիսանալ Հաշվեքննիչ պալատի կատարողականի ինքնագնահատումը:</w:t>
      </w:r>
    </w:p>
    <w:p w:rsidR="003054B4" w:rsidRPr="007955BB" w:rsidRDefault="003054B4" w:rsidP="003054B4">
      <w:pPr>
        <w:spacing w:line="276" w:lineRule="auto"/>
        <w:ind w:firstLine="426"/>
        <w:rPr>
          <w:b w:val="0"/>
          <w:szCs w:val="22"/>
          <w:lang w:val="hy-AM"/>
        </w:rPr>
      </w:pPr>
      <w:r w:rsidRPr="007955BB">
        <w:rPr>
          <w:b w:val="0"/>
          <w:szCs w:val="22"/>
          <w:lang w:val="hy-AM"/>
        </w:rPr>
        <w:t>Համաձայն INTOSAI կողմից սահմանված պահանջների, Աուդիտի բարձրագույն մարմինների կատարողականի գնահատումն իրականացվում է 3-5 տարին մեկ:</w:t>
      </w:r>
    </w:p>
    <w:p w:rsidR="003054B4" w:rsidRPr="007955BB" w:rsidRDefault="003054B4" w:rsidP="00832373">
      <w:pPr>
        <w:keepNext/>
        <w:spacing w:before="0" w:line="276" w:lineRule="auto"/>
        <w:ind w:firstLine="0"/>
        <w:contextualSpacing w:val="0"/>
        <w:jc w:val="center"/>
        <w:outlineLvl w:val="2"/>
        <w:rPr>
          <w:rFonts w:cs="Arial"/>
          <w:sz w:val="24"/>
          <w:lang w:val="hy-AM" w:eastAsia="en-US"/>
        </w:rPr>
      </w:pPr>
    </w:p>
    <w:p w:rsidR="00FC7885" w:rsidRPr="007955BB" w:rsidRDefault="00FC7885" w:rsidP="00832373">
      <w:pPr>
        <w:keepNext/>
        <w:spacing w:before="0" w:line="276" w:lineRule="auto"/>
        <w:ind w:firstLine="0"/>
        <w:contextualSpacing w:val="0"/>
        <w:jc w:val="center"/>
        <w:outlineLvl w:val="2"/>
        <w:rPr>
          <w:rFonts w:cs="Arial"/>
          <w:sz w:val="24"/>
          <w:lang w:val="af-ZA" w:eastAsia="en-US"/>
        </w:rPr>
      </w:pPr>
      <w:bookmarkStart w:id="364" w:name="_Toc120805250"/>
      <w:r w:rsidRPr="007955BB">
        <w:rPr>
          <w:rFonts w:cs="Arial"/>
          <w:sz w:val="24"/>
          <w:lang w:val="hy-AM" w:eastAsia="en-US"/>
        </w:rPr>
        <w:t>ՀՀ կենտրոնական ընտրական հանձնաժողով</w:t>
      </w:r>
      <w:bookmarkEnd w:id="364"/>
      <w:r w:rsidRPr="007955BB">
        <w:rPr>
          <w:rFonts w:cs="Arial"/>
          <w:sz w:val="24"/>
          <w:lang w:val="af-ZA" w:eastAsia="en-US"/>
        </w:rPr>
        <w:t xml:space="preserve"> </w:t>
      </w:r>
    </w:p>
    <w:p w:rsidR="00AD6B82" w:rsidRPr="007955BB" w:rsidRDefault="00D35F72" w:rsidP="00AD6B82">
      <w:pPr>
        <w:spacing w:line="276" w:lineRule="auto"/>
        <w:ind w:firstLine="426"/>
        <w:rPr>
          <w:b w:val="0"/>
          <w:szCs w:val="22"/>
          <w:lang w:val="hy-AM"/>
        </w:rPr>
      </w:pPr>
      <w:r>
        <w:rPr>
          <w:b w:val="0"/>
          <w:szCs w:val="22"/>
          <w:lang w:val="hy-AM"/>
        </w:rPr>
        <w:t>ՀՀ</w:t>
      </w:r>
      <w:r w:rsidR="00AD6B82" w:rsidRPr="007955BB">
        <w:rPr>
          <w:b w:val="0"/>
          <w:szCs w:val="22"/>
          <w:lang w:val="hy-AM"/>
        </w:rPr>
        <w:t xml:space="preserve"> կենտրոնական ընտրական հանձնաժողովը սահմանադրական կարգավիճակով օժտված անկախ պետական մարմին է, որը կազմակերպում է Ազգային ժողովի և </w:t>
      </w:r>
      <w:r w:rsidR="00DA5AFF">
        <w:rPr>
          <w:b w:val="0"/>
          <w:szCs w:val="22"/>
          <w:lang w:val="hy-AM"/>
        </w:rPr>
        <w:t>ՏԻՄ</w:t>
      </w:r>
      <w:r w:rsidR="00AD6B82" w:rsidRPr="007955BB">
        <w:rPr>
          <w:b w:val="0"/>
          <w:szCs w:val="22"/>
          <w:lang w:val="hy-AM"/>
        </w:rPr>
        <w:t xml:space="preserve"> ընտրությունները, հանրաքվեները, ինչպես նաև վերահսկողություն է իրականացնում դրանց օրինականության նկատմամբ: Հանձնաժողովի աշխատանքներն ուղղված են ընտրական գործընթացների պատշաճ կազմակերպմանն ու անցկացմանը, դրանց բարելավմանն ու կատարելագործմանը, ընտրական իրավունքի և ընտրական գործընթացների վերաբերյալ ուսուցումների և դասընթացների կազմակերպմանը, դասավանդման նոր մեթոդաբանության, ուսուցման նոր հարթակների մշակմանն ու ներդրմանը և ընտրական գործընթացների վերաբերյալ հանրային իրազեկման ապահովմանն ու ընդլայնմանը։ Հանձմաժողովը իրականցնում է Ընտրական  գործընթացների  համակարգում,  նախապատրաստում,  հաշվետվական  համակարգի կազմակերպում, վերլուծություն, </w:t>
      </w:r>
      <w:r w:rsidR="008D0E3F" w:rsidRPr="008D0E3F">
        <w:rPr>
          <w:b w:val="0"/>
          <w:szCs w:val="22"/>
          <w:lang w:val="hy-AM"/>
        </w:rPr>
        <w:t>ընտրական հանձնաժողովների անդամների վերապատրաստում,</w:t>
      </w:r>
      <w:r w:rsidR="008D0E3F" w:rsidRPr="007955BB">
        <w:rPr>
          <w:b w:val="0"/>
          <w:szCs w:val="22"/>
          <w:lang w:val="hy-AM"/>
        </w:rPr>
        <w:t xml:space="preserve"> </w:t>
      </w:r>
      <w:r w:rsidR="00AD6B82" w:rsidRPr="007955BB">
        <w:rPr>
          <w:b w:val="0"/>
          <w:szCs w:val="22"/>
          <w:lang w:val="hy-AM"/>
        </w:rPr>
        <w:t xml:space="preserve">քաղաքացիների դիմումների և բողոքների քննարկում: Հանձնաժողովը անդամակցում է Եվրոպայի ընտրական իշխանությունների ասոցիացիա  (ACEEEO) կազմակերպությանը: Գոյություն ունեցող ծախսային պարտավորությունների ապահովման համար իրականացվում են վերլուծություններ, ուսումնասիրություններ, կազմակերպվում են Հանձնաժողովի անդամների և Հանձնաժողովի աշխատակիցների վերապատրաստումներ, անցկացվում են սեմինարներ, կոնֆերանսներ, ապահովվում են շփումներ շահագրգիռ մասնակիցների հետ (կուսակցությունների ներկայացուցիչներ, հասարակական կազմակերպություններ, </w:t>
      </w:r>
      <w:r w:rsidR="00980531">
        <w:rPr>
          <w:b w:val="0"/>
          <w:szCs w:val="22"/>
          <w:lang w:val="hy-AM"/>
        </w:rPr>
        <w:t>ԶԼՄ-ների</w:t>
      </w:r>
      <w:r w:rsidR="00AD6B82" w:rsidRPr="007955BB">
        <w:rPr>
          <w:b w:val="0"/>
          <w:szCs w:val="22"/>
          <w:lang w:val="hy-AM"/>
        </w:rPr>
        <w:t xml:space="preserve"> ներկայացուցիչներ, տարածքային ընտրական հանձնաժողովներ և այլն)։  </w:t>
      </w:r>
    </w:p>
    <w:p w:rsidR="00AD6B82" w:rsidRPr="007955BB" w:rsidRDefault="00AD6B82" w:rsidP="00AD6B82">
      <w:pPr>
        <w:spacing w:line="276" w:lineRule="auto"/>
        <w:ind w:firstLine="426"/>
        <w:rPr>
          <w:b w:val="0"/>
          <w:color w:val="365F91"/>
          <w:szCs w:val="22"/>
          <w:lang w:val="hy-AM"/>
        </w:rPr>
      </w:pPr>
      <w:r w:rsidRPr="007955BB">
        <w:rPr>
          <w:b w:val="0"/>
          <w:szCs w:val="22"/>
          <w:lang w:val="hy-AM"/>
        </w:rPr>
        <w:t>Ընտրական գործընթացների համակարգում, կանոնակարգում և տեղեկատվության տրամադրում ծրագրի նպատակն է օրինական և թափանցիկ ընտրական գործընթացների կազմակերպումը և ապահովումը:</w:t>
      </w:r>
    </w:p>
    <w:p w:rsidR="0028499B" w:rsidRPr="007955BB" w:rsidRDefault="0028499B" w:rsidP="00D1245D">
      <w:pPr>
        <w:spacing w:line="276" w:lineRule="auto"/>
        <w:ind w:firstLine="426"/>
        <w:rPr>
          <w:lang w:val="hy-AM"/>
        </w:rPr>
      </w:pPr>
    </w:p>
    <w:p w:rsidR="00DE47A7" w:rsidRPr="007955BB" w:rsidRDefault="0028499B" w:rsidP="00A30EDC">
      <w:pPr>
        <w:pStyle w:val="Heading1"/>
        <w:rPr>
          <w:szCs w:val="28"/>
          <w:lang w:val="hy-AM"/>
        </w:rPr>
      </w:pPr>
      <w:r w:rsidRPr="007955BB">
        <w:rPr>
          <w:szCs w:val="22"/>
          <w:lang w:val="hy-AM"/>
        </w:rPr>
        <w:br w:type="page"/>
      </w:r>
      <w:bookmarkStart w:id="365" w:name="_Toc120805251"/>
      <w:r w:rsidR="00DE47A7" w:rsidRPr="007955BB">
        <w:rPr>
          <w:lang w:val="hy-AM"/>
        </w:rPr>
        <w:t>ՎԵՐԼՈՒԾՈՒԹՅՈՒՆՆԵՐ</w:t>
      </w:r>
      <w:bookmarkEnd w:id="365"/>
    </w:p>
    <w:p w:rsidR="00EC60AF" w:rsidRPr="007955BB" w:rsidRDefault="00EC60AF" w:rsidP="004A39B9">
      <w:pPr>
        <w:spacing w:before="0" w:line="276" w:lineRule="auto"/>
        <w:ind w:firstLine="0"/>
        <w:contextualSpacing w:val="0"/>
        <w:jc w:val="center"/>
        <w:rPr>
          <w:sz w:val="28"/>
          <w:szCs w:val="28"/>
          <w:lang w:val="hy-AM"/>
        </w:rPr>
      </w:pPr>
    </w:p>
    <w:p w:rsidR="00E81B58" w:rsidRPr="007955BB" w:rsidRDefault="003342DF" w:rsidP="007F28F7">
      <w:pPr>
        <w:pStyle w:val="Heading3"/>
      </w:pPr>
      <w:bookmarkStart w:id="366" w:name="_Toc120805252"/>
      <w:r w:rsidRPr="007955BB">
        <w:t xml:space="preserve">1. </w:t>
      </w:r>
      <w:r w:rsidR="00E81B58" w:rsidRPr="007955BB">
        <w:t>ՀԱՅԱՍՏԱՆԻ ՀԱՆՐԱՊԵՏՈՒԹՅԱՆ ՊԵՏԱԿԱՆ ՊԱՐՏՔԸ</w:t>
      </w:r>
      <w:bookmarkEnd w:id="366"/>
    </w:p>
    <w:p w:rsidR="002526E9" w:rsidRPr="007955BB" w:rsidRDefault="002526E9" w:rsidP="002526E9">
      <w:pPr>
        <w:shd w:val="clear" w:color="auto" w:fill="FFFFFF"/>
        <w:spacing w:before="0" w:line="276" w:lineRule="auto"/>
        <w:ind w:firstLine="720"/>
        <w:contextualSpacing w:val="0"/>
        <w:rPr>
          <w:rFonts w:eastAsiaTheme="minorHAnsi" w:cstheme="minorBidi"/>
          <w:b w:val="0"/>
          <w:szCs w:val="22"/>
          <w:lang w:val="af-ZA" w:eastAsia="en-US"/>
        </w:rPr>
      </w:pPr>
      <w:bookmarkStart w:id="367" w:name="_Toc14687615"/>
      <w:bookmarkStart w:id="368" w:name="_Toc13837279"/>
      <w:bookmarkStart w:id="369" w:name="_Toc45838560"/>
      <w:bookmarkStart w:id="370" w:name="_Toc46154385"/>
      <w:bookmarkStart w:id="371" w:name="_Toc20654688"/>
    </w:p>
    <w:p w:rsidR="00795E13" w:rsidRDefault="00795E13" w:rsidP="00795E13">
      <w:pPr>
        <w:shd w:val="clear" w:color="auto" w:fill="FFFFFF"/>
        <w:spacing w:before="0" w:line="276" w:lineRule="auto"/>
        <w:ind w:firstLine="720"/>
        <w:contextualSpacing w:val="0"/>
        <w:rPr>
          <w:rFonts w:eastAsia="Calibri"/>
          <w:b w:val="0"/>
          <w:szCs w:val="22"/>
          <w:lang w:val="hy-AM" w:eastAsia="en-US"/>
        </w:rPr>
      </w:pPr>
      <w:r w:rsidRPr="00795E13">
        <w:rPr>
          <w:rFonts w:eastAsia="Calibri"/>
          <w:b w:val="0"/>
          <w:szCs w:val="22"/>
          <w:lang w:val="hy-AM" w:eastAsia="en-US"/>
        </w:rPr>
        <w:t>ՀՀ 2023թ. պետական բյուջեի հիմքում դրված կանխատեսումների համաձայն` 2022 թվականի դեկտեմբերի 31-ի դրությամբ պետական պարտքը կկազմի 4,414 մլրդ դրամ կամ ՀՆԱ-ի 53.2%-ը, իսկ 2023 թվականի տարեվերջին այն կկազմի 4,897 մլրդ դրամ կամ ՀՆԱ-ի 52.6%-ը:</w:t>
      </w:r>
    </w:p>
    <w:tbl>
      <w:tblPr>
        <w:tblW w:w="10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5"/>
        <w:gridCol w:w="1770"/>
        <w:gridCol w:w="1770"/>
        <w:gridCol w:w="1770"/>
      </w:tblGrid>
      <w:tr w:rsidR="0035406E" w:rsidRPr="0035406E" w:rsidTr="0035406E">
        <w:trPr>
          <w:trHeight w:val="330"/>
        </w:trPr>
        <w:tc>
          <w:tcPr>
            <w:tcW w:w="5045" w:type="dxa"/>
            <w:shd w:val="clear" w:color="auto" w:fill="548DD4" w:themeFill="text2" w:themeFillTint="99"/>
            <w:hideMark/>
          </w:tcPr>
          <w:p w:rsidR="0035406E" w:rsidRPr="0035406E" w:rsidRDefault="0035406E" w:rsidP="0035406E">
            <w:pPr>
              <w:spacing w:before="0" w:line="276" w:lineRule="auto"/>
              <w:ind w:firstLine="0"/>
              <w:contextualSpacing w:val="0"/>
              <w:jc w:val="center"/>
              <w:rPr>
                <w:bCs/>
                <w:color w:val="FFFFFF" w:themeColor="background1"/>
                <w:szCs w:val="22"/>
                <w:lang w:val="hy-AM" w:eastAsia="en-US"/>
              </w:rPr>
            </w:pPr>
            <w:r w:rsidRPr="0035406E">
              <w:rPr>
                <w:rFonts w:ascii="Calibri" w:hAnsi="Calibri" w:cs="Calibri"/>
                <w:bCs/>
                <w:color w:val="FFFFFF" w:themeColor="background1"/>
                <w:szCs w:val="22"/>
                <w:lang w:val="hy-AM" w:eastAsia="en-US"/>
              </w:rPr>
              <w:t> </w:t>
            </w:r>
          </w:p>
        </w:tc>
        <w:tc>
          <w:tcPr>
            <w:tcW w:w="1770" w:type="dxa"/>
            <w:shd w:val="clear" w:color="auto" w:fill="548DD4" w:themeFill="text2" w:themeFillTint="99"/>
            <w:hideMark/>
          </w:tcPr>
          <w:p w:rsidR="0035406E" w:rsidRPr="0035406E" w:rsidRDefault="0035406E" w:rsidP="0035406E">
            <w:pPr>
              <w:spacing w:before="0" w:line="276" w:lineRule="auto"/>
              <w:ind w:firstLine="0"/>
              <w:contextualSpacing w:val="0"/>
              <w:jc w:val="center"/>
              <w:rPr>
                <w:bCs/>
                <w:color w:val="FFFFFF" w:themeColor="background1"/>
                <w:szCs w:val="22"/>
                <w:lang w:val="hy-AM" w:eastAsia="en-US"/>
              </w:rPr>
            </w:pPr>
            <w:r w:rsidRPr="0035406E">
              <w:rPr>
                <w:bCs/>
                <w:color w:val="FFFFFF" w:themeColor="background1"/>
                <w:szCs w:val="22"/>
                <w:lang w:val="hy-AM" w:eastAsia="en-US"/>
              </w:rPr>
              <w:t>31.12.2021թ.</w:t>
            </w:r>
          </w:p>
        </w:tc>
        <w:tc>
          <w:tcPr>
            <w:tcW w:w="1770" w:type="dxa"/>
            <w:shd w:val="clear" w:color="auto" w:fill="548DD4" w:themeFill="text2" w:themeFillTint="99"/>
            <w:hideMark/>
          </w:tcPr>
          <w:p w:rsidR="0035406E" w:rsidRPr="0035406E" w:rsidRDefault="0035406E" w:rsidP="0035406E">
            <w:pPr>
              <w:spacing w:before="0" w:line="276" w:lineRule="auto"/>
              <w:ind w:firstLine="0"/>
              <w:contextualSpacing w:val="0"/>
              <w:jc w:val="center"/>
              <w:rPr>
                <w:bCs/>
                <w:color w:val="FFFFFF" w:themeColor="background1"/>
                <w:szCs w:val="22"/>
                <w:lang w:val="hy-AM" w:eastAsia="en-US"/>
              </w:rPr>
            </w:pPr>
            <w:r w:rsidRPr="0035406E">
              <w:rPr>
                <w:bCs/>
                <w:color w:val="FFFFFF" w:themeColor="background1"/>
                <w:szCs w:val="22"/>
                <w:lang w:val="hy-AM" w:eastAsia="en-US"/>
              </w:rPr>
              <w:t xml:space="preserve"> 31.12.2022թ.</w:t>
            </w:r>
          </w:p>
        </w:tc>
        <w:tc>
          <w:tcPr>
            <w:tcW w:w="1770" w:type="dxa"/>
            <w:shd w:val="clear" w:color="auto" w:fill="548DD4" w:themeFill="text2" w:themeFillTint="99"/>
            <w:hideMark/>
          </w:tcPr>
          <w:p w:rsidR="0035406E" w:rsidRPr="0035406E" w:rsidRDefault="0035406E" w:rsidP="0035406E">
            <w:pPr>
              <w:spacing w:before="0" w:line="276" w:lineRule="auto"/>
              <w:ind w:firstLine="0"/>
              <w:contextualSpacing w:val="0"/>
              <w:jc w:val="center"/>
              <w:rPr>
                <w:bCs/>
                <w:color w:val="FFFFFF" w:themeColor="background1"/>
                <w:szCs w:val="22"/>
                <w:lang w:val="hy-AM" w:eastAsia="en-US"/>
              </w:rPr>
            </w:pPr>
            <w:r w:rsidRPr="0035406E">
              <w:rPr>
                <w:bCs/>
                <w:color w:val="FFFFFF" w:themeColor="background1"/>
                <w:szCs w:val="22"/>
                <w:lang w:val="hy-AM" w:eastAsia="en-US"/>
              </w:rPr>
              <w:t>31.12.2023թ.</w:t>
            </w:r>
          </w:p>
        </w:tc>
      </w:tr>
      <w:tr w:rsidR="0035406E" w:rsidRPr="0035406E" w:rsidTr="0035406E">
        <w:trPr>
          <w:trHeight w:val="343"/>
        </w:trPr>
        <w:tc>
          <w:tcPr>
            <w:tcW w:w="5045" w:type="dxa"/>
          </w:tcPr>
          <w:p w:rsidR="0035406E" w:rsidRPr="00F53C07" w:rsidRDefault="0035406E" w:rsidP="0035406E">
            <w:pPr>
              <w:spacing w:before="0" w:line="276" w:lineRule="auto"/>
              <w:ind w:firstLine="0"/>
              <w:contextualSpacing w:val="0"/>
              <w:jc w:val="center"/>
              <w:rPr>
                <w:rFonts w:cs="Courier New"/>
                <w:b w:val="0"/>
                <w:bCs/>
                <w:i/>
                <w:sz w:val="20"/>
                <w:szCs w:val="20"/>
                <w:lang w:val="hy-AM" w:eastAsia="en-US"/>
              </w:rPr>
            </w:pPr>
            <w:r w:rsidRPr="00F53C07">
              <w:rPr>
                <w:b w:val="0"/>
                <w:bCs/>
                <w:i/>
                <w:iCs/>
                <w:sz w:val="20"/>
                <w:szCs w:val="20"/>
                <w:lang w:val="hy-AM" w:eastAsia="en-US"/>
              </w:rPr>
              <w:t>մլրդ դրամ</w:t>
            </w:r>
          </w:p>
        </w:tc>
        <w:tc>
          <w:tcPr>
            <w:tcW w:w="1770" w:type="dxa"/>
          </w:tcPr>
          <w:p w:rsidR="0035406E" w:rsidRPr="00F53C07" w:rsidRDefault="0035406E" w:rsidP="0035406E">
            <w:pPr>
              <w:spacing w:before="0" w:line="276" w:lineRule="auto"/>
              <w:ind w:firstLine="0"/>
              <w:contextualSpacing w:val="0"/>
              <w:jc w:val="center"/>
              <w:rPr>
                <w:bCs/>
                <w:sz w:val="20"/>
                <w:szCs w:val="20"/>
                <w:lang w:val="hy-AM" w:eastAsia="en-US"/>
              </w:rPr>
            </w:pPr>
            <w:r w:rsidRPr="00F53C07">
              <w:rPr>
                <w:rFonts w:ascii="Calibri" w:hAnsi="Calibri" w:cs="Calibri"/>
                <w:bCs/>
                <w:sz w:val="20"/>
                <w:szCs w:val="20"/>
                <w:lang w:val="hy-AM" w:eastAsia="en-US"/>
              </w:rPr>
              <w:t> </w:t>
            </w:r>
          </w:p>
        </w:tc>
        <w:tc>
          <w:tcPr>
            <w:tcW w:w="1770" w:type="dxa"/>
            <w:vAlign w:val="bottom"/>
          </w:tcPr>
          <w:p w:rsidR="0035406E" w:rsidRPr="00F53C07" w:rsidRDefault="0035406E" w:rsidP="0035406E">
            <w:pPr>
              <w:spacing w:line="276" w:lineRule="auto"/>
              <w:jc w:val="center"/>
              <w:rPr>
                <w:bCs/>
                <w:sz w:val="20"/>
                <w:szCs w:val="20"/>
                <w:lang w:val="hy-AM" w:eastAsia="en-US"/>
              </w:rPr>
            </w:pPr>
          </w:p>
        </w:tc>
        <w:tc>
          <w:tcPr>
            <w:tcW w:w="1770" w:type="dxa"/>
            <w:vAlign w:val="bottom"/>
          </w:tcPr>
          <w:p w:rsidR="0035406E" w:rsidRPr="00F53C07" w:rsidRDefault="0035406E" w:rsidP="0035406E">
            <w:pPr>
              <w:spacing w:line="276" w:lineRule="auto"/>
              <w:rPr>
                <w:bCs/>
                <w:sz w:val="20"/>
                <w:szCs w:val="20"/>
                <w:lang w:val="hy-AM" w:eastAsia="en-US"/>
              </w:rPr>
            </w:pPr>
          </w:p>
        </w:tc>
      </w:tr>
      <w:tr w:rsidR="00795E13" w:rsidRPr="0035406E" w:rsidTr="0035406E">
        <w:trPr>
          <w:trHeight w:val="330"/>
        </w:trPr>
        <w:tc>
          <w:tcPr>
            <w:tcW w:w="5045" w:type="dxa"/>
            <w:shd w:val="clear" w:color="auto" w:fill="DBE5F1" w:themeFill="accent1" w:themeFillTint="33"/>
            <w:hideMark/>
          </w:tcPr>
          <w:p w:rsidR="00795E13" w:rsidRPr="00F53C07" w:rsidRDefault="00795E13" w:rsidP="00795E13">
            <w:pPr>
              <w:spacing w:before="0" w:line="276" w:lineRule="auto"/>
              <w:ind w:firstLine="0"/>
              <w:contextualSpacing w:val="0"/>
              <w:jc w:val="left"/>
              <w:rPr>
                <w:b w:val="0"/>
                <w:bCs/>
                <w:sz w:val="20"/>
                <w:szCs w:val="20"/>
                <w:lang w:val="hy-AM" w:eastAsia="en-US"/>
              </w:rPr>
            </w:pPr>
            <w:r w:rsidRPr="00F53C07">
              <w:rPr>
                <w:b w:val="0"/>
                <w:bCs/>
                <w:sz w:val="20"/>
                <w:szCs w:val="20"/>
                <w:lang w:val="hy-AM" w:eastAsia="en-US"/>
              </w:rPr>
              <w:t>ՀՀ պետական պարտք</w:t>
            </w:r>
          </w:p>
        </w:tc>
        <w:tc>
          <w:tcPr>
            <w:tcW w:w="1770" w:type="dxa"/>
            <w:shd w:val="clear" w:color="auto" w:fill="DBE5F1" w:themeFill="accent1" w:themeFillTint="33"/>
            <w:vAlign w:val="bottom"/>
          </w:tcPr>
          <w:p w:rsidR="00795E13" w:rsidRPr="00795E13" w:rsidRDefault="00795E13" w:rsidP="00795E13">
            <w:pPr>
              <w:spacing w:line="276" w:lineRule="auto"/>
              <w:jc w:val="center"/>
              <w:rPr>
                <w:b w:val="0"/>
                <w:szCs w:val="22"/>
              </w:rPr>
            </w:pPr>
            <w:r w:rsidRPr="00795E13">
              <w:rPr>
                <w:b w:val="0"/>
                <w:szCs w:val="22"/>
              </w:rPr>
              <w:t>4,430</w:t>
            </w:r>
          </w:p>
        </w:tc>
        <w:tc>
          <w:tcPr>
            <w:tcW w:w="1770" w:type="dxa"/>
            <w:shd w:val="clear" w:color="auto" w:fill="DBE5F1" w:themeFill="accent1" w:themeFillTint="33"/>
            <w:vAlign w:val="bottom"/>
          </w:tcPr>
          <w:p w:rsidR="00795E13" w:rsidRPr="00795E13" w:rsidRDefault="00795E13" w:rsidP="00795E13">
            <w:pPr>
              <w:spacing w:line="276" w:lineRule="auto"/>
              <w:jc w:val="center"/>
              <w:rPr>
                <w:b w:val="0"/>
                <w:szCs w:val="22"/>
              </w:rPr>
            </w:pPr>
            <w:r w:rsidRPr="00795E13">
              <w:rPr>
                <w:b w:val="0"/>
                <w:szCs w:val="22"/>
              </w:rPr>
              <w:t>4,414</w:t>
            </w:r>
          </w:p>
        </w:tc>
        <w:tc>
          <w:tcPr>
            <w:tcW w:w="1770" w:type="dxa"/>
            <w:shd w:val="clear" w:color="auto" w:fill="DBE5F1" w:themeFill="accent1" w:themeFillTint="33"/>
            <w:vAlign w:val="bottom"/>
          </w:tcPr>
          <w:p w:rsidR="00795E13" w:rsidRPr="00795E13" w:rsidRDefault="00795E13" w:rsidP="00795E13">
            <w:pPr>
              <w:spacing w:line="276" w:lineRule="auto"/>
              <w:jc w:val="center"/>
              <w:rPr>
                <w:b w:val="0"/>
                <w:szCs w:val="22"/>
              </w:rPr>
            </w:pPr>
            <w:r w:rsidRPr="00795E13">
              <w:rPr>
                <w:b w:val="0"/>
                <w:szCs w:val="22"/>
              </w:rPr>
              <w:t>4,897</w:t>
            </w:r>
          </w:p>
        </w:tc>
      </w:tr>
      <w:tr w:rsidR="00795E13" w:rsidRPr="0035406E" w:rsidTr="0035406E">
        <w:trPr>
          <w:trHeight w:val="330"/>
        </w:trPr>
        <w:tc>
          <w:tcPr>
            <w:tcW w:w="5045" w:type="dxa"/>
            <w:hideMark/>
          </w:tcPr>
          <w:p w:rsidR="00795E13" w:rsidRPr="00F53C07" w:rsidRDefault="00795E13" w:rsidP="00795E13">
            <w:pPr>
              <w:spacing w:before="0" w:line="276" w:lineRule="auto"/>
              <w:ind w:firstLine="0"/>
              <w:contextualSpacing w:val="0"/>
              <w:jc w:val="center"/>
              <w:rPr>
                <w:b w:val="0"/>
                <w:bCs/>
                <w:i/>
                <w:sz w:val="20"/>
                <w:szCs w:val="20"/>
                <w:lang w:val="hy-AM" w:eastAsia="en-US"/>
              </w:rPr>
            </w:pPr>
            <w:r w:rsidRPr="00F53C07">
              <w:rPr>
                <w:b w:val="0"/>
                <w:bCs/>
                <w:i/>
                <w:sz w:val="20"/>
                <w:szCs w:val="20"/>
                <w:lang w:val="hy-AM" w:eastAsia="en-US"/>
              </w:rPr>
              <w:t>այդ թվում`</w:t>
            </w:r>
          </w:p>
        </w:tc>
        <w:tc>
          <w:tcPr>
            <w:tcW w:w="1770" w:type="dxa"/>
            <w:vAlign w:val="bottom"/>
          </w:tcPr>
          <w:p w:rsidR="00795E13" w:rsidRPr="00795E13" w:rsidRDefault="00795E13" w:rsidP="00795E13">
            <w:pPr>
              <w:spacing w:line="276" w:lineRule="auto"/>
              <w:jc w:val="center"/>
              <w:rPr>
                <w:b w:val="0"/>
                <w:szCs w:val="22"/>
              </w:rPr>
            </w:pPr>
          </w:p>
        </w:tc>
        <w:tc>
          <w:tcPr>
            <w:tcW w:w="1770" w:type="dxa"/>
            <w:vAlign w:val="bottom"/>
          </w:tcPr>
          <w:p w:rsidR="00795E13" w:rsidRPr="00795E13" w:rsidRDefault="00795E13" w:rsidP="00795E13">
            <w:pPr>
              <w:spacing w:line="276" w:lineRule="auto"/>
              <w:jc w:val="center"/>
              <w:rPr>
                <w:b w:val="0"/>
                <w:szCs w:val="22"/>
              </w:rPr>
            </w:pPr>
          </w:p>
        </w:tc>
        <w:tc>
          <w:tcPr>
            <w:tcW w:w="1770" w:type="dxa"/>
            <w:vAlign w:val="bottom"/>
          </w:tcPr>
          <w:p w:rsidR="00795E13" w:rsidRPr="00795E13" w:rsidRDefault="00795E13" w:rsidP="00795E13">
            <w:pPr>
              <w:spacing w:line="276" w:lineRule="auto"/>
              <w:jc w:val="center"/>
              <w:rPr>
                <w:b w:val="0"/>
                <w:szCs w:val="22"/>
              </w:rPr>
            </w:pPr>
          </w:p>
        </w:tc>
      </w:tr>
      <w:tr w:rsidR="00795E13" w:rsidRPr="0035406E" w:rsidTr="0035406E">
        <w:trPr>
          <w:trHeight w:val="330"/>
        </w:trPr>
        <w:tc>
          <w:tcPr>
            <w:tcW w:w="5045" w:type="dxa"/>
            <w:shd w:val="clear" w:color="auto" w:fill="DBE5F1" w:themeFill="accent1" w:themeFillTint="33"/>
            <w:hideMark/>
          </w:tcPr>
          <w:p w:rsidR="00795E13" w:rsidRPr="00F53C07" w:rsidRDefault="00795E13" w:rsidP="00795E13">
            <w:pPr>
              <w:spacing w:before="0" w:line="276" w:lineRule="auto"/>
              <w:ind w:firstLine="0"/>
              <w:contextualSpacing w:val="0"/>
              <w:jc w:val="left"/>
              <w:rPr>
                <w:b w:val="0"/>
                <w:bCs/>
                <w:sz w:val="20"/>
                <w:szCs w:val="20"/>
                <w:lang w:val="hy-AM" w:eastAsia="en-US"/>
              </w:rPr>
            </w:pPr>
            <w:r w:rsidRPr="00F53C07">
              <w:rPr>
                <w:b w:val="0"/>
                <w:bCs/>
                <w:sz w:val="20"/>
                <w:szCs w:val="20"/>
                <w:lang w:val="hy-AM" w:eastAsia="en-US"/>
              </w:rPr>
              <w:t>արտաքին պետական պարտք</w:t>
            </w:r>
          </w:p>
        </w:tc>
        <w:tc>
          <w:tcPr>
            <w:tcW w:w="1770" w:type="dxa"/>
            <w:shd w:val="clear" w:color="auto" w:fill="DBE5F1" w:themeFill="accent1" w:themeFillTint="33"/>
            <w:vAlign w:val="bottom"/>
          </w:tcPr>
          <w:p w:rsidR="00795E13" w:rsidRPr="00795E13" w:rsidRDefault="00795E13" w:rsidP="00795E13">
            <w:pPr>
              <w:spacing w:line="276" w:lineRule="auto"/>
              <w:jc w:val="center"/>
              <w:rPr>
                <w:b w:val="0"/>
                <w:szCs w:val="22"/>
              </w:rPr>
            </w:pPr>
            <w:r w:rsidRPr="00795E13">
              <w:rPr>
                <w:b w:val="0"/>
                <w:szCs w:val="22"/>
              </w:rPr>
              <w:t>3,192</w:t>
            </w:r>
          </w:p>
        </w:tc>
        <w:tc>
          <w:tcPr>
            <w:tcW w:w="1770" w:type="dxa"/>
            <w:shd w:val="clear" w:color="auto" w:fill="DBE5F1" w:themeFill="accent1" w:themeFillTint="33"/>
            <w:vAlign w:val="bottom"/>
          </w:tcPr>
          <w:p w:rsidR="00795E13" w:rsidRPr="00795E13" w:rsidRDefault="00795E13" w:rsidP="00795E13">
            <w:pPr>
              <w:spacing w:line="276" w:lineRule="auto"/>
              <w:jc w:val="center"/>
              <w:rPr>
                <w:b w:val="0"/>
                <w:szCs w:val="22"/>
              </w:rPr>
            </w:pPr>
            <w:r w:rsidRPr="00795E13">
              <w:rPr>
                <w:b w:val="0"/>
                <w:szCs w:val="22"/>
              </w:rPr>
              <w:t>2,759</w:t>
            </w:r>
          </w:p>
        </w:tc>
        <w:tc>
          <w:tcPr>
            <w:tcW w:w="1770" w:type="dxa"/>
            <w:shd w:val="clear" w:color="auto" w:fill="DBE5F1" w:themeFill="accent1" w:themeFillTint="33"/>
            <w:vAlign w:val="bottom"/>
          </w:tcPr>
          <w:p w:rsidR="00795E13" w:rsidRPr="00795E13" w:rsidRDefault="00795E13" w:rsidP="00795E13">
            <w:pPr>
              <w:spacing w:line="276" w:lineRule="auto"/>
              <w:jc w:val="center"/>
              <w:rPr>
                <w:b w:val="0"/>
                <w:szCs w:val="22"/>
              </w:rPr>
            </w:pPr>
            <w:r w:rsidRPr="00795E13">
              <w:rPr>
                <w:b w:val="0"/>
                <w:szCs w:val="22"/>
              </w:rPr>
              <w:t>2,927</w:t>
            </w:r>
          </w:p>
        </w:tc>
      </w:tr>
      <w:tr w:rsidR="00795E13" w:rsidRPr="0035406E" w:rsidTr="0035406E">
        <w:trPr>
          <w:trHeight w:val="330"/>
        </w:trPr>
        <w:tc>
          <w:tcPr>
            <w:tcW w:w="5045" w:type="dxa"/>
            <w:hideMark/>
          </w:tcPr>
          <w:p w:rsidR="00795E13" w:rsidRPr="00F53C07" w:rsidRDefault="00795E13" w:rsidP="00795E13">
            <w:pPr>
              <w:spacing w:before="0" w:line="276" w:lineRule="auto"/>
              <w:ind w:firstLine="0"/>
              <w:contextualSpacing w:val="0"/>
              <w:jc w:val="left"/>
              <w:rPr>
                <w:b w:val="0"/>
                <w:bCs/>
                <w:i/>
                <w:iCs/>
                <w:sz w:val="20"/>
                <w:szCs w:val="20"/>
                <w:lang w:val="hy-AM" w:eastAsia="en-US"/>
              </w:rPr>
            </w:pPr>
            <w:r w:rsidRPr="00F53C07">
              <w:rPr>
                <w:b w:val="0"/>
                <w:bCs/>
                <w:i/>
                <w:iCs/>
                <w:sz w:val="20"/>
                <w:szCs w:val="20"/>
                <w:lang w:val="hy-AM" w:eastAsia="en-US"/>
              </w:rPr>
              <w:t xml:space="preserve">որից` ՀՀ կենտրոնական բանկի պարտք </w:t>
            </w:r>
          </w:p>
        </w:tc>
        <w:tc>
          <w:tcPr>
            <w:tcW w:w="1770" w:type="dxa"/>
            <w:vAlign w:val="bottom"/>
          </w:tcPr>
          <w:p w:rsidR="00795E13" w:rsidRPr="00795E13" w:rsidRDefault="00795E13" w:rsidP="00795E13">
            <w:pPr>
              <w:spacing w:line="276" w:lineRule="auto"/>
              <w:jc w:val="center"/>
              <w:rPr>
                <w:b w:val="0"/>
                <w:szCs w:val="22"/>
              </w:rPr>
            </w:pPr>
            <w:r w:rsidRPr="00795E13">
              <w:rPr>
                <w:b w:val="0"/>
                <w:szCs w:val="22"/>
              </w:rPr>
              <w:t>220</w:t>
            </w:r>
          </w:p>
        </w:tc>
        <w:tc>
          <w:tcPr>
            <w:tcW w:w="1770" w:type="dxa"/>
            <w:vAlign w:val="bottom"/>
          </w:tcPr>
          <w:p w:rsidR="00795E13" w:rsidRPr="00795E13" w:rsidRDefault="00795E13" w:rsidP="00795E13">
            <w:pPr>
              <w:spacing w:line="276" w:lineRule="auto"/>
              <w:jc w:val="center"/>
              <w:rPr>
                <w:b w:val="0"/>
                <w:i/>
                <w:iCs/>
                <w:szCs w:val="22"/>
              </w:rPr>
            </w:pPr>
            <w:r w:rsidRPr="00795E13">
              <w:rPr>
                <w:b w:val="0"/>
                <w:i/>
                <w:iCs/>
                <w:szCs w:val="22"/>
              </w:rPr>
              <w:t>256</w:t>
            </w:r>
          </w:p>
        </w:tc>
        <w:tc>
          <w:tcPr>
            <w:tcW w:w="1770" w:type="dxa"/>
            <w:vAlign w:val="bottom"/>
          </w:tcPr>
          <w:p w:rsidR="00795E13" w:rsidRPr="00795E13" w:rsidRDefault="00795E13" w:rsidP="00795E13">
            <w:pPr>
              <w:spacing w:line="276" w:lineRule="auto"/>
              <w:jc w:val="center"/>
              <w:rPr>
                <w:b w:val="0"/>
                <w:i/>
                <w:iCs/>
                <w:szCs w:val="22"/>
              </w:rPr>
            </w:pPr>
            <w:r w:rsidRPr="00795E13">
              <w:rPr>
                <w:b w:val="0"/>
                <w:i/>
                <w:iCs/>
                <w:szCs w:val="22"/>
              </w:rPr>
              <w:t>252</w:t>
            </w:r>
          </w:p>
        </w:tc>
      </w:tr>
      <w:tr w:rsidR="00795E13" w:rsidRPr="0035406E" w:rsidTr="0035406E">
        <w:trPr>
          <w:trHeight w:val="330"/>
        </w:trPr>
        <w:tc>
          <w:tcPr>
            <w:tcW w:w="5045" w:type="dxa"/>
            <w:shd w:val="clear" w:color="auto" w:fill="DBE5F1" w:themeFill="accent1" w:themeFillTint="33"/>
            <w:hideMark/>
          </w:tcPr>
          <w:p w:rsidR="00795E13" w:rsidRPr="00F53C07" w:rsidRDefault="00795E13" w:rsidP="00795E13">
            <w:pPr>
              <w:spacing w:before="0" w:line="276" w:lineRule="auto"/>
              <w:ind w:firstLineChars="100" w:firstLine="200"/>
              <w:contextualSpacing w:val="0"/>
              <w:jc w:val="left"/>
              <w:rPr>
                <w:b w:val="0"/>
                <w:bCs/>
                <w:sz w:val="20"/>
                <w:szCs w:val="20"/>
                <w:lang w:val="hy-AM" w:eastAsia="en-US"/>
              </w:rPr>
            </w:pPr>
            <w:r w:rsidRPr="00F53C07">
              <w:rPr>
                <w:b w:val="0"/>
                <w:bCs/>
                <w:sz w:val="20"/>
                <w:szCs w:val="20"/>
                <w:lang w:val="hy-AM" w:eastAsia="en-US"/>
              </w:rPr>
              <w:t>ներքին պետական պարտք</w:t>
            </w:r>
          </w:p>
        </w:tc>
        <w:tc>
          <w:tcPr>
            <w:tcW w:w="1770" w:type="dxa"/>
            <w:shd w:val="clear" w:color="auto" w:fill="DBE5F1" w:themeFill="accent1" w:themeFillTint="33"/>
            <w:vAlign w:val="bottom"/>
          </w:tcPr>
          <w:p w:rsidR="00795E13" w:rsidRPr="00795E13" w:rsidRDefault="00795E13" w:rsidP="00795E13">
            <w:pPr>
              <w:spacing w:line="276" w:lineRule="auto"/>
              <w:jc w:val="center"/>
              <w:rPr>
                <w:b w:val="0"/>
                <w:szCs w:val="22"/>
              </w:rPr>
            </w:pPr>
            <w:r w:rsidRPr="00795E13">
              <w:rPr>
                <w:b w:val="0"/>
                <w:szCs w:val="22"/>
              </w:rPr>
              <w:t>1,237</w:t>
            </w:r>
          </w:p>
        </w:tc>
        <w:tc>
          <w:tcPr>
            <w:tcW w:w="1770" w:type="dxa"/>
            <w:shd w:val="clear" w:color="auto" w:fill="DBE5F1" w:themeFill="accent1" w:themeFillTint="33"/>
            <w:vAlign w:val="bottom"/>
          </w:tcPr>
          <w:p w:rsidR="00795E13" w:rsidRPr="00795E13" w:rsidRDefault="00795E13" w:rsidP="00795E13">
            <w:pPr>
              <w:spacing w:line="276" w:lineRule="auto"/>
              <w:jc w:val="center"/>
              <w:rPr>
                <w:b w:val="0"/>
                <w:szCs w:val="22"/>
              </w:rPr>
            </w:pPr>
            <w:r w:rsidRPr="00795E13">
              <w:rPr>
                <w:b w:val="0"/>
                <w:szCs w:val="22"/>
              </w:rPr>
              <w:t>1,655</w:t>
            </w:r>
          </w:p>
        </w:tc>
        <w:tc>
          <w:tcPr>
            <w:tcW w:w="1770" w:type="dxa"/>
            <w:shd w:val="clear" w:color="auto" w:fill="DBE5F1" w:themeFill="accent1" w:themeFillTint="33"/>
            <w:vAlign w:val="bottom"/>
          </w:tcPr>
          <w:p w:rsidR="00795E13" w:rsidRPr="00795E13" w:rsidRDefault="00795E13" w:rsidP="00795E13">
            <w:pPr>
              <w:spacing w:line="276" w:lineRule="auto"/>
              <w:jc w:val="center"/>
              <w:rPr>
                <w:b w:val="0"/>
                <w:szCs w:val="22"/>
              </w:rPr>
            </w:pPr>
            <w:r w:rsidRPr="00795E13">
              <w:rPr>
                <w:b w:val="0"/>
                <w:szCs w:val="22"/>
              </w:rPr>
              <w:t>1,970</w:t>
            </w:r>
          </w:p>
        </w:tc>
      </w:tr>
      <w:tr w:rsidR="00795E13" w:rsidRPr="0035406E" w:rsidTr="0035406E">
        <w:trPr>
          <w:trHeight w:val="330"/>
        </w:trPr>
        <w:tc>
          <w:tcPr>
            <w:tcW w:w="5045" w:type="dxa"/>
          </w:tcPr>
          <w:p w:rsidR="00795E13" w:rsidRPr="00F53C07" w:rsidRDefault="00795E13" w:rsidP="00795E13">
            <w:pPr>
              <w:spacing w:before="0" w:line="276" w:lineRule="auto"/>
              <w:ind w:firstLineChars="100" w:firstLine="200"/>
              <w:contextualSpacing w:val="0"/>
              <w:rPr>
                <w:b w:val="0"/>
                <w:bCs/>
                <w:i/>
                <w:sz w:val="20"/>
                <w:szCs w:val="20"/>
                <w:lang w:val="hy-AM" w:eastAsia="en-US"/>
              </w:rPr>
            </w:pPr>
            <w:r w:rsidRPr="00F53C07">
              <w:rPr>
                <w:b w:val="0"/>
                <w:bCs/>
                <w:i/>
                <w:sz w:val="20"/>
                <w:szCs w:val="20"/>
                <w:lang w:val="hy-AM" w:eastAsia="en-US"/>
              </w:rPr>
              <w:t>տոկոսներով ՀՆԱ-ի նկատմամբ</w:t>
            </w:r>
          </w:p>
        </w:tc>
        <w:tc>
          <w:tcPr>
            <w:tcW w:w="1770" w:type="dxa"/>
          </w:tcPr>
          <w:p w:rsidR="00795E13" w:rsidRPr="00795E13" w:rsidRDefault="00795E13" w:rsidP="00795E13">
            <w:pPr>
              <w:spacing w:line="276" w:lineRule="auto"/>
              <w:jc w:val="center"/>
              <w:rPr>
                <w:b w:val="0"/>
                <w:szCs w:val="22"/>
              </w:rPr>
            </w:pPr>
          </w:p>
        </w:tc>
        <w:tc>
          <w:tcPr>
            <w:tcW w:w="1770" w:type="dxa"/>
            <w:vAlign w:val="bottom"/>
          </w:tcPr>
          <w:p w:rsidR="00795E13" w:rsidRPr="00795E13" w:rsidRDefault="00795E13" w:rsidP="00795E13">
            <w:pPr>
              <w:spacing w:before="0" w:line="276" w:lineRule="auto"/>
              <w:ind w:firstLine="0"/>
              <w:contextualSpacing w:val="0"/>
              <w:jc w:val="center"/>
              <w:rPr>
                <w:b w:val="0"/>
                <w:i/>
                <w:iCs/>
                <w:szCs w:val="22"/>
                <w:lang w:val="hy-AM" w:eastAsia="en-US"/>
              </w:rPr>
            </w:pPr>
          </w:p>
        </w:tc>
        <w:tc>
          <w:tcPr>
            <w:tcW w:w="1770" w:type="dxa"/>
            <w:vAlign w:val="bottom"/>
          </w:tcPr>
          <w:p w:rsidR="00795E13" w:rsidRPr="00795E13" w:rsidRDefault="00795E13" w:rsidP="00795E13">
            <w:pPr>
              <w:spacing w:before="0" w:line="276" w:lineRule="auto"/>
              <w:ind w:firstLine="0"/>
              <w:contextualSpacing w:val="0"/>
              <w:jc w:val="center"/>
              <w:rPr>
                <w:b w:val="0"/>
                <w:i/>
                <w:iCs/>
                <w:szCs w:val="22"/>
                <w:lang w:val="hy-AM" w:eastAsia="en-US"/>
              </w:rPr>
            </w:pPr>
          </w:p>
        </w:tc>
      </w:tr>
      <w:tr w:rsidR="00795E13" w:rsidRPr="0035406E" w:rsidTr="0035406E">
        <w:trPr>
          <w:trHeight w:val="330"/>
        </w:trPr>
        <w:tc>
          <w:tcPr>
            <w:tcW w:w="5045" w:type="dxa"/>
            <w:shd w:val="clear" w:color="auto" w:fill="DBE5F1" w:themeFill="accent1" w:themeFillTint="33"/>
            <w:hideMark/>
          </w:tcPr>
          <w:p w:rsidR="00795E13" w:rsidRPr="00F53C07" w:rsidRDefault="00795E13" w:rsidP="00795E13">
            <w:pPr>
              <w:spacing w:before="0" w:line="276" w:lineRule="auto"/>
              <w:ind w:firstLine="0"/>
              <w:contextualSpacing w:val="0"/>
              <w:jc w:val="left"/>
              <w:rPr>
                <w:b w:val="0"/>
                <w:bCs/>
                <w:sz w:val="20"/>
                <w:szCs w:val="20"/>
                <w:lang w:val="hy-AM" w:eastAsia="en-US"/>
              </w:rPr>
            </w:pPr>
            <w:r w:rsidRPr="00F53C07">
              <w:rPr>
                <w:b w:val="0"/>
                <w:bCs/>
                <w:sz w:val="20"/>
                <w:szCs w:val="20"/>
                <w:lang w:val="hy-AM" w:eastAsia="en-US"/>
              </w:rPr>
              <w:t>ՀՀ պետական պարտք</w:t>
            </w:r>
          </w:p>
        </w:tc>
        <w:tc>
          <w:tcPr>
            <w:tcW w:w="1770" w:type="dxa"/>
            <w:shd w:val="clear" w:color="auto" w:fill="DBE5F1" w:themeFill="accent1" w:themeFillTint="33"/>
            <w:vAlign w:val="bottom"/>
          </w:tcPr>
          <w:p w:rsidR="00795E13" w:rsidRPr="00795E13" w:rsidRDefault="00795E13" w:rsidP="00795E13">
            <w:pPr>
              <w:spacing w:line="276" w:lineRule="auto"/>
              <w:jc w:val="center"/>
              <w:rPr>
                <w:b w:val="0"/>
                <w:szCs w:val="22"/>
              </w:rPr>
            </w:pPr>
            <w:r w:rsidRPr="00795E13">
              <w:rPr>
                <w:b w:val="0"/>
                <w:szCs w:val="22"/>
              </w:rPr>
              <w:t>63.4</w:t>
            </w:r>
          </w:p>
        </w:tc>
        <w:tc>
          <w:tcPr>
            <w:tcW w:w="1770" w:type="dxa"/>
            <w:shd w:val="clear" w:color="auto" w:fill="DBE5F1" w:themeFill="accent1" w:themeFillTint="33"/>
            <w:vAlign w:val="bottom"/>
          </w:tcPr>
          <w:p w:rsidR="00795E13" w:rsidRPr="00795E13" w:rsidRDefault="00795E13" w:rsidP="00795E13">
            <w:pPr>
              <w:spacing w:line="276" w:lineRule="auto"/>
              <w:jc w:val="center"/>
              <w:rPr>
                <w:b w:val="0"/>
                <w:szCs w:val="22"/>
              </w:rPr>
            </w:pPr>
            <w:r w:rsidRPr="00795E13">
              <w:rPr>
                <w:b w:val="0"/>
                <w:szCs w:val="22"/>
              </w:rPr>
              <w:t>53.2</w:t>
            </w:r>
          </w:p>
        </w:tc>
        <w:tc>
          <w:tcPr>
            <w:tcW w:w="1770" w:type="dxa"/>
            <w:shd w:val="clear" w:color="auto" w:fill="DBE5F1" w:themeFill="accent1" w:themeFillTint="33"/>
            <w:vAlign w:val="bottom"/>
          </w:tcPr>
          <w:p w:rsidR="00795E13" w:rsidRPr="00795E13" w:rsidRDefault="00795E13" w:rsidP="00795E13">
            <w:pPr>
              <w:spacing w:line="276" w:lineRule="auto"/>
              <w:jc w:val="center"/>
              <w:rPr>
                <w:b w:val="0"/>
                <w:szCs w:val="22"/>
              </w:rPr>
            </w:pPr>
            <w:r w:rsidRPr="00795E13">
              <w:rPr>
                <w:b w:val="0"/>
                <w:szCs w:val="22"/>
              </w:rPr>
              <w:t>52.6</w:t>
            </w:r>
          </w:p>
        </w:tc>
      </w:tr>
      <w:tr w:rsidR="00795E13" w:rsidRPr="0035406E" w:rsidTr="0035406E">
        <w:trPr>
          <w:trHeight w:val="330"/>
        </w:trPr>
        <w:tc>
          <w:tcPr>
            <w:tcW w:w="5045" w:type="dxa"/>
            <w:hideMark/>
          </w:tcPr>
          <w:p w:rsidR="00795E13" w:rsidRPr="00F53C07" w:rsidRDefault="00795E13" w:rsidP="00795E13">
            <w:pPr>
              <w:spacing w:before="0" w:line="276" w:lineRule="auto"/>
              <w:ind w:firstLine="0"/>
              <w:contextualSpacing w:val="0"/>
              <w:jc w:val="center"/>
              <w:rPr>
                <w:b w:val="0"/>
                <w:bCs/>
                <w:i/>
                <w:sz w:val="20"/>
                <w:szCs w:val="20"/>
                <w:lang w:val="hy-AM" w:eastAsia="en-US"/>
              </w:rPr>
            </w:pPr>
            <w:r w:rsidRPr="00F53C07">
              <w:rPr>
                <w:b w:val="0"/>
                <w:bCs/>
                <w:i/>
                <w:sz w:val="20"/>
                <w:szCs w:val="20"/>
                <w:lang w:val="hy-AM" w:eastAsia="en-US"/>
              </w:rPr>
              <w:t>այդ թվում`</w:t>
            </w:r>
          </w:p>
        </w:tc>
        <w:tc>
          <w:tcPr>
            <w:tcW w:w="1770" w:type="dxa"/>
            <w:vAlign w:val="bottom"/>
          </w:tcPr>
          <w:p w:rsidR="00795E13" w:rsidRPr="00795E13" w:rsidRDefault="00795E13" w:rsidP="00795E13">
            <w:pPr>
              <w:spacing w:line="276" w:lineRule="auto"/>
              <w:jc w:val="center"/>
              <w:rPr>
                <w:b w:val="0"/>
                <w:szCs w:val="22"/>
              </w:rPr>
            </w:pPr>
          </w:p>
        </w:tc>
        <w:tc>
          <w:tcPr>
            <w:tcW w:w="1770" w:type="dxa"/>
            <w:vAlign w:val="bottom"/>
          </w:tcPr>
          <w:p w:rsidR="00795E13" w:rsidRPr="00795E13" w:rsidRDefault="00795E13" w:rsidP="00795E13">
            <w:pPr>
              <w:spacing w:line="276" w:lineRule="auto"/>
              <w:jc w:val="center"/>
              <w:rPr>
                <w:b w:val="0"/>
                <w:szCs w:val="22"/>
              </w:rPr>
            </w:pPr>
          </w:p>
        </w:tc>
        <w:tc>
          <w:tcPr>
            <w:tcW w:w="1770" w:type="dxa"/>
            <w:vAlign w:val="bottom"/>
          </w:tcPr>
          <w:p w:rsidR="00795E13" w:rsidRPr="00795E13" w:rsidRDefault="00795E13" w:rsidP="00795E13">
            <w:pPr>
              <w:spacing w:line="276" w:lineRule="auto"/>
              <w:jc w:val="center"/>
              <w:rPr>
                <w:b w:val="0"/>
                <w:szCs w:val="22"/>
              </w:rPr>
            </w:pPr>
          </w:p>
        </w:tc>
      </w:tr>
      <w:tr w:rsidR="00795E13" w:rsidRPr="0035406E" w:rsidTr="0035406E">
        <w:trPr>
          <w:trHeight w:val="330"/>
        </w:trPr>
        <w:tc>
          <w:tcPr>
            <w:tcW w:w="5045" w:type="dxa"/>
            <w:shd w:val="clear" w:color="auto" w:fill="DBE5F1" w:themeFill="accent1" w:themeFillTint="33"/>
            <w:hideMark/>
          </w:tcPr>
          <w:p w:rsidR="00795E13" w:rsidRPr="00F53C07" w:rsidRDefault="00795E13" w:rsidP="00795E13">
            <w:pPr>
              <w:spacing w:before="0" w:line="276" w:lineRule="auto"/>
              <w:ind w:firstLine="0"/>
              <w:contextualSpacing w:val="0"/>
              <w:jc w:val="left"/>
              <w:rPr>
                <w:b w:val="0"/>
                <w:bCs/>
                <w:sz w:val="20"/>
                <w:szCs w:val="20"/>
                <w:lang w:val="hy-AM" w:eastAsia="en-US"/>
              </w:rPr>
            </w:pPr>
            <w:r w:rsidRPr="00F53C07">
              <w:rPr>
                <w:b w:val="0"/>
                <w:bCs/>
                <w:sz w:val="20"/>
                <w:szCs w:val="20"/>
                <w:lang w:val="hy-AM" w:eastAsia="en-US"/>
              </w:rPr>
              <w:t>արտաքին պետական պարտք</w:t>
            </w:r>
          </w:p>
        </w:tc>
        <w:tc>
          <w:tcPr>
            <w:tcW w:w="1770" w:type="dxa"/>
            <w:shd w:val="clear" w:color="auto" w:fill="DBE5F1" w:themeFill="accent1" w:themeFillTint="33"/>
            <w:vAlign w:val="bottom"/>
          </w:tcPr>
          <w:p w:rsidR="00795E13" w:rsidRPr="00795E13" w:rsidRDefault="00795E13" w:rsidP="00795E13">
            <w:pPr>
              <w:spacing w:line="276" w:lineRule="auto"/>
              <w:jc w:val="center"/>
              <w:rPr>
                <w:b w:val="0"/>
                <w:szCs w:val="22"/>
              </w:rPr>
            </w:pPr>
            <w:r w:rsidRPr="00795E13">
              <w:rPr>
                <w:b w:val="0"/>
                <w:szCs w:val="22"/>
              </w:rPr>
              <w:t>45.7</w:t>
            </w:r>
          </w:p>
        </w:tc>
        <w:tc>
          <w:tcPr>
            <w:tcW w:w="1770" w:type="dxa"/>
            <w:shd w:val="clear" w:color="auto" w:fill="DBE5F1" w:themeFill="accent1" w:themeFillTint="33"/>
            <w:vAlign w:val="bottom"/>
          </w:tcPr>
          <w:p w:rsidR="00795E13" w:rsidRPr="00795E13" w:rsidRDefault="00795E13" w:rsidP="00795E13">
            <w:pPr>
              <w:spacing w:line="276" w:lineRule="auto"/>
              <w:jc w:val="center"/>
              <w:rPr>
                <w:b w:val="0"/>
                <w:szCs w:val="22"/>
              </w:rPr>
            </w:pPr>
            <w:r w:rsidRPr="00795E13">
              <w:rPr>
                <w:b w:val="0"/>
                <w:szCs w:val="22"/>
              </w:rPr>
              <w:t>33.3</w:t>
            </w:r>
          </w:p>
        </w:tc>
        <w:tc>
          <w:tcPr>
            <w:tcW w:w="1770" w:type="dxa"/>
            <w:shd w:val="clear" w:color="auto" w:fill="DBE5F1" w:themeFill="accent1" w:themeFillTint="33"/>
            <w:vAlign w:val="bottom"/>
          </w:tcPr>
          <w:p w:rsidR="00795E13" w:rsidRPr="00795E13" w:rsidRDefault="00795E13" w:rsidP="00795E13">
            <w:pPr>
              <w:spacing w:line="276" w:lineRule="auto"/>
              <w:jc w:val="center"/>
              <w:rPr>
                <w:b w:val="0"/>
                <w:szCs w:val="22"/>
              </w:rPr>
            </w:pPr>
            <w:r w:rsidRPr="00795E13">
              <w:rPr>
                <w:b w:val="0"/>
                <w:szCs w:val="22"/>
              </w:rPr>
              <w:t>31.4</w:t>
            </w:r>
          </w:p>
        </w:tc>
      </w:tr>
      <w:tr w:rsidR="00795E13" w:rsidRPr="0035406E" w:rsidTr="0035406E">
        <w:trPr>
          <w:trHeight w:val="330"/>
        </w:trPr>
        <w:tc>
          <w:tcPr>
            <w:tcW w:w="5045" w:type="dxa"/>
            <w:hideMark/>
          </w:tcPr>
          <w:p w:rsidR="00795E13" w:rsidRPr="00F53C07" w:rsidRDefault="00795E13" w:rsidP="00795E13">
            <w:pPr>
              <w:spacing w:before="0" w:line="276" w:lineRule="auto"/>
              <w:ind w:firstLine="0"/>
              <w:contextualSpacing w:val="0"/>
              <w:jc w:val="left"/>
              <w:rPr>
                <w:b w:val="0"/>
                <w:bCs/>
                <w:i/>
                <w:iCs/>
                <w:sz w:val="20"/>
                <w:szCs w:val="20"/>
                <w:lang w:val="hy-AM" w:eastAsia="en-US"/>
              </w:rPr>
            </w:pPr>
            <w:r w:rsidRPr="00F53C07">
              <w:rPr>
                <w:b w:val="0"/>
                <w:bCs/>
                <w:i/>
                <w:iCs/>
                <w:sz w:val="20"/>
                <w:szCs w:val="20"/>
                <w:lang w:val="hy-AM" w:eastAsia="en-US"/>
              </w:rPr>
              <w:t xml:space="preserve">որից` ՀՀ կենտրոնական բանկի պարտք </w:t>
            </w:r>
          </w:p>
        </w:tc>
        <w:tc>
          <w:tcPr>
            <w:tcW w:w="1770" w:type="dxa"/>
            <w:vAlign w:val="bottom"/>
          </w:tcPr>
          <w:p w:rsidR="00795E13" w:rsidRPr="00795E13" w:rsidRDefault="00795E13" w:rsidP="00795E13">
            <w:pPr>
              <w:spacing w:line="276" w:lineRule="auto"/>
              <w:jc w:val="center"/>
              <w:rPr>
                <w:b w:val="0"/>
                <w:szCs w:val="22"/>
              </w:rPr>
            </w:pPr>
            <w:r w:rsidRPr="00795E13">
              <w:rPr>
                <w:b w:val="0"/>
                <w:szCs w:val="22"/>
              </w:rPr>
              <w:t>3.1</w:t>
            </w:r>
          </w:p>
        </w:tc>
        <w:tc>
          <w:tcPr>
            <w:tcW w:w="1770" w:type="dxa"/>
            <w:vAlign w:val="bottom"/>
          </w:tcPr>
          <w:p w:rsidR="00795E13" w:rsidRPr="00795E13" w:rsidRDefault="00795E13" w:rsidP="00795E13">
            <w:pPr>
              <w:spacing w:line="276" w:lineRule="auto"/>
              <w:jc w:val="center"/>
              <w:rPr>
                <w:b w:val="0"/>
                <w:i/>
                <w:iCs/>
                <w:szCs w:val="22"/>
              </w:rPr>
            </w:pPr>
            <w:r w:rsidRPr="00795E13">
              <w:rPr>
                <w:b w:val="0"/>
                <w:i/>
                <w:iCs/>
                <w:szCs w:val="22"/>
              </w:rPr>
              <w:t>3.1</w:t>
            </w:r>
          </w:p>
        </w:tc>
        <w:tc>
          <w:tcPr>
            <w:tcW w:w="1770" w:type="dxa"/>
            <w:vAlign w:val="bottom"/>
          </w:tcPr>
          <w:p w:rsidR="00795E13" w:rsidRPr="00795E13" w:rsidRDefault="00795E13" w:rsidP="00795E13">
            <w:pPr>
              <w:spacing w:line="276" w:lineRule="auto"/>
              <w:jc w:val="center"/>
              <w:rPr>
                <w:b w:val="0"/>
                <w:i/>
                <w:iCs/>
                <w:szCs w:val="22"/>
              </w:rPr>
            </w:pPr>
            <w:r w:rsidRPr="00795E13">
              <w:rPr>
                <w:b w:val="0"/>
                <w:i/>
                <w:iCs/>
                <w:szCs w:val="22"/>
              </w:rPr>
              <w:t>2.7</w:t>
            </w:r>
          </w:p>
        </w:tc>
      </w:tr>
      <w:tr w:rsidR="00795E13" w:rsidRPr="0035406E" w:rsidTr="0035406E">
        <w:trPr>
          <w:trHeight w:val="330"/>
        </w:trPr>
        <w:tc>
          <w:tcPr>
            <w:tcW w:w="5045" w:type="dxa"/>
            <w:shd w:val="clear" w:color="auto" w:fill="DBE5F1" w:themeFill="accent1" w:themeFillTint="33"/>
            <w:hideMark/>
          </w:tcPr>
          <w:p w:rsidR="00795E13" w:rsidRPr="00F53C07" w:rsidRDefault="00795E13" w:rsidP="00795E13">
            <w:pPr>
              <w:spacing w:before="0" w:line="276" w:lineRule="auto"/>
              <w:ind w:firstLineChars="100" w:firstLine="200"/>
              <w:contextualSpacing w:val="0"/>
              <w:jc w:val="left"/>
              <w:rPr>
                <w:b w:val="0"/>
                <w:bCs/>
                <w:sz w:val="20"/>
                <w:szCs w:val="20"/>
                <w:lang w:val="hy-AM" w:eastAsia="en-US"/>
              </w:rPr>
            </w:pPr>
            <w:r w:rsidRPr="00F53C07">
              <w:rPr>
                <w:b w:val="0"/>
                <w:bCs/>
                <w:sz w:val="20"/>
                <w:szCs w:val="20"/>
                <w:lang w:val="hy-AM" w:eastAsia="en-US"/>
              </w:rPr>
              <w:t>ներքին պետական պարտք</w:t>
            </w:r>
          </w:p>
        </w:tc>
        <w:tc>
          <w:tcPr>
            <w:tcW w:w="1770" w:type="dxa"/>
            <w:shd w:val="clear" w:color="auto" w:fill="DBE5F1" w:themeFill="accent1" w:themeFillTint="33"/>
            <w:vAlign w:val="bottom"/>
          </w:tcPr>
          <w:p w:rsidR="00795E13" w:rsidRPr="00795E13" w:rsidRDefault="00795E13" w:rsidP="00795E13">
            <w:pPr>
              <w:spacing w:line="276" w:lineRule="auto"/>
              <w:jc w:val="center"/>
              <w:rPr>
                <w:b w:val="0"/>
                <w:szCs w:val="22"/>
              </w:rPr>
            </w:pPr>
            <w:r w:rsidRPr="00795E13">
              <w:rPr>
                <w:b w:val="0"/>
                <w:szCs w:val="22"/>
              </w:rPr>
              <w:t>17.7</w:t>
            </w:r>
          </w:p>
        </w:tc>
        <w:tc>
          <w:tcPr>
            <w:tcW w:w="1770" w:type="dxa"/>
            <w:shd w:val="clear" w:color="auto" w:fill="DBE5F1" w:themeFill="accent1" w:themeFillTint="33"/>
            <w:vAlign w:val="bottom"/>
          </w:tcPr>
          <w:p w:rsidR="00795E13" w:rsidRPr="00795E13" w:rsidRDefault="00795E13" w:rsidP="00795E13">
            <w:pPr>
              <w:spacing w:line="276" w:lineRule="auto"/>
              <w:jc w:val="center"/>
              <w:rPr>
                <w:b w:val="0"/>
                <w:szCs w:val="22"/>
              </w:rPr>
            </w:pPr>
            <w:r w:rsidRPr="00795E13">
              <w:rPr>
                <w:b w:val="0"/>
                <w:szCs w:val="22"/>
              </w:rPr>
              <w:t>20.0</w:t>
            </w:r>
          </w:p>
        </w:tc>
        <w:tc>
          <w:tcPr>
            <w:tcW w:w="1770" w:type="dxa"/>
            <w:shd w:val="clear" w:color="auto" w:fill="DBE5F1" w:themeFill="accent1" w:themeFillTint="33"/>
            <w:vAlign w:val="bottom"/>
          </w:tcPr>
          <w:p w:rsidR="00795E13" w:rsidRPr="00795E13" w:rsidRDefault="00795E13" w:rsidP="00795E13">
            <w:pPr>
              <w:spacing w:line="276" w:lineRule="auto"/>
              <w:jc w:val="center"/>
              <w:rPr>
                <w:b w:val="0"/>
                <w:szCs w:val="22"/>
              </w:rPr>
            </w:pPr>
            <w:r w:rsidRPr="00795E13">
              <w:rPr>
                <w:b w:val="0"/>
                <w:szCs w:val="22"/>
              </w:rPr>
              <w:t>21.1</w:t>
            </w:r>
          </w:p>
        </w:tc>
      </w:tr>
    </w:tbl>
    <w:p w:rsidR="0035406E" w:rsidRPr="0035406E" w:rsidRDefault="0035406E" w:rsidP="0035406E">
      <w:pPr>
        <w:spacing w:before="0" w:after="200" w:line="276" w:lineRule="auto"/>
        <w:ind w:firstLine="0"/>
        <w:contextualSpacing w:val="0"/>
        <w:jc w:val="left"/>
        <w:rPr>
          <w:rFonts w:eastAsia="Calibri" w:cs="Sylfaen"/>
          <w:szCs w:val="22"/>
          <w:u w:val="single"/>
          <w:lang w:val="hy-AM" w:eastAsia="en-US"/>
        </w:rPr>
      </w:pPr>
    </w:p>
    <w:p w:rsidR="0035406E" w:rsidRDefault="0035406E" w:rsidP="0035406E">
      <w:pPr>
        <w:keepNext/>
        <w:tabs>
          <w:tab w:val="left" w:pos="709"/>
        </w:tabs>
        <w:spacing w:before="0" w:line="276" w:lineRule="auto"/>
        <w:ind w:firstLine="0"/>
        <w:jc w:val="center"/>
        <w:outlineLvl w:val="2"/>
        <w:rPr>
          <w:rFonts w:eastAsia="Calibri" w:cs="GHEA Grapalat"/>
          <w:bCs/>
          <w:szCs w:val="22"/>
          <w:lang w:val="hy-AM" w:eastAsia="en-US"/>
        </w:rPr>
      </w:pPr>
      <w:bookmarkStart w:id="372" w:name="_Toc120805253"/>
      <w:r w:rsidRPr="0035406E">
        <w:rPr>
          <w:rFonts w:eastAsia="Calibri" w:cs="GHEA Grapalat"/>
          <w:bCs/>
          <w:szCs w:val="22"/>
          <w:lang w:val="hy-AM" w:eastAsia="en-US"/>
        </w:rPr>
        <w:t>ՀԱՅԱՍՏԱՆԻ ՀԱՆՐԱՊԵՏՈՒԹՅԱՆ ԿԱՌԱՎԱՐՈՒԹՅԱՆ ՊԱՐՏՔԸ</w:t>
      </w:r>
      <w:bookmarkEnd w:id="372"/>
    </w:p>
    <w:p w:rsidR="00795E13" w:rsidRPr="00795E13" w:rsidRDefault="00795E13" w:rsidP="00230342">
      <w:pPr>
        <w:shd w:val="clear" w:color="auto" w:fill="FFFFFF"/>
        <w:spacing w:before="0" w:line="276" w:lineRule="auto"/>
        <w:ind w:firstLine="720"/>
        <w:contextualSpacing w:val="0"/>
        <w:rPr>
          <w:rFonts w:eastAsia="Calibri" w:cs="Arial"/>
          <w:b w:val="0"/>
          <w:szCs w:val="22"/>
          <w:lang w:val="hy-AM" w:eastAsia="en-US"/>
        </w:rPr>
      </w:pPr>
      <w:r w:rsidRPr="00795E13">
        <w:rPr>
          <w:rFonts w:eastAsia="Calibri" w:cs="Arial"/>
          <w:b w:val="0"/>
          <w:szCs w:val="22"/>
          <w:lang w:val="hy-AM" w:eastAsia="en-US"/>
        </w:rPr>
        <w:t>Կառավարության պարտքի 2022 և 2023 թվականների կանխատեսումները կատարվել են հիմք ընդունելով հետևյալը.</w:t>
      </w:r>
    </w:p>
    <w:p w:rsidR="00795E13" w:rsidRPr="00795E13" w:rsidRDefault="00795E13" w:rsidP="002916D8">
      <w:pPr>
        <w:numPr>
          <w:ilvl w:val="0"/>
          <w:numId w:val="14"/>
        </w:numPr>
        <w:shd w:val="clear" w:color="auto" w:fill="FFFFFF"/>
        <w:spacing w:before="0" w:line="276" w:lineRule="auto"/>
        <w:ind w:left="0" w:hanging="284"/>
        <w:contextualSpacing w:val="0"/>
        <w:rPr>
          <w:rFonts w:eastAsia="Calibri"/>
          <w:b w:val="0"/>
          <w:szCs w:val="22"/>
          <w:lang w:val="hy-AM" w:eastAsia="en-US"/>
        </w:rPr>
      </w:pPr>
      <w:r w:rsidRPr="00795E13">
        <w:rPr>
          <w:rFonts w:eastAsia="Calibri"/>
          <w:b w:val="0"/>
          <w:szCs w:val="22"/>
          <w:lang w:val="hy-AM" w:eastAsia="en-US"/>
        </w:rPr>
        <w:t>ՀՀ 2022թ. պետական բյուջեի պակասուրդի զուտ ֆինանսավորումը պարտքային գործիքների հաշվին կիրականացվի 326.3 մլրդ դրամի չափով, որից.</w:t>
      </w:r>
    </w:p>
    <w:p w:rsidR="00795E13" w:rsidRPr="002916D8" w:rsidRDefault="00795E13" w:rsidP="002916D8">
      <w:pPr>
        <w:pStyle w:val="ListParagraph"/>
        <w:numPr>
          <w:ilvl w:val="0"/>
          <w:numId w:val="14"/>
        </w:numPr>
        <w:shd w:val="clear" w:color="auto" w:fill="FFFFFF"/>
        <w:spacing w:before="0" w:line="276" w:lineRule="auto"/>
        <w:contextualSpacing w:val="0"/>
        <w:rPr>
          <w:rFonts w:eastAsia="Calibri"/>
          <w:b w:val="0"/>
          <w:szCs w:val="22"/>
          <w:lang w:val="hy-AM" w:eastAsia="en-US"/>
        </w:rPr>
      </w:pPr>
      <w:r w:rsidRPr="002916D8">
        <w:rPr>
          <w:rFonts w:eastAsia="Calibri"/>
          <w:b w:val="0"/>
          <w:szCs w:val="22"/>
          <w:lang w:val="hy-AM" w:eastAsia="en-US"/>
        </w:rPr>
        <w:t>250.2 մլրդ դրամը պետական գանձապետական պարտատոմսերի հաշվին,</w:t>
      </w:r>
    </w:p>
    <w:p w:rsidR="00795E13" w:rsidRPr="002916D8" w:rsidRDefault="00795E13" w:rsidP="002916D8">
      <w:pPr>
        <w:pStyle w:val="ListParagraph"/>
        <w:numPr>
          <w:ilvl w:val="0"/>
          <w:numId w:val="14"/>
        </w:numPr>
        <w:shd w:val="clear" w:color="auto" w:fill="FFFFFF"/>
        <w:spacing w:before="0" w:line="276" w:lineRule="auto"/>
        <w:contextualSpacing w:val="0"/>
        <w:rPr>
          <w:rFonts w:eastAsia="Calibri"/>
          <w:b w:val="0"/>
          <w:szCs w:val="22"/>
          <w:lang w:val="hy-AM" w:eastAsia="en-US"/>
        </w:rPr>
      </w:pPr>
      <w:r w:rsidRPr="002916D8">
        <w:rPr>
          <w:rFonts w:eastAsia="Calibri"/>
          <w:b w:val="0"/>
          <w:szCs w:val="22"/>
          <w:lang w:val="hy-AM" w:eastAsia="en-US"/>
        </w:rPr>
        <w:t>76 մլրդ դրամը արտաքին վարկերի հաշվին՝ ի սկզբանե պլանավորված 108.5 մլրդ դրամի դիմաց (177.5 մլրդ դրամի մասհանումներ և 101.5 մլրդ դրամ արտաքին վարկերի գծով մարումներ),</w:t>
      </w:r>
    </w:p>
    <w:p w:rsidR="00795E13" w:rsidRPr="00795E13" w:rsidRDefault="00795E13" w:rsidP="002916D8">
      <w:pPr>
        <w:numPr>
          <w:ilvl w:val="0"/>
          <w:numId w:val="14"/>
        </w:numPr>
        <w:shd w:val="clear" w:color="auto" w:fill="FFFFFF"/>
        <w:spacing w:before="0" w:after="100" w:afterAutospacing="1" w:line="276" w:lineRule="auto"/>
        <w:ind w:left="0" w:hanging="284"/>
        <w:contextualSpacing w:val="0"/>
        <w:rPr>
          <w:rFonts w:eastAsia="Calibri"/>
          <w:b w:val="0"/>
          <w:szCs w:val="22"/>
          <w:lang w:val="hy-AM" w:eastAsia="en-US"/>
        </w:rPr>
      </w:pPr>
      <w:r w:rsidRPr="00795E13">
        <w:rPr>
          <w:rFonts w:eastAsia="Calibri" w:cs="Arial"/>
          <w:b w:val="0"/>
          <w:szCs w:val="22"/>
          <w:lang w:val="hy-AM" w:eastAsia="en-US"/>
        </w:rPr>
        <w:t>ՀՀ</w:t>
      </w:r>
      <w:r w:rsidRPr="00795E13">
        <w:rPr>
          <w:rFonts w:eastAsia="Calibri"/>
          <w:b w:val="0"/>
          <w:szCs w:val="22"/>
          <w:lang w:val="hy-AM" w:eastAsia="en-US"/>
        </w:rPr>
        <w:t xml:space="preserve"> 2023թ. պետական բյուջեի նախագծի հիմքում դրված պակասուրդի ֆինանսավորման սցենարը, որի համաձայն զուտ ֆինանսավորումը պարտքային գործիքների հաշվին կիրականացվի 418.6 մլրդ դրամի չափով, որից 295.2 մլրդ դրամը պետական գանձապետական պարտատոմսերի հաշվին, 123.4 մլրդ դրամը՝ արտաքին վարկերի հաշվին (հաշվի առնելով կատարվելիք մասհանումների և մայր գումարի մարումների տարբերությունը), իսկ արտարժութային պետական պարտատոմսերի հաշվին մուտքեր չեն նախատեսվել,</w:t>
      </w:r>
    </w:p>
    <w:p w:rsidR="00795E13" w:rsidRPr="00795E13" w:rsidRDefault="00795E13" w:rsidP="002916D8">
      <w:pPr>
        <w:numPr>
          <w:ilvl w:val="0"/>
          <w:numId w:val="14"/>
        </w:numPr>
        <w:shd w:val="clear" w:color="auto" w:fill="FFFFFF"/>
        <w:spacing w:before="0" w:after="100" w:afterAutospacing="1" w:line="276" w:lineRule="auto"/>
        <w:ind w:left="0" w:hanging="284"/>
        <w:contextualSpacing w:val="0"/>
        <w:rPr>
          <w:rFonts w:eastAsia="Calibri"/>
          <w:b w:val="0"/>
          <w:szCs w:val="22"/>
          <w:lang w:val="hy-AM" w:eastAsia="en-US"/>
        </w:rPr>
      </w:pPr>
      <w:r w:rsidRPr="00795E13">
        <w:rPr>
          <w:rFonts w:eastAsia="Calibri" w:cs="Arial"/>
          <w:b w:val="0"/>
          <w:szCs w:val="22"/>
          <w:lang w:val="hy-AM" w:eastAsia="en-US"/>
        </w:rPr>
        <w:t>ներգրաված պարտքի սպասարկման և մարման պայմանները,</w:t>
      </w:r>
    </w:p>
    <w:p w:rsidR="00795E13" w:rsidRPr="00795E13" w:rsidRDefault="00795E13" w:rsidP="002916D8">
      <w:pPr>
        <w:numPr>
          <w:ilvl w:val="0"/>
          <w:numId w:val="14"/>
        </w:numPr>
        <w:shd w:val="clear" w:color="auto" w:fill="FFFFFF"/>
        <w:spacing w:before="0" w:after="100" w:afterAutospacing="1" w:line="276" w:lineRule="auto"/>
        <w:ind w:left="0" w:hanging="284"/>
        <w:contextualSpacing w:val="0"/>
        <w:rPr>
          <w:rFonts w:eastAsia="Calibri" w:cs="Arial"/>
          <w:b w:val="0"/>
          <w:szCs w:val="22"/>
          <w:lang w:val="hy-AM" w:eastAsia="en-US"/>
        </w:rPr>
      </w:pPr>
      <w:r w:rsidRPr="00795E13">
        <w:rPr>
          <w:rFonts w:eastAsia="Calibri" w:cs="Arial"/>
          <w:b w:val="0"/>
          <w:szCs w:val="22"/>
          <w:lang w:val="hy-AM" w:eastAsia="en-US"/>
        </w:rPr>
        <w:t>ՀՀ</w:t>
      </w:r>
      <w:r w:rsidRPr="00795E13">
        <w:rPr>
          <w:rFonts w:eastAsia="Calibri"/>
          <w:b w:val="0"/>
          <w:szCs w:val="22"/>
          <w:lang w:val="hy-AM" w:eastAsia="en-US"/>
        </w:rPr>
        <w:t xml:space="preserve"> 2023թ. պետական բյուջեի նախագծի հիմքում դրված 2022թ. և 2023թ. ՀՆԱ-ի և այլ մակրոտնտեսական կանխատեսումային ցուցանիշները:</w:t>
      </w:r>
    </w:p>
    <w:p w:rsidR="00795E13" w:rsidRPr="00795E13" w:rsidRDefault="00795E13" w:rsidP="002916D8">
      <w:pPr>
        <w:shd w:val="clear" w:color="auto" w:fill="FFFFFF"/>
        <w:spacing w:before="0" w:after="100" w:afterAutospacing="1" w:line="276" w:lineRule="auto"/>
        <w:ind w:firstLine="720"/>
        <w:contextualSpacing w:val="0"/>
        <w:rPr>
          <w:rFonts w:eastAsia="Calibri"/>
          <w:b w:val="0"/>
          <w:szCs w:val="22"/>
          <w:lang w:val="hy-AM" w:eastAsia="en-US"/>
        </w:rPr>
      </w:pPr>
      <w:r w:rsidRPr="00795E13">
        <w:rPr>
          <w:rFonts w:eastAsia="Calibri" w:cs="Arial"/>
          <w:b w:val="0"/>
          <w:szCs w:val="22"/>
          <w:lang w:val="hy-AM" w:eastAsia="en-US"/>
        </w:rPr>
        <w:t>Ը</w:t>
      </w:r>
      <w:r w:rsidRPr="00795E13">
        <w:rPr>
          <w:rFonts w:eastAsia="Calibri"/>
          <w:b w:val="0"/>
          <w:szCs w:val="22"/>
          <w:lang w:val="hy-AM" w:eastAsia="en-US"/>
        </w:rPr>
        <w:t xml:space="preserve">ստ կանխատեսումների` 2023 թվականի դեկտեմբերի 31-ի դրությամբ կառավարության պարտքը կկազմի 4,645 մլրդ դրամ կամ ՀՆԱ-ի 49.8 տոկոսը և 2022 թվականի տարեվերջի համեմատությամբ ՀՆԱ-ի նկատմամբ կնվազի 0.3 տոկոսային կետով: Նշենք, որ կառավարության պարտք/ՀՆԱ ցուցանիշի նշված կանխատեսումները տարբերվում են կառավարության պարտքի կառավարման 2023-2025 թվականների միջնաժամկետ ռազմավարական ծրագրով սահմանված ցուցանիշներից՝ պայմանավորված հիմնականում կանխատեսումներում կիրառված մակրոտնտեսական ու հարկաբյուջետային շրջանակի, փոխարժեքների տարբերություններով ու կառավարության պարտքի գծով գործառնություններով:  </w:t>
      </w:r>
    </w:p>
    <w:tbl>
      <w:tblPr>
        <w:tblW w:w="1009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2"/>
        <w:gridCol w:w="1795"/>
        <w:gridCol w:w="1795"/>
        <w:gridCol w:w="1796"/>
      </w:tblGrid>
      <w:tr w:rsidR="0035406E" w:rsidRPr="0035406E" w:rsidTr="0035406E">
        <w:trPr>
          <w:trHeight w:val="341"/>
        </w:trPr>
        <w:tc>
          <w:tcPr>
            <w:tcW w:w="4712" w:type="dxa"/>
            <w:shd w:val="clear" w:color="auto" w:fill="548DD4" w:themeFill="text2" w:themeFillTint="99"/>
            <w:vAlign w:val="center"/>
          </w:tcPr>
          <w:p w:rsidR="0035406E" w:rsidRPr="007127E7" w:rsidRDefault="0035406E" w:rsidP="0035406E">
            <w:pPr>
              <w:spacing w:before="0" w:line="276" w:lineRule="auto"/>
              <w:ind w:firstLine="0"/>
              <w:contextualSpacing w:val="0"/>
              <w:jc w:val="left"/>
              <w:rPr>
                <w:color w:val="FFFFFF" w:themeColor="background1"/>
                <w:sz w:val="20"/>
                <w:szCs w:val="20"/>
                <w:lang w:val="hy-AM" w:eastAsia="en-US"/>
              </w:rPr>
            </w:pPr>
            <w:r w:rsidRPr="007127E7">
              <w:rPr>
                <w:rFonts w:ascii="Calibri" w:hAnsi="Calibri" w:cs="Calibri"/>
                <w:color w:val="FFFFFF" w:themeColor="background1"/>
                <w:sz w:val="20"/>
                <w:szCs w:val="20"/>
                <w:lang w:val="hy-AM" w:eastAsia="en-US"/>
              </w:rPr>
              <w:t> </w:t>
            </w:r>
          </w:p>
        </w:tc>
        <w:tc>
          <w:tcPr>
            <w:tcW w:w="1795" w:type="dxa"/>
            <w:shd w:val="clear" w:color="auto" w:fill="548DD4" w:themeFill="text2" w:themeFillTint="99"/>
          </w:tcPr>
          <w:p w:rsidR="0035406E" w:rsidRPr="007127E7" w:rsidRDefault="0035406E" w:rsidP="0035406E">
            <w:pPr>
              <w:spacing w:before="0" w:line="276" w:lineRule="auto"/>
              <w:ind w:firstLine="0"/>
              <w:contextualSpacing w:val="0"/>
              <w:jc w:val="center"/>
              <w:rPr>
                <w:color w:val="FFFFFF" w:themeColor="background1"/>
                <w:szCs w:val="22"/>
                <w:lang w:val="hy-AM" w:eastAsia="en-US"/>
              </w:rPr>
            </w:pPr>
            <w:r w:rsidRPr="007127E7">
              <w:rPr>
                <w:color w:val="FFFFFF" w:themeColor="background1"/>
                <w:szCs w:val="22"/>
                <w:lang w:val="hy-AM" w:eastAsia="en-US"/>
              </w:rPr>
              <w:t>31.12.2021թ.</w:t>
            </w:r>
          </w:p>
        </w:tc>
        <w:tc>
          <w:tcPr>
            <w:tcW w:w="1795" w:type="dxa"/>
            <w:shd w:val="clear" w:color="auto" w:fill="548DD4" w:themeFill="text2" w:themeFillTint="99"/>
          </w:tcPr>
          <w:p w:rsidR="0035406E" w:rsidRPr="007127E7" w:rsidRDefault="0035406E" w:rsidP="0035406E">
            <w:pPr>
              <w:spacing w:before="0" w:line="276" w:lineRule="auto"/>
              <w:ind w:firstLine="0"/>
              <w:contextualSpacing w:val="0"/>
              <w:jc w:val="center"/>
              <w:rPr>
                <w:color w:val="FFFFFF" w:themeColor="background1"/>
                <w:szCs w:val="22"/>
                <w:lang w:val="hy-AM" w:eastAsia="en-US"/>
              </w:rPr>
            </w:pPr>
            <w:r w:rsidRPr="007127E7">
              <w:rPr>
                <w:color w:val="FFFFFF" w:themeColor="background1"/>
                <w:szCs w:val="22"/>
                <w:lang w:val="hy-AM" w:eastAsia="en-US"/>
              </w:rPr>
              <w:t>31.12.2022թ.</w:t>
            </w:r>
          </w:p>
        </w:tc>
        <w:tc>
          <w:tcPr>
            <w:tcW w:w="1796" w:type="dxa"/>
            <w:shd w:val="clear" w:color="auto" w:fill="548DD4" w:themeFill="text2" w:themeFillTint="99"/>
          </w:tcPr>
          <w:p w:rsidR="0035406E" w:rsidRPr="007127E7" w:rsidRDefault="0035406E" w:rsidP="0035406E">
            <w:pPr>
              <w:spacing w:before="0" w:line="276" w:lineRule="auto"/>
              <w:ind w:firstLine="0"/>
              <w:contextualSpacing w:val="0"/>
              <w:jc w:val="center"/>
              <w:rPr>
                <w:color w:val="FFFFFF" w:themeColor="background1"/>
                <w:szCs w:val="22"/>
                <w:lang w:val="hy-AM" w:eastAsia="en-US"/>
              </w:rPr>
            </w:pPr>
            <w:r w:rsidRPr="007127E7">
              <w:rPr>
                <w:color w:val="FFFFFF" w:themeColor="background1"/>
                <w:szCs w:val="22"/>
                <w:lang w:val="hy-AM" w:eastAsia="en-US"/>
              </w:rPr>
              <w:t xml:space="preserve">   31.12.2023թ.</w:t>
            </w:r>
          </w:p>
        </w:tc>
      </w:tr>
      <w:tr w:rsidR="00517894" w:rsidRPr="0035406E" w:rsidTr="002916D8">
        <w:trPr>
          <w:trHeight w:val="341"/>
        </w:trPr>
        <w:tc>
          <w:tcPr>
            <w:tcW w:w="4712" w:type="dxa"/>
            <w:shd w:val="clear" w:color="auto" w:fill="auto"/>
          </w:tcPr>
          <w:p w:rsidR="00517894" w:rsidRPr="007127E7" w:rsidRDefault="00517894" w:rsidP="00517894">
            <w:pPr>
              <w:spacing w:before="0" w:line="276" w:lineRule="auto"/>
              <w:ind w:firstLine="0"/>
              <w:contextualSpacing w:val="0"/>
              <w:jc w:val="left"/>
              <w:rPr>
                <w:b w:val="0"/>
                <w:color w:val="000000"/>
                <w:sz w:val="20"/>
                <w:szCs w:val="20"/>
                <w:lang w:eastAsia="en-US"/>
              </w:rPr>
            </w:pPr>
            <w:r w:rsidRPr="007127E7">
              <w:rPr>
                <w:b w:val="0"/>
                <w:color w:val="000000"/>
                <w:sz w:val="20"/>
                <w:szCs w:val="20"/>
              </w:rPr>
              <w:t>ՀՀ կառավարության պարտք, մլրդ դրամ</w:t>
            </w:r>
          </w:p>
        </w:tc>
        <w:tc>
          <w:tcPr>
            <w:tcW w:w="1795" w:type="dxa"/>
            <w:shd w:val="clear" w:color="auto" w:fill="auto"/>
            <w:vAlign w:val="bottom"/>
          </w:tcPr>
          <w:p w:rsidR="00517894" w:rsidRPr="00517894" w:rsidRDefault="00517894" w:rsidP="00517894">
            <w:pPr>
              <w:spacing w:line="276" w:lineRule="auto"/>
              <w:jc w:val="center"/>
              <w:rPr>
                <w:b w:val="0"/>
                <w:szCs w:val="22"/>
              </w:rPr>
            </w:pPr>
            <w:r w:rsidRPr="00517894">
              <w:rPr>
                <w:b w:val="0"/>
                <w:szCs w:val="22"/>
              </w:rPr>
              <w:t>4,210</w:t>
            </w:r>
          </w:p>
        </w:tc>
        <w:tc>
          <w:tcPr>
            <w:tcW w:w="1795" w:type="dxa"/>
            <w:shd w:val="clear" w:color="auto" w:fill="auto"/>
            <w:vAlign w:val="bottom"/>
          </w:tcPr>
          <w:p w:rsidR="00517894" w:rsidRPr="00517894" w:rsidRDefault="00517894" w:rsidP="00517894">
            <w:pPr>
              <w:spacing w:line="276" w:lineRule="auto"/>
              <w:jc w:val="center"/>
              <w:rPr>
                <w:b w:val="0"/>
                <w:szCs w:val="22"/>
              </w:rPr>
            </w:pPr>
            <w:r w:rsidRPr="00517894">
              <w:rPr>
                <w:b w:val="0"/>
                <w:szCs w:val="22"/>
              </w:rPr>
              <w:t>4,158</w:t>
            </w:r>
          </w:p>
        </w:tc>
        <w:tc>
          <w:tcPr>
            <w:tcW w:w="1796" w:type="dxa"/>
            <w:shd w:val="clear" w:color="auto" w:fill="auto"/>
            <w:vAlign w:val="bottom"/>
          </w:tcPr>
          <w:p w:rsidR="00517894" w:rsidRPr="00517894" w:rsidRDefault="00517894" w:rsidP="00517894">
            <w:pPr>
              <w:spacing w:line="276" w:lineRule="auto"/>
              <w:jc w:val="center"/>
              <w:rPr>
                <w:b w:val="0"/>
                <w:szCs w:val="22"/>
              </w:rPr>
            </w:pPr>
            <w:r w:rsidRPr="00517894">
              <w:rPr>
                <w:b w:val="0"/>
                <w:szCs w:val="22"/>
              </w:rPr>
              <w:t>4,645</w:t>
            </w:r>
          </w:p>
        </w:tc>
      </w:tr>
      <w:tr w:rsidR="00517894" w:rsidRPr="0035406E" w:rsidTr="0035406E">
        <w:trPr>
          <w:trHeight w:val="330"/>
        </w:trPr>
        <w:tc>
          <w:tcPr>
            <w:tcW w:w="4712" w:type="dxa"/>
            <w:shd w:val="clear" w:color="auto" w:fill="DBE5F1" w:themeFill="accent1" w:themeFillTint="33"/>
            <w:hideMark/>
          </w:tcPr>
          <w:p w:rsidR="00517894" w:rsidRPr="007127E7" w:rsidRDefault="00517894" w:rsidP="00517894">
            <w:pPr>
              <w:spacing w:before="0" w:line="276" w:lineRule="auto"/>
              <w:ind w:firstLine="0"/>
              <w:contextualSpacing w:val="0"/>
              <w:jc w:val="left"/>
              <w:rPr>
                <w:b w:val="0"/>
                <w:color w:val="000000"/>
                <w:sz w:val="20"/>
                <w:szCs w:val="20"/>
                <w:lang w:eastAsia="en-US"/>
              </w:rPr>
            </w:pPr>
            <w:r w:rsidRPr="007127E7">
              <w:rPr>
                <w:b w:val="0"/>
                <w:color w:val="000000"/>
                <w:sz w:val="20"/>
                <w:szCs w:val="20"/>
                <w:lang w:val="en-US" w:eastAsia="en-US"/>
              </w:rPr>
              <w:t>ՀՀ</w:t>
            </w:r>
            <w:r w:rsidRPr="007127E7">
              <w:rPr>
                <w:b w:val="0"/>
                <w:color w:val="000000"/>
                <w:sz w:val="20"/>
                <w:szCs w:val="20"/>
                <w:lang w:eastAsia="en-US"/>
              </w:rPr>
              <w:t xml:space="preserve"> </w:t>
            </w:r>
            <w:r w:rsidRPr="007127E7">
              <w:rPr>
                <w:b w:val="0"/>
                <w:color w:val="000000"/>
                <w:sz w:val="20"/>
                <w:szCs w:val="20"/>
                <w:lang w:val="en-US" w:eastAsia="en-US"/>
              </w:rPr>
              <w:t>կառավարության</w:t>
            </w:r>
            <w:r w:rsidRPr="007127E7">
              <w:rPr>
                <w:b w:val="0"/>
                <w:color w:val="000000"/>
                <w:sz w:val="20"/>
                <w:szCs w:val="20"/>
                <w:lang w:eastAsia="en-US"/>
              </w:rPr>
              <w:t xml:space="preserve"> </w:t>
            </w:r>
            <w:r w:rsidRPr="007127E7">
              <w:rPr>
                <w:b w:val="0"/>
                <w:color w:val="000000"/>
                <w:sz w:val="20"/>
                <w:szCs w:val="20"/>
                <w:lang w:val="en-US" w:eastAsia="en-US"/>
              </w:rPr>
              <w:t>պարտք</w:t>
            </w:r>
            <w:r w:rsidRPr="007127E7">
              <w:rPr>
                <w:b w:val="0"/>
                <w:color w:val="000000"/>
                <w:sz w:val="20"/>
                <w:szCs w:val="20"/>
                <w:lang w:eastAsia="en-US"/>
              </w:rPr>
              <w:t xml:space="preserve">, % </w:t>
            </w:r>
            <w:r w:rsidRPr="007127E7">
              <w:rPr>
                <w:b w:val="0"/>
                <w:color w:val="000000"/>
                <w:sz w:val="20"/>
                <w:szCs w:val="20"/>
                <w:lang w:val="en-US" w:eastAsia="en-US"/>
              </w:rPr>
              <w:t>ՀՆԱ</w:t>
            </w:r>
            <w:r w:rsidRPr="007127E7">
              <w:rPr>
                <w:b w:val="0"/>
                <w:color w:val="000000"/>
                <w:sz w:val="20"/>
                <w:szCs w:val="20"/>
                <w:lang w:eastAsia="en-US"/>
              </w:rPr>
              <w:t>-</w:t>
            </w:r>
            <w:r w:rsidRPr="007127E7">
              <w:rPr>
                <w:b w:val="0"/>
                <w:color w:val="000000"/>
                <w:sz w:val="20"/>
                <w:szCs w:val="20"/>
                <w:lang w:val="en-US" w:eastAsia="en-US"/>
              </w:rPr>
              <w:t>ի</w:t>
            </w:r>
            <w:r w:rsidRPr="007127E7">
              <w:rPr>
                <w:b w:val="0"/>
                <w:color w:val="000000"/>
                <w:sz w:val="20"/>
                <w:szCs w:val="20"/>
                <w:lang w:eastAsia="en-US"/>
              </w:rPr>
              <w:t xml:space="preserve"> </w:t>
            </w:r>
            <w:r w:rsidRPr="007127E7">
              <w:rPr>
                <w:b w:val="0"/>
                <w:color w:val="000000"/>
                <w:sz w:val="20"/>
                <w:szCs w:val="20"/>
                <w:lang w:val="en-US" w:eastAsia="en-US"/>
              </w:rPr>
              <w:t>նկատմամբ</w:t>
            </w:r>
          </w:p>
        </w:tc>
        <w:tc>
          <w:tcPr>
            <w:tcW w:w="1795" w:type="dxa"/>
            <w:shd w:val="clear" w:color="auto" w:fill="DBE5F1" w:themeFill="accent1" w:themeFillTint="33"/>
            <w:vAlign w:val="bottom"/>
            <w:hideMark/>
          </w:tcPr>
          <w:p w:rsidR="00517894" w:rsidRPr="00517894" w:rsidRDefault="00517894" w:rsidP="00517894">
            <w:pPr>
              <w:spacing w:line="276" w:lineRule="auto"/>
              <w:jc w:val="center"/>
              <w:rPr>
                <w:b w:val="0"/>
                <w:szCs w:val="22"/>
              </w:rPr>
            </w:pPr>
            <w:r w:rsidRPr="00517894">
              <w:rPr>
                <w:b w:val="0"/>
                <w:szCs w:val="22"/>
              </w:rPr>
              <w:t>60.3</w:t>
            </w:r>
          </w:p>
        </w:tc>
        <w:tc>
          <w:tcPr>
            <w:tcW w:w="1795" w:type="dxa"/>
            <w:shd w:val="clear" w:color="auto" w:fill="DBE5F1" w:themeFill="accent1" w:themeFillTint="33"/>
            <w:vAlign w:val="bottom"/>
            <w:hideMark/>
          </w:tcPr>
          <w:p w:rsidR="00517894" w:rsidRPr="00517894" w:rsidRDefault="00517894" w:rsidP="00517894">
            <w:pPr>
              <w:spacing w:line="276" w:lineRule="auto"/>
              <w:jc w:val="center"/>
              <w:rPr>
                <w:b w:val="0"/>
                <w:szCs w:val="22"/>
              </w:rPr>
            </w:pPr>
            <w:r w:rsidRPr="00517894">
              <w:rPr>
                <w:b w:val="0"/>
                <w:szCs w:val="22"/>
              </w:rPr>
              <w:t>50.1</w:t>
            </w:r>
          </w:p>
        </w:tc>
        <w:tc>
          <w:tcPr>
            <w:tcW w:w="1796" w:type="dxa"/>
            <w:shd w:val="clear" w:color="auto" w:fill="DBE5F1" w:themeFill="accent1" w:themeFillTint="33"/>
            <w:vAlign w:val="bottom"/>
            <w:hideMark/>
          </w:tcPr>
          <w:p w:rsidR="00517894" w:rsidRPr="00517894" w:rsidRDefault="00517894" w:rsidP="00517894">
            <w:pPr>
              <w:spacing w:line="276" w:lineRule="auto"/>
              <w:jc w:val="center"/>
              <w:rPr>
                <w:b w:val="0"/>
                <w:szCs w:val="22"/>
              </w:rPr>
            </w:pPr>
            <w:r w:rsidRPr="00517894">
              <w:rPr>
                <w:b w:val="0"/>
                <w:szCs w:val="22"/>
              </w:rPr>
              <w:t>49.8</w:t>
            </w:r>
          </w:p>
        </w:tc>
      </w:tr>
    </w:tbl>
    <w:p w:rsidR="0035406E" w:rsidRPr="0035406E" w:rsidRDefault="0035406E" w:rsidP="0035406E">
      <w:pPr>
        <w:shd w:val="clear" w:color="auto" w:fill="FFFFFF"/>
        <w:spacing w:before="0" w:line="276" w:lineRule="auto"/>
        <w:ind w:firstLine="720"/>
        <w:contextualSpacing w:val="0"/>
        <w:rPr>
          <w:rFonts w:eastAsia="Calibri"/>
          <w:b w:val="0"/>
          <w:szCs w:val="22"/>
          <w:lang w:val="hy-AM" w:eastAsia="en-US"/>
        </w:rPr>
      </w:pPr>
    </w:p>
    <w:p w:rsidR="00517894" w:rsidRDefault="00517894" w:rsidP="00517894">
      <w:pPr>
        <w:shd w:val="clear" w:color="auto" w:fill="FFFFFF"/>
        <w:spacing w:before="0" w:line="276" w:lineRule="auto"/>
        <w:ind w:firstLine="720"/>
        <w:contextualSpacing w:val="0"/>
        <w:rPr>
          <w:rFonts w:eastAsiaTheme="minorHAnsi" w:cstheme="minorBidi"/>
          <w:b w:val="0"/>
          <w:szCs w:val="22"/>
          <w:lang w:val="hy-AM" w:eastAsia="en-US"/>
        </w:rPr>
      </w:pPr>
      <w:r w:rsidRPr="00157698">
        <w:rPr>
          <w:rFonts w:eastAsiaTheme="minorHAnsi" w:cstheme="minorBidi"/>
          <w:b w:val="0"/>
          <w:szCs w:val="22"/>
          <w:lang w:val="hy-AM" w:eastAsia="en-US"/>
        </w:rPr>
        <w:t>Նախատեսվում է 2022-2023 թվականներին կառավարության պարտքի կառուցվածքում ավելացնել ՀՀ դրամով տեղաբաշխված պետական գանձապետական պարտատոմսերի կշիռը, որն ըստ կանխատեսումների կկազմի համա</w:t>
      </w:r>
      <w:r w:rsidRPr="00157698">
        <w:rPr>
          <w:rFonts w:eastAsiaTheme="minorHAnsi" w:cstheme="minorBidi"/>
          <w:b w:val="0"/>
          <w:szCs w:val="22"/>
          <w:lang w:val="hy-AM" w:eastAsia="en-US"/>
        </w:rPr>
        <w:softHyphen/>
        <w:t>պա</w:t>
      </w:r>
      <w:r w:rsidRPr="00157698">
        <w:rPr>
          <w:rFonts w:eastAsiaTheme="minorHAnsi" w:cstheme="minorBidi"/>
          <w:b w:val="0"/>
          <w:szCs w:val="22"/>
          <w:lang w:val="hy-AM" w:eastAsia="en-US"/>
        </w:rPr>
        <w:softHyphen/>
        <w:t>տաս</w:t>
      </w:r>
      <w:r w:rsidRPr="00157698">
        <w:rPr>
          <w:rFonts w:eastAsiaTheme="minorHAnsi" w:cstheme="minorBidi"/>
          <w:b w:val="0"/>
          <w:szCs w:val="22"/>
          <w:lang w:val="hy-AM" w:eastAsia="en-US"/>
        </w:rPr>
        <w:softHyphen/>
        <w:t>խանաբար 3</w:t>
      </w:r>
      <w:r w:rsidR="00857A46" w:rsidRPr="00857A46">
        <w:rPr>
          <w:rFonts w:eastAsiaTheme="minorHAnsi" w:cstheme="minorBidi"/>
          <w:b w:val="0"/>
          <w:szCs w:val="22"/>
          <w:lang w:val="hy-AM" w:eastAsia="en-US"/>
        </w:rPr>
        <w:t>6</w:t>
      </w:r>
      <w:r w:rsidRPr="00157698">
        <w:rPr>
          <w:rFonts w:eastAsiaTheme="minorHAnsi" w:cstheme="minorBidi"/>
          <w:b w:val="0"/>
          <w:szCs w:val="22"/>
          <w:lang w:val="hy-AM" w:eastAsia="en-US"/>
        </w:rPr>
        <w:t>.</w:t>
      </w:r>
      <w:r w:rsidR="00857A46" w:rsidRPr="00857A46">
        <w:rPr>
          <w:rFonts w:eastAsiaTheme="minorHAnsi" w:cstheme="minorBidi"/>
          <w:b w:val="0"/>
          <w:szCs w:val="22"/>
          <w:lang w:val="hy-AM" w:eastAsia="en-US"/>
        </w:rPr>
        <w:t>0</w:t>
      </w:r>
      <w:r w:rsidRPr="00157698">
        <w:rPr>
          <w:rFonts w:eastAsiaTheme="minorHAnsi" w:cstheme="minorBidi"/>
          <w:b w:val="0"/>
          <w:szCs w:val="22"/>
          <w:lang w:val="hy-AM" w:eastAsia="en-US"/>
        </w:rPr>
        <w:t xml:space="preserve">% և </w:t>
      </w:r>
      <w:r w:rsidR="00857A46" w:rsidRPr="00857A46">
        <w:rPr>
          <w:rFonts w:eastAsiaTheme="minorHAnsi" w:cstheme="minorBidi"/>
          <w:b w:val="0"/>
          <w:szCs w:val="22"/>
          <w:lang w:val="hy-AM" w:eastAsia="en-US"/>
        </w:rPr>
        <w:t>39</w:t>
      </w:r>
      <w:r w:rsidRPr="00157698">
        <w:rPr>
          <w:rFonts w:eastAsiaTheme="minorHAnsi" w:cstheme="minorBidi"/>
          <w:b w:val="0"/>
          <w:szCs w:val="22"/>
          <w:lang w:val="hy-AM" w:eastAsia="en-US"/>
        </w:rPr>
        <w:t>.</w:t>
      </w:r>
      <w:r w:rsidR="00857A46" w:rsidRPr="00857A46">
        <w:rPr>
          <w:rFonts w:eastAsiaTheme="minorHAnsi" w:cstheme="minorBidi"/>
          <w:b w:val="0"/>
          <w:szCs w:val="22"/>
          <w:lang w:val="hy-AM" w:eastAsia="en-US"/>
        </w:rPr>
        <w:t>3</w:t>
      </w:r>
      <w:r w:rsidRPr="00157698">
        <w:rPr>
          <w:rFonts w:eastAsiaTheme="minorHAnsi" w:cstheme="minorBidi"/>
          <w:b w:val="0"/>
          <w:szCs w:val="22"/>
          <w:lang w:val="hy-AM" w:eastAsia="en-US"/>
        </w:rPr>
        <w:t>%: Կառավարության պարտքը կունենա հետևյալ կառուցվածքը.</w:t>
      </w:r>
    </w:p>
    <w:tbl>
      <w:tblPr>
        <w:tblW w:w="10355" w:type="dxa"/>
        <w:tblLayout w:type="fixed"/>
        <w:tblLook w:val="04A0" w:firstRow="1" w:lastRow="0" w:firstColumn="1" w:lastColumn="0" w:noHBand="0" w:noVBand="1"/>
      </w:tblPr>
      <w:tblGrid>
        <w:gridCol w:w="5058"/>
        <w:gridCol w:w="1728"/>
        <w:gridCol w:w="18"/>
        <w:gridCol w:w="1823"/>
        <w:gridCol w:w="18"/>
        <w:gridCol w:w="1692"/>
        <w:gridCol w:w="18"/>
      </w:tblGrid>
      <w:tr w:rsidR="0035406E" w:rsidRPr="0035406E" w:rsidTr="0035406E">
        <w:trPr>
          <w:trHeight w:val="360"/>
          <w:tblHeader/>
        </w:trPr>
        <w:tc>
          <w:tcPr>
            <w:tcW w:w="5058"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35406E" w:rsidRPr="007127E7" w:rsidRDefault="0035406E" w:rsidP="0035406E">
            <w:pPr>
              <w:spacing w:before="0" w:line="276" w:lineRule="auto"/>
              <w:ind w:firstLine="0"/>
              <w:contextualSpacing w:val="0"/>
              <w:jc w:val="center"/>
              <w:rPr>
                <w:bCs/>
                <w:color w:val="FFFFFF" w:themeColor="background1"/>
                <w:szCs w:val="22"/>
                <w:lang w:val="hy-AM" w:eastAsia="en-US"/>
              </w:rPr>
            </w:pPr>
            <w:r w:rsidRPr="007127E7">
              <w:rPr>
                <w:rFonts w:ascii="Calibri" w:hAnsi="Calibri" w:cs="Calibri"/>
                <w:bCs/>
                <w:color w:val="FFFFFF" w:themeColor="background1"/>
                <w:szCs w:val="22"/>
                <w:lang w:val="hy-AM" w:eastAsia="en-US"/>
              </w:rPr>
              <w:t> </w:t>
            </w:r>
          </w:p>
        </w:tc>
        <w:tc>
          <w:tcPr>
            <w:tcW w:w="1746"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35406E" w:rsidRPr="007127E7" w:rsidRDefault="0035406E" w:rsidP="0035406E">
            <w:pPr>
              <w:spacing w:before="0" w:line="276" w:lineRule="auto"/>
              <w:ind w:firstLine="0"/>
              <w:contextualSpacing w:val="0"/>
              <w:jc w:val="center"/>
              <w:rPr>
                <w:bCs/>
                <w:color w:val="FFFFFF" w:themeColor="background1"/>
                <w:szCs w:val="22"/>
                <w:lang w:val="hy-AM" w:eastAsia="en-US"/>
              </w:rPr>
            </w:pPr>
            <w:r w:rsidRPr="007127E7">
              <w:rPr>
                <w:bCs/>
                <w:color w:val="FFFFFF" w:themeColor="background1"/>
                <w:szCs w:val="22"/>
                <w:lang w:val="hy-AM" w:eastAsia="en-US"/>
              </w:rPr>
              <w:t>31.12.2021թ.</w:t>
            </w:r>
          </w:p>
        </w:tc>
        <w:tc>
          <w:tcPr>
            <w:tcW w:w="1841"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35406E" w:rsidRPr="007127E7" w:rsidRDefault="0035406E" w:rsidP="0035406E">
            <w:pPr>
              <w:spacing w:before="0" w:line="276" w:lineRule="auto"/>
              <w:ind w:firstLine="0"/>
              <w:contextualSpacing w:val="0"/>
              <w:jc w:val="center"/>
              <w:rPr>
                <w:bCs/>
                <w:color w:val="FFFFFF" w:themeColor="background1"/>
                <w:szCs w:val="22"/>
                <w:lang w:val="hy-AM" w:eastAsia="en-US"/>
              </w:rPr>
            </w:pPr>
            <w:r w:rsidRPr="007127E7">
              <w:rPr>
                <w:bCs/>
                <w:color w:val="FFFFFF" w:themeColor="background1"/>
                <w:szCs w:val="22"/>
                <w:lang w:val="hy-AM" w:eastAsia="en-US"/>
              </w:rPr>
              <w:t xml:space="preserve"> 31.12.2022թ.</w:t>
            </w:r>
          </w:p>
        </w:tc>
        <w:tc>
          <w:tcPr>
            <w:tcW w:w="1710"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35406E" w:rsidRPr="007127E7" w:rsidRDefault="0035406E" w:rsidP="0035406E">
            <w:pPr>
              <w:spacing w:before="0" w:line="276" w:lineRule="auto"/>
              <w:ind w:firstLine="0"/>
              <w:contextualSpacing w:val="0"/>
              <w:rPr>
                <w:bCs/>
                <w:color w:val="FFFFFF" w:themeColor="background1"/>
                <w:szCs w:val="22"/>
                <w:lang w:val="hy-AM" w:eastAsia="en-US"/>
              </w:rPr>
            </w:pPr>
            <w:r w:rsidRPr="007127E7">
              <w:rPr>
                <w:bCs/>
                <w:color w:val="FFFFFF" w:themeColor="background1"/>
                <w:szCs w:val="22"/>
                <w:lang w:val="hy-AM" w:eastAsia="en-US"/>
              </w:rPr>
              <w:t xml:space="preserve"> 31.12.2023թ.</w:t>
            </w:r>
          </w:p>
        </w:tc>
      </w:tr>
      <w:tr w:rsidR="0035406E" w:rsidRPr="0035406E" w:rsidTr="0035406E">
        <w:trPr>
          <w:trHeight w:val="360"/>
        </w:trPr>
        <w:tc>
          <w:tcPr>
            <w:tcW w:w="103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5406E" w:rsidRPr="007127E7" w:rsidRDefault="0035406E" w:rsidP="0035406E">
            <w:pPr>
              <w:spacing w:before="0" w:line="276" w:lineRule="auto"/>
              <w:ind w:left="540" w:firstLine="0"/>
              <w:contextualSpacing w:val="0"/>
              <w:jc w:val="left"/>
              <w:rPr>
                <w:b w:val="0"/>
                <w:bCs/>
                <w:color w:val="000000"/>
                <w:sz w:val="20"/>
                <w:szCs w:val="20"/>
                <w:lang w:val="hy-AM" w:eastAsia="en-US"/>
              </w:rPr>
            </w:pPr>
            <w:r w:rsidRPr="007127E7">
              <w:rPr>
                <w:b w:val="0"/>
                <w:bCs/>
                <w:color w:val="000000"/>
                <w:sz w:val="20"/>
                <w:szCs w:val="20"/>
                <w:lang w:val="hy-AM" w:eastAsia="en-US"/>
              </w:rPr>
              <w:t>Կառուցվածքն ըստ ռեզիդենտության, մլրդ դրամ*</w:t>
            </w:r>
          </w:p>
        </w:tc>
      </w:tr>
      <w:tr w:rsidR="00517894" w:rsidRPr="0035406E" w:rsidTr="0035406E">
        <w:trPr>
          <w:gridAfter w:val="1"/>
          <w:wAfter w:w="18" w:type="dxa"/>
          <w:trHeight w:val="360"/>
        </w:trPr>
        <w:tc>
          <w:tcPr>
            <w:tcW w:w="5058" w:type="dxa"/>
            <w:tcBorders>
              <w:top w:val="single" w:sz="4" w:space="0" w:color="auto"/>
              <w:left w:val="single" w:sz="4" w:space="0" w:color="auto"/>
              <w:bottom w:val="single" w:sz="4" w:space="0" w:color="auto"/>
              <w:right w:val="single" w:sz="4" w:space="0" w:color="auto"/>
            </w:tcBorders>
            <w:vAlign w:val="center"/>
            <w:hideMark/>
          </w:tcPr>
          <w:p w:rsidR="00517894" w:rsidRPr="007127E7" w:rsidRDefault="00517894" w:rsidP="00517894">
            <w:pPr>
              <w:spacing w:before="0" w:line="276" w:lineRule="auto"/>
              <w:ind w:firstLine="0"/>
              <w:contextualSpacing w:val="0"/>
              <w:jc w:val="left"/>
              <w:rPr>
                <w:b w:val="0"/>
                <w:bCs/>
                <w:color w:val="000000"/>
                <w:sz w:val="20"/>
                <w:szCs w:val="20"/>
                <w:lang w:val="hy-AM" w:eastAsia="en-US"/>
              </w:rPr>
            </w:pPr>
            <w:r w:rsidRPr="007127E7">
              <w:rPr>
                <w:b w:val="0"/>
                <w:bCs/>
                <w:color w:val="000000"/>
                <w:sz w:val="20"/>
                <w:szCs w:val="20"/>
                <w:lang w:val="hy-AM" w:eastAsia="en-US"/>
              </w:rPr>
              <w:t>ներքին պարտք</w:t>
            </w:r>
          </w:p>
        </w:tc>
        <w:tc>
          <w:tcPr>
            <w:tcW w:w="1728" w:type="dxa"/>
            <w:tcBorders>
              <w:top w:val="single" w:sz="4" w:space="0" w:color="auto"/>
              <w:left w:val="single" w:sz="4" w:space="0" w:color="auto"/>
              <w:bottom w:val="single" w:sz="4" w:space="0" w:color="auto"/>
              <w:right w:val="single" w:sz="4" w:space="0" w:color="auto"/>
            </w:tcBorders>
            <w:vAlign w:val="bottom"/>
          </w:tcPr>
          <w:p w:rsidR="00517894" w:rsidRPr="00DA6F74" w:rsidRDefault="00517894" w:rsidP="00517894">
            <w:pPr>
              <w:spacing w:line="276" w:lineRule="auto"/>
              <w:jc w:val="center"/>
              <w:rPr>
                <w:b w:val="0"/>
                <w:szCs w:val="22"/>
                <w:lang w:val="hy-AM"/>
              </w:rPr>
            </w:pPr>
            <w:r w:rsidRPr="00DA6F74">
              <w:rPr>
                <w:b w:val="0"/>
                <w:szCs w:val="22"/>
                <w:lang w:val="hy-AM"/>
              </w:rPr>
              <w:t>29.4</w:t>
            </w:r>
          </w:p>
        </w:tc>
        <w:tc>
          <w:tcPr>
            <w:tcW w:w="1841" w:type="dxa"/>
            <w:gridSpan w:val="2"/>
            <w:tcBorders>
              <w:top w:val="single" w:sz="4" w:space="0" w:color="auto"/>
              <w:left w:val="single" w:sz="4" w:space="0" w:color="auto"/>
              <w:bottom w:val="single" w:sz="4" w:space="0" w:color="auto"/>
              <w:right w:val="single" w:sz="4" w:space="0" w:color="auto"/>
            </w:tcBorders>
            <w:vAlign w:val="bottom"/>
          </w:tcPr>
          <w:p w:rsidR="00517894" w:rsidRPr="00DA6F74" w:rsidRDefault="00517894" w:rsidP="00517894">
            <w:pPr>
              <w:spacing w:line="276" w:lineRule="auto"/>
              <w:jc w:val="center"/>
              <w:rPr>
                <w:b w:val="0"/>
                <w:szCs w:val="22"/>
                <w:lang w:val="hy-AM"/>
              </w:rPr>
            </w:pPr>
            <w:r w:rsidRPr="00DA6F74">
              <w:rPr>
                <w:b w:val="0"/>
                <w:szCs w:val="22"/>
                <w:lang w:val="hy-AM"/>
              </w:rPr>
              <w:t>39.8</w:t>
            </w:r>
          </w:p>
        </w:tc>
        <w:tc>
          <w:tcPr>
            <w:tcW w:w="1710" w:type="dxa"/>
            <w:gridSpan w:val="2"/>
            <w:tcBorders>
              <w:top w:val="single" w:sz="4" w:space="0" w:color="auto"/>
              <w:left w:val="single" w:sz="4" w:space="0" w:color="auto"/>
              <w:bottom w:val="single" w:sz="4" w:space="0" w:color="auto"/>
              <w:right w:val="single" w:sz="4" w:space="0" w:color="auto"/>
            </w:tcBorders>
            <w:vAlign w:val="bottom"/>
          </w:tcPr>
          <w:p w:rsidR="00517894" w:rsidRPr="00DA6F74" w:rsidRDefault="00517894" w:rsidP="00517894">
            <w:pPr>
              <w:spacing w:line="276" w:lineRule="auto"/>
              <w:jc w:val="center"/>
              <w:rPr>
                <w:b w:val="0"/>
                <w:szCs w:val="22"/>
                <w:lang w:val="hy-AM"/>
              </w:rPr>
            </w:pPr>
            <w:r w:rsidRPr="00DA6F74">
              <w:rPr>
                <w:b w:val="0"/>
                <w:szCs w:val="22"/>
                <w:lang w:val="hy-AM"/>
              </w:rPr>
              <w:t>42.4</w:t>
            </w:r>
          </w:p>
        </w:tc>
      </w:tr>
      <w:tr w:rsidR="00517894" w:rsidRPr="0035406E" w:rsidTr="0035406E">
        <w:trPr>
          <w:gridAfter w:val="1"/>
          <w:wAfter w:w="18" w:type="dxa"/>
          <w:trHeight w:val="360"/>
        </w:trPr>
        <w:tc>
          <w:tcPr>
            <w:tcW w:w="5058" w:type="dxa"/>
            <w:tcBorders>
              <w:top w:val="single" w:sz="4" w:space="0" w:color="auto"/>
              <w:left w:val="single" w:sz="4" w:space="0" w:color="auto"/>
              <w:bottom w:val="single" w:sz="4" w:space="0" w:color="auto"/>
              <w:right w:val="single" w:sz="4" w:space="0" w:color="auto"/>
            </w:tcBorders>
            <w:vAlign w:val="center"/>
            <w:hideMark/>
          </w:tcPr>
          <w:p w:rsidR="00517894" w:rsidRPr="007127E7" w:rsidRDefault="00517894" w:rsidP="00517894">
            <w:pPr>
              <w:spacing w:before="0" w:line="276" w:lineRule="auto"/>
              <w:ind w:firstLine="0"/>
              <w:contextualSpacing w:val="0"/>
              <w:jc w:val="left"/>
              <w:rPr>
                <w:b w:val="0"/>
                <w:bCs/>
                <w:color w:val="000000"/>
                <w:sz w:val="20"/>
                <w:szCs w:val="20"/>
                <w:lang w:val="hy-AM" w:eastAsia="en-US"/>
              </w:rPr>
            </w:pPr>
            <w:r w:rsidRPr="007127E7">
              <w:rPr>
                <w:b w:val="0"/>
                <w:bCs/>
                <w:color w:val="000000"/>
                <w:sz w:val="20"/>
                <w:szCs w:val="20"/>
                <w:lang w:val="hy-AM" w:eastAsia="en-US"/>
              </w:rPr>
              <w:t>արտաքին պարտք</w:t>
            </w:r>
          </w:p>
        </w:tc>
        <w:tc>
          <w:tcPr>
            <w:tcW w:w="1728" w:type="dxa"/>
            <w:tcBorders>
              <w:top w:val="single" w:sz="4" w:space="0" w:color="auto"/>
              <w:left w:val="single" w:sz="4" w:space="0" w:color="auto"/>
              <w:bottom w:val="single" w:sz="4" w:space="0" w:color="auto"/>
              <w:right w:val="single" w:sz="4" w:space="0" w:color="auto"/>
            </w:tcBorders>
            <w:vAlign w:val="bottom"/>
          </w:tcPr>
          <w:p w:rsidR="00517894" w:rsidRPr="00DA6F74" w:rsidRDefault="00517894" w:rsidP="00517894">
            <w:pPr>
              <w:spacing w:line="276" w:lineRule="auto"/>
              <w:jc w:val="center"/>
              <w:rPr>
                <w:b w:val="0"/>
                <w:szCs w:val="22"/>
              </w:rPr>
            </w:pPr>
            <w:r w:rsidRPr="00DA6F74">
              <w:rPr>
                <w:b w:val="0"/>
                <w:szCs w:val="22"/>
              </w:rPr>
              <w:t>70.6</w:t>
            </w:r>
          </w:p>
        </w:tc>
        <w:tc>
          <w:tcPr>
            <w:tcW w:w="1841" w:type="dxa"/>
            <w:gridSpan w:val="2"/>
            <w:tcBorders>
              <w:top w:val="single" w:sz="4" w:space="0" w:color="auto"/>
              <w:left w:val="single" w:sz="4" w:space="0" w:color="auto"/>
              <w:bottom w:val="single" w:sz="4" w:space="0" w:color="auto"/>
              <w:right w:val="single" w:sz="4" w:space="0" w:color="auto"/>
            </w:tcBorders>
            <w:vAlign w:val="bottom"/>
          </w:tcPr>
          <w:p w:rsidR="00517894" w:rsidRPr="00DA6F74" w:rsidRDefault="00517894" w:rsidP="00517894">
            <w:pPr>
              <w:spacing w:line="276" w:lineRule="auto"/>
              <w:jc w:val="center"/>
              <w:rPr>
                <w:b w:val="0"/>
                <w:szCs w:val="22"/>
              </w:rPr>
            </w:pPr>
            <w:r w:rsidRPr="00DA6F74">
              <w:rPr>
                <w:b w:val="0"/>
                <w:szCs w:val="22"/>
              </w:rPr>
              <w:t>60.2</w:t>
            </w:r>
          </w:p>
        </w:tc>
        <w:tc>
          <w:tcPr>
            <w:tcW w:w="1710" w:type="dxa"/>
            <w:gridSpan w:val="2"/>
            <w:tcBorders>
              <w:top w:val="single" w:sz="4" w:space="0" w:color="auto"/>
              <w:left w:val="single" w:sz="4" w:space="0" w:color="auto"/>
              <w:bottom w:val="single" w:sz="4" w:space="0" w:color="auto"/>
              <w:right w:val="single" w:sz="4" w:space="0" w:color="auto"/>
            </w:tcBorders>
            <w:vAlign w:val="bottom"/>
          </w:tcPr>
          <w:p w:rsidR="00517894" w:rsidRPr="00DA6F74" w:rsidRDefault="00517894" w:rsidP="00517894">
            <w:pPr>
              <w:spacing w:line="276" w:lineRule="auto"/>
              <w:jc w:val="center"/>
              <w:rPr>
                <w:b w:val="0"/>
                <w:szCs w:val="22"/>
              </w:rPr>
            </w:pPr>
            <w:r w:rsidRPr="00DA6F74">
              <w:rPr>
                <w:b w:val="0"/>
                <w:szCs w:val="22"/>
              </w:rPr>
              <w:t>57.6</w:t>
            </w:r>
          </w:p>
        </w:tc>
      </w:tr>
      <w:tr w:rsidR="0035406E" w:rsidRPr="0035406E" w:rsidTr="0035406E">
        <w:trPr>
          <w:trHeight w:val="360"/>
        </w:trPr>
        <w:tc>
          <w:tcPr>
            <w:tcW w:w="103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5406E" w:rsidRPr="007127E7" w:rsidRDefault="0035406E" w:rsidP="0035406E">
            <w:pPr>
              <w:spacing w:before="0" w:line="276" w:lineRule="auto"/>
              <w:ind w:left="540" w:firstLine="0"/>
              <w:contextualSpacing w:val="0"/>
              <w:jc w:val="center"/>
              <w:rPr>
                <w:b w:val="0"/>
                <w:bCs/>
                <w:color w:val="000000"/>
                <w:szCs w:val="22"/>
                <w:lang w:val="hy-AM" w:eastAsia="en-US"/>
              </w:rPr>
            </w:pPr>
            <w:r w:rsidRPr="007127E7">
              <w:rPr>
                <w:b w:val="0"/>
                <w:bCs/>
                <w:color w:val="000000"/>
                <w:szCs w:val="22"/>
                <w:lang w:val="hy-AM" w:eastAsia="en-US"/>
              </w:rPr>
              <w:t>Կառուցվածքն ըստ գործիքակազմի, մլրդ դրամ</w:t>
            </w:r>
          </w:p>
        </w:tc>
      </w:tr>
      <w:tr w:rsidR="00517894" w:rsidRPr="0035406E" w:rsidTr="0035406E">
        <w:trPr>
          <w:gridAfter w:val="1"/>
          <w:wAfter w:w="18" w:type="dxa"/>
          <w:trHeight w:val="360"/>
        </w:trPr>
        <w:tc>
          <w:tcPr>
            <w:tcW w:w="5058" w:type="dxa"/>
            <w:tcBorders>
              <w:top w:val="single" w:sz="4" w:space="0" w:color="auto"/>
              <w:left w:val="single" w:sz="4" w:space="0" w:color="auto"/>
              <w:bottom w:val="single" w:sz="4" w:space="0" w:color="auto"/>
              <w:right w:val="single" w:sz="4" w:space="0" w:color="auto"/>
            </w:tcBorders>
            <w:vAlign w:val="center"/>
            <w:hideMark/>
          </w:tcPr>
          <w:p w:rsidR="00517894" w:rsidRPr="007127E7" w:rsidRDefault="00517894" w:rsidP="00517894">
            <w:pPr>
              <w:spacing w:before="0" w:line="276" w:lineRule="auto"/>
              <w:ind w:firstLine="0"/>
              <w:contextualSpacing w:val="0"/>
              <w:jc w:val="left"/>
              <w:rPr>
                <w:b w:val="0"/>
                <w:bCs/>
                <w:color w:val="000000"/>
                <w:sz w:val="20"/>
                <w:szCs w:val="20"/>
                <w:lang w:val="hy-AM" w:eastAsia="en-US"/>
              </w:rPr>
            </w:pPr>
            <w:r w:rsidRPr="007127E7">
              <w:rPr>
                <w:b w:val="0"/>
                <w:bCs/>
                <w:color w:val="000000"/>
                <w:sz w:val="20"/>
                <w:szCs w:val="20"/>
                <w:lang w:val="hy-AM" w:eastAsia="en-US"/>
              </w:rPr>
              <w:t>արտաքին վարկեր և փոխառություններ</w:t>
            </w:r>
          </w:p>
        </w:tc>
        <w:tc>
          <w:tcPr>
            <w:tcW w:w="1728" w:type="dxa"/>
            <w:tcBorders>
              <w:top w:val="single" w:sz="4" w:space="0" w:color="auto"/>
              <w:left w:val="single" w:sz="4" w:space="0" w:color="auto"/>
              <w:bottom w:val="single" w:sz="4" w:space="0" w:color="auto"/>
              <w:right w:val="single" w:sz="4" w:space="0" w:color="auto"/>
            </w:tcBorders>
            <w:vAlign w:val="bottom"/>
          </w:tcPr>
          <w:p w:rsidR="00517894" w:rsidRPr="00DA6F74" w:rsidRDefault="00517894" w:rsidP="00517894">
            <w:pPr>
              <w:spacing w:line="276" w:lineRule="auto"/>
              <w:jc w:val="center"/>
              <w:rPr>
                <w:b w:val="0"/>
                <w:szCs w:val="22"/>
              </w:rPr>
            </w:pPr>
            <w:r w:rsidRPr="00DA6F74">
              <w:rPr>
                <w:b w:val="0"/>
                <w:szCs w:val="22"/>
              </w:rPr>
              <w:t>51.1</w:t>
            </w:r>
          </w:p>
        </w:tc>
        <w:tc>
          <w:tcPr>
            <w:tcW w:w="1841" w:type="dxa"/>
            <w:gridSpan w:val="2"/>
            <w:tcBorders>
              <w:top w:val="single" w:sz="4" w:space="0" w:color="auto"/>
              <w:left w:val="single" w:sz="4" w:space="0" w:color="auto"/>
              <w:bottom w:val="single" w:sz="4" w:space="0" w:color="auto"/>
              <w:right w:val="single" w:sz="4" w:space="0" w:color="auto"/>
            </w:tcBorders>
            <w:vAlign w:val="bottom"/>
          </w:tcPr>
          <w:p w:rsidR="00517894" w:rsidRPr="00DA6F74" w:rsidRDefault="00517894" w:rsidP="00517894">
            <w:pPr>
              <w:spacing w:line="276" w:lineRule="auto"/>
              <w:jc w:val="center"/>
              <w:rPr>
                <w:b w:val="0"/>
                <w:szCs w:val="22"/>
              </w:rPr>
            </w:pPr>
            <w:r w:rsidRPr="00DA6F74">
              <w:rPr>
                <w:b w:val="0"/>
                <w:szCs w:val="22"/>
              </w:rPr>
              <w:t>45.5</w:t>
            </w:r>
          </w:p>
        </w:tc>
        <w:tc>
          <w:tcPr>
            <w:tcW w:w="1710" w:type="dxa"/>
            <w:gridSpan w:val="2"/>
            <w:tcBorders>
              <w:top w:val="single" w:sz="4" w:space="0" w:color="auto"/>
              <w:left w:val="single" w:sz="4" w:space="0" w:color="auto"/>
              <w:bottom w:val="single" w:sz="4" w:space="0" w:color="auto"/>
              <w:right w:val="single" w:sz="4" w:space="0" w:color="auto"/>
            </w:tcBorders>
            <w:vAlign w:val="bottom"/>
          </w:tcPr>
          <w:p w:rsidR="00517894" w:rsidRPr="00DA6F74" w:rsidRDefault="00517894" w:rsidP="00517894">
            <w:pPr>
              <w:spacing w:line="276" w:lineRule="auto"/>
              <w:jc w:val="center"/>
              <w:rPr>
                <w:b w:val="0"/>
                <w:szCs w:val="22"/>
              </w:rPr>
            </w:pPr>
            <w:r w:rsidRPr="00DA6F74">
              <w:rPr>
                <w:b w:val="0"/>
                <w:szCs w:val="22"/>
              </w:rPr>
              <w:t>44.2</w:t>
            </w:r>
          </w:p>
        </w:tc>
      </w:tr>
      <w:tr w:rsidR="00517894" w:rsidRPr="0035406E" w:rsidTr="0035406E">
        <w:trPr>
          <w:gridAfter w:val="1"/>
          <w:wAfter w:w="18" w:type="dxa"/>
          <w:trHeight w:val="360"/>
        </w:trPr>
        <w:tc>
          <w:tcPr>
            <w:tcW w:w="5058" w:type="dxa"/>
            <w:tcBorders>
              <w:top w:val="single" w:sz="4" w:space="0" w:color="auto"/>
              <w:left w:val="single" w:sz="4" w:space="0" w:color="auto"/>
              <w:bottom w:val="single" w:sz="4" w:space="0" w:color="auto"/>
              <w:right w:val="single" w:sz="4" w:space="0" w:color="auto"/>
            </w:tcBorders>
            <w:vAlign w:val="center"/>
            <w:hideMark/>
          </w:tcPr>
          <w:p w:rsidR="00517894" w:rsidRPr="007127E7" w:rsidRDefault="00517894" w:rsidP="00517894">
            <w:pPr>
              <w:spacing w:before="0" w:line="276" w:lineRule="auto"/>
              <w:ind w:firstLine="0"/>
              <w:contextualSpacing w:val="0"/>
              <w:jc w:val="left"/>
              <w:rPr>
                <w:b w:val="0"/>
                <w:bCs/>
                <w:color w:val="000000"/>
                <w:sz w:val="20"/>
                <w:szCs w:val="20"/>
                <w:lang w:val="hy-AM" w:eastAsia="en-US"/>
              </w:rPr>
            </w:pPr>
            <w:r w:rsidRPr="007127E7">
              <w:rPr>
                <w:b w:val="0"/>
                <w:bCs/>
                <w:color w:val="000000"/>
                <w:sz w:val="20"/>
                <w:szCs w:val="20"/>
                <w:lang w:val="hy-AM" w:eastAsia="en-US"/>
              </w:rPr>
              <w:t>պետական գանձապետական պարտատոմսեր</w:t>
            </w:r>
          </w:p>
        </w:tc>
        <w:tc>
          <w:tcPr>
            <w:tcW w:w="1728" w:type="dxa"/>
            <w:tcBorders>
              <w:top w:val="single" w:sz="4" w:space="0" w:color="auto"/>
              <w:left w:val="single" w:sz="4" w:space="0" w:color="auto"/>
              <w:bottom w:val="single" w:sz="4" w:space="0" w:color="auto"/>
              <w:right w:val="single" w:sz="4" w:space="0" w:color="auto"/>
            </w:tcBorders>
            <w:vAlign w:val="bottom"/>
          </w:tcPr>
          <w:p w:rsidR="00517894" w:rsidRPr="00DA6F74" w:rsidRDefault="00517894" w:rsidP="00517894">
            <w:pPr>
              <w:spacing w:line="276" w:lineRule="auto"/>
              <w:jc w:val="center"/>
              <w:rPr>
                <w:b w:val="0"/>
                <w:szCs w:val="22"/>
              </w:rPr>
            </w:pPr>
            <w:r w:rsidRPr="00DA6F74">
              <w:rPr>
                <w:b w:val="0"/>
                <w:szCs w:val="22"/>
              </w:rPr>
              <w:t>28.7</w:t>
            </w:r>
          </w:p>
        </w:tc>
        <w:tc>
          <w:tcPr>
            <w:tcW w:w="1841" w:type="dxa"/>
            <w:gridSpan w:val="2"/>
            <w:tcBorders>
              <w:top w:val="single" w:sz="4" w:space="0" w:color="auto"/>
              <w:left w:val="single" w:sz="4" w:space="0" w:color="auto"/>
              <w:bottom w:val="single" w:sz="4" w:space="0" w:color="auto"/>
              <w:right w:val="single" w:sz="4" w:space="0" w:color="auto"/>
            </w:tcBorders>
            <w:vAlign w:val="bottom"/>
          </w:tcPr>
          <w:p w:rsidR="00517894" w:rsidRPr="00DA6F74" w:rsidRDefault="00517894" w:rsidP="00517894">
            <w:pPr>
              <w:spacing w:line="276" w:lineRule="auto"/>
              <w:jc w:val="center"/>
              <w:rPr>
                <w:b w:val="0"/>
                <w:szCs w:val="22"/>
              </w:rPr>
            </w:pPr>
            <w:r w:rsidRPr="00DA6F74">
              <w:rPr>
                <w:b w:val="0"/>
                <w:szCs w:val="22"/>
              </w:rPr>
              <w:t>36.0</w:t>
            </w:r>
          </w:p>
        </w:tc>
        <w:tc>
          <w:tcPr>
            <w:tcW w:w="1710" w:type="dxa"/>
            <w:gridSpan w:val="2"/>
            <w:tcBorders>
              <w:top w:val="single" w:sz="4" w:space="0" w:color="auto"/>
              <w:left w:val="single" w:sz="4" w:space="0" w:color="auto"/>
              <w:bottom w:val="single" w:sz="4" w:space="0" w:color="auto"/>
              <w:right w:val="single" w:sz="4" w:space="0" w:color="auto"/>
            </w:tcBorders>
            <w:vAlign w:val="bottom"/>
          </w:tcPr>
          <w:p w:rsidR="00517894" w:rsidRPr="00DA6F74" w:rsidRDefault="00517894" w:rsidP="00517894">
            <w:pPr>
              <w:spacing w:line="276" w:lineRule="auto"/>
              <w:jc w:val="center"/>
              <w:rPr>
                <w:b w:val="0"/>
                <w:szCs w:val="22"/>
              </w:rPr>
            </w:pPr>
            <w:r w:rsidRPr="00DA6F74">
              <w:rPr>
                <w:b w:val="0"/>
                <w:szCs w:val="22"/>
              </w:rPr>
              <w:t>39.3</w:t>
            </w:r>
          </w:p>
        </w:tc>
      </w:tr>
      <w:tr w:rsidR="00517894" w:rsidRPr="0035406E" w:rsidTr="0035406E">
        <w:trPr>
          <w:gridAfter w:val="1"/>
          <w:wAfter w:w="18" w:type="dxa"/>
          <w:trHeight w:val="360"/>
        </w:trPr>
        <w:tc>
          <w:tcPr>
            <w:tcW w:w="5058" w:type="dxa"/>
            <w:tcBorders>
              <w:top w:val="single" w:sz="4" w:space="0" w:color="auto"/>
              <w:left w:val="single" w:sz="4" w:space="0" w:color="auto"/>
              <w:bottom w:val="single" w:sz="4" w:space="0" w:color="auto"/>
              <w:right w:val="single" w:sz="4" w:space="0" w:color="auto"/>
            </w:tcBorders>
            <w:vAlign w:val="center"/>
            <w:hideMark/>
          </w:tcPr>
          <w:p w:rsidR="00517894" w:rsidRPr="007127E7" w:rsidRDefault="00517894" w:rsidP="00517894">
            <w:pPr>
              <w:spacing w:before="0" w:line="276" w:lineRule="auto"/>
              <w:ind w:firstLine="0"/>
              <w:contextualSpacing w:val="0"/>
              <w:jc w:val="left"/>
              <w:rPr>
                <w:b w:val="0"/>
                <w:bCs/>
                <w:color w:val="000000"/>
                <w:sz w:val="20"/>
                <w:szCs w:val="20"/>
                <w:lang w:val="hy-AM" w:eastAsia="en-US"/>
              </w:rPr>
            </w:pPr>
            <w:r w:rsidRPr="007127E7">
              <w:rPr>
                <w:b w:val="0"/>
                <w:bCs/>
                <w:color w:val="000000"/>
                <w:sz w:val="20"/>
                <w:szCs w:val="20"/>
                <w:lang w:val="hy-AM" w:eastAsia="en-US"/>
              </w:rPr>
              <w:t>արտարժութային պետական պարտատոմսեր</w:t>
            </w:r>
          </w:p>
        </w:tc>
        <w:tc>
          <w:tcPr>
            <w:tcW w:w="1728" w:type="dxa"/>
            <w:tcBorders>
              <w:top w:val="single" w:sz="4" w:space="0" w:color="auto"/>
              <w:left w:val="single" w:sz="4" w:space="0" w:color="auto"/>
              <w:bottom w:val="single" w:sz="4" w:space="0" w:color="auto"/>
              <w:right w:val="single" w:sz="4" w:space="0" w:color="auto"/>
            </w:tcBorders>
            <w:vAlign w:val="bottom"/>
          </w:tcPr>
          <w:p w:rsidR="00517894" w:rsidRPr="00DA6F74" w:rsidRDefault="00517894" w:rsidP="00517894">
            <w:pPr>
              <w:spacing w:line="276" w:lineRule="auto"/>
              <w:jc w:val="center"/>
              <w:rPr>
                <w:b w:val="0"/>
                <w:szCs w:val="22"/>
              </w:rPr>
            </w:pPr>
            <w:r w:rsidRPr="00DA6F74">
              <w:rPr>
                <w:b w:val="0"/>
                <w:szCs w:val="22"/>
              </w:rPr>
              <w:t>20.0</w:t>
            </w:r>
          </w:p>
        </w:tc>
        <w:tc>
          <w:tcPr>
            <w:tcW w:w="1841" w:type="dxa"/>
            <w:gridSpan w:val="2"/>
            <w:tcBorders>
              <w:top w:val="single" w:sz="4" w:space="0" w:color="auto"/>
              <w:left w:val="single" w:sz="4" w:space="0" w:color="auto"/>
              <w:bottom w:val="single" w:sz="4" w:space="0" w:color="auto"/>
              <w:right w:val="single" w:sz="4" w:space="0" w:color="auto"/>
            </w:tcBorders>
            <w:vAlign w:val="bottom"/>
          </w:tcPr>
          <w:p w:rsidR="00517894" w:rsidRPr="00DA6F74" w:rsidRDefault="00517894" w:rsidP="00517894">
            <w:pPr>
              <w:spacing w:line="276" w:lineRule="auto"/>
              <w:jc w:val="center"/>
              <w:rPr>
                <w:b w:val="0"/>
                <w:szCs w:val="22"/>
              </w:rPr>
            </w:pPr>
            <w:r w:rsidRPr="00DA6F74">
              <w:rPr>
                <w:b w:val="0"/>
                <w:szCs w:val="22"/>
              </w:rPr>
              <w:t>18.3</w:t>
            </w:r>
          </w:p>
        </w:tc>
        <w:tc>
          <w:tcPr>
            <w:tcW w:w="1710" w:type="dxa"/>
            <w:gridSpan w:val="2"/>
            <w:tcBorders>
              <w:top w:val="single" w:sz="4" w:space="0" w:color="auto"/>
              <w:left w:val="single" w:sz="4" w:space="0" w:color="auto"/>
              <w:bottom w:val="single" w:sz="4" w:space="0" w:color="auto"/>
              <w:right w:val="single" w:sz="4" w:space="0" w:color="auto"/>
            </w:tcBorders>
            <w:vAlign w:val="bottom"/>
          </w:tcPr>
          <w:p w:rsidR="00517894" w:rsidRPr="00DA6F74" w:rsidRDefault="00517894" w:rsidP="00517894">
            <w:pPr>
              <w:spacing w:line="276" w:lineRule="auto"/>
              <w:jc w:val="center"/>
              <w:rPr>
                <w:b w:val="0"/>
                <w:szCs w:val="22"/>
              </w:rPr>
            </w:pPr>
            <w:r w:rsidRPr="00DA6F74">
              <w:rPr>
                <w:b w:val="0"/>
                <w:szCs w:val="22"/>
              </w:rPr>
              <w:t>16.4</w:t>
            </w:r>
          </w:p>
        </w:tc>
      </w:tr>
      <w:tr w:rsidR="00517894" w:rsidRPr="0035406E" w:rsidTr="0035406E">
        <w:trPr>
          <w:gridAfter w:val="1"/>
          <w:wAfter w:w="18" w:type="dxa"/>
          <w:trHeight w:val="360"/>
        </w:trPr>
        <w:tc>
          <w:tcPr>
            <w:tcW w:w="5058" w:type="dxa"/>
            <w:tcBorders>
              <w:top w:val="single" w:sz="4" w:space="0" w:color="auto"/>
              <w:left w:val="single" w:sz="4" w:space="0" w:color="auto"/>
              <w:bottom w:val="single" w:sz="4" w:space="0" w:color="auto"/>
              <w:right w:val="single" w:sz="4" w:space="0" w:color="auto"/>
            </w:tcBorders>
            <w:vAlign w:val="center"/>
            <w:hideMark/>
          </w:tcPr>
          <w:p w:rsidR="00517894" w:rsidRPr="007127E7" w:rsidRDefault="00517894" w:rsidP="00517894">
            <w:pPr>
              <w:spacing w:before="0" w:line="276" w:lineRule="auto"/>
              <w:ind w:firstLine="0"/>
              <w:contextualSpacing w:val="0"/>
              <w:jc w:val="left"/>
              <w:rPr>
                <w:b w:val="0"/>
                <w:bCs/>
                <w:color w:val="000000"/>
                <w:sz w:val="20"/>
                <w:szCs w:val="20"/>
                <w:lang w:val="hy-AM" w:eastAsia="en-US"/>
              </w:rPr>
            </w:pPr>
            <w:r w:rsidRPr="007127E7">
              <w:rPr>
                <w:b w:val="0"/>
                <w:bCs/>
                <w:color w:val="000000"/>
                <w:sz w:val="20"/>
                <w:szCs w:val="20"/>
                <w:lang w:val="hy-AM" w:eastAsia="en-US"/>
              </w:rPr>
              <w:t>արտաքին երաշխիքներ</w:t>
            </w:r>
          </w:p>
        </w:tc>
        <w:tc>
          <w:tcPr>
            <w:tcW w:w="1728" w:type="dxa"/>
            <w:tcBorders>
              <w:top w:val="single" w:sz="4" w:space="0" w:color="auto"/>
              <w:left w:val="single" w:sz="4" w:space="0" w:color="auto"/>
              <w:bottom w:val="single" w:sz="4" w:space="0" w:color="auto"/>
              <w:right w:val="single" w:sz="4" w:space="0" w:color="auto"/>
            </w:tcBorders>
            <w:vAlign w:val="bottom"/>
          </w:tcPr>
          <w:p w:rsidR="00517894" w:rsidRPr="00DA6F74" w:rsidRDefault="00517894" w:rsidP="00517894">
            <w:pPr>
              <w:spacing w:line="276" w:lineRule="auto"/>
              <w:jc w:val="center"/>
              <w:rPr>
                <w:b w:val="0"/>
                <w:szCs w:val="22"/>
              </w:rPr>
            </w:pPr>
            <w:r w:rsidRPr="00DA6F74">
              <w:rPr>
                <w:b w:val="0"/>
                <w:szCs w:val="22"/>
              </w:rPr>
              <w:t>0.1</w:t>
            </w:r>
          </w:p>
        </w:tc>
        <w:tc>
          <w:tcPr>
            <w:tcW w:w="1841" w:type="dxa"/>
            <w:gridSpan w:val="2"/>
            <w:tcBorders>
              <w:top w:val="single" w:sz="4" w:space="0" w:color="auto"/>
              <w:left w:val="single" w:sz="4" w:space="0" w:color="auto"/>
              <w:bottom w:val="single" w:sz="4" w:space="0" w:color="auto"/>
              <w:right w:val="single" w:sz="4" w:space="0" w:color="auto"/>
            </w:tcBorders>
            <w:vAlign w:val="bottom"/>
          </w:tcPr>
          <w:p w:rsidR="00517894" w:rsidRPr="00DA6F74" w:rsidRDefault="00517894" w:rsidP="00517894">
            <w:pPr>
              <w:spacing w:line="276" w:lineRule="auto"/>
              <w:jc w:val="center"/>
              <w:rPr>
                <w:b w:val="0"/>
                <w:szCs w:val="22"/>
              </w:rPr>
            </w:pPr>
            <w:r w:rsidRPr="00DA6F74">
              <w:rPr>
                <w:b w:val="0"/>
                <w:szCs w:val="22"/>
              </w:rPr>
              <w:t>0.1</w:t>
            </w:r>
          </w:p>
        </w:tc>
        <w:tc>
          <w:tcPr>
            <w:tcW w:w="1710" w:type="dxa"/>
            <w:gridSpan w:val="2"/>
            <w:tcBorders>
              <w:top w:val="single" w:sz="4" w:space="0" w:color="auto"/>
              <w:left w:val="single" w:sz="4" w:space="0" w:color="auto"/>
              <w:bottom w:val="single" w:sz="4" w:space="0" w:color="auto"/>
              <w:right w:val="single" w:sz="4" w:space="0" w:color="auto"/>
            </w:tcBorders>
            <w:vAlign w:val="bottom"/>
          </w:tcPr>
          <w:p w:rsidR="00517894" w:rsidRPr="00DA6F74" w:rsidRDefault="00517894" w:rsidP="00517894">
            <w:pPr>
              <w:spacing w:line="276" w:lineRule="auto"/>
              <w:jc w:val="center"/>
              <w:rPr>
                <w:b w:val="0"/>
                <w:szCs w:val="22"/>
              </w:rPr>
            </w:pPr>
            <w:r w:rsidRPr="00DA6F74">
              <w:rPr>
                <w:b w:val="0"/>
                <w:szCs w:val="22"/>
              </w:rPr>
              <w:t>0.1</w:t>
            </w:r>
          </w:p>
        </w:tc>
      </w:tr>
      <w:tr w:rsidR="00517894" w:rsidRPr="0035406E" w:rsidTr="0035406E">
        <w:trPr>
          <w:gridAfter w:val="1"/>
          <w:wAfter w:w="18" w:type="dxa"/>
          <w:trHeight w:val="360"/>
        </w:trPr>
        <w:tc>
          <w:tcPr>
            <w:tcW w:w="5058" w:type="dxa"/>
            <w:tcBorders>
              <w:top w:val="single" w:sz="4" w:space="0" w:color="auto"/>
              <w:left w:val="single" w:sz="4" w:space="0" w:color="auto"/>
              <w:bottom w:val="single" w:sz="4" w:space="0" w:color="auto"/>
              <w:right w:val="single" w:sz="4" w:space="0" w:color="auto"/>
            </w:tcBorders>
            <w:vAlign w:val="center"/>
            <w:hideMark/>
          </w:tcPr>
          <w:p w:rsidR="00517894" w:rsidRPr="007127E7" w:rsidRDefault="00517894" w:rsidP="00517894">
            <w:pPr>
              <w:spacing w:before="0" w:line="276" w:lineRule="auto"/>
              <w:ind w:firstLine="0"/>
              <w:contextualSpacing w:val="0"/>
              <w:jc w:val="left"/>
              <w:rPr>
                <w:b w:val="0"/>
                <w:bCs/>
                <w:color w:val="000000"/>
                <w:sz w:val="20"/>
                <w:szCs w:val="20"/>
                <w:lang w:val="hy-AM" w:eastAsia="en-US"/>
              </w:rPr>
            </w:pPr>
            <w:r w:rsidRPr="007127E7">
              <w:rPr>
                <w:b w:val="0"/>
                <w:bCs/>
                <w:color w:val="000000"/>
                <w:sz w:val="20"/>
                <w:szCs w:val="20"/>
                <w:lang w:val="hy-AM" w:eastAsia="en-US"/>
              </w:rPr>
              <w:t>ներքին երաշխիքներ</w:t>
            </w:r>
          </w:p>
        </w:tc>
        <w:tc>
          <w:tcPr>
            <w:tcW w:w="1728" w:type="dxa"/>
            <w:tcBorders>
              <w:top w:val="single" w:sz="4" w:space="0" w:color="auto"/>
              <w:left w:val="single" w:sz="4" w:space="0" w:color="auto"/>
              <w:bottom w:val="single" w:sz="4" w:space="0" w:color="auto"/>
              <w:right w:val="single" w:sz="4" w:space="0" w:color="auto"/>
            </w:tcBorders>
            <w:vAlign w:val="bottom"/>
          </w:tcPr>
          <w:p w:rsidR="00517894" w:rsidRPr="00DA6F74" w:rsidRDefault="00517894" w:rsidP="00517894">
            <w:pPr>
              <w:spacing w:line="276" w:lineRule="auto"/>
              <w:jc w:val="center"/>
              <w:rPr>
                <w:b w:val="0"/>
                <w:szCs w:val="22"/>
              </w:rPr>
            </w:pPr>
            <w:r w:rsidRPr="00DA6F74">
              <w:rPr>
                <w:b w:val="0"/>
                <w:szCs w:val="22"/>
              </w:rPr>
              <w:t>0.1</w:t>
            </w:r>
          </w:p>
        </w:tc>
        <w:tc>
          <w:tcPr>
            <w:tcW w:w="1841" w:type="dxa"/>
            <w:gridSpan w:val="2"/>
            <w:tcBorders>
              <w:top w:val="single" w:sz="4" w:space="0" w:color="auto"/>
              <w:left w:val="single" w:sz="4" w:space="0" w:color="auto"/>
              <w:bottom w:val="single" w:sz="4" w:space="0" w:color="auto"/>
              <w:right w:val="single" w:sz="4" w:space="0" w:color="auto"/>
            </w:tcBorders>
            <w:vAlign w:val="bottom"/>
          </w:tcPr>
          <w:p w:rsidR="00517894" w:rsidRPr="00DA6F74" w:rsidRDefault="00517894" w:rsidP="00517894">
            <w:pPr>
              <w:spacing w:line="276" w:lineRule="auto"/>
              <w:jc w:val="center"/>
              <w:rPr>
                <w:b w:val="0"/>
                <w:szCs w:val="22"/>
              </w:rPr>
            </w:pPr>
            <w:r w:rsidRPr="00DA6F74">
              <w:rPr>
                <w:b w:val="0"/>
                <w:szCs w:val="22"/>
              </w:rPr>
              <w:t>0.2</w:t>
            </w:r>
          </w:p>
        </w:tc>
        <w:tc>
          <w:tcPr>
            <w:tcW w:w="1710" w:type="dxa"/>
            <w:gridSpan w:val="2"/>
            <w:tcBorders>
              <w:top w:val="single" w:sz="4" w:space="0" w:color="auto"/>
              <w:left w:val="single" w:sz="4" w:space="0" w:color="auto"/>
              <w:bottom w:val="single" w:sz="4" w:space="0" w:color="auto"/>
              <w:right w:val="single" w:sz="4" w:space="0" w:color="auto"/>
            </w:tcBorders>
            <w:vAlign w:val="bottom"/>
          </w:tcPr>
          <w:p w:rsidR="00517894" w:rsidRPr="00DA6F74" w:rsidRDefault="00517894" w:rsidP="00517894">
            <w:pPr>
              <w:spacing w:line="276" w:lineRule="auto"/>
              <w:jc w:val="center"/>
              <w:rPr>
                <w:b w:val="0"/>
                <w:szCs w:val="22"/>
              </w:rPr>
            </w:pPr>
            <w:r w:rsidRPr="00DA6F74">
              <w:rPr>
                <w:b w:val="0"/>
                <w:szCs w:val="22"/>
              </w:rPr>
              <w:t>0.1</w:t>
            </w:r>
          </w:p>
        </w:tc>
      </w:tr>
      <w:tr w:rsidR="0035406E" w:rsidRPr="0035406E" w:rsidTr="0035406E">
        <w:trPr>
          <w:trHeight w:val="360"/>
        </w:trPr>
        <w:tc>
          <w:tcPr>
            <w:tcW w:w="103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5406E" w:rsidRPr="007127E7" w:rsidRDefault="0035406E" w:rsidP="0035406E">
            <w:pPr>
              <w:spacing w:before="0" w:line="276" w:lineRule="auto"/>
              <w:ind w:left="540" w:firstLine="0"/>
              <w:contextualSpacing w:val="0"/>
              <w:jc w:val="center"/>
              <w:rPr>
                <w:b w:val="0"/>
                <w:bCs/>
                <w:color w:val="000000"/>
                <w:szCs w:val="22"/>
                <w:lang w:val="hy-AM" w:eastAsia="en-US"/>
              </w:rPr>
            </w:pPr>
            <w:r w:rsidRPr="007127E7">
              <w:rPr>
                <w:b w:val="0"/>
                <w:bCs/>
                <w:color w:val="000000"/>
                <w:szCs w:val="22"/>
                <w:lang w:val="hy-AM" w:eastAsia="en-US"/>
              </w:rPr>
              <w:t>Արժութային կառուցվածքը, մլրդ դրամ</w:t>
            </w:r>
          </w:p>
        </w:tc>
      </w:tr>
      <w:tr w:rsidR="00517894" w:rsidRPr="0035406E" w:rsidTr="0035406E">
        <w:trPr>
          <w:gridAfter w:val="1"/>
          <w:wAfter w:w="18" w:type="dxa"/>
          <w:trHeight w:val="360"/>
        </w:trPr>
        <w:tc>
          <w:tcPr>
            <w:tcW w:w="5058" w:type="dxa"/>
            <w:tcBorders>
              <w:top w:val="single" w:sz="4" w:space="0" w:color="auto"/>
              <w:left w:val="single" w:sz="4" w:space="0" w:color="auto"/>
              <w:bottom w:val="single" w:sz="4" w:space="0" w:color="auto"/>
              <w:right w:val="single" w:sz="4" w:space="0" w:color="auto"/>
            </w:tcBorders>
            <w:vAlign w:val="center"/>
            <w:hideMark/>
          </w:tcPr>
          <w:p w:rsidR="00517894" w:rsidRPr="007127E7" w:rsidRDefault="00517894" w:rsidP="00517894">
            <w:pPr>
              <w:spacing w:before="0" w:line="276" w:lineRule="auto"/>
              <w:ind w:firstLine="0"/>
              <w:contextualSpacing w:val="0"/>
              <w:jc w:val="left"/>
              <w:rPr>
                <w:b w:val="0"/>
                <w:bCs/>
                <w:color w:val="000000"/>
                <w:sz w:val="20"/>
                <w:szCs w:val="20"/>
                <w:lang w:val="hy-AM" w:eastAsia="en-US"/>
              </w:rPr>
            </w:pPr>
            <w:r w:rsidRPr="007127E7">
              <w:rPr>
                <w:b w:val="0"/>
                <w:bCs/>
                <w:color w:val="000000"/>
                <w:sz w:val="20"/>
                <w:szCs w:val="20"/>
                <w:lang w:val="hy-AM" w:eastAsia="en-US"/>
              </w:rPr>
              <w:t>ՀՀ դրամով ներգրավված պարտք</w:t>
            </w:r>
          </w:p>
        </w:tc>
        <w:tc>
          <w:tcPr>
            <w:tcW w:w="1728" w:type="dxa"/>
            <w:tcBorders>
              <w:top w:val="single" w:sz="4" w:space="0" w:color="auto"/>
              <w:left w:val="single" w:sz="4" w:space="0" w:color="auto"/>
              <w:bottom w:val="single" w:sz="4" w:space="0" w:color="auto"/>
              <w:right w:val="single" w:sz="4" w:space="0" w:color="auto"/>
            </w:tcBorders>
            <w:vAlign w:val="bottom"/>
          </w:tcPr>
          <w:p w:rsidR="00517894" w:rsidRPr="00DA6F74" w:rsidRDefault="00517894" w:rsidP="00517894">
            <w:pPr>
              <w:spacing w:line="276" w:lineRule="auto"/>
              <w:jc w:val="center"/>
              <w:rPr>
                <w:b w:val="0"/>
                <w:szCs w:val="22"/>
              </w:rPr>
            </w:pPr>
            <w:r w:rsidRPr="00DA6F74">
              <w:rPr>
                <w:b w:val="0"/>
                <w:szCs w:val="22"/>
              </w:rPr>
              <w:t>28.8</w:t>
            </w:r>
          </w:p>
        </w:tc>
        <w:tc>
          <w:tcPr>
            <w:tcW w:w="1841" w:type="dxa"/>
            <w:gridSpan w:val="2"/>
            <w:tcBorders>
              <w:top w:val="single" w:sz="4" w:space="0" w:color="auto"/>
              <w:left w:val="single" w:sz="4" w:space="0" w:color="auto"/>
              <w:bottom w:val="single" w:sz="4" w:space="0" w:color="auto"/>
              <w:right w:val="single" w:sz="4" w:space="0" w:color="auto"/>
            </w:tcBorders>
            <w:vAlign w:val="bottom"/>
          </w:tcPr>
          <w:p w:rsidR="00517894" w:rsidRPr="00DA6F74" w:rsidRDefault="00517894" w:rsidP="00517894">
            <w:pPr>
              <w:spacing w:line="276" w:lineRule="auto"/>
              <w:jc w:val="center"/>
              <w:rPr>
                <w:b w:val="0"/>
                <w:szCs w:val="22"/>
              </w:rPr>
            </w:pPr>
            <w:r w:rsidRPr="00DA6F74">
              <w:rPr>
                <w:b w:val="0"/>
                <w:szCs w:val="22"/>
              </w:rPr>
              <w:t>36.2</w:t>
            </w:r>
          </w:p>
        </w:tc>
        <w:tc>
          <w:tcPr>
            <w:tcW w:w="1710" w:type="dxa"/>
            <w:gridSpan w:val="2"/>
            <w:tcBorders>
              <w:top w:val="single" w:sz="4" w:space="0" w:color="auto"/>
              <w:left w:val="single" w:sz="4" w:space="0" w:color="auto"/>
              <w:bottom w:val="single" w:sz="4" w:space="0" w:color="auto"/>
              <w:right w:val="single" w:sz="4" w:space="0" w:color="auto"/>
            </w:tcBorders>
            <w:vAlign w:val="bottom"/>
          </w:tcPr>
          <w:p w:rsidR="00517894" w:rsidRPr="00DA6F74" w:rsidRDefault="00517894" w:rsidP="00517894">
            <w:pPr>
              <w:spacing w:line="276" w:lineRule="auto"/>
              <w:jc w:val="center"/>
              <w:rPr>
                <w:b w:val="0"/>
                <w:szCs w:val="22"/>
              </w:rPr>
            </w:pPr>
            <w:r w:rsidRPr="00DA6F74">
              <w:rPr>
                <w:b w:val="0"/>
                <w:szCs w:val="22"/>
              </w:rPr>
              <w:t>39.3</w:t>
            </w:r>
          </w:p>
        </w:tc>
      </w:tr>
      <w:tr w:rsidR="00517894" w:rsidRPr="0035406E" w:rsidTr="0035406E">
        <w:trPr>
          <w:gridAfter w:val="1"/>
          <w:wAfter w:w="18" w:type="dxa"/>
          <w:trHeight w:val="360"/>
        </w:trPr>
        <w:tc>
          <w:tcPr>
            <w:tcW w:w="5058" w:type="dxa"/>
            <w:tcBorders>
              <w:top w:val="single" w:sz="4" w:space="0" w:color="auto"/>
              <w:left w:val="single" w:sz="4" w:space="0" w:color="auto"/>
              <w:bottom w:val="single" w:sz="4" w:space="0" w:color="auto"/>
              <w:right w:val="single" w:sz="4" w:space="0" w:color="auto"/>
            </w:tcBorders>
            <w:vAlign w:val="center"/>
            <w:hideMark/>
          </w:tcPr>
          <w:p w:rsidR="00517894" w:rsidRPr="007127E7" w:rsidRDefault="00517894" w:rsidP="00517894">
            <w:pPr>
              <w:spacing w:before="0" w:line="276" w:lineRule="auto"/>
              <w:ind w:firstLine="0"/>
              <w:contextualSpacing w:val="0"/>
              <w:jc w:val="left"/>
              <w:rPr>
                <w:b w:val="0"/>
                <w:bCs/>
                <w:color w:val="000000"/>
                <w:sz w:val="20"/>
                <w:szCs w:val="20"/>
                <w:lang w:val="hy-AM" w:eastAsia="en-US"/>
              </w:rPr>
            </w:pPr>
            <w:r w:rsidRPr="007127E7">
              <w:rPr>
                <w:b w:val="0"/>
                <w:bCs/>
                <w:color w:val="000000"/>
                <w:sz w:val="20"/>
                <w:szCs w:val="20"/>
                <w:lang w:val="hy-AM" w:eastAsia="en-US"/>
              </w:rPr>
              <w:t>արտարժույթով ներգրավված պարտք</w:t>
            </w:r>
          </w:p>
        </w:tc>
        <w:tc>
          <w:tcPr>
            <w:tcW w:w="1728" w:type="dxa"/>
            <w:tcBorders>
              <w:top w:val="single" w:sz="4" w:space="0" w:color="auto"/>
              <w:left w:val="single" w:sz="4" w:space="0" w:color="auto"/>
              <w:bottom w:val="single" w:sz="4" w:space="0" w:color="auto"/>
              <w:right w:val="single" w:sz="4" w:space="0" w:color="auto"/>
            </w:tcBorders>
            <w:vAlign w:val="bottom"/>
          </w:tcPr>
          <w:p w:rsidR="00517894" w:rsidRPr="00DA6F74" w:rsidRDefault="00517894" w:rsidP="00517894">
            <w:pPr>
              <w:spacing w:line="276" w:lineRule="auto"/>
              <w:jc w:val="center"/>
              <w:rPr>
                <w:b w:val="0"/>
                <w:szCs w:val="22"/>
              </w:rPr>
            </w:pPr>
            <w:r w:rsidRPr="00DA6F74">
              <w:rPr>
                <w:b w:val="0"/>
                <w:szCs w:val="22"/>
              </w:rPr>
              <w:t>71.2</w:t>
            </w:r>
          </w:p>
        </w:tc>
        <w:tc>
          <w:tcPr>
            <w:tcW w:w="1841" w:type="dxa"/>
            <w:gridSpan w:val="2"/>
            <w:tcBorders>
              <w:top w:val="single" w:sz="4" w:space="0" w:color="auto"/>
              <w:left w:val="single" w:sz="4" w:space="0" w:color="auto"/>
              <w:bottom w:val="single" w:sz="4" w:space="0" w:color="auto"/>
              <w:right w:val="single" w:sz="4" w:space="0" w:color="auto"/>
            </w:tcBorders>
            <w:vAlign w:val="bottom"/>
          </w:tcPr>
          <w:p w:rsidR="00517894" w:rsidRPr="00DA6F74" w:rsidRDefault="00517894" w:rsidP="00517894">
            <w:pPr>
              <w:spacing w:line="276" w:lineRule="auto"/>
              <w:jc w:val="center"/>
              <w:rPr>
                <w:b w:val="0"/>
                <w:szCs w:val="22"/>
              </w:rPr>
            </w:pPr>
            <w:r w:rsidRPr="00DA6F74">
              <w:rPr>
                <w:b w:val="0"/>
                <w:szCs w:val="22"/>
              </w:rPr>
              <w:t>63.8</w:t>
            </w:r>
          </w:p>
        </w:tc>
        <w:tc>
          <w:tcPr>
            <w:tcW w:w="1710" w:type="dxa"/>
            <w:gridSpan w:val="2"/>
            <w:tcBorders>
              <w:top w:val="single" w:sz="4" w:space="0" w:color="auto"/>
              <w:left w:val="single" w:sz="4" w:space="0" w:color="auto"/>
              <w:bottom w:val="single" w:sz="4" w:space="0" w:color="auto"/>
              <w:right w:val="single" w:sz="4" w:space="0" w:color="auto"/>
            </w:tcBorders>
            <w:vAlign w:val="bottom"/>
          </w:tcPr>
          <w:p w:rsidR="00517894" w:rsidRPr="00DA6F74" w:rsidRDefault="00517894" w:rsidP="00517894">
            <w:pPr>
              <w:spacing w:line="276" w:lineRule="auto"/>
              <w:jc w:val="center"/>
              <w:rPr>
                <w:b w:val="0"/>
                <w:szCs w:val="22"/>
              </w:rPr>
            </w:pPr>
            <w:r w:rsidRPr="00DA6F74">
              <w:rPr>
                <w:b w:val="0"/>
                <w:szCs w:val="22"/>
              </w:rPr>
              <w:t>60.7</w:t>
            </w:r>
          </w:p>
        </w:tc>
      </w:tr>
      <w:tr w:rsidR="0035406E" w:rsidRPr="0035406E" w:rsidTr="0035406E">
        <w:trPr>
          <w:trHeight w:val="360"/>
        </w:trPr>
        <w:tc>
          <w:tcPr>
            <w:tcW w:w="103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5406E" w:rsidRPr="007127E7" w:rsidRDefault="0035406E" w:rsidP="0035406E">
            <w:pPr>
              <w:spacing w:before="0" w:line="276" w:lineRule="auto"/>
              <w:ind w:left="540" w:firstLine="0"/>
              <w:contextualSpacing w:val="0"/>
              <w:jc w:val="center"/>
              <w:rPr>
                <w:b w:val="0"/>
                <w:bCs/>
                <w:color w:val="000000"/>
                <w:szCs w:val="22"/>
                <w:lang w:val="hy-AM" w:eastAsia="en-US"/>
              </w:rPr>
            </w:pPr>
            <w:r w:rsidRPr="007127E7">
              <w:rPr>
                <w:b w:val="0"/>
                <w:bCs/>
                <w:color w:val="000000"/>
                <w:szCs w:val="22"/>
                <w:lang w:val="hy-AM" w:eastAsia="en-US"/>
              </w:rPr>
              <w:t>Կառուցվածքն ըստ տոկոսադրույքի տեսակի, մլրդ դրամ</w:t>
            </w:r>
          </w:p>
        </w:tc>
      </w:tr>
      <w:tr w:rsidR="00517894" w:rsidRPr="0035406E" w:rsidTr="0035406E">
        <w:trPr>
          <w:gridAfter w:val="1"/>
          <w:wAfter w:w="18" w:type="dxa"/>
          <w:trHeight w:val="360"/>
        </w:trPr>
        <w:tc>
          <w:tcPr>
            <w:tcW w:w="5058" w:type="dxa"/>
            <w:tcBorders>
              <w:top w:val="single" w:sz="4" w:space="0" w:color="auto"/>
              <w:left w:val="single" w:sz="4" w:space="0" w:color="auto"/>
              <w:bottom w:val="single" w:sz="4" w:space="0" w:color="auto"/>
              <w:right w:val="single" w:sz="4" w:space="0" w:color="auto"/>
            </w:tcBorders>
            <w:vAlign w:val="center"/>
            <w:hideMark/>
          </w:tcPr>
          <w:p w:rsidR="00517894" w:rsidRPr="007127E7" w:rsidRDefault="00517894" w:rsidP="00517894">
            <w:pPr>
              <w:spacing w:before="0" w:line="276" w:lineRule="auto"/>
              <w:ind w:firstLine="0"/>
              <w:contextualSpacing w:val="0"/>
              <w:jc w:val="left"/>
              <w:rPr>
                <w:b w:val="0"/>
                <w:bCs/>
                <w:color w:val="000000"/>
                <w:sz w:val="20"/>
                <w:szCs w:val="20"/>
                <w:lang w:val="hy-AM" w:eastAsia="en-US"/>
              </w:rPr>
            </w:pPr>
            <w:r w:rsidRPr="007127E7">
              <w:rPr>
                <w:b w:val="0"/>
                <w:bCs/>
                <w:color w:val="000000"/>
                <w:sz w:val="20"/>
                <w:szCs w:val="20"/>
                <w:lang w:val="hy-AM" w:eastAsia="en-US"/>
              </w:rPr>
              <w:t>լողացող տոկոսադրույքով</w:t>
            </w:r>
          </w:p>
        </w:tc>
        <w:tc>
          <w:tcPr>
            <w:tcW w:w="1728" w:type="dxa"/>
            <w:tcBorders>
              <w:top w:val="single" w:sz="4" w:space="0" w:color="auto"/>
              <w:left w:val="single" w:sz="4" w:space="0" w:color="auto"/>
              <w:bottom w:val="single" w:sz="4" w:space="0" w:color="auto"/>
              <w:right w:val="single" w:sz="4" w:space="0" w:color="auto"/>
            </w:tcBorders>
            <w:vAlign w:val="bottom"/>
          </w:tcPr>
          <w:p w:rsidR="00517894" w:rsidRPr="00DA6F74" w:rsidRDefault="00517894" w:rsidP="00517894">
            <w:pPr>
              <w:spacing w:line="276" w:lineRule="auto"/>
              <w:jc w:val="center"/>
              <w:rPr>
                <w:b w:val="0"/>
                <w:szCs w:val="22"/>
              </w:rPr>
            </w:pPr>
            <w:r w:rsidRPr="00DA6F74">
              <w:rPr>
                <w:b w:val="0"/>
                <w:szCs w:val="22"/>
              </w:rPr>
              <w:t>17.1</w:t>
            </w:r>
          </w:p>
        </w:tc>
        <w:tc>
          <w:tcPr>
            <w:tcW w:w="1841" w:type="dxa"/>
            <w:gridSpan w:val="2"/>
            <w:tcBorders>
              <w:top w:val="single" w:sz="4" w:space="0" w:color="auto"/>
              <w:left w:val="single" w:sz="4" w:space="0" w:color="auto"/>
              <w:bottom w:val="single" w:sz="4" w:space="0" w:color="auto"/>
              <w:right w:val="single" w:sz="4" w:space="0" w:color="auto"/>
            </w:tcBorders>
            <w:vAlign w:val="bottom"/>
          </w:tcPr>
          <w:p w:rsidR="00517894" w:rsidRPr="00DA6F74" w:rsidRDefault="00517894" w:rsidP="00517894">
            <w:pPr>
              <w:spacing w:line="276" w:lineRule="auto"/>
              <w:jc w:val="center"/>
              <w:rPr>
                <w:b w:val="0"/>
                <w:szCs w:val="22"/>
              </w:rPr>
            </w:pPr>
            <w:r w:rsidRPr="00DA6F74">
              <w:rPr>
                <w:b w:val="0"/>
                <w:szCs w:val="22"/>
              </w:rPr>
              <w:t>17.5</w:t>
            </w:r>
          </w:p>
        </w:tc>
        <w:tc>
          <w:tcPr>
            <w:tcW w:w="1710" w:type="dxa"/>
            <w:gridSpan w:val="2"/>
            <w:tcBorders>
              <w:top w:val="single" w:sz="4" w:space="0" w:color="auto"/>
              <w:left w:val="single" w:sz="4" w:space="0" w:color="auto"/>
              <w:bottom w:val="single" w:sz="4" w:space="0" w:color="auto"/>
              <w:right w:val="single" w:sz="4" w:space="0" w:color="auto"/>
            </w:tcBorders>
            <w:vAlign w:val="bottom"/>
          </w:tcPr>
          <w:p w:rsidR="00517894" w:rsidRPr="00DA6F74" w:rsidRDefault="00517894" w:rsidP="00517894">
            <w:pPr>
              <w:spacing w:line="276" w:lineRule="auto"/>
              <w:jc w:val="center"/>
              <w:rPr>
                <w:b w:val="0"/>
                <w:szCs w:val="22"/>
              </w:rPr>
            </w:pPr>
            <w:r w:rsidRPr="00DA6F74">
              <w:rPr>
                <w:b w:val="0"/>
                <w:szCs w:val="22"/>
              </w:rPr>
              <w:t>18.0</w:t>
            </w:r>
          </w:p>
        </w:tc>
      </w:tr>
      <w:tr w:rsidR="00517894" w:rsidRPr="0035406E" w:rsidTr="0035406E">
        <w:trPr>
          <w:gridAfter w:val="1"/>
          <w:wAfter w:w="18" w:type="dxa"/>
          <w:trHeight w:val="360"/>
        </w:trPr>
        <w:tc>
          <w:tcPr>
            <w:tcW w:w="5058" w:type="dxa"/>
            <w:tcBorders>
              <w:top w:val="single" w:sz="4" w:space="0" w:color="auto"/>
              <w:left w:val="single" w:sz="4" w:space="0" w:color="auto"/>
              <w:bottom w:val="single" w:sz="4" w:space="0" w:color="auto"/>
              <w:right w:val="single" w:sz="4" w:space="0" w:color="auto"/>
            </w:tcBorders>
            <w:vAlign w:val="center"/>
            <w:hideMark/>
          </w:tcPr>
          <w:p w:rsidR="00517894" w:rsidRPr="007127E7" w:rsidRDefault="00517894" w:rsidP="00517894">
            <w:pPr>
              <w:spacing w:before="0" w:line="276" w:lineRule="auto"/>
              <w:ind w:firstLine="0"/>
              <w:contextualSpacing w:val="0"/>
              <w:jc w:val="left"/>
              <w:rPr>
                <w:b w:val="0"/>
                <w:bCs/>
                <w:color w:val="000000"/>
                <w:sz w:val="20"/>
                <w:szCs w:val="20"/>
                <w:lang w:val="hy-AM" w:eastAsia="en-US"/>
              </w:rPr>
            </w:pPr>
            <w:r w:rsidRPr="007127E7">
              <w:rPr>
                <w:b w:val="0"/>
                <w:bCs/>
                <w:color w:val="000000"/>
                <w:sz w:val="20"/>
                <w:szCs w:val="20"/>
                <w:lang w:val="hy-AM" w:eastAsia="en-US"/>
              </w:rPr>
              <w:t>ֆիքսված տոկոսադրույքով</w:t>
            </w:r>
          </w:p>
        </w:tc>
        <w:tc>
          <w:tcPr>
            <w:tcW w:w="1728" w:type="dxa"/>
            <w:tcBorders>
              <w:top w:val="single" w:sz="4" w:space="0" w:color="auto"/>
              <w:left w:val="single" w:sz="4" w:space="0" w:color="auto"/>
              <w:bottom w:val="single" w:sz="4" w:space="0" w:color="auto"/>
              <w:right w:val="single" w:sz="4" w:space="0" w:color="auto"/>
            </w:tcBorders>
            <w:vAlign w:val="bottom"/>
          </w:tcPr>
          <w:p w:rsidR="00517894" w:rsidRPr="00DA6F74" w:rsidRDefault="00517894" w:rsidP="00517894">
            <w:pPr>
              <w:spacing w:line="276" w:lineRule="auto"/>
              <w:jc w:val="center"/>
              <w:rPr>
                <w:b w:val="0"/>
                <w:szCs w:val="22"/>
              </w:rPr>
            </w:pPr>
            <w:r w:rsidRPr="00DA6F74">
              <w:rPr>
                <w:b w:val="0"/>
                <w:szCs w:val="22"/>
              </w:rPr>
              <w:t>82.9</w:t>
            </w:r>
          </w:p>
        </w:tc>
        <w:tc>
          <w:tcPr>
            <w:tcW w:w="1841" w:type="dxa"/>
            <w:gridSpan w:val="2"/>
            <w:tcBorders>
              <w:top w:val="single" w:sz="4" w:space="0" w:color="auto"/>
              <w:left w:val="single" w:sz="4" w:space="0" w:color="auto"/>
              <w:bottom w:val="single" w:sz="4" w:space="0" w:color="auto"/>
              <w:right w:val="single" w:sz="4" w:space="0" w:color="auto"/>
            </w:tcBorders>
            <w:vAlign w:val="bottom"/>
          </w:tcPr>
          <w:p w:rsidR="00517894" w:rsidRPr="00DA6F74" w:rsidRDefault="00517894" w:rsidP="00517894">
            <w:pPr>
              <w:spacing w:line="276" w:lineRule="auto"/>
              <w:jc w:val="center"/>
              <w:rPr>
                <w:b w:val="0"/>
                <w:szCs w:val="22"/>
              </w:rPr>
            </w:pPr>
            <w:r w:rsidRPr="00DA6F74">
              <w:rPr>
                <w:b w:val="0"/>
                <w:szCs w:val="22"/>
              </w:rPr>
              <w:t>82.5</w:t>
            </w:r>
          </w:p>
        </w:tc>
        <w:tc>
          <w:tcPr>
            <w:tcW w:w="1710" w:type="dxa"/>
            <w:gridSpan w:val="2"/>
            <w:tcBorders>
              <w:top w:val="single" w:sz="4" w:space="0" w:color="auto"/>
              <w:left w:val="single" w:sz="4" w:space="0" w:color="auto"/>
              <w:bottom w:val="single" w:sz="4" w:space="0" w:color="auto"/>
              <w:right w:val="single" w:sz="4" w:space="0" w:color="auto"/>
            </w:tcBorders>
            <w:vAlign w:val="bottom"/>
          </w:tcPr>
          <w:p w:rsidR="00517894" w:rsidRPr="00DA6F74" w:rsidRDefault="00517894" w:rsidP="00517894">
            <w:pPr>
              <w:spacing w:line="276" w:lineRule="auto"/>
              <w:jc w:val="center"/>
              <w:rPr>
                <w:b w:val="0"/>
                <w:szCs w:val="22"/>
              </w:rPr>
            </w:pPr>
            <w:r w:rsidRPr="00DA6F74">
              <w:rPr>
                <w:b w:val="0"/>
                <w:szCs w:val="22"/>
              </w:rPr>
              <w:t>82.0</w:t>
            </w:r>
          </w:p>
        </w:tc>
      </w:tr>
      <w:tr w:rsidR="0035406E" w:rsidRPr="00A4527D" w:rsidTr="0035406E">
        <w:trPr>
          <w:trHeight w:val="484"/>
        </w:trPr>
        <w:tc>
          <w:tcPr>
            <w:tcW w:w="10355" w:type="dxa"/>
            <w:gridSpan w:val="7"/>
            <w:hideMark/>
          </w:tcPr>
          <w:p w:rsidR="007127E7" w:rsidRDefault="007127E7" w:rsidP="0035406E">
            <w:pPr>
              <w:spacing w:before="0" w:line="276" w:lineRule="auto"/>
              <w:ind w:firstLine="0"/>
              <w:contextualSpacing w:val="0"/>
              <w:rPr>
                <w:bCs/>
                <w:i/>
                <w:iCs/>
                <w:color w:val="000000"/>
                <w:szCs w:val="22"/>
                <w:lang w:val="hy-AM" w:eastAsia="en-US"/>
              </w:rPr>
            </w:pPr>
          </w:p>
          <w:p w:rsidR="0035406E" w:rsidRDefault="0035406E" w:rsidP="0035406E">
            <w:pPr>
              <w:spacing w:before="0" w:line="276" w:lineRule="auto"/>
              <w:ind w:firstLine="0"/>
              <w:contextualSpacing w:val="0"/>
              <w:rPr>
                <w:b w:val="0"/>
                <w:bCs/>
                <w:i/>
                <w:iCs/>
                <w:color w:val="000000"/>
                <w:sz w:val="20"/>
                <w:szCs w:val="20"/>
                <w:lang w:val="hy-AM" w:eastAsia="en-US"/>
              </w:rPr>
            </w:pPr>
            <w:r w:rsidRPr="00F53C07">
              <w:rPr>
                <w:b w:val="0"/>
                <w:bCs/>
                <w:i/>
                <w:iCs/>
                <w:color w:val="000000"/>
                <w:sz w:val="20"/>
                <w:szCs w:val="20"/>
                <w:lang w:val="hy-AM" w:eastAsia="en-US"/>
              </w:rPr>
              <w:t xml:space="preserve">* 2022 </w:t>
            </w:r>
            <w:r w:rsidRPr="00F53C07">
              <w:rPr>
                <w:rFonts w:cs="Sylfaen"/>
                <w:b w:val="0"/>
                <w:bCs/>
                <w:i/>
                <w:iCs/>
                <w:color w:val="000000"/>
                <w:sz w:val="20"/>
                <w:szCs w:val="20"/>
                <w:lang w:val="hy-AM" w:eastAsia="en-US"/>
              </w:rPr>
              <w:t>և</w:t>
            </w:r>
            <w:r w:rsidRPr="00F53C07">
              <w:rPr>
                <w:b w:val="0"/>
                <w:bCs/>
                <w:i/>
                <w:iCs/>
                <w:color w:val="000000"/>
                <w:sz w:val="20"/>
                <w:szCs w:val="20"/>
                <w:lang w:val="hy-AM" w:eastAsia="en-US"/>
              </w:rPr>
              <w:t xml:space="preserve"> 2023 </w:t>
            </w:r>
            <w:r w:rsidRPr="00F53C07">
              <w:rPr>
                <w:rFonts w:cs="Sylfaen"/>
                <w:b w:val="0"/>
                <w:bCs/>
                <w:i/>
                <w:iCs/>
                <w:color w:val="000000"/>
                <w:sz w:val="20"/>
                <w:szCs w:val="20"/>
                <w:lang w:val="hy-AM" w:eastAsia="en-US"/>
              </w:rPr>
              <w:t>թվականների</w:t>
            </w:r>
            <w:r w:rsidRPr="00F53C07">
              <w:rPr>
                <w:b w:val="0"/>
                <w:bCs/>
                <w:i/>
                <w:iCs/>
                <w:color w:val="000000"/>
                <w:sz w:val="20"/>
                <w:szCs w:val="20"/>
                <w:lang w:val="hy-AM" w:eastAsia="en-US"/>
              </w:rPr>
              <w:t xml:space="preserve"> </w:t>
            </w:r>
            <w:r w:rsidRPr="00F53C07">
              <w:rPr>
                <w:rFonts w:cs="Sylfaen"/>
                <w:b w:val="0"/>
                <w:bCs/>
                <w:i/>
                <w:iCs/>
                <w:color w:val="000000"/>
                <w:sz w:val="20"/>
                <w:szCs w:val="20"/>
                <w:lang w:val="hy-AM" w:eastAsia="en-US"/>
              </w:rPr>
              <w:t xml:space="preserve">համար </w:t>
            </w:r>
            <w:r w:rsidRPr="00F53C07">
              <w:rPr>
                <w:b w:val="0"/>
                <w:bCs/>
                <w:i/>
                <w:iCs/>
                <w:color w:val="000000"/>
                <w:sz w:val="20"/>
                <w:szCs w:val="20"/>
                <w:lang w:val="hy-AM" w:eastAsia="en-US"/>
              </w:rPr>
              <w:t xml:space="preserve">պետական գանձապետական և արտարժութային պարտատոմսերի գծով պարտքի մնացորդը բաշխվել է ըստ ռեզիդենտության հիմք ընդունելով 2022թ. օգոստոսի 31-ի դրությամբ </w:t>
            </w:r>
            <w:r w:rsidRPr="00F53C07">
              <w:rPr>
                <w:rFonts w:cs="Sylfaen"/>
                <w:b w:val="0"/>
                <w:bCs/>
                <w:i/>
                <w:iCs/>
                <w:color w:val="000000"/>
                <w:sz w:val="20"/>
                <w:szCs w:val="20"/>
                <w:lang w:val="hy-AM" w:eastAsia="en-US"/>
              </w:rPr>
              <w:t>փաստացի</w:t>
            </w:r>
            <w:r w:rsidRPr="00F53C07">
              <w:rPr>
                <w:b w:val="0"/>
                <w:bCs/>
                <w:i/>
                <w:iCs/>
                <w:color w:val="000000"/>
                <w:sz w:val="20"/>
                <w:szCs w:val="20"/>
                <w:lang w:val="hy-AM" w:eastAsia="en-US"/>
              </w:rPr>
              <w:t xml:space="preserve"> </w:t>
            </w:r>
            <w:r w:rsidRPr="00F53C07">
              <w:rPr>
                <w:rFonts w:cs="Sylfaen"/>
                <w:b w:val="0"/>
                <w:bCs/>
                <w:i/>
                <w:iCs/>
                <w:color w:val="000000"/>
                <w:sz w:val="20"/>
                <w:szCs w:val="20"/>
                <w:lang w:val="hy-AM" w:eastAsia="en-US"/>
              </w:rPr>
              <w:t>ձևավորված</w:t>
            </w:r>
            <w:r w:rsidRPr="00F53C07">
              <w:rPr>
                <w:b w:val="0"/>
                <w:bCs/>
                <w:i/>
                <w:iCs/>
                <w:color w:val="000000"/>
                <w:sz w:val="20"/>
                <w:szCs w:val="20"/>
                <w:lang w:val="hy-AM" w:eastAsia="en-US"/>
              </w:rPr>
              <w:t xml:space="preserve"> </w:t>
            </w:r>
            <w:r w:rsidRPr="00F53C07">
              <w:rPr>
                <w:rFonts w:cs="Sylfaen"/>
                <w:b w:val="0"/>
                <w:bCs/>
                <w:i/>
                <w:iCs/>
                <w:color w:val="000000"/>
                <w:sz w:val="20"/>
                <w:szCs w:val="20"/>
                <w:lang w:val="hy-AM" w:eastAsia="en-US"/>
              </w:rPr>
              <w:t>տեսակարար</w:t>
            </w:r>
            <w:r w:rsidRPr="00F53C07">
              <w:rPr>
                <w:b w:val="0"/>
                <w:bCs/>
                <w:i/>
                <w:iCs/>
                <w:color w:val="000000"/>
                <w:sz w:val="20"/>
                <w:szCs w:val="20"/>
                <w:lang w:val="hy-AM" w:eastAsia="en-US"/>
              </w:rPr>
              <w:t xml:space="preserve"> </w:t>
            </w:r>
            <w:r w:rsidRPr="00F53C07">
              <w:rPr>
                <w:rFonts w:cs="Sylfaen"/>
                <w:b w:val="0"/>
                <w:bCs/>
                <w:i/>
                <w:iCs/>
                <w:color w:val="000000"/>
                <w:sz w:val="20"/>
                <w:szCs w:val="20"/>
                <w:lang w:val="hy-AM" w:eastAsia="en-US"/>
              </w:rPr>
              <w:t>կշիռները</w:t>
            </w:r>
            <w:r w:rsidRPr="00F53C07">
              <w:rPr>
                <w:b w:val="0"/>
                <w:bCs/>
                <w:i/>
                <w:iCs/>
                <w:color w:val="000000"/>
                <w:sz w:val="20"/>
                <w:szCs w:val="20"/>
                <w:lang w:val="hy-AM" w:eastAsia="en-US"/>
              </w:rPr>
              <w:t>:</w:t>
            </w:r>
          </w:p>
          <w:p w:rsidR="002916D8" w:rsidRDefault="002916D8" w:rsidP="0035406E">
            <w:pPr>
              <w:spacing w:before="0" w:line="276" w:lineRule="auto"/>
              <w:ind w:firstLine="0"/>
              <w:contextualSpacing w:val="0"/>
              <w:rPr>
                <w:b w:val="0"/>
                <w:bCs/>
                <w:i/>
                <w:iCs/>
                <w:color w:val="000000"/>
                <w:sz w:val="20"/>
                <w:szCs w:val="20"/>
                <w:lang w:val="hy-AM" w:eastAsia="en-US"/>
              </w:rPr>
            </w:pPr>
          </w:p>
          <w:p w:rsidR="007A0119" w:rsidRDefault="007A0119" w:rsidP="0035406E">
            <w:pPr>
              <w:spacing w:before="0" w:line="276" w:lineRule="auto"/>
              <w:ind w:firstLine="0"/>
              <w:contextualSpacing w:val="0"/>
              <w:rPr>
                <w:b w:val="0"/>
                <w:bCs/>
                <w:i/>
                <w:iCs/>
                <w:color w:val="000000"/>
                <w:sz w:val="20"/>
                <w:szCs w:val="20"/>
                <w:lang w:val="hy-AM" w:eastAsia="en-US"/>
              </w:rPr>
            </w:pPr>
          </w:p>
          <w:p w:rsidR="002916D8" w:rsidRPr="00F53C07" w:rsidRDefault="002916D8" w:rsidP="0035406E">
            <w:pPr>
              <w:spacing w:before="0" w:line="276" w:lineRule="auto"/>
              <w:ind w:firstLine="0"/>
              <w:contextualSpacing w:val="0"/>
              <w:rPr>
                <w:b w:val="0"/>
                <w:bCs/>
                <w:i/>
                <w:iCs/>
                <w:color w:val="000000"/>
                <w:sz w:val="20"/>
                <w:szCs w:val="20"/>
                <w:lang w:val="hy-AM" w:eastAsia="en-US"/>
              </w:rPr>
            </w:pPr>
          </w:p>
        </w:tc>
      </w:tr>
    </w:tbl>
    <w:p w:rsidR="0035406E" w:rsidRPr="0035406E" w:rsidRDefault="00DA6F74" w:rsidP="0035406E">
      <w:pPr>
        <w:spacing w:before="0" w:after="120" w:line="276" w:lineRule="auto"/>
        <w:ind w:firstLine="720"/>
        <w:contextualSpacing w:val="0"/>
        <w:rPr>
          <w:rFonts w:eastAsia="Calibri"/>
          <w:b w:val="0"/>
          <w:szCs w:val="22"/>
          <w:lang w:val="hy-AM" w:eastAsia="en-US"/>
        </w:rPr>
      </w:pPr>
      <w:r w:rsidRPr="00157698">
        <w:rPr>
          <w:noProof/>
          <w:szCs w:val="22"/>
          <w:lang w:val="en-US" w:eastAsia="en-US"/>
        </w:rPr>
        <mc:AlternateContent>
          <mc:Choice Requires="wpg">
            <w:drawing>
              <wp:anchor distT="0" distB="0" distL="114300" distR="114300" simplePos="0" relativeHeight="251638784" behindDoc="0" locked="0" layoutInCell="1" allowOverlap="1" wp14:anchorId="726E289D" wp14:editId="071913E3">
                <wp:simplePos x="0" y="0"/>
                <wp:positionH relativeFrom="column">
                  <wp:posOffset>0</wp:posOffset>
                </wp:positionH>
                <wp:positionV relativeFrom="paragraph">
                  <wp:posOffset>-635</wp:posOffset>
                </wp:positionV>
                <wp:extent cx="6581775" cy="3867150"/>
                <wp:effectExtent l="0" t="0" r="9525" b="0"/>
                <wp:wrapNone/>
                <wp:docPr id="35" name="Group 1"/>
                <wp:cNvGraphicFramePr/>
                <a:graphic xmlns:a="http://schemas.openxmlformats.org/drawingml/2006/main">
                  <a:graphicData uri="http://schemas.microsoft.com/office/word/2010/wordprocessingGroup">
                    <wpg:wgp>
                      <wpg:cNvGrpSpPr/>
                      <wpg:grpSpPr bwMode="auto">
                        <a:xfrm>
                          <a:off x="0" y="0"/>
                          <a:ext cx="6581775" cy="3867150"/>
                          <a:chOff x="0" y="0"/>
                          <a:chExt cx="9214700" cy="5532537"/>
                        </a:xfrm>
                      </wpg:grpSpPr>
                      <wpg:graphicFrame>
                        <wpg:cNvPr id="43" name="Chart 43"/>
                        <wpg:cNvFrPr>
                          <a:graphicFrameLocks/>
                        </wpg:cNvFrPr>
                        <wpg:xfrm>
                          <a:off x="7223" y="0"/>
                          <a:ext cx="4571211" cy="2743595"/>
                        </wpg:xfrm>
                        <a:graphic>
                          <a:graphicData uri="http://schemas.openxmlformats.org/drawingml/2006/chart">
                            <c:chart xmlns:c="http://schemas.openxmlformats.org/drawingml/2006/chart" xmlns:r="http://schemas.openxmlformats.org/officeDocument/2006/relationships" r:id="rId64"/>
                          </a:graphicData>
                        </a:graphic>
                      </wpg:graphicFrame>
                      <wpg:graphicFrame>
                        <wpg:cNvPr id="54" name="Chart 54"/>
                        <wpg:cNvFrPr>
                          <a:graphicFrameLocks/>
                        </wpg:cNvFrPr>
                        <wpg:xfrm>
                          <a:off x="4643488" y="8208"/>
                          <a:ext cx="4571212" cy="2743594"/>
                        </wpg:xfrm>
                        <a:graphic>
                          <a:graphicData uri="http://schemas.openxmlformats.org/drawingml/2006/chart">
                            <c:chart xmlns:c="http://schemas.openxmlformats.org/drawingml/2006/chart" xmlns:r="http://schemas.openxmlformats.org/officeDocument/2006/relationships" r:id="rId65"/>
                          </a:graphicData>
                        </a:graphic>
                      </wpg:graphicFrame>
                      <wpg:graphicFrame>
                        <wpg:cNvPr id="58" name="Chart 58"/>
                        <wpg:cNvFrPr>
                          <a:graphicFrameLocks/>
                        </wpg:cNvFrPr>
                        <wpg:xfrm>
                          <a:off x="0" y="2789336"/>
                          <a:ext cx="4571211" cy="2743201"/>
                        </wpg:xfrm>
                        <a:graphic>
                          <a:graphicData uri="http://schemas.openxmlformats.org/drawingml/2006/chart">
                            <c:chart xmlns:c="http://schemas.openxmlformats.org/drawingml/2006/chart" xmlns:r="http://schemas.openxmlformats.org/officeDocument/2006/relationships" r:id="rId66"/>
                          </a:graphicData>
                        </a:graphic>
                      </wpg:graphicFrame>
                      <wpg:graphicFrame>
                        <wpg:cNvPr id="65" name="Chart 65"/>
                        <wpg:cNvFrPr>
                          <a:graphicFrameLocks/>
                        </wpg:cNvFrPr>
                        <wpg:xfrm>
                          <a:off x="4616010" y="2788943"/>
                          <a:ext cx="4571212" cy="2743200"/>
                        </wpg:xfrm>
                        <a:graphic>
                          <a:graphicData uri="http://schemas.openxmlformats.org/drawingml/2006/chart">
                            <c:chart xmlns:c="http://schemas.openxmlformats.org/drawingml/2006/chart" xmlns:r="http://schemas.openxmlformats.org/officeDocument/2006/relationships" r:id="rId67"/>
                          </a:graphicData>
                        </a:graphic>
                      </wpg:graphicFrame>
                    </wpg:wgp>
                  </a:graphicData>
                </a:graphic>
                <wp14:sizeRelH relativeFrom="margin">
                  <wp14:pctWidth>0</wp14:pctWidth>
                </wp14:sizeRelH>
                <wp14:sizeRelV relativeFrom="margin">
                  <wp14:pctHeight>0</wp14:pctHeight>
                </wp14:sizeRelV>
              </wp:anchor>
            </w:drawing>
          </mc:Choice>
          <mc:Fallback>
            <w:pict>
              <v:group w14:anchorId="629D938F" id="Group 1" o:spid="_x0000_s1026" style="position:absolute;margin-left:0;margin-top:-.05pt;width:518.25pt;height:304.5pt;z-index:251638784;mso-width-relative:margin;mso-height-relative:margin" coordsize="92147,55325" o:gfxdata="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43" o:spid="_x0000_s1027" type="#_x0000_t75" style="position:absolute;top:-87;width:45830;height:276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">
                  <v:imagedata r:id="rId68" o:title=""/>
                  <o:lock v:ext="edit" aspectratio="f"/>
                </v:shape>
                <v:shape id="Chart 54" o:spid="_x0000_s1028" type="#_x0000_t75" style="position:absolute;left:46342;width:45917;height:276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">
                  <v:imagedata r:id="rId69" o:title=""/>
                  <o:lock v:ext="edit" aspectratio="f"/>
                </v:shape>
                <v:shape id="Chart 58" o:spid="_x0000_s1029" type="#_x0000_t75" style="position:absolute;left:-85;top:27820;width:45915;height:275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">
                  <v:imagedata r:id="rId70" o:title=""/>
                  <o:lock v:ext="edit" aspectratio="f"/>
                </v:shape>
                <v:shape id="Chart 65" o:spid="_x0000_s1030" type="#_x0000_t75" style="position:absolute;left:46086;top:27820;width:45831;height:275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">
                  <v:imagedata r:id="rId71" o:title=""/>
                  <o:lock v:ext="edit" aspectratio="f"/>
                </v:shape>
              </v:group>
            </w:pict>
          </mc:Fallback>
        </mc:AlternateContent>
      </w:r>
    </w:p>
    <w:p w:rsidR="0035406E" w:rsidRPr="0035406E" w:rsidRDefault="0035406E" w:rsidP="0035406E">
      <w:pPr>
        <w:spacing w:before="0" w:after="120" w:line="276" w:lineRule="auto"/>
        <w:ind w:firstLine="720"/>
        <w:contextualSpacing w:val="0"/>
        <w:rPr>
          <w:rFonts w:eastAsia="Calibri"/>
          <w:b w:val="0"/>
          <w:szCs w:val="22"/>
          <w:lang w:val="hy-AM" w:eastAsia="en-US"/>
        </w:rPr>
      </w:pPr>
    </w:p>
    <w:p w:rsidR="0035406E" w:rsidRPr="0035406E" w:rsidRDefault="0035406E" w:rsidP="0035406E">
      <w:pPr>
        <w:spacing w:before="0" w:after="120" w:line="276" w:lineRule="auto"/>
        <w:ind w:firstLine="720"/>
        <w:contextualSpacing w:val="0"/>
        <w:rPr>
          <w:rFonts w:eastAsia="Calibri"/>
          <w:b w:val="0"/>
          <w:szCs w:val="22"/>
          <w:lang w:val="hy-AM" w:eastAsia="en-US"/>
        </w:rPr>
      </w:pPr>
    </w:p>
    <w:p w:rsidR="0035406E" w:rsidRPr="0035406E" w:rsidRDefault="0035406E" w:rsidP="0035406E">
      <w:pPr>
        <w:spacing w:before="0" w:after="120" w:line="276" w:lineRule="auto"/>
        <w:ind w:firstLine="720"/>
        <w:contextualSpacing w:val="0"/>
        <w:rPr>
          <w:rFonts w:eastAsia="Calibri"/>
          <w:b w:val="0"/>
          <w:szCs w:val="22"/>
          <w:lang w:val="hy-AM" w:eastAsia="en-US"/>
        </w:rPr>
      </w:pPr>
    </w:p>
    <w:p w:rsidR="0035406E" w:rsidRPr="0035406E" w:rsidRDefault="0035406E" w:rsidP="0035406E">
      <w:pPr>
        <w:spacing w:before="0" w:after="120" w:line="276" w:lineRule="auto"/>
        <w:ind w:firstLine="720"/>
        <w:contextualSpacing w:val="0"/>
        <w:rPr>
          <w:rFonts w:eastAsia="Calibri"/>
          <w:b w:val="0"/>
          <w:szCs w:val="22"/>
          <w:lang w:val="hy-AM" w:eastAsia="en-US"/>
        </w:rPr>
      </w:pPr>
    </w:p>
    <w:p w:rsidR="0035406E" w:rsidRPr="0035406E" w:rsidRDefault="0035406E" w:rsidP="0035406E">
      <w:pPr>
        <w:spacing w:before="0" w:after="120" w:line="276" w:lineRule="auto"/>
        <w:ind w:firstLine="720"/>
        <w:contextualSpacing w:val="0"/>
        <w:rPr>
          <w:rFonts w:eastAsia="Calibri"/>
          <w:b w:val="0"/>
          <w:szCs w:val="22"/>
          <w:lang w:val="hy-AM" w:eastAsia="en-US"/>
        </w:rPr>
      </w:pPr>
    </w:p>
    <w:p w:rsidR="0035406E" w:rsidRPr="0035406E" w:rsidRDefault="0035406E" w:rsidP="0035406E">
      <w:pPr>
        <w:spacing w:before="0" w:after="120" w:line="276" w:lineRule="auto"/>
        <w:ind w:firstLine="720"/>
        <w:contextualSpacing w:val="0"/>
        <w:rPr>
          <w:rFonts w:eastAsia="Calibri"/>
          <w:b w:val="0"/>
          <w:szCs w:val="22"/>
          <w:lang w:val="hy-AM" w:eastAsia="en-US"/>
        </w:rPr>
      </w:pPr>
    </w:p>
    <w:p w:rsidR="0035406E" w:rsidRPr="0035406E" w:rsidRDefault="0035406E" w:rsidP="0035406E">
      <w:pPr>
        <w:spacing w:before="0" w:after="120" w:line="276" w:lineRule="auto"/>
        <w:ind w:firstLine="720"/>
        <w:contextualSpacing w:val="0"/>
        <w:rPr>
          <w:rFonts w:eastAsia="Calibri"/>
          <w:b w:val="0"/>
          <w:szCs w:val="22"/>
          <w:lang w:val="hy-AM" w:eastAsia="en-US"/>
        </w:rPr>
      </w:pPr>
    </w:p>
    <w:p w:rsidR="0035406E" w:rsidRPr="0035406E" w:rsidRDefault="0035406E" w:rsidP="0035406E">
      <w:pPr>
        <w:spacing w:before="0" w:after="120" w:line="276" w:lineRule="auto"/>
        <w:ind w:firstLine="720"/>
        <w:contextualSpacing w:val="0"/>
        <w:rPr>
          <w:rFonts w:eastAsia="Calibri"/>
          <w:b w:val="0"/>
          <w:szCs w:val="22"/>
          <w:lang w:val="hy-AM" w:eastAsia="en-US"/>
        </w:rPr>
      </w:pPr>
    </w:p>
    <w:p w:rsidR="007127E7" w:rsidRDefault="007127E7" w:rsidP="0035406E">
      <w:pPr>
        <w:spacing w:before="0" w:after="120" w:line="276" w:lineRule="auto"/>
        <w:ind w:firstLine="720"/>
        <w:contextualSpacing w:val="0"/>
        <w:rPr>
          <w:rFonts w:eastAsia="Calibri"/>
          <w:b w:val="0"/>
          <w:szCs w:val="22"/>
          <w:lang w:val="hy-AM" w:eastAsia="en-US"/>
        </w:rPr>
      </w:pPr>
    </w:p>
    <w:p w:rsidR="00DA6F74" w:rsidRDefault="00DA6F74" w:rsidP="0035406E">
      <w:pPr>
        <w:spacing w:before="0" w:after="120" w:line="276" w:lineRule="auto"/>
        <w:ind w:firstLine="720"/>
        <w:contextualSpacing w:val="0"/>
        <w:rPr>
          <w:rFonts w:eastAsia="Calibri"/>
          <w:b w:val="0"/>
          <w:szCs w:val="22"/>
          <w:lang w:val="hy-AM" w:eastAsia="en-US"/>
        </w:rPr>
      </w:pPr>
    </w:p>
    <w:p w:rsidR="00DA6F74" w:rsidRDefault="00DA6F74" w:rsidP="0035406E">
      <w:pPr>
        <w:spacing w:before="0" w:after="120" w:line="276" w:lineRule="auto"/>
        <w:ind w:firstLine="720"/>
        <w:contextualSpacing w:val="0"/>
        <w:rPr>
          <w:rFonts w:eastAsia="Calibri"/>
          <w:b w:val="0"/>
          <w:szCs w:val="22"/>
          <w:lang w:val="hy-AM" w:eastAsia="en-US"/>
        </w:rPr>
      </w:pPr>
    </w:p>
    <w:p w:rsidR="00DA6F74" w:rsidRDefault="00DA6F74" w:rsidP="0035406E">
      <w:pPr>
        <w:spacing w:before="0" w:after="120" w:line="276" w:lineRule="auto"/>
        <w:ind w:firstLine="720"/>
        <w:contextualSpacing w:val="0"/>
        <w:rPr>
          <w:rFonts w:eastAsia="Calibri"/>
          <w:b w:val="0"/>
          <w:szCs w:val="22"/>
          <w:lang w:val="hy-AM" w:eastAsia="en-US"/>
        </w:rPr>
      </w:pPr>
    </w:p>
    <w:p w:rsidR="007127E7" w:rsidRDefault="007127E7" w:rsidP="0035406E">
      <w:pPr>
        <w:spacing w:before="0" w:after="120" w:line="276" w:lineRule="auto"/>
        <w:ind w:firstLine="720"/>
        <w:contextualSpacing w:val="0"/>
        <w:rPr>
          <w:rFonts w:eastAsia="Calibri"/>
          <w:b w:val="0"/>
          <w:szCs w:val="22"/>
          <w:lang w:val="hy-AM" w:eastAsia="en-US"/>
        </w:rPr>
      </w:pPr>
    </w:p>
    <w:p w:rsidR="00DA6F74" w:rsidRPr="00157698" w:rsidRDefault="00DA6F74" w:rsidP="00DA6F74">
      <w:pPr>
        <w:spacing w:before="0" w:after="120" w:line="276" w:lineRule="auto"/>
        <w:ind w:firstLine="720"/>
        <w:contextualSpacing w:val="0"/>
        <w:rPr>
          <w:rFonts w:eastAsiaTheme="minorHAnsi" w:cstheme="minorBidi"/>
          <w:b w:val="0"/>
          <w:szCs w:val="22"/>
          <w:lang w:val="hy-AM" w:eastAsia="en-US"/>
        </w:rPr>
      </w:pPr>
      <w:r w:rsidRPr="00157698">
        <w:rPr>
          <w:rFonts w:eastAsiaTheme="minorHAnsi" w:cstheme="minorBidi"/>
          <w:b w:val="0"/>
          <w:szCs w:val="22"/>
          <w:lang w:val="hy-AM" w:eastAsia="en-US"/>
        </w:rPr>
        <w:t xml:space="preserve">Հաշվի առնելով ՀՀ </w:t>
      </w:r>
      <w:r w:rsidRPr="00157698">
        <w:rPr>
          <w:rFonts w:eastAsiaTheme="minorHAnsi" w:cs="Sylfaen"/>
          <w:b w:val="0"/>
          <w:bCs/>
          <w:szCs w:val="22"/>
          <w:lang w:val="hy-AM" w:eastAsia="en-US"/>
        </w:rPr>
        <w:t xml:space="preserve">2023 թվականի </w:t>
      </w:r>
      <w:r w:rsidRPr="00157698">
        <w:rPr>
          <w:rFonts w:eastAsiaTheme="minorHAnsi" w:cstheme="minorBidi"/>
          <w:b w:val="0"/>
          <w:szCs w:val="22"/>
          <w:lang w:val="hy-AM" w:eastAsia="en-US"/>
        </w:rPr>
        <w:t xml:space="preserve">պետական բյուջեի հիմքում դրված կանխատեսումները և պարտքի գծով ծրագրավորված գործառնությունները, </w:t>
      </w:r>
      <w:r w:rsidRPr="00157698">
        <w:rPr>
          <w:rFonts w:eastAsiaTheme="minorHAnsi" w:cs="Sylfaen"/>
          <w:b w:val="0"/>
          <w:bCs/>
          <w:szCs w:val="22"/>
          <w:lang w:val="hy-AM" w:eastAsia="en-US"/>
        </w:rPr>
        <w:t xml:space="preserve">ՀՀ կառավարության պարտքի կառավարման 2023-2025 թվականների </w:t>
      </w:r>
      <w:r w:rsidRPr="00157698">
        <w:rPr>
          <w:rFonts w:eastAsiaTheme="minorHAnsi" w:cstheme="minorBidi"/>
          <w:b w:val="0"/>
          <w:szCs w:val="22"/>
          <w:lang w:val="hy-AM" w:eastAsia="en-US"/>
        </w:rPr>
        <w:t>ռազմավարական ծրագրով ամրագրված ուղենշային ցուցանիշները 2023թ. տարեվերջի դրությամբ կկազմեն.</w:t>
      </w:r>
    </w:p>
    <w:p w:rsidR="007127E7" w:rsidRPr="0035406E" w:rsidRDefault="007127E7" w:rsidP="0035406E">
      <w:pPr>
        <w:spacing w:before="0" w:after="120" w:line="276" w:lineRule="auto"/>
        <w:ind w:firstLine="720"/>
        <w:contextualSpacing w:val="0"/>
        <w:rPr>
          <w:rFonts w:eastAsia="Calibri"/>
          <w:b w:val="0"/>
          <w:szCs w:val="22"/>
          <w:lang w:val="hy-AM" w:eastAsia="en-US"/>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35"/>
        <w:gridCol w:w="1913"/>
        <w:gridCol w:w="1710"/>
      </w:tblGrid>
      <w:tr w:rsidR="0035406E" w:rsidRPr="007127E7" w:rsidTr="007127E7">
        <w:trPr>
          <w:tblHeader/>
        </w:trPr>
        <w:tc>
          <w:tcPr>
            <w:tcW w:w="6835" w:type="dxa"/>
            <w:shd w:val="clear" w:color="auto" w:fill="548DD4" w:themeFill="text2" w:themeFillTint="99"/>
          </w:tcPr>
          <w:p w:rsidR="0035406E" w:rsidRPr="007127E7" w:rsidRDefault="0035406E" w:rsidP="0035406E">
            <w:pPr>
              <w:spacing w:before="0" w:line="276" w:lineRule="auto"/>
              <w:ind w:firstLine="0"/>
              <w:contextualSpacing w:val="0"/>
              <w:rPr>
                <w:bCs/>
                <w:color w:val="FFFFFF"/>
                <w:szCs w:val="22"/>
                <w:lang w:val="hy-AM" w:eastAsia="en-US"/>
              </w:rPr>
            </w:pPr>
          </w:p>
        </w:tc>
        <w:tc>
          <w:tcPr>
            <w:tcW w:w="1913" w:type="dxa"/>
            <w:shd w:val="clear" w:color="auto" w:fill="548DD4" w:themeFill="text2" w:themeFillTint="99"/>
            <w:vAlign w:val="center"/>
          </w:tcPr>
          <w:p w:rsidR="0035406E" w:rsidRPr="007127E7" w:rsidRDefault="0035406E" w:rsidP="0035406E">
            <w:pPr>
              <w:spacing w:before="0" w:line="276" w:lineRule="auto"/>
              <w:ind w:firstLine="0"/>
              <w:contextualSpacing w:val="0"/>
              <w:jc w:val="center"/>
              <w:rPr>
                <w:bCs/>
                <w:color w:val="FFFFFF"/>
                <w:szCs w:val="22"/>
                <w:lang w:val="hy-AM" w:eastAsia="en-US"/>
              </w:rPr>
            </w:pPr>
            <w:r w:rsidRPr="007127E7">
              <w:rPr>
                <w:rFonts w:cs="Times Unicode"/>
                <w:bCs/>
                <w:color w:val="FFFFFF"/>
                <w:szCs w:val="22"/>
                <w:lang w:val="hy-AM" w:eastAsia="en-US"/>
              </w:rPr>
              <w:t>Ուղենիշ</w:t>
            </w:r>
          </w:p>
        </w:tc>
        <w:tc>
          <w:tcPr>
            <w:tcW w:w="1710" w:type="dxa"/>
            <w:shd w:val="clear" w:color="auto" w:fill="548DD4" w:themeFill="text2" w:themeFillTint="99"/>
            <w:vAlign w:val="center"/>
          </w:tcPr>
          <w:p w:rsidR="0035406E" w:rsidRPr="007127E7" w:rsidRDefault="0035406E" w:rsidP="0035406E">
            <w:pPr>
              <w:spacing w:before="0" w:line="276" w:lineRule="auto"/>
              <w:ind w:firstLine="0"/>
              <w:contextualSpacing w:val="0"/>
              <w:jc w:val="center"/>
              <w:rPr>
                <w:rFonts w:cs="Sylfaen"/>
                <w:bCs/>
                <w:color w:val="FFFFFF"/>
                <w:szCs w:val="22"/>
                <w:lang w:val="hy-AM" w:eastAsia="en-US"/>
              </w:rPr>
            </w:pPr>
            <w:r w:rsidRPr="007127E7">
              <w:rPr>
                <w:rFonts w:cs="Sylfaen"/>
                <w:bCs/>
                <w:color w:val="FFFFFF"/>
                <w:szCs w:val="22"/>
                <w:lang w:val="hy-AM" w:eastAsia="en-US"/>
              </w:rPr>
              <w:t>2023թ.</w:t>
            </w:r>
          </w:p>
          <w:p w:rsidR="0035406E" w:rsidRPr="007127E7" w:rsidRDefault="0035406E" w:rsidP="0035406E">
            <w:pPr>
              <w:spacing w:before="0" w:line="276" w:lineRule="auto"/>
              <w:ind w:firstLine="0"/>
              <w:contextualSpacing w:val="0"/>
              <w:jc w:val="center"/>
              <w:rPr>
                <w:rFonts w:cs="Sylfaen"/>
                <w:bCs/>
                <w:color w:val="FFFFFF"/>
                <w:szCs w:val="22"/>
                <w:lang w:val="hy-AM" w:eastAsia="en-US"/>
              </w:rPr>
            </w:pPr>
            <w:r w:rsidRPr="007127E7">
              <w:rPr>
                <w:rFonts w:cs="Sylfaen"/>
                <w:bCs/>
                <w:color w:val="FFFFFF"/>
                <w:szCs w:val="22"/>
                <w:lang w:val="hy-AM" w:eastAsia="en-US"/>
              </w:rPr>
              <w:t>(կանխ.)</w:t>
            </w:r>
          </w:p>
        </w:tc>
      </w:tr>
      <w:tr w:rsidR="0035406E" w:rsidRPr="0035406E" w:rsidTr="007127E7">
        <w:tc>
          <w:tcPr>
            <w:tcW w:w="6835" w:type="dxa"/>
          </w:tcPr>
          <w:p w:rsidR="0035406E" w:rsidRPr="007127E7" w:rsidRDefault="0035406E" w:rsidP="0035406E">
            <w:pPr>
              <w:spacing w:before="0" w:line="276" w:lineRule="auto"/>
              <w:ind w:firstLine="0"/>
              <w:contextualSpacing w:val="0"/>
              <w:jc w:val="left"/>
              <w:rPr>
                <w:rFonts w:cs="Times Unicode"/>
                <w:bCs/>
                <w:sz w:val="20"/>
                <w:szCs w:val="20"/>
                <w:lang w:val="hy-AM" w:eastAsia="en-US"/>
              </w:rPr>
            </w:pPr>
            <w:r w:rsidRPr="007127E7">
              <w:rPr>
                <w:rFonts w:cs="Times Unicode"/>
                <w:b w:val="0"/>
                <w:bCs/>
                <w:sz w:val="20"/>
                <w:szCs w:val="20"/>
                <w:lang w:val="hy-AM" w:eastAsia="en-US"/>
              </w:rPr>
              <w:t>Վերաֆինանսավորման ռիսկ</w:t>
            </w:r>
          </w:p>
        </w:tc>
        <w:tc>
          <w:tcPr>
            <w:tcW w:w="1913" w:type="dxa"/>
          </w:tcPr>
          <w:p w:rsidR="0035406E" w:rsidRPr="007127E7" w:rsidRDefault="0035406E" w:rsidP="0035406E">
            <w:pPr>
              <w:spacing w:before="0" w:line="276" w:lineRule="auto"/>
              <w:ind w:firstLine="0"/>
              <w:contextualSpacing w:val="0"/>
              <w:jc w:val="center"/>
              <w:rPr>
                <w:sz w:val="20"/>
                <w:szCs w:val="20"/>
                <w:lang w:val="hy-AM" w:eastAsia="en-US"/>
              </w:rPr>
            </w:pPr>
          </w:p>
        </w:tc>
        <w:tc>
          <w:tcPr>
            <w:tcW w:w="1710" w:type="dxa"/>
          </w:tcPr>
          <w:p w:rsidR="0035406E" w:rsidRPr="007127E7" w:rsidRDefault="0035406E" w:rsidP="0035406E">
            <w:pPr>
              <w:spacing w:before="0" w:line="276" w:lineRule="auto"/>
              <w:ind w:firstLine="0"/>
              <w:contextualSpacing w:val="0"/>
              <w:jc w:val="center"/>
              <w:rPr>
                <w:b w:val="0"/>
                <w:bCs/>
                <w:sz w:val="20"/>
                <w:szCs w:val="20"/>
                <w:lang w:val="hy-AM" w:eastAsia="en-US"/>
              </w:rPr>
            </w:pPr>
          </w:p>
        </w:tc>
      </w:tr>
      <w:tr w:rsidR="0035406E" w:rsidRPr="0035406E" w:rsidTr="007127E7">
        <w:tc>
          <w:tcPr>
            <w:tcW w:w="6835" w:type="dxa"/>
            <w:shd w:val="clear" w:color="auto" w:fill="DBE5F1" w:themeFill="accent1" w:themeFillTint="33"/>
          </w:tcPr>
          <w:p w:rsidR="0035406E" w:rsidRPr="007127E7" w:rsidRDefault="0035406E" w:rsidP="0035406E">
            <w:pPr>
              <w:spacing w:before="0" w:line="276" w:lineRule="auto"/>
              <w:ind w:left="258" w:firstLine="0"/>
              <w:contextualSpacing w:val="0"/>
              <w:jc w:val="left"/>
              <w:rPr>
                <w:rFonts w:cs="Times Unicode"/>
                <w:b w:val="0"/>
                <w:bCs/>
                <w:sz w:val="20"/>
                <w:szCs w:val="20"/>
                <w:lang w:val="hy-AM" w:eastAsia="en-US"/>
              </w:rPr>
            </w:pPr>
            <w:r w:rsidRPr="007127E7">
              <w:rPr>
                <w:rFonts w:cs="Times Unicode"/>
                <w:b w:val="0"/>
                <w:bCs/>
                <w:sz w:val="20"/>
                <w:szCs w:val="20"/>
                <w:lang w:val="hy-AM" w:eastAsia="en-US"/>
              </w:rPr>
              <w:t xml:space="preserve">Մինչև մարում միջին ժամկետը </w:t>
            </w:r>
          </w:p>
        </w:tc>
        <w:tc>
          <w:tcPr>
            <w:tcW w:w="1913" w:type="dxa"/>
            <w:shd w:val="clear" w:color="auto" w:fill="DBE5F1" w:themeFill="accent1" w:themeFillTint="33"/>
            <w:vAlign w:val="center"/>
          </w:tcPr>
          <w:p w:rsidR="0035406E" w:rsidRPr="007127E7" w:rsidRDefault="0035406E" w:rsidP="0035406E">
            <w:pPr>
              <w:spacing w:before="0" w:line="276" w:lineRule="auto"/>
              <w:ind w:firstLine="0"/>
              <w:contextualSpacing w:val="0"/>
              <w:jc w:val="center"/>
              <w:rPr>
                <w:b w:val="0"/>
                <w:szCs w:val="22"/>
                <w:lang w:val="hy-AM" w:eastAsia="en-US"/>
              </w:rPr>
            </w:pPr>
            <w:r w:rsidRPr="007127E7">
              <w:rPr>
                <w:b w:val="0"/>
                <w:szCs w:val="22"/>
                <w:lang w:val="en-US" w:eastAsia="en-US"/>
              </w:rPr>
              <w:t>7</w:t>
            </w:r>
            <w:r w:rsidRPr="007127E7">
              <w:rPr>
                <w:b w:val="0"/>
                <w:szCs w:val="22"/>
                <w:lang w:val="hy-AM" w:eastAsia="en-US"/>
              </w:rPr>
              <w:t xml:space="preserve"> – 1</w:t>
            </w:r>
            <w:r w:rsidRPr="007127E7">
              <w:rPr>
                <w:b w:val="0"/>
                <w:szCs w:val="22"/>
                <w:lang w:val="en-US" w:eastAsia="en-US"/>
              </w:rPr>
              <w:t>0</w:t>
            </w:r>
            <w:r w:rsidRPr="007127E7">
              <w:rPr>
                <w:b w:val="0"/>
                <w:szCs w:val="22"/>
                <w:lang w:val="hy-AM" w:eastAsia="en-US"/>
              </w:rPr>
              <w:t xml:space="preserve"> տարի</w:t>
            </w:r>
          </w:p>
        </w:tc>
        <w:tc>
          <w:tcPr>
            <w:tcW w:w="1710" w:type="dxa"/>
            <w:shd w:val="clear" w:color="auto" w:fill="DBE5F1" w:themeFill="accent1" w:themeFillTint="33"/>
            <w:vAlign w:val="center"/>
          </w:tcPr>
          <w:p w:rsidR="0035406E" w:rsidRPr="007127E7" w:rsidRDefault="0035406E" w:rsidP="0035406E">
            <w:pPr>
              <w:spacing w:before="0" w:line="276" w:lineRule="auto"/>
              <w:ind w:firstLine="0"/>
              <w:contextualSpacing w:val="0"/>
              <w:jc w:val="center"/>
              <w:rPr>
                <w:b w:val="0"/>
                <w:bCs/>
                <w:szCs w:val="22"/>
                <w:lang w:val="hy-AM" w:eastAsia="en-US"/>
              </w:rPr>
            </w:pPr>
            <w:r w:rsidRPr="007127E7">
              <w:rPr>
                <w:b w:val="0"/>
                <w:bCs/>
                <w:szCs w:val="22"/>
                <w:lang w:val="hy-AM" w:eastAsia="en-US"/>
              </w:rPr>
              <w:t>7.4 տարի</w:t>
            </w:r>
          </w:p>
        </w:tc>
      </w:tr>
      <w:tr w:rsidR="0035406E" w:rsidRPr="0035406E" w:rsidTr="007127E7">
        <w:tc>
          <w:tcPr>
            <w:tcW w:w="6835" w:type="dxa"/>
          </w:tcPr>
          <w:p w:rsidR="0035406E" w:rsidRPr="007127E7" w:rsidRDefault="0035406E" w:rsidP="0035406E">
            <w:pPr>
              <w:spacing w:before="0" w:line="276" w:lineRule="auto"/>
              <w:ind w:left="258" w:firstLine="0"/>
              <w:contextualSpacing w:val="0"/>
              <w:jc w:val="left"/>
              <w:rPr>
                <w:rFonts w:cs="Times Unicode"/>
                <w:b w:val="0"/>
                <w:bCs/>
                <w:sz w:val="20"/>
                <w:szCs w:val="20"/>
                <w:lang w:val="hy-AM" w:eastAsia="en-US"/>
              </w:rPr>
            </w:pPr>
            <w:r w:rsidRPr="007127E7">
              <w:rPr>
                <w:rFonts w:cs="Times Unicode"/>
                <w:b w:val="0"/>
                <w:bCs/>
                <w:sz w:val="20"/>
                <w:szCs w:val="20"/>
                <w:lang w:val="hy-AM" w:eastAsia="en-US"/>
              </w:rPr>
              <w:t>Առաջիկա տարվա ընթացքում մարվող պետական գանձապետական պարտատոմսերի (ՊԳՊ) առավելագույն կշիռը ՊԳՊ-երի ծավալի մեջ (տարեվերջին)</w:t>
            </w:r>
          </w:p>
        </w:tc>
        <w:tc>
          <w:tcPr>
            <w:tcW w:w="1913" w:type="dxa"/>
            <w:vAlign w:val="center"/>
          </w:tcPr>
          <w:p w:rsidR="0035406E" w:rsidRPr="007127E7" w:rsidRDefault="0035406E" w:rsidP="0035406E">
            <w:pPr>
              <w:spacing w:before="0" w:line="276" w:lineRule="auto"/>
              <w:ind w:firstLine="0"/>
              <w:contextualSpacing w:val="0"/>
              <w:jc w:val="center"/>
              <w:rPr>
                <w:b w:val="0"/>
                <w:szCs w:val="22"/>
                <w:lang w:val="hy-AM" w:eastAsia="en-US"/>
              </w:rPr>
            </w:pPr>
            <w:r w:rsidRPr="007127E7">
              <w:rPr>
                <w:b w:val="0"/>
                <w:szCs w:val="22"/>
                <w:lang w:val="hy-AM" w:eastAsia="en-US"/>
              </w:rPr>
              <w:t>առավելագույնը</w:t>
            </w:r>
          </w:p>
          <w:p w:rsidR="0035406E" w:rsidRPr="007127E7" w:rsidRDefault="0035406E" w:rsidP="0035406E">
            <w:pPr>
              <w:spacing w:before="0" w:line="276" w:lineRule="auto"/>
              <w:ind w:firstLine="0"/>
              <w:contextualSpacing w:val="0"/>
              <w:jc w:val="center"/>
              <w:rPr>
                <w:b w:val="0"/>
                <w:szCs w:val="22"/>
                <w:lang w:val="hy-AM" w:eastAsia="en-US"/>
              </w:rPr>
            </w:pPr>
            <w:r w:rsidRPr="007127E7">
              <w:rPr>
                <w:b w:val="0"/>
                <w:szCs w:val="22"/>
                <w:lang w:val="hy-AM" w:eastAsia="en-US"/>
              </w:rPr>
              <w:t>20%</w:t>
            </w:r>
          </w:p>
        </w:tc>
        <w:tc>
          <w:tcPr>
            <w:tcW w:w="1710" w:type="dxa"/>
            <w:vAlign w:val="center"/>
          </w:tcPr>
          <w:p w:rsidR="0035406E" w:rsidRPr="007127E7" w:rsidRDefault="0035406E" w:rsidP="0035406E">
            <w:pPr>
              <w:spacing w:before="0" w:line="276" w:lineRule="auto"/>
              <w:ind w:firstLine="0"/>
              <w:contextualSpacing w:val="0"/>
              <w:jc w:val="center"/>
              <w:rPr>
                <w:b w:val="0"/>
                <w:bCs/>
                <w:szCs w:val="22"/>
                <w:lang w:val="hy-AM" w:eastAsia="en-US"/>
              </w:rPr>
            </w:pPr>
            <w:r w:rsidRPr="007127E7">
              <w:rPr>
                <w:b w:val="0"/>
                <w:bCs/>
                <w:szCs w:val="22"/>
                <w:lang w:val="hy-AM" w:eastAsia="en-US"/>
              </w:rPr>
              <w:t>10.1%</w:t>
            </w:r>
          </w:p>
        </w:tc>
      </w:tr>
      <w:tr w:rsidR="0035406E" w:rsidRPr="0035406E" w:rsidTr="007127E7">
        <w:tc>
          <w:tcPr>
            <w:tcW w:w="6835" w:type="dxa"/>
            <w:shd w:val="clear" w:color="auto" w:fill="DBE5F1" w:themeFill="accent1" w:themeFillTint="33"/>
          </w:tcPr>
          <w:p w:rsidR="0035406E" w:rsidRPr="007127E7" w:rsidRDefault="0035406E" w:rsidP="0035406E">
            <w:pPr>
              <w:spacing w:before="0" w:line="276" w:lineRule="auto"/>
              <w:ind w:firstLine="0"/>
              <w:contextualSpacing w:val="0"/>
              <w:jc w:val="left"/>
              <w:rPr>
                <w:rFonts w:cs="Times Unicode"/>
                <w:bCs/>
                <w:sz w:val="20"/>
                <w:szCs w:val="20"/>
                <w:lang w:val="hy-AM" w:eastAsia="en-US"/>
              </w:rPr>
            </w:pPr>
            <w:r w:rsidRPr="007127E7">
              <w:rPr>
                <w:rFonts w:cs="Times Unicode"/>
                <w:b w:val="0"/>
                <w:bCs/>
                <w:sz w:val="20"/>
                <w:szCs w:val="20"/>
                <w:lang w:val="hy-AM" w:eastAsia="en-US"/>
              </w:rPr>
              <w:t>Տոկոսադրույքի ռիսկ</w:t>
            </w:r>
          </w:p>
        </w:tc>
        <w:tc>
          <w:tcPr>
            <w:tcW w:w="1913" w:type="dxa"/>
            <w:shd w:val="clear" w:color="auto" w:fill="DBE5F1" w:themeFill="accent1" w:themeFillTint="33"/>
            <w:vAlign w:val="center"/>
          </w:tcPr>
          <w:p w:rsidR="0035406E" w:rsidRPr="007127E7" w:rsidRDefault="0035406E" w:rsidP="0035406E">
            <w:pPr>
              <w:spacing w:before="0" w:line="276" w:lineRule="auto"/>
              <w:ind w:firstLine="0"/>
              <w:contextualSpacing w:val="0"/>
              <w:jc w:val="center"/>
              <w:rPr>
                <w:b w:val="0"/>
                <w:szCs w:val="22"/>
                <w:lang w:val="hy-AM" w:eastAsia="en-US"/>
              </w:rPr>
            </w:pPr>
          </w:p>
        </w:tc>
        <w:tc>
          <w:tcPr>
            <w:tcW w:w="1710" w:type="dxa"/>
            <w:shd w:val="clear" w:color="auto" w:fill="DBE5F1" w:themeFill="accent1" w:themeFillTint="33"/>
            <w:vAlign w:val="center"/>
          </w:tcPr>
          <w:p w:rsidR="0035406E" w:rsidRPr="007127E7" w:rsidRDefault="0035406E" w:rsidP="0035406E">
            <w:pPr>
              <w:spacing w:before="0" w:line="276" w:lineRule="auto"/>
              <w:ind w:firstLine="0"/>
              <w:contextualSpacing w:val="0"/>
              <w:jc w:val="center"/>
              <w:rPr>
                <w:b w:val="0"/>
                <w:bCs/>
                <w:szCs w:val="22"/>
                <w:lang w:val="hy-AM" w:eastAsia="en-US"/>
              </w:rPr>
            </w:pPr>
          </w:p>
        </w:tc>
      </w:tr>
      <w:tr w:rsidR="0035406E" w:rsidRPr="0035406E" w:rsidTr="007127E7">
        <w:tc>
          <w:tcPr>
            <w:tcW w:w="6835" w:type="dxa"/>
          </w:tcPr>
          <w:p w:rsidR="0035406E" w:rsidRPr="007127E7" w:rsidRDefault="0035406E" w:rsidP="0035406E">
            <w:pPr>
              <w:spacing w:before="0" w:line="276" w:lineRule="auto"/>
              <w:ind w:left="258" w:firstLine="0"/>
              <w:contextualSpacing w:val="0"/>
              <w:jc w:val="left"/>
              <w:rPr>
                <w:rFonts w:cs="Times Unicode"/>
                <w:b w:val="0"/>
                <w:bCs/>
                <w:sz w:val="20"/>
                <w:szCs w:val="20"/>
                <w:lang w:val="hy-AM" w:eastAsia="en-US"/>
              </w:rPr>
            </w:pPr>
            <w:r w:rsidRPr="007127E7">
              <w:rPr>
                <w:rFonts w:cs="Times Unicode"/>
                <w:b w:val="0"/>
                <w:bCs/>
                <w:sz w:val="20"/>
                <w:szCs w:val="20"/>
                <w:lang w:val="hy-AM" w:eastAsia="en-US"/>
              </w:rPr>
              <w:t>Ֆիքսված տոկոսադրույքով պարտքի կշիռն ընդամենը պարտքի մեջ</w:t>
            </w:r>
          </w:p>
        </w:tc>
        <w:tc>
          <w:tcPr>
            <w:tcW w:w="1913" w:type="dxa"/>
            <w:vAlign w:val="center"/>
          </w:tcPr>
          <w:p w:rsidR="0035406E" w:rsidRPr="007127E7" w:rsidRDefault="0035406E" w:rsidP="0035406E">
            <w:pPr>
              <w:spacing w:before="0" w:line="276" w:lineRule="auto"/>
              <w:ind w:firstLine="0"/>
              <w:contextualSpacing w:val="0"/>
              <w:jc w:val="center"/>
              <w:rPr>
                <w:b w:val="0"/>
                <w:szCs w:val="22"/>
                <w:lang w:val="hy-AM" w:eastAsia="en-US"/>
              </w:rPr>
            </w:pPr>
            <w:r w:rsidRPr="007127E7">
              <w:rPr>
                <w:b w:val="0"/>
                <w:szCs w:val="22"/>
                <w:lang w:val="hy-AM" w:eastAsia="en-US"/>
              </w:rPr>
              <w:t>առնվազն 80%</w:t>
            </w:r>
          </w:p>
        </w:tc>
        <w:tc>
          <w:tcPr>
            <w:tcW w:w="1710" w:type="dxa"/>
            <w:vAlign w:val="center"/>
          </w:tcPr>
          <w:p w:rsidR="0035406E" w:rsidRPr="007127E7" w:rsidRDefault="0035406E" w:rsidP="0035406E">
            <w:pPr>
              <w:spacing w:before="0" w:line="276" w:lineRule="auto"/>
              <w:ind w:firstLine="0"/>
              <w:contextualSpacing w:val="0"/>
              <w:jc w:val="center"/>
              <w:rPr>
                <w:b w:val="0"/>
                <w:bCs/>
                <w:szCs w:val="22"/>
                <w:lang w:val="hy-AM" w:eastAsia="en-US"/>
              </w:rPr>
            </w:pPr>
            <w:r w:rsidRPr="007127E7">
              <w:rPr>
                <w:b w:val="0"/>
                <w:bCs/>
                <w:szCs w:val="22"/>
                <w:lang w:val="hy-AM" w:eastAsia="en-US"/>
              </w:rPr>
              <w:t>82.</w:t>
            </w:r>
            <w:r w:rsidR="00DA6F74">
              <w:rPr>
                <w:b w:val="0"/>
                <w:bCs/>
                <w:szCs w:val="22"/>
                <w:lang w:val="en-US" w:eastAsia="en-US"/>
              </w:rPr>
              <w:t>0</w:t>
            </w:r>
            <w:r w:rsidRPr="007127E7">
              <w:rPr>
                <w:b w:val="0"/>
                <w:bCs/>
                <w:szCs w:val="22"/>
                <w:lang w:val="hy-AM" w:eastAsia="en-US"/>
              </w:rPr>
              <w:t>%</w:t>
            </w:r>
          </w:p>
        </w:tc>
      </w:tr>
      <w:tr w:rsidR="0035406E" w:rsidRPr="0035406E" w:rsidTr="007127E7">
        <w:tc>
          <w:tcPr>
            <w:tcW w:w="6835" w:type="dxa"/>
            <w:shd w:val="clear" w:color="auto" w:fill="DBE5F1" w:themeFill="accent1" w:themeFillTint="33"/>
          </w:tcPr>
          <w:p w:rsidR="0035406E" w:rsidRPr="007127E7" w:rsidRDefault="0035406E" w:rsidP="0035406E">
            <w:pPr>
              <w:spacing w:before="0" w:line="276" w:lineRule="auto"/>
              <w:ind w:firstLine="0"/>
              <w:contextualSpacing w:val="0"/>
              <w:jc w:val="left"/>
              <w:rPr>
                <w:rFonts w:cs="Times Unicode"/>
                <w:bCs/>
                <w:sz w:val="20"/>
                <w:szCs w:val="20"/>
                <w:lang w:val="hy-AM" w:eastAsia="en-US"/>
              </w:rPr>
            </w:pPr>
            <w:r w:rsidRPr="007127E7">
              <w:rPr>
                <w:rFonts w:cs="Times Unicode"/>
                <w:b w:val="0"/>
                <w:bCs/>
                <w:sz w:val="20"/>
                <w:szCs w:val="20"/>
                <w:lang w:val="hy-AM" w:eastAsia="en-US"/>
              </w:rPr>
              <w:t>Փոխարժեքի ռիսկ</w:t>
            </w:r>
          </w:p>
        </w:tc>
        <w:tc>
          <w:tcPr>
            <w:tcW w:w="1913" w:type="dxa"/>
            <w:shd w:val="clear" w:color="auto" w:fill="DBE5F1" w:themeFill="accent1" w:themeFillTint="33"/>
            <w:vAlign w:val="center"/>
          </w:tcPr>
          <w:p w:rsidR="0035406E" w:rsidRPr="007127E7" w:rsidRDefault="0035406E" w:rsidP="0035406E">
            <w:pPr>
              <w:spacing w:before="0" w:line="276" w:lineRule="auto"/>
              <w:ind w:firstLine="0"/>
              <w:contextualSpacing w:val="0"/>
              <w:jc w:val="center"/>
              <w:rPr>
                <w:b w:val="0"/>
                <w:szCs w:val="22"/>
                <w:lang w:val="hy-AM" w:eastAsia="en-US"/>
              </w:rPr>
            </w:pPr>
          </w:p>
        </w:tc>
        <w:tc>
          <w:tcPr>
            <w:tcW w:w="1710" w:type="dxa"/>
            <w:shd w:val="clear" w:color="auto" w:fill="DBE5F1" w:themeFill="accent1" w:themeFillTint="33"/>
            <w:vAlign w:val="center"/>
          </w:tcPr>
          <w:p w:rsidR="0035406E" w:rsidRPr="007127E7" w:rsidRDefault="0035406E" w:rsidP="0035406E">
            <w:pPr>
              <w:spacing w:before="0" w:line="276" w:lineRule="auto"/>
              <w:ind w:firstLine="0"/>
              <w:contextualSpacing w:val="0"/>
              <w:jc w:val="center"/>
              <w:rPr>
                <w:b w:val="0"/>
                <w:bCs/>
                <w:szCs w:val="22"/>
                <w:lang w:val="hy-AM" w:eastAsia="en-US"/>
              </w:rPr>
            </w:pPr>
          </w:p>
        </w:tc>
      </w:tr>
      <w:tr w:rsidR="0035406E" w:rsidRPr="0035406E" w:rsidTr="007127E7">
        <w:tc>
          <w:tcPr>
            <w:tcW w:w="6835" w:type="dxa"/>
          </w:tcPr>
          <w:p w:rsidR="0035406E" w:rsidRPr="007127E7" w:rsidRDefault="0035406E" w:rsidP="0035406E">
            <w:pPr>
              <w:spacing w:before="0" w:line="276" w:lineRule="auto"/>
              <w:ind w:left="258" w:firstLine="0"/>
              <w:contextualSpacing w:val="0"/>
              <w:jc w:val="left"/>
              <w:rPr>
                <w:rFonts w:cs="Times Unicode"/>
                <w:b w:val="0"/>
                <w:bCs/>
                <w:sz w:val="20"/>
                <w:szCs w:val="20"/>
                <w:lang w:val="hy-AM" w:eastAsia="en-US"/>
              </w:rPr>
            </w:pPr>
            <w:r w:rsidRPr="007127E7">
              <w:rPr>
                <w:rFonts w:cs="Times Unicode"/>
                <w:b w:val="0"/>
                <w:bCs/>
                <w:sz w:val="20"/>
                <w:szCs w:val="20"/>
                <w:lang w:val="hy-AM" w:eastAsia="en-US"/>
              </w:rPr>
              <w:t>Ներքին պարտքի կշիռն ընդամենը պարտքի մեջ</w:t>
            </w:r>
          </w:p>
        </w:tc>
        <w:tc>
          <w:tcPr>
            <w:tcW w:w="1913" w:type="dxa"/>
            <w:vAlign w:val="center"/>
          </w:tcPr>
          <w:p w:rsidR="0035406E" w:rsidRPr="007127E7" w:rsidRDefault="0035406E" w:rsidP="0035406E">
            <w:pPr>
              <w:spacing w:before="0" w:line="276" w:lineRule="auto"/>
              <w:ind w:firstLine="0"/>
              <w:contextualSpacing w:val="0"/>
              <w:jc w:val="center"/>
              <w:rPr>
                <w:b w:val="0"/>
                <w:szCs w:val="22"/>
                <w:lang w:val="hy-AM" w:eastAsia="en-US"/>
              </w:rPr>
            </w:pPr>
            <w:r w:rsidRPr="007127E7">
              <w:rPr>
                <w:b w:val="0"/>
                <w:szCs w:val="22"/>
                <w:lang w:val="hy-AM" w:eastAsia="en-US"/>
              </w:rPr>
              <w:t xml:space="preserve">առնվազն </w:t>
            </w:r>
            <w:r w:rsidRPr="007127E7">
              <w:rPr>
                <w:b w:val="0"/>
                <w:szCs w:val="22"/>
                <w:lang w:val="en-US" w:eastAsia="en-US"/>
              </w:rPr>
              <w:t>30</w:t>
            </w:r>
            <w:r w:rsidRPr="007127E7">
              <w:rPr>
                <w:b w:val="0"/>
                <w:szCs w:val="22"/>
                <w:lang w:val="hy-AM" w:eastAsia="en-US"/>
              </w:rPr>
              <w:t>%</w:t>
            </w:r>
          </w:p>
        </w:tc>
        <w:tc>
          <w:tcPr>
            <w:tcW w:w="1710" w:type="dxa"/>
            <w:vAlign w:val="center"/>
          </w:tcPr>
          <w:p w:rsidR="0035406E" w:rsidRPr="007127E7" w:rsidRDefault="00DA6F74" w:rsidP="0035406E">
            <w:pPr>
              <w:spacing w:before="0" w:line="276" w:lineRule="auto"/>
              <w:ind w:firstLine="0"/>
              <w:contextualSpacing w:val="0"/>
              <w:jc w:val="center"/>
              <w:rPr>
                <w:b w:val="0"/>
                <w:bCs/>
                <w:szCs w:val="22"/>
                <w:lang w:val="hy-AM" w:eastAsia="en-US"/>
              </w:rPr>
            </w:pPr>
            <w:r>
              <w:rPr>
                <w:b w:val="0"/>
                <w:bCs/>
                <w:szCs w:val="22"/>
                <w:lang w:val="en-US" w:eastAsia="en-US"/>
              </w:rPr>
              <w:t>42</w:t>
            </w:r>
            <w:r w:rsidR="0035406E" w:rsidRPr="007127E7">
              <w:rPr>
                <w:b w:val="0"/>
                <w:bCs/>
                <w:szCs w:val="22"/>
                <w:lang w:val="en-US" w:eastAsia="en-US"/>
              </w:rPr>
              <w:t>.4</w:t>
            </w:r>
            <w:r w:rsidR="0035406E" w:rsidRPr="007127E7">
              <w:rPr>
                <w:b w:val="0"/>
                <w:bCs/>
                <w:szCs w:val="22"/>
                <w:lang w:val="hy-AM" w:eastAsia="en-US"/>
              </w:rPr>
              <w:t>%</w:t>
            </w:r>
          </w:p>
        </w:tc>
      </w:tr>
      <w:tr w:rsidR="0035406E" w:rsidRPr="0035406E" w:rsidTr="007127E7">
        <w:tc>
          <w:tcPr>
            <w:tcW w:w="6835" w:type="dxa"/>
          </w:tcPr>
          <w:p w:rsidR="0035406E" w:rsidRPr="007127E7" w:rsidRDefault="0035406E" w:rsidP="0035406E">
            <w:pPr>
              <w:spacing w:before="0" w:line="276" w:lineRule="auto"/>
              <w:ind w:left="258" w:firstLine="0"/>
              <w:contextualSpacing w:val="0"/>
              <w:jc w:val="left"/>
              <w:rPr>
                <w:rFonts w:cs="Times Unicode"/>
                <w:b w:val="0"/>
                <w:bCs/>
                <w:sz w:val="20"/>
                <w:szCs w:val="20"/>
                <w:lang w:val="hy-AM" w:eastAsia="en-US"/>
              </w:rPr>
            </w:pPr>
            <w:r w:rsidRPr="007127E7">
              <w:rPr>
                <w:rFonts w:cs="Times Unicode"/>
                <w:b w:val="0"/>
                <w:bCs/>
                <w:sz w:val="20"/>
                <w:szCs w:val="20"/>
                <w:lang w:val="hy-AM" w:eastAsia="en-US"/>
              </w:rPr>
              <w:t>ՀՀ դրամով ներգրավված պարտքի կշիռն ընդամենը պարտքի մեջ</w:t>
            </w:r>
          </w:p>
        </w:tc>
        <w:tc>
          <w:tcPr>
            <w:tcW w:w="1913" w:type="dxa"/>
            <w:vAlign w:val="center"/>
          </w:tcPr>
          <w:p w:rsidR="0035406E" w:rsidRPr="007127E7" w:rsidRDefault="0035406E" w:rsidP="0035406E">
            <w:pPr>
              <w:spacing w:before="0" w:line="276" w:lineRule="auto"/>
              <w:ind w:firstLine="0"/>
              <w:contextualSpacing w:val="0"/>
              <w:jc w:val="center"/>
              <w:rPr>
                <w:b w:val="0"/>
                <w:bCs/>
                <w:szCs w:val="22"/>
                <w:lang w:val="hy-AM" w:eastAsia="en-US"/>
              </w:rPr>
            </w:pPr>
            <w:r w:rsidRPr="007127E7">
              <w:rPr>
                <w:b w:val="0"/>
                <w:bCs/>
                <w:szCs w:val="22"/>
                <w:lang w:val="hy-AM" w:eastAsia="en-US"/>
              </w:rPr>
              <w:t xml:space="preserve">առնվազն </w:t>
            </w:r>
            <w:r w:rsidRPr="007127E7">
              <w:rPr>
                <w:b w:val="0"/>
                <w:bCs/>
                <w:szCs w:val="22"/>
                <w:lang w:val="en-US" w:eastAsia="en-US"/>
              </w:rPr>
              <w:t>30</w:t>
            </w:r>
            <w:r w:rsidRPr="007127E7">
              <w:rPr>
                <w:b w:val="0"/>
                <w:bCs/>
                <w:szCs w:val="22"/>
                <w:lang w:val="hy-AM" w:eastAsia="en-US"/>
              </w:rPr>
              <w:t>%</w:t>
            </w:r>
          </w:p>
        </w:tc>
        <w:tc>
          <w:tcPr>
            <w:tcW w:w="1710" w:type="dxa"/>
            <w:vAlign w:val="center"/>
          </w:tcPr>
          <w:p w:rsidR="0035406E" w:rsidRPr="007127E7" w:rsidRDefault="0035406E" w:rsidP="00DA6F74">
            <w:pPr>
              <w:spacing w:before="0" w:line="276" w:lineRule="auto"/>
              <w:ind w:firstLine="0"/>
              <w:contextualSpacing w:val="0"/>
              <w:jc w:val="center"/>
              <w:rPr>
                <w:b w:val="0"/>
                <w:bCs/>
                <w:szCs w:val="22"/>
                <w:lang w:val="hy-AM" w:eastAsia="en-US"/>
              </w:rPr>
            </w:pPr>
            <w:r w:rsidRPr="007127E7">
              <w:rPr>
                <w:b w:val="0"/>
                <w:bCs/>
                <w:szCs w:val="22"/>
                <w:lang w:val="en-US" w:eastAsia="en-US"/>
              </w:rPr>
              <w:t>39.</w:t>
            </w:r>
            <w:r w:rsidR="00DA6F74">
              <w:rPr>
                <w:b w:val="0"/>
                <w:bCs/>
                <w:szCs w:val="22"/>
                <w:lang w:val="en-US" w:eastAsia="en-US"/>
              </w:rPr>
              <w:t>3</w:t>
            </w:r>
            <w:r w:rsidRPr="007127E7">
              <w:rPr>
                <w:b w:val="0"/>
                <w:bCs/>
                <w:szCs w:val="22"/>
                <w:lang w:val="hy-AM" w:eastAsia="en-US"/>
              </w:rPr>
              <w:t>%</w:t>
            </w:r>
          </w:p>
        </w:tc>
      </w:tr>
    </w:tbl>
    <w:p w:rsidR="0035406E" w:rsidRPr="0035406E" w:rsidRDefault="0035406E" w:rsidP="0035406E">
      <w:pPr>
        <w:spacing w:before="0" w:line="276" w:lineRule="auto"/>
        <w:ind w:firstLine="720"/>
        <w:contextualSpacing w:val="0"/>
        <w:rPr>
          <w:rFonts w:eastAsia="Calibri"/>
          <w:b w:val="0"/>
          <w:bCs/>
          <w:szCs w:val="22"/>
          <w:lang w:val="hy-AM" w:eastAsia="en-US"/>
        </w:rPr>
      </w:pPr>
    </w:p>
    <w:p w:rsidR="007127E7" w:rsidRDefault="007127E7" w:rsidP="0035406E">
      <w:pPr>
        <w:spacing w:before="0" w:line="276" w:lineRule="auto"/>
        <w:ind w:firstLine="720"/>
        <w:contextualSpacing w:val="0"/>
        <w:rPr>
          <w:rFonts w:eastAsia="Calibri"/>
          <w:b w:val="0"/>
          <w:noProof/>
          <w:szCs w:val="22"/>
          <w:lang w:val="hy-AM" w:eastAsia="en-US"/>
        </w:rPr>
      </w:pPr>
    </w:p>
    <w:p w:rsidR="00C43712" w:rsidRPr="00157698" w:rsidRDefault="00C43712" w:rsidP="00C43712">
      <w:pPr>
        <w:spacing w:before="0" w:line="276" w:lineRule="auto"/>
        <w:ind w:firstLine="720"/>
        <w:contextualSpacing w:val="0"/>
        <w:rPr>
          <w:rFonts w:eastAsiaTheme="minorHAnsi" w:cstheme="minorBidi"/>
          <w:b w:val="0"/>
          <w:noProof/>
          <w:szCs w:val="22"/>
          <w:lang w:val="hy-AM" w:eastAsia="en-US"/>
        </w:rPr>
      </w:pPr>
      <w:r w:rsidRPr="00157698">
        <w:rPr>
          <w:rFonts w:eastAsiaTheme="minorHAnsi" w:cstheme="minorBidi"/>
          <w:b w:val="0"/>
          <w:noProof/>
          <w:szCs w:val="22"/>
          <w:lang w:val="hy-AM" w:eastAsia="en-US"/>
        </w:rPr>
        <w:t>2023 թվականի տարեվերջի դրությամբ կառավարության արտաքին վարկերի գծով պարտքի 35.7%-ը բաժին կընկնի Համաշխարհային Բանկին (Զարգացման Միջազգային Ընկերակցություն ու Վերակառուցման և Զարգացման Միջազգային Բանկ): Կառավարության արտաքին վարկերի գծով պարտքի կառուցվածքն ըստ վարկատուների կլինի հետևյալը.</w:t>
      </w:r>
    </w:p>
    <w:p w:rsidR="0035406E" w:rsidRPr="00EB3EB5" w:rsidRDefault="0035406E" w:rsidP="0035406E">
      <w:pPr>
        <w:spacing w:before="0" w:line="276" w:lineRule="auto"/>
        <w:ind w:firstLine="720"/>
        <w:contextualSpacing w:val="0"/>
        <w:rPr>
          <w:noProof/>
          <w:szCs w:val="22"/>
          <w:lang w:val="hy-AM" w:eastAsia="en-US"/>
        </w:rPr>
      </w:pPr>
    </w:p>
    <w:p w:rsidR="00C43712" w:rsidRPr="00C43712" w:rsidRDefault="00C43712" w:rsidP="00C43712">
      <w:pPr>
        <w:spacing w:before="0" w:line="276" w:lineRule="auto"/>
        <w:ind w:firstLine="720"/>
        <w:contextualSpacing w:val="0"/>
        <w:rPr>
          <w:rFonts w:eastAsia="Calibri"/>
          <w:b w:val="0"/>
          <w:noProof/>
          <w:szCs w:val="22"/>
          <w:lang w:val="hy-AM" w:eastAsia="en-US"/>
        </w:rPr>
      </w:pPr>
      <w:r w:rsidRPr="00C43712">
        <w:rPr>
          <w:noProof/>
          <w:szCs w:val="22"/>
          <w:lang w:val="en-US" w:eastAsia="en-US"/>
        </w:rPr>
        <w:drawing>
          <wp:inline distT="0" distB="0" distL="0" distR="0" wp14:anchorId="1D237856" wp14:editId="74CC4B1D">
            <wp:extent cx="5534025" cy="3228975"/>
            <wp:effectExtent l="133350" t="114300" r="123825" b="10477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C43712" w:rsidRPr="00C43712" w:rsidRDefault="00C43712" w:rsidP="00C43712">
      <w:pPr>
        <w:spacing w:before="0" w:line="276" w:lineRule="auto"/>
        <w:ind w:firstLine="720"/>
        <w:contextualSpacing w:val="0"/>
        <w:rPr>
          <w:rFonts w:eastAsia="Calibri"/>
          <w:b w:val="0"/>
          <w:noProof/>
          <w:szCs w:val="22"/>
          <w:lang w:val="hy-AM" w:eastAsia="en-US"/>
        </w:rPr>
      </w:pPr>
      <w:r w:rsidRPr="00C43712">
        <w:rPr>
          <w:rFonts w:eastAsia="Calibri"/>
          <w:b w:val="0"/>
          <w:noProof/>
          <w:szCs w:val="22"/>
          <w:lang w:val="hy-AM" w:eastAsia="en-US"/>
        </w:rPr>
        <w:t xml:space="preserve">2023 թվականի տարեվերջի դրությամբ ձևավորվող կառավարության պարտքի մարման ժամանակացույցը սփռված կլինի մինչև 2054 թվականը և կունենա հետևյալ տեսքը. </w:t>
      </w:r>
    </w:p>
    <w:p w:rsidR="00C43712" w:rsidRPr="00C43712" w:rsidRDefault="00C43712" w:rsidP="00C43712">
      <w:pPr>
        <w:spacing w:before="0" w:line="276" w:lineRule="auto"/>
        <w:ind w:firstLine="0"/>
        <w:contextualSpacing w:val="0"/>
        <w:rPr>
          <w:rFonts w:eastAsia="Calibri"/>
          <w:b w:val="0"/>
          <w:noProof/>
          <w:szCs w:val="22"/>
          <w:lang w:val="hy-AM" w:eastAsia="en-US"/>
        </w:rPr>
      </w:pPr>
      <w:r w:rsidRPr="00C43712">
        <w:rPr>
          <w:noProof/>
          <w:szCs w:val="22"/>
          <w:lang w:val="en-US" w:eastAsia="en-US"/>
        </w:rPr>
        <w:drawing>
          <wp:inline distT="0" distB="0" distL="0" distR="0" wp14:anchorId="5C6A8980" wp14:editId="7E29D7FA">
            <wp:extent cx="6480810" cy="2408555"/>
            <wp:effectExtent l="133350" t="95250" r="129540" b="86995"/>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C43712" w:rsidRPr="00C43712" w:rsidRDefault="00C43712" w:rsidP="00C43712">
      <w:pPr>
        <w:spacing w:before="0" w:line="276" w:lineRule="auto"/>
        <w:ind w:left="-180" w:firstLine="0"/>
        <w:contextualSpacing w:val="0"/>
        <w:jc w:val="center"/>
        <w:rPr>
          <w:rFonts w:eastAsia="Calibri"/>
          <w:b w:val="0"/>
          <w:noProof/>
          <w:szCs w:val="22"/>
          <w:lang w:val="hy-AM" w:eastAsia="en-US"/>
        </w:rPr>
      </w:pPr>
    </w:p>
    <w:p w:rsidR="00C43712" w:rsidRDefault="00C43712" w:rsidP="00C43712">
      <w:pPr>
        <w:spacing w:before="0" w:line="276" w:lineRule="auto"/>
        <w:ind w:firstLine="720"/>
        <w:contextualSpacing w:val="0"/>
        <w:rPr>
          <w:rFonts w:eastAsia="Calibri"/>
          <w:b w:val="0"/>
          <w:bCs/>
          <w:szCs w:val="22"/>
          <w:lang w:val="hy-AM" w:eastAsia="en-US"/>
        </w:rPr>
      </w:pPr>
      <w:r w:rsidRPr="00C43712">
        <w:rPr>
          <w:rFonts w:eastAsia="Calibri"/>
          <w:b w:val="0"/>
          <w:bCs/>
          <w:szCs w:val="22"/>
          <w:lang w:val="hy-AM" w:eastAsia="en-US"/>
        </w:rPr>
        <w:t>2023 թվականին կառավարության պարտքի միջին կշռված տոկոսադրույքը կկազմի 6.</w:t>
      </w:r>
      <w:r w:rsidR="00857A46" w:rsidRPr="007A0119">
        <w:rPr>
          <w:rFonts w:eastAsia="Calibri"/>
          <w:b w:val="0"/>
          <w:bCs/>
          <w:szCs w:val="22"/>
          <w:lang w:val="hy-AM" w:eastAsia="en-US"/>
        </w:rPr>
        <w:t>6</w:t>
      </w:r>
      <w:r w:rsidRPr="00C43712">
        <w:rPr>
          <w:rFonts w:eastAsia="Calibri"/>
          <w:b w:val="0"/>
          <w:bCs/>
          <w:szCs w:val="22"/>
          <w:lang w:val="hy-AM" w:eastAsia="en-US"/>
        </w:rPr>
        <w:t xml:space="preserve">%: Կառավարության պարտքի սպասարկման ծախսերը (տոկոսավճարներ) կկազմեն ՀՆԱ-ի 2.9%-ը:  </w:t>
      </w:r>
    </w:p>
    <w:p w:rsidR="002916D8" w:rsidRDefault="002916D8" w:rsidP="00C43712">
      <w:pPr>
        <w:spacing w:before="0" w:line="276" w:lineRule="auto"/>
        <w:ind w:firstLine="720"/>
        <w:contextualSpacing w:val="0"/>
        <w:rPr>
          <w:rFonts w:eastAsia="Calibri"/>
          <w:b w:val="0"/>
          <w:bCs/>
          <w:szCs w:val="22"/>
          <w:lang w:val="hy-AM" w:eastAsia="en-US"/>
        </w:rPr>
      </w:pPr>
    </w:p>
    <w:p w:rsidR="002916D8" w:rsidRDefault="002916D8" w:rsidP="00C43712">
      <w:pPr>
        <w:spacing w:before="0" w:line="276" w:lineRule="auto"/>
        <w:ind w:firstLine="720"/>
        <w:contextualSpacing w:val="0"/>
        <w:rPr>
          <w:rFonts w:eastAsia="Calibri"/>
          <w:b w:val="0"/>
          <w:bCs/>
          <w:szCs w:val="22"/>
          <w:lang w:val="hy-AM" w:eastAsia="en-US"/>
        </w:rPr>
      </w:pPr>
    </w:p>
    <w:p w:rsidR="009D2C35" w:rsidRDefault="009D2C35" w:rsidP="00C43712">
      <w:pPr>
        <w:spacing w:before="0" w:line="276" w:lineRule="auto"/>
        <w:ind w:firstLine="720"/>
        <w:contextualSpacing w:val="0"/>
        <w:rPr>
          <w:rFonts w:eastAsia="Calibri"/>
          <w:b w:val="0"/>
          <w:bCs/>
          <w:szCs w:val="22"/>
          <w:lang w:val="hy-AM" w:eastAsia="en-US"/>
        </w:rPr>
      </w:pPr>
    </w:p>
    <w:p w:rsidR="009D2C35" w:rsidRDefault="009D2C35" w:rsidP="00C43712">
      <w:pPr>
        <w:spacing w:before="0" w:line="276" w:lineRule="auto"/>
        <w:ind w:firstLine="720"/>
        <w:contextualSpacing w:val="0"/>
        <w:rPr>
          <w:rFonts w:eastAsia="Calibri"/>
          <w:b w:val="0"/>
          <w:bCs/>
          <w:szCs w:val="22"/>
          <w:lang w:val="hy-AM" w:eastAsia="en-US"/>
        </w:rPr>
      </w:pPr>
    </w:p>
    <w:p w:rsidR="002916D8" w:rsidRPr="00C43712" w:rsidRDefault="002916D8" w:rsidP="00C43712">
      <w:pPr>
        <w:spacing w:before="0" w:line="276" w:lineRule="auto"/>
        <w:ind w:firstLine="720"/>
        <w:contextualSpacing w:val="0"/>
        <w:rPr>
          <w:rFonts w:eastAsia="Calibri"/>
          <w:b w:val="0"/>
          <w:bCs/>
          <w:szCs w:val="22"/>
          <w:lang w:val="hy-AM" w:eastAsia="en-US"/>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5"/>
        <w:gridCol w:w="1170"/>
        <w:gridCol w:w="1157"/>
        <w:gridCol w:w="13"/>
        <w:gridCol w:w="1080"/>
      </w:tblGrid>
      <w:tr w:rsidR="00C43712" w:rsidRPr="00C43712" w:rsidTr="00C43712">
        <w:trPr>
          <w:trHeight w:val="341"/>
        </w:trPr>
        <w:tc>
          <w:tcPr>
            <w:tcW w:w="6745" w:type="dxa"/>
            <w:shd w:val="clear" w:color="auto" w:fill="548DD4" w:themeFill="text2" w:themeFillTint="99"/>
          </w:tcPr>
          <w:p w:rsidR="00C43712" w:rsidRPr="00C43712" w:rsidRDefault="00C43712" w:rsidP="00C43712">
            <w:pPr>
              <w:spacing w:before="0" w:line="276" w:lineRule="auto"/>
              <w:ind w:firstLine="0"/>
              <w:contextualSpacing w:val="0"/>
              <w:jc w:val="center"/>
              <w:rPr>
                <w:color w:val="FFFFFF" w:themeColor="background1"/>
                <w:szCs w:val="22"/>
                <w:lang w:val="hy-AM" w:eastAsia="en-US"/>
              </w:rPr>
            </w:pPr>
            <w:r w:rsidRPr="00C43712">
              <w:rPr>
                <w:rFonts w:ascii="Calibri" w:hAnsi="Calibri" w:cs="Calibri"/>
                <w:color w:val="FFFFFF" w:themeColor="background1"/>
                <w:szCs w:val="22"/>
                <w:lang w:val="hy-AM" w:eastAsia="en-US"/>
              </w:rPr>
              <w:t> </w:t>
            </w:r>
          </w:p>
        </w:tc>
        <w:tc>
          <w:tcPr>
            <w:tcW w:w="1170" w:type="dxa"/>
            <w:shd w:val="clear" w:color="auto" w:fill="548DD4" w:themeFill="text2" w:themeFillTint="99"/>
          </w:tcPr>
          <w:p w:rsidR="00C43712" w:rsidRPr="00C43712" w:rsidRDefault="00C43712" w:rsidP="00C43712">
            <w:pPr>
              <w:spacing w:before="0" w:line="276" w:lineRule="auto"/>
              <w:ind w:firstLine="0"/>
              <w:contextualSpacing w:val="0"/>
              <w:jc w:val="center"/>
              <w:rPr>
                <w:color w:val="FFFFFF" w:themeColor="background1"/>
                <w:szCs w:val="22"/>
                <w:lang w:val="hy-AM" w:eastAsia="en-US"/>
              </w:rPr>
            </w:pPr>
            <w:r w:rsidRPr="00C43712">
              <w:rPr>
                <w:color w:val="FFFFFF" w:themeColor="background1"/>
                <w:szCs w:val="22"/>
                <w:lang w:val="hy-AM" w:eastAsia="en-US"/>
              </w:rPr>
              <w:t>202</w:t>
            </w:r>
            <w:r w:rsidRPr="00C43712">
              <w:rPr>
                <w:color w:val="FFFFFF" w:themeColor="background1"/>
                <w:szCs w:val="22"/>
                <w:lang w:val="en-US" w:eastAsia="en-US"/>
              </w:rPr>
              <w:t>1</w:t>
            </w:r>
            <w:r w:rsidRPr="00C43712">
              <w:rPr>
                <w:color w:val="FFFFFF" w:themeColor="background1"/>
                <w:szCs w:val="22"/>
                <w:lang w:val="hy-AM" w:eastAsia="en-US"/>
              </w:rPr>
              <w:t>թ.</w:t>
            </w:r>
          </w:p>
        </w:tc>
        <w:tc>
          <w:tcPr>
            <w:tcW w:w="1157" w:type="dxa"/>
            <w:shd w:val="clear" w:color="auto" w:fill="548DD4" w:themeFill="text2" w:themeFillTint="99"/>
          </w:tcPr>
          <w:p w:rsidR="00C43712" w:rsidRPr="00C43712" w:rsidRDefault="00C43712" w:rsidP="00C43712">
            <w:pPr>
              <w:spacing w:before="0" w:line="276" w:lineRule="auto"/>
              <w:ind w:firstLine="0"/>
              <w:contextualSpacing w:val="0"/>
              <w:jc w:val="center"/>
              <w:rPr>
                <w:color w:val="FFFFFF" w:themeColor="background1"/>
                <w:szCs w:val="22"/>
                <w:lang w:val="hy-AM" w:eastAsia="en-US"/>
              </w:rPr>
            </w:pPr>
            <w:r w:rsidRPr="00C43712">
              <w:rPr>
                <w:color w:val="FFFFFF" w:themeColor="background1"/>
                <w:szCs w:val="22"/>
                <w:lang w:val="hy-AM" w:eastAsia="en-US"/>
              </w:rPr>
              <w:t>2022թ.</w:t>
            </w:r>
          </w:p>
        </w:tc>
        <w:tc>
          <w:tcPr>
            <w:tcW w:w="1093" w:type="dxa"/>
            <w:gridSpan w:val="2"/>
            <w:shd w:val="clear" w:color="auto" w:fill="548DD4" w:themeFill="text2" w:themeFillTint="99"/>
          </w:tcPr>
          <w:p w:rsidR="00C43712" w:rsidRPr="00C43712" w:rsidRDefault="00C43712" w:rsidP="00C43712">
            <w:pPr>
              <w:spacing w:before="0" w:line="276" w:lineRule="auto"/>
              <w:ind w:firstLine="0"/>
              <w:contextualSpacing w:val="0"/>
              <w:jc w:val="center"/>
              <w:rPr>
                <w:color w:val="FFFFFF" w:themeColor="background1"/>
                <w:szCs w:val="22"/>
                <w:lang w:val="hy-AM" w:eastAsia="en-US"/>
              </w:rPr>
            </w:pPr>
            <w:r w:rsidRPr="00C43712">
              <w:rPr>
                <w:color w:val="FFFFFF" w:themeColor="background1"/>
                <w:szCs w:val="22"/>
                <w:lang w:val="hy-AM" w:eastAsia="en-US"/>
              </w:rPr>
              <w:t>202</w:t>
            </w:r>
            <w:r w:rsidRPr="00C43712">
              <w:rPr>
                <w:color w:val="FFFFFF" w:themeColor="background1"/>
                <w:szCs w:val="22"/>
                <w:lang w:val="en-US" w:eastAsia="en-US"/>
              </w:rPr>
              <w:t>3</w:t>
            </w:r>
            <w:r w:rsidRPr="00C43712">
              <w:rPr>
                <w:color w:val="FFFFFF" w:themeColor="background1"/>
                <w:szCs w:val="22"/>
                <w:lang w:val="hy-AM" w:eastAsia="en-US"/>
              </w:rPr>
              <w:t>թ.</w:t>
            </w:r>
          </w:p>
        </w:tc>
      </w:tr>
      <w:tr w:rsidR="00C43712" w:rsidRPr="00C43712" w:rsidTr="00C43712">
        <w:trPr>
          <w:trHeight w:val="341"/>
        </w:trPr>
        <w:tc>
          <w:tcPr>
            <w:tcW w:w="6745" w:type="dxa"/>
          </w:tcPr>
          <w:p w:rsidR="00C43712" w:rsidRPr="00C43712" w:rsidRDefault="00C43712" w:rsidP="00C43712">
            <w:pPr>
              <w:spacing w:before="0" w:line="276" w:lineRule="auto"/>
              <w:ind w:firstLine="0"/>
              <w:contextualSpacing w:val="0"/>
              <w:jc w:val="left"/>
              <w:rPr>
                <w:szCs w:val="22"/>
                <w:lang w:val="hy-AM" w:eastAsia="en-US"/>
              </w:rPr>
            </w:pPr>
            <w:r w:rsidRPr="00C43712">
              <w:rPr>
                <w:szCs w:val="22"/>
                <w:lang w:val="hy-AM" w:eastAsia="en-US"/>
              </w:rPr>
              <w:t>Կառավարության պարտքի սպասարկում (տոկոսավճար), մլրդ դրամ</w:t>
            </w:r>
          </w:p>
        </w:tc>
        <w:tc>
          <w:tcPr>
            <w:tcW w:w="1170" w:type="dxa"/>
            <w:vAlign w:val="center"/>
          </w:tcPr>
          <w:p w:rsidR="00C43712" w:rsidRPr="00C43712" w:rsidRDefault="00C43712" w:rsidP="00C43712">
            <w:pPr>
              <w:spacing w:line="276" w:lineRule="auto"/>
              <w:ind w:firstLine="0"/>
              <w:jc w:val="center"/>
              <w:rPr>
                <w:szCs w:val="22"/>
                <w:lang w:val="hy-AM" w:eastAsia="en-US"/>
              </w:rPr>
            </w:pPr>
            <w:r w:rsidRPr="00C43712">
              <w:rPr>
                <w:szCs w:val="22"/>
                <w:lang w:val="hy-AM" w:eastAsia="en-US"/>
              </w:rPr>
              <w:t>180.8</w:t>
            </w:r>
          </w:p>
        </w:tc>
        <w:tc>
          <w:tcPr>
            <w:tcW w:w="1170" w:type="dxa"/>
            <w:gridSpan w:val="2"/>
            <w:vAlign w:val="center"/>
          </w:tcPr>
          <w:p w:rsidR="00C43712" w:rsidRPr="00C43712" w:rsidRDefault="00C43712" w:rsidP="00C43712">
            <w:pPr>
              <w:spacing w:line="276" w:lineRule="auto"/>
              <w:ind w:firstLine="0"/>
              <w:jc w:val="center"/>
              <w:rPr>
                <w:szCs w:val="22"/>
                <w:lang w:val="en-US" w:eastAsia="en-US"/>
              </w:rPr>
            </w:pPr>
            <w:r w:rsidRPr="00C43712">
              <w:rPr>
                <w:szCs w:val="22"/>
                <w:lang w:val="en-US" w:eastAsia="en-US"/>
              </w:rPr>
              <w:t>202.1</w:t>
            </w:r>
          </w:p>
        </w:tc>
        <w:tc>
          <w:tcPr>
            <w:tcW w:w="1080" w:type="dxa"/>
            <w:vAlign w:val="center"/>
          </w:tcPr>
          <w:p w:rsidR="00C43712" w:rsidRPr="00C43712" w:rsidRDefault="00C43712" w:rsidP="00C43712">
            <w:pPr>
              <w:spacing w:line="276" w:lineRule="auto"/>
              <w:ind w:firstLine="0"/>
              <w:jc w:val="center"/>
              <w:rPr>
                <w:szCs w:val="22"/>
                <w:lang w:val="en-US" w:eastAsia="en-US"/>
              </w:rPr>
            </w:pPr>
            <w:r w:rsidRPr="00C43712">
              <w:rPr>
                <w:szCs w:val="22"/>
                <w:lang w:val="hy-AM" w:eastAsia="en-US"/>
              </w:rPr>
              <w:t>272.9</w:t>
            </w:r>
          </w:p>
        </w:tc>
      </w:tr>
      <w:tr w:rsidR="00C43712" w:rsidRPr="00C43712" w:rsidTr="00C43712">
        <w:trPr>
          <w:trHeight w:val="341"/>
        </w:trPr>
        <w:tc>
          <w:tcPr>
            <w:tcW w:w="6745" w:type="dxa"/>
            <w:shd w:val="clear" w:color="auto" w:fill="DBE5F1" w:themeFill="accent1" w:themeFillTint="33"/>
          </w:tcPr>
          <w:p w:rsidR="00C43712" w:rsidRPr="00C43712" w:rsidRDefault="00C43712" w:rsidP="00C43712">
            <w:pPr>
              <w:spacing w:before="0" w:line="276" w:lineRule="auto"/>
              <w:ind w:firstLine="0"/>
              <w:contextualSpacing w:val="0"/>
              <w:jc w:val="right"/>
              <w:rPr>
                <w:szCs w:val="22"/>
                <w:lang w:val="hy-AM" w:eastAsia="en-US"/>
              </w:rPr>
            </w:pPr>
            <w:r w:rsidRPr="00C43712">
              <w:rPr>
                <w:szCs w:val="22"/>
                <w:lang w:val="hy-AM" w:eastAsia="en-US"/>
              </w:rPr>
              <w:t>%-ներով ՀՆԱ-ի նկատմամբ</w:t>
            </w:r>
          </w:p>
        </w:tc>
        <w:tc>
          <w:tcPr>
            <w:tcW w:w="1170" w:type="dxa"/>
            <w:shd w:val="clear" w:color="auto" w:fill="DBE5F1" w:themeFill="accent1" w:themeFillTint="33"/>
            <w:vAlign w:val="center"/>
          </w:tcPr>
          <w:p w:rsidR="00C43712" w:rsidRPr="00C43712" w:rsidRDefault="00C43712" w:rsidP="00C43712">
            <w:pPr>
              <w:spacing w:before="0" w:line="276" w:lineRule="auto"/>
              <w:ind w:firstLine="0"/>
              <w:contextualSpacing w:val="0"/>
              <w:jc w:val="center"/>
              <w:rPr>
                <w:szCs w:val="22"/>
                <w:lang w:val="hy-AM" w:eastAsia="en-US"/>
              </w:rPr>
            </w:pPr>
            <w:r w:rsidRPr="00C43712">
              <w:rPr>
                <w:szCs w:val="22"/>
                <w:lang w:val="hy-AM" w:eastAsia="en-US"/>
              </w:rPr>
              <w:t>2.6</w:t>
            </w:r>
          </w:p>
        </w:tc>
        <w:tc>
          <w:tcPr>
            <w:tcW w:w="1157" w:type="dxa"/>
            <w:shd w:val="clear" w:color="auto" w:fill="DBE5F1" w:themeFill="accent1" w:themeFillTint="33"/>
            <w:vAlign w:val="center"/>
          </w:tcPr>
          <w:p w:rsidR="00C43712" w:rsidRPr="00C43712" w:rsidRDefault="00C43712" w:rsidP="00C43712">
            <w:pPr>
              <w:spacing w:before="0" w:line="276" w:lineRule="auto"/>
              <w:ind w:firstLine="0"/>
              <w:contextualSpacing w:val="0"/>
              <w:jc w:val="center"/>
              <w:rPr>
                <w:szCs w:val="22"/>
                <w:lang w:val="en-US" w:eastAsia="en-US"/>
              </w:rPr>
            </w:pPr>
            <w:r w:rsidRPr="00C43712">
              <w:rPr>
                <w:szCs w:val="22"/>
                <w:lang w:val="hy-AM" w:eastAsia="en-US"/>
              </w:rPr>
              <w:t>2.</w:t>
            </w:r>
            <w:r w:rsidRPr="00C43712">
              <w:rPr>
                <w:szCs w:val="22"/>
                <w:lang w:val="en-US" w:eastAsia="en-US"/>
              </w:rPr>
              <w:t>4</w:t>
            </w:r>
          </w:p>
        </w:tc>
        <w:tc>
          <w:tcPr>
            <w:tcW w:w="1093" w:type="dxa"/>
            <w:gridSpan w:val="2"/>
            <w:shd w:val="clear" w:color="auto" w:fill="DBE5F1" w:themeFill="accent1" w:themeFillTint="33"/>
            <w:vAlign w:val="center"/>
          </w:tcPr>
          <w:p w:rsidR="00C43712" w:rsidRPr="00C43712" w:rsidRDefault="00C43712" w:rsidP="00C43712">
            <w:pPr>
              <w:spacing w:before="0" w:line="276" w:lineRule="auto"/>
              <w:ind w:firstLine="0"/>
              <w:contextualSpacing w:val="0"/>
              <w:jc w:val="center"/>
              <w:rPr>
                <w:szCs w:val="22"/>
                <w:lang w:val="hy-AM" w:eastAsia="en-US"/>
              </w:rPr>
            </w:pPr>
            <w:r w:rsidRPr="00C43712">
              <w:rPr>
                <w:szCs w:val="22"/>
                <w:lang w:val="hy-AM" w:eastAsia="en-US"/>
              </w:rPr>
              <w:t>2.9</w:t>
            </w:r>
          </w:p>
        </w:tc>
      </w:tr>
      <w:tr w:rsidR="00C43712" w:rsidRPr="00C43712" w:rsidTr="00C43712">
        <w:trPr>
          <w:trHeight w:val="341"/>
        </w:trPr>
        <w:tc>
          <w:tcPr>
            <w:tcW w:w="6745" w:type="dxa"/>
          </w:tcPr>
          <w:p w:rsidR="00C43712" w:rsidRPr="00C43712" w:rsidRDefault="00C43712" w:rsidP="00C43712">
            <w:pPr>
              <w:spacing w:before="0" w:line="276" w:lineRule="auto"/>
              <w:ind w:firstLine="0"/>
              <w:contextualSpacing w:val="0"/>
              <w:jc w:val="left"/>
              <w:rPr>
                <w:szCs w:val="22"/>
                <w:lang w:val="hy-AM" w:eastAsia="en-US"/>
              </w:rPr>
            </w:pPr>
            <w:r w:rsidRPr="00C43712">
              <w:rPr>
                <w:szCs w:val="22"/>
                <w:lang w:val="hy-AM" w:eastAsia="en-US"/>
              </w:rPr>
              <w:t>Կառավարության պարտքի միջին կշռված տոկոսադրույք, %</w:t>
            </w:r>
          </w:p>
        </w:tc>
        <w:tc>
          <w:tcPr>
            <w:tcW w:w="1170" w:type="dxa"/>
          </w:tcPr>
          <w:p w:rsidR="00C43712" w:rsidRPr="00C43712" w:rsidRDefault="00C43712" w:rsidP="00C43712">
            <w:pPr>
              <w:spacing w:before="0" w:line="276" w:lineRule="auto"/>
              <w:ind w:firstLine="0"/>
              <w:contextualSpacing w:val="0"/>
              <w:jc w:val="center"/>
              <w:rPr>
                <w:szCs w:val="22"/>
                <w:lang w:val="hy-AM" w:eastAsia="en-US"/>
              </w:rPr>
            </w:pPr>
            <w:r w:rsidRPr="00C43712">
              <w:rPr>
                <w:szCs w:val="22"/>
                <w:lang w:val="hy-AM" w:eastAsia="en-US"/>
              </w:rPr>
              <w:t>4.7</w:t>
            </w:r>
          </w:p>
        </w:tc>
        <w:tc>
          <w:tcPr>
            <w:tcW w:w="1157" w:type="dxa"/>
          </w:tcPr>
          <w:p w:rsidR="00C43712" w:rsidRPr="00C43712" w:rsidRDefault="00C43712" w:rsidP="00C43712">
            <w:pPr>
              <w:spacing w:before="0" w:line="276" w:lineRule="auto"/>
              <w:ind w:firstLine="0"/>
              <w:contextualSpacing w:val="0"/>
              <w:jc w:val="center"/>
              <w:rPr>
                <w:szCs w:val="22"/>
                <w:lang w:val="en-US" w:eastAsia="en-US"/>
              </w:rPr>
            </w:pPr>
            <w:r w:rsidRPr="00C43712">
              <w:rPr>
                <w:szCs w:val="22"/>
                <w:lang w:val="en-US" w:eastAsia="en-US"/>
              </w:rPr>
              <w:t>4.8</w:t>
            </w:r>
          </w:p>
        </w:tc>
        <w:tc>
          <w:tcPr>
            <w:tcW w:w="1093" w:type="dxa"/>
            <w:gridSpan w:val="2"/>
          </w:tcPr>
          <w:p w:rsidR="00C43712" w:rsidRPr="00C43712" w:rsidRDefault="00C43712" w:rsidP="00C43712">
            <w:pPr>
              <w:spacing w:before="0" w:line="276" w:lineRule="auto"/>
              <w:ind w:firstLine="0"/>
              <w:contextualSpacing w:val="0"/>
              <w:jc w:val="center"/>
              <w:rPr>
                <w:szCs w:val="22"/>
                <w:lang w:val="hy-AM" w:eastAsia="en-US"/>
              </w:rPr>
            </w:pPr>
            <w:r w:rsidRPr="00C43712">
              <w:rPr>
                <w:szCs w:val="22"/>
                <w:lang w:val="hy-AM" w:eastAsia="en-US"/>
              </w:rPr>
              <w:t>6.6</w:t>
            </w:r>
          </w:p>
        </w:tc>
      </w:tr>
    </w:tbl>
    <w:p w:rsidR="002916D8" w:rsidRDefault="002916D8" w:rsidP="00C43712">
      <w:pPr>
        <w:spacing w:before="0" w:after="240" w:line="276" w:lineRule="auto"/>
        <w:ind w:firstLine="1"/>
        <w:contextualSpacing w:val="0"/>
        <w:jc w:val="center"/>
        <w:rPr>
          <w:rFonts w:eastAsia="Calibri" w:cs="Sylfaen"/>
          <w:szCs w:val="22"/>
          <w:lang w:val="hy-AM" w:eastAsia="en-US"/>
        </w:rPr>
      </w:pPr>
    </w:p>
    <w:p w:rsidR="00C43712" w:rsidRPr="00C43712" w:rsidRDefault="00C43712" w:rsidP="00C43712">
      <w:pPr>
        <w:spacing w:before="0" w:after="240" w:line="276" w:lineRule="auto"/>
        <w:ind w:firstLine="1"/>
        <w:contextualSpacing w:val="0"/>
        <w:jc w:val="center"/>
        <w:rPr>
          <w:rFonts w:eastAsia="Calibri"/>
          <w:b w:val="0"/>
          <w:bCs/>
          <w:szCs w:val="22"/>
          <w:lang w:val="hy-AM" w:eastAsia="en-US"/>
        </w:rPr>
      </w:pPr>
      <w:r w:rsidRPr="00C43712">
        <w:rPr>
          <w:rFonts w:eastAsia="Calibri" w:cs="Sylfaen"/>
          <w:szCs w:val="22"/>
          <w:lang w:val="hy-AM" w:eastAsia="en-US"/>
        </w:rPr>
        <w:t>Պակասուրդի ֆինանսավորման պարտքային գործիքակազմը</w:t>
      </w:r>
    </w:p>
    <w:p w:rsidR="00C43712" w:rsidRPr="00C43712" w:rsidRDefault="00C43712" w:rsidP="00C43712">
      <w:pPr>
        <w:spacing w:before="0" w:after="120" w:line="276" w:lineRule="auto"/>
        <w:contextualSpacing w:val="0"/>
        <w:rPr>
          <w:rFonts w:eastAsia="Calibri"/>
          <w:b w:val="0"/>
          <w:bCs/>
          <w:szCs w:val="22"/>
          <w:lang w:val="hy-AM" w:eastAsia="en-US"/>
        </w:rPr>
      </w:pPr>
      <w:r w:rsidRPr="00C43712">
        <w:rPr>
          <w:rFonts w:eastAsia="Calibri"/>
          <w:b w:val="0"/>
          <w:bCs/>
          <w:szCs w:val="22"/>
          <w:lang w:val="hy-AM" w:eastAsia="en-US"/>
        </w:rPr>
        <w:t xml:space="preserve">2023 թվականին պետական բյուջեի պակասուրդի զուտ ֆինանսավորումը փոխառու միջոցների հաշվին կկազմի 418.6 մլրդ դրամ, ինչը կիրականացվի պետական գանձապետական պարտատոմսերի հաշվին՝ 295.2 մլրդ դրամի չափով և արտաքին վարկերի հաշվին՝ 123.4 մլրդ դրամի չափով: Արտարժութային պետական պարտատոմսերի հաշվին մուտքեր չեն նախատեսվել: </w:t>
      </w:r>
    </w:p>
    <w:p w:rsidR="00C43712" w:rsidRPr="00C43712" w:rsidRDefault="00C43712" w:rsidP="00C43712">
      <w:pPr>
        <w:spacing w:before="0" w:after="120" w:line="276" w:lineRule="auto"/>
        <w:ind w:right="43" w:firstLine="0"/>
        <w:contextualSpacing w:val="0"/>
        <w:rPr>
          <w:rFonts w:eastAsia="Calibri"/>
          <w:b w:val="0"/>
          <w:bCs/>
          <w:i/>
          <w:szCs w:val="22"/>
          <w:u w:val="single"/>
          <w:lang w:val="hy-AM" w:eastAsia="en-US"/>
        </w:rPr>
      </w:pPr>
      <w:r w:rsidRPr="00C43712">
        <w:rPr>
          <w:rFonts w:eastAsia="Calibri"/>
          <w:b w:val="0"/>
          <w:bCs/>
          <w:i/>
          <w:szCs w:val="22"/>
          <w:u w:val="single"/>
          <w:lang w:val="hy-AM" w:eastAsia="en-US"/>
        </w:rPr>
        <w:t>Պակասուրդի ֆինանսավորումը պետական գանձապետական պարտատոմսերով</w:t>
      </w:r>
    </w:p>
    <w:p w:rsidR="00C43712" w:rsidRPr="00C43712" w:rsidRDefault="00C43712" w:rsidP="00C43712">
      <w:pPr>
        <w:spacing w:before="0" w:after="120" w:line="276" w:lineRule="auto"/>
        <w:ind w:right="43" w:firstLine="562"/>
        <w:rPr>
          <w:rFonts w:eastAsia="Calibri"/>
          <w:b w:val="0"/>
          <w:bCs/>
          <w:szCs w:val="22"/>
          <w:lang w:val="hy-AM" w:eastAsia="en-US"/>
        </w:rPr>
      </w:pPr>
      <w:r w:rsidRPr="00C43712">
        <w:rPr>
          <w:rFonts w:eastAsia="Calibri"/>
          <w:b w:val="0"/>
          <w:bCs/>
          <w:szCs w:val="22"/>
          <w:lang w:val="hy-AM" w:eastAsia="en-US"/>
        </w:rPr>
        <w:t>Պետական գանձապետական պարտատոմսերով բյուջեի դեֆիցիտի ֆինանսավորումն իրականացվելու է կարճաժամկետ (3, 6, 9 և 12 ամիս), միջնաժամկետ (3 և 5 տարի), երկարաժամկետ (10, 20 և 30 տարի) և խնայողական պարտատոմսերի հաշվին:</w:t>
      </w:r>
    </w:p>
    <w:p w:rsidR="00C43712" w:rsidRPr="00C43712" w:rsidRDefault="00C43712" w:rsidP="00C43712">
      <w:pPr>
        <w:spacing w:before="0" w:after="120" w:line="276" w:lineRule="auto"/>
        <w:ind w:right="43" w:firstLine="562"/>
        <w:rPr>
          <w:rFonts w:eastAsia="Calibri"/>
          <w:b w:val="0"/>
          <w:szCs w:val="22"/>
          <w:lang w:val="hy-AM" w:eastAsia="en-US"/>
        </w:rPr>
      </w:pPr>
      <w:r w:rsidRPr="00C43712">
        <w:rPr>
          <w:rFonts w:eastAsia="Calibri"/>
          <w:b w:val="0"/>
          <w:szCs w:val="22"/>
          <w:lang w:val="hy-AM" w:eastAsia="en-US"/>
        </w:rPr>
        <w:t>Յուրաքանչյուր երկու ամիսն առնվազն մեկ անգամ կկազմակերպվի 52, 39, 26 և 13 շաբաթ մարման ժամկետ ունեցող պետական գանձապետական կարճաժամկետ պարտատոմսերի տեղաբաշխման աճուրդներ:</w:t>
      </w:r>
      <w:r w:rsidRPr="00C43712">
        <w:rPr>
          <w:rFonts w:eastAsia="Calibri"/>
          <w:b w:val="0"/>
          <w:bCs/>
          <w:szCs w:val="22"/>
          <w:lang w:val="hy-AM" w:eastAsia="en-US"/>
        </w:rPr>
        <w:t xml:space="preserve"> </w:t>
      </w:r>
      <w:r w:rsidRPr="00C43712">
        <w:rPr>
          <w:rFonts w:eastAsia="Calibri"/>
          <w:b w:val="0"/>
          <w:szCs w:val="22"/>
          <w:lang w:val="hy-AM" w:eastAsia="en-US"/>
        </w:rPr>
        <w:t>Կարող են իրականացվել նաև պետական գանձապետական կարճաժամկետ պարտատոմսերի լրացուցիչ թողարկումներ, ընդ որում մինչև 3 շաբաթ մարման ժամկետայնությամբ թողարկումներ կարող են իրականացվել կանխիկ հոսքերի կառավարման նպատակով, իսկ 3-12 շաբաթ մարման ժամկետայնությամբ թողարկումներ` հարկաբյուջետային և դրամավարկային քաղաքականությունների կոորդինացման շրջանակներում:</w:t>
      </w:r>
    </w:p>
    <w:p w:rsidR="00C43712" w:rsidRPr="00C43712" w:rsidRDefault="00C43712" w:rsidP="00C43712">
      <w:pPr>
        <w:spacing w:line="276" w:lineRule="auto"/>
        <w:rPr>
          <w:rFonts w:eastAsia="Calibri"/>
          <w:b w:val="0"/>
          <w:szCs w:val="22"/>
          <w:lang w:val="hy-AM" w:eastAsia="en-US"/>
        </w:rPr>
      </w:pPr>
      <w:r w:rsidRPr="00C43712">
        <w:rPr>
          <w:rFonts w:eastAsia="Calibri"/>
          <w:b w:val="0"/>
          <w:szCs w:val="22"/>
          <w:lang w:val="hy-AM" w:eastAsia="en-US"/>
        </w:rPr>
        <w:t>Կշարունակվի 6 ամիս մարման ժամկետ ունեցող պետական կարճաժամկետ պարտատոմսերի տեղաբաշխման ծավալների ավելացումը՝ հետագայում այն ուղենշային պարտատոմսերի ցանկում ընդգրկելու և գնանշելու համար:</w:t>
      </w:r>
    </w:p>
    <w:p w:rsidR="00C43712" w:rsidRPr="00C43712" w:rsidRDefault="00C43712" w:rsidP="00C43712">
      <w:pPr>
        <w:spacing w:before="0" w:after="120" w:line="276" w:lineRule="auto"/>
        <w:ind w:right="43" w:firstLine="562"/>
        <w:rPr>
          <w:rFonts w:eastAsia="Calibri"/>
          <w:b w:val="0"/>
          <w:bCs/>
          <w:szCs w:val="22"/>
          <w:lang w:val="hy-AM" w:eastAsia="en-US"/>
        </w:rPr>
      </w:pPr>
      <w:r w:rsidRPr="00C43712">
        <w:rPr>
          <w:rFonts w:eastAsia="Calibri"/>
          <w:b w:val="0"/>
          <w:bCs/>
          <w:szCs w:val="22"/>
          <w:lang w:val="hy-AM" w:eastAsia="en-US"/>
        </w:rPr>
        <w:t xml:space="preserve">2023 թվականի ապրիլի 29-ին կթողարկվեն 3 և 5 տարի մարման ժամկետայնությամբ նոր միջնաժամկետ պետական գանձապետական պարտատոմսեր: </w:t>
      </w:r>
    </w:p>
    <w:p w:rsidR="00C43712" w:rsidRPr="00C43712" w:rsidRDefault="00C43712" w:rsidP="00C43712">
      <w:pPr>
        <w:tabs>
          <w:tab w:val="left" w:pos="142"/>
        </w:tabs>
        <w:spacing w:before="0" w:after="120" w:line="276" w:lineRule="auto"/>
        <w:ind w:right="49"/>
        <w:rPr>
          <w:rFonts w:eastAsia="Calibri"/>
          <w:b w:val="0"/>
          <w:szCs w:val="22"/>
          <w:lang w:val="hy-AM" w:eastAsia="en-US"/>
        </w:rPr>
      </w:pPr>
      <w:r w:rsidRPr="00C43712">
        <w:rPr>
          <w:rFonts w:eastAsia="Calibri"/>
          <w:b w:val="0"/>
          <w:szCs w:val="22"/>
          <w:lang w:val="hy-AM" w:eastAsia="en-US"/>
        </w:rPr>
        <w:t xml:space="preserve">Աճուրդների կողմնորոշիչ ծավալների վերաբերյալ տեղեկատվությունը կհրապարակվի եռամսյակային կտրվածքով: </w:t>
      </w:r>
    </w:p>
    <w:p w:rsidR="00C43712" w:rsidRPr="00C43712" w:rsidRDefault="00C43712" w:rsidP="00C43712">
      <w:pPr>
        <w:tabs>
          <w:tab w:val="left" w:pos="142"/>
        </w:tabs>
        <w:spacing w:before="0" w:after="120" w:line="276" w:lineRule="auto"/>
        <w:ind w:right="49"/>
        <w:rPr>
          <w:rFonts w:eastAsia="Calibri"/>
          <w:b w:val="0"/>
          <w:szCs w:val="22"/>
          <w:lang w:val="hy-AM" w:eastAsia="en-US"/>
        </w:rPr>
      </w:pPr>
      <w:r w:rsidRPr="00C43712">
        <w:rPr>
          <w:rFonts w:eastAsia="Calibri"/>
          <w:b w:val="0"/>
          <w:szCs w:val="22"/>
          <w:lang w:val="hy-AM" w:eastAsia="en-US"/>
        </w:rPr>
        <w:t>Յուրաքանչյուր աճուրդին տեղաբաշխման ենթակա պարտատոմսերի ծավալների և ժամկետների վերաբերյալ տեղեկատվությունը կհրապարակվի աճուրդից առաջ՝ գործակալների հետ խորհրդակցելուց հետո:</w:t>
      </w:r>
    </w:p>
    <w:p w:rsidR="00C43712" w:rsidRPr="00C43712" w:rsidRDefault="00C43712" w:rsidP="00C43712">
      <w:pPr>
        <w:spacing w:before="0" w:after="120" w:line="276" w:lineRule="auto"/>
        <w:ind w:right="49"/>
        <w:rPr>
          <w:rFonts w:eastAsia="Calibri"/>
          <w:b w:val="0"/>
          <w:szCs w:val="22"/>
          <w:lang w:val="hy-AM" w:eastAsia="en-US"/>
        </w:rPr>
      </w:pPr>
      <w:r w:rsidRPr="00C43712">
        <w:rPr>
          <w:rFonts w:eastAsia="Calibri"/>
          <w:b w:val="0"/>
          <w:szCs w:val="22"/>
          <w:lang w:val="hy-AM" w:eastAsia="en-US"/>
        </w:rPr>
        <w:t>2023 թվականի ընթացքում կիրականացվեն նաև պետական գանձապետական պարտատոմսերի հետգնումներ: 2023 թվականի ընթացքում պարտատոմսերի հետգնումների 70-80% կիրականացվեն մարման գրաֆիկի հարթեցման, իսկ 20-30%՝ պարտատոմսերի իրացվելիությունը խթանելու նպատակով: ՀՀ ֆինանսների նախարարությունը յուրաքանչյուր թողարկման պարտատոմսերի տեղաբաշխման ժամանակահատվածում այդ պարտատոմսերի հետգնում չի իրականացնի:</w:t>
      </w:r>
    </w:p>
    <w:p w:rsidR="00C43712" w:rsidRPr="00C43712" w:rsidRDefault="00C43712" w:rsidP="00C43712">
      <w:pPr>
        <w:spacing w:before="0" w:after="120" w:line="276" w:lineRule="auto"/>
        <w:ind w:right="49"/>
        <w:rPr>
          <w:rFonts w:eastAsia="Calibri"/>
          <w:b w:val="0"/>
          <w:bCs/>
          <w:szCs w:val="22"/>
          <w:lang w:val="hy-AM" w:eastAsia="en-US"/>
        </w:rPr>
      </w:pPr>
      <w:r w:rsidRPr="00C43712">
        <w:rPr>
          <w:rFonts w:eastAsia="Calibri"/>
          <w:b w:val="0"/>
          <w:bCs/>
          <w:szCs w:val="22"/>
          <w:lang w:val="hy-AM" w:eastAsia="en-US"/>
        </w:rPr>
        <w:t>ՀՀ ֆինանսների նախարարության պաշտոնական կայք էջում եռամսյակային կտրվածքով, յուրաքանչյուր եռամսյակից 10 օր առաջ, կհրապարակի ուղենշային համարվող պարտատոմսերի ցանկը:</w:t>
      </w:r>
    </w:p>
    <w:p w:rsidR="00C43712" w:rsidRPr="00C43712" w:rsidRDefault="00C43712" w:rsidP="00C43712">
      <w:pPr>
        <w:tabs>
          <w:tab w:val="left" w:pos="142"/>
        </w:tabs>
        <w:spacing w:before="0" w:after="120" w:line="276" w:lineRule="auto"/>
        <w:ind w:right="49"/>
        <w:rPr>
          <w:rFonts w:eastAsia="Calibri"/>
          <w:b w:val="0"/>
          <w:szCs w:val="22"/>
          <w:lang w:val="hy-AM" w:eastAsia="en-US"/>
        </w:rPr>
      </w:pPr>
      <w:r w:rsidRPr="00C43712">
        <w:rPr>
          <w:rFonts w:eastAsia="Calibri"/>
          <w:b w:val="0"/>
          <w:bCs/>
          <w:szCs w:val="22"/>
          <w:lang w:val="hy-AM" w:eastAsia="en-US"/>
        </w:rPr>
        <w:t xml:space="preserve">2023 թվականին նախատեսվում է գործարկել պետական գանձապետական պարտատոմսերի փոխանակման աճուրդային համակարգը: </w:t>
      </w:r>
    </w:p>
    <w:p w:rsidR="00C43712" w:rsidRPr="00C43712" w:rsidRDefault="00C43712" w:rsidP="00C43712">
      <w:pPr>
        <w:spacing w:before="240" w:after="120" w:line="276" w:lineRule="auto"/>
        <w:ind w:right="43" w:firstLine="0"/>
        <w:contextualSpacing w:val="0"/>
        <w:rPr>
          <w:rFonts w:eastAsia="Calibri"/>
          <w:b w:val="0"/>
          <w:bCs/>
          <w:i/>
          <w:szCs w:val="22"/>
          <w:u w:val="single"/>
          <w:lang w:val="hy-AM" w:eastAsia="en-US"/>
        </w:rPr>
      </w:pPr>
    </w:p>
    <w:p w:rsidR="00C43712" w:rsidRPr="00C43712" w:rsidRDefault="00C43712" w:rsidP="00C43712">
      <w:pPr>
        <w:spacing w:before="240" w:after="120" w:line="276" w:lineRule="auto"/>
        <w:ind w:right="43" w:firstLine="0"/>
        <w:contextualSpacing w:val="0"/>
        <w:rPr>
          <w:rFonts w:eastAsia="Calibri"/>
          <w:b w:val="0"/>
          <w:bCs/>
          <w:i/>
          <w:szCs w:val="22"/>
          <w:u w:val="single"/>
          <w:lang w:val="hy-AM" w:eastAsia="en-US"/>
        </w:rPr>
      </w:pPr>
      <w:r w:rsidRPr="00C43712">
        <w:rPr>
          <w:rFonts w:eastAsia="Calibri"/>
          <w:b w:val="0"/>
          <w:bCs/>
          <w:i/>
          <w:szCs w:val="22"/>
          <w:u w:val="single"/>
          <w:lang w:val="hy-AM" w:eastAsia="en-US"/>
        </w:rPr>
        <w:t>Պակասուրդի ֆինանսավորումն արտաքին վարկերով</w:t>
      </w:r>
    </w:p>
    <w:p w:rsidR="00C43712" w:rsidRPr="00C43712" w:rsidRDefault="00C43712" w:rsidP="00C43712">
      <w:pPr>
        <w:spacing w:before="0" w:after="120" w:line="276" w:lineRule="auto"/>
        <w:contextualSpacing w:val="0"/>
        <w:rPr>
          <w:rFonts w:eastAsia="Calibri"/>
          <w:b w:val="0"/>
          <w:szCs w:val="22"/>
          <w:lang w:val="hy-AM" w:eastAsia="en-US"/>
        </w:rPr>
      </w:pPr>
      <w:r w:rsidRPr="00C43712">
        <w:rPr>
          <w:rFonts w:eastAsia="Calibri"/>
          <w:b w:val="0"/>
          <w:szCs w:val="22"/>
          <w:lang w:val="hy-AM" w:eastAsia="en-US"/>
        </w:rPr>
        <w:t xml:space="preserve">ՀՀ 2023 թվականին պետական բյուջեի պակասուրդը ֆինանսավորելու համար նախատեսվում է արտաքին վարկերի գծով կատարել 259.4 մլրդ դրամի (656.3 մլն ԱՄՆ դոլար) մասհանումներ: Ընդ որում մասհանումներից 117.5 մլրդ դրամը (297.3 մլն ԱՄՆ դոլար) նախատեսվում է կատարել նպատակային վարկային ծրագրերի գծով, իսկ մնացած 141.9 մլրդ դրամը (359 մլն ԱՄՆ դոլար)՝ բյուջետային աջակցության վարկերի գծով: </w:t>
      </w:r>
    </w:p>
    <w:p w:rsidR="00C43712" w:rsidRPr="00C43712" w:rsidRDefault="00C43712" w:rsidP="00C43712">
      <w:pPr>
        <w:spacing w:before="0" w:after="120" w:line="276" w:lineRule="auto"/>
        <w:contextualSpacing w:val="0"/>
        <w:rPr>
          <w:rFonts w:eastAsia="Calibri"/>
          <w:b w:val="0"/>
          <w:szCs w:val="22"/>
          <w:lang w:val="hy-AM" w:eastAsia="en-US"/>
        </w:rPr>
      </w:pPr>
      <w:r w:rsidRPr="00C43712">
        <w:rPr>
          <w:rFonts w:eastAsia="Calibri"/>
          <w:b w:val="0"/>
          <w:szCs w:val="22"/>
          <w:lang w:val="hy-AM" w:eastAsia="en-US"/>
        </w:rPr>
        <w:t xml:space="preserve">2023 թվականի համար ծրագրավորված բյուջետային աջակցության վարկերի ստացումները հետևյալն են. 100 մլն ԱՄՆ դոլար Վերակառուցման և Զարգացման Միջազգային Բանկից, 50 մլն եվրո ՝ ՕՊԵԿ հիմնադրամից, 100 մլն եվրո Ֆրանսիայից, 50 մլն </w:t>
      </w:r>
      <w:r w:rsidR="00A4527D" w:rsidRPr="00C43712">
        <w:rPr>
          <w:rFonts w:eastAsia="Calibri"/>
          <w:b w:val="0"/>
          <w:szCs w:val="22"/>
          <w:lang w:val="hy-AM" w:eastAsia="en-US"/>
        </w:rPr>
        <w:t>ԱՄՆ դոլար</w:t>
      </w:r>
      <w:r w:rsidRPr="00C43712">
        <w:rPr>
          <w:rFonts w:eastAsia="Calibri"/>
          <w:b w:val="0"/>
          <w:szCs w:val="22"/>
          <w:lang w:val="hy-AM" w:eastAsia="en-US"/>
        </w:rPr>
        <w:t xml:space="preserve"> Ասիական Զարգացման Բանկից և այլն:</w:t>
      </w:r>
    </w:p>
    <w:p w:rsidR="00C43712" w:rsidRPr="00C43712" w:rsidRDefault="00C43712" w:rsidP="00C43712">
      <w:pPr>
        <w:spacing w:before="0" w:after="120" w:line="276" w:lineRule="auto"/>
        <w:contextualSpacing w:val="0"/>
        <w:rPr>
          <w:rFonts w:eastAsia="Calibri"/>
          <w:b w:val="0"/>
          <w:szCs w:val="22"/>
          <w:lang w:val="hy-AM" w:eastAsia="en-US"/>
        </w:rPr>
      </w:pPr>
      <w:r w:rsidRPr="00C43712">
        <w:rPr>
          <w:rFonts w:eastAsia="Calibri"/>
          <w:b w:val="0"/>
          <w:szCs w:val="22"/>
          <w:lang w:val="hy-AM" w:eastAsia="en-US"/>
        </w:rPr>
        <w:t>Ըստ վարկատուների մասհանումների կառուցվածքը հետևյալն է.</w:t>
      </w:r>
    </w:p>
    <w:p w:rsidR="00C43712" w:rsidRPr="00C43712" w:rsidRDefault="00C43712" w:rsidP="00C43712">
      <w:pPr>
        <w:spacing w:before="0" w:after="120" w:line="276" w:lineRule="auto"/>
        <w:contextualSpacing w:val="0"/>
        <w:rPr>
          <w:rFonts w:eastAsia="Calibri"/>
          <w:b w:val="0"/>
          <w:szCs w:val="22"/>
          <w:lang w:val="hy-AM" w:eastAsia="en-US"/>
        </w:rPr>
      </w:pPr>
      <w:r w:rsidRPr="00C43712">
        <w:rPr>
          <w:noProof/>
          <w:szCs w:val="22"/>
          <w:lang w:val="en-US" w:eastAsia="en-US"/>
        </w:rPr>
        <w:drawing>
          <wp:inline distT="0" distB="0" distL="0" distR="0" wp14:anchorId="264F81EA" wp14:editId="5337BDA8">
            <wp:extent cx="5229225" cy="3009900"/>
            <wp:effectExtent l="133350" t="95250" r="123825" b="9525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C43712" w:rsidRPr="00C43712" w:rsidRDefault="00C43712" w:rsidP="00C43712">
      <w:pPr>
        <w:spacing w:before="0" w:after="120" w:line="276" w:lineRule="auto"/>
        <w:ind w:firstLine="720"/>
        <w:contextualSpacing w:val="0"/>
        <w:rPr>
          <w:rFonts w:eastAsia="Calibri"/>
          <w:b w:val="0"/>
          <w:szCs w:val="22"/>
          <w:lang w:val="hy-AM" w:eastAsia="en-US"/>
        </w:rPr>
      </w:pPr>
      <w:r w:rsidRPr="00C43712">
        <w:rPr>
          <w:rFonts w:eastAsia="Calibri"/>
          <w:b w:val="0"/>
          <w:szCs w:val="22"/>
          <w:lang w:val="hy-AM" w:eastAsia="en-US"/>
        </w:rPr>
        <w:t xml:space="preserve">2023 թվականին մասհանումների 53.4%-ը կկատարվի ԱՄՆ դոլարով տրամադրված վարկերի գծով և 42.6%-ը եվրոյով տրամադրված վարկերի գծով: </w:t>
      </w:r>
    </w:p>
    <w:p w:rsidR="00C43712" w:rsidRPr="00C43712" w:rsidRDefault="00C43712" w:rsidP="00C43712">
      <w:pPr>
        <w:spacing w:before="0" w:after="120" w:line="276" w:lineRule="auto"/>
        <w:ind w:firstLine="720"/>
        <w:contextualSpacing w:val="0"/>
        <w:rPr>
          <w:rFonts w:eastAsia="Calibri"/>
          <w:b w:val="0"/>
          <w:szCs w:val="22"/>
          <w:lang w:val="hy-AM" w:eastAsia="en-US"/>
        </w:rPr>
      </w:pPr>
      <w:r w:rsidRPr="00C43712">
        <w:rPr>
          <w:noProof/>
          <w:szCs w:val="22"/>
          <w:lang w:val="en-US" w:eastAsia="en-US"/>
        </w:rPr>
        <w:drawing>
          <wp:inline distT="0" distB="0" distL="0" distR="0" wp14:anchorId="1C73B318" wp14:editId="1DAA6A20">
            <wp:extent cx="4220023" cy="2066930"/>
            <wp:effectExtent l="114300" t="95250" r="104775" b="85725"/>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C43712" w:rsidRPr="00C43712" w:rsidRDefault="00C43712" w:rsidP="00C43712">
      <w:pPr>
        <w:spacing w:before="0" w:after="120" w:line="276" w:lineRule="auto"/>
        <w:ind w:firstLine="720"/>
        <w:contextualSpacing w:val="0"/>
        <w:rPr>
          <w:rFonts w:eastAsia="Calibri"/>
          <w:b w:val="0"/>
          <w:szCs w:val="22"/>
          <w:lang w:val="hy-AM" w:eastAsia="en-US"/>
        </w:rPr>
      </w:pPr>
    </w:p>
    <w:p w:rsidR="00C43712" w:rsidRPr="00C43712" w:rsidRDefault="00C43712" w:rsidP="00C43712">
      <w:pPr>
        <w:spacing w:before="0" w:after="200" w:line="276" w:lineRule="auto"/>
        <w:ind w:firstLine="720"/>
        <w:contextualSpacing w:val="0"/>
        <w:jc w:val="left"/>
        <w:rPr>
          <w:rFonts w:eastAsia="Calibri" w:cs="Arial"/>
          <w:szCs w:val="22"/>
          <w:lang w:val="hy-AM" w:eastAsia="en-US"/>
        </w:rPr>
      </w:pPr>
      <w:r w:rsidRPr="00C43712">
        <w:rPr>
          <w:rFonts w:eastAsia="Calibri" w:cs="Arial"/>
          <w:szCs w:val="22"/>
          <w:lang w:val="hy-AM" w:eastAsia="en-US"/>
        </w:rPr>
        <w:t>Կառավարության</w:t>
      </w:r>
      <w:r w:rsidRPr="00C43712">
        <w:rPr>
          <w:rFonts w:eastAsia="Calibri"/>
          <w:szCs w:val="22"/>
          <w:lang w:val="hy-AM" w:eastAsia="en-US"/>
        </w:rPr>
        <w:t xml:space="preserve"> պարտքի մարումը և սպասարկումը</w:t>
      </w:r>
    </w:p>
    <w:p w:rsidR="00C43712" w:rsidRPr="00C43712" w:rsidRDefault="00C43712" w:rsidP="00C43712">
      <w:pPr>
        <w:spacing w:before="0" w:after="120" w:line="276" w:lineRule="auto"/>
        <w:ind w:firstLine="720"/>
        <w:contextualSpacing w:val="0"/>
        <w:rPr>
          <w:rFonts w:eastAsia="Calibri"/>
          <w:b w:val="0"/>
          <w:bCs/>
          <w:szCs w:val="22"/>
          <w:lang w:val="hy-AM" w:eastAsia="en-US"/>
        </w:rPr>
      </w:pPr>
      <w:r w:rsidRPr="00C43712">
        <w:rPr>
          <w:rFonts w:eastAsia="Calibri"/>
          <w:b w:val="0"/>
          <w:bCs/>
          <w:szCs w:val="22"/>
          <w:lang w:val="hy-AM" w:eastAsia="en-US"/>
        </w:rPr>
        <w:t>2023 թվականին կառավարության պարտքի մարման և սպասարկման համար կպահանջվի 603.2 մլրդ դրամ, որից 330.2 մլրդ դրամը կկազմեն պարտքի գծով մարումները, իսկ 273 մլրդ դրամը՝ տոկոսավճարները:</w:t>
      </w:r>
    </w:p>
    <w:p w:rsidR="00C43712" w:rsidRPr="00C43712" w:rsidRDefault="00C43712" w:rsidP="00C43712">
      <w:pPr>
        <w:spacing w:before="0" w:after="120" w:line="276" w:lineRule="auto"/>
        <w:ind w:firstLine="720"/>
        <w:contextualSpacing w:val="0"/>
        <w:rPr>
          <w:rFonts w:eastAsia="Calibri"/>
          <w:b w:val="0"/>
          <w:bCs/>
          <w:szCs w:val="22"/>
          <w:lang w:val="hy-AM"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1621"/>
        <w:gridCol w:w="1699"/>
        <w:gridCol w:w="1662"/>
      </w:tblGrid>
      <w:tr w:rsidR="00C43712" w:rsidRPr="00C43712" w:rsidTr="00C43712">
        <w:tc>
          <w:tcPr>
            <w:tcW w:w="5319" w:type="dxa"/>
            <w:shd w:val="clear" w:color="auto" w:fill="8DB3E2" w:themeFill="text2" w:themeFillTint="66"/>
          </w:tcPr>
          <w:p w:rsidR="00C43712" w:rsidRPr="00C43712" w:rsidRDefault="00C43712" w:rsidP="00C43712">
            <w:pPr>
              <w:spacing w:before="0" w:line="276" w:lineRule="auto"/>
              <w:ind w:firstLine="0"/>
              <w:contextualSpacing w:val="0"/>
              <w:jc w:val="center"/>
              <w:rPr>
                <w:iCs/>
                <w:color w:val="FFFFFF" w:themeColor="background1"/>
                <w:szCs w:val="22"/>
                <w:lang w:val="hy-AM" w:eastAsia="en-US"/>
              </w:rPr>
            </w:pPr>
            <w:r w:rsidRPr="00C43712">
              <w:rPr>
                <w:i/>
                <w:iCs/>
                <w:color w:val="FFFFFF" w:themeColor="background1"/>
                <w:szCs w:val="22"/>
                <w:lang w:val="hy-AM" w:eastAsia="en-US"/>
              </w:rPr>
              <w:t>մլրդ դրամ</w:t>
            </w:r>
          </w:p>
        </w:tc>
        <w:tc>
          <w:tcPr>
            <w:tcW w:w="1693" w:type="dxa"/>
            <w:shd w:val="clear" w:color="auto" w:fill="8DB3E2" w:themeFill="text2" w:themeFillTint="66"/>
          </w:tcPr>
          <w:p w:rsidR="00C43712" w:rsidRPr="00C43712" w:rsidRDefault="00C43712" w:rsidP="00C43712">
            <w:pPr>
              <w:spacing w:before="0" w:line="276" w:lineRule="auto"/>
              <w:ind w:firstLine="0"/>
              <w:contextualSpacing w:val="0"/>
              <w:jc w:val="center"/>
              <w:rPr>
                <w:iCs/>
                <w:color w:val="FFFFFF" w:themeColor="background1"/>
                <w:szCs w:val="22"/>
                <w:lang w:val="hy-AM" w:eastAsia="en-US"/>
              </w:rPr>
            </w:pPr>
            <w:r w:rsidRPr="00C43712">
              <w:rPr>
                <w:i/>
                <w:iCs/>
                <w:color w:val="FFFFFF" w:themeColor="background1"/>
                <w:szCs w:val="22"/>
                <w:lang w:val="hy-AM" w:eastAsia="en-US"/>
              </w:rPr>
              <w:t>մարում</w:t>
            </w:r>
          </w:p>
        </w:tc>
        <w:tc>
          <w:tcPr>
            <w:tcW w:w="1708" w:type="dxa"/>
            <w:shd w:val="clear" w:color="auto" w:fill="8DB3E2" w:themeFill="text2" w:themeFillTint="66"/>
          </w:tcPr>
          <w:p w:rsidR="00C43712" w:rsidRPr="00C43712" w:rsidRDefault="00C43712" w:rsidP="00C43712">
            <w:pPr>
              <w:spacing w:before="0" w:line="276" w:lineRule="auto"/>
              <w:ind w:firstLine="0"/>
              <w:contextualSpacing w:val="0"/>
              <w:jc w:val="center"/>
              <w:rPr>
                <w:iCs/>
                <w:color w:val="FFFFFF" w:themeColor="background1"/>
                <w:szCs w:val="22"/>
                <w:lang w:val="hy-AM" w:eastAsia="en-US"/>
              </w:rPr>
            </w:pPr>
            <w:r w:rsidRPr="00C43712">
              <w:rPr>
                <w:i/>
                <w:iCs/>
                <w:color w:val="FFFFFF" w:themeColor="background1"/>
                <w:szCs w:val="22"/>
                <w:lang w:val="hy-AM" w:eastAsia="en-US"/>
              </w:rPr>
              <w:t>սպասարկում</w:t>
            </w:r>
          </w:p>
        </w:tc>
        <w:tc>
          <w:tcPr>
            <w:tcW w:w="1702" w:type="dxa"/>
            <w:shd w:val="clear" w:color="auto" w:fill="8DB3E2" w:themeFill="text2" w:themeFillTint="66"/>
          </w:tcPr>
          <w:p w:rsidR="00C43712" w:rsidRPr="00C43712" w:rsidRDefault="00C43712" w:rsidP="00C43712">
            <w:pPr>
              <w:spacing w:before="0" w:line="276" w:lineRule="auto"/>
              <w:ind w:firstLine="0"/>
              <w:contextualSpacing w:val="0"/>
              <w:jc w:val="center"/>
              <w:rPr>
                <w:iCs/>
                <w:color w:val="FFFFFF" w:themeColor="background1"/>
                <w:szCs w:val="22"/>
                <w:lang w:val="hy-AM" w:eastAsia="en-US"/>
              </w:rPr>
            </w:pPr>
            <w:r w:rsidRPr="00C43712">
              <w:rPr>
                <w:i/>
                <w:iCs/>
                <w:color w:val="FFFFFF" w:themeColor="background1"/>
                <w:szCs w:val="22"/>
                <w:lang w:val="hy-AM" w:eastAsia="en-US"/>
              </w:rPr>
              <w:t>ընդամենը</w:t>
            </w:r>
          </w:p>
        </w:tc>
      </w:tr>
      <w:tr w:rsidR="00C43712" w:rsidRPr="00C43712" w:rsidTr="00C43712">
        <w:trPr>
          <w:trHeight w:val="361"/>
        </w:trPr>
        <w:tc>
          <w:tcPr>
            <w:tcW w:w="5319" w:type="dxa"/>
            <w:vAlign w:val="center"/>
          </w:tcPr>
          <w:p w:rsidR="00C43712" w:rsidRPr="00C43712" w:rsidRDefault="00C43712" w:rsidP="00C43712">
            <w:pPr>
              <w:spacing w:before="0" w:line="276" w:lineRule="auto"/>
              <w:ind w:firstLine="0"/>
              <w:contextualSpacing w:val="0"/>
              <w:jc w:val="left"/>
              <w:rPr>
                <w:iCs/>
                <w:szCs w:val="22"/>
                <w:lang w:val="hy-AM" w:eastAsia="en-US"/>
              </w:rPr>
            </w:pPr>
            <w:r w:rsidRPr="00C43712">
              <w:rPr>
                <w:i/>
                <w:iCs/>
                <w:szCs w:val="22"/>
                <w:lang w:val="hy-AM" w:eastAsia="en-US"/>
              </w:rPr>
              <w:t>Պետական գանձապետական պարտատոմսեր</w:t>
            </w:r>
          </w:p>
        </w:tc>
        <w:tc>
          <w:tcPr>
            <w:tcW w:w="1693" w:type="dxa"/>
            <w:vAlign w:val="center"/>
          </w:tcPr>
          <w:p w:rsidR="00C43712" w:rsidRPr="00C43712" w:rsidRDefault="00C43712" w:rsidP="00C43712">
            <w:pPr>
              <w:spacing w:before="0" w:line="276" w:lineRule="auto"/>
              <w:ind w:firstLine="0"/>
              <w:contextualSpacing w:val="0"/>
              <w:jc w:val="right"/>
              <w:rPr>
                <w:szCs w:val="22"/>
                <w:lang w:val="hy-AM"/>
              </w:rPr>
            </w:pPr>
            <w:r w:rsidRPr="00C43712">
              <w:rPr>
                <w:szCs w:val="22"/>
                <w:lang w:val="hy-AM"/>
              </w:rPr>
              <w:t>190.6</w:t>
            </w:r>
            <w:r w:rsidRPr="00C43712">
              <w:rPr>
                <w:szCs w:val="22"/>
                <w:vertAlign w:val="superscript"/>
                <w:lang w:val="hy-AM"/>
              </w:rPr>
              <w:footnoteReference w:id="19"/>
            </w:r>
          </w:p>
        </w:tc>
        <w:tc>
          <w:tcPr>
            <w:tcW w:w="1708" w:type="dxa"/>
            <w:vAlign w:val="center"/>
          </w:tcPr>
          <w:p w:rsidR="00C43712" w:rsidRPr="00C43712" w:rsidRDefault="00C43712" w:rsidP="00C43712">
            <w:pPr>
              <w:spacing w:before="0" w:line="276" w:lineRule="auto"/>
              <w:ind w:firstLine="0"/>
              <w:contextualSpacing w:val="0"/>
              <w:jc w:val="right"/>
              <w:rPr>
                <w:szCs w:val="22"/>
                <w:lang w:val="hy-AM"/>
              </w:rPr>
            </w:pPr>
            <w:r w:rsidRPr="00C43712">
              <w:rPr>
                <w:szCs w:val="22"/>
                <w:lang w:val="hy-AM"/>
              </w:rPr>
              <w:t>164.5</w:t>
            </w:r>
          </w:p>
        </w:tc>
        <w:tc>
          <w:tcPr>
            <w:tcW w:w="1702" w:type="dxa"/>
            <w:vAlign w:val="center"/>
          </w:tcPr>
          <w:p w:rsidR="00C43712" w:rsidRPr="00C43712" w:rsidRDefault="00C43712" w:rsidP="00C43712">
            <w:pPr>
              <w:spacing w:before="0" w:line="276" w:lineRule="auto"/>
              <w:ind w:firstLine="0"/>
              <w:contextualSpacing w:val="0"/>
              <w:jc w:val="right"/>
              <w:rPr>
                <w:szCs w:val="22"/>
                <w:lang w:val="hy-AM"/>
              </w:rPr>
            </w:pPr>
            <w:r w:rsidRPr="00C43712">
              <w:rPr>
                <w:szCs w:val="22"/>
                <w:lang w:val="hy-AM"/>
              </w:rPr>
              <w:t>355.1</w:t>
            </w:r>
          </w:p>
        </w:tc>
      </w:tr>
      <w:tr w:rsidR="00C43712" w:rsidRPr="00C43712" w:rsidTr="00C43712">
        <w:trPr>
          <w:trHeight w:val="361"/>
        </w:trPr>
        <w:tc>
          <w:tcPr>
            <w:tcW w:w="5319" w:type="dxa"/>
            <w:shd w:val="clear" w:color="auto" w:fill="DBE5F1" w:themeFill="accent1" w:themeFillTint="33"/>
            <w:vAlign w:val="center"/>
          </w:tcPr>
          <w:p w:rsidR="00C43712" w:rsidRPr="00C43712" w:rsidRDefault="00C43712" w:rsidP="00C43712">
            <w:pPr>
              <w:spacing w:before="0" w:line="276" w:lineRule="auto"/>
              <w:ind w:firstLine="0"/>
              <w:contextualSpacing w:val="0"/>
              <w:jc w:val="left"/>
              <w:rPr>
                <w:iCs/>
                <w:szCs w:val="22"/>
                <w:lang w:val="hy-AM" w:eastAsia="en-US"/>
              </w:rPr>
            </w:pPr>
            <w:r w:rsidRPr="00C43712">
              <w:rPr>
                <w:i/>
                <w:iCs/>
                <w:szCs w:val="22"/>
                <w:lang w:val="hy-AM" w:eastAsia="en-US"/>
              </w:rPr>
              <w:t>Արտարժութային պետական պարտատոմսեր</w:t>
            </w:r>
          </w:p>
        </w:tc>
        <w:tc>
          <w:tcPr>
            <w:tcW w:w="1693" w:type="dxa"/>
            <w:shd w:val="clear" w:color="auto" w:fill="DBE5F1" w:themeFill="accent1" w:themeFillTint="33"/>
            <w:vAlign w:val="center"/>
          </w:tcPr>
          <w:p w:rsidR="00C43712" w:rsidRPr="00C43712" w:rsidRDefault="00C43712" w:rsidP="00C43712">
            <w:pPr>
              <w:spacing w:line="276" w:lineRule="auto"/>
              <w:jc w:val="right"/>
              <w:rPr>
                <w:szCs w:val="22"/>
                <w:lang w:val="hy-AM"/>
              </w:rPr>
            </w:pPr>
            <w:r w:rsidRPr="00C43712">
              <w:rPr>
                <w:szCs w:val="22"/>
                <w:lang w:val="hy-AM"/>
              </w:rPr>
              <w:t>-</w:t>
            </w:r>
          </w:p>
        </w:tc>
        <w:tc>
          <w:tcPr>
            <w:tcW w:w="1708" w:type="dxa"/>
            <w:shd w:val="clear" w:color="auto" w:fill="DBE5F1" w:themeFill="accent1" w:themeFillTint="33"/>
            <w:vAlign w:val="center"/>
          </w:tcPr>
          <w:p w:rsidR="00C43712" w:rsidRPr="00C43712" w:rsidRDefault="00C43712" w:rsidP="00C43712">
            <w:pPr>
              <w:spacing w:line="276" w:lineRule="auto"/>
              <w:jc w:val="right"/>
              <w:rPr>
                <w:szCs w:val="22"/>
                <w:lang w:val="hy-AM"/>
              </w:rPr>
            </w:pPr>
            <w:r w:rsidRPr="00C43712">
              <w:rPr>
                <w:szCs w:val="22"/>
                <w:lang w:val="hy-AM"/>
              </w:rPr>
              <w:t xml:space="preserve">35.9 </w:t>
            </w:r>
          </w:p>
        </w:tc>
        <w:tc>
          <w:tcPr>
            <w:tcW w:w="1702" w:type="dxa"/>
            <w:shd w:val="clear" w:color="auto" w:fill="DBE5F1" w:themeFill="accent1" w:themeFillTint="33"/>
            <w:vAlign w:val="center"/>
          </w:tcPr>
          <w:p w:rsidR="00C43712" w:rsidRPr="00C43712" w:rsidRDefault="00C43712" w:rsidP="00C43712">
            <w:pPr>
              <w:spacing w:line="276" w:lineRule="auto"/>
              <w:jc w:val="right"/>
              <w:rPr>
                <w:szCs w:val="22"/>
                <w:lang w:val="hy-AM"/>
              </w:rPr>
            </w:pPr>
            <w:r w:rsidRPr="00C43712">
              <w:rPr>
                <w:szCs w:val="22"/>
                <w:lang w:val="hy-AM"/>
              </w:rPr>
              <w:t xml:space="preserve">35.9 </w:t>
            </w:r>
          </w:p>
        </w:tc>
      </w:tr>
      <w:tr w:rsidR="00C43712" w:rsidRPr="00C43712" w:rsidTr="00C43712">
        <w:trPr>
          <w:trHeight w:val="361"/>
        </w:trPr>
        <w:tc>
          <w:tcPr>
            <w:tcW w:w="5319" w:type="dxa"/>
            <w:vAlign w:val="center"/>
          </w:tcPr>
          <w:p w:rsidR="00C43712" w:rsidRPr="00C43712" w:rsidRDefault="00C43712" w:rsidP="00C43712">
            <w:pPr>
              <w:spacing w:before="0" w:line="276" w:lineRule="auto"/>
              <w:ind w:firstLine="0"/>
              <w:contextualSpacing w:val="0"/>
              <w:jc w:val="left"/>
              <w:rPr>
                <w:iCs/>
                <w:szCs w:val="22"/>
                <w:lang w:val="hy-AM" w:eastAsia="en-US"/>
              </w:rPr>
            </w:pPr>
            <w:r w:rsidRPr="00C43712">
              <w:rPr>
                <w:i/>
                <w:iCs/>
                <w:szCs w:val="22"/>
                <w:lang w:val="hy-AM" w:eastAsia="en-US"/>
              </w:rPr>
              <w:t>Արտաքին վարկեր</w:t>
            </w:r>
          </w:p>
        </w:tc>
        <w:tc>
          <w:tcPr>
            <w:tcW w:w="1693" w:type="dxa"/>
            <w:vAlign w:val="center"/>
          </w:tcPr>
          <w:p w:rsidR="00C43712" w:rsidRPr="00C43712" w:rsidRDefault="00C43712" w:rsidP="00C43712">
            <w:pPr>
              <w:spacing w:line="276" w:lineRule="auto"/>
              <w:jc w:val="right"/>
              <w:rPr>
                <w:szCs w:val="22"/>
                <w:lang w:val="hy-AM"/>
              </w:rPr>
            </w:pPr>
            <w:r w:rsidRPr="00C43712">
              <w:rPr>
                <w:szCs w:val="22"/>
                <w:lang w:val="hy-AM"/>
              </w:rPr>
              <w:t xml:space="preserve">139.6 </w:t>
            </w:r>
          </w:p>
        </w:tc>
        <w:tc>
          <w:tcPr>
            <w:tcW w:w="1708" w:type="dxa"/>
            <w:vAlign w:val="center"/>
          </w:tcPr>
          <w:p w:rsidR="00C43712" w:rsidRPr="00C43712" w:rsidRDefault="00C43712" w:rsidP="00C43712">
            <w:pPr>
              <w:spacing w:line="276" w:lineRule="auto"/>
              <w:jc w:val="right"/>
              <w:rPr>
                <w:szCs w:val="22"/>
                <w:lang w:val="hy-AM"/>
              </w:rPr>
            </w:pPr>
            <w:r w:rsidRPr="00C43712">
              <w:rPr>
                <w:szCs w:val="22"/>
                <w:lang w:val="hy-AM"/>
              </w:rPr>
              <w:t xml:space="preserve">72.6 </w:t>
            </w:r>
          </w:p>
        </w:tc>
        <w:tc>
          <w:tcPr>
            <w:tcW w:w="1702" w:type="dxa"/>
            <w:vAlign w:val="center"/>
          </w:tcPr>
          <w:p w:rsidR="00C43712" w:rsidRPr="00C43712" w:rsidRDefault="00C43712" w:rsidP="00C43712">
            <w:pPr>
              <w:spacing w:line="276" w:lineRule="auto"/>
              <w:jc w:val="right"/>
              <w:rPr>
                <w:szCs w:val="22"/>
                <w:lang w:val="hy-AM"/>
              </w:rPr>
            </w:pPr>
            <w:r w:rsidRPr="00C43712">
              <w:rPr>
                <w:szCs w:val="22"/>
                <w:lang w:val="hy-AM"/>
              </w:rPr>
              <w:t xml:space="preserve">212.2 </w:t>
            </w:r>
          </w:p>
        </w:tc>
      </w:tr>
      <w:tr w:rsidR="00C43712" w:rsidRPr="00C43712" w:rsidTr="00C43712">
        <w:trPr>
          <w:trHeight w:val="361"/>
        </w:trPr>
        <w:tc>
          <w:tcPr>
            <w:tcW w:w="5319" w:type="dxa"/>
            <w:shd w:val="clear" w:color="auto" w:fill="DBE5F1" w:themeFill="accent1" w:themeFillTint="33"/>
            <w:vAlign w:val="center"/>
          </w:tcPr>
          <w:p w:rsidR="00C43712" w:rsidRPr="00C43712" w:rsidRDefault="00C43712" w:rsidP="00C43712">
            <w:pPr>
              <w:spacing w:before="0" w:line="276" w:lineRule="auto"/>
              <w:ind w:firstLine="0"/>
              <w:contextualSpacing w:val="0"/>
              <w:jc w:val="center"/>
              <w:rPr>
                <w:i/>
                <w:iCs/>
                <w:szCs w:val="22"/>
                <w:lang w:val="hy-AM" w:eastAsia="en-US"/>
              </w:rPr>
            </w:pPr>
            <w:r w:rsidRPr="00C43712">
              <w:rPr>
                <w:i/>
                <w:iCs/>
                <w:szCs w:val="22"/>
                <w:lang w:val="hy-AM" w:eastAsia="en-US"/>
              </w:rPr>
              <w:t>Ընդամենը</w:t>
            </w:r>
          </w:p>
        </w:tc>
        <w:tc>
          <w:tcPr>
            <w:tcW w:w="1693" w:type="dxa"/>
            <w:shd w:val="clear" w:color="auto" w:fill="DBE5F1" w:themeFill="accent1" w:themeFillTint="33"/>
            <w:vAlign w:val="center"/>
          </w:tcPr>
          <w:p w:rsidR="00C43712" w:rsidRPr="00C43712" w:rsidRDefault="00C43712" w:rsidP="00C43712">
            <w:pPr>
              <w:spacing w:line="276" w:lineRule="auto"/>
              <w:jc w:val="right"/>
              <w:rPr>
                <w:i/>
                <w:szCs w:val="22"/>
                <w:lang w:val="hy-AM"/>
              </w:rPr>
            </w:pPr>
            <w:r w:rsidRPr="00C43712">
              <w:rPr>
                <w:i/>
                <w:szCs w:val="22"/>
                <w:lang w:val="hy-AM"/>
              </w:rPr>
              <w:t xml:space="preserve">   330.2 </w:t>
            </w:r>
          </w:p>
        </w:tc>
        <w:tc>
          <w:tcPr>
            <w:tcW w:w="1708" w:type="dxa"/>
            <w:shd w:val="clear" w:color="auto" w:fill="DBE5F1" w:themeFill="accent1" w:themeFillTint="33"/>
            <w:vAlign w:val="center"/>
          </w:tcPr>
          <w:p w:rsidR="00C43712" w:rsidRPr="00C43712" w:rsidRDefault="00C43712" w:rsidP="00C43712">
            <w:pPr>
              <w:spacing w:line="276" w:lineRule="auto"/>
              <w:ind w:firstLine="0"/>
              <w:jc w:val="right"/>
              <w:rPr>
                <w:i/>
                <w:szCs w:val="22"/>
                <w:lang w:val="hy-AM"/>
              </w:rPr>
            </w:pPr>
            <w:r w:rsidRPr="00C43712">
              <w:rPr>
                <w:i/>
                <w:szCs w:val="22"/>
                <w:lang w:val="hy-AM"/>
              </w:rPr>
              <w:t xml:space="preserve">          273.0 </w:t>
            </w:r>
          </w:p>
        </w:tc>
        <w:tc>
          <w:tcPr>
            <w:tcW w:w="1702" w:type="dxa"/>
            <w:shd w:val="clear" w:color="auto" w:fill="DBE5F1" w:themeFill="accent1" w:themeFillTint="33"/>
            <w:vAlign w:val="center"/>
          </w:tcPr>
          <w:p w:rsidR="00C43712" w:rsidRPr="00C43712" w:rsidRDefault="00C43712" w:rsidP="00C43712">
            <w:pPr>
              <w:spacing w:line="276" w:lineRule="auto"/>
              <w:jc w:val="right"/>
              <w:rPr>
                <w:i/>
                <w:szCs w:val="22"/>
                <w:lang w:val="hy-AM"/>
              </w:rPr>
            </w:pPr>
            <w:r w:rsidRPr="00C43712">
              <w:rPr>
                <w:i/>
                <w:szCs w:val="22"/>
                <w:lang w:val="hy-AM"/>
              </w:rPr>
              <w:t xml:space="preserve">603.2 </w:t>
            </w:r>
          </w:p>
        </w:tc>
      </w:tr>
    </w:tbl>
    <w:p w:rsidR="00C43712" w:rsidRPr="00C43712" w:rsidRDefault="00C43712" w:rsidP="00C43712">
      <w:pPr>
        <w:shd w:val="clear" w:color="auto" w:fill="FFFFFF"/>
        <w:spacing w:before="0" w:after="200" w:line="276" w:lineRule="auto"/>
        <w:ind w:firstLine="0"/>
        <w:contextualSpacing w:val="0"/>
        <w:rPr>
          <w:rFonts w:eastAsia="Calibri"/>
          <w:i/>
          <w:szCs w:val="22"/>
          <w:lang w:val="hy-AM" w:eastAsia="en-US"/>
        </w:rPr>
      </w:pPr>
    </w:p>
    <w:p w:rsidR="00C43712" w:rsidRPr="00C43712" w:rsidRDefault="00C43712" w:rsidP="00C43712">
      <w:pPr>
        <w:shd w:val="clear" w:color="auto" w:fill="FFFFFF"/>
        <w:spacing w:before="0" w:after="200" w:line="276" w:lineRule="auto"/>
        <w:ind w:firstLine="0"/>
        <w:contextualSpacing w:val="0"/>
        <w:jc w:val="center"/>
        <w:rPr>
          <w:rFonts w:eastAsia="Calibri"/>
          <w:b w:val="0"/>
          <w:szCs w:val="22"/>
          <w:lang w:val="hy-AM" w:eastAsia="en-US"/>
        </w:rPr>
      </w:pPr>
      <w:r w:rsidRPr="00C43712">
        <w:rPr>
          <w:noProof/>
          <w:szCs w:val="22"/>
          <w:lang w:val="en-US" w:eastAsia="en-US"/>
        </w:rPr>
        <w:drawing>
          <wp:inline distT="0" distB="0" distL="0" distR="0" wp14:anchorId="2DB60F43" wp14:editId="3C745BAD">
            <wp:extent cx="3629025" cy="2171700"/>
            <wp:effectExtent l="114300" t="95250" r="104775" b="952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43712" w:rsidRPr="00C43712" w:rsidRDefault="00C43712" w:rsidP="00C43712">
      <w:pPr>
        <w:spacing w:before="0" w:line="276" w:lineRule="auto"/>
        <w:ind w:firstLine="720"/>
        <w:contextualSpacing w:val="0"/>
        <w:rPr>
          <w:rFonts w:eastAsia="Calibri"/>
          <w:b w:val="0"/>
          <w:bCs/>
          <w:szCs w:val="22"/>
          <w:lang w:val="hy-AM" w:eastAsia="en-US"/>
        </w:rPr>
      </w:pPr>
      <w:r w:rsidRPr="00C43712">
        <w:rPr>
          <w:rFonts w:eastAsia="Calibri"/>
          <w:b w:val="0"/>
          <w:szCs w:val="22"/>
          <w:lang w:val="hy-AM" w:eastAsia="en-US"/>
        </w:rPr>
        <w:t xml:space="preserve">ՀՀ կառավարության արտարժութային պարտքի սպասարկման և մարման համար նախատեսված միջոցները փոխարկվել են ՀՀ դրամի հիմք ընդունելով 2021թ. նոյեմբերի 1-ի դրությամբ արժութային շուկայում ձևավորված միջին փոխարժեքները (կիրառելով համապատասխան ճշգրտման գործակից, քանի որ փաստացի վճարումները կատարվելու են գործարքի օրվա դրությամբ ՀՀ կենտրոնական բանկի կողմից սահմանված վաճառքի փոխարժեքներով) և այն ենթադրությամբ, որ SOFR դրույքաչափը 2023 թվականին միջին </w:t>
      </w:r>
      <w:r w:rsidRPr="00C43712">
        <w:rPr>
          <w:rFonts w:eastAsia="Calibri"/>
          <w:b w:val="0"/>
          <w:bCs/>
          <w:szCs w:val="22"/>
          <w:lang w:val="hy-AM" w:eastAsia="en-US"/>
        </w:rPr>
        <w:t>հաշվով կկազմի 5.0%, 6-ամսյա EURIBOR-ը` 3%, իսկ SDR-ի տոկոսադրույքը՝ 4.0%:</w:t>
      </w:r>
    </w:p>
    <w:p w:rsidR="00C43712" w:rsidRPr="00C43712" w:rsidRDefault="00C43712" w:rsidP="00C43712">
      <w:pPr>
        <w:spacing w:before="0" w:line="276" w:lineRule="auto"/>
        <w:ind w:firstLine="720"/>
        <w:contextualSpacing w:val="0"/>
        <w:rPr>
          <w:rFonts w:eastAsia="Calibri"/>
          <w:b w:val="0"/>
          <w:bCs/>
          <w:szCs w:val="22"/>
          <w:lang w:val="hy-AM" w:eastAsia="en-US"/>
        </w:rPr>
      </w:pPr>
      <w:r w:rsidRPr="00C43712">
        <w:rPr>
          <w:rFonts w:eastAsia="Calibri"/>
          <w:b w:val="0"/>
          <w:bCs/>
          <w:szCs w:val="22"/>
          <w:lang w:val="hy-AM" w:eastAsia="en-US"/>
        </w:rPr>
        <w:t>Պետական գանձապետական պարտատոմսերի մարման համար նախատեսված 190.6 մլրդ դրամի մեջ 30 մլրդ դրամը կազմում է պարտատոմսերի հետգնումների համար ծրագրավորված գումարը:</w:t>
      </w:r>
    </w:p>
    <w:p w:rsidR="00C43712" w:rsidRPr="00C43712" w:rsidRDefault="00C43712" w:rsidP="00C43712">
      <w:pPr>
        <w:spacing w:before="0" w:line="276" w:lineRule="auto"/>
        <w:ind w:firstLine="720"/>
        <w:contextualSpacing w:val="0"/>
        <w:rPr>
          <w:rFonts w:eastAsia="Calibri"/>
          <w:b w:val="0"/>
          <w:bCs/>
          <w:szCs w:val="22"/>
          <w:lang w:val="hy-AM" w:eastAsia="en-US"/>
        </w:rPr>
      </w:pPr>
      <w:r w:rsidRPr="00C43712">
        <w:rPr>
          <w:rFonts w:eastAsia="Calibri"/>
          <w:b w:val="0"/>
          <w:bCs/>
          <w:szCs w:val="22"/>
          <w:lang w:val="hy-AM" w:eastAsia="en-US"/>
        </w:rPr>
        <w:t>Արտաքին վարկերի մարման և սպասարկման գծով նախատեսվում է վճարել 212.2 մլրդ դրամ (527.8 մլն ԱՄՆ դոլար): Նախատեսվող վճարումների կառուցվածքն ըստ վարկատուների հետևյալն է.</w:t>
      </w:r>
    </w:p>
    <w:tbl>
      <w:tblPr>
        <w:tblW w:w="10147" w:type="dxa"/>
        <w:tblInd w:w="108" w:type="dxa"/>
        <w:tblLook w:val="04A0" w:firstRow="1" w:lastRow="0" w:firstColumn="1" w:lastColumn="0" w:noHBand="0" w:noVBand="1"/>
      </w:tblPr>
      <w:tblGrid>
        <w:gridCol w:w="5737"/>
        <w:gridCol w:w="1681"/>
        <w:gridCol w:w="1385"/>
        <w:gridCol w:w="1344"/>
      </w:tblGrid>
      <w:tr w:rsidR="00C43712" w:rsidRPr="00C43712" w:rsidTr="00C43712">
        <w:trPr>
          <w:trHeight w:val="310"/>
          <w:tblHeader/>
        </w:trPr>
        <w:tc>
          <w:tcPr>
            <w:tcW w:w="5737" w:type="dxa"/>
            <w:tcBorders>
              <w:top w:val="single" w:sz="4" w:space="0" w:color="auto"/>
              <w:left w:val="single" w:sz="4" w:space="0" w:color="auto"/>
              <w:bottom w:val="single" w:sz="4" w:space="0" w:color="auto"/>
              <w:right w:val="single" w:sz="4" w:space="0" w:color="auto"/>
            </w:tcBorders>
            <w:shd w:val="clear" w:color="auto" w:fill="8DB3E2" w:themeFill="text2" w:themeFillTint="66"/>
            <w:noWrap/>
            <w:hideMark/>
          </w:tcPr>
          <w:p w:rsidR="00C43712" w:rsidRPr="00C43712" w:rsidRDefault="00C43712" w:rsidP="00C43712">
            <w:pPr>
              <w:spacing w:before="0" w:line="276" w:lineRule="auto"/>
              <w:ind w:firstLine="0"/>
              <w:contextualSpacing w:val="0"/>
              <w:jc w:val="center"/>
              <w:rPr>
                <w:color w:val="FFFFFF" w:themeColor="background1"/>
                <w:szCs w:val="22"/>
                <w:lang w:val="hy-AM" w:eastAsia="en-US"/>
              </w:rPr>
            </w:pPr>
            <w:r w:rsidRPr="00C43712">
              <w:rPr>
                <w:color w:val="FFFFFF" w:themeColor="background1"/>
                <w:szCs w:val="22"/>
                <w:lang w:val="hy-AM" w:eastAsia="en-US"/>
              </w:rPr>
              <w:t>մլն ԱՄՆ դոլար</w:t>
            </w:r>
          </w:p>
        </w:tc>
        <w:tc>
          <w:tcPr>
            <w:tcW w:w="1681" w:type="dxa"/>
            <w:tcBorders>
              <w:top w:val="single" w:sz="4" w:space="0" w:color="auto"/>
              <w:left w:val="single" w:sz="4" w:space="0" w:color="auto"/>
              <w:bottom w:val="single" w:sz="4" w:space="0" w:color="auto"/>
              <w:right w:val="single" w:sz="4" w:space="0" w:color="auto"/>
            </w:tcBorders>
            <w:shd w:val="clear" w:color="auto" w:fill="8DB3E2" w:themeFill="text2" w:themeFillTint="66"/>
            <w:noWrap/>
            <w:hideMark/>
          </w:tcPr>
          <w:p w:rsidR="00C43712" w:rsidRPr="00C43712" w:rsidRDefault="00C43712" w:rsidP="00C43712">
            <w:pPr>
              <w:spacing w:before="0" w:line="276" w:lineRule="auto"/>
              <w:ind w:firstLine="0"/>
              <w:contextualSpacing w:val="0"/>
              <w:jc w:val="center"/>
              <w:rPr>
                <w:color w:val="FFFFFF" w:themeColor="background1"/>
                <w:szCs w:val="22"/>
                <w:lang w:val="hy-AM" w:eastAsia="en-US"/>
              </w:rPr>
            </w:pPr>
            <w:r w:rsidRPr="00C43712">
              <w:rPr>
                <w:color w:val="FFFFFF" w:themeColor="background1"/>
                <w:szCs w:val="22"/>
                <w:lang w:val="hy-AM" w:eastAsia="en-US"/>
              </w:rPr>
              <w:t>տոկոսավճար</w:t>
            </w:r>
          </w:p>
        </w:tc>
        <w:tc>
          <w:tcPr>
            <w:tcW w:w="1385" w:type="dxa"/>
            <w:tcBorders>
              <w:top w:val="single" w:sz="4" w:space="0" w:color="auto"/>
              <w:left w:val="single" w:sz="4" w:space="0" w:color="auto"/>
              <w:bottom w:val="single" w:sz="4" w:space="0" w:color="auto"/>
              <w:right w:val="single" w:sz="4" w:space="0" w:color="auto"/>
            </w:tcBorders>
            <w:shd w:val="clear" w:color="auto" w:fill="8DB3E2" w:themeFill="text2" w:themeFillTint="66"/>
            <w:noWrap/>
            <w:hideMark/>
          </w:tcPr>
          <w:p w:rsidR="00C43712" w:rsidRPr="00C43712" w:rsidRDefault="00C43712" w:rsidP="00C43712">
            <w:pPr>
              <w:spacing w:before="0" w:line="276" w:lineRule="auto"/>
              <w:ind w:firstLine="0"/>
              <w:contextualSpacing w:val="0"/>
              <w:jc w:val="center"/>
              <w:rPr>
                <w:color w:val="FFFFFF" w:themeColor="background1"/>
                <w:szCs w:val="22"/>
                <w:lang w:val="hy-AM" w:eastAsia="en-US"/>
              </w:rPr>
            </w:pPr>
            <w:r w:rsidRPr="00C43712">
              <w:rPr>
                <w:color w:val="FFFFFF" w:themeColor="background1"/>
                <w:szCs w:val="22"/>
                <w:lang w:val="hy-AM" w:eastAsia="en-US"/>
              </w:rPr>
              <w:t>մարում</w:t>
            </w:r>
          </w:p>
        </w:tc>
        <w:tc>
          <w:tcPr>
            <w:tcW w:w="1344" w:type="dxa"/>
            <w:tcBorders>
              <w:top w:val="single" w:sz="4" w:space="0" w:color="auto"/>
              <w:left w:val="single" w:sz="4" w:space="0" w:color="auto"/>
              <w:bottom w:val="single" w:sz="4" w:space="0" w:color="auto"/>
              <w:right w:val="single" w:sz="4" w:space="0" w:color="auto"/>
            </w:tcBorders>
            <w:shd w:val="clear" w:color="auto" w:fill="8DB3E2" w:themeFill="text2" w:themeFillTint="66"/>
            <w:noWrap/>
            <w:hideMark/>
          </w:tcPr>
          <w:p w:rsidR="00C43712" w:rsidRPr="00C43712" w:rsidRDefault="00C43712" w:rsidP="00C43712">
            <w:pPr>
              <w:spacing w:before="0" w:line="276" w:lineRule="auto"/>
              <w:ind w:firstLine="0"/>
              <w:contextualSpacing w:val="0"/>
              <w:jc w:val="center"/>
              <w:rPr>
                <w:color w:val="FFFFFF" w:themeColor="background1"/>
                <w:szCs w:val="22"/>
                <w:lang w:val="hy-AM" w:eastAsia="en-US"/>
              </w:rPr>
            </w:pPr>
            <w:r w:rsidRPr="00C43712">
              <w:rPr>
                <w:color w:val="FFFFFF" w:themeColor="background1"/>
                <w:szCs w:val="22"/>
                <w:lang w:val="hy-AM" w:eastAsia="en-US"/>
              </w:rPr>
              <w:t>ընդամենը</w:t>
            </w:r>
          </w:p>
        </w:tc>
      </w:tr>
      <w:tr w:rsidR="00C43712" w:rsidRPr="00C43712" w:rsidTr="00C43712">
        <w:trPr>
          <w:trHeight w:val="310"/>
        </w:trPr>
        <w:tc>
          <w:tcPr>
            <w:tcW w:w="5737" w:type="dxa"/>
            <w:tcBorders>
              <w:top w:val="single" w:sz="4" w:space="0" w:color="auto"/>
              <w:left w:val="single" w:sz="4" w:space="0" w:color="auto"/>
              <w:bottom w:val="single" w:sz="4" w:space="0" w:color="auto"/>
              <w:right w:val="single" w:sz="4" w:space="0" w:color="auto"/>
            </w:tcBorders>
            <w:vAlign w:val="bottom"/>
          </w:tcPr>
          <w:p w:rsidR="00C43712" w:rsidRPr="002916D8" w:rsidRDefault="00C43712" w:rsidP="00C43712">
            <w:pPr>
              <w:spacing w:before="0" w:line="276" w:lineRule="auto"/>
              <w:ind w:firstLine="0"/>
              <w:contextualSpacing w:val="0"/>
              <w:jc w:val="center"/>
              <w:rPr>
                <w:b w:val="0"/>
                <w:szCs w:val="22"/>
                <w:lang w:val="hy-AM" w:eastAsia="en-US"/>
              </w:rPr>
            </w:pPr>
            <w:r w:rsidRPr="002916D8">
              <w:rPr>
                <w:b w:val="0"/>
                <w:szCs w:val="22"/>
                <w:lang w:val="hy-AM" w:eastAsia="en-US"/>
              </w:rPr>
              <w:t>Վերակառուցման և Զարգացման Միջազգային Բանկ</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712" w:rsidRPr="002916D8" w:rsidRDefault="00C43712" w:rsidP="00C43712">
            <w:pPr>
              <w:spacing w:line="276" w:lineRule="auto"/>
              <w:jc w:val="center"/>
              <w:rPr>
                <w:b w:val="0"/>
                <w:szCs w:val="22"/>
                <w:lang w:val="en-US" w:eastAsia="en-US"/>
              </w:rPr>
            </w:pPr>
            <w:r w:rsidRPr="002916D8">
              <w:rPr>
                <w:b w:val="0"/>
                <w:szCs w:val="22"/>
              </w:rPr>
              <w:t>60.4</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712" w:rsidRPr="002916D8" w:rsidRDefault="00C43712" w:rsidP="00C43712">
            <w:pPr>
              <w:spacing w:line="276" w:lineRule="auto"/>
              <w:jc w:val="center"/>
              <w:rPr>
                <w:b w:val="0"/>
                <w:szCs w:val="22"/>
              </w:rPr>
            </w:pPr>
            <w:r w:rsidRPr="002916D8">
              <w:rPr>
                <w:b w:val="0"/>
                <w:szCs w:val="22"/>
              </w:rPr>
              <w:t>24.6</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712" w:rsidRPr="002916D8" w:rsidRDefault="00C43712" w:rsidP="00C43712">
            <w:pPr>
              <w:spacing w:line="276" w:lineRule="auto"/>
              <w:jc w:val="center"/>
              <w:rPr>
                <w:b w:val="0"/>
                <w:szCs w:val="22"/>
              </w:rPr>
            </w:pPr>
            <w:r w:rsidRPr="002916D8">
              <w:rPr>
                <w:b w:val="0"/>
                <w:szCs w:val="22"/>
              </w:rPr>
              <w:t>85.0</w:t>
            </w:r>
          </w:p>
        </w:tc>
      </w:tr>
      <w:tr w:rsidR="00C43712" w:rsidRPr="00C43712" w:rsidTr="00C43712">
        <w:trPr>
          <w:trHeight w:val="310"/>
        </w:trPr>
        <w:tc>
          <w:tcPr>
            <w:tcW w:w="57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C43712" w:rsidRPr="002916D8" w:rsidRDefault="00C43712" w:rsidP="00C43712">
            <w:pPr>
              <w:spacing w:before="0" w:line="276" w:lineRule="auto"/>
              <w:ind w:firstLine="0"/>
              <w:contextualSpacing w:val="0"/>
              <w:jc w:val="center"/>
              <w:rPr>
                <w:b w:val="0"/>
                <w:szCs w:val="22"/>
                <w:lang w:val="hy-AM" w:eastAsia="en-US"/>
              </w:rPr>
            </w:pPr>
            <w:r w:rsidRPr="002916D8">
              <w:rPr>
                <w:b w:val="0"/>
                <w:szCs w:val="22"/>
                <w:lang w:val="hy-AM" w:eastAsia="en-US"/>
              </w:rPr>
              <w:t>Զարգացման Միջազգային Ընկերակցություն</w:t>
            </w:r>
          </w:p>
        </w:tc>
        <w:tc>
          <w:tcPr>
            <w:tcW w:w="168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C43712" w:rsidRPr="002916D8" w:rsidRDefault="00C43712" w:rsidP="00C43712">
            <w:pPr>
              <w:spacing w:line="276" w:lineRule="auto"/>
              <w:jc w:val="center"/>
              <w:rPr>
                <w:b w:val="0"/>
                <w:szCs w:val="22"/>
              </w:rPr>
            </w:pPr>
            <w:r w:rsidRPr="002916D8">
              <w:rPr>
                <w:b w:val="0"/>
                <w:szCs w:val="22"/>
              </w:rPr>
              <w:t>19.9</w:t>
            </w:r>
          </w:p>
        </w:tc>
        <w:tc>
          <w:tcPr>
            <w:tcW w:w="138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C43712" w:rsidRPr="002916D8" w:rsidRDefault="00C43712" w:rsidP="00C43712">
            <w:pPr>
              <w:spacing w:line="276" w:lineRule="auto"/>
              <w:jc w:val="center"/>
              <w:rPr>
                <w:b w:val="0"/>
                <w:szCs w:val="22"/>
              </w:rPr>
            </w:pPr>
            <w:r w:rsidRPr="002916D8">
              <w:rPr>
                <w:b w:val="0"/>
                <w:szCs w:val="22"/>
              </w:rPr>
              <w:t>72.7</w:t>
            </w:r>
          </w:p>
        </w:tc>
        <w:tc>
          <w:tcPr>
            <w:tcW w:w="134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C43712" w:rsidRPr="002916D8" w:rsidRDefault="00C43712" w:rsidP="00C43712">
            <w:pPr>
              <w:spacing w:line="276" w:lineRule="auto"/>
              <w:jc w:val="center"/>
              <w:rPr>
                <w:b w:val="0"/>
                <w:szCs w:val="22"/>
              </w:rPr>
            </w:pPr>
            <w:r w:rsidRPr="002916D8">
              <w:rPr>
                <w:b w:val="0"/>
                <w:szCs w:val="22"/>
              </w:rPr>
              <w:t>92.6</w:t>
            </w:r>
          </w:p>
        </w:tc>
      </w:tr>
      <w:tr w:rsidR="00C43712" w:rsidRPr="00C43712" w:rsidTr="00C43712">
        <w:trPr>
          <w:trHeight w:val="310"/>
        </w:trPr>
        <w:tc>
          <w:tcPr>
            <w:tcW w:w="5737" w:type="dxa"/>
            <w:tcBorders>
              <w:top w:val="single" w:sz="4" w:space="0" w:color="auto"/>
              <w:left w:val="single" w:sz="4" w:space="0" w:color="auto"/>
              <w:bottom w:val="single" w:sz="4" w:space="0" w:color="auto"/>
              <w:right w:val="single" w:sz="4" w:space="0" w:color="auto"/>
            </w:tcBorders>
            <w:vAlign w:val="bottom"/>
            <w:hideMark/>
          </w:tcPr>
          <w:p w:rsidR="00C43712" w:rsidRPr="002916D8" w:rsidRDefault="00C43712" w:rsidP="00C43712">
            <w:pPr>
              <w:spacing w:before="0" w:line="276" w:lineRule="auto"/>
              <w:ind w:firstLine="0"/>
              <w:contextualSpacing w:val="0"/>
              <w:jc w:val="center"/>
              <w:rPr>
                <w:b w:val="0"/>
                <w:szCs w:val="22"/>
                <w:lang w:val="hy-AM" w:eastAsia="en-US"/>
              </w:rPr>
            </w:pPr>
            <w:r w:rsidRPr="002916D8">
              <w:rPr>
                <w:b w:val="0"/>
                <w:szCs w:val="22"/>
                <w:lang w:val="hy-AM" w:eastAsia="en-US"/>
              </w:rPr>
              <w:t>Վերակառուցման և Զարգացման Եվրոպական Բանկ</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712" w:rsidRPr="002916D8" w:rsidRDefault="00C43712" w:rsidP="00C43712">
            <w:pPr>
              <w:spacing w:line="276" w:lineRule="auto"/>
              <w:jc w:val="center"/>
              <w:rPr>
                <w:b w:val="0"/>
                <w:szCs w:val="22"/>
              </w:rPr>
            </w:pPr>
            <w:r w:rsidRPr="002916D8">
              <w:rPr>
                <w:b w:val="0"/>
                <w:szCs w:val="22"/>
              </w:rPr>
              <w:t>2.2</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712" w:rsidRPr="002916D8" w:rsidRDefault="00C43712" w:rsidP="00C43712">
            <w:pPr>
              <w:spacing w:line="276" w:lineRule="auto"/>
              <w:jc w:val="center"/>
              <w:rPr>
                <w:b w:val="0"/>
                <w:szCs w:val="22"/>
              </w:rPr>
            </w:pPr>
            <w:r w:rsidRPr="002916D8">
              <w:rPr>
                <w:b w:val="0"/>
                <w:szCs w:val="22"/>
              </w:rPr>
              <w:t>5.3</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712" w:rsidRPr="002916D8" w:rsidRDefault="00C43712" w:rsidP="00C43712">
            <w:pPr>
              <w:spacing w:line="276" w:lineRule="auto"/>
              <w:jc w:val="center"/>
              <w:rPr>
                <w:b w:val="0"/>
                <w:szCs w:val="22"/>
              </w:rPr>
            </w:pPr>
            <w:r w:rsidRPr="002916D8">
              <w:rPr>
                <w:b w:val="0"/>
                <w:szCs w:val="22"/>
              </w:rPr>
              <w:t>7.5</w:t>
            </w:r>
          </w:p>
        </w:tc>
      </w:tr>
      <w:tr w:rsidR="00C43712" w:rsidRPr="00C43712" w:rsidTr="00C43712">
        <w:trPr>
          <w:trHeight w:val="310"/>
        </w:trPr>
        <w:tc>
          <w:tcPr>
            <w:tcW w:w="57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C43712" w:rsidRPr="002916D8" w:rsidRDefault="00C43712" w:rsidP="00C43712">
            <w:pPr>
              <w:spacing w:before="0" w:line="276" w:lineRule="auto"/>
              <w:ind w:firstLine="0"/>
              <w:contextualSpacing w:val="0"/>
              <w:jc w:val="center"/>
              <w:rPr>
                <w:b w:val="0"/>
                <w:szCs w:val="22"/>
                <w:lang w:val="hy-AM" w:eastAsia="en-US"/>
              </w:rPr>
            </w:pPr>
            <w:r w:rsidRPr="002916D8">
              <w:rPr>
                <w:b w:val="0"/>
                <w:szCs w:val="22"/>
                <w:lang w:val="hy-AM" w:eastAsia="en-US"/>
              </w:rPr>
              <w:t>Եվրոպական Ներդրումային Բանկ</w:t>
            </w:r>
          </w:p>
        </w:tc>
        <w:tc>
          <w:tcPr>
            <w:tcW w:w="168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C43712" w:rsidRPr="002916D8" w:rsidRDefault="00C43712" w:rsidP="00C43712">
            <w:pPr>
              <w:spacing w:line="276" w:lineRule="auto"/>
              <w:jc w:val="center"/>
              <w:rPr>
                <w:b w:val="0"/>
                <w:szCs w:val="22"/>
              </w:rPr>
            </w:pPr>
            <w:r w:rsidRPr="002916D8">
              <w:rPr>
                <w:b w:val="0"/>
                <w:szCs w:val="22"/>
              </w:rPr>
              <w:t>3.1</w:t>
            </w:r>
          </w:p>
        </w:tc>
        <w:tc>
          <w:tcPr>
            <w:tcW w:w="138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C43712" w:rsidRPr="002916D8" w:rsidRDefault="00C43712" w:rsidP="00C43712">
            <w:pPr>
              <w:spacing w:line="276" w:lineRule="auto"/>
              <w:jc w:val="center"/>
              <w:rPr>
                <w:b w:val="0"/>
                <w:szCs w:val="22"/>
              </w:rPr>
            </w:pPr>
            <w:r w:rsidRPr="002916D8">
              <w:rPr>
                <w:b w:val="0"/>
                <w:szCs w:val="22"/>
              </w:rPr>
              <w:t>6.1</w:t>
            </w:r>
          </w:p>
        </w:tc>
        <w:tc>
          <w:tcPr>
            <w:tcW w:w="134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C43712" w:rsidRPr="002916D8" w:rsidRDefault="00C43712" w:rsidP="00C43712">
            <w:pPr>
              <w:spacing w:line="276" w:lineRule="auto"/>
              <w:jc w:val="center"/>
              <w:rPr>
                <w:b w:val="0"/>
                <w:szCs w:val="22"/>
              </w:rPr>
            </w:pPr>
            <w:r w:rsidRPr="002916D8">
              <w:rPr>
                <w:b w:val="0"/>
                <w:szCs w:val="22"/>
              </w:rPr>
              <w:t>9.2</w:t>
            </w:r>
          </w:p>
        </w:tc>
      </w:tr>
      <w:tr w:rsidR="00C43712" w:rsidRPr="00C43712" w:rsidTr="00C43712">
        <w:trPr>
          <w:trHeight w:val="310"/>
        </w:trPr>
        <w:tc>
          <w:tcPr>
            <w:tcW w:w="5737" w:type="dxa"/>
            <w:tcBorders>
              <w:top w:val="single" w:sz="4" w:space="0" w:color="auto"/>
              <w:left w:val="single" w:sz="4" w:space="0" w:color="auto"/>
              <w:bottom w:val="single" w:sz="4" w:space="0" w:color="auto"/>
              <w:right w:val="single" w:sz="4" w:space="0" w:color="auto"/>
            </w:tcBorders>
            <w:vAlign w:val="bottom"/>
            <w:hideMark/>
          </w:tcPr>
          <w:p w:rsidR="00C43712" w:rsidRPr="002916D8" w:rsidRDefault="00C43712" w:rsidP="00C43712">
            <w:pPr>
              <w:spacing w:before="0" w:line="276" w:lineRule="auto"/>
              <w:ind w:firstLine="0"/>
              <w:contextualSpacing w:val="0"/>
              <w:jc w:val="center"/>
              <w:rPr>
                <w:b w:val="0"/>
                <w:szCs w:val="22"/>
                <w:lang w:val="hy-AM" w:eastAsia="en-US"/>
              </w:rPr>
            </w:pPr>
            <w:r w:rsidRPr="002916D8">
              <w:rPr>
                <w:b w:val="0"/>
                <w:szCs w:val="22"/>
                <w:lang w:val="hy-AM" w:eastAsia="en-US"/>
              </w:rPr>
              <w:t>Գյուղատնտեսության Զարգացման Միջազգային Հիմնադրամ</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712" w:rsidRPr="002916D8" w:rsidRDefault="00C43712" w:rsidP="00C43712">
            <w:pPr>
              <w:spacing w:line="276" w:lineRule="auto"/>
              <w:jc w:val="center"/>
              <w:rPr>
                <w:b w:val="0"/>
                <w:szCs w:val="22"/>
              </w:rPr>
            </w:pPr>
            <w:r w:rsidRPr="002916D8">
              <w:rPr>
                <w:b w:val="0"/>
                <w:szCs w:val="22"/>
              </w:rPr>
              <w:t>0.5</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712" w:rsidRPr="002916D8" w:rsidRDefault="00C43712" w:rsidP="00C43712">
            <w:pPr>
              <w:spacing w:line="276" w:lineRule="auto"/>
              <w:jc w:val="center"/>
              <w:rPr>
                <w:b w:val="0"/>
                <w:szCs w:val="22"/>
              </w:rPr>
            </w:pPr>
            <w:r w:rsidRPr="002916D8">
              <w:rPr>
                <w:b w:val="0"/>
                <w:szCs w:val="22"/>
              </w:rPr>
              <w:t>3.8</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712" w:rsidRPr="002916D8" w:rsidRDefault="00C43712" w:rsidP="00C43712">
            <w:pPr>
              <w:spacing w:line="276" w:lineRule="auto"/>
              <w:jc w:val="center"/>
              <w:rPr>
                <w:b w:val="0"/>
                <w:szCs w:val="22"/>
              </w:rPr>
            </w:pPr>
            <w:r w:rsidRPr="002916D8">
              <w:rPr>
                <w:b w:val="0"/>
                <w:szCs w:val="22"/>
              </w:rPr>
              <w:t>4.4</w:t>
            </w:r>
          </w:p>
        </w:tc>
      </w:tr>
      <w:tr w:rsidR="00C43712" w:rsidRPr="00C43712" w:rsidTr="00C43712">
        <w:trPr>
          <w:trHeight w:val="310"/>
        </w:trPr>
        <w:tc>
          <w:tcPr>
            <w:tcW w:w="57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C43712" w:rsidRPr="002916D8" w:rsidRDefault="00C43712" w:rsidP="00C43712">
            <w:pPr>
              <w:spacing w:before="0" w:line="276" w:lineRule="auto"/>
              <w:ind w:firstLine="0"/>
              <w:contextualSpacing w:val="0"/>
              <w:jc w:val="center"/>
              <w:rPr>
                <w:b w:val="0"/>
                <w:szCs w:val="22"/>
                <w:lang w:val="hy-AM" w:eastAsia="en-US"/>
              </w:rPr>
            </w:pPr>
            <w:r w:rsidRPr="002916D8">
              <w:rPr>
                <w:b w:val="0"/>
                <w:szCs w:val="22"/>
                <w:lang w:val="hy-AM" w:eastAsia="en-US"/>
              </w:rPr>
              <w:t xml:space="preserve">ՕՊԵԿ-ի Միջազգային Զարգացման Հիմնադրամ </w:t>
            </w:r>
          </w:p>
        </w:tc>
        <w:tc>
          <w:tcPr>
            <w:tcW w:w="168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C43712" w:rsidRPr="002916D8" w:rsidRDefault="00C43712" w:rsidP="00C43712">
            <w:pPr>
              <w:spacing w:line="276" w:lineRule="auto"/>
              <w:jc w:val="center"/>
              <w:rPr>
                <w:b w:val="0"/>
                <w:szCs w:val="22"/>
              </w:rPr>
            </w:pPr>
            <w:r w:rsidRPr="002916D8">
              <w:rPr>
                <w:b w:val="0"/>
                <w:szCs w:val="22"/>
              </w:rPr>
              <w:t>4.4</w:t>
            </w:r>
          </w:p>
        </w:tc>
        <w:tc>
          <w:tcPr>
            <w:tcW w:w="138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C43712" w:rsidRPr="002916D8" w:rsidRDefault="00C43712" w:rsidP="00C43712">
            <w:pPr>
              <w:spacing w:line="276" w:lineRule="auto"/>
              <w:jc w:val="center"/>
              <w:rPr>
                <w:b w:val="0"/>
                <w:szCs w:val="22"/>
              </w:rPr>
            </w:pPr>
            <w:r w:rsidRPr="002916D8">
              <w:rPr>
                <w:b w:val="0"/>
                <w:szCs w:val="22"/>
              </w:rPr>
              <w:t>5.4</w:t>
            </w:r>
          </w:p>
        </w:tc>
        <w:tc>
          <w:tcPr>
            <w:tcW w:w="134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C43712" w:rsidRPr="002916D8" w:rsidRDefault="00C43712" w:rsidP="00C43712">
            <w:pPr>
              <w:spacing w:line="276" w:lineRule="auto"/>
              <w:jc w:val="center"/>
              <w:rPr>
                <w:b w:val="0"/>
                <w:szCs w:val="22"/>
              </w:rPr>
            </w:pPr>
            <w:r w:rsidRPr="002916D8">
              <w:rPr>
                <w:b w:val="0"/>
                <w:szCs w:val="22"/>
              </w:rPr>
              <w:t>9.8</w:t>
            </w:r>
          </w:p>
        </w:tc>
      </w:tr>
      <w:tr w:rsidR="00C43712" w:rsidRPr="00C43712" w:rsidTr="00C43712">
        <w:trPr>
          <w:trHeight w:val="310"/>
        </w:trPr>
        <w:tc>
          <w:tcPr>
            <w:tcW w:w="5737" w:type="dxa"/>
            <w:tcBorders>
              <w:top w:val="single" w:sz="4" w:space="0" w:color="auto"/>
              <w:left w:val="single" w:sz="4" w:space="0" w:color="auto"/>
              <w:bottom w:val="single" w:sz="4" w:space="0" w:color="auto"/>
              <w:right w:val="single" w:sz="4" w:space="0" w:color="auto"/>
            </w:tcBorders>
            <w:vAlign w:val="bottom"/>
            <w:hideMark/>
          </w:tcPr>
          <w:p w:rsidR="00C43712" w:rsidRPr="002916D8" w:rsidRDefault="00C43712" w:rsidP="00C43712">
            <w:pPr>
              <w:spacing w:before="0" w:line="276" w:lineRule="auto"/>
              <w:ind w:firstLine="0"/>
              <w:contextualSpacing w:val="0"/>
              <w:jc w:val="center"/>
              <w:rPr>
                <w:b w:val="0"/>
                <w:szCs w:val="22"/>
                <w:lang w:val="hy-AM" w:eastAsia="en-US"/>
              </w:rPr>
            </w:pPr>
            <w:r w:rsidRPr="002916D8">
              <w:rPr>
                <w:b w:val="0"/>
                <w:szCs w:val="22"/>
                <w:lang w:val="hy-AM" w:eastAsia="en-US"/>
              </w:rPr>
              <w:t>Ասիական Զարգացման Բանկ</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712" w:rsidRPr="002916D8" w:rsidRDefault="00C43712" w:rsidP="00C43712">
            <w:pPr>
              <w:spacing w:line="276" w:lineRule="auto"/>
              <w:jc w:val="center"/>
              <w:rPr>
                <w:b w:val="0"/>
                <w:szCs w:val="22"/>
              </w:rPr>
            </w:pPr>
            <w:r w:rsidRPr="002916D8">
              <w:rPr>
                <w:b w:val="0"/>
                <w:szCs w:val="22"/>
              </w:rPr>
              <w:t>41.5</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712" w:rsidRPr="002916D8" w:rsidRDefault="00C43712" w:rsidP="00C43712">
            <w:pPr>
              <w:spacing w:line="276" w:lineRule="auto"/>
              <w:jc w:val="center"/>
              <w:rPr>
                <w:b w:val="0"/>
                <w:szCs w:val="22"/>
              </w:rPr>
            </w:pPr>
            <w:r w:rsidRPr="002916D8">
              <w:rPr>
                <w:b w:val="0"/>
                <w:szCs w:val="22"/>
              </w:rPr>
              <w:t>54.2</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712" w:rsidRPr="002916D8" w:rsidRDefault="00C43712" w:rsidP="00C43712">
            <w:pPr>
              <w:spacing w:line="276" w:lineRule="auto"/>
              <w:jc w:val="center"/>
              <w:rPr>
                <w:b w:val="0"/>
                <w:szCs w:val="22"/>
              </w:rPr>
            </w:pPr>
            <w:r w:rsidRPr="002916D8">
              <w:rPr>
                <w:b w:val="0"/>
                <w:szCs w:val="22"/>
              </w:rPr>
              <w:t>95.7</w:t>
            </w:r>
          </w:p>
        </w:tc>
      </w:tr>
      <w:tr w:rsidR="00C43712" w:rsidRPr="00C43712" w:rsidTr="00C43712">
        <w:trPr>
          <w:trHeight w:val="310"/>
        </w:trPr>
        <w:tc>
          <w:tcPr>
            <w:tcW w:w="57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C43712" w:rsidRPr="002916D8" w:rsidRDefault="00C43712" w:rsidP="00C43712">
            <w:pPr>
              <w:spacing w:before="0" w:line="276" w:lineRule="auto"/>
              <w:ind w:firstLine="0"/>
              <w:contextualSpacing w:val="0"/>
              <w:jc w:val="center"/>
              <w:rPr>
                <w:b w:val="0"/>
                <w:szCs w:val="22"/>
                <w:lang w:val="hy-AM" w:eastAsia="en-US"/>
              </w:rPr>
            </w:pPr>
            <w:r w:rsidRPr="002916D8">
              <w:rPr>
                <w:b w:val="0"/>
                <w:szCs w:val="22"/>
                <w:lang w:val="hy-AM" w:eastAsia="en-US"/>
              </w:rPr>
              <w:t>Եվրամիություն</w:t>
            </w:r>
          </w:p>
        </w:tc>
        <w:tc>
          <w:tcPr>
            <w:tcW w:w="168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C43712" w:rsidRPr="002916D8" w:rsidRDefault="00C43712" w:rsidP="00C43712">
            <w:pPr>
              <w:spacing w:line="276" w:lineRule="auto"/>
              <w:jc w:val="center"/>
              <w:rPr>
                <w:b w:val="0"/>
                <w:szCs w:val="22"/>
              </w:rPr>
            </w:pPr>
            <w:r w:rsidRPr="002916D8">
              <w:rPr>
                <w:b w:val="0"/>
                <w:szCs w:val="22"/>
              </w:rPr>
              <w:t>2.4</w:t>
            </w:r>
          </w:p>
        </w:tc>
        <w:tc>
          <w:tcPr>
            <w:tcW w:w="138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C43712" w:rsidRPr="002916D8" w:rsidRDefault="00C43712" w:rsidP="00C43712">
            <w:pPr>
              <w:spacing w:line="276" w:lineRule="auto"/>
              <w:jc w:val="center"/>
              <w:rPr>
                <w:b w:val="0"/>
                <w:szCs w:val="22"/>
              </w:rPr>
            </w:pPr>
            <w:r w:rsidRPr="002916D8">
              <w:rPr>
                <w:b w:val="0"/>
                <w:szCs w:val="22"/>
              </w:rPr>
              <w:t>-</w:t>
            </w:r>
          </w:p>
        </w:tc>
        <w:tc>
          <w:tcPr>
            <w:tcW w:w="134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C43712" w:rsidRPr="002916D8" w:rsidRDefault="00C43712" w:rsidP="00C43712">
            <w:pPr>
              <w:spacing w:line="276" w:lineRule="auto"/>
              <w:jc w:val="center"/>
              <w:rPr>
                <w:b w:val="0"/>
                <w:szCs w:val="22"/>
              </w:rPr>
            </w:pPr>
            <w:r w:rsidRPr="002916D8">
              <w:rPr>
                <w:b w:val="0"/>
                <w:szCs w:val="22"/>
              </w:rPr>
              <w:t>2.4</w:t>
            </w:r>
          </w:p>
        </w:tc>
      </w:tr>
      <w:tr w:rsidR="00C43712" w:rsidRPr="00C43712" w:rsidTr="00C43712">
        <w:trPr>
          <w:trHeight w:val="310"/>
        </w:trPr>
        <w:tc>
          <w:tcPr>
            <w:tcW w:w="5737" w:type="dxa"/>
            <w:tcBorders>
              <w:top w:val="single" w:sz="4" w:space="0" w:color="auto"/>
              <w:left w:val="single" w:sz="4" w:space="0" w:color="auto"/>
              <w:bottom w:val="single" w:sz="4" w:space="0" w:color="auto"/>
              <w:right w:val="single" w:sz="4" w:space="0" w:color="auto"/>
            </w:tcBorders>
            <w:vAlign w:val="bottom"/>
            <w:hideMark/>
          </w:tcPr>
          <w:p w:rsidR="00C43712" w:rsidRPr="002916D8" w:rsidRDefault="00C43712" w:rsidP="00C43712">
            <w:pPr>
              <w:spacing w:before="0" w:line="276" w:lineRule="auto"/>
              <w:ind w:firstLine="0"/>
              <w:contextualSpacing w:val="0"/>
              <w:jc w:val="center"/>
              <w:rPr>
                <w:b w:val="0"/>
                <w:szCs w:val="22"/>
                <w:lang w:val="hy-AM" w:eastAsia="en-US"/>
              </w:rPr>
            </w:pPr>
            <w:r w:rsidRPr="002916D8">
              <w:rPr>
                <w:b w:val="0"/>
                <w:szCs w:val="22"/>
                <w:lang w:val="hy-AM" w:eastAsia="en-US"/>
              </w:rPr>
              <w:t>Արժույթի Միջազգային Հիմնադրամ</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712" w:rsidRPr="002916D8" w:rsidRDefault="00C43712" w:rsidP="00C43712">
            <w:pPr>
              <w:spacing w:line="276" w:lineRule="auto"/>
              <w:jc w:val="center"/>
              <w:rPr>
                <w:b w:val="0"/>
                <w:szCs w:val="22"/>
              </w:rPr>
            </w:pPr>
            <w:r w:rsidRPr="002916D8">
              <w:rPr>
                <w:b w:val="0"/>
                <w:szCs w:val="22"/>
              </w:rPr>
              <w:t>15.6</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712" w:rsidRPr="002916D8" w:rsidRDefault="00C43712" w:rsidP="00C43712">
            <w:pPr>
              <w:spacing w:line="276" w:lineRule="auto"/>
              <w:jc w:val="center"/>
              <w:rPr>
                <w:b w:val="0"/>
                <w:szCs w:val="22"/>
              </w:rPr>
            </w:pPr>
            <w:r w:rsidRPr="002916D8">
              <w:rPr>
                <w:b w:val="0"/>
                <w:szCs w:val="22"/>
              </w:rPr>
              <w:t>72.7</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712" w:rsidRPr="002916D8" w:rsidRDefault="00C43712" w:rsidP="00C43712">
            <w:pPr>
              <w:spacing w:line="276" w:lineRule="auto"/>
              <w:jc w:val="center"/>
              <w:rPr>
                <w:b w:val="0"/>
                <w:szCs w:val="22"/>
              </w:rPr>
            </w:pPr>
            <w:r w:rsidRPr="002916D8">
              <w:rPr>
                <w:b w:val="0"/>
                <w:szCs w:val="22"/>
              </w:rPr>
              <w:t>88.3</w:t>
            </w:r>
          </w:p>
        </w:tc>
      </w:tr>
      <w:tr w:rsidR="00C43712" w:rsidRPr="00C43712" w:rsidTr="00C43712">
        <w:trPr>
          <w:trHeight w:val="310"/>
        </w:trPr>
        <w:tc>
          <w:tcPr>
            <w:tcW w:w="57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C43712" w:rsidRPr="002916D8" w:rsidRDefault="00C43712" w:rsidP="00C43712">
            <w:pPr>
              <w:spacing w:before="0" w:line="276" w:lineRule="auto"/>
              <w:ind w:firstLine="0"/>
              <w:contextualSpacing w:val="0"/>
              <w:jc w:val="center"/>
              <w:rPr>
                <w:b w:val="0"/>
                <w:szCs w:val="22"/>
                <w:lang w:val="hy-AM" w:eastAsia="en-US"/>
              </w:rPr>
            </w:pPr>
            <w:r w:rsidRPr="002916D8">
              <w:rPr>
                <w:b w:val="0"/>
                <w:szCs w:val="22"/>
                <w:lang w:val="hy-AM" w:eastAsia="en-US"/>
              </w:rPr>
              <w:t xml:space="preserve">Եվրասիական Զարգացման Բանկ </w:t>
            </w:r>
          </w:p>
        </w:tc>
        <w:tc>
          <w:tcPr>
            <w:tcW w:w="168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C43712" w:rsidRPr="002916D8" w:rsidRDefault="00C43712" w:rsidP="00C43712">
            <w:pPr>
              <w:spacing w:line="276" w:lineRule="auto"/>
              <w:jc w:val="center"/>
              <w:rPr>
                <w:b w:val="0"/>
                <w:szCs w:val="22"/>
              </w:rPr>
            </w:pPr>
            <w:r w:rsidRPr="002916D8">
              <w:rPr>
                <w:b w:val="0"/>
                <w:szCs w:val="22"/>
              </w:rPr>
              <w:t>8.3</w:t>
            </w:r>
          </w:p>
        </w:tc>
        <w:tc>
          <w:tcPr>
            <w:tcW w:w="138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C43712" w:rsidRPr="002916D8" w:rsidRDefault="00C43712" w:rsidP="00C43712">
            <w:pPr>
              <w:spacing w:line="276" w:lineRule="auto"/>
              <w:jc w:val="center"/>
              <w:rPr>
                <w:b w:val="0"/>
                <w:szCs w:val="22"/>
              </w:rPr>
            </w:pPr>
            <w:r w:rsidRPr="002916D8">
              <w:rPr>
                <w:b w:val="0"/>
                <w:szCs w:val="22"/>
              </w:rPr>
              <w:t>1.5</w:t>
            </w:r>
          </w:p>
        </w:tc>
        <w:tc>
          <w:tcPr>
            <w:tcW w:w="134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C43712" w:rsidRPr="002916D8" w:rsidRDefault="00C43712" w:rsidP="00C43712">
            <w:pPr>
              <w:spacing w:line="276" w:lineRule="auto"/>
              <w:jc w:val="center"/>
              <w:rPr>
                <w:b w:val="0"/>
                <w:szCs w:val="22"/>
              </w:rPr>
            </w:pPr>
            <w:r w:rsidRPr="002916D8">
              <w:rPr>
                <w:b w:val="0"/>
                <w:szCs w:val="22"/>
              </w:rPr>
              <w:t>9.9</w:t>
            </w:r>
          </w:p>
        </w:tc>
      </w:tr>
      <w:tr w:rsidR="00C43712" w:rsidRPr="00C43712" w:rsidTr="00C43712">
        <w:trPr>
          <w:trHeight w:val="310"/>
        </w:trPr>
        <w:tc>
          <w:tcPr>
            <w:tcW w:w="5737" w:type="dxa"/>
            <w:tcBorders>
              <w:top w:val="single" w:sz="4" w:space="0" w:color="auto"/>
              <w:left w:val="single" w:sz="4" w:space="0" w:color="auto"/>
              <w:bottom w:val="single" w:sz="4" w:space="0" w:color="auto"/>
              <w:right w:val="single" w:sz="4" w:space="0" w:color="auto"/>
            </w:tcBorders>
            <w:vAlign w:val="bottom"/>
            <w:hideMark/>
          </w:tcPr>
          <w:p w:rsidR="00C43712" w:rsidRPr="002916D8" w:rsidRDefault="00C43712" w:rsidP="00C43712">
            <w:pPr>
              <w:spacing w:before="0" w:line="276" w:lineRule="auto"/>
              <w:ind w:firstLine="0"/>
              <w:contextualSpacing w:val="0"/>
              <w:jc w:val="center"/>
              <w:rPr>
                <w:b w:val="0"/>
                <w:szCs w:val="22"/>
                <w:lang w:val="hy-AM" w:eastAsia="en-US"/>
              </w:rPr>
            </w:pPr>
            <w:r w:rsidRPr="002916D8">
              <w:rPr>
                <w:b w:val="0"/>
                <w:szCs w:val="22"/>
                <w:lang w:val="hy-AM" w:eastAsia="en-US"/>
              </w:rPr>
              <w:t>Գերմանիա (ՎՎԲ)</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712" w:rsidRPr="002916D8" w:rsidRDefault="00C43712" w:rsidP="00C43712">
            <w:pPr>
              <w:spacing w:line="276" w:lineRule="auto"/>
              <w:jc w:val="center"/>
              <w:rPr>
                <w:b w:val="0"/>
                <w:szCs w:val="22"/>
              </w:rPr>
            </w:pPr>
            <w:r w:rsidRPr="002916D8">
              <w:rPr>
                <w:b w:val="0"/>
                <w:szCs w:val="22"/>
              </w:rPr>
              <w:t>6.8</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712" w:rsidRPr="002916D8" w:rsidRDefault="00C43712" w:rsidP="00C43712">
            <w:pPr>
              <w:spacing w:line="276" w:lineRule="auto"/>
              <w:jc w:val="center"/>
              <w:rPr>
                <w:b w:val="0"/>
                <w:szCs w:val="22"/>
              </w:rPr>
            </w:pPr>
            <w:r w:rsidRPr="002916D8">
              <w:rPr>
                <w:b w:val="0"/>
                <w:szCs w:val="22"/>
              </w:rPr>
              <w:t>29.7</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712" w:rsidRPr="002916D8" w:rsidRDefault="00C43712" w:rsidP="00C43712">
            <w:pPr>
              <w:spacing w:line="276" w:lineRule="auto"/>
              <w:jc w:val="center"/>
              <w:rPr>
                <w:b w:val="0"/>
                <w:szCs w:val="22"/>
              </w:rPr>
            </w:pPr>
            <w:r w:rsidRPr="002916D8">
              <w:rPr>
                <w:b w:val="0"/>
                <w:szCs w:val="22"/>
              </w:rPr>
              <w:t>36.5</w:t>
            </w:r>
          </w:p>
        </w:tc>
      </w:tr>
      <w:tr w:rsidR="00C43712" w:rsidRPr="00C43712" w:rsidTr="00C43712">
        <w:trPr>
          <w:trHeight w:val="310"/>
        </w:trPr>
        <w:tc>
          <w:tcPr>
            <w:tcW w:w="57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C43712" w:rsidRPr="002916D8" w:rsidRDefault="00C43712" w:rsidP="00C43712">
            <w:pPr>
              <w:spacing w:before="0" w:line="276" w:lineRule="auto"/>
              <w:ind w:firstLine="0"/>
              <w:contextualSpacing w:val="0"/>
              <w:jc w:val="center"/>
              <w:rPr>
                <w:b w:val="0"/>
                <w:szCs w:val="22"/>
                <w:lang w:val="hy-AM" w:eastAsia="en-US"/>
              </w:rPr>
            </w:pPr>
            <w:r w:rsidRPr="002916D8">
              <w:rPr>
                <w:b w:val="0"/>
                <w:szCs w:val="22"/>
                <w:lang w:val="hy-AM" w:eastAsia="en-US"/>
              </w:rPr>
              <w:t>Ռուսաստանի Դաշնություն</w:t>
            </w:r>
          </w:p>
        </w:tc>
        <w:tc>
          <w:tcPr>
            <w:tcW w:w="168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C43712" w:rsidRPr="002916D8" w:rsidRDefault="00C43712" w:rsidP="00C43712">
            <w:pPr>
              <w:spacing w:line="276" w:lineRule="auto"/>
              <w:jc w:val="center"/>
              <w:rPr>
                <w:b w:val="0"/>
                <w:szCs w:val="22"/>
              </w:rPr>
            </w:pPr>
            <w:r w:rsidRPr="002916D8">
              <w:rPr>
                <w:b w:val="0"/>
                <w:szCs w:val="22"/>
              </w:rPr>
              <w:t>10.2</w:t>
            </w:r>
          </w:p>
        </w:tc>
        <w:tc>
          <w:tcPr>
            <w:tcW w:w="138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C43712" w:rsidRPr="002916D8" w:rsidRDefault="00C43712" w:rsidP="00C43712">
            <w:pPr>
              <w:spacing w:line="276" w:lineRule="auto"/>
              <w:jc w:val="center"/>
              <w:rPr>
                <w:b w:val="0"/>
                <w:szCs w:val="22"/>
              </w:rPr>
            </w:pPr>
            <w:r w:rsidRPr="002916D8">
              <w:rPr>
                <w:b w:val="0"/>
                <w:szCs w:val="22"/>
              </w:rPr>
              <w:t>44.1</w:t>
            </w:r>
          </w:p>
        </w:tc>
        <w:tc>
          <w:tcPr>
            <w:tcW w:w="134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C43712" w:rsidRPr="002916D8" w:rsidRDefault="00C43712" w:rsidP="00C43712">
            <w:pPr>
              <w:spacing w:line="276" w:lineRule="auto"/>
              <w:jc w:val="center"/>
              <w:rPr>
                <w:b w:val="0"/>
                <w:szCs w:val="22"/>
              </w:rPr>
            </w:pPr>
            <w:r w:rsidRPr="002916D8">
              <w:rPr>
                <w:b w:val="0"/>
                <w:szCs w:val="22"/>
              </w:rPr>
              <w:t>54.3</w:t>
            </w:r>
          </w:p>
        </w:tc>
      </w:tr>
      <w:tr w:rsidR="00C43712" w:rsidRPr="00C43712" w:rsidTr="00C43712">
        <w:trPr>
          <w:trHeight w:val="310"/>
        </w:trPr>
        <w:tc>
          <w:tcPr>
            <w:tcW w:w="5737" w:type="dxa"/>
            <w:tcBorders>
              <w:top w:val="single" w:sz="4" w:space="0" w:color="auto"/>
              <w:left w:val="single" w:sz="4" w:space="0" w:color="auto"/>
              <w:bottom w:val="single" w:sz="4" w:space="0" w:color="auto"/>
              <w:right w:val="single" w:sz="4" w:space="0" w:color="auto"/>
            </w:tcBorders>
            <w:vAlign w:val="bottom"/>
            <w:hideMark/>
          </w:tcPr>
          <w:p w:rsidR="00C43712" w:rsidRPr="002916D8" w:rsidRDefault="00C43712" w:rsidP="00C43712">
            <w:pPr>
              <w:spacing w:before="0" w:line="276" w:lineRule="auto"/>
              <w:ind w:firstLine="0"/>
              <w:contextualSpacing w:val="0"/>
              <w:jc w:val="center"/>
              <w:rPr>
                <w:b w:val="0"/>
                <w:szCs w:val="22"/>
                <w:lang w:val="hy-AM" w:eastAsia="en-US"/>
              </w:rPr>
            </w:pPr>
            <w:r w:rsidRPr="002916D8">
              <w:rPr>
                <w:b w:val="0"/>
                <w:szCs w:val="22"/>
                <w:lang w:val="hy-AM" w:eastAsia="en-US"/>
              </w:rPr>
              <w:t>Ֆրանսիա</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712" w:rsidRPr="002916D8" w:rsidRDefault="00C43712" w:rsidP="00C43712">
            <w:pPr>
              <w:spacing w:line="276" w:lineRule="auto"/>
              <w:jc w:val="center"/>
              <w:rPr>
                <w:b w:val="0"/>
                <w:szCs w:val="22"/>
              </w:rPr>
            </w:pPr>
            <w:r w:rsidRPr="002916D8">
              <w:rPr>
                <w:b w:val="0"/>
                <w:szCs w:val="22"/>
              </w:rPr>
              <w:t>5.6</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712" w:rsidRPr="002916D8" w:rsidRDefault="00C43712" w:rsidP="00C43712">
            <w:pPr>
              <w:spacing w:line="276" w:lineRule="auto"/>
              <w:jc w:val="center"/>
              <w:rPr>
                <w:b w:val="0"/>
                <w:szCs w:val="22"/>
              </w:rPr>
            </w:pPr>
            <w:r w:rsidRPr="002916D8">
              <w:rPr>
                <w:b w:val="0"/>
                <w:szCs w:val="22"/>
              </w:rPr>
              <w:t>9.4</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712" w:rsidRPr="002916D8" w:rsidRDefault="00C43712" w:rsidP="00C43712">
            <w:pPr>
              <w:spacing w:line="276" w:lineRule="auto"/>
              <w:jc w:val="center"/>
              <w:rPr>
                <w:b w:val="0"/>
                <w:szCs w:val="22"/>
              </w:rPr>
            </w:pPr>
            <w:r w:rsidRPr="002916D8">
              <w:rPr>
                <w:b w:val="0"/>
                <w:szCs w:val="22"/>
              </w:rPr>
              <w:t>15.0</w:t>
            </w:r>
          </w:p>
        </w:tc>
      </w:tr>
      <w:tr w:rsidR="00C43712" w:rsidRPr="00C43712" w:rsidTr="00C43712">
        <w:trPr>
          <w:trHeight w:val="310"/>
        </w:trPr>
        <w:tc>
          <w:tcPr>
            <w:tcW w:w="57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C43712" w:rsidRPr="002916D8" w:rsidRDefault="00C43712" w:rsidP="00C43712">
            <w:pPr>
              <w:spacing w:before="0" w:line="276" w:lineRule="auto"/>
              <w:ind w:firstLine="0"/>
              <w:contextualSpacing w:val="0"/>
              <w:jc w:val="center"/>
              <w:rPr>
                <w:b w:val="0"/>
                <w:szCs w:val="22"/>
                <w:lang w:val="hy-AM" w:eastAsia="en-US"/>
              </w:rPr>
            </w:pPr>
            <w:r w:rsidRPr="002916D8">
              <w:rPr>
                <w:b w:val="0"/>
                <w:szCs w:val="22"/>
                <w:lang w:val="hy-AM" w:eastAsia="en-US"/>
              </w:rPr>
              <w:t>ԱՄՆ</w:t>
            </w:r>
          </w:p>
        </w:tc>
        <w:tc>
          <w:tcPr>
            <w:tcW w:w="168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C43712" w:rsidRPr="002916D8" w:rsidRDefault="00C43712" w:rsidP="00C43712">
            <w:pPr>
              <w:spacing w:line="276" w:lineRule="auto"/>
              <w:jc w:val="center"/>
              <w:rPr>
                <w:b w:val="0"/>
                <w:szCs w:val="22"/>
              </w:rPr>
            </w:pPr>
            <w:r w:rsidRPr="002916D8">
              <w:rPr>
                <w:b w:val="0"/>
                <w:szCs w:val="22"/>
              </w:rPr>
              <w:t>0.2</w:t>
            </w:r>
          </w:p>
        </w:tc>
        <w:tc>
          <w:tcPr>
            <w:tcW w:w="138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C43712" w:rsidRPr="002916D8" w:rsidRDefault="00C43712" w:rsidP="00C43712">
            <w:pPr>
              <w:spacing w:line="276" w:lineRule="auto"/>
              <w:jc w:val="center"/>
              <w:rPr>
                <w:b w:val="0"/>
                <w:szCs w:val="22"/>
              </w:rPr>
            </w:pPr>
            <w:r w:rsidRPr="002916D8">
              <w:rPr>
                <w:b w:val="0"/>
                <w:szCs w:val="22"/>
              </w:rPr>
              <w:t>1.9</w:t>
            </w:r>
          </w:p>
        </w:tc>
        <w:tc>
          <w:tcPr>
            <w:tcW w:w="134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C43712" w:rsidRPr="002916D8" w:rsidRDefault="00C43712" w:rsidP="00C43712">
            <w:pPr>
              <w:spacing w:line="276" w:lineRule="auto"/>
              <w:jc w:val="center"/>
              <w:rPr>
                <w:b w:val="0"/>
                <w:szCs w:val="22"/>
              </w:rPr>
            </w:pPr>
            <w:r w:rsidRPr="002916D8">
              <w:rPr>
                <w:b w:val="0"/>
                <w:szCs w:val="22"/>
              </w:rPr>
              <w:t>2.1</w:t>
            </w:r>
          </w:p>
        </w:tc>
      </w:tr>
      <w:tr w:rsidR="00C43712" w:rsidRPr="00C43712" w:rsidTr="00C43712">
        <w:trPr>
          <w:trHeight w:val="310"/>
        </w:trPr>
        <w:tc>
          <w:tcPr>
            <w:tcW w:w="5737" w:type="dxa"/>
            <w:tcBorders>
              <w:top w:val="single" w:sz="4" w:space="0" w:color="auto"/>
              <w:left w:val="single" w:sz="4" w:space="0" w:color="auto"/>
              <w:bottom w:val="single" w:sz="4" w:space="0" w:color="auto"/>
              <w:right w:val="single" w:sz="4" w:space="0" w:color="auto"/>
            </w:tcBorders>
            <w:vAlign w:val="bottom"/>
            <w:hideMark/>
          </w:tcPr>
          <w:p w:rsidR="00C43712" w:rsidRPr="002916D8" w:rsidRDefault="00C43712" w:rsidP="00C43712">
            <w:pPr>
              <w:spacing w:before="0" w:line="276" w:lineRule="auto"/>
              <w:ind w:firstLine="0"/>
              <w:contextualSpacing w:val="0"/>
              <w:jc w:val="center"/>
              <w:rPr>
                <w:b w:val="0"/>
                <w:szCs w:val="22"/>
                <w:lang w:val="hy-AM" w:eastAsia="en-US"/>
              </w:rPr>
            </w:pPr>
            <w:r w:rsidRPr="002916D8">
              <w:rPr>
                <w:b w:val="0"/>
                <w:szCs w:val="22"/>
                <w:lang w:val="hy-AM" w:eastAsia="en-US"/>
              </w:rPr>
              <w:t>Ճապոնիա</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712" w:rsidRPr="002916D8" w:rsidRDefault="00C43712" w:rsidP="00C43712">
            <w:pPr>
              <w:spacing w:line="276" w:lineRule="auto"/>
              <w:jc w:val="center"/>
              <w:rPr>
                <w:b w:val="0"/>
                <w:szCs w:val="22"/>
              </w:rPr>
            </w:pPr>
            <w:r w:rsidRPr="002916D8">
              <w:rPr>
                <w:b w:val="0"/>
                <w:szCs w:val="22"/>
              </w:rPr>
              <w:t>1.3</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712" w:rsidRPr="002916D8" w:rsidRDefault="00C43712" w:rsidP="00C43712">
            <w:pPr>
              <w:spacing w:line="276" w:lineRule="auto"/>
              <w:jc w:val="center"/>
              <w:rPr>
                <w:b w:val="0"/>
                <w:szCs w:val="22"/>
              </w:rPr>
            </w:pPr>
            <w:r w:rsidRPr="002916D8">
              <w:rPr>
                <w:b w:val="0"/>
                <w:szCs w:val="22"/>
              </w:rPr>
              <w:t>8.4</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712" w:rsidRPr="002916D8" w:rsidRDefault="00C43712" w:rsidP="00C43712">
            <w:pPr>
              <w:spacing w:line="276" w:lineRule="auto"/>
              <w:jc w:val="center"/>
              <w:rPr>
                <w:b w:val="0"/>
                <w:szCs w:val="22"/>
              </w:rPr>
            </w:pPr>
            <w:r w:rsidRPr="002916D8">
              <w:rPr>
                <w:b w:val="0"/>
                <w:szCs w:val="22"/>
              </w:rPr>
              <w:t>9.7</w:t>
            </w:r>
          </w:p>
        </w:tc>
      </w:tr>
      <w:tr w:rsidR="00C43712" w:rsidRPr="00C43712" w:rsidTr="00C43712">
        <w:trPr>
          <w:trHeight w:val="310"/>
        </w:trPr>
        <w:tc>
          <w:tcPr>
            <w:tcW w:w="57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C43712" w:rsidRPr="002916D8" w:rsidRDefault="00C43712" w:rsidP="00C43712">
            <w:pPr>
              <w:spacing w:before="0" w:line="276" w:lineRule="auto"/>
              <w:ind w:firstLine="0"/>
              <w:contextualSpacing w:val="0"/>
              <w:jc w:val="center"/>
              <w:rPr>
                <w:b w:val="0"/>
                <w:szCs w:val="22"/>
                <w:lang w:val="hy-AM" w:eastAsia="en-US"/>
              </w:rPr>
            </w:pPr>
            <w:r w:rsidRPr="002916D8">
              <w:rPr>
                <w:b w:val="0"/>
                <w:szCs w:val="22"/>
                <w:lang w:val="hy-AM" w:eastAsia="en-US"/>
              </w:rPr>
              <w:t>Աբու-Դաբիի Զարգացման Հիմնադրամ</w:t>
            </w:r>
          </w:p>
        </w:tc>
        <w:tc>
          <w:tcPr>
            <w:tcW w:w="168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C43712" w:rsidRPr="002916D8" w:rsidRDefault="00C43712" w:rsidP="00C43712">
            <w:pPr>
              <w:spacing w:line="276" w:lineRule="auto"/>
              <w:jc w:val="center"/>
              <w:rPr>
                <w:b w:val="0"/>
                <w:szCs w:val="22"/>
              </w:rPr>
            </w:pPr>
            <w:r w:rsidRPr="002916D8">
              <w:rPr>
                <w:b w:val="0"/>
                <w:szCs w:val="22"/>
              </w:rPr>
              <w:t>0.1</w:t>
            </w:r>
          </w:p>
        </w:tc>
        <w:tc>
          <w:tcPr>
            <w:tcW w:w="138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C43712" w:rsidRPr="002916D8" w:rsidRDefault="00C43712" w:rsidP="00C43712">
            <w:pPr>
              <w:spacing w:line="276" w:lineRule="auto"/>
              <w:jc w:val="center"/>
              <w:rPr>
                <w:b w:val="0"/>
                <w:szCs w:val="22"/>
              </w:rPr>
            </w:pPr>
            <w:r w:rsidRPr="002916D8">
              <w:rPr>
                <w:b w:val="0"/>
                <w:szCs w:val="22"/>
              </w:rPr>
              <w:t>0.7</w:t>
            </w:r>
          </w:p>
        </w:tc>
        <w:tc>
          <w:tcPr>
            <w:tcW w:w="134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C43712" w:rsidRPr="002916D8" w:rsidRDefault="00C43712" w:rsidP="00C43712">
            <w:pPr>
              <w:spacing w:line="276" w:lineRule="auto"/>
              <w:jc w:val="center"/>
              <w:rPr>
                <w:b w:val="0"/>
                <w:szCs w:val="22"/>
              </w:rPr>
            </w:pPr>
            <w:r w:rsidRPr="002916D8">
              <w:rPr>
                <w:b w:val="0"/>
                <w:szCs w:val="22"/>
              </w:rPr>
              <w:t>0.8</w:t>
            </w:r>
          </w:p>
        </w:tc>
      </w:tr>
      <w:tr w:rsidR="00C43712" w:rsidRPr="00C43712" w:rsidTr="00C43712">
        <w:trPr>
          <w:trHeight w:val="310"/>
        </w:trPr>
        <w:tc>
          <w:tcPr>
            <w:tcW w:w="5737" w:type="dxa"/>
            <w:tcBorders>
              <w:top w:val="single" w:sz="4" w:space="0" w:color="auto"/>
              <w:left w:val="single" w:sz="4" w:space="0" w:color="auto"/>
              <w:bottom w:val="single" w:sz="4" w:space="0" w:color="auto"/>
              <w:right w:val="single" w:sz="4" w:space="0" w:color="auto"/>
            </w:tcBorders>
            <w:vAlign w:val="bottom"/>
            <w:hideMark/>
          </w:tcPr>
          <w:p w:rsidR="00C43712" w:rsidRPr="002916D8" w:rsidRDefault="00C43712" w:rsidP="00C43712">
            <w:pPr>
              <w:spacing w:before="0" w:line="276" w:lineRule="auto"/>
              <w:ind w:firstLine="0"/>
              <w:contextualSpacing w:val="0"/>
              <w:jc w:val="center"/>
              <w:rPr>
                <w:b w:val="0"/>
                <w:szCs w:val="22"/>
                <w:lang w:val="hy-AM" w:eastAsia="en-US"/>
              </w:rPr>
            </w:pPr>
            <w:r w:rsidRPr="002916D8">
              <w:rPr>
                <w:b w:val="0"/>
                <w:szCs w:val="22"/>
                <w:lang w:val="hy-AM" w:eastAsia="en-US"/>
              </w:rPr>
              <w:t>Չինաստանի Արտահանման-Ներմուծման Բանկ</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712" w:rsidRPr="002916D8" w:rsidRDefault="00C43712" w:rsidP="00C43712">
            <w:pPr>
              <w:spacing w:line="276" w:lineRule="auto"/>
              <w:jc w:val="center"/>
              <w:rPr>
                <w:b w:val="0"/>
                <w:szCs w:val="22"/>
              </w:rPr>
            </w:pPr>
            <w:r w:rsidRPr="002916D8">
              <w:rPr>
                <w:b w:val="0"/>
                <w:szCs w:val="22"/>
              </w:rPr>
              <w:t>0.4</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712" w:rsidRPr="002916D8" w:rsidRDefault="00C43712" w:rsidP="00C43712">
            <w:pPr>
              <w:spacing w:line="276" w:lineRule="auto"/>
              <w:jc w:val="center"/>
              <w:rPr>
                <w:b w:val="0"/>
                <w:szCs w:val="22"/>
              </w:rPr>
            </w:pPr>
            <w:r w:rsidRPr="002916D8">
              <w:rPr>
                <w:b w:val="0"/>
                <w:szCs w:val="22"/>
              </w:rPr>
              <w:t>1.6</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712" w:rsidRPr="002916D8" w:rsidRDefault="00C43712" w:rsidP="00C43712">
            <w:pPr>
              <w:spacing w:line="276" w:lineRule="auto"/>
              <w:jc w:val="center"/>
              <w:rPr>
                <w:b w:val="0"/>
                <w:szCs w:val="22"/>
              </w:rPr>
            </w:pPr>
            <w:r w:rsidRPr="002916D8">
              <w:rPr>
                <w:b w:val="0"/>
                <w:szCs w:val="22"/>
              </w:rPr>
              <w:t>2.0</w:t>
            </w:r>
          </w:p>
        </w:tc>
      </w:tr>
      <w:tr w:rsidR="00C43712" w:rsidRPr="00C43712" w:rsidTr="00C43712">
        <w:trPr>
          <w:trHeight w:val="310"/>
        </w:trPr>
        <w:tc>
          <w:tcPr>
            <w:tcW w:w="57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C43712" w:rsidRPr="002916D8" w:rsidRDefault="00C43712" w:rsidP="00C43712">
            <w:pPr>
              <w:spacing w:before="0" w:line="276" w:lineRule="auto"/>
              <w:ind w:firstLine="0"/>
              <w:contextualSpacing w:val="0"/>
              <w:jc w:val="center"/>
              <w:rPr>
                <w:b w:val="0"/>
                <w:szCs w:val="22"/>
                <w:lang w:val="hy-AM" w:eastAsia="en-US"/>
              </w:rPr>
            </w:pPr>
            <w:r w:rsidRPr="002916D8">
              <w:rPr>
                <w:b w:val="0"/>
                <w:szCs w:val="22"/>
                <w:lang w:val="hy-AM" w:eastAsia="en-US"/>
              </w:rPr>
              <w:t>ԿԲՍ Բանկ (Բելգիա)</w:t>
            </w:r>
          </w:p>
        </w:tc>
        <w:tc>
          <w:tcPr>
            <w:tcW w:w="168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C43712" w:rsidRPr="002916D8" w:rsidRDefault="00C43712" w:rsidP="00C43712">
            <w:pPr>
              <w:spacing w:line="276" w:lineRule="auto"/>
              <w:jc w:val="center"/>
              <w:rPr>
                <w:b w:val="0"/>
                <w:szCs w:val="22"/>
              </w:rPr>
            </w:pPr>
            <w:r w:rsidRPr="002916D8">
              <w:rPr>
                <w:b w:val="0"/>
                <w:szCs w:val="22"/>
              </w:rPr>
              <w:t>0.0</w:t>
            </w:r>
          </w:p>
        </w:tc>
        <w:tc>
          <w:tcPr>
            <w:tcW w:w="138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C43712" w:rsidRPr="002916D8" w:rsidRDefault="00C43712" w:rsidP="00C43712">
            <w:pPr>
              <w:spacing w:line="276" w:lineRule="auto"/>
              <w:jc w:val="center"/>
              <w:rPr>
                <w:b w:val="0"/>
                <w:szCs w:val="22"/>
              </w:rPr>
            </w:pPr>
            <w:r w:rsidRPr="002916D8">
              <w:rPr>
                <w:b w:val="0"/>
                <w:szCs w:val="22"/>
              </w:rPr>
              <w:t>0.5</w:t>
            </w:r>
          </w:p>
        </w:tc>
        <w:tc>
          <w:tcPr>
            <w:tcW w:w="134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C43712" w:rsidRPr="002916D8" w:rsidRDefault="00C43712" w:rsidP="00C43712">
            <w:pPr>
              <w:spacing w:line="276" w:lineRule="auto"/>
              <w:jc w:val="center"/>
              <w:rPr>
                <w:b w:val="0"/>
                <w:szCs w:val="22"/>
              </w:rPr>
            </w:pPr>
            <w:r w:rsidRPr="002916D8">
              <w:rPr>
                <w:b w:val="0"/>
                <w:szCs w:val="22"/>
              </w:rPr>
              <w:t>0.5</w:t>
            </w:r>
          </w:p>
        </w:tc>
      </w:tr>
      <w:tr w:rsidR="00C43712" w:rsidRPr="00C43712" w:rsidTr="00C43712">
        <w:trPr>
          <w:trHeight w:val="310"/>
        </w:trPr>
        <w:tc>
          <w:tcPr>
            <w:tcW w:w="5737" w:type="dxa"/>
            <w:tcBorders>
              <w:top w:val="single" w:sz="4" w:space="0" w:color="auto"/>
              <w:left w:val="single" w:sz="4" w:space="0" w:color="auto"/>
              <w:bottom w:val="single" w:sz="4" w:space="0" w:color="auto"/>
              <w:right w:val="single" w:sz="4" w:space="0" w:color="auto"/>
            </w:tcBorders>
            <w:vAlign w:val="bottom"/>
            <w:hideMark/>
          </w:tcPr>
          <w:p w:rsidR="00C43712" w:rsidRPr="002916D8" w:rsidRDefault="00C43712" w:rsidP="00C43712">
            <w:pPr>
              <w:spacing w:before="0" w:line="276" w:lineRule="auto"/>
              <w:ind w:firstLine="0"/>
              <w:contextualSpacing w:val="0"/>
              <w:jc w:val="center"/>
              <w:rPr>
                <w:b w:val="0"/>
                <w:szCs w:val="22"/>
                <w:lang w:val="hy-AM" w:eastAsia="en-US"/>
              </w:rPr>
            </w:pPr>
            <w:r w:rsidRPr="002916D8">
              <w:rPr>
                <w:b w:val="0"/>
                <w:szCs w:val="22"/>
                <w:lang w:val="hy-AM" w:eastAsia="en-US"/>
              </w:rPr>
              <w:t>Ռայֆայզն Բանկ (Ավստրիա)</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712" w:rsidRPr="002916D8" w:rsidRDefault="00C43712" w:rsidP="00C43712">
            <w:pPr>
              <w:spacing w:line="276" w:lineRule="auto"/>
              <w:jc w:val="center"/>
              <w:rPr>
                <w:b w:val="0"/>
                <w:szCs w:val="22"/>
              </w:rPr>
            </w:pPr>
            <w:r w:rsidRPr="002916D8">
              <w:rPr>
                <w:b w:val="0"/>
                <w:szCs w:val="22"/>
              </w:rPr>
              <w:t>0.0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712" w:rsidRPr="002916D8" w:rsidRDefault="00C43712" w:rsidP="00C43712">
            <w:pPr>
              <w:spacing w:line="276" w:lineRule="auto"/>
              <w:jc w:val="center"/>
              <w:rPr>
                <w:b w:val="0"/>
                <w:szCs w:val="22"/>
              </w:rPr>
            </w:pPr>
            <w:r w:rsidRPr="002916D8">
              <w:rPr>
                <w:b w:val="0"/>
                <w:szCs w:val="22"/>
              </w:rPr>
              <w:t>0.9</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712" w:rsidRPr="002916D8" w:rsidRDefault="00C43712" w:rsidP="00C43712">
            <w:pPr>
              <w:spacing w:line="276" w:lineRule="auto"/>
              <w:jc w:val="center"/>
              <w:rPr>
                <w:b w:val="0"/>
                <w:szCs w:val="22"/>
              </w:rPr>
            </w:pPr>
            <w:r w:rsidRPr="002916D8">
              <w:rPr>
                <w:b w:val="0"/>
                <w:szCs w:val="22"/>
              </w:rPr>
              <w:t>1.0</w:t>
            </w:r>
          </w:p>
        </w:tc>
      </w:tr>
      <w:tr w:rsidR="00C43712" w:rsidRPr="00C43712" w:rsidTr="00C43712">
        <w:trPr>
          <w:trHeight w:val="310"/>
        </w:trPr>
        <w:tc>
          <w:tcPr>
            <w:tcW w:w="57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C43712" w:rsidRPr="002916D8" w:rsidRDefault="00C43712" w:rsidP="00C43712">
            <w:pPr>
              <w:spacing w:before="0" w:line="276" w:lineRule="auto"/>
              <w:ind w:firstLine="0"/>
              <w:contextualSpacing w:val="0"/>
              <w:jc w:val="center"/>
              <w:rPr>
                <w:b w:val="0"/>
                <w:szCs w:val="22"/>
                <w:lang w:val="hy-AM" w:eastAsia="en-US"/>
              </w:rPr>
            </w:pPr>
            <w:r w:rsidRPr="002916D8">
              <w:rPr>
                <w:b w:val="0"/>
                <w:szCs w:val="22"/>
                <w:lang w:val="hy-AM" w:eastAsia="en-US"/>
              </w:rPr>
              <w:t>Էռստե Բանկ (Ավստրիա)</w:t>
            </w:r>
          </w:p>
        </w:tc>
        <w:tc>
          <w:tcPr>
            <w:tcW w:w="168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C43712" w:rsidRPr="002916D8" w:rsidRDefault="00C43712" w:rsidP="00C43712">
            <w:pPr>
              <w:spacing w:line="276" w:lineRule="auto"/>
              <w:jc w:val="center"/>
              <w:rPr>
                <w:b w:val="0"/>
                <w:szCs w:val="22"/>
              </w:rPr>
            </w:pPr>
            <w:r w:rsidRPr="002916D8">
              <w:rPr>
                <w:b w:val="0"/>
                <w:szCs w:val="22"/>
              </w:rPr>
              <w:t>0.1</w:t>
            </w:r>
          </w:p>
        </w:tc>
        <w:tc>
          <w:tcPr>
            <w:tcW w:w="138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C43712" w:rsidRPr="002916D8" w:rsidRDefault="00C43712" w:rsidP="00C43712">
            <w:pPr>
              <w:spacing w:line="276" w:lineRule="auto"/>
              <w:jc w:val="center"/>
              <w:rPr>
                <w:b w:val="0"/>
                <w:szCs w:val="22"/>
              </w:rPr>
            </w:pPr>
            <w:r w:rsidRPr="002916D8">
              <w:rPr>
                <w:b w:val="0"/>
                <w:szCs w:val="22"/>
              </w:rPr>
              <w:t>0.7</w:t>
            </w:r>
          </w:p>
        </w:tc>
        <w:tc>
          <w:tcPr>
            <w:tcW w:w="134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C43712" w:rsidRPr="002916D8" w:rsidRDefault="00C43712" w:rsidP="00C43712">
            <w:pPr>
              <w:spacing w:line="276" w:lineRule="auto"/>
              <w:jc w:val="center"/>
              <w:rPr>
                <w:b w:val="0"/>
                <w:szCs w:val="22"/>
              </w:rPr>
            </w:pPr>
            <w:r w:rsidRPr="002916D8">
              <w:rPr>
                <w:b w:val="0"/>
                <w:szCs w:val="22"/>
              </w:rPr>
              <w:t>0.8</w:t>
            </w:r>
          </w:p>
        </w:tc>
      </w:tr>
      <w:tr w:rsidR="00C43712" w:rsidRPr="00C43712" w:rsidTr="00C43712">
        <w:trPr>
          <w:trHeight w:val="310"/>
        </w:trPr>
        <w:tc>
          <w:tcPr>
            <w:tcW w:w="5737" w:type="dxa"/>
            <w:tcBorders>
              <w:top w:val="single" w:sz="4" w:space="0" w:color="auto"/>
              <w:left w:val="single" w:sz="4" w:space="0" w:color="auto"/>
              <w:bottom w:val="single" w:sz="4" w:space="0" w:color="auto"/>
              <w:right w:val="single" w:sz="4" w:space="0" w:color="auto"/>
            </w:tcBorders>
            <w:vAlign w:val="bottom"/>
          </w:tcPr>
          <w:p w:rsidR="00C43712" w:rsidRPr="002916D8" w:rsidRDefault="00C43712" w:rsidP="00C43712">
            <w:pPr>
              <w:spacing w:before="0" w:line="276" w:lineRule="auto"/>
              <w:ind w:firstLine="0"/>
              <w:contextualSpacing w:val="0"/>
              <w:jc w:val="center"/>
              <w:rPr>
                <w:b w:val="0"/>
                <w:szCs w:val="22"/>
                <w:lang w:val="hy-AM" w:eastAsia="en-US"/>
              </w:rPr>
            </w:pPr>
            <w:r w:rsidRPr="002916D8">
              <w:rPr>
                <w:b w:val="0"/>
                <w:szCs w:val="22"/>
                <w:lang w:val="hy-AM" w:eastAsia="en-US"/>
              </w:rPr>
              <w:t>Ենթակա է հստակեցման</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712" w:rsidRPr="002916D8" w:rsidRDefault="00C43712" w:rsidP="00C43712">
            <w:pPr>
              <w:spacing w:line="276" w:lineRule="auto"/>
              <w:jc w:val="center"/>
              <w:rPr>
                <w:b w:val="0"/>
                <w:szCs w:val="22"/>
              </w:rPr>
            </w:pPr>
            <w:r w:rsidRPr="002916D8">
              <w:rPr>
                <w:b w:val="0"/>
                <w:szCs w:val="22"/>
              </w:rPr>
              <w:t>0.5</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712" w:rsidRPr="002916D8" w:rsidRDefault="00C43712" w:rsidP="00C43712">
            <w:pPr>
              <w:spacing w:line="276" w:lineRule="auto"/>
              <w:jc w:val="center"/>
              <w:rPr>
                <w:b w:val="0"/>
                <w:szCs w:val="22"/>
              </w:rPr>
            </w:pPr>
            <w:r w:rsidRPr="002916D8">
              <w:rPr>
                <w:b w:val="0"/>
                <w:szCs w:val="22"/>
              </w:rPr>
              <w:t>-</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712" w:rsidRPr="002916D8" w:rsidRDefault="00C43712" w:rsidP="00C43712">
            <w:pPr>
              <w:spacing w:line="276" w:lineRule="auto"/>
              <w:jc w:val="center"/>
              <w:rPr>
                <w:b w:val="0"/>
                <w:szCs w:val="22"/>
              </w:rPr>
            </w:pPr>
            <w:r w:rsidRPr="002916D8">
              <w:rPr>
                <w:b w:val="0"/>
                <w:szCs w:val="22"/>
              </w:rPr>
              <w:t>0.5</w:t>
            </w:r>
          </w:p>
        </w:tc>
      </w:tr>
      <w:tr w:rsidR="00C43712" w:rsidRPr="00C43712" w:rsidTr="00C43712">
        <w:trPr>
          <w:trHeight w:val="310"/>
        </w:trPr>
        <w:tc>
          <w:tcPr>
            <w:tcW w:w="57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C43712" w:rsidRPr="002916D8" w:rsidRDefault="00C43712" w:rsidP="00C43712">
            <w:pPr>
              <w:spacing w:before="0" w:line="276" w:lineRule="auto"/>
              <w:ind w:firstLine="0"/>
              <w:contextualSpacing w:val="0"/>
              <w:jc w:val="center"/>
              <w:rPr>
                <w:b w:val="0"/>
                <w:szCs w:val="22"/>
                <w:lang w:val="hy-AM" w:eastAsia="en-US"/>
              </w:rPr>
            </w:pPr>
            <w:r w:rsidRPr="002916D8">
              <w:rPr>
                <w:b w:val="0"/>
                <w:szCs w:val="22"/>
                <w:lang w:val="hy-AM" w:eastAsia="en-US"/>
              </w:rPr>
              <w:t>Ընդամենը</w:t>
            </w:r>
          </w:p>
        </w:tc>
        <w:tc>
          <w:tcPr>
            <w:tcW w:w="168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C43712" w:rsidRPr="002916D8" w:rsidRDefault="00C43712" w:rsidP="00C43712">
            <w:pPr>
              <w:spacing w:line="276" w:lineRule="auto"/>
              <w:jc w:val="center"/>
              <w:rPr>
                <w:b w:val="0"/>
                <w:szCs w:val="22"/>
              </w:rPr>
            </w:pPr>
            <w:r w:rsidRPr="002916D8">
              <w:rPr>
                <w:b w:val="0"/>
                <w:szCs w:val="22"/>
              </w:rPr>
              <w:t>183.7</w:t>
            </w:r>
          </w:p>
        </w:tc>
        <w:tc>
          <w:tcPr>
            <w:tcW w:w="138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C43712" w:rsidRPr="002916D8" w:rsidRDefault="00C43712" w:rsidP="00C43712">
            <w:pPr>
              <w:spacing w:line="276" w:lineRule="auto"/>
              <w:jc w:val="center"/>
              <w:rPr>
                <w:b w:val="0"/>
                <w:szCs w:val="22"/>
              </w:rPr>
            </w:pPr>
            <w:r w:rsidRPr="002916D8">
              <w:rPr>
                <w:b w:val="0"/>
                <w:szCs w:val="22"/>
              </w:rPr>
              <w:t>344.0</w:t>
            </w:r>
          </w:p>
        </w:tc>
        <w:tc>
          <w:tcPr>
            <w:tcW w:w="134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C43712" w:rsidRPr="002916D8" w:rsidRDefault="00C43712" w:rsidP="00C43712">
            <w:pPr>
              <w:spacing w:line="276" w:lineRule="auto"/>
              <w:jc w:val="center"/>
              <w:rPr>
                <w:b w:val="0"/>
                <w:szCs w:val="22"/>
              </w:rPr>
            </w:pPr>
            <w:r w:rsidRPr="002916D8">
              <w:rPr>
                <w:b w:val="0"/>
                <w:szCs w:val="22"/>
              </w:rPr>
              <w:t>527.8</w:t>
            </w:r>
          </w:p>
        </w:tc>
      </w:tr>
    </w:tbl>
    <w:p w:rsidR="00C43712" w:rsidRPr="00C43712" w:rsidRDefault="00C43712" w:rsidP="00C43712">
      <w:pPr>
        <w:spacing w:before="0" w:after="120" w:line="276" w:lineRule="auto"/>
        <w:ind w:firstLine="0"/>
        <w:contextualSpacing w:val="0"/>
        <w:rPr>
          <w:rFonts w:eastAsia="Calibri"/>
          <w:b w:val="0"/>
          <w:bCs/>
          <w:szCs w:val="22"/>
          <w:lang w:val="hy-AM" w:eastAsia="en-US"/>
        </w:rPr>
      </w:pPr>
    </w:p>
    <w:p w:rsidR="00C43712" w:rsidRDefault="00C43712" w:rsidP="00C43712">
      <w:pPr>
        <w:shd w:val="clear" w:color="auto" w:fill="FFFFFF"/>
        <w:spacing w:before="0" w:after="200" w:line="276" w:lineRule="auto"/>
        <w:ind w:firstLine="720"/>
        <w:contextualSpacing w:val="0"/>
        <w:rPr>
          <w:rFonts w:eastAsia="Calibri"/>
          <w:b w:val="0"/>
          <w:szCs w:val="22"/>
          <w:lang w:val="hy-AM" w:eastAsia="en-US"/>
        </w:rPr>
      </w:pPr>
      <w:r w:rsidRPr="00C43712">
        <w:rPr>
          <w:rFonts w:eastAsia="Calibri"/>
          <w:b w:val="0"/>
          <w:szCs w:val="22"/>
          <w:lang w:val="hy-AM" w:eastAsia="en-US"/>
        </w:rPr>
        <w:t>Արտարժութային պետական պարտատոմսերի սպասարկման ծախսերը 2023 թվականին կկազմեն 90.8 մլն ԱՄՆ դոլար` շրջանառության մեջ գտնվող պարտատոմսերի գծով արժեկտրոնային վճարումների համար:</w:t>
      </w:r>
    </w:p>
    <w:p w:rsidR="0087134D" w:rsidRPr="007955BB" w:rsidRDefault="0087134D" w:rsidP="0087134D">
      <w:pPr>
        <w:keepNext/>
        <w:keepLines/>
        <w:spacing w:before="0" w:line="312" w:lineRule="auto"/>
        <w:ind w:firstLine="0"/>
        <w:jc w:val="left"/>
        <w:outlineLvl w:val="2"/>
        <w:rPr>
          <w:szCs w:val="22"/>
          <w:lang w:val="hy-AM" w:eastAsia="en-US"/>
        </w:rPr>
      </w:pPr>
      <w:bookmarkStart w:id="373" w:name="_Toc83972892"/>
      <w:bookmarkStart w:id="374" w:name="_Toc120805254"/>
      <w:bookmarkEnd w:id="367"/>
      <w:bookmarkEnd w:id="368"/>
      <w:bookmarkEnd w:id="369"/>
      <w:bookmarkEnd w:id="370"/>
      <w:bookmarkEnd w:id="371"/>
      <w:r w:rsidRPr="007955BB">
        <w:rPr>
          <w:szCs w:val="22"/>
          <w:lang w:val="hy-AM" w:eastAsia="en-US"/>
        </w:rPr>
        <w:t>2. ՊԵՏԱԿԱՆ ԲՅՈՒՋԵԻ ՎՐԱ ՄԱԿՐՈՏՆՏԵՍԱԿԱՆ ԿԱՆԽԱՏԵՍՎԱԾ ՑՈՒՑԱՆԻՇՆԵՐԻՑ ՇԵՂՄԱՆ ՌԻՍԿԵՐԻ ԱԶԴԵՑՈՒԹՅԱՆ ՔԱՆԱԿԱԿԱՆ ԳՆԱՀԱՏՈՒՄ</w:t>
      </w:r>
      <w:bookmarkEnd w:id="373"/>
      <w:bookmarkEnd w:id="374"/>
    </w:p>
    <w:p w:rsidR="0087134D" w:rsidRPr="007955BB" w:rsidRDefault="0087134D" w:rsidP="0087134D">
      <w:pPr>
        <w:spacing w:before="0" w:line="276" w:lineRule="auto"/>
        <w:ind w:firstLine="0"/>
        <w:contextualSpacing w:val="0"/>
        <w:rPr>
          <w:sz w:val="24"/>
          <w:lang w:val="es-ES"/>
        </w:rPr>
      </w:pPr>
      <w:bookmarkStart w:id="375" w:name="_Toc14687616"/>
      <w:bookmarkStart w:id="376" w:name="_Toc13837280"/>
    </w:p>
    <w:p w:rsidR="00FE673E" w:rsidRPr="007955BB" w:rsidRDefault="00FE673E" w:rsidP="00FE673E">
      <w:pPr>
        <w:spacing w:before="0" w:line="276" w:lineRule="auto"/>
        <w:ind w:firstLine="0"/>
        <w:contextualSpacing w:val="0"/>
        <w:rPr>
          <w:szCs w:val="22"/>
          <w:lang w:val="hy-AM"/>
        </w:rPr>
      </w:pPr>
      <w:bookmarkStart w:id="377" w:name="_Toc83663900"/>
      <w:bookmarkStart w:id="378" w:name="_Toc83972893"/>
      <w:bookmarkStart w:id="379" w:name="_Toc83650399"/>
      <w:bookmarkStart w:id="380" w:name="_Toc83972894"/>
      <w:bookmarkEnd w:id="375"/>
      <w:bookmarkEnd w:id="376"/>
      <w:r w:rsidRPr="007955BB">
        <w:rPr>
          <w:szCs w:val="22"/>
          <w:lang w:val="es-ES"/>
        </w:rPr>
        <w:t>2</w:t>
      </w:r>
      <w:r w:rsidRPr="007955BB">
        <w:rPr>
          <w:szCs w:val="22"/>
          <w:lang w:val="hy-AM"/>
        </w:rPr>
        <w:t>.1. 2023 թվականին պետական բյուջեի հարկային եկամուտների վրա մակրոտնտեսական ցուցանիշների կանխատեսվածից շեղման ռիսկերի ազդեցության քանակական գնահատումը</w:t>
      </w:r>
    </w:p>
    <w:p w:rsidR="00FE673E" w:rsidRPr="007955BB" w:rsidRDefault="00FE673E" w:rsidP="00FE673E">
      <w:pPr>
        <w:spacing w:after="120" w:line="276" w:lineRule="auto"/>
        <w:contextualSpacing w:val="0"/>
        <w:rPr>
          <w:rFonts w:cs="Sylfaen"/>
          <w:b w:val="0"/>
          <w:lang w:val="hy-AM"/>
        </w:rPr>
      </w:pPr>
      <w:r w:rsidRPr="007955BB">
        <w:rPr>
          <w:rFonts w:cs="Sylfaen"/>
          <w:b w:val="0"/>
          <w:lang w:val="hy-AM"/>
        </w:rPr>
        <w:t>Կարճաժամկետ հատվածում հարկային եկամուտների կանխատեսվող հոսքերի վրա մակրոտնտեսական բնույթի ռիսկերի ազդեցության քանակական գնահատումը հիմնվել է ստորև նկարագրված կանխատեսումների ռիսկի և ենթադրություններից շեղումների ռիսկի վրա:</w:t>
      </w:r>
    </w:p>
    <w:p w:rsidR="00FE673E" w:rsidRPr="007955BB" w:rsidRDefault="00FE673E" w:rsidP="00FE673E">
      <w:pPr>
        <w:spacing w:after="120" w:line="276" w:lineRule="auto"/>
        <w:contextualSpacing w:val="0"/>
        <w:rPr>
          <w:rFonts w:cs="Sylfaen"/>
          <w:lang w:val="hy-AM"/>
        </w:rPr>
      </w:pPr>
      <w:r w:rsidRPr="007955BB">
        <w:rPr>
          <w:rFonts w:cs="Sylfaen"/>
          <w:lang w:val="hy-AM"/>
        </w:rPr>
        <w:t>1. Կանխատեսումների ռիսկ</w:t>
      </w:r>
    </w:p>
    <w:p w:rsidR="00FE673E" w:rsidRPr="007955BB" w:rsidRDefault="00FE673E" w:rsidP="00FE673E">
      <w:pPr>
        <w:spacing w:before="0" w:line="276" w:lineRule="auto"/>
        <w:ind w:firstLine="562"/>
        <w:contextualSpacing w:val="0"/>
        <w:rPr>
          <w:rFonts w:eastAsia="Calibri" w:cs="Sylfaen"/>
          <w:b w:val="0"/>
          <w:lang w:val="hy-AM"/>
        </w:rPr>
      </w:pPr>
      <w:r w:rsidRPr="007955BB">
        <w:rPr>
          <w:rFonts w:eastAsia="Calibri" w:cs="Sylfaen"/>
          <w:b w:val="0"/>
          <w:lang w:val="hy-AM"/>
        </w:rPr>
        <w:t>Սովորաբար կանխատեսումներ իրականացնելիս ի հայտ են գալիս հանգամանքներ, որոնք կապված են լինում օգտագործվող կանխատեսման մոդելների տեղայնացումից և մասնավորեցումից, տնտեսության կառուցվածքային տեղաշարժերից</w:t>
      </w:r>
      <w:r w:rsidRPr="007955BB">
        <w:rPr>
          <w:rFonts w:eastAsia="Calibri" w:cs="Sylfaen"/>
          <w:b w:val="0"/>
          <w:vertAlign w:val="superscript"/>
          <w:lang w:val="hy-AM"/>
        </w:rPr>
        <w:footnoteReference w:id="20"/>
      </w:r>
      <w:r w:rsidRPr="007955BB">
        <w:rPr>
          <w:rFonts w:eastAsia="Calibri" w:cs="Sylfaen"/>
          <w:b w:val="0"/>
          <w:lang w:val="hy-AM"/>
        </w:rPr>
        <w:t>, նոր երևույթներից (որի վերաբերյալ նախկինում տեղեկատվությունը բացակայել է) և այլն: Այս ռիսկերն ընդունված է անվանել կանխա</w:t>
      </w:r>
      <w:r w:rsidRPr="007955BB">
        <w:rPr>
          <w:rFonts w:eastAsia="Calibri" w:cs="Sylfaen"/>
          <w:b w:val="0"/>
          <w:lang w:val="hy-AM"/>
        </w:rPr>
        <w:softHyphen/>
        <w:t>տես</w:t>
      </w:r>
      <w:r w:rsidRPr="007955BB">
        <w:rPr>
          <w:rFonts w:eastAsia="Calibri" w:cs="Sylfaen"/>
          <w:b w:val="0"/>
          <w:lang w:val="hy-AM"/>
        </w:rPr>
        <w:softHyphen/>
        <w:t xml:space="preserve">ման ռիսկեր: </w:t>
      </w:r>
    </w:p>
    <w:p w:rsidR="00FE673E" w:rsidRPr="007955BB" w:rsidRDefault="00FE673E" w:rsidP="00FE673E">
      <w:pPr>
        <w:spacing w:before="0" w:line="276" w:lineRule="auto"/>
        <w:ind w:firstLine="562"/>
        <w:contextualSpacing w:val="0"/>
        <w:rPr>
          <w:rFonts w:eastAsia="Calibri" w:cs="Sylfaen"/>
          <w:b w:val="0"/>
          <w:lang w:val="hy-AM"/>
        </w:rPr>
      </w:pPr>
      <w:r w:rsidRPr="007955BB">
        <w:rPr>
          <w:rFonts w:eastAsia="Calibri" w:cs="Sylfaen"/>
          <w:b w:val="0"/>
          <w:lang w:val="hy-AM"/>
        </w:rPr>
        <w:t>Հատկապես ներկա իրավիճակում՝ ռուս-ուկրաինական հակամարտությունը և Ռուսաստանի դեմ կիրառված աննախադեպ պատժամիջոցները աշխարհում ստեղծել են նոր իրականություն, որի  պայմաններում ինչպես աշխարհի և ՀՀ գործընկեր երկրների, այնպես էլ ՀՀ տնտեսական աճի կանխատեսումները իրենց մեջ կրում են մեծ անորոշություն: Այս պայմաններում, ինչպես աշխարհի և ՀՀ գործընկերների, այնպես էլ պետական բյուջեի շրջանակում ՀՀ տնտեսական աճի կանխատեսումների համար առկա են երկկողմանի ռիսկեր, սակայն դեպի ներքև ռիսկերը համեմատաբար մեծ են:</w:t>
      </w:r>
    </w:p>
    <w:p w:rsidR="00FE673E" w:rsidRPr="007955BB" w:rsidRDefault="00FE673E" w:rsidP="00FE673E">
      <w:pPr>
        <w:spacing w:before="0" w:line="276" w:lineRule="auto"/>
        <w:ind w:firstLine="562"/>
        <w:contextualSpacing w:val="0"/>
        <w:rPr>
          <w:rFonts w:eastAsia="Calibri" w:cs="Sylfaen"/>
          <w:b w:val="0"/>
          <w:lang w:val="hy-AM"/>
        </w:rPr>
      </w:pPr>
      <w:r w:rsidRPr="007955BB">
        <w:rPr>
          <w:rFonts w:eastAsia="Calibri" w:cs="Sylfaen"/>
          <w:b w:val="0"/>
          <w:lang w:val="hy-AM"/>
        </w:rPr>
        <w:t>Բյուջեի ծրագրի կատարման տեսանկյունից կարևորվում է ՀՆԱ-ի կանխատեսման ռիսկի գնահատումը, քանի որ բյուջեի ծրագրված սցենարի հարթ իրականացումը կախված է տնտեսությունում ստեղծված անվանական ՀՆԱ-ի մեծությունից: ՀՆԱ-ի գծով կանխատեսումների ռիսկը գնահատվել է հիմք ընդունելով սույն փաստաթղթի 1.5 «ՄԱԿՐՈՏՆՏԵՍԱԿԱՆ ԿԱՆԽԱՏԵՍՈՒՄՆԵՐԻ ՌԻՍԿԵՐԸ» բաժնում ներկայացված իրական ՀՆԱ-ի աճի կանխատեսման հավանականությունների բաշխումները՝ կիրառելով երկրորդ ամենահավանական միջակայքի ստորին կետի և կենտրոնական կանխատեսման միջև տարբերությունը: Այս մոտեցմամբ, որպես ռիսկ է դիտարկվել ՀՆԱ իրական աճի կանխատեսված մակարդակից 3.0 տոկոսային կետով ավելի ցածր մակարդակի ձևավորումը:</w:t>
      </w:r>
    </w:p>
    <w:p w:rsidR="00FE673E" w:rsidRDefault="00FE673E" w:rsidP="00FE673E">
      <w:pPr>
        <w:spacing w:before="0" w:line="276" w:lineRule="auto"/>
        <w:contextualSpacing w:val="0"/>
        <w:rPr>
          <w:rFonts w:cs="Sylfaen"/>
          <w:b w:val="0"/>
          <w:lang w:val="hy-AM"/>
        </w:rPr>
      </w:pPr>
      <w:r w:rsidRPr="007955BB">
        <w:rPr>
          <w:rFonts w:cs="Sylfaen"/>
          <w:b w:val="0"/>
          <w:lang w:val="hy-AM"/>
        </w:rPr>
        <w:t>Արդյունքում, ՀՆԱ նվազման ռիսկի ազդեցությունը հարկային եկամուտների վրա 2023 թվականի համար գնահատվում է 24.7 մլրդ ՀՀ դրամ ֆինանսական պահանջի ավելացման ուղղությամբ:</w:t>
      </w:r>
    </w:p>
    <w:p w:rsidR="00FE673E" w:rsidRDefault="00FE673E" w:rsidP="00FE673E">
      <w:pPr>
        <w:spacing w:before="0" w:line="276" w:lineRule="auto"/>
        <w:contextualSpacing w:val="0"/>
        <w:rPr>
          <w:rFonts w:cs="Sylfaen"/>
          <w:b w:val="0"/>
          <w:lang w:val="hy-AM"/>
        </w:rPr>
      </w:pPr>
    </w:p>
    <w:p w:rsidR="00FE673E" w:rsidRPr="007955BB" w:rsidRDefault="00FE673E" w:rsidP="00FE673E">
      <w:pPr>
        <w:spacing w:before="0" w:line="276" w:lineRule="auto"/>
        <w:contextualSpacing w:val="0"/>
        <w:rPr>
          <w:rFonts w:cs="Sylfaen"/>
          <w:b w:val="0"/>
          <w:lang w:val="hy-AM"/>
        </w:rPr>
      </w:pPr>
    </w:p>
    <w:p w:rsidR="00FE673E" w:rsidRPr="007955BB" w:rsidRDefault="00FE673E" w:rsidP="00FE673E">
      <w:pPr>
        <w:spacing w:before="0" w:line="276" w:lineRule="auto"/>
        <w:ind w:firstLine="562"/>
        <w:contextualSpacing w:val="0"/>
        <w:rPr>
          <w:rFonts w:cs="Sylfaen"/>
          <w:lang w:val="hy-AM"/>
        </w:rPr>
      </w:pPr>
      <w:r w:rsidRPr="007955BB">
        <w:rPr>
          <w:rFonts w:cs="Sylfaen"/>
          <w:lang w:val="hy-AM"/>
        </w:rPr>
        <w:t>2. Ենթադրություններից շեղումների ռիսկ</w:t>
      </w:r>
    </w:p>
    <w:p w:rsidR="00FE673E" w:rsidRPr="007955BB" w:rsidRDefault="00FE673E" w:rsidP="00FE673E">
      <w:pPr>
        <w:spacing w:before="0" w:line="276" w:lineRule="auto"/>
        <w:ind w:firstLine="562"/>
        <w:contextualSpacing w:val="0"/>
        <w:rPr>
          <w:rFonts w:cs="Sylfaen"/>
          <w:b w:val="0"/>
          <w:lang w:val="hy-AM"/>
        </w:rPr>
      </w:pPr>
      <w:r w:rsidRPr="007955BB">
        <w:rPr>
          <w:rFonts w:cs="Sylfaen"/>
          <w:b w:val="0"/>
          <w:lang w:val="hy-AM"/>
        </w:rPr>
        <w:t>ՄԺԾԾ հիմքում դրվող կանխատեսումները կառուցվում են որոշակի ենթադրու</w:t>
      </w:r>
      <w:r w:rsidRPr="007955BB">
        <w:rPr>
          <w:rFonts w:cs="Sylfaen"/>
          <w:b w:val="0"/>
          <w:lang w:val="hy-AM"/>
        </w:rPr>
        <w:softHyphen/>
        <w:t>թյու</w:t>
      </w:r>
      <w:r w:rsidRPr="007955BB">
        <w:rPr>
          <w:rFonts w:cs="Sylfaen"/>
          <w:b w:val="0"/>
          <w:lang w:val="hy-AM"/>
        </w:rPr>
        <w:softHyphen/>
        <w:t xml:space="preserve">նների հիման վրա, որոնք էլ իրենց հերթին կախված են արտաքին գործոններից (օրինակ, ներքին տնտեսության գնաճը` միջազգային շուկաների գների կանխատեսվող վարքագծից): Սակայն միշտ չէ, որ այդ ենթադրությունները կանխատեսվող հորիզոնում իրականություն են դառնում՝ կապված ՀՀ կառավարության և ՀՀ ԿԲ-ի կառավարման դաշտից դուրս ի հայտ եկող երևույթների հետ (օրինակ` նավթի համաշխարհային գների հնարավոր փոփոխությունները): </w:t>
      </w:r>
    </w:p>
    <w:p w:rsidR="00FE673E" w:rsidRPr="007955BB" w:rsidRDefault="00FE673E" w:rsidP="00FE673E">
      <w:pPr>
        <w:spacing w:before="0" w:line="276" w:lineRule="auto"/>
        <w:ind w:firstLine="562"/>
        <w:contextualSpacing w:val="0"/>
        <w:rPr>
          <w:rFonts w:cs="Sylfaen"/>
          <w:b w:val="0"/>
          <w:lang w:val="hy-AM"/>
        </w:rPr>
      </w:pPr>
      <w:r w:rsidRPr="007955BB">
        <w:rPr>
          <w:rFonts w:cs="Sylfaen"/>
          <w:b w:val="0"/>
          <w:lang w:val="hy-AM"/>
        </w:rPr>
        <w:t>Ենթադրություններից շեղումների ռիսկ է նաև ԵԱՏՄ անդամ պետությունների տնտեսական զարգացումները: Միաժամանակ, ՀՀ պետական բյուջեի հարկային եկամուտներում մաքսա</w:t>
      </w:r>
      <w:r w:rsidRPr="007955BB">
        <w:rPr>
          <w:rFonts w:cs="Sylfaen"/>
          <w:b w:val="0"/>
          <w:lang w:val="hy-AM"/>
        </w:rPr>
        <w:softHyphen/>
        <w:t>տուր</w:t>
      </w:r>
      <w:r w:rsidRPr="007955BB">
        <w:rPr>
          <w:rFonts w:cs="Sylfaen"/>
          <w:b w:val="0"/>
          <w:lang w:val="hy-AM"/>
        </w:rPr>
        <w:softHyphen/>
        <w:t>քերի մասնաբաժինը կարող է փոփոխվել նոր պետությունների ԵԱՏՄ-ին անդամակ</w:t>
      </w:r>
      <w:r w:rsidRPr="007955BB">
        <w:rPr>
          <w:rFonts w:cs="Sylfaen"/>
          <w:b w:val="0"/>
          <w:lang w:val="hy-AM"/>
        </w:rPr>
        <w:softHyphen/>
        <w:t xml:space="preserve">ցությունից: </w:t>
      </w:r>
    </w:p>
    <w:p w:rsidR="00FE673E" w:rsidRPr="007955BB" w:rsidRDefault="00FE673E" w:rsidP="00FE673E">
      <w:pPr>
        <w:spacing w:before="0" w:line="276" w:lineRule="auto"/>
        <w:ind w:firstLine="562"/>
        <w:contextualSpacing w:val="0"/>
        <w:rPr>
          <w:rFonts w:cs="Sylfaen"/>
          <w:lang w:val="hy-AM"/>
        </w:rPr>
      </w:pPr>
      <w:r w:rsidRPr="007955BB">
        <w:rPr>
          <w:rFonts w:cs="Sylfaen"/>
          <w:lang w:val="hy-AM"/>
        </w:rPr>
        <w:t>2.1. Գնաճի շեղման հնարավոր չափը</w:t>
      </w:r>
    </w:p>
    <w:p w:rsidR="00FE673E" w:rsidRPr="007955BB" w:rsidRDefault="00FE673E" w:rsidP="00FE673E">
      <w:pPr>
        <w:spacing w:before="0" w:line="276" w:lineRule="auto"/>
        <w:ind w:firstLine="562"/>
        <w:contextualSpacing w:val="0"/>
        <w:rPr>
          <w:rFonts w:cs="Sylfaen"/>
          <w:b w:val="0"/>
          <w:lang w:val="hy-AM"/>
        </w:rPr>
      </w:pPr>
      <w:r w:rsidRPr="007955BB">
        <w:rPr>
          <w:rFonts w:cs="Sylfaen"/>
          <w:b w:val="0"/>
          <w:lang w:val="hy-AM"/>
        </w:rPr>
        <w:t xml:space="preserve">Գնաճի ցուցանիշի շեղման հնարավոր չափ է դիտարկվում ՀՀ ԿԲ-ի կողմից դրամավարկային քաղաքականության ծրագրում (գնաճի հաշվետվություններում) ներկայացվող գնաճի կանխատեսման կենտրոնական արժեքից շեղման առավելագույն չափը: </w:t>
      </w:r>
    </w:p>
    <w:p w:rsidR="00FE673E" w:rsidRPr="007955BB" w:rsidRDefault="00FE673E" w:rsidP="00FE673E">
      <w:pPr>
        <w:spacing w:before="0" w:line="276" w:lineRule="auto"/>
        <w:ind w:firstLine="562"/>
        <w:contextualSpacing w:val="0"/>
        <w:rPr>
          <w:rFonts w:cs="Sylfaen"/>
          <w:b w:val="0"/>
          <w:lang w:val="hy-AM"/>
        </w:rPr>
      </w:pPr>
      <w:r w:rsidRPr="007955BB">
        <w:rPr>
          <w:rFonts w:cs="Sylfaen"/>
          <w:b w:val="0"/>
          <w:lang w:val="hy-AM"/>
        </w:rPr>
        <w:t xml:space="preserve">ՀՀ ԿԲ-ի կողմից կանխատեսվում է գնաճի աստիճանաբար նվազում, որի պայմաններում 12-ամսյա գնաճը 2023թ. դեկտեմբերին կկազմի 3.6%: Հաշվի առնելով այն, որ ՀՀ ԿԲ-ի գնաճի թիրախը կազմում է 4±1.5%՝ գնաճի կանխատեսվող արժեքից շեղման ռիսկի չափը ընդունվել է 2 տոկոսային կետ: </w:t>
      </w:r>
    </w:p>
    <w:p w:rsidR="00FE673E" w:rsidRPr="007955BB" w:rsidRDefault="00FE673E" w:rsidP="00FE673E">
      <w:pPr>
        <w:spacing w:before="0" w:line="276" w:lineRule="auto"/>
        <w:ind w:firstLine="562"/>
        <w:contextualSpacing w:val="0"/>
        <w:rPr>
          <w:rFonts w:cs="Sylfaen"/>
          <w:b w:val="0"/>
          <w:lang w:val="hy-AM"/>
        </w:rPr>
      </w:pPr>
      <w:r w:rsidRPr="007955BB">
        <w:rPr>
          <w:rFonts w:cs="Sylfaen"/>
          <w:b w:val="0"/>
          <w:lang w:val="hy-AM"/>
        </w:rPr>
        <w:t xml:space="preserve">Գնաճի շեղման ռիսկը կարող է ազդեցություն ունենալ ՀՀ պետական բյուջեի և՛ եկամտային, և՛ ծախսային կատարողականների վրա` անուղղակի հարկերի, ինչպես նաև ապրանքների և ծառայությունների գծով ծախսերի ուղղությամբ: Գնանկումային պայմաններում հարկերից մուտքերը կկրճատվեն և ընդհակառակը: </w:t>
      </w:r>
    </w:p>
    <w:p w:rsidR="00FE673E" w:rsidRPr="007955BB" w:rsidRDefault="00FE673E" w:rsidP="00FE673E">
      <w:pPr>
        <w:spacing w:before="0" w:line="276" w:lineRule="auto"/>
        <w:ind w:firstLine="562"/>
        <w:contextualSpacing w:val="0"/>
        <w:rPr>
          <w:rFonts w:cs="Sylfaen"/>
          <w:b w:val="0"/>
          <w:lang w:val="hy-AM"/>
        </w:rPr>
      </w:pPr>
      <w:r w:rsidRPr="007955BB">
        <w:rPr>
          <w:rFonts w:cs="Sylfaen"/>
          <w:b w:val="0"/>
          <w:lang w:val="hy-AM"/>
        </w:rPr>
        <w:t>Արդյունքում, 2023 թվականի համար դիտարկվել է գնաճային ռիսկի ազդեցությունը հարկային եկամուտների վրա և 2023 թվականի համար գնահատվում է 5.5 մլրդ ՀՀ դրամի լրացուցիչ հարկային եկամուտների մուտքեր:</w:t>
      </w:r>
    </w:p>
    <w:p w:rsidR="00FE673E" w:rsidRPr="007955BB" w:rsidRDefault="00FE673E" w:rsidP="00FE673E">
      <w:pPr>
        <w:spacing w:before="0" w:line="276" w:lineRule="auto"/>
        <w:ind w:firstLine="562"/>
        <w:contextualSpacing w:val="0"/>
        <w:rPr>
          <w:rFonts w:cs="Sylfaen"/>
          <w:lang w:val="hy-AM"/>
        </w:rPr>
      </w:pPr>
      <w:r w:rsidRPr="007955BB">
        <w:rPr>
          <w:rFonts w:cs="Sylfaen"/>
          <w:lang w:val="hy-AM"/>
        </w:rPr>
        <w:t>2.2. Փոխարժեքի շեղման հնարավոր չափը</w:t>
      </w:r>
    </w:p>
    <w:p w:rsidR="00FE673E" w:rsidRPr="007955BB" w:rsidRDefault="00FE673E" w:rsidP="00FE673E">
      <w:pPr>
        <w:spacing w:before="0" w:line="276" w:lineRule="auto"/>
        <w:ind w:firstLine="562"/>
        <w:contextualSpacing w:val="0"/>
        <w:rPr>
          <w:rFonts w:cs="Sylfaen"/>
          <w:b w:val="0"/>
          <w:lang w:val="hy-AM"/>
        </w:rPr>
      </w:pPr>
      <w:r w:rsidRPr="007955BB">
        <w:rPr>
          <w:rFonts w:cs="Sylfaen"/>
          <w:b w:val="0"/>
          <w:lang w:val="hy-AM"/>
        </w:rPr>
        <w:t>ՀՀ ԿԲ-ն և ՀՀ ՖՆ-ն փոխարժեքի կանխա</w:t>
      </w:r>
      <w:r w:rsidRPr="007955BB">
        <w:rPr>
          <w:rFonts w:cs="Sylfaen"/>
          <w:b w:val="0"/>
          <w:lang w:val="hy-AM"/>
        </w:rPr>
        <w:softHyphen/>
        <w:t>տեսումներ չեն իրականացնում և մակրոտնտեսական քաղաքականությունն իրականացվում է լողացող փոխարժեքի սկզբունքի հիման վրա, ընդ որում, յուրաքանչյուր տարվա պետական բյուջեի ցուցանիշների կանխատեսումների հիմքում դրվում է փոխարժեքի անփոփոխ (որոշակի պահի դրությամբ) մակարդակ: Սակայն փոխարժեքի տատա</w:t>
      </w:r>
      <w:r w:rsidRPr="007955BB">
        <w:rPr>
          <w:rFonts w:cs="Sylfaen"/>
          <w:b w:val="0"/>
          <w:lang w:val="hy-AM"/>
        </w:rPr>
        <w:softHyphen/>
        <w:t>նում</w:t>
      </w:r>
      <w:r w:rsidRPr="007955BB">
        <w:rPr>
          <w:rFonts w:cs="Sylfaen"/>
          <w:b w:val="0"/>
          <w:lang w:val="hy-AM"/>
        </w:rPr>
        <w:softHyphen/>
        <w:t>ները կազդեն ներմուծումից ՀՀ պետական բյուջե մուտքագրվող հարկային եկամուտների վրա:</w:t>
      </w:r>
    </w:p>
    <w:p w:rsidR="00FE673E" w:rsidRPr="007955BB" w:rsidRDefault="00FE673E" w:rsidP="00FE673E">
      <w:pPr>
        <w:spacing w:before="0" w:line="276" w:lineRule="auto"/>
        <w:ind w:firstLine="562"/>
        <w:contextualSpacing w:val="0"/>
        <w:rPr>
          <w:rFonts w:cs="Sylfaen"/>
          <w:b w:val="0"/>
          <w:lang w:val="hy-AM"/>
        </w:rPr>
      </w:pPr>
      <w:r w:rsidRPr="007955BB">
        <w:rPr>
          <w:rFonts w:cs="Sylfaen"/>
          <w:b w:val="0"/>
          <w:lang w:val="hy-AM"/>
        </w:rPr>
        <w:t>Հաշվի առնելով այն հանգամանքը, որ ներկայումս ռուս-ուկրաինական հակամարտության սրման հետևանքներով պայմանավորված դեպի ՀՀ արտարժույթի ներհոսիքի պատճառով ՀՀ դրամը էականորեն արևորվել է, առկա են ռիսկեր, որ արտարժույթիր ներհոսքի դադարման, կամ հակառակ պրոցեսի դեպքում, ՀՀ դրամը նորից կարժեզրկվի՝ վերականգնելով մինչև ռուս-ուկրաինական հակամարտության սկիզբը եղած մակարդակի հեմեմատ արժևորման չափի մոտ կեսը: Դա համապատասխանում է նաև ՀՀ դրամի փոխարժեքի պատմական տատանողականությանը՝ որը կազմում է շուրջ 5.8 տոկոս:</w:t>
      </w:r>
    </w:p>
    <w:p w:rsidR="00FE673E" w:rsidRPr="007955BB" w:rsidRDefault="00FE673E" w:rsidP="00FE673E">
      <w:pPr>
        <w:spacing w:before="0" w:line="276" w:lineRule="auto"/>
        <w:ind w:firstLine="562"/>
        <w:contextualSpacing w:val="0"/>
        <w:rPr>
          <w:rFonts w:cs="Sylfaen"/>
          <w:b w:val="0"/>
          <w:lang w:val="hy-AM"/>
        </w:rPr>
      </w:pPr>
      <w:r w:rsidRPr="007955BB">
        <w:rPr>
          <w:rFonts w:cs="Sylfaen"/>
          <w:b w:val="0"/>
          <w:lang w:val="hy-AM"/>
        </w:rPr>
        <w:t>Արդյունքում, փոխարժեքի 5.8 տոկոսով արժեզրկման ռիսկի դրսևորման դեպքում, այլ հավասար պայմաններում, 2023 թվականին կարելի է ապահովել հարկային եկամուտների 20.7 մլրդ ՀՀ դրամ լրացուցիչ մուտք:</w:t>
      </w:r>
    </w:p>
    <w:p w:rsidR="00FE673E" w:rsidRPr="007955BB" w:rsidRDefault="00FE673E" w:rsidP="00FE673E">
      <w:pPr>
        <w:spacing w:before="0" w:line="276" w:lineRule="auto"/>
        <w:ind w:firstLine="562"/>
        <w:contextualSpacing w:val="0"/>
        <w:rPr>
          <w:rFonts w:cs="Sylfaen"/>
          <w:lang w:val="hy-AM"/>
        </w:rPr>
      </w:pPr>
      <w:r w:rsidRPr="007955BB">
        <w:rPr>
          <w:rFonts w:cs="Sylfaen"/>
          <w:lang w:val="hy-AM"/>
        </w:rPr>
        <w:t>2.3. Ներմուծման գծով ռիսկի հնարավոր չափը</w:t>
      </w:r>
    </w:p>
    <w:p w:rsidR="00FE673E" w:rsidRPr="007955BB" w:rsidRDefault="00FE673E" w:rsidP="00FE673E">
      <w:pPr>
        <w:spacing w:before="0" w:line="276" w:lineRule="auto"/>
        <w:ind w:firstLine="562"/>
        <w:contextualSpacing w:val="0"/>
        <w:rPr>
          <w:rFonts w:cs="Sylfaen"/>
          <w:b w:val="0"/>
          <w:lang w:val="hy-AM"/>
        </w:rPr>
      </w:pPr>
      <w:r w:rsidRPr="007955BB">
        <w:rPr>
          <w:rFonts w:cs="Sylfaen"/>
          <w:b w:val="0"/>
          <w:lang w:val="hy-AM"/>
        </w:rPr>
        <w:t>Քանի որ մաքսային սահմանին ներմուծումից գանձվող անուղղակի հարկերը էական կշիռ ունեն պետական բյուջեի ընդհանուր հարկային եկամուտներում, անհրաժեշտ է գնահատել նաև ներմուծման հնարավոր նվազման պարագայում հարկային եկամուտների նվազման ռիսկի չափը: Հետճգնաժամային տարիներին պետական բյուջեում ներմուծման գծով կանխատեսումների շեղման միջին բացարձակ չափը սահմանվում է 10.2%-ի միջակայքում, ինչն էլ հաշվի է առնվել այս գործոնի ազդեցությունը գնահատելու համար: 2023 թվականի համար ծրագրվածից 10.2% պակաս ներմուծման ռիսկի դրսևորման պայմաններում հարկային եկամուտների վրա ազդեցությունը գնահատվում է 21.3 մլրդ ՀՀ դրամ` ֆինանսական պահանջի ավելացման ուղղությամբ:</w:t>
      </w:r>
    </w:p>
    <w:p w:rsidR="00FE673E" w:rsidRPr="007955BB" w:rsidRDefault="00FE673E" w:rsidP="00FE673E">
      <w:pPr>
        <w:spacing w:before="0" w:line="276" w:lineRule="auto"/>
        <w:ind w:firstLine="562"/>
        <w:contextualSpacing w:val="0"/>
        <w:rPr>
          <w:rFonts w:cs="Sylfaen"/>
          <w:b w:val="0"/>
          <w:lang w:val="hy-AM"/>
        </w:rPr>
      </w:pPr>
      <w:r w:rsidRPr="007955BB">
        <w:rPr>
          <w:rFonts w:cs="Sylfaen"/>
          <w:b w:val="0"/>
          <w:lang w:val="hy-AM"/>
        </w:rPr>
        <w:t>Ամփոփելով վերը նկարագրված կանխատեսումների ռիսկի և ենթադրություններից շեղումների ռիսկի գնահատականները, միջնաժամկետ հորիզոնում ՀՀ պետական բյուջեի հարկային եկամուտների վրա մակրոտնտեսական ցուցանիշների` իրական ՀՆԱ-ի աճի, գնաճի, փոխարժեքի տատանողականության և ներմուծման ռիսկերի ազդեցության քանակական ամփոփ գնահատականները ներկայացվում են ստորև.</w:t>
      </w:r>
    </w:p>
    <w:p w:rsidR="00FE673E" w:rsidRPr="007955BB" w:rsidRDefault="00FE673E" w:rsidP="00F77CAF">
      <w:pPr>
        <w:pStyle w:val="Caption"/>
        <w:rPr>
          <w:b/>
          <w:lang w:val="hy-AM"/>
        </w:rPr>
      </w:pPr>
      <w:bookmarkStart w:id="381" w:name="_Toc83928954"/>
      <w:bookmarkStart w:id="382" w:name="_Toc120805275"/>
      <w:r w:rsidRPr="007955BB">
        <w:rPr>
          <w:lang w:val="hy-AM"/>
        </w:rPr>
        <w:t xml:space="preserve">Աղյուսակ </w:t>
      </w:r>
      <w:r w:rsidRPr="007955BB">
        <w:fldChar w:fldCharType="begin"/>
      </w:r>
      <w:r w:rsidRPr="007955BB">
        <w:rPr>
          <w:lang w:val="hy-AM"/>
        </w:rPr>
        <w:instrText xml:space="preserve"> SEQ Աղյուսակ \* ARABIC </w:instrText>
      </w:r>
      <w:r w:rsidRPr="007955BB">
        <w:fldChar w:fldCharType="separate"/>
      </w:r>
      <w:r w:rsidR="00F77CAF">
        <w:rPr>
          <w:noProof/>
          <w:lang w:val="hy-AM"/>
        </w:rPr>
        <w:t>16</w:t>
      </w:r>
      <w:r w:rsidRPr="007955BB">
        <w:fldChar w:fldCharType="end"/>
      </w:r>
      <w:r w:rsidRPr="007955BB">
        <w:rPr>
          <w:noProof/>
          <w:lang w:val="hy-AM"/>
        </w:rPr>
        <w:t>.</w:t>
      </w:r>
      <w:r w:rsidRPr="007955BB">
        <w:rPr>
          <w:lang w:val="hy-AM"/>
        </w:rPr>
        <w:t xml:space="preserve"> </w:t>
      </w:r>
      <w:r w:rsidRPr="007955BB">
        <w:rPr>
          <w:sz w:val="20"/>
          <w:szCs w:val="20"/>
          <w:lang w:val="hy-AM"/>
        </w:rPr>
        <w:t>Հարկային եկամուտների վրա մակրոտնտեսական կանխատեսումների և ենթադրությունների ռիսկերի ազդեցություն</w:t>
      </w:r>
      <w:r w:rsidRPr="007955BB">
        <w:rPr>
          <w:sz w:val="20"/>
          <w:szCs w:val="20"/>
          <w:vertAlign w:val="superscript"/>
        </w:rPr>
        <w:footnoteReference w:id="21"/>
      </w:r>
      <w:bookmarkEnd w:id="381"/>
      <w:bookmarkEnd w:id="382"/>
    </w:p>
    <w:tbl>
      <w:tblPr>
        <w:tblW w:w="9630" w:type="dxa"/>
        <w:tblInd w:w="85" w:type="dxa"/>
        <w:tblLook w:val="04A0" w:firstRow="1" w:lastRow="0" w:firstColumn="1" w:lastColumn="0" w:noHBand="0" w:noVBand="1"/>
      </w:tblPr>
      <w:tblGrid>
        <w:gridCol w:w="5760"/>
        <w:gridCol w:w="3870"/>
      </w:tblGrid>
      <w:tr w:rsidR="00FE673E" w:rsidRPr="00C43BF7" w:rsidTr="00B70D89">
        <w:trPr>
          <w:trHeight w:val="675"/>
        </w:trPr>
        <w:tc>
          <w:tcPr>
            <w:tcW w:w="5760" w:type="dxa"/>
            <w:vMerge w:val="restart"/>
            <w:tcBorders>
              <w:top w:val="single" w:sz="4" w:space="0" w:color="4F81BD"/>
              <w:left w:val="single" w:sz="4" w:space="0" w:color="4F81BD"/>
              <w:bottom w:val="single" w:sz="4" w:space="0" w:color="4F81BD"/>
              <w:right w:val="single" w:sz="4" w:space="0" w:color="4F81BD"/>
            </w:tcBorders>
            <w:shd w:val="clear" w:color="000000" w:fill="95B3D7"/>
            <w:vAlign w:val="center"/>
            <w:hideMark/>
          </w:tcPr>
          <w:p w:rsidR="00FE673E" w:rsidRPr="007955BB" w:rsidRDefault="00FE673E" w:rsidP="00B70D89">
            <w:pPr>
              <w:spacing w:after="120" w:line="240" w:lineRule="auto"/>
              <w:ind w:firstLine="0"/>
              <w:contextualSpacing w:val="0"/>
              <w:jc w:val="center"/>
              <w:rPr>
                <w:rFonts w:cs="Calibri"/>
                <w:bCs/>
                <w:color w:val="FFFFFF"/>
                <w:szCs w:val="22"/>
                <w:lang w:val="en-US" w:eastAsia="en-US"/>
              </w:rPr>
            </w:pPr>
            <w:r w:rsidRPr="007955BB">
              <w:rPr>
                <w:rFonts w:cs="Calibri"/>
                <w:bCs/>
                <w:color w:val="FFFFFF"/>
                <w:szCs w:val="22"/>
                <w:lang w:val="en-US" w:eastAsia="en-US"/>
              </w:rPr>
              <w:t>Ռիսկի տեսակը</w:t>
            </w:r>
          </w:p>
        </w:tc>
        <w:tc>
          <w:tcPr>
            <w:tcW w:w="3870" w:type="dxa"/>
            <w:vMerge w:val="restart"/>
            <w:tcBorders>
              <w:top w:val="single" w:sz="4" w:space="0" w:color="4F81BD"/>
              <w:left w:val="single" w:sz="4" w:space="0" w:color="4F81BD"/>
              <w:bottom w:val="single" w:sz="4" w:space="0" w:color="4F81BD"/>
              <w:right w:val="single" w:sz="4" w:space="0" w:color="4F81BD"/>
            </w:tcBorders>
            <w:shd w:val="clear" w:color="000000" w:fill="95B3D7"/>
            <w:vAlign w:val="center"/>
            <w:hideMark/>
          </w:tcPr>
          <w:p w:rsidR="00FE673E" w:rsidRPr="007955BB" w:rsidRDefault="00FE673E" w:rsidP="00B70D89">
            <w:pPr>
              <w:spacing w:after="120" w:line="240" w:lineRule="auto"/>
              <w:ind w:firstLine="0"/>
              <w:contextualSpacing w:val="0"/>
              <w:jc w:val="center"/>
              <w:rPr>
                <w:rFonts w:cs="Calibri"/>
                <w:bCs/>
                <w:color w:val="FFFFFF"/>
                <w:szCs w:val="22"/>
                <w:lang w:val="en-US" w:eastAsia="en-US"/>
              </w:rPr>
            </w:pPr>
            <w:r w:rsidRPr="007955BB">
              <w:rPr>
                <w:rFonts w:cs="Calibri"/>
                <w:bCs/>
                <w:color w:val="FFFFFF"/>
                <w:szCs w:val="22"/>
                <w:lang w:val="en-US" w:eastAsia="en-US"/>
              </w:rPr>
              <w:t>Ազդեցության գնահատականը, մլրդ ՀՀ դրամ</w:t>
            </w:r>
          </w:p>
        </w:tc>
      </w:tr>
      <w:tr w:rsidR="00FE673E" w:rsidRPr="00C43BF7" w:rsidTr="00B70D89">
        <w:trPr>
          <w:trHeight w:val="539"/>
        </w:trPr>
        <w:tc>
          <w:tcPr>
            <w:tcW w:w="5760" w:type="dxa"/>
            <w:vMerge/>
            <w:tcBorders>
              <w:top w:val="single" w:sz="4" w:space="0" w:color="4F81BD"/>
              <w:left w:val="single" w:sz="4" w:space="0" w:color="4F81BD"/>
              <w:bottom w:val="single" w:sz="4" w:space="0" w:color="4F81BD"/>
              <w:right w:val="single" w:sz="4" w:space="0" w:color="4F81BD"/>
            </w:tcBorders>
            <w:vAlign w:val="center"/>
            <w:hideMark/>
          </w:tcPr>
          <w:p w:rsidR="00FE673E" w:rsidRPr="007955BB" w:rsidRDefault="00FE673E" w:rsidP="00B70D89">
            <w:pPr>
              <w:spacing w:after="120" w:line="240" w:lineRule="auto"/>
              <w:ind w:firstLine="0"/>
              <w:contextualSpacing w:val="0"/>
              <w:jc w:val="left"/>
              <w:rPr>
                <w:rFonts w:cs="Calibri"/>
                <w:bCs/>
                <w:color w:val="FFFFFF"/>
                <w:szCs w:val="22"/>
                <w:lang w:val="en-US" w:eastAsia="en-US"/>
              </w:rPr>
            </w:pPr>
          </w:p>
        </w:tc>
        <w:tc>
          <w:tcPr>
            <w:tcW w:w="3870" w:type="dxa"/>
            <w:vMerge/>
            <w:tcBorders>
              <w:top w:val="single" w:sz="4" w:space="0" w:color="4F81BD"/>
              <w:left w:val="single" w:sz="4" w:space="0" w:color="4F81BD"/>
              <w:bottom w:val="single" w:sz="4" w:space="0" w:color="4F81BD"/>
              <w:right w:val="single" w:sz="4" w:space="0" w:color="4F81BD"/>
            </w:tcBorders>
            <w:vAlign w:val="center"/>
            <w:hideMark/>
          </w:tcPr>
          <w:p w:rsidR="00FE673E" w:rsidRPr="007955BB" w:rsidRDefault="00FE673E" w:rsidP="00B70D89">
            <w:pPr>
              <w:spacing w:after="120" w:line="240" w:lineRule="auto"/>
              <w:ind w:firstLine="0"/>
              <w:contextualSpacing w:val="0"/>
              <w:jc w:val="left"/>
              <w:rPr>
                <w:rFonts w:cs="Calibri"/>
                <w:bCs/>
                <w:color w:val="FFFFFF"/>
                <w:szCs w:val="22"/>
                <w:lang w:val="en-US" w:eastAsia="en-US"/>
              </w:rPr>
            </w:pPr>
          </w:p>
        </w:tc>
      </w:tr>
      <w:tr w:rsidR="00FE673E" w:rsidRPr="007955BB" w:rsidTr="00B70D89">
        <w:trPr>
          <w:trHeight w:val="152"/>
        </w:trPr>
        <w:tc>
          <w:tcPr>
            <w:tcW w:w="5760" w:type="dxa"/>
            <w:tcBorders>
              <w:top w:val="nil"/>
              <w:left w:val="single" w:sz="4" w:space="0" w:color="4F81BD"/>
              <w:bottom w:val="single" w:sz="4" w:space="0" w:color="4F81BD"/>
              <w:right w:val="single" w:sz="4" w:space="0" w:color="4F81BD"/>
            </w:tcBorders>
            <w:shd w:val="clear" w:color="000000" w:fill="95B3D7"/>
            <w:vAlign w:val="center"/>
            <w:hideMark/>
          </w:tcPr>
          <w:p w:rsidR="00FE673E" w:rsidRPr="007955BB" w:rsidRDefault="00FE673E" w:rsidP="00B70D89">
            <w:pPr>
              <w:spacing w:after="120" w:line="240" w:lineRule="auto"/>
              <w:ind w:firstLine="0"/>
              <w:contextualSpacing w:val="0"/>
              <w:jc w:val="center"/>
              <w:rPr>
                <w:rFonts w:ascii="Calibri" w:hAnsi="Calibri" w:cs="Calibri"/>
                <w:bCs/>
                <w:color w:val="FFFFFF"/>
                <w:szCs w:val="22"/>
                <w:lang w:val="en-US" w:eastAsia="en-US"/>
              </w:rPr>
            </w:pPr>
            <w:r w:rsidRPr="007955BB">
              <w:rPr>
                <w:rFonts w:ascii="Calibri" w:hAnsi="Calibri" w:cs="Calibri"/>
                <w:bCs/>
                <w:color w:val="FFFFFF"/>
                <w:szCs w:val="22"/>
                <w:lang w:val="en-US" w:eastAsia="en-US"/>
              </w:rPr>
              <w:t> </w:t>
            </w:r>
          </w:p>
        </w:tc>
        <w:tc>
          <w:tcPr>
            <w:tcW w:w="3870" w:type="dxa"/>
            <w:tcBorders>
              <w:top w:val="nil"/>
              <w:left w:val="nil"/>
              <w:bottom w:val="single" w:sz="4" w:space="0" w:color="4F81BD"/>
              <w:right w:val="nil"/>
            </w:tcBorders>
            <w:shd w:val="clear" w:color="000000" w:fill="95B3D7"/>
            <w:vAlign w:val="center"/>
            <w:hideMark/>
          </w:tcPr>
          <w:p w:rsidR="00FE673E" w:rsidRPr="007955BB" w:rsidRDefault="00FE673E" w:rsidP="00B70D89">
            <w:pPr>
              <w:spacing w:after="120" w:line="240" w:lineRule="auto"/>
              <w:ind w:firstLine="0"/>
              <w:contextualSpacing w:val="0"/>
              <w:jc w:val="center"/>
              <w:rPr>
                <w:rFonts w:cs="Calibri"/>
                <w:bCs/>
                <w:color w:val="FFFFFF"/>
                <w:szCs w:val="22"/>
                <w:lang w:val="en-US" w:eastAsia="en-US"/>
              </w:rPr>
            </w:pPr>
            <w:r w:rsidRPr="007955BB">
              <w:rPr>
                <w:rFonts w:cs="Calibri"/>
                <w:bCs/>
                <w:color w:val="FFFFFF"/>
                <w:szCs w:val="22"/>
                <w:lang w:val="en-US" w:eastAsia="en-US"/>
              </w:rPr>
              <w:t>2023</w:t>
            </w:r>
          </w:p>
        </w:tc>
      </w:tr>
      <w:tr w:rsidR="00FE673E" w:rsidRPr="007955BB" w:rsidTr="00B70D89">
        <w:trPr>
          <w:trHeight w:val="330"/>
        </w:trPr>
        <w:tc>
          <w:tcPr>
            <w:tcW w:w="5760" w:type="dxa"/>
            <w:tcBorders>
              <w:top w:val="nil"/>
              <w:left w:val="single" w:sz="4" w:space="0" w:color="4F81BD"/>
              <w:bottom w:val="single" w:sz="4" w:space="0" w:color="4F81BD"/>
              <w:right w:val="single" w:sz="4" w:space="0" w:color="auto"/>
            </w:tcBorders>
            <w:shd w:val="clear" w:color="auto" w:fill="auto"/>
            <w:vAlign w:val="center"/>
            <w:hideMark/>
          </w:tcPr>
          <w:p w:rsidR="00FE673E" w:rsidRPr="007955BB" w:rsidRDefault="00FE673E" w:rsidP="00B70D89">
            <w:pPr>
              <w:spacing w:after="120" w:line="240" w:lineRule="auto"/>
              <w:ind w:firstLine="0"/>
              <w:contextualSpacing w:val="0"/>
              <w:jc w:val="left"/>
              <w:rPr>
                <w:rFonts w:cs="Calibri"/>
                <w:bCs/>
                <w:color w:val="000000"/>
                <w:szCs w:val="22"/>
                <w:lang w:eastAsia="en-US"/>
              </w:rPr>
            </w:pPr>
            <w:r w:rsidRPr="007955BB">
              <w:rPr>
                <w:rFonts w:cs="Calibri"/>
                <w:bCs/>
                <w:color w:val="000000"/>
                <w:szCs w:val="22"/>
                <w:lang w:val="en-US" w:eastAsia="en-US"/>
              </w:rPr>
              <w:t>Ռիսկերի</w:t>
            </w:r>
            <w:r w:rsidRPr="007955BB">
              <w:rPr>
                <w:rFonts w:cs="Calibri"/>
                <w:bCs/>
                <w:color w:val="000000"/>
                <w:szCs w:val="22"/>
                <w:lang w:eastAsia="en-US"/>
              </w:rPr>
              <w:t xml:space="preserve"> </w:t>
            </w:r>
            <w:r w:rsidRPr="007955BB">
              <w:rPr>
                <w:rFonts w:cs="Calibri"/>
                <w:bCs/>
                <w:color w:val="000000"/>
                <w:szCs w:val="22"/>
                <w:lang w:val="en-US" w:eastAsia="en-US"/>
              </w:rPr>
              <w:t>առանձին</w:t>
            </w:r>
            <w:r w:rsidRPr="007955BB">
              <w:rPr>
                <w:rFonts w:cs="Calibri"/>
                <w:bCs/>
                <w:color w:val="000000"/>
                <w:szCs w:val="22"/>
                <w:lang w:eastAsia="en-US"/>
              </w:rPr>
              <w:t xml:space="preserve"> </w:t>
            </w:r>
            <w:r w:rsidRPr="007955BB">
              <w:rPr>
                <w:rFonts w:cs="Calibri"/>
                <w:bCs/>
                <w:color w:val="000000"/>
                <w:szCs w:val="22"/>
                <w:lang w:val="en-US" w:eastAsia="en-US"/>
              </w:rPr>
              <w:t>հանդես</w:t>
            </w:r>
            <w:r w:rsidRPr="007955BB">
              <w:rPr>
                <w:rFonts w:cs="Calibri"/>
                <w:bCs/>
                <w:color w:val="000000"/>
                <w:szCs w:val="22"/>
                <w:lang w:eastAsia="en-US"/>
              </w:rPr>
              <w:t xml:space="preserve"> </w:t>
            </w:r>
            <w:r w:rsidRPr="007955BB">
              <w:rPr>
                <w:rFonts w:cs="Calibri"/>
                <w:bCs/>
                <w:color w:val="000000"/>
                <w:szCs w:val="22"/>
                <w:lang w:val="en-US" w:eastAsia="en-US"/>
              </w:rPr>
              <w:t>գալու</w:t>
            </w:r>
            <w:r w:rsidRPr="007955BB">
              <w:rPr>
                <w:rFonts w:cs="Calibri"/>
                <w:bCs/>
                <w:color w:val="000000"/>
                <w:szCs w:val="22"/>
                <w:lang w:eastAsia="en-US"/>
              </w:rPr>
              <w:t xml:space="preserve"> </w:t>
            </w:r>
            <w:r w:rsidRPr="007955BB">
              <w:rPr>
                <w:rFonts w:cs="Calibri"/>
                <w:bCs/>
                <w:color w:val="000000"/>
                <w:szCs w:val="22"/>
                <w:lang w:val="en-US" w:eastAsia="en-US"/>
              </w:rPr>
              <w:t>պայմաններում</w:t>
            </w:r>
          </w:p>
        </w:tc>
        <w:tc>
          <w:tcPr>
            <w:tcW w:w="3870" w:type="dxa"/>
            <w:tcBorders>
              <w:top w:val="nil"/>
              <w:left w:val="nil"/>
              <w:bottom w:val="single" w:sz="4" w:space="0" w:color="4F81BD"/>
              <w:right w:val="single" w:sz="4" w:space="0" w:color="auto"/>
            </w:tcBorders>
            <w:shd w:val="clear" w:color="auto" w:fill="auto"/>
            <w:vAlign w:val="center"/>
            <w:hideMark/>
          </w:tcPr>
          <w:p w:rsidR="00FE673E" w:rsidRPr="007955BB" w:rsidRDefault="00FE673E" w:rsidP="00B70D89">
            <w:pPr>
              <w:spacing w:after="120" w:line="240" w:lineRule="auto"/>
              <w:ind w:firstLine="0"/>
              <w:contextualSpacing w:val="0"/>
              <w:jc w:val="left"/>
              <w:rPr>
                <w:rFonts w:cs="Calibri"/>
                <w:bCs/>
                <w:color w:val="000000"/>
                <w:szCs w:val="22"/>
                <w:lang w:eastAsia="en-US"/>
              </w:rPr>
            </w:pPr>
            <w:r w:rsidRPr="007955BB">
              <w:rPr>
                <w:rFonts w:ascii="Calibri" w:hAnsi="Calibri" w:cs="Calibri"/>
                <w:bCs/>
                <w:color w:val="000000"/>
                <w:szCs w:val="22"/>
                <w:lang w:val="en-US" w:eastAsia="en-US"/>
              </w:rPr>
              <w:t> </w:t>
            </w:r>
          </w:p>
        </w:tc>
      </w:tr>
      <w:tr w:rsidR="00FE673E" w:rsidRPr="007955BB" w:rsidTr="00B70D89">
        <w:trPr>
          <w:trHeight w:val="701"/>
        </w:trPr>
        <w:tc>
          <w:tcPr>
            <w:tcW w:w="5760" w:type="dxa"/>
            <w:tcBorders>
              <w:top w:val="nil"/>
              <w:left w:val="single" w:sz="4" w:space="0" w:color="4F81BD"/>
              <w:bottom w:val="single" w:sz="4" w:space="0" w:color="4F81BD"/>
              <w:right w:val="single" w:sz="4" w:space="0" w:color="4F81BD"/>
            </w:tcBorders>
            <w:shd w:val="clear" w:color="auto" w:fill="auto"/>
            <w:vAlign w:val="center"/>
            <w:hideMark/>
          </w:tcPr>
          <w:p w:rsidR="00FE673E" w:rsidRPr="007955BB" w:rsidRDefault="00FE673E" w:rsidP="00B70D89">
            <w:pPr>
              <w:spacing w:after="120" w:line="240" w:lineRule="auto"/>
              <w:ind w:firstLine="0"/>
              <w:contextualSpacing w:val="0"/>
              <w:jc w:val="left"/>
              <w:rPr>
                <w:rFonts w:cs="Calibri"/>
                <w:b w:val="0"/>
                <w:color w:val="000000"/>
                <w:szCs w:val="22"/>
                <w:lang w:eastAsia="en-US"/>
              </w:rPr>
            </w:pPr>
            <w:r w:rsidRPr="007955BB">
              <w:rPr>
                <w:rFonts w:cs="Calibri"/>
                <w:b w:val="0"/>
                <w:color w:val="000000"/>
                <w:szCs w:val="22"/>
                <w:lang w:eastAsia="en-US"/>
              </w:rPr>
              <w:t xml:space="preserve">1. </w:t>
            </w:r>
            <w:r w:rsidRPr="007955BB">
              <w:rPr>
                <w:rFonts w:cs="Calibri"/>
                <w:b w:val="0"/>
                <w:color w:val="000000"/>
                <w:szCs w:val="22"/>
                <w:lang w:val="en-US" w:eastAsia="en-US"/>
              </w:rPr>
              <w:t>Կանխատեսվածից</w:t>
            </w:r>
            <w:r w:rsidRPr="007955BB">
              <w:rPr>
                <w:rFonts w:cs="Calibri"/>
                <w:b w:val="0"/>
                <w:color w:val="000000"/>
                <w:szCs w:val="22"/>
                <w:lang w:eastAsia="en-US"/>
              </w:rPr>
              <w:t xml:space="preserve"> 3.0 </w:t>
            </w:r>
            <w:r w:rsidRPr="007955BB">
              <w:rPr>
                <w:rFonts w:cs="Calibri"/>
                <w:b w:val="0"/>
                <w:color w:val="000000"/>
                <w:szCs w:val="22"/>
                <w:lang w:val="en-US" w:eastAsia="en-US"/>
              </w:rPr>
              <w:t>տոկոսային</w:t>
            </w:r>
            <w:r w:rsidRPr="007955BB">
              <w:rPr>
                <w:rFonts w:cs="Calibri"/>
                <w:b w:val="0"/>
                <w:color w:val="000000"/>
                <w:szCs w:val="22"/>
                <w:lang w:eastAsia="en-US"/>
              </w:rPr>
              <w:t xml:space="preserve"> </w:t>
            </w:r>
            <w:r w:rsidRPr="007955BB">
              <w:rPr>
                <w:rFonts w:cs="Calibri"/>
                <w:b w:val="0"/>
                <w:color w:val="000000"/>
                <w:szCs w:val="22"/>
                <w:lang w:val="en-US" w:eastAsia="en-US"/>
              </w:rPr>
              <w:t>կետով</w:t>
            </w:r>
            <w:r w:rsidRPr="007955BB">
              <w:rPr>
                <w:rFonts w:cs="Calibri"/>
                <w:b w:val="0"/>
                <w:color w:val="000000"/>
                <w:szCs w:val="22"/>
                <w:lang w:eastAsia="en-US"/>
              </w:rPr>
              <w:t xml:space="preserve"> </w:t>
            </w:r>
            <w:r w:rsidRPr="007955BB">
              <w:rPr>
                <w:rFonts w:cs="Calibri"/>
                <w:b w:val="0"/>
                <w:color w:val="000000"/>
                <w:szCs w:val="22"/>
                <w:lang w:val="en-US" w:eastAsia="en-US"/>
              </w:rPr>
              <w:t>ավելի</w:t>
            </w:r>
            <w:r w:rsidRPr="007955BB">
              <w:rPr>
                <w:rFonts w:cs="Calibri"/>
                <w:b w:val="0"/>
                <w:color w:val="000000"/>
                <w:szCs w:val="22"/>
                <w:lang w:eastAsia="en-US"/>
              </w:rPr>
              <w:t xml:space="preserve"> </w:t>
            </w:r>
            <w:r w:rsidRPr="007955BB">
              <w:rPr>
                <w:rFonts w:cs="Calibri"/>
                <w:b w:val="0"/>
                <w:color w:val="000000"/>
                <w:szCs w:val="22"/>
                <w:lang w:val="en-US" w:eastAsia="en-US"/>
              </w:rPr>
              <w:t>ցածր</w:t>
            </w:r>
            <w:r w:rsidRPr="007955BB">
              <w:rPr>
                <w:rFonts w:cs="Calibri"/>
                <w:b w:val="0"/>
                <w:color w:val="000000"/>
                <w:szCs w:val="22"/>
                <w:lang w:eastAsia="en-US"/>
              </w:rPr>
              <w:t xml:space="preserve"> </w:t>
            </w:r>
            <w:r w:rsidRPr="007955BB">
              <w:rPr>
                <w:rFonts w:cs="Calibri"/>
                <w:b w:val="0"/>
                <w:color w:val="000000"/>
                <w:szCs w:val="22"/>
                <w:lang w:val="en-US" w:eastAsia="en-US"/>
              </w:rPr>
              <w:t>իրական</w:t>
            </w:r>
            <w:r w:rsidRPr="007955BB">
              <w:rPr>
                <w:rFonts w:cs="Calibri"/>
                <w:b w:val="0"/>
                <w:color w:val="000000"/>
                <w:szCs w:val="22"/>
                <w:lang w:eastAsia="en-US"/>
              </w:rPr>
              <w:t xml:space="preserve"> </w:t>
            </w:r>
            <w:r w:rsidRPr="007955BB">
              <w:rPr>
                <w:rFonts w:cs="Calibri"/>
                <w:b w:val="0"/>
                <w:color w:val="000000"/>
                <w:szCs w:val="22"/>
                <w:lang w:val="en-US" w:eastAsia="en-US"/>
              </w:rPr>
              <w:t>ՀՆԱ</w:t>
            </w:r>
            <w:r w:rsidRPr="007955BB">
              <w:rPr>
                <w:rFonts w:cs="Calibri"/>
                <w:b w:val="0"/>
                <w:color w:val="000000"/>
                <w:szCs w:val="22"/>
                <w:lang w:eastAsia="en-US"/>
              </w:rPr>
              <w:t>-</w:t>
            </w:r>
            <w:r w:rsidRPr="007955BB">
              <w:rPr>
                <w:rFonts w:cs="Calibri"/>
                <w:b w:val="0"/>
                <w:color w:val="000000"/>
                <w:szCs w:val="22"/>
                <w:lang w:val="en-US" w:eastAsia="en-US"/>
              </w:rPr>
              <w:t>ի</w:t>
            </w:r>
            <w:r w:rsidRPr="007955BB">
              <w:rPr>
                <w:rFonts w:cs="Calibri"/>
                <w:b w:val="0"/>
                <w:color w:val="000000"/>
                <w:szCs w:val="22"/>
                <w:lang w:eastAsia="en-US"/>
              </w:rPr>
              <w:t xml:space="preserve"> </w:t>
            </w:r>
            <w:r w:rsidRPr="007955BB">
              <w:rPr>
                <w:rFonts w:cs="Calibri"/>
                <w:b w:val="0"/>
                <w:color w:val="000000"/>
                <w:szCs w:val="22"/>
                <w:lang w:val="en-US" w:eastAsia="en-US"/>
              </w:rPr>
              <w:t>աճ</w:t>
            </w:r>
          </w:p>
        </w:tc>
        <w:tc>
          <w:tcPr>
            <w:tcW w:w="3870" w:type="dxa"/>
            <w:tcBorders>
              <w:top w:val="nil"/>
              <w:left w:val="nil"/>
              <w:bottom w:val="single" w:sz="4" w:space="0" w:color="4F81BD"/>
              <w:right w:val="single" w:sz="4" w:space="0" w:color="4F81BD"/>
            </w:tcBorders>
            <w:shd w:val="clear" w:color="auto" w:fill="auto"/>
            <w:vAlign w:val="center"/>
            <w:hideMark/>
          </w:tcPr>
          <w:p w:rsidR="00FE673E" w:rsidRPr="007955BB" w:rsidRDefault="00FE673E" w:rsidP="00B70D89">
            <w:pPr>
              <w:spacing w:after="12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-24.7</w:t>
            </w:r>
          </w:p>
        </w:tc>
      </w:tr>
      <w:tr w:rsidR="00FE673E" w:rsidRPr="007955BB" w:rsidTr="00B70D89">
        <w:trPr>
          <w:trHeight w:val="330"/>
        </w:trPr>
        <w:tc>
          <w:tcPr>
            <w:tcW w:w="5760" w:type="dxa"/>
            <w:tcBorders>
              <w:top w:val="nil"/>
              <w:left w:val="single" w:sz="4" w:space="0" w:color="4F81BD"/>
              <w:bottom w:val="single" w:sz="4" w:space="0" w:color="4F81BD"/>
              <w:right w:val="single" w:sz="4" w:space="0" w:color="4F81BD"/>
            </w:tcBorders>
            <w:shd w:val="clear" w:color="auto" w:fill="auto"/>
            <w:vAlign w:val="center"/>
            <w:hideMark/>
          </w:tcPr>
          <w:p w:rsidR="00FE673E" w:rsidRPr="007955BB" w:rsidRDefault="00FE673E" w:rsidP="00B70D89">
            <w:pPr>
              <w:spacing w:after="120" w:line="240" w:lineRule="auto"/>
              <w:ind w:firstLine="0"/>
              <w:contextualSpacing w:val="0"/>
              <w:jc w:val="left"/>
              <w:rPr>
                <w:rFonts w:cs="Calibri"/>
                <w:b w:val="0"/>
                <w:color w:val="000000"/>
                <w:szCs w:val="22"/>
                <w:lang w:eastAsia="en-US"/>
              </w:rPr>
            </w:pPr>
            <w:r w:rsidRPr="007955BB">
              <w:rPr>
                <w:rFonts w:cs="Calibri"/>
                <w:b w:val="0"/>
                <w:color w:val="000000"/>
                <w:szCs w:val="22"/>
                <w:lang w:eastAsia="en-US"/>
              </w:rPr>
              <w:t xml:space="preserve">2. 2.0 </w:t>
            </w:r>
            <w:r w:rsidRPr="007955BB">
              <w:rPr>
                <w:rFonts w:cs="Calibri"/>
                <w:b w:val="0"/>
                <w:color w:val="000000"/>
                <w:szCs w:val="22"/>
                <w:lang w:val="en-US" w:eastAsia="en-US"/>
              </w:rPr>
              <w:t>տոկոսային</w:t>
            </w:r>
            <w:r w:rsidRPr="007955BB">
              <w:rPr>
                <w:rFonts w:cs="Calibri"/>
                <w:b w:val="0"/>
                <w:color w:val="000000"/>
                <w:szCs w:val="22"/>
                <w:lang w:eastAsia="en-US"/>
              </w:rPr>
              <w:t xml:space="preserve"> </w:t>
            </w:r>
            <w:r w:rsidRPr="007955BB">
              <w:rPr>
                <w:rFonts w:cs="Calibri"/>
                <w:b w:val="0"/>
                <w:color w:val="000000"/>
                <w:szCs w:val="22"/>
                <w:lang w:val="en-US" w:eastAsia="en-US"/>
              </w:rPr>
              <w:t>կետով</w:t>
            </w:r>
            <w:r w:rsidRPr="007955BB">
              <w:rPr>
                <w:rFonts w:cs="Calibri"/>
                <w:b w:val="0"/>
                <w:color w:val="000000"/>
                <w:szCs w:val="22"/>
                <w:lang w:eastAsia="en-US"/>
              </w:rPr>
              <w:t xml:space="preserve"> </w:t>
            </w:r>
            <w:r w:rsidRPr="007955BB">
              <w:rPr>
                <w:rFonts w:cs="Calibri"/>
                <w:b w:val="0"/>
                <w:color w:val="000000"/>
                <w:szCs w:val="22"/>
                <w:lang w:val="en-US" w:eastAsia="en-US"/>
              </w:rPr>
              <w:t>ավելի</w:t>
            </w:r>
            <w:r w:rsidRPr="007955BB">
              <w:rPr>
                <w:rFonts w:cs="Calibri"/>
                <w:b w:val="0"/>
                <w:color w:val="000000"/>
                <w:szCs w:val="22"/>
                <w:lang w:eastAsia="en-US"/>
              </w:rPr>
              <w:t xml:space="preserve"> </w:t>
            </w:r>
            <w:r w:rsidRPr="007955BB">
              <w:rPr>
                <w:rFonts w:cs="Calibri"/>
                <w:b w:val="0"/>
                <w:color w:val="000000"/>
                <w:szCs w:val="22"/>
                <w:lang w:val="en-US" w:eastAsia="en-US"/>
              </w:rPr>
              <w:t>բարձր</w:t>
            </w:r>
            <w:r w:rsidRPr="007955BB">
              <w:rPr>
                <w:rFonts w:cs="Calibri"/>
                <w:b w:val="0"/>
                <w:color w:val="000000"/>
                <w:szCs w:val="22"/>
                <w:lang w:eastAsia="en-US"/>
              </w:rPr>
              <w:t xml:space="preserve"> </w:t>
            </w:r>
            <w:r w:rsidRPr="007955BB">
              <w:rPr>
                <w:rFonts w:cs="Calibri"/>
                <w:b w:val="0"/>
                <w:color w:val="000000"/>
                <w:szCs w:val="22"/>
                <w:lang w:val="en-US" w:eastAsia="en-US"/>
              </w:rPr>
              <w:t>գնաճի</w:t>
            </w:r>
            <w:r w:rsidRPr="007955BB">
              <w:rPr>
                <w:rFonts w:cs="Calibri"/>
                <w:b w:val="0"/>
                <w:color w:val="000000"/>
                <w:szCs w:val="22"/>
                <w:lang w:eastAsia="en-US"/>
              </w:rPr>
              <w:t xml:space="preserve"> </w:t>
            </w:r>
            <w:r w:rsidRPr="007955BB">
              <w:rPr>
                <w:rFonts w:cs="Calibri"/>
                <w:b w:val="0"/>
                <w:color w:val="000000"/>
                <w:szCs w:val="22"/>
                <w:lang w:val="en-US" w:eastAsia="en-US"/>
              </w:rPr>
              <w:t>ռիսկ</w:t>
            </w:r>
          </w:p>
        </w:tc>
        <w:tc>
          <w:tcPr>
            <w:tcW w:w="3870" w:type="dxa"/>
            <w:tcBorders>
              <w:top w:val="nil"/>
              <w:left w:val="nil"/>
              <w:bottom w:val="single" w:sz="4" w:space="0" w:color="4F81BD"/>
              <w:right w:val="single" w:sz="4" w:space="0" w:color="4F81BD"/>
            </w:tcBorders>
            <w:shd w:val="clear" w:color="auto" w:fill="auto"/>
            <w:vAlign w:val="center"/>
            <w:hideMark/>
          </w:tcPr>
          <w:p w:rsidR="00FE673E" w:rsidRPr="007955BB" w:rsidRDefault="00FE673E" w:rsidP="00B70D89">
            <w:pPr>
              <w:spacing w:after="12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5.5</w:t>
            </w:r>
          </w:p>
        </w:tc>
      </w:tr>
      <w:tr w:rsidR="00FE673E" w:rsidRPr="007955BB" w:rsidTr="00B70D89">
        <w:trPr>
          <w:trHeight w:val="660"/>
        </w:trPr>
        <w:tc>
          <w:tcPr>
            <w:tcW w:w="5760" w:type="dxa"/>
            <w:tcBorders>
              <w:top w:val="nil"/>
              <w:left w:val="single" w:sz="4" w:space="0" w:color="4F81BD"/>
              <w:bottom w:val="nil"/>
              <w:right w:val="single" w:sz="4" w:space="0" w:color="4F81BD"/>
            </w:tcBorders>
            <w:shd w:val="clear" w:color="auto" w:fill="auto"/>
            <w:vAlign w:val="center"/>
            <w:hideMark/>
          </w:tcPr>
          <w:p w:rsidR="00FE673E" w:rsidRPr="007955BB" w:rsidRDefault="00FE673E" w:rsidP="00B70D89">
            <w:pPr>
              <w:spacing w:after="120" w:line="240" w:lineRule="auto"/>
              <w:ind w:firstLine="0"/>
              <w:contextualSpacing w:val="0"/>
              <w:jc w:val="left"/>
              <w:rPr>
                <w:rFonts w:cs="Calibri"/>
                <w:b w:val="0"/>
                <w:color w:val="000000"/>
                <w:szCs w:val="22"/>
                <w:lang w:eastAsia="en-US"/>
              </w:rPr>
            </w:pPr>
            <w:r w:rsidRPr="007955BB">
              <w:rPr>
                <w:rFonts w:cs="Calibri"/>
                <w:b w:val="0"/>
                <w:color w:val="000000"/>
                <w:szCs w:val="22"/>
                <w:lang w:eastAsia="en-US"/>
              </w:rPr>
              <w:t xml:space="preserve">3. </w:t>
            </w:r>
            <w:r w:rsidRPr="007955BB">
              <w:rPr>
                <w:rFonts w:cs="Calibri"/>
                <w:b w:val="0"/>
                <w:color w:val="000000"/>
                <w:szCs w:val="22"/>
                <w:lang w:val="en-US" w:eastAsia="en-US"/>
              </w:rPr>
              <w:t>Փոխարժեքի</w:t>
            </w:r>
            <w:r w:rsidRPr="007955BB">
              <w:rPr>
                <w:rFonts w:cs="Calibri"/>
                <w:b w:val="0"/>
                <w:color w:val="000000"/>
                <w:szCs w:val="22"/>
                <w:lang w:eastAsia="en-US"/>
              </w:rPr>
              <w:t xml:space="preserve"> </w:t>
            </w:r>
            <w:r w:rsidRPr="007955BB">
              <w:rPr>
                <w:rFonts w:cs="Calibri"/>
                <w:b w:val="0"/>
                <w:color w:val="000000"/>
                <w:szCs w:val="22"/>
                <w:lang w:val="en-US" w:eastAsia="en-US"/>
              </w:rPr>
              <w:t>առավելագույնը</w:t>
            </w:r>
            <w:r w:rsidRPr="007955BB">
              <w:rPr>
                <w:rFonts w:cs="Calibri"/>
                <w:b w:val="0"/>
                <w:color w:val="000000"/>
                <w:szCs w:val="22"/>
                <w:lang w:eastAsia="en-US"/>
              </w:rPr>
              <w:t xml:space="preserve"> 5.8 </w:t>
            </w:r>
            <w:r w:rsidRPr="007955BB">
              <w:rPr>
                <w:rFonts w:cs="Calibri"/>
                <w:b w:val="0"/>
                <w:color w:val="000000"/>
                <w:szCs w:val="22"/>
                <w:lang w:val="en-US" w:eastAsia="en-US"/>
              </w:rPr>
              <w:t>տոկոսով</w:t>
            </w:r>
            <w:r w:rsidRPr="007955BB">
              <w:rPr>
                <w:rFonts w:cs="Calibri"/>
                <w:b w:val="0"/>
                <w:color w:val="000000"/>
                <w:szCs w:val="22"/>
                <w:lang w:eastAsia="en-US"/>
              </w:rPr>
              <w:t xml:space="preserve"> </w:t>
            </w:r>
            <w:r w:rsidRPr="007955BB">
              <w:rPr>
                <w:rFonts w:cs="Calibri"/>
                <w:b w:val="0"/>
                <w:color w:val="000000"/>
                <w:szCs w:val="22"/>
                <w:lang w:val="en-US" w:eastAsia="en-US"/>
              </w:rPr>
              <w:t>արժեզրկման</w:t>
            </w:r>
            <w:r w:rsidRPr="007955BB">
              <w:rPr>
                <w:rFonts w:cs="Calibri"/>
                <w:b w:val="0"/>
                <w:color w:val="000000"/>
                <w:szCs w:val="22"/>
                <w:lang w:eastAsia="en-US"/>
              </w:rPr>
              <w:t xml:space="preserve"> </w:t>
            </w:r>
            <w:r w:rsidRPr="007955BB">
              <w:rPr>
                <w:rFonts w:cs="Calibri"/>
                <w:b w:val="0"/>
                <w:color w:val="000000"/>
                <w:szCs w:val="22"/>
                <w:lang w:val="en-US" w:eastAsia="en-US"/>
              </w:rPr>
              <w:t>ռիսկ</w:t>
            </w:r>
          </w:p>
        </w:tc>
        <w:tc>
          <w:tcPr>
            <w:tcW w:w="3870" w:type="dxa"/>
            <w:tcBorders>
              <w:top w:val="nil"/>
              <w:left w:val="nil"/>
              <w:bottom w:val="nil"/>
              <w:right w:val="single" w:sz="4" w:space="0" w:color="4F81BD"/>
            </w:tcBorders>
            <w:shd w:val="clear" w:color="auto" w:fill="auto"/>
            <w:vAlign w:val="center"/>
            <w:hideMark/>
          </w:tcPr>
          <w:p w:rsidR="00FE673E" w:rsidRPr="007955BB" w:rsidRDefault="00FE673E" w:rsidP="00B70D89">
            <w:pPr>
              <w:spacing w:after="12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20.7</w:t>
            </w:r>
          </w:p>
        </w:tc>
      </w:tr>
      <w:tr w:rsidR="00FE673E" w:rsidRPr="007955BB" w:rsidTr="00B70D89">
        <w:trPr>
          <w:trHeight w:val="330"/>
        </w:trPr>
        <w:tc>
          <w:tcPr>
            <w:tcW w:w="5760"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FE673E" w:rsidRPr="007955BB" w:rsidRDefault="00FE673E" w:rsidP="00B70D89">
            <w:pPr>
              <w:spacing w:after="120" w:line="240" w:lineRule="auto"/>
              <w:ind w:firstLine="0"/>
              <w:contextualSpacing w:val="0"/>
              <w:jc w:val="left"/>
              <w:rPr>
                <w:rFonts w:cs="Calibri"/>
                <w:b w:val="0"/>
                <w:color w:val="000000"/>
                <w:szCs w:val="22"/>
                <w:lang w:eastAsia="en-US"/>
              </w:rPr>
            </w:pPr>
            <w:r w:rsidRPr="007955BB">
              <w:rPr>
                <w:rFonts w:cs="Calibri"/>
                <w:b w:val="0"/>
                <w:color w:val="000000"/>
                <w:szCs w:val="22"/>
                <w:lang w:eastAsia="en-US"/>
              </w:rPr>
              <w:t xml:space="preserve">4. </w:t>
            </w:r>
            <w:r w:rsidRPr="007955BB">
              <w:rPr>
                <w:rFonts w:cs="Calibri"/>
                <w:b w:val="0"/>
                <w:color w:val="000000"/>
                <w:szCs w:val="22"/>
                <w:lang w:val="en-US" w:eastAsia="en-US"/>
              </w:rPr>
              <w:t>Ներմուծման</w:t>
            </w:r>
            <w:r w:rsidRPr="007955BB">
              <w:rPr>
                <w:rFonts w:cs="Calibri"/>
                <w:b w:val="0"/>
                <w:color w:val="000000"/>
                <w:szCs w:val="22"/>
                <w:lang w:eastAsia="en-US"/>
              </w:rPr>
              <w:t xml:space="preserve"> 10.2 </w:t>
            </w:r>
            <w:r w:rsidRPr="007955BB">
              <w:rPr>
                <w:rFonts w:cs="Calibri"/>
                <w:b w:val="0"/>
                <w:color w:val="000000"/>
                <w:szCs w:val="22"/>
                <w:lang w:val="en-US" w:eastAsia="en-US"/>
              </w:rPr>
              <w:t>տոկոսով</w:t>
            </w:r>
            <w:r w:rsidRPr="007955BB">
              <w:rPr>
                <w:rFonts w:cs="Calibri"/>
                <w:b w:val="0"/>
                <w:color w:val="000000"/>
                <w:szCs w:val="22"/>
                <w:lang w:eastAsia="en-US"/>
              </w:rPr>
              <w:t xml:space="preserve"> </w:t>
            </w:r>
            <w:r w:rsidRPr="007955BB">
              <w:rPr>
                <w:rFonts w:cs="Calibri"/>
                <w:b w:val="0"/>
                <w:color w:val="000000"/>
                <w:szCs w:val="22"/>
                <w:lang w:val="en-US" w:eastAsia="en-US"/>
              </w:rPr>
              <w:t>նվազման</w:t>
            </w:r>
            <w:r w:rsidRPr="007955BB">
              <w:rPr>
                <w:rFonts w:cs="Calibri"/>
                <w:b w:val="0"/>
                <w:color w:val="000000"/>
                <w:szCs w:val="22"/>
                <w:lang w:eastAsia="en-US"/>
              </w:rPr>
              <w:t xml:space="preserve"> </w:t>
            </w:r>
            <w:r w:rsidRPr="007955BB">
              <w:rPr>
                <w:rFonts w:cs="Calibri"/>
                <w:b w:val="0"/>
                <w:color w:val="000000"/>
                <w:szCs w:val="22"/>
                <w:lang w:val="en-US" w:eastAsia="en-US"/>
              </w:rPr>
              <w:t>ռիսկ</w:t>
            </w:r>
          </w:p>
        </w:tc>
        <w:tc>
          <w:tcPr>
            <w:tcW w:w="3870" w:type="dxa"/>
            <w:tcBorders>
              <w:top w:val="single" w:sz="4" w:space="0" w:color="4F81BD"/>
              <w:left w:val="nil"/>
              <w:bottom w:val="single" w:sz="4" w:space="0" w:color="4F81BD"/>
              <w:right w:val="single" w:sz="4" w:space="0" w:color="4F81BD"/>
            </w:tcBorders>
            <w:shd w:val="clear" w:color="auto" w:fill="auto"/>
            <w:vAlign w:val="center"/>
            <w:hideMark/>
          </w:tcPr>
          <w:p w:rsidR="00FE673E" w:rsidRPr="007955BB" w:rsidRDefault="00FE673E" w:rsidP="00B70D89">
            <w:pPr>
              <w:spacing w:after="120" w:line="240" w:lineRule="auto"/>
              <w:ind w:firstLine="0"/>
              <w:contextualSpacing w:val="0"/>
              <w:jc w:val="center"/>
              <w:rPr>
                <w:rFonts w:cs="Calibri"/>
                <w:b w:val="0"/>
                <w:color w:val="000000"/>
                <w:szCs w:val="22"/>
                <w:lang w:eastAsia="en-US"/>
              </w:rPr>
            </w:pPr>
            <w:r w:rsidRPr="007955BB">
              <w:rPr>
                <w:rFonts w:cs="Calibri"/>
                <w:b w:val="0"/>
                <w:color w:val="000000"/>
                <w:szCs w:val="22"/>
                <w:lang w:eastAsia="en-US"/>
              </w:rPr>
              <w:t>-21.3</w:t>
            </w:r>
          </w:p>
        </w:tc>
      </w:tr>
      <w:tr w:rsidR="00FE673E" w:rsidRPr="007955BB" w:rsidTr="00B70D89">
        <w:trPr>
          <w:trHeight w:val="660"/>
        </w:trPr>
        <w:tc>
          <w:tcPr>
            <w:tcW w:w="5760" w:type="dxa"/>
            <w:tcBorders>
              <w:top w:val="nil"/>
              <w:left w:val="single" w:sz="4" w:space="0" w:color="4F81BD"/>
              <w:bottom w:val="single" w:sz="4" w:space="0" w:color="4F81BD"/>
              <w:right w:val="single" w:sz="4" w:space="0" w:color="4F81BD"/>
            </w:tcBorders>
            <w:shd w:val="clear" w:color="auto" w:fill="auto"/>
            <w:vAlign w:val="center"/>
            <w:hideMark/>
          </w:tcPr>
          <w:p w:rsidR="00FE673E" w:rsidRPr="007955BB" w:rsidRDefault="00FE673E" w:rsidP="00B70D89">
            <w:pPr>
              <w:spacing w:after="120" w:line="240" w:lineRule="auto"/>
              <w:ind w:firstLine="0"/>
              <w:contextualSpacing w:val="0"/>
              <w:jc w:val="left"/>
              <w:rPr>
                <w:rFonts w:cs="Calibri"/>
                <w:bCs/>
                <w:color w:val="000000"/>
                <w:szCs w:val="22"/>
                <w:lang w:eastAsia="en-US"/>
              </w:rPr>
            </w:pPr>
            <w:r w:rsidRPr="007955BB">
              <w:rPr>
                <w:rFonts w:cs="Calibri"/>
                <w:bCs/>
                <w:color w:val="000000"/>
                <w:szCs w:val="22"/>
                <w:lang w:val="en-US" w:eastAsia="en-US"/>
              </w:rPr>
              <w:t>Վերոնշյալ</w:t>
            </w:r>
            <w:r w:rsidRPr="007955BB">
              <w:rPr>
                <w:rFonts w:cs="Calibri"/>
                <w:bCs/>
                <w:color w:val="000000"/>
                <w:szCs w:val="22"/>
                <w:lang w:eastAsia="en-US"/>
              </w:rPr>
              <w:t xml:space="preserve"> </w:t>
            </w:r>
            <w:r w:rsidRPr="007955BB">
              <w:rPr>
                <w:rFonts w:cs="Calibri"/>
                <w:bCs/>
                <w:color w:val="000000"/>
                <w:szCs w:val="22"/>
                <w:lang w:val="en-US" w:eastAsia="en-US"/>
              </w:rPr>
              <w:t>ռիսկերի</w:t>
            </w:r>
            <w:r w:rsidRPr="007955BB">
              <w:rPr>
                <w:rFonts w:cs="Calibri"/>
                <w:bCs/>
                <w:color w:val="000000"/>
                <w:szCs w:val="22"/>
                <w:lang w:eastAsia="en-US"/>
              </w:rPr>
              <w:t xml:space="preserve"> </w:t>
            </w:r>
            <w:r w:rsidRPr="007955BB">
              <w:rPr>
                <w:rFonts w:cs="Calibri"/>
                <w:bCs/>
                <w:color w:val="000000"/>
                <w:szCs w:val="22"/>
                <w:lang w:val="en-US" w:eastAsia="en-US"/>
              </w:rPr>
              <w:t>միաժամանակյա</w:t>
            </w:r>
            <w:r w:rsidRPr="007955BB">
              <w:rPr>
                <w:rFonts w:cs="Calibri"/>
                <w:bCs/>
                <w:color w:val="000000"/>
                <w:szCs w:val="22"/>
                <w:lang w:eastAsia="en-US"/>
              </w:rPr>
              <w:t xml:space="preserve"> </w:t>
            </w:r>
            <w:r w:rsidRPr="007955BB">
              <w:rPr>
                <w:rFonts w:cs="Calibri"/>
                <w:bCs/>
                <w:color w:val="000000"/>
                <w:szCs w:val="22"/>
                <w:lang w:val="en-US" w:eastAsia="en-US"/>
              </w:rPr>
              <w:t>հանդես</w:t>
            </w:r>
            <w:r w:rsidRPr="007955BB">
              <w:rPr>
                <w:rFonts w:cs="Calibri"/>
                <w:bCs/>
                <w:color w:val="000000"/>
                <w:szCs w:val="22"/>
                <w:lang w:eastAsia="en-US"/>
              </w:rPr>
              <w:t xml:space="preserve"> </w:t>
            </w:r>
            <w:r w:rsidRPr="007955BB">
              <w:rPr>
                <w:rFonts w:cs="Calibri"/>
                <w:bCs/>
                <w:color w:val="000000"/>
                <w:szCs w:val="22"/>
                <w:lang w:val="en-US" w:eastAsia="en-US"/>
              </w:rPr>
              <w:t>գալու</w:t>
            </w:r>
            <w:r w:rsidRPr="007955BB">
              <w:rPr>
                <w:rFonts w:cs="Calibri"/>
                <w:bCs/>
                <w:color w:val="000000"/>
                <w:szCs w:val="22"/>
                <w:lang w:eastAsia="en-US"/>
              </w:rPr>
              <w:t xml:space="preserve"> </w:t>
            </w:r>
            <w:r w:rsidRPr="007955BB">
              <w:rPr>
                <w:rFonts w:cs="Calibri"/>
                <w:bCs/>
                <w:color w:val="000000"/>
                <w:szCs w:val="22"/>
                <w:lang w:val="en-US" w:eastAsia="en-US"/>
              </w:rPr>
              <w:t>պայմաններում</w:t>
            </w:r>
          </w:p>
        </w:tc>
        <w:tc>
          <w:tcPr>
            <w:tcW w:w="3870" w:type="dxa"/>
            <w:tcBorders>
              <w:top w:val="nil"/>
              <w:left w:val="nil"/>
              <w:bottom w:val="single" w:sz="4" w:space="0" w:color="4F81BD"/>
              <w:right w:val="single" w:sz="4" w:space="0" w:color="4F81BD"/>
            </w:tcBorders>
            <w:shd w:val="clear" w:color="auto" w:fill="auto"/>
            <w:vAlign w:val="center"/>
            <w:hideMark/>
          </w:tcPr>
          <w:p w:rsidR="00FE673E" w:rsidRPr="007955BB" w:rsidRDefault="00FE673E" w:rsidP="00B70D89">
            <w:pPr>
              <w:spacing w:after="120" w:line="240" w:lineRule="auto"/>
              <w:ind w:firstLine="0"/>
              <w:contextualSpacing w:val="0"/>
              <w:jc w:val="center"/>
              <w:rPr>
                <w:rFonts w:cs="Calibri"/>
                <w:bCs/>
                <w:color w:val="000000"/>
                <w:szCs w:val="22"/>
                <w:lang w:val="en-US" w:eastAsia="en-US"/>
              </w:rPr>
            </w:pPr>
            <w:r w:rsidRPr="007955BB">
              <w:rPr>
                <w:rFonts w:cs="Calibri"/>
                <w:bCs/>
                <w:color w:val="000000"/>
                <w:szCs w:val="22"/>
                <w:lang w:eastAsia="en-US"/>
              </w:rPr>
              <w:t>-</w:t>
            </w:r>
            <w:r w:rsidRPr="007955BB">
              <w:rPr>
                <w:rFonts w:cs="Calibri"/>
                <w:bCs/>
                <w:color w:val="000000"/>
                <w:szCs w:val="22"/>
                <w:lang w:val="en-US" w:eastAsia="en-US"/>
              </w:rPr>
              <w:t>22.5</w:t>
            </w:r>
          </w:p>
        </w:tc>
      </w:tr>
    </w:tbl>
    <w:p w:rsidR="00FE673E" w:rsidRPr="007955BB" w:rsidRDefault="00FE673E" w:rsidP="00FE673E">
      <w:pPr>
        <w:spacing w:after="120" w:line="276" w:lineRule="auto"/>
        <w:ind w:firstLine="720"/>
        <w:contextualSpacing w:val="0"/>
        <w:rPr>
          <w:rFonts w:cs="Sylfaen"/>
          <w:b w:val="0"/>
          <w:lang w:val="hy-AM"/>
        </w:rPr>
      </w:pPr>
      <w:r w:rsidRPr="007955BB">
        <w:rPr>
          <w:rFonts w:cs="Sylfaen"/>
          <w:b w:val="0"/>
          <w:lang w:val="hy-AM"/>
        </w:rPr>
        <w:t xml:space="preserve">Այսպիսով, գնահատվում է, որ հարկային եկամուտների վրա ազդող վերոնշյալ ռիսկերի միաժամանակյա ի հայտ գալու պարագայում հարկային եկամուտների ծրագրված մակարդակից շեղումը 2023 թվականին կկազմի շուրջ </w:t>
      </w:r>
      <w:r w:rsidRPr="007955BB">
        <w:rPr>
          <w:rFonts w:cs="Sylfaen"/>
          <w:b w:val="0"/>
        </w:rPr>
        <w:t>22.5</w:t>
      </w:r>
      <w:r w:rsidRPr="007955BB">
        <w:rPr>
          <w:rFonts w:cs="Sylfaen"/>
          <w:b w:val="0"/>
          <w:lang w:val="hy-AM"/>
        </w:rPr>
        <w:t xml:space="preserve"> մլրդ ՀՀ դրամ: </w:t>
      </w:r>
    </w:p>
    <w:p w:rsidR="00FE673E" w:rsidRPr="007955BB" w:rsidRDefault="00FE673E" w:rsidP="00FE673E">
      <w:pPr>
        <w:spacing w:after="120" w:line="276" w:lineRule="auto"/>
        <w:ind w:firstLine="720"/>
        <w:contextualSpacing w:val="0"/>
        <w:rPr>
          <w:rFonts w:cs="Sylfaen"/>
          <w:b w:val="0"/>
          <w:lang w:val="hy-AM"/>
        </w:rPr>
      </w:pPr>
      <w:r w:rsidRPr="007955BB">
        <w:rPr>
          <w:rFonts w:cs="Sylfaen"/>
          <w:b w:val="0"/>
          <w:lang w:val="hy-AM"/>
        </w:rPr>
        <w:t>Հարկային եկամուտների վրա առանձին ռիսկերի ազդեցության չափի վերաբերյալ պատկերացում են տալիս նաև ստորև ներկայացվող զգայունության գնահատականները, սակայն այս դեպքում դիտարկվում է հարկային եկամուտների աճի վրա ազդող գործոնների աճերի 1% փոփոխության ազդեցությունը, ինչը ներկայացված է հարկային եկամուտների զգայունության աղյուսակում:</w:t>
      </w:r>
    </w:p>
    <w:p w:rsidR="00FE673E" w:rsidRPr="007955BB" w:rsidRDefault="00FE673E" w:rsidP="00FE673E">
      <w:pPr>
        <w:pStyle w:val="Caption"/>
        <w:spacing w:after="120" w:line="240" w:lineRule="auto"/>
        <w:contextualSpacing w:val="0"/>
        <w:rPr>
          <w:b/>
          <w:lang w:val="hy-AM"/>
        </w:rPr>
      </w:pPr>
      <w:bookmarkStart w:id="383" w:name="_Toc83928955"/>
      <w:bookmarkStart w:id="384" w:name="_Toc120805276"/>
      <w:r w:rsidRPr="007955BB">
        <w:rPr>
          <w:lang w:val="hy-AM"/>
        </w:rPr>
        <w:t xml:space="preserve">Աղյուսակ </w:t>
      </w:r>
      <w:r w:rsidRPr="007955BB">
        <w:fldChar w:fldCharType="begin"/>
      </w:r>
      <w:r w:rsidRPr="007955BB">
        <w:rPr>
          <w:lang w:val="hy-AM"/>
        </w:rPr>
        <w:instrText xml:space="preserve"> SEQ Աղյուսակ \* ARABIC </w:instrText>
      </w:r>
      <w:r w:rsidRPr="007955BB">
        <w:fldChar w:fldCharType="separate"/>
      </w:r>
      <w:r w:rsidR="00F77CAF">
        <w:rPr>
          <w:noProof/>
          <w:lang w:val="hy-AM"/>
        </w:rPr>
        <w:t>17</w:t>
      </w:r>
      <w:r w:rsidRPr="007955BB">
        <w:fldChar w:fldCharType="end"/>
      </w:r>
      <w:r w:rsidRPr="007955BB">
        <w:rPr>
          <w:noProof/>
          <w:lang w:val="hy-AM"/>
        </w:rPr>
        <w:t>.</w:t>
      </w:r>
      <w:r w:rsidRPr="007955BB">
        <w:rPr>
          <w:lang w:val="hy-AM"/>
        </w:rPr>
        <w:t xml:space="preserve"> </w:t>
      </w:r>
      <w:r w:rsidRPr="007955BB">
        <w:rPr>
          <w:sz w:val="20"/>
          <w:szCs w:val="20"/>
          <w:lang w:val="hy-AM"/>
        </w:rPr>
        <w:t>Հարկային եկամուտների զգայունությունը հիմնական տնտեսական գործոնների նկատմամբ, տոկոս</w:t>
      </w:r>
      <w:bookmarkEnd w:id="383"/>
      <w:bookmarkEnd w:id="384"/>
    </w:p>
    <w:tbl>
      <w:tblPr>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9"/>
        <w:gridCol w:w="1398"/>
        <w:gridCol w:w="1138"/>
        <w:gridCol w:w="1435"/>
        <w:gridCol w:w="1568"/>
      </w:tblGrid>
      <w:tr w:rsidR="00FE673E" w:rsidRPr="007955BB" w:rsidTr="00B70D89">
        <w:trPr>
          <w:trHeight w:val="476"/>
          <w:jc w:val="center"/>
        </w:trPr>
        <w:tc>
          <w:tcPr>
            <w:tcW w:w="3659" w:type="dxa"/>
            <w:shd w:val="clear" w:color="auto" w:fill="4F81BD" w:themeFill="accent1"/>
            <w:noWrap/>
            <w:vAlign w:val="bottom"/>
            <w:hideMark/>
          </w:tcPr>
          <w:p w:rsidR="00FE673E" w:rsidRPr="007955BB" w:rsidRDefault="00FE673E" w:rsidP="00B70D89">
            <w:pPr>
              <w:spacing w:after="120" w:line="240" w:lineRule="auto"/>
              <w:ind w:firstLine="0"/>
              <w:contextualSpacing w:val="0"/>
              <w:rPr>
                <w:b w:val="0"/>
                <w:color w:val="FFFFFF" w:themeColor="background1"/>
                <w:lang w:val="hy-AM"/>
              </w:rPr>
            </w:pPr>
            <w:r w:rsidRPr="007955BB">
              <w:rPr>
                <w:rFonts w:ascii="Calibri" w:hAnsi="Calibri" w:cs="Calibri"/>
                <w:b w:val="0"/>
                <w:color w:val="FFFFFF" w:themeColor="background1"/>
                <w:lang w:val="hy-AM"/>
              </w:rPr>
              <w:t> </w:t>
            </w:r>
          </w:p>
        </w:tc>
        <w:tc>
          <w:tcPr>
            <w:tcW w:w="1398" w:type="dxa"/>
            <w:shd w:val="clear" w:color="auto" w:fill="4F81BD" w:themeFill="accent1"/>
            <w:noWrap/>
            <w:vAlign w:val="bottom"/>
            <w:hideMark/>
          </w:tcPr>
          <w:p w:rsidR="00FE673E" w:rsidRPr="007955BB" w:rsidRDefault="00FE673E" w:rsidP="00B70D89">
            <w:pPr>
              <w:spacing w:after="120" w:line="240" w:lineRule="auto"/>
              <w:ind w:firstLine="0"/>
              <w:contextualSpacing w:val="0"/>
              <w:jc w:val="center"/>
              <w:rPr>
                <w:b w:val="0"/>
                <w:color w:val="FFFFFF" w:themeColor="background1"/>
                <w:lang w:val="hy-AM"/>
              </w:rPr>
            </w:pPr>
            <w:r w:rsidRPr="007955BB">
              <w:rPr>
                <w:rFonts w:cs="Sylfaen"/>
                <w:b w:val="0"/>
                <w:color w:val="FFFFFF" w:themeColor="background1"/>
                <w:lang w:val="hy-AM"/>
              </w:rPr>
              <w:t>ՀՆԱ</w:t>
            </w:r>
          </w:p>
        </w:tc>
        <w:tc>
          <w:tcPr>
            <w:tcW w:w="1138" w:type="dxa"/>
            <w:shd w:val="clear" w:color="auto" w:fill="4F81BD" w:themeFill="accent1"/>
            <w:noWrap/>
            <w:vAlign w:val="bottom"/>
            <w:hideMark/>
          </w:tcPr>
          <w:p w:rsidR="00FE673E" w:rsidRPr="007955BB" w:rsidRDefault="00FE673E" w:rsidP="00B70D89">
            <w:pPr>
              <w:spacing w:after="120" w:line="240" w:lineRule="auto"/>
              <w:ind w:firstLine="0"/>
              <w:contextualSpacing w:val="0"/>
              <w:jc w:val="center"/>
              <w:rPr>
                <w:b w:val="0"/>
                <w:color w:val="FFFFFF" w:themeColor="background1"/>
                <w:lang w:val="hy-AM"/>
              </w:rPr>
            </w:pPr>
            <w:r w:rsidRPr="007955BB">
              <w:rPr>
                <w:rFonts w:cs="Sylfaen"/>
                <w:b w:val="0"/>
                <w:color w:val="FFFFFF" w:themeColor="background1"/>
                <w:lang w:val="hy-AM"/>
              </w:rPr>
              <w:t>Գնաճ</w:t>
            </w:r>
          </w:p>
        </w:tc>
        <w:tc>
          <w:tcPr>
            <w:tcW w:w="1435" w:type="dxa"/>
            <w:shd w:val="clear" w:color="auto" w:fill="4F81BD" w:themeFill="accent1"/>
            <w:noWrap/>
            <w:vAlign w:val="bottom"/>
            <w:hideMark/>
          </w:tcPr>
          <w:p w:rsidR="00FE673E" w:rsidRPr="007955BB" w:rsidRDefault="00FE673E" w:rsidP="00B70D89">
            <w:pPr>
              <w:spacing w:after="120" w:line="240" w:lineRule="auto"/>
              <w:ind w:firstLine="0"/>
              <w:contextualSpacing w:val="0"/>
              <w:jc w:val="center"/>
              <w:rPr>
                <w:b w:val="0"/>
                <w:color w:val="FFFFFF" w:themeColor="background1"/>
                <w:lang w:val="hy-AM"/>
              </w:rPr>
            </w:pPr>
            <w:r w:rsidRPr="007955BB">
              <w:rPr>
                <w:rFonts w:cs="Sylfaen"/>
                <w:b w:val="0"/>
                <w:color w:val="FFFFFF" w:themeColor="background1"/>
                <w:lang w:val="hy-AM"/>
              </w:rPr>
              <w:t>Փոխարժեք</w:t>
            </w:r>
          </w:p>
        </w:tc>
        <w:tc>
          <w:tcPr>
            <w:tcW w:w="1568" w:type="dxa"/>
            <w:shd w:val="clear" w:color="auto" w:fill="4F81BD" w:themeFill="accent1"/>
            <w:noWrap/>
            <w:vAlign w:val="bottom"/>
            <w:hideMark/>
          </w:tcPr>
          <w:p w:rsidR="00FE673E" w:rsidRPr="007955BB" w:rsidRDefault="00FE673E" w:rsidP="00B70D89">
            <w:pPr>
              <w:spacing w:after="120" w:line="240" w:lineRule="auto"/>
              <w:ind w:firstLine="0"/>
              <w:contextualSpacing w:val="0"/>
              <w:jc w:val="center"/>
              <w:rPr>
                <w:b w:val="0"/>
                <w:color w:val="FFFFFF" w:themeColor="background1"/>
                <w:lang w:val="hy-AM"/>
              </w:rPr>
            </w:pPr>
            <w:r w:rsidRPr="007955BB">
              <w:rPr>
                <w:rFonts w:cs="Sylfaen"/>
                <w:b w:val="0"/>
                <w:color w:val="FFFFFF" w:themeColor="background1"/>
                <w:lang w:val="hy-AM"/>
              </w:rPr>
              <w:t>Ներմուծ</w:t>
            </w:r>
            <w:r w:rsidRPr="007955BB">
              <w:rPr>
                <w:b w:val="0"/>
                <w:color w:val="FFFFFF" w:themeColor="background1"/>
                <w:lang w:val="hy-AM"/>
              </w:rPr>
              <w:t>ում</w:t>
            </w:r>
          </w:p>
        </w:tc>
      </w:tr>
      <w:tr w:rsidR="00FE673E" w:rsidRPr="007955BB" w:rsidTr="00B70D89">
        <w:trPr>
          <w:trHeight w:val="476"/>
          <w:jc w:val="center"/>
        </w:trPr>
        <w:tc>
          <w:tcPr>
            <w:tcW w:w="3659" w:type="dxa"/>
            <w:noWrap/>
            <w:vAlign w:val="bottom"/>
            <w:hideMark/>
          </w:tcPr>
          <w:p w:rsidR="00FE673E" w:rsidRPr="007955BB" w:rsidRDefault="00FE673E" w:rsidP="00B70D89">
            <w:pPr>
              <w:spacing w:after="120" w:line="240" w:lineRule="auto"/>
              <w:ind w:firstLine="0"/>
              <w:contextualSpacing w:val="0"/>
              <w:rPr>
                <w:b w:val="0"/>
                <w:lang w:val="hy-AM"/>
              </w:rPr>
            </w:pPr>
            <w:r w:rsidRPr="007955BB">
              <w:rPr>
                <w:rFonts w:cs="Sylfaen"/>
                <w:b w:val="0"/>
                <w:lang w:val="hy-AM"/>
              </w:rPr>
              <w:t>Միջին տարեկան ազդեցություն</w:t>
            </w:r>
          </w:p>
        </w:tc>
        <w:tc>
          <w:tcPr>
            <w:tcW w:w="1398" w:type="dxa"/>
            <w:shd w:val="clear" w:color="auto" w:fill="auto"/>
            <w:noWrap/>
            <w:vAlign w:val="bottom"/>
            <w:hideMark/>
          </w:tcPr>
          <w:p w:rsidR="00FE673E" w:rsidRPr="007955BB" w:rsidRDefault="00FE673E" w:rsidP="00B70D89">
            <w:pPr>
              <w:spacing w:after="120" w:line="240" w:lineRule="auto"/>
              <w:ind w:firstLine="0"/>
              <w:contextualSpacing w:val="0"/>
              <w:jc w:val="right"/>
              <w:rPr>
                <w:rFonts w:cs="Calibri"/>
                <w:b w:val="0"/>
                <w:lang w:val="hy-AM"/>
              </w:rPr>
            </w:pPr>
            <w:r w:rsidRPr="007955BB">
              <w:rPr>
                <w:rFonts w:cs="Calibri"/>
                <w:b w:val="0"/>
                <w:color w:val="000000"/>
                <w:szCs w:val="22"/>
              </w:rPr>
              <w:t>0.24</w:t>
            </w:r>
          </w:p>
        </w:tc>
        <w:tc>
          <w:tcPr>
            <w:tcW w:w="1138" w:type="dxa"/>
            <w:shd w:val="clear" w:color="auto" w:fill="auto"/>
            <w:noWrap/>
            <w:vAlign w:val="bottom"/>
            <w:hideMark/>
          </w:tcPr>
          <w:p w:rsidR="00FE673E" w:rsidRPr="007955BB" w:rsidRDefault="00FE673E" w:rsidP="00B70D89">
            <w:pPr>
              <w:spacing w:after="120" w:line="240" w:lineRule="auto"/>
              <w:ind w:firstLine="0"/>
              <w:contextualSpacing w:val="0"/>
              <w:jc w:val="right"/>
              <w:rPr>
                <w:rFonts w:cs="Calibri"/>
                <w:b w:val="0"/>
                <w:lang w:val="hy-AM"/>
              </w:rPr>
            </w:pPr>
            <w:r w:rsidRPr="007955BB">
              <w:rPr>
                <w:rFonts w:cs="Calibri"/>
                <w:b w:val="0"/>
                <w:color w:val="000000"/>
                <w:szCs w:val="22"/>
              </w:rPr>
              <w:t>0.11</w:t>
            </w:r>
          </w:p>
        </w:tc>
        <w:tc>
          <w:tcPr>
            <w:tcW w:w="1435" w:type="dxa"/>
            <w:shd w:val="clear" w:color="auto" w:fill="auto"/>
            <w:noWrap/>
            <w:vAlign w:val="bottom"/>
            <w:hideMark/>
          </w:tcPr>
          <w:p w:rsidR="00FE673E" w:rsidRPr="007955BB" w:rsidRDefault="00FE673E" w:rsidP="00B70D89">
            <w:pPr>
              <w:spacing w:after="120" w:line="240" w:lineRule="auto"/>
              <w:ind w:firstLine="0"/>
              <w:contextualSpacing w:val="0"/>
              <w:jc w:val="right"/>
              <w:rPr>
                <w:rFonts w:cs="Calibri"/>
                <w:b w:val="0"/>
                <w:lang w:val="hy-AM"/>
              </w:rPr>
            </w:pPr>
            <w:r w:rsidRPr="007955BB">
              <w:rPr>
                <w:rFonts w:cs="Calibri"/>
                <w:b w:val="0"/>
                <w:color w:val="000000"/>
                <w:szCs w:val="22"/>
              </w:rPr>
              <w:t>0.16</w:t>
            </w:r>
          </w:p>
        </w:tc>
        <w:tc>
          <w:tcPr>
            <w:tcW w:w="1568" w:type="dxa"/>
            <w:shd w:val="clear" w:color="auto" w:fill="auto"/>
            <w:noWrap/>
            <w:vAlign w:val="bottom"/>
            <w:hideMark/>
          </w:tcPr>
          <w:p w:rsidR="00FE673E" w:rsidRPr="007955BB" w:rsidRDefault="00FE673E" w:rsidP="00B70D89">
            <w:pPr>
              <w:spacing w:after="120" w:line="240" w:lineRule="auto"/>
              <w:ind w:firstLine="0"/>
              <w:contextualSpacing w:val="0"/>
              <w:jc w:val="right"/>
              <w:rPr>
                <w:rFonts w:cs="Calibri"/>
                <w:b w:val="0"/>
                <w:lang w:val="hy-AM"/>
              </w:rPr>
            </w:pPr>
            <w:r w:rsidRPr="007955BB">
              <w:rPr>
                <w:rFonts w:cs="Calibri"/>
                <w:b w:val="0"/>
                <w:color w:val="000000"/>
                <w:szCs w:val="22"/>
              </w:rPr>
              <w:t>0.05</w:t>
            </w:r>
          </w:p>
        </w:tc>
      </w:tr>
    </w:tbl>
    <w:p w:rsidR="00FE673E" w:rsidRPr="007955BB" w:rsidRDefault="00FE673E" w:rsidP="00FE673E">
      <w:pPr>
        <w:spacing w:after="120" w:line="276" w:lineRule="auto"/>
        <w:ind w:firstLine="720"/>
        <w:contextualSpacing w:val="0"/>
        <w:rPr>
          <w:rFonts w:cs="Sylfaen"/>
          <w:b w:val="0"/>
          <w:lang w:val="hy-AM"/>
        </w:rPr>
      </w:pPr>
      <w:r w:rsidRPr="007955BB">
        <w:rPr>
          <w:rFonts w:cs="Sylfaen"/>
          <w:b w:val="0"/>
          <w:lang w:val="hy-AM"/>
        </w:rPr>
        <w:t>Ինչպես երևում է աղյուսակից, հարկերի հավաքագրման առումով առավել էական գործոններ են հանդիսանում ՀՆԱ-ի և փոխարժեքի փոփոխությունները:</w:t>
      </w:r>
    </w:p>
    <w:p w:rsidR="00FE673E" w:rsidRPr="007955BB" w:rsidRDefault="00FE673E" w:rsidP="00FE673E">
      <w:pPr>
        <w:spacing w:after="120" w:line="276" w:lineRule="auto"/>
        <w:ind w:firstLine="720"/>
        <w:contextualSpacing w:val="0"/>
        <w:rPr>
          <w:rFonts w:cs="Sylfaen"/>
          <w:b w:val="0"/>
          <w:lang w:val="hy-AM"/>
        </w:rPr>
      </w:pPr>
      <w:r w:rsidRPr="007955BB">
        <w:rPr>
          <w:rFonts w:cs="Sylfaen"/>
          <w:b w:val="0"/>
          <w:lang w:val="hy-AM"/>
        </w:rPr>
        <w:t>Հարկային եկամուտների կանխատեսումների հետ կապված անորոշությունների և ռիսկերի հաշվեկշռի վերաբերյալ գնահատականներն իրենց արտացոլումն են գտել ստորև ներկայացվող հարկային եկամուտների հավանականային բաշխման գծապատկերում և համապատասխան աղյուսակում (տես` Գծապատկեր 2.1 և Աղյուսակ 2</w:t>
      </w:r>
      <w:r w:rsidRPr="00625305">
        <w:rPr>
          <w:rFonts w:cs="Sylfaen"/>
          <w:b w:val="0"/>
          <w:lang w:val="hy-AM"/>
        </w:rPr>
        <w:t>1</w:t>
      </w:r>
      <w:r w:rsidRPr="007955BB">
        <w:rPr>
          <w:rFonts w:cs="Sylfaen"/>
          <w:b w:val="0"/>
          <w:lang w:val="hy-AM"/>
        </w:rPr>
        <w:t>)</w:t>
      </w:r>
      <w:r w:rsidRPr="007955BB">
        <w:rPr>
          <w:rStyle w:val="FootnoteReference"/>
          <w:rFonts w:cs="Sylfaen"/>
          <w:b w:val="0"/>
          <w:lang w:val="hy-AM"/>
        </w:rPr>
        <w:footnoteReference w:id="22"/>
      </w:r>
      <w:r w:rsidRPr="007955BB">
        <w:rPr>
          <w:rFonts w:cs="Sylfaen"/>
          <w:b w:val="0"/>
          <w:lang w:val="hy-AM"/>
        </w:rPr>
        <w:t>: Հավանականային բաշխման գրաֆիկի կառուցման ժամանակ օգտագործվել է աղյուսակ 1</w:t>
      </w:r>
      <w:r w:rsidRPr="00625305">
        <w:rPr>
          <w:rFonts w:cs="Sylfaen"/>
          <w:b w:val="0"/>
          <w:lang w:val="hy-AM"/>
        </w:rPr>
        <w:t>9</w:t>
      </w:r>
      <w:r w:rsidRPr="007955BB">
        <w:rPr>
          <w:rFonts w:cs="Sylfaen"/>
          <w:b w:val="0"/>
          <w:lang w:val="hy-AM"/>
        </w:rPr>
        <w:t>-ում գնահատված ամբողջական ռիսկերի միաժամանակյա հանդես գալու պայմաններում ի հայտ եկող բացասական ռիսկերը:</w:t>
      </w:r>
    </w:p>
    <w:p w:rsidR="00FE673E" w:rsidRPr="007955BB" w:rsidRDefault="00FE673E" w:rsidP="00FE673E">
      <w:pPr>
        <w:pStyle w:val="Caption"/>
        <w:spacing w:after="120" w:line="240" w:lineRule="auto"/>
        <w:contextualSpacing w:val="0"/>
        <w:rPr>
          <w:rFonts w:eastAsia="Calibri"/>
          <w:i/>
          <w:sz w:val="20"/>
          <w:szCs w:val="20"/>
          <w:lang w:val="hy-AM" w:eastAsia="en-US"/>
        </w:rPr>
      </w:pPr>
      <w:r w:rsidRPr="007955BB">
        <w:rPr>
          <w:rFonts w:eastAsia="Calibri"/>
          <w:i/>
          <w:sz w:val="20"/>
          <w:szCs w:val="20"/>
          <w:lang w:val="hy-AM" w:eastAsia="en-US"/>
        </w:rPr>
        <w:t>Գծապատկեր 2.1. Հարկային եկամուտների տարեկան աճի տեմպերի կանխատեսումների հավանականային բաշխումը</w:t>
      </w:r>
      <w:r w:rsidRPr="007955BB">
        <w:rPr>
          <w:rFonts w:eastAsia="Calibri"/>
          <w:i/>
          <w:sz w:val="20"/>
          <w:szCs w:val="20"/>
          <w:vertAlign w:val="superscript"/>
          <w:lang w:val="hy-AM" w:eastAsia="en-US"/>
        </w:rPr>
        <w:footnoteReference w:id="23"/>
      </w:r>
      <w:r w:rsidRPr="007955BB">
        <w:rPr>
          <w:rFonts w:eastAsia="Calibri"/>
          <w:i/>
          <w:sz w:val="20"/>
          <w:szCs w:val="20"/>
          <w:lang w:val="hy-AM" w:eastAsia="en-US"/>
        </w:rPr>
        <w:t>, տոկոս</w:t>
      </w:r>
    </w:p>
    <w:p w:rsidR="00FE673E" w:rsidRPr="007955BB" w:rsidRDefault="00FE673E" w:rsidP="00FE673E">
      <w:pPr>
        <w:tabs>
          <w:tab w:val="left" w:pos="90"/>
        </w:tabs>
        <w:spacing w:after="120" w:line="276" w:lineRule="auto"/>
        <w:ind w:firstLine="0"/>
        <w:contextualSpacing w:val="0"/>
        <w:jc w:val="center"/>
        <w:rPr>
          <w:b w:val="0"/>
          <w:i/>
          <w:u w:val="single"/>
          <w:lang w:val="hy-AM"/>
        </w:rPr>
      </w:pPr>
      <w:r w:rsidRPr="007955BB">
        <w:rPr>
          <w:noProof/>
          <w:lang w:val="en-US" w:eastAsia="en-US"/>
        </w:rPr>
        <w:drawing>
          <wp:inline distT="0" distB="0" distL="0" distR="0" wp14:anchorId="220ECD17" wp14:editId="2CDEAC05">
            <wp:extent cx="5553075" cy="213360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FE673E" w:rsidRDefault="00FE673E" w:rsidP="00FE673E">
      <w:pPr>
        <w:spacing w:after="120" w:line="276" w:lineRule="auto"/>
        <w:ind w:firstLine="720"/>
        <w:contextualSpacing w:val="0"/>
        <w:rPr>
          <w:rFonts w:cs="Sylfaen"/>
          <w:b w:val="0"/>
          <w:lang w:val="hy-AM"/>
        </w:rPr>
      </w:pPr>
      <w:r w:rsidRPr="007955BB">
        <w:rPr>
          <w:rFonts w:cs="Sylfaen"/>
          <w:b w:val="0"/>
          <w:lang w:val="hy-AM"/>
        </w:rPr>
        <w:t xml:space="preserve">Կանխատեսումների բաշխման հավանականություններն առավել պարզորոշ երևում են ստորև բերվող աղյուսակում: </w:t>
      </w:r>
    </w:p>
    <w:p w:rsidR="00FE673E" w:rsidRDefault="00FE673E" w:rsidP="00FE673E">
      <w:pPr>
        <w:spacing w:after="120" w:line="276" w:lineRule="auto"/>
        <w:ind w:firstLine="720"/>
        <w:contextualSpacing w:val="0"/>
        <w:rPr>
          <w:rFonts w:cs="Sylfaen"/>
          <w:b w:val="0"/>
          <w:lang w:val="hy-AM"/>
        </w:rPr>
      </w:pPr>
    </w:p>
    <w:p w:rsidR="00FE673E" w:rsidRPr="007955BB" w:rsidRDefault="00FE673E" w:rsidP="00FE673E">
      <w:pPr>
        <w:pStyle w:val="Caption"/>
        <w:spacing w:after="120"/>
        <w:ind w:firstLine="360"/>
        <w:contextualSpacing w:val="0"/>
        <w:rPr>
          <w:rFonts w:eastAsia="Calibri"/>
          <w:i/>
          <w:sz w:val="20"/>
          <w:szCs w:val="20"/>
          <w:lang w:val="hy-AM" w:eastAsia="en-US"/>
        </w:rPr>
      </w:pPr>
      <w:bookmarkStart w:id="385" w:name="_Toc83928956"/>
      <w:r w:rsidRPr="007955BB">
        <w:rPr>
          <w:rFonts w:cs="Sylfaen"/>
          <w:bCs w:val="0"/>
          <w:color w:val="auto"/>
          <w:sz w:val="22"/>
          <w:szCs w:val="24"/>
          <w:lang w:val="hy-AM"/>
        </w:rPr>
        <w:t xml:space="preserve"> </w:t>
      </w:r>
      <w:bookmarkStart w:id="386" w:name="_Toc120805277"/>
      <w:r w:rsidRPr="007955BB">
        <w:rPr>
          <w:lang w:val="hy-AM"/>
        </w:rPr>
        <w:t xml:space="preserve">Աղյուսակ </w:t>
      </w:r>
      <w:r w:rsidRPr="007955BB">
        <w:fldChar w:fldCharType="begin"/>
      </w:r>
      <w:r w:rsidRPr="007955BB">
        <w:rPr>
          <w:lang w:val="hy-AM"/>
        </w:rPr>
        <w:instrText xml:space="preserve"> SEQ Աղյուսակ \* ARABIC </w:instrText>
      </w:r>
      <w:r w:rsidRPr="007955BB">
        <w:fldChar w:fldCharType="separate"/>
      </w:r>
      <w:r w:rsidR="00F77CAF">
        <w:rPr>
          <w:noProof/>
          <w:lang w:val="hy-AM"/>
        </w:rPr>
        <w:t>18</w:t>
      </w:r>
      <w:r w:rsidRPr="007955BB">
        <w:fldChar w:fldCharType="end"/>
      </w:r>
      <w:r w:rsidRPr="007955BB">
        <w:rPr>
          <w:lang w:val="hy-AM"/>
        </w:rPr>
        <w:t>.</w:t>
      </w:r>
      <w:r w:rsidRPr="007955BB">
        <w:rPr>
          <w:rFonts w:eastAsia="Calibri"/>
          <w:i/>
          <w:sz w:val="20"/>
          <w:szCs w:val="20"/>
          <w:lang w:val="hy-AM" w:eastAsia="en-US"/>
        </w:rPr>
        <w:t xml:space="preserve"> Հարկային եկամուտների կանխատեսումների հավանականային բաշխումը</w:t>
      </w:r>
      <w:bookmarkEnd w:id="385"/>
      <w:bookmarkEnd w:id="386"/>
    </w:p>
    <w:tbl>
      <w:tblPr>
        <w:tblW w:w="8195" w:type="dxa"/>
        <w:tblInd w:w="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4"/>
        <w:gridCol w:w="1189"/>
        <w:gridCol w:w="1157"/>
        <w:gridCol w:w="1157"/>
        <w:gridCol w:w="1658"/>
      </w:tblGrid>
      <w:tr w:rsidR="00FE673E" w:rsidRPr="00C43BF7" w:rsidTr="00B70D89">
        <w:trPr>
          <w:trHeight w:val="1162"/>
        </w:trPr>
        <w:tc>
          <w:tcPr>
            <w:tcW w:w="3034" w:type="dxa"/>
            <w:shd w:val="clear" w:color="000000" w:fill="4472C4"/>
            <w:vAlign w:val="center"/>
            <w:hideMark/>
          </w:tcPr>
          <w:p w:rsidR="00FE673E" w:rsidRPr="007955BB" w:rsidRDefault="00FE673E" w:rsidP="00B70D89">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Հարկային եկամուտների աճի միջակայքը</w:t>
            </w:r>
          </w:p>
        </w:tc>
        <w:tc>
          <w:tcPr>
            <w:tcW w:w="5161" w:type="dxa"/>
            <w:gridSpan w:val="4"/>
            <w:shd w:val="clear" w:color="000000" w:fill="4472C4"/>
            <w:vAlign w:val="center"/>
            <w:hideMark/>
          </w:tcPr>
          <w:p w:rsidR="00FE673E" w:rsidRPr="007955BB" w:rsidRDefault="00FE673E" w:rsidP="00B70D89">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Հարկային եկամուտների աճի` տվյալ  միջակայքում ձևավորվելու հավանականությունը</w:t>
            </w:r>
          </w:p>
        </w:tc>
      </w:tr>
      <w:tr w:rsidR="00FE673E" w:rsidRPr="007955BB" w:rsidTr="00B70D89">
        <w:trPr>
          <w:trHeight w:val="172"/>
        </w:trPr>
        <w:tc>
          <w:tcPr>
            <w:tcW w:w="3034" w:type="dxa"/>
            <w:shd w:val="clear" w:color="000000" w:fill="4472C4"/>
            <w:vAlign w:val="center"/>
            <w:hideMark/>
          </w:tcPr>
          <w:p w:rsidR="00FE673E" w:rsidRPr="007955BB" w:rsidRDefault="00FE673E" w:rsidP="00B70D89">
            <w:pPr>
              <w:spacing w:before="0" w:line="240" w:lineRule="auto"/>
              <w:ind w:firstLine="0"/>
              <w:contextualSpacing w:val="0"/>
              <w:jc w:val="center"/>
              <w:rPr>
                <w:rFonts w:ascii="Calibri" w:hAnsi="Calibri" w:cs="Calibri"/>
                <w:bCs/>
                <w:color w:val="FFFFFF"/>
                <w:szCs w:val="22"/>
                <w:lang w:val="en-US" w:eastAsia="en-US"/>
              </w:rPr>
            </w:pPr>
            <w:r w:rsidRPr="007955BB">
              <w:rPr>
                <w:rFonts w:ascii="Calibri" w:hAnsi="Calibri" w:cs="Calibri"/>
                <w:bCs/>
                <w:color w:val="FFFFFF"/>
                <w:szCs w:val="22"/>
                <w:lang w:val="en-US" w:eastAsia="en-US"/>
              </w:rPr>
              <w:t> </w:t>
            </w:r>
          </w:p>
        </w:tc>
        <w:tc>
          <w:tcPr>
            <w:tcW w:w="5161" w:type="dxa"/>
            <w:gridSpan w:val="4"/>
            <w:shd w:val="clear" w:color="000000" w:fill="4472C4"/>
            <w:noWrap/>
            <w:vAlign w:val="center"/>
            <w:hideMark/>
          </w:tcPr>
          <w:p w:rsidR="00FE673E" w:rsidRPr="007955BB" w:rsidRDefault="00FE673E" w:rsidP="00B70D89">
            <w:pPr>
              <w:spacing w:before="0" w:line="240" w:lineRule="auto"/>
              <w:ind w:firstLine="0"/>
              <w:contextualSpacing w:val="0"/>
              <w:jc w:val="center"/>
              <w:rPr>
                <w:rFonts w:cs="Calibri"/>
                <w:bCs/>
                <w:color w:val="FFFFFF"/>
                <w:szCs w:val="22"/>
                <w:lang w:val="en-US" w:eastAsia="en-US"/>
              </w:rPr>
            </w:pPr>
            <w:r w:rsidRPr="007955BB">
              <w:rPr>
                <w:rFonts w:cs="Calibri"/>
                <w:bCs/>
                <w:color w:val="FFFFFF"/>
                <w:szCs w:val="22"/>
                <w:lang w:val="en-US" w:eastAsia="en-US"/>
              </w:rPr>
              <w:t>2023</w:t>
            </w:r>
          </w:p>
        </w:tc>
      </w:tr>
      <w:tr w:rsidR="00FE673E" w:rsidRPr="007955BB" w:rsidTr="00B70D89">
        <w:trPr>
          <w:trHeight w:val="165"/>
        </w:trPr>
        <w:tc>
          <w:tcPr>
            <w:tcW w:w="3034" w:type="dxa"/>
            <w:shd w:val="clear" w:color="000000" w:fill="4472C4"/>
            <w:vAlign w:val="center"/>
            <w:hideMark/>
          </w:tcPr>
          <w:p w:rsidR="00FE673E" w:rsidRPr="007955BB" w:rsidRDefault="00FE673E" w:rsidP="00B70D89">
            <w:pPr>
              <w:spacing w:before="0" w:line="240" w:lineRule="auto"/>
              <w:ind w:firstLine="0"/>
              <w:contextualSpacing w:val="0"/>
              <w:jc w:val="center"/>
              <w:rPr>
                <w:rFonts w:ascii="Calibri" w:hAnsi="Calibri" w:cs="Calibri"/>
                <w:bCs/>
                <w:color w:val="FFFFFF"/>
                <w:szCs w:val="22"/>
                <w:lang w:val="en-US" w:eastAsia="en-US"/>
              </w:rPr>
            </w:pPr>
            <w:r w:rsidRPr="007955BB">
              <w:rPr>
                <w:rFonts w:ascii="Calibri" w:hAnsi="Calibri" w:cs="Calibri"/>
                <w:bCs/>
                <w:color w:val="FFFFFF"/>
                <w:szCs w:val="22"/>
                <w:lang w:val="en-US" w:eastAsia="en-US"/>
              </w:rPr>
              <w:t> </w:t>
            </w:r>
          </w:p>
        </w:tc>
        <w:tc>
          <w:tcPr>
            <w:tcW w:w="1189" w:type="dxa"/>
            <w:shd w:val="clear" w:color="000000" w:fill="4472C4"/>
            <w:noWrap/>
            <w:vAlign w:val="center"/>
            <w:hideMark/>
          </w:tcPr>
          <w:p w:rsidR="00FE673E" w:rsidRPr="007955BB" w:rsidRDefault="00FE673E" w:rsidP="00B70D89">
            <w:pPr>
              <w:spacing w:before="0" w:line="240" w:lineRule="auto"/>
              <w:ind w:firstLine="0"/>
              <w:contextualSpacing w:val="0"/>
              <w:jc w:val="center"/>
              <w:rPr>
                <w:rFonts w:cs="Calibri"/>
                <w:bCs/>
                <w:color w:val="FFFFFF"/>
                <w:szCs w:val="22"/>
                <w:lang w:val="en-US" w:eastAsia="en-US"/>
              </w:rPr>
            </w:pPr>
            <w:r w:rsidRPr="007955BB">
              <w:rPr>
                <w:rFonts w:cs="Calibri"/>
                <w:bCs/>
                <w:color w:val="FFFFFF"/>
                <w:szCs w:val="22"/>
                <w:lang w:val="en-US" w:eastAsia="en-US"/>
              </w:rPr>
              <w:t>1</w:t>
            </w:r>
          </w:p>
        </w:tc>
        <w:tc>
          <w:tcPr>
            <w:tcW w:w="1157" w:type="dxa"/>
            <w:shd w:val="clear" w:color="000000" w:fill="4472C4"/>
            <w:noWrap/>
            <w:vAlign w:val="center"/>
            <w:hideMark/>
          </w:tcPr>
          <w:p w:rsidR="00FE673E" w:rsidRPr="007955BB" w:rsidRDefault="00FE673E" w:rsidP="00B70D89">
            <w:pPr>
              <w:spacing w:before="0" w:line="240" w:lineRule="auto"/>
              <w:ind w:firstLine="0"/>
              <w:contextualSpacing w:val="0"/>
              <w:jc w:val="center"/>
              <w:rPr>
                <w:rFonts w:cs="Calibri"/>
                <w:bCs/>
                <w:color w:val="FFFFFF"/>
                <w:szCs w:val="22"/>
                <w:lang w:val="en-US" w:eastAsia="en-US"/>
              </w:rPr>
            </w:pPr>
            <w:r w:rsidRPr="007955BB">
              <w:rPr>
                <w:rFonts w:cs="Calibri"/>
                <w:bCs/>
                <w:color w:val="FFFFFF"/>
                <w:szCs w:val="22"/>
                <w:lang w:val="en-US" w:eastAsia="en-US"/>
              </w:rPr>
              <w:t>2</w:t>
            </w:r>
          </w:p>
        </w:tc>
        <w:tc>
          <w:tcPr>
            <w:tcW w:w="1157" w:type="dxa"/>
            <w:shd w:val="clear" w:color="000000" w:fill="4472C4"/>
            <w:noWrap/>
            <w:vAlign w:val="center"/>
            <w:hideMark/>
          </w:tcPr>
          <w:p w:rsidR="00FE673E" w:rsidRPr="007955BB" w:rsidRDefault="00FE673E" w:rsidP="00B70D89">
            <w:pPr>
              <w:spacing w:before="0" w:line="240" w:lineRule="auto"/>
              <w:ind w:firstLine="0"/>
              <w:contextualSpacing w:val="0"/>
              <w:jc w:val="center"/>
              <w:rPr>
                <w:rFonts w:cs="Calibri"/>
                <w:bCs/>
                <w:color w:val="FFFFFF"/>
                <w:szCs w:val="22"/>
                <w:lang w:val="en-US" w:eastAsia="en-US"/>
              </w:rPr>
            </w:pPr>
            <w:r w:rsidRPr="007955BB">
              <w:rPr>
                <w:rFonts w:cs="Calibri"/>
                <w:bCs/>
                <w:color w:val="FFFFFF"/>
                <w:szCs w:val="22"/>
                <w:lang w:val="en-US" w:eastAsia="en-US"/>
              </w:rPr>
              <w:t>3</w:t>
            </w:r>
          </w:p>
        </w:tc>
        <w:tc>
          <w:tcPr>
            <w:tcW w:w="1658" w:type="dxa"/>
            <w:shd w:val="clear" w:color="000000" w:fill="4472C4"/>
            <w:noWrap/>
            <w:vAlign w:val="center"/>
            <w:hideMark/>
          </w:tcPr>
          <w:p w:rsidR="00FE673E" w:rsidRPr="007955BB" w:rsidRDefault="00FE673E" w:rsidP="00B70D89">
            <w:pPr>
              <w:spacing w:before="0" w:line="240" w:lineRule="auto"/>
              <w:ind w:firstLine="0"/>
              <w:contextualSpacing w:val="0"/>
              <w:jc w:val="center"/>
              <w:rPr>
                <w:rFonts w:cs="Calibri"/>
                <w:bCs/>
                <w:color w:val="FFFFFF"/>
                <w:szCs w:val="22"/>
                <w:lang w:val="en-US" w:eastAsia="en-US"/>
              </w:rPr>
            </w:pPr>
            <w:r w:rsidRPr="007955BB">
              <w:rPr>
                <w:rFonts w:cs="Calibri"/>
                <w:bCs/>
                <w:color w:val="FFFFFF"/>
                <w:szCs w:val="22"/>
                <w:lang w:val="en-US" w:eastAsia="en-US"/>
              </w:rPr>
              <w:t>4</w:t>
            </w:r>
          </w:p>
        </w:tc>
      </w:tr>
      <w:tr w:rsidR="00FE673E" w:rsidRPr="007955BB" w:rsidTr="00B70D89">
        <w:trPr>
          <w:trHeight w:val="172"/>
        </w:trPr>
        <w:tc>
          <w:tcPr>
            <w:tcW w:w="3034" w:type="dxa"/>
            <w:shd w:val="clear" w:color="auto" w:fill="auto"/>
            <w:noWrap/>
            <w:vAlign w:val="center"/>
            <w:hideMark/>
          </w:tcPr>
          <w:p w:rsidR="00FE673E" w:rsidRPr="007955BB" w:rsidRDefault="00FE673E" w:rsidP="00B70D89">
            <w:pPr>
              <w:spacing w:before="0" w:line="240" w:lineRule="auto"/>
              <w:ind w:firstLine="0"/>
              <w:contextualSpacing w:val="0"/>
              <w:jc w:val="center"/>
              <w:rPr>
                <w:rFonts w:cs="Calibri"/>
                <w:bCs/>
                <w:color w:val="000000"/>
                <w:szCs w:val="22"/>
                <w:lang w:val="en-US" w:eastAsia="en-US"/>
              </w:rPr>
            </w:pPr>
            <w:r w:rsidRPr="007955BB">
              <w:rPr>
                <w:rFonts w:cs="Calibri"/>
                <w:bCs/>
                <w:color w:val="000000"/>
                <w:szCs w:val="22"/>
                <w:lang w:val="en-US" w:eastAsia="en-US"/>
              </w:rPr>
              <w:t>8-13 տոկոս</w:t>
            </w:r>
          </w:p>
        </w:tc>
        <w:tc>
          <w:tcPr>
            <w:tcW w:w="1189" w:type="dxa"/>
            <w:shd w:val="clear" w:color="auto" w:fill="auto"/>
            <w:noWrap/>
            <w:vAlign w:val="center"/>
            <w:hideMark/>
          </w:tcPr>
          <w:p w:rsidR="00FE673E" w:rsidRPr="007955BB" w:rsidRDefault="00FE673E" w:rsidP="00B70D89">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0.04</w:t>
            </w:r>
          </w:p>
        </w:tc>
        <w:tc>
          <w:tcPr>
            <w:tcW w:w="1157" w:type="dxa"/>
            <w:shd w:val="clear" w:color="auto" w:fill="auto"/>
            <w:noWrap/>
            <w:vAlign w:val="center"/>
            <w:hideMark/>
          </w:tcPr>
          <w:p w:rsidR="00FE673E" w:rsidRPr="007955BB" w:rsidRDefault="00FE673E" w:rsidP="00B70D89">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0.16</w:t>
            </w:r>
          </w:p>
        </w:tc>
        <w:tc>
          <w:tcPr>
            <w:tcW w:w="1157" w:type="dxa"/>
            <w:shd w:val="clear" w:color="auto" w:fill="auto"/>
            <w:noWrap/>
            <w:vAlign w:val="center"/>
            <w:hideMark/>
          </w:tcPr>
          <w:p w:rsidR="00FE673E" w:rsidRPr="007955BB" w:rsidRDefault="00FE673E" w:rsidP="00B70D89">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0.22</w:t>
            </w:r>
          </w:p>
        </w:tc>
        <w:tc>
          <w:tcPr>
            <w:tcW w:w="1658" w:type="dxa"/>
            <w:shd w:val="clear" w:color="auto" w:fill="auto"/>
            <w:noWrap/>
            <w:vAlign w:val="center"/>
            <w:hideMark/>
          </w:tcPr>
          <w:p w:rsidR="00FE673E" w:rsidRPr="007955BB" w:rsidRDefault="00FE673E" w:rsidP="00B70D89">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0.34</w:t>
            </w:r>
          </w:p>
        </w:tc>
      </w:tr>
      <w:tr w:rsidR="00FE673E" w:rsidRPr="007955BB" w:rsidTr="00B70D89">
        <w:trPr>
          <w:trHeight w:val="172"/>
        </w:trPr>
        <w:tc>
          <w:tcPr>
            <w:tcW w:w="3034" w:type="dxa"/>
            <w:shd w:val="clear" w:color="auto" w:fill="auto"/>
            <w:noWrap/>
            <w:vAlign w:val="center"/>
            <w:hideMark/>
          </w:tcPr>
          <w:p w:rsidR="00FE673E" w:rsidRPr="007955BB" w:rsidRDefault="00FE673E" w:rsidP="00B70D89">
            <w:pPr>
              <w:spacing w:before="0" w:line="240" w:lineRule="auto"/>
              <w:ind w:firstLine="0"/>
              <w:contextualSpacing w:val="0"/>
              <w:jc w:val="center"/>
              <w:rPr>
                <w:rFonts w:cs="Calibri"/>
                <w:bCs/>
                <w:color w:val="000000"/>
                <w:szCs w:val="22"/>
                <w:lang w:val="en-US" w:eastAsia="en-US"/>
              </w:rPr>
            </w:pPr>
            <w:r w:rsidRPr="007955BB">
              <w:rPr>
                <w:rFonts w:cs="Calibri"/>
                <w:bCs/>
                <w:color w:val="000000"/>
                <w:szCs w:val="22"/>
                <w:lang w:val="en-US" w:eastAsia="en-US"/>
              </w:rPr>
              <w:t>13-18 տոկոս</w:t>
            </w:r>
          </w:p>
        </w:tc>
        <w:tc>
          <w:tcPr>
            <w:tcW w:w="1189" w:type="dxa"/>
            <w:shd w:val="clear" w:color="auto" w:fill="auto"/>
            <w:noWrap/>
            <w:vAlign w:val="center"/>
            <w:hideMark/>
          </w:tcPr>
          <w:p w:rsidR="00FE673E" w:rsidRPr="007955BB" w:rsidRDefault="00FE673E" w:rsidP="00B70D89">
            <w:pPr>
              <w:spacing w:before="0" w:line="240" w:lineRule="auto"/>
              <w:ind w:firstLine="0"/>
              <w:contextualSpacing w:val="0"/>
              <w:jc w:val="center"/>
              <w:rPr>
                <w:rFonts w:cs="Calibri"/>
                <w:bCs/>
                <w:i/>
                <w:iCs/>
                <w:color w:val="000000"/>
                <w:szCs w:val="22"/>
                <w:u w:val="single"/>
                <w:lang w:val="en-US" w:eastAsia="en-US"/>
              </w:rPr>
            </w:pPr>
            <w:r w:rsidRPr="007955BB">
              <w:rPr>
                <w:rFonts w:cs="Calibri"/>
                <w:bCs/>
                <w:i/>
                <w:iCs/>
                <w:color w:val="000000"/>
                <w:szCs w:val="22"/>
                <w:u w:val="single"/>
                <w:lang w:val="en-US" w:eastAsia="en-US"/>
              </w:rPr>
              <w:t>0.49</w:t>
            </w:r>
          </w:p>
        </w:tc>
        <w:tc>
          <w:tcPr>
            <w:tcW w:w="1157" w:type="dxa"/>
            <w:shd w:val="clear" w:color="auto" w:fill="auto"/>
            <w:noWrap/>
            <w:vAlign w:val="center"/>
            <w:hideMark/>
          </w:tcPr>
          <w:p w:rsidR="00FE673E" w:rsidRPr="007955BB" w:rsidRDefault="00FE673E" w:rsidP="00B70D89">
            <w:pPr>
              <w:spacing w:before="0" w:line="240" w:lineRule="auto"/>
              <w:ind w:firstLine="0"/>
              <w:contextualSpacing w:val="0"/>
              <w:jc w:val="center"/>
              <w:rPr>
                <w:rFonts w:cs="Calibri"/>
                <w:bCs/>
                <w:i/>
                <w:iCs/>
                <w:color w:val="000000"/>
                <w:szCs w:val="22"/>
                <w:u w:val="single"/>
                <w:lang w:val="en-US" w:eastAsia="en-US"/>
              </w:rPr>
            </w:pPr>
            <w:r w:rsidRPr="007955BB">
              <w:rPr>
                <w:rFonts w:cs="Calibri"/>
                <w:bCs/>
                <w:i/>
                <w:iCs/>
                <w:color w:val="000000"/>
                <w:szCs w:val="22"/>
                <w:u w:val="single"/>
                <w:lang w:val="en-US" w:eastAsia="en-US"/>
              </w:rPr>
              <w:t>0.67</w:t>
            </w:r>
          </w:p>
        </w:tc>
        <w:tc>
          <w:tcPr>
            <w:tcW w:w="1157" w:type="dxa"/>
            <w:shd w:val="clear" w:color="auto" w:fill="auto"/>
            <w:noWrap/>
            <w:vAlign w:val="center"/>
            <w:hideMark/>
          </w:tcPr>
          <w:p w:rsidR="00FE673E" w:rsidRPr="007955BB" w:rsidRDefault="00FE673E" w:rsidP="00B70D89">
            <w:pPr>
              <w:spacing w:before="0" w:line="240" w:lineRule="auto"/>
              <w:ind w:firstLine="0"/>
              <w:contextualSpacing w:val="0"/>
              <w:jc w:val="center"/>
              <w:rPr>
                <w:rFonts w:cs="Calibri"/>
                <w:bCs/>
                <w:i/>
                <w:iCs/>
                <w:color w:val="000000"/>
                <w:szCs w:val="22"/>
                <w:u w:val="single"/>
                <w:lang w:val="en-US" w:eastAsia="en-US"/>
              </w:rPr>
            </w:pPr>
            <w:r w:rsidRPr="007955BB">
              <w:rPr>
                <w:rFonts w:cs="Calibri"/>
                <w:bCs/>
                <w:i/>
                <w:iCs/>
                <w:color w:val="000000"/>
                <w:szCs w:val="22"/>
                <w:u w:val="single"/>
                <w:lang w:val="en-US" w:eastAsia="en-US"/>
              </w:rPr>
              <w:t>0.67</w:t>
            </w:r>
          </w:p>
        </w:tc>
        <w:tc>
          <w:tcPr>
            <w:tcW w:w="1658" w:type="dxa"/>
            <w:shd w:val="clear" w:color="auto" w:fill="auto"/>
            <w:noWrap/>
            <w:vAlign w:val="center"/>
            <w:hideMark/>
          </w:tcPr>
          <w:p w:rsidR="00FE673E" w:rsidRPr="007955BB" w:rsidRDefault="00FE673E" w:rsidP="00B70D89">
            <w:pPr>
              <w:spacing w:before="0" w:line="240" w:lineRule="auto"/>
              <w:ind w:firstLine="0"/>
              <w:contextualSpacing w:val="0"/>
              <w:jc w:val="center"/>
              <w:rPr>
                <w:rFonts w:cs="Calibri"/>
                <w:bCs/>
                <w:i/>
                <w:iCs/>
                <w:color w:val="000000"/>
                <w:szCs w:val="22"/>
                <w:u w:val="single"/>
                <w:lang w:val="en-US" w:eastAsia="en-US"/>
              </w:rPr>
            </w:pPr>
            <w:r w:rsidRPr="007955BB">
              <w:rPr>
                <w:rFonts w:cs="Calibri"/>
                <w:bCs/>
                <w:i/>
                <w:iCs/>
                <w:color w:val="000000"/>
                <w:szCs w:val="22"/>
                <w:u w:val="single"/>
                <w:lang w:val="en-US" w:eastAsia="en-US"/>
              </w:rPr>
              <w:t>0.60</w:t>
            </w:r>
          </w:p>
        </w:tc>
      </w:tr>
      <w:tr w:rsidR="00FE673E" w:rsidRPr="007955BB" w:rsidTr="00B70D89">
        <w:trPr>
          <w:trHeight w:val="172"/>
        </w:trPr>
        <w:tc>
          <w:tcPr>
            <w:tcW w:w="3034" w:type="dxa"/>
            <w:shd w:val="clear" w:color="auto" w:fill="auto"/>
            <w:noWrap/>
            <w:vAlign w:val="center"/>
            <w:hideMark/>
          </w:tcPr>
          <w:p w:rsidR="00FE673E" w:rsidRPr="007955BB" w:rsidRDefault="00FE673E" w:rsidP="00B70D89">
            <w:pPr>
              <w:spacing w:before="0" w:line="240" w:lineRule="auto"/>
              <w:ind w:firstLine="0"/>
              <w:contextualSpacing w:val="0"/>
              <w:jc w:val="center"/>
              <w:rPr>
                <w:rFonts w:cs="Calibri"/>
                <w:bCs/>
                <w:color w:val="000000"/>
                <w:szCs w:val="22"/>
                <w:lang w:val="en-US" w:eastAsia="en-US"/>
              </w:rPr>
            </w:pPr>
            <w:r w:rsidRPr="007955BB">
              <w:rPr>
                <w:rFonts w:cs="Calibri"/>
                <w:bCs/>
                <w:color w:val="000000"/>
                <w:szCs w:val="22"/>
                <w:lang w:val="en-US" w:eastAsia="en-US"/>
              </w:rPr>
              <w:t>18-23 տոկոս</w:t>
            </w:r>
          </w:p>
        </w:tc>
        <w:tc>
          <w:tcPr>
            <w:tcW w:w="1189" w:type="dxa"/>
            <w:shd w:val="clear" w:color="auto" w:fill="auto"/>
            <w:noWrap/>
            <w:vAlign w:val="center"/>
            <w:hideMark/>
          </w:tcPr>
          <w:p w:rsidR="00FE673E" w:rsidRPr="007955BB" w:rsidRDefault="00FE673E" w:rsidP="00B70D89">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0.47</w:t>
            </w:r>
          </w:p>
        </w:tc>
        <w:tc>
          <w:tcPr>
            <w:tcW w:w="1157" w:type="dxa"/>
            <w:shd w:val="clear" w:color="auto" w:fill="auto"/>
            <w:noWrap/>
            <w:vAlign w:val="center"/>
            <w:hideMark/>
          </w:tcPr>
          <w:p w:rsidR="00FE673E" w:rsidRPr="007955BB" w:rsidRDefault="00FE673E" w:rsidP="00B70D89">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0.16</w:t>
            </w:r>
          </w:p>
        </w:tc>
        <w:tc>
          <w:tcPr>
            <w:tcW w:w="1157" w:type="dxa"/>
            <w:shd w:val="clear" w:color="auto" w:fill="auto"/>
            <w:noWrap/>
            <w:vAlign w:val="center"/>
            <w:hideMark/>
          </w:tcPr>
          <w:p w:rsidR="00FE673E" w:rsidRPr="007955BB" w:rsidRDefault="00FE673E" w:rsidP="00B70D89">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0.10</w:t>
            </w:r>
          </w:p>
        </w:tc>
        <w:tc>
          <w:tcPr>
            <w:tcW w:w="1658" w:type="dxa"/>
            <w:shd w:val="clear" w:color="auto" w:fill="auto"/>
            <w:noWrap/>
            <w:vAlign w:val="center"/>
            <w:hideMark/>
          </w:tcPr>
          <w:p w:rsidR="00FE673E" w:rsidRPr="007955BB" w:rsidRDefault="00FE673E" w:rsidP="00B70D89">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0.04</w:t>
            </w:r>
          </w:p>
        </w:tc>
      </w:tr>
    </w:tbl>
    <w:p w:rsidR="00FE673E" w:rsidRPr="007955BB" w:rsidRDefault="00FE673E" w:rsidP="00FE673E">
      <w:pPr>
        <w:spacing w:after="120" w:line="276" w:lineRule="auto"/>
        <w:contextualSpacing w:val="0"/>
        <w:rPr>
          <w:rFonts w:cs="Sylfaen"/>
          <w:b w:val="0"/>
          <w:lang w:val="hy-AM"/>
        </w:rPr>
      </w:pPr>
      <w:r>
        <w:rPr>
          <w:rFonts w:cs="Sylfaen"/>
          <w:b w:val="0"/>
          <w:lang w:val="hy-AM"/>
        </w:rPr>
        <w:t>Աղյուսակ 20</w:t>
      </w:r>
      <w:r w:rsidRPr="007955BB">
        <w:rPr>
          <w:rFonts w:cs="Sylfaen"/>
          <w:b w:val="0"/>
          <w:lang w:val="hy-AM"/>
        </w:rPr>
        <w:t xml:space="preserve">-ի առաջին սյունը ներկայացնում է հարկային եկամուտների աճի միջակայքերը, իսկ 2-ից 5-րդ սյուները` նշված միջակայքերից յուրաքանչյուրում այդ աճի ձևավորվելու հավանականությունները` ըստ եռամսյակային կանխատեսումների: Համաձայն գնահատականների, 2023 թվականին </w:t>
      </w:r>
      <w:r w:rsidRPr="007955BB">
        <w:rPr>
          <w:rFonts w:cs="Sylfaen"/>
          <w:b w:val="0"/>
        </w:rPr>
        <w:t>13-</w:t>
      </w:r>
      <w:r w:rsidRPr="007955BB">
        <w:rPr>
          <w:rFonts w:cs="Sylfaen"/>
          <w:b w:val="0"/>
          <w:lang w:val="hy-AM"/>
        </w:rPr>
        <w:t xml:space="preserve">18% միջակայքում գտնվելու հավանականություններն ամենաբարձրն են, (Գծապատկեր 2.1-ում այն մուգ կարմիր է, իսկ Աղյուսակ </w:t>
      </w:r>
      <w:r w:rsidRPr="00625305">
        <w:rPr>
          <w:rFonts w:cs="Sylfaen"/>
          <w:b w:val="0"/>
        </w:rPr>
        <w:t>20</w:t>
      </w:r>
      <w:r w:rsidRPr="007955BB">
        <w:rPr>
          <w:rFonts w:cs="Sylfaen"/>
          <w:b w:val="0"/>
          <w:lang w:val="hy-AM"/>
        </w:rPr>
        <w:t xml:space="preserve">-ում՝ հոծ նշումով): </w:t>
      </w:r>
    </w:p>
    <w:p w:rsidR="00FE673E" w:rsidRPr="007955BB" w:rsidRDefault="00FE673E" w:rsidP="00FE673E">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contextualSpacing w:val="0"/>
        <w:rPr>
          <w:rFonts w:cs="Sylfaen"/>
          <w:lang w:val="hy-AM"/>
        </w:rPr>
      </w:pPr>
      <w:r w:rsidRPr="007955BB">
        <w:rPr>
          <w:rFonts w:cs="Sylfaen"/>
          <w:lang w:val="hy-AM"/>
        </w:rPr>
        <w:t xml:space="preserve">Ներդիր </w:t>
      </w:r>
    </w:p>
    <w:p w:rsidR="00FE673E" w:rsidRPr="007955BB" w:rsidRDefault="00FE673E" w:rsidP="00FE673E">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contextualSpacing w:val="0"/>
        <w:rPr>
          <w:rFonts w:cs="Sylfaen"/>
          <w:lang w:val="hy-AM"/>
        </w:rPr>
      </w:pPr>
      <w:r w:rsidRPr="007955BB">
        <w:rPr>
          <w:rFonts w:cs="Sylfaen"/>
          <w:lang w:val="hy-AM"/>
        </w:rPr>
        <w:t>Իրական ՀՆԱ-ի և հարկային եկամուտների կանխատեսումների հավանականային բաշխման գծապատկերի կառուցումը</w:t>
      </w:r>
    </w:p>
    <w:p w:rsidR="00FE673E" w:rsidRPr="007955BB" w:rsidRDefault="00FE673E" w:rsidP="00FE673E">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contextualSpacing w:val="0"/>
        <w:rPr>
          <w:b w:val="0"/>
          <w:lang w:val="hy-AM"/>
        </w:rPr>
      </w:pPr>
      <w:r w:rsidRPr="007955BB">
        <w:rPr>
          <w:rFonts w:cs="Sylfaen"/>
          <w:b w:val="0"/>
          <w:lang w:val="hy-AM"/>
        </w:rPr>
        <w:t xml:space="preserve">Իրական ՀՆԱ-ի </w:t>
      </w:r>
      <w:r w:rsidRPr="007955BB">
        <w:rPr>
          <w:b w:val="0"/>
          <w:lang w:val="hy-AM"/>
        </w:rPr>
        <w:t xml:space="preserve">և հարկային եկամուտների կանխատեսումների </w:t>
      </w:r>
      <w:r w:rsidRPr="007955BB">
        <w:rPr>
          <w:rFonts w:cs="Sylfaen"/>
          <w:b w:val="0"/>
          <w:lang w:val="hy-AM"/>
        </w:rPr>
        <w:t>հավանականային</w:t>
      </w:r>
      <w:r w:rsidRPr="007955BB">
        <w:rPr>
          <w:b w:val="0"/>
          <w:lang w:val="hy-AM"/>
        </w:rPr>
        <w:t xml:space="preserve"> բ</w:t>
      </w:r>
      <w:r w:rsidRPr="007955BB">
        <w:rPr>
          <w:rFonts w:cs="Sylfaen"/>
          <w:b w:val="0"/>
          <w:lang w:val="hy-AM"/>
        </w:rPr>
        <w:t xml:space="preserve">աշխումը ներկայացնող գծապատկերները ցույց </w:t>
      </w:r>
      <w:r w:rsidRPr="007955BB">
        <w:rPr>
          <w:b w:val="0"/>
          <w:lang w:val="hy-AM"/>
        </w:rPr>
        <w:t xml:space="preserve">են </w:t>
      </w:r>
      <w:r w:rsidRPr="007955BB">
        <w:rPr>
          <w:rFonts w:cs="Sylfaen"/>
          <w:b w:val="0"/>
          <w:lang w:val="hy-AM"/>
        </w:rPr>
        <w:t>տալիս տնտեսության զարգացման ապագա ընթացքի վերաբերյալ կառավարության գնահատականները` տնտեսական աճի ծրագրային ցուցանիշների վերաբերյալ, ինչպես նաև հարկային եկամուտների հավաքագրման կանխատեսվող ընթացքը</w:t>
      </w:r>
      <w:r w:rsidRPr="007955BB">
        <w:rPr>
          <w:b w:val="0"/>
          <w:lang w:val="hy-AM"/>
        </w:rPr>
        <w:t>:</w:t>
      </w:r>
    </w:p>
    <w:p w:rsidR="00FE673E" w:rsidRPr="007955BB" w:rsidRDefault="00FE673E" w:rsidP="00FE673E">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contextualSpacing w:val="0"/>
        <w:rPr>
          <w:rFonts w:cs="Sylfaen"/>
          <w:b w:val="0"/>
          <w:lang w:val="hy-AM"/>
        </w:rPr>
      </w:pPr>
      <w:r w:rsidRPr="007955BB">
        <w:rPr>
          <w:rFonts w:cs="Sylfaen"/>
          <w:b w:val="0"/>
          <w:lang w:val="hy-AM"/>
        </w:rPr>
        <w:t>Կանխատեսումների հավանականային բաշխման գծապատկերի կառուցման անհրաժեշտությունը պայմանավորված է նրանով</w:t>
      </w:r>
      <w:r w:rsidRPr="007955BB">
        <w:rPr>
          <w:b w:val="0"/>
          <w:lang w:val="hy-AM"/>
        </w:rPr>
        <w:t xml:space="preserve">, </w:t>
      </w:r>
      <w:r w:rsidRPr="007955BB">
        <w:rPr>
          <w:rFonts w:cs="Sylfaen"/>
          <w:b w:val="0"/>
          <w:lang w:val="hy-AM"/>
        </w:rPr>
        <w:t>որ բոլոր կանխատեսումները ինչ</w:t>
      </w:r>
      <w:r w:rsidRPr="007955BB">
        <w:rPr>
          <w:b w:val="0"/>
          <w:lang w:val="hy-AM"/>
        </w:rPr>
        <w:t>-</w:t>
      </w:r>
      <w:r w:rsidRPr="007955BB">
        <w:rPr>
          <w:rFonts w:cs="Sylfaen"/>
          <w:b w:val="0"/>
          <w:lang w:val="hy-AM"/>
        </w:rPr>
        <w:t>որ չափով անորոշ են</w:t>
      </w:r>
      <w:r w:rsidRPr="007955BB">
        <w:rPr>
          <w:b w:val="0"/>
          <w:lang w:val="hy-AM"/>
        </w:rPr>
        <w:t xml:space="preserve">: </w:t>
      </w:r>
      <w:r w:rsidRPr="007955BB">
        <w:rPr>
          <w:rFonts w:cs="Sylfaen"/>
          <w:b w:val="0"/>
          <w:lang w:val="hy-AM"/>
        </w:rPr>
        <w:t>Կարևոր է հաշվի առնել ոչ միայն կոնկրետ կանխատեսված արժեքները</w:t>
      </w:r>
      <w:r w:rsidRPr="007955BB">
        <w:rPr>
          <w:b w:val="0"/>
          <w:lang w:val="hy-AM"/>
        </w:rPr>
        <w:t xml:space="preserve">, </w:t>
      </w:r>
      <w:r w:rsidRPr="007955BB">
        <w:rPr>
          <w:rFonts w:cs="Sylfaen"/>
          <w:b w:val="0"/>
          <w:lang w:val="hy-AM"/>
        </w:rPr>
        <w:t>այլ նաև բոլոր այն</w:t>
      </w:r>
      <w:r w:rsidRPr="007955BB">
        <w:rPr>
          <w:b w:val="0"/>
          <w:lang w:val="hy-AM"/>
        </w:rPr>
        <w:t xml:space="preserve"> վերոնշյալ </w:t>
      </w:r>
      <w:r w:rsidRPr="007955BB">
        <w:rPr>
          <w:rFonts w:cs="Sylfaen"/>
          <w:b w:val="0"/>
          <w:lang w:val="hy-AM"/>
        </w:rPr>
        <w:t>ռիսկերը</w:t>
      </w:r>
      <w:r w:rsidRPr="007955BB">
        <w:rPr>
          <w:b w:val="0"/>
          <w:lang w:val="hy-AM"/>
        </w:rPr>
        <w:t xml:space="preserve">, </w:t>
      </w:r>
      <w:r w:rsidRPr="007955BB">
        <w:rPr>
          <w:rFonts w:cs="Sylfaen"/>
          <w:b w:val="0"/>
          <w:lang w:val="hy-AM"/>
        </w:rPr>
        <w:t>որոնց արդյունքում կարող են շեղումներ առաջանալ իրական ՀՆԱ-ի կանխատեսումների և հարկերի կանխատեսումների կենտրոնական արժեքներից</w:t>
      </w:r>
      <w:r w:rsidRPr="007955BB">
        <w:rPr>
          <w:b w:val="0"/>
          <w:lang w:val="hy-AM"/>
        </w:rPr>
        <w:t xml:space="preserve">: </w:t>
      </w:r>
      <w:r w:rsidRPr="007955BB">
        <w:rPr>
          <w:rFonts w:cs="Sylfaen"/>
          <w:b w:val="0"/>
          <w:lang w:val="hy-AM"/>
        </w:rPr>
        <w:t>Հիմնվելով միայն կետային կանխատեսումների վրա հնարավոր չէ բավարար չափով տեղեկատվություն ներկայացնել դրանց հետ կապված անորոշությունների և</w:t>
      </w:r>
      <w:r w:rsidRPr="007955BB">
        <w:rPr>
          <w:b w:val="0"/>
          <w:lang w:val="hy-AM"/>
        </w:rPr>
        <w:t xml:space="preserve"> դրանց </w:t>
      </w:r>
      <w:r w:rsidRPr="007955BB">
        <w:rPr>
          <w:rFonts w:cs="Sylfaen"/>
          <w:b w:val="0"/>
          <w:lang w:val="hy-AM"/>
        </w:rPr>
        <w:t>աղբյուրների վերաբերյալ</w:t>
      </w:r>
      <w:r w:rsidRPr="007955BB">
        <w:rPr>
          <w:b w:val="0"/>
          <w:lang w:val="hy-AM"/>
        </w:rPr>
        <w:t xml:space="preserve">: </w:t>
      </w:r>
      <w:r w:rsidRPr="007955BB">
        <w:rPr>
          <w:rFonts w:cs="Sylfaen"/>
          <w:b w:val="0"/>
          <w:lang w:val="hy-AM"/>
        </w:rPr>
        <w:t>Այդ պատճառով կարևորվում է որոշակի վստահության միջակայքի կառուցման խնդիրը</w:t>
      </w:r>
      <w:r w:rsidRPr="007955BB">
        <w:rPr>
          <w:b w:val="0"/>
          <w:lang w:val="hy-AM"/>
        </w:rPr>
        <w:t xml:space="preserve">, </w:t>
      </w:r>
      <w:r w:rsidRPr="007955BB">
        <w:rPr>
          <w:rFonts w:cs="Sylfaen"/>
          <w:b w:val="0"/>
          <w:lang w:val="hy-AM"/>
        </w:rPr>
        <w:t>որը թույլ կտա գնահատել իրադարձությունների զարգացման հավանական ընթացքը</w:t>
      </w:r>
      <w:r w:rsidRPr="007955BB">
        <w:rPr>
          <w:b w:val="0"/>
          <w:lang w:val="hy-AM"/>
        </w:rPr>
        <w:t xml:space="preserve">: Իրական ՀՆԱ-ի և հարկերի կանխատեսումների հավանականային բաշխման ներկայացված գծապատկերները հիմնվում են </w:t>
      </w:r>
      <w:r w:rsidRPr="007955BB">
        <w:rPr>
          <w:rFonts w:cs="Sylfaen"/>
          <w:b w:val="0"/>
          <w:lang w:val="hy-AM"/>
        </w:rPr>
        <w:t>Անգլիայի բանկի կողմից մշակված մեթոդաբանության վրա և հաշվի է առնում</w:t>
      </w:r>
      <w:r w:rsidRPr="007955BB">
        <w:rPr>
          <w:b w:val="0"/>
          <w:lang w:val="hy-AM"/>
        </w:rPr>
        <w:t xml:space="preserve"> կանխատեսումների հավանականային բաշխման </w:t>
      </w:r>
      <w:r w:rsidRPr="007955BB">
        <w:rPr>
          <w:rFonts w:cs="Sylfaen"/>
          <w:b w:val="0"/>
          <w:lang w:val="hy-AM"/>
        </w:rPr>
        <w:t>ասիմետրիկության առկայությունը</w:t>
      </w:r>
      <w:r w:rsidRPr="007955BB">
        <w:rPr>
          <w:b w:val="0"/>
          <w:lang w:val="hy-AM"/>
        </w:rPr>
        <w:t xml:space="preserve">: </w:t>
      </w:r>
    </w:p>
    <w:p w:rsidR="00FE673E" w:rsidRPr="007955BB" w:rsidRDefault="00FE673E" w:rsidP="00FE673E">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contextualSpacing w:val="0"/>
        <w:rPr>
          <w:b w:val="0"/>
          <w:lang w:val="hy-AM"/>
        </w:rPr>
      </w:pPr>
      <w:r w:rsidRPr="007955BB">
        <w:rPr>
          <w:rFonts w:cs="Sylfaen"/>
          <w:b w:val="0"/>
          <w:lang w:val="hy-AM"/>
        </w:rPr>
        <w:t>Հայաստանի համար իրական ՀՆԱ-ի և հարկերի աճի կանխատեսումների բաշխման գծապատկերները կառուցվել են երեք չափորոշիչների հիման վրա.</w:t>
      </w:r>
    </w:p>
    <w:p w:rsidR="00FE673E" w:rsidRPr="007955BB" w:rsidRDefault="00FE673E" w:rsidP="00FE673E">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contextualSpacing w:val="0"/>
        <w:rPr>
          <w:rFonts w:cs="Sylfaen"/>
          <w:b w:val="0"/>
          <w:lang w:val="hy-AM"/>
        </w:rPr>
      </w:pPr>
      <w:r w:rsidRPr="007955BB">
        <w:rPr>
          <w:b w:val="0"/>
          <w:lang w:val="hy-AM"/>
        </w:rPr>
        <w:t xml:space="preserve">1. </w:t>
      </w:r>
      <w:r w:rsidRPr="007955BB">
        <w:rPr>
          <w:rFonts w:cs="Sylfaen"/>
          <w:b w:val="0"/>
          <w:lang w:val="hy-AM"/>
        </w:rPr>
        <w:t xml:space="preserve">կենտրոնական արժեքները, </w:t>
      </w:r>
      <w:r w:rsidRPr="007955BB">
        <w:rPr>
          <w:b w:val="0"/>
          <w:lang w:val="hy-AM"/>
        </w:rPr>
        <w:t xml:space="preserve">2. </w:t>
      </w:r>
      <w:r w:rsidRPr="007955BB">
        <w:rPr>
          <w:rFonts w:cs="Sylfaen"/>
          <w:b w:val="0"/>
          <w:lang w:val="hy-AM"/>
        </w:rPr>
        <w:t>անորոշության չափը</w:t>
      </w:r>
      <w:r w:rsidRPr="007955BB">
        <w:rPr>
          <w:b w:val="0"/>
          <w:lang w:val="hy-AM"/>
        </w:rPr>
        <w:t xml:space="preserve"> (</w:t>
      </w:r>
      <w:r w:rsidRPr="007955BB">
        <w:rPr>
          <w:rFonts w:cs="Sylfaen"/>
          <w:b w:val="0"/>
          <w:lang w:val="hy-AM"/>
        </w:rPr>
        <w:t>դիսպերսիան</w:t>
      </w:r>
      <w:r w:rsidRPr="007955BB">
        <w:rPr>
          <w:b w:val="0"/>
          <w:lang w:val="hy-AM"/>
        </w:rPr>
        <w:t>),</w:t>
      </w:r>
      <w:r w:rsidRPr="007955BB">
        <w:rPr>
          <w:rFonts w:cs="Sylfaen"/>
          <w:b w:val="0"/>
          <w:lang w:val="hy-AM"/>
        </w:rPr>
        <w:t xml:space="preserve"> որը ստանալու համար հիմք են հանդիսացել փաստացի պատմական շարքերի կանխատեսումային սխալները և </w:t>
      </w:r>
      <w:r w:rsidRPr="007955BB">
        <w:rPr>
          <w:b w:val="0"/>
          <w:lang w:val="hy-AM"/>
        </w:rPr>
        <w:t xml:space="preserve">3. </w:t>
      </w:r>
      <w:r w:rsidRPr="007955BB">
        <w:rPr>
          <w:rFonts w:cs="Sylfaen"/>
          <w:b w:val="0"/>
          <w:lang w:val="hy-AM"/>
        </w:rPr>
        <w:t>ռիսկերի հարաբերական հաշվեկշիռը՝ անհամաչափության գործակցի գնահատման նպատակով:</w:t>
      </w:r>
    </w:p>
    <w:p w:rsidR="00FE673E" w:rsidRPr="007955BB" w:rsidRDefault="00FE673E" w:rsidP="00FE673E">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contextualSpacing w:val="0"/>
        <w:rPr>
          <w:b w:val="0"/>
          <w:lang w:val="hy-AM"/>
        </w:rPr>
      </w:pPr>
      <w:r w:rsidRPr="007955BB">
        <w:rPr>
          <w:rFonts w:cs="Sylfaen"/>
          <w:b w:val="0"/>
          <w:lang w:val="hy-AM"/>
        </w:rPr>
        <w:t>Ունենալով կանխատեսված</w:t>
      </w:r>
      <w:r w:rsidRPr="007955BB">
        <w:rPr>
          <w:b w:val="0"/>
          <w:lang w:val="hy-AM"/>
        </w:rPr>
        <w:t xml:space="preserve"> կենտրոնական արժեքները, անորոշության չափը (ցրվածքը) և ռիսկերի հաշվեկշիռը` կառուցվել են իրական ՀՆԱ-ի և հարկերի կանխատեսումների հավանականային բաշխման գրաֆիկները 2023թվականի համար (տես` Գծապատկեր 2.1):</w:t>
      </w:r>
    </w:p>
    <w:p w:rsidR="00FE673E" w:rsidRPr="007955BB" w:rsidRDefault="00FE673E" w:rsidP="00FE673E">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contextualSpacing w:val="0"/>
        <w:rPr>
          <w:b w:val="0"/>
          <w:lang w:val="hy-AM"/>
        </w:rPr>
      </w:pPr>
      <w:r w:rsidRPr="007955BB">
        <w:rPr>
          <w:rFonts w:cs="Sylfaen"/>
          <w:b w:val="0"/>
          <w:lang w:val="hy-AM"/>
        </w:rPr>
        <w:t>ՀՆԱ-ի և հարկերի կանխատեսման գծապատկերներում կենտրոնական մուգ</w:t>
      </w:r>
      <w:r w:rsidRPr="007955BB">
        <w:rPr>
          <w:b w:val="0"/>
          <w:lang w:val="hy-AM"/>
        </w:rPr>
        <w:t xml:space="preserve"> (</w:t>
      </w:r>
      <w:r w:rsidRPr="007955BB">
        <w:rPr>
          <w:rFonts w:cs="Sylfaen"/>
          <w:b w:val="0"/>
          <w:lang w:val="hy-AM"/>
        </w:rPr>
        <w:t>կարմիր)</w:t>
      </w:r>
      <w:r w:rsidRPr="007955BB">
        <w:rPr>
          <w:b w:val="0"/>
          <w:lang w:val="hy-AM"/>
        </w:rPr>
        <w:t xml:space="preserve"> ավելի նեղ </w:t>
      </w:r>
      <w:r w:rsidRPr="007955BB">
        <w:rPr>
          <w:rFonts w:cs="Sylfaen"/>
          <w:b w:val="0"/>
          <w:lang w:val="hy-AM"/>
        </w:rPr>
        <w:t>միջակայքը ներառում է նաև</w:t>
      </w:r>
      <w:r w:rsidRPr="007955BB">
        <w:rPr>
          <w:b w:val="0"/>
          <w:lang w:val="hy-AM"/>
        </w:rPr>
        <w:t xml:space="preserve"> կանխատեսման </w:t>
      </w:r>
      <w:r w:rsidRPr="007955BB">
        <w:rPr>
          <w:rFonts w:cs="Sylfaen"/>
          <w:b w:val="0"/>
          <w:lang w:val="hy-AM"/>
        </w:rPr>
        <w:t>կենտրոնական սցենարը</w:t>
      </w:r>
      <w:r w:rsidRPr="007955BB">
        <w:rPr>
          <w:b w:val="0"/>
          <w:lang w:val="hy-AM"/>
        </w:rPr>
        <w:t xml:space="preserve"> (</w:t>
      </w:r>
      <w:r w:rsidRPr="007955BB">
        <w:rPr>
          <w:rFonts w:cs="Sylfaen"/>
          <w:b w:val="0"/>
          <w:lang w:val="hy-AM"/>
        </w:rPr>
        <w:t>կանխատեսված արժեքները</w:t>
      </w:r>
      <w:r w:rsidRPr="007955BB">
        <w:rPr>
          <w:b w:val="0"/>
          <w:lang w:val="hy-AM"/>
        </w:rPr>
        <w:t>): Որքան հավանականային կանխատեսումները հեռանում են կենտրոնական սցենարից, այնքան ավելի ցածր է դառնում դրանց իրագործման հավանականությունը, ինչը գծապատկերում արտահայտվում է ավելի թույլ գունավորմամբ: Ներկայացված բաշխումը սիմետրիկ չէ, քանի որ ապագայի համար առկա են տնտեսական աճի և հարկերի կենտրոնական կանխատեսումից ավելի ցածր մակարդակների ձևավորման ռիսկեր:</w:t>
      </w:r>
    </w:p>
    <w:p w:rsidR="00FE673E" w:rsidRPr="007955BB" w:rsidRDefault="00FE673E" w:rsidP="00FE673E">
      <w:pPr>
        <w:spacing w:after="120" w:line="276" w:lineRule="auto"/>
        <w:ind w:firstLine="0"/>
        <w:contextualSpacing w:val="0"/>
        <w:rPr>
          <w:sz w:val="24"/>
          <w:lang w:val="hy-AM"/>
        </w:rPr>
      </w:pPr>
      <w:r w:rsidRPr="007955BB">
        <w:rPr>
          <w:sz w:val="24"/>
          <w:lang w:val="hy-AM"/>
        </w:rPr>
        <w:t>2.2. Պետական բյուջեի վրա մակրոտնտեսական ցուցանիշների կանխատեսվածից շեղման ռիսկերի ազդեցության ընդհանուր գնահատականը և դրանց մեղմման հնարավորությունները</w:t>
      </w:r>
    </w:p>
    <w:p w:rsidR="00FE673E" w:rsidRPr="007955BB" w:rsidRDefault="00FE673E" w:rsidP="00FE673E">
      <w:pPr>
        <w:spacing w:after="120" w:line="276" w:lineRule="auto"/>
        <w:ind w:firstLine="720"/>
        <w:contextualSpacing w:val="0"/>
        <w:rPr>
          <w:rFonts w:cs="Sylfaen"/>
          <w:b w:val="0"/>
          <w:lang w:val="hy-AM"/>
        </w:rPr>
      </w:pPr>
      <w:r w:rsidRPr="007955BB">
        <w:rPr>
          <w:rFonts w:cs="Sylfaen"/>
          <w:b w:val="0"/>
          <w:lang w:val="hy-AM"/>
        </w:rPr>
        <w:t>Կանխատեսումներում մեծ ուշադրություն է դարձվում նաև պետական բյուջեի ծախսերի պլանավորված մակարդակների ապահովումը խաթարող ռիսկերին, որոնք կարող են հանգեցնել լրացուցիչ ֆինանսավորման պահանջի առաջացման:</w:t>
      </w:r>
    </w:p>
    <w:p w:rsidR="00FE673E" w:rsidRPr="007955BB" w:rsidRDefault="00FE673E" w:rsidP="00FE673E">
      <w:pPr>
        <w:pStyle w:val="Caption"/>
        <w:spacing w:after="120" w:line="240" w:lineRule="auto"/>
        <w:contextualSpacing w:val="0"/>
        <w:rPr>
          <w:b/>
        </w:rPr>
      </w:pPr>
      <w:bookmarkStart w:id="387" w:name="_Toc83928957"/>
      <w:bookmarkStart w:id="388" w:name="_Toc120805278"/>
      <w:r w:rsidRPr="007955BB">
        <w:rPr>
          <w:lang w:val="hy-AM"/>
        </w:rPr>
        <w:t xml:space="preserve">Աղյուսակ </w:t>
      </w:r>
      <w:r w:rsidRPr="007955BB">
        <w:fldChar w:fldCharType="begin"/>
      </w:r>
      <w:r w:rsidRPr="007955BB">
        <w:rPr>
          <w:lang w:val="hy-AM"/>
        </w:rPr>
        <w:instrText xml:space="preserve"> SEQ Աղյուսակ \* ARABIC </w:instrText>
      </w:r>
      <w:r w:rsidRPr="007955BB">
        <w:fldChar w:fldCharType="separate"/>
      </w:r>
      <w:r w:rsidR="00F77CAF">
        <w:rPr>
          <w:noProof/>
          <w:lang w:val="hy-AM"/>
        </w:rPr>
        <w:t>19</w:t>
      </w:r>
      <w:r w:rsidRPr="007955BB">
        <w:fldChar w:fldCharType="end"/>
      </w:r>
      <w:r w:rsidRPr="007955BB">
        <w:rPr>
          <w:lang w:val="hy-AM"/>
        </w:rPr>
        <w:t xml:space="preserve">. </w:t>
      </w:r>
      <w:r w:rsidRPr="007955BB">
        <w:rPr>
          <w:sz w:val="20"/>
          <w:szCs w:val="20"/>
          <w:lang w:val="hy-AM"/>
        </w:rPr>
        <w:t>ՀՀ պետական բյուջեի հարկային եկամուտների և ծախսերի, ինչպես նաև այլ հոսքերի գծով ռիսկերի ընդհանուր ազդեցությունը</w:t>
      </w:r>
      <w:r w:rsidRPr="007955BB">
        <w:rPr>
          <w:sz w:val="20"/>
          <w:szCs w:val="20"/>
          <w:vertAlign w:val="superscript"/>
        </w:rPr>
        <w:footnoteReference w:id="24"/>
      </w:r>
      <w:r w:rsidRPr="007955BB">
        <w:rPr>
          <w:sz w:val="20"/>
          <w:szCs w:val="20"/>
          <w:lang w:val="hy-AM"/>
        </w:rPr>
        <w:t xml:space="preserve">. </w:t>
      </w:r>
      <w:r w:rsidRPr="007955BB">
        <w:rPr>
          <w:sz w:val="20"/>
          <w:szCs w:val="20"/>
        </w:rPr>
        <w:t>(ֆինանսավորման պահանջ` - պահանջի մեծացում, + պահանջի նվազում), մլրդ ՀՀ դրամ</w:t>
      </w:r>
      <w:bookmarkEnd w:id="387"/>
      <w:bookmarkEnd w:id="388"/>
      <w:r w:rsidRPr="007955BB">
        <w:t xml:space="preserve"> </w:t>
      </w:r>
    </w:p>
    <w:tbl>
      <w:tblPr>
        <w:tblW w:w="800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0"/>
        <w:gridCol w:w="2740"/>
      </w:tblGrid>
      <w:tr w:rsidR="00FE673E" w:rsidRPr="007955BB" w:rsidTr="00B70D89">
        <w:trPr>
          <w:trHeight w:val="705"/>
        </w:trPr>
        <w:tc>
          <w:tcPr>
            <w:tcW w:w="5260" w:type="dxa"/>
            <w:vMerge w:val="restart"/>
            <w:shd w:val="clear" w:color="000000" w:fill="95B3D7"/>
            <w:vAlign w:val="center"/>
            <w:hideMark/>
          </w:tcPr>
          <w:p w:rsidR="00FE673E" w:rsidRPr="007955BB" w:rsidRDefault="00FE673E" w:rsidP="00B70D89">
            <w:pPr>
              <w:spacing w:before="0" w:line="240" w:lineRule="auto"/>
              <w:ind w:firstLine="0"/>
              <w:contextualSpacing w:val="0"/>
              <w:jc w:val="center"/>
              <w:rPr>
                <w:bCs/>
                <w:color w:val="FFFFFF"/>
                <w:szCs w:val="22"/>
                <w:lang w:val="en-US" w:eastAsia="en-US"/>
              </w:rPr>
            </w:pPr>
            <w:r w:rsidRPr="007955BB">
              <w:rPr>
                <w:bCs/>
                <w:color w:val="FFFFFF"/>
                <w:szCs w:val="22"/>
                <w:lang w:val="en-US" w:eastAsia="en-US"/>
              </w:rPr>
              <w:t>Մակրոտնտեսական ցուցանիշների կանխատեսվող ռիսկեր</w:t>
            </w:r>
          </w:p>
        </w:tc>
        <w:tc>
          <w:tcPr>
            <w:tcW w:w="2740" w:type="dxa"/>
            <w:vMerge w:val="restart"/>
            <w:shd w:val="clear" w:color="000000" w:fill="95B3D7"/>
            <w:vAlign w:val="center"/>
            <w:hideMark/>
          </w:tcPr>
          <w:p w:rsidR="00FE673E" w:rsidRPr="007955BB" w:rsidRDefault="00FE673E" w:rsidP="00B70D89">
            <w:pPr>
              <w:spacing w:before="0" w:line="240" w:lineRule="auto"/>
              <w:ind w:firstLine="0"/>
              <w:contextualSpacing w:val="0"/>
              <w:jc w:val="center"/>
              <w:rPr>
                <w:bCs/>
                <w:color w:val="FFFFFF"/>
                <w:szCs w:val="22"/>
                <w:lang w:val="en-US" w:eastAsia="en-US"/>
              </w:rPr>
            </w:pPr>
            <w:r w:rsidRPr="007955BB">
              <w:rPr>
                <w:bCs/>
                <w:color w:val="FFFFFF"/>
                <w:szCs w:val="22"/>
                <w:lang w:val="en-US" w:eastAsia="en-US"/>
              </w:rPr>
              <w:t>2023</w:t>
            </w:r>
          </w:p>
        </w:tc>
      </w:tr>
      <w:tr w:rsidR="00FE673E" w:rsidRPr="007955BB" w:rsidTr="00B70D89">
        <w:trPr>
          <w:trHeight w:val="299"/>
        </w:trPr>
        <w:tc>
          <w:tcPr>
            <w:tcW w:w="5260" w:type="dxa"/>
            <w:vMerge/>
            <w:vAlign w:val="center"/>
            <w:hideMark/>
          </w:tcPr>
          <w:p w:rsidR="00FE673E" w:rsidRPr="007955BB" w:rsidRDefault="00FE673E" w:rsidP="00B70D89">
            <w:pPr>
              <w:spacing w:before="0" w:line="240" w:lineRule="auto"/>
              <w:ind w:firstLine="0"/>
              <w:contextualSpacing w:val="0"/>
              <w:jc w:val="left"/>
              <w:rPr>
                <w:bCs/>
                <w:color w:val="FFFFFF"/>
                <w:szCs w:val="22"/>
                <w:lang w:val="en-US" w:eastAsia="en-US"/>
              </w:rPr>
            </w:pPr>
          </w:p>
        </w:tc>
        <w:tc>
          <w:tcPr>
            <w:tcW w:w="2740" w:type="dxa"/>
            <w:vMerge/>
            <w:vAlign w:val="center"/>
            <w:hideMark/>
          </w:tcPr>
          <w:p w:rsidR="00FE673E" w:rsidRPr="007955BB" w:rsidRDefault="00FE673E" w:rsidP="00B70D89">
            <w:pPr>
              <w:spacing w:before="0" w:line="240" w:lineRule="auto"/>
              <w:ind w:firstLine="0"/>
              <w:contextualSpacing w:val="0"/>
              <w:jc w:val="left"/>
              <w:rPr>
                <w:bCs/>
                <w:color w:val="FFFFFF"/>
                <w:szCs w:val="22"/>
                <w:lang w:val="en-US" w:eastAsia="en-US"/>
              </w:rPr>
            </w:pPr>
          </w:p>
        </w:tc>
      </w:tr>
      <w:tr w:rsidR="00FE673E" w:rsidRPr="007955BB" w:rsidTr="00B70D89">
        <w:trPr>
          <w:trHeight w:val="660"/>
        </w:trPr>
        <w:tc>
          <w:tcPr>
            <w:tcW w:w="5260" w:type="dxa"/>
            <w:shd w:val="clear" w:color="auto" w:fill="auto"/>
            <w:vAlign w:val="center"/>
            <w:hideMark/>
          </w:tcPr>
          <w:p w:rsidR="00FE673E" w:rsidRPr="007955BB" w:rsidRDefault="00FE673E" w:rsidP="00B70D89">
            <w:pPr>
              <w:spacing w:before="0" w:line="240" w:lineRule="auto"/>
              <w:ind w:firstLine="0"/>
              <w:contextualSpacing w:val="0"/>
              <w:jc w:val="left"/>
              <w:rPr>
                <w:b w:val="0"/>
                <w:color w:val="000000"/>
                <w:szCs w:val="22"/>
                <w:lang w:eastAsia="en-US"/>
              </w:rPr>
            </w:pPr>
            <w:r w:rsidRPr="007955BB">
              <w:rPr>
                <w:b w:val="0"/>
                <w:color w:val="000000"/>
                <w:szCs w:val="22"/>
                <w:lang w:eastAsia="en-US"/>
              </w:rPr>
              <w:t xml:space="preserve">1. </w:t>
            </w:r>
            <w:r w:rsidRPr="007955BB">
              <w:rPr>
                <w:b w:val="0"/>
                <w:color w:val="000000"/>
                <w:szCs w:val="22"/>
                <w:lang w:val="en-US" w:eastAsia="en-US"/>
              </w:rPr>
              <w:t>Կանխատեսվածից</w:t>
            </w:r>
            <w:r w:rsidRPr="007955BB">
              <w:rPr>
                <w:b w:val="0"/>
                <w:color w:val="000000"/>
                <w:szCs w:val="22"/>
                <w:lang w:eastAsia="en-US"/>
              </w:rPr>
              <w:t xml:space="preserve"> 3.0 </w:t>
            </w:r>
            <w:r w:rsidRPr="007955BB">
              <w:rPr>
                <w:b w:val="0"/>
                <w:color w:val="000000"/>
                <w:szCs w:val="22"/>
                <w:lang w:val="en-US" w:eastAsia="en-US"/>
              </w:rPr>
              <w:t>տոկոսային</w:t>
            </w:r>
            <w:r w:rsidRPr="007955BB">
              <w:rPr>
                <w:b w:val="0"/>
                <w:color w:val="000000"/>
                <w:szCs w:val="22"/>
                <w:lang w:eastAsia="en-US"/>
              </w:rPr>
              <w:t xml:space="preserve"> </w:t>
            </w:r>
            <w:r w:rsidRPr="007955BB">
              <w:rPr>
                <w:b w:val="0"/>
                <w:color w:val="000000"/>
                <w:szCs w:val="22"/>
                <w:lang w:val="en-US" w:eastAsia="en-US"/>
              </w:rPr>
              <w:t>կետով</w:t>
            </w:r>
            <w:r w:rsidRPr="007955BB">
              <w:rPr>
                <w:b w:val="0"/>
                <w:color w:val="000000"/>
                <w:szCs w:val="22"/>
                <w:lang w:eastAsia="en-US"/>
              </w:rPr>
              <w:t xml:space="preserve"> </w:t>
            </w:r>
            <w:r w:rsidRPr="007955BB">
              <w:rPr>
                <w:b w:val="0"/>
                <w:color w:val="000000"/>
                <w:szCs w:val="22"/>
                <w:lang w:val="en-US" w:eastAsia="en-US"/>
              </w:rPr>
              <w:t>ավելի</w:t>
            </w:r>
            <w:r w:rsidRPr="007955BB">
              <w:rPr>
                <w:b w:val="0"/>
                <w:color w:val="000000"/>
                <w:szCs w:val="22"/>
                <w:lang w:eastAsia="en-US"/>
              </w:rPr>
              <w:t xml:space="preserve"> </w:t>
            </w:r>
            <w:r w:rsidRPr="007955BB">
              <w:rPr>
                <w:b w:val="0"/>
                <w:color w:val="000000"/>
                <w:szCs w:val="22"/>
                <w:lang w:val="en-US" w:eastAsia="en-US"/>
              </w:rPr>
              <w:t>ցածր</w:t>
            </w:r>
            <w:r w:rsidRPr="007955BB">
              <w:rPr>
                <w:b w:val="0"/>
                <w:color w:val="000000"/>
                <w:szCs w:val="22"/>
                <w:lang w:eastAsia="en-US"/>
              </w:rPr>
              <w:t xml:space="preserve"> </w:t>
            </w:r>
            <w:r w:rsidRPr="007955BB">
              <w:rPr>
                <w:b w:val="0"/>
                <w:color w:val="000000"/>
                <w:szCs w:val="22"/>
                <w:lang w:val="en-US" w:eastAsia="en-US"/>
              </w:rPr>
              <w:t>իրական</w:t>
            </w:r>
            <w:r w:rsidRPr="007955BB">
              <w:rPr>
                <w:b w:val="0"/>
                <w:color w:val="000000"/>
                <w:szCs w:val="22"/>
                <w:lang w:eastAsia="en-US"/>
              </w:rPr>
              <w:t xml:space="preserve"> </w:t>
            </w:r>
            <w:r w:rsidRPr="007955BB">
              <w:rPr>
                <w:b w:val="0"/>
                <w:color w:val="000000"/>
                <w:szCs w:val="22"/>
                <w:lang w:val="en-US" w:eastAsia="en-US"/>
              </w:rPr>
              <w:t>ՀՆԱ</w:t>
            </w:r>
            <w:r w:rsidRPr="007955BB">
              <w:rPr>
                <w:b w:val="0"/>
                <w:color w:val="000000"/>
                <w:szCs w:val="22"/>
                <w:lang w:eastAsia="en-US"/>
              </w:rPr>
              <w:t>-</w:t>
            </w:r>
            <w:r w:rsidRPr="007955BB">
              <w:rPr>
                <w:b w:val="0"/>
                <w:color w:val="000000"/>
                <w:szCs w:val="22"/>
                <w:lang w:val="en-US" w:eastAsia="en-US"/>
              </w:rPr>
              <w:t>ի</w:t>
            </w:r>
            <w:r w:rsidRPr="007955BB">
              <w:rPr>
                <w:b w:val="0"/>
                <w:color w:val="000000"/>
                <w:szCs w:val="22"/>
                <w:lang w:eastAsia="en-US"/>
              </w:rPr>
              <w:t xml:space="preserve"> </w:t>
            </w:r>
            <w:r w:rsidRPr="007955BB">
              <w:rPr>
                <w:b w:val="0"/>
                <w:color w:val="000000"/>
                <w:szCs w:val="22"/>
                <w:lang w:val="en-US" w:eastAsia="en-US"/>
              </w:rPr>
              <w:t>աճ</w:t>
            </w:r>
          </w:p>
        </w:tc>
        <w:tc>
          <w:tcPr>
            <w:tcW w:w="2740" w:type="dxa"/>
            <w:shd w:val="clear" w:color="auto" w:fill="auto"/>
            <w:vAlign w:val="center"/>
            <w:hideMark/>
          </w:tcPr>
          <w:p w:rsidR="00FE673E" w:rsidRPr="007955BB" w:rsidRDefault="00FE673E" w:rsidP="00B70D89">
            <w:pPr>
              <w:spacing w:before="0" w:line="240" w:lineRule="auto"/>
              <w:ind w:firstLine="0"/>
              <w:contextualSpacing w:val="0"/>
              <w:jc w:val="center"/>
              <w:rPr>
                <w:b w:val="0"/>
                <w:color w:val="000000"/>
                <w:szCs w:val="22"/>
                <w:lang w:val="en-US" w:eastAsia="en-US"/>
              </w:rPr>
            </w:pPr>
            <w:r w:rsidRPr="007955BB">
              <w:rPr>
                <w:b w:val="0"/>
                <w:color w:val="000000"/>
                <w:szCs w:val="22"/>
                <w:lang w:val="en-US" w:eastAsia="en-US"/>
              </w:rPr>
              <w:t>-24.7</w:t>
            </w:r>
          </w:p>
        </w:tc>
      </w:tr>
      <w:tr w:rsidR="00FE673E" w:rsidRPr="007955BB" w:rsidTr="00B70D89">
        <w:trPr>
          <w:trHeight w:val="660"/>
        </w:trPr>
        <w:tc>
          <w:tcPr>
            <w:tcW w:w="5260" w:type="dxa"/>
            <w:shd w:val="clear" w:color="auto" w:fill="auto"/>
            <w:vAlign w:val="center"/>
            <w:hideMark/>
          </w:tcPr>
          <w:p w:rsidR="00FE673E" w:rsidRPr="007955BB" w:rsidRDefault="00FE673E" w:rsidP="00B70D89">
            <w:pPr>
              <w:spacing w:before="0" w:line="240" w:lineRule="auto"/>
              <w:ind w:firstLine="0"/>
              <w:contextualSpacing w:val="0"/>
              <w:jc w:val="left"/>
              <w:rPr>
                <w:b w:val="0"/>
                <w:color w:val="000000"/>
                <w:szCs w:val="22"/>
                <w:lang w:eastAsia="en-US"/>
              </w:rPr>
            </w:pPr>
            <w:r w:rsidRPr="007955BB">
              <w:rPr>
                <w:b w:val="0"/>
                <w:color w:val="000000"/>
                <w:szCs w:val="22"/>
                <w:lang w:eastAsia="en-US"/>
              </w:rPr>
              <w:t xml:space="preserve">2. 2.0 </w:t>
            </w:r>
            <w:r w:rsidRPr="007955BB">
              <w:rPr>
                <w:b w:val="0"/>
                <w:color w:val="000000"/>
                <w:szCs w:val="22"/>
                <w:lang w:val="en-US" w:eastAsia="en-US"/>
              </w:rPr>
              <w:t>տոկոսային</w:t>
            </w:r>
            <w:r w:rsidRPr="007955BB">
              <w:rPr>
                <w:b w:val="0"/>
                <w:color w:val="000000"/>
                <w:szCs w:val="22"/>
                <w:lang w:eastAsia="en-US"/>
              </w:rPr>
              <w:t xml:space="preserve"> </w:t>
            </w:r>
            <w:r w:rsidRPr="007955BB">
              <w:rPr>
                <w:b w:val="0"/>
                <w:color w:val="000000"/>
                <w:szCs w:val="22"/>
                <w:lang w:val="en-US" w:eastAsia="en-US"/>
              </w:rPr>
              <w:t>կետով</w:t>
            </w:r>
            <w:r w:rsidRPr="007955BB">
              <w:rPr>
                <w:b w:val="0"/>
                <w:color w:val="000000"/>
                <w:szCs w:val="22"/>
                <w:lang w:eastAsia="en-US"/>
              </w:rPr>
              <w:t xml:space="preserve"> </w:t>
            </w:r>
            <w:r w:rsidRPr="007955BB">
              <w:rPr>
                <w:b w:val="0"/>
                <w:color w:val="000000"/>
                <w:szCs w:val="22"/>
                <w:lang w:val="en-US" w:eastAsia="en-US"/>
              </w:rPr>
              <w:t>ավելի</w:t>
            </w:r>
            <w:r w:rsidRPr="007955BB">
              <w:rPr>
                <w:b w:val="0"/>
                <w:color w:val="000000"/>
                <w:szCs w:val="22"/>
                <w:lang w:eastAsia="en-US"/>
              </w:rPr>
              <w:t xml:space="preserve"> </w:t>
            </w:r>
            <w:r w:rsidRPr="007955BB">
              <w:rPr>
                <w:b w:val="0"/>
                <w:color w:val="000000"/>
                <w:szCs w:val="22"/>
                <w:lang w:val="en-US" w:eastAsia="en-US"/>
              </w:rPr>
              <w:t>բարձր</w:t>
            </w:r>
            <w:r w:rsidRPr="007955BB">
              <w:rPr>
                <w:b w:val="0"/>
                <w:color w:val="000000"/>
                <w:szCs w:val="22"/>
                <w:lang w:eastAsia="en-US"/>
              </w:rPr>
              <w:t xml:space="preserve"> </w:t>
            </w:r>
            <w:r w:rsidRPr="007955BB">
              <w:rPr>
                <w:b w:val="0"/>
                <w:color w:val="000000"/>
                <w:szCs w:val="22"/>
                <w:lang w:val="en-US" w:eastAsia="en-US"/>
              </w:rPr>
              <w:t>գնաճի</w:t>
            </w:r>
            <w:r w:rsidRPr="007955BB">
              <w:rPr>
                <w:b w:val="0"/>
                <w:color w:val="000000"/>
                <w:szCs w:val="22"/>
                <w:lang w:eastAsia="en-US"/>
              </w:rPr>
              <w:t xml:space="preserve"> </w:t>
            </w:r>
            <w:r w:rsidRPr="007955BB">
              <w:rPr>
                <w:b w:val="0"/>
                <w:color w:val="000000"/>
                <w:szCs w:val="22"/>
                <w:lang w:val="en-US" w:eastAsia="en-US"/>
              </w:rPr>
              <w:t>ռիսկ</w:t>
            </w:r>
          </w:p>
        </w:tc>
        <w:tc>
          <w:tcPr>
            <w:tcW w:w="2740" w:type="dxa"/>
            <w:shd w:val="clear" w:color="auto" w:fill="auto"/>
            <w:vAlign w:val="center"/>
            <w:hideMark/>
          </w:tcPr>
          <w:p w:rsidR="00FE673E" w:rsidRPr="007955BB" w:rsidRDefault="00FE673E" w:rsidP="00B70D89">
            <w:pPr>
              <w:spacing w:before="0" w:line="240" w:lineRule="auto"/>
              <w:ind w:firstLine="0"/>
              <w:contextualSpacing w:val="0"/>
              <w:jc w:val="center"/>
              <w:rPr>
                <w:b w:val="0"/>
                <w:color w:val="000000"/>
                <w:szCs w:val="22"/>
                <w:lang w:val="en-US" w:eastAsia="en-US"/>
              </w:rPr>
            </w:pPr>
            <w:r w:rsidRPr="007955BB">
              <w:rPr>
                <w:b w:val="0"/>
                <w:color w:val="000000"/>
                <w:szCs w:val="22"/>
                <w:lang w:val="en-US" w:eastAsia="en-US"/>
              </w:rPr>
              <w:t>-9.4</w:t>
            </w:r>
          </w:p>
        </w:tc>
      </w:tr>
      <w:tr w:rsidR="00FE673E" w:rsidRPr="007955BB" w:rsidTr="00B70D89">
        <w:trPr>
          <w:trHeight w:val="660"/>
        </w:trPr>
        <w:tc>
          <w:tcPr>
            <w:tcW w:w="5260" w:type="dxa"/>
            <w:shd w:val="clear" w:color="auto" w:fill="auto"/>
            <w:vAlign w:val="center"/>
            <w:hideMark/>
          </w:tcPr>
          <w:p w:rsidR="00FE673E" w:rsidRPr="007955BB" w:rsidRDefault="00FE673E" w:rsidP="00B70D89">
            <w:pPr>
              <w:spacing w:before="0" w:line="240" w:lineRule="auto"/>
              <w:ind w:firstLine="0"/>
              <w:contextualSpacing w:val="0"/>
              <w:jc w:val="left"/>
              <w:rPr>
                <w:b w:val="0"/>
                <w:color w:val="000000"/>
                <w:szCs w:val="22"/>
                <w:lang w:eastAsia="en-US"/>
              </w:rPr>
            </w:pPr>
            <w:r w:rsidRPr="007955BB">
              <w:rPr>
                <w:b w:val="0"/>
                <w:color w:val="000000"/>
                <w:szCs w:val="22"/>
                <w:lang w:eastAsia="en-US"/>
              </w:rPr>
              <w:t xml:space="preserve">3. </w:t>
            </w:r>
            <w:r w:rsidRPr="007955BB">
              <w:rPr>
                <w:b w:val="0"/>
                <w:color w:val="000000"/>
                <w:szCs w:val="22"/>
                <w:lang w:val="en-US" w:eastAsia="en-US"/>
              </w:rPr>
              <w:t>Փոխարժեքի</w:t>
            </w:r>
            <w:r w:rsidRPr="007955BB">
              <w:rPr>
                <w:b w:val="0"/>
                <w:color w:val="000000"/>
                <w:szCs w:val="22"/>
                <w:lang w:eastAsia="en-US"/>
              </w:rPr>
              <w:t xml:space="preserve"> </w:t>
            </w:r>
            <w:r w:rsidRPr="007955BB">
              <w:rPr>
                <w:b w:val="0"/>
                <w:color w:val="000000"/>
                <w:szCs w:val="22"/>
                <w:lang w:val="en-US" w:eastAsia="en-US"/>
              </w:rPr>
              <w:t>առավելագույնը</w:t>
            </w:r>
            <w:r w:rsidRPr="007955BB">
              <w:rPr>
                <w:b w:val="0"/>
                <w:color w:val="000000"/>
                <w:szCs w:val="22"/>
                <w:lang w:eastAsia="en-US"/>
              </w:rPr>
              <w:t xml:space="preserve"> 5.8 </w:t>
            </w:r>
            <w:r w:rsidRPr="007955BB">
              <w:rPr>
                <w:b w:val="0"/>
                <w:color w:val="000000"/>
                <w:szCs w:val="22"/>
                <w:lang w:val="en-US" w:eastAsia="en-US"/>
              </w:rPr>
              <w:t>տոկոսով</w:t>
            </w:r>
            <w:r w:rsidRPr="007955BB">
              <w:rPr>
                <w:b w:val="0"/>
                <w:color w:val="000000"/>
                <w:szCs w:val="22"/>
                <w:lang w:eastAsia="en-US"/>
              </w:rPr>
              <w:t xml:space="preserve"> </w:t>
            </w:r>
            <w:r w:rsidRPr="007955BB">
              <w:rPr>
                <w:b w:val="0"/>
                <w:color w:val="000000"/>
                <w:szCs w:val="22"/>
                <w:lang w:val="en-US" w:eastAsia="en-US"/>
              </w:rPr>
              <w:t>արժեզրկման</w:t>
            </w:r>
            <w:r w:rsidRPr="007955BB">
              <w:rPr>
                <w:b w:val="0"/>
                <w:color w:val="000000"/>
                <w:szCs w:val="22"/>
                <w:lang w:eastAsia="en-US"/>
              </w:rPr>
              <w:t xml:space="preserve"> </w:t>
            </w:r>
            <w:r w:rsidRPr="007955BB">
              <w:rPr>
                <w:b w:val="0"/>
                <w:color w:val="000000"/>
                <w:szCs w:val="22"/>
                <w:lang w:val="en-US" w:eastAsia="en-US"/>
              </w:rPr>
              <w:t>ռիսկ</w:t>
            </w:r>
          </w:p>
        </w:tc>
        <w:tc>
          <w:tcPr>
            <w:tcW w:w="2740" w:type="dxa"/>
            <w:shd w:val="clear" w:color="auto" w:fill="auto"/>
            <w:vAlign w:val="center"/>
            <w:hideMark/>
          </w:tcPr>
          <w:p w:rsidR="00FE673E" w:rsidRPr="007955BB" w:rsidRDefault="00FE673E" w:rsidP="00B70D89">
            <w:pPr>
              <w:spacing w:before="0" w:line="240" w:lineRule="auto"/>
              <w:ind w:firstLine="0"/>
              <w:contextualSpacing w:val="0"/>
              <w:jc w:val="center"/>
              <w:rPr>
                <w:b w:val="0"/>
                <w:color w:val="000000"/>
                <w:szCs w:val="22"/>
                <w:lang w:val="en-US" w:eastAsia="en-US"/>
              </w:rPr>
            </w:pPr>
            <w:r w:rsidRPr="007955BB">
              <w:rPr>
                <w:b w:val="0"/>
                <w:color w:val="000000"/>
                <w:szCs w:val="22"/>
                <w:lang w:val="en-US" w:eastAsia="en-US"/>
              </w:rPr>
              <w:t>14.9</w:t>
            </w:r>
          </w:p>
        </w:tc>
      </w:tr>
      <w:tr w:rsidR="00FE673E" w:rsidRPr="007955BB" w:rsidTr="00B70D89">
        <w:trPr>
          <w:trHeight w:val="330"/>
        </w:trPr>
        <w:tc>
          <w:tcPr>
            <w:tcW w:w="5260" w:type="dxa"/>
            <w:shd w:val="clear" w:color="auto" w:fill="auto"/>
            <w:vAlign w:val="center"/>
            <w:hideMark/>
          </w:tcPr>
          <w:p w:rsidR="00FE673E" w:rsidRPr="007955BB" w:rsidRDefault="00FE673E" w:rsidP="00B70D89">
            <w:pPr>
              <w:spacing w:before="0" w:line="240" w:lineRule="auto"/>
              <w:ind w:firstLine="0"/>
              <w:contextualSpacing w:val="0"/>
              <w:jc w:val="left"/>
              <w:rPr>
                <w:b w:val="0"/>
                <w:color w:val="000000"/>
                <w:szCs w:val="22"/>
                <w:lang w:val="en-US" w:eastAsia="en-US"/>
              </w:rPr>
            </w:pPr>
            <w:r w:rsidRPr="007955BB">
              <w:rPr>
                <w:b w:val="0"/>
                <w:color w:val="000000"/>
                <w:szCs w:val="22"/>
                <w:lang w:val="en-US" w:eastAsia="en-US"/>
              </w:rPr>
              <w:t>4. Ներմուծման 10.2 տոկոսով նվազման ռիսկ</w:t>
            </w:r>
          </w:p>
        </w:tc>
        <w:tc>
          <w:tcPr>
            <w:tcW w:w="2740" w:type="dxa"/>
            <w:shd w:val="clear" w:color="auto" w:fill="auto"/>
            <w:vAlign w:val="center"/>
            <w:hideMark/>
          </w:tcPr>
          <w:p w:rsidR="00FE673E" w:rsidRPr="007955BB" w:rsidRDefault="00FE673E" w:rsidP="00B70D89">
            <w:pPr>
              <w:spacing w:before="0" w:line="240" w:lineRule="auto"/>
              <w:ind w:firstLine="0"/>
              <w:contextualSpacing w:val="0"/>
              <w:jc w:val="center"/>
              <w:rPr>
                <w:b w:val="0"/>
                <w:color w:val="000000"/>
                <w:szCs w:val="22"/>
                <w:lang w:val="en-US" w:eastAsia="en-US"/>
              </w:rPr>
            </w:pPr>
            <w:r w:rsidRPr="007955BB">
              <w:rPr>
                <w:b w:val="0"/>
                <w:color w:val="000000"/>
                <w:szCs w:val="22"/>
                <w:lang w:val="en-US" w:eastAsia="en-US"/>
              </w:rPr>
              <w:t>-21.3</w:t>
            </w:r>
          </w:p>
        </w:tc>
      </w:tr>
      <w:tr w:rsidR="00FE673E" w:rsidRPr="007955BB" w:rsidTr="00B70D89">
        <w:trPr>
          <w:trHeight w:val="330"/>
        </w:trPr>
        <w:tc>
          <w:tcPr>
            <w:tcW w:w="5260" w:type="dxa"/>
            <w:shd w:val="clear" w:color="auto" w:fill="auto"/>
            <w:vAlign w:val="center"/>
            <w:hideMark/>
          </w:tcPr>
          <w:p w:rsidR="00FE673E" w:rsidRPr="007955BB" w:rsidRDefault="00FE673E" w:rsidP="00B70D89">
            <w:pPr>
              <w:spacing w:before="0" w:line="240" w:lineRule="auto"/>
              <w:ind w:firstLine="0"/>
              <w:contextualSpacing w:val="0"/>
              <w:jc w:val="left"/>
              <w:rPr>
                <w:bCs/>
                <w:color w:val="000000"/>
                <w:szCs w:val="22"/>
                <w:lang w:val="en-US" w:eastAsia="en-US"/>
              </w:rPr>
            </w:pPr>
            <w:r w:rsidRPr="007955BB">
              <w:rPr>
                <w:bCs/>
                <w:color w:val="000000"/>
                <w:szCs w:val="22"/>
                <w:lang w:val="en-US" w:eastAsia="en-US"/>
              </w:rPr>
              <w:t>Ընդամենը</w:t>
            </w:r>
          </w:p>
        </w:tc>
        <w:tc>
          <w:tcPr>
            <w:tcW w:w="2740" w:type="dxa"/>
            <w:shd w:val="clear" w:color="auto" w:fill="auto"/>
            <w:vAlign w:val="center"/>
            <w:hideMark/>
          </w:tcPr>
          <w:p w:rsidR="00FE673E" w:rsidRPr="007955BB" w:rsidRDefault="00FE673E" w:rsidP="00B70D89">
            <w:pPr>
              <w:spacing w:before="0" w:line="240" w:lineRule="auto"/>
              <w:ind w:firstLine="0"/>
              <w:contextualSpacing w:val="0"/>
              <w:jc w:val="center"/>
              <w:rPr>
                <w:bCs/>
                <w:color w:val="000000"/>
                <w:szCs w:val="22"/>
                <w:lang w:val="en-US" w:eastAsia="en-US"/>
              </w:rPr>
            </w:pPr>
            <w:r w:rsidRPr="007955BB">
              <w:rPr>
                <w:bCs/>
                <w:color w:val="000000"/>
                <w:szCs w:val="22"/>
                <w:lang w:val="en-US" w:eastAsia="en-US"/>
              </w:rPr>
              <w:t>-40.5</w:t>
            </w:r>
          </w:p>
        </w:tc>
      </w:tr>
    </w:tbl>
    <w:p w:rsidR="00FE673E" w:rsidRPr="007955BB" w:rsidRDefault="00FE673E" w:rsidP="00FE673E">
      <w:pPr>
        <w:spacing w:after="120" w:line="276" w:lineRule="auto"/>
        <w:ind w:firstLine="720"/>
        <w:contextualSpacing w:val="0"/>
        <w:rPr>
          <w:rFonts w:cs="Sylfaen"/>
          <w:b w:val="0"/>
          <w:lang w:val="hy-AM"/>
        </w:rPr>
      </w:pPr>
      <w:r w:rsidRPr="007955BB">
        <w:rPr>
          <w:rFonts w:cs="Sylfaen"/>
          <w:b w:val="0"/>
          <w:lang w:val="hy-AM"/>
        </w:rPr>
        <w:t>Աղյուսակ 2</w:t>
      </w:r>
      <w:r w:rsidRPr="00625305">
        <w:rPr>
          <w:rFonts w:cs="Sylfaen"/>
          <w:b w:val="0"/>
        </w:rPr>
        <w:t>1</w:t>
      </w:r>
      <w:r w:rsidRPr="007955BB">
        <w:rPr>
          <w:rFonts w:cs="Sylfaen"/>
          <w:b w:val="0"/>
          <w:lang w:val="hy-AM"/>
        </w:rPr>
        <w:t xml:space="preserve">-ում ցույց են տրված գնահատված լրացուցիչ ռիսկերը, որոնք կհանգեցնեն լրացուցիչ ֆինանսավորման պահանջի առաջացման: Ակնհայտորեն երևում է, որ գնաճի տատանումների հետևանքով կնվազի նախատեսված ֆինանսավորման պահանջը և համապատասխանաբար կփոփոխվեն նաև պետական բյուջեի ծախսերը` ավելացման ուղղությամբ: </w:t>
      </w:r>
    </w:p>
    <w:p w:rsidR="00FE673E" w:rsidRPr="007955BB" w:rsidRDefault="00FE673E" w:rsidP="00FE673E">
      <w:pPr>
        <w:spacing w:after="120" w:line="276" w:lineRule="auto"/>
        <w:ind w:firstLine="720"/>
        <w:contextualSpacing w:val="0"/>
        <w:rPr>
          <w:b w:val="0"/>
          <w:lang w:val="hy-AM"/>
        </w:rPr>
      </w:pPr>
      <w:r w:rsidRPr="007955BB">
        <w:rPr>
          <w:rFonts w:cs="Sylfaen"/>
          <w:b w:val="0"/>
          <w:lang w:val="hy-AM"/>
        </w:rPr>
        <w:t xml:space="preserve">Հաշվի առնելով մակրոտնտեսական ցուցանիշների կանխատեսվող մակարդակից վերոնշյալ հնարավոր շեղումների ռիսկերի գնահատականները` ՀՀ պետական բյուջեի եկամուտների հավաքագրման և ծախսերի կատարման տեսանկյունից 2023 թվականին ՀՀ պետական բյուջեի դեֆիցիտի լրացուցիչ ֆինանսավորման պահանջը կկազմի շուրջ 40.5 մլրդ ՀՀ դրամ կամ ՀՆԱ-ի 0.4%-ը: </w:t>
      </w:r>
    </w:p>
    <w:p w:rsidR="00FE673E" w:rsidRPr="007955BB" w:rsidRDefault="00FE673E" w:rsidP="00FE673E">
      <w:pPr>
        <w:spacing w:before="0" w:line="240" w:lineRule="auto"/>
        <w:ind w:firstLine="0"/>
        <w:contextualSpacing w:val="0"/>
        <w:jc w:val="left"/>
        <w:rPr>
          <w:rFonts w:eastAsia="Calibri"/>
          <w:b w:val="0"/>
          <w:szCs w:val="22"/>
          <w:lang w:val="hy-AM" w:eastAsia="en-US"/>
        </w:rPr>
      </w:pPr>
      <w:r w:rsidRPr="007955BB">
        <w:rPr>
          <w:rFonts w:eastAsia="Calibri"/>
          <w:b w:val="0"/>
          <w:szCs w:val="22"/>
          <w:lang w:val="hy-AM" w:eastAsia="en-US"/>
        </w:rPr>
        <w:br w:type="page"/>
      </w:r>
    </w:p>
    <w:p w:rsidR="00BE2F9F" w:rsidRPr="007955BB" w:rsidRDefault="00BE2F9F" w:rsidP="00BE2F9F">
      <w:pPr>
        <w:keepNext/>
        <w:keepLines/>
        <w:spacing w:before="0" w:line="312" w:lineRule="auto"/>
        <w:ind w:firstLine="0"/>
        <w:jc w:val="left"/>
        <w:outlineLvl w:val="2"/>
        <w:rPr>
          <w:szCs w:val="22"/>
          <w:lang w:val="hy-AM" w:eastAsia="en-US"/>
        </w:rPr>
      </w:pPr>
      <w:bookmarkStart w:id="389" w:name="_Toc120805255"/>
      <w:r w:rsidRPr="007955BB">
        <w:rPr>
          <w:szCs w:val="22"/>
          <w:lang w:val="hy-AM" w:eastAsia="en-US"/>
        </w:rPr>
        <w:t>3. ԱՅԼ ԿԱՌՈՒՅՑՆԵՐԻ ԿՈՂՄԻՑ ՀՀ ՏՆՏԵՍԱԿԱՆ ԱՃԻ ԿԱՆԽԱՏԵՍՈՒՄՆԵՐԻ ՀԵՏ ՀԱՄԵՄԱՏԱԿԱՆ</w:t>
      </w:r>
      <w:bookmarkEnd w:id="377"/>
      <w:bookmarkEnd w:id="378"/>
      <w:bookmarkEnd w:id="389"/>
    </w:p>
    <w:p w:rsidR="007D69AE" w:rsidRPr="007955BB" w:rsidRDefault="007D69AE" w:rsidP="007D69AE">
      <w:pPr>
        <w:spacing w:before="40" w:after="60" w:line="276" w:lineRule="auto"/>
        <w:ind w:firstLine="360"/>
        <w:rPr>
          <w:rFonts w:cs="Sylfaen"/>
          <w:b w:val="0"/>
          <w:bCs/>
          <w:szCs w:val="22"/>
          <w:lang w:val="hy-AM"/>
        </w:rPr>
      </w:pPr>
      <w:r w:rsidRPr="007955BB">
        <w:rPr>
          <w:rFonts w:cs="Sylfaen"/>
          <w:bCs/>
          <w:szCs w:val="22"/>
          <w:u w:val="single"/>
          <w:lang w:val="hy-AM"/>
        </w:rPr>
        <w:t>Կանխատեսումներ։</w:t>
      </w:r>
      <w:r w:rsidRPr="007955BB">
        <w:rPr>
          <w:rFonts w:cs="Sylfaen"/>
          <w:bCs/>
          <w:szCs w:val="22"/>
          <w:lang w:val="hy-AM"/>
        </w:rPr>
        <w:t xml:space="preserve"> </w:t>
      </w:r>
      <w:r w:rsidRPr="007955BB">
        <w:rPr>
          <w:rFonts w:cs="Sylfaen"/>
          <w:b w:val="0"/>
          <w:bCs/>
          <w:szCs w:val="22"/>
          <w:lang w:val="hy-AM"/>
        </w:rPr>
        <w:t>Աղյուսակ 2</w:t>
      </w:r>
      <w:r w:rsidRPr="009228F2">
        <w:rPr>
          <w:rFonts w:cs="Sylfaen"/>
          <w:b w:val="0"/>
          <w:bCs/>
          <w:szCs w:val="22"/>
          <w:lang w:val="hy-AM"/>
        </w:rPr>
        <w:t>2</w:t>
      </w:r>
      <w:r w:rsidRPr="007955BB">
        <w:rPr>
          <w:rFonts w:cs="Sylfaen"/>
          <w:b w:val="0"/>
          <w:bCs/>
          <w:szCs w:val="22"/>
          <w:lang w:val="hy-AM"/>
        </w:rPr>
        <w:t xml:space="preserve">-ում ներկայացված է ՀՀ </w:t>
      </w:r>
      <w:r>
        <w:rPr>
          <w:rFonts w:cs="Sylfaen"/>
          <w:b w:val="0"/>
          <w:bCs/>
          <w:szCs w:val="22"/>
          <w:lang w:val="hy-AM"/>
        </w:rPr>
        <w:t>ՖՆ</w:t>
      </w:r>
      <w:r w:rsidRPr="007955BB">
        <w:rPr>
          <w:rFonts w:cs="Sylfaen"/>
          <w:b w:val="0"/>
          <w:bCs/>
          <w:szCs w:val="22"/>
          <w:lang w:val="hy-AM"/>
        </w:rPr>
        <w:t xml:space="preserve"> և այլ կառույցների կողմից ՀՀ տնտեսական աճի 2022-2023թթ. կանխատեսումների համեմատականը: Նշված կառույցներից մի մասի կողմից 2022թ. ՀՀ տնտեսական աճի կանխատեսումները տարվա ընթացքում վերանայվել են աճի ուղղությամբ: Այսպես` Ֆիթչ վարկանիշային կազմակերպությունը 2022թ. ՀՆԱ կանխատեսվող ցուցանիշը սեպտեմբեր ամսին բարձրացրել է 5.1 տոկոսային կետով՝ կանխատեսելով 6</w:t>
      </w:r>
      <w:r w:rsidRPr="007955BB">
        <w:rPr>
          <w:rFonts w:ascii="Cambria Math" w:hAnsi="Cambria Math" w:cs="Cambria Math"/>
          <w:b w:val="0"/>
          <w:bCs/>
          <w:szCs w:val="22"/>
          <w:lang w:val="hy-AM"/>
        </w:rPr>
        <w:t>․</w:t>
      </w:r>
      <w:r w:rsidRPr="007955BB">
        <w:rPr>
          <w:rFonts w:cs="Sylfaen"/>
          <w:b w:val="0"/>
          <w:bCs/>
          <w:szCs w:val="22"/>
          <w:lang w:val="hy-AM"/>
        </w:rPr>
        <w:t xml:space="preserve">4% տնտեսական աճ: </w:t>
      </w:r>
      <w:r>
        <w:rPr>
          <w:rFonts w:cs="Sylfaen"/>
          <w:b w:val="0"/>
          <w:bCs/>
          <w:szCs w:val="22"/>
          <w:lang w:val="hy-AM"/>
        </w:rPr>
        <w:t>ԱՄՀ-</w:t>
      </w:r>
      <w:r w:rsidRPr="007955BB">
        <w:rPr>
          <w:rFonts w:cs="Sylfaen"/>
          <w:b w:val="0"/>
          <w:bCs/>
          <w:szCs w:val="22"/>
          <w:lang w:val="hy-AM"/>
        </w:rPr>
        <w:t>ը հունիսին ևս բարձրացրել է տնտեսական աճի կանխատեսումը 3.5 տոկոսային կետով՝ սահմանելով 5.0%: Սակայն Համաշխարհային բանկը հունիսին վերանայել է իր կանխատեսումները դեպի ներքև` կանխատեսելով 3</w:t>
      </w:r>
      <w:r w:rsidRPr="007955BB">
        <w:rPr>
          <w:rFonts w:ascii="Cambria Math" w:hAnsi="Cambria Math" w:cs="Cambria Math"/>
          <w:b w:val="0"/>
          <w:bCs/>
          <w:szCs w:val="22"/>
          <w:lang w:val="hy-AM"/>
        </w:rPr>
        <w:t>․</w:t>
      </w:r>
      <w:r w:rsidRPr="007955BB">
        <w:rPr>
          <w:rFonts w:cs="Sylfaen"/>
          <w:b w:val="0"/>
          <w:bCs/>
          <w:szCs w:val="22"/>
          <w:lang w:val="hy-AM"/>
        </w:rPr>
        <w:t xml:space="preserve">5% </w:t>
      </w:r>
      <w:r w:rsidRPr="007955BB">
        <w:rPr>
          <w:rFonts w:cs="GHEA Grapalat"/>
          <w:b w:val="0"/>
          <w:bCs/>
          <w:szCs w:val="22"/>
          <w:lang w:val="hy-AM"/>
        </w:rPr>
        <w:t>տնտեսական</w:t>
      </w:r>
      <w:r w:rsidRPr="007955BB">
        <w:rPr>
          <w:rFonts w:cs="Sylfaen"/>
          <w:b w:val="0"/>
          <w:bCs/>
          <w:szCs w:val="22"/>
          <w:lang w:val="hy-AM"/>
        </w:rPr>
        <w:t xml:space="preserve"> </w:t>
      </w:r>
      <w:r w:rsidRPr="007955BB">
        <w:rPr>
          <w:rFonts w:cs="GHEA Grapalat"/>
          <w:b w:val="0"/>
          <w:bCs/>
          <w:szCs w:val="22"/>
          <w:lang w:val="hy-AM"/>
        </w:rPr>
        <w:t>աճ</w:t>
      </w:r>
      <w:r w:rsidRPr="007955BB">
        <w:rPr>
          <w:rFonts w:cs="Sylfaen"/>
          <w:b w:val="0"/>
          <w:bCs/>
          <w:szCs w:val="22"/>
          <w:lang w:val="hy-AM"/>
        </w:rPr>
        <w:t>: 2022թ. ՀՀ տնտեսական աճի ավելի բարձր կանխատեսումները պայմանավորված են ՀՀ տնտեսության վերջին զարգացումներով:</w:t>
      </w:r>
    </w:p>
    <w:p w:rsidR="007D69AE" w:rsidRPr="007955BB" w:rsidRDefault="007D69AE" w:rsidP="007D69AE">
      <w:pPr>
        <w:pStyle w:val="Caption"/>
        <w:rPr>
          <w:rFonts w:cs="Sylfaen"/>
          <w:bCs w:val="0"/>
          <w:i/>
          <w:color w:val="auto"/>
          <w:sz w:val="20"/>
          <w:szCs w:val="20"/>
          <w:lang w:val="hy-AM"/>
        </w:rPr>
      </w:pPr>
      <w:bookmarkStart w:id="390" w:name="_Toc120805279"/>
      <w:r w:rsidRPr="007955BB">
        <w:rPr>
          <w:lang w:val="hy-AM"/>
        </w:rPr>
        <w:t xml:space="preserve">Աղյուսակ </w:t>
      </w:r>
      <w:r w:rsidRPr="007955BB">
        <w:fldChar w:fldCharType="begin"/>
      </w:r>
      <w:r w:rsidRPr="007955BB">
        <w:rPr>
          <w:lang w:val="hy-AM"/>
        </w:rPr>
        <w:instrText xml:space="preserve"> SEQ Աղյուսակ \* ARABIC </w:instrText>
      </w:r>
      <w:r w:rsidRPr="007955BB">
        <w:fldChar w:fldCharType="separate"/>
      </w:r>
      <w:r w:rsidR="00F77CAF">
        <w:rPr>
          <w:noProof/>
          <w:lang w:val="hy-AM"/>
        </w:rPr>
        <w:t>20</w:t>
      </w:r>
      <w:r w:rsidRPr="007955BB">
        <w:fldChar w:fldCharType="end"/>
      </w:r>
      <w:r w:rsidRPr="007955BB">
        <w:rPr>
          <w:lang w:val="hy-AM"/>
        </w:rPr>
        <w:t>.</w:t>
      </w:r>
      <w:r w:rsidRPr="007955BB">
        <w:rPr>
          <w:color w:val="auto"/>
          <w:sz w:val="20"/>
          <w:szCs w:val="20"/>
          <w:lang w:val="hy-AM"/>
        </w:rPr>
        <w:t xml:space="preserve"> </w:t>
      </w:r>
      <w:r w:rsidRPr="007955BB">
        <w:rPr>
          <w:rFonts w:eastAsia="Calibri"/>
          <w:i/>
          <w:sz w:val="20"/>
          <w:szCs w:val="20"/>
          <w:lang w:val="hy-AM" w:eastAsia="en-US"/>
        </w:rPr>
        <w:t>ՀՀ ՖՆ և այլ կառույցների կողմից ՀՀ տնտեսական աճի կանխատեսումները (%)</w:t>
      </w:r>
      <w:bookmarkEnd w:id="390"/>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7"/>
        <w:gridCol w:w="1549"/>
        <w:gridCol w:w="1580"/>
      </w:tblGrid>
      <w:tr w:rsidR="007D69AE" w:rsidRPr="007955BB" w:rsidTr="00B70D89">
        <w:trPr>
          <w:trHeight w:val="206"/>
          <w:jc w:val="center"/>
        </w:trPr>
        <w:tc>
          <w:tcPr>
            <w:tcW w:w="6377" w:type="dxa"/>
            <w:tcBorders>
              <w:top w:val="single" w:sz="4" w:space="0" w:color="auto"/>
              <w:left w:val="single" w:sz="4" w:space="0" w:color="auto"/>
              <w:bottom w:val="single" w:sz="4" w:space="0" w:color="auto"/>
              <w:right w:val="single" w:sz="4" w:space="0" w:color="auto"/>
            </w:tcBorders>
            <w:shd w:val="clear" w:color="auto" w:fill="4F81BD"/>
            <w:noWrap/>
            <w:vAlign w:val="center"/>
          </w:tcPr>
          <w:p w:rsidR="007D69AE" w:rsidRPr="006648BF" w:rsidRDefault="007D69AE" w:rsidP="00B70D89">
            <w:pPr>
              <w:spacing w:before="40" w:after="60" w:line="276" w:lineRule="auto"/>
              <w:ind w:right="111" w:firstLine="0"/>
              <w:contextualSpacing w:val="0"/>
              <w:jc w:val="left"/>
              <w:rPr>
                <w:rFonts w:cs="Calibri"/>
                <w:color w:val="FFFFFF" w:themeColor="background1"/>
                <w:sz w:val="18"/>
                <w:szCs w:val="18"/>
                <w:lang w:val="it-IT" w:eastAsia="en-US"/>
              </w:rPr>
            </w:pPr>
          </w:p>
        </w:tc>
        <w:tc>
          <w:tcPr>
            <w:tcW w:w="1549" w:type="dxa"/>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D69AE" w:rsidRPr="006648BF" w:rsidRDefault="007D69AE" w:rsidP="00B70D89">
            <w:pPr>
              <w:spacing w:before="40" w:after="60" w:line="276" w:lineRule="auto"/>
              <w:ind w:right="111" w:firstLine="0"/>
              <w:contextualSpacing w:val="0"/>
              <w:jc w:val="center"/>
              <w:rPr>
                <w:rFonts w:cs="Calibri"/>
                <w:bCs/>
                <w:color w:val="FFFFFF" w:themeColor="background1"/>
                <w:sz w:val="18"/>
                <w:szCs w:val="18"/>
                <w:lang w:val="en-US" w:eastAsia="en-US"/>
              </w:rPr>
            </w:pPr>
            <w:r w:rsidRPr="006648BF">
              <w:rPr>
                <w:rFonts w:cs="Calibri"/>
                <w:bCs/>
                <w:color w:val="FFFFFF" w:themeColor="background1"/>
                <w:sz w:val="18"/>
                <w:szCs w:val="18"/>
                <w:lang w:val="hy-AM" w:eastAsia="en-US"/>
              </w:rPr>
              <w:t>202</w:t>
            </w:r>
            <w:r w:rsidRPr="006648BF">
              <w:rPr>
                <w:rFonts w:cs="Calibri"/>
                <w:bCs/>
                <w:color w:val="FFFFFF" w:themeColor="background1"/>
                <w:sz w:val="18"/>
                <w:szCs w:val="18"/>
                <w:lang w:val="en-US" w:eastAsia="en-US"/>
              </w:rPr>
              <w:t>2</w:t>
            </w:r>
          </w:p>
        </w:tc>
        <w:tc>
          <w:tcPr>
            <w:tcW w:w="1580" w:type="dxa"/>
            <w:tcBorders>
              <w:top w:val="single" w:sz="4" w:space="0" w:color="auto"/>
              <w:left w:val="single" w:sz="4" w:space="0" w:color="auto"/>
              <w:bottom w:val="single" w:sz="4" w:space="0" w:color="auto"/>
              <w:right w:val="single" w:sz="4" w:space="0" w:color="auto"/>
            </w:tcBorders>
            <w:shd w:val="clear" w:color="auto" w:fill="4F81BD"/>
            <w:noWrap/>
            <w:vAlign w:val="center"/>
            <w:hideMark/>
          </w:tcPr>
          <w:p w:rsidR="007D69AE" w:rsidRPr="006648BF" w:rsidRDefault="007D69AE" w:rsidP="00B70D89">
            <w:pPr>
              <w:spacing w:before="40" w:after="60" w:line="276" w:lineRule="auto"/>
              <w:ind w:right="111" w:firstLine="0"/>
              <w:contextualSpacing w:val="0"/>
              <w:jc w:val="center"/>
              <w:rPr>
                <w:rFonts w:cs="Calibri"/>
                <w:bCs/>
                <w:color w:val="FFFFFF" w:themeColor="background1"/>
                <w:sz w:val="18"/>
                <w:szCs w:val="18"/>
                <w:lang w:val="en-US" w:eastAsia="en-US"/>
              </w:rPr>
            </w:pPr>
            <w:r w:rsidRPr="006648BF">
              <w:rPr>
                <w:rFonts w:cs="Calibri"/>
                <w:bCs/>
                <w:color w:val="FFFFFF" w:themeColor="background1"/>
                <w:sz w:val="18"/>
                <w:szCs w:val="18"/>
                <w:lang w:val="hy-AM" w:eastAsia="en-US"/>
              </w:rPr>
              <w:t>202</w:t>
            </w:r>
            <w:r w:rsidRPr="006648BF">
              <w:rPr>
                <w:rFonts w:cs="Calibri"/>
                <w:bCs/>
                <w:color w:val="FFFFFF" w:themeColor="background1"/>
                <w:sz w:val="18"/>
                <w:szCs w:val="18"/>
                <w:lang w:val="en-US" w:eastAsia="en-US"/>
              </w:rPr>
              <w:t>3</w:t>
            </w:r>
          </w:p>
        </w:tc>
      </w:tr>
      <w:tr w:rsidR="007D69AE" w:rsidRPr="007955BB" w:rsidTr="00B70D89">
        <w:trPr>
          <w:trHeight w:val="251"/>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D69AE" w:rsidRPr="007955BB" w:rsidRDefault="007D69AE" w:rsidP="00B70D89">
            <w:pPr>
              <w:spacing w:before="0" w:line="276" w:lineRule="auto"/>
              <w:ind w:right="111" w:firstLine="0"/>
              <w:contextualSpacing w:val="0"/>
              <w:jc w:val="left"/>
              <w:rPr>
                <w:rFonts w:cs="Calibri"/>
                <w:color w:val="000000"/>
                <w:sz w:val="20"/>
                <w:szCs w:val="20"/>
                <w:lang w:val="hy-AM" w:eastAsia="en-US"/>
              </w:rPr>
            </w:pPr>
            <w:r w:rsidRPr="007955BB">
              <w:rPr>
                <w:rFonts w:cs="Calibri"/>
                <w:b w:val="0"/>
                <w:color w:val="000000"/>
                <w:sz w:val="20"/>
                <w:szCs w:val="20"/>
                <w:lang w:val="hy-AM" w:eastAsia="en-US"/>
              </w:rPr>
              <w:t>ՀՀ ֆինանսների նախարարություն</w:t>
            </w:r>
            <w:r w:rsidRPr="007955BB">
              <w:rPr>
                <w:rFonts w:cs="Calibri"/>
                <w:b w:val="0"/>
                <w:color w:val="000000"/>
                <w:sz w:val="20"/>
                <w:szCs w:val="20"/>
                <w:lang w:val="en-US" w:eastAsia="en-US"/>
              </w:rPr>
              <w:t xml:space="preserve"> (2022 </w:t>
            </w:r>
            <w:r w:rsidRPr="007955BB">
              <w:rPr>
                <w:rFonts w:cs="Calibri"/>
                <w:b w:val="0"/>
                <w:color w:val="000000"/>
                <w:sz w:val="20"/>
                <w:szCs w:val="20"/>
                <w:lang w:val="hy-AM" w:eastAsia="en-US"/>
              </w:rPr>
              <w:t>սեպտեմբեր</w:t>
            </w:r>
            <w:r w:rsidRPr="007955BB">
              <w:rPr>
                <w:rFonts w:cs="Calibri"/>
                <w:b w:val="0"/>
                <w:color w:val="000000"/>
                <w:sz w:val="20"/>
                <w:szCs w:val="20"/>
                <w:lang w:val="en-US" w:eastAsia="en-US"/>
              </w:rPr>
              <w:t>)</w:t>
            </w:r>
          </w:p>
        </w:tc>
        <w:tc>
          <w:tcPr>
            <w:tcW w:w="1549"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color w:val="000000"/>
                <w:sz w:val="20"/>
                <w:szCs w:val="20"/>
                <w:lang w:val="hy-AM" w:eastAsia="en-US"/>
              </w:rPr>
            </w:pPr>
            <w:r w:rsidRPr="007955BB">
              <w:rPr>
                <w:rFonts w:cs="Calibri"/>
                <w:b w:val="0"/>
                <w:color w:val="000000"/>
                <w:sz w:val="20"/>
                <w:szCs w:val="20"/>
                <w:lang w:val="hy-AM" w:eastAsia="en-US"/>
              </w:rPr>
              <w:t>11.0</w:t>
            </w:r>
          </w:p>
        </w:tc>
        <w:tc>
          <w:tcPr>
            <w:tcW w:w="1580"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color w:val="000000"/>
                <w:sz w:val="20"/>
                <w:szCs w:val="20"/>
                <w:lang w:val="en-US" w:eastAsia="en-US"/>
              </w:rPr>
            </w:pPr>
            <w:r w:rsidRPr="007955BB">
              <w:rPr>
                <w:rFonts w:cs="Calibri"/>
                <w:b w:val="0"/>
                <w:color w:val="000000"/>
                <w:sz w:val="20"/>
                <w:szCs w:val="20"/>
                <w:lang w:val="en-US" w:eastAsia="en-US"/>
              </w:rPr>
              <w:t>7</w:t>
            </w:r>
            <w:r w:rsidRPr="007955BB">
              <w:rPr>
                <w:rFonts w:cs="Calibri"/>
                <w:b w:val="0"/>
                <w:color w:val="000000"/>
                <w:sz w:val="20"/>
                <w:szCs w:val="20"/>
                <w:lang w:val="hy-AM" w:eastAsia="en-US"/>
              </w:rPr>
              <w:t>.</w:t>
            </w:r>
            <w:r w:rsidRPr="007955BB">
              <w:rPr>
                <w:rFonts w:cs="Calibri"/>
                <w:b w:val="0"/>
                <w:color w:val="000000"/>
                <w:sz w:val="20"/>
                <w:szCs w:val="20"/>
                <w:lang w:val="en-US" w:eastAsia="en-US"/>
              </w:rPr>
              <w:t>0</w:t>
            </w:r>
          </w:p>
        </w:tc>
      </w:tr>
      <w:tr w:rsidR="007D69AE" w:rsidRPr="007955BB" w:rsidTr="00B70D89">
        <w:trPr>
          <w:trHeight w:val="251"/>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D69AE" w:rsidRPr="007955BB" w:rsidRDefault="007D69AE" w:rsidP="00B70D89">
            <w:pPr>
              <w:spacing w:before="0" w:line="276" w:lineRule="auto"/>
              <w:ind w:right="111" w:firstLine="0"/>
              <w:contextualSpacing w:val="0"/>
              <w:jc w:val="left"/>
              <w:rPr>
                <w:rFonts w:cs="Calibri"/>
                <w:color w:val="000000"/>
                <w:sz w:val="20"/>
                <w:szCs w:val="20"/>
                <w:lang w:val="hy-AM" w:eastAsia="en-US"/>
              </w:rPr>
            </w:pPr>
            <w:r w:rsidRPr="007955BB">
              <w:rPr>
                <w:rFonts w:cs="Calibri"/>
                <w:b w:val="0"/>
                <w:color w:val="000000"/>
                <w:sz w:val="20"/>
                <w:szCs w:val="20"/>
                <w:lang w:val="hy-AM" w:eastAsia="en-US"/>
              </w:rPr>
              <w:t>ՀՀ ֆինանսների նախարարություն (202</w:t>
            </w:r>
            <w:r w:rsidRPr="007955BB">
              <w:rPr>
                <w:rFonts w:cs="Calibri"/>
                <w:b w:val="0"/>
                <w:color w:val="000000"/>
                <w:sz w:val="20"/>
                <w:szCs w:val="20"/>
                <w:lang w:val="en-US" w:eastAsia="en-US"/>
              </w:rPr>
              <w:t>2</w:t>
            </w:r>
            <w:r w:rsidRPr="007955BB">
              <w:rPr>
                <w:rFonts w:cs="Calibri"/>
                <w:b w:val="0"/>
                <w:color w:val="000000"/>
                <w:sz w:val="20"/>
                <w:szCs w:val="20"/>
                <w:lang w:val="hy-AM" w:eastAsia="en-US"/>
              </w:rPr>
              <w:t xml:space="preserve"> </w:t>
            </w:r>
            <w:r w:rsidRPr="007955BB">
              <w:rPr>
                <w:rFonts w:cs="Calibri"/>
                <w:b w:val="0"/>
                <w:color w:val="000000"/>
                <w:sz w:val="20"/>
                <w:szCs w:val="20"/>
                <w:lang w:val="en-US" w:eastAsia="en-US"/>
              </w:rPr>
              <w:t>հուլիս</w:t>
            </w:r>
            <w:r w:rsidRPr="007955BB">
              <w:rPr>
                <w:rFonts w:cs="Calibri"/>
                <w:b w:val="0"/>
                <w:color w:val="000000"/>
                <w:sz w:val="20"/>
                <w:szCs w:val="20"/>
                <w:lang w:val="hy-AM" w:eastAsia="en-US"/>
              </w:rPr>
              <w:t>)</w:t>
            </w:r>
          </w:p>
        </w:tc>
        <w:tc>
          <w:tcPr>
            <w:tcW w:w="1549"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color w:val="000000"/>
                <w:sz w:val="20"/>
                <w:szCs w:val="20"/>
                <w:lang w:val="en-US" w:eastAsia="en-US"/>
              </w:rPr>
            </w:pPr>
            <w:r w:rsidRPr="007955BB">
              <w:rPr>
                <w:rFonts w:cs="Calibri"/>
                <w:b w:val="0"/>
                <w:color w:val="000000"/>
                <w:sz w:val="20"/>
                <w:szCs w:val="20"/>
                <w:lang w:val="en-US" w:eastAsia="en-US"/>
              </w:rPr>
              <w:t>7.0</w:t>
            </w:r>
          </w:p>
        </w:tc>
        <w:tc>
          <w:tcPr>
            <w:tcW w:w="1580"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color w:val="000000"/>
                <w:sz w:val="20"/>
                <w:szCs w:val="20"/>
                <w:lang w:val="en-US" w:eastAsia="en-US"/>
              </w:rPr>
            </w:pPr>
            <w:r w:rsidRPr="007955BB">
              <w:rPr>
                <w:rFonts w:cs="Calibri"/>
                <w:b w:val="0"/>
                <w:color w:val="000000"/>
                <w:sz w:val="20"/>
                <w:szCs w:val="20"/>
                <w:lang w:val="en-US" w:eastAsia="en-US"/>
              </w:rPr>
              <w:t>7.0</w:t>
            </w:r>
          </w:p>
        </w:tc>
      </w:tr>
      <w:tr w:rsidR="007D69AE" w:rsidRPr="007955BB" w:rsidTr="00B70D89">
        <w:trPr>
          <w:trHeight w:val="201"/>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D69AE" w:rsidRPr="007955BB" w:rsidRDefault="007D69AE" w:rsidP="00B70D89">
            <w:pPr>
              <w:spacing w:before="0" w:line="240" w:lineRule="auto"/>
              <w:ind w:right="115" w:firstLine="0"/>
              <w:contextualSpacing w:val="0"/>
              <w:jc w:val="left"/>
              <w:rPr>
                <w:rFonts w:cs="Calibri"/>
                <w:color w:val="000000"/>
                <w:sz w:val="20"/>
                <w:szCs w:val="20"/>
                <w:lang w:val="hy-AM" w:eastAsia="en-US"/>
              </w:rPr>
            </w:pPr>
          </w:p>
        </w:tc>
        <w:tc>
          <w:tcPr>
            <w:tcW w:w="1549"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color w:val="000000"/>
                <w:sz w:val="20"/>
                <w:szCs w:val="20"/>
                <w:lang w:val="en-US" w:eastAsia="en-US"/>
              </w:rPr>
            </w:pPr>
          </w:p>
        </w:tc>
        <w:tc>
          <w:tcPr>
            <w:tcW w:w="1580"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color w:val="000000"/>
                <w:sz w:val="20"/>
                <w:szCs w:val="20"/>
                <w:lang w:val="en-US" w:eastAsia="en-US"/>
              </w:rPr>
            </w:pPr>
          </w:p>
        </w:tc>
      </w:tr>
      <w:tr w:rsidR="007D69AE" w:rsidRPr="007955BB" w:rsidTr="00B70D89">
        <w:trPr>
          <w:trHeight w:val="372"/>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D69AE" w:rsidRPr="007955BB" w:rsidRDefault="007D69AE" w:rsidP="00B70D89">
            <w:pPr>
              <w:spacing w:before="0" w:line="276" w:lineRule="auto"/>
              <w:ind w:right="111" w:firstLine="0"/>
              <w:contextualSpacing w:val="0"/>
              <w:jc w:val="left"/>
              <w:rPr>
                <w:rFonts w:cs="Calibri"/>
                <w:color w:val="000000"/>
                <w:sz w:val="20"/>
                <w:szCs w:val="20"/>
                <w:lang w:val="hy-AM" w:eastAsia="en-US"/>
              </w:rPr>
            </w:pPr>
            <w:r w:rsidRPr="007955BB">
              <w:rPr>
                <w:rFonts w:cs="Calibri"/>
                <w:b w:val="0"/>
                <w:color w:val="000000"/>
                <w:sz w:val="20"/>
                <w:szCs w:val="20"/>
                <w:lang w:val="hy-AM" w:eastAsia="en-US"/>
              </w:rPr>
              <w:t>ՀՀ կենտրոնական բանկ (202</w:t>
            </w:r>
            <w:r w:rsidRPr="007955BB">
              <w:rPr>
                <w:rFonts w:cs="Calibri"/>
                <w:b w:val="0"/>
                <w:color w:val="000000"/>
                <w:sz w:val="20"/>
                <w:szCs w:val="20"/>
                <w:lang w:val="en-US" w:eastAsia="en-US"/>
              </w:rPr>
              <w:t>2</w:t>
            </w:r>
            <w:r w:rsidRPr="007955BB">
              <w:rPr>
                <w:rFonts w:cs="Calibri"/>
                <w:b w:val="0"/>
                <w:color w:val="000000"/>
                <w:sz w:val="20"/>
                <w:szCs w:val="20"/>
                <w:lang w:val="hy-AM" w:eastAsia="en-US"/>
              </w:rPr>
              <w:t xml:space="preserve"> հունիս)</w:t>
            </w:r>
          </w:p>
        </w:tc>
        <w:tc>
          <w:tcPr>
            <w:tcW w:w="1549"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color w:val="000000"/>
                <w:sz w:val="20"/>
                <w:szCs w:val="20"/>
                <w:lang w:val="en-US" w:eastAsia="en-US"/>
              </w:rPr>
            </w:pPr>
            <w:r w:rsidRPr="007955BB">
              <w:rPr>
                <w:rFonts w:cs="Calibri"/>
                <w:b w:val="0"/>
                <w:color w:val="000000"/>
                <w:sz w:val="20"/>
                <w:szCs w:val="20"/>
                <w:lang w:val="en-US" w:eastAsia="en-US"/>
              </w:rPr>
              <w:t>4.9</w:t>
            </w:r>
          </w:p>
        </w:tc>
        <w:tc>
          <w:tcPr>
            <w:tcW w:w="1580"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color w:val="000000"/>
                <w:sz w:val="20"/>
                <w:szCs w:val="20"/>
                <w:lang w:val="en-US" w:eastAsia="en-US"/>
              </w:rPr>
            </w:pPr>
            <w:r w:rsidRPr="007955BB">
              <w:rPr>
                <w:rFonts w:cs="Calibri"/>
                <w:b w:val="0"/>
                <w:color w:val="000000"/>
                <w:sz w:val="20"/>
                <w:szCs w:val="20"/>
                <w:lang w:val="en-US" w:eastAsia="en-US"/>
              </w:rPr>
              <w:t>3.1</w:t>
            </w:r>
          </w:p>
        </w:tc>
      </w:tr>
      <w:tr w:rsidR="007D69AE" w:rsidRPr="007955BB" w:rsidTr="00B70D89">
        <w:trPr>
          <w:trHeight w:val="156"/>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D69AE" w:rsidRPr="007955BB" w:rsidRDefault="007D69AE" w:rsidP="00B70D89">
            <w:pPr>
              <w:spacing w:before="0" w:line="240" w:lineRule="auto"/>
              <w:ind w:right="115" w:firstLine="0"/>
              <w:contextualSpacing w:val="0"/>
              <w:jc w:val="left"/>
              <w:rPr>
                <w:rFonts w:cs="Calibri"/>
                <w:b w:val="0"/>
                <w:color w:val="000000"/>
                <w:sz w:val="20"/>
                <w:szCs w:val="20"/>
                <w:lang w:val="en-US" w:eastAsia="en-US"/>
              </w:rPr>
            </w:pPr>
          </w:p>
        </w:tc>
        <w:tc>
          <w:tcPr>
            <w:tcW w:w="1549"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b w:val="0"/>
                <w:color w:val="000000"/>
                <w:sz w:val="20"/>
                <w:szCs w:val="20"/>
                <w:lang w:val="en-US" w:eastAsia="en-US"/>
              </w:rPr>
            </w:pPr>
          </w:p>
        </w:tc>
        <w:tc>
          <w:tcPr>
            <w:tcW w:w="1580"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b w:val="0"/>
                <w:color w:val="000000"/>
                <w:sz w:val="20"/>
                <w:szCs w:val="20"/>
                <w:lang w:val="en-US" w:eastAsia="en-US"/>
              </w:rPr>
            </w:pPr>
          </w:p>
        </w:tc>
      </w:tr>
      <w:tr w:rsidR="007D69AE" w:rsidRPr="007955BB" w:rsidTr="00B70D89">
        <w:trPr>
          <w:trHeight w:val="156"/>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D69AE" w:rsidRPr="007955BB" w:rsidRDefault="007D69AE" w:rsidP="00B70D89">
            <w:pPr>
              <w:spacing w:before="0" w:line="240" w:lineRule="auto"/>
              <w:ind w:right="115" w:firstLine="0"/>
              <w:contextualSpacing w:val="0"/>
              <w:jc w:val="left"/>
              <w:rPr>
                <w:rFonts w:cs="Calibri"/>
                <w:b w:val="0"/>
                <w:bCs/>
                <w:color w:val="000000"/>
                <w:sz w:val="20"/>
                <w:szCs w:val="20"/>
                <w:lang w:val="hy-AM" w:eastAsia="en-US"/>
              </w:rPr>
            </w:pPr>
            <w:r w:rsidRPr="007955BB">
              <w:rPr>
                <w:rFonts w:cs="Calibri"/>
                <w:b w:val="0"/>
                <w:color w:val="000000"/>
                <w:sz w:val="20"/>
                <w:szCs w:val="20"/>
                <w:lang w:val="hy-AM" w:eastAsia="en-US"/>
              </w:rPr>
              <w:t>Արժույթի միջազգային հիմնադրամ (</w:t>
            </w:r>
            <w:r w:rsidRPr="007955BB">
              <w:rPr>
                <w:rFonts w:cs="Calibri"/>
                <w:b w:val="0"/>
                <w:color w:val="000000"/>
                <w:sz w:val="20"/>
                <w:szCs w:val="20"/>
                <w:lang w:val="en-US" w:eastAsia="en-US"/>
              </w:rPr>
              <w:t xml:space="preserve">2022 </w:t>
            </w:r>
            <w:r w:rsidRPr="007955BB">
              <w:rPr>
                <w:rFonts w:cs="Calibri"/>
                <w:b w:val="0"/>
                <w:color w:val="000000"/>
                <w:sz w:val="20"/>
                <w:szCs w:val="20"/>
                <w:lang w:val="hy-AM" w:eastAsia="en-US"/>
              </w:rPr>
              <w:t>հունիս)</w:t>
            </w:r>
          </w:p>
        </w:tc>
        <w:tc>
          <w:tcPr>
            <w:tcW w:w="1549"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5.0</w:t>
            </w:r>
          </w:p>
        </w:tc>
        <w:tc>
          <w:tcPr>
            <w:tcW w:w="1580"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w:t>
            </w:r>
          </w:p>
        </w:tc>
      </w:tr>
      <w:tr w:rsidR="007D69AE" w:rsidRPr="007955BB" w:rsidTr="00B70D89">
        <w:trPr>
          <w:trHeight w:val="156"/>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D69AE" w:rsidRPr="007955BB" w:rsidRDefault="007D69AE" w:rsidP="00B70D89">
            <w:pPr>
              <w:spacing w:before="0" w:line="240" w:lineRule="auto"/>
              <w:ind w:right="115" w:firstLine="0"/>
              <w:contextualSpacing w:val="0"/>
              <w:jc w:val="left"/>
              <w:rPr>
                <w:rFonts w:cs="Calibri"/>
                <w:b w:val="0"/>
                <w:color w:val="000000"/>
                <w:sz w:val="20"/>
                <w:szCs w:val="20"/>
                <w:lang w:val="en-US" w:eastAsia="en-US"/>
              </w:rPr>
            </w:pPr>
            <w:r w:rsidRPr="007955BB">
              <w:rPr>
                <w:rFonts w:cs="Calibri"/>
                <w:b w:val="0"/>
                <w:color w:val="000000"/>
                <w:sz w:val="20"/>
                <w:szCs w:val="20"/>
                <w:lang w:val="hy-AM" w:eastAsia="en-US"/>
              </w:rPr>
              <w:t>Արժույթի միջազգային հիմնադրամ (</w:t>
            </w:r>
            <w:r w:rsidRPr="007955BB">
              <w:rPr>
                <w:rFonts w:cs="Calibri"/>
                <w:b w:val="0"/>
                <w:color w:val="000000"/>
                <w:sz w:val="20"/>
                <w:szCs w:val="20"/>
                <w:lang w:val="en-US" w:eastAsia="en-US"/>
              </w:rPr>
              <w:t xml:space="preserve">2022 </w:t>
            </w:r>
            <w:r w:rsidRPr="007955BB">
              <w:rPr>
                <w:rFonts w:cs="Calibri"/>
                <w:b w:val="0"/>
                <w:color w:val="000000"/>
                <w:sz w:val="20"/>
                <w:szCs w:val="20"/>
                <w:lang w:val="hy-AM" w:eastAsia="en-US"/>
              </w:rPr>
              <w:t>ապրիլ)</w:t>
            </w:r>
          </w:p>
        </w:tc>
        <w:tc>
          <w:tcPr>
            <w:tcW w:w="1549"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1.5</w:t>
            </w:r>
          </w:p>
        </w:tc>
        <w:tc>
          <w:tcPr>
            <w:tcW w:w="1580"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4.0</w:t>
            </w:r>
          </w:p>
        </w:tc>
      </w:tr>
      <w:tr w:rsidR="007D69AE" w:rsidRPr="007955BB" w:rsidTr="00B70D89">
        <w:trPr>
          <w:trHeight w:val="156"/>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D69AE" w:rsidRPr="007955BB" w:rsidRDefault="007D69AE" w:rsidP="00B70D89">
            <w:pPr>
              <w:spacing w:before="0" w:line="240" w:lineRule="auto"/>
              <w:ind w:right="115" w:firstLine="0"/>
              <w:contextualSpacing w:val="0"/>
              <w:jc w:val="left"/>
              <w:rPr>
                <w:rFonts w:cs="Calibri"/>
                <w:b w:val="0"/>
                <w:color w:val="000000"/>
                <w:sz w:val="20"/>
                <w:szCs w:val="20"/>
                <w:lang w:val="en-US" w:eastAsia="en-US"/>
              </w:rPr>
            </w:pPr>
          </w:p>
        </w:tc>
        <w:tc>
          <w:tcPr>
            <w:tcW w:w="1549"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b w:val="0"/>
                <w:color w:val="000000"/>
                <w:sz w:val="20"/>
                <w:szCs w:val="20"/>
                <w:lang w:val="en-US" w:eastAsia="en-US"/>
              </w:rPr>
            </w:pPr>
          </w:p>
        </w:tc>
        <w:tc>
          <w:tcPr>
            <w:tcW w:w="1580"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b w:val="0"/>
                <w:color w:val="000000"/>
                <w:sz w:val="20"/>
                <w:szCs w:val="20"/>
                <w:lang w:val="en-US" w:eastAsia="en-US"/>
              </w:rPr>
            </w:pPr>
          </w:p>
        </w:tc>
      </w:tr>
      <w:tr w:rsidR="007D69AE" w:rsidRPr="007955BB" w:rsidTr="00B70D89">
        <w:trPr>
          <w:trHeight w:val="156"/>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D69AE" w:rsidRPr="007955BB" w:rsidRDefault="007D69AE" w:rsidP="00B70D89">
            <w:pPr>
              <w:spacing w:before="0" w:line="240" w:lineRule="auto"/>
              <w:ind w:right="115" w:firstLine="0"/>
              <w:contextualSpacing w:val="0"/>
              <w:jc w:val="left"/>
              <w:rPr>
                <w:rFonts w:cs="Calibri"/>
                <w:color w:val="000000"/>
                <w:sz w:val="20"/>
                <w:szCs w:val="20"/>
                <w:lang w:val="hy-AM" w:eastAsia="en-US"/>
              </w:rPr>
            </w:pPr>
            <w:r w:rsidRPr="007955BB">
              <w:rPr>
                <w:rFonts w:cs="Calibri"/>
                <w:b w:val="0"/>
                <w:color w:val="000000"/>
                <w:sz w:val="20"/>
                <w:szCs w:val="20"/>
                <w:lang w:val="en-US" w:eastAsia="en-US"/>
              </w:rPr>
              <w:t xml:space="preserve">Ֆիթչ (2022 </w:t>
            </w:r>
            <w:r w:rsidRPr="007955BB">
              <w:rPr>
                <w:rFonts w:cs="Calibri"/>
                <w:b w:val="0"/>
                <w:color w:val="000000"/>
                <w:sz w:val="20"/>
                <w:szCs w:val="20"/>
                <w:lang w:val="hy-AM" w:eastAsia="en-US"/>
              </w:rPr>
              <w:t>սեպտեմբեր</w:t>
            </w:r>
            <w:r w:rsidRPr="007955BB">
              <w:rPr>
                <w:rFonts w:cs="Calibri"/>
                <w:b w:val="0"/>
                <w:color w:val="000000"/>
                <w:sz w:val="20"/>
                <w:szCs w:val="20"/>
                <w:lang w:val="en-US" w:eastAsia="en-US"/>
              </w:rPr>
              <w:t>)</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69AE" w:rsidRPr="007955BB" w:rsidRDefault="007D69AE" w:rsidP="00B70D89">
            <w:pPr>
              <w:spacing w:before="0" w:line="276" w:lineRule="auto"/>
              <w:ind w:right="111" w:firstLine="0"/>
              <w:contextualSpacing w:val="0"/>
              <w:jc w:val="center"/>
              <w:rPr>
                <w:rFonts w:cs="Calibri"/>
                <w:color w:val="000000"/>
                <w:sz w:val="20"/>
                <w:szCs w:val="20"/>
                <w:lang w:val="en-US" w:eastAsia="en-US"/>
              </w:rPr>
            </w:pPr>
            <w:r w:rsidRPr="007955BB">
              <w:rPr>
                <w:rFonts w:cs="Calibri"/>
                <w:b w:val="0"/>
                <w:color w:val="000000"/>
                <w:sz w:val="20"/>
                <w:szCs w:val="20"/>
                <w:lang w:val="en-US" w:eastAsia="en-US"/>
              </w:rPr>
              <w:t>6.4</w:t>
            </w:r>
          </w:p>
        </w:tc>
        <w:tc>
          <w:tcPr>
            <w:tcW w:w="1580"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color w:val="000000"/>
                <w:sz w:val="20"/>
                <w:szCs w:val="20"/>
                <w:lang w:val="en-US" w:eastAsia="en-US"/>
              </w:rPr>
            </w:pPr>
            <w:r w:rsidRPr="007955BB">
              <w:rPr>
                <w:rFonts w:cs="Calibri"/>
                <w:b w:val="0"/>
                <w:color w:val="000000"/>
                <w:sz w:val="20"/>
                <w:szCs w:val="20"/>
                <w:lang w:val="en-US" w:eastAsia="en-US"/>
              </w:rPr>
              <w:t>5.1</w:t>
            </w:r>
          </w:p>
        </w:tc>
      </w:tr>
      <w:tr w:rsidR="007D69AE" w:rsidRPr="007955BB" w:rsidTr="00B70D89">
        <w:trPr>
          <w:trHeight w:val="327"/>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D69AE" w:rsidRPr="007955BB" w:rsidRDefault="007D69AE" w:rsidP="00B70D89">
            <w:pPr>
              <w:spacing w:before="0" w:line="276" w:lineRule="auto"/>
              <w:ind w:right="111" w:firstLine="0"/>
              <w:contextualSpacing w:val="0"/>
              <w:jc w:val="left"/>
              <w:rPr>
                <w:rFonts w:cs="Calibri"/>
                <w:b w:val="0"/>
                <w:color w:val="000000"/>
                <w:sz w:val="20"/>
                <w:szCs w:val="20"/>
                <w:lang w:val="hy-AM" w:eastAsia="en-US"/>
              </w:rPr>
            </w:pPr>
            <w:r w:rsidRPr="007955BB">
              <w:rPr>
                <w:rFonts w:cs="Calibri"/>
                <w:b w:val="0"/>
                <w:color w:val="000000"/>
                <w:sz w:val="20"/>
                <w:szCs w:val="20"/>
                <w:lang w:val="en-US" w:eastAsia="en-US"/>
              </w:rPr>
              <w:t>Ֆիթչ (2022 մարտ)</w:t>
            </w:r>
          </w:p>
        </w:tc>
        <w:tc>
          <w:tcPr>
            <w:tcW w:w="1549"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1.3</w:t>
            </w:r>
          </w:p>
        </w:tc>
        <w:tc>
          <w:tcPr>
            <w:tcW w:w="1580"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4.2</w:t>
            </w:r>
          </w:p>
        </w:tc>
      </w:tr>
      <w:tr w:rsidR="007D69AE" w:rsidRPr="007955BB" w:rsidTr="00B70D89">
        <w:trPr>
          <w:trHeight w:val="327"/>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D69AE" w:rsidRPr="007955BB" w:rsidRDefault="007D69AE" w:rsidP="00B70D89">
            <w:pPr>
              <w:spacing w:before="0" w:line="276" w:lineRule="auto"/>
              <w:ind w:right="111" w:firstLine="0"/>
              <w:contextualSpacing w:val="0"/>
              <w:jc w:val="left"/>
              <w:rPr>
                <w:rFonts w:cs="Calibri"/>
                <w:b w:val="0"/>
                <w:color w:val="000000"/>
                <w:sz w:val="20"/>
                <w:szCs w:val="20"/>
                <w:lang w:val="hy-AM" w:eastAsia="en-US"/>
              </w:rPr>
            </w:pPr>
          </w:p>
        </w:tc>
        <w:tc>
          <w:tcPr>
            <w:tcW w:w="1549"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b w:val="0"/>
                <w:color w:val="000000"/>
                <w:sz w:val="20"/>
                <w:szCs w:val="20"/>
                <w:lang w:val="en-US" w:eastAsia="en-US"/>
              </w:rPr>
            </w:pPr>
          </w:p>
        </w:tc>
        <w:tc>
          <w:tcPr>
            <w:tcW w:w="1580"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b w:val="0"/>
                <w:color w:val="000000"/>
                <w:sz w:val="20"/>
                <w:szCs w:val="20"/>
                <w:lang w:val="en-US" w:eastAsia="en-US"/>
              </w:rPr>
            </w:pPr>
          </w:p>
        </w:tc>
      </w:tr>
      <w:tr w:rsidR="007D69AE" w:rsidRPr="007955BB" w:rsidTr="00B70D89">
        <w:trPr>
          <w:trHeight w:val="327"/>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D69AE" w:rsidRPr="007955BB" w:rsidRDefault="007D69AE" w:rsidP="00B70D89">
            <w:pPr>
              <w:spacing w:before="0" w:line="276" w:lineRule="auto"/>
              <w:ind w:right="111" w:firstLine="0"/>
              <w:contextualSpacing w:val="0"/>
              <w:jc w:val="left"/>
              <w:rPr>
                <w:rFonts w:cs="Calibri"/>
                <w:b w:val="0"/>
                <w:color w:val="000000"/>
                <w:sz w:val="20"/>
                <w:szCs w:val="20"/>
                <w:lang w:val="hy-AM" w:eastAsia="en-US"/>
              </w:rPr>
            </w:pPr>
            <w:r w:rsidRPr="007955BB">
              <w:rPr>
                <w:rFonts w:cs="Calibri"/>
                <w:b w:val="0"/>
                <w:color w:val="000000"/>
                <w:sz w:val="20"/>
                <w:szCs w:val="20"/>
                <w:lang w:val="hy-AM" w:eastAsia="en-US"/>
              </w:rPr>
              <w:t>Համաշխարհային բանկ (</w:t>
            </w:r>
            <w:r w:rsidRPr="007955BB">
              <w:rPr>
                <w:rFonts w:cs="Calibri"/>
                <w:b w:val="0"/>
                <w:color w:val="000000"/>
                <w:sz w:val="20"/>
                <w:szCs w:val="20"/>
                <w:lang w:val="en-US" w:eastAsia="en-US"/>
              </w:rPr>
              <w:t xml:space="preserve">2022 </w:t>
            </w:r>
            <w:r w:rsidRPr="007955BB">
              <w:rPr>
                <w:rFonts w:cs="Calibri"/>
                <w:b w:val="0"/>
                <w:color w:val="000000"/>
                <w:sz w:val="20"/>
                <w:szCs w:val="20"/>
                <w:lang w:val="hy-AM" w:eastAsia="en-US"/>
              </w:rPr>
              <w:t>հունիս)</w:t>
            </w:r>
          </w:p>
        </w:tc>
        <w:tc>
          <w:tcPr>
            <w:tcW w:w="1549" w:type="dxa"/>
            <w:tcBorders>
              <w:top w:val="single" w:sz="4" w:space="0" w:color="auto"/>
              <w:left w:val="single" w:sz="4" w:space="0" w:color="auto"/>
              <w:bottom w:val="single" w:sz="4" w:space="0" w:color="auto"/>
              <w:right w:val="single" w:sz="4" w:space="0" w:color="auto"/>
            </w:tcBorders>
            <w:noWrap/>
          </w:tcPr>
          <w:p w:rsidR="007D69AE" w:rsidRPr="007955BB" w:rsidRDefault="007D69AE" w:rsidP="00B70D89">
            <w:pPr>
              <w:spacing w:before="0" w:line="276" w:lineRule="auto"/>
              <w:ind w:right="111" w:firstLine="0"/>
              <w:contextualSpacing w:val="0"/>
              <w:jc w:val="center"/>
              <w:rPr>
                <w:rFonts w:cs="Calibri"/>
                <w:b w:val="0"/>
                <w:color w:val="000000"/>
                <w:sz w:val="20"/>
                <w:szCs w:val="20"/>
                <w:lang w:val="hy-AM" w:eastAsia="en-US"/>
              </w:rPr>
            </w:pPr>
            <w:r w:rsidRPr="007955BB">
              <w:rPr>
                <w:rFonts w:cs="Calibri"/>
                <w:b w:val="0"/>
                <w:color w:val="000000"/>
                <w:sz w:val="20"/>
                <w:szCs w:val="20"/>
                <w:lang w:val="en-US" w:eastAsia="en-US"/>
              </w:rPr>
              <w:t>3.5</w:t>
            </w:r>
          </w:p>
        </w:tc>
        <w:tc>
          <w:tcPr>
            <w:tcW w:w="1580" w:type="dxa"/>
            <w:tcBorders>
              <w:top w:val="single" w:sz="4" w:space="0" w:color="auto"/>
              <w:left w:val="single" w:sz="4" w:space="0" w:color="auto"/>
              <w:bottom w:val="single" w:sz="4" w:space="0" w:color="auto"/>
              <w:right w:val="single" w:sz="4" w:space="0" w:color="auto"/>
            </w:tcBorders>
            <w:noWrap/>
          </w:tcPr>
          <w:p w:rsidR="007D69AE" w:rsidRPr="007955BB" w:rsidRDefault="007D69AE" w:rsidP="00B70D89">
            <w:pPr>
              <w:spacing w:before="0" w:line="276" w:lineRule="auto"/>
              <w:ind w:right="111"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4.6</w:t>
            </w:r>
          </w:p>
        </w:tc>
      </w:tr>
      <w:tr w:rsidR="007D69AE" w:rsidRPr="007955BB" w:rsidTr="00B70D89">
        <w:trPr>
          <w:trHeight w:val="327"/>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D69AE" w:rsidRPr="007955BB" w:rsidRDefault="007D69AE" w:rsidP="00B70D89">
            <w:pPr>
              <w:spacing w:before="0" w:line="276" w:lineRule="auto"/>
              <w:ind w:right="111" w:firstLine="0"/>
              <w:contextualSpacing w:val="0"/>
              <w:jc w:val="left"/>
              <w:rPr>
                <w:rFonts w:cs="Calibri"/>
                <w:b w:val="0"/>
                <w:color w:val="000000"/>
                <w:sz w:val="20"/>
                <w:szCs w:val="20"/>
                <w:lang w:val="hy-AM" w:eastAsia="en-US"/>
              </w:rPr>
            </w:pPr>
            <w:r w:rsidRPr="007955BB">
              <w:rPr>
                <w:rFonts w:cs="Calibri"/>
                <w:b w:val="0"/>
                <w:color w:val="000000"/>
                <w:sz w:val="20"/>
                <w:szCs w:val="20"/>
                <w:lang w:val="hy-AM" w:eastAsia="en-US"/>
              </w:rPr>
              <w:t>Համաշխարհային բանկ (</w:t>
            </w:r>
            <w:r w:rsidRPr="007955BB">
              <w:rPr>
                <w:rFonts w:cs="Calibri"/>
                <w:b w:val="0"/>
                <w:color w:val="000000"/>
                <w:sz w:val="20"/>
                <w:szCs w:val="20"/>
                <w:lang w:val="en-US" w:eastAsia="en-US"/>
              </w:rPr>
              <w:t xml:space="preserve">2022 </w:t>
            </w:r>
            <w:r w:rsidRPr="007955BB">
              <w:rPr>
                <w:rFonts w:cs="Calibri"/>
                <w:b w:val="0"/>
                <w:color w:val="000000"/>
                <w:sz w:val="20"/>
                <w:szCs w:val="20"/>
                <w:lang w:val="hy-AM" w:eastAsia="en-US"/>
              </w:rPr>
              <w:t>հուն</w:t>
            </w:r>
            <w:r w:rsidRPr="007955BB">
              <w:rPr>
                <w:rFonts w:cs="Calibri"/>
                <w:b w:val="0"/>
                <w:color w:val="000000"/>
                <w:sz w:val="20"/>
                <w:szCs w:val="20"/>
                <w:lang w:val="en-US" w:eastAsia="en-US"/>
              </w:rPr>
              <w:t>վար</w:t>
            </w:r>
            <w:r w:rsidRPr="007955BB">
              <w:rPr>
                <w:rFonts w:cs="Calibri"/>
                <w:b w:val="0"/>
                <w:color w:val="000000"/>
                <w:sz w:val="20"/>
                <w:szCs w:val="20"/>
                <w:lang w:val="hy-AM" w:eastAsia="en-US"/>
              </w:rPr>
              <w:t>)</w:t>
            </w:r>
          </w:p>
        </w:tc>
        <w:tc>
          <w:tcPr>
            <w:tcW w:w="1549"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b w:val="0"/>
                <w:color w:val="000000"/>
                <w:sz w:val="20"/>
                <w:szCs w:val="20"/>
                <w:lang w:val="hy-AM" w:eastAsia="en-US"/>
              </w:rPr>
            </w:pPr>
            <w:r w:rsidRPr="007955BB">
              <w:rPr>
                <w:rFonts w:cs="Calibri"/>
                <w:b w:val="0"/>
                <w:color w:val="000000"/>
                <w:sz w:val="20"/>
                <w:szCs w:val="20"/>
                <w:lang w:val="en-US" w:eastAsia="en-US"/>
              </w:rPr>
              <w:t>4.8</w:t>
            </w:r>
          </w:p>
        </w:tc>
        <w:tc>
          <w:tcPr>
            <w:tcW w:w="1580"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5.4</w:t>
            </w:r>
          </w:p>
        </w:tc>
      </w:tr>
      <w:tr w:rsidR="007D69AE" w:rsidRPr="007955BB" w:rsidTr="00B70D89">
        <w:trPr>
          <w:trHeight w:val="327"/>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D69AE" w:rsidRPr="007955BB" w:rsidRDefault="007D69AE" w:rsidP="00B70D89">
            <w:pPr>
              <w:spacing w:before="0" w:line="276" w:lineRule="auto"/>
              <w:ind w:right="111" w:firstLine="0"/>
              <w:contextualSpacing w:val="0"/>
              <w:jc w:val="left"/>
              <w:rPr>
                <w:rFonts w:cs="Calibri"/>
                <w:b w:val="0"/>
                <w:color w:val="000000"/>
                <w:sz w:val="20"/>
                <w:szCs w:val="20"/>
                <w:lang w:val="hy-AM" w:eastAsia="en-US"/>
              </w:rPr>
            </w:pPr>
          </w:p>
        </w:tc>
        <w:tc>
          <w:tcPr>
            <w:tcW w:w="1549"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b w:val="0"/>
                <w:color w:val="000000"/>
                <w:sz w:val="20"/>
                <w:szCs w:val="20"/>
                <w:lang w:val="hy-AM" w:eastAsia="en-US"/>
              </w:rPr>
            </w:pPr>
          </w:p>
        </w:tc>
        <w:tc>
          <w:tcPr>
            <w:tcW w:w="1580"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b w:val="0"/>
                <w:color w:val="000000"/>
                <w:sz w:val="20"/>
                <w:szCs w:val="20"/>
                <w:lang w:val="en-US" w:eastAsia="en-US"/>
              </w:rPr>
            </w:pPr>
          </w:p>
        </w:tc>
      </w:tr>
      <w:tr w:rsidR="007D69AE" w:rsidRPr="007955BB" w:rsidTr="00B70D89">
        <w:trPr>
          <w:trHeight w:val="327"/>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D69AE" w:rsidRPr="007955BB" w:rsidRDefault="007D69AE" w:rsidP="00B70D89">
            <w:pPr>
              <w:spacing w:before="0" w:line="276" w:lineRule="auto"/>
              <w:ind w:right="111" w:firstLine="0"/>
              <w:contextualSpacing w:val="0"/>
              <w:jc w:val="left"/>
              <w:rPr>
                <w:rFonts w:cs="Calibri"/>
                <w:b w:val="0"/>
                <w:color w:val="000000"/>
                <w:sz w:val="20"/>
                <w:szCs w:val="20"/>
                <w:lang w:val="hy-AM" w:eastAsia="en-US"/>
              </w:rPr>
            </w:pPr>
            <w:r w:rsidRPr="007955BB">
              <w:rPr>
                <w:rFonts w:cs="Calibri"/>
                <w:b w:val="0"/>
                <w:color w:val="000000"/>
                <w:sz w:val="20"/>
                <w:szCs w:val="20"/>
                <w:lang w:val="hy-AM" w:eastAsia="en-US"/>
              </w:rPr>
              <w:t>Մուդիս (202</w:t>
            </w:r>
            <w:r w:rsidRPr="007955BB">
              <w:rPr>
                <w:rFonts w:cs="Calibri"/>
                <w:b w:val="0"/>
                <w:color w:val="000000"/>
                <w:sz w:val="20"/>
                <w:szCs w:val="20"/>
                <w:lang w:val="en-US" w:eastAsia="en-US"/>
              </w:rPr>
              <w:t>2</w:t>
            </w:r>
            <w:r w:rsidRPr="007955BB">
              <w:rPr>
                <w:rFonts w:cs="Calibri"/>
                <w:b w:val="0"/>
                <w:color w:val="000000"/>
                <w:sz w:val="20"/>
                <w:szCs w:val="20"/>
                <w:lang w:val="hy-AM" w:eastAsia="en-US"/>
              </w:rPr>
              <w:t>թ. մարտ)</w:t>
            </w:r>
          </w:p>
        </w:tc>
        <w:tc>
          <w:tcPr>
            <w:tcW w:w="1549"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b w:val="0"/>
                <w:color w:val="000000"/>
                <w:sz w:val="20"/>
                <w:szCs w:val="20"/>
                <w:lang w:val="en-US" w:eastAsia="en-US"/>
              </w:rPr>
            </w:pPr>
            <w:r w:rsidRPr="007955BB">
              <w:rPr>
                <w:rFonts w:cs="Calibri"/>
                <w:b w:val="0"/>
                <w:color w:val="000000"/>
                <w:sz w:val="20"/>
                <w:szCs w:val="20"/>
                <w:lang w:val="hy-AM" w:eastAsia="en-US"/>
              </w:rPr>
              <w:t>1</w:t>
            </w:r>
            <w:r w:rsidRPr="007955BB">
              <w:rPr>
                <w:rFonts w:cs="Calibri"/>
                <w:b w:val="0"/>
                <w:color w:val="000000"/>
                <w:sz w:val="20"/>
                <w:szCs w:val="20"/>
                <w:lang w:val="en-US" w:eastAsia="en-US"/>
              </w:rPr>
              <w:t>.8</w:t>
            </w:r>
          </w:p>
        </w:tc>
        <w:tc>
          <w:tcPr>
            <w:tcW w:w="1580"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3.0</w:t>
            </w:r>
          </w:p>
        </w:tc>
      </w:tr>
      <w:tr w:rsidR="007D69AE" w:rsidRPr="007955BB" w:rsidTr="00B70D89">
        <w:trPr>
          <w:trHeight w:val="327"/>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D69AE" w:rsidRPr="007955BB" w:rsidRDefault="007D69AE" w:rsidP="00B70D89">
            <w:pPr>
              <w:spacing w:before="0" w:line="276" w:lineRule="auto"/>
              <w:ind w:right="111" w:firstLine="0"/>
              <w:contextualSpacing w:val="0"/>
              <w:jc w:val="left"/>
              <w:rPr>
                <w:rFonts w:cs="Calibri"/>
                <w:b w:val="0"/>
                <w:color w:val="000000"/>
                <w:sz w:val="20"/>
                <w:szCs w:val="20"/>
                <w:lang w:val="hy-AM" w:eastAsia="en-US"/>
              </w:rPr>
            </w:pPr>
            <w:r w:rsidRPr="007955BB">
              <w:rPr>
                <w:rFonts w:cs="Calibri"/>
                <w:b w:val="0"/>
                <w:color w:val="000000"/>
                <w:sz w:val="20"/>
                <w:szCs w:val="20"/>
                <w:lang w:val="hy-AM" w:eastAsia="en-US"/>
              </w:rPr>
              <w:t>S&amp;P (2022թ. ապրիլ)</w:t>
            </w:r>
          </w:p>
        </w:tc>
        <w:tc>
          <w:tcPr>
            <w:tcW w:w="1549"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1.3</w:t>
            </w:r>
          </w:p>
        </w:tc>
        <w:tc>
          <w:tcPr>
            <w:tcW w:w="1580"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5.1</w:t>
            </w:r>
          </w:p>
        </w:tc>
      </w:tr>
    </w:tbl>
    <w:p w:rsidR="007D69AE" w:rsidRPr="007955BB" w:rsidRDefault="007D69AE" w:rsidP="007D69AE">
      <w:pPr>
        <w:spacing w:before="40" w:after="60" w:line="480" w:lineRule="auto"/>
        <w:ind w:right="115" w:firstLine="0"/>
        <w:rPr>
          <w:b w:val="0"/>
          <w:bCs/>
          <w:color w:val="1F497D"/>
          <w:sz w:val="28"/>
          <w:szCs w:val="28"/>
        </w:rPr>
      </w:pPr>
      <w:r w:rsidRPr="007955BB">
        <w:rPr>
          <w:b w:val="0"/>
          <w:sz w:val="18"/>
          <w:szCs w:val="18"/>
          <w:lang w:val="hy-AM"/>
        </w:rPr>
        <w:t>Աղբյուրը՝ համապատասխան կառույցների հրապարակումներ</w:t>
      </w:r>
    </w:p>
    <w:p w:rsidR="007D69AE" w:rsidRPr="007955BB" w:rsidRDefault="007D69AE" w:rsidP="007D69AE">
      <w:pPr>
        <w:spacing w:before="0" w:line="240" w:lineRule="auto"/>
        <w:ind w:firstLine="0"/>
        <w:contextualSpacing w:val="0"/>
        <w:jc w:val="left"/>
        <w:rPr>
          <w:b w:val="0"/>
          <w:bCs/>
          <w:color w:val="1F497D"/>
          <w:sz w:val="28"/>
          <w:szCs w:val="28"/>
        </w:rPr>
      </w:pPr>
      <w:r w:rsidRPr="007955BB">
        <w:rPr>
          <w:b w:val="0"/>
          <w:bCs/>
          <w:color w:val="1F497D"/>
          <w:sz w:val="28"/>
          <w:szCs w:val="28"/>
        </w:rPr>
        <w:br w:type="page"/>
      </w:r>
    </w:p>
    <w:p w:rsidR="0087134D" w:rsidRPr="007955BB" w:rsidRDefault="0087134D" w:rsidP="0087134D">
      <w:pPr>
        <w:keepNext/>
        <w:keepLines/>
        <w:spacing w:before="0" w:line="312" w:lineRule="auto"/>
        <w:ind w:firstLine="0"/>
        <w:outlineLvl w:val="2"/>
        <w:rPr>
          <w:szCs w:val="22"/>
          <w:lang w:val="hy-AM" w:eastAsia="en-US"/>
        </w:rPr>
      </w:pPr>
      <w:bookmarkStart w:id="391" w:name="_Toc120805256"/>
      <w:r w:rsidRPr="007955BB">
        <w:rPr>
          <w:szCs w:val="22"/>
          <w:lang w:val="hy-AM" w:eastAsia="en-US"/>
        </w:rPr>
        <w:t xml:space="preserve">4. </w:t>
      </w:r>
      <w:bookmarkEnd w:id="379"/>
      <w:bookmarkEnd w:id="380"/>
      <w:r w:rsidR="004644E7" w:rsidRPr="007955BB">
        <w:rPr>
          <w:szCs w:val="22"/>
          <w:lang w:val="hy-AM" w:eastAsia="en-US"/>
        </w:rPr>
        <w:t>ԵՆԹԱԿԱՌՈՒՑՎԱԾՔԱՅԻՆ ԵՎ ԱՅԼ ՈԼՈՐՏՆԵՐՈՒՄ ԳՈՐԾՈՂ ԿԱԶՄԱԿԵՐՊՈՒԹՅՈՒՆՆԵՐԻ ԳՈՐԾՈՒՆԵՈՒԹՅԱՆՆ ԱՌՆՉՎՈՂ ՀԱՐԿԱԲՅՈՒՋԵՏԱՅԻՆ ՌԻՍԿԵՐԻ ԳՆԱՀԱՏԱԿԱՆԸ</w:t>
      </w:r>
      <w:bookmarkEnd w:id="391"/>
    </w:p>
    <w:p w:rsidR="00815835" w:rsidRPr="007955BB" w:rsidRDefault="00815835" w:rsidP="0087134D">
      <w:pPr>
        <w:keepNext/>
        <w:keepLines/>
        <w:spacing w:before="0" w:line="312" w:lineRule="auto"/>
        <w:ind w:firstLine="0"/>
        <w:outlineLvl w:val="2"/>
        <w:rPr>
          <w:szCs w:val="22"/>
          <w:lang w:val="hy-AM" w:eastAsia="en-US"/>
        </w:rPr>
      </w:pP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Ադրբեջանի ագրեսիան </w:t>
      </w:r>
      <w:r w:rsidR="00D35F72">
        <w:rPr>
          <w:rFonts w:eastAsia="Calibri"/>
          <w:b w:val="0"/>
          <w:szCs w:val="22"/>
          <w:lang w:val="hy-AM" w:eastAsia="en-US"/>
        </w:rPr>
        <w:t>ՀՀ</w:t>
      </w:r>
      <w:r w:rsidRPr="007955BB">
        <w:rPr>
          <w:rFonts w:eastAsia="Calibri"/>
          <w:b w:val="0"/>
          <w:szCs w:val="22"/>
          <w:lang w:val="hy-AM" w:eastAsia="en-US"/>
        </w:rPr>
        <w:t xml:space="preserve"> ինքնիշխան տարածքի նկատմամբ, մասնավորապես՝ Սյունիքի, Վայոց Ձորի և Գեղարքունիքի մարզերում,  հանգեցրել է մարդկային, նյութական և ոչ նյութական կորուստների։ Բացի այդ, հասցվել է վնաս մարտական գործողություններին չմասնակցող բազմաթիվ բնակավայրերի. Ադրբեջանը թիրախավորել է քաղաքացիական բնակչությանը, բնակելի տները, քաղաքացիական ենթակառուցվածքները: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Ադրբեջանի սանձազերծած լայնածավալ ագրեսիայի հետևանով առաջացած հրդեհները մեծ վնաս են հասցրել Վայոց ձորի մարզի «Ջերմուկ» անտառային տնտեսությանը։ Տվյալ տարածքում անտառային հրդեհները զգալի վնաս են հասցրել 10 հա անտառածածկ տարածքի կենսաբազմազանությանը` ներառյալ էնդեմիկ բուսական և կենդանական աշխարհը` հանգեցնելով հողերի դեգրադացմանը: Այս տարածքներում աճող բույսերը (գիհի կազակական, տանձի մի քանի տեսակներ և այլն) և ապրող կենդանիներ (հայկական մուֆլոն, բեզոարյան այծ, գորշ արջ և այլն) գրանցված են Կարմիր գրքում:</w:t>
      </w:r>
      <w:r w:rsidRPr="007955BB">
        <w:rPr>
          <w:rFonts w:eastAsia="Calibri"/>
          <w:b w:val="0"/>
          <w:szCs w:val="22"/>
          <w:vertAlign w:val="superscript"/>
          <w:lang w:val="hy-AM" w:eastAsia="en-US"/>
        </w:rPr>
        <w:footnoteReference w:id="25"/>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Հաշվի առնելով վերջին ժամանակներում ստեղծված իրավիճակը և վերջինիս ազդեցությունը ֆիսկալ ռիսկերի գնահատման համատեքստում՝  դրամական արտահայտությամբ հասցված վնասների գնահատումն այժմ գտնվում է նախնական գործընթացում:</w:t>
      </w:r>
    </w:p>
    <w:p w:rsidR="004644E7" w:rsidRPr="007955BB" w:rsidRDefault="004644E7" w:rsidP="004644E7">
      <w:pPr>
        <w:keepNext/>
        <w:spacing w:before="0" w:line="276" w:lineRule="auto"/>
        <w:ind w:firstLine="0"/>
        <w:contextualSpacing w:val="0"/>
        <w:jc w:val="left"/>
        <w:rPr>
          <w:rFonts w:eastAsia="Calibri"/>
          <w:b w:val="0"/>
          <w:bCs/>
          <w:color w:val="4472C4"/>
          <w:sz w:val="18"/>
          <w:szCs w:val="18"/>
          <w:lang w:val="hy-AM" w:eastAsia="en-US"/>
        </w:rPr>
      </w:pPr>
    </w:p>
    <w:p w:rsidR="004644E7" w:rsidRPr="007955BB" w:rsidRDefault="004644E7" w:rsidP="004644E7">
      <w:pPr>
        <w:keepNext/>
        <w:spacing w:before="0" w:line="276" w:lineRule="auto"/>
        <w:ind w:firstLine="0"/>
        <w:contextualSpacing w:val="0"/>
        <w:jc w:val="left"/>
        <w:rPr>
          <w:rFonts w:eastAsia="Calibri"/>
          <w:bCs/>
          <w:i/>
          <w:color w:val="4472C4"/>
          <w:sz w:val="20"/>
          <w:szCs w:val="20"/>
          <w:lang w:val="hy-AM" w:eastAsia="en-US"/>
        </w:rPr>
      </w:pPr>
      <w:bookmarkStart w:id="392" w:name="_Toc120805280"/>
      <w:r w:rsidRPr="007955BB">
        <w:rPr>
          <w:rFonts w:eastAsia="Calibri"/>
          <w:b w:val="0"/>
          <w:bCs/>
          <w:color w:val="4472C4"/>
          <w:sz w:val="18"/>
          <w:szCs w:val="18"/>
          <w:lang w:val="hy-AM" w:eastAsia="en-US"/>
        </w:rPr>
        <w:t xml:space="preserve">Աղյուսակ </w:t>
      </w:r>
      <w:r w:rsidRPr="007955BB">
        <w:rPr>
          <w:rFonts w:eastAsia="Calibri"/>
          <w:b w:val="0"/>
          <w:bCs/>
          <w:color w:val="4472C4"/>
          <w:sz w:val="18"/>
          <w:szCs w:val="18"/>
          <w:lang w:val="hy-AM" w:eastAsia="en-US"/>
        </w:rPr>
        <w:fldChar w:fldCharType="begin"/>
      </w:r>
      <w:r w:rsidRPr="007955BB">
        <w:rPr>
          <w:rFonts w:eastAsia="Calibri"/>
          <w:b w:val="0"/>
          <w:bCs/>
          <w:color w:val="4472C4"/>
          <w:sz w:val="18"/>
          <w:szCs w:val="18"/>
          <w:lang w:val="hy-AM" w:eastAsia="en-US"/>
        </w:rPr>
        <w:instrText xml:space="preserve"> SEQ Աղյուսակ \* ARABIC </w:instrText>
      </w:r>
      <w:r w:rsidRPr="007955BB">
        <w:rPr>
          <w:rFonts w:eastAsia="Calibri"/>
          <w:b w:val="0"/>
          <w:bCs/>
          <w:color w:val="4472C4"/>
          <w:sz w:val="18"/>
          <w:szCs w:val="18"/>
          <w:lang w:val="hy-AM" w:eastAsia="en-US"/>
        </w:rPr>
        <w:fldChar w:fldCharType="separate"/>
      </w:r>
      <w:r w:rsidR="00F77CAF">
        <w:rPr>
          <w:rFonts w:eastAsia="Calibri"/>
          <w:b w:val="0"/>
          <w:bCs/>
          <w:noProof/>
          <w:color w:val="4472C4"/>
          <w:sz w:val="18"/>
          <w:szCs w:val="18"/>
          <w:lang w:val="hy-AM" w:eastAsia="en-US"/>
        </w:rPr>
        <w:t>21</w:t>
      </w:r>
      <w:r w:rsidRPr="007955BB">
        <w:rPr>
          <w:rFonts w:eastAsia="Calibri"/>
          <w:b w:val="0"/>
          <w:bCs/>
          <w:color w:val="4472C4"/>
          <w:sz w:val="18"/>
          <w:szCs w:val="18"/>
          <w:lang w:val="hy-AM" w:eastAsia="en-US"/>
        </w:rPr>
        <w:fldChar w:fldCharType="end"/>
      </w:r>
      <w:r w:rsidRPr="007955BB">
        <w:rPr>
          <w:rFonts w:eastAsia="Calibri"/>
          <w:b w:val="0"/>
          <w:i/>
          <w:iCs/>
          <w:sz w:val="18"/>
          <w:szCs w:val="18"/>
          <w:lang w:val="hy-AM" w:eastAsia="en-US"/>
        </w:rPr>
        <w:t xml:space="preserve"> </w:t>
      </w:r>
      <w:r w:rsidRPr="007955BB">
        <w:rPr>
          <w:rFonts w:eastAsia="Calibri"/>
          <w:bCs/>
          <w:i/>
          <w:color w:val="4472C4"/>
          <w:sz w:val="20"/>
          <w:szCs w:val="20"/>
          <w:lang w:val="hy-AM" w:eastAsia="en-US"/>
        </w:rPr>
        <w:t>Բյուջետային վարկեր և երաշխիքներ ունեցող ՊՄԸ ցուցանիշները</w:t>
      </w:r>
      <w:bookmarkEnd w:id="392"/>
      <w:r w:rsidRPr="007955BB">
        <w:rPr>
          <w:rFonts w:eastAsia="Calibri"/>
          <w:bCs/>
          <w:i/>
          <w:color w:val="4472C4"/>
          <w:sz w:val="20"/>
          <w:szCs w:val="20"/>
          <w:lang w:val="hy-AM" w:eastAsia="en-US"/>
        </w:rPr>
        <w:t xml:space="preserve"> </w:t>
      </w:r>
    </w:p>
    <w:p w:rsidR="004644E7" w:rsidRPr="007955BB" w:rsidRDefault="004644E7" w:rsidP="004644E7">
      <w:pPr>
        <w:keepNext/>
        <w:spacing w:before="0" w:line="276" w:lineRule="auto"/>
        <w:ind w:firstLine="0"/>
        <w:contextualSpacing w:val="0"/>
        <w:jc w:val="left"/>
        <w:rPr>
          <w:rFonts w:eastAsia="Calibri"/>
          <w:bCs/>
          <w:i/>
          <w:color w:val="4472C4"/>
          <w:sz w:val="20"/>
          <w:szCs w:val="20"/>
          <w:lang w:val="hy-AM" w:eastAsia="en-US"/>
        </w:rPr>
      </w:pPr>
      <w:r w:rsidRPr="007955BB">
        <w:rPr>
          <w:rFonts w:eastAsia="Calibri"/>
          <w:bCs/>
          <w:i/>
          <w:color w:val="4472C4"/>
          <w:sz w:val="20"/>
          <w:szCs w:val="20"/>
          <w:lang w:val="hy-AM" w:eastAsia="en-US"/>
        </w:rPr>
        <w:t xml:space="preserve"> մլն դրամ</w:t>
      </w:r>
    </w:p>
    <w:tbl>
      <w:tblPr>
        <w:tblW w:w="9980" w:type="dxa"/>
        <w:tblLayout w:type="fixed"/>
        <w:tblLook w:val="04A0" w:firstRow="1" w:lastRow="0" w:firstColumn="1" w:lastColumn="0" w:noHBand="0" w:noVBand="1"/>
      </w:tblPr>
      <w:tblGrid>
        <w:gridCol w:w="2117"/>
        <w:gridCol w:w="1383"/>
        <w:gridCol w:w="720"/>
        <w:gridCol w:w="810"/>
        <w:gridCol w:w="810"/>
        <w:gridCol w:w="990"/>
        <w:gridCol w:w="1080"/>
        <w:gridCol w:w="1080"/>
        <w:gridCol w:w="990"/>
      </w:tblGrid>
      <w:tr w:rsidR="004644E7" w:rsidRPr="007955BB" w:rsidTr="004644E7">
        <w:trPr>
          <w:trHeight w:val="450"/>
        </w:trPr>
        <w:tc>
          <w:tcPr>
            <w:tcW w:w="2117" w:type="dxa"/>
            <w:vMerge w:val="restart"/>
            <w:tcBorders>
              <w:top w:val="single" w:sz="8" w:space="0" w:color="auto"/>
              <w:left w:val="single" w:sz="8" w:space="0" w:color="auto"/>
              <w:bottom w:val="single" w:sz="8" w:space="0" w:color="000000"/>
              <w:right w:val="single" w:sz="8" w:space="0" w:color="auto"/>
            </w:tcBorders>
            <w:shd w:val="clear" w:color="auto" w:fill="8EAADB"/>
            <w:noWrap/>
            <w:vAlign w:val="center"/>
            <w:hideMark/>
          </w:tcPr>
          <w:p w:rsidR="004644E7" w:rsidRPr="007955BB" w:rsidRDefault="004644E7" w:rsidP="004644E7">
            <w:pPr>
              <w:spacing w:before="0" w:line="276" w:lineRule="auto"/>
              <w:ind w:firstLine="0"/>
              <w:contextualSpacing w:val="0"/>
              <w:jc w:val="center"/>
              <w:rPr>
                <w:rFonts w:eastAsia="Calibri" w:cs="Arial"/>
                <w:color w:val="FFFFFF"/>
                <w:sz w:val="18"/>
                <w:szCs w:val="18"/>
                <w:lang w:val="en-US" w:eastAsia="en-US"/>
              </w:rPr>
            </w:pPr>
            <w:r w:rsidRPr="007955BB">
              <w:rPr>
                <w:rFonts w:eastAsia="Calibri" w:cs="Arial"/>
                <w:color w:val="FFFFFF"/>
                <w:sz w:val="18"/>
                <w:szCs w:val="18"/>
                <w:lang w:val="en-US" w:eastAsia="en-US"/>
              </w:rPr>
              <w:t>Ընկերության անվանումը</w:t>
            </w:r>
          </w:p>
        </w:tc>
        <w:tc>
          <w:tcPr>
            <w:tcW w:w="1383" w:type="dxa"/>
            <w:vMerge w:val="restart"/>
            <w:tcBorders>
              <w:top w:val="single" w:sz="8" w:space="0" w:color="auto"/>
              <w:left w:val="single" w:sz="8" w:space="0" w:color="auto"/>
              <w:bottom w:val="single" w:sz="8" w:space="0" w:color="000000"/>
              <w:right w:val="single" w:sz="8" w:space="0" w:color="auto"/>
            </w:tcBorders>
            <w:shd w:val="clear" w:color="auto" w:fill="8EAADB"/>
            <w:vAlign w:val="center"/>
            <w:hideMark/>
          </w:tcPr>
          <w:p w:rsidR="004644E7" w:rsidRPr="007955BB" w:rsidRDefault="004644E7" w:rsidP="004644E7">
            <w:pPr>
              <w:spacing w:before="0" w:line="276" w:lineRule="auto"/>
              <w:ind w:firstLine="0"/>
              <w:contextualSpacing w:val="0"/>
              <w:jc w:val="center"/>
              <w:rPr>
                <w:rFonts w:eastAsia="Calibri" w:cs="Arial"/>
                <w:color w:val="FFFFFF"/>
                <w:sz w:val="18"/>
                <w:szCs w:val="18"/>
                <w:lang w:val="en-US" w:eastAsia="en-US"/>
              </w:rPr>
            </w:pPr>
            <w:r w:rsidRPr="007955BB">
              <w:rPr>
                <w:rFonts w:eastAsia="Calibri" w:cs="Arial"/>
                <w:color w:val="FFFFFF"/>
                <w:sz w:val="18"/>
                <w:szCs w:val="18"/>
                <w:lang w:val="en-US" w:eastAsia="en-US"/>
              </w:rPr>
              <w:t>Բյուջետային վարկեր և երաշխիքներ</w:t>
            </w:r>
          </w:p>
        </w:tc>
        <w:tc>
          <w:tcPr>
            <w:tcW w:w="1530" w:type="dxa"/>
            <w:gridSpan w:val="2"/>
            <w:vMerge w:val="restart"/>
            <w:tcBorders>
              <w:top w:val="single" w:sz="8" w:space="0" w:color="auto"/>
              <w:left w:val="single" w:sz="8" w:space="0" w:color="auto"/>
              <w:bottom w:val="single" w:sz="8" w:space="0" w:color="000000"/>
              <w:right w:val="single" w:sz="8" w:space="0" w:color="000000"/>
            </w:tcBorders>
            <w:shd w:val="clear" w:color="auto" w:fill="8EAADB"/>
            <w:noWrap/>
            <w:vAlign w:val="center"/>
            <w:hideMark/>
          </w:tcPr>
          <w:p w:rsidR="004644E7" w:rsidRPr="007955BB" w:rsidRDefault="004644E7" w:rsidP="004644E7">
            <w:pPr>
              <w:spacing w:before="0" w:line="276" w:lineRule="auto"/>
              <w:ind w:firstLine="0"/>
              <w:contextualSpacing w:val="0"/>
              <w:jc w:val="center"/>
              <w:rPr>
                <w:rFonts w:eastAsia="Calibri" w:cs="Arial"/>
                <w:color w:val="FFFFFF"/>
                <w:sz w:val="18"/>
                <w:szCs w:val="18"/>
                <w:lang w:val="en-US" w:eastAsia="en-US"/>
              </w:rPr>
            </w:pPr>
            <w:r w:rsidRPr="007955BB">
              <w:rPr>
                <w:rFonts w:eastAsia="Calibri" w:cs="Arial"/>
                <w:color w:val="FFFFFF"/>
                <w:sz w:val="18"/>
                <w:szCs w:val="18"/>
                <w:lang w:val="en-US" w:eastAsia="en-US"/>
              </w:rPr>
              <w:t>Հասույթ</w:t>
            </w:r>
          </w:p>
        </w:tc>
        <w:tc>
          <w:tcPr>
            <w:tcW w:w="1800" w:type="dxa"/>
            <w:gridSpan w:val="2"/>
            <w:vMerge w:val="restart"/>
            <w:tcBorders>
              <w:top w:val="single" w:sz="8" w:space="0" w:color="auto"/>
              <w:left w:val="single" w:sz="8" w:space="0" w:color="auto"/>
              <w:bottom w:val="single" w:sz="8" w:space="0" w:color="000000"/>
              <w:right w:val="nil"/>
            </w:tcBorders>
            <w:shd w:val="clear" w:color="auto" w:fill="8EAADB"/>
            <w:noWrap/>
            <w:vAlign w:val="center"/>
            <w:hideMark/>
          </w:tcPr>
          <w:p w:rsidR="004644E7" w:rsidRPr="007955BB" w:rsidRDefault="004644E7" w:rsidP="004644E7">
            <w:pPr>
              <w:spacing w:before="0" w:line="276" w:lineRule="auto"/>
              <w:ind w:firstLine="0"/>
              <w:contextualSpacing w:val="0"/>
              <w:jc w:val="center"/>
              <w:rPr>
                <w:rFonts w:eastAsia="Calibri" w:cs="Arial"/>
                <w:color w:val="FFFFFF"/>
                <w:sz w:val="18"/>
                <w:szCs w:val="18"/>
                <w:lang w:val="en-US" w:eastAsia="en-US"/>
              </w:rPr>
            </w:pPr>
            <w:r w:rsidRPr="007955BB">
              <w:rPr>
                <w:rFonts w:eastAsia="Calibri" w:cs="Arial"/>
                <w:color w:val="FFFFFF"/>
                <w:sz w:val="18"/>
                <w:szCs w:val="18"/>
                <w:lang w:val="en-US" w:eastAsia="en-US"/>
              </w:rPr>
              <w:t>Զուտ շահույթ</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8EAADB"/>
            <w:vAlign w:val="center"/>
            <w:hideMark/>
          </w:tcPr>
          <w:p w:rsidR="004644E7" w:rsidRPr="007955BB" w:rsidRDefault="004644E7" w:rsidP="004644E7">
            <w:pPr>
              <w:spacing w:before="0" w:line="276" w:lineRule="auto"/>
              <w:ind w:firstLine="0"/>
              <w:contextualSpacing w:val="0"/>
              <w:jc w:val="center"/>
              <w:rPr>
                <w:rFonts w:eastAsia="Calibri" w:cs="Arial"/>
                <w:color w:val="FFFFFF"/>
                <w:sz w:val="18"/>
                <w:szCs w:val="18"/>
                <w:lang w:val="en-US" w:eastAsia="en-US"/>
              </w:rPr>
            </w:pPr>
            <w:r w:rsidRPr="007955BB">
              <w:rPr>
                <w:rFonts w:eastAsia="Calibri" w:cs="Arial"/>
                <w:color w:val="FFFFFF"/>
                <w:sz w:val="18"/>
                <w:szCs w:val="18"/>
                <w:lang w:val="en-US" w:eastAsia="en-US"/>
              </w:rPr>
              <w:t>Կուտակ</w:t>
            </w:r>
            <w:r w:rsidRPr="007955BB">
              <w:rPr>
                <w:rFonts w:eastAsia="Calibri" w:cs="Arial"/>
                <w:color w:val="FFFFFF"/>
                <w:sz w:val="18"/>
                <w:szCs w:val="18"/>
                <w:lang w:val="hy-AM" w:eastAsia="en-US"/>
              </w:rPr>
              <w:t>-</w:t>
            </w:r>
            <w:r w:rsidRPr="007955BB">
              <w:rPr>
                <w:rFonts w:eastAsia="Calibri" w:cs="Arial"/>
                <w:color w:val="FFFFFF"/>
                <w:sz w:val="18"/>
                <w:szCs w:val="18"/>
                <w:lang w:val="en-US" w:eastAsia="en-US"/>
              </w:rPr>
              <w:t>ված շահույթ / վնաս</w:t>
            </w:r>
          </w:p>
        </w:tc>
        <w:tc>
          <w:tcPr>
            <w:tcW w:w="1080" w:type="dxa"/>
            <w:vMerge w:val="restart"/>
            <w:tcBorders>
              <w:top w:val="single" w:sz="8" w:space="0" w:color="auto"/>
              <w:left w:val="nil"/>
              <w:bottom w:val="single" w:sz="8" w:space="0" w:color="000000"/>
              <w:right w:val="single" w:sz="8" w:space="0" w:color="auto"/>
            </w:tcBorders>
            <w:shd w:val="clear" w:color="auto" w:fill="8EAADB"/>
            <w:vAlign w:val="center"/>
            <w:hideMark/>
          </w:tcPr>
          <w:p w:rsidR="004644E7" w:rsidRPr="007955BB" w:rsidRDefault="004644E7" w:rsidP="004644E7">
            <w:pPr>
              <w:spacing w:before="0" w:line="276" w:lineRule="auto"/>
              <w:ind w:firstLine="0"/>
              <w:contextualSpacing w:val="0"/>
              <w:jc w:val="center"/>
              <w:rPr>
                <w:rFonts w:eastAsia="Calibri" w:cs="Arial"/>
                <w:color w:val="FFFFFF"/>
                <w:sz w:val="18"/>
                <w:szCs w:val="18"/>
                <w:lang w:val="en-US" w:eastAsia="en-US"/>
              </w:rPr>
            </w:pPr>
            <w:r w:rsidRPr="007955BB">
              <w:rPr>
                <w:rFonts w:eastAsia="Calibri" w:cs="Arial"/>
                <w:color w:val="FFFFFF"/>
                <w:sz w:val="18"/>
                <w:szCs w:val="18"/>
                <w:lang w:val="en-US" w:eastAsia="en-US"/>
              </w:rPr>
              <w:t>Պար</w:t>
            </w:r>
            <w:r w:rsidRPr="007955BB">
              <w:rPr>
                <w:rFonts w:eastAsia="Calibri" w:cs="Arial"/>
                <w:color w:val="FFFFFF"/>
                <w:sz w:val="18"/>
                <w:szCs w:val="18"/>
                <w:lang w:val="hy-AM" w:eastAsia="en-US"/>
              </w:rPr>
              <w:t>-</w:t>
            </w:r>
            <w:r w:rsidRPr="007955BB">
              <w:rPr>
                <w:rFonts w:eastAsia="Calibri" w:cs="Arial"/>
                <w:color w:val="FFFFFF"/>
                <w:sz w:val="18"/>
                <w:szCs w:val="18"/>
                <w:lang w:val="en-US" w:eastAsia="en-US"/>
              </w:rPr>
              <w:t>տավո</w:t>
            </w:r>
            <w:r w:rsidRPr="007955BB">
              <w:rPr>
                <w:rFonts w:eastAsia="Calibri" w:cs="Arial"/>
                <w:color w:val="FFFFFF"/>
                <w:sz w:val="18"/>
                <w:szCs w:val="18"/>
                <w:lang w:val="hy-AM" w:eastAsia="en-US"/>
              </w:rPr>
              <w:t>-</w:t>
            </w:r>
            <w:r w:rsidRPr="007955BB">
              <w:rPr>
                <w:rFonts w:eastAsia="Calibri" w:cs="Arial"/>
                <w:color w:val="FFFFFF"/>
                <w:sz w:val="18"/>
                <w:szCs w:val="18"/>
                <w:lang w:val="en-US" w:eastAsia="en-US"/>
              </w:rPr>
              <w:t>րություն</w:t>
            </w:r>
            <w:r w:rsidRPr="007955BB">
              <w:rPr>
                <w:rFonts w:eastAsia="Calibri" w:cs="Arial"/>
                <w:color w:val="FFFFFF"/>
                <w:sz w:val="18"/>
                <w:szCs w:val="18"/>
                <w:lang w:val="hy-AM" w:eastAsia="en-US"/>
              </w:rPr>
              <w:t>-</w:t>
            </w:r>
            <w:r w:rsidRPr="007955BB">
              <w:rPr>
                <w:rFonts w:eastAsia="Calibri" w:cs="Arial"/>
                <w:color w:val="FFFFFF"/>
                <w:sz w:val="18"/>
                <w:szCs w:val="18"/>
                <w:lang w:val="en-US" w:eastAsia="en-US"/>
              </w:rPr>
              <w:t>ներ</w:t>
            </w:r>
          </w:p>
        </w:tc>
        <w:tc>
          <w:tcPr>
            <w:tcW w:w="990" w:type="dxa"/>
            <w:vMerge w:val="restart"/>
            <w:tcBorders>
              <w:top w:val="single" w:sz="8" w:space="0" w:color="auto"/>
              <w:left w:val="single" w:sz="8" w:space="0" w:color="auto"/>
              <w:bottom w:val="single" w:sz="8" w:space="0" w:color="000000"/>
              <w:right w:val="single" w:sz="8" w:space="0" w:color="auto"/>
            </w:tcBorders>
            <w:shd w:val="clear" w:color="auto" w:fill="8EAADB"/>
            <w:vAlign w:val="center"/>
            <w:hideMark/>
          </w:tcPr>
          <w:p w:rsidR="004644E7" w:rsidRPr="007955BB" w:rsidRDefault="004644E7" w:rsidP="004644E7">
            <w:pPr>
              <w:spacing w:before="0" w:line="276" w:lineRule="auto"/>
              <w:ind w:firstLine="0"/>
              <w:contextualSpacing w:val="0"/>
              <w:jc w:val="center"/>
              <w:rPr>
                <w:rFonts w:eastAsia="Calibri" w:cs="Arial"/>
                <w:color w:val="FFFFFF"/>
                <w:sz w:val="18"/>
                <w:szCs w:val="18"/>
                <w:lang w:val="en-US" w:eastAsia="en-US"/>
              </w:rPr>
            </w:pPr>
            <w:r w:rsidRPr="007955BB">
              <w:rPr>
                <w:rFonts w:eastAsia="Calibri" w:cs="Arial"/>
                <w:color w:val="FFFFFF"/>
                <w:sz w:val="18"/>
                <w:szCs w:val="18"/>
                <w:lang w:val="en-US" w:eastAsia="en-US"/>
              </w:rPr>
              <w:t>Ֆիսկալ ռիկսի կարգա</w:t>
            </w:r>
            <w:r w:rsidRPr="007955BB">
              <w:rPr>
                <w:rFonts w:eastAsia="Calibri" w:cs="Arial"/>
                <w:color w:val="FFFFFF"/>
                <w:sz w:val="18"/>
                <w:szCs w:val="18"/>
                <w:lang w:val="hy-AM" w:eastAsia="en-US"/>
              </w:rPr>
              <w:t>-</w:t>
            </w:r>
            <w:r w:rsidRPr="007955BB">
              <w:rPr>
                <w:rFonts w:eastAsia="Calibri" w:cs="Arial"/>
                <w:color w:val="FFFFFF"/>
                <w:sz w:val="18"/>
                <w:szCs w:val="18"/>
                <w:lang w:val="en-US" w:eastAsia="en-US"/>
              </w:rPr>
              <w:t>վիճակ</w:t>
            </w:r>
          </w:p>
        </w:tc>
      </w:tr>
      <w:tr w:rsidR="004644E7" w:rsidRPr="007955BB" w:rsidTr="004644E7">
        <w:trPr>
          <w:trHeight w:val="896"/>
        </w:trPr>
        <w:tc>
          <w:tcPr>
            <w:tcW w:w="2117" w:type="dxa"/>
            <w:vMerge/>
            <w:tcBorders>
              <w:top w:val="single" w:sz="8" w:space="0" w:color="auto"/>
              <w:left w:val="single" w:sz="8" w:space="0" w:color="auto"/>
              <w:bottom w:val="single" w:sz="8" w:space="0" w:color="000000"/>
              <w:right w:val="single" w:sz="8" w:space="0" w:color="auto"/>
            </w:tcBorders>
            <w:shd w:val="clear" w:color="auto" w:fill="8EAADB"/>
            <w:vAlign w:val="center"/>
            <w:hideMark/>
          </w:tcPr>
          <w:p w:rsidR="004644E7" w:rsidRPr="007955BB" w:rsidRDefault="004644E7" w:rsidP="004644E7">
            <w:pPr>
              <w:spacing w:before="0" w:line="276" w:lineRule="auto"/>
              <w:ind w:firstLine="0"/>
              <w:contextualSpacing w:val="0"/>
              <w:jc w:val="left"/>
              <w:rPr>
                <w:rFonts w:cs="Calibri"/>
                <w:b w:val="0"/>
                <w:sz w:val="18"/>
                <w:szCs w:val="18"/>
                <w:lang w:val="en-US" w:eastAsia="en-US"/>
              </w:rPr>
            </w:pPr>
          </w:p>
        </w:tc>
        <w:tc>
          <w:tcPr>
            <w:tcW w:w="1383" w:type="dxa"/>
            <w:vMerge/>
            <w:tcBorders>
              <w:top w:val="single" w:sz="8" w:space="0" w:color="auto"/>
              <w:left w:val="single" w:sz="8" w:space="0" w:color="auto"/>
              <w:bottom w:val="single" w:sz="8" w:space="0" w:color="000000"/>
              <w:right w:val="single" w:sz="8" w:space="0" w:color="auto"/>
            </w:tcBorders>
            <w:shd w:val="clear" w:color="auto" w:fill="8EAADB"/>
            <w:vAlign w:val="center"/>
            <w:hideMark/>
          </w:tcPr>
          <w:p w:rsidR="004644E7" w:rsidRPr="007955BB" w:rsidRDefault="004644E7" w:rsidP="004644E7">
            <w:pPr>
              <w:spacing w:before="0" w:line="276" w:lineRule="auto"/>
              <w:ind w:firstLine="0"/>
              <w:contextualSpacing w:val="0"/>
              <w:jc w:val="left"/>
              <w:rPr>
                <w:rFonts w:cs="Calibri"/>
                <w:b w:val="0"/>
                <w:sz w:val="18"/>
                <w:szCs w:val="18"/>
                <w:lang w:val="en-US" w:eastAsia="en-US"/>
              </w:rPr>
            </w:pPr>
          </w:p>
        </w:tc>
        <w:tc>
          <w:tcPr>
            <w:tcW w:w="1530" w:type="dxa"/>
            <w:gridSpan w:val="2"/>
            <w:vMerge/>
            <w:tcBorders>
              <w:top w:val="single" w:sz="8" w:space="0" w:color="auto"/>
              <w:left w:val="single" w:sz="8" w:space="0" w:color="auto"/>
              <w:bottom w:val="single" w:sz="8" w:space="0" w:color="000000"/>
              <w:right w:val="single" w:sz="8" w:space="0" w:color="000000"/>
            </w:tcBorders>
            <w:shd w:val="clear" w:color="auto" w:fill="8EAADB"/>
            <w:vAlign w:val="center"/>
            <w:hideMark/>
          </w:tcPr>
          <w:p w:rsidR="004644E7" w:rsidRPr="007955BB" w:rsidRDefault="004644E7" w:rsidP="004644E7">
            <w:pPr>
              <w:spacing w:before="0" w:line="276" w:lineRule="auto"/>
              <w:ind w:firstLine="0"/>
              <w:contextualSpacing w:val="0"/>
              <w:jc w:val="left"/>
              <w:rPr>
                <w:rFonts w:cs="Calibri"/>
                <w:b w:val="0"/>
                <w:sz w:val="18"/>
                <w:szCs w:val="18"/>
                <w:lang w:val="en-US" w:eastAsia="en-US"/>
              </w:rPr>
            </w:pPr>
          </w:p>
        </w:tc>
        <w:tc>
          <w:tcPr>
            <w:tcW w:w="1800" w:type="dxa"/>
            <w:gridSpan w:val="2"/>
            <w:vMerge/>
            <w:tcBorders>
              <w:top w:val="single" w:sz="8" w:space="0" w:color="auto"/>
              <w:left w:val="single" w:sz="8" w:space="0" w:color="auto"/>
              <w:bottom w:val="single" w:sz="8" w:space="0" w:color="000000"/>
              <w:right w:val="nil"/>
            </w:tcBorders>
            <w:shd w:val="clear" w:color="auto" w:fill="8EAADB"/>
            <w:vAlign w:val="center"/>
            <w:hideMark/>
          </w:tcPr>
          <w:p w:rsidR="004644E7" w:rsidRPr="007955BB" w:rsidRDefault="004644E7" w:rsidP="004644E7">
            <w:pPr>
              <w:spacing w:before="0" w:line="276" w:lineRule="auto"/>
              <w:ind w:firstLine="0"/>
              <w:contextualSpacing w:val="0"/>
              <w:jc w:val="left"/>
              <w:rPr>
                <w:rFonts w:cs="Calibri"/>
                <w:b w:val="0"/>
                <w:sz w:val="18"/>
                <w:szCs w:val="18"/>
                <w:lang w:val="en-US" w:eastAsia="en-US"/>
              </w:rPr>
            </w:pPr>
          </w:p>
        </w:tc>
        <w:tc>
          <w:tcPr>
            <w:tcW w:w="1080" w:type="dxa"/>
            <w:vMerge/>
            <w:tcBorders>
              <w:top w:val="single" w:sz="8" w:space="0" w:color="auto"/>
              <w:left w:val="single" w:sz="8" w:space="0" w:color="auto"/>
              <w:bottom w:val="single" w:sz="8" w:space="0" w:color="000000"/>
              <w:right w:val="single" w:sz="8" w:space="0" w:color="auto"/>
            </w:tcBorders>
            <w:shd w:val="clear" w:color="auto" w:fill="8EAADB"/>
            <w:vAlign w:val="center"/>
            <w:hideMark/>
          </w:tcPr>
          <w:p w:rsidR="004644E7" w:rsidRPr="007955BB" w:rsidRDefault="004644E7" w:rsidP="004644E7">
            <w:pPr>
              <w:spacing w:before="0" w:line="276" w:lineRule="auto"/>
              <w:ind w:firstLine="0"/>
              <w:contextualSpacing w:val="0"/>
              <w:jc w:val="left"/>
              <w:rPr>
                <w:rFonts w:cs="Calibri"/>
                <w:b w:val="0"/>
                <w:sz w:val="18"/>
                <w:szCs w:val="18"/>
                <w:lang w:val="en-US" w:eastAsia="en-US"/>
              </w:rPr>
            </w:pPr>
          </w:p>
        </w:tc>
        <w:tc>
          <w:tcPr>
            <w:tcW w:w="1080" w:type="dxa"/>
            <w:vMerge/>
            <w:tcBorders>
              <w:top w:val="single" w:sz="8" w:space="0" w:color="auto"/>
              <w:left w:val="nil"/>
              <w:bottom w:val="single" w:sz="8" w:space="0" w:color="000000"/>
              <w:right w:val="single" w:sz="8" w:space="0" w:color="auto"/>
            </w:tcBorders>
            <w:shd w:val="clear" w:color="auto" w:fill="8EAADB"/>
            <w:vAlign w:val="center"/>
            <w:hideMark/>
          </w:tcPr>
          <w:p w:rsidR="004644E7" w:rsidRPr="007955BB" w:rsidRDefault="004644E7" w:rsidP="004644E7">
            <w:pPr>
              <w:spacing w:before="0" w:line="276" w:lineRule="auto"/>
              <w:ind w:firstLine="0"/>
              <w:contextualSpacing w:val="0"/>
              <w:jc w:val="left"/>
              <w:rPr>
                <w:rFonts w:cs="Calibri"/>
                <w:b w:val="0"/>
                <w:sz w:val="18"/>
                <w:szCs w:val="18"/>
                <w:lang w:val="en-US" w:eastAsia="en-US"/>
              </w:rPr>
            </w:pPr>
          </w:p>
        </w:tc>
        <w:tc>
          <w:tcPr>
            <w:tcW w:w="990" w:type="dxa"/>
            <w:vMerge/>
            <w:tcBorders>
              <w:top w:val="single" w:sz="8" w:space="0" w:color="auto"/>
              <w:left w:val="single" w:sz="8" w:space="0" w:color="auto"/>
              <w:bottom w:val="single" w:sz="8" w:space="0" w:color="000000"/>
              <w:right w:val="single" w:sz="8" w:space="0" w:color="auto"/>
            </w:tcBorders>
            <w:shd w:val="clear" w:color="auto" w:fill="8EAADB"/>
            <w:vAlign w:val="center"/>
            <w:hideMark/>
          </w:tcPr>
          <w:p w:rsidR="004644E7" w:rsidRPr="007955BB" w:rsidRDefault="004644E7" w:rsidP="004644E7">
            <w:pPr>
              <w:spacing w:before="0" w:line="276" w:lineRule="auto"/>
              <w:ind w:firstLine="0"/>
              <w:contextualSpacing w:val="0"/>
              <w:jc w:val="left"/>
              <w:rPr>
                <w:rFonts w:cs="Calibri"/>
                <w:b w:val="0"/>
                <w:sz w:val="18"/>
                <w:szCs w:val="18"/>
                <w:lang w:val="en-US" w:eastAsia="en-US"/>
              </w:rPr>
            </w:pPr>
          </w:p>
        </w:tc>
      </w:tr>
      <w:tr w:rsidR="004644E7" w:rsidRPr="007955BB" w:rsidTr="004644E7">
        <w:trPr>
          <w:trHeight w:val="24"/>
        </w:trPr>
        <w:tc>
          <w:tcPr>
            <w:tcW w:w="2117" w:type="dxa"/>
            <w:tcBorders>
              <w:top w:val="nil"/>
              <w:left w:val="single" w:sz="8" w:space="0" w:color="auto"/>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rPr>
                <w:rFonts w:cs="Calibri"/>
                <w:b w:val="0"/>
                <w:sz w:val="18"/>
                <w:szCs w:val="18"/>
                <w:lang w:val="en-US" w:eastAsia="en-US"/>
              </w:rPr>
            </w:pPr>
            <w:r w:rsidRPr="007955BB">
              <w:rPr>
                <w:rFonts w:ascii="Calibri" w:hAnsi="Calibri" w:cs="Calibri"/>
                <w:b w:val="0"/>
                <w:sz w:val="18"/>
                <w:szCs w:val="18"/>
                <w:lang w:val="en-US" w:eastAsia="en-US"/>
              </w:rPr>
              <w:t> </w:t>
            </w:r>
          </w:p>
        </w:tc>
        <w:tc>
          <w:tcPr>
            <w:tcW w:w="1383"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8"/>
                <w:szCs w:val="18"/>
                <w:lang w:val="en-US" w:eastAsia="en-US"/>
              </w:rPr>
            </w:pPr>
            <w:r w:rsidRPr="007955BB">
              <w:rPr>
                <w:rFonts w:cs="Calibri"/>
                <w:b w:val="0"/>
                <w:sz w:val="18"/>
                <w:szCs w:val="18"/>
                <w:lang w:val="en-US" w:eastAsia="en-US"/>
              </w:rPr>
              <w:t>2022</w:t>
            </w:r>
          </w:p>
        </w:tc>
        <w:tc>
          <w:tcPr>
            <w:tcW w:w="72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8"/>
                <w:szCs w:val="18"/>
                <w:lang w:val="en-US" w:eastAsia="en-US"/>
              </w:rPr>
            </w:pPr>
            <w:r w:rsidRPr="007955BB">
              <w:rPr>
                <w:rFonts w:cs="Calibri"/>
                <w:b w:val="0"/>
                <w:sz w:val="18"/>
                <w:szCs w:val="18"/>
                <w:lang w:val="en-US" w:eastAsia="en-US"/>
              </w:rPr>
              <w:t>2020</w:t>
            </w:r>
          </w:p>
        </w:tc>
        <w:tc>
          <w:tcPr>
            <w:tcW w:w="81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8"/>
                <w:szCs w:val="18"/>
                <w:lang w:val="en-US" w:eastAsia="en-US"/>
              </w:rPr>
            </w:pPr>
            <w:r w:rsidRPr="007955BB">
              <w:rPr>
                <w:rFonts w:cs="Calibri"/>
                <w:b w:val="0"/>
                <w:sz w:val="18"/>
                <w:szCs w:val="18"/>
                <w:lang w:val="en-US" w:eastAsia="en-US"/>
              </w:rPr>
              <w:t>2021</w:t>
            </w:r>
          </w:p>
        </w:tc>
        <w:tc>
          <w:tcPr>
            <w:tcW w:w="81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8"/>
                <w:szCs w:val="18"/>
                <w:lang w:val="en-US" w:eastAsia="en-US"/>
              </w:rPr>
            </w:pPr>
            <w:r w:rsidRPr="007955BB">
              <w:rPr>
                <w:rFonts w:cs="Calibri"/>
                <w:b w:val="0"/>
                <w:sz w:val="18"/>
                <w:szCs w:val="18"/>
                <w:lang w:val="en-US" w:eastAsia="en-US"/>
              </w:rPr>
              <w:t>2020</w:t>
            </w:r>
          </w:p>
        </w:tc>
        <w:tc>
          <w:tcPr>
            <w:tcW w:w="99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8"/>
                <w:szCs w:val="18"/>
                <w:lang w:val="en-US" w:eastAsia="en-US"/>
              </w:rPr>
            </w:pPr>
            <w:r w:rsidRPr="007955BB">
              <w:rPr>
                <w:rFonts w:cs="Calibri"/>
                <w:b w:val="0"/>
                <w:sz w:val="18"/>
                <w:szCs w:val="18"/>
                <w:lang w:val="en-US" w:eastAsia="en-US"/>
              </w:rPr>
              <w:t>2021</w:t>
            </w:r>
          </w:p>
        </w:tc>
        <w:tc>
          <w:tcPr>
            <w:tcW w:w="108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8"/>
                <w:szCs w:val="18"/>
                <w:lang w:val="en-US" w:eastAsia="en-US"/>
              </w:rPr>
            </w:pPr>
            <w:r w:rsidRPr="007955BB">
              <w:rPr>
                <w:rFonts w:cs="Calibri"/>
                <w:b w:val="0"/>
                <w:sz w:val="18"/>
                <w:szCs w:val="18"/>
                <w:lang w:val="en-US" w:eastAsia="en-US"/>
              </w:rPr>
              <w:t>2021</w:t>
            </w:r>
          </w:p>
        </w:tc>
        <w:tc>
          <w:tcPr>
            <w:tcW w:w="108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8"/>
                <w:szCs w:val="18"/>
                <w:lang w:val="en-US" w:eastAsia="en-US"/>
              </w:rPr>
            </w:pPr>
            <w:r w:rsidRPr="007955BB">
              <w:rPr>
                <w:rFonts w:cs="Calibri"/>
                <w:b w:val="0"/>
                <w:sz w:val="18"/>
                <w:szCs w:val="18"/>
                <w:lang w:val="en-US" w:eastAsia="en-US"/>
              </w:rPr>
              <w:t>2021</w:t>
            </w:r>
          </w:p>
        </w:tc>
        <w:tc>
          <w:tcPr>
            <w:tcW w:w="990" w:type="dxa"/>
            <w:tcBorders>
              <w:top w:val="nil"/>
              <w:left w:val="nil"/>
              <w:bottom w:val="single" w:sz="8" w:space="0" w:color="000000"/>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Cs w:val="22"/>
                <w:lang w:val="en-US" w:eastAsia="en-US"/>
              </w:rPr>
            </w:pPr>
          </w:p>
        </w:tc>
      </w:tr>
      <w:tr w:rsidR="004644E7" w:rsidRPr="007955BB" w:rsidTr="004644E7">
        <w:trPr>
          <w:trHeight w:val="24"/>
        </w:trPr>
        <w:tc>
          <w:tcPr>
            <w:tcW w:w="2117" w:type="dxa"/>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left"/>
              <w:rPr>
                <w:rFonts w:cs="Calibri"/>
                <w:b w:val="0"/>
                <w:sz w:val="18"/>
                <w:szCs w:val="18"/>
                <w:lang w:val="en-US" w:eastAsia="en-US"/>
              </w:rPr>
            </w:pPr>
            <w:r w:rsidRPr="007955BB">
              <w:rPr>
                <w:rFonts w:cs="Calibri"/>
                <w:b w:val="0"/>
                <w:sz w:val="18"/>
                <w:szCs w:val="18"/>
                <w:lang w:val="en-US" w:eastAsia="en-US"/>
              </w:rPr>
              <w:t>«Երևանի ջերմաէլեկտրակենտրոն ՓԲԸ</w:t>
            </w:r>
          </w:p>
        </w:tc>
        <w:tc>
          <w:tcPr>
            <w:tcW w:w="1383"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78,3</w:t>
            </w:r>
          </w:p>
        </w:tc>
        <w:tc>
          <w:tcPr>
            <w:tcW w:w="720"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84,091</w:t>
            </w:r>
          </w:p>
        </w:tc>
        <w:tc>
          <w:tcPr>
            <w:tcW w:w="810"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66,628</w:t>
            </w:r>
          </w:p>
        </w:tc>
        <w:tc>
          <w:tcPr>
            <w:tcW w:w="810"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(11,972)</w:t>
            </w:r>
          </w:p>
        </w:tc>
        <w:tc>
          <w:tcPr>
            <w:tcW w:w="990"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1,857</w:t>
            </w:r>
          </w:p>
        </w:tc>
        <w:tc>
          <w:tcPr>
            <w:tcW w:w="1080"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(9,007)</w:t>
            </w:r>
          </w:p>
        </w:tc>
        <w:tc>
          <w:tcPr>
            <w:tcW w:w="1080"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128,788</w:t>
            </w:r>
          </w:p>
        </w:tc>
        <w:tc>
          <w:tcPr>
            <w:tcW w:w="990"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Միջին</w:t>
            </w:r>
          </w:p>
        </w:tc>
      </w:tr>
      <w:tr w:rsidR="004644E7" w:rsidRPr="007955BB" w:rsidTr="004644E7">
        <w:trPr>
          <w:trHeight w:val="24"/>
        </w:trPr>
        <w:tc>
          <w:tcPr>
            <w:tcW w:w="2117" w:type="dxa"/>
            <w:tcBorders>
              <w:top w:val="nil"/>
              <w:left w:val="single" w:sz="8" w:space="0" w:color="auto"/>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left"/>
              <w:rPr>
                <w:rFonts w:cs="Calibri"/>
                <w:b w:val="0"/>
                <w:sz w:val="18"/>
                <w:szCs w:val="18"/>
                <w:lang w:val="en-US" w:eastAsia="en-US"/>
              </w:rPr>
            </w:pPr>
            <w:r w:rsidRPr="007955BB">
              <w:rPr>
                <w:rFonts w:cs="Calibri"/>
                <w:b w:val="0"/>
                <w:sz w:val="18"/>
                <w:szCs w:val="18"/>
                <w:lang w:val="en-US" w:eastAsia="en-US"/>
              </w:rPr>
              <w:t>«Հայկական ատոմային էլեկտրակայան ՓԲԸ</w:t>
            </w:r>
          </w:p>
        </w:tc>
        <w:tc>
          <w:tcPr>
            <w:tcW w:w="1383"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106,011</w:t>
            </w:r>
          </w:p>
        </w:tc>
        <w:tc>
          <w:tcPr>
            <w:tcW w:w="72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33,121</w:t>
            </w:r>
          </w:p>
        </w:tc>
        <w:tc>
          <w:tcPr>
            <w:tcW w:w="81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35,433</w:t>
            </w:r>
          </w:p>
        </w:tc>
        <w:tc>
          <w:tcPr>
            <w:tcW w:w="81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(12,797)</w:t>
            </w:r>
          </w:p>
        </w:tc>
        <w:tc>
          <w:tcPr>
            <w:tcW w:w="99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(4,085)</w:t>
            </w:r>
          </w:p>
        </w:tc>
        <w:tc>
          <w:tcPr>
            <w:tcW w:w="108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13,409</w:t>
            </w:r>
          </w:p>
        </w:tc>
        <w:tc>
          <w:tcPr>
            <w:tcW w:w="108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157,490</w:t>
            </w:r>
          </w:p>
        </w:tc>
        <w:tc>
          <w:tcPr>
            <w:tcW w:w="99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Էական</w:t>
            </w:r>
          </w:p>
        </w:tc>
      </w:tr>
      <w:tr w:rsidR="004644E7" w:rsidRPr="007955BB" w:rsidTr="004644E7">
        <w:trPr>
          <w:trHeight w:val="24"/>
        </w:trPr>
        <w:tc>
          <w:tcPr>
            <w:tcW w:w="2117" w:type="dxa"/>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left"/>
              <w:rPr>
                <w:rFonts w:cs="Calibri"/>
                <w:b w:val="0"/>
                <w:sz w:val="18"/>
                <w:szCs w:val="18"/>
                <w:lang w:val="en-US" w:eastAsia="en-US"/>
              </w:rPr>
            </w:pPr>
            <w:r w:rsidRPr="007955BB">
              <w:rPr>
                <w:rFonts w:cs="Calibri"/>
                <w:b w:val="0"/>
                <w:sz w:val="18"/>
                <w:szCs w:val="18"/>
                <w:lang w:val="en-US" w:eastAsia="en-US"/>
              </w:rPr>
              <w:t>«Բարձրավոլտ էլեկտրական ցանցեր</w:t>
            </w:r>
            <w:r w:rsidRPr="007955BB">
              <w:rPr>
                <w:rFonts w:cs="Calibri"/>
                <w:b w:val="0"/>
                <w:sz w:val="18"/>
                <w:szCs w:val="18"/>
                <w:lang w:val="hy-AM" w:eastAsia="en-US"/>
              </w:rPr>
              <w:t>»</w:t>
            </w:r>
            <w:r w:rsidRPr="007955BB">
              <w:rPr>
                <w:rFonts w:cs="Calibri"/>
                <w:b w:val="0"/>
                <w:sz w:val="18"/>
                <w:szCs w:val="18"/>
                <w:lang w:val="en-US" w:eastAsia="en-US"/>
              </w:rPr>
              <w:t xml:space="preserve"> ՓԲԸ</w:t>
            </w:r>
          </w:p>
        </w:tc>
        <w:tc>
          <w:tcPr>
            <w:tcW w:w="1383"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51,8</w:t>
            </w:r>
          </w:p>
        </w:tc>
        <w:tc>
          <w:tcPr>
            <w:tcW w:w="720"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9,541</w:t>
            </w:r>
          </w:p>
        </w:tc>
        <w:tc>
          <w:tcPr>
            <w:tcW w:w="810"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18,923</w:t>
            </w:r>
          </w:p>
        </w:tc>
        <w:tc>
          <w:tcPr>
            <w:tcW w:w="810"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(10,575)</w:t>
            </w:r>
          </w:p>
        </w:tc>
        <w:tc>
          <w:tcPr>
            <w:tcW w:w="990"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10,994</w:t>
            </w:r>
          </w:p>
        </w:tc>
        <w:tc>
          <w:tcPr>
            <w:tcW w:w="1080"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13,677</w:t>
            </w:r>
          </w:p>
        </w:tc>
        <w:tc>
          <w:tcPr>
            <w:tcW w:w="1080"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104,466</w:t>
            </w:r>
          </w:p>
        </w:tc>
        <w:tc>
          <w:tcPr>
            <w:tcW w:w="990"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Ցածր</w:t>
            </w:r>
          </w:p>
        </w:tc>
      </w:tr>
      <w:tr w:rsidR="004644E7" w:rsidRPr="007955BB" w:rsidTr="004644E7">
        <w:trPr>
          <w:trHeight w:val="24"/>
        </w:trPr>
        <w:tc>
          <w:tcPr>
            <w:tcW w:w="2117" w:type="dxa"/>
            <w:tcBorders>
              <w:top w:val="nil"/>
              <w:left w:val="single" w:sz="8" w:space="0" w:color="auto"/>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left"/>
              <w:rPr>
                <w:rFonts w:cs="Calibri"/>
                <w:b w:val="0"/>
                <w:sz w:val="18"/>
                <w:szCs w:val="18"/>
                <w:lang w:val="en-US" w:eastAsia="en-US"/>
              </w:rPr>
            </w:pPr>
            <w:r w:rsidRPr="007955BB">
              <w:rPr>
                <w:rFonts w:cs="Calibri"/>
                <w:b w:val="0"/>
                <w:sz w:val="18"/>
                <w:szCs w:val="18"/>
                <w:lang w:val="en-US" w:eastAsia="en-US"/>
              </w:rPr>
              <w:t>«Էլեկտրաէներգետիկական համակարգի օպերատոր» ՓԲԸ</w:t>
            </w:r>
          </w:p>
        </w:tc>
        <w:tc>
          <w:tcPr>
            <w:tcW w:w="1383"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7.3</w:t>
            </w:r>
          </w:p>
        </w:tc>
        <w:tc>
          <w:tcPr>
            <w:tcW w:w="72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2,720</w:t>
            </w:r>
          </w:p>
        </w:tc>
        <w:tc>
          <w:tcPr>
            <w:tcW w:w="81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3,393</w:t>
            </w:r>
          </w:p>
        </w:tc>
        <w:tc>
          <w:tcPr>
            <w:tcW w:w="81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(839)</w:t>
            </w:r>
          </w:p>
        </w:tc>
        <w:tc>
          <w:tcPr>
            <w:tcW w:w="99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1,232</w:t>
            </w:r>
          </w:p>
        </w:tc>
        <w:tc>
          <w:tcPr>
            <w:tcW w:w="108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2,674</w:t>
            </w:r>
          </w:p>
        </w:tc>
        <w:tc>
          <w:tcPr>
            <w:tcW w:w="108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9,173</w:t>
            </w:r>
          </w:p>
        </w:tc>
        <w:tc>
          <w:tcPr>
            <w:tcW w:w="99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Ցածր</w:t>
            </w:r>
          </w:p>
        </w:tc>
      </w:tr>
      <w:tr w:rsidR="004644E7" w:rsidRPr="007955BB" w:rsidTr="004644E7">
        <w:trPr>
          <w:trHeight w:val="24"/>
        </w:trPr>
        <w:tc>
          <w:tcPr>
            <w:tcW w:w="2117" w:type="dxa"/>
            <w:tcBorders>
              <w:top w:val="nil"/>
              <w:left w:val="single" w:sz="8" w:space="0" w:color="auto"/>
              <w:bottom w:val="single" w:sz="4"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left"/>
              <w:rPr>
                <w:rFonts w:cs="Calibri"/>
                <w:b w:val="0"/>
                <w:sz w:val="18"/>
                <w:szCs w:val="18"/>
                <w:lang w:eastAsia="en-US"/>
              </w:rPr>
            </w:pPr>
            <w:r w:rsidRPr="007955BB">
              <w:rPr>
                <w:rFonts w:cs="Calibri"/>
                <w:b w:val="0"/>
                <w:sz w:val="18"/>
                <w:szCs w:val="18"/>
                <w:lang w:val="hy-AM" w:eastAsia="en-US"/>
              </w:rPr>
              <w:t>«</w:t>
            </w:r>
            <w:r w:rsidRPr="007955BB">
              <w:rPr>
                <w:rFonts w:cs="Calibri"/>
                <w:b w:val="0"/>
                <w:sz w:val="18"/>
                <w:szCs w:val="18"/>
                <w:lang w:val="en-US" w:eastAsia="en-US"/>
              </w:rPr>
              <w:t>Կարեն</w:t>
            </w:r>
            <w:r w:rsidRPr="007955BB">
              <w:rPr>
                <w:rFonts w:cs="Calibri"/>
                <w:b w:val="0"/>
                <w:sz w:val="18"/>
                <w:szCs w:val="18"/>
                <w:lang w:eastAsia="en-US"/>
              </w:rPr>
              <w:t xml:space="preserve"> </w:t>
            </w:r>
            <w:r w:rsidRPr="007955BB">
              <w:rPr>
                <w:rFonts w:cs="Calibri"/>
                <w:b w:val="0"/>
                <w:sz w:val="18"/>
                <w:szCs w:val="18"/>
                <w:lang w:val="en-US" w:eastAsia="en-US"/>
              </w:rPr>
              <w:t>Դեմիրճյանի</w:t>
            </w:r>
            <w:r w:rsidRPr="007955BB">
              <w:rPr>
                <w:rFonts w:cs="Calibri"/>
                <w:b w:val="0"/>
                <w:sz w:val="18"/>
                <w:szCs w:val="18"/>
                <w:lang w:eastAsia="en-US"/>
              </w:rPr>
              <w:t xml:space="preserve"> </w:t>
            </w:r>
            <w:r w:rsidRPr="007955BB">
              <w:rPr>
                <w:rFonts w:cs="Calibri"/>
                <w:b w:val="0"/>
                <w:sz w:val="18"/>
                <w:szCs w:val="18"/>
                <w:lang w:val="en-US" w:eastAsia="en-US"/>
              </w:rPr>
              <w:t>անվան</w:t>
            </w:r>
            <w:r w:rsidRPr="007955BB">
              <w:rPr>
                <w:rFonts w:cs="Calibri"/>
                <w:b w:val="0"/>
                <w:sz w:val="18"/>
                <w:szCs w:val="18"/>
                <w:lang w:eastAsia="en-US"/>
              </w:rPr>
              <w:t xml:space="preserve"> </w:t>
            </w:r>
            <w:r w:rsidRPr="007955BB">
              <w:rPr>
                <w:rFonts w:cs="Calibri"/>
                <w:b w:val="0"/>
                <w:sz w:val="18"/>
                <w:szCs w:val="18"/>
                <w:lang w:val="en-US" w:eastAsia="en-US"/>
              </w:rPr>
              <w:t>Երևանի</w:t>
            </w:r>
            <w:r w:rsidRPr="007955BB">
              <w:rPr>
                <w:rFonts w:cs="Calibri"/>
                <w:b w:val="0"/>
                <w:sz w:val="18"/>
                <w:szCs w:val="18"/>
                <w:lang w:eastAsia="en-US"/>
              </w:rPr>
              <w:t xml:space="preserve"> </w:t>
            </w:r>
            <w:r w:rsidRPr="007955BB">
              <w:rPr>
                <w:rFonts w:cs="Calibri"/>
                <w:b w:val="0"/>
                <w:sz w:val="18"/>
                <w:szCs w:val="18"/>
                <w:lang w:val="en-US" w:eastAsia="en-US"/>
              </w:rPr>
              <w:t>մետրոպոլիտեն</w:t>
            </w:r>
            <w:r w:rsidRPr="007955BB">
              <w:rPr>
                <w:rFonts w:cs="Calibri"/>
                <w:b w:val="0"/>
                <w:sz w:val="18"/>
                <w:szCs w:val="18"/>
                <w:lang w:eastAsia="en-US"/>
              </w:rPr>
              <w:t xml:space="preserve"> </w:t>
            </w:r>
            <w:r w:rsidRPr="007955BB">
              <w:rPr>
                <w:rFonts w:cs="Calibri"/>
                <w:b w:val="0"/>
                <w:sz w:val="18"/>
                <w:szCs w:val="18"/>
                <w:lang w:val="en-US" w:eastAsia="en-US"/>
              </w:rPr>
              <w:t>ՓԲԸ</w:t>
            </w:r>
          </w:p>
        </w:tc>
        <w:tc>
          <w:tcPr>
            <w:tcW w:w="1383" w:type="dxa"/>
            <w:tcBorders>
              <w:top w:val="nil"/>
              <w:left w:val="nil"/>
              <w:bottom w:val="single" w:sz="4"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3,2</w:t>
            </w:r>
          </w:p>
        </w:tc>
        <w:tc>
          <w:tcPr>
            <w:tcW w:w="720" w:type="dxa"/>
            <w:tcBorders>
              <w:top w:val="nil"/>
              <w:left w:val="nil"/>
              <w:bottom w:val="single" w:sz="4"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3,799</w:t>
            </w:r>
          </w:p>
        </w:tc>
        <w:tc>
          <w:tcPr>
            <w:tcW w:w="810" w:type="dxa"/>
            <w:tcBorders>
              <w:top w:val="nil"/>
              <w:left w:val="nil"/>
              <w:bottom w:val="single" w:sz="4"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5,537</w:t>
            </w:r>
          </w:p>
        </w:tc>
        <w:tc>
          <w:tcPr>
            <w:tcW w:w="810" w:type="dxa"/>
            <w:tcBorders>
              <w:top w:val="nil"/>
              <w:left w:val="nil"/>
              <w:bottom w:val="single" w:sz="4"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(1,220)</w:t>
            </w:r>
          </w:p>
        </w:tc>
        <w:tc>
          <w:tcPr>
            <w:tcW w:w="990" w:type="dxa"/>
            <w:tcBorders>
              <w:top w:val="nil"/>
              <w:left w:val="nil"/>
              <w:bottom w:val="single" w:sz="4"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1,307</w:t>
            </w:r>
          </w:p>
        </w:tc>
        <w:tc>
          <w:tcPr>
            <w:tcW w:w="1080" w:type="dxa"/>
            <w:tcBorders>
              <w:top w:val="nil"/>
              <w:left w:val="nil"/>
              <w:bottom w:val="single" w:sz="4"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1,863</w:t>
            </w:r>
          </w:p>
        </w:tc>
        <w:tc>
          <w:tcPr>
            <w:tcW w:w="1080" w:type="dxa"/>
            <w:tcBorders>
              <w:top w:val="nil"/>
              <w:left w:val="nil"/>
              <w:bottom w:val="single" w:sz="4"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9,231</w:t>
            </w:r>
          </w:p>
        </w:tc>
        <w:tc>
          <w:tcPr>
            <w:tcW w:w="990" w:type="dxa"/>
            <w:tcBorders>
              <w:top w:val="nil"/>
              <w:left w:val="nil"/>
              <w:bottom w:val="single" w:sz="4"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Ցածր</w:t>
            </w:r>
          </w:p>
        </w:tc>
      </w:tr>
      <w:tr w:rsidR="004644E7" w:rsidRPr="007955BB" w:rsidTr="004644E7">
        <w:trPr>
          <w:trHeight w:val="24"/>
        </w:trPr>
        <w:tc>
          <w:tcPr>
            <w:tcW w:w="21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4E7" w:rsidRPr="007955BB" w:rsidRDefault="004644E7" w:rsidP="004644E7">
            <w:pPr>
              <w:spacing w:before="0" w:line="276" w:lineRule="auto"/>
              <w:ind w:firstLine="0"/>
              <w:contextualSpacing w:val="0"/>
              <w:jc w:val="left"/>
              <w:rPr>
                <w:rFonts w:cs="Calibri"/>
                <w:b w:val="0"/>
                <w:sz w:val="18"/>
                <w:szCs w:val="18"/>
                <w:lang w:val="en-US" w:eastAsia="en-US"/>
              </w:rPr>
            </w:pPr>
            <w:r w:rsidRPr="007955BB">
              <w:rPr>
                <w:rFonts w:cs="Calibri"/>
                <w:b w:val="0"/>
                <w:sz w:val="18"/>
                <w:szCs w:val="18"/>
                <w:lang w:val="hy-AM" w:eastAsia="en-US"/>
              </w:rPr>
              <w:t>«</w:t>
            </w:r>
            <w:r w:rsidRPr="007955BB">
              <w:rPr>
                <w:rFonts w:cs="Calibri"/>
                <w:b w:val="0"/>
                <w:sz w:val="18"/>
                <w:szCs w:val="18"/>
                <w:lang w:val="en-US" w:eastAsia="en-US"/>
              </w:rPr>
              <w:t>Ռադիոիզոտոպների արտադրության կենտրոն ՓԲԸ</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2,196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89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268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(272)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(325,006)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(2,059)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4,544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Էական</w:t>
            </w:r>
          </w:p>
        </w:tc>
      </w:tr>
      <w:tr w:rsidR="004644E7" w:rsidRPr="007955BB" w:rsidTr="004644E7">
        <w:trPr>
          <w:trHeight w:val="24"/>
        </w:trPr>
        <w:tc>
          <w:tcPr>
            <w:tcW w:w="2117" w:type="dxa"/>
            <w:tcBorders>
              <w:top w:val="single" w:sz="4"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left"/>
              <w:rPr>
                <w:rFonts w:cs="Calibri"/>
                <w:b w:val="0"/>
                <w:sz w:val="18"/>
                <w:szCs w:val="18"/>
                <w:lang w:val="en-US" w:eastAsia="en-US"/>
              </w:rPr>
            </w:pPr>
            <w:r w:rsidRPr="007955BB">
              <w:rPr>
                <w:rFonts w:cs="Calibri"/>
                <w:b w:val="0"/>
                <w:sz w:val="18"/>
                <w:szCs w:val="18"/>
                <w:lang w:val="en-US" w:eastAsia="en-US"/>
              </w:rPr>
              <w:t>«Երքաղլույս» ՓԲԸ</w:t>
            </w:r>
          </w:p>
        </w:tc>
        <w:tc>
          <w:tcPr>
            <w:tcW w:w="1383" w:type="dxa"/>
            <w:tcBorders>
              <w:top w:val="single" w:sz="4" w:space="0" w:color="auto"/>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136</w:t>
            </w:r>
          </w:p>
        </w:tc>
        <w:tc>
          <w:tcPr>
            <w:tcW w:w="720" w:type="dxa"/>
            <w:tcBorders>
              <w:top w:val="single" w:sz="4" w:space="0" w:color="auto"/>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2,177</w:t>
            </w:r>
          </w:p>
        </w:tc>
        <w:tc>
          <w:tcPr>
            <w:tcW w:w="810" w:type="dxa"/>
            <w:tcBorders>
              <w:top w:val="single" w:sz="4" w:space="0" w:color="auto"/>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2,010</w:t>
            </w:r>
          </w:p>
        </w:tc>
        <w:tc>
          <w:tcPr>
            <w:tcW w:w="810" w:type="dxa"/>
            <w:tcBorders>
              <w:top w:val="single" w:sz="4" w:space="0" w:color="auto"/>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230</w:t>
            </w:r>
          </w:p>
        </w:tc>
        <w:tc>
          <w:tcPr>
            <w:tcW w:w="990" w:type="dxa"/>
            <w:tcBorders>
              <w:top w:val="single" w:sz="4" w:space="0" w:color="auto"/>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156</w:t>
            </w:r>
          </w:p>
        </w:tc>
        <w:tc>
          <w:tcPr>
            <w:tcW w:w="1080" w:type="dxa"/>
            <w:tcBorders>
              <w:top w:val="single" w:sz="4" w:space="0" w:color="auto"/>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156</w:t>
            </w:r>
          </w:p>
        </w:tc>
        <w:tc>
          <w:tcPr>
            <w:tcW w:w="1080" w:type="dxa"/>
            <w:tcBorders>
              <w:top w:val="single" w:sz="4" w:space="0" w:color="auto"/>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997</w:t>
            </w:r>
          </w:p>
        </w:tc>
        <w:tc>
          <w:tcPr>
            <w:tcW w:w="990" w:type="dxa"/>
            <w:tcBorders>
              <w:top w:val="single" w:sz="4" w:space="0" w:color="auto"/>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Էական</w:t>
            </w:r>
          </w:p>
        </w:tc>
      </w:tr>
      <w:tr w:rsidR="004644E7" w:rsidRPr="007955BB" w:rsidTr="004644E7">
        <w:trPr>
          <w:trHeight w:val="24"/>
        </w:trPr>
        <w:tc>
          <w:tcPr>
            <w:tcW w:w="2117" w:type="dxa"/>
            <w:tcBorders>
              <w:top w:val="nil"/>
              <w:left w:val="single" w:sz="8" w:space="0" w:color="auto"/>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left"/>
              <w:rPr>
                <w:rFonts w:cs="Calibri"/>
                <w:b w:val="0"/>
                <w:sz w:val="18"/>
                <w:szCs w:val="18"/>
                <w:lang w:eastAsia="en-US"/>
              </w:rPr>
            </w:pPr>
            <w:r w:rsidRPr="007955BB">
              <w:rPr>
                <w:rFonts w:cs="Calibri"/>
                <w:b w:val="0"/>
                <w:sz w:val="18"/>
                <w:szCs w:val="18"/>
                <w:lang w:val="en-US" w:eastAsia="en-US"/>
              </w:rPr>
              <w:t>Համո</w:t>
            </w:r>
            <w:r w:rsidRPr="007955BB">
              <w:rPr>
                <w:rFonts w:cs="Calibri"/>
                <w:b w:val="0"/>
                <w:sz w:val="18"/>
                <w:szCs w:val="18"/>
                <w:lang w:eastAsia="en-US"/>
              </w:rPr>
              <w:t xml:space="preserve"> </w:t>
            </w:r>
            <w:r w:rsidRPr="007955BB">
              <w:rPr>
                <w:rFonts w:cs="Calibri"/>
                <w:b w:val="0"/>
                <w:sz w:val="18"/>
                <w:szCs w:val="18"/>
                <w:lang w:val="en-US" w:eastAsia="en-US"/>
              </w:rPr>
              <w:t>Բեկնազարյանի</w:t>
            </w:r>
            <w:r w:rsidRPr="007955BB">
              <w:rPr>
                <w:rFonts w:cs="Calibri"/>
                <w:b w:val="0"/>
                <w:sz w:val="18"/>
                <w:szCs w:val="18"/>
                <w:lang w:eastAsia="en-US"/>
              </w:rPr>
              <w:t xml:space="preserve"> </w:t>
            </w:r>
            <w:r w:rsidRPr="007955BB">
              <w:rPr>
                <w:rFonts w:cs="Calibri"/>
                <w:b w:val="0"/>
                <w:sz w:val="18"/>
                <w:szCs w:val="18"/>
                <w:lang w:val="en-US" w:eastAsia="en-US"/>
              </w:rPr>
              <w:t>անվան</w:t>
            </w:r>
            <w:r w:rsidRPr="007955BB">
              <w:rPr>
                <w:rFonts w:cs="Calibri"/>
                <w:b w:val="0"/>
                <w:sz w:val="18"/>
                <w:szCs w:val="18"/>
                <w:lang w:eastAsia="en-US"/>
              </w:rPr>
              <w:t xml:space="preserve"> «</w:t>
            </w:r>
            <w:r w:rsidRPr="007955BB">
              <w:rPr>
                <w:rFonts w:cs="Calibri"/>
                <w:b w:val="0"/>
                <w:sz w:val="18"/>
                <w:szCs w:val="18"/>
                <w:lang w:val="en-US" w:eastAsia="en-US"/>
              </w:rPr>
              <w:t>Հայֆիլմ</w:t>
            </w:r>
            <w:r w:rsidRPr="007955BB">
              <w:rPr>
                <w:rFonts w:cs="Calibri"/>
                <w:b w:val="0"/>
                <w:sz w:val="18"/>
                <w:szCs w:val="18"/>
                <w:lang w:eastAsia="en-US"/>
              </w:rPr>
              <w:t xml:space="preserve">» </w:t>
            </w:r>
            <w:r w:rsidRPr="007955BB">
              <w:rPr>
                <w:rFonts w:cs="Calibri"/>
                <w:b w:val="0"/>
                <w:sz w:val="18"/>
                <w:szCs w:val="18"/>
                <w:lang w:val="en-US" w:eastAsia="en-US"/>
              </w:rPr>
              <w:t>կինոստուդիա</w:t>
            </w:r>
            <w:r w:rsidRPr="007955BB">
              <w:rPr>
                <w:rFonts w:cs="Calibri"/>
                <w:b w:val="0"/>
                <w:sz w:val="18"/>
                <w:szCs w:val="18"/>
                <w:lang w:eastAsia="en-US"/>
              </w:rPr>
              <w:t xml:space="preserve"> </w:t>
            </w:r>
            <w:r w:rsidRPr="007955BB">
              <w:rPr>
                <w:rFonts w:cs="Calibri"/>
                <w:b w:val="0"/>
                <w:sz w:val="18"/>
                <w:szCs w:val="18"/>
                <w:lang w:val="en-US" w:eastAsia="en-US"/>
              </w:rPr>
              <w:t>ՓԲԸ</w:t>
            </w:r>
          </w:p>
        </w:tc>
        <w:tc>
          <w:tcPr>
            <w:tcW w:w="1383"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eastAsia="en-US"/>
              </w:rPr>
            </w:pPr>
          </w:p>
          <w:p w:rsidR="004644E7" w:rsidRPr="007955BB" w:rsidRDefault="004644E7" w:rsidP="004644E7">
            <w:pPr>
              <w:spacing w:before="0" w:line="276" w:lineRule="auto"/>
              <w:ind w:firstLine="0"/>
              <w:contextualSpacing w:val="0"/>
              <w:jc w:val="center"/>
              <w:rPr>
                <w:rFonts w:cs="Calibri"/>
                <w:b w:val="0"/>
                <w:sz w:val="16"/>
                <w:szCs w:val="16"/>
                <w:lang w:eastAsia="en-US"/>
              </w:rPr>
            </w:pPr>
          </w:p>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126</w:t>
            </w:r>
          </w:p>
        </w:tc>
        <w:tc>
          <w:tcPr>
            <w:tcW w:w="72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p>
          <w:p w:rsidR="004644E7" w:rsidRPr="007955BB" w:rsidRDefault="004644E7" w:rsidP="004644E7">
            <w:pPr>
              <w:spacing w:before="0" w:line="276" w:lineRule="auto"/>
              <w:ind w:firstLine="0"/>
              <w:contextualSpacing w:val="0"/>
              <w:jc w:val="center"/>
              <w:rPr>
                <w:rFonts w:cs="Calibri"/>
                <w:b w:val="0"/>
                <w:sz w:val="16"/>
                <w:szCs w:val="16"/>
                <w:lang w:val="en-US" w:eastAsia="en-US"/>
              </w:rPr>
            </w:pPr>
          </w:p>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13</w:t>
            </w:r>
          </w:p>
        </w:tc>
        <w:tc>
          <w:tcPr>
            <w:tcW w:w="81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p>
          <w:p w:rsidR="004644E7" w:rsidRPr="007955BB" w:rsidRDefault="004644E7" w:rsidP="004644E7">
            <w:pPr>
              <w:spacing w:before="0" w:line="276" w:lineRule="auto"/>
              <w:ind w:firstLine="0"/>
              <w:contextualSpacing w:val="0"/>
              <w:jc w:val="center"/>
              <w:rPr>
                <w:rFonts w:cs="Calibri"/>
                <w:b w:val="0"/>
                <w:sz w:val="16"/>
                <w:szCs w:val="16"/>
                <w:lang w:val="en-US" w:eastAsia="en-US"/>
              </w:rPr>
            </w:pPr>
          </w:p>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17</w:t>
            </w:r>
          </w:p>
        </w:tc>
        <w:tc>
          <w:tcPr>
            <w:tcW w:w="81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p>
          <w:p w:rsidR="004644E7" w:rsidRPr="007955BB" w:rsidRDefault="004644E7" w:rsidP="004644E7">
            <w:pPr>
              <w:spacing w:before="0" w:line="276" w:lineRule="auto"/>
              <w:ind w:firstLine="0"/>
              <w:contextualSpacing w:val="0"/>
              <w:jc w:val="center"/>
              <w:rPr>
                <w:rFonts w:cs="Calibri"/>
                <w:b w:val="0"/>
                <w:sz w:val="16"/>
                <w:szCs w:val="16"/>
                <w:lang w:val="en-US" w:eastAsia="en-US"/>
              </w:rPr>
            </w:pPr>
          </w:p>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(28)</w:t>
            </w:r>
          </w:p>
        </w:tc>
        <w:tc>
          <w:tcPr>
            <w:tcW w:w="99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p>
          <w:p w:rsidR="004644E7" w:rsidRPr="007955BB" w:rsidRDefault="004644E7" w:rsidP="004644E7">
            <w:pPr>
              <w:spacing w:before="0" w:line="276" w:lineRule="auto"/>
              <w:ind w:firstLine="0"/>
              <w:contextualSpacing w:val="0"/>
              <w:jc w:val="center"/>
              <w:rPr>
                <w:rFonts w:cs="Calibri"/>
                <w:b w:val="0"/>
                <w:sz w:val="16"/>
                <w:szCs w:val="16"/>
                <w:lang w:val="en-US" w:eastAsia="en-US"/>
              </w:rPr>
            </w:pPr>
          </w:p>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(2)</w:t>
            </w:r>
          </w:p>
        </w:tc>
        <w:tc>
          <w:tcPr>
            <w:tcW w:w="108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p>
          <w:p w:rsidR="004644E7" w:rsidRPr="007955BB" w:rsidRDefault="004644E7" w:rsidP="004644E7">
            <w:pPr>
              <w:spacing w:before="0" w:line="276" w:lineRule="auto"/>
              <w:ind w:firstLine="0"/>
              <w:contextualSpacing w:val="0"/>
              <w:jc w:val="center"/>
              <w:rPr>
                <w:rFonts w:cs="Calibri"/>
                <w:b w:val="0"/>
                <w:sz w:val="16"/>
                <w:szCs w:val="16"/>
                <w:lang w:val="en-US" w:eastAsia="en-US"/>
              </w:rPr>
            </w:pPr>
          </w:p>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(107)</w:t>
            </w:r>
          </w:p>
        </w:tc>
        <w:tc>
          <w:tcPr>
            <w:tcW w:w="108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p>
          <w:p w:rsidR="004644E7" w:rsidRPr="007955BB" w:rsidRDefault="004644E7" w:rsidP="004644E7">
            <w:pPr>
              <w:spacing w:before="0" w:line="276" w:lineRule="auto"/>
              <w:ind w:firstLine="0"/>
              <w:contextualSpacing w:val="0"/>
              <w:jc w:val="center"/>
              <w:rPr>
                <w:rFonts w:cs="Calibri"/>
                <w:b w:val="0"/>
                <w:sz w:val="16"/>
                <w:szCs w:val="16"/>
                <w:lang w:val="en-US" w:eastAsia="en-US"/>
              </w:rPr>
            </w:pPr>
          </w:p>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193</w:t>
            </w:r>
          </w:p>
        </w:tc>
        <w:tc>
          <w:tcPr>
            <w:tcW w:w="990" w:type="dxa"/>
            <w:tcBorders>
              <w:top w:val="nil"/>
              <w:left w:val="nil"/>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Էական</w:t>
            </w:r>
          </w:p>
        </w:tc>
      </w:tr>
      <w:tr w:rsidR="004644E7" w:rsidRPr="007955BB" w:rsidTr="004644E7">
        <w:trPr>
          <w:trHeight w:val="24"/>
        </w:trPr>
        <w:tc>
          <w:tcPr>
            <w:tcW w:w="2117" w:type="dxa"/>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left"/>
              <w:rPr>
                <w:rFonts w:cs="Calibri"/>
                <w:b w:val="0"/>
                <w:sz w:val="18"/>
                <w:szCs w:val="18"/>
                <w:lang w:val="en-US" w:eastAsia="en-US"/>
              </w:rPr>
            </w:pPr>
            <w:r w:rsidRPr="007955BB">
              <w:rPr>
                <w:rFonts w:cs="Calibri"/>
                <w:b w:val="0"/>
                <w:sz w:val="18"/>
                <w:szCs w:val="18"/>
                <w:lang w:val="en-US" w:eastAsia="en-US"/>
              </w:rPr>
              <w:t>«Ավտոմատիկա» ՓԲԸ</w:t>
            </w:r>
          </w:p>
        </w:tc>
        <w:tc>
          <w:tcPr>
            <w:tcW w:w="1383"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89</w:t>
            </w:r>
          </w:p>
        </w:tc>
        <w:tc>
          <w:tcPr>
            <w:tcW w:w="720"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w:t>
            </w:r>
          </w:p>
        </w:tc>
        <w:tc>
          <w:tcPr>
            <w:tcW w:w="810"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16</w:t>
            </w:r>
          </w:p>
        </w:tc>
        <w:tc>
          <w:tcPr>
            <w:tcW w:w="810"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(34)</w:t>
            </w:r>
          </w:p>
        </w:tc>
        <w:tc>
          <w:tcPr>
            <w:tcW w:w="990"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(163)</w:t>
            </w:r>
          </w:p>
        </w:tc>
        <w:tc>
          <w:tcPr>
            <w:tcW w:w="1080"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(321)</w:t>
            </w:r>
          </w:p>
        </w:tc>
        <w:tc>
          <w:tcPr>
            <w:tcW w:w="1080"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389</w:t>
            </w:r>
          </w:p>
        </w:tc>
        <w:tc>
          <w:tcPr>
            <w:tcW w:w="990" w:type="dxa"/>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Էական</w:t>
            </w:r>
          </w:p>
        </w:tc>
      </w:tr>
    </w:tbl>
    <w:p w:rsidR="004644E7" w:rsidRPr="007955BB" w:rsidRDefault="004644E7" w:rsidP="004644E7">
      <w:pPr>
        <w:spacing w:before="0" w:line="276" w:lineRule="auto"/>
        <w:ind w:firstLine="0"/>
        <w:contextualSpacing w:val="0"/>
        <w:rPr>
          <w:rFonts w:eastAsia="Calibri"/>
          <w:b w:val="0"/>
          <w:szCs w:val="22"/>
          <w:lang w:val="hy-AM" w:eastAsia="en-US"/>
        </w:rPr>
      </w:pPr>
    </w:p>
    <w:p w:rsidR="004644E7" w:rsidRPr="007955BB" w:rsidRDefault="004644E7" w:rsidP="004644E7">
      <w:pPr>
        <w:keepNext/>
        <w:spacing w:before="0" w:line="276" w:lineRule="auto"/>
        <w:ind w:firstLine="0"/>
        <w:contextualSpacing w:val="0"/>
        <w:jc w:val="left"/>
        <w:rPr>
          <w:rFonts w:eastAsia="Calibri"/>
          <w:bCs/>
          <w:i/>
          <w:color w:val="4472C4"/>
          <w:sz w:val="20"/>
          <w:szCs w:val="20"/>
          <w:lang w:val="hy-AM" w:eastAsia="en-US"/>
        </w:rPr>
      </w:pPr>
      <w:bookmarkStart w:id="393" w:name="_Toc120805281"/>
      <w:r w:rsidRPr="007955BB">
        <w:rPr>
          <w:rFonts w:eastAsia="Calibri"/>
          <w:b w:val="0"/>
          <w:bCs/>
          <w:color w:val="4472C4"/>
          <w:sz w:val="18"/>
          <w:szCs w:val="18"/>
          <w:lang w:val="hy-AM" w:eastAsia="en-US"/>
        </w:rPr>
        <w:t xml:space="preserve">Աղյուսակ </w:t>
      </w:r>
      <w:r w:rsidRPr="007955BB">
        <w:rPr>
          <w:rFonts w:eastAsia="Calibri"/>
          <w:b w:val="0"/>
          <w:bCs/>
          <w:color w:val="4472C4"/>
          <w:sz w:val="18"/>
          <w:szCs w:val="18"/>
          <w:lang w:val="hy-AM" w:eastAsia="en-US"/>
        </w:rPr>
        <w:fldChar w:fldCharType="begin"/>
      </w:r>
      <w:r w:rsidRPr="007955BB">
        <w:rPr>
          <w:rFonts w:eastAsia="Calibri"/>
          <w:b w:val="0"/>
          <w:bCs/>
          <w:color w:val="4472C4"/>
          <w:sz w:val="18"/>
          <w:szCs w:val="18"/>
          <w:lang w:val="hy-AM" w:eastAsia="en-US"/>
        </w:rPr>
        <w:instrText xml:space="preserve"> SEQ Աղյուսակ \* ARABIC </w:instrText>
      </w:r>
      <w:r w:rsidRPr="007955BB">
        <w:rPr>
          <w:rFonts w:eastAsia="Calibri"/>
          <w:b w:val="0"/>
          <w:bCs/>
          <w:color w:val="4472C4"/>
          <w:sz w:val="18"/>
          <w:szCs w:val="18"/>
          <w:lang w:val="hy-AM" w:eastAsia="en-US"/>
        </w:rPr>
        <w:fldChar w:fldCharType="separate"/>
      </w:r>
      <w:r w:rsidR="008177DF">
        <w:rPr>
          <w:rFonts w:eastAsia="Calibri"/>
          <w:b w:val="0"/>
          <w:bCs/>
          <w:noProof/>
          <w:color w:val="4472C4"/>
          <w:sz w:val="18"/>
          <w:szCs w:val="18"/>
          <w:lang w:val="hy-AM" w:eastAsia="en-US"/>
        </w:rPr>
        <w:t>22</w:t>
      </w:r>
      <w:r w:rsidRPr="007955BB">
        <w:rPr>
          <w:rFonts w:eastAsia="Calibri"/>
          <w:b w:val="0"/>
          <w:bCs/>
          <w:color w:val="4472C4"/>
          <w:sz w:val="18"/>
          <w:szCs w:val="18"/>
          <w:lang w:val="hy-AM" w:eastAsia="en-US"/>
        </w:rPr>
        <w:fldChar w:fldCharType="end"/>
      </w:r>
      <w:r w:rsidRPr="007955BB">
        <w:rPr>
          <w:rFonts w:eastAsia="Calibri"/>
          <w:b w:val="0"/>
          <w:i/>
          <w:iCs/>
          <w:sz w:val="18"/>
          <w:szCs w:val="18"/>
          <w:lang w:val="hy-AM" w:eastAsia="en-US"/>
        </w:rPr>
        <w:t xml:space="preserve"> </w:t>
      </w:r>
      <w:r w:rsidRPr="007955BB">
        <w:rPr>
          <w:rFonts w:eastAsia="Calibri"/>
          <w:bCs/>
          <w:i/>
          <w:color w:val="4472C4"/>
          <w:sz w:val="20"/>
          <w:szCs w:val="20"/>
          <w:lang w:val="hy-AM" w:eastAsia="en-US"/>
        </w:rPr>
        <w:t>Խոշոր պարտավորություններ ունեցող պետական և համայնքային մասնակցությամբ ընկերությունների ցուցանիշները</w:t>
      </w:r>
      <w:bookmarkEnd w:id="393"/>
    </w:p>
    <w:p w:rsidR="004644E7" w:rsidRPr="007955BB" w:rsidRDefault="004644E7" w:rsidP="004644E7">
      <w:pPr>
        <w:keepNext/>
        <w:spacing w:before="0" w:line="276" w:lineRule="auto"/>
        <w:ind w:firstLine="0"/>
        <w:contextualSpacing w:val="0"/>
        <w:jc w:val="right"/>
        <w:rPr>
          <w:rFonts w:eastAsia="Calibri"/>
          <w:bCs/>
          <w:i/>
          <w:color w:val="4472C4"/>
          <w:sz w:val="20"/>
          <w:szCs w:val="20"/>
          <w:lang w:val="hy-AM" w:eastAsia="en-US"/>
        </w:rPr>
      </w:pPr>
      <w:r w:rsidRPr="007955BB">
        <w:rPr>
          <w:rFonts w:eastAsia="Calibri"/>
          <w:bCs/>
          <w:i/>
          <w:color w:val="4472C4"/>
          <w:sz w:val="20"/>
          <w:szCs w:val="20"/>
          <w:lang w:val="hy-AM" w:eastAsia="en-US"/>
        </w:rPr>
        <w:t xml:space="preserve"> մլն դրամ</w:t>
      </w:r>
    </w:p>
    <w:tbl>
      <w:tblPr>
        <w:tblW w:w="5147" w:type="pct"/>
        <w:tblLayout w:type="fixed"/>
        <w:tblLook w:val="04A0" w:firstRow="1" w:lastRow="0" w:firstColumn="1" w:lastColumn="0" w:noHBand="0" w:noVBand="1"/>
      </w:tblPr>
      <w:tblGrid>
        <w:gridCol w:w="2294"/>
        <w:gridCol w:w="869"/>
        <w:gridCol w:w="862"/>
        <w:gridCol w:w="866"/>
        <w:gridCol w:w="862"/>
        <w:gridCol w:w="961"/>
        <w:gridCol w:w="864"/>
        <w:gridCol w:w="862"/>
        <w:gridCol w:w="961"/>
        <w:gridCol w:w="864"/>
      </w:tblGrid>
      <w:tr w:rsidR="004644E7" w:rsidRPr="007955BB" w:rsidTr="004644E7">
        <w:trPr>
          <w:trHeight w:val="340"/>
        </w:trPr>
        <w:tc>
          <w:tcPr>
            <w:tcW w:w="1117" w:type="pct"/>
            <w:tcBorders>
              <w:top w:val="single" w:sz="8" w:space="0" w:color="auto"/>
              <w:left w:val="single" w:sz="8" w:space="0" w:color="auto"/>
              <w:bottom w:val="single" w:sz="8" w:space="0" w:color="auto"/>
              <w:right w:val="single" w:sz="8" w:space="0" w:color="auto"/>
            </w:tcBorders>
            <w:shd w:val="clear" w:color="auto" w:fill="8EAADB"/>
            <w:noWrap/>
            <w:vAlign w:val="center"/>
            <w:hideMark/>
          </w:tcPr>
          <w:p w:rsidR="004644E7" w:rsidRPr="007955BB" w:rsidRDefault="004644E7" w:rsidP="004644E7">
            <w:pPr>
              <w:spacing w:before="0" w:line="276" w:lineRule="auto"/>
              <w:ind w:firstLine="0"/>
              <w:contextualSpacing w:val="0"/>
              <w:rPr>
                <w:rFonts w:cs="Calibri"/>
                <w:color w:val="FFFFFF"/>
                <w:sz w:val="16"/>
                <w:szCs w:val="16"/>
                <w:lang w:val="en-US" w:eastAsia="en-US"/>
              </w:rPr>
            </w:pPr>
            <w:r w:rsidRPr="007955BB">
              <w:rPr>
                <w:rFonts w:ascii="Calibri" w:hAnsi="Calibri" w:cs="Calibri"/>
                <w:color w:val="FFFFFF"/>
                <w:sz w:val="16"/>
                <w:szCs w:val="16"/>
                <w:lang w:val="en-US" w:eastAsia="en-US"/>
              </w:rPr>
              <w:t> </w:t>
            </w:r>
          </w:p>
        </w:tc>
        <w:tc>
          <w:tcPr>
            <w:tcW w:w="1265" w:type="pct"/>
            <w:gridSpan w:val="3"/>
            <w:tcBorders>
              <w:top w:val="single" w:sz="8" w:space="0" w:color="auto"/>
              <w:left w:val="nil"/>
              <w:bottom w:val="single" w:sz="8" w:space="0" w:color="auto"/>
              <w:right w:val="nil"/>
            </w:tcBorders>
            <w:shd w:val="clear" w:color="auto" w:fill="8EAADB"/>
            <w:noWrap/>
            <w:vAlign w:val="center"/>
            <w:hideMark/>
          </w:tcPr>
          <w:p w:rsidR="004644E7" w:rsidRPr="007955BB" w:rsidRDefault="004644E7" w:rsidP="004644E7">
            <w:pPr>
              <w:spacing w:before="0" w:line="276" w:lineRule="auto"/>
              <w:ind w:firstLine="0"/>
              <w:contextualSpacing w:val="0"/>
              <w:jc w:val="center"/>
              <w:rPr>
                <w:rFonts w:cs="Calibri"/>
                <w:color w:val="FFFFFF"/>
                <w:sz w:val="16"/>
                <w:szCs w:val="16"/>
                <w:lang w:val="en-US" w:eastAsia="en-US"/>
              </w:rPr>
            </w:pPr>
            <w:r w:rsidRPr="007955BB">
              <w:rPr>
                <w:rFonts w:cs="Calibri"/>
                <w:color w:val="FFFFFF"/>
                <w:sz w:val="16"/>
                <w:szCs w:val="16"/>
                <w:lang w:val="en-US" w:eastAsia="en-US"/>
              </w:rPr>
              <w:t>Պարտավորություններ</w:t>
            </w:r>
          </w:p>
        </w:tc>
        <w:tc>
          <w:tcPr>
            <w:tcW w:w="1309" w:type="pct"/>
            <w:gridSpan w:val="3"/>
            <w:tcBorders>
              <w:top w:val="single" w:sz="8" w:space="0" w:color="auto"/>
              <w:left w:val="single" w:sz="8" w:space="0" w:color="auto"/>
              <w:bottom w:val="single" w:sz="8" w:space="0" w:color="auto"/>
              <w:right w:val="nil"/>
            </w:tcBorders>
            <w:shd w:val="clear" w:color="auto" w:fill="8EAADB"/>
            <w:noWrap/>
            <w:vAlign w:val="center"/>
            <w:hideMark/>
          </w:tcPr>
          <w:p w:rsidR="004644E7" w:rsidRPr="007955BB" w:rsidRDefault="004644E7" w:rsidP="004644E7">
            <w:pPr>
              <w:spacing w:before="0" w:line="276" w:lineRule="auto"/>
              <w:ind w:firstLine="0"/>
              <w:contextualSpacing w:val="0"/>
              <w:jc w:val="center"/>
              <w:rPr>
                <w:rFonts w:cs="Calibri"/>
                <w:color w:val="FFFFFF"/>
                <w:sz w:val="16"/>
                <w:szCs w:val="16"/>
                <w:lang w:val="en-US" w:eastAsia="en-US"/>
              </w:rPr>
            </w:pPr>
            <w:r w:rsidRPr="007955BB">
              <w:rPr>
                <w:rFonts w:cs="Calibri"/>
                <w:color w:val="FFFFFF"/>
                <w:sz w:val="16"/>
                <w:szCs w:val="16"/>
                <w:lang w:val="en-US" w:eastAsia="en-US"/>
              </w:rPr>
              <w:t>Ակտիվներ</w:t>
            </w:r>
          </w:p>
        </w:tc>
        <w:tc>
          <w:tcPr>
            <w:tcW w:w="1309" w:type="pct"/>
            <w:gridSpan w:val="3"/>
            <w:tcBorders>
              <w:top w:val="single" w:sz="4" w:space="0" w:color="auto"/>
              <w:left w:val="single" w:sz="8" w:space="0" w:color="auto"/>
              <w:bottom w:val="single" w:sz="4" w:space="0" w:color="auto"/>
              <w:right w:val="single" w:sz="4" w:space="0" w:color="auto"/>
            </w:tcBorders>
            <w:shd w:val="clear" w:color="auto" w:fill="8EAADB"/>
          </w:tcPr>
          <w:p w:rsidR="004644E7" w:rsidRPr="007955BB" w:rsidRDefault="004644E7" w:rsidP="004644E7">
            <w:pPr>
              <w:spacing w:before="0" w:line="276" w:lineRule="auto"/>
              <w:ind w:firstLine="0"/>
              <w:contextualSpacing w:val="0"/>
              <w:jc w:val="center"/>
              <w:rPr>
                <w:rFonts w:cs="Calibri"/>
                <w:color w:val="FFFFFF"/>
                <w:sz w:val="16"/>
                <w:szCs w:val="16"/>
                <w:lang w:val="en-US" w:eastAsia="en-US"/>
              </w:rPr>
            </w:pPr>
            <w:r w:rsidRPr="007955BB">
              <w:rPr>
                <w:rFonts w:cs="Calibri"/>
                <w:color w:val="FFFFFF"/>
                <w:sz w:val="16"/>
                <w:szCs w:val="16"/>
                <w:lang w:val="en-US" w:eastAsia="en-US"/>
              </w:rPr>
              <w:t>Սեփական կապիտալ</w:t>
            </w:r>
          </w:p>
        </w:tc>
      </w:tr>
      <w:tr w:rsidR="004644E7" w:rsidRPr="007955BB" w:rsidTr="004644E7">
        <w:trPr>
          <w:trHeight w:val="340"/>
        </w:trPr>
        <w:tc>
          <w:tcPr>
            <w:tcW w:w="1117"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left"/>
              <w:rPr>
                <w:rFonts w:cs="Calibri"/>
                <w:b w:val="0"/>
                <w:sz w:val="16"/>
                <w:szCs w:val="16"/>
                <w:lang w:val="en-US" w:eastAsia="en-US"/>
              </w:rPr>
            </w:pPr>
            <w:r w:rsidRPr="007955BB">
              <w:rPr>
                <w:rFonts w:cs="Calibri"/>
                <w:b w:val="0"/>
                <w:sz w:val="16"/>
                <w:szCs w:val="16"/>
                <w:lang w:val="en-US" w:eastAsia="en-US"/>
              </w:rPr>
              <w:t>Անվանում</w:t>
            </w:r>
          </w:p>
        </w:tc>
        <w:tc>
          <w:tcPr>
            <w:tcW w:w="423" w:type="pct"/>
            <w:tcBorders>
              <w:top w:val="nil"/>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2019</w:t>
            </w:r>
          </w:p>
        </w:tc>
        <w:tc>
          <w:tcPr>
            <w:tcW w:w="420" w:type="pct"/>
            <w:tcBorders>
              <w:top w:val="nil"/>
              <w:left w:val="nil"/>
              <w:bottom w:val="single" w:sz="8" w:space="0" w:color="auto"/>
              <w:right w:val="single" w:sz="4" w:space="0" w:color="auto"/>
            </w:tcBorders>
            <w:shd w:val="clear" w:color="auto" w:fill="DBE5F1" w:themeFill="accent1" w:themeFillTint="33"/>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2020</w:t>
            </w:r>
          </w:p>
        </w:tc>
        <w:tc>
          <w:tcPr>
            <w:tcW w:w="422" w:type="pct"/>
            <w:tcBorders>
              <w:top w:val="nil"/>
              <w:left w:val="single" w:sz="4" w:space="0" w:color="auto"/>
              <w:bottom w:val="single" w:sz="8" w:space="0" w:color="auto"/>
              <w:right w:val="single" w:sz="4" w:space="0" w:color="auto"/>
            </w:tcBorders>
            <w:shd w:val="clear" w:color="auto" w:fill="DBE5F1" w:themeFill="accent1" w:themeFillTint="33"/>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2021</w:t>
            </w:r>
          </w:p>
        </w:tc>
        <w:tc>
          <w:tcPr>
            <w:tcW w:w="420" w:type="pct"/>
            <w:tcBorders>
              <w:top w:val="nil"/>
              <w:left w:val="single" w:sz="4" w:space="0" w:color="auto"/>
              <w:bottom w:val="single" w:sz="8" w:space="0" w:color="auto"/>
              <w:right w:val="single" w:sz="4"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2019</w:t>
            </w:r>
          </w:p>
        </w:tc>
        <w:tc>
          <w:tcPr>
            <w:tcW w:w="4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2020</w:t>
            </w:r>
          </w:p>
        </w:tc>
        <w:tc>
          <w:tcPr>
            <w:tcW w:w="42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2021</w:t>
            </w:r>
          </w:p>
        </w:tc>
        <w:tc>
          <w:tcPr>
            <w:tcW w:w="420" w:type="pct"/>
            <w:tcBorders>
              <w:top w:val="single" w:sz="4" w:space="0" w:color="auto"/>
              <w:left w:val="single" w:sz="4" w:space="0" w:color="auto"/>
              <w:bottom w:val="single" w:sz="8" w:space="0" w:color="auto"/>
              <w:right w:val="single" w:sz="4" w:space="0" w:color="auto"/>
            </w:tcBorders>
            <w:shd w:val="clear" w:color="auto" w:fill="DBE5F1" w:themeFill="accent1" w:themeFillTint="33"/>
            <w:vAlign w:val="center"/>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2019</w:t>
            </w:r>
          </w:p>
        </w:tc>
        <w:tc>
          <w:tcPr>
            <w:tcW w:w="468" w:type="pct"/>
            <w:tcBorders>
              <w:top w:val="single" w:sz="4" w:space="0" w:color="auto"/>
              <w:left w:val="single" w:sz="4" w:space="0" w:color="auto"/>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2020</w:t>
            </w:r>
          </w:p>
        </w:tc>
        <w:tc>
          <w:tcPr>
            <w:tcW w:w="421" w:type="pct"/>
            <w:tcBorders>
              <w:top w:val="single" w:sz="4" w:space="0" w:color="auto"/>
              <w:left w:val="nil"/>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cs="Calibri"/>
                <w:b w:val="0"/>
                <w:sz w:val="16"/>
                <w:szCs w:val="16"/>
                <w:lang w:val="en-US" w:eastAsia="en-US"/>
              </w:rPr>
              <w:t>2021</w:t>
            </w:r>
          </w:p>
        </w:tc>
      </w:tr>
      <w:tr w:rsidR="004644E7" w:rsidRPr="007955BB" w:rsidTr="004644E7">
        <w:trPr>
          <w:trHeight w:val="340"/>
        </w:trPr>
        <w:tc>
          <w:tcPr>
            <w:tcW w:w="1117" w:type="pct"/>
            <w:tcBorders>
              <w:top w:val="nil"/>
              <w:left w:val="single" w:sz="8" w:space="0" w:color="auto"/>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left"/>
              <w:rPr>
                <w:rFonts w:cs="Calibri"/>
                <w:b w:val="0"/>
                <w:sz w:val="16"/>
                <w:szCs w:val="16"/>
                <w:lang w:val="en-US" w:eastAsia="en-US"/>
              </w:rPr>
            </w:pPr>
            <w:r w:rsidRPr="007955BB">
              <w:rPr>
                <w:rFonts w:eastAsia="Calibri" w:cs="Calibri"/>
                <w:b w:val="0"/>
                <w:sz w:val="16"/>
                <w:szCs w:val="16"/>
                <w:lang w:val="en-US" w:eastAsia="en-US"/>
              </w:rPr>
              <w:t>«Հայկական ատոմային էլեկտրակայան ՓԲԸ</w:t>
            </w:r>
          </w:p>
        </w:tc>
        <w:tc>
          <w:tcPr>
            <w:tcW w:w="423"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129,767</w:t>
            </w:r>
          </w:p>
        </w:tc>
        <w:tc>
          <w:tcPr>
            <w:tcW w:w="420"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138,842</w:t>
            </w:r>
          </w:p>
        </w:tc>
        <w:tc>
          <w:tcPr>
            <w:tcW w:w="422"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157,490</w:t>
            </w:r>
          </w:p>
        </w:tc>
        <w:tc>
          <w:tcPr>
            <w:tcW w:w="420"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177,642</w:t>
            </w:r>
          </w:p>
        </w:tc>
        <w:tc>
          <w:tcPr>
            <w:tcW w:w="468"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eastAsia="en-US"/>
              </w:rPr>
            </w:pPr>
            <w:r w:rsidRPr="007955BB">
              <w:rPr>
                <w:rFonts w:eastAsia="Calibri" w:cs="Calibri"/>
                <w:b w:val="0"/>
                <w:sz w:val="16"/>
                <w:szCs w:val="16"/>
                <w:lang w:val="en-US" w:eastAsia="en-US"/>
              </w:rPr>
              <w:t>173,541</w:t>
            </w:r>
          </w:p>
        </w:tc>
        <w:tc>
          <w:tcPr>
            <w:tcW w:w="421"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190,102</w:t>
            </w:r>
          </w:p>
        </w:tc>
        <w:tc>
          <w:tcPr>
            <w:tcW w:w="420" w:type="pct"/>
            <w:tcBorders>
              <w:top w:val="nil"/>
              <w:left w:val="nil"/>
              <w:bottom w:val="single" w:sz="8" w:space="0" w:color="auto"/>
              <w:right w:val="single" w:sz="4" w:space="0" w:color="auto"/>
            </w:tcBorders>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47,875</w:t>
            </w:r>
          </w:p>
        </w:tc>
        <w:tc>
          <w:tcPr>
            <w:tcW w:w="468" w:type="pct"/>
            <w:tcBorders>
              <w:top w:val="nil"/>
              <w:left w:val="single" w:sz="4" w:space="0" w:color="auto"/>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34,698</w:t>
            </w:r>
          </w:p>
        </w:tc>
        <w:tc>
          <w:tcPr>
            <w:tcW w:w="421"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32,612</w:t>
            </w:r>
          </w:p>
        </w:tc>
      </w:tr>
      <w:tr w:rsidR="004644E7" w:rsidRPr="007955BB" w:rsidTr="004644E7">
        <w:trPr>
          <w:trHeight w:val="670"/>
        </w:trPr>
        <w:tc>
          <w:tcPr>
            <w:tcW w:w="1117"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left"/>
              <w:rPr>
                <w:rFonts w:cs="Calibri"/>
                <w:b w:val="0"/>
                <w:sz w:val="16"/>
                <w:szCs w:val="16"/>
                <w:lang w:val="en-US" w:eastAsia="en-US"/>
              </w:rPr>
            </w:pPr>
            <w:r w:rsidRPr="007955BB">
              <w:rPr>
                <w:rFonts w:eastAsia="Calibri" w:cs="Calibri"/>
                <w:b w:val="0"/>
                <w:sz w:val="16"/>
                <w:szCs w:val="16"/>
                <w:lang w:val="en-US" w:eastAsia="en-US"/>
              </w:rPr>
              <w:t>«Երևանի ջերմաէլեկտրակենտրոն» ՓԲԸ</w:t>
            </w:r>
          </w:p>
        </w:tc>
        <w:tc>
          <w:tcPr>
            <w:tcW w:w="423"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145,619</w:t>
            </w:r>
          </w:p>
        </w:tc>
        <w:tc>
          <w:tcPr>
            <w:tcW w:w="420"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154,154</w:t>
            </w:r>
          </w:p>
        </w:tc>
        <w:tc>
          <w:tcPr>
            <w:tcW w:w="422"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128,788</w:t>
            </w:r>
          </w:p>
        </w:tc>
        <w:tc>
          <w:tcPr>
            <w:tcW w:w="420"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148,776</w:t>
            </w:r>
          </w:p>
        </w:tc>
        <w:tc>
          <w:tcPr>
            <w:tcW w:w="468"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143,878</w:t>
            </w:r>
          </w:p>
        </w:tc>
        <w:tc>
          <w:tcPr>
            <w:tcW w:w="421"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137,083</w:t>
            </w:r>
          </w:p>
        </w:tc>
        <w:tc>
          <w:tcPr>
            <w:tcW w:w="420" w:type="pct"/>
            <w:tcBorders>
              <w:top w:val="nil"/>
              <w:left w:val="nil"/>
              <w:bottom w:val="single" w:sz="8" w:space="0" w:color="auto"/>
              <w:right w:val="single" w:sz="4" w:space="0" w:color="auto"/>
            </w:tcBorders>
            <w:shd w:val="clear" w:color="auto" w:fill="DBE5F1" w:themeFill="accent1" w:themeFillTint="33"/>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3,157</w:t>
            </w:r>
          </w:p>
        </w:tc>
        <w:tc>
          <w:tcPr>
            <w:tcW w:w="468" w:type="pct"/>
            <w:tcBorders>
              <w:top w:val="nil"/>
              <w:left w:val="single" w:sz="4" w:space="0" w:color="auto"/>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(10,276)</w:t>
            </w:r>
          </w:p>
        </w:tc>
        <w:tc>
          <w:tcPr>
            <w:tcW w:w="421"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8,295</w:t>
            </w:r>
          </w:p>
        </w:tc>
      </w:tr>
      <w:tr w:rsidR="004644E7" w:rsidRPr="007955BB" w:rsidTr="004644E7">
        <w:trPr>
          <w:trHeight w:val="670"/>
        </w:trPr>
        <w:tc>
          <w:tcPr>
            <w:tcW w:w="1117" w:type="pct"/>
            <w:tcBorders>
              <w:top w:val="nil"/>
              <w:left w:val="single" w:sz="8" w:space="0" w:color="auto"/>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left"/>
              <w:rPr>
                <w:rFonts w:cs="Calibri"/>
                <w:b w:val="0"/>
                <w:sz w:val="16"/>
                <w:szCs w:val="16"/>
                <w:lang w:val="en-US" w:eastAsia="en-US"/>
              </w:rPr>
            </w:pPr>
            <w:r w:rsidRPr="007955BB">
              <w:rPr>
                <w:rFonts w:eastAsia="Calibri" w:cs="Calibri"/>
                <w:b w:val="0"/>
                <w:sz w:val="16"/>
                <w:szCs w:val="16"/>
                <w:lang w:val="en-US" w:eastAsia="en-US"/>
              </w:rPr>
              <w:t>«Բարձրավոլտ էլեկտրական ցանցեր ՓԲԸ</w:t>
            </w:r>
          </w:p>
        </w:tc>
        <w:tc>
          <w:tcPr>
            <w:tcW w:w="423"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93,894</w:t>
            </w:r>
          </w:p>
        </w:tc>
        <w:tc>
          <w:tcPr>
            <w:tcW w:w="420"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116,006</w:t>
            </w:r>
          </w:p>
        </w:tc>
        <w:tc>
          <w:tcPr>
            <w:tcW w:w="422"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104,466</w:t>
            </w:r>
          </w:p>
        </w:tc>
        <w:tc>
          <w:tcPr>
            <w:tcW w:w="420"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119,756</w:t>
            </w:r>
          </w:p>
        </w:tc>
        <w:tc>
          <w:tcPr>
            <w:tcW w:w="468"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131,268</w:t>
            </w:r>
          </w:p>
        </w:tc>
        <w:tc>
          <w:tcPr>
            <w:tcW w:w="421"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128,700</w:t>
            </w:r>
          </w:p>
        </w:tc>
        <w:tc>
          <w:tcPr>
            <w:tcW w:w="420" w:type="pct"/>
            <w:tcBorders>
              <w:top w:val="nil"/>
              <w:left w:val="nil"/>
              <w:bottom w:val="single" w:sz="8" w:space="0" w:color="auto"/>
              <w:right w:val="single" w:sz="4" w:space="0" w:color="auto"/>
            </w:tcBorders>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25,862</w:t>
            </w:r>
          </w:p>
        </w:tc>
        <w:tc>
          <w:tcPr>
            <w:tcW w:w="468" w:type="pct"/>
            <w:tcBorders>
              <w:top w:val="nil"/>
              <w:left w:val="single" w:sz="4" w:space="0" w:color="auto"/>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15,262</w:t>
            </w:r>
          </w:p>
        </w:tc>
        <w:tc>
          <w:tcPr>
            <w:tcW w:w="421"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24,234</w:t>
            </w:r>
          </w:p>
        </w:tc>
      </w:tr>
      <w:tr w:rsidR="004644E7" w:rsidRPr="007955BB" w:rsidTr="004644E7">
        <w:trPr>
          <w:trHeight w:val="466"/>
        </w:trPr>
        <w:tc>
          <w:tcPr>
            <w:tcW w:w="1117" w:type="pct"/>
            <w:tcBorders>
              <w:top w:val="nil"/>
              <w:left w:val="single" w:sz="8" w:space="0" w:color="auto"/>
              <w:bottom w:val="single" w:sz="4"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left"/>
              <w:rPr>
                <w:rFonts w:cs="Calibri"/>
                <w:b w:val="0"/>
                <w:sz w:val="16"/>
                <w:szCs w:val="16"/>
                <w:lang w:val="hy-AM" w:eastAsia="en-US"/>
              </w:rPr>
            </w:pPr>
            <w:r w:rsidRPr="007955BB">
              <w:rPr>
                <w:rFonts w:eastAsia="Calibri" w:cs="Calibri"/>
                <w:b w:val="0"/>
                <w:sz w:val="16"/>
                <w:szCs w:val="16"/>
                <w:lang w:val="hy-AM" w:eastAsia="en-US"/>
              </w:rPr>
              <w:t>«</w:t>
            </w:r>
            <w:r w:rsidRPr="007955BB">
              <w:rPr>
                <w:rFonts w:eastAsia="Calibri" w:cs="Calibri"/>
                <w:b w:val="0"/>
                <w:sz w:val="16"/>
                <w:szCs w:val="16"/>
                <w:lang w:val="en-US" w:eastAsia="en-US"/>
              </w:rPr>
              <w:t>Երևանի ավտոբուս</w:t>
            </w:r>
            <w:r w:rsidRPr="007955BB">
              <w:rPr>
                <w:rFonts w:eastAsia="Calibri" w:cs="Calibri"/>
                <w:b w:val="0"/>
                <w:sz w:val="16"/>
                <w:szCs w:val="16"/>
                <w:lang w:val="hy-AM" w:eastAsia="en-US"/>
              </w:rPr>
              <w:t>» ՓԲԸ</w:t>
            </w:r>
          </w:p>
        </w:tc>
        <w:tc>
          <w:tcPr>
            <w:tcW w:w="423" w:type="pct"/>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1,004</w:t>
            </w:r>
          </w:p>
        </w:tc>
        <w:tc>
          <w:tcPr>
            <w:tcW w:w="420" w:type="pct"/>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2,518</w:t>
            </w:r>
          </w:p>
        </w:tc>
        <w:tc>
          <w:tcPr>
            <w:tcW w:w="422" w:type="pct"/>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13,276</w:t>
            </w:r>
          </w:p>
        </w:tc>
        <w:tc>
          <w:tcPr>
            <w:tcW w:w="420" w:type="pct"/>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4,238</w:t>
            </w:r>
          </w:p>
        </w:tc>
        <w:tc>
          <w:tcPr>
            <w:tcW w:w="468" w:type="pct"/>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2,097</w:t>
            </w:r>
          </w:p>
        </w:tc>
        <w:tc>
          <w:tcPr>
            <w:tcW w:w="421" w:type="pct"/>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13,215</w:t>
            </w:r>
          </w:p>
        </w:tc>
        <w:tc>
          <w:tcPr>
            <w:tcW w:w="420" w:type="pct"/>
            <w:tcBorders>
              <w:top w:val="nil"/>
              <w:left w:val="nil"/>
              <w:bottom w:val="single" w:sz="4" w:space="0" w:color="auto"/>
              <w:right w:val="single" w:sz="4" w:space="0" w:color="auto"/>
            </w:tcBorders>
            <w:shd w:val="clear" w:color="auto" w:fill="DBE5F1" w:themeFill="accent1" w:themeFillTint="33"/>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395</w:t>
            </w:r>
          </w:p>
        </w:tc>
        <w:tc>
          <w:tcPr>
            <w:tcW w:w="468" w:type="pct"/>
            <w:tcBorders>
              <w:top w:val="nil"/>
              <w:left w:val="single" w:sz="4" w:space="0" w:color="auto"/>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22</w:t>
            </w:r>
          </w:p>
        </w:tc>
        <w:tc>
          <w:tcPr>
            <w:tcW w:w="421" w:type="pct"/>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(61)</w:t>
            </w:r>
          </w:p>
        </w:tc>
      </w:tr>
      <w:tr w:rsidR="004644E7" w:rsidRPr="007955BB" w:rsidTr="004644E7">
        <w:trPr>
          <w:trHeight w:val="151"/>
        </w:trPr>
        <w:tc>
          <w:tcPr>
            <w:tcW w:w="11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4E7" w:rsidRPr="007955BB" w:rsidRDefault="004644E7" w:rsidP="004644E7">
            <w:pPr>
              <w:spacing w:before="0" w:line="276" w:lineRule="auto"/>
              <w:ind w:firstLine="0"/>
              <w:contextualSpacing w:val="0"/>
              <w:jc w:val="left"/>
              <w:rPr>
                <w:rFonts w:cs="Calibri"/>
                <w:b w:val="0"/>
                <w:sz w:val="16"/>
                <w:szCs w:val="16"/>
                <w:lang w:eastAsia="en-US"/>
              </w:rPr>
            </w:pPr>
            <w:r w:rsidRPr="007955BB">
              <w:rPr>
                <w:rFonts w:eastAsia="Calibri" w:cs="Calibri"/>
                <w:b w:val="0"/>
                <w:sz w:val="16"/>
                <w:szCs w:val="16"/>
                <w:lang w:val="en-US" w:eastAsia="en-US"/>
              </w:rPr>
              <w:t>Սուրբ</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Գրիգոր</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Լուսավորիչ</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բժշկական</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կենտրոն</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ՓԲԸ</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2,454</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8,265</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12,183</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11,617</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17,378</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20,329</w:t>
            </w:r>
          </w:p>
        </w:tc>
        <w:tc>
          <w:tcPr>
            <w:tcW w:w="420" w:type="pct"/>
            <w:tcBorders>
              <w:top w:val="single" w:sz="4" w:space="0" w:color="auto"/>
              <w:left w:val="single" w:sz="4" w:space="0" w:color="auto"/>
              <w:bottom w:val="single" w:sz="4" w:space="0" w:color="auto"/>
              <w:right w:val="single" w:sz="4" w:space="0" w:color="auto"/>
            </w:tcBorders>
          </w:tcPr>
          <w:p w:rsidR="004644E7" w:rsidRPr="007955BB" w:rsidRDefault="004644E7" w:rsidP="004644E7">
            <w:pPr>
              <w:spacing w:before="0" w:line="276" w:lineRule="auto"/>
              <w:ind w:firstLine="0"/>
              <w:contextualSpacing w:val="0"/>
              <w:jc w:val="right"/>
              <w:rPr>
                <w:rFonts w:eastAsia="Calibri" w:cs="Calibri"/>
                <w:b w:val="0"/>
                <w:sz w:val="16"/>
                <w:szCs w:val="16"/>
                <w:lang w:val="hy-AM"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hy-AM"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hy-AM" w:eastAsia="en-US"/>
              </w:rPr>
            </w:pPr>
            <w:r w:rsidRPr="007955BB">
              <w:rPr>
                <w:rFonts w:eastAsia="Calibri" w:cs="Calibri"/>
                <w:b w:val="0"/>
                <w:sz w:val="16"/>
                <w:szCs w:val="16"/>
                <w:lang w:val="hy-AM" w:eastAsia="en-US"/>
              </w:rPr>
              <w:t>9,163</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9,113</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8,146</w:t>
            </w:r>
          </w:p>
        </w:tc>
      </w:tr>
      <w:tr w:rsidR="004644E7" w:rsidRPr="007955BB" w:rsidTr="004644E7">
        <w:trPr>
          <w:trHeight w:val="377"/>
        </w:trPr>
        <w:tc>
          <w:tcPr>
            <w:tcW w:w="1117" w:type="pct"/>
            <w:tcBorders>
              <w:top w:val="single" w:sz="4"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left"/>
              <w:rPr>
                <w:rFonts w:cs="Calibri"/>
                <w:b w:val="0"/>
                <w:sz w:val="16"/>
                <w:szCs w:val="16"/>
                <w:lang w:val="en-US" w:eastAsia="en-US"/>
              </w:rPr>
            </w:pPr>
            <w:r w:rsidRPr="007955BB">
              <w:rPr>
                <w:rFonts w:eastAsia="Calibri" w:cs="Calibri"/>
                <w:b w:val="0"/>
                <w:sz w:val="16"/>
                <w:szCs w:val="16"/>
                <w:lang w:val="en-US" w:eastAsia="en-US"/>
              </w:rPr>
              <w:t>Հայփոստ» ՓԲԸ</w:t>
            </w:r>
          </w:p>
        </w:tc>
        <w:tc>
          <w:tcPr>
            <w:tcW w:w="423" w:type="pct"/>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10,427</w:t>
            </w:r>
          </w:p>
        </w:tc>
        <w:tc>
          <w:tcPr>
            <w:tcW w:w="420" w:type="pct"/>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11,248</w:t>
            </w:r>
          </w:p>
        </w:tc>
        <w:tc>
          <w:tcPr>
            <w:tcW w:w="422" w:type="pct"/>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10,746</w:t>
            </w:r>
          </w:p>
        </w:tc>
        <w:tc>
          <w:tcPr>
            <w:tcW w:w="420" w:type="pct"/>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24,342</w:t>
            </w:r>
          </w:p>
        </w:tc>
        <w:tc>
          <w:tcPr>
            <w:tcW w:w="468" w:type="pct"/>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24,621</w:t>
            </w:r>
          </w:p>
        </w:tc>
        <w:tc>
          <w:tcPr>
            <w:tcW w:w="421" w:type="pct"/>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23,189</w:t>
            </w:r>
          </w:p>
        </w:tc>
        <w:tc>
          <w:tcPr>
            <w:tcW w:w="420" w:type="pct"/>
            <w:tcBorders>
              <w:top w:val="single" w:sz="4" w:space="0" w:color="auto"/>
              <w:left w:val="nil"/>
              <w:bottom w:val="single" w:sz="8" w:space="0" w:color="auto"/>
              <w:right w:val="single" w:sz="4" w:space="0" w:color="auto"/>
            </w:tcBorders>
            <w:shd w:val="clear" w:color="auto" w:fill="DBE5F1" w:themeFill="accent1" w:themeFillTint="33"/>
          </w:tcPr>
          <w:p w:rsidR="004644E7" w:rsidRPr="007955BB" w:rsidRDefault="004644E7" w:rsidP="004644E7">
            <w:pPr>
              <w:spacing w:before="0" w:line="276" w:lineRule="auto"/>
              <w:ind w:firstLine="0"/>
              <w:contextualSpacing w:val="0"/>
              <w:jc w:val="right"/>
              <w:rPr>
                <w:rFonts w:eastAsia="Calibri" w:cs="Calibri"/>
                <w:b w:val="0"/>
                <w:sz w:val="16"/>
                <w:szCs w:val="16"/>
                <w:lang w:val="hy-AM"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hy-AM" w:eastAsia="en-US"/>
              </w:rPr>
            </w:pPr>
            <w:r w:rsidRPr="007955BB">
              <w:rPr>
                <w:rFonts w:eastAsia="Calibri" w:cs="Calibri"/>
                <w:b w:val="0"/>
                <w:sz w:val="16"/>
                <w:szCs w:val="16"/>
                <w:lang w:val="hy-AM" w:eastAsia="en-US"/>
              </w:rPr>
              <w:t>13,915</w:t>
            </w:r>
          </w:p>
        </w:tc>
        <w:tc>
          <w:tcPr>
            <w:tcW w:w="468" w:type="pct"/>
            <w:tcBorders>
              <w:top w:val="single" w:sz="4" w:space="0" w:color="auto"/>
              <w:left w:val="single" w:sz="4" w:space="0" w:color="auto"/>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13,373</w:t>
            </w:r>
          </w:p>
        </w:tc>
        <w:tc>
          <w:tcPr>
            <w:tcW w:w="421" w:type="pct"/>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12,443</w:t>
            </w:r>
          </w:p>
        </w:tc>
      </w:tr>
      <w:tr w:rsidR="004644E7" w:rsidRPr="007955BB" w:rsidTr="004644E7">
        <w:trPr>
          <w:trHeight w:val="670"/>
        </w:trPr>
        <w:tc>
          <w:tcPr>
            <w:tcW w:w="1117" w:type="pct"/>
            <w:tcBorders>
              <w:top w:val="nil"/>
              <w:left w:val="single" w:sz="8" w:space="0" w:color="auto"/>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left"/>
              <w:rPr>
                <w:rFonts w:cs="Calibri"/>
                <w:b w:val="0"/>
                <w:sz w:val="16"/>
                <w:szCs w:val="16"/>
                <w:lang w:eastAsia="en-US"/>
              </w:rPr>
            </w:pPr>
            <w:r w:rsidRPr="007955BB">
              <w:rPr>
                <w:rFonts w:eastAsia="Calibri" w:cs="Calibri"/>
                <w:b w:val="0"/>
                <w:sz w:val="16"/>
                <w:szCs w:val="16"/>
                <w:lang w:val="en-US" w:eastAsia="en-US"/>
              </w:rPr>
              <w:t>Կարեն</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Դեմիրճյանի</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անվան</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Երևանի</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մետրոպոլիտեն</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ՓԲԸ</w:t>
            </w:r>
          </w:p>
        </w:tc>
        <w:tc>
          <w:tcPr>
            <w:tcW w:w="423"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10,125</w:t>
            </w:r>
          </w:p>
        </w:tc>
        <w:tc>
          <w:tcPr>
            <w:tcW w:w="420"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10,178</w:t>
            </w:r>
          </w:p>
        </w:tc>
        <w:tc>
          <w:tcPr>
            <w:tcW w:w="422"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9,231</w:t>
            </w:r>
          </w:p>
        </w:tc>
        <w:tc>
          <w:tcPr>
            <w:tcW w:w="420"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16,104</w:t>
            </w:r>
          </w:p>
        </w:tc>
        <w:tc>
          <w:tcPr>
            <w:tcW w:w="468"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14,936</w:t>
            </w:r>
          </w:p>
        </w:tc>
        <w:tc>
          <w:tcPr>
            <w:tcW w:w="421"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15,296</w:t>
            </w:r>
          </w:p>
        </w:tc>
        <w:tc>
          <w:tcPr>
            <w:tcW w:w="420" w:type="pct"/>
            <w:tcBorders>
              <w:top w:val="nil"/>
              <w:left w:val="nil"/>
              <w:bottom w:val="single" w:sz="8" w:space="0" w:color="auto"/>
              <w:right w:val="single" w:sz="4" w:space="0" w:color="auto"/>
            </w:tcBorders>
          </w:tcPr>
          <w:p w:rsidR="004644E7" w:rsidRPr="007955BB" w:rsidRDefault="004644E7" w:rsidP="004644E7">
            <w:pPr>
              <w:spacing w:before="0" w:line="276" w:lineRule="auto"/>
              <w:ind w:firstLine="0"/>
              <w:contextualSpacing w:val="0"/>
              <w:jc w:val="right"/>
              <w:rPr>
                <w:rFonts w:eastAsia="Calibri" w:cs="Calibri"/>
                <w:b w:val="0"/>
                <w:sz w:val="16"/>
                <w:szCs w:val="16"/>
                <w:lang w:val="hy-AM"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hy-AM"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hy-AM" w:eastAsia="en-US"/>
              </w:rPr>
            </w:pPr>
            <w:r w:rsidRPr="007955BB">
              <w:rPr>
                <w:rFonts w:eastAsia="Calibri" w:cs="Calibri"/>
                <w:b w:val="0"/>
                <w:sz w:val="16"/>
                <w:szCs w:val="16"/>
                <w:lang w:val="hy-AM" w:eastAsia="en-US"/>
              </w:rPr>
              <w:t>5,979</w:t>
            </w:r>
          </w:p>
        </w:tc>
        <w:tc>
          <w:tcPr>
            <w:tcW w:w="468" w:type="pct"/>
            <w:tcBorders>
              <w:top w:val="nil"/>
              <w:left w:val="single" w:sz="4" w:space="0" w:color="auto"/>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4,759</w:t>
            </w:r>
          </w:p>
        </w:tc>
        <w:tc>
          <w:tcPr>
            <w:tcW w:w="421"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6,066</w:t>
            </w:r>
          </w:p>
        </w:tc>
      </w:tr>
      <w:tr w:rsidR="004644E7" w:rsidRPr="007955BB" w:rsidTr="004644E7">
        <w:trPr>
          <w:trHeight w:val="670"/>
        </w:trPr>
        <w:tc>
          <w:tcPr>
            <w:tcW w:w="1117"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left"/>
              <w:rPr>
                <w:rFonts w:cs="Calibri"/>
                <w:b w:val="0"/>
                <w:sz w:val="16"/>
                <w:szCs w:val="16"/>
                <w:lang w:val="en-US" w:eastAsia="en-US"/>
              </w:rPr>
            </w:pPr>
            <w:r w:rsidRPr="007955BB">
              <w:rPr>
                <w:rFonts w:eastAsia="Calibri" w:cs="Calibri"/>
                <w:b w:val="0"/>
                <w:sz w:val="16"/>
                <w:szCs w:val="16"/>
                <w:lang w:val="en-US" w:eastAsia="en-US"/>
              </w:rPr>
              <w:t>«Էլեկտրաէներգետիկական համակարգի օպերատոր» ՓԲԸ</w:t>
            </w:r>
          </w:p>
        </w:tc>
        <w:tc>
          <w:tcPr>
            <w:tcW w:w="423"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9,107 </w:t>
            </w:r>
          </w:p>
        </w:tc>
        <w:tc>
          <w:tcPr>
            <w:tcW w:w="420"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10,346 </w:t>
            </w:r>
          </w:p>
        </w:tc>
        <w:tc>
          <w:tcPr>
            <w:tcW w:w="422"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9,173 </w:t>
            </w:r>
          </w:p>
        </w:tc>
        <w:tc>
          <w:tcPr>
            <w:tcW w:w="420"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13,809 </w:t>
            </w:r>
          </w:p>
        </w:tc>
        <w:tc>
          <w:tcPr>
            <w:tcW w:w="468"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14,190 </w:t>
            </w:r>
          </w:p>
        </w:tc>
        <w:tc>
          <w:tcPr>
            <w:tcW w:w="421"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14,249 </w:t>
            </w:r>
          </w:p>
        </w:tc>
        <w:tc>
          <w:tcPr>
            <w:tcW w:w="420" w:type="pct"/>
            <w:tcBorders>
              <w:top w:val="nil"/>
              <w:left w:val="nil"/>
              <w:bottom w:val="single" w:sz="8" w:space="0" w:color="auto"/>
              <w:right w:val="single" w:sz="4" w:space="0" w:color="auto"/>
            </w:tcBorders>
            <w:shd w:val="clear" w:color="auto" w:fill="DBE5F1" w:themeFill="accent1" w:themeFillTint="33"/>
          </w:tcPr>
          <w:p w:rsidR="004644E7" w:rsidRPr="007955BB" w:rsidRDefault="004644E7" w:rsidP="004644E7">
            <w:pPr>
              <w:spacing w:before="0" w:line="276" w:lineRule="auto"/>
              <w:ind w:firstLine="0"/>
              <w:contextualSpacing w:val="0"/>
              <w:jc w:val="right"/>
              <w:rPr>
                <w:rFonts w:eastAsia="Calibri" w:cs="Calibri"/>
                <w:b w:val="0"/>
                <w:sz w:val="16"/>
                <w:szCs w:val="16"/>
                <w:lang w:val="hy-AM"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hy-AM"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hy-AM" w:eastAsia="en-US"/>
              </w:rPr>
            </w:pPr>
            <w:r w:rsidRPr="007955BB">
              <w:rPr>
                <w:rFonts w:eastAsia="Calibri" w:cs="Calibri"/>
                <w:b w:val="0"/>
                <w:sz w:val="16"/>
                <w:szCs w:val="16"/>
                <w:lang w:val="hy-AM" w:eastAsia="en-US"/>
              </w:rPr>
              <w:t>4,702</w:t>
            </w:r>
          </w:p>
        </w:tc>
        <w:tc>
          <w:tcPr>
            <w:tcW w:w="468" w:type="pct"/>
            <w:tcBorders>
              <w:top w:val="nil"/>
              <w:left w:val="single" w:sz="4" w:space="0" w:color="auto"/>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3,844 </w:t>
            </w:r>
          </w:p>
        </w:tc>
        <w:tc>
          <w:tcPr>
            <w:tcW w:w="421"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5,076 </w:t>
            </w:r>
          </w:p>
        </w:tc>
      </w:tr>
      <w:tr w:rsidR="004644E7" w:rsidRPr="007955BB" w:rsidTr="004644E7">
        <w:trPr>
          <w:trHeight w:val="376"/>
        </w:trPr>
        <w:tc>
          <w:tcPr>
            <w:tcW w:w="1117" w:type="pct"/>
            <w:tcBorders>
              <w:top w:val="nil"/>
              <w:left w:val="single" w:sz="8" w:space="0" w:color="auto"/>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left"/>
              <w:rPr>
                <w:rFonts w:cs="Calibri"/>
                <w:b w:val="0"/>
                <w:sz w:val="16"/>
                <w:szCs w:val="16"/>
                <w:lang w:val="en-US" w:eastAsia="en-US"/>
              </w:rPr>
            </w:pPr>
            <w:r w:rsidRPr="007955BB">
              <w:rPr>
                <w:rFonts w:eastAsia="Calibri" w:cs="Calibri"/>
                <w:b w:val="0"/>
                <w:sz w:val="16"/>
                <w:szCs w:val="16"/>
                <w:lang w:val="en-US" w:eastAsia="en-US"/>
              </w:rPr>
              <w:t>Նաիրիտ-2» ՓԲԸ</w:t>
            </w:r>
          </w:p>
        </w:tc>
        <w:tc>
          <w:tcPr>
            <w:tcW w:w="423"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6,110 </w:t>
            </w:r>
          </w:p>
        </w:tc>
        <w:tc>
          <w:tcPr>
            <w:tcW w:w="420"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6,117 </w:t>
            </w:r>
          </w:p>
        </w:tc>
        <w:tc>
          <w:tcPr>
            <w:tcW w:w="422"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6,166 </w:t>
            </w:r>
          </w:p>
        </w:tc>
        <w:tc>
          <w:tcPr>
            <w:tcW w:w="420"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15,284 </w:t>
            </w:r>
          </w:p>
        </w:tc>
        <w:tc>
          <w:tcPr>
            <w:tcW w:w="468"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14,609 </w:t>
            </w:r>
          </w:p>
        </w:tc>
        <w:tc>
          <w:tcPr>
            <w:tcW w:w="421"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13,580 </w:t>
            </w:r>
          </w:p>
        </w:tc>
        <w:tc>
          <w:tcPr>
            <w:tcW w:w="420" w:type="pct"/>
            <w:tcBorders>
              <w:top w:val="nil"/>
              <w:left w:val="nil"/>
              <w:bottom w:val="single" w:sz="8" w:space="0" w:color="auto"/>
              <w:right w:val="single" w:sz="4" w:space="0" w:color="auto"/>
            </w:tcBorders>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9,174</w:t>
            </w:r>
          </w:p>
        </w:tc>
        <w:tc>
          <w:tcPr>
            <w:tcW w:w="468" w:type="pct"/>
            <w:tcBorders>
              <w:top w:val="nil"/>
              <w:left w:val="single" w:sz="4" w:space="0" w:color="auto"/>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8,492 </w:t>
            </w:r>
          </w:p>
        </w:tc>
        <w:tc>
          <w:tcPr>
            <w:tcW w:w="421"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7,414 </w:t>
            </w:r>
          </w:p>
        </w:tc>
      </w:tr>
      <w:tr w:rsidR="004644E7" w:rsidRPr="007955BB" w:rsidTr="004644E7">
        <w:trPr>
          <w:trHeight w:val="394"/>
        </w:trPr>
        <w:tc>
          <w:tcPr>
            <w:tcW w:w="1117"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left"/>
              <w:rPr>
                <w:rFonts w:cs="Calibri"/>
                <w:b w:val="0"/>
                <w:sz w:val="16"/>
                <w:szCs w:val="16"/>
                <w:lang w:eastAsia="en-US"/>
              </w:rPr>
            </w:pPr>
            <w:r w:rsidRPr="007955BB">
              <w:rPr>
                <w:rFonts w:eastAsia="Calibri" w:cs="Calibri"/>
                <w:b w:val="0"/>
                <w:sz w:val="16"/>
                <w:szCs w:val="16"/>
                <w:lang w:val="en-US" w:eastAsia="en-US"/>
              </w:rPr>
              <w:t>Նորք</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Մարաշ</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բժշկական</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կենտրոն</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ՓԲԸ</w:t>
            </w:r>
          </w:p>
        </w:tc>
        <w:tc>
          <w:tcPr>
            <w:tcW w:w="423"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eastAsia="en-US"/>
              </w:rPr>
              <w:t xml:space="preserve"> </w:t>
            </w:r>
            <w:r w:rsidRPr="007955BB">
              <w:rPr>
                <w:rFonts w:eastAsia="Calibri" w:cs="Calibri"/>
                <w:b w:val="0"/>
                <w:sz w:val="16"/>
                <w:szCs w:val="16"/>
                <w:lang w:val="en-US" w:eastAsia="en-US"/>
              </w:rPr>
              <w:t xml:space="preserve">5,741 </w:t>
            </w:r>
          </w:p>
        </w:tc>
        <w:tc>
          <w:tcPr>
            <w:tcW w:w="420"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6,321 </w:t>
            </w:r>
          </w:p>
        </w:tc>
        <w:tc>
          <w:tcPr>
            <w:tcW w:w="422"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5,633 </w:t>
            </w:r>
          </w:p>
        </w:tc>
        <w:tc>
          <w:tcPr>
            <w:tcW w:w="420"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5,822 </w:t>
            </w:r>
          </w:p>
        </w:tc>
        <w:tc>
          <w:tcPr>
            <w:tcW w:w="468"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5,542 </w:t>
            </w:r>
          </w:p>
        </w:tc>
        <w:tc>
          <w:tcPr>
            <w:tcW w:w="421"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5,506 </w:t>
            </w:r>
          </w:p>
        </w:tc>
        <w:tc>
          <w:tcPr>
            <w:tcW w:w="420" w:type="pct"/>
            <w:tcBorders>
              <w:top w:val="nil"/>
              <w:left w:val="nil"/>
              <w:bottom w:val="single" w:sz="8" w:space="0" w:color="auto"/>
              <w:right w:val="single" w:sz="4" w:space="0" w:color="auto"/>
            </w:tcBorders>
            <w:shd w:val="clear" w:color="auto" w:fill="DBE5F1" w:themeFill="accent1" w:themeFillTint="33"/>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80</w:t>
            </w:r>
          </w:p>
        </w:tc>
        <w:tc>
          <w:tcPr>
            <w:tcW w:w="468" w:type="pct"/>
            <w:tcBorders>
              <w:top w:val="nil"/>
              <w:left w:val="single" w:sz="4" w:space="0" w:color="auto"/>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(779)</w:t>
            </w:r>
          </w:p>
        </w:tc>
        <w:tc>
          <w:tcPr>
            <w:tcW w:w="421"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(127)</w:t>
            </w:r>
          </w:p>
        </w:tc>
      </w:tr>
      <w:tr w:rsidR="004644E7" w:rsidRPr="007955BB" w:rsidTr="004644E7">
        <w:trPr>
          <w:trHeight w:val="799"/>
        </w:trPr>
        <w:tc>
          <w:tcPr>
            <w:tcW w:w="1117" w:type="pct"/>
            <w:tcBorders>
              <w:top w:val="nil"/>
              <w:left w:val="single" w:sz="8" w:space="0" w:color="auto"/>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left"/>
              <w:rPr>
                <w:rFonts w:cs="Calibri"/>
                <w:b w:val="0"/>
                <w:sz w:val="16"/>
                <w:szCs w:val="16"/>
                <w:lang w:eastAsia="en-US"/>
              </w:rPr>
            </w:pPr>
            <w:r w:rsidRPr="007955BB">
              <w:rPr>
                <w:rFonts w:eastAsia="Calibri" w:cs="Calibri"/>
                <w:b w:val="0"/>
                <w:sz w:val="16"/>
                <w:szCs w:val="16"/>
                <w:lang w:eastAsia="en-US"/>
              </w:rPr>
              <w:t>«</w:t>
            </w:r>
            <w:r w:rsidRPr="007955BB">
              <w:rPr>
                <w:rFonts w:eastAsia="Calibri" w:cs="Calibri"/>
                <w:b w:val="0"/>
                <w:sz w:val="16"/>
                <w:szCs w:val="16"/>
                <w:lang w:val="en-US" w:eastAsia="en-US"/>
              </w:rPr>
              <w:t>Վ</w:t>
            </w:r>
            <w:r w:rsidRPr="007955BB">
              <w:rPr>
                <w:rFonts w:eastAsia="Calibri" w:cs="Calibri"/>
                <w:b w:val="0"/>
                <w:sz w:val="16"/>
                <w:szCs w:val="16"/>
                <w:lang w:eastAsia="en-US"/>
              </w:rPr>
              <w:t>.</w:t>
            </w:r>
            <w:r w:rsidRPr="007955BB">
              <w:rPr>
                <w:rFonts w:eastAsia="Calibri" w:cs="Calibri"/>
                <w:b w:val="0"/>
                <w:sz w:val="16"/>
                <w:szCs w:val="16"/>
                <w:lang w:val="en-US" w:eastAsia="en-US"/>
              </w:rPr>
              <w:t>Ա</w:t>
            </w:r>
            <w:r w:rsidRPr="007955BB">
              <w:rPr>
                <w:rFonts w:eastAsia="Calibri" w:cs="Calibri"/>
                <w:b w:val="0"/>
                <w:sz w:val="16"/>
                <w:szCs w:val="16"/>
                <w:lang w:eastAsia="en-US"/>
              </w:rPr>
              <w:t>.</w:t>
            </w:r>
            <w:r w:rsidRPr="007955BB">
              <w:rPr>
                <w:rFonts w:eastAsia="Calibri" w:cs="Calibri"/>
                <w:b w:val="0"/>
                <w:sz w:val="16"/>
                <w:szCs w:val="16"/>
                <w:lang w:val="en-US" w:eastAsia="en-US"/>
              </w:rPr>
              <w:t>Ֆանարջյանի</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անվան</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ուռուցքաբանության</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ազգային</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կենտրոն</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ՓԲԸ</w:t>
            </w:r>
          </w:p>
        </w:tc>
        <w:tc>
          <w:tcPr>
            <w:tcW w:w="423"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6,150 </w:t>
            </w:r>
          </w:p>
        </w:tc>
        <w:tc>
          <w:tcPr>
            <w:tcW w:w="420"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4,064 </w:t>
            </w:r>
          </w:p>
        </w:tc>
        <w:tc>
          <w:tcPr>
            <w:tcW w:w="422"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4,495 </w:t>
            </w:r>
          </w:p>
        </w:tc>
        <w:tc>
          <w:tcPr>
            <w:tcW w:w="420"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6,150 </w:t>
            </w:r>
          </w:p>
        </w:tc>
        <w:tc>
          <w:tcPr>
            <w:tcW w:w="468"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6,893 </w:t>
            </w:r>
          </w:p>
        </w:tc>
        <w:tc>
          <w:tcPr>
            <w:tcW w:w="421"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10,676 </w:t>
            </w:r>
          </w:p>
        </w:tc>
        <w:tc>
          <w:tcPr>
            <w:tcW w:w="420" w:type="pct"/>
            <w:tcBorders>
              <w:top w:val="nil"/>
              <w:left w:val="nil"/>
              <w:bottom w:val="single" w:sz="8" w:space="0" w:color="auto"/>
              <w:right w:val="single" w:sz="4" w:space="0" w:color="auto"/>
            </w:tcBorders>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2,968</w:t>
            </w:r>
          </w:p>
        </w:tc>
        <w:tc>
          <w:tcPr>
            <w:tcW w:w="468" w:type="pct"/>
            <w:tcBorders>
              <w:top w:val="nil"/>
              <w:left w:val="single" w:sz="4" w:space="0" w:color="auto"/>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2,829 </w:t>
            </w:r>
          </w:p>
        </w:tc>
        <w:tc>
          <w:tcPr>
            <w:tcW w:w="421"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6,180 </w:t>
            </w:r>
          </w:p>
        </w:tc>
      </w:tr>
      <w:tr w:rsidR="004644E7" w:rsidRPr="007955BB" w:rsidTr="004644E7">
        <w:trPr>
          <w:trHeight w:val="421"/>
        </w:trPr>
        <w:tc>
          <w:tcPr>
            <w:tcW w:w="1117" w:type="pct"/>
            <w:tcBorders>
              <w:top w:val="nil"/>
              <w:left w:val="single" w:sz="8" w:space="0" w:color="auto"/>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left"/>
              <w:rPr>
                <w:rFonts w:cs="Calibri"/>
                <w:b w:val="0"/>
                <w:sz w:val="16"/>
                <w:szCs w:val="16"/>
                <w:lang w:val="hy-AM" w:eastAsia="en-US"/>
              </w:rPr>
            </w:pPr>
            <w:r w:rsidRPr="007955BB">
              <w:rPr>
                <w:rFonts w:eastAsia="Calibri" w:cs="Calibri"/>
                <w:b w:val="0"/>
                <w:sz w:val="16"/>
                <w:szCs w:val="16"/>
                <w:lang w:val="hy-AM" w:eastAsia="en-US"/>
              </w:rPr>
              <w:t>«</w:t>
            </w:r>
            <w:r w:rsidRPr="007955BB">
              <w:rPr>
                <w:rFonts w:eastAsia="Calibri" w:cs="Calibri"/>
                <w:b w:val="0"/>
                <w:sz w:val="16"/>
                <w:szCs w:val="16"/>
                <w:lang w:val="en-US" w:eastAsia="en-US"/>
              </w:rPr>
              <w:t>Վանաձորի բժշկական կենտրոն</w:t>
            </w:r>
            <w:r w:rsidRPr="007955BB">
              <w:rPr>
                <w:rFonts w:eastAsia="Calibri" w:cs="Calibri"/>
                <w:b w:val="0"/>
                <w:sz w:val="16"/>
                <w:szCs w:val="16"/>
                <w:lang w:val="hy-AM" w:eastAsia="en-US"/>
              </w:rPr>
              <w:t>» ՓԲԸ</w:t>
            </w:r>
          </w:p>
        </w:tc>
        <w:tc>
          <w:tcPr>
            <w:tcW w:w="423"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218 </w:t>
            </w:r>
          </w:p>
        </w:tc>
        <w:tc>
          <w:tcPr>
            <w:tcW w:w="420"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1,697 </w:t>
            </w:r>
          </w:p>
        </w:tc>
        <w:tc>
          <w:tcPr>
            <w:tcW w:w="422"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2,733 </w:t>
            </w:r>
          </w:p>
        </w:tc>
        <w:tc>
          <w:tcPr>
            <w:tcW w:w="420"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5,531 </w:t>
            </w:r>
          </w:p>
        </w:tc>
        <w:tc>
          <w:tcPr>
            <w:tcW w:w="468"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6,149 </w:t>
            </w:r>
          </w:p>
        </w:tc>
        <w:tc>
          <w:tcPr>
            <w:tcW w:w="421"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6,825 </w:t>
            </w:r>
          </w:p>
        </w:tc>
        <w:tc>
          <w:tcPr>
            <w:tcW w:w="420" w:type="pct"/>
            <w:tcBorders>
              <w:top w:val="nil"/>
              <w:left w:val="nil"/>
              <w:bottom w:val="single" w:sz="8" w:space="0" w:color="auto"/>
              <w:right w:val="single" w:sz="4" w:space="0" w:color="auto"/>
            </w:tcBorders>
            <w:shd w:val="clear" w:color="auto" w:fill="DBE5F1" w:themeFill="accent1" w:themeFillTint="33"/>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5,313</w:t>
            </w:r>
          </w:p>
        </w:tc>
        <w:tc>
          <w:tcPr>
            <w:tcW w:w="468" w:type="pct"/>
            <w:tcBorders>
              <w:top w:val="nil"/>
              <w:left w:val="single" w:sz="4" w:space="0" w:color="auto"/>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4,452 </w:t>
            </w:r>
          </w:p>
        </w:tc>
        <w:tc>
          <w:tcPr>
            <w:tcW w:w="421"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4,092 </w:t>
            </w:r>
          </w:p>
        </w:tc>
      </w:tr>
      <w:tr w:rsidR="004644E7" w:rsidRPr="007955BB" w:rsidTr="004644E7">
        <w:trPr>
          <w:trHeight w:val="457"/>
        </w:trPr>
        <w:tc>
          <w:tcPr>
            <w:tcW w:w="1117" w:type="pct"/>
            <w:tcBorders>
              <w:top w:val="nil"/>
              <w:left w:val="single" w:sz="8" w:space="0" w:color="auto"/>
              <w:bottom w:val="single" w:sz="8"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left"/>
              <w:rPr>
                <w:rFonts w:cs="Calibri"/>
                <w:b w:val="0"/>
                <w:sz w:val="16"/>
                <w:szCs w:val="16"/>
                <w:lang w:val="hy-AM" w:eastAsia="en-US"/>
              </w:rPr>
            </w:pPr>
            <w:r w:rsidRPr="007955BB">
              <w:rPr>
                <w:rFonts w:eastAsia="Calibri" w:cs="Calibri"/>
                <w:b w:val="0"/>
                <w:sz w:val="16"/>
                <w:szCs w:val="16"/>
                <w:lang w:val="hy-AM" w:eastAsia="en-US"/>
              </w:rPr>
              <w:t>«</w:t>
            </w:r>
            <w:r w:rsidRPr="007955BB">
              <w:rPr>
                <w:rFonts w:eastAsia="Calibri" w:cs="Calibri"/>
                <w:b w:val="0"/>
                <w:sz w:val="16"/>
                <w:szCs w:val="16"/>
                <w:lang w:val="en-US" w:eastAsia="en-US"/>
              </w:rPr>
              <w:t>Գյումրու բժշկական կենտրոն</w:t>
            </w:r>
            <w:r w:rsidRPr="007955BB">
              <w:rPr>
                <w:rFonts w:eastAsia="Calibri" w:cs="Calibri"/>
                <w:b w:val="0"/>
                <w:sz w:val="16"/>
                <w:szCs w:val="16"/>
                <w:lang w:val="hy-AM" w:eastAsia="en-US"/>
              </w:rPr>
              <w:t>»</w:t>
            </w: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ՓԲԸ</w:t>
            </w:r>
          </w:p>
        </w:tc>
        <w:tc>
          <w:tcPr>
            <w:tcW w:w="423"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1,169 </w:t>
            </w:r>
          </w:p>
        </w:tc>
        <w:tc>
          <w:tcPr>
            <w:tcW w:w="420"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1,276 </w:t>
            </w:r>
          </w:p>
        </w:tc>
        <w:tc>
          <w:tcPr>
            <w:tcW w:w="422"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2,300 </w:t>
            </w:r>
          </w:p>
        </w:tc>
        <w:tc>
          <w:tcPr>
            <w:tcW w:w="420"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5,138 </w:t>
            </w:r>
          </w:p>
        </w:tc>
        <w:tc>
          <w:tcPr>
            <w:tcW w:w="468"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4,833 </w:t>
            </w:r>
          </w:p>
        </w:tc>
        <w:tc>
          <w:tcPr>
            <w:tcW w:w="421"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6,206 </w:t>
            </w:r>
          </w:p>
        </w:tc>
        <w:tc>
          <w:tcPr>
            <w:tcW w:w="420" w:type="pct"/>
            <w:tcBorders>
              <w:top w:val="nil"/>
              <w:left w:val="nil"/>
              <w:bottom w:val="single" w:sz="8" w:space="0" w:color="auto"/>
              <w:right w:val="single" w:sz="4" w:space="0" w:color="auto"/>
            </w:tcBorders>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3,970</w:t>
            </w:r>
          </w:p>
        </w:tc>
        <w:tc>
          <w:tcPr>
            <w:tcW w:w="468" w:type="pct"/>
            <w:tcBorders>
              <w:top w:val="nil"/>
              <w:left w:val="single" w:sz="4" w:space="0" w:color="auto"/>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3,888 </w:t>
            </w:r>
          </w:p>
        </w:tc>
        <w:tc>
          <w:tcPr>
            <w:tcW w:w="421"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3,906 </w:t>
            </w:r>
          </w:p>
        </w:tc>
      </w:tr>
      <w:tr w:rsidR="004644E7" w:rsidRPr="007955BB" w:rsidTr="004644E7">
        <w:trPr>
          <w:trHeight w:val="151"/>
        </w:trPr>
        <w:tc>
          <w:tcPr>
            <w:tcW w:w="1117" w:type="pct"/>
            <w:tcBorders>
              <w:top w:val="nil"/>
              <w:left w:val="single" w:sz="8" w:space="0" w:color="auto"/>
              <w:bottom w:val="single" w:sz="4" w:space="0" w:color="auto"/>
              <w:right w:val="single" w:sz="8" w:space="0" w:color="auto"/>
            </w:tcBorders>
            <w:shd w:val="clear" w:color="auto" w:fill="DBE5F1" w:themeFill="accent1" w:themeFillTint="33"/>
            <w:noWrap/>
            <w:vAlign w:val="center"/>
            <w:hideMark/>
          </w:tcPr>
          <w:p w:rsidR="004644E7" w:rsidRPr="007955BB" w:rsidRDefault="004644E7" w:rsidP="004644E7">
            <w:pPr>
              <w:spacing w:before="0" w:line="276" w:lineRule="auto"/>
              <w:ind w:firstLine="0"/>
              <w:contextualSpacing w:val="0"/>
              <w:jc w:val="left"/>
              <w:rPr>
                <w:rFonts w:cs="Calibri"/>
                <w:b w:val="0"/>
                <w:sz w:val="16"/>
                <w:szCs w:val="16"/>
                <w:lang w:val="en-US" w:eastAsia="en-US"/>
              </w:rPr>
            </w:pPr>
            <w:r w:rsidRPr="007955BB">
              <w:rPr>
                <w:rFonts w:eastAsia="Calibri" w:cs="Calibri"/>
                <w:b w:val="0"/>
                <w:sz w:val="16"/>
                <w:szCs w:val="16"/>
                <w:lang w:val="hy-AM" w:eastAsia="en-US"/>
              </w:rPr>
              <w:t>«</w:t>
            </w:r>
            <w:r w:rsidRPr="007955BB">
              <w:rPr>
                <w:rFonts w:eastAsia="Calibri" w:cs="Calibri"/>
                <w:b w:val="0"/>
                <w:sz w:val="16"/>
                <w:szCs w:val="16"/>
                <w:lang w:val="en-US" w:eastAsia="en-US"/>
              </w:rPr>
              <w:t>Սուրբ Աստվածամայր</w:t>
            </w:r>
            <w:r w:rsidRPr="007955BB">
              <w:rPr>
                <w:rFonts w:eastAsia="Calibri" w:cs="Calibri"/>
                <w:b w:val="0"/>
                <w:sz w:val="16"/>
                <w:szCs w:val="16"/>
                <w:lang w:val="hy-AM" w:eastAsia="en-US"/>
              </w:rPr>
              <w:t>»</w:t>
            </w:r>
            <w:r w:rsidRPr="007955BB">
              <w:rPr>
                <w:rFonts w:eastAsia="Calibri" w:cs="Calibri"/>
                <w:b w:val="0"/>
                <w:sz w:val="16"/>
                <w:szCs w:val="16"/>
                <w:lang w:val="en-US" w:eastAsia="en-US"/>
              </w:rPr>
              <w:t xml:space="preserve"> ԲԿ</w:t>
            </w:r>
          </w:p>
        </w:tc>
        <w:tc>
          <w:tcPr>
            <w:tcW w:w="423" w:type="pct"/>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980 </w:t>
            </w:r>
          </w:p>
        </w:tc>
        <w:tc>
          <w:tcPr>
            <w:tcW w:w="420" w:type="pct"/>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1,939 </w:t>
            </w:r>
          </w:p>
        </w:tc>
        <w:tc>
          <w:tcPr>
            <w:tcW w:w="422" w:type="pct"/>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1,992 </w:t>
            </w:r>
          </w:p>
        </w:tc>
        <w:tc>
          <w:tcPr>
            <w:tcW w:w="420" w:type="pct"/>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2,528 </w:t>
            </w:r>
          </w:p>
        </w:tc>
        <w:tc>
          <w:tcPr>
            <w:tcW w:w="468" w:type="pct"/>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3,439 </w:t>
            </w:r>
          </w:p>
        </w:tc>
        <w:tc>
          <w:tcPr>
            <w:tcW w:w="421" w:type="pct"/>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3,318 </w:t>
            </w:r>
          </w:p>
        </w:tc>
        <w:tc>
          <w:tcPr>
            <w:tcW w:w="420" w:type="pct"/>
            <w:tcBorders>
              <w:top w:val="nil"/>
              <w:left w:val="nil"/>
              <w:bottom w:val="single" w:sz="4" w:space="0" w:color="auto"/>
              <w:right w:val="single" w:sz="4" w:space="0" w:color="auto"/>
            </w:tcBorders>
            <w:shd w:val="clear" w:color="auto" w:fill="DBE5F1" w:themeFill="accent1" w:themeFillTint="33"/>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1,548</w:t>
            </w:r>
          </w:p>
        </w:tc>
        <w:tc>
          <w:tcPr>
            <w:tcW w:w="468" w:type="pct"/>
            <w:tcBorders>
              <w:top w:val="nil"/>
              <w:left w:val="single" w:sz="4" w:space="0" w:color="auto"/>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1,500 </w:t>
            </w:r>
          </w:p>
        </w:tc>
        <w:tc>
          <w:tcPr>
            <w:tcW w:w="421" w:type="pct"/>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1,326 </w:t>
            </w:r>
          </w:p>
        </w:tc>
      </w:tr>
      <w:tr w:rsidR="004644E7" w:rsidRPr="007955BB" w:rsidTr="004644E7">
        <w:trPr>
          <w:trHeight w:val="670"/>
        </w:trPr>
        <w:tc>
          <w:tcPr>
            <w:tcW w:w="11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jc w:val="left"/>
              <w:rPr>
                <w:rFonts w:cs="Calibri"/>
                <w:b w:val="0"/>
                <w:sz w:val="16"/>
                <w:szCs w:val="16"/>
                <w:lang w:val="hy-AM" w:eastAsia="en-US"/>
              </w:rPr>
            </w:pPr>
            <w:r w:rsidRPr="007955BB">
              <w:rPr>
                <w:rFonts w:eastAsia="Calibri" w:cs="Calibri"/>
                <w:b w:val="0"/>
                <w:sz w:val="16"/>
                <w:szCs w:val="16"/>
                <w:lang w:val="hy-AM" w:eastAsia="en-US"/>
              </w:rPr>
              <w:t>«</w:t>
            </w:r>
            <w:r w:rsidRPr="007955BB">
              <w:rPr>
                <w:rFonts w:eastAsia="Calibri" w:cs="Calibri"/>
                <w:b w:val="0"/>
                <w:sz w:val="16"/>
                <w:szCs w:val="16"/>
                <w:lang w:val="en-US" w:eastAsia="en-US"/>
              </w:rPr>
              <w:t>Ինֆեկցիոն</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հիվանդությունների</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աազգային</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կենտրոն</w:t>
            </w:r>
            <w:r w:rsidRPr="007955BB">
              <w:rPr>
                <w:rFonts w:eastAsia="Calibri" w:cs="Calibri"/>
                <w:b w:val="0"/>
                <w:sz w:val="16"/>
                <w:szCs w:val="16"/>
                <w:lang w:val="hy-AM" w:eastAsia="en-US"/>
              </w:rPr>
              <w:t>» ՓԲԸ</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2,173 </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1,955 </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3,248 </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3,121 </w:t>
            </w:r>
          </w:p>
        </w:tc>
        <w:tc>
          <w:tcPr>
            <w:tcW w:w="420" w:type="pct"/>
            <w:tcBorders>
              <w:top w:val="single" w:sz="4" w:space="0" w:color="auto"/>
              <w:left w:val="single" w:sz="4" w:space="0" w:color="auto"/>
              <w:bottom w:val="single" w:sz="4" w:space="0" w:color="auto"/>
              <w:right w:val="single" w:sz="4" w:space="0" w:color="auto"/>
            </w:tcBorders>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860</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1,075 </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1,166 </w:t>
            </w:r>
          </w:p>
        </w:tc>
      </w:tr>
      <w:tr w:rsidR="004644E7" w:rsidRPr="007955BB" w:rsidTr="004644E7">
        <w:trPr>
          <w:trHeight w:val="340"/>
        </w:trPr>
        <w:tc>
          <w:tcPr>
            <w:tcW w:w="1117" w:type="pct"/>
            <w:tcBorders>
              <w:top w:val="single" w:sz="4" w:space="0" w:color="auto"/>
              <w:left w:val="single" w:sz="8" w:space="0" w:color="auto"/>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left"/>
              <w:rPr>
                <w:rFonts w:cs="Calibri"/>
                <w:b w:val="0"/>
                <w:sz w:val="16"/>
                <w:szCs w:val="16"/>
                <w:lang w:val="hy-AM" w:eastAsia="en-US"/>
              </w:rPr>
            </w:pPr>
            <w:r w:rsidRPr="007955BB">
              <w:rPr>
                <w:rFonts w:eastAsia="Calibri" w:cs="Calibri"/>
                <w:b w:val="0"/>
                <w:sz w:val="16"/>
                <w:szCs w:val="16"/>
                <w:lang w:val="hy-AM" w:eastAsia="en-US"/>
              </w:rPr>
              <w:t>«</w:t>
            </w:r>
            <w:r w:rsidRPr="007955BB">
              <w:rPr>
                <w:rFonts w:eastAsia="Calibri" w:cs="Calibri"/>
                <w:b w:val="0"/>
                <w:sz w:val="16"/>
                <w:szCs w:val="16"/>
                <w:lang w:val="en-US" w:eastAsia="en-US"/>
              </w:rPr>
              <w:t>Հրազդանի բժշկական կենտրոն</w:t>
            </w:r>
            <w:r w:rsidRPr="007955BB">
              <w:rPr>
                <w:rFonts w:eastAsia="Calibri" w:cs="Calibri"/>
                <w:b w:val="0"/>
                <w:sz w:val="16"/>
                <w:szCs w:val="16"/>
                <w:lang w:val="hy-AM" w:eastAsia="en-US"/>
              </w:rPr>
              <w:t xml:space="preserve">» ՓԲԸ </w:t>
            </w:r>
          </w:p>
        </w:tc>
        <w:tc>
          <w:tcPr>
            <w:tcW w:w="423" w:type="pct"/>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 xml:space="preserve">1,697 </w:t>
            </w:r>
          </w:p>
        </w:tc>
        <w:tc>
          <w:tcPr>
            <w:tcW w:w="420" w:type="pct"/>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 xml:space="preserve"> 1,785 </w:t>
            </w:r>
          </w:p>
        </w:tc>
        <w:tc>
          <w:tcPr>
            <w:tcW w:w="422" w:type="pct"/>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 xml:space="preserve"> 1,776 </w:t>
            </w:r>
          </w:p>
        </w:tc>
        <w:tc>
          <w:tcPr>
            <w:tcW w:w="420" w:type="pct"/>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 xml:space="preserve"> 3,062 </w:t>
            </w:r>
          </w:p>
        </w:tc>
        <w:tc>
          <w:tcPr>
            <w:tcW w:w="468" w:type="pct"/>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 xml:space="preserve"> 3,153 </w:t>
            </w:r>
          </w:p>
        </w:tc>
        <w:tc>
          <w:tcPr>
            <w:tcW w:w="421" w:type="pct"/>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 xml:space="preserve"> 3,154 </w:t>
            </w:r>
          </w:p>
        </w:tc>
        <w:tc>
          <w:tcPr>
            <w:tcW w:w="420" w:type="pct"/>
            <w:tcBorders>
              <w:top w:val="single" w:sz="4" w:space="0" w:color="auto"/>
              <w:left w:val="nil"/>
              <w:bottom w:val="single" w:sz="8" w:space="0" w:color="auto"/>
              <w:right w:val="single" w:sz="4" w:space="0" w:color="auto"/>
            </w:tcBorders>
            <w:shd w:val="clear" w:color="auto" w:fill="DBE5F1" w:themeFill="accent1" w:themeFillTint="33"/>
          </w:tcPr>
          <w:p w:rsidR="004644E7" w:rsidRPr="007955BB" w:rsidRDefault="004644E7" w:rsidP="004644E7">
            <w:pPr>
              <w:spacing w:before="0" w:line="276" w:lineRule="auto"/>
              <w:ind w:firstLine="0"/>
              <w:contextualSpacing w:val="0"/>
              <w:jc w:val="left"/>
              <w:rPr>
                <w:rFonts w:eastAsia="Calibri" w:cs="Calibri"/>
                <w:b w:val="0"/>
                <w:sz w:val="16"/>
                <w:szCs w:val="16"/>
                <w:lang w:val="en-US" w:eastAsia="en-US"/>
              </w:rPr>
            </w:pPr>
            <w:r w:rsidRPr="007955BB">
              <w:rPr>
                <w:rFonts w:eastAsia="Calibri" w:cs="Calibri"/>
                <w:b w:val="0"/>
                <w:sz w:val="16"/>
                <w:szCs w:val="16"/>
                <w:lang w:val="en-US" w:eastAsia="en-US"/>
              </w:rPr>
              <w:t xml:space="preserve">    </w:t>
            </w:r>
          </w:p>
          <w:p w:rsidR="004644E7" w:rsidRPr="007955BB" w:rsidRDefault="004644E7" w:rsidP="004644E7">
            <w:pPr>
              <w:spacing w:before="0" w:line="276" w:lineRule="auto"/>
              <w:ind w:firstLine="0"/>
              <w:contextualSpacing w:val="0"/>
              <w:jc w:val="left"/>
              <w:rPr>
                <w:rFonts w:eastAsia="Calibri" w:cs="Calibri"/>
                <w:b w:val="0"/>
                <w:sz w:val="16"/>
                <w:szCs w:val="16"/>
                <w:lang w:val="en-US" w:eastAsia="en-US"/>
              </w:rPr>
            </w:pPr>
            <w:r w:rsidRPr="007955BB">
              <w:rPr>
                <w:rFonts w:eastAsia="Calibri" w:cs="Calibri"/>
                <w:b w:val="0"/>
                <w:sz w:val="16"/>
                <w:szCs w:val="16"/>
                <w:lang w:val="en-US" w:eastAsia="en-US"/>
              </w:rPr>
              <w:t xml:space="preserve">    1,365</w:t>
            </w:r>
          </w:p>
        </w:tc>
        <w:tc>
          <w:tcPr>
            <w:tcW w:w="468" w:type="pct"/>
            <w:tcBorders>
              <w:top w:val="single" w:sz="4" w:space="0" w:color="auto"/>
              <w:left w:val="single" w:sz="4" w:space="0" w:color="auto"/>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left"/>
              <w:rPr>
                <w:rFonts w:eastAsia="Calibri" w:cs="Calibri"/>
                <w:b w:val="0"/>
                <w:sz w:val="16"/>
                <w:szCs w:val="16"/>
                <w:lang w:val="en-US" w:eastAsia="en-US"/>
              </w:rPr>
            </w:pPr>
            <w:r w:rsidRPr="007955BB">
              <w:rPr>
                <w:rFonts w:eastAsia="Calibri" w:cs="Calibri"/>
                <w:b w:val="0"/>
                <w:sz w:val="16"/>
                <w:szCs w:val="16"/>
                <w:lang w:val="en-US" w:eastAsia="en-US"/>
              </w:rPr>
              <w:t xml:space="preserve">1,368 </w:t>
            </w:r>
          </w:p>
        </w:tc>
        <w:tc>
          <w:tcPr>
            <w:tcW w:w="421" w:type="pct"/>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 xml:space="preserve"> 1,378 </w:t>
            </w:r>
          </w:p>
        </w:tc>
      </w:tr>
      <w:tr w:rsidR="004644E7" w:rsidRPr="007955BB" w:rsidTr="004644E7">
        <w:trPr>
          <w:trHeight w:val="340"/>
        </w:trPr>
        <w:tc>
          <w:tcPr>
            <w:tcW w:w="1117" w:type="pct"/>
            <w:tcBorders>
              <w:top w:val="nil"/>
              <w:left w:val="single" w:sz="8" w:space="0" w:color="auto"/>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left"/>
              <w:rPr>
                <w:rFonts w:cs="Calibri"/>
                <w:b w:val="0"/>
                <w:sz w:val="16"/>
                <w:szCs w:val="16"/>
                <w:lang w:val="hy-AM" w:eastAsia="en-US"/>
              </w:rPr>
            </w:pPr>
            <w:r w:rsidRPr="007955BB">
              <w:rPr>
                <w:rFonts w:eastAsia="Calibri" w:cs="Calibri"/>
                <w:b w:val="0"/>
                <w:sz w:val="16"/>
                <w:szCs w:val="16"/>
                <w:lang w:val="hy-AM" w:eastAsia="en-US"/>
              </w:rPr>
              <w:t>«</w:t>
            </w:r>
            <w:r w:rsidRPr="007955BB">
              <w:rPr>
                <w:rFonts w:eastAsia="Calibri" w:cs="Calibri"/>
                <w:b w:val="0"/>
                <w:sz w:val="16"/>
                <w:szCs w:val="16"/>
                <w:lang w:val="en-US" w:eastAsia="en-US"/>
              </w:rPr>
              <w:t>Պրոֆեսոր</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Ռ</w:t>
            </w:r>
            <w:r w:rsidRPr="007955BB">
              <w:rPr>
                <w:rFonts w:eastAsia="Calibri" w:cs="Calibri"/>
                <w:b w:val="0"/>
                <w:sz w:val="16"/>
                <w:szCs w:val="16"/>
                <w:lang w:eastAsia="en-US"/>
              </w:rPr>
              <w:t>.</w:t>
            </w:r>
            <w:r w:rsidRPr="007955BB">
              <w:rPr>
                <w:rFonts w:eastAsia="Calibri" w:cs="Calibri"/>
                <w:b w:val="0"/>
                <w:sz w:val="16"/>
                <w:szCs w:val="16"/>
                <w:lang w:val="en-US" w:eastAsia="en-US"/>
              </w:rPr>
              <w:t>Օ</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Յոլյանի</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անվան</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արյունաբանական</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կենտրոն</w:t>
            </w:r>
            <w:r w:rsidRPr="007955BB">
              <w:rPr>
                <w:rFonts w:eastAsia="Calibri" w:cs="Calibri"/>
                <w:b w:val="0"/>
                <w:sz w:val="16"/>
                <w:szCs w:val="16"/>
                <w:lang w:val="hy-AM" w:eastAsia="en-US"/>
              </w:rPr>
              <w:t>» ՓԲԸ</w:t>
            </w:r>
          </w:p>
        </w:tc>
        <w:tc>
          <w:tcPr>
            <w:tcW w:w="423"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eastAsia="en-US"/>
              </w:rPr>
              <w:t xml:space="preserve"> </w:t>
            </w:r>
            <w:r w:rsidRPr="007955BB">
              <w:rPr>
                <w:rFonts w:eastAsia="Calibri" w:cs="Calibri"/>
                <w:b w:val="0"/>
                <w:sz w:val="16"/>
                <w:szCs w:val="16"/>
                <w:lang w:val="en-US" w:eastAsia="en-US"/>
              </w:rPr>
              <w:t xml:space="preserve">2,126 </w:t>
            </w:r>
          </w:p>
        </w:tc>
        <w:tc>
          <w:tcPr>
            <w:tcW w:w="420"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 xml:space="preserve"> 1,927 </w:t>
            </w:r>
          </w:p>
        </w:tc>
        <w:tc>
          <w:tcPr>
            <w:tcW w:w="422"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 xml:space="preserve"> 1,715 </w:t>
            </w:r>
          </w:p>
        </w:tc>
        <w:tc>
          <w:tcPr>
            <w:tcW w:w="420"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 xml:space="preserve"> 6,446 </w:t>
            </w:r>
          </w:p>
        </w:tc>
        <w:tc>
          <w:tcPr>
            <w:tcW w:w="468"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 xml:space="preserve"> 6,158 </w:t>
            </w:r>
          </w:p>
        </w:tc>
        <w:tc>
          <w:tcPr>
            <w:tcW w:w="421"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 xml:space="preserve"> 6,065 </w:t>
            </w:r>
          </w:p>
        </w:tc>
        <w:tc>
          <w:tcPr>
            <w:tcW w:w="420" w:type="pct"/>
            <w:tcBorders>
              <w:top w:val="nil"/>
              <w:left w:val="nil"/>
              <w:bottom w:val="single" w:sz="8" w:space="0" w:color="auto"/>
              <w:right w:val="single" w:sz="4" w:space="0" w:color="auto"/>
            </w:tcBorders>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4,320</w:t>
            </w:r>
          </w:p>
        </w:tc>
        <w:tc>
          <w:tcPr>
            <w:tcW w:w="468" w:type="pct"/>
            <w:tcBorders>
              <w:top w:val="nil"/>
              <w:left w:val="single" w:sz="4" w:space="0" w:color="auto"/>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 xml:space="preserve"> 4,231 </w:t>
            </w:r>
          </w:p>
        </w:tc>
        <w:tc>
          <w:tcPr>
            <w:tcW w:w="421" w:type="pct"/>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 xml:space="preserve"> 4,350 </w:t>
            </w:r>
          </w:p>
        </w:tc>
      </w:tr>
      <w:tr w:rsidR="004644E7" w:rsidRPr="007955BB" w:rsidTr="004644E7">
        <w:trPr>
          <w:trHeight w:val="670"/>
        </w:trPr>
        <w:tc>
          <w:tcPr>
            <w:tcW w:w="1117" w:type="pct"/>
            <w:tcBorders>
              <w:top w:val="nil"/>
              <w:left w:val="single" w:sz="8" w:space="0" w:color="auto"/>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left"/>
              <w:rPr>
                <w:rFonts w:cs="Calibri"/>
                <w:b w:val="0"/>
                <w:sz w:val="16"/>
                <w:szCs w:val="16"/>
                <w:lang w:eastAsia="en-US"/>
              </w:rPr>
            </w:pPr>
            <w:r w:rsidRPr="007955BB">
              <w:rPr>
                <w:rFonts w:eastAsia="Calibri" w:cs="Calibri"/>
                <w:b w:val="0"/>
                <w:sz w:val="16"/>
                <w:szCs w:val="16"/>
                <w:lang w:val="hy-AM" w:eastAsia="en-US"/>
              </w:rPr>
              <w:t>«</w:t>
            </w:r>
            <w:r w:rsidRPr="007955BB">
              <w:rPr>
                <w:rFonts w:eastAsia="Calibri" w:cs="Calibri"/>
                <w:b w:val="0"/>
                <w:sz w:val="16"/>
                <w:szCs w:val="16"/>
                <w:lang w:val="en-US" w:eastAsia="en-US"/>
              </w:rPr>
              <w:t>Կուրորտաբանության</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և</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ֆիզիկական</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բժշկության</w:t>
            </w:r>
            <w:r w:rsidRPr="007955BB">
              <w:rPr>
                <w:rFonts w:eastAsia="Calibri" w:cs="Calibri"/>
                <w:b w:val="0"/>
                <w:sz w:val="16"/>
                <w:szCs w:val="16"/>
                <w:lang w:val="hy-AM" w:eastAsia="en-US"/>
              </w:rPr>
              <w:t>»</w:t>
            </w:r>
            <w:r w:rsidRPr="007955BB">
              <w:rPr>
                <w:rFonts w:eastAsia="Calibri" w:cs="Calibri"/>
                <w:b w:val="0"/>
                <w:sz w:val="16"/>
                <w:szCs w:val="16"/>
                <w:lang w:eastAsia="en-US"/>
              </w:rPr>
              <w:t xml:space="preserve"> </w:t>
            </w:r>
            <w:r w:rsidRPr="007955BB">
              <w:rPr>
                <w:rFonts w:eastAsia="Calibri" w:cs="Calibri"/>
                <w:b w:val="0"/>
                <w:sz w:val="16"/>
                <w:szCs w:val="16"/>
                <w:lang w:val="en-US" w:eastAsia="en-US"/>
              </w:rPr>
              <w:t>ԳՀԻ</w:t>
            </w:r>
          </w:p>
        </w:tc>
        <w:tc>
          <w:tcPr>
            <w:tcW w:w="423"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eastAsia="en-US"/>
              </w:rPr>
              <w:t xml:space="preserve"> </w:t>
            </w:r>
            <w:r w:rsidRPr="007955BB">
              <w:rPr>
                <w:rFonts w:eastAsia="Calibri" w:cs="Calibri"/>
                <w:b w:val="0"/>
                <w:sz w:val="16"/>
                <w:szCs w:val="16"/>
                <w:lang w:val="en-US" w:eastAsia="en-US"/>
              </w:rPr>
              <w:t xml:space="preserve">40 </w:t>
            </w:r>
          </w:p>
        </w:tc>
        <w:tc>
          <w:tcPr>
            <w:tcW w:w="420"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1,477 </w:t>
            </w:r>
          </w:p>
        </w:tc>
        <w:tc>
          <w:tcPr>
            <w:tcW w:w="422"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1,505 </w:t>
            </w:r>
          </w:p>
        </w:tc>
        <w:tc>
          <w:tcPr>
            <w:tcW w:w="420"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2,089 </w:t>
            </w:r>
          </w:p>
        </w:tc>
        <w:tc>
          <w:tcPr>
            <w:tcW w:w="468"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2,073 </w:t>
            </w:r>
          </w:p>
        </w:tc>
        <w:tc>
          <w:tcPr>
            <w:tcW w:w="421"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2,152 </w:t>
            </w:r>
          </w:p>
        </w:tc>
        <w:tc>
          <w:tcPr>
            <w:tcW w:w="420" w:type="pct"/>
            <w:tcBorders>
              <w:top w:val="nil"/>
              <w:left w:val="nil"/>
              <w:bottom w:val="single" w:sz="8" w:space="0" w:color="auto"/>
              <w:right w:val="single" w:sz="4" w:space="0" w:color="auto"/>
            </w:tcBorders>
            <w:shd w:val="clear" w:color="auto" w:fill="DBE5F1" w:themeFill="accent1" w:themeFillTint="33"/>
          </w:tcPr>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p>
          <w:p w:rsidR="004644E7" w:rsidRPr="007955BB" w:rsidRDefault="004644E7" w:rsidP="004644E7">
            <w:pPr>
              <w:spacing w:before="0" w:line="276" w:lineRule="auto"/>
              <w:ind w:firstLine="0"/>
              <w:contextualSpacing w:val="0"/>
              <w:jc w:val="right"/>
              <w:rPr>
                <w:rFonts w:eastAsia="Calibri" w:cs="Calibri"/>
                <w:b w:val="0"/>
                <w:sz w:val="16"/>
                <w:szCs w:val="16"/>
                <w:lang w:val="en-US" w:eastAsia="en-US"/>
              </w:rPr>
            </w:pPr>
            <w:r w:rsidRPr="007955BB">
              <w:rPr>
                <w:rFonts w:eastAsia="Calibri" w:cs="Calibri"/>
                <w:b w:val="0"/>
                <w:sz w:val="16"/>
                <w:szCs w:val="16"/>
                <w:lang w:val="en-US" w:eastAsia="en-US"/>
              </w:rPr>
              <w:t>627</w:t>
            </w:r>
          </w:p>
        </w:tc>
        <w:tc>
          <w:tcPr>
            <w:tcW w:w="468" w:type="pct"/>
            <w:tcBorders>
              <w:top w:val="nil"/>
              <w:left w:val="single" w:sz="4" w:space="0" w:color="auto"/>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596 </w:t>
            </w:r>
          </w:p>
        </w:tc>
        <w:tc>
          <w:tcPr>
            <w:tcW w:w="421" w:type="pct"/>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right"/>
              <w:rPr>
                <w:rFonts w:cs="Calibri"/>
                <w:b w:val="0"/>
                <w:sz w:val="16"/>
                <w:szCs w:val="16"/>
                <w:lang w:val="en-US" w:eastAsia="en-US"/>
              </w:rPr>
            </w:pPr>
            <w:r w:rsidRPr="007955BB">
              <w:rPr>
                <w:rFonts w:eastAsia="Calibri" w:cs="Calibri"/>
                <w:b w:val="0"/>
                <w:sz w:val="16"/>
                <w:szCs w:val="16"/>
                <w:lang w:val="en-US" w:eastAsia="en-US"/>
              </w:rPr>
              <w:t xml:space="preserve"> 647 </w:t>
            </w:r>
          </w:p>
        </w:tc>
      </w:tr>
      <w:tr w:rsidR="004644E7" w:rsidRPr="007955BB" w:rsidTr="004644E7">
        <w:trPr>
          <w:trHeight w:val="214"/>
        </w:trPr>
        <w:tc>
          <w:tcPr>
            <w:tcW w:w="1117" w:type="pct"/>
            <w:tcBorders>
              <w:top w:val="nil"/>
              <w:left w:val="single" w:sz="8" w:space="0" w:color="auto"/>
              <w:bottom w:val="single" w:sz="4" w:space="0" w:color="auto"/>
              <w:right w:val="single" w:sz="8" w:space="0" w:color="auto"/>
            </w:tcBorders>
            <w:shd w:val="clear" w:color="auto" w:fill="auto"/>
            <w:noWrap/>
            <w:vAlign w:val="center"/>
            <w:hideMark/>
          </w:tcPr>
          <w:p w:rsidR="004644E7" w:rsidRPr="007955BB" w:rsidRDefault="004644E7" w:rsidP="004644E7">
            <w:pPr>
              <w:spacing w:before="0" w:line="276" w:lineRule="auto"/>
              <w:ind w:firstLine="0"/>
              <w:contextualSpacing w:val="0"/>
              <w:jc w:val="left"/>
              <w:rPr>
                <w:rFonts w:eastAsia="Calibri"/>
                <w:sz w:val="20"/>
                <w:szCs w:val="20"/>
                <w:lang w:val="en-US" w:eastAsia="en-US"/>
              </w:rPr>
            </w:pPr>
            <w:r w:rsidRPr="007955BB">
              <w:rPr>
                <w:rFonts w:eastAsia="Calibri"/>
                <w:sz w:val="20"/>
                <w:szCs w:val="20"/>
                <w:lang w:val="en-US" w:eastAsia="en-US"/>
              </w:rPr>
              <w:t>Ընդամենը</w:t>
            </w:r>
          </w:p>
        </w:tc>
        <w:tc>
          <w:tcPr>
            <w:tcW w:w="423" w:type="pct"/>
            <w:tcBorders>
              <w:top w:val="nil"/>
              <w:left w:val="nil"/>
              <w:bottom w:val="single" w:sz="4"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eastAsia="Calibri"/>
                <w:b w:val="0"/>
                <w:bCs/>
                <w:sz w:val="16"/>
                <w:szCs w:val="16"/>
                <w:lang w:val="en-US" w:eastAsia="en-US"/>
              </w:rPr>
            </w:pPr>
            <w:r w:rsidRPr="007955BB">
              <w:rPr>
                <w:rFonts w:eastAsia="Calibri"/>
                <w:b w:val="0"/>
                <w:bCs/>
                <w:sz w:val="16"/>
                <w:szCs w:val="16"/>
                <w:lang w:val="en-US" w:eastAsia="en-US"/>
              </w:rPr>
              <w:t xml:space="preserve">504,149 </w:t>
            </w:r>
          </w:p>
        </w:tc>
        <w:tc>
          <w:tcPr>
            <w:tcW w:w="420" w:type="pct"/>
            <w:tcBorders>
              <w:top w:val="nil"/>
              <w:left w:val="nil"/>
              <w:bottom w:val="single" w:sz="4"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eastAsia="Calibri"/>
                <w:b w:val="0"/>
                <w:bCs/>
                <w:sz w:val="16"/>
                <w:szCs w:val="16"/>
                <w:lang w:val="en-US" w:eastAsia="en-US"/>
              </w:rPr>
            </w:pPr>
            <w:r w:rsidRPr="007955BB">
              <w:rPr>
                <w:rFonts w:eastAsia="Calibri"/>
                <w:b w:val="0"/>
                <w:bCs/>
                <w:sz w:val="16"/>
                <w:szCs w:val="16"/>
                <w:lang w:val="en-US" w:eastAsia="en-US"/>
              </w:rPr>
              <w:t xml:space="preserve">523,711 </w:t>
            </w:r>
          </w:p>
        </w:tc>
        <w:tc>
          <w:tcPr>
            <w:tcW w:w="422" w:type="pct"/>
            <w:tcBorders>
              <w:top w:val="nil"/>
              <w:left w:val="nil"/>
              <w:bottom w:val="single" w:sz="4"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eastAsia="Calibri"/>
                <w:b w:val="0"/>
                <w:bCs/>
                <w:sz w:val="16"/>
                <w:szCs w:val="16"/>
                <w:lang w:val="en-US" w:eastAsia="en-US"/>
              </w:rPr>
            </w:pPr>
            <w:r w:rsidRPr="007955BB">
              <w:rPr>
                <w:rFonts w:eastAsia="Calibri"/>
                <w:b w:val="0"/>
                <w:bCs/>
                <w:sz w:val="16"/>
                <w:szCs w:val="16"/>
                <w:lang w:val="en-US" w:eastAsia="en-US"/>
              </w:rPr>
              <w:t xml:space="preserve">510,617 </w:t>
            </w:r>
          </w:p>
        </w:tc>
        <w:tc>
          <w:tcPr>
            <w:tcW w:w="420" w:type="pct"/>
            <w:tcBorders>
              <w:top w:val="nil"/>
              <w:left w:val="nil"/>
              <w:bottom w:val="single" w:sz="4"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eastAsia="Calibri"/>
                <w:b w:val="0"/>
                <w:bCs/>
                <w:sz w:val="16"/>
                <w:szCs w:val="16"/>
                <w:lang w:val="en-US" w:eastAsia="en-US"/>
              </w:rPr>
            </w:pPr>
            <w:r w:rsidRPr="007955BB">
              <w:rPr>
                <w:rFonts w:eastAsia="Calibri"/>
                <w:b w:val="0"/>
                <w:bCs/>
                <w:sz w:val="16"/>
                <w:szCs w:val="16"/>
                <w:lang w:val="en-US" w:eastAsia="en-US"/>
              </w:rPr>
              <w:t xml:space="preserve">818,641 </w:t>
            </w:r>
          </w:p>
        </w:tc>
        <w:tc>
          <w:tcPr>
            <w:tcW w:w="468" w:type="pct"/>
            <w:tcBorders>
              <w:top w:val="nil"/>
              <w:left w:val="nil"/>
              <w:bottom w:val="single" w:sz="4"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eastAsia="Calibri"/>
                <w:b w:val="0"/>
                <w:bCs/>
                <w:sz w:val="16"/>
                <w:szCs w:val="16"/>
                <w:lang w:val="en-US" w:eastAsia="en-US"/>
              </w:rPr>
            </w:pPr>
            <w:r w:rsidRPr="007955BB">
              <w:rPr>
                <w:rFonts w:eastAsia="Calibri"/>
                <w:b w:val="0"/>
                <w:bCs/>
                <w:sz w:val="16"/>
                <w:szCs w:val="16"/>
                <w:lang w:val="en-US" w:eastAsia="en-US"/>
              </w:rPr>
              <w:t xml:space="preserve">789,983 </w:t>
            </w:r>
          </w:p>
        </w:tc>
        <w:tc>
          <w:tcPr>
            <w:tcW w:w="421" w:type="pct"/>
            <w:tcBorders>
              <w:top w:val="nil"/>
              <w:left w:val="nil"/>
              <w:bottom w:val="single" w:sz="4"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eastAsia="Calibri"/>
                <w:b w:val="0"/>
                <w:bCs/>
                <w:sz w:val="16"/>
                <w:szCs w:val="16"/>
                <w:lang w:val="en-US" w:eastAsia="en-US"/>
              </w:rPr>
            </w:pPr>
            <w:r w:rsidRPr="007955BB">
              <w:rPr>
                <w:rFonts w:eastAsia="Calibri"/>
                <w:b w:val="0"/>
                <w:bCs/>
                <w:sz w:val="16"/>
                <w:szCs w:val="16"/>
                <w:lang w:val="en-US" w:eastAsia="en-US"/>
              </w:rPr>
              <w:t xml:space="preserve">701,933 </w:t>
            </w:r>
          </w:p>
        </w:tc>
        <w:tc>
          <w:tcPr>
            <w:tcW w:w="420" w:type="pct"/>
            <w:tcBorders>
              <w:top w:val="nil"/>
              <w:left w:val="nil"/>
              <w:bottom w:val="single" w:sz="4" w:space="0" w:color="auto"/>
              <w:right w:val="single" w:sz="4" w:space="0" w:color="auto"/>
            </w:tcBorders>
            <w:vAlign w:val="bottom"/>
          </w:tcPr>
          <w:p w:rsidR="004644E7" w:rsidRPr="007955BB" w:rsidRDefault="004644E7" w:rsidP="004644E7">
            <w:pPr>
              <w:spacing w:before="0" w:line="276" w:lineRule="auto"/>
              <w:ind w:firstLine="0"/>
              <w:contextualSpacing w:val="0"/>
              <w:jc w:val="right"/>
              <w:rPr>
                <w:rFonts w:eastAsia="Calibri"/>
                <w:b w:val="0"/>
                <w:bCs/>
                <w:sz w:val="16"/>
                <w:szCs w:val="16"/>
                <w:lang w:val="en-US" w:eastAsia="en-US"/>
              </w:rPr>
            </w:pPr>
            <w:r w:rsidRPr="007955BB">
              <w:rPr>
                <w:rFonts w:eastAsia="Calibri"/>
                <w:b w:val="0"/>
                <w:bCs/>
                <w:sz w:val="16"/>
                <w:szCs w:val="16"/>
                <w:lang w:val="hy-AM" w:eastAsia="en-US"/>
              </w:rPr>
              <w:t>308</w:t>
            </w:r>
            <w:r w:rsidRPr="007955BB">
              <w:rPr>
                <w:rFonts w:eastAsia="Calibri"/>
                <w:b w:val="0"/>
                <w:bCs/>
                <w:sz w:val="16"/>
                <w:szCs w:val="16"/>
                <w:lang w:val="en-US" w:eastAsia="en-US"/>
              </w:rPr>
              <w:t xml:space="preserve">,777 </w:t>
            </w:r>
          </w:p>
        </w:tc>
        <w:tc>
          <w:tcPr>
            <w:tcW w:w="468" w:type="pct"/>
            <w:tcBorders>
              <w:top w:val="nil"/>
              <w:left w:val="single" w:sz="4" w:space="0" w:color="auto"/>
              <w:bottom w:val="single" w:sz="4"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eastAsia="Calibri"/>
                <w:b w:val="0"/>
                <w:bCs/>
                <w:sz w:val="16"/>
                <w:szCs w:val="16"/>
                <w:lang w:val="en-US" w:eastAsia="en-US"/>
              </w:rPr>
            </w:pPr>
            <w:r w:rsidRPr="007955BB">
              <w:rPr>
                <w:rFonts w:eastAsia="Calibri"/>
                <w:b w:val="0"/>
                <w:bCs/>
                <w:sz w:val="16"/>
                <w:szCs w:val="16"/>
                <w:lang w:val="en-US" w:eastAsia="en-US"/>
              </w:rPr>
              <w:t xml:space="preserve">253,717 </w:t>
            </w:r>
          </w:p>
        </w:tc>
        <w:tc>
          <w:tcPr>
            <w:tcW w:w="421" w:type="pct"/>
            <w:tcBorders>
              <w:top w:val="nil"/>
              <w:left w:val="nil"/>
              <w:bottom w:val="single" w:sz="4"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jc w:val="right"/>
              <w:rPr>
                <w:rFonts w:eastAsia="Calibri"/>
                <w:b w:val="0"/>
                <w:bCs/>
                <w:sz w:val="16"/>
                <w:szCs w:val="16"/>
                <w:lang w:val="en-US" w:eastAsia="en-US"/>
              </w:rPr>
            </w:pPr>
            <w:r w:rsidRPr="007955BB">
              <w:rPr>
                <w:rFonts w:eastAsia="Calibri"/>
                <w:b w:val="0"/>
                <w:bCs/>
                <w:sz w:val="16"/>
                <w:szCs w:val="16"/>
                <w:lang w:val="en-US" w:eastAsia="en-US"/>
              </w:rPr>
              <w:t xml:space="preserve">191,322 </w:t>
            </w:r>
          </w:p>
        </w:tc>
      </w:tr>
      <w:tr w:rsidR="004644E7" w:rsidRPr="007955BB" w:rsidTr="004644E7">
        <w:trPr>
          <w:trHeight w:val="340"/>
        </w:trPr>
        <w:tc>
          <w:tcPr>
            <w:tcW w:w="1117"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644E7" w:rsidRPr="007955BB" w:rsidRDefault="004644E7" w:rsidP="004644E7">
            <w:pPr>
              <w:spacing w:before="0" w:line="276" w:lineRule="auto"/>
              <w:ind w:firstLine="0"/>
              <w:contextualSpacing w:val="0"/>
              <w:jc w:val="left"/>
              <w:rPr>
                <w:rFonts w:cs="Calibri"/>
                <w:b w:val="0"/>
                <w:sz w:val="16"/>
                <w:szCs w:val="16"/>
                <w:lang w:val="en-US" w:eastAsia="en-US"/>
              </w:rPr>
            </w:pPr>
            <w:r w:rsidRPr="007955BB">
              <w:rPr>
                <w:rFonts w:cs="Calibri"/>
                <w:b w:val="0"/>
                <w:sz w:val="16"/>
                <w:szCs w:val="16"/>
                <w:lang w:val="hy-AM" w:eastAsia="en-US"/>
              </w:rPr>
              <w:t>Դիտարկված ընկերությունների քանակ</w:t>
            </w:r>
          </w:p>
        </w:tc>
        <w:tc>
          <w:tcPr>
            <w:tcW w:w="4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eastAsia="Calibri" w:cs="Calibri"/>
                <w:b w:val="0"/>
                <w:sz w:val="18"/>
                <w:szCs w:val="18"/>
                <w:lang w:val="en-US" w:eastAsia="en-US"/>
              </w:rPr>
            </w:pPr>
            <w:r w:rsidRPr="007955BB">
              <w:rPr>
                <w:rFonts w:eastAsia="Calibri" w:cs="Calibri"/>
                <w:b w:val="0"/>
                <w:sz w:val="18"/>
                <w:szCs w:val="18"/>
                <w:lang w:val="en-US" w:eastAsia="en-US"/>
              </w:rPr>
              <w:t>221</w:t>
            </w:r>
          </w:p>
        </w:tc>
        <w:tc>
          <w:tcPr>
            <w:tcW w:w="42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eastAsia="Calibri" w:cs="Calibri"/>
                <w:b w:val="0"/>
                <w:sz w:val="18"/>
                <w:szCs w:val="18"/>
                <w:lang w:val="en-US" w:eastAsia="en-US"/>
              </w:rPr>
            </w:pPr>
            <w:r w:rsidRPr="007955BB">
              <w:rPr>
                <w:rFonts w:eastAsia="Calibri" w:cs="Calibri"/>
                <w:b w:val="0"/>
                <w:sz w:val="18"/>
                <w:szCs w:val="18"/>
                <w:lang w:val="en-US" w:eastAsia="en-US"/>
              </w:rPr>
              <w:t>204</w:t>
            </w:r>
          </w:p>
        </w:tc>
        <w:tc>
          <w:tcPr>
            <w:tcW w:w="422"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eastAsia="Calibri" w:cs="Calibri"/>
                <w:b w:val="0"/>
                <w:sz w:val="18"/>
                <w:szCs w:val="18"/>
                <w:lang w:val="en-US" w:eastAsia="en-US"/>
              </w:rPr>
            </w:pPr>
            <w:r w:rsidRPr="007955BB">
              <w:rPr>
                <w:rFonts w:eastAsia="Calibri" w:cs="Calibri"/>
                <w:b w:val="0"/>
                <w:sz w:val="18"/>
                <w:szCs w:val="18"/>
                <w:lang w:val="en-US" w:eastAsia="en-US"/>
              </w:rPr>
              <w:t>176</w:t>
            </w:r>
          </w:p>
        </w:tc>
        <w:tc>
          <w:tcPr>
            <w:tcW w:w="42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eastAsia="Calibri" w:cs="Calibri"/>
                <w:b w:val="0"/>
                <w:szCs w:val="22"/>
                <w:lang w:val="en-US" w:eastAsia="en-US"/>
              </w:rPr>
            </w:pPr>
          </w:p>
        </w:tc>
        <w:tc>
          <w:tcPr>
            <w:tcW w:w="4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eastAsia="Calibri" w:cs="Calibri"/>
                <w:b w:val="0"/>
                <w:szCs w:val="22"/>
                <w:lang w:val="en-US" w:eastAsia="en-US"/>
              </w:rPr>
            </w:pPr>
          </w:p>
        </w:tc>
        <w:tc>
          <w:tcPr>
            <w:tcW w:w="42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eastAsia="Calibri" w:cs="Calibri"/>
                <w:b w:val="0"/>
                <w:szCs w:val="22"/>
                <w:lang w:val="en-US" w:eastAsia="en-US"/>
              </w:rPr>
            </w:pPr>
          </w:p>
        </w:tc>
        <w:tc>
          <w:tcPr>
            <w:tcW w:w="42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644E7" w:rsidRPr="007955BB" w:rsidRDefault="004644E7" w:rsidP="004644E7">
            <w:pPr>
              <w:spacing w:before="0" w:line="276" w:lineRule="auto"/>
              <w:ind w:firstLine="0"/>
              <w:contextualSpacing w:val="0"/>
              <w:rPr>
                <w:rFonts w:eastAsia="Calibri" w:cs="Calibri"/>
                <w:b w:val="0"/>
                <w:szCs w:val="22"/>
                <w:lang w:val="en-US" w:eastAsia="en-US"/>
              </w:rPr>
            </w:pPr>
          </w:p>
        </w:tc>
        <w:tc>
          <w:tcPr>
            <w:tcW w:w="4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eastAsia="Calibri" w:cs="Calibri"/>
                <w:b w:val="0"/>
                <w:szCs w:val="22"/>
                <w:lang w:val="en-US" w:eastAsia="en-US"/>
              </w:rPr>
            </w:pPr>
          </w:p>
        </w:tc>
        <w:tc>
          <w:tcPr>
            <w:tcW w:w="42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eastAsia="Calibri" w:cs="Calibri"/>
                <w:b w:val="0"/>
                <w:szCs w:val="22"/>
                <w:lang w:val="en-US" w:eastAsia="en-US"/>
              </w:rPr>
            </w:pPr>
          </w:p>
        </w:tc>
      </w:tr>
    </w:tbl>
    <w:p w:rsidR="004644E7" w:rsidRPr="007955BB" w:rsidRDefault="004644E7" w:rsidP="004644E7">
      <w:pPr>
        <w:spacing w:before="0" w:line="276" w:lineRule="auto"/>
        <w:ind w:firstLine="0"/>
        <w:contextualSpacing w:val="0"/>
        <w:rPr>
          <w:rFonts w:eastAsia="Calibri"/>
          <w:b w:val="0"/>
          <w:szCs w:val="22"/>
          <w:lang w:val="en-US" w:eastAsia="en-US"/>
        </w:rPr>
      </w:pPr>
      <w:r w:rsidRPr="007955BB">
        <w:rPr>
          <w:rFonts w:eastAsia="Calibri"/>
          <w:b w:val="0"/>
          <w:szCs w:val="22"/>
          <w:lang w:val="en-US" w:eastAsia="en-US"/>
        </w:rPr>
        <w:t xml:space="preserve"> </w:t>
      </w:r>
    </w:p>
    <w:p w:rsidR="004644E7" w:rsidRPr="007955BB" w:rsidRDefault="004644E7" w:rsidP="004644E7">
      <w:pPr>
        <w:spacing w:before="0" w:line="276" w:lineRule="auto"/>
        <w:ind w:firstLine="720"/>
        <w:contextualSpacing w:val="0"/>
        <w:rPr>
          <w:rFonts w:eastAsia="Calibri"/>
          <w:b w:val="0"/>
          <w:szCs w:val="22"/>
          <w:lang w:val="en-US" w:eastAsia="en-US"/>
        </w:rPr>
      </w:pPr>
      <w:r w:rsidRPr="007955BB">
        <w:rPr>
          <w:rFonts w:eastAsia="Calibri"/>
          <w:b w:val="0"/>
          <w:szCs w:val="22"/>
          <w:lang w:val="en-US" w:eastAsia="en-US"/>
        </w:rPr>
        <w:t xml:space="preserve">2020 </w:t>
      </w:r>
      <w:r w:rsidRPr="007955BB">
        <w:rPr>
          <w:rFonts w:eastAsia="Calibri"/>
          <w:b w:val="0"/>
          <w:szCs w:val="22"/>
          <w:lang w:val="hy-AM" w:eastAsia="en-US"/>
        </w:rPr>
        <w:t>ճ</w:t>
      </w:r>
      <w:r w:rsidRPr="007955BB">
        <w:rPr>
          <w:rFonts w:eastAsia="Calibri"/>
          <w:b w:val="0"/>
          <w:szCs w:val="22"/>
          <w:lang w:val="en-US" w:eastAsia="en-US"/>
        </w:rPr>
        <w:t>գնաժամային տարվա ազդեցությամբ պայմանավորված՝ արտարժույթով արտահայտված պարտավորությունների առկայության պարագայում՝ փոխարժեքի տատանումը հանգեցրել է պարտավորությունների վերագնահատման և համապատասխանաբար փոխարժեքային տարբերությունից վնասների, որոնք արտահայտվել են շահութաբերության կտրուկ անկմամբ</w:t>
      </w:r>
      <w:r w:rsidRPr="007955BB">
        <w:rPr>
          <w:rFonts w:eastAsia="Calibri"/>
          <w:b w:val="0"/>
          <w:szCs w:val="22"/>
          <w:lang w:val="hy-AM" w:eastAsia="en-US"/>
        </w:rPr>
        <w:t xml:space="preserve">, </w:t>
      </w:r>
      <w:r w:rsidRPr="007955BB">
        <w:rPr>
          <w:rFonts w:eastAsia="Calibri"/>
          <w:b w:val="0"/>
          <w:szCs w:val="22"/>
          <w:lang w:val="en-US" w:eastAsia="en-US"/>
        </w:rPr>
        <w:t xml:space="preserve">2021 </w:t>
      </w:r>
      <w:r w:rsidRPr="007955BB">
        <w:rPr>
          <w:rFonts w:eastAsia="Calibri"/>
          <w:b w:val="0"/>
          <w:szCs w:val="22"/>
          <w:lang w:val="hy-AM" w:eastAsia="en-US"/>
        </w:rPr>
        <w:t>թվականի ավարտին փոխարժեքի մակարդակը վերադարձել է նախաճգնաժամյան մակարդակի՝ արդյունքում չեզոքացնելով փոխարժեքի փոփոխությունից առաջացած կապիտալի անկումը</w:t>
      </w:r>
      <w:r w:rsidRPr="007955BB">
        <w:rPr>
          <w:rFonts w:eastAsia="Calibri"/>
          <w:b w:val="0"/>
          <w:szCs w:val="22"/>
          <w:lang w:val="en-US" w:eastAsia="en-US"/>
        </w:rPr>
        <w:t xml:space="preserve">։ </w:t>
      </w:r>
    </w:p>
    <w:p w:rsidR="004644E7" w:rsidRPr="007955BB" w:rsidRDefault="004644E7" w:rsidP="004644E7">
      <w:pPr>
        <w:spacing w:before="0" w:line="276" w:lineRule="auto"/>
        <w:ind w:firstLine="0"/>
        <w:contextualSpacing w:val="0"/>
        <w:rPr>
          <w:rFonts w:eastAsia="Calibri"/>
          <w:b w:val="0"/>
          <w:szCs w:val="22"/>
          <w:lang w:val="en-US" w:eastAsia="en-US"/>
        </w:rPr>
      </w:pPr>
      <w:r w:rsidRPr="007955BB">
        <w:rPr>
          <w:rFonts w:eastAsia="Calibri"/>
          <w:b w:val="0"/>
          <w:szCs w:val="22"/>
          <w:lang w:val="en-US" w:eastAsia="en-US"/>
        </w:rPr>
        <w:t>Հաջորդիվ ներկայացված են խոշոր կուտակված վնասներ ունեցող պետական բաժնեմասնակցությամբ ընկերությունները:</w:t>
      </w:r>
    </w:p>
    <w:p w:rsidR="004644E7" w:rsidRPr="007955BB" w:rsidRDefault="004644E7" w:rsidP="004644E7">
      <w:pPr>
        <w:spacing w:before="0" w:line="276" w:lineRule="auto"/>
        <w:ind w:firstLine="0"/>
        <w:contextualSpacing w:val="0"/>
        <w:rPr>
          <w:rFonts w:eastAsia="Calibri"/>
          <w:b w:val="0"/>
          <w:szCs w:val="22"/>
          <w:lang w:val="en-US" w:eastAsia="en-US"/>
        </w:rPr>
      </w:pPr>
    </w:p>
    <w:p w:rsidR="004644E7" w:rsidRPr="007955BB" w:rsidRDefault="004644E7" w:rsidP="004644E7">
      <w:pPr>
        <w:keepNext/>
        <w:spacing w:before="0" w:line="276" w:lineRule="auto"/>
        <w:ind w:firstLine="0"/>
        <w:contextualSpacing w:val="0"/>
        <w:jc w:val="left"/>
        <w:rPr>
          <w:rFonts w:eastAsia="Calibri"/>
          <w:bCs/>
          <w:i/>
          <w:color w:val="4472C4"/>
          <w:sz w:val="20"/>
          <w:szCs w:val="20"/>
          <w:lang w:val="hy-AM" w:eastAsia="en-US"/>
        </w:rPr>
      </w:pPr>
      <w:bookmarkStart w:id="394" w:name="_Toc120805282"/>
      <w:r w:rsidRPr="007955BB">
        <w:rPr>
          <w:rFonts w:eastAsia="Calibri"/>
          <w:b w:val="0"/>
          <w:bCs/>
          <w:color w:val="4472C4"/>
          <w:sz w:val="18"/>
          <w:szCs w:val="18"/>
          <w:lang w:val="hy-AM" w:eastAsia="en-US"/>
        </w:rPr>
        <w:t xml:space="preserve">Աղյուսակ </w:t>
      </w:r>
      <w:r w:rsidRPr="007955BB">
        <w:rPr>
          <w:rFonts w:eastAsia="Calibri"/>
          <w:b w:val="0"/>
          <w:bCs/>
          <w:color w:val="4472C4"/>
          <w:sz w:val="18"/>
          <w:szCs w:val="18"/>
          <w:lang w:val="hy-AM" w:eastAsia="en-US"/>
        </w:rPr>
        <w:fldChar w:fldCharType="begin"/>
      </w:r>
      <w:r w:rsidRPr="007955BB">
        <w:rPr>
          <w:rFonts w:eastAsia="Calibri"/>
          <w:b w:val="0"/>
          <w:bCs/>
          <w:color w:val="4472C4"/>
          <w:sz w:val="18"/>
          <w:szCs w:val="18"/>
          <w:lang w:val="hy-AM" w:eastAsia="en-US"/>
        </w:rPr>
        <w:instrText xml:space="preserve"> SEQ Աղյուսակ \* ARABIC </w:instrText>
      </w:r>
      <w:r w:rsidRPr="007955BB">
        <w:rPr>
          <w:rFonts w:eastAsia="Calibri"/>
          <w:b w:val="0"/>
          <w:bCs/>
          <w:color w:val="4472C4"/>
          <w:sz w:val="18"/>
          <w:szCs w:val="18"/>
          <w:lang w:val="hy-AM" w:eastAsia="en-US"/>
        </w:rPr>
        <w:fldChar w:fldCharType="separate"/>
      </w:r>
      <w:r w:rsidR="008177DF">
        <w:rPr>
          <w:rFonts w:eastAsia="Calibri"/>
          <w:b w:val="0"/>
          <w:bCs/>
          <w:noProof/>
          <w:color w:val="4472C4"/>
          <w:sz w:val="18"/>
          <w:szCs w:val="18"/>
          <w:lang w:val="hy-AM" w:eastAsia="en-US"/>
        </w:rPr>
        <w:t>23</w:t>
      </w:r>
      <w:r w:rsidRPr="007955BB">
        <w:rPr>
          <w:rFonts w:eastAsia="Calibri"/>
          <w:b w:val="0"/>
          <w:bCs/>
          <w:color w:val="4472C4"/>
          <w:sz w:val="18"/>
          <w:szCs w:val="18"/>
          <w:lang w:val="hy-AM" w:eastAsia="en-US"/>
        </w:rPr>
        <w:fldChar w:fldCharType="end"/>
      </w:r>
      <w:r w:rsidRPr="007955BB">
        <w:rPr>
          <w:rFonts w:eastAsia="Calibri"/>
          <w:bCs/>
          <w:i/>
          <w:color w:val="4472C4"/>
          <w:sz w:val="20"/>
          <w:szCs w:val="20"/>
          <w:lang w:val="hy-AM" w:eastAsia="en-US"/>
        </w:rPr>
        <w:t xml:space="preserve"> Առավելագույն կուտակված վնաս արձանագրված պետական մասնակցությամբ ընկերությունների ցուցանիշները</w:t>
      </w:r>
      <w:bookmarkEnd w:id="394"/>
    </w:p>
    <w:p w:rsidR="004644E7" w:rsidRPr="007955BB" w:rsidRDefault="004644E7" w:rsidP="004644E7">
      <w:pPr>
        <w:keepNext/>
        <w:spacing w:before="0" w:line="276" w:lineRule="auto"/>
        <w:ind w:firstLine="0"/>
        <w:contextualSpacing w:val="0"/>
        <w:jc w:val="right"/>
        <w:rPr>
          <w:rFonts w:eastAsia="Calibri"/>
          <w:bCs/>
          <w:i/>
          <w:color w:val="4472C4"/>
          <w:sz w:val="20"/>
          <w:szCs w:val="20"/>
          <w:lang w:val="hy-AM" w:eastAsia="en-US"/>
        </w:rPr>
      </w:pPr>
      <w:r w:rsidRPr="007955BB">
        <w:rPr>
          <w:rFonts w:eastAsia="Calibri"/>
          <w:bCs/>
          <w:i/>
          <w:color w:val="4472C4"/>
          <w:sz w:val="20"/>
          <w:szCs w:val="20"/>
          <w:lang w:val="hy-AM" w:eastAsia="en-US"/>
        </w:rPr>
        <w:t>մլն դրամ</w:t>
      </w:r>
    </w:p>
    <w:tbl>
      <w:tblPr>
        <w:tblW w:w="10350" w:type="dxa"/>
        <w:tblInd w:w="-100" w:type="dxa"/>
        <w:tblLayout w:type="fixed"/>
        <w:tblLook w:val="04A0" w:firstRow="1" w:lastRow="0" w:firstColumn="1" w:lastColumn="0" w:noHBand="0" w:noVBand="1"/>
      </w:tblPr>
      <w:tblGrid>
        <w:gridCol w:w="1890"/>
        <w:gridCol w:w="900"/>
        <w:gridCol w:w="810"/>
        <w:gridCol w:w="720"/>
        <w:gridCol w:w="810"/>
        <w:gridCol w:w="810"/>
        <w:gridCol w:w="900"/>
        <w:gridCol w:w="885"/>
        <w:gridCol w:w="814"/>
        <w:gridCol w:w="819"/>
        <w:gridCol w:w="992"/>
      </w:tblGrid>
      <w:tr w:rsidR="004644E7" w:rsidRPr="007955BB" w:rsidTr="00D21346">
        <w:trPr>
          <w:trHeight w:val="340"/>
        </w:trPr>
        <w:tc>
          <w:tcPr>
            <w:tcW w:w="1890" w:type="dxa"/>
            <w:vMerge w:val="restart"/>
            <w:tcBorders>
              <w:top w:val="single" w:sz="8" w:space="0" w:color="auto"/>
              <w:left w:val="single" w:sz="8" w:space="0" w:color="auto"/>
              <w:bottom w:val="single" w:sz="8" w:space="0" w:color="000000"/>
              <w:right w:val="single" w:sz="4" w:space="0" w:color="auto"/>
            </w:tcBorders>
            <w:shd w:val="clear" w:color="auto" w:fill="8EAADB"/>
            <w:vAlign w:val="center"/>
            <w:hideMark/>
          </w:tcPr>
          <w:p w:rsidR="004644E7" w:rsidRPr="007955BB" w:rsidRDefault="004644E7" w:rsidP="004644E7">
            <w:pPr>
              <w:spacing w:before="0" w:line="276" w:lineRule="auto"/>
              <w:ind w:firstLine="0"/>
              <w:contextualSpacing w:val="0"/>
              <w:rPr>
                <w:rFonts w:cs="Calibri"/>
                <w:color w:val="FFFFFF"/>
                <w:sz w:val="18"/>
                <w:szCs w:val="18"/>
                <w:lang w:val="en-US" w:eastAsia="en-US"/>
              </w:rPr>
            </w:pPr>
            <w:r w:rsidRPr="007955BB">
              <w:rPr>
                <w:rFonts w:cs="Calibri"/>
                <w:color w:val="FFFFFF"/>
                <w:sz w:val="18"/>
                <w:szCs w:val="18"/>
                <w:lang w:val="en-US" w:eastAsia="en-US"/>
              </w:rPr>
              <w:t xml:space="preserve">Ընկերության Անվանում </w:t>
            </w:r>
          </w:p>
        </w:tc>
        <w:tc>
          <w:tcPr>
            <w:tcW w:w="1710" w:type="dxa"/>
            <w:gridSpan w:val="2"/>
            <w:tcBorders>
              <w:top w:val="single" w:sz="4" w:space="0" w:color="auto"/>
              <w:left w:val="single" w:sz="4" w:space="0" w:color="auto"/>
              <w:bottom w:val="single" w:sz="4" w:space="0" w:color="auto"/>
              <w:right w:val="single" w:sz="4" w:space="0" w:color="auto"/>
            </w:tcBorders>
            <w:shd w:val="clear" w:color="auto" w:fill="8EAADB"/>
            <w:noWrap/>
            <w:vAlign w:val="center"/>
            <w:hideMark/>
          </w:tcPr>
          <w:p w:rsidR="004644E7" w:rsidRPr="007955BB" w:rsidRDefault="004644E7" w:rsidP="004644E7">
            <w:pPr>
              <w:spacing w:before="0" w:line="276" w:lineRule="auto"/>
              <w:ind w:firstLine="0"/>
              <w:contextualSpacing w:val="0"/>
              <w:rPr>
                <w:rFonts w:cs="Calibri"/>
                <w:color w:val="FFFFFF"/>
                <w:sz w:val="18"/>
                <w:szCs w:val="18"/>
                <w:lang w:val="en-US" w:eastAsia="en-US"/>
              </w:rPr>
            </w:pPr>
            <w:r w:rsidRPr="007955BB">
              <w:rPr>
                <w:rFonts w:cs="Calibri"/>
                <w:color w:val="FFFFFF"/>
                <w:sz w:val="18"/>
                <w:szCs w:val="18"/>
                <w:lang w:val="en-US" w:eastAsia="en-US"/>
              </w:rPr>
              <w:t xml:space="preserve"> Կուտակված</w:t>
            </w:r>
            <w:r w:rsidRPr="007955BB">
              <w:rPr>
                <w:rFonts w:cs="Calibri"/>
                <w:color w:val="FFFFFF"/>
                <w:sz w:val="18"/>
                <w:szCs w:val="18"/>
                <w:lang w:val="hy-AM" w:eastAsia="en-US"/>
              </w:rPr>
              <w:t xml:space="preserve"> շահույթ /</w:t>
            </w:r>
            <w:r w:rsidRPr="007955BB">
              <w:rPr>
                <w:rFonts w:cs="Calibri"/>
                <w:color w:val="FFFFFF"/>
                <w:sz w:val="18"/>
                <w:szCs w:val="18"/>
                <w:lang w:val="en-US" w:eastAsia="en-US"/>
              </w:rPr>
              <w:t xml:space="preserve"> վնաս </w:t>
            </w:r>
          </w:p>
        </w:tc>
        <w:tc>
          <w:tcPr>
            <w:tcW w:w="2340" w:type="dxa"/>
            <w:gridSpan w:val="3"/>
            <w:tcBorders>
              <w:top w:val="single" w:sz="4" w:space="0" w:color="auto"/>
              <w:left w:val="single" w:sz="4" w:space="0" w:color="auto"/>
              <w:bottom w:val="single" w:sz="4" w:space="0" w:color="auto"/>
              <w:right w:val="single" w:sz="4" w:space="0" w:color="auto"/>
            </w:tcBorders>
            <w:shd w:val="clear" w:color="auto" w:fill="8EAADB"/>
            <w:noWrap/>
            <w:vAlign w:val="center"/>
            <w:hideMark/>
          </w:tcPr>
          <w:p w:rsidR="004644E7" w:rsidRPr="007955BB" w:rsidRDefault="004644E7" w:rsidP="004644E7">
            <w:pPr>
              <w:spacing w:before="0" w:line="276" w:lineRule="auto"/>
              <w:ind w:firstLine="0"/>
              <w:contextualSpacing w:val="0"/>
              <w:rPr>
                <w:rFonts w:cs="Calibri"/>
                <w:color w:val="FFFFFF"/>
                <w:sz w:val="18"/>
                <w:szCs w:val="18"/>
                <w:lang w:val="en-US" w:eastAsia="en-US"/>
              </w:rPr>
            </w:pPr>
            <w:r w:rsidRPr="007955BB">
              <w:rPr>
                <w:rFonts w:cs="Calibri"/>
                <w:color w:val="FFFFFF"/>
                <w:sz w:val="18"/>
                <w:szCs w:val="18"/>
                <w:lang w:val="en-US" w:eastAsia="en-US"/>
              </w:rPr>
              <w:t xml:space="preserve"> </w:t>
            </w:r>
            <w:r w:rsidRPr="007955BB">
              <w:rPr>
                <w:rFonts w:cs="Calibri"/>
                <w:color w:val="FFFFFF"/>
                <w:sz w:val="18"/>
                <w:szCs w:val="18"/>
                <w:lang w:val="hy-AM" w:eastAsia="en-US"/>
              </w:rPr>
              <w:t>Հ</w:t>
            </w:r>
            <w:r w:rsidRPr="007955BB">
              <w:rPr>
                <w:rFonts w:cs="Calibri"/>
                <w:color w:val="FFFFFF"/>
                <w:sz w:val="18"/>
                <w:szCs w:val="18"/>
                <w:lang w:val="en-US" w:eastAsia="en-US"/>
              </w:rPr>
              <w:t xml:space="preserve">ասույթ </w:t>
            </w:r>
          </w:p>
          <w:p w:rsidR="004644E7" w:rsidRPr="007955BB" w:rsidRDefault="004644E7" w:rsidP="004644E7">
            <w:pPr>
              <w:spacing w:before="0" w:line="276" w:lineRule="auto"/>
              <w:ind w:firstLine="0"/>
              <w:contextualSpacing w:val="0"/>
              <w:rPr>
                <w:rFonts w:cs="Calibri"/>
                <w:color w:val="FFFFFF"/>
                <w:sz w:val="18"/>
                <w:szCs w:val="18"/>
                <w:lang w:val="en-US" w:eastAsia="en-US"/>
              </w:rPr>
            </w:pPr>
            <w:r w:rsidRPr="007955BB">
              <w:rPr>
                <w:rFonts w:ascii="Calibri" w:hAnsi="Calibri" w:cs="Calibri"/>
                <w:color w:val="FFFFFF"/>
                <w:sz w:val="18"/>
                <w:szCs w:val="18"/>
                <w:lang w:val="en-US" w:eastAsia="en-US"/>
              </w:rPr>
              <w:t> </w:t>
            </w:r>
          </w:p>
        </w:tc>
        <w:tc>
          <w:tcPr>
            <w:tcW w:w="2599" w:type="dxa"/>
            <w:gridSpan w:val="3"/>
            <w:tcBorders>
              <w:top w:val="single" w:sz="4" w:space="0" w:color="auto"/>
              <w:left w:val="single" w:sz="4" w:space="0" w:color="auto"/>
              <w:bottom w:val="single" w:sz="4" w:space="0" w:color="auto"/>
              <w:right w:val="single" w:sz="4" w:space="0" w:color="auto"/>
            </w:tcBorders>
            <w:shd w:val="clear" w:color="auto" w:fill="8EAADB"/>
            <w:noWrap/>
            <w:vAlign w:val="center"/>
            <w:hideMark/>
          </w:tcPr>
          <w:p w:rsidR="004644E7" w:rsidRPr="007955BB" w:rsidRDefault="004644E7" w:rsidP="004644E7">
            <w:pPr>
              <w:spacing w:before="0" w:line="276" w:lineRule="auto"/>
              <w:ind w:firstLine="0"/>
              <w:contextualSpacing w:val="0"/>
              <w:rPr>
                <w:rFonts w:cs="Calibri"/>
                <w:color w:val="FFFFFF"/>
                <w:sz w:val="18"/>
                <w:szCs w:val="18"/>
                <w:lang w:val="en-US" w:eastAsia="en-US"/>
              </w:rPr>
            </w:pPr>
            <w:r w:rsidRPr="007955BB">
              <w:rPr>
                <w:rFonts w:cs="Calibri"/>
                <w:color w:val="FFFFFF"/>
                <w:sz w:val="18"/>
                <w:szCs w:val="18"/>
                <w:lang w:val="en-US" w:eastAsia="en-US"/>
              </w:rPr>
              <w:t xml:space="preserve"> Զուտ շահույթ </w:t>
            </w:r>
          </w:p>
          <w:p w:rsidR="004644E7" w:rsidRPr="007955BB" w:rsidRDefault="004644E7" w:rsidP="004644E7">
            <w:pPr>
              <w:spacing w:before="0" w:line="276" w:lineRule="auto"/>
              <w:ind w:firstLine="0"/>
              <w:contextualSpacing w:val="0"/>
              <w:rPr>
                <w:rFonts w:cs="Calibri"/>
                <w:color w:val="FFFFFF"/>
                <w:sz w:val="18"/>
                <w:szCs w:val="18"/>
                <w:lang w:val="en-US" w:eastAsia="en-US"/>
              </w:rPr>
            </w:pPr>
            <w:r w:rsidRPr="007955BB">
              <w:rPr>
                <w:rFonts w:ascii="Calibri" w:hAnsi="Calibri" w:cs="Calibri"/>
                <w:color w:val="FFFFFF"/>
                <w:sz w:val="18"/>
                <w:szCs w:val="18"/>
                <w:lang w:val="en-US" w:eastAsia="en-US"/>
              </w:rPr>
              <w:t> </w:t>
            </w:r>
          </w:p>
        </w:tc>
        <w:tc>
          <w:tcPr>
            <w:tcW w:w="1811" w:type="dxa"/>
            <w:gridSpan w:val="2"/>
            <w:tcBorders>
              <w:top w:val="single" w:sz="4" w:space="0" w:color="auto"/>
              <w:left w:val="single" w:sz="4" w:space="0" w:color="auto"/>
              <w:bottom w:val="single" w:sz="4" w:space="0" w:color="auto"/>
              <w:right w:val="single" w:sz="4" w:space="0" w:color="auto"/>
            </w:tcBorders>
            <w:shd w:val="clear" w:color="auto" w:fill="8EAADB"/>
            <w:vAlign w:val="center"/>
          </w:tcPr>
          <w:p w:rsidR="004644E7" w:rsidRPr="007955BB" w:rsidRDefault="004644E7" w:rsidP="004644E7">
            <w:pPr>
              <w:spacing w:before="0" w:line="276" w:lineRule="auto"/>
              <w:ind w:firstLine="0"/>
              <w:contextualSpacing w:val="0"/>
              <w:rPr>
                <w:rFonts w:cs="Calibri"/>
                <w:color w:val="FFFFFF"/>
                <w:sz w:val="18"/>
                <w:szCs w:val="18"/>
                <w:lang w:val="en-US" w:eastAsia="en-US"/>
              </w:rPr>
            </w:pPr>
            <w:r w:rsidRPr="007955BB">
              <w:rPr>
                <w:rFonts w:cs="Calibri"/>
                <w:color w:val="FFFFFF"/>
                <w:sz w:val="18"/>
                <w:szCs w:val="18"/>
                <w:lang w:val="en-US" w:eastAsia="en-US"/>
              </w:rPr>
              <w:t>Պարտավորություններ</w:t>
            </w:r>
          </w:p>
          <w:p w:rsidR="004644E7" w:rsidRPr="007955BB" w:rsidRDefault="004644E7" w:rsidP="004644E7">
            <w:pPr>
              <w:spacing w:before="0" w:line="276" w:lineRule="auto"/>
              <w:ind w:firstLine="0"/>
              <w:contextualSpacing w:val="0"/>
              <w:jc w:val="left"/>
              <w:rPr>
                <w:rFonts w:cs="Calibri"/>
                <w:color w:val="FFFFFF"/>
                <w:sz w:val="18"/>
                <w:szCs w:val="18"/>
                <w:lang w:val="en-US" w:eastAsia="en-US"/>
              </w:rPr>
            </w:pPr>
            <w:r w:rsidRPr="007955BB">
              <w:rPr>
                <w:rFonts w:ascii="Calibri" w:hAnsi="Calibri" w:cs="Calibri"/>
                <w:color w:val="FFFFFF"/>
                <w:sz w:val="18"/>
                <w:szCs w:val="18"/>
                <w:lang w:val="en-US" w:eastAsia="en-US"/>
              </w:rPr>
              <w:t> </w:t>
            </w:r>
          </w:p>
        </w:tc>
      </w:tr>
      <w:tr w:rsidR="004644E7" w:rsidRPr="007955BB" w:rsidTr="00D21346">
        <w:trPr>
          <w:trHeight w:val="340"/>
        </w:trPr>
        <w:tc>
          <w:tcPr>
            <w:tcW w:w="1890" w:type="dxa"/>
            <w:vMerge/>
            <w:tcBorders>
              <w:top w:val="single" w:sz="8" w:space="0" w:color="auto"/>
              <w:left w:val="single" w:sz="8" w:space="0" w:color="auto"/>
              <w:bottom w:val="single" w:sz="8" w:space="0" w:color="000000"/>
              <w:right w:val="single" w:sz="8" w:space="0" w:color="auto"/>
            </w:tcBorders>
            <w:vAlign w:val="center"/>
            <w:hideMark/>
          </w:tcPr>
          <w:p w:rsidR="004644E7" w:rsidRPr="007955BB" w:rsidRDefault="004644E7" w:rsidP="004644E7">
            <w:pPr>
              <w:spacing w:before="0" w:line="276" w:lineRule="auto"/>
              <w:ind w:firstLine="0"/>
              <w:contextualSpacing w:val="0"/>
              <w:jc w:val="left"/>
              <w:rPr>
                <w:rFonts w:cs="Calibri"/>
                <w:b w:val="0"/>
                <w:sz w:val="18"/>
                <w:szCs w:val="18"/>
                <w:lang w:val="en-US" w:eastAsia="en-US"/>
              </w:rPr>
            </w:pPr>
          </w:p>
        </w:tc>
        <w:tc>
          <w:tcPr>
            <w:tcW w:w="900" w:type="dxa"/>
            <w:tcBorders>
              <w:top w:val="single" w:sz="4" w:space="0" w:color="auto"/>
              <w:left w:val="nil"/>
              <w:bottom w:val="single" w:sz="8" w:space="0" w:color="auto"/>
              <w:right w:val="single" w:sz="4" w:space="0" w:color="auto"/>
            </w:tcBorders>
            <w:shd w:val="clear" w:color="auto" w:fill="FFFFFF" w:themeFill="background1"/>
            <w:noWrap/>
            <w:vAlign w:val="center"/>
            <w:hideMark/>
          </w:tcPr>
          <w:p w:rsidR="004644E7" w:rsidRPr="007955BB" w:rsidRDefault="004644E7" w:rsidP="004644E7">
            <w:pPr>
              <w:spacing w:before="0" w:line="276" w:lineRule="auto"/>
              <w:ind w:firstLine="0"/>
              <w:contextualSpacing w:val="0"/>
              <w:jc w:val="center"/>
              <w:rPr>
                <w:rFonts w:cs="Calibri"/>
                <w:b w:val="0"/>
                <w:sz w:val="18"/>
                <w:szCs w:val="18"/>
                <w:lang w:val="en-US" w:eastAsia="en-US"/>
              </w:rPr>
            </w:pPr>
            <w:r w:rsidRPr="007955BB">
              <w:rPr>
                <w:rFonts w:cs="Calibri"/>
                <w:b w:val="0"/>
                <w:sz w:val="18"/>
                <w:szCs w:val="18"/>
                <w:lang w:val="en-US" w:eastAsia="en-US"/>
              </w:rPr>
              <w:t>2020</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4644E7" w:rsidRPr="007955BB" w:rsidRDefault="004644E7" w:rsidP="004644E7">
            <w:pPr>
              <w:spacing w:before="0" w:line="276" w:lineRule="auto"/>
              <w:ind w:firstLine="0"/>
              <w:contextualSpacing w:val="0"/>
              <w:jc w:val="center"/>
              <w:rPr>
                <w:rFonts w:cs="Calibri"/>
                <w:b w:val="0"/>
                <w:sz w:val="18"/>
                <w:szCs w:val="18"/>
                <w:lang w:val="en-US" w:eastAsia="en-US"/>
              </w:rPr>
            </w:pPr>
            <w:r w:rsidRPr="007955BB">
              <w:rPr>
                <w:rFonts w:cs="Calibri"/>
                <w:b w:val="0"/>
                <w:sz w:val="18"/>
                <w:szCs w:val="18"/>
                <w:lang w:val="en-US" w:eastAsia="en-US"/>
              </w:rPr>
              <w:t>2021</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644E7" w:rsidRPr="007955BB" w:rsidRDefault="004644E7" w:rsidP="004644E7">
            <w:pPr>
              <w:spacing w:before="0" w:line="276" w:lineRule="auto"/>
              <w:ind w:firstLine="0"/>
              <w:contextualSpacing w:val="0"/>
              <w:jc w:val="center"/>
              <w:rPr>
                <w:rFonts w:cs="Calibri"/>
                <w:b w:val="0"/>
                <w:sz w:val="18"/>
                <w:szCs w:val="18"/>
                <w:lang w:val="en-US" w:eastAsia="en-US"/>
              </w:rPr>
            </w:pPr>
            <w:r w:rsidRPr="007955BB">
              <w:rPr>
                <w:rFonts w:cs="Calibri"/>
                <w:b w:val="0"/>
                <w:sz w:val="18"/>
                <w:szCs w:val="18"/>
                <w:lang w:val="en-US" w:eastAsia="en-US"/>
              </w:rPr>
              <w:t>2019</w:t>
            </w:r>
          </w:p>
        </w:tc>
        <w:tc>
          <w:tcPr>
            <w:tcW w:w="810" w:type="dxa"/>
            <w:tcBorders>
              <w:top w:val="single" w:sz="4" w:space="0" w:color="auto"/>
              <w:left w:val="single" w:sz="4" w:space="0" w:color="auto"/>
              <w:bottom w:val="single" w:sz="8" w:space="0" w:color="auto"/>
              <w:right w:val="single" w:sz="8" w:space="0" w:color="auto"/>
            </w:tcBorders>
            <w:shd w:val="clear" w:color="auto" w:fill="FFFFFF" w:themeFill="background1"/>
            <w:noWrap/>
            <w:vAlign w:val="center"/>
            <w:hideMark/>
          </w:tcPr>
          <w:p w:rsidR="004644E7" w:rsidRPr="007955BB" w:rsidRDefault="004644E7" w:rsidP="004644E7">
            <w:pPr>
              <w:spacing w:before="0" w:line="276" w:lineRule="auto"/>
              <w:ind w:firstLine="0"/>
              <w:contextualSpacing w:val="0"/>
              <w:jc w:val="center"/>
              <w:rPr>
                <w:rFonts w:cs="Calibri"/>
                <w:b w:val="0"/>
                <w:sz w:val="18"/>
                <w:szCs w:val="18"/>
                <w:lang w:val="en-US" w:eastAsia="en-US"/>
              </w:rPr>
            </w:pPr>
            <w:r w:rsidRPr="007955BB">
              <w:rPr>
                <w:rFonts w:cs="Calibri"/>
                <w:b w:val="0"/>
                <w:sz w:val="18"/>
                <w:szCs w:val="18"/>
                <w:lang w:val="en-US" w:eastAsia="en-US"/>
              </w:rPr>
              <w:t>2020</w:t>
            </w:r>
          </w:p>
        </w:tc>
        <w:tc>
          <w:tcPr>
            <w:tcW w:w="810" w:type="dxa"/>
            <w:tcBorders>
              <w:top w:val="single" w:sz="4" w:space="0" w:color="auto"/>
              <w:left w:val="nil"/>
              <w:bottom w:val="single" w:sz="8" w:space="0" w:color="auto"/>
              <w:right w:val="single" w:sz="8" w:space="0" w:color="auto"/>
            </w:tcBorders>
            <w:shd w:val="clear" w:color="auto" w:fill="FFFFFF" w:themeFill="background1"/>
            <w:noWrap/>
            <w:vAlign w:val="center"/>
            <w:hideMark/>
          </w:tcPr>
          <w:p w:rsidR="004644E7" w:rsidRPr="007955BB" w:rsidRDefault="004644E7" w:rsidP="004644E7">
            <w:pPr>
              <w:spacing w:before="0" w:line="276" w:lineRule="auto"/>
              <w:ind w:firstLine="0"/>
              <w:contextualSpacing w:val="0"/>
              <w:jc w:val="center"/>
              <w:rPr>
                <w:rFonts w:cs="Calibri"/>
                <w:b w:val="0"/>
                <w:sz w:val="18"/>
                <w:szCs w:val="18"/>
                <w:lang w:val="en-US" w:eastAsia="en-US"/>
              </w:rPr>
            </w:pPr>
            <w:r w:rsidRPr="007955BB">
              <w:rPr>
                <w:rFonts w:cs="Calibri"/>
                <w:b w:val="0"/>
                <w:sz w:val="18"/>
                <w:szCs w:val="18"/>
                <w:lang w:val="en-US" w:eastAsia="en-US"/>
              </w:rPr>
              <w:t>2021</w:t>
            </w:r>
          </w:p>
        </w:tc>
        <w:tc>
          <w:tcPr>
            <w:tcW w:w="900" w:type="dxa"/>
            <w:tcBorders>
              <w:top w:val="single" w:sz="4" w:space="0" w:color="auto"/>
              <w:left w:val="nil"/>
              <w:bottom w:val="single" w:sz="8" w:space="0" w:color="auto"/>
              <w:right w:val="single" w:sz="8" w:space="0" w:color="auto"/>
            </w:tcBorders>
            <w:shd w:val="clear" w:color="auto" w:fill="FFFFFF" w:themeFill="background1"/>
            <w:noWrap/>
            <w:vAlign w:val="center"/>
          </w:tcPr>
          <w:p w:rsidR="004644E7" w:rsidRPr="007955BB" w:rsidRDefault="004644E7" w:rsidP="004644E7">
            <w:pPr>
              <w:spacing w:before="0" w:line="276" w:lineRule="auto"/>
              <w:ind w:firstLine="0"/>
              <w:contextualSpacing w:val="0"/>
              <w:jc w:val="center"/>
              <w:rPr>
                <w:rFonts w:cs="Calibri"/>
                <w:b w:val="0"/>
                <w:sz w:val="18"/>
                <w:szCs w:val="18"/>
                <w:lang w:val="en-US" w:eastAsia="en-US"/>
              </w:rPr>
            </w:pPr>
            <w:r w:rsidRPr="007955BB">
              <w:rPr>
                <w:rFonts w:cs="Calibri"/>
                <w:b w:val="0"/>
                <w:sz w:val="18"/>
                <w:szCs w:val="18"/>
                <w:lang w:val="en-US" w:eastAsia="en-US"/>
              </w:rPr>
              <w:t>2019</w:t>
            </w:r>
          </w:p>
        </w:tc>
        <w:tc>
          <w:tcPr>
            <w:tcW w:w="885" w:type="dxa"/>
            <w:tcBorders>
              <w:top w:val="single" w:sz="4" w:space="0" w:color="auto"/>
              <w:left w:val="nil"/>
              <w:bottom w:val="single" w:sz="8" w:space="0" w:color="auto"/>
              <w:right w:val="single" w:sz="8" w:space="0" w:color="auto"/>
            </w:tcBorders>
            <w:shd w:val="clear" w:color="auto" w:fill="FFFFFF" w:themeFill="background1"/>
            <w:noWrap/>
            <w:vAlign w:val="center"/>
            <w:hideMark/>
          </w:tcPr>
          <w:p w:rsidR="004644E7" w:rsidRPr="007955BB" w:rsidRDefault="004644E7" w:rsidP="004644E7">
            <w:pPr>
              <w:spacing w:before="0" w:line="276" w:lineRule="auto"/>
              <w:ind w:firstLine="0"/>
              <w:contextualSpacing w:val="0"/>
              <w:jc w:val="center"/>
              <w:rPr>
                <w:rFonts w:cs="Calibri"/>
                <w:b w:val="0"/>
                <w:sz w:val="18"/>
                <w:szCs w:val="18"/>
                <w:lang w:val="en-US" w:eastAsia="en-US"/>
              </w:rPr>
            </w:pPr>
            <w:r w:rsidRPr="007955BB">
              <w:rPr>
                <w:rFonts w:cs="Calibri"/>
                <w:b w:val="0"/>
                <w:sz w:val="18"/>
                <w:szCs w:val="18"/>
                <w:lang w:val="en-US" w:eastAsia="en-US"/>
              </w:rPr>
              <w:t>2020</w:t>
            </w:r>
          </w:p>
        </w:tc>
        <w:tc>
          <w:tcPr>
            <w:tcW w:w="814" w:type="dxa"/>
            <w:tcBorders>
              <w:top w:val="single" w:sz="4" w:space="0" w:color="auto"/>
              <w:left w:val="nil"/>
              <w:bottom w:val="single" w:sz="8" w:space="0" w:color="auto"/>
              <w:right w:val="single" w:sz="8" w:space="0" w:color="auto"/>
            </w:tcBorders>
            <w:shd w:val="clear" w:color="auto" w:fill="FFFFFF" w:themeFill="background1"/>
            <w:noWrap/>
            <w:vAlign w:val="center"/>
            <w:hideMark/>
          </w:tcPr>
          <w:p w:rsidR="004644E7" w:rsidRPr="007955BB" w:rsidRDefault="004644E7" w:rsidP="004644E7">
            <w:pPr>
              <w:spacing w:before="0" w:line="276" w:lineRule="auto"/>
              <w:ind w:firstLine="0"/>
              <w:contextualSpacing w:val="0"/>
              <w:jc w:val="center"/>
              <w:rPr>
                <w:rFonts w:cs="Calibri"/>
                <w:b w:val="0"/>
                <w:sz w:val="18"/>
                <w:szCs w:val="18"/>
                <w:lang w:val="en-US" w:eastAsia="en-US"/>
              </w:rPr>
            </w:pPr>
            <w:r w:rsidRPr="007955BB">
              <w:rPr>
                <w:rFonts w:cs="Calibri"/>
                <w:b w:val="0"/>
                <w:sz w:val="18"/>
                <w:szCs w:val="18"/>
                <w:lang w:val="en-US" w:eastAsia="en-US"/>
              </w:rPr>
              <w:t>2021</w:t>
            </w:r>
          </w:p>
        </w:tc>
        <w:tc>
          <w:tcPr>
            <w:tcW w:w="819" w:type="dxa"/>
            <w:tcBorders>
              <w:top w:val="single" w:sz="4" w:space="0" w:color="auto"/>
              <w:left w:val="nil"/>
              <w:bottom w:val="single" w:sz="8" w:space="0" w:color="auto"/>
              <w:right w:val="single" w:sz="8" w:space="0" w:color="auto"/>
            </w:tcBorders>
            <w:shd w:val="clear" w:color="auto" w:fill="FFFFFF" w:themeFill="background1"/>
            <w:noWrap/>
            <w:vAlign w:val="center"/>
            <w:hideMark/>
          </w:tcPr>
          <w:p w:rsidR="004644E7" w:rsidRPr="007955BB" w:rsidRDefault="004644E7" w:rsidP="004644E7">
            <w:pPr>
              <w:spacing w:before="0" w:line="276" w:lineRule="auto"/>
              <w:ind w:firstLine="0"/>
              <w:contextualSpacing w:val="0"/>
              <w:jc w:val="center"/>
              <w:rPr>
                <w:rFonts w:cs="Calibri"/>
                <w:b w:val="0"/>
                <w:sz w:val="18"/>
                <w:szCs w:val="18"/>
                <w:lang w:val="en-US" w:eastAsia="en-US"/>
              </w:rPr>
            </w:pPr>
            <w:r w:rsidRPr="007955BB">
              <w:rPr>
                <w:rFonts w:cs="Calibri"/>
                <w:b w:val="0"/>
                <w:sz w:val="18"/>
                <w:szCs w:val="18"/>
                <w:lang w:val="en-US" w:eastAsia="en-US"/>
              </w:rPr>
              <w:t>2020</w:t>
            </w:r>
          </w:p>
        </w:tc>
        <w:tc>
          <w:tcPr>
            <w:tcW w:w="992" w:type="dxa"/>
            <w:tcBorders>
              <w:top w:val="single" w:sz="4" w:space="0" w:color="auto"/>
              <w:left w:val="nil"/>
              <w:bottom w:val="single" w:sz="8" w:space="0" w:color="auto"/>
              <w:right w:val="single" w:sz="8" w:space="0" w:color="auto"/>
            </w:tcBorders>
            <w:shd w:val="clear" w:color="auto" w:fill="FFFFFF" w:themeFill="background1"/>
            <w:noWrap/>
            <w:vAlign w:val="center"/>
            <w:hideMark/>
          </w:tcPr>
          <w:p w:rsidR="004644E7" w:rsidRPr="007955BB" w:rsidRDefault="004644E7" w:rsidP="004644E7">
            <w:pPr>
              <w:spacing w:before="0" w:line="276" w:lineRule="auto"/>
              <w:ind w:firstLine="0"/>
              <w:contextualSpacing w:val="0"/>
              <w:jc w:val="center"/>
              <w:rPr>
                <w:rFonts w:cs="Calibri"/>
                <w:b w:val="0"/>
                <w:sz w:val="18"/>
                <w:szCs w:val="18"/>
                <w:lang w:val="en-US" w:eastAsia="en-US"/>
              </w:rPr>
            </w:pPr>
            <w:r w:rsidRPr="007955BB">
              <w:rPr>
                <w:rFonts w:cs="Calibri"/>
                <w:b w:val="0"/>
                <w:sz w:val="18"/>
                <w:szCs w:val="18"/>
                <w:lang w:val="en-US" w:eastAsia="en-US"/>
              </w:rPr>
              <w:t>2021</w:t>
            </w:r>
          </w:p>
        </w:tc>
      </w:tr>
      <w:tr w:rsidR="004644E7" w:rsidRPr="007955BB" w:rsidTr="00D21346">
        <w:trPr>
          <w:trHeight w:val="547"/>
        </w:trPr>
        <w:tc>
          <w:tcPr>
            <w:tcW w:w="1890" w:type="dxa"/>
            <w:tcBorders>
              <w:top w:val="nil"/>
              <w:left w:val="single" w:sz="8" w:space="0" w:color="auto"/>
              <w:bottom w:val="single" w:sz="8" w:space="0" w:color="auto"/>
              <w:right w:val="single" w:sz="8" w:space="0" w:color="auto"/>
            </w:tcBorders>
            <w:shd w:val="clear" w:color="auto" w:fill="auto"/>
            <w:vAlign w:val="center"/>
          </w:tcPr>
          <w:p w:rsidR="004644E7" w:rsidRPr="007955BB" w:rsidRDefault="004644E7" w:rsidP="00D21346">
            <w:pPr>
              <w:spacing w:before="0" w:line="240" w:lineRule="auto"/>
              <w:ind w:firstLine="0"/>
              <w:contextualSpacing w:val="0"/>
              <w:rPr>
                <w:rFonts w:cs="Calibri"/>
                <w:b w:val="0"/>
                <w:sz w:val="18"/>
                <w:szCs w:val="18"/>
                <w:lang w:val="en-US" w:eastAsia="en-US"/>
              </w:rPr>
            </w:pPr>
            <w:r w:rsidRPr="007955BB">
              <w:rPr>
                <w:rFonts w:eastAsia="Calibri" w:cs="Calibri"/>
                <w:b w:val="0"/>
                <w:sz w:val="18"/>
                <w:szCs w:val="18"/>
                <w:lang w:val="en-US" w:eastAsia="en-US"/>
              </w:rPr>
              <w:t xml:space="preserve"> «Երևանի ջերմա</w:t>
            </w:r>
            <w:r w:rsidR="00D21346" w:rsidRPr="007955BB">
              <w:rPr>
                <w:rFonts w:eastAsia="Calibri" w:cs="Calibri"/>
                <w:b w:val="0"/>
                <w:sz w:val="18"/>
                <w:szCs w:val="18"/>
                <w:lang w:val="en-US" w:eastAsia="en-US"/>
              </w:rPr>
              <w:t>-</w:t>
            </w:r>
            <w:r w:rsidRPr="007955BB">
              <w:rPr>
                <w:rFonts w:eastAsia="Calibri" w:cs="Calibri"/>
                <w:b w:val="0"/>
                <w:sz w:val="18"/>
                <w:szCs w:val="18"/>
                <w:lang w:val="en-US" w:eastAsia="en-US"/>
              </w:rPr>
              <w:t>էլեկտրակենտրոն</w:t>
            </w:r>
            <w:r w:rsidRPr="007955BB">
              <w:rPr>
                <w:rFonts w:eastAsia="Calibri" w:cs="Calibri"/>
                <w:b w:val="0"/>
                <w:sz w:val="18"/>
                <w:szCs w:val="18"/>
                <w:lang w:val="hy-AM" w:eastAsia="en-US"/>
              </w:rPr>
              <w:t>»</w:t>
            </w:r>
            <w:r w:rsidRPr="007955BB">
              <w:rPr>
                <w:rFonts w:eastAsia="Calibri" w:cs="Calibri"/>
                <w:b w:val="0"/>
                <w:sz w:val="18"/>
                <w:szCs w:val="18"/>
                <w:lang w:val="en-US" w:eastAsia="en-US"/>
              </w:rPr>
              <w:t xml:space="preserve"> ՓԲԸ </w:t>
            </w:r>
          </w:p>
        </w:tc>
        <w:tc>
          <w:tcPr>
            <w:tcW w:w="900" w:type="dxa"/>
            <w:tcBorders>
              <w:top w:val="nil"/>
              <w:left w:val="nil"/>
              <w:bottom w:val="single" w:sz="8" w:space="0" w:color="auto"/>
              <w:right w:val="single" w:sz="8"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(28,463)</w:t>
            </w:r>
          </w:p>
        </w:tc>
        <w:tc>
          <w:tcPr>
            <w:tcW w:w="810" w:type="dxa"/>
            <w:tcBorders>
              <w:top w:val="nil"/>
              <w:left w:val="nil"/>
              <w:bottom w:val="single" w:sz="8" w:space="0" w:color="auto"/>
              <w:right w:val="single" w:sz="8"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cs="Calibri"/>
                <w:b w:val="0"/>
                <w:sz w:val="16"/>
                <w:szCs w:val="16"/>
                <w:lang w:val="en-US" w:eastAsia="en-US"/>
              </w:rPr>
              <w:t>(9,007)</w:t>
            </w:r>
          </w:p>
        </w:tc>
        <w:tc>
          <w:tcPr>
            <w:tcW w:w="720" w:type="dxa"/>
            <w:tcBorders>
              <w:top w:val="nil"/>
              <w:left w:val="nil"/>
              <w:bottom w:val="single" w:sz="8" w:space="0" w:color="auto"/>
              <w:right w:val="single" w:sz="8"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cs="Calibri"/>
                <w:b w:val="0"/>
                <w:sz w:val="16"/>
                <w:szCs w:val="16"/>
                <w:lang w:val="en-US" w:eastAsia="en-US"/>
              </w:rPr>
              <w:t>78,525</w:t>
            </w:r>
          </w:p>
        </w:tc>
        <w:tc>
          <w:tcPr>
            <w:tcW w:w="810" w:type="dxa"/>
            <w:tcBorders>
              <w:top w:val="nil"/>
              <w:left w:val="nil"/>
              <w:bottom w:val="single" w:sz="8" w:space="0" w:color="auto"/>
              <w:right w:val="single" w:sz="8" w:space="0" w:color="auto"/>
            </w:tcBorders>
            <w:shd w:val="clear" w:color="auto" w:fill="auto"/>
            <w:noWrap/>
            <w:vAlign w:val="center"/>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cs="Calibri"/>
                <w:b w:val="0"/>
                <w:sz w:val="16"/>
                <w:szCs w:val="16"/>
                <w:lang w:val="en-US" w:eastAsia="en-US"/>
              </w:rPr>
              <w:t xml:space="preserve"> </w:t>
            </w:r>
          </w:p>
          <w:p w:rsidR="004644E7" w:rsidRPr="007955BB" w:rsidRDefault="004644E7" w:rsidP="004644E7">
            <w:pPr>
              <w:spacing w:before="0" w:line="276" w:lineRule="auto"/>
              <w:ind w:firstLine="0"/>
              <w:contextualSpacing w:val="0"/>
              <w:rPr>
                <w:rFonts w:cs="Calibri"/>
                <w:b w:val="0"/>
                <w:sz w:val="16"/>
                <w:szCs w:val="16"/>
                <w:lang w:val="en-US" w:eastAsia="en-US"/>
              </w:rPr>
            </w:pPr>
          </w:p>
          <w:p w:rsidR="004644E7" w:rsidRPr="007955BB" w:rsidRDefault="004644E7" w:rsidP="004644E7">
            <w:pPr>
              <w:spacing w:before="0" w:line="276" w:lineRule="auto"/>
              <w:ind w:firstLine="0"/>
              <w:contextualSpacing w:val="0"/>
              <w:rPr>
                <w:rFonts w:cs="Calibri"/>
                <w:b w:val="0"/>
                <w:sz w:val="16"/>
                <w:szCs w:val="16"/>
                <w:lang w:val="en-US" w:eastAsia="en-US"/>
              </w:rPr>
            </w:pPr>
          </w:p>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cs="Calibri"/>
                <w:b w:val="0"/>
                <w:sz w:val="16"/>
                <w:szCs w:val="16"/>
                <w:lang w:val="en-US" w:eastAsia="en-US"/>
              </w:rPr>
              <w:t xml:space="preserve">84,091 </w:t>
            </w:r>
          </w:p>
        </w:tc>
        <w:tc>
          <w:tcPr>
            <w:tcW w:w="810" w:type="dxa"/>
            <w:tcBorders>
              <w:top w:val="nil"/>
              <w:left w:val="nil"/>
              <w:bottom w:val="single" w:sz="8" w:space="0" w:color="auto"/>
              <w:right w:val="single" w:sz="8" w:space="0" w:color="auto"/>
            </w:tcBorders>
            <w:shd w:val="clear" w:color="auto" w:fill="auto"/>
            <w:noWrap/>
            <w:vAlign w:val="center"/>
          </w:tcPr>
          <w:p w:rsidR="004644E7" w:rsidRPr="007955BB" w:rsidRDefault="004644E7" w:rsidP="004644E7">
            <w:pPr>
              <w:spacing w:before="0" w:line="276" w:lineRule="auto"/>
              <w:ind w:firstLine="0"/>
              <w:contextualSpacing w:val="0"/>
              <w:rPr>
                <w:rFonts w:cs="Calibri"/>
                <w:b w:val="0"/>
                <w:sz w:val="16"/>
                <w:szCs w:val="16"/>
                <w:lang w:val="en-US" w:eastAsia="en-US"/>
              </w:rPr>
            </w:pPr>
          </w:p>
          <w:p w:rsidR="004644E7" w:rsidRPr="007955BB" w:rsidRDefault="004644E7" w:rsidP="004644E7">
            <w:pPr>
              <w:spacing w:before="0" w:line="276" w:lineRule="auto"/>
              <w:ind w:firstLine="0"/>
              <w:contextualSpacing w:val="0"/>
              <w:rPr>
                <w:rFonts w:cs="Calibri"/>
                <w:b w:val="0"/>
                <w:sz w:val="16"/>
                <w:szCs w:val="16"/>
                <w:lang w:val="en-US" w:eastAsia="en-US"/>
              </w:rPr>
            </w:pPr>
          </w:p>
          <w:p w:rsidR="004644E7" w:rsidRPr="007955BB" w:rsidRDefault="004644E7" w:rsidP="004644E7">
            <w:pPr>
              <w:spacing w:before="0" w:line="276" w:lineRule="auto"/>
              <w:ind w:firstLine="0"/>
              <w:contextualSpacing w:val="0"/>
              <w:rPr>
                <w:rFonts w:cs="Calibri"/>
                <w:b w:val="0"/>
                <w:sz w:val="16"/>
                <w:szCs w:val="16"/>
                <w:lang w:val="en-US" w:eastAsia="en-US"/>
              </w:rPr>
            </w:pPr>
          </w:p>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cs="Calibri"/>
                <w:b w:val="0"/>
                <w:sz w:val="16"/>
                <w:szCs w:val="16"/>
                <w:lang w:val="en-US" w:eastAsia="en-US"/>
              </w:rPr>
              <w:t xml:space="preserve"> 66,628 </w:t>
            </w:r>
          </w:p>
        </w:tc>
        <w:tc>
          <w:tcPr>
            <w:tcW w:w="900" w:type="dxa"/>
            <w:tcBorders>
              <w:top w:val="nil"/>
              <w:left w:val="nil"/>
              <w:bottom w:val="single" w:sz="8" w:space="0" w:color="auto"/>
              <w:right w:val="single" w:sz="8"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cs="Calibri"/>
                <w:b w:val="0"/>
                <w:sz w:val="16"/>
                <w:szCs w:val="16"/>
                <w:lang w:val="en-US" w:eastAsia="en-US"/>
              </w:rPr>
              <w:t>1,262</w:t>
            </w:r>
          </w:p>
        </w:tc>
        <w:tc>
          <w:tcPr>
            <w:tcW w:w="885" w:type="dxa"/>
            <w:tcBorders>
              <w:top w:val="nil"/>
              <w:left w:val="nil"/>
              <w:bottom w:val="single" w:sz="8" w:space="0" w:color="auto"/>
              <w:right w:val="single" w:sz="8" w:space="0" w:color="auto"/>
            </w:tcBorders>
            <w:shd w:val="clear" w:color="auto" w:fill="auto"/>
            <w:noWrap/>
            <w:vAlign w:val="center"/>
          </w:tcPr>
          <w:p w:rsidR="004644E7" w:rsidRPr="007955BB" w:rsidRDefault="004644E7" w:rsidP="004644E7">
            <w:pPr>
              <w:spacing w:before="0" w:line="276" w:lineRule="auto"/>
              <w:ind w:firstLine="0"/>
              <w:contextualSpacing w:val="0"/>
              <w:rPr>
                <w:rFonts w:cs="Calibri"/>
                <w:b w:val="0"/>
                <w:sz w:val="16"/>
                <w:szCs w:val="16"/>
                <w:lang w:val="en-US" w:eastAsia="en-US"/>
              </w:rPr>
            </w:pPr>
          </w:p>
          <w:p w:rsidR="004644E7" w:rsidRPr="007955BB" w:rsidRDefault="004644E7" w:rsidP="004644E7">
            <w:pPr>
              <w:spacing w:before="0" w:line="276" w:lineRule="auto"/>
              <w:ind w:firstLine="0"/>
              <w:contextualSpacing w:val="0"/>
              <w:rPr>
                <w:rFonts w:cs="Calibri"/>
                <w:b w:val="0"/>
                <w:sz w:val="16"/>
                <w:szCs w:val="16"/>
                <w:lang w:val="en-US" w:eastAsia="en-US"/>
              </w:rPr>
            </w:pPr>
          </w:p>
          <w:p w:rsidR="004644E7" w:rsidRPr="007955BB" w:rsidRDefault="004644E7" w:rsidP="004644E7">
            <w:pPr>
              <w:spacing w:before="0" w:line="276" w:lineRule="auto"/>
              <w:ind w:firstLine="0"/>
              <w:contextualSpacing w:val="0"/>
              <w:rPr>
                <w:rFonts w:cs="Calibri"/>
                <w:b w:val="0"/>
                <w:sz w:val="16"/>
                <w:szCs w:val="16"/>
                <w:lang w:val="en-US" w:eastAsia="en-US"/>
              </w:rPr>
            </w:pPr>
          </w:p>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cs="Calibri"/>
                <w:b w:val="0"/>
                <w:sz w:val="16"/>
                <w:szCs w:val="16"/>
                <w:lang w:val="en-US" w:eastAsia="en-US"/>
              </w:rPr>
              <w:t>(11,972)</w:t>
            </w:r>
          </w:p>
        </w:tc>
        <w:tc>
          <w:tcPr>
            <w:tcW w:w="814" w:type="dxa"/>
            <w:tcBorders>
              <w:top w:val="nil"/>
              <w:left w:val="nil"/>
              <w:bottom w:val="single" w:sz="8" w:space="0" w:color="auto"/>
              <w:right w:val="single" w:sz="8" w:space="0" w:color="auto"/>
            </w:tcBorders>
            <w:shd w:val="clear" w:color="auto" w:fill="auto"/>
            <w:noWrap/>
            <w:vAlign w:val="center"/>
          </w:tcPr>
          <w:p w:rsidR="004644E7" w:rsidRPr="007955BB" w:rsidRDefault="004644E7" w:rsidP="004644E7">
            <w:pPr>
              <w:spacing w:before="0" w:line="276" w:lineRule="auto"/>
              <w:ind w:firstLine="0"/>
              <w:contextualSpacing w:val="0"/>
              <w:rPr>
                <w:rFonts w:cs="Calibri"/>
                <w:b w:val="0"/>
                <w:sz w:val="16"/>
                <w:szCs w:val="16"/>
                <w:lang w:val="en-US" w:eastAsia="en-US"/>
              </w:rPr>
            </w:pPr>
          </w:p>
          <w:p w:rsidR="004644E7" w:rsidRPr="007955BB" w:rsidRDefault="004644E7" w:rsidP="004644E7">
            <w:pPr>
              <w:spacing w:before="0" w:line="276" w:lineRule="auto"/>
              <w:ind w:firstLine="0"/>
              <w:contextualSpacing w:val="0"/>
              <w:rPr>
                <w:rFonts w:cs="Calibri"/>
                <w:b w:val="0"/>
                <w:sz w:val="16"/>
                <w:szCs w:val="16"/>
                <w:lang w:val="en-US" w:eastAsia="en-US"/>
              </w:rPr>
            </w:pPr>
          </w:p>
          <w:p w:rsidR="004644E7" w:rsidRPr="007955BB" w:rsidRDefault="004644E7" w:rsidP="004644E7">
            <w:pPr>
              <w:spacing w:before="0" w:line="276" w:lineRule="auto"/>
              <w:ind w:firstLine="0"/>
              <w:contextualSpacing w:val="0"/>
              <w:rPr>
                <w:rFonts w:cs="Calibri"/>
                <w:b w:val="0"/>
                <w:sz w:val="16"/>
                <w:szCs w:val="16"/>
                <w:lang w:val="en-US" w:eastAsia="en-US"/>
              </w:rPr>
            </w:pPr>
          </w:p>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cs="Calibri"/>
                <w:b w:val="0"/>
                <w:sz w:val="16"/>
                <w:szCs w:val="16"/>
                <w:lang w:val="en-US" w:eastAsia="en-US"/>
              </w:rPr>
              <w:t xml:space="preserve">1,857 </w:t>
            </w:r>
          </w:p>
        </w:tc>
        <w:tc>
          <w:tcPr>
            <w:tcW w:w="819" w:type="dxa"/>
            <w:tcBorders>
              <w:top w:val="nil"/>
              <w:left w:val="nil"/>
              <w:bottom w:val="single" w:sz="8" w:space="0" w:color="auto"/>
              <w:right w:val="single" w:sz="8"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hy-AM" w:eastAsia="en-US"/>
              </w:rPr>
              <w:t>154, 154</w:t>
            </w:r>
          </w:p>
        </w:tc>
        <w:tc>
          <w:tcPr>
            <w:tcW w:w="992" w:type="dxa"/>
            <w:tcBorders>
              <w:top w:val="nil"/>
              <w:left w:val="nil"/>
              <w:bottom w:val="single" w:sz="8" w:space="0" w:color="auto"/>
              <w:right w:val="single" w:sz="8"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cs="Calibri"/>
                <w:b w:val="0"/>
                <w:sz w:val="16"/>
                <w:szCs w:val="16"/>
                <w:lang w:val="hy-AM" w:eastAsia="en-US"/>
              </w:rPr>
              <w:t>128,788</w:t>
            </w:r>
          </w:p>
        </w:tc>
      </w:tr>
      <w:tr w:rsidR="004644E7" w:rsidRPr="007955BB" w:rsidTr="00D21346">
        <w:trPr>
          <w:trHeight w:val="607"/>
        </w:trPr>
        <w:tc>
          <w:tcPr>
            <w:tcW w:w="1890" w:type="dxa"/>
            <w:tcBorders>
              <w:top w:val="nil"/>
              <w:left w:val="single" w:sz="8" w:space="0" w:color="auto"/>
              <w:bottom w:val="single" w:sz="8" w:space="0" w:color="auto"/>
              <w:right w:val="single" w:sz="8" w:space="0" w:color="auto"/>
            </w:tcBorders>
            <w:shd w:val="clear" w:color="auto" w:fill="DBE5F1" w:themeFill="accent1" w:themeFillTint="33"/>
            <w:vAlign w:val="center"/>
            <w:hideMark/>
          </w:tcPr>
          <w:p w:rsidR="004644E7" w:rsidRPr="007955BB" w:rsidRDefault="004644E7" w:rsidP="00D21346">
            <w:pPr>
              <w:spacing w:before="0" w:line="240" w:lineRule="auto"/>
              <w:ind w:firstLine="0"/>
              <w:contextualSpacing w:val="0"/>
              <w:rPr>
                <w:rFonts w:cs="Calibri"/>
                <w:b w:val="0"/>
                <w:sz w:val="18"/>
                <w:szCs w:val="18"/>
                <w:lang w:val="en-US" w:eastAsia="en-US"/>
              </w:rPr>
            </w:pPr>
            <w:r w:rsidRPr="007955BB">
              <w:rPr>
                <w:rFonts w:eastAsia="Calibri" w:cs="Calibri"/>
                <w:b w:val="0"/>
                <w:sz w:val="18"/>
                <w:szCs w:val="18"/>
                <w:lang w:val="en-US" w:eastAsia="en-US"/>
              </w:rPr>
              <w:t>Լոռի-ջրմուղ</w:t>
            </w:r>
            <w:r w:rsidR="00D21346" w:rsidRPr="007955BB">
              <w:rPr>
                <w:rFonts w:eastAsia="Calibri" w:cs="Calibri"/>
                <w:b w:val="0"/>
                <w:sz w:val="18"/>
                <w:szCs w:val="18"/>
                <w:lang w:val="en-US" w:eastAsia="en-US"/>
              </w:rPr>
              <w:t>-</w:t>
            </w:r>
            <w:r w:rsidRPr="007955BB">
              <w:rPr>
                <w:rFonts w:eastAsia="Calibri" w:cs="Calibri"/>
                <w:b w:val="0"/>
                <w:sz w:val="18"/>
                <w:szCs w:val="18"/>
                <w:lang w:val="en-US" w:eastAsia="en-US"/>
              </w:rPr>
              <w:t>կոյուղի ՓԲԸ</w:t>
            </w:r>
          </w:p>
        </w:tc>
        <w:tc>
          <w:tcPr>
            <w:tcW w:w="900" w:type="dxa"/>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hy-AM" w:eastAsia="en-US"/>
              </w:rPr>
              <w:t xml:space="preserve"> -</w:t>
            </w:r>
          </w:p>
        </w:tc>
        <w:tc>
          <w:tcPr>
            <w:tcW w:w="810" w:type="dxa"/>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(4,538)</w:t>
            </w:r>
          </w:p>
        </w:tc>
        <w:tc>
          <w:tcPr>
            <w:tcW w:w="720" w:type="dxa"/>
            <w:tcBorders>
              <w:top w:val="nil"/>
              <w:left w:val="nil"/>
              <w:bottom w:val="single" w:sz="8" w:space="0" w:color="auto"/>
              <w:right w:val="single" w:sz="8"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1,544</w:t>
            </w:r>
          </w:p>
        </w:tc>
        <w:tc>
          <w:tcPr>
            <w:tcW w:w="810" w:type="dxa"/>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hy-AM" w:eastAsia="en-US"/>
              </w:rPr>
              <w:t>-</w:t>
            </w:r>
          </w:p>
        </w:tc>
        <w:tc>
          <w:tcPr>
            <w:tcW w:w="810" w:type="dxa"/>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2,471</w:t>
            </w:r>
          </w:p>
        </w:tc>
        <w:tc>
          <w:tcPr>
            <w:tcW w:w="900" w:type="dxa"/>
            <w:tcBorders>
              <w:top w:val="nil"/>
              <w:left w:val="nil"/>
              <w:bottom w:val="single" w:sz="8" w:space="0" w:color="auto"/>
              <w:right w:val="single" w:sz="8"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1,543 </w:t>
            </w:r>
          </w:p>
        </w:tc>
        <w:tc>
          <w:tcPr>
            <w:tcW w:w="885" w:type="dxa"/>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w:t>
            </w:r>
          </w:p>
        </w:tc>
        <w:tc>
          <w:tcPr>
            <w:tcW w:w="814" w:type="dxa"/>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(3)</w:t>
            </w:r>
          </w:p>
        </w:tc>
        <w:tc>
          <w:tcPr>
            <w:tcW w:w="819" w:type="dxa"/>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w:t>
            </w:r>
          </w:p>
        </w:tc>
        <w:tc>
          <w:tcPr>
            <w:tcW w:w="992" w:type="dxa"/>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86</w:t>
            </w:r>
          </w:p>
        </w:tc>
      </w:tr>
      <w:tr w:rsidR="004644E7" w:rsidRPr="007955BB" w:rsidTr="00D21346">
        <w:trPr>
          <w:trHeight w:val="420"/>
        </w:trPr>
        <w:tc>
          <w:tcPr>
            <w:tcW w:w="1890" w:type="dxa"/>
            <w:tcBorders>
              <w:top w:val="nil"/>
              <w:left w:val="single" w:sz="8" w:space="0" w:color="auto"/>
              <w:bottom w:val="single" w:sz="8" w:space="0" w:color="auto"/>
              <w:right w:val="single" w:sz="8" w:space="0" w:color="auto"/>
            </w:tcBorders>
            <w:shd w:val="clear" w:color="auto" w:fill="auto"/>
            <w:vAlign w:val="center"/>
          </w:tcPr>
          <w:p w:rsidR="004644E7" w:rsidRPr="007955BB" w:rsidRDefault="004644E7" w:rsidP="00D21346">
            <w:pPr>
              <w:spacing w:before="0" w:line="240" w:lineRule="auto"/>
              <w:ind w:firstLine="0"/>
              <w:contextualSpacing w:val="0"/>
              <w:rPr>
                <w:rFonts w:cs="Calibri"/>
                <w:b w:val="0"/>
                <w:sz w:val="18"/>
                <w:szCs w:val="18"/>
                <w:lang w:val="en-US" w:eastAsia="en-US"/>
              </w:rPr>
            </w:pPr>
            <w:r w:rsidRPr="007955BB">
              <w:rPr>
                <w:rFonts w:eastAsia="Calibri" w:cs="Calibri"/>
                <w:b w:val="0"/>
                <w:sz w:val="18"/>
                <w:szCs w:val="18"/>
                <w:lang w:val="en-US" w:eastAsia="en-US"/>
              </w:rPr>
              <w:t>Նոր Ակունք ՓԲԸ</w:t>
            </w:r>
          </w:p>
        </w:tc>
        <w:tc>
          <w:tcPr>
            <w:tcW w:w="900" w:type="dxa"/>
            <w:tcBorders>
              <w:top w:val="nil"/>
              <w:left w:val="nil"/>
              <w:bottom w:val="single" w:sz="8" w:space="0" w:color="auto"/>
              <w:right w:val="single" w:sz="8"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w:t>
            </w:r>
          </w:p>
        </w:tc>
        <w:tc>
          <w:tcPr>
            <w:tcW w:w="810" w:type="dxa"/>
            <w:tcBorders>
              <w:top w:val="nil"/>
              <w:left w:val="nil"/>
              <w:bottom w:val="single" w:sz="8" w:space="0" w:color="auto"/>
              <w:right w:val="single" w:sz="8"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(4,269)</w:t>
            </w:r>
          </w:p>
        </w:tc>
        <w:tc>
          <w:tcPr>
            <w:tcW w:w="720" w:type="dxa"/>
            <w:tcBorders>
              <w:top w:val="nil"/>
              <w:left w:val="nil"/>
              <w:bottom w:val="single" w:sz="8" w:space="0" w:color="auto"/>
              <w:right w:val="single" w:sz="8"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56</w:t>
            </w:r>
          </w:p>
        </w:tc>
        <w:tc>
          <w:tcPr>
            <w:tcW w:w="810" w:type="dxa"/>
            <w:tcBorders>
              <w:top w:val="nil"/>
              <w:left w:val="nil"/>
              <w:bottom w:val="single" w:sz="8" w:space="0" w:color="auto"/>
              <w:right w:val="single" w:sz="8"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p>
        </w:tc>
        <w:tc>
          <w:tcPr>
            <w:tcW w:w="810" w:type="dxa"/>
            <w:tcBorders>
              <w:top w:val="nil"/>
              <w:left w:val="nil"/>
              <w:bottom w:val="single" w:sz="8" w:space="0" w:color="auto"/>
              <w:right w:val="single" w:sz="8"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4</w:t>
            </w:r>
          </w:p>
        </w:tc>
        <w:tc>
          <w:tcPr>
            <w:tcW w:w="900" w:type="dxa"/>
            <w:tcBorders>
              <w:top w:val="nil"/>
              <w:left w:val="nil"/>
              <w:bottom w:val="single" w:sz="8" w:space="0" w:color="auto"/>
              <w:right w:val="single" w:sz="8"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56</w:t>
            </w:r>
          </w:p>
        </w:tc>
        <w:tc>
          <w:tcPr>
            <w:tcW w:w="885" w:type="dxa"/>
            <w:tcBorders>
              <w:top w:val="nil"/>
              <w:left w:val="nil"/>
              <w:bottom w:val="single" w:sz="8" w:space="0" w:color="auto"/>
              <w:right w:val="single" w:sz="8"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w:t>
            </w:r>
          </w:p>
        </w:tc>
        <w:tc>
          <w:tcPr>
            <w:tcW w:w="814" w:type="dxa"/>
            <w:tcBorders>
              <w:top w:val="nil"/>
              <w:left w:val="nil"/>
              <w:bottom w:val="single" w:sz="8" w:space="0" w:color="auto"/>
              <w:right w:val="single" w:sz="8"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(3)</w:t>
            </w:r>
          </w:p>
        </w:tc>
        <w:tc>
          <w:tcPr>
            <w:tcW w:w="819" w:type="dxa"/>
            <w:tcBorders>
              <w:top w:val="nil"/>
              <w:left w:val="nil"/>
              <w:bottom w:val="single" w:sz="8" w:space="0" w:color="auto"/>
              <w:right w:val="single" w:sz="8"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w:t>
            </w:r>
          </w:p>
        </w:tc>
        <w:tc>
          <w:tcPr>
            <w:tcW w:w="992" w:type="dxa"/>
            <w:tcBorders>
              <w:top w:val="nil"/>
              <w:left w:val="nil"/>
              <w:bottom w:val="single" w:sz="8" w:space="0" w:color="auto"/>
              <w:right w:val="single" w:sz="8"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158</w:t>
            </w:r>
          </w:p>
        </w:tc>
      </w:tr>
      <w:tr w:rsidR="004644E7" w:rsidRPr="007955BB" w:rsidTr="00D21346">
        <w:trPr>
          <w:trHeight w:val="340"/>
        </w:trPr>
        <w:tc>
          <w:tcPr>
            <w:tcW w:w="1890" w:type="dxa"/>
            <w:tcBorders>
              <w:top w:val="nil"/>
              <w:left w:val="single" w:sz="8" w:space="0" w:color="auto"/>
              <w:bottom w:val="single" w:sz="8" w:space="0" w:color="auto"/>
              <w:right w:val="single" w:sz="8" w:space="0" w:color="auto"/>
            </w:tcBorders>
            <w:shd w:val="clear" w:color="auto" w:fill="DBE5F1" w:themeFill="accent1" w:themeFillTint="33"/>
            <w:vAlign w:val="center"/>
            <w:hideMark/>
          </w:tcPr>
          <w:p w:rsidR="004644E7" w:rsidRPr="007955BB" w:rsidRDefault="004644E7" w:rsidP="00D21346">
            <w:pPr>
              <w:spacing w:before="0" w:line="240" w:lineRule="auto"/>
              <w:ind w:firstLine="0"/>
              <w:contextualSpacing w:val="0"/>
              <w:rPr>
                <w:rFonts w:cs="Calibri"/>
                <w:b w:val="0"/>
                <w:sz w:val="18"/>
                <w:szCs w:val="18"/>
                <w:lang w:val="hy-AM" w:eastAsia="en-US"/>
              </w:rPr>
            </w:pPr>
            <w:r w:rsidRPr="007955BB">
              <w:rPr>
                <w:rFonts w:eastAsia="Calibri" w:cs="Calibri"/>
                <w:b w:val="0"/>
                <w:sz w:val="18"/>
                <w:szCs w:val="18"/>
                <w:lang w:val="en-US" w:eastAsia="en-US"/>
              </w:rPr>
              <w:t xml:space="preserve"> Երևանի ավտոբուս ՓԲԸ </w:t>
            </w:r>
          </w:p>
        </w:tc>
        <w:tc>
          <w:tcPr>
            <w:tcW w:w="900" w:type="dxa"/>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(2,012)</w:t>
            </w:r>
          </w:p>
        </w:tc>
        <w:tc>
          <w:tcPr>
            <w:tcW w:w="810" w:type="dxa"/>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(2,541)</w:t>
            </w:r>
          </w:p>
        </w:tc>
        <w:tc>
          <w:tcPr>
            <w:tcW w:w="720" w:type="dxa"/>
            <w:tcBorders>
              <w:top w:val="nil"/>
              <w:left w:val="nil"/>
              <w:bottom w:val="single" w:sz="8" w:space="0" w:color="auto"/>
              <w:right w:val="single" w:sz="8"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2,017</w:t>
            </w:r>
          </w:p>
        </w:tc>
        <w:tc>
          <w:tcPr>
            <w:tcW w:w="810" w:type="dxa"/>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1,231</w:t>
            </w:r>
          </w:p>
        </w:tc>
        <w:tc>
          <w:tcPr>
            <w:tcW w:w="810" w:type="dxa"/>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2,843</w:t>
            </w:r>
          </w:p>
        </w:tc>
        <w:tc>
          <w:tcPr>
            <w:tcW w:w="900" w:type="dxa"/>
            <w:tcBorders>
              <w:top w:val="nil"/>
              <w:left w:val="nil"/>
              <w:bottom w:val="single" w:sz="8" w:space="0" w:color="auto"/>
              <w:right w:val="single" w:sz="8"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(260)</w:t>
            </w:r>
          </w:p>
        </w:tc>
        <w:tc>
          <w:tcPr>
            <w:tcW w:w="885" w:type="dxa"/>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(817)</w:t>
            </w:r>
          </w:p>
        </w:tc>
        <w:tc>
          <w:tcPr>
            <w:tcW w:w="814" w:type="dxa"/>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(726)</w:t>
            </w:r>
          </w:p>
        </w:tc>
        <w:tc>
          <w:tcPr>
            <w:tcW w:w="819" w:type="dxa"/>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2,518</w:t>
            </w:r>
          </w:p>
        </w:tc>
        <w:tc>
          <w:tcPr>
            <w:tcW w:w="992" w:type="dxa"/>
            <w:tcBorders>
              <w:top w:val="nil"/>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13, 276</w:t>
            </w:r>
          </w:p>
        </w:tc>
      </w:tr>
      <w:tr w:rsidR="004644E7" w:rsidRPr="007955BB" w:rsidTr="00D21346">
        <w:trPr>
          <w:trHeight w:val="340"/>
        </w:trPr>
        <w:tc>
          <w:tcPr>
            <w:tcW w:w="1890" w:type="dxa"/>
            <w:tcBorders>
              <w:top w:val="nil"/>
              <w:left w:val="single" w:sz="8" w:space="0" w:color="auto"/>
              <w:bottom w:val="single" w:sz="8" w:space="0" w:color="auto"/>
              <w:right w:val="single" w:sz="8" w:space="0" w:color="auto"/>
            </w:tcBorders>
            <w:shd w:val="clear" w:color="auto" w:fill="auto"/>
            <w:vAlign w:val="center"/>
            <w:hideMark/>
          </w:tcPr>
          <w:p w:rsidR="004644E7" w:rsidRPr="007955BB" w:rsidRDefault="004644E7" w:rsidP="00D21346">
            <w:pPr>
              <w:spacing w:before="0" w:line="240" w:lineRule="auto"/>
              <w:ind w:firstLine="0"/>
              <w:contextualSpacing w:val="0"/>
              <w:rPr>
                <w:rFonts w:cs="Calibri"/>
                <w:b w:val="0"/>
                <w:sz w:val="18"/>
                <w:szCs w:val="18"/>
                <w:lang w:val="en-US" w:eastAsia="en-US"/>
              </w:rPr>
            </w:pPr>
            <w:r w:rsidRPr="007955BB">
              <w:rPr>
                <w:rFonts w:eastAsia="Calibri" w:cs="Calibri"/>
                <w:b w:val="0"/>
                <w:sz w:val="18"/>
                <w:szCs w:val="18"/>
                <w:lang w:val="en-US" w:eastAsia="en-US"/>
              </w:rPr>
              <w:t>Նաիրիտ-2 ՓԲԸ</w:t>
            </w:r>
          </w:p>
        </w:tc>
        <w:tc>
          <w:tcPr>
            <w:tcW w:w="900" w:type="dxa"/>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(1,391)</w:t>
            </w:r>
          </w:p>
        </w:tc>
        <w:tc>
          <w:tcPr>
            <w:tcW w:w="810" w:type="dxa"/>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(2,469)</w:t>
            </w:r>
          </w:p>
        </w:tc>
        <w:tc>
          <w:tcPr>
            <w:tcW w:w="720" w:type="dxa"/>
            <w:tcBorders>
              <w:top w:val="nil"/>
              <w:left w:val="nil"/>
              <w:bottom w:val="single" w:sz="8" w:space="0" w:color="auto"/>
              <w:right w:val="single" w:sz="8"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6</w:t>
            </w:r>
          </w:p>
        </w:tc>
        <w:tc>
          <w:tcPr>
            <w:tcW w:w="810" w:type="dxa"/>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1,689</w:t>
            </w:r>
          </w:p>
        </w:tc>
        <w:tc>
          <w:tcPr>
            <w:tcW w:w="810" w:type="dxa"/>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38</w:t>
            </w:r>
          </w:p>
        </w:tc>
        <w:tc>
          <w:tcPr>
            <w:tcW w:w="900" w:type="dxa"/>
            <w:tcBorders>
              <w:top w:val="nil"/>
              <w:left w:val="nil"/>
              <w:bottom w:val="single" w:sz="8" w:space="0" w:color="auto"/>
              <w:right w:val="single" w:sz="8"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(348)</w:t>
            </w:r>
          </w:p>
        </w:tc>
        <w:tc>
          <w:tcPr>
            <w:tcW w:w="885" w:type="dxa"/>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(682)</w:t>
            </w:r>
          </w:p>
        </w:tc>
        <w:tc>
          <w:tcPr>
            <w:tcW w:w="814" w:type="dxa"/>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(1,078)</w:t>
            </w:r>
          </w:p>
        </w:tc>
        <w:tc>
          <w:tcPr>
            <w:tcW w:w="819" w:type="dxa"/>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6,117</w:t>
            </w:r>
          </w:p>
        </w:tc>
        <w:tc>
          <w:tcPr>
            <w:tcW w:w="992" w:type="dxa"/>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hy-AM" w:eastAsia="en-US"/>
              </w:rPr>
              <w:t>6,166</w:t>
            </w:r>
          </w:p>
        </w:tc>
      </w:tr>
      <w:tr w:rsidR="004644E7" w:rsidRPr="007955BB" w:rsidTr="00D21346">
        <w:trPr>
          <w:trHeight w:val="670"/>
        </w:trPr>
        <w:tc>
          <w:tcPr>
            <w:tcW w:w="1890" w:type="dxa"/>
            <w:tcBorders>
              <w:top w:val="nil"/>
              <w:left w:val="single" w:sz="8" w:space="0" w:color="auto"/>
              <w:bottom w:val="single" w:sz="4" w:space="0" w:color="auto"/>
              <w:right w:val="single" w:sz="8" w:space="0" w:color="auto"/>
            </w:tcBorders>
            <w:shd w:val="clear" w:color="auto" w:fill="DBE5F1" w:themeFill="accent1" w:themeFillTint="33"/>
            <w:vAlign w:val="center"/>
            <w:hideMark/>
          </w:tcPr>
          <w:p w:rsidR="004644E7" w:rsidRPr="007955BB" w:rsidRDefault="004644E7" w:rsidP="00D21346">
            <w:pPr>
              <w:spacing w:before="0" w:line="240" w:lineRule="auto"/>
              <w:ind w:firstLine="0"/>
              <w:contextualSpacing w:val="0"/>
              <w:rPr>
                <w:rFonts w:cs="Calibri"/>
                <w:b w:val="0"/>
                <w:sz w:val="18"/>
                <w:szCs w:val="18"/>
                <w:lang w:val="en-US" w:eastAsia="en-US"/>
              </w:rPr>
            </w:pPr>
            <w:r w:rsidRPr="007955BB">
              <w:rPr>
                <w:rFonts w:eastAsia="Calibri" w:cs="Calibri"/>
                <w:b w:val="0"/>
                <w:sz w:val="18"/>
                <w:szCs w:val="18"/>
                <w:lang w:val="en-US" w:eastAsia="en-US"/>
              </w:rPr>
              <w:t>Փարկինգ Սիթի Սերվիս ՓԲԸ</w:t>
            </w:r>
          </w:p>
        </w:tc>
        <w:tc>
          <w:tcPr>
            <w:tcW w:w="900" w:type="dxa"/>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(2,303)</w:t>
            </w:r>
          </w:p>
        </w:tc>
        <w:tc>
          <w:tcPr>
            <w:tcW w:w="810" w:type="dxa"/>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(2,307)</w:t>
            </w:r>
          </w:p>
        </w:tc>
        <w:tc>
          <w:tcPr>
            <w:tcW w:w="720" w:type="dxa"/>
            <w:tcBorders>
              <w:top w:val="nil"/>
              <w:left w:val="nil"/>
              <w:bottom w:val="single" w:sz="4" w:space="0" w:color="auto"/>
              <w:right w:val="single" w:sz="8"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409</w:t>
            </w:r>
          </w:p>
        </w:tc>
        <w:tc>
          <w:tcPr>
            <w:tcW w:w="810" w:type="dxa"/>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429</w:t>
            </w:r>
          </w:p>
        </w:tc>
        <w:tc>
          <w:tcPr>
            <w:tcW w:w="810" w:type="dxa"/>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408</w:t>
            </w:r>
          </w:p>
        </w:tc>
        <w:tc>
          <w:tcPr>
            <w:tcW w:w="900" w:type="dxa"/>
            <w:tcBorders>
              <w:top w:val="nil"/>
              <w:left w:val="nil"/>
              <w:bottom w:val="single" w:sz="4" w:space="0" w:color="auto"/>
              <w:right w:val="single" w:sz="8"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(175)</w:t>
            </w:r>
          </w:p>
        </w:tc>
        <w:tc>
          <w:tcPr>
            <w:tcW w:w="885" w:type="dxa"/>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(156)</w:t>
            </w:r>
          </w:p>
        </w:tc>
        <w:tc>
          <w:tcPr>
            <w:tcW w:w="814" w:type="dxa"/>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(4)</w:t>
            </w:r>
          </w:p>
        </w:tc>
        <w:tc>
          <w:tcPr>
            <w:tcW w:w="819" w:type="dxa"/>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1,034</w:t>
            </w:r>
          </w:p>
        </w:tc>
        <w:tc>
          <w:tcPr>
            <w:tcW w:w="992" w:type="dxa"/>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183</w:t>
            </w:r>
          </w:p>
        </w:tc>
      </w:tr>
      <w:tr w:rsidR="004644E7" w:rsidRPr="007955BB" w:rsidTr="00D21346">
        <w:trPr>
          <w:trHeight w:val="34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4E7" w:rsidRPr="007955BB" w:rsidRDefault="004644E7" w:rsidP="00D21346">
            <w:pPr>
              <w:spacing w:before="0" w:line="240" w:lineRule="auto"/>
              <w:ind w:firstLine="0"/>
              <w:contextualSpacing w:val="0"/>
              <w:rPr>
                <w:rFonts w:cs="Calibri"/>
                <w:b w:val="0"/>
                <w:sz w:val="18"/>
                <w:szCs w:val="18"/>
                <w:lang w:val="en-US" w:eastAsia="en-US"/>
              </w:rPr>
            </w:pPr>
            <w:r w:rsidRPr="007955BB">
              <w:rPr>
                <w:rFonts w:eastAsia="Calibri" w:cs="Calibri"/>
                <w:b w:val="0"/>
                <w:sz w:val="18"/>
                <w:szCs w:val="18"/>
                <w:lang w:val="en-US" w:eastAsia="en-US"/>
              </w:rPr>
              <w:t>Վանաձորի բժշկական կենտրոն ՓԲԸ</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(844)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(1,283)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2,294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2,919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3,547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(176)</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(179)</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(141)</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1,697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2,733</w:t>
            </w:r>
          </w:p>
        </w:tc>
      </w:tr>
      <w:tr w:rsidR="004644E7" w:rsidRPr="007955BB" w:rsidTr="00D21346">
        <w:trPr>
          <w:trHeight w:val="340"/>
        </w:trPr>
        <w:tc>
          <w:tcPr>
            <w:tcW w:w="1890" w:type="dxa"/>
            <w:tcBorders>
              <w:top w:val="single" w:sz="4" w:space="0" w:color="auto"/>
              <w:left w:val="single" w:sz="8" w:space="0" w:color="auto"/>
              <w:bottom w:val="single" w:sz="4" w:space="0" w:color="auto"/>
              <w:right w:val="single" w:sz="8" w:space="0" w:color="auto"/>
            </w:tcBorders>
            <w:shd w:val="clear" w:color="auto" w:fill="DBE5F1" w:themeFill="accent1" w:themeFillTint="33"/>
            <w:vAlign w:val="center"/>
            <w:hideMark/>
          </w:tcPr>
          <w:p w:rsidR="004644E7" w:rsidRPr="007955BB" w:rsidRDefault="004644E7" w:rsidP="00D21346">
            <w:pPr>
              <w:spacing w:before="0" w:line="240" w:lineRule="auto"/>
              <w:ind w:firstLine="0"/>
              <w:contextualSpacing w:val="0"/>
              <w:rPr>
                <w:rFonts w:cs="Calibri"/>
                <w:b w:val="0"/>
                <w:sz w:val="18"/>
                <w:szCs w:val="18"/>
                <w:lang w:eastAsia="en-US"/>
              </w:rPr>
            </w:pPr>
            <w:r w:rsidRPr="007955BB">
              <w:rPr>
                <w:rFonts w:eastAsia="Calibri" w:cs="Calibri"/>
                <w:b w:val="0"/>
                <w:sz w:val="18"/>
                <w:szCs w:val="18"/>
                <w:lang w:eastAsia="en-US"/>
              </w:rPr>
              <w:t xml:space="preserve"> </w:t>
            </w:r>
            <w:r w:rsidRPr="007955BB">
              <w:rPr>
                <w:rFonts w:eastAsia="Calibri" w:cs="Calibri"/>
                <w:b w:val="0"/>
                <w:sz w:val="18"/>
                <w:szCs w:val="18"/>
                <w:lang w:val="en-US" w:eastAsia="en-US"/>
              </w:rPr>
              <w:t>Գյումրու</w:t>
            </w:r>
            <w:r w:rsidRPr="007955BB">
              <w:rPr>
                <w:rFonts w:eastAsia="Calibri" w:cs="Calibri"/>
                <w:b w:val="0"/>
                <w:sz w:val="18"/>
                <w:szCs w:val="18"/>
                <w:lang w:eastAsia="en-US"/>
              </w:rPr>
              <w:t xml:space="preserve"> </w:t>
            </w:r>
            <w:r w:rsidRPr="007955BB">
              <w:rPr>
                <w:rFonts w:eastAsia="Calibri" w:cs="Calibri"/>
                <w:b w:val="0"/>
                <w:sz w:val="18"/>
                <w:szCs w:val="18"/>
                <w:lang w:val="en-US" w:eastAsia="en-US"/>
              </w:rPr>
              <w:t>բժշկա</w:t>
            </w:r>
            <w:r w:rsidR="00D21346" w:rsidRPr="007955BB">
              <w:rPr>
                <w:rFonts w:eastAsia="Calibri" w:cs="Calibri"/>
                <w:b w:val="0"/>
                <w:sz w:val="18"/>
                <w:szCs w:val="18"/>
                <w:lang w:eastAsia="en-US"/>
              </w:rPr>
              <w:t>-</w:t>
            </w:r>
            <w:r w:rsidRPr="007955BB">
              <w:rPr>
                <w:rFonts w:eastAsia="Calibri" w:cs="Calibri"/>
                <w:b w:val="0"/>
                <w:sz w:val="18"/>
                <w:szCs w:val="18"/>
                <w:lang w:val="en-US" w:eastAsia="en-US"/>
              </w:rPr>
              <w:t>կան</w:t>
            </w:r>
            <w:r w:rsidRPr="007955BB">
              <w:rPr>
                <w:rFonts w:eastAsia="Calibri" w:cs="Calibri"/>
                <w:b w:val="0"/>
                <w:sz w:val="18"/>
                <w:szCs w:val="18"/>
                <w:lang w:eastAsia="en-US"/>
              </w:rPr>
              <w:t xml:space="preserve"> </w:t>
            </w:r>
            <w:r w:rsidRPr="007955BB">
              <w:rPr>
                <w:rFonts w:eastAsia="Calibri" w:cs="Calibri"/>
                <w:b w:val="0"/>
                <w:sz w:val="18"/>
                <w:szCs w:val="18"/>
                <w:lang w:val="en-US" w:eastAsia="en-US"/>
              </w:rPr>
              <w:t>կենտրոն</w:t>
            </w:r>
            <w:r w:rsidRPr="007955BB">
              <w:rPr>
                <w:rFonts w:eastAsia="Calibri" w:cs="Calibri"/>
                <w:b w:val="0"/>
                <w:sz w:val="18"/>
                <w:szCs w:val="18"/>
                <w:lang w:eastAsia="en-US"/>
              </w:rPr>
              <w:t xml:space="preserve"> </w:t>
            </w:r>
            <w:r w:rsidRPr="007955BB">
              <w:rPr>
                <w:rFonts w:eastAsia="Calibri" w:cs="Calibri"/>
                <w:b w:val="0"/>
                <w:sz w:val="18"/>
                <w:szCs w:val="18"/>
                <w:lang w:val="en-US" w:eastAsia="en-US"/>
              </w:rPr>
              <w:t>ՓԲԸ</w:t>
            </w:r>
            <w:r w:rsidRPr="007955BB">
              <w:rPr>
                <w:rFonts w:eastAsia="Calibri" w:cs="Calibri"/>
                <w:b w:val="0"/>
                <w:sz w:val="18"/>
                <w:szCs w:val="18"/>
                <w:lang w:eastAsia="en-US"/>
              </w:rPr>
              <w:t xml:space="preserve"> </w:t>
            </w:r>
          </w:p>
        </w:tc>
        <w:tc>
          <w:tcPr>
            <w:tcW w:w="900" w:type="dxa"/>
            <w:tcBorders>
              <w:top w:val="single" w:sz="4" w:space="0" w:color="auto"/>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(559)</w:t>
            </w:r>
          </w:p>
        </w:tc>
        <w:tc>
          <w:tcPr>
            <w:tcW w:w="810" w:type="dxa"/>
            <w:tcBorders>
              <w:top w:val="single" w:sz="4" w:space="0" w:color="auto"/>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(859)</w:t>
            </w:r>
          </w:p>
        </w:tc>
        <w:tc>
          <w:tcPr>
            <w:tcW w:w="720" w:type="dxa"/>
            <w:tcBorders>
              <w:top w:val="single" w:sz="4" w:space="0" w:color="auto"/>
              <w:left w:val="nil"/>
              <w:bottom w:val="single" w:sz="4" w:space="0" w:color="auto"/>
              <w:right w:val="single" w:sz="8"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1,865</w:t>
            </w:r>
          </w:p>
        </w:tc>
        <w:tc>
          <w:tcPr>
            <w:tcW w:w="810" w:type="dxa"/>
            <w:tcBorders>
              <w:top w:val="single" w:sz="4" w:space="0" w:color="auto"/>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1,825</w:t>
            </w:r>
          </w:p>
        </w:tc>
        <w:tc>
          <w:tcPr>
            <w:tcW w:w="810" w:type="dxa"/>
            <w:tcBorders>
              <w:top w:val="single" w:sz="4" w:space="0" w:color="auto"/>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2,835</w:t>
            </w:r>
          </w:p>
        </w:tc>
        <w:tc>
          <w:tcPr>
            <w:tcW w:w="900" w:type="dxa"/>
            <w:tcBorders>
              <w:top w:val="single" w:sz="4" w:space="0" w:color="auto"/>
              <w:left w:val="nil"/>
              <w:bottom w:val="single" w:sz="4" w:space="0" w:color="auto"/>
              <w:right w:val="single" w:sz="8"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4</w:t>
            </w:r>
          </w:p>
        </w:tc>
        <w:tc>
          <w:tcPr>
            <w:tcW w:w="885" w:type="dxa"/>
            <w:tcBorders>
              <w:top w:val="single" w:sz="4" w:space="0" w:color="auto"/>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(82)</w:t>
            </w:r>
          </w:p>
        </w:tc>
        <w:tc>
          <w:tcPr>
            <w:tcW w:w="814" w:type="dxa"/>
            <w:tcBorders>
              <w:top w:val="single" w:sz="4" w:space="0" w:color="auto"/>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(265)</w:t>
            </w:r>
          </w:p>
        </w:tc>
        <w:tc>
          <w:tcPr>
            <w:tcW w:w="819" w:type="dxa"/>
            <w:tcBorders>
              <w:top w:val="single" w:sz="4" w:space="0" w:color="auto"/>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1,276</w:t>
            </w:r>
          </w:p>
        </w:tc>
        <w:tc>
          <w:tcPr>
            <w:tcW w:w="992" w:type="dxa"/>
            <w:tcBorders>
              <w:top w:val="single" w:sz="4" w:space="0" w:color="auto"/>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2300</w:t>
            </w:r>
          </w:p>
        </w:tc>
      </w:tr>
      <w:tr w:rsidR="004644E7" w:rsidRPr="007955BB" w:rsidTr="00D21346">
        <w:trPr>
          <w:trHeight w:val="670"/>
        </w:trPr>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4E7" w:rsidRPr="007955BB" w:rsidRDefault="004644E7" w:rsidP="00D21346">
            <w:pPr>
              <w:spacing w:before="0" w:line="240" w:lineRule="auto"/>
              <w:ind w:firstLine="0"/>
              <w:contextualSpacing w:val="0"/>
              <w:rPr>
                <w:rFonts w:cs="Calibri"/>
                <w:b w:val="0"/>
                <w:sz w:val="18"/>
                <w:szCs w:val="18"/>
                <w:lang w:eastAsia="en-US"/>
              </w:rPr>
            </w:pPr>
            <w:r w:rsidRPr="007955BB">
              <w:rPr>
                <w:rFonts w:eastAsia="Calibri" w:cs="Calibri"/>
                <w:b w:val="0"/>
                <w:sz w:val="18"/>
                <w:szCs w:val="18"/>
                <w:lang w:val="en-US" w:eastAsia="en-US"/>
              </w:rPr>
              <w:t>Հայաստանի</w:t>
            </w:r>
            <w:r w:rsidRPr="007955BB">
              <w:rPr>
                <w:rFonts w:eastAsia="Calibri" w:cs="Calibri"/>
                <w:b w:val="0"/>
                <w:sz w:val="18"/>
                <w:szCs w:val="18"/>
                <w:lang w:eastAsia="en-US"/>
              </w:rPr>
              <w:t xml:space="preserve"> </w:t>
            </w:r>
            <w:r w:rsidRPr="007955BB">
              <w:rPr>
                <w:rFonts w:eastAsia="Calibri" w:cs="Calibri"/>
                <w:b w:val="0"/>
                <w:sz w:val="18"/>
                <w:szCs w:val="18"/>
                <w:lang w:val="en-US" w:eastAsia="en-US"/>
              </w:rPr>
              <w:t>պետական</w:t>
            </w:r>
            <w:r w:rsidRPr="007955BB">
              <w:rPr>
                <w:rFonts w:eastAsia="Calibri" w:cs="Calibri"/>
                <w:b w:val="0"/>
                <w:sz w:val="18"/>
                <w:szCs w:val="18"/>
                <w:lang w:eastAsia="en-US"/>
              </w:rPr>
              <w:t xml:space="preserve"> </w:t>
            </w:r>
            <w:r w:rsidRPr="007955BB">
              <w:rPr>
                <w:rFonts w:eastAsia="Calibri" w:cs="Calibri"/>
                <w:b w:val="0"/>
                <w:sz w:val="18"/>
                <w:szCs w:val="18"/>
                <w:lang w:val="en-US" w:eastAsia="en-US"/>
              </w:rPr>
              <w:t>հետաքրրություն</w:t>
            </w:r>
            <w:r w:rsidR="00D21346" w:rsidRPr="007955BB">
              <w:rPr>
                <w:rFonts w:eastAsia="Calibri" w:cs="Calibri"/>
                <w:b w:val="0"/>
                <w:sz w:val="18"/>
                <w:szCs w:val="18"/>
                <w:lang w:eastAsia="en-US"/>
              </w:rPr>
              <w:t>-</w:t>
            </w:r>
            <w:r w:rsidRPr="007955BB">
              <w:rPr>
                <w:rFonts w:eastAsia="Calibri" w:cs="Calibri"/>
                <w:b w:val="0"/>
                <w:sz w:val="18"/>
                <w:szCs w:val="18"/>
                <w:lang w:val="en-US" w:eastAsia="en-US"/>
              </w:rPr>
              <w:t>ների</w:t>
            </w:r>
            <w:r w:rsidRPr="007955BB">
              <w:rPr>
                <w:rFonts w:eastAsia="Calibri" w:cs="Calibri"/>
                <w:b w:val="0"/>
                <w:sz w:val="18"/>
                <w:szCs w:val="18"/>
                <w:lang w:eastAsia="en-US"/>
              </w:rPr>
              <w:t xml:space="preserve"> </w:t>
            </w:r>
            <w:r w:rsidRPr="007955BB">
              <w:rPr>
                <w:rFonts w:eastAsia="Calibri" w:cs="Calibri"/>
                <w:b w:val="0"/>
                <w:sz w:val="18"/>
                <w:szCs w:val="18"/>
                <w:lang w:val="en-US" w:eastAsia="en-US"/>
              </w:rPr>
              <w:t>Ֆոնդ</w:t>
            </w:r>
            <w:r w:rsidRPr="007955BB">
              <w:rPr>
                <w:rFonts w:eastAsia="Calibri" w:cs="Calibri"/>
                <w:b w:val="0"/>
                <w:sz w:val="18"/>
                <w:szCs w:val="18"/>
                <w:lang w:eastAsia="en-US"/>
              </w:rPr>
              <w:t xml:space="preserve"> </w:t>
            </w:r>
            <w:r w:rsidRPr="007955BB">
              <w:rPr>
                <w:rFonts w:eastAsia="Calibri" w:cs="Calibri"/>
                <w:b w:val="0"/>
                <w:sz w:val="18"/>
                <w:szCs w:val="18"/>
                <w:lang w:val="en-US" w:eastAsia="en-US"/>
              </w:rPr>
              <w:t>ՓԲԸ</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eastAsia="en-US"/>
              </w:rPr>
              <w:t xml:space="preserve">  </w:t>
            </w:r>
            <w:r w:rsidRPr="007955BB">
              <w:rPr>
                <w:rFonts w:eastAsia="Calibri" w:cs="Calibri"/>
                <w:b w:val="0"/>
                <w:sz w:val="16"/>
                <w:szCs w:val="16"/>
                <w:lang w:val="hy-AM" w:eastAsia="en-US"/>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(699)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187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1,149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1,311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1</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(699)</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474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769</w:t>
            </w:r>
          </w:p>
        </w:tc>
      </w:tr>
      <w:tr w:rsidR="004644E7" w:rsidRPr="007955BB" w:rsidTr="00D21346">
        <w:trPr>
          <w:trHeight w:val="340"/>
        </w:trPr>
        <w:tc>
          <w:tcPr>
            <w:tcW w:w="1890" w:type="dxa"/>
            <w:tcBorders>
              <w:top w:val="single" w:sz="4" w:space="0" w:color="auto"/>
              <w:left w:val="single" w:sz="8" w:space="0" w:color="auto"/>
              <w:bottom w:val="single" w:sz="8" w:space="0" w:color="auto"/>
              <w:right w:val="single" w:sz="8" w:space="0" w:color="auto"/>
            </w:tcBorders>
            <w:shd w:val="clear" w:color="auto" w:fill="DBE5F1" w:themeFill="accent1" w:themeFillTint="33"/>
            <w:vAlign w:val="center"/>
            <w:hideMark/>
          </w:tcPr>
          <w:p w:rsidR="004644E7" w:rsidRPr="007955BB" w:rsidRDefault="004644E7" w:rsidP="00D21346">
            <w:pPr>
              <w:spacing w:before="0" w:line="240" w:lineRule="auto"/>
              <w:ind w:firstLine="0"/>
              <w:contextualSpacing w:val="0"/>
              <w:rPr>
                <w:rFonts w:cs="Calibri"/>
                <w:b w:val="0"/>
                <w:sz w:val="18"/>
                <w:szCs w:val="18"/>
                <w:lang w:eastAsia="en-US"/>
              </w:rPr>
            </w:pPr>
            <w:r w:rsidRPr="007955BB">
              <w:rPr>
                <w:rFonts w:eastAsia="Calibri" w:cs="Calibri"/>
                <w:b w:val="0"/>
                <w:sz w:val="18"/>
                <w:szCs w:val="18"/>
                <w:lang w:eastAsia="en-US"/>
              </w:rPr>
              <w:t xml:space="preserve"> </w:t>
            </w:r>
            <w:r w:rsidRPr="007955BB">
              <w:rPr>
                <w:rFonts w:eastAsia="Calibri" w:cs="Calibri"/>
                <w:b w:val="0"/>
                <w:sz w:val="18"/>
                <w:szCs w:val="18"/>
                <w:lang w:val="en-US" w:eastAsia="en-US"/>
              </w:rPr>
              <w:t>Նորք</w:t>
            </w:r>
            <w:r w:rsidRPr="007955BB">
              <w:rPr>
                <w:rFonts w:eastAsia="Calibri" w:cs="Calibri"/>
                <w:b w:val="0"/>
                <w:sz w:val="18"/>
                <w:szCs w:val="18"/>
                <w:lang w:eastAsia="en-US"/>
              </w:rPr>
              <w:t xml:space="preserve"> </w:t>
            </w:r>
            <w:r w:rsidRPr="007955BB">
              <w:rPr>
                <w:rFonts w:eastAsia="Calibri" w:cs="Calibri"/>
                <w:b w:val="0"/>
                <w:sz w:val="18"/>
                <w:szCs w:val="18"/>
                <w:lang w:val="en-US" w:eastAsia="en-US"/>
              </w:rPr>
              <w:t>Մարաշ</w:t>
            </w:r>
            <w:r w:rsidRPr="007955BB">
              <w:rPr>
                <w:rFonts w:eastAsia="Calibri" w:cs="Calibri"/>
                <w:b w:val="0"/>
                <w:sz w:val="18"/>
                <w:szCs w:val="18"/>
                <w:lang w:eastAsia="en-US"/>
              </w:rPr>
              <w:t xml:space="preserve"> </w:t>
            </w:r>
            <w:r w:rsidRPr="007955BB">
              <w:rPr>
                <w:rFonts w:eastAsia="Calibri" w:cs="Calibri"/>
                <w:b w:val="0"/>
                <w:sz w:val="18"/>
                <w:szCs w:val="18"/>
                <w:lang w:val="en-US" w:eastAsia="en-US"/>
              </w:rPr>
              <w:t>բժշկական</w:t>
            </w:r>
            <w:r w:rsidRPr="007955BB">
              <w:rPr>
                <w:rFonts w:eastAsia="Calibri" w:cs="Calibri"/>
                <w:b w:val="0"/>
                <w:sz w:val="18"/>
                <w:szCs w:val="18"/>
                <w:lang w:eastAsia="en-US"/>
              </w:rPr>
              <w:t xml:space="preserve"> </w:t>
            </w:r>
            <w:r w:rsidRPr="007955BB">
              <w:rPr>
                <w:rFonts w:eastAsia="Calibri" w:cs="Calibri"/>
                <w:b w:val="0"/>
                <w:sz w:val="18"/>
                <w:szCs w:val="18"/>
                <w:lang w:val="en-US" w:eastAsia="en-US"/>
              </w:rPr>
              <w:t>կենտրոն</w:t>
            </w:r>
            <w:r w:rsidRPr="007955BB">
              <w:rPr>
                <w:rFonts w:eastAsia="Calibri" w:cs="Calibri"/>
                <w:b w:val="0"/>
                <w:sz w:val="18"/>
                <w:szCs w:val="18"/>
                <w:lang w:eastAsia="en-US"/>
              </w:rPr>
              <w:t xml:space="preserve"> </w:t>
            </w:r>
            <w:r w:rsidRPr="007955BB">
              <w:rPr>
                <w:rFonts w:eastAsia="Calibri" w:cs="Calibri"/>
                <w:b w:val="0"/>
                <w:sz w:val="18"/>
                <w:szCs w:val="18"/>
                <w:lang w:val="en-US" w:eastAsia="en-US"/>
              </w:rPr>
              <w:t>ՓԲԸ</w:t>
            </w:r>
            <w:r w:rsidRPr="007955BB">
              <w:rPr>
                <w:rFonts w:eastAsia="Calibri" w:cs="Calibri"/>
                <w:b w:val="0"/>
                <w:sz w:val="18"/>
                <w:szCs w:val="18"/>
                <w:lang w:eastAsia="en-US"/>
              </w:rPr>
              <w:t xml:space="preserve"> </w:t>
            </w:r>
          </w:p>
        </w:tc>
        <w:tc>
          <w:tcPr>
            <w:tcW w:w="900" w:type="dxa"/>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(1,262)</w:t>
            </w:r>
          </w:p>
        </w:tc>
        <w:tc>
          <w:tcPr>
            <w:tcW w:w="810" w:type="dxa"/>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(610)</w:t>
            </w:r>
          </w:p>
        </w:tc>
        <w:tc>
          <w:tcPr>
            <w:tcW w:w="720" w:type="dxa"/>
            <w:tcBorders>
              <w:top w:val="single" w:sz="4" w:space="0" w:color="auto"/>
              <w:left w:val="nil"/>
              <w:bottom w:val="single" w:sz="8" w:space="0" w:color="auto"/>
              <w:right w:val="single" w:sz="8"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5,263</w:t>
            </w:r>
          </w:p>
        </w:tc>
        <w:tc>
          <w:tcPr>
            <w:tcW w:w="810" w:type="dxa"/>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5,228</w:t>
            </w:r>
          </w:p>
        </w:tc>
        <w:tc>
          <w:tcPr>
            <w:tcW w:w="810" w:type="dxa"/>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7,276</w:t>
            </w:r>
          </w:p>
        </w:tc>
        <w:tc>
          <w:tcPr>
            <w:tcW w:w="900" w:type="dxa"/>
            <w:tcBorders>
              <w:top w:val="single" w:sz="4" w:space="0" w:color="auto"/>
              <w:left w:val="nil"/>
              <w:bottom w:val="single" w:sz="8" w:space="0" w:color="auto"/>
              <w:right w:val="single" w:sz="8"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39</w:t>
            </w:r>
          </w:p>
        </w:tc>
        <w:tc>
          <w:tcPr>
            <w:tcW w:w="885" w:type="dxa"/>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(951)</w:t>
            </w:r>
          </w:p>
        </w:tc>
        <w:tc>
          <w:tcPr>
            <w:tcW w:w="814" w:type="dxa"/>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652</w:t>
            </w:r>
          </w:p>
        </w:tc>
        <w:tc>
          <w:tcPr>
            <w:tcW w:w="819" w:type="dxa"/>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6,321</w:t>
            </w:r>
          </w:p>
        </w:tc>
        <w:tc>
          <w:tcPr>
            <w:tcW w:w="992" w:type="dxa"/>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5,633</w:t>
            </w:r>
          </w:p>
        </w:tc>
      </w:tr>
      <w:tr w:rsidR="004644E7" w:rsidRPr="007955BB" w:rsidTr="00D21346">
        <w:trPr>
          <w:trHeight w:val="325"/>
        </w:trPr>
        <w:tc>
          <w:tcPr>
            <w:tcW w:w="1890" w:type="dxa"/>
            <w:tcBorders>
              <w:top w:val="nil"/>
              <w:left w:val="single" w:sz="8" w:space="0" w:color="auto"/>
              <w:bottom w:val="single" w:sz="8" w:space="0" w:color="auto"/>
              <w:right w:val="single" w:sz="8" w:space="0" w:color="auto"/>
            </w:tcBorders>
            <w:shd w:val="clear" w:color="auto" w:fill="auto"/>
            <w:vAlign w:val="center"/>
            <w:hideMark/>
          </w:tcPr>
          <w:p w:rsidR="004644E7" w:rsidRPr="007955BB" w:rsidRDefault="004644E7" w:rsidP="00D21346">
            <w:pPr>
              <w:spacing w:before="0" w:line="240" w:lineRule="auto"/>
              <w:ind w:firstLine="0"/>
              <w:contextualSpacing w:val="0"/>
              <w:rPr>
                <w:rFonts w:cs="Calibri"/>
                <w:b w:val="0"/>
                <w:sz w:val="18"/>
                <w:szCs w:val="18"/>
                <w:lang w:eastAsia="en-US"/>
              </w:rPr>
            </w:pPr>
            <w:r w:rsidRPr="007955BB">
              <w:rPr>
                <w:rFonts w:eastAsia="Calibri" w:cs="Calibri"/>
                <w:b w:val="0"/>
                <w:sz w:val="18"/>
                <w:szCs w:val="18"/>
                <w:lang w:val="en-US" w:eastAsia="en-US"/>
              </w:rPr>
              <w:t>Սուրբ</w:t>
            </w:r>
            <w:r w:rsidRPr="007955BB">
              <w:rPr>
                <w:rFonts w:eastAsia="Calibri" w:cs="Calibri"/>
                <w:b w:val="0"/>
                <w:sz w:val="18"/>
                <w:szCs w:val="18"/>
                <w:lang w:eastAsia="en-US"/>
              </w:rPr>
              <w:t xml:space="preserve"> </w:t>
            </w:r>
            <w:r w:rsidRPr="007955BB">
              <w:rPr>
                <w:rFonts w:eastAsia="Calibri" w:cs="Calibri"/>
                <w:b w:val="0"/>
                <w:sz w:val="18"/>
                <w:szCs w:val="18"/>
                <w:lang w:val="en-US" w:eastAsia="en-US"/>
              </w:rPr>
              <w:t>Գրիգոր</w:t>
            </w:r>
            <w:r w:rsidRPr="007955BB">
              <w:rPr>
                <w:rFonts w:eastAsia="Calibri" w:cs="Calibri"/>
                <w:b w:val="0"/>
                <w:sz w:val="18"/>
                <w:szCs w:val="18"/>
                <w:lang w:eastAsia="en-US"/>
              </w:rPr>
              <w:t xml:space="preserve"> </w:t>
            </w:r>
            <w:r w:rsidRPr="007955BB">
              <w:rPr>
                <w:rFonts w:eastAsia="Calibri" w:cs="Calibri"/>
                <w:b w:val="0"/>
                <w:sz w:val="18"/>
                <w:szCs w:val="18"/>
                <w:lang w:val="en-US" w:eastAsia="en-US"/>
              </w:rPr>
              <w:t>Լու</w:t>
            </w:r>
            <w:r w:rsidR="00D21346" w:rsidRPr="007955BB">
              <w:rPr>
                <w:rFonts w:eastAsia="Calibri" w:cs="Calibri"/>
                <w:b w:val="0"/>
                <w:sz w:val="18"/>
                <w:szCs w:val="18"/>
                <w:lang w:eastAsia="en-US"/>
              </w:rPr>
              <w:t>-</w:t>
            </w:r>
            <w:r w:rsidRPr="007955BB">
              <w:rPr>
                <w:rFonts w:eastAsia="Calibri" w:cs="Calibri"/>
                <w:b w:val="0"/>
                <w:sz w:val="18"/>
                <w:szCs w:val="18"/>
                <w:lang w:val="en-US" w:eastAsia="en-US"/>
              </w:rPr>
              <w:t>սավորիչ</w:t>
            </w:r>
            <w:r w:rsidRPr="007955BB">
              <w:rPr>
                <w:rFonts w:eastAsia="Calibri" w:cs="Calibri"/>
                <w:b w:val="0"/>
                <w:sz w:val="18"/>
                <w:szCs w:val="18"/>
                <w:lang w:eastAsia="en-US"/>
              </w:rPr>
              <w:t xml:space="preserve"> </w:t>
            </w:r>
            <w:r w:rsidRPr="007955BB">
              <w:rPr>
                <w:rFonts w:eastAsia="Calibri" w:cs="Calibri"/>
                <w:b w:val="0"/>
                <w:sz w:val="18"/>
                <w:szCs w:val="18"/>
                <w:lang w:val="en-US" w:eastAsia="en-US"/>
              </w:rPr>
              <w:t>բժշկական</w:t>
            </w:r>
            <w:r w:rsidRPr="007955BB">
              <w:rPr>
                <w:rFonts w:eastAsia="Calibri" w:cs="Calibri"/>
                <w:b w:val="0"/>
                <w:sz w:val="18"/>
                <w:szCs w:val="18"/>
                <w:lang w:eastAsia="en-US"/>
              </w:rPr>
              <w:t xml:space="preserve"> </w:t>
            </w:r>
            <w:r w:rsidRPr="007955BB">
              <w:rPr>
                <w:rFonts w:eastAsia="Calibri" w:cs="Calibri"/>
                <w:b w:val="0"/>
                <w:sz w:val="18"/>
                <w:szCs w:val="18"/>
                <w:lang w:val="en-US" w:eastAsia="en-US"/>
              </w:rPr>
              <w:t>կենտրոն</w:t>
            </w:r>
            <w:r w:rsidRPr="007955BB">
              <w:rPr>
                <w:rFonts w:eastAsia="Calibri" w:cs="Calibri"/>
                <w:b w:val="0"/>
                <w:sz w:val="18"/>
                <w:szCs w:val="18"/>
                <w:lang w:eastAsia="en-US"/>
              </w:rPr>
              <w:t xml:space="preserve"> </w:t>
            </w:r>
            <w:r w:rsidRPr="007955BB">
              <w:rPr>
                <w:rFonts w:eastAsia="Calibri" w:cs="Calibri"/>
                <w:b w:val="0"/>
                <w:sz w:val="18"/>
                <w:szCs w:val="18"/>
                <w:lang w:val="en-US" w:eastAsia="en-US"/>
              </w:rPr>
              <w:t>ՓԲԸ</w:t>
            </w:r>
          </w:p>
        </w:tc>
        <w:tc>
          <w:tcPr>
            <w:tcW w:w="900" w:type="dxa"/>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eastAsia="en-US"/>
              </w:rPr>
              <w:t xml:space="preserve">  </w:t>
            </w:r>
            <w:r w:rsidRPr="007955BB">
              <w:rPr>
                <w:rFonts w:eastAsia="Calibri" w:cs="Calibri"/>
                <w:b w:val="0"/>
                <w:sz w:val="16"/>
                <w:szCs w:val="16"/>
                <w:lang w:val="en-US" w:eastAsia="en-US"/>
              </w:rPr>
              <w:t>(158)</w:t>
            </w:r>
          </w:p>
        </w:tc>
        <w:tc>
          <w:tcPr>
            <w:tcW w:w="810" w:type="dxa"/>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(407)</w:t>
            </w:r>
          </w:p>
        </w:tc>
        <w:tc>
          <w:tcPr>
            <w:tcW w:w="720" w:type="dxa"/>
            <w:tcBorders>
              <w:top w:val="nil"/>
              <w:left w:val="nil"/>
              <w:bottom w:val="single" w:sz="8" w:space="0" w:color="auto"/>
              <w:right w:val="single" w:sz="8"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7,004</w:t>
            </w:r>
          </w:p>
        </w:tc>
        <w:tc>
          <w:tcPr>
            <w:tcW w:w="810" w:type="dxa"/>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8,839</w:t>
            </w:r>
          </w:p>
        </w:tc>
        <w:tc>
          <w:tcPr>
            <w:tcW w:w="810" w:type="dxa"/>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11,782</w:t>
            </w:r>
          </w:p>
        </w:tc>
        <w:tc>
          <w:tcPr>
            <w:tcW w:w="900" w:type="dxa"/>
            <w:tcBorders>
              <w:top w:val="nil"/>
              <w:left w:val="nil"/>
              <w:bottom w:val="single" w:sz="8" w:space="0" w:color="auto"/>
              <w:right w:val="single" w:sz="8"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5</w:t>
            </w:r>
          </w:p>
        </w:tc>
        <w:tc>
          <w:tcPr>
            <w:tcW w:w="885" w:type="dxa"/>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(50)</w:t>
            </w:r>
          </w:p>
        </w:tc>
        <w:tc>
          <w:tcPr>
            <w:tcW w:w="814" w:type="dxa"/>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(249)</w:t>
            </w:r>
          </w:p>
        </w:tc>
        <w:tc>
          <w:tcPr>
            <w:tcW w:w="819" w:type="dxa"/>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8,265</w:t>
            </w:r>
          </w:p>
        </w:tc>
        <w:tc>
          <w:tcPr>
            <w:tcW w:w="992" w:type="dxa"/>
            <w:tcBorders>
              <w:top w:val="nil"/>
              <w:left w:val="nil"/>
              <w:bottom w:val="single" w:sz="8" w:space="0" w:color="auto"/>
              <w:right w:val="single" w:sz="8"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12,183</w:t>
            </w:r>
          </w:p>
        </w:tc>
      </w:tr>
      <w:tr w:rsidR="004644E7" w:rsidRPr="007955BB" w:rsidTr="00D21346">
        <w:trPr>
          <w:trHeight w:val="340"/>
        </w:trPr>
        <w:tc>
          <w:tcPr>
            <w:tcW w:w="1890" w:type="dxa"/>
            <w:tcBorders>
              <w:top w:val="nil"/>
              <w:left w:val="single" w:sz="8" w:space="0" w:color="auto"/>
              <w:bottom w:val="single" w:sz="4" w:space="0" w:color="auto"/>
              <w:right w:val="single" w:sz="8" w:space="0" w:color="auto"/>
            </w:tcBorders>
            <w:shd w:val="clear" w:color="auto" w:fill="DBE5F1" w:themeFill="accent1" w:themeFillTint="33"/>
            <w:noWrap/>
            <w:vAlign w:val="center"/>
            <w:hideMark/>
          </w:tcPr>
          <w:p w:rsidR="004644E7" w:rsidRPr="007955BB" w:rsidRDefault="004644E7" w:rsidP="00D21346">
            <w:pPr>
              <w:spacing w:before="0" w:line="240" w:lineRule="auto"/>
              <w:ind w:firstLine="0"/>
              <w:contextualSpacing w:val="0"/>
              <w:rPr>
                <w:rFonts w:cs="Calibri"/>
                <w:b w:val="0"/>
                <w:sz w:val="18"/>
                <w:szCs w:val="18"/>
                <w:lang w:eastAsia="en-US"/>
              </w:rPr>
            </w:pPr>
            <w:r w:rsidRPr="007955BB">
              <w:rPr>
                <w:rFonts w:eastAsia="Calibri" w:cs="Calibri"/>
                <w:b w:val="0"/>
                <w:sz w:val="18"/>
                <w:szCs w:val="18"/>
                <w:lang w:val="en-US" w:eastAsia="en-US"/>
              </w:rPr>
              <w:t>Սուրբ</w:t>
            </w:r>
            <w:r w:rsidRPr="007955BB">
              <w:rPr>
                <w:rFonts w:eastAsia="Calibri" w:cs="Calibri"/>
                <w:b w:val="0"/>
                <w:sz w:val="18"/>
                <w:szCs w:val="18"/>
                <w:lang w:eastAsia="en-US"/>
              </w:rPr>
              <w:t xml:space="preserve"> </w:t>
            </w:r>
            <w:r w:rsidRPr="007955BB">
              <w:rPr>
                <w:rFonts w:eastAsia="Calibri" w:cs="Calibri"/>
                <w:b w:val="0"/>
                <w:sz w:val="18"/>
                <w:szCs w:val="18"/>
                <w:lang w:val="en-US" w:eastAsia="en-US"/>
              </w:rPr>
              <w:t>Աստվածա</w:t>
            </w:r>
            <w:r w:rsidR="00991C5C" w:rsidRPr="007955BB">
              <w:rPr>
                <w:rFonts w:eastAsia="Calibri" w:cs="Calibri"/>
                <w:b w:val="0"/>
                <w:sz w:val="18"/>
                <w:szCs w:val="18"/>
                <w:lang w:eastAsia="en-US"/>
              </w:rPr>
              <w:t>-</w:t>
            </w:r>
            <w:r w:rsidRPr="007955BB">
              <w:rPr>
                <w:rFonts w:eastAsia="Calibri" w:cs="Calibri"/>
                <w:b w:val="0"/>
                <w:sz w:val="18"/>
                <w:szCs w:val="18"/>
                <w:lang w:val="en-US" w:eastAsia="en-US"/>
              </w:rPr>
              <w:t>մայր</w:t>
            </w:r>
            <w:r w:rsidRPr="007955BB">
              <w:rPr>
                <w:rFonts w:eastAsia="Calibri" w:cs="Calibri"/>
                <w:b w:val="0"/>
                <w:sz w:val="18"/>
                <w:szCs w:val="18"/>
                <w:lang w:eastAsia="en-US"/>
              </w:rPr>
              <w:t xml:space="preserve"> </w:t>
            </w:r>
            <w:r w:rsidRPr="007955BB">
              <w:rPr>
                <w:rFonts w:eastAsia="Calibri" w:cs="Calibri"/>
                <w:b w:val="0"/>
                <w:sz w:val="18"/>
                <w:szCs w:val="18"/>
                <w:lang w:val="en-US" w:eastAsia="en-US"/>
              </w:rPr>
              <w:t>ԲԿ</w:t>
            </w:r>
            <w:r w:rsidRPr="007955BB">
              <w:rPr>
                <w:rFonts w:eastAsia="Calibri" w:cs="Calibri"/>
                <w:b w:val="0"/>
                <w:sz w:val="18"/>
                <w:szCs w:val="18"/>
                <w:lang w:eastAsia="en-US"/>
              </w:rPr>
              <w:t xml:space="preserve"> </w:t>
            </w:r>
            <w:r w:rsidRPr="007955BB">
              <w:rPr>
                <w:rFonts w:eastAsia="Calibri" w:cs="Calibri"/>
                <w:b w:val="0"/>
                <w:sz w:val="18"/>
                <w:szCs w:val="18"/>
                <w:lang w:val="en-US" w:eastAsia="en-US"/>
              </w:rPr>
              <w:t>ՓԲԸ</w:t>
            </w:r>
          </w:p>
        </w:tc>
        <w:tc>
          <w:tcPr>
            <w:tcW w:w="900" w:type="dxa"/>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eastAsia="en-US"/>
              </w:rPr>
              <w:t xml:space="preserve"> </w:t>
            </w:r>
            <w:r w:rsidRPr="007955BB">
              <w:rPr>
                <w:rFonts w:eastAsia="Calibri" w:cs="Calibri"/>
                <w:b w:val="0"/>
                <w:sz w:val="16"/>
                <w:szCs w:val="16"/>
                <w:lang w:val="en-US" w:eastAsia="en-US"/>
              </w:rPr>
              <w:t>(83)</w:t>
            </w:r>
          </w:p>
        </w:tc>
        <w:tc>
          <w:tcPr>
            <w:tcW w:w="810" w:type="dxa"/>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(300)</w:t>
            </w:r>
          </w:p>
        </w:tc>
        <w:tc>
          <w:tcPr>
            <w:tcW w:w="720" w:type="dxa"/>
            <w:tcBorders>
              <w:top w:val="nil"/>
              <w:left w:val="nil"/>
              <w:bottom w:val="single" w:sz="4" w:space="0" w:color="auto"/>
              <w:right w:val="single" w:sz="8"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2,341</w:t>
            </w:r>
          </w:p>
        </w:tc>
        <w:tc>
          <w:tcPr>
            <w:tcW w:w="810" w:type="dxa"/>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4,151</w:t>
            </w:r>
          </w:p>
        </w:tc>
        <w:tc>
          <w:tcPr>
            <w:tcW w:w="810" w:type="dxa"/>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4,882</w:t>
            </w:r>
          </w:p>
        </w:tc>
        <w:tc>
          <w:tcPr>
            <w:tcW w:w="900" w:type="dxa"/>
            <w:tcBorders>
              <w:top w:val="nil"/>
              <w:left w:val="nil"/>
              <w:bottom w:val="single" w:sz="4" w:space="0" w:color="auto"/>
              <w:right w:val="single" w:sz="8"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2</w:t>
            </w:r>
          </w:p>
        </w:tc>
        <w:tc>
          <w:tcPr>
            <w:tcW w:w="885" w:type="dxa"/>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(57)</w:t>
            </w:r>
          </w:p>
        </w:tc>
        <w:tc>
          <w:tcPr>
            <w:tcW w:w="814" w:type="dxa"/>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(194)</w:t>
            </w:r>
          </w:p>
        </w:tc>
        <w:tc>
          <w:tcPr>
            <w:tcW w:w="819" w:type="dxa"/>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1,939</w:t>
            </w:r>
          </w:p>
        </w:tc>
        <w:tc>
          <w:tcPr>
            <w:tcW w:w="992" w:type="dxa"/>
            <w:tcBorders>
              <w:top w:val="nil"/>
              <w:left w:val="nil"/>
              <w:bottom w:val="single" w:sz="4"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1,992</w:t>
            </w:r>
          </w:p>
        </w:tc>
      </w:tr>
      <w:tr w:rsidR="004644E7" w:rsidRPr="007955BB" w:rsidTr="00D21346">
        <w:trPr>
          <w:trHeight w:val="676"/>
        </w:trPr>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4E7" w:rsidRPr="007955BB" w:rsidRDefault="004644E7" w:rsidP="00D21346">
            <w:pPr>
              <w:spacing w:before="0" w:line="240" w:lineRule="auto"/>
              <w:ind w:firstLine="0"/>
              <w:contextualSpacing w:val="0"/>
              <w:rPr>
                <w:rFonts w:cs="Calibri"/>
                <w:b w:val="0"/>
                <w:sz w:val="18"/>
                <w:szCs w:val="18"/>
                <w:lang w:val="en-US" w:eastAsia="en-US"/>
              </w:rPr>
            </w:pPr>
            <w:r w:rsidRPr="007955BB">
              <w:rPr>
                <w:rFonts w:eastAsia="Calibri" w:cs="Calibri"/>
                <w:b w:val="0"/>
                <w:sz w:val="18"/>
                <w:szCs w:val="18"/>
                <w:lang w:val="en-US" w:eastAsia="en-US"/>
              </w:rPr>
              <w:t>Ռադիոիզոտոպների</w:t>
            </w:r>
            <w:r w:rsidR="00D21346" w:rsidRPr="007955BB">
              <w:rPr>
                <w:rFonts w:eastAsia="Calibri" w:cs="Calibri"/>
                <w:b w:val="0"/>
                <w:sz w:val="18"/>
                <w:szCs w:val="18"/>
                <w:lang w:val="en-US" w:eastAsia="en-US"/>
              </w:rPr>
              <w:t xml:space="preserve"> </w:t>
            </w:r>
            <w:r w:rsidRPr="007955BB">
              <w:rPr>
                <w:rFonts w:eastAsia="Calibri" w:cs="Calibri"/>
                <w:b w:val="0"/>
                <w:sz w:val="18"/>
                <w:szCs w:val="18"/>
                <w:lang w:val="en-US" w:eastAsia="en-US"/>
              </w:rPr>
              <w:t xml:space="preserve">արտադրության կենտրոն ՓԲԸ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 xml:space="preserve"> </w:t>
            </w:r>
            <w:r w:rsidRPr="007955BB">
              <w:rPr>
                <w:rFonts w:eastAsia="Calibri" w:cs="Calibri"/>
                <w:b w:val="0"/>
                <w:sz w:val="16"/>
                <w:szCs w:val="16"/>
                <w:lang w:val="en-US" w:eastAsia="en-US"/>
              </w:rPr>
              <w:t>(1,734)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(2,059)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89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268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(386)</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(272)</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(325)</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4,548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4,544</w:t>
            </w:r>
          </w:p>
        </w:tc>
      </w:tr>
      <w:tr w:rsidR="004644E7" w:rsidRPr="007955BB" w:rsidTr="00D21346">
        <w:trPr>
          <w:trHeight w:val="340"/>
        </w:trPr>
        <w:tc>
          <w:tcPr>
            <w:tcW w:w="1890" w:type="dxa"/>
            <w:tcBorders>
              <w:top w:val="single" w:sz="4"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4644E7" w:rsidRPr="007955BB" w:rsidRDefault="004644E7" w:rsidP="00D21346">
            <w:pPr>
              <w:spacing w:before="0" w:line="240" w:lineRule="auto"/>
              <w:ind w:firstLine="0"/>
              <w:contextualSpacing w:val="0"/>
              <w:rPr>
                <w:rFonts w:cs="Calibri"/>
                <w:b w:val="0"/>
                <w:sz w:val="18"/>
                <w:szCs w:val="18"/>
                <w:lang w:val="en-US" w:eastAsia="en-US"/>
              </w:rPr>
            </w:pPr>
            <w:r w:rsidRPr="007955BB">
              <w:rPr>
                <w:rFonts w:eastAsia="Calibri" w:cs="Calibri"/>
                <w:b w:val="0"/>
                <w:sz w:val="18"/>
                <w:szCs w:val="18"/>
                <w:lang w:val="en-US" w:eastAsia="en-US"/>
              </w:rPr>
              <w:t xml:space="preserve"> Երևանի ոսկերչական գործարան ՓԲԸ </w:t>
            </w:r>
          </w:p>
        </w:tc>
        <w:tc>
          <w:tcPr>
            <w:tcW w:w="900" w:type="dxa"/>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hy-AM" w:eastAsia="en-US"/>
              </w:rPr>
            </w:pPr>
            <w:r w:rsidRPr="007955BB">
              <w:rPr>
                <w:rFonts w:eastAsia="Calibri" w:cs="Calibri"/>
                <w:b w:val="0"/>
                <w:sz w:val="16"/>
                <w:szCs w:val="16"/>
                <w:lang w:val="en-US" w:eastAsia="en-US"/>
              </w:rPr>
              <w:t xml:space="preserve">  (</w:t>
            </w:r>
            <w:r w:rsidRPr="007955BB">
              <w:rPr>
                <w:rFonts w:eastAsia="Calibri" w:cs="Calibri"/>
                <w:b w:val="0"/>
                <w:sz w:val="16"/>
                <w:szCs w:val="16"/>
                <w:lang w:val="hy-AM" w:eastAsia="en-US"/>
              </w:rPr>
              <w:t>1737</w:t>
            </w:r>
            <w:r w:rsidRPr="007955BB">
              <w:rPr>
                <w:rFonts w:eastAsia="Calibri" w:cs="Calibri"/>
                <w:b w:val="0"/>
                <w:sz w:val="16"/>
                <w:szCs w:val="16"/>
                <w:lang w:val="en-US" w:eastAsia="en-US"/>
              </w:rPr>
              <w:t>)</w:t>
            </w:r>
            <w:r w:rsidRPr="007955BB" w:rsidDel="006B68E7">
              <w:rPr>
                <w:rFonts w:eastAsia="Calibri" w:cs="Calibri"/>
                <w:b w:val="0"/>
                <w:sz w:val="16"/>
                <w:szCs w:val="16"/>
                <w:lang w:val="en-US" w:eastAsia="en-US"/>
              </w:rPr>
              <w:t xml:space="preserve"> </w:t>
            </w:r>
          </w:p>
        </w:tc>
        <w:tc>
          <w:tcPr>
            <w:tcW w:w="810" w:type="dxa"/>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eastAsia="Calibri" w:cs="Calibri"/>
                <w:b w:val="0"/>
                <w:sz w:val="16"/>
                <w:szCs w:val="16"/>
                <w:lang w:val="en-US" w:eastAsia="en-US"/>
              </w:rPr>
              <w:t>-</w:t>
            </w:r>
          </w:p>
        </w:tc>
        <w:tc>
          <w:tcPr>
            <w:tcW w:w="720" w:type="dxa"/>
            <w:tcBorders>
              <w:top w:val="single" w:sz="4" w:space="0" w:color="auto"/>
              <w:left w:val="nil"/>
              <w:bottom w:val="single" w:sz="8" w:space="0" w:color="auto"/>
              <w:right w:val="single" w:sz="8"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29</w:t>
            </w:r>
          </w:p>
        </w:tc>
        <w:tc>
          <w:tcPr>
            <w:tcW w:w="810" w:type="dxa"/>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18</w:t>
            </w:r>
          </w:p>
        </w:tc>
        <w:tc>
          <w:tcPr>
            <w:tcW w:w="810" w:type="dxa"/>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eastAsia="Calibri" w:cs="Calibri"/>
                <w:b w:val="0"/>
                <w:sz w:val="16"/>
                <w:szCs w:val="16"/>
                <w:lang w:val="en-US" w:eastAsia="en-US"/>
              </w:rPr>
              <w:t>-</w:t>
            </w:r>
          </w:p>
        </w:tc>
        <w:tc>
          <w:tcPr>
            <w:tcW w:w="900" w:type="dxa"/>
            <w:tcBorders>
              <w:top w:val="single" w:sz="4" w:space="0" w:color="auto"/>
              <w:left w:val="nil"/>
              <w:bottom w:val="single" w:sz="8" w:space="0" w:color="auto"/>
              <w:right w:val="single" w:sz="8" w:space="0" w:color="auto"/>
            </w:tcBorders>
            <w:shd w:val="clear" w:color="auto" w:fill="DBE5F1" w:themeFill="accent1" w:themeFillTint="33"/>
            <w:noWrap/>
            <w:vAlign w:val="bottom"/>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(141) </w:t>
            </w:r>
          </w:p>
        </w:tc>
        <w:tc>
          <w:tcPr>
            <w:tcW w:w="885" w:type="dxa"/>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(108)</w:t>
            </w:r>
            <w:r w:rsidRPr="007955BB" w:rsidDel="005F42B6">
              <w:rPr>
                <w:rFonts w:eastAsia="Calibri" w:cs="Calibri"/>
                <w:b w:val="0"/>
                <w:sz w:val="16"/>
                <w:szCs w:val="16"/>
                <w:lang w:val="en-US" w:eastAsia="en-US"/>
              </w:rPr>
              <w:t xml:space="preserve"> </w:t>
            </w:r>
          </w:p>
        </w:tc>
        <w:tc>
          <w:tcPr>
            <w:tcW w:w="814" w:type="dxa"/>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eastAsia="Calibri" w:cs="Calibri"/>
                <w:b w:val="0"/>
                <w:sz w:val="16"/>
                <w:szCs w:val="16"/>
                <w:lang w:val="en-US" w:eastAsia="en-US"/>
              </w:rPr>
              <w:t>-</w:t>
            </w:r>
          </w:p>
        </w:tc>
        <w:tc>
          <w:tcPr>
            <w:tcW w:w="819" w:type="dxa"/>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rPr>
                <w:rFonts w:cs="Calibri"/>
                <w:b w:val="0"/>
                <w:sz w:val="16"/>
                <w:szCs w:val="16"/>
                <w:lang w:val="en-US" w:eastAsia="en-US"/>
              </w:rPr>
            </w:pPr>
            <w:r w:rsidRPr="007955BB">
              <w:rPr>
                <w:rFonts w:eastAsia="Calibri" w:cs="Calibri"/>
                <w:b w:val="0"/>
                <w:sz w:val="16"/>
                <w:szCs w:val="16"/>
                <w:lang w:val="en-US" w:eastAsia="en-US"/>
              </w:rPr>
              <w:t xml:space="preserve">  165</w:t>
            </w:r>
          </w:p>
        </w:tc>
        <w:tc>
          <w:tcPr>
            <w:tcW w:w="992" w:type="dxa"/>
            <w:tcBorders>
              <w:top w:val="single" w:sz="4" w:space="0" w:color="auto"/>
              <w:left w:val="nil"/>
              <w:bottom w:val="single" w:sz="8" w:space="0" w:color="auto"/>
              <w:right w:val="single" w:sz="8" w:space="0" w:color="auto"/>
            </w:tcBorders>
            <w:shd w:val="clear" w:color="auto" w:fill="DBE5F1" w:themeFill="accent1" w:themeFillTint="33"/>
            <w:noWrap/>
            <w:vAlign w:val="bottom"/>
            <w:hideMark/>
          </w:tcPr>
          <w:p w:rsidR="004644E7" w:rsidRPr="007955BB" w:rsidRDefault="004644E7" w:rsidP="004644E7">
            <w:pPr>
              <w:spacing w:before="0" w:line="276" w:lineRule="auto"/>
              <w:ind w:firstLine="0"/>
              <w:contextualSpacing w:val="0"/>
              <w:jc w:val="center"/>
              <w:rPr>
                <w:rFonts w:cs="Calibri"/>
                <w:b w:val="0"/>
                <w:sz w:val="16"/>
                <w:szCs w:val="16"/>
                <w:lang w:val="en-US" w:eastAsia="en-US"/>
              </w:rPr>
            </w:pPr>
            <w:r w:rsidRPr="007955BB">
              <w:rPr>
                <w:rFonts w:eastAsia="Calibri" w:cs="Calibri"/>
                <w:b w:val="0"/>
                <w:sz w:val="16"/>
                <w:szCs w:val="16"/>
                <w:lang w:val="en-US" w:eastAsia="en-US"/>
              </w:rPr>
              <w:t xml:space="preserve">- </w:t>
            </w:r>
          </w:p>
        </w:tc>
      </w:tr>
    </w:tbl>
    <w:p w:rsidR="004644E7" w:rsidRPr="007955BB" w:rsidRDefault="004644E7" w:rsidP="004644E7">
      <w:pPr>
        <w:spacing w:before="0" w:line="276" w:lineRule="auto"/>
        <w:ind w:firstLine="0"/>
        <w:contextualSpacing w:val="0"/>
        <w:rPr>
          <w:rFonts w:eastAsia="Calibri"/>
          <w:b w:val="0"/>
          <w:szCs w:val="22"/>
          <w:lang w:val="en-US" w:eastAsia="en-US"/>
        </w:rPr>
      </w:pPr>
    </w:p>
    <w:p w:rsidR="004644E7" w:rsidRPr="007955BB" w:rsidRDefault="004644E7" w:rsidP="004644E7">
      <w:pPr>
        <w:spacing w:before="0" w:line="276" w:lineRule="auto"/>
        <w:ind w:firstLine="0"/>
        <w:contextualSpacing w:val="0"/>
        <w:rPr>
          <w:rFonts w:eastAsia="Calibri"/>
          <w:b w:val="0"/>
          <w:szCs w:val="22"/>
          <w:lang w:val="en-US" w:eastAsia="en-US"/>
        </w:rPr>
      </w:pPr>
      <w:r w:rsidRPr="007955BB">
        <w:rPr>
          <w:rFonts w:eastAsia="Calibri"/>
          <w:b w:val="0"/>
          <w:szCs w:val="22"/>
          <w:lang w:val="en-US" w:eastAsia="en-US"/>
        </w:rPr>
        <w:t>2021</w:t>
      </w:r>
      <w:r w:rsidRPr="007955BB">
        <w:rPr>
          <w:rFonts w:eastAsia="Calibri"/>
          <w:b w:val="0"/>
          <w:szCs w:val="22"/>
          <w:lang w:val="hy-AM" w:eastAsia="en-US"/>
        </w:rPr>
        <w:t xml:space="preserve"> </w:t>
      </w:r>
      <w:r w:rsidRPr="007955BB">
        <w:rPr>
          <w:rFonts w:eastAsia="Calibri"/>
          <w:b w:val="0"/>
          <w:szCs w:val="22"/>
          <w:lang w:val="en-US" w:eastAsia="en-US"/>
        </w:rPr>
        <w:t>թվականի դեկտեմբերի 31-ի դրությամբ Էական կուտակված վնաս էին արձանագրել մասնավորապես ջրային ոլորտի ընկերությունները։ Այդ ոլորտի մասով արձանագրված վնասի առաջացման պատճառները հիմնականում պայմանավորված են ՀԾԿՀ-ի կողմից դեռևս 2007թ. հաստատված սակագներով, որոնց հաշվարկների մեջ ներառված չեն ամորտիզացիոն մասհանումները: Անհրաժեշտ է նշել նաև, որ ջրային ոլորտի ընկերությունները չեն ունեցել ժամկետանց վարկային պարտավորություններ, ինչպես նաև ՀՀ կառավարության կողմից բյուջետային երաշխիքներ չեն ստացել:</w:t>
      </w:r>
    </w:p>
    <w:p w:rsidR="004644E7" w:rsidRPr="007955BB" w:rsidRDefault="004644E7" w:rsidP="004644E7">
      <w:pPr>
        <w:spacing w:before="0" w:line="276" w:lineRule="auto"/>
        <w:ind w:firstLine="720"/>
        <w:contextualSpacing w:val="0"/>
        <w:rPr>
          <w:szCs w:val="22"/>
          <w:lang w:val="hy-AM" w:eastAsia="en-US"/>
        </w:rPr>
      </w:pPr>
      <w:r w:rsidRPr="007955BB">
        <w:rPr>
          <w:szCs w:val="22"/>
          <w:lang w:val="hy-AM" w:eastAsia="en-US"/>
        </w:rPr>
        <w:t>Էներգետիկ ոլորտի մասնավոր ընկերություններ</w:t>
      </w:r>
    </w:p>
    <w:p w:rsidR="004644E7" w:rsidRPr="007955BB" w:rsidRDefault="004644E7" w:rsidP="004644E7">
      <w:pPr>
        <w:keepNext/>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Հայաստանում մի շարք խոշոր ենթակառուցվածքային էներգետիկ ակտիվներ տիրապետվում և շահագործվում են մասնավոր ընկերությունների կողմից, որոնց ֆինանսական հաշվետվությունները ենթարկվում են մշտադիտարկման։ 4 ընկերությունների, որոնցից երկուսը՝ «Գազպրոմ Արմենիա» ՓԲԸ-ն և Հրազդանի էներգետիկ ընկերություն ՓԲԸ-ն, հանդիսանում են ընկերությունների խումբ 2021 թվականի ամփոփ  տվայլները ներկայացված են ստորև աղյուսակում։</w:t>
      </w:r>
    </w:p>
    <w:p w:rsidR="004644E7" w:rsidRPr="007955BB" w:rsidRDefault="004644E7" w:rsidP="004644E7">
      <w:pPr>
        <w:keepNext/>
        <w:spacing w:before="0" w:line="276" w:lineRule="auto"/>
        <w:ind w:firstLine="0"/>
        <w:contextualSpacing w:val="0"/>
        <w:jc w:val="left"/>
        <w:rPr>
          <w:rFonts w:eastAsia="Calibri"/>
          <w:b w:val="0"/>
          <w:i/>
          <w:iCs/>
          <w:sz w:val="18"/>
          <w:szCs w:val="18"/>
          <w:lang w:val="hy-AM" w:eastAsia="en-US"/>
        </w:rPr>
      </w:pPr>
    </w:p>
    <w:p w:rsidR="004644E7" w:rsidRPr="007955BB" w:rsidRDefault="004644E7" w:rsidP="004644E7">
      <w:pPr>
        <w:keepNext/>
        <w:spacing w:before="0" w:line="276" w:lineRule="auto"/>
        <w:ind w:firstLine="0"/>
        <w:contextualSpacing w:val="0"/>
        <w:jc w:val="left"/>
        <w:rPr>
          <w:rFonts w:eastAsia="Calibri"/>
          <w:b w:val="0"/>
          <w:i/>
          <w:iCs/>
          <w:sz w:val="18"/>
          <w:szCs w:val="18"/>
          <w:lang w:val="hy-AM" w:eastAsia="en-US"/>
        </w:rPr>
      </w:pPr>
      <w:bookmarkStart w:id="395" w:name="_Toc120805283"/>
      <w:r w:rsidRPr="007955BB">
        <w:rPr>
          <w:rFonts w:eastAsia="Calibri"/>
          <w:b w:val="0"/>
          <w:bCs/>
          <w:color w:val="4472C4"/>
          <w:sz w:val="18"/>
          <w:szCs w:val="18"/>
          <w:lang w:val="hy-AM" w:eastAsia="en-US"/>
        </w:rPr>
        <w:t xml:space="preserve">Աղյուսակ </w:t>
      </w:r>
      <w:r w:rsidRPr="007955BB">
        <w:rPr>
          <w:rFonts w:eastAsia="Calibri"/>
          <w:b w:val="0"/>
          <w:bCs/>
          <w:color w:val="4472C4"/>
          <w:sz w:val="18"/>
          <w:szCs w:val="18"/>
          <w:lang w:val="hy-AM" w:eastAsia="en-US"/>
        </w:rPr>
        <w:fldChar w:fldCharType="begin"/>
      </w:r>
      <w:r w:rsidRPr="007955BB">
        <w:rPr>
          <w:rFonts w:eastAsia="Calibri"/>
          <w:b w:val="0"/>
          <w:bCs/>
          <w:color w:val="4472C4"/>
          <w:sz w:val="18"/>
          <w:szCs w:val="18"/>
          <w:lang w:val="hy-AM" w:eastAsia="en-US"/>
        </w:rPr>
        <w:instrText xml:space="preserve"> SEQ Աղյուսակ \* ARABIC </w:instrText>
      </w:r>
      <w:r w:rsidRPr="007955BB">
        <w:rPr>
          <w:rFonts w:eastAsia="Calibri"/>
          <w:b w:val="0"/>
          <w:bCs/>
          <w:color w:val="4472C4"/>
          <w:sz w:val="18"/>
          <w:szCs w:val="18"/>
          <w:lang w:val="hy-AM" w:eastAsia="en-US"/>
        </w:rPr>
        <w:fldChar w:fldCharType="separate"/>
      </w:r>
      <w:r w:rsidR="008177DF">
        <w:rPr>
          <w:rFonts w:eastAsia="Calibri"/>
          <w:b w:val="0"/>
          <w:bCs/>
          <w:noProof/>
          <w:color w:val="4472C4"/>
          <w:sz w:val="18"/>
          <w:szCs w:val="18"/>
          <w:lang w:val="hy-AM" w:eastAsia="en-US"/>
        </w:rPr>
        <w:t>24</w:t>
      </w:r>
      <w:r w:rsidRPr="007955BB">
        <w:rPr>
          <w:rFonts w:eastAsia="Calibri"/>
          <w:b w:val="0"/>
          <w:bCs/>
          <w:color w:val="4472C4"/>
          <w:sz w:val="18"/>
          <w:szCs w:val="18"/>
          <w:lang w:val="hy-AM" w:eastAsia="en-US"/>
        </w:rPr>
        <w:fldChar w:fldCharType="end"/>
      </w:r>
      <w:r w:rsidRPr="007955BB">
        <w:rPr>
          <w:rFonts w:eastAsia="Calibri"/>
          <w:b w:val="0"/>
          <w:i/>
          <w:iCs/>
          <w:sz w:val="18"/>
          <w:szCs w:val="18"/>
          <w:lang w:val="hy-AM" w:eastAsia="en-US"/>
        </w:rPr>
        <w:t xml:space="preserve"> </w:t>
      </w:r>
      <w:r w:rsidRPr="007955BB">
        <w:rPr>
          <w:rFonts w:eastAsia="Calibri"/>
          <w:bCs/>
          <w:i/>
          <w:color w:val="4472C4"/>
          <w:sz w:val="20"/>
          <w:szCs w:val="20"/>
          <w:lang w:val="hy-AM" w:eastAsia="en-US"/>
        </w:rPr>
        <w:t>Էներգետիկայի ոլորտի մասնավոր ընկերությունների հանրագումարային զուտ շահույթը/վնասն ու պարտավորությունները ըստ տարիների</w:t>
      </w:r>
      <w:bookmarkEnd w:id="395"/>
    </w:p>
    <w:p w:rsidR="004644E7" w:rsidRPr="007955BB" w:rsidRDefault="004644E7" w:rsidP="004644E7">
      <w:pPr>
        <w:keepNext/>
        <w:spacing w:before="0" w:line="276" w:lineRule="auto"/>
        <w:ind w:firstLine="0"/>
        <w:contextualSpacing w:val="0"/>
        <w:jc w:val="right"/>
        <w:rPr>
          <w:rFonts w:eastAsia="Calibri"/>
          <w:b w:val="0"/>
          <w:i/>
          <w:iCs/>
          <w:sz w:val="18"/>
          <w:szCs w:val="18"/>
          <w:lang w:val="hy-AM" w:eastAsia="en-US"/>
        </w:rPr>
      </w:pPr>
      <w:r w:rsidRPr="007955BB">
        <w:rPr>
          <w:rFonts w:eastAsia="Calibri"/>
          <w:b w:val="0"/>
          <w:i/>
          <w:iCs/>
          <w:sz w:val="18"/>
          <w:szCs w:val="18"/>
          <w:lang w:val="hy-AM" w:eastAsia="en-US"/>
        </w:rPr>
        <w:t xml:space="preserve"> </w:t>
      </w:r>
      <w:r w:rsidRPr="007955BB">
        <w:rPr>
          <w:rFonts w:eastAsia="Calibri"/>
          <w:bCs/>
          <w:i/>
          <w:color w:val="4472C4"/>
          <w:sz w:val="20"/>
          <w:szCs w:val="20"/>
          <w:lang w:val="hy-AM" w:eastAsia="en-US"/>
        </w:rPr>
        <w:t>մլն. դրամ</w:t>
      </w:r>
    </w:p>
    <w:tbl>
      <w:tblPr>
        <w:tblW w:w="10070" w:type="dxa"/>
        <w:tblLayout w:type="fixed"/>
        <w:tblLook w:val="04A0" w:firstRow="1" w:lastRow="0" w:firstColumn="1" w:lastColumn="0" w:noHBand="0" w:noVBand="1"/>
      </w:tblPr>
      <w:tblGrid>
        <w:gridCol w:w="4400"/>
        <w:gridCol w:w="900"/>
        <w:gridCol w:w="900"/>
        <w:gridCol w:w="900"/>
        <w:gridCol w:w="990"/>
        <w:gridCol w:w="990"/>
        <w:gridCol w:w="990"/>
      </w:tblGrid>
      <w:tr w:rsidR="004644E7" w:rsidRPr="007955BB" w:rsidTr="00991C5C">
        <w:trPr>
          <w:trHeight w:val="335"/>
        </w:trPr>
        <w:tc>
          <w:tcPr>
            <w:tcW w:w="4400" w:type="dxa"/>
            <w:tcBorders>
              <w:top w:val="single" w:sz="8" w:space="0" w:color="auto"/>
              <w:left w:val="single" w:sz="8" w:space="0" w:color="auto"/>
              <w:bottom w:val="single" w:sz="8" w:space="0" w:color="auto"/>
              <w:right w:val="single" w:sz="8" w:space="0" w:color="auto"/>
            </w:tcBorders>
            <w:shd w:val="clear" w:color="auto" w:fill="8EAADB"/>
            <w:vAlign w:val="center"/>
            <w:hideMark/>
          </w:tcPr>
          <w:p w:rsidR="004644E7" w:rsidRPr="007955BB" w:rsidRDefault="004644E7" w:rsidP="004644E7">
            <w:pPr>
              <w:spacing w:before="0" w:line="276" w:lineRule="auto"/>
              <w:ind w:firstLine="0"/>
              <w:contextualSpacing w:val="0"/>
              <w:rPr>
                <w:rFonts w:cs="Calibri"/>
                <w:color w:val="FFFFFF"/>
                <w:sz w:val="20"/>
                <w:szCs w:val="20"/>
                <w:lang w:val="en-US" w:eastAsia="en-US"/>
              </w:rPr>
            </w:pPr>
            <w:r w:rsidRPr="007955BB">
              <w:rPr>
                <w:rFonts w:cs="Calibri"/>
                <w:color w:val="FFFFFF"/>
                <w:sz w:val="20"/>
                <w:szCs w:val="20"/>
                <w:lang w:val="en-US" w:eastAsia="en-US"/>
              </w:rPr>
              <w:t>Մասնավոր ընկերություններ</w:t>
            </w:r>
          </w:p>
        </w:tc>
        <w:tc>
          <w:tcPr>
            <w:tcW w:w="900" w:type="dxa"/>
            <w:tcBorders>
              <w:top w:val="single" w:sz="8" w:space="0" w:color="auto"/>
              <w:left w:val="nil"/>
              <w:bottom w:val="single" w:sz="8" w:space="0" w:color="auto"/>
              <w:right w:val="single" w:sz="8" w:space="0" w:color="auto"/>
            </w:tcBorders>
            <w:shd w:val="clear" w:color="auto" w:fill="8EAADB"/>
            <w:vAlign w:val="center"/>
            <w:hideMark/>
          </w:tcPr>
          <w:p w:rsidR="004644E7" w:rsidRPr="007955BB" w:rsidRDefault="004644E7" w:rsidP="004644E7">
            <w:pPr>
              <w:spacing w:before="0" w:line="276" w:lineRule="auto"/>
              <w:ind w:firstLine="0"/>
              <w:contextualSpacing w:val="0"/>
              <w:rPr>
                <w:rFonts w:cs="Calibri"/>
                <w:color w:val="FFFFFF"/>
                <w:sz w:val="20"/>
                <w:szCs w:val="20"/>
                <w:lang w:val="en-US" w:eastAsia="en-US"/>
              </w:rPr>
            </w:pPr>
            <w:r w:rsidRPr="007955BB">
              <w:rPr>
                <w:rFonts w:cs="Calibri"/>
                <w:color w:val="FFFFFF"/>
                <w:sz w:val="20"/>
                <w:szCs w:val="20"/>
                <w:lang w:val="en-US" w:eastAsia="en-US"/>
              </w:rPr>
              <w:t>2019թ.</w:t>
            </w:r>
          </w:p>
        </w:tc>
        <w:tc>
          <w:tcPr>
            <w:tcW w:w="900" w:type="dxa"/>
            <w:tcBorders>
              <w:top w:val="single" w:sz="8" w:space="0" w:color="auto"/>
              <w:left w:val="nil"/>
              <w:bottom w:val="single" w:sz="8" w:space="0" w:color="auto"/>
              <w:right w:val="single" w:sz="8" w:space="0" w:color="auto"/>
            </w:tcBorders>
            <w:shd w:val="clear" w:color="auto" w:fill="8EAADB"/>
            <w:vAlign w:val="center"/>
            <w:hideMark/>
          </w:tcPr>
          <w:p w:rsidR="004644E7" w:rsidRPr="007955BB" w:rsidRDefault="004644E7" w:rsidP="004644E7">
            <w:pPr>
              <w:spacing w:before="0" w:line="276" w:lineRule="auto"/>
              <w:ind w:firstLine="0"/>
              <w:contextualSpacing w:val="0"/>
              <w:rPr>
                <w:rFonts w:cs="Calibri"/>
                <w:color w:val="FFFFFF"/>
                <w:sz w:val="20"/>
                <w:szCs w:val="20"/>
                <w:lang w:val="en-US" w:eastAsia="en-US"/>
              </w:rPr>
            </w:pPr>
            <w:r w:rsidRPr="007955BB">
              <w:rPr>
                <w:rFonts w:cs="Calibri"/>
                <w:color w:val="FFFFFF"/>
                <w:sz w:val="20"/>
                <w:szCs w:val="20"/>
                <w:lang w:val="en-US" w:eastAsia="en-US"/>
              </w:rPr>
              <w:t>2020թ.</w:t>
            </w:r>
          </w:p>
        </w:tc>
        <w:tc>
          <w:tcPr>
            <w:tcW w:w="900" w:type="dxa"/>
            <w:tcBorders>
              <w:top w:val="single" w:sz="8" w:space="0" w:color="auto"/>
              <w:left w:val="nil"/>
              <w:bottom w:val="single" w:sz="8" w:space="0" w:color="auto"/>
              <w:right w:val="single" w:sz="8" w:space="0" w:color="auto"/>
            </w:tcBorders>
            <w:shd w:val="clear" w:color="auto" w:fill="8EAADB"/>
            <w:vAlign w:val="center"/>
            <w:hideMark/>
          </w:tcPr>
          <w:p w:rsidR="004644E7" w:rsidRPr="007955BB" w:rsidRDefault="004644E7" w:rsidP="004644E7">
            <w:pPr>
              <w:spacing w:before="0" w:line="276" w:lineRule="auto"/>
              <w:ind w:firstLine="0"/>
              <w:contextualSpacing w:val="0"/>
              <w:rPr>
                <w:rFonts w:cs="Calibri"/>
                <w:color w:val="FFFFFF"/>
                <w:sz w:val="20"/>
                <w:szCs w:val="20"/>
                <w:lang w:val="en-US" w:eastAsia="en-US"/>
              </w:rPr>
            </w:pPr>
            <w:r w:rsidRPr="007955BB">
              <w:rPr>
                <w:rFonts w:cs="Calibri"/>
                <w:color w:val="FFFFFF"/>
                <w:sz w:val="20"/>
                <w:szCs w:val="20"/>
                <w:lang w:val="en-US" w:eastAsia="en-US"/>
              </w:rPr>
              <w:t>2021թ.</w:t>
            </w:r>
          </w:p>
        </w:tc>
        <w:tc>
          <w:tcPr>
            <w:tcW w:w="990" w:type="dxa"/>
            <w:tcBorders>
              <w:top w:val="single" w:sz="8" w:space="0" w:color="auto"/>
              <w:left w:val="nil"/>
              <w:bottom w:val="single" w:sz="8" w:space="0" w:color="auto"/>
              <w:right w:val="single" w:sz="8" w:space="0" w:color="auto"/>
            </w:tcBorders>
            <w:shd w:val="clear" w:color="auto" w:fill="8EAADB"/>
            <w:vAlign w:val="center"/>
            <w:hideMark/>
          </w:tcPr>
          <w:p w:rsidR="004644E7" w:rsidRPr="007955BB" w:rsidRDefault="004644E7" w:rsidP="004644E7">
            <w:pPr>
              <w:spacing w:before="0" w:line="276" w:lineRule="auto"/>
              <w:ind w:firstLine="0"/>
              <w:contextualSpacing w:val="0"/>
              <w:rPr>
                <w:rFonts w:cs="Calibri"/>
                <w:color w:val="FFFFFF"/>
                <w:sz w:val="20"/>
                <w:szCs w:val="20"/>
                <w:lang w:val="en-US" w:eastAsia="en-US"/>
              </w:rPr>
            </w:pPr>
            <w:r w:rsidRPr="007955BB">
              <w:rPr>
                <w:rFonts w:cs="Calibri"/>
                <w:color w:val="FFFFFF"/>
                <w:sz w:val="20"/>
                <w:szCs w:val="20"/>
                <w:lang w:val="en-US" w:eastAsia="en-US"/>
              </w:rPr>
              <w:t>2019թ.</w:t>
            </w:r>
          </w:p>
        </w:tc>
        <w:tc>
          <w:tcPr>
            <w:tcW w:w="990" w:type="dxa"/>
            <w:tcBorders>
              <w:top w:val="single" w:sz="8" w:space="0" w:color="auto"/>
              <w:left w:val="nil"/>
              <w:bottom w:val="single" w:sz="8" w:space="0" w:color="auto"/>
              <w:right w:val="single" w:sz="8" w:space="0" w:color="auto"/>
            </w:tcBorders>
            <w:shd w:val="clear" w:color="auto" w:fill="8EAADB"/>
            <w:vAlign w:val="center"/>
            <w:hideMark/>
          </w:tcPr>
          <w:p w:rsidR="004644E7" w:rsidRPr="007955BB" w:rsidRDefault="004644E7" w:rsidP="004644E7">
            <w:pPr>
              <w:spacing w:before="0" w:line="276" w:lineRule="auto"/>
              <w:ind w:firstLine="0"/>
              <w:contextualSpacing w:val="0"/>
              <w:rPr>
                <w:rFonts w:cs="Calibri"/>
                <w:color w:val="FFFFFF"/>
                <w:sz w:val="20"/>
                <w:szCs w:val="20"/>
                <w:lang w:val="en-US" w:eastAsia="en-US"/>
              </w:rPr>
            </w:pPr>
            <w:r w:rsidRPr="007955BB">
              <w:rPr>
                <w:rFonts w:cs="Calibri"/>
                <w:color w:val="FFFFFF"/>
                <w:sz w:val="20"/>
                <w:szCs w:val="20"/>
                <w:lang w:val="en-US" w:eastAsia="en-US"/>
              </w:rPr>
              <w:t>2020թ.</w:t>
            </w:r>
          </w:p>
        </w:tc>
        <w:tc>
          <w:tcPr>
            <w:tcW w:w="990" w:type="dxa"/>
            <w:tcBorders>
              <w:top w:val="single" w:sz="8" w:space="0" w:color="auto"/>
              <w:left w:val="nil"/>
              <w:bottom w:val="single" w:sz="8" w:space="0" w:color="auto"/>
              <w:right w:val="single" w:sz="8" w:space="0" w:color="auto"/>
            </w:tcBorders>
            <w:shd w:val="clear" w:color="auto" w:fill="8EAADB"/>
            <w:vAlign w:val="center"/>
            <w:hideMark/>
          </w:tcPr>
          <w:p w:rsidR="004644E7" w:rsidRPr="007955BB" w:rsidRDefault="004644E7" w:rsidP="004644E7">
            <w:pPr>
              <w:spacing w:before="0" w:line="276" w:lineRule="auto"/>
              <w:ind w:firstLine="0"/>
              <w:contextualSpacing w:val="0"/>
              <w:rPr>
                <w:rFonts w:cs="Calibri"/>
                <w:color w:val="FFFFFF"/>
                <w:sz w:val="20"/>
                <w:szCs w:val="20"/>
                <w:lang w:val="en-US" w:eastAsia="en-US"/>
              </w:rPr>
            </w:pPr>
            <w:r w:rsidRPr="007955BB">
              <w:rPr>
                <w:rFonts w:cs="Calibri"/>
                <w:color w:val="FFFFFF"/>
                <w:sz w:val="20"/>
                <w:szCs w:val="20"/>
                <w:lang w:val="en-US" w:eastAsia="en-US"/>
              </w:rPr>
              <w:t>2021թ.</w:t>
            </w:r>
          </w:p>
        </w:tc>
      </w:tr>
      <w:tr w:rsidR="004644E7" w:rsidRPr="007955BB" w:rsidTr="00991C5C">
        <w:trPr>
          <w:trHeight w:val="335"/>
        </w:trPr>
        <w:tc>
          <w:tcPr>
            <w:tcW w:w="4400" w:type="dxa"/>
            <w:tcBorders>
              <w:top w:val="nil"/>
              <w:left w:val="single" w:sz="8" w:space="0" w:color="auto"/>
              <w:bottom w:val="single" w:sz="8" w:space="0" w:color="auto"/>
              <w:right w:val="single" w:sz="8" w:space="0" w:color="auto"/>
            </w:tcBorders>
            <w:shd w:val="clear" w:color="auto" w:fill="DBE5F1" w:themeFill="accent1" w:themeFillTint="33"/>
            <w:vAlign w:val="center"/>
            <w:hideMark/>
          </w:tcPr>
          <w:p w:rsidR="004644E7" w:rsidRPr="007955BB" w:rsidRDefault="004644E7" w:rsidP="004644E7">
            <w:pPr>
              <w:spacing w:before="0" w:line="276" w:lineRule="auto"/>
              <w:ind w:firstLine="0"/>
              <w:contextualSpacing w:val="0"/>
              <w:rPr>
                <w:rFonts w:cs="Calibri"/>
                <w:b w:val="0"/>
                <w:sz w:val="20"/>
                <w:szCs w:val="20"/>
                <w:lang w:val="en-US" w:eastAsia="en-US"/>
              </w:rPr>
            </w:pPr>
            <w:r w:rsidRPr="007955BB">
              <w:rPr>
                <w:rFonts w:ascii="Calibri" w:hAnsi="Calibri" w:cs="Calibri"/>
                <w:b w:val="0"/>
                <w:sz w:val="20"/>
                <w:szCs w:val="20"/>
                <w:lang w:val="en-US" w:eastAsia="en-US"/>
              </w:rPr>
              <w:t> </w:t>
            </w:r>
          </w:p>
        </w:tc>
        <w:tc>
          <w:tcPr>
            <w:tcW w:w="2700" w:type="dxa"/>
            <w:gridSpan w:val="3"/>
            <w:tcBorders>
              <w:top w:val="single" w:sz="8" w:space="0" w:color="auto"/>
              <w:left w:val="nil"/>
              <w:bottom w:val="single" w:sz="8" w:space="0" w:color="auto"/>
              <w:right w:val="single" w:sz="8" w:space="0" w:color="000000"/>
            </w:tcBorders>
            <w:shd w:val="clear" w:color="auto" w:fill="DBE5F1" w:themeFill="accent1" w:themeFillTint="33"/>
            <w:vAlign w:val="center"/>
            <w:hideMark/>
          </w:tcPr>
          <w:p w:rsidR="004644E7" w:rsidRPr="007955BB" w:rsidRDefault="004644E7" w:rsidP="004644E7">
            <w:pPr>
              <w:spacing w:before="0" w:line="276" w:lineRule="auto"/>
              <w:ind w:firstLine="0"/>
              <w:contextualSpacing w:val="0"/>
              <w:jc w:val="center"/>
              <w:rPr>
                <w:rFonts w:cs="Calibri"/>
                <w:b w:val="0"/>
                <w:sz w:val="20"/>
                <w:szCs w:val="20"/>
                <w:lang w:val="en-US" w:eastAsia="en-US"/>
              </w:rPr>
            </w:pPr>
            <w:r w:rsidRPr="007955BB">
              <w:rPr>
                <w:rFonts w:cs="Calibri"/>
                <w:b w:val="0"/>
                <w:sz w:val="20"/>
                <w:szCs w:val="20"/>
                <w:lang w:val="en-US" w:eastAsia="en-US"/>
              </w:rPr>
              <w:t>Զուտ շահույթ/վնաս</w:t>
            </w:r>
          </w:p>
        </w:tc>
        <w:tc>
          <w:tcPr>
            <w:tcW w:w="2970" w:type="dxa"/>
            <w:gridSpan w:val="3"/>
            <w:tcBorders>
              <w:top w:val="single" w:sz="8" w:space="0" w:color="auto"/>
              <w:left w:val="nil"/>
              <w:bottom w:val="single" w:sz="8" w:space="0" w:color="auto"/>
              <w:right w:val="single" w:sz="8" w:space="0" w:color="000000"/>
            </w:tcBorders>
            <w:shd w:val="clear" w:color="auto" w:fill="DBE5F1" w:themeFill="accent1" w:themeFillTint="33"/>
            <w:vAlign w:val="center"/>
            <w:hideMark/>
          </w:tcPr>
          <w:p w:rsidR="004644E7" w:rsidRPr="007955BB" w:rsidRDefault="004644E7" w:rsidP="004644E7">
            <w:pPr>
              <w:spacing w:before="0" w:line="276" w:lineRule="auto"/>
              <w:ind w:firstLine="0"/>
              <w:contextualSpacing w:val="0"/>
              <w:jc w:val="center"/>
              <w:rPr>
                <w:rFonts w:cs="Calibri"/>
                <w:b w:val="0"/>
                <w:sz w:val="20"/>
                <w:szCs w:val="20"/>
                <w:lang w:val="en-US" w:eastAsia="en-US"/>
              </w:rPr>
            </w:pPr>
            <w:r w:rsidRPr="007955BB">
              <w:rPr>
                <w:rFonts w:cs="Calibri"/>
                <w:b w:val="0"/>
                <w:sz w:val="20"/>
                <w:szCs w:val="20"/>
                <w:lang w:val="en-US" w:eastAsia="en-US"/>
              </w:rPr>
              <w:t>Պարտավորություններ</w:t>
            </w:r>
          </w:p>
        </w:tc>
      </w:tr>
      <w:tr w:rsidR="004644E7" w:rsidRPr="007955BB" w:rsidTr="00991C5C">
        <w:trPr>
          <w:trHeight w:val="619"/>
        </w:trPr>
        <w:tc>
          <w:tcPr>
            <w:tcW w:w="4400" w:type="dxa"/>
            <w:tcBorders>
              <w:top w:val="nil"/>
              <w:left w:val="single" w:sz="8" w:space="0" w:color="auto"/>
              <w:bottom w:val="single" w:sz="8" w:space="0" w:color="auto"/>
              <w:right w:val="single" w:sz="8" w:space="0" w:color="auto"/>
            </w:tcBorders>
            <w:shd w:val="clear" w:color="auto" w:fill="auto"/>
            <w:vAlign w:val="center"/>
            <w:hideMark/>
          </w:tcPr>
          <w:p w:rsidR="004644E7" w:rsidRPr="007955BB" w:rsidRDefault="004644E7" w:rsidP="00F04DA1">
            <w:pPr>
              <w:numPr>
                <w:ilvl w:val="0"/>
                <w:numId w:val="62"/>
              </w:numPr>
              <w:spacing w:before="0" w:after="160" w:line="276" w:lineRule="auto"/>
              <w:ind w:left="0"/>
              <w:contextualSpacing w:val="0"/>
              <w:jc w:val="left"/>
              <w:rPr>
                <w:rFonts w:cs="Calibri"/>
                <w:b w:val="0"/>
                <w:sz w:val="20"/>
                <w:szCs w:val="20"/>
                <w:lang w:val="en-US" w:eastAsia="en-US"/>
              </w:rPr>
            </w:pPr>
            <w:r w:rsidRPr="007955BB">
              <w:rPr>
                <w:rFonts w:cs="Calibri"/>
                <w:b w:val="0"/>
                <w:sz w:val="20"/>
                <w:szCs w:val="20"/>
                <w:lang w:val="hy-AM" w:eastAsia="en-US"/>
              </w:rPr>
              <w:t>«</w:t>
            </w:r>
            <w:r w:rsidRPr="007955BB">
              <w:rPr>
                <w:rFonts w:cs="Calibri"/>
                <w:b w:val="0"/>
                <w:sz w:val="20"/>
                <w:szCs w:val="20"/>
                <w:lang w:val="en-US" w:eastAsia="en-US"/>
              </w:rPr>
              <w:t>Հրազդանի էներգետիկ ընկերություն</w:t>
            </w:r>
            <w:r w:rsidRPr="007955BB">
              <w:rPr>
                <w:rFonts w:cs="Calibri"/>
                <w:b w:val="0"/>
                <w:sz w:val="20"/>
                <w:szCs w:val="20"/>
                <w:lang w:val="hy-AM" w:eastAsia="en-US"/>
              </w:rPr>
              <w:t>»</w:t>
            </w:r>
            <w:r w:rsidR="00D21346" w:rsidRPr="007955BB">
              <w:rPr>
                <w:rFonts w:cs="Calibri"/>
                <w:b w:val="0"/>
                <w:sz w:val="20"/>
                <w:szCs w:val="20"/>
                <w:lang w:val="en-US" w:eastAsia="en-US"/>
              </w:rPr>
              <w:t xml:space="preserve"> </w:t>
            </w:r>
            <w:r w:rsidRPr="007955BB">
              <w:rPr>
                <w:rFonts w:cs="Calibri"/>
                <w:b w:val="0"/>
                <w:sz w:val="20"/>
                <w:szCs w:val="20"/>
                <w:lang w:val="en-US" w:eastAsia="en-US"/>
              </w:rPr>
              <w:t>ՓԲԸ</w:t>
            </w:r>
          </w:p>
        </w:tc>
        <w:tc>
          <w:tcPr>
            <w:tcW w:w="900" w:type="dxa"/>
            <w:tcBorders>
              <w:top w:val="nil"/>
              <w:left w:val="nil"/>
              <w:bottom w:val="single" w:sz="8" w:space="0" w:color="auto"/>
              <w:right w:val="single" w:sz="8" w:space="0" w:color="auto"/>
            </w:tcBorders>
            <w:shd w:val="clear" w:color="auto" w:fill="auto"/>
            <w:vAlign w:val="center"/>
            <w:hideMark/>
          </w:tcPr>
          <w:p w:rsidR="004644E7" w:rsidRPr="007955BB" w:rsidRDefault="004644E7" w:rsidP="004644E7">
            <w:pPr>
              <w:spacing w:before="0" w:line="276" w:lineRule="auto"/>
              <w:ind w:firstLine="0"/>
              <w:contextualSpacing w:val="0"/>
              <w:jc w:val="center"/>
              <w:rPr>
                <w:rFonts w:cs="Calibri"/>
                <w:b w:val="0"/>
                <w:sz w:val="20"/>
                <w:szCs w:val="20"/>
                <w:lang w:val="en-US" w:eastAsia="en-US"/>
              </w:rPr>
            </w:pPr>
            <w:r w:rsidRPr="007955BB">
              <w:rPr>
                <w:rFonts w:cs="Calibri"/>
                <w:b w:val="0"/>
                <w:sz w:val="20"/>
                <w:szCs w:val="20"/>
                <w:lang w:val="en-US" w:eastAsia="en-US"/>
              </w:rPr>
              <w:t xml:space="preserve">2,380 </w:t>
            </w:r>
          </w:p>
        </w:tc>
        <w:tc>
          <w:tcPr>
            <w:tcW w:w="900" w:type="dxa"/>
            <w:tcBorders>
              <w:top w:val="nil"/>
              <w:left w:val="nil"/>
              <w:bottom w:val="single" w:sz="8" w:space="0" w:color="auto"/>
              <w:right w:val="single" w:sz="8" w:space="0" w:color="auto"/>
            </w:tcBorders>
            <w:shd w:val="clear" w:color="auto" w:fill="auto"/>
            <w:vAlign w:val="center"/>
            <w:hideMark/>
          </w:tcPr>
          <w:p w:rsidR="004644E7" w:rsidRPr="007955BB" w:rsidRDefault="004644E7" w:rsidP="004644E7">
            <w:pPr>
              <w:spacing w:before="0" w:line="276" w:lineRule="auto"/>
              <w:ind w:firstLine="0"/>
              <w:contextualSpacing w:val="0"/>
              <w:jc w:val="right"/>
              <w:rPr>
                <w:rFonts w:cs="Calibri"/>
                <w:b w:val="0"/>
                <w:sz w:val="20"/>
                <w:szCs w:val="20"/>
                <w:lang w:val="en-US" w:eastAsia="en-US"/>
              </w:rPr>
            </w:pPr>
            <w:r w:rsidRPr="007955BB">
              <w:rPr>
                <w:rFonts w:cs="Calibri"/>
                <w:b w:val="0"/>
                <w:sz w:val="20"/>
                <w:szCs w:val="20"/>
                <w:lang w:val="en-US" w:eastAsia="en-US"/>
              </w:rPr>
              <w:t xml:space="preserve"> 1,675 </w:t>
            </w:r>
          </w:p>
        </w:tc>
        <w:tc>
          <w:tcPr>
            <w:tcW w:w="900" w:type="dxa"/>
            <w:tcBorders>
              <w:top w:val="nil"/>
              <w:left w:val="nil"/>
              <w:bottom w:val="single" w:sz="8" w:space="0" w:color="auto"/>
              <w:right w:val="single" w:sz="8" w:space="0" w:color="auto"/>
            </w:tcBorders>
            <w:shd w:val="clear" w:color="auto" w:fill="auto"/>
            <w:vAlign w:val="center"/>
            <w:hideMark/>
          </w:tcPr>
          <w:p w:rsidR="004644E7" w:rsidRPr="007955BB" w:rsidRDefault="004644E7" w:rsidP="004644E7">
            <w:pPr>
              <w:spacing w:before="0" w:line="276" w:lineRule="auto"/>
              <w:ind w:firstLine="0"/>
              <w:contextualSpacing w:val="0"/>
              <w:jc w:val="center"/>
              <w:rPr>
                <w:rFonts w:cs="Calibri"/>
                <w:b w:val="0"/>
                <w:sz w:val="20"/>
                <w:szCs w:val="20"/>
                <w:lang w:val="en-US" w:eastAsia="en-US"/>
              </w:rPr>
            </w:pPr>
            <w:r w:rsidRPr="007955BB">
              <w:rPr>
                <w:rFonts w:cs="Calibri"/>
                <w:b w:val="0"/>
                <w:sz w:val="20"/>
                <w:szCs w:val="20"/>
                <w:lang w:val="en-US" w:eastAsia="en-US"/>
              </w:rPr>
              <w:t xml:space="preserve">6,659 </w:t>
            </w:r>
          </w:p>
        </w:tc>
        <w:tc>
          <w:tcPr>
            <w:tcW w:w="990" w:type="dxa"/>
            <w:tcBorders>
              <w:top w:val="nil"/>
              <w:left w:val="nil"/>
              <w:bottom w:val="single" w:sz="8" w:space="0" w:color="auto"/>
              <w:right w:val="single" w:sz="8" w:space="0" w:color="auto"/>
            </w:tcBorders>
            <w:shd w:val="clear" w:color="auto" w:fill="auto"/>
            <w:vAlign w:val="center"/>
            <w:hideMark/>
          </w:tcPr>
          <w:p w:rsidR="004644E7" w:rsidRPr="007955BB" w:rsidRDefault="004644E7" w:rsidP="004644E7">
            <w:pPr>
              <w:spacing w:before="0" w:line="276" w:lineRule="auto"/>
              <w:ind w:firstLine="0"/>
              <w:contextualSpacing w:val="0"/>
              <w:jc w:val="right"/>
              <w:rPr>
                <w:rFonts w:cs="Calibri"/>
                <w:b w:val="0"/>
                <w:sz w:val="20"/>
                <w:szCs w:val="20"/>
                <w:lang w:val="en-US" w:eastAsia="en-US"/>
              </w:rPr>
            </w:pPr>
            <w:r w:rsidRPr="007955BB">
              <w:rPr>
                <w:rFonts w:cs="Calibri"/>
                <w:b w:val="0"/>
                <w:sz w:val="20"/>
                <w:szCs w:val="20"/>
                <w:lang w:val="en-US" w:eastAsia="en-US"/>
              </w:rPr>
              <w:t xml:space="preserve"> 3,637 </w:t>
            </w:r>
          </w:p>
        </w:tc>
        <w:tc>
          <w:tcPr>
            <w:tcW w:w="990" w:type="dxa"/>
            <w:tcBorders>
              <w:top w:val="nil"/>
              <w:left w:val="nil"/>
              <w:bottom w:val="single" w:sz="8" w:space="0" w:color="auto"/>
              <w:right w:val="single" w:sz="8" w:space="0" w:color="auto"/>
            </w:tcBorders>
            <w:shd w:val="clear" w:color="auto" w:fill="auto"/>
            <w:vAlign w:val="center"/>
            <w:hideMark/>
          </w:tcPr>
          <w:p w:rsidR="004644E7" w:rsidRPr="007955BB" w:rsidRDefault="004644E7" w:rsidP="004644E7">
            <w:pPr>
              <w:spacing w:before="0" w:line="276" w:lineRule="auto"/>
              <w:ind w:firstLine="0"/>
              <w:contextualSpacing w:val="0"/>
              <w:jc w:val="right"/>
              <w:rPr>
                <w:rFonts w:cs="Calibri"/>
                <w:b w:val="0"/>
                <w:sz w:val="20"/>
                <w:szCs w:val="20"/>
                <w:lang w:val="en-US" w:eastAsia="en-US"/>
              </w:rPr>
            </w:pPr>
            <w:r w:rsidRPr="007955BB">
              <w:rPr>
                <w:rFonts w:cs="Calibri"/>
                <w:b w:val="0"/>
                <w:sz w:val="20"/>
                <w:szCs w:val="20"/>
                <w:lang w:val="en-US" w:eastAsia="en-US"/>
              </w:rPr>
              <w:t xml:space="preserve">40,597 </w:t>
            </w:r>
          </w:p>
        </w:tc>
        <w:tc>
          <w:tcPr>
            <w:tcW w:w="990" w:type="dxa"/>
            <w:tcBorders>
              <w:top w:val="nil"/>
              <w:left w:val="nil"/>
              <w:bottom w:val="single" w:sz="8" w:space="0" w:color="auto"/>
              <w:right w:val="single" w:sz="8" w:space="0" w:color="auto"/>
            </w:tcBorders>
            <w:shd w:val="clear" w:color="auto" w:fill="auto"/>
            <w:vAlign w:val="center"/>
            <w:hideMark/>
          </w:tcPr>
          <w:p w:rsidR="004644E7" w:rsidRPr="007955BB" w:rsidRDefault="004644E7" w:rsidP="004644E7">
            <w:pPr>
              <w:spacing w:before="0" w:line="276" w:lineRule="auto"/>
              <w:ind w:firstLine="0"/>
              <w:contextualSpacing w:val="0"/>
              <w:jc w:val="right"/>
              <w:rPr>
                <w:rFonts w:cs="Calibri"/>
                <w:b w:val="0"/>
                <w:sz w:val="20"/>
                <w:szCs w:val="20"/>
                <w:lang w:val="en-US" w:eastAsia="en-US"/>
              </w:rPr>
            </w:pPr>
            <w:r w:rsidRPr="007955BB">
              <w:rPr>
                <w:rFonts w:cs="Calibri"/>
                <w:b w:val="0"/>
                <w:sz w:val="20"/>
                <w:szCs w:val="20"/>
                <w:lang w:val="en-US" w:eastAsia="en-US"/>
              </w:rPr>
              <w:t xml:space="preserve">40,855 </w:t>
            </w:r>
          </w:p>
        </w:tc>
      </w:tr>
      <w:tr w:rsidR="004644E7" w:rsidRPr="007955BB" w:rsidTr="00991C5C">
        <w:trPr>
          <w:trHeight w:val="335"/>
        </w:trPr>
        <w:tc>
          <w:tcPr>
            <w:tcW w:w="4400" w:type="dxa"/>
            <w:tcBorders>
              <w:top w:val="nil"/>
              <w:left w:val="single" w:sz="8" w:space="0" w:color="auto"/>
              <w:bottom w:val="single" w:sz="8" w:space="0" w:color="auto"/>
              <w:right w:val="single" w:sz="8" w:space="0" w:color="auto"/>
            </w:tcBorders>
            <w:shd w:val="clear" w:color="auto" w:fill="DBE5F1" w:themeFill="accent1" w:themeFillTint="33"/>
            <w:vAlign w:val="center"/>
            <w:hideMark/>
          </w:tcPr>
          <w:p w:rsidR="004644E7" w:rsidRPr="007955BB" w:rsidRDefault="004644E7" w:rsidP="00F04DA1">
            <w:pPr>
              <w:numPr>
                <w:ilvl w:val="0"/>
                <w:numId w:val="62"/>
              </w:numPr>
              <w:spacing w:before="0" w:after="160" w:line="276" w:lineRule="auto"/>
              <w:ind w:left="0"/>
              <w:contextualSpacing w:val="0"/>
              <w:jc w:val="left"/>
              <w:rPr>
                <w:rFonts w:cs="Calibri"/>
                <w:b w:val="0"/>
                <w:sz w:val="20"/>
                <w:szCs w:val="20"/>
                <w:lang w:val="en-US" w:eastAsia="en-US"/>
              </w:rPr>
            </w:pPr>
            <w:r w:rsidRPr="007955BB">
              <w:rPr>
                <w:rFonts w:cs="Calibri"/>
                <w:b w:val="0"/>
                <w:sz w:val="20"/>
                <w:szCs w:val="20"/>
                <w:lang w:val="en-US" w:eastAsia="en-US"/>
              </w:rPr>
              <w:t>«Գազպրոմ</w:t>
            </w:r>
            <w:r w:rsidRPr="007955BB">
              <w:rPr>
                <w:rFonts w:ascii="Calibri" w:hAnsi="Calibri" w:cs="Calibri"/>
                <w:b w:val="0"/>
                <w:sz w:val="20"/>
                <w:szCs w:val="20"/>
                <w:lang w:val="en-US" w:eastAsia="en-US"/>
              </w:rPr>
              <w:t> </w:t>
            </w:r>
            <w:r w:rsidRPr="007955BB">
              <w:rPr>
                <w:rFonts w:cs="Calibri"/>
                <w:b w:val="0"/>
                <w:sz w:val="20"/>
                <w:szCs w:val="20"/>
                <w:lang w:val="en-US" w:eastAsia="en-US"/>
              </w:rPr>
              <w:t>Արմենիա»</w:t>
            </w:r>
            <w:r w:rsidRPr="007955BB">
              <w:rPr>
                <w:rFonts w:ascii="Calibri" w:hAnsi="Calibri" w:cs="Calibri"/>
                <w:b w:val="0"/>
                <w:sz w:val="20"/>
                <w:szCs w:val="20"/>
                <w:lang w:val="en-US" w:eastAsia="en-US"/>
              </w:rPr>
              <w:t> </w:t>
            </w:r>
            <w:r w:rsidRPr="007955BB">
              <w:rPr>
                <w:rFonts w:cs="Calibri"/>
                <w:b w:val="0"/>
                <w:sz w:val="20"/>
                <w:szCs w:val="20"/>
                <w:lang w:val="en-US" w:eastAsia="en-US"/>
              </w:rPr>
              <w:t>ՓԲԸ</w:t>
            </w:r>
          </w:p>
        </w:tc>
        <w:tc>
          <w:tcPr>
            <w:tcW w:w="900" w:type="dxa"/>
            <w:tcBorders>
              <w:top w:val="nil"/>
              <w:left w:val="nil"/>
              <w:bottom w:val="single" w:sz="8" w:space="0" w:color="auto"/>
              <w:right w:val="single" w:sz="8" w:space="0" w:color="auto"/>
            </w:tcBorders>
            <w:shd w:val="clear" w:color="auto" w:fill="DBE5F1" w:themeFill="accent1" w:themeFillTint="33"/>
            <w:vAlign w:val="center"/>
            <w:hideMark/>
          </w:tcPr>
          <w:p w:rsidR="004644E7" w:rsidRPr="007955BB" w:rsidRDefault="004644E7" w:rsidP="004644E7">
            <w:pPr>
              <w:spacing w:before="0" w:line="276" w:lineRule="auto"/>
              <w:ind w:firstLine="0"/>
              <w:contextualSpacing w:val="0"/>
              <w:jc w:val="right"/>
              <w:rPr>
                <w:rFonts w:cs="Calibri"/>
                <w:b w:val="0"/>
                <w:sz w:val="20"/>
                <w:szCs w:val="20"/>
                <w:lang w:val="en-US" w:eastAsia="en-US"/>
              </w:rPr>
            </w:pPr>
            <w:r w:rsidRPr="007955BB">
              <w:rPr>
                <w:rFonts w:cs="Calibri"/>
                <w:b w:val="0"/>
                <w:sz w:val="20"/>
                <w:szCs w:val="20"/>
                <w:lang w:val="en-US" w:eastAsia="en-US"/>
              </w:rPr>
              <w:t xml:space="preserve"> 524 </w:t>
            </w:r>
          </w:p>
        </w:tc>
        <w:tc>
          <w:tcPr>
            <w:tcW w:w="900" w:type="dxa"/>
            <w:tcBorders>
              <w:top w:val="nil"/>
              <w:left w:val="nil"/>
              <w:bottom w:val="single" w:sz="8" w:space="0" w:color="auto"/>
              <w:right w:val="single" w:sz="8" w:space="0" w:color="auto"/>
            </w:tcBorders>
            <w:shd w:val="clear" w:color="auto" w:fill="DBE5F1" w:themeFill="accent1" w:themeFillTint="33"/>
            <w:vAlign w:val="center"/>
            <w:hideMark/>
          </w:tcPr>
          <w:p w:rsidR="004644E7" w:rsidRPr="007955BB" w:rsidRDefault="004644E7" w:rsidP="004644E7">
            <w:pPr>
              <w:spacing w:before="0" w:line="276" w:lineRule="auto"/>
              <w:ind w:firstLine="0"/>
              <w:contextualSpacing w:val="0"/>
              <w:jc w:val="right"/>
              <w:rPr>
                <w:rFonts w:cs="Calibri"/>
                <w:b w:val="0"/>
                <w:sz w:val="20"/>
                <w:szCs w:val="20"/>
                <w:lang w:val="en-US" w:eastAsia="en-US"/>
              </w:rPr>
            </w:pPr>
            <w:r w:rsidRPr="007955BB">
              <w:rPr>
                <w:rFonts w:cs="Calibri"/>
                <w:b w:val="0"/>
                <w:sz w:val="20"/>
                <w:szCs w:val="20"/>
                <w:lang w:val="en-US" w:eastAsia="en-US"/>
              </w:rPr>
              <w:t xml:space="preserve"> (701)</w:t>
            </w:r>
          </w:p>
        </w:tc>
        <w:tc>
          <w:tcPr>
            <w:tcW w:w="900" w:type="dxa"/>
            <w:tcBorders>
              <w:top w:val="nil"/>
              <w:left w:val="nil"/>
              <w:bottom w:val="single" w:sz="8" w:space="0" w:color="auto"/>
              <w:right w:val="single" w:sz="8" w:space="0" w:color="auto"/>
            </w:tcBorders>
            <w:shd w:val="clear" w:color="auto" w:fill="DBE5F1" w:themeFill="accent1" w:themeFillTint="33"/>
            <w:vAlign w:val="center"/>
            <w:hideMark/>
          </w:tcPr>
          <w:p w:rsidR="004644E7" w:rsidRPr="007955BB" w:rsidRDefault="004644E7" w:rsidP="004644E7">
            <w:pPr>
              <w:spacing w:before="0" w:line="276" w:lineRule="auto"/>
              <w:ind w:firstLine="0"/>
              <w:contextualSpacing w:val="0"/>
              <w:jc w:val="center"/>
              <w:rPr>
                <w:rFonts w:cs="Calibri"/>
                <w:b w:val="0"/>
                <w:sz w:val="20"/>
                <w:szCs w:val="20"/>
                <w:lang w:val="en-US" w:eastAsia="en-US"/>
              </w:rPr>
            </w:pPr>
            <w:r w:rsidRPr="007955BB">
              <w:rPr>
                <w:rFonts w:cs="Calibri"/>
                <w:b w:val="0"/>
                <w:sz w:val="20"/>
                <w:szCs w:val="20"/>
                <w:lang w:val="en-US" w:eastAsia="en-US"/>
              </w:rPr>
              <w:t xml:space="preserve">14,975 </w:t>
            </w:r>
          </w:p>
        </w:tc>
        <w:tc>
          <w:tcPr>
            <w:tcW w:w="990" w:type="dxa"/>
            <w:tcBorders>
              <w:top w:val="nil"/>
              <w:left w:val="nil"/>
              <w:bottom w:val="single" w:sz="8" w:space="0" w:color="auto"/>
              <w:right w:val="single" w:sz="8" w:space="0" w:color="auto"/>
            </w:tcBorders>
            <w:shd w:val="clear" w:color="auto" w:fill="DBE5F1" w:themeFill="accent1" w:themeFillTint="33"/>
            <w:vAlign w:val="center"/>
            <w:hideMark/>
          </w:tcPr>
          <w:p w:rsidR="004644E7" w:rsidRPr="007955BB" w:rsidRDefault="004644E7" w:rsidP="004644E7">
            <w:pPr>
              <w:spacing w:before="0" w:line="276" w:lineRule="auto"/>
              <w:ind w:firstLine="0"/>
              <w:contextualSpacing w:val="0"/>
              <w:rPr>
                <w:rFonts w:cs="Calibri"/>
                <w:b w:val="0"/>
                <w:sz w:val="20"/>
                <w:szCs w:val="20"/>
                <w:lang w:val="en-US" w:eastAsia="en-US"/>
              </w:rPr>
            </w:pPr>
            <w:r w:rsidRPr="007955BB">
              <w:rPr>
                <w:rFonts w:cs="Calibri"/>
                <w:b w:val="0"/>
                <w:sz w:val="20"/>
                <w:szCs w:val="20"/>
                <w:lang w:val="en-US" w:eastAsia="en-US"/>
              </w:rPr>
              <w:t xml:space="preserve">105,538 </w:t>
            </w:r>
          </w:p>
        </w:tc>
        <w:tc>
          <w:tcPr>
            <w:tcW w:w="990" w:type="dxa"/>
            <w:tcBorders>
              <w:top w:val="nil"/>
              <w:left w:val="nil"/>
              <w:bottom w:val="single" w:sz="8" w:space="0" w:color="auto"/>
              <w:right w:val="single" w:sz="8" w:space="0" w:color="auto"/>
            </w:tcBorders>
            <w:shd w:val="clear" w:color="auto" w:fill="DBE5F1" w:themeFill="accent1" w:themeFillTint="33"/>
            <w:vAlign w:val="center"/>
            <w:hideMark/>
          </w:tcPr>
          <w:p w:rsidR="004644E7" w:rsidRPr="007955BB" w:rsidRDefault="004644E7" w:rsidP="004644E7">
            <w:pPr>
              <w:spacing w:before="0" w:line="276" w:lineRule="auto"/>
              <w:ind w:firstLine="0"/>
              <w:contextualSpacing w:val="0"/>
              <w:jc w:val="left"/>
              <w:rPr>
                <w:rFonts w:cs="Calibri"/>
                <w:b w:val="0"/>
                <w:sz w:val="20"/>
                <w:szCs w:val="20"/>
                <w:lang w:val="en-US" w:eastAsia="en-US"/>
              </w:rPr>
            </w:pPr>
            <w:r w:rsidRPr="007955BB">
              <w:rPr>
                <w:rFonts w:cs="Calibri"/>
                <w:b w:val="0"/>
                <w:sz w:val="20"/>
                <w:szCs w:val="20"/>
                <w:lang w:val="en-US" w:eastAsia="en-US"/>
              </w:rPr>
              <w:t xml:space="preserve">112,128 </w:t>
            </w:r>
          </w:p>
        </w:tc>
        <w:tc>
          <w:tcPr>
            <w:tcW w:w="990" w:type="dxa"/>
            <w:tcBorders>
              <w:top w:val="nil"/>
              <w:left w:val="nil"/>
              <w:bottom w:val="single" w:sz="8" w:space="0" w:color="auto"/>
              <w:right w:val="single" w:sz="8" w:space="0" w:color="auto"/>
            </w:tcBorders>
            <w:shd w:val="clear" w:color="auto" w:fill="DBE5F1" w:themeFill="accent1" w:themeFillTint="33"/>
            <w:vAlign w:val="center"/>
            <w:hideMark/>
          </w:tcPr>
          <w:p w:rsidR="004644E7" w:rsidRPr="007955BB" w:rsidRDefault="004644E7" w:rsidP="004644E7">
            <w:pPr>
              <w:spacing w:before="0" w:line="276" w:lineRule="auto"/>
              <w:ind w:firstLine="0"/>
              <w:contextualSpacing w:val="0"/>
              <w:jc w:val="center"/>
              <w:rPr>
                <w:rFonts w:cs="Calibri"/>
                <w:b w:val="0"/>
                <w:sz w:val="20"/>
                <w:szCs w:val="20"/>
                <w:lang w:val="en-US" w:eastAsia="en-US"/>
              </w:rPr>
            </w:pPr>
            <w:r w:rsidRPr="007955BB">
              <w:rPr>
                <w:rFonts w:cs="Calibri"/>
                <w:b w:val="0"/>
                <w:sz w:val="20"/>
                <w:szCs w:val="20"/>
                <w:lang w:val="en-US" w:eastAsia="en-US"/>
              </w:rPr>
              <w:t xml:space="preserve">93,598 </w:t>
            </w:r>
          </w:p>
        </w:tc>
      </w:tr>
      <w:tr w:rsidR="004644E7" w:rsidRPr="007955BB" w:rsidTr="00991C5C">
        <w:trPr>
          <w:trHeight w:val="619"/>
        </w:trPr>
        <w:tc>
          <w:tcPr>
            <w:tcW w:w="4400" w:type="dxa"/>
            <w:tcBorders>
              <w:top w:val="nil"/>
              <w:left w:val="single" w:sz="8" w:space="0" w:color="auto"/>
              <w:bottom w:val="single" w:sz="4" w:space="0" w:color="auto"/>
              <w:right w:val="single" w:sz="8" w:space="0" w:color="auto"/>
            </w:tcBorders>
            <w:shd w:val="clear" w:color="auto" w:fill="auto"/>
            <w:vAlign w:val="center"/>
            <w:hideMark/>
          </w:tcPr>
          <w:p w:rsidR="004644E7" w:rsidRPr="007955BB" w:rsidRDefault="004644E7" w:rsidP="00F04DA1">
            <w:pPr>
              <w:numPr>
                <w:ilvl w:val="0"/>
                <w:numId w:val="62"/>
              </w:numPr>
              <w:spacing w:before="0" w:after="160" w:line="276" w:lineRule="auto"/>
              <w:ind w:left="0"/>
              <w:contextualSpacing w:val="0"/>
              <w:jc w:val="left"/>
              <w:rPr>
                <w:rFonts w:cs="Calibri"/>
                <w:b w:val="0"/>
                <w:sz w:val="20"/>
                <w:szCs w:val="20"/>
                <w:lang w:val="en-US" w:eastAsia="en-US"/>
              </w:rPr>
            </w:pPr>
            <w:r w:rsidRPr="007955BB">
              <w:rPr>
                <w:rFonts w:cs="Calibri"/>
                <w:b w:val="0"/>
                <w:sz w:val="20"/>
                <w:szCs w:val="20"/>
                <w:lang w:val="en-US" w:eastAsia="en-US"/>
              </w:rPr>
              <w:t>«Միջազգային</w:t>
            </w:r>
            <w:r w:rsidRPr="007955BB">
              <w:rPr>
                <w:rFonts w:ascii="Calibri" w:hAnsi="Calibri" w:cs="Calibri"/>
                <w:b w:val="0"/>
                <w:sz w:val="20"/>
                <w:szCs w:val="20"/>
                <w:lang w:val="en-US" w:eastAsia="en-US"/>
              </w:rPr>
              <w:t> </w:t>
            </w:r>
            <w:r w:rsidRPr="007955BB">
              <w:rPr>
                <w:rFonts w:cs="Calibri"/>
                <w:b w:val="0"/>
                <w:sz w:val="20"/>
                <w:szCs w:val="20"/>
                <w:lang w:val="en-US" w:eastAsia="en-US"/>
              </w:rPr>
              <w:t>էներգետիկ</w:t>
            </w:r>
            <w:r w:rsidRPr="007955BB">
              <w:rPr>
                <w:rFonts w:ascii="Calibri" w:hAnsi="Calibri" w:cs="Calibri"/>
                <w:b w:val="0"/>
                <w:sz w:val="20"/>
                <w:szCs w:val="20"/>
                <w:lang w:val="en-US" w:eastAsia="en-US"/>
              </w:rPr>
              <w:t> </w:t>
            </w:r>
            <w:r w:rsidRPr="007955BB">
              <w:rPr>
                <w:rFonts w:cs="Calibri"/>
                <w:b w:val="0"/>
                <w:sz w:val="20"/>
                <w:szCs w:val="20"/>
                <w:lang w:val="en-US" w:eastAsia="en-US"/>
              </w:rPr>
              <w:t>կորպորացիա» ՓԲԸ</w:t>
            </w:r>
          </w:p>
        </w:tc>
        <w:tc>
          <w:tcPr>
            <w:tcW w:w="900" w:type="dxa"/>
            <w:tcBorders>
              <w:top w:val="nil"/>
              <w:left w:val="nil"/>
              <w:bottom w:val="single" w:sz="4" w:space="0" w:color="auto"/>
              <w:right w:val="single" w:sz="8" w:space="0" w:color="auto"/>
            </w:tcBorders>
            <w:shd w:val="clear" w:color="auto" w:fill="auto"/>
            <w:vAlign w:val="center"/>
            <w:hideMark/>
          </w:tcPr>
          <w:p w:rsidR="004644E7" w:rsidRPr="007955BB" w:rsidRDefault="004644E7" w:rsidP="004644E7">
            <w:pPr>
              <w:spacing w:before="0" w:line="276" w:lineRule="auto"/>
              <w:ind w:firstLine="0"/>
              <w:contextualSpacing w:val="0"/>
              <w:jc w:val="right"/>
              <w:rPr>
                <w:rFonts w:cs="Calibri"/>
                <w:b w:val="0"/>
                <w:sz w:val="20"/>
                <w:szCs w:val="20"/>
                <w:lang w:val="en-US" w:eastAsia="en-US"/>
              </w:rPr>
            </w:pPr>
            <w:r w:rsidRPr="007955BB">
              <w:rPr>
                <w:rFonts w:cs="Calibri"/>
                <w:b w:val="0"/>
                <w:sz w:val="20"/>
                <w:szCs w:val="20"/>
                <w:lang w:val="en-US" w:eastAsia="en-US"/>
              </w:rPr>
              <w:t xml:space="preserve"> 160 </w:t>
            </w:r>
          </w:p>
        </w:tc>
        <w:tc>
          <w:tcPr>
            <w:tcW w:w="900" w:type="dxa"/>
            <w:tcBorders>
              <w:top w:val="nil"/>
              <w:left w:val="nil"/>
              <w:bottom w:val="single" w:sz="4" w:space="0" w:color="auto"/>
              <w:right w:val="single" w:sz="8" w:space="0" w:color="auto"/>
            </w:tcBorders>
            <w:shd w:val="clear" w:color="auto" w:fill="auto"/>
            <w:vAlign w:val="center"/>
            <w:hideMark/>
          </w:tcPr>
          <w:p w:rsidR="004644E7" w:rsidRPr="007955BB" w:rsidRDefault="004644E7" w:rsidP="004644E7">
            <w:pPr>
              <w:spacing w:before="0" w:line="276" w:lineRule="auto"/>
              <w:ind w:firstLine="0"/>
              <w:contextualSpacing w:val="0"/>
              <w:jc w:val="left"/>
              <w:rPr>
                <w:rFonts w:cs="Calibri"/>
                <w:b w:val="0"/>
                <w:sz w:val="20"/>
                <w:szCs w:val="20"/>
                <w:lang w:val="en-US" w:eastAsia="en-US"/>
              </w:rPr>
            </w:pPr>
            <w:r w:rsidRPr="007955BB">
              <w:rPr>
                <w:rFonts w:cs="Calibri"/>
                <w:b w:val="0"/>
                <w:sz w:val="20"/>
                <w:szCs w:val="20"/>
                <w:lang w:val="en-US" w:eastAsia="en-US"/>
              </w:rPr>
              <w:t>(3,504)</w:t>
            </w:r>
          </w:p>
        </w:tc>
        <w:tc>
          <w:tcPr>
            <w:tcW w:w="900" w:type="dxa"/>
            <w:tcBorders>
              <w:top w:val="nil"/>
              <w:left w:val="nil"/>
              <w:bottom w:val="single" w:sz="4" w:space="0" w:color="auto"/>
              <w:right w:val="single" w:sz="8" w:space="0" w:color="auto"/>
            </w:tcBorders>
            <w:shd w:val="clear" w:color="auto" w:fill="auto"/>
            <w:vAlign w:val="center"/>
            <w:hideMark/>
          </w:tcPr>
          <w:p w:rsidR="004644E7" w:rsidRPr="007955BB" w:rsidRDefault="004644E7" w:rsidP="004644E7">
            <w:pPr>
              <w:spacing w:before="0" w:line="276" w:lineRule="auto"/>
              <w:ind w:firstLine="0"/>
              <w:contextualSpacing w:val="0"/>
              <w:jc w:val="right"/>
              <w:rPr>
                <w:rFonts w:cs="Calibri"/>
                <w:b w:val="0"/>
                <w:sz w:val="20"/>
                <w:szCs w:val="20"/>
                <w:lang w:val="en-US" w:eastAsia="en-US"/>
              </w:rPr>
            </w:pPr>
            <w:r w:rsidRPr="007955BB">
              <w:rPr>
                <w:rFonts w:cs="Calibri"/>
                <w:b w:val="0"/>
                <w:sz w:val="20"/>
                <w:szCs w:val="20"/>
                <w:lang w:val="en-US" w:eastAsia="en-US"/>
              </w:rPr>
              <w:t xml:space="preserve"> 4,625 </w:t>
            </w:r>
          </w:p>
        </w:tc>
        <w:tc>
          <w:tcPr>
            <w:tcW w:w="990" w:type="dxa"/>
            <w:tcBorders>
              <w:top w:val="nil"/>
              <w:left w:val="nil"/>
              <w:bottom w:val="single" w:sz="4" w:space="0" w:color="auto"/>
              <w:right w:val="single" w:sz="8" w:space="0" w:color="auto"/>
            </w:tcBorders>
            <w:shd w:val="clear" w:color="auto" w:fill="auto"/>
            <w:vAlign w:val="center"/>
            <w:hideMark/>
          </w:tcPr>
          <w:p w:rsidR="004644E7" w:rsidRPr="007955BB" w:rsidRDefault="004644E7" w:rsidP="004644E7">
            <w:pPr>
              <w:spacing w:before="0" w:line="276" w:lineRule="auto"/>
              <w:ind w:firstLine="0"/>
              <w:contextualSpacing w:val="0"/>
              <w:jc w:val="right"/>
              <w:rPr>
                <w:rFonts w:cs="Calibri"/>
                <w:b w:val="0"/>
                <w:sz w:val="20"/>
                <w:szCs w:val="20"/>
                <w:lang w:val="en-US" w:eastAsia="en-US"/>
              </w:rPr>
            </w:pPr>
            <w:r w:rsidRPr="007955BB">
              <w:rPr>
                <w:rFonts w:cs="Calibri"/>
                <w:b w:val="0"/>
                <w:sz w:val="20"/>
                <w:szCs w:val="20"/>
                <w:lang w:val="en-US" w:eastAsia="en-US"/>
              </w:rPr>
              <w:t xml:space="preserve"> 23,921 </w:t>
            </w:r>
          </w:p>
        </w:tc>
        <w:tc>
          <w:tcPr>
            <w:tcW w:w="990" w:type="dxa"/>
            <w:tcBorders>
              <w:top w:val="nil"/>
              <w:left w:val="nil"/>
              <w:bottom w:val="single" w:sz="4" w:space="0" w:color="auto"/>
              <w:right w:val="single" w:sz="8" w:space="0" w:color="auto"/>
            </w:tcBorders>
            <w:shd w:val="clear" w:color="auto" w:fill="auto"/>
            <w:vAlign w:val="center"/>
            <w:hideMark/>
          </w:tcPr>
          <w:p w:rsidR="004644E7" w:rsidRPr="007955BB" w:rsidRDefault="004644E7" w:rsidP="004644E7">
            <w:pPr>
              <w:spacing w:before="0" w:line="276" w:lineRule="auto"/>
              <w:ind w:firstLine="0"/>
              <w:contextualSpacing w:val="0"/>
              <w:jc w:val="right"/>
              <w:rPr>
                <w:rFonts w:cs="Calibri"/>
                <w:b w:val="0"/>
                <w:sz w:val="20"/>
                <w:szCs w:val="20"/>
                <w:lang w:val="en-US" w:eastAsia="en-US"/>
              </w:rPr>
            </w:pPr>
            <w:r w:rsidRPr="007955BB">
              <w:rPr>
                <w:rFonts w:cs="Calibri"/>
                <w:b w:val="0"/>
                <w:sz w:val="20"/>
                <w:szCs w:val="20"/>
                <w:lang w:val="en-US" w:eastAsia="en-US"/>
              </w:rPr>
              <w:t xml:space="preserve"> 27,288 </w:t>
            </w:r>
          </w:p>
        </w:tc>
        <w:tc>
          <w:tcPr>
            <w:tcW w:w="990" w:type="dxa"/>
            <w:tcBorders>
              <w:top w:val="nil"/>
              <w:left w:val="nil"/>
              <w:bottom w:val="single" w:sz="4" w:space="0" w:color="auto"/>
              <w:right w:val="single" w:sz="8" w:space="0" w:color="auto"/>
            </w:tcBorders>
            <w:shd w:val="clear" w:color="auto" w:fill="auto"/>
            <w:vAlign w:val="center"/>
            <w:hideMark/>
          </w:tcPr>
          <w:p w:rsidR="004644E7" w:rsidRPr="007955BB" w:rsidRDefault="004644E7" w:rsidP="004644E7">
            <w:pPr>
              <w:spacing w:before="0" w:line="276" w:lineRule="auto"/>
              <w:ind w:firstLine="0"/>
              <w:contextualSpacing w:val="0"/>
              <w:jc w:val="right"/>
              <w:rPr>
                <w:rFonts w:cs="Calibri"/>
                <w:b w:val="0"/>
                <w:sz w:val="20"/>
                <w:szCs w:val="20"/>
                <w:lang w:val="en-US" w:eastAsia="en-US"/>
              </w:rPr>
            </w:pPr>
            <w:r w:rsidRPr="007955BB">
              <w:rPr>
                <w:rFonts w:cs="Calibri"/>
                <w:b w:val="0"/>
                <w:sz w:val="20"/>
                <w:szCs w:val="20"/>
                <w:lang w:val="en-US" w:eastAsia="en-US"/>
              </w:rPr>
              <w:t xml:space="preserve">26,980 </w:t>
            </w:r>
          </w:p>
        </w:tc>
      </w:tr>
      <w:tr w:rsidR="004644E7" w:rsidRPr="007955BB" w:rsidTr="00991C5C">
        <w:trPr>
          <w:trHeight w:val="556"/>
        </w:trPr>
        <w:tc>
          <w:tcPr>
            <w:tcW w:w="44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4644E7" w:rsidRPr="007955BB" w:rsidRDefault="004644E7" w:rsidP="00F04DA1">
            <w:pPr>
              <w:numPr>
                <w:ilvl w:val="0"/>
                <w:numId w:val="62"/>
              </w:numPr>
              <w:spacing w:before="0" w:after="160" w:line="276" w:lineRule="auto"/>
              <w:ind w:left="0"/>
              <w:contextualSpacing w:val="0"/>
              <w:jc w:val="left"/>
              <w:rPr>
                <w:rFonts w:cs="Calibri"/>
                <w:b w:val="0"/>
                <w:sz w:val="20"/>
                <w:szCs w:val="20"/>
                <w:lang w:val="en-US" w:eastAsia="en-US"/>
              </w:rPr>
            </w:pPr>
            <w:r w:rsidRPr="007955BB">
              <w:rPr>
                <w:rFonts w:cs="Calibri"/>
                <w:b w:val="0"/>
                <w:sz w:val="20"/>
                <w:szCs w:val="20"/>
                <w:lang w:val="en-US" w:eastAsia="en-US"/>
              </w:rPr>
              <w:t>«Հայաստանի</w:t>
            </w:r>
            <w:r w:rsidRPr="007955BB">
              <w:rPr>
                <w:rFonts w:ascii="Calibri" w:hAnsi="Calibri" w:cs="Calibri"/>
                <w:b w:val="0"/>
                <w:sz w:val="20"/>
                <w:szCs w:val="20"/>
                <w:lang w:val="en-US" w:eastAsia="en-US"/>
              </w:rPr>
              <w:t> </w:t>
            </w:r>
            <w:r w:rsidRPr="007955BB">
              <w:rPr>
                <w:rFonts w:cs="Calibri"/>
                <w:b w:val="0"/>
                <w:sz w:val="20"/>
                <w:szCs w:val="20"/>
                <w:lang w:val="en-US" w:eastAsia="en-US"/>
              </w:rPr>
              <w:t>էլեկտրական</w:t>
            </w:r>
            <w:r w:rsidRPr="007955BB">
              <w:rPr>
                <w:rFonts w:ascii="Calibri" w:hAnsi="Calibri" w:cs="Calibri"/>
                <w:b w:val="0"/>
                <w:sz w:val="20"/>
                <w:szCs w:val="20"/>
                <w:lang w:val="en-US" w:eastAsia="en-US"/>
              </w:rPr>
              <w:t> </w:t>
            </w:r>
            <w:r w:rsidRPr="007955BB">
              <w:rPr>
                <w:rFonts w:cs="Calibri"/>
                <w:b w:val="0"/>
                <w:sz w:val="20"/>
                <w:szCs w:val="20"/>
                <w:lang w:val="en-US" w:eastAsia="en-US"/>
              </w:rPr>
              <w:t>ցանցեր»</w:t>
            </w:r>
            <w:r w:rsidRPr="007955BB">
              <w:rPr>
                <w:rFonts w:ascii="Calibri" w:hAnsi="Calibri" w:cs="Calibri"/>
                <w:b w:val="0"/>
                <w:sz w:val="20"/>
                <w:szCs w:val="20"/>
                <w:lang w:val="en-US" w:eastAsia="en-US"/>
              </w:rPr>
              <w:t> </w:t>
            </w:r>
            <w:r w:rsidRPr="007955BB">
              <w:rPr>
                <w:rFonts w:cs="Calibri"/>
                <w:b w:val="0"/>
                <w:sz w:val="20"/>
                <w:szCs w:val="20"/>
                <w:lang w:val="en-US" w:eastAsia="en-US"/>
              </w:rPr>
              <w:t>ՓԲԸ</w:t>
            </w:r>
          </w:p>
        </w:tc>
        <w:tc>
          <w:tcPr>
            <w:tcW w:w="9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4644E7" w:rsidRPr="007955BB" w:rsidRDefault="004644E7" w:rsidP="004644E7">
            <w:pPr>
              <w:spacing w:before="0" w:line="276" w:lineRule="auto"/>
              <w:ind w:firstLine="0"/>
              <w:contextualSpacing w:val="0"/>
              <w:jc w:val="center"/>
              <w:rPr>
                <w:rFonts w:cs="Calibri"/>
                <w:b w:val="0"/>
                <w:sz w:val="20"/>
                <w:szCs w:val="20"/>
                <w:lang w:val="en-US" w:eastAsia="en-US"/>
              </w:rPr>
            </w:pPr>
            <w:r w:rsidRPr="007955BB">
              <w:rPr>
                <w:rFonts w:cs="Calibri"/>
                <w:b w:val="0"/>
                <w:sz w:val="20"/>
                <w:szCs w:val="20"/>
                <w:lang w:val="en-US" w:eastAsia="en-US"/>
              </w:rPr>
              <w:t xml:space="preserve">11,764 </w:t>
            </w:r>
          </w:p>
        </w:tc>
        <w:tc>
          <w:tcPr>
            <w:tcW w:w="9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4644E7" w:rsidRPr="007955BB" w:rsidRDefault="004644E7" w:rsidP="004644E7">
            <w:pPr>
              <w:spacing w:before="0" w:line="276" w:lineRule="auto"/>
              <w:ind w:firstLine="0"/>
              <w:contextualSpacing w:val="0"/>
              <w:jc w:val="center"/>
              <w:rPr>
                <w:rFonts w:cs="Calibri"/>
                <w:b w:val="0"/>
                <w:sz w:val="20"/>
                <w:szCs w:val="20"/>
                <w:lang w:val="en-US" w:eastAsia="en-US"/>
              </w:rPr>
            </w:pPr>
            <w:r w:rsidRPr="007955BB">
              <w:rPr>
                <w:rFonts w:cs="Calibri"/>
                <w:b w:val="0"/>
                <w:sz w:val="20"/>
                <w:szCs w:val="20"/>
                <w:lang w:val="en-US" w:eastAsia="en-US"/>
              </w:rPr>
              <w:t>(4,577)</w:t>
            </w:r>
          </w:p>
        </w:tc>
        <w:tc>
          <w:tcPr>
            <w:tcW w:w="9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4644E7" w:rsidRPr="007955BB" w:rsidRDefault="004644E7" w:rsidP="004644E7">
            <w:pPr>
              <w:spacing w:before="0" w:line="276" w:lineRule="auto"/>
              <w:ind w:firstLine="0"/>
              <w:contextualSpacing w:val="0"/>
              <w:jc w:val="center"/>
              <w:rPr>
                <w:rFonts w:cs="Calibri"/>
                <w:b w:val="0"/>
                <w:sz w:val="20"/>
                <w:szCs w:val="20"/>
                <w:lang w:val="en-US" w:eastAsia="en-US"/>
              </w:rPr>
            </w:pPr>
            <w:r w:rsidRPr="007955BB">
              <w:rPr>
                <w:rFonts w:cs="Calibri"/>
                <w:b w:val="0"/>
                <w:sz w:val="20"/>
                <w:szCs w:val="20"/>
                <w:lang w:val="en-US" w:eastAsia="en-US"/>
              </w:rPr>
              <w:t xml:space="preserve">24,338 </w:t>
            </w:r>
          </w:p>
        </w:tc>
        <w:tc>
          <w:tcPr>
            <w:tcW w:w="9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4644E7" w:rsidRPr="007955BB" w:rsidRDefault="004644E7" w:rsidP="004644E7">
            <w:pPr>
              <w:spacing w:before="0" w:line="276" w:lineRule="auto"/>
              <w:ind w:firstLine="0"/>
              <w:contextualSpacing w:val="0"/>
              <w:jc w:val="left"/>
              <w:rPr>
                <w:rFonts w:cs="Calibri"/>
                <w:b w:val="0"/>
                <w:sz w:val="20"/>
                <w:szCs w:val="20"/>
                <w:lang w:val="en-US" w:eastAsia="en-US"/>
              </w:rPr>
            </w:pPr>
            <w:r w:rsidRPr="007955BB">
              <w:rPr>
                <w:rFonts w:cs="Calibri"/>
                <w:b w:val="0"/>
                <w:sz w:val="20"/>
                <w:szCs w:val="20"/>
                <w:lang w:val="en-US" w:eastAsia="en-US"/>
              </w:rPr>
              <w:t xml:space="preserve">126,081 </w:t>
            </w:r>
          </w:p>
        </w:tc>
        <w:tc>
          <w:tcPr>
            <w:tcW w:w="9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4644E7" w:rsidRPr="007955BB" w:rsidRDefault="004644E7" w:rsidP="004644E7">
            <w:pPr>
              <w:spacing w:before="0" w:line="276" w:lineRule="auto"/>
              <w:ind w:firstLine="0"/>
              <w:contextualSpacing w:val="0"/>
              <w:jc w:val="center"/>
              <w:rPr>
                <w:rFonts w:cs="Calibri"/>
                <w:b w:val="0"/>
                <w:sz w:val="20"/>
                <w:szCs w:val="20"/>
                <w:lang w:val="en-US" w:eastAsia="en-US"/>
              </w:rPr>
            </w:pPr>
            <w:r w:rsidRPr="007955BB">
              <w:rPr>
                <w:rFonts w:cs="Calibri"/>
                <w:b w:val="0"/>
                <w:sz w:val="20"/>
                <w:szCs w:val="20"/>
                <w:lang w:val="en-US" w:eastAsia="en-US"/>
              </w:rPr>
              <w:t xml:space="preserve">161,889 </w:t>
            </w:r>
          </w:p>
        </w:tc>
        <w:tc>
          <w:tcPr>
            <w:tcW w:w="9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4644E7" w:rsidRPr="007955BB" w:rsidRDefault="004644E7" w:rsidP="004644E7">
            <w:pPr>
              <w:spacing w:before="0" w:line="276" w:lineRule="auto"/>
              <w:ind w:firstLine="0"/>
              <w:contextualSpacing w:val="0"/>
              <w:jc w:val="center"/>
              <w:rPr>
                <w:rFonts w:cs="Calibri"/>
                <w:b w:val="0"/>
                <w:sz w:val="20"/>
                <w:szCs w:val="20"/>
                <w:lang w:val="en-US" w:eastAsia="en-US"/>
              </w:rPr>
            </w:pPr>
            <w:r w:rsidRPr="007955BB">
              <w:rPr>
                <w:rFonts w:cs="Calibri"/>
                <w:b w:val="0"/>
                <w:sz w:val="20"/>
                <w:szCs w:val="20"/>
                <w:lang w:val="en-US" w:eastAsia="en-US"/>
              </w:rPr>
              <w:t xml:space="preserve">181,599 </w:t>
            </w:r>
          </w:p>
        </w:tc>
      </w:tr>
    </w:tbl>
    <w:p w:rsidR="004644E7" w:rsidRPr="007955BB" w:rsidRDefault="004644E7" w:rsidP="004644E7">
      <w:pPr>
        <w:spacing w:before="0" w:line="276" w:lineRule="auto"/>
        <w:ind w:firstLine="0"/>
        <w:contextualSpacing w:val="0"/>
        <w:jc w:val="left"/>
        <w:rPr>
          <w:rFonts w:eastAsia="Calibri"/>
          <w:b w:val="0"/>
          <w:szCs w:val="22"/>
          <w:lang w:val="hy-AM" w:eastAsia="en-US"/>
        </w:rPr>
      </w:pPr>
    </w:p>
    <w:p w:rsidR="004644E7" w:rsidRPr="007955BB" w:rsidRDefault="004644E7" w:rsidP="004644E7">
      <w:pPr>
        <w:spacing w:before="0" w:line="276" w:lineRule="auto"/>
        <w:ind w:firstLine="0"/>
        <w:contextualSpacing w:val="0"/>
        <w:rPr>
          <w:rFonts w:eastAsia="Calibri"/>
          <w:b w:val="0"/>
          <w:szCs w:val="22"/>
          <w:lang w:val="hy-AM" w:eastAsia="en-US"/>
        </w:rPr>
      </w:pPr>
      <w:r w:rsidRPr="007955BB">
        <w:rPr>
          <w:rFonts w:eastAsia="Calibri"/>
          <w:b w:val="0"/>
          <w:szCs w:val="22"/>
          <w:lang w:val="hy-AM" w:eastAsia="en-US"/>
        </w:rPr>
        <w:t>Աղյուսկից երևում է, որ բոլոր ընկերությունների ֆինանսական արդյունքները բարելավվել են 2021 թվականի ընթացքում, ինչը պայմանավորված է եղել արտարժույթվ արտահայտված պարտավորությունների վերագնահատումից դրական արդյունքով, ինչպես նաև գործառնական մարժայի բարելավմամբ «Հայաստանի էլեկտրական ցանցեր» ՓԲԸ-ում և «Գազպրոմ</w:t>
      </w:r>
      <w:r w:rsidRPr="007955BB">
        <w:rPr>
          <w:rFonts w:ascii="Calibri" w:eastAsia="Calibri" w:hAnsi="Calibri" w:cs="Calibri"/>
          <w:b w:val="0"/>
          <w:szCs w:val="22"/>
          <w:lang w:val="hy-AM" w:eastAsia="en-US"/>
        </w:rPr>
        <w:t> </w:t>
      </w:r>
      <w:r w:rsidRPr="007955BB">
        <w:rPr>
          <w:rFonts w:eastAsia="Calibri"/>
          <w:b w:val="0"/>
          <w:szCs w:val="22"/>
          <w:lang w:val="hy-AM" w:eastAsia="en-US"/>
        </w:rPr>
        <w:t>Արմենիա»</w:t>
      </w:r>
      <w:r w:rsidRPr="007955BB">
        <w:rPr>
          <w:rFonts w:ascii="Calibri" w:eastAsia="Calibri" w:hAnsi="Calibri" w:cs="Calibri"/>
          <w:b w:val="0"/>
          <w:szCs w:val="22"/>
          <w:lang w:val="hy-AM" w:eastAsia="en-US"/>
        </w:rPr>
        <w:t> </w:t>
      </w:r>
      <w:r w:rsidRPr="007955BB">
        <w:rPr>
          <w:rFonts w:eastAsia="Calibri"/>
          <w:b w:val="0"/>
          <w:szCs w:val="22"/>
          <w:lang w:val="hy-AM" w:eastAsia="en-US"/>
        </w:rPr>
        <w:t>ՓԲԸ-ում։</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Անհրաժեշտ է նշել, որ ընկերություն</w:t>
      </w:r>
      <w:r w:rsidRPr="007955BB">
        <w:rPr>
          <w:rFonts w:eastAsia="Calibri"/>
          <w:b w:val="0"/>
          <w:szCs w:val="22"/>
          <w:lang w:val="hy-AM" w:eastAsia="en-US"/>
        </w:rPr>
        <w:softHyphen/>
        <w:t>ները չունեն ժամկետանց վարկային պարտավորություններ։ Ընդ որում «Հայաստանի էլեկտրական ցանցեր» և «Միջազգային էներգետիկ կորպորացիա»</w:t>
      </w:r>
      <w:r w:rsidRPr="007955BB">
        <w:rPr>
          <w:rFonts w:ascii="Calibri" w:eastAsia="Calibri" w:hAnsi="Calibri" w:cs="Calibri"/>
          <w:b w:val="0"/>
          <w:szCs w:val="22"/>
          <w:lang w:val="hy-AM" w:eastAsia="en-US"/>
        </w:rPr>
        <w:t> </w:t>
      </w:r>
      <w:r w:rsidRPr="007955BB">
        <w:rPr>
          <w:rFonts w:eastAsia="Calibri"/>
          <w:b w:val="0"/>
          <w:szCs w:val="22"/>
          <w:lang w:val="hy-AM" w:eastAsia="en-US"/>
        </w:rPr>
        <w:t>ՓԲԸ-ները հանդիսանում են միջազգային կազմակերպությունների և օտարերկրյա պետությունների աջակցությամբ իրականացվող նպատակային վարկային ծրագրերի շրջանակներում ենթավարկային պայմանագրերով ոլորտին տրամադրված վարկային միջոցների խոշորագույն ստացողներից:</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Ընկերությունները ներգրավված չեն այնպիսի տեղական կամ միջազգային դատական վարույթներում, որոնք կարող են էական ազդեցություն ունենալ այդ ընկերությունների ֆինանսական վիճակի վրա: </w:t>
      </w:r>
    </w:p>
    <w:p w:rsidR="004644E7" w:rsidRPr="007955BB" w:rsidRDefault="004644E7" w:rsidP="004644E7">
      <w:pPr>
        <w:spacing w:before="0" w:line="240" w:lineRule="auto"/>
        <w:rPr>
          <w:lang w:val="hy-AM"/>
        </w:rPr>
      </w:pPr>
      <w:r w:rsidRPr="007955BB">
        <w:rPr>
          <w:lang w:val="hy-AM"/>
        </w:rPr>
        <w:t>ՀԱՄԱՌՈՏ ԱԿՆԱՐԿ</w:t>
      </w:r>
    </w:p>
    <w:p w:rsidR="004644E7" w:rsidRPr="007955BB" w:rsidRDefault="004644E7" w:rsidP="004644E7">
      <w:pPr>
        <w:spacing w:before="0" w:line="240" w:lineRule="auto"/>
        <w:rPr>
          <w:lang w:val="hy-AM"/>
        </w:rPr>
      </w:pPr>
      <w:r w:rsidRPr="007955BB">
        <w:rPr>
          <w:lang w:val="hy-AM"/>
        </w:rPr>
        <w:t>ԱՅԼ ՍՊԵՑԻՖԻԿ ՖԻՍԿԱԼ ՌԻՍԿԵՐԻ ՀԱՄԱՊԱՐՓԱԿ ՇՐՋԱՆԱԿԻ ՎԵՐԱԲԵՐՅԱԼ</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Սպեցիֆիկ ֆիսկալ ռիսկերն առաջանում են պայմանական պարտավորությունների կամ այլ անորոշ իրադարձությունների նյութականացման արդյունքում: Այդ իրադարձություններից յուրաքանչյուրը կարող է ենթադրել անհապաղ և/կամ շարունակական ծախսեր՝ պայմանավորված կառավարության բացահայտ պարտավորություններով (պարտավորություններ, որոնք ունեն իրավական կամ պայմանագրային հիմք) կամ թաքնված պարտավորություններով(վերջիններս սահմանված չեն որևէ օրենքով կամ պայմանագրով):</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Ստորև կատարված ուսումնասիրությունն արտացոլում է սպեցիֆիկ ֆիսկալ ռիսկերի ընդգրկուն շրջանակը (բացի պետական մանսկակցությամբ ընկերություններից և խոշոր մասնավոր ենթակառուցվածքային ընկերություններից ծագող), որի համար հիմք է հանդիսացել ԱԶԲ-ի հետ համատեղ մշակված ֆիսկալ ռիսկերի կառավարման բարելավման 2022-2023 թվականների ճանապարհային քարտեզը:</w:t>
      </w:r>
    </w:p>
    <w:p w:rsidR="004644E7" w:rsidRPr="007955BB" w:rsidRDefault="004644E7" w:rsidP="004644E7">
      <w:pPr>
        <w:spacing w:before="0" w:line="276" w:lineRule="auto"/>
        <w:ind w:firstLine="720"/>
        <w:contextualSpacing w:val="0"/>
        <w:rPr>
          <w:rFonts w:eastAsia="Calibri"/>
          <w:szCs w:val="22"/>
          <w:lang w:val="hy-AM" w:eastAsia="en-US"/>
        </w:rPr>
      </w:pPr>
      <w:r w:rsidRPr="007955BB">
        <w:rPr>
          <w:rFonts w:eastAsia="Calibri"/>
          <w:szCs w:val="22"/>
          <w:lang w:val="hy-AM" w:eastAsia="en-US"/>
        </w:rPr>
        <w:t>Բյուջետային վարկավորման ուսումնասիրություն</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ՀՀ պետական բյուջեից, միջազգային կազմակերպություններից և օտարերկրյա պետություններից ներգրաված վարկային միջոցների հաշվին 31.07.2022թ. դրությամբ տրամադրված բյուջետային վարկերի և ենթավարկերի չմարված մասի ընդհանուր գումարը կազմել է 333 մլրդ ՀՀ դրամ, որից 84% ուղղվել է ենթակառուցվածքային ոլորտին։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2022թ. հուլիսի 31-ի դրությամբ ՀՀ կառավարության տրված վարկերի կառուցվածքում միջազգային կազմակերպությունների և օտարերկրյա պետությունների աջակցությամբ իրակա</w:t>
      </w:r>
      <w:r w:rsidRPr="007955BB">
        <w:rPr>
          <w:rFonts w:eastAsia="Calibri"/>
          <w:b w:val="0"/>
          <w:szCs w:val="22"/>
          <w:lang w:val="hy-AM" w:eastAsia="en-US"/>
        </w:rPr>
        <w:softHyphen/>
        <w:t>նաց</w:t>
      </w:r>
      <w:r w:rsidRPr="007955BB">
        <w:rPr>
          <w:rFonts w:eastAsia="Calibri"/>
          <w:b w:val="0"/>
          <w:szCs w:val="22"/>
          <w:lang w:val="hy-AM" w:eastAsia="en-US"/>
        </w:rPr>
        <w:softHyphen/>
        <w:t xml:space="preserve">վող նպատակային վարկային ծրագրերի շրջանակներում ենթավարկային պայմանագրերով կազմակերպություններին տրամադրված բյուջետային վարկերի չմարված մասը (մնացորդը) կազմել է մոտ 176.5 մլրդ ՀՀ դրամ կամ տրամադրված ընդհանուր վարկային պորտֆելի 53%-ը: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Ընդհանուր վարկային պորտֆելում ՀՀ դրամով տրամադրված վարկերը կազմել են 33% կամ 108 մլրդ ՀՀ դրամ, ԱՄՆ դոլարով` 111 մլրդ ՀՀ դրամ կամ 33%, Եվրոյով` 37 մլրդ ՀՀ դրամ կամ 11%, ճապոնական իենով` 67 մլրդ ՀՀ դրամ կամ 20%: (տես գծապատկերը):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Պորտֆելը պարունակում է փոխարժեքի էական ռիսկեր, քանի որ տրամադրված վարկերի գերակշիռ մասը՝ 67%-ը ներգրավված է արտարժույթով, իսկ վարկառուների եկամուտները հիմնականում ՀՀ դրամով են: Այնուամենայնիվ նախորդ տարվա համեմատ պորտֆելի փոխարժեքային ռիսկը որոշակի նվազման միտում է ունեցել՝ պայմանավորված արտարժույթով վարկերի ընդհանուր գումարի նվազմամբ և դրամի կուրսի բարձրացմամբ՝ մյուս արժույթների համեմատ:</w:t>
      </w:r>
      <w:r w:rsidRPr="007955BB">
        <w:rPr>
          <w:rFonts w:eastAsia="Calibri"/>
          <w:b w:val="0"/>
          <w:szCs w:val="22"/>
          <w:vertAlign w:val="superscript"/>
          <w:lang w:val="hy-AM" w:eastAsia="en-US"/>
        </w:rPr>
        <w:footnoteReference w:id="26"/>
      </w:r>
    </w:p>
    <w:p w:rsidR="004644E7" w:rsidRPr="007955BB" w:rsidRDefault="004644E7" w:rsidP="004644E7">
      <w:pPr>
        <w:spacing w:before="0" w:line="276" w:lineRule="auto"/>
        <w:ind w:firstLine="720"/>
        <w:contextualSpacing w:val="0"/>
        <w:rPr>
          <w:rFonts w:eastAsia="Calibri"/>
          <w:b w:val="0"/>
          <w:szCs w:val="22"/>
          <w:lang w:val="hy-AM" w:eastAsia="en-US"/>
        </w:rPr>
      </w:pPr>
    </w:p>
    <w:p w:rsidR="004644E7" w:rsidRPr="007955BB" w:rsidRDefault="004644E7" w:rsidP="004644E7">
      <w:pPr>
        <w:spacing w:before="0" w:line="276" w:lineRule="auto"/>
        <w:ind w:firstLine="0"/>
        <w:contextualSpacing w:val="0"/>
        <w:rPr>
          <w:rFonts w:eastAsia="Calibri"/>
          <w:b w:val="0"/>
          <w:szCs w:val="22"/>
          <w:lang w:val="hy-AM" w:eastAsia="en-US"/>
        </w:rPr>
      </w:pPr>
      <w:r w:rsidRPr="007955BB">
        <w:rPr>
          <w:rFonts w:eastAsia="Calibri"/>
          <w:b w:val="0"/>
          <w:bCs/>
          <w:color w:val="4472C4"/>
          <w:sz w:val="18"/>
          <w:szCs w:val="18"/>
          <w:lang w:val="hy-AM" w:eastAsia="en-US"/>
        </w:rPr>
        <w:t>Գծապատկեր 4</w:t>
      </w:r>
      <w:r w:rsidRPr="007955BB">
        <w:rPr>
          <w:rFonts w:eastAsia="Calibri"/>
          <w:b w:val="0"/>
          <w:szCs w:val="22"/>
          <w:lang w:val="hy-AM" w:eastAsia="en-US"/>
        </w:rPr>
        <w:t xml:space="preserve"> </w:t>
      </w:r>
      <w:r w:rsidRPr="007955BB">
        <w:rPr>
          <w:rFonts w:eastAsia="Calibri"/>
          <w:bCs/>
          <w:i/>
          <w:color w:val="4472C4"/>
          <w:sz w:val="20"/>
          <w:szCs w:val="20"/>
          <w:lang w:val="hy-AM" w:eastAsia="en-US"/>
        </w:rPr>
        <w:t>31.07.2022 դրությամբ վարկերի արժութային կազմը</w:t>
      </w:r>
    </w:p>
    <w:p w:rsidR="004644E7" w:rsidRPr="007955BB" w:rsidRDefault="004644E7" w:rsidP="004644E7">
      <w:pPr>
        <w:spacing w:before="0" w:line="276" w:lineRule="auto"/>
        <w:ind w:firstLine="0"/>
        <w:contextualSpacing w:val="0"/>
        <w:jc w:val="center"/>
        <w:rPr>
          <w:rFonts w:eastAsia="Calibri"/>
          <w:b w:val="0"/>
          <w:szCs w:val="22"/>
          <w:lang w:val="en-US" w:eastAsia="en-US"/>
        </w:rPr>
      </w:pPr>
      <w:r w:rsidRPr="007955BB">
        <w:rPr>
          <w:rFonts w:eastAsia="Calibri"/>
          <w:b w:val="0"/>
          <w:noProof/>
          <w:szCs w:val="22"/>
          <w:lang w:val="en-US" w:eastAsia="en-US"/>
        </w:rPr>
        <w:drawing>
          <wp:inline distT="0" distB="0" distL="0" distR="0" wp14:anchorId="2B4E18D2" wp14:editId="0A21EE01">
            <wp:extent cx="6010275" cy="2228850"/>
            <wp:effectExtent l="0" t="0" r="9525" b="0"/>
            <wp:docPr id="24" name="Chart 24">
              <a:extLst xmlns:a="http://schemas.openxmlformats.org/drawingml/2006/main">
                <a:ext uri="{FF2B5EF4-FFF2-40B4-BE49-F238E27FC236}">
                  <a16:creationId xmlns:a16="http://schemas.microsoft.com/office/drawing/2014/main" id="{F9009501-D5D9-434D-80D6-40C92B1213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4644E7" w:rsidRPr="007955BB" w:rsidRDefault="004644E7" w:rsidP="004644E7">
      <w:pPr>
        <w:spacing w:before="0" w:line="276" w:lineRule="auto"/>
        <w:ind w:firstLine="720"/>
        <w:contextualSpacing w:val="0"/>
        <w:rPr>
          <w:rFonts w:eastAsia="Calibri"/>
          <w:b w:val="0"/>
          <w:szCs w:val="22"/>
          <w:lang w:val="en-US" w:eastAsia="en-US"/>
        </w:rPr>
      </w:pPr>
    </w:p>
    <w:p w:rsidR="004644E7" w:rsidRPr="007955BB" w:rsidRDefault="004644E7" w:rsidP="004644E7">
      <w:pPr>
        <w:spacing w:before="0" w:line="276" w:lineRule="auto"/>
        <w:ind w:firstLine="720"/>
        <w:contextualSpacing w:val="0"/>
        <w:rPr>
          <w:rFonts w:eastAsia="Calibri"/>
          <w:b w:val="0"/>
          <w:szCs w:val="22"/>
          <w:lang w:val="en-US" w:eastAsia="en-US"/>
        </w:rPr>
      </w:pPr>
      <w:r w:rsidRPr="007955BB">
        <w:rPr>
          <w:rFonts w:eastAsia="Calibri"/>
          <w:b w:val="0"/>
          <w:szCs w:val="22"/>
          <w:lang w:val="en-US" w:eastAsia="en-US"/>
        </w:rPr>
        <w:t xml:space="preserve">Ենթակառուցվածքային ոլորտում տրամադրված վարկերի չմարված մասի մեջ </w:t>
      </w:r>
      <w:r w:rsidRPr="007955BB">
        <w:rPr>
          <w:rFonts w:eastAsia="Calibri"/>
          <w:b w:val="0"/>
          <w:szCs w:val="22"/>
          <w:lang w:val="hy-AM" w:eastAsia="en-US"/>
        </w:rPr>
        <w:t>զգալի</w:t>
      </w:r>
      <w:r w:rsidRPr="007955BB">
        <w:rPr>
          <w:rFonts w:eastAsia="Calibri"/>
          <w:b w:val="0"/>
          <w:szCs w:val="22"/>
          <w:lang w:val="en-US" w:eastAsia="en-US"/>
        </w:rPr>
        <w:t xml:space="preserve"> կշիռ ունեն էներգետիկայի ոլորտի վարկերը` 273.4 մլրդ ՀՀ դրամ (82%):</w:t>
      </w:r>
      <w:r w:rsidRPr="007955BB">
        <w:rPr>
          <w:rFonts w:eastAsia="Calibri"/>
          <w:b w:val="0"/>
          <w:szCs w:val="22"/>
          <w:vertAlign w:val="superscript"/>
          <w:lang w:val="en-US" w:eastAsia="en-US"/>
        </w:rPr>
        <w:footnoteReference w:id="27"/>
      </w:r>
      <w:r w:rsidRPr="007955BB">
        <w:rPr>
          <w:rFonts w:eastAsia="Calibri"/>
          <w:b w:val="0"/>
          <w:szCs w:val="22"/>
          <w:lang w:val="en-US" w:eastAsia="en-US"/>
        </w:rPr>
        <w:t xml:space="preserve"> </w:t>
      </w:r>
    </w:p>
    <w:p w:rsidR="004644E7" w:rsidRPr="007955BB" w:rsidRDefault="004644E7" w:rsidP="004644E7">
      <w:pPr>
        <w:spacing w:before="0" w:line="276" w:lineRule="auto"/>
        <w:ind w:firstLine="720"/>
        <w:contextualSpacing w:val="0"/>
        <w:rPr>
          <w:rFonts w:eastAsia="Calibri"/>
          <w:b w:val="0"/>
          <w:szCs w:val="22"/>
          <w:lang w:val="en-US" w:eastAsia="en-US"/>
        </w:rPr>
      </w:pPr>
    </w:p>
    <w:p w:rsidR="004644E7" w:rsidRPr="007955BB" w:rsidRDefault="004644E7" w:rsidP="004644E7">
      <w:pPr>
        <w:spacing w:before="0" w:line="276" w:lineRule="auto"/>
        <w:ind w:firstLine="0"/>
        <w:contextualSpacing w:val="0"/>
        <w:rPr>
          <w:rFonts w:eastAsia="Calibri"/>
          <w:b w:val="0"/>
          <w:szCs w:val="22"/>
          <w:lang w:val="en-US" w:eastAsia="en-US"/>
        </w:rPr>
      </w:pPr>
      <w:r w:rsidRPr="007955BB">
        <w:rPr>
          <w:rFonts w:eastAsia="Calibri"/>
          <w:b w:val="0"/>
          <w:bCs/>
          <w:color w:val="4472C4"/>
          <w:sz w:val="18"/>
          <w:szCs w:val="18"/>
          <w:lang w:val="hy-AM" w:eastAsia="en-US"/>
        </w:rPr>
        <w:t>Գծապատկեր 5</w:t>
      </w:r>
      <w:r w:rsidRPr="007955BB">
        <w:rPr>
          <w:rFonts w:eastAsia="Calibri"/>
          <w:b w:val="0"/>
          <w:szCs w:val="22"/>
          <w:lang w:val="en-US" w:eastAsia="en-US"/>
        </w:rPr>
        <w:t xml:space="preserve"> </w:t>
      </w:r>
      <w:r w:rsidRPr="007955BB">
        <w:rPr>
          <w:rFonts w:eastAsia="Calibri"/>
          <w:bCs/>
          <w:i/>
          <w:color w:val="4472C4"/>
          <w:sz w:val="20"/>
          <w:szCs w:val="20"/>
          <w:lang w:val="hy-AM" w:eastAsia="en-US"/>
        </w:rPr>
        <w:t>Վարկերի բաշխվածությունն ըստ ոլորտների</w:t>
      </w:r>
    </w:p>
    <w:p w:rsidR="004644E7" w:rsidRPr="007955BB" w:rsidRDefault="004644E7" w:rsidP="004644E7">
      <w:pPr>
        <w:spacing w:before="0" w:line="276" w:lineRule="auto"/>
        <w:ind w:firstLine="0"/>
        <w:contextualSpacing w:val="0"/>
        <w:jc w:val="center"/>
        <w:rPr>
          <w:rFonts w:eastAsia="Calibri"/>
          <w:b w:val="0"/>
          <w:szCs w:val="22"/>
          <w:lang w:val="en-US" w:eastAsia="en-US"/>
        </w:rPr>
      </w:pPr>
      <w:r w:rsidRPr="007955BB">
        <w:rPr>
          <w:rFonts w:eastAsia="Calibri"/>
          <w:b w:val="0"/>
          <w:noProof/>
          <w:szCs w:val="22"/>
          <w:lang w:val="en-US" w:eastAsia="en-US"/>
        </w:rPr>
        <w:drawing>
          <wp:inline distT="0" distB="0" distL="0" distR="0" wp14:anchorId="1D6650EA" wp14:editId="52B45B9A">
            <wp:extent cx="6193790" cy="2238375"/>
            <wp:effectExtent l="0" t="0" r="16510" b="9525"/>
            <wp:docPr id="28" name="Chart 28">
              <a:extLst xmlns:a="http://schemas.openxmlformats.org/drawingml/2006/main">
                <a:ext uri="{FF2B5EF4-FFF2-40B4-BE49-F238E27FC236}">
                  <a16:creationId xmlns:a16="http://schemas.microsoft.com/office/drawing/2014/main" id="{F015CE64-6DEB-43C1-8B70-90B1FF777B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4644E7" w:rsidRPr="007955BB" w:rsidRDefault="004644E7" w:rsidP="004644E7">
      <w:pPr>
        <w:spacing w:before="0" w:line="276" w:lineRule="auto"/>
        <w:ind w:firstLine="720"/>
        <w:contextualSpacing w:val="0"/>
        <w:rPr>
          <w:rFonts w:eastAsia="Calibri"/>
          <w:b w:val="0"/>
          <w:szCs w:val="22"/>
          <w:lang w:val="en-US" w:eastAsia="en-US"/>
        </w:rPr>
      </w:pP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en-US" w:eastAsia="en-US"/>
        </w:rPr>
        <w:t xml:space="preserve">Տրամադրված վարկերից 73% ապահովված են գրավով (հող, շինություն և այլն), իսկ 27%-ը կազմում են գրավով չապահովված վարկերը։ Վերջիններս պետական ծրագրերի իրականացմանը կամ պետական մասնակցությամբ ընկերություններին ուղղված միջոցներն են։ Վարկային պորտֆելի </w:t>
      </w:r>
      <w:r w:rsidRPr="007955BB">
        <w:rPr>
          <w:rFonts w:eastAsia="Calibri"/>
          <w:b w:val="0"/>
          <w:szCs w:val="22"/>
          <w:lang w:val="hy-AM" w:eastAsia="en-US"/>
        </w:rPr>
        <w:t>5</w:t>
      </w:r>
      <w:r w:rsidRPr="007955BB">
        <w:rPr>
          <w:rFonts w:eastAsia="Calibri"/>
          <w:b w:val="0"/>
          <w:szCs w:val="22"/>
          <w:lang w:val="en-US" w:eastAsia="en-US"/>
        </w:rPr>
        <w:t xml:space="preserve">% վերակառուցված վարկեր են։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Բյուջետային վարկերից բացի առկա է բյուջետային երաշխիքների փաթեթ, այդ թվում՝</w:t>
      </w:r>
    </w:p>
    <w:p w:rsidR="004644E7" w:rsidRPr="007955BB" w:rsidRDefault="004644E7" w:rsidP="00F04DA1">
      <w:pPr>
        <w:numPr>
          <w:ilvl w:val="0"/>
          <w:numId w:val="61"/>
        </w:numPr>
        <w:spacing w:before="0" w:line="276" w:lineRule="auto"/>
        <w:ind w:left="0"/>
        <w:contextualSpacing w:val="0"/>
        <w:jc w:val="left"/>
        <w:rPr>
          <w:rFonts w:eastAsia="Calibri"/>
          <w:b w:val="0"/>
          <w:szCs w:val="22"/>
          <w:lang w:val="hy-AM" w:eastAsia="en-US"/>
        </w:rPr>
      </w:pPr>
      <w:r w:rsidRPr="007955BB">
        <w:rPr>
          <w:rFonts w:eastAsia="Calibri"/>
          <w:b w:val="0"/>
          <w:szCs w:val="22"/>
          <w:lang w:val="hy-AM" w:eastAsia="en-US"/>
        </w:rPr>
        <w:t xml:space="preserve"> Արտարժույթով երաշխիքների մասով՝ 96.8 մլն ԱՄՆ դոլար մնացորդով 31.07.2022 դրությամբ, </w:t>
      </w:r>
    </w:p>
    <w:p w:rsidR="004644E7" w:rsidRPr="007955BB" w:rsidRDefault="004644E7" w:rsidP="00F04DA1">
      <w:pPr>
        <w:numPr>
          <w:ilvl w:val="0"/>
          <w:numId w:val="61"/>
        </w:numPr>
        <w:spacing w:before="0" w:line="276" w:lineRule="auto"/>
        <w:ind w:left="0"/>
        <w:contextualSpacing w:val="0"/>
        <w:jc w:val="left"/>
        <w:rPr>
          <w:rFonts w:eastAsia="Calibri"/>
          <w:b w:val="0"/>
          <w:szCs w:val="22"/>
          <w:lang w:val="hy-AM" w:eastAsia="en-US"/>
        </w:rPr>
      </w:pPr>
      <w:r w:rsidRPr="007955BB">
        <w:rPr>
          <w:rFonts w:eastAsia="Calibri"/>
          <w:b w:val="0"/>
          <w:szCs w:val="22"/>
          <w:lang w:val="hy-AM" w:eastAsia="en-US"/>
        </w:rPr>
        <w:t xml:space="preserve">ՀՀ դրամով արտահայտված երաշխիքների մասով՝ 5,311 մլն դրամ 31.07.2022 դրությամբ՝ գյուղատնտեսական հումքի մթերումների նպատակով ագրովերամշակման ոլորտին տրամադրվող աջակցության ծրագրի շրջանակներում, որ տրամադրվել են 2021 թվականին աշնանը։ Տվյալ պորտֆելի առավելագույն ժամկետը 2023 թվականի ավարտն է։ 13 մլն ՀՀ դրամ տրամադրվել է ՓՄՁ-ներին: </w:t>
      </w:r>
    </w:p>
    <w:p w:rsidR="004644E7" w:rsidRPr="007955BB" w:rsidRDefault="004644E7" w:rsidP="004644E7">
      <w:pPr>
        <w:spacing w:before="0" w:line="276" w:lineRule="auto"/>
        <w:ind w:left="720" w:firstLine="0"/>
        <w:contextualSpacing w:val="0"/>
        <w:rPr>
          <w:rFonts w:eastAsia="Calibri"/>
          <w:b w:val="0"/>
          <w:szCs w:val="22"/>
          <w:lang w:val="hy-AM" w:eastAsia="en-US"/>
        </w:rPr>
      </w:pPr>
      <w:r w:rsidRPr="007955BB">
        <w:rPr>
          <w:color w:val="000000"/>
          <w:szCs w:val="22"/>
          <w:lang w:val="hy-AM"/>
        </w:rPr>
        <w:t>Պետություն-մասնավոր գործընկերության (ՊՄԳ) ձևաչափով գործող պայմանագրերից բխող պայմանական պարտավորությունների վերլուծություն</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Վերլուծության են ենթարկվել ստորև ներկայացված ՊՄԳ ձևաչափով գործող թվով երեք ընկերությունների պայմանագրերը, ինչպես նաև էլեկտրաէներգիայի գնման երեք խոշոր պայմանագրերը (որոնք նույնպես հանդիսանում են պայմանական պարտավորությունների աղբյուր, քանի որ պարունակում են էլեկտրաէներգիայի երաշխավորած գնման պայմաններ): </w:t>
      </w:r>
    </w:p>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eastAsia="Calibri"/>
          <w:b w:val="0"/>
          <w:szCs w:val="22"/>
          <w:lang w:val="hy-AM" w:eastAsia="en-US"/>
        </w:rPr>
        <w:t>Ստորև ներկայացվում է նշված 6 ընկերությունների վերաբերյալ ամփոփ տեղեկատվություն:</w:t>
      </w:r>
    </w:p>
    <w:p w:rsidR="004644E7" w:rsidRPr="007955BB" w:rsidRDefault="004644E7" w:rsidP="004644E7">
      <w:pPr>
        <w:spacing w:before="0" w:line="276" w:lineRule="auto"/>
        <w:ind w:firstLine="0"/>
        <w:contextualSpacing w:val="0"/>
        <w:jc w:val="left"/>
        <w:rPr>
          <w:rFonts w:eastAsia="Calibri"/>
          <w:b w:val="0"/>
          <w:szCs w:val="22"/>
          <w:lang w:val="hy-AM" w:eastAsia="en-US"/>
        </w:rPr>
      </w:pPr>
    </w:p>
    <w:p w:rsidR="004644E7" w:rsidRPr="007955BB" w:rsidRDefault="004644E7" w:rsidP="004644E7">
      <w:pPr>
        <w:keepNext/>
        <w:spacing w:before="0" w:line="276" w:lineRule="auto"/>
        <w:ind w:firstLine="0"/>
        <w:contextualSpacing w:val="0"/>
        <w:jc w:val="left"/>
        <w:rPr>
          <w:rFonts w:eastAsia="Calibri"/>
          <w:b w:val="0"/>
          <w:i/>
          <w:iCs/>
          <w:sz w:val="18"/>
          <w:szCs w:val="18"/>
          <w:lang w:val="hy-AM" w:eastAsia="en-US"/>
        </w:rPr>
      </w:pPr>
      <w:bookmarkStart w:id="396" w:name="_Toc120805284"/>
      <w:r w:rsidRPr="007955BB">
        <w:rPr>
          <w:rFonts w:eastAsia="Calibri"/>
          <w:b w:val="0"/>
          <w:bCs/>
          <w:color w:val="4472C4"/>
          <w:sz w:val="18"/>
          <w:szCs w:val="18"/>
          <w:lang w:val="hy-AM" w:eastAsia="en-US"/>
        </w:rPr>
        <w:t xml:space="preserve">Աղյուսակ </w:t>
      </w:r>
      <w:r w:rsidRPr="007955BB">
        <w:rPr>
          <w:rFonts w:eastAsia="Calibri"/>
          <w:b w:val="0"/>
          <w:bCs/>
          <w:color w:val="4472C4"/>
          <w:sz w:val="18"/>
          <w:szCs w:val="18"/>
          <w:lang w:val="hy-AM" w:eastAsia="en-US"/>
        </w:rPr>
        <w:fldChar w:fldCharType="begin"/>
      </w:r>
      <w:r w:rsidRPr="007955BB">
        <w:rPr>
          <w:rFonts w:eastAsia="Calibri"/>
          <w:b w:val="0"/>
          <w:bCs/>
          <w:color w:val="4472C4"/>
          <w:sz w:val="18"/>
          <w:szCs w:val="18"/>
          <w:lang w:val="hy-AM" w:eastAsia="en-US"/>
        </w:rPr>
        <w:instrText xml:space="preserve"> SEQ Աղյուսակ \* ARABIC </w:instrText>
      </w:r>
      <w:r w:rsidRPr="007955BB">
        <w:rPr>
          <w:rFonts w:eastAsia="Calibri"/>
          <w:b w:val="0"/>
          <w:bCs/>
          <w:color w:val="4472C4"/>
          <w:sz w:val="18"/>
          <w:szCs w:val="18"/>
          <w:lang w:val="hy-AM" w:eastAsia="en-US"/>
        </w:rPr>
        <w:fldChar w:fldCharType="separate"/>
      </w:r>
      <w:r w:rsidR="008177DF">
        <w:rPr>
          <w:rFonts w:eastAsia="Calibri"/>
          <w:b w:val="0"/>
          <w:bCs/>
          <w:noProof/>
          <w:color w:val="4472C4"/>
          <w:sz w:val="18"/>
          <w:szCs w:val="18"/>
          <w:lang w:val="hy-AM" w:eastAsia="en-US"/>
        </w:rPr>
        <w:t>25</w:t>
      </w:r>
      <w:r w:rsidRPr="007955BB">
        <w:rPr>
          <w:rFonts w:eastAsia="Calibri"/>
          <w:b w:val="0"/>
          <w:bCs/>
          <w:color w:val="4472C4"/>
          <w:sz w:val="18"/>
          <w:szCs w:val="18"/>
          <w:lang w:val="hy-AM" w:eastAsia="en-US"/>
        </w:rPr>
        <w:fldChar w:fldCharType="end"/>
      </w:r>
      <w:r w:rsidRPr="007955BB">
        <w:rPr>
          <w:rFonts w:eastAsia="Calibri"/>
          <w:b w:val="0"/>
          <w:i/>
          <w:iCs/>
          <w:sz w:val="18"/>
          <w:szCs w:val="18"/>
          <w:lang w:val="hy-AM" w:eastAsia="en-US"/>
        </w:rPr>
        <w:t xml:space="preserve"> </w:t>
      </w:r>
      <w:r w:rsidRPr="007955BB">
        <w:rPr>
          <w:rFonts w:eastAsia="Calibri"/>
          <w:bCs/>
          <w:i/>
          <w:color w:val="4472C4"/>
          <w:sz w:val="20"/>
          <w:szCs w:val="20"/>
          <w:lang w:val="hy-AM" w:eastAsia="en-US"/>
        </w:rPr>
        <w:t>Գործող ՊՄԳ և ԷԳՊ պայմանագրերը</w:t>
      </w:r>
      <w:bookmarkEnd w:id="3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35"/>
        <w:gridCol w:w="990"/>
        <w:gridCol w:w="1018"/>
        <w:gridCol w:w="2755"/>
      </w:tblGrid>
      <w:tr w:rsidR="004644E7" w:rsidRPr="005579BB" w:rsidTr="004644E7">
        <w:trPr>
          <w:trHeight w:val="1175"/>
        </w:trPr>
        <w:tc>
          <w:tcPr>
            <w:tcW w:w="2357" w:type="dxa"/>
            <w:shd w:val="clear" w:color="auto" w:fill="8EAADB"/>
          </w:tcPr>
          <w:p w:rsidR="004644E7" w:rsidRPr="007955BB" w:rsidRDefault="004644E7" w:rsidP="004644E7">
            <w:pPr>
              <w:spacing w:before="0" w:line="276" w:lineRule="auto"/>
              <w:ind w:firstLine="0"/>
              <w:contextualSpacing w:val="0"/>
              <w:jc w:val="center"/>
              <w:rPr>
                <w:rFonts w:eastAsia="Calibri"/>
                <w:color w:val="FFFFFF"/>
                <w:szCs w:val="22"/>
                <w:lang w:val="hy-AM" w:eastAsia="en-US"/>
              </w:rPr>
            </w:pPr>
            <w:r w:rsidRPr="007955BB">
              <w:rPr>
                <w:rFonts w:eastAsia="Calibri"/>
                <w:color w:val="FFFFFF"/>
                <w:szCs w:val="22"/>
                <w:lang w:val="hy-AM" w:eastAsia="en-US"/>
              </w:rPr>
              <w:t>Անվանում</w:t>
            </w:r>
          </w:p>
        </w:tc>
        <w:tc>
          <w:tcPr>
            <w:tcW w:w="2335" w:type="dxa"/>
            <w:shd w:val="clear" w:color="auto" w:fill="8EAADB"/>
          </w:tcPr>
          <w:p w:rsidR="004644E7" w:rsidRPr="007955BB" w:rsidRDefault="004644E7" w:rsidP="004644E7">
            <w:pPr>
              <w:spacing w:before="0" w:line="276" w:lineRule="auto"/>
              <w:ind w:firstLine="0"/>
              <w:contextualSpacing w:val="0"/>
              <w:jc w:val="center"/>
              <w:rPr>
                <w:rFonts w:eastAsia="Calibri"/>
                <w:color w:val="FFFFFF"/>
                <w:szCs w:val="22"/>
                <w:lang w:val="hy-AM" w:eastAsia="en-US"/>
              </w:rPr>
            </w:pPr>
            <w:r w:rsidRPr="007955BB">
              <w:rPr>
                <w:rFonts w:eastAsia="Calibri"/>
                <w:color w:val="FFFFFF"/>
                <w:szCs w:val="22"/>
                <w:lang w:val="hy-AM" w:eastAsia="en-US"/>
              </w:rPr>
              <w:t>Ոլորտ</w:t>
            </w:r>
          </w:p>
        </w:tc>
        <w:tc>
          <w:tcPr>
            <w:tcW w:w="990" w:type="dxa"/>
            <w:shd w:val="clear" w:color="auto" w:fill="8EAADB"/>
          </w:tcPr>
          <w:p w:rsidR="004644E7" w:rsidRPr="007955BB" w:rsidRDefault="004644E7" w:rsidP="004644E7">
            <w:pPr>
              <w:spacing w:before="0" w:line="276" w:lineRule="auto"/>
              <w:ind w:firstLine="0"/>
              <w:contextualSpacing w:val="0"/>
              <w:jc w:val="center"/>
              <w:rPr>
                <w:rFonts w:eastAsia="Calibri"/>
                <w:color w:val="FFFFFF"/>
                <w:szCs w:val="22"/>
                <w:lang w:val="hy-AM" w:eastAsia="en-US"/>
              </w:rPr>
            </w:pPr>
            <w:r w:rsidRPr="007955BB">
              <w:rPr>
                <w:rFonts w:eastAsia="Calibri"/>
                <w:color w:val="FFFFFF"/>
                <w:szCs w:val="22"/>
                <w:lang w:val="hy-AM" w:eastAsia="en-US"/>
              </w:rPr>
              <w:t>Սկիզբ</w:t>
            </w:r>
          </w:p>
        </w:tc>
        <w:tc>
          <w:tcPr>
            <w:tcW w:w="973" w:type="dxa"/>
            <w:shd w:val="clear" w:color="auto" w:fill="8EAADB"/>
          </w:tcPr>
          <w:p w:rsidR="004644E7" w:rsidRPr="007955BB" w:rsidRDefault="004644E7" w:rsidP="004644E7">
            <w:pPr>
              <w:spacing w:before="0" w:line="276" w:lineRule="auto"/>
              <w:ind w:firstLine="0"/>
              <w:contextualSpacing w:val="0"/>
              <w:jc w:val="center"/>
              <w:rPr>
                <w:rFonts w:eastAsia="Calibri"/>
                <w:color w:val="FFFFFF"/>
                <w:szCs w:val="22"/>
                <w:lang w:val="hy-AM" w:eastAsia="en-US"/>
              </w:rPr>
            </w:pPr>
            <w:r w:rsidRPr="007955BB">
              <w:rPr>
                <w:rFonts w:eastAsia="Calibri"/>
                <w:color w:val="FFFFFF"/>
                <w:szCs w:val="22"/>
                <w:lang w:val="hy-AM" w:eastAsia="en-US"/>
              </w:rPr>
              <w:t>Ավարտ</w:t>
            </w:r>
          </w:p>
        </w:tc>
        <w:tc>
          <w:tcPr>
            <w:tcW w:w="2695" w:type="dxa"/>
            <w:shd w:val="clear" w:color="auto" w:fill="8EAADB"/>
          </w:tcPr>
          <w:p w:rsidR="004644E7" w:rsidRPr="007955BB" w:rsidRDefault="004644E7" w:rsidP="004644E7">
            <w:pPr>
              <w:spacing w:before="0" w:line="276" w:lineRule="auto"/>
              <w:ind w:firstLine="0"/>
              <w:contextualSpacing w:val="0"/>
              <w:jc w:val="center"/>
              <w:rPr>
                <w:rFonts w:eastAsia="Calibri"/>
                <w:color w:val="FFFFFF"/>
                <w:szCs w:val="22"/>
                <w:lang w:val="hy-AM" w:eastAsia="en-US"/>
              </w:rPr>
            </w:pPr>
            <w:r w:rsidRPr="007955BB">
              <w:rPr>
                <w:rFonts w:eastAsia="Calibri"/>
                <w:color w:val="FFFFFF"/>
                <w:szCs w:val="22"/>
                <w:lang w:val="hy-AM" w:eastAsia="en-US"/>
              </w:rPr>
              <w:t>Պայմանական պարտավորությունների հարկաբյուջետային ռիսկի կարգավիճակի փոփոխությունները</w:t>
            </w:r>
          </w:p>
        </w:tc>
      </w:tr>
      <w:tr w:rsidR="004644E7" w:rsidRPr="007955BB" w:rsidTr="004644E7">
        <w:trPr>
          <w:trHeight w:val="457"/>
        </w:trPr>
        <w:tc>
          <w:tcPr>
            <w:tcW w:w="2357" w:type="dxa"/>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«Հարավկովկասյան երկաթուղի» ՓԲԸ</w:t>
            </w:r>
          </w:p>
        </w:tc>
        <w:tc>
          <w:tcPr>
            <w:tcW w:w="2335" w:type="dxa"/>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 xml:space="preserve">Տրանսպորտ </w:t>
            </w:r>
          </w:p>
        </w:tc>
        <w:tc>
          <w:tcPr>
            <w:tcW w:w="990" w:type="dxa"/>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2008թ.</w:t>
            </w:r>
          </w:p>
        </w:tc>
        <w:tc>
          <w:tcPr>
            <w:tcW w:w="973" w:type="dxa"/>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2038թ.</w:t>
            </w:r>
          </w:p>
        </w:tc>
        <w:tc>
          <w:tcPr>
            <w:tcW w:w="2695" w:type="dxa"/>
            <w:vAlign w:val="center"/>
          </w:tcPr>
          <w:p w:rsidR="004644E7" w:rsidRPr="007955BB" w:rsidRDefault="004644E7" w:rsidP="004644E7">
            <w:pPr>
              <w:spacing w:before="0" w:line="276" w:lineRule="auto"/>
              <w:ind w:firstLine="0"/>
              <w:contextualSpacing w:val="0"/>
              <w:jc w:val="left"/>
              <w:rPr>
                <w:rFonts w:eastAsia="Calibri"/>
                <w:b w:val="0"/>
                <w:sz w:val="20"/>
                <w:szCs w:val="20"/>
                <w:lang w:val="en-US" w:eastAsia="en-US"/>
              </w:rPr>
            </w:pPr>
            <w:r w:rsidRPr="007955BB">
              <w:rPr>
                <w:rFonts w:eastAsia="Calibri"/>
                <w:b w:val="0"/>
                <w:sz w:val="20"/>
                <w:szCs w:val="20"/>
                <w:lang w:val="hy-AM" w:eastAsia="en-US"/>
              </w:rPr>
              <w:t xml:space="preserve">Նշանակալի Անփոփոխ </w:t>
            </w:r>
          </w:p>
        </w:tc>
      </w:tr>
      <w:tr w:rsidR="004644E7" w:rsidRPr="007955BB" w:rsidTr="004644E7">
        <w:trPr>
          <w:trHeight w:val="531"/>
        </w:trPr>
        <w:tc>
          <w:tcPr>
            <w:tcW w:w="2357"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«Վեոլիա Ջուր» ՓԲԸ</w:t>
            </w:r>
          </w:p>
        </w:tc>
        <w:tc>
          <w:tcPr>
            <w:tcW w:w="2335"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Ջրամատակարարում և կեղտաջրերի հեռացում</w:t>
            </w:r>
          </w:p>
        </w:tc>
        <w:tc>
          <w:tcPr>
            <w:tcW w:w="990"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2016թ.</w:t>
            </w:r>
          </w:p>
        </w:tc>
        <w:tc>
          <w:tcPr>
            <w:tcW w:w="973"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2031թ.</w:t>
            </w:r>
          </w:p>
        </w:tc>
        <w:tc>
          <w:tcPr>
            <w:tcW w:w="2695"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Նշանակալի Անփոփոխ</w:t>
            </w:r>
          </w:p>
        </w:tc>
      </w:tr>
      <w:tr w:rsidR="004644E7" w:rsidRPr="007955BB" w:rsidTr="004644E7">
        <w:trPr>
          <w:trHeight w:val="244"/>
        </w:trPr>
        <w:tc>
          <w:tcPr>
            <w:tcW w:w="2357" w:type="dxa"/>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«Արմենիա միջազգային օդանավակայաններ» ՓԲԸ</w:t>
            </w:r>
          </w:p>
        </w:tc>
        <w:tc>
          <w:tcPr>
            <w:tcW w:w="2335" w:type="dxa"/>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Տրանսպորտ</w:t>
            </w:r>
          </w:p>
        </w:tc>
        <w:tc>
          <w:tcPr>
            <w:tcW w:w="990" w:type="dxa"/>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2002թ.</w:t>
            </w:r>
          </w:p>
        </w:tc>
        <w:tc>
          <w:tcPr>
            <w:tcW w:w="973" w:type="dxa"/>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2032թ.</w:t>
            </w:r>
          </w:p>
        </w:tc>
        <w:tc>
          <w:tcPr>
            <w:tcW w:w="2695" w:type="dxa"/>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Միջին Անփոփոխ</w:t>
            </w:r>
          </w:p>
        </w:tc>
      </w:tr>
      <w:tr w:rsidR="004644E7" w:rsidRPr="007955BB" w:rsidTr="004644E7">
        <w:trPr>
          <w:trHeight w:val="791"/>
        </w:trPr>
        <w:tc>
          <w:tcPr>
            <w:tcW w:w="2357"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«Քոնթուր Գլոբալ հիդրո կասկադ» ՓԲԸ (Որոտան ՀԷԿ), ԷԳՊ</w:t>
            </w:r>
          </w:p>
        </w:tc>
        <w:tc>
          <w:tcPr>
            <w:tcW w:w="2335"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Էներգետիկա</w:t>
            </w:r>
          </w:p>
        </w:tc>
        <w:tc>
          <w:tcPr>
            <w:tcW w:w="990"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2016թ.</w:t>
            </w:r>
            <w:bookmarkStart w:id="397" w:name="_Ref114220797"/>
            <w:r w:rsidRPr="007955BB">
              <w:rPr>
                <w:rFonts w:eastAsia="Calibri"/>
                <w:b w:val="0"/>
                <w:sz w:val="20"/>
                <w:szCs w:val="20"/>
                <w:vertAlign w:val="superscript"/>
                <w:lang w:val="hy-AM" w:eastAsia="en-US"/>
              </w:rPr>
              <w:footnoteReference w:id="28"/>
            </w:r>
            <w:bookmarkEnd w:id="397"/>
          </w:p>
        </w:tc>
        <w:tc>
          <w:tcPr>
            <w:tcW w:w="973"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2038թ.</w:t>
            </w:r>
          </w:p>
        </w:tc>
        <w:tc>
          <w:tcPr>
            <w:tcW w:w="2695"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Նշանակալի Վատթարացում</w:t>
            </w:r>
          </w:p>
        </w:tc>
      </w:tr>
      <w:tr w:rsidR="004644E7" w:rsidRPr="007955BB" w:rsidTr="004644E7">
        <w:trPr>
          <w:trHeight w:val="415"/>
        </w:trPr>
        <w:tc>
          <w:tcPr>
            <w:tcW w:w="2357" w:type="dxa"/>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«Արմփաուեր» ՓԲԸ, ԷԳՊ</w:t>
            </w:r>
          </w:p>
        </w:tc>
        <w:tc>
          <w:tcPr>
            <w:tcW w:w="2335" w:type="dxa"/>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Էներգետիկա</w:t>
            </w:r>
          </w:p>
        </w:tc>
        <w:tc>
          <w:tcPr>
            <w:tcW w:w="990" w:type="dxa"/>
            <w:vAlign w:val="center"/>
          </w:tcPr>
          <w:p w:rsidR="004644E7" w:rsidRPr="007955BB" w:rsidRDefault="004644E7" w:rsidP="004644E7">
            <w:pPr>
              <w:spacing w:before="0" w:line="276" w:lineRule="auto"/>
              <w:ind w:firstLine="0"/>
              <w:contextualSpacing w:val="0"/>
              <w:jc w:val="left"/>
              <w:rPr>
                <w:rFonts w:eastAsia="Calibri"/>
                <w:b w:val="0"/>
                <w:sz w:val="20"/>
                <w:szCs w:val="20"/>
                <w:lang w:val="en-US" w:eastAsia="en-US"/>
              </w:rPr>
            </w:pPr>
            <w:r w:rsidRPr="007955BB">
              <w:rPr>
                <w:rFonts w:eastAsia="Calibri"/>
                <w:b w:val="0"/>
                <w:sz w:val="20"/>
                <w:szCs w:val="20"/>
                <w:lang w:val="hy-AM" w:eastAsia="en-US"/>
              </w:rPr>
              <w:t>2019թ.</w:t>
            </w:r>
            <w:r w:rsidRPr="007955BB">
              <w:rPr>
                <w:rFonts w:eastAsia="Calibri"/>
                <w:b w:val="0"/>
                <w:sz w:val="20"/>
                <w:szCs w:val="20"/>
                <w:vertAlign w:val="superscript"/>
                <w:lang w:val="en-US" w:eastAsia="en-US"/>
              </w:rPr>
              <w:t>4</w:t>
            </w:r>
          </w:p>
        </w:tc>
        <w:tc>
          <w:tcPr>
            <w:tcW w:w="973" w:type="dxa"/>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2041թ.</w:t>
            </w:r>
          </w:p>
        </w:tc>
        <w:tc>
          <w:tcPr>
            <w:tcW w:w="2695" w:type="dxa"/>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Միջին Անփոփոխ</w:t>
            </w:r>
          </w:p>
        </w:tc>
      </w:tr>
      <w:tr w:rsidR="004644E7" w:rsidRPr="007955BB" w:rsidTr="004644E7">
        <w:trPr>
          <w:trHeight w:val="647"/>
        </w:trPr>
        <w:tc>
          <w:tcPr>
            <w:tcW w:w="2357"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«Էֆարվի Մասրիկ» ՓԲԸ, Մասրիկ-1 արևային ֆոտովոլտային էլեկտրակայան, ԷԳՊ</w:t>
            </w:r>
          </w:p>
        </w:tc>
        <w:tc>
          <w:tcPr>
            <w:tcW w:w="2335"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Էներգետիկա</w:t>
            </w:r>
          </w:p>
        </w:tc>
        <w:tc>
          <w:tcPr>
            <w:tcW w:w="990"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2021թ.</w:t>
            </w:r>
            <w:r w:rsidRPr="007955BB">
              <w:rPr>
                <w:rFonts w:eastAsia="Calibri"/>
                <w:b w:val="0"/>
                <w:sz w:val="20"/>
                <w:szCs w:val="20"/>
                <w:vertAlign w:val="superscript"/>
                <w:lang w:val="en-US" w:eastAsia="en-US"/>
              </w:rPr>
              <w:t>4</w:t>
            </w:r>
            <w:r w:rsidRPr="007955BB">
              <w:rPr>
                <w:rFonts w:eastAsia="Calibri"/>
                <w:b w:val="0"/>
                <w:sz w:val="20"/>
                <w:szCs w:val="20"/>
                <w:lang w:val="hy-AM" w:eastAsia="en-US"/>
              </w:rPr>
              <w:t xml:space="preserve"> </w:t>
            </w:r>
          </w:p>
        </w:tc>
        <w:tc>
          <w:tcPr>
            <w:tcW w:w="973"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2041թ.</w:t>
            </w:r>
          </w:p>
        </w:tc>
        <w:tc>
          <w:tcPr>
            <w:tcW w:w="2695"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 w:val="20"/>
                <w:szCs w:val="20"/>
                <w:lang w:val="hy-AM" w:eastAsia="en-US"/>
              </w:rPr>
            </w:pPr>
            <w:r w:rsidRPr="007955BB">
              <w:rPr>
                <w:rFonts w:eastAsia="Calibri"/>
                <w:b w:val="0"/>
                <w:sz w:val="20"/>
                <w:szCs w:val="20"/>
                <w:lang w:val="hy-AM" w:eastAsia="en-US"/>
              </w:rPr>
              <w:t>Նշանակալի Անփոփոխ</w:t>
            </w:r>
          </w:p>
        </w:tc>
      </w:tr>
    </w:tbl>
    <w:p w:rsidR="004644E7" w:rsidRPr="007955BB" w:rsidRDefault="004644E7" w:rsidP="004644E7">
      <w:pPr>
        <w:spacing w:before="0" w:line="276" w:lineRule="auto"/>
        <w:ind w:firstLine="0"/>
        <w:contextualSpacing w:val="0"/>
        <w:jc w:val="left"/>
        <w:rPr>
          <w:rFonts w:eastAsia="Calibri"/>
          <w:b w:val="0"/>
          <w:szCs w:val="22"/>
          <w:lang w:val="hy-AM" w:eastAsia="en-US"/>
        </w:rPr>
      </w:pP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shd w:val="clear" w:color="auto" w:fill="FFFFFF"/>
          <w:lang w:val="hy-AM" w:eastAsia="en-US"/>
        </w:rPr>
        <w:t>ՊՄԳ պայմանագրերի վերլուծության արդյունքում նյութականացման ռիսկի աստիճանը հիմնականում նշանակալի է համարվել ՊՄԳ բոլոր պայմանագրերի համար, հաշվի առնելով, որ ճգնաժամը տարբեր բնույթի ազդեցություն է ունենում ընկերությունների դրամական հոսքերի վրա, ինչն իր հերթին մեծացնում է պայմանագրի վերաբանակցման կամ պայմանագրի վաղաժամ դադարեցման ռիսկերը: Իսկ շինարարության փուլում գտնվող ծրագրերի պարագայում առկա են էական ուշացումներ, ինչն իր հերթին կարող է բարձրացնել գերածախսերի ռիսկը:</w:t>
      </w:r>
      <w:r w:rsidRPr="007955BB">
        <w:rPr>
          <w:rFonts w:ascii="Calibri" w:eastAsia="Calibri" w:hAnsi="Calibri" w:cs="Calibri"/>
          <w:b w:val="0"/>
          <w:szCs w:val="22"/>
          <w:shd w:val="clear" w:color="auto" w:fill="FFFFFF"/>
          <w:lang w:val="hy-AM" w:eastAsia="en-US"/>
        </w:rPr>
        <w:t> </w:t>
      </w:r>
    </w:p>
    <w:p w:rsidR="004644E7" w:rsidRPr="007955BB" w:rsidRDefault="004644E7" w:rsidP="004644E7">
      <w:pPr>
        <w:spacing w:before="0" w:line="276" w:lineRule="auto"/>
        <w:ind w:firstLine="720"/>
        <w:contextualSpacing w:val="0"/>
        <w:rPr>
          <w:rFonts w:eastAsia="Calibri"/>
          <w:szCs w:val="22"/>
          <w:lang w:val="hy-AM" w:eastAsia="en-US"/>
        </w:rPr>
      </w:pPr>
      <w:r w:rsidRPr="007955BB">
        <w:rPr>
          <w:rFonts w:eastAsia="Calibri"/>
          <w:szCs w:val="22"/>
          <w:lang w:val="hy-AM" w:eastAsia="en-US"/>
        </w:rPr>
        <w:t>«Հարավկովկասյան երկաթուղի» ՓԲԸ</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ՀՀ կառավարության 07.02.2008թ. N83-Ա որոշման հիման վրա </w:t>
      </w:r>
      <w:r w:rsidR="00D35F72">
        <w:rPr>
          <w:rFonts w:eastAsia="Calibri"/>
          <w:b w:val="0"/>
          <w:szCs w:val="22"/>
          <w:lang w:val="hy-AM" w:eastAsia="en-US"/>
        </w:rPr>
        <w:t>ՀՀ</w:t>
      </w:r>
      <w:r w:rsidRPr="007955BB">
        <w:rPr>
          <w:rFonts w:eastAsia="Calibri"/>
          <w:b w:val="0"/>
          <w:szCs w:val="22"/>
          <w:lang w:val="hy-AM" w:eastAsia="en-US"/>
        </w:rPr>
        <w:t>, «Հարավկովկասյան երկաթուղի» ՓԲԸ-ի և «Ռուսական երկաթուղիներ» ԲԲԸ-ի միջև 13.02.2008թ. կնքվել է «Հայկական երկաթուղու համակարգը «Ռուսական երկաթուղիներ» ԲԲԸ կողմից ստեղծված «Հարավկովկասյան երկաթուղի» ՓԲԸ փոխանցելու մասին» կոնցեսիոն պայմանագիրը:</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Ծառայությունների ծավալները և երթուղիները համաձայնեցվում են յուրաքանչյուր տարի՝ հաջորդող տարվա համար, հետևաբար պայմանագրի ֆինանսական տարբեր բաղադրիչների ապագա մակարդակները բարդ է կանխատեսել:</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Կոնցեսիոն պայմանագիրը ներառում է վնասի սուբսիդավորում ուղևորափոխադրման ոչ շահութաբեր որոշ ուղղությունների համար, ինչն էլ նյութականացել պայմանագրի գործողության բոլոր տարիներին: Սակայն, ըստ պայմանագրի, վճարման ենթակա գումարների առավելագույն չափը սահմանափակվում է կոնցեսիոների կողմից վճարման ենթակա տարեկան կոնցեսիոն վճարի չափով: Համաձայն առկա պատմական տեղեկատվության, կոնցեսիոն պայմանագրի սկզբից ի վեր որևէ այլ պայմանական պարտավորության նյութականացում տեղի չի ունեցել։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Կոնցեսիոն պայմանագիրը նախատեսում է նաև փոխհատուցումներ մի շարք դեպքերում, որոնց նյութականացման ռիսկի հավանականությունն ավելանում է՝ պայմանավորված համավարակի հետ կապված ճգնաժամով։ Այդպիսի դեպքերից են՝</w:t>
      </w:r>
    </w:p>
    <w:p w:rsidR="004644E7" w:rsidRPr="007955BB" w:rsidRDefault="00F87A0A" w:rsidP="00F87A0A">
      <w:pPr>
        <w:numPr>
          <w:ilvl w:val="0"/>
          <w:numId w:val="59"/>
        </w:numPr>
        <w:spacing w:before="0" w:line="276" w:lineRule="auto"/>
        <w:ind w:left="0" w:firstLine="720"/>
        <w:contextualSpacing w:val="0"/>
        <w:jc w:val="left"/>
        <w:rPr>
          <w:rFonts w:eastAsia="Calibri"/>
          <w:b w:val="0"/>
          <w:szCs w:val="22"/>
          <w:lang w:val="hy-AM" w:eastAsia="en-US"/>
        </w:rPr>
      </w:pPr>
      <w:r>
        <w:rPr>
          <w:rFonts w:eastAsia="Calibri"/>
          <w:b w:val="0"/>
          <w:szCs w:val="22"/>
          <w:lang w:val="hy-AM" w:eastAsia="en-US"/>
        </w:rPr>
        <w:t xml:space="preserve"> </w:t>
      </w:r>
      <w:r w:rsidR="004644E7" w:rsidRPr="007955BB">
        <w:rPr>
          <w:rFonts w:eastAsia="Calibri"/>
          <w:b w:val="0"/>
          <w:szCs w:val="22"/>
          <w:lang w:val="hy-AM" w:eastAsia="en-US"/>
        </w:rPr>
        <w:t>Օրենսդրության անբարենպաստ փոփոխություն,</w:t>
      </w:r>
    </w:p>
    <w:p w:rsidR="004644E7" w:rsidRPr="007955BB" w:rsidRDefault="00F87A0A" w:rsidP="00F87A0A">
      <w:pPr>
        <w:numPr>
          <w:ilvl w:val="0"/>
          <w:numId w:val="59"/>
        </w:numPr>
        <w:spacing w:before="0" w:line="276" w:lineRule="auto"/>
        <w:ind w:left="0" w:firstLine="720"/>
        <w:contextualSpacing w:val="0"/>
        <w:jc w:val="left"/>
        <w:rPr>
          <w:rFonts w:eastAsia="Calibri"/>
          <w:b w:val="0"/>
          <w:szCs w:val="22"/>
          <w:lang w:val="hy-AM" w:eastAsia="en-US"/>
        </w:rPr>
      </w:pPr>
      <w:r>
        <w:rPr>
          <w:rFonts w:eastAsia="Calibri"/>
          <w:b w:val="0"/>
          <w:szCs w:val="22"/>
          <w:lang w:val="hy-AM" w:eastAsia="en-US"/>
        </w:rPr>
        <w:t xml:space="preserve"> </w:t>
      </w:r>
      <w:r w:rsidR="004644E7" w:rsidRPr="007955BB">
        <w:rPr>
          <w:rFonts w:eastAsia="Calibri"/>
          <w:b w:val="0"/>
          <w:szCs w:val="22"/>
          <w:lang w:val="hy-AM" w:eastAsia="en-US"/>
        </w:rPr>
        <w:t>Անհաղթահարելի ուժի ազդեցության մեղմման ծախսեր,</w:t>
      </w:r>
    </w:p>
    <w:p w:rsidR="004644E7" w:rsidRPr="007955BB" w:rsidRDefault="00F87A0A" w:rsidP="00F87A0A">
      <w:pPr>
        <w:numPr>
          <w:ilvl w:val="0"/>
          <w:numId w:val="59"/>
        </w:numPr>
        <w:spacing w:before="0" w:line="276" w:lineRule="auto"/>
        <w:ind w:left="0" w:firstLine="720"/>
        <w:contextualSpacing w:val="0"/>
        <w:jc w:val="left"/>
        <w:rPr>
          <w:rFonts w:eastAsia="Calibri"/>
          <w:b w:val="0"/>
          <w:szCs w:val="22"/>
          <w:lang w:val="hy-AM" w:eastAsia="en-US"/>
        </w:rPr>
      </w:pPr>
      <w:r>
        <w:rPr>
          <w:rFonts w:eastAsia="Calibri"/>
          <w:b w:val="0"/>
          <w:szCs w:val="22"/>
          <w:lang w:val="hy-AM" w:eastAsia="en-US"/>
        </w:rPr>
        <w:t xml:space="preserve"> </w:t>
      </w:r>
      <w:r w:rsidR="004644E7" w:rsidRPr="007955BB">
        <w:rPr>
          <w:rFonts w:eastAsia="Calibri"/>
          <w:b w:val="0"/>
          <w:szCs w:val="22"/>
          <w:lang w:val="hy-AM" w:eastAsia="en-US"/>
        </w:rPr>
        <w:t>Անհաղթահարելի ուժի ազդեցության հետևանքով պայմանագրի վաղաժամ դադարեցման հետ կապված վճարումներ,</w:t>
      </w:r>
    </w:p>
    <w:p w:rsidR="004644E7" w:rsidRPr="007955BB" w:rsidRDefault="00F87A0A" w:rsidP="00F87A0A">
      <w:pPr>
        <w:numPr>
          <w:ilvl w:val="0"/>
          <w:numId w:val="59"/>
        </w:numPr>
        <w:spacing w:before="0" w:line="276" w:lineRule="auto"/>
        <w:ind w:left="0" w:firstLine="720"/>
        <w:contextualSpacing w:val="0"/>
        <w:jc w:val="left"/>
        <w:rPr>
          <w:rFonts w:eastAsia="Calibri"/>
          <w:b w:val="0"/>
          <w:szCs w:val="22"/>
          <w:lang w:val="hy-AM" w:eastAsia="en-US"/>
        </w:rPr>
      </w:pPr>
      <w:r>
        <w:rPr>
          <w:rFonts w:eastAsia="Calibri"/>
          <w:b w:val="0"/>
          <w:szCs w:val="22"/>
          <w:lang w:val="hy-AM" w:eastAsia="en-US"/>
        </w:rPr>
        <w:t xml:space="preserve"> </w:t>
      </w:r>
      <w:r w:rsidR="004644E7" w:rsidRPr="007955BB">
        <w:rPr>
          <w:rFonts w:eastAsia="Calibri"/>
          <w:b w:val="0"/>
          <w:szCs w:val="22"/>
          <w:lang w:val="hy-AM" w:eastAsia="en-US"/>
        </w:rPr>
        <w:t xml:space="preserve">Կոնցեդենտի կողմից պարտավորությունների չկատարման հիմքով պայմանագրի վաղաժամ դադարեցման վճարներ, </w:t>
      </w:r>
    </w:p>
    <w:p w:rsidR="004644E7" w:rsidRPr="007955BB" w:rsidRDefault="00F87A0A" w:rsidP="00F87A0A">
      <w:pPr>
        <w:numPr>
          <w:ilvl w:val="0"/>
          <w:numId w:val="59"/>
        </w:numPr>
        <w:spacing w:before="0" w:line="276" w:lineRule="auto"/>
        <w:ind w:left="0" w:firstLine="720"/>
        <w:contextualSpacing w:val="0"/>
        <w:jc w:val="left"/>
        <w:rPr>
          <w:rFonts w:eastAsia="Calibri"/>
          <w:b w:val="0"/>
          <w:szCs w:val="22"/>
          <w:lang w:val="hy-AM" w:eastAsia="en-US"/>
        </w:rPr>
      </w:pPr>
      <w:r>
        <w:rPr>
          <w:rFonts w:eastAsia="Calibri"/>
          <w:b w:val="0"/>
          <w:szCs w:val="22"/>
          <w:lang w:val="hy-AM" w:eastAsia="en-US"/>
        </w:rPr>
        <w:t xml:space="preserve"> </w:t>
      </w:r>
      <w:r w:rsidR="004644E7" w:rsidRPr="007955BB">
        <w:rPr>
          <w:rFonts w:eastAsia="Calibri"/>
          <w:b w:val="0"/>
          <w:szCs w:val="22"/>
          <w:lang w:val="hy-AM" w:eastAsia="en-US"/>
        </w:rPr>
        <w:t>Փոխադարձ համաձայնությամբ պայմանագրի վաղաժամ դադարեցման վճարներ:</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Կոնցեսիոն պայմանագրի վաղաժամ դադարեցման մասով պայմանական պարտավորությունները հիմնականում չափելի են և դրանց առավելագույն ազդեցությունը վատագույն սցենարի դեպքում գնահատվում է 103.2 մլրդ ՀՀ դրամ</w:t>
      </w:r>
      <w:bookmarkStart w:id="398" w:name="_Ref114220815"/>
      <w:r w:rsidRPr="007955BB">
        <w:rPr>
          <w:rFonts w:eastAsia="Calibri"/>
          <w:b w:val="0"/>
          <w:szCs w:val="22"/>
          <w:vertAlign w:val="superscript"/>
          <w:lang w:val="hy-AM" w:eastAsia="en-US"/>
        </w:rPr>
        <w:footnoteReference w:id="29"/>
      </w:r>
      <w:bookmarkEnd w:id="398"/>
      <w:r w:rsidRPr="007955BB">
        <w:rPr>
          <w:rFonts w:eastAsia="Calibri"/>
          <w:b w:val="0"/>
          <w:szCs w:val="22"/>
          <w:lang w:val="hy-AM" w:eastAsia="en-US"/>
        </w:rPr>
        <w:t xml:space="preserve">, ընդ որում այդ գումարը կոնցեսիոն գործունեության ընթացքում աճում է՝ հաշվի առնելով պայմանագրի պայմանները: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Կոնցեսիոն պայմանագրի ֆիսկալ ռիսկայնության կարգավիճակը մինչև համավարակը գնահատվում էր միջին, իսկ համավարակի և պատերազմի ճգնաժամերով պայմանավորված՝ նշանակալի, և ներկայումս շարունակում է գնահատվել նշանակալի՝ պայմանավորված զարգացող աշխարհաքաղաքական և մակրոտնտեսական ճգնաժամով։ Միաժամանակ կարևոր է փաստել, որ ընկերության գործունեությունը 2021 թվականին եղել է շահութաբեր՝ 1.26 մլրդ դրամ շահույթով, սակայն նախորդ տարվա համեմատ նվազումը կազմել է 33%: 2020 թվականի շահույթի ավելի բարձր մակարդակը պայմանավորված էր վնասաբեր ուղևորափոխադրումների ծավալի կրճատմամբ և ակտիվների վաճառքով: Այդպիսով 2021 թվականի շահույթի մակարդակը վերադարձել է 2019 թվականի մոտ մակարդակին (1.11 մլրդ դրամ): Ի հավելումն, 2021 թվականի ընթացքում ընկերությունը կատարել է տոկոսագումարների վճարում՝ կապված նոր շարժակազմի ձեռքբերման ֆինանսավորման նպատակով ներգրավված վարկի հետ: Ոլորտում առկա միտումները անհրաժեշտ է սերտորեն մշտադիտարկել</w:t>
      </w:r>
      <w:r w:rsidRPr="007955BB" w:rsidDel="00ED068E">
        <w:rPr>
          <w:rFonts w:eastAsia="Calibri"/>
          <w:b w:val="0"/>
          <w:szCs w:val="22"/>
          <w:lang w:val="hy-AM" w:eastAsia="en-US"/>
        </w:rPr>
        <w:t xml:space="preserve"> </w:t>
      </w:r>
      <w:r w:rsidRPr="007955BB">
        <w:rPr>
          <w:rFonts w:eastAsia="Calibri"/>
          <w:b w:val="0"/>
          <w:szCs w:val="22"/>
          <w:lang w:val="hy-AM" w:eastAsia="en-US"/>
        </w:rPr>
        <w:t xml:space="preserve">՝ հաշվի առնելով նոր ճգնաժամերով պայմանավորված անորոշությունները: Նշված նվազումը փոխհատուցվել էր 2021 թվականին սակագների բարձրացմամբ, ինչը թույլ էր տվել ընդհանուր հասույթը պահպանել մոտ 21 մլրդ դրամ մակարդակում ինչը մի փոքր ավելի ցածր էր, քան 2020 թվականի ցուցանիշը՝ 22 մլրդ դրամ: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Ֆիսկալ ռիսկի կարգավիճակը նշանակալի է՝ հաշվի առնելով ճգնաժամային ժամանակաշրջանով պայմանավորված անորոշությունները և ընթացող վերաբանակցությունները։ </w:t>
      </w:r>
    </w:p>
    <w:p w:rsidR="004644E7" w:rsidRPr="007955BB" w:rsidRDefault="004644E7" w:rsidP="004644E7">
      <w:pPr>
        <w:spacing w:before="0" w:line="276" w:lineRule="auto"/>
        <w:ind w:firstLine="720"/>
        <w:contextualSpacing w:val="0"/>
        <w:rPr>
          <w:rFonts w:eastAsia="Calibri"/>
          <w:szCs w:val="22"/>
          <w:lang w:val="hy-AM" w:eastAsia="en-US"/>
        </w:rPr>
      </w:pPr>
      <w:r w:rsidRPr="007955BB">
        <w:rPr>
          <w:rFonts w:eastAsia="Calibri"/>
          <w:szCs w:val="22"/>
          <w:lang w:val="hy-AM" w:eastAsia="en-US"/>
        </w:rPr>
        <w:t>«Վեոլիա ջուր» ՓԲԸ</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21.11.2016թ. ՀՀ կառավարության և «Վեոլիա Օ Կոմպանի Ժեներալ Դեզ Օ» կոմանդիտային բաժնետիրական ընկերության և «Վեոլիա Ջուր» ՓԲԸ-ի (այսուհետ` Ընկերություն) միջև կնքվել է «Երևան Ջուր», «Հայջրմուղկոյուղի», «Լոռի-ջրմուղկոյուղի», «Շիրակ-ջրմուղկոյուղի» և «Նոր Ակունք» </w:t>
      </w:r>
      <w:r w:rsidR="00D26A9D">
        <w:rPr>
          <w:rFonts w:eastAsia="Calibri"/>
          <w:b w:val="0"/>
          <w:szCs w:val="22"/>
          <w:lang w:val="hy-AM" w:eastAsia="en-US"/>
        </w:rPr>
        <w:t xml:space="preserve">ՓԲԸ </w:t>
      </w:r>
      <w:r w:rsidRPr="007955BB">
        <w:rPr>
          <w:rFonts w:eastAsia="Calibri"/>
          <w:b w:val="0"/>
          <w:szCs w:val="22"/>
          <w:lang w:val="hy-AM" w:eastAsia="en-US"/>
        </w:rPr>
        <w:t>կողմից օգտագործվող ու պահպանվող ջրային համակարգերի և այլ գույքի վարձակալության պայմանագիր` 15 տարի ժամկետով (Վարձակալական պայմանագիր):</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Վարձակալական պայմանագրի շրջանակներում առկա են մի շարք նշանակալի պայմանական պարտավորություններ, այդ թվում.</w:t>
      </w:r>
    </w:p>
    <w:p w:rsidR="004644E7" w:rsidRPr="007955BB" w:rsidRDefault="004644E7" w:rsidP="00F04DA1">
      <w:pPr>
        <w:numPr>
          <w:ilvl w:val="0"/>
          <w:numId w:val="60"/>
        </w:numPr>
        <w:spacing w:before="0" w:line="276" w:lineRule="auto"/>
        <w:ind w:left="0"/>
        <w:contextualSpacing w:val="0"/>
        <w:jc w:val="left"/>
        <w:rPr>
          <w:rFonts w:eastAsia="Calibri"/>
          <w:b w:val="0"/>
          <w:szCs w:val="22"/>
          <w:lang w:val="hy-AM" w:eastAsia="en-US"/>
        </w:rPr>
      </w:pPr>
      <w:r w:rsidRPr="007955BB">
        <w:rPr>
          <w:rFonts w:eastAsia="Calibri"/>
          <w:b w:val="0"/>
          <w:szCs w:val="22"/>
          <w:lang w:val="hy-AM" w:eastAsia="en-US"/>
        </w:rPr>
        <w:t xml:space="preserve">Վարձակալի կողմից պարտադիր կապիտալ աշխատանքների ծրագրի շրջանակից դուրս այլ աշխատանքների իրականացման դեպքում Վարձատուի կողմից համապատասխան գումարի փոխհատուցում, </w:t>
      </w:r>
    </w:p>
    <w:p w:rsidR="004644E7" w:rsidRPr="007955BB" w:rsidRDefault="004644E7" w:rsidP="00F04DA1">
      <w:pPr>
        <w:numPr>
          <w:ilvl w:val="0"/>
          <w:numId w:val="60"/>
        </w:numPr>
        <w:spacing w:before="0" w:line="276" w:lineRule="auto"/>
        <w:ind w:left="0"/>
        <w:contextualSpacing w:val="0"/>
        <w:jc w:val="left"/>
        <w:rPr>
          <w:rFonts w:eastAsia="Calibri"/>
          <w:b w:val="0"/>
          <w:szCs w:val="22"/>
          <w:lang w:val="hy-AM" w:eastAsia="en-US"/>
        </w:rPr>
      </w:pPr>
      <w:r w:rsidRPr="007955BB">
        <w:rPr>
          <w:rFonts w:eastAsia="Calibri"/>
          <w:b w:val="0"/>
          <w:szCs w:val="22"/>
          <w:lang w:val="hy-AM" w:eastAsia="en-US"/>
        </w:rPr>
        <w:t xml:space="preserve">Բազային սակագնի երաշխիք, որն արդեն առնվազն երկու անգամ կիրառվել է՝ ներառյալ վարձակալական վճարի կրճատում, </w:t>
      </w:r>
    </w:p>
    <w:p w:rsidR="004644E7" w:rsidRPr="007955BB" w:rsidRDefault="004644E7" w:rsidP="00F04DA1">
      <w:pPr>
        <w:numPr>
          <w:ilvl w:val="0"/>
          <w:numId w:val="60"/>
        </w:numPr>
        <w:spacing w:before="0" w:line="276" w:lineRule="auto"/>
        <w:ind w:left="0"/>
        <w:contextualSpacing w:val="0"/>
        <w:jc w:val="left"/>
        <w:rPr>
          <w:rFonts w:eastAsia="Calibri"/>
          <w:b w:val="0"/>
          <w:szCs w:val="22"/>
          <w:lang w:val="hy-AM" w:eastAsia="en-US"/>
        </w:rPr>
      </w:pPr>
      <w:r w:rsidRPr="007955BB">
        <w:rPr>
          <w:rFonts w:eastAsia="Calibri"/>
          <w:b w:val="0"/>
          <w:szCs w:val="22"/>
          <w:lang w:val="hy-AM" w:eastAsia="en-US"/>
        </w:rPr>
        <w:t>Վարձակալական պայմանագիրը պարունակում է վերաբանակցությունների և վաղաժամկետ դադարեցման բազմաթիվ դեպքեր։ Առաջիկայում Վարձակալական պայմանագրի վաղաժամկետ դադարեցման ռիսկը համարվել էր ցածր՝ առնվազն մինչև 2025թ</w:t>
      </w:r>
      <w:r w:rsidRPr="007955BB">
        <w:rPr>
          <w:rFonts w:ascii="Cambria Math" w:eastAsia="Calibri" w:hAnsi="Cambria Math" w:cs="Cambria Math"/>
          <w:b w:val="0"/>
          <w:szCs w:val="22"/>
          <w:lang w:val="hy-AM" w:eastAsia="en-US"/>
        </w:rPr>
        <w:t>․</w:t>
      </w:r>
      <w:r w:rsidRPr="007955BB">
        <w:rPr>
          <w:rFonts w:eastAsia="Calibri"/>
          <w:b w:val="0"/>
          <w:szCs w:val="22"/>
          <w:lang w:val="hy-AM" w:eastAsia="en-US"/>
        </w:rPr>
        <w:t>։ Պայմանագրի վաղաժամ դադարեցման գծով պայմանական պարտավորությունը մասնակի չափելի է և գնահատվել է 73.9 մլրդ դրամ՝ միջանկյալ սցենարի դեպքում, որտեղ նման վճարումը չի կարող գերազանցել ապագա վարձակալական վճարների հանրագումարը:</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Մինչև համավարակը, Վարձակալական պայմանագրի գծով պայմանական պարտավորությունների ֆիսկալ ռիսկի կարգավիճակը գնահատվել է միջին, սակայն հաշվի առնելով թարմացված տեղեկատվությունը՝ հարկաբյուջետային ռիսկի կարգավիճակը ներկայում նշանակալի է։ Դա պայմանավորված է դեբիտորական պարտավորությունների հավաքագրման ցուցանիշների վատթարացմամբ և իրավաբանական անձանցից հասույթների 14% նվազմամբ, ինչը 2020թ. հանգեցրել էգործառնական շահույթի 8% նվազման։ 2021թ. ֆինանսական հաշվետվությունները փաստում են 2021 թվականին  հասույթի մակարդակի աճի մասին։ Գործառնական շահույթի մակարդակը մնացել է նույնը ինչ 2020 թվականին՝ պայմանավորված զուգահեռ ինքնարժեքի բարձրացմամբ։ Զուտ շահույթի մակարդակը  աճել է՝ պայմանավորված Կառավարության և ընկերության միջև 2021 թվականի նոյեմբերի 10 ին ստորագրված կոնցեսիոն պայմանագրի #24 փոփոխությամբ նախատեսված կոնցեսիոն վճարների վերանայմամբ, որոնց ներկա արժեքի նվազումը ճանաչվել է որպես ֆինանսական եկամուտ։ Սակայն դեռևս պահպանվում են ժամկետանց դեբիտորական պարտավորությունների հավաքագրման հետ կապված դժվարությունները, որոնք արտահայտվել են 2021 թվականի համար դեբիտորական պարտքերի գծով արժեզրկման պահուստի աճով: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Բանակցություններ են ընթանում նաև արդեն իսկ կառուցված ակտիվների շուրջ, որոնք պետք է փոխանցվեն պետությանն, այնուհետև՝ հանձնվեն վարձակալության: Ի հավելումն, առաջիկա տարիների ընթացքում զգալիորեն ավելանալու են պետությանը փոխանցվելիք ոչ պարտադիր աշխատանքները (ընկերության գնահատականներով անհրաժեշտ ներդրումների ծավալը՝ մոտ 75 մլն ԱՄՆ դոլար), որոնք պետք է ֆինանսավորվեն պետական բյուջեի հաշվին: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Համաձայն ՀՀ Հանրային ծառայությունները կարգավորող հանձնաժողովի 23 նոյեմբերի 2021թ</w:t>
      </w:r>
      <w:r w:rsidRPr="007955BB">
        <w:rPr>
          <w:rFonts w:ascii="Cambria Math" w:eastAsia="Calibri" w:hAnsi="Cambria Math" w:cs="Cambria Math"/>
          <w:b w:val="0"/>
          <w:szCs w:val="22"/>
          <w:lang w:val="hy-AM" w:eastAsia="en-US"/>
        </w:rPr>
        <w:t>․</w:t>
      </w:r>
      <w:r w:rsidRPr="007955BB">
        <w:rPr>
          <w:rFonts w:eastAsia="Calibri"/>
          <w:b w:val="0"/>
          <w:szCs w:val="22"/>
          <w:lang w:val="hy-AM" w:eastAsia="en-US"/>
        </w:rPr>
        <w:t xml:space="preserve"> N400_Ա որոշման՝ Ընկերության հետ վարձակալության պայմանագրի մեջ իրականացվել են փոփոխություններ, որի արդյունքում մանրածախ ջրամատակարարման համար սահմանվում է բազիսային սակագին, որը ենթակա է ճշգրտման՝ կախված գնաճից և Ընկերությանը մատակարարվող էլեկտրաէներգիայի սակագներից։ Ուստի, սակագնային ճնշումները գնաճային միջավայրում կարող են հանգեցնել կառավարության կողմից սուբսիդավորող գործիքակազմի կիրառման կամ պայմանագրի պայմանների վատթարացման։</w:t>
      </w:r>
    </w:p>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eastAsia="Calibri"/>
          <w:b w:val="0"/>
          <w:szCs w:val="22"/>
          <w:lang w:val="hy-AM" w:eastAsia="en-US"/>
        </w:rPr>
        <w:t>Այդպիսով, հարկաբյուջետային ռիսկի կարգավիճակը մնում է նշանակալի:</w:t>
      </w:r>
    </w:p>
    <w:p w:rsidR="004644E7" w:rsidRPr="007955BB" w:rsidRDefault="004644E7" w:rsidP="004644E7">
      <w:pPr>
        <w:spacing w:before="0" w:line="276" w:lineRule="auto"/>
        <w:ind w:firstLine="720"/>
        <w:contextualSpacing w:val="0"/>
        <w:rPr>
          <w:rFonts w:eastAsia="Calibri"/>
          <w:szCs w:val="22"/>
          <w:lang w:val="hy-AM" w:eastAsia="en-US"/>
        </w:rPr>
      </w:pPr>
      <w:r w:rsidRPr="007955BB">
        <w:rPr>
          <w:rFonts w:eastAsia="Calibri"/>
          <w:szCs w:val="22"/>
          <w:lang w:val="hy-AM" w:eastAsia="en-US"/>
        </w:rPr>
        <w:t>«Արմենիա Միջազգային Օդանավակայաններ» ՓԲԸ</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Կոնցեսիոն պայմանագիրը գործում է 2002թ-ից՝ Երևանի «Զվարթնոց» օդանավակայանի համար, իսկ 2007թ-ից ներառում է նաև Գյումրու «Շիրակ» օդանավակայանը: Մայր ընկերությունը աշխարհի օդանավակայանների խոշորագույն օպերատորներից է՝ «Կորպորասիոն Ամերիկա Ս.Ա.» ընկերությունն, որը ցուցակված է Նյու Յորքի ֆոնդային բորսայում: Խումբը մինչև 2019 թվականը արձանագրում էր շահութաբերության բարձր ցուցանիշներ, իսկ ՀՀ-ի դուստր ձեռնարկությունը եղել է ամենաշահութաբերներից մեկը և Քովիդի ճգնաժամից վերականգնումից հետո ևս բարձր ցուցանիշներ է արձանագրել</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Պայմանագիրը Կոնցեսիոներին հնարավորություն է տալիս միակողմանիորեն երկարացնել կոնցեսիայի տևողությունը:</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Հաշվի առնելով ընկերության բարձր շահութաբերությունը՝ պայմանագրի վաղաժամ դադարեցման պայմանական պարտավորությունը և ընկերության բիզնես ռիսկը գնահատվում էին ցածր, սակայն օդանավակայանների ոլորտը համավարակով պայմանավորված ճգնաժամից առավել տուժածներից մեկն է: Ընկերությունը ստիպված եղավ հայցել վարկային պայմանագրի ֆինանսական քովենանթի չեղարկում, որը բավարարվեց ֆինանսավորողի կողմից:</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2021 թվականին «Կորպորասիոն Ամերիկա Ս.Ա.» ընկերությունների խմբի ֆինանսական վիճակը զգալիորեն վերականգնվել է՝ պայմանավորված գործառնությունների վերսկսմամբ, ստացված մի շարք փոխհատուցումներով, վերակառուցված և նոր վարկերով։ Վերականգնման տեմպերը 2022 թվականին էլ ավելի են արագացել՝ մասնավորապես պայմանավորված Արգենտինայում սահմանափակումների վերացմամբ։  Նշված վերականգնումը արտահայտվել է նաև Խմբի համախմբված դրամական մնացորդի ցուցանիշով, հետևաբար, անհրաժեշտության դեպքում Խումբը կրկին կկարողանա աջակցել «ԱՄՕ» ՓԲԸ-ին։</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Ինչպես երևում է ՀՀ ուղևորափոխադրումների վիճակագրությունից, ոլորտի վերականգնումը գրանցվել է 2021 թվականի ընթացքում և 2022 թվականի առաջին ամիսներին, ընդ որում 2022թ. առաջին 4 ամիսներին արձանագրված ծավալները մոտ են մինչև կորոնավիրուսային համավարակն արձանագրված մակարդակներին (98%):</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Բեռնափոխադրումների ծավալները ևս վերականգնվում են և 2022թ. առաջին 4 ամիսներին դրանք հասել են 2019թ. մակարդակի 97%-ին։</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Շարունակվել է շահույթի նախքան հարկումը, տոկոսավճարները և մաշվածությունը (EBITDA) զգալի վերականգնումը՝ 2021 թվականին հասնելով հասույթի նկատմամբ 44%: Մինչ այժմ «ԱՄՕ» ՓԲԸ-ն լավ է դիմակայել </w:t>
      </w:r>
      <w:r w:rsidR="004C2EE0" w:rsidRPr="004C2EE0">
        <w:rPr>
          <w:rFonts w:eastAsia="Calibri"/>
          <w:b w:val="0"/>
          <w:szCs w:val="22"/>
          <w:lang w:val="hy-AM" w:eastAsia="en-US"/>
        </w:rPr>
        <w:t>Ղարաբաղ</w:t>
      </w:r>
      <w:r w:rsidRPr="007955BB">
        <w:rPr>
          <w:rFonts w:eastAsia="Calibri"/>
          <w:b w:val="0"/>
          <w:szCs w:val="22"/>
          <w:lang w:val="hy-AM" w:eastAsia="en-US"/>
        </w:rPr>
        <w:t>յան 44-օրյա պատերազմի, կորոնավիրուսի Դելտա և Օմիկրոն տեսակների հետևանքով ստեղծված մարտահրավերներին: Սակայն նոր  աշխարհքաղաքական ճգնաժամը ամենայն հավանականությամբ անդրադարձել է 2022 թվականի երկորրդ եռամսյակի արդյունքների վրա՝ բեռնափոխադրումների ծավալների նվազմամբ, հասցնելով EBITDA/հասույթ ցուցանիշը 32%, որը շարունակում է մնալ բավականին բարձր։</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Կանխիկի մնացորդը 2021 թվականի ընթացքում շարունակել է աճել տարեվերջին կազմելով 44.7 մլն ԱՄՆ դոլար, ինչն ավելի բարձր է, քան 2022 թվականին պարտքի սպասարկման գծով նախատեսված վճարումները՝ հաշվի առնելով, որ համաձայն վարկային համաձայնագրի փոփոխության՝ մայր գումարի մարումները վերսկսվել են 2022 թվականի հունիսին: Մարումների իրականացումից հետո կանխիկի մնացորդը բավարար չէ  տարվա համար նախատեսված մարումներն իրականացնելու համար, ինչը պետք է գործառնական հոսքերով փոխհատուցվի, սակայն անորոշության որոշ մակարդակ պահպանվում է՝ հաշվի առնելով աշխարհաքաղաքական ճգնաժամը։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Զգալիորեն նվազել է ռիսկն առ այն, որ միջազգային սինդիկացված վարկի շրջանակներում վարկատուները կարող են պահանջել արագացված վարկի հետվճարում և հաշվի առնելով, որ ընկերության բաժնետոմսերը և ակտիվները գրավադրված են ի օգուտ վարկատուների, ինչը, հաշվի առնելով պայմանագրի դրույթները, կարող էՀՀ կառավարության համար լրացուցիչ ֆիսկալ պարտավորություններ առաջացնել: Նվազել է նաև վարկի չմարված գումարը։ Պայմանագրի վաղաժամ դադարեցման դեպքում առկա են այլ, ավելի մեծ պարտավորություններ, որոնք ներկայիս դրությամբ չափելի չեն։ Վերը նշված հանգամանքներից ելնելով, սույն ՊՄԳ պայմանագրի գծով պայմանական պարտավորությունների ֆիսկալ ռիսկի կարգավիճակը պահպանվում է միջին՝ չնայած նոր աշխարհաքաղաքական և մակրոտնտեսական ճգնաժամից բխող անորոշություններին: Վերջիններս անհրաժեշտ է սերտորեն մշտադիտարկել, հատկապես՝ փոխադրումների ծավալների փոփոխությունների և գործառնական հոսքերի վրա դրանց ազդեցության առումով, հաշվի առնելով վարկի մարման ժամանակացույցը: </w:t>
      </w:r>
    </w:p>
    <w:p w:rsidR="004644E7" w:rsidRPr="007955BB" w:rsidRDefault="004644E7" w:rsidP="004644E7">
      <w:pPr>
        <w:spacing w:before="0" w:line="276" w:lineRule="auto"/>
        <w:ind w:firstLine="720"/>
        <w:contextualSpacing w:val="0"/>
        <w:rPr>
          <w:rFonts w:eastAsia="Calibri"/>
          <w:szCs w:val="22"/>
          <w:lang w:val="hy-AM" w:eastAsia="en-US"/>
        </w:rPr>
      </w:pPr>
      <w:r w:rsidRPr="007955BB">
        <w:rPr>
          <w:rFonts w:eastAsia="Calibri"/>
          <w:szCs w:val="22"/>
          <w:lang w:val="hy-AM" w:eastAsia="en-US"/>
        </w:rPr>
        <w:t>«Քոնթուր Գլոբալ հիդրո կասկադ» ՓԲԸ</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Ընկերությունը հանդիսանում է հիդրոէլեկտրաէներգիայի արտադրության առանցքային համալիր, նախկինում պետական մասնակցությամբ ընկերություն էր, որը մասնավորեցման արդյունքում վաճառվել է էլեկտրաէներգիայի արտադրությամբ զբաղվող «Քոնթուր Գլոբալ» խոշոր միջազգային խմբին: Ընկերությունն արտադրված էլեկտրաէներգիան վաճառում է «Հայաստանի էլեկտրական ցանցեր» ՓԲԸ-ին (ՀԷՑ)՝ ՀԾԿՀ կողմից հաստատված սակագներով: ՀԷՑ ընկերությունը պարտավոր է գնել արտադրված ամբողջ էլեկտրաէներգիան, իսկ չգնելու դեպքում՝ վճարել փոխհատուցում, որը մինչ այժմ չի կիրառվել: Ամենախոշոր պայմանական պարտավորությունը՝ պետության կողմից հիմնական միջոցների հետգնման պարտավորությունն է, որի արժեքը 2021թ. ավարտին կազմում է102.1 մլրդ դրամ:</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Նշենք նաև, որ ընկերությունը ներկայում մարում է Վերականգնման վարկերի</w:t>
      </w:r>
      <w:r w:rsidRPr="007955BB">
        <w:rPr>
          <w:rFonts w:ascii="Calibri" w:eastAsia="Calibri" w:hAnsi="Calibri" w:cs="Calibri"/>
          <w:b w:val="0"/>
          <w:szCs w:val="22"/>
          <w:lang w:val="hy-AM" w:eastAsia="en-US"/>
        </w:rPr>
        <w:t> </w:t>
      </w:r>
      <w:r w:rsidRPr="007955BB">
        <w:rPr>
          <w:rFonts w:eastAsia="Calibri"/>
          <w:b w:val="0"/>
          <w:szCs w:val="22"/>
          <w:lang w:val="hy-AM" w:eastAsia="en-US"/>
        </w:rPr>
        <w:t>բանկից</w:t>
      </w:r>
      <w:r w:rsidRPr="007955BB">
        <w:rPr>
          <w:rFonts w:ascii="Calibri" w:eastAsia="Calibri" w:hAnsi="Calibri" w:cs="Calibri"/>
          <w:b w:val="0"/>
          <w:szCs w:val="22"/>
          <w:lang w:val="hy-AM" w:eastAsia="en-US"/>
        </w:rPr>
        <w:t> </w:t>
      </w:r>
      <w:r w:rsidRPr="007955BB">
        <w:rPr>
          <w:rFonts w:eastAsia="Calibri"/>
          <w:b w:val="0"/>
          <w:szCs w:val="22"/>
          <w:lang w:val="hy-AM" w:eastAsia="en-US"/>
        </w:rPr>
        <w:t xml:space="preserve">(KfW) Եվրոյով ստացված վարկը, ինչպես նաև 3 այլ ՄՖՀ-ներից, այդ թվում՝ Միջազգային ֆինանսական կորպորացիայից, ԱՄՆ դոլարով ստացված վարկեր: Այս առնչության հարկ է նկատել, որ 2020թ. ԱՄՆ դոլարի և Եվրոյի փոխարժեքները դրամի նկատմամբ աճել էին, մինչդեռ 2021թ. և հատկապես 2022թ. առաջին ամիսներին դրամը արժևորվում է։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2019թ. ընկերության գործունեությունը եղել է շահութաբեր, 2020թ. COVID-19 համավարակի հետևանքով տնտեսական ակտիվության կտրուկ նվազման հետ մեկտեղ, ընկերությունն արձանագրել է հասույթի մոտ 25 տոկոս կրճատում, ինչը խիստ ազդեցություն է ունեցել ընկերության գործունեության՝ առանց արտադրված ամբողջ էլեկտրաէներգիան գնելու կամ փոխհատուցում վճարելու պարտավորությունն ակտիվացնելու: Դրան ավելացան նաև արտարժույթի փոխարժեքի հետ կապված վնասները՝ ԱՄՆ դոլարի և Եվրոյի նկատմամբ արժեզրկման հետևանքով, ինչը հանգեցրեց պարտքի սպասարկման առավել մեծ ծախսերի: Արդյունքում, 2020թ. ընկերությունն արձանագրել է սեփական կապիտալի բացասական մակարդակ՝ չնայած բաժնետերերի կողմից հավելյալ սեփական կապիտալի ներարկմանը: Ընկերությունը շարունակում է սպասարկել իր վարկերը՝ շնորհիվ բաժնետերերի հավելյալ աջակցության, որոնք տրամադրել են ավելի քան 10 մլրդ դրամ ծավալով արտակարգ աջակցության վարկ (համարժեք է ընկերության 2020թ. հասույթին): 2021 ընթացքում բաժնետերերի կողմից նորից կատարվել է սեփական կապիտալի ավելացում։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Հասույթի գեներացումը բարելավվել է 2021 թվականին, գերազանցելով 2019 մակարդակը և ապահովելով էականորեն ավելի բարձր շահույթ: Ֆիսկալ ռիսկի կարգավիճակը նշանակալի էր՝ հաշվի առնելով ընկերության ֆինանսական վիճակը և այն փաստը, որ ընկերությանը չեն բավարարում հաստատված սակագները: Սակայն շահույթի մակարդակի վերականգնումը և այն փաստը, որ բաժնետերերը հանդիսացել են և շարունակում են հանդիսանալ շահութաբեր ընկերությունների խումբ, որը աջակցել է ընկերությանը առանձնահատուկ դժվար 2020թ. ընթացքում և ներկայում շարունակում է իր աջակցություն, հարկաբյուջետային ռիսկի կարգավիճակը փոխվել է միջինի։ Անհրաժեշտ է հասկանալ, թե արդյո՞ք ռուս-ուկրաինական նոր ընթացիկ ճգնաժամը կրկին ճնշում կգործադրի հասույթի և շահութաբերության մասով։ Անորոշության մեկ այլ գործոն է մայր ընկերության ձեռքբերման մասով KKR խմբի հետ ձեռք բերված համաձայնությունը, , ինչի արդյունքում կարող է էականորեն փոխվել Խմբի և որոշակի երկրներում դրա ներդրումների մասով քաղաքականությունը: Սա հատկապես պայմանավորված է այս ձեռք բերմամբ պայմանավորված պարտքի ավելացմամբ խմբի համար, որի պատճառով Fitch Ratings ընկերությունը խմբի վարկային վարկանիշը դասեց “Negative watch”։ Այս հանգամանքից ելնելով այս պայմանագրի հարկաբյուջետային ռիկսի կարգավիճակը դասվեց «նշանակալի»։ </w:t>
      </w:r>
    </w:p>
    <w:p w:rsidR="004644E7" w:rsidRPr="007955BB" w:rsidRDefault="004644E7" w:rsidP="004644E7">
      <w:pPr>
        <w:spacing w:before="0" w:line="276" w:lineRule="auto"/>
        <w:ind w:firstLine="720"/>
        <w:contextualSpacing w:val="0"/>
        <w:rPr>
          <w:rFonts w:eastAsia="Calibri"/>
          <w:szCs w:val="22"/>
          <w:lang w:val="hy-AM" w:eastAsia="en-US"/>
        </w:rPr>
      </w:pPr>
      <w:r w:rsidRPr="007955BB">
        <w:rPr>
          <w:rFonts w:eastAsia="Calibri"/>
          <w:szCs w:val="22"/>
          <w:lang w:val="hy-AM" w:eastAsia="en-US"/>
        </w:rPr>
        <w:t xml:space="preserve"> «Արմփաուեր» ՓԲԸ (Երևանի նոր ՋԷԿ)</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Ընկերությունը Երևան քաղաքում կառուցել է և հանձնել է շահագործման 254 ՄՎտ համակցված շոգեգազային ցիկլով էլեկտրակայան, հանդիսանում է աշխարհում էլեկտրաէներգիայի արտադրության խոշոր գործունեություն իրականացնող իտալական Ռենկո էներգետիկական խմբի և գերմանական Սիմենս խմբի դուստր ընկերություն: Ծրագրի գնահատված արժեքը կազմել է 257.575 մլն ԱՄՆ դոլար: Պայմանագրի ժամկետը կազմում է 20 տարի՝ սկսած առևտրային շահագործման մեկնարկից: Կայանը շահագործման է հանձնվել 2021թ. դեկտեմբերին, և համաձայն Հանրային ծառայությունները կարգավորող հանձնաժողովի կողմից ներկայացված հաշվետվության՝</w:t>
      </w:r>
      <w:r w:rsidRPr="007955BB">
        <w:rPr>
          <w:rFonts w:eastAsia="Calibri"/>
          <w:b w:val="0"/>
          <w:szCs w:val="22"/>
          <w:vertAlign w:val="superscript"/>
          <w:lang w:val="hy-AM" w:eastAsia="en-US"/>
        </w:rPr>
        <w:footnoteReference w:id="30"/>
      </w:r>
      <w:r w:rsidRPr="007955BB">
        <w:rPr>
          <w:rFonts w:eastAsia="Calibri"/>
          <w:b w:val="0"/>
          <w:szCs w:val="22"/>
          <w:lang w:val="hy-AM" w:eastAsia="en-US"/>
        </w:rPr>
        <w:t xml:space="preserve"> 2022 թվականի առաջին եռամսյակի ընթացքում առաքել է 608,7 մլն կՎտժ հզորությամբ էլեկտրական էներգիա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Հիմնական պայմանական պարտավորությունը ՀՀ կառավարության կողմից պարտավորությունների չկատարման հետևանքով պայմանագրի վաղաժամ դադարեցման դեպքում կայանի հետգնման պարտավորությունն է (նյութականացման դեպքերն են՝ օտարումը, բռնագրավումը, զավթումը, կառավարությանն առնչվող անվճարունակության դեպքի տեղի ունենալը, պայմանագրի շրջանակներում պետության կողմից տրված հավաստիացումների և երաշխիքների էական խախտումը, ծրագրի կառուցման կամ շահագործման՝ Կառուցապատողի կարողության վրա էականորեն և անբարենպաստ կերպով ազդող օրենսդրական փոփոխությունը): Շահագործման առաջին տարվանից հետո, որը դեռևս չի լրացել, պայմանական պարտավորության գումարին կավելանա 15 տոկոս հավելավճար՝ ի հավելումն ներդրման գումարի, իսկ այնուհետև գումարը կնվազի տարեկան 4 տոկոսով:</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Առկա է նաև պետության կողմից երաշխավորված՝ ՀԷՑ ընկերության պարտավորություն՝ արտադրված ամբողջ էլեկտրաէներգիան գնելու, իսկ չգնելու դեպքում՝ վճարել փոխհատուցում, սակայն այդ պայմանական պարտավորությունը դեռևս շարունակում է հանդիսանալ քիչ հավանական, քանի որ կայանն աշխատում է սահուն կերպով:</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Հաշվի առնելով կայանի հաջող շահագործման հանձնումը՝ չնայած կորոնավիրուսային համավարակի հետևանքով առաջացած ուշացումներին, ծրագրի հարկաբյուջետային ռիսկի կարգավիճակը կարող էր փոփոխվել ցածրի, սակայն ռուս-ուկրաինական նոր ճգնաժամի անորոշություններով պայմանավորված ծրագրի հարկաբյուջետային ռիսկի կարգավիճակը պահպանվում է միջին մակարդակում:</w:t>
      </w:r>
    </w:p>
    <w:p w:rsidR="004644E7" w:rsidRPr="007955BB" w:rsidRDefault="004644E7" w:rsidP="004644E7">
      <w:pPr>
        <w:spacing w:before="0" w:line="276" w:lineRule="auto"/>
        <w:ind w:firstLine="720"/>
        <w:contextualSpacing w:val="0"/>
        <w:rPr>
          <w:rFonts w:eastAsia="Calibri"/>
          <w:szCs w:val="22"/>
          <w:lang w:val="hy-AM" w:eastAsia="en-US"/>
        </w:rPr>
      </w:pPr>
      <w:r w:rsidRPr="007955BB">
        <w:rPr>
          <w:rFonts w:eastAsia="Calibri"/>
          <w:szCs w:val="22"/>
          <w:lang w:val="hy-AM" w:eastAsia="en-US"/>
        </w:rPr>
        <w:t xml:space="preserve"> «Մասրիկ-1» արևային ֆոտովոլտային կայան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Այս նախագծի շրջանակներում կառուցվում է 55 Մվտ դրվածքային հզորությամբ արևային էլեկտրակայանը: Այն պատկանում է La Providencia և FRV իսպանական մասնագիտացված խմբերին և ֆինանսավորվում է IFC-ի, EBRD-ի և Ֆինլանդիայի կառավարության վարկային միջոցներով: Ծրագրի ընդհանուր արժեքը 50.2 մլն ԱՄՆ դոլար է: Պայմանագրի ֆինանսական կայացումը տեղի է ունեցել 2020թ. հուլիսին, իսկ աշխատանքները նախատեսվում էր ավարտել 2022թ-ին, սակայն 2022 թվականի հուլիսին ստորագրված լրացուցիչ համաձայնագրով այն տեղափոխվել է 2023 թվականի սեպտեմբեր։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Նախագծի իրականացման արդյունքում շինարարության ավարտից մեկ տարվա ընթացքում առաջանում են մի շարք պայմանական պարտավորություններ, մասնավորապես արտադրվող էլեկտրաէներգիայի համար գնման երաշխիք ՀՀ կառավարության կողմից, և անբարենպաստ իրադարձությունների դիմաց լրացուցիչ հատուցման իրավունք:</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Նախքան դա և գործարքի ֆինանսական կայացումից հետո հիմնական պայմանական պարտավորությունը վաղաժամ դադարեցումն է՝ ՀՀ կառավարության գործողությունների հետևանքով, տարբեր հիմքերով (ա) Կառավարությունը չի կատարում իր կողմից պարտավորություն հանդիսացող որևէ վճար, (բ) որևէ պետական մարմնի կողմից էքսպրոպրիացիայի կամ հարկադիր ձեռքբերման է ենթարկվել ծրագրի տարածքը, կայանը, գ) Կառավարությանը վերաբերող անվճարունակության դեպք, դ) Օրենքի փոփոխություն կամ անբարենպաստ պայմանի դեպք, որը վերացված կամ փոփոխված չէ 180 (մեկ հարյուր ութսուն) օրվա ընթացքում և անհնար է դարձնում կայանի կառուցումը կամ շահագործումը: Կառուցապատողի կողմից. ե) Կառավարության կողմից Համաձայնագրի ցանկացած այլ էական խախտում, եթե այդ խախտումը չի վերացվել 180 օրվա ընթացքում: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Հաշվարկվել է առավելագույնը 25.2 մլրդ ՀՀ դրամի փոխհատուցում, որն շինարարության ավարտից հետո կնվազի՝ պայմանավորված պայմանագրով սահմանված վաղաժամ դադարեցման այլ դրույթի կիրառելիությամբ: Պայմանական պարտավորություններին կարող է ավելացվել ավելի քան 5 մլրդ ՀՀ դրամ՝ անբարենպաստ իրադարձություն հայտարարելու ռիսկի հիմքով, սակայն, հաշվի առնելով դրույթի մեկնաբանությունը, համաձայն որի փոխհատուցումը չի կարող պահանջվել, քանի դեռ շինարարական աշխատանքները չեն ավարտվել, այդ գումարը չի ներառվում: Արտադրված ամբողջ էլեկտրաէներգիան գնելու, կամ փոխհատուցելու հետ կապված պայմանական պարտավորությունը դեռ չի կարող չափվել:</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Ստորև ներկայացվում է 2021թ. դեկտեմբերի դրությամբ ՊՄԳ ծրագրերի գծով պայմանական պարտավորությունների ամփոփ աղյուսակը:</w:t>
      </w:r>
    </w:p>
    <w:p w:rsidR="004644E7" w:rsidRPr="007955BB" w:rsidRDefault="004644E7" w:rsidP="004644E7">
      <w:pPr>
        <w:spacing w:before="0" w:line="276" w:lineRule="auto"/>
        <w:ind w:firstLine="720"/>
        <w:contextualSpacing w:val="0"/>
        <w:rPr>
          <w:rFonts w:eastAsia="Calibri"/>
          <w:b w:val="0"/>
          <w:szCs w:val="22"/>
          <w:lang w:val="hy-AM" w:eastAsia="en-US"/>
        </w:rPr>
      </w:pPr>
    </w:p>
    <w:p w:rsidR="004644E7" w:rsidRPr="007955BB" w:rsidRDefault="004644E7" w:rsidP="004644E7">
      <w:pPr>
        <w:keepNext/>
        <w:spacing w:before="0" w:line="276" w:lineRule="auto"/>
        <w:ind w:firstLine="0"/>
        <w:contextualSpacing w:val="0"/>
        <w:jc w:val="left"/>
        <w:rPr>
          <w:rFonts w:eastAsia="Calibri"/>
          <w:b w:val="0"/>
          <w:i/>
          <w:iCs/>
          <w:sz w:val="18"/>
          <w:szCs w:val="18"/>
          <w:lang w:val="hy-AM" w:eastAsia="en-US"/>
        </w:rPr>
      </w:pPr>
      <w:bookmarkStart w:id="399" w:name="_Toc120805285"/>
      <w:r w:rsidRPr="007955BB">
        <w:rPr>
          <w:rFonts w:eastAsia="Calibri"/>
          <w:b w:val="0"/>
          <w:bCs/>
          <w:color w:val="4472C4"/>
          <w:sz w:val="18"/>
          <w:szCs w:val="18"/>
          <w:lang w:val="hy-AM" w:eastAsia="en-US"/>
        </w:rPr>
        <w:t xml:space="preserve">Աղյուսակ </w:t>
      </w:r>
      <w:r w:rsidRPr="007955BB">
        <w:rPr>
          <w:rFonts w:eastAsia="Calibri"/>
          <w:b w:val="0"/>
          <w:bCs/>
          <w:color w:val="4472C4"/>
          <w:sz w:val="18"/>
          <w:szCs w:val="18"/>
          <w:lang w:val="hy-AM" w:eastAsia="en-US"/>
        </w:rPr>
        <w:fldChar w:fldCharType="begin"/>
      </w:r>
      <w:r w:rsidRPr="007955BB">
        <w:rPr>
          <w:rFonts w:eastAsia="Calibri"/>
          <w:b w:val="0"/>
          <w:bCs/>
          <w:color w:val="4472C4"/>
          <w:sz w:val="18"/>
          <w:szCs w:val="18"/>
          <w:lang w:val="hy-AM" w:eastAsia="en-US"/>
        </w:rPr>
        <w:instrText xml:space="preserve"> SEQ Աղյուսակ \* ARABIC </w:instrText>
      </w:r>
      <w:r w:rsidRPr="007955BB">
        <w:rPr>
          <w:rFonts w:eastAsia="Calibri"/>
          <w:b w:val="0"/>
          <w:bCs/>
          <w:color w:val="4472C4"/>
          <w:sz w:val="18"/>
          <w:szCs w:val="18"/>
          <w:lang w:val="hy-AM" w:eastAsia="en-US"/>
        </w:rPr>
        <w:fldChar w:fldCharType="separate"/>
      </w:r>
      <w:r w:rsidR="008177DF">
        <w:rPr>
          <w:rFonts w:eastAsia="Calibri"/>
          <w:b w:val="0"/>
          <w:bCs/>
          <w:noProof/>
          <w:color w:val="4472C4"/>
          <w:sz w:val="18"/>
          <w:szCs w:val="18"/>
          <w:lang w:val="hy-AM" w:eastAsia="en-US"/>
        </w:rPr>
        <w:t>26</w:t>
      </w:r>
      <w:r w:rsidRPr="007955BB">
        <w:rPr>
          <w:rFonts w:eastAsia="Calibri"/>
          <w:b w:val="0"/>
          <w:bCs/>
          <w:color w:val="4472C4"/>
          <w:sz w:val="18"/>
          <w:szCs w:val="18"/>
          <w:lang w:val="hy-AM" w:eastAsia="en-US"/>
        </w:rPr>
        <w:fldChar w:fldCharType="end"/>
      </w:r>
      <w:r w:rsidRPr="007955BB">
        <w:rPr>
          <w:rFonts w:eastAsia="Calibri"/>
          <w:b w:val="0"/>
          <w:i/>
          <w:iCs/>
          <w:sz w:val="18"/>
          <w:szCs w:val="18"/>
          <w:lang w:val="hy-AM" w:eastAsia="en-US"/>
        </w:rPr>
        <w:t xml:space="preserve"> </w:t>
      </w:r>
      <w:r w:rsidRPr="007955BB">
        <w:rPr>
          <w:rFonts w:eastAsia="Calibri"/>
          <w:bCs/>
          <w:i/>
          <w:color w:val="4472C4"/>
          <w:sz w:val="20"/>
          <w:szCs w:val="20"/>
          <w:lang w:val="hy-AM" w:eastAsia="en-US"/>
        </w:rPr>
        <w:t>Պայմանական պարտավորությունների ամփոփ հաշվարկ</w:t>
      </w:r>
      <w:bookmarkEnd w:id="399"/>
    </w:p>
    <w:p w:rsidR="004644E7" w:rsidRPr="007955BB" w:rsidRDefault="004644E7" w:rsidP="004644E7">
      <w:pPr>
        <w:keepNext/>
        <w:spacing w:before="0" w:line="276" w:lineRule="auto"/>
        <w:ind w:firstLine="0"/>
        <w:contextualSpacing w:val="0"/>
        <w:jc w:val="right"/>
        <w:rPr>
          <w:rFonts w:eastAsia="Calibri"/>
          <w:b w:val="0"/>
          <w:i/>
          <w:iCs/>
          <w:sz w:val="18"/>
          <w:szCs w:val="18"/>
          <w:lang w:val="hy-AM" w:eastAsia="en-US"/>
        </w:rPr>
      </w:pPr>
      <w:r w:rsidRPr="007955BB">
        <w:rPr>
          <w:rFonts w:eastAsia="Calibri"/>
          <w:b w:val="0"/>
          <w:i/>
          <w:iCs/>
          <w:sz w:val="18"/>
          <w:szCs w:val="18"/>
          <w:lang w:val="hy-AM" w:eastAsia="en-US"/>
        </w:rPr>
        <w:t xml:space="preserve"> </w:t>
      </w:r>
      <w:r w:rsidRPr="007955BB">
        <w:rPr>
          <w:rFonts w:eastAsia="Calibri"/>
          <w:bCs/>
          <w:i/>
          <w:color w:val="4472C4"/>
          <w:sz w:val="20"/>
          <w:szCs w:val="20"/>
          <w:lang w:val="hy-AM" w:eastAsia="en-US"/>
        </w:rPr>
        <w:t>մլրդ դրամ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5"/>
        <w:gridCol w:w="1122"/>
        <w:gridCol w:w="1832"/>
        <w:gridCol w:w="1603"/>
        <w:gridCol w:w="1750"/>
      </w:tblGrid>
      <w:tr w:rsidR="004644E7" w:rsidRPr="007955BB" w:rsidTr="004644E7">
        <w:trPr>
          <w:trHeight w:val="310"/>
        </w:trPr>
        <w:tc>
          <w:tcPr>
            <w:tcW w:w="3665" w:type="dxa"/>
            <w:shd w:val="clear" w:color="auto" w:fill="8EAADB"/>
          </w:tcPr>
          <w:p w:rsidR="004644E7" w:rsidRPr="007955BB" w:rsidRDefault="004644E7" w:rsidP="004644E7">
            <w:pPr>
              <w:spacing w:before="0" w:line="276" w:lineRule="auto"/>
              <w:ind w:firstLine="0"/>
              <w:contextualSpacing w:val="0"/>
              <w:jc w:val="center"/>
              <w:rPr>
                <w:rFonts w:eastAsia="Calibri"/>
                <w:color w:val="FFFFFF"/>
                <w:szCs w:val="22"/>
                <w:lang w:val="hy-AM" w:eastAsia="en-US"/>
              </w:rPr>
            </w:pPr>
            <w:r w:rsidRPr="007955BB">
              <w:rPr>
                <w:rFonts w:eastAsia="Calibri"/>
                <w:color w:val="FFFFFF"/>
                <w:szCs w:val="22"/>
                <w:lang w:val="hy-AM" w:eastAsia="en-US"/>
              </w:rPr>
              <w:t>Ծրագրի անվանում</w:t>
            </w:r>
          </w:p>
        </w:tc>
        <w:tc>
          <w:tcPr>
            <w:tcW w:w="1122" w:type="dxa"/>
            <w:shd w:val="clear" w:color="auto" w:fill="8EAADB"/>
          </w:tcPr>
          <w:p w:rsidR="004644E7" w:rsidRPr="007955BB" w:rsidRDefault="004644E7" w:rsidP="004644E7">
            <w:pPr>
              <w:spacing w:before="0" w:line="276" w:lineRule="auto"/>
              <w:ind w:firstLine="0"/>
              <w:contextualSpacing w:val="0"/>
              <w:jc w:val="center"/>
              <w:rPr>
                <w:rFonts w:eastAsia="Calibri"/>
                <w:color w:val="FFFFFF"/>
                <w:szCs w:val="22"/>
                <w:lang w:val="hy-AM" w:eastAsia="en-US"/>
              </w:rPr>
            </w:pPr>
            <w:r w:rsidRPr="007955BB">
              <w:rPr>
                <w:rFonts w:eastAsia="Calibri"/>
                <w:color w:val="FFFFFF"/>
                <w:szCs w:val="22"/>
                <w:lang w:val="hy-AM" w:eastAsia="en-US"/>
              </w:rPr>
              <w:t>ԱյլՊՊ</w:t>
            </w:r>
          </w:p>
        </w:tc>
        <w:tc>
          <w:tcPr>
            <w:tcW w:w="1832" w:type="dxa"/>
            <w:shd w:val="clear" w:color="auto" w:fill="8EAADB"/>
          </w:tcPr>
          <w:p w:rsidR="004644E7" w:rsidRPr="007955BB" w:rsidRDefault="004644E7" w:rsidP="004644E7">
            <w:pPr>
              <w:spacing w:before="0" w:line="276" w:lineRule="auto"/>
              <w:ind w:firstLine="0"/>
              <w:contextualSpacing w:val="0"/>
              <w:jc w:val="center"/>
              <w:rPr>
                <w:rFonts w:eastAsia="Calibri"/>
                <w:color w:val="FFFFFF"/>
                <w:szCs w:val="22"/>
                <w:lang w:val="hy-AM" w:eastAsia="en-US"/>
              </w:rPr>
            </w:pPr>
            <w:r w:rsidRPr="007955BB">
              <w:rPr>
                <w:rFonts w:eastAsia="Calibri"/>
                <w:color w:val="FFFFFF"/>
                <w:szCs w:val="22"/>
                <w:lang w:val="hy-AM" w:eastAsia="en-US"/>
              </w:rPr>
              <w:t>Վաղաժամ դադարեցում</w:t>
            </w:r>
          </w:p>
        </w:tc>
        <w:tc>
          <w:tcPr>
            <w:tcW w:w="0" w:type="auto"/>
            <w:shd w:val="clear" w:color="auto" w:fill="8EAADB"/>
          </w:tcPr>
          <w:p w:rsidR="004644E7" w:rsidRPr="007955BB" w:rsidRDefault="004644E7" w:rsidP="004644E7">
            <w:pPr>
              <w:spacing w:before="0" w:line="276" w:lineRule="auto"/>
              <w:ind w:firstLine="0"/>
              <w:contextualSpacing w:val="0"/>
              <w:jc w:val="center"/>
              <w:rPr>
                <w:rFonts w:eastAsia="Calibri"/>
                <w:color w:val="FFFFFF"/>
                <w:szCs w:val="22"/>
                <w:lang w:val="hy-AM" w:eastAsia="en-US"/>
              </w:rPr>
            </w:pPr>
            <w:r w:rsidRPr="007955BB">
              <w:rPr>
                <w:rFonts w:eastAsia="Calibri"/>
                <w:color w:val="FFFFFF"/>
                <w:szCs w:val="22"/>
                <w:lang w:val="hy-AM" w:eastAsia="en-US"/>
              </w:rPr>
              <w:t>Ընդհանուր ՊՊ</w:t>
            </w:r>
          </w:p>
        </w:tc>
        <w:tc>
          <w:tcPr>
            <w:tcW w:w="0" w:type="auto"/>
            <w:shd w:val="clear" w:color="auto" w:fill="8EAADB"/>
          </w:tcPr>
          <w:p w:rsidR="004644E7" w:rsidRPr="007955BB" w:rsidRDefault="004644E7" w:rsidP="004644E7">
            <w:pPr>
              <w:spacing w:before="0" w:line="276" w:lineRule="auto"/>
              <w:ind w:firstLine="0"/>
              <w:contextualSpacing w:val="0"/>
              <w:jc w:val="center"/>
              <w:rPr>
                <w:rFonts w:eastAsia="Calibri"/>
                <w:color w:val="FFFFFF"/>
                <w:szCs w:val="22"/>
                <w:lang w:val="hy-AM" w:eastAsia="en-US"/>
              </w:rPr>
            </w:pPr>
            <w:r w:rsidRPr="007955BB">
              <w:rPr>
                <w:rFonts w:eastAsia="Calibri"/>
                <w:color w:val="FFFFFF"/>
                <w:szCs w:val="22"/>
                <w:lang w:val="hy-AM" w:eastAsia="en-US"/>
              </w:rPr>
              <w:t>ՀՆԱ նկատմամբ %</w:t>
            </w:r>
          </w:p>
        </w:tc>
      </w:tr>
      <w:tr w:rsidR="004644E7" w:rsidRPr="007955BB" w:rsidTr="004644E7">
        <w:trPr>
          <w:trHeight w:val="329"/>
        </w:trPr>
        <w:tc>
          <w:tcPr>
            <w:tcW w:w="3665" w:type="dxa"/>
            <w:shd w:val="clear" w:color="auto" w:fill="DBE5F1" w:themeFill="accent1" w:themeFillTint="33"/>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eastAsia="Calibri"/>
                <w:b w:val="0"/>
                <w:szCs w:val="22"/>
                <w:lang w:val="hy-AM" w:eastAsia="en-US"/>
              </w:rPr>
              <w:t>«Հարավկովկասյան երկաթուղի» ՓԲԸ</w:t>
            </w:r>
          </w:p>
        </w:tc>
        <w:tc>
          <w:tcPr>
            <w:tcW w:w="1122"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ascii="Calibri" w:hAnsi="Calibri" w:cs="Calibri"/>
                <w:b w:val="0"/>
                <w:szCs w:val="22"/>
                <w:lang w:val="en-GB" w:eastAsia="en-US"/>
              </w:rPr>
              <w:t> </w:t>
            </w:r>
          </w:p>
        </w:tc>
        <w:tc>
          <w:tcPr>
            <w:tcW w:w="1832"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103.2</w:t>
            </w:r>
          </w:p>
        </w:tc>
        <w:tc>
          <w:tcPr>
            <w:tcW w:w="0" w:type="auto"/>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103.2</w:t>
            </w:r>
          </w:p>
        </w:tc>
        <w:tc>
          <w:tcPr>
            <w:tcW w:w="0" w:type="auto"/>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1.48</w:t>
            </w:r>
          </w:p>
        </w:tc>
      </w:tr>
      <w:tr w:rsidR="004644E7" w:rsidRPr="007955BB" w:rsidTr="004644E7">
        <w:trPr>
          <w:trHeight w:val="419"/>
        </w:trPr>
        <w:tc>
          <w:tcPr>
            <w:tcW w:w="3665" w:type="dxa"/>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eastAsia="Calibri"/>
                <w:b w:val="0"/>
                <w:szCs w:val="22"/>
                <w:lang w:val="hy-AM" w:eastAsia="en-US"/>
              </w:rPr>
              <w:t>«Վեոլիա Ջուր» ՓԲԸ</w:t>
            </w:r>
          </w:p>
        </w:tc>
        <w:tc>
          <w:tcPr>
            <w:tcW w:w="1122" w:type="dxa"/>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13.0</w:t>
            </w:r>
          </w:p>
        </w:tc>
        <w:tc>
          <w:tcPr>
            <w:tcW w:w="1832" w:type="dxa"/>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73.9</w:t>
            </w:r>
          </w:p>
        </w:tc>
        <w:tc>
          <w:tcPr>
            <w:tcW w:w="0" w:type="auto"/>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86.9</w:t>
            </w:r>
          </w:p>
        </w:tc>
        <w:tc>
          <w:tcPr>
            <w:tcW w:w="0" w:type="auto"/>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1.24</w:t>
            </w:r>
          </w:p>
        </w:tc>
      </w:tr>
      <w:tr w:rsidR="004644E7" w:rsidRPr="007955BB" w:rsidTr="004644E7">
        <w:trPr>
          <w:trHeight w:val="549"/>
        </w:trPr>
        <w:tc>
          <w:tcPr>
            <w:tcW w:w="3665" w:type="dxa"/>
            <w:shd w:val="clear" w:color="auto" w:fill="DBE5F1" w:themeFill="accent1" w:themeFillTint="33"/>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eastAsia="Calibri"/>
                <w:b w:val="0"/>
                <w:szCs w:val="22"/>
                <w:lang w:val="hy-AM" w:eastAsia="en-US"/>
              </w:rPr>
              <w:t>«Արմենիա միջազգային օդանավակայաններ» ՓԲԸ</w:t>
            </w:r>
          </w:p>
        </w:tc>
        <w:tc>
          <w:tcPr>
            <w:tcW w:w="1122"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17.2</w:t>
            </w:r>
          </w:p>
        </w:tc>
        <w:tc>
          <w:tcPr>
            <w:tcW w:w="1832"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Sylfaen"/>
                <w:b w:val="0"/>
                <w:szCs w:val="22"/>
                <w:lang w:val="hy-AM" w:eastAsia="en-US"/>
              </w:rPr>
              <w:t>Առկա չէ</w:t>
            </w:r>
          </w:p>
        </w:tc>
        <w:tc>
          <w:tcPr>
            <w:tcW w:w="0" w:type="auto"/>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17.2</w:t>
            </w:r>
          </w:p>
        </w:tc>
        <w:tc>
          <w:tcPr>
            <w:tcW w:w="0" w:type="auto"/>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0.25</w:t>
            </w:r>
          </w:p>
        </w:tc>
      </w:tr>
      <w:tr w:rsidR="004644E7" w:rsidRPr="007955BB" w:rsidTr="004644E7">
        <w:trPr>
          <w:trHeight w:val="419"/>
        </w:trPr>
        <w:tc>
          <w:tcPr>
            <w:tcW w:w="3665" w:type="dxa"/>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eastAsia="Calibri"/>
                <w:b w:val="0"/>
                <w:szCs w:val="22"/>
                <w:lang w:val="hy-AM" w:eastAsia="en-US"/>
              </w:rPr>
              <w:t>«Քոնթուր Գլոբալ հիդրո կասկադ» ՓԲԸ</w:t>
            </w:r>
          </w:p>
        </w:tc>
        <w:tc>
          <w:tcPr>
            <w:tcW w:w="1122" w:type="dxa"/>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ascii="Calibri" w:hAnsi="Calibri" w:cs="Calibri"/>
                <w:b w:val="0"/>
                <w:szCs w:val="22"/>
                <w:lang w:val="en-GB" w:eastAsia="en-US"/>
              </w:rPr>
              <w:t> </w:t>
            </w:r>
          </w:p>
        </w:tc>
        <w:tc>
          <w:tcPr>
            <w:tcW w:w="1832" w:type="dxa"/>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102.1</w:t>
            </w:r>
          </w:p>
        </w:tc>
        <w:tc>
          <w:tcPr>
            <w:tcW w:w="0" w:type="auto"/>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102.1</w:t>
            </w:r>
          </w:p>
        </w:tc>
        <w:tc>
          <w:tcPr>
            <w:tcW w:w="0" w:type="auto"/>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1.46</w:t>
            </w:r>
          </w:p>
        </w:tc>
      </w:tr>
      <w:tr w:rsidR="004644E7" w:rsidRPr="007955BB" w:rsidTr="004644E7">
        <w:trPr>
          <w:trHeight w:val="425"/>
        </w:trPr>
        <w:tc>
          <w:tcPr>
            <w:tcW w:w="3665" w:type="dxa"/>
            <w:shd w:val="clear" w:color="auto" w:fill="DBE5F1" w:themeFill="accent1" w:themeFillTint="33"/>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eastAsia="Calibri"/>
                <w:b w:val="0"/>
                <w:szCs w:val="22"/>
                <w:lang w:val="hy-AM" w:eastAsia="en-US"/>
              </w:rPr>
              <w:t>«Արմփաուեր» ՓԲԸ</w:t>
            </w:r>
          </w:p>
        </w:tc>
        <w:tc>
          <w:tcPr>
            <w:tcW w:w="1122"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ascii="Calibri" w:hAnsi="Calibri" w:cs="Calibri"/>
                <w:b w:val="0"/>
                <w:szCs w:val="22"/>
                <w:lang w:val="en-GB" w:eastAsia="en-US"/>
              </w:rPr>
              <w:t> </w:t>
            </w:r>
          </w:p>
        </w:tc>
        <w:tc>
          <w:tcPr>
            <w:tcW w:w="1832"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120</w:t>
            </w:r>
          </w:p>
        </w:tc>
        <w:tc>
          <w:tcPr>
            <w:tcW w:w="0" w:type="auto"/>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120</w:t>
            </w:r>
          </w:p>
        </w:tc>
        <w:tc>
          <w:tcPr>
            <w:tcW w:w="0" w:type="auto"/>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1.712</w:t>
            </w:r>
          </w:p>
        </w:tc>
      </w:tr>
      <w:tr w:rsidR="004644E7" w:rsidRPr="007955BB" w:rsidTr="004644E7">
        <w:trPr>
          <w:trHeight w:val="404"/>
        </w:trPr>
        <w:tc>
          <w:tcPr>
            <w:tcW w:w="3665" w:type="dxa"/>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eastAsia="Calibri"/>
                <w:b w:val="0"/>
                <w:szCs w:val="22"/>
                <w:lang w:val="hy-AM" w:eastAsia="en-US"/>
              </w:rPr>
              <w:t>«Էֆարվի Մասրիկ» ՓԲԸ</w:t>
            </w:r>
          </w:p>
        </w:tc>
        <w:tc>
          <w:tcPr>
            <w:tcW w:w="1122" w:type="dxa"/>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ascii="Calibri" w:hAnsi="Calibri" w:cs="Calibri"/>
                <w:b w:val="0"/>
                <w:szCs w:val="22"/>
                <w:lang w:val="en-GB" w:eastAsia="en-US"/>
              </w:rPr>
              <w:t> </w:t>
            </w:r>
          </w:p>
        </w:tc>
        <w:tc>
          <w:tcPr>
            <w:tcW w:w="1832" w:type="dxa"/>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24.2</w:t>
            </w:r>
          </w:p>
        </w:tc>
        <w:tc>
          <w:tcPr>
            <w:tcW w:w="0" w:type="auto"/>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24.2</w:t>
            </w:r>
          </w:p>
        </w:tc>
        <w:tc>
          <w:tcPr>
            <w:tcW w:w="0" w:type="auto"/>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0.35</w:t>
            </w:r>
          </w:p>
        </w:tc>
      </w:tr>
      <w:tr w:rsidR="004644E7" w:rsidRPr="007955BB" w:rsidTr="004644E7">
        <w:trPr>
          <w:trHeight w:val="423"/>
        </w:trPr>
        <w:tc>
          <w:tcPr>
            <w:tcW w:w="3665" w:type="dxa"/>
            <w:shd w:val="clear" w:color="auto" w:fill="DBE5F1" w:themeFill="accent1" w:themeFillTint="33"/>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eastAsia="Calibri"/>
                <w:b w:val="0"/>
                <w:szCs w:val="22"/>
                <w:lang w:val="hy-AM" w:eastAsia="en-US"/>
              </w:rPr>
              <w:t>Ընդամենը</w:t>
            </w:r>
          </w:p>
        </w:tc>
        <w:tc>
          <w:tcPr>
            <w:tcW w:w="1122"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48.9</w:t>
            </w:r>
          </w:p>
        </w:tc>
        <w:tc>
          <w:tcPr>
            <w:tcW w:w="1832" w:type="dxa"/>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422.93</w:t>
            </w:r>
          </w:p>
        </w:tc>
        <w:tc>
          <w:tcPr>
            <w:tcW w:w="0" w:type="auto"/>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453.143</w:t>
            </w:r>
          </w:p>
        </w:tc>
        <w:tc>
          <w:tcPr>
            <w:tcW w:w="0" w:type="auto"/>
            <w:shd w:val="clear" w:color="auto" w:fill="DBE5F1" w:themeFill="accent1" w:themeFillTint="33"/>
            <w:vAlign w:val="center"/>
          </w:tcPr>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rFonts w:cs="Calibri"/>
                <w:b w:val="0"/>
                <w:szCs w:val="22"/>
                <w:lang w:val="en-GB" w:eastAsia="en-US"/>
              </w:rPr>
              <w:t>6.38</w:t>
            </w:r>
          </w:p>
        </w:tc>
      </w:tr>
    </w:tbl>
    <w:p w:rsidR="004644E7" w:rsidRPr="007955BB" w:rsidRDefault="004644E7" w:rsidP="004644E7">
      <w:pPr>
        <w:spacing w:before="0" w:line="276" w:lineRule="auto"/>
        <w:ind w:firstLine="0"/>
        <w:contextualSpacing w:val="0"/>
        <w:jc w:val="left"/>
        <w:rPr>
          <w:rFonts w:eastAsia="Calibri"/>
          <w:b w:val="0"/>
          <w:szCs w:val="22"/>
          <w:lang w:val="hy-AM" w:eastAsia="en-US"/>
        </w:rPr>
      </w:pPr>
      <w:r w:rsidRPr="007955BB">
        <w:rPr>
          <w:b w:val="0"/>
          <w:i/>
          <w:iCs/>
          <w:sz w:val="16"/>
          <w:szCs w:val="16"/>
          <w:lang w:val="hy-AM" w:eastAsia="en-US"/>
        </w:rPr>
        <w:t>Ծանոթագրություններ</w:t>
      </w:r>
      <w:r w:rsidRPr="007955BB">
        <w:rPr>
          <w:b w:val="0"/>
          <w:sz w:val="16"/>
          <w:szCs w:val="16"/>
          <w:lang w:val="hy-AM" w:eastAsia="en-US"/>
        </w:rPr>
        <w:t>. «Վեոլիա Ջուր» ՓԲԸ մասով «Այլ ՊՊ» սյունակում դիտարկվող պահանջը կազմում է 18.2 մլրդ ՀՀ դրամ, սակայն հիմնվելով նախկինում ունեցած տեղեկատվության վրա՝ այն կարելի նվազեցնել մինչև 13 մլրդ ՀՀ դրամ: «Էֆարվի Մասրիկ» ՓԲԸ պարագայում հիմնվում ենք այն ենթադրության վրա, որ նախքան շինարարական աշխատանքների ավարտը հետ գնման դեպքում այլ փոխհատուցում չի կարող պահանջվել: «Արմփաուեր» ՓԲԸ դեպքում, որի շինարարական ծախսերն արդյունքում ավելի ցածր են եղել, 1 տարին լրանալուց հետո 15 տոկոսի չափով հավելավճարի հաշվարկը դեռևս չի իրականացվել, քանի որ կայանը է շահագործման հանձնվելնախորդ տարվա վերջին: ԱՄՆ դոլարով արտահայտված գումարների փոխարկման համար կիրառվել է 480 ՀՀ դրամ 1 ԱՄՆ դոլարի դիմաց փոխարժեքը: 2021թ. ՀՆԱ-ն՝ 6,982.8 մլրդ ՀՀ դրամ:</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2020թ. վերջին պայմանական պարտավորությունների հանրագումարը ՀՆԱ-ի նկատմամբ կազմում էր ՀՆԱ 8.26%, որի նկատմամբ էական նվազումը բխում է «Արմփաուեր» ՓԲԸ ծրագրի գնահատվածից ավելի ցածր արժեքից և 2021թ. արձանագրված ՀՆԱ նշանակալի վերականգնումից: Բացի այդ կրճատվել է ԱՄՕ ընկերության պարտքը սույն թվականի հունիսին (63.1 մլն ԱՄՆ դոլարից մինչև 40.8 մլն ԱՄՆ դոլար)։ Այսպիսով պայմանական պարտավորությունների մակարդակը ՀՆԱ-ի նկատմամբ շարունակել է նվազել և այժմ կազմում է 6.38% նախորդ 6.9% ցուցանիշի նկատմամբ։</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2021 թվականի հունիսի 18-ի ՀՀ կառավարության որոշմամբ հաստատվել է Հայաստանում արդյունաբերական մասշտաբի «Այգ-1» արևային ֆոտովոլտային ծրագրի շրջանակում կազմակերպված մրցույթի ընթացակարգի արդյունքները՝ հաղթող ճանաչելով «Աբու Դաբի Ֆյուչեր Էներջի Քոմփանի» ՀԲԸ («Մասդար»)։ Ծրագրի իրականացման շուրջ կնքվել է կառավարության աջակցության համաձայնագիր, իսկ ֆինանսական կայացման համար նախապես սահմանված վերջնաժամկետը՝ 2022 թվականի դեկտեմբեր ամիսը, երկարաձգվել է մինչև 270 օրով: Ներկայում ծրագրի իրականացման համար նախատեսված հողամասերում իրականացվում են ուսումնասիրություններ, ինչպես նաև ծրագրի ֆինանսավորման շուրջ բանակցություններ են ընթանում: Նախատեսվում է իրականացնել ընդամենը մոտ 174 մլն ԱՄՆ դոլարի չափով ներդրում (ՀՆԱ-ի մոտ 1.25 %): Ծրագրի նախապատրաստման փուլում կնքվել է համատեղ զարգացման համաձայնագիր «Աբու Դաբի Ֆյուչեր Էներջի Քոմփանի» ՀԲԸ և «Հայաստանի Հետաքրքրությունների ֆոնդ» պետական ՓԲԸ ի միջև, որում պարունակվող պարտավորությունների վերաբերյալ լիարժեք տեղեկատվություն առկա չէ։</w:t>
      </w:r>
    </w:p>
    <w:p w:rsidR="004644E7" w:rsidRPr="007955BB" w:rsidRDefault="004644E7" w:rsidP="004644E7">
      <w:pPr>
        <w:spacing w:before="0" w:line="276" w:lineRule="auto"/>
        <w:ind w:firstLine="720"/>
        <w:contextualSpacing w:val="0"/>
        <w:jc w:val="left"/>
        <w:rPr>
          <w:color w:val="000000"/>
          <w:szCs w:val="22"/>
          <w:lang w:val="hy-AM"/>
        </w:rPr>
      </w:pPr>
      <w:r w:rsidRPr="007955BB">
        <w:rPr>
          <w:color w:val="000000"/>
          <w:szCs w:val="22"/>
          <w:lang w:val="hy-AM"/>
        </w:rPr>
        <w:t>Բնական և մարդածին աղետներից առաջացող ֆիսկալ ռիսկեր</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Աղետների ռիսկերը կարող են ունենալ հիմնականում բնական պատճառներ, հատկապես՝ հիդրոօդերևութաբանական (ջրհեղեղներ, կարկտահարություն, ցրտահարություն, երաշտ, փոթորիկ), երկրաֆիզիկական (երկրաշարժ, հրաբխի ժայթքում, սողանք), կենսաբանական (համաճարակներ և պանդեմիաներ, սանիտարական այլ ճգնաժամեր), տիեզերական (հեռահաղորդակցության և էլեկտրաէներգետիկ խափանումների հանգեցնող արեգակնային փոթորիկներ): Սակայն, կարող են լինել նաև այլ պատճառներ, հատկապես՝ տեխնոլոգիական, բնատեխնածին: 1994-2014թթ. բնական աղետների, մասնավորապես՝ ջրհեղեղների, երկրաշարժերի, երաշտի, կարկտահարության, գարնանային ցրտահարության և սելավահոսքերի հետևանքով Հայաստանում արձանագրված վնասները կազմել են ավելի քան 1.5 միլիարդ ԱՄՆ դոլար: Նշված պարբերական և ինտենսիվ շոկերը առաջացնում են վնասներ և կորուստներ՝ վատթարացնելով բնակչության կենսամակարդակը և տնտեսական վիճակը: 1990-ականներից ի վեր միջին ջերմաստիճանն արդեն բարձրացել է 1.2 աստիճանով։ Ըստ կլիմայական կանխատեսումների, մինչև 2100թ. երկրում միջին ջերմաստիճանը կարող է բարձրանալ 4.7 աստիճանով, իսկ տեղումների միջին տարեկան քանակը՝ կրճատվել 8.3 տոկոսով (համաձայն «2021-2025թթ. Հարմարվողականության ազգային ծրագրի»):</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2019թ. բնական աղետների (կարկտահարություն և ցրտահարություն) հետևանքով վնասվել է 15698 հա ցանքատարածություններ, որոնց հասցված ընդհանուր վնասը կազմել է 9,578 մլն դրամ: 2020թ. բնական աղետների հետևանքով հասցված ընդհանուր վնասը կազմել է 3,631 մլն դրամ: 2021թ. օդերևութաբանական պատահարների հետևանքով գյուղատնտեսությանը հասցված վնասը կազմել է 4,412 մլն դրամ: Իրավիճակը կարող է վատթարանալ առավել խիստ և հաճախակի պատահարների, հատկապես՝ երաշտի, հանգեցնող կլիմայական փոփոխությունների, ինչպես նաև վերջին տասնամյակներում տեղումների քանակի կայուն կրճատման հետևանքով (աղբյուր՝ Կլիմայի փոփոխության չորրորդ ազգային հաղորդագրություն ըստ ՄԱԿ-ի Կլիմայի փոփոխության շրջանակային կոնվենցիայի, 2020թ.): 50-100% տուժած հողօգտագործողներին 2019թ. տրամադրվել է 437.0 մլն դրամ գումարի փոխհատուցում: Հետագա տարիներին տեղի ունեցած բնական աղետների հետևանքով կրած վնասի փոխհատուցում չի նախատեսվել, քանի որ պետական աջակցության միջոցով իրականացվում է գյուղատնտեսության ոլորտում ապահովագրական համակարգի ներդրման փորձնական ծրագիր՝ համաձայն ՀՀ կառավարության 2019թ. հոկտեմբերի 24-ի թիվ 1485-Լ որոշման: Ծրագրի շրջանակներում սուբսիդավորվում է ապահովագրավճարի 50-60 տոկոսը: Գարնանային ցրտահարության, երաշտի, կարկտահարության և հրդեհի ռիսկերից ծրագրի շրջանակներում ապահովագրվում են ծիրանի, խաղողի, դեղձի, խնձորի այգիները, հացահատիկային մշակաբույսերը (աշնանացան/գարնանացան ցորեն, գարի և վարսակ), ինչպես նաև գիլասի, բալի, սալորի այգիները, կարտոֆիլի, ձմերուկի և սեխի մշակաբույսերը (վերջին չորս մշակաբույսերը ծրագրում ընդգրկվել են 2021թ.):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2020թ. գյուղատնտեսական տարվա համար կնքվել են 1546 ապահովագրական պայմանագրեր, ապահովագրավճարը կազմել է շուրջ 130.5 մլն դրամ, որից սուբսիդավորված գումարը՝ 69 մլն դրամ: Կնքված պայմանագրերի արդյունքում ապահովագրված այգիների և ցանքատարածությունների մակերեսը կազմել է 2363.3 հա: Ապահովագրական ընկերությունները վճարել են 151.3 մլն դրամ ընդհանուր գումարով 300 ապահովագրական փոխհատուցումներ: Ցուցանիշներն աճել են 2021թ. գյուղատնտեսական տարվա համար. ապահովագրական ընկերությունները կնքել են 4279 ապահովագրական պայմանագիր, ապահովագրավճարը կազմել է շուրջ 474.6 մլն դրամ, որից սուբսիդավորված գումարը՝ շուրջ 275.9 մլն դրամ։ Կնքված պայմանագրերի արդյունքում ապահովագրված այգիների և ցանքատարածությունների մակերեսը կազմել է 5832 հա։ Ապահովագրական ընկերությունները վճարել են 319.1 մլն դրամ ընդհանուր գումարով 1517 ապահովագրական փոխհատուցումներ: 2021թ. ՀՀ պետական բյուջեով միջոցառման համար տրամադրված գումարի չափը կազմել է  276 մլն դրամ։ 2022թ. նախատեսվող գումարի չափը կազմում է 308 մլն դրամ: Սուբսիդավորման ծրագրին մասնակի աջակցություն է ցուցաբերվում ԲլուՕրչարդ Ֆայնենս ՍՊԸ-ի կողմից կառավարվող Ապահովագրությամբ դիմակայման ներդրումային հիմնադրամի միջոցներով ֆինանսավորվող դրամաշնորհային ծրագրով:</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Հաշվի առնելով, որ Հայաստանը մեծապես ենթարկվում է կլիմայի փոփոխության և երկրում, ինչպես և ամբողջ Հարավային Կովկասում, տեղի է ունենում տեղումների քանակի նվազում, ինչպես նաև հաշվի առնելով սահմանակից որոշ երկրների կողմից համատեղ օգտագործվող գետերի վրա ջրամբարների կառուցումը՝ բերքի ապահովագրությունը բավարար չէ: Անբարենպաստ եղանակային պատահարների ազդեցությունը նվազեցնելու համար անհրաժեշտ են հավելյալ ֆիզիկական միջոցառումներ, ինչպիսին են՝ միկրո-ոռոգման բարելավված ձևերը և անձրևաջրերի առավել արդյունավետ տեղայնացված հավաքման նպատակով փոքր ջրամբարների կառուցումը: Հայաստանում գյուղատնտեսությունը կլիմայի փոփոխության ամենամեծ ազդեցությունը կրող ոլորտներից մեկն է, ինչը նշված է ՀՀ կառավարության 2021 թ</w:t>
      </w:r>
      <w:r w:rsidRPr="007955BB">
        <w:rPr>
          <w:rFonts w:ascii="Cambria Math" w:eastAsia="MS Mincho" w:hAnsi="Cambria Math" w:cs="Cambria Math"/>
          <w:b w:val="0"/>
          <w:szCs w:val="22"/>
          <w:lang w:val="hy-AM" w:eastAsia="en-US"/>
        </w:rPr>
        <w:t>․</w:t>
      </w:r>
      <w:r w:rsidRPr="007955BB">
        <w:rPr>
          <w:rFonts w:eastAsia="Calibri"/>
          <w:b w:val="0"/>
          <w:szCs w:val="22"/>
          <w:lang w:val="hy-AM" w:eastAsia="en-US"/>
        </w:rPr>
        <w:t xml:space="preserve"> մայիսի 13-ի թիվ 749-Լ որոշմամբ հաստատված «2021-2025թթ. Հարմարվողականության ազգային ծրագրում» (ՀԱԾ): Որոշ միջոցառումներ արդեն իրականացվել են, օրինակ՝ ՀԱԾ գործընթացի և կլիմայի փոփոխության հարմարվողականության վերաբերյալ հաղորդակցության և իրազեկման ազգային ռազմավարական մոտեցումների մշակումն և իրականացումը:</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Հաշվի առնելով, որ կլիմայի փոփոխությունը հանգեցնում է առավել հաճախակի տեղի ունեցող աղետների, նախատեսվում է ապահովել ծրագրի համահունչությունը Աղետների ռիսկի նվազեցման ազգային ռազմավարության հետ: Վերջինս ներկայում փոփոխության է ենթարկվում ՀՀ կառավարության կողմից՝ հիմնվելով տեղական և միջազգային արդի փորձի վրա, որի շրջանակներում քննարկվում է նաև ՀՀ </w:t>
      </w:r>
      <w:r w:rsidR="00734D27">
        <w:rPr>
          <w:rFonts w:eastAsia="Calibri"/>
          <w:b w:val="0"/>
          <w:szCs w:val="22"/>
          <w:lang w:val="hy-AM" w:eastAsia="en-US"/>
        </w:rPr>
        <w:t>ԱԻՆ</w:t>
      </w:r>
      <w:r w:rsidRPr="007955BB">
        <w:rPr>
          <w:rFonts w:eastAsia="Calibri"/>
          <w:b w:val="0"/>
          <w:szCs w:val="22"/>
          <w:lang w:val="hy-AM" w:eastAsia="en-US"/>
        </w:rPr>
        <w:t xml:space="preserve">թյան կողմից մշակվող նոր գործողությունների ծրագիրը: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Եղանակային պայմանների հետ կապված վտանգներից բացի, Հայաստանը ենթարկվում է նաև այլ ռիսկերի: Հայաստանը նաև մեծապես ենթարկվում է երկրաշարժի ռիսկի՝ ինչպես ցույց է տվել 1988թ. Սպիտակի երկրաշարժը: Երևանի տարածաշրջանը սեյսմագետների կողմից համարվում է բարձր ռիսկի գոտի, մասնավորապես՝ Գառնու խզվածքի պատճառով, և այստեղ առկա է խոշոր, ավերիչ երկրաշարժերի պատմություն: 1988թ. տեղի ունեցած վերջին ավերիչ երկրաշարժի հետևանքով երկրի հյուսիսային շրջաններում պատճառված տնտեսական վնասները կազմել են մոտավորապես 15-20 մլրդ ԱՄՆ դոլար: Նշված վնասները գերազանցում էին նախկին Հայկական ԽՍՀ ՀՆԱ-ն:</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Համաձայն աղետների ռիսկի կառավարման վերաբերյալ ԱԶԲ 2014թ. զեկույցի, Երևանում 7.0 բալ ուժգնությամբ երկրաշարժի հետևանքով կարող է զոհվել մինչև 300 հազար մարդ, ինչը պայմանավորված է ոչ համարժեք, խորհրդային ժամանակաշրջանի մեծաթիվ շենքերի, հատկապես՝ խոշոր բազմաբնակարան շենքերի առկայությամբ: Նախնական ուսումնասիրությունները ցույց են տալիս, որ տնտեսական վնասները կարող են կազմել մինչև ՀՆԱ 100 տոկոսը (Համաշխարհային Բանկ և ԱԶԲ):</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2017թ. ապրիլի 8-ին ուժի մեջ է մտել «Սեյսմիկ պաշտպանության մասին» ՀՀ օրենքի փոփոխությունը (ՀՀ ԱԺ, ՀՕ-53-Ն)՝ որպես Աղետների ռիսկի նվազեցման ազգային ռազմավարության ներքո 1-ին գործողությունների ծրագրի մաս: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2016թ. մեկնարկել է «Հանրակրթական դպրոցների սեյսմիկ անվտանգության բարելավման ծրագիրը», որը նախատեսված է ավարտել 2024 թվականի մայիս ամսին: Ծրագրին աջակցություն է տրամադրում Ասիական Զարգացման Բանկը</w:t>
      </w:r>
      <w:r w:rsidR="00A94018" w:rsidRPr="00A94018">
        <w:rPr>
          <w:rFonts w:eastAsia="Calibri"/>
          <w:b w:val="0"/>
          <w:szCs w:val="22"/>
          <w:lang w:val="hy-AM" w:eastAsia="en-US"/>
        </w:rPr>
        <w:t xml:space="preserve"> </w:t>
      </w:r>
      <w:r w:rsidR="00734D27">
        <w:rPr>
          <w:rFonts w:eastAsia="Calibri"/>
          <w:b w:val="0"/>
          <w:szCs w:val="22"/>
          <w:lang w:val="hy-AM" w:eastAsia="en-US"/>
        </w:rPr>
        <w:t>(ԱԶԲ)</w:t>
      </w:r>
      <w:r w:rsidRPr="007955BB">
        <w:rPr>
          <w:rFonts w:eastAsia="Calibri"/>
          <w:b w:val="0"/>
          <w:szCs w:val="22"/>
          <w:lang w:val="hy-AM" w:eastAsia="en-US"/>
        </w:rPr>
        <w:t>: Ծրագրի շրջանակներում ընդգրկված են 46 դպրոցներ, որոնցից 26-ը ենթակա են առաջնահերթ ամրացման կամ փոխարինման նոր կառուցվող դպրոցներով: Ծրագրի շրջանակներում նախատեսվում է անվտանգ կրթական պայմաններ ստեղծել 19800 աշակերտների համար, ինչը կազմում է պետական դպրոցներում սովորող աշակերտների 5%։  2021թ. ՀՀ պետական բյուջեով ծրագրի իրականացման համար օգտագործվել է  է 5.5  մլրդ դրամ: 2022թ. ՀՀ պետական բյուջեով նախատեսված է 5.8 մլրդ դրամ:</w:t>
      </w:r>
    </w:p>
    <w:p w:rsidR="003A6B3C" w:rsidRPr="007955BB" w:rsidRDefault="003A6B3C" w:rsidP="004644E7">
      <w:pPr>
        <w:spacing w:before="0" w:line="276" w:lineRule="auto"/>
        <w:ind w:firstLine="720"/>
        <w:contextualSpacing w:val="0"/>
        <w:rPr>
          <w:rFonts w:eastAsia="Calibri"/>
          <w:b w:val="0"/>
          <w:szCs w:val="22"/>
          <w:lang w:val="hy-AM" w:eastAsia="en-US"/>
        </w:rPr>
      </w:pPr>
    </w:p>
    <w:p w:rsidR="003A6B3C" w:rsidRPr="007955BB" w:rsidRDefault="003A6B3C" w:rsidP="004644E7">
      <w:pPr>
        <w:spacing w:before="0" w:line="276" w:lineRule="auto"/>
        <w:ind w:firstLine="720"/>
        <w:contextualSpacing w:val="0"/>
        <w:rPr>
          <w:rFonts w:eastAsia="Calibri"/>
          <w:b w:val="0"/>
          <w:szCs w:val="22"/>
          <w:lang w:val="hy-AM" w:eastAsia="en-US"/>
        </w:rPr>
      </w:pPr>
    </w:p>
    <w:p w:rsidR="003A6B3C" w:rsidRPr="007955BB" w:rsidRDefault="003A6B3C" w:rsidP="004644E7">
      <w:pPr>
        <w:spacing w:before="0" w:line="276" w:lineRule="auto"/>
        <w:ind w:firstLine="720"/>
        <w:contextualSpacing w:val="0"/>
        <w:rPr>
          <w:rFonts w:eastAsia="Calibri"/>
          <w:b w:val="0"/>
          <w:szCs w:val="22"/>
          <w:lang w:val="hy-AM" w:eastAsia="en-US"/>
        </w:rPr>
      </w:pPr>
    </w:p>
    <w:p w:rsidR="003A6B3C" w:rsidRPr="007955BB" w:rsidRDefault="003A6B3C" w:rsidP="004644E7">
      <w:pPr>
        <w:spacing w:before="0" w:line="276" w:lineRule="auto"/>
        <w:ind w:firstLine="720"/>
        <w:contextualSpacing w:val="0"/>
        <w:rPr>
          <w:rFonts w:eastAsia="Calibri"/>
          <w:b w:val="0"/>
          <w:szCs w:val="22"/>
          <w:lang w:val="hy-AM" w:eastAsia="en-US"/>
        </w:rPr>
      </w:pPr>
    </w:p>
    <w:p w:rsidR="003A6B3C" w:rsidRPr="007955BB" w:rsidRDefault="003A6B3C" w:rsidP="004644E7">
      <w:pPr>
        <w:spacing w:before="0" w:line="276" w:lineRule="auto"/>
        <w:ind w:firstLine="720"/>
        <w:contextualSpacing w:val="0"/>
        <w:rPr>
          <w:rFonts w:eastAsia="Calibri"/>
          <w:b w:val="0"/>
          <w:szCs w:val="22"/>
          <w:lang w:val="hy-AM" w:eastAsia="en-US"/>
        </w:rPr>
      </w:pPr>
    </w:p>
    <w:p w:rsidR="003A6B3C" w:rsidRPr="007955BB" w:rsidRDefault="003A6B3C" w:rsidP="004644E7">
      <w:pPr>
        <w:spacing w:before="0" w:line="276" w:lineRule="auto"/>
        <w:ind w:firstLine="720"/>
        <w:contextualSpacing w:val="0"/>
        <w:rPr>
          <w:rFonts w:eastAsia="Calibri"/>
          <w:b w:val="0"/>
          <w:szCs w:val="22"/>
          <w:lang w:val="hy-AM" w:eastAsia="en-US"/>
        </w:rPr>
      </w:pPr>
    </w:p>
    <w:p w:rsidR="003A6B3C" w:rsidRPr="007955BB" w:rsidRDefault="003A6B3C" w:rsidP="004644E7">
      <w:pPr>
        <w:spacing w:before="0" w:line="276" w:lineRule="auto"/>
        <w:ind w:firstLine="720"/>
        <w:contextualSpacing w:val="0"/>
        <w:rPr>
          <w:rFonts w:eastAsia="Calibri"/>
          <w:b w:val="0"/>
          <w:szCs w:val="22"/>
          <w:lang w:val="hy-AM" w:eastAsia="en-US"/>
        </w:rPr>
      </w:pPr>
    </w:p>
    <w:p w:rsidR="003A6B3C" w:rsidRPr="007955BB" w:rsidRDefault="003A6B3C" w:rsidP="004644E7">
      <w:pPr>
        <w:spacing w:before="0" w:line="276" w:lineRule="auto"/>
        <w:ind w:firstLine="720"/>
        <w:contextualSpacing w:val="0"/>
        <w:rPr>
          <w:rFonts w:eastAsia="Calibri"/>
          <w:b w:val="0"/>
          <w:szCs w:val="22"/>
          <w:lang w:val="hy-AM" w:eastAsia="en-US"/>
        </w:rPr>
      </w:pPr>
    </w:p>
    <w:p w:rsidR="004644E7" w:rsidRPr="007955BB" w:rsidRDefault="004644E7" w:rsidP="003A6B3C">
      <w:pPr>
        <w:pBdr>
          <w:top w:val="single" w:sz="4" w:space="1" w:color="auto"/>
          <w:left w:val="single" w:sz="4" w:space="4" w:color="auto"/>
          <w:bottom w:val="single" w:sz="4" w:space="1" w:color="auto"/>
          <w:right w:val="single" w:sz="4" w:space="4" w:color="auto"/>
        </w:pBdr>
        <w:shd w:val="clear" w:color="auto" w:fill="D9D9D9"/>
        <w:spacing w:before="0" w:line="240" w:lineRule="auto"/>
        <w:ind w:left="1" w:firstLine="359"/>
        <w:contextualSpacing w:val="0"/>
        <w:rPr>
          <w:rFonts w:eastAsia="Calibri"/>
          <w:b w:val="0"/>
          <w:szCs w:val="22"/>
          <w:lang w:val="hy-AM" w:eastAsia="en-US"/>
        </w:rPr>
      </w:pPr>
      <w:r w:rsidRPr="007955BB">
        <w:rPr>
          <w:rFonts w:eastAsia="Calibri"/>
          <w:b w:val="0"/>
          <w:szCs w:val="22"/>
          <w:lang w:val="hy-AM" w:eastAsia="en-US"/>
        </w:rPr>
        <w:t>Կարողությունների զարգացման առումով, համապատասխան նախարարների համատեղ հրամանների շրջանակներում ՀՀ ԱԻՆ Փրկարար ծառայության տարածքային ստորաբաժանումները աղետների ռիսկի կառավարման պլանների մշակման ուղղությամբ մեթադաբանական աջակցություն են ցուցաբերում հանրակրթական, նախադպրոցական ուսումնական հաստա</w:t>
      </w:r>
      <w:r w:rsidR="00991C5C" w:rsidRPr="007955BB">
        <w:rPr>
          <w:rFonts w:eastAsia="Calibri"/>
          <w:b w:val="0"/>
          <w:szCs w:val="22"/>
          <w:lang w:val="hy-AM" w:eastAsia="en-US"/>
        </w:rPr>
        <w:softHyphen/>
      </w:r>
      <w:r w:rsidRPr="007955BB">
        <w:rPr>
          <w:rFonts w:eastAsia="Calibri"/>
          <w:b w:val="0"/>
          <w:szCs w:val="22"/>
          <w:lang w:val="hy-AM" w:eastAsia="en-US"/>
        </w:rPr>
        <w:t>տություններին, նախնական, միջին և բարձրագույն մասնագիտական հաստատություն</w:t>
      </w:r>
      <w:r w:rsidR="00991C5C" w:rsidRPr="007955BB">
        <w:rPr>
          <w:rFonts w:eastAsia="Calibri"/>
          <w:b w:val="0"/>
          <w:szCs w:val="22"/>
          <w:lang w:val="hy-AM" w:eastAsia="en-US"/>
        </w:rPr>
        <w:softHyphen/>
      </w:r>
      <w:r w:rsidRPr="007955BB">
        <w:rPr>
          <w:rFonts w:eastAsia="Calibri"/>
          <w:b w:val="0"/>
          <w:szCs w:val="22"/>
          <w:lang w:val="hy-AM" w:eastAsia="en-US"/>
        </w:rPr>
        <w:t xml:space="preserve">ներին և առողջապահական հաստատություններին: ՀՀ մարզերի և Երևան քաղաքի համար մշակվել են աշխարհագրական ոլորտային քարտեզներ, որոնցում ներկայացված է տեղեկատվություն հրշեջ-փրկարարական ջոկատների տեղակայման վայրերի, սպասարկման տարածքների, ճանապարհային ցանցի, ջրագրության, համայնքային բաժանումների և այլնի վերաբերյալ: </w:t>
      </w:r>
    </w:p>
    <w:p w:rsidR="003A6B3C" w:rsidRPr="007955BB" w:rsidRDefault="003A6B3C" w:rsidP="004644E7">
      <w:pPr>
        <w:spacing w:before="0" w:line="276" w:lineRule="auto"/>
        <w:ind w:firstLine="720"/>
        <w:contextualSpacing w:val="0"/>
        <w:rPr>
          <w:rFonts w:eastAsia="Calibri"/>
          <w:b w:val="0"/>
          <w:szCs w:val="22"/>
          <w:lang w:val="hy-AM" w:eastAsia="en-US"/>
        </w:rPr>
      </w:pP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Կենսաբանական վտանգների առումով, ինչպես այլ երկրներում, այնպես էլ ՀՀ-ում, Covid-19 համավարակի տարածումը՝ չնայած վաղ ձեռնարկված միջոցառումներին, տարբեր կասկադային ազդեցությունների միջոցով վերածվեց տնտեսական և սոցիալական ճգնաժամի՝ 2020թ. տեղի ունեցած տնտեսական անկմամբ: Կորոնավիրուսային համավարակի տնտեսական ու սոցիալական հետևանքների չեզոքացման համար 2020թ. և 2021թ. տրամադրվել է,   համապատասխանաբար՝  75.4  մլրդ ՀՀ դրամ և 48.9 մլրդ ՀՀ դրամ: Հաշվի առնելով նաև արտոնյալ վարկերը, ապա ընդհանուր տրամադրված գումարի չափը կազմում է 107 մլրդ և 54.5 մլրդ ՀՀ դրամ, համապատասխանաբար՝ 2020 և 2021թթ. համար:  2022թ.  նախատեսվում է հատկացնել 7 մլրդ ՀՀ դրամ: </w:t>
      </w:r>
    </w:p>
    <w:p w:rsidR="004644E7" w:rsidRPr="007955BB" w:rsidRDefault="004644E7" w:rsidP="004644E7">
      <w:pPr>
        <w:spacing w:before="0" w:line="276" w:lineRule="auto"/>
        <w:ind w:left="720" w:firstLine="0"/>
        <w:contextualSpacing w:val="0"/>
        <w:rPr>
          <w:color w:val="000000"/>
          <w:szCs w:val="22"/>
          <w:lang w:val="hy-AM"/>
        </w:rPr>
      </w:pPr>
      <w:r w:rsidRPr="007955BB">
        <w:rPr>
          <w:color w:val="000000"/>
          <w:szCs w:val="22"/>
          <w:lang w:val="hy-AM"/>
        </w:rPr>
        <w:t>Պետության դեմ իրականացվող դատական վարույթներից առաջացող ֆիսկալ ռիսկեր</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ՀՀ ՖՆ մասնակցությամբ պետության դեմ քննվող հայցերի քանակը 2022թ. ապրիլի դրությամբ կազմում է 938, մոտ 3.3 մլրդ ՀՀ դրամի, 6.6 մլն ԱՄՆ դոլարի (3.2 մլրդ ՀՀ դրամ), 606.4 հազ. եվրոյի (325.5 մլն ՀՀ դրամ) և 3.6 մլն չեխական կրոն (78.6 մլն ՀՀ դրամ) հայցագնով: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Բացի վերը նշված հայցերից, առկա են առավել նշանակալի այլ հայցեր՝ ընդդեմ </w:t>
      </w:r>
      <w:r w:rsidR="00E77748">
        <w:rPr>
          <w:rFonts w:eastAsia="Calibri"/>
          <w:b w:val="0"/>
          <w:szCs w:val="22"/>
          <w:lang w:val="hy-AM" w:eastAsia="en-US"/>
        </w:rPr>
        <w:t>ՊԵԿ-</w:t>
      </w:r>
      <w:r w:rsidRPr="007955BB">
        <w:rPr>
          <w:rFonts w:eastAsia="Calibri"/>
          <w:b w:val="0"/>
          <w:szCs w:val="22"/>
          <w:lang w:val="hy-AM" w:eastAsia="en-US"/>
        </w:rPr>
        <w:t>ի: Ներկայացված հայցերով ՀՀ դատարաններում վիճարկվում է 3891 դատական գործ՝ մոտ 135.3 մլրդ ՀՀ դրամ գումարի չափով։</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Միջազգային արբիտրաժային դատարաններում ընդդեմ </w:t>
      </w:r>
      <w:r w:rsidR="00D35F72">
        <w:rPr>
          <w:rFonts w:eastAsia="Calibri"/>
          <w:b w:val="0"/>
          <w:szCs w:val="22"/>
          <w:lang w:val="hy-AM" w:eastAsia="en-US"/>
        </w:rPr>
        <w:t>ՀՀ</w:t>
      </w:r>
      <w:r w:rsidRPr="007955BB">
        <w:rPr>
          <w:rFonts w:eastAsia="Calibri"/>
          <w:b w:val="0"/>
          <w:szCs w:val="22"/>
          <w:lang w:val="hy-AM" w:eastAsia="en-US"/>
        </w:rPr>
        <w:t xml:space="preserve"> ներկայացված հայցերի թիվը վեցն է՝ մոտ 152.6 մլրդ ՀՀ դրամ հայցագնով (գնահատված լինելու դեպքում գումարը ներառում է արբիտրաժային ծախսեր և տոկոսներ)։</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2021-2022թթ. կոմունիկացված ՄԻԵԴ գործերով դիմումատուների թիվը կազմում է 41, իսկ պահանջած գումարները՝ մոտ 2 մլրդ ՀՀ դրամ։</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Բոլոր կառույցներում ներկայացված հայցերի հանրագումարը կազմում է մոտ 349 մլրդ ՀՀ դրամ: Նախորդ տարի այն կազմել է 300 մլրդ ՀՀ դրամ։</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Անհրաժեշտ է նշել, որ ռիսկի իրական մակարդակը շատ ավելի ցածր է, քանի որ հայցվորները ոչ բոլոր գործերն են հաղթում, իսկ հաղթելու պարագայում վճռով հաճախ սահմանվում են ավելի փոքր գումարներ:</w:t>
      </w:r>
    </w:p>
    <w:p w:rsidR="004644E7" w:rsidRPr="007955BB" w:rsidRDefault="004644E7" w:rsidP="004644E7">
      <w:pPr>
        <w:spacing w:before="0" w:line="276" w:lineRule="auto"/>
        <w:ind w:left="720" w:firstLine="0"/>
        <w:contextualSpacing w:val="0"/>
        <w:rPr>
          <w:rFonts w:eastAsia="Calibri"/>
          <w:szCs w:val="22"/>
          <w:lang w:val="hy-AM" w:eastAsia="en-US"/>
        </w:rPr>
      </w:pPr>
      <w:r w:rsidRPr="007955BB">
        <w:rPr>
          <w:rFonts w:eastAsia="Calibri"/>
          <w:szCs w:val="22"/>
          <w:lang w:val="hy-AM" w:eastAsia="en-US"/>
        </w:rPr>
        <w:t>Հնարավոր բնապահպանական ռիսկերի կառավարմանն ուղղված միջոցառումներ և պարտավորությունների գնահատման հետ կապված խնդիրներ</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Ընդհանուր առմամբ, բնապահպանական ռիսկերի կառավարման նպատակով առկա է վերջիններիս իրականացման դեպքում հնարավոր տնտեսական և ֆիսկալ վնասների հաշվարկման մեթոդաբանություն։ Առանց վերջինիս առկայության ֆիսկալ ռիսկերի գնահատուման շրջանակներում բնապահմանական ռիսկերինհնարավոր է անդրադառնալ միայն փաստերի (տվյալ դեպքում,ստորև նշված) արձանագրման միջոցով։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ՀՀ շրջակա միջավայրի նախարարության (ՇՄՆ) քարտեզագրման արդյունքում առկա է մոտ 2500 սողանքային տարածքներ և ներկայում խնդրի լուծման ֆինանսավորման աղբյուր դիտարկվում է ՀՀ կառավարության պահուստային ֆոնդը: Թունավոր թափոնների տեղամասերի հետ կապված ռիսկերից խուսափելու նպատակով նշված տարածքներում հանքարդյունաբերական գործունեության թույլտվություններ չեն տրամադրվում: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ՇՄՆ նույնականացրել է հնարավոր բնապահպանական պարտավորություններ ենթադրող 44 տեղամասեր, որոնք առաջացել են դեռևս խորհրդային ժամանակաշրջանում, հիմնականում հանքարդյունաբերական ծագումով: Վերականգնման նպատակով ՇՄՆ կողմից առաջնահերթ են համարվել 10 վայրեր, որից 2019թ. վերականգնել է միայն մեկ տեղամաս, իսկ 2020թ.-2021 թվականին նման աշխատանքներ չեն իրականացվել: 2023-2025 Միջնաժամկետ ծախսային ծրագրով առաջարկվել է իրականացնել  ընդերքօգտագործման թափոնների լքված/տիրոզուրկ տեղամասերի և օբյեկտների ռեկուլտիվացիայի նախագծային փաթեթների մշակման աշխատանքները, սակայն միջոցառումը չի հաստատվել։ ՇՄՆ նաև իրականացնում է ջրի խորքային հորերի որակի ուսումնասիրություններ՝ հնարավոր ռիսկերը բացահայտելու նպատակով։</w:t>
      </w:r>
      <w:r w:rsidRPr="007955BB" w:rsidDel="00F5607E">
        <w:rPr>
          <w:rFonts w:eastAsia="Calibri"/>
          <w:b w:val="0"/>
          <w:szCs w:val="22"/>
          <w:lang w:val="hy-AM" w:eastAsia="en-US"/>
        </w:rPr>
        <w:t xml:space="preserve"> </w:t>
      </w:r>
      <w:r w:rsidRPr="007955BB">
        <w:rPr>
          <w:rFonts w:eastAsia="Calibri"/>
          <w:b w:val="0"/>
          <w:szCs w:val="22"/>
          <w:lang w:val="hy-AM" w:eastAsia="en-US"/>
        </w:rPr>
        <w:t>Այսպիսի տեղամասերից ծագող հնարավոր պարտավորությունները չափազանց բարդ է նախապես հաշվարկել, սակայն կարևորագույն խնդիրը՝ վերականգնման կարիք ունեցող տեղամասերի նույնականացումն ու մանրակրկիտ ուսումնասիրությունն է՝ ծախսերի նախնական հաշվարկներ կատարելու նպատակով:</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Ներկայիս դրությամբ բնապահպանական վերականգման ծախսերի ընդհանուր գնահատված գումարը կազմում է մոտ է 7.8 մլրդ դրամ, սակայն ծախսերը կարող են էականորեն ավելի բարձր լինել ՝ կախված մոտակա տարիների համար պլանավորած փաստացի տարեկան հատկացումների համարժեքությունից։</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Մասնավորապես՝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 Սևանա լճի ջրածածկ և ճահճապատ անտառտնկարկների մաքրում: Մաքրման աշխատանքներն ընթանում են սկսած 2005թ.: ՇՄՆ հաշվարկների համաձայն 2021-2023թթ. ժամանակահատվածի համար պահանջվում է 706.0 մլն դրամ, որից 264 մլն դրամը՝ 2021թ.: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Սևանա լճից մինչև 1901.5 մետր բացարձակ նիշում գտնվող շենքեր-շինությունների քանդման (ապամոնտաժման) աշխատանքներ: Սևանա լճի մակարդակի բարձրացման հետևանքով քանդման ենթակա են դարձել 68520 մ</w:t>
      </w:r>
      <w:r w:rsidRPr="007955BB">
        <w:rPr>
          <w:rFonts w:eastAsia="Calibri"/>
          <w:b w:val="0"/>
          <w:szCs w:val="22"/>
          <w:vertAlign w:val="superscript"/>
          <w:lang w:val="hy-AM" w:eastAsia="en-US"/>
        </w:rPr>
        <w:t>2</w:t>
      </w:r>
      <w:r w:rsidRPr="007955BB">
        <w:rPr>
          <w:rFonts w:eastAsia="Calibri"/>
          <w:b w:val="0"/>
          <w:szCs w:val="22"/>
          <w:lang w:val="hy-AM" w:eastAsia="en-US"/>
        </w:rPr>
        <w:t xml:space="preserve"> ընդհանուր մակերեսով 1697 շենքեր և շինություններ: 2021 և 2022թթ. նախատեսվող աշխատանքների մոտավոր արժեքը կազմում է 1.464 մլն դրամ:</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Ընդերքօգտագործման թափոնների լքված/տիրազուրկ տեղամասերի և օբյեկտների ռեկուլտիվացիայի նախագծային փաթեթների մշակման աշխատանքներ: Սա առնչվում է վերը նշված հին, շրջակա միջավայրն աղտոտող հանքարդյունաբերական և հարակից ոլորտների 44 տեղամասերին, որոնք ներառում են պոչամբարները: Վտանգավոր և առաջնահերթ համարվող 10 տեղամասերի ամբողջական մաքրման և ռեկուլտիվացիայի ծրագրի մոտավոր արժեքը գնահատվել է 2.216 մլն դրամ:</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 Անտառվերականգնման և անտառապատման աշխատանքներ՝ անկախության ձեռքբերմանը հաջորդած ճգնաժամային տարիների ընթացքում անտառների մասշտաբային հատումների փոխհատուցմանն ու սողանքների ռիսկի կրճատմանն օժանդակելու նպատակով: Այս ուղղությամբ աշխատանքները մեկնարկել են դեռևս 2013թ., սակայն մասշտաբային բնույթ են ստացել 2020թ.՝ հաջորդող տարիների համար սահմանված հավակնոտ և աճող թիրախներով: 2021-2024թթ. ծրագրի համար հաշվարկվել է 3.368 մլն դրամ: Սահմանվել է վերջնական թիրախ՝ ՀՀ անտառածածկ տարածքը մինչև 2050թ. հասցնել ավելի քան 20 տոկոսի, (ենթադրելի է, որ անհրաժեշտ կլինի ներգրավել լրացուցիչ միջազգային ֆինանսավորում) ։ </w:t>
      </w:r>
    </w:p>
    <w:p w:rsidR="004644E7" w:rsidRPr="007955BB" w:rsidRDefault="004644E7" w:rsidP="004644E7">
      <w:pPr>
        <w:spacing w:before="0" w:line="276" w:lineRule="auto"/>
        <w:ind w:left="720" w:firstLine="0"/>
        <w:contextualSpacing w:val="0"/>
        <w:rPr>
          <w:color w:val="000000"/>
          <w:szCs w:val="22"/>
          <w:lang w:val="hy-AM"/>
        </w:rPr>
      </w:pPr>
      <w:r w:rsidRPr="007955BB">
        <w:rPr>
          <w:color w:val="000000"/>
          <w:szCs w:val="22"/>
          <w:lang w:val="hy-AM"/>
        </w:rPr>
        <w:t>Ֆինանսական համակարգից առաջացող ֆիսկալ ռիսկեր</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Վերջին տարիների ընթացքում, ՀՀ ԿԲ կողմից վերահսկվող առևտրային բանկերն զգալիորեն կապիտալացվել են և ներկայում ունեն հասանելի կապիտալի և լիկվիդայնության բուֆերներ: Ֆինանսական համակարգը բավականին ամուր է խիստ շոկերի դիմակայելու տեսանկյունից: ՀՀ տնտեսությունը 2020թ. կրել է միմյանց հաջորդած երկու շոկերի՝ համավարակի և ռազմական դրության ազդեցությունները։ Վերջիններս մարտահրավերներ են ստեղծել նաև ֆինանսական համակարգի համար, որոնք էականորեն տարբերվում են նախորդ բոլոր ճգնաժամերի մարտահրավերներից: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2021 թվականի ընթացքում բանկային համակարգի վարկային պորտֆելը նվազել է, որն առավելապես պայմանավորվել է ցածր տնտեսական ակտիվությամբ և վարկային ռեսուրսների համեմատաբար թույլ պահանջարկով։ Դրան զուգընթաց գրանցվել է վարկային պորտֆելի որակի բարելավում (Չաշխատող վարկերի կշիռը 6.6% ից իջել է մինչև 3.5%)։</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Բանկային համակարգի կապիտալի համարժեքության և իրացվելիության ցուցանիշները 2021 թվականի և 2022 թվականի առաջին 5 ամիսների  ընթացքում բարելավվել են։ </w:t>
      </w:r>
    </w:p>
    <w:p w:rsidR="004644E7" w:rsidRPr="007955BB" w:rsidRDefault="004644E7" w:rsidP="004644E7">
      <w:pPr>
        <w:spacing w:before="0" w:line="276" w:lineRule="auto"/>
        <w:ind w:firstLine="720"/>
        <w:contextualSpacing w:val="0"/>
        <w:rPr>
          <w:rFonts w:eastAsia="Calibri"/>
          <w:b w:val="0"/>
          <w:szCs w:val="22"/>
          <w:lang w:val="hy-AM" w:eastAsia="en-US"/>
        </w:rPr>
      </w:pPr>
    </w:p>
    <w:p w:rsidR="004644E7" w:rsidRPr="007955BB" w:rsidRDefault="004644E7" w:rsidP="004644E7">
      <w:pPr>
        <w:keepNext/>
        <w:spacing w:before="0" w:line="276" w:lineRule="auto"/>
        <w:ind w:firstLine="0"/>
        <w:contextualSpacing w:val="0"/>
        <w:jc w:val="left"/>
        <w:rPr>
          <w:rFonts w:eastAsia="Calibri"/>
          <w:b w:val="0"/>
          <w:i/>
          <w:iCs/>
          <w:sz w:val="18"/>
          <w:szCs w:val="18"/>
          <w:lang w:val="hy-AM" w:eastAsia="en-US"/>
        </w:rPr>
      </w:pPr>
      <w:bookmarkStart w:id="400" w:name="_Toc120805286"/>
      <w:r w:rsidRPr="007955BB">
        <w:rPr>
          <w:rFonts w:eastAsia="Calibri"/>
          <w:b w:val="0"/>
          <w:bCs/>
          <w:color w:val="4472C4"/>
          <w:sz w:val="18"/>
          <w:szCs w:val="18"/>
          <w:lang w:val="hy-AM" w:eastAsia="en-US"/>
        </w:rPr>
        <w:t xml:space="preserve">Աղյուսակ </w:t>
      </w:r>
      <w:r w:rsidRPr="007955BB">
        <w:rPr>
          <w:rFonts w:eastAsia="Calibri"/>
          <w:b w:val="0"/>
          <w:bCs/>
          <w:color w:val="4472C4"/>
          <w:sz w:val="18"/>
          <w:szCs w:val="18"/>
          <w:lang w:val="hy-AM" w:eastAsia="en-US"/>
        </w:rPr>
        <w:fldChar w:fldCharType="begin"/>
      </w:r>
      <w:r w:rsidRPr="007955BB">
        <w:rPr>
          <w:rFonts w:eastAsia="Calibri"/>
          <w:b w:val="0"/>
          <w:bCs/>
          <w:color w:val="4472C4"/>
          <w:sz w:val="18"/>
          <w:szCs w:val="18"/>
          <w:lang w:val="hy-AM" w:eastAsia="en-US"/>
        </w:rPr>
        <w:instrText xml:space="preserve"> SEQ Աղյուսակ \* ARABIC </w:instrText>
      </w:r>
      <w:r w:rsidRPr="007955BB">
        <w:rPr>
          <w:rFonts w:eastAsia="Calibri"/>
          <w:b w:val="0"/>
          <w:bCs/>
          <w:color w:val="4472C4"/>
          <w:sz w:val="18"/>
          <w:szCs w:val="18"/>
          <w:lang w:val="hy-AM" w:eastAsia="en-US"/>
        </w:rPr>
        <w:fldChar w:fldCharType="separate"/>
      </w:r>
      <w:r w:rsidR="008177DF">
        <w:rPr>
          <w:rFonts w:eastAsia="Calibri"/>
          <w:b w:val="0"/>
          <w:bCs/>
          <w:noProof/>
          <w:color w:val="4472C4"/>
          <w:sz w:val="18"/>
          <w:szCs w:val="18"/>
          <w:lang w:val="hy-AM" w:eastAsia="en-US"/>
        </w:rPr>
        <w:t>27</w:t>
      </w:r>
      <w:r w:rsidRPr="007955BB">
        <w:rPr>
          <w:rFonts w:eastAsia="Calibri"/>
          <w:b w:val="0"/>
          <w:bCs/>
          <w:color w:val="4472C4"/>
          <w:sz w:val="18"/>
          <w:szCs w:val="18"/>
          <w:lang w:val="hy-AM" w:eastAsia="en-US"/>
        </w:rPr>
        <w:fldChar w:fldCharType="end"/>
      </w:r>
      <w:r w:rsidRPr="007955BB">
        <w:rPr>
          <w:rFonts w:eastAsia="Calibri"/>
          <w:b w:val="0"/>
          <w:i/>
          <w:iCs/>
          <w:sz w:val="18"/>
          <w:szCs w:val="18"/>
          <w:lang w:val="hy-AM" w:eastAsia="en-US"/>
        </w:rPr>
        <w:t xml:space="preserve"> </w:t>
      </w:r>
      <w:r w:rsidRPr="007955BB">
        <w:rPr>
          <w:rFonts w:eastAsia="Calibri"/>
          <w:bCs/>
          <w:i/>
          <w:color w:val="4472C4"/>
          <w:sz w:val="20"/>
          <w:szCs w:val="20"/>
          <w:lang w:val="hy-AM" w:eastAsia="en-US"/>
        </w:rPr>
        <w:t>Բանկային համակարգի ցուցանիշների դինամիկան</w:t>
      </w:r>
      <w:bookmarkEnd w:id="4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2278"/>
        <w:gridCol w:w="2270"/>
        <w:gridCol w:w="2080"/>
      </w:tblGrid>
      <w:tr w:rsidR="004644E7" w:rsidRPr="007955BB" w:rsidTr="004644E7">
        <w:tc>
          <w:tcPr>
            <w:tcW w:w="2722" w:type="dxa"/>
            <w:shd w:val="clear" w:color="auto" w:fill="8EAADB"/>
          </w:tcPr>
          <w:p w:rsidR="004644E7" w:rsidRPr="007955BB" w:rsidRDefault="004644E7" w:rsidP="004644E7">
            <w:pPr>
              <w:spacing w:before="0" w:line="276" w:lineRule="auto"/>
              <w:ind w:firstLine="0"/>
              <w:contextualSpacing w:val="0"/>
              <w:rPr>
                <w:rFonts w:eastAsia="Calibri"/>
                <w:color w:val="FFFFFF"/>
                <w:szCs w:val="22"/>
                <w:lang w:val="hy-AM" w:eastAsia="en-US"/>
              </w:rPr>
            </w:pPr>
          </w:p>
        </w:tc>
        <w:tc>
          <w:tcPr>
            <w:tcW w:w="2278" w:type="dxa"/>
            <w:shd w:val="clear" w:color="auto" w:fill="8EAADB"/>
          </w:tcPr>
          <w:p w:rsidR="004644E7" w:rsidRPr="007955BB" w:rsidRDefault="004644E7" w:rsidP="004644E7">
            <w:pPr>
              <w:spacing w:before="0" w:line="276" w:lineRule="auto"/>
              <w:ind w:firstLine="0"/>
              <w:contextualSpacing w:val="0"/>
              <w:jc w:val="center"/>
              <w:rPr>
                <w:rFonts w:eastAsia="Calibri"/>
                <w:color w:val="FFFFFF"/>
                <w:szCs w:val="22"/>
                <w:lang w:eastAsia="en-US"/>
              </w:rPr>
            </w:pPr>
            <w:r w:rsidRPr="007955BB">
              <w:rPr>
                <w:rFonts w:eastAsia="Calibri"/>
                <w:color w:val="FFFFFF"/>
                <w:szCs w:val="22"/>
                <w:lang w:eastAsia="en-US"/>
              </w:rPr>
              <w:t>2020</w:t>
            </w:r>
          </w:p>
        </w:tc>
        <w:tc>
          <w:tcPr>
            <w:tcW w:w="2270" w:type="dxa"/>
            <w:shd w:val="clear" w:color="auto" w:fill="8EAADB"/>
          </w:tcPr>
          <w:p w:rsidR="004644E7" w:rsidRPr="007955BB" w:rsidRDefault="004644E7" w:rsidP="004644E7">
            <w:pPr>
              <w:spacing w:before="0" w:line="276" w:lineRule="auto"/>
              <w:ind w:firstLine="0"/>
              <w:contextualSpacing w:val="0"/>
              <w:jc w:val="center"/>
              <w:rPr>
                <w:rFonts w:eastAsia="Calibri"/>
                <w:color w:val="FFFFFF"/>
                <w:szCs w:val="22"/>
                <w:lang w:eastAsia="en-US"/>
              </w:rPr>
            </w:pPr>
            <w:r w:rsidRPr="007955BB">
              <w:rPr>
                <w:rFonts w:eastAsia="Calibri"/>
                <w:color w:val="FFFFFF"/>
                <w:szCs w:val="22"/>
                <w:lang w:eastAsia="en-US"/>
              </w:rPr>
              <w:t>2021</w:t>
            </w:r>
          </w:p>
        </w:tc>
        <w:tc>
          <w:tcPr>
            <w:tcW w:w="2080" w:type="dxa"/>
            <w:shd w:val="clear" w:color="auto" w:fill="8EAADB"/>
          </w:tcPr>
          <w:p w:rsidR="004644E7" w:rsidRPr="007955BB" w:rsidRDefault="004644E7" w:rsidP="004644E7">
            <w:pPr>
              <w:spacing w:before="0" w:line="276" w:lineRule="auto"/>
              <w:ind w:firstLine="0"/>
              <w:contextualSpacing w:val="0"/>
              <w:jc w:val="center"/>
              <w:rPr>
                <w:rFonts w:eastAsia="Calibri"/>
                <w:color w:val="FFFFFF"/>
                <w:szCs w:val="22"/>
                <w:lang w:val="en-US" w:eastAsia="en-US"/>
              </w:rPr>
            </w:pPr>
            <w:r w:rsidRPr="007955BB">
              <w:rPr>
                <w:rFonts w:eastAsia="Calibri"/>
                <w:color w:val="FFFFFF"/>
                <w:szCs w:val="22"/>
                <w:lang w:val="en-US" w:eastAsia="en-US"/>
              </w:rPr>
              <w:t>2022/05</w:t>
            </w:r>
          </w:p>
        </w:tc>
      </w:tr>
      <w:tr w:rsidR="004644E7" w:rsidRPr="007955BB" w:rsidTr="004644E7">
        <w:tc>
          <w:tcPr>
            <w:tcW w:w="2722" w:type="dxa"/>
          </w:tcPr>
          <w:p w:rsidR="004644E7" w:rsidRPr="007955BB" w:rsidRDefault="004644E7" w:rsidP="004644E7">
            <w:pPr>
              <w:spacing w:before="0" w:line="276" w:lineRule="auto"/>
              <w:ind w:firstLine="0"/>
              <w:contextualSpacing w:val="0"/>
              <w:rPr>
                <w:rFonts w:eastAsia="Calibri"/>
                <w:szCs w:val="22"/>
                <w:lang w:val="en-US" w:eastAsia="en-US"/>
              </w:rPr>
            </w:pPr>
            <w:r w:rsidRPr="007955BB">
              <w:rPr>
                <w:rFonts w:eastAsia="Calibri"/>
                <w:szCs w:val="22"/>
                <w:lang w:val="hy-AM" w:eastAsia="en-US"/>
              </w:rPr>
              <w:t>Կապիտալի համարժեքություն</w:t>
            </w:r>
            <w:r w:rsidRPr="007955BB">
              <w:rPr>
                <w:rFonts w:eastAsia="Calibri"/>
                <w:szCs w:val="22"/>
                <w:lang w:eastAsia="en-US"/>
              </w:rPr>
              <w:t xml:space="preserve"> </w:t>
            </w:r>
            <w:r w:rsidRPr="007955BB">
              <w:rPr>
                <w:rFonts w:eastAsia="Calibri"/>
                <w:szCs w:val="22"/>
                <w:lang w:val="en-US" w:eastAsia="en-US"/>
              </w:rPr>
              <w:t>(12</w:t>
            </w:r>
            <w:r w:rsidRPr="007955BB">
              <w:rPr>
                <w:rFonts w:eastAsia="Calibri"/>
                <w:szCs w:val="22"/>
                <w:lang w:eastAsia="en-US"/>
              </w:rPr>
              <w:t>%</w:t>
            </w:r>
            <w:r w:rsidRPr="007955BB">
              <w:rPr>
                <w:rFonts w:eastAsia="Calibri"/>
                <w:szCs w:val="22"/>
                <w:lang w:val="en-US" w:eastAsia="en-US"/>
              </w:rPr>
              <w:t>)</w:t>
            </w:r>
          </w:p>
        </w:tc>
        <w:tc>
          <w:tcPr>
            <w:tcW w:w="2278" w:type="dxa"/>
            <w:vAlign w:val="center"/>
          </w:tcPr>
          <w:p w:rsidR="004644E7" w:rsidRPr="007955BB" w:rsidRDefault="004644E7" w:rsidP="004644E7">
            <w:pPr>
              <w:spacing w:before="0" w:line="276" w:lineRule="auto"/>
              <w:ind w:firstLine="0"/>
              <w:contextualSpacing w:val="0"/>
              <w:jc w:val="center"/>
              <w:rPr>
                <w:rFonts w:eastAsia="Calibri"/>
                <w:szCs w:val="22"/>
                <w:lang w:eastAsia="en-US"/>
              </w:rPr>
            </w:pPr>
            <w:r w:rsidRPr="007955BB">
              <w:rPr>
                <w:rFonts w:eastAsia="Calibri"/>
                <w:szCs w:val="22"/>
                <w:lang w:eastAsia="en-US"/>
              </w:rPr>
              <w:t>16.9</w:t>
            </w:r>
          </w:p>
        </w:tc>
        <w:tc>
          <w:tcPr>
            <w:tcW w:w="2270" w:type="dxa"/>
            <w:vAlign w:val="center"/>
          </w:tcPr>
          <w:p w:rsidR="004644E7" w:rsidRPr="007955BB" w:rsidRDefault="004644E7" w:rsidP="004644E7">
            <w:pPr>
              <w:spacing w:before="0" w:line="276" w:lineRule="auto"/>
              <w:ind w:firstLine="0"/>
              <w:contextualSpacing w:val="0"/>
              <w:jc w:val="center"/>
              <w:rPr>
                <w:rFonts w:eastAsia="Calibri"/>
                <w:szCs w:val="22"/>
                <w:lang w:eastAsia="en-US"/>
              </w:rPr>
            </w:pPr>
            <w:r w:rsidRPr="007955BB">
              <w:rPr>
                <w:rFonts w:eastAsia="Calibri"/>
                <w:szCs w:val="22"/>
                <w:lang w:eastAsia="en-US"/>
              </w:rPr>
              <w:t>17.2</w:t>
            </w:r>
          </w:p>
        </w:tc>
        <w:tc>
          <w:tcPr>
            <w:tcW w:w="2080" w:type="dxa"/>
            <w:vAlign w:val="center"/>
          </w:tcPr>
          <w:p w:rsidR="004644E7" w:rsidRPr="007955BB" w:rsidRDefault="004644E7" w:rsidP="004644E7">
            <w:pPr>
              <w:spacing w:before="0" w:line="276" w:lineRule="auto"/>
              <w:ind w:firstLine="0"/>
              <w:contextualSpacing w:val="0"/>
              <w:jc w:val="center"/>
              <w:rPr>
                <w:rFonts w:eastAsia="Calibri"/>
                <w:szCs w:val="22"/>
                <w:lang w:val="en-US" w:eastAsia="en-US"/>
              </w:rPr>
            </w:pPr>
            <w:r w:rsidRPr="007955BB">
              <w:rPr>
                <w:rFonts w:eastAsia="Calibri"/>
                <w:szCs w:val="22"/>
                <w:lang w:val="en-US" w:eastAsia="en-US"/>
              </w:rPr>
              <w:t>18</w:t>
            </w:r>
          </w:p>
        </w:tc>
      </w:tr>
      <w:tr w:rsidR="004644E7" w:rsidRPr="007955BB" w:rsidTr="004644E7">
        <w:tc>
          <w:tcPr>
            <w:tcW w:w="2722" w:type="dxa"/>
          </w:tcPr>
          <w:p w:rsidR="004644E7" w:rsidRPr="007955BB" w:rsidRDefault="004644E7" w:rsidP="004644E7">
            <w:pPr>
              <w:spacing w:before="0" w:line="276" w:lineRule="auto"/>
              <w:ind w:firstLine="0"/>
              <w:contextualSpacing w:val="0"/>
              <w:rPr>
                <w:rFonts w:eastAsia="Calibri"/>
                <w:szCs w:val="22"/>
                <w:lang w:eastAsia="en-US"/>
              </w:rPr>
            </w:pPr>
            <w:r w:rsidRPr="007955BB">
              <w:rPr>
                <w:rFonts w:eastAsia="Calibri"/>
                <w:szCs w:val="22"/>
                <w:lang w:val="hy-AM" w:eastAsia="en-US"/>
              </w:rPr>
              <w:t>Ընդհանուր իրացվելիություն</w:t>
            </w:r>
            <w:r w:rsidRPr="007955BB">
              <w:rPr>
                <w:rFonts w:eastAsia="Calibri"/>
                <w:szCs w:val="22"/>
                <w:lang w:eastAsia="en-US"/>
              </w:rPr>
              <w:t xml:space="preserve"> (15%)</w:t>
            </w:r>
          </w:p>
        </w:tc>
        <w:tc>
          <w:tcPr>
            <w:tcW w:w="2278" w:type="dxa"/>
            <w:vAlign w:val="center"/>
          </w:tcPr>
          <w:p w:rsidR="004644E7" w:rsidRPr="007955BB" w:rsidRDefault="004644E7" w:rsidP="004644E7">
            <w:pPr>
              <w:spacing w:before="0" w:line="276" w:lineRule="auto"/>
              <w:ind w:firstLine="0"/>
              <w:contextualSpacing w:val="0"/>
              <w:jc w:val="center"/>
              <w:rPr>
                <w:rFonts w:eastAsia="Calibri"/>
                <w:szCs w:val="22"/>
                <w:lang w:eastAsia="en-US"/>
              </w:rPr>
            </w:pPr>
            <w:r w:rsidRPr="007955BB">
              <w:rPr>
                <w:rFonts w:eastAsia="Calibri"/>
                <w:szCs w:val="22"/>
                <w:lang w:eastAsia="en-US"/>
              </w:rPr>
              <w:t>25.6</w:t>
            </w:r>
          </w:p>
        </w:tc>
        <w:tc>
          <w:tcPr>
            <w:tcW w:w="2270" w:type="dxa"/>
            <w:vAlign w:val="center"/>
          </w:tcPr>
          <w:p w:rsidR="004644E7" w:rsidRPr="007955BB" w:rsidRDefault="004644E7" w:rsidP="004644E7">
            <w:pPr>
              <w:spacing w:before="0" w:line="276" w:lineRule="auto"/>
              <w:ind w:firstLine="0"/>
              <w:contextualSpacing w:val="0"/>
              <w:jc w:val="center"/>
              <w:rPr>
                <w:rFonts w:eastAsia="Calibri"/>
                <w:szCs w:val="22"/>
                <w:lang w:eastAsia="en-US"/>
              </w:rPr>
            </w:pPr>
            <w:r w:rsidRPr="007955BB">
              <w:rPr>
                <w:rFonts w:eastAsia="Calibri"/>
                <w:szCs w:val="22"/>
                <w:lang w:eastAsia="en-US"/>
              </w:rPr>
              <w:t>32</w:t>
            </w:r>
          </w:p>
        </w:tc>
        <w:tc>
          <w:tcPr>
            <w:tcW w:w="2080" w:type="dxa"/>
            <w:vAlign w:val="center"/>
          </w:tcPr>
          <w:p w:rsidR="004644E7" w:rsidRPr="007955BB" w:rsidRDefault="004644E7" w:rsidP="004644E7">
            <w:pPr>
              <w:spacing w:before="0" w:line="276" w:lineRule="auto"/>
              <w:ind w:firstLine="0"/>
              <w:contextualSpacing w:val="0"/>
              <w:jc w:val="center"/>
              <w:rPr>
                <w:rFonts w:eastAsia="Calibri"/>
                <w:szCs w:val="22"/>
                <w:lang w:val="en-US" w:eastAsia="en-US"/>
              </w:rPr>
            </w:pPr>
            <w:r w:rsidRPr="007955BB">
              <w:rPr>
                <w:rFonts w:eastAsia="Calibri"/>
                <w:szCs w:val="22"/>
                <w:lang w:val="en-US" w:eastAsia="en-US"/>
              </w:rPr>
              <w:t>31.6</w:t>
            </w:r>
          </w:p>
        </w:tc>
      </w:tr>
      <w:tr w:rsidR="004644E7" w:rsidRPr="007955BB" w:rsidTr="004644E7">
        <w:tc>
          <w:tcPr>
            <w:tcW w:w="2722" w:type="dxa"/>
          </w:tcPr>
          <w:p w:rsidR="004644E7" w:rsidRPr="007955BB" w:rsidRDefault="004644E7" w:rsidP="004644E7">
            <w:pPr>
              <w:spacing w:before="0" w:line="276" w:lineRule="auto"/>
              <w:ind w:firstLine="0"/>
              <w:contextualSpacing w:val="0"/>
              <w:rPr>
                <w:rFonts w:eastAsia="Calibri"/>
                <w:szCs w:val="22"/>
                <w:lang w:val="en-US" w:eastAsia="en-US"/>
              </w:rPr>
            </w:pPr>
            <w:r w:rsidRPr="007955BB">
              <w:rPr>
                <w:rFonts w:eastAsia="Calibri"/>
                <w:szCs w:val="22"/>
                <w:lang w:val="hy-AM" w:eastAsia="en-US"/>
              </w:rPr>
              <w:t>Իրացվելիության ծածկույթի գործակից</w:t>
            </w:r>
            <w:r w:rsidRPr="007955BB">
              <w:rPr>
                <w:rFonts w:eastAsia="Calibri"/>
                <w:szCs w:val="22"/>
                <w:lang w:eastAsia="en-US"/>
              </w:rPr>
              <w:t xml:space="preserve"> </w:t>
            </w:r>
            <w:r w:rsidRPr="007955BB">
              <w:rPr>
                <w:rFonts w:eastAsia="Calibri"/>
                <w:szCs w:val="22"/>
                <w:lang w:val="en-US" w:eastAsia="en-US"/>
              </w:rPr>
              <w:t>(100%)</w:t>
            </w:r>
          </w:p>
        </w:tc>
        <w:tc>
          <w:tcPr>
            <w:tcW w:w="2278" w:type="dxa"/>
            <w:vAlign w:val="center"/>
          </w:tcPr>
          <w:p w:rsidR="004644E7" w:rsidRPr="007955BB" w:rsidRDefault="004644E7" w:rsidP="004644E7">
            <w:pPr>
              <w:spacing w:before="0" w:line="276" w:lineRule="auto"/>
              <w:ind w:firstLine="0"/>
              <w:contextualSpacing w:val="0"/>
              <w:jc w:val="center"/>
              <w:rPr>
                <w:rFonts w:eastAsia="Calibri"/>
                <w:szCs w:val="22"/>
                <w:lang w:eastAsia="en-US"/>
              </w:rPr>
            </w:pPr>
            <w:r w:rsidRPr="007955BB">
              <w:rPr>
                <w:rFonts w:eastAsia="Calibri"/>
                <w:szCs w:val="22"/>
                <w:lang w:eastAsia="en-US"/>
              </w:rPr>
              <w:t>108.8</w:t>
            </w:r>
          </w:p>
        </w:tc>
        <w:tc>
          <w:tcPr>
            <w:tcW w:w="2270" w:type="dxa"/>
            <w:vAlign w:val="center"/>
          </w:tcPr>
          <w:p w:rsidR="004644E7" w:rsidRPr="007955BB" w:rsidRDefault="004644E7" w:rsidP="004644E7">
            <w:pPr>
              <w:spacing w:before="0" w:line="276" w:lineRule="auto"/>
              <w:ind w:firstLine="0"/>
              <w:contextualSpacing w:val="0"/>
              <w:jc w:val="center"/>
              <w:rPr>
                <w:rFonts w:eastAsia="Calibri"/>
                <w:szCs w:val="22"/>
                <w:lang w:eastAsia="en-US"/>
              </w:rPr>
            </w:pPr>
            <w:r w:rsidRPr="007955BB">
              <w:rPr>
                <w:rFonts w:eastAsia="Calibri"/>
                <w:szCs w:val="22"/>
                <w:lang w:eastAsia="en-US"/>
              </w:rPr>
              <w:t>194.3</w:t>
            </w:r>
          </w:p>
        </w:tc>
        <w:tc>
          <w:tcPr>
            <w:tcW w:w="2080" w:type="dxa"/>
            <w:vAlign w:val="center"/>
          </w:tcPr>
          <w:p w:rsidR="004644E7" w:rsidRPr="007955BB" w:rsidRDefault="004644E7" w:rsidP="004644E7">
            <w:pPr>
              <w:spacing w:before="0" w:line="276" w:lineRule="auto"/>
              <w:ind w:firstLine="0"/>
              <w:contextualSpacing w:val="0"/>
              <w:jc w:val="center"/>
              <w:rPr>
                <w:rFonts w:eastAsia="Calibri"/>
                <w:szCs w:val="22"/>
                <w:lang w:val="en-US" w:eastAsia="en-US"/>
              </w:rPr>
            </w:pPr>
            <w:r w:rsidRPr="007955BB">
              <w:rPr>
                <w:rFonts w:eastAsia="Calibri"/>
                <w:szCs w:val="22"/>
                <w:lang w:val="en-US" w:eastAsia="en-US"/>
              </w:rPr>
              <w:t>-</w:t>
            </w:r>
          </w:p>
        </w:tc>
      </w:tr>
    </w:tbl>
    <w:p w:rsidR="004644E7" w:rsidRPr="007955BB" w:rsidRDefault="004644E7" w:rsidP="004644E7">
      <w:pPr>
        <w:spacing w:before="0" w:line="276" w:lineRule="auto"/>
        <w:ind w:firstLine="720"/>
        <w:contextualSpacing w:val="0"/>
        <w:rPr>
          <w:rFonts w:eastAsia="Calibri"/>
          <w:b w:val="0"/>
          <w:szCs w:val="22"/>
          <w:lang w:val="en-US" w:eastAsia="en-US"/>
        </w:rPr>
      </w:pPr>
    </w:p>
    <w:p w:rsidR="004644E7" w:rsidRPr="007955BB" w:rsidRDefault="004644E7" w:rsidP="004644E7">
      <w:pPr>
        <w:spacing w:before="0" w:line="276" w:lineRule="auto"/>
        <w:ind w:firstLine="720"/>
        <w:contextualSpacing w:val="0"/>
        <w:rPr>
          <w:rFonts w:eastAsia="Calibri"/>
          <w:b w:val="0"/>
          <w:szCs w:val="22"/>
          <w:lang w:val="en-US" w:eastAsia="en-US"/>
        </w:rPr>
      </w:pPr>
      <w:r w:rsidRPr="007955BB">
        <w:rPr>
          <w:rFonts w:eastAsia="Calibri"/>
          <w:b w:val="0"/>
          <w:szCs w:val="22"/>
          <w:lang w:val="en-US" w:eastAsia="en-US"/>
        </w:rPr>
        <w:t xml:space="preserve">ԿԲ իրականացրած մակրոպրուդենցիալ քաղաքականությունն ուղղված է եղել համակարգի կողմից տնտեսության վարկավորման անընդհատության պահպանմանը և արտարժութային իրացվելիության բուֆերների հետագա բարելավմանը։ Հակացիկլիկ կապիտալի բուֆերը տարվա ընթացքում պահպանվել է 0% մակարդակում, որի համար հիմք են հանդիսացել վարկային շուկայի զարգացումները և ֆինանսական ցիկլի վրա ՀՀ տնտեսության դիրքը։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en-US" w:eastAsia="en-US"/>
        </w:rPr>
        <w:t>Հիո</w:t>
      </w:r>
      <w:r w:rsidRPr="007955BB">
        <w:rPr>
          <w:rFonts w:eastAsia="Calibri"/>
          <w:b w:val="0"/>
          <w:szCs w:val="22"/>
          <w:lang w:val="hy-AM" w:eastAsia="en-US"/>
        </w:rPr>
        <w:t>թ</w:t>
      </w:r>
      <w:r w:rsidRPr="007955BB">
        <w:rPr>
          <w:rFonts w:eastAsia="Calibri"/>
          <w:b w:val="0"/>
          <w:szCs w:val="22"/>
          <w:lang w:val="en-US" w:eastAsia="en-US"/>
        </w:rPr>
        <w:t>տեկային վարկերի</w:t>
      </w:r>
      <w:r w:rsidRPr="007955BB">
        <w:rPr>
          <w:rFonts w:eastAsia="Calibri"/>
          <w:b w:val="0"/>
          <w:szCs w:val="22"/>
          <w:lang w:val="hy-AM" w:eastAsia="en-US"/>
        </w:rPr>
        <w:t xml:space="preserve"> </w:t>
      </w:r>
      <w:r w:rsidRPr="007955BB">
        <w:rPr>
          <w:rFonts w:eastAsia="Calibri"/>
          <w:b w:val="0"/>
          <w:szCs w:val="22"/>
          <w:lang w:val="en-US" w:eastAsia="en-US"/>
        </w:rPr>
        <w:t xml:space="preserve"> բարձր աճը 2021 թ. ընթացքում պահպանվել է ՝ 33.6% (2020 թ.՝ 31.5%), ինչը շարունակում է գերազանցապես պայմանավորվել վճարված տոկոսագումարների չափով եկամտահարկի վերադարձի պետական ծրագրի գործոնով։ 2021 թ. Կառավարության կողմից եկամտահարկի վերադարձի ծրագրի աստիճանական դադարեցման նախագծի շրջանառումը</w:t>
      </w:r>
      <w:r w:rsidRPr="007955BB">
        <w:rPr>
          <w:rFonts w:eastAsia="Calibri"/>
          <w:b w:val="0"/>
          <w:szCs w:val="22"/>
          <w:lang w:val="hy-AM" w:eastAsia="en-US"/>
        </w:rPr>
        <w:t xml:space="preserve"> ևս</w:t>
      </w:r>
      <w:r w:rsidRPr="007955BB">
        <w:rPr>
          <w:rFonts w:eastAsia="Calibri"/>
          <w:b w:val="0"/>
          <w:szCs w:val="22"/>
          <w:lang w:val="en-US" w:eastAsia="en-US"/>
        </w:rPr>
        <w:t xml:space="preserve"> լրացուցիչ ավելացրել է հիպոտեկային վարկերի նկատմամբ պահանջարկը։ Այդ մասին է վկայում նաև անշարժ գույքի կառուցապատման հիպոտեկային թույլտվությունների քանակի 39.2%-ով աճը</w:t>
      </w:r>
      <w:r w:rsidRPr="007955BB">
        <w:rPr>
          <w:rFonts w:eastAsia="Calibri"/>
          <w:b w:val="0"/>
          <w:szCs w:val="22"/>
          <w:lang w:val="hy-AM" w:eastAsia="en-US"/>
        </w:rPr>
        <w:t xml:space="preserve">։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Ստորև ներկայացվում են Երևան քաղաքում բնակարանների միջին գների դինամիկան 01/2002-07/2022 թթ</w:t>
      </w:r>
      <w:r w:rsidRPr="007955BB">
        <w:rPr>
          <w:rFonts w:ascii="Cambria Math" w:eastAsia="Calibri" w:hAnsi="Cambria Math" w:cs="Cambria Math"/>
          <w:b w:val="0"/>
          <w:szCs w:val="22"/>
          <w:lang w:val="hy-AM" w:eastAsia="en-US"/>
        </w:rPr>
        <w:t>․</w:t>
      </w:r>
      <w:r w:rsidRPr="007955BB">
        <w:rPr>
          <w:rFonts w:eastAsia="Calibri"/>
          <w:b w:val="0"/>
          <w:szCs w:val="22"/>
          <w:lang w:val="hy-AM" w:eastAsia="en-US"/>
        </w:rPr>
        <w:t xml:space="preserve"> ընթացքում</w:t>
      </w:r>
      <w:r w:rsidRPr="007955BB">
        <w:rPr>
          <w:rFonts w:ascii="Cambria Math" w:eastAsia="Calibri" w:hAnsi="Cambria Math" w:cs="Cambria Math"/>
          <w:b w:val="0"/>
          <w:szCs w:val="22"/>
          <w:lang w:val="hy-AM" w:eastAsia="en-US"/>
        </w:rPr>
        <w:t>․</w:t>
      </w:r>
      <w:r w:rsidRPr="007955BB">
        <w:rPr>
          <w:rFonts w:eastAsia="Calibri"/>
          <w:b w:val="0"/>
          <w:szCs w:val="22"/>
          <w:lang w:val="hy-AM" w:eastAsia="en-US"/>
        </w:rPr>
        <w:t xml:space="preserve"> </w:t>
      </w:r>
    </w:p>
    <w:p w:rsidR="004644E7" w:rsidRPr="007955BB" w:rsidRDefault="004644E7" w:rsidP="004644E7">
      <w:pPr>
        <w:spacing w:before="0" w:line="276" w:lineRule="auto"/>
        <w:ind w:firstLine="720"/>
        <w:contextualSpacing w:val="0"/>
        <w:rPr>
          <w:rFonts w:eastAsia="Calibri"/>
          <w:b w:val="0"/>
          <w:szCs w:val="22"/>
          <w:lang w:val="hy-AM" w:eastAsia="en-US"/>
        </w:rPr>
      </w:pPr>
    </w:p>
    <w:p w:rsidR="003A6B3C" w:rsidRPr="007955BB" w:rsidRDefault="003A6B3C" w:rsidP="004644E7">
      <w:pPr>
        <w:spacing w:before="0" w:line="276" w:lineRule="auto"/>
        <w:ind w:firstLine="720"/>
        <w:contextualSpacing w:val="0"/>
        <w:rPr>
          <w:rFonts w:eastAsia="Calibri"/>
          <w:b w:val="0"/>
          <w:szCs w:val="22"/>
          <w:lang w:val="hy-AM" w:eastAsia="en-US"/>
        </w:rPr>
      </w:pPr>
    </w:p>
    <w:p w:rsidR="004644E7" w:rsidRPr="007955BB" w:rsidRDefault="004644E7" w:rsidP="004644E7">
      <w:pPr>
        <w:spacing w:before="0" w:line="276" w:lineRule="auto"/>
        <w:ind w:firstLine="0"/>
        <w:contextualSpacing w:val="0"/>
        <w:jc w:val="left"/>
        <w:rPr>
          <w:rFonts w:eastAsia="Calibri"/>
          <w:bCs/>
          <w:i/>
          <w:color w:val="4472C4"/>
          <w:sz w:val="20"/>
          <w:szCs w:val="20"/>
          <w:lang w:val="hy-AM" w:eastAsia="en-US"/>
        </w:rPr>
      </w:pPr>
      <w:r w:rsidRPr="007955BB">
        <w:rPr>
          <w:rFonts w:eastAsia="Calibri"/>
          <w:b w:val="0"/>
          <w:bCs/>
          <w:color w:val="4472C4"/>
          <w:sz w:val="18"/>
          <w:szCs w:val="18"/>
          <w:lang w:val="hy-AM" w:eastAsia="en-US"/>
        </w:rPr>
        <w:t>Գծապատկեր 6</w:t>
      </w:r>
      <w:r w:rsidRPr="007955BB">
        <w:rPr>
          <w:rFonts w:eastAsia="Calibri"/>
          <w:b w:val="0"/>
          <w:szCs w:val="22"/>
          <w:lang w:val="hy-AM" w:eastAsia="en-US"/>
        </w:rPr>
        <w:t xml:space="preserve"> </w:t>
      </w:r>
      <w:r w:rsidRPr="007955BB">
        <w:rPr>
          <w:rFonts w:eastAsia="Calibri"/>
          <w:bCs/>
          <w:i/>
          <w:color w:val="4472C4"/>
          <w:sz w:val="20"/>
          <w:szCs w:val="20"/>
          <w:lang w:val="hy-AM" w:eastAsia="en-US"/>
        </w:rPr>
        <w:t>Երևան քաղաքում բնակարանների մեկ ք</w:t>
      </w:r>
      <w:r w:rsidRPr="007955BB">
        <w:rPr>
          <w:rFonts w:ascii="Cambria Math" w:eastAsia="Calibri" w:hAnsi="Cambria Math" w:cs="Cambria Math"/>
          <w:bCs/>
          <w:i/>
          <w:color w:val="4472C4"/>
          <w:sz w:val="20"/>
          <w:szCs w:val="20"/>
          <w:lang w:val="hy-AM" w:eastAsia="en-US"/>
        </w:rPr>
        <w:t>․</w:t>
      </w:r>
      <w:r w:rsidRPr="007955BB">
        <w:rPr>
          <w:rFonts w:eastAsia="Calibri"/>
          <w:bCs/>
          <w:i/>
          <w:color w:val="4472C4"/>
          <w:sz w:val="20"/>
          <w:szCs w:val="20"/>
          <w:lang w:val="hy-AM" w:eastAsia="en-US"/>
        </w:rPr>
        <w:t>մ</w:t>
      </w:r>
      <w:r w:rsidRPr="007955BB">
        <w:rPr>
          <w:rFonts w:ascii="Cambria Math" w:eastAsia="Calibri" w:hAnsi="Cambria Math" w:cs="Cambria Math"/>
          <w:bCs/>
          <w:i/>
          <w:color w:val="4472C4"/>
          <w:sz w:val="20"/>
          <w:szCs w:val="20"/>
          <w:lang w:val="hy-AM" w:eastAsia="en-US"/>
        </w:rPr>
        <w:t>․</w:t>
      </w:r>
      <w:r w:rsidRPr="007955BB">
        <w:rPr>
          <w:rFonts w:eastAsia="Calibri"/>
          <w:bCs/>
          <w:i/>
          <w:color w:val="4472C4"/>
          <w:sz w:val="20"/>
          <w:szCs w:val="20"/>
          <w:lang w:val="hy-AM" w:eastAsia="en-US"/>
        </w:rPr>
        <w:t xml:space="preserve"> միջին արժեքը</w:t>
      </w:r>
      <w:r w:rsidRPr="007955BB">
        <w:rPr>
          <w:rFonts w:ascii="Cambria Math" w:eastAsia="Calibri" w:hAnsi="Cambria Math" w:cs="Cambria Math"/>
          <w:bCs/>
          <w:i/>
          <w:color w:val="4472C4"/>
          <w:sz w:val="20"/>
          <w:szCs w:val="20"/>
          <w:lang w:val="hy-AM" w:eastAsia="en-US"/>
        </w:rPr>
        <w:t>․</w:t>
      </w:r>
      <w:r w:rsidRPr="007955BB">
        <w:rPr>
          <w:rFonts w:eastAsia="Calibri"/>
          <w:bCs/>
          <w:i/>
          <w:color w:val="4472C4"/>
          <w:sz w:val="20"/>
          <w:szCs w:val="20"/>
          <w:lang w:val="hy-AM" w:eastAsia="en-US"/>
        </w:rPr>
        <w:t xml:space="preserve"> </w:t>
      </w:r>
    </w:p>
    <w:p w:rsidR="004644E7" w:rsidRPr="007955BB" w:rsidRDefault="004644E7" w:rsidP="004644E7">
      <w:pPr>
        <w:spacing w:before="0" w:line="276" w:lineRule="auto"/>
        <w:ind w:firstLine="0"/>
        <w:contextualSpacing w:val="0"/>
        <w:rPr>
          <w:rFonts w:eastAsia="Calibri"/>
          <w:bCs/>
          <w:i/>
          <w:color w:val="4472C4"/>
          <w:sz w:val="20"/>
          <w:szCs w:val="20"/>
          <w:lang w:val="hy-AM" w:eastAsia="en-US"/>
        </w:rPr>
      </w:pPr>
      <w:r w:rsidRPr="007955BB">
        <w:rPr>
          <w:rFonts w:eastAsia="Calibri"/>
          <w:bCs/>
          <w:i/>
          <w:color w:val="4472C4"/>
          <w:sz w:val="20"/>
          <w:szCs w:val="20"/>
          <w:lang w:val="hy-AM" w:eastAsia="en-US"/>
        </w:rPr>
        <w:t>Աղբյուր՝ ՀՀ վիճակագրական կոմիտե</w:t>
      </w:r>
    </w:p>
    <w:p w:rsidR="004644E7" w:rsidRPr="007955BB" w:rsidRDefault="004644E7" w:rsidP="004644E7">
      <w:pPr>
        <w:spacing w:before="0" w:line="276" w:lineRule="auto"/>
        <w:ind w:firstLine="720"/>
        <w:contextualSpacing w:val="0"/>
        <w:jc w:val="left"/>
        <w:rPr>
          <w:rFonts w:eastAsia="Calibri"/>
          <w:b w:val="0"/>
          <w:szCs w:val="22"/>
          <w:lang w:val="hy-AM" w:eastAsia="en-US"/>
        </w:rPr>
      </w:pPr>
      <w:r w:rsidRPr="007955BB">
        <w:rPr>
          <w:rFonts w:eastAsia="Calibri"/>
          <w:b w:val="0"/>
          <w:noProof/>
          <w:szCs w:val="22"/>
          <w:lang w:val="en-US" w:eastAsia="en-US"/>
        </w:rPr>
        <w:drawing>
          <wp:inline distT="0" distB="0" distL="0" distR="0" wp14:anchorId="62E4D479" wp14:editId="6C2B0879">
            <wp:extent cx="5467350" cy="249555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4644E7" w:rsidRPr="007955BB" w:rsidRDefault="004644E7" w:rsidP="004644E7">
      <w:pPr>
        <w:spacing w:before="0" w:line="276" w:lineRule="auto"/>
        <w:ind w:firstLine="720"/>
        <w:contextualSpacing w:val="0"/>
        <w:rPr>
          <w:rFonts w:eastAsia="Calibri"/>
          <w:b w:val="0"/>
          <w:szCs w:val="22"/>
          <w:lang w:val="hy-AM" w:eastAsia="en-US"/>
        </w:rPr>
      </w:pP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Ռուս-ուկրաինական ռազմաքաղաքական հակամարտությունը և </w:t>
      </w:r>
      <w:r w:rsidR="00991194">
        <w:rPr>
          <w:rFonts w:eastAsia="Calibri"/>
          <w:b w:val="0"/>
          <w:szCs w:val="22"/>
          <w:lang w:val="hy-AM" w:eastAsia="en-US"/>
        </w:rPr>
        <w:t>ՌԴ-ի</w:t>
      </w:r>
      <w:r w:rsidRPr="007955BB">
        <w:rPr>
          <w:rFonts w:eastAsia="Calibri"/>
          <w:b w:val="0"/>
          <w:szCs w:val="22"/>
          <w:lang w:val="hy-AM" w:eastAsia="en-US"/>
        </w:rPr>
        <w:t xml:space="preserve"> նկատմամբ կիրառվող պատժամիջոցները աննախադեպ մեծ անորոշություններ են ստեղծել ինչպես համաշխարհային, այնպես էլ տարածաշրջանի ֆինանսատնտեսական զարգացումների առումով։ Համաշխարհային տնտեսության վրա անբարենպաստ ազդեցությունները մեծապես կախված կլինեն ինչպես ռազմական գործողությունների, այնպես էլ կիրառված պատժամիջոցների տևականությունից։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ՀՀ տնտեսական աճի և ֆինանսական համակարգի զարգացումների վրա հնարավոր ազդեցություն ունեցող ռիսկերն ածանցվում են համաշխարհային և տարածաշրջանի մակրոտնտեսական հեռանկարից և դրա հետ կապված անորոշություններից։ Ստեղծված իրավիճակում՝ անորոշությունների բարձր մակարդակի և ՀՀ տնտեսական ակտիվության վրա հնարավոր անբարենպաստ ազդեցությունների հետևանքով ֆինանսական համակարգում հնարավոր են վարկային ռիսկի աճի դրսևորումներ։ Հարկ է նշել, որ ներկայումս ՀՀ ֆինանսական համակարգը բնութագրվում է իրացվելիության և կապիտալի բարձր մակարդակով և ունակ է ապահովելու ֆինանսական միջնորդության գործառույթի բնականոն ընթացքը։</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2021թ. կենսաթոշակային ֆոնդերի եկամտաբերությունը, նախորդ տարիների համեմատությամբ, էապես նվազել է՝ հիմնականում պայմանավորված պետական պարտատոմսերում ներդրումների վերագնահատումներով: 2021 թ. կենսաթոշակային ֆոնդերի զուտ ակտիվների արժեքը (ԶԱԱ) ավելացել է 31%-ով: ԶԱԱ/ՀՆԱ հարաբերակցությունը կազմել է 6.9%՝ աճելով 0.9 տոկոսային կետով: Թեև ԶԱԱ տարեկան աճի տեմպն ունի նվազման միտում, այնուամենայնիվ, պայմանավորված ներկայումս միայն հատկացումների իրականացմամբ, ֆոնդերի աճը շարունակելու է բարձր մնալ:</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Ֆոնդերի եկամտաբերությունը կազմել է 2.6%, որը 6.9 տոկոսային կետով ցածր է նախորդ 3 տարվա միջին ցուցանիշից: Եկամտաբերության նվազումը հիմնականում պայմանավորված է շուկայական տոկոսադրույքների աճի հետևանքով ֆոնդերի ակտիվներում ներառված պարտատոմսերի վերագնահատված արժեքի նվազմամբ: Եկամտաբերության ցուցանիշի վրա բացասաբար է անդրադարձել նաև տարեսկզբի համեմատությամբ ՀՀ դրամի փոխարժեք արժևորումը, որի արդյունքում արտարժույթով ներդրումների՝ դրամով արտահայտված համարժեքը նվազել է։ 2014 թվականից ֆոնդերի կուտակային աճը կազմել է 91.8%, իսկ միջին տարեկան եկամտաբերությունը՝ 8.5%:</w:t>
      </w:r>
      <w:r w:rsidRPr="007955BB">
        <w:rPr>
          <w:rFonts w:eastAsia="Calibri"/>
          <w:b w:val="0"/>
          <w:szCs w:val="22"/>
          <w:vertAlign w:val="superscript"/>
          <w:lang w:val="en-US" w:eastAsia="en-US"/>
        </w:rPr>
        <w:footnoteReference w:id="31"/>
      </w:r>
    </w:p>
    <w:p w:rsidR="004644E7" w:rsidRPr="007955BB" w:rsidRDefault="004644E7" w:rsidP="004644E7">
      <w:pPr>
        <w:spacing w:before="0" w:line="276" w:lineRule="auto"/>
        <w:ind w:firstLine="0"/>
        <w:contextualSpacing w:val="0"/>
        <w:rPr>
          <w:rFonts w:eastAsia="Calibri"/>
          <w:bCs/>
          <w:i/>
          <w:color w:val="4472C4"/>
          <w:sz w:val="20"/>
          <w:szCs w:val="20"/>
          <w:lang w:val="hy-AM" w:eastAsia="en-US"/>
        </w:rPr>
      </w:pPr>
      <w:r w:rsidRPr="007955BB">
        <w:rPr>
          <w:rFonts w:eastAsia="Calibri"/>
          <w:b w:val="0"/>
          <w:szCs w:val="22"/>
          <w:lang w:val="hy-AM" w:eastAsia="en-US"/>
        </w:rPr>
        <w:t>2022 թվականի ընթացքում 2021թ</w:t>
      </w:r>
      <w:r w:rsidRPr="007955BB">
        <w:rPr>
          <w:rFonts w:ascii="Cambria Math" w:eastAsia="Calibri" w:hAnsi="Cambria Math" w:cs="Cambria Math"/>
          <w:b w:val="0"/>
          <w:szCs w:val="22"/>
          <w:lang w:val="hy-AM" w:eastAsia="en-US"/>
        </w:rPr>
        <w:t>․</w:t>
      </w:r>
      <w:r w:rsidRPr="007955BB">
        <w:rPr>
          <w:rFonts w:eastAsia="Calibri"/>
          <w:b w:val="0"/>
          <w:szCs w:val="22"/>
          <w:lang w:val="hy-AM" w:eastAsia="en-US"/>
        </w:rPr>
        <w:t xml:space="preserve"> տարեվերջի նկատմամբ կենսաթոշակային ֆոնդերի ԶԱԱ-ն ավելացել է 5</w:t>
      </w:r>
      <w:r w:rsidRPr="007955BB">
        <w:rPr>
          <w:rFonts w:ascii="Cambria Math" w:eastAsia="Calibri" w:hAnsi="Cambria Math" w:cs="Cambria Math"/>
          <w:b w:val="0"/>
          <w:szCs w:val="22"/>
          <w:lang w:val="hy-AM" w:eastAsia="en-US"/>
        </w:rPr>
        <w:t>․</w:t>
      </w:r>
      <w:r w:rsidRPr="007955BB">
        <w:rPr>
          <w:rFonts w:eastAsia="Calibri"/>
          <w:b w:val="0"/>
          <w:szCs w:val="22"/>
          <w:lang w:val="hy-AM" w:eastAsia="en-US"/>
        </w:rPr>
        <w:t>8%-ով, իսկ  եկամտաբերությունը կազմել է -6</w:t>
      </w:r>
      <w:r w:rsidRPr="007955BB">
        <w:rPr>
          <w:rFonts w:ascii="Cambria Math" w:eastAsia="Calibri" w:hAnsi="Cambria Math" w:cs="Cambria Math"/>
          <w:b w:val="0"/>
          <w:szCs w:val="22"/>
          <w:lang w:val="hy-AM" w:eastAsia="en-US"/>
        </w:rPr>
        <w:t>․</w:t>
      </w:r>
      <w:r w:rsidRPr="007955BB">
        <w:rPr>
          <w:rFonts w:eastAsia="Calibri"/>
          <w:b w:val="0"/>
          <w:szCs w:val="22"/>
          <w:lang w:val="hy-AM" w:eastAsia="en-US"/>
        </w:rPr>
        <w:t xml:space="preserve">9% (հաշվարկված փայի հաշվարկային արժեքով)։ </w:t>
      </w:r>
    </w:p>
    <w:p w:rsidR="004644E7" w:rsidRPr="007955BB" w:rsidRDefault="004644E7" w:rsidP="004644E7">
      <w:pPr>
        <w:spacing w:before="0" w:line="276" w:lineRule="auto"/>
        <w:ind w:firstLine="720"/>
        <w:contextualSpacing w:val="0"/>
        <w:rPr>
          <w:rFonts w:eastAsia="Calibri"/>
          <w:b w:val="0"/>
          <w:szCs w:val="22"/>
          <w:lang w:val="hy-AM" w:eastAsia="en-US"/>
        </w:rPr>
      </w:pPr>
      <w:r w:rsidRPr="007955BB">
        <w:rPr>
          <w:rFonts w:eastAsia="Calibri"/>
          <w:b w:val="0"/>
          <w:szCs w:val="22"/>
          <w:lang w:val="hy-AM" w:eastAsia="en-US"/>
        </w:rPr>
        <w:t xml:space="preserve">Հաշվի առնելով այն հանգամանքը, որ Կուտակային կենսաթոշակների մասին ՀՀ օրենքի Հոդված 44-ի 1-ին կետով սահմանվում է, որ </w:t>
      </w:r>
      <w:r w:rsidR="00D35F72">
        <w:rPr>
          <w:rFonts w:eastAsia="Calibri"/>
          <w:b w:val="0"/>
          <w:szCs w:val="22"/>
          <w:lang w:val="hy-AM" w:eastAsia="en-US"/>
        </w:rPr>
        <w:t>ՀՀ-ն</w:t>
      </w:r>
      <w:r w:rsidRPr="007955BB">
        <w:rPr>
          <w:rFonts w:eastAsia="Calibri"/>
          <w:b w:val="0"/>
          <w:szCs w:val="22"/>
          <w:lang w:val="hy-AM" w:eastAsia="en-US"/>
        </w:rPr>
        <w:t xml:space="preserve"> երաշխավորում է կուտակային հատկացումների վերադարձելիությունը մասնակցին՝ օրենքի 6-րդ հոդվածի համաձայն կատարված սոցիալական վճարների՝ տարեկան գնաճով ճշգրտված չափով, ֆոնդերի ցուցաբերած եկամտաբերության ցածր մակարդակը, համաշխարհային տնտեսությունում և մասնավորապես՝ ՀՀ-ում գրանցված գնաճային ճնշումների առկայության պարագայում կարող է երկարաժամկետ կտրվածքում ստեղծել կենսաթոշակային հատկացումների՝ վերը նշված կարգով երաշխավորումից բխող  ֆիսկալ կայունությանն առչնվող ռիսկեր։ Չնայաց նրան, որ ԿԲ-ի կանխատեսումների համաձայն 12-ամսյա գնաճն աստիճանաբար կնվազի և 2023 թ. երկրորդ կեսից կկայունանա նպատակային 4% ցուցանիշի շուրջ</w:t>
      </w:r>
      <w:r w:rsidRPr="007955BB">
        <w:rPr>
          <w:rFonts w:eastAsia="Calibri"/>
          <w:b w:val="0"/>
          <w:szCs w:val="22"/>
          <w:vertAlign w:val="superscript"/>
          <w:lang w:val="hy-AM" w:eastAsia="en-US"/>
        </w:rPr>
        <w:footnoteReference w:id="32"/>
      </w:r>
      <w:r w:rsidRPr="007955BB">
        <w:rPr>
          <w:rFonts w:eastAsia="Calibri"/>
          <w:b w:val="0"/>
          <w:szCs w:val="22"/>
          <w:lang w:val="hy-AM" w:eastAsia="en-US"/>
        </w:rPr>
        <w:t>, oգոստոսի  դրությամբ գնաճը կազմել է 9</w:t>
      </w:r>
      <w:r w:rsidRPr="007955BB">
        <w:rPr>
          <w:rFonts w:ascii="Cambria Math" w:eastAsia="Calibri" w:hAnsi="Cambria Math" w:cs="Cambria Math"/>
          <w:b w:val="0"/>
          <w:szCs w:val="22"/>
          <w:lang w:val="hy-AM" w:eastAsia="en-US"/>
        </w:rPr>
        <w:t>․</w:t>
      </w:r>
      <w:r w:rsidRPr="007955BB">
        <w:rPr>
          <w:rFonts w:eastAsia="Calibri"/>
          <w:b w:val="0"/>
          <w:szCs w:val="22"/>
          <w:lang w:val="hy-AM" w:eastAsia="en-US"/>
        </w:rPr>
        <w:t>1%։</w:t>
      </w:r>
      <w:r w:rsidRPr="007955BB">
        <w:rPr>
          <w:rFonts w:eastAsia="Calibri"/>
          <w:b w:val="0"/>
          <w:szCs w:val="22"/>
          <w:vertAlign w:val="superscript"/>
          <w:lang w:val="hy-AM" w:eastAsia="en-US"/>
        </w:rPr>
        <w:footnoteReference w:id="33"/>
      </w:r>
      <w:r w:rsidRPr="007955BB">
        <w:rPr>
          <w:rFonts w:eastAsia="Calibri"/>
          <w:b w:val="0"/>
          <w:szCs w:val="22"/>
          <w:lang w:val="hy-AM" w:eastAsia="en-US"/>
        </w:rPr>
        <w:t xml:space="preserve"> </w:t>
      </w:r>
    </w:p>
    <w:p w:rsidR="003A6B3C" w:rsidRPr="007955BB" w:rsidRDefault="003A6B3C">
      <w:pPr>
        <w:spacing w:before="0" w:line="240" w:lineRule="auto"/>
        <w:ind w:firstLine="0"/>
        <w:contextualSpacing w:val="0"/>
        <w:jc w:val="left"/>
        <w:rPr>
          <w:szCs w:val="22"/>
          <w:lang w:val="hy-AM" w:eastAsia="en-US"/>
        </w:rPr>
      </w:pPr>
      <w:r w:rsidRPr="007955BB">
        <w:rPr>
          <w:szCs w:val="22"/>
          <w:lang w:val="hy-AM" w:eastAsia="en-US"/>
        </w:rPr>
        <w:br w:type="page"/>
      </w:r>
    </w:p>
    <w:p w:rsidR="00A00B8B" w:rsidRPr="007955BB" w:rsidRDefault="008D3366" w:rsidP="008D3366">
      <w:pPr>
        <w:keepNext/>
        <w:keepLines/>
        <w:spacing w:before="0" w:line="312" w:lineRule="auto"/>
        <w:ind w:firstLine="0"/>
        <w:outlineLvl w:val="2"/>
        <w:rPr>
          <w:szCs w:val="22"/>
          <w:lang w:val="hy-AM" w:eastAsia="en-US"/>
        </w:rPr>
      </w:pPr>
      <w:bookmarkStart w:id="401" w:name="_Toc120805257"/>
      <w:r w:rsidRPr="007955BB">
        <w:rPr>
          <w:szCs w:val="22"/>
          <w:lang w:val="hy-AM" w:eastAsia="en-US"/>
        </w:rPr>
        <w:t xml:space="preserve">5.  </w:t>
      </w:r>
      <w:r w:rsidR="00A00B8B" w:rsidRPr="007955BB">
        <w:rPr>
          <w:szCs w:val="22"/>
          <w:lang w:val="hy-AM" w:eastAsia="en-US"/>
        </w:rPr>
        <w:t>202</w:t>
      </w:r>
      <w:r w:rsidR="00E84267" w:rsidRPr="007955BB">
        <w:rPr>
          <w:szCs w:val="22"/>
          <w:lang w:val="hy-AM" w:eastAsia="en-US"/>
        </w:rPr>
        <w:t>3</w:t>
      </w:r>
      <w:r w:rsidR="00A00B8B" w:rsidRPr="007955BB">
        <w:rPr>
          <w:szCs w:val="22"/>
          <w:lang w:val="hy-AM" w:eastAsia="en-US"/>
        </w:rPr>
        <w:t xml:space="preserve"> ԹՎԱԿԱՆԻ ՀԱՐԿԱՅԻՆ ԾԱԽՍԵՐԻ ԳՆԱՀԱՏԱԿԱՆԻ ՎԵՐԼՈՒԾՈՒԹՅՈՒՆ</w:t>
      </w:r>
      <w:bookmarkEnd w:id="401"/>
    </w:p>
    <w:p w:rsidR="00E84267" w:rsidRPr="007955BB" w:rsidRDefault="00E84267" w:rsidP="008D3366">
      <w:pPr>
        <w:keepNext/>
        <w:keepLines/>
        <w:spacing w:before="0" w:line="312" w:lineRule="auto"/>
        <w:ind w:firstLine="0"/>
        <w:outlineLvl w:val="2"/>
        <w:rPr>
          <w:szCs w:val="22"/>
          <w:lang w:val="hy-AM" w:eastAsia="en-US"/>
        </w:rPr>
      </w:pPr>
    </w:p>
    <w:p w:rsidR="00E84267" w:rsidRPr="007955BB" w:rsidRDefault="00E84267" w:rsidP="00E84267">
      <w:pPr>
        <w:spacing w:line="276" w:lineRule="auto"/>
        <w:rPr>
          <w:rFonts w:eastAsia="Calibri" w:cs="Calibri"/>
          <w:szCs w:val="22"/>
          <w:lang w:val="hy-AM"/>
        </w:rPr>
      </w:pPr>
      <w:r w:rsidRPr="007955BB">
        <w:rPr>
          <w:rFonts w:eastAsia="Calibri" w:cs="Calibri"/>
          <w:szCs w:val="22"/>
          <w:lang w:val="hy-AM"/>
        </w:rPr>
        <w:t>Նախաբան.</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Արդյունավետ հարկա</w:t>
      </w:r>
      <w:r w:rsidRPr="007955BB">
        <w:rPr>
          <w:rFonts w:cs="Sylfaen"/>
          <w:b w:val="0"/>
          <w:color w:val="000000"/>
          <w:szCs w:val="22"/>
          <w:lang w:val="hy-AM"/>
        </w:rPr>
        <w:softHyphen/>
        <w:t>բյու</w:t>
      </w:r>
      <w:r w:rsidRPr="007955BB">
        <w:rPr>
          <w:rFonts w:cs="Sylfaen"/>
          <w:b w:val="0"/>
          <w:color w:val="000000"/>
          <w:szCs w:val="22"/>
          <w:lang w:val="hy-AM"/>
        </w:rPr>
        <w:softHyphen/>
        <w:t>ջետային քաղաքականություն մշա</w:t>
      </w:r>
      <w:r w:rsidRPr="007955BB">
        <w:rPr>
          <w:rFonts w:cs="Sylfaen"/>
          <w:b w:val="0"/>
          <w:color w:val="000000"/>
          <w:szCs w:val="22"/>
          <w:lang w:val="hy-AM"/>
        </w:rPr>
        <w:softHyphen/>
        <w:t>կելու և իրականացնելու տես</w:t>
      </w:r>
      <w:r w:rsidRPr="007955BB">
        <w:rPr>
          <w:rFonts w:cs="Sylfaen"/>
          <w:b w:val="0"/>
          <w:color w:val="000000"/>
          <w:szCs w:val="22"/>
          <w:lang w:val="hy-AM"/>
        </w:rPr>
        <w:softHyphen/>
        <w:t>անկյունից հարկային ծախսերի գնահատականը խիստ կարևոր է, քանի որ հար</w:t>
      </w:r>
      <w:r w:rsidRPr="007955BB">
        <w:rPr>
          <w:rFonts w:cs="Sylfaen"/>
          <w:b w:val="0"/>
          <w:color w:val="000000"/>
          <w:szCs w:val="22"/>
          <w:lang w:val="hy-AM"/>
        </w:rPr>
        <w:softHyphen/>
        <w:t>կա</w:t>
      </w:r>
      <w:r w:rsidRPr="007955BB">
        <w:rPr>
          <w:rFonts w:cs="Sylfaen"/>
          <w:b w:val="0"/>
          <w:color w:val="000000"/>
          <w:szCs w:val="22"/>
          <w:lang w:val="hy-AM"/>
        </w:rPr>
        <w:softHyphen/>
        <w:t>յին ծախ</w:t>
      </w:r>
      <w:r w:rsidRPr="007955BB">
        <w:rPr>
          <w:rFonts w:cs="Sylfaen"/>
          <w:b w:val="0"/>
          <w:color w:val="000000"/>
          <w:szCs w:val="22"/>
          <w:lang w:val="hy-AM"/>
        </w:rPr>
        <w:softHyphen/>
        <w:t>սերի գնահատմամբ ամբողջականացվում է պետության կողմից իրա</w:t>
      </w:r>
      <w:r w:rsidRPr="007955BB">
        <w:rPr>
          <w:rFonts w:cs="Sylfaen"/>
          <w:b w:val="0"/>
          <w:color w:val="000000"/>
          <w:szCs w:val="22"/>
          <w:lang w:val="hy-AM"/>
        </w:rPr>
        <w:softHyphen/>
        <w:t>կա</w:t>
      </w:r>
      <w:r w:rsidRPr="007955BB">
        <w:rPr>
          <w:rFonts w:cs="Sylfaen"/>
          <w:b w:val="0"/>
          <w:color w:val="000000"/>
          <w:szCs w:val="22"/>
          <w:lang w:val="hy-AM"/>
        </w:rPr>
        <w:softHyphen/>
        <w:t>նացվող` եկա</w:t>
      </w:r>
      <w:r w:rsidRPr="007955BB">
        <w:rPr>
          <w:rFonts w:cs="Sylfaen"/>
          <w:b w:val="0"/>
          <w:color w:val="000000"/>
          <w:szCs w:val="22"/>
          <w:lang w:val="hy-AM"/>
        </w:rPr>
        <w:softHyphen/>
        <w:t>մուտ</w:t>
      </w:r>
      <w:r w:rsidRPr="007955BB">
        <w:rPr>
          <w:rFonts w:cs="Sylfaen"/>
          <w:b w:val="0"/>
          <w:color w:val="000000"/>
          <w:szCs w:val="22"/>
          <w:lang w:val="hy-AM"/>
        </w:rPr>
        <w:softHyphen/>
        <w:t>ների վերա</w:t>
      </w:r>
      <w:r w:rsidRPr="007955BB">
        <w:rPr>
          <w:rFonts w:cs="Sylfaen"/>
          <w:b w:val="0"/>
          <w:color w:val="000000"/>
          <w:szCs w:val="22"/>
          <w:lang w:val="hy-AM"/>
        </w:rPr>
        <w:softHyphen/>
        <w:t>բաշխման գործառույթի շրջանակներն ու արդյունավե</w:t>
      </w:r>
      <w:r w:rsidRPr="007955BB">
        <w:rPr>
          <w:rFonts w:cs="Sylfaen"/>
          <w:b w:val="0"/>
          <w:color w:val="000000"/>
          <w:szCs w:val="22"/>
          <w:lang w:val="hy-AM"/>
        </w:rPr>
        <w:softHyphen/>
        <w:t>տու</w:t>
      </w:r>
      <w:r w:rsidRPr="007955BB">
        <w:rPr>
          <w:rFonts w:cs="Sylfaen"/>
          <w:b w:val="0"/>
          <w:color w:val="000000"/>
          <w:szCs w:val="22"/>
          <w:lang w:val="hy-AM"/>
        </w:rPr>
        <w:softHyphen/>
        <w:t>թյունը:</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Հարկային ծախսերի գնահատականի վերաբերյալ տեղեկատվությունը թափանցիկ և շահա</w:t>
      </w:r>
      <w:r w:rsidRPr="007955BB">
        <w:rPr>
          <w:rFonts w:cs="Sylfaen"/>
          <w:b w:val="0"/>
          <w:color w:val="000000"/>
          <w:szCs w:val="22"/>
          <w:lang w:val="hy-AM"/>
        </w:rPr>
        <w:softHyphen/>
        <w:t>ռուների տարբեր խմբերի համար հասանելի դարձնելու նպատակով, որոշ երկրներ այդ տեղեկատվությունը ներառում են առաջիկա տարվա համար մշակվող բյուջեի բացատ</w:t>
      </w:r>
      <w:r w:rsidRPr="007955BB">
        <w:rPr>
          <w:rFonts w:cs="Sylfaen"/>
          <w:b w:val="0"/>
          <w:color w:val="000000"/>
          <w:szCs w:val="22"/>
          <w:lang w:val="hy-AM"/>
        </w:rPr>
        <w:softHyphen/>
        <w:t>րա</w:t>
      </w:r>
      <w:r w:rsidRPr="007955BB">
        <w:rPr>
          <w:rFonts w:cs="Sylfaen"/>
          <w:b w:val="0"/>
          <w:color w:val="000000"/>
          <w:szCs w:val="22"/>
          <w:lang w:val="hy-AM"/>
        </w:rPr>
        <w:softHyphen/>
        <w:t>գրում:</w:t>
      </w:r>
    </w:p>
    <w:p w:rsidR="00E84267" w:rsidRPr="007955BB" w:rsidRDefault="00D35F72" w:rsidP="00E84267">
      <w:pPr>
        <w:shd w:val="clear" w:color="auto" w:fill="FFFFFF"/>
        <w:spacing w:before="0" w:line="276" w:lineRule="auto"/>
        <w:rPr>
          <w:rFonts w:cs="Sylfaen"/>
          <w:b w:val="0"/>
          <w:color w:val="000000"/>
          <w:szCs w:val="22"/>
          <w:lang w:val="hy-AM"/>
        </w:rPr>
      </w:pPr>
      <w:r>
        <w:rPr>
          <w:rFonts w:cs="Sylfaen"/>
          <w:b w:val="0"/>
          <w:color w:val="000000"/>
          <w:szCs w:val="22"/>
          <w:lang w:val="hy-AM"/>
        </w:rPr>
        <w:t>ՀՀ-</w:t>
      </w:r>
      <w:r w:rsidR="00E84267" w:rsidRPr="007955BB">
        <w:rPr>
          <w:rFonts w:cs="Sylfaen"/>
          <w:b w:val="0"/>
          <w:color w:val="000000"/>
          <w:szCs w:val="22"/>
          <w:lang w:val="hy-AM"/>
        </w:rPr>
        <w:t>ում առաջին անգամ հարկային ծախսերի մեծությունը գնահատվել է 2015թ. համար, որը ներառ</w:t>
      </w:r>
      <w:r w:rsidR="00E84267" w:rsidRPr="007955BB">
        <w:rPr>
          <w:rFonts w:cs="Sylfaen"/>
          <w:b w:val="0"/>
          <w:color w:val="000000"/>
          <w:szCs w:val="22"/>
          <w:lang w:val="hy-AM"/>
        </w:rPr>
        <w:softHyphen/>
        <w:t xml:space="preserve">վել է 2015 թվականի պետական բյուջեի մասին ՀՀ օրենքի բացատրագրում` որպես առանձին հավելված: </w:t>
      </w:r>
    </w:p>
    <w:p w:rsidR="00E84267" w:rsidRPr="007955BB" w:rsidRDefault="00E84267" w:rsidP="00E84267">
      <w:pPr>
        <w:spacing w:line="276" w:lineRule="auto"/>
        <w:rPr>
          <w:rFonts w:eastAsia="Calibri" w:cs="Calibri"/>
          <w:szCs w:val="22"/>
          <w:u w:val="single"/>
          <w:lang w:val="hy-AM"/>
        </w:rPr>
      </w:pPr>
    </w:p>
    <w:p w:rsidR="00E84267" w:rsidRPr="007955BB" w:rsidRDefault="00E84267" w:rsidP="00E84267">
      <w:pPr>
        <w:shd w:val="clear" w:color="auto" w:fill="FFFFFF"/>
        <w:spacing w:before="0" w:line="276" w:lineRule="auto"/>
        <w:rPr>
          <w:rFonts w:cs="Sylfaen"/>
          <w:color w:val="000000"/>
          <w:szCs w:val="22"/>
          <w:lang w:val="hy-AM"/>
        </w:rPr>
      </w:pPr>
      <w:r w:rsidRPr="007955BB">
        <w:rPr>
          <w:rFonts w:cs="Sylfaen"/>
          <w:color w:val="000000"/>
          <w:szCs w:val="22"/>
          <w:lang w:val="hy-AM"/>
        </w:rPr>
        <w:t>Հարկային ծախսերը.</w:t>
      </w:r>
    </w:p>
    <w:p w:rsidR="00E84267" w:rsidRPr="007955BB" w:rsidRDefault="00D35F72" w:rsidP="00E84267">
      <w:pPr>
        <w:shd w:val="clear" w:color="auto" w:fill="FFFFFF"/>
        <w:spacing w:before="0" w:line="276" w:lineRule="auto"/>
        <w:rPr>
          <w:rFonts w:cs="Sylfaen"/>
          <w:b w:val="0"/>
          <w:color w:val="000000"/>
          <w:szCs w:val="22"/>
          <w:lang w:val="hy-AM"/>
        </w:rPr>
      </w:pPr>
      <w:r>
        <w:rPr>
          <w:rFonts w:cs="Sylfaen"/>
          <w:b w:val="0"/>
          <w:color w:val="000000"/>
          <w:szCs w:val="22"/>
          <w:lang w:val="hy-AM"/>
        </w:rPr>
        <w:t>ՀՀ</w:t>
      </w:r>
      <w:r w:rsidR="00E84267" w:rsidRPr="007955BB">
        <w:rPr>
          <w:rFonts w:cs="Sylfaen"/>
          <w:b w:val="0"/>
          <w:color w:val="000000"/>
          <w:szCs w:val="22"/>
          <w:lang w:val="hy-AM"/>
        </w:rPr>
        <w:t xml:space="preserve"> գործող օրենսդրությամբ Հարկային ծախս հասկա</w:t>
      </w:r>
      <w:r w:rsidR="00E84267" w:rsidRPr="007955BB">
        <w:rPr>
          <w:rFonts w:cs="Sylfaen"/>
          <w:b w:val="0"/>
          <w:color w:val="000000"/>
          <w:szCs w:val="22"/>
          <w:lang w:val="hy-AM"/>
        </w:rPr>
        <w:softHyphen/>
        <w:t>ցու</w:t>
      </w:r>
      <w:r w:rsidR="00E84267" w:rsidRPr="007955BB">
        <w:rPr>
          <w:rFonts w:cs="Sylfaen"/>
          <w:b w:val="0"/>
          <w:color w:val="000000"/>
          <w:szCs w:val="22"/>
          <w:lang w:val="hy-AM"/>
        </w:rPr>
        <w:softHyphen/>
        <w:t>թյունը սահմանված չէ: Բովան</w:t>
      </w:r>
      <w:r w:rsidR="00E84267" w:rsidRPr="007955BB">
        <w:rPr>
          <w:rFonts w:cs="Sylfaen"/>
          <w:b w:val="0"/>
          <w:color w:val="000000"/>
          <w:szCs w:val="22"/>
          <w:lang w:val="hy-AM"/>
        </w:rPr>
        <w:softHyphen/>
        <w:t>դակային առումով, հարկային ծախսերը գործող հարկային արտոնությունների հետևան</w:t>
      </w:r>
      <w:r w:rsidR="00E84267" w:rsidRPr="007955BB">
        <w:rPr>
          <w:rFonts w:cs="Sylfaen"/>
          <w:b w:val="0"/>
          <w:color w:val="000000"/>
          <w:szCs w:val="22"/>
          <w:lang w:val="hy-AM"/>
        </w:rPr>
        <w:softHyphen/>
        <w:t>քով պետական բյուջե չգանձվող (պակաս գանձվող) հարկային եկամուտներն են կամ այդ եկամուտների չափով պետության կրած այլընտրանքային ծախ</w:t>
      </w:r>
      <w:r w:rsidR="00E84267" w:rsidRPr="007955BB">
        <w:rPr>
          <w:rFonts w:cs="Sylfaen"/>
          <w:b w:val="0"/>
          <w:color w:val="000000"/>
          <w:szCs w:val="22"/>
          <w:lang w:val="hy-AM"/>
        </w:rPr>
        <w:softHyphen/>
        <w:t>սերն են, քանի որ հարկային ծախսերը հանգեցնում են համապատասխան գումարի չափով բյու</w:t>
      </w:r>
      <w:r w:rsidR="00E84267" w:rsidRPr="007955BB">
        <w:rPr>
          <w:rFonts w:cs="Sylfaen"/>
          <w:b w:val="0"/>
          <w:color w:val="000000"/>
          <w:szCs w:val="22"/>
          <w:lang w:val="hy-AM"/>
        </w:rPr>
        <w:softHyphen/>
        <w:t>ջետային ծախսերի կրճատման: Ընդ որում, ի տարբերություն պետական բյուջեի ծախ</w:t>
      </w:r>
      <w:r w:rsidR="00E84267" w:rsidRPr="007955BB">
        <w:rPr>
          <w:rFonts w:cs="Sylfaen"/>
          <w:b w:val="0"/>
          <w:color w:val="000000"/>
          <w:szCs w:val="22"/>
          <w:lang w:val="hy-AM"/>
        </w:rPr>
        <w:softHyphen/>
        <w:t>սե</w:t>
      </w:r>
      <w:r w:rsidR="00E84267" w:rsidRPr="007955BB">
        <w:rPr>
          <w:rFonts w:cs="Sylfaen"/>
          <w:b w:val="0"/>
          <w:color w:val="000000"/>
          <w:szCs w:val="22"/>
          <w:lang w:val="hy-AM"/>
        </w:rPr>
        <w:softHyphen/>
        <w:t>րի, որոնք ենթակա են խորքային վերլուծության, մոնիտորինգի ու հսկողության, հարկային ծախսերը հաճախ պատշաճ ձևով չեն վերահսկվում: Արդյունքում, նվազում է հանրային ֆինանս</w:t>
      </w:r>
      <w:r w:rsidR="00E84267" w:rsidRPr="007955BB">
        <w:rPr>
          <w:rFonts w:cs="Sylfaen"/>
          <w:b w:val="0"/>
          <w:color w:val="000000"/>
          <w:szCs w:val="22"/>
          <w:lang w:val="hy-AM"/>
        </w:rPr>
        <w:softHyphen/>
        <w:t>ների կառավարման արդյունավետությունն ու թափանցիկությունը, սահմանափակ</w:t>
      </w:r>
      <w:r w:rsidR="00E84267" w:rsidRPr="007955BB">
        <w:rPr>
          <w:rFonts w:cs="Sylfaen"/>
          <w:b w:val="0"/>
          <w:color w:val="000000"/>
          <w:szCs w:val="22"/>
          <w:lang w:val="hy-AM"/>
        </w:rPr>
        <w:softHyphen/>
        <w:t>վում են պետության վերաբաշխիչ գործառույթի շրջանակները: Այդ իսկ պատճառով հար</w:t>
      </w:r>
      <w:r w:rsidR="00E84267" w:rsidRPr="007955BB">
        <w:rPr>
          <w:rFonts w:cs="Sylfaen"/>
          <w:b w:val="0"/>
          <w:color w:val="000000"/>
          <w:szCs w:val="22"/>
          <w:lang w:val="hy-AM"/>
        </w:rPr>
        <w:softHyphen/>
        <w:t>կա</w:t>
      </w:r>
      <w:r w:rsidR="00E84267" w:rsidRPr="007955BB">
        <w:rPr>
          <w:rFonts w:cs="Sylfaen"/>
          <w:b w:val="0"/>
          <w:color w:val="000000"/>
          <w:szCs w:val="22"/>
          <w:lang w:val="hy-AM"/>
        </w:rPr>
        <w:softHyphen/>
        <w:t>յին ծախսերի պարբերաբար գնահատումը հանգուցային նշանակություն ունի պետության հար</w:t>
      </w:r>
      <w:r w:rsidR="00E84267" w:rsidRPr="007955BB">
        <w:rPr>
          <w:rFonts w:cs="Sylfaen"/>
          <w:b w:val="0"/>
          <w:color w:val="000000"/>
          <w:szCs w:val="22"/>
          <w:lang w:val="hy-AM"/>
        </w:rPr>
        <w:softHyphen/>
        <w:t>կաբյուջետային քաղաքականության տեսանկյունից:</w:t>
      </w:r>
    </w:p>
    <w:p w:rsidR="00E84267" w:rsidRPr="007955BB" w:rsidRDefault="00E84267" w:rsidP="00E84267">
      <w:pPr>
        <w:spacing w:line="276" w:lineRule="auto"/>
        <w:rPr>
          <w:rFonts w:eastAsia="Calibri" w:cs="Calibri"/>
          <w:szCs w:val="22"/>
          <w:u w:val="single"/>
          <w:lang w:val="hy-AM"/>
        </w:rPr>
      </w:pPr>
    </w:p>
    <w:p w:rsidR="00E84267" w:rsidRPr="007955BB" w:rsidRDefault="00E84267" w:rsidP="001C6416">
      <w:pPr>
        <w:shd w:val="clear" w:color="auto" w:fill="FFFFFF"/>
        <w:spacing w:before="0" w:line="276" w:lineRule="auto"/>
        <w:ind w:left="567" w:hanging="27"/>
        <w:rPr>
          <w:rFonts w:cs="Sylfaen"/>
          <w:color w:val="000000"/>
          <w:szCs w:val="22"/>
          <w:lang w:val="hy-AM"/>
        </w:rPr>
      </w:pPr>
      <w:r w:rsidRPr="007955BB">
        <w:rPr>
          <w:rFonts w:cs="Sylfaen"/>
          <w:color w:val="000000"/>
          <w:szCs w:val="22"/>
          <w:lang w:val="hy-AM"/>
        </w:rPr>
        <w:t>Հաշվետվությամբ ընդգրկվող ժամանակահատվածը, հարկային ծախսերի գնահատման համար օգտագործված տեղեկատվությունը և ընտրված մեթոդաբանությունը.</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Սույն հաշվետվությամբ գնահատված են 2023 թվականի հաշվետու տարվա հարկային ծախսերը:</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Գնահատման համար տեղեկատվական հիմք են հանդիսացել 2021 թվականի հաշ</w:t>
      </w:r>
      <w:r w:rsidRPr="007955BB">
        <w:rPr>
          <w:rFonts w:cs="Sylfaen"/>
          <w:b w:val="0"/>
          <w:color w:val="000000"/>
          <w:szCs w:val="22"/>
          <w:lang w:val="hy-AM"/>
        </w:rPr>
        <w:softHyphen/>
        <w:t>վետու տարվա համար ՀՀ վիճակագրական կոմիտեի կողմից հրապարակված հիմ</w:t>
      </w:r>
      <w:r w:rsidRPr="007955BB">
        <w:rPr>
          <w:rFonts w:cs="Sylfaen"/>
          <w:b w:val="0"/>
          <w:color w:val="000000"/>
          <w:szCs w:val="22"/>
          <w:lang w:val="hy-AM"/>
        </w:rPr>
        <w:softHyphen/>
        <w:t>նա</w:t>
      </w:r>
      <w:r w:rsidRPr="007955BB">
        <w:rPr>
          <w:rFonts w:cs="Sylfaen"/>
          <w:b w:val="0"/>
          <w:color w:val="000000"/>
          <w:szCs w:val="22"/>
          <w:lang w:val="hy-AM"/>
        </w:rPr>
        <w:softHyphen/>
        <w:t>կան մակրոտնտեսական տվյալները, ինչ</w:t>
      </w:r>
      <w:r w:rsidRPr="007955BB">
        <w:rPr>
          <w:rFonts w:cs="Sylfaen"/>
          <w:b w:val="0"/>
          <w:color w:val="000000"/>
          <w:szCs w:val="22"/>
          <w:lang w:val="hy-AM"/>
        </w:rPr>
        <w:softHyphen/>
        <w:t>պես նաև ՀՀ  ՊԵԿ  տեղեկատվական բազայում առկա` տնտեսա</w:t>
      </w:r>
      <w:r w:rsidRPr="007955BB">
        <w:rPr>
          <w:rFonts w:cs="Sylfaen"/>
          <w:b w:val="0"/>
          <w:color w:val="000000"/>
          <w:szCs w:val="22"/>
          <w:lang w:val="hy-AM"/>
        </w:rPr>
        <w:softHyphen/>
        <w:t>վա</w:t>
      </w:r>
      <w:r w:rsidRPr="007955BB">
        <w:rPr>
          <w:rFonts w:cs="Sylfaen"/>
          <w:b w:val="0"/>
          <w:color w:val="000000"/>
          <w:szCs w:val="22"/>
          <w:lang w:val="hy-AM"/>
        </w:rPr>
        <w:softHyphen/>
        <w:t>րող սուբյեկտների կողմից ներկայացված հաշվետվությունների տվյալները, որոնք ենթարկվել են որոշակի ճշգրտումների` կապ</w:t>
      </w:r>
      <w:r w:rsidRPr="007955BB">
        <w:rPr>
          <w:rFonts w:cs="Sylfaen"/>
          <w:b w:val="0"/>
          <w:color w:val="000000"/>
          <w:szCs w:val="22"/>
          <w:lang w:val="hy-AM"/>
        </w:rPr>
        <w:softHyphen/>
        <w:t>ված 2023 թվականի համար կանխատեսվող համապատասխան տվյալների հետ:</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Հաշվետվության մեթոդաբանության հիմքում դրված են ՀՆԱ-ի ճյուղային կառուց</w:t>
      </w:r>
      <w:r w:rsidRPr="007955BB">
        <w:rPr>
          <w:rFonts w:cs="Sylfaen"/>
          <w:b w:val="0"/>
          <w:color w:val="000000"/>
          <w:szCs w:val="22"/>
          <w:lang w:val="hy-AM"/>
        </w:rPr>
        <w:softHyphen/>
        <w:t>վածքի (հարկունակ և ոչ հարկունակ մասերի) ուսումնասիրության մակրոտնտեսական մոտե</w:t>
      </w:r>
      <w:r w:rsidRPr="007955BB">
        <w:rPr>
          <w:rFonts w:cs="Sylfaen"/>
          <w:b w:val="0"/>
          <w:color w:val="000000"/>
          <w:szCs w:val="22"/>
          <w:lang w:val="hy-AM"/>
        </w:rPr>
        <w:softHyphen/>
      </w:r>
      <w:r w:rsidRPr="007955BB">
        <w:rPr>
          <w:rFonts w:cs="Sylfaen"/>
          <w:b w:val="0"/>
          <w:color w:val="000000"/>
          <w:szCs w:val="22"/>
          <w:lang w:val="hy-AM"/>
        </w:rPr>
        <w:softHyphen/>
      </w:r>
      <w:r w:rsidRPr="007955BB">
        <w:rPr>
          <w:rFonts w:cs="Sylfaen"/>
          <w:b w:val="0"/>
          <w:color w:val="000000"/>
          <w:szCs w:val="22"/>
          <w:lang w:val="hy-AM"/>
        </w:rPr>
        <w:softHyphen/>
        <w:t>ցումները, 2021 թվականին վերաբերող ԱԱՀ-ի, շահութահարկի և շրջանառության հարկի հաշվարկներով՝ ԱԱՀ-ի, շահութահարկի և եկամտային հարկի արտոնությունների, ինչպես նաև ԱԱՀ-ով հարկվող շեմի ուսումնասիրության արդյունքները:</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Հաշվետվության կազմման համար ընտրվող մեթոդաբանության տեսանկյունից շատ կարևոր է նաև Հարկային ծախս հասկացության հստակ սահմանումը և հարկային ծախ</w:t>
      </w:r>
      <w:r w:rsidRPr="007955BB">
        <w:rPr>
          <w:rFonts w:cs="Sylfaen"/>
          <w:b w:val="0"/>
          <w:color w:val="000000"/>
          <w:szCs w:val="22"/>
          <w:lang w:val="hy-AM"/>
        </w:rPr>
        <w:softHyphen/>
        <w:t>սերի շրջանակի ճիշտ որոշումը: Այս առումով, հատ</w:t>
      </w:r>
      <w:r w:rsidRPr="007955BB">
        <w:rPr>
          <w:rFonts w:cs="Sylfaen"/>
          <w:b w:val="0"/>
          <w:color w:val="000000"/>
          <w:szCs w:val="22"/>
          <w:lang w:val="hy-AM"/>
        </w:rPr>
        <w:softHyphen/>
        <w:t>կա</w:t>
      </w:r>
      <w:r w:rsidRPr="007955BB">
        <w:rPr>
          <w:rFonts w:cs="Sylfaen"/>
          <w:b w:val="0"/>
          <w:color w:val="000000"/>
          <w:szCs w:val="22"/>
          <w:lang w:val="hy-AM"/>
        </w:rPr>
        <w:softHyphen/>
        <w:t>նշական է այն, որ գործող հարկային օրենս</w:t>
      </w:r>
      <w:r w:rsidRPr="007955BB">
        <w:rPr>
          <w:rFonts w:cs="Sylfaen"/>
          <w:b w:val="0"/>
          <w:color w:val="000000"/>
          <w:szCs w:val="22"/>
          <w:lang w:val="hy-AM"/>
        </w:rPr>
        <w:softHyphen/>
        <w:t>դրությամբ նախատեսված` հարկման արտոնյալ պայմաններ ենթադրող ոչ բոլոր կար</w:t>
      </w:r>
      <w:r w:rsidRPr="007955BB">
        <w:rPr>
          <w:rFonts w:cs="Sylfaen"/>
          <w:b w:val="0"/>
          <w:color w:val="000000"/>
          <w:szCs w:val="22"/>
          <w:lang w:val="hy-AM"/>
        </w:rPr>
        <w:softHyphen/>
        <w:t>գա</w:t>
      </w:r>
      <w:r w:rsidRPr="007955BB">
        <w:rPr>
          <w:rFonts w:cs="Sylfaen"/>
          <w:b w:val="0"/>
          <w:color w:val="000000"/>
          <w:szCs w:val="22"/>
          <w:lang w:val="hy-AM"/>
        </w:rPr>
        <w:softHyphen/>
        <w:t>վորումները կարելի է դիտարկել որպես հարկային ծախսեր (օրինակ` եկամտային հար</w:t>
      </w:r>
      <w:r w:rsidRPr="007955BB">
        <w:rPr>
          <w:rFonts w:cs="Sylfaen"/>
          <w:b w:val="0"/>
          <w:color w:val="000000"/>
          <w:szCs w:val="22"/>
          <w:lang w:val="hy-AM"/>
        </w:rPr>
        <w:softHyphen/>
        <w:t>կով հարկման նպատակով համախառն եկամտից նվազեցվող եկամուտները)` անգամ եթե դրանց կիրառության արդյունքում կրճատվում են տնտեսավարող սուբյեկտների կողմից վճար</w:t>
      </w:r>
      <w:r w:rsidRPr="007955BB">
        <w:rPr>
          <w:rFonts w:cs="Sylfaen"/>
          <w:b w:val="0"/>
          <w:color w:val="000000"/>
          <w:szCs w:val="22"/>
          <w:lang w:val="hy-AM"/>
        </w:rPr>
        <w:softHyphen/>
        <w:t>վող հարկերը: Հարկային ծախսերի շրջանակի որոշման համար հաշվի է առնվել Հենա</w:t>
      </w:r>
      <w:r w:rsidRPr="007955BB">
        <w:rPr>
          <w:rFonts w:cs="Sylfaen"/>
          <w:b w:val="0"/>
          <w:color w:val="000000"/>
          <w:szCs w:val="22"/>
          <w:lang w:val="hy-AM"/>
        </w:rPr>
        <w:softHyphen/>
        <w:t>նի</w:t>
      </w:r>
      <w:r w:rsidRPr="007955BB">
        <w:rPr>
          <w:rFonts w:cs="Sylfaen"/>
          <w:b w:val="0"/>
          <w:color w:val="000000"/>
          <w:szCs w:val="22"/>
          <w:lang w:val="hy-AM"/>
        </w:rPr>
        <w:softHyphen/>
        <w:t>շա</w:t>
      </w:r>
      <w:r w:rsidRPr="007955BB">
        <w:rPr>
          <w:rFonts w:cs="Sylfaen"/>
          <w:b w:val="0"/>
          <w:color w:val="000000"/>
          <w:szCs w:val="22"/>
          <w:lang w:val="hy-AM"/>
        </w:rPr>
        <w:softHyphen/>
        <w:t>յին հարկ հասկացությունը, որն իրենից ներկայացնում է հարկերի այն հան</w:t>
      </w:r>
      <w:r w:rsidRPr="007955BB">
        <w:rPr>
          <w:rFonts w:cs="Sylfaen"/>
          <w:b w:val="0"/>
          <w:color w:val="000000"/>
          <w:szCs w:val="22"/>
          <w:lang w:val="hy-AM"/>
        </w:rPr>
        <w:softHyphen/>
        <w:t>րա</w:t>
      </w:r>
      <w:r w:rsidRPr="007955BB">
        <w:rPr>
          <w:rFonts w:cs="Sylfaen"/>
          <w:b w:val="0"/>
          <w:color w:val="000000"/>
          <w:szCs w:val="22"/>
          <w:lang w:val="hy-AM"/>
        </w:rPr>
        <w:softHyphen/>
        <w:t>գու</w:t>
      </w:r>
      <w:r w:rsidRPr="007955BB">
        <w:rPr>
          <w:rFonts w:cs="Sylfaen"/>
          <w:b w:val="0"/>
          <w:color w:val="000000"/>
          <w:szCs w:val="22"/>
          <w:lang w:val="hy-AM"/>
        </w:rPr>
        <w:softHyphen/>
        <w:t>մարը, որը կվճար</w:t>
      </w:r>
      <w:r w:rsidRPr="007955BB">
        <w:rPr>
          <w:rFonts w:cs="Sylfaen"/>
          <w:b w:val="0"/>
          <w:color w:val="000000"/>
          <w:szCs w:val="22"/>
          <w:lang w:val="hy-AM"/>
        </w:rPr>
        <w:softHyphen/>
        <w:t>վեր պետական բյուջե տնտեսության մեջ ձևավորվող ողջ հարկման բազան հար</w:t>
      </w:r>
      <w:r w:rsidRPr="007955BB">
        <w:rPr>
          <w:rFonts w:cs="Sylfaen"/>
          <w:b w:val="0"/>
          <w:color w:val="000000"/>
          <w:szCs w:val="22"/>
          <w:lang w:val="hy-AM"/>
        </w:rPr>
        <w:softHyphen/>
        <w:t>կելու պարա</w:t>
      </w:r>
      <w:r w:rsidRPr="007955BB">
        <w:rPr>
          <w:rFonts w:cs="Sylfaen"/>
          <w:b w:val="0"/>
          <w:color w:val="000000"/>
          <w:szCs w:val="22"/>
          <w:lang w:val="hy-AM"/>
        </w:rPr>
        <w:softHyphen/>
        <w:t>գայում: Այս համատեքստում հարկային ծախսերը որոշվել են որպես հենանի</w:t>
      </w:r>
      <w:r w:rsidRPr="007955BB">
        <w:rPr>
          <w:rFonts w:cs="Sylfaen"/>
          <w:b w:val="0"/>
          <w:color w:val="000000"/>
          <w:szCs w:val="22"/>
          <w:lang w:val="hy-AM"/>
        </w:rPr>
        <w:softHyphen/>
        <w:t>շա</w:t>
      </w:r>
      <w:r w:rsidRPr="007955BB">
        <w:rPr>
          <w:rFonts w:cs="Sylfaen"/>
          <w:b w:val="0"/>
          <w:color w:val="000000"/>
          <w:szCs w:val="22"/>
          <w:lang w:val="hy-AM"/>
        </w:rPr>
        <w:softHyphen/>
        <w:t>յին հարկերի և փաստացի պետական բյուջե վճարվող հարկերի տարբերություն: Հար</w:t>
      </w:r>
      <w:r w:rsidRPr="007955BB">
        <w:rPr>
          <w:rFonts w:cs="Sylfaen"/>
          <w:b w:val="0"/>
          <w:color w:val="000000"/>
          <w:szCs w:val="22"/>
          <w:lang w:val="hy-AM"/>
        </w:rPr>
        <w:softHyphen/>
        <w:t>կային ծախսերի գնահատումը` որպես հենանիշային հարկերի ու պետական բյուջե փաս</w:t>
      </w:r>
      <w:r w:rsidRPr="007955BB">
        <w:rPr>
          <w:rFonts w:cs="Sylfaen"/>
          <w:b w:val="0"/>
          <w:color w:val="000000"/>
          <w:szCs w:val="22"/>
          <w:lang w:val="hy-AM"/>
        </w:rPr>
        <w:softHyphen/>
        <w:t>տացի գանձվող հարկերի տարբերություն, ընդունված մոտեցում է նաև միջազգային պրակ</w:t>
      </w:r>
      <w:r w:rsidRPr="007955BB">
        <w:rPr>
          <w:rFonts w:cs="Sylfaen"/>
          <w:b w:val="0"/>
          <w:color w:val="000000"/>
          <w:szCs w:val="22"/>
          <w:lang w:val="hy-AM"/>
        </w:rPr>
        <w:softHyphen/>
        <w:t>տի</w:t>
      </w:r>
      <w:r w:rsidRPr="007955BB">
        <w:rPr>
          <w:rFonts w:cs="Sylfaen"/>
          <w:b w:val="0"/>
          <w:color w:val="000000"/>
          <w:szCs w:val="22"/>
          <w:lang w:val="hy-AM"/>
        </w:rPr>
        <w:softHyphen/>
        <w:t>կա</w:t>
      </w:r>
      <w:r w:rsidRPr="007955BB">
        <w:rPr>
          <w:rFonts w:cs="Sylfaen"/>
          <w:b w:val="0"/>
          <w:color w:val="000000"/>
          <w:szCs w:val="22"/>
          <w:lang w:val="hy-AM"/>
        </w:rPr>
        <w:softHyphen/>
        <w:t>յում: Ընդ որում, հատկանշական է այն, որ միջազգային պրակտիկայում հենա</w:t>
      </w:r>
      <w:r w:rsidRPr="007955BB">
        <w:rPr>
          <w:rFonts w:cs="Sylfaen"/>
          <w:b w:val="0"/>
          <w:color w:val="000000"/>
          <w:szCs w:val="22"/>
          <w:lang w:val="hy-AM"/>
        </w:rPr>
        <w:softHyphen/>
        <w:t>նի</w:t>
      </w:r>
      <w:r w:rsidRPr="007955BB">
        <w:rPr>
          <w:rFonts w:cs="Sylfaen"/>
          <w:b w:val="0"/>
          <w:color w:val="000000"/>
          <w:szCs w:val="22"/>
          <w:lang w:val="hy-AM"/>
        </w:rPr>
        <w:softHyphen/>
        <w:t>շային հար</w:t>
      </w:r>
      <w:r w:rsidRPr="007955BB">
        <w:rPr>
          <w:rFonts w:cs="Sylfaen"/>
          <w:b w:val="0"/>
          <w:color w:val="000000"/>
          <w:szCs w:val="22"/>
          <w:lang w:val="hy-AM"/>
        </w:rPr>
        <w:softHyphen/>
        <w:t>կերի կամ այլ կերպ ասած` հարկային նշաձողի միասնական կամ սպառիչ սահ</w:t>
      </w:r>
      <w:r w:rsidRPr="007955BB">
        <w:rPr>
          <w:rFonts w:cs="Sylfaen"/>
          <w:b w:val="0"/>
          <w:color w:val="000000"/>
          <w:szCs w:val="22"/>
          <w:lang w:val="hy-AM"/>
        </w:rPr>
        <w:softHyphen/>
        <w:t>մա</w:t>
      </w:r>
      <w:r w:rsidRPr="007955BB">
        <w:rPr>
          <w:rFonts w:cs="Sylfaen"/>
          <w:b w:val="0"/>
          <w:color w:val="000000"/>
          <w:szCs w:val="22"/>
          <w:lang w:val="hy-AM"/>
        </w:rPr>
        <w:softHyphen/>
        <w:t>նում չկա: Երկրների մի մասում, օրինակ, հարկային ծախսերը սահմանվում են որպես օրենս</w:t>
      </w:r>
      <w:r w:rsidRPr="007955BB">
        <w:rPr>
          <w:rFonts w:cs="Sylfaen"/>
          <w:b w:val="0"/>
          <w:color w:val="000000"/>
          <w:szCs w:val="22"/>
          <w:lang w:val="hy-AM"/>
        </w:rPr>
        <w:softHyphen/>
      </w:r>
      <w:r w:rsidRPr="007955BB">
        <w:rPr>
          <w:rFonts w:cs="Sylfaen"/>
          <w:b w:val="0"/>
          <w:color w:val="000000"/>
          <w:szCs w:val="22"/>
          <w:lang w:val="hy-AM"/>
        </w:rPr>
        <w:softHyphen/>
        <w:t>դրու</w:t>
      </w:r>
      <w:r w:rsidRPr="007955BB">
        <w:rPr>
          <w:rFonts w:cs="Sylfaen"/>
          <w:b w:val="0"/>
          <w:color w:val="000000"/>
          <w:szCs w:val="22"/>
          <w:lang w:val="hy-AM"/>
        </w:rPr>
        <w:softHyphen/>
      </w:r>
      <w:r w:rsidRPr="007955BB">
        <w:rPr>
          <w:rFonts w:cs="Sylfaen"/>
          <w:b w:val="0"/>
          <w:color w:val="000000"/>
          <w:szCs w:val="22"/>
          <w:lang w:val="hy-AM"/>
        </w:rPr>
        <w:softHyphen/>
        <w:t>թյամբ նախատեսված դրույթներ, որոնց կիրառությունը հանգեցնում է պետական եկա</w:t>
      </w:r>
      <w:r w:rsidRPr="007955BB">
        <w:rPr>
          <w:rFonts w:cs="Sylfaen"/>
          <w:b w:val="0"/>
          <w:color w:val="000000"/>
          <w:szCs w:val="22"/>
          <w:lang w:val="hy-AM"/>
        </w:rPr>
        <w:softHyphen/>
        <w:t>մուտ</w:t>
      </w:r>
      <w:r w:rsidRPr="007955BB">
        <w:rPr>
          <w:rFonts w:cs="Sylfaen"/>
          <w:b w:val="0"/>
          <w:color w:val="000000"/>
          <w:szCs w:val="22"/>
          <w:lang w:val="hy-AM"/>
        </w:rPr>
        <w:softHyphen/>
        <w:t>ների կրճատման հարկային նշաձողի կամ նորմի (այսինքն` հարկի հաշվարկման հիմ</w:t>
      </w:r>
      <w:r w:rsidRPr="007955BB">
        <w:rPr>
          <w:rFonts w:cs="Sylfaen"/>
          <w:b w:val="0"/>
          <w:color w:val="000000"/>
          <w:szCs w:val="22"/>
          <w:lang w:val="hy-AM"/>
        </w:rPr>
        <w:softHyphen/>
        <w:t>նա</w:t>
      </w:r>
      <w:r w:rsidRPr="007955BB">
        <w:rPr>
          <w:rFonts w:cs="Sylfaen"/>
          <w:b w:val="0"/>
          <w:color w:val="000000"/>
          <w:szCs w:val="22"/>
          <w:lang w:val="hy-AM"/>
        </w:rPr>
        <w:softHyphen/>
        <w:t>կան սկզբունքի) կիրառության համեմատությամբ: Հարկային ծախսերի սահմանման ընդ</w:t>
      </w:r>
      <w:r w:rsidRPr="007955BB">
        <w:rPr>
          <w:rFonts w:cs="Sylfaen"/>
          <w:b w:val="0"/>
          <w:color w:val="000000"/>
          <w:szCs w:val="22"/>
          <w:lang w:val="hy-AM"/>
        </w:rPr>
        <w:softHyphen/>
        <w:t>հա</w:t>
      </w:r>
      <w:r w:rsidRPr="007955BB">
        <w:rPr>
          <w:rFonts w:cs="Sylfaen"/>
          <w:b w:val="0"/>
          <w:color w:val="000000"/>
          <w:szCs w:val="22"/>
          <w:lang w:val="hy-AM"/>
        </w:rPr>
        <w:softHyphen/>
        <w:t>նուր սկզբունքն այն է, որ դրանք ունեն սահմանափակ կիրառության շրջանակ: Օրենս</w:t>
      </w:r>
      <w:r w:rsidRPr="007955BB">
        <w:rPr>
          <w:rFonts w:cs="Sylfaen"/>
          <w:b w:val="0"/>
          <w:color w:val="000000"/>
          <w:szCs w:val="22"/>
          <w:lang w:val="hy-AM"/>
        </w:rPr>
        <w:softHyphen/>
        <w:t>դրու</w:t>
      </w:r>
      <w:r w:rsidRPr="007955BB">
        <w:rPr>
          <w:rFonts w:cs="Sylfaen"/>
          <w:b w:val="0"/>
          <w:color w:val="000000"/>
          <w:szCs w:val="22"/>
          <w:lang w:val="hy-AM"/>
        </w:rPr>
        <w:softHyphen/>
        <w:t>թյան այնպիսի դրույթներ, որոնցից կարող է օգտվել հարկ վճարողների մեծա</w:t>
      </w:r>
      <w:r w:rsidRPr="007955BB">
        <w:rPr>
          <w:rFonts w:cs="Sylfaen"/>
          <w:b w:val="0"/>
          <w:color w:val="000000"/>
          <w:szCs w:val="22"/>
          <w:lang w:val="hy-AM"/>
        </w:rPr>
        <w:softHyphen/>
        <w:t>մաս</w:t>
      </w:r>
      <w:r w:rsidRPr="007955BB">
        <w:rPr>
          <w:rFonts w:cs="Sylfaen"/>
          <w:b w:val="0"/>
          <w:color w:val="000000"/>
          <w:szCs w:val="22"/>
          <w:lang w:val="hy-AM"/>
        </w:rPr>
        <w:softHyphen/>
        <w:t>նու</w:t>
      </w:r>
      <w:r w:rsidRPr="007955BB">
        <w:rPr>
          <w:rFonts w:cs="Sylfaen"/>
          <w:b w:val="0"/>
          <w:color w:val="000000"/>
          <w:szCs w:val="22"/>
          <w:lang w:val="hy-AM"/>
        </w:rPr>
        <w:softHyphen/>
        <w:t>թյունը, դիտվում են որպես ընդհանուր կանոնի` հարկային նորմի մաս և չեն որակվում որպես հարկային ծախսեր: Կան երկրներ, որտեղ ընդհանրապես հարկային ծախ</w:t>
      </w:r>
      <w:r w:rsidRPr="007955BB">
        <w:rPr>
          <w:rFonts w:cs="Sylfaen"/>
          <w:b w:val="0"/>
          <w:color w:val="000000"/>
          <w:szCs w:val="22"/>
          <w:lang w:val="hy-AM"/>
        </w:rPr>
        <w:softHyphen/>
        <w:t>սերի կամ հենա</w:t>
      </w:r>
      <w:r w:rsidRPr="007955BB">
        <w:rPr>
          <w:rFonts w:cs="Sylfaen"/>
          <w:b w:val="0"/>
          <w:color w:val="000000"/>
          <w:szCs w:val="22"/>
          <w:lang w:val="hy-AM"/>
        </w:rPr>
        <w:softHyphen/>
        <w:t>նի</w:t>
      </w:r>
      <w:r w:rsidRPr="007955BB">
        <w:rPr>
          <w:rFonts w:cs="Sylfaen"/>
          <w:b w:val="0"/>
          <w:color w:val="000000"/>
          <w:szCs w:val="22"/>
          <w:lang w:val="hy-AM"/>
        </w:rPr>
        <w:softHyphen/>
      </w:r>
      <w:r w:rsidRPr="007955BB">
        <w:rPr>
          <w:rFonts w:cs="Sylfaen"/>
          <w:b w:val="0"/>
          <w:color w:val="000000"/>
          <w:szCs w:val="22"/>
          <w:lang w:val="hy-AM"/>
        </w:rPr>
        <w:softHyphen/>
        <w:t>շային հարկի կամ հարկային նշաձողի սահմանումներ չկան: Այս երկրնե</w:t>
      </w:r>
      <w:r w:rsidRPr="007955BB">
        <w:rPr>
          <w:rFonts w:cs="Sylfaen"/>
          <w:b w:val="0"/>
          <w:color w:val="000000"/>
          <w:szCs w:val="22"/>
          <w:lang w:val="hy-AM"/>
        </w:rPr>
        <w:softHyphen/>
        <w:t>րում, օրենս</w:t>
      </w:r>
      <w:r w:rsidRPr="007955BB">
        <w:rPr>
          <w:rFonts w:cs="Sylfaen"/>
          <w:b w:val="0"/>
          <w:color w:val="000000"/>
          <w:szCs w:val="22"/>
          <w:lang w:val="hy-AM"/>
        </w:rPr>
        <w:softHyphen/>
        <w:t>դրու</w:t>
      </w:r>
      <w:r w:rsidRPr="007955BB">
        <w:rPr>
          <w:rFonts w:cs="Sylfaen"/>
          <w:b w:val="0"/>
          <w:color w:val="000000"/>
          <w:szCs w:val="22"/>
          <w:lang w:val="hy-AM"/>
        </w:rPr>
        <w:softHyphen/>
        <w:t>թյան առանձնա</w:t>
      </w:r>
      <w:r w:rsidRPr="007955BB">
        <w:rPr>
          <w:rFonts w:cs="Sylfaen"/>
          <w:b w:val="0"/>
          <w:color w:val="000000"/>
          <w:szCs w:val="22"/>
          <w:lang w:val="hy-AM"/>
        </w:rPr>
        <w:softHyphen/>
        <w:t>հա</w:t>
      </w:r>
      <w:r w:rsidRPr="007955BB">
        <w:rPr>
          <w:rFonts w:cs="Sylfaen"/>
          <w:b w:val="0"/>
          <w:color w:val="000000"/>
          <w:szCs w:val="22"/>
          <w:lang w:val="hy-AM"/>
        </w:rPr>
        <w:softHyphen/>
        <w:t>տուկ դրույթները (օրինակ, ազատումներ կամ հարկման նվազեցված դրույքաչափեր) դիտ</w:t>
      </w:r>
      <w:r w:rsidRPr="007955BB">
        <w:rPr>
          <w:rFonts w:cs="Sylfaen"/>
          <w:b w:val="0"/>
          <w:color w:val="000000"/>
          <w:szCs w:val="22"/>
          <w:lang w:val="hy-AM"/>
        </w:rPr>
        <w:softHyphen/>
      </w:r>
      <w:r w:rsidRPr="007955BB">
        <w:rPr>
          <w:rFonts w:cs="Sylfaen"/>
          <w:b w:val="0"/>
          <w:color w:val="000000"/>
          <w:szCs w:val="22"/>
          <w:lang w:val="hy-AM"/>
        </w:rPr>
        <w:softHyphen/>
        <w:t>վում են որպես բազային հարկային համակարգի մաս, այլ ոչ թե որպես հարկային ծախս: Ընդհանուր առմամբ, ձեռնարկատիրական գործունեության հետ կապված ազատում</w:t>
      </w:r>
      <w:r w:rsidRPr="007955BB">
        <w:rPr>
          <w:rFonts w:cs="Sylfaen"/>
          <w:b w:val="0"/>
          <w:color w:val="000000"/>
          <w:szCs w:val="22"/>
          <w:lang w:val="hy-AM"/>
        </w:rPr>
        <w:softHyphen/>
        <w:t>ները երկրների այս խմբում չեն դիտարկվում որպես հարկային ծախ</w:t>
      </w:r>
      <w:r w:rsidRPr="007955BB">
        <w:rPr>
          <w:rFonts w:cs="Sylfaen"/>
          <w:b w:val="0"/>
          <w:color w:val="000000"/>
          <w:szCs w:val="22"/>
          <w:lang w:val="hy-AM"/>
        </w:rPr>
        <w:softHyphen/>
        <w:t>սեր: Երրորդ խումբ երկրներում հար</w:t>
      </w:r>
      <w:r w:rsidRPr="007955BB">
        <w:rPr>
          <w:rFonts w:cs="Sylfaen"/>
          <w:b w:val="0"/>
          <w:color w:val="000000"/>
          <w:szCs w:val="22"/>
          <w:lang w:val="hy-AM"/>
        </w:rPr>
        <w:softHyphen/>
        <w:t>կա</w:t>
      </w:r>
      <w:r w:rsidRPr="007955BB">
        <w:rPr>
          <w:rFonts w:cs="Sylfaen"/>
          <w:b w:val="0"/>
          <w:color w:val="000000"/>
          <w:szCs w:val="22"/>
          <w:lang w:val="hy-AM"/>
        </w:rPr>
        <w:softHyphen/>
        <w:t>յին ծախսերը սահմանվում են որպես հարկային համակարգի առանձին դրույթներ, որոնք նվա</w:t>
      </w:r>
      <w:r w:rsidRPr="007955BB">
        <w:rPr>
          <w:rFonts w:cs="Sylfaen"/>
          <w:b w:val="0"/>
          <w:color w:val="000000"/>
          <w:szCs w:val="22"/>
          <w:lang w:val="hy-AM"/>
        </w:rPr>
        <w:softHyphen/>
        <w:t>զեցնում են տնտեսական միավորի հարկային պարտավորությունները` որոշակի քաղա</w:t>
      </w:r>
      <w:r w:rsidRPr="007955BB">
        <w:rPr>
          <w:rFonts w:cs="Sylfaen"/>
          <w:b w:val="0"/>
          <w:color w:val="000000"/>
          <w:szCs w:val="22"/>
          <w:lang w:val="hy-AM"/>
        </w:rPr>
        <w:softHyphen/>
        <w:t>քա</w:t>
      </w:r>
      <w:r w:rsidRPr="007955BB">
        <w:rPr>
          <w:rFonts w:cs="Sylfaen"/>
          <w:b w:val="0"/>
          <w:color w:val="000000"/>
          <w:szCs w:val="22"/>
          <w:lang w:val="hy-AM"/>
        </w:rPr>
        <w:softHyphen/>
        <w:t>կանության նպատակներին հասնելու և ոչ թե առավել արդյունավետ և տնտեսապես չեզոք եղանակով եկամուտներ ստանալու նպա</w:t>
      </w:r>
      <w:r w:rsidRPr="007955BB">
        <w:rPr>
          <w:rFonts w:cs="Sylfaen"/>
          <w:b w:val="0"/>
          <w:color w:val="000000"/>
          <w:szCs w:val="22"/>
          <w:lang w:val="hy-AM"/>
        </w:rPr>
        <w:softHyphen/>
        <w:t>տա</w:t>
      </w:r>
      <w:r w:rsidRPr="007955BB">
        <w:rPr>
          <w:rFonts w:cs="Sylfaen"/>
          <w:b w:val="0"/>
          <w:color w:val="000000"/>
          <w:szCs w:val="22"/>
          <w:lang w:val="hy-AM"/>
        </w:rPr>
        <w:softHyphen/>
        <w:t>կով:</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Հաշվետվության շրջանակներում գնա</w:t>
      </w:r>
      <w:r w:rsidRPr="007955BB">
        <w:rPr>
          <w:rFonts w:cs="Sylfaen"/>
          <w:b w:val="0"/>
          <w:color w:val="000000"/>
          <w:szCs w:val="22"/>
          <w:lang w:val="hy-AM"/>
        </w:rPr>
        <w:softHyphen/>
        <w:t>հատ</w:t>
      </w:r>
      <w:r w:rsidRPr="007955BB">
        <w:rPr>
          <w:rFonts w:cs="Sylfaen"/>
          <w:b w:val="0"/>
          <w:color w:val="000000"/>
          <w:szCs w:val="22"/>
          <w:lang w:val="hy-AM"/>
        </w:rPr>
        <w:softHyphen/>
        <w:t xml:space="preserve">վել են </w:t>
      </w:r>
      <w:r w:rsidR="00A94018">
        <w:rPr>
          <w:rFonts w:cs="Sylfaen"/>
          <w:b w:val="0"/>
          <w:color w:val="000000"/>
          <w:szCs w:val="22"/>
          <w:lang w:val="hy-AM"/>
        </w:rPr>
        <w:t>ԱԱՀ</w:t>
      </w:r>
      <w:r w:rsidR="00A94018" w:rsidRPr="00A94018">
        <w:rPr>
          <w:rFonts w:cs="Sylfaen"/>
          <w:b w:val="0"/>
          <w:color w:val="000000"/>
          <w:szCs w:val="22"/>
          <w:lang w:val="hy-AM"/>
        </w:rPr>
        <w:t>-</w:t>
      </w:r>
      <w:r w:rsidRPr="007955BB">
        <w:rPr>
          <w:rFonts w:cs="Sylfaen"/>
          <w:b w:val="0"/>
          <w:color w:val="000000"/>
          <w:szCs w:val="22"/>
          <w:lang w:val="hy-AM"/>
        </w:rPr>
        <w:t>ին, շահութահարկին և եկա</w:t>
      </w:r>
      <w:r w:rsidRPr="007955BB">
        <w:rPr>
          <w:rFonts w:cs="Sylfaen"/>
          <w:b w:val="0"/>
          <w:color w:val="000000"/>
          <w:szCs w:val="22"/>
          <w:lang w:val="hy-AM"/>
        </w:rPr>
        <w:softHyphen/>
        <w:t>մտա</w:t>
      </w:r>
      <w:r w:rsidRPr="007955BB">
        <w:rPr>
          <w:rFonts w:cs="Sylfaen"/>
          <w:b w:val="0"/>
          <w:color w:val="000000"/>
          <w:szCs w:val="22"/>
          <w:lang w:val="hy-AM"/>
        </w:rPr>
        <w:softHyphen/>
        <w:t>յին հարկին վերա</w:t>
      </w:r>
      <w:r w:rsidRPr="007955BB">
        <w:rPr>
          <w:rFonts w:cs="Sylfaen"/>
          <w:b w:val="0"/>
          <w:color w:val="000000"/>
          <w:szCs w:val="22"/>
          <w:lang w:val="hy-AM"/>
        </w:rPr>
        <w:softHyphen/>
        <w:t>բե</w:t>
      </w:r>
      <w:r w:rsidRPr="007955BB">
        <w:rPr>
          <w:rFonts w:cs="Sylfaen"/>
          <w:b w:val="0"/>
          <w:color w:val="000000"/>
          <w:szCs w:val="22"/>
          <w:lang w:val="hy-AM"/>
        </w:rPr>
        <w:softHyphen/>
      </w:r>
      <w:r w:rsidRPr="007955BB">
        <w:rPr>
          <w:rFonts w:cs="Sylfaen"/>
          <w:b w:val="0"/>
          <w:color w:val="000000"/>
          <w:szCs w:val="22"/>
          <w:lang w:val="hy-AM"/>
        </w:rPr>
        <w:softHyphen/>
        <w:t xml:space="preserve">րող հիմնական (ընդգրկուն) հարկային արտոնությունների, </w:t>
      </w:r>
      <w:r w:rsidR="00A94018">
        <w:rPr>
          <w:rFonts w:cs="Sylfaen"/>
          <w:b w:val="0"/>
          <w:color w:val="000000"/>
          <w:szCs w:val="22"/>
          <w:lang w:val="hy-AM"/>
        </w:rPr>
        <w:t>ԱԱՀ</w:t>
      </w:r>
      <w:r w:rsidR="00A94018" w:rsidRPr="00A94018">
        <w:rPr>
          <w:rFonts w:cs="Sylfaen"/>
          <w:b w:val="0"/>
          <w:color w:val="000000"/>
          <w:szCs w:val="22"/>
          <w:lang w:val="hy-AM"/>
        </w:rPr>
        <w:t>-</w:t>
      </w:r>
      <w:r w:rsidRPr="007955BB">
        <w:rPr>
          <w:rFonts w:cs="Sylfaen"/>
          <w:b w:val="0"/>
          <w:color w:val="000000"/>
          <w:szCs w:val="22"/>
          <w:lang w:val="hy-AM"/>
        </w:rPr>
        <w:t>ի չհարկվող շեմի և միկրոբիզնեսի կիրառության հետևան</w:t>
      </w:r>
      <w:r w:rsidRPr="007955BB">
        <w:rPr>
          <w:rFonts w:cs="Sylfaen"/>
          <w:b w:val="0"/>
          <w:color w:val="000000"/>
          <w:szCs w:val="22"/>
          <w:lang w:val="hy-AM"/>
        </w:rPr>
        <w:softHyphen/>
        <w:t>քով պետական բյուջե չգանձ</w:t>
      </w:r>
      <w:r w:rsidRPr="007955BB">
        <w:rPr>
          <w:rFonts w:cs="Sylfaen"/>
          <w:b w:val="0"/>
          <w:color w:val="000000"/>
          <w:szCs w:val="22"/>
          <w:lang w:val="hy-AM"/>
        </w:rPr>
        <w:softHyphen/>
      </w:r>
      <w:r w:rsidRPr="007955BB">
        <w:rPr>
          <w:rFonts w:cs="Sylfaen"/>
          <w:b w:val="0"/>
          <w:color w:val="000000"/>
          <w:szCs w:val="22"/>
          <w:lang w:val="hy-AM"/>
        </w:rPr>
        <w:softHyphen/>
        <w:t>վող (պակաս գանձ</w:t>
      </w:r>
      <w:r w:rsidRPr="007955BB">
        <w:rPr>
          <w:rFonts w:cs="Sylfaen"/>
          <w:b w:val="0"/>
          <w:color w:val="000000"/>
          <w:szCs w:val="22"/>
          <w:lang w:val="hy-AM"/>
        </w:rPr>
        <w:softHyphen/>
        <w:t>վող) հար</w:t>
      </w:r>
      <w:r w:rsidRPr="007955BB">
        <w:rPr>
          <w:rFonts w:cs="Sylfaen"/>
          <w:b w:val="0"/>
          <w:color w:val="000000"/>
          <w:szCs w:val="22"/>
          <w:lang w:val="hy-AM"/>
        </w:rPr>
        <w:softHyphen/>
        <w:t>կային եկամուտները: Այսինքն` սույն հաշվետվությամբ տրվել է արդյունավետ հարկաբյուեջատային քաղաքականության իրականացման համար անհրաժեշտ հարկային ծախսերի նվազագույն գնահատականը, որի ընդգրկման շրջանակների սահմանափակ լինելը հիմնականում պայմանավորված է հարկային ծախսերի առանձին տեսակների գնահատման համար անհրաժեշտ տվյալների բացակայությամբ:</w:t>
      </w:r>
    </w:p>
    <w:p w:rsidR="00E84267" w:rsidRPr="007955BB" w:rsidRDefault="00E84267" w:rsidP="00E84267">
      <w:pPr>
        <w:shd w:val="clear" w:color="auto" w:fill="FFFFFF"/>
        <w:spacing w:before="0" w:line="276" w:lineRule="auto"/>
        <w:rPr>
          <w:rFonts w:cs="Sylfaen"/>
          <w:color w:val="000000"/>
          <w:szCs w:val="22"/>
          <w:lang w:val="hy-AM"/>
        </w:rPr>
      </w:pPr>
      <w:r w:rsidRPr="007955BB">
        <w:rPr>
          <w:rFonts w:cs="Sylfaen"/>
          <w:color w:val="000000"/>
          <w:szCs w:val="22"/>
          <w:lang w:val="hy-AM"/>
        </w:rPr>
        <w:t>Հարկային ծախսերի մասին հաշվետվություննների կազմման ու ներկայացման</w:t>
      </w:r>
    </w:p>
    <w:p w:rsidR="00E84267" w:rsidRPr="007955BB" w:rsidRDefault="00E84267" w:rsidP="00E84267">
      <w:pPr>
        <w:shd w:val="clear" w:color="auto" w:fill="FFFFFF"/>
        <w:spacing w:before="0" w:line="276" w:lineRule="auto"/>
        <w:rPr>
          <w:rFonts w:cs="Sylfaen"/>
          <w:color w:val="000000"/>
          <w:szCs w:val="22"/>
          <w:lang w:val="hy-AM"/>
        </w:rPr>
      </w:pPr>
      <w:r w:rsidRPr="007955BB">
        <w:rPr>
          <w:rFonts w:cs="Sylfaen"/>
          <w:color w:val="000000"/>
          <w:szCs w:val="22"/>
          <w:lang w:val="hy-AM"/>
        </w:rPr>
        <w:t>միջազգային փորձը.</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Հարկային ծախսերի մասին հաշվետվությունների կազմումն ու ներկայացումը ընդուն</w:t>
      </w:r>
      <w:r w:rsidRPr="007955BB">
        <w:rPr>
          <w:rFonts w:cs="Sylfaen"/>
          <w:b w:val="0"/>
          <w:color w:val="000000"/>
          <w:szCs w:val="22"/>
          <w:lang w:val="hy-AM"/>
        </w:rPr>
        <w:softHyphen/>
        <w:t>ված ու տարածված գործելակերպ է Եվրոպական Միության ու Տնտեսական համագոր</w:t>
      </w:r>
      <w:r w:rsidRPr="007955BB">
        <w:rPr>
          <w:rFonts w:cs="Sylfaen"/>
          <w:b w:val="0"/>
          <w:color w:val="000000"/>
          <w:szCs w:val="22"/>
          <w:lang w:val="hy-AM"/>
        </w:rPr>
        <w:softHyphen/>
        <w:t>ծակ</w:t>
      </w:r>
      <w:r w:rsidRPr="007955BB">
        <w:rPr>
          <w:rFonts w:cs="Sylfaen"/>
          <w:b w:val="0"/>
          <w:color w:val="000000"/>
          <w:szCs w:val="22"/>
          <w:lang w:val="hy-AM"/>
        </w:rPr>
        <w:softHyphen/>
        <w:t>ցու</w:t>
      </w:r>
      <w:r w:rsidRPr="007955BB">
        <w:rPr>
          <w:rFonts w:cs="Sylfaen"/>
          <w:b w:val="0"/>
          <w:color w:val="000000"/>
          <w:szCs w:val="22"/>
          <w:lang w:val="hy-AM"/>
        </w:rPr>
        <w:softHyphen/>
        <w:t>թյան և զարգացման կազմակերպության անդամ երկրների մեծ մասում:</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Հարկային ծախսերի վերաբերյալ առաջին հաշվետվությունները կազմվել են 1960-ական թվականների վերջերին Գերմանիայում և Ամերիկայի Միացյալ Նահանգներում: 1970-ական թվականների վերջին հարկային ծախսերի մասին հաշվետվություններ սկսեցին կազմ</w:t>
      </w:r>
      <w:r w:rsidRPr="007955BB">
        <w:rPr>
          <w:rFonts w:cs="Sylfaen"/>
          <w:b w:val="0"/>
          <w:color w:val="000000"/>
          <w:szCs w:val="22"/>
          <w:lang w:val="hy-AM"/>
        </w:rPr>
        <w:softHyphen/>
        <w:t>վել նաև Ավստրիայում, Կանադայում, Իսպանիայում և Միացյալ Թագավորությունում:</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Հարկային ծախսերի տարեկան հաշվետվությունները կազմվում և հրապարակվում են հար</w:t>
      </w:r>
      <w:r w:rsidRPr="007955BB">
        <w:rPr>
          <w:rFonts w:cs="Sylfaen"/>
          <w:b w:val="0"/>
          <w:color w:val="000000"/>
          <w:szCs w:val="22"/>
          <w:lang w:val="hy-AM"/>
        </w:rPr>
        <w:softHyphen/>
      </w:r>
      <w:r w:rsidRPr="007955BB">
        <w:rPr>
          <w:rFonts w:cs="Sylfaen"/>
          <w:b w:val="0"/>
          <w:color w:val="000000"/>
          <w:szCs w:val="22"/>
          <w:lang w:val="hy-AM"/>
        </w:rPr>
        <w:softHyphen/>
      </w:r>
      <w:r w:rsidRPr="007955BB">
        <w:rPr>
          <w:rFonts w:cs="Sylfaen"/>
          <w:b w:val="0"/>
          <w:color w:val="000000"/>
          <w:szCs w:val="22"/>
          <w:lang w:val="hy-AM"/>
        </w:rPr>
        <w:softHyphen/>
        <w:t>կային արտոնությունների կիրառության արդյունքում չգանձվող հարկային եկա</w:t>
      </w:r>
      <w:r w:rsidRPr="007955BB">
        <w:rPr>
          <w:rFonts w:cs="Sylfaen"/>
          <w:b w:val="0"/>
          <w:color w:val="000000"/>
          <w:szCs w:val="22"/>
          <w:lang w:val="hy-AM"/>
        </w:rPr>
        <w:softHyphen/>
        <w:t>մուտ</w:t>
      </w:r>
      <w:r w:rsidRPr="007955BB">
        <w:rPr>
          <w:rFonts w:cs="Sylfaen"/>
          <w:b w:val="0"/>
          <w:color w:val="000000"/>
          <w:szCs w:val="22"/>
          <w:lang w:val="hy-AM"/>
        </w:rPr>
        <w:softHyphen/>
        <w:t>ների մեծությունը ուշադրության կենտրոնում պահելու, հարկային արտոնությունների շրջա</w:t>
      </w:r>
      <w:r w:rsidRPr="007955BB">
        <w:rPr>
          <w:rFonts w:cs="Sylfaen"/>
          <w:b w:val="0"/>
          <w:color w:val="000000"/>
          <w:szCs w:val="22"/>
          <w:lang w:val="hy-AM"/>
        </w:rPr>
        <w:softHyphen/>
        <w:t>նակի վերանայման վերաբերյալ քաղաքական որոշումներ կայացնելու, ինչպես նաև հար</w:t>
      </w:r>
      <w:r w:rsidRPr="007955BB">
        <w:rPr>
          <w:rFonts w:cs="Sylfaen"/>
          <w:b w:val="0"/>
          <w:color w:val="000000"/>
          <w:szCs w:val="22"/>
          <w:lang w:val="hy-AM"/>
        </w:rPr>
        <w:softHyphen/>
        <w:t>կա</w:t>
      </w:r>
      <w:r w:rsidRPr="007955BB">
        <w:rPr>
          <w:rFonts w:cs="Sylfaen"/>
          <w:b w:val="0"/>
          <w:color w:val="000000"/>
          <w:szCs w:val="22"/>
          <w:lang w:val="hy-AM"/>
        </w:rPr>
        <w:softHyphen/>
        <w:t>բյու</w:t>
      </w:r>
      <w:r w:rsidRPr="007955BB">
        <w:rPr>
          <w:rFonts w:cs="Sylfaen"/>
          <w:b w:val="0"/>
          <w:color w:val="000000"/>
          <w:szCs w:val="22"/>
          <w:lang w:val="hy-AM"/>
        </w:rPr>
        <w:softHyphen/>
        <w:t>ջետային քաղաքականության թափանցիկությունն ու Կառավարության հաշվետվո</w:t>
      </w:r>
      <w:r w:rsidRPr="007955BB">
        <w:rPr>
          <w:rFonts w:cs="Sylfaen"/>
          <w:b w:val="0"/>
          <w:color w:val="000000"/>
          <w:szCs w:val="22"/>
          <w:lang w:val="hy-AM"/>
        </w:rPr>
        <w:softHyphen/>
        <w:t>ղա</w:t>
      </w:r>
      <w:r w:rsidRPr="007955BB">
        <w:rPr>
          <w:rFonts w:cs="Sylfaen"/>
          <w:b w:val="0"/>
          <w:color w:val="000000"/>
          <w:szCs w:val="22"/>
          <w:lang w:val="hy-AM"/>
        </w:rPr>
        <w:softHyphen/>
        <w:t>կա</w:t>
      </w:r>
      <w:r w:rsidRPr="007955BB">
        <w:rPr>
          <w:rFonts w:cs="Sylfaen"/>
          <w:b w:val="0"/>
          <w:color w:val="000000"/>
          <w:szCs w:val="22"/>
          <w:lang w:val="hy-AM"/>
        </w:rPr>
        <w:softHyphen/>
        <w:t>նու</w:t>
      </w:r>
      <w:r w:rsidRPr="007955BB">
        <w:rPr>
          <w:rFonts w:cs="Sylfaen"/>
          <w:b w:val="0"/>
          <w:color w:val="000000"/>
          <w:szCs w:val="22"/>
          <w:lang w:val="hy-AM"/>
        </w:rPr>
        <w:softHyphen/>
        <w:t>թյունն ապահովելու նպատակով:</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Ավստրիայում, Բելգիայում, Ֆրանսիայում, Գերմանիայում, Պորտուգալիայում, Իսպա</w:t>
      </w:r>
      <w:r w:rsidRPr="007955BB">
        <w:rPr>
          <w:rFonts w:cs="Sylfaen"/>
          <w:b w:val="0"/>
          <w:color w:val="000000"/>
          <w:szCs w:val="22"/>
          <w:lang w:val="hy-AM"/>
        </w:rPr>
        <w:softHyphen/>
        <w:t>նիա</w:t>
      </w:r>
      <w:r w:rsidRPr="007955BB">
        <w:rPr>
          <w:rFonts w:cs="Sylfaen"/>
          <w:b w:val="0"/>
          <w:color w:val="000000"/>
          <w:szCs w:val="22"/>
          <w:lang w:val="hy-AM"/>
        </w:rPr>
        <w:softHyphen/>
        <w:t>յում և Միացյալ Թագավորությունում հարկային ծախսերի մասին հաշվետվությունների կազ</w:t>
      </w:r>
      <w:r w:rsidRPr="007955BB">
        <w:rPr>
          <w:rFonts w:cs="Sylfaen"/>
          <w:b w:val="0"/>
          <w:color w:val="000000"/>
          <w:szCs w:val="22"/>
          <w:lang w:val="hy-AM"/>
        </w:rPr>
        <w:softHyphen/>
        <w:t>մումն ու հրապարակումը կարգավորվում է օրենքով: Նշյալ հաշվետվությունները ուղղա</w:t>
      </w:r>
      <w:r w:rsidRPr="007955BB">
        <w:rPr>
          <w:rFonts w:cs="Sylfaen"/>
          <w:b w:val="0"/>
          <w:color w:val="000000"/>
          <w:szCs w:val="22"/>
          <w:lang w:val="hy-AM"/>
        </w:rPr>
        <w:softHyphen/>
        <w:t>կիո</w:t>
      </w:r>
      <w:r w:rsidRPr="007955BB">
        <w:rPr>
          <w:rFonts w:cs="Sylfaen"/>
          <w:b w:val="0"/>
          <w:color w:val="000000"/>
          <w:szCs w:val="22"/>
          <w:lang w:val="hy-AM"/>
        </w:rPr>
        <w:softHyphen/>
        <w:t>րեն կապված են պետական բյուջեի հետ, իսկ դրանց կազմումը բյուջետային գործըն</w:t>
      </w:r>
      <w:r w:rsidRPr="007955BB">
        <w:rPr>
          <w:rFonts w:cs="Sylfaen"/>
          <w:b w:val="0"/>
          <w:color w:val="000000"/>
          <w:szCs w:val="22"/>
          <w:lang w:val="hy-AM"/>
        </w:rPr>
        <w:softHyphen/>
        <w:t>թացի կարևոր բաղկացուցիչներից է:</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Հարկային ծախսերի մասին հաշվետվությունների կազմումն ու ներկայացումը հիմնա</w:t>
      </w:r>
      <w:r w:rsidRPr="007955BB">
        <w:rPr>
          <w:rFonts w:cs="Sylfaen"/>
          <w:b w:val="0"/>
          <w:color w:val="000000"/>
          <w:szCs w:val="22"/>
          <w:lang w:val="hy-AM"/>
        </w:rPr>
        <w:softHyphen/>
        <w:t>կա</w:t>
      </w:r>
      <w:r w:rsidRPr="007955BB">
        <w:rPr>
          <w:rFonts w:cs="Sylfaen"/>
          <w:b w:val="0"/>
          <w:color w:val="000000"/>
          <w:szCs w:val="22"/>
          <w:lang w:val="hy-AM"/>
        </w:rPr>
        <w:softHyphen/>
        <w:t>նում կատարվում է տարեկան պարբերականությամբ, թեև կան երկրներ, որոնք այս հաշ</w:t>
      </w:r>
      <w:r w:rsidRPr="007955BB">
        <w:rPr>
          <w:rFonts w:cs="Sylfaen"/>
          <w:b w:val="0"/>
          <w:color w:val="000000"/>
          <w:szCs w:val="22"/>
          <w:lang w:val="hy-AM"/>
        </w:rPr>
        <w:softHyphen/>
        <w:t>վետ</w:t>
      </w:r>
      <w:r w:rsidRPr="007955BB">
        <w:rPr>
          <w:rFonts w:cs="Sylfaen"/>
          <w:b w:val="0"/>
          <w:color w:val="000000"/>
          <w:szCs w:val="22"/>
          <w:lang w:val="hy-AM"/>
        </w:rPr>
        <w:softHyphen/>
        <w:t>վությունները կազմում և ներկայացնում են երկու կամ երեք տարին մեկ անգամ:</w:t>
      </w:r>
    </w:p>
    <w:p w:rsidR="00E84267" w:rsidRPr="007955BB" w:rsidRDefault="00E84267" w:rsidP="00E84267">
      <w:pPr>
        <w:shd w:val="clear" w:color="auto" w:fill="FFFFFF"/>
        <w:spacing w:before="0" w:line="276" w:lineRule="auto"/>
        <w:rPr>
          <w:rFonts w:cs="Sylfaen"/>
          <w:color w:val="000000"/>
          <w:szCs w:val="22"/>
          <w:lang w:val="hy-AM"/>
        </w:rPr>
      </w:pPr>
      <w:r w:rsidRPr="007955BB">
        <w:rPr>
          <w:rFonts w:cs="Sylfaen"/>
          <w:color w:val="000000"/>
          <w:szCs w:val="22"/>
          <w:lang w:val="hy-AM"/>
        </w:rPr>
        <w:t>Հարկային ծախսերի մասին հաշվետվության կազմման ու ներկայացման</w:t>
      </w:r>
    </w:p>
    <w:p w:rsidR="00E84267" w:rsidRPr="007955BB" w:rsidRDefault="00E84267" w:rsidP="00E84267">
      <w:pPr>
        <w:shd w:val="clear" w:color="auto" w:fill="FFFFFF"/>
        <w:spacing w:before="0" w:line="276" w:lineRule="auto"/>
        <w:rPr>
          <w:rFonts w:cs="Sylfaen"/>
          <w:color w:val="000000"/>
          <w:szCs w:val="22"/>
          <w:lang w:val="hy-AM"/>
        </w:rPr>
      </w:pPr>
      <w:r w:rsidRPr="007955BB">
        <w:rPr>
          <w:rFonts w:cs="Sylfaen"/>
          <w:color w:val="000000"/>
          <w:szCs w:val="22"/>
          <w:lang w:val="hy-AM"/>
        </w:rPr>
        <w:t>անհրաժեշտությունը Հայաստանի Հանրապետությունում.</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 xml:space="preserve">Սույն փաստաթուղթը </w:t>
      </w:r>
      <w:r w:rsidR="00D35F72">
        <w:rPr>
          <w:rFonts w:cs="Sylfaen"/>
          <w:b w:val="0"/>
          <w:color w:val="000000"/>
          <w:szCs w:val="22"/>
          <w:lang w:val="hy-AM"/>
        </w:rPr>
        <w:t>ՀՀ-</w:t>
      </w:r>
      <w:r w:rsidRPr="007955BB">
        <w:rPr>
          <w:rFonts w:cs="Sylfaen"/>
          <w:b w:val="0"/>
          <w:color w:val="000000"/>
          <w:szCs w:val="22"/>
          <w:lang w:val="hy-AM"/>
        </w:rPr>
        <w:t>ում իրականացվող բյուջետային գործ</w:t>
      </w:r>
      <w:r w:rsidRPr="007955BB">
        <w:rPr>
          <w:rFonts w:cs="Sylfaen"/>
          <w:b w:val="0"/>
          <w:color w:val="000000"/>
          <w:szCs w:val="22"/>
          <w:lang w:val="hy-AM"/>
        </w:rPr>
        <w:softHyphen/>
        <w:t>ընթացի շրջանակներում հարկային ծախսերի գնահատման իններորդ հաշվետվությունն է: Թեև մեր երկրի օրենսդրությամբ հարկային ծախսերի մասին հաշվետվություն կազմելու և ներ</w:t>
      </w:r>
      <w:r w:rsidRPr="007955BB">
        <w:rPr>
          <w:rFonts w:cs="Sylfaen"/>
          <w:b w:val="0"/>
          <w:color w:val="000000"/>
          <w:szCs w:val="22"/>
          <w:lang w:val="hy-AM"/>
        </w:rPr>
        <w:softHyphen/>
        <w:t>կայացնելու պահանջ նախատեսված չէ, այդուհանդերձ կարևորելով այսպիսի փաստա</w:t>
      </w:r>
      <w:r w:rsidRPr="007955BB">
        <w:rPr>
          <w:rFonts w:cs="Sylfaen"/>
          <w:b w:val="0"/>
          <w:color w:val="000000"/>
          <w:szCs w:val="22"/>
          <w:lang w:val="hy-AM"/>
        </w:rPr>
        <w:softHyphen/>
        <w:t>թղթերի դերը հանրային ֆինանսների կառավարման թափանցիկության անհրաժեշտ մակար</w:t>
      </w:r>
      <w:r w:rsidRPr="007955BB">
        <w:rPr>
          <w:rFonts w:cs="Sylfaen"/>
          <w:b w:val="0"/>
          <w:color w:val="000000"/>
          <w:szCs w:val="22"/>
          <w:lang w:val="hy-AM"/>
        </w:rPr>
        <w:softHyphen/>
        <w:t>դակի ապահովման գործում՝ Կառավարությունը մտադիր է հարկային ծախսերի մասին ամենամյա հաշվետվությունների կազմումն ու ներկայացումը դարձնել բյուջետային գործ</w:t>
      </w:r>
      <w:r w:rsidRPr="007955BB">
        <w:rPr>
          <w:rFonts w:cs="Sylfaen"/>
          <w:b w:val="0"/>
          <w:color w:val="000000"/>
          <w:szCs w:val="22"/>
          <w:lang w:val="hy-AM"/>
        </w:rPr>
        <w:softHyphen/>
        <w:t>ընթացի կարևոր բաղկացուցիչ:</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Մյուս կողմից, հարկային ծախսերի մասին այսպիսի փաստաթղթի կազմումը հնա</w:t>
      </w:r>
      <w:r w:rsidRPr="007955BB">
        <w:rPr>
          <w:rFonts w:cs="Sylfaen"/>
          <w:b w:val="0"/>
          <w:color w:val="000000"/>
          <w:szCs w:val="22"/>
          <w:lang w:val="hy-AM"/>
        </w:rPr>
        <w:softHyphen/>
        <w:t>րա</w:t>
      </w:r>
      <w:r w:rsidRPr="007955BB">
        <w:rPr>
          <w:rFonts w:cs="Sylfaen"/>
          <w:b w:val="0"/>
          <w:color w:val="000000"/>
          <w:szCs w:val="22"/>
          <w:lang w:val="hy-AM"/>
        </w:rPr>
        <w:softHyphen/>
        <w:t>վո</w:t>
      </w:r>
      <w:r w:rsidRPr="007955BB">
        <w:rPr>
          <w:rFonts w:cs="Sylfaen"/>
          <w:b w:val="0"/>
          <w:color w:val="000000"/>
          <w:szCs w:val="22"/>
          <w:lang w:val="hy-AM"/>
        </w:rPr>
        <w:softHyphen/>
        <w:t>րություն կընձեռի առավել համապարփակ ձևով գնահատել գործող հարկային արտոնու</w:t>
      </w:r>
      <w:r w:rsidRPr="007955BB">
        <w:rPr>
          <w:rFonts w:cs="Sylfaen"/>
          <w:b w:val="0"/>
          <w:color w:val="000000"/>
          <w:szCs w:val="22"/>
          <w:lang w:val="hy-AM"/>
        </w:rPr>
        <w:softHyphen/>
        <w:t>թյուն</w:t>
      </w:r>
      <w:r w:rsidRPr="007955BB">
        <w:rPr>
          <w:rFonts w:cs="Sylfaen"/>
          <w:b w:val="0"/>
          <w:color w:val="000000"/>
          <w:szCs w:val="22"/>
          <w:lang w:val="hy-AM"/>
        </w:rPr>
        <w:softHyphen/>
        <w:t>ների արդյունավետությունը, դրանց հետագա կիրառության նպատակահարմա</w:t>
      </w:r>
      <w:r w:rsidRPr="007955BB">
        <w:rPr>
          <w:rFonts w:cs="Sylfaen"/>
          <w:b w:val="0"/>
          <w:color w:val="000000"/>
          <w:szCs w:val="22"/>
          <w:lang w:val="hy-AM"/>
        </w:rPr>
        <w:softHyphen/>
        <w:t>րու</w:t>
      </w:r>
      <w:r w:rsidRPr="007955BB">
        <w:rPr>
          <w:rFonts w:cs="Sylfaen"/>
          <w:b w:val="0"/>
          <w:color w:val="000000"/>
          <w:szCs w:val="22"/>
          <w:lang w:val="hy-AM"/>
        </w:rPr>
        <w:softHyphen/>
        <w:t>թյունը կամ հարկային արտոնությունները կրճատելու հնարավորություններն ու սահմանա</w:t>
      </w:r>
      <w:r w:rsidRPr="007955BB">
        <w:rPr>
          <w:rFonts w:cs="Sylfaen"/>
          <w:b w:val="0"/>
          <w:color w:val="000000"/>
          <w:szCs w:val="22"/>
          <w:lang w:val="hy-AM"/>
        </w:rPr>
        <w:softHyphen/>
        <w:t>փա</w:t>
      </w:r>
      <w:r w:rsidRPr="007955BB">
        <w:rPr>
          <w:rFonts w:cs="Sylfaen"/>
          <w:b w:val="0"/>
          <w:color w:val="000000"/>
          <w:szCs w:val="22"/>
          <w:lang w:val="hy-AM"/>
        </w:rPr>
        <w:softHyphen/>
        <w:t>կումները:</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Բացի այդ, հարկային ծախսերի գնահատմամբ Կառավարությունը ընդհանրացնում է երկրի ռեսուրսային ներուժի վերաբերյալ պատկերացումները, ինչը շատ կարևոր է՝ գնա</w:t>
      </w:r>
      <w:r w:rsidRPr="007955BB">
        <w:rPr>
          <w:rFonts w:cs="Sylfaen"/>
          <w:b w:val="0"/>
          <w:color w:val="000000"/>
          <w:szCs w:val="22"/>
          <w:lang w:val="hy-AM"/>
        </w:rPr>
        <w:softHyphen/>
        <w:t>հա</w:t>
      </w:r>
      <w:r w:rsidRPr="007955BB">
        <w:rPr>
          <w:rFonts w:cs="Sylfaen"/>
          <w:b w:val="0"/>
          <w:color w:val="000000"/>
          <w:szCs w:val="22"/>
          <w:lang w:val="hy-AM"/>
        </w:rPr>
        <w:softHyphen/>
        <w:t>տելու համար Կառավարության առջև դրված համակարգային խնդիրների լուծման եղանակները:</w:t>
      </w:r>
    </w:p>
    <w:p w:rsidR="00E84267" w:rsidRPr="007955BB" w:rsidRDefault="00E84267" w:rsidP="00E84267">
      <w:pPr>
        <w:spacing w:line="276" w:lineRule="auto"/>
        <w:rPr>
          <w:rFonts w:eastAsia="Calibri" w:cs="Calibri"/>
          <w:szCs w:val="22"/>
          <w:u w:val="single"/>
          <w:lang w:val="hy-AM"/>
        </w:rPr>
      </w:pPr>
    </w:p>
    <w:p w:rsidR="00E84267" w:rsidRPr="007955BB" w:rsidRDefault="00E84267" w:rsidP="00E84267">
      <w:pPr>
        <w:shd w:val="clear" w:color="auto" w:fill="FFFFFF"/>
        <w:spacing w:before="0" w:line="276" w:lineRule="auto"/>
        <w:ind w:left="567" w:hanging="27"/>
        <w:rPr>
          <w:rFonts w:cs="Sylfaen"/>
          <w:color w:val="000000"/>
          <w:szCs w:val="22"/>
          <w:lang w:val="hy-AM"/>
        </w:rPr>
      </w:pPr>
      <w:r w:rsidRPr="007955BB">
        <w:rPr>
          <w:rFonts w:cs="Sylfaen"/>
          <w:color w:val="000000"/>
          <w:szCs w:val="22"/>
          <w:lang w:val="hy-AM"/>
        </w:rPr>
        <w:t>Հարկային ծախսերի հաշվետվության ներկայացման կարևորությունը հարկային արտոնությունների շրջանակը վերանայելու տեսանկյունից.</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Հայաստանյան հարկային համակարգի ձևավորման ու զարգացման ողջ ընթացքում հար</w:t>
      </w:r>
      <w:r w:rsidRPr="007955BB">
        <w:rPr>
          <w:rFonts w:cs="Sylfaen"/>
          <w:b w:val="0"/>
          <w:color w:val="000000"/>
          <w:szCs w:val="22"/>
          <w:lang w:val="hy-AM"/>
        </w:rPr>
        <w:softHyphen/>
        <w:t>կային օրենսդրությամբ նախատեսված են եղել տարբեր հարկային արտոնություններ, որոնց շրջանակը հարկային քաղաքականության իրականացման տարբեր փուլերում, կախ</w:t>
      </w:r>
      <w:r w:rsidRPr="007955BB">
        <w:rPr>
          <w:rFonts w:cs="Sylfaen"/>
          <w:b w:val="0"/>
          <w:color w:val="000000"/>
          <w:szCs w:val="22"/>
          <w:lang w:val="hy-AM"/>
        </w:rPr>
        <w:softHyphen/>
        <w:t>ված տնտեսության զարգացման տեմպերից, առաջնահերթություններից ու մարտահրավեր</w:t>
      </w:r>
      <w:r w:rsidRPr="007955BB">
        <w:rPr>
          <w:rFonts w:cs="Sylfaen"/>
          <w:b w:val="0"/>
          <w:color w:val="000000"/>
          <w:szCs w:val="22"/>
          <w:lang w:val="hy-AM"/>
        </w:rPr>
        <w:softHyphen/>
        <w:t>նե</w:t>
      </w:r>
      <w:r w:rsidRPr="007955BB">
        <w:rPr>
          <w:rFonts w:cs="Sylfaen"/>
          <w:b w:val="0"/>
          <w:color w:val="000000"/>
          <w:szCs w:val="22"/>
          <w:lang w:val="hy-AM"/>
        </w:rPr>
        <w:softHyphen/>
        <w:t>րից, մշտապես վերանայվել է: Որոշ հարկային արտոնություններ ժամանակավոր բնույթ են ունեցել (օրինակ` օտարերկրյա ներդրումներով ռեզիդենտ կազմակերպությունների` շահու</w:t>
      </w:r>
      <w:r w:rsidRPr="007955BB">
        <w:rPr>
          <w:rFonts w:cs="Sylfaen"/>
          <w:b w:val="0"/>
          <w:color w:val="000000"/>
          <w:szCs w:val="22"/>
          <w:lang w:val="hy-AM"/>
        </w:rPr>
        <w:softHyphen/>
      </w:r>
      <w:r w:rsidRPr="007955BB">
        <w:rPr>
          <w:rFonts w:cs="Sylfaen"/>
          <w:b w:val="0"/>
          <w:color w:val="000000"/>
          <w:szCs w:val="22"/>
          <w:lang w:val="hy-AM"/>
        </w:rPr>
        <w:softHyphen/>
        <w:t>թահարկի գումարի նվազեցման արտոնությունը) և կողմնորոշված են եղել քաղաքա</w:t>
      </w:r>
      <w:r w:rsidRPr="007955BB">
        <w:rPr>
          <w:rFonts w:cs="Sylfaen"/>
          <w:b w:val="0"/>
          <w:color w:val="000000"/>
          <w:szCs w:val="22"/>
          <w:lang w:val="hy-AM"/>
        </w:rPr>
        <w:softHyphen/>
        <w:t>կա</w:t>
      </w:r>
      <w:r w:rsidRPr="007955BB">
        <w:rPr>
          <w:rFonts w:cs="Sylfaen"/>
          <w:b w:val="0"/>
          <w:color w:val="000000"/>
          <w:szCs w:val="22"/>
          <w:lang w:val="hy-AM"/>
        </w:rPr>
        <w:softHyphen/>
        <w:t>նության իրականացման որևէ ժամանակահատվածում կոնկրետ խնդիրների լուծմանը: Որոշ հարկային արտոնություններ, որոնք տրվել են դեռևս հարկային համակարգի ձևա</w:t>
      </w:r>
      <w:r w:rsidRPr="007955BB">
        <w:rPr>
          <w:rFonts w:cs="Sylfaen"/>
          <w:b w:val="0"/>
          <w:color w:val="000000"/>
          <w:szCs w:val="22"/>
          <w:lang w:val="hy-AM"/>
        </w:rPr>
        <w:softHyphen/>
        <w:t>վոր</w:t>
      </w:r>
      <w:r w:rsidRPr="007955BB">
        <w:rPr>
          <w:rFonts w:cs="Sylfaen"/>
          <w:b w:val="0"/>
          <w:color w:val="000000"/>
          <w:szCs w:val="22"/>
          <w:lang w:val="hy-AM"/>
        </w:rPr>
        <w:softHyphen/>
        <w:t>ման ամենավաղ փուլերում, շարունակվում են կիրառվել մինչև այժմ, քանի որ դրանց կիրա</w:t>
      </w:r>
      <w:r w:rsidRPr="007955BB">
        <w:rPr>
          <w:rFonts w:cs="Sylfaen"/>
          <w:b w:val="0"/>
          <w:color w:val="000000"/>
          <w:szCs w:val="22"/>
          <w:lang w:val="hy-AM"/>
        </w:rPr>
        <w:softHyphen/>
        <w:t>ռու</w:t>
      </w:r>
      <w:r w:rsidRPr="007955BB">
        <w:rPr>
          <w:rFonts w:cs="Sylfaen"/>
          <w:b w:val="0"/>
          <w:color w:val="000000"/>
          <w:szCs w:val="22"/>
          <w:lang w:val="hy-AM"/>
        </w:rPr>
        <w:softHyphen/>
        <w:t>թյան պատճառներն ու հիմնավորումները արդիական են նաև մեր օրերում (օրինակ` գյու</w:t>
      </w:r>
      <w:r w:rsidRPr="007955BB">
        <w:rPr>
          <w:rFonts w:cs="Sylfaen"/>
          <w:b w:val="0"/>
          <w:color w:val="000000"/>
          <w:szCs w:val="22"/>
          <w:lang w:val="hy-AM"/>
        </w:rPr>
        <w:softHyphen/>
        <w:t>ղա</w:t>
      </w:r>
      <w:r w:rsidRPr="007955BB">
        <w:rPr>
          <w:rFonts w:cs="Sylfaen"/>
          <w:b w:val="0"/>
          <w:color w:val="000000"/>
          <w:szCs w:val="22"/>
          <w:lang w:val="hy-AM"/>
        </w:rPr>
        <w:softHyphen/>
        <w:t>տնտեսական արտադրանքի իրացումից ստացվող եկամուտների համար նախատեսված` շահութահարկից ու եկամտային հարկից ազատման արտոնությունները):</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Ընդհանուր առմամբ, ինչպես նախկինում, այնպես էլ ներկայումս հարկային օրենս</w:t>
      </w:r>
      <w:r w:rsidRPr="007955BB">
        <w:rPr>
          <w:rFonts w:cs="Sylfaen"/>
          <w:b w:val="0"/>
          <w:color w:val="000000"/>
          <w:szCs w:val="22"/>
          <w:lang w:val="hy-AM"/>
        </w:rPr>
        <w:softHyphen/>
        <w:t>դրու</w:t>
      </w:r>
      <w:r w:rsidRPr="007955BB">
        <w:rPr>
          <w:rFonts w:cs="Sylfaen"/>
          <w:b w:val="0"/>
          <w:color w:val="000000"/>
          <w:szCs w:val="22"/>
          <w:lang w:val="hy-AM"/>
        </w:rPr>
        <w:softHyphen/>
        <w:t>թյամբ նախատեսված հարկային արտոնությունները կարելի է խմբավորել երեք հիմնական խմբե</w:t>
      </w:r>
      <w:r w:rsidRPr="007955BB">
        <w:rPr>
          <w:rFonts w:cs="Sylfaen"/>
          <w:b w:val="0"/>
          <w:color w:val="000000"/>
          <w:szCs w:val="22"/>
          <w:lang w:val="hy-AM"/>
        </w:rPr>
        <w:softHyphen/>
        <w:t>րում`</w:t>
      </w:r>
    </w:p>
    <w:p w:rsidR="00E84267" w:rsidRPr="007955BB" w:rsidRDefault="00E84267" w:rsidP="00F04DA1">
      <w:pPr>
        <w:numPr>
          <w:ilvl w:val="0"/>
          <w:numId w:val="40"/>
        </w:numPr>
        <w:shd w:val="clear" w:color="auto" w:fill="FFFFFF"/>
        <w:tabs>
          <w:tab w:val="left" w:pos="851"/>
        </w:tabs>
        <w:spacing w:before="0" w:line="276" w:lineRule="auto"/>
        <w:ind w:left="630" w:firstLine="0"/>
        <w:contextualSpacing w:val="0"/>
        <w:rPr>
          <w:rFonts w:cs="Sylfaen"/>
          <w:b w:val="0"/>
          <w:color w:val="000000"/>
          <w:szCs w:val="22"/>
          <w:lang w:val="hy-AM"/>
        </w:rPr>
      </w:pPr>
      <w:r w:rsidRPr="007955BB">
        <w:rPr>
          <w:rFonts w:cs="Sylfaen"/>
          <w:b w:val="0"/>
          <w:color w:val="000000"/>
          <w:szCs w:val="22"/>
          <w:lang w:val="hy-AM"/>
        </w:rPr>
        <w:t>սոցիալական ուղղվածություն ունեցող հարկային արտոնություններ,</w:t>
      </w:r>
    </w:p>
    <w:p w:rsidR="00E84267" w:rsidRPr="007955BB" w:rsidRDefault="00E84267" w:rsidP="00F04DA1">
      <w:pPr>
        <w:numPr>
          <w:ilvl w:val="0"/>
          <w:numId w:val="40"/>
        </w:numPr>
        <w:shd w:val="clear" w:color="auto" w:fill="FFFFFF"/>
        <w:tabs>
          <w:tab w:val="left" w:pos="851"/>
        </w:tabs>
        <w:spacing w:before="0" w:line="276" w:lineRule="auto"/>
        <w:ind w:left="810" w:hanging="180"/>
        <w:contextualSpacing w:val="0"/>
        <w:rPr>
          <w:rFonts w:cs="Sylfaen"/>
          <w:b w:val="0"/>
          <w:color w:val="000000"/>
          <w:szCs w:val="22"/>
          <w:lang w:val="hy-AM"/>
        </w:rPr>
      </w:pPr>
      <w:r w:rsidRPr="007955BB">
        <w:rPr>
          <w:rFonts w:cs="Sylfaen"/>
          <w:b w:val="0"/>
          <w:color w:val="000000"/>
          <w:szCs w:val="22"/>
          <w:lang w:val="hy-AM"/>
        </w:rPr>
        <w:t>ոլորտային հարկային արտոնություններ,</w:t>
      </w:r>
    </w:p>
    <w:p w:rsidR="00E84267" w:rsidRPr="007955BB" w:rsidRDefault="00E84267" w:rsidP="00F04DA1">
      <w:pPr>
        <w:numPr>
          <w:ilvl w:val="0"/>
          <w:numId w:val="40"/>
        </w:numPr>
        <w:shd w:val="clear" w:color="auto" w:fill="FFFFFF"/>
        <w:tabs>
          <w:tab w:val="left" w:pos="851"/>
        </w:tabs>
        <w:spacing w:before="0" w:line="276" w:lineRule="auto"/>
        <w:ind w:left="0" w:firstLine="630"/>
        <w:contextualSpacing w:val="0"/>
        <w:rPr>
          <w:rFonts w:cs="Sylfaen"/>
          <w:b w:val="0"/>
          <w:color w:val="000000"/>
          <w:szCs w:val="22"/>
          <w:lang w:val="hy-AM"/>
        </w:rPr>
      </w:pPr>
      <w:r w:rsidRPr="007955BB">
        <w:rPr>
          <w:rFonts w:cs="Sylfaen"/>
          <w:b w:val="0"/>
          <w:color w:val="000000"/>
          <w:szCs w:val="22"/>
          <w:lang w:val="hy-AM"/>
        </w:rPr>
        <w:t>գործարար և ներդրումային միջավայրի բարելավմանն ու ակտիվության բարձրաց</w:t>
      </w:r>
      <w:r w:rsidRPr="007955BB">
        <w:rPr>
          <w:rFonts w:cs="Sylfaen"/>
          <w:b w:val="0"/>
          <w:color w:val="000000"/>
          <w:szCs w:val="22"/>
          <w:lang w:val="hy-AM"/>
        </w:rPr>
        <w:softHyphen/>
        <w:t>մանն ուղղված հարկային արտոնություններ:</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Սոցիալական ուղղվածություն ունեցող հարկային արտոնությունների կիրառության հիմ</w:t>
      </w:r>
      <w:r w:rsidRPr="007955BB">
        <w:rPr>
          <w:rFonts w:cs="Sylfaen"/>
          <w:b w:val="0"/>
          <w:color w:val="000000"/>
          <w:szCs w:val="22"/>
          <w:lang w:val="hy-AM"/>
        </w:rPr>
        <w:softHyphen/>
        <w:t>նա</w:t>
      </w:r>
      <w:r w:rsidRPr="007955BB">
        <w:rPr>
          <w:rFonts w:cs="Sylfaen"/>
          <w:b w:val="0"/>
          <w:color w:val="000000"/>
          <w:szCs w:val="22"/>
          <w:lang w:val="hy-AM"/>
        </w:rPr>
        <w:softHyphen/>
        <w:t>կան նպատակը առողջապահական, կրթական ու գիտական նշանակության որոշ ծառա</w:t>
      </w:r>
      <w:r w:rsidRPr="007955BB">
        <w:rPr>
          <w:rFonts w:cs="Sylfaen"/>
          <w:b w:val="0"/>
          <w:color w:val="000000"/>
          <w:szCs w:val="22"/>
          <w:lang w:val="hy-AM"/>
        </w:rPr>
        <w:softHyphen/>
      </w:r>
      <w:r w:rsidRPr="007955BB">
        <w:rPr>
          <w:rFonts w:cs="Sylfaen"/>
          <w:b w:val="0"/>
          <w:color w:val="000000"/>
          <w:szCs w:val="22"/>
          <w:lang w:val="hy-AM"/>
        </w:rPr>
        <w:softHyphen/>
        <w:t xml:space="preserve">յությունների մատուցումն ու ապրանքների մատակարարումը </w:t>
      </w:r>
      <w:r w:rsidR="00A94018">
        <w:rPr>
          <w:rFonts w:cs="Sylfaen"/>
          <w:b w:val="0"/>
          <w:color w:val="000000"/>
          <w:szCs w:val="22"/>
          <w:lang w:val="hy-AM"/>
        </w:rPr>
        <w:t>ԱԱՀ</w:t>
      </w:r>
      <w:r w:rsidR="00A94018" w:rsidRPr="00A94018">
        <w:rPr>
          <w:rFonts w:cs="Sylfaen"/>
          <w:b w:val="0"/>
          <w:color w:val="000000"/>
          <w:szCs w:val="22"/>
          <w:lang w:val="hy-AM"/>
        </w:rPr>
        <w:t>-</w:t>
      </w:r>
      <w:r w:rsidRPr="007955BB">
        <w:rPr>
          <w:rFonts w:cs="Sylfaen"/>
          <w:b w:val="0"/>
          <w:color w:val="000000"/>
          <w:szCs w:val="22"/>
          <w:lang w:val="hy-AM"/>
        </w:rPr>
        <w:t>ից ազատելն է, ինչը, այլ հավասար պայմաններում հնարավորություն է ընձեռում նշյալ ապրանք</w:t>
      </w:r>
      <w:r w:rsidRPr="007955BB">
        <w:rPr>
          <w:rFonts w:cs="Sylfaen"/>
          <w:b w:val="0"/>
          <w:color w:val="000000"/>
          <w:szCs w:val="22"/>
          <w:lang w:val="hy-AM"/>
        </w:rPr>
        <w:softHyphen/>
        <w:t>ներն ու ծառայությունները ձեռք բերել համեմատաբար ցածր գներով:</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Ոլորտային հարկային արտոնությունների կիրառությունը պայմանավորված է հիմնականում ազգային տնտեսության երկարաժամկետ և կայուն զարգացման տեսանկյունից տնտե</w:t>
      </w:r>
      <w:r w:rsidRPr="007955BB">
        <w:rPr>
          <w:rFonts w:cs="Sylfaen"/>
          <w:b w:val="0"/>
          <w:color w:val="000000"/>
          <w:szCs w:val="22"/>
          <w:lang w:val="hy-AM"/>
        </w:rPr>
        <w:softHyphen/>
        <w:t>սության որոշ ոլորտների զարգացման գերակայություն համարելը: Դրանք հիմ</w:t>
      </w:r>
      <w:r w:rsidRPr="007955BB">
        <w:rPr>
          <w:rFonts w:cs="Sylfaen"/>
          <w:b w:val="0"/>
          <w:color w:val="000000"/>
          <w:szCs w:val="22"/>
          <w:lang w:val="hy-AM"/>
        </w:rPr>
        <w:softHyphen/>
        <w:t>նա</w:t>
      </w:r>
      <w:r w:rsidRPr="007955BB">
        <w:rPr>
          <w:rFonts w:cs="Sylfaen"/>
          <w:b w:val="0"/>
          <w:color w:val="000000"/>
          <w:szCs w:val="22"/>
          <w:lang w:val="hy-AM"/>
        </w:rPr>
        <w:softHyphen/>
        <w:t>կանում այն ոլորտներն են, որոնք ավանդաբար ձևավորել են ազգային տնտեսության նկա</w:t>
      </w:r>
      <w:r w:rsidRPr="007955BB">
        <w:rPr>
          <w:rFonts w:cs="Sylfaen"/>
          <w:b w:val="0"/>
          <w:color w:val="000000"/>
          <w:szCs w:val="22"/>
          <w:lang w:val="hy-AM"/>
        </w:rPr>
        <w:softHyphen/>
        <w:t>րա</w:t>
      </w:r>
      <w:r w:rsidRPr="007955BB">
        <w:rPr>
          <w:rFonts w:cs="Sylfaen"/>
          <w:b w:val="0"/>
          <w:color w:val="000000"/>
          <w:szCs w:val="22"/>
          <w:lang w:val="hy-AM"/>
        </w:rPr>
        <w:softHyphen/>
        <w:t>գիրը (ոսկերչություն, զբոսաշրջություն, գորգագործություն և այլն): Այս առումով, Կառա</w:t>
      </w:r>
      <w:r w:rsidRPr="007955BB">
        <w:rPr>
          <w:rFonts w:cs="Sylfaen"/>
          <w:b w:val="0"/>
          <w:color w:val="000000"/>
          <w:szCs w:val="22"/>
          <w:lang w:val="hy-AM"/>
        </w:rPr>
        <w:softHyphen/>
        <w:t>վա</w:t>
      </w:r>
      <w:r w:rsidRPr="007955BB">
        <w:rPr>
          <w:rFonts w:cs="Sylfaen"/>
          <w:b w:val="0"/>
          <w:color w:val="000000"/>
          <w:szCs w:val="22"/>
          <w:lang w:val="hy-AM"/>
        </w:rPr>
        <w:softHyphen/>
        <w:t>րությունը տարբեր գործիքներով (այդ թվում` հարկային արտոնությունների կիրա</w:t>
      </w:r>
      <w:r w:rsidRPr="007955BB">
        <w:rPr>
          <w:rFonts w:cs="Sylfaen"/>
          <w:b w:val="0"/>
          <w:color w:val="000000"/>
          <w:szCs w:val="22"/>
          <w:lang w:val="hy-AM"/>
        </w:rPr>
        <w:softHyphen/>
        <w:t>ռու</w:t>
      </w:r>
      <w:r w:rsidRPr="007955BB">
        <w:rPr>
          <w:rFonts w:cs="Sylfaen"/>
          <w:b w:val="0"/>
          <w:color w:val="000000"/>
          <w:szCs w:val="22"/>
          <w:lang w:val="hy-AM"/>
        </w:rPr>
        <w:softHyphen/>
        <w:t>թյամբ) օժանդակում է այդ ոլորտներում գործող տնտեսավարող սուբյեկտներին,</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Գործարար և ներդրումային միջավայրի բարելավմանն ու ակտիվության բարձրաց</w:t>
      </w:r>
      <w:r w:rsidRPr="007955BB">
        <w:rPr>
          <w:rFonts w:cs="Sylfaen"/>
          <w:b w:val="0"/>
          <w:color w:val="000000"/>
          <w:szCs w:val="22"/>
          <w:lang w:val="hy-AM"/>
        </w:rPr>
        <w:softHyphen/>
        <w:t>մանն ուղղված հարկային արտոնությունների կիրառության հիմնական նպատակը տնտե</w:t>
      </w:r>
      <w:r w:rsidRPr="007955BB">
        <w:rPr>
          <w:rFonts w:cs="Sylfaen"/>
          <w:b w:val="0"/>
          <w:color w:val="000000"/>
          <w:szCs w:val="22"/>
          <w:lang w:val="hy-AM"/>
        </w:rPr>
        <w:softHyphen/>
        <w:t>սա</w:t>
      </w:r>
      <w:r w:rsidRPr="007955BB">
        <w:rPr>
          <w:rFonts w:cs="Sylfaen"/>
          <w:b w:val="0"/>
          <w:color w:val="000000"/>
          <w:szCs w:val="22"/>
          <w:lang w:val="hy-AM"/>
        </w:rPr>
        <w:softHyphen/>
        <w:t>վարող սուբյեկտների համար առավել նպաստավոր հարկային միջավայրի ձևավորումը և ազգա</w:t>
      </w:r>
      <w:r w:rsidRPr="007955BB">
        <w:rPr>
          <w:rFonts w:cs="Sylfaen"/>
          <w:b w:val="0"/>
          <w:color w:val="000000"/>
          <w:szCs w:val="22"/>
          <w:lang w:val="hy-AM"/>
        </w:rPr>
        <w:softHyphen/>
        <w:t>յին տնտեսության մրցունակության բարձրացումն է:</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Վերոնշյալ հարկային արտոնությունների կիրառության հետևանքով առաջացող` հար</w:t>
      </w:r>
      <w:r w:rsidRPr="007955BB">
        <w:rPr>
          <w:rFonts w:cs="Sylfaen"/>
          <w:b w:val="0"/>
          <w:color w:val="000000"/>
          <w:szCs w:val="22"/>
          <w:lang w:val="hy-AM"/>
        </w:rPr>
        <w:softHyphen/>
        <w:t>կա</w:t>
      </w:r>
      <w:r w:rsidRPr="007955BB">
        <w:rPr>
          <w:rFonts w:cs="Sylfaen"/>
          <w:b w:val="0"/>
          <w:color w:val="000000"/>
          <w:szCs w:val="22"/>
          <w:lang w:val="hy-AM"/>
        </w:rPr>
        <w:softHyphen/>
        <w:t>յին եկամուտների կորստի` հարկային ծախսերի գնահատման հաշվետվությունների կազ</w:t>
      </w:r>
      <w:r w:rsidRPr="007955BB">
        <w:rPr>
          <w:rFonts w:cs="Sylfaen"/>
          <w:b w:val="0"/>
          <w:color w:val="000000"/>
          <w:szCs w:val="22"/>
          <w:lang w:val="hy-AM"/>
        </w:rPr>
        <w:softHyphen/>
        <w:t>մումը, ներկայացումը և գոր</w:t>
      </w:r>
      <w:r w:rsidRPr="007955BB">
        <w:rPr>
          <w:rFonts w:cs="Sylfaen"/>
          <w:b w:val="0"/>
          <w:color w:val="000000"/>
          <w:szCs w:val="22"/>
          <w:lang w:val="hy-AM"/>
        </w:rPr>
        <w:softHyphen/>
        <w:t>ծադիր ու օրենսդիր իշխանության մարմիններում դրանց քննար</w:t>
      </w:r>
      <w:r w:rsidRPr="007955BB">
        <w:rPr>
          <w:rFonts w:cs="Sylfaen"/>
          <w:b w:val="0"/>
          <w:color w:val="000000"/>
          <w:szCs w:val="22"/>
          <w:lang w:val="hy-AM"/>
        </w:rPr>
        <w:softHyphen/>
        <w:t>կումը կարևոր քայլ է հար</w:t>
      </w:r>
      <w:r w:rsidRPr="007955BB">
        <w:rPr>
          <w:rFonts w:cs="Sylfaen"/>
          <w:b w:val="0"/>
          <w:color w:val="000000"/>
          <w:szCs w:val="22"/>
          <w:lang w:val="hy-AM"/>
        </w:rPr>
        <w:softHyphen/>
        <w:t>կային արտոնությունների շրջանակի հնարավոր վերանայման քաղաքականության իրա</w:t>
      </w:r>
      <w:r w:rsidRPr="007955BB">
        <w:rPr>
          <w:rFonts w:cs="Sylfaen"/>
          <w:b w:val="0"/>
          <w:color w:val="000000"/>
          <w:szCs w:val="22"/>
          <w:lang w:val="hy-AM"/>
        </w:rPr>
        <w:softHyphen/>
        <w:t>կանացման ճանապարհին:</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Այս իմաստով, առաջիկա տարիներին հարկային ծախսերի նման գնահատականները հիմք են հանդիսանալու հարկային արտոնությունների շրջանակի վերանայման, հարկման բազայի ընդլայնման ու ամրապնդման քաղաքականություն իրականացնելու համար, ինչը հնա</w:t>
      </w:r>
      <w:r w:rsidRPr="007955BB">
        <w:rPr>
          <w:rFonts w:cs="Sylfaen"/>
          <w:b w:val="0"/>
          <w:color w:val="000000"/>
          <w:szCs w:val="22"/>
          <w:lang w:val="hy-AM"/>
        </w:rPr>
        <w:softHyphen/>
        <w:t>րավորություն կընձեռի աստի</w:t>
      </w:r>
      <w:r w:rsidRPr="007955BB">
        <w:rPr>
          <w:rFonts w:cs="Sylfaen"/>
          <w:b w:val="0"/>
          <w:color w:val="000000"/>
          <w:szCs w:val="22"/>
          <w:lang w:val="hy-AM"/>
        </w:rPr>
        <w:softHyphen/>
        <w:t>ճանաբար բարե</w:t>
      </w:r>
      <w:r w:rsidRPr="007955BB">
        <w:rPr>
          <w:rFonts w:cs="Sylfaen"/>
          <w:b w:val="0"/>
          <w:color w:val="000000"/>
          <w:szCs w:val="22"/>
          <w:lang w:val="hy-AM"/>
        </w:rPr>
        <w:softHyphen/>
        <w:t>լավել հարկեր/ՀՆԱ հարաբերակցությունը և ամրապնդել հարկման հորի</w:t>
      </w:r>
      <w:r w:rsidRPr="007955BB">
        <w:rPr>
          <w:rFonts w:cs="Sylfaen"/>
          <w:b w:val="0"/>
          <w:color w:val="000000"/>
          <w:szCs w:val="22"/>
          <w:lang w:val="hy-AM"/>
        </w:rPr>
        <w:softHyphen/>
        <w:t>զո</w:t>
      </w:r>
      <w:r w:rsidRPr="007955BB">
        <w:rPr>
          <w:rFonts w:cs="Sylfaen"/>
          <w:b w:val="0"/>
          <w:color w:val="000000"/>
          <w:szCs w:val="22"/>
          <w:lang w:val="hy-AM"/>
        </w:rPr>
        <w:softHyphen/>
        <w:t>նա</w:t>
      </w:r>
      <w:r w:rsidRPr="007955BB">
        <w:rPr>
          <w:rFonts w:cs="Sylfaen"/>
          <w:b w:val="0"/>
          <w:color w:val="000000"/>
          <w:szCs w:val="22"/>
          <w:lang w:val="hy-AM"/>
        </w:rPr>
        <w:softHyphen/>
        <w:t>կան արդա</w:t>
      </w:r>
      <w:r w:rsidRPr="007955BB">
        <w:rPr>
          <w:rFonts w:cs="Sylfaen"/>
          <w:b w:val="0"/>
          <w:color w:val="000000"/>
          <w:szCs w:val="22"/>
          <w:lang w:val="hy-AM"/>
        </w:rPr>
        <w:softHyphen/>
        <w:t>րության սկզբունքը: Հարկային քաղաքակա</w:t>
      </w:r>
      <w:r w:rsidRPr="007955BB">
        <w:rPr>
          <w:rFonts w:cs="Sylfaen"/>
          <w:b w:val="0"/>
          <w:color w:val="000000"/>
          <w:szCs w:val="22"/>
          <w:lang w:val="hy-AM"/>
        </w:rPr>
        <w:softHyphen/>
        <w:t>նու</w:t>
      </w:r>
      <w:r w:rsidRPr="007955BB">
        <w:rPr>
          <w:rFonts w:cs="Sylfaen"/>
          <w:b w:val="0"/>
          <w:color w:val="000000"/>
          <w:szCs w:val="22"/>
          <w:lang w:val="hy-AM"/>
        </w:rPr>
        <w:softHyphen/>
        <w:t>թյան այս ուղղության նպա</w:t>
      </w:r>
      <w:r w:rsidRPr="007955BB">
        <w:rPr>
          <w:rFonts w:cs="Sylfaen"/>
          <w:b w:val="0"/>
          <w:color w:val="000000"/>
          <w:szCs w:val="22"/>
          <w:lang w:val="hy-AM"/>
        </w:rPr>
        <w:softHyphen/>
        <w:t>տակը, ըստ էության, հարկման ոլոր</w:t>
      </w:r>
      <w:r w:rsidRPr="007955BB">
        <w:rPr>
          <w:rFonts w:cs="Sylfaen"/>
          <w:b w:val="0"/>
          <w:color w:val="000000"/>
          <w:szCs w:val="22"/>
          <w:lang w:val="hy-AM"/>
        </w:rPr>
        <w:softHyphen/>
        <w:t>տում խտրա</w:t>
      </w:r>
      <w:r w:rsidRPr="007955BB">
        <w:rPr>
          <w:rFonts w:cs="Sylfaen"/>
          <w:b w:val="0"/>
          <w:color w:val="000000"/>
          <w:szCs w:val="22"/>
          <w:lang w:val="hy-AM"/>
        </w:rPr>
        <w:softHyphen/>
        <w:t>կանությունը նվա</w:t>
      </w:r>
      <w:r w:rsidRPr="007955BB">
        <w:rPr>
          <w:rFonts w:cs="Sylfaen"/>
          <w:b w:val="0"/>
          <w:color w:val="000000"/>
          <w:szCs w:val="22"/>
          <w:lang w:val="hy-AM"/>
        </w:rPr>
        <w:softHyphen/>
        <w:t>զագույնի հասցնելը և պետա</w:t>
      </w:r>
      <w:r w:rsidRPr="007955BB">
        <w:rPr>
          <w:rFonts w:cs="Sylfaen"/>
          <w:b w:val="0"/>
          <w:color w:val="000000"/>
          <w:szCs w:val="22"/>
          <w:lang w:val="hy-AM"/>
        </w:rPr>
        <w:softHyphen/>
      </w:r>
      <w:r w:rsidRPr="007955BB">
        <w:rPr>
          <w:rFonts w:cs="Sylfaen"/>
          <w:b w:val="0"/>
          <w:color w:val="000000"/>
          <w:szCs w:val="22"/>
          <w:lang w:val="hy-AM"/>
        </w:rPr>
        <w:softHyphen/>
        <w:t>կան բյուջեի հարկային եկա</w:t>
      </w:r>
      <w:r w:rsidRPr="007955BB">
        <w:rPr>
          <w:rFonts w:cs="Sylfaen"/>
          <w:b w:val="0"/>
          <w:color w:val="000000"/>
          <w:szCs w:val="22"/>
          <w:lang w:val="hy-AM"/>
        </w:rPr>
        <w:softHyphen/>
        <w:t>մուտ</w:t>
      </w:r>
      <w:r w:rsidRPr="007955BB">
        <w:rPr>
          <w:rFonts w:cs="Sylfaen"/>
          <w:b w:val="0"/>
          <w:color w:val="000000"/>
          <w:szCs w:val="22"/>
          <w:lang w:val="hy-AM"/>
        </w:rPr>
        <w:softHyphen/>
        <w:t>ների արդարացի վերաբաշխում ապա</w:t>
      </w:r>
      <w:r w:rsidRPr="007955BB">
        <w:rPr>
          <w:rFonts w:cs="Sylfaen"/>
          <w:b w:val="0"/>
          <w:color w:val="000000"/>
          <w:szCs w:val="22"/>
          <w:lang w:val="hy-AM"/>
        </w:rPr>
        <w:softHyphen/>
        <w:t>հովելն է:</w:t>
      </w:r>
    </w:p>
    <w:p w:rsidR="00E84267" w:rsidRPr="007955BB" w:rsidRDefault="00E84267" w:rsidP="00E84267">
      <w:pPr>
        <w:shd w:val="clear" w:color="auto" w:fill="FFFFFF"/>
        <w:spacing w:before="0" w:line="276" w:lineRule="auto"/>
        <w:rPr>
          <w:rFonts w:cs="Sylfaen"/>
          <w:b w:val="0"/>
          <w:color w:val="000000"/>
          <w:szCs w:val="22"/>
          <w:lang w:val="hy-AM"/>
        </w:rPr>
      </w:pPr>
      <w:r w:rsidRPr="007955BB">
        <w:rPr>
          <w:rFonts w:cs="Sylfaen"/>
          <w:b w:val="0"/>
          <w:color w:val="000000"/>
          <w:szCs w:val="22"/>
          <w:lang w:val="hy-AM"/>
        </w:rPr>
        <w:t>Միաժամանակ, ակնհայտ է, որ գործող արտո</w:t>
      </w:r>
      <w:r w:rsidRPr="007955BB">
        <w:rPr>
          <w:rFonts w:cs="Sylfaen"/>
          <w:b w:val="0"/>
          <w:color w:val="000000"/>
          <w:szCs w:val="22"/>
          <w:lang w:val="hy-AM"/>
        </w:rPr>
        <w:softHyphen/>
        <w:t>նությունների շրջանակի վերանայումը կնշա</w:t>
      </w:r>
      <w:r w:rsidRPr="007955BB">
        <w:rPr>
          <w:rFonts w:cs="Sylfaen"/>
          <w:b w:val="0"/>
          <w:color w:val="000000"/>
          <w:szCs w:val="22"/>
          <w:lang w:val="hy-AM"/>
        </w:rPr>
        <w:softHyphen/>
        <w:t>նակի կտրուկ փոփոխել այդ արտոնություններից օգտ</w:t>
      </w:r>
      <w:r w:rsidRPr="007955BB">
        <w:rPr>
          <w:rFonts w:cs="Sylfaen"/>
          <w:b w:val="0"/>
          <w:color w:val="000000"/>
          <w:szCs w:val="22"/>
          <w:lang w:val="hy-AM"/>
        </w:rPr>
        <w:softHyphen/>
        <w:t>վող</w:t>
      </w:r>
      <w:r w:rsidRPr="007955BB">
        <w:rPr>
          <w:rFonts w:cs="Sylfaen"/>
          <w:b w:val="0"/>
          <w:color w:val="000000"/>
          <w:szCs w:val="22"/>
          <w:lang w:val="hy-AM"/>
        </w:rPr>
        <w:softHyphen/>
        <w:t>ների ձեռնարկատիրական ու տնտե</w:t>
      </w:r>
      <w:r w:rsidRPr="007955BB">
        <w:rPr>
          <w:rFonts w:cs="Sylfaen"/>
          <w:b w:val="0"/>
          <w:color w:val="000000"/>
          <w:szCs w:val="22"/>
          <w:lang w:val="hy-AM"/>
        </w:rPr>
        <w:softHyphen/>
        <w:t>սա</w:t>
      </w:r>
      <w:r w:rsidRPr="007955BB">
        <w:rPr>
          <w:rFonts w:cs="Sylfaen"/>
          <w:b w:val="0"/>
          <w:color w:val="000000"/>
          <w:szCs w:val="22"/>
          <w:lang w:val="hy-AM"/>
        </w:rPr>
        <w:softHyphen/>
        <w:t>կան գործունեության պայմանները և ազգային տնտեսության ներդրումային միջա</w:t>
      </w:r>
      <w:r w:rsidRPr="007955BB">
        <w:rPr>
          <w:rFonts w:cs="Sylfaen"/>
          <w:b w:val="0"/>
          <w:color w:val="000000"/>
          <w:szCs w:val="22"/>
          <w:lang w:val="hy-AM"/>
        </w:rPr>
        <w:softHyphen/>
        <w:t>վայրն ընդ</w:t>
      </w:r>
      <w:r w:rsidRPr="007955BB">
        <w:rPr>
          <w:rFonts w:cs="Sylfaen"/>
          <w:b w:val="0"/>
          <w:color w:val="000000"/>
          <w:szCs w:val="22"/>
          <w:lang w:val="hy-AM"/>
        </w:rPr>
        <w:softHyphen/>
        <w:t>հանրապես: Այս առումով, հարկային արտո</w:t>
      </w:r>
      <w:r w:rsidRPr="007955BB">
        <w:rPr>
          <w:rFonts w:cs="Sylfaen"/>
          <w:b w:val="0"/>
          <w:color w:val="000000"/>
          <w:szCs w:val="22"/>
          <w:lang w:val="hy-AM"/>
        </w:rPr>
        <w:softHyphen/>
        <w:t>նու</w:t>
      </w:r>
      <w:r w:rsidRPr="007955BB">
        <w:rPr>
          <w:rFonts w:cs="Sylfaen"/>
          <w:b w:val="0"/>
          <w:color w:val="000000"/>
          <w:szCs w:val="22"/>
          <w:lang w:val="hy-AM"/>
        </w:rPr>
        <w:softHyphen/>
        <w:t>թյուն</w:t>
      </w:r>
      <w:r w:rsidRPr="007955BB">
        <w:rPr>
          <w:rFonts w:cs="Sylfaen"/>
          <w:b w:val="0"/>
          <w:color w:val="000000"/>
          <w:szCs w:val="22"/>
          <w:lang w:val="hy-AM"/>
        </w:rPr>
        <w:softHyphen/>
        <w:t>ների շրջանակի վերանայումը պետք է իրա</w:t>
      </w:r>
      <w:r w:rsidRPr="007955BB">
        <w:rPr>
          <w:rFonts w:cs="Sylfaen"/>
          <w:b w:val="0"/>
          <w:color w:val="000000"/>
          <w:szCs w:val="22"/>
          <w:lang w:val="hy-AM"/>
        </w:rPr>
        <w:softHyphen/>
        <w:t>կանացվի բավարար զգուշավորությամբ` խուսա</w:t>
      </w:r>
      <w:r w:rsidRPr="007955BB">
        <w:rPr>
          <w:rFonts w:cs="Sylfaen"/>
          <w:b w:val="0"/>
          <w:color w:val="000000"/>
          <w:szCs w:val="22"/>
          <w:lang w:val="hy-AM"/>
        </w:rPr>
        <w:softHyphen/>
        <w:t>փելու համար հնարավոր ցնցում</w:t>
      </w:r>
      <w:r w:rsidRPr="007955BB">
        <w:rPr>
          <w:rFonts w:cs="Sylfaen"/>
          <w:b w:val="0"/>
          <w:color w:val="000000"/>
          <w:szCs w:val="22"/>
          <w:lang w:val="hy-AM"/>
        </w:rPr>
        <w:softHyphen/>
        <w:t>ներից ու տնտեսության վրա բացասական հետևանք</w:t>
      </w:r>
      <w:r w:rsidRPr="007955BB">
        <w:rPr>
          <w:rFonts w:cs="Sylfaen"/>
          <w:b w:val="0"/>
          <w:color w:val="000000"/>
          <w:szCs w:val="22"/>
          <w:lang w:val="hy-AM"/>
        </w:rPr>
        <w:softHyphen/>
        <w:t>նե</w:t>
      </w:r>
      <w:r w:rsidRPr="007955BB">
        <w:rPr>
          <w:rFonts w:cs="Sylfaen"/>
          <w:b w:val="0"/>
          <w:color w:val="000000"/>
          <w:szCs w:val="22"/>
          <w:lang w:val="hy-AM"/>
        </w:rPr>
        <w:softHyphen/>
        <w:t>րից, և հետևողականությամբ, քանի որ հարկային արտոնությունների շրջանակի վերանայումը լրացուցիչ ռեսուրսներ կենտ</w:t>
      </w:r>
      <w:r w:rsidRPr="007955BB">
        <w:rPr>
          <w:rFonts w:cs="Sylfaen"/>
          <w:b w:val="0"/>
          <w:color w:val="000000"/>
          <w:szCs w:val="22"/>
          <w:lang w:val="hy-AM"/>
        </w:rPr>
        <w:softHyphen/>
        <w:t>րոնացնելու և դրանք տնտեսության հետագա զարգացմանն ուղղելու հնարավորություն կընձեռի: Մասնավորապես, նախքան հարկային արտոնությունների կրճատումը պետք է ման</w:t>
      </w:r>
      <w:r w:rsidRPr="007955BB">
        <w:rPr>
          <w:rFonts w:cs="Sylfaen"/>
          <w:b w:val="0"/>
          <w:color w:val="000000"/>
          <w:szCs w:val="22"/>
          <w:lang w:val="hy-AM"/>
        </w:rPr>
        <w:softHyphen/>
        <w:t>րա</w:t>
      </w:r>
      <w:r w:rsidRPr="007955BB">
        <w:rPr>
          <w:rFonts w:cs="Sylfaen"/>
          <w:b w:val="0"/>
          <w:color w:val="000000"/>
          <w:szCs w:val="22"/>
          <w:lang w:val="hy-AM"/>
        </w:rPr>
        <w:softHyphen/>
        <w:t>մասն ուսումնասիրվեն գործող հարկային արտո</w:t>
      </w:r>
      <w:r w:rsidRPr="007955BB">
        <w:rPr>
          <w:rFonts w:cs="Sylfaen"/>
          <w:b w:val="0"/>
          <w:color w:val="000000"/>
          <w:szCs w:val="22"/>
          <w:lang w:val="hy-AM"/>
        </w:rPr>
        <w:softHyphen/>
        <w:t>նությունների կիրառության բոլոր դրա</w:t>
      </w:r>
      <w:r w:rsidRPr="007955BB">
        <w:rPr>
          <w:rFonts w:cs="Sylfaen"/>
          <w:b w:val="0"/>
          <w:color w:val="000000"/>
          <w:szCs w:val="22"/>
          <w:lang w:val="hy-AM"/>
        </w:rPr>
        <w:softHyphen/>
        <w:t>կան ու բացասական կողմերը, այդ թվում` ինչ</w:t>
      </w:r>
      <w:r w:rsidRPr="007955BB">
        <w:rPr>
          <w:rFonts w:cs="Sylfaen"/>
          <w:b w:val="0"/>
          <w:color w:val="000000"/>
          <w:szCs w:val="22"/>
          <w:lang w:val="hy-AM"/>
        </w:rPr>
        <w:softHyphen/>
        <w:t>պես պետության, այնպես էլ այդ արտո</w:t>
      </w:r>
      <w:r w:rsidRPr="007955BB">
        <w:rPr>
          <w:rFonts w:cs="Sylfaen"/>
          <w:b w:val="0"/>
          <w:color w:val="000000"/>
          <w:szCs w:val="22"/>
          <w:lang w:val="hy-AM"/>
        </w:rPr>
        <w:softHyphen/>
        <w:t>նու</w:t>
      </w:r>
      <w:r w:rsidRPr="007955BB">
        <w:rPr>
          <w:rFonts w:cs="Sylfaen"/>
          <w:b w:val="0"/>
          <w:color w:val="000000"/>
          <w:szCs w:val="22"/>
          <w:lang w:val="hy-AM"/>
        </w:rPr>
        <w:softHyphen/>
        <w:t>թյուն</w:t>
      </w:r>
      <w:r w:rsidRPr="007955BB">
        <w:rPr>
          <w:rFonts w:cs="Sylfaen"/>
          <w:b w:val="0"/>
          <w:color w:val="000000"/>
          <w:szCs w:val="22"/>
          <w:lang w:val="hy-AM"/>
        </w:rPr>
        <w:softHyphen/>
        <w:t>ներից օգտվողների տեսանկյունից, համադր</w:t>
      </w:r>
      <w:r w:rsidRPr="007955BB">
        <w:rPr>
          <w:rFonts w:cs="Sylfaen"/>
          <w:b w:val="0"/>
          <w:color w:val="000000"/>
          <w:szCs w:val="22"/>
          <w:lang w:val="hy-AM"/>
        </w:rPr>
        <w:softHyphen/>
        <w:t>վեն արտոնությունների կիրառության օգուտ</w:t>
      </w:r>
      <w:r w:rsidRPr="007955BB">
        <w:rPr>
          <w:rFonts w:cs="Sylfaen"/>
          <w:b w:val="0"/>
          <w:color w:val="000000"/>
          <w:szCs w:val="22"/>
          <w:lang w:val="hy-AM"/>
        </w:rPr>
        <w:softHyphen/>
        <w:t>ներն ու վնասները, բացահայտվեն արտոնու</w:t>
      </w:r>
      <w:r w:rsidRPr="007955BB">
        <w:rPr>
          <w:rFonts w:cs="Sylfaen"/>
          <w:b w:val="0"/>
          <w:color w:val="000000"/>
          <w:szCs w:val="22"/>
          <w:lang w:val="hy-AM"/>
        </w:rPr>
        <w:softHyphen/>
        <w:t>թյուն</w:t>
      </w:r>
      <w:r w:rsidRPr="007955BB">
        <w:rPr>
          <w:rFonts w:cs="Sylfaen"/>
          <w:b w:val="0"/>
          <w:color w:val="000000"/>
          <w:szCs w:val="22"/>
          <w:lang w:val="hy-AM"/>
        </w:rPr>
        <w:softHyphen/>
        <w:t>ների վերանայման հնարավոր ազդե</w:t>
      </w:r>
      <w:r w:rsidRPr="007955BB">
        <w:rPr>
          <w:rFonts w:cs="Sylfaen"/>
          <w:b w:val="0"/>
          <w:color w:val="000000"/>
          <w:szCs w:val="22"/>
          <w:lang w:val="hy-AM"/>
        </w:rPr>
        <w:softHyphen/>
        <w:t>ցու</w:t>
      </w:r>
      <w:r w:rsidRPr="007955BB">
        <w:rPr>
          <w:rFonts w:cs="Sylfaen"/>
          <w:b w:val="0"/>
          <w:color w:val="000000"/>
          <w:szCs w:val="22"/>
          <w:lang w:val="hy-AM"/>
        </w:rPr>
        <w:softHyphen/>
        <w:t>թյունները պետական բյուջեի հարկային եկա</w:t>
      </w:r>
      <w:r w:rsidRPr="007955BB">
        <w:rPr>
          <w:rFonts w:cs="Sylfaen"/>
          <w:b w:val="0"/>
          <w:color w:val="000000"/>
          <w:szCs w:val="22"/>
          <w:lang w:val="hy-AM"/>
        </w:rPr>
        <w:softHyphen/>
        <w:t>մուտ</w:t>
      </w:r>
      <w:r w:rsidRPr="007955BB">
        <w:rPr>
          <w:rFonts w:cs="Sylfaen"/>
          <w:b w:val="0"/>
          <w:color w:val="000000"/>
          <w:szCs w:val="22"/>
          <w:lang w:val="hy-AM"/>
        </w:rPr>
        <w:softHyphen/>
        <w:t>ների, ազգային տնտեսության տնտե</w:t>
      </w:r>
      <w:r w:rsidRPr="007955BB">
        <w:rPr>
          <w:rFonts w:cs="Sylfaen"/>
          <w:b w:val="0"/>
          <w:color w:val="000000"/>
          <w:szCs w:val="22"/>
          <w:lang w:val="hy-AM"/>
        </w:rPr>
        <w:softHyphen/>
        <w:t>սա</w:t>
      </w:r>
      <w:r w:rsidRPr="007955BB">
        <w:rPr>
          <w:rFonts w:cs="Sylfaen"/>
          <w:b w:val="0"/>
          <w:color w:val="000000"/>
          <w:szCs w:val="22"/>
          <w:lang w:val="hy-AM"/>
        </w:rPr>
        <w:softHyphen/>
        <w:t>կան ակտիվության, գործարար ու ներդրու</w:t>
      </w:r>
      <w:r w:rsidRPr="007955BB">
        <w:rPr>
          <w:rFonts w:cs="Sylfaen"/>
          <w:b w:val="0"/>
          <w:color w:val="000000"/>
          <w:szCs w:val="22"/>
          <w:lang w:val="hy-AM"/>
        </w:rPr>
        <w:softHyphen/>
        <w:t>մա</w:t>
      </w:r>
      <w:r w:rsidRPr="007955BB">
        <w:rPr>
          <w:rFonts w:cs="Sylfaen"/>
          <w:b w:val="0"/>
          <w:color w:val="000000"/>
          <w:szCs w:val="22"/>
          <w:lang w:val="hy-AM"/>
        </w:rPr>
        <w:softHyphen/>
        <w:t>յին գրավչության, երկրի սոցիալ-տնտե</w:t>
      </w:r>
      <w:r w:rsidRPr="007955BB">
        <w:rPr>
          <w:rFonts w:cs="Sylfaen"/>
          <w:b w:val="0"/>
          <w:color w:val="000000"/>
          <w:szCs w:val="22"/>
          <w:lang w:val="hy-AM"/>
        </w:rPr>
        <w:softHyphen/>
        <w:t>սա</w:t>
      </w:r>
      <w:r w:rsidRPr="007955BB">
        <w:rPr>
          <w:rFonts w:cs="Sylfaen"/>
          <w:b w:val="0"/>
          <w:color w:val="000000"/>
          <w:szCs w:val="22"/>
          <w:lang w:val="hy-AM"/>
        </w:rPr>
        <w:softHyphen/>
        <w:t>կան վիճակի, տնտեսական մրցակցության, գնա</w:t>
      </w:r>
      <w:r w:rsidRPr="007955BB">
        <w:rPr>
          <w:rFonts w:cs="Sylfaen"/>
          <w:b w:val="0"/>
          <w:color w:val="000000"/>
          <w:szCs w:val="22"/>
          <w:lang w:val="hy-AM"/>
        </w:rPr>
        <w:softHyphen/>
        <w:t>ճա</w:t>
      </w:r>
      <w:r w:rsidRPr="007955BB">
        <w:rPr>
          <w:rFonts w:cs="Sylfaen"/>
          <w:b w:val="0"/>
          <w:color w:val="000000"/>
          <w:szCs w:val="22"/>
          <w:lang w:val="hy-AM"/>
        </w:rPr>
        <w:softHyphen/>
        <w:t>յին ճնշումների և այլ կարևոր ցուցա</w:t>
      </w:r>
      <w:r w:rsidRPr="007955BB">
        <w:rPr>
          <w:rFonts w:cs="Sylfaen"/>
          <w:b w:val="0"/>
          <w:color w:val="000000"/>
          <w:szCs w:val="22"/>
          <w:lang w:val="hy-AM"/>
        </w:rPr>
        <w:softHyphen/>
        <w:t>նիշ</w:t>
      </w:r>
      <w:r w:rsidRPr="007955BB">
        <w:rPr>
          <w:rFonts w:cs="Sylfaen"/>
          <w:b w:val="0"/>
          <w:color w:val="000000"/>
          <w:szCs w:val="22"/>
          <w:lang w:val="hy-AM"/>
        </w:rPr>
        <w:softHyphen/>
        <w:t>ների վրա: Վերոնշյալը նաև նշանակում է, որ առա</w:t>
      </w:r>
      <w:r w:rsidRPr="007955BB">
        <w:rPr>
          <w:rFonts w:cs="Sylfaen"/>
          <w:b w:val="0"/>
          <w:color w:val="000000"/>
          <w:szCs w:val="22"/>
          <w:lang w:val="hy-AM"/>
        </w:rPr>
        <w:softHyphen/>
        <w:t>ջիկա տարիներին հարկային քաղա</w:t>
      </w:r>
      <w:r w:rsidRPr="007955BB">
        <w:rPr>
          <w:rFonts w:cs="Sylfaen"/>
          <w:b w:val="0"/>
          <w:color w:val="000000"/>
          <w:szCs w:val="22"/>
          <w:lang w:val="hy-AM"/>
        </w:rPr>
        <w:softHyphen/>
        <w:t>քակա</w:t>
      </w:r>
      <w:r w:rsidRPr="007955BB">
        <w:rPr>
          <w:rFonts w:cs="Sylfaen"/>
          <w:b w:val="0"/>
          <w:color w:val="000000"/>
          <w:szCs w:val="22"/>
          <w:lang w:val="hy-AM"/>
        </w:rPr>
        <w:softHyphen/>
        <w:t>նու</w:t>
      </w:r>
      <w:r w:rsidRPr="007955BB">
        <w:rPr>
          <w:rFonts w:cs="Sylfaen"/>
          <w:b w:val="0"/>
          <w:color w:val="000000"/>
          <w:szCs w:val="22"/>
          <w:lang w:val="hy-AM"/>
        </w:rPr>
        <w:softHyphen/>
        <w:t>թյան շրջանակներում շեշտադրումը կատար</w:t>
      </w:r>
      <w:r w:rsidRPr="007955BB">
        <w:rPr>
          <w:rFonts w:cs="Sylfaen"/>
          <w:b w:val="0"/>
          <w:color w:val="000000"/>
          <w:szCs w:val="22"/>
          <w:lang w:val="hy-AM"/>
        </w:rPr>
        <w:softHyphen/>
        <w:t>վելու է հատ</w:t>
      </w:r>
      <w:r w:rsidRPr="007955BB">
        <w:rPr>
          <w:rFonts w:cs="Sylfaen"/>
          <w:b w:val="0"/>
          <w:color w:val="000000"/>
          <w:szCs w:val="22"/>
          <w:lang w:val="hy-AM"/>
        </w:rPr>
        <w:softHyphen/>
        <w:t>կապես այն արտո</w:t>
      </w:r>
      <w:r w:rsidRPr="007955BB">
        <w:rPr>
          <w:rFonts w:cs="Sylfaen"/>
          <w:b w:val="0"/>
          <w:color w:val="000000"/>
          <w:szCs w:val="22"/>
          <w:lang w:val="hy-AM"/>
        </w:rPr>
        <w:softHyphen/>
        <w:t>նու</w:t>
      </w:r>
      <w:r w:rsidRPr="007955BB">
        <w:rPr>
          <w:rFonts w:cs="Sylfaen"/>
          <w:b w:val="0"/>
          <w:color w:val="000000"/>
          <w:szCs w:val="22"/>
          <w:lang w:val="hy-AM"/>
        </w:rPr>
        <w:softHyphen/>
        <w:t>թյունների վերանայման վրա, որոնց ազդեցությունն ազգա</w:t>
      </w:r>
      <w:r w:rsidRPr="007955BB">
        <w:rPr>
          <w:rFonts w:cs="Sylfaen"/>
          <w:b w:val="0"/>
          <w:color w:val="000000"/>
          <w:szCs w:val="22"/>
          <w:lang w:val="hy-AM"/>
        </w:rPr>
        <w:softHyphen/>
        <w:t>յին տնտե</w:t>
      </w:r>
      <w:r w:rsidRPr="007955BB">
        <w:rPr>
          <w:rFonts w:cs="Sylfaen"/>
          <w:b w:val="0"/>
          <w:color w:val="000000"/>
          <w:szCs w:val="22"/>
          <w:lang w:val="hy-AM"/>
        </w:rPr>
        <w:softHyphen/>
        <w:t>սության զարգաց</w:t>
      </w:r>
      <w:r w:rsidRPr="007955BB">
        <w:rPr>
          <w:rFonts w:cs="Sylfaen"/>
          <w:b w:val="0"/>
          <w:color w:val="000000"/>
          <w:szCs w:val="22"/>
          <w:lang w:val="hy-AM"/>
        </w:rPr>
        <w:softHyphen/>
        <w:t>ման տեսանկյունից գնահատվում է ցածր և որոնց կիրա</w:t>
      </w:r>
      <w:r w:rsidRPr="007955BB">
        <w:rPr>
          <w:rFonts w:cs="Sylfaen"/>
          <w:b w:val="0"/>
          <w:color w:val="000000"/>
          <w:szCs w:val="22"/>
          <w:lang w:val="hy-AM"/>
        </w:rPr>
        <w:softHyphen/>
        <w:t>ռու</w:t>
      </w:r>
      <w:r w:rsidRPr="007955BB">
        <w:rPr>
          <w:rFonts w:cs="Sylfaen"/>
          <w:b w:val="0"/>
          <w:color w:val="000000"/>
          <w:szCs w:val="22"/>
          <w:lang w:val="hy-AM"/>
        </w:rPr>
        <w:softHyphen/>
        <w:t>թյան նպա</w:t>
      </w:r>
      <w:r w:rsidRPr="007955BB">
        <w:rPr>
          <w:rFonts w:cs="Sylfaen"/>
          <w:b w:val="0"/>
          <w:color w:val="000000"/>
          <w:szCs w:val="22"/>
          <w:lang w:val="hy-AM"/>
        </w:rPr>
        <w:softHyphen/>
        <w:t>տակահարմարությունը չի հիմնավորվում «ծախսեր-օգուտներ» վերլու</w:t>
      </w:r>
      <w:r w:rsidRPr="007955BB">
        <w:rPr>
          <w:rFonts w:cs="Sylfaen"/>
          <w:b w:val="0"/>
          <w:color w:val="000000"/>
          <w:szCs w:val="22"/>
          <w:lang w:val="hy-AM"/>
        </w:rPr>
        <w:softHyphen/>
        <w:t>ծու</w:t>
      </w:r>
      <w:r w:rsidRPr="007955BB">
        <w:rPr>
          <w:rFonts w:cs="Sylfaen"/>
          <w:b w:val="0"/>
          <w:color w:val="000000"/>
          <w:szCs w:val="22"/>
          <w:lang w:val="hy-AM"/>
        </w:rPr>
        <w:softHyphen/>
        <w:t>թյուն</w:t>
      </w:r>
      <w:r w:rsidRPr="007955BB">
        <w:rPr>
          <w:rFonts w:cs="Sylfaen"/>
          <w:b w:val="0"/>
          <w:color w:val="000000"/>
          <w:szCs w:val="22"/>
          <w:lang w:val="hy-AM"/>
        </w:rPr>
        <w:softHyphen/>
        <w:t>ների արդ</w:t>
      </w:r>
      <w:r w:rsidRPr="007955BB">
        <w:rPr>
          <w:rFonts w:cs="Sylfaen"/>
          <w:b w:val="0"/>
          <w:color w:val="000000"/>
          <w:szCs w:val="22"/>
          <w:lang w:val="hy-AM"/>
        </w:rPr>
        <w:softHyphen/>
        <w:t>յունքներով: Այսինքն, բոլոր այն հարկային արտոնությունները, որոնց կիրառու</w:t>
      </w:r>
      <w:r w:rsidRPr="007955BB">
        <w:rPr>
          <w:rFonts w:cs="Sylfaen"/>
          <w:b w:val="0"/>
          <w:color w:val="000000"/>
          <w:szCs w:val="22"/>
          <w:lang w:val="hy-AM"/>
        </w:rPr>
        <w:softHyphen/>
        <w:t>թյան արդ</w:t>
      </w:r>
      <w:r w:rsidRPr="007955BB">
        <w:rPr>
          <w:rFonts w:cs="Sylfaen"/>
          <w:b w:val="0"/>
          <w:color w:val="000000"/>
          <w:szCs w:val="22"/>
          <w:lang w:val="hy-AM"/>
        </w:rPr>
        <w:softHyphen/>
        <w:t>յունքում սպառողների ու տնտե</w:t>
      </w:r>
      <w:r w:rsidRPr="007955BB">
        <w:rPr>
          <w:rFonts w:cs="Sylfaen"/>
          <w:b w:val="0"/>
          <w:color w:val="000000"/>
          <w:szCs w:val="22"/>
          <w:lang w:val="hy-AM"/>
        </w:rPr>
        <w:softHyphen/>
        <w:t>սա</w:t>
      </w:r>
      <w:r w:rsidRPr="007955BB">
        <w:rPr>
          <w:rFonts w:cs="Sylfaen"/>
          <w:b w:val="0"/>
          <w:color w:val="000000"/>
          <w:szCs w:val="22"/>
          <w:lang w:val="hy-AM"/>
        </w:rPr>
        <w:softHyphen/>
        <w:t>վարող սուբյեկտների համար ստեղծվող «օգուտ</w:t>
      </w:r>
      <w:r w:rsidRPr="007955BB">
        <w:rPr>
          <w:rFonts w:cs="Sylfaen"/>
          <w:b w:val="0"/>
          <w:color w:val="000000"/>
          <w:szCs w:val="22"/>
          <w:lang w:val="hy-AM"/>
        </w:rPr>
        <w:softHyphen/>
        <w:t>ները» համարժեք չեն պետության կրած «ծախ</w:t>
      </w:r>
      <w:r w:rsidRPr="007955BB">
        <w:rPr>
          <w:rFonts w:cs="Sylfaen"/>
          <w:b w:val="0"/>
          <w:color w:val="000000"/>
          <w:szCs w:val="22"/>
          <w:lang w:val="hy-AM"/>
        </w:rPr>
        <w:softHyphen/>
        <w:t>սերին» (պետության կորցրած հարկային եկա</w:t>
      </w:r>
      <w:r w:rsidRPr="007955BB">
        <w:rPr>
          <w:rFonts w:cs="Sylfaen"/>
          <w:b w:val="0"/>
          <w:color w:val="000000"/>
          <w:szCs w:val="22"/>
          <w:lang w:val="hy-AM"/>
        </w:rPr>
        <w:softHyphen/>
        <w:t>մուտ</w:t>
      </w:r>
      <w:r w:rsidRPr="007955BB">
        <w:rPr>
          <w:rFonts w:cs="Sylfaen"/>
          <w:b w:val="0"/>
          <w:color w:val="000000"/>
          <w:szCs w:val="22"/>
          <w:lang w:val="hy-AM"/>
        </w:rPr>
        <w:softHyphen/>
      </w:r>
      <w:r w:rsidRPr="007955BB">
        <w:rPr>
          <w:rFonts w:cs="Sylfaen"/>
          <w:b w:val="0"/>
          <w:color w:val="000000"/>
          <w:szCs w:val="22"/>
          <w:lang w:val="hy-AM"/>
        </w:rPr>
        <w:softHyphen/>
        <w:t>նե</w:t>
      </w:r>
      <w:r w:rsidRPr="007955BB">
        <w:rPr>
          <w:rFonts w:cs="Sylfaen"/>
          <w:b w:val="0"/>
          <w:color w:val="000000"/>
          <w:szCs w:val="22"/>
          <w:lang w:val="hy-AM"/>
        </w:rPr>
        <w:softHyphen/>
        <w:t>րին), պետք է աստիճանաբար կրճատ</w:t>
      </w:r>
      <w:r w:rsidRPr="007955BB">
        <w:rPr>
          <w:rFonts w:cs="Sylfaen"/>
          <w:b w:val="0"/>
          <w:color w:val="000000"/>
          <w:szCs w:val="22"/>
          <w:lang w:val="hy-AM"/>
        </w:rPr>
        <w:softHyphen/>
        <w:t>վեն: Քաղաքականության այսպիսի մոտեցումը հիմ</w:t>
      </w:r>
      <w:r w:rsidRPr="007955BB">
        <w:rPr>
          <w:rFonts w:cs="Sylfaen"/>
          <w:b w:val="0"/>
          <w:color w:val="000000"/>
          <w:szCs w:val="22"/>
          <w:lang w:val="hy-AM"/>
        </w:rPr>
        <w:softHyphen/>
      </w:r>
      <w:r w:rsidRPr="007955BB">
        <w:rPr>
          <w:rFonts w:cs="Sylfaen"/>
          <w:b w:val="0"/>
          <w:color w:val="000000"/>
          <w:szCs w:val="22"/>
          <w:lang w:val="hy-AM"/>
        </w:rPr>
        <w:softHyphen/>
        <w:t>նա</w:t>
      </w:r>
      <w:r w:rsidRPr="007955BB">
        <w:rPr>
          <w:rFonts w:cs="Sylfaen"/>
          <w:b w:val="0"/>
          <w:color w:val="000000"/>
          <w:szCs w:val="22"/>
          <w:lang w:val="hy-AM"/>
        </w:rPr>
        <w:softHyphen/>
        <w:t>վորվում է ֆինանսական ռեսուրս</w:t>
      </w:r>
      <w:r w:rsidRPr="007955BB">
        <w:rPr>
          <w:rFonts w:cs="Sylfaen"/>
          <w:b w:val="0"/>
          <w:color w:val="000000"/>
          <w:szCs w:val="22"/>
          <w:lang w:val="hy-AM"/>
        </w:rPr>
        <w:softHyphen/>
        <w:t>ներ կենտրոնացնելու՝ պետության սահմանափակ ներուժն առավել արդյունավետ և առա</w:t>
      </w:r>
      <w:r w:rsidRPr="007955BB">
        <w:rPr>
          <w:rFonts w:cs="Sylfaen"/>
          <w:b w:val="0"/>
          <w:color w:val="000000"/>
          <w:szCs w:val="22"/>
          <w:lang w:val="hy-AM"/>
        </w:rPr>
        <w:softHyphen/>
        <w:t>վել հասցեական ձևով օգտագործելու նպատակա</w:t>
      </w:r>
      <w:r w:rsidRPr="007955BB">
        <w:rPr>
          <w:rFonts w:cs="Sylfaen"/>
          <w:b w:val="0"/>
          <w:color w:val="000000"/>
          <w:szCs w:val="22"/>
          <w:lang w:val="hy-AM"/>
        </w:rPr>
        <w:softHyphen/>
        <w:t>դրու</w:t>
      </w:r>
      <w:r w:rsidRPr="007955BB">
        <w:rPr>
          <w:rFonts w:cs="Sylfaen"/>
          <w:b w:val="0"/>
          <w:color w:val="000000"/>
          <w:szCs w:val="22"/>
          <w:lang w:val="hy-AM"/>
        </w:rPr>
        <w:softHyphen/>
      </w:r>
      <w:r w:rsidRPr="007955BB">
        <w:rPr>
          <w:rFonts w:cs="Sylfaen"/>
          <w:b w:val="0"/>
          <w:color w:val="000000"/>
          <w:szCs w:val="22"/>
          <w:lang w:val="hy-AM"/>
        </w:rPr>
        <w:softHyphen/>
        <w:t>մով, քանի որ հարկային արտո</w:t>
      </w:r>
      <w:r w:rsidRPr="007955BB">
        <w:rPr>
          <w:rFonts w:cs="Sylfaen"/>
          <w:b w:val="0"/>
          <w:color w:val="000000"/>
          <w:szCs w:val="22"/>
          <w:lang w:val="hy-AM"/>
        </w:rPr>
        <w:softHyphen/>
        <w:t>նու</w:t>
      </w:r>
      <w:r w:rsidRPr="007955BB">
        <w:rPr>
          <w:rFonts w:cs="Sylfaen"/>
          <w:b w:val="0"/>
          <w:color w:val="000000"/>
          <w:szCs w:val="22"/>
          <w:lang w:val="hy-AM"/>
        </w:rPr>
        <w:softHyphen/>
        <w:t>թյունների տրամադրմամբ, պետությունը, ըստ էութ</w:t>
      </w:r>
      <w:r w:rsidRPr="007955BB">
        <w:rPr>
          <w:rFonts w:cs="Sylfaen"/>
          <w:b w:val="0"/>
          <w:color w:val="000000"/>
          <w:szCs w:val="22"/>
          <w:lang w:val="hy-AM"/>
        </w:rPr>
        <w:softHyphen/>
        <w:t>յան, զրկվում է լրացուցիչ հարկային եկա</w:t>
      </w:r>
      <w:r w:rsidRPr="007955BB">
        <w:rPr>
          <w:rFonts w:cs="Sylfaen"/>
          <w:b w:val="0"/>
          <w:color w:val="000000"/>
          <w:szCs w:val="22"/>
          <w:lang w:val="hy-AM"/>
        </w:rPr>
        <w:softHyphen/>
        <w:t>մուտներ հավաքագրելու և զարգացման, սոցիա</w:t>
      </w:r>
      <w:r w:rsidRPr="007955BB">
        <w:rPr>
          <w:rFonts w:cs="Sylfaen"/>
          <w:b w:val="0"/>
          <w:color w:val="000000"/>
          <w:szCs w:val="22"/>
          <w:lang w:val="hy-AM"/>
        </w:rPr>
        <w:softHyphen/>
        <w:t>լա</w:t>
      </w:r>
      <w:r w:rsidRPr="007955BB">
        <w:rPr>
          <w:rFonts w:cs="Sylfaen"/>
          <w:b w:val="0"/>
          <w:color w:val="000000"/>
          <w:szCs w:val="22"/>
          <w:lang w:val="hy-AM"/>
        </w:rPr>
        <w:softHyphen/>
        <w:t>կան, բնապահպանական, առողջա</w:t>
      </w:r>
      <w:r w:rsidRPr="007955BB">
        <w:rPr>
          <w:rFonts w:cs="Sylfaen"/>
          <w:b w:val="0"/>
          <w:color w:val="000000"/>
          <w:szCs w:val="22"/>
          <w:lang w:val="hy-AM"/>
        </w:rPr>
        <w:softHyphen/>
        <w:t>պա</w:t>
      </w:r>
      <w:r w:rsidRPr="007955BB">
        <w:rPr>
          <w:rFonts w:cs="Sylfaen"/>
          <w:b w:val="0"/>
          <w:color w:val="000000"/>
          <w:szCs w:val="22"/>
          <w:lang w:val="hy-AM"/>
        </w:rPr>
        <w:softHyphen/>
        <w:t>հական կամ այլ հանրօգուտ նպատակներով լրա</w:t>
      </w:r>
      <w:r w:rsidRPr="007955BB">
        <w:rPr>
          <w:rFonts w:cs="Sylfaen"/>
          <w:b w:val="0"/>
          <w:color w:val="000000"/>
          <w:szCs w:val="22"/>
          <w:lang w:val="hy-AM"/>
        </w:rPr>
        <w:softHyphen/>
        <w:t>ցու</w:t>
      </w:r>
      <w:r w:rsidRPr="007955BB">
        <w:rPr>
          <w:rFonts w:cs="Sylfaen"/>
          <w:b w:val="0"/>
          <w:color w:val="000000"/>
          <w:szCs w:val="22"/>
          <w:lang w:val="hy-AM"/>
        </w:rPr>
        <w:softHyphen/>
        <w:t>ցիչ ծրագրեր իրականացնելու հնա</w:t>
      </w:r>
      <w:r w:rsidRPr="007955BB">
        <w:rPr>
          <w:rFonts w:cs="Sylfaen"/>
          <w:b w:val="0"/>
          <w:color w:val="000000"/>
          <w:szCs w:val="22"/>
          <w:lang w:val="hy-AM"/>
        </w:rPr>
        <w:softHyphen/>
        <w:t>րա</w:t>
      </w:r>
      <w:r w:rsidRPr="007955BB">
        <w:rPr>
          <w:rFonts w:cs="Sylfaen"/>
          <w:b w:val="0"/>
          <w:color w:val="000000"/>
          <w:szCs w:val="22"/>
          <w:lang w:val="hy-AM"/>
        </w:rPr>
        <w:softHyphen/>
        <w:t>վորություններից: Արդ</w:t>
      </w:r>
      <w:r w:rsidRPr="007955BB">
        <w:rPr>
          <w:rFonts w:cs="Sylfaen"/>
          <w:b w:val="0"/>
          <w:color w:val="000000"/>
          <w:szCs w:val="22"/>
          <w:lang w:val="hy-AM"/>
        </w:rPr>
        <w:softHyphen/>
        <w:t>յուն</w:t>
      </w:r>
      <w:r w:rsidRPr="007955BB">
        <w:rPr>
          <w:rFonts w:cs="Sylfaen"/>
          <w:b w:val="0"/>
          <w:color w:val="000000"/>
          <w:szCs w:val="22"/>
          <w:lang w:val="hy-AM"/>
        </w:rPr>
        <w:softHyphen/>
        <w:t>քում պետության կարևորա</w:t>
      </w:r>
      <w:r w:rsidRPr="007955BB">
        <w:rPr>
          <w:rFonts w:cs="Sylfaen"/>
          <w:b w:val="0"/>
          <w:color w:val="000000"/>
          <w:szCs w:val="22"/>
          <w:lang w:val="hy-AM"/>
        </w:rPr>
        <w:softHyphen/>
        <w:t>գույն գործառույթներից մեկը՝ եկա</w:t>
      </w:r>
      <w:r w:rsidRPr="007955BB">
        <w:rPr>
          <w:rFonts w:cs="Sylfaen"/>
          <w:b w:val="0"/>
          <w:color w:val="000000"/>
          <w:szCs w:val="22"/>
          <w:lang w:val="hy-AM"/>
        </w:rPr>
        <w:softHyphen/>
        <w:t>մուտ</w:t>
      </w:r>
      <w:r w:rsidRPr="007955BB">
        <w:rPr>
          <w:rFonts w:cs="Sylfaen"/>
          <w:b w:val="0"/>
          <w:color w:val="000000"/>
          <w:szCs w:val="22"/>
          <w:lang w:val="hy-AM"/>
        </w:rPr>
        <w:softHyphen/>
        <w:t>ների վերաբաշխ</w:t>
      </w:r>
      <w:r w:rsidRPr="007955BB">
        <w:rPr>
          <w:rFonts w:cs="Sylfaen"/>
          <w:b w:val="0"/>
          <w:color w:val="000000"/>
          <w:szCs w:val="22"/>
          <w:lang w:val="hy-AM"/>
        </w:rPr>
        <w:softHyphen/>
        <w:t>ման գոր</w:t>
      </w:r>
      <w:r w:rsidRPr="007955BB">
        <w:rPr>
          <w:rFonts w:cs="Sylfaen"/>
          <w:b w:val="0"/>
          <w:color w:val="000000"/>
          <w:szCs w:val="22"/>
          <w:lang w:val="hy-AM"/>
        </w:rPr>
        <w:softHyphen/>
        <w:t>ծառույթը, ամբողջությամբ և հասցեական ձևով չի իրակա</w:t>
      </w:r>
      <w:r w:rsidRPr="007955BB">
        <w:rPr>
          <w:rFonts w:cs="Sylfaen"/>
          <w:b w:val="0"/>
          <w:color w:val="000000"/>
          <w:szCs w:val="22"/>
          <w:lang w:val="hy-AM"/>
        </w:rPr>
        <w:softHyphen/>
        <w:t>նաց</w:t>
      </w:r>
      <w:r w:rsidRPr="007955BB">
        <w:rPr>
          <w:rFonts w:cs="Sylfaen"/>
          <w:b w:val="0"/>
          <w:color w:val="000000"/>
          <w:szCs w:val="22"/>
          <w:lang w:val="hy-AM"/>
        </w:rPr>
        <w:softHyphen/>
        <w:t>վում:</w:t>
      </w:r>
    </w:p>
    <w:p w:rsidR="00E84267" w:rsidRPr="007955BB" w:rsidRDefault="00E84267" w:rsidP="00E84267">
      <w:pPr>
        <w:spacing w:line="276" w:lineRule="auto"/>
        <w:rPr>
          <w:rFonts w:eastAsia="Calibri" w:cs="Calibri"/>
          <w:szCs w:val="22"/>
          <w:u w:val="single"/>
          <w:lang w:val="hy-AM"/>
        </w:rPr>
      </w:pPr>
    </w:p>
    <w:p w:rsidR="00E84267" w:rsidRPr="007955BB" w:rsidRDefault="00E84267" w:rsidP="00E84267">
      <w:pPr>
        <w:shd w:val="clear" w:color="auto" w:fill="FFFFFF"/>
        <w:spacing w:before="0" w:line="276" w:lineRule="auto"/>
        <w:rPr>
          <w:color w:val="000000"/>
          <w:szCs w:val="22"/>
          <w:lang w:val="hy-AM"/>
        </w:rPr>
      </w:pPr>
      <w:r w:rsidRPr="007955BB">
        <w:rPr>
          <w:color w:val="000000"/>
          <w:szCs w:val="22"/>
          <w:lang w:val="hy-AM"/>
        </w:rPr>
        <w:t xml:space="preserve">Հարկային ծախսերի գնահատականները ըստ հարկատեսակների ու </w:t>
      </w:r>
    </w:p>
    <w:p w:rsidR="00E84267" w:rsidRPr="007955BB" w:rsidRDefault="00E84267" w:rsidP="00E84267">
      <w:pPr>
        <w:shd w:val="clear" w:color="auto" w:fill="FFFFFF"/>
        <w:spacing w:before="0" w:line="276" w:lineRule="auto"/>
        <w:rPr>
          <w:color w:val="000000"/>
          <w:szCs w:val="22"/>
          <w:lang w:val="hy-AM"/>
        </w:rPr>
      </w:pPr>
      <w:r w:rsidRPr="007955BB">
        <w:rPr>
          <w:color w:val="000000"/>
          <w:szCs w:val="22"/>
          <w:lang w:val="hy-AM"/>
        </w:rPr>
        <w:t>արտոնությունների հիմնական տեսակների.</w:t>
      </w:r>
    </w:p>
    <w:p w:rsidR="00E84267" w:rsidRPr="007955BB" w:rsidRDefault="00E84267" w:rsidP="00E84267">
      <w:pPr>
        <w:spacing w:line="276" w:lineRule="auto"/>
        <w:rPr>
          <w:rFonts w:cs="Sylfaen"/>
          <w:b w:val="0"/>
          <w:iCs/>
          <w:color w:val="000000"/>
          <w:szCs w:val="22"/>
          <w:lang w:val="hy-AM"/>
        </w:rPr>
      </w:pPr>
      <w:r w:rsidRPr="007955BB">
        <w:rPr>
          <w:rFonts w:cs="Sylfaen"/>
          <w:b w:val="0"/>
          <w:iCs/>
          <w:color w:val="000000"/>
          <w:szCs w:val="22"/>
          <w:lang w:val="hy-AM"/>
        </w:rPr>
        <w:t>Սույն հաշվետվությամբ ներկայացված է հարկային արտոնությունների հետևանքով պետա</w:t>
      </w:r>
      <w:r w:rsidRPr="007955BB">
        <w:rPr>
          <w:rFonts w:cs="Sylfaen"/>
          <w:b w:val="0"/>
          <w:iCs/>
          <w:color w:val="000000"/>
          <w:szCs w:val="22"/>
          <w:lang w:val="hy-AM"/>
        </w:rPr>
        <w:softHyphen/>
        <w:t>կան բյուջե չգանձվող (պակաս գանձվող) հարկային եկամուտների մակրոտնտե</w:t>
      </w:r>
      <w:r w:rsidRPr="007955BB">
        <w:rPr>
          <w:rFonts w:cs="Sylfaen"/>
          <w:b w:val="0"/>
          <w:iCs/>
          <w:color w:val="000000"/>
          <w:szCs w:val="22"/>
          <w:lang w:val="hy-AM"/>
        </w:rPr>
        <w:softHyphen/>
        <w:t>սա</w:t>
      </w:r>
      <w:r w:rsidRPr="007955BB">
        <w:rPr>
          <w:rFonts w:cs="Sylfaen"/>
          <w:b w:val="0"/>
          <w:iCs/>
          <w:color w:val="000000"/>
          <w:szCs w:val="22"/>
          <w:lang w:val="hy-AM"/>
        </w:rPr>
        <w:softHyphen/>
        <w:t>կան գնահատականը՝ տնտեսության այն ոլորտների մասով, որոնք օգտվում են հարկային արտո</w:t>
      </w:r>
      <w:r w:rsidRPr="007955BB">
        <w:rPr>
          <w:rFonts w:cs="Sylfaen"/>
          <w:b w:val="0"/>
          <w:iCs/>
          <w:color w:val="000000"/>
          <w:szCs w:val="22"/>
          <w:lang w:val="hy-AM"/>
        </w:rPr>
        <w:softHyphen/>
        <w:t>նություններից:  Միաժամանակ, գնահատվել են մի քանի այլ հարկային արտո</w:t>
      </w:r>
      <w:r w:rsidRPr="007955BB">
        <w:rPr>
          <w:rFonts w:cs="Sylfaen"/>
          <w:b w:val="0"/>
          <w:iCs/>
          <w:color w:val="000000"/>
          <w:szCs w:val="22"/>
          <w:lang w:val="hy-AM"/>
        </w:rPr>
        <w:softHyphen/>
        <w:t>նու</w:t>
      </w:r>
      <w:r w:rsidRPr="007955BB">
        <w:rPr>
          <w:rFonts w:cs="Sylfaen"/>
          <w:b w:val="0"/>
          <w:iCs/>
          <w:color w:val="000000"/>
          <w:szCs w:val="22"/>
          <w:lang w:val="hy-AM"/>
        </w:rPr>
        <w:softHyphen/>
        <w:t>թյուն</w:t>
      </w:r>
      <w:r w:rsidRPr="007955BB">
        <w:rPr>
          <w:rFonts w:cs="Sylfaen"/>
          <w:b w:val="0"/>
          <w:iCs/>
          <w:color w:val="000000"/>
          <w:szCs w:val="22"/>
          <w:lang w:val="hy-AM"/>
        </w:rPr>
        <w:softHyphen/>
        <w:t>ների (ոչ ոլորտային նշանակության) կիրառության հետևանքով պետական բյուջեի հար</w:t>
      </w:r>
      <w:r w:rsidRPr="007955BB">
        <w:rPr>
          <w:rFonts w:cs="Sylfaen"/>
          <w:b w:val="0"/>
          <w:iCs/>
          <w:color w:val="000000"/>
          <w:szCs w:val="22"/>
          <w:lang w:val="hy-AM"/>
        </w:rPr>
        <w:softHyphen/>
        <w:t>կա</w:t>
      </w:r>
      <w:r w:rsidRPr="007955BB">
        <w:rPr>
          <w:rFonts w:cs="Sylfaen"/>
          <w:b w:val="0"/>
          <w:iCs/>
          <w:color w:val="000000"/>
          <w:szCs w:val="22"/>
          <w:lang w:val="hy-AM"/>
        </w:rPr>
        <w:softHyphen/>
        <w:t>յին եկամուտների կորուստները: 2023 թվականի հարկային ծախսերի գնահատականը ներառում է նաև ԱԱՀ-ի հաշվարկով արտացոլված մի շարք այլ հարկային արտոնությունների գնահատականները:</w:t>
      </w:r>
    </w:p>
    <w:p w:rsidR="00E84267" w:rsidRPr="007955BB" w:rsidRDefault="00E84267" w:rsidP="00E84267">
      <w:pPr>
        <w:spacing w:line="276" w:lineRule="auto"/>
        <w:rPr>
          <w:rFonts w:cs="Sylfaen"/>
          <w:b w:val="0"/>
          <w:iCs/>
          <w:color w:val="000000"/>
          <w:szCs w:val="22"/>
          <w:lang w:val="hy-AM"/>
        </w:rPr>
      </w:pPr>
      <w:r w:rsidRPr="007955BB">
        <w:rPr>
          <w:rFonts w:cs="Sylfaen"/>
          <w:b w:val="0"/>
          <w:iCs/>
          <w:color w:val="000000"/>
          <w:szCs w:val="22"/>
          <w:lang w:val="hy-AM"/>
        </w:rPr>
        <w:t xml:space="preserve">Գնահատման արդյունքների համաձայն, հարկային ծախսերի տարեկան մեծությունը կազմել է 584,763 մլն. դրամ, ինչը 81,461 մլն. դրամով կամ 16.2 տոկոսով ավելին է, քան նախորդ տարվա գնահատականը: </w:t>
      </w:r>
      <w:r w:rsidR="00A94018">
        <w:rPr>
          <w:rFonts w:cs="Sylfaen"/>
          <w:b w:val="0"/>
          <w:iCs/>
          <w:color w:val="000000"/>
          <w:szCs w:val="22"/>
          <w:lang w:val="hy-AM"/>
        </w:rPr>
        <w:t>ԱԱՀ</w:t>
      </w:r>
      <w:r w:rsidR="00A94018" w:rsidRPr="00A94018">
        <w:rPr>
          <w:rFonts w:cs="Sylfaen"/>
          <w:b w:val="0"/>
          <w:iCs/>
          <w:color w:val="000000"/>
          <w:szCs w:val="22"/>
          <w:lang w:val="hy-AM"/>
        </w:rPr>
        <w:t>-</w:t>
      </w:r>
      <w:r w:rsidRPr="007955BB">
        <w:rPr>
          <w:rFonts w:cs="Sylfaen"/>
          <w:b w:val="0"/>
          <w:iCs/>
          <w:color w:val="000000"/>
          <w:szCs w:val="22"/>
          <w:lang w:val="hy-AM"/>
        </w:rPr>
        <w:t xml:space="preserve">ի գծով հարկային ծախսերը գնահատվել են 409,934 մլն. դրամ, ինչը 46,638 մլն. դրամով կամ 12.8 տոկոսով ավելին է, քան նախորդ տարվա գնահատականը: Շահութահարկի գծով հարկային ծախսերը գնահատվել են 81,464 մլն. դրամ, ինչը 2,534 մլն. դրամով կամ 3.2 տոկոսով ավելին է, քան նախորդ տարվա գնահատականը: Եկամտային հարկի գծով հարկային ծախսերը գնահատվել են 93,365 մլն. դրամ, ինչը 32,289 մլն. դրամով կամ 52.9 տոկոսով ավելին է, քան նախորդ տարվա գնահատականը: </w:t>
      </w:r>
    </w:p>
    <w:p w:rsidR="00E84267" w:rsidRPr="007955BB" w:rsidRDefault="00E84267" w:rsidP="00F04DA1">
      <w:pPr>
        <w:numPr>
          <w:ilvl w:val="0"/>
          <w:numId w:val="41"/>
        </w:numPr>
        <w:tabs>
          <w:tab w:val="left" w:pos="851"/>
        </w:tabs>
        <w:spacing w:before="240" w:line="276" w:lineRule="auto"/>
        <w:rPr>
          <w:b w:val="0"/>
          <w:i/>
          <w:szCs w:val="22"/>
          <w:lang w:val="hy-AM"/>
        </w:rPr>
      </w:pPr>
      <w:r w:rsidRPr="007955BB">
        <w:rPr>
          <w:b w:val="0"/>
          <w:i/>
          <w:szCs w:val="22"/>
          <w:lang w:val="hy-AM"/>
        </w:rPr>
        <w:t>ԱԱՀ-ի գծով հարկային ծախսերը.</w:t>
      </w:r>
    </w:p>
    <w:p w:rsidR="00E84267" w:rsidRPr="007955BB" w:rsidRDefault="00A94018" w:rsidP="00E84267">
      <w:pPr>
        <w:spacing w:line="276" w:lineRule="auto"/>
        <w:rPr>
          <w:rFonts w:cs="Sylfaen"/>
          <w:b w:val="0"/>
          <w:iCs/>
          <w:color w:val="000000"/>
          <w:szCs w:val="22"/>
          <w:lang w:val="hy-AM"/>
        </w:rPr>
      </w:pPr>
      <w:r>
        <w:rPr>
          <w:rFonts w:cs="Sylfaen"/>
          <w:b w:val="0"/>
          <w:iCs/>
          <w:color w:val="000000"/>
          <w:szCs w:val="22"/>
          <w:lang w:val="hy-AM"/>
        </w:rPr>
        <w:t>ԱԱՀ</w:t>
      </w:r>
      <w:r w:rsidRPr="00A94018">
        <w:rPr>
          <w:rFonts w:cs="Sylfaen"/>
          <w:b w:val="0"/>
          <w:iCs/>
          <w:color w:val="000000"/>
          <w:szCs w:val="22"/>
          <w:lang w:val="hy-AM"/>
        </w:rPr>
        <w:t>-</w:t>
      </w:r>
      <w:r w:rsidR="00E84267" w:rsidRPr="007955BB">
        <w:rPr>
          <w:rFonts w:cs="Sylfaen"/>
          <w:b w:val="0"/>
          <w:iCs/>
          <w:color w:val="000000"/>
          <w:szCs w:val="22"/>
          <w:lang w:val="hy-AM"/>
        </w:rPr>
        <w:t>ի գծով հարկային ծախսերի մեծությունը տնտեսության տար</w:t>
      </w:r>
      <w:r w:rsidR="00E84267" w:rsidRPr="007955BB">
        <w:rPr>
          <w:rFonts w:cs="Sylfaen"/>
          <w:b w:val="0"/>
          <w:iCs/>
          <w:color w:val="000000"/>
          <w:szCs w:val="22"/>
          <w:lang w:val="hy-AM"/>
        </w:rPr>
        <w:softHyphen/>
        <w:t>բեր ոլորտների ու առանձին հարկային արտոնությունների միջև բաշխվում է հետևյալ կերպ.</w:t>
      </w:r>
    </w:p>
    <w:p w:rsidR="00E84267" w:rsidRPr="007955BB" w:rsidRDefault="00E84267" w:rsidP="00F04DA1">
      <w:pPr>
        <w:numPr>
          <w:ilvl w:val="0"/>
          <w:numId w:val="42"/>
        </w:numPr>
        <w:tabs>
          <w:tab w:val="left" w:pos="851"/>
        </w:tabs>
        <w:spacing w:before="0" w:line="276" w:lineRule="auto"/>
        <w:ind w:hanging="657"/>
        <w:rPr>
          <w:b w:val="0"/>
          <w:szCs w:val="22"/>
        </w:rPr>
      </w:pPr>
      <w:r w:rsidRPr="007955BB">
        <w:rPr>
          <w:b w:val="0"/>
          <w:szCs w:val="22"/>
        </w:rPr>
        <w:t>գյուղատնտեսություն` 17,693 մլն. դրամ,</w:t>
      </w:r>
    </w:p>
    <w:p w:rsidR="00E84267" w:rsidRPr="007955BB" w:rsidRDefault="00E84267" w:rsidP="00F04DA1">
      <w:pPr>
        <w:numPr>
          <w:ilvl w:val="0"/>
          <w:numId w:val="42"/>
        </w:numPr>
        <w:tabs>
          <w:tab w:val="left" w:pos="851"/>
        </w:tabs>
        <w:spacing w:before="0" w:line="276" w:lineRule="auto"/>
        <w:ind w:hanging="657"/>
        <w:rPr>
          <w:b w:val="0"/>
          <w:szCs w:val="22"/>
        </w:rPr>
      </w:pPr>
      <w:r w:rsidRPr="007955BB">
        <w:rPr>
          <w:b w:val="0"/>
          <w:szCs w:val="22"/>
        </w:rPr>
        <w:t>առողջապահություն` 86,208 մլն. դրամ,</w:t>
      </w:r>
    </w:p>
    <w:p w:rsidR="00E84267" w:rsidRPr="007955BB" w:rsidRDefault="00E84267" w:rsidP="00F04DA1">
      <w:pPr>
        <w:numPr>
          <w:ilvl w:val="0"/>
          <w:numId w:val="42"/>
        </w:numPr>
        <w:tabs>
          <w:tab w:val="left" w:pos="851"/>
        </w:tabs>
        <w:spacing w:before="0" w:line="276" w:lineRule="auto"/>
        <w:ind w:hanging="657"/>
        <w:rPr>
          <w:b w:val="0"/>
          <w:szCs w:val="22"/>
        </w:rPr>
      </w:pPr>
      <w:r w:rsidRPr="007955BB">
        <w:rPr>
          <w:b w:val="0"/>
          <w:szCs w:val="22"/>
        </w:rPr>
        <w:t>կրթություն` 35,308 մլն. դրամ,</w:t>
      </w:r>
    </w:p>
    <w:p w:rsidR="00E84267" w:rsidRPr="007955BB" w:rsidRDefault="00E84267" w:rsidP="00F04DA1">
      <w:pPr>
        <w:numPr>
          <w:ilvl w:val="0"/>
          <w:numId w:val="42"/>
        </w:numPr>
        <w:tabs>
          <w:tab w:val="left" w:pos="851"/>
        </w:tabs>
        <w:spacing w:before="0" w:line="276" w:lineRule="auto"/>
        <w:ind w:hanging="657"/>
        <w:rPr>
          <w:b w:val="0"/>
          <w:szCs w:val="22"/>
        </w:rPr>
      </w:pPr>
      <w:r w:rsidRPr="007955BB">
        <w:rPr>
          <w:b w:val="0"/>
          <w:szCs w:val="22"/>
        </w:rPr>
        <w:t>ֆինանսներ և ապահովագրություն` 103,696 մլն. դրամ,</w:t>
      </w:r>
    </w:p>
    <w:p w:rsidR="00E84267" w:rsidRPr="007955BB" w:rsidRDefault="00E84267" w:rsidP="00F04DA1">
      <w:pPr>
        <w:numPr>
          <w:ilvl w:val="0"/>
          <w:numId w:val="42"/>
        </w:numPr>
        <w:tabs>
          <w:tab w:val="left" w:pos="851"/>
        </w:tabs>
        <w:spacing w:before="0" w:line="276" w:lineRule="auto"/>
        <w:ind w:left="0" w:firstLine="630"/>
        <w:rPr>
          <w:b w:val="0"/>
          <w:szCs w:val="22"/>
        </w:rPr>
      </w:pPr>
      <w:r w:rsidRPr="007955BB">
        <w:rPr>
          <w:b w:val="0"/>
          <w:szCs w:val="22"/>
        </w:rPr>
        <w:t>խաղատների գործունեություն, շահումով խաղերի (այդ թվում՝ ինտերնետ շահումով խաղերի), տոտալիզատորի և ինտերնետ տոտալիզատորի կազմակերպում՝ 63,433 մլն. դրամ,</w:t>
      </w:r>
    </w:p>
    <w:p w:rsidR="00E84267" w:rsidRPr="007955BB" w:rsidRDefault="00E84267" w:rsidP="00F04DA1">
      <w:pPr>
        <w:numPr>
          <w:ilvl w:val="0"/>
          <w:numId w:val="42"/>
        </w:numPr>
        <w:tabs>
          <w:tab w:val="left" w:pos="851"/>
        </w:tabs>
        <w:spacing w:before="0" w:line="276" w:lineRule="auto"/>
        <w:ind w:hanging="657"/>
        <w:rPr>
          <w:b w:val="0"/>
          <w:szCs w:val="22"/>
        </w:rPr>
      </w:pPr>
      <w:r w:rsidRPr="007955BB">
        <w:rPr>
          <w:b w:val="0"/>
          <w:szCs w:val="22"/>
        </w:rPr>
        <w:t>ոսկու և թանկարժեք քարերի իրացում՝ 1,701 մլն. դրամ,</w:t>
      </w:r>
    </w:p>
    <w:p w:rsidR="00E84267" w:rsidRPr="007955BB" w:rsidRDefault="00E84267" w:rsidP="00F04DA1">
      <w:pPr>
        <w:numPr>
          <w:ilvl w:val="0"/>
          <w:numId w:val="42"/>
        </w:numPr>
        <w:tabs>
          <w:tab w:val="left" w:pos="851"/>
        </w:tabs>
        <w:spacing w:before="0" w:line="276" w:lineRule="auto"/>
        <w:ind w:hanging="657"/>
        <w:rPr>
          <w:b w:val="0"/>
          <w:szCs w:val="22"/>
        </w:rPr>
      </w:pPr>
      <w:r w:rsidRPr="007955BB">
        <w:rPr>
          <w:b w:val="0"/>
          <w:szCs w:val="22"/>
        </w:rPr>
        <w:t>մարդասիրական օգնություն՝ 6,889 մլն. դրամ,</w:t>
      </w:r>
    </w:p>
    <w:p w:rsidR="00E84267" w:rsidRPr="007955BB" w:rsidRDefault="00E84267" w:rsidP="00F04DA1">
      <w:pPr>
        <w:numPr>
          <w:ilvl w:val="0"/>
          <w:numId w:val="42"/>
        </w:numPr>
        <w:tabs>
          <w:tab w:val="left" w:pos="851"/>
        </w:tabs>
        <w:spacing w:before="0" w:line="276" w:lineRule="auto"/>
        <w:ind w:hanging="657"/>
        <w:rPr>
          <w:b w:val="0"/>
          <w:szCs w:val="22"/>
        </w:rPr>
      </w:pPr>
      <w:r w:rsidRPr="007955BB">
        <w:rPr>
          <w:b w:val="0"/>
          <w:szCs w:val="22"/>
        </w:rPr>
        <w:t>պարարտանյութերի իրացում՝ 5,784 մլն. դրամ,</w:t>
      </w:r>
    </w:p>
    <w:p w:rsidR="00E84267" w:rsidRPr="007955BB" w:rsidRDefault="00E84267" w:rsidP="00F04DA1">
      <w:pPr>
        <w:numPr>
          <w:ilvl w:val="0"/>
          <w:numId w:val="42"/>
        </w:numPr>
        <w:tabs>
          <w:tab w:val="left" w:pos="851"/>
        </w:tabs>
        <w:spacing w:before="0" w:line="276" w:lineRule="auto"/>
        <w:ind w:left="0" w:firstLine="630"/>
        <w:rPr>
          <w:b w:val="0"/>
          <w:szCs w:val="22"/>
        </w:rPr>
      </w:pPr>
      <w:r w:rsidRPr="007955BB">
        <w:rPr>
          <w:b w:val="0"/>
          <w:szCs w:val="22"/>
        </w:rPr>
        <w:t>ջրօգտագործողների ընկերությունների կողմից ոռոգման ջրի օտարում՝ 1,501 մլն. դրամ,</w:t>
      </w:r>
    </w:p>
    <w:p w:rsidR="00E84267" w:rsidRPr="007955BB" w:rsidRDefault="00E84267" w:rsidP="00F04DA1">
      <w:pPr>
        <w:numPr>
          <w:ilvl w:val="0"/>
          <w:numId w:val="42"/>
        </w:numPr>
        <w:tabs>
          <w:tab w:val="left" w:pos="851"/>
        </w:tabs>
        <w:spacing w:before="0" w:line="276" w:lineRule="auto"/>
        <w:ind w:left="0" w:firstLine="630"/>
        <w:rPr>
          <w:b w:val="0"/>
          <w:szCs w:val="22"/>
        </w:rPr>
      </w:pPr>
      <w:r w:rsidRPr="007955BB">
        <w:rPr>
          <w:b w:val="0"/>
          <w:szCs w:val="22"/>
        </w:rPr>
        <w:t>սուբսիդիաների, սուբվենցիաների և դրամաշնորհային ծրագրերի շրջանակներում իրականացվող` ապրանքի մատակարարում, աշխատանքի կատարում և (կամ) ծառայության մատուցում՝ 719 մլն. դրամ,</w:t>
      </w:r>
    </w:p>
    <w:p w:rsidR="00E84267" w:rsidRPr="007955BB" w:rsidRDefault="00E84267" w:rsidP="00F04DA1">
      <w:pPr>
        <w:numPr>
          <w:ilvl w:val="0"/>
          <w:numId w:val="42"/>
        </w:numPr>
        <w:tabs>
          <w:tab w:val="left" w:pos="851"/>
        </w:tabs>
        <w:spacing w:before="0" w:line="276" w:lineRule="auto"/>
        <w:ind w:left="0" w:firstLine="630"/>
        <w:rPr>
          <w:b w:val="0"/>
          <w:szCs w:val="22"/>
        </w:rPr>
      </w:pPr>
      <w:r w:rsidRPr="007955BB">
        <w:rPr>
          <w:b w:val="0"/>
          <w:szCs w:val="22"/>
        </w:rPr>
        <w:t>ազատ տնտեսական գոտու կազմակերպչին և ազատ տնտեսական գոտու շահագործողին ծառայությունների մատուցում, ազատ տնտեսական գոտու կազմակերպչի և ազատ տնտեսական գոտու շահագործողի համար աշխատանքների կատարում, ազատ տնտեսական գոտու տարածքում ապրանքների մատակարարում՝ 352 մլն. դրամ,</w:t>
      </w:r>
    </w:p>
    <w:p w:rsidR="00E84267" w:rsidRPr="007955BB" w:rsidRDefault="00E84267" w:rsidP="00F04DA1">
      <w:pPr>
        <w:numPr>
          <w:ilvl w:val="0"/>
          <w:numId w:val="42"/>
        </w:numPr>
        <w:tabs>
          <w:tab w:val="left" w:pos="851"/>
        </w:tabs>
        <w:spacing w:before="0" w:line="276" w:lineRule="auto"/>
        <w:ind w:left="0" w:firstLine="630"/>
        <w:rPr>
          <w:b w:val="0"/>
          <w:szCs w:val="22"/>
        </w:rPr>
      </w:pPr>
      <w:r w:rsidRPr="007955BB">
        <w:rPr>
          <w:b w:val="0"/>
          <w:szCs w:val="22"/>
        </w:rPr>
        <w:t>օրենսգրքով սահմանված վերը չնշված այլ արտոնություններ` 4,436 մլն. դրամ*</w:t>
      </w:r>
    </w:p>
    <w:p w:rsidR="00E84267" w:rsidRPr="007955BB" w:rsidRDefault="00E84267" w:rsidP="00F04DA1">
      <w:pPr>
        <w:numPr>
          <w:ilvl w:val="0"/>
          <w:numId w:val="42"/>
        </w:numPr>
        <w:tabs>
          <w:tab w:val="left" w:pos="851"/>
        </w:tabs>
        <w:spacing w:before="0" w:line="276" w:lineRule="auto"/>
        <w:ind w:left="0" w:firstLine="630"/>
        <w:rPr>
          <w:b w:val="0"/>
          <w:szCs w:val="22"/>
        </w:rPr>
      </w:pPr>
      <w:r w:rsidRPr="007955BB">
        <w:rPr>
          <w:b w:val="0"/>
          <w:szCs w:val="22"/>
        </w:rPr>
        <w:t>այլ օրենքներով տրված արտոնություններ՝ 2,961 մլն. դրամ:</w:t>
      </w:r>
    </w:p>
    <w:p w:rsidR="00E84267" w:rsidRPr="007955BB" w:rsidRDefault="00E84267" w:rsidP="00E84267">
      <w:pPr>
        <w:spacing w:before="240" w:line="276" w:lineRule="auto"/>
        <w:rPr>
          <w:rFonts w:cs="Sylfaen"/>
          <w:b w:val="0"/>
          <w:i/>
          <w:iCs/>
          <w:color w:val="000000"/>
          <w:szCs w:val="22"/>
        </w:rPr>
      </w:pPr>
      <w:r w:rsidRPr="007955BB">
        <w:rPr>
          <w:rFonts w:cs="Sylfaen"/>
          <w:b w:val="0"/>
          <w:i/>
          <w:iCs/>
          <w:color w:val="000000"/>
          <w:szCs w:val="22"/>
        </w:rPr>
        <w:t xml:space="preserve">* </w:t>
      </w:r>
      <w:r w:rsidR="00A94018">
        <w:rPr>
          <w:rFonts w:cs="Sylfaen"/>
          <w:b w:val="0"/>
          <w:i/>
          <w:iCs/>
          <w:color w:val="000000"/>
          <w:szCs w:val="22"/>
        </w:rPr>
        <w:t>ԱԱՀ-</w:t>
      </w:r>
      <w:r w:rsidRPr="007955BB">
        <w:rPr>
          <w:rFonts w:cs="Sylfaen"/>
          <w:b w:val="0"/>
          <w:i/>
          <w:iCs/>
          <w:color w:val="000000"/>
          <w:szCs w:val="22"/>
        </w:rPr>
        <w:t>ի գծով հարկային ծախսերի մեծությունը գնահատելիս՝</w:t>
      </w:r>
    </w:p>
    <w:p w:rsidR="00E84267" w:rsidRPr="007955BB" w:rsidRDefault="00A94018" w:rsidP="00F04DA1">
      <w:pPr>
        <w:numPr>
          <w:ilvl w:val="0"/>
          <w:numId w:val="43"/>
        </w:numPr>
        <w:tabs>
          <w:tab w:val="left" w:pos="851"/>
        </w:tabs>
        <w:spacing w:before="0" w:line="276" w:lineRule="auto"/>
        <w:ind w:left="0" w:firstLine="630"/>
        <w:contextualSpacing w:val="0"/>
        <w:rPr>
          <w:rFonts w:cs="Sylfaen"/>
          <w:b w:val="0"/>
          <w:iCs/>
          <w:color w:val="000000"/>
          <w:szCs w:val="22"/>
        </w:rPr>
      </w:pPr>
      <w:r>
        <w:rPr>
          <w:rFonts w:cs="Sylfaen"/>
          <w:b w:val="0"/>
          <w:iCs/>
          <w:color w:val="000000"/>
          <w:szCs w:val="22"/>
        </w:rPr>
        <w:t>ԱԱՀ-</w:t>
      </w:r>
      <w:r w:rsidR="00E84267" w:rsidRPr="007955BB">
        <w:rPr>
          <w:rFonts w:cs="Sylfaen"/>
          <w:b w:val="0"/>
          <w:iCs/>
          <w:color w:val="000000"/>
          <w:szCs w:val="22"/>
        </w:rPr>
        <w:t>ի զրոյական դրույքաչափի կիրառությունը չի դիտվել որպես հարկային ծախս, քանի որ այն հիմնականում կիրառվում է արտահանվող ապրանք</w:t>
      </w:r>
      <w:r w:rsidR="00E84267" w:rsidRPr="007955BB">
        <w:rPr>
          <w:rFonts w:cs="Sylfaen"/>
          <w:b w:val="0"/>
          <w:iCs/>
          <w:color w:val="000000"/>
          <w:szCs w:val="22"/>
        </w:rPr>
        <w:softHyphen/>
        <w:t xml:space="preserve">ների իրացման գործարքների համար, որոնց մասով </w:t>
      </w:r>
      <w:r>
        <w:rPr>
          <w:rFonts w:cs="Sylfaen"/>
          <w:b w:val="0"/>
          <w:iCs/>
          <w:color w:val="000000"/>
          <w:szCs w:val="22"/>
        </w:rPr>
        <w:t>ԱԱՀ-</w:t>
      </w:r>
      <w:r w:rsidR="00E84267" w:rsidRPr="007955BB">
        <w:rPr>
          <w:rFonts w:cs="Sylfaen"/>
          <w:b w:val="0"/>
          <w:iCs/>
          <w:color w:val="000000"/>
          <w:szCs w:val="22"/>
        </w:rPr>
        <w:t>ի զրոյական դրույ</w:t>
      </w:r>
      <w:r w:rsidR="00E84267" w:rsidRPr="007955BB">
        <w:rPr>
          <w:rFonts w:cs="Sylfaen"/>
          <w:b w:val="0"/>
          <w:iCs/>
          <w:color w:val="000000"/>
          <w:szCs w:val="22"/>
        </w:rPr>
        <w:softHyphen/>
        <w:t>քաչափի կիրառությունը միջազգային պրակտիկայում ընդունված մոտեցում է, և հետևա</w:t>
      </w:r>
      <w:r w:rsidR="00E84267" w:rsidRPr="007955BB">
        <w:rPr>
          <w:rFonts w:cs="Sylfaen"/>
          <w:b w:val="0"/>
          <w:iCs/>
          <w:color w:val="000000"/>
          <w:szCs w:val="22"/>
        </w:rPr>
        <w:softHyphen/>
        <w:t xml:space="preserve">բար, այդ գործարքներից </w:t>
      </w:r>
      <w:r>
        <w:rPr>
          <w:rFonts w:cs="Sylfaen"/>
          <w:b w:val="0"/>
          <w:iCs/>
          <w:color w:val="000000"/>
          <w:szCs w:val="22"/>
        </w:rPr>
        <w:t>ԱԱՀ-</w:t>
      </w:r>
      <w:r w:rsidR="00E84267" w:rsidRPr="007955BB">
        <w:rPr>
          <w:rFonts w:cs="Sylfaen"/>
          <w:b w:val="0"/>
          <w:iCs/>
          <w:color w:val="000000"/>
          <w:szCs w:val="22"/>
        </w:rPr>
        <w:t>ի հաշվարկային մեծությունը չի կարող համարվել հենանիշային հարկ,</w:t>
      </w:r>
    </w:p>
    <w:p w:rsidR="00E84267" w:rsidRPr="007955BB" w:rsidRDefault="00E84267" w:rsidP="00F04DA1">
      <w:pPr>
        <w:numPr>
          <w:ilvl w:val="0"/>
          <w:numId w:val="43"/>
        </w:numPr>
        <w:tabs>
          <w:tab w:val="left" w:pos="851"/>
        </w:tabs>
        <w:spacing w:before="0" w:line="276" w:lineRule="auto"/>
        <w:ind w:left="0" w:firstLine="630"/>
        <w:contextualSpacing w:val="0"/>
        <w:rPr>
          <w:rFonts w:cs="Sylfaen"/>
          <w:b w:val="0"/>
          <w:iCs/>
          <w:color w:val="000000"/>
          <w:szCs w:val="22"/>
        </w:rPr>
      </w:pPr>
      <w:r w:rsidRPr="007955BB">
        <w:rPr>
          <w:rFonts w:cs="Sylfaen"/>
          <w:b w:val="0"/>
          <w:iCs/>
          <w:color w:val="000000"/>
          <w:szCs w:val="22"/>
        </w:rPr>
        <w:t>հաշվարկներում չեն ներառվել նաև ներդրումային ծրագրերի շրջանակներում ներ</w:t>
      </w:r>
      <w:r w:rsidRPr="007955BB">
        <w:rPr>
          <w:rFonts w:cs="Sylfaen"/>
          <w:b w:val="0"/>
          <w:iCs/>
          <w:color w:val="000000"/>
          <w:szCs w:val="22"/>
        </w:rPr>
        <w:softHyphen/>
        <w:t>մուծ</w:t>
      </w:r>
      <w:r w:rsidRPr="007955BB">
        <w:rPr>
          <w:rFonts w:cs="Sylfaen"/>
          <w:b w:val="0"/>
          <w:iCs/>
          <w:color w:val="000000"/>
          <w:szCs w:val="22"/>
        </w:rPr>
        <w:softHyphen/>
        <w:t xml:space="preserve">վող ապրանքների մասով մաքսային մարմինների կողմից հաշվարկվող </w:t>
      </w:r>
      <w:r w:rsidR="00A94018">
        <w:rPr>
          <w:rFonts w:cs="Sylfaen"/>
          <w:b w:val="0"/>
          <w:iCs/>
          <w:color w:val="000000"/>
          <w:szCs w:val="22"/>
        </w:rPr>
        <w:t>ԱԱՀ-</w:t>
      </w:r>
      <w:r w:rsidRPr="007955BB">
        <w:rPr>
          <w:rFonts w:cs="Sylfaen"/>
          <w:b w:val="0"/>
          <w:iCs/>
          <w:color w:val="000000"/>
          <w:szCs w:val="22"/>
        </w:rPr>
        <w:t>ի գումարները, որոնց վճարման ժամկետը հետաձգվում է օրենքով սահ</w:t>
      </w:r>
      <w:r w:rsidRPr="007955BB">
        <w:rPr>
          <w:rFonts w:cs="Sylfaen"/>
          <w:b w:val="0"/>
          <w:iCs/>
          <w:color w:val="000000"/>
          <w:szCs w:val="22"/>
        </w:rPr>
        <w:softHyphen/>
        <w:t>ման</w:t>
      </w:r>
      <w:r w:rsidRPr="007955BB">
        <w:rPr>
          <w:rFonts w:cs="Sylfaen"/>
          <w:b w:val="0"/>
          <w:iCs/>
          <w:color w:val="000000"/>
          <w:szCs w:val="22"/>
        </w:rPr>
        <w:softHyphen/>
        <w:t xml:space="preserve">ված համապատասխան ժամկետներով՝ հաշվի առնելով այն, որ </w:t>
      </w:r>
      <w:r w:rsidR="00A94018">
        <w:rPr>
          <w:rFonts w:cs="Sylfaen"/>
          <w:b w:val="0"/>
          <w:iCs/>
          <w:color w:val="000000"/>
          <w:szCs w:val="22"/>
        </w:rPr>
        <w:t>ԱԱՀ-</w:t>
      </w:r>
      <w:r w:rsidRPr="007955BB">
        <w:rPr>
          <w:rFonts w:cs="Sylfaen"/>
          <w:b w:val="0"/>
          <w:iCs/>
          <w:color w:val="000000"/>
          <w:szCs w:val="22"/>
        </w:rPr>
        <w:t>ի գումար</w:t>
      </w:r>
      <w:r w:rsidRPr="007955BB">
        <w:rPr>
          <w:rFonts w:cs="Sylfaen"/>
          <w:b w:val="0"/>
          <w:iCs/>
          <w:color w:val="000000"/>
          <w:szCs w:val="22"/>
        </w:rPr>
        <w:softHyphen/>
        <w:t>ների վճարման ժամկետի հետաձգումը միայն ժամանակային ազդեցություն է ունե</w:t>
      </w:r>
      <w:r w:rsidRPr="007955BB">
        <w:rPr>
          <w:rFonts w:cs="Sylfaen"/>
          <w:b w:val="0"/>
          <w:iCs/>
          <w:color w:val="000000"/>
          <w:szCs w:val="22"/>
        </w:rPr>
        <w:softHyphen/>
        <w:t>նում պետական բյուջեի հարկային եկամուտների մեծության վրա,</w:t>
      </w:r>
    </w:p>
    <w:p w:rsidR="00E84267" w:rsidRPr="007955BB" w:rsidRDefault="00E84267" w:rsidP="00F04DA1">
      <w:pPr>
        <w:numPr>
          <w:ilvl w:val="0"/>
          <w:numId w:val="43"/>
        </w:numPr>
        <w:tabs>
          <w:tab w:val="left" w:pos="851"/>
        </w:tabs>
        <w:spacing w:before="0" w:line="276" w:lineRule="auto"/>
        <w:ind w:left="0" w:firstLine="630"/>
        <w:contextualSpacing w:val="0"/>
        <w:rPr>
          <w:rFonts w:cs="Sylfaen"/>
          <w:b w:val="0"/>
          <w:iCs/>
          <w:color w:val="000000"/>
          <w:szCs w:val="22"/>
        </w:rPr>
      </w:pPr>
      <w:r w:rsidRPr="007955BB">
        <w:rPr>
          <w:rFonts w:cs="Sylfaen"/>
          <w:b w:val="0"/>
          <w:iCs/>
          <w:color w:val="000000"/>
          <w:szCs w:val="22"/>
        </w:rPr>
        <w:t xml:space="preserve">հաշվարկներում չեն ներառվել նաև այն ապրանքների ներմուծման համար </w:t>
      </w:r>
      <w:r w:rsidR="00A94018">
        <w:rPr>
          <w:rFonts w:cs="Sylfaen"/>
          <w:b w:val="0"/>
          <w:iCs/>
          <w:color w:val="000000"/>
          <w:szCs w:val="22"/>
        </w:rPr>
        <w:t>ԱԱՀ-</w:t>
      </w:r>
      <w:r w:rsidRPr="007955BB">
        <w:rPr>
          <w:rFonts w:cs="Sylfaen"/>
          <w:b w:val="0"/>
          <w:iCs/>
          <w:color w:val="000000"/>
          <w:szCs w:val="22"/>
        </w:rPr>
        <w:t>ի հաշվարկային գումարները, որոնք ներառված են «Կազմակերպու</w:t>
      </w:r>
      <w:r w:rsidRPr="007955BB">
        <w:rPr>
          <w:rFonts w:cs="Sylfaen"/>
          <w:b w:val="0"/>
          <w:iCs/>
          <w:color w:val="000000"/>
          <w:szCs w:val="22"/>
        </w:rPr>
        <w:softHyphen/>
        <w:t>թյուն</w:t>
      </w:r>
      <w:r w:rsidRPr="007955BB">
        <w:rPr>
          <w:rFonts w:cs="Sylfaen"/>
          <w:b w:val="0"/>
          <w:iCs/>
          <w:color w:val="000000"/>
          <w:szCs w:val="22"/>
        </w:rPr>
        <w:softHyphen/>
        <w:t xml:space="preserve">ների և անհատ ձեռնարկատերերի կողմից ներմուծվող՝ ակցիզային հարկով հարկման ոչ ենթակա այն ապրանքների ցանկը հաստատելու մասին, որոնց ներմուծումն ազատված է </w:t>
      </w:r>
      <w:r w:rsidR="00A94018">
        <w:rPr>
          <w:rFonts w:cs="Sylfaen"/>
          <w:b w:val="0"/>
          <w:iCs/>
          <w:color w:val="000000"/>
          <w:szCs w:val="22"/>
        </w:rPr>
        <w:t>ԱԱՀ-</w:t>
      </w:r>
      <w:r w:rsidRPr="007955BB">
        <w:rPr>
          <w:rFonts w:cs="Sylfaen"/>
          <w:b w:val="0"/>
          <w:iCs/>
          <w:color w:val="000000"/>
          <w:szCs w:val="22"/>
        </w:rPr>
        <w:t>ից» ՀՀ օրենքով հաստատված ցանկում, քանի որ այդ ապրանք</w:t>
      </w:r>
      <w:r w:rsidRPr="007955BB">
        <w:rPr>
          <w:rFonts w:cs="Sylfaen"/>
          <w:b w:val="0"/>
          <w:iCs/>
          <w:color w:val="000000"/>
          <w:szCs w:val="22"/>
        </w:rPr>
        <w:softHyphen/>
        <w:t xml:space="preserve">ների մասով, տնտեսական գործունեության հետագա փուլերում կարող են ձևավորվել ավելացված արժեքով հարկման բազաներ, որոնցից </w:t>
      </w:r>
      <w:r w:rsidR="00A94018">
        <w:rPr>
          <w:rFonts w:cs="Sylfaen"/>
          <w:b w:val="0"/>
          <w:iCs/>
          <w:color w:val="000000"/>
          <w:szCs w:val="22"/>
        </w:rPr>
        <w:t>ԱԱՀ-</w:t>
      </w:r>
      <w:r w:rsidRPr="007955BB">
        <w:rPr>
          <w:rFonts w:cs="Sylfaen"/>
          <w:b w:val="0"/>
          <w:iCs/>
          <w:color w:val="000000"/>
          <w:szCs w:val="22"/>
        </w:rPr>
        <w:t>ը հաշվարկվում և վճարվում է օրենքով սահմանված կարգով:</w:t>
      </w:r>
    </w:p>
    <w:p w:rsidR="00E84267" w:rsidRPr="007955BB" w:rsidRDefault="00E84267" w:rsidP="00E84267">
      <w:pPr>
        <w:spacing w:before="240" w:line="276" w:lineRule="auto"/>
        <w:rPr>
          <w:b w:val="0"/>
          <w:szCs w:val="22"/>
        </w:rPr>
      </w:pPr>
      <w:r w:rsidRPr="007955BB">
        <w:rPr>
          <w:b w:val="0"/>
          <w:szCs w:val="22"/>
        </w:rPr>
        <w:t xml:space="preserve">Այսպիսով, 2023 թվականի ԱԱՀ-ի գծով գնահատված հարկային ծախսերը կազմում են 409,934 մլն. դրամ: </w:t>
      </w:r>
    </w:p>
    <w:p w:rsidR="00E84267" w:rsidRPr="007955BB" w:rsidRDefault="00E84267" w:rsidP="00E84267">
      <w:pPr>
        <w:spacing w:before="240" w:line="276" w:lineRule="auto"/>
        <w:rPr>
          <w:b w:val="0"/>
          <w:i/>
          <w:szCs w:val="22"/>
        </w:rPr>
      </w:pPr>
      <w:r w:rsidRPr="007955BB">
        <w:rPr>
          <w:b w:val="0"/>
          <w:i/>
          <w:szCs w:val="22"/>
        </w:rPr>
        <w:t>Տրված գնահատականում ներառված է նաև ԱԱՀ-ի շեմի կիրառության հետևան</w:t>
      </w:r>
      <w:r w:rsidRPr="007955BB">
        <w:rPr>
          <w:b w:val="0"/>
          <w:i/>
          <w:szCs w:val="22"/>
        </w:rPr>
        <w:softHyphen/>
        <w:t>քով ԱԱՀ-ի գծով հարկային եկամուտների հաշվարկային կորուստը, որը սույն հաշվետ</w:t>
      </w:r>
      <w:r w:rsidRPr="007955BB">
        <w:rPr>
          <w:b w:val="0"/>
          <w:i/>
          <w:szCs w:val="22"/>
        </w:rPr>
        <w:softHyphen/>
        <w:t>վու</w:t>
      </w:r>
      <w:r w:rsidRPr="007955BB">
        <w:rPr>
          <w:b w:val="0"/>
          <w:i/>
          <w:szCs w:val="22"/>
        </w:rPr>
        <w:softHyphen/>
      </w:r>
      <w:r w:rsidRPr="007955BB">
        <w:rPr>
          <w:b w:val="0"/>
          <w:i/>
          <w:szCs w:val="22"/>
        </w:rPr>
        <w:softHyphen/>
        <w:t>թյունում ներկայացվում է առանձին գնահատմամբ և կազմում է 60,418 մլն. դրամ, ինչպես նաև միկրոբիզնեսին տրված հարկային արտոնությունների մասով ԱԱՀ-ի գծով հարկային եկամուտների հաշվարկային կորուստը, որը սույն հաշվետ</w:t>
      </w:r>
      <w:r w:rsidRPr="007955BB">
        <w:rPr>
          <w:b w:val="0"/>
          <w:i/>
          <w:szCs w:val="22"/>
        </w:rPr>
        <w:softHyphen/>
        <w:t>վու</w:t>
      </w:r>
      <w:r w:rsidRPr="007955BB">
        <w:rPr>
          <w:b w:val="0"/>
          <w:i/>
          <w:szCs w:val="22"/>
        </w:rPr>
        <w:softHyphen/>
      </w:r>
      <w:r w:rsidRPr="007955BB">
        <w:rPr>
          <w:b w:val="0"/>
          <w:i/>
          <w:szCs w:val="22"/>
        </w:rPr>
        <w:softHyphen/>
        <w:t>թյունում ներկայացվում է առանձին գնահատմամբ և կազմում է 18,836 մլն. դրամ:</w:t>
      </w:r>
    </w:p>
    <w:p w:rsidR="00E84267" w:rsidRPr="007955BB" w:rsidRDefault="00E84267" w:rsidP="00F04DA1">
      <w:pPr>
        <w:numPr>
          <w:ilvl w:val="0"/>
          <w:numId w:val="41"/>
        </w:numPr>
        <w:spacing w:before="240" w:line="276" w:lineRule="auto"/>
        <w:rPr>
          <w:b w:val="0"/>
          <w:i/>
          <w:szCs w:val="22"/>
        </w:rPr>
      </w:pPr>
      <w:r w:rsidRPr="007955BB">
        <w:rPr>
          <w:b w:val="0"/>
          <w:i/>
          <w:szCs w:val="22"/>
        </w:rPr>
        <w:t>Շահութահարկի գծով հարկային ծախսեր.</w:t>
      </w:r>
    </w:p>
    <w:p w:rsidR="00E84267" w:rsidRPr="007955BB" w:rsidRDefault="00E84267" w:rsidP="00E84267">
      <w:pPr>
        <w:spacing w:line="276" w:lineRule="auto"/>
        <w:rPr>
          <w:b w:val="0"/>
          <w:szCs w:val="22"/>
        </w:rPr>
      </w:pPr>
      <w:r w:rsidRPr="007955BB">
        <w:rPr>
          <w:b w:val="0"/>
          <w:szCs w:val="22"/>
        </w:rPr>
        <w:t>Շահութահարկի գծով հարկային ծախսերը գնահատվել են 81,464 մլն. դրամի չափով*: Շահու</w:t>
      </w:r>
      <w:r w:rsidRPr="007955BB">
        <w:rPr>
          <w:b w:val="0"/>
          <w:szCs w:val="22"/>
        </w:rPr>
        <w:softHyphen/>
        <w:t>թահարկի գծով հարկային արտոնությունները գնահատվել են հետևյալ հիմնական ուղղու</w:t>
      </w:r>
      <w:r w:rsidRPr="007955BB">
        <w:rPr>
          <w:b w:val="0"/>
          <w:szCs w:val="22"/>
        </w:rPr>
        <w:softHyphen/>
        <w:t>թյուններով.</w:t>
      </w:r>
    </w:p>
    <w:p w:rsidR="00E84267" w:rsidRPr="007955BB" w:rsidRDefault="00E84267" w:rsidP="00F04DA1">
      <w:pPr>
        <w:numPr>
          <w:ilvl w:val="0"/>
          <w:numId w:val="44"/>
        </w:numPr>
        <w:tabs>
          <w:tab w:val="left" w:pos="851"/>
        </w:tabs>
        <w:spacing w:before="0" w:line="276" w:lineRule="auto"/>
        <w:ind w:left="0" w:firstLine="630"/>
        <w:rPr>
          <w:b w:val="0"/>
          <w:szCs w:val="22"/>
        </w:rPr>
      </w:pPr>
      <w:r w:rsidRPr="007955BB">
        <w:rPr>
          <w:b w:val="0"/>
          <w:szCs w:val="22"/>
        </w:rPr>
        <w:t>գյուղատնտեսություն` 45,684 մլն. դրամ, այդ թվում՝ կազմակերպությունների շահույթից՝ 2,748 մլն. դրամ, և ԱՁ-ների (ֆիզիկական անձանց) շահույթից՝ 42,936 մլն. դրամ,</w:t>
      </w:r>
    </w:p>
    <w:p w:rsidR="00E84267" w:rsidRPr="007955BB" w:rsidRDefault="00E84267" w:rsidP="00F04DA1">
      <w:pPr>
        <w:numPr>
          <w:ilvl w:val="0"/>
          <w:numId w:val="44"/>
        </w:numPr>
        <w:tabs>
          <w:tab w:val="left" w:pos="851"/>
        </w:tabs>
        <w:spacing w:before="0" w:line="276" w:lineRule="auto"/>
        <w:ind w:left="0" w:firstLine="630"/>
        <w:rPr>
          <w:b w:val="0"/>
          <w:szCs w:val="22"/>
        </w:rPr>
      </w:pPr>
      <w:r w:rsidRPr="007955BB">
        <w:rPr>
          <w:b w:val="0"/>
          <w:szCs w:val="22"/>
        </w:rPr>
        <w:t>հարկվող շահույթի նվազեցման արտոնություններ, բացառությամբ՝ գյուղատնտեսության՝ 5,431 մլն. դրամ,</w:t>
      </w:r>
    </w:p>
    <w:p w:rsidR="00E84267" w:rsidRPr="007955BB" w:rsidRDefault="00E84267" w:rsidP="00F04DA1">
      <w:pPr>
        <w:numPr>
          <w:ilvl w:val="0"/>
          <w:numId w:val="44"/>
        </w:numPr>
        <w:tabs>
          <w:tab w:val="left" w:pos="851"/>
        </w:tabs>
        <w:spacing w:before="0" w:line="276" w:lineRule="auto"/>
        <w:ind w:left="0" w:firstLine="630"/>
        <w:rPr>
          <w:b w:val="0"/>
          <w:szCs w:val="22"/>
        </w:rPr>
      </w:pPr>
      <w:r w:rsidRPr="007955BB">
        <w:rPr>
          <w:b w:val="0"/>
          <w:szCs w:val="22"/>
        </w:rPr>
        <w:t>շահութահարկի նվազեցման արտոնություններ՝ 56 մլն. դրամ,</w:t>
      </w:r>
    </w:p>
    <w:p w:rsidR="00E84267" w:rsidRPr="007955BB" w:rsidRDefault="00E84267" w:rsidP="00F04DA1">
      <w:pPr>
        <w:numPr>
          <w:ilvl w:val="0"/>
          <w:numId w:val="44"/>
        </w:numPr>
        <w:tabs>
          <w:tab w:val="left" w:pos="851"/>
        </w:tabs>
        <w:spacing w:before="0" w:line="276" w:lineRule="auto"/>
        <w:ind w:left="0" w:firstLine="630"/>
        <w:rPr>
          <w:b w:val="0"/>
          <w:szCs w:val="22"/>
        </w:rPr>
      </w:pPr>
      <w:r w:rsidRPr="007955BB">
        <w:rPr>
          <w:b w:val="0"/>
          <w:szCs w:val="22"/>
        </w:rPr>
        <w:t>ԱԱՀ-ի շեմ` 21,750 մլն. դրամ,</w:t>
      </w:r>
    </w:p>
    <w:p w:rsidR="00E84267" w:rsidRPr="007955BB" w:rsidRDefault="00E84267" w:rsidP="00F04DA1">
      <w:pPr>
        <w:numPr>
          <w:ilvl w:val="0"/>
          <w:numId w:val="44"/>
        </w:numPr>
        <w:tabs>
          <w:tab w:val="left" w:pos="851"/>
        </w:tabs>
        <w:spacing w:before="0" w:line="276" w:lineRule="auto"/>
        <w:ind w:left="0" w:firstLine="630"/>
        <w:rPr>
          <w:b w:val="0"/>
          <w:szCs w:val="22"/>
        </w:rPr>
      </w:pPr>
      <w:r w:rsidRPr="007955BB">
        <w:rPr>
          <w:b w:val="0"/>
          <w:szCs w:val="22"/>
        </w:rPr>
        <w:t>միկրոբիզնես՝ 6,781 մլն. դրամ,</w:t>
      </w:r>
    </w:p>
    <w:p w:rsidR="00E84267" w:rsidRPr="007955BB" w:rsidRDefault="00E84267" w:rsidP="00F04DA1">
      <w:pPr>
        <w:numPr>
          <w:ilvl w:val="0"/>
          <w:numId w:val="44"/>
        </w:numPr>
        <w:tabs>
          <w:tab w:val="left" w:pos="851"/>
        </w:tabs>
        <w:spacing w:before="0" w:line="276" w:lineRule="auto"/>
        <w:ind w:left="0" w:firstLine="630"/>
        <w:rPr>
          <w:b w:val="0"/>
          <w:szCs w:val="22"/>
        </w:rPr>
      </w:pPr>
      <w:r w:rsidRPr="007955BB">
        <w:rPr>
          <w:b w:val="0"/>
          <w:szCs w:val="22"/>
        </w:rPr>
        <w:t>ՏՏ ոլորտի արտոնություններ` 1,761 մլն. դրամ:</w:t>
      </w:r>
    </w:p>
    <w:p w:rsidR="00E84267" w:rsidRPr="007955BB" w:rsidRDefault="00E84267" w:rsidP="00E84267">
      <w:pPr>
        <w:spacing w:line="276" w:lineRule="auto"/>
        <w:rPr>
          <w:rFonts w:eastAsia="Calibri" w:cs="Calibri"/>
          <w:szCs w:val="22"/>
          <w:u w:val="single"/>
          <w:lang w:val="hy-AM"/>
        </w:rPr>
      </w:pPr>
    </w:p>
    <w:p w:rsidR="00E84267" w:rsidRPr="007955BB" w:rsidRDefault="00E84267" w:rsidP="00E84267">
      <w:pPr>
        <w:spacing w:line="276" w:lineRule="auto"/>
        <w:rPr>
          <w:b w:val="0"/>
          <w:i/>
          <w:szCs w:val="22"/>
          <w:lang w:val="hy-AM"/>
        </w:rPr>
      </w:pPr>
      <w:r w:rsidRPr="007955BB">
        <w:rPr>
          <w:b w:val="0"/>
          <w:i/>
          <w:szCs w:val="22"/>
          <w:lang w:val="hy-AM"/>
        </w:rPr>
        <w:t>*Մինչև 2020 թվականը հարկային ծախսերի գնահատականներում ԱՁ-ների (ֆիզիկական անձանց) շահույթի գծով հարկային ծախսերը ներառված էին եկամտային հարկի բաժնում:</w:t>
      </w:r>
    </w:p>
    <w:p w:rsidR="00E84267" w:rsidRPr="007955BB" w:rsidRDefault="00E84267" w:rsidP="00F04DA1">
      <w:pPr>
        <w:numPr>
          <w:ilvl w:val="0"/>
          <w:numId w:val="41"/>
        </w:numPr>
        <w:spacing w:before="240" w:line="276" w:lineRule="auto"/>
        <w:rPr>
          <w:b w:val="0"/>
          <w:i/>
          <w:szCs w:val="22"/>
          <w:lang w:val="hy-AM"/>
        </w:rPr>
      </w:pPr>
      <w:r w:rsidRPr="007955BB">
        <w:rPr>
          <w:b w:val="0"/>
          <w:i/>
          <w:szCs w:val="22"/>
          <w:lang w:val="hy-AM"/>
        </w:rPr>
        <w:t>Եկամտային հարկի գծով հարկային ծախսեր.</w:t>
      </w:r>
    </w:p>
    <w:p w:rsidR="00E84267" w:rsidRPr="007955BB" w:rsidRDefault="00E84267" w:rsidP="00E84267">
      <w:pPr>
        <w:spacing w:line="276" w:lineRule="auto"/>
        <w:rPr>
          <w:b w:val="0"/>
          <w:szCs w:val="22"/>
          <w:lang w:val="hy-AM"/>
        </w:rPr>
      </w:pPr>
      <w:r w:rsidRPr="007955BB">
        <w:rPr>
          <w:b w:val="0"/>
          <w:szCs w:val="22"/>
          <w:lang w:val="hy-AM"/>
        </w:rPr>
        <w:t>Եկամտային հարկի գծով հարկային ծախսերը գնահատվել են 93,365 մլն. դրամի չափով: Եկամտային հարկի գծով հարկային արտոնությունները գնահատվել են հետևյալ հիմնական ուղղու</w:t>
      </w:r>
      <w:r w:rsidRPr="007955BB">
        <w:rPr>
          <w:b w:val="0"/>
          <w:szCs w:val="22"/>
          <w:lang w:val="hy-AM"/>
        </w:rPr>
        <w:softHyphen/>
        <w:t>թյուններով.</w:t>
      </w:r>
    </w:p>
    <w:p w:rsidR="00E84267" w:rsidRPr="007955BB" w:rsidRDefault="00E84267" w:rsidP="00F04DA1">
      <w:pPr>
        <w:numPr>
          <w:ilvl w:val="0"/>
          <w:numId w:val="45"/>
        </w:numPr>
        <w:tabs>
          <w:tab w:val="left" w:pos="851"/>
        </w:tabs>
        <w:spacing w:before="0" w:line="276" w:lineRule="auto"/>
        <w:ind w:left="0" w:firstLine="630"/>
        <w:rPr>
          <w:b w:val="0"/>
          <w:szCs w:val="22"/>
        </w:rPr>
      </w:pPr>
      <w:r w:rsidRPr="007955BB">
        <w:rPr>
          <w:b w:val="0"/>
          <w:szCs w:val="22"/>
        </w:rPr>
        <w:t xml:space="preserve">գյուղատնտեսություն` 17,155 մլն. դրամ, </w:t>
      </w:r>
    </w:p>
    <w:p w:rsidR="00E84267" w:rsidRPr="007955BB" w:rsidRDefault="00E84267" w:rsidP="00F04DA1">
      <w:pPr>
        <w:numPr>
          <w:ilvl w:val="0"/>
          <w:numId w:val="45"/>
        </w:numPr>
        <w:tabs>
          <w:tab w:val="left" w:pos="851"/>
        </w:tabs>
        <w:spacing w:before="0" w:line="276" w:lineRule="auto"/>
        <w:ind w:left="0" w:firstLine="630"/>
        <w:rPr>
          <w:b w:val="0"/>
          <w:szCs w:val="22"/>
        </w:rPr>
      </w:pPr>
      <w:r w:rsidRPr="007955BB">
        <w:rPr>
          <w:b w:val="0"/>
          <w:szCs w:val="22"/>
        </w:rPr>
        <w:t>միկրոբիզնես՝ 7,651 մլն. դրամ,</w:t>
      </w:r>
    </w:p>
    <w:p w:rsidR="00E84267" w:rsidRPr="007955BB" w:rsidRDefault="00E84267" w:rsidP="00F04DA1">
      <w:pPr>
        <w:numPr>
          <w:ilvl w:val="0"/>
          <w:numId w:val="45"/>
        </w:numPr>
        <w:tabs>
          <w:tab w:val="left" w:pos="851"/>
        </w:tabs>
        <w:spacing w:before="0" w:line="276" w:lineRule="auto"/>
        <w:ind w:left="0" w:firstLine="630"/>
        <w:rPr>
          <w:b w:val="0"/>
          <w:szCs w:val="22"/>
        </w:rPr>
      </w:pPr>
      <w:r w:rsidRPr="007955BB">
        <w:rPr>
          <w:b w:val="0"/>
          <w:szCs w:val="22"/>
        </w:rPr>
        <w:t>ՏՏ ոլորտի արտոնություններ` 4,444 մլն. դրամ,</w:t>
      </w:r>
    </w:p>
    <w:p w:rsidR="00E84267" w:rsidRPr="007955BB" w:rsidRDefault="00E84267" w:rsidP="00F04DA1">
      <w:pPr>
        <w:numPr>
          <w:ilvl w:val="0"/>
          <w:numId w:val="45"/>
        </w:numPr>
        <w:tabs>
          <w:tab w:val="left" w:pos="851"/>
        </w:tabs>
        <w:spacing w:before="0" w:line="276" w:lineRule="auto"/>
        <w:ind w:left="0" w:firstLine="630"/>
        <w:rPr>
          <w:b w:val="0"/>
          <w:szCs w:val="22"/>
        </w:rPr>
      </w:pPr>
      <w:r w:rsidRPr="007955BB">
        <w:rPr>
          <w:b w:val="0"/>
          <w:szCs w:val="22"/>
        </w:rPr>
        <w:t>Հիպոտեկային վարկերի տոկոսների սպասարկման համար վերադարձված եկամտային հարկ` 64,115 մլն. դրամ:</w:t>
      </w:r>
    </w:p>
    <w:p w:rsidR="00E84267" w:rsidRPr="007955BB" w:rsidRDefault="00E84267" w:rsidP="00F04DA1">
      <w:pPr>
        <w:numPr>
          <w:ilvl w:val="0"/>
          <w:numId w:val="41"/>
        </w:numPr>
        <w:spacing w:before="240" w:line="276" w:lineRule="auto"/>
        <w:rPr>
          <w:b w:val="0"/>
          <w:i/>
          <w:szCs w:val="22"/>
        </w:rPr>
      </w:pPr>
      <w:r w:rsidRPr="007955BB">
        <w:rPr>
          <w:b w:val="0"/>
          <w:i/>
          <w:szCs w:val="22"/>
        </w:rPr>
        <w:t>ԱԱՀ-ի շեմի գծով հարկային ծախսերը.</w:t>
      </w:r>
    </w:p>
    <w:p w:rsidR="00E84267" w:rsidRPr="007955BB" w:rsidRDefault="00E84267" w:rsidP="00E84267">
      <w:pPr>
        <w:spacing w:line="276" w:lineRule="auto"/>
        <w:rPr>
          <w:b w:val="0"/>
          <w:szCs w:val="22"/>
        </w:rPr>
      </w:pPr>
      <w:r w:rsidRPr="007955BB">
        <w:rPr>
          <w:b w:val="0"/>
          <w:szCs w:val="22"/>
        </w:rPr>
        <w:t>ԱԱՀ-ի շեմի գծով հարկային ծախսերը գնահատվել են 82,168 մլն. դրամի չափով*, այդ թվում`</w:t>
      </w:r>
    </w:p>
    <w:p w:rsidR="00E84267" w:rsidRPr="007955BB" w:rsidRDefault="00E84267" w:rsidP="00E84267">
      <w:pPr>
        <w:spacing w:line="276" w:lineRule="auto"/>
        <w:rPr>
          <w:b w:val="0"/>
          <w:i/>
          <w:szCs w:val="22"/>
        </w:rPr>
      </w:pPr>
      <w:r w:rsidRPr="007955BB">
        <w:rPr>
          <w:b w:val="0"/>
          <w:i/>
          <w:szCs w:val="22"/>
        </w:rPr>
        <w:t>ԱԱՀ` 60,418 մլն. դրամ,</w:t>
      </w:r>
    </w:p>
    <w:p w:rsidR="00E84267" w:rsidRPr="007955BB" w:rsidRDefault="00E84267" w:rsidP="00E84267">
      <w:pPr>
        <w:spacing w:line="276" w:lineRule="auto"/>
        <w:rPr>
          <w:b w:val="0"/>
          <w:i/>
          <w:szCs w:val="22"/>
        </w:rPr>
      </w:pPr>
      <w:r w:rsidRPr="007955BB">
        <w:rPr>
          <w:b w:val="0"/>
          <w:i/>
          <w:szCs w:val="22"/>
        </w:rPr>
        <w:t>Շահութահարկ` 21,750 մլն. դրամ:</w:t>
      </w:r>
    </w:p>
    <w:p w:rsidR="00E84267" w:rsidRPr="007955BB" w:rsidRDefault="00E84267" w:rsidP="00E84267">
      <w:pPr>
        <w:spacing w:before="240" w:line="276" w:lineRule="auto"/>
        <w:rPr>
          <w:b w:val="0"/>
          <w:i/>
          <w:szCs w:val="22"/>
        </w:rPr>
      </w:pPr>
      <w:r w:rsidRPr="007955BB">
        <w:rPr>
          <w:b w:val="0"/>
          <w:i/>
          <w:szCs w:val="22"/>
        </w:rPr>
        <w:t>*ԱԱՀ-ի շեմի գծով հարկային ծախսերի գնահատման համար ԱԱՀ-ի շեմն ընդունվել է 115.0 մլն. դրամ:</w:t>
      </w:r>
    </w:p>
    <w:p w:rsidR="00E84267" w:rsidRPr="007955BB" w:rsidRDefault="00E84267" w:rsidP="00F04DA1">
      <w:pPr>
        <w:numPr>
          <w:ilvl w:val="0"/>
          <w:numId w:val="41"/>
        </w:numPr>
        <w:spacing w:before="240" w:line="276" w:lineRule="auto"/>
        <w:rPr>
          <w:b w:val="0"/>
          <w:i/>
          <w:szCs w:val="22"/>
        </w:rPr>
      </w:pPr>
      <w:r w:rsidRPr="007955BB">
        <w:rPr>
          <w:b w:val="0"/>
          <w:i/>
          <w:szCs w:val="22"/>
        </w:rPr>
        <w:t>Միկրոբիզնեսի գծով հարկային ծախսերը.</w:t>
      </w:r>
    </w:p>
    <w:p w:rsidR="00E84267" w:rsidRPr="007955BB" w:rsidRDefault="00E84267" w:rsidP="00E84267">
      <w:pPr>
        <w:spacing w:line="276" w:lineRule="auto"/>
        <w:rPr>
          <w:b w:val="0"/>
          <w:szCs w:val="22"/>
        </w:rPr>
      </w:pPr>
      <w:r w:rsidRPr="007955BB">
        <w:rPr>
          <w:b w:val="0"/>
          <w:szCs w:val="22"/>
        </w:rPr>
        <w:t>Միկրոբիզնեսի գծով հարկային ծախսերը գնահատվել են 33,268 մլն. դրամի չափով, այդ թվում`</w:t>
      </w:r>
    </w:p>
    <w:p w:rsidR="00E84267" w:rsidRPr="007955BB" w:rsidRDefault="00E84267" w:rsidP="00E84267">
      <w:pPr>
        <w:spacing w:line="276" w:lineRule="auto"/>
        <w:rPr>
          <w:b w:val="0"/>
          <w:i/>
          <w:szCs w:val="22"/>
        </w:rPr>
      </w:pPr>
      <w:r w:rsidRPr="007955BB">
        <w:rPr>
          <w:b w:val="0"/>
          <w:i/>
          <w:szCs w:val="22"/>
        </w:rPr>
        <w:t>ԱԱՀ` 18,836 մլն. դրամ,</w:t>
      </w:r>
    </w:p>
    <w:p w:rsidR="00E84267" w:rsidRPr="007955BB" w:rsidRDefault="00E84267" w:rsidP="00E84267">
      <w:pPr>
        <w:spacing w:line="276" w:lineRule="auto"/>
        <w:rPr>
          <w:b w:val="0"/>
          <w:i/>
          <w:szCs w:val="22"/>
        </w:rPr>
      </w:pPr>
      <w:r w:rsidRPr="007955BB">
        <w:rPr>
          <w:b w:val="0"/>
          <w:i/>
          <w:szCs w:val="22"/>
        </w:rPr>
        <w:t>Շահութահարկ` 6,781 մլն. դրամ,</w:t>
      </w:r>
    </w:p>
    <w:p w:rsidR="00E84267" w:rsidRPr="007955BB" w:rsidRDefault="00E84267" w:rsidP="00E84267">
      <w:pPr>
        <w:spacing w:line="276" w:lineRule="auto"/>
        <w:rPr>
          <w:b w:val="0"/>
          <w:i/>
          <w:szCs w:val="22"/>
        </w:rPr>
      </w:pPr>
      <w:r w:rsidRPr="007955BB">
        <w:rPr>
          <w:b w:val="0"/>
          <w:i/>
          <w:szCs w:val="22"/>
        </w:rPr>
        <w:t>Եկամտային հարկ՝ 7,651 մլն. դրամ:</w:t>
      </w:r>
    </w:p>
    <w:p w:rsidR="00E84267" w:rsidRPr="007955BB" w:rsidRDefault="00E84267" w:rsidP="00E84267">
      <w:pPr>
        <w:spacing w:line="276" w:lineRule="auto"/>
        <w:rPr>
          <w:b w:val="0"/>
          <w:i/>
          <w:szCs w:val="22"/>
        </w:rPr>
      </w:pPr>
      <w:r w:rsidRPr="007955BB">
        <w:rPr>
          <w:b w:val="0"/>
          <w:i/>
          <w:szCs w:val="22"/>
        </w:rPr>
        <w:t>Ընդհանուր հարկային ծախսը գնահատվել է 584,763 մլն. դրամի չափով, ինչը 2023-2025 թվականների ՄԺԾԾ-ով 2023 թվականի համար կանխատեսված հարկային եկամուտների և ՀՆԱ-ի նկատմամբ կազմում է համապատասխանաբար` 26,87 և 6.45 տոկոս:</w:t>
      </w:r>
    </w:p>
    <w:p w:rsidR="00E84267" w:rsidRPr="007955BB" w:rsidRDefault="00E84267" w:rsidP="00E84267">
      <w:pPr>
        <w:spacing w:line="276" w:lineRule="auto"/>
        <w:rPr>
          <w:b w:val="0"/>
          <w:szCs w:val="22"/>
        </w:rPr>
      </w:pPr>
      <w:r w:rsidRPr="007955BB">
        <w:rPr>
          <w:b w:val="0"/>
          <w:szCs w:val="22"/>
        </w:rPr>
        <w:t>Վերլուծության ամփոփ արդյունքները ներ</w:t>
      </w:r>
      <w:r w:rsidRPr="007955BB">
        <w:rPr>
          <w:b w:val="0"/>
          <w:szCs w:val="22"/>
        </w:rPr>
        <w:softHyphen/>
        <w:t>կա</w:t>
      </w:r>
      <w:r w:rsidRPr="007955BB">
        <w:rPr>
          <w:b w:val="0"/>
          <w:szCs w:val="22"/>
        </w:rPr>
        <w:softHyphen/>
        <w:t>յաց</w:t>
      </w:r>
      <w:r w:rsidRPr="007955BB">
        <w:rPr>
          <w:b w:val="0"/>
          <w:szCs w:val="22"/>
        </w:rPr>
        <w:softHyphen/>
        <w:t>ված են ստորև.</w:t>
      </w:r>
    </w:p>
    <w:p w:rsidR="00E84267" w:rsidRPr="007955BB" w:rsidRDefault="00E84267" w:rsidP="00E84267">
      <w:pPr>
        <w:spacing w:line="276" w:lineRule="auto"/>
        <w:rPr>
          <w:b w:val="0"/>
          <w:szCs w:val="22"/>
        </w:rPr>
      </w:pPr>
    </w:p>
    <w:p w:rsidR="00E84267" w:rsidRPr="007955BB" w:rsidRDefault="00E84267" w:rsidP="00E84267">
      <w:pPr>
        <w:spacing w:before="0" w:line="276" w:lineRule="auto"/>
        <w:ind w:firstLine="720"/>
        <w:contextualSpacing w:val="0"/>
        <w:jc w:val="right"/>
        <w:rPr>
          <w:b w:val="0"/>
          <w:szCs w:val="22"/>
          <w:lang w:val="en-US" w:eastAsia="en-US"/>
        </w:rPr>
      </w:pPr>
      <w:r w:rsidRPr="007955BB">
        <w:rPr>
          <w:b w:val="0"/>
          <w:szCs w:val="22"/>
          <w:lang w:val="en-US" w:eastAsia="en-US"/>
        </w:rPr>
        <w:t>մլն. դրամ</w:t>
      </w:r>
    </w:p>
    <w:tbl>
      <w:tblPr>
        <w:tblW w:w="9667"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4"/>
        <w:gridCol w:w="3780"/>
        <w:gridCol w:w="1710"/>
        <w:gridCol w:w="1800"/>
        <w:gridCol w:w="1613"/>
      </w:tblGrid>
      <w:tr w:rsidR="00E84267" w:rsidRPr="007955BB" w:rsidTr="00B936EF">
        <w:trPr>
          <w:trHeight w:val="1410"/>
        </w:trPr>
        <w:tc>
          <w:tcPr>
            <w:tcW w:w="764" w:type="dxa"/>
            <w:shd w:val="clear" w:color="auto" w:fill="5B9BD5"/>
            <w:vAlign w:val="center"/>
            <w:hideMark/>
          </w:tcPr>
          <w:p w:rsidR="00E84267" w:rsidRPr="007955BB" w:rsidRDefault="00E84267" w:rsidP="00E84267">
            <w:pPr>
              <w:spacing w:before="0" w:line="276" w:lineRule="auto"/>
              <w:ind w:firstLine="0"/>
              <w:contextualSpacing w:val="0"/>
              <w:jc w:val="center"/>
              <w:rPr>
                <w:rFonts w:cs="Calibri"/>
                <w:bCs/>
                <w:color w:val="FFFFFF"/>
                <w:szCs w:val="22"/>
                <w:lang w:val="en-US" w:eastAsia="en-US"/>
              </w:rPr>
            </w:pPr>
            <w:r w:rsidRPr="007955BB">
              <w:rPr>
                <w:rFonts w:cs="Calibri"/>
                <w:bCs/>
                <w:color w:val="FFFFFF"/>
                <w:szCs w:val="22"/>
                <w:lang w:val="en-US" w:eastAsia="en-US"/>
              </w:rPr>
              <w:t>Հ/Հ</w:t>
            </w:r>
          </w:p>
        </w:tc>
        <w:tc>
          <w:tcPr>
            <w:tcW w:w="3780" w:type="dxa"/>
            <w:shd w:val="clear" w:color="auto" w:fill="5B9BD5"/>
            <w:vAlign w:val="center"/>
            <w:hideMark/>
          </w:tcPr>
          <w:p w:rsidR="00E84267" w:rsidRPr="007955BB" w:rsidRDefault="00E84267" w:rsidP="00E84267">
            <w:pPr>
              <w:spacing w:before="0" w:line="276" w:lineRule="auto"/>
              <w:ind w:firstLine="0"/>
              <w:contextualSpacing w:val="0"/>
              <w:jc w:val="center"/>
              <w:rPr>
                <w:rFonts w:cs="Calibri"/>
                <w:bCs/>
                <w:color w:val="FFFFFF"/>
                <w:szCs w:val="22"/>
                <w:lang w:val="en-US" w:eastAsia="en-US"/>
              </w:rPr>
            </w:pPr>
            <w:r w:rsidRPr="007955BB">
              <w:rPr>
                <w:rFonts w:cs="Calibri"/>
                <w:bCs/>
                <w:color w:val="FFFFFF"/>
                <w:szCs w:val="22"/>
                <w:lang w:val="en-US" w:eastAsia="en-US"/>
              </w:rPr>
              <w:t>Հարկային ծախսերի տեսակը</w:t>
            </w:r>
          </w:p>
        </w:tc>
        <w:tc>
          <w:tcPr>
            <w:tcW w:w="1710" w:type="dxa"/>
            <w:shd w:val="clear" w:color="auto" w:fill="5B9BD5"/>
            <w:vAlign w:val="center"/>
            <w:hideMark/>
          </w:tcPr>
          <w:p w:rsidR="00E84267" w:rsidRPr="007955BB" w:rsidRDefault="00E84267" w:rsidP="00E84267">
            <w:pPr>
              <w:spacing w:before="0" w:line="276" w:lineRule="auto"/>
              <w:ind w:firstLine="0"/>
              <w:contextualSpacing w:val="0"/>
              <w:jc w:val="center"/>
              <w:rPr>
                <w:rFonts w:cs="Calibri"/>
                <w:bCs/>
                <w:color w:val="FFFFFF"/>
                <w:szCs w:val="22"/>
                <w:lang w:val="en-US" w:eastAsia="en-US"/>
              </w:rPr>
            </w:pPr>
            <w:r w:rsidRPr="007955BB">
              <w:rPr>
                <w:rFonts w:cs="Calibri"/>
                <w:bCs/>
                <w:color w:val="FFFFFF"/>
                <w:szCs w:val="22"/>
                <w:lang w:val="en-US" w:eastAsia="en-US"/>
              </w:rPr>
              <w:t>Հարկային ծախսերի չափը</w:t>
            </w:r>
          </w:p>
        </w:tc>
        <w:tc>
          <w:tcPr>
            <w:tcW w:w="1800" w:type="dxa"/>
            <w:shd w:val="clear" w:color="auto" w:fill="5B9BD5"/>
            <w:vAlign w:val="center"/>
            <w:hideMark/>
          </w:tcPr>
          <w:p w:rsidR="00E84267" w:rsidRPr="007955BB" w:rsidRDefault="00E84267" w:rsidP="00E84267">
            <w:pPr>
              <w:spacing w:before="0" w:line="276" w:lineRule="auto"/>
              <w:ind w:firstLine="0"/>
              <w:contextualSpacing w:val="0"/>
              <w:jc w:val="center"/>
              <w:rPr>
                <w:rFonts w:cs="Calibri"/>
                <w:bCs/>
                <w:color w:val="FFFFFF"/>
                <w:szCs w:val="22"/>
                <w:lang w:val="en-US" w:eastAsia="en-US"/>
              </w:rPr>
            </w:pPr>
            <w:r w:rsidRPr="007955BB">
              <w:rPr>
                <w:rFonts w:cs="Calibri"/>
                <w:bCs/>
                <w:color w:val="FFFFFF"/>
                <w:szCs w:val="22"/>
                <w:lang w:val="en-US" w:eastAsia="en-US"/>
              </w:rPr>
              <w:t>Կշիռը հարկային եկամուտների մեջ</w:t>
            </w:r>
          </w:p>
        </w:tc>
        <w:tc>
          <w:tcPr>
            <w:tcW w:w="1613" w:type="dxa"/>
            <w:shd w:val="clear" w:color="auto" w:fill="5B9BD5"/>
            <w:vAlign w:val="center"/>
            <w:hideMark/>
          </w:tcPr>
          <w:p w:rsidR="00E84267" w:rsidRPr="007955BB" w:rsidRDefault="00E84267" w:rsidP="00E84267">
            <w:pPr>
              <w:spacing w:before="0" w:line="276" w:lineRule="auto"/>
              <w:ind w:firstLine="0"/>
              <w:contextualSpacing w:val="0"/>
              <w:jc w:val="center"/>
              <w:rPr>
                <w:rFonts w:cs="Calibri"/>
                <w:bCs/>
                <w:color w:val="FFFFFF"/>
                <w:szCs w:val="22"/>
                <w:lang w:val="en-US" w:eastAsia="en-US"/>
              </w:rPr>
            </w:pPr>
            <w:r w:rsidRPr="007955BB">
              <w:rPr>
                <w:rFonts w:cs="Calibri"/>
                <w:bCs/>
                <w:color w:val="FFFFFF"/>
                <w:szCs w:val="22"/>
                <w:lang w:val="en-US" w:eastAsia="en-US"/>
              </w:rPr>
              <w:t>Կշիռը ՀՆԱ-ի մեջ</w:t>
            </w:r>
          </w:p>
        </w:tc>
      </w:tr>
      <w:tr w:rsidR="00E84267" w:rsidRPr="007955BB" w:rsidTr="00B936EF">
        <w:trPr>
          <w:trHeight w:val="539"/>
        </w:trPr>
        <w:tc>
          <w:tcPr>
            <w:tcW w:w="764" w:type="dxa"/>
            <w:shd w:val="clear" w:color="auto" w:fill="DEEAF6"/>
            <w:vAlign w:val="center"/>
          </w:tcPr>
          <w:p w:rsidR="00E84267" w:rsidRPr="00B936EF" w:rsidRDefault="00E84267" w:rsidP="00E84267">
            <w:pPr>
              <w:spacing w:before="0" w:line="276" w:lineRule="auto"/>
              <w:ind w:firstLine="0"/>
              <w:contextualSpacing w:val="0"/>
              <w:jc w:val="center"/>
              <w:rPr>
                <w:rFonts w:cs="Calibri"/>
                <w:bCs/>
                <w:color w:val="000000"/>
                <w:sz w:val="20"/>
                <w:szCs w:val="20"/>
                <w:lang w:val="en-US" w:eastAsia="en-US"/>
              </w:rPr>
            </w:pPr>
            <w:r w:rsidRPr="00B936EF">
              <w:rPr>
                <w:rFonts w:cs="Calibri"/>
                <w:bCs/>
                <w:color w:val="000000"/>
                <w:sz w:val="20"/>
                <w:szCs w:val="20"/>
              </w:rPr>
              <w:t>1</w:t>
            </w:r>
          </w:p>
        </w:tc>
        <w:tc>
          <w:tcPr>
            <w:tcW w:w="3780" w:type="dxa"/>
            <w:shd w:val="clear" w:color="auto" w:fill="DEEAF6"/>
            <w:vAlign w:val="center"/>
          </w:tcPr>
          <w:p w:rsidR="00E84267" w:rsidRPr="00B936EF" w:rsidRDefault="00E84267" w:rsidP="00E84267">
            <w:pPr>
              <w:spacing w:before="0" w:line="276" w:lineRule="auto"/>
              <w:ind w:firstLine="0"/>
              <w:contextualSpacing w:val="0"/>
              <w:jc w:val="left"/>
              <w:rPr>
                <w:rFonts w:cs="Calibri"/>
                <w:bCs/>
                <w:color w:val="000000"/>
                <w:sz w:val="20"/>
                <w:szCs w:val="20"/>
                <w:lang w:val="en-US" w:eastAsia="en-US"/>
              </w:rPr>
            </w:pPr>
            <w:r w:rsidRPr="00B936EF">
              <w:rPr>
                <w:rFonts w:cs="Calibri"/>
                <w:bCs/>
                <w:color w:val="000000"/>
                <w:sz w:val="20"/>
                <w:szCs w:val="20"/>
              </w:rPr>
              <w:t>ԱԱՀ</w:t>
            </w:r>
            <w:r w:rsidRPr="00B936EF">
              <w:rPr>
                <w:rFonts w:cs="Calibri"/>
                <w:bCs/>
                <w:color w:val="000000"/>
                <w:sz w:val="20"/>
                <w:szCs w:val="20"/>
                <w:lang w:val="en-US"/>
              </w:rPr>
              <w:t>-</w:t>
            </w:r>
            <w:r w:rsidRPr="00B936EF">
              <w:rPr>
                <w:rFonts w:cs="Calibri"/>
                <w:bCs/>
                <w:color w:val="000000"/>
                <w:sz w:val="20"/>
                <w:szCs w:val="20"/>
              </w:rPr>
              <w:t>ի</w:t>
            </w:r>
            <w:r w:rsidRPr="00B936EF">
              <w:rPr>
                <w:rFonts w:cs="Calibri"/>
                <w:bCs/>
                <w:color w:val="000000"/>
                <w:sz w:val="20"/>
                <w:szCs w:val="20"/>
                <w:lang w:val="en-US"/>
              </w:rPr>
              <w:t xml:space="preserve"> </w:t>
            </w:r>
            <w:r w:rsidRPr="00B936EF">
              <w:rPr>
                <w:rFonts w:cs="Calibri"/>
                <w:bCs/>
                <w:color w:val="000000"/>
                <w:sz w:val="20"/>
                <w:szCs w:val="20"/>
              </w:rPr>
              <w:t>գծով</w:t>
            </w:r>
            <w:r w:rsidRPr="00B936EF">
              <w:rPr>
                <w:rFonts w:cs="Calibri"/>
                <w:bCs/>
                <w:color w:val="000000"/>
                <w:sz w:val="20"/>
                <w:szCs w:val="20"/>
                <w:lang w:val="en-US"/>
              </w:rPr>
              <w:t xml:space="preserve">, </w:t>
            </w:r>
            <w:r w:rsidRPr="00B936EF">
              <w:rPr>
                <w:rFonts w:cs="Calibri"/>
                <w:bCs/>
                <w:color w:val="000000"/>
                <w:sz w:val="20"/>
                <w:szCs w:val="20"/>
              </w:rPr>
              <w:t>այդ</w:t>
            </w:r>
            <w:r w:rsidRPr="00B936EF">
              <w:rPr>
                <w:rFonts w:cs="Calibri"/>
                <w:bCs/>
                <w:color w:val="000000"/>
                <w:sz w:val="20"/>
                <w:szCs w:val="20"/>
                <w:lang w:val="en-US"/>
              </w:rPr>
              <w:t xml:space="preserve"> </w:t>
            </w:r>
            <w:r w:rsidRPr="00B936EF">
              <w:rPr>
                <w:rFonts w:cs="Calibri"/>
                <w:bCs/>
                <w:color w:val="000000"/>
                <w:sz w:val="20"/>
                <w:szCs w:val="20"/>
              </w:rPr>
              <w:t>թվում</w:t>
            </w:r>
            <w:r w:rsidRPr="00B936EF">
              <w:rPr>
                <w:rFonts w:cs="Calibri"/>
                <w:bCs/>
                <w:color w:val="000000"/>
                <w:sz w:val="20"/>
                <w:szCs w:val="20"/>
                <w:lang w:val="en-US"/>
              </w:rPr>
              <w:t>`</w:t>
            </w:r>
          </w:p>
        </w:tc>
        <w:tc>
          <w:tcPr>
            <w:tcW w:w="1710" w:type="dxa"/>
            <w:shd w:val="clear" w:color="auto" w:fill="DEEAF6"/>
            <w:vAlign w:val="center"/>
          </w:tcPr>
          <w:p w:rsidR="00E84267" w:rsidRPr="00B936EF" w:rsidRDefault="00E84267" w:rsidP="00E84267">
            <w:pPr>
              <w:spacing w:before="0" w:line="276" w:lineRule="auto"/>
              <w:ind w:firstLine="0"/>
              <w:contextualSpacing w:val="0"/>
              <w:jc w:val="center"/>
              <w:rPr>
                <w:rFonts w:cs="Calibri"/>
                <w:bCs/>
                <w:color w:val="000000"/>
                <w:sz w:val="20"/>
                <w:szCs w:val="20"/>
                <w:lang w:val="en-US" w:eastAsia="en-US"/>
              </w:rPr>
            </w:pPr>
            <w:r w:rsidRPr="00B936EF">
              <w:rPr>
                <w:rFonts w:cs="Calibri"/>
                <w:bCs/>
                <w:color w:val="000000"/>
                <w:sz w:val="20"/>
                <w:szCs w:val="20"/>
                <w:lang w:val="en-US"/>
              </w:rPr>
              <w:t>409,934</w:t>
            </w:r>
          </w:p>
        </w:tc>
        <w:tc>
          <w:tcPr>
            <w:tcW w:w="1800" w:type="dxa"/>
            <w:shd w:val="clear" w:color="auto" w:fill="DEEAF6"/>
            <w:vAlign w:val="center"/>
          </w:tcPr>
          <w:p w:rsidR="00E84267" w:rsidRPr="00B936EF" w:rsidRDefault="00E84267" w:rsidP="00E84267">
            <w:pPr>
              <w:spacing w:before="0" w:line="276" w:lineRule="auto"/>
              <w:ind w:firstLine="0"/>
              <w:contextualSpacing w:val="0"/>
              <w:jc w:val="center"/>
              <w:rPr>
                <w:rFonts w:cs="Calibri"/>
                <w:bCs/>
                <w:i/>
                <w:iCs/>
                <w:color w:val="000000"/>
                <w:sz w:val="20"/>
                <w:szCs w:val="20"/>
                <w:lang w:val="en-US" w:eastAsia="en-US"/>
              </w:rPr>
            </w:pPr>
            <w:r w:rsidRPr="00B936EF">
              <w:rPr>
                <w:rFonts w:cs="Calibri"/>
                <w:bCs/>
                <w:i/>
                <w:iCs/>
                <w:color w:val="000000"/>
                <w:sz w:val="20"/>
                <w:szCs w:val="20"/>
              </w:rPr>
              <w:t>1</w:t>
            </w:r>
            <w:r w:rsidRPr="00B936EF">
              <w:rPr>
                <w:rFonts w:cs="Calibri"/>
                <w:bCs/>
                <w:i/>
                <w:iCs/>
                <w:color w:val="000000"/>
                <w:sz w:val="20"/>
                <w:szCs w:val="20"/>
                <w:lang w:val="en-US"/>
              </w:rPr>
              <w:t>8</w:t>
            </w:r>
            <w:r w:rsidRPr="00B936EF">
              <w:rPr>
                <w:rFonts w:cs="Calibri"/>
                <w:bCs/>
                <w:i/>
                <w:iCs/>
                <w:color w:val="000000"/>
                <w:sz w:val="20"/>
                <w:szCs w:val="20"/>
              </w:rPr>
              <w:t>.</w:t>
            </w:r>
            <w:r w:rsidRPr="00B936EF">
              <w:rPr>
                <w:rFonts w:cs="Calibri"/>
                <w:bCs/>
                <w:i/>
                <w:iCs/>
                <w:color w:val="000000"/>
                <w:sz w:val="20"/>
                <w:szCs w:val="20"/>
                <w:lang w:val="en-US"/>
              </w:rPr>
              <w:t>6</w:t>
            </w:r>
            <w:r w:rsidRPr="00B936EF">
              <w:rPr>
                <w:rFonts w:cs="Calibri"/>
                <w:bCs/>
                <w:i/>
                <w:iCs/>
                <w:color w:val="000000"/>
                <w:sz w:val="20"/>
                <w:szCs w:val="20"/>
              </w:rPr>
              <w:t>0%</w:t>
            </w:r>
          </w:p>
        </w:tc>
        <w:tc>
          <w:tcPr>
            <w:tcW w:w="1613" w:type="dxa"/>
            <w:shd w:val="clear" w:color="auto" w:fill="DEEAF6"/>
            <w:vAlign w:val="center"/>
          </w:tcPr>
          <w:p w:rsidR="00E84267" w:rsidRPr="00B936EF" w:rsidRDefault="00E84267" w:rsidP="00E84267">
            <w:pPr>
              <w:spacing w:before="0" w:line="276" w:lineRule="auto"/>
              <w:ind w:firstLine="0"/>
              <w:contextualSpacing w:val="0"/>
              <w:jc w:val="center"/>
              <w:rPr>
                <w:rFonts w:cs="Calibri"/>
                <w:bCs/>
                <w:i/>
                <w:iCs/>
                <w:color w:val="000000"/>
                <w:sz w:val="20"/>
                <w:szCs w:val="20"/>
                <w:lang w:val="en-US" w:eastAsia="en-US"/>
              </w:rPr>
            </w:pPr>
            <w:r w:rsidRPr="00B936EF">
              <w:rPr>
                <w:rFonts w:cs="Calibri"/>
                <w:bCs/>
                <w:i/>
                <w:iCs/>
                <w:color w:val="000000"/>
                <w:sz w:val="20"/>
                <w:szCs w:val="20"/>
              </w:rPr>
              <w:t>4.40%</w:t>
            </w:r>
          </w:p>
        </w:tc>
      </w:tr>
      <w:tr w:rsidR="00E84267" w:rsidRPr="007955BB" w:rsidTr="00B936EF">
        <w:trPr>
          <w:trHeight w:val="535"/>
        </w:trPr>
        <w:tc>
          <w:tcPr>
            <w:tcW w:w="764"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1.1.</w:t>
            </w:r>
          </w:p>
        </w:tc>
        <w:tc>
          <w:tcPr>
            <w:tcW w:w="3780" w:type="dxa"/>
            <w:shd w:val="clear" w:color="auto" w:fill="auto"/>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գյուղատնտեսություն</w:t>
            </w:r>
          </w:p>
        </w:tc>
        <w:tc>
          <w:tcPr>
            <w:tcW w:w="171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rPr>
              <w:t>17,693</w:t>
            </w:r>
          </w:p>
        </w:tc>
        <w:tc>
          <w:tcPr>
            <w:tcW w:w="180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0.80%</w:t>
            </w:r>
          </w:p>
        </w:tc>
        <w:tc>
          <w:tcPr>
            <w:tcW w:w="1613"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0.19%</w:t>
            </w:r>
          </w:p>
        </w:tc>
      </w:tr>
      <w:tr w:rsidR="00E84267" w:rsidRPr="007955BB" w:rsidTr="00B936EF">
        <w:trPr>
          <w:trHeight w:val="447"/>
        </w:trPr>
        <w:tc>
          <w:tcPr>
            <w:tcW w:w="764"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1.2.</w:t>
            </w:r>
          </w:p>
        </w:tc>
        <w:tc>
          <w:tcPr>
            <w:tcW w:w="3780" w:type="dxa"/>
            <w:shd w:val="clear" w:color="auto" w:fill="DEEAF6"/>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առողջապահություն</w:t>
            </w:r>
          </w:p>
        </w:tc>
        <w:tc>
          <w:tcPr>
            <w:tcW w:w="171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rPr>
              <w:t>86,208</w:t>
            </w:r>
          </w:p>
        </w:tc>
        <w:tc>
          <w:tcPr>
            <w:tcW w:w="180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3.91%</w:t>
            </w:r>
          </w:p>
        </w:tc>
        <w:tc>
          <w:tcPr>
            <w:tcW w:w="1613"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0.93%</w:t>
            </w:r>
          </w:p>
        </w:tc>
      </w:tr>
      <w:tr w:rsidR="00E84267" w:rsidRPr="007955BB" w:rsidTr="00B936EF">
        <w:trPr>
          <w:trHeight w:val="487"/>
        </w:trPr>
        <w:tc>
          <w:tcPr>
            <w:tcW w:w="764"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1.3.</w:t>
            </w:r>
          </w:p>
        </w:tc>
        <w:tc>
          <w:tcPr>
            <w:tcW w:w="3780" w:type="dxa"/>
            <w:shd w:val="clear" w:color="auto" w:fill="auto"/>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կրթություն</w:t>
            </w:r>
          </w:p>
        </w:tc>
        <w:tc>
          <w:tcPr>
            <w:tcW w:w="171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rPr>
              <w:t>35,308</w:t>
            </w:r>
          </w:p>
        </w:tc>
        <w:tc>
          <w:tcPr>
            <w:tcW w:w="180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1.60%</w:t>
            </w:r>
          </w:p>
        </w:tc>
        <w:tc>
          <w:tcPr>
            <w:tcW w:w="1613"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0.3</w:t>
            </w:r>
            <w:r w:rsidRPr="00B936EF">
              <w:rPr>
                <w:rFonts w:cs="Calibri"/>
                <w:b w:val="0"/>
                <w:bCs/>
                <w:i/>
                <w:iCs/>
                <w:color w:val="000000"/>
                <w:sz w:val="20"/>
                <w:szCs w:val="20"/>
                <w:lang w:val="en-US"/>
              </w:rPr>
              <w:t>8</w:t>
            </w:r>
            <w:r w:rsidRPr="00B936EF">
              <w:rPr>
                <w:rFonts w:cs="Calibri"/>
                <w:b w:val="0"/>
                <w:bCs/>
                <w:i/>
                <w:iCs/>
                <w:color w:val="000000"/>
                <w:sz w:val="20"/>
                <w:szCs w:val="20"/>
              </w:rPr>
              <w:t>%</w:t>
            </w:r>
          </w:p>
        </w:tc>
      </w:tr>
      <w:tr w:rsidR="00E84267" w:rsidRPr="007955BB" w:rsidTr="00B936EF">
        <w:trPr>
          <w:trHeight w:val="795"/>
        </w:trPr>
        <w:tc>
          <w:tcPr>
            <w:tcW w:w="764"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1.4.</w:t>
            </w:r>
          </w:p>
        </w:tc>
        <w:tc>
          <w:tcPr>
            <w:tcW w:w="3780" w:type="dxa"/>
            <w:shd w:val="clear" w:color="auto" w:fill="DEEAF6"/>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ֆինանսներ և ապահովագրություն</w:t>
            </w:r>
          </w:p>
        </w:tc>
        <w:tc>
          <w:tcPr>
            <w:tcW w:w="171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rPr>
              <w:t>103,696</w:t>
            </w:r>
          </w:p>
        </w:tc>
        <w:tc>
          <w:tcPr>
            <w:tcW w:w="180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4.71%</w:t>
            </w:r>
          </w:p>
        </w:tc>
        <w:tc>
          <w:tcPr>
            <w:tcW w:w="1613"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1.11%</w:t>
            </w:r>
          </w:p>
        </w:tc>
      </w:tr>
      <w:tr w:rsidR="00E84267" w:rsidRPr="007955BB" w:rsidTr="00B936EF">
        <w:trPr>
          <w:trHeight w:val="497"/>
        </w:trPr>
        <w:tc>
          <w:tcPr>
            <w:tcW w:w="764"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1.5.</w:t>
            </w:r>
          </w:p>
        </w:tc>
        <w:tc>
          <w:tcPr>
            <w:tcW w:w="3780" w:type="dxa"/>
            <w:shd w:val="clear" w:color="auto" w:fill="auto"/>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ԱԱՀ-ի շեմ</w:t>
            </w:r>
          </w:p>
        </w:tc>
        <w:tc>
          <w:tcPr>
            <w:tcW w:w="171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rPr>
              <w:t>60,418</w:t>
            </w:r>
          </w:p>
        </w:tc>
        <w:tc>
          <w:tcPr>
            <w:tcW w:w="180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2.74%</w:t>
            </w:r>
          </w:p>
        </w:tc>
        <w:tc>
          <w:tcPr>
            <w:tcW w:w="1613"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0.65%</w:t>
            </w:r>
          </w:p>
        </w:tc>
      </w:tr>
      <w:tr w:rsidR="00E84267" w:rsidRPr="007955BB" w:rsidTr="00B936EF">
        <w:trPr>
          <w:trHeight w:val="1710"/>
        </w:trPr>
        <w:tc>
          <w:tcPr>
            <w:tcW w:w="764"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1.6.</w:t>
            </w:r>
          </w:p>
        </w:tc>
        <w:tc>
          <w:tcPr>
            <w:tcW w:w="3780" w:type="dxa"/>
            <w:shd w:val="clear" w:color="auto" w:fill="DEEAF6"/>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խաղատների</w:t>
            </w:r>
            <w:r w:rsidRPr="00B936EF">
              <w:rPr>
                <w:rFonts w:cs="Calibri"/>
                <w:b w:val="0"/>
                <w:i/>
                <w:iCs/>
                <w:color w:val="000000"/>
                <w:sz w:val="20"/>
                <w:szCs w:val="20"/>
                <w:lang w:val="en-US"/>
              </w:rPr>
              <w:t xml:space="preserve"> </w:t>
            </w:r>
            <w:r w:rsidRPr="00B936EF">
              <w:rPr>
                <w:rFonts w:cs="Calibri"/>
                <w:b w:val="0"/>
                <w:i/>
                <w:iCs/>
                <w:color w:val="000000"/>
                <w:sz w:val="20"/>
                <w:szCs w:val="20"/>
              </w:rPr>
              <w:t>գործունեություն</w:t>
            </w:r>
            <w:r w:rsidRPr="00B936EF">
              <w:rPr>
                <w:rFonts w:cs="Calibri"/>
                <w:b w:val="0"/>
                <w:i/>
                <w:iCs/>
                <w:color w:val="000000"/>
                <w:sz w:val="20"/>
                <w:szCs w:val="20"/>
                <w:lang w:val="en-US"/>
              </w:rPr>
              <w:t xml:space="preserve">, </w:t>
            </w:r>
            <w:r w:rsidRPr="00B936EF">
              <w:rPr>
                <w:rFonts w:cs="Calibri"/>
                <w:b w:val="0"/>
                <w:i/>
                <w:iCs/>
                <w:color w:val="000000"/>
                <w:sz w:val="20"/>
                <w:szCs w:val="20"/>
              </w:rPr>
              <w:t>շահումով</w:t>
            </w:r>
            <w:r w:rsidRPr="00B936EF">
              <w:rPr>
                <w:rFonts w:cs="Calibri"/>
                <w:b w:val="0"/>
                <w:i/>
                <w:iCs/>
                <w:color w:val="000000"/>
                <w:sz w:val="20"/>
                <w:szCs w:val="20"/>
                <w:lang w:val="en-US"/>
              </w:rPr>
              <w:t xml:space="preserve"> </w:t>
            </w:r>
            <w:r w:rsidRPr="00B936EF">
              <w:rPr>
                <w:rFonts w:cs="Calibri"/>
                <w:b w:val="0"/>
                <w:i/>
                <w:iCs/>
                <w:color w:val="000000"/>
                <w:sz w:val="20"/>
                <w:szCs w:val="20"/>
              </w:rPr>
              <w:t>խաղերի</w:t>
            </w:r>
            <w:r w:rsidRPr="00B936EF">
              <w:rPr>
                <w:rFonts w:cs="Calibri"/>
                <w:b w:val="0"/>
                <w:i/>
                <w:iCs/>
                <w:color w:val="000000"/>
                <w:sz w:val="20"/>
                <w:szCs w:val="20"/>
                <w:lang w:val="en-US"/>
              </w:rPr>
              <w:t xml:space="preserve"> (</w:t>
            </w:r>
            <w:r w:rsidRPr="00B936EF">
              <w:rPr>
                <w:rFonts w:cs="Calibri"/>
                <w:b w:val="0"/>
                <w:i/>
                <w:iCs/>
                <w:color w:val="000000"/>
                <w:sz w:val="20"/>
                <w:szCs w:val="20"/>
              </w:rPr>
              <w:t>այդ</w:t>
            </w:r>
            <w:r w:rsidRPr="00B936EF">
              <w:rPr>
                <w:rFonts w:cs="Calibri"/>
                <w:b w:val="0"/>
                <w:i/>
                <w:iCs/>
                <w:color w:val="000000"/>
                <w:sz w:val="20"/>
                <w:szCs w:val="20"/>
                <w:lang w:val="en-US"/>
              </w:rPr>
              <w:t xml:space="preserve"> </w:t>
            </w:r>
            <w:r w:rsidRPr="00B936EF">
              <w:rPr>
                <w:rFonts w:cs="Calibri"/>
                <w:b w:val="0"/>
                <w:i/>
                <w:iCs/>
                <w:color w:val="000000"/>
                <w:sz w:val="20"/>
                <w:szCs w:val="20"/>
              </w:rPr>
              <w:t>թվում՝</w:t>
            </w:r>
            <w:r w:rsidRPr="00B936EF">
              <w:rPr>
                <w:rFonts w:cs="Calibri"/>
                <w:b w:val="0"/>
                <w:i/>
                <w:iCs/>
                <w:color w:val="000000"/>
                <w:sz w:val="20"/>
                <w:szCs w:val="20"/>
                <w:lang w:val="en-US"/>
              </w:rPr>
              <w:t xml:space="preserve"> </w:t>
            </w:r>
            <w:r w:rsidRPr="00B936EF">
              <w:rPr>
                <w:rFonts w:cs="Calibri"/>
                <w:b w:val="0"/>
                <w:i/>
                <w:iCs/>
                <w:color w:val="000000"/>
                <w:sz w:val="20"/>
                <w:szCs w:val="20"/>
              </w:rPr>
              <w:t>ինտերնետ</w:t>
            </w:r>
            <w:r w:rsidRPr="00B936EF">
              <w:rPr>
                <w:rFonts w:cs="Calibri"/>
                <w:b w:val="0"/>
                <w:i/>
                <w:iCs/>
                <w:color w:val="000000"/>
                <w:sz w:val="20"/>
                <w:szCs w:val="20"/>
                <w:lang w:val="en-US"/>
              </w:rPr>
              <w:t xml:space="preserve"> </w:t>
            </w:r>
            <w:r w:rsidRPr="00B936EF">
              <w:rPr>
                <w:rFonts w:cs="Calibri"/>
                <w:b w:val="0"/>
                <w:i/>
                <w:iCs/>
                <w:color w:val="000000"/>
                <w:sz w:val="20"/>
                <w:szCs w:val="20"/>
              </w:rPr>
              <w:t>շահումով</w:t>
            </w:r>
            <w:r w:rsidRPr="00B936EF">
              <w:rPr>
                <w:rFonts w:cs="Calibri"/>
                <w:b w:val="0"/>
                <w:i/>
                <w:iCs/>
                <w:color w:val="000000"/>
                <w:sz w:val="20"/>
                <w:szCs w:val="20"/>
                <w:lang w:val="en-US"/>
              </w:rPr>
              <w:t xml:space="preserve"> </w:t>
            </w:r>
            <w:r w:rsidRPr="00B936EF">
              <w:rPr>
                <w:rFonts w:cs="Calibri"/>
                <w:b w:val="0"/>
                <w:i/>
                <w:iCs/>
                <w:color w:val="000000"/>
                <w:sz w:val="20"/>
                <w:szCs w:val="20"/>
              </w:rPr>
              <w:t>խաղերի</w:t>
            </w:r>
            <w:r w:rsidRPr="00B936EF">
              <w:rPr>
                <w:rFonts w:cs="Calibri"/>
                <w:b w:val="0"/>
                <w:i/>
                <w:iCs/>
                <w:color w:val="000000"/>
                <w:sz w:val="20"/>
                <w:szCs w:val="20"/>
                <w:lang w:val="en-US"/>
              </w:rPr>
              <w:t xml:space="preserve">), </w:t>
            </w:r>
            <w:r w:rsidRPr="00B936EF">
              <w:rPr>
                <w:rFonts w:cs="Calibri"/>
                <w:b w:val="0"/>
                <w:i/>
                <w:iCs/>
                <w:color w:val="000000"/>
                <w:sz w:val="20"/>
                <w:szCs w:val="20"/>
              </w:rPr>
              <w:t>տոտալիզատորի</w:t>
            </w:r>
            <w:r w:rsidRPr="00B936EF">
              <w:rPr>
                <w:rFonts w:cs="Calibri"/>
                <w:b w:val="0"/>
                <w:i/>
                <w:iCs/>
                <w:color w:val="000000"/>
                <w:sz w:val="20"/>
                <w:szCs w:val="20"/>
                <w:lang w:val="en-US"/>
              </w:rPr>
              <w:t xml:space="preserve"> </w:t>
            </w:r>
            <w:r w:rsidRPr="00B936EF">
              <w:rPr>
                <w:rFonts w:cs="Calibri"/>
                <w:b w:val="0"/>
                <w:i/>
                <w:iCs/>
                <w:color w:val="000000"/>
                <w:sz w:val="20"/>
                <w:szCs w:val="20"/>
              </w:rPr>
              <w:t>և</w:t>
            </w:r>
            <w:r w:rsidRPr="00B936EF">
              <w:rPr>
                <w:rFonts w:cs="Calibri"/>
                <w:b w:val="0"/>
                <w:i/>
                <w:iCs/>
                <w:color w:val="000000"/>
                <w:sz w:val="20"/>
                <w:szCs w:val="20"/>
                <w:lang w:val="en-US"/>
              </w:rPr>
              <w:t xml:space="preserve"> </w:t>
            </w:r>
            <w:r w:rsidRPr="00B936EF">
              <w:rPr>
                <w:rFonts w:cs="Calibri"/>
                <w:b w:val="0"/>
                <w:i/>
                <w:iCs/>
                <w:color w:val="000000"/>
                <w:sz w:val="20"/>
                <w:szCs w:val="20"/>
              </w:rPr>
              <w:t>ինտերնետ</w:t>
            </w:r>
            <w:r w:rsidRPr="00B936EF">
              <w:rPr>
                <w:rFonts w:cs="Calibri"/>
                <w:b w:val="0"/>
                <w:i/>
                <w:iCs/>
                <w:color w:val="000000"/>
                <w:sz w:val="20"/>
                <w:szCs w:val="20"/>
                <w:lang w:val="en-US"/>
              </w:rPr>
              <w:t xml:space="preserve"> </w:t>
            </w:r>
            <w:r w:rsidRPr="00B936EF">
              <w:rPr>
                <w:rFonts w:cs="Calibri"/>
                <w:b w:val="0"/>
                <w:i/>
                <w:iCs/>
                <w:color w:val="000000"/>
                <w:sz w:val="20"/>
                <w:szCs w:val="20"/>
              </w:rPr>
              <w:t>տոտալիզատորի</w:t>
            </w:r>
            <w:r w:rsidRPr="00B936EF">
              <w:rPr>
                <w:rFonts w:cs="Calibri"/>
                <w:b w:val="0"/>
                <w:i/>
                <w:iCs/>
                <w:color w:val="000000"/>
                <w:sz w:val="20"/>
                <w:szCs w:val="20"/>
                <w:lang w:val="en-US"/>
              </w:rPr>
              <w:t xml:space="preserve"> </w:t>
            </w:r>
            <w:r w:rsidRPr="00B936EF">
              <w:rPr>
                <w:rFonts w:cs="Calibri"/>
                <w:b w:val="0"/>
                <w:i/>
                <w:iCs/>
                <w:color w:val="000000"/>
                <w:sz w:val="20"/>
                <w:szCs w:val="20"/>
              </w:rPr>
              <w:t>կազմակերպում</w:t>
            </w:r>
          </w:p>
        </w:tc>
        <w:tc>
          <w:tcPr>
            <w:tcW w:w="171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rPr>
              <w:t>63,433</w:t>
            </w:r>
          </w:p>
        </w:tc>
        <w:tc>
          <w:tcPr>
            <w:tcW w:w="180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2.88%</w:t>
            </w:r>
          </w:p>
        </w:tc>
        <w:tc>
          <w:tcPr>
            <w:tcW w:w="1613"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0.68%</w:t>
            </w:r>
          </w:p>
        </w:tc>
      </w:tr>
      <w:tr w:rsidR="00E84267" w:rsidRPr="007955BB" w:rsidTr="00B936EF">
        <w:trPr>
          <w:trHeight w:val="795"/>
        </w:trPr>
        <w:tc>
          <w:tcPr>
            <w:tcW w:w="764"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1.7.</w:t>
            </w:r>
          </w:p>
        </w:tc>
        <w:tc>
          <w:tcPr>
            <w:tcW w:w="3780" w:type="dxa"/>
            <w:shd w:val="clear" w:color="auto" w:fill="auto"/>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ոսկու</w:t>
            </w:r>
            <w:r w:rsidRPr="00B936EF">
              <w:rPr>
                <w:rFonts w:cs="Calibri"/>
                <w:b w:val="0"/>
                <w:i/>
                <w:iCs/>
                <w:color w:val="000000"/>
                <w:sz w:val="20"/>
                <w:szCs w:val="20"/>
                <w:lang w:val="en-US"/>
              </w:rPr>
              <w:t xml:space="preserve"> </w:t>
            </w:r>
            <w:r w:rsidRPr="00B936EF">
              <w:rPr>
                <w:rFonts w:cs="Calibri"/>
                <w:b w:val="0"/>
                <w:i/>
                <w:iCs/>
                <w:color w:val="000000"/>
                <w:sz w:val="20"/>
                <w:szCs w:val="20"/>
              </w:rPr>
              <w:t>և</w:t>
            </w:r>
            <w:r w:rsidRPr="00B936EF">
              <w:rPr>
                <w:rFonts w:cs="Calibri"/>
                <w:b w:val="0"/>
                <w:i/>
                <w:iCs/>
                <w:color w:val="000000"/>
                <w:sz w:val="20"/>
                <w:szCs w:val="20"/>
                <w:lang w:val="en-US"/>
              </w:rPr>
              <w:t xml:space="preserve"> </w:t>
            </w:r>
            <w:r w:rsidRPr="00B936EF">
              <w:rPr>
                <w:rFonts w:cs="Calibri"/>
                <w:b w:val="0"/>
                <w:i/>
                <w:iCs/>
                <w:color w:val="000000"/>
                <w:sz w:val="20"/>
                <w:szCs w:val="20"/>
              </w:rPr>
              <w:t>թանկարժեք</w:t>
            </w:r>
            <w:r w:rsidRPr="00B936EF">
              <w:rPr>
                <w:rFonts w:cs="Calibri"/>
                <w:b w:val="0"/>
                <w:i/>
                <w:iCs/>
                <w:color w:val="000000"/>
                <w:sz w:val="20"/>
                <w:szCs w:val="20"/>
                <w:lang w:val="en-US"/>
              </w:rPr>
              <w:t xml:space="preserve"> </w:t>
            </w:r>
            <w:r w:rsidRPr="00B936EF">
              <w:rPr>
                <w:rFonts w:cs="Calibri"/>
                <w:b w:val="0"/>
                <w:i/>
                <w:iCs/>
                <w:color w:val="000000"/>
                <w:sz w:val="20"/>
                <w:szCs w:val="20"/>
              </w:rPr>
              <w:t>քարերի</w:t>
            </w:r>
            <w:r w:rsidRPr="00B936EF">
              <w:rPr>
                <w:rFonts w:cs="Calibri"/>
                <w:b w:val="0"/>
                <w:i/>
                <w:iCs/>
                <w:color w:val="000000"/>
                <w:sz w:val="20"/>
                <w:szCs w:val="20"/>
                <w:lang w:val="en-US"/>
              </w:rPr>
              <w:t xml:space="preserve"> </w:t>
            </w:r>
            <w:r w:rsidRPr="00B936EF">
              <w:rPr>
                <w:rFonts w:cs="Calibri"/>
                <w:b w:val="0"/>
                <w:i/>
                <w:iCs/>
                <w:color w:val="000000"/>
                <w:sz w:val="20"/>
                <w:szCs w:val="20"/>
              </w:rPr>
              <w:t>իրացում</w:t>
            </w:r>
          </w:p>
        </w:tc>
        <w:tc>
          <w:tcPr>
            <w:tcW w:w="171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lang w:val="en-US"/>
              </w:rPr>
              <w:t>1,701</w:t>
            </w:r>
          </w:p>
        </w:tc>
        <w:tc>
          <w:tcPr>
            <w:tcW w:w="180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0.08%</w:t>
            </w:r>
          </w:p>
        </w:tc>
        <w:tc>
          <w:tcPr>
            <w:tcW w:w="1613"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0.02%</w:t>
            </w:r>
          </w:p>
        </w:tc>
      </w:tr>
      <w:tr w:rsidR="00E84267" w:rsidRPr="007955BB" w:rsidTr="00B936EF">
        <w:trPr>
          <w:trHeight w:val="475"/>
        </w:trPr>
        <w:tc>
          <w:tcPr>
            <w:tcW w:w="764"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1.8.</w:t>
            </w:r>
          </w:p>
        </w:tc>
        <w:tc>
          <w:tcPr>
            <w:tcW w:w="3780" w:type="dxa"/>
            <w:shd w:val="clear" w:color="auto" w:fill="DEEAF6"/>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մարդասիրական օգնություն</w:t>
            </w:r>
          </w:p>
        </w:tc>
        <w:tc>
          <w:tcPr>
            <w:tcW w:w="171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lang w:val="en-US"/>
              </w:rPr>
              <w:t>6,889</w:t>
            </w:r>
          </w:p>
        </w:tc>
        <w:tc>
          <w:tcPr>
            <w:tcW w:w="180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0.31%</w:t>
            </w:r>
          </w:p>
        </w:tc>
        <w:tc>
          <w:tcPr>
            <w:tcW w:w="1613"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0.07%</w:t>
            </w:r>
          </w:p>
        </w:tc>
      </w:tr>
      <w:tr w:rsidR="00E84267" w:rsidRPr="007955BB" w:rsidTr="00B936EF">
        <w:trPr>
          <w:trHeight w:val="553"/>
        </w:trPr>
        <w:tc>
          <w:tcPr>
            <w:tcW w:w="764"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1.9.</w:t>
            </w:r>
          </w:p>
        </w:tc>
        <w:tc>
          <w:tcPr>
            <w:tcW w:w="3780" w:type="dxa"/>
            <w:shd w:val="clear" w:color="auto" w:fill="auto"/>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պարարտանյութերի իրացում</w:t>
            </w:r>
          </w:p>
        </w:tc>
        <w:tc>
          <w:tcPr>
            <w:tcW w:w="171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rPr>
              <w:t>5,784</w:t>
            </w:r>
          </w:p>
        </w:tc>
        <w:tc>
          <w:tcPr>
            <w:tcW w:w="180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0.2</w:t>
            </w:r>
            <w:r w:rsidRPr="00B936EF">
              <w:rPr>
                <w:rFonts w:cs="Calibri"/>
                <w:b w:val="0"/>
                <w:bCs/>
                <w:i/>
                <w:iCs/>
                <w:color w:val="000000"/>
                <w:sz w:val="20"/>
                <w:szCs w:val="20"/>
                <w:lang w:val="en-US"/>
              </w:rPr>
              <w:t>6</w:t>
            </w:r>
            <w:r w:rsidRPr="00B936EF">
              <w:rPr>
                <w:rFonts w:cs="Calibri"/>
                <w:b w:val="0"/>
                <w:bCs/>
                <w:i/>
                <w:iCs/>
                <w:color w:val="000000"/>
                <w:sz w:val="20"/>
                <w:szCs w:val="20"/>
              </w:rPr>
              <w:t>%</w:t>
            </w:r>
          </w:p>
        </w:tc>
        <w:tc>
          <w:tcPr>
            <w:tcW w:w="1613"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0.06%</w:t>
            </w:r>
          </w:p>
        </w:tc>
      </w:tr>
      <w:tr w:rsidR="00E84267" w:rsidRPr="007955BB" w:rsidTr="00B936EF">
        <w:trPr>
          <w:trHeight w:val="1016"/>
        </w:trPr>
        <w:tc>
          <w:tcPr>
            <w:tcW w:w="764"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1.10.</w:t>
            </w:r>
          </w:p>
        </w:tc>
        <w:tc>
          <w:tcPr>
            <w:tcW w:w="3780" w:type="dxa"/>
            <w:shd w:val="clear" w:color="auto" w:fill="DEEAF6"/>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ջրօգտագործողների</w:t>
            </w:r>
            <w:r w:rsidRPr="00B936EF">
              <w:rPr>
                <w:rFonts w:cs="Calibri"/>
                <w:b w:val="0"/>
                <w:i/>
                <w:iCs/>
                <w:color w:val="000000"/>
                <w:sz w:val="20"/>
                <w:szCs w:val="20"/>
                <w:lang w:val="en-US"/>
              </w:rPr>
              <w:t xml:space="preserve"> </w:t>
            </w:r>
            <w:r w:rsidRPr="00B936EF">
              <w:rPr>
                <w:rFonts w:cs="Calibri"/>
                <w:b w:val="0"/>
                <w:i/>
                <w:iCs/>
                <w:color w:val="000000"/>
                <w:sz w:val="20"/>
                <w:szCs w:val="20"/>
              </w:rPr>
              <w:t>ընկերությունների</w:t>
            </w:r>
            <w:r w:rsidRPr="00B936EF">
              <w:rPr>
                <w:rFonts w:cs="Calibri"/>
                <w:b w:val="0"/>
                <w:i/>
                <w:iCs/>
                <w:color w:val="000000"/>
                <w:sz w:val="20"/>
                <w:szCs w:val="20"/>
                <w:lang w:val="en-US"/>
              </w:rPr>
              <w:t xml:space="preserve"> </w:t>
            </w:r>
            <w:r w:rsidRPr="00B936EF">
              <w:rPr>
                <w:rFonts w:cs="Calibri"/>
                <w:b w:val="0"/>
                <w:i/>
                <w:iCs/>
                <w:color w:val="000000"/>
                <w:sz w:val="20"/>
                <w:szCs w:val="20"/>
              </w:rPr>
              <w:t>կողմից</w:t>
            </w:r>
            <w:r w:rsidRPr="00B936EF">
              <w:rPr>
                <w:rFonts w:cs="Calibri"/>
                <w:b w:val="0"/>
                <w:i/>
                <w:iCs/>
                <w:color w:val="000000"/>
                <w:sz w:val="20"/>
                <w:szCs w:val="20"/>
                <w:lang w:val="en-US"/>
              </w:rPr>
              <w:t xml:space="preserve"> </w:t>
            </w:r>
            <w:r w:rsidRPr="00B936EF">
              <w:rPr>
                <w:rFonts w:cs="Calibri"/>
                <w:b w:val="0"/>
                <w:i/>
                <w:iCs/>
                <w:color w:val="000000"/>
                <w:sz w:val="20"/>
                <w:szCs w:val="20"/>
              </w:rPr>
              <w:t>ոռոգման</w:t>
            </w:r>
            <w:r w:rsidRPr="00B936EF">
              <w:rPr>
                <w:rFonts w:cs="Calibri"/>
                <w:b w:val="0"/>
                <w:i/>
                <w:iCs/>
                <w:color w:val="000000"/>
                <w:sz w:val="20"/>
                <w:szCs w:val="20"/>
                <w:lang w:val="en-US"/>
              </w:rPr>
              <w:t xml:space="preserve"> </w:t>
            </w:r>
            <w:r w:rsidRPr="00B936EF">
              <w:rPr>
                <w:rFonts w:cs="Calibri"/>
                <w:b w:val="0"/>
                <w:i/>
                <w:iCs/>
                <w:color w:val="000000"/>
                <w:sz w:val="20"/>
                <w:szCs w:val="20"/>
              </w:rPr>
              <w:t>ջրի</w:t>
            </w:r>
            <w:r w:rsidRPr="00B936EF">
              <w:rPr>
                <w:rFonts w:cs="Calibri"/>
                <w:b w:val="0"/>
                <w:i/>
                <w:iCs/>
                <w:color w:val="000000"/>
                <w:sz w:val="20"/>
                <w:szCs w:val="20"/>
                <w:lang w:val="en-US"/>
              </w:rPr>
              <w:t xml:space="preserve"> </w:t>
            </w:r>
            <w:r w:rsidRPr="00B936EF">
              <w:rPr>
                <w:rFonts w:cs="Calibri"/>
                <w:b w:val="0"/>
                <w:i/>
                <w:iCs/>
                <w:color w:val="000000"/>
                <w:sz w:val="20"/>
                <w:szCs w:val="20"/>
              </w:rPr>
              <w:t>օտարում</w:t>
            </w:r>
          </w:p>
        </w:tc>
        <w:tc>
          <w:tcPr>
            <w:tcW w:w="171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rPr>
              <w:t>1,501</w:t>
            </w:r>
          </w:p>
        </w:tc>
        <w:tc>
          <w:tcPr>
            <w:tcW w:w="180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0.07%</w:t>
            </w:r>
          </w:p>
        </w:tc>
        <w:tc>
          <w:tcPr>
            <w:tcW w:w="1613"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0.0</w:t>
            </w:r>
            <w:r w:rsidRPr="00B936EF">
              <w:rPr>
                <w:rFonts w:cs="Calibri"/>
                <w:b w:val="0"/>
                <w:bCs/>
                <w:i/>
                <w:iCs/>
                <w:color w:val="000000"/>
                <w:sz w:val="20"/>
                <w:szCs w:val="20"/>
                <w:lang w:val="en-US"/>
              </w:rPr>
              <w:t>2</w:t>
            </w:r>
            <w:r w:rsidRPr="00B936EF">
              <w:rPr>
                <w:rFonts w:cs="Calibri"/>
                <w:b w:val="0"/>
                <w:bCs/>
                <w:i/>
                <w:iCs/>
                <w:color w:val="000000"/>
                <w:sz w:val="20"/>
                <w:szCs w:val="20"/>
              </w:rPr>
              <w:t>%</w:t>
            </w:r>
          </w:p>
        </w:tc>
      </w:tr>
      <w:tr w:rsidR="00E84267" w:rsidRPr="007955BB" w:rsidTr="00B936EF">
        <w:trPr>
          <w:trHeight w:val="900"/>
        </w:trPr>
        <w:tc>
          <w:tcPr>
            <w:tcW w:w="764"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1.11.</w:t>
            </w:r>
          </w:p>
        </w:tc>
        <w:tc>
          <w:tcPr>
            <w:tcW w:w="3780" w:type="dxa"/>
            <w:shd w:val="clear" w:color="auto" w:fill="auto"/>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սուբսիդիաների</w:t>
            </w:r>
            <w:r w:rsidRPr="00B936EF">
              <w:rPr>
                <w:rFonts w:cs="Calibri"/>
                <w:b w:val="0"/>
                <w:i/>
                <w:iCs/>
                <w:color w:val="000000"/>
                <w:sz w:val="20"/>
                <w:szCs w:val="20"/>
                <w:lang w:val="en-US"/>
              </w:rPr>
              <w:t xml:space="preserve">, </w:t>
            </w:r>
            <w:r w:rsidRPr="00B936EF">
              <w:rPr>
                <w:rFonts w:cs="Calibri"/>
                <w:b w:val="0"/>
                <w:i/>
                <w:iCs/>
                <w:color w:val="000000"/>
                <w:sz w:val="20"/>
                <w:szCs w:val="20"/>
              </w:rPr>
              <w:t>սուբվենցիաների</w:t>
            </w:r>
            <w:r w:rsidRPr="00B936EF">
              <w:rPr>
                <w:rFonts w:cs="Calibri"/>
                <w:b w:val="0"/>
                <w:i/>
                <w:iCs/>
                <w:color w:val="000000"/>
                <w:sz w:val="20"/>
                <w:szCs w:val="20"/>
                <w:lang w:val="en-US"/>
              </w:rPr>
              <w:t xml:space="preserve"> </w:t>
            </w:r>
            <w:r w:rsidRPr="00B936EF">
              <w:rPr>
                <w:rFonts w:cs="Calibri"/>
                <w:b w:val="0"/>
                <w:i/>
                <w:iCs/>
                <w:color w:val="000000"/>
                <w:sz w:val="20"/>
                <w:szCs w:val="20"/>
              </w:rPr>
              <w:t>և</w:t>
            </w:r>
            <w:r w:rsidRPr="00B936EF">
              <w:rPr>
                <w:rFonts w:cs="Calibri"/>
                <w:b w:val="0"/>
                <w:i/>
                <w:iCs/>
                <w:color w:val="000000"/>
                <w:sz w:val="20"/>
                <w:szCs w:val="20"/>
                <w:lang w:val="en-US"/>
              </w:rPr>
              <w:t xml:space="preserve"> </w:t>
            </w:r>
            <w:r w:rsidRPr="00B936EF">
              <w:rPr>
                <w:rFonts w:cs="Calibri"/>
                <w:b w:val="0"/>
                <w:i/>
                <w:iCs/>
                <w:color w:val="000000"/>
                <w:sz w:val="20"/>
                <w:szCs w:val="20"/>
              </w:rPr>
              <w:t>դրամաշնորհային</w:t>
            </w:r>
            <w:r w:rsidRPr="00B936EF">
              <w:rPr>
                <w:rFonts w:cs="Calibri"/>
                <w:b w:val="0"/>
                <w:i/>
                <w:iCs/>
                <w:color w:val="000000"/>
                <w:sz w:val="20"/>
                <w:szCs w:val="20"/>
                <w:lang w:val="en-US"/>
              </w:rPr>
              <w:t xml:space="preserve"> </w:t>
            </w:r>
            <w:r w:rsidRPr="00B936EF">
              <w:rPr>
                <w:rFonts w:cs="Calibri"/>
                <w:b w:val="0"/>
                <w:i/>
                <w:iCs/>
                <w:color w:val="000000"/>
                <w:sz w:val="20"/>
                <w:szCs w:val="20"/>
              </w:rPr>
              <w:t>ծրագրերի</w:t>
            </w:r>
            <w:r w:rsidRPr="00B936EF">
              <w:rPr>
                <w:rFonts w:cs="Calibri"/>
                <w:b w:val="0"/>
                <w:i/>
                <w:iCs/>
                <w:color w:val="000000"/>
                <w:sz w:val="20"/>
                <w:szCs w:val="20"/>
                <w:lang w:val="en-US"/>
              </w:rPr>
              <w:t xml:space="preserve"> </w:t>
            </w:r>
            <w:r w:rsidRPr="00B936EF">
              <w:rPr>
                <w:rFonts w:cs="Calibri"/>
                <w:b w:val="0"/>
                <w:i/>
                <w:iCs/>
                <w:color w:val="000000"/>
                <w:sz w:val="20"/>
                <w:szCs w:val="20"/>
              </w:rPr>
              <w:t>շրջանակներում</w:t>
            </w:r>
            <w:r w:rsidRPr="00B936EF">
              <w:rPr>
                <w:rFonts w:cs="Calibri"/>
                <w:b w:val="0"/>
                <w:i/>
                <w:iCs/>
                <w:color w:val="000000"/>
                <w:sz w:val="20"/>
                <w:szCs w:val="20"/>
                <w:lang w:val="en-US"/>
              </w:rPr>
              <w:t xml:space="preserve"> </w:t>
            </w:r>
            <w:r w:rsidRPr="00B936EF">
              <w:rPr>
                <w:rFonts w:cs="Calibri"/>
                <w:b w:val="0"/>
                <w:i/>
                <w:iCs/>
                <w:color w:val="000000"/>
                <w:sz w:val="20"/>
                <w:szCs w:val="20"/>
              </w:rPr>
              <w:t>իրականացվող</w:t>
            </w:r>
            <w:r w:rsidRPr="00B936EF">
              <w:rPr>
                <w:rFonts w:cs="Calibri"/>
                <w:b w:val="0"/>
                <w:i/>
                <w:iCs/>
                <w:color w:val="000000"/>
                <w:sz w:val="20"/>
                <w:szCs w:val="20"/>
                <w:lang w:val="en-US"/>
              </w:rPr>
              <w:t xml:space="preserve">` </w:t>
            </w:r>
            <w:r w:rsidRPr="00B936EF">
              <w:rPr>
                <w:rFonts w:cs="Calibri"/>
                <w:b w:val="0"/>
                <w:i/>
                <w:iCs/>
                <w:color w:val="000000"/>
                <w:sz w:val="20"/>
                <w:szCs w:val="20"/>
              </w:rPr>
              <w:t>ապրանքի</w:t>
            </w:r>
            <w:r w:rsidRPr="00B936EF">
              <w:rPr>
                <w:rFonts w:cs="Calibri"/>
                <w:b w:val="0"/>
                <w:i/>
                <w:iCs/>
                <w:color w:val="000000"/>
                <w:sz w:val="20"/>
                <w:szCs w:val="20"/>
                <w:lang w:val="en-US"/>
              </w:rPr>
              <w:t xml:space="preserve"> </w:t>
            </w:r>
            <w:r w:rsidRPr="00B936EF">
              <w:rPr>
                <w:rFonts w:cs="Calibri"/>
                <w:b w:val="0"/>
                <w:i/>
                <w:iCs/>
                <w:color w:val="000000"/>
                <w:sz w:val="20"/>
                <w:szCs w:val="20"/>
              </w:rPr>
              <w:t>մատակարարում</w:t>
            </w:r>
            <w:r w:rsidRPr="00B936EF">
              <w:rPr>
                <w:rFonts w:cs="Calibri"/>
                <w:b w:val="0"/>
                <w:i/>
                <w:iCs/>
                <w:color w:val="000000"/>
                <w:sz w:val="20"/>
                <w:szCs w:val="20"/>
                <w:lang w:val="en-US"/>
              </w:rPr>
              <w:t xml:space="preserve">, </w:t>
            </w:r>
            <w:r w:rsidRPr="00B936EF">
              <w:rPr>
                <w:rFonts w:cs="Calibri"/>
                <w:b w:val="0"/>
                <w:i/>
                <w:iCs/>
                <w:color w:val="000000"/>
                <w:sz w:val="20"/>
                <w:szCs w:val="20"/>
              </w:rPr>
              <w:t>աշխատանքի</w:t>
            </w:r>
            <w:r w:rsidRPr="00B936EF">
              <w:rPr>
                <w:rFonts w:cs="Calibri"/>
                <w:b w:val="0"/>
                <w:i/>
                <w:iCs/>
                <w:color w:val="000000"/>
                <w:sz w:val="20"/>
                <w:szCs w:val="20"/>
                <w:lang w:val="en-US"/>
              </w:rPr>
              <w:t xml:space="preserve"> </w:t>
            </w:r>
            <w:r w:rsidRPr="00B936EF">
              <w:rPr>
                <w:rFonts w:cs="Calibri"/>
                <w:b w:val="0"/>
                <w:i/>
                <w:iCs/>
                <w:color w:val="000000"/>
                <w:sz w:val="20"/>
                <w:szCs w:val="20"/>
              </w:rPr>
              <w:t>կատարում</w:t>
            </w:r>
            <w:r w:rsidRPr="00B936EF">
              <w:rPr>
                <w:rFonts w:cs="Calibri"/>
                <w:b w:val="0"/>
                <w:i/>
                <w:iCs/>
                <w:color w:val="000000"/>
                <w:sz w:val="20"/>
                <w:szCs w:val="20"/>
                <w:lang w:val="en-US"/>
              </w:rPr>
              <w:t xml:space="preserve"> </w:t>
            </w:r>
            <w:r w:rsidRPr="00B936EF">
              <w:rPr>
                <w:rFonts w:cs="Calibri"/>
                <w:b w:val="0"/>
                <w:i/>
                <w:iCs/>
                <w:color w:val="000000"/>
                <w:sz w:val="20"/>
                <w:szCs w:val="20"/>
              </w:rPr>
              <w:t>և</w:t>
            </w:r>
            <w:r w:rsidRPr="00B936EF">
              <w:rPr>
                <w:rFonts w:cs="Calibri"/>
                <w:b w:val="0"/>
                <w:i/>
                <w:iCs/>
                <w:color w:val="000000"/>
                <w:sz w:val="20"/>
                <w:szCs w:val="20"/>
                <w:lang w:val="en-US"/>
              </w:rPr>
              <w:t xml:space="preserve"> (</w:t>
            </w:r>
            <w:r w:rsidRPr="00B936EF">
              <w:rPr>
                <w:rFonts w:cs="Calibri"/>
                <w:b w:val="0"/>
                <w:i/>
                <w:iCs/>
                <w:color w:val="000000"/>
                <w:sz w:val="20"/>
                <w:szCs w:val="20"/>
              </w:rPr>
              <w:t>կամ</w:t>
            </w:r>
            <w:r w:rsidRPr="00B936EF">
              <w:rPr>
                <w:rFonts w:cs="Calibri"/>
                <w:b w:val="0"/>
                <w:i/>
                <w:iCs/>
                <w:color w:val="000000"/>
                <w:sz w:val="20"/>
                <w:szCs w:val="20"/>
                <w:lang w:val="en-US"/>
              </w:rPr>
              <w:t xml:space="preserve">) </w:t>
            </w:r>
            <w:r w:rsidRPr="00B936EF">
              <w:rPr>
                <w:rFonts w:cs="Calibri"/>
                <w:b w:val="0"/>
                <w:i/>
                <w:iCs/>
                <w:color w:val="000000"/>
                <w:sz w:val="20"/>
                <w:szCs w:val="20"/>
              </w:rPr>
              <w:t>ծառայության</w:t>
            </w:r>
            <w:r w:rsidRPr="00B936EF">
              <w:rPr>
                <w:rFonts w:cs="Calibri"/>
                <w:b w:val="0"/>
                <w:i/>
                <w:iCs/>
                <w:color w:val="000000"/>
                <w:sz w:val="20"/>
                <w:szCs w:val="20"/>
                <w:lang w:val="en-US"/>
              </w:rPr>
              <w:t xml:space="preserve"> </w:t>
            </w:r>
            <w:r w:rsidRPr="00B936EF">
              <w:rPr>
                <w:rFonts w:cs="Calibri"/>
                <w:b w:val="0"/>
                <w:i/>
                <w:iCs/>
                <w:color w:val="000000"/>
                <w:sz w:val="20"/>
                <w:szCs w:val="20"/>
              </w:rPr>
              <w:t>մատուցում</w:t>
            </w:r>
          </w:p>
        </w:tc>
        <w:tc>
          <w:tcPr>
            <w:tcW w:w="171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lang w:val="en-US"/>
              </w:rPr>
              <w:t>719</w:t>
            </w:r>
          </w:p>
        </w:tc>
        <w:tc>
          <w:tcPr>
            <w:tcW w:w="180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0.0</w:t>
            </w:r>
            <w:r w:rsidRPr="00B936EF">
              <w:rPr>
                <w:rFonts w:cs="Calibri"/>
                <w:b w:val="0"/>
                <w:bCs/>
                <w:i/>
                <w:iCs/>
                <w:color w:val="000000"/>
                <w:sz w:val="20"/>
                <w:szCs w:val="20"/>
                <w:lang w:val="en-US"/>
              </w:rPr>
              <w:t>3</w:t>
            </w:r>
            <w:r w:rsidRPr="00B936EF">
              <w:rPr>
                <w:rFonts w:cs="Calibri"/>
                <w:b w:val="0"/>
                <w:bCs/>
                <w:i/>
                <w:iCs/>
                <w:color w:val="000000"/>
                <w:sz w:val="20"/>
                <w:szCs w:val="20"/>
              </w:rPr>
              <w:t>%</w:t>
            </w:r>
          </w:p>
        </w:tc>
        <w:tc>
          <w:tcPr>
            <w:tcW w:w="1613"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0.01%</w:t>
            </w:r>
          </w:p>
        </w:tc>
      </w:tr>
      <w:tr w:rsidR="00E84267" w:rsidRPr="007955BB" w:rsidTr="00B936EF">
        <w:trPr>
          <w:trHeight w:val="701"/>
        </w:trPr>
        <w:tc>
          <w:tcPr>
            <w:tcW w:w="764"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1.12.</w:t>
            </w:r>
          </w:p>
        </w:tc>
        <w:tc>
          <w:tcPr>
            <w:tcW w:w="3780" w:type="dxa"/>
            <w:shd w:val="clear" w:color="auto" w:fill="DEEAF6"/>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ազատ</w:t>
            </w:r>
            <w:r w:rsidRPr="00B936EF">
              <w:rPr>
                <w:rFonts w:cs="Calibri"/>
                <w:b w:val="0"/>
                <w:i/>
                <w:iCs/>
                <w:color w:val="000000"/>
                <w:sz w:val="20"/>
                <w:szCs w:val="20"/>
                <w:lang w:val="en-US"/>
              </w:rPr>
              <w:t xml:space="preserve"> </w:t>
            </w:r>
            <w:r w:rsidRPr="00B936EF">
              <w:rPr>
                <w:rFonts w:cs="Calibri"/>
                <w:b w:val="0"/>
                <w:i/>
                <w:iCs/>
                <w:color w:val="000000"/>
                <w:sz w:val="20"/>
                <w:szCs w:val="20"/>
              </w:rPr>
              <w:t>տնտեսական</w:t>
            </w:r>
            <w:r w:rsidRPr="00B936EF">
              <w:rPr>
                <w:rFonts w:cs="Calibri"/>
                <w:b w:val="0"/>
                <w:i/>
                <w:iCs/>
                <w:color w:val="000000"/>
                <w:sz w:val="20"/>
                <w:szCs w:val="20"/>
                <w:lang w:val="en-US"/>
              </w:rPr>
              <w:t xml:space="preserve"> </w:t>
            </w:r>
            <w:r w:rsidRPr="00B936EF">
              <w:rPr>
                <w:rFonts w:cs="Calibri"/>
                <w:b w:val="0"/>
                <w:i/>
                <w:iCs/>
                <w:color w:val="000000"/>
                <w:sz w:val="20"/>
                <w:szCs w:val="20"/>
              </w:rPr>
              <w:t>գոտու</w:t>
            </w:r>
            <w:r w:rsidRPr="00B936EF">
              <w:rPr>
                <w:rFonts w:cs="Calibri"/>
                <w:b w:val="0"/>
                <w:i/>
                <w:iCs/>
                <w:color w:val="000000"/>
                <w:sz w:val="20"/>
                <w:szCs w:val="20"/>
                <w:lang w:val="en-US"/>
              </w:rPr>
              <w:t xml:space="preserve"> </w:t>
            </w:r>
            <w:r w:rsidRPr="00B936EF">
              <w:rPr>
                <w:rFonts w:cs="Calibri"/>
                <w:b w:val="0"/>
                <w:i/>
                <w:iCs/>
                <w:color w:val="000000"/>
                <w:sz w:val="20"/>
                <w:szCs w:val="20"/>
              </w:rPr>
              <w:t>կազմակերպչին</w:t>
            </w:r>
            <w:r w:rsidRPr="00B936EF">
              <w:rPr>
                <w:rFonts w:cs="Calibri"/>
                <w:b w:val="0"/>
                <w:i/>
                <w:iCs/>
                <w:color w:val="000000"/>
                <w:sz w:val="20"/>
                <w:szCs w:val="20"/>
                <w:lang w:val="en-US"/>
              </w:rPr>
              <w:t xml:space="preserve"> </w:t>
            </w:r>
            <w:r w:rsidRPr="00B936EF">
              <w:rPr>
                <w:rFonts w:cs="Calibri"/>
                <w:b w:val="0"/>
                <w:i/>
                <w:iCs/>
                <w:color w:val="000000"/>
                <w:sz w:val="20"/>
                <w:szCs w:val="20"/>
              </w:rPr>
              <w:t>և</w:t>
            </w:r>
            <w:r w:rsidRPr="00B936EF">
              <w:rPr>
                <w:rFonts w:cs="Calibri"/>
                <w:b w:val="0"/>
                <w:i/>
                <w:iCs/>
                <w:color w:val="000000"/>
                <w:sz w:val="20"/>
                <w:szCs w:val="20"/>
                <w:lang w:val="en-US"/>
              </w:rPr>
              <w:t xml:space="preserve"> </w:t>
            </w:r>
            <w:r w:rsidRPr="00B936EF">
              <w:rPr>
                <w:rFonts w:cs="Calibri"/>
                <w:b w:val="0"/>
                <w:i/>
                <w:iCs/>
                <w:color w:val="000000"/>
                <w:sz w:val="20"/>
                <w:szCs w:val="20"/>
              </w:rPr>
              <w:t>ազատ</w:t>
            </w:r>
            <w:r w:rsidRPr="00B936EF">
              <w:rPr>
                <w:rFonts w:cs="Calibri"/>
                <w:b w:val="0"/>
                <w:i/>
                <w:iCs/>
                <w:color w:val="000000"/>
                <w:sz w:val="20"/>
                <w:szCs w:val="20"/>
                <w:lang w:val="en-US"/>
              </w:rPr>
              <w:t xml:space="preserve"> </w:t>
            </w:r>
            <w:r w:rsidRPr="00B936EF">
              <w:rPr>
                <w:rFonts w:cs="Calibri"/>
                <w:b w:val="0"/>
                <w:i/>
                <w:iCs/>
                <w:color w:val="000000"/>
                <w:sz w:val="20"/>
                <w:szCs w:val="20"/>
              </w:rPr>
              <w:t>տնտեսական</w:t>
            </w:r>
            <w:r w:rsidRPr="00B936EF">
              <w:rPr>
                <w:rFonts w:cs="Calibri"/>
                <w:b w:val="0"/>
                <w:i/>
                <w:iCs/>
                <w:color w:val="000000"/>
                <w:sz w:val="20"/>
                <w:szCs w:val="20"/>
                <w:lang w:val="en-US"/>
              </w:rPr>
              <w:t xml:space="preserve"> </w:t>
            </w:r>
            <w:r w:rsidRPr="00B936EF">
              <w:rPr>
                <w:rFonts w:cs="Calibri"/>
                <w:b w:val="0"/>
                <w:i/>
                <w:iCs/>
                <w:color w:val="000000"/>
                <w:sz w:val="20"/>
                <w:szCs w:val="20"/>
              </w:rPr>
              <w:t>գոտու</w:t>
            </w:r>
            <w:r w:rsidRPr="00B936EF">
              <w:rPr>
                <w:rFonts w:cs="Calibri"/>
                <w:b w:val="0"/>
                <w:i/>
                <w:iCs/>
                <w:color w:val="000000"/>
                <w:sz w:val="20"/>
                <w:szCs w:val="20"/>
                <w:lang w:val="en-US"/>
              </w:rPr>
              <w:t xml:space="preserve"> </w:t>
            </w:r>
            <w:r w:rsidRPr="00B936EF">
              <w:rPr>
                <w:rFonts w:cs="Calibri"/>
                <w:b w:val="0"/>
                <w:i/>
                <w:iCs/>
                <w:color w:val="000000"/>
                <w:sz w:val="20"/>
                <w:szCs w:val="20"/>
              </w:rPr>
              <w:t>շահագործողին</w:t>
            </w:r>
            <w:r w:rsidRPr="00B936EF">
              <w:rPr>
                <w:rFonts w:cs="Calibri"/>
                <w:b w:val="0"/>
                <w:i/>
                <w:iCs/>
                <w:color w:val="000000"/>
                <w:sz w:val="20"/>
                <w:szCs w:val="20"/>
                <w:lang w:val="en-US"/>
              </w:rPr>
              <w:t xml:space="preserve"> </w:t>
            </w:r>
            <w:r w:rsidRPr="00B936EF">
              <w:rPr>
                <w:rFonts w:cs="Calibri"/>
                <w:b w:val="0"/>
                <w:i/>
                <w:iCs/>
                <w:color w:val="000000"/>
                <w:sz w:val="20"/>
                <w:szCs w:val="20"/>
              </w:rPr>
              <w:t>ծառայությունների</w:t>
            </w:r>
            <w:r w:rsidRPr="00B936EF">
              <w:rPr>
                <w:rFonts w:cs="Calibri"/>
                <w:b w:val="0"/>
                <w:i/>
                <w:iCs/>
                <w:color w:val="000000"/>
                <w:sz w:val="20"/>
                <w:szCs w:val="20"/>
                <w:lang w:val="en-US"/>
              </w:rPr>
              <w:t xml:space="preserve"> </w:t>
            </w:r>
            <w:r w:rsidRPr="00B936EF">
              <w:rPr>
                <w:rFonts w:cs="Calibri"/>
                <w:b w:val="0"/>
                <w:i/>
                <w:iCs/>
                <w:color w:val="000000"/>
                <w:sz w:val="20"/>
                <w:szCs w:val="20"/>
              </w:rPr>
              <w:t>մատուցումը</w:t>
            </w:r>
            <w:r w:rsidRPr="00B936EF">
              <w:rPr>
                <w:rFonts w:cs="Calibri"/>
                <w:b w:val="0"/>
                <w:i/>
                <w:iCs/>
                <w:color w:val="000000"/>
                <w:sz w:val="20"/>
                <w:szCs w:val="20"/>
                <w:lang w:val="en-US"/>
              </w:rPr>
              <w:t xml:space="preserve">, </w:t>
            </w:r>
            <w:r w:rsidRPr="00B936EF">
              <w:rPr>
                <w:rFonts w:cs="Calibri"/>
                <w:b w:val="0"/>
                <w:i/>
                <w:iCs/>
                <w:color w:val="000000"/>
                <w:sz w:val="20"/>
                <w:szCs w:val="20"/>
              </w:rPr>
              <w:t>ազատ</w:t>
            </w:r>
            <w:r w:rsidRPr="00B936EF">
              <w:rPr>
                <w:rFonts w:cs="Calibri"/>
                <w:b w:val="0"/>
                <w:i/>
                <w:iCs/>
                <w:color w:val="000000"/>
                <w:sz w:val="20"/>
                <w:szCs w:val="20"/>
                <w:lang w:val="en-US"/>
              </w:rPr>
              <w:t xml:space="preserve"> </w:t>
            </w:r>
            <w:r w:rsidRPr="00B936EF">
              <w:rPr>
                <w:rFonts w:cs="Calibri"/>
                <w:b w:val="0"/>
                <w:i/>
                <w:iCs/>
                <w:color w:val="000000"/>
                <w:sz w:val="20"/>
                <w:szCs w:val="20"/>
              </w:rPr>
              <w:t>տնտեսական</w:t>
            </w:r>
            <w:r w:rsidRPr="00B936EF">
              <w:rPr>
                <w:rFonts w:cs="Calibri"/>
                <w:b w:val="0"/>
                <w:i/>
                <w:iCs/>
                <w:color w:val="000000"/>
                <w:sz w:val="20"/>
                <w:szCs w:val="20"/>
                <w:lang w:val="en-US"/>
              </w:rPr>
              <w:t xml:space="preserve"> </w:t>
            </w:r>
            <w:r w:rsidRPr="00B936EF">
              <w:rPr>
                <w:rFonts w:cs="Calibri"/>
                <w:b w:val="0"/>
                <w:i/>
                <w:iCs/>
                <w:color w:val="000000"/>
                <w:sz w:val="20"/>
                <w:szCs w:val="20"/>
              </w:rPr>
              <w:t>գոտու</w:t>
            </w:r>
            <w:r w:rsidRPr="00B936EF">
              <w:rPr>
                <w:rFonts w:cs="Calibri"/>
                <w:b w:val="0"/>
                <w:i/>
                <w:iCs/>
                <w:color w:val="000000"/>
                <w:sz w:val="20"/>
                <w:szCs w:val="20"/>
                <w:lang w:val="en-US"/>
              </w:rPr>
              <w:t xml:space="preserve"> </w:t>
            </w:r>
            <w:r w:rsidRPr="00B936EF">
              <w:rPr>
                <w:rFonts w:cs="Calibri"/>
                <w:b w:val="0"/>
                <w:i/>
                <w:iCs/>
                <w:color w:val="000000"/>
                <w:sz w:val="20"/>
                <w:szCs w:val="20"/>
              </w:rPr>
              <w:t>կազմակերպչի</w:t>
            </w:r>
            <w:r w:rsidRPr="00B936EF">
              <w:rPr>
                <w:rFonts w:cs="Calibri"/>
                <w:b w:val="0"/>
                <w:i/>
                <w:iCs/>
                <w:color w:val="000000"/>
                <w:sz w:val="20"/>
                <w:szCs w:val="20"/>
                <w:lang w:val="en-US"/>
              </w:rPr>
              <w:t xml:space="preserve"> </w:t>
            </w:r>
            <w:r w:rsidRPr="00B936EF">
              <w:rPr>
                <w:rFonts w:cs="Calibri"/>
                <w:b w:val="0"/>
                <w:i/>
                <w:iCs/>
                <w:color w:val="000000"/>
                <w:sz w:val="20"/>
                <w:szCs w:val="20"/>
              </w:rPr>
              <w:t>և</w:t>
            </w:r>
            <w:r w:rsidRPr="00B936EF">
              <w:rPr>
                <w:rFonts w:cs="Calibri"/>
                <w:b w:val="0"/>
                <w:i/>
                <w:iCs/>
                <w:color w:val="000000"/>
                <w:sz w:val="20"/>
                <w:szCs w:val="20"/>
                <w:lang w:val="en-US"/>
              </w:rPr>
              <w:t xml:space="preserve"> </w:t>
            </w:r>
            <w:r w:rsidRPr="00B936EF">
              <w:rPr>
                <w:rFonts w:cs="Calibri"/>
                <w:b w:val="0"/>
                <w:i/>
                <w:iCs/>
                <w:color w:val="000000"/>
                <w:sz w:val="20"/>
                <w:szCs w:val="20"/>
              </w:rPr>
              <w:t>ազատ</w:t>
            </w:r>
            <w:r w:rsidRPr="00B936EF">
              <w:rPr>
                <w:rFonts w:cs="Calibri"/>
                <w:b w:val="0"/>
                <w:i/>
                <w:iCs/>
                <w:color w:val="000000"/>
                <w:sz w:val="20"/>
                <w:szCs w:val="20"/>
                <w:lang w:val="en-US"/>
              </w:rPr>
              <w:t xml:space="preserve"> </w:t>
            </w:r>
            <w:r w:rsidRPr="00B936EF">
              <w:rPr>
                <w:rFonts w:cs="Calibri"/>
                <w:b w:val="0"/>
                <w:i/>
                <w:iCs/>
                <w:color w:val="000000"/>
                <w:sz w:val="20"/>
                <w:szCs w:val="20"/>
              </w:rPr>
              <w:t>տնտեսական</w:t>
            </w:r>
            <w:r w:rsidRPr="00B936EF">
              <w:rPr>
                <w:rFonts w:cs="Calibri"/>
                <w:b w:val="0"/>
                <w:i/>
                <w:iCs/>
                <w:color w:val="000000"/>
                <w:sz w:val="20"/>
                <w:szCs w:val="20"/>
                <w:lang w:val="en-US"/>
              </w:rPr>
              <w:t xml:space="preserve"> </w:t>
            </w:r>
            <w:r w:rsidRPr="00B936EF">
              <w:rPr>
                <w:rFonts w:cs="Calibri"/>
                <w:b w:val="0"/>
                <w:i/>
                <w:iCs/>
                <w:color w:val="000000"/>
                <w:sz w:val="20"/>
                <w:szCs w:val="20"/>
              </w:rPr>
              <w:t>գոտու</w:t>
            </w:r>
            <w:r w:rsidRPr="00B936EF">
              <w:rPr>
                <w:rFonts w:cs="Calibri"/>
                <w:b w:val="0"/>
                <w:i/>
                <w:iCs/>
                <w:color w:val="000000"/>
                <w:sz w:val="20"/>
                <w:szCs w:val="20"/>
                <w:lang w:val="en-US"/>
              </w:rPr>
              <w:t xml:space="preserve"> </w:t>
            </w:r>
            <w:r w:rsidRPr="00B936EF">
              <w:rPr>
                <w:rFonts w:cs="Calibri"/>
                <w:b w:val="0"/>
                <w:i/>
                <w:iCs/>
                <w:color w:val="000000"/>
                <w:sz w:val="20"/>
                <w:szCs w:val="20"/>
              </w:rPr>
              <w:t>շահագործողի</w:t>
            </w:r>
            <w:r w:rsidRPr="00B936EF">
              <w:rPr>
                <w:rFonts w:cs="Calibri"/>
                <w:b w:val="0"/>
                <w:i/>
                <w:iCs/>
                <w:color w:val="000000"/>
                <w:sz w:val="20"/>
                <w:szCs w:val="20"/>
                <w:lang w:val="en-US"/>
              </w:rPr>
              <w:t xml:space="preserve"> </w:t>
            </w:r>
            <w:r w:rsidRPr="00B936EF">
              <w:rPr>
                <w:rFonts w:cs="Calibri"/>
                <w:b w:val="0"/>
                <w:i/>
                <w:iCs/>
                <w:color w:val="000000"/>
                <w:sz w:val="20"/>
                <w:szCs w:val="20"/>
              </w:rPr>
              <w:t>համար</w:t>
            </w:r>
            <w:r w:rsidRPr="00B936EF">
              <w:rPr>
                <w:rFonts w:cs="Calibri"/>
                <w:b w:val="0"/>
                <w:i/>
                <w:iCs/>
                <w:color w:val="000000"/>
                <w:sz w:val="20"/>
                <w:szCs w:val="20"/>
                <w:lang w:val="en-US"/>
              </w:rPr>
              <w:t xml:space="preserve"> </w:t>
            </w:r>
            <w:r w:rsidRPr="00B936EF">
              <w:rPr>
                <w:rFonts w:cs="Calibri"/>
                <w:b w:val="0"/>
                <w:i/>
                <w:iCs/>
                <w:color w:val="000000"/>
                <w:sz w:val="20"/>
                <w:szCs w:val="20"/>
              </w:rPr>
              <w:t>աշխատանքների</w:t>
            </w:r>
            <w:r w:rsidRPr="00B936EF">
              <w:rPr>
                <w:rFonts w:cs="Calibri"/>
                <w:b w:val="0"/>
                <w:i/>
                <w:iCs/>
                <w:color w:val="000000"/>
                <w:sz w:val="20"/>
                <w:szCs w:val="20"/>
                <w:lang w:val="en-US"/>
              </w:rPr>
              <w:t xml:space="preserve"> </w:t>
            </w:r>
            <w:r w:rsidRPr="00B936EF">
              <w:rPr>
                <w:rFonts w:cs="Calibri"/>
                <w:b w:val="0"/>
                <w:i/>
                <w:iCs/>
                <w:color w:val="000000"/>
                <w:sz w:val="20"/>
                <w:szCs w:val="20"/>
              </w:rPr>
              <w:t>կատարումը</w:t>
            </w:r>
            <w:r w:rsidRPr="00B936EF">
              <w:rPr>
                <w:rFonts w:cs="Calibri"/>
                <w:b w:val="0"/>
                <w:i/>
                <w:iCs/>
                <w:color w:val="000000"/>
                <w:sz w:val="20"/>
                <w:szCs w:val="20"/>
                <w:lang w:val="en-US"/>
              </w:rPr>
              <w:t xml:space="preserve">, </w:t>
            </w:r>
            <w:r w:rsidRPr="00B936EF">
              <w:rPr>
                <w:rFonts w:cs="Calibri"/>
                <w:b w:val="0"/>
                <w:i/>
                <w:iCs/>
                <w:color w:val="000000"/>
                <w:sz w:val="20"/>
                <w:szCs w:val="20"/>
              </w:rPr>
              <w:t>ազատ</w:t>
            </w:r>
            <w:r w:rsidRPr="00B936EF">
              <w:rPr>
                <w:rFonts w:cs="Calibri"/>
                <w:b w:val="0"/>
                <w:i/>
                <w:iCs/>
                <w:color w:val="000000"/>
                <w:sz w:val="20"/>
                <w:szCs w:val="20"/>
                <w:lang w:val="en-US"/>
              </w:rPr>
              <w:t xml:space="preserve"> </w:t>
            </w:r>
            <w:r w:rsidRPr="00B936EF">
              <w:rPr>
                <w:rFonts w:cs="Calibri"/>
                <w:b w:val="0"/>
                <w:i/>
                <w:iCs/>
                <w:color w:val="000000"/>
                <w:sz w:val="20"/>
                <w:szCs w:val="20"/>
              </w:rPr>
              <w:t>տնտեսական</w:t>
            </w:r>
            <w:r w:rsidRPr="00B936EF">
              <w:rPr>
                <w:rFonts w:cs="Calibri"/>
                <w:b w:val="0"/>
                <w:i/>
                <w:iCs/>
                <w:color w:val="000000"/>
                <w:sz w:val="20"/>
                <w:szCs w:val="20"/>
                <w:lang w:val="en-US"/>
              </w:rPr>
              <w:t xml:space="preserve"> </w:t>
            </w:r>
            <w:r w:rsidRPr="00B936EF">
              <w:rPr>
                <w:rFonts w:cs="Calibri"/>
                <w:b w:val="0"/>
                <w:i/>
                <w:iCs/>
                <w:color w:val="000000"/>
                <w:sz w:val="20"/>
                <w:szCs w:val="20"/>
              </w:rPr>
              <w:t>գոտու</w:t>
            </w:r>
            <w:r w:rsidRPr="00B936EF">
              <w:rPr>
                <w:rFonts w:cs="Calibri"/>
                <w:b w:val="0"/>
                <w:i/>
                <w:iCs/>
                <w:color w:val="000000"/>
                <w:sz w:val="20"/>
                <w:szCs w:val="20"/>
                <w:lang w:val="en-US"/>
              </w:rPr>
              <w:t xml:space="preserve"> </w:t>
            </w:r>
            <w:r w:rsidRPr="00B936EF">
              <w:rPr>
                <w:rFonts w:cs="Calibri"/>
                <w:b w:val="0"/>
                <w:i/>
                <w:iCs/>
                <w:color w:val="000000"/>
                <w:sz w:val="20"/>
                <w:szCs w:val="20"/>
              </w:rPr>
              <w:t>տարածքում</w:t>
            </w:r>
            <w:r w:rsidRPr="00B936EF">
              <w:rPr>
                <w:rFonts w:cs="Calibri"/>
                <w:b w:val="0"/>
                <w:i/>
                <w:iCs/>
                <w:color w:val="000000"/>
                <w:sz w:val="20"/>
                <w:szCs w:val="20"/>
                <w:lang w:val="en-US"/>
              </w:rPr>
              <w:t xml:space="preserve"> </w:t>
            </w:r>
            <w:r w:rsidRPr="00B936EF">
              <w:rPr>
                <w:rFonts w:cs="Calibri"/>
                <w:b w:val="0"/>
                <w:i/>
                <w:iCs/>
                <w:color w:val="000000"/>
                <w:sz w:val="20"/>
                <w:szCs w:val="20"/>
              </w:rPr>
              <w:t>ապրանքների</w:t>
            </w:r>
            <w:r w:rsidRPr="00B936EF">
              <w:rPr>
                <w:rFonts w:cs="Calibri"/>
                <w:b w:val="0"/>
                <w:i/>
                <w:iCs/>
                <w:color w:val="000000"/>
                <w:sz w:val="20"/>
                <w:szCs w:val="20"/>
                <w:lang w:val="en-US"/>
              </w:rPr>
              <w:t xml:space="preserve"> </w:t>
            </w:r>
            <w:r w:rsidRPr="00B936EF">
              <w:rPr>
                <w:rFonts w:cs="Calibri"/>
                <w:b w:val="0"/>
                <w:i/>
                <w:iCs/>
                <w:color w:val="000000"/>
                <w:sz w:val="20"/>
                <w:szCs w:val="20"/>
              </w:rPr>
              <w:t>մատակարարում</w:t>
            </w:r>
          </w:p>
        </w:tc>
        <w:tc>
          <w:tcPr>
            <w:tcW w:w="171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lang w:val="en-US"/>
              </w:rPr>
              <w:t>352</w:t>
            </w:r>
          </w:p>
        </w:tc>
        <w:tc>
          <w:tcPr>
            <w:tcW w:w="180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0.0</w:t>
            </w:r>
            <w:r w:rsidRPr="00B936EF">
              <w:rPr>
                <w:rFonts w:cs="Calibri"/>
                <w:b w:val="0"/>
                <w:bCs/>
                <w:i/>
                <w:iCs/>
                <w:color w:val="000000"/>
                <w:sz w:val="20"/>
                <w:szCs w:val="20"/>
                <w:lang w:val="en-US"/>
              </w:rPr>
              <w:t>2</w:t>
            </w:r>
            <w:r w:rsidRPr="00B936EF">
              <w:rPr>
                <w:rFonts w:cs="Calibri"/>
                <w:b w:val="0"/>
                <w:bCs/>
                <w:i/>
                <w:iCs/>
                <w:color w:val="000000"/>
                <w:sz w:val="20"/>
                <w:szCs w:val="20"/>
              </w:rPr>
              <w:t>%</w:t>
            </w:r>
          </w:p>
        </w:tc>
        <w:tc>
          <w:tcPr>
            <w:tcW w:w="1613"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0.00%</w:t>
            </w:r>
          </w:p>
        </w:tc>
      </w:tr>
      <w:tr w:rsidR="00E84267" w:rsidRPr="007955BB" w:rsidTr="00B936EF">
        <w:trPr>
          <w:trHeight w:val="917"/>
        </w:trPr>
        <w:tc>
          <w:tcPr>
            <w:tcW w:w="764"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1.13.</w:t>
            </w:r>
          </w:p>
        </w:tc>
        <w:tc>
          <w:tcPr>
            <w:tcW w:w="3780" w:type="dxa"/>
            <w:shd w:val="clear" w:color="auto" w:fill="auto"/>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Օրենսգրքով</w:t>
            </w:r>
            <w:r w:rsidRPr="00B936EF">
              <w:rPr>
                <w:rFonts w:cs="Calibri"/>
                <w:b w:val="0"/>
                <w:i/>
                <w:iCs/>
                <w:color w:val="000000"/>
                <w:sz w:val="20"/>
                <w:szCs w:val="20"/>
                <w:lang w:val="en-US"/>
              </w:rPr>
              <w:t xml:space="preserve"> </w:t>
            </w:r>
            <w:r w:rsidRPr="00B936EF">
              <w:rPr>
                <w:rFonts w:cs="Calibri"/>
                <w:b w:val="0"/>
                <w:i/>
                <w:iCs/>
                <w:color w:val="000000"/>
                <w:sz w:val="20"/>
                <w:szCs w:val="20"/>
              </w:rPr>
              <w:t>սահմանված</w:t>
            </w:r>
            <w:r w:rsidRPr="00B936EF">
              <w:rPr>
                <w:rFonts w:cs="Calibri"/>
                <w:b w:val="0"/>
                <w:i/>
                <w:iCs/>
                <w:color w:val="000000"/>
                <w:sz w:val="20"/>
                <w:szCs w:val="20"/>
                <w:lang w:val="en-US"/>
              </w:rPr>
              <w:t xml:space="preserve"> </w:t>
            </w:r>
            <w:r w:rsidRPr="00B936EF">
              <w:rPr>
                <w:rFonts w:cs="Calibri"/>
                <w:b w:val="0"/>
                <w:i/>
                <w:iCs/>
                <w:color w:val="000000"/>
                <w:sz w:val="20"/>
                <w:szCs w:val="20"/>
              </w:rPr>
              <w:t>վերը</w:t>
            </w:r>
            <w:r w:rsidRPr="00B936EF">
              <w:rPr>
                <w:rFonts w:cs="Calibri"/>
                <w:b w:val="0"/>
                <w:i/>
                <w:iCs/>
                <w:color w:val="000000"/>
                <w:sz w:val="20"/>
                <w:szCs w:val="20"/>
                <w:lang w:val="en-US"/>
              </w:rPr>
              <w:t xml:space="preserve"> </w:t>
            </w:r>
            <w:r w:rsidRPr="00B936EF">
              <w:rPr>
                <w:rFonts w:cs="Calibri"/>
                <w:b w:val="0"/>
                <w:i/>
                <w:iCs/>
                <w:color w:val="000000"/>
                <w:sz w:val="20"/>
                <w:szCs w:val="20"/>
              </w:rPr>
              <w:t>չնշված</w:t>
            </w:r>
            <w:r w:rsidRPr="00B936EF">
              <w:rPr>
                <w:rFonts w:cs="Calibri"/>
                <w:b w:val="0"/>
                <w:i/>
                <w:iCs/>
                <w:color w:val="000000"/>
                <w:sz w:val="20"/>
                <w:szCs w:val="20"/>
                <w:lang w:val="en-US"/>
              </w:rPr>
              <w:t xml:space="preserve"> </w:t>
            </w:r>
            <w:r w:rsidRPr="00B936EF">
              <w:rPr>
                <w:rFonts w:cs="Calibri"/>
                <w:b w:val="0"/>
                <w:i/>
                <w:iCs/>
                <w:color w:val="000000"/>
                <w:sz w:val="20"/>
                <w:szCs w:val="20"/>
              </w:rPr>
              <w:t>այլ</w:t>
            </w:r>
            <w:r w:rsidRPr="00B936EF">
              <w:rPr>
                <w:rFonts w:cs="Calibri"/>
                <w:b w:val="0"/>
                <w:i/>
                <w:iCs/>
                <w:color w:val="000000"/>
                <w:sz w:val="20"/>
                <w:szCs w:val="20"/>
                <w:lang w:val="en-US"/>
              </w:rPr>
              <w:t xml:space="preserve"> </w:t>
            </w:r>
            <w:r w:rsidRPr="00B936EF">
              <w:rPr>
                <w:rFonts w:cs="Calibri"/>
                <w:b w:val="0"/>
                <w:i/>
                <w:iCs/>
                <w:color w:val="000000"/>
                <w:sz w:val="20"/>
                <w:szCs w:val="20"/>
              </w:rPr>
              <w:t>արտոնություններ</w:t>
            </w:r>
          </w:p>
        </w:tc>
        <w:tc>
          <w:tcPr>
            <w:tcW w:w="171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rPr>
              <w:t>4,436</w:t>
            </w:r>
          </w:p>
        </w:tc>
        <w:tc>
          <w:tcPr>
            <w:tcW w:w="180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0.20%</w:t>
            </w:r>
          </w:p>
        </w:tc>
        <w:tc>
          <w:tcPr>
            <w:tcW w:w="1613"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0.05%</w:t>
            </w:r>
          </w:p>
        </w:tc>
      </w:tr>
      <w:tr w:rsidR="00E84267" w:rsidRPr="007955BB" w:rsidTr="00B936EF">
        <w:trPr>
          <w:trHeight w:val="795"/>
        </w:trPr>
        <w:tc>
          <w:tcPr>
            <w:tcW w:w="764"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1.14.</w:t>
            </w:r>
          </w:p>
        </w:tc>
        <w:tc>
          <w:tcPr>
            <w:tcW w:w="3780" w:type="dxa"/>
            <w:shd w:val="clear" w:color="auto" w:fill="DEEAF6"/>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այլ օրենքներով տրված արտանություններ</w:t>
            </w:r>
          </w:p>
        </w:tc>
        <w:tc>
          <w:tcPr>
            <w:tcW w:w="171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lang w:val="en-US"/>
              </w:rPr>
              <w:t>2,961</w:t>
            </w:r>
          </w:p>
        </w:tc>
        <w:tc>
          <w:tcPr>
            <w:tcW w:w="180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0.13%</w:t>
            </w:r>
          </w:p>
        </w:tc>
        <w:tc>
          <w:tcPr>
            <w:tcW w:w="1613"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0.03%</w:t>
            </w:r>
          </w:p>
        </w:tc>
      </w:tr>
      <w:tr w:rsidR="00E84267" w:rsidRPr="007955BB" w:rsidTr="00B936EF">
        <w:trPr>
          <w:trHeight w:val="429"/>
        </w:trPr>
        <w:tc>
          <w:tcPr>
            <w:tcW w:w="764"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1.15.</w:t>
            </w:r>
          </w:p>
        </w:tc>
        <w:tc>
          <w:tcPr>
            <w:tcW w:w="3780" w:type="dxa"/>
            <w:shd w:val="clear" w:color="auto" w:fill="auto"/>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Միկրոբիզնես</w:t>
            </w:r>
          </w:p>
        </w:tc>
        <w:tc>
          <w:tcPr>
            <w:tcW w:w="171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lang w:val="en-US"/>
              </w:rPr>
              <w:t>18,836</w:t>
            </w:r>
          </w:p>
        </w:tc>
        <w:tc>
          <w:tcPr>
            <w:tcW w:w="180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0.85%</w:t>
            </w:r>
          </w:p>
        </w:tc>
        <w:tc>
          <w:tcPr>
            <w:tcW w:w="1613"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0.20%</w:t>
            </w:r>
          </w:p>
        </w:tc>
      </w:tr>
      <w:tr w:rsidR="00E84267" w:rsidRPr="007955BB" w:rsidTr="00B936EF">
        <w:trPr>
          <w:trHeight w:val="408"/>
        </w:trPr>
        <w:tc>
          <w:tcPr>
            <w:tcW w:w="764" w:type="dxa"/>
            <w:shd w:val="clear" w:color="auto" w:fill="DEEAF6"/>
            <w:vAlign w:val="center"/>
          </w:tcPr>
          <w:p w:rsidR="00E84267" w:rsidRPr="00B936EF" w:rsidRDefault="00E84267" w:rsidP="00E84267">
            <w:pPr>
              <w:spacing w:before="0" w:line="276" w:lineRule="auto"/>
              <w:ind w:firstLine="0"/>
              <w:contextualSpacing w:val="0"/>
              <w:jc w:val="center"/>
              <w:rPr>
                <w:rFonts w:cs="Calibri"/>
                <w:i/>
                <w:iCs/>
                <w:color w:val="000000"/>
                <w:sz w:val="20"/>
                <w:szCs w:val="20"/>
                <w:lang w:val="en-US" w:eastAsia="en-US"/>
              </w:rPr>
            </w:pPr>
            <w:r w:rsidRPr="00B936EF">
              <w:rPr>
                <w:rFonts w:cs="Calibri"/>
                <w:bCs/>
                <w:color w:val="000000"/>
                <w:sz w:val="20"/>
                <w:szCs w:val="20"/>
              </w:rPr>
              <w:t>2</w:t>
            </w:r>
          </w:p>
        </w:tc>
        <w:tc>
          <w:tcPr>
            <w:tcW w:w="3780" w:type="dxa"/>
            <w:shd w:val="clear" w:color="auto" w:fill="DEEAF6"/>
            <w:vAlign w:val="center"/>
          </w:tcPr>
          <w:p w:rsidR="00E84267" w:rsidRPr="00B936EF" w:rsidRDefault="00E84267" w:rsidP="00E84267">
            <w:pPr>
              <w:spacing w:before="0" w:line="276" w:lineRule="auto"/>
              <w:ind w:firstLine="0"/>
              <w:contextualSpacing w:val="0"/>
              <w:jc w:val="left"/>
              <w:rPr>
                <w:rFonts w:cs="Calibri"/>
                <w:i/>
                <w:iCs/>
                <w:color w:val="000000"/>
                <w:sz w:val="20"/>
                <w:szCs w:val="20"/>
                <w:lang w:val="en-US" w:eastAsia="en-US"/>
              </w:rPr>
            </w:pPr>
            <w:r w:rsidRPr="00B936EF">
              <w:rPr>
                <w:rFonts w:cs="Calibri"/>
                <w:bCs/>
                <w:color w:val="000000"/>
                <w:sz w:val="20"/>
                <w:szCs w:val="20"/>
              </w:rPr>
              <w:t>Շահութահարկի գծով, այդ թվում`</w:t>
            </w:r>
          </w:p>
        </w:tc>
        <w:tc>
          <w:tcPr>
            <w:tcW w:w="1710" w:type="dxa"/>
            <w:shd w:val="clear" w:color="auto" w:fill="DEEAF6"/>
            <w:vAlign w:val="center"/>
          </w:tcPr>
          <w:p w:rsidR="00E84267" w:rsidRPr="00B936EF" w:rsidRDefault="00E84267" w:rsidP="00E84267">
            <w:pPr>
              <w:spacing w:before="0" w:line="276" w:lineRule="auto"/>
              <w:ind w:firstLine="0"/>
              <w:contextualSpacing w:val="0"/>
              <w:jc w:val="center"/>
              <w:rPr>
                <w:rFonts w:cs="Calibri"/>
                <w:color w:val="000000"/>
                <w:sz w:val="20"/>
                <w:szCs w:val="20"/>
                <w:lang w:val="en-US" w:eastAsia="en-US"/>
              </w:rPr>
            </w:pPr>
            <w:r w:rsidRPr="00B936EF">
              <w:rPr>
                <w:rFonts w:cs="Calibri"/>
                <w:bCs/>
                <w:color w:val="000000"/>
                <w:sz w:val="20"/>
                <w:szCs w:val="20"/>
                <w:lang w:val="en-US"/>
              </w:rPr>
              <w:t>81,464</w:t>
            </w:r>
          </w:p>
        </w:tc>
        <w:tc>
          <w:tcPr>
            <w:tcW w:w="1800" w:type="dxa"/>
            <w:shd w:val="clear" w:color="auto" w:fill="DEEAF6"/>
            <w:vAlign w:val="center"/>
          </w:tcPr>
          <w:p w:rsidR="00E84267" w:rsidRPr="00B936EF" w:rsidRDefault="00E84267" w:rsidP="00E84267">
            <w:pPr>
              <w:spacing w:before="0" w:line="276" w:lineRule="auto"/>
              <w:ind w:firstLine="0"/>
              <w:contextualSpacing w:val="0"/>
              <w:jc w:val="center"/>
              <w:rPr>
                <w:rFonts w:cs="Calibri"/>
                <w:i/>
                <w:iCs/>
                <w:color w:val="000000"/>
                <w:sz w:val="20"/>
                <w:szCs w:val="20"/>
                <w:lang w:val="en-US" w:eastAsia="en-US"/>
              </w:rPr>
            </w:pPr>
            <w:r w:rsidRPr="00B936EF">
              <w:rPr>
                <w:rFonts w:cs="Calibri"/>
                <w:bCs/>
                <w:i/>
                <w:iCs/>
                <w:color w:val="000000"/>
                <w:sz w:val="20"/>
                <w:szCs w:val="20"/>
              </w:rPr>
              <w:t>3.70%</w:t>
            </w:r>
          </w:p>
        </w:tc>
        <w:tc>
          <w:tcPr>
            <w:tcW w:w="1613" w:type="dxa"/>
            <w:shd w:val="clear" w:color="auto" w:fill="DEEAF6"/>
            <w:vAlign w:val="center"/>
          </w:tcPr>
          <w:p w:rsidR="00E84267" w:rsidRPr="00B936EF" w:rsidRDefault="00E84267" w:rsidP="00E84267">
            <w:pPr>
              <w:spacing w:before="0" w:line="276" w:lineRule="auto"/>
              <w:ind w:firstLine="0"/>
              <w:contextualSpacing w:val="0"/>
              <w:jc w:val="center"/>
              <w:rPr>
                <w:rFonts w:cs="Calibri"/>
                <w:i/>
                <w:iCs/>
                <w:color w:val="000000"/>
                <w:sz w:val="20"/>
                <w:szCs w:val="20"/>
                <w:lang w:val="en-US" w:eastAsia="en-US"/>
              </w:rPr>
            </w:pPr>
            <w:r w:rsidRPr="00B936EF">
              <w:rPr>
                <w:rFonts w:cs="Calibri"/>
                <w:bCs/>
                <w:i/>
                <w:iCs/>
                <w:color w:val="000000"/>
                <w:sz w:val="20"/>
                <w:szCs w:val="20"/>
              </w:rPr>
              <w:t>0.87%</w:t>
            </w:r>
          </w:p>
        </w:tc>
      </w:tr>
      <w:tr w:rsidR="00E84267" w:rsidRPr="007955BB" w:rsidTr="00B936EF">
        <w:trPr>
          <w:trHeight w:val="795"/>
        </w:trPr>
        <w:tc>
          <w:tcPr>
            <w:tcW w:w="764"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bCs/>
                <w:color w:val="000000"/>
                <w:sz w:val="20"/>
                <w:szCs w:val="20"/>
                <w:lang w:val="en-US" w:eastAsia="en-US"/>
              </w:rPr>
            </w:pPr>
            <w:r w:rsidRPr="00B936EF">
              <w:rPr>
                <w:rFonts w:cs="Calibri"/>
                <w:b w:val="0"/>
                <w:i/>
                <w:iCs/>
                <w:color w:val="000000"/>
                <w:sz w:val="20"/>
                <w:szCs w:val="20"/>
              </w:rPr>
              <w:t>2.1.</w:t>
            </w:r>
          </w:p>
        </w:tc>
        <w:tc>
          <w:tcPr>
            <w:tcW w:w="3780" w:type="dxa"/>
            <w:shd w:val="clear" w:color="auto" w:fill="auto"/>
            <w:vAlign w:val="center"/>
          </w:tcPr>
          <w:p w:rsidR="00E84267" w:rsidRPr="00B936EF" w:rsidRDefault="00E84267" w:rsidP="00E84267">
            <w:pPr>
              <w:spacing w:before="0" w:line="276" w:lineRule="auto"/>
              <w:ind w:firstLine="0"/>
              <w:contextualSpacing w:val="0"/>
              <w:jc w:val="left"/>
              <w:rPr>
                <w:rFonts w:cs="Calibri"/>
                <w:b w:val="0"/>
                <w:bCs/>
                <w:color w:val="000000"/>
                <w:sz w:val="20"/>
                <w:szCs w:val="20"/>
                <w:lang w:val="en-US" w:eastAsia="en-US"/>
              </w:rPr>
            </w:pPr>
            <w:r w:rsidRPr="00B936EF">
              <w:rPr>
                <w:rFonts w:cs="Calibri"/>
                <w:b w:val="0"/>
                <w:i/>
                <w:iCs/>
                <w:color w:val="000000"/>
                <w:sz w:val="20"/>
                <w:szCs w:val="20"/>
              </w:rPr>
              <w:t>գյուղատնտեսություն, այդ թվում՝</w:t>
            </w:r>
          </w:p>
        </w:tc>
        <w:tc>
          <w:tcPr>
            <w:tcW w:w="171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bCs/>
                <w:color w:val="000000"/>
                <w:sz w:val="20"/>
                <w:szCs w:val="20"/>
                <w:lang w:val="en-US" w:eastAsia="en-US"/>
              </w:rPr>
            </w:pPr>
            <w:r w:rsidRPr="00B936EF">
              <w:rPr>
                <w:rFonts w:cs="Calibri"/>
                <w:b w:val="0"/>
                <w:color w:val="000000"/>
                <w:sz w:val="20"/>
                <w:szCs w:val="20"/>
                <w:lang w:val="en-US"/>
              </w:rPr>
              <w:t>45,684</w:t>
            </w:r>
          </w:p>
        </w:tc>
        <w:tc>
          <w:tcPr>
            <w:tcW w:w="180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bCs/>
                <w:i/>
                <w:iCs/>
                <w:color w:val="000000"/>
                <w:sz w:val="20"/>
                <w:szCs w:val="20"/>
                <w:lang w:val="en-US" w:eastAsia="en-US"/>
              </w:rPr>
            </w:pPr>
            <w:r w:rsidRPr="00B936EF">
              <w:rPr>
                <w:rFonts w:cs="Calibri"/>
                <w:b w:val="0"/>
                <w:bCs/>
                <w:i/>
                <w:iCs/>
                <w:color w:val="000000"/>
                <w:sz w:val="20"/>
                <w:szCs w:val="20"/>
              </w:rPr>
              <w:t>2.07%</w:t>
            </w:r>
          </w:p>
        </w:tc>
        <w:tc>
          <w:tcPr>
            <w:tcW w:w="1613"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bCs/>
                <w:i/>
                <w:iCs/>
                <w:color w:val="000000"/>
                <w:sz w:val="20"/>
                <w:szCs w:val="20"/>
                <w:lang w:val="en-US" w:eastAsia="en-US"/>
              </w:rPr>
            </w:pPr>
            <w:r w:rsidRPr="00B936EF">
              <w:rPr>
                <w:rFonts w:cs="Calibri"/>
                <w:b w:val="0"/>
                <w:bCs/>
                <w:i/>
                <w:iCs/>
                <w:color w:val="000000"/>
                <w:sz w:val="20"/>
                <w:szCs w:val="20"/>
              </w:rPr>
              <w:t>0.49%</w:t>
            </w:r>
          </w:p>
        </w:tc>
      </w:tr>
      <w:tr w:rsidR="00E84267" w:rsidRPr="007955BB" w:rsidTr="00B936EF">
        <w:trPr>
          <w:trHeight w:val="795"/>
        </w:trPr>
        <w:tc>
          <w:tcPr>
            <w:tcW w:w="764"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2.1.1.</w:t>
            </w:r>
          </w:p>
        </w:tc>
        <w:tc>
          <w:tcPr>
            <w:tcW w:w="3780" w:type="dxa"/>
            <w:shd w:val="clear" w:color="auto" w:fill="DEEAF6"/>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կազմակերպությունների շահույթից</w:t>
            </w:r>
          </w:p>
        </w:tc>
        <w:tc>
          <w:tcPr>
            <w:tcW w:w="171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rPr>
              <w:t>2,748</w:t>
            </w:r>
          </w:p>
        </w:tc>
        <w:tc>
          <w:tcPr>
            <w:tcW w:w="180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0.12%</w:t>
            </w:r>
          </w:p>
        </w:tc>
        <w:tc>
          <w:tcPr>
            <w:tcW w:w="1613"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0.0</w:t>
            </w:r>
            <w:r w:rsidRPr="00B936EF">
              <w:rPr>
                <w:rFonts w:cs="Calibri"/>
                <w:b w:val="0"/>
                <w:bCs/>
                <w:i/>
                <w:iCs/>
                <w:color w:val="000000"/>
                <w:sz w:val="20"/>
                <w:szCs w:val="20"/>
                <w:lang w:val="en-US"/>
              </w:rPr>
              <w:t>3</w:t>
            </w:r>
            <w:r w:rsidRPr="00B936EF">
              <w:rPr>
                <w:rFonts w:cs="Calibri"/>
                <w:b w:val="0"/>
                <w:bCs/>
                <w:i/>
                <w:iCs/>
                <w:color w:val="000000"/>
                <w:sz w:val="20"/>
                <w:szCs w:val="20"/>
              </w:rPr>
              <w:t>%</w:t>
            </w:r>
          </w:p>
        </w:tc>
      </w:tr>
      <w:tr w:rsidR="00E84267" w:rsidRPr="007955BB" w:rsidTr="00B936EF">
        <w:trPr>
          <w:trHeight w:val="656"/>
        </w:trPr>
        <w:tc>
          <w:tcPr>
            <w:tcW w:w="764"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2.1.2.</w:t>
            </w:r>
          </w:p>
        </w:tc>
        <w:tc>
          <w:tcPr>
            <w:tcW w:w="3780" w:type="dxa"/>
            <w:shd w:val="clear" w:color="auto" w:fill="auto"/>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Ա</w:t>
            </w:r>
            <w:r w:rsidRPr="00B936EF">
              <w:rPr>
                <w:rFonts w:cs="Calibri"/>
                <w:b w:val="0"/>
                <w:i/>
                <w:iCs/>
                <w:color w:val="000000"/>
                <w:sz w:val="20"/>
                <w:szCs w:val="20"/>
                <w:lang w:val="en-US"/>
              </w:rPr>
              <w:t>/</w:t>
            </w:r>
            <w:r w:rsidRPr="00B936EF">
              <w:rPr>
                <w:rFonts w:cs="Calibri"/>
                <w:b w:val="0"/>
                <w:i/>
                <w:iCs/>
                <w:color w:val="000000"/>
                <w:sz w:val="20"/>
                <w:szCs w:val="20"/>
              </w:rPr>
              <w:t>Ձ</w:t>
            </w:r>
            <w:r w:rsidRPr="00B936EF">
              <w:rPr>
                <w:rFonts w:cs="Calibri"/>
                <w:b w:val="0"/>
                <w:i/>
                <w:iCs/>
                <w:color w:val="000000"/>
                <w:sz w:val="20"/>
                <w:szCs w:val="20"/>
                <w:lang w:val="en-US"/>
              </w:rPr>
              <w:t>-</w:t>
            </w:r>
            <w:r w:rsidRPr="00B936EF">
              <w:rPr>
                <w:rFonts w:cs="Calibri"/>
                <w:b w:val="0"/>
                <w:i/>
                <w:iCs/>
                <w:color w:val="000000"/>
                <w:sz w:val="20"/>
                <w:szCs w:val="20"/>
              </w:rPr>
              <w:t>ների</w:t>
            </w:r>
            <w:r w:rsidRPr="00B936EF">
              <w:rPr>
                <w:rFonts w:cs="Calibri"/>
                <w:b w:val="0"/>
                <w:i/>
                <w:iCs/>
                <w:color w:val="000000"/>
                <w:sz w:val="20"/>
                <w:szCs w:val="20"/>
                <w:lang w:val="en-US"/>
              </w:rPr>
              <w:t xml:space="preserve"> (</w:t>
            </w:r>
            <w:r w:rsidRPr="00B936EF">
              <w:rPr>
                <w:rFonts w:cs="Calibri"/>
                <w:b w:val="0"/>
                <w:i/>
                <w:iCs/>
                <w:color w:val="000000"/>
                <w:sz w:val="20"/>
                <w:szCs w:val="20"/>
              </w:rPr>
              <w:t>ֆիզիկական</w:t>
            </w:r>
            <w:r w:rsidRPr="00B936EF">
              <w:rPr>
                <w:rFonts w:cs="Calibri"/>
                <w:b w:val="0"/>
                <w:i/>
                <w:iCs/>
                <w:color w:val="000000"/>
                <w:sz w:val="20"/>
                <w:szCs w:val="20"/>
                <w:lang w:val="en-US"/>
              </w:rPr>
              <w:t xml:space="preserve"> </w:t>
            </w:r>
            <w:r w:rsidRPr="00B936EF">
              <w:rPr>
                <w:rFonts w:cs="Calibri"/>
                <w:b w:val="0"/>
                <w:i/>
                <w:iCs/>
                <w:color w:val="000000"/>
                <w:sz w:val="20"/>
                <w:szCs w:val="20"/>
              </w:rPr>
              <w:t>անձանց</w:t>
            </w:r>
            <w:r w:rsidRPr="00B936EF">
              <w:rPr>
                <w:rFonts w:cs="Calibri"/>
                <w:b w:val="0"/>
                <w:i/>
                <w:iCs/>
                <w:color w:val="000000"/>
                <w:sz w:val="20"/>
                <w:szCs w:val="20"/>
                <w:lang w:val="en-US"/>
              </w:rPr>
              <w:t xml:space="preserve">) </w:t>
            </w:r>
            <w:r w:rsidRPr="00B936EF">
              <w:rPr>
                <w:rFonts w:cs="Calibri"/>
                <w:b w:val="0"/>
                <w:i/>
                <w:iCs/>
                <w:color w:val="000000"/>
                <w:sz w:val="20"/>
                <w:szCs w:val="20"/>
              </w:rPr>
              <w:t>շահույթից</w:t>
            </w:r>
          </w:p>
        </w:tc>
        <w:tc>
          <w:tcPr>
            <w:tcW w:w="171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rPr>
              <w:t>4</w:t>
            </w:r>
            <w:r w:rsidRPr="00B936EF">
              <w:rPr>
                <w:rFonts w:cs="Calibri"/>
                <w:b w:val="0"/>
                <w:color w:val="000000"/>
                <w:sz w:val="20"/>
                <w:szCs w:val="20"/>
                <w:lang w:val="en-US"/>
              </w:rPr>
              <w:t>2</w:t>
            </w:r>
            <w:r w:rsidRPr="00B936EF">
              <w:rPr>
                <w:rFonts w:cs="Calibri"/>
                <w:b w:val="0"/>
                <w:color w:val="000000"/>
                <w:sz w:val="20"/>
                <w:szCs w:val="20"/>
              </w:rPr>
              <w:t>,936</w:t>
            </w:r>
          </w:p>
        </w:tc>
        <w:tc>
          <w:tcPr>
            <w:tcW w:w="180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1.95%</w:t>
            </w:r>
          </w:p>
        </w:tc>
        <w:tc>
          <w:tcPr>
            <w:tcW w:w="1613"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0.46%</w:t>
            </w:r>
          </w:p>
        </w:tc>
      </w:tr>
      <w:tr w:rsidR="00E84267" w:rsidRPr="007955BB" w:rsidTr="00B936EF">
        <w:trPr>
          <w:trHeight w:val="795"/>
        </w:trPr>
        <w:tc>
          <w:tcPr>
            <w:tcW w:w="764"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2.2.</w:t>
            </w:r>
          </w:p>
        </w:tc>
        <w:tc>
          <w:tcPr>
            <w:tcW w:w="3780" w:type="dxa"/>
            <w:shd w:val="clear" w:color="auto" w:fill="DEEAF6"/>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հարկվող</w:t>
            </w:r>
            <w:r w:rsidRPr="00B936EF">
              <w:rPr>
                <w:rFonts w:cs="Calibri"/>
                <w:b w:val="0"/>
                <w:i/>
                <w:iCs/>
                <w:color w:val="000000"/>
                <w:sz w:val="20"/>
                <w:szCs w:val="20"/>
                <w:lang w:val="en-US"/>
              </w:rPr>
              <w:t xml:space="preserve"> </w:t>
            </w:r>
            <w:r w:rsidRPr="00B936EF">
              <w:rPr>
                <w:rFonts w:cs="Calibri"/>
                <w:b w:val="0"/>
                <w:i/>
                <w:iCs/>
                <w:color w:val="000000"/>
                <w:sz w:val="20"/>
                <w:szCs w:val="20"/>
              </w:rPr>
              <w:t>շահույթի</w:t>
            </w:r>
            <w:r w:rsidRPr="00B936EF">
              <w:rPr>
                <w:rFonts w:cs="Calibri"/>
                <w:b w:val="0"/>
                <w:i/>
                <w:iCs/>
                <w:color w:val="000000"/>
                <w:sz w:val="20"/>
                <w:szCs w:val="20"/>
                <w:lang w:val="en-US"/>
              </w:rPr>
              <w:t xml:space="preserve"> </w:t>
            </w:r>
            <w:r w:rsidRPr="00B936EF">
              <w:rPr>
                <w:rFonts w:cs="Calibri"/>
                <w:b w:val="0"/>
                <w:i/>
                <w:iCs/>
                <w:color w:val="000000"/>
                <w:sz w:val="20"/>
                <w:szCs w:val="20"/>
              </w:rPr>
              <w:t>նվազեցման</w:t>
            </w:r>
            <w:r w:rsidRPr="00B936EF">
              <w:rPr>
                <w:rFonts w:cs="Calibri"/>
                <w:b w:val="0"/>
                <w:i/>
                <w:iCs/>
                <w:color w:val="000000"/>
                <w:sz w:val="20"/>
                <w:szCs w:val="20"/>
                <w:lang w:val="en-US"/>
              </w:rPr>
              <w:t xml:space="preserve"> </w:t>
            </w:r>
            <w:r w:rsidRPr="00B936EF">
              <w:rPr>
                <w:rFonts w:cs="Calibri"/>
                <w:b w:val="0"/>
                <w:i/>
                <w:iCs/>
                <w:color w:val="000000"/>
                <w:sz w:val="20"/>
                <w:szCs w:val="20"/>
              </w:rPr>
              <w:t>արտոնություններ</w:t>
            </w:r>
            <w:r w:rsidRPr="00B936EF">
              <w:rPr>
                <w:rFonts w:cs="Calibri"/>
                <w:b w:val="0"/>
                <w:i/>
                <w:iCs/>
                <w:color w:val="000000"/>
                <w:sz w:val="20"/>
                <w:szCs w:val="20"/>
                <w:lang w:val="en-US"/>
              </w:rPr>
              <w:t xml:space="preserve">, </w:t>
            </w:r>
            <w:r w:rsidRPr="00B936EF">
              <w:rPr>
                <w:rFonts w:cs="Calibri"/>
                <w:b w:val="0"/>
                <w:i/>
                <w:iCs/>
                <w:color w:val="000000"/>
                <w:sz w:val="20"/>
                <w:szCs w:val="20"/>
              </w:rPr>
              <w:t>բացառությամբ՝</w:t>
            </w:r>
            <w:r w:rsidRPr="00B936EF">
              <w:rPr>
                <w:rFonts w:cs="Calibri"/>
                <w:b w:val="0"/>
                <w:i/>
                <w:iCs/>
                <w:color w:val="000000"/>
                <w:sz w:val="20"/>
                <w:szCs w:val="20"/>
                <w:lang w:val="en-US"/>
              </w:rPr>
              <w:t xml:space="preserve"> </w:t>
            </w:r>
            <w:r w:rsidRPr="00B936EF">
              <w:rPr>
                <w:rFonts w:cs="Calibri"/>
                <w:b w:val="0"/>
                <w:i/>
                <w:iCs/>
                <w:color w:val="000000"/>
                <w:sz w:val="20"/>
                <w:szCs w:val="20"/>
              </w:rPr>
              <w:t>գյուղատնտեսության</w:t>
            </w:r>
          </w:p>
        </w:tc>
        <w:tc>
          <w:tcPr>
            <w:tcW w:w="171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rPr>
              <w:t>5,431</w:t>
            </w:r>
          </w:p>
        </w:tc>
        <w:tc>
          <w:tcPr>
            <w:tcW w:w="180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0.25%</w:t>
            </w:r>
          </w:p>
        </w:tc>
        <w:tc>
          <w:tcPr>
            <w:tcW w:w="1613"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0.06%</w:t>
            </w:r>
          </w:p>
        </w:tc>
      </w:tr>
      <w:tr w:rsidR="00E84267" w:rsidRPr="007955BB" w:rsidTr="00B936EF">
        <w:trPr>
          <w:trHeight w:val="791"/>
        </w:trPr>
        <w:tc>
          <w:tcPr>
            <w:tcW w:w="764"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2.3.</w:t>
            </w:r>
          </w:p>
        </w:tc>
        <w:tc>
          <w:tcPr>
            <w:tcW w:w="3780" w:type="dxa"/>
            <w:shd w:val="clear" w:color="auto" w:fill="auto"/>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շահութահարկի նվազեցման արտոնություններ</w:t>
            </w:r>
          </w:p>
        </w:tc>
        <w:tc>
          <w:tcPr>
            <w:tcW w:w="171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rPr>
              <w:t>56</w:t>
            </w:r>
          </w:p>
        </w:tc>
        <w:tc>
          <w:tcPr>
            <w:tcW w:w="180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0.00%</w:t>
            </w:r>
          </w:p>
        </w:tc>
        <w:tc>
          <w:tcPr>
            <w:tcW w:w="1613"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0.00%</w:t>
            </w:r>
          </w:p>
        </w:tc>
      </w:tr>
      <w:tr w:rsidR="00E84267" w:rsidRPr="007955BB" w:rsidTr="00B936EF">
        <w:trPr>
          <w:trHeight w:val="449"/>
        </w:trPr>
        <w:tc>
          <w:tcPr>
            <w:tcW w:w="764"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2.4.</w:t>
            </w:r>
          </w:p>
        </w:tc>
        <w:tc>
          <w:tcPr>
            <w:tcW w:w="3780" w:type="dxa"/>
            <w:shd w:val="clear" w:color="auto" w:fill="DEEAF6"/>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ԱԱՀ-ի շեմ</w:t>
            </w:r>
          </w:p>
        </w:tc>
        <w:tc>
          <w:tcPr>
            <w:tcW w:w="171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rPr>
              <w:t>21,750</w:t>
            </w:r>
          </w:p>
        </w:tc>
        <w:tc>
          <w:tcPr>
            <w:tcW w:w="180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0.9</w:t>
            </w:r>
            <w:r w:rsidRPr="00B936EF">
              <w:rPr>
                <w:rFonts w:cs="Calibri"/>
                <w:b w:val="0"/>
                <w:bCs/>
                <w:i/>
                <w:iCs/>
                <w:color w:val="000000"/>
                <w:sz w:val="20"/>
                <w:szCs w:val="20"/>
                <w:lang w:val="en-US"/>
              </w:rPr>
              <w:t>9</w:t>
            </w:r>
            <w:r w:rsidRPr="00B936EF">
              <w:rPr>
                <w:rFonts w:cs="Calibri"/>
                <w:b w:val="0"/>
                <w:bCs/>
                <w:i/>
                <w:iCs/>
                <w:color w:val="000000"/>
                <w:sz w:val="20"/>
                <w:szCs w:val="20"/>
              </w:rPr>
              <w:t>%</w:t>
            </w:r>
          </w:p>
        </w:tc>
        <w:tc>
          <w:tcPr>
            <w:tcW w:w="1613"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0.2</w:t>
            </w:r>
            <w:r w:rsidRPr="00B936EF">
              <w:rPr>
                <w:rFonts w:cs="Calibri"/>
                <w:b w:val="0"/>
                <w:bCs/>
                <w:i/>
                <w:iCs/>
                <w:color w:val="000000"/>
                <w:sz w:val="20"/>
                <w:szCs w:val="20"/>
                <w:lang w:val="en-US"/>
              </w:rPr>
              <w:t>3</w:t>
            </w:r>
            <w:r w:rsidRPr="00B936EF">
              <w:rPr>
                <w:rFonts w:cs="Calibri"/>
                <w:b w:val="0"/>
                <w:bCs/>
                <w:i/>
                <w:iCs/>
                <w:color w:val="000000"/>
                <w:sz w:val="20"/>
                <w:szCs w:val="20"/>
              </w:rPr>
              <w:t>%</w:t>
            </w:r>
          </w:p>
        </w:tc>
      </w:tr>
      <w:tr w:rsidR="00E84267" w:rsidRPr="007955BB" w:rsidTr="00B936EF">
        <w:trPr>
          <w:trHeight w:val="427"/>
        </w:trPr>
        <w:tc>
          <w:tcPr>
            <w:tcW w:w="764"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2.5.</w:t>
            </w:r>
          </w:p>
        </w:tc>
        <w:tc>
          <w:tcPr>
            <w:tcW w:w="3780" w:type="dxa"/>
            <w:shd w:val="clear" w:color="auto" w:fill="auto"/>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Միկրոբիզնես</w:t>
            </w:r>
          </w:p>
        </w:tc>
        <w:tc>
          <w:tcPr>
            <w:tcW w:w="171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lang w:val="en-US"/>
              </w:rPr>
              <w:t>6,781</w:t>
            </w:r>
          </w:p>
        </w:tc>
        <w:tc>
          <w:tcPr>
            <w:tcW w:w="180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0.31%</w:t>
            </w:r>
          </w:p>
        </w:tc>
        <w:tc>
          <w:tcPr>
            <w:tcW w:w="1613"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0.07%</w:t>
            </w:r>
          </w:p>
        </w:tc>
      </w:tr>
      <w:tr w:rsidR="00E84267" w:rsidRPr="007955BB" w:rsidTr="00B936EF">
        <w:trPr>
          <w:trHeight w:val="438"/>
        </w:trPr>
        <w:tc>
          <w:tcPr>
            <w:tcW w:w="764"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2.6.</w:t>
            </w:r>
          </w:p>
        </w:tc>
        <w:tc>
          <w:tcPr>
            <w:tcW w:w="3780" w:type="dxa"/>
            <w:shd w:val="clear" w:color="auto" w:fill="DEEAF6"/>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ՏՏ ոլորտի արտոնություններ</w:t>
            </w:r>
          </w:p>
        </w:tc>
        <w:tc>
          <w:tcPr>
            <w:tcW w:w="171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rPr>
              <w:t>1,761</w:t>
            </w:r>
          </w:p>
        </w:tc>
        <w:tc>
          <w:tcPr>
            <w:tcW w:w="180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0.08%</w:t>
            </w:r>
          </w:p>
        </w:tc>
        <w:tc>
          <w:tcPr>
            <w:tcW w:w="1613"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0.02%</w:t>
            </w:r>
          </w:p>
        </w:tc>
      </w:tr>
      <w:tr w:rsidR="00E84267" w:rsidRPr="007955BB" w:rsidTr="00B936EF">
        <w:trPr>
          <w:trHeight w:val="795"/>
        </w:trPr>
        <w:tc>
          <w:tcPr>
            <w:tcW w:w="764" w:type="dxa"/>
            <w:shd w:val="clear" w:color="auto" w:fill="auto"/>
            <w:vAlign w:val="center"/>
          </w:tcPr>
          <w:p w:rsidR="00E84267" w:rsidRPr="00B936EF" w:rsidRDefault="00E84267" w:rsidP="00E84267">
            <w:pPr>
              <w:spacing w:before="0" w:line="276" w:lineRule="auto"/>
              <w:ind w:firstLine="0"/>
              <w:contextualSpacing w:val="0"/>
              <w:jc w:val="center"/>
              <w:rPr>
                <w:rFonts w:cs="Calibri"/>
                <w:bCs/>
                <w:color w:val="000000"/>
                <w:sz w:val="20"/>
                <w:szCs w:val="20"/>
                <w:lang w:val="en-US" w:eastAsia="en-US"/>
              </w:rPr>
            </w:pPr>
            <w:r w:rsidRPr="00B936EF">
              <w:rPr>
                <w:rFonts w:cs="Calibri"/>
                <w:bCs/>
                <w:color w:val="000000"/>
                <w:sz w:val="20"/>
                <w:szCs w:val="20"/>
              </w:rPr>
              <w:t>3</w:t>
            </w:r>
          </w:p>
        </w:tc>
        <w:tc>
          <w:tcPr>
            <w:tcW w:w="3780" w:type="dxa"/>
            <w:shd w:val="clear" w:color="auto" w:fill="auto"/>
            <w:vAlign w:val="center"/>
          </w:tcPr>
          <w:p w:rsidR="00E84267" w:rsidRPr="00B936EF" w:rsidRDefault="00E84267" w:rsidP="00E84267">
            <w:pPr>
              <w:spacing w:before="0" w:line="276" w:lineRule="auto"/>
              <w:ind w:firstLine="0"/>
              <w:contextualSpacing w:val="0"/>
              <w:jc w:val="left"/>
              <w:rPr>
                <w:rFonts w:cs="Calibri"/>
                <w:bCs/>
                <w:color w:val="000000"/>
                <w:sz w:val="20"/>
                <w:szCs w:val="20"/>
                <w:lang w:val="en-US" w:eastAsia="en-US"/>
              </w:rPr>
            </w:pPr>
            <w:r w:rsidRPr="00B936EF">
              <w:rPr>
                <w:rFonts w:cs="Calibri"/>
                <w:bCs/>
                <w:color w:val="000000"/>
                <w:sz w:val="20"/>
                <w:szCs w:val="20"/>
              </w:rPr>
              <w:t>Եկամտային</w:t>
            </w:r>
            <w:r w:rsidRPr="00B936EF">
              <w:rPr>
                <w:rFonts w:cs="Calibri"/>
                <w:bCs/>
                <w:color w:val="000000"/>
                <w:sz w:val="20"/>
                <w:szCs w:val="20"/>
                <w:lang w:val="en-US"/>
              </w:rPr>
              <w:t xml:space="preserve"> </w:t>
            </w:r>
            <w:r w:rsidRPr="00B936EF">
              <w:rPr>
                <w:rFonts w:cs="Calibri"/>
                <w:bCs/>
                <w:color w:val="000000"/>
                <w:sz w:val="20"/>
                <w:szCs w:val="20"/>
              </w:rPr>
              <w:t>հարկի</w:t>
            </w:r>
            <w:r w:rsidRPr="00B936EF">
              <w:rPr>
                <w:rFonts w:cs="Calibri"/>
                <w:bCs/>
                <w:color w:val="000000"/>
                <w:sz w:val="20"/>
                <w:szCs w:val="20"/>
                <w:lang w:val="en-US"/>
              </w:rPr>
              <w:t xml:space="preserve"> </w:t>
            </w:r>
            <w:r w:rsidRPr="00B936EF">
              <w:rPr>
                <w:rFonts w:cs="Calibri"/>
                <w:bCs/>
                <w:color w:val="000000"/>
                <w:sz w:val="20"/>
                <w:szCs w:val="20"/>
              </w:rPr>
              <w:t>գծով</w:t>
            </w:r>
            <w:r w:rsidRPr="00B936EF">
              <w:rPr>
                <w:rFonts w:cs="Calibri"/>
                <w:bCs/>
                <w:color w:val="000000"/>
                <w:sz w:val="20"/>
                <w:szCs w:val="20"/>
                <w:lang w:val="en-US"/>
              </w:rPr>
              <w:t xml:space="preserve">, </w:t>
            </w:r>
            <w:r w:rsidRPr="00B936EF">
              <w:rPr>
                <w:rFonts w:cs="Calibri"/>
                <w:bCs/>
                <w:color w:val="000000"/>
                <w:sz w:val="20"/>
                <w:szCs w:val="20"/>
              </w:rPr>
              <w:t>այդ</w:t>
            </w:r>
            <w:r w:rsidRPr="00B936EF">
              <w:rPr>
                <w:rFonts w:cs="Calibri"/>
                <w:bCs/>
                <w:color w:val="000000"/>
                <w:sz w:val="20"/>
                <w:szCs w:val="20"/>
                <w:lang w:val="en-US"/>
              </w:rPr>
              <w:t xml:space="preserve"> </w:t>
            </w:r>
            <w:r w:rsidRPr="00B936EF">
              <w:rPr>
                <w:rFonts w:cs="Calibri"/>
                <w:bCs/>
                <w:color w:val="000000"/>
                <w:sz w:val="20"/>
                <w:szCs w:val="20"/>
              </w:rPr>
              <w:t>թվում</w:t>
            </w:r>
            <w:r w:rsidRPr="00B936EF">
              <w:rPr>
                <w:rFonts w:cs="Calibri"/>
                <w:bCs/>
                <w:color w:val="000000"/>
                <w:sz w:val="20"/>
                <w:szCs w:val="20"/>
                <w:lang w:val="en-US"/>
              </w:rPr>
              <w:t>`</w:t>
            </w:r>
          </w:p>
        </w:tc>
        <w:tc>
          <w:tcPr>
            <w:tcW w:w="1710" w:type="dxa"/>
            <w:shd w:val="clear" w:color="auto" w:fill="auto"/>
            <w:vAlign w:val="center"/>
          </w:tcPr>
          <w:p w:rsidR="00E84267" w:rsidRPr="00B936EF" w:rsidRDefault="00E84267" w:rsidP="00E84267">
            <w:pPr>
              <w:spacing w:before="0" w:line="276" w:lineRule="auto"/>
              <w:ind w:firstLine="0"/>
              <w:contextualSpacing w:val="0"/>
              <w:jc w:val="center"/>
              <w:rPr>
                <w:rFonts w:cs="Calibri"/>
                <w:bCs/>
                <w:color w:val="000000"/>
                <w:sz w:val="20"/>
                <w:szCs w:val="20"/>
                <w:lang w:val="en-US" w:eastAsia="en-US"/>
              </w:rPr>
            </w:pPr>
            <w:r w:rsidRPr="00B936EF">
              <w:rPr>
                <w:rFonts w:cs="Calibri"/>
                <w:bCs/>
                <w:color w:val="000000"/>
                <w:sz w:val="20"/>
                <w:szCs w:val="20"/>
              </w:rPr>
              <w:t>93,365</w:t>
            </w:r>
          </w:p>
        </w:tc>
        <w:tc>
          <w:tcPr>
            <w:tcW w:w="1800" w:type="dxa"/>
            <w:shd w:val="clear" w:color="auto" w:fill="auto"/>
            <w:vAlign w:val="center"/>
          </w:tcPr>
          <w:p w:rsidR="00E84267" w:rsidRPr="00B936EF" w:rsidRDefault="00E84267" w:rsidP="00E84267">
            <w:pPr>
              <w:spacing w:before="0" w:line="276" w:lineRule="auto"/>
              <w:ind w:firstLine="0"/>
              <w:contextualSpacing w:val="0"/>
              <w:jc w:val="center"/>
              <w:rPr>
                <w:rFonts w:cs="Calibri"/>
                <w:bCs/>
                <w:i/>
                <w:iCs/>
                <w:color w:val="000000"/>
                <w:sz w:val="20"/>
                <w:szCs w:val="20"/>
                <w:lang w:val="en-US" w:eastAsia="en-US"/>
              </w:rPr>
            </w:pPr>
            <w:r w:rsidRPr="00B936EF">
              <w:rPr>
                <w:rFonts w:cs="Calibri"/>
                <w:bCs/>
                <w:i/>
                <w:iCs/>
                <w:color w:val="000000"/>
                <w:sz w:val="20"/>
                <w:szCs w:val="20"/>
              </w:rPr>
              <w:t>4.24%</w:t>
            </w:r>
          </w:p>
        </w:tc>
        <w:tc>
          <w:tcPr>
            <w:tcW w:w="1613" w:type="dxa"/>
            <w:shd w:val="clear" w:color="auto" w:fill="auto"/>
            <w:vAlign w:val="center"/>
          </w:tcPr>
          <w:p w:rsidR="00E84267" w:rsidRPr="00B936EF" w:rsidRDefault="00E84267" w:rsidP="00E84267">
            <w:pPr>
              <w:spacing w:before="0" w:line="276" w:lineRule="auto"/>
              <w:ind w:firstLine="0"/>
              <w:contextualSpacing w:val="0"/>
              <w:jc w:val="center"/>
              <w:rPr>
                <w:rFonts w:cs="Calibri"/>
                <w:bCs/>
                <w:i/>
                <w:iCs/>
                <w:color w:val="000000"/>
                <w:sz w:val="20"/>
                <w:szCs w:val="20"/>
                <w:lang w:val="en-US" w:eastAsia="en-US"/>
              </w:rPr>
            </w:pPr>
            <w:r w:rsidRPr="00B936EF">
              <w:rPr>
                <w:rFonts w:cs="Calibri"/>
                <w:bCs/>
                <w:i/>
                <w:iCs/>
                <w:color w:val="000000"/>
                <w:sz w:val="20"/>
                <w:szCs w:val="20"/>
              </w:rPr>
              <w:t>1.00%</w:t>
            </w:r>
          </w:p>
        </w:tc>
      </w:tr>
      <w:tr w:rsidR="00E84267" w:rsidRPr="007955BB" w:rsidTr="00B936EF">
        <w:trPr>
          <w:trHeight w:val="795"/>
        </w:trPr>
        <w:tc>
          <w:tcPr>
            <w:tcW w:w="764"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3.1.</w:t>
            </w:r>
          </w:p>
        </w:tc>
        <w:tc>
          <w:tcPr>
            <w:tcW w:w="3780" w:type="dxa"/>
            <w:shd w:val="clear" w:color="auto" w:fill="DEEAF6"/>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գյուղատնտեսության ոլորտի աշխատողների աշխատավարձ</w:t>
            </w:r>
          </w:p>
        </w:tc>
        <w:tc>
          <w:tcPr>
            <w:tcW w:w="171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rPr>
              <w:t>17,155</w:t>
            </w:r>
          </w:p>
        </w:tc>
        <w:tc>
          <w:tcPr>
            <w:tcW w:w="180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0.7</w:t>
            </w:r>
            <w:r w:rsidRPr="00B936EF">
              <w:rPr>
                <w:rFonts w:cs="Calibri"/>
                <w:b w:val="0"/>
                <w:bCs/>
                <w:i/>
                <w:iCs/>
                <w:color w:val="000000"/>
                <w:sz w:val="20"/>
                <w:szCs w:val="20"/>
                <w:lang w:val="en-US"/>
              </w:rPr>
              <w:t>8</w:t>
            </w:r>
            <w:r w:rsidRPr="00B936EF">
              <w:rPr>
                <w:rFonts w:cs="Calibri"/>
                <w:b w:val="0"/>
                <w:bCs/>
                <w:i/>
                <w:iCs/>
                <w:color w:val="000000"/>
                <w:sz w:val="20"/>
                <w:szCs w:val="20"/>
              </w:rPr>
              <w:t>%</w:t>
            </w:r>
          </w:p>
        </w:tc>
        <w:tc>
          <w:tcPr>
            <w:tcW w:w="1613"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0.18%</w:t>
            </w:r>
          </w:p>
        </w:tc>
      </w:tr>
      <w:tr w:rsidR="00E84267" w:rsidRPr="007955BB" w:rsidTr="00B936EF">
        <w:trPr>
          <w:trHeight w:val="467"/>
        </w:trPr>
        <w:tc>
          <w:tcPr>
            <w:tcW w:w="764"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bCs/>
                <w:color w:val="000000"/>
                <w:sz w:val="20"/>
                <w:szCs w:val="20"/>
                <w:lang w:val="en-US" w:eastAsia="en-US"/>
              </w:rPr>
            </w:pPr>
            <w:r w:rsidRPr="00B936EF">
              <w:rPr>
                <w:rFonts w:cs="Calibri"/>
                <w:b w:val="0"/>
                <w:i/>
                <w:iCs/>
                <w:color w:val="000000"/>
                <w:sz w:val="20"/>
                <w:szCs w:val="20"/>
              </w:rPr>
              <w:t>3.2.</w:t>
            </w:r>
          </w:p>
        </w:tc>
        <w:tc>
          <w:tcPr>
            <w:tcW w:w="3780" w:type="dxa"/>
            <w:shd w:val="clear" w:color="auto" w:fill="auto"/>
            <w:vAlign w:val="center"/>
          </w:tcPr>
          <w:p w:rsidR="00E84267" w:rsidRPr="00B936EF" w:rsidRDefault="00E84267" w:rsidP="00E84267">
            <w:pPr>
              <w:spacing w:before="0" w:line="276" w:lineRule="auto"/>
              <w:ind w:firstLine="0"/>
              <w:contextualSpacing w:val="0"/>
              <w:jc w:val="left"/>
              <w:rPr>
                <w:rFonts w:cs="Calibri"/>
                <w:b w:val="0"/>
                <w:bCs/>
                <w:color w:val="000000"/>
                <w:sz w:val="20"/>
                <w:szCs w:val="20"/>
                <w:lang w:val="en-US" w:eastAsia="en-US"/>
              </w:rPr>
            </w:pPr>
            <w:r w:rsidRPr="00B936EF">
              <w:rPr>
                <w:rFonts w:cs="Calibri"/>
                <w:b w:val="0"/>
                <w:i/>
                <w:iCs/>
                <w:color w:val="000000"/>
                <w:sz w:val="20"/>
                <w:szCs w:val="20"/>
              </w:rPr>
              <w:t>Միկրոբիզնես</w:t>
            </w:r>
          </w:p>
        </w:tc>
        <w:tc>
          <w:tcPr>
            <w:tcW w:w="171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bCs/>
                <w:color w:val="000000"/>
                <w:sz w:val="20"/>
                <w:szCs w:val="20"/>
                <w:lang w:val="en-US" w:eastAsia="en-US"/>
              </w:rPr>
            </w:pPr>
            <w:r w:rsidRPr="00B936EF">
              <w:rPr>
                <w:rFonts w:cs="Calibri"/>
                <w:b w:val="0"/>
                <w:color w:val="000000"/>
                <w:sz w:val="20"/>
                <w:szCs w:val="20"/>
              </w:rPr>
              <w:t>7,651</w:t>
            </w:r>
          </w:p>
        </w:tc>
        <w:tc>
          <w:tcPr>
            <w:tcW w:w="180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bCs/>
                <w:color w:val="000000"/>
                <w:sz w:val="20"/>
                <w:szCs w:val="20"/>
                <w:lang w:val="en-US" w:eastAsia="en-US"/>
              </w:rPr>
            </w:pPr>
            <w:r w:rsidRPr="00B936EF">
              <w:rPr>
                <w:rFonts w:cs="Calibri"/>
                <w:b w:val="0"/>
                <w:bCs/>
                <w:i/>
                <w:iCs/>
                <w:color w:val="000000"/>
                <w:sz w:val="20"/>
                <w:szCs w:val="20"/>
              </w:rPr>
              <w:t>0.35%</w:t>
            </w:r>
          </w:p>
        </w:tc>
        <w:tc>
          <w:tcPr>
            <w:tcW w:w="1613"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bCs/>
                <w:color w:val="000000"/>
                <w:sz w:val="20"/>
                <w:szCs w:val="20"/>
                <w:lang w:val="en-US" w:eastAsia="en-US"/>
              </w:rPr>
            </w:pPr>
            <w:r w:rsidRPr="00B936EF">
              <w:rPr>
                <w:rFonts w:cs="Calibri"/>
                <w:b w:val="0"/>
                <w:bCs/>
                <w:i/>
                <w:iCs/>
                <w:color w:val="000000"/>
                <w:sz w:val="20"/>
                <w:szCs w:val="20"/>
              </w:rPr>
              <w:t>0.08%</w:t>
            </w:r>
          </w:p>
        </w:tc>
      </w:tr>
      <w:tr w:rsidR="00E84267" w:rsidRPr="007955BB" w:rsidTr="00B936EF">
        <w:trPr>
          <w:trHeight w:val="795"/>
        </w:trPr>
        <w:tc>
          <w:tcPr>
            <w:tcW w:w="764"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3.3.</w:t>
            </w:r>
          </w:p>
        </w:tc>
        <w:tc>
          <w:tcPr>
            <w:tcW w:w="3780" w:type="dxa"/>
            <w:shd w:val="clear" w:color="auto" w:fill="DEEAF6"/>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Հիպոտեկային</w:t>
            </w:r>
            <w:r w:rsidRPr="00B936EF">
              <w:rPr>
                <w:rFonts w:cs="Calibri"/>
                <w:b w:val="0"/>
                <w:i/>
                <w:iCs/>
                <w:color w:val="000000"/>
                <w:sz w:val="20"/>
                <w:szCs w:val="20"/>
                <w:lang w:val="en-US"/>
              </w:rPr>
              <w:t xml:space="preserve"> </w:t>
            </w:r>
            <w:r w:rsidRPr="00B936EF">
              <w:rPr>
                <w:rFonts w:cs="Calibri"/>
                <w:b w:val="0"/>
                <w:i/>
                <w:iCs/>
                <w:color w:val="000000"/>
                <w:sz w:val="20"/>
                <w:szCs w:val="20"/>
              </w:rPr>
              <w:t>վարկերի</w:t>
            </w:r>
            <w:r w:rsidRPr="00B936EF">
              <w:rPr>
                <w:rFonts w:cs="Calibri"/>
                <w:b w:val="0"/>
                <w:i/>
                <w:iCs/>
                <w:color w:val="000000"/>
                <w:sz w:val="20"/>
                <w:szCs w:val="20"/>
                <w:lang w:val="en-US"/>
              </w:rPr>
              <w:t xml:space="preserve"> </w:t>
            </w:r>
            <w:r w:rsidRPr="00B936EF">
              <w:rPr>
                <w:rFonts w:cs="Calibri"/>
                <w:b w:val="0"/>
                <w:i/>
                <w:iCs/>
                <w:color w:val="000000"/>
                <w:sz w:val="20"/>
                <w:szCs w:val="20"/>
              </w:rPr>
              <w:t>տոկոսների</w:t>
            </w:r>
            <w:r w:rsidRPr="00B936EF">
              <w:rPr>
                <w:rFonts w:cs="Calibri"/>
                <w:b w:val="0"/>
                <w:i/>
                <w:iCs/>
                <w:color w:val="000000"/>
                <w:sz w:val="20"/>
                <w:szCs w:val="20"/>
                <w:lang w:val="en-US"/>
              </w:rPr>
              <w:t xml:space="preserve"> </w:t>
            </w:r>
            <w:r w:rsidRPr="00B936EF">
              <w:rPr>
                <w:rFonts w:cs="Calibri"/>
                <w:b w:val="0"/>
                <w:i/>
                <w:iCs/>
                <w:color w:val="000000"/>
                <w:sz w:val="20"/>
                <w:szCs w:val="20"/>
              </w:rPr>
              <w:t>սպասարկման</w:t>
            </w:r>
            <w:r w:rsidRPr="00B936EF">
              <w:rPr>
                <w:rFonts w:cs="Calibri"/>
                <w:b w:val="0"/>
                <w:i/>
                <w:iCs/>
                <w:color w:val="000000"/>
                <w:sz w:val="20"/>
                <w:szCs w:val="20"/>
                <w:lang w:val="en-US"/>
              </w:rPr>
              <w:t xml:space="preserve"> </w:t>
            </w:r>
            <w:r w:rsidRPr="00B936EF">
              <w:rPr>
                <w:rFonts w:cs="Calibri"/>
                <w:b w:val="0"/>
                <w:i/>
                <w:iCs/>
                <w:color w:val="000000"/>
                <w:sz w:val="20"/>
                <w:szCs w:val="20"/>
              </w:rPr>
              <w:t>համար</w:t>
            </w:r>
            <w:r w:rsidRPr="00B936EF">
              <w:rPr>
                <w:rFonts w:cs="Calibri"/>
                <w:b w:val="0"/>
                <w:i/>
                <w:iCs/>
                <w:color w:val="000000"/>
                <w:sz w:val="20"/>
                <w:szCs w:val="20"/>
                <w:lang w:val="en-US"/>
              </w:rPr>
              <w:t xml:space="preserve"> </w:t>
            </w:r>
            <w:r w:rsidRPr="00B936EF">
              <w:rPr>
                <w:rFonts w:cs="Calibri"/>
                <w:b w:val="0"/>
                <w:i/>
                <w:iCs/>
                <w:color w:val="000000"/>
                <w:sz w:val="20"/>
                <w:szCs w:val="20"/>
              </w:rPr>
              <w:t>վերադարձված</w:t>
            </w:r>
            <w:r w:rsidRPr="00B936EF">
              <w:rPr>
                <w:rFonts w:cs="Calibri"/>
                <w:b w:val="0"/>
                <w:i/>
                <w:iCs/>
                <w:color w:val="000000"/>
                <w:sz w:val="20"/>
                <w:szCs w:val="20"/>
                <w:lang w:val="en-US"/>
              </w:rPr>
              <w:t xml:space="preserve"> </w:t>
            </w:r>
            <w:r w:rsidRPr="00B936EF">
              <w:rPr>
                <w:rFonts w:cs="Calibri"/>
                <w:b w:val="0"/>
                <w:i/>
                <w:iCs/>
                <w:color w:val="000000"/>
                <w:sz w:val="20"/>
                <w:szCs w:val="20"/>
              </w:rPr>
              <w:t>եկամտային</w:t>
            </w:r>
            <w:r w:rsidRPr="00B936EF">
              <w:rPr>
                <w:rFonts w:cs="Calibri"/>
                <w:b w:val="0"/>
                <w:i/>
                <w:iCs/>
                <w:color w:val="000000"/>
                <w:sz w:val="20"/>
                <w:szCs w:val="20"/>
                <w:lang w:val="en-US"/>
              </w:rPr>
              <w:t xml:space="preserve"> </w:t>
            </w:r>
            <w:r w:rsidRPr="00B936EF">
              <w:rPr>
                <w:rFonts w:cs="Calibri"/>
                <w:b w:val="0"/>
                <w:i/>
                <w:iCs/>
                <w:color w:val="000000"/>
                <w:sz w:val="20"/>
                <w:szCs w:val="20"/>
              </w:rPr>
              <w:t>հարկ</w:t>
            </w:r>
            <w:r w:rsidRPr="00B936EF">
              <w:rPr>
                <w:rFonts w:cs="Calibri"/>
                <w:b w:val="0"/>
                <w:i/>
                <w:iCs/>
                <w:color w:val="000000"/>
                <w:sz w:val="20"/>
                <w:szCs w:val="20"/>
                <w:lang w:val="en-US"/>
              </w:rPr>
              <w:t xml:space="preserve"> </w:t>
            </w:r>
          </w:p>
        </w:tc>
        <w:tc>
          <w:tcPr>
            <w:tcW w:w="171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rPr>
              <w:t>64,115</w:t>
            </w:r>
          </w:p>
        </w:tc>
        <w:tc>
          <w:tcPr>
            <w:tcW w:w="1800"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2.91%</w:t>
            </w:r>
          </w:p>
        </w:tc>
        <w:tc>
          <w:tcPr>
            <w:tcW w:w="1613" w:type="dxa"/>
            <w:shd w:val="clear" w:color="auto" w:fill="DEEAF6"/>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0.69%</w:t>
            </w:r>
          </w:p>
        </w:tc>
      </w:tr>
      <w:tr w:rsidR="00E84267" w:rsidRPr="007955BB" w:rsidTr="00B936EF">
        <w:trPr>
          <w:trHeight w:val="504"/>
        </w:trPr>
        <w:tc>
          <w:tcPr>
            <w:tcW w:w="764"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i/>
                <w:iCs/>
                <w:color w:val="000000"/>
                <w:sz w:val="20"/>
                <w:szCs w:val="20"/>
              </w:rPr>
              <w:t>3.4.</w:t>
            </w:r>
          </w:p>
        </w:tc>
        <w:tc>
          <w:tcPr>
            <w:tcW w:w="3780" w:type="dxa"/>
            <w:shd w:val="clear" w:color="auto" w:fill="auto"/>
            <w:vAlign w:val="center"/>
          </w:tcPr>
          <w:p w:rsidR="00E84267" w:rsidRPr="00B936EF" w:rsidRDefault="00E84267" w:rsidP="00E84267">
            <w:pPr>
              <w:spacing w:before="0" w:line="276" w:lineRule="auto"/>
              <w:ind w:firstLine="0"/>
              <w:contextualSpacing w:val="0"/>
              <w:jc w:val="left"/>
              <w:rPr>
                <w:rFonts w:cs="Calibri"/>
                <w:b w:val="0"/>
                <w:i/>
                <w:iCs/>
                <w:color w:val="000000"/>
                <w:sz w:val="20"/>
                <w:szCs w:val="20"/>
                <w:lang w:val="en-US" w:eastAsia="en-US"/>
              </w:rPr>
            </w:pPr>
            <w:r w:rsidRPr="00B936EF">
              <w:rPr>
                <w:rFonts w:cs="Calibri"/>
                <w:b w:val="0"/>
                <w:i/>
                <w:iCs/>
                <w:color w:val="000000"/>
                <w:sz w:val="20"/>
                <w:szCs w:val="20"/>
              </w:rPr>
              <w:t>ՏՏ ոլորտի արտոնություններ</w:t>
            </w:r>
          </w:p>
        </w:tc>
        <w:tc>
          <w:tcPr>
            <w:tcW w:w="171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color w:val="000000"/>
                <w:sz w:val="20"/>
                <w:szCs w:val="20"/>
                <w:lang w:val="en-US" w:eastAsia="en-US"/>
              </w:rPr>
            </w:pPr>
            <w:r w:rsidRPr="00B936EF">
              <w:rPr>
                <w:rFonts w:cs="Calibri"/>
                <w:b w:val="0"/>
                <w:color w:val="000000"/>
                <w:sz w:val="20"/>
                <w:szCs w:val="20"/>
              </w:rPr>
              <w:t>4,444</w:t>
            </w:r>
          </w:p>
        </w:tc>
        <w:tc>
          <w:tcPr>
            <w:tcW w:w="1800"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0.20%</w:t>
            </w:r>
          </w:p>
        </w:tc>
        <w:tc>
          <w:tcPr>
            <w:tcW w:w="1613" w:type="dxa"/>
            <w:shd w:val="clear" w:color="auto" w:fill="auto"/>
            <w:vAlign w:val="center"/>
          </w:tcPr>
          <w:p w:rsidR="00E84267" w:rsidRPr="00B936EF" w:rsidRDefault="00E84267" w:rsidP="00E84267">
            <w:pPr>
              <w:spacing w:before="0" w:line="276" w:lineRule="auto"/>
              <w:ind w:firstLine="0"/>
              <w:contextualSpacing w:val="0"/>
              <w:jc w:val="center"/>
              <w:rPr>
                <w:rFonts w:cs="Calibri"/>
                <w:b w:val="0"/>
                <w:i/>
                <w:iCs/>
                <w:color w:val="000000"/>
                <w:sz w:val="20"/>
                <w:szCs w:val="20"/>
                <w:lang w:val="en-US" w:eastAsia="en-US"/>
              </w:rPr>
            </w:pPr>
            <w:r w:rsidRPr="00B936EF">
              <w:rPr>
                <w:rFonts w:cs="Calibri"/>
                <w:b w:val="0"/>
                <w:bCs/>
                <w:i/>
                <w:iCs/>
                <w:color w:val="000000"/>
                <w:sz w:val="20"/>
                <w:szCs w:val="20"/>
              </w:rPr>
              <w:t>0.05%</w:t>
            </w:r>
          </w:p>
        </w:tc>
      </w:tr>
      <w:tr w:rsidR="00E84267" w:rsidRPr="007955BB" w:rsidTr="00B936EF">
        <w:trPr>
          <w:trHeight w:val="375"/>
        </w:trPr>
        <w:tc>
          <w:tcPr>
            <w:tcW w:w="4544" w:type="dxa"/>
            <w:gridSpan w:val="2"/>
            <w:shd w:val="clear" w:color="auto" w:fill="5B9BD5"/>
            <w:vAlign w:val="center"/>
            <w:hideMark/>
          </w:tcPr>
          <w:p w:rsidR="00E84267" w:rsidRPr="007955BB" w:rsidRDefault="00E84267" w:rsidP="00E84267">
            <w:pPr>
              <w:spacing w:before="0" w:line="276" w:lineRule="auto"/>
              <w:ind w:firstLine="0"/>
              <w:contextualSpacing w:val="0"/>
              <w:jc w:val="center"/>
              <w:rPr>
                <w:rFonts w:cs="Calibri"/>
                <w:bCs/>
                <w:color w:val="FFFFFF"/>
                <w:szCs w:val="22"/>
                <w:lang w:val="en-US" w:eastAsia="en-US"/>
              </w:rPr>
            </w:pPr>
            <w:r w:rsidRPr="007955BB">
              <w:rPr>
                <w:rFonts w:cs="Calibri"/>
                <w:bCs/>
                <w:color w:val="FFFFFF"/>
                <w:szCs w:val="22"/>
                <w:lang w:val="en-US" w:eastAsia="en-US"/>
              </w:rPr>
              <w:t>Ընդամենը</w:t>
            </w:r>
          </w:p>
        </w:tc>
        <w:tc>
          <w:tcPr>
            <w:tcW w:w="1710" w:type="dxa"/>
            <w:shd w:val="clear" w:color="auto" w:fill="5B9BD5"/>
            <w:vAlign w:val="center"/>
            <w:hideMark/>
          </w:tcPr>
          <w:p w:rsidR="00E84267" w:rsidRPr="007955BB" w:rsidRDefault="00E84267" w:rsidP="00E84267">
            <w:pPr>
              <w:spacing w:before="0" w:line="276" w:lineRule="auto"/>
              <w:ind w:firstLine="0"/>
              <w:contextualSpacing w:val="0"/>
              <w:jc w:val="center"/>
              <w:rPr>
                <w:rFonts w:cs="Calibri"/>
                <w:bCs/>
                <w:color w:val="FFFFFF"/>
                <w:szCs w:val="22"/>
                <w:lang w:val="en-US" w:eastAsia="en-US"/>
              </w:rPr>
            </w:pPr>
            <w:r w:rsidRPr="007955BB">
              <w:rPr>
                <w:rFonts w:cs="Calibri"/>
                <w:bCs/>
                <w:color w:val="FFFFFF"/>
                <w:szCs w:val="22"/>
                <w:lang w:val="hy-AM" w:eastAsia="en-US"/>
              </w:rPr>
              <w:t>584</w:t>
            </w:r>
            <w:r w:rsidRPr="007955BB">
              <w:rPr>
                <w:rFonts w:cs="Calibri"/>
                <w:bCs/>
                <w:color w:val="FFFFFF"/>
                <w:szCs w:val="22"/>
                <w:lang w:val="en-US" w:eastAsia="en-US"/>
              </w:rPr>
              <w:t>,</w:t>
            </w:r>
            <w:r w:rsidRPr="007955BB">
              <w:rPr>
                <w:rFonts w:cs="Calibri"/>
                <w:bCs/>
                <w:color w:val="FFFFFF"/>
                <w:szCs w:val="22"/>
                <w:lang w:val="hy-AM" w:eastAsia="en-US"/>
              </w:rPr>
              <w:t>763</w:t>
            </w:r>
          </w:p>
        </w:tc>
        <w:tc>
          <w:tcPr>
            <w:tcW w:w="1800" w:type="dxa"/>
            <w:shd w:val="clear" w:color="auto" w:fill="5B9BD5"/>
            <w:vAlign w:val="center"/>
            <w:hideMark/>
          </w:tcPr>
          <w:p w:rsidR="00E84267" w:rsidRPr="007955BB" w:rsidRDefault="00E84267" w:rsidP="00E84267">
            <w:pPr>
              <w:spacing w:before="0" w:line="276" w:lineRule="auto"/>
              <w:ind w:firstLine="0"/>
              <w:contextualSpacing w:val="0"/>
              <w:jc w:val="center"/>
              <w:rPr>
                <w:rFonts w:cs="Calibri"/>
                <w:bCs/>
                <w:i/>
                <w:iCs/>
                <w:color w:val="FFFFFF"/>
                <w:szCs w:val="22"/>
                <w:lang w:val="en-US" w:eastAsia="en-US"/>
              </w:rPr>
            </w:pPr>
            <w:r w:rsidRPr="007955BB">
              <w:rPr>
                <w:rFonts w:cs="Calibri"/>
                <w:bCs/>
                <w:i/>
                <w:iCs/>
                <w:color w:val="FFFFFF"/>
                <w:szCs w:val="22"/>
                <w:lang w:val="hy-AM" w:eastAsia="en-US"/>
              </w:rPr>
              <w:t>26</w:t>
            </w:r>
            <w:r w:rsidRPr="007955BB">
              <w:rPr>
                <w:rFonts w:cs="Calibri"/>
                <w:bCs/>
                <w:i/>
                <w:iCs/>
                <w:color w:val="FFFFFF"/>
                <w:szCs w:val="22"/>
                <w:lang w:val="en-US" w:eastAsia="en-US"/>
              </w:rPr>
              <w:t>.54%</w:t>
            </w:r>
          </w:p>
        </w:tc>
        <w:tc>
          <w:tcPr>
            <w:tcW w:w="1613" w:type="dxa"/>
            <w:shd w:val="clear" w:color="auto" w:fill="5B9BD5"/>
            <w:vAlign w:val="center"/>
            <w:hideMark/>
          </w:tcPr>
          <w:p w:rsidR="00E84267" w:rsidRPr="007955BB" w:rsidRDefault="00E84267" w:rsidP="00E84267">
            <w:pPr>
              <w:spacing w:before="0" w:line="276" w:lineRule="auto"/>
              <w:ind w:firstLine="0"/>
              <w:contextualSpacing w:val="0"/>
              <w:jc w:val="center"/>
              <w:rPr>
                <w:rFonts w:cs="Calibri"/>
                <w:bCs/>
                <w:i/>
                <w:iCs/>
                <w:color w:val="FFFFFF"/>
                <w:szCs w:val="22"/>
                <w:lang w:val="en-US" w:eastAsia="en-US"/>
              </w:rPr>
            </w:pPr>
            <w:r w:rsidRPr="007955BB">
              <w:rPr>
                <w:rFonts w:cs="Calibri"/>
                <w:bCs/>
                <w:i/>
                <w:iCs/>
                <w:color w:val="FFFFFF"/>
                <w:szCs w:val="22"/>
                <w:lang w:val="hy-AM" w:eastAsia="en-US"/>
              </w:rPr>
              <w:t>6</w:t>
            </w:r>
            <w:r w:rsidRPr="007955BB">
              <w:rPr>
                <w:rFonts w:cs="Calibri"/>
                <w:bCs/>
                <w:i/>
                <w:iCs/>
                <w:color w:val="FFFFFF"/>
                <w:szCs w:val="22"/>
                <w:lang w:val="en-US" w:eastAsia="en-US"/>
              </w:rPr>
              <w:t>.28%</w:t>
            </w:r>
          </w:p>
        </w:tc>
      </w:tr>
    </w:tbl>
    <w:p w:rsidR="00E84267" w:rsidRPr="007955BB" w:rsidRDefault="00E84267" w:rsidP="00E84267">
      <w:pPr>
        <w:spacing w:line="276" w:lineRule="auto"/>
        <w:ind w:firstLine="720"/>
        <w:rPr>
          <w:szCs w:val="22"/>
        </w:rPr>
      </w:pPr>
    </w:p>
    <w:p w:rsidR="00E84267" w:rsidRPr="007955BB" w:rsidRDefault="00E84267" w:rsidP="00E84267">
      <w:pPr>
        <w:spacing w:line="276" w:lineRule="auto"/>
        <w:rPr>
          <w:b w:val="0"/>
          <w:szCs w:val="22"/>
        </w:rPr>
      </w:pPr>
      <w:r w:rsidRPr="007955BB">
        <w:rPr>
          <w:b w:val="0"/>
          <w:szCs w:val="22"/>
        </w:rPr>
        <w:t>*2022թ. գնահատված հարկային ծախսերը կազմել են 503,301 մլն. դրամ, ինչը 2022թ. պետական բյուջեի հիմքում դրված հարկային եկամուտների և անվանական ՀՆԱ-ի նկատմամբ կազմել է համապատասխանաբար` 27.30 և 6.40 տոկոս: Վերոգրյալը նշանակում է, որ նախորդ տարվա գնահատականի համեմատ հարկային եկամուտների մեջ հարկային ծախսերի կշիռը նվազել է 0.76 տոկոսային կետով, իսկ անվանական ՀՆԱ-ի մեջ հարկային ծախսերի կշիռը՝ 0.12 տոկոսային կետով:</w:t>
      </w:r>
    </w:p>
    <w:p w:rsidR="00EB778F" w:rsidRPr="007955BB" w:rsidRDefault="00EB778F" w:rsidP="00EB778F">
      <w:pPr>
        <w:spacing w:before="0" w:line="276" w:lineRule="auto"/>
        <w:ind w:firstLine="0"/>
        <w:contextualSpacing w:val="0"/>
        <w:jc w:val="center"/>
        <w:rPr>
          <w:szCs w:val="22"/>
          <w:lang w:val="en-US" w:eastAsia="en-US"/>
        </w:rPr>
      </w:pPr>
      <w:r w:rsidRPr="007955BB">
        <w:rPr>
          <w:szCs w:val="22"/>
          <w:lang w:val="en-US" w:eastAsia="en-US"/>
        </w:rPr>
        <w:t>Մեթոդաբանություն</w:t>
      </w:r>
    </w:p>
    <w:p w:rsidR="00EB778F" w:rsidRPr="007955BB" w:rsidRDefault="00EB778F" w:rsidP="00EB778F">
      <w:pPr>
        <w:spacing w:before="0" w:line="276" w:lineRule="auto"/>
        <w:ind w:firstLine="0"/>
        <w:contextualSpacing w:val="0"/>
        <w:jc w:val="center"/>
        <w:rPr>
          <w:szCs w:val="22"/>
          <w:lang w:val="en-US" w:eastAsia="en-US"/>
        </w:rPr>
      </w:pPr>
      <w:r w:rsidRPr="007955BB">
        <w:rPr>
          <w:szCs w:val="22"/>
          <w:lang w:val="en-US" w:eastAsia="en-US"/>
        </w:rPr>
        <w:t>2023 թվականի հարկային ծախսերի գնահատման</w:t>
      </w:r>
    </w:p>
    <w:p w:rsidR="00EB778F" w:rsidRPr="007955BB" w:rsidRDefault="00EB778F" w:rsidP="00EB778F">
      <w:pPr>
        <w:spacing w:before="0" w:line="276" w:lineRule="auto"/>
        <w:ind w:firstLine="0"/>
        <w:contextualSpacing w:val="0"/>
        <w:rPr>
          <w:b w:val="0"/>
          <w:szCs w:val="22"/>
          <w:lang w:val="en-US" w:eastAsia="en-US"/>
        </w:rPr>
      </w:pPr>
    </w:p>
    <w:p w:rsidR="00EB778F" w:rsidRPr="007955BB" w:rsidRDefault="00EB778F" w:rsidP="00F04DA1">
      <w:pPr>
        <w:numPr>
          <w:ilvl w:val="0"/>
          <w:numId w:val="56"/>
        </w:numPr>
        <w:tabs>
          <w:tab w:val="left" w:pos="851"/>
        </w:tabs>
        <w:spacing w:before="0" w:line="276" w:lineRule="auto"/>
        <w:ind w:left="0" w:firstLine="567"/>
        <w:contextualSpacing w:val="0"/>
        <w:jc w:val="left"/>
        <w:rPr>
          <w:i/>
          <w:szCs w:val="22"/>
          <w:lang w:val="en-US" w:eastAsia="en-US"/>
        </w:rPr>
      </w:pPr>
      <w:r w:rsidRPr="007955BB">
        <w:rPr>
          <w:rFonts w:cs="Sylfaen"/>
          <w:i/>
          <w:szCs w:val="22"/>
          <w:lang w:val="en-US" w:eastAsia="en-US"/>
        </w:rPr>
        <w:t>ԱԱՀ</w:t>
      </w:r>
      <w:r w:rsidRPr="007955BB">
        <w:rPr>
          <w:i/>
          <w:szCs w:val="22"/>
          <w:lang w:val="en-US" w:eastAsia="en-US"/>
        </w:rPr>
        <w:t>-ի գծով հարկային ծախսերը.</w:t>
      </w:r>
    </w:p>
    <w:p w:rsidR="00EB778F" w:rsidRPr="007955BB" w:rsidRDefault="00EB778F" w:rsidP="00EB778F">
      <w:pPr>
        <w:spacing w:before="0" w:line="276" w:lineRule="auto"/>
        <w:contextualSpacing w:val="0"/>
        <w:rPr>
          <w:b w:val="0"/>
          <w:szCs w:val="22"/>
          <w:lang w:val="en-US" w:eastAsia="en-US"/>
        </w:rPr>
      </w:pPr>
      <w:r w:rsidRPr="007955BB">
        <w:rPr>
          <w:b w:val="0"/>
          <w:szCs w:val="22"/>
          <w:lang w:val="en-US" w:eastAsia="en-US"/>
        </w:rPr>
        <w:t>ԱԱՀ-ի գծով հարկային ծախսերը գնահատվել են հետևյալ հիմնական ուղղություն</w:t>
      </w:r>
      <w:r w:rsidRPr="007955BB">
        <w:rPr>
          <w:b w:val="0"/>
          <w:szCs w:val="22"/>
          <w:lang w:val="en-US" w:eastAsia="en-US"/>
        </w:rPr>
        <w:softHyphen/>
        <w:t>նե</w:t>
      </w:r>
      <w:r w:rsidRPr="007955BB">
        <w:rPr>
          <w:b w:val="0"/>
          <w:szCs w:val="22"/>
          <w:lang w:val="en-US" w:eastAsia="en-US"/>
        </w:rPr>
        <w:softHyphen/>
        <w:t>րով.</w:t>
      </w:r>
    </w:p>
    <w:p w:rsidR="00EB778F" w:rsidRPr="007955BB" w:rsidRDefault="00EB778F" w:rsidP="00F04DA1">
      <w:pPr>
        <w:numPr>
          <w:ilvl w:val="0"/>
          <w:numId w:val="55"/>
        </w:numPr>
        <w:spacing w:before="0" w:line="276" w:lineRule="auto"/>
        <w:ind w:left="0"/>
        <w:contextualSpacing w:val="0"/>
        <w:jc w:val="left"/>
        <w:rPr>
          <w:b w:val="0"/>
          <w:szCs w:val="22"/>
          <w:lang w:val="en-US" w:eastAsia="en-US"/>
        </w:rPr>
      </w:pPr>
      <w:r w:rsidRPr="007955BB">
        <w:rPr>
          <w:b w:val="0"/>
          <w:szCs w:val="22"/>
          <w:lang w:val="en-US" w:eastAsia="en-US"/>
        </w:rPr>
        <w:t>գյու</w:t>
      </w:r>
      <w:r w:rsidRPr="007955BB">
        <w:rPr>
          <w:b w:val="0"/>
          <w:szCs w:val="22"/>
          <w:lang w:val="en-US" w:eastAsia="en-US"/>
        </w:rPr>
        <w:softHyphen/>
        <w:t>ղա</w:t>
      </w:r>
      <w:r w:rsidRPr="007955BB">
        <w:rPr>
          <w:b w:val="0"/>
          <w:szCs w:val="22"/>
          <w:lang w:val="en-US" w:eastAsia="en-US"/>
        </w:rPr>
        <w:softHyphen/>
        <w:t>տնտեսություն,</w:t>
      </w:r>
    </w:p>
    <w:p w:rsidR="00EB778F" w:rsidRPr="007955BB" w:rsidRDefault="00EB778F" w:rsidP="00F04DA1">
      <w:pPr>
        <w:numPr>
          <w:ilvl w:val="0"/>
          <w:numId w:val="55"/>
        </w:numPr>
        <w:spacing w:before="0" w:line="276" w:lineRule="auto"/>
        <w:ind w:left="0"/>
        <w:contextualSpacing w:val="0"/>
        <w:jc w:val="left"/>
        <w:rPr>
          <w:b w:val="0"/>
          <w:szCs w:val="22"/>
          <w:lang w:val="en-US" w:eastAsia="en-US"/>
        </w:rPr>
      </w:pPr>
      <w:r w:rsidRPr="007955BB">
        <w:rPr>
          <w:b w:val="0"/>
          <w:szCs w:val="22"/>
          <w:lang w:val="en-US" w:eastAsia="en-US"/>
        </w:rPr>
        <w:t>առողջապահություն,</w:t>
      </w:r>
    </w:p>
    <w:p w:rsidR="00EB778F" w:rsidRPr="007955BB" w:rsidRDefault="00EB778F" w:rsidP="00F04DA1">
      <w:pPr>
        <w:numPr>
          <w:ilvl w:val="0"/>
          <w:numId w:val="55"/>
        </w:numPr>
        <w:spacing w:before="0" w:line="276" w:lineRule="auto"/>
        <w:ind w:left="0"/>
        <w:contextualSpacing w:val="0"/>
        <w:jc w:val="left"/>
        <w:rPr>
          <w:b w:val="0"/>
          <w:szCs w:val="22"/>
          <w:lang w:val="en-US" w:eastAsia="en-US"/>
        </w:rPr>
      </w:pPr>
      <w:r w:rsidRPr="007955BB">
        <w:rPr>
          <w:b w:val="0"/>
          <w:szCs w:val="22"/>
          <w:lang w:val="en-US" w:eastAsia="en-US"/>
        </w:rPr>
        <w:t>կրթություն,</w:t>
      </w:r>
    </w:p>
    <w:p w:rsidR="00EB778F" w:rsidRPr="007955BB" w:rsidRDefault="00EB778F" w:rsidP="00F04DA1">
      <w:pPr>
        <w:numPr>
          <w:ilvl w:val="0"/>
          <w:numId w:val="55"/>
        </w:numPr>
        <w:spacing w:before="0" w:line="276" w:lineRule="auto"/>
        <w:ind w:left="0"/>
        <w:contextualSpacing w:val="0"/>
        <w:jc w:val="left"/>
        <w:rPr>
          <w:b w:val="0"/>
          <w:szCs w:val="22"/>
          <w:lang w:val="en-US" w:eastAsia="en-US"/>
        </w:rPr>
      </w:pPr>
      <w:r w:rsidRPr="007955BB">
        <w:rPr>
          <w:b w:val="0"/>
          <w:szCs w:val="22"/>
          <w:lang w:val="en-US" w:eastAsia="en-US"/>
        </w:rPr>
        <w:t>ֆինանսներ և ապահովագրություն,</w:t>
      </w:r>
    </w:p>
    <w:p w:rsidR="00EB778F" w:rsidRPr="007955BB" w:rsidRDefault="00EB778F" w:rsidP="00F04DA1">
      <w:pPr>
        <w:numPr>
          <w:ilvl w:val="0"/>
          <w:numId w:val="55"/>
        </w:numPr>
        <w:tabs>
          <w:tab w:val="left" w:pos="851"/>
        </w:tabs>
        <w:spacing w:before="0" w:line="276" w:lineRule="auto"/>
        <w:ind w:left="0"/>
        <w:contextualSpacing w:val="0"/>
        <w:jc w:val="left"/>
        <w:rPr>
          <w:b w:val="0"/>
          <w:szCs w:val="22"/>
          <w:lang w:val="en-US" w:eastAsia="en-US"/>
        </w:rPr>
      </w:pPr>
      <w:r w:rsidRPr="007955BB">
        <w:rPr>
          <w:b w:val="0"/>
          <w:szCs w:val="22"/>
          <w:lang w:val="en-US" w:eastAsia="en-US"/>
        </w:rPr>
        <w:t>խաղատների գործունեություն, շահումով խաղերի (այդ թվում՝ ինտերնետ շահումով խաղերի), տոտալիզատորի և ինտերնետ տոտալիզատորի կազմակերպում,</w:t>
      </w:r>
    </w:p>
    <w:p w:rsidR="00EB778F" w:rsidRPr="007955BB" w:rsidRDefault="00EB778F" w:rsidP="00F04DA1">
      <w:pPr>
        <w:numPr>
          <w:ilvl w:val="0"/>
          <w:numId w:val="55"/>
        </w:numPr>
        <w:tabs>
          <w:tab w:val="left" w:pos="851"/>
        </w:tabs>
        <w:spacing w:before="0" w:line="276" w:lineRule="auto"/>
        <w:ind w:left="0"/>
        <w:contextualSpacing w:val="0"/>
        <w:jc w:val="left"/>
        <w:rPr>
          <w:b w:val="0"/>
          <w:szCs w:val="22"/>
          <w:lang w:val="en-US" w:eastAsia="en-US"/>
        </w:rPr>
      </w:pPr>
      <w:r w:rsidRPr="007955BB">
        <w:rPr>
          <w:b w:val="0"/>
          <w:szCs w:val="22"/>
          <w:lang w:val="en-US" w:eastAsia="en-US"/>
        </w:rPr>
        <w:t>ոսկու և թանկարժեք քարերի իրացում,</w:t>
      </w:r>
    </w:p>
    <w:p w:rsidR="00EB778F" w:rsidRPr="007955BB" w:rsidRDefault="00EB778F" w:rsidP="00F04DA1">
      <w:pPr>
        <w:numPr>
          <w:ilvl w:val="0"/>
          <w:numId w:val="55"/>
        </w:numPr>
        <w:tabs>
          <w:tab w:val="left" w:pos="851"/>
        </w:tabs>
        <w:spacing w:before="0" w:line="276" w:lineRule="auto"/>
        <w:ind w:left="0"/>
        <w:contextualSpacing w:val="0"/>
        <w:jc w:val="left"/>
        <w:rPr>
          <w:b w:val="0"/>
          <w:szCs w:val="22"/>
          <w:lang w:val="en-US" w:eastAsia="en-US"/>
        </w:rPr>
      </w:pPr>
      <w:r w:rsidRPr="007955BB">
        <w:rPr>
          <w:b w:val="0"/>
          <w:szCs w:val="22"/>
          <w:lang w:val="en-US" w:eastAsia="en-US"/>
        </w:rPr>
        <w:t>մարդասիրական օգնություն,</w:t>
      </w:r>
    </w:p>
    <w:p w:rsidR="00EB778F" w:rsidRPr="007955BB" w:rsidRDefault="00EB778F" w:rsidP="00F04DA1">
      <w:pPr>
        <w:numPr>
          <w:ilvl w:val="0"/>
          <w:numId w:val="55"/>
        </w:numPr>
        <w:tabs>
          <w:tab w:val="left" w:pos="851"/>
        </w:tabs>
        <w:spacing w:before="0" w:line="276" w:lineRule="auto"/>
        <w:ind w:left="0"/>
        <w:contextualSpacing w:val="0"/>
        <w:jc w:val="left"/>
        <w:rPr>
          <w:b w:val="0"/>
          <w:szCs w:val="22"/>
          <w:lang w:val="en-US" w:eastAsia="en-US"/>
        </w:rPr>
      </w:pPr>
      <w:r w:rsidRPr="007955BB">
        <w:rPr>
          <w:b w:val="0"/>
          <w:szCs w:val="22"/>
          <w:lang w:val="en-US" w:eastAsia="en-US"/>
        </w:rPr>
        <w:t>պարարտանյութերի իրացում,</w:t>
      </w:r>
    </w:p>
    <w:p w:rsidR="00EB778F" w:rsidRPr="007955BB" w:rsidRDefault="00EB778F" w:rsidP="00F04DA1">
      <w:pPr>
        <w:numPr>
          <w:ilvl w:val="0"/>
          <w:numId w:val="55"/>
        </w:numPr>
        <w:tabs>
          <w:tab w:val="left" w:pos="851"/>
        </w:tabs>
        <w:spacing w:before="0" w:line="276" w:lineRule="auto"/>
        <w:ind w:left="0"/>
        <w:contextualSpacing w:val="0"/>
        <w:jc w:val="left"/>
        <w:rPr>
          <w:b w:val="0"/>
          <w:szCs w:val="22"/>
          <w:lang w:val="en-US" w:eastAsia="en-US"/>
        </w:rPr>
      </w:pPr>
      <w:r w:rsidRPr="007955BB">
        <w:rPr>
          <w:b w:val="0"/>
          <w:szCs w:val="22"/>
          <w:lang w:val="en-US" w:eastAsia="en-US"/>
        </w:rPr>
        <w:t>ջրօգտագործողների ընկերությունների կողմից ոռոգման ջրի օտարում,</w:t>
      </w:r>
    </w:p>
    <w:p w:rsidR="00EB778F" w:rsidRPr="007955BB" w:rsidRDefault="00EB778F" w:rsidP="00F04DA1">
      <w:pPr>
        <w:numPr>
          <w:ilvl w:val="0"/>
          <w:numId w:val="55"/>
        </w:numPr>
        <w:tabs>
          <w:tab w:val="left" w:pos="851"/>
        </w:tabs>
        <w:spacing w:before="0" w:line="276" w:lineRule="auto"/>
        <w:ind w:left="0"/>
        <w:contextualSpacing w:val="0"/>
        <w:jc w:val="left"/>
        <w:rPr>
          <w:b w:val="0"/>
          <w:szCs w:val="22"/>
          <w:lang w:val="en-US" w:eastAsia="en-US"/>
        </w:rPr>
      </w:pPr>
      <w:r w:rsidRPr="007955BB">
        <w:rPr>
          <w:b w:val="0"/>
          <w:szCs w:val="22"/>
          <w:lang w:val="en-US" w:eastAsia="en-US"/>
        </w:rPr>
        <w:t>սուբսիդիաների, սուբվենցիաների և դրամաշնորհային ծրագրերի շրջանակներում իրականացվող` ապրանքի մատակարարում, աշխատանքի կատարում և (կամ) ծառայության մատուցում,</w:t>
      </w:r>
    </w:p>
    <w:p w:rsidR="00EB778F" w:rsidRPr="007955BB" w:rsidRDefault="00EB778F" w:rsidP="00F04DA1">
      <w:pPr>
        <w:numPr>
          <w:ilvl w:val="0"/>
          <w:numId w:val="55"/>
        </w:numPr>
        <w:tabs>
          <w:tab w:val="left" w:pos="851"/>
        </w:tabs>
        <w:spacing w:before="0" w:line="276" w:lineRule="auto"/>
        <w:ind w:left="0"/>
        <w:contextualSpacing w:val="0"/>
        <w:jc w:val="left"/>
        <w:rPr>
          <w:b w:val="0"/>
          <w:szCs w:val="22"/>
          <w:lang w:val="en-US" w:eastAsia="en-US"/>
        </w:rPr>
      </w:pPr>
      <w:r w:rsidRPr="007955BB">
        <w:rPr>
          <w:b w:val="0"/>
          <w:szCs w:val="22"/>
          <w:lang w:val="en-US" w:eastAsia="en-US"/>
        </w:rPr>
        <w:t>ազատ տնտեսական գոտու կազմակերպչին և ազատ տնտեսական գոտու շահագործողին ծառայությունների մատուցում, ազատ տնտեսական գոտու կազմակերպչի և ազատ տնտեսական գոտու շահագործողի համար աշխատանքների կատարում, ազատ տնտեսական գոտու տարածքում ապրանքների մատակարարում,</w:t>
      </w:r>
    </w:p>
    <w:p w:rsidR="00EB778F" w:rsidRPr="007955BB" w:rsidRDefault="00EB778F" w:rsidP="00F04DA1">
      <w:pPr>
        <w:numPr>
          <w:ilvl w:val="0"/>
          <w:numId w:val="55"/>
        </w:numPr>
        <w:tabs>
          <w:tab w:val="left" w:pos="851"/>
        </w:tabs>
        <w:spacing w:before="0" w:line="276" w:lineRule="auto"/>
        <w:ind w:left="0"/>
        <w:contextualSpacing w:val="0"/>
        <w:jc w:val="left"/>
        <w:rPr>
          <w:b w:val="0"/>
          <w:szCs w:val="22"/>
          <w:lang w:val="en-US" w:eastAsia="en-US"/>
        </w:rPr>
      </w:pPr>
      <w:r w:rsidRPr="007955BB">
        <w:rPr>
          <w:b w:val="0"/>
          <w:szCs w:val="22"/>
          <w:lang w:val="hy-AM" w:eastAsia="en-US"/>
        </w:rPr>
        <w:t xml:space="preserve">օրենսգրքով սահմանված </w:t>
      </w:r>
      <w:r w:rsidRPr="007955BB">
        <w:rPr>
          <w:b w:val="0"/>
          <w:szCs w:val="22"/>
          <w:lang w:val="en-US" w:eastAsia="en-US"/>
        </w:rPr>
        <w:t>վերը չնշված այլ արտոնություններ</w:t>
      </w:r>
      <w:r w:rsidRPr="007955BB">
        <w:rPr>
          <w:b w:val="0"/>
          <w:szCs w:val="22"/>
          <w:lang w:val="hy-AM" w:eastAsia="en-US"/>
        </w:rPr>
        <w:t>,</w:t>
      </w:r>
    </w:p>
    <w:p w:rsidR="00EB778F" w:rsidRPr="007955BB" w:rsidRDefault="00EB778F" w:rsidP="00F04DA1">
      <w:pPr>
        <w:numPr>
          <w:ilvl w:val="0"/>
          <w:numId w:val="55"/>
        </w:numPr>
        <w:tabs>
          <w:tab w:val="left" w:pos="851"/>
        </w:tabs>
        <w:spacing w:before="0" w:line="276" w:lineRule="auto"/>
        <w:ind w:left="0"/>
        <w:contextualSpacing w:val="0"/>
        <w:jc w:val="left"/>
        <w:rPr>
          <w:b w:val="0"/>
          <w:szCs w:val="22"/>
          <w:lang w:val="en-US" w:eastAsia="en-US"/>
        </w:rPr>
      </w:pPr>
      <w:r w:rsidRPr="007955BB">
        <w:rPr>
          <w:b w:val="0"/>
          <w:szCs w:val="22"/>
          <w:lang w:val="en-US" w:eastAsia="en-US"/>
        </w:rPr>
        <w:t>այլ օրենքներով տրված արտոնություններ</w:t>
      </w:r>
      <w:r w:rsidRPr="007955BB">
        <w:rPr>
          <w:b w:val="0"/>
          <w:szCs w:val="22"/>
          <w:lang w:val="hy-AM" w:eastAsia="en-US"/>
        </w:rPr>
        <w:t>:</w:t>
      </w:r>
    </w:p>
    <w:p w:rsidR="00EB778F" w:rsidRPr="007955BB" w:rsidRDefault="00EB778F" w:rsidP="00EB778F">
      <w:pPr>
        <w:spacing w:before="0" w:line="276" w:lineRule="auto"/>
        <w:contextualSpacing w:val="0"/>
        <w:rPr>
          <w:b w:val="0"/>
          <w:szCs w:val="22"/>
          <w:lang w:val="en-US" w:eastAsia="en-US"/>
        </w:rPr>
      </w:pPr>
      <w:r w:rsidRPr="007955BB">
        <w:rPr>
          <w:b w:val="0"/>
          <w:szCs w:val="22"/>
          <w:lang w:val="en-US" w:eastAsia="en-US"/>
        </w:rPr>
        <w:t>ՀՀ ՎԿ տվյալների բազայից որոշվել են 2021 թվականի համար տնտեսության յուրա</w:t>
      </w:r>
      <w:r w:rsidRPr="007955BB">
        <w:rPr>
          <w:b w:val="0"/>
          <w:szCs w:val="22"/>
          <w:lang w:val="en-US" w:eastAsia="en-US"/>
        </w:rPr>
        <w:softHyphen/>
        <w:t>քանչյուր ոլորտի ավելացված արժեքները, որոնք նախապես ճշգրտվել են ֆինան</w:t>
      </w:r>
      <w:r w:rsidRPr="007955BB">
        <w:rPr>
          <w:b w:val="0"/>
          <w:szCs w:val="22"/>
          <w:lang w:val="en-US" w:eastAsia="en-US"/>
        </w:rPr>
        <w:softHyphen/>
        <w:t>սա</w:t>
      </w:r>
      <w:r w:rsidRPr="007955BB">
        <w:rPr>
          <w:b w:val="0"/>
          <w:szCs w:val="22"/>
          <w:lang w:val="en-US" w:eastAsia="en-US"/>
        </w:rPr>
        <w:softHyphen/>
        <w:t>կան միջնորդությունների անուղղակի չափվող ծառայությունների արժեքի չափով:</w:t>
      </w:r>
    </w:p>
    <w:p w:rsidR="00EB778F" w:rsidRPr="007955BB" w:rsidRDefault="00EB778F" w:rsidP="00EB778F">
      <w:pPr>
        <w:spacing w:before="0" w:line="276" w:lineRule="auto"/>
        <w:contextualSpacing w:val="0"/>
        <w:rPr>
          <w:b w:val="0"/>
          <w:szCs w:val="22"/>
          <w:lang w:val="en-US" w:eastAsia="en-US"/>
        </w:rPr>
      </w:pPr>
      <w:r w:rsidRPr="007955BB">
        <w:rPr>
          <w:b w:val="0"/>
          <w:szCs w:val="22"/>
          <w:lang w:val="en-US" w:eastAsia="en-US"/>
        </w:rPr>
        <w:t>Տնտեսության յուրաքանչյուր ոլորտի ավելացված արժեքները նվազեցվել են չդի</w:t>
      </w:r>
      <w:r w:rsidRPr="007955BB">
        <w:rPr>
          <w:b w:val="0"/>
          <w:szCs w:val="22"/>
          <w:lang w:val="en-US" w:eastAsia="en-US"/>
        </w:rPr>
        <w:softHyphen/>
        <w:t>տարկ</w:t>
      </w:r>
      <w:r w:rsidRPr="007955BB">
        <w:rPr>
          <w:b w:val="0"/>
          <w:szCs w:val="22"/>
          <w:lang w:val="en-US" w:eastAsia="en-US"/>
        </w:rPr>
        <w:softHyphen/>
        <w:t>վող (չհաշվառվող) տնտեսության ավելացված արժեքների մասնաբաժնի չափով:</w:t>
      </w:r>
    </w:p>
    <w:p w:rsidR="00EB778F" w:rsidRPr="007955BB" w:rsidRDefault="00EB778F" w:rsidP="00EB778F">
      <w:pPr>
        <w:spacing w:before="0" w:line="276" w:lineRule="auto"/>
        <w:contextualSpacing w:val="0"/>
        <w:rPr>
          <w:b w:val="0"/>
          <w:szCs w:val="22"/>
          <w:lang w:val="en-US" w:eastAsia="en-US"/>
        </w:rPr>
      </w:pPr>
      <w:r w:rsidRPr="007955BB">
        <w:rPr>
          <w:b w:val="0"/>
          <w:szCs w:val="22"/>
          <w:lang w:val="en-US" w:eastAsia="en-US"/>
        </w:rPr>
        <w:t>Տնտեսության արտահանելի ճյուղերի ավելացված արժեքները նվազեցվել են արտա</w:t>
      </w:r>
      <w:r w:rsidRPr="007955BB">
        <w:rPr>
          <w:b w:val="0"/>
          <w:szCs w:val="22"/>
          <w:lang w:val="en-US" w:eastAsia="en-US"/>
        </w:rPr>
        <w:softHyphen/>
      </w:r>
      <w:r w:rsidRPr="007955BB">
        <w:rPr>
          <w:b w:val="0"/>
          <w:szCs w:val="22"/>
          <w:lang w:val="en-US" w:eastAsia="en-US"/>
        </w:rPr>
        <w:softHyphen/>
      </w:r>
      <w:r w:rsidRPr="007955BB">
        <w:rPr>
          <w:b w:val="0"/>
          <w:szCs w:val="22"/>
          <w:lang w:val="en-US" w:eastAsia="en-US"/>
        </w:rPr>
        <w:softHyphen/>
        <w:t>հան</w:t>
      </w:r>
      <w:r w:rsidRPr="007955BB">
        <w:rPr>
          <w:b w:val="0"/>
          <w:szCs w:val="22"/>
          <w:lang w:val="en-US" w:eastAsia="en-US"/>
        </w:rPr>
        <w:softHyphen/>
        <w:t>ման արժեքների չափով` արտահանմանն ուղղված ճյուղերի (գյուղատնտե</w:t>
      </w:r>
      <w:r w:rsidRPr="007955BB">
        <w:rPr>
          <w:b w:val="0"/>
          <w:szCs w:val="22"/>
          <w:lang w:val="en-US" w:eastAsia="en-US"/>
        </w:rPr>
        <w:softHyphen/>
        <w:t>սու</w:t>
      </w:r>
      <w:r w:rsidRPr="007955BB">
        <w:rPr>
          <w:b w:val="0"/>
          <w:szCs w:val="22"/>
          <w:lang w:val="en-US" w:eastAsia="en-US"/>
        </w:rPr>
        <w:softHyphen/>
        <w:t>թյուն, հան</w:t>
      </w:r>
      <w:r w:rsidRPr="007955BB">
        <w:rPr>
          <w:b w:val="0"/>
          <w:szCs w:val="22"/>
          <w:lang w:val="en-US" w:eastAsia="en-US"/>
        </w:rPr>
        <w:softHyphen/>
        <w:t>ք</w:t>
      </w:r>
      <w:r w:rsidRPr="007955BB">
        <w:rPr>
          <w:b w:val="0"/>
          <w:szCs w:val="22"/>
          <w:lang w:val="en-US" w:eastAsia="en-US"/>
        </w:rPr>
        <w:softHyphen/>
        <w:t>արդյունաբերություն, մշակող արդյունաբերություն, էլեկտրաէներգետիկա, փոխա</w:t>
      </w:r>
      <w:r w:rsidRPr="007955BB">
        <w:rPr>
          <w:b w:val="0"/>
          <w:szCs w:val="22"/>
          <w:lang w:val="en-US" w:eastAsia="en-US"/>
        </w:rPr>
        <w:softHyphen/>
      </w:r>
      <w:r w:rsidRPr="007955BB">
        <w:rPr>
          <w:b w:val="0"/>
          <w:szCs w:val="22"/>
          <w:lang w:val="en-US" w:eastAsia="en-US"/>
        </w:rPr>
        <w:softHyphen/>
      </w:r>
      <w:r w:rsidRPr="007955BB">
        <w:rPr>
          <w:b w:val="0"/>
          <w:szCs w:val="22"/>
          <w:lang w:val="en-US" w:eastAsia="en-US"/>
        </w:rPr>
        <w:softHyphen/>
        <w:t>դրում</w:t>
      </w:r>
      <w:r w:rsidRPr="007955BB">
        <w:rPr>
          <w:b w:val="0"/>
          <w:szCs w:val="22"/>
          <w:lang w:val="en-US" w:eastAsia="en-US"/>
        </w:rPr>
        <w:softHyphen/>
      </w:r>
      <w:r w:rsidRPr="007955BB">
        <w:rPr>
          <w:b w:val="0"/>
          <w:szCs w:val="22"/>
          <w:lang w:val="en-US" w:eastAsia="en-US"/>
        </w:rPr>
        <w:softHyphen/>
        <w:t>ներ և պահեստային տնտեսություն, տեղեկատվություն և կապ)` ընդհանուր ավե</w:t>
      </w:r>
      <w:r w:rsidRPr="007955BB">
        <w:rPr>
          <w:b w:val="0"/>
          <w:szCs w:val="22"/>
          <w:lang w:val="en-US" w:eastAsia="en-US"/>
        </w:rPr>
        <w:softHyphen/>
      </w:r>
      <w:r w:rsidRPr="007955BB">
        <w:rPr>
          <w:b w:val="0"/>
          <w:szCs w:val="22"/>
          <w:lang w:val="en-US" w:eastAsia="en-US"/>
        </w:rPr>
        <w:softHyphen/>
      </w:r>
      <w:r w:rsidRPr="007955BB">
        <w:rPr>
          <w:b w:val="0"/>
          <w:szCs w:val="22"/>
          <w:lang w:val="en-US" w:eastAsia="en-US"/>
        </w:rPr>
        <w:softHyphen/>
        <w:t>լաց</w:t>
      </w:r>
      <w:r w:rsidRPr="007955BB">
        <w:rPr>
          <w:b w:val="0"/>
          <w:szCs w:val="22"/>
          <w:lang w:val="en-US" w:eastAsia="en-US"/>
        </w:rPr>
        <w:softHyphen/>
        <w:t>ված արժեքի մեջ ունեցած տեսակարար կշիռներին համապատասխան:</w:t>
      </w:r>
    </w:p>
    <w:p w:rsidR="00EB778F" w:rsidRPr="007955BB" w:rsidRDefault="00EB778F" w:rsidP="00EB778F">
      <w:pPr>
        <w:spacing w:before="0" w:line="276" w:lineRule="auto"/>
        <w:contextualSpacing w:val="0"/>
        <w:rPr>
          <w:b w:val="0"/>
          <w:szCs w:val="22"/>
          <w:lang w:val="en-US" w:eastAsia="en-US"/>
        </w:rPr>
      </w:pPr>
      <w:r w:rsidRPr="007955BB">
        <w:rPr>
          <w:b w:val="0"/>
          <w:szCs w:val="22"/>
          <w:lang w:val="en-US" w:eastAsia="en-US"/>
        </w:rPr>
        <w:t>Գյուղատնտեսության ոլորտի ստացված արդյունքը ճշգրտվել է գյուղատնտեսության մասնաբաժնում ապրան</w:t>
      </w:r>
      <w:r w:rsidRPr="007955BB">
        <w:rPr>
          <w:b w:val="0"/>
          <w:szCs w:val="22"/>
          <w:lang w:val="en-US" w:eastAsia="en-US"/>
        </w:rPr>
        <w:softHyphen/>
      </w:r>
      <w:r w:rsidRPr="007955BB">
        <w:rPr>
          <w:b w:val="0"/>
          <w:szCs w:val="22"/>
          <w:lang w:val="en-US" w:eastAsia="en-US"/>
        </w:rPr>
        <w:softHyphen/>
      </w:r>
      <w:r w:rsidRPr="007955BB">
        <w:rPr>
          <w:b w:val="0"/>
          <w:szCs w:val="22"/>
          <w:lang w:val="en-US" w:eastAsia="en-US"/>
        </w:rPr>
        <w:softHyphen/>
        <w:t>քայ</w:t>
      </w:r>
      <w:r w:rsidRPr="007955BB">
        <w:rPr>
          <w:b w:val="0"/>
          <w:szCs w:val="22"/>
          <w:lang w:val="en-US" w:eastAsia="en-US"/>
        </w:rPr>
        <w:softHyphen/>
        <w:t>նու</w:t>
      </w:r>
      <w:r w:rsidRPr="007955BB">
        <w:rPr>
          <w:b w:val="0"/>
          <w:szCs w:val="22"/>
          <w:lang w:val="en-US" w:eastAsia="en-US"/>
        </w:rPr>
        <w:softHyphen/>
        <w:t>թյան մակարդակով (ապրան</w:t>
      </w:r>
      <w:r w:rsidRPr="007955BB">
        <w:rPr>
          <w:b w:val="0"/>
          <w:szCs w:val="22"/>
          <w:lang w:val="en-US" w:eastAsia="en-US"/>
        </w:rPr>
        <w:softHyphen/>
        <w:t>քայ</w:t>
      </w:r>
      <w:r w:rsidRPr="007955BB">
        <w:rPr>
          <w:b w:val="0"/>
          <w:szCs w:val="22"/>
          <w:lang w:val="en-US" w:eastAsia="en-US"/>
        </w:rPr>
        <w:softHyphen/>
      </w:r>
      <w:r w:rsidRPr="007955BB">
        <w:rPr>
          <w:b w:val="0"/>
          <w:szCs w:val="22"/>
          <w:lang w:val="en-US" w:eastAsia="en-US"/>
        </w:rPr>
        <w:softHyphen/>
        <w:t>նության մակարդակը ցույց է տալիս գյու</w:t>
      </w:r>
      <w:r w:rsidRPr="007955BB">
        <w:rPr>
          <w:b w:val="0"/>
          <w:szCs w:val="22"/>
          <w:lang w:val="en-US" w:eastAsia="en-US"/>
        </w:rPr>
        <w:softHyphen/>
        <w:t>ղա</w:t>
      </w:r>
      <w:r w:rsidRPr="007955BB">
        <w:rPr>
          <w:b w:val="0"/>
          <w:szCs w:val="22"/>
          <w:lang w:val="en-US" w:eastAsia="en-US"/>
        </w:rPr>
        <w:softHyphen/>
        <w:t>տնտե</w:t>
      </w:r>
      <w:r w:rsidRPr="007955BB">
        <w:rPr>
          <w:b w:val="0"/>
          <w:szCs w:val="22"/>
          <w:lang w:val="en-US" w:eastAsia="en-US"/>
        </w:rPr>
        <w:softHyphen/>
        <w:t>սական արտադ</w:t>
      </w:r>
      <w:r w:rsidRPr="007955BB">
        <w:rPr>
          <w:b w:val="0"/>
          <w:szCs w:val="22"/>
          <w:lang w:val="en-US" w:eastAsia="en-US"/>
        </w:rPr>
        <w:softHyphen/>
        <w:t>րանքի այն մասը, որը գնա</w:t>
      </w:r>
      <w:r w:rsidRPr="007955BB">
        <w:rPr>
          <w:b w:val="0"/>
          <w:szCs w:val="22"/>
          <w:lang w:val="en-US" w:eastAsia="en-US"/>
        </w:rPr>
        <w:softHyphen/>
        <w:t>ցել է իրացման կամ այլ ձևով օտարման կամ ապրան</w:t>
      </w:r>
      <w:r w:rsidRPr="007955BB">
        <w:rPr>
          <w:b w:val="0"/>
          <w:szCs w:val="22"/>
          <w:lang w:val="en-US" w:eastAsia="en-US"/>
        </w:rPr>
        <w:softHyphen/>
        <w:t>քա</w:t>
      </w:r>
      <w:r w:rsidRPr="007955BB">
        <w:rPr>
          <w:b w:val="0"/>
          <w:szCs w:val="22"/>
          <w:lang w:val="en-US" w:eastAsia="en-US"/>
        </w:rPr>
        <w:softHyphen/>
        <w:t>փո</w:t>
      </w:r>
      <w:r w:rsidRPr="007955BB">
        <w:rPr>
          <w:b w:val="0"/>
          <w:szCs w:val="22"/>
          <w:lang w:val="en-US" w:eastAsia="en-US"/>
        </w:rPr>
        <w:softHyphen/>
        <w:t>խանակման):</w:t>
      </w:r>
    </w:p>
    <w:p w:rsidR="00EB778F" w:rsidRPr="007955BB" w:rsidRDefault="00EB778F" w:rsidP="00EB778F">
      <w:pPr>
        <w:spacing w:before="0" w:line="276" w:lineRule="auto"/>
        <w:contextualSpacing w:val="0"/>
        <w:rPr>
          <w:b w:val="0"/>
          <w:szCs w:val="22"/>
          <w:lang w:val="en-US" w:eastAsia="en-US"/>
        </w:rPr>
      </w:pPr>
      <w:r w:rsidRPr="007955BB">
        <w:rPr>
          <w:b w:val="0"/>
          <w:szCs w:val="22"/>
          <w:lang w:val="en-US" w:eastAsia="en-US"/>
        </w:rPr>
        <w:t>Այնուհետև ստացված բազայի նկատմամբ կիրառվել է ԱԱՀ-ի 20% դրույքաչափը և հաշ</w:t>
      </w:r>
      <w:r w:rsidRPr="007955BB">
        <w:rPr>
          <w:b w:val="0"/>
          <w:szCs w:val="22"/>
          <w:lang w:val="en-US" w:eastAsia="en-US"/>
        </w:rPr>
        <w:softHyphen/>
      </w:r>
      <w:r w:rsidRPr="007955BB">
        <w:rPr>
          <w:b w:val="0"/>
          <w:szCs w:val="22"/>
          <w:lang w:val="en-US" w:eastAsia="en-US"/>
        </w:rPr>
        <w:softHyphen/>
      </w:r>
      <w:r w:rsidRPr="007955BB">
        <w:rPr>
          <w:b w:val="0"/>
          <w:szCs w:val="22"/>
          <w:lang w:val="en-US" w:eastAsia="en-US"/>
        </w:rPr>
        <w:softHyphen/>
        <w:t>վարկ</w:t>
      </w:r>
      <w:r w:rsidRPr="007955BB">
        <w:rPr>
          <w:b w:val="0"/>
          <w:szCs w:val="22"/>
          <w:lang w:val="en-US" w:eastAsia="en-US"/>
        </w:rPr>
        <w:softHyphen/>
        <w:t>վել է ԱԱՀ-ի գծով եկամտային ներուժը: Ստացված արդյունքը ճշգրտվել է 2023 թվականի տնտեսության ճյուղերի կանխատեսվող ծավալների աճով:</w:t>
      </w:r>
    </w:p>
    <w:p w:rsidR="00EB778F" w:rsidRPr="007955BB" w:rsidRDefault="00EB778F" w:rsidP="00EB778F">
      <w:pPr>
        <w:spacing w:before="0" w:line="276" w:lineRule="auto"/>
        <w:contextualSpacing w:val="0"/>
        <w:rPr>
          <w:b w:val="0"/>
          <w:szCs w:val="22"/>
          <w:lang w:val="en-US" w:eastAsia="en-US"/>
        </w:rPr>
      </w:pPr>
      <w:r w:rsidRPr="007955BB">
        <w:rPr>
          <w:b w:val="0"/>
          <w:szCs w:val="22"/>
          <w:lang w:val="en-US" w:eastAsia="en-US"/>
        </w:rPr>
        <w:t>Ստացված արդյունքների հիման վրա առանձնացվել են գյուղատնտեսության, կրթու</w:t>
      </w:r>
      <w:r w:rsidRPr="007955BB">
        <w:rPr>
          <w:b w:val="0"/>
          <w:szCs w:val="22"/>
          <w:lang w:val="en-US" w:eastAsia="en-US"/>
        </w:rPr>
        <w:softHyphen/>
        <w:t>թյան, առողջապահության, ֆինանսական և ապահովագրության ոլորտների համապատասխան ԱԱՀ-ի մասնաբաժինները, որոնք իրենցից ներ</w:t>
      </w:r>
      <w:r w:rsidRPr="007955BB">
        <w:rPr>
          <w:b w:val="0"/>
          <w:szCs w:val="22"/>
          <w:lang w:val="en-US" w:eastAsia="en-US"/>
        </w:rPr>
        <w:softHyphen/>
        <w:t xml:space="preserve">կայացնում են այդ ոլորտների համար ԱԱՀ-ի գծով հարկային ծախսերը: </w:t>
      </w:r>
    </w:p>
    <w:p w:rsidR="00EB778F" w:rsidRPr="007955BB" w:rsidRDefault="00EB778F" w:rsidP="00EB778F">
      <w:pPr>
        <w:spacing w:before="0" w:line="276" w:lineRule="auto"/>
        <w:contextualSpacing w:val="0"/>
        <w:rPr>
          <w:b w:val="0"/>
          <w:szCs w:val="22"/>
          <w:lang w:val="en-US" w:eastAsia="en-US"/>
        </w:rPr>
      </w:pPr>
      <w:r w:rsidRPr="007955BB">
        <w:rPr>
          <w:b w:val="0"/>
          <w:szCs w:val="22"/>
          <w:lang w:val="en-US" w:eastAsia="en-US"/>
        </w:rPr>
        <w:t>Միաժամանակ, ԱԱՀ-ի հաշվարկներից արտածվել են խաղատների, շահումով խաղերի (այդ թվում՝ ինտերնետ շահումով խաղերի), տոտալիզատորի և ինտերնետ տոտալիզատորի կազմակերպ</w:t>
      </w:r>
      <w:r w:rsidRPr="007955BB">
        <w:rPr>
          <w:b w:val="0"/>
          <w:szCs w:val="22"/>
          <w:lang w:val="hy-AM" w:eastAsia="en-US"/>
        </w:rPr>
        <w:t>ման</w:t>
      </w:r>
      <w:r w:rsidRPr="007955BB">
        <w:rPr>
          <w:b w:val="0"/>
          <w:szCs w:val="22"/>
          <w:lang w:val="en-US" w:eastAsia="en-US"/>
        </w:rPr>
        <w:t>, ոսկու և թանկարժեք քարերի իրացման, մարդասիրական օգնության, պարարտանյութերի իրացման, ջրօգտագործողների ընկերությունների կողմից ոռոգման ջրի օտարում, սուբսիդիաների, սուբվենցիաների և դրամաշնորհային ծրագրերի շրջանակներում իրականացվող` ապրանքի մատակարարում, աշխատանքի կատարում և (կամ) ծառայության մատուցում, ազատ տնտեսական գոտու կազմակերպչին և ազատ տնտեսական գոտու շահագործողին ծառայությունների մատուցում, ազատ տնտեսական գոտու կազմակերպչի և ազատ տնտեսական գոտու շահագործողի համար աշխատանքների կատարում, ազատ տնտեսական գոտու տարածքում ապրանքների մատակարարում և այլ օրենքներով տրված ԱԱՀ-ից ազատման արտոնությունների մասով շրջանառությունները, որոնց նկատմամբ կիարառելով համապատասխան գործունեության տեսակների ավելացված արժեք/թողարկում հարաբերակցության ցուցանիշը, այնուհետև՝ ԱԱՀ-ի 20% դրույքաչափը, հաշ</w:t>
      </w:r>
      <w:r w:rsidRPr="007955BB">
        <w:rPr>
          <w:b w:val="0"/>
          <w:szCs w:val="22"/>
          <w:lang w:val="en-US" w:eastAsia="en-US"/>
        </w:rPr>
        <w:softHyphen/>
      </w:r>
      <w:r w:rsidRPr="007955BB">
        <w:rPr>
          <w:b w:val="0"/>
          <w:szCs w:val="22"/>
          <w:lang w:val="en-US" w:eastAsia="en-US"/>
        </w:rPr>
        <w:softHyphen/>
      </w:r>
      <w:r w:rsidRPr="007955BB">
        <w:rPr>
          <w:b w:val="0"/>
          <w:szCs w:val="22"/>
          <w:lang w:val="en-US" w:eastAsia="en-US"/>
        </w:rPr>
        <w:softHyphen/>
        <w:t>վարկ</w:t>
      </w:r>
      <w:r w:rsidRPr="007955BB">
        <w:rPr>
          <w:b w:val="0"/>
          <w:szCs w:val="22"/>
          <w:lang w:val="en-US" w:eastAsia="en-US"/>
        </w:rPr>
        <w:softHyphen/>
        <w:t xml:space="preserve">վել է նշված գործունեության տեսակների համար ԱԱՀ-ի գծով եկամտային ներուժը: Ստացված արդյունքը ճշգրտվել է 2023 թվականի նշված գործունեության տեսակների կանխատեսվող ծավալների աճով: </w:t>
      </w:r>
    </w:p>
    <w:p w:rsidR="00EB778F" w:rsidRPr="007955BB" w:rsidRDefault="00EB778F" w:rsidP="00EB778F">
      <w:pPr>
        <w:spacing w:before="0" w:line="276" w:lineRule="auto"/>
        <w:contextualSpacing w:val="0"/>
        <w:rPr>
          <w:b w:val="0"/>
          <w:szCs w:val="22"/>
          <w:lang w:val="en-US" w:eastAsia="en-US"/>
        </w:rPr>
      </w:pPr>
      <w:r w:rsidRPr="007955BB">
        <w:rPr>
          <w:b w:val="0"/>
          <w:szCs w:val="22"/>
          <w:lang w:val="en-US" w:eastAsia="en-US"/>
        </w:rPr>
        <w:t>Բացի այդ, որոշվել են ԱԱՀ-ի գծով վերը չնշված այլ հարկային ծախսերը` որպես ԱԱՀ-ի գծով եկա</w:t>
      </w:r>
      <w:r w:rsidRPr="007955BB">
        <w:rPr>
          <w:b w:val="0"/>
          <w:szCs w:val="22"/>
          <w:lang w:val="en-US" w:eastAsia="en-US"/>
        </w:rPr>
        <w:softHyphen/>
        <w:t>մտա</w:t>
      </w:r>
      <w:r w:rsidRPr="007955BB">
        <w:rPr>
          <w:b w:val="0"/>
          <w:szCs w:val="22"/>
          <w:lang w:val="en-US" w:eastAsia="en-US"/>
        </w:rPr>
        <w:softHyphen/>
        <w:t>յին ներուժի և ներքին տնտեսությունից փաստացի հավաքագրված ԱԱՀ-ի, վերոնշյալ ոլորտ</w:t>
      </w:r>
      <w:r w:rsidRPr="007955BB">
        <w:rPr>
          <w:b w:val="0"/>
          <w:szCs w:val="22"/>
          <w:lang w:val="en-US" w:eastAsia="en-US"/>
        </w:rPr>
        <w:softHyphen/>
        <w:t>ների, գործունեության տեսակների, ԱԱՀ-ի շեմի ու միկրոբիզնեսի գծով գնա</w:t>
      </w:r>
      <w:r w:rsidRPr="007955BB">
        <w:rPr>
          <w:b w:val="0"/>
          <w:szCs w:val="22"/>
          <w:lang w:val="en-US" w:eastAsia="en-US"/>
        </w:rPr>
        <w:softHyphen/>
        <w:t>հատված` ԱԱՀ-ի հար</w:t>
      </w:r>
      <w:r w:rsidRPr="007955BB">
        <w:rPr>
          <w:b w:val="0"/>
          <w:szCs w:val="22"/>
          <w:lang w:val="en-US" w:eastAsia="en-US"/>
        </w:rPr>
        <w:softHyphen/>
        <w:t xml:space="preserve">կային ծախսերի հանրագումարի տարբերություն: </w:t>
      </w:r>
    </w:p>
    <w:p w:rsidR="00EB778F" w:rsidRPr="007955BB" w:rsidRDefault="00EB778F" w:rsidP="00F04DA1">
      <w:pPr>
        <w:numPr>
          <w:ilvl w:val="0"/>
          <w:numId w:val="56"/>
        </w:numPr>
        <w:tabs>
          <w:tab w:val="left" w:pos="851"/>
        </w:tabs>
        <w:spacing w:before="0" w:line="276" w:lineRule="auto"/>
        <w:ind w:left="0" w:firstLine="567"/>
        <w:contextualSpacing w:val="0"/>
        <w:jc w:val="left"/>
        <w:rPr>
          <w:i/>
          <w:szCs w:val="22"/>
          <w:lang w:val="en-US" w:eastAsia="en-US"/>
        </w:rPr>
      </w:pPr>
      <w:r w:rsidRPr="007955BB">
        <w:rPr>
          <w:rFonts w:cs="Sylfaen"/>
          <w:i/>
          <w:szCs w:val="22"/>
          <w:lang w:val="en-US" w:eastAsia="en-US"/>
        </w:rPr>
        <w:t>Շահութահարկի</w:t>
      </w:r>
      <w:r w:rsidRPr="007955BB">
        <w:rPr>
          <w:i/>
          <w:szCs w:val="22"/>
          <w:lang w:val="en-US" w:eastAsia="en-US"/>
        </w:rPr>
        <w:t xml:space="preserve"> գծով հարկային ծախսեր.</w:t>
      </w:r>
    </w:p>
    <w:p w:rsidR="00EB778F" w:rsidRPr="007955BB" w:rsidRDefault="00EB778F" w:rsidP="00EB778F">
      <w:pPr>
        <w:spacing w:before="0" w:line="276" w:lineRule="auto"/>
        <w:contextualSpacing w:val="0"/>
        <w:rPr>
          <w:b w:val="0"/>
          <w:szCs w:val="22"/>
          <w:lang w:val="hy-AM" w:eastAsia="en-US"/>
        </w:rPr>
      </w:pPr>
      <w:r w:rsidRPr="007955BB">
        <w:rPr>
          <w:b w:val="0"/>
          <w:szCs w:val="22"/>
          <w:lang w:val="en-US" w:eastAsia="en-US"/>
        </w:rPr>
        <w:t>Շահու</w:t>
      </w:r>
      <w:r w:rsidRPr="007955BB">
        <w:rPr>
          <w:b w:val="0"/>
          <w:szCs w:val="22"/>
          <w:lang w:val="en-US" w:eastAsia="en-US"/>
        </w:rPr>
        <w:softHyphen/>
        <w:t xml:space="preserve">թահարկի գծով հարկային ծախսերի գնահատականը ներառում է գյուղատնտեսության արտոնությունները, շահութահարկի նվազեցման արտոնությունները, ՏՏ ոլորտի արտոնությունները, </w:t>
      </w:r>
      <w:r w:rsidRPr="007955BB">
        <w:rPr>
          <w:b w:val="0"/>
          <w:szCs w:val="22"/>
          <w:lang w:val="hy-AM" w:eastAsia="en-US"/>
        </w:rPr>
        <w:t>ի</w:t>
      </w:r>
      <w:r w:rsidRPr="007955BB">
        <w:rPr>
          <w:b w:val="0"/>
          <w:szCs w:val="22"/>
          <w:lang w:val="en-US" w:eastAsia="en-US"/>
        </w:rPr>
        <w:t>նչպես նաև շահութահարկի հաշվարկներով արտացոլված հարկվող շահույթի նվազեցման արտոնությունները, բացառությամբ՝ գյուղատնտեսության արտոնությունների</w:t>
      </w:r>
      <w:r w:rsidRPr="007955BB">
        <w:rPr>
          <w:b w:val="0"/>
          <w:szCs w:val="22"/>
          <w:lang w:val="hy-AM" w:eastAsia="en-US"/>
        </w:rPr>
        <w:t>:</w:t>
      </w:r>
      <w:r w:rsidRPr="007955BB">
        <w:rPr>
          <w:b w:val="0"/>
          <w:szCs w:val="22"/>
          <w:lang w:val="en-US" w:eastAsia="en-US"/>
        </w:rPr>
        <w:t xml:space="preserve"> </w:t>
      </w:r>
      <w:r w:rsidRPr="007955BB">
        <w:rPr>
          <w:b w:val="0"/>
          <w:szCs w:val="22"/>
          <w:lang w:val="hy-AM" w:eastAsia="en-US"/>
        </w:rPr>
        <w:t>Միաժամանակ, առանձին գնահատվել են միկրոբիզնեսի և ԱԱՀ-ի շեմի գծով հարկային ծախսերը</w:t>
      </w:r>
      <w:r w:rsidRPr="007955BB">
        <w:rPr>
          <w:b w:val="0"/>
          <w:szCs w:val="22"/>
          <w:lang w:val="en-US" w:eastAsia="en-US"/>
        </w:rPr>
        <w:t>:</w:t>
      </w:r>
    </w:p>
    <w:p w:rsidR="00EB778F" w:rsidRPr="007955BB" w:rsidRDefault="00EB778F" w:rsidP="00EB778F">
      <w:pPr>
        <w:spacing w:before="0" w:line="276" w:lineRule="auto"/>
        <w:contextualSpacing w:val="0"/>
        <w:rPr>
          <w:szCs w:val="22"/>
          <w:lang w:val="hy-AM" w:eastAsia="en-US"/>
        </w:rPr>
      </w:pPr>
      <w:r w:rsidRPr="007955BB">
        <w:rPr>
          <w:szCs w:val="22"/>
          <w:lang w:val="hy-AM" w:eastAsia="en-US"/>
        </w:rPr>
        <w:t>Գյուղատնտեսություն.</w:t>
      </w:r>
    </w:p>
    <w:p w:rsidR="00EB778F" w:rsidRPr="007955BB" w:rsidRDefault="00EB778F" w:rsidP="00EB778F">
      <w:pPr>
        <w:spacing w:before="0" w:line="276" w:lineRule="auto"/>
        <w:contextualSpacing w:val="0"/>
        <w:rPr>
          <w:b w:val="0"/>
          <w:szCs w:val="22"/>
          <w:lang w:val="hy-AM" w:eastAsia="en-US"/>
        </w:rPr>
      </w:pPr>
      <w:r w:rsidRPr="007955BB">
        <w:rPr>
          <w:b w:val="0"/>
          <w:szCs w:val="22"/>
          <w:lang w:val="hy-AM" w:eastAsia="en-US"/>
        </w:rPr>
        <w:t>Որոշվել են 2021 թվականի համար գյուղատնտեսության ոլորտի զուտ շահույթը և զուտ խառը եկամուտները` հիմք ընդունելով եկամուտների ձևավորման եղանակով 2020 թվա</w:t>
      </w:r>
      <w:r w:rsidRPr="007955BB">
        <w:rPr>
          <w:b w:val="0"/>
          <w:szCs w:val="22"/>
          <w:lang w:val="hy-AM" w:eastAsia="en-US"/>
        </w:rPr>
        <w:softHyphen/>
        <w:t>կանի համար հաշվարկված գյուղատնտեսության ոլորտի զուտ շահույթը և զուտ խառը եկա</w:t>
      </w:r>
      <w:r w:rsidRPr="007955BB">
        <w:rPr>
          <w:b w:val="0"/>
          <w:szCs w:val="22"/>
          <w:lang w:val="hy-AM" w:eastAsia="en-US"/>
        </w:rPr>
        <w:softHyphen/>
        <w:t>մուտ</w:t>
      </w:r>
      <w:r w:rsidRPr="007955BB">
        <w:rPr>
          <w:b w:val="0"/>
          <w:szCs w:val="22"/>
          <w:lang w:val="hy-AM" w:eastAsia="en-US"/>
        </w:rPr>
        <w:softHyphen/>
        <w:t>ները, որոնց նկատմամբ կիրառվել է գյուղատնտեսության ոլորտի 2021 թվականի` արտադ</w:t>
      </w:r>
      <w:r w:rsidRPr="007955BB">
        <w:rPr>
          <w:b w:val="0"/>
          <w:szCs w:val="22"/>
          <w:lang w:val="hy-AM" w:eastAsia="en-US"/>
        </w:rPr>
        <w:softHyphen/>
      </w:r>
      <w:r w:rsidRPr="007955BB">
        <w:rPr>
          <w:b w:val="0"/>
          <w:szCs w:val="22"/>
          <w:lang w:val="hy-AM" w:eastAsia="en-US"/>
        </w:rPr>
        <w:softHyphen/>
        <w:t>րական եղանակով որոշված ավելացված արժեքների աճի տեմպը:</w:t>
      </w:r>
    </w:p>
    <w:p w:rsidR="00EB778F" w:rsidRPr="007955BB" w:rsidRDefault="00EB778F" w:rsidP="00EB778F">
      <w:pPr>
        <w:spacing w:before="0" w:line="276" w:lineRule="auto"/>
        <w:contextualSpacing w:val="0"/>
        <w:rPr>
          <w:b w:val="0"/>
          <w:szCs w:val="22"/>
          <w:lang w:val="hy-AM" w:eastAsia="en-US"/>
        </w:rPr>
      </w:pPr>
      <w:r w:rsidRPr="007955BB">
        <w:rPr>
          <w:b w:val="0"/>
          <w:szCs w:val="22"/>
          <w:lang w:val="hy-AM" w:eastAsia="en-US"/>
        </w:rPr>
        <w:t>Ստացված արդյունքը ճշգրտվել է գյուղատնտեսության մաս</w:t>
      </w:r>
      <w:r w:rsidRPr="007955BB">
        <w:rPr>
          <w:b w:val="0"/>
          <w:szCs w:val="22"/>
          <w:lang w:val="hy-AM" w:eastAsia="en-US"/>
        </w:rPr>
        <w:softHyphen/>
        <w:t>նա</w:t>
      </w:r>
      <w:r w:rsidRPr="007955BB">
        <w:rPr>
          <w:b w:val="0"/>
          <w:szCs w:val="22"/>
          <w:lang w:val="hy-AM" w:eastAsia="en-US"/>
        </w:rPr>
        <w:softHyphen/>
        <w:t>բաժ</w:t>
      </w:r>
      <w:r w:rsidRPr="007955BB">
        <w:rPr>
          <w:b w:val="0"/>
          <w:szCs w:val="22"/>
          <w:lang w:val="hy-AM" w:eastAsia="en-US"/>
        </w:rPr>
        <w:softHyphen/>
        <w:t>նում չդիտարկվող (չհաշվառվող) տնտեսության և ապրանքայնության մակարդակով:</w:t>
      </w:r>
    </w:p>
    <w:p w:rsidR="00EB778F" w:rsidRPr="007955BB" w:rsidRDefault="00EB778F" w:rsidP="00EB778F">
      <w:pPr>
        <w:spacing w:before="0" w:line="276" w:lineRule="auto"/>
        <w:contextualSpacing w:val="0"/>
        <w:rPr>
          <w:b w:val="0"/>
          <w:szCs w:val="22"/>
          <w:lang w:val="hy-AM" w:eastAsia="en-US"/>
        </w:rPr>
      </w:pPr>
      <w:r w:rsidRPr="007955BB">
        <w:rPr>
          <w:b w:val="0"/>
          <w:szCs w:val="22"/>
          <w:lang w:val="hy-AM" w:eastAsia="en-US"/>
        </w:rPr>
        <w:t>Այնուհետև որոշվել է ստացված արդյունքի մեջ առևտրային կազմակեր</w:t>
      </w:r>
      <w:r w:rsidRPr="007955BB">
        <w:rPr>
          <w:b w:val="0"/>
          <w:szCs w:val="22"/>
          <w:lang w:val="hy-AM" w:eastAsia="en-US"/>
        </w:rPr>
        <w:softHyphen/>
        <w:t>պու</w:t>
      </w:r>
      <w:r w:rsidRPr="007955BB">
        <w:rPr>
          <w:b w:val="0"/>
          <w:szCs w:val="22"/>
          <w:lang w:val="hy-AM" w:eastAsia="en-US"/>
        </w:rPr>
        <w:softHyphen/>
        <w:t>թյուն</w:t>
      </w:r>
      <w:r w:rsidRPr="007955BB">
        <w:rPr>
          <w:b w:val="0"/>
          <w:szCs w:val="22"/>
          <w:lang w:val="hy-AM" w:eastAsia="en-US"/>
        </w:rPr>
        <w:softHyphen/>
        <w:t>ների և անհատ ձեռնարկատերերի մասնաբաժինը` համաձայն ՀՀ ՎԿ տվյալների: Այնուհետև կիրառվել է շահութահարկի 18% դրույքաչափը և հաշ</w:t>
      </w:r>
      <w:r w:rsidRPr="007955BB">
        <w:rPr>
          <w:b w:val="0"/>
          <w:szCs w:val="22"/>
          <w:lang w:val="hy-AM" w:eastAsia="en-US"/>
        </w:rPr>
        <w:softHyphen/>
      </w:r>
      <w:r w:rsidRPr="007955BB">
        <w:rPr>
          <w:b w:val="0"/>
          <w:szCs w:val="22"/>
          <w:lang w:val="hy-AM" w:eastAsia="en-US"/>
        </w:rPr>
        <w:softHyphen/>
      </w:r>
      <w:r w:rsidRPr="007955BB">
        <w:rPr>
          <w:b w:val="0"/>
          <w:szCs w:val="22"/>
          <w:lang w:val="hy-AM" w:eastAsia="en-US"/>
        </w:rPr>
        <w:softHyphen/>
        <w:t>վարկ</w:t>
      </w:r>
      <w:r w:rsidRPr="007955BB">
        <w:rPr>
          <w:b w:val="0"/>
          <w:szCs w:val="22"/>
          <w:lang w:val="hy-AM" w:eastAsia="en-US"/>
        </w:rPr>
        <w:softHyphen/>
        <w:t>վել է շահութահարկի գծով եկամտային ներուժը: Ստացված արդյունքը ճշգրտվել է 2023 թվականի գյուղատնտեսության ճյուղի կանխատեսվող ծավալների աճով:</w:t>
      </w:r>
    </w:p>
    <w:p w:rsidR="00EB778F" w:rsidRPr="007955BB" w:rsidRDefault="00EB778F" w:rsidP="00EB778F">
      <w:pPr>
        <w:spacing w:before="0" w:line="276" w:lineRule="auto"/>
        <w:contextualSpacing w:val="0"/>
        <w:rPr>
          <w:szCs w:val="22"/>
          <w:lang w:val="hy-AM" w:eastAsia="en-US"/>
        </w:rPr>
      </w:pPr>
      <w:r w:rsidRPr="007955BB">
        <w:rPr>
          <w:szCs w:val="22"/>
          <w:lang w:val="hy-AM" w:eastAsia="en-US"/>
        </w:rPr>
        <w:t>Հարկվող շահույթի նվազեցման արտոնությունները, բացառությամբ՝ գյուղատնտեսության.</w:t>
      </w:r>
    </w:p>
    <w:p w:rsidR="00EB778F" w:rsidRPr="007955BB" w:rsidRDefault="00EB778F" w:rsidP="00EB778F">
      <w:pPr>
        <w:spacing w:before="0" w:line="276" w:lineRule="auto"/>
        <w:contextualSpacing w:val="0"/>
        <w:rPr>
          <w:b w:val="0"/>
          <w:szCs w:val="22"/>
          <w:lang w:val="hy-AM" w:eastAsia="en-US"/>
        </w:rPr>
      </w:pPr>
      <w:r w:rsidRPr="007955BB">
        <w:rPr>
          <w:b w:val="0"/>
          <w:szCs w:val="22"/>
          <w:lang w:val="hy-AM" w:eastAsia="en-US"/>
        </w:rPr>
        <w:t>Շահութահարկի հաշվարկներից արտածվել են հարկվող շահույթի նվազեցման արտոնությունները, բացառությամբ՝ գյուղատնտեսության արտոնությունների,  որոնց նկատմամբ կիրառվել է շահութահարկի 18% դրույքաչափը՝ արդյունքում հաշ</w:t>
      </w:r>
      <w:r w:rsidRPr="007955BB">
        <w:rPr>
          <w:b w:val="0"/>
          <w:szCs w:val="22"/>
          <w:lang w:val="hy-AM" w:eastAsia="en-US"/>
        </w:rPr>
        <w:softHyphen/>
      </w:r>
      <w:r w:rsidRPr="007955BB">
        <w:rPr>
          <w:b w:val="0"/>
          <w:szCs w:val="22"/>
          <w:lang w:val="hy-AM" w:eastAsia="en-US"/>
        </w:rPr>
        <w:softHyphen/>
      </w:r>
      <w:r w:rsidRPr="007955BB">
        <w:rPr>
          <w:b w:val="0"/>
          <w:szCs w:val="22"/>
          <w:lang w:val="hy-AM" w:eastAsia="en-US"/>
        </w:rPr>
        <w:softHyphen/>
        <w:t>վարկ</w:t>
      </w:r>
      <w:r w:rsidRPr="007955BB">
        <w:rPr>
          <w:b w:val="0"/>
          <w:szCs w:val="22"/>
          <w:lang w:val="hy-AM" w:eastAsia="en-US"/>
        </w:rPr>
        <w:softHyphen/>
        <w:t>վել է նշված ուղղության համար շահութահարկի գծով եկամտային ներուժը: Ստացված արդյունքը ճշգրտվել է 2023 թվականի նշված ուղղության կանխատեսվող ծավալների աճով:</w:t>
      </w:r>
    </w:p>
    <w:p w:rsidR="00EB778F" w:rsidRPr="007955BB" w:rsidRDefault="00EB778F" w:rsidP="00EB778F">
      <w:pPr>
        <w:spacing w:before="0" w:line="276" w:lineRule="auto"/>
        <w:contextualSpacing w:val="0"/>
        <w:rPr>
          <w:szCs w:val="22"/>
          <w:lang w:val="hy-AM" w:eastAsia="en-US"/>
        </w:rPr>
      </w:pPr>
      <w:r w:rsidRPr="007955BB">
        <w:rPr>
          <w:szCs w:val="22"/>
          <w:lang w:val="hy-AM" w:eastAsia="en-US"/>
        </w:rPr>
        <w:t>Շահութահարկի նվազեցման արտոնությունները.</w:t>
      </w:r>
    </w:p>
    <w:p w:rsidR="00EB778F" w:rsidRPr="007955BB" w:rsidRDefault="00EB778F" w:rsidP="00EB778F">
      <w:pPr>
        <w:spacing w:before="0" w:line="276" w:lineRule="auto"/>
        <w:contextualSpacing w:val="0"/>
        <w:rPr>
          <w:b w:val="0"/>
          <w:szCs w:val="22"/>
          <w:lang w:val="hy-AM" w:eastAsia="en-US"/>
        </w:rPr>
      </w:pPr>
      <w:r w:rsidRPr="007955BB">
        <w:rPr>
          <w:b w:val="0"/>
          <w:szCs w:val="22"/>
          <w:lang w:val="hy-AM" w:eastAsia="en-US"/>
        </w:rPr>
        <w:t>Շահութահարկի հաշվարկներից արտածվել են շահութահարկի նվազեցման արտոնությունները, որն իրենից ներկայացնում է նշված ուղղության համար շահութահարկի գծով եկամտային ներուժը: Ստացված արդյունքը ճշգրտվել է 2023 թվականի նշված ուղղության կանխատեսվող ծավալների աճով:</w:t>
      </w:r>
    </w:p>
    <w:p w:rsidR="00EB778F" w:rsidRPr="007955BB" w:rsidRDefault="00EB778F" w:rsidP="00EB778F">
      <w:pPr>
        <w:spacing w:before="0" w:line="276" w:lineRule="auto"/>
        <w:contextualSpacing w:val="0"/>
        <w:rPr>
          <w:szCs w:val="22"/>
          <w:lang w:val="hy-AM" w:eastAsia="en-US"/>
        </w:rPr>
      </w:pPr>
      <w:r w:rsidRPr="007955BB">
        <w:rPr>
          <w:szCs w:val="22"/>
          <w:lang w:val="hy-AM" w:eastAsia="en-US"/>
        </w:rPr>
        <w:t>ՏՏ ոլորտի արտոնությունները.</w:t>
      </w:r>
    </w:p>
    <w:p w:rsidR="00EB778F" w:rsidRPr="007955BB" w:rsidRDefault="00EB778F" w:rsidP="00EB778F">
      <w:pPr>
        <w:spacing w:before="0" w:line="276" w:lineRule="auto"/>
        <w:contextualSpacing w:val="0"/>
        <w:rPr>
          <w:b w:val="0"/>
          <w:szCs w:val="22"/>
          <w:lang w:val="hy-AM" w:eastAsia="en-US"/>
        </w:rPr>
      </w:pPr>
      <w:r w:rsidRPr="007955BB">
        <w:rPr>
          <w:b w:val="0"/>
          <w:szCs w:val="22"/>
          <w:lang w:val="hy-AM" w:eastAsia="en-US"/>
        </w:rPr>
        <w:t>2021թ. ԱԱՀ-ի հաշվարկներից արտածվել են ՏՏ ոլորտի հավաստագրված հարկ վճարողների իրացման շրջանառությունները, որի նկատմամբ կիրառվել է 2021թ. արդյունքներով ՏՏ ոլորտի համախառն եկամտի մեջ հարկվող շահույթի կշիռը և շահութահարկի 18 տոկոս դրույքաչափը, ինչն   իրենից ներկայացնում է նշված ոլորտի համար շահութահարկի գծով եկամտային ներուժը: Ստացված արդյունքը ճշգրտվել է 2023 թվականի նշված ոլորտի կանխատեսվող ծավալների աճով:</w:t>
      </w:r>
    </w:p>
    <w:p w:rsidR="00EB778F" w:rsidRPr="007955BB" w:rsidRDefault="00EB778F" w:rsidP="00F04DA1">
      <w:pPr>
        <w:numPr>
          <w:ilvl w:val="0"/>
          <w:numId w:val="56"/>
        </w:numPr>
        <w:tabs>
          <w:tab w:val="left" w:pos="993"/>
        </w:tabs>
        <w:spacing w:before="0" w:line="276" w:lineRule="auto"/>
        <w:ind w:left="0" w:firstLine="567"/>
        <w:contextualSpacing w:val="0"/>
        <w:jc w:val="left"/>
        <w:rPr>
          <w:rFonts w:cs="Sylfaen"/>
          <w:i/>
          <w:szCs w:val="22"/>
          <w:lang w:val="hy-AM" w:eastAsia="en-US"/>
        </w:rPr>
      </w:pPr>
      <w:r w:rsidRPr="007955BB">
        <w:rPr>
          <w:rFonts w:cs="Sylfaen"/>
          <w:i/>
          <w:szCs w:val="22"/>
          <w:lang w:val="hy-AM" w:eastAsia="en-US"/>
        </w:rPr>
        <w:t>Եկամտային հարկի գծով հարկային ծախսեր.</w:t>
      </w:r>
    </w:p>
    <w:p w:rsidR="00EB778F" w:rsidRPr="007955BB" w:rsidRDefault="00EB778F" w:rsidP="00EB778F">
      <w:pPr>
        <w:spacing w:before="0" w:line="276" w:lineRule="auto"/>
        <w:contextualSpacing w:val="0"/>
        <w:rPr>
          <w:b w:val="0"/>
          <w:szCs w:val="22"/>
          <w:lang w:val="hy-AM" w:eastAsia="en-US"/>
        </w:rPr>
      </w:pPr>
      <w:r w:rsidRPr="007955BB">
        <w:rPr>
          <w:b w:val="0"/>
          <w:szCs w:val="22"/>
          <w:lang w:val="hy-AM" w:eastAsia="en-US"/>
        </w:rPr>
        <w:t>Եկամտային հարկի գծով հարկային ծախսերի մասով գնահատվել է գյուղատնտեսության արտոնությունները, ՏՏ ոլորտի արտոնությունները, հիպոտեկային վարկերի տոկոսների սպասարկման համար վարկառուներին և համավարկառուներին վերադարձված եկամտային հարկի գումարները, ինչպես նաև առանձին գնահատմամբ միկրոբիզնեսի գծով հարկային ծախսերը:</w:t>
      </w:r>
    </w:p>
    <w:p w:rsidR="00EB778F" w:rsidRPr="007955BB" w:rsidRDefault="00EB778F" w:rsidP="00EB778F">
      <w:pPr>
        <w:spacing w:before="0" w:line="276" w:lineRule="auto"/>
        <w:contextualSpacing w:val="0"/>
        <w:rPr>
          <w:szCs w:val="22"/>
          <w:lang w:val="hy-AM" w:eastAsia="en-US"/>
        </w:rPr>
      </w:pPr>
      <w:r w:rsidRPr="007955BB">
        <w:rPr>
          <w:szCs w:val="22"/>
          <w:lang w:val="hy-AM" w:eastAsia="en-US"/>
        </w:rPr>
        <w:t>Գյուղատնտեսություն.</w:t>
      </w:r>
    </w:p>
    <w:p w:rsidR="00EB778F" w:rsidRPr="007955BB" w:rsidRDefault="00EB778F" w:rsidP="00EB778F">
      <w:pPr>
        <w:spacing w:before="0" w:line="276" w:lineRule="auto"/>
        <w:contextualSpacing w:val="0"/>
        <w:rPr>
          <w:b w:val="0"/>
          <w:szCs w:val="22"/>
          <w:lang w:val="hy-AM" w:eastAsia="en-US"/>
        </w:rPr>
      </w:pPr>
      <w:r w:rsidRPr="007955BB">
        <w:rPr>
          <w:b w:val="0"/>
          <w:szCs w:val="22"/>
          <w:lang w:val="hy-AM" w:eastAsia="en-US"/>
        </w:rPr>
        <w:t>Որոշվել են 2021 թվականի համար գյուղատնտեսության ոլորտի  վարձու աշխատողների աշխատանքի վարձատրության գծով եկամուտները` հիմք ընդունելով եկամուտների ձևավորման եղանակով 2020 թվա</w:t>
      </w:r>
      <w:r w:rsidRPr="007955BB">
        <w:rPr>
          <w:b w:val="0"/>
          <w:szCs w:val="22"/>
          <w:lang w:val="hy-AM" w:eastAsia="en-US"/>
        </w:rPr>
        <w:softHyphen/>
        <w:t>կանի համար հաշվարկված գյուղատնտեսության ոլորտի վարձու աշխատողների աշխատանքի վարձատրության գծով եկա</w:t>
      </w:r>
      <w:r w:rsidRPr="007955BB">
        <w:rPr>
          <w:b w:val="0"/>
          <w:szCs w:val="22"/>
          <w:lang w:val="hy-AM" w:eastAsia="en-US"/>
        </w:rPr>
        <w:softHyphen/>
        <w:t>մուտ</w:t>
      </w:r>
      <w:r w:rsidRPr="007955BB">
        <w:rPr>
          <w:b w:val="0"/>
          <w:szCs w:val="22"/>
          <w:lang w:val="hy-AM" w:eastAsia="en-US"/>
        </w:rPr>
        <w:softHyphen/>
        <w:t>ները, որոնց նկատմամբ կիրառվել է գյուղատնտեսության ոլորտի 2021 թվականի` արտադ</w:t>
      </w:r>
      <w:r w:rsidRPr="007955BB">
        <w:rPr>
          <w:b w:val="0"/>
          <w:szCs w:val="22"/>
          <w:lang w:val="hy-AM" w:eastAsia="en-US"/>
        </w:rPr>
        <w:softHyphen/>
      </w:r>
      <w:r w:rsidRPr="007955BB">
        <w:rPr>
          <w:b w:val="0"/>
          <w:szCs w:val="22"/>
          <w:lang w:val="hy-AM" w:eastAsia="en-US"/>
        </w:rPr>
        <w:softHyphen/>
        <w:t>րական եղանակով որոշված ավելացված արժեքների աճի տեմպը:</w:t>
      </w:r>
    </w:p>
    <w:p w:rsidR="00EB778F" w:rsidRPr="007955BB" w:rsidRDefault="00EB778F" w:rsidP="00EB778F">
      <w:pPr>
        <w:spacing w:before="0" w:line="276" w:lineRule="auto"/>
        <w:contextualSpacing w:val="0"/>
        <w:rPr>
          <w:b w:val="0"/>
          <w:szCs w:val="22"/>
          <w:lang w:val="hy-AM" w:eastAsia="en-US"/>
        </w:rPr>
      </w:pPr>
      <w:r w:rsidRPr="007955BB">
        <w:rPr>
          <w:b w:val="0"/>
          <w:szCs w:val="22"/>
          <w:lang w:val="hy-AM" w:eastAsia="en-US"/>
        </w:rPr>
        <w:t>Ստացված արդյունքը ճշգրտվել է գյուղատնտեսության մասնաբաժ</w:t>
      </w:r>
      <w:r w:rsidRPr="007955BB">
        <w:rPr>
          <w:b w:val="0"/>
          <w:szCs w:val="22"/>
          <w:lang w:val="hy-AM" w:eastAsia="en-US"/>
        </w:rPr>
        <w:softHyphen/>
        <w:t>նում ապրանքայ</w:t>
      </w:r>
      <w:r w:rsidRPr="007955BB">
        <w:rPr>
          <w:b w:val="0"/>
          <w:szCs w:val="22"/>
          <w:lang w:val="hy-AM" w:eastAsia="en-US"/>
        </w:rPr>
        <w:softHyphen/>
        <w:t>նու</w:t>
      </w:r>
      <w:r w:rsidRPr="007955BB">
        <w:rPr>
          <w:b w:val="0"/>
          <w:szCs w:val="22"/>
          <w:lang w:val="hy-AM" w:eastAsia="en-US"/>
        </w:rPr>
        <w:softHyphen/>
        <w:t>թյան մակարդակով:</w:t>
      </w:r>
    </w:p>
    <w:p w:rsidR="00EB778F" w:rsidRPr="007955BB" w:rsidRDefault="00EB778F" w:rsidP="00EB778F">
      <w:pPr>
        <w:spacing w:before="0" w:line="276" w:lineRule="auto"/>
        <w:contextualSpacing w:val="0"/>
        <w:rPr>
          <w:b w:val="0"/>
          <w:szCs w:val="22"/>
          <w:lang w:val="hy-AM" w:eastAsia="en-US"/>
        </w:rPr>
      </w:pPr>
      <w:r w:rsidRPr="007955BB">
        <w:rPr>
          <w:b w:val="0"/>
          <w:szCs w:val="22"/>
          <w:lang w:val="hy-AM" w:eastAsia="en-US"/>
        </w:rPr>
        <w:t>Որոշվել է ճշգրտված արդյունքի մեջ անհատ ձեռնարկատեր չհանդիսացող ֆիզիկական անձանց մաս</w:t>
      </w:r>
      <w:r w:rsidRPr="007955BB">
        <w:rPr>
          <w:b w:val="0"/>
          <w:szCs w:val="22"/>
          <w:lang w:val="hy-AM" w:eastAsia="en-US"/>
        </w:rPr>
        <w:softHyphen/>
        <w:t>նա</w:t>
      </w:r>
      <w:r w:rsidRPr="007955BB">
        <w:rPr>
          <w:b w:val="0"/>
          <w:szCs w:val="22"/>
          <w:lang w:val="hy-AM" w:eastAsia="en-US"/>
        </w:rPr>
        <w:softHyphen/>
        <w:t>բա</w:t>
      </w:r>
      <w:r w:rsidRPr="007955BB">
        <w:rPr>
          <w:b w:val="0"/>
          <w:szCs w:val="22"/>
          <w:lang w:val="hy-AM" w:eastAsia="en-US"/>
        </w:rPr>
        <w:softHyphen/>
        <w:t>ժինը` համաձայն ՀՀ ՎԿ տվյալների: Ստացված արդյունքը ճշգրտվել է 2023 թվականի գյուղատնտեսության ճյուղի կանխատեսվող ծավալների աճով:</w:t>
      </w:r>
    </w:p>
    <w:p w:rsidR="00EB778F" w:rsidRPr="007955BB" w:rsidRDefault="00EB778F" w:rsidP="00EB778F">
      <w:pPr>
        <w:spacing w:before="0" w:line="276" w:lineRule="auto"/>
        <w:contextualSpacing w:val="0"/>
        <w:rPr>
          <w:b w:val="0"/>
          <w:szCs w:val="22"/>
          <w:lang w:val="hy-AM" w:eastAsia="en-US"/>
        </w:rPr>
      </w:pPr>
      <w:r w:rsidRPr="007955BB">
        <w:rPr>
          <w:b w:val="0"/>
          <w:szCs w:val="22"/>
          <w:lang w:val="hy-AM" w:eastAsia="en-US"/>
        </w:rPr>
        <w:t>Հաշվարկվել է ստացված արդյունքին համապատասխանող եկամտային հարկի գումարը` հաշվի առնելով եկամտային հարկի դրույքաչափի փոփոխության արդյունքները:</w:t>
      </w:r>
    </w:p>
    <w:p w:rsidR="00EB778F" w:rsidRPr="007955BB" w:rsidRDefault="00EB778F" w:rsidP="00EB778F">
      <w:pPr>
        <w:spacing w:before="0" w:line="276" w:lineRule="auto"/>
        <w:contextualSpacing w:val="0"/>
        <w:rPr>
          <w:szCs w:val="22"/>
          <w:lang w:val="hy-AM" w:eastAsia="en-US"/>
        </w:rPr>
      </w:pPr>
      <w:r w:rsidRPr="007955BB">
        <w:rPr>
          <w:szCs w:val="22"/>
          <w:lang w:val="hy-AM" w:eastAsia="en-US"/>
        </w:rPr>
        <w:t>Հիպոտեկային վարկերի տոկոսների սպասարկման համար վարկառուներին և համավարկառուներին վերադարձված եկամտային հարկի գումարները.</w:t>
      </w:r>
    </w:p>
    <w:p w:rsidR="00EB778F" w:rsidRPr="007955BB" w:rsidRDefault="00EB778F" w:rsidP="00EB778F">
      <w:pPr>
        <w:spacing w:before="0" w:line="276" w:lineRule="auto"/>
        <w:contextualSpacing w:val="0"/>
        <w:rPr>
          <w:b w:val="0"/>
          <w:szCs w:val="22"/>
          <w:lang w:val="hy-AM" w:eastAsia="en-US"/>
        </w:rPr>
      </w:pPr>
      <w:r w:rsidRPr="007955BB">
        <w:rPr>
          <w:b w:val="0"/>
          <w:szCs w:val="22"/>
          <w:lang w:val="hy-AM" w:eastAsia="en-US"/>
        </w:rPr>
        <w:t>Հաշվարկվել են 2021 թվականի արդյունքներով հիպոտեկային վարկերի տոկոսների սպասարկման համար վարկառուներին և համավարկառուներին վերադարձված եկամտային հարկի գումարները:  Ստացված արդյունքը ճշգրտվել է 2023 թվականի համար վերադարձվող գումարների կանխատեսվող ծավալների աճով` հիմք ընդունելով նախորդ տարվա նկատմամբ վերադարձված գումարների աճի տեմպը:</w:t>
      </w:r>
    </w:p>
    <w:p w:rsidR="00EB778F" w:rsidRPr="007955BB" w:rsidRDefault="00EB778F" w:rsidP="00EB778F">
      <w:pPr>
        <w:spacing w:before="0" w:line="276" w:lineRule="auto"/>
        <w:contextualSpacing w:val="0"/>
        <w:rPr>
          <w:szCs w:val="22"/>
          <w:lang w:val="hy-AM" w:eastAsia="en-US"/>
        </w:rPr>
      </w:pPr>
      <w:r w:rsidRPr="007955BB">
        <w:rPr>
          <w:szCs w:val="22"/>
          <w:lang w:val="hy-AM" w:eastAsia="en-US"/>
        </w:rPr>
        <w:t>ՏՏ ոլորտի արտոնություններ.</w:t>
      </w:r>
    </w:p>
    <w:p w:rsidR="00EB778F" w:rsidRDefault="00EB778F" w:rsidP="00EB778F">
      <w:pPr>
        <w:spacing w:before="0" w:line="276" w:lineRule="auto"/>
        <w:contextualSpacing w:val="0"/>
        <w:rPr>
          <w:b w:val="0"/>
          <w:szCs w:val="22"/>
          <w:lang w:val="hy-AM" w:eastAsia="en-US"/>
        </w:rPr>
      </w:pPr>
      <w:r w:rsidRPr="007955BB">
        <w:rPr>
          <w:b w:val="0"/>
          <w:szCs w:val="22"/>
          <w:lang w:val="hy-AM" w:eastAsia="en-US"/>
        </w:rPr>
        <w:t>Որոշվել են 2021 թվականի համար ՏՏ ոլորտի  վարձու աշխատողների աշխատանքի վարձատրությանն ուղղված գումարները: Ստացված արդյունքը ճշգրտվել է 2023 թվականի համար կանխատեսվող ծավալների աճով` հիմք ընդունելով ՎԿ կողմից հրապարակած տվյալներով նախորդ տարվա նկատմամբ ոլորտի աճի տեմպը: Այնուհետև հաշվարկվել է հարկային ծախսը` ստացված արդյունքի նկատմամբ կիրառելով եկամտային հարկի ընդհանուր և արտոնյալ դրույքաչափերի տարբերությունը (10%=20%-10%):</w:t>
      </w:r>
    </w:p>
    <w:p w:rsidR="00B936EF" w:rsidRDefault="00B936EF" w:rsidP="00EB778F">
      <w:pPr>
        <w:spacing w:before="0" w:line="276" w:lineRule="auto"/>
        <w:contextualSpacing w:val="0"/>
        <w:rPr>
          <w:b w:val="0"/>
          <w:szCs w:val="22"/>
          <w:lang w:val="hy-AM" w:eastAsia="en-US"/>
        </w:rPr>
      </w:pPr>
    </w:p>
    <w:p w:rsidR="00B936EF" w:rsidRPr="007955BB" w:rsidRDefault="00B936EF" w:rsidP="00EB778F">
      <w:pPr>
        <w:spacing w:before="0" w:line="276" w:lineRule="auto"/>
        <w:contextualSpacing w:val="0"/>
        <w:rPr>
          <w:b w:val="0"/>
          <w:szCs w:val="22"/>
          <w:lang w:val="hy-AM" w:eastAsia="en-US"/>
        </w:rPr>
      </w:pPr>
    </w:p>
    <w:p w:rsidR="00EB778F" w:rsidRPr="007955BB" w:rsidRDefault="00EB778F" w:rsidP="00F04DA1">
      <w:pPr>
        <w:numPr>
          <w:ilvl w:val="0"/>
          <w:numId w:val="56"/>
        </w:numPr>
        <w:tabs>
          <w:tab w:val="left" w:pos="993"/>
        </w:tabs>
        <w:spacing w:before="0" w:line="276" w:lineRule="auto"/>
        <w:ind w:left="0" w:firstLine="567"/>
        <w:contextualSpacing w:val="0"/>
        <w:jc w:val="left"/>
        <w:rPr>
          <w:rFonts w:cs="Sylfaen"/>
          <w:i/>
          <w:szCs w:val="22"/>
          <w:lang w:val="hy-AM" w:eastAsia="en-US"/>
        </w:rPr>
      </w:pPr>
      <w:r w:rsidRPr="007955BB">
        <w:rPr>
          <w:rFonts w:cs="Sylfaen"/>
          <w:i/>
          <w:szCs w:val="22"/>
          <w:lang w:val="hy-AM" w:eastAsia="en-US"/>
        </w:rPr>
        <w:t>ԱԱՀ-ի շեմի գծով հարկային ծախսերը.</w:t>
      </w:r>
    </w:p>
    <w:p w:rsidR="00EB778F" w:rsidRPr="007955BB" w:rsidRDefault="00EB778F" w:rsidP="00EB778F">
      <w:pPr>
        <w:spacing w:before="0" w:line="276" w:lineRule="auto"/>
        <w:contextualSpacing w:val="0"/>
        <w:rPr>
          <w:b w:val="0"/>
          <w:szCs w:val="22"/>
          <w:lang w:val="hy-AM" w:eastAsia="en-US"/>
        </w:rPr>
      </w:pPr>
      <w:r w:rsidRPr="007955BB">
        <w:rPr>
          <w:b w:val="0"/>
          <w:szCs w:val="22"/>
          <w:lang w:val="hy-AM" w:eastAsia="en-US"/>
        </w:rPr>
        <w:t>Որոշվել է 2021 թվականի շրջանառության հարկ վճարողների շրջանառությունը` համաձայն հարկ վճա</w:t>
      </w:r>
      <w:r w:rsidRPr="007955BB">
        <w:rPr>
          <w:b w:val="0"/>
          <w:szCs w:val="22"/>
          <w:lang w:val="hy-AM" w:eastAsia="en-US"/>
        </w:rPr>
        <w:softHyphen/>
        <w:t>րող</w:t>
      </w:r>
      <w:r w:rsidRPr="007955BB">
        <w:rPr>
          <w:b w:val="0"/>
          <w:szCs w:val="22"/>
          <w:lang w:val="hy-AM" w:eastAsia="en-US"/>
        </w:rPr>
        <w:softHyphen/>
        <w:t>ների կողմից ներկայացված շրջանառության հարկի հաշվարկների:</w:t>
      </w:r>
    </w:p>
    <w:p w:rsidR="00EB778F" w:rsidRPr="007955BB" w:rsidRDefault="00EB778F" w:rsidP="00EB778F">
      <w:pPr>
        <w:spacing w:before="0" w:line="276" w:lineRule="auto"/>
        <w:contextualSpacing w:val="0"/>
        <w:rPr>
          <w:b w:val="0"/>
          <w:szCs w:val="22"/>
          <w:lang w:val="hy-AM" w:eastAsia="en-US"/>
        </w:rPr>
      </w:pPr>
      <w:r w:rsidRPr="007955BB">
        <w:rPr>
          <w:b w:val="0"/>
          <w:szCs w:val="22"/>
          <w:lang w:val="hy-AM" w:eastAsia="en-US"/>
        </w:rPr>
        <w:t>Հաշվարկվել է շահութահարկի բազան` հիմք ընդունելով շահութա</w:t>
      </w:r>
      <w:r w:rsidRPr="007955BB">
        <w:rPr>
          <w:b w:val="0"/>
          <w:szCs w:val="22"/>
          <w:lang w:val="hy-AM" w:eastAsia="en-US"/>
        </w:rPr>
        <w:softHyphen/>
        <w:t>բե</w:t>
      </w:r>
      <w:r w:rsidRPr="007955BB">
        <w:rPr>
          <w:b w:val="0"/>
          <w:szCs w:val="22"/>
          <w:lang w:val="hy-AM" w:eastAsia="en-US"/>
        </w:rPr>
        <w:softHyphen/>
        <w:t>րու</w:t>
      </w:r>
      <w:r w:rsidRPr="007955BB">
        <w:rPr>
          <w:b w:val="0"/>
          <w:szCs w:val="22"/>
          <w:lang w:val="hy-AM" w:eastAsia="en-US"/>
        </w:rPr>
        <w:softHyphen/>
        <w:t>թյան միջի</w:t>
      </w:r>
      <w:r w:rsidRPr="007955BB">
        <w:rPr>
          <w:b w:val="0"/>
          <w:szCs w:val="22"/>
          <w:lang w:val="hy-AM" w:eastAsia="en-US"/>
        </w:rPr>
        <w:softHyphen/>
        <w:t>նաց</w:t>
      </w:r>
      <w:r w:rsidRPr="007955BB">
        <w:rPr>
          <w:b w:val="0"/>
          <w:szCs w:val="22"/>
          <w:lang w:val="hy-AM" w:eastAsia="en-US"/>
        </w:rPr>
        <w:softHyphen/>
        <w:t>ված մակարդակները:</w:t>
      </w:r>
    </w:p>
    <w:p w:rsidR="00EB778F" w:rsidRPr="007955BB" w:rsidRDefault="00EB778F" w:rsidP="00EB778F">
      <w:pPr>
        <w:spacing w:before="0" w:line="276" w:lineRule="auto"/>
        <w:contextualSpacing w:val="0"/>
        <w:rPr>
          <w:b w:val="0"/>
          <w:szCs w:val="22"/>
          <w:lang w:val="hy-AM" w:eastAsia="en-US"/>
        </w:rPr>
      </w:pPr>
      <w:r w:rsidRPr="007955BB">
        <w:rPr>
          <w:b w:val="0"/>
          <w:szCs w:val="22"/>
          <w:lang w:val="hy-AM" w:eastAsia="en-US"/>
        </w:rPr>
        <w:t>Ստացված բազայի նկատմամբ կիրառվել է շահութահարկի 18% դրույքաչափ և հաշ</w:t>
      </w:r>
      <w:r w:rsidRPr="007955BB">
        <w:rPr>
          <w:b w:val="0"/>
          <w:szCs w:val="22"/>
          <w:lang w:val="hy-AM" w:eastAsia="en-US"/>
        </w:rPr>
        <w:softHyphen/>
        <w:t>վարկ</w:t>
      </w:r>
      <w:r w:rsidRPr="007955BB">
        <w:rPr>
          <w:b w:val="0"/>
          <w:szCs w:val="22"/>
          <w:lang w:val="hy-AM" w:eastAsia="en-US"/>
        </w:rPr>
        <w:softHyphen/>
        <w:t>վել է շահութահարկի գծով արդյունքը:</w:t>
      </w:r>
    </w:p>
    <w:p w:rsidR="00EB778F" w:rsidRPr="007955BB" w:rsidRDefault="00EB778F" w:rsidP="00EB778F">
      <w:pPr>
        <w:spacing w:before="0" w:line="276" w:lineRule="auto"/>
        <w:contextualSpacing w:val="0"/>
        <w:rPr>
          <w:b w:val="0"/>
          <w:szCs w:val="22"/>
          <w:lang w:val="hy-AM" w:eastAsia="en-US"/>
        </w:rPr>
      </w:pPr>
      <w:r w:rsidRPr="007955BB">
        <w:rPr>
          <w:b w:val="0"/>
          <w:szCs w:val="22"/>
          <w:lang w:val="hy-AM" w:eastAsia="en-US"/>
        </w:rPr>
        <w:t>Հաշվարկվել է ԱԱՀ-ի բազան` հիմք ընդունելով շահութաբերության և աշխատավար</w:t>
      </w:r>
      <w:r w:rsidRPr="007955BB">
        <w:rPr>
          <w:b w:val="0"/>
          <w:szCs w:val="22"/>
          <w:lang w:val="hy-AM" w:eastAsia="en-US"/>
        </w:rPr>
        <w:softHyphen/>
        <w:t>ձերի միջինացված մակարդակները:</w:t>
      </w:r>
    </w:p>
    <w:p w:rsidR="00EB778F" w:rsidRPr="007955BB" w:rsidRDefault="00EB778F" w:rsidP="00EB778F">
      <w:pPr>
        <w:spacing w:before="0" w:line="276" w:lineRule="auto"/>
        <w:contextualSpacing w:val="0"/>
        <w:rPr>
          <w:b w:val="0"/>
          <w:szCs w:val="22"/>
          <w:lang w:val="hy-AM" w:eastAsia="en-US"/>
        </w:rPr>
      </w:pPr>
      <w:r w:rsidRPr="007955BB">
        <w:rPr>
          <w:b w:val="0"/>
          <w:szCs w:val="22"/>
          <w:lang w:val="hy-AM" w:eastAsia="en-US"/>
        </w:rPr>
        <w:t xml:space="preserve">Ստացված բազայի նկատմամբ կիրառվել է ԱԱՀ-ի 20% դրույքաչափ և հաշվարկվել է ԱԱՀ-ի գծով արդյունքը: </w:t>
      </w:r>
    </w:p>
    <w:p w:rsidR="00EB778F" w:rsidRPr="007955BB" w:rsidRDefault="00EB778F" w:rsidP="00EB778F">
      <w:pPr>
        <w:spacing w:before="0" w:line="276" w:lineRule="auto"/>
        <w:contextualSpacing w:val="0"/>
        <w:rPr>
          <w:b w:val="0"/>
          <w:szCs w:val="22"/>
          <w:lang w:val="hy-AM" w:eastAsia="en-US"/>
        </w:rPr>
      </w:pPr>
      <w:r w:rsidRPr="007955BB">
        <w:rPr>
          <w:b w:val="0"/>
          <w:szCs w:val="22"/>
          <w:lang w:val="hy-AM" w:eastAsia="en-US"/>
        </w:rPr>
        <w:t>Շահութահարկի ու ԱԱՀ-ի գծով ստացված եկամտային ներուժի և փաստացի վճարված շրջա</w:t>
      </w:r>
      <w:r w:rsidRPr="007955BB">
        <w:rPr>
          <w:b w:val="0"/>
          <w:szCs w:val="22"/>
          <w:lang w:val="hy-AM" w:eastAsia="en-US"/>
        </w:rPr>
        <w:softHyphen/>
        <w:t>նառության հարկի տարբերությունը` ճշգրտված 2023 թվականի տնտեսության ճյուղերի կանխատեսվող ծավալների աճով, իրենից ներկայացնում է ԱԱՀ-ի շեմի գծով շահութահարկի ու ԱԱՀ-ի հարկա</w:t>
      </w:r>
      <w:r w:rsidRPr="007955BB">
        <w:rPr>
          <w:b w:val="0"/>
          <w:szCs w:val="22"/>
          <w:lang w:val="hy-AM" w:eastAsia="en-US"/>
        </w:rPr>
        <w:softHyphen/>
        <w:t>յին ծախսը:</w:t>
      </w:r>
    </w:p>
    <w:p w:rsidR="00EB778F" w:rsidRPr="007955BB" w:rsidRDefault="00EB778F" w:rsidP="00F04DA1">
      <w:pPr>
        <w:numPr>
          <w:ilvl w:val="0"/>
          <w:numId w:val="56"/>
        </w:numPr>
        <w:tabs>
          <w:tab w:val="left" w:pos="993"/>
        </w:tabs>
        <w:spacing w:before="0" w:line="276" w:lineRule="auto"/>
        <w:ind w:left="0" w:firstLine="567"/>
        <w:contextualSpacing w:val="0"/>
        <w:jc w:val="left"/>
        <w:rPr>
          <w:rFonts w:cs="Sylfaen"/>
          <w:i/>
          <w:szCs w:val="22"/>
          <w:lang w:val="en-US" w:eastAsia="en-US"/>
        </w:rPr>
      </w:pPr>
      <w:r w:rsidRPr="007955BB">
        <w:rPr>
          <w:rFonts w:cs="Sylfaen"/>
          <w:i/>
          <w:szCs w:val="22"/>
          <w:lang w:val="en-US" w:eastAsia="en-US"/>
        </w:rPr>
        <w:t>Միկրոբիզնեսի գծով հարկային ծախսերը.</w:t>
      </w:r>
    </w:p>
    <w:p w:rsidR="00EB778F" w:rsidRPr="007955BB" w:rsidRDefault="00EB778F" w:rsidP="00EB778F">
      <w:pPr>
        <w:spacing w:before="0" w:line="276" w:lineRule="auto"/>
        <w:contextualSpacing w:val="0"/>
        <w:rPr>
          <w:b w:val="0"/>
          <w:szCs w:val="22"/>
          <w:lang w:val="en-US" w:eastAsia="en-US"/>
        </w:rPr>
      </w:pPr>
      <w:r w:rsidRPr="007955BB">
        <w:rPr>
          <w:b w:val="0"/>
          <w:szCs w:val="22"/>
          <w:lang w:val="en-US" w:eastAsia="en-US"/>
        </w:rPr>
        <w:t xml:space="preserve">Որոշվել է 2021 թվականի </w:t>
      </w:r>
      <w:r w:rsidRPr="007955BB">
        <w:rPr>
          <w:b w:val="0"/>
          <w:szCs w:val="22"/>
          <w:lang w:val="hy-AM" w:eastAsia="en-US"/>
        </w:rPr>
        <w:t>միկրոբիզնեսի հարկման համակարգում գործող հարկ վճարողների իրացման շրջանառությունը</w:t>
      </w:r>
      <w:r w:rsidRPr="007955BB">
        <w:rPr>
          <w:b w:val="0"/>
          <w:szCs w:val="22"/>
          <w:lang w:val="en-US" w:eastAsia="en-US"/>
        </w:rPr>
        <w:t xml:space="preserve">` համաձայն </w:t>
      </w:r>
      <w:r w:rsidRPr="007955BB">
        <w:rPr>
          <w:b w:val="0"/>
          <w:szCs w:val="22"/>
          <w:lang w:val="hy-AM" w:eastAsia="en-US"/>
        </w:rPr>
        <w:t>միկրոձեռնարկատիրության սուբյեկտի իրացման շրջանառությունների վերաբերյալ հաշվետվության տվյալների</w:t>
      </w:r>
      <w:r w:rsidRPr="007955BB">
        <w:rPr>
          <w:b w:val="0"/>
          <w:szCs w:val="22"/>
          <w:lang w:val="en-US" w:eastAsia="en-US"/>
        </w:rPr>
        <w:t>:</w:t>
      </w:r>
    </w:p>
    <w:p w:rsidR="00EB778F" w:rsidRPr="007955BB" w:rsidRDefault="00EB778F" w:rsidP="00EB778F">
      <w:pPr>
        <w:spacing w:before="0" w:line="276" w:lineRule="auto"/>
        <w:contextualSpacing w:val="0"/>
        <w:rPr>
          <w:b w:val="0"/>
          <w:szCs w:val="22"/>
          <w:lang w:val="en-US" w:eastAsia="en-US"/>
        </w:rPr>
      </w:pPr>
      <w:r w:rsidRPr="007955BB">
        <w:rPr>
          <w:b w:val="0"/>
          <w:szCs w:val="22"/>
          <w:lang w:val="en-US" w:eastAsia="en-US"/>
        </w:rPr>
        <w:t>Հաշվարկվել է շահութահարկի բազան` հիմք ընդունելով շահութա</w:t>
      </w:r>
      <w:r w:rsidRPr="007955BB">
        <w:rPr>
          <w:b w:val="0"/>
          <w:szCs w:val="22"/>
          <w:lang w:val="en-US" w:eastAsia="en-US"/>
        </w:rPr>
        <w:softHyphen/>
        <w:t>բե</w:t>
      </w:r>
      <w:r w:rsidRPr="007955BB">
        <w:rPr>
          <w:b w:val="0"/>
          <w:szCs w:val="22"/>
          <w:lang w:val="en-US" w:eastAsia="en-US"/>
        </w:rPr>
        <w:softHyphen/>
        <w:t>րու</w:t>
      </w:r>
      <w:r w:rsidRPr="007955BB">
        <w:rPr>
          <w:b w:val="0"/>
          <w:szCs w:val="22"/>
          <w:lang w:val="en-US" w:eastAsia="en-US"/>
        </w:rPr>
        <w:softHyphen/>
        <w:t>թյան միջի</w:t>
      </w:r>
      <w:r w:rsidRPr="007955BB">
        <w:rPr>
          <w:b w:val="0"/>
          <w:szCs w:val="22"/>
          <w:lang w:val="en-US" w:eastAsia="en-US"/>
        </w:rPr>
        <w:softHyphen/>
        <w:t>նաց</w:t>
      </w:r>
      <w:r w:rsidRPr="007955BB">
        <w:rPr>
          <w:b w:val="0"/>
          <w:szCs w:val="22"/>
          <w:lang w:val="en-US" w:eastAsia="en-US"/>
        </w:rPr>
        <w:softHyphen/>
        <w:t>ված մակարդակները:</w:t>
      </w:r>
    </w:p>
    <w:p w:rsidR="00EB778F" w:rsidRPr="007955BB" w:rsidRDefault="00EB778F" w:rsidP="00EB778F">
      <w:pPr>
        <w:spacing w:before="0" w:line="276" w:lineRule="auto"/>
        <w:contextualSpacing w:val="0"/>
        <w:rPr>
          <w:b w:val="0"/>
          <w:szCs w:val="22"/>
          <w:lang w:val="en-US" w:eastAsia="en-US"/>
        </w:rPr>
      </w:pPr>
      <w:r w:rsidRPr="007955BB">
        <w:rPr>
          <w:b w:val="0"/>
          <w:szCs w:val="22"/>
          <w:lang w:val="en-US" w:eastAsia="en-US"/>
        </w:rPr>
        <w:t>Ստացված բազայի նկատմամբ կիրառվել է շահութահարկի 18% դրույքաչափ և հաշ</w:t>
      </w:r>
      <w:r w:rsidRPr="007955BB">
        <w:rPr>
          <w:b w:val="0"/>
          <w:szCs w:val="22"/>
          <w:lang w:val="en-US" w:eastAsia="en-US"/>
        </w:rPr>
        <w:softHyphen/>
        <w:t>վարկ</w:t>
      </w:r>
      <w:r w:rsidRPr="007955BB">
        <w:rPr>
          <w:b w:val="0"/>
          <w:szCs w:val="22"/>
          <w:lang w:val="en-US" w:eastAsia="en-US"/>
        </w:rPr>
        <w:softHyphen/>
        <w:t>վել է շահութահարկի գծով արդյունքը:</w:t>
      </w:r>
    </w:p>
    <w:p w:rsidR="00EB778F" w:rsidRPr="007955BB" w:rsidRDefault="00EB778F" w:rsidP="00EB778F">
      <w:pPr>
        <w:spacing w:before="0" w:line="276" w:lineRule="auto"/>
        <w:contextualSpacing w:val="0"/>
        <w:rPr>
          <w:b w:val="0"/>
          <w:szCs w:val="22"/>
          <w:lang w:val="en-US" w:eastAsia="en-US"/>
        </w:rPr>
      </w:pPr>
      <w:r w:rsidRPr="007955BB">
        <w:rPr>
          <w:b w:val="0"/>
          <w:szCs w:val="22"/>
          <w:lang w:val="en-US" w:eastAsia="en-US"/>
        </w:rPr>
        <w:t>Հաշվարկվել է ԱԱՀ-ի բազան` հիմք ընդունելով շահութաբերության և աշխատավար</w:t>
      </w:r>
      <w:r w:rsidRPr="007955BB">
        <w:rPr>
          <w:b w:val="0"/>
          <w:szCs w:val="22"/>
          <w:lang w:val="en-US" w:eastAsia="en-US"/>
        </w:rPr>
        <w:softHyphen/>
        <w:t>ձերի միջինացված մակարդակները:</w:t>
      </w:r>
    </w:p>
    <w:p w:rsidR="00EB778F" w:rsidRPr="007955BB" w:rsidRDefault="00EB778F" w:rsidP="00EB778F">
      <w:pPr>
        <w:spacing w:before="0" w:line="276" w:lineRule="auto"/>
        <w:contextualSpacing w:val="0"/>
        <w:rPr>
          <w:b w:val="0"/>
          <w:szCs w:val="22"/>
          <w:lang w:val="en-US" w:eastAsia="en-US"/>
        </w:rPr>
      </w:pPr>
      <w:r w:rsidRPr="007955BB">
        <w:rPr>
          <w:b w:val="0"/>
          <w:szCs w:val="22"/>
          <w:lang w:val="en-US" w:eastAsia="en-US"/>
        </w:rPr>
        <w:t xml:space="preserve">Ստացված բազայի նկատմամբ կիրառվել է ԱԱՀ-ի 20% դրույքաչափ և հաշվարկվել է ԱԱՀ-ի գծով արդյունքը: </w:t>
      </w:r>
    </w:p>
    <w:p w:rsidR="00EB778F" w:rsidRPr="007955BB" w:rsidRDefault="00EB778F" w:rsidP="00EB778F">
      <w:pPr>
        <w:spacing w:before="0" w:line="276" w:lineRule="auto"/>
        <w:contextualSpacing w:val="0"/>
        <w:rPr>
          <w:b w:val="0"/>
          <w:szCs w:val="22"/>
          <w:lang w:val="en-US" w:eastAsia="en-US"/>
        </w:rPr>
      </w:pPr>
      <w:r w:rsidRPr="007955BB">
        <w:rPr>
          <w:b w:val="0"/>
          <w:szCs w:val="22"/>
          <w:lang w:val="en-US" w:eastAsia="en-US"/>
        </w:rPr>
        <w:t xml:space="preserve">Շահութահարկի ու ԱԱՀ-ի գծով ստացված եկամտային ներուժի` ճշգրտված 2023 թվականի տնտեսության ճյուղերի կանխատեսվող ծավալների աճով, իրենից ներկայացնում է </w:t>
      </w:r>
      <w:r w:rsidRPr="007955BB">
        <w:rPr>
          <w:b w:val="0"/>
          <w:szCs w:val="22"/>
          <w:lang w:val="hy-AM" w:eastAsia="en-US"/>
        </w:rPr>
        <w:t>միկրոձեռնարկատիրության</w:t>
      </w:r>
      <w:r w:rsidRPr="007955BB">
        <w:rPr>
          <w:b w:val="0"/>
          <w:szCs w:val="22"/>
          <w:lang w:val="en-US" w:eastAsia="en-US"/>
        </w:rPr>
        <w:t xml:space="preserve"> գծով շահութահարկի ու ԱԱՀ-ի հարկա</w:t>
      </w:r>
      <w:r w:rsidRPr="007955BB">
        <w:rPr>
          <w:b w:val="0"/>
          <w:szCs w:val="22"/>
          <w:lang w:val="en-US" w:eastAsia="en-US"/>
        </w:rPr>
        <w:softHyphen/>
        <w:t>յին ծախսը:</w:t>
      </w:r>
    </w:p>
    <w:p w:rsidR="00EB778F" w:rsidRPr="007955BB" w:rsidRDefault="00EB778F" w:rsidP="00EB778F">
      <w:pPr>
        <w:spacing w:before="0" w:line="276" w:lineRule="auto"/>
        <w:contextualSpacing w:val="0"/>
        <w:rPr>
          <w:b w:val="0"/>
          <w:szCs w:val="22"/>
          <w:lang w:val="en-US" w:eastAsia="en-US"/>
        </w:rPr>
      </w:pPr>
      <w:r w:rsidRPr="007955BB">
        <w:rPr>
          <w:b w:val="0"/>
          <w:szCs w:val="22"/>
          <w:lang w:val="en-US" w:eastAsia="en-US"/>
        </w:rPr>
        <w:t xml:space="preserve">Այնուհետև գնահատվել է միկրոբիզնեսի շրջանակներում աշխատողների եկամտային հարկի գծով հարկային ծախսը՝ որպես օրենքով սահմանված կարգով յուրաքանչյուր աշխատողի համար </w:t>
      </w:r>
      <w:r w:rsidRPr="007955BB">
        <w:rPr>
          <w:b w:val="0"/>
          <w:szCs w:val="22"/>
          <w:lang w:val="hy-AM" w:eastAsia="en-US"/>
        </w:rPr>
        <w:t>հայտարարագրված</w:t>
      </w:r>
      <w:r w:rsidRPr="007955BB">
        <w:rPr>
          <w:b w:val="0"/>
          <w:szCs w:val="22"/>
          <w:lang w:val="en-US" w:eastAsia="en-US"/>
        </w:rPr>
        <w:t xml:space="preserve"> աշխատավարձի </w:t>
      </w:r>
      <w:r w:rsidRPr="007955BB">
        <w:rPr>
          <w:b w:val="0"/>
          <w:szCs w:val="22"/>
          <w:lang w:val="hy-AM" w:eastAsia="en-US"/>
        </w:rPr>
        <w:t xml:space="preserve">ֆոնդի </w:t>
      </w:r>
      <w:r w:rsidRPr="007955BB">
        <w:rPr>
          <w:b w:val="0"/>
          <w:szCs w:val="22"/>
          <w:lang w:val="en-US" w:eastAsia="en-US"/>
        </w:rPr>
        <w:t xml:space="preserve">պայմաններում հաշվարկված հարկի և </w:t>
      </w:r>
      <w:r w:rsidRPr="007955BB">
        <w:rPr>
          <w:b w:val="0"/>
          <w:szCs w:val="22"/>
          <w:lang w:val="hy-AM" w:eastAsia="en-US"/>
        </w:rPr>
        <w:t xml:space="preserve">յուրաքանչյուր աշխատողի համար </w:t>
      </w:r>
      <w:r w:rsidRPr="007955BB">
        <w:rPr>
          <w:b w:val="0"/>
          <w:szCs w:val="22"/>
          <w:lang w:val="en-US" w:eastAsia="en-US"/>
        </w:rPr>
        <w:t>5000 դրամ</w:t>
      </w:r>
      <w:r w:rsidRPr="007955BB">
        <w:rPr>
          <w:b w:val="0"/>
          <w:szCs w:val="22"/>
          <w:lang w:val="hy-AM" w:eastAsia="en-US"/>
        </w:rPr>
        <w:t>ով հաշվարկված եկամտային հարկի հանրա</w:t>
      </w:r>
      <w:r w:rsidRPr="007955BB">
        <w:rPr>
          <w:b w:val="0"/>
          <w:szCs w:val="22"/>
          <w:lang w:val="en-US" w:eastAsia="en-US"/>
        </w:rPr>
        <w:t>գումարի տարբերությ</w:t>
      </w:r>
      <w:r w:rsidRPr="007955BB">
        <w:rPr>
          <w:b w:val="0"/>
          <w:szCs w:val="22"/>
          <w:lang w:val="hy-AM" w:eastAsia="en-US"/>
        </w:rPr>
        <w:t>ուն`</w:t>
      </w:r>
      <w:r w:rsidRPr="007955BB">
        <w:rPr>
          <w:b w:val="0"/>
          <w:szCs w:val="22"/>
          <w:lang w:val="en-US" w:eastAsia="en-US"/>
        </w:rPr>
        <w:t xml:space="preserve"> ճշգրտված 2023 թվականի տնտեսության ճյուղերի կանխատեսվող ծավալների աճով</w:t>
      </w:r>
      <w:r w:rsidRPr="007955BB">
        <w:rPr>
          <w:b w:val="0"/>
          <w:szCs w:val="22"/>
          <w:lang w:val="hy-AM" w:eastAsia="en-US"/>
        </w:rPr>
        <w:t xml:space="preserve"> և եկամտային հարկի դրույքաչափի փոփոխության արդյունքով:</w:t>
      </w:r>
    </w:p>
    <w:p w:rsidR="00EB778F" w:rsidRPr="007955BB" w:rsidRDefault="00EB778F" w:rsidP="00EB778F">
      <w:pPr>
        <w:spacing w:before="0" w:line="276" w:lineRule="auto"/>
        <w:contextualSpacing w:val="0"/>
        <w:rPr>
          <w:b w:val="0"/>
          <w:szCs w:val="22"/>
          <w:lang w:val="hy-AM" w:eastAsia="en-US"/>
        </w:rPr>
      </w:pPr>
    </w:p>
    <w:p w:rsidR="00EB778F" w:rsidRPr="007955BB" w:rsidRDefault="00EB778F" w:rsidP="00EB778F">
      <w:pPr>
        <w:spacing w:before="0" w:line="276" w:lineRule="auto"/>
        <w:contextualSpacing w:val="0"/>
        <w:rPr>
          <w:b w:val="0"/>
          <w:i/>
          <w:szCs w:val="22"/>
          <w:lang w:val="hy-AM" w:eastAsia="en-US"/>
        </w:rPr>
      </w:pPr>
    </w:p>
    <w:p w:rsidR="00EB778F" w:rsidRPr="007955BB" w:rsidRDefault="00EB778F" w:rsidP="00E84267">
      <w:pPr>
        <w:spacing w:line="276" w:lineRule="auto"/>
        <w:rPr>
          <w:b w:val="0"/>
          <w:szCs w:val="22"/>
          <w:lang w:val="hy-AM"/>
        </w:rPr>
      </w:pPr>
    </w:p>
    <w:p w:rsidR="008B76F4" w:rsidRPr="007955BB" w:rsidRDefault="00E84267" w:rsidP="00A120FA">
      <w:pPr>
        <w:spacing w:before="0"/>
        <w:ind w:firstLine="0"/>
        <w:jc w:val="center"/>
        <w:outlineLvl w:val="0"/>
        <w:rPr>
          <w:bCs/>
          <w:kern w:val="28"/>
          <w:sz w:val="28"/>
          <w:szCs w:val="28"/>
        </w:rPr>
      </w:pPr>
      <w:r w:rsidRPr="007955BB">
        <w:rPr>
          <w:b w:val="0"/>
          <w:szCs w:val="22"/>
          <w:lang w:val="en-US" w:eastAsia="en-US"/>
        </w:rPr>
        <w:br w:type="page"/>
      </w:r>
      <w:bookmarkStart w:id="402" w:name="_Toc499827216"/>
      <w:bookmarkStart w:id="403" w:name="_Toc26174959"/>
      <w:bookmarkStart w:id="404" w:name="_Toc120805258"/>
      <w:r w:rsidR="008B76F4" w:rsidRPr="007955BB">
        <w:rPr>
          <w:bCs/>
          <w:kern w:val="28"/>
          <w:sz w:val="28"/>
          <w:szCs w:val="28"/>
        </w:rPr>
        <w:t>ԱՂՅՈՒՍԱԿՆԵՐ</w:t>
      </w:r>
      <w:bookmarkEnd w:id="402"/>
      <w:bookmarkEnd w:id="403"/>
      <w:bookmarkEnd w:id="404"/>
    </w:p>
    <w:p w:rsidR="00E379BD" w:rsidRPr="007955BB" w:rsidRDefault="00E379BD" w:rsidP="00C662D0">
      <w:pPr>
        <w:spacing w:before="0" w:line="276" w:lineRule="auto"/>
        <w:ind w:firstLine="0"/>
        <w:jc w:val="center"/>
        <w:outlineLvl w:val="0"/>
        <w:rPr>
          <w:bCs/>
          <w:kern w:val="28"/>
          <w:sz w:val="28"/>
          <w:szCs w:val="28"/>
        </w:rPr>
      </w:pPr>
    </w:p>
    <w:p w:rsidR="00CA7B0A" w:rsidRDefault="003C3925">
      <w:pPr>
        <w:pStyle w:val="TableofFigures"/>
        <w:rPr>
          <w:rFonts w:asciiTheme="minorHAnsi" w:eastAsiaTheme="minorEastAsia" w:hAnsiTheme="minorHAnsi" w:cstheme="minorBidi"/>
          <w:b w:val="0"/>
          <w:noProof/>
          <w:szCs w:val="22"/>
          <w:lang w:val="en-US" w:eastAsia="en-US"/>
        </w:rPr>
      </w:pPr>
      <w:r w:rsidRPr="007955BB">
        <w:rPr>
          <w:rFonts w:eastAsia="Calibri" w:cs="Times Armenian"/>
          <w:szCs w:val="22"/>
          <w:lang w:val="hy-AM" w:eastAsia="en-US"/>
        </w:rPr>
        <w:fldChar w:fldCharType="begin"/>
      </w:r>
      <w:r w:rsidR="008B76F4" w:rsidRPr="007955BB">
        <w:rPr>
          <w:rFonts w:eastAsia="Calibri" w:cs="Times Armenian"/>
          <w:szCs w:val="22"/>
          <w:lang w:val="hy-AM" w:eastAsia="en-US"/>
        </w:rPr>
        <w:instrText xml:space="preserve"> TOC \h \z \c "Աղյուսակ" </w:instrText>
      </w:r>
      <w:r w:rsidRPr="007955BB">
        <w:rPr>
          <w:rFonts w:eastAsia="Calibri" w:cs="Times Armenian"/>
          <w:szCs w:val="22"/>
          <w:lang w:val="hy-AM" w:eastAsia="en-US"/>
        </w:rPr>
        <w:fldChar w:fldCharType="separate"/>
      </w:r>
      <w:hyperlink w:anchor="_Toc120805260" w:history="1">
        <w:r w:rsidR="00CA7B0A" w:rsidRPr="00693730">
          <w:rPr>
            <w:rStyle w:val="Hyperlink"/>
            <w:bCs/>
            <w:noProof/>
            <w:lang w:val="hy-AM"/>
          </w:rPr>
          <w:t xml:space="preserve">Աղյուսակ 1. </w:t>
        </w:r>
        <w:r w:rsidR="00CA7B0A" w:rsidRPr="00693730">
          <w:rPr>
            <w:rStyle w:val="Hyperlink"/>
            <w:bCs/>
            <w:i/>
            <w:noProof/>
            <w:lang w:val="hy-AM"/>
          </w:rPr>
          <w:t>2019-2023թթ պետական բյուջեի ամփոփ ցուցանիշները (մլրդ դրամով)</w:t>
        </w:r>
        <w:r w:rsidR="00CA7B0A">
          <w:rPr>
            <w:noProof/>
            <w:webHidden/>
          </w:rPr>
          <w:tab/>
        </w:r>
        <w:r w:rsidR="00CA7B0A">
          <w:rPr>
            <w:noProof/>
            <w:webHidden/>
          </w:rPr>
          <w:fldChar w:fldCharType="begin"/>
        </w:r>
        <w:r w:rsidR="00CA7B0A">
          <w:rPr>
            <w:noProof/>
            <w:webHidden/>
          </w:rPr>
          <w:instrText xml:space="preserve"> PAGEREF _Toc120805260 \h </w:instrText>
        </w:r>
        <w:r w:rsidR="00CA7B0A">
          <w:rPr>
            <w:noProof/>
            <w:webHidden/>
          </w:rPr>
        </w:r>
        <w:r w:rsidR="00CA7B0A">
          <w:rPr>
            <w:noProof/>
            <w:webHidden/>
          </w:rPr>
          <w:fldChar w:fldCharType="separate"/>
        </w:r>
        <w:r w:rsidR="00CA7B0A">
          <w:rPr>
            <w:noProof/>
            <w:webHidden/>
          </w:rPr>
          <w:t>91</w:t>
        </w:r>
        <w:r w:rsidR="00CA7B0A">
          <w:rPr>
            <w:noProof/>
            <w:webHidden/>
          </w:rPr>
          <w:fldChar w:fldCharType="end"/>
        </w:r>
      </w:hyperlink>
    </w:p>
    <w:p w:rsidR="00CA7B0A" w:rsidRDefault="00C43BF7">
      <w:pPr>
        <w:pStyle w:val="TableofFigures"/>
        <w:rPr>
          <w:rFonts w:asciiTheme="minorHAnsi" w:eastAsiaTheme="minorEastAsia" w:hAnsiTheme="minorHAnsi" w:cstheme="minorBidi"/>
          <w:b w:val="0"/>
          <w:noProof/>
          <w:szCs w:val="22"/>
          <w:lang w:val="en-US" w:eastAsia="en-US"/>
        </w:rPr>
      </w:pPr>
      <w:hyperlink w:anchor="_Toc120805261" w:history="1">
        <w:r w:rsidR="00CA7B0A" w:rsidRPr="00693730">
          <w:rPr>
            <w:rStyle w:val="Hyperlink"/>
            <w:bCs/>
            <w:noProof/>
          </w:rPr>
          <w:t>Աղյուսակ</w:t>
        </w:r>
        <w:r w:rsidR="00CA7B0A" w:rsidRPr="00693730">
          <w:rPr>
            <w:rStyle w:val="Hyperlink"/>
            <w:bCs/>
            <w:noProof/>
            <w:lang w:val="es-ES"/>
          </w:rPr>
          <w:t xml:space="preserve"> 2</w:t>
        </w:r>
        <w:r w:rsidR="00CA7B0A" w:rsidRPr="00693730">
          <w:rPr>
            <w:rStyle w:val="Hyperlink"/>
            <w:rFonts w:ascii="Cambria Math" w:hAnsi="Cambria Math" w:cs="Cambria Math"/>
            <w:bCs/>
            <w:noProof/>
            <w:lang w:val="hy-AM"/>
          </w:rPr>
          <w:t>․</w:t>
        </w:r>
        <w:r w:rsidR="00CA7B0A" w:rsidRPr="00693730">
          <w:rPr>
            <w:rStyle w:val="Hyperlink"/>
            <w:bCs/>
            <w:i/>
            <w:noProof/>
            <w:lang w:val="hy-AM"/>
          </w:rPr>
          <w:t xml:space="preserve"> 202</w:t>
        </w:r>
        <w:r w:rsidR="00CA7B0A" w:rsidRPr="00693730">
          <w:rPr>
            <w:rStyle w:val="Hyperlink"/>
            <w:bCs/>
            <w:i/>
            <w:noProof/>
            <w:lang w:val="es-ES"/>
          </w:rPr>
          <w:t>3</w:t>
        </w:r>
        <w:r w:rsidR="00CA7B0A" w:rsidRPr="00693730">
          <w:rPr>
            <w:rStyle w:val="Hyperlink"/>
            <w:bCs/>
            <w:i/>
            <w:noProof/>
            <w:lang w:val="hy-AM"/>
          </w:rPr>
          <w:t>թ ակնկալվող արտաքին օժանդակությունն ըստ բնույթի</w:t>
        </w:r>
        <w:r w:rsidR="00CA7B0A">
          <w:rPr>
            <w:noProof/>
            <w:webHidden/>
          </w:rPr>
          <w:tab/>
        </w:r>
        <w:r w:rsidR="00CA7B0A">
          <w:rPr>
            <w:noProof/>
            <w:webHidden/>
          </w:rPr>
          <w:fldChar w:fldCharType="begin"/>
        </w:r>
        <w:r w:rsidR="00CA7B0A">
          <w:rPr>
            <w:noProof/>
            <w:webHidden/>
          </w:rPr>
          <w:instrText xml:space="preserve"> PAGEREF _Toc120805261 \h </w:instrText>
        </w:r>
        <w:r w:rsidR="00CA7B0A">
          <w:rPr>
            <w:noProof/>
            <w:webHidden/>
          </w:rPr>
        </w:r>
        <w:r w:rsidR="00CA7B0A">
          <w:rPr>
            <w:noProof/>
            <w:webHidden/>
          </w:rPr>
          <w:fldChar w:fldCharType="separate"/>
        </w:r>
        <w:r w:rsidR="00CA7B0A">
          <w:rPr>
            <w:noProof/>
            <w:webHidden/>
          </w:rPr>
          <w:t>93</w:t>
        </w:r>
        <w:r w:rsidR="00CA7B0A">
          <w:rPr>
            <w:noProof/>
            <w:webHidden/>
          </w:rPr>
          <w:fldChar w:fldCharType="end"/>
        </w:r>
      </w:hyperlink>
    </w:p>
    <w:p w:rsidR="00CA7B0A" w:rsidRDefault="00C43BF7">
      <w:pPr>
        <w:pStyle w:val="TableofFigures"/>
        <w:rPr>
          <w:rFonts w:asciiTheme="minorHAnsi" w:eastAsiaTheme="minorEastAsia" w:hAnsiTheme="minorHAnsi" w:cstheme="minorBidi"/>
          <w:b w:val="0"/>
          <w:noProof/>
          <w:szCs w:val="22"/>
          <w:lang w:val="en-US" w:eastAsia="en-US"/>
        </w:rPr>
      </w:pPr>
      <w:hyperlink w:anchor="_Toc120805262" w:history="1">
        <w:r w:rsidR="00CA7B0A" w:rsidRPr="00693730">
          <w:rPr>
            <w:rStyle w:val="Hyperlink"/>
            <w:noProof/>
            <w:lang w:val="hy-AM"/>
          </w:rPr>
          <w:t>Աղյուսակ 3</w:t>
        </w:r>
        <w:r w:rsidR="00CA7B0A" w:rsidRPr="00693730">
          <w:rPr>
            <w:rStyle w:val="Hyperlink"/>
            <w:rFonts w:ascii="Cambria Math" w:hAnsi="Cambria Math" w:cs="Cambria Math"/>
            <w:noProof/>
            <w:lang w:val="hy-AM"/>
          </w:rPr>
          <w:t>․</w:t>
        </w:r>
        <w:r w:rsidR="00CA7B0A" w:rsidRPr="00693730">
          <w:rPr>
            <w:rStyle w:val="Hyperlink"/>
            <w:rFonts w:ascii="Cambria Math" w:hAnsi="Cambria Math"/>
            <w:noProof/>
            <w:lang w:val="hy-AM"/>
          </w:rPr>
          <w:t xml:space="preserve"> </w:t>
        </w:r>
        <w:r w:rsidR="00CA7B0A" w:rsidRPr="00693730">
          <w:rPr>
            <w:rStyle w:val="Hyperlink"/>
            <w:i/>
            <w:noProof/>
            <w:lang w:val="hy-AM"/>
          </w:rPr>
          <w:t>ՀՀ 2023 թվականի պետական բյուջեի նախագծի հաշվարկներում կիրառված տարադրամների փոխարժեքները ՀՀ դրամով</w:t>
        </w:r>
        <w:r w:rsidR="00CA7B0A">
          <w:rPr>
            <w:noProof/>
            <w:webHidden/>
          </w:rPr>
          <w:tab/>
        </w:r>
        <w:r w:rsidR="00CA7B0A">
          <w:rPr>
            <w:noProof/>
            <w:webHidden/>
          </w:rPr>
          <w:fldChar w:fldCharType="begin"/>
        </w:r>
        <w:r w:rsidR="00CA7B0A">
          <w:rPr>
            <w:noProof/>
            <w:webHidden/>
          </w:rPr>
          <w:instrText xml:space="preserve"> PAGEREF _Toc120805262 \h </w:instrText>
        </w:r>
        <w:r w:rsidR="00CA7B0A">
          <w:rPr>
            <w:noProof/>
            <w:webHidden/>
          </w:rPr>
        </w:r>
        <w:r w:rsidR="00CA7B0A">
          <w:rPr>
            <w:noProof/>
            <w:webHidden/>
          </w:rPr>
          <w:fldChar w:fldCharType="separate"/>
        </w:r>
        <w:r w:rsidR="00CA7B0A">
          <w:rPr>
            <w:noProof/>
            <w:webHidden/>
          </w:rPr>
          <w:t>93</w:t>
        </w:r>
        <w:r w:rsidR="00CA7B0A">
          <w:rPr>
            <w:noProof/>
            <w:webHidden/>
          </w:rPr>
          <w:fldChar w:fldCharType="end"/>
        </w:r>
      </w:hyperlink>
    </w:p>
    <w:p w:rsidR="00CA7B0A" w:rsidRDefault="00C43BF7">
      <w:pPr>
        <w:pStyle w:val="TableofFigures"/>
        <w:rPr>
          <w:rFonts w:asciiTheme="minorHAnsi" w:eastAsiaTheme="minorEastAsia" w:hAnsiTheme="minorHAnsi" w:cstheme="minorBidi"/>
          <w:b w:val="0"/>
          <w:noProof/>
          <w:szCs w:val="22"/>
          <w:lang w:val="en-US" w:eastAsia="en-US"/>
        </w:rPr>
      </w:pPr>
      <w:hyperlink w:anchor="_Toc120805263" w:history="1">
        <w:r w:rsidR="00CA7B0A" w:rsidRPr="00693730">
          <w:rPr>
            <w:rStyle w:val="Hyperlink"/>
            <w:bCs/>
            <w:noProof/>
            <w:lang w:val="hy-AM"/>
          </w:rPr>
          <w:t>Աղյուսակ 4</w:t>
        </w:r>
        <w:r w:rsidR="00CA7B0A" w:rsidRPr="00693730">
          <w:rPr>
            <w:rStyle w:val="Hyperlink"/>
            <w:rFonts w:ascii="Cambria Math" w:hAnsi="Cambria Math" w:cs="Cambria Math"/>
            <w:bCs/>
            <w:noProof/>
            <w:lang w:val="hy-AM"/>
          </w:rPr>
          <w:t>․</w:t>
        </w:r>
        <w:r w:rsidR="00CA7B0A" w:rsidRPr="00693730">
          <w:rPr>
            <w:rStyle w:val="Hyperlink"/>
            <w:rFonts w:ascii="Cambria Math" w:hAnsi="Cambria Math"/>
            <w:bCs/>
            <w:noProof/>
            <w:lang w:val="hy-AM"/>
          </w:rPr>
          <w:t xml:space="preserve"> </w:t>
        </w:r>
        <w:r w:rsidR="00CA7B0A" w:rsidRPr="00693730">
          <w:rPr>
            <w:rStyle w:val="Hyperlink"/>
            <w:bCs/>
            <w:i/>
            <w:noProof/>
            <w:lang w:val="hy-AM"/>
          </w:rPr>
          <w:t>ՀՀ 2019-2023թթ. պետական բյուջեների դեֆիցիտի ֆինանսավորման աղբյուրները (մլն դրամ)</w:t>
        </w:r>
        <w:r w:rsidR="00CA7B0A">
          <w:rPr>
            <w:noProof/>
            <w:webHidden/>
          </w:rPr>
          <w:tab/>
        </w:r>
        <w:r w:rsidR="00CA7B0A">
          <w:rPr>
            <w:noProof/>
            <w:webHidden/>
          </w:rPr>
          <w:fldChar w:fldCharType="begin"/>
        </w:r>
        <w:r w:rsidR="00CA7B0A">
          <w:rPr>
            <w:noProof/>
            <w:webHidden/>
          </w:rPr>
          <w:instrText xml:space="preserve"> PAGEREF _Toc120805263 \h </w:instrText>
        </w:r>
        <w:r w:rsidR="00CA7B0A">
          <w:rPr>
            <w:noProof/>
            <w:webHidden/>
          </w:rPr>
        </w:r>
        <w:r w:rsidR="00CA7B0A">
          <w:rPr>
            <w:noProof/>
            <w:webHidden/>
          </w:rPr>
          <w:fldChar w:fldCharType="separate"/>
        </w:r>
        <w:r w:rsidR="00CA7B0A">
          <w:rPr>
            <w:noProof/>
            <w:webHidden/>
          </w:rPr>
          <w:t>94</w:t>
        </w:r>
        <w:r w:rsidR="00CA7B0A">
          <w:rPr>
            <w:noProof/>
            <w:webHidden/>
          </w:rPr>
          <w:fldChar w:fldCharType="end"/>
        </w:r>
      </w:hyperlink>
    </w:p>
    <w:p w:rsidR="00CA7B0A" w:rsidRDefault="00C43BF7">
      <w:pPr>
        <w:pStyle w:val="TableofFigures"/>
        <w:rPr>
          <w:rFonts w:asciiTheme="minorHAnsi" w:eastAsiaTheme="minorEastAsia" w:hAnsiTheme="minorHAnsi" w:cstheme="minorBidi"/>
          <w:b w:val="0"/>
          <w:noProof/>
          <w:szCs w:val="22"/>
          <w:lang w:val="en-US" w:eastAsia="en-US"/>
        </w:rPr>
      </w:pPr>
      <w:hyperlink w:anchor="_Toc120805264" w:history="1">
        <w:r w:rsidR="00CA7B0A" w:rsidRPr="00693730">
          <w:rPr>
            <w:rStyle w:val="Hyperlink"/>
            <w:bCs/>
            <w:noProof/>
          </w:rPr>
          <w:t>Աղյուսակ</w:t>
        </w:r>
        <w:r w:rsidR="00CA7B0A" w:rsidRPr="00693730">
          <w:rPr>
            <w:rStyle w:val="Hyperlink"/>
            <w:bCs/>
            <w:noProof/>
            <w:lang w:val="en-US"/>
          </w:rPr>
          <w:t xml:space="preserve"> 5</w:t>
        </w:r>
        <w:r w:rsidR="00CA7B0A" w:rsidRPr="00693730">
          <w:rPr>
            <w:rStyle w:val="Hyperlink"/>
            <w:rFonts w:ascii="Cambria Math" w:hAnsi="Cambria Math" w:cs="Cambria Math"/>
            <w:bCs/>
            <w:noProof/>
            <w:lang w:val="hy-AM"/>
          </w:rPr>
          <w:t>․</w:t>
        </w:r>
        <w:r w:rsidR="00CA7B0A" w:rsidRPr="00693730">
          <w:rPr>
            <w:rStyle w:val="Hyperlink"/>
            <w:rFonts w:ascii="Cambria Math" w:hAnsi="Cambria Math"/>
            <w:bCs/>
            <w:noProof/>
            <w:lang w:val="hy-AM"/>
          </w:rPr>
          <w:t xml:space="preserve"> </w:t>
        </w:r>
        <w:r w:rsidR="00CA7B0A" w:rsidRPr="00693730">
          <w:rPr>
            <w:rStyle w:val="Hyperlink"/>
            <w:bCs/>
            <w:i/>
            <w:noProof/>
            <w:lang w:val="hy-AM"/>
          </w:rPr>
          <w:t>Ընդհանուր և առաջնային դեֆիցիտները (%-ով ՀՆԱ-ի նկատմամբ) 202</w:t>
        </w:r>
        <w:r w:rsidR="00CA7B0A" w:rsidRPr="00693730">
          <w:rPr>
            <w:rStyle w:val="Hyperlink"/>
            <w:bCs/>
            <w:i/>
            <w:noProof/>
            <w:lang w:val="en-US"/>
          </w:rPr>
          <w:t>3</w:t>
        </w:r>
        <w:r w:rsidR="00CA7B0A" w:rsidRPr="00693730">
          <w:rPr>
            <w:rStyle w:val="Hyperlink"/>
            <w:bCs/>
            <w:i/>
            <w:noProof/>
            <w:lang w:val="hy-AM"/>
          </w:rPr>
          <w:t>թ</w:t>
        </w:r>
        <w:r w:rsidR="00CA7B0A" w:rsidRPr="00693730">
          <w:rPr>
            <w:rStyle w:val="Hyperlink"/>
            <w:bCs/>
            <w:i/>
            <w:noProof/>
            <w:lang w:val="en-US"/>
          </w:rPr>
          <w:t>.</w:t>
        </w:r>
        <w:r w:rsidR="00CA7B0A">
          <w:rPr>
            <w:noProof/>
            <w:webHidden/>
          </w:rPr>
          <w:tab/>
        </w:r>
        <w:r w:rsidR="00CA7B0A">
          <w:rPr>
            <w:noProof/>
            <w:webHidden/>
          </w:rPr>
          <w:fldChar w:fldCharType="begin"/>
        </w:r>
        <w:r w:rsidR="00CA7B0A">
          <w:rPr>
            <w:noProof/>
            <w:webHidden/>
          </w:rPr>
          <w:instrText xml:space="preserve"> PAGEREF _Toc120805264 \h </w:instrText>
        </w:r>
        <w:r w:rsidR="00CA7B0A">
          <w:rPr>
            <w:noProof/>
            <w:webHidden/>
          </w:rPr>
        </w:r>
        <w:r w:rsidR="00CA7B0A">
          <w:rPr>
            <w:noProof/>
            <w:webHidden/>
          </w:rPr>
          <w:fldChar w:fldCharType="separate"/>
        </w:r>
        <w:r w:rsidR="00CA7B0A">
          <w:rPr>
            <w:noProof/>
            <w:webHidden/>
          </w:rPr>
          <w:t>95</w:t>
        </w:r>
        <w:r w:rsidR="00CA7B0A">
          <w:rPr>
            <w:noProof/>
            <w:webHidden/>
          </w:rPr>
          <w:fldChar w:fldCharType="end"/>
        </w:r>
      </w:hyperlink>
    </w:p>
    <w:p w:rsidR="00CA7B0A" w:rsidRDefault="00C43BF7">
      <w:pPr>
        <w:pStyle w:val="TableofFigures"/>
        <w:rPr>
          <w:rFonts w:asciiTheme="minorHAnsi" w:eastAsiaTheme="minorEastAsia" w:hAnsiTheme="minorHAnsi" w:cstheme="minorBidi"/>
          <w:b w:val="0"/>
          <w:noProof/>
          <w:szCs w:val="22"/>
          <w:lang w:val="en-US" w:eastAsia="en-US"/>
        </w:rPr>
      </w:pPr>
      <w:hyperlink w:anchor="_Toc120805265" w:history="1">
        <w:r w:rsidR="00CA7B0A" w:rsidRPr="00693730">
          <w:rPr>
            <w:rStyle w:val="Hyperlink"/>
            <w:bCs/>
            <w:noProof/>
            <w:lang w:val="hy-AM"/>
          </w:rPr>
          <w:t xml:space="preserve">Աղյուսակ 6. </w:t>
        </w:r>
        <w:r w:rsidR="00CA7B0A" w:rsidRPr="00693730">
          <w:rPr>
            <w:rStyle w:val="Hyperlink"/>
            <w:bCs/>
            <w:i/>
            <w:noProof/>
            <w:lang w:val="hy-AM"/>
          </w:rPr>
          <w:t>Պետական տուրքի կազմում հաշվառվող եկամտատեսակների գծով ՀՀ 2019-2023թթ փաստացի/կանխատեսումային ցուցանիշները (մլրդ դրամներով)</w:t>
        </w:r>
        <w:r w:rsidR="00CA7B0A">
          <w:rPr>
            <w:noProof/>
            <w:webHidden/>
          </w:rPr>
          <w:tab/>
        </w:r>
        <w:r w:rsidR="00CA7B0A">
          <w:rPr>
            <w:noProof/>
            <w:webHidden/>
          </w:rPr>
          <w:fldChar w:fldCharType="begin"/>
        </w:r>
        <w:r w:rsidR="00CA7B0A">
          <w:rPr>
            <w:noProof/>
            <w:webHidden/>
          </w:rPr>
          <w:instrText xml:space="preserve"> PAGEREF _Toc120805265 \h </w:instrText>
        </w:r>
        <w:r w:rsidR="00CA7B0A">
          <w:rPr>
            <w:noProof/>
            <w:webHidden/>
          </w:rPr>
        </w:r>
        <w:r w:rsidR="00CA7B0A">
          <w:rPr>
            <w:noProof/>
            <w:webHidden/>
          </w:rPr>
          <w:fldChar w:fldCharType="separate"/>
        </w:r>
        <w:r w:rsidR="00CA7B0A">
          <w:rPr>
            <w:noProof/>
            <w:webHidden/>
          </w:rPr>
          <w:t>99</w:t>
        </w:r>
        <w:r w:rsidR="00CA7B0A">
          <w:rPr>
            <w:noProof/>
            <w:webHidden/>
          </w:rPr>
          <w:fldChar w:fldCharType="end"/>
        </w:r>
      </w:hyperlink>
    </w:p>
    <w:p w:rsidR="00CA7B0A" w:rsidRDefault="00C43BF7">
      <w:pPr>
        <w:pStyle w:val="TableofFigures"/>
        <w:rPr>
          <w:rFonts w:asciiTheme="minorHAnsi" w:eastAsiaTheme="minorEastAsia" w:hAnsiTheme="minorHAnsi" w:cstheme="minorBidi"/>
          <w:b w:val="0"/>
          <w:noProof/>
          <w:szCs w:val="22"/>
          <w:lang w:val="en-US" w:eastAsia="en-US"/>
        </w:rPr>
      </w:pPr>
      <w:hyperlink w:anchor="_Toc120805266" w:history="1">
        <w:r w:rsidR="00CA7B0A" w:rsidRPr="00693730">
          <w:rPr>
            <w:rStyle w:val="Hyperlink"/>
            <w:bCs/>
            <w:noProof/>
          </w:rPr>
          <w:t>Աղյուսակ</w:t>
        </w:r>
        <w:r w:rsidR="00CA7B0A" w:rsidRPr="00693730">
          <w:rPr>
            <w:rStyle w:val="Hyperlink"/>
            <w:bCs/>
            <w:noProof/>
            <w:lang w:val="af-ZA"/>
          </w:rPr>
          <w:t xml:space="preserve"> 7. </w:t>
        </w:r>
        <w:r w:rsidR="00CA7B0A" w:rsidRPr="00693730">
          <w:rPr>
            <w:rStyle w:val="Hyperlink"/>
            <w:bCs/>
            <w:i/>
            <w:noProof/>
            <w:lang w:val="hy-AM"/>
          </w:rPr>
          <w:t>2019-2023թթ փաստացի/կանխատեսումային պաշտոնական դրամաշնորհները (մլրդ դրամներով)</w:t>
        </w:r>
        <w:r w:rsidR="00CA7B0A">
          <w:rPr>
            <w:noProof/>
            <w:webHidden/>
          </w:rPr>
          <w:tab/>
        </w:r>
        <w:r w:rsidR="00CA7B0A">
          <w:rPr>
            <w:noProof/>
            <w:webHidden/>
          </w:rPr>
          <w:fldChar w:fldCharType="begin"/>
        </w:r>
        <w:r w:rsidR="00CA7B0A">
          <w:rPr>
            <w:noProof/>
            <w:webHidden/>
          </w:rPr>
          <w:instrText xml:space="preserve"> PAGEREF _Toc120805266 \h </w:instrText>
        </w:r>
        <w:r w:rsidR="00CA7B0A">
          <w:rPr>
            <w:noProof/>
            <w:webHidden/>
          </w:rPr>
        </w:r>
        <w:r w:rsidR="00CA7B0A">
          <w:rPr>
            <w:noProof/>
            <w:webHidden/>
          </w:rPr>
          <w:fldChar w:fldCharType="separate"/>
        </w:r>
        <w:r w:rsidR="00CA7B0A">
          <w:rPr>
            <w:noProof/>
            <w:webHidden/>
          </w:rPr>
          <w:t>102</w:t>
        </w:r>
        <w:r w:rsidR="00CA7B0A">
          <w:rPr>
            <w:noProof/>
            <w:webHidden/>
          </w:rPr>
          <w:fldChar w:fldCharType="end"/>
        </w:r>
      </w:hyperlink>
    </w:p>
    <w:p w:rsidR="00CA7B0A" w:rsidRDefault="00C43BF7">
      <w:pPr>
        <w:pStyle w:val="TableofFigures"/>
        <w:rPr>
          <w:rFonts w:asciiTheme="minorHAnsi" w:eastAsiaTheme="minorEastAsia" w:hAnsiTheme="minorHAnsi" w:cstheme="minorBidi"/>
          <w:b w:val="0"/>
          <w:noProof/>
          <w:szCs w:val="22"/>
          <w:lang w:val="en-US" w:eastAsia="en-US"/>
        </w:rPr>
      </w:pPr>
      <w:hyperlink w:anchor="_Toc120805267" w:history="1">
        <w:r w:rsidR="00CA7B0A" w:rsidRPr="00693730">
          <w:rPr>
            <w:rStyle w:val="Hyperlink"/>
            <w:bCs/>
            <w:noProof/>
            <w:lang w:val="hy-AM"/>
          </w:rPr>
          <w:t>Աղյուսակ 8</w:t>
        </w:r>
        <w:r w:rsidR="00CA7B0A" w:rsidRPr="00693730">
          <w:rPr>
            <w:rStyle w:val="Hyperlink"/>
            <w:rFonts w:ascii="Cambria Math" w:hAnsi="Cambria Math" w:cs="Cambria Math"/>
            <w:bCs/>
            <w:noProof/>
            <w:lang w:val="hy-AM"/>
          </w:rPr>
          <w:t>․</w:t>
        </w:r>
        <w:r w:rsidR="00CA7B0A" w:rsidRPr="00693730">
          <w:rPr>
            <w:rStyle w:val="Hyperlink"/>
            <w:bCs/>
            <w:noProof/>
            <w:lang w:val="af-ZA"/>
          </w:rPr>
          <w:t xml:space="preserve"> </w:t>
        </w:r>
        <w:r w:rsidR="00CA7B0A" w:rsidRPr="00693730">
          <w:rPr>
            <w:rStyle w:val="Hyperlink"/>
            <w:bCs/>
            <w:i/>
            <w:noProof/>
            <w:lang w:val="af-ZA"/>
          </w:rPr>
          <w:t>201</w:t>
        </w:r>
        <w:r w:rsidR="00CA7B0A" w:rsidRPr="00693730">
          <w:rPr>
            <w:rStyle w:val="Hyperlink"/>
            <w:bCs/>
            <w:i/>
            <w:noProof/>
            <w:lang w:val="hy-AM"/>
          </w:rPr>
          <w:t>9</w:t>
        </w:r>
        <w:r w:rsidR="00CA7B0A" w:rsidRPr="00693730">
          <w:rPr>
            <w:rStyle w:val="Hyperlink"/>
            <w:bCs/>
            <w:i/>
            <w:noProof/>
            <w:lang w:val="af-ZA"/>
          </w:rPr>
          <w:t>-202</w:t>
        </w:r>
        <w:r w:rsidR="00CA7B0A" w:rsidRPr="00693730">
          <w:rPr>
            <w:rStyle w:val="Hyperlink"/>
            <w:bCs/>
            <w:i/>
            <w:noProof/>
            <w:lang w:val="hy-AM"/>
          </w:rPr>
          <w:t>3թթ</w:t>
        </w:r>
        <w:r w:rsidR="00CA7B0A" w:rsidRPr="00693730">
          <w:rPr>
            <w:rStyle w:val="Hyperlink"/>
            <w:bCs/>
            <w:i/>
            <w:noProof/>
            <w:lang w:val="af-ZA"/>
          </w:rPr>
          <w:t xml:space="preserve"> </w:t>
        </w:r>
        <w:r w:rsidR="00CA7B0A" w:rsidRPr="00693730">
          <w:rPr>
            <w:rStyle w:val="Hyperlink"/>
            <w:bCs/>
            <w:i/>
            <w:noProof/>
            <w:lang w:val="hy-AM"/>
          </w:rPr>
          <w:t>ընթացիկ</w:t>
        </w:r>
        <w:r w:rsidR="00CA7B0A" w:rsidRPr="00693730">
          <w:rPr>
            <w:rStyle w:val="Hyperlink"/>
            <w:bCs/>
            <w:i/>
            <w:noProof/>
            <w:lang w:val="af-ZA"/>
          </w:rPr>
          <w:t xml:space="preserve"> </w:t>
        </w:r>
        <w:r w:rsidR="00CA7B0A" w:rsidRPr="00693730">
          <w:rPr>
            <w:rStyle w:val="Hyperlink"/>
            <w:bCs/>
            <w:i/>
            <w:noProof/>
            <w:lang w:val="hy-AM"/>
          </w:rPr>
          <w:t>և</w:t>
        </w:r>
        <w:r w:rsidR="00CA7B0A" w:rsidRPr="00693730">
          <w:rPr>
            <w:rStyle w:val="Hyperlink"/>
            <w:bCs/>
            <w:i/>
            <w:noProof/>
            <w:lang w:val="af-ZA"/>
          </w:rPr>
          <w:t xml:space="preserve"> </w:t>
        </w:r>
        <w:r w:rsidR="00CA7B0A" w:rsidRPr="00693730">
          <w:rPr>
            <w:rStyle w:val="Hyperlink"/>
            <w:bCs/>
            <w:i/>
            <w:noProof/>
            <w:lang w:val="hy-AM"/>
          </w:rPr>
          <w:t>ոչ</w:t>
        </w:r>
        <w:r w:rsidR="00CA7B0A" w:rsidRPr="00693730">
          <w:rPr>
            <w:rStyle w:val="Hyperlink"/>
            <w:bCs/>
            <w:i/>
            <w:noProof/>
            <w:lang w:val="af-ZA"/>
          </w:rPr>
          <w:t xml:space="preserve"> </w:t>
        </w:r>
        <w:r w:rsidR="00CA7B0A" w:rsidRPr="00693730">
          <w:rPr>
            <w:rStyle w:val="Hyperlink"/>
            <w:bCs/>
            <w:i/>
            <w:noProof/>
            <w:lang w:val="hy-AM"/>
          </w:rPr>
          <w:t>ֆինանսական</w:t>
        </w:r>
        <w:r w:rsidR="00CA7B0A" w:rsidRPr="00693730">
          <w:rPr>
            <w:rStyle w:val="Hyperlink"/>
            <w:bCs/>
            <w:i/>
            <w:noProof/>
            <w:lang w:val="af-ZA"/>
          </w:rPr>
          <w:t xml:space="preserve"> </w:t>
        </w:r>
        <w:r w:rsidR="00CA7B0A" w:rsidRPr="00693730">
          <w:rPr>
            <w:rStyle w:val="Hyperlink"/>
            <w:bCs/>
            <w:i/>
            <w:noProof/>
            <w:lang w:val="hy-AM"/>
          </w:rPr>
          <w:t>ակտիվների</w:t>
        </w:r>
        <w:r w:rsidR="00CA7B0A" w:rsidRPr="00693730">
          <w:rPr>
            <w:rStyle w:val="Hyperlink"/>
            <w:bCs/>
            <w:i/>
            <w:noProof/>
            <w:lang w:val="af-ZA"/>
          </w:rPr>
          <w:t xml:space="preserve"> </w:t>
        </w:r>
        <w:r w:rsidR="00CA7B0A" w:rsidRPr="00693730">
          <w:rPr>
            <w:rStyle w:val="Hyperlink"/>
            <w:bCs/>
            <w:i/>
            <w:noProof/>
            <w:lang w:val="hy-AM"/>
          </w:rPr>
          <w:t>գծով</w:t>
        </w:r>
        <w:r w:rsidR="00CA7B0A" w:rsidRPr="00693730">
          <w:rPr>
            <w:rStyle w:val="Hyperlink"/>
            <w:bCs/>
            <w:i/>
            <w:noProof/>
            <w:lang w:val="af-ZA"/>
          </w:rPr>
          <w:t xml:space="preserve"> </w:t>
        </w:r>
        <w:r w:rsidR="00CA7B0A" w:rsidRPr="00693730">
          <w:rPr>
            <w:rStyle w:val="Hyperlink"/>
            <w:bCs/>
            <w:i/>
            <w:noProof/>
            <w:lang w:val="hy-AM"/>
          </w:rPr>
          <w:t>ծախսերի</w:t>
        </w:r>
        <w:r w:rsidR="00CA7B0A" w:rsidRPr="00693730">
          <w:rPr>
            <w:rStyle w:val="Hyperlink"/>
            <w:bCs/>
            <w:i/>
            <w:noProof/>
            <w:lang w:val="af-ZA"/>
          </w:rPr>
          <w:t xml:space="preserve"> </w:t>
        </w:r>
        <w:r w:rsidR="00CA7B0A" w:rsidRPr="00693730">
          <w:rPr>
            <w:rStyle w:val="Hyperlink"/>
            <w:bCs/>
            <w:i/>
            <w:noProof/>
            <w:lang w:val="hy-AM"/>
          </w:rPr>
          <w:t>փոփոխության</w:t>
        </w:r>
        <w:r w:rsidR="00CA7B0A" w:rsidRPr="00693730">
          <w:rPr>
            <w:rStyle w:val="Hyperlink"/>
            <w:bCs/>
            <w:i/>
            <w:noProof/>
            <w:lang w:val="af-ZA"/>
          </w:rPr>
          <w:t xml:space="preserve"> </w:t>
        </w:r>
        <w:r w:rsidR="00CA7B0A" w:rsidRPr="00693730">
          <w:rPr>
            <w:rStyle w:val="Hyperlink"/>
            <w:bCs/>
            <w:i/>
            <w:noProof/>
            <w:lang w:val="hy-AM"/>
          </w:rPr>
          <w:t>և</w:t>
        </w:r>
        <w:r w:rsidR="00CA7B0A" w:rsidRPr="00693730">
          <w:rPr>
            <w:rStyle w:val="Hyperlink"/>
            <w:bCs/>
            <w:i/>
            <w:noProof/>
            <w:lang w:val="af-ZA"/>
          </w:rPr>
          <w:t xml:space="preserve"> </w:t>
        </w:r>
        <w:r w:rsidR="00CA7B0A" w:rsidRPr="00693730">
          <w:rPr>
            <w:rStyle w:val="Hyperlink"/>
            <w:bCs/>
            <w:i/>
            <w:noProof/>
            <w:lang w:val="hy-AM"/>
          </w:rPr>
          <w:t>հարաբերակցության</w:t>
        </w:r>
        <w:r w:rsidR="00CA7B0A" w:rsidRPr="00693730">
          <w:rPr>
            <w:rStyle w:val="Hyperlink"/>
            <w:bCs/>
            <w:i/>
            <w:noProof/>
            <w:lang w:val="af-ZA"/>
          </w:rPr>
          <w:t xml:space="preserve"> </w:t>
        </w:r>
        <w:r w:rsidR="00CA7B0A" w:rsidRPr="00693730">
          <w:rPr>
            <w:rStyle w:val="Hyperlink"/>
            <w:bCs/>
            <w:i/>
            <w:noProof/>
            <w:lang w:val="hy-AM"/>
          </w:rPr>
          <w:t>միտումները</w:t>
        </w:r>
        <w:r w:rsidR="00CA7B0A">
          <w:rPr>
            <w:noProof/>
            <w:webHidden/>
          </w:rPr>
          <w:tab/>
        </w:r>
        <w:r w:rsidR="00CA7B0A">
          <w:rPr>
            <w:noProof/>
            <w:webHidden/>
          </w:rPr>
          <w:fldChar w:fldCharType="begin"/>
        </w:r>
        <w:r w:rsidR="00CA7B0A">
          <w:rPr>
            <w:noProof/>
            <w:webHidden/>
          </w:rPr>
          <w:instrText xml:space="preserve"> PAGEREF _Toc120805267 \h </w:instrText>
        </w:r>
        <w:r w:rsidR="00CA7B0A">
          <w:rPr>
            <w:noProof/>
            <w:webHidden/>
          </w:rPr>
        </w:r>
        <w:r w:rsidR="00CA7B0A">
          <w:rPr>
            <w:noProof/>
            <w:webHidden/>
          </w:rPr>
          <w:fldChar w:fldCharType="separate"/>
        </w:r>
        <w:r w:rsidR="00CA7B0A">
          <w:rPr>
            <w:noProof/>
            <w:webHidden/>
          </w:rPr>
          <w:t>108</w:t>
        </w:r>
        <w:r w:rsidR="00CA7B0A">
          <w:rPr>
            <w:noProof/>
            <w:webHidden/>
          </w:rPr>
          <w:fldChar w:fldCharType="end"/>
        </w:r>
      </w:hyperlink>
    </w:p>
    <w:p w:rsidR="00CA7B0A" w:rsidRDefault="00C43BF7">
      <w:pPr>
        <w:pStyle w:val="TableofFigures"/>
        <w:rPr>
          <w:rFonts w:asciiTheme="minorHAnsi" w:eastAsiaTheme="minorEastAsia" w:hAnsiTheme="minorHAnsi" w:cstheme="minorBidi"/>
          <w:b w:val="0"/>
          <w:noProof/>
          <w:szCs w:val="22"/>
          <w:lang w:val="en-US" w:eastAsia="en-US"/>
        </w:rPr>
      </w:pPr>
      <w:hyperlink w:anchor="_Toc120805268" w:history="1">
        <w:r w:rsidR="00CA7B0A" w:rsidRPr="00693730">
          <w:rPr>
            <w:rStyle w:val="Hyperlink"/>
            <w:bCs/>
            <w:noProof/>
            <w:lang w:val="hy-AM"/>
          </w:rPr>
          <w:t>Աղյուսակ 9</w:t>
        </w:r>
        <w:r w:rsidR="00CA7B0A" w:rsidRPr="00693730">
          <w:rPr>
            <w:rStyle w:val="Hyperlink"/>
            <w:rFonts w:ascii="Cambria Math" w:hAnsi="Cambria Math" w:cs="Cambria Math"/>
            <w:bCs/>
            <w:noProof/>
            <w:lang w:val="hy-AM"/>
          </w:rPr>
          <w:t>․</w:t>
        </w:r>
        <w:r w:rsidR="00CA7B0A" w:rsidRPr="00693730">
          <w:rPr>
            <w:rStyle w:val="Hyperlink"/>
            <w:bCs/>
            <w:noProof/>
            <w:lang w:val="hy-AM"/>
          </w:rPr>
          <w:t xml:space="preserve"> </w:t>
        </w:r>
        <w:r w:rsidR="00CA7B0A" w:rsidRPr="00693730">
          <w:rPr>
            <w:rStyle w:val="Hyperlink"/>
            <w:bCs/>
            <w:i/>
            <w:noProof/>
            <w:lang w:val="hy-AM"/>
          </w:rPr>
          <w:t>2019-2023թթ ընթացիկ ծախսերի ֆինանսավորման կառուցվածը ըստ տնտեսագիտական դասակարգման</w:t>
        </w:r>
        <w:r w:rsidR="00CA7B0A">
          <w:rPr>
            <w:noProof/>
            <w:webHidden/>
          </w:rPr>
          <w:tab/>
        </w:r>
        <w:r w:rsidR="00CA7B0A">
          <w:rPr>
            <w:noProof/>
            <w:webHidden/>
          </w:rPr>
          <w:fldChar w:fldCharType="begin"/>
        </w:r>
        <w:r w:rsidR="00CA7B0A">
          <w:rPr>
            <w:noProof/>
            <w:webHidden/>
          </w:rPr>
          <w:instrText xml:space="preserve"> PAGEREF _Toc120805268 \h </w:instrText>
        </w:r>
        <w:r w:rsidR="00CA7B0A">
          <w:rPr>
            <w:noProof/>
            <w:webHidden/>
          </w:rPr>
        </w:r>
        <w:r w:rsidR="00CA7B0A">
          <w:rPr>
            <w:noProof/>
            <w:webHidden/>
          </w:rPr>
          <w:fldChar w:fldCharType="separate"/>
        </w:r>
        <w:r w:rsidR="00CA7B0A">
          <w:rPr>
            <w:noProof/>
            <w:webHidden/>
          </w:rPr>
          <w:t>110</w:t>
        </w:r>
        <w:r w:rsidR="00CA7B0A">
          <w:rPr>
            <w:noProof/>
            <w:webHidden/>
          </w:rPr>
          <w:fldChar w:fldCharType="end"/>
        </w:r>
      </w:hyperlink>
    </w:p>
    <w:p w:rsidR="00CA7B0A" w:rsidRDefault="00C43BF7">
      <w:pPr>
        <w:pStyle w:val="TableofFigures"/>
        <w:rPr>
          <w:rFonts w:asciiTheme="minorHAnsi" w:eastAsiaTheme="minorEastAsia" w:hAnsiTheme="minorHAnsi" w:cstheme="minorBidi"/>
          <w:b w:val="0"/>
          <w:noProof/>
          <w:szCs w:val="22"/>
          <w:lang w:val="en-US" w:eastAsia="en-US"/>
        </w:rPr>
      </w:pPr>
      <w:hyperlink w:anchor="_Toc120805269" w:history="1">
        <w:r w:rsidR="00CA7B0A" w:rsidRPr="00693730">
          <w:rPr>
            <w:rStyle w:val="Hyperlink"/>
            <w:bCs/>
            <w:noProof/>
            <w:lang w:val="hy-AM"/>
          </w:rPr>
          <w:t>Աղյուսակ</w:t>
        </w:r>
        <w:r w:rsidR="00CA7B0A" w:rsidRPr="00693730">
          <w:rPr>
            <w:rStyle w:val="Hyperlink"/>
            <w:bCs/>
            <w:noProof/>
            <w:lang w:val="af-ZA"/>
          </w:rPr>
          <w:t xml:space="preserve"> 10</w:t>
        </w:r>
        <w:r w:rsidR="00CA7B0A" w:rsidRPr="00693730">
          <w:rPr>
            <w:rStyle w:val="Hyperlink"/>
            <w:rFonts w:ascii="Cambria Math" w:hAnsi="Cambria Math" w:cs="Cambria Math"/>
            <w:bCs/>
            <w:noProof/>
            <w:lang w:val="hy-AM"/>
          </w:rPr>
          <w:t>․</w:t>
        </w:r>
        <w:r w:rsidR="00CA7B0A" w:rsidRPr="00693730">
          <w:rPr>
            <w:rStyle w:val="Hyperlink"/>
            <w:bCs/>
            <w:noProof/>
            <w:lang w:val="af-ZA"/>
          </w:rPr>
          <w:t xml:space="preserve"> </w:t>
        </w:r>
        <w:r w:rsidR="00CA7B0A" w:rsidRPr="00693730">
          <w:rPr>
            <w:rStyle w:val="Hyperlink"/>
            <w:bCs/>
            <w:i/>
            <w:noProof/>
            <w:lang w:val="hy-AM"/>
          </w:rPr>
          <w:t>ՀՀ</w:t>
        </w:r>
        <w:r w:rsidR="00CA7B0A" w:rsidRPr="00693730">
          <w:rPr>
            <w:rStyle w:val="Hyperlink"/>
            <w:bCs/>
            <w:i/>
            <w:noProof/>
            <w:lang w:val="af-ZA"/>
          </w:rPr>
          <w:t xml:space="preserve"> </w:t>
        </w:r>
        <w:r w:rsidR="00CA7B0A" w:rsidRPr="00693730">
          <w:rPr>
            <w:rStyle w:val="Hyperlink"/>
            <w:bCs/>
            <w:i/>
            <w:noProof/>
            <w:lang w:val="hy-AM"/>
          </w:rPr>
          <w:t>պետական</w:t>
        </w:r>
        <w:r w:rsidR="00CA7B0A" w:rsidRPr="00693730">
          <w:rPr>
            <w:rStyle w:val="Hyperlink"/>
            <w:bCs/>
            <w:i/>
            <w:noProof/>
            <w:lang w:val="af-ZA"/>
          </w:rPr>
          <w:t xml:space="preserve"> </w:t>
        </w:r>
        <w:r w:rsidR="00CA7B0A" w:rsidRPr="00693730">
          <w:rPr>
            <w:rStyle w:val="Hyperlink"/>
            <w:bCs/>
            <w:i/>
            <w:noProof/>
            <w:lang w:val="hy-AM"/>
          </w:rPr>
          <w:t>բյուջեից</w:t>
        </w:r>
        <w:r w:rsidR="00CA7B0A" w:rsidRPr="00693730">
          <w:rPr>
            <w:rStyle w:val="Hyperlink"/>
            <w:bCs/>
            <w:i/>
            <w:noProof/>
            <w:lang w:val="af-ZA"/>
          </w:rPr>
          <w:t xml:space="preserve"> </w:t>
        </w:r>
        <w:r w:rsidR="00CA7B0A" w:rsidRPr="00693730">
          <w:rPr>
            <w:rStyle w:val="Hyperlink"/>
            <w:bCs/>
            <w:i/>
            <w:noProof/>
            <w:lang w:val="hy-AM"/>
          </w:rPr>
          <w:t>համայնքներին</w:t>
        </w:r>
        <w:r w:rsidR="00CA7B0A" w:rsidRPr="00693730">
          <w:rPr>
            <w:rStyle w:val="Hyperlink"/>
            <w:bCs/>
            <w:i/>
            <w:noProof/>
            <w:lang w:val="af-ZA"/>
          </w:rPr>
          <w:t xml:space="preserve"> </w:t>
        </w:r>
        <w:r w:rsidR="00CA7B0A" w:rsidRPr="00693730">
          <w:rPr>
            <w:rStyle w:val="Hyperlink"/>
            <w:bCs/>
            <w:i/>
            <w:noProof/>
            <w:lang w:val="hy-AM"/>
          </w:rPr>
          <w:t>տրվող</w:t>
        </w:r>
        <w:r w:rsidR="00CA7B0A" w:rsidRPr="00693730">
          <w:rPr>
            <w:rStyle w:val="Hyperlink"/>
            <w:bCs/>
            <w:i/>
            <w:noProof/>
            <w:lang w:val="af-ZA"/>
          </w:rPr>
          <w:t xml:space="preserve"> </w:t>
        </w:r>
        <w:r w:rsidR="00CA7B0A" w:rsidRPr="00693730">
          <w:rPr>
            <w:rStyle w:val="Hyperlink"/>
            <w:bCs/>
            <w:i/>
            <w:noProof/>
            <w:lang w:val="hy-AM"/>
          </w:rPr>
          <w:t>հատկացումների</w:t>
        </w:r>
        <w:r w:rsidR="00CA7B0A" w:rsidRPr="00693730">
          <w:rPr>
            <w:rStyle w:val="Hyperlink"/>
            <w:bCs/>
            <w:i/>
            <w:noProof/>
            <w:lang w:val="af-ZA"/>
          </w:rPr>
          <w:t xml:space="preserve"> </w:t>
        </w:r>
        <w:r w:rsidR="00CA7B0A" w:rsidRPr="00693730">
          <w:rPr>
            <w:rStyle w:val="Hyperlink"/>
            <w:bCs/>
            <w:i/>
            <w:noProof/>
            <w:lang w:val="hy-AM"/>
          </w:rPr>
          <w:t>վերաբերյալ</w:t>
        </w:r>
        <w:r w:rsidR="00CA7B0A">
          <w:rPr>
            <w:noProof/>
            <w:webHidden/>
          </w:rPr>
          <w:tab/>
        </w:r>
        <w:r w:rsidR="00CA7B0A">
          <w:rPr>
            <w:noProof/>
            <w:webHidden/>
          </w:rPr>
          <w:fldChar w:fldCharType="begin"/>
        </w:r>
        <w:r w:rsidR="00CA7B0A">
          <w:rPr>
            <w:noProof/>
            <w:webHidden/>
          </w:rPr>
          <w:instrText xml:space="preserve"> PAGEREF _Toc120805269 \h </w:instrText>
        </w:r>
        <w:r w:rsidR="00CA7B0A">
          <w:rPr>
            <w:noProof/>
            <w:webHidden/>
          </w:rPr>
        </w:r>
        <w:r w:rsidR="00CA7B0A">
          <w:rPr>
            <w:noProof/>
            <w:webHidden/>
          </w:rPr>
          <w:fldChar w:fldCharType="separate"/>
        </w:r>
        <w:r w:rsidR="00CA7B0A">
          <w:rPr>
            <w:noProof/>
            <w:webHidden/>
          </w:rPr>
          <w:t>111</w:t>
        </w:r>
        <w:r w:rsidR="00CA7B0A">
          <w:rPr>
            <w:noProof/>
            <w:webHidden/>
          </w:rPr>
          <w:fldChar w:fldCharType="end"/>
        </w:r>
      </w:hyperlink>
    </w:p>
    <w:p w:rsidR="00CA7B0A" w:rsidRDefault="00C43BF7">
      <w:pPr>
        <w:pStyle w:val="TableofFigures"/>
        <w:rPr>
          <w:rFonts w:asciiTheme="minorHAnsi" w:eastAsiaTheme="minorEastAsia" w:hAnsiTheme="minorHAnsi" w:cstheme="minorBidi"/>
          <w:b w:val="0"/>
          <w:noProof/>
          <w:szCs w:val="22"/>
          <w:lang w:val="en-US" w:eastAsia="en-US"/>
        </w:rPr>
      </w:pPr>
      <w:hyperlink w:anchor="_Toc120805270" w:history="1">
        <w:r w:rsidR="00CA7B0A" w:rsidRPr="00693730">
          <w:rPr>
            <w:rStyle w:val="Hyperlink"/>
            <w:bCs/>
            <w:noProof/>
            <w:lang w:val="hy-AM"/>
          </w:rPr>
          <w:t>Աղյուսակ 11.</w:t>
        </w:r>
        <w:r w:rsidR="00CA7B0A" w:rsidRPr="00693730">
          <w:rPr>
            <w:rStyle w:val="Hyperlink"/>
            <w:bCs/>
            <w:noProof/>
            <w:lang w:val="af-ZA"/>
          </w:rPr>
          <w:t xml:space="preserve"> </w:t>
        </w:r>
        <w:r w:rsidR="00CA7B0A" w:rsidRPr="00693730">
          <w:rPr>
            <w:rStyle w:val="Hyperlink"/>
            <w:bCs/>
            <w:i/>
            <w:noProof/>
            <w:lang w:val="af-ZA"/>
          </w:rPr>
          <w:t>2019-202</w:t>
        </w:r>
        <w:r w:rsidR="00CA7B0A" w:rsidRPr="00693730">
          <w:rPr>
            <w:rStyle w:val="Hyperlink"/>
            <w:bCs/>
            <w:i/>
            <w:noProof/>
            <w:lang w:val="hy-AM"/>
          </w:rPr>
          <w:t>3</w:t>
        </w:r>
        <w:r w:rsidR="00CA7B0A" w:rsidRPr="00693730">
          <w:rPr>
            <w:rStyle w:val="Hyperlink"/>
            <w:bCs/>
            <w:i/>
            <w:noProof/>
            <w:lang w:val="it-IT"/>
          </w:rPr>
          <w:t>թթ.</w:t>
        </w:r>
        <w:r w:rsidR="00CA7B0A" w:rsidRPr="00693730">
          <w:rPr>
            <w:rStyle w:val="Hyperlink"/>
            <w:bCs/>
            <w:i/>
            <w:noProof/>
            <w:lang w:val="af-ZA"/>
          </w:rPr>
          <w:t xml:space="preserve"> </w:t>
        </w:r>
        <w:r w:rsidR="00CA7B0A" w:rsidRPr="00693730">
          <w:rPr>
            <w:rStyle w:val="Hyperlink"/>
            <w:rFonts w:cs="Sylfaen"/>
            <w:bCs/>
            <w:i/>
            <w:noProof/>
            <w:lang w:val="hy-AM"/>
          </w:rPr>
          <w:t>ոչ</w:t>
        </w:r>
        <w:r w:rsidR="00CA7B0A" w:rsidRPr="00693730">
          <w:rPr>
            <w:rStyle w:val="Hyperlink"/>
            <w:bCs/>
            <w:i/>
            <w:noProof/>
            <w:lang w:val="hy-AM"/>
          </w:rPr>
          <w:t xml:space="preserve"> </w:t>
        </w:r>
        <w:r w:rsidR="00CA7B0A" w:rsidRPr="00693730">
          <w:rPr>
            <w:rStyle w:val="Hyperlink"/>
            <w:rFonts w:cs="Sylfaen"/>
            <w:bCs/>
            <w:i/>
            <w:noProof/>
            <w:lang w:val="hy-AM"/>
          </w:rPr>
          <w:t>ֆինանսական</w:t>
        </w:r>
        <w:r w:rsidR="00CA7B0A" w:rsidRPr="00693730">
          <w:rPr>
            <w:rStyle w:val="Hyperlink"/>
            <w:bCs/>
            <w:i/>
            <w:noProof/>
            <w:lang w:val="hy-AM"/>
          </w:rPr>
          <w:t xml:space="preserve"> </w:t>
        </w:r>
        <w:r w:rsidR="00CA7B0A" w:rsidRPr="00693730">
          <w:rPr>
            <w:rStyle w:val="Hyperlink"/>
            <w:rFonts w:cs="Sylfaen"/>
            <w:bCs/>
            <w:i/>
            <w:noProof/>
            <w:lang w:val="hy-AM"/>
          </w:rPr>
          <w:t>ակտիվների</w:t>
        </w:r>
        <w:r w:rsidR="00CA7B0A" w:rsidRPr="00693730">
          <w:rPr>
            <w:rStyle w:val="Hyperlink"/>
            <w:bCs/>
            <w:i/>
            <w:noProof/>
            <w:lang w:val="hy-AM"/>
          </w:rPr>
          <w:t xml:space="preserve"> </w:t>
        </w:r>
        <w:r w:rsidR="00CA7B0A" w:rsidRPr="00693730">
          <w:rPr>
            <w:rStyle w:val="Hyperlink"/>
            <w:rFonts w:cs="Sylfaen"/>
            <w:bCs/>
            <w:i/>
            <w:noProof/>
            <w:lang w:val="hy-AM"/>
          </w:rPr>
          <w:t>գծով</w:t>
        </w:r>
        <w:r w:rsidR="00CA7B0A" w:rsidRPr="00693730">
          <w:rPr>
            <w:rStyle w:val="Hyperlink"/>
            <w:bCs/>
            <w:i/>
            <w:noProof/>
            <w:lang w:val="hy-AM"/>
          </w:rPr>
          <w:t xml:space="preserve"> </w:t>
        </w:r>
        <w:r w:rsidR="00CA7B0A" w:rsidRPr="00693730">
          <w:rPr>
            <w:rStyle w:val="Hyperlink"/>
            <w:rFonts w:cs="Sylfaen"/>
            <w:bCs/>
            <w:i/>
            <w:noProof/>
            <w:lang w:val="hy-AM"/>
          </w:rPr>
          <w:t>ծախսերի</w:t>
        </w:r>
        <w:r w:rsidR="00CA7B0A" w:rsidRPr="00693730">
          <w:rPr>
            <w:rStyle w:val="Hyperlink"/>
            <w:bCs/>
            <w:i/>
            <w:noProof/>
            <w:lang w:val="hy-AM"/>
          </w:rPr>
          <w:t xml:space="preserve"> ֆինանսավորման կառուցվածը ըստ արտաքին և ներքին աղբյուրների</w:t>
        </w:r>
        <w:r w:rsidR="00CA7B0A">
          <w:rPr>
            <w:noProof/>
            <w:webHidden/>
          </w:rPr>
          <w:tab/>
        </w:r>
        <w:r w:rsidR="00CA7B0A">
          <w:rPr>
            <w:noProof/>
            <w:webHidden/>
          </w:rPr>
          <w:fldChar w:fldCharType="begin"/>
        </w:r>
        <w:r w:rsidR="00CA7B0A">
          <w:rPr>
            <w:noProof/>
            <w:webHidden/>
          </w:rPr>
          <w:instrText xml:space="preserve"> PAGEREF _Toc120805270 \h </w:instrText>
        </w:r>
        <w:r w:rsidR="00CA7B0A">
          <w:rPr>
            <w:noProof/>
            <w:webHidden/>
          </w:rPr>
        </w:r>
        <w:r w:rsidR="00CA7B0A">
          <w:rPr>
            <w:noProof/>
            <w:webHidden/>
          </w:rPr>
          <w:fldChar w:fldCharType="separate"/>
        </w:r>
        <w:r w:rsidR="00CA7B0A">
          <w:rPr>
            <w:noProof/>
            <w:webHidden/>
          </w:rPr>
          <w:t>113</w:t>
        </w:r>
        <w:r w:rsidR="00CA7B0A">
          <w:rPr>
            <w:noProof/>
            <w:webHidden/>
          </w:rPr>
          <w:fldChar w:fldCharType="end"/>
        </w:r>
      </w:hyperlink>
    </w:p>
    <w:p w:rsidR="00CA7B0A" w:rsidRDefault="00C43BF7">
      <w:pPr>
        <w:pStyle w:val="TableofFigures"/>
        <w:rPr>
          <w:rFonts w:asciiTheme="minorHAnsi" w:eastAsiaTheme="minorEastAsia" w:hAnsiTheme="minorHAnsi" w:cstheme="minorBidi"/>
          <w:b w:val="0"/>
          <w:noProof/>
          <w:szCs w:val="22"/>
          <w:lang w:val="en-US" w:eastAsia="en-US"/>
        </w:rPr>
      </w:pPr>
      <w:hyperlink w:anchor="_Toc120805271" w:history="1">
        <w:r w:rsidR="00CA7B0A" w:rsidRPr="00693730">
          <w:rPr>
            <w:rStyle w:val="Hyperlink"/>
            <w:bCs/>
            <w:i/>
            <w:noProof/>
            <w:lang w:val="hy-AM"/>
          </w:rPr>
          <w:t>Աղյուսակ 12</w:t>
        </w:r>
        <w:r w:rsidR="00CA7B0A" w:rsidRPr="00693730">
          <w:rPr>
            <w:rStyle w:val="Hyperlink"/>
            <w:rFonts w:ascii="Cambria Math" w:hAnsi="Cambria Math" w:cs="Cambria Math"/>
            <w:bCs/>
            <w:i/>
            <w:noProof/>
            <w:lang w:val="hy-AM"/>
          </w:rPr>
          <w:t>․</w:t>
        </w:r>
        <w:r w:rsidR="00CA7B0A" w:rsidRPr="00693730">
          <w:rPr>
            <w:rStyle w:val="Hyperlink"/>
            <w:bCs/>
            <w:i/>
            <w:noProof/>
            <w:lang w:val="hy-AM"/>
          </w:rPr>
          <w:t xml:space="preserve"> ՀՀ 2019-2023թթ. պետական բյուջեների ծախսերը՝ ըստ ոլորտների (մլն. դրամ)</w:t>
        </w:r>
        <w:r w:rsidR="00CA7B0A">
          <w:rPr>
            <w:noProof/>
            <w:webHidden/>
          </w:rPr>
          <w:tab/>
        </w:r>
        <w:r w:rsidR="00CA7B0A">
          <w:rPr>
            <w:noProof/>
            <w:webHidden/>
          </w:rPr>
          <w:fldChar w:fldCharType="begin"/>
        </w:r>
        <w:r w:rsidR="00CA7B0A">
          <w:rPr>
            <w:noProof/>
            <w:webHidden/>
          </w:rPr>
          <w:instrText xml:space="preserve"> PAGEREF _Toc120805271 \h </w:instrText>
        </w:r>
        <w:r w:rsidR="00CA7B0A">
          <w:rPr>
            <w:noProof/>
            <w:webHidden/>
          </w:rPr>
        </w:r>
        <w:r w:rsidR="00CA7B0A">
          <w:rPr>
            <w:noProof/>
            <w:webHidden/>
          </w:rPr>
          <w:fldChar w:fldCharType="separate"/>
        </w:r>
        <w:r w:rsidR="00CA7B0A">
          <w:rPr>
            <w:noProof/>
            <w:webHidden/>
          </w:rPr>
          <w:t>114</w:t>
        </w:r>
        <w:r w:rsidR="00CA7B0A">
          <w:rPr>
            <w:noProof/>
            <w:webHidden/>
          </w:rPr>
          <w:fldChar w:fldCharType="end"/>
        </w:r>
      </w:hyperlink>
    </w:p>
    <w:p w:rsidR="00CA7B0A" w:rsidRDefault="00C43BF7">
      <w:pPr>
        <w:pStyle w:val="TableofFigures"/>
        <w:rPr>
          <w:rFonts w:asciiTheme="minorHAnsi" w:eastAsiaTheme="minorEastAsia" w:hAnsiTheme="minorHAnsi" w:cstheme="minorBidi"/>
          <w:b w:val="0"/>
          <w:noProof/>
          <w:szCs w:val="22"/>
          <w:lang w:val="en-US" w:eastAsia="en-US"/>
        </w:rPr>
      </w:pPr>
      <w:hyperlink w:anchor="_Toc120805272" w:history="1">
        <w:r w:rsidR="00CA7B0A" w:rsidRPr="00693730">
          <w:rPr>
            <w:rStyle w:val="Hyperlink"/>
            <w:bCs/>
            <w:i/>
            <w:iCs/>
            <w:noProof/>
            <w:lang w:val="hy-AM"/>
          </w:rPr>
          <w:t>Աղյուսակ 13</w:t>
        </w:r>
        <w:r w:rsidR="00CA7B0A" w:rsidRPr="00693730">
          <w:rPr>
            <w:rStyle w:val="Hyperlink"/>
            <w:rFonts w:ascii="Cambria Math" w:hAnsi="Cambria Math" w:cs="Cambria Math"/>
            <w:bCs/>
            <w:i/>
            <w:iCs/>
            <w:noProof/>
            <w:lang w:val="hy-AM"/>
          </w:rPr>
          <w:t>․</w:t>
        </w:r>
        <w:r w:rsidR="00CA7B0A" w:rsidRPr="00693730">
          <w:rPr>
            <w:rStyle w:val="Hyperlink"/>
            <w:bCs/>
            <w:i/>
            <w:iCs/>
            <w:noProof/>
            <w:lang w:val="hy-AM"/>
          </w:rPr>
          <w:t xml:space="preserve"> </w:t>
        </w:r>
        <w:r w:rsidR="00CA7B0A" w:rsidRPr="00693730">
          <w:rPr>
            <w:rStyle w:val="Hyperlink"/>
            <w:rFonts w:cs="GHEA Grapalat"/>
            <w:bCs/>
            <w:i/>
            <w:iCs/>
            <w:noProof/>
            <w:lang w:val="hy-AM"/>
          </w:rPr>
          <w:t>Տնտեսական</w:t>
        </w:r>
        <w:r w:rsidR="00CA7B0A" w:rsidRPr="00693730">
          <w:rPr>
            <w:rStyle w:val="Hyperlink"/>
            <w:bCs/>
            <w:i/>
            <w:iCs/>
            <w:noProof/>
            <w:lang w:val="hy-AM"/>
          </w:rPr>
          <w:t xml:space="preserve"> </w:t>
        </w:r>
        <w:r w:rsidR="00CA7B0A" w:rsidRPr="00693730">
          <w:rPr>
            <w:rStyle w:val="Hyperlink"/>
            <w:rFonts w:cs="GHEA Grapalat"/>
            <w:bCs/>
            <w:i/>
            <w:iCs/>
            <w:noProof/>
            <w:lang w:val="hy-AM"/>
          </w:rPr>
          <w:t>ոլորտի</w:t>
        </w:r>
        <w:r w:rsidR="00CA7B0A" w:rsidRPr="00693730">
          <w:rPr>
            <w:rStyle w:val="Hyperlink"/>
            <w:bCs/>
            <w:i/>
            <w:iCs/>
            <w:noProof/>
            <w:lang w:val="hy-AM"/>
          </w:rPr>
          <w:t xml:space="preserve"> 2019-2023թթ</w:t>
        </w:r>
        <w:r w:rsidR="00CA7B0A" w:rsidRPr="00693730">
          <w:rPr>
            <w:rStyle w:val="Hyperlink"/>
            <w:rFonts w:ascii="Cambria Math" w:hAnsi="Cambria Math" w:cs="Cambria Math"/>
            <w:bCs/>
            <w:i/>
            <w:iCs/>
            <w:noProof/>
            <w:lang w:val="hy-AM"/>
          </w:rPr>
          <w:t>․</w:t>
        </w:r>
        <w:r w:rsidR="00CA7B0A" w:rsidRPr="00693730">
          <w:rPr>
            <w:rStyle w:val="Hyperlink"/>
            <w:bCs/>
            <w:i/>
            <w:iCs/>
            <w:noProof/>
            <w:lang w:val="hy-AM"/>
          </w:rPr>
          <w:t xml:space="preserve"> </w:t>
        </w:r>
        <w:r w:rsidR="00CA7B0A" w:rsidRPr="00693730">
          <w:rPr>
            <w:rStyle w:val="Hyperlink"/>
            <w:rFonts w:cs="GHEA Grapalat"/>
            <w:bCs/>
            <w:i/>
            <w:iCs/>
            <w:noProof/>
            <w:lang w:val="hy-AM"/>
          </w:rPr>
          <w:t>բյուջետային</w:t>
        </w:r>
        <w:r w:rsidR="00CA7B0A" w:rsidRPr="00693730">
          <w:rPr>
            <w:rStyle w:val="Hyperlink"/>
            <w:bCs/>
            <w:i/>
            <w:iCs/>
            <w:noProof/>
            <w:lang w:val="hy-AM"/>
          </w:rPr>
          <w:t xml:space="preserve"> </w:t>
        </w:r>
        <w:r w:rsidR="00CA7B0A" w:rsidRPr="00693730">
          <w:rPr>
            <w:rStyle w:val="Hyperlink"/>
            <w:rFonts w:cs="GHEA Grapalat"/>
            <w:bCs/>
            <w:i/>
            <w:iCs/>
            <w:noProof/>
            <w:lang w:val="hy-AM"/>
          </w:rPr>
          <w:t>ծախսերը</w:t>
        </w:r>
        <w:r w:rsidR="00CA7B0A" w:rsidRPr="00693730">
          <w:rPr>
            <w:rStyle w:val="Hyperlink"/>
            <w:bCs/>
            <w:i/>
            <w:iCs/>
            <w:noProof/>
            <w:lang w:val="hy-AM"/>
          </w:rPr>
          <w:t xml:space="preserve"> (</w:t>
        </w:r>
        <w:r w:rsidR="00CA7B0A" w:rsidRPr="00693730">
          <w:rPr>
            <w:rStyle w:val="Hyperlink"/>
            <w:rFonts w:cs="GHEA Grapalat"/>
            <w:bCs/>
            <w:i/>
            <w:iCs/>
            <w:noProof/>
            <w:lang w:val="hy-AM"/>
          </w:rPr>
          <w:t>մլն</w:t>
        </w:r>
        <w:r w:rsidR="00CA7B0A" w:rsidRPr="00693730">
          <w:rPr>
            <w:rStyle w:val="Hyperlink"/>
            <w:bCs/>
            <w:i/>
            <w:iCs/>
            <w:noProof/>
            <w:lang w:val="hy-AM"/>
          </w:rPr>
          <w:t xml:space="preserve">. </w:t>
        </w:r>
        <w:r w:rsidR="00CA7B0A" w:rsidRPr="00693730">
          <w:rPr>
            <w:rStyle w:val="Hyperlink"/>
            <w:rFonts w:cs="GHEA Grapalat"/>
            <w:bCs/>
            <w:i/>
            <w:iCs/>
            <w:noProof/>
            <w:lang w:val="hy-AM"/>
          </w:rPr>
          <w:t>դրամ</w:t>
        </w:r>
        <w:r w:rsidR="00CA7B0A" w:rsidRPr="00693730">
          <w:rPr>
            <w:rStyle w:val="Hyperlink"/>
            <w:bCs/>
            <w:i/>
            <w:iCs/>
            <w:noProof/>
            <w:lang w:val="hy-AM"/>
          </w:rPr>
          <w:t>)</w:t>
        </w:r>
        <w:r w:rsidR="00CA7B0A">
          <w:rPr>
            <w:noProof/>
            <w:webHidden/>
          </w:rPr>
          <w:tab/>
        </w:r>
        <w:r w:rsidR="00CA7B0A">
          <w:rPr>
            <w:noProof/>
            <w:webHidden/>
          </w:rPr>
          <w:fldChar w:fldCharType="begin"/>
        </w:r>
        <w:r w:rsidR="00CA7B0A">
          <w:rPr>
            <w:noProof/>
            <w:webHidden/>
          </w:rPr>
          <w:instrText xml:space="preserve"> PAGEREF _Toc120805272 \h </w:instrText>
        </w:r>
        <w:r w:rsidR="00CA7B0A">
          <w:rPr>
            <w:noProof/>
            <w:webHidden/>
          </w:rPr>
        </w:r>
        <w:r w:rsidR="00CA7B0A">
          <w:rPr>
            <w:noProof/>
            <w:webHidden/>
          </w:rPr>
          <w:fldChar w:fldCharType="separate"/>
        </w:r>
        <w:r w:rsidR="00CA7B0A">
          <w:rPr>
            <w:noProof/>
            <w:webHidden/>
          </w:rPr>
          <w:t>116</w:t>
        </w:r>
        <w:r w:rsidR="00CA7B0A">
          <w:rPr>
            <w:noProof/>
            <w:webHidden/>
          </w:rPr>
          <w:fldChar w:fldCharType="end"/>
        </w:r>
      </w:hyperlink>
    </w:p>
    <w:p w:rsidR="00CA7B0A" w:rsidRDefault="00C43BF7">
      <w:pPr>
        <w:pStyle w:val="TableofFigures"/>
        <w:rPr>
          <w:rFonts w:asciiTheme="minorHAnsi" w:eastAsiaTheme="minorEastAsia" w:hAnsiTheme="minorHAnsi" w:cstheme="minorBidi"/>
          <w:b w:val="0"/>
          <w:noProof/>
          <w:szCs w:val="22"/>
          <w:lang w:val="en-US" w:eastAsia="en-US"/>
        </w:rPr>
      </w:pPr>
      <w:hyperlink w:anchor="_Toc120805273" w:history="1">
        <w:r w:rsidR="00CA7B0A" w:rsidRPr="00693730">
          <w:rPr>
            <w:rStyle w:val="Hyperlink"/>
            <w:bCs/>
            <w:i/>
            <w:iCs/>
            <w:noProof/>
            <w:lang w:val="hy-AM"/>
          </w:rPr>
          <w:t>Աղյուսակ 14</w:t>
        </w:r>
        <w:r w:rsidR="00CA7B0A" w:rsidRPr="00693730">
          <w:rPr>
            <w:rStyle w:val="Hyperlink"/>
            <w:rFonts w:ascii="Cambria Math" w:hAnsi="Cambria Math" w:cs="Cambria Math"/>
            <w:bCs/>
            <w:i/>
            <w:iCs/>
            <w:noProof/>
            <w:lang w:val="hy-AM"/>
          </w:rPr>
          <w:t>․</w:t>
        </w:r>
        <w:r w:rsidR="00CA7B0A" w:rsidRPr="00693730">
          <w:rPr>
            <w:rStyle w:val="Hyperlink"/>
            <w:bCs/>
            <w:i/>
            <w:iCs/>
            <w:noProof/>
            <w:lang w:val="hy-AM"/>
          </w:rPr>
          <w:t xml:space="preserve"> Սոցիալական ոլորտի 2019-2023թթ</w:t>
        </w:r>
        <w:r w:rsidR="00CA7B0A" w:rsidRPr="00693730">
          <w:rPr>
            <w:rStyle w:val="Hyperlink"/>
            <w:rFonts w:ascii="Cambria Math" w:hAnsi="Cambria Math" w:cs="Cambria Math"/>
            <w:bCs/>
            <w:i/>
            <w:iCs/>
            <w:noProof/>
            <w:lang w:val="hy-AM"/>
          </w:rPr>
          <w:t>․</w:t>
        </w:r>
        <w:r w:rsidR="00CA7B0A" w:rsidRPr="00693730">
          <w:rPr>
            <w:rStyle w:val="Hyperlink"/>
            <w:bCs/>
            <w:i/>
            <w:iCs/>
            <w:noProof/>
            <w:lang w:val="hy-AM"/>
          </w:rPr>
          <w:t xml:space="preserve"> բյուջետային ծախսերը (մլն դրամ)</w:t>
        </w:r>
        <w:r w:rsidR="00CA7B0A">
          <w:rPr>
            <w:noProof/>
            <w:webHidden/>
          </w:rPr>
          <w:tab/>
        </w:r>
        <w:r w:rsidR="00CA7B0A">
          <w:rPr>
            <w:noProof/>
            <w:webHidden/>
          </w:rPr>
          <w:fldChar w:fldCharType="begin"/>
        </w:r>
        <w:r w:rsidR="00CA7B0A">
          <w:rPr>
            <w:noProof/>
            <w:webHidden/>
          </w:rPr>
          <w:instrText xml:space="preserve"> PAGEREF _Toc120805273 \h </w:instrText>
        </w:r>
        <w:r w:rsidR="00CA7B0A">
          <w:rPr>
            <w:noProof/>
            <w:webHidden/>
          </w:rPr>
        </w:r>
        <w:r w:rsidR="00CA7B0A">
          <w:rPr>
            <w:noProof/>
            <w:webHidden/>
          </w:rPr>
          <w:fldChar w:fldCharType="separate"/>
        </w:r>
        <w:r w:rsidR="00CA7B0A">
          <w:rPr>
            <w:noProof/>
            <w:webHidden/>
          </w:rPr>
          <w:t>117</w:t>
        </w:r>
        <w:r w:rsidR="00CA7B0A">
          <w:rPr>
            <w:noProof/>
            <w:webHidden/>
          </w:rPr>
          <w:fldChar w:fldCharType="end"/>
        </w:r>
      </w:hyperlink>
    </w:p>
    <w:p w:rsidR="00CA7B0A" w:rsidRDefault="00C43BF7">
      <w:pPr>
        <w:pStyle w:val="TableofFigures"/>
        <w:rPr>
          <w:rFonts w:asciiTheme="minorHAnsi" w:eastAsiaTheme="minorEastAsia" w:hAnsiTheme="minorHAnsi" w:cstheme="minorBidi"/>
          <w:b w:val="0"/>
          <w:noProof/>
          <w:szCs w:val="22"/>
          <w:lang w:val="en-US" w:eastAsia="en-US"/>
        </w:rPr>
      </w:pPr>
      <w:hyperlink w:anchor="_Toc120805274" w:history="1">
        <w:r w:rsidR="00CA7B0A" w:rsidRPr="00693730">
          <w:rPr>
            <w:rStyle w:val="Hyperlink"/>
            <w:bCs/>
            <w:noProof/>
            <w:lang w:val="hy-AM"/>
          </w:rPr>
          <w:t>Աղյուսակ 15. Արտաքին աղբյուրներից 2023թ. ստացվելիք միջոցների (վարկերի և պաշտոնական դրամաշնորհներ) հաշվին ֆինանսավորվող ծախսերը</w:t>
        </w:r>
        <w:r w:rsidR="00CA7B0A">
          <w:rPr>
            <w:noProof/>
            <w:webHidden/>
          </w:rPr>
          <w:tab/>
        </w:r>
        <w:r w:rsidR="00CA7B0A">
          <w:rPr>
            <w:noProof/>
            <w:webHidden/>
          </w:rPr>
          <w:fldChar w:fldCharType="begin"/>
        </w:r>
        <w:r w:rsidR="00CA7B0A">
          <w:rPr>
            <w:noProof/>
            <w:webHidden/>
          </w:rPr>
          <w:instrText xml:space="preserve"> PAGEREF _Toc120805274 \h </w:instrText>
        </w:r>
        <w:r w:rsidR="00CA7B0A">
          <w:rPr>
            <w:noProof/>
            <w:webHidden/>
          </w:rPr>
        </w:r>
        <w:r w:rsidR="00CA7B0A">
          <w:rPr>
            <w:noProof/>
            <w:webHidden/>
          </w:rPr>
          <w:fldChar w:fldCharType="separate"/>
        </w:r>
        <w:r w:rsidR="00CA7B0A">
          <w:rPr>
            <w:noProof/>
            <w:webHidden/>
          </w:rPr>
          <w:t>119</w:t>
        </w:r>
        <w:r w:rsidR="00CA7B0A">
          <w:rPr>
            <w:noProof/>
            <w:webHidden/>
          </w:rPr>
          <w:fldChar w:fldCharType="end"/>
        </w:r>
      </w:hyperlink>
    </w:p>
    <w:p w:rsidR="00CA7B0A" w:rsidRDefault="00C43BF7">
      <w:pPr>
        <w:pStyle w:val="TableofFigures"/>
        <w:rPr>
          <w:rFonts w:asciiTheme="minorHAnsi" w:eastAsiaTheme="minorEastAsia" w:hAnsiTheme="minorHAnsi" w:cstheme="minorBidi"/>
          <w:b w:val="0"/>
          <w:noProof/>
          <w:szCs w:val="22"/>
          <w:lang w:val="en-US" w:eastAsia="en-US"/>
        </w:rPr>
      </w:pPr>
      <w:hyperlink w:anchor="_Toc120805275" w:history="1">
        <w:r w:rsidR="00CA7B0A" w:rsidRPr="00693730">
          <w:rPr>
            <w:rStyle w:val="Hyperlink"/>
            <w:noProof/>
            <w:lang w:val="hy-AM"/>
          </w:rPr>
          <w:t>Աղյուսակ 16. Հարկային եկամուտների վրա մակրոտնտեսական կանխատեսումների և ենթադրությունների ռիսկերի ազդեցություն</w:t>
        </w:r>
        <w:r w:rsidR="00CA7B0A">
          <w:rPr>
            <w:noProof/>
            <w:webHidden/>
          </w:rPr>
          <w:tab/>
        </w:r>
        <w:r w:rsidR="00CA7B0A">
          <w:rPr>
            <w:noProof/>
            <w:webHidden/>
          </w:rPr>
          <w:fldChar w:fldCharType="begin"/>
        </w:r>
        <w:r w:rsidR="00CA7B0A">
          <w:rPr>
            <w:noProof/>
            <w:webHidden/>
          </w:rPr>
          <w:instrText xml:space="preserve"> PAGEREF _Toc120805275 \h </w:instrText>
        </w:r>
        <w:r w:rsidR="00CA7B0A">
          <w:rPr>
            <w:noProof/>
            <w:webHidden/>
          </w:rPr>
        </w:r>
        <w:r w:rsidR="00CA7B0A">
          <w:rPr>
            <w:noProof/>
            <w:webHidden/>
          </w:rPr>
          <w:fldChar w:fldCharType="separate"/>
        </w:r>
        <w:r w:rsidR="00CA7B0A">
          <w:rPr>
            <w:noProof/>
            <w:webHidden/>
          </w:rPr>
          <w:t>196</w:t>
        </w:r>
        <w:r w:rsidR="00CA7B0A">
          <w:rPr>
            <w:noProof/>
            <w:webHidden/>
          </w:rPr>
          <w:fldChar w:fldCharType="end"/>
        </w:r>
      </w:hyperlink>
    </w:p>
    <w:p w:rsidR="00CA7B0A" w:rsidRDefault="00C43BF7">
      <w:pPr>
        <w:pStyle w:val="TableofFigures"/>
        <w:rPr>
          <w:rFonts w:asciiTheme="minorHAnsi" w:eastAsiaTheme="minorEastAsia" w:hAnsiTheme="minorHAnsi" w:cstheme="minorBidi"/>
          <w:b w:val="0"/>
          <w:noProof/>
          <w:szCs w:val="22"/>
          <w:lang w:val="en-US" w:eastAsia="en-US"/>
        </w:rPr>
      </w:pPr>
      <w:hyperlink w:anchor="_Toc120805276" w:history="1">
        <w:r w:rsidR="00CA7B0A" w:rsidRPr="00693730">
          <w:rPr>
            <w:rStyle w:val="Hyperlink"/>
            <w:noProof/>
            <w:lang w:val="hy-AM"/>
          </w:rPr>
          <w:t>Աղյուսակ 17. Հարկային եկամուտների զգայունությունը հիմնական տնտեսական գործոնների նկատմամբ, տոկոս</w:t>
        </w:r>
        <w:r w:rsidR="00CA7B0A">
          <w:rPr>
            <w:noProof/>
            <w:webHidden/>
          </w:rPr>
          <w:tab/>
        </w:r>
        <w:r w:rsidR="00CA7B0A">
          <w:rPr>
            <w:noProof/>
            <w:webHidden/>
          </w:rPr>
          <w:fldChar w:fldCharType="begin"/>
        </w:r>
        <w:r w:rsidR="00CA7B0A">
          <w:rPr>
            <w:noProof/>
            <w:webHidden/>
          </w:rPr>
          <w:instrText xml:space="preserve"> PAGEREF _Toc120805276 \h </w:instrText>
        </w:r>
        <w:r w:rsidR="00CA7B0A">
          <w:rPr>
            <w:noProof/>
            <w:webHidden/>
          </w:rPr>
        </w:r>
        <w:r w:rsidR="00CA7B0A">
          <w:rPr>
            <w:noProof/>
            <w:webHidden/>
          </w:rPr>
          <w:fldChar w:fldCharType="separate"/>
        </w:r>
        <w:r w:rsidR="00CA7B0A">
          <w:rPr>
            <w:noProof/>
            <w:webHidden/>
          </w:rPr>
          <w:t>197</w:t>
        </w:r>
        <w:r w:rsidR="00CA7B0A">
          <w:rPr>
            <w:noProof/>
            <w:webHidden/>
          </w:rPr>
          <w:fldChar w:fldCharType="end"/>
        </w:r>
      </w:hyperlink>
    </w:p>
    <w:p w:rsidR="00CA7B0A" w:rsidRDefault="00C43BF7">
      <w:pPr>
        <w:pStyle w:val="TableofFigures"/>
        <w:rPr>
          <w:rFonts w:asciiTheme="minorHAnsi" w:eastAsiaTheme="minorEastAsia" w:hAnsiTheme="minorHAnsi" w:cstheme="minorBidi"/>
          <w:b w:val="0"/>
          <w:noProof/>
          <w:szCs w:val="22"/>
          <w:lang w:val="en-US" w:eastAsia="en-US"/>
        </w:rPr>
      </w:pPr>
      <w:hyperlink w:anchor="_Toc120805277" w:history="1">
        <w:r w:rsidR="00CA7B0A" w:rsidRPr="00693730">
          <w:rPr>
            <w:rStyle w:val="Hyperlink"/>
            <w:noProof/>
            <w:lang w:val="hy-AM"/>
          </w:rPr>
          <w:t>Աղյուսակ 18.</w:t>
        </w:r>
        <w:r w:rsidR="00CA7B0A" w:rsidRPr="00693730">
          <w:rPr>
            <w:rStyle w:val="Hyperlink"/>
            <w:rFonts w:eastAsia="Calibri"/>
            <w:i/>
            <w:noProof/>
            <w:lang w:val="hy-AM" w:eastAsia="en-US"/>
          </w:rPr>
          <w:t xml:space="preserve"> Հարկային եկամուտների կանխատեսումների հավանականային բաշխումը</w:t>
        </w:r>
        <w:r w:rsidR="00CA7B0A">
          <w:rPr>
            <w:noProof/>
            <w:webHidden/>
          </w:rPr>
          <w:tab/>
        </w:r>
        <w:r w:rsidR="00CA7B0A">
          <w:rPr>
            <w:noProof/>
            <w:webHidden/>
          </w:rPr>
          <w:fldChar w:fldCharType="begin"/>
        </w:r>
        <w:r w:rsidR="00CA7B0A">
          <w:rPr>
            <w:noProof/>
            <w:webHidden/>
          </w:rPr>
          <w:instrText xml:space="preserve"> PAGEREF _Toc120805277 \h </w:instrText>
        </w:r>
        <w:r w:rsidR="00CA7B0A">
          <w:rPr>
            <w:noProof/>
            <w:webHidden/>
          </w:rPr>
        </w:r>
        <w:r w:rsidR="00CA7B0A">
          <w:rPr>
            <w:noProof/>
            <w:webHidden/>
          </w:rPr>
          <w:fldChar w:fldCharType="separate"/>
        </w:r>
        <w:r w:rsidR="00CA7B0A">
          <w:rPr>
            <w:noProof/>
            <w:webHidden/>
          </w:rPr>
          <w:t>197</w:t>
        </w:r>
        <w:r w:rsidR="00CA7B0A">
          <w:rPr>
            <w:noProof/>
            <w:webHidden/>
          </w:rPr>
          <w:fldChar w:fldCharType="end"/>
        </w:r>
      </w:hyperlink>
    </w:p>
    <w:p w:rsidR="00CA7B0A" w:rsidRDefault="00C43BF7">
      <w:pPr>
        <w:pStyle w:val="TableofFigures"/>
        <w:rPr>
          <w:rFonts w:asciiTheme="minorHAnsi" w:eastAsiaTheme="minorEastAsia" w:hAnsiTheme="minorHAnsi" w:cstheme="minorBidi"/>
          <w:b w:val="0"/>
          <w:noProof/>
          <w:szCs w:val="22"/>
          <w:lang w:val="en-US" w:eastAsia="en-US"/>
        </w:rPr>
      </w:pPr>
      <w:hyperlink w:anchor="_Toc120805278" w:history="1">
        <w:r w:rsidR="00CA7B0A" w:rsidRPr="00693730">
          <w:rPr>
            <w:rStyle w:val="Hyperlink"/>
            <w:noProof/>
            <w:lang w:val="hy-AM"/>
          </w:rPr>
          <w:t xml:space="preserve">Աղյուսակ 19. ՀՀ պետական բյուջեի հարկային եկամուտների և ծախսերի, ինչպես նաև այլ հոսքերի գծով ռիսկերի ընդհանուր ազդեցությունը. </w:t>
        </w:r>
        <w:r w:rsidR="00CA7B0A" w:rsidRPr="00693730">
          <w:rPr>
            <w:rStyle w:val="Hyperlink"/>
            <w:noProof/>
          </w:rPr>
          <w:t>(ֆինանսավորման պահանջ` - պահանջի մեծացում, + պահանջի նվազում), մլրդ ՀՀ դրամ</w:t>
        </w:r>
        <w:r w:rsidR="00CA7B0A">
          <w:rPr>
            <w:noProof/>
            <w:webHidden/>
          </w:rPr>
          <w:tab/>
        </w:r>
        <w:r w:rsidR="00CA7B0A">
          <w:rPr>
            <w:noProof/>
            <w:webHidden/>
          </w:rPr>
          <w:fldChar w:fldCharType="begin"/>
        </w:r>
        <w:r w:rsidR="00CA7B0A">
          <w:rPr>
            <w:noProof/>
            <w:webHidden/>
          </w:rPr>
          <w:instrText xml:space="preserve"> PAGEREF _Toc120805278 \h </w:instrText>
        </w:r>
        <w:r w:rsidR="00CA7B0A">
          <w:rPr>
            <w:noProof/>
            <w:webHidden/>
          </w:rPr>
        </w:r>
        <w:r w:rsidR="00CA7B0A">
          <w:rPr>
            <w:noProof/>
            <w:webHidden/>
          </w:rPr>
          <w:fldChar w:fldCharType="separate"/>
        </w:r>
        <w:r w:rsidR="00CA7B0A">
          <w:rPr>
            <w:noProof/>
            <w:webHidden/>
          </w:rPr>
          <w:t>199</w:t>
        </w:r>
        <w:r w:rsidR="00CA7B0A">
          <w:rPr>
            <w:noProof/>
            <w:webHidden/>
          </w:rPr>
          <w:fldChar w:fldCharType="end"/>
        </w:r>
      </w:hyperlink>
    </w:p>
    <w:p w:rsidR="00CA7B0A" w:rsidRDefault="00C43BF7">
      <w:pPr>
        <w:pStyle w:val="TableofFigures"/>
        <w:rPr>
          <w:rFonts w:asciiTheme="minorHAnsi" w:eastAsiaTheme="minorEastAsia" w:hAnsiTheme="minorHAnsi" w:cstheme="minorBidi"/>
          <w:b w:val="0"/>
          <w:noProof/>
          <w:szCs w:val="22"/>
          <w:lang w:val="en-US" w:eastAsia="en-US"/>
        </w:rPr>
      </w:pPr>
      <w:hyperlink w:anchor="_Toc120805279" w:history="1">
        <w:r w:rsidR="00CA7B0A" w:rsidRPr="00693730">
          <w:rPr>
            <w:rStyle w:val="Hyperlink"/>
            <w:noProof/>
            <w:lang w:val="hy-AM"/>
          </w:rPr>
          <w:t xml:space="preserve">Աղյուսակ 20. </w:t>
        </w:r>
        <w:r w:rsidR="00CA7B0A" w:rsidRPr="00693730">
          <w:rPr>
            <w:rStyle w:val="Hyperlink"/>
            <w:rFonts w:eastAsia="Calibri"/>
            <w:i/>
            <w:noProof/>
            <w:lang w:val="hy-AM" w:eastAsia="en-US"/>
          </w:rPr>
          <w:t>ՀՀ ՖՆ և այլ կառույցների կողմից ՀՀ տնտեսական աճի կանխատեսումները (%)</w:t>
        </w:r>
        <w:r w:rsidR="00CA7B0A">
          <w:rPr>
            <w:noProof/>
            <w:webHidden/>
          </w:rPr>
          <w:tab/>
        </w:r>
        <w:r w:rsidR="00CA7B0A">
          <w:rPr>
            <w:noProof/>
            <w:webHidden/>
          </w:rPr>
          <w:fldChar w:fldCharType="begin"/>
        </w:r>
        <w:r w:rsidR="00CA7B0A">
          <w:rPr>
            <w:noProof/>
            <w:webHidden/>
          </w:rPr>
          <w:instrText xml:space="preserve"> PAGEREF _Toc120805279 \h </w:instrText>
        </w:r>
        <w:r w:rsidR="00CA7B0A">
          <w:rPr>
            <w:noProof/>
            <w:webHidden/>
          </w:rPr>
        </w:r>
        <w:r w:rsidR="00CA7B0A">
          <w:rPr>
            <w:noProof/>
            <w:webHidden/>
          </w:rPr>
          <w:fldChar w:fldCharType="separate"/>
        </w:r>
        <w:r w:rsidR="00CA7B0A">
          <w:rPr>
            <w:noProof/>
            <w:webHidden/>
          </w:rPr>
          <w:t>201</w:t>
        </w:r>
        <w:r w:rsidR="00CA7B0A">
          <w:rPr>
            <w:noProof/>
            <w:webHidden/>
          </w:rPr>
          <w:fldChar w:fldCharType="end"/>
        </w:r>
      </w:hyperlink>
    </w:p>
    <w:p w:rsidR="00CA7B0A" w:rsidRDefault="00C43BF7">
      <w:pPr>
        <w:pStyle w:val="TableofFigures"/>
        <w:rPr>
          <w:rFonts w:asciiTheme="minorHAnsi" w:eastAsiaTheme="minorEastAsia" w:hAnsiTheme="minorHAnsi" w:cstheme="minorBidi"/>
          <w:b w:val="0"/>
          <w:noProof/>
          <w:szCs w:val="22"/>
          <w:lang w:val="en-US" w:eastAsia="en-US"/>
        </w:rPr>
      </w:pPr>
      <w:hyperlink w:anchor="_Toc120805280" w:history="1">
        <w:r w:rsidR="00CA7B0A" w:rsidRPr="00693730">
          <w:rPr>
            <w:rStyle w:val="Hyperlink"/>
            <w:rFonts w:eastAsia="Calibri"/>
            <w:bCs/>
            <w:noProof/>
            <w:lang w:val="hy-AM" w:eastAsia="en-US"/>
          </w:rPr>
          <w:t>Աղյուսակ 21</w:t>
        </w:r>
        <w:r w:rsidR="00CA7B0A" w:rsidRPr="00693730">
          <w:rPr>
            <w:rStyle w:val="Hyperlink"/>
            <w:rFonts w:eastAsia="Calibri"/>
            <w:i/>
            <w:iCs/>
            <w:noProof/>
            <w:lang w:val="hy-AM" w:eastAsia="en-US"/>
          </w:rPr>
          <w:t xml:space="preserve"> </w:t>
        </w:r>
        <w:r w:rsidR="00CA7B0A" w:rsidRPr="00693730">
          <w:rPr>
            <w:rStyle w:val="Hyperlink"/>
            <w:rFonts w:eastAsia="Calibri"/>
            <w:bCs/>
            <w:i/>
            <w:noProof/>
            <w:lang w:val="hy-AM" w:eastAsia="en-US"/>
          </w:rPr>
          <w:t>Բյուջետային վարկեր և երաշխիքներ ունեցող ՊՄԸ ցուցանիշները</w:t>
        </w:r>
        <w:r w:rsidR="00CA7B0A">
          <w:rPr>
            <w:noProof/>
            <w:webHidden/>
          </w:rPr>
          <w:tab/>
        </w:r>
        <w:r w:rsidR="00CA7B0A">
          <w:rPr>
            <w:noProof/>
            <w:webHidden/>
          </w:rPr>
          <w:fldChar w:fldCharType="begin"/>
        </w:r>
        <w:r w:rsidR="00CA7B0A">
          <w:rPr>
            <w:noProof/>
            <w:webHidden/>
          </w:rPr>
          <w:instrText xml:space="preserve"> PAGEREF _Toc120805280 \h </w:instrText>
        </w:r>
        <w:r w:rsidR="00CA7B0A">
          <w:rPr>
            <w:noProof/>
            <w:webHidden/>
          </w:rPr>
        </w:r>
        <w:r w:rsidR="00CA7B0A">
          <w:rPr>
            <w:noProof/>
            <w:webHidden/>
          </w:rPr>
          <w:fldChar w:fldCharType="separate"/>
        </w:r>
        <w:r w:rsidR="00CA7B0A">
          <w:rPr>
            <w:noProof/>
            <w:webHidden/>
          </w:rPr>
          <w:t>202</w:t>
        </w:r>
        <w:r w:rsidR="00CA7B0A">
          <w:rPr>
            <w:noProof/>
            <w:webHidden/>
          </w:rPr>
          <w:fldChar w:fldCharType="end"/>
        </w:r>
      </w:hyperlink>
    </w:p>
    <w:p w:rsidR="00CA7B0A" w:rsidRDefault="00C43BF7">
      <w:pPr>
        <w:pStyle w:val="TableofFigures"/>
        <w:rPr>
          <w:rFonts w:asciiTheme="minorHAnsi" w:eastAsiaTheme="minorEastAsia" w:hAnsiTheme="minorHAnsi" w:cstheme="minorBidi"/>
          <w:b w:val="0"/>
          <w:noProof/>
          <w:szCs w:val="22"/>
          <w:lang w:val="en-US" w:eastAsia="en-US"/>
        </w:rPr>
      </w:pPr>
      <w:hyperlink w:anchor="_Toc120805281" w:history="1">
        <w:r w:rsidR="00CA7B0A" w:rsidRPr="00693730">
          <w:rPr>
            <w:rStyle w:val="Hyperlink"/>
            <w:rFonts w:eastAsia="Calibri"/>
            <w:bCs/>
            <w:noProof/>
            <w:lang w:val="hy-AM" w:eastAsia="en-US"/>
          </w:rPr>
          <w:t>Աղյուսակ 22</w:t>
        </w:r>
        <w:r w:rsidR="00CA7B0A" w:rsidRPr="00693730">
          <w:rPr>
            <w:rStyle w:val="Hyperlink"/>
            <w:rFonts w:eastAsia="Calibri"/>
            <w:i/>
            <w:iCs/>
            <w:noProof/>
            <w:lang w:val="hy-AM" w:eastAsia="en-US"/>
          </w:rPr>
          <w:t xml:space="preserve"> </w:t>
        </w:r>
        <w:r w:rsidR="00CA7B0A" w:rsidRPr="00693730">
          <w:rPr>
            <w:rStyle w:val="Hyperlink"/>
            <w:rFonts w:eastAsia="Calibri"/>
            <w:bCs/>
            <w:i/>
            <w:noProof/>
            <w:lang w:val="hy-AM" w:eastAsia="en-US"/>
          </w:rPr>
          <w:t>Խոշոր պարտավորություններ ունեցող պետական և համայնքային մասնակցությամբ ընկերությունների ցուցանիշները</w:t>
        </w:r>
        <w:r w:rsidR="00CA7B0A">
          <w:rPr>
            <w:noProof/>
            <w:webHidden/>
          </w:rPr>
          <w:tab/>
        </w:r>
        <w:r w:rsidR="00CA7B0A">
          <w:rPr>
            <w:noProof/>
            <w:webHidden/>
          </w:rPr>
          <w:fldChar w:fldCharType="begin"/>
        </w:r>
        <w:r w:rsidR="00CA7B0A">
          <w:rPr>
            <w:noProof/>
            <w:webHidden/>
          </w:rPr>
          <w:instrText xml:space="preserve"> PAGEREF _Toc120805281 \h </w:instrText>
        </w:r>
        <w:r w:rsidR="00CA7B0A">
          <w:rPr>
            <w:noProof/>
            <w:webHidden/>
          </w:rPr>
        </w:r>
        <w:r w:rsidR="00CA7B0A">
          <w:rPr>
            <w:noProof/>
            <w:webHidden/>
          </w:rPr>
          <w:fldChar w:fldCharType="separate"/>
        </w:r>
        <w:r w:rsidR="00CA7B0A">
          <w:rPr>
            <w:noProof/>
            <w:webHidden/>
          </w:rPr>
          <w:t>203</w:t>
        </w:r>
        <w:r w:rsidR="00CA7B0A">
          <w:rPr>
            <w:noProof/>
            <w:webHidden/>
          </w:rPr>
          <w:fldChar w:fldCharType="end"/>
        </w:r>
      </w:hyperlink>
    </w:p>
    <w:p w:rsidR="00CA7B0A" w:rsidRDefault="00C43BF7">
      <w:pPr>
        <w:pStyle w:val="TableofFigures"/>
        <w:rPr>
          <w:rFonts w:asciiTheme="minorHAnsi" w:eastAsiaTheme="minorEastAsia" w:hAnsiTheme="minorHAnsi" w:cstheme="minorBidi"/>
          <w:b w:val="0"/>
          <w:noProof/>
          <w:szCs w:val="22"/>
          <w:lang w:val="en-US" w:eastAsia="en-US"/>
        </w:rPr>
      </w:pPr>
      <w:hyperlink w:anchor="_Toc120805282" w:history="1">
        <w:r w:rsidR="00CA7B0A" w:rsidRPr="00693730">
          <w:rPr>
            <w:rStyle w:val="Hyperlink"/>
            <w:rFonts w:eastAsia="Calibri"/>
            <w:bCs/>
            <w:noProof/>
            <w:lang w:val="hy-AM" w:eastAsia="en-US"/>
          </w:rPr>
          <w:t>Աղյուսակ 23</w:t>
        </w:r>
        <w:r w:rsidR="00CA7B0A" w:rsidRPr="00693730">
          <w:rPr>
            <w:rStyle w:val="Hyperlink"/>
            <w:rFonts w:eastAsia="Calibri"/>
            <w:bCs/>
            <w:i/>
            <w:noProof/>
            <w:lang w:val="hy-AM" w:eastAsia="en-US"/>
          </w:rPr>
          <w:t xml:space="preserve"> Առավելագույն կուտակված վնաս արձանագրված պետական մասնակցությամբ ընկերությունների ցուցանիշները</w:t>
        </w:r>
        <w:r w:rsidR="00CA7B0A">
          <w:rPr>
            <w:noProof/>
            <w:webHidden/>
          </w:rPr>
          <w:tab/>
        </w:r>
        <w:r w:rsidR="00CA7B0A">
          <w:rPr>
            <w:noProof/>
            <w:webHidden/>
          </w:rPr>
          <w:fldChar w:fldCharType="begin"/>
        </w:r>
        <w:r w:rsidR="00CA7B0A">
          <w:rPr>
            <w:noProof/>
            <w:webHidden/>
          </w:rPr>
          <w:instrText xml:space="preserve"> PAGEREF _Toc120805282 \h </w:instrText>
        </w:r>
        <w:r w:rsidR="00CA7B0A">
          <w:rPr>
            <w:noProof/>
            <w:webHidden/>
          </w:rPr>
        </w:r>
        <w:r w:rsidR="00CA7B0A">
          <w:rPr>
            <w:noProof/>
            <w:webHidden/>
          </w:rPr>
          <w:fldChar w:fldCharType="separate"/>
        </w:r>
        <w:r w:rsidR="00CA7B0A">
          <w:rPr>
            <w:noProof/>
            <w:webHidden/>
          </w:rPr>
          <w:t>204</w:t>
        </w:r>
        <w:r w:rsidR="00CA7B0A">
          <w:rPr>
            <w:noProof/>
            <w:webHidden/>
          </w:rPr>
          <w:fldChar w:fldCharType="end"/>
        </w:r>
      </w:hyperlink>
    </w:p>
    <w:p w:rsidR="00CA7B0A" w:rsidRDefault="00C43BF7">
      <w:pPr>
        <w:pStyle w:val="TableofFigures"/>
        <w:rPr>
          <w:rFonts w:asciiTheme="minorHAnsi" w:eastAsiaTheme="minorEastAsia" w:hAnsiTheme="minorHAnsi" w:cstheme="minorBidi"/>
          <w:b w:val="0"/>
          <w:noProof/>
          <w:szCs w:val="22"/>
          <w:lang w:val="en-US" w:eastAsia="en-US"/>
        </w:rPr>
      </w:pPr>
      <w:hyperlink w:anchor="_Toc120805283" w:history="1">
        <w:r w:rsidR="00CA7B0A" w:rsidRPr="00693730">
          <w:rPr>
            <w:rStyle w:val="Hyperlink"/>
            <w:rFonts w:eastAsia="Calibri"/>
            <w:bCs/>
            <w:noProof/>
            <w:lang w:val="hy-AM" w:eastAsia="en-US"/>
          </w:rPr>
          <w:t>Աղյուսակ 24</w:t>
        </w:r>
        <w:r w:rsidR="00CA7B0A" w:rsidRPr="00693730">
          <w:rPr>
            <w:rStyle w:val="Hyperlink"/>
            <w:rFonts w:eastAsia="Calibri"/>
            <w:i/>
            <w:iCs/>
            <w:noProof/>
            <w:lang w:val="hy-AM" w:eastAsia="en-US"/>
          </w:rPr>
          <w:t xml:space="preserve"> </w:t>
        </w:r>
        <w:r w:rsidR="00CA7B0A" w:rsidRPr="00693730">
          <w:rPr>
            <w:rStyle w:val="Hyperlink"/>
            <w:rFonts w:eastAsia="Calibri"/>
            <w:bCs/>
            <w:i/>
            <w:noProof/>
            <w:lang w:val="hy-AM" w:eastAsia="en-US"/>
          </w:rPr>
          <w:t>Էներգետիկայի ոլորտի մասնավոր ընկերությունների հանրագումարային զուտ շահույթը/վնասն ու պարտավորությունները ըստ տարիների</w:t>
        </w:r>
        <w:r w:rsidR="00CA7B0A">
          <w:rPr>
            <w:noProof/>
            <w:webHidden/>
          </w:rPr>
          <w:tab/>
        </w:r>
        <w:r w:rsidR="00CA7B0A">
          <w:rPr>
            <w:noProof/>
            <w:webHidden/>
          </w:rPr>
          <w:fldChar w:fldCharType="begin"/>
        </w:r>
        <w:r w:rsidR="00CA7B0A">
          <w:rPr>
            <w:noProof/>
            <w:webHidden/>
          </w:rPr>
          <w:instrText xml:space="preserve"> PAGEREF _Toc120805283 \h </w:instrText>
        </w:r>
        <w:r w:rsidR="00CA7B0A">
          <w:rPr>
            <w:noProof/>
            <w:webHidden/>
          </w:rPr>
        </w:r>
        <w:r w:rsidR="00CA7B0A">
          <w:rPr>
            <w:noProof/>
            <w:webHidden/>
          </w:rPr>
          <w:fldChar w:fldCharType="separate"/>
        </w:r>
        <w:r w:rsidR="00CA7B0A">
          <w:rPr>
            <w:noProof/>
            <w:webHidden/>
          </w:rPr>
          <w:t>205</w:t>
        </w:r>
        <w:r w:rsidR="00CA7B0A">
          <w:rPr>
            <w:noProof/>
            <w:webHidden/>
          </w:rPr>
          <w:fldChar w:fldCharType="end"/>
        </w:r>
      </w:hyperlink>
    </w:p>
    <w:p w:rsidR="00CA7B0A" w:rsidRDefault="00C43BF7">
      <w:pPr>
        <w:pStyle w:val="TableofFigures"/>
        <w:rPr>
          <w:rFonts w:asciiTheme="minorHAnsi" w:eastAsiaTheme="minorEastAsia" w:hAnsiTheme="minorHAnsi" w:cstheme="minorBidi"/>
          <w:b w:val="0"/>
          <w:noProof/>
          <w:szCs w:val="22"/>
          <w:lang w:val="en-US" w:eastAsia="en-US"/>
        </w:rPr>
      </w:pPr>
      <w:hyperlink w:anchor="_Toc120805284" w:history="1">
        <w:r w:rsidR="00CA7B0A" w:rsidRPr="00693730">
          <w:rPr>
            <w:rStyle w:val="Hyperlink"/>
            <w:rFonts w:eastAsia="Calibri"/>
            <w:bCs/>
            <w:noProof/>
            <w:lang w:val="hy-AM" w:eastAsia="en-US"/>
          </w:rPr>
          <w:t>Աղյուսակ 25</w:t>
        </w:r>
        <w:r w:rsidR="00CA7B0A" w:rsidRPr="00693730">
          <w:rPr>
            <w:rStyle w:val="Hyperlink"/>
            <w:rFonts w:eastAsia="Calibri"/>
            <w:i/>
            <w:iCs/>
            <w:noProof/>
            <w:lang w:val="hy-AM" w:eastAsia="en-US"/>
          </w:rPr>
          <w:t xml:space="preserve"> </w:t>
        </w:r>
        <w:r w:rsidR="00CA7B0A" w:rsidRPr="00693730">
          <w:rPr>
            <w:rStyle w:val="Hyperlink"/>
            <w:rFonts w:eastAsia="Calibri"/>
            <w:bCs/>
            <w:i/>
            <w:noProof/>
            <w:lang w:val="hy-AM" w:eastAsia="en-US"/>
          </w:rPr>
          <w:t>Գործող ՊՄԳ և ԷԳՊ պայմանագրերը</w:t>
        </w:r>
        <w:r w:rsidR="00CA7B0A">
          <w:rPr>
            <w:noProof/>
            <w:webHidden/>
          </w:rPr>
          <w:tab/>
        </w:r>
        <w:r w:rsidR="00CA7B0A">
          <w:rPr>
            <w:noProof/>
            <w:webHidden/>
          </w:rPr>
          <w:fldChar w:fldCharType="begin"/>
        </w:r>
        <w:r w:rsidR="00CA7B0A">
          <w:rPr>
            <w:noProof/>
            <w:webHidden/>
          </w:rPr>
          <w:instrText xml:space="preserve"> PAGEREF _Toc120805284 \h </w:instrText>
        </w:r>
        <w:r w:rsidR="00CA7B0A">
          <w:rPr>
            <w:noProof/>
            <w:webHidden/>
          </w:rPr>
        </w:r>
        <w:r w:rsidR="00CA7B0A">
          <w:rPr>
            <w:noProof/>
            <w:webHidden/>
          </w:rPr>
          <w:fldChar w:fldCharType="separate"/>
        </w:r>
        <w:r w:rsidR="00CA7B0A">
          <w:rPr>
            <w:noProof/>
            <w:webHidden/>
          </w:rPr>
          <w:t>208</w:t>
        </w:r>
        <w:r w:rsidR="00CA7B0A">
          <w:rPr>
            <w:noProof/>
            <w:webHidden/>
          </w:rPr>
          <w:fldChar w:fldCharType="end"/>
        </w:r>
      </w:hyperlink>
    </w:p>
    <w:p w:rsidR="00CA7B0A" w:rsidRDefault="00C43BF7">
      <w:pPr>
        <w:pStyle w:val="TableofFigures"/>
        <w:rPr>
          <w:rFonts w:asciiTheme="minorHAnsi" w:eastAsiaTheme="minorEastAsia" w:hAnsiTheme="minorHAnsi" w:cstheme="minorBidi"/>
          <w:b w:val="0"/>
          <w:noProof/>
          <w:szCs w:val="22"/>
          <w:lang w:val="en-US" w:eastAsia="en-US"/>
        </w:rPr>
      </w:pPr>
      <w:hyperlink w:anchor="_Toc120805285" w:history="1">
        <w:r w:rsidR="00CA7B0A" w:rsidRPr="00693730">
          <w:rPr>
            <w:rStyle w:val="Hyperlink"/>
            <w:rFonts w:eastAsia="Calibri"/>
            <w:bCs/>
            <w:noProof/>
            <w:lang w:val="hy-AM" w:eastAsia="en-US"/>
          </w:rPr>
          <w:t>Աղյուսակ 26</w:t>
        </w:r>
        <w:r w:rsidR="00CA7B0A" w:rsidRPr="00693730">
          <w:rPr>
            <w:rStyle w:val="Hyperlink"/>
            <w:rFonts w:eastAsia="Calibri"/>
            <w:i/>
            <w:iCs/>
            <w:noProof/>
            <w:lang w:val="hy-AM" w:eastAsia="en-US"/>
          </w:rPr>
          <w:t xml:space="preserve"> </w:t>
        </w:r>
        <w:r w:rsidR="00CA7B0A" w:rsidRPr="00693730">
          <w:rPr>
            <w:rStyle w:val="Hyperlink"/>
            <w:rFonts w:eastAsia="Calibri"/>
            <w:bCs/>
            <w:i/>
            <w:noProof/>
            <w:lang w:val="hy-AM" w:eastAsia="en-US"/>
          </w:rPr>
          <w:t>Պայմանական պարտավորությունների ամփոփ հաշվարկ</w:t>
        </w:r>
        <w:r w:rsidR="00CA7B0A">
          <w:rPr>
            <w:noProof/>
            <w:webHidden/>
          </w:rPr>
          <w:tab/>
        </w:r>
        <w:r w:rsidR="00CA7B0A">
          <w:rPr>
            <w:noProof/>
            <w:webHidden/>
          </w:rPr>
          <w:fldChar w:fldCharType="begin"/>
        </w:r>
        <w:r w:rsidR="00CA7B0A">
          <w:rPr>
            <w:noProof/>
            <w:webHidden/>
          </w:rPr>
          <w:instrText xml:space="preserve"> PAGEREF _Toc120805285 \h </w:instrText>
        </w:r>
        <w:r w:rsidR="00CA7B0A">
          <w:rPr>
            <w:noProof/>
            <w:webHidden/>
          </w:rPr>
        </w:r>
        <w:r w:rsidR="00CA7B0A">
          <w:rPr>
            <w:noProof/>
            <w:webHidden/>
          </w:rPr>
          <w:fldChar w:fldCharType="separate"/>
        </w:r>
        <w:r w:rsidR="00CA7B0A">
          <w:rPr>
            <w:noProof/>
            <w:webHidden/>
          </w:rPr>
          <w:t>215</w:t>
        </w:r>
        <w:r w:rsidR="00CA7B0A">
          <w:rPr>
            <w:noProof/>
            <w:webHidden/>
          </w:rPr>
          <w:fldChar w:fldCharType="end"/>
        </w:r>
      </w:hyperlink>
    </w:p>
    <w:p w:rsidR="00CA7B0A" w:rsidRDefault="00C43BF7">
      <w:pPr>
        <w:pStyle w:val="TableofFigures"/>
        <w:rPr>
          <w:rFonts w:asciiTheme="minorHAnsi" w:eastAsiaTheme="minorEastAsia" w:hAnsiTheme="minorHAnsi" w:cstheme="minorBidi"/>
          <w:b w:val="0"/>
          <w:noProof/>
          <w:szCs w:val="22"/>
          <w:lang w:val="en-US" w:eastAsia="en-US"/>
        </w:rPr>
      </w:pPr>
      <w:hyperlink w:anchor="_Toc120805286" w:history="1">
        <w:r w:rsidR="00CA7B0A" w:rsidRPr="00693730">
          <w:rPr>
            <w:rStyle w:val="Hyperlink"/>
            <w:rFonts w:eastAsia="Calibri"/>
            <w:bCs/>
            <w:noProof/>
            <w:lang w:val="hy-AM" w:eastAsia="en-US"/>
          </w:rPr>
          <w:t>Աղյուսակ 27</w:t>
        </w:r>
        <w:r w:rsidR="00CA7B0A" w:rsidRPr="00693730">
          <w:rPr>
            <w:rStyle w:val="Hyperlink"/>
            <w:rFonts w:eastAsia="Calibri"/>
            <w:i/>
            <w:iCs/>
            <w:noProof/>
            <w:lang w:val="hy-AM" w:eastAsia="en-US"/>
          </w:rPr>
          <w:t xml:space="preserve"> </w:t>
        </w:r>
        <w:r w:rsidR="00CA7B0A" w:rsidRPr="00693730">
          <w:rPr>
            <w:rStyle w:val="Hyperlink"/>
            <w:rFonts w:eastAsia="Calibri"/>
            <w:bCs/>
            <w:i/>
            <w:noProof/>
            <w:lang w:val="hy-AM" w:eastAsia="en-US"/>
          </w:rPr>
          <w:t>Բանկային համակարգի ցուցանիշների դինամիկան</w:t>
        </w:r>
        <w:r w:rsidR="00CA7B0A">
          <w:rPr>
            <w:noProof/>
            <w:webHidden/>
          </w:rPr>
          <w:tab/>
        </w:r>
        <w:r w:rsidR="00CA7B0A">
          <w:rPr>
            <w:noProof/>
            <w:webHidden/>
          </w:rPr>
          <w:fldChar w:fldCharType="begin"/>
        </w:r>
        <w:r w:rsidR="00CA7B0A">
          <w:rPr>
            <w:noProof/>
            <w:webHidden/>
          </w:rPr>
          <w:instrText xml:space="preserve"> PAGEREF _Toc120805286 \h </w:instrText>
        </w:r>
        <w:r w:rsidR="00CA7B0A">
          <w:rPr>
            <w:noProof/>
            <w:webHidden/>
          </w:rPr>
        </w:r>
        <w:r w:rsidR="00CA7B0A">
          <w:rPr>
            <w:noProof/>
            <w:webHidden/>
          </w:rPr>
          <w:fldChar w:fldCharType="separate"/>
        </w:r>
        <w:r w:rsidR="00CA7B0A">
          <w:rPr>
            <w:noProof/>
            <w:webHidden/>
          </w:rPr>
          <w:t>221</w:t>
        </w:r>
        <w:r w:rsidR="00CA7B0A">
          <w:rPr>
            <w:noProof/>
            <w:webHidden/>
          </w:rPr>
          <w:fldChar w:fldCharType="end"/>
        </w:r>
      </w:hyperlink>
    </w:p>
    <w:p w:rsidR="008B76F4" w:rsidRPr="007955BB" w:rsidRDefault="003C3925" w:rsidP="00054D48">
      <w:pPr>
        <w:tabs>
          <w:tab w:val="left" w:pos="1260"/>
        </w:tabs>
        <w:spacing w:before="0"/>
        <w:ind w:left="1440" w:hanging="1440"/>
        <w:contextualSpacing w:val="0"/>
        <w:rPr>
          <w:rFonts w:eastAsia="Calibri" w:cs="Times Armenian"/>
          <w:b w:val="0"/>
          <w:szCs w:val="22"/>
          <w:lang w:val="hy-AM" w:eastAsia="en-US"/>
        </w:rPr>
      </w:pPr>
      <w:r w:rsidRPr="007955BB">
        <w:rPr>
          <w:rFonts w:eastAsia="Calibri" w:cs="Times Armenian"/>
          <w:b w:val="0"/>
          <w:szCs w:val="22"/>
          <w:lang w:val="hy-AM" w:eastAsia="en-US"/>
        </w:rPr>
        <w:fldChar w:fldCharType="end"/>
      </w:r>
    </w:p>
    <w:p w:rsidR="008B76F4" w:rsidRPr="007955BB" w:rsidRDefault="008B76F4" w:rsidP="00962F00">
      <w:pPr>
        <w:spacing w:before="0"/>
        <w:ind w:firstLine="720"/>
        <w:contextualSpacing w:val="0"/>
        <w:rPr>
          <w:rFonts w:eastAsia="Calibri" w:cs="Times Armenian"/>
          <w:b w:val="0"/>
          <w:szCs w:val="22"/>
          <w:lang w:val="hy-AM" w:eastAsia="en-US"/>
        </w:rPr>
      </w:pPr>
    </w:p>
    <w:p w:rsidR="008B76F4" w:rsidRPr="007955BB" w:rsidRDefault="008B76F4" w:rsidP="00962F00">
      <w:pPr>
        <w:spacing w:before="0"/>
        <w:ind w:firstLine="720"/>
        <w:contextualSpacing w:val="0"/>
        <w:rPr>
          <w:rFonts w:eastAsia="Calibri" w:cs="Times Armenian"/>
          <w:b w:val="0"/>
          <w:szCs w:val="22"/>
          <w:lang w:val="hy-AM" w:eastAsia="en-US"/>
        </w:rPr>
      </w:pPr>
    </w:p>
    <w:p w:rsidR="008B76F4" w:rsidRPr="007955BB" w:rsidRDefault="008B76F4" w:rsidP="00962F00">
      <w:pPr>
        <w:spacing w:before="0"/>
        <w:ind w:firstLine="720"/>
        <w:contextualSpacing w:val="0"/>
        <w:rPr>
          <w:rFonts w:eastAsia="Calibri" w:cs="Times Armenian"/>
          <w:b w:val="0"/>
          <w:szCs w:val="22"/>
          <w:lang w:val="hy-AM" w:eastAsia="en-US"/>
        </w:rPr>
      </w:pPr>
    </w:p>
    <w:p w:rsidR="008B76F4" w:rsidRPr="007955BB" w:rsidRDefault="008B76F4" w:rsidP="00962F00">
      <w:pPr>
        <w:spacing w:before="0"/>
        <w:ind w:firstLine="720"/>
        <w:contextualSpacing w:val="0"/>
        <w:rPr>
          <w:rFonts w:eastAsia="Calibri" w:cs="Times Armenian"/>
          <w:b w:val="0"/>
          <w:szCs w:val="22"/>
          <w:lang w:val="hy-AM" w:eastAsia="en-US"/>
        </w:rPr>
      </w:pPr>
    </w:p>
    <w:p w:rsidR="008B76F4" w:rsidRPr="007955BB" w:rsidRDefault="008B76F4" w:rsidP="00962F00">
      <w:pPr>
        <w:spacing w:before="0"/>
        <w:ind w:firstLine="720"/>
        <w:contextualSpacing w:val="0"/>
        <w:rPr>
          <w:rFonts w:eastAsia="Calibri" w:cs="Times Armenian"/>
          <w:b w:val="0"/>
          <w:szCs w:val="22"/>
          <w:lang w:val="hy-AM" w:eastAsia="en-US"/>
        </w:rPr>
      </w:pPr>
    </w:p>
    <w:p w:rsidR="008B76F4" w:rsidRPr="007955BB" w:rsidRDefault="008B76F4" w:rsidP="00962F00">
      <w:pPr>
        <w:spacing w:before="0"/>
        <w:ind w:firstLine="720"/>
        <w:contextualSpacing w:val="0"/>
        <w:rPr>
          <w:rFonts w:eastAsia="Calibri" w:cs="Times Armenian"/>
          <w:b w:val="0"/>
          <w:szCs w:val="22"/>
          <w:lang w:val="hy-AM" w:eastAsia="en-US"/>
        </w:rPr>
      </w:pPr>
    </w:p>
    <w:p w:rsidR="008B76F4" w:rsidRPr="007955BB" w:rsidRDefault="008B76F4" w:rsidP="00962F00">
      <w:pPr>
        <w:spacing w:before="0"/>
        <w:ind w:firstLine="720"/>
        <w:contextualSpacing w:val="0"/>
        <w:rPr>
          <w:rFonts w:eastAsia="Calibri" w:cs="Times Armenian"/>
          <w:b w:val="0"/>
          <w:szCs w:val="22"/>
          <w:lang w:val="hy-AM" w:eastAsia="en-US"/>
        </w:rPr>
      </w:pPr>
    </w:p>
    <w:p w:rsidR="008B76F4" w:rsidRPr="007955BB" w:rsidRDefault="008B76F4" w:rsidP="00962F00">
      <w:pPr>
        <w:spacing w:before="0"/>
        <w:contextualSpacing w:val="0"/>
        <w:rPr>
          <w:rFonts w:eastAsia="Calibri" w:cs="Times Armenian"/>
          <w:b w:val="0"/>
          <w:szCs w:val="22"/>
          <w:lang w:val="hy-AM" w:eastAsia="en-US"/>
        </w:rPr>
      </w:pPr>
    </w:p>
    <w:p w:rsidR="0088088B" w:rsidRPr="007955BB" w:rsidRDefault="0088088B" w:rsidP="00962F00">
      <w:pPr>
        <w:spacing w:before="0"/>
        <w:contextualSpacing w:val="0"/>
        <w:rPr>
          <w:rFonts w:eastAsia="Calibri" w:cs="Times Armenian"/>
          <w:b w:val="0"/>
          <w:szCs w:val="22"/>
          <w:lang w:val="hy-AM" w:eastAsia="en-US"/>
        </w:rPr>
      </w:pPr>
    </w:p>
    <w:p w:rsidR="008B76F4" w:rsidRPr="007955BB" w:rsidRDefault="008B76F4" w:rsidP="00962F00">
      <w:pPr>
        <w:spacing w:before="0"/>
        <w:contextualSpacing w:val="0"/>
        <w:rPr>
          <w:rFonts w:eastAsia="Calibri" w:cs="Times Armenian"/>
          <w:b w:val="0"/>
          <w:szCs w:val="22"/>
          <w:lang w:val="hy-AM" w:eastAsia="en-US"/>
        </w:rPr>
      </w:pPr>
    </w:p>
    <w:p w:rsidR="000957ED" w:rsidRPr="007955BB" w:rsidRDefault="000957ED" w:rsidP="00962F00">
      <w:pPr>
        <w:spacing w:before="0"/>
        <w:ind w:firstLine="0"/>
        <w:contextualSpacing w:val="0"/>
        <w:jc w:val="left"/>
        <w:rPr>
          <w:bCs/>
          <w:kern w:val="28"/>
          <w:sz w:val="28"/>
          <w:szCs w:val="28"/>
        </w:rPr>
      </w:pPr>
      <w:bookmarkStart w:id="405" w:name="_Toc499827217"/>
      <w:bookmarkStart w:id="406" w:name="_Toc26174960"/>
      <w:r w:rsidRPr="007955BB">
        <w:rPr>
          <w:bCs/>
          <w:kern w:val="28"/>
          <w:sz w:val="28"/>
          <w:szCs w:val="28"/>
        </w:rPr>
        <w:br w:type="page"/>
      </w:r>
    </w:p>
    <w:p w:rsidR="008B76F4" w:rsidRPr="007955BB" w:rsidRDefault="008B76F4" w:rsidP="00962F00">
      <w:pPr>
        <w:spacing w:before="0"/>
        <w:ind w:firstLine="0"/>
        <w:jc w:val="center"/>
        <w:outlineLvl w:val="0"/>
        <w:rPr>
          <w:bCs/>
          <w:kern w:val="28"/>
          <w:sz w:val="28"/>
          <w:szCs w:val="28"/>
        </w:rPr>
      </w:pPr>
      <w:bookmarkStart w:id="407" w:name="_Toc120805259"/>
      <w:r w:rsidRPr="007955BB">
        <w:rPr>
          <w:bCs/>
          <w:kern w:val="28"/>
          <w:sz w:val="28"/>
          <w:szCs w:val="28"/>
        </w:rPr>
        <w:t>ԳԾԱՊԱՏԿԵՐՆԵՐ</w:t>
      </w:r>
      <w:bookmarkEnd w:id="405"/>
      <w:bookmarkEnd w:id="406"/>
      <w:bookmarkEnd w:id="407"/>
    </w:p>
    <w:p w:rsidR="00E64B10" w:rsidRPr="007955BB" w:rsidRDefault="00E64B10" w:rsidP="00962F00">
      <w:pPr>
        <w:spacing w:before="0"/>
        <w:ind w:firstLine="0"/>
        <w:jc w:val="center"/>
        <w:outlineLvl w:val="0"/>
        <w:rPr>
          <w:bCs/>
          <w:kern w:val="28"/>
          <w:sz w:val="28"/>
          <w:szCs w:val="28"/>
        </w:rPr>
      </w:pPr>
    </w:p>
    <w:p w:rsidR="00CA7B0A" w:rsidRDefault="003C3925">
      <w:pPr>
        <w:pStyle w:val="TableofFigures"/>
        <w:rPr>
          <w:rFonts w:asciiTheme="minorHAnsi" w:eastAsiaTheme="minorEastAsia" w:hAnsiTheme="minorHAnsi" w:cstheme="minorBidi"/>
          <w:b w:val="0"/>
          <w:noProof/>
          <w:szCs w:val="22"/>
          <w:lang w:val="en-US" w:eastAsia="en-US"/>
        </w:rPr>
      </w:pPr>
      <w:r w:rsidRPr="007955BB">
        <w:rPr>
          <w:rFonts w:eastAsia="Calibri" w:cs="Times Armenian"/>
          <w:szCs w:val="22"/>
          <w:lang w:val="hy-AM" w:eastAsia="en-US"/>
        </w:rPr>
        <w:fldChar w:fldCharType="begin"/>
      </w:r>
      <w:r w:rsidR="00987A1B" w:rsidRPr="007955BB">
        <w:rPr>
          <w:rFonts w:eastAsia="Calibri" w:cs="Times Armenian"/>
          <w:szCs w:val="22"/>
          <w:lang w:val="hy-AM" w:eastAsia="en-US"/>
        </w:rPr>
        <w:instrText xml:space="preserve"> TOC \h \z \c "Գծապատկեր" </w:instrText>
      </w:r>
      <w:r w:rsidRPr="007955BB">
        <w:rPr>
          <w:rFonts w:eastAsia="Calibri" w:cs="Times Armenian"/>
          <w:szCs w:val="22"/>
          <w:lang w:val="hy-AM" w:eastAsia="en-US"/>
        </w:rPr>
        <w:fldChar w:fldCharType="separate"/>
      </w:r>
      <w:hyperlink w:anchor="_Toc120805287" w:history="1">
        <w:r w:rsidR="00CA7B0A" w:rsidRPr="00541F92">
          <w:rPr>
            <w:rStyle w:val="Hyperlink"/>
            <w:bCs/>
            <w:noProof/>
          </w:rPr>
          <w:t>Գծապատկեր</w:t>
        </w:r>
        <w:r w:rsidR="00CA7B0A" w:rsidRPr="00541F92">
          <w:rPr>
            <w:rStyle w:val="Hyperlink"/>
            <w:bCs/>
            <w:noProof/>
            <w:lang w:val="af-ZA"/>
          </w:rPr>
          <w:t xml:space="preserve"> 1</w:t>
        </w:r>
        <w:r w:rsidR="00CA7B0A" w:rsidRPr="00541F92">
          <w:rPr>
            <w:rStyle w:val="Hyperlink"/>
            <w:rFonts w:ascii="Cambria Math" w:hAnsi="Cambria Math"/>
            <w:bCs/>
            <w:noProof/>
            <w:lang w:val="hy-AM"/>
          </w:rPr>
          <w:t xml:space="preserve">․ </w:t>
        </w:r>
        <w:r w:rsidR="00CA7B0A" w:rsidRPr="00541F92">
          <w:rPr>
            <w:rStyle w:val="Hyperlink"/>
            <w:bCs/>
            <w:i/>
            <w:noProof/>
            <w:lang w:val="hy-AM"/>
          </w:rPr>
          <w:t>ՀՀ 2019-202</w:t>
        </w:r>
        <w:r w:rsidR="00CA7B0A" w:rsidRPr="00541F92">
          <w:rPr>
            <w:rStyle w:val="Hyperlink"/>
            <w:bCs/>
            <w:i/>
            <w:noProof/>
            <w:lang w:val="af-ZA"/>
          </w:rPr>
          <w:t>3</w:t>
        </w:r>
        <w:r w:rsidR="00CA7B0A" w:rsidRPr="00541F92">
          <w:rPr>
            <w:rStyle w:val="Hyperlink"/>
            <w:bCs/>
            <w:i/>
            <w:noProof/>
            <w:lang w:val="hy-AM"/>
          </w:rPr>
          <w:t>թթ հարկային եկամուտները և պետական տուրքերը (մլրդ դրամով) և կշիռը ՀՆԱ-ի նկատմամբ</w:t>
        </w:r>
        <w:r w:rsidR="00CA7B0A">
          <w:rPr>
            <w:noProof/>
            <w:webHidden/>
          </w:rPr>
          <w:tab/>
        </w:r>
        <w:r w:rsidR="00CA7B0A">
          <w:rPr>
            <w:noProof/>
            <w:webHidden/>
          </w:rPr>
          <w:fldChar w:fldCharType="begin"/>
        </w:r>
        <w:r w:rsidR="00CA7B0A">
          <w:rPr>
            <w:noProof/>
            <w:webHidden/>
          </w:rPr>
          <w:instrText xml:space="preserve"> PAGEREF _Toc120805287 \h </w:instrText>
        </w:r>
        <w:r w:rsidR="00CA7B0A">
          <w:rPr>
            <w:noProof/>
            <w:webHidden/>
          </w:rPr>
        </w:r>
        <w:r w:rsidR="00CA7B0A">
          <w:rPr>
            <w:noProof/>
            <w:webHidden/>
          </w:rPr>
          <w:fldChar w:fldCharType="separate"/>
        </w:r>
        <w:r w:rsidR="00CA7B0A">
          <w:rPr>
            <w:noProof/>
            <w:webHidden/>
          </w:rPr>
          <w:t>98</w:t>
        </w:r>
        <w:r w:rsidR="00CA7B0A">
          <w:rPr>
            <w:noProof/>
            <w:webHidden/>
          </w:rPr>
          <w:fldChar w:fldCharType="end"/>
        </w:r>
      </w:hyperlink>
    </w:p>
    <w:p w:rsidR="00CA7B0A" w:rsidRDefault="00C43BF7">
      <w:pPr>
        <w:pStyle w:val="TableofFigures"/>
        <w:rPr>
          <w:rFonts w:asciiTheme="minorHAnsi" w:eastAsiaTheme="minorEastAsia" w:hAnsiTheme="minorHAnsi" w:cstheme="minorBidi"/>
          <w:b w:val="0"/>
          <w:noProof/>
          <w:szCs w:val="22"/>
          <w:lang w:val="en-US" w:eastAsia="en-US"/>
        </w:rPr>
      </w:pPr>
      <w:hyperlink w:anchor="_Toc120805288" w:history="1">
        <w:r w:rsidR="00CA7B0A" w:rsidRPr="00541F92">
          <w:rPr>
            <w:rStyle w:val="Hyperlink"/>
            <w:bCs/>
            <w:noProof/>
          </w:rPr>
          <w:t>Գծապատկեր 2</w:t>
        </w:r>
        <w:r w:rsidR="00CA7B0A" w:rsidRPr="00541F92">
          <w:rPr>
            <w:rStyle w:val="Hyperlink"/>
            <w:rFonts w:ascii="Cambria Math" w:hAnsi="Cambria Math"/>
            <w:bCs/>
            <w:noProof/>
            <w:lang w:val="hy-AM"/>
          </w:rPr>
          <w:t>․</w:t>
        </w:r>
        <w:r w:rsidR="00CA7B0A" w:rsidRPr="00541F92">
          <w:rPr>
            <w:rStyle w:val="Hyperlink"/>
            <w:rFonts w:eastAsia="Calibri"/>
            <w:bCs/>
            <w:i/>
            <w:iCs/>
            <w:noProof/>
            <w:lang w:val="hy-AM" w:eastAsia="en-US"/>
          </w:rPr>
          <w:t xml:space="preserve"> </w:t>
        </w:r>
        <w:r w:rsidR="00CA7B0A" w:rsidRPr="00541F92">
          <w:rPr>
            <w:rStyle w:val="Hyperlink"/>
            <w:bCs/>
            <w:i/>
            <w:noProof/>
            <w:lang w:val="af-ZA" w:eastAsia="en-US"/>
          </w:rPr>
          <w:t>2019-2023</w:t>
        </w:r>
        <w:r w:rsidR="00CA7B0A" w:rsidRPr="00541F92">
          <w:rPr>
            <w:rStyle w:val="Hyperlink"/>
            <w:bCs/>
            <w:i/>
            <w:noProof/>
            <w:lang w:val="it-IT" w:eastAsia="en-US"/>
          </w:rPr>
          <w:t>թթ</w:t>
        </w:r>
        <w:r w:rsidR="00CA7B0A" w:rsidRPr="00541F92">
          <w:rPr>
            <w:rStyle w:val="Hyperlink"/>
            <w:rFonts w:ascii="Cambria Math" w:hAnsi="Cambria Math"/>
            <w:bCs/>
            <w:i/>
            <w:noProof/>
            <w:lang w:val="hy-AM" w:eastAsia="en-US"/>
          </w:rPr>
          <w:t>․</w:t>
        </w:r>
        <w:r w:rsidR="00CA7B0A" w:rsidRPr="00541F92">
          <w:rPr>
            <w:rStyle w:val="Hyperlink"/>
            <w:bCs/>
            <w:i/>
            <w:noProof/>
            <w:lang w:val="af-ZA" w:eastAsia="en-US"/>
          </w:rPr>
          <w:t xml:space="preserve"> </w:t>
        </w:r>
        <w:r w:rsidR="00CA7B0A" w:rsidRPr="00541F92">
          <w:rPr>
            <w:rStyle w:val="Hyperlink"/>
            <w:rFonts w:cs="Sylfaen"/>
            <w:bCs/>
            <w:i/>
            <w:noProof/>
            <w:lang w:val="hy-AM" w:eastAsia="en-US"/>
          </w:rPr>
          <w:t>ընթացիկ</w:t>
        </w:r>
        <w:r w:rsidR="00CA7B0A" w:rsidRPr="00541F92">
          <w:rPr>
            <w:rStyle w:val="Hyperlink"/>
            <w:bCs/>
            <w:i/>
            <w:noProof/>
            <w:lang w:val="af-ZA" w:eastAsia="en-US"/>
          </w:rPr>
          <w:t xml:space="preserve"> </w:t>
        </w:r>
        <w:r w:rsidR="00CA7B0A" w:rsidRPr="00541F92">
          <w:rPr>
            <w:rStyle w:val="Hyperlink"/>
            <w:rFonts w:cs="Sylfaen"/>
            <w:bCs/>
            <w:i/>
            <w:noProof/>
            <w:lang w:val="hy-AM" w:eastAsia="en-US"/>
          </w:rPr>
          <w:t>և</w:t>
        </w:r>
        <w:r w:rsidR="00CA7B0A" w:rsidRPr="00541F92">
          <w:rPr>
            <w:rStyle w:val="Hyperlink"/>
            <w:bCs/>
            <w:i/>
            <w:noProof/>
            <w:lang w:val="af-ZA" w:eastAsia="en-US"/>
          </w:rPr>
          <w:t xml:space="preserve"> </w:t>
        </w:r>
        <w:r w:rsidR="00CA7B0A" w:rsidRPr="00541F92">
          <w:rPr>
            <w:rStyle w:val="Hyperlink"/>
            <w:rFonts w:cs="Sylfaen"/>
            <w:bCs/>
            <w:i/>
            <w:noProof/>
            <w:lang w:val="hy-AM" w:eastAsia="en-US"/>
          </w:rPr>
          <w:t>ոչ</w:t>
        </w:r>
        <w:r w:rsidR="00CA7B0A" w:rsidRPr="00541F92">
          <w:rPr>
            <w:rStyle w:val="Hyperlink"/>
            <w:rFonts w:cs="Sylfaen"/>
            <w:bCs/>
            <w:i/>
            <w:noProof/>
            <w:lang w:val="af-ZA" w:eastAsia="en-US"/>
          </w:rPr>
          <w:t xml:space="preserve"> </w:t>
        </w:r>
        <w:r w:rsidR="00CA7B0A" w:rsidRPr="00541F92">
          <w:rPr>
            <w:rStyle w:val="Hyperlink"/>
            <w:rFonts w:cs="Sylfaen"/>
            <w:bCs/>
            <w:i/>
            <w:noProof/>
            <w:lang w:val="hy-AM" w:eastAsia="en-US"/>
          </w:rPr>
          <w:t>ֆինանսական</w:t>
        </w:r>
        <w:r w:rsidR="00CA7B0A" w:rsidRPr="00541F92">
          <w:rPr>
            <w:rStyle w:val="Hyperlink"/>
            <w:rFonts w:cs="Sylfaen"/>
            <w:bCs/>
            <w:i/>
            <w:noProof/>
            <w:lang w:val="af-ZA" w:eastAsia="en-US"/>
          </w:rPr>
          <w:t xml:space="preserve"> </w:t>
        </w:r>
        <w:r w:rsidR="00CA7B0A" w:rsidRPr="00541F92">
          <w:rPr>
            <w:rStyle w:val="Hyperlink"/>
            <w:rFonts w:cs="Sylfaen"/>
            <w:bCs/>
            <w:i/>
            <w:noProof/>
            <w:lang w:val="hy-AM" w:eastAsia="en-US"/>
          </w:rPr>
          <w:t>ակտիվների</w:t>
        </w:r>
        <w:r w:rsidR="00CA7B0A" w:rsidRPr="00541F92">
          <w:rPr>
            <w:rStyle w:val="Hyperlink"/>
            <w:rFonts w:cs="Sylfaen"/>
            <w:bCs/>
            <w:i/>
            <w:noProof/>
            <w:lang w:val="af-ZA" w:eastAsia="en-US"/>
          </w:rPr>
          <w:t xml:space="preserve"> </w:t>
        </w:r>
        <w:r w:rsidR="00CA7B0A" w:rsidRPr="00541F92">
          <w:rPr>
            <w:rStyle w:val="Hyperlink"/>
            <w:rFonts w:cs="Sylfaen"/>
            <w:bCs/>
            <w:i/>
            <w:noProof/>
            <w:lang w:val="hy-AM" w:eastAsia="en-US"/>
          </w:rPr>
          <w:t>գծով</w:t>
        </w:r>
        <w:r w:rsidR="00CA7B0A" w:rsidRPr="00541F92">
          <w:rPr>
            <w:rStyle w:val="Hyperlink"/>
            <w:rFonts w:cs="Sylfaen"/>
            <w:bCs/>
            <w:i/>
            <w:noProof/>
            <w:lang w:val="af-ZA" w:eastAsia="en-US"/>
          </w:rPr>
          <w:t xml:space="preserve"> </w:t>
        </w:r>
        <w:r w:rsidR="00CA7B0A" w:rsidRPr="00541F92">
          <w:rPr>
            <w:rStyle w:val="Hyperlink"/>
            <w:rFonts w:cs="Sylfaen"/>
            <w:bCs/>
            <w:i/>
            <w:noProof/>
            <w:lang w:val="en-US" w:eastAsia="en-US"/>
          </w:rPr>
          <w:t>գործառնությունների</w:t>
        </w:r>
        <w:r w:rsidR="00CA7B0A" w:rsidRPr="00541F92">
          <w:rPr>
            <w:rStyle w:val="Hyperlink"/>
            <w:bCs/>
            <w:i/>
            <w:noProof/>
            <w:lang w:val="af-ZA" w:eastAsia="en-US"/>
          </w:rPr>
          <w:t xml:space="preserve"> </w:t>
        </w:r>
        <w:r w:rsidR="00CA7B0A" w:rsidRPr="00541F92">
          <w:rPr>
            <w:rStyle w:val="Hyperlink"/>
            <w:rFonts w:cs="Sylfaen"/>
            <w:bCs/>
            <w:i/>
            <w:noProof/>
            <w:lang w:val="hy-AM" w:eastAsia="en-US"/>
          </w:rPr>
          <w:t>փոփոխության</w:t>
        </w:r>
        <w:r w:rsidR="00CA7B0A" w:rsidRPr="00541F92">
          <w:rPr>
            <w:rStyle w:val="Hyperlink"/>
            <w:bCs/>
            <w:i/>
            <w:noProof/>
            <w:lang w:val="af-ZA" w:eastAsia="en-US"/>
          </w:rPr>
          <w:t xml:space="preserve"> </w:t>
        </w:r>
        <w:r w:rsidR="00CA7B0A" w:rsidRPr="00541F92">
          <w:rPr>
            <w:rStyle w:val="Hyperlink"/>
            <w:rFonts w:cs="Sylfaen"/>
            <w:bCs/>
            <w:i/>
            <w:noProof/>
            <w:lang w:val="hy-AM" w:eastAsia="en-US"/>
          </w:rPr>
          <w:t>և</w:t>
        </w:r>
        <w:r w:rsidR="00CA7B0A" w:rsidRPr="00541F92">
          <w:rPr>
            <w:rStyle w:val="Hyperlink"/>
            <w:bCs/>
            <w:i/>
            <w:noProof/>
            <w:lang w:val="af-ZA" w:eastAsia="en-US"/>
          </w:rPr>
          <w:t xml:space="preserve"> </w:t>
        </w:r>
        <w:r w:rsidR="00CA7B0A" w:rsidRPr="00541F92">
          <w:rPr>
            <w:rStyle w:val="Hyperlink"/>
            <w:rFonts w:cs="Sylfaen"/>
            <w:bCs/>
            <w:i/>
            <w:noProof/>
            <w:lang w:val="hy-AM" w:eastAsia="en-US"/>
          </w:rPr>
          <w:t>հարաբերակցության</w:t>
        </w:r>
        <w:r w:rsidR="00CA7B0A" w:rsidRPr="00541F92">
          <w:rPr>
            <w:rStyle w:val="Hyperlink"/>
            <w:bCs/>
            <w:i/>
            <w:noProof/>
            <w:lang w:val="af-ZA" w:eastAsia="en-US"/>
          </w:rPr>
          <w:t xml:space="preserve"> </w:t>
        </w:r>
        <w:r w:rsidR="00CA7B0A" w:rsidRPr="00541F92">
          <w:rPr>
            <w:rStyle w:val="Hyperlink"/>
            <w:rFonts w:cs="Sylfaen"/>
            <w:bCs/>
            <w:i/>
            <w:noProof/>
            <w:lang w:val="hy-AM" w:eastAsia="en-US"/>
          </w:rPr>
          <w:t>միտումները</w:t>
        </w:r>
        <w:r w:rsidR="00CA7B0A">
          <w:rPr>
            <w:noProof/>
            <w:webHidden/>
          </w:rPr>
          <w:tab/>
        </w:r>
        <w:r w:rsidR="00CA7B0A">
          <w:rPr>
            <w:noProof/>
            <w:webHidden/>
          </w:rPr>
          <w:fldChar w:fldCharType="begin"/>
        </w:r>
        <w:r w:rsidR="00CA7B0A">
          <w:rPr>
            <w:noProof/>
            <w:webHidden/>
          </w:rPr>
          <w:instrText xml:space="preserve"> PAGEREF _Toc120805288 \h </w:instrText>
        </w:r>
        <w:r w:rsidR="00CA7B0A">
          <w:rPr>
            <w:noProof/>
            <w:webHidden/>
          </w:rPr>
        </w:r>
        <w:r w:rsidR="00CA7B0A">
          <w:rPr>
            <w:noProof/>
            <w:webHidden/>
          </w:rPr>
          <w:fldChar w:fldCharType="separate"/>
        </w:r>
        <w:r w:rsidR="00CA7B0A">
          <w:rPr>
            <w:noProof/>
            <w:webHidden/>
          </w:rPr>
          <w:t>108</w:t>
        </w:r>
        <w:r w:rsidR="00CA7B0A">
          <w:rPr>
            <w:noProof/>
            <w:webHidden/>
          </w:rPr>
          <w:fldChar w:fldCharType="end"/>
        </w:r>
      </w:hyperlink>
    </w:p>
    <w:p w:rsidR="00CA7B0A" w:rsidRDefault="00C43BF7">
      <w:pPr>
        <w:pStyle w:val="TableofFigures"/>
        <w:rPr>
          <w:rFonts w:asciiTheme="minorHAnsi" w:eastAsiaTheme="minorEastAsia" w:hAnsiTheme="minorHAnsi" w:cstheme="minorBidi"/>
          <w:b w:val="0"/>
          <w:noProof/>
          <w:szCs w:val="22"/>
          <w:lang w:val="en-US" w:eastAsia="en-US"/>
        </w:rPr>
      </w:pPr>
      <w:hyperlink w:anchor="_Toc120805289" w:history="1">
        <w:r w:rsidR="00CA7B0A" w:rsidRPr="00541F92">
          <w:rPr>
            <w:rStyle w:val="Hyperlink"/>
            <w:bCs/>
            <w:noProof/>
            <w:lang w:val="hy-AM"/>
          </w:rPr>
          <w:t>Գծապատկեր 3</w:t>
        </w:r>
        <w:r w:rsidR="00CA7B0A" w:rsidRPr="00541F92">
          <w:rPr>
            <w:rStyle w:val="Hyperlink"/>
            <w:rFonts w:ascii="Cambria Math" w:hAnsi="Cambria Math"/>
            <w:bCs/>
            <w:noProof/>
            <w:lang w:val="hy-AM"/>
          </w:rPr>
          <w:t xml:space="preserve">․ </w:t>
        </w:r>
        <w:r w:rsidR="00CA7B0A" w:rsidRPr="00541F92">
          <w:rPr>
            <w:rStyle w:val="Hyperlink"/>
            <w:rFonts w:cs="Sylfaen"/>
            <w:bCs/>
            <w:i/>
            <w:noProof/>
            <w:lang w:val="hy-AM" w:eastAsia="en-US"/>
          </w:rPr>
          <w:t>2019-2023թթ</w:t>
        </w:r>
        <w:r w:rsidR="00CA7B0A" w:rsidRPr="00541F92">
          <w:rPr>
            <w:rStyle w:val="Hyperlink"/>
            <w:rFonts w:ascii="Cambria Math" w:hAnsi="Cambria Math" w:cs="Sylfaen"/>
            <w:bCs/>
            <w:i/>
            <w:noProof/>
            <w:lang w:val="hy-AM" w:eastAsia="en-US"/>
          </w:rPr>
          <w:t xml:space="preserve">․ </w:t>
        </w:r>
        <w:r w:rsidR="00CA7B0A" w:rsidRPr="00541F92">
          <w:rPr>
            <w:rStyle w:val="Hyperlink"/>
            <w:rFonts w:cs="Sylfaen"/>
            <w:bCs/>
            <w:i/>
            <w:noProof/>
            <w:lang w:val="hy-AM" w:eastAsia="en-US"/>
          </w:rPr>
          <w:t>ընթացիկ ծախսերի ֆինանսավորման ըստ տնտեսագիտական դասակարգման կառուցվածքի ծախսերի հարաբերակցությունը ՀՆԱ-ի նկատմամբ</w:t>
        </w:r>
        <w:r w:rsidR="00CA7B0A">
          <w:rPr>
            <w:noProof/>
            <w:webHidden/>
          </w:rPr>
          <w:tab/>
        </w:r>
        <w:r w:rsidR="00CA7B0A">
          <w:rPr>
            <w:noProof/>
            <w:webHidden/>
          </w:rPr>
          <w:fldChar w:fldCharType="begin"/>
        </w:r>
        <w:r w:rsidR="00CA7B0A">
          <w:rPr>
            <w:noProof/>
            <w:webHidden/>
          </w:rPr>
          <w:instrText xml:space="preserve"> PAGEREF _Toc120805289 \h </w:instrText>
        </w:r>
        <w:r w:rsidR="00CA7B0A">
          <w:rPr>
            <w:noProof/>
            <w:webHidden/>
          </w:rPr>
        </w:r>
        <w:r w:rsidR="00CA7B0A">
          <w:rPr>
            <w:noProof/>
            <w:webHidden/>
          </w:rPr>
          <w:fldChar w:fldCharType="separate"/>
        </w:r>
        <w:r w:rsidR="00CA7B0A">
          <w:rPr>
            <w:noProof/>
            <w:webHidden/>
          </w:rPr>
          <w:t>109</w:t>
        </w:r>
        <w:r w:rsidR="00CA7B0A">
          <w:rPr>
            <w:noProof/>
            <w:webHidden/>
          </w:rPr>
          <w:fldChar w:fldCharType="end"/>
        </w:r>
      </w:hyperlink>
    </w:p>
    <w:p w:rsidR="00CA7B0A" w:rsidRDefault="00C43BF7">
      <w:pPr>
        <w:pStyle w:val="TableofFigures"/>
        <w:rPr>
          <w:rFonts w:asciiTheme="minorHAnsi" w:eastAsiaTheme="minorEastAsia" w:hAnsiTheme="minorHAnsi" w:cstheme="minorBidi"/>
          <w:b w:val="0"/>
          <w:noProof/>
          <w:szCs w:val="22"/>
          <w:lang w:val="en-US" w:eastAsia="en-US"/>
        </w:rPr>
      </w:pPr>
      <w:hyperlink w:anchor="_Toc120805290" w:history="1">
        <w:r w:rsidR="00CA7B0A" w:rsidRPr="00541F92">
          <w:rPr>
            <w:rStyle w:val="Hyperlink"/>
            <w:bCs/>
            <w:noProof/>
            <w:lang w:val="hy-AM"/>
          </w:rPr>
          <w:t>Գծապատկեր 4</w:t>
        </w:r>
        <w:r w:rsidR="00CA7B0A" w:rsidRPr="00541F92">
          <w:rPr>
            <w:rStyle w:val="Hyperlink"/>
            <w:noProof/>
            <w:lang w:val="hy-AM"/>
          </w:rPr>
          <w:t>.</w:t>
        </w:r>
        <w:r w:rsidR="00CA7B0A" w:rsidRPr="00541F92">
          <w:rPr>
            <w:rStyle w:val="Hyperlink"/>
            <w:rFonts w:eastAsia="Calibri"/>
            <w:bCs/>
            <w:i/>
            <w:iCs/>
            <w:noProof/>
            <w:lang w:val="hy-AM"/>
          </w:rPr>
          <w:t xml:space="preserve"> </w:t>
        </w:r>
        <w:r w:rsidR="00CA7B0A" w:rsidRPr="00541F92">
          <w:rPr>
            <w:rStyle w:val="Hyperlink"/>
            <w:rFonts w:cs="Sylfaen"/>
            <w:bCs/>
            <w:i/>
            <w:noProof/>
            <w:lang w:val="hy-AM"/>
          </w:rPr>
          <w:t>2019-2023 թթ</w:t>
        </w:r>
        <w:r w:rsidR="00CA7B0A" w:rsidRPr="00541F92">
          <w:rPr>
            <w:rStyle w:val="Hyperlink"/>
            <w:rFonts w:ascii="Cambria Math" w:hAnsi="Cambria Math" w:cs="Cambria Math"/>
            <w:bCs/>
            <w:i/>
            <w:noProof/>
            <w:lang w:val="hy-AM"/>
          </w:rPr>
          <w:t>․</w:t>
        </w:r>
        <w:r w:rsidR="00CA7B0A" w:rsidRPr="00541F92">
          <w:rPr>
            <w:rStyle w:val="Hyperlink"/>
            <w:rFonts w:cs="Sylfaen"/>
            <w:bCs/>
            <w:i/>
            <w:noProof/>
            <w:lang w:val="hy-AM"/>
          </w:rPr>
          <w:t>ոչ ֆինանսական ակտիվների գծով ծախսերի ֆինանսավորման կառուցվածքը</w:t>
        </w:r>
        <w:r w:rsidR="00CA7B0A">
          <w:rPr>
            <w:noProof/>
            <w:webHidden/>
          </w:rPr>
          <w:tab/>
        </w:r>
        <w:r w:rsidR="00CA7B0A">
          <w:rPr>
            <w:noProof/>
            <w:webHidden/>
          </w:rPr>
          <w:fldChar w:fldCharType="begin"/>
        </w:r>
        <w:r w:rsidR="00CA7B0A">
          <w:rPr>
            <w:noProof/>
            <w:webHidden/>
          </w:rPr>
          <w:instrText xml:space="preserve"> PAGEREF _Toc120805290 \h </w:instrText>
        </w:r>
        <w:r w:rsidR="00CA7B0A">
          <w:rPr>
            <w:noProof/>
            <w:webHidden/>
          </w:rPr>
        </w:r>
        <w:r w:rsidR="00CA7B0A">
          <w:rPr>
            <w:noProof/>
            <w:webHidden/>
          </w:rPr>
          <w:fldChar w:fldCharType="separate"/>
        </w:r>
        <w:r w:rsidR="00CA7B0A">
          <w:rPr>
            <w:noProof/>
            <w:webHidden/>
          </w:rPr>
          <w:t>112</w:t>
        </w:r>
        <w:r w:rsidR="00CA7B0A">
          <w:rPr>
            <w:noProof/>
            <w:webHidden/>
          </w:rPr>
          <w:fldChar w:fldCharType="end"/>
        </w:r>
      </w:hyperlink>
    </w:p>
    <w:p w:rsidR="00CA7B0A" w:rsidRDefault="00C43BF7">
      <w:pPr>
        <w:pStyle w:val="TableofFigures"/>
        <w:rPr>
          <w:rFonts w:asciiTheme="minorHAnsi" w:eastAsiaTheme="minorEastAsia" w:hAnsiTheme="minorHAnsi" w:cstheme="minorBidi"/>
          <w:b w:val="0"/>
          <w:noProof/>
          <w:szCs w:val="22"/>
          <w:lang w:val="en-US" w:eastAsia="en-US"/>
        </w:rPr>
      </w:pPr>
      <w:hyperlink w:anchor="_Toc120805291" w:history="1">
        <w:r w:rsidR="00CA7B0A" w:rsidRPr="00541F92">
          <w:rPr>
            <w:rStyle w:val="Hyperlink"/>
            <w:rFonts w:eastAsiaTheme="minorHAnsi" w:cs="Cambria Math"/>
            <w:bCs/>
            <w:noProof/>
            <w:lang w:val="en-US" w:eastAsia="en-US"/>
          </w:rPr>
          <w:t xml:space="preserve">Գծապատկեր 5. </w:t>
        </w:r>
        <w:r w:rsidR="00CA7B0A" w:rsidRPr="00541F92">
          <w:rPr>
            <w:rStyle w:val="Hyperlink"/>
            <w:rFonts w:eastAsiaTheme="minorHAnsi" w:cs="Cambria Math"/>
            <w:bCs/>
            <w:i/>
            <w:noProof/>
            <w:lang w:val="hy-AM" w:eastAsia="en-US"/>
          </w:rPr>
          <w:t>2018-2023թթ</w:t>
        </w:r>
        <w:r w:rsidR="00CA7B0A" w:rsidRPr="00541F92">
          <w:rPr>
            <w:rStyle w:val="Hyperlink"/>
            <w:rFonts w:ascii="Cambria Math" w:eastAsiaTheme="minorHAnsi" w:hAnsi="Cambria Math" w:cs="Cambria Math"/>
            <w:bCs/>
            <w:i/>
            <w:noProof/>
            <w:lang w:val="hy-AM" w:eastAsia="en-US"/>
          </w:rPr>
          <w:t>․</w:t>
        </w:r>
        <w:r w:rsidR="00CA7B0A" w:rsidRPr="00541F92">
          <w:rPr>
            <w:rStyle w:val="Hyperlink"/>
            <w:rFonts w:eastAsiaTheme="minorHAnsi" w:cs="Cambria Math"/>
            <w:bCs/>
            <w:i/>
            <w:noProof/>
            <w:lang w:val="hy-AM" w:eastAsia="en-US"/>
          </w:rPr>
          <w:t xml:space="preserve"> ծախսերի համեմատականը</w:t>
        </w:r>
        <w:r w:rsidR="00CA7B0A">
          <w:rPr>
            <w:noProof/>
            <w:webHidden/>
          </w:rPr>
          <w:tab/>
        </w:r>
        <w:r w:rsidR="00CA7B0A">
          <w:rPr>
            <w:noProof/>
            <w:webHidden/>
          </w:rPr>
          <w:fldChar w:fldCharType="begin"/>
        </w:r>
        <w:r w:rsidR="00CA7B0A">
          <w:rPr>
            <w:noProof/>
            <w:webHidden/>
          </w:rPr>
          <w:instrText xml:space="preserve"> PAGEREF _Toc120805291 \h </w:instrText>
        </w:r>
        <w:r w:rsidR="00CA7B0A">
          <w:rPr>
            <w:noProof/>
            <w:webHidden/>
          </w:rPr>
        </w:r>
        <w:r w:rsidR="00CA7B0A">
          <w:rPr>
            <w:noProof/>
            <w:webHidden/>
          </w:rPr>
          <w:fldChar w:fldCharType="separate"/>
        </w:r>
        <w:r w:rsidR="00CA7B0A">
          <w:rPr>
            <w:noProof/>
            <w:webHidden/>
          </w:rPr>
          <w:t>114</w:t>
        </w:r>
        <w:r w:rsidR="00CA7B0A">
          <w:rPr>
            <w:noProof/>
            <w:webHidden/>
          </w:rPr>
          <w:fldChar w:fldCharType="end"/>
        </w:r>
      </w:hyperlink>
    </w:p>
    <w:p w:rsidR="008B76F4" w:rsidRPr="008B76F4" w:rsidRDefault="003C3925" w:rsidP="00054D48">
      <w:pPr>
        <w:tabs>
          <w:tab w:val="left" w:pos="1710"/>
        </w:tabs>
        <w:spacing w:before="0"/>
        <w:ind w:left="1710" w:hanging="1710"/>
        <w:contextualSpacing w:val="0"/>
        <w:rPr>
          <w:rFonts w:eastAsia="Calibri" w:cs="Times Armenian"/>
          <w:b w:val="0"/>
          <w:szCs w:val="22"/>
          <w:lang w:val="hy-AM" w:eastAsia="en-US"/>
        </w:rPr>
      </w:pPr>
      <w:r w:rsidRPr="007955BB">
        <w:rPr>
          <w:rFonts w:eastAsia="Calibri" w:cs="Times Armenian"/>
          <w:b w:val="0"/>
          <w:szCs w:val="22"/>
          <w:lang w:val="hy-AM" w:eastAsia="en-US"/>
        </w:rPr>
        <w:fldChar w:fldCharType="end"/>
      </w:r>
    </w:p>
    <w:sectPr w:rsidR="008B76F4" w:rsidRPr="008B76F4" w:rsidSect="00B3034A">
      <w:footerReference w:type="default" r:id="rId81"/>
      <w:pgSz w:w="11906" w:h="16838" w:code="9"/>
      <w:pgMar w:top="1134" w:right="1016" w:bottom="426" w:left="1134" w:header="720" w:footer="10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683A" w:rsidRDefault="0003683A" w:rsidP="00F52B25">
      <w:r>
        <w:separator/>
      </w:r>
    </w:p>
  </w:endnote>
  <w:endnote w:type="continuationSeparator" w:id="0">
    <w:p w:rsidR="0003683A" w:rsidRDefault="0003683A" w:rsidP="00F52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GHEA Grapalat">
    <w:panose1 w:val="02000506050000020003"/>
    <w:charset w:val="00"/>
    <w:family w:val="modern"/>
    <w:notTrueType/>
    <w:pitch w:val="variable"/>
    <w:sig w:usb0="A00006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Armenian">
    <w:panose1 w:val="02020603050405020304"/>
    <w:charset w:val="00"/>
    <w:family w:val="roman"/>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AMU">
    <w:charset w:val="00"/>
    <w:family w:val="swiss"/>
    <w:pitch w:val="variable"/>
    <w:sig w:usb0="800006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LatArm">
    <w:panose1 w:val="020B0604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ill Sans">
    <w:charset w:val="00"/>
    <w:family w:val="auto"/>
    <w:pitch w:val="variable"/>
    <w:sig w:usb0="80000267" w:usb1="00000000" w:usb2="00000000" w:usb3="00000000" w:csb0="000001F7" w:csb1="00000000"/>
  </w:font>
  <w:font w:name="MS Mincho">
    <w:altName w:val="Yu Gothic UI"/>
    <w:panose1 w:val="02020609040205080304"/>
    <w:charset w:val="80"/>
    <w:family w:val="modern"/>
    <w:pitch w:val="fixed"/>
    <w:sig w:usb0="E00002FF" w:usb1="6AC7FDFB" w:usb2="00000012" w:usb3="00000000" w:csb0="0002009F" w:csb1="00000000"/>
  </w:font>
  <w:font w:name="Baltica">
    <w:panose1 w:val="00000000000000000000"/>
    <w:charset w:val="00"/>
    <w:family w:val="auto"/>
    <w:pitch w:val="variable"/>
    <w:sig w:usb0="00000003" w:usb1="00000000" w:usb2="00000000" w:usb3="00000000" w:csb0="00000001" w:csb1="00000000"/>
  </w:font>
  <w:font w:name="Univers">
    <w:charset w:val="00"/>
    <w:family w:val="swiss"/>
    <w:pitch w:val="variable"/>
    <w:sig w:usb0="00000287" w:usb1="00000000" w:usb2="00000000" w:usb3="00000000" w:csb0="0000009F" w:csb1="00000000"/>
  </w:font>
  <w:font w:name="Russian Baltica">
    <w:charset w:val="00"/>
    <w:family w:val="roman"/>
    <w:pitch w:val="variable"/>
    <w:sig w:usb0="00000003" w:usb1="00000000" w:usb2="00000000" w:usb3="00000000" w:csb0="00000001" w:csb1="00000000"/>
  </w:font>
  <w:font w:name="Dallak Helv">
    <w:charset w:val="00"/>
    <w:family w:val="swiss"/>
    <w:pitch w:val="variable"/>
    <w:sig w:usb0="00000003" w:usb1="00000000" w:usb2="00000000" w:usb3="00000000" w:csb0="00000001" w:csb1="00000000"/>
  </w:font>
  <w:font w:name="Arial Unicode">
    <w:altName w:val="Arial"/>
    <w:panose1 w:val="020B0604020202020204"/>
    <w:charset w:val="00"/>
    <w:family w:val="swiss"/>
    <w:pitch w:val="variable"/>
    <w:sig w:usb0="00000001" w:usb1="00000000" w:usb2="00000000" w:usb3="00000000" w:csb0="0000009F" w:csb1="00000000"/>
  </w:font>
  <w:font w:name="GHEA Mariam">
    <w:panose1 w:val="02000503080000020003"/>
    <w:charset w:val="00"/>
    <w:family w:val="modern"/>
    <w:notTrueType/>
    <w:pitch w:val="variable"/>
    <w:sig w:usb0="A00006AF" w:usb1="5000204B" w:usb2="00000000" w:usb3="00000000" w:csb0="0000009F" w:csb1="00000000"/>
  </w:font>
  <w:font w:name="Liberation Sans">
    <w:altName w:val="Arial"/>
    <w:charset w:val="01"/>
    <w:family w:val="roman"/>
    <w:pitch w:val="variable"/>
  </w:font>
  <w:font w:name="ヒラギノ角ゴ Pro W3">
    <w:altName w:val="Arial Unicode MS"/>
    <w:panose1 w:val="00000000000000000000"/>
    <w:charset w:val="80"/>
    <w:family w:val="auto"/>
    <w:notTrueType/>
    <w:pitch w:val="variable"/>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GHEAGrapalat-Bold">
    <w:panose1 w:val="00000000000000000000"/>
    <w:charset w:val="00"/>
    <w:family w:val="auto"/>
    <w:notTrueType/>
    <w:pitch w:val="default"/>
    <w:sig w:usb0="00000003" w:usb1="00000000" w:usb2="00000000" w:usb3="00000000" w:csb0="00000001" w:csb1="00000000"/>
  </w:font>
  <w:font w:name="AK Courier">
    <w:charset w:val="00"/>
    <w:family w:val="modern"/>
    <w:pitch w:val="fixed"/>
    <w:sig w:usb0="E0002EFF" w:usb1="C0007843" w:usb2="00000009" w:usb3="00000000" w:csb0="000001FF" w:csb1="00000000"/>
  </w:font>
  <w:font w:name="Browallia New">
    <w:charset w:val="00"/>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GHEAGrapalat">
    <w:altName w:val="Yu Gothic UI"/>
    <w:panose1 w:val="00000000000000000000"/>
    <w:charset w:val="80"/>
    <w:family w:val="auto"/>
    <w:notTrueType/>
    <w:pitch w:val="default"/>
    <w:sig w:usb0="00000001" w:usb1="08070000" w:usb2="00000010" w:usb3="00000000" w:csb0="00020000" w:csb1="00000000"/>
  </w:font>
  <w:font w:name="Merriweather">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IRTEK Courier">
    <w:charset w:val="00"/>
    <w:family w:val="roman"/>
    <w:pitch w:val="fixed"/>
    <w:sig w:usb0="00000003" w:usb1="00000000" w:usb2="00000000" w:usb3="00000000" w:csb0="00000001" w:csb1="00000000"/>
  </w:font>
  <w:font w:name="Arian AMU">
    <w:charset w:val="CC"/>
    <w:family w:val="auto"/>
    <w:pitch w:val="variable"/>
    <w:sig w:usb0="A1002E8F" w:usb1="10000008" w:usb2="00000000" w:usb3="00000000" w:csb0="000101FF" w:csb1="00000000"/>
  </w:font>
  <w:font w:name="Times Unicode">
    <w:panose1 w:val="020206030504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83A" w:rsidRPr="00560CEC" w:rsidRDefault="0003683A">
    <w:pPr>
      <w:pStyle w:val="Footer"/>
      <w:jc w:val="center"/>
      <w:rPr>
        <w:sz w:val="18"/>
        <w:szCs w:val="18"/>
      </w:rPr>
    </w:pPr>
    <w:r w:rsidRPr="00560CEC">
      <w:rPr>
        <w:sz w:val="18"/>
        <w:szCs w:val="18"/>
      </w:rPr>
      <w:fldChar w:fldCharType="begin"/>
    </w:r>
    <w:r w:rsidRPr="00560CEC">
      <w:rPr>
        <w:sz w:val="18"/>
        <w:szCs w:val="18"/>
      </w:rPr>
      <w:instrText xml:space="preserve"> PAGE   \* MERGEFORMAT </w:instrText>
    </w:r>
    <w:r w:rsidRPr="00560CEC">
      <w:rPr>
        <w:sz w:val="18"/>
        <w:szCs w:val="18"/>
      </w:rPr>
      <w:fldChar w:fldCharType="separate"/>
    </w:r>
    <w:r w:rsidR="00C43BF7">
      <w:rPr>
        <w:noProof/>
        <w:sz w:val="18"/>
        <w:szCs w:val="18"/>
      </w:rPr>
      <w:t>77</w:t>
    </w:r>
    <w:r w:rsidRPr="00560CEC">
      <w:rPr>
        <w:noProof/>
        <w:sz w:val="18"/>
        <w:szCs w:val="18"/>
      </w:rPr>
      <w:fldChar w:fldCharType="end"/>
    </w:r>
  </w:p>
  <w:p w:rsidR="0003683A" w:rsidRDefault="0003683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683A" w:rsidRDefault="0003683A" w:rsidP="00F52B25">
      <w:r>
        <w:separator/>
      </w:r>
    </w:p>
  </w:footnote>
  <w:footnote w:type="continuationSeparator" w:id="0">
    <w:p w:rsidR="0003683A" w:rsidRDefault="0003683A" w:rsidP="00F52B25">
      <w:r>
        <w:continuationSeparator/>
      </w:r>
    </w:p>
  </w:footnote>
  <w:footnote w:id="1">
    <w:p w:rsidR="0003683A" w:rsidRPr="00500ADC" w:rsidRDefault="0003683A" w:rsidP="00D178DD">
      <w:pPr>
        <w:pStyle w:val="FootnoteText"/>
      </w:pPr>
      <w:r w:rsidRPr="00500ADC">
        <w:rPr>
          <w:rStyle w:val="FootnoteReference"/>
        </w:rPr>
        <w:footnoteRef/>
      </w:r>
      <w:r w:rsidRPr="00DE6C7D">
        <w:t>Կապիտալ ներդրումներում ներառված չէ պաշարների փոփոխությունը, ներկայացված են միայն հիմնական միջոցներում կատարված կապիտալ ներդրումները, քանի որ 2019թ.-ից ՀՀ ՎԿ կողմից պաշարների փոփոխությունը հաշվառվում է որպես հաշվեկշռող գործոն կամ այլ կերպ՝ վիճակագրական սխալները ներառվում են դրա մեջ:</w:t>
      </w:r>
    </w:p>
  </w:footnote>
  <w:footnote w:id="2">
    <w:p w:rsidR="0003683A" w:rsidRPr="005A495F" w:rsidRDefault="0003683A" w:rsidP="00D178DD">
      <w:pPr>
        <w:pStyle w:val="FootnoteText"/>
        <w:rPr>
          <w:i/>
          <w:iCs w:val="0"/>
          <w:sz w:val="18"/>
          <w:szCs w:val="12"/>
          <w:lang w:val="hy-AM"/>
        </w:rPr>
      </w:pPr>
      <w:r>
        <w:rPr>
          <w:rStyle w:val="FootnoteReference"/>
          <w:sz w:val="22"/>
        </w:rPr>
        <w:footnoteRef/>
      </w:r>
      <w:r>
        <w:rPr>
          <w:sz w:val="22"/>
          <w:lang w:val="hy-AM"/>
        </w:rPr>
        <w:t xml:space="preserve"> </w:t>
      </w:r>
      <w:r w:rsidRPr="005A495F">
        <w:rPr>
          <w:i/>
          <w:iCs w:val="0"/>
          <w:sz w:val="14"/>
          <w:szCs w:val="12"/>
          <w:lang w:val="hy-AM"/>
        </w:rPr>
        <w:t>Դոլարի ինդեքսը հաշվարկվում է որպես կշռված երկրաչափական միջին՝ հետևյալ արժույթների նկատմամաբ. Եվրո, Ճապոնական յեն, Բրիտանական ֆունտ, Կանադական դոլար, Շվեդական կրոն, Շվեյցարական ֆրանկ.</w:t>
      </w:r>
    </w:p>
  </w:footnote>
  <w:footnote w:id="3">
    <w:p w:rsidR="0003683A" w:rsidRDefault="0003683A" w:rsidP="00D178DD">
      <w:pPr>
        <w:pStyle w:val="FootnoteText"/>
        <w:rPr>
          <w:i/>
          <w:lang w:val="hy-AM"/>
        </w:rPr>
      </w:pPr>
      <w:r w:rsidRPr="005A495F">
        <w:rPr>
          <w:rStyle w:val="FootnoteReference"/>
          <w:i/>
          <w:iCs w:val="0"/>
          <w:sz w:val="18"/>
          <w:szCs w:val="16"/>
        </w:rPr>
        <w:footnoteRef/>
      </w:r>
      <w:r w:rsidRPr="005A495F">
        <w:rPr>
          <w:i/>
          <w:iCs w:val="0"/>
          <w:sz w:val="18"/>
          <w:szCs w:val="12"/>
          <w:lang w:val="hy-AM"/>
        </w:rPr>
        <w:t xml:space="preserve"> </w:t>
      </w:r>
      <w:r w:rsidRPr="005A495F">
        <w:rPr>
          <w:i/>
          <w:iCs w:val="0"/>
          <w:sz w:val="14"/>
          <w:szCs w:val="12"/>
          <w:lang w:val="hy-AM"/>
        </w:rPr>
        <w:t>Երկրի ռիսկի հավելավճարները հաշվարկված են որպես տվյալ երկրի եվրոպարտատոմսերի (դոլարային արժույթով) և ԱՄՆ համապատասխան ժամկետայնությամբ գանձապետական պարտատոմսերի եկամտաբերությունների տարբերություն (պարտատոմսերի մարման ժամկետները նշված են երկրների անվանումների կողքը՝ փակագծերում):</w:t>
      </w:r>
      <w:r w:rsidRPr="005A495F">
        <w:rPr>
          <w:i/>
          <w:sz w:val="14"/>
          <w:szCs w:val="12"/>
          <w:lang w:val="hy-AM"/>
        </w:rPr>
        <w:t xml:space="preserve"> </w:t>
      </w:r>
    </w:p>
  </w:footnote>
  <w:footnote w:id="4">
    <w:p w:rsidR="0003683A" w:rsidRDefault="0003683A" w:rsidP="00D178DD">
      <w:pPr>
        <w:pStyle w:val="FootnoteText"/>
        <w:rPr>
          <w:i/>
          <w:lang w:val="hy-AM"/>
        </w:rPr>
      </w:pPr>
      <w:r>
        <w:rPr>
          <w:rStyle w:val="FootnoteReference"/>
        </w:rPr>
        <w:footnoteRef/>
      </w:r>
      <w:r w:rsidRPr="00351E59">
        <w:rPr>
          <w:lang w:val="hy-AM"/>
        </w:rPr>
        <w:t xml:space="preserve"> </w:t>
      </w:r>
      <w:r w:rsidRPr="00997023">
        <w:rPr>
          <w:i/>
          <w:lang w:val="hy-AM"/>
        </w:rPr>
        <w:t>Ֆինանսական և ապահովագրական գործունեություն ենթաճյուղի դրական զարգացումները զուգորդվել են բանկային համակարգում 2022 թվականի առաջին կիսամյակում (հիմնականում երկրորդ եռամսյակում) շահութաբերության աննախադեպ բարձր ցուցանիշներով, ինչին նպաստել են արտարժութային գործառնություններից լրացուցիչ եկամուտները (այդ թվում՝ փոխարժեքի տատանումներից և միջնորդավճարներից գոյացած հասույթը), ոչ ռեզիդենտների կողմից նոր բանկային հաշիվների ստեղծումը</w:t>
      </w:r>
      <w:r>
        <w:rPr>
          <w:i/>
          <w:lang w:val="hy-AM"/>
        </w:rPr>
        <w:t>։</w:t>
      </w:r>
    </w:p>
    <w:p w:rsidR="0003683A" w:rsidRPr="00997023" w:rsidRDefault="0003683A" w:rsidP="00D178DD">
      <w:pPr>
        <w:pStyle w:val="FootnoteText"/>
        <w:rPr>
          <w:lang w:val="hy-AM"/>
        </w:rPr>
      </w:pPr>
    </w:p>
  </w:footnote>
  <w:footnote w:id="5">
    <w:p w:rsidR="0003683A" w:rsidRPr="00631206" w:rsidRDefault="0003683A" w:rsidP="00D178DD">
      <w:pPr>
        <w:pStyle w:val="FootnoteText"/>
        <w:rPr>
          <w:i/>
          <w:lang w:val="hy-AM"/>
        </w:rPr>
      </w:pPr>
      <w:r w:rsidRPr="000E6B55">
        <w:rPr>
          <w:rStyle w:val="FootnoteReference"/>
          <w:sz w:val="18"/>
          <w:szCs w:val="18"/>
        </w:rPr>
        <w:footnoteRef/>
      </w:r>
      <w:r w:rsidRPr="006D4E60">
        <w:rPr>
          <w:i/>
          <w:lang w:val="hy-AM"/>
        </w:rPr>
        <w:t>ՏԱՑ-ի աճին ճյուղերի նպաստումները ՀՀ ֆինանսների նախարարության գնահատականներն են: Գյուղատնտեսության ցուցանիշը ոչ բոլոր տեղերում է ներառված հաշվարկներում, քանի որ հրապարակվում է եռամսյակային պարբերականությամբ՝ պայմանավորված գյուղատնտեսության սեզոնայնությամբ և բնակլիմայական ոչ կայուն պայմաններից կախված ամսական արտադրության տատանողականության հարթեցման անհրաժեշտությամբ:</w:t>
      </w:r>
    </w:p>
  </w:footnote>
  <w:footnote w:id="6">
    <w:p w:rsidR="0003683A" w:rsidRPr="001D4244" w:rsidRDefault="0003683A" w:rsidP="00D178DD">
      <w:pPr>
        <w:pStyle w:val="FootnoteText"/>
        <w:rPr>
          <w:lang w:val="hy-AM"/>
        </w:rPr>
      </w:pPr>
      <w:r>
        <w:rPr>
          <w:rStyle w:val="FootnoteReference"/>
        </w:rPr>
        <w:footnoteRef/>
      </w:r>
      <w:r w:rsidRPr="007D3636">
        <w:rPr>
          <w:lang w:val="hy-AM"/>
        </w:rPr>
        <w:t xml:space="preserve"> </w:t>
      </w:r>
      <w:r>
        <w:rPr>
          <w:lang w:val="hy-AM"/>
        </w:rPr>
        <w:t>Աղբյուրը՝ ՀՀ ԿԲ, «</w:t>
      </w:r>
      <w:r w:rsidRPr="00C04300">
        <w:rPr>
          <w:rFonts w:cs="Sylfaen"/>
          <w:lang w:val="hy-AM"/>
        </w:rPr>
        <w:t xml:space="preserve">ՀՀ բանկերի միջոցով ֆիզիկական անձանց անունով արտերկրից ստացված </w:t>
      </w:r>
      <w:r>
        <w:rPr>
          <w:rFonts w:cs="Sylfaen"/>
          <w:lang w:val="hy-AM"/>
        </w:rPr>
        <w:t xml:space="preserve">և ՀՀ-ից ֆիզիկական անձանց կողմից արտերկիր իրականացված </w:t>
      </w:r>
      <w:r w:rsidRPr="00C04300">
        <w:rPr>
          <w:rFonts w:cs="Sylfaen"/>
          <w:lang w:val="hy-AM"/>
        </w:rPr>
        <w:t>փոխանցումներ</w:t>
      </w:r>
      <w:r>
        <w:rPr>
          <w:rFonts w:cs="Sylfaen"/>
          <w:lang w:val="hy-AM"/>
        </w:rPr>
        <w:t xml:space="preserve">», զուտ ներհոսք </w:t>
      </w:r>
      <w:r w:rsidRPr="001D4244">
        <w:rPr>
          <w:rFonts w:cs="Sylfaen"/>
          <w:lang w:val="hy-AM"/>
        </w:rPr>
        <w:t>(https://www.cba.am/am/SitePages/statexternalsector.aspx)</w:t>
      </w:r>
      <w:r>
        <w:rPr>
          <w:rFonts w:cs="Sylfaen"/>
          <w:lang w:val="hy-AM"/>
        </w:rPr>
        <w:t>։</w:t>
      </w:r>
    </w:p>
  </w:footnote>
  <w:footnote w:id="7">
    <w:p w:rsidR="0003683A" w:rsidRPr="00351E59" w:rsidRDefault="0003683A" w:rsidP="00D178DD">
      <w:pPr>
        <w:pStyle w:val="FootnoteText"/>
        <w:rPr>
          <w:rFonts w:ascii="Sylfaen" w:hAnsi="Sylfaen"/>
          <w:lang w:val="hy-AM"/>
        </w:rPr>
      </w:pPr>
      <w:r>
        <w:rPr>
          <w:rStyle w:val="FootnoteReference"/>
        </w:rPr>
        <w:footnoteRef/>
      </w:r>
      <w:r w:rsidRPr="00076658">
        <w:rPr>
          <w:lang w:val="hy-AM"/>
        </w:rPr>
        <w:t xml:space="preserve"> </w:t>
      </w:r>
      <w:r>
        <w:rPr>
          <w:i/>
          <w:lang w:val="hy-AM"/>
        </w:rPr>
        <w:t>Տե՛ս Գնաճի հաշվետվություն, 2022</w:t>
      </w:r>
      <w:r w:rsidRPr="000927CC">
        <w:rPr>
          <w:i/>
          <w:lang w:val="hy-AM"/>
        </w:rPr>
        <w:t>/</w:t>
      </w:r>
      <w:r w:rsidRPr="00351E59">
        <w:rPr>
          <w:i/>
          <w:lang w:val="hy-AM"/>
        </w:rPr>
        <w:t>2</w:t>
      </w:r>
      <w:r w:rsidRPr="000927CC">
        <w:rPr>
          <w:i/>
          <w:lang w:val="hy-AM"/>
        </w:rPr>
        <w:t xml:space="preserve">, ՀՀ ԿԲ, </w:t>
      </w:r>
      <w:hyperlink r:id="rId1" w:history="1">
        <w:r w:rsidRPr="00137F99">
          <w:rPr>
            <w:rStyle w:val="Hyperlink"/>
            <w:i/>
            <w:lang w:val="hy-AM"/>
          </w:rPr>
          <w:t>https://www.cba.am/am/SitePages/ainflationreport.aspx</w:t>
        </w:r>
      </w:hyperlink>
      <w:r w:rsidRPr="00351E59">
        <w:rPr>
          <w:i/>
          <w:lang w:val="hy-AM"/>
        </w:rPr>
        <w:t xml:space="preserve">: </w:t>
      </w:r>
    </w:p>
  </w:footnote>
  <w:footnote w:id="8">
    <w:p w:rsidR="0003683A" w:rsidRPr="00B32254" w:rsidRDefault="0003683A" w:rsidP="00D178DD">
      <w:pPr>
        <w:pBdr>
          <w:top w:val="nil"/>
          <w:left w:val="nil"/>
          <w:bottom w:val="nil"/>
          <w:right w:val="nil"/>
          <w:between w:val="nil"/>
        </w:pBdr>
        <w:spacing w:line="240" w:lineRule="auto"/>
        <w:ind w:firstLine="0"/>
        <w:rPr>
          <w:rFonts w:eastAsia="Merriweather" w:cs="Merriweather"/>
          <w:color w:val="000000"/>
          <w:sz w:val="18"/>
          <w:szCs w:val="16"/>
          <w:lang w:val="hy-AM"/>
        </w:rPr>
      </w:pPr>
      <w:r w:rsidRPr="00F84314">
        <w:rPr>
          <w:rStyle w:val="FootnoteReference"/>
          <w:b w:val="0"/>
          <w:sz w:val="18"/>
          <w:szCs w:val="16"/>
          <w:lang w:val="hy-AM" w:eastAsia="en-US"/>
        </w:rPr>
        <w:footnoteRef/>
      </w:r>
      <w:r w:rsidRPr="00F84314">
        <w:rPr>
          <w:rStyle w:val="FootnoteReference"/>
          <w:b w:val="0"/>
          <w:sz w:val="18"/>
          <w:szCs w:val="16"/>
          <w:lang w:val="hy-AM" w:eastAsia="en-US"/>
        </w:rPr>
        <w:t xml:space="preserve"> </w:t>
      </w:r>
      <w:r>
        <w:rPr>
          <w:b w:val="0"/>
          <w:sz w:val="18"/>
          <w:szCs w:val="16"/>
          <w:lang w:val="hy-AM" w:eastAsia="en-US"/>
        </w:rPr>
        <w:t xml:space="preserve">ՀՀ ֆինանսների նախարարության </w:t>
      </w:r>
      <w:r w:rsidRPr="00351E59">
        <w:rPr>
          <w:b w:val="0"/>
          <w:sz w:val="18"/>
          <w:szCs w:val="16"/>
          <w:lang w:val="hy-AM" w:eastAsia="en-US"/>
        </w:rPr>
        <w:t>Արարատ հարկաբյուջետային ռազմավարության</w:t>
      </w:r>
      <w:r w:rsidRPr="00F84314">
        <w:rPr>
          <w:b w:val="0"/>
          <w:sz w:val="18"/>
          <w:szCs w:val="16"/>
          <w:lang w:val="hy-AM" w:eastAsia="en-US"/>
        </w:rPr>
        <w:t xml:space="preserve"> դինամիկ ստոխաստիկ ընդհանուր հավասարակշռության մոդելը մշակվել է 2018-2020թթ. ընթացքում՝ ԱՄՀ կողմից տրամադրված տեխնի</w:t>
      </w:r>
      <w:r>
        <w:rPr>
          <w:b w:val="0"/>
          <w:sz w:val="18"/>
          <w:szCs w:val="16"/>
          <w:lang w:val="hy-AM" w:eastAsia="en-US"/>
        </w:rPr>
        <w:t>կական աջակցության շրջանակներում:</w:t>
      </w:r>
      <w:r w:rsidRPr="00F84314">
        <w:rPr>
          <w:b w:val="0"/>
          <w:sz w:val="18"/>
          <w:szCs w:val="16"/>
          <w:lang w:val="hy-AM" w:eastAsia="en-US"/>
        </w:rPr>
        <w:t xml:space="preserve"> Առավել մանրամասն տե՛ս ՀՀ կառավարության 2021թ. բյուջետային ուղերձ, Երևան 2020, էջ՝ 84,  ներդիր 2</w:t>
      </w:r>
      <w:r>
        <w:rPr>
          <w:b w:val="0"/>
          <w:sz w:val="18"/>
          <w:szCs w:val="16"/>
          <w:lang w:val="hy-AM" w:eastAsia="en-US"/>
        </w:rPr>
        <w:t xml:space="preserve">: Մոդելը և կիրառությունները նկարագրող ամբողջական աշխատանքային փաստաթուղթը տե՛ս հետևյալ հղմամբ՝ </w:t>
      </w:r>
      <w:r w:rsidRPr="00B32254">
        <w:rPr>
          <w:b w:val="0"/>
          <w:sz w:val="18"/>
          <w:szCs w:val="16"/>
          <w:lang w:val="hy-AM" w:eastAsia="en-US"/>
        </w:rPr>
        <w:t>https://www.imf.org/en/Publications/WP/Issues/2022/06/10/The-Ararat-Fiscal-Strategy-Model-A-Structural-Framework-for-Fiscal-Policy-Analysis-in-519522</w:t>
      </w:r>
      <w:r>
        <w:rPr>
          <w:b w:val="0"/>
          <w:sz w:val="18"/>
          <w:szCs w:val="16"/>
          <w:lang w:val="hy-AM" w:eastAsia="en-US"/>
        </w:rPr>
        <w:t>:</w:t>
      </w:r>
    </w:p>
  </w:footnote>
  <w:footnote w:id="9">
    <w:p w:rsidR="0003683A" w:rsidRPr="00397C6F" w:rsidRDefault="0003683A" w:rsidP="00D178DD">
      <w:pPr>
        <w:pStyle w:val="af2"/>
        <w:ind w:firstLine="0"/>
        <w:rPr>
          <w:sz w:val="16"/>
          <w:szCs w:val="16"/>
        </w:rPr>
      </w:pPr>
      <w:r w:rsidRPr="00397C6F">
        <w:rPr>
          <w:rStyle w:val="FootnoteReference"/>
          <w:sz w:val="18"/>
          <w:szCs w:val="16"/>
        </w:rPr>
        <w:footnoteRef/>
      </w:r>
      <w:r w:rsidRPr="00397C6F">
        <w:rPr>
          <w:sz w:val="18"/>
          <w:szCs w:val="16"/>
        </w:rPr>
        <w:t xml:space="preserve"> ՀՀ գործընկեր երկրների արտաքին պահանաջարկի ցուցանիշը ՀՀ ՖՆ գնահատականն է, որը հաշվարկվել է որպես ԱՄՆ-ի, Չինաստանի և Եվրոգոտու տնտեսական աճերի կշռված միջին՝ ՀՀ արտահանման կառուցվածքին համապատասխան:  ՀՀ գործընկեր երկրների տնտեսական աճերի 2022 և 2023 թթ. ԱՄՀ կողմից հրապարակված կանխատեսումները ներկայացված են Աղյուսակ 1.2.-ում</w:t>
      </w:r>
    </w:p>
  </w:footnote>
  <w:footnote w:id="10">
    <w:p w:rsidR="0003683A" w:rsidRPr="00351E59" w:rsidRDefault="0003683A" w:rsidP="00D178DD">
      <w:pPr>
        <w:spacing w:line="276" w:lineRule="auto"/>
        <w:rPr>
          <w:b w:val="0"/>
          <w:i/>
          <w:lang w:val="hy-AM"/>
        </w:rPr>
      </w:pPr>
      <w:r w:rsidRPr="00351E59">
        <w:rPr>
          <w:rStyle w:val="FootnoteReference"/>
          <w:rFonts w:ascii="GHEA Grapalat" w:hAnsi="GHEA Grapalat"/>
          <w:b w:val="0"/>
          <w:sz w:val="16"/>
          <w:szCs w:val="16"/>
        </w:rPr>
        <w:footnoteRef/>
      </w:r>
      <w:r w:rsidRPr="00351E59">
        <w:rPr>
          <w:b w:val="0"/>
          <w:sz w:val="16"/>
          <w:szCs w:val="16"/>
          <w:lang w:val="hy-AM"/>
        </w:rPr>
        <w:t xml:space="preserve"> </w:t>
      </w:r>
      <w:r w:rsidRPr="00351E59">
        <w:rPr>
          <w:b w:val="0"/>
          <w:i/>
          <w:sz w:val="16"/>
          <w:szCs w:val="16"/>
          <w:lang w:val="hy-AM"/>
        </w:rPr>
        <w:t>Տե՛ս «Տնտեսական արձագանքման ծրագիրը և գործողությունների պլանը հաստատելու մասին» ՀՀ կառավարության 2021թ. փետրվարի 4-ի թիվ 142-Լ որոշում, հավելված 1:</w:t>
      </w:r>
    </w:p>
  </w:footnote>
  <w:footnote w:id="11">
    <w:p w:rsidR="0003683A" w:rsidRPr="003A75CD" w:rsidRDefault="0003683A" w:rsidP="00D178DD">
      <w:pPr>
        <w:spacing w:line="276" w:lineRule="auto"/>
        <w:rPr>
          <w:i/>
          <w:lang w:val="hy-AM"/>
        </w:rPr>
      </w:pPr>
      <w:r w:rsidRPr="00351E59">
        <w:rPr>
          <w:b w:val="0"/>
          <w:sz w:val="16"/>
          <w:szCs w:val="20"/>
          <w:vertAlign w:val="superscript"/>
          <w:lang w:val="hy-AM"/>
        </w:rPr>
        <w:footnoteRef/>
      </w:r>
      <w:r w:rsidRPr="00351E59">
        <w:rPr>
          <w:b w:val="0"/>
          <w:sz w:val="16"/>
          <w:szCs w:val="20"/>
          <w:vertAlign w:val="superscript"/>
          <w:lang w:val="hy-AM"/>
        </w:rPr>
        <w:t xml:space="preserve"> </w:t>
      </w:r>
      <w:r w:rsidRPr="00351E59">
        <w:rPr>
          <w:b w:val="0"/>
          <w:i/>
          <w:sz w:val="18"/>
          <w:szCs w:val="18"/>
          <w:lang w:val="hy-AM"/>
        </w:rPr>
        <w:t>Աղյուսակի 1-ին սյունը իրենից ներկայացնում է տնտեսական աճի հնարավոր միջա</w:t>
      </w:r>
      <w:r w:rsidRPr="00351E59">
        <w:rPr>
          <w:b w:val="0"/>
          <w:i/>
          <w:sz w:val="18"/>
          <w:szCs w:val="18"/>
          <w:lang w:val="hy-AM"/>
        </w:rPr>
        <w:softHyphen/>
        <w:t>կայքերը, իսկ 2-ից 5-րդ սյուները` համապատասխան միջակայքերում տնտեսական աճի գտնվելու հավանականությունները։ Աղյուսակում ներկայացվել են տնտեսական աճի ամենահավանական միջակայքերը, որոնք միասին ծածկում են բաշխման ընդհանուր հավանականության շուրջ 88%-ը, այսինքն` հավանականությունը, որ տնտեսական աճը կգտնվի 2%-ից 10%  միջակայքում, կազմում է մոտ 88%:</w:t>
      </w:r>
    </w:p>
  </w:footnote>
  <w:footnote w:id="12">
    <w:p w:rsidR="0003683A" w:rsidRPr="00820747" w:rsidRDefault="0003683A" w:rsidP="00D178DD">
      <w:pPr>
        <w:pStyle w:val="FootnoteText"/>
        <w:rPr>
          <w:lang w:val="hy-AM"/>
        </w:rPr>
      </w:pPr>
      <w:r>
        <w:rPr>
          <w:rStyle w:val="FootnoteReference"/>
        </w:rPr>
        <w:footnoteRef/>
      </w:r>
      <w:r w:rsidRPr="00854B26">
        <w:rPr>
          <w:lang w:val="hy-AM"/>
        </w:rPr>
        <w:t xml:space="preserve"> </w:t>
      </w:r>
      <w:r>
        <w:rPr>
          <w:lang w:val="hy-AM"/>
        </w:rPr>
        <w:t>2021 թվականի հակաճգնաժամային միջոցառումների ծախսերի ուղղությունների և ծավալների մասը տես՝ 2021 թվականի պետական բյուջեի տարեկան հաշվետվության «</w:t>
      </w:r>
      <w:r w:rsidRPr="00D923AC">
        <w:rPr>
          <w:lang w:val="hy-AM"/>
        </w:rPr>
        <w:t>2. ՀԱՐԿԱԲՅՈՒՋԵՏԱՅԻՆ ՔԱՂԱՔԱԿԱՆՈՒԹՅԱՆ ՀԻՄՆԱԿԱՆ ԶԱՐԳԱՑՈՒՄՆԵՐԸ</w:t>
      </w:r>
      <w:r>
        <w:rPr>
          <w:lang w:val="hy-AM"/>
        </w:rPr>
        <w:t>» բաժնի «ՀՀ կառավարության հակաճգնաժամային միջոցառումները» ենթաբաժնում</w:t>
      </w:r>
    </w:p>
  </w:footnote>
  <w:footnote w:id="13">
    <w:p w:rsidR="0003683A" w:rsidRPr="00820747" w:rsidRDefault="0003683A" w:rsidP="00D178DD">
      <w:pPr>
        <w:pStyle w:val="FootnoteText"/>
        <w:rPr>
          <w:lang w:val="hy-AM"/>
        </w:rPr>
      </w:pPr>
      <w:r>
        <w:rPr>
          <w:rStyle w:val="FootnoteReference"/>
        </w:rPr>
        <w:footnoteRef/>
      </w:r>
      <w:r w:rsidRPr="00820747">
        <w:rPr>
          <w:lang w:val="hy-AM"/>
        </w:rPr>
        <w:t xml:space="preserve"> </w:t>
      </w:r>
      <w:r>
        <w:rPr>
          <w:lang w:val="hy-AM"/>
        </w:rPr>
        <w:t xml:space="preserve">Կանխատեսվող տարիների համար կառավարության պարտք/ՀՆԱ ցուցանիշի փոփոխությանը նպաստող գործոններից փոխարժեքի ենթադրությունների ազդեցությունն արտահայտված է մնացորդի բաղադրիչի մեջ։ </w:t>
      </w:r>
    </w:p>
  </w:footnote>
  <w:footnote w:id="14">
    <w:p w:rsidR="0003683A" w:rsidRPr="00A96E72" w:rsidRDefault="0003683A" w:rsidP="00D178DD">
      <w:pPr>
        <w:pStyle w:val="FootnoteText"/>
        <w:rPr>
          <w:lang w:val="hy-AM"/>
        </w:rPr>
      </w:pPr>
      <w:r w:rsidRPr="0038225D">
        <w:rPr>
          <w:rStyle w:val="FootnoteReference"/>
          <w:sz w:val="18"/>
          <w:szCs w:val="18"/>
        </w:rPr>
        <w:footnoteRef/>
      </w:r>
      <w:r w:rsidRPr="00A96E72">
        <w:rPr>
          <w:lang w:val="hy-AM"/>
        </w:rPr>
        <w:t xml:space="preserve"> Հարկաբյուջետային կանխատեսումների համար հիմք է հանդիսացել 202</w:t>
      </w:r>
      <w:r w:rsidRPr="00820747">
        <w:rPr>
          <w:lang w:val="hy-AM"/>
        </w:rPr>
        <w:t>2</w:t>
      </w:r>
      <w:r w:rsidRPr="00A96E72">
        <w:rPr>
          <w:lang w:val="hy-AM"/>
        </w:rPr>
        <w:t xml:space="preserve">թ.-ի </w:t>
      </w:r>
      <w:r>
        <w:rPr>
          <w:lang w:val="hy-AM"/>
        </w:rPr>
        <w:t>օգոստոսի</w:t>
      </w:r>
      <w:r w:rsidRPr="00A96E72">
        <w:rPr>
          <w:lang w:val="hy-AM"/>
        </w:rPr>
        <w:t xml:space="preserve"> վերջի դրությամբ առկա տեղեկատվությունը՝ </w:t>
      </w:r>
      <w:r w:rsidRPr="00683304">
        <w:rPr>
          <w:lang w:val="hy-AM"/>
        </w:rPr>
        <w:t xml:space="preserve">ռուս-ուկրաինական հակամարտության, համավարակի և </w:t>
      </w:r>
      <w:r w:rsidRPr="00822D2B">
        <w:rPr>
          <w:lang w:val="hy-AM"/>
        </w:rPr>
        <w:t>Ղարաբաղ</w:t>
      </w:r>
      <w:r w:rsidRPr="00683304">
        <w:rPr>
          <w:lang w:val="hy-AM"/>
        </w:rPr>
        <w:t>յան պատերազմի տնտեսական ազդեցությունների, միջազգային կազմակերպությունների կանխատեսումների, ինչպես նաև հարկաբյուջետային քաղաքականության ուղությունների վերաբերյալ</w:t>
      </w:r>
      <w:r w:rsidRPr="00A96E72">
        <w:rPr>
          <w:lang w:val="hy-AM"/>
        </w:rPr>
        <w:t>:</w:t>
      </w:r>
    </w:p>
  </w:footnote>
  <w:footnote w:id="15">
    <w:p w:rsidR="0003683A" w:rsidRPr="00B7540A" w:rsidRDefault="0003683A" w:rsidP="00D178DD">
      <w:pPr>
        <w:pStyle w:val="FootnoteText"/>
        <w:rPr>
          <w:lang w:val="hy-AM"/>
        </w:rPr>
      </w:pPr>
      <w:r w:rsidRPr="00E2325B">
        <w:rPr>
          <w:rStyle w:val="FootnoteReference"/>
        </w:rPr>
        <w:footnoteRef/>
      </w:r>
      <w:r w:rsidRPr="00B7540A">
        <w:rPr>
          <w:lang w:val="hy-AM"/>
        </w:rPr>
        <w:t xml:space="preserve"> Այս հատվածում նկարագրված ռիսկերի առավել մանրամասն վերլուծությունը ներկայացված է այս փաստաթղթի ՄԱՍ IV-ի «Պետական բյուջեի վրա մակրոտնտեսական կանխատեսված ցուցանիշներից շեղման ռիսկերի ազդեցության քանակական գնահատում» և «ՀՀ կառավարության պարտքի կայունության վերլուծություն» բաժիններում։ </w:t>
      </w:r>
    </w:p>
  </w:footnote>
  <w:footnote w:id="16">
    <w:p w:rsidR="0003683A" w:rsidRPr="00EE1C9F" w:rsidRDefault="0003683A" w:rsidP="00804A79">
      <w:pPr>
        <w:pStyle w:val="FootnoteText"/>
        <w:rPr>
          <w:lang w:val="hy-AM"/>
        </w:rPr>
      </w:pPr>
      <w:r>
        <w:rPr>
          <w:rStyle w:val="FootnoteReference"/>
          <w:rFonts w:cs="GHEA Grapalat"/>
        </w:rPr>
        <w:footnoteRef/>
      </w:r>
      <w:r w:rsidRPr="00EE1C9F">
        <w:rPr>
          <w:lang w:val="hy-AM"/>
        </w:rPr>
        <w:t xml:space="preserve"> Այս բաժնում որպես ՀՀ 20</w:t>
      </w:r>
      <w:r>
        <w:rPr>
          <w:lang w:val="ro-RO"/>
        </w:rPr>
        <w:t>22</w:t>
      </w:r>
      <w:r w:rsidRPr="00EE1C9F">
        <w:rPr>
          <w:lang w:val="hy-AM"/>
        </w:rPr>
        <w:t xml:space="preserve"> թվականի պետական բյուջեի պետական տուրքի համար հաստատված ցու</w:t>
      </w:r>
      <w:r w:rsidRPr="00EE1C9F">
        <w:rPr>
          <w:lang w:val="hy-AM"/>
        </w:rPr>
        <w:softHyphen/>
        <w:t>ցա</w:t>
      </w:r>
      <w:r w:rsidRPr="00EE1C9F">
        <w:rPr>
          <w:lang w:val="hy-AM"/>
        </w:rPr>
        <w:softHyphen/>
        <w:t>նիշ</w:t>
      </w:r>
      <w:r w:rsidRPr="00EE1C9F">
        <w:rPr>
          <w:lang w:val="hy-AM"/>
        </w:rPr>
        <w:softHyphen/>
        <w:t>ներ դիտարկվել են ՀՀ կառավարության 202</w:t>
      </w:r>
      <w:r w:rsidRPr="00804A79">
        <w:rPr>
          <w:lang w:val="hy-AM"/>
        </w:rPr>
        <w:t>1</w:t>
      </w:r>
      <w:r w:rsidRPr="00EE1C9F">
        <w:rPr>
          <w:lang w:val="hy-AM"/>
        </w:rPr>
        <w:t xml:space="preserve"> թվականի դեկտեմբերի </w:t>
      </w:r>
      <w:r w:rsidRPr="00804A79">
        <w:rPr>
          <w:lang w:val="hy-AM"/>
        </w:rPr>
        <w:t>23</w:t>
      </w:r>
      <w:r w:rsidRPr="00EE1C9F">
        <w:rPr>
          <w:lang w:val="hy-AM"/>
        </w:rPr>
        <w:t>-ի N 2</w:t>
      </w:r>
      <w:r w:rsidRPr="00804A79">
        <w:rPr>
          <w:lang w:val="hy-AM"/>
        </w:rPr>
        <w:t>121</w:t>
      </w:r>
      <w:r w:rsidRPr="00EE1C9F">
        <w:rPr>
          <w:lang w:val="hy-AM"/>
        </w:rPr>
        <w:t>-Ն որոշման N 6 հավելվածով ՀՀ 20</w:t>
      </w:r>
      <w:r>
        <w:rPr>
          <w:lang w:val="ro-RO"/>
        </w:rPr>
        <w:t>22</w:t>
      </w:r>
      <w:r w:rsidRPr="00EE1C9F">
        <w:rPr>
          <w:lang w:val="hy-AM"/>
        </w:rPr>
        <w:t xml:space="preserve"> թվականի պետական բյուջեի պետական տուրքի գծով հաս</w:t>
      </w:r>
      <w:r w:rsidRPr="00EE1C9F">
        <w:rPr>
          <w:lang w:val="hy-AM"/>
        </w:rPr>
        <w:softHyphen/>
        <w:t>տատ</w:t>
      </w:r>
      <w:r w:rsidRPr="00EE1C9F">
        <w:rPr>
          <w:lang w:val="hy-AM"/>
        </w:rPr>
        <w:softHyphen/>
        <w:t>ված ցուցանիշները:</w:t>
      </w:r>
    </w:p>
  </w:footnote>
  <w:footnote w:id="17">
    <w:p w:rsidR="0003683A" w:rsidRPr="00EE1C9F" w:rsidRDefault="0003683A" w:rsidP="00804A79">
      <w:pPr>
        <w:pStyle w:val="FootnoteText"/>
        <w:rPr>
          <w:lang w:val="hy-AM"/>
        </w:rPr>
      </w:pPr>
      <w:r>
        <w:rPr>
          <w:rStyle w:val="FootnoteReference"/>
          <w:rFonts w:cs="GHEA Grapalat"/>
        </w:rPr>
        <w:footnoteRef/>
      </w:r>
      <w:r>
        <w:rPr>
          <w:rStyle w:val="FootnoteReference"/>
          <w:lang w:val="hy-AM"/>
        </w:rPr>
        <w:t xml:space="preserve"> </w:t>
      </w:r>
      <w:r w:rsidRPr="00EE1C9F">
        <w:rPr>
          <w:lang w:val="hy-AM"/>
        </w:rPr>
        <w:t>Առանց ՀՀ 202</w:t>
      </w:r>
      <w:r w:rsidRPr="00104C23">
        <w:rPr>
          <w:lang w:val="hy-AM"/>
        </w:rPr>
        <w:t>1</w:t>
      </w:r>
      <w:r w:rsidRPr="00EE1C9F">
        <w:rPr>
          <w:lang w:val="hy-AM"/>
        </w:rPr>
        <w:t xml:space="preserve"> թվականի պետական բյուջեից ծախս-եկամուտ գործառույթի եղանակով </w:t>
      </w:r>
      <w:r w:rsidRPr="00804A79">
        <w:rPr>
          <w:color w:val="000000"/>
          <w:lang w:val="hy-AM"/>
        </w:rPr>
        <w:t xml:space="preserve">ստացված 181.5 </w:t>
      </w:r>
      <w:r w:rsidRPr="00EE1C9F">
        <w:rPr>
          <w:lang w:val="hy-AM"/>
        </w:rPr>
        <w:t xml:space="preserve">մլն </w:t>
      </w:r>
      <w:r w:rsidRPr="00804A79">
        <w:rPr>
          <w:color w:val="000000"/>
          <w:lang w:val="hy-AM"/>
        </w:rPr>
        <w:t xml:space="preserve">դրամի </w:t>
      </w:r>
      <w:r w:rsidRPr="00EE1C9F">
        <w:rPr>
          <w:lang w:val="hy-AM"/>
        </w:rPr>
        <w:t>չափով այն եկամուտների, որոնք հաշվառվում են պետական տուրքերի կազմում:</w:t>
      </w:r>
    </w:p>
    <w:p w:rsidR="0003683A" w:rsidRPr="00EE1C9F" w:rsidRDefault="0003683A" w:rsidP="00804A79">
      <w:pPr>
        <w:pStyle w:val="FootnoteText"/>
        <w:rPr>
          <w:lang w:val="hy-AM"/>
        </w:rPr>
      </w:pPr>
      <w:r w:rsidRPr="00EE1C9F">
        <w:rPr>
          <w:lang w:val="hy-AM"/>
        </w:rPr>
        <w:t xml:space="preserve">   </w:t>
      </w:r>
    </w:p>
  </w:footnote>
  <w:footnote w:id="18">
    <w:p w:rsidR="0003683A" w:rsidRPr="00980AF9" w:rsidRDefault="0003683A" w:rsidP="00013DB1">
      <w:pPr>
        <w:pStyle w:val="FootnoteText"/>
        <w:rPr>
          <w:lang w:val="hy-AM"/>
        </w:rPr>
      </w:pPr>
      <w:r>
        <w:rPr>
          <w:rStyle w:val="FootnoteReference"/>
        </w:rPr>
        <w:footnoteRef/>
      </w:r>
      <w:r w:rsidRPr="00574F8B">
        <w:rPr>
          <w:lang w:val="hy-AM"/>
        </w:rPr>
        <w:t xml:space="preserve"> </w:t>
      </w:r>
      <w:r w:rsidRPr="00FF6063">
        <w:rPr>
          <w:lang w:val="hy-AM"/>
        </w:rPr>
        <w:t>Մարդու իրավունքների պաշտպանն ունի բնույթով բացառիկ միջազգային կոնվենցիոն կարգավիճակներ՝ ամրագրված «Մարդու իրավունքների պաշտպանի մասին» սահմանադրական օրենքով: Պաշտպանը հանդիսանում է «Խոշտանգումների և այլ դաժան, անմարդկային կամ արժանապատվությունը նվաստացնող վերաբերմունքի կամ պատժի դեմ» ՄԱԿ-ի՝ 1984 թվականի կոնվենցիայի 2002 թվականի դեկտեմբերի 18-ին ընդունած կամընտիր արձանագրությամբ սահմանված կանխարգելման ազգային մեխանիզմ: «Երեխայի իրավունքների մասին» 1989 թվականի նոյեմբերի 20-ի ՄԱԿ-ի կոնվենցիայով նախատեսված մշտադիտարկում իրականացնող անկախ մարմին: «Հաշմանդամություն ունեցող անձանց իրավունքների մասին» 2006 թվականի դեկտեմբերի 13-ի ՄԱԿ-ի կոնվենցիայով նախատեսված մշտադիտարկում իրականացնող անկախ մարմին:</w:t>
      </w:r>
    </w:p>
  </w:footnote>
  <w:footnote w:id="19">
    <w:p w:rsidR="0003683A" w:rsidRPr="00C43712" w:rsidRDefault="0003683A" w:rsidP="00C43712">
      <w:pPr>
        <w:pStyle w:val="FootnoteText"/>
        <w:rPr>
          <w:rFonts w:ascii="Arial" w:hAnsi="Arial"/>
          <w:lang w:val="hy-AM"/>
        </w:rPr>
      </w:pPr>
      <w:r w:rsidRPr="000C7710">
        <w:footnoteRef/>
      </w:r>
      <w:r w:rsidRPr="00C43712">
        <w:rPr>
          <w:lang w:val="hy-AM"/>
        </w:rPr>
        <w:t xml:space="preserve"> Ցուցանիշը ներառում է պետական գանձապետական պարտատոմսերի հետգնման համար նախատեսված </w:t>
      </w:r>
      <w:r>
        <w:rPr>
          <w:lang w:val="hy-AM"/>
        </w:rPr>
        <w:t>30</w:t>
      </w:r>
      <w:r w:rsidRPr="00C43712">
        <w:rPr>
          <w:lang w:val="hy-AM"/>
        </w:rPr>
        <w:t xml:space="preserve"> մլրդ դրամը: </w:t>
      </w:r>
      <w:r w:rsidRPr="00C43712">
        <w:rPr>
          <w:rFonts w:ascii="Arial" w:hAnsi="Arial"/>
          <w:lang w:val="hy-AM"/>
        </w:rPr>
        <w:t xml:space="preserve"> </w:t>
      </w:r>
    </w:p>
  </w:footnote>
  <w:footnote w:id="20">
    <w:p w:rsidR="0003683A" w:rsidRPr="00117D85" w:rsidRDefault="0003683A" w:rsidP="00FE673E">
      <w:pPr>
        <w:pStyle w:val="FootnoteText"/>
        <w:rPr>
          <w:sz w:val="14"/>
          <w:lang w:val="sk-SK"/>
        </w:rPr>
      </w:pPr>
      <w:r w:rsidRPr="00E14DDE">
        <w:rPr>
          <w:rStyle w:val="FootnoteReference"/>
          <w:sz w:val="18"/>
        </w:rPr>
        <w:footnoteRef/>
      </w:r>
      <w:r w:rsidRPr="008624F6">
        <w:rPr>
          <w:lang w:val="hy-AM"/>
        </w:rPr>
        <w:t>Սա</w:t>
      </w:r>
      <w:r w:rsidRPr="004C6A11">
        <w:rPr>
          <w:lang w:val="sk-SK"/>
        </w:rPr>
        <w:t xml:space="preserve"> </w:t>
      </w:r>
      <w:r w:rsidRPr="008624F6">
        <w:rPr>
          <w:lang w:val="hy-AM"/>
        </w:rPr>
        <w:t>որոշակիորեն</w:t>
      </w:r>
      <w:r w:rsidRPr="004C6A11">
        <w:rPr>
          <w:lang w:val="sk-SK"/>
        </w:rPr>
        <w:t xml:space="preserve"> </w:t>
      </w:r>
      <w:r w:rsidRPr="008624F6">
        <w:rPr>
          <w:lang w:val="hy-AM"/>
        </w:rPr>
        <w:t>կապված</w:t>
      </w:r>
      <w:r w:rsidRPr="004C6A11">
        <w:rPr>
          <w:lang w:val="sk-SK"/>
        </w:rPr>
        <w:t xml:space="preserve"> </w:t>
      </w:r>
      <w:r w:rsidRPr="008624F6">
        <w:rPr>
          <w:lang w:val="hy-AM"/>
        </w:rPr>
        <w:t>է</w:t>
      </w:r>
      <w:r w:rsidRPr="004C6A11">
        <w:rPr>
          <w:lang w:val="sk-SK"/>
        </w:rPr>
        <w:t xml:space="preserve"> </w:t>
      </w:r>
      <w:r w:rsidRPr="008624F6">
        <w:rPr>
          <w:lang w:val="hy-AM"/>
        </w:rPr>
        <w:t>նաև</w:t>
      </w:r>
      <w:r w:rsidRPr="004C6A11">
        <w:rPr>
          <w:lang w:val="sk-SK"/>
        </w:rPr>
        <w:t xml:space="preserve"> </w:t>
      </w:r>
      <w:r w:rsidRPr="008624F6">
        <w:rPr>
          <w:lang w:val="hy-AM"/>
        </w:rPr>
        <w:t>մոդելների</w:t>
      </w:r>
      <w:r w:rsidRPr="004C6A11">
        <w:rPr>
          <w:lang w:val="sk-SK"/>
        </w:rPr>
        <w:t xml:space="preserve"> </w:t>
      </w:r>
      <w:r w:rsidRPr="008624F6">
        <w:rPr>
          <w:lang w:val="hy-AM"/>
        </w:rPr>
        <w:t>սպեցիֆիկացիաների</w:t>
      </w:r>
      <w:r w:rsidRPr="004C6A11">
        <w:rPr>
          <w:lang w:val="sk-SK"/>
        </w:rPr>
        <w:t xml:space="preserve"> </w:t>
      </w:r>
      <w:r w:rsidRPr="008624F6">
        <w:rPr>
          <w:lang w:val="hy-AM"/>
        </w:rPr>
        <w:t>հետ</w:t>
      </w:r>
      <w:r w:rsidRPr="004C6A11">
        <w:rPr>
          <w:lang w:val="sk-SK"/>
        </w:rPr>
        <w:t xml:space="preserve">, </w:t>
      </w:r>
      <w:r w:rsidRPr="008624F6">
        <w:rPr>
          <w:lang w:val="hy-AM"/>
        </w:rPr>
        <w:t>քանի</w:t>
      </w:r>
      <w:r w:rsidRPr="004C6A11">
        <w:rPr>
          <w:lang w:val="sk-SK"/>
        </w:rPr>
        <w:t xml:space="preserve"> </w:t>
      </w:r>
      <w:r w:rsidRPr="008624F6">
        <w:rPr>
          <w:lang w:val="hy-AM"/>
        </w:rPr>
        <w:t>որ</w:t>
      </w:r>
      <w:r w:rsidRPr="004C6A11">
        <w:rPr>
          <w:lang w:val="sk-SK"/>
        </w:rPr>
        <w:t xml:space="preserve"> </w:t>
      </w:r>
      <w:r w:rsidRPr="008624F6">
        <w:rPr>
          <w:lang w:val="hy-AM"/>
        </w:rPr>
        <w:t>ժամանակային</w:t>
      </w:r>
      <w:r w:rsidRPr="004C6A11">
        <w:rPr>
          <w:lang w:val="sk-SK"/>
        </w:rPr>
        <w:t xml:space="preserve"> </w:t>
      </w:r>
      <w:r w:rsidRPr="008624F6">
        <w:rPr>
          <w:lang w:val="hy-AM"/>
        </w:rPr>
        <w:t>շարքերի</w:t>
      </w:r>
      <w:r w:rsidRPr="004C6A11">
        <w:rPr>
          <w:lang w:val="sk-SK"/>
        </w:rPr>
        <w:t xml:space="preserve"> </w:t>
      </w:r>
      <w:r w:rsidRPr="008624F6">
        <w:rPr>
          <w:lang w:val="hy-AM"/>
        </w:rPr>
        <w:t>վրա</w:t>
      </w:r>
      <w:r w:rsidRPr="004C6A11">
        <w:rPr>
          <w:lang w:val="sk-SK"/>
        </w:rPr>
        <w:t xml:space="preserve"> </w:t>
      </w:r>
      <w:r w:rsidRPr="008624F6">
        <w:rPr>
          <w:lang w:val="hy-AM"/>
        </w:rPr>
        <w:t>հիմնված</w:t>
      </w:r>
      <w:r w:rsidRPr="004C6A11">
        <w:rPr>
          <w:lang w:val="sk-SK"/>
        </w:rPr>
        <w:t xml:space="preserve"> </w:t>
      </w:r>
      <w:r w:rsidRPr="008624F6">
        <w:rPr>
          <w:lang w:val="hy-AM"/>
        </w:rPr>
        <w:t>մոդելներն</w:t>
      </w:r>
      <w:r w:rsidRPr="004C6A11">
        <w:rPr>
          <w:lang w:val="sk-SK"/>
        </w:rPr>
        <w:t xml:space="preserve"> </w:t>
      </w:r>
      <w:r w:rsidRPr="008624F6">
        <w:rPr>
          <w:lang w:val="hy-AM"/>
        </w:rPr>
        <w:t>իրենց</w:t>
      </w:r>
      <w:r w:rsidRPr="004C6A11">
        <w:rPr>
          <w:lang w:val="sk-SK"/>
        </w:rPr>
        <w:t xml:space="preserve"> </w:t>
      </w:r>
      <w:r w:rsidRPr="008624F6">
        <w:rPr>
          <w:lang w:val="hy-AM"/>
        </w:rPr>
        <w:t>մեջ</w:t>
      </w:r>
      <w:r w:rsidRPr="004C6A11">
        <w:rPr>
          <w:lang w:val="sk-SK"/>
        </w:rPr>
        <w:t xml:space="preserve"> </w:t>
      </w:r>
      <w:r w:rsidRPr="008624F6">
        <w:rPr>
          <w:lang w:val="hy-AM"/>
        </w:rPr>
        <w:t>ներառում</w:t>
      </w:r>
      <w:r w:rsidRPr="004C6A11">
        <w:rPr>
          <w:lang w:val="sk-SK"/>
        </w:rPr>
        <w:t xml:space="preserve"> </w:t>
      </w:r>
      <w:r w:rsidRPr="008624F6">
        <w:rPr>
          <w:lang w:val="hy-AM"/>
        </w:rPr>
        <w:t>են</w:t>
      </w:r>
      <w:r w:rsidRPr="004C6A11">
        <w:rPr>
          <w:lang w:val="sk-SK"/>
        </w:rPr>
        <w:t xml:space="preserve"> </w:t>
      </w:r>
      <w:r w:rsidRPr="008624F6">
        <w:rPr>
          <w:lang w:val="hy-AM"/>
        </w:rPr>
        <w:t>տնտեսության</w:t>
      </w:r>
      <w:r w:rsidRPr="004C6A11">
        <w:rPr>
          <w:lang w:val="sk-SK"/>
        </w:rPr>
        <w:t xml:space="preserve"> </w:t>
      </w:r>
      <w:r w:rsidRPr="008624F6">
        <w:rPr>
          <w:lang w:val="hy-AM"/>
        </w:rPr>
        <w:t>նախորդ</w:t>
      </w:r>
      <w:r w:rsidRPr="004C6A11">
        <w:rPr>
          <w:lang w:val="sk-SK"/>
        </w:rPr>
        <w:t xml:space="preserve"> </w:t>
      </w:r>
      <w:r w:rsidRPr="008624F6">
        <w:rPr>
          <w:lang w:val="hy-AM"/>
        </w:rPr>
        <w:t>ժամանակահատվածի</w:t>
      </w:r>
      <w:r w:rsidRPr="004C6A11">
        <w:rPr>
          <w:lang w:val="sk-SK"/>
        </w:rPr>
        <w:t xml:space="preserve"> </w:t>
      </w:r>
      <w:r w:rsidRPr="008624F6">
        <w:rPr>
          <w:lang w:val="hy-AM"/>
        </w:rPr>
        <w:t>զարգացումների</w:t>
      </w:r>
      <w:r w:rsidRPr="004C6A11">
        <w:rPr>
          <w:lang w:val="sk-SK"/>
        </w:rPr>
        <w:t xml:space="preserve"> </w:t>
      </w:r>
      <w:r w:rsidRPr="008624F6">
        <w:rPr>
          <w:lang w:val="hy-AM"/>
        </w:rPr>
        <w:t>տեղեկատվությունը</w:t>
      </w:r>
      <w:r w:rsidRPr="004C6A11">
        <w:rPr>
          <w:lang w:val="sk-SK"/>
        </w:rPr>
        <w:t xml:space="preserve">, </w:t>
      </w:r>
      <w:r w:rsidRPr="008624F6">
        <w:rPr>
          <w:lang w:val="hy-AM"/>
        </w:rPr>
        <w:t>իսկ</w:t>
      </w:r>
      <w:r w:rsidRPr="004C6A11">
        <w:rPr>
          <w:lang w:val="sk-SK"/>
        </w:rPr>
        <w:t xml:space="preserve"> </w:t>
      </w:r>
      <w:r w:rsidRPr="008624F6">
        <w:rPr>
          <w:lang w:val="hy-AM"/>
        </w:rPr>
        <w:t>կանխատեսվող</w:t>
      </w:r>
      <w:r w:rsidRPr="004C6A11">
        <w:rPr>
          <w:lang w:val="sk-SK"/>
        </w:rPr>
        <w:t xml:space="preserve"> </w:t>
      </w:r>
      <w:r w:rsidRPr="008624F6">
        <w:rPr>
          <w:lang w:val="hy-AM"/>
        </w:rPr>
        <w:t>տարում</w:t>
      </w:r>
      <w:r w:rsidRPr="004C6A11">
        <w:rPr>
          <w:lang w:val="sk-SK"/>
        </w:rPr>
        <w:t xml:space="preserve"> </w:t>
      </w:r>
      <w:r w:rsidRPr="008624F6">
        <w:rPr>
          <w:lang w:val="hy-AM"/>
        </w:rPr>
        <w:t>ի</w:t>
      </w:r>
      <w:r w:rsidRPr="004C6A11">
        <w:rPr>
          <w:lang w:val="sk-SK"/>
        </w:rPr>
        <w:t xml:space="preserve"> </w:t>
      </w:r>
      <w:r w:rsidRPr="008624F6">
        <w:rPr>
          <w:lang w:val="hy-AM"/>
        </w:rPr>
        <w:t>հայտ</w:t>
      </w:r>
      <w:r w:rsidRPr="004C6A11">
        <w:rPr>
          <w:lang w:val="sk-SK"/>
        </w:rPr>
        <w:t xml:space="preserve"> </w:t>
      </w:r>
      <w:r w:rsidRPr="008624F6">
        <w:rPr>
          <w:lang w:val="hy-AM"/>
        </w:rPr>
        <w:t>եկող</w:t>
      </w:r>
      <w:r w:rsidRPr="004C6A11">
        <w:rPr>
          <w:lang w:val="sk-SK"/>
        </w:rPr>
        <w:t xml:space="preserve"> </w:t>
      </w:r>
      <w:r w:rsidRPr="008624F6">
        <w:rPr>
          <w:lang w:val="hy-AM"/>
        </w:rPr>
        <w:t>տնտեսության</w:t>
      </w:r>
      <w:r w:rsidRPr="004C6A11">
        <w:rPr>
          <w:lang w:val="sk-SK"/>
        </w:rPr>
        <w:t xml:space="preserve"> </w:t>
      </w:r>
      <w:r w:rsidRPr="008624F6">
        <w:rPr>
          <w:lang w:val="hy-AM"/>
        </w:rPr>
        <w:t>կառուցվածքային</w:t>
      </w:r>
      <w:r w:rsidRPr="004C6A11">
        <w:rPr>
          <w:lang w:val="sk-SK"/>
        </w:rPr>
        <w:t xml:space="preserve"> </w:t>
      </w:r>
      <w:r w:rsidRPr="008624F6">
        <w:rPr>
          <w:lang w:val="hy-AM"/>
        </w:rPr>
        <w:t>տեղաշարժը</w:t>
      </w:r>
      <w:r w:rsidRPr="004C6A11">
        <w:rPr>
          <w:lang w:val="sk-SK"/>
        </w:rPr>
        <w:t xml:space="preserve"> </w:t>
      </w:r>
      <w:r w:rsidRPr="008624F6">
        <w:rPr>
          <w:lang w:val="hy-AM"/>
        </w:rPr>
        <w:t>միայն</w:t>
      </w:r>
      <w:r w:rsidRPr="004C6A11">
        <w:rPr>
          <w:lang w:val="sk-SK"/>
        </w:rPr>
        <w:t xml:space="preserve"> </w:t>
      </w:r>
      <w:r w:rsidRPr="008624F6">
        <w:rPr>
          <w:lang w:val="hy-AM"/>
        </w:rPr>
        <w:t>կարող</w:t>
      </w:r>
      <w:r w:rsidRPr="004C6A11">
        <w:rPr>
          <w:lang w:val="sk-SK"/>
        </w:rPr>
        <w:t xml:space="preserve"> </w:t>
      </w:r>
      <w:r w:rsidRPr="008624F6">
        <w:rPr>
          <w:lang w:val="hy-AM"/>
        </w:rPr>
        <w:t>է</w:t>
      </w:r>
      <w:r w:rsidRPr="004C6A11">
        <w:rPr>
          <w:lang w:val="sk-SK"/>
        </w:rPr>
        <w:t xml:space="preserve"> </w:t>
      </w:r>
      <w:r w:rsidRPr="008624F6">
        <w:rPr>
          <w:lang w:val="hy-AM"/>
        </w:rPr>
        <w:t>ներառվել</w:t>
      </w:r>
      <w:r w:rsidRPr="004C6A11">
        <w:rPr>
          <w:lang w:val="sk-SK"/>
        </w:rPr>
        <w:t xml:space="preserve"> </w:t>
      </w:r>
      <w:r w:rsidRPr="008624F6">
        <w:rPr>
          <w:lang w:val="hy-AM"/>
        </w:rPr>
        <w:t>հաջորդ</w:t>
      </w:r>
      <w:r w:rsidRPr="004C6A11">
        <w:rPr>
          <w:lang w:val="sk-SK"/>
        </w:rPr>
        <w:t xml:space="preserve"> </w:t>
      </w:r>
      <w:r w:rsidRPr="008624F6">
        <w:rPr>
          <w:lang w:val="hy-AM"/>
        </w:rPr>
        <w:t>տարվա</w:t>
      </w:r>
      <w:r w:rsidRPr="004C6A11">
        <w:rPr>
          <w:lang w:val="sk-SK"/>
        </w:rPr>
        <w:t xml:space="preserve"> </w:t>
      </w:r>
      <w:r w:rsidRPr="008624F6">
        <w:rPr>
          <w:lang w:val="hy-AM"/>
        </w:rPr>
        <w:t>կանխատեսումների</w:t>
      </w:r>
      <w:r w:rsidRPr="004C6A11">
        <w:rPr>
          <w:lang w:val="sk-SK"/>
        </w:rPr>
        <w:t xml:space="preserve"> </w:t>
      </w:r>
      <w:r w:rsidRPr="008624F6">
        <w:rPr>
          <w:lang w:val="hy-AM"/>
        </w:rPr>
        <w:t>մոդելներում</w:t>
      </w:r>
      <w:r w:rsidRPr="004C6A11">
        <w:rPr>
          <w:lang w:val="sk-SK"/>
        </w:rPr>
        <w:t>:</w:t>
      </w:r>
      <w:r w:rsidRPr="00117D85">
        <w:rPr>
          <w:sz w:val="18"/>
          <w:lang w:val="sk-SK"/>
        </w:rPr>
        <w:t xml:space="preserve"> </w:t>
      </w:r>
    </w:p>
  </w:footnote>
  <w:footnote w:id="21">
    <w:p w:rsidR="0003683A" w:rsidRDefault="0003683A" w:rsidP="00FE673E">
      <w:pPr>
        <w:pStyle w:val="FootnoteText"/>
        <w:rPr>
          <w:lang w:val="ro-RO"/>
        </w:rPr>
      </w:pPr>
      <w:r>
        <w:rPr>
          <w:rStyle w:val="FootnoteReference"/>
          <w:rFonts w:eastAsiaTheme="majorEastAsia"/>
        </w:rPr>
        <w:footnoteRef/>
      </w:r>
      <w:r w:rsidRPr="007D33E8">
        <w:rPr>
          <w:lang w:val="sk-SK"/>
        </w:rPr>
        <w:t xml:space="preserve"> </w:t>
      </w:r>
      <w:r>
        <w:t>ՀՆԱ</w:t>
      </w:r>
      <w:r>
        <w:rPr>
          <w:lang w:val="ro-RO"/>
        </w:rPr>
        <w:t xml:space="preserve">, </w:t>
      </w:r>
      <w:r>
        <w:t>ներմուծման</w:t>
      </w:r>
      <w:r>
        <w:rPr>
          <w:lang w:val="ro-RO"/>
        </w:rPr>
        <w:t xml:space="preserve">, </w:t>
      </w:r>
      <w:r>
        <w:t>փոխարժեքի</w:t>
      </w:r>
      <w:r>
        <w:rPr>
          <w:lang w:val="sk-SK"/>
        </w:rPr>
        <w:t xml:space="preserve"> </w:t>
      </w:r>
      <w:r>
        <w:t>և</w:t>
      </w:r>
      <w:r>
        <w:rPr>
          <w:lang w:val="sk-SK"/>
        </w:rPr>
        <w:t xml:space="preserve"> </w:t>
      </w:r>
      <w:r>
        <w:t>գների</w:t>
      </w:r>
      <w:r>
        <w:rPr>
          <w:lang w:val="sk-SK"/>
        </w:rPr>
        <w:t xml:space="preserve"> </w:t>
      </w:r>
      <w:r>
        <w:t>գծով</w:t>
      </w:r>
      <w:r>
        <w:rPr>
          <w:lang w:val="sk-SK"/>
        </w:rPr>
        <w:t xml:space="preserve"> </w:t>
      </w:r>
      <w:r>
        <w:t>հավանական</w:t>
      </w:r>
      <w:r>
        <w:rPr>
          <w:lang w:val="sk-SK"/>
        </w:rPr>
        <w:t xml:space="preserve"> </w:t>
      </w:r>
      <w:r>
        <w:t>ռիսկերի</w:t>
      </w:r>
      <w:r>
        <w:rPr>
          <w:lang w:val="sk-SK"/>
        </w:rPr>
        <w:t xml:space="preserve"> </w:t>
      </w:r>
      <w:r>
        <w:t>քանակային</w:t>
      </w:r>
      <w:r>
        <w:rPr>
          <w:lang w:val="sk-SK"/>
        </w:rPr>
        <w:t xml:space="preserve"> </w:t>
      </w:r>
      <w:r>
        <w:t>գնահատականը</w:t>
      </w:r>
      <w:r>
        <w:rPr>
          <w:lang w:val="sk-SK"/>
        </w:rPr>
        <w:t xml:space="preserve"> </w:t>
      </w:r>
      <w:r>
        <w:t>ստացվել</w:t>
      </w:r>
      <w:r>
        <w:rPr>
          <w:lang w:val="sk-SK"/>
        </w:rPr>
        <w:t xml:space="preserve"> </w:t>
      </w:r>
      <w:r>
        <w:t>է</w:t>
      </w:r>
      <w:r>
        <w:rPr>
          <w:lang w:val="sk-SK"/>
        </w:rPr>
        <w:t xml:space="preserve">` </w:t>
      </w:r>
      <w:r>
        <w:t>հիմք</w:t>
      </w:r>
      <w:r>
        <w:rPr>
          <w:lang w:val="sk-SK"/>
        </w:rPr>
        <w:t xml:space="preserve"> ըն</w:t>
      </w:r>
      <w:r>
        <w:t>դունելով</w:t>
      </w:r>
      <w:r>
        <w:rPr>
          <w:lang w:val="sk-SK"/>
        </w:rPr>
        <w:t xml:space="preserve"> </w:t>
      </w:r>
      <w:r>
        <w:t>այս</w:t>
      </w:r>
      <w:r>
        <w:rPr>
          <w:lang w:val="sk-SK"/>
        </w:rPr>
        <w:t xml:space="preserve"> </w:t>
      </w:r>
      <w:r>
        <w:t>գործոնների</w:t>
      </w:r>
      <w:r>
        <w:rPr>
          <w:lang w:val="sk-SK"/>
        </w:rPr>
        <w:t xml:space="preserve"> </w:t>
      </w:r>
      <w:r>
        <w:t>պատմական</w:t>
      </w:r>
      <w:r>
        <w:rPr>
          <w:lang w:val="sk-SK"/>
        </w:rPr>
        <w:t xml:space="preserve"> </w:t>
      </w:r>
      <w:r>
        <w:t>շարժի</w:t>
      </w:r>
      <w:r>
        <w:rPr>
          <w:lang w:val="sk-SK"/>
        </w:rPr>
        <w:t xml:space="preserve"> </w:t>
      </w:r>
      <w:r>
        <w:t>բացարձակ</w:t>
      </w:r>
      <w:r>
        <w:rPr>
          <w:lang w:val="sk-SK"/>
        </w:rPr>
        <w:t xml:space="preserve"> </w:t>
      </w:r>
      <w:r>
        <w:t>միջին</w:t>
      </w:r>
      <w:r>
        <w:rPr>
          <w:lang w:val="sk-SK"/>
        </w:rPr>
        <w:t xml:space="preserve"> </w:t>
      </w:r>
      <w:r>
        <w:t>սխալը</w:t>
      </w:r>
      <w:r>
        <w:rPr>
          <w:lang w:val="ro-RO"/>
        </w:rPr>
        <w:t>:</w:t>
      </w:r>
    </w:p>
  </w:footnote>
  <w:footnote w:id="22">
    <w:p w:rsidR="0003683A" w:rsidRDefault="0003683A" w:rsidP="00FE673E">
      <w:pPr>
        <w:spacing w:line="240" w:lineRule="auto"/>
        <w:rPr>
          <w:rFonts w:cs="Sylfaen"/>
          <w:i/>
          <w:sz w:val="16"/>
          <w:szCs w:val="16"/>
          <w:lang w:val="ro-RO"/>
        </w:rPr>
      </w:pPr>
      <w:r>
        <w:rPr>
          <w:rStyle w:val="FootnoteReference"/>
          <w:sz w:val="16"/>
          <w:szCs w:val="16"/>
        </w:rPr>
        <w:footnoteRef/>
      </w:r>
      <w:r>
        <w:rPr>
          <w:rFonts w:cs="Sylfaen"/>
          <w:sz w:val="16"/>
          <w:szCs w:val="16"/>
        </w:rPr>
        <w:t>Հարկային</w:t>
      </w:r>
      <w:r>
        <w:rPr>
          <w:rFonts w:cs="Sylfaen"/>
          <w:sz w:val="16"/>
          <w:szCs w:val="16"/>
          <w:lang w:val="ro-RO"/>
        </w:rPr>
        <w:t xml:space="preserve"> </w:t>
      </w:r>
      <w:r>
        <w:rPr>
          <w:rFonts w:cs="Sylfaen"/>
          <w:sz w:val="16"/>
          <w:szCs w:val="16"/>
        </w:rPr>
        <w:t>եկամուտների</w:t>
      </w:r>
      <w:r>
        <w:rPr>
          <w:rFonts w:cs="Sylfaen"/>
          <w:sz w:val="16"/>
          <w:szCs w:val="16"/>
          <w:lang w:val="ro-RO"/>
        </w:rPr>
        <w:t xml:space="preserve"> </w:t>
      </w:r>
      <w:r>
        <w:rPr>
          <w:rFonts w:cs="Sylfaen"/>
          <w:sz w:val="16"/>
          <w:szCs w:val="16"/>
        </w:rPr>
        <w:t>գծով</w:t>
      </w:r>
      <w:r>
        <w:rPr>
          <w:rFonts w:cs="Sylfaen"/>
          <w:sz w:val="16"/>
          <w:szCs w:val="16"/>
          <w:lang w:val="ro-RO"/>
        </w:rPr>
        <w:t xml:space="preserve"> </w:t>
      </w:r>
      <w:r>
        <w:rPr>
          <w:rFonts w:cs="Sylfaen"/>
          <w:sz w:val="16"/>
          <w:szCs w:val="16"/>
        </w:rPr>
        <w:t>ռիսկերի</w:t>
      </w:r>
      <w:r>
        <w:rPr>
          <w:rFonts w:cs="Sylfaen"/>
          <w:sz w:val="16"/>
          <w:szCs w:val="16"/>
          <w:lang w:val="ro-RO"/>
        </w:rPr>
        <w:t xml:space="preserve"> ազդեցության </w:t>
      </w:r>
      <w:r>
        <w:rPr>
          <w:rFonts w:cs="Sylfaen"/>
          <w:sz w:val="16"/>
          <w:szCs w:val="16"/>
        </w:rPr>
        <w:t>գնահատականը</w:t>
      </w:r>
      <w:r>
        <w:rPr>
          <w:rFonts w:cs="Sylfaen"/>
          <w:sz w:val="16"/>
          <w:szCs w:val="16"/>
          <w:lang w:val="ro-RO"/>
        </w:rPr>
        <w:t xml:space="preserve"> </w:t>
      </w:r>
      <w:r>
        <w:rPr>
          <w:rFonts w:cs="Sylfaen"/>
          <w:sz w:val="16"/>
          <w:szCs w:val="16"/>
        </w:rPr>
        <w:t>կառուցվել</w:t>
      </w:r>
      <w:r>
        <w:rPr>
          <w:rFonts w:cs="Sylfaen"/>
          <w:sz w:val="16"/>
          <w:szCs w:val="16"/>
          <w:lang w:val="ro-RO"/>
        </w:rPr>
        <w:t xml:space="preserve"> </w:t>
      </w:r>
      <w:r>
        <w:rPr>
          <w:rFonts w:cs="Sylfaen"/>
          <w:sz w:val="16"/>
          <w:szCs w:val="16"/>
        </w:rPr>
        <w:t>է</w:t>
      </w:r>
      <w:r>
        <w:rPr>
          <w:rFonts w:cs="Sylfaen"/>
          <w:sz w:val="16"/>
          <w:szCs w:val="16"/>
          <w:lang w:val="ro-RO"/>
        </w:rPr>
        <w:t xml:space="preserve"> </w:t>
      </w:r>
      <w:r>
        <w:rPr>
          <w:rFonts w:cs="Sylfaen"/>
          <w:sz w:val="16"/>
          <w:szCs w:val="16"/>
        </w:rPr>
        <w:t>ՀՀ</w:t>
      </w:r>
      <w:r>
        <w:rPr>
          <w:rFonts w:cs="Sylfaen"/>
          <w:sz w:val="16"/>
          <w:szCs w:val="16"/>
          <w:lang w:val="ro-RO"/>
        </w:rPr>
        <w:t xml:space="preserve"> ֆ</w:t>
      </w:r>
      <w:r>
        <w:rPr>
          <w:rFonts w:cs="Sylfaen"/>
          <w:sz w:val="16"/>
          <w:szCs w:val="16"/>
        </w:rPr>
        <w:t>ինանսների</w:t>
      </w:r>
      <w:r>
        <w:rPr>
          <w:rFonts w:cs="Sylfaen"/>
          <w:sz w:val="16"/>
          <w:szCs w:val="16"/>
          <w:lang w:val="ro-RO"/>
        </w:rPr>
        <w:t xml:space="preserve"> </w:t>
      </w:r>
      <w:r>
        <w:rPr>
          <w:rFonts w:cs="Sylfaen"/>
          <w:sz w:val="16"/>
          <w:szCs w:val="16"/>
        </w:rPr>
        <w:t>նախարարության</w:t>
      </w:r>
      <w:r>
        <w:rPr>
          <w:rFonts w:cs="Sylfaen"/>
          <w:sz w:val="16"/>
          <w:szCs w:val="16"/>
          <w:lang w:val="ro-RO"/>
        </w:rPr>
        <w:t xml:space="preserve"> </w:t>
      </w:r>
      <w:r>
        <w:rPr>
          <w:rFonts w:cs="Sylfaen"/>
          <w:sz w:val="16"/>
          <w:szCs w:val="16"/>
        </w:rPr>
        <w:t>ռիսկերի</w:t>
      </w:r>
      <w:r>
        <w:rPr>
          <w:rFonts w:cs="Sylfaen"/>
          <w:sz w:val="16"/>
          <w:szCs w:val="16"/>
          <w:lang w:val="ro-RO"/>
        </w:rPr>
        <w:t xml:space="preserve"> </w:t>
      </w:r>
      <w:r>
        <w:rPr>
          <w:rFonts w:cs="Sylfaen"/>
          <w:sz w:val="16"/>
          <w:szCs w:val="16"/>
        </w:rPr>
        <w:t>գնահատման</w:t>
      </w:r>
      <w:r>
        <w:rPr>
          <w:rFonts w:cs="Sylfaen"/>
          <w:sz w:val="16"/>
          <w:szCs w:val="16"/>
          <w:lang w:val="ro-RO"/>
        </w:rPr>
        <w:t xml:space="preserve"> </w:t>
      </w:r>
      <w:r>
        <w:rPr>
          <w:rFonts w:cs="Sylfaen"/>
          <w:sz w:val="16"/>
          <w:szCs w:val="16"/>
        </w:rPr>
        <w:t>համակարգի</w:t>
      </w:r>
      <w:r>
        <w:rPr>
          <w:rFonts w:cs="Sylfaen"/>
          <w:sz w:val="16"/>
          <w:szCs w:val="16"/>
          <w:lang w:val="ro-RO"/>
        </w:rPr>
        <w:t xml:space="preserve"> </w:t>
      </w:r>
      <w:r>
        <w:rPr>
          <w:rFonts w:cs="Sylfaen"/>
          <w:sz w:val="16"/>
          <w:szCs w:val="16"/>
        </w:rPr>
        <w:t>ներքո</w:t>
      </w:r>
      <w:r>
        <w:rPr>
          <w:rFonts w:cs="Sylfaen"/>
          <w:sz w:val="16"/>
          <w:szCs w:val="16"/>
          <w:lang w:val="ro-RO"/>
        </w:rPr>
        <w:t xml:space="preserve"> </w:t>
      </w:r>
      <w:r>
        <w:rPr>
          <w:rFonts w:cs="Sylfaen"/>
          <w:sz w:val="16"/>
          <w:szCs w:val="16"/>
        </w:rPr>
        <w:t>կառուցված</w:t>
      </w:r>
      <w:r>
        <w:rPr>
          <w:rFonts w:cs="Sylfaen"/>
          <w:sz w:val="16"/>
          <w:szCs w:val="16"/>
          <w:lang w:val="ro-RO"/>
        </w:rPr>
        <w:t xml:space="preserve"> </w:t>
      </w:r>
      <w:r>
        <w:rPr>
          <w:rFonts w:cs="Sylfaen"/>
          <w:sz w:val="16"/>
          <w:szCs w:val="16"/>
        </w:rPr>
        <w:t>մոդելի</w:t>
      </w:r>
      <w:r>
        <w:rPr>
          <w:rFonts w:cs="Sylfaen"/>
          <w:sz w:val="16"/>
          <w:szCs w:val="16"/>
          <w:lang w:val="ro-RO"/>
        </w:rPr>
        <w:t xml:space="preserve"> </w:t>
      </w:r>
      <w:r>
        <w:rPr>
          <w:rFonts w:cs="Sylfaen"/>
          <w:sz w:val="16"/>
          <w:szCs w:val="16"/>
        </w:rPr>
        <w:t>հիման</w:t>
      </w:r>
      <w:r>
        <w:rPr>
          <w:rFonts w:cs="Sylfaen"/>
          <w:sz w:val="16"/>
          <w:szCs w:val="16"/>
          <w:lang w:val="ro-RO"/>
        </w:rPr>
        <w:t xml:space="preserve"> </w:t>
      </w:r>
      <w:r>
        <w:rPr>
          <w:rFonts w:cs="Sylfaen"/>
          <w:sz w:val="16"/>
          <w:szCs w:val="16"/>
        </w:rPr>
        <w:t>վրա</w:t>
      </w:r>
      <w:r>
        <w:rPr>
          <w:rFonts w:cs="Sylfaen"/>
          <w:sz w:val="16"/>
          <w:szCs w:val="16"/>
          <w:lang w:val="ro-RO"/>
        </w:rPr>
        <w:t>:</w:t>
      </w:r>
      <w:r>
        <w:rPr>
          <w:rFonts w:cs="Sylfaen"/>
          <w:i/>
          <w:sz w:val="16"/>
          <w:szCs w:val="16"/>
          <w:lang w:val="ro-RO"/>
        </w:rPr>
        <w:t xml:space="preserve"> </w:t>
      </w:r>
    </w:p>
  </w:footnote>
  <w:footnote w:id="23">
    <w:p w:rsidR="0003683A" w:rsidRPr="00CA4440" w:rsidRDefault="0003683A" w:rsidP="00FE673E">
      <w:pPr>
        <w:pStyle w:val="FootnoteText"/>
        <w:rPr>
          <w:sz w:val="14"/>
          <w:lang w:val="ro-RO"/>
        </w:rPr>
      </w:pPr>
      <w:r w:rsidRPr="00CA4440">
        <w:rPr>
          <w:rStyle w:val="FootnoteReference"/>
          <w:rFonts w:eastAsiaTheme="majorEastAsia"/>
          <w:sz w:val="18"/>
        </w:rPr>
        <w:footnoteRef/>
      </w:r>
      <w:r w:rsidRPr="00CA4440">
        <w:rPr>
          <w:sz w:val="18"/>
        </w:rPr>
        <w:t>Հավանականային</w:t>
      </w:r>
      <w:r w:rsidRPr="00CA4440">
        <w:rPr>
          <w:sz w:val="18"/>
          <w:lang w:val="ro-RO"/>
        </w:rPr>
        <w:t xml:space="preserve"> </w:t>
      </w:r>
      <w:r w:rsidRPr="00CA4440">
        <w:rPr>
          <w:sz w:val="18"/>
        </w:rPr>
        <w:t>կանխատեսման</w:t>
      </w:r>
      <w:r w:rsidRPr="00CA4440">
        <w:rPr>
          <w:sz w:val="18"/>
          <w:lang w:val="ro-RO"/>
        </w:rPr>
        <w:t xml:space="preserve"> </w:t>
      </w:r>
      <w:r w:rsidRPr="00CA4440">
        <w:rPr>
          <w:sz w:val="18"/>
        </w:rPr>
        <w:t>գրաֆիկի</w:t>
      </w:r>
      <w:r w:rsidRPr="00CA4440">
        <w:rPr>
          <w:sz w:val="18"/>
          <w:lang w:val="ro-RO"/>
        </w:rPr>
        <w:t xml:space="preserve"> </w:t>
      </w:r>
      <w:r w:rsidRPr="00CA4440">
        <w:rPr>
          <w:sz w:val="18"/>
        </w:rPr>
        <w:t>կառուցման</w:t>
      </w:r>
      <w:r w:rsidRPr="00CA4440">
        <w:rPr>
          <w:sz w:val="18"/>
          <w:lang w:val="ro-RO"/>
        </w:rPr>
        <w:t xml:space="preserve"> </w:t>
      </w:r>
      <w:r w:rsidRPr="00CA4440">
        <w:rPr>
          <w:sz w:val="18"/>
        </w:rPr>
        <w:t>ընդհանուր</w:t>
      </w:r>
      <w:r w:rsidRPr="00CA4440">
        <w:rPr>
          <w:sz w:val="18"/>
          <w:lang w:val="ro-RO"/>
        </w:rPr>
        <w:t xml:space="preserve"> </w:t>
      </w:r>
      <w:r w:rsidRPr="00CA4440">
        <w:rPr>
          <w:sz w:val="18"/>
        </w:rPr>
        <w:t>մեթոդաբանությունը</w:t>
      </w:r>
      <w:r w:rsidRPr="00CA4440">
        <w:rPr>
          <w:sz w:val="18"/>
          <w:lang w:val="ro-RO"/>
        </w:rPr>
        <w:t xml:space="preserve"> </w:t>
      </w:r>
      <w:r w:rsidRPr="00CA4440">
        <w:rPr>
          <w:sz w:val="18"/>
        </w:rPr>
        <w:t>ներկայացված</w:t>
      </w:r>
      <w:r w:rsidRPr="00CA4440">
        <w:rPr>
          <w:sz w:val="18"/>
          <w:lang w:val="ro-RO"/>
        </w:rPr>
        <w:t xml:space="preserve"> </w:t>
      </w:r>
      <w:r w:rsidRPr="00CA4440">
        <w:rPr>
          <w:sz w:val="18"/>
        </w:rPr>
        <w:t>է</w:t>
      </w:r>
      <w:r w:rsidRPr="00CA4440">
        <w:rPr>
          <w:sz w:val="18"/>
          <w:lang w:val="ro-RO"/>
        </w:rPr>
        <w:t xml:space="preserve"> </w:t>
      </w:r>
      <w:r w:rsidRPr="00CA4440">
        <w:rPr>
          <w:sz w:val="18"/>
        </w:rPr>
        <w:t>Ներդիր</w:t>
      </w:r>
      <w:r>
        <w:rPr>
          <w:sz w:val="18"/>
          <w:lang w:val="hy-AM"/>
        </w:rPr>
        <w:t>ում</w:t>
      </w:r>
      <w:r w:rsidRPr="00CA4440">
        <w:rPr>
          <w:sz w:val="18"/>
          <w:lang w:val="ro-RO"/>
        </w:rPr>
        <w:t>:</w:t>
      </w:r>
    </w:p>
  </w:footnote>
  <w:footnote w:id="24">
    <w:p w:rsidR="0003683A" w:rsidRPr="00010E8E" w:rsidRDefault="0003683A" w:rsidP="00FE673E">
      <w:pPr>
        <w:pStyle w:val="FootnoteText"/>
        <w:rPr>
          <w:lang w:val="ro-RO"/>
        </w:rPr>
      </w:pPr>
      <w:r w:rsidRPr="00010E8E">
        <w:rPr>
          <w:rStyle w:val="FootnoteReference"/>
        </w:rPr>
        <w:footnoteRef/>
      </w:r>
      <w:r>
        <w:rPr>
          <w:lang w:val="ro-RO"/>
        </w:rPr>
        <w:t xml:space="preserve"> </w:t>
      </w:r>
      <w:r w:rsidRPr="00010E8E">
        <w:rPr>
          <w:lang w:val="ro-RO"/>
        </w:rPr>
        <w:t>Ընդհանուր ազդեցության գնահատականը հիմնված է մակրոտնտեսական ռիսկերի առանձին հանդես գալու ենթադրության վրա:</w:t>
      </w:r>
    </w:p>
  </w:footnote>
  <w:footnote w:id="25">
    <w:p w:rsidR="0003683A" w:rsidRPr="00ED7BCD" w:rsidRDefault="0003683A" w:rsidP="004644E7">
      <w:pPr>
        <w:pStyle w:val="FootnoteText"/>
        <w:rPr>
          <w:lang w:val="hy-AM"/>
        </w:rPr>
      </w:pPr>
      <w:r>
        <w:rPr>
          <w:rStyle w:val="FootnoteReference"/>
        </w:rPr>
        <w:footnoteRef/>
      </w:r>
      <w:r w:rsidRPr="004644E7">
        <w:rPr>
          <w:lang w:val="ro-RO"/>
        </w:rPr>
        <w:t xml:space="preserve"> </w:t>
      </w:r>
      <w:hyperlink r:id="rId2" w:history="1">
        <w:r w:rsidRPr="004644E7">
          <w:rPr>
            <w:rStyle w:val="Hyperlink"/>
            <w:lang w:val="ro-RO"/>
          </w:rPr>
          <w:t>http://www.mnp.am/news/attention_danger_environmental_disasters</w:t>
        </w:r>
      </w:hyperlink>
      <w:r>
        <w:rPr>
          <w:lang w:val="hy-AM"/>
        </w:rPr>
        <w:t xml:space="preserve"> </w:t>
      </w:r>
    </w:p>
  </w:footnote>
  <w:footnote w:id="26">
    <w:p w:rsidR="0003683A" w:rsidRPr="00F30C47" w:rsidRDefault="0003683A" w:rsidP="004644E7">
      <w:pPr>
        <w:pStyle w:val="FootnoteText"/>
        <w:rPr>
          <w:lang w:val="hy-AM"/>
        </w:rPr>
      </w:pPr>
      <w:r>
        <w:rPr>
          <w:rStyle w:val="FootnoteReference"/>
        </w:rPr>
        <w:footnoteRef/>
      </w:r>
      <w:r w:rsidRPr="00F30C47">
        <w:rPr>
          <w:lang w:val="hy-AM"/>
        </w:rPr>
        <w:t xml:space="preserve"> </w:t>
      </w:r>
      <w:r>
        <w:rPr>
          <w:lang w:val="hy-AM"/>
        </w:rPr>
        <w:t xml:space="preserve">Տարբերությունները նախորդ հաշվետվությունների համեմատ պայմանավորված են հաշվառման մեթոդաբանության փոփոխությամբ։ </w:t>
      </w:r>
    </w:p>
  </w:footnote>
  <w:footnote w:id="27">
    <w:p w:rsidR="0003683A" w:rsidRPr="00F30C47" w:rsidRDefault="0003683A" w:rsidP="004644E7">
      <w:pPr>
        <w:pStyle w:val="FootnoteText"/>
        <w:rPr>
          <w:lang w:val="hy-AM"/>
        </w:rPr>
      </w:pPr>
      <w:r>
        <w:rPr>
          <w:rStyle w:val="FootnoteReference"/>
        </w:rPr>
        <w:footnoteRef/>
      </w:r>
      <w:r w:rsidRPr="00F30C47">
        <w:rPr>
          <w:lang w:val="hy-AM"/>
        </w:rPr>
        <w:t xml:space="preserve"> </w:t>
      </w:r>
      <w:r>
        <w:rPr>
          <w:lang w:val="hy-AM"/>
        </w:rPr>
        <w:t>Տարբերությունները նախորդ հաշվետվությունների համեմատ պայմանավորված են հաշվառման մեթոդաբանության փոփոխությամբ։</w:t>
      </w:r>
    </w:p>
  </w:footnote>
  <w:footnote w:id="28">
    <w:p w:rsidR="0003683A" w:rsidRPr="00391B4F" w:rsidRDefault="0003683A" w:rsidP="004644E7">
      <w:pPr>
        <w:pStyle w:val="FootnoteText"/>
        <w:rPr>
          <w:sz w:val="18"/>
          <w:szCs w:val="18"/>
          <w:lang w:val="hy-AM"/>
        </w:rPr>
      </w:pPr>
      <w:r>
        <w:rPr>
          <w:rStyle w:val="FootnoteReference"/>
        </w:rPr>
        <w:footnoteRef/>
      </w:r>
      <w:r w:rsidRPr="00F30C47">
        <w:rPr>
          <w:lang w:val="hy-AM"/>
        </w:rPr>
        <w:t xml:space="preserve"> </w:t>
      </w:r>
      <w:r w:rsidRPr="00BE7070">
        <w:rPr>
          <w:lang w:val="hy-AM"/>
        </w:rPr>
        <w:t xml:space="preserve"> </w:t>
      </w:r>
      <w:r w:rsidRPr="00391B4F">
        <w:rPr>
          <w:sz w:val="18"/>
          <w:szCs w:val="18"/>
          <w:lang w:val="hy-AM"/>
        </w:rPr>
        <w:t>գործարքի ֆինանսական պայմանների բավարարման տարի. ԷԳՊ պայմանագրերի փաստացի տևողությունը կազմում է մինչև 25 տարի՝ սկսած ստորագրման տարվանից:</w:t>
      </w:r>
    </w:p>
  </w:footnote>
  <w:footnote w:id="29">
    <w:p w:rsidR="0003683A" w:rsidRPr="003E5D4A" w:rsidRDefault="0003683A" w:rsidP="004644E7">
      <w:pPr>
        <w:spacing w:line="240" w:lineRule="auto"/>
        <w:rPr>
          <w:lang w:val="hy-AM"/>
        </w:rPr>
      </w:pPr>
      <w:r w:rsidRPr="00F30C47">
        <w:rPr>
          <w:vertAlign w:val="superscript"/>
          <w:lang w:val="hy-AM"/>
        </w:rPr>
        <w:t>5</w:t>
      </w:r>
      <w:r w:rsidRPr="003E5D4A">
        <w:rPr>
          <w:vertAlign w:val="superscript"/>
          <w:lang w:val="hy-AM"/>
        </w:rPr>
        <w:t xml:space="preserve"> </w:t>
      </w:r>
      <w:r w:rsidRPr="007E5FB7">
        <w:rPr>
          <w:b w:val="0"/>
          <w:iCs/>
          <w:sz w:val="18"/>
          <w:szCs w:val="18"/>
          <w:lang w:val="hy-AM" w:eastAsia="en-US"/>
        </w:rPr>
        <w:t xml:space="preserve">Կիրառվել է Ֆինանսների նախարարի 2022 թվականի սեպտեմբերի 15 388Լ հրամանով հաստատված </w:t>
      </w:r>
      <w:r>
        <w:rPr>
          <w:b w:val="0"/>
          <w:iCs/>
          <w:sz w:val="18"/>
          <w:szCs w:val="18"/>
          <w:lang w:val="hy-AM" w:eastAsia="en-US"/>
        </w:rPr>
        <w:t>ԱԶԲ-</w:t>
      </w:r>
      <w:r w:rsidRPr="007E5FB7">
        <w:rPr>
          <w:b w:val="0"/>
          <w:iCs/>
          <w:sz w:val="18"/>
          <w:szCs w:val="18"/>
          <w:lang w:val="hy-AM" w:eastAsia="en-US"/>
        </w:rPr>
        <w:t>ի աջակցությամբ մշակված մեթոդաբանությունը՝ ինչպես և սույն փաստաթղթում ներկայացվող այլ հաշվարկների դեպքում:</w:t>
      </w:r>
    </w:p>
  </w:footnote>
  <w:footnote w:id="30">
    <w:p w:rsidR="0003683A" w:rsidRPr="00B4768C" w:rsidRDefault="0003683A" w:rsidP="004644E7">
      <w:pPr>
        <w:pStyle w:val="FootnoteText"/>
        <w:rPr>
          <w:lang w:val="hy-AM"/>
        </w:rPr>
      </w:pPr>
      <w:r>
        <w:rPr>
          <w:rStyle w:val="FootnoteReference"/>
        </w:rPr>
        <w:footnoteRef/>
      </w:r>
      <w:r>
        <w:rPr>
          <w:lang w:val="hy-AM"/>
        </w:rPr>
        <w:t xml:space="preserve"> </w:t>
      </w:r>
      <w:hyperlink r:id="rId3" w:history="1">
        <w:r w:rsidRPr="00356A29">
          <w:rPr>
            <w:rStyle w:val="Hyperlink"/>
            <w:lang w:val="hy-AM"/>
          </w:rPr>
          <w:t>https://www.psrc.am/uploads/files/%D4%B7%D5%AC%D5%A5%D5%AF%D5%BF%D6%80%D5%A1%D5%AF%D5%A1%D5%B6%20%D4%B7%D5%B6%D5%A5%D6%80%D5%A3%D5%AB%D5%A1/%D5%80%D5%A1%D5%B7%D5%BE%D5%A5%D5%BF%D5%BE%D5%B8%D6%82%D5%A9%D5%B5%D5%B8%D6%82%D5%B6%D5%B6%D5%A5%D6%80/2022/2-er/Araqum%202022-2.pdf</w:t>
        </w:r>
      </w:hyperlink>
      <w:r w:rsidRPr="00B4768C">
        <w:rPr>
          <w:lang w:val="hy-AM"/>
        </w:rPr>
        <w:t xml:space="preserve"> </w:t>
      </w:r>
    </w:p>
  </w:footnote>
  <w:footnote w:id="31">
    <w:p w:rsidR="0003683A" w:rsidRPr="00F30C47" w:rsidRDefault="0003683A" w:rsidP="004644E7">
      <w:pPr>
        <w:spacing w:line="240" w:lineRule="auto"/>
        <w:ind w:firstLine="0"/>
        <w:rPr>
          <w:lang w:val="hy-AM"/>
        </w:rPr>
      </w:pPr>
      <w:r w:rsidRPr="004644E7">
        <w:rPr>
          <w:rStyle w:val="FootnoteReference"/>
          <w:b w:val="0"/>
          <w:iCs/>
          <w:lang w:val="en-GB" w:eastAsia="en-US"/>
        </w:rPr>
        <w:footnoteRef/>
      </w:r>
      <w:r w:rsidRPr="00D378F8">
        <w:rPr>
          <w:b w:val="0"/>
          <w:iCs/>
          <w:sz w:val="18"/>
          <w:szCs w:val="18"/>
          <w:lang w:val="hy-AM" w:eastAsia="en-US"/>
        </w:rPr>
        <w:t xml:space="preserve"> ՀՀ ԿԲ ֆինանսական կայունության 2021 հաշվետվություն</w:t>
      </w:r>
    </w:p>
  </w:footnote>
  <w:footnote w:id="32">
    <w:p w:rsidR="0003683A" w:rsidRPr="00F30C47" w:rsidRDefault="0003683A" w:rsidP="004644E7">
      <w:pPr>
        <w:pStyle w:val="FootnoteText"/>
        <w:rPr>
          <w:lang w:val="hy-AM"/>
        </w:rPr>
      </w:pPr>
      <w:r>
        <w:rPr>
          <w:rStyle w:val="FootnoteReference"/>
        </w:rPr>
        <w:footnoteRef/>
      </w:r>
      <w:r w:rsidRPr="00F30C47">
        <w:rPr>
          <w:lang w:val="hy-AM"/>
        </w:rPr>
        <w:t xml:space="preserve"> </w:t>
      </w:r>
      <w:hyperlink r:id="rId4" w:history="1">
        <w:r w:rsidRPr="00F30C47">
          <w:rPr>
            <w:rStyle w:val="Hyperlink"/>
            <w:lang w:val="hy-AM"/>
          </w:rPr>
          <w:t>https://www.cba.am/AM/pperiodicals/Monetary%20overview_II_2022.pdf</w:t>
        </w:r>
      </w:hyperlink>
    </w:p>
  </w:footnote>
  <w:footnote w:id="33">
    <w:p w:rsidR="0003683A" w:rsidRPr="00F30C47" w:rsidRDefault="0003683A" w:rsidP="004644E7">
      <w:pPr>
        <w:pStyle w:val="FootnoteText"/>
        <w:rPr>
          <w:lang w:val="hy-AM"/>
        </w:rPr>
      </w:pPr>
      <w:r>
        <w:rPr>
          <w:rStyle w:val="FootnoteReference"/>
        </w:rPr>
        <w:footnoteRef/>
      </w:r>
      <w:r w:rsidRPr="00F30C47">
        <w:rPr>
          <w:lang w:val="hy-AM"/>
        </w:rPr>
        <w:t xml:space="preserve"> </w:t>
      </w:r>
      <w:hyperlink r:id="rId5" w:history="1">
        <w:r w:rsidRPr="00F30C47">
          <w:rPr>
            <w:rStyle w:val="Hyperlink"/>
            <w:lang w:val="hy-AM"/>
          </w:rPr>
          <w:t>https://www.cba.am/am/SitePages/Default.aspx</w:t>
        </w:r>
      </w:hyperlink>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69AC5A72"/>
    <w:lvl w:ilvl="0">
      <w:start w:val="1"/>
      <w:numFmt w:val="decimal"/>
      <w:pStyle w:val="ListNumber"/>
      <w:lvlText w:val="%1."/>
      <w:lvlJc w:val="left"/>
      <w:pPr>
        <w:tabs>
          <w:tab w:val="num" w:pos="540"/>
        </w:tabs>
        <w:ind w:left="540" w:hanging="360"/>
      </w:pPr>
    </w:lvl>
  </w:abstractNum>
  <w:abstractNum w:abstractNumId="1" w15:restartNumberingAfterBreak="0">
    <w:nsid w:val="02B75C54"/>
    <w:multiLevelType w:val="hybridMultilevel"/>
    <w:tmpl w:val="2064E2B8"/>
    <w:lvl w:ilvl="0" w:tplc="04190001">
      <w:start w:val="1"/>
      <w:numFmt w:val="bullet"/>
      <w:lvlText w:val=""/>
      <w:lvlJc w:val="left"/>
      <w:pPr>
        <w:ind w:left="2232" w:hanging="360"/>
      </w:pPr>
      <w:rPr>
        <w:rFonts w:ascii="Symbol" w:hAnsi="Symbol" w:hint="default"/>
      </w:rPr>
    </w:lvl>
    <w:lvl w:ilvl="1" w:tplc="04190003" w:tentative="1">
      <w:start w:val="1"/>
      <w:numFmt w:val="bullet"/>
      <w:lvlText w:val="o"/>
      <w:lvlJc w:val="left"/>
      <w:pPr>
        <w:ind w:left="2952" w:hanging="360"/>
      </w:pPr>
      <w:rPr>
        <w:rFonts w:ascii="Courier New" w:hAnsi="Courier New" w:cs="Courier New" w:hint="default"/>
      </w:rPr>
    </w:lvl>
    <w:lvl w:ilvl="2" w:tplc="04190005" w:tentative="1">
      <w:start w:val="1"/>
      <w:numFmt w:val="bullet"/>
      <w:lvlText w:val=""/>
      <w:lvlJc w:val="left"/>
      <w:pPr>
        <w:ind w:left="3672" w:hanging="360"/>
      </w:pPr>
      <w:rPr>
        <w:rFonts w:ascii="Wingdings" w:hAnsi="Wingdings" w:hint="default"/>
      </w:rPr>
    </w:lvl>
    <w:lvl w:ilvl="3" w:tplc="04190001" w:tentative="1">
      <w:start w:val="1"/>
      <w:numFmt w:val="bullet"/>
      <w:lvlText w:val=""/>
      <w:lvlJc w:val="left"/>
      <w:pPr>
        <w:ind w:left="4392" w:hanging="360"/>
      </w:pPr>
      <w:rPr>
        <w:rFonts w:ascii="Symbol" w:hAnsi="Symbol" w:hint="default"/>
      </w:rPr>
    </w:lvl>
    <w:lvl w:ilvl="4" w:tplc="04190003" w:tentative="1">
      <w:start w:val="1"/>
      <w:numFmt w:val="bullet"/>
      <w:lvlText w:val="o"/>
      <w:lvlJc w:val="left"/>
      <w:pPr>
        <w:ind w:left="5112" w:hanging="360"/>
      </w:pPr>
      <w:rPr>
        <w:rFonts w:ascii="Courier New" w:hAnsi="Courier New" w:cs="Courier New" w:hint="default"/>
      </w:rPr>
    </w:lvl>
    <w:lvl w:ilvl="5" w:tplc="04190005" w:tentative="1">
      <w:start w:val="1"/>
      <w:numFmt w:val="bullet"/>
      <w:lvlText w:val=""/>
      <w:lvlJc w:val="left"/>
      <w:pPr>
        <w:ind w:left="5832" w:hanging="360"/>
      </w:pPr>
      <w:rPr>
        <w:rFonts w:ascii="Wingdings" w:hAnsi="Wingdings" w:hint="default"/>
      </w:rPr>
    </w:lvl>
    <w:lvl w:ilvl="6" w:tplc="04190001" w:tentative="1">
      <w:start w:val="1"/>
      <w:numFmt w:val="bullet"/>
      <w:lvlText w:val=""/>
      <w:lvlJc w:val="left"/>
      <w:pPr>
        <w:ind w:left="6552" w:hanging="360"/>
      </w:pPr>
      <w:rPr>
        <w:rFonts w:ascii="Symbol" w:hAnsi="Symbol" w:hint="default"/>
      </w:rPr>
    </w:lvl>
    <w:lvl w:ilvl="7" w:tplc="04190003" w:tentative="1">
      <w:start w:val="1"/>
      <w:numFmt w:val="bullet"/>
      <w:lvlText w:val="o"/>
      <w:lvlJc w:val="left"/>
      <w:pPr>
        <w:ind w:left="7272" w:hanging="360"/>
      </w:pPr>
      <w:rPr>
        <w:rFonts w:ascii="Courier New" w:hAnsi="Courier New" w:cs="Courier New" w:hint="default"/>
      </w:rPr>
    </w:lvl>
    <w:lvl w:ilvl="8" w:tplc="04190005" w:tentative="1">
      <w:start w:val="1"/>
      <w:numFmt w:val="bullet"/>
      <w:lvlText w:val=""/>
      <w:lvlJc w:val="left"/>
      <w:pPr>
        <w:ind w:left="7992" w:hanging="360"/>
      </w:pPr>
      <w:rPr>
        <w:rFonts w:ascii="Wingdings" w:hAnsi="Wingdings" w:hint="default"/>
      </w:rPr>
    </w:lvl>
  </w:abstractNum>
  <w:abstractNum w:abstractNumId="2" w15:restartNumberingAfterBreak="0">
    <w:nsid w:val="03F033D1"/>
    <w:multiLevelType w:val="hybridMultilevel"/>
    <w:tmpl w:val="28F0DDFE"/>
    <w:lvl w:ilvl="0" w:tplc="FFFFFFFF">
      <w:start w:val="1"/>
      <w:numFmt w:val="bullet"/>
      <w:pStyle w:val="num02"/>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722457"/>
    <w:multiLevelType w:val="hybridMultilevel"/>
    <w:tmpl w:val="A93E18E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06CD1E6F"/>
    <w:multiLevelType w:val="hybridMultilevel"/>
    <w:tmpl w:val="908CCCA0"/>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09A402E7"/>
    <w:multiLevelType w:val="hybridMultilevel"/>
    <w:tmpl w:val="FCC0E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FF13E3"/>
    <w:multiLevelType w:val="hybridMultilevel"/>
    <w:tmpl w:val="378AFE16"/>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start w:val="1"/>
      <w:numFmt w:val="bullet"/>
      <w:lvlText w:val=""/>
      <w:lvlJc w:val="left"/>
      <w:pPr>
        <w:ind w:left="2940" w:hanging="360"/>
      </w:pPr>
      <w:rPr>
        <w:rFonts w:ascii="Wingdings" w:hAnsi="Wingdings" w:hint="default"/>
      </w:rPr>
    </w:lvl>
    <w:lvl w:ilvl="3" w:tplc="04090001">
      <w:start w:val="1"/>
      <w:numFmt w:val="bullet"/>
      <w:lvlText w:val=""/>
      <w:lvlJc w:val="left"/>
      <w:pPr>
        <w:ind w:left="3660" w:hanging="360"/>
      </w:pPr>
      <w:rPr>
        <w:rFonts w:ascii="Symbol" w:hAnsi="Symbol" w:hint="default"/>
      </w:rPr>
    </w:lvl>
    <w:lvl w:ilvl="4" w:tplc="04090003">
      <w:start w:val="1"/>
      <w:numFmt w:val="bullet"/>
      <w:lvlText w:val="o"/>
      <w:lvlJc w:val="left"/>
      <w:pPr>
        <w:ind w:left="4380" w:hanging="360"/>
      </w:pPr>
      <w:rPr>
        <w:rFonts w:ascii="Courier New" w:hAnsi="Courier New" w:cs="Courier New" w:hint="default"/>
      </w:rPr>
    </w:lvl>
    <w:lvl w:ilvl="5" w:tplc="04090005">
      <w:start w:val="1"/>
      <w:numFmt w:val="bullet"/>
      <w:lvlText w:val=""/>
      <w:lvlJc w:val="left"/>
      <w:pPr>
        <w:ind w:left="5100" w:hanging="360"/>
      </w:pPr>
      <w:rPr>
        <w:rFonts w:ascii="Wingdings" w:hAnsi="Wingdings" w:hint="default"/>
      </w:rPr>
    </w:lvl>
    <w:lvl w:ilvl="6" w:tplc="04090001">
      <w:start w:val="1"/>
      <w:numFmt w:val="bullet"/>
      <w:lvlText w:val=""/>
      <w:lvlJc w:val="left"/>
      <w:pPr>
        <w:ind w:left="5820" w:hanging="360"/>
      </w:pPr>
      <w:rPr>
        <w:rFonts w:ascii="Symbol" w:hAnsi="Symbol" w:hint="default"/>
      </w:rPr>
    </w:lvl>
    <w:lvl w:ilvl="7" w:tplc="04090003">
      <w:start w:val="1"/>
      <w:numFmt w:val="bullet"/>
      <w:lvlText w:val="o"/>
      <w:lvlJc w:val="left"/>
      <w:pPr>
        <w:ind w:left="6540" w:hanging="360"/>
      </w:pPr>
      <w:rPr>
        <w:rFonts w:ascii="Courier New" w:hAnsi="Courier New" w:cs="Courier New" w:hint="default"/>
      </w:rPr>
    </w:lvl>
    <w:lvl w:ilvl="8" w:tplc="04090005">
      <w:start w:val="1"/>
      <w:numFmt w:val="bullet"/>
      <w:lvlText w:val=""/>
      <w:lvlJc w:val="left"/>
      <w:pPr>
        <w:ind w:left="7260" w:hanging="360"/>
      </w:pPr>
      <w:rPr>
        <w:rFonts w:ascii="Wingdings" w:hAnsi="Wingdings" w:hint="default"/>
      </w:rPr>
    </w:lvl>
  </w:abstractNum>
  <w:abstractNum w:abstractNumId="7" w15:restartNumberingAfterBreak="0">
    <w:nsid w:val="0EF45B06"/>
    <w:multiLevelType w:val="hybridMultilevel"/>
    <w:tmpl w:val="59766380"/>
    <w:lvl w:ilvl="0" w:tplc="37A874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9E7A5A"/>
    <w:multiLevelType w:val="singleLevel"/>
    <w:tmpl w:val="4EDA947C"/>
    <w:lvl w:ilvl="0">
      <w:start w:val="1"/>
      <w:numFmt w:val="decimal"/>
      <w:pStyle w:val="a"/>
      <w:lvlText w:val="%1."/>
      <w:lvlJc w:val="left"/>
      <w:pPr>
        <w:tabs>
          <w:tab w:val="num" w:pos="360"/>
        </w:tabs>
        <w:ind w:left="360" w:hanging="360"/>
      </w:pPr>
      <w:rPr>
        <w:rFonts w:hint="default"/>
      </w:rPr>
    </w:lvl>
  </w:abstractNum>
  <w:abstractNum w:abstractNumId="9" w15:restartNumberingAfterBreak="0">
    <w:nsid w:val="130D7EEA"/>
    <w:multiLevelType w:val="multilevel"/>
    <w:tmpl w:val="651C41B8"/>
    <w:lvl w:ilvl="0">
      <w:start w:val="1"/>
      <w:numFmt w:val="bullet"/>
      <w:lvlText w:val="-"/>
      <w:lvlJc w:val="left"/>
      <w:pPr>
        <w:ind w:left="810" w:hanging="360"/>
      </w:pPr>
      <w:rPr>
        <w:rFonts w:ascii="Calibri" w:eastAsia="Calibri" w:hAnsi="Calibri" w:cs="Times New Roman" w:hint="default"/>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0" w15:restartNumberingAfterBreak="0">
    <w:nsid w:val="13722558"/>
    <w:multiLevelType w:val="hybridMultilevel"/>
    <w:tmpl w:val="AF04D8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4105CA9"/>
    <w:multiLevelType w:val="hybridMultilevel"/>
    <w:tmpl w:val="14A42308"/>
    <w:lvl w:ilvl="0" w:tplc="3CF28AFA">
      <w:start w:val="1"/>
      <w:numFmt w:val="decimal"/>
      <w:pStyle w:val="ParagraphNumbering"/>
      <w:lvlText w:val="%1.     "/>
      <w:lvlJc w:val="left"/>
      <w:pPr>
        <w:tabs>
          <w:tab w:val="num" w:pos="72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41102F3"/>
    <w:multiLevelType w:val="hybridMultilevel"/>
    <w:tmpl w:val="488465AC"/>
    <w:lvl w:ilvl="0" w:tplc="BFE8DE78">
      <w:numFmt w:val="bullet"/>
      <w:lvlText w:val="-"/>
      <w:lvlJc w:val="left"/>
      <w:pPr>
        <w:ind w:left="720" w:hanging="360"/>
      </w:pPr>
      <w:rPr>
        <w:rFonts w:ascii="GHEA Grapalat" w:eastAsiaTheme="minorHAnsi" w:hAnsi="GHEA Grapala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B35888"/>
    <w:multiLevelType w:val="hybridMultilevel"/>
    <w:tmpl w:val="1ECE141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15187AA5"/>
    <w:multiLevelType w:val="hybridMultilevel"/>
    <w:tmpl w:val="7A7C69D6"/>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DA42A0"/>
    <w:multiLevelType w:val="multilevel"/>
    <w:tmpl w:val="7F544044"/>
    <w:lvl w:ilvl="0">
      <w:start w:val="1"/>
      <w:numFmt w:val="bullet"/>
      <w:lvlText w:val="-"/>
      <w:lvlJc w:val="left"/>
      <w:pPr>
        <w:tabs>
          <w:tab w:val="num" w:pos="0"/>
        </w:tabs>
        <w:ind w:left="1287" w:hanging="360"/>
      </w:pPr>
      <w:rPr>
        <w:rFonts w:ascii="Calibri" w:eastAsia="Calibri" w:hAnsi="Calibri" w:cs="Times New Roman" w:hint="default"/>
        <w:lang w:val="hy-AM"/>
      </w:r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6" w15:restartNumberingAfterBreak="0">
    <w:nsid w:val="1CC43F71"/>
    <w:multiLevelType w:val="multilevel"/>
    <w:tmpl w:val="4A620A90"/>
    <w:lvl w:ilvl="0">
      <w:start w:val="1"/>
      <w:numFmt w:val="bullet"/>
      <w:lvlText w:val="-"/>
      <w:lvlJc w:val="left"/>
      <w:pPr>
        <w:tabs>
          <w:tab w:val="num" w:pos="0"/>
        </w:tabs>
        <w:ind w:left="1287" w:hanging="360"/>
      </w:pPr>
      <w:rPr>
        <w:rFonts w:ascii="Calibri" w:eastAsia="Calibri" w:hAnsi="Calibri" w:cs="Times New Roman" w:hint="default"/>
      </w:r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7" w15:restartNumberingAfterBreak="0">
    <w:nsid w:val="211A2421"/>
    <w:multiLevelType w:val="hybridMultilevel"/>
    <w:tmpl w:val="3CBA11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2A707DA"/>
    <w:multiLevelType w:val="hybridMultilevel"/>
    <w:tmpl w:val="E7566F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F9677B"/>
    <w:multiLevelType w:val="hybridMultilevel"/>
    <w:tmpl w:val="5FC0DC7E"/>
    <w:lvl w:ilvl="0" w:tplc="B2E0EA00">
      <w:start w:val="1"/>
      <w:numFmt w:val="bullet"/>
      <w:lvlText w:val="-"/>
      <w:lvlJc w:val="left"/>
      <w:pPr>
        <w:ind w:left="720" w:hanging="360"/>
      </w:pPr>
      <w:rPr>
        <w:rFonts w:ascii="Calibri" w:eastAsia="Calibri" w:hAnsi="Calibri" w:cs="Times New Roman" w:hint="default"/>
        <w:lang w:val="hy-AM"/>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254D5A"/>
    <w:multiLevelType w:val="hybridMultilevel"/>
    <w:tmpl w:val="928A287C"/>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21" w15:restartNumberingAfterBreak="0">
    <w:nsid w:val="2917017C"/>
    <w:multiLevelType w:val="hybridMultilevel"/>
    <w:tmpl w:val="ACDCF2B4"/>
    <w:lvl w:ilvl="0" w:tplc="B2E0EA00">
      <w:start w:val="1"/>
      <w:numFmt w:val="bullet"/>
      <w:lvlText w:val="-"/>
      <w:lvlJc w:val="left"/>
      <w:pPr>
        <w:ind w:left="720" w:hanging="360"/>
      </w:pPr>
      <w:rPr>
        <w:rFonts w:ascii="Calibri" w:eastAsia="Calibri" w:hAnsi="Calibri" w:cs="Times New Roman" w:hint="default"/>
        <w:lang w:val="hy-AM"/>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54393C"/>
    <w:multiLevelType w:val="hybridMultilevel"/>
    <w:tmpl w:val="71B498EA"/>
    <w:lvl w:ilvl="0" w:tplc="C264FA00">
      <w:start w:val="25"/>
      <w:numFmt w:val="bullet"/>
      <w:lvlText w:val="-"/>
      <w:lvlJc w:val="left"/>
      <w:pPr>
        <w:ind w:left="720" w:hanging="360"/>
      </w:pPr>
      <w:rPr>
        <w:rFonts w:ascii="GHEA Grapalat" w:eastAsia="Calibri" w:hAnsi="GHEA Grapal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0D17E8"/>
    <w:multiLevelType w:val="hybridMultilevel"/>
    <w:tmpl w:val="E8280606"/>
    <w:name w:val="WW8Num43"/>
    <w:lvl w:ilvl="0" w:tplc="FFFFFFFF">
      <w:start w:val="110"/>
      <w:numFmt w:val="bullet"/>
      <w:lvlText w:val="-"/>
      <w:lvlJc w:val="left"/>
      <w:pPr>
        <w:tabs>
          <w:tab w:val="num" w:pos="1575"/>
        </w:tabs>
        <w:ind w:left="1575" w:hanging="975"/>
      </w:pPr>
      <w:rPr>
        <w:rFonts w:ascii="Times Armenian" w:eastAsia="Times New Roman" w:hAnsi="Times Armenian" w:cs="Times New Roman" w:hint="default"/>
      </w:rPr>
    </w:lvl>
    <w:lvl w:ilvl="1" w:tplc="FFFFFFFF" w:tentative="1">
      <w:start w:val="1"/>
      <w:numFmt w:val="bullet"/>
      <w:lvlText w:val="o"/>
      <w:lvlJc w:val="left"/>
      <w:pPr>
        <w:tabs>
          <w:tab w:val="num" w:pos="1680"/>
        </w:tabs>
        <w:ind w:left="1680" w:hanging="360"/>
      </w:pPr>
      <w:rPr>
        <w:rFonts w:ascii="Courier New" w:hAnsi="Courier New" w:cs="Courier New" w:hint="default"/>
      </w:rPr>
    </w:lvl>
    <w:lvl w:ilvl="2" w:tplc="FFFFFFFF" w:tentative="1">
      <w:start w:val="1"/>
      <w:numFmt w:val="bullet"/>
      <w:lvlText w:val=""/>
      <w:lvlJc w:val="left"/>
      <w:pPr>
        <w:tabs>
          <w:tab w:val="num" w:pos="2400"/>
        </w:tabs>
        <w:ind w:left="2400" w:hanging="360"/>
      </w:pPr>
      <w:rPr>
        <w:rFonts w:ascii="Wingdings" w:hAnsi="Wingdings" w:hint="default"/>
      </w:rPr>
    </w:lvl>
    <w:lvl w:ilvl="3" w:tplc="FFFFFFFF" w:tentative="1">
      <w:start w:val="1"/>
      <w:numFmt w:val="bullet"/>
      <w:lvlText w:val=""/>
      <w:lvlJc w:val="left"/>
      <w:pPr>
        <w:tabs>
          <w:tab w:val="num" w:pos="3120"/>
        </w:tabs>
        <w:ind w:left="3120" w:hanging="360"/>
      </w:pPr>
      <w:rPr>
        <w:rFonts w:ascii="Symbol" w:hAnsi="Symbol" w:hint="default"/>
      </w:rPr>
    </w:lvl>
    <w:lvl w:ilvl="4" w:tplc="FFFFFFFF" w:tentative="1">
      <w:start w:val="1"/>
      <w:numFmt w:val="bullet"/>
      <w:lvlText w:val="o"/>
      <w:lvlJc w:val="left"/>
      <w:pPr>
        <w:tabs>
          <w:tab w:val="num" w:pos="3840"/>
        </w:tabs>
        <w:ind w:left="3840" w:hanging="360"/>
      </w:pPr>
      <w:rPr>
        <w:rFonts w:ascii="Courier New" w:hAnsi="Courier New" w:cs="Courier New" w:hint="default"/>
      </w:rPr>
    </w:lvl>
    <w:lvl w:ilvl="5" w:tplc="FFFFFFFF" w:tentative="1">
      <w:start w:val="1"/>
      <w:numFmt w:val="bullet"/>
      <w:lvlText w:val=""/>
      <w:lvlJc w:val="left"/>
      <w:pPr>
        <w:tabs>
          <w:tab w:val="num" w:pos="4560"/>
        </w:tabs>
        <w:ind w:left="4560" w:hanging="360"/>
      </w:pPr>
      <w:rPr>
        <w:rFonts w:ascii="Wingdings" w:hAnsi="Wingdings" w:hint="default"/>
      </w:rPr>
    </w:lvl>
    <w:lvl w:ilvl="6" w:tplc="FFFFFFFF" w:tentative="1">
      <w:start w:val="1"/>
      <w:numFmt w:val="bullet"/>
      <w:lvlText w:val=""/>
      <w:lvlJc w:val="left"/>
      <w:pPr>
        <w:tabs>
          <w:tab w:val="num" w:pos="5280"/>
        </w:tabs>
        <w:ind w:left="5280" w:hanging="360"/>
      </w:pPr>
      <w:rPr>
        <w:rFonts w:ascii="Symbol" w:hAnsi="Symbol" w:hint="default"/>
      </w:rPr>
    </w:lvl>
    <w:lvl w:ilvl="7" w:tplc="FFFFFFFF" w:tentative="1">
      <w:start w:val="1"/>
      <w:numFmt w:val="bullet"/>
      <w:lvlText w:val="o"/>
      <w:lvlJc w:val="left"/>
      <w:pPr>
        <w:tabs>
          <w:tab w:val="num" w:pos="6000"/>
        </w:tabs>
        <w:ind w:left="6000" w:hanging="360"/>
      </w:pPr>
      <w:rPr>
        <w:rFonts w:ascii="Courier New" w:hAnsi="Courier New" w:cs="Courier New" w:hint="default"/>
      </w:rPr>
    </w:lvl>
    <w:lvl w:ilvl="8" w:tplc="FFFFFFFF" w:tentative="1">
      <w:start w:val="1"/>
      <w:numFmt w:val="bullet"/>
      <w:lvlText w:val=""/>
      <w:lvlJc w:val="left"/>
      <w:pPr>
        <w:tabs>
          <w:tab w:val="num" w:pos="6720"/>
        </w:tabs>
        <w:ind w:left="6720" w:hanging="360"/>
      </w:pPr>
      <w:rPr>
        <w:rFonts w:ascii="Wingdings" w:hAnsi="Wingdings" w:hint="default"/>
      </w:rPr>
    </w:lvl>
  </w:abstractNum>
  <w:abstractNum w:abstractNumId="24" w15:restartNumberingAfterBreak="0">
    <w:nsid w:val="30795E74"/>
    <w:multiLevelType w:val="hybridMultilevel"/>
    <w:tmpl w:val="BB52AED4"/>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F63321"/>
    <w:multiLevelType w:val="hybridMultilevel"/>
    <w:tmpl w:val="6EC02E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B70647"/>
    <w:multiLevelType w:val="hybridMultilevel"/>
    <w:tmpl w:val="F044F36C"/>
    <w:lvl w:ilvl="0" w:tplc="79D8E8D2">
      <w:start w:val="1"/>
      <w:numFmt w:val="decimal"/>
      <w:pStyle w:val="StyleGHEAGrapalatJustifiedBefore12pt"/>
      <w:lvlText w:val="%1."/>
      <w:lvlJc w:val="left"/>
      <w:pPr>
        <w:ind w:left="720" w:hanging="360"/>
      </w:pPr>
    </w:lvl>
    <w:lvl w:ilvl="1" w:tplc="04090019">
      <w:start w:val="1"/>
      <w:numFmt w:val="lowerLetter"/>
      <w:pStyle w:val="KLegalHeading2"/>
      <w:lvlText w:val="%2."/>
      <w:lvlJc w:val="left"/>
      <w:pPr>
        <w:ind w:left="1440" w:hanging="360"/>
      </w:pPr>
    </w:lvl>
    <w:lvl w:ilvl="2" w:tplc="0409001B">
      <w:start w:val="1"/>
      <w:numFmt w:val="lowerRoman"/>
      <w:pStyle w:val="KLegalHeading3"/>
      <w:lvlText w:val="%3."/>
      <w:lvlJc w:val="right"/>
      <w:pPr>
        <w:ind w:left="2160" w:hanging="180"/>
      </w:pPr>
    </w:lvl>
    <w:lvl w:ilvl="3" w:tplc="0409000F">
      <w:start w:val="1"/>
      <w:numFmt w:val="decimal"/>
      <w:pStyle w:val="KLegalHeading4"/>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3A07674E"/>
    <w:multiLevelType w:val="hybridMultilevel"/>
    <w:tmpl w:val="D2D61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8841CD"/>
    <w:multiLevelType w:val="hybridMultilevel"/>
    <w:tmpl w:val="27D202B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BF73C11"/>
    <w:multiLevelType w:val="hybridMultilevel"/>
    <w:tmpl w:val="3FF27296"/>
    <w:lvl w:ilvl="0" w:tplc="04090011">
      <w:start w:val="1"/>
      <w:numFmt w:val="decimal"/>
      <w:lvlText w:val="%1)"/>
      <w:lvlJc w:val="left"/>
      <w:pPr>
        <w:ind w:left="1260"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15:restartNumberingAfterBreak="0">
    <w:nsid w:val="3E272D1A"/>
    <w:multiLevelType w:val="hybridMultilevel"/>
    <w:tmpl w:val="EA94F14C"/>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4232AC"/>
    <w:multiLevelType w:val="hybridMultilevel"/>
    <w:tmpl w:val="5DEEE422"/>
    <w:lvl w:ilvl="0" w:tplc="8CF404C4">
      <w:start w:val="1"/>
      <w:numFmt w:val="bullet"/>
      <w:lvlText w:val=""/>
      <w:lvlJc w:val="center"/>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2" w15:restartNumberingAfterBreak="0">
    <w:nsid w:val="4151125A"/>
    <w:multiLevelType w:val="hybridMultilevel"/>
    <w:tmpl w:val="C1C2C75C"/>
    <w:lvl w:ilvl="0" w:tplc="DE0C3140">
      <w:start w:val="5"/>
      <w:numFmt w:val="bullet"/>
      <w:lvlText w:val="-"/>
      <w:lvlJc w:val="left"/>
      <w:pPr>
        <w:ind w:left="1080" w:hanging="360"/>
      </w:pPr>
      <w:rPr>
        <w:rFonts w:ascii="GHEA Grapalat" w:eastAsiaTheme="minorHAnsi" w:hAnsi="GHEA Grapalat"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2A329F3"/>
    <w:multiLevelType w:val="hybridMultilevel"/>
    <w:tmpl w:val="789210FC"/>
    <w:lvl w:ilvl="0" w:tplc="7BF03C28">
      <w:start w:val="1"/>
      <w:numFmt w:val="decimal"/>
      <w:pStyle w:val="StyleGHEAGrapalatJustifiedAfter6ptLinespacingMultip"/>
      <w:lvlText w:val="%1)"/>
      <w:lvlJc w:val="left"/>
      <w:pPr>
        <w:ind w:left="1008" w:hanging="360"/>
      </w:pPr>
    </w:lvl>
    <w:lvl w:ilvl="1" w:tplc="EFE234DE">
      <w:start w:val="7"/>
      <w:numFmt w:val="decimal"/>
      <w:lvlText w:val="%2."/>
      <w:lvlJc w:val="left"/>
      <w:pPr>
        <w:tabs>
          <w:tab w:val="num" w:pos="1728"/>
        </w:tabs>
        <w:ind w:left="1728" w:hanging="360"/>
      </w:pPr>
      <w:rPr>
        <w:rFonts w:hint="default"/>
      </w:r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4" w15:restartNumberingAfterBreak="0">
    <w:nsid w:val="43013C07"/>
    <w:multiLevelType w:val="hybridMultilevel"/>
    <w:tmpl w:val="523E7538"/>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15:restartNumberingAfterBreak="0">
    <w:nsid w:val="43C765F3"/>
    <w:multiLevelType w:val="hybridMultilevel"/>
    <w:tmpl w:val="6290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C96D0B"/>
    <w:multiLevelType w:val="hybridMultilevel"/>
    <w:tmpl w:val="563228B4"/>
    <w:lvl w:ilvl="0" w:tplc="37A874F4">
      <w:start w:val="1"/>
      <w:numFmt w:val="upperRoman"/>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15:restartNumberingAfterBreak="0">
    <w:nsid w:val="470A0543"/>
    <w:multiLevelType w:val="hybridMultilevel"/>
    <w:tmpl w:val="FCB07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D992FB0"/>
    <w:multiLevelType w:val="hybridMultilevel"/>
    <w:tmpl w:val="6D2A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EA83B6C"/>
    <w:multiLevelType w:val="hybridMultilevel"/>
    <w:tmpl w:val="7974E5D0"/>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0" w15:restartNumberingAfterBreak="0">
    <w:nsid w:val="4F3D0A70"/>
    <w:multiLevelType w:val="hybridMultilevel"/>
    <w:tmpl w:val="3984F492"/>
    <w:lvl w:ilvl="0" w:tplc="33047A92">
      <w:start w:val="1"/>
      <w:numFmt w:val="bullet"/>
      <w:pStyle w:val="Bullet1"/>
      <w:lvlText w:val=""/>
      <w:lvlJc w:val="left"/>
      <w:pPr>
        <w:ind w:left="1287" w:hanging="360"/>
      </w:pPr>
      <w:rPr>
        <w:rFonts w:ascii="Symbol" w:hAnsi="Symbol" w:hint="default"/>
      </w:rPr>
    </w:lvl>
    <w:lvl w:ilvl="1" w:tplc="F2682400">
      <w:numFmt w:val="bullet"/>
      <w:lvlText w:val="•"/>
      <w:lvlJc w:val="left"/>
      <w:pPr>
        <w:ind w:left="2007" w:hanging="360"/>
      </w:pPr>
      <w:rPr>
        <w:rFonts w:ascii="GHEA Grapalat" w:eastAsia="Times New Roman" w:hAnsi="GHEA Grapalat" w:cs="Aria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15:restartNumberingAfterBreak="0">
    <w:nsid w:val="51154DB5"/>
    <w:multiLevelType w:val="hybridMultilevel"/>
    <w:tmpl w:val="2FC854C2"/>
    <w:lvl w:ilvl="0" w:tplc="16E6CDD0">
      <w:start w:val="1"/>
      <w:numFmt w:val="decimal"/>
      <w:pStyle w:val="Charts"/>
      <w:lvlText w:val="Գծապատկեր %1."/>
      <w:lvlJc w:val="left"/>
      <w:pPr>
        <w:ind w:left="1170" w:hanging="360"/>
      </w:pPr>
      <w:rPr>
        <w:rFonts w:ascii="GHEA Grapalat" w:hAnsi="GHEA Grapalat" w:hint="default"/>
        <w:sz w:val="2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2" w15:restartNumberingAfterBreak="0">
    <w:nsid w:val="556D00BF"/>
    <w:multiLevelType w:val="hybridMultilevel"/>
    <w:tmpl w:val="A8F40792"/>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6247228"/>
    <w:multiLevelType w:val="hybridMultilevel"/>
    <w:tmpl w:val="69C88C5A"/>
    <w:lvl w:ilvl="0" w:tplc="04190001">
      <w:numFmt w:val="bullet"/>
      <w:pStyle w:val="BodyText1"/>
      <w:lvlText w:val="-"/>
      <w:lvlJc w:val="left"/>
      <w:pPr>
        <w:tabs>
          <w:tab w:val="num" w:pos="360"/>
        </w:tabs>
        <w:ind w:left="0" w:firstLine="0"/>
      </w:pPr>
      <w:rPr>
        <w:rFonts w:ascii="Times Armenian" w:eastAsia="Times New Roman" w:hAnsi="Times Armeni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82A0742"/>
    <w:multiLevelType w:val="hybridMultilevel"/>
    <w:tmpl w:val="5C244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8981591"/>
    <w:multiLevelType w:val="hybridMultilevel"/>
    <w:tmpl w:val="09A43E3A"/>
    <w:lvl w:ilvl="0" w:tplc="04190001">
      <w:start w:val="1"/>
      <w:numFmt w:val="bullet"/>
      <w:pStyle w:val="ListDash"/>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A761E34"/>
    <w:multiLevelType w:val="hybridMultilevel"/>
    <w:tmpl w:val="03C02330"/>
    <w:lvl w:ilvl="0" w:tplc="49D6164E">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 w15:restartNumberingAfterBreak="0">
    <w:nsid w:val="5B0F2997"/>
    <w:multiLevelType w:val="hybridMultilevel"/>
    <w:tmpl w:val="704E02BE"/>
    <w:lvl w:ilvl="0" w:tplc="8FC4D916">
      <w:start w:val="1"/>
      <w:numFmt w:val="bullet"/>
      <w:pStyle w:val="CM31"/>
      <w:lvlText w:val=""/>
      <w:lvlJc w:val="left"/>
      <w:pPr>
        <w:tabs>
          <w:tab w:val="num" w:pos="1429"/>
        </w:tabs>
        <w:ind w:left="1429" w:hanging="360"/>
      </w:pPr>
      <w:rPr>
        <w:rFonts w:ascii="Symbol" w:hAnsi="Symbol" w:hint="default"/>
      </w:rPr>
    </w:lvl>
    <w:lvl w:ilvl="1" w:tplc="04090019" w:tentative="1">
      <w:start w:val="1"/>
      <w:numFmt w:val="bullet"/>
      <w:lvlText w:val="o"/>
      <w:lvlJc w:val="left"/>
      <w:pPr>
        <w:tabs>
          <w:tab w:val="num" w:pos="2149"/>
        </w:tabs>
        <w:ind w:left="2149" w:hanging="360"/>
      </w:pPr>
      <w:rPr>
        <w:rFonts w:ascii="Courier New" w:hAnsi="Courier New" w:cs="Courier New" w:hint="default"/>
      </w:rPr>
    </w:lvl>
    <w:lvl w:ilvl="2" w:tplc="0409001B" w:tentative="1">
      <w:start w:val="1"/>
      <w:numFmt w:val="bullet"/>
      <w:lvlText w:val=""/>
      <w:lvlJc w:val="left"/>
      <w:pPr>
        <w:tabs>
          <w:tab w:val="num" w:pos="2869"/>
        </w:tabs>
        <w:ind w:left="2869" w:hanging="360"/>
      </w:pPr>
      <w:rPr>
        <w:rFonts w:ascii="Wingdings" w:hAnsi="Wingdings" w:hint="default"/>
      </w:rPr>
    </w:lvl>
    <w:lvl w:ilvl="3" w:tplc="0409000F" w:tentative="1">
      <w:start w:val="1"/>
      <w:numFmt w:val="bullet"/>
      <w:lvlText w:val=""/>
      <w:lvlJc w:val="left"/>
      <w:pPr>
        <w:tabs>
          <w:tab w:val="num" w:pos="3589"/>
        </w:tabs>
        <w:ind w:left="3589" w:hanging="360"/>
      </w:pPr>
      <w:rPr>
        <w:rFonts w:ascii="Symbol" w:hAnsi="Symbol" w:hint="default"/>
      </w:rPr>
    </w:lvl>
    <w:lvl w:ilvl="4" w:tplc="04090019" w:tentative="1">
      <w:start w:val="1"/>
      <w:numFmt w:val="bullet"/>
      <w:lvlText w:val="o"/>
      <w:lvlJc w:val="left"/>
      <w:pPr>
        <w:tabs>
          <w:tab w:val="num" w:pos="4309"/>
        </w:tabs>
        <w:ind w:left="4309" w:hanging="360"/>
      </w:pPr>
      <w:rPr>
        <w:rFonts w:ascii="Courier New" w:hAnsi="Courier New" w:cs="Courier New" w:hint="default"/>
      </w:rPr>
    </w:lvl>
    <w:lvl w:ilvl="5" w:tplc="0409001B" w:tentative="1">
      <w:start w:val="1"/>
      <w:numFmt w:val="bullet"/>
      <w:lvlText w:val=""/>
      <w:lvlJc w:val="left"/>
      <w:pPr>
        <w:tabs>
          <w:tab w:val="num" w:pos="5029"/>
        </w:tabs>
        <w:ind w:left="5029" w:hanging="360"/>
      </w:pPr>
      <w:rPr>
        <w:rFonts w:ascii="Wingdings" w:hAnsi="Wingdings" w:hint="default"/>
      </w:rPr>
    </w:lvl>
    <w:lvl w:ilvl="6" w:tplc="0409000F" w:tentative="1">
      <w:start w:val="1"/>
      <w:numFmt w:val="bullet"/>
      <w:lvlText w:val=""/>
      <w:lvlJc w:val="left"/>
      <w:pPr>
        <w:tabs>
          <w:tab w:val="num" w:pos="5749"/>
        </w:tabs>
        <w:ind w:left="5749" w:hanging="360"/>
      </w:pPr>
      <w:rPr>
        <w:rFonts w:ascii="Symbol" w:hAnsi="Symbol" w:hint="default"/>
      </w:rPr>
    </w:lvl>
    <w:lvl w:ilvl="7" w:tplc="04090019" w:tentative="1">
      <w:start w:val="1"/>
      <w:numFmt w:val="bullet"/>
      <w:lvlText w:val="o"/>
      <w:lvlJc w:val="left"/>
      <w:pPr>
        <w:tabs>
          <w:tab w:val="num" w:pos="6469"/>
        </w:tabs>
        <w:ind w:left="6469" w:hanging="360"/>
      </w:pPr>
      <w:rPr>
        <w:rFonts w:ascii="Courier New" w:hAnsi="Courier New" w:cs="Courier New" w:hint="default"/>
      </w:rPr>
    </w:lvl>
    <w:lvl w:ilvl="8" w:tplc="0409001B" w:tentative="1">
      <w:start w:val="1"/>
      <w:numFmt w:val="bullet"/>
      <w:lvlText w:val=""/>
      <w:lvlJc w:val="left"/>
      <w:pPr>
        <w:tabs>
          <w:tab w:val="num" w:pos="7189"/>
        </w:tabs>
        <w:ind w:left="7189" w:hanging="360"/>
      </w:pPr>
      <w:rPr>
        <w:rFonts w:ascii="Wingdings" w:hAnsi="Wingdings" w:hint="default"/>
      </w:rPr>
    </w:lvl>
  </w:abstractNum>
  <w:abstractNum w:abstractNumId="48" w15:restartNumberingAfterBreak="0">
    <w:nsid w:val="5B4A6EA8"/>
    <w:multiLevelType w:val="multilevel"/>
    <w:tmpl w:val="4BB02B4E"/>
    <w:lvl w:ilvl="0">
      <w:start w:val="1"/>
      <w:numFmt w:val="decimal"/>
      <w:pStyle w:val="Numberedtext"/>
      <w:lvlText w:val="%1."/>
      <w:lvlJc w:val="left"/>
      <w:pPr>
        <w:tabs>
          <w:tab w:val="num" w:pos="1004"/>
        </w:tabs>
        <w:ind w:left="1004" w:hanging="284"/>
      </w:pPr>
      <w:rPr>
        <w:rFonts w:cs="Times New Roman" w:hint="default"/>
      </w:rPr>
    </w:lvl>
    <w:lvl w:ilvl="1">
      <w:start w:val="1"/>
      <w:numFmt w:val="lowerLetter"/>
      <w:lvlText w:val="%2."/>
      <w:lvlJc w:val="left"/>
      <w:pPr>
        <w:tabs>
          <w:tab w:val="num" w:pos="1287"/>
        </w:tabs>
        <w:ind w:left="1287" w:hanging="283"/>
      </w:pPr>
      <w:rPr>
        <w:rFonts w:cs="Times New Roman" w:hint="default"/>
      </w:rPr>
    </w:lvl>
    <w:lvl w:ilvl="2">
      <w:start w:val="1"/>
      <w:numFmt w:val="lowerRoman"/>
      <w:lvlText w:val="%3."/>
      <w:lvlJc w:val="left"/>
      <w:pPr>
        <w:tabs>
          <w:tab w:val="num" w:pos="1571"/>
        </w:tabs>
        <w:ind w:left="1571" w:hanging="284"/>
      </w:pPr>
      <w:rPr>
        <w:rFonts w:cs="Times New Roman" w:hint="default"/>
      </w:rPr>
    </w:lvl>
    <w:lvl w:ilvl="3">
      <w:start w:val="1"/>
      <w:numFmt w:val="none"/>
      <w:lvlText w:val=""/>
      <w:lvlJc w:val="left"/>
      <w:pPr>
        <w:tabs>
          <w:tab w:val="num" w:pos="1571"/>
        </w:tabs>
        <w:ind w:left="1571"/>
      </w:pPr>
      <w:rPr>
        <w:rFonts w:cs="Times New Roman" w:hint="default"/>
      </w:rPr>
    </w:lvl>
    <w:lvl w:ilvl="4">
      <w:start w:val="1"/>
      <w:numFmt w:val="none"/>
      <w:lvlText w:val=""/>
      <w:lvlJc w:val="left"/>
      <w:pPr>
        <w:tabs>
          <w:tab w:val="num" w:pos="1571"/>
        </w:tabs>
        <w:ind w:left="1571"/>
      </w:pPr>
      <w:rPr>
        <w:rFonts w:cs="Times New Roman" w:hint="default"/>
      </w:rPr>
    </w:lvl>
    <w:lvl w:ilvl="5">
      <w:start w:val="1"/>
      <w:numFmt w:val="none"/>
      <w:lvlText w:val=""/>
      <w:lvlJc w:val="left"/>
      <w:pPr>
        <w:tabs>
          <w:tab w:val="num" w:pos="1571"/>
        </w:tabs>
        <w:ind w:left="1571"/>
      </w:pPr>
      <w:rPr>
        <w:rFonts w:cs="Times New Roman" w:hint="default"/>
      </w:rPr>
    </w:lvl>
    <w:lvl w:ilvl="6">
      <w:start w:val="1"/>
      <w:numFmt w:val="none"/>
      <w:lvlText w:val=""/>
      <w:lvlJc w:val="left"/>
      <w:pPr>
        <w:tabs>
          <w:tab w:val="num" w:pos="1571"/>
        </w:tabs>
        <w:ind w:left="1571"/>
      </w:pPr>
      <w:rPr>
        <w:rFonts w:cs="Times New Roman" w:hint="default"/>
      </w:rPr>
    </w:lvl>
    <w:lvl w:ilvl="7">
      <w:start w:val="1"/>
      <w:numFmt w:val="none"/>
      <w:lvlText w:val=""/>
      <w:lvlJc w:val="left"/>
      <w:pPr>
        <w:tabs>
          <w:tab w:val="num" w:pos="1571"/>
        </w:tabs>
        <w:ind w:left="1571"/>
      </w:pPr>
      <w:rPr>
        <w:rFonts w:cs="Times New Roman" w:hint="default"/>
      </w:rPr>
    </w:lvl>
    <w:lvl w:ilvl="8">
      <w:start w:val="1"/>
      <w:numFmt w:val="none"/>
      <w:lvlRestart w:val="0"/>
      <w:lvlText w:val=""/>
      <w:lvlJc w:val="left"/>
      <w:pPr>
        <w:tabs>
          <w:tab w:val="num" w:pos="1571"/>
        </w:tabs>
        <w:ind w:left="1571"/>
      </w:pPr>
      <w:rPr>
        <w:rFonts w:cs="Times New Roman" w:hint="default"/>
      </w:rPr>
    </w:lvl>
  </w:abstractNum>
  <w:abstractNum w:abstractNumId="49" w15:restartNumberingAfterBreak="0">
    <w:nsid w:val="5E92419D"/>
    <w:multiLevelType w:val="hybridMultilevel"/>
    <w:tmpl w:val="D0D89568"/>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EE8441F"/>
    <w:multiLevelType w:val="hybridMultilevel"/>
    <w:tmpl w:val="3C7EFC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60171044"/>
    <w:multiLevelType w:val="hybridMultilevel"/>
    <w:tmpl w:val="7A905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49E436A"/>
    <w:multiLevelType w:val="hybridMultilevel"/>
    <w:tmpl w:val="51B28F1A"/>
    <w:lvl w:ilvl="0" w:tplc="78B647A6">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53" w15:restartNumberingAfterBreak="0">
    <w:nsid w:val="658D1367"/>
    <w:multiLevelType w:val="hybridMultilevel"/>
    <w:tmpl w:val="87FEA1AA"/>
    <w:lvl w:ilvl="0" w:tplc="A588E60C">
      <w:start w:val="1"/>
      <w:numFmt w:val="decimal"/>
      <w:pStyle w:val="Tables"/>
      <w:lvlText w:val="Աղյուսակ %1."/>
      <w:lvlJc w:val="left"/>
      <w:pPr>
        <w:ind w:left="1710" w:hanging="360"/>
      </w:pPr>
      <w:rPr>
        <w:rFonts w:ascii="GHEA Grapalat" w:hAnsi="GHEA Grapalat" w:hint="default"/>
        <w:b/>
        <w:i w:val="0"/>
        <w:sz w:val="22"/>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4" w15:restartNumberingAfterBreak="0">
    <w:nsid w:val="674B72D2"/>
    <w:multiLevelType w:val="hybridMultilevel"/>
    <w:tmpl w:val="8688893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5" w15:restartNumberingAfterBreak="0">
    <w:nsid w:val="68DF11F3"/>
    <w:multiLevelType w:val="hybridMultilevel"/>
    <w:tmpl w:val="9FE49D5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6" w15:restartNumberingAfterBreak="0">
    <w:nsid w:val="69215923"/>
    <w:multiLevelType w:val="hybridMultilevel"/>
    <w:tmpl w:val="9E92D408"/>
    <w:lvl w:ilvl="0" w:tplc="FFFFFFFF">
      <w:start w:val="110"/>
      <w:numFmt w:val="bullet"/>
      <w:pStyle w:val="PlainText"/>
      <w:lvlText w:val="-"/>
      <w:lvlJc w:val="left"/>
      <w:pPr>
        <w:tabs>
          <w:tab w:val="num" w:pos="540"/>
        </w:tabs>
        <w:ind w:left="540" w:hanging="360"/>
      </w:pPr>
      <w:rPr>
        <w:rFonts w:ascii="Times Armenian" w:eastAsia="Times New Roman" w:hAnsi="Times Armeni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ABB4524"/>
    <w:multiLevelType w:val="hybridMultilevel"/>
    <w:tmpl w:val="831688D4"/>
    <w:lvl w:ilvl="0" w:tplc="0419000F">
      <w:start w:val="1"/>
      <w:numFmt w:val="bullet"/>
      <w:pStyle w:val="StyleHeading2ParanumTextLef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B1717E4"/>
    <w:multiLevelType w:val="hybridMultilevel"/>
    <w:tmpl w:val="F0045890"/>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9" w15:restartNumberingAfterBreak="0">
    <w:nsid w:val="6C780521"/>
    <w:multiLevelType w:val="hybridMultilevel"/>
    <w:tmpl w:val="E312C6FC"/>
    <w:lvl w:ilvl="0" w:tplc="C56688CE">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6DF945E1"/>
    <w:multiLevelType w:val="hybridMultilevel"/>
    <w:tmpl w:val="3FEA7236"/>
    <w:lvl w:ilvl="0" w:tplc="5ED8FEF2">
      <w:start w:val="1"/>
      <w:numFmt w:val="bullet"/>
      <w:pStyle w:val="ListBullet2"/>
      <w:lvlText w:val="-"/>
      <w:lvlJc w:val="left"/>
      <w:pPr>
        <w:ind w:left="720" w:hanging="360"/>
      </w:pPr>
      <w:rPr>
        <w:rFonts w:ascii="Times Armenian" w:eastAsia="Times New Roman" w:hAnsi="Times Armeni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F1B2E94"/>
    <w:multiLevelType w:val="hybridMultilevel"/>
    <w:tmpl w:val="5BFAFBCC"/>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2" w15:restartNumberingAfterBreak="0">
    <w:nsid w:val="72E75BA7"/>
    <w:multiLevelType w:val="hybridMultilevel"/>
    <w:tmpl w:val="BA2EFF28"/>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31955B7"/>
    <w:multiLevelType w:val="multilevel"/>
    <w:tmpl w:val="1A580576"/>
    <w:lvl w:ilvl="0">
      <w:start w:val="1"/>
      <w:numFmt w:val="bullet"/>
      <w:lvlText w:val="-"/>
      <w:lvlJc w:val="left"/>
      <w:pPr>
        <w:ind w:left="810" w:hanging="360"/>
      </w:pPr>
      <w:rPr>
        <w:rFonts w:ascii="Calibri" w:eastAsia="Calibri" w:hAnsi="Calibri" w:cs="Times New Roman" w:hint="default"/>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64" w15:restartNumberingAfterBreak="0">
    <w:nsid w:val="75A752B0"/>
    <w:multiLevelType w:val="hybridMultilevel"/>
    <w:tmpl w:val="E92010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7A042C27"/>
    <w:multiLevelType w:val="hybridMultilevel"/>
    <w:tmpl w:val="1F30DB82"/>
    <w:lvl w:ilvl="0" w:tplc="0A5229AC">
      <w:start w:val="1"/>
      <w:numFmt w:val="decimal"/>
      <w:pStyle w:val="Tex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0"/>
  </w:num>
  <w:num w:numId="3">
    <w:abstractNumId w:val="65"/>
  </w:num>
  <w:num w:numId="4">
    <w:abstractNumId w:val="57"/>
  </w:num>
  <w:num w:numId="5">
    <w:abstractNumId w:val="47"/>
  </w:num>
  <w:num w:numId="6">
    <w:abstractNumId w:val="45"/>
  </w:num>
  <w:num w:numId="7">
    <w:abstractNumId w:val="43"/>
  </w:num>
  <w:num w:numId="8">
    <w:abstractNumId w:val="2"/>
  </w:num>
  <w:num w:numId="9">
    <w:abstractNumId w:val="0"/>
  </w:num>
  <w:num w:numId="10">
    <w:abstractNumId w:val="48"/>
  </w:num>
  <w:num w:numId="11">
    <w:abstractNumId w:val="33"/>
  </w:num>
  <w:num w:numId="12">
    <w:abstractNumId w:val="56"/>
  </w:num>
  <w:num w:numId="13">
    <w:abstractNumId w:val="40"/>
  </w:num>
  <w:num w:numId="14">
    <w:abstractNumId w:val="35"/>
  </w:num>
  <w:num w:numId="15">
    <w:abstractNumId w:val="11"/>
  </w:num>
  <w:num w:numId="16">
    <w:abstractNumId w:val="53"/>
  </w:num>
  <w:num w:numId="17">
    <w:abstractNumId w:val="41"/>
  </w:num>
  <w:num w:numId="18">
    <w:abstractNumId w:val="24"/>
  </w:num>
  <w:num w:numId="19">
    <w:abstractNumId w:val="30"/>
  </w:num>
  <w:num w:numId="20">
    <w:abstractNumId w:val="21"/>
  </w:num>
  <w:num w:numId="21">
    <w:abstractNumId w:val="19"/>
  </w:num>
  <w:num w:numId="22">
    <w:abstractNumId w:val="49"/>
  </w:num>
  <w:num w:numId="23">
    <w:abstractNumId w:val="62"/>
  </w:num>
  <w:num w:numId="24">
    <w:abstractNumId w:val="38"/>
  </w:num>
  <w:num w:numId="25">
    <w:abstractNumId w:val="8"/>
  </w:num>
  <w:num w:numId="26">
    <w:abstractNumId w:val="5"/>
  </w:num>
  <w:num w:numId="27">
    <w:abstractNumId w:val="44"/>
  </w:num>
  <w:num w:numId="28">
    <w:abstractNumId w:val="14"/>
  </w:num>
  <w:num w:numId="29">
    <w:abstractNumId w:val="25"/>
  </w:num>
  <w:num w:numId="30">
    <w:abstractNumId w:val="31"/>
  </w:num>
  <w:num w:numId="31">
    <w:abstractNumId w:val="37"/>
  </w:num>
  <w:num w:numId="32">
    <w:abstractNumId w:val="55"/>
  </w:num>
  <w:num w:numId="33">
    <w:abstractNumId w:val="4"/>
  </w:num>
  <w:num w:numId="34">
    <w:abstractNumId w:val="18"/>
  </w:num>
  <w:num w:numId="35">
    <w:abstractNumId w:val="28"/>
  </w:num>
  <w:num w:numId="36">
    <w:abstractNumId w:val="20"/>
  </w:num>
  <w:num w:numId="37">
    <w:abstractNumId w:val="64"/>
  </w:num>
  <w:num w:numId="38">
    <w:abstractNumId w:val="52"/>
  </w:num>
  <w:num w:numId="39">
    <w:abstractNumId w:val="50"/>
  </w:num>
  <w:num w:numId="40">
    <w:abstractNumId w:val="39"/>
  </w:num>
  <w:num w:numId="41">
    <w:abstractNumId w:val="36"/>
  </w:num>
  <w:num w:numId="42">
    <w:abstractNumId w:val="29"/>
  </w:num>
  <w:num w:numId="43">
    <w:abstractNumId w:val="13"/>
  </w:num>
  <w:num w:numId="44">
    <w:abstractNumId w:val="58"/>
  </w:num>
  <w:num w:numId="45">
    <w:abstractNumId w:val="61"/>
  </w:num>
  <w:num w:numId="46">
    <w:abstractNumId w:val="22"/>
  </w:num>
  <w:num w:numId="47">
    <w:abstractNumId w:val="1"/>
  </w:num>
  <w:num w:numId="48">
    <w:abstractNumId w:val="16"/>
  </w:num>
  <w:num w:numId="49">
    <w:abstractNumId w:val="59"/>
  </w:num>
  <w:num w:numId="50">
    <w:abstractNumId w:val="9"/>
  </w:num>
  <w:num w:numId="51">
    <w:abstractNumId w:val="63"/>
  </w:num>
  <w:num w:numId="52">
    <w:abstractNumId w:val="42"/>
  </w:num>
  <w:num w:numId="53">
    <w:abstractNumId w:val="15"/>
  </w:num>
  <w:num w:numId="54">
    <w:abstractNumId w:val="54"/>
  </w:num>
  <w:num w:numId="55">
    <w:abstractNumId w:val="46"/>
  </w:num>
  <w:num w:numId="56">
    <w:abstractNumId w:val="7"/>
  </w:num>
  <w:num w:numId="57">
    <w:abstractNumId w:val="3"/>
  </w:num>
  <w:num w:numId="58">
    <w:abstractNumId w:val="34"/>
  </w:num>
  <w:num w:numId="59">
    <w:abstractNumId w:val="51"/>
  </w:num>
  <w:num w:numId="60">
    <w:abstractNumId w:val="12"/>
  </w:num>
  <w:num w:numId="61">
    <w:abstractNumId w:val="32"/>
  </w:num>
  <w:num w:numId="62">
    <w:abstractNumId w:val="17"/>
  </w:num>
  <w:num w:numId="63">
    <w:abstractNumId w:val="6"/>
  </w:num>
  <w:num w:numId="64">
    <w:abstractNumId w:val="27"/>
  </w:num>
  <w:num w:numId="65">
    <w:abstractNumId w:val="1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ctiveWritingStyle w:appName="MSWord" w:lang="fr-FR" w:vendorID="64" w:dllVersion="6" w:nlCheck="1" w:checkStyle="0"/>
  <w:activeWritingStyle w:appName="MSWord" w:lang="en-US" w:vendorID="64" w:dllVersion="6" w:nlCheck="1" w:checkStyle="0"/>
  <w:activeWritingStyle w:appName="MSWord" w:lang="es-ES" w:vendorID="64" w:dllVersion="6" w:nlCheck="1" w:checkStyle="0"/>
  <w:activeWritingStyle w:appName="MSWord" w:lang="en-GB" w:vendorID="64" w:dllVersion="6" w:nlCheck="1" w:checkStyle="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n-GB" w:vendorID="64" w:dllVersion="4096" w:nlCheck="1" w:checkStyle="0"/>
  <w:activeWritingStyle w:appName="MSWord" w:lang="it-IT" w:vendorID="64" w:dllVersion="4096" w:nlCheck="1" w:checkStyle="0"/>
  <w:activeWritingStyle w:appName="MSWord" w:lang="fr-FR" w:vendorID="64" w:dllVersion="131078" w:nlCheck="1" w:checkStyle="0"/>
  <w:activeWritingStyle w:appName="MSWord" w:lang="en-US" w:vendorID="64" w:dllVersion="131078" w:nlCheck="1" w:checkStyle="0"/>
  <w:activeWritingStyle w:appName="MSWord" w:lang="ru-RU" w:vendorID="64" w:dllVersion="131078" w:nlCheck="1" w:checkStyle="0"/>
  <w:activeWritingStyle w:appName="MSWord" w:lang="es-E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712"/>
    <w:rsid w:val="00000C04"/>
    <w:rsid w:val="00000E2D"/>
    <w:rsid w:val="0000131E"/>
    <w:rsid w:val="00001792"/>
    <w:rsid w:val="00001EB0"/>
    <w:rsid w:val="00002163"/>
    <w:rsid w:val="00002289"/>
    <w:rsid w:val="0000241B"/>
    <w:rsid w:val="00002BFC"/>
    <w:rsid w:val="000030DA"/>
    <w:rsid w:val="00003327"/>
    <w:rsid w:val="00003D9B"/>
    <w:rsid w:val="000045D9"/>
    <w:rsid w:val="00004807"/>
    <w:rsid w:val="000048AC"/>
    <w:rsid w:val="00004A4C"/>
    <w:rsid w:val="00004B36"/>
    <w:rsid w:val="00004B4A"/>
    <w:rsid w:val="000056C3"/>
    <w:rsid w:val="00005BEA"/>
    <w:rsid w:val="00005DA7"/>
    <w:rsid w:val="00006265"/>
    <w:rsid w:val="000068F4"/>
    <w:rsid w:val="00006BCE"/>
    <w:rsid w:val="00006FF5"/>
    <w:rsid w:val="0000757E"/>
    <w:rsid w:val="000076AD"/>
    <w:rsid w:val="0000784F"/>
    <w:rsid w:val="00007A08"/>
    <w:rsid w:val="00007BB6"/>
    <w:rsid w:val="000102B4"/>
    <w:rsid w:val="00010660"/>
    <w:rsid w:val="000108DE"/>
    <w:rsid w:val="0001133C"/>
    <w:rsid w:val="00011747"/>
    <w:rsid w:val="00011C4D"/>
    <w:rsid w:val="00011E49"/>
    <w:rsid w:val="00012290"/>
    <w:rsid w:val="000123D5"/>
    <w:rsid w:val="0001311A"/>
    <w:rsid w:val="0001324E"/>
    <w:rsid w:val="00013413"/>
    <w:rsid w:val="00013809"/>
    <w:rsid w:val="000139F0"/>
    <w:rsid w:val="00013DB1"/>
    <w:rsid w:val="00013F46"/>
    <w:rsid w:val="0001449F"/>
    <w:rsid w:val="000144D6"/>
    <w:rsid w:val="000147A7"/>
    <w:rsid w:val="000147B9"/>
    <w:rsid w:val="000148FC"/>
    <w:rsid w:val="00014A35"/>
    <w:rsid w:val="00014FD2"/>
    <w:rsid w:val="00015655"/>
    <w:rsid w:val="00015B69"/>
    <w:rsid w:val="00015BFA"/>
    <w:rsid w:val="0001623D"/>
    <w:rsid w:val="000163F7"/>
    <w:rsid w:val="00016731"/>
    <w:rsid w:val="000169D1"/>
    <w:rsid w:val="00016AEC"/>
    <w:rsid w:val="000173AD"/>
    <w:rsid w:val="0001753D"/>
    <w:rsid w:val="000177C6"/>
    <w:rsid w:val="0002016C"/>
    <w:rsid w:val="00020693"/>
    <w:rsid w:val="00020CD6"/>
    <w:rsid w:val="00020E3C"/>
    <w:rsid w:val="0002109A"/>
    <w:rsid w:val="00021391"/>
    <w:rsid w:val="000213D2"/>
    <w:rsid w:val="0002170C"/>
    <w:rsid w:val="000220DA"/>
    <w:rsid w:val="00023171"/>
    <w:rsid w:val="00023246"/>
    <w:rsid w:val="0002346F"/>
    <w:rsid w:val="0002358C"/>
    <w:rsid w:val="0002364A"/>
    <w:rsid w:val="00023799"/>
    <w:rsid w:val="000237F2"/>
    <w:rsid w:val="00023911"/>
    <w:rsid w:val="000243EB"/>
    <w:rsid w:val="000243F4"/>
    <w:rsid w:val="00024F24"/>
    <w:rsid w:val="000252EA"/>
    <w:rsid w:val="0002572A"/>
    <w:rsid w:val="000257D7"/>
    <w:rsid w:val="00025BE2"/>
    <w:rsid w:val="00025DF2"/>
    <w:rsid w:val="00025E82"/>
    <w:rsid w:val="000266F4"/>
    <w:rsid w:val="00026AFA"/>
    <w:rsid w:val="000271C2"/>
    <w:rsid w:val="00027FBF"/>
    <w:rsid w:val="00030161"/>
    <w:rsid w:val="00030424"/>
    <w:rsid w:val="00030DB1"/>
    <w:rsid w:val="0003153D"/>
    <w:rsid w:val="00031D3A"/>
    <w:rsid w:val="000321E8"/>
    <w:rsid w:val="000322A5"/>
    <w:rsid w:val="00032581"/>
    <w:rsid w:val="00032B9B"/>
    <w:rsid w:val="00033370"/>
    <w:rsid w:val="00033572"/>
    <w:rsid w:val="00033587"/>
    <w:rsid w:val="00033984"/>
    <w:rsid w:val="00033C8B"/>
    <w:rsid w:val="00033D44"/>
    <w:rsid w:val="0003413E"/>
    <w:rsid w:val="00034178"/>
    <w:rsid w:val="00034648"/>
    <w:rsid w:val="000346B3"/>
    <w:rsid w:val="000347CE"/>
    <w:rsid w:val="000347E3"/>
    <w:rsid w:val="00034A9D"/>
    <w:rsid w:val="0003558C"/>
    <w:rsid w:val="000355C9"/>
    <w:rsid w:val="00035D1C"/>
    <w:rsid w:val="0003612A"/>
    <w:rsid w:val="0003683A"/>
    <w:rsid w:val="00036E13"/>
    <w:rsid w:val="00037081"/>
    <w:rsid w:val="000371D5"/>
    <w:rsid w:val="000372BA"/>
    <w:rsid w:val="00037AB5"/>
    <w:rsid w:val="00037AFC"/>
    <w:rsid w:val="00037B1F"/>
    <w:rsid w:val="00037D17"/>
    <w:rsid w:val="00037F8A"/>
    <w:rsid w:val="00040371"/>
    <w:rsid w:val="000410F9"/>
    <w:rsid w:val="000414CA"/>
    <w:rsid w:val="000414CC"/>
    <w:rsid w:val="00041F9E"/>
    <w:rsid w:val="00042787"/>
    <w:rsid w:val="000427F7"/>
    <w:rsid w:val="00042B2E"/>
    <w:rsid w:val="00042C07"/>
    <w:rsid w:val="00042CD9"/>
    <w:rsid w:val="00042D9E"/>
    <w:rsid w:val="00043388"/>
    <w:rsid w:val="00043421"/>
    <w:rsid w:val="000434B1"/>
    <w:rsid w:val="00043E90"/>
    <w:rsid w:val="00043F36"/>
    <w:rsid w:val="000440A3"/>
    <w:rsid w:val="0004480B"/>
    <w:rsid w:val="00045E3A"/>
    <w:rsid w:val="0004603A"/>
    <w:rsid w:val="0004655D"/>
    <w:rsid w:val="000466B1"/>
    <w:rsid w:val="00046959"/>
    <w:rsid w:val="000473D4"/>
    <w:rsid w:val="00047B46"/>
    <w:rsid w:val="00047C7F"/>
    <w:rsid w:val="000500D2"/>
    <w:rsid w:val="000501A7"/>
    <w:rsid w:val="000501C2"/>
    <w:rsid w:val="00050EFF"/>
    <w:rsid w:val="000515D9"/>
    <w:rsid w:val="000516CC"/>
    <w:rsid w:val="0005176E"/>
    <w:rsid w:val="0005179C"/>
    <w:rsid w:val="000520D0"/>
    <w:rsid w:val="00052380"/>
    <w:rsid w:val="0005274F"/>
    <w:rsid w:val="00052C8D"/>
    <w:rsid w:val="00052F87"/>
    <w:rsid w:val="00053116"/>
    <w:rsid w:val="00053709"/>
    <w:rsid w:val="00053CF6"/>
    <w:rsid w:val="0005404C"/>
    <w:rsid w:val="000540D6"/>
    <w:rsid w:val="0005461A"/>
    <w:rsid w:val="00054D48"/>
    <w:rsid w:val="00055783"/>
    <w:rsid w:val="00055F53"/>
    <w:rsid w:val="00056009"/>
    <w:rsid w:val="00056182"/>
    <w:rsid w:val="0005665D"/>
    <w:rsid w:val="00056866"/>
    <w:rsid w:val="00056F87"/>
    <w:rsid w:val="000572A2"/>
    <w:rsid w:val="000573ED"/>
    <w:rsid w:val="00057632"/>
    <w:rsid w:val="00057BA9"/>
    <w:rsid w:val="000601EE"/>
    <w:rsid w:val="00060470"/>
    <w:rsid w:val="0006050F"/>
    <w:rsid w:val="00061422"/>
    <w:rsid w:val="000616C1"/>
    <w:rsid w:val="0006181E"/>
    <w:rsid w:val="00061877"/>
    <w:rsid w:val="0006190C"/>
    <w:rsid w:val="00061BFA"/>
    <w:rsid w:val="00061E00"/>
    <w:rsid w:val="00061EB6"/>
    <w:rsid w:val="000621D1"/>
    <w:rsid w:val="000630C0"/>
    <w:rsid w:val="00063142"/>
    <w:rsid w:val="00063485"/>
    <w:rsid w:val="000635F8"/>
    <w:rsid w:val="00063D12"/>
    <w:rsid w:val="00063F7A"/>
    <w:rsid w:val="000648E7"/>
    <w:rsid w:val="000652C0"/>
    <w:rsid w:val="000656F0"/>
    <w:rsid w:val="00065E90"/>
    <w:rsid w:val="00066B40"/>
    <w:rsid w:val="0006727C"/>
    <w:rsid w:val="000674A2"/>
    <w:rsid w:val="0006757C"/>
    <w:rsid w:val="000707D9"/>
    <w:rsid w:val="00070CAE"/>
    <w:rsid w:val="00070FC3"/>
    <w:rsid w:val="0007137A"/>
    <w:rsid w:val="0007188C"/>
    <w:rsid w:val="00071A75"/>
    <w:rsid w:val="00071C2A"/>
    <w:rsid w:val="000725F0"/>
    <w:rsid w:val="00072BEF"/>
    <w:rsid w:val="00072C98"/>
    <w:rsid w:val="00073A85"/>
    <w:rsid w:val="00073EE2"/>
    <w:rsid w:val="00075040"/>
    <w:rsid w:val="000750BE"/>
    <w:rsid w:val="00075431"/>
    <w:rsid w:val="000761B0"/>
    <w:rsid w:val="0007665D"/>
    <w:rsid w:val="0007672E"/>
    <w:rsid w:val="00076CE9"/>
    <w:rsid w:val="00076FEA"/>
    <w:rsid w:val="000771B3"/>
    <w:rsid w:val="000776D9"/>
    <w:rsid w:val="000777B6"/>
    <w:rsid w:val="000777E1"/>
    <w:rsid w:val="00080951"/>
    <w:rsid w:val="00081260"/>
    <w:rsid w:val="000813B9"/>
    <w:rsid w:val="00081BF0"/>
    <w:rsid w:val="00082071"/>
    <w:rsid w:val="000822AA"/>
    <w:rsid w:val="000825DA"/>
    <w:rsid w:val="000834DF"/>
    <w:rsid w:val="000838D8"/>
    <w:rsid w:val="00083C3E"/>
    <w:rsid w:val="00083F38"/>
    <w:rsid w:val="00083F9C"/>
    <w:rsid w:val="00084A46"/>
    <w:rsid w:val="00085490"/>
    <w:rsid w:val="00085674"/>
    <w:rsid w:val="00085A0D"/>
    <w:rsid w:val="00085C56"/>
    <w:rsid w:val="00085D43"/>
    <w:rsid w:val="000864E5"/>
    <w:rsid w:val="00086994"/>
    <w:rsid w:val="00086B99"/>
    <w:rsid w:val="00086E52"/>
    <w:rsid w:val="00086F85"/>
    <w:rsid w:val="000873BC"/>
    <w:rsid w:val="00087A4B"/>
    <w:rsid w:val="00087CB3"/>
    <w:rsid w:val="00087E63"/>
    <w:rsid w:val="000901E7"/>
    <w:rsid w:val="000902F4"/>
    <w:rsid w:val="000904DB"/>
    <w:rsid w:val="00090937"/>
    <w:rsid w:val="00090D23"/>
    <w:rsid w:val="00090E74"/>
    <w:rsid w:val="00091448"/>
    <w:rsid w:val="000915B0"/>
    <w:rsid w:val="00091F97"/>
    <w:rsid w:val="00092701"/>
    <w:rsid w:val="000930EC"/>
    <w:rsid w:val="00093193"/>
    <w:rsid w:val="0009342F"/>
    <w:rsid w:val="00093B3A"/>
    <w:rsid w:val="00093B64"/>
    <w:rsid w:val="00093BE6"/>
    <w:rsid w:val="00094160"/>
    <w:rsid w:val="00095686"/>
    <w:rsid w:val="00095699"/>
    <w:rsid w:val="000956EC"/>
    <w:rsid w:val="000957ED"/>
    <w:rsid w:val="00095F7E"/>
    <w:rsid w:val="00096AEA"/>
    <w:rsid w:val="00097DA7"/>
    <w:rsid w:val="000A00B0"/>
    <w:rsid w:val="000A04D5"/>
    <w:rsid w:val="000A0FD9"/>
    <w:rsid w:val="000A10A8"/>
    <w:rsid w:val="000A1112"/>
    <w:rsid w:val="000A12D0"/>
    <w:rsid w:val="000A16DA"/>
    <w:rsid w:val="000A1ACB"/>
    <w:rsid w:val="000A1ED4"/>
    <w:rsid w:val="000A24F1"/>
    <w:rsid w:val="000A2D88"/>
    <w:rsid w:val="000A2F61"/>
    <w:rsid w:val="000A311D"/>
    <w:rsid w:val="000A357A"/>
    <w:rsid w:val="000A40F8"/>
    <w:rsid w:val="000A452F"/>
    <w:rsid w:val="000A48F4"/>
    <w:rsid w:val="000A4CA2"/>
    <w:rsid w:val="000A4ED8"/>
    <w:rsid w:val="000A590C"/>
    <w:rsid w:val="000A5CC9"/>
    <w:rsid w:val="000A5D25"/>
    <w:rsid w:val="000A5F92"/>
    <w:rsid w:val="000A601C"/>
    <w:rsid w:val="000A61AD"/>
    <w:rsid w:val="000A6BA3"/>
    <w:rsid w:val="000A7082"/>
    <w:rsid w:val="000A724B"/>
    <w:rsid w:val="000A7435"/>
    <w:rsid w:val="000A7B14"/>
    <w:rsid w:val="000B003A"/>
    <w:rsid w:val="000B0108"/>
    <w:rsid w:val="000B0278"/>
    <w:rsid w:val="000B0329"/>
    <w:rsid w:val="000B03B5"/>
    <w:rsid w:val="000B0C32"/>
    <w:rsid w:val="000B0FAC"/>
    <w:rsid w:val="000B158C"/>
    <w:rsid w:val="000B15F2"/>
    <w:rsid w:val="000B25DD"/>
    <w:rsid w:val="000B289D"/>
    <w:rsid w:val="000B3179"/>
    <w:rsid w:val="000B32C2"/>
    <w:rsid w:val="000B3300"/>
    <w:rsid w:val="000B3E21"/>
    <w:rsid w:val="000B4927"/>
    <w:rsid w:val="000B4BCE"/>
    <w:rsid w:val="000B509C"/>
    <w:rsid w:val="000B52C3"/>
    <w:rsid w:val="000B58F0"/>
    <w:rsid w:val="000B5CD7"/>
    <w:rsid w:val="000B5DB4"/>
    <w:rsid w:val="000B6107"/>
    <w:rsid w:val="000B63EA"/>
    <w:rsid w:val="000B6441"/>
    <w:rsid w:val="000B65F1"/>
    <w:rsid w:val="000B6D9D"/>
    <w:rsid w:val="000B75BE"/>
    <w:rsid w:val="000B7FF5"/>
    <w:rsid w:val="000C0823"/>
    <w:rsid w:val="000C17D5"/>
    <w:rsid w:val="000C192F"/>
    <w:rsid w:val="000C1D88"/>
    <w:rsid w:val="000C2585"/>
    <w:rsid w:val="000C2B0B"/>
    <w:rsid w:val="000C2B15"/>
    <w:rsid w:val="000C2DB0"/>
    <w:rsid w:val="000C2E00"/>
    <w:rsid w:val="000C2FAA"/>
    <w:rsid w:val="000C3320"/>
    <w:rsid w:val="000C3FE3"/>
    <w:rsid w:val="000C41A9"/>
    <w:rsid w:val="000C4318"/>
    <w:rsid w:val="000C45CA"/>
    <w:rsid w:val="000C4759"/>
    <w:rsid w:val="000C48F0"/>
    <w:rsid w:val="000C4DD5"/>
    <w:rsid w:val="000C52B6"/>
    <w:rsid w:val="000C59A3"/>
    <w:rsid w:val="000C5B3C"/>
    <w:rsid w:val="000C5EB8"/>
    <w:rsid w:val="000C6882"/>
    <w:rsid w:val="000C6AA3"/>
    <w:rsid w:val="000C6B4C"/>
    <w:rsid w:val="000C6C6A"/>
    <w:rsid w:val="000C6F33"/>
    <w:rsid w:val="000C70BB"/>
    <w:rsid w:val="000C7250"/>
    <w:rsid w:val="000C75CA"/>
    <w:rsid w:val="000D0270"/>
    <w:rsid w:val="000D0B4B"/>
    <w:rsid w:val="000D0D59"/>
    <w:rsid w:val="000D1829"/>
    <w:rsid w:val="000D18CE"/>
    <w:rsid w:val="000D1CA7"/>
    <w:rsid w:val="000D1FAE"/>
    <w:rsid w:val="000D2248"/>
    <w:rsid w:val="000D242E"/>
    <w:rsid w:val="000D289E"/>
    <w:rsid w:val="000D36C9"/>
    <w:rsid w:val="000D3DE3"/>
    <w:rsid w:val="000D4082"/>
    <w:rsid w:val="000D427D"/>
    <w:rsid w:val="000D4925"/>
    <w:rsid w:val="000D492A"/>
    <w:rsid w:val="000D4B3C"/>
    <w:rsid w:val="000D529E"/>
    <w:rsid w:val="000D57AF"/>
    <w:rsid w:val="000D57C2"/>
    <w:rsid w:val="000D5FF3"/>
    <w:rsid w:val="000D6082"/>
    <w:rsid w:val="000D6631"/>
    <w:rsid w:val="000D6650"/>
    <w:rsid w:val="000D6A06"/>
    <w:rsid w:val="000E01FF"/>
    <w:rsid w:val="000E047D"/>
    <w:rsid w:val="000E11D7"/>
    <w:rsid w:val="000E124F"/>
    <w:rsid w:val="000E1796"/>
    <w:rsid w:val="000E1ACF"/>
    <w:rsid w:val="000E1B09"/>
    <w:rsid w:val="000E266A"/>
    <w:rsid w:val="000E2AFD"/>
    <w:rsid w:val="000E2B8D"/>
    <w:rsid w:val="000E2C2E"/>
    <w:rsid w:val="000E2C52"/>
    <w:rsid w:val="000E2D3F"/>
    <w:rsid w:val="000E304E"/>
    <w:rsid w:val="000E3398"/>
    <w:rsid w:val="000E364E"/>
    <w:rsid w:val="000E42B3"/>
    <w:rsid w:val="000E4FB1"/>
    <w:rsid w:val="000E5840"/>
    <w:rsid w:val="000E5B74"/>
    <w:rsid w:val="000E5D71"/>
    <w:rsid w:val="000E61BB"/>
    <w:rsid w:val="000E628B"/>
    <w:rsid w:val="000E65CF"/>
    <w:rsid w:val="000E6666"/>
    <w:rsid w:val="000E68DD"/>
    <w:rsid w:val="000E742F"/>
    <w:rsid w:val="000E74D0"/>
    <w:rsid w:val="000E76D9"/>
    <w:rsid w:val="000E7B84"/>
    <w:rsid w:val="000E7C99"/>
    <w:rsid w:val="000E7C9B"/>
    <w:rsid w:val="000F0A95"/>
    <w:rsid w:val="000F0E34"/>
    <w:rsid w:val="000F11D1"/>
    <w:rsid w:val="000F1567"/>
    <w:rsid w:val="000F1571"/>
    <w:rsid w:val="000F16EF"/>
    <w:rsid w:val="000F170B"/>
    <w:rsid w:val="000F18AB"/>
    <w:rsid w:val="000F1B14"/>
    <w:rsid w:val="000F261B"/>
    <w:rsid w:val="000F279F"/>
    <w:rsid w:val="000F2BE9"/>
    <w:rsid w:val="000F2EC9"/>
    <w:rsid w:val="000F2EF7"/>
    <w:rsid w:val="000F30ED"/>
    <w:rsid w:val="000F35D3"/>
    <w:rsid w:val="000F38D0"/>
    <w:rsid w:val="000F3F9C"/>
    <w:rsid w:val="000F426E"/>
    <w:rsid w:val="000F449D"/>
    <w:rsid w:val="000F464F"/>
    <w:rsid w:val="000F4657"/>
    <w:rsid w:val="000F509C"/>
    <w:rsid w:val="000F5235"/>
    <w:rsid w:val="000F54F8"/>
    <w:rsid w:val="000F5883"/>
    <w:rsid w:val="000F5B01"/>
    <w:rsid w:val="000F61C2"/>
    <w:rsid w:val="000F64C4"/>
    <w:rsid w:val="000F6825"/>
    <w:rsid w:val="000F6D3E"/>
    <w:rsid w:val="000F6D9A"/>
    <w:rsid w:val="000F6FF9"/>
    <w:rsid w:val="000F70B6"/>
    <w:rsid w:val="000F719C"/>
    <w:rsid w:val="000F7200"/>
    <w:rsid w:val="000F75FC"/>
    <w:rsid w:val="000F7976"/>
    <w:rsid w:val="000F7DDA"/>
    <w:rsid w:val="00100580"/>
    <w:rsid w:val="001008FA"/>
    <w:rsid w:val="00100A6A"/>
    <w:rsid w:val="00100C82"/>
    <w:rsid w:val="001012CC"/>
    <w:rsid w:val="00101E4C"/>
    <w:rsid w:val="00101E68"/>
    <w:rsid w:val="00102199"/>
    <w:rsid w:val="0010284D"/>
    <w:rsid w:val="00102CDE"/>
    <w:rsid w:val="001030CD"/>
    <w:rsid w:val="00103791"/>
    <w:rsid w:val="00103C56"/>
    <w:rsid w:val="00103C9F"/>
    <w:rsid w:val="0010468C"/>
    <w:rsid w:val="001048A0"/>
    <w:rsid w:val="00105401"/>
    <w:rsid w:val="00105608"/>
    <w:rsid w:val="0010572B"/>
    <w:rsid w:val="00105784"/>
    <w:rsid w:val="00105BD3"/>
    <w:rsid w:val="00105D71"/>
    <w:rsid w:val="00105E7D"/>
    <w:rsid w:val="0010649A"/>
    <w:rsid w:val="00106992"/>
    <w:rsid w:val="00106B70"/>
    <w:rsid w:val="00106C90"/>
    <w:rsid w:val="00107185"/>
    <w:rsid w:val="001071BD"/>
    <w:rsid w:val="001075C3"/>
    <w:rsid w:val="00107D3A"/>
    <w:rsid w:val="001103B6"/>
    <w:rsid w:val="00110C45"/>
    <w:rsid w:val="00110CA3"/>
    <w:rsid w:val="00110D7D"/>
    <w:rsid w:val="0011115D"/>
    <w:rsid w:val="00111284"/>
    <w:rsid w:val="001112F4"/>
    <w:rsid w:val="001113EE"/>
    <w:rsid w:val="00111420"/>
    <w:rsid w:val="0011175E"/>
    <w:rsid w:val="00111D6D"/>
    <w:rsid w:val="00111DD9"/>
    <w:rsid w:val="00112578"/>
    <w:rsid w:val="001127C9"/>
    <w:rsid w:val="00112D7E"/>
    <w:rsid w:val="00112E2F"/>
    <w:rsid w:val="00112FFA"/>
    <w:rsid w:val="00113925"/>
    <w:rsid w:val="0011394D"/>
    <w:rsid w:val="00113982"/>
    <w:rsid w:val="0011441B"/>
    <w:rsid w:val="00114D7E"/>
    <w:rsid w:val="0011542B"/>
    <w:rsid w:val="0011549E"/>
    <w:rsid w:val="0011558E"/>
    <w:rsid w:val="00115637"/>
    <w:rsid w:val="00115664"/>
    <w:rsid w:val="00115728"/>
    <w:rsid w:val="001159DC"/>
    <w:rsid w:val="00115AFA"/>
    <w:rsid w:val="00115E01"/>
    <w:rsid w:val="00116136"/>
    <w:rsid w:val="00116524"/>
    <w:rsid w:val="0011656D"/>
    <w:rsid w:val="0011689D"/>
    <w:rsid w:val="00116E97"/>
    <w:rsid w:val="00117380"/>
    <w:rsid w:val="001203B6"/>
    <w:rsid w:val="0012088D"/>
    <w:rsid w:val="00120BC8"/>
    <w:rsid w:val="00120F10"/>
    <w:rsid w:val="00121268"/>
    <w:rsid w:val="0012288D"/>
    <w:rsid w:val="001232C6"/>
    <w:rsid w:val="001233BD"/>
    <w:rsid w:val="0012366A"/>
    <w:rsid w:val="00123F2C"/>
    <w:rsid w:val="00124431"/>
    <w:rsid w:val="00124894"/>
    <w:rsid w:val="00124D7E"/>
    <w:rsid w:val="00124E5B"/>
    <w:rsid w:val="00124FAE"/>
    <w:rsid w:val="0012581D"/>
    <w:rsid w:val="001259BD"/>
    <w:rsid w:val="00125DBD"/>
    <w:rsid w:val="00126071"/>
    <w:rsid w:val="0012607D"/>
    <w:rsid w:val="0012680E"/>
    <w:rsid w:val="0012683B"/>
    <w:rsid w:val="001268F2"/>
    <w:rsid w:val="00126929"/>
    <w:rsid w:val="00127BFD"/>
    <w:rsid w:val="00127C39"/>
    <w:rsid w:val="00130070"/>
    <w:rsid w:val="00130243"/>
    <w:rsid w:val="0013106F"/>
    <w:rsid w:val="001311F4"/>
    <w:rsid w:val="00131BF9"/>
    <w:rsid w:val="00131E98"/>
    <w:rsid w:val="00132111"/>
    <w:rsid w:val="0013281A"/>
    <w:rsid w:val="00132DFF"/>
    <w:rsid w:val="00132EB6"/>
    <w:rsid w:val="001336A5"/>
    <w:rsid w:val="001336E7"/>
    <w:rsid w:val="00133B15"/>
    <w:rsid w:val="00133E5A"/>
    <w:rsid w:val="00134360"/>
    <w:rsid w:val="001348D3"/>
    <w:rsid w:val="00134A7A"/>
    <w:rsid w:val="00134AC3"/>
    <w:rsid w:val="00135663"/>
    <w:rsid w:val="00135A72"/>
    <w:rsid w:val="00135FF8"/>
    <w:rsid w:val="00136146"/>
    <w:rsid w:val="001367AD"/>
    <w:rsid w:val="001368C7"/>
    <w:rsid w:val="00136A0B"/>
    <w:rsid w:val="00136A8C"/>
    <w:rsid w:val="00136E24"/>
    <w:rsid w:val="0013717F"/>
    <w:rsid w:val="001378BB"/>
    <w:rsid w:val="00137B5C"/>
    <w:rsid w:val="00137B74"/>
    <w:rsid w:val="00140251"/>
    <w:rsid w:val="0014042E"/>
    <w:rsid w:val="00140A93"/>
    <w:rsid w:val="00141785"/>
    <w:rsid w:val="00141C69"/>
    <w:rsid w:val="00141D6E"/>
    <w:rsid w:val="001429A5"/>
    <w:rsid w:val="00142AC3"/>
    <w:rsid w:val="00143822"/>
    <w:rsid w:val="0014388D"/>
    <w:rsid w:val="00143F46"/>
    <w:rsid w:val="0014478B"/>
    <w:rsid w:val="00145A8A"/>
    <w:rsid w:val="00145BAD"/>
    <w:rsid w:val="00145D78"/>
    <w:rsid w:val="00146920"/>
    <w:rsid w:val="00146CE8"/>
    <w:rsid w:val="00147119"/>
    <w:rsid w:val="001473BB"/>
    <w:rsid w:val="00147C59"/>
    <w:rsid w:val="00150088"/>
    <w:rsid w:val="00150740"/>
    <w:rsid w:val="0015105B"/>
    <w:rsid w:val="00151218"/>
    <w:rsid w:val="001514D2"/>
    <w:rsid w:val="00151C57"/>
    <w:rsid w:val="001524DB"/>
    <w:rsid w:val="0015274B"/>
    <w:rsid w:val="00152838"/>
    <w:rsid w:val="00152974"/>
    <w:rsid w:val="00152A51"/>
    <w:rsid w:val="00152A78"/>
    <w:rsid w:val="0015327B"/>
    <w:rsid w:val="001532CF"/>
    <w:rsid w:val="00153334"/>
    <w:rsid w:val="0015392B"/>
    <w:rsid w:val="00153EE6"/>
    <w:rsid w:val="00154F3D"/>
    <w:rsid w:val="00155004"/>
    <w:rsid w:val="001550EC"/>
    <w:rsid w:val="00155302"/>
    <w:rsid w:val="001554FA"/>
    <w:rsid w:val="00155864"/>
    <w:rsid w:val="00155BC3"/>
    <w:rsid w:val="00155C9D"/>
    <w:rsid w:val="00156327"/>
    <w:rsid w:val="00156B66"/>
    <w:rsid w:val="00156C26"/>
    <w:rsid w:val="00156D52"/>
    <w:rsid w:val="001604B0"/>
    <w:rsid w:val="00160C41"/>
    <w:rsid w:val="00161D5E"/>
    <w:rsid w:val="00162306"/>
    <w:rsid w:val="00162512"/>
    <w:rsid w:val="0016274B"/>
    <w:rsid w:val="00162A72"/>
    <w:rsid w:val="00162C29"/>
    <w:rsid w:val="00162C8B"/>
    <w:rsid w:val="00162D6A"/>
    <w:rsid w:val="00162F40"/>
    <w:rsid w:val="00162F6B"/>
    <w:rsid w:val="00162F8D"/>
    <w:rsid w:val="00163034"/>
    <w:rsid w:val="00163138"/>
    <w:rsid w:val="0016318A"/>
    <w:rsid w:val="00163CE1"/>
    <w:rsid w:val="00163ECF"/>
    <w:rsid w:val="00163FF4"/>
    <w:rsid w:val="00165198"/>
    <w:rsid w:val="00166272"/>
    <w:rsid w:val="00166379"/>
    <w:rsid w:val="001664B1"/>
    <w:rsid w:val="001665DF"/>
    <w:rsid w:val="00167130"/>
    <w:rsid w:val="001672A7"/>
    <w:rsid w:val="00167E80"/>
    <w:rsid w:val="00167FD2"/>
    <w:rsid w:val="00170230"/>
    <w:rsid w:val="00170619"/>
    <w:rsid w:val="001706DF"/>
    <w:rsid w:val="00170ABF"/>
    <w:rsid w:val="001711CF"/>
    <w:rsid w:val="001713E8"/>
    <w:rsid w:val="00171833"/>
    <w:rsid w:val="00171BF7"/>
    <w:rsid w:val="0017201C"/>
    <w:rsid w:val="001721D8"/>
    <w:rsid w:val="00172338"/>
    <w:rsid w:val="001725C5"/>
    <w:rsid w:val="00172871"/>
    <w:rsid w:val="00172E4B"/>
    <w:rsid w:val="001731BB"/>
    <w:rsid w:val="00173D07"/>
    <w:rsid w:val="00173DCF"/>
    <w:rsid w:val="00173EF6"/>
    <w:rsid w:val="001744BF"/>
    <w:rsid w:val="00174812"/>
    <w:rsid w:val="00174970"/>
    <w:rsid w:val="001752CC"/>
    <w:rsid w:val="001752DE"/>
    <w:rsid w:val="00175819"/>
    <w:rsid w:val="00175E2C"/>
    <w:rsid w:val="001764EE"/>
    <w:rsid w:val="00176541"/>
    <w:rsid w:val="00176F37"/>
    <w:rsid w:val="0017730C"/>
    <w:rsid w:val="001774AD"/>
    <w:rsid w:val="0017782F"/>
    <w:rsid w:val="00177907"/>
    <w:rsid w:val="00177AC5"/>
    <w:rsid w:val="00177B99"/>
    <w:rsid w:val="00177C2A"/>
    <w:rsid w:val="001800E1"/>
    <w:rsid w:val="001802CC"/>
    <w:rsid w:val="00180703"/>
    <w:rsid w:val="0018094E"/>
    <w:rsid w:val="00181B50"/>
    <w:rsid w:val="001820D2"/>
    <w:rsid w:val="001825BF"/>
    <w:rsid w:val="00182F20"/>
    <w:rsid w:val="0018345B"/>
    <w:rsid w:val="00183CF8"/>
    <w:rsid w:val="00184733"/>
    <w:rsid w:val="00184B53"/>
    <w:rsid w:val="00184D37"/>
    <w:rsid w:val="00184D71"/>
    <w:rsid w:val="00184E2A"/>
    <w:rsid w:val="00184E41"/>
    <w:rsid w:val="0018604C"/>
    <w:rsid w:val="001865AB"/>
    <w:rsid w:val="00186639"/>
    <w:rsid w:val="0018689C"/>
    <w:rsid w:val="00186AD7"/>
    <w:rsid w:val="00186C1D"/>
    <w:rsid w:val="001873ED"/>
    <w:rsid w:val="001878B0"/>
    <w:rsid w:val="00190476"/>
    <w:rsid w:val="00190624"/>
    <w:rsid w:val="00190889"/>
    <w:rsid w:val="00191350"/>
    <w:rsid w:val="001914CE"/>
    <w:rsid w:val="00191748"/>
    <w:rsid w:val="0019238A"/>
    <w:rsid w:val="001923CD"/>
    <w:rsid w:val="001928AC"/>
    <w:rsid w:val="00192C46"/>
    <w:rsid w:val="00193220"/>
    <w:rsid w:val="00193290"/>
    <w:rsid w:val="001939B2"/>
    <w:rsid w:val="00193EFF"/>
    <w:rsid w:val="001945B5"/>
    <w:rsid w:val="001945DE"/>
    <w:rsid w:val="00194984"/>
    <w:rsid w:val="001949DC"/>
    <w:rsid w:val="00194EA6"/>
    <w:rsid w:val="00194EC7"/>
    <w:rsid w:val="00195BE3"/>
    <w:rsid w:val="00195EE4"/>
    <w:rsid w:val="001960C3"/>
    <w:rsid w:val="0019638A"/>
    <w:rsid w:val="001964C0"/>
    <w:rsid w:val="00196F75"/>
    <w:rsid w:val="00197081"/>
    <w:rsid w:val="001970BB"/>
    <w:rsid w:val="001971B9"/>
    <w:rsid w:val="0019732E"/>
    <w:rsid w:val="00197E16"/>
    <w:rsid w:val="001A0083"/>
    <w:rsid w:val="001A0815"/>
    <w:rsid w:val="001A0BDA"/>
    <w:rsid w:val="001A0BE7"/>
    <w:rsid w:val="001A0C44"/>
    <w:rsid w:val="001A0F0D"/>
    <w:rsid w:val="001A1138"/>
    <w:rsid w:val="001A1210"/>
    <w:rsid w:val="001A14EF"/>
    <w:rsid w:val="001A1527"/>
    <w:rsid w:val="001A21D2"/>
    <w:rsid w:val="001A22B8"/>
    <w:rsid w:val="001A2353"/>
    <w:rsid w:val="001A2872"/>
    <w:rsid w:val="001A2997"/>
    <w:rsid w:val="001A2CC1"/>
    <w:rsid w:val="001A2DDD"/>
    <w:rsid w:val="001A2FF7"/>
    <w:rsid w:val="001A34F3"/>
    <w:rsid w:val="001A3676"/>
    <w:rsid w:val="001A3784"/>
    <w:rsid w:val="001A3916"/>
    <w:rsid w:val="001A3C83"/>
    <w:rsid w:val="001A3CF8"/>
    <w:rsid w:val="001A48CC"/>
    <w:rsid w:val="001A4D8E"/>
    <w:rsid w:val="001A4DD3"/>
    <w:rsid w:val="001A5273"/>
    <w:rsid w:val="001A54EF"/>
    <w:rsid w:val="001A577F"/>
    <w:rsid w:val="001A5CD0"/>
    <w:rsid w:val="001A6E7C"/>
    <w:rsid w:val="001A75DA"/>
    <w:rsid w:val="001B011D"/>
    <w:rsid w:val="001B0948"/>
    <w:rsid w:val="001B0A03"/>
    <w:rsid w:val="001B0FCA"/>
    <w:rsid w:val="001B1137"/>
    <w:rsid w:val="001B130B"/>
    <w:rsid w:val="001B2074"/>
    <w:rsid w:val="001B22F8"/>
    <w:rsid w:val="001B35A1"/>
    <w:rsid w:val="001B35E5"/>
    <w:rsid w:val="001B36A8"/>
    <w:rsid w:val="001B3A52"/>
    <w:rsid w:val="001B3CC7"/>
    <w:rsid w:val="001B3E1F"/>
    <w:rsid w:val="001B3E36"/>
    <w:rsid w:val="001B40CA"/>
    <w:rsid w:val="001B41F5"/>
    <w:rsid w:val="001B445D"/>
    <w:rsid w:val="001B485B"/>
    <w:rsid w:val="001B496F"/>
    <w:rsid w:val="001B4A6D"/>
    <w:rsid w:val="001B514B"/>
    <w:rsid w:val="001B5347"/>
    <w:rsid w:val="001B683D"/>
    <w:rsid w:val="001B68C9"/>
    <w:rsid w:val="001B7564"/>
    <w:rsid w:val="001B78F8"/>
    <w:rsid w:val="001B7B6C"/>
    <w:rsid w:val="001B7BB2"/>
    <w:rsid w:val="001B7E49"/>
    <w:rsid w:val="001B7EF5"/>
    <w:rsid w:val="001C02EC"/>
    <w:rsid w:val="001C0583"/>
    <w:rsid w:val="001C066F"/>
    <w:rsid w:val="001C0A3C"/>
    <w:rsid w:val="001C0C59"/>
    <w:rsid w:val="001C1211"/>
    <w:rsid w:val="001C17F0"/>
    <w:rsid w:val="001C1854"/>
    <w:rsid w:val="001C1CD8"/>
    <w:rsid w:val="001C2410"/>
    <w:rsid w:val="001C2610"/>
    <w:rsid w:val="001C2B17"/>
    <w:rsid w:val="001C30A7"/>
    <w:rsid w:val="001C3747"/>
    <w:rsid w:val="001C3E0B"/>
    <w:rsid w:val="001C46DF"/>
    <w:rsid w:val="001C56C9"/>
    <w:rsid w:val="001C6416"/>
    <w:rsid w:val="001C643D"/>
    <w:rsid w:val="001C65EE"/>
    <w:rsid w:val="001C66FD"/>
    <w:rsid w:val="001C6822"/>
    <w:rsid w:val="001C6A30"/>
    <w:rsid w:val="001C6A4E"/>
    <w:rsid w:val="001C6FFB"/>
    <w:rsid w:val="001C7714"/>
    <w:rsid w:val="001C7A69"/>
    <w:rsid w:val="001C7A9B"/>
    <w:rsid w:val="001C7BEE"/>
    <w:rsid w:val="001C7F64"/>
    <w:rsid w:val="001C7F6A"/>
    <w:rsid w:val="001D0B65"/>
    <w:rsid w:val="001D11E7"/>
    <w:rsid w:val="001D11EB"/>
    <w:rsid w:val="001D1B6B"/>
    <w:rsid w:val="001D1EC6"/>
    <w:rsid w:val="001D1F2F"/>
    <w:rsid w:val="001D2351"/>
    <w:rsid w:val="001D24A1"/>
    <w:rsid w:val="001D24E3"/>
    <w:rsid w:val="001D2554"/>
    <w:rsid w:val="001D26FC"/>
    <w:rsid w:val="001D270B"/>
    <w:rsid w:val="001D299A"/>
    <w:rsid w:val="001D2A28"/>
    <w:rsid w:val="001D2D6A"/>
    <w:rsid w:val="001D3173"/>
    <w:rsid w:val="001D35B8"/>
    <w:rsid w:val="001D39D8"/>
    <w:rsid w:val="001D3BA8"/>
    <w:rsid w:val="001D3CEB"/>
    <w:rsid w:val="001D4B96"/>
    <w:rsid w:val="001D4CC8"/>
    <w:rsid w:val="001D5638"/>
    <w:rsid w:val="001D5698"/>
    <w:rsid w:val="001D5BCC"/>
    <w:rsid w:val="001D6154"/>
    <w:rsid w:val="001D6DC3"/>
    <w:rsid w:val="001D7BC1"/>
    <w:rsid w:val="001D7E5B"/>
    <w:rsid w:val="001E0582"/>
    <w:rsid w:val="001E0D08"/>
    <w:rsid w:val="001E17A2"/>
    <w:rsid w:val="001E1C18"/>
    <w:rsid w:val="001E249B"/>
    <w:rsid w:val="001E2D33"/>
    <w:rsid w:val="001E2DAC"/>
    <w:rsid w:val="001E2F32"/>
    <w:rsid w:val="001E3067"/>
    <w:rsid w:val="001E3307"/>
    <w:rsid w:val="001E3572"/>
    <w:rsid w:val="001E3933"/>
    <w:rsid w:val="001E428B"/>
    <w:rsid w:val="001E4584"/>
    <w:rsid w:val="001E4745"/>
    <w:rsid w:val="001E4747"/>
    <w:rsid w:val="001E4BCE"/>
    <w:rsid w:val="001E4C35"/>
    <w:rsid w:val="001E54B9"/>
    <w:rsid w:val="001E5B24"/>
    <w:rsid w:val="001E6956"/>
    <w:rsid w:val="001E6978"/>
    <w:rsid w:val="001E7613"/>
    <w:rsid w:val="001E796A"/>
    <w:rsid w:val="001E7D5A"/>
    <w:rsid w:val="001E7F98"/>
    <w:rsid w:val="001F022E"/>
    <w:rsid w:val="001F02B2"/>
    <w:rsid w:val="001F0332"/>
    <w:rsid w:val="001F0A7F"/>
    <w:rsid w:val="001F12F7"/>
    <w:rsid w:val="001F1356"/>
    <w:rsid w:val="001F198C"/>
    <w:rsid w:val="001F1A6F"/>
    <w:rsid w:val="001F212F"/>
    <w:rsid w:val="001F2781"/>
    <w:rsid w:val="001F2D2D"/>
    <w:rsid w:val="001F32BC"/>
    <w:rsid w:val="001F386C"/>
    <w:rsid w:val="001F3CBE"/>
    <w:rsid w:val="001F40A8"/>
    <w:rsid w:val="001F437C"/>
    <w:rsid w:val="001F4939"/>
    <w:rsid w:val="001F4A10"/>
    <w:rsid w:val="001F4D61"/>
    <w:rsid w:val="001F5277"/>
    <w:rsid w:val="001F5923"/>
    <w:rsid w:val="001F627F"/>
    <w:rsid w:val="001F6AE9"/>
    <w:rsid w:val="001F6B1D"/>
    <w:rsid w:val="001F6C95"/>
    <w:rsid w:val="001F6D9F"/>
    <w:rsid w:val="001F7090"/>
    <w:rsid w:val="001F7173"/>
    <w:rsid w:val="001F771B"/>
    <w:rsid w:val="00200023"/>
    <w:rsid w:val="002007E2"/>
    <w:rsid w:val="0020092B"/>
    <w:rsid w:val="002009B4"/>
    <w:rsid w:val="00200AA8"/>
    <w:rsid w:val="00200D05"/>
    <w:rsid w:val="00200DEF"/>
    <w:rsid w:val="00200E0C"/>
    <w:rsid w:val="00201B66"/>
    <w:rsid w:val="00201F42"/>
    <w:rsid w:val="00201FE1"/>
    <w:rsid w:val="002020DC"/>
    <w:rsid w:val="002025BB"/>
    <w:rsid w:val="002026A8"/>
    <w:rsid w:val="00203537"/>
    <w:rsid w:val="002038E3"/>
    <w:rsid w:val="002042F1"/>
    <w:rsid w:val="002045FB"/>
    <w:rsid w:val="002048F4"/>
    <w:rsid w:val="002049F3"/>
    <w:rsid w:val="00204C2B"/>
    <w:rsid w:val="00204CF7"/>
    <w:rsid w:val="0020537B"/>
    <w:rsid w:val="002055B2"/>
    <w:rsid w:val="002059ED"/>
    <w:rsid w:val="0020651E"/>
    <w:rsid w:val="00206921"/>
    <w:rsid w:val="00206F70"/>
    <w:rsid w:val="0020706B"/>
    <w:rsid w:val="00207220"/>
    <w:rsid w:val="002073A2"/>
    <w:rsid w:val="002074FA"/>
    <w:rsid w:val="00207CD2"/>
    <w:rsid w:val="0021005F"/>
    <w:rsid w:val="0021023A"/>
    <w:rsid w:val="0021089F"/>
    <w:rsid w:val="00210CBB"/>
    <w:rsid w:val="00210D02"/>
    <w:rsid w:val="00210EBE"/>
    <w:rsid w:val="0021126A"/>
    <w:rsid w:val="00211965"/>
    <w:rsid w:val="00211B71"/>
    <w:rsid w:val="0021231F"/>
    <w:rsid w:val="00212BDE"/>
    <w:rsid w:val="00212C86"/>
    <w:rsid w:val="002137ED"/>
    <w:rsid w:val="00213A81"/>
    <w:rsid w:val="002146B8"/>
    <w:rsid w:val="002156E6"/>
    <w:rsid w:val="00215B44"/>
    <w:rsid w:val="00215B82"/>
    <w:rsid w:val="002163FE"/>
    <w:rsid w:val="002169B7"/>
    <w:rsid w:val="00216D23"/>
    <w:rsid w:val="0021758F"/>
    <w:rsid w:val="0021770F"/>
    <w:rsid w:val="00217A73"/>
    <w:rsid w:val="00217BEE"/>
    <w:rsid w:val="002202FE"/>
    <w:rsid w:val="0022080F"/>
    <w:rsid w:val="0022103E"/>
    <w:rsid w:val="00221B73"/>
    <w:rsid w:val="0022284E"/>
    <w:rsid w:val="0022365C"/>
    <w:rsid w:val="00223B83"/>
    <w:rsid w:val="0022425C"/>
    <w:rsid w:val="00224384"/>
    <w:rsid w:val="002244D1"/>
    <w:rsid w:val="00224509"/>
    <w:rsid w:val="0022465E"/>
    <w:rsid w:val="00224B56"/>
    <w:rsid w:val="00225E3A"/>
    <w:rsid w:val="00226230"/>
    <w:rsid w:val="0022631D"/>
    <w:rsid w:val="00226F26"/>
    <w:rsid w:val="00227B98"/>
    <w:rsid w:val="00227F1C"/>
    <w:rsid w:val="002301AE"/>
    <w:rsid w:val="00230342"/>
    <w:rsid w:val="002304F9"/>
    <w:rsid w:val="00230713"/>
    <w:rsid w:val="002307B8"/>
    <w:rsid w:val="00231265"/>
    <w:rsid w:val="0023176E"/>
    <w:rsid w:val="00231A27"/>
    <w:rsid w:val="00232D75"/>
    <w:rsid w:val="00232DA0"/>
    <w:rsid w:val="00232EAF"/>
    <w:rsid w:val="0023356E"/>
    <w:rsid w:val="002338DE"/>
    <w:rsid w:val="0023395F"/>
    <w:rsid w:val="002339ED"/>
    <w:rsid w:val="00233CAE"/>
    <w:rsid w:val="002346EF"/>
    <w:rsid w:val="002347BC"/>
    <w:rsid w:val="002349F5"/>
    <w:rsid w:val="00234C84"/>
    <w:rsid w:val="00234CE7"/>
    <w:rsid w:val="0023511B"/>
    <w:rsid w:val="0023516A"/>
    <w:rsid w:val="0023557F"/>
    <w:rsid w:val="002355DE"/>
    <w:rsid w:val="00235A12"/>
    <w:rsid w:val="00235E4F"/>
    <w:rsid w:val="00236B20"/>
    <w:rsid w:val="00236CD8"/>
    <w:rsid w:val="002374F3"/>
    <w:rsid w:val="00237570"/>
    <w:rsid w:val="002379EF"/>
    <w:rsid w:val="0024006C"/>
    <w:rsid w:val="0024045A"/>
    <w:rsid w:val="00240582"/>
    <w:rsid w:val="002410C7"/>
    <w:rsid w:val="00241306"/>
    <w:rsid w:val="00241D37"/>
    <w:rsid w:val="00241D6C"/>
    <w:rsid w:val="00241D78"/>
    <w:rsid w:val="00242117"/>
    <w:rsid w:val="00242CCC"/>
    <w:rsid w:val="002439DF"/>
    <w:rsid w:val="00243A0B"/>
    <w:rsid w:val="00243B52"/>
    <w:rsid w:val="00243D2C"/>
    <w:rsid w:val="00243DE8"/>
    <w:rsid w:val="00244760"/>
    <w:rsid w:val="0024496F"/>
    <w:rsid w:val="00244B02"/>
    <w:rsid w:val="00244CD1"/>
    <w:rsid w:val="00244EBE"/>
    <w:rsid w:val="00244FB6"/>
    <w:rsid w:val="00245027"/>
    <w:rsid w:val="002456B8"/>
    <w:rsid w:val="0024584C"/>
    <w:rsid w:val="00245EA9"/>
    <w:rsid w:val="00245F6B"/>
    <w:rsid w:val="002464FE"/>
    <w:rsid w:val="00246EFE"/>
    <w:rsid w:val="00247119"/>
    <w:rsid w:val="002471CB"/>
    <w:rsid w:val="002476A0"/>
    <w:rsid w:val="00247907"/>
    <w:rsid w:val="00247BF5"/>
    <w:rsid w:val="00247CE1"/>
    <w:rsid w:val="00250404"/>
    <w:rsid w:val="002506B6"/>
    <w:rsid w:val="00250E4C"/>
    <w:rsid w:val="00250E4E"/>
    <w:rsid w:val="00251048"/>
    <w:rsid w:val="002510B9"/>
    <w:rsid w:val="002519E6"/>
    <w:rsid w:val="00252070"/>
    <w:rsid w:val="002525C6"/>
    <w:rsid w:val="002526E9"/>
    <w:rsid w:val="0025299D"/>
    <w:rsid w:val="00253FF1"/>
    <w:rsid w:val="00254094"/>
    <w:rsid w:val="00254A25"/>
    <w:rsid w:val="00254F7C"/>
    <w:rsid w:val="00255482"/>
    <w:rsid w:val="00255904"/>
    <w:rsid w:val="002569E4"/>
    <w:rsid w:val="00257149"/>
    <w:rsid w:val="002576F3"/>
    <w:rsid w:val="002577A6"/>
    <w:rsid w:val="0025796E"/>
    <w:rsid w:val="00257B95"/>
    <w:rsid w:val="002602E3"/>
    <w:rsid w:val="00260C8B"/>
    <w:rsid w:val="00260CB4"/>
    <w:rsid w:val="00260EB6"/>
    <w:rsid w:val="002612A3"/>
    <w:rsid w:val="002619C5"/>
    <w:rsid w:val="002620C0"/>
    <w:rsid w:val="00262201"/>
    <w:rsid w:val="0026235D"/>
    <w:rsid w:val="002624FE"/>
    <w:rsid w:val="00262870"/>
    <w:rsid w:val="002629E3"/>
    <w:rsid w:val="00262CA8"/>
    <w:rsid w:val="002634E1"/>
    <w:rsid w:val="0026369B"/>
    <w:rsid w:val="00263AA1"/>
    <w:rsid w:val="00263EE6"/>
    <w:rsid w:val="002641BD"/>
    <w:rsid w:val="0026439D"/>
    <w:rsid w:val="00264B73"/>
    <w:rsid w:val="00264CBE"/>
    <w:rsid w:val="00264F54"/>
    <w:rsid w:val="0026503C"/>
    <w:rsid w:val="00265551"/>
    <w:rsid w:val="002655D2"/>
    <w:rsid w:val="00265FDD"/>
    <w:rsid w:val="002669B9"/>
    <w:rsid w:val="00266B3B"/>
    <w:rsid w:val="00266DF4"/>
    <w:rsid w:val="00266FDF"/>
    <w:rsid w:val="00267029"/>
    <w:rsid w:val="002672FE"/>
    <w:rsid w:val="00267E00"/>
    <w:rsid w:val="002707C1"/>
    <w:rsid w:val="00270883"/>
    <w:rsid w:val="002708B0"/>
    <w:rsid w:val="00270C3A"/>
    <w:rsid w:val="00271180"/>
    <w:rsid w:val="00271312"/>
    <w:rsid w:val="00271612"/>
    <w:rsid w:val="00271763"/>
    <w:rsid w:val="00271978"/>
    <w:rsid w:val="00271C83"/>
    <w:rsid w:val="0027241E"/>
    <w:rsid w:val="002724FD"/>
    <w:rsid w:val="002727C9"/>
    <w:rsid w:val="00272AF9"/>
    <w:rsid w:val="00272B3F"/>
    <w:rsid w:val="00272F2F"/>
    <w:rsid w:val="0027348F"/>
    <w:rsid w:val="00274986"/>
    <w:rsid w:val="00274A80"/>
    <w:rsid w:val="00274B85"/>
    <w:rsid w:val="0027509E"/>
    <w:rsid w:val="00275406"/>
    <w:rsid w:val="0027542D"/>
    <w:rsid w:val="00275669"/>
    <w:rsid w:val="00275722"/>
    <w:rsid w:val="00275883"/>
    <w:rsid w:val="00275A2B"/>
    <w:rsid w:val="00275AEB"/>
    <w:rsid w:val="0027623A"/>
    <w:rsid w:val="00276825"/>
    <w:rsid w:val="00276C1D"/>
    <w:rsid w:val="0027710C"/>
    <w:rsid w:val="0027712E"/>
    <w:rsid w:val="002771A4"/>
    <w:rsid w:val="00277648"/>
    <w:rsid w:val="00277C56"/>
    <w:rsid w:val="00280343"/>
    <w:rsid w:val="00280C7D"/>
    <w:rsid w:val="00280E50"/>
    <w:rsid w:val="00281618"/>
    <w:rsid w:val="00281A5D"/>
    <w:rsid w:val="00281C00"/>
    <w:rsid w:val="00281F1C"/>
    <w:rsid w:val="00281F68"/>
    <w:rsid w:val="00282038"/>
    <w:rsid w:val="0028254F"/>
    <w:rsid w:val="00282BB4"/>
    <w:rsid w:val="00282BED"/>
    <w:rsid w:val="00282FE0"/>
    <w:rsid w:val="002833BE"/>
    <w:rsid w:val="00283590"/>
    <w:rsid w:val="00283A77"/>
    <w:rsid w:val="00284395"/>
    <w:rsid w:val="00284631"/>
    <w:rsid w:val="0028499B"/>
    <w:rsid w:val="00284C38"/>
    <w:rsid w:val="00285180"/>
    <w:rsid w:val="0028559A"/>
    <w:rsid w:val="00285C87"/>
    <w:rsid w:val="00285DBC"/>
    <w:rsid w:val="00285DD5"/>
    <w:rsid w:val="00285EB5"/>
    <w:rsid w:val="0028679A"/>
    <w:rsid w:val="00286DD7"/>
    <w:rsid w:val="00290A99"/>
    <w:rsid w:val="00290C75"/>
    <w:rsid w:val="00290EFB"/>
    <w:rsid w:val="002916D8"/>
    <w:rsid w:val="0029179A"/>
    <w:rsid w:val="002918E2"/>
    <w:rsid w:val="00291C2D"/>
    <w:rsid w:val="00291D7C"/>
    <w:rsid w:val="00291F83"/>
    <w:rsid w:val="002924A6"/>
    <w:rsid w:val="002926EC"/>
    <w:rsid w:val="00292E7F"/>
    <w:rsid w:val="00292F5A"/>
    <w:rsid w:val="002933EF"/>
    <w:rsid w:val="0029352A"/>
    <w:rsid w:val="00293FAC"/>
    <w:rsid w:val="00294E1B"/>
    <w:rsid w:val="00294FB3"/>
    <w:rsid w:val="002953B5"/>
    <w:rsid w:val="002958DC"/>
    <w:rsid w:val="0029630E"/>
    <w:rsid w:val="00296448"/>
    <w:rsid w:val="00296883"/>
    <w:rsid w:val="00296C42"/>
    <w:rsid w:val="00296CDB"/>
    <w:rsid w:val="002970A8"/>
    <w:rsid w:val="002977B8"/>
    <w:rsid w:val="002979B9"/>
    <w:rsid w:val="00297F7D"/>
    <w:rsid w:val="002A0374"/>
    <w:rsid w:val="002A046C"/>
    <w:rsid w:val="002A0608"/>
    <w:rsid w:val="002A0709"/>
    <w:rsid w:val="002A0A12"/>
    <w:rsid w:val="002A0E28"/>
    <w:rsid w:val="002A0F20"/>
    <w:rsid w:val="002A1C7B"/>
    <w:rsid w:val="002A201B"/>
    <w:rsid w:val="002A203C"/>
    <w:rsid w:val="002A233E"/>
    <w:rsid w:val="002A2A62"/>
    <w:rsid w:val="002A2B64"/>
    <w:rsid w:val="002A303B"/>
    <w:rsid w:val="002A3101"/>
    <w:rsid w:val="002A38A0"/>
    <w:rsid w:val="002A38EB"/>
    <w:rsid w:val="002A3A23"/>
    <w:rsid w:val="002A3E77"/>
    <w:rsid w:val="002A42C6"/>
    <w:rsid w:val="002A42FD"/>
    <w:rsid w:val="002A4390"/>
    <w:rsid w:val="002A456D"/>
    <w:rsid w:val="002A47A5"/>
    <w:rsid w:val="002A4B5D"/>
    <w:rsid w:val="002A51A9"/>
    <w:rsid w:val="002A545D"/>
    <w:rsid w:val="002A54DA"/>
    <w:rsid w:val="002A5B7D"/>
    <w:rsid w:val="002A5C84"/>
    <w:rsid w:val="002A5E3C"/>
    <w:rsid w:val="002A5E9A"/>
    <w:rsid w:val="002A67A8"/>
    <w:rsid w:val="002A6ADF"/>
    <w:rsid w:val="002A716C"/>
    <w:rsid w:val="002B0592"/>
    <w:rsid w:val="002B0C15"/>
    <w:rsid w:val="002B0EF3"/>
    <w:rsid w:val="002B10FF"/>
    <w:rsid w:val="002B1926"/>
    <w:rsid w:val="002B20F1"/>
    <w:rsid w:val="002B2839"/>
    <w:rsid w:val="002B2DA8"/>
    <w:rsid w:val="002B3A54"/>
    <w:rsid w:val="002B3AC2"/>
    <w:rsid w:val="002B457C"/>
    <w:rsid w:val="002B4810"/>
    <w:rsid w:val="002B4A2D"/>
    <w:rsid w:val="002B4D6F"/>
    <w:rsid w:val="002B507C"/>
    <w:rsid w:val="002B50E2"/>
    <w:rsid w:val="002B53D4"/>
    <w:rsid w:val="002B545C"/>
    <w:rsid w:val="002B577D"/>
    <w:rsid w:val="002B59F8"/>
    <w:rsid w:val="002B5B0C"/>
    <w:rsid w:val="002B5BC2"/>
    <w:rsid w:val="002B5C38"/>
    <w:rsid w:val="002B61C3"/>
    <w:rsid w:val="002B69CB"/>
    <w:rsid w:val="002B6EAC"/>
    <w:rsid w:val="002B72F9"/>
    <w:rsid w:val="002B76E7"/>
    <w:rsid w:val="002B7752"/>
    <w:rsid w:val="002B7C68"/>
    <w:rsid w:val="002C0A36"/>
    <w:rsid w:val="002C0E1B"/>
    <w:rsid w:val="002C1464"/>
    <w:rsid w:val="002C18AA"/>
    <w:rsid w:val="002C1BFA"/>
    <w:rsid w:val="002C22B2"/>
    <w:rsid w:val="002C26F9"/>
    <w:rsid w:val="002C301C"/>
    <w:rsid w:val="002C3EE1"/>
    <w:rsid w:val="002C3FE0"/>
    <w:rsid w:val="002C40EE"/>
    <w:rsid w:val="002C4249"/>
    <w:rsid w:val="002C4B85"/>
    <w:rsid w:val="002C4C5E"/>
    <w:rsid w:val="002C50F0"/>
    <w:rsid w:val="002C51C0"/>
    <w:rsid w:val="002C5287"/>
    <w:rsid w:val="002C6873"/>
    <w:rsid w:val="002C6C9A"/>
    <w:rsid w:val="002C6E1D"/>
    <w:rsid w:val="002C6E46"/>
    <w:rsid w:val="002C725E"/>
    <w:rsid w:val="002C7ACC"/>
    <w:rsid w:val="002C7C54"/>
    <w:rsid w:val="002C7D52"/>
    <w:rsid w:val="002D0458"/>
    <w:rsid w:val="002D0583"/>
    <w:rsid w:val="002D06BB"/>
    <w:rsid w:val="002D0DA8"/>
    <w:rsid w:val="002D1349"/>
    <w:rsid w:val="002D1A70"/>
    <w:rsid w:val="002D1D77"/>
    <w:rsid w:val="002D2B7C"/>
    <w:rsid w:val="002D2E24"/>
    <w:rsid w:val="002D2E75"/>
    <w:rsid w:val="002D3584"/>
    <w:rsid w:val="002D3E49"/>
    <w:rsid w:val="002D4587"/>
    <w:rsid w:val="002D48B9"/>
    <w:rsid w:val="002D4A96"/>
    <w:rsid w:val="002D4E9C"/>
    <w:rsid w:val="002D52AD"/>
    <w:rsid w:val="002D5518"/>
    <w:rsid w:val="002D56BD"/>
    <w:rsid w:val="002D578A"/>
    <w:rsid w:val="002D68A2"/>
    <w:rsid w:val="002D6F9A"/>
    <w:rsid w:val="002D70C9"/>
    <w:rsid w:val="002D7116"/>
    <w:rsid w:val="002D7273"/>
    <w:rsid w:val="002D7AC1"/>
    <w:rsid w:val="002D7FB2"/>
    <w:rsid w:val="002E039C"/>
    <w:rsid w:val="002E0DCB"/>
    <w:rsid w:val="002E17DC"/>
    <w:rsid w:val="002E1E40"/>
    <w:rsid w:val="002E2142"/>
    <w:rsid w:val="002E2273"/>
    <w:rsid w:val="002E280F"/>
    <w:rsid w:val="002E290B"/>
    <w:rsid w:val="002E304A"/>
    <w:rsid w:val="002E31C8"/>
    <w:rsid w:val="002E341E"/>
    <w:rsid w:val="002E387F"/>
    <w:rsid w:val="002E4191"/>
    <w:rsid w:val="002E424C"/>
    <w:rsid w:val="002E45DF"/>
    <w:rsid w:val="002E4CFF"/>
    <w:rsid w:val="002E4F68"/>
    <w:rsid w:val="002E5379"/>
    <w:rsid w:val="002E585F"/>
    <w:rsid w:val="002E5F08"/>
    <w:rsid w:val="002E5F91"/>
    <w:rsid w:val="002E6019"/>
    <w:rsid w:val="002E6064"/>
    <w:rsid w:val="002E614C"/>
    <w:rsid w:val="002E634B"/>
    <w:rsid w:val="002E63E2"/>
    <w:rsid w:val="002E6724"/>
    <w:rsid w:val="002E6DBA"/>
    <w:rsid w:val="002E6EC3"/>
    <w:rsid w:val="002E7089"/>
    <w:rsid w:val="002E7284"/>
    <w:rsid w:val="002E780F"/>
    <w:rsid w:val="002E7CC8"/>
    <w:rsid w:val="002E7EDF"/>
    <w:rsid w:val="002E7F7A"/>
    <w:rsid w:val="002F01B8"/>
    <w:rsid w:val="002F02BD"/>
    <w:rsid w:val="002F0339"/>
    <w:rsid w:val="002F08B0"/>
    <w:rsid w:val="002F11FE"/>
    <w:rsid w:val="002F17C7"/>
    <w:rsid w:val="002F193A"/>
    <w:rsid w:val="002F19FD"/>
    <w:rsid w:val="002F1AF4"/>
    <w:rsid w:val="002F2965"/>
    <w:rsid w:val="002F2D4B"/>
    <w:rsid w:val="002F2ED2"/>
    <w:rsid w:val="002F3176"/>
    <w:rsid w:val="002F35FE"/>
    <w:rsid w:val="002F3AE0"/>
    <w:rsid w:val="002F3DD1"/>
    <w:rsid w:val="002F3EAE"/>
    <w:rsid w:val="002F3F31"/>
    <w:rsid w:val="002F45D3"/>
    <w:rsid w:val="002F485D"/>
    <w:rsid w:val="002F4B29"/>
    <w:rsid w:val="002F4C1A"/>
    <w:rsid w:val="002F5005"/>
    <w:rsid w:val="002F5141"/>
    <w:rsid w:val="002F5A0A"/>
    <w:rsid w:val="002F5E26"/>
    <w:rsid w:val="002F61CD"/>
    <w:rsid w:val="002F64B3"/>
    <w:rsid w:val="002F66EF"/>
    <w:rsid w:val="002F68EE"/>
    <w:rsid w:val="002F6E2E"/>
    <w:rsid w:val="002F6F66"/>
    <w:rsid w:val="002F7255"/>
    <w:rsid w:val="002F744B"/>
    <w:rsid w:val="002F74BB"/>
    <w:rsid w:val="002F78C0"/>
    <w:rsid w:val="003002B1"/>
    <w:rsid w:val="00300CD7"/>
    <w:rsid w:val="00300E0F"/>
    <w:rsid w:val="003013F4"/>
    <w:rsid w:val="0030166F"/>
    <w:rsid w:val="00301D49"/>
    <w:rsid w:val="0030213D"/>
    <w:rsid w:val="00302494"/>
    <w:rsid w:val="00303162"/>
    <w:rsid w:val="003038D3"/>
    <w:rsid w:val="00303BB0"/>
    <w:rsid w:val="00303C44"/>
    <w:rsid w:val="0030413B"/>
    <w:rsid w:val="003041A4"/>
    <w:rsid w:val="003043A1"/>
    <w:rsid w:val="0030457C"/>
    <w:rsid w:val="00304C08"/>
    <w:rsid w:val="00305006"/>
    <w:rsid w:val="00305248"/>
    <w:rsid w:val="003054B4"/>
    <w:rsid w:val="00305787"/>
    <w:rsid w:val="0030587D"/>
    <w:rsid w:val="00305C19"/>
    <w:rsid w:val="00305EEA"/>
    <w:rsid w:val="003061D2"/>
    <w:rsid w:val="00306D71"/>
    <w:rsid w:val="00307B4B"/>
    <w:rsid w:val="00307EBF"/>
    <w:rsid w:val="0031023D"/>
    <w:rsid w:val="00310354"/>
    <w:rsid w:val="003104AF"/>
    <w:rsid w:val="0031055D"/>
    <w:rsid w:val="00310925"/>
    <w:rsid w:val="00310A7E"/>
    <w:rsid w:val="00311476"/>
    <w:rsid w:val="00311C8E"/>
    <w:rsid w:val="00311F2E"/>
    <w:rsid w:val="003122A2"/>
    <w:rsid w:val="003129B4"/>
    <w:rsid w:val="003129C7"/>
    <w:rsid w:val="0031319D"/>
    <w:rsid w:val="00313428"/>
    <w:rsid w:val="0031369C"/>
    <w:rsid w:val="00313921"/>
    <w:rsid w:val="00313D9B"/>
    <w:rsid w:val="00314D94"/>
    <w:rsid w:val="00314EF0"/>
    <w:rsid w:val="00314F13"/>
    <w:rsid w:val="0031578D"/>
    <w:rsid w:val="00315E9D"/>
    <w:rsid w:val="003160DE"/>
    <w:rsid w:val="00316C53"/>
    <w:rsid w:val="0031707E"/>
    <w:rsid w:val="0031781D"/>
    <w:rsid w:val="00317967"/>
    <w:rsid w:val="003200A0"/>
    <w:rsid w:val="0032024F"/>
    <w:rsid w:val="0032034F"/>
    <w:rsid w:val="003205FD"/>
    <w:rsid w:val="003208FC"/>
    <w:rsid w:val="003209E0"/>
    <w:rsid w:val="00321190"/>
    <w:rsid w:val="00321830"/>
    <w:rsid w:val="00321961"/>
    <w:rsid w:val="00322803"/>
    <w:rsid w:val="003229D4"/>
    <w:rsid w:val="003235BC"/>
    <w:rsid w:val="00323B0A"/>
    <w:rsid w:val="00323D40"/>
    <w:rsid w:val="00324357"/>
    <w:rsid w:val="0032485F"/>
    <w:rsid w:val="003249B0"/>
    <w:rsid w:val="00325307"/>
    <w:rsid w:val="00325B4C"/>
    <w:rsid w:val="0032693C"/>
    <w:rsid w:val="003278EA"/>
    <w:rsid w:val="00327924"/>
    <w:rsid w:val="00327B25"/>
    <w:rsid w:val="00330669"/>
    <w:rsid w:val="0033079D"/>
    <w:rsid w:val="003309FF"/>
    <w:rsid w:val="003310B6"/>
    <w:rsid w:val="003318D4"/>
    <w:rsid w:val="00331F4F"/>
    <w:rsid w:val="00331FAD"/>
    <w:rsid w:val="0033204F"/>
    <w:rsid w:val="003320DB"/>
    <w:rsid w:val="0033213A"/>
    <w:rsid w:val="003327BC"/>
    <w:rsid w:val="003328FD"/>
    <w:rsid w:val="00332988"/>
    <w:rsid w:val="0033347E"/>
    <w:rsid w:val="00333A1E"/>
    <w:rsid w:val="00333A3B"/>
    <w:rsid w:val="00333A4A"/>
    <w:rsid w:val="00333B4B"/>
    <w:rsid w:val="00333C43"/>
    <w:rsid w:val="003342DF"/>
    <w:rsid w:val="00334BDD"/>
    <w:rsid w:val="00334CC3"/>
    <w:rsid w:val="00335D64"/>
    <w:rsid w:val="00335E0E"/>
    <w:rsid w:val="00335FB8"/>
    <w:rsid w:val="00335FBB"/>
    <w:rsid w:val="00335FEC"/>
    <w:rsid w:val="00336326"/>
    <w:rsid w:val="00336692"/>
    <w:rsid w:val="0033683F"/>
    <w:rsid w:val="00336BCB"/>
    <w:rsid w:val="00336DC9"/>
    <w:rsid w:val="00336FA9"/>
    <w:rsid w:val="00337CA7"/>
    <w:rsid w:val="00337D00"/>
    <w:rsid w:val="00337EE8"/>
    <w:rsid w:val="00340B52"/>
    <w:rsid w:val="00340C59"/>
    <w:rsid w:val="00341847"/>
    <w:rsid w:val="00341DA4"/>
    <w:rsid w:val="00342243"/>
    <w:rsid w:val="003428DE"/>
    <w:rsid w:val="0034298C"/>
    <w:rsid w:val="00342E7D"/>
    <w:rsid w:val="00343776"/>
    <w:rsid w:val="00343999"/>
    <w:rsid w:val="00343A16"/>
    <w:rsid w:val="00343ABB"/>
    <w:rsid w:val="003443E1"/>
    <w:rsid w:val="00344429"/>
    <w:rsid w:val="00344506"/>
    <w:rsid w:val="00344A66"/>
    <w:rsid w:val="00344AA3"/>
    <w:rsid w:val="00344F62"/>
    <w:rsid w:val="00344F81"/>
    <w:rsid w:val="00345288"/>
    <w:rsid w:val="003454FB"/>
    <w:rsid w:val="00345DBA"/>
    <w:rsid w:val="00346615"/>
    <w:rsid w:val="00347CCA"/>
    <w:rsid w:val="00347E96"/>
    <w:rsid w:val="003507A7"/>
    <w:rsid w:val="00350A76"/>
    <w:rsid w:val="00350BC4"/>
    <w:rsid w:val="00351448"/>
    <w:rsid w:val="003519C7"/>
    <w:rsid w:val="00351A9F"/>
    <w:rsid w:val="0035264B"/>
    <w:rsid w:val="00352694"/>
    <w:rsid w:val="00352D46"/>
    <w:rsid w:val="00352DBB"/>
    <w:rsid w:val="003538BD"/>
    <w:rsid w:val="00353E92"/>
    <w:rsid w:val="00353F48"/>
    <w:rsid w:val="0035406E"/>
    <w:rsid w:val="003540E0"/>
    <w:rsid w:val="003544A2"/>
    <w:rsid w:val="00355573"/>
    <w:rsid w:val="00355AE7"/>
    <w:rsid w:val="00356099"/>
    <w:rsid w:val="00356541"/>
    <w:rsid w:val="0035664C"/>
    <w:rsid w:val="003574DA"/>
    <w:rsid w:val="00357704"/>
    <w:rsid w:val="00357788"/>
    <w:rsid w:val="00357AA7"/>
    <w:rsid w:val="00357AB9"/>
    <w:rsid w:val="003604D4"/>
    <w:rsid w:val="00360620"/>
    <w:rsid w:val="00360809"/>
    <w:rsid w:val="0036082B"/>
    <w:rsid w:val="00360EEC"/>
    <w:rsid w:val="0036103F"/>
    <w:rsid w:val="00361264"/>
    <w:rsid w:val="00361AEA"/>
    <w:rsid w:val="00361F62"/>
    <w:rsid w:val="00362158"/>
    <w:rsid w:val="00362263"/>
    <w:rsid w:val="00362383"/>
    <w:rsid w:val="00363133"/>
    <w:rsid w:val="0036350D"/>
    <w:rsid w:val="00363586"/>
    <w:rsid w:val="0036381A"/>
    <w:rsid w:val="00363C5C"/>
    <w:rsid w:val="0036434B"/>
    <w:rsid w:val="00364E15"/>
    <w:rsid w:val="00365098"/>
    <w:rsid w:val="00365395"/>
    <w:rsid w:val="003653C2"/>
    <w:rsid w:val="0036582A"/>
    <w:rsid w:val="003659A3"/>
    <w:rsid w:val="00365A88"/>
    <w:rsid w:val="00366262"/>
    <w:rsid w:val="0036683A"/>
    <w:rsid w:val="00366B0D"/>
    <w:rsid w:val="0036732D"/>
    <w:rsid w:val="00367FEB"/>
    <w:rsid w:val="00370552"/>
    <w:rsid w:val="0037061D"/>
    <w:rsid w:val="00370F12"/>
    <w:rsid w:val="00371270"/>
    <w:rsid w:val="003717D9"/>
    <w:rsid w:val="0037191B"/>
    <w:rsid w:val="00371E8C"/>
    <w:rsid w:val="00371FDB"/>
    <w:rsid w:val="00372280"/>
    <w:rsid w:val="003724EE"/>
    <w:rsid w:val="003725C2"/>
    <w:rsid w:val="00372C0E"/>
    <w:rsid w:val="00372DA0"/>
    <w:rsid w:val="00372F27"/>
    <w:rsid w:val="00372F5A"/>
    <w:rsid w:val="00373550"/>
    <w:rsid w:val="00373658"/>
    <w:rsid w:val="00373751"/>
    <w:rsid w:val="00373EA1"/>
    <w:rsid w:val="00374210"/>
    <w:rsid w:val="003749CF"/>
    <w:rsid w:val="00374E17"/>
    <w:rsid w:val="00374F50"/>
    <w:rsid w:val="003752EA"/>
    <w:rsid w:val="00375597"/>
    <w:rsid w:val="003756C3"/>
    <w:rsid w:val="003758BB"/>
    <w:rsid w:val="00375A5E"/>
    <w:rsid w:val="00375AF5"/>
    <w:rsid w:val="00376058"/>
    <w:rsid w:val="00376BD1"/>
    <w:rsid w:val="00376FC7"/>
    <w:rsid w:val="0037727D"/>
    <w:rsid w:val="0038034F"/>
    <w:rsid w:val="003804DB"/>
    <w:rsid w:val="00380B2E"/>
    <w:rsid w:val="0038123A"/>
    <w:rsid w:val="00381A98"/>
    <w:rsid w:val="00381AB9"/>
    <w:rsid w:val="00381D19"/>
    <w:rsid w:val="00381DE4"/>
    <w:rsid w:val="00382355"/>
    <w:rsid w:val="003824B8"/>
    <w:rsid w:val="00382D52"/>
    <w:rsid w:val="00382FB8"/>
    <w:rsid w:val="003831A5"/>
    <w:rsid w:val="0038324A"/>
    <w:rsid w:val="0038337B"/>
    <w:rsid w:val="00383988"/>
    <w:rsid w:val="00383BAD"/>
    <w:rsid w:val="003840A2"/>
    <w:rsid w:val="00384CEB"/>
    <w:rsid w:val="00384E5E"/>
    <w:rsid w:val="00384EC5"/>
    <w:rsid w:val="003851FA"/>
    <w:rsid w:val="00385583"/>
    <w:rsid w:val="00386697"/>
    <w:rsid w:val="00386C26"/>
    <w:rsid w:val="00386E0F"/>
    <w:rsid w:val="003871F7"/>
    <w:rsid w:val="00387486"/>
    <w:rsid w:val="00387B4C"/>
    <w:rsid w:val="00387D6C"/>
    <w:rsid w:val="00387E06"/>
    <w:rsid w:val="0039003E"/>
    <w:rsid w:val="0039021F"/>
    <w:rsid w:val="00390705"/>
    <w:rsid w:val="00390A1C"/>
    <w:rsid w:val="00390BDA"/>
    <w:rsid w:val="00390E26"/>
    <w:rsid w:val="00390EEC"/>
    <w:rsid w:val="0039140F"/>
    <w:rsid w:val="0039161E"/>
    <w:rsid w:val="003918F4"/>
    <w:rsid w:val="00391ED2"/>
    <w:rsid w:val="00391FEB"/>
    <w:rsid w:val="00392059"/>
    <w:rsid w:val="003922B0"/>
    <w:rsid w:val="0039268F"/>
    <w:rsid w:val="0039361C"/>
    <w:rsid w:val="00393C67"/>
    <w:rsid w:val="0039408F"/>
    <w:rsid w:val="0039418B"/>
    <w:rsid w:val="00394290"/>
    <w:rsid w:val="003947A5"/>
    <w:rsid w:val="00394D57"/>
    <w:rsid w:val="00394F70"/>
    <w:rsid w:val="00395C24"/>
    <w:rsid w:val="00395CC5"/>
    <w:rsid w:val="00395EE2"/>
    <w:rsid w:val="00396506"/>
    <w:rsid w:val="00396815"/>
    <w:rsid w:val="00396D6B"/>
    <w:rsid w:val="00396DE3"/>
    <w:rsid w:val="003974ED"/>
    <w:rsid w:val="00397C50"/>
    <w:rsid w:val="00397C8A"/>
    <w:rsid w:val="00397D39"/>
    <w:rsid w:val="003A0434"/>
    <w:rsid w:val="003A04D6"/>
    <w:rsid w:val="003A04FE"/>
    <w:rsid w:val="003A080A"/>
    <w:rsid w:val="003A199A"/>
    <w:rsid w:val="003A2E22"/>
    <w:rsid w:val="003A2F0B"/>
    <w:rsid w:val="003A35A4"/>
    <w:rsid w:val="003A35A6"/>
    <w:rsid w:val="003A375C"/>
    <w:rsid w:val="003A3927"/>
    <w:rsid w:val="003A3C3D"/>
    <w:rsid w:val="003A427F"/>
    <w:rsid w:val="003A49EB"/>
    <w:rsid w:val="003A4C67"/>
    <w:rsid w:val="003A5721"/>
    <w:rsid w:val="003A596B"/>
    <w:rsid w:val="003A5A6F"/>
    <w:rsid w:val="003A5B54"/>
    <w:rsid w:val="003A5BC4"/>
    <w:rsid w:val="003A5D07"/>
    <w:rsid w:val="003A6645"/>
    <w:rsid w:val="003A6841"/>
    <w:rsid w:val="003A6909"/>
    <w:rsid w:val="003A6B3C"/>
    <w:rsid w:val="003A6DC3"/>
    <w:rsid w:val="003A713E"/>
    <w:rsid w:val="003A72B2"/>
    <w:rsid w:val="003B0D1D"/>
    <w:rsid w:val="003B14BD"/>
    <w:rsid w:val="003B16C9"/>
    <w:rsid w:val="003B1762"/>
    <w:rsid w:val="003B19DD"/>
    <w:rsid w:val="003B2428"/>
    <w:rsid w:val="003B24C0"/>
    <w:rsid w:val="003B27F0"/>
    <w:rsid w:val="003B2B20"/>
    <w:rsid w:val="003B2C15"/>
    <w:rsid w:val="003B2DB7"/>
    <w:rsid w:val="003B302B"/>
    <w:rsid w:val="003B33DD"/>
    <w:rsid w:val="003B3630"/>
    <w:rsid w:val="003B3730"/>
    <w:rsid w:val="003B3775"/>
    <w:rsid w:val="003B3EC4"/>
    <w:rsid w:val="003B415F"/>
    <w:rsid w:val="003B4252"/>
    <w:rsid w:val="003B4395"/>
    <w:rsid w:val="003B47B1"/>
    <w:rsid w:val="003B4A44"/>
    <w:rsid w:val="003B4AED"/>
    <w:rsid w:val="003B4E58"/>
    <w:rsid w:val="003B5280"/>
    <w:rsid w:val="003B5547"/>
    <w:rsid w:val="003B5D00"/>
    <w:rsid w:val="003B5F66"/>
    <w:rsid w:val="003B6641"/>
    <w:rsid w:val="003B66C2"/>
    <w:rsid w:val="003B69B3"/>
    <w:rsid w:val="003B6B24"/>
    <w:rsid w:val="003B6CFA"/>
    <w:rsid w:val="003B72C4"/>
    <w:rsid w:val="003B7313"/>
    <w:rsid w:val="003B7A77"/>
    <w:rsid w:val="003C0BC9"/>
    <w:rsid w:val="003C0C22"/>
    <w:rsid w:val="003C0C2C"/>
    <w:rsid w:val="003C0E20"/>
    <w:rsid w:val="003C1268"/>
    <w:rsid w:val="003C189A"/>
    <w:rsid w:val="003C1950"/>
    <w:rsid w:val="003C199E"/>
    <w:rsid w:val="003C1BBA"/>
    <w:rsid w:val="003C1DC3"/>
    <w:rsid w:val="003C1E75"/>
    <w:rsid w:val="003C2414"/>
    <w:rsid w:val="003C278D"/>
    <w:rsid w:val="003C3333"/>
    <w:rsid w:val="003C370E"/>
    <w:rsid w:val="003C38A3"/>
    <w:rsid w:val="003C3925"/>
    <w:rsid w:val="003C3DBF"/>
    <w:rsid w:val="003C46BB"/>
    <w:rsid w:val="003C4847"/>
    <w:rsid w:val="003C4AD3"/>
    <w:rsid w:val="003C4BB9"/>
    <w:rsid w:val="003C4C31"/>
    <w:rsid w:val="003C4D57"/>
    <w:rsid w:val="003C4DE1"/>
    <w:rsid w:val="003C4E13"/>
    <w:rsid w:val="003C5774"/>
    <w:rsid w:val="003C60C0"/>
    <w:rsid w:val="003C631A"/>
    <w:rsid w:val="003C6949"/>
    <w:rsid w:val="003C6A92"/>
    <w:rsid w:val="003C6D47"/>
    <w:rsid w:val="003C6DD6"/>
    <w:rsid w:val="003C7317"/>
    <w:rsid w:val="003C77DA"/>
    <w:rsid w:val="003C7A10"/>
    <w:rsid w:val="003C7FCA"/>
    <w:rsid w:val="003D0018"/>
    <w:rsid w:val="003D0097"/>
    <w:rsid w:val="003D00DF"/>
    <w:rsid w:val="003D07C3"/>
    <w:rsid w:val="003D0C28"/>
    <w:rsid w:val="003D0DE4"/>
    <w:rsid w:val="003D1705"/>
    <w:rsid w:val="003D1888"/>
    <w:rsid w:val="003D1DCA"/>
    <w:rsid w:val="003D21E2"/>
    <w:rsid w:val="003D23F8"/>
    <w:rsid w:val="003D2564"/>
    <w:rsid w:val="003D2645"/>
    <w:rsid w:val="003D2A00"/>
    <w:rsid w:val="003D2AA0"/>
    <w:rsid w:val="003D2CDF"/>
    <w:rsid w:val="003D30F9"/>
    <w:rsid w:val="003D3195"/>
    <w:rsid w:val="003D3317"/>
    <w:rsid w:val="003D3B96"/>
    <w:rsid w:val="003D3C19"/>
    <w:rsid w:val="003D3C8B"/>
    <w:rsid w:val="003D422A"/>
    <w:rsid w:val="003D4B03"/>
    <w:rsid w:val="003D53C4"/>
    <w:rsid w:val="003D54C3"/>
    <w:rsid w:val="003D5661"/>
    <w:rsid w:val="003D5839"/>
    <w:rsid w:val="003D5936"/>
    <w:rsid w:val="003D5B03"/>
    <w:rsid w:val="003D5D4C"/>
    <w:rsid w:val="003D6BD4"/>
    <w:rsid w:val="003D6EC7"/>
    <w:rsid w:val="003D719D"/>
    <w:rsid w:val="003D771F"/>
    <w:rsid w:val="003D7EBA"/>
    <w:rsid w:val="003E00FA"/>
    <w:rsid w:val="003E0895"/>
    <w:rsid w:val="003E0C40"/>
    <w:rsid w:val="003E0F13"/>
    <w:rsid w:val="003E1011"/>
    <w:rsid w:val="003E10B9"/>
    <w:rsid w:val="003E22A2"/>
    <w:rsid w:val="003E2AAB"/>
    <w:rsid w:val="003E2BC2"/>
    <w:rsid w:val="003E32B2"/>
    <w:rsid w:val="003E36D0"/>
    <w:rsid w:val="003E3953"/>
    <w:rsid w:val="003E44D0"/>
    <w:rsid w:val="003E47F8"/>
    <w:rsid w:val="003E5798"/>
    <w:rsid w:val="003E5909"/>
    <w:rsid w:val="003E5BC9"/>
    <w:rsid w:val="003E613E"/>
    <w:rsid w:val="003E64F3"/>
    <w:rsid w:val="003E6818"/>
    <w:rsid w:val="003E68E8"/>
    <w:rsid w:val="003E71C9"/>
    <w:rsid w:val="003E7504"/>
    <w:rsid w:val="003E756F"/>
    <w:rsid w:val="003E7664"/>
    <w:rsid w:val="003E7979"/>
    <w:rsid w:val="003E7A03"/>
    <w:rsid w:val="003E7D1A"/>
    <w:rsid w:val="003E7D5A"/>
    <w:rsid w:val="003E7FA5"/>
    <w:rsid w:val="003F0255"/>
    <w:rsid w:val="003F04B8"/>
    <w:rsid w:val="003F0BCE"/>
    <w:rsid w:val="003F0D60"/>
    <w:rsid w:val="003F1DED"/>
    <w:rsid w:val="003F1E13"/>
    <w:rsid w:val="003F1E88"/>
    <w:rsid w:val="003F238B"/>
    <w:rsid w:val="003F23A3"/>
    <w:rsid w:val="003F31B5"/>
    <w:rsid w:val="003F379E"/>
    <w:rsid w:val="003F382C"/>
    <w:rsid w:val="003F3E0E"/>
    <w:rsid w:val="003F3FBB"/>
    <w:rsid w:val="003F410A"/>
    <w:rsid w:val="003F4F19"/>
    <w:rsid w:val="003F52FE"/>
    <w:rsid w:val="003F5960"/>
    <w:rsid w:val="003F626A"/>
    <w:rsid w:val="003F68A9"/>
    <w:rsid w:val="003F6933"/>
    <w:rsid w:val="003F6DCB"/>
    <w:rsid w:val="003F6F3A"/>
    <w:rsid w:val="003F74AC"/>
    <w:rsid w:val="003F76D6"/>
    <w:rsid w:val="003F7A75"/>
    <w:rsid w:val="003F7B9B"/>
    <w:rsid w:val="003F7DDA"/>
    <w:rsid w:val="0040029F"/>
    <w:rsid w:val="0040039A"/>
    <w:rsid w:val="004006BC"/>
    <w:rsid w:val="00400A08"/>
    <w:rsid w:val="004010C7"/>
    <w:rsid w:val="00401468"/>
    <w:rsid w:val="0040162F"/>
    <w:rsid w:val="00401833"/>
    <w:rsid w:val="0040195E"/>
    <w:rsid w:val="00401A79"/>
    <w:rsid w:val="00401AC9"/>
    <w:rsid w:val="00402144"/>
    <w:rsid w:val="00402570"/>
    <w:rsid w:val="00402B76"/>
    <w:rsid w:val="00402D19"/>
    <w:rsid w:val="004030A5"/>
    <w:rsid w:val="004032DF"/>
    <w:rsid w:val="00403BB0"/>
    <w:rsid w:val="00403CBB"/>
    <w:rsid w:val="00404097"/>
    <w:rsid w:val="00404363"/>
    <w:rsid w:val="00404444"/>
    <w:rsid w:val="00404810"/>
    <w:rsid w:val="004048E3"/>
    <w:rsid w:val="00404BE6"/>
    <w:rsid w:val="00404C34"/>
    <w:rsid w:val="004051EE"/>
    <w:rsid w:val="004052C4"/>
    <w:rsid w:val="004052C6"/>
    <w:rsid w:val="0040599D"/>
    <w:rsid w:val="004059F9"/>
    <w:rsid w:val="00405AAE"/>
    <w:rsid w:val="004061ED"/>
    <w:rsid w:val="00406820"/>
    <w:rsid w:val="00407119"/>
    <w:rsid w:val="00407D31"/>
    <w:rsid w:val="00410240"/>
    <w:rsid w:val="0041048F"/>
    <w:rsid w:val="00410C78"/>
    <w:rsid w:val="00411131"/>
    <w:rsid w:val="004114AA"/>
    <w:rsid w:val="004118EA"/>
    <w:rsid w:val="00411C8F"/>
    <w:rsid w:val="00411FA9"/>
    <w:rsid w:val="004120FA"/>
    <w:rsid w:val="00412142"/>
    <w:rsid w:val="0041224E"/>
    <w:rsid w:val="0041269A"/>
    <w:rsid w:val="00412783"/>
    <w:rsid w:val="00412D40"/>
    <w:rsid w:val="00412DCC"/>
    <w:rsid w:val="004134C9"/>
    <w:rsid w:val="004136C8"/>
    <w:rsid w:val="004138DA"/>
    <w:rsid w:val="00413BA6"/>
    <w:rsid w:val="00413BC4"/>
    <w:rsid w:val="00413FD4"/>
    <w:rsid w:val="00413FFC"/>
    <w:rsid w:val="00414443"/>
    <w:rsid w:val="00414B25"/>
    <w:rsid w:val="00414E79"/>
    <w:rsid w:val="004155B2"/>
    <w:rsid w:val="004157D2"/>
    <w:rsid w:val="0041592B"/>
    <w:rsid w:val="004161F0"/>
    <w:rsid w:val="004163F2"/>
    <w:rsid w:val="00416431"/>
    <w:rsid w:val="004167BE"/>
    <w:rsid w:val="00417679"/>
    <w:rsid w:val="00417890"/>
    <w:rsid w:val="00417903"/>
    <w:rsid w:val="004179F1"/>
    <w:rsid w:val="00417A01"/>
    <w:rsid w:val="00417C2C"/>
    <w:rsid w:val="00417CC4"/>
    <w:rsid w:val="00417EA9"/>
    <w:rsid w:val="00420245"/>
    <w:rsid w:val="0042040A"/>
    <w:rsid w:val="0042053E"/>
    <w:rsid w:val="00421163"/>
    <w:rsid w:val="004211E6"/>
    <w:rsid w:val="00421C4F"/>
    <w:rsid w:val="00421E69"/>
    <w:rsid w:val="00422097"/>
    <w:rsid w:val="00422191"/>
    <w:rsid w:val="00422677"/>
    <w:rsid w:val="00422E02"/>
    <w:rsid w:val="0042377A"/>
    <w:rsid w:val="00423AA4"/>
    <w:rsid w:val="00423D07"/>
    <w:rsid w:val="00423DAC"/>
    <w:rsid w:val="00424A4B"/>
    <w:rsid w:val="004258E1"/>
    <w:rsid w:val="00425E64"/>
    <w:rsid w:val="00425ED8"/>
    <w:rsid w:val="0042695E"/>
    <w:rsid w:val="00426B9F"/>
    <w:rsid w:val="00426D4B"/>
    <w:rsid w:val="00426ECB"/>
    <w:rsid w:val="004275DF"/>
    <w:rsid w:val="004277CC"/>
    <w:rsid w:val="00427A4F"/>
    <w:rsid w:val="00427D1F"/>
    <w:rsid w:val="004306DE"/>
    <w:rsid w:val="00430B82"/>
    <w:rsid w:val="00430D4B"/>
    <w:rsid w:val="00430DF7"/>
    <w:rsid w:val="004314FC"/>
    <w:rsid w:val="00431A86"/>
    <w:rsid w:val="00431B29"/>
    <w:rsid w:val="00431C18"/>
    <w:rsid w:val="00431E7A"/>
    <w:rsid w:val="00432192"/>
    <w:rsid w:val="0043233E"/>
    <w:rsid w:val="00432515"/>
    <w:rsid w:val="004326A1"/>
    <w:rsid w:val="00432865"/>
    <w:rsid w:val="00432AD3"/>
    <w:rsid w:val="00432B9D"/>
    <w:rsid w:val="004336E5"/>
    <w:rsid w:val="00433F09"/>
    <w:rsid w:val="00433FD0"/>
    <w:rsid w:val="004340D4"/>
    <w:rsid w:val="00434536"/>
    <w:rsid w:val="004349F3"/>
    <w:rsid w:val="00434F34"/>
    <w:rsid w:val="0043500B"/>
    <w:rsid w:val="004355C7"/>
    <w:rsid w:val="004358D9"/>
    <w:rsid w:val="00435EEF"/>
    <w:rsid w:val="00435F53"/>
    <w:rsid w:val="00436047"/>
    <w:rsid w:val="004362B6"/>
    <w:rsid w:val="0043632A"/>
    <w:rsid w:val="004363A2"/>
    <w:rsid w:val="0043661E"/>
    <w:rsid w:val="00436635"/>
    <w:rsid w:val="00436CA8"/>
    <w:rsid w:val="00436F1F"/>
    <w:rsid w:val="004376A1"/>
    <w:rsid w:val="004376BE"/>
    <w:rsid w:val="0043793A"/>
    <w:rsid w:val="004379DB"/>
    <w:rsid w:val="00437B66"/>
    <w:rsid w:val="00437B7A"/>
    <w:rsid w:val="00440511"/>
    <w:rsid w:val="0044060F"/>
    <w:rsid w:val="004408AD"/>
    <w:rsid w:val="00440944"/>
    <w:rsid w:val="0044097E"/>
    <w:rsid w:val="004411D1"/>
    <w:rsid w:val="0044180B"/>
    <w:rsid w:val="0044183D"/>
    <w:rsid w:val="004418F2"/>
    <w:rsid w:val="004418F7"/>
    <w:rsid w:val="00441D5C"/>
    <w:rsid w:val="00441E62"/>
    <w:rsid w:val="004420EA"/>
    <w:rsid w:val="004421C6"/>
    <w:rsid w:val="004422A9"/>
    <w:rsid w:val="0044269C"/>
    <w:rsid w:val="00442735"/>
    <w:rsid w:val="004429E8"/>
    <w:rsid w:val="00442B9E"/>
    <w:rsid w:val="00442C1C"/>
    <w:rsid w:val="00442DED"/>
    <w:rsid w:val="00443014"/>
    <w:rsid w:val="00443450"/>
    <w:rsid w:val="004436C9"/>
    <w:rsid w:val="0044376F"/>
    <w:rsid w:val="0044396A"/>
    <w:rsid w:val="0044444B"/>
    <w:rsid w:val="004444B3"/>
    <w:rsid w:val="00444576"/>
    <w:rsid w:val="0044463F"/>
    <w:rsid w:val="004448D2"/>
    <w:rsid w:val="00445B94"/>
    <w:rsid w:val="00445C1F"/>
    <w:rsid w:val="00445CAD"/>
    <w:rsid w:val="00445E66"/>
    <w:rsid w:val="00445EFC"/>
    <w:rsid w:val="00446509"/>
    <w:rsid w:val="0044789A"/>
    <w:rsid w:val="00447FE3"/>
    <w:rsid w:val="004505D0"/>
    <w:rsid w:val="0045069B"/>
    <w:rsid w:val="004507E8"/>
    <w:rsid w:val="00450A2B"/>
    <w:rsid w:val="00450C90"/>
    <w:rsid w:val="00451422"/>
    <w:rsid w:val="00451C9D"/>
    <w:rsid w:val="00451EAC"/>
    <w:rsid w:val="004528E6"/>
    <w:rsid w:val="00452A0B"/>
    <w:rsid w:val="00452B1F"/>
    <w:rsid w:val="00452B68"/>
    <w:rsid w:val="00452F95"/>
    <w:rsid w:val="0045330D"/>
    <w:rsid w:val="004534BE"/>
    <w:rsid w:val="0045383B"/>
    <w:rsid w:val="00453A6A"/>
    <w:rsid w:val="00453AB0"/>
    <w:rsid w:val="00453C96"/>
    <w:rsid w:val="00453D56"/>
    <w:rsid w:val="00453EB9"/>
    <w:rsid w:val="00454241"/>
    <w:rsid w:val="004549D0"/>
    <w:rsid w:val="00454D52"/>
    <w:rsid w:val="004550D6"/>
    <w:rsid w:val="00455842"/>
    <w:rsid w:val="00455A19"/>
    <w:rsid w:val="00456A5C"/>
    <w:rsid w:val="00457531"/>
    <w:rsid w:val="00457711"/>
    <w:rsid w:val="004579A5"/>
    <w:rsid w:val="00457A58"/>
    <w:rsid w:val="0046026B"/>
    <w:rsid w:val="0046026E"/>
    <w:rsid w:val="004606BD"/>
    <w:rsid w:val="00460ADC"/>
    <w:rsid w:val="00460D7A"/>
    <w:rsid w:val="00460E4A"/>
    <w:rsid w:val="00461345"/>
    <w:rsid w:val="00461390"/>
    <w:rsid w:val="004614A8"/>
    <w:rsid w:val="004617A0"/>
    <w:rsid w:val="00461A55"/>
    <w:rsid w:val="004621C9"/>
    <w:rsid w:val="00462B40"/>
    <w:rsid w:val="00462FA0"/>
    <w:rsid w:val="004630AC"/>
    <w:rsid w:val="004637DE"/>
    <w:rsid w:val="004638ED"/>
    <w:rsid w:val="00463BE2"/>
    <w:rsid w:val="00463C97"/>
    <w:rsid w:val="004640FF"/>
    <w:rsid w:val="00464172"/>
    <w:rsid w:val="00464390"/>
    <w:rsid w:val="004644E7"/>
    <w:rsid w:val="004647A2"/>
    <w:rsid w:val="00464B7E"/>
    <w:rsid w:val="004653BD"/>
    <w:rsid w:val="00465430"/>
    <w:rsid w:val="00465A67"/>
    <w:rsid w:val="00465ED9"/>
    <w:rsid w:val="00466DB3"/>
    <w:rsid w:val="00467026"/>
    <w:rsid w:val="00467762"/>
    <w:rsid w:val="00467D1C"/>
    <w:rsid w:val="00467ECF"/>
    <w:rsid w:val="004700B1"/>
    <w:rsid w:val="004707F0"/>
    <w:rsid w:val="00470CBC"/>
    <w:rsid w:val="00470EE5"/>
    <w:rsid w:val="0047142C"/>
    <w:rsid w:val="0047188F"/>
    <w:rsid w:val="00471BB8"/>
    <w:rsid w:val="00471FD6"/>
    <w:rsid w:val="00472162"/>
    <w:rsid w:val="0047224A"/>
    <w:rsid w:val="004722D9"/>
    <w:rsid w:val="00472C29"/>
    <w:rsid w:val="00472C7F"/>
    <w:rsid w:val="00473302"/>
    <w:rsid w:val="00473304"/>
    <w:rsid w:val="00473393"/>
    <w:rsid w:val="004735F4"/>
    <w:rsid w:val="004739F9"/>
    <w:rsid w:val="004742FE"/>
    <w:rsid w:val="00474D12"/>
    <w:rsid w:val="00474E61"/>
    <w:rsid w:val="00474FCC"/>
    <w:rsid w:val="004755C9"/>
    <w:rsid w:val="004755D4"/>
    <w:rsid w:val="00475958"/>
    <w:rsid w:val="00475E70"/>
    <w:rsid w:val="004761A7"/>
    <w:rsid w:val="004764C5"/>
    <w:rsid w:val="00476E7B"/>
    <w:rsid w:val="0047727E"/>
    <w:rsid w:val="004774CD"/>
    <w:rsid w:val="00477888"/>
    <w:rsid w:val="004779EC"/>
    <w:rsid w:val="00477AFD"/>
    <w:rsid w:val="00477DEB"/>
    <w:rsid w:val="004801A7"/>
    <w:rsid w:val="00480290"/>
    <w:rsid w:val="00480417"/>
    <w:rsid w:val="00480B2A"/>
    <w:rsid w:val="00481211"/>
    <w:rsid w:val="00481590"/>
    <w:rsid w:val="00481A34"/>
    <w:rsid w:val="00482141"/>
    <w:rsid w:val="004825C0"/>
    <w:rsid w:val="0048299A"/>
    <w:rsid w:val="004832ED"/>
    <w:rsid w:val="0048330F"/>
    <w:rsid w:val="0048339B"/>
    <w:rsid w:val="00483AEC"/>
    <w:rsid w:val="00483DD1"/>
    <w:rsid w:val="00483DD2"/>
    <w:rsid w:val="00484748"/>
    <w:rsid w:val="00484839"/>
    <w:rsid w:val="00484846"/>
    <w:rsid w:val="0048499C"/>
    <w:rsid w:val="00484C81"/>
    <w:rsid w:val="00485995"/>
    <w:rsid w:val="00485C0B"/>
    <w:rsid w:val="004861B2"/>
    <w:rsid w:val="00486393"/>
    <w:rsid w:val="0048676D"/>
    <w:rsid w:val="00486E49"/>
    <w:rsid w:val="0048751D"/>
    <w:rsid w:val="00487E7A"/>
    <w:rsid w:val="00490032"/>
    <w:rsid w:val="004900E7"/>
    <w:rsid w:val="0049029D"/>
    <w:rsid w:val="00490754"/>
    <w:rsid w:val="0049081D"/>
    <w:rsid w:val="00490CE1"/>
    <w:rsid w:val="0049126B"/>
    <w:rsid w:val="004919AD"/>
    <w:rsid w:val="004919DD"/>
    <w:rsid w:val="00491D48"/>
    <w:rsid w:val="004920AC"/>
    <w:rsid w:val="004921F4"/>
    <w:rsid w:val="0049233C"/>
    <w:rsid w:val="004926B4"/>
    <w:rsid w:val="00492A92"/>
    <w:rsid w:val="00492F8A"/>
    <w:rsid w:val="004933C8"/>
    <w:rsid w:val="00493A6C"/>
    <w:rsid w:val="00493A7B"/>
    <w:rsid w:val="00493AC0"/>
    <w:rsid w:val="00493B7E"/>
    <w:rsid w:val="00493D53"/>
    <w:rsid w:val="004943BE"/>
    <w:rsid w:val="00494A58"/>
    <w:rsid w:val="00494AAB"/>
    <w:rsid w:val="00494D7F"/>
    <w:rsid w:val="004968C6"/>
    <w:rsid w:val="004970E3"/>
    <w:rsid w:val="00497681"/>
    <w:rsid w:val="0049797D"/>
    <w:rsid w:val="00497A64"/>
    <w:rsid w:val="00497FD4"/>
    <w:rsid w:val="004A00B9"/>
    <w:rsid w:val="004A0258"/>
    <w:rsid w:val="004A08DF"/>
    <w:rsid w:val="004A0939"/>
    <w:rsid w:val="004A0CA9"/>
    <w:rsid w:val="004A1484"/>
    <w:rsid w:val="004A2024"/>
    <w:rsid w:val="004A2026"/>
    <w:rsid w:val="004A214D"/>
    <w:rsid w:val="004A21AC"/>
    <w:rsid w:val="004A2450"/>
    <w:rsid w:val="004A2783"/>
    <w:rsid w:val="004A28DC"/>
    <w:rsid w:val="004A2DBF"/>
    <w:rsid w:val="004A2EA6"/>
    <w:rsid w:val="004A33C7"/>
    <w:rsid w:val="004A3509"/>
    <w:rsid w:val="004A359D"/>
    <w:rsid w:val="004A39B9"/>
    <w:rsid w:val="004A3D19"/>
    <w:rsid w:val="004A4189"/>
    <w:rsid w:val="004A51C4"/>
    <w:rsid w:val="004A534C"/>
    <w:rsid w:val="004A53E8"/>
    <w:rsid w:val="004A566C"/>
    <w:rsid w:val="004A585E"/>
    <w:rsid w:val="004A62FC"/>
    <w:rsid w:val="004A6960"/>
    <w:rsid w:val="004A6F35"/>
    <w:rsid w:val="004A7264"/>
    <w:rsid w:val="004A727C"/>
    <w:rsid w:val="004A7529"/>
    <w:rsid w:val="004B072C"/>
    <w:rsid w:val="004B081A"/>
    <w:rsid w:val="004B0936"/>
    <w:rsid w:val="004B0AD7"/>
    <w:rsid w:val="004B0E71"/>
    <w:rsid w:val="004B0F76"/>
    <w:rsid w:val="004B16C6"/>
    <w:rsid w:val="004B1B68"/>
    <w:rsid w:val="004B2286"/>
    <w:rsid w:val="004B237E"/>
    <w:rsid w:val="004B2417"/>
    <w:rsid w:val="004B255B"/>
    <w:rsid w:val="004B27EB"/>
    <w:rsid w:val="004B2A3A"/>
    <w:rsid w:val="004B32D6"/>
    <w:rsid w:val="004B345B"/>
    <w:rsid w:val="004B3828"/>
    <w:rsid w:val="004B3A6E"/>
    <w:rsid w:val="004B3CB8"/>
    <w:rsid w:val="004B432B"/>
    <w:rsid w:val="004B44E2"/>
    <w:rsid w:val="004B4F9E"/>
    <w:rsid w:val="004B5546"/>
    <w:rsid w:val="004B56B5"/>
    <w:rsid w:val="004B579A"/>
    <w:rsid w:val="004B59DD"/>
    <w:rsid w:val="004B5FEE"/>
    <w:rsid w:val="004B63C9"/>
    <w:rsid w:val="004B65F1"/>
    <w:rsid w:val="004B6791"/>
    <w:rsid w:val="004B67EC"/>
    <w:rsid w:val="004B6C25"/>
    <w:rsid w:val="004B6E1A"/>
    <w:rsid w:val="004B7738"/>
    <w:rsid w:val="004B78C8"/>
    <w:rsid w:val="004B7A45"/>
    <w:rsid w:val="004B7DE5"/>
    <w:rsid w:val="004C00D9"/>
    <w:rsid w:val="004C09EF"/>
    <w:rsid w:val="004C1034"/>
    <w:rsid w:val="004C1094"/>
    <w:rsid w:val="004C1114"/>
    <w:rsid w:val="004C12B2"/>
    <w:rsid w:val="004C1A06"/>
    <w:rsid w:val="004C23B0"/>
    <w:rsid w:val="004C2438"/>
    <w:rsid w:val="004C2863"/>
    <w:rsid w:val="004C2EE0"/>
    <w:rsid w:val="004C30A5"/>
    <w:rsid w:val="004C3338"/>
    <w:rsid w:val="004C3558"/>
    <w:rsid w:val="004C36E3"/>
    <w:rsid w:val="004C403A"/>
    <w:rsid w:val="004C4043"/>
    <w:rsid w:val="004C4095"/>
    <w:rsid w:val="004C5196"/>
    <w:rsid w:val="004C534C"/>
    <w:rsid w:val="004C5626"/>
    <w:rsid w:val="004C5659"/>
    <w:rsid w:val="004C58DB"/>
    <w:rsid w:val="004C5996"/>
    <w:rsid w:val="004C5B06"/>
    <w:rsid w:val="004C5D4B"/>
    <w:rsid w:val="004C5E8C"/>
    <w:rsid w:val="004C6710"/>
    <w:rsid w:val="004C69BB"/>
    <w:rsid w:val="004C6A24"/>
    <w:rsid w:val="004C6CA4"/>
    <w:rsid w:val="004C700D"/>
    <w:rsid w:val="004C7911"/>
    <w:rsid w:val="004C7C45"/>
    <w:rsid w:val="004D0137"/>
    <w:rsid w:val="004D0346"/>
    <w:rsid w:val="004D035B"/>
    <w:rsid w:val="004D052A"/>
    <w:rsid w:val="004D0D36"/>
    <w:rsid w:val="004D0DAD"/>
    <w:rsid w:val="004D2181"/>
    <w:rsid w:val="004D2408"/>
    <w:rsid w:val="004D241C"/>
    <w:rsid w:val="004D2841"/>
    <w:rsid w:val="004D2CB0"/>
    <w:rsid w:val="004D3861"/>
    <w:rsid w:val="004D3D48"/>
    <w:rsid w:val="004D3F03"/>
    <w:rsid w:val="004D3FAC"/>
    <w:rsid w:val="004D4019"/>
    <w:rsid w:val="004D4146"/>
    <w:rsid w:val="004D41E3"/>
    <w:rsid w:val="004D42F6"/>
    <w:rsid w:val="004D443B"/>
    <w:rsid w:val="004D44EA"/>
    <w:rsid w:val="004D4627"/>
    <w:rsid w:val="004D48CF"/>
    <w:rsid w:val="004D49AF"/>
    <w:rsid w:val="004D4BD5"/>
    <w:rsid w:val="004D4C68"/>
    <w:rsid w:val="004D4E66"/>
    <w:rsid w:val="004D4EC5"/>
    <w:rsid w:val="004D4EF8"/>
    <w:rsid w:val="004D4FD3"/>
    <w:rsid w:val="004D50CA"/>
    <w:rsid w:val="004D52D1"/>
    <w:rsid w:val="004D58A0"/>
    <w:rsid w:val="004D58E3"/>
    <w:rsid w:val="004D640B"/>
    <w:rsid w:val="004D6BCD"/>
    <w:rsid w:val="004D6DBE"/>
    <w:rsid w:val="004D6E4C"/>
    <w:rsid w:val="004D72A9"/>
    <w:rsid w:val="004D739D"/>
    <w:rsid w:val="004D74E6"/>
    <w:rsid w:val="004D7F68"/>
    <w:rsid w:val="004E056E"/>
    <w:rsid w:val="004E0BC5"/>
    <w:rsid w:val="004E0CFA"/>
    <w:rsid w:val="004E1048"/>
    <w:rsid w:val="004E126C"/>
    <w:rsid w:val="004E12E8"/>
    <w:rsid w:val="004E12F9"/>
    <w:rsid w:val="004E19A1"/>
    <w:rsid w:val="004E19E0"/>
    <w:rsid w:val="004E24A6"/>
    <w:rsid w:val="004E25DA"/>
    <w:rsid w:val="004E3188"/>
    <w:rsid w:val="004E3204"/>
    <w:rsid w:val="004E3356"/>
    <w:rsid w:val="004E3D40"/>
    <w:rsid w:val="004E46F2"/>
    <w:rsid w:val="004E4E65"/>
    <w:rsid w:val="004E6953"/>
    <w:rsid w:val="004E69F8"/>
    <w:rsid w:val="004E6E00"/>
    <w:rsid w:val="004E7012"/>
    <w:rsid w:val="004E7591"/>
    <w:rsid w:val="004E7662"/>
    <w:rsid w:val="004E77CB"/>
    <w:rsid w:val="004E7950"/>
    <w:rsid w:val="004E7C08"/>
    <w:rsid w:val="004E7CE1"/>
    <w:rsid w:val="004F016A"/>
    <w:rsid w:val="004F0188"/>
    <w:rsid w:val="004F0254"/>
    <w:rsid w:val="004F0434"/>
    <w:rsid w:val="004F05A4"/>
    <w:rsid w:val="004F0682"/>
    <w:rsid w:val="004F0CE9"/>
    <w:rsid w:val="004F0D32"/>
    <w:rsid w:val="004F0DBC"/>
    <w:rsid w:val="004F1565"/>
    <w:rsid w:val="004F2BC1"/>
    <w:rsid w:val="004F2C5D"/>
    <w:rsid w:val="004F3439"/>
    <w:rsid w:val="004F498C"/>
    <w:rsid w:val="004F4AF7"/>
    <w:rsid w:val="004F610E"/>
    <w:rsid w:val="004F6948"/>
    <w:rsid w:val="004F6CFF"/>
    <w:rsid w:val="004F79FF"/>
    <w:rsid w:val="004F7C4B"/>
    <w:rsid w:val="004F7D69"/>
    <w:rsid w:val="004F7EC2"/>
    <w:rsid w:val="00500235"/>
    <w:rsid w:val="005003F8"/>
    <w:rsid w:val="0050059A"/>
    <w:rsid w:val="00500D02"/>
    <w:rsid w:val="00501304"/>
    <w:rsid w:val="00501353"/>
    <w:rsid w:val="00501610"/>
    <w:rsid w:val="005019E8"/>
    <w:rsid w:val="00501DD2"/>
    <w:rsid w:val="005021E9"/>
    <w:rsid w:val="0050235D"/>
    <w:rsid w:val="005023A7"/>
    <w:rsid w:val="005023FB"/>
    <w:rsid w:val="00502473"/>
    <w:rsid w:val="0050291B"/>
    <w:rsid w:val="00502941"/>
    <w:rsid w:val="00502A79"/>
    <w:rsid w:val="00502F47"/>
    <w:rsid w:val="005037D0"/>
    <w:rsid w:val="00503918"/>
    <w:rsid w:val="00503A4A"/>
    <w:rsid w:val="00504637"/>
    <w:rsid w:val="0050471B"/>
    <w:rsid w:val="00504ACD"/>
    <w:rsid w:val="00504B62"/>
    <w:rsid w:val="005051C9"/>
    <w:rsid w:val="005052A4"/>
    <w:rsid w:val="00505318"/>
    <w:rsid w:val="0050551C"/>
    <w:rsid w:val="0050552E"/>
    <w:rsid w:val="0050568C"/>
    <w:rsid w:val="00505E86"/>
    <w:rsid w:val="00506A15"/>
    <w:rsid w:val="00506A60"/>
    <w:rsid w:val="00506B6F"/>
    <w:rsid w:val="00506E52"/>
    <w:rsid w:val="00507259"/>
    <w:rsid w:val="0050770B"/>
    <w:rsid w:val="00507E44"/>
    <w:rsid w:val="00507EFE"/>
    <w:rsid w:val="0051077F"/>
    <w:rsid w:val="005109E1"/>
    <w:rsid w:val="00510F37"/>
    <w:rsid w:val="005110DE"/>
    <w:rsid w:val="00511180"/>
    <w:rsid w:val="00511F60"/>
    <w:rsid w:val="00512631"/>
    <w:rsid w:val="00512AC7"/>
    <w:rsid w:val="00512C5A"/>
    <w:rsid w:val="00512ED2"/>
    <w:rsid w:val="00513314"/>
    <w:rsid w:val="00513C97"/>
    <w:rsid w:val="00513DF0"/>
    <w:rsid w:val="00513F63"/>
    <w:rsid w:val="00514349"/>
    <w:rsid w:val="0051438E"/>
    <w:rsid w:val="00514700"/>
    <w:rsid w:val="00514786"/>
    <w:rsid w:val="005147F8"/>
    <w:rsid w:val="0051486C"/>
    <w:rsid w:val="00514E94"/>
    <w:rsid w:val="005150E5"/>
    <w:rsid w:val="0051518B"/>
    <w:rsid w:val="005153B6"/>
    <w:rsid w:val="00515592"/>
    <w:rsid w:val="005157E1"/>
    <w:rsid w:val="00515D44"/>
    <w:rsid w:val="00515EFD"/>
    <w:rsid w:val="00516973"/>
    <w:rsid w:val="005172E3"/>
    <w:rsid w:val="00517894"/>
    <w:rsid w:val="00517C75"/>
    <w:rsid w:val="00517DAC"/>
    <w:rsid w:val="00517E1B"/>
    <w:rsid w:val="005206A7"/>
    <w:rsid w:val="00520790"/>
    <w:rsid w:val="005208E3"/>
    <w:rsid w:val="005210D1"/>
    <w:rsid w:val="005219A5"/>
    <w:rsid w:val="0052254A"/>
    <w:rsid w:val="0052294F"/>
    <w:rsid w:val="0052299C"/>
    <w:rsid w:val="005232B8"/>
    <w:rsid w:val="005235A1"/>
    <w:rsid w:val="00523612"/>
    <w:rsid w:val="005243F7"/>
    <w:rsid w:val="00525032"/>
    <w:rsid w:val="00525709"/>
    <w:rsid w:val="0052588F"/>
    <w:rsid w:val="00525CE5"/>
    <w:rsid w:val="005262A8"/>
    <w:rsid w:val="00526375"/>
    <w:rsid w:val="00526461"/>
    <w:rsid w:val="00526612"/>
    <w:rsid w:val="00526749"/>
    <w:rsid w:val="0052698F"/>
    <w:rsid w:val="00526A4E"/>
    <w:rsid w:val="00526C0D"/>
    <w:rsid w:val="00526FB3"/>
    <w:rsid w:val="00526FCC"/>
    <w:rsid w:val="0052721C"/>
    <w:rsid w:val="00527354"/>
    <w:rsid w:val="005276F4"/>
    <w:rsid w:val="00527726"/>
    <w:rsid w:val="00530463"/>
    <w:rsid w:val="00530721"/>
    <w:rsid w:val="005309C4"/>
    <w:rsid w:val="00530B17"/>
    <w:rsid w:val="00530C8D"/>
    <w:rsid w:val="0053124E"/>
    <w:rsid w:val="0053165C"/>
    <w:rsid w:val="00531762"/>
    <w:rsid w:val="00531D4A"/>
    <w:rsid w:val="00531F0B"/>
    <w:rsid w:val="005329B5"/>
    <w:rsid w:val="00532FED"/>
    <w:rsid w:val="00533654"/>
    <w:rsid w:val="00533B40"/>
    <w:rsid w:val="00533C6B"/>
    <w:rsid w:val="00533EF2"/>
    <w:rsid w:val="0053431A"/>
    <w:rsid w:val="00534A50"/>
    <w:rsid w:val="00534DB3"/>
    <w:rsid w:val="00535686"/>
    <w:rsid w:val="00535EF3"/>
    <w:rsid w:val="0053628D"/>
    <w:rsid w:val="00536510"/>
    <w:rsid w:val="00536EDA"/>
    <w:rsid w:val="00537842"/>
    <w:rsid w:val="00537A1A"/>
    <w:rsid w:val="00537A9E"/>
    <w:rsid w:val="00540156"/>
    <w:rsid w:val="005402C0"/>
    <w:rsid w:val="00540D28"/>
    <w:rsid w:val="00540DAA"/>
    <w:rsid w:val="00540EFE"/>
    <w:rsid w:val="00540FFA"/>
    <w:rsid w:val="00541CED"/>
    <w:rsid w:val="005423C6"/>
    <w:rsid w:val="005427C8"/>
    <w:rsid w:val="00542A77"/>
    <w:rsid w:val="00542A9F"/>
    <w:rsid w:val="00543451"/>
    <w:rsid w:val="0054382C"/>
    <w:rsid w:val="005441B4"/>
    <w:rsid w:val="00545BB0"/>
    <w:rsid w:val="0054671F"/>
    <w:rsid w:val="00546D02"/>
    <w:rsid w:val="00547180"/>
    <w:rsid w:val="00547295"/>
    <w:rsid w:val="005472AB"/>
    <w:rsid w:val="005474E7"/>
    <w:rsid w:val="00547542"/>
    <w:rsid w:val="005476C4"/>
    <w:rsid w:val="00547D41"/>
    <w:rsid w:val="0055078E"/>
    <w:rsid w:val="00550AE7"/>
    <w:rsid w:val="00550CF9"/>
    <w:rsid w:val="00550F48"/>
    <w:rsid w:val="005514DD"/>
    <w:rsid w:val="00551865"/>
    <w:rsid w:val="00551BF5"/>
    <w:rsid w:val="00552024"/>
    <w:rsid w:val="005525A4"/>
    <w:rsid w:val="00552631"/>
    <w:rsid w:val="00552944"/>
    <w:rsid w:val="00553C7A"/>
    <w:rsid w:val="0055409D"/>
    <w:rsid w:val="00554212"/>
    <w:rsid w:val="0055441B"/>
    <w:rsid w:val="00554A21"/>
    <w:rsid w:val="00554B46"/>
    <w:rsid w:val="00554FBE"/>
    <w:rsid w:val="00555EC9"/>
    <w:rsid w:val="0055617A"/>
    <w:rsid w:val="00556C90"/>
    <w:rsid w:val="00556D8C"/>
    <w:rsid w:val="005572BF"/>
    <w:rsid w:val="00557891"/>
    <w:rsid w:val="005578F9"/>
    <w:rsid w:val="005579BB"/>
    <w:rsid w:val="00557C19"/>
    <w:rsid w:val="00560279"/>
    <w:rsid w:val="005603BB"/>
    <w:rsid w:val="00560A31"/>
    <w:rsid w:val="00560CEC"/>
    <w:rsid w:val="005612F5"/>
    <w:rsid w:val="00561DBE"/>
    <w:rsid w:val="0056241D"/>
    <w:rsid w:val="00562DD8"/>
    <w:rsid w:val="00562EE7"/>
    <w:rsid w:val="00562F9D"/>
    <w:rsid w:val="00563470"/>
    <w:rsid w:val="0056361F"/>
    <w:rsid w:val="005639DF"/>
    <w:rsid w:val="00563B19"/>
    <w:rsid w:val="00563D38"/>
    <w:rsid w:val="00563D76"/>
    <w:rsid w:val="00564083"/>
    <w:rsid w:val="005641FB"/>
    <w:rsid w:val="0056518E"/>
    <w:rsid w:val="00565264"/>
    <w:rsid w:val="00565647"/>
    <w:rsid w:val="00565DF7"/>
    <w:rsid w:val="005661AC"/>
    <w:rsid w:val="00566252"/>
    <w:rsid w:val="00566315"/>
    <w:rsid w:val="00566BBB"/>
    <w:rsid w:val="00566D75"/>
    <w:rsid w:val="00567581"/>
    <w:rsid w:val="00567617"/>
    <w:rsid w:val="00567A7B"/>
    <w:rsid w:val="00567B89"/>
    <w:rsid w:val="00567F1D"/>
    <w:rsid w:val="00570247"/>
    <w:rsid w:val="00570952"/>
    <w:rsid w:val="00570A47"/>
    <w:rsid w:val="00570FD1"/>
    <w:rsid w:val="005712C6"/>
    <w:rsid w:val="005715B3"/>
    <w:rsid w:val="0057173F"/>
    <w:rsid w:val="00571CB5"/>
    <w:rsid w:val="00572622"/>
    <w:rsid w:val="005727CB"/>
    <w:rsid w:val="005727DD"/>
    <w:rsid w:val="00572B79"/>
    <w:rsid w:val="005733B2"/>
    <w:rsid w:val="0057451B"/>
    <w:rsid w:val="00574924"/>
    <w:rsid w:val="00574DD5"/>
    <w:rsid w:val="00574F8B"/>
    <w:rsid w:val="00575273"/>
    <w:rsid w:val="00575405"/>
    <w:rsid w:val="00575E30"/>
    <w:rsid w:val="00575E9E"/>
    <w:rsid w:val="005769C1"/>
    <w:rsid w:val="00576F04"/>
    <w:rsid w:val="00576F98"/>
    <w:rsid w:val="0057746C"/>
    <w:rsid w:val="00577484"/>
    <w:rsid w:val="00577A98"/>
    <w:rsid w:val="00577AF6"/>
    <w:rsid w:val="00577C5A"/>
    <w:rsid w:val="00577CFA"/>
    <w:rsid w:val="005803DD"/>
    <w:rsid w:val="00580974"/>
    <w:rsid w:val="00580ECC"/>
    <w:rsid w:val="005811DF"/>
    <w:rsid w:val="00581BBE"/>
    <w:rsid w:val="00581F74"/>
    <w:rsid w:val="005822F4"/>
    <w:rsid w:val="00582ADE"/>
    <w:rsid w:val="00582DEF"/>
    <w:rsid w:val="0058318B"/>
    <w:rsid w:val="0058335B"/>
    <w:rsid w:val="00583768"/>
    <w:rsid w:val="005837A4"/>
    <w:rsid w:val="00583904"/>
    <w:rsid w:val="00583948"/>
    <w:rsid w:val="00583C6E"/>
    <w:rsid w:val="00583D27"/>
    <w:rsid w:val="00583D65"/>
    <w:rsid w:val="005841BD"/>
    <w:rsid w:val="0058422F"/>
    <w:rsid w:val="0058479D"/>
    <w:rsid w:val="00584A0F"/>
    <w:rsid w:val="005850C1"/>
    <w:rsid w:val="00585947"/>
    <w:rsid w:val="00585B4E"/>
    <w:rsid w:val="00585D59"/>
    <w:rsid w:val="00585EAA"/>
    <w:rsid w:val="00587938"/>
    <w:rsid w:val="00590241"/>
    <w:rsid w:val="00590AC8"/>
    <w:rsid w:val="0059116C"/>
    <w:rsid w:val="005911B8"/>
    <w:rsid w:val="00591D72"/>
    <w:rsid w:val="00593D28"/>
    <w:rsid w:val="00593E06"/>
    <w:rsid w:val="0059468E"/>
    <w:rsid w:val="00595453"/>
    <w:rsid w:val="005957A4"/>
    <w:rsid w:val="00596E66"/>
    <w:rsid w:val="0059701B"/>
    <w:rsid w:val="005970A6"/>
    <w:rsid w:val="00597F50"/>
    <w:rsid w:val="005A07E3"/>
    <w:rsid w:val="005A09C3"/>
    <w:rsid w:val="005A0F58"/>
    <w:rsid w:val="005A15E2"/>
    <w:rsid w:val="005A16FC"/>
    <w:rsid w:val="005A1EBC"/>
    <w:rsid w:val="005A209E"/>
    <w:rsid w:val="005A2924"/>
    <w:rsid w:val="005A2B9C"/>
    <w:rsid w:val="005A3169"/>
    <w:rsid w:val="005A319E"/>
    <w:rsid w:val="005A3A83"/>
    <w:rsid w:val="005A3B8A"/>
    <w:rsid w:val="005A3F0B"/>
    <w:rsid w:val="005A3F8B"/>
    <w:rsid w:val="005A528C"/>
    <w:rsid w:val="005A53D2"/>
    <w:rsid w:val="005A5832"/>
    <w:rsid w:val="005A59D0"/>
    <w:rsid w:val="005A5B77"/>
    <w:rsid w:val="005A5C22"/>
    <w:rsid w:val="005A5FF0"/>
    <w:rsid w:val="005A63D5"/>
    <w:rsid w:val="005A696B"/>
    <w:rsid w:val="005A6CD4"/>
    <w:rsid w:val="005A6EB5"/>
    <w:rsid w:val="005A7525"/>
    <w:rsid w:val="005A7A0B"/>
    <w:rsid w:val="005A7A6B"/>
    <w:rsid w:val="005A7E7A"/>
    <w:rsid w:val="005B0795"/>
    <w:rsid w:val="005B1143"/>
    <w:rsid w:val="005B23BD"/>
    <w:rsid w:val="005B2800"/>
    <w:rsid w:val="005B28C4"/>
    <w:rsid w:val="005B2BEB"/>
    <w:rsid w:val="005B2DF9"/>
    <w:rsid w:val="005B3419"/>
    <w:rsid w:val="005B3497"/>
    <w:rsid w:val="005B3526"/>
    <w:rsid w:val="005B35C6"/>
    <w:rsid w:val="005B3D57"/>
    <w:rsid w:val="005B41B3"/>
    <w:rsid w:val="005B4467"/>
    <w:rsid w:val="005B4A2A"/>
    <w:rsid w:val="005B4DA3"/>
    <w:rsid w:val="005B556E"/>
    <w:rsid w:val="005B5803"/>
    <w:rsid w:val="005B5891"/>
    <w:rsid w:val="005B58DF"/>
    <w:rsid w:val="005B6323"/>
    <w:rsid w:val="005B63D0"/>
    <w:rsid w:val="005B656E"/>
    <w:rsid w:val="005B7050"/>
    <w:rsid w:val="005B7218"/>
    <w:rsid w:val="005B73F7"/>
    <w:rsid w:val="005B7858"/>
    <w:rsid w:val="005B7C71"/>
    <w:rsid w:val="005B7D8E"/>
    <w:rsid w:val="005C0624"/>
    <w:rsid w:val="005C06FA"/>
    <w:rsid w:val="005C0D9A"/>
    <w:rsid w:val="005C173E"/>
    <w:rsid w:val="005C1763"/>
    <w:rsid w:val="005C1B9C"/>
    <w:rsid w:val="005C2181"/>
    <w:rsid w:val="005C29C5"/>
    <w:rsid w:val="005C35A0"/>
    <w:rsid w:val="005C35AB"/>
    <w:rsid w:val="005C3F9E"/>
    <w:rsid w:val="005C46A4"/>
    <w:rsid w:val="005C4A7F"/>
    <w:rsid w:val="005C4EBE"/>
    <w:rsid w:val="005C506A"/>
    <w:rsid w:val="005C5099"/>
    <w:rsid w:val="005C50BE"/>
    <w:rsid w:val="005C5161"/>
    <w:rsid w:val="005C54B9"/>
    <w:rsid w:val="005C5576"/>
    <w:rsid w:val="005C559F"/>
    <w:rsid w:val="005C5A01"/>
    <w:rsid w:val="005C5EB6"/>
    <w:rsid w:val="005C5FAF"/>
    <w:rsid w:val="005C6069"/>
    <w:rsid w:val="005C624A"/>
    <w:rsid w:val="005C686B"/>
    <w:rsid w:val="005C6E1E"/>
    <w:rsid w:val="005C6E75"/>
    <w:rsid w:val="005C6F8F"/>
    <w:rsid w:val="005C724A"/>
    <w:rsid w:val="005C783F"/>
    <w:rsid w:val="005C7E87"/>
    <w:rsid w:val="005D0528"/>
    <w:rsid w:val="005D0750"/>
    <w:rsid w:val="005D09ED"/>
    <w:rsid w:val="005D0AC3"/>
    <w:rsid w:val="005D0B42"/>
    <w:rsid w:val="005D14BE"/>
    <w:rsid w:val="005D1508"/>
    <w:rsid w:val="005D164E"/>
    <w:rsid w:val="005D17B1"/>
    <w:rsid w:val="005D1B61"/>
    <w:rsid w:val="005D1E5A"/>
    <w:rsid w:val="005D2424"/>
    <w:rsid w:val="005D2546"/>
    <w:rsid w:val="005D2928"/>
    <w:rsid w:val="005D2C25"/>
    <w:rsid w:val="005D2C99"/>
    <w:rsid w:val="005D311D"/>
    <w:rsid w:val="005D36B1"/>
    <w:rsid w:val="005D36B9"/>
    <w:rsid w:val="005D3AF5"/>
    <w:rsid w:val="005D3B62"/>
    <w:rsid w:val="005D3EF4"/>
    <w:rsid w:val="005D422E"/>
    <w:rsid w:val="005D4CA2"/>
    <w:rsid w:val="005D58AC"/>
    <w:rsid w:val="005D640B"/>
    <w:rsid w:val="005D65E4"/>
    <w:rsid w:val="005D6B52"/>
    <w:rsid w:val="005D70C0"/>
    <w:rsid w:val="005D7740"/>
    <w:rsid w:val="005D7844"/>
    <w:rsid w:val="005D7939"/>
    <w:rsid w:val="005E02D0"/>
    <w:rsid w:val="005E051D"/>
    <w:rsid w:val="005E077B"/>
    <w:rsid w:val="005E0D97"/>
    <w:rsid w:val="005E0F9E"/>
    <w:rsid w:val="005E2632"/>
    <w:rsid w:val="005E2A8C"/>
    <w:rsid w:val="005E2CC5"/>
    <w:rsid w:val="005E3065"/>
    <w:rsid w:val="005E322A"/>
    <w:rsid w:val="005E37D6"/>
    <w:rsid w:val="005E4042"/>
    <w:rsid w:val="005E40B4"/>
    <w:rsid w:val="005E4424"/>
    <w:rsid w:val="005E4527"/>
    <w:rsid w:val="005E4659"/>
    <w:rsid w:val="005E5AD4"/>
    <w:rsid w:val="005E5E48"/>
    <w:rsid w:val="005E735C"/>
    <w:rsid w:val="005E765C"/>
    <w:rsid w:val="005E78D2"/>
    <w:rsid w:val="005E79EF"/>
    <w:rsid w:val="005F01C0"/>
    <w:rsid w:val="005F03EE"/>
    <w:rsid w:val="005F0686"/>
    <w:rsid w:val="005F093D"/>
    <w:rsid w:val="005F097F"/>
    <w:rsid w:val="005F0E55"/>
    <w:rsid w:val="005F13DB"/>
    <w:rsid w:val="005F226A"/>
    <w:rsid w:val="005F26E8"/>
    <w:rsid w:val="005F279D"/>
    <w:rsid w:val="005F3915"/>
    <w:rsid w:val="005F3DAE"/>
    <w:rsid w:val="005F3F20"/>
    <w:rsid w:val="005F3FEB"/>
    <w:rsid w:val="005F40EF"/>
    <w:rsid w:val="005F4601"/>
    <w:rsid w:val="005F464E"/>
    <w:rsid w:val="005F48F3"/>
    <w:rsid w:val="005F4AA6"/>
    <w:rsid w:val="005F4B76"/>
    <w:rsid w:val="005F514B"/>
    <w:rsid w:val="005F516C"/>
    <w:rsid w:val="005F5C4A"/>
    <w:rsid w:val="005F6468"/>
    <w:rsid w:val="005F65A4"/>
    <w:rsid w:val="005F65BC"/>
    <w:rsid w:val="005F6C4D"/>
    <w:rsid w:val="005F77C2"/>
    <w:rsid w:val="005F7AA0"/>
    <w:rsid w:val="00600646"/>
    <w:rsid w:val="00600728"/>
    <w:rsid w:val="0060079E"/>
    <w:rsid w:val="00600A34"/>
    <w:rsid w:val="00600AEB"/>
    <w:rsid w:val="00601307"/>
    <w:rsid w:val="0060175E"/>
    <w:rsid w:val="006019EF"/>
    <w:rsid w:val="00601A83"/>
    <w:rsid w:val="00601F0F"/>
    <w:rsid w:val="00602D31"/>
    <w:rsid w:val="00602E9B"/>
    <w:rsid w:val="00603257"/>
    <w:rsid w:val="00603A1C"/>
    <w:rsid w:val="00603B06"/>
    <w:rsid w:val="00604538"/>
    <w:rsid w:val="0060458C"/>
    <w:rsid w:val="0060525A"/>
    <w:rsid w:val="0060619A"/>
    <w:rsid w:val="00606720"/>
    <w:rsid w:val="00606DEB"/>
    <w:rsid w:val="006070D6"/>
    <w:rsid w:val="0060746B"/>
    <w:rsid w:val="006103C2"/>
    <w:rsid w:val="006109AA"/>
    <w:rsid w:val="00610A16"/>
    <w:rsid w:val="00610DAE"/>
    <w:rsid w:val="00610E1E"/>
    <w:rsid w:val="0061113D"/>
    <w:rsid w:val="006114B9"/>
    <w:rsid w:val="00612742"/>
    <w:rsid w:val="0061328B"/>
    <w:rsid w:val="00613587"/>
    <w:rsid w:val="0061381D"/>
    <w:rsid w:val="00613BF7"/>
    <w:rsid w:val="00613FAB"/>
    <w:rsid w:val="0061419F"/>
    <w:rsid w:val="00614619"/>
    <w:rsid w:val="00614865"/>
    <w:rsid w:val="00614B17"/>
    <w:rsid w:val="00614CED"/>
    <w:rsid w:val="00615445"/>
    <w:rsid w:val="00615556"/>
    <w:rsid w:val="006155F1"/>
    <w:rsid w:val="00615A87"/>
    <w:rsid w:val="00615D37"/>
    <w:rsid w:val="006166A1"/>
    <w:rsid w:val="00616B4D"/>
    <w:rsid w:val="006179C4"/>
    <w:rsid w:val="00617EC9"/>
    <w:rsid w:val="006204E2"/>
    <w:rsid w:val="006206C9"/>
    <w:rsid w:val="0062077F"/>
    <w:rsid w:val="00620839"/>
    <w:rsid w:val="00620A79"/>
    <w:rsid w:val="00620B5C"/>
    <w:rsid w:val="00620CC5"/>
    <w:rsid w:val="00620D0D"/>
    <w:rsid w:val="00621031"/>
    <w:rsid w:val="00621046"/>
    <w:rsid w:val="00621BA8"/>
    <w:rsid w:val="00621CB4"/>
    <w:rsid w:val="00621E3F"/>
    <w:rsid w:val="006230E3"/>
    <w:rsid w:val="0062380E"/>
    <w:rsid w:val="006238DA"/>
    <w:rsid w:val="006239AF"/>
    <w:rsid w:val="00623AA7"/>
    <w:rsid w:val="006243DC"/>
    <w:rsid w:val="00624FB7"/>
    <w:rsid w:val="00625095"/>
    <w:rsid w:val="0062522F"/>
    <w:rsid w:val="00625305"/>
    <w:rsid w:val="006254D8"/>
    <w:rsid w:val="006254F3"/>
    <w:rsid w:val="00625C09"/>
    <w:rsid w:val="00626976"/>
    <w:rsid w:val="00626D9F"/>
    <w:rsid w:val="0062721A"/>
    <w:rsid w:val="0062762A"/>
    <w:rsid w:val="0062793A"/>
    <w:rsid w:val="00627ADA"/>
    <w:rsid w:val="00627DFA"/>
    <w:rsid w:val="00627E79"/>
    <w:rsid w:val="00630335"/>
    <w:rsid w:val="00630DB3"/>
    <w:rsid w:val="00631A2B"/>
    <w:rsid w:val="00632A05"/>
    <w:rsid w:val="00632A9E"/>
    <w:rsid w:val="00632E76"/>
    <w:rsid w:val="00633169"/>
    <w:rsid w:val="0063330E"/>
    <w:rsid w:val="0063338D"/>
    <w:rsid w:val="00633C6E"/>
    <w:rsid w:val="00634110"/>
    <w:rsid w:val="0063412F"/>
    <w:rsid w:val="006344C3"/>
    <w:rsid w:val="0063455B"/>
    <w:rsid w:val="0063485D"/>
    <w:rsid w:val="00634F4B"/>
    <w:rsid w:val="006350AA"/>
    <w:rsid w:val="006350AC"/>
    <w:rsid w:val="006358FA"/>
    <w:rsid w:val="006359B2"/>
    <w:rsid w:val="00635DE8"/>
    <w:rsid w:val="00636166"/>
    <w:rsid w:val="00636AB7"/>
    <w:rsid w:val="006378E5"/>
    <w:rsid w:val="00637E0B"/>
    <w:rsid w:val="00640206"/>
    <w:rsid w:val="0064037A"/>
    <w:rsid w:val="00640470"/>
    <w:rsid w:val="00640ECA"/>
    <w:rsid w:val="006422D2"/>
    <w:rsid w:val="006427FF"/>
    <w:rsid w:val="00642BCC"/>
    <w:rsid w:val="0064311C"/>
    <w:rsid w:val="00643149"/>
    <w:rsid w:val="006431AC"/>
    <w:rsid w:val="00643778"/>
    <w:rsid w:val="00643CCF"/>
    <w:rsid w:val="00643CD4"/>
    <w:rsid w:val="006440B1"/>
    <w:rsid w:val="0064418F"/>
    <w:rsid w:val="006443F4"/>
    <w:rsid w:val="00644B7D"/>
    <w:rsid w:val="006450C3"/>
    <w:rsid w:val="0064516E"/>
    <w:rsid w:val="00645243"/>
    <w:rsid w:val="006452D8"/>
    <w:rsid w:val="0064555C"/>
    <w:rsid w:val="00645D90"/>
    <w:rsid w:val="006460D8"/>
    <w:rsid w:val="00646472"/>
    <w:rsid w:val="0064687E"/>
    <w:rsid w:val="00646BCB"/>
    <w:rsid w:val="00646C65"/>
    <w:rsid w:val="00647092"/>
    <w:rsid w:val="006471C9"/>
    <w:rsid w:val="006475E9"/>
    <w:rsid w:val="00647B32"/>
    <w:rsid w:val="00647B60"/>
    <w:rsid w:val="00650B4A"/>
    <w:rsid w:val="00650C81"/>
    <w:rsid w:val="0065176A"/>
    <w:rsid w:val="006521F0"/>
    <w:rsid w:val="0065246C"/>
    <w:rsid w:val="00652479"/>
    <w:rsid w:val="00652AF4"/>
    <w:rsid w:val="0065322E"/>
    <w:rsid w:val="006533BE"/>
    <w:rsid w:val="0065352B"/>
    <w:rsid w:val="00653872"/>
    <w:rsid w:val="00653FAC"/>
    <w:rsid w:val="006541E1"/>
    <w:rsid w:val="0065459A"/>
    <w:rsid w:val="0065527C"/>
    <w:rsid w:val="00655948"/>
    <w:rsid w:val="00655AFE"/>
    <w:rsid w:val="00655DC5"/>
    <w:rsid w:val="00656094"/>
    <w:rsid w:val="006571C2"/>
    <w:rsid w:val="00657D18"/>
    <w:rsid w:val="00657DAE"/>
    <w:rsid w:val="00657E14"/>
    <w:rsid w:val="00657E59"/>
    <w:rsid w:val="00657F47"/>
    <w:rsid w:val="00660048"/>
    <w:rsid w:val="00660B21"/>
    <w:rsid w:val="00660EEA"/>
    <w:rsid w:val="006616DF"/>
    <w:rsid w:val="00661ADA"/>
    <w:rsid w:val="00661B82"/>
    <w:rsid w:val="00661F3D"/>
    <w:rsid w:val="00661FE1"/>
    <w:rsid w:val="0066226E"/>
    <w:rsid w:val="006622A5"/>
    <w:rsid w:val="0066271B"/>
    <w:rsid w:val="00662F78"/>
    <w:rsid w:val="00663041"/>
    <w:rsid w:val="006633B4"/>
    <w:rsid w:val="006637B8"/>
    <w:rsid w:val="006637BA"/>
    <w:rsid w:val="006637C2"/>
    <w:rsid w:val="006639F8"/>
    <w:rsid w:val="00663FA5"/>
    <w:rsid w:val="00664516"/>
    <w:rsid w:val="00664744"/>
    <w:rsid w:val="006648BF"/>
    <w:rsid w:val="00665103"/>
    <w:rsid w:val="0066532D"/>
    <w:rsid w:val="0066585C"/>
    <w:rsid w:val="0066632F"/>
    <w:rsid w:val="006665E1"/>
    <w:rsid w:val="00666765"/>
    <w:rsid w:val="006667C0"/>
    <w:rsid w:val="00667224"/>
    <w:rsid w:val="0066725E"/>
    <w:rsid w:val="0066731A"/>
    <w:rsid w:val="00667613"/>
    <w:rsid w:val="006679A6"/>
    <w:rsid w:val="00670662"/>
    <w:rsid w:val="00670812"/>
    <w:rsid w:val="00670B50"/>
    <w:rsid w:val="00670D18"/>
    <w:rsid w:val="00671681"/>
    <w:rsid w:val="00671693"/>
    <w:rsid w:val="00671869"/>
    <w:rsid w:val="00671925"/>
    <w:rsid w:val="00671949"/>
    <w:rsid w:val="00671DB7"/>
    <w:rsid w:val="006722CE"/>
    <w:rsid w:val="00672326"/>
    <w:rsid w:val="00672606"/>
    <w:rsid w:val="00672C77"/>
    <w:rsid w:val="00672F2F"/>
    <w:rsid w:val="006732C8"/>
    <w:rsid w:val="006735B4"/>
    <w:rsid w:val="00673CBF"/>
    <w:rsid w:val="00673E75"/>
    <w:rsid w:val="00674003"/>
    <w:rsid w:val="00674269"/>
    <w:rsid w:val="00674E04"/>
    <w:rsid w:val="0067501D"/>
    <w:rsid w:val="006756A5"/>
    <w:rsid w:val="00675BCC"/>
    <w:rsid w:val="00675E5A"/>
    <w:rsid w:val="00675F16"/>
    <w:rsid w:val="00676164"/>
    <w:rsid w:val="006761BC"/>
    <w:rsid w:val="006767A0"/>
    <w:rsid w:val="006767AE"/>
    <w:rsid w:val="006769EE"/>
    <w:rsid w:val="00676B39"/>
    <w:rsid w:val="006777A1"/>
    <w:rsid w:val="006778BE"/>
    <w:rsid w:val="00677C2F"/>
    <w:rsid w:val="00677CF4"/>
    <w:rsid w:val="00677EB0"/>
    <w:rsid w:val="00680BA5"/>
    <w:rsid w:val="00680C30"/>
    <w:rsid w:val="00680C86"/>
    <w:rsid w:val="0068125A"/>
    <w:rsid w:val="00681773"/>
    <w:rsid w:val="00681A26"/>
    <w:rsid w:val="00681B4C"/>
    <w:rsid w:val="00681D39"/>
    <w:rsid w:val="00681E45"/>
    <w:rsid w:val="00681E80"/>
    <w:rsid w:val="00682053"/>
    <w:rsid w:val="00682085"/>
    <w:rsid w:val="00682233"/>
    <w:rsid w:val="006825E7"/>
    <w:rsid w:val="00682849"/>
    <w:rsid w:val="00682BCC"/>
    <w:rsid w:val="00682DEF"/>
    <w:rsid w:val="006832A7"/>
    <w:rsid w:val="0068341F"/>
    <w:rsid w:val="00683BE0"/>
    <w:rsid w:val="00683DA8"/>
    <w:rsid w:val="00683DF5"/>
    <w:rsid w:val="00683FD6"/>
    <w:rsid w:val="0068470D"/>
    <w:rsid w:val="00685627"/>
    <w:rsid w:val="00685A84"/>
    <w:rsid w:val="00685EA8"/>
    <w:rsid w:val="00685FB6"/>
    <w:rsid w:val="0068711B"/>
    <w:rsid w:val="0068712A"/>
    <w:rsid w:val="0068712E"/>
    <w:rsid w:val="006879AA"/>
    <w:rsid w:val="00687A30"/>
    <w:rsid w:val="00687A9B"/>
    <w:rsid w:val="00690E64"/>
    <w:rsid w:val="006915EE"/>
    <w:rsid w:val="0069161A"/>
    <w:rsid w:val="00691AFE"/>
    <w:rsid w:val="00692D2D"/>
    <w:rsid w:val="00693262"/>
    <w:rsid w:val="0069396C"/>
    <w:rsid w:val="00693B3B"/>
    <w:rsid w:val="00693BFC"/>
    <w:rsid w:val="00693C8C"/>
    <w:rsid w:val="00693FC2"/>
    <w:rsid w:val="00694073"/>
    <w:rsid w:val="00694574"/>
    <w:rsid w:val="006945DD"/>
    <w:rsid w:val="00694F9A"/>
    <w:rsid w:val="0069533F"/>
    <w:rsid w:val="00695720"/>
    <w:rsid w:val="006957C0"/>
    <w:rsid w:val="00695F48"/>
    <w:rsid w:val="00696158"/>
    <w:rsid w:val="00696AF0"/>
    <w:rsid w:val="006972F0"/>
    <w:rsid w:val="00697391"/>
    <w:rsid w:val="0069756F"/>
    <w:rsid w:val="00697BF5"/>
    <w:rsid w:val="006A0096"/>
    <w:rsid w:val="006A066A"/>
    <w:rsid w:val="006A0680"/>
    <w:rsid w:val="006A07AF"/>
    <w:rsid w:val="006A092A"/>
    <w:rsid w:val="006A0BDD"/>
    <w:rsid w:val="006A11E8"/>
    <w:rsid w:val="006A12EE"/>
    <w:rsid w:val="006A1A48"/>
    <w:rsid w:val="006A1D0E"/>
    <w:rsid w:val="006A2386"/>
    <w:rsid w:val="006A240F"/>
    <w:rsid w:val="006A25D8"/>
    <w:rsid w:val="006A296B"/>
    <w:rsid w:val="006A2A91"/>
    <w:rsid w:val="006A2C19"/>
    <w:rsid w:val="006A2F3A"/>
    <w:rsid w:val="006A3483"/>
    <w:rsid w:val="006A37D4"/>
    <w:rsid w:val="006A387E"/>
    <w:rsid w:val="006A3F6B"/>
    <w:rsid w:val="006A4078"/>
    <w:rsid w:val="006A42C2"/>
    <w:rsid w:val="006A5267"/>
    <w:rsid w:val="006A5790"/>
    <w:rsid w:val="006A5D34"/>
    <w:rsid w:val="006A5DB5"/>
    <w:rsid w:val="006A5E3E"/>
    <w:rsid w:val="006A5F57"/>
    <w:rsid w:val="006A635C"/>
    <w:rsid w:val="006A63D8"/>
    <w:rsid w:val="006A6553"/>
    <w:rsid w:val="006A662A"/>
    <w:rsid w:val="006A6668"/>
    <w:rsid w:val="006A6D57"/>
    <w:rsid w:val="006A6EEA"/>
    <w:rsid w:val="006A6F7F"/>
    <w:rsid w:val="006A7542"/>
    <w:rsid w:val="006A7AFC"/>
    <w:rsid w:val="006B010C"/>
    <w:rsid w:val="006B05A7"/>
    <w:rsid w:val="006B0ABA"/>
    <w:rsid w:val="006B0FA8"/>
    <w:rsid w:val="006B1281"/>
    <w:rsid w:val="006B1401"/>
    <w:rsid w:val="006B144A"/>
    <w:rsid w:val="006B167B"/>
    <w:rsid w:val="006B1688"/>
    <w:rsid w:val="006B1A70"/>
    <w:rsid w:val="006B1A86"/>
    <w:rsid w:val="006B28BF"/>
    <w:rsid w:val="006B28FB"/>
    <w:rsid w:val="006B2B74"/>
    <w:rsid w:val="006B3118"/>
    <w:rsid w:val="006B3A3F"/>
    <w:rsid w:val="006B44AD"/>
    <w:rsid w:val="006B4D30"/>
    <w:rsid w:val="006B52F0"/>
    <w:rsid w:val="006B55A7"/>
    <w:rsid w:val="006B58E0"/>
    <w:rsid w:val="006B599B"/>
    <w:rsid w:val="006B5C04"/>
    <w:rsid w:val="006B63E2"/>
    <w:rsid w:val="006B6929"/>
    <w:rsid w:val="006B753A"/>
    <w:rsid w:val="006B7ED0"/>
    <w:rsid w:val="006C033B"/>
    <w:rsid w:val="006C03C2"/>
    <w:rsid w:val="006C0999"/>
    <w:rsid w:val="006C0CF3"/>
    <w:rsid w:val="006C11AC"/>
    <w:rsid w:val="006C1529"/>
    <w:rsid w:val="006C160C"/>
    <w:rsid w:val="006C1623"/>
    <w:rsid w:val="006C2DA2"/>
    <w:rsid w:val="006C2E87"/>
    <w:rsid w:val="006C35C0"/>
    <w:rsid w:val="006C3768"/>
    <w:rsid w:val="006C390E"/>
    <w:rsid w:val="006C3A1C"/>
    <w:rsid w:val="006C4079"/>
    <w:rsid w:val="006C422D"/>
    <w:rsid w:val="006C479D"/>
    <w:rsid w:val="006C57FE"/>
    <w:rsid w:val="006C58E9"/>
    <w:rsid w:val="006C599D"/>
    <w:rsid w:val="006C5FEF"/>
    <w:rsid w:val="006C6231"/>
    <w:rsid w:val="006C6E30"/>
    <w:rsid w:val="006C72C7"/>
    <w:rsid w:val="006C7627"/>
    <w:rsid w:val="006C76BB"/>
    <w:rsid w:val="006C7760"/>
    <w:rsid w:val="006C7C18"/>
    <w:rsid w:val="006C7F21"/>
    <w:rsid w:val="006D0522"/>
    <w:rsid w:val="006D05C4"/>
    <w:rsid w:val="006D0AD8"/>
    <w:rsid w:val="006D0B83"/>
    <w:rsid w:val="006D1361"/>
    <w:rsid w:val="006D18D2"/>
    <w:rsid w:val="006D19B4"/>
    <w:rsid w:val="006D1B1C"/>
    <w:rsid w:val="006D21E4"/>
    <w:rsid w:val="006D24C5"/>
    <w:rsid w:val="006D29A2"/>
    <w:rsid w:val="006D2B5B"/>
    <w:rsid w:val="006D2BCF"/>
    <w:rsid w:val="006D389E"/>
    <w:rsid w:val="006D3A10"/>
    <w:rsid w:val="006D3F3C"/>
    <w:rsid w:val="006D4037"/>
    <w:rsid w:val="006D48F8"/>
    <w:rsid w:val="006D4B9A"/>
    <w:rsid w:val="006D4E4D"/>
    <w:rsid w:val="006D52BA"/>
    <w:rsid w:val="006D5842"/>
    <w:rsid w:val="006D5D0F"/>
    <w:rsid w:val="006D5E06"/>
    <w:rsid w:val="006D6610"/>
    <w:rsid w:val="006D67FA"/>
    <w:rsid w:val="006D6F04"/>
    <w:rsid w:val="006D7230"/>
    <w:rsid w:val="006D7583"/>
    <w:rsid w:val="006D76DC"/>
    <w:rsid w:val="006E0113"/>
    <w:rsid w:val="006E01A4"/>
    <w:rsid w:val="006E038E"/>
    <w:rsid w:val="006E0AE4"/>
    <w:rsid w:val="006E0B4E"/>
    <w:rsid w:val="006E12CF"/>
    <w:rsid w:val="006E1373"/>
    <w:rsid w:val="006E18E1"/>
    <w:rsid w:val="006E205A"/>
    <w:rsid w:val="006E210A"/>
    <w:rsid w:val="006E2163"/>
    <w:rsid w:val="006E264D"/>
    <w:rsid w:val="006E28FE"/>
    <w:rsid w:val="006E2925"/>
    <w:rsid w:val="006E2AAA"/>
    <w:rsid w:val="006E2BDC"/>
    <w:rsid w:val="006E2C05"/>
    <w:rsid w:val="006E2F94"/>
    <w:rsid w:val="006E377B"/>
    <w:rsid w:val="006E3D20"/>
    <w:rsid w:val="006E3D34"/>
    <w:rsid w:val="006E4405"/>
    <w:rsid w:val="006E4577"/>
    <w:rsid w:val="006E5492"/>
    <w:rsid w:val="006E5509"/>
    <w:rsid w:val="006E5B2F"/>
    <w:rsid w:val="006E613A"/>
    <w:rsid w:val="006E6208"/>
    <w:rsid w:val="006E6C03"/>
    <w:rsid w:val="006E7CE6"/>
    <w:rsid w:val="006E7E1F"/>
    <w:rsid w:val="006F02BB"/>
    <w:rsid w:val="006F06C4"/>
    <w:rsid w:val="006F08BF"/>
    <w:rsid w:val="006F09F8"/>
    <w:rsid w:val="006F0ABF"/>
    <w:rsid w:val="006F1495"/>
    <w:rsid w:val="006F16AF"/>
    <w:rsid w:val="006F28BB"/>
    <w:rsid w:val="006F3019"/>
    <w:rsid w:val="006F329C"/>
    <w:rsid w:val="006F3A8B"/>
    <w:rsid w:val="006F3E3D"/>
    <w:rsid w:val="006F406E"/>
    <w:rsid w:val="006F4095"/>
    <w:rsid w:val="006F4500"/>
    <w:rsid w:val="006F4644"/>
    <w:rsid w:val="006F4808"/>
    <w:rsid w:val="006F4DC8"/>
    <w:rsid w:val="006F504A"/>
    <w:rsid w:val="006F5687"/>
    <w:rsid w:val="006F5F49"/>
    <w:rsid w:val="006F629C"/>
    <w:rsid w:val="006F6704"/>
    <w:rsid w:val="006F6806"/>
    <w:rsid w:val="006F6AE3"/>
    <w:rsid w:val="006F6C6C"/>
    <w:rsid w:val="006F7165"/>
    <w:rsid w:val="006F7634"/>
    <w:rsid w:val="006F7653"/>
    <w:rsid w:val="006F7CDD"/>
    <w:rsid w:val="006F7EC2"/>
    <w:rsid w:val="006F7FE2"/>
    <w:rsid w:val="007000F7"/>
    <w:rsid w:val="007003E4"/>
    <w:rsid w:val="00700614"/>
    <w:rsid w:val="00701411"/>
    <w:rsid w:val="00701FC4"/>
    <w:rsid w:val="00702002"/>
    <w:rsid w:val="007023E1"/>
    <w:rsid w:val="0070265E"/>
    <w:rsid w:val="0070408C"/>
    <w:rsid w:val="007042D1"/>
    <w:rsid w:val="00704A5E"/>
    <w:rsid w:val="00704B94"/>
    <w:rsid w:val="00705192"/>
    <w:rsid w:val="007051E9"/>
    <w:rsid w:val="00705506"/>
    <w:rsid w:val="00705B6D"/>
    <w:rsid w:val="0070704C"/>
    <w:rsid w:val="0070755B"/>
    <w:rsid w:val="007076C6"/>
    <w:rsid w:val="007101A4"/>
    <w:rsid w:val="007104A2"/>
    <w:rsid w:val="0071069C"/>
    <w:rsid w:val="00711282"/>
    <w:rsid w:val="00711840"/>
    <w:rsid w:val="0071195B"/>
    <w:rsid w:val="00711A5C"/>
    <w:rsid w:val="00711B3B"/>
    <w:rsid w:val="00711EF0"/>
    <w:rsid w:val="00711F60"/>
    <w:rsid w:val="007127E7"/>
    <w:rsid w:val="007128FB"/>
    <w:rsid w:val="00712B79"/>
    <w:rsid w:val="007131D5"/>
    <w:rsid w:val="007134FA"/>
    <w:rsid w:val="0071360F"/>
    <w:rsid w:val="00713FF9"/>
    <w:rsid w:val="00714067"/>
    <w:rsid w:val="0071407D"/>
    <w:rsid w:val="00714AA9"/>
    <w:rsid w:val="00714D52"/>
    <w:rsid w:val="00714E72"/>
    <w:rsid w:val="007154E7"/>
    <w:rsid w:val="007159FC"/>
    <w:rsid w:val="00715A2F"/>
    <w:rsid w:val="00715B3E"/>
    <w:rsid w:val="00715E66"/>
    <w:rsid w:val="0071677B"/>
    <w:rsid w:val="00717387"/>
    <w:rsid w:val="00717AB0"/>
    <w:rsid w:val="00717AB2"/>
    <w:rsid w:val="00717B43"/>
    <w:rsid w:val="00717D05"/>
    <w:rsid w:val="00717DE8"/>
    <w:rsid w:val="00717EA1"/>
    <w:rsid w:val="00717EAC"/>
    <w:rsid w:val="007204A7"/>
    <w:rsid w:val="00720A58"/>
    <w:rsid w:val="00720A86"/>
    <w:rsid w:val="00720C36"/>
    <w:rsid w:val="00720E2C"/>
    <w:rsid w:val="0072114D"/>
    <w:rsid w:val="00721910"/>
    <w:rsid w:val="00722721"/>
    <w:rsid w:val="00722D7A"/>
    <w:rsid w:val="00722FC7"/>
    <w:rsid w:val="00723124"/>
    <w:rsid w:val="0072364C"/>
    <w:rsid w:val="007236E8"/>
    <w:rsid w:val="00724307"/>
    <w:rsid w:val="0072438B"/>
    <w:rsid w:val="00724408"/>
    <w:rsid w:val="007249E2"/>
    <w:rsid w:val="00724AD2"/>
    <w:rsid w:val="00724BBF"/>
    <w:rsid w:val="00726037"/>
    <w:rsid w:val="0072688D"/>
    <w:rsid w:val="00726895"/>
    <w:rsid w:val="00726D53"/>
    <w:rsid w:val="00727711"/>
    <w:rsid w:val="0072775A"/>
    <w:rsid w:val="00727810"/>
    <w:rsid w:val="00727A31"/>
    <w:rsid w:val="0073080F"/>
    <w:rsid w:val="00730A1D"/>
    <w:rsid w:val="00730B04"/>
    <w:rsid w:val="00730C5A"/>
    <w:rsid w:val="00730CB7"/>
    <w:rsid w:val="00730CE1"/>
    <w:rsid w:val="007315A1"/>
    <w:rsid w:val="00731963"/>
    <w:rsid w:val="00731F45"/>
    <w:rsid w:val="00732003"/>
    <w:rsid w:val="0073204E"/>
    <w:rsid w:val="007325C7"/>
    <w:rsid w:val="00733211"/>
    <w:rsid w:val="00733935"/>
    <w:rsid w:val="00733D1E"/>
    <w:rsid w:val="00734224"/>
    <w:rsid w:val="00734308"/>
    <w:rsid w:val="00734596"/>
    <w:rsid w:val="00734D27"/>
    <w:rsid w:val="00735055"/>
    <w:rsid w:val="0073509B"/>
    <w:rsid w:val="0073597E"/>
    <w:rsid w:val="00735DDA"/>
    <w:rsid w:val="00736D0A"/>
    <w:rsid w:val="00737172"/>
    <w:rsid w:val="007373BD"/>
    <w:rsid w:val="0073783B"/>
    <w:rsid w:val="00737A9E"/>
    <w:rsid w:val="00737F69"/>
    <w:rsid w:val="00740685"/>
    <w:rsid w:val="00740706"/>
    <w:rsid w:val="00740A59"/>
    <w:rsid w:val="00740BCB"/>
    <w:rsid w:val="00740D0C"/>
    <w:rsid w:val="00740D78"/>
    <w:rsid w:val="00740FEF"/>
    <w:rsid w:val="00741123"/>
    <w:rsid w:val="00741A86"/>
    <w:rsid w:val="00742042"/>
    <w:rsid w:val="00742100"/>
    <w:rsid w:val="007425B1"/>
    <w:rsid w:val="0074278E"/>
    <w:rsid w:val="00742B40"/>
    <w:rsid w:val="00742C07"/>
    <w:rsid w:val="00742D90"/>
    <w:rsid w:val="00743527"/>
    <w:rsid w:val="007440BE"/>
    <w:rsid w:val="007449E1"/>
    <w:rsid w:val="00744D45"/>
    <w:rsid w:val="00745222"/>
    <w:rsid w:val="007452F8"/>
    <w:rsid w:val="007454C4"/>
    <w:rsid w:val="00746597"/>
    <w:rsid w:val="007468DB"/>
    <w:rsid w:val="00746C0F"/>
    <w:rsid w:val="00746E07"/>
    <w:rsid w:val="00746F98"/>
    <w:rsid w:val="00746F9F"/>
    <w:rsid w:val="007476C5"/>
    <w:rsid w:val="00747958"/>
    <w:rsid w:val="0075062E"/>
    <w:rsid w:val="00750AC1"/>
    <w:rsid w:val="0075101B"/>
    <w:rsid w:val="007513D5"/>
    <w:rsid w:val="0075145A"/>
    <w:rsid w:val="00751A80"/>
    <w:rsid w:val="00751A8B"/>
    <w:rsid w:val="0075265B"/>
    <w:rsid w:val="00752669"/>
    <w:rsid w:val="00753144"/>
    <w:rsid w:val="00753A7F"/>
    <w:rsid w:val="00753AE0"/>
    <w:rsid w:val="00754278"/>
    <w:rsid w:val="007545A4"/>
    <w:rsid w:val="007546B8"/>
    <w:rsid w:val="00755057"/>
    <w:rsid w:val="0075599B"/>
    <w:rsid w:val="00756120"/>
    <w:rsid w:val="00756D8F"/>
    <w:rsid w:val="00756E46"/>
    <w:rsid w:val="007570A8"/>
    <w:rsid w:val="007574F9"/>
    <w:rsid w:val="00757FBA"/>
    <w:rsid w:val="00760526"/>
    <w:rsid w:val="0076089F"/>
    <w:rsid w:val="00761193"/>
    <w:rsid w:val="007620DE"/>
    <w:rsid w:val="0076257B"/>
    <w:rsid w:val="0076264F"/>
    <w:rsid w:val="00762904"/>
    <w:rsid w:val="00762EFA"/>
    <w:rsid w:val="00763351"/>
    <w:rsid w:val="0076388B"/>
    <w:rsid w:val="00763AAA"/>
    <w:rsid w:val="00763B5F"/>
    <w:rsid w:val="00763F6C"/>
    <w:rsid w:val="00763FD0"/>
    <w:rsid w:val="0076429C"/>
    <w:rsid w:val="00764708"/>
    <w:rsid w:val="00764C1F"/>
    <w:rsid w:val="00764DB5"/>
    <w:rsid w:val="0076537E"/>
    <w:rsid w:val="007656C9"/>
    <w:rsid w:val="007656F6"/>
    <w:rsid w:val="0076574E"/>
    <w:rsid w:val="007657DA"/>
    <w:rsid w:val="00765E34"/>
    <w:rsid w:val="007660E4"/>
    <w:rsid w:val="007662FE"/>
    <w:rsid w:val="00766551"/>
    <w:rsid w:val="0076670F"/>
    <w:rsid w:val="00767C12"/>
    <w:rsid w:val="00767EF6"/>
    <w:rsid w:val="007701BF"/>
    <w:rsid w:val="0077040C"/>
    <w:rsid w:val="007705D1"/>
    <w:rsid w:val="00770E92"/>
    <w:rsid w:val="00771734"/>
    <w:rsid w:val="007721DB"/>
    <w:rsid w:val="0077275D"/>
    <w:rsid w:val="007728D3"/>
    <w:rsid w:val="00772DCD"/>
    <w:rsid w:val="00772E1D"/>
    <w:rsid w:val="007730AA"/>
    <w:rsid w:val="0077327B"/>
    <w:rsid w:val="0077345C"/>
    <w:rsid w:val="0077355D"/>
    <w:rsid w:val="00773D5E"/>
    <w:rsid w:val="00773EF8"/>
    <w:rsid w:val="00773F1D"/>
    <w:rsid w:val="00774781"/>
    <w:rsid w:val="007749D1"/>
    <w:rsid w:val="0077520F"/>
    <w:rsid w:val="00775330"/>
    <w:rsid w:val="007753E1"/>
    <w:rsid w:val="007762E3"/>
    <w:rsid w:val="007762E5"/>
    <w:rsid w:val="00776560"/>
    <w:rsid w:val="0077672E"/>
    <w:rsid w:val="0077683C"/>
    <w:rsid w:val="00776CD8"/>
    <w:rsid w:val="00776CF0"/>
    <w:rsid w:val="00776D17"/>
    <w:rsid w:val="00777061"/>
    <w:rsid w:val="007771B6"/>
    <w:rsid w:val="00777AB7"/>
    <w:rsid w:val="007801A8"/>
    <w:rsid w:val="00780369"/>
    <w:rsid w:val="007805F6"/>
    <w:rsid w:val="0078078C"/>
    <w:rsid w:val="007812AA"/>
    <w:rsid w:val="0078139C"/>
    <w:rsid w:val="007814FE"/>
    <w:rsid w:val="0078263C"/>
    <w:rsid w:val="00782AAE"/>
    <w:rsid w:val="00783594"/>
    <w:rsid w:val="007836B0"/>
    <w:rsid w:val="00783E29"/>
    <w:rsid w:val="00783F5A"/>
    <w:rsid w:val="00784802"/>
    <w:rsid w:val="00784AC7"/>
    <w:rsid w:val="0078530B"/>
    <w:rsid w:val="00785394"/>
    <w:rsid w:val="00785686"/>
    <w:rsid w:val="00785828"/>
    <w:rsid w:val="007859BF"/>
    <w:rsid w:val="00785ABE"/>
    <w:rsid w:val="00785C42"/>
    <w:rsid w:val="00785E93"/>
    <w:rsid w:val="00786462"/>
    <w:rsid w:val="0078695B"/>
    <w:rsid w:val="0078718A"/>
    <w:rsid w:val="00787739"/>
    <w:rsid w:val="00787BD8"/>
    <w:rsid w:val="00787F73"/>
    <w:rsid w:val="0079037A"/>
    <w:rsid w:val="0079061F"/>
    <w:rsid w:val="00790F21"/>
    <w:rsid w:val="00790F49"/>
    <w:rsid w:val="00790FBA"/>
    <w:rsid w:val="007913B8"/>
    <w:rsid w:val="0079172E"/>
    <w:rsid w:val="00791D3F"/>
    <w:rsid w:val="00791E4C"/>
    <w:rsid w:val="00792095"/>
    <w:rsid w:val="007921A2"/>
    <w:rsid w:val="00792590"/>
    <w:rsid w:val="00792EB5"/>
    <w:rsid w:val="00793099"/>
    <w:rsid w:val="007938F6"/>
    <w:rsid w:val="00793D3C"/>
    <w:rsid w:val="00793F7A"/>
    <w:rsid w:val="0079404B"/>
    <w:rsid w:val="007943E3"/>
    <w:rsid w:val="00794AC2"/>
    <w:rsid w:val="00794C65"/>
    <w:rsid w:val="00795205"/>
    <w:rsid w:val="00795525"/>
    <w:rsid w:val="007955BB"/>
    <w:rsid w:val="00795714"/>
    <w:rsid w:val="00795737"/>
    <w:rsid w:val="00795AC1"/>
    <w:rsid w:val="00795E13"/>
    <w:rsid w:val="00796125"/>
    <w:rsid w:val="00796B16"/>
    <w:rsid w:val="007973F8"/>
    <w:rsid w:val="007A0019"/>
    <w:rsid w:val="007A0119"/>
    <w:rsid w:val="007A07A1"/>
    <w:rsid w:val="007A0DCD"/>
    <w:rsid w:val="007A1459"/>
    <w:rsid w:val="007A1E81"/>
    <w:rsid w:val="007A2206"/>
    <w:rsid w:val="007A2576"/>
    <w:rsid w:val="007A3170"/>
    <w:rsid w:val="007A3991"/>
    <w:rsid w:val="007A3B72"/>
    <w:rsid w:val="007A4136"/>
    <w:rsid w:val="007A41DF"/>
    <w:rsid w:val="007A4281"/>
    <w:rsid w:val="007A46BD"/>
    <w:rsid w:val="007A4C33"/>
    <w:rsid w:val="007A4C3E"/>
    <w:rsid w:val="007A4E24"/>
    <w:rsid w:val="007A4EC3"/>
    <w:rsid w:val="007A5371"/>
    <w:rsid w:val="007A5392"/>
    <w:rsid w:val="007A5C0C"/>
    <w:rsid w:val="007A5F0F"/>
    <w:rsid w:val="007A6021"/>
    <w:rsid w:val="007A64FD"/>
    <w:rsid w:val="007A6688"/>
    <w:rsid w:val="007A68B6"/>
    <w:rsid w:val="007A6CCF"/>
    <w:rsid w:val="007A6D55"/>
    <w:rsid w:val="007A7147"/>
    <w:rsid w:val="007A7599"/>
    <w:rsid w:val="007A7E47"/>
    <w:rsid w:val="007B0182"/>
    <w:rsid w:val="007B0235"/>
    <w:rsid w:val="007B0B14"/>
    <w:rsid w:val="007B120D"/>
    <w:rsid w:val="007B1577"/>
    <w:rsid w:val="007B19C8"/>
    <w:rsid w:val="007B222F"/>
    <w:rsid w:val="007B23F2"/>
    <w:rsid w:val="007B2A46"/>
    <w:rsid w:val="007B2ADC"/>
    <w:rsid w:val="007B2B5B"/>
    <w:rsid w:val="007B2CB4"/>
    <w:rsid w:val="007B41DF"/>
    <w:rsid w:val="007B45E0"/>
    <w:rsid w:val="007B45F3"/>
    <w:rsid w:val="007B4B38"/>
    <w:rsid w:val="007B4CC7"/>
    <w:rsid w:val="007B5022"/>
    <w:rsid w:val="007B51B1"/>
    <w:rsid w:val="007B539C"/>
    <w:rsid w:val="007B580D"/>
    <w:rsid w:val="007B581C"/>
    <w:rsid w:val="007B5A07"/>
    <w:rsid w:val="007B5BF4"/>
    <w:rsid w:val="007B61DC"/>
    <w:rsid w:val="007B636A"/>
    <w:rsid w:val="007B6C9A"/>
    <w:rsid w:val="007B70A7"/>
    <w:rsid w:val="007B7942"/>
    <w:rsid w:val="007B7C28"/>
    <w:rsid w:val="007B7C71"/>
    <w:rsid w:val="007C0022"/>
    <w:rsid w:val="007C01B0"/>
    <w:rsid w:val="007C02ED"/>
    <w:rsid w:val="007C063B"/>
    <w:rsid w:val="007C06A7"/>
    <w:rsid w:val="007C08AC"/>
    <w:rsid w:val="007C0959"/>
    <w:rsid w:val="007C097D"/>
    <w:rsid w:val="007C0C35"/>
    <w:rsid w:val="007C1037"/>
    <w:rsid w:val="007C13AC"/>
    <w:rsid w:val="007C14F4"/>
    <w:rsid w:val="007C1530"/>
    <w:rsid w:val="007C1B96"/>
    <w:rsid w:val="007C2376"/>
    <w:rsid w:val="007C243D"/>
    <w:rsid w:val="007C29D3"/>
    <w:rsid w:val="007C2D2A"/>
    <w:rsid w:val="007C3743"/>
    <w:rsid w:val="007C3751"/>
    <w:rsid w:val="007C3A9C"/>
    <w:rsid w:val="007C42A9"/>
    <w:rsid w:val="007C4574"/>
    <w:rsid w:val="007C48F6"/>
    <w:rsid w:val="007C4D41"/>
    <w:rsid w:val="007C4DA8"/>
    <w:rsid w:val="007C4E2F"/>
    <w:rsid w:val="007C51C0"/>
    <w:rsid w:val="007C52D9"/>
    <w:rsid w:val="007C53D8"/>
    <w:rsid w:val="007C58A5"/>
    <w:rsid w:val="007C5BDD"/>
    <w:rsid w:val="007C5F65"/>
    <w:rsid w:val="007C60A9"/>
    <w:rsid w:val="007C6268"/>
    <w:rsid w:val="007C650D"/>
    <w:rsid w:val="007C65A5"/>
    <w:rsid w:val="007C6996"/>
    <w:rsid w:val="007C6A2A"/>
    <w:rsid w:val="007C6CB5"/>
    <w:rsid w:val="007C6E53"/>
    <w:rsid w:val="007C70C7"/>
    <w:rsid w:val="007C7D19"/>
    <w:rsid w:val="007C7EB2"/>
    <w:rsid w:val="007C7FD0"/>
    <w:rsid w:val="007D01FA"/>
    <w:rsid w:val="007D0F12"/>
    <w:rsid w:val="007D11AF"/>
    <w:rsid w:val="007D1591"/>
    <w:rsid w:val="007D163B"/>
    <w:rsid w:val="007D16E6"/>
    <w:rsid w:val="007D1801"/>
    <w:rsid w:val="007D1B9F"/>
    <w:rsid w:val="007D1ED6"/>
    <w:rsid w:val="007D2196"/>
    <w:rsid w:val="007D2ACE"/>
    <w:rsid w:val="007D2D79"/>
    <w:rsid w:val="007D3C0A"/>
    <w:rsid w:val="007D49B4"/>
    <w:rsid w:val="007D4D91"/>
    <w:rsid w:val="007D511F"/>
    <w:rsid w:val="007D54AB"/>
    <w:rsid w:val="007D55FB"/>
    <w:rsid w:val="007D596C"/>
    <w:rsid w:val="007D5EAE"/>
    <w:rsid w:val="007D61EB"/>
    <w:rsid w:val="007D670A"/>
    <w:rsid w:val="007D69AE"/>
    <w:rsid w:val="007D6BB5"/>
    <w:rsid w:val="007D7248"/>
    <w:rsid w:val="007D7298"/>
    <w:rsid w:val="007D7966"/>
    <w:rsid w:val="007E0441"/>
    <w:rsid w:val="007E047B"/>
    <w:rsid w:val="007E0866"/>
    <w:rsid w:val="007E0A41"/>
    <w:rsid w:val="007E1361"/>
    <w:rsid w:val="007E1821"/>
    <w:rsid w:val="007E18DB"/>
    <w:rsid w:val="007E1AA5"/>
    <w:rsid w:val="007E1DA8"/>
    <w:rsid w:val="007E258D"/>
    <w:rsid w:val="007E26CB"/>
    <w:rsid w:val="007E2B43"/>
    <w:rsid w:val="007E34AD"/>
    <w:rsid w:val="007E3549"/>
    <w:rsid w:val="007E386A"/>
    <w:rsid w:val="007E3C6E"/>
    <w:rsid w:val="007E3E4E"/>
    <w:rsid w:val="007E430F"/>
    <w:rsid w:val="007E4719"/>
    <w:rsid w:val="007E474B"/>
    <w:rsid w:val="007E4800"/>
    <w:rsid w:val="007E4A53"/>
    <w:rsid w:val="007E4C6D"/>
    <w:rsid w:val="007E4E83"/>
    <w:rsid w:val="007E51A4"/>
    <w:rsid w:val="007E5FB7"/>
    <w:rsid w:val="007E61D3"/>
    <w:rsid w:val="007E6284"/>
    <w:rsid w:val="007E680E"/>
    <w:rsid w:val="007E690E"/>
    <w:rsid w:val="007E6D3A"/>
    <w:rsid w:val="007E6DD0"/>
    <w:rsid w:val="007E742D"/>
    <w:rsid w:val="007E790B"/>
    <w:rsid w:val="007E7951"/>
    <w:rsid w:val="007F0683"/>
    <w:rsid w:val="007F13D5"/>
    <w:rsid w:val="007F1942"/>
    <w:rsid w:val="007F1A4A"/>
    <w:rsid w:val="007F1AEE"/>
    <w:rsid w:val="007F21D5"/>
    <w:rsid w:val="007F28F7"/>
    <w:rsid w:val="007F2ED2"/>
    <w:rsid w:val="007F31AF"/>
    <w:rsid w:val="007F4243"/>
    <w:rsid w:val="007F43DB"/>
    <w:rsid w:val="007F48F3"/>
    <w:rsid w:val="007F4DBC"/>
    <w:rsid w:val="007F5120"/>
    <w:rsid w:val="007F51C7"/>
    <w:rsid w:val="007F564E"/>
    <w:rsid w:val="007F5F7A"/>
    <w:rsid w:val="007F6227"/>
    <w:rsid w:val="007F6A4C"/>
    <w:rsid w:val="007F6B6E"/>
    <w:rsid w:val="007F776B"/>
    <w:rsid w:val="007F7C44"/>
    <w:rsid w:val="007F7CEB"/>
    <w:rsid w:val="00800011"/>
    <w:rsid w:val="0080082C"/>
    <w:rsid w:val="00800940"/>
    <w:rsid w:val="00800C86"/>
    <w:rsid w:val="0080106A"/>
    <w:rsid w:val="00801AC1"/>
    <w:rsid w:val="00801F9D"/>
    <w:rsid w:val="00802285"/>
    <w:rsid w:val="0080249D"/>
    <w:rsid w:val="008024DE"/>
    <w:rsid w:val="00802B1C"/>
    <w:rsid w:val="00802FB1"/>
    <w:rsid w:val="008035AD"/>
    <w:rsid w:val="00803793"/>
    <w:rsid w:val="00803E36"/>
    <w:rsid w:val="00804794"/>
    <w:rsid w:val="0080498D"/>
    <w:rsid w:val="00804A79"/>
    <w:rsid w:val="00804B35"/>
    <w:rsid w:val="00804BEB"/>
    <w:rsid w:val="0080500E"/>
    <w:rsid w:val="00805E5C"/>
    <w:rsid w:val="00805FF2"/>
    <w:rsid w:val="0080619A"/>
    <w:rsid w:val="0080622A"/>
    <w:rsid w:val="00806270"/>
    <w:rsid w:val="008071C6"/>
    <w:rsid w:val="00807C06"/>
    <w:rsid w:val="00807C5C"/>
    <w:rsid w:val="0081028B"/>
    <w:rsid w:val="008109F9"/>
    <w:rsid w:val="0081133C"/>
    <w:rsid w:val="0081142F"/>
    <w:rsid w:val="008114DD"/>
    <w:rsid w:val="00811B8D"/>
    <w:rsid w:val="00812173"/>
    <w:rsid w:val="008121B5"/>
    <w:rsid w:val="0081237B"/>
    <w:rsid w:val="008127CF"/>
    <w:rsid w:val="008127F0"/>
    <w:rsid w:val="00812809"/>
    <w:rsid w:val="0081296F"/>
    <w:rsid w:val="00812D6E"/>
    <w:rsid w:val="00813328"/>
    <w:rsid w:val="0081332F"/>
    <w:rsid w:val="00813A99"/>
    <w:rsid w:val="00813C80"/>
    <w:rsid w:val="00813F88"/>
    <w:rsid w:val="00813FE7"/>
    <w:rsid w:val="00814564"/>
    <w:rsid w:val="008146A8"/>
    <w:rsid w:val="00814C55"/>
    <w:rsid w:val="00814DC3"/>
    <w:rsid w:val="008150A1"/>
    <w:rsid w:val="008152DD"/>
    <w:rsid w:val="008153EA"/>
    <w:rsid w:val="00815619"/>
    <w:rsid w:val="008156B6"/>
    <w:rsid w:val="00815835"/>
    <w:rsid w:val="00815858"/>
    <w:rsid w:val="00816C9E"/>
    <w:rsid w:val="00816DAF"/>
    <w:rsid w:val="00817472"/>
    <w:rsid w:val="008176D0"/>
    <w:rsid w:val="008177DF"/>
    <w:rsid w:val="00817CE6"/>
    <w:rsid w:val="008203E2"/>
    <w:rsid w:val="008203EE"/>
    <w:rsid w:val="00820FBE"/>
    <w:rsid w:val="00821455"/>
    <w:rsid w:val="00821BC6"/>
    <w:rsid w:val="00822075"/>
    <w:rsid w:val="0082274E"/>
    <w:rsid w:val="00822D2B"/>
    <w:rsid w:val="00823002"/>
    <w:rsid w:val="008239DE"/>
    <w:rsid w:val="00823AD6"/>
    <w:rsid w:val="00823D17"/>
    <w:rsid w:val="00823DD2"/>
    <w:rsid w:val="00824525"/>
    <w:rsid w:val="008248A6"/>
    <w:rsid w:val="00824A8D"/>
    <w:rsid w:val="00824F16"/>
    <w:rsid w:val="00824F42"/>
    <w:rsid w:val="00825371"/>
    <w:rsid w:val="008256F5"/>
    <w:rsid w:val="008258C8"/>
    <w:rsid w:val="00825DCB"/>
    <w:rsid w:val="00826134"/>
    <w:rsid w:val="00826563"/>
    <w:rsid w:val="00826A39"/>
    <w:rsid w:val="00826CF4"/>
    <w:rsid w:val="00827355"/>
    <w:rsid w:val="0082786F"/>
    <w:rsid w:val="00827BF2"/>
    <w:rsid w:val="008300B3"/>
    <w:rsid w:val="00830614"/>
    <w:rsid w:val="00830814"/>
    <w:rsid w:val="0083096F"/>
    <w:rsid w:val="008309A1"/>
    <w:rsid w:val="00830AF7"/>
    <w:rsid w:val="0083141D"/>
    <w:rsid w:val="008322BF"/>
    <w:rsid w:val="00832373"/>
    <w:rsid w:val="00832409"/>
    <w:rsid w:val="00832819"/>
    <w:rsid w:val="00832856"/>
    <w:rsid w:val="00832A79"/>
    <w:rsid w:val="00832F28"/>
    <w:rsid w:val="0083330F"/>
    <w:rsid w:val="008335F7"/>
    <w:rsid w:val="00833919"/>
    <w:rsid w:val="00833A5A"/>
    <w:rsid w:val="00833B06"/>
    <w:rsid w:val="00833D38"/>
    <w:rsid w:val="00833D74"/>
    <w:rsid w:val="008341AC"/>
    <w:rsid w:val="00834823"/>
    <w:rsid w:val="00834A9C"/>
    <w:rsid w:val="00834C4A"/>
    <w:rsid w:val="00835200"/>
    <w:rsid w:val="00835569"/>
    <w:rsid w:val="00835653"/>
    <w:rsid w:val="00835F50"/>
    <w:rsid w:val="00836530"/>
    <w:rsid w:val="00836619"/>
    <w:rsid w:val="008368EB"/>
    <w:rsid w:val="00836A58"/>
    <w:rsid w:val="00836B0B"/>
    <w:rsid w:val="00836C0B"/>
    <w:rsid w:val="00837650"/>
    <w:rsid w:val="008378CA"/>
    <w:rsid w:val="0084046F"/>
    <w:rsid w:val="00840543"/>
    <w:rsid w:val="008408B0"/>
    <w:rsid w:val="00840AE8"/>
    <w:rsid w:val="00840BB3"/>
    <w:rsid w:val="00840BEC"/>
    <w:rsid w:val="008411F9"/>
    <w:rsid w:val="008414EE"/>
    <w:rsid w:val="008417C0"/>
    <w:rsid w:val="008418CD"/>
    <w:rsid w:val="00841A02"/>
    <w:rsid w:val="00841CB0"/>
    <w:rsid w:val="008423A3"/>
    <w:rsid w:val="00842511"/>
    <w:rsid w:val="00842607"/>
    <w:rsid w:val="00842772"/>
    <w:rsid w:val="00842A26"/>
    <w:rsid w:val="00842D01"/>
    <w:rsid w:val="00842D7B"/>
    <w:rsid w:val="00842DD9"/>
    <w:rsid w:val="0084328A"/>
    <w:rsid w:val="0084358D"/>
    <w:rsid w:val="00843ADF"/>
    <w:rsid w:val="00843EB9"/>
    <w:rsid w:val="00844D80"/>
    <w:rsid w:val="00844FB4"/>
    <w:rsid w:val="0084503A"/>
    <w:rsid w:val="0084568C"/>
    <w:rsid w:val="00845960"/>
    <w:rsid w:val="00845A09"/>
    <w:rsid w:val="00845C55"/>
    <w:rsid w:val="00845FD8"/>
    <w:rsid w:val="0084619E"/>
    <w:rsid w:val="0084681D"/>
    <w:rsid w:val="00846A30"/>
    <w:rsid w:val="00846F8E"/>
    <w:rsid w:val="00847165"/>
    <w:rsid w:val="0084731A"/>
    <w:rsid w:val="0084738C"/>
    <w:rsid w:val="00847AC9"/>
    <w:rsid w:val="00847BA2"/>
    <w:rsid w:val="00847CDC"/>
    <w:rsid w:val="00847D3B"/>
    <w:rsid w:val="00847D57"/>
    <w:rsid w:val="00847E66"/>
    <w:rsid w:val="00847EE3"/>
    <w:rsid w:val="008512B6"/>
    <w:rsid w:val="008527E7"/>
    <w:rsid w:val="008535A3"/>
    <w:rsid w:val="008537AB"/>
    <w:rsid w:val="00853C56"/>
    <w:rsid w:val="008543A3"/>
    <w:rsid w:val="0085469B"/>
    <w:rsid w:val="00854B26"/>
    <w:rsid w:val="00854DDE"/>
    <w:rsid w:val="00855195"/>
    <w:rsid w:val="00855247"/>
    <w:rsid w:val="008556D0"/>
    <w:rsid w:val="0085621A"/>
    <w:rsid w:val="008563A7"/>
    <w:rsid w:val="008564FF"/>
    <w:rsid w:val="008565BD"/>
    <w:rsid w:val="00856CC6"/>
    <w:rsid w:val="00857A46"/>
    <w:rsid w:val="00857ED6"/>
    <w:rsid w:val="008604C4"/>
    <w:rsid w:val="008608D1"/>
    <w:rsid w:val="00860C3D"/>
    <w:rsid w:val="00860FEA"/>
    <w:rsid w:val="00861716"/>
    <w:rsid w:val="008619A2"/>
    <w:rsid w:val="008619B9"/>
    <w:rsid w:val="00861C57"/>
    <w:rsid w:val="00861CA3"/>
    <w:rsid w:val="008624F6"/>
    <w:rsid w:val="00862FDF"/>
    <w:rsid w:val="008632BD"/>
    <w:rsid w:val="0086339F"/>
    <w:rsid w:val="008639D7"/>
    <w:rsid w:val="008643A3"/>
    <w:rsid w:val="0086441C"/>
    <w:rsid w:val="008645FC"/>
    <w:rsid w:val="00864681"/>
    <w:rsid w:val="008651ED"/>
    <w:rsid w:val="0086545B"/>
    <w:rsid w:val="00865714"/>
    <w:rsid w:val="00865BCD"/>
    <w:rsid w:val="00865D5C"/>
    <w:rsid w:val="008661B8"/>
    <w:rsid w:val="0086698B"/>
    <w:rsid w:val="00866D47"/>
    <w:rsid w:val="00866D50"/>
    <w:rsid w:val="00866F8F"/>
    <w:rsid w:val="008672B7"/>
    <w:rsid w:val="00870AA1"/>
    <w:rsid w:val="0087134D"/>
    <w:rsid w:val="00871FE2"/>
    <w:rsid w:val="00872014"/>
    <w:rsid w:val="0087270A"/>
    <w:rsid w:val="0087273A"/>
    <w:rsid w:val="00872C2F"/>
    <w:rsid w:val="0087362F"/>
    <w:rsid w:val="00873CC8"/>
    <w:rsid w:val="00873DB2"/>
    <w:rsid w:val="00875831"/>
    <w:rsid w:val="00875D10"/>
    <w:rsid w:val="00875E26"/>
    <w:rsid w:val="0087609C"/>
    <w:rsid w:val="008760D2"/>
    <w:rsid w:val="00876979"/>
    <w:rsid w:val="008778FC"/>
    <w:rsid w:val="00877DA2"/>
    <w:rsid w:val="00880392"/>
    <w:rsid w:val="0088088B"/>
    <w:rsid w:val="00880EC4"/>
    <w:rsid w:val="00881298"/>
    <w:rsid w:val="00881527"/>
    <w:rsid w:val="00881647"/>
    <w:rsid w:val="00881C5B"/>
    <w:rsid w:val="0088232E"/>
    <w:rsid w:val="00882881"/>
    <w:rsid w:val="00882A67"/>
    <w:rsid w:val="00883181"/>
    <w:rsid w:val="00883A33"/>
    <w:rsid w:val="00883CD9"/>
    <w:rsid w:val="00883E93"/>
    <w:rsid w:val="00884350"/>
    <w:rsid w:val="00884385"/>
    <w:rsid w:val="0088445B"/>
    <w:rsid w:val="00884B98"/>
    <w:rsid w:val="00884D97"/>
    <w:rsid w:val="00885240"/>
    <w:rsid w:val="00885973"/>
    <w:rsid w:val="00885B84"/>
    <w:rsid w:val="00886106"/>
    <w:rsid w:val="008873EE"/>
    <w:rsid w:val="0088762F"/>
    <w:rsid w:val="00887C7A"/>
    <w:rsid w:val="00887FCA"/>
    <w:rsid w:val="00890221"/>
    <w:rsid w:val="00890388"/>
    <w:rsid w:val="00890730"/>
    <w:rsid w:val="00891355"/>
    <w:rsid w:val="00891392"/>
    <w:rsid w:val="008915C6"/>
    <w:rsid w:val="00891833"/>
    <w:rsid w:val="00891B2F"/>
    <w:rsid w:val="00891EF3"/>
    <w:rsid w:val="008922B1"/>
    <w:rsid w:val="0089267E"/>
    <w:rsid w:val="00892AE2"/>
    <w:rsid w:val="00892B40"/>
    <w:rsid w:val="00893128"/>
    <w:rsid w:val="0089348C"/>
    <w:rsid w:val="0089451E"/>
    <w:rsid w:val="00894601"/>
    <w:rsid w:val="0089475A"/>
    <w:rsid w:val="00894AB7"/>
    <w:rsid w:val="00894B93"/>
    <w:rsid w:val="00894C62"/>
    <w:rsid w:val="00894D5F"/>
    <w:rsid w:val="008950EE"/>
    <w:rsid w:val="0089541F"/>
    <w:rsid w:val="0089578D"/>
    <w:rsid w:val="008959B9"/>
    <w:rsid w:val="00895B5E"/>
    <w:rsid w:val="00896173"/>
    <w:rsid w:val="008964EE"/>
    <w:rsid w:val="0089656A"/>
    <w:rsid w:val="00896B5B"/>
    <w:rsid w:val="0089754F"/>
    <w:rsid w:val="008A0341"/>
    <w:rsid w:val="008A06B1"/>
    <w:rsid w:val="008A07C4"/>
    <w:rsid w:val="008A0DF3"/>
    <w:rsid w:val="008A0E09"/>
    <w:rsid w:val="008A1339"/>
    <w:rsid w:val="008A1520"/>
    <w:rsid w:val="008A211B"/>
    <w:rsid w:val="008A21AF"/>
    <w:rsid w:val="008A22CA"/>
    <w:rsid w:val="008A23F0"/>
    <w:rsid w:val="008A2988"/>
    <w:rsid w:val="008A2AE7"/>
    <w:rsid w:val="008A2E2C"/>
    <w:rsid w:val="008A2FF2"/>
    <w:rsid w:val="008A37BD"/>
    <w:rsid w:val="008A3E66"/>
    <w:rsid w:val="008A3F89"/>
    <w:rsid w:val="008A4036"/>
    <w:rsid w:val="008A40E7"/>
    <w:rsid w:val="008A4438"/>
    <w:rsid w:val="008A462F"/>
    <w:rsid w:val="008A5267"/>
    <w:rsid w:val="008A5268"/>
    <w:rsid w:val="008A5656"/>
    <w:rsid w:val="008A5A95"/>
    <w:rsid w:val="008A5B38"/>
    <w:rsid w:val="008A6057"/>
    <w:rsid w:val="008A7228"/>
    <w:rsid w:val="008A7549"/>
    <w:rsid w:val="008A7648"/>
    <w:rsid w:val="008A76EA"/>
    <w:rsid w:val="008A77D6"/>
    <w:rsid w:val="008A7B29"/>
    <w:rsid w:val="008A7CBB"/>
    <w:rsid w:val="008A7D45"/>
    <w:rsid w:val="008B0A2F"/>
    <w:rsid w:val="008B10CB"/>
    <w:rsid w:val="008B1219"/>
    <w:rsid w:val="008B127E"/>
    <w:rsid w:val="008B198F"/>
    <w:rsid w:val="008B19AA"/>
    <w:rsid w:val="008B1D49"/>
    <w:rsid w:val="008B2130"/>
    <w:rsid w:val="008B2220"/>
    <w:rsid w:val="008B2660"/>
    <w:rsid w:val="008B2C7A"/>
    <w:rsid w:val="008B3208"/>
    <w:rsid w:val="008B4293"/>
    <w:rsid w:val="008B4A69"/>
    <w:rsid w:val="008B4CA4"/>
    <w:rsid w:val="008B4CD5"/>
    <w:rsid w:val="008B5551"/>
    <w:rsid w:val="008B5603"/>
    <w:rsid w:val="008B5706"/>
    <w:rsid w:val="008B5BD5"/>
    <w:rsid w:val="008B5F4E"/>
    <w:rsid w:val="008B602D"/>
    <w:rsid w:val="008B6825"/>
    <w:rsid w:val="008B6852"/>
    <w:rsid w:val="008B6B3C"/>
    <w:rsid w:val="008B6F4F"/>
    <w:rsid w:val="008B70C2"/>
    <w:rsid w:val="008B71CE"/>
    <w:rsid w:val="008B76F4"/>
    <w:rsid w:val="008B7909"/>
    <w:rsid w:val="008B7F6E"/>
    <w:rsid w:val="008C00B8"/>
    <w:rsid w:val="008C06A1"/>
    <w:rsid w:val="008C0AE3"/>
    <w:rsid w:val="008C148A"/>
    <w:rsid w:val="008C1789"/>
    <w:rsid w:val="008C1AFB"/>
    <w:rsid w:val="008C1D97"/>
    <w:rsid w:val="008C1EA4"/>
    <w:rsid w:val="008C22B4"/>
    <w:rsid w:val="008C2B58"/>
    <w:rsid w:val="008C2BAD"/>
    <w:rsid w:val="008C2F84"/>
    <w:rsid w:val="008C313A"/>
    <w:rsid w:val="008C31B9"/>
    <w:rsid w:val="008C350B"/>
    <w:rsid w:val="008C3BDB"/>
    <w:rsid w:val="008C3D85"/>
    <w:rsid w:val="008C44DD"/>
    <w:rsid w:val="008C485C"/>
    <w:rsid w:val="008C49D6"/>
    <w:rsid w:val="008C4BE7"/>
    <w:rsid w:val="008C62F3"/>
    <w:rsid w:val="008C66B0"/>
    <w:rsid w:val="008C694F"/>
    <w:rsid w:val="008C6A4B"/>
    <w:rsid w:val="008C6BC8"/>
    <w:rsid w:val="008C6BE8"/>
    <w:rsid w:val="008C6BF5"/>
    <w:rsid w:val="008C6CFD"/>
    <w:rsid w:val="008C79A3"/>
    <w:rsid w:val="008C7AFD"/>
    <w:rsid w:val="008C7C10"/>
    <w:rsid w:val="008C7D55"/>
    <w:rsid w:val="008C7F97"/>
    <w:rsid w:val="008D0165"/>
    <w:rsid w:val="008D0686"/>
    <w:rsid w:val="008D0E3F"/>
    <w:rsid w:val="008D1671"/>
    <w:rsid w:val="008D1B11"/>
    <w:rsid w:val="008D1CCC"/>
    <w:rsid w:val="008D1DDF"/>
    <w:rsid w:val="008D246B"/>
    <w:rsid w:val="008D2DDA"/>
    <w:rsid w:val="008D2E8B"/>
    <w:rsid w:val="008D3366"/>
    <w:rsid w:val="008D3FA9"/>
    <w:rsid w:val="008D419D"/>
    <w:rsid w:val="008D4430"/>
    <w:rsid w:val="008D4487"/>
    <w:rsid w:val="008D4850"/>
    <w:rsid w:val="008D56AD"/>
    <w:rsid w:val="008D5F16"/>
    <w:rsid w:val="008D64ED"/>
    <w:rsid w:val="008D6780"/>
    <w:rsid w:val="008D6AED"/>
    <w:rsid w:val="008D7739"/>
    <w:rsid w:val="008D7790"/>
    <w:rsid w:val="008D782E"/>
    <w:rsid w:val="008D79DD"/>
    <w:rsid w:val="008D7FDC"/>
    <w:rsid w:val="008E01B6"/>
    <w:rsid w:val="008E0BCD"/>
    <w:rsid w:val="008E0C5F"/>
    <w:rsid w:val="008E1700"/>
    <w:rsid w:val="008E19C3"/>
    <w:rsid w:val="008E1DB9"/>
    <w:rsid w:val="008E2381"/>
    <w:rsid w:val="008E24C4"/>
    <w:rsid w:val="008E2536"/>
    <w:rsid w:val="008E2B44"/>
    <w:rsid w:val="008E2D57"/>
    <w:rsid w:val="008E2D96"/>
    <w:rsid w:val="008E349A"/>
    <w:rsid w:val="008E37FC"/>
    <w:rsid w:val="008E3994"/>
    <w:rsid w:val="008E3CEB"/>
    <w:rsid w:val="008E3DEF"/>
    <w:rsid w:val="008E459B"/>
    <w:rsid w:val="008E483E"/>
    <w:rsid w:val="008E4885"/>
    <w:rsid w:val="008E50BF"/>
    <w:rsid w:val="008E54BF"/>
    <w:rsid w:val="008E5BC4"/>
    <w:rsid w:val="008E600E"/>
    <w:rsid w:val="008E619B"/>
    <w:rsid w:val="008E6D56"/>
    <w:rsid w:val="008E6F4A"/>
    <w:rsid w:val="008F0208"/>
    <w:rsid w:val="008F0D40"/>
    <w:rsid w:val="008F0EEF"/>
    <w:rsid w:val="008F0FCF"/>
    <w:rsid w:val="008F105D"/>
    <w:rsid w:val="008F17CE"/>
    <w:rsid w:val="008F1944"/>
    <w:rsid w:val="008F1B14"/>
    <w:rsid w:val="008F33A3"/>
    <w:rsid w:val="008F33D0"/>
    <w:rsid w:val="008F37A1"/>
    <w:rsid w:val="008F38A2"/>
    <w:rsid w:val="008F3987"/>
    <w:rsid w:val="008F3A05"/>
    <w:rsid w:val="008F3AE2"/>
    <w:rsid w:val="008F3B9C"/>
    <w:rsid w:val="008F3BCA"/>
    <w:rsid w:val="008F4181"/>
    <w:rsid w:val="008F46D3"/>
    <w:rsid w:val="008F4A8F"/>
    <w:rsid w:val="008F4B75"/>
    <w:rsid w:val="008F4E0A"/>
    <w:rsid w:val="008F5072"/>
    <w:rsid w:val="008F52AF"/>
    <w:rsid w:val="008F5335"/>
    <w:rsid w:val="008F5CA2"/>
    <w:rsid w:val="008F5D62"/>
    <w:rsid w:val="008F6527"/>
    <w:rsid w:val="008F68E4"/>
    <w:rsid w:val="008F68FC"/>
    <w:rsid w:val="008F6C12"/>
    <w:rsid w:val="008F6D96"/>
    <w:rsid w:val="008F6E78"/>
    <w:rsid w:val="008F7233"/>
    <w:rsid w:val="008F72B5"/>
    <w:rsid w:val="008F7A9E"/>
    <w:rsid w:val="008F7B23"/>
    <w:rsid w:val="008F7BD5"/>
    <w:rsid w:val="008F7CD1"/>
    <w:rsid w:val="008F7DB9"/>
    <w:rsid w:val="00900636"/>
    <w:rsid w:val="00900998"/>
    <w:rsid w:val="00900CEA"/>
    <w:rsid w:val="00900D17"/>
    <w:rsid w:val="00900D6B"/>
    <w:rsid w:val="009011D1"/>
    <w:rsid w:val="009012A6"/>
    <w:rsid w:val="00902204"/>
    <w:rsid w:val="009026F3"/>
    <w:rsid w:val="00902824"/>
    <w:rsid w:val="0090295F"/>
    <w:rsid w:val="00902FAF"/>
    <w:rsid w:val="00903212"/>
    <w:rsid w:val="009032E3"/>
    <w:rsid w:val="009034A9"/>
    <w:rsid w:val="00903723"/>
    <w:rsid w:val="0090408A"/>
    <w:rsid w:val="00904689"/>
    <w:rsid w:val="009046D9"/>
    <w:rsid w:val="00904CDF"/>
    <w:rsid w:val="00905945"/>
    <w:rsid w:val="00905EF6"/>
    <w:rsid w:val="0090601A"/>
    <w:rsid w:val="00906151"/>
    <w:rsid w:val="0090618E"/>
    <w:rsid w:val="009061B5"/>
    <w:rsid w:val="00906743"/>
    <w:rsid w:val="00906B22"/>
    <w:rsid w:val="00906EEE"/>
    <w:rsid w:val="00906FFE"/>
    <w:rsid w:val="009070BD"/>
    <w:rsid w:val="00907111"/>
    <w:rsid w:val="00907596"/>
    <w:rsid w:val="009075D3"/>
    <w:rsid w:val="009075E6"/>
    <w:rsid w:val="00907E98"/>
    <w:rsid w:val="0091099D"/>
    <w:rsid w:val="00910AA5"/>
    <w:rsid w:val="00910FF6"/>
    <w:rsid w:val="0091173A"/>
    <w:rsid w:val="00911AE3"/>
    <w:rsid w:val="00911CC2"/>
    <w:rsid w:val="00912049"/>
    <w:rsid w:val="00912182"/>
    <w:rsid w:val="0091227A"/>
    <w:rsid w:val="009122D6"/>
    <w:rsid w:val="00913571"/>
    <w:rsid w:val="00913660"/>
    <w:rsid w:val="00914620"/>
    <w:rsid w:val="00915151"/>
    <w:rsid w:val="0091541C"/>
    <w:rsid w:val="009156EA"/>
    <w:rsid w:val="00915AF0"/>
    <w:rsid w:val="00915E88"/>
    <w:rsid w:val="00916037"/>
    <w:rsid w:val="00916195"/>
    <w:rsid w:val="009169E7"/>
    <w:rsid w:val="009170A9"/>
    <w:rsid w:val="0091725B"/>
    <w:rsid w:val="0091765A"/>
    <w:rsid w:val="00917B21"/>
    <w:rsid w:val="00917E2B"/>
    <w:rsid w:val="00917EA1"/>
    <w:rsid w:val="009206BE"/>
    <w:rsid w:val="00920DE9"/>
    <w:rsid w:val="00921443"/>
    <w:rsid w:val="009214FB"/>
    <w:rsid w:val="009215EC"/>
    <w:rsid w:val="0092168E"/>
    <w:rsid w:val="00921CC1"/>
    <w:rsid w:val="00921F05"/>
    <w:rsid w:val="00922479"/>
    <w:rsid w:val="009224A8"/>
    <w:rsid w:val="009228F2"/>
    <w:rsid w:val="00922CF5"/>
    <w:rsid w:val="00923016"/>
    <w:rsid w:val="00923073"/>
    <w:rsid w:val="00923096"/>
    <w:rsid w:val="0092339A"/>
    <w:rsid w:val="0092342F"/>
    <w:rsid w:val="00923481"/>
    <w:rsid w:val="00923D07"/>
    <w:rsid w:val="00923F9C"/>
    <w:rsid w:val="00924667"/>
    <w:rsid w:val="00924858"/>
    <w:rsid w:val="00924C5E"/>
    <w:rsid w:val="00924E27"/>
    <w:rsid w:val="0092509F"/>
    <w:rsid w:val="009251DF"/>
    <w:rsid w:val="009252F3"/>
    <w:rsid w:val="009255DF"/>
    <w:rsid w:val="00925642"/>
    <w:rsid w:val="00925694"/>
    <w:rsid w:val="00925FDB"/>
    <w:rsid w:val="0092655B"/>
    <w:rsid w:val="009265F3"/>
    <w:rsid w:val="00926E4D"/>
    <w:rsid w:val="009272E0"/>
    <w:rsid w:val="0092745C"/>
    <w:rsid w:val="009302D8"/>
    <w:rsid w:val="00930860"/>
    <w:rsid w:val="009308A1"/>
    <w:rsid w:val="00930BB2"/>
    <w:rsid w:val="00930DDE"/>
    <w:rsid w:val="0093129C"/>
    <w:rsid w:val="0093148B"/>
    <w:rsid w:val="00931D14"/>
    <w:rsid w:val="00932158"/>
    <w:rsid w:val="00932A00"/>
    <w:rsid w:val="00932F48"/>
    <w:rsid w:val="00933049"/>
    <w:rsid w:val="00933091"/>
    <w:rsid w:val="00933216"/>
    <w:rsid w:val="009332DE"/>
    <w:rsid w:val="0093331A"/>
    <w:rsid w:val="009333E9"/>
    <w:rsid w:val="00933B4A"/>
    <w:rsid w:val="00933B51"/>
    <w:rsid w:val="00933E8C"/>
    <w:rsid w:val="00934125"/>
    <w:rsid w:val="00934442"/>
    <w:rsid w:val="00934695"/>
    <w:rsid w:val="009347BF"/>
    <w:rsid w:val="00934880"/>
    <w:rsid w:val="00934CDC"/>
    <w:rsid w:val="00934F82"/>
    <w:rsid w:val="0093559E"/>
    <w:rsid w:val="00935D35"/>
    <w:rsid w:val="009360C4"/>
    <w:rsid w:val="0093631F"/>
    <w:rsid w:val="0093658F"/>
    <w:rsid w:val="0093728A"/>
    <w:rsid w:val="009375FB"/>
    <w:rsid w:val="00937C75"/>
    <w:rsid w:val="00940241"/>
    <w:rsid w:val="0094025C"/>
    <w:rsid w:val="00940526"/>
    <w:rsid w:val="00940CDE"/>
    <w:rsid w:val="00940E95"/>
    <w:rsid w:val="00940EB3"/>
    <w:rsid w:val="00941455"/>
    <w:rsid w:val="0094176E"/>
    <w:rsid w:val="00941819"/>
    <w:rsid w:val="00942C7D"/>
    <w:rsid w:val="00943135"/>
    <w:rsid w:val="00943255"/>
    <w:rsid w:val="00943487"/>
    <w:rsid w:val="00943E08"/>
    <w:rsid w:val="00944499"/>
    <w:rsid w:val="009444FD"/>
    <w:rsid w:val="00944511"/>
    <w:rsid w:val="00944693"/>
    <w:rsid w:val="00944BAA"/>
    <w:rsid w:val="00944F55"/>
    <w:rsid w:val="00945870"/>
    <w:rsid w:val="00945AAA"/>
    <w:rsid w:val="0094620E"/>
    <w:rsid w:val="00946942"/>
    <w:rsid w:val="00946CF6"/>
    <w:rsid w:val="00947025"/>
    <w:rsid w:val="0094725D"/>
    <w:rsid w:val="009473A9"/>
    <w:rsid w:val="00947406"/>
    <w:rsid w:val="009475C0"/>
    <w:rsid w:val="009478AB"/>
    <w:rsid w:val="00947974"/>
    <w:rsid w:val="00947EF1"/>
    <w:rsid w:val="009501AD"/>
    <w:rsid w:val="009506DE"/>
    <w:rsid w:val="009509D2"/>
    <w:rsid w:val="00950E9A"/>
    <w:rsid w:val="009512F7"/>
    <w:rsid w:val="00951376"/>
    <w:rsid w:val="00951EB3"/>
    <w:rsid w:val="00951F44"/>
    <w:rsid w:val="0095250E"/>
    <w:rsid w:val="00952539"/>
    <w:rsid w:val="009526B6"/>
    <w:rsid w:val="00952A01"/>
    <w:rsid w:val="00952B32"/>
    <w:rsid w:val="00953496"/>
    <w:rsid w:val="00953EC2"/>
    <w:rsid w:val="00954656"/>
    <w:rsid w:val="009548A4"/>
    <w:rsid w:val="00954983"/>
    <w:rsid w:val="00954B84"/>
    <w:rsid w:val="00954DA7"/>
    <w:rsid w:val="0095510F"/>
    <w:rsid w:val="00955483"/>
    <w:rsid w:val="0095550E"/>
    <w:rsid w:val="00955562"/>
    <w:rsid w:val="0095587F"/>
    <w:rsid w:val="009559BF"/>
    <w:rsid w:val="00955B7C"/>
    <w:rsid w:val="00955F9E"/>
    <w:rsid w:val="009560E4"/>
    <w:rsid w:val="00956324"/>
    <w:rsid w:val="00957BB3"/>
    <w:rsid w:val="00957FD7"/>
    <w:rsid w:val="009601A4"/>
    <w:rsid w:val="00960451"/>
    <w:rsid w:val="00960B32"/>
    <w:rsid w:val="00960CA5"/>
    <w:rsid w:val="00961127"/>
    <w:rsid w:val="00961150"/>
    <w:rsid w:val="0096122A"/>
    <w:rsid w:val="0096133D"/>
    <w:rsid w:val="00961398"/>
    <w:rsid w:val="00961432"/>
    <w:rsid w:val="00961602"/>
    <w:rsid w:val="00961700"/>
    <w:rsid w:val="009617FB"/>
    <w:rsid w:val="00961B35"/>
    <w:rsid w:val="00961CAE"/>
    <w:rsid w:val="00962EEE"/>
    <w:rsid w:val="00962F00"/>
    <w:rsid w:val="00963088"/>
    <w:rsid w:val="00963592"/>
    <w:rsid w:val="00963E9E"/>
    <w:rsid w:val="00963EB8"/>
    <w:rsid w:val="0096443A"/>
    <w:rsid w:val="00964659"/>
    <w:rsid w:val="00964C55"/>
    <w:rsid w:val="009652C7"/>
    <w:rsid w:val="009654D4"/>
    <w:rsid w:val="00965856"/>
    <w:rsid w:val="00965CDC"/>
    <w:rsid w:val="0096686F"/>
    <w:rsid w:val="00966F0A"/>
    <w:rsid w:val="009672D0"/>
    <w:rsid w:val="00967355"/>
    <w:rsid w:val="0096788D"/>
    <w:rsid w:val="00967A21"/>
    <w:rsid w:val="00967C37"/>
    <w:rsid w:val="00967C99"/>
    <w:rsid w:val="00967D81"/>
    <w:rsid w:val="00967F2D"/>
    <w:rsid w:val="009700A0"/>
    <w:rsid w:val="009700FB"/>
    <w:rsid w:val="009703E6"/>
    <w:rsid w:val="00970D80"/>
    <w:rsid w:val="00970DA1"/>
    <w:rsid w:val="009712D0"/>
    <w:rsid w:val="00971726"/>
    <w:rsid w:val="00971861"/>
    <w:rsid w:val="0097199E"/>
    <w:rsid w:val="00971A2C"/>
    <w:rsid w:val="00971E65"/>
    <w:rsid w:val="00971EB0"/>
    <w:rsid w:val="00971EBA"/>
    <w:rsid w:val="00971F88"/>
    <w:rsid w:val="0097236C"/>
    <w:rsid w:val="009723D3"/>
    <w:rsid w:val="0097270C"/>
    <w:rsid w:val="00972729"/>
    <w:rsid w:val="00972B5E"/>
    <w:rsid w:val="009732A0"/>
    <w:rsid w:val="00973455"/>
    <w:rsid w:val="00974663"/>
    <w:rsid w:val="00975273"/>
    <w:rsid w:val="00975502"/>
    <w:rsid w:val="0097597A"/>
    <w:rsid w:val="00975ABC"/>
    <w:rsid w:val="00975BC0"/>
    <w:rsid w:val="0097606C"/>
    <w:rsid w:val="0097666A"/>
    <w:rsid w:val="00976687"/>
    <w:rsid w:val="00976DEF"/>
    <w:rsid w:val="009770C1"/>
    <w:rsid w:val="009774A5"/>
    <w:rsid w:val="0097780A"/>
    <w:rsid w:val="00977AD2"/>
    <w:rsid w:val="009801F0"/>
    <w:rsid w:val="0098023C"/>
    <w:rsid w:val="00980531"/>
    <w:rsid w:val="00980A02"/>
    <w:rsid w:val="00980A17"/>
    <w:rsid w:val="00980AC8"/>
    <w:rsid w:val="00980E93"/>
    <w:rsid w:val="009810B1"/>
    <w:rsid w:val="00981662"/>
    <w:rsid w:val="00981D12"/>
    <w:rsid w:val="0098295D"/>
    <w:rsid w:val="0098296D"/>
    <w:rsid w:val="00982E78"/>
    <w:rsid w:val="009838A3"/>
    <w:rsid w:val="009841E9"/>
    <w:rsid w:val="00984426"/>
    <w:rsid w:val="009847B2"/>
    <w:rsid w:val="00984D64"/>
    <w:rsid w:val="00985221"/>
    <w:rsid w:val="00985CDD"/>
    <w:rsid w:val="00985CEF"/>
    <w:rsid w:val="00986012"/>
    <w:rsid w:val="009861FD"/>
    <w:rsid w:val="0098688A"/>
    <w:rsid w:val="00986C9A"/>
    <w:rsid w:val="00986CAA"/>
    <w:rsid w:val="00986E72"/>
    <w:rsid w:val="00986ECB"/>
    <w:rsid w:val="00987A1B"/>
    <w:rsid w:val="00987AF5"/>
    <w:rsid w:val="00987E02"/>
    <w:rsid w:val="0099003B"/>
    <w:rsid w:val="009904FB"/>
    <w:rsid w:val="00991055"/>
    <w:rsid w:val="0099111E"/>
    <w:rsid w:val="00991194"/>
    <w:rsid w:val="00991C5C"/>
    <w:rsid w:val="00992669"/>
    <w:rsid w:val="0099275E"/>
    <w:rsid w:val="009928D2"/>
    <w:rsid w:val="00992BDA"/>
    <w:rsid w:val="0099338C"/>
    <w:rsid w:val="009934A5"/>
    <w:rsid w:val="00993526"/>
    <w:rsid w:val="00993753"/>
    <w:rsid w:val="009937EF"/>
    <w:rsid w:val="00993A22"/>
    <w:rsid w:val="00993AED"/>
    <w:rsid w:val="00993CB9"/>
    <w:rsid w:val="00994399"/>
    <w:rsid w:val="009953B3"/>
    <w:rsid w:val="00995667"/>
    <w:rsid w:val="0099569A"/>
    <w:rsid w:val="009958F0"/>
    <w:rsid w:val="00995CDC"/>
    <w:rsid w:val="00995F9F"/>
    <w:rsid w:val="009962DD"/>
    <w:rsid w:val="009966B8"/>
    <w:rsid w:val="00996A49"/>
    <w:rsid w:val="00997154"/>
    <w:rsid w:val="009971D9"/>
    <w:rsid w:val="009975BE"/>
    <w:rsid w:val="009978D7"/>
    <w:rsid w:val="009A0189"/>
    <w:rsid w:val="009A0283"/>
    <w:rsid w:val="009A0832"/>
    <w:rsid w:val="009A0A80"/>
    <w:rsid w:val="009A0F65"/>
    <w:rsid w:val="009A1774"/>
    <w:rsid w:val="009A197C"/>
    <w:rsid w:val="009A1A32"/>
    <w:rsid w:val="009A1A86"/>
    <w:rsid w:val="009A27A2"/>
    <w:rsid w:val="009A2A0D"/>
    <w:rsid w:val="009A37DB"/>
    <w:rsid w:val="009A3A8C"/>
    <w:rsid w:val="009A3C6A"/>
    <w:rsid w:val="009A405F"/>
    <w:rsid w:val="009A4518"/>
    <w:rsid w:val="009A456B"/>
    <w:rsid w:val="009A4756"/>
    <w:rsid w:val="009A490B"/>
    <w:rsid w:val="009A4D05"/>
    <w:rsid w:val="009A5165"/>
    <w:rsid w:val="009A5777"/>
    <w:rsid w:val="009A59AC"/>
    <w:rsid w:val="009A5AAF"/>
    <w:rsid w:val="009A5E17"/>
    <w:rsid w:val="009A68FD"/>
    <w:rsid w:val="009A6929"/>
    <w:rsid w:val="009A6B43"/>
    <w:rsid w:val="009A6B45"/>
    <w:rsid w:val="009A72E4"/>
    <w:rsid w:val="009A7677"/>
    <w:rsid w:val="009A779D"/>
    <w:rsid w:val="009A7816"/>
    <w:rsid w:val="009A7B1E"/>
    <w:rsid w:val="009B02D8"/>
    <w:rsid w:val="009B128F"/>
    <w:rsid w:val="009B13A8"/>
    <w:rsid w:val="009B1523"/>
    <w:rsid w:val="009B1618"/>
    <w:rsid w:val="009B1EA8"/>
    <w:rsid w:val="009B23B6"/>
    <w:rsid w:val="009B2791"/>
    <w:rsid w:val="009B29EC"/>
    <w:rsid w:val="009B2A8A"/>
    <w:rsid w:val="009B2F15"/>
    <w:rsid w:val="009B3505"/>
    <w:rsid w:val="009B35E6"/>
    <w:rsid w:val="009B363A"/>
    <w:rsid w:val="009B3790"/>
    <w:rsid w:val="009B3F20"/>
    <w:rsid w:val="009B459D"/>
    <w:rsid w:val="009B4A8F"/>
    <w:rsid w:val="009B5A21"/>
    <w:rsid w:val="009B5E00"/>
    <w:rsid w:val="009B5EAD"/>
    <w:rsid w:val="009B63FF"/>
    <w:rsid w:val="009B67F2"/>
    <w:rsid w:val="009B6BFD"/>
    <w:rsid w:val="009B6D68"/>
    <w:rsid w:val="009B6F24"/>
    <w:rsid w:val="009B7194"/>
    <w:rsid w:val="009B72CB"/>
    <w:rsid w:val="009B733F"/>
    <w:rsid w:val="009B773C"/>
    <w:rsid w:val="009B7839"/>
    <w:rsid w:val="009B7868"/>
    <w:rsid w:val="009B7F1B"/>
    <w:rsid w:val="009C0028"/>
    <w:rsid w:val="009C08BE"/>
    <w:rsid w:val="009C0AA0"/>
    <w:rsid w:val="009C12ED"/>
    <w:rsid w:val="009C1495"/>
    <w:rsid w:val="009C1900"/>
    <w:rsid w:val="009C1B75"/>
    <w:rsid w:val="009C1BFA"/>
    <w:rsid w:val="009C1C1A"/>
    <w:rsid w:val="009C1D34"/>
    <w:rsid w:val="009C2097"/>
    <w:rsid w:val="009C218A"/>
    <w:rsid w:val="009C24E6"/>
    <w:rsid w:val="009C2FC3"/>
    <w:rsid w:val="009C3259"/>
    <w:rsid w:val="009C3EA0"/>
    <w:rsid w:val="009C3EC4"/>
    <w:rsid w:val="009C4310"/>
    <w:rsid w:val="009C4480"/>
    <w:rsid w:val="009C45C0"/>
    <w:rsid w:val="009C46EE"/>
    <w:rsid w:val="009C47B0"/>
    <w:rsid w:val="009C4836"/>
    <w:rsid w:val="009C497D"/>
    <w:rsid w:val="009C4CF3"/>
    <w:rsid w:val="009C4D45"/>
    <w:rsid w:val="009C520F"/>
    <w:rsid w:val="009C5D2A"/>
    <w:rsid w:val="009C5F26"/>
    <w:rsid w:val="009C60C8"/>
    <w:rsid w:val="009C6D3D"/>
    <w:rsid w:val="009C7050"/>
    <w:rsid w:val="009C7076"/>
    <w:rsid w:val="009C72D3"/>
    <w:rsid w:val="009D0058"/>
    <w:rsid w:val="009D00D1"/>
    <w:rsid w:val="009D0875"/>
    <w:rsid w:val="009D0AB0"/>
    <w:rsid w:val="009D0B24"/>
    <w:rsid w:val="009D0DA8"/>
    <w:rsid w:val="009D0EF5"/>
    <w:rsid w:val="009D1463"/>
    <w:rsid w:val="009D14B7"/>
    <w:rsid w:val="009D1F77"/>
    <w:rsid w:val="009D263C"/>
    <w:rsid w:val="009D2753"/>
    <w:rsid w:val="009D2783"/>
    <w:rsid w:val="009D2872"/>
    <w:rsid w:val="009D2BE9"/>
    <w:rsid w:val="009D2C0A"/>
    <w:rsid w:val="009D2C35"/>
    <w:rsid w:val="009D2D2E"/>
    <w:rsid w:val="009D400F"/>
    <w:rsid w:val="009D4092"/>
    <w:rsid w:val="009D4204"/>
    <w:rsid w:val="009D4487"/>
    <w:rsid w:val="009D4595"/>
    <w:rsid w:val="009D46AA"/>
    <w:rsid w:val="009D490E"/>
    <w:rsid w:val="009D4C7A"/>
    <w:rsid w:val="009D4D88"/>
    <w:rsid w:val="009D50C6"/>
    <w:rsid w:val="009D5247"/>
    <w:rsid w:val="009D5678"/>
    <w:rsid w:val="009D573D"/>
    <w:rsid w:val="009D587C"/>
    <w:rsid w:val="009D594A"/>
    <w:rsid w:val="009D5C88"/>
    <w:rsid w:val="009D60F8"/>
    <w:rsid w:val="009D61DE"/>
    <w:rsid w:val="009D62C0"/>
    <w:rsid w:val="009D64AE"/>
    <w:rsid w:val="009D6A9A"/>
    <w:rsid w:val="009D7203"/>
    <w:rsid w:val="009D72B4"/>
    <w:rsid w:val="009D74C7"/>
    <w:rsid w:val="009E015A"/>
    <w:rsid w:val="009E0655"/>
    <w:rsid w:val="009E0DDC"/>
    <w:rsid w:val="009E1D8D"/>
    <w:rsid w:val="009E20B5"/>
    <w:rsid w:val="009E2C78"/>
    <w:rsid w:val="009E2D24"/>
    <w:rsid w:val="009E3156"/>
    <w:rsid w:val="009E31C5"/>
    <w:rsid w:val="009E356F"/>
    <w:rsid w:val="009E3878"/>
    <w:rsid w:val="009E39AF"/>
    <w:rsid w:val="009E3E27"/>
    <w:rsid w:val="009E3F29"/>
    <w:rsid w:val="009E433C"/>
    <w:rsid w:val="009E4C0F"/>
    <w:rsid w:val="009E535D"/>
    <w:rsid w:val="009E59AA"/>
    <w:rsid w:val="009E5E16"/>
    <w:rsid w:val="009E64AD"/>
    <w:rsid w:val="009E6BBC"/>
    <w:rsid w:val="009E6DF4"/>
    <w:rsid w:val="009E6FC2"/>
    <w:rsid w:val="009E706B"/>
    <w:rsid w:val="009E760B"/>
    <w:rsid w:val="009E77EC"/>
    <w:rsid w:val="009E7EB9"/>
    <w:rsid w:val="009F028C"/>
    <w:rsid w:val="009F04B6"/>
    <w:rsid w:val="009F04C0"/>
    <w:rsid w:val="009F0A25"/>
    <w:rsid w:val="009F0B00"/>
    <w:rsid w:val="009F1047"/>
    <w:rsid w:val="009F1241"/>
    <w:rsid w:val="009F264D"/>
    <w:rsid w:val="009F2792"/>
    <w:rsid w:val="009F2C44"/>
    <w:rsid w:val="009F3152"/>
    <w:rsid w:val="009F346F"/>
    <w:rsid w:val="009F3C47"/>
    <w:rsid w:val="009F3C84"/>
    <w:rsid w:val="009F3F57"/>
    <w:rsid w:val="009F402A"/>
    <w:rsid w:val="009F4121"/>
    <w:rsid w:val="009F4194"/>
    <w:rsid w:val="009F44CC"/>
    <w:rsid w:val="009F4A0C"/>
    <w:rsid w:val="009F5579"/>
    <w:rsid w:val="009F5BDC"/>
    <w:rsid w:val="009F5F37"/>
    <w:rsid w:val="009F6ED5"/>
    <w:rsid w:val="009F7645"/>
    <w:rsid w:val="009F7662"/>
    <w:rsid w:val="009F7A37"/>
    <w:rsid w:val="00A00023"/>
    <w:rsid w:val="00A00029"/>
    <w:rsid w:val="00A004F9"/>
    <w:rsid w:val="00A009B6"/>
    <w:rsid w:val="00A00B8B"/>
    <w:rsid w:val="00A00D66"/>
    <w:rsid w:val="00A01170"/>
    <w:rsid w:val="00A012AA"/>
    <w:rsid w:val="00A01559"/>
    <w:rsid w:val="00A01ED8"/>
    <w:rsid w:val="00A02036"/>
    <w:rsid w:val="00A02F03"/>
    <w:rsid w:val="00A031CA"/>
    <w:rsid w:val="00A036E1"/>
    <w:rsid w:val="00A038BB"/>
    <w:rsid w:val="00A03DB5"/>
    <w:rsid w:val="00A03FB4"/>
    <w:rsid w:val="00A0445F"/>
    <w:rsid w:val="00A04517"/>
    <w:rsid w:val="00A049A1"/>
    <w:rsid w:val="00A04A43"/>
    <w:rsid w:val="00A0504E"/>
    <w:rsid w:val="00A0529B"/>
    <w:rsid w:val="00A055A8"/>
    <w:rsid w:val="00A066BB"/>
    <w:rsid w:val="00A068AA"/>
    <w:rsid w:val="00A069CC"/>
    <w:rsid w:val="00A069E1"/>
    <w:rsid w:val="00A06AA9"/>
    <w:rsid w:val="00A06DB4"/>
    <w:rsid w:val="00A06DD6"/>
    <w:rsid w:val="00A07444"/>
    <w:rsid w:val="00A075FC"/>
    <w:rsid w:val="00A07DE4"/>
    <w:rsid w:val="00A10BCD"/>
    <w:rsid w:val="00A10D4F"/>
    <w:rsid w:val="00A1115D"/>
    <w:rsid w:val="00A1134E"/>
    <w:rsid w:val="00A1190C"/>
    <w:rsid w:val="00A11D7D"/>
    <w:rsid w:val="00A11E36"/>
    <w:rsid w:val="00A120FA"/>
    <w:rsid w:val="00A127E4"/>
    <w:rsid w:val="00A13018"/>
    <w:rsid w:val="00A13033"/>
    <w:rsid w:val="00A138C7"/>
    <w:rsid w:val="00A13BC6"/>
    <w:rsid w:val="00A13CE6"/>
    <w:rsid w:val="00A14621"/>
    <w:rsid w:val="00A146C4"/>
    <w:rsid w:val="00A14B53"/>
    <w:rsid w:val="00A14B59"/>
    <w:rsid w:val="00A14B5B"/>
    <w:rsid w:val="00A14E54"/>
    <w:rsid w:val="00A15448"/>
    <w:rsid w:val="00A162FE"/>
    <w:rsid w:val="00A16426"/>
    <w:rsid w:val="00A16623"/>
    <w:rsid w:val="00A16795"/>
    <w:rsid w:val="00A175B5"/>
    <w:rsid w:val="00A17671"/>
    <w:rsid w:val="00A17D19"/>
    <w:rsid w:val="00A204F1"/>
    <w:rsid w:val="00A20CD8"/>
    <w:rsid w:val="00A21045"/>
    <w:rsid w:val="00A2113F"/>
    <w:rsid w:val="00A21A24"/>
    <w:rsid w:val="00A21ED7"/>
    <w:rsid w:val="00A22793"/>
    <w:rsid w:val="00A229F1"/>
    <w:rsid w:val="00A22BBD"/>
    <w:rsid w:val="00A22D05"/>
    <w:rsid w:val="00A23DD4"/>
    <w:rsid w:val="00A242F7"/>
    <w:rsid w:val="00A2436E"/>
    <w:rsid w:val="00A24573"/>
    <w:rsid w:val="00A245DC"/>
    <w:rsid w:val="00A2480A"/>
    <w:rsid w:val="00A2491B"/>
    <w:rsid w:val="00A2499C"/>
    <w:rsid w:val="00A2507B"/>
    <w:rsid w:val="00A25FD1"/>
    <w:rsid w:val="00A261F1"/>
    <w:rsid w:val="00A263C8"/>
    <w:rsid w:val="00A2658D"/>
    <w:rsid w:val="00A267C2"/>
    <w:rsid w:val="00A26A26"/>
    <w:rsid w:val="00A2725E"/>
    <w:rsid w:val="00A272A4"/>
    <w:rsid w:val="00A2746C"/>
    <w:rsid w:val="00A274C6"/>
    <w:rsid w:val="00A27C01"/>
    <w:rsid w:val="00A30679"/>
    <w:rsid w:val="00A30B27"/>
    <w:rsid w:val="00A30D6C"/>
    <w:rsid w:val="00A30EDC"/>
    <w:rsid w:val="00A317DB"/>
    <w:rsid w:val="00A31A1F"/>
    <w:rsid w:val="00A32068"/>
    <w:rsid w:val="00A32610"/>
    <w:rsid w:val="00A3274E"/>
    <w:rsid w:val="00A32B20"/>
    <w:rsid w:val="00A33004"/>
    <w:rsid w:val="00A3309A"/>
    <w:rsid w:val="00A33969"/>
    <w:rsid w:val="00A33BAF"/>
    <w:rsid w:val="00A33DAF"/>
    <w:rsid w:val="00A34375"/>
    <w:rsid w:val="00A344BF"/>
    <w:rsid w:val="00A3496E"/>
    <w:rsid w:val="00A35286"/>
    <w:rsid w:val="00A35740"/>
    <w:rsid w:val="00A3581B"/>
    <w:rsid w:val="00A35C30"/>
    <w:rsid w:val="00A36274"/>
    <w:rsid w:val="00A3690C"/>
    <w:rsid w:val="00A3708B"/>
    <w:rsid w:val="00A377A2"/>
    <w:rsid w:val="00A37D08"/>
    <w:rsid w:val="00A37F7C"/>
    <w:rsid w:val="00A40708"/>
    <w:rsid w:val="00A40AFF"/>
    <w:rsid w:val="00A40BC3"/>
    <w:rsid w:val="00A41131"/>
    <w:rsid w:val="00A41621"/>
    <w:rsid w:val="00A419BF"/>
    <w:rsid w:val="00A41A2D"/>
    <w:rsid w:val="00A41A44"/>
    <w:rsid w:val="00A41AB4"/>
    <w:rsid w:val="00A41C76"/>
    <w:rsid w:val="00A41DDF"/>
    <w:rsid w:val="00A42330"/>
    <w:rsid w:val="00A42590"/>
    <w:rsid w:val="00A4292A"/>
    <w:rsid w:val="00A42B5E"/>
    <w:rsid w:val="00A42D8A"/>
    <w:rsid w:val="00A42F71"/>
    <w:rsid w:val="00A43254"/>
    <w:rsid w:val="00A43509"/>
    <w:rsid w:val="00A444A6"/>
    <w:rsid w:val="00A4471C"/>
    <w:rsid w:val="00A44806"/>
    <w:rsid w:val="00A449F1"/>
    <w:rsid w:val="00A44D18"/>
    <w:rsid w:val="00A44DC8"/>
    <w:rsid w:val="00A4527D"/>
    <w:rsid w:val="00A45317"/>
    <w:rsid w:val="00A45BD7"/>
    <w:rsid w:val="00A45C1C"/>
    <w:rsid w:val="00A4600C"/>
    <w:rsid w:val="00A46702"/>
    <w:rsid w:val="00A46817"/>
    <w:rsid w:val="00A46AD0"/>
    <w:rsid w:val="00A46ADD"/>
    <w:rsid w:val="00A46D13"/>
    <w:rsid w:val="00A472C9"/>
    <w:rsid w:val="00A503EB"/>
    <w:rsid w:val="00A50534"/>
    <w:rsid w:val="00A50A3E"/>
    <w:rsid w:val="00A50CA2"/>
    <w:rsid w:val="00A50F0A"/>
    <w:rsid w:val="00A51152"/>
    <w:rsid w:val="00A513F9"/>
    <w:rsid w:val="00A51476"/>
    <w:rsid w:val="00A5199F"/>
    <w:rsid w:val="00A51A2F"/>
    <w:rsid w:val="00A525A6"/>
    <w:rsid w:val="00A5266F"/>
    <w:rsid w:val="00A527DC"/>
    <w:rsid w:val="00A528A6"/>
    <w:rsid w:val="00A52E20"/>
    <w:rsid w:val="00A52FCB"/>
    <w:rsid w:val="00A53A91"/>
    <w:rsid w:val="00A54189"/>
    <w:rsid w:val="00A54798"/>
    <w:rsid w:val="00A54D5D"/>
    <w:rsid w:val="00A54DCE"/>
    <w:rsid w:val="00A5526B"/>
    <w:rsid w:val="00A5536B"/>
    <w:rsid w:val="00A5558B"/>
    <w:rsid w:val="00A556C2"/>
    <w:rsid w:val="00A5580E"/>
    <w:rsid w:val="00A55890"/>
    <w:rsid w:val="00A55996"/>
    <w:rsid w:val="00A56052"/>
    <w:rsid w:val="00A56250"/>
    <w:rsid w:val="00A5654A"/>
    <w:rsid w:val="00A56937"/>
    <w:rsid w:val="00A5739F"/>
    <w:rsid w:val="00A57893"/>
    <w:rsid w:val="00A60B0A"/>
    <w:rsid w:val="00A6149F"/>
    <w:rsid w:val="00A61B5E"/>
    <w:rsid w:val="00A63006"/>
    <w:rsid w:val="00A63177"/>
    <w:rsid w:val="00A632EB"/>
    <w:rsid w:val="00A637A2"/>
    <w:rsid w:val="00A639E8"/>
    <w:rsid w:val="00A639F0"/>
    <w:rsid w:val="00A641F2"/>
    <w:rsid w:val="00A647AD"/>
    <w:rsid w:val="00A64D14"/>
    <w:rsid w:val="00A64F33"/>
    <w:rsid w:val="00A65186"/>
    <w:rsid w:val="00A655E1"/>
    <w:rsid w:val="00A656C7"/>
    <w:rsid w:val="00A656D1"/>
    <w:rsid w:val="00A6581D"/>
    <w:rsid w:val="00A65A36"/>
    <w:rsid w:val="00A65BC2"/>
    <w:rsid w:val="00A6600A"/>
    <w:rsid w:val="00A662AD"/>
    <w:rsid w:val="00A6641C"/>
    <w:rsid w:val="00A666B1"/>
    <w:rsid w:val="00A66926"/>
    <w:rsid w:val="00A66BA2"/>
    <w:rsid w:val="00A66DFC"/>
    <w:rsid w:val="00A67293"/>
    <w:rsid w:val="00A673AC"/>
    <w:rsid w:val="00A6761D"/>
    <w:rsid w:val="00A67B58"/>
    <w:rsid w:val="00A71B31"/>
    <w:rsid w:val="00A71C23"/>
    <w:rsid w:val="00A727C8"/>
    <w:rsid w:val="00A73B17"/>
    <w:rsid w:val="00A73EDC"/>
    <w:rsid w:val="00A74227"/>
    <w:rsid w:val="00A747D5"/>
    <w:rsid w:val="00A74AE1"/>
    <w:rsid w:val="00A74CAA"/>
    <w:rsid w:val="00A752A7"/>
    <w:rsid w:val="00A75370"/>
    <w:rsid w:val="00A764E5"/>
    <w:rsid w:val="00A76A17"/>
    <w:rsid w:val="00A76D56"/>
    <w:rsid w:val="00A77529"/>
    <w:rsid w:val="00A81025"/>
    <w:rsid w:val="00A8149B"/>
    <w:rsid w:val="00A816D0"/>
    <w:rsid w:val="00A819EA"/>
    <w:rsid w:val="00A81C32"/>
    <w:rsid w:val="00A81D68"/>
    <w:rsid w:val="00A82659"/>
    <w:rsid w:val="00A826BC"/>
    <w:rsid w:val="00A82A6A"/>
    <w:rsid w:val="00A82AC5"/>
    <w:rsid w:val="00A82E09"/>
    <w:rsid w:val="00A82F7A"/>
    <w:rsid w:val="00A8339A"/>
    <w:rsid w:val="00A83410"/>
    <w:rsid w:val="00A836A5"/>
    <w:rsid w:val="00A836D7"/>
    <w:rsid w:val="00A83B03"/>
    <w:rsid w:val="00A83B3B"/>
    <w:rsid w:val="00A83C94"/>
    <w:rsid w:val="00A83E97"/>
    <w:rsid w:val="00A84186"/>
    <w:rsid w:val="00A84783"/>
    <w:rsid w:val="00A84A8B"/>
    <w:rsid w:val="00A852DA"/>
    <w:rsid w:val="00A856B5"/>
    <w:rsid w:val="00A857D3"/>
    <w:rsid w:val="00A85BA2"/>
    <w:rsid w:val="00A85D35"/>
    <w:rsid w:val="00A862E8"/>
    <w:rsid w:val="00A867B4"/>
    <w:rsid w:val="00A867D3"/>
    <w:rsid w:val="00A86A42"/>
    <w:rsid w:val="00A87076"/>
    <w:rsid w:val="00A87251"/>
    <w:rsid w:val="00A87A8C"/>
    <w:rsid w:val="00A87AC0"/>
    <w:rsid w:val="00A87D76"/>
    <w:rsid w:val="00A87DEE"/>
    <w:rsid w:val="00A90732"/>
    <w:rsid w:val="00A90844"/>
    <w:rsid w:val="00A90884"/>
    <w:rsid w:val="00A908F8"/>
    <w:rsid w:val="00A908F9"/>
    <w:rsid w:val="00A9118C"/>
    <w:rsid w:val="00A913A2"/>
    <w:rsid w:val="00A913AB"/>
    <w:rsid w:val="00A914D2"/>
    <w:rsid w:val="00A9164D"/>
    <w:rsid w:val="00A91AAF"/>
    <w:rsid w:val="00A92244"/>
    <w:rsid w:val="00A922CA"/>
    <w:rsid w:val="00A922D3"/>
    <w:rsid w:val="00A92702"/>
    <w:rsid w:val="00A92DF0"/>
    <w:rsid w:val="00A93483"/>
    <w:rsid w:val="00A93735"/>
    <w:rsid w:val="00A93A45"/>
    <w:rsid w:val="00A93A6C"/>
    <w:rsid w:val="00A94018"/>
    <w:rsid w:val="00A94210"/>
    <w:rsid w:val="00A94AEF"/>
    <w:rsid w:val="00A94EB1"/>
    <w:rsid w:val="00A9535E"/>
    <w:rsid w:val="00A95C6F"/>
    <w:rsid w:val="00A95E22"/>
    <w:rsid w:val="00A963B7"/>
    <w:rsid w:val="00A963D3"/>
    <w:rsid w:val="00A966C0"/>
    <w:rsid w:val="00A96785"/>
    <w:rsid w:val="00A967A9"/>
    <w:rsid w:val="00A96A2C"/>
    <w:rsid w:val="00A976F3"/>
    <w:rsid w:val="00A97763"/>
    <w:rsid w:val="00A97E8D"/>
    <w:rsid w:val="00AA0599"/>
    <w:rsid w:val="00AA077D"/>
    <w:rsid w:val="00AA07E2"/>
    <w:rsid w:val="00AA090E"/>
    <w:rsid w:val="00AA0B44"/>
    <w:rsid w:val="00AA1061"/>
    <w:rsid w:val="00AA1753"/>
    <w:rsid w:val="00AA1993"/>
    <w:rsid w:val="00AA2052"/>
    <w:rsid w:val="00AA23AA"/>
    <w:rsid w:val="00AA2588"/>
    <w:rsid w:val="00AA26A7"/>
    <w:rsid w:val="00AA2ADD"/>
    <w:rsid w:val="00AA2B00"/>
    <w:rsid w:val="00AA2B34"/>
    <w:rsid w:val="00AA2BAF"/>
    <w:rsid w:val="00AA2E57"/>
    <w:rsid w:val="00AA356D"/>
    <w:rsid w:val="00AA38ED"/>
    <w:rsid w:val="00AA419A"/>
    <w:rsid w:val="00AA433A"/>
    <w:rsid w:val="00AA4507"/>
    <w:rsid w:val="00AA4872"/>
    <w:rsid w:val="00AA6019"/>
    <w:rsid w:val="00AA625A"/>
    <w:rsid w:val="00AA68C2"/>
    <w:rsid w:val="00AA6D4A"/>
    <w:rsid w:val="00AA6E3F"/>
    <w:rsid w:val="00AA77C8"/>
    <w:rsid w:val="00AA785B"/>
    <w:rsid w:val="00AB033E"/>
    <w:rsid w:val="00AB1172"/>
    <w:rsid w:val="00AB1891"/>
    <w:rsid w:val="00AB23B9"/>
    <w:rsid w:val="00AB2466"/>
    <w:rsid w:val="00AB2A1C"/>
    <w:rsid w:val="00AB3122"/>
    <w:rsid w:val="00AB361E"/>
    <w:rsid w:val="00AB372F"/>
    <w:rsid w:val="00AB3B01"/>
    <w:rsid w:val="00AB3EFB"/>
    <w:rsid w:val="00AB4436"/>
    <w:rsid w:val="00AB47BC"/>
    <w:rsid w:val="00AB4CC1"/>
    <w:rsid w:val="00AB56B7"/>
    <w:rsid w:val="00AB5979"/>
    <w:rsid w:val="00AB5A61"/>
    <w:rsid w:val="00AB5E25"/>
    <w:rsid w:val="00AB5FC2"/>
    <w:rsid w:val="00AB630D"/>
    <w:rsid w:val="00AB6C54"/>
    <w:rsid w:val="00AB6F54"/>
    <w:rsid w:val="00AB7355"/>
    <w:rsid w:val="00AB745D"/>
    <w:rsid w:val="00AB7ADF"/>
    <w:rsid w:val="00AB7F8E"/>
    <w:rsid w:val="00AC00E7"/>
    <w:rsid w:val="00AC03F8"/>
    <w:rsid w:val="00AC0979"/>
    <w:rsid w:val="00AC1088"/>
    <w:rsid w:val="00AC141F"/>
    <w:rsid w:val="00AC1662"/>
    <w:rsid w:val="00AC17A6"/>
    <w:rsid w:val="00AC1BE7"/>
    <w:rsid w:val="00AC27DD"/>
    <w:rsid w:val="00AC3502"/>
    <w:rsid w:val="00AC3643"/>
    <w:rsid w:val="00AC3945"/>
    <w:rsid w:val="00AC39ED"/>
    <w:rsid w:val="00AC3BAD"/>
    <w:rsid w:val="00AC3DC2"/>
    <w:rsid w:val="00AC3DD1"/>
    <w:rsid w:val="00AC43F6"/>
    <w:rsid w:val="00AC4592"/>
    <w:rsid w:val="00AC4C17"/>
    <w:rsid w:val="00AC52D5"/>
    <w:rsid w:val="00AC655E"/>
    <w:rsid w:val="00AC6B2F"/>
    <w:rsid w:val="00AC709D"/>
    <w:rsid w:val="00AC711F"/>
    <w:rsid w:val="00AC72B1"/>
    <w:rsid w:val="00AD03E5"/>
    <w:rsid w:val="00AD12D7"/>
    <w:rsid w:val="00AD172E"/>
    <w:rsid w:val="00AD174B"/>
    <w:rsid w:val="00AD1B1A"/>
    <w:rsid w:val="00AD22F7"/>
    <w:rsid w:val="00AD2499"/>
    <w:rsid w:val="00AD262A"/>
    <w:rsid w:val="00AD27CB"/>
    <w:rsid w:val="00AD2E53"/>
    <w:rsid w:val="00AD3826"/>
    <w:rsid w:val="00AD3A99"/>
    <w:rsid w:val="00AD432B"/>
    <w:rsid w:val="00AD4564"/>
    <w:rsid w:val="00AD50B5"/>
    <w:rsid w:val="00AD54BA"/>
    <w:rsid w:val="00AD5C12"/>
    <w:rsid w:val="00AD5F3C"/>
    <w:rsid w:val="00AD643E"/>
    <w:rsid w:val="00AD653F"/>
    <w:rsid w:val="00AD6AD0"/>
    <w:rsid w:val="00AD6B28"/>
    <w:rsid w:val="00AD6B82"/>
    <w:rsid w:val="00AD6B9C"/>
    <w:rsid w:val="00AD6C5F"/>
    <w:rsid w:val="00AD6F3E"/>
    <w:rsid w:val="00AD7078"/>
    <w:rsid w:val="00AD76C0"/>
    <w:rsid w:val="00AD7A03"/>
    <w:rsid w:val="00AE030E"/>
    <w:rsid w:val="00AE066D"/>
    <w:rsid w:val="00AE088E"/>
    <w:rsid w:val="00AE0E3F"/>
    <w:rsid w:val="00AE0E75"/>
    <w:rsid w:val="00AE0F80"/>
    <w:rsid w:val="00AE0F94"/>
    <w:rsid w:val="00AE1193"/>
    <w:rsid w:val="00AE1295"/>
    <w:rsid w:val="00AE17D5"/>
    <w:rsid w:val="00AE1F37"/>
    <w:rsid w:val="00AE2194"/>
    <w:rsid w:val="00AE232F"/>
    <w:rsid w:val="00AE267F"/>
    <w:rsid w:val="00AE2A75"/>
    <w:rsid w:val="00AE2CFA"/>
    <w:rsid w:val="00AE328D"/>
    <w:rsid w:val="00AE32B2"/>
    <w:rsid w:val="00AE371A"/>
    <w:rsid w:val="00AE3DCB"/>
    <w:rsid w:val="00AE460D"/>
    <w:rsid w:val="00AE497C"/>
    <w:rsid w:val="00AE541A"/>
    <w:rsid w:val="00AE5CC7"/>
    <w:rsid w:val="00AE5E7A"/>
    <w:rsid w:val="00AE6718"/>
    <w:rsid w:val="00AE6930"/>
    <w:rsid w:val="00AE6A84"/>
    <w:rsid w:val="00AE6DE4"/>
    <w:rsid w:val="00AE7CFE"/>
    <w:rsid w:val="00AF017D"/>
    <w:rsid w:val="00AF03DF"/>
    <w:rsid w:val="00AF0AB5"/>
    <w:rsid w:val="00AF0CBF"/>
    <w:rsid w:val="00AF11C9"/>
    <w:rsid w:val="00AF1ACE"/>
    <w:rsid w:val="00AF1CC4"/>
    <w:rsid w:val="00AF1F75"/>
    <w:rsid w:val="00AF2421"/>
    <w:rsid w:val="00AF2436"/>
    <w:rsid w:val="00AF2446"/>
    <w:rsid w:val="00AF2807"/>
    <w:rsid w:val="00AF2A37"/>
    <w:rsid w:val="00AF2ED1"/>
    <w:rsid w:val="00AF3659"/>
    <w:rsid w:val="00AF3C6A"/>
    <w:rsid w:val="00AF3DE8"/>
    <w:rsid w:val="00AF457A"/>
    <w:rsid w:val="00AF4847"/>
    <w:rsid w:val="00AF53E8"/>
    <w:rsid w:val="00AF5815"/>
    <w:rsid w:val="00AF5BBA"/>
    <w:rsid w:val="00AF5C5A"/>
    <w:rsid w:val="00AF6538"/>
    <w:rsid w:val="00AF6C04"/>
    <w:rsid w:val="00AF6C8F"/>
    <w:rsid w:val="00AF6E26"/>
    <w:rsid w:val="00AF6FF3"/>
    <w:rsid w:val="00AF7161"/>
    <w:rsid w:val="00AF7413"/>
    <w:rsid w:val="00AF74D3"/>
    <w:rsid w:val="00AF7855"/>
    <w:rsid w:val="00AF7BBF"/>
    <w:rsid w:val="00AF7D1F"/>
    <w:rsid w:val="00B0034E"/>
    <w:rsid w:val="00B00731"/>
    <w:rsid w:val="00B00C58"/>
    <w:rsid w:val="00B00CFF"/>
    <w:rsid w:val="00B00D53"/>
    <w:rsid w:val="00B011F6"/>
    <w:rsid w:val="00B01999"/>
    <w:rsid w:val="00B01F87"/>
    <w:rsid w:val="00B02883"/>
    <w:rsid w:val="00B028FD"/>
    <w:rsid w:val="00B02F74"/>
    <w:rsid w:val="00B030DE"/>
    <w:rsid w:val="00B03380"/>
    <w:rsid w:val="00B03419"/>
    <w:rsid w:val="00B0356C"/>
    <w:rsid w:val="00B0373B"/>
    <w:rsid w:val="00B03A6A"/>
    <w:rsid w:val="00B04425"/>
    <w:rsid w:val="00B04CD3"/>
    <w:rsid w:val="00B05181"/>
    <w:rsid w:val="00B051FD"/>
    <w:rsid w:val="00B053CE"/>
    <w:rsid w:val="00B058EA"/>
    <w:rsid w:val="00B05BC3"/>
    <w:rsid w:val="00B0631A"/>
    <w:rsid w:val="00B06BF8"/>
    <w:rsid w:val="00B06CE7"/>
    <w:rsid w:val="00B075C4"/>
    <w:rsid w:val="00B07A6F"/>
    <w:rsid w:val="00B10B41"/>
    <w:rsid w:val="00B10C7C"/>
    <w:rsid w:val="00B10FF6"/>
    <w:rsid w:val="00B1109A"/>
    <w:rsid w:val="00B111A8"/>
    <w:rsid w:val="00B114A1"/>
    <w:rsid w:val="00B11621"/>
    <w:rsid w:val="00B11A4F"/>
    <w:rsid w:val="00B12CF6"/>
    <w:rsid w:val="00B12D62"/>
    <w:rsid w:val="00B12D7D"/>
    <w:rsid w:val="00B138C5"/>
    <w:rsid w:val="00B138F8"/>
    <w:rsid w:val="00B13F83"/>
    <w:rsid w:val="00B13FAA"/>
    <w:rsid w:val="00B142F9"/>
    <w:rsid w:val="00B14935"/>
    <w:rsid w:val="00B1531E"/>
    <w:rsid w:val="00B16699"/>
    <w:rsid w:val="00B166D8"/>
    <w:rsid w:val="00B169BA"/>
    <w:rsid w:val="00B16AD2"/>
    <w:rsid w:val="00B16D6E"/>
    <w:rsid w:val="00B172BB"/>
    <w:rsid w:val="00B17571"/>
    <w:rsid w:val="00B175D8"/>
    <w:rsid w:val="00B177D1"/>
    <w:rsid w:val="00B17E7A"/>
    <w:rsid w:val="00B2026F"/>
    <w:rsid w:val="00B206AB"/>
    <w:rsid w:val="00B20840"/>
    <w:rsid w:val="00B215A4"/>
    <w:rsid w:val="00B219E5"/>
    <w:rsid w:val="00B21A6B"/>
    <w:rsid w:val="00B21D6A"/>
    <w:rsid w:val="00B22754"/>
    <w:rsid w:val="00B22816"/>
    <w:rsid w:val="00B229A6"/>
    <w:rsid w:val="00B22B64"/>
    <w:rsid w:val="00B22BAC"/>
    <w:rsid w:val="00B22BD3"/>
    <w:rsid w:val="00B22FB9"/>
    <w:rsid w:val="00B2368C"/>
    <w:rsid w:val="00B23DB6"/>
    <w:rsid w:val="00B240CB"/>
    <w:rsid w:val="00B246D1"/>
    <w:rsid w:val="00B24C6E"/>
    <w:rsid w:val="00B24C87"/>
    <w:rsid w:val="00B25205"/>
    <w:rsid w:val="00B25604"/>
    <w:rsid w:val="00B25652"/>
    <w:rsid w:val="00B26764"/>
    <w:rsid w:val="00B2694F"/>
    <w:rsid w:val="00B26CC4"/>
    <w:rsid w:val="00B27712"/>
    <w:rsid w:val="00B3034A"/>
    <w:rsid w:val="00B30580"/>
    <w:rsid w:val="00B30581"/>
    <w:rsid w:val="00B3076E"/>
    <w:rsid w:val="00B30C66"/>
    <w:rsid w:val="00B30FEB"/>
    <w:rsid w:val="00B31101"/>
    <w:rsid w:val="00B31142"/>
    <w:rsid w:val="00B3251E"/>
    <w:rsid w:val="00B32789"/>
    <w:rsid w:val="00B330BE"/>
    <w:rsid w:val="00B33238"/>
    <w:rsid w:val="00B348F0"/>
    <w:rsid w:val="00B35127"/>
    <w:rsid w:val="00B35E53"/>
    <w:rsid w:val="00B35E57"/>
    <w:rsid w:val="00B35F5D"/>
    <w:rsid w:val="00B35F62"/>
    <w:rsid w:val="00B368CE"/>
    <w:rsid w:val="00B36947"/>
    <w:rsid w:val="00B36A46"/>
    <w:rsid w:val="00B3738B"/>
    <w:rsid w:val="00B375B8"/>
    <w:rsid w:val="00B37C20"/>
    <w:rsid w:val="00B37FA5"/>
    <w:rsid w:val="00B37FAD"/>
    <w:rsid w:val="00B40225"/>
    <w:rsid w:val="00B405D2"/>
    <w:rsid w:val="00B4067E"/>
    <w:rsid w:val="00B4141B"/>
    <w:rsid w:val="00B41BB3"/>
    <w:rsid w:val="00B41E45"/>
    <w:rsid w:val="00B41E67"/>
    <w:rsid w:val="00B42041"/>
    <w:rsid w:val="00B42DEE"/>
    <w:rsid w:val="00B43084"/>
    <w:rsid w:val="00B445BD"/>
    <w:rsid w:val="00B447CC"/>
    <w:rsid w:val="00B44ABE"/>
    <w:rsid w:val="00B44E2C"/>
    <w:rsid w:val="00B44F76"/>
    <w:rsid w:val="00B45765"/>
    <w:rsid w:val="00B457C9"/>
    <w:rsid w:val="00B45B70"/>
    <w:rsid w:val="00B45C05"/>
    <w:rsid w:val="00B45C5B"/>
    <w:rsid w:val="00B462C1"/>
    <w:rsid w:val="00B4692E"/>
    <w:rsid w:val="00B46AEC"/>
    <w:rsid w:val="00B46BF0"/>
    <w:rsid w:val="00B47495"/>
    <w:rsid w:val="00B479F3"/>
    <w:rsid w:val="00B501B6"/>
    <w:rsid w:val="00B50D92"/>
    <w:rsid w:val="00B50EC7"/>
    <w:rsid w:val="00B50F0D"/>
    <w:rsid w:val="00B50F50"/>
    <w:rsid w:val="00B51BBA"/>
    <w:rsid w:val="00B52188"/>
    <w:rsid w:val="00B5229C"/>
    <w:rsid w:val="00B52402"/>
    <w:rsid w:val="00B5255A"/>
    <w:rsid w:val="00B52802"/>
    <w:rsid w:val="00B52FFC"/>
    <w:rsid w:val="00B53048"/>
    <w:rsid w:val="00B534E5"/>
    <w:rsid w:val="00B5372F"/>
    <w:rsid w:val="00B53B08"/>
    <w:rsid w:val="00B53F63"/>
    <w:rsid w:val="00B53F71"/>
    <w:rsid w:val="00B541B4"/>
    <w:rsid w:val="00B54356"/>
    <w:rsid w:val="00B546A3"/>
    <w:rsid w:val="00B54E6D"/>
    <w:rsid w:val="00B54EE1"/>
    <w:rsid w:val="00B551F8"/>
    <w:rsid w:val="00B556EC"/>
    <w:rsid w:val="00B55E68"/>
    <w:rsid w:val="00B56A7D"/>
    <w:rsid w:val="00B56BEC"/>
    <w:rsid w:val="00B56E55"/>
    <w:rsid w:val="00B57243"/>
    <w:rsid w:val="00B5740E"/>
    <w:rsid w:val="00B57889"/>
    <w:rsid w:val="00B57FF3"/>
    <w:rsid w:val="00B6007E"/>
    <w:rsid w:val="00B60358"/>
    <w:rsid w:val="00B6056F"/>
    <w:rsid w:val="00B60669"/>
    <w:rsid w:val="00B60F35"/>
    <w:rsid w:val="00B61260"/>
    <w:rsid w:val="00B614CE"/>
    <w:rsid w:val="00B615C7"/>
    <w:rsid w:val="00B61A4D"/>
    <w:rsid w:val="00B61D7D"/>
    <w:rsid w:val="00B61F40"/>
    <w:rsid w:val="00B61F90"/>
    <w:rsid w:val="00B62797"/>
    <w:rsid w:val="00B62AB0"/>
    <w:rsid w:val="00B62E01"/>
    <w:rsid w:val="00B62E79"/>
    <w:rsid w:val="00B63629"/>
    <w:rsid w:val="00B63B9D"/>
    <w:rsid w:val="00B63F78"/>
    <w:rsid w:val="00B63FFD"/>
    <w:rsid w:val="00B6431A"/>
    <w:rsid w:val="00B64543"/>
    <w:rsid w:val="00B646D6"/>
    <w:rsid w:val="00B64746"/>
    <w:rsid w:val="00B648A5"/>
    <w:rsid w:val="00B648C2"/>
    <w:rsid w:val="00B64F55"/>
    <w:rsid w:val="00B6634F"/>
    <w:rsid w:val="00B66381"/>
    <w:rsid w:val="00B669C7"/>
    <w:rsid w:val="00B6734D"/>
    <w:rsid w:val="00B67569"/>
    <w:rsid w:val="00B70184"/>
    <w:rsid w:val="00B70211"/>
    <w:rsid w:val="00B70D89"/>
    <w:rsid w:val="00B718AF"/>
    <w:rsid w:val="00B71B91"/>
    <w:rsid w:val="00B71C6F"/>
    <w:rsid w:val="00B71EAD"/>
    <w:rsid w:val="00B7271E"/>
    <w:rsid w:val="00B72F53"/>
    <w:rsid w:val="00B73769"/>
    <w:rsid w:val="00B742FF"/>
    <w:rsid w:val="00B7447E"/>
    <w:rsid w:val="00B74E8C"/>
    <w:rsid w:val="00B75018"/>
    <w:rsid w:val="00B751AC"/>
    <w:rsid w:val="00B7527A"/>
    <w:rsid w:val="00B752BE"/>
    <w:rsid w:val="00B7536A"/>
    <w:rsid w:val="00B7545E"/>
    <w:rsid w:val="00B75622"/>
    <w:rsid w:val="00B75A37"/>
    <w:rsid w:val="00B75DBA"/>
    <w:rsid w:val="00B7601B"/>
    <w:rsid w:val="00B7698A"/>
    <w:rsid w:val="00B76F30"/>
    <w:rsid w:val="00B7715F"/>
    <w:rsid w:val="00B771AD"/>
    <w:rsid w:val="00B778E9"/>
    <w:rsid w:val="00B77E0B"/>
    <w:rsid w:val="00B77F2D"/>
    <w:rsid w:val="00B80152"/>
    <w:rsid w:val="00B801F2"/>
    <w:rsid w:val="00B8062C"/>
    <w:rsid w:val="00B814B9"/>
    <w:rsid w:val="00B81A6F"/>
    <w:rsid w:val="00B81AF6"/>
    <w:rsid w:val="00B81D11"/>
    <w:rsid w:val="00B81D44"/>
    <w:rsid w:val="00B81E6B"/>
    <w:rsid w:val="00B82023"/>
    <w:rsid w:val="00B82791"/>
    <w:rsid w:val="00B8279F"/>
    <w:rsid w:val="00B8295E"/>
    <w:rsid w:val="00B829DD"/>
    <w:rsid w:val="00B829EB"/>
    <w:rsid w:val="00B82B0C"/>
    <w:rsid w:val="00B82D71"/>
    <w:rsid w:val="00B82D7F"/>
    <w:rsid w:val="00B8385D"/>
    <w:rsid w:val="00B84182"/>
    <w:rsid w:val="00B842DB"/>
    <w:rsid w:val="00B84434"/>
    <w:rsid w:val="00B84A5C"/>
    <w:rsid w:val="00B84B4D"/>
    <w:rsid w:val="00B84BAA"/>
    <w:rsid w:val="00B84C50"/>
    <w:rsid w:val="00B85005"/>
    <w:rsid w:val="00B857F9"/>
    <w:rsid w:val="00B85980"/>
    <w:rsid w:val="00B85B7E"/>
    <w:rsid w:val="00B85CCC"/>
    <w:rsid w:val="00B85D6C"/>
    <w:rsid w:val="00B85E0F"/>
    <w:rsid w:val="00B85FE6"/>
    <w:rsid w:val="00B86237"/>
    <w:rsid w:val="00B86644"/>
    <w:rsid w:val="00B86962"/>
    <w:rsid w:val="00B86D4C"/>
    <w:rsid w:val="00B86D85"/>
    <w:rsid w:val="00B86DEA"/>
    <w:rsid w:val="00B86F49"/>
    <w:rsid w:val="00B877F7"/>
    <w:rsid w:val="00B878CA"/>
    <w:rsid w:val="00B8792F"/>
    <w:rsid w:val="00B87C85"/>
    <w:rsid w:val="00B87D67"/>
    <w:rsid w:val="00B87E40"/>
    <w:rsid w:val="00B902B2"/>
    <w:rsid w:val="00B9113A"/>
    <w:rsid w:val="00B91157"/>
    <w:rsid w:val="00B91451"/>
    <w:rsid w:val="00B91846"/>
    <w:rsid w:val="00B92394"/>
    <w:rsid w:val="00B929E8"/>
    <w:rsid w:val="00B92F8C"/>
    <w:rsid w:val="00B93384"/>
    <w:rsid w:val="00B936EF"/>
    <w:rsid w:val="00B93AC5"/>
    <w:rsid w:val="00B93B87"/>
    <w:rsid w:val="00B93BD3"/>
    <w:rsid w:val="00B93D88"/>
    <w:rsid w:val="00B93ECA"/>
    <w:rsid w:val="00B94180"/>
    <w:rsid w:val="00B94FC5"/>
    <w:rsid w:val="00B95116"/>
    <w:rsid w:val="00B95315"/>
    <w:rsid w:val="00B9545F"/>
    <w:rsid w:val="00B95A4A"/>
    <w:rsid w:val="00B95B44"/>
    <w:rsid w:val="00B95EB3"/>
    <w:rsid w:val="00B961B2"/>
    <w:rsid w:val="00B96607"/>
    <w:rsid w:val="00B9661D"/>
    <w:rsid w:val="00B96733"/>
    <w:rsid w:val="00B96812"/>
    <w:rsid w:val="00B96D88"/>
    <w:rsid w:val="00B96E49"/>
    <w:rsid w:val="00B971C5"/>
    <w:rsid w:val="00B972DD"/>
    <w:rsid w:val="00B9798D"/>
    <w:rsid w:val="00B979C4"/>
    <w:rsid w:val="00B97A1F"/>
    <w:rsid w:val="00B97DE5"/>
    <w:rsid w:val="00BA061B"/>
    <w:rsid w:val="00BA09C3"/>
    <w:rsid w:val="00BA0D4D"/>
    <w:rsid w:val="00BA0EF3"/>
    <w:rsid w:val="00BA1041"/>
    <w:rsid w:val="00BA14F7"/>
    <w:rsid w:val="00BA2072"/>
    <w:rsid w:val="00BA2127"/>
    <w:rsid w:val="00BA21E8"/>
    <w:rsid w:val="00BA2216"/>
    <w:rsid w:val="00BA25B9"/>
    <w:rsid w:val="00BA2D53"/>
    <w:rsid w:val="00BA2E96"/>
    <w:rsid w:val="00BA3327"/>
    <w:rsid w:val="00BA3B05"/>
    <w:rsid w:val="00BA4C37"/>
    <w:rsid w:val="00BA4DD0"/>
    <w:rsid w:val="00BA572A"/>
    <w:rsid w:val="00BA5843"/>
    <w:rsid w:val="00BA5913"/>
    <w:rsid w:val="00BA5EC2"/>
    <w:rsid w:val="00BA62FE"/>
    <w:rsid w:val="00BA638A"/>
    <w:rsid w:val="00BA6B08"/>
    <w:rsid w:val="00BA6EF9"/>
    <w:rsid w:val="00BA70A3"/>
    <w:rsid w:val="00BB06C4"/>
    <w:rsid w:val="00BB0C8F"/>
    <w:rsid w:val="00BB132E"/>
    <w:rsid w:val="00BB1F69"/>
    <w:rsid w:val="00BB24BE"/>
    <w:rsid w:val="00BB24FB"/>
    <w:rsid w:val="00BB2677"/>
    <w:rsid w:val="00BB2A55"/>
    <w:rsid w:val="00BB2D69"/>
    <w:rsid w:val="00BB3044"/>
    <w:rsid w:val="00BB3288"/>
    <w:rsid w:val="00BB3289"/>
    <w:rsid w:val="00BB3382"/>
    <w:rsid w:val="00BB3729"/>
    <w:rsid w:val="00BB3F01"/>
    <w:rsid w:val="00BB416E"/>
    <w:rsid w:val="00BB4651"/>
    <w:rsid w:val="00BB46B9"/>
    <w:rsid w:val="00BB489E"/>
    <w:rsid w:val="00BB5156"/>
    <w:rsid w:val="00BB551B"/>
    <w:rsid w:val="00BB575F"/>
    <w:rsid w:val="00BB57CD"/>
    <w:rsid w:val="00BB6118"/>
    <w:rsid w:val="00BB6667"/>
    <w:rsid w:val="00BB6A69"/>
    <w:rsid w:val="00BB6CFB"/>
    <w:rsid w:val="00BB7550"/>
    <w:rsid w:val="00BB766B"/>
    <w:rsid w:val="00BC00A5"/>
    <w:rsid w:val="00BC021E"/>
    <w:rsid w:val="00BC089B"/>
    <w:rsid w:val="00BC0A80"/>
    <w:rsid w:val="00BC1654"/>
    <w:rsid w:val="00BC167A"/>
    <w:rsid w:val="00BC1730"/>
    <w:rsid w:val="00BC1C38"/>
    <w:rsid w:val="00BC1D0C"/>
    <w:rsid w:val="00BC2447"/>
    <w:rsid w:val="00BC245A"/>
    <w:rsid w:val="00BC2EAF"/>
    <w:rsid w:val="00BC2EF8"/>
    <w:rsid w:val="00BC4AA7"/>
    <w:rsid w:val="00BC5583"/>
    <w:rsid w:val="00BC55D6"/>
    <w:rsid w:val="00BC565E"/>
    <w:rsid w:val="00BC574F"/>
    <w:rsid w:val="00BC5928"/>
    <w:rsid w:val="00BC5F70"/>
    <w:rsid w:val="00BC5FA6"/>
    <w:rsid w:val="00BC6063"/>
    <w:rsid w:val="00BC61AF"/>
    <w:rsid w:val="00BC6297"/>
    <w:rsid w:val="00BC63C0"/>
    <w:rsid w:val="00BC6520"/>
    <w:rsid w:val="00BC722E"/>
    <w:rsid w:val="00BC72CB"/>
    <w:rsid w:val="00BC770C"/>
    <w:rsid w:val="00BC7F00"/>
    <w:rsid w:val="00BD00A9"/>
    <w:rsid w:val="00BD032A"/>
    <w:rsid w:val="00BD043A"/>
    <w:rsid w:val="00BD0AA6"/>
    <w:rsid w:val="00BD0C63"/>
    <w:rsid w:val="00BD11E2"/>
    <w:rsid w:val="00BD127E"/>
    <w:rsid w:val="00BD14F5"/>
    <w:rsid w:val="00BD1E44"/>
    <w:rsid w:val="00BD2453"/>
    <w:rsid w:val="00BD2822"/>
    <w:rsid w:val="00BD3813"/>
    <w:rsid w:val="00BD3D19"/>
    <w:rsid w:val="00BD3F6A"/>
    <w:rsid w:val="00BD41F9"/>
    <w:rsid w:val="00BD4619"/>
    <w:rsid w:val="00BD4698"/>
    <w:rsid w:val="00BD4E26"/>
    <w:rsid w:val="00BD4F98"/>
    <w:rsid w:val="00BD535E"/>
    <w:rsid w:val="00BD54D1"/>
    <w:rsid w:val="00BD55F7"/>
    <w:rsid w:val="00BD68B1"/>
    <w:rsid w:val="00BD6999"/>
    <w:rsid w:val="00BD69B1"/>
    <w:rsid w:val="00BD6F7E"/>
    <w:rsid w:val="00BD781E"/>
    <w:rsid w:val="00BD7AA2"/>
    <w:rsid w:val="00BE0873"/>
    <w:rsid w:val="00BE0F97"/>
    <w:rsid w:val="00BE0FAD"/>
    <w:rsid w:val="00BE142B"/>
    <w:rsid w:val="00BE150C"/>
    <w:rsid w:val="00BE1516"/>
    <w:rsid w:val="00BE18E5"/>
    <w:rsid w:val="00BE1CF6"/>
    <w:rsid w:val="00BE2941"/>
    <w:rsid w:val="00BE297E"/>
    <w:rsid w:val="00BE2A84"/>
    <w:rsid w:val="00BE2F9F"/>
    <w:rsid w:val="00BE34C6"/>
    <w:rsid w:val="00BE35F8"/>
    <w:rsid w:val="00BE3819"/>
    <w:rsid w:val="00BE3AAF"/>
    <w:rsid w:val="00BE3F05"/>
    <w:rsid w:val="00BE4009"/>
    <w:rsid w:val="00BE41B4"/>
    <w:rsid w:val="00BE45D6"/>
    <w:rsid w:val="00BE54B7"/>
    <w:rsid w:val="00BE58AD"/>
    <w:rsid w:val="00BE5FF9"/>
    <w:rsid w:val="00BE6664"/>
    <w:rsid w:val="00BE6959"/>
    <w:rsid w:val="00BE6C44"/>
    <w:rsid w:val="00BE6EE2"/>
    <w:rsid w:val="00BE708B"/>
    <w:rsid w:val="00BE7F7D"/>
    <w:rsid w:val="00BF0380"/>
    <w:rsid w:val="00BF0429"/>
    <w:rsid w:val="00BF08B1"/>
    <w:rsid w:val="00BF1163"/>
    <w:rsid w:val="00BF139B"/>
    <w:rsid w:val="00BF18C1"/>
    <w:rsid w:val="00BF1E0A"/>
    <w:rsid w:val="00BF2292"/>
    <w:rsid w:val="00BF2605"/>
    <w:rsid w:val="00BF27E2"/>
    <w:rsid w:val="00BF28A5"/>
    <w:rsid w:val="00BF28E1"/>
    <w:rsid w:val="00BF2934"/>
    <w:rsid w:val="00BF2D25"/>
    <w:rsid w:val="00BF2E2B"/>
    <w:rsid w:val="00BF3049"/>
    <w:rsid w:val="00BF3209"/>
    <w:rsid w:val="00BF3AB7"/>
    <w:rsid w:val="00BF4115"/>
    <w:rsid w:val="00BF4744"/>
    <w:rsid w:val="00BF47A0"/>
    <w:rsid w:val="00BF4AC0"/>
    <w:rsid w:val="00BF4BA1"/>
    <w:rsid w:val="00BF4DB8"/>
    <w:rsid w:val="00BF59AC"/>
    <w:rsid w:val="00BF5AED"/>
    <w:rsid w:val="00BF5CE6"/>
    <w:rsid w:val="00BF5D96"/>
    <w:rsid w:val="00BF5F2D"/>
    <w:rsid w:val="00BF5F43"/>
    <w:rsid w:val="00BF65D2"/>
    <w:rsid w:val="00BF6715"/>
    <w:rsid w:val="00BF6802"/>
    <w:rsid w:val="00BF6994"/>
    <w:rsid w:val="00BF769B"/>
    <w:rsid w:val="00BF7827"/>
    <w:rsid w:val="00BF7ACD"/>
    <w:rsid w:val="00BF7BB5"/>
    <w:rsid w:val="00BF7C8D"/>
    <w:rsid w:val="00BF7CB6"/>
    <w:rsid w:val="00BF7D25"/>
    <w:rsid w:val="00C00653"/>
    <w:rsid w:val="00C00744"/>
    <w:rsid w:val="00C00953"/>
    <w:rsid w:val="00C00E3D"/>
    <w:rsid w:val="00C0116C"/>
    <w:rsid w:val="00C01447"/>
    <w:rsid w:val="00C014EA"/>
    <w:rsid w:val="00C0169F"/>
    <w:rsid w:val="00C01E75"/>
    <w:rsid w:val="00C023A8"/>
    <w:rsid w:val="00C02919"/>
    <w:rsid w:val="00C02E28"/>
    <w:rsid w:val="00C02F60"/>
    <w:rsid w:val="00C0312F"/>
    <w:rsid w:val="00C03648"/>
    <w:rsid w:val="00C03734"/>
    <w:rsid w:val="00C04498"/>
    <w:rsid w:val="00C04607"/>
    <w:rsid w:val="00C04708"/>
    <w:rsid w:val="00C04F42"/>
    <w:rsid w:val="00C05295"/>
    <w:rsid w:val="00C05929"/>
    <w:rsid w:val="00C0596F"/>
    <w:rsid w:val="00C05AF6"/>
    <w:rsid w:val="00C05C20"/>
    <w:rsid w:val="00C05F96"/>
    <w:rsid w:val="00C06A64"/>
    <w:rsid w:val="00C06FFE"/>
    <w:rsid w:val="00C071F6"/>
    <w:rsid w:val="00C079F2"/>
    <w:rsid w:val="00C07AEA"/>
    <w:rsid w:val="00C07F76"/>
    <w:rsid w:val="00C10199"/>
    <w:rsid w:val="00C10590"/>
    <w:rsid w:val="00C105C9"/>
    <w:rsid w:val="00C107FA"/>
    <w:rsid w:val="00C1090D"/>
    <w:rsid w:val="00C10939"/>
    <w:rsid w:val="00C10AA6"/>
    <w:rsid w:val="00C10AD3"/>
    <w:rsid w:val="00C10BC6"/>
    <w:rsid w:val="00C11061"/>
    <w:rsid w:val="00C112A0"/>
    <w:rsid w:val="00C11424"/>
    <w:rsid w:val="00C11790"/>
    <w:rsid w:val="00C11EC3"/>
    <w:rsid w:val="00C120C5"/>
    <w:rsid w:val="00C1223D"/>
    <w:rsid w:val="00C122D3"/>
    <w:rsid w:val="00C123AE"/>
    <w:rsid w:val="00C12ABF"/>
    <w:rsid w:val="00C12CB6"/>
    <w:rsid w:val="00C12D58"/>
    <w:rsid w:val="00C1304B"/>
    <w:rsid w:val="00C134D4"/>
    <w:rsid w:val="00C13762"/>
    <w:rsid w:val="00C1389D"/>
    <w:rsid w:val="00C138A8"/>
    <w:rsid w:val="00C13B9A"/>
    <w:rsid w:val="00C1414E"/>
    <w:rsid w:val="00C14985"/>
    <w:rsid w:val="00C14EAF"/>
    <w:rsid w:val="00C15221"/>
    <w:rsid w:val="00C1562E"/>
    <w:rsid w:val="00C157EE"/>
    <w:rsid w:val="00C15EA0"/>
    <w:rsid w:val="00C163DB"/>
    <w:rsid w:val="00C1673D"/>
    <w:rsid w:val="00C1684C"/>
    <w:rsid w:val="00C17325"/>
    <w:rsid w:val="00C1734D"/>
    <w:rsid w:val="00C175A0"/>
    <w:rsid w:val="00C17D83"/>
    <w:rsid w:val="00C2026B"/>
    <w:rsid w:val="00C205DB"/>
    <w:rsid w:val="00C20A3E"/>
    <w:rsid w:val="00C20D3F"/>
    <w:rsid w:val="00C20FA5"/>
    <w:rsid w:val="00C213D3"/>
    <w:rsid w:val="00C2158E"/>
    <w:rsid w:val="00C2182C"/>
    <w:rsid w:val="00C21EA5"/>
    <w:rsid w:val="00C21ECF"/>
    <w:rsid w:val="00C22455"/>
    <w:rsid w:val="00C224E6"/>
    <w:rsid w:val="00C2298D"/>
    <w:rsid w:val="00C22A7D"/>
    <w:rsid w:val="00C22F49"/>
    <w:rsid w:val="00C23030"/>
    <w:rsid w:val="00C232FB"/>
    <w:rsid w:val="00C23561"/>
    <w:rsid w:val="00C2378D"/>
    <w:rsid w:val="00C23A84"/>
    <w:rsid w:val="00C23B19"/>
    <w:rsid w:val="00C23CB4"/>
    <w:rsid w:val="00C23FF4"/>
    <w:rsid w:val="00C24549"/>
    <w:rsid w:val="00C24628"/>
    <w:rsid w:val="00C24BA2"/>
    <w:rsid w:val="00C253FE"/>
    <w:rsid w:val="00C25448"/>
    <w:rsid w:val="00C25576"/>
    <w:rsid w:val="00C25807"/>
    <w:rsid w:val="00C25808"/>
    <w:rsid w:val="00C25C42"/>
    <w:rsid w:val="00C25FC9"/>
    <w:rsid w:val="00C2622D"/>
    <w:rsid w:val="00C264B6"/>
    <w:rsid w:val="00C26541"/>
    <w:rsid w:val="00C2670C"/>
    <w:rsid w:val="00C26C03"/>
    <w:rsid w:val="00C2714B"/>
    <w:rsid w:val="00C27459"/>
    <w:rsid w:val="00C2752D"/>
    <w:rsid w:val="00C27FC1"/>
    <w:rsid w:val="00C300DF"/>
    <w:rsid w:val="00C301C8"/>
    <w:rsid w:val="00C30340"/>
    <w:rsid w:val="00C30D1E"/>
    <w:rsid w:val="00C31461"/>
    <w:rsid w:val="00C31589"/>
    <w:rsid w:val="00C3178A"/>
    <w:rsid w:val="00C317A5"/>
    <w:rsid w:val="00C31BDB"/>
    <w:rsid w:val="00C31D3A"/>
    <w:rsid w:val="00C325CE"/>
    <w:rsid w:val="00C32759"/>
    <w:rsid w:val="00C328F0"/>
    <w:rsid w:val="00C32C28"/>
    <w:rsid w:val="00C32D2F"/>
    <w:rsid w:val="00C33313"/>
    <w:rsid w:val="00C333D1"/>
    <w:rsid w:val="00C3343D"/>
    <w:rsid w:val="00C3358E"/>
    <w:rsid w:val="00C3365C"/>
    <w:rsid w:val="00C34503"/>
    <w:rsid w:val="00C346AA"/>
    <w:rsid w:val="00C3480F"/>
    <w:rsid w:val="00C34895"/>
    <w:rsid w:val="00C34945"/>
    <w:rsid w:val="00C34A4E"/>
    <w:rsid w:val="00C34A99"/>
    <w:rsid w:val="00C34EE6"/>
    <w:rsid w:val="00C34FE1"/>
    <w:rsid w:val="00C36196"/>
    <w:rsid w:val="00C36B49"/>
    <w:rsid w:val="00C36F1B"/>
    <w:rsid w:val="00C3777C"/>
    <w:rsid w:val="00C377C1"/>
    <w:rsid w:val="00C40201"/>
    <w:rsid w:val="00C406F1"/>
    <w:rsid w:val="00C4096A"/>
    <w:rsid w:val="00C409D6"/>
    <w:rsid w:val="00C40BD1"/>
    <w:rsid w:val="00C40E0F"/>
    <w:rsid w:val="00C40E19"/>
    <w:rsid w:val="00C40F0D"/>
    <w:rsid w:val="00C4102F"/>
    <w:rsid w:val="00C41AA8"/>
    <w:rsid w:val="00C41D0C"/>
    <w:rsid w:val="00C41EFA"/>
    <w:rsid w:val="00C428BA"/>
    <w:rsid w:val="00C42D34"/>
    <w:rsid w:val="00C43537"/>
    <w:rsid w:val="00C43712"/>
    <w:rsid w:val="00C43BF7"/>
    <w:rsid w:val="00C4409E"/>
    <w:rsid w:val="00C4421C"/>
    <w:rsid w:val="00C445F9"/>
    <w:rsid w:val="00C4471B"/>
    <w:rsid w:val="00C44B16"/>
    <w:rsid w:val="00C4529E"/>
    <w:rsid w:val="00C4552E"/>
    <w:rsid w:val="00C45753"/>
    <w:rsid w:val="00C457B5"/>
    <w:rsid w:val="00C4641F"/>
    <w:rsid w:val="00C46AFA"/>
    <w:rsid w:val="00C476FB"/>
    <w:rsid w:val="00C50305"/>
    <w:rsid w:val="00C503D3"/>
    <w:rsid w:val="00C5058D"/>
    <w:rsid w:val="00C50779"/>
    <w:rsid w:val="00C50DE0"/>
    <w:rsid w:val="00C51185"/>
    <w:rsid w:val="00C51D87"/>
    <w:rsid w:val="00C51F43"/>
    <w:rsid w:val="00C51FCC"/>
    <w:rsid w:val="00C52095"/>
    <w:rsid w:val="00C5237D"/>
    <w:rsid w:val="00C52445"/>
    <w:rsid w:val="00C5252C"/>
    <w:rsid w:val="00C526FE"/>
    <w:rsid w:val="00C52913"/>
    <w:rsid w:val="00C52B8D"/>
    <w:rsid w:val="00C52D6C"/>
    <w:rsid w:val="00C52E31"/>
    <w:rsid w:val="00C5345E"/>
    <w:rsid w:val="00C537C7"/>
    <w:rsid w:val="00C53A7A"/>
    <w:rsid w:val="00C53CB4"/>
    <w:rsid w:val="00C53E84"/>
    <w:rsid w:val="00C53FEE"/>
    <w:rsid w:val="00C54ADF"/>
    <w:rsid w:val="00C54EB2"/>
    <w:rsid w:val="00C55640"/>
    <w:rsid w:val="00C55818"/>
    <w:rsid w:val="00C55EAC"/>
    <w:rsid w:val="00C56AE5"/>
    <w:rsid w:val="00C56BA5"/>
    <w:rsid w:val="00C56F47"/>
    <w:rsid w:val="00C57359"/>
    <w:rsid w:val="00C57C1C"/>
    <w:rsid w:val="00C57CAF"/>
    <w:rsid w:val="00C57CF9"/>
    <w:rsid w:val="00C57D7B"/>
    <w:rsid w:val="00C57EAE"/>
    <w:rsid w:val="00C6068A"/>
    <w:rsid w:val="00C60787"/>
    <w:rsid w:val="00C616B6"/>
    <w:rsid w:val="00C61CD8"/>
    <w:rsid w:val="00C625BA"/>
    <w:rsid w:val="00C62629"/>
    <w:rsid w:val="00C6276C"/>
    <w:rsid w:val="00C62EBB"/>
    <w:rsid w:val="00C63015"/>
    <w:rsid w:val="00C63155"/>
    <w:rsid w:val="00C634ED"/>
    <w:rsid w:val="00C635B3"/>
    <w:rsid w:val="00C639DE"/>
    <w:rsid w:val="00C63A9B"/>
    <w:rsid w:val="00C63B4F"/>
    <w:rsid w:val="00C63DB1"/>
    <w:rsid w:val="00C6417C"/>
    <w:rsid w:val="00C6431E"/>
    <w:rsid w:val="00C64493"/>
    <w:rsid w:val="00C64938"/>
    <w:rsid w:val="00C6546A"/>
    <w:rsid w:val="00C65563"/>
    <w:rsid w:val="00C65795"/>
    <w:rsid w:val="00C65A09"/>
    <w:rsid w:val="00C65DC2"/>
    <w:rsid w:val="00C661DB"/>
    <w:rsid w:val="00C662D0"/>
    <w:rsid w:val="00C670C6"/>
    <w:rsid w:val="00C67C18"/>
    <w:rsid w:val="00C67F1C"/>
    <w:rsid w:val="00C70EE4"/>
    <w:rsid w:val="00C711DB"/>
    <w:rsid w:val="00C71352"/>
    <w:rsid w:val="00C714D4"/>
    <w:rsid w:val="00C71640"/>
    <w:rsid w:val="00C719CB"/>
    <w:rsid w:val="00C71AE2"/>
    <w:rsid w:val="00C71DB9"/>
    <w:rsid w:val="00C72188"/>
    <w:rsid w:val="00C72F2F"/>
    <w:rsid w:val="00C7312D"/>
    <w:rsid w:val="00C735CA"/>
    <w:rsid w:val="00C73E2F"/>
    <w:rsid w:val="00C74B45"/>
    <w:rsid w:val="00C74BDD"/>
    <w:rsid w:val="00C74D8B"/>
    <w:rsid w:val="00C74DE0"/>
    <w:rsid w:val="00C75108"/>
    <w:rsid w:val="00C7531B"/>
    <w:rsid w:val="00C75370"/>
    <w:rsid w:val="00C7540A"/>
    <w:rsid w:val="00C75BE3"/>
    <w:rsid w:val="00C76420"/>
    <w:rsid w:val="00C7671B"/>
    <w:rsid w:val="00C767CE"/>
    <w:rsid w:val="00C76814"/>
    <w:rsid w:val="00C769AF"/>
    <w:rsid w:val="00C76AEB"/>
    <w:rsid w:val="00C76BF0"/>
    <w:rsid w:val="00C76D91"/>
    <w:rsid w:val="00C7711A"/>
    <w:rsid w:val="00C77580"/>
    <w:rsid w:val="00C77D1B"/>
    <w:rsid w:val="00C80233"/>
    <w:rsid w:val="00C8038C"/>
    <w:rsid w:val="00C8088D"/>
    <w:rsid w:val="00C81089"/>
    <w:rsid w:val="00C812A3"/>
    <w:rsid w:val="00C816BA"/>
    <w:rsid w:val="00C81924"/>
    <w:rsid w:val="00C823FC"/>
    <w:rsid w:val="00C82E6E"/>
    <w:rsid w:val="00C831BC"/>
    <w:rsid w:val="00C833B8"/>
    <w:rsid w:val="00C83E44"/>
    <w:rsid w:val="00C83FAD"/>
    <w:rsid w:val="00C8407D"/>
    <w:rsid w:val="00C8488C"/>
    <w:rsid w:val="00C848A9"/>
    <w:rsid w:val="00C85125"/>
    <w:rsid w:val="00C85997"/>
    <w:rsid w:val="00C85B13"/>
    <w:rsid w:val="00C85B7F"/>
    <w:rsid w:val="00C85F10"/>
    <w:rsid w:val="00C8647F"/>
    <w:rsid w:val="00C86AD7"/>
    <w:rsid w:val="00C87101"/>
    <w:rsid w:val="00C871DD"/>
    <w:rsid w:val="00C87BE8"/>
    <w:rsid w:val="00C87CB2"/>
    <w:rsid w:val="00C87DB9"/>
    <w:rsid w:val="00C906F6"/>
    <w:rsid w:val="00C90A6E"/>
    <w:rsid w:val="00C90E2E"/>
    <w:rsid w:val="00C910F1"/>
    <w:rsid w:val="00C92220"/>
    <w:rsid w:val="00C92F7D"/>
    <w:rsid w:val="00C93040"/>
    <w:rsid w:val="00C932FB"/>
    <w:rsid w:val="00C93BE4"/>
    <w:rsid w:val="00C93E79"/>
    <w:rsid w:val="00C93FF2"/>
    <w:rsid w:val="00C9440D"/>
    <w:rsid w:val="00C947B2"/>
    <w:rsid w:val="00C95245"/>
    <w:rsid w:val="00C954F8"/>
    <w:rsid w:val="00C95916"/>
    <w:rsid w:val="00C95A29"/>
    <w:rsid w:val="00C9600C"/>
    <w:rsid w:val="00C9604F"/>
    <w:rsid w:val="00C96057"/>
    <w:rsid w:val="00C9631A"/>
    <w:rsid w:val="00C96B9E"/>
    <w:rsid w:val="00C9743C"/>
    <w:rsid w:val="00C976DC"/>
    <w:rsid w:val="00C97DA9"/>
    <w:rsid w:val="00CA0781"/>
    <w:rsid w:val="00CA07B7"/>
    <w:rsid w:val="00CA0B43"/>
    <w:rsid w:val="00CA0C81"/>
    <w:rsid w:val="00CA0FE9"/>
    <w:rsid w:val="00CA1032"/>
    <w:rsid w:val="00CA1790"/>
    <w:rsid w:val="00CA1FB8"/>
    <w:rsid w:val="00CA207C"/>
    <w:rsid w:val="00CA2133"/>
    <w:rsid w:val="00CA215C"/>
    <w:rsid w:val="00CA21F0"/>
    <w:rsid w:val="00CA24DF"/>
    <w:rsid w:val="00CA2643"/>
    <w:rsid w:val="00CA2BE3"/>
    <w:rsid w:val="00CA368D"/>
    <w:rsid w:val="00CA36A2"/>
    <w:rsid w:val="00CA3B63"/>
    <w:rsid w:val="00CA3CD0"/>
    <w:rsid w:val="00CA42A2"/>
    <w:rsid w:val="00CA4424"/>
    <w:rsid w:val="00CA4646"/>
    <w:rsid w:val="00CA4697"/>
    <w:rsid w:val="00CA4BC1"/>
    <w:rsid w:val="00CA5ADB"/>
    <w:rsid w:val="00CA5CAB"/>
    <w:rsid w:val="00CA606A"/>
    <w:rsid w:val="00CA663D"/>
    <w:rsid w:val="00CA7851"/>
    <w:rsid w:val="00CA7901"/>
    <w:rsid w:val="00CA7A6D"/>
    <w:rsid w:val="00CA7B0A"/>
    <w:rsid w:val="00CB03E0"/>
    <w:rsid w:val="00CB0584"/>
    <w:rsid w:val="00CB05DA"/>
    <w:rsid w:val="00CB0797"/>
    <w:rsid w:val="00CB09BF"/>
    <w:rsid w:val="00CB0D6C"/>
    <w:rsid w:val="00CB1C52"/>
    <w:rsid w:val="00CB203F"/>
    <w:rsid w:val="00CB221C"/>
    <w:rsid w:val="00CB261E"/>
    <w:rsid w:val="00CB2A62"/>
    <w:rsid w:val="00CB3A6C"/>
    <w:rsid w:val="00CB3DB9"/>
    <w:rsid w:val="00CB3EAF"/>
    <w:rsid w:val="00CB4288"/>
    <w:rsid w:val="00CB42AE"/>
    <w:rsid w:val="00CB42C1"/>
    <w:rsid w:val="00CB432B"/>
    <w:rsid w:val="00CB47D8"/>
    <w:rsid w:val="00CB60CF"/>
    <w:rsid w:val="00CB6471"/>
    <w:rsid w:val="00CB64F0"/>
    <w:rsid w:val="00CB6784"/>
    <w:rsid w:val="00CB6CBD"/>
    <w:rsid w:val="00CB73F3"/>
    <w:rsid w:val="00CB7485"/>
    <w:rsid w:val="00CB76EC"/>
    <w:rsid w:val="00CB7EE3"/>
    <w:rsid w:val="00CB7F06"/>
    <w:rsid w:val="00CB7F37"/>
    <w:rsid w:val="00CC061F"/>
    <w:rsid w:val="00CC0825"/>
    <w:rsid w:val="00CC0E76"/>
    <w:rsid w:val="00CC12BE"/>
    <w:rsid w:val="00CC140D"/>
    <w:rsid w:val="00CC15D2"/>
    <w:rsid w:val="00CC1C8D"/>
    <w:rsid w:val="00CC1D7B"/>
    <w:rsid w:val="00CC1EF6"/>
    <w:rsid w:val="00CC2205"/>
    <w:rsid w:val="00CC22F7"/>
    <w:rsid w:val="00CC2C3D"/>
    <w:rsid w:val="00CC34DB"/>
    <w:rsid w:val="00CC3F0E"/>
    <w:rsid w:val="00CC3F93"/>
    <w:rsid w:val="00CC4567"/>
    <w:rsid w:val="00CC4B4F"/>
    <w:rsid w:val="00CC5045"/>
    <w:rsid w:val="00CC526B"/>
    <w:rsid w:val="00CC5373"/>
    <w:rsid w:val="00CC67CE"/>
    <w:rsid w:val="00CC69DA"/>
    <w:rsid w:val="00CC6F9F"/>
    <w:rsid w:val="00CC749F"/>
    <w:rsid w:val="00CC7EDC"/>
    <w:rsid w:val="00CC7FEE"/>
    <w:rsid w:val="00CD01A2"/>
    <w:rsid w:val="00CD029E"/>
    <w:rsid w:val="00CD0624"/>
    <w:rsid w:val="00CD073B"/>
    <w:rsid w:val="00CD08C0"/>
    <w:rsid w:val="00CD098E"/>
    <w:rsid w:val="00CD0A92"/>
    <w:rsid w:val="00CD0E1B"/>
    <w:rsid w:val="00CD0F32"/>
    <w:rsid w:val="00CD10C2"/>
    <w:rsid w:val="00CD1403"/>
    <w:rsid w:val="00CD1469"/>
    <w:rsid w:val="00CD1847"/>
    <w:rsid w:val="00CD1BA0"/>
    <w:rsid w:val="00CD2425"/>
    <w:rsid w:val="00CD2463"/>
    <w:rsid w:val="00CD2C79"/>
    <w:rsid w:val="00CD39F1"/>
    <w:rsid w:val="00CD3E9D"/>
    <w:rsid w:val="00CD4256"/>
    <w:rsid w:val="00CD4A51"/>
    <w:rsid w:val="00CD4F7C"/>
    <w:rsid w:val="00CD51B8"/>
    <w:rsid w:val="00CD52D4"/>
    <w:rsid w:val="00CD5BFB"/>
    <w:rsid w:val="00CD6921"/>
    <w:rsid w:val="00CD6C5F"/>
    <w:rsid w:val="00CD7119"/>
    <w:rsid w:val="00CD73A1"/>
    <w:rsid w:val="00CD7463"/>
    <w:rsid w:val="00CD76A7"/>
    <w:rsid w:val="00CD7817"/>
    <w:rsid w:val="00CD789D"/>
    <w:rsid w:val="00CD7D53"/>
    <w:rsid w:val="00CD7DE8"/>
    <w:rsid w:val="00CE07D2"/>
    <w:rsid w:val="00CE0B5D"/>
    <w:rsid w:val="00CE0B78"/>
    <w:rsid w:val="00CE0C54"/>
    <w:rsid w:val="00CE0E00"/>
    <w:rsid w:val="00CE1547"/>
    <w:rsid w:val="00CE1696"/>
    <w:rsid w:val="00CE1B59"/>
    <w:rsid w:val="00CE1BF0"/>
    <w:rsid w:val="00CE213C"/>
    <w:rsid w:val="00CE2897"/>
    <w:rsid w:val="00CE2A87"/>
    <w:rsid w:val="00CE2C5A"/>
    <w:rsid w:val="00CE2CAC"/>
    <w:rsid w:val="00CE30E9"/>
    <w:rsid w:val="00CE3275"/>
    <w:rsid w:val="00CE39AD"/>
    <w:rsid w:val="00CE3A84"/>
    <w:rsid w:val="00CE3CC7"/>
    <w:rsid w:val="00CE3D09"/>
    <w:rsid w:val="00CE400D"/>
    <w:rsid w:val="00CE4716"/>
    <w:rsid w:val="00CE471B"/>
    <w:rsid w:val="00CE51FF"/>
    <w:rsid w:val="00CE6285"/>
    <w:rsid w:val="00CE662E"/>
    <w:rsid w:val="00CE6B66"/>
    <w:rsid w:val="00CE6CA9"/>
    <w:rsid w:val="00CE72A5"/>
    <w:rsid w:val="00CE73EB"/>
    <w:rsid w:val="00CE75C8"/>
    <w:rsid w:val="00CE7C12"/>
    <w:rsid w:val="00CF00A7"/>
    <w:rsid w:val="00CF00F7"/>
    <w:rsid w:val="00CF03C3"/>
    <w:rsid w:val="00CF0AE7"/>
    <w:rsid w:val="00CF0AE9"/>
    <w:rsid w:val="00CF0CF1"/>
    <w:rsid w:val="00CF0E00"/>
    <w:rsid w:val="00CF14E4"/>
    <w:rsid w:val="00CF16FA"/>
    <w:rsid w:val="00CF1934"/>
    <w:rsid w:val="00CF2524"/>
    <w:rsid w:val="00CF2B2C"/>
    <w:rsid w:val="00CF2E05"/>
    <w:rsid w:val="00CF2FF1"/>
    <w:rsid w:val="00CF33DE"/>
    <w:rsid w:val="00CF3B3B"/>
    <w:rsid w:val="00CF3C7B"/>
    <w:rsid w:val="00CF3C99"/>
    <w:rsid w:val="00CF428A"/>
    <w:rsid w:val="00CF4CD1"/>
    <w:rsid w:val="00CF4F6C"/>
    <w:rsid w:val="00CF53E6"/>
    <w:rsid w:val="00CF5C91"/>
    <w:rsid w:val="00CF5CF2"/>
    <w:rsid w:val="00CF61FB"/>
    <w:rsid w:val="00CF6299"/>
    <w:rsid w:val="00CF6FF9"/>
    <w:rsid w:val="00CF70D8"/>
    <w:rsid w:val="00CF740B"/>
    <w:rsid w:val="00CF7470"/>
    <w:rsid w:val="00CF7820"/>
    <w:rsid w:val="00CF7915"/>
    <w:rsid w:val="00CF7AB4"/>
    <w:rsid w:val="00CF7FC4"/>
    <w:rsid w:val="00D0021B"/>
    <w:rsid w:val="00D004B1"/>
    <w:rsid w:val="00D008DD"/>
    <w:rsid w:val="00D011E8"/>
    <w:rsid w:val="00D01228"/>
    <w:rsid w:val="00D0142B"/>
    <w:rsid w:val="00D02335"/>
    <w:rsid w:val="00D0243C"/>
    <w:rsid w:val="00D02A2D"/>
    <w:rsid w:val="00D02C3E"/>
    <w:rsid w:val="00D02D71"/>
    <w:rsid w:val="00D032F5"/>
    <w:rsid w:val="00D038BD"/>
    <w:rsid w:val="00D03A63"/>
    <w:rsid w:val="00D03B29"/>
    <w:rsid w:val="00D03C63"/>
    <w:rsid w:val="00D041AA"/>
    <w:rsid w:val="00D04636"/>
    <w:rsid w:val="00D0485A"/>
    <w:rsid w:val="00D04A24"/>
    <w:rsid w:val="00D04AFF"/>
    <w:rsid w:val="00D04F3F"/>
    <w:rsid w:val="00D05162"/>
    <w:rsid w:val="00D0519F"/>
    <w:rsid w:val="00D05401"/>
    <w:rsid w:val="00D0543E"/>
    <w:rsid w:val="00D05D53"/>
    <w:rsid w:val="00D064E2"/>
    <w:rsid w:val="00D0654E"/>
    <w:rsid w:val="00D06AD5"/>
    <w:rsid w:val="00D07E61"/>
    <w:rsid w:val="00D07F12"/>
    <w:rsid w:val="00D1025D"/>
    <w:rsid w:val="00D108E5"/>
    <w:rsid w:val="00D1132E"/>
    <w:rsid w:val="00D11608"/>
    <w:rsid w:val="00D119B9"/>
    <w:rsid w:val="00D11AF7"/>
    <w:rsid w:val="00D11CCF"/>
    <w:rsid w:val="00D11E79"/>
    <w:rsid w:val="00D1245D"/>
    <w:rsid w:val="00D1298F"/>
    <w:rsid w:val="00D12C39"/>
    <w:rsid w:val="00D130EA"/>
    <w:rsid w:val="00D132CA"/>
    <w:rsid w:val="00D13E53"/>
    <w:rsid w:val="00D13F38"/>
    <w:rsid w:val="00D140A4"/>
    <w:rsid w:val="00D15094"/>
    <w:rsid w:val="00D15759"/>
    <w:rsid w:val="00D158C9"/>
    <w:rsid w:val="00D15930"/>
    <w:rsid w:val="00D15A25"/>
    <w:rsid w:val="00D15B16"/>
    <w:rsid w:val="00D15E0D"/>
    <w:rsid w:val="00D16050"/>
    <w:rsid w:val="00D1643E"/>
    <w:rsid w:val="00D16564"/>
    <w:rsid w:val="00D16945"/>
    <w:rsid w:val="00D16DC2"/>
    <w:rsid w:val="00D16EC7"/>
    <w:rsid w:val="00D172CB"/>
    <w:rsid w:val="00D178DD"/>
    <w:rsid w:val="00D17ACE"/>
    <w:rsid w:val="00D17B85"/>
    <w:rsid w:val="00D17CF5"/>
    <w:rsid w:val="00D2074D"/>
    <w:rsid w:val="00D20EF8"/>
    <w:rsid w:val="00D21346"/>
    <w:rsid w:val="00D21544"/>
    <w:rsid w:val="00D219C7"/>
    <w:rsid w:val="00D21BE3"/>
    <w:rsid w:val="00D21E7D"/>
    <w:rsid w:val="00D21FF1"/>
    <w:rsid w:val="00D2267B"/>
    <w:rsid w:val="00D226D1"/>
    <w:rsid w:val="00D22749"/>
    <w:rsid w:val="00D227C6"/>
    <w:rsid w:val="00D22F1F"/>
    <w:rsid w:val="00D23031"/>
    <w:rsid w:val="00D232DC"/>
    <w:rsid w:val="00D233C3"/>
    <w:rsid w:val="00D237C1"/>
    <w:rsid w:val="00D2426A"/>
    <w:rsid w:val="00D250A6"/>
    <w:rsid w:val="00D2512D"/>
    <w:rsid w:val="00D252CA"/>
    <w:rsid w:val="00D25594"/>
    <w:rsid w:val="00D258B3"/>
    <w:rsid w:val="00D25BFD"/>
    <w:rsid w:val="00D25E73"/>
    <w:rsid w:val="00D25FE8"/>
    <w:rsid w:val="00D269EA"/>
    <w:rsid w:val="00D26A9D"/>
    <w:rsid w:val="00D26B13"/>
    <w:rsid w:val="00D272B6"/>
    <w:rsid w:val="00D274C1"/>
    <w:rsid w:val="00D30B30"/>
    <w:rsid w:val="00D3136A"/>
    <w:rsid w:val="00D31C45"/>
    <w:rsid w:val="00D31ECB"/>
    <w:rsid w:val="00D3287D"/>
    <w:rsid w:val="00D32A03"/>
    <w:rsid w:val="00D337FF"/>
    <w:rsid w:val="00D3396E"/>
    <w:rsid w:val="00D33ACF"/>
    <w:rsid w:val="00D33B44"/>
    <w:rsid w:val="00D33BA6"/>
    <w:rsid w:val="00D33C70"/>
    <w:rsid w:val="00D33CD3"/>
    <w:rsid w:val="00D33F3B"/>
    <w:rsid w:val="00D34226"/>
    <w:rsid w:val="00D34892"/>
    <w:rsid w:val="00D34CA7"/>
    <w:rsid w:val="00D34CF7"/>
    <w:rsid w:val="00D356C9"/>
    <w:rsid w:val="00D35DB7"/>
    <w:rsid w:val="00D35F72"/>
    <w:rsid w:val="00D362DA"/>
    <w:rsid w:val="00D367E0"/>
    <w:rsid w:val="00D36F4D"/>
    <w:rsid w:val="00D3744B"/>
    <w:rsid w:val="00D37562"/>
    <w:rsid w:val="00D378F8"/>
    <w:rsid w:val="00D379EC"/>
    <w:rsid w:val="00D37B16"/>
    <w:rsid w:val="00D37BA0"/>
    <w:rsid w:val="00D4076C"/>
    <w:rsid w:val="00D4089E"/>
    <w:rsid w:val="00D40B93"/>
    <w:rsid w:val="00D40DB0"/>
    <w:rsid w:val="00D4109F"/>
    <w:rsid w:val="00D411D4"/>
    <w:rsid w:val="00D41C5E"/>
    <w:rsid w:val="00D42444"/>
    <w:rsid w:val="00D426D3"/>
    <w:rsid w:val="00D428F7"/>
    <w:rsid w:val="00D42BD9"/>
    <w:rsid w:val="00D4327D"/>
    <w:rsid w:val="00D43712"/>
    <w:rsid w:val="00D43892"/>
    <w:rsid w:val="00D43F6D"/>
    <w:rsid w:val="00D45DAB"/>
    <w:rsid w:val="00D45F3E"/>
    <w:rsid w:val="00D4645A"/>
    <w:rsid w:val="00D46462"/>
    <w:rsid w:val="00D467C9"/>
    <w:rsid w:val="00D46A87"/>
    <w:rsid w:val="00D46B1D"/>
    <w:rsid w:val="00D46ECE"/>
    <w:rsid w:val="00D471FC"/>
    <w:rsid w:val="00D47749"/>
    <w:rsid w:val="00D47B8E"/>
    <w:rsid w:val="00D47BDF"/>
    <w:rsid w:val="00D50C31"/>
    <w:rsid w:val="00D50DF4"/>
    <w:rsid w:val="00D51409"/>
    <w:rsid w:val="00D51A8D"/>
    <w:rsid w:val="00D522D2"/>
    <w:rsid w:val="00D524A3"/>
    <w:rsid w:val="00D526E7"/>
    <w:rsid w:val="00D5321C"/>
    <w:rsid w:val="00D53723"/>
    <w:rsid w:val="00D5376C"/>
    <w:rsid w:val="00D5389B"/>
    <w:rsid w:val="00D53C4F"/>
    <w:rsid w:val="00D5487B"/>
    <w:rsid w:val="00D552B2"/>
    <w:rsid w:val="00D5531B"/>
    <w:rsid w:val="00D557F6"/>
    <w:rsid w:val="00D55B8F"/>
    <w:rsid w:val="00D55F0C"/>
    <w:rsid w:val="00D561CD"/>
    <w:rsid w:val="00D5663D"/>
    <w:rsid w:val="00D5708C"/>
    <w:rsid w:val="00D57592"/>
    <w:rsid w:val="00D57F7B"/>
    <w:rsid w:val="00D6013E"/>
    <w:rsid w:val="00D603EA"/>
    <w:rsid w:val="00D60418"/>
    <w:rsid w:val="00D60693"/>
    <w:rsid w:val="00D60A95"/>
    <w:rsid w:val="00D6236A"/>
    <w:rsid w:val="00D62473"/>
    <w:rsid w:val="00D62BBA"/>
    <w:rsid w:val="00D62E51"/>
    <w:rsid w:val="00D6329B"/>
    <w:rsid w:val="00D637F3"/>
    <w:rsid w:val="00D6388A"/>
    <w:rsid w:val="00D63A2E"/>
    <w:rsid w:val="00D647CE"/>
    <w:rsid w:val="00D649A0"/>
    <w:rsid w:val="00D64A06"/>
    <w:rsid w:val="00D64F14"/>
    <w:rsid w:val="00D65234"/>
    <w:rsid w:val="00D657F1"/>
    <w:rsid w:val="00D659E0"/>
    <w:rsid w:val="00D65A23"/>
    <w:rsid w:val="00D66158"/>
    <w:rsid w:val="00D661E6"/>
    <w:rsid w:val="00D664AB"/>
    <w:rsid w:val="00D666EA"/>
    <w:rsid w:val="00D66BFC"/>
    <w:rsid w:val="00D66F05"/>
    <w:rsid w:val="00D6722B"/>
    <w:rsid w:val="00D673B3"/>
    <w:rsid w:val="00D67E34"/>
    <w:rsid w:val="00D701CC"/>
    <w:rsid w:val="00D7022D"/>
    <w:rsid w:val="00D707EA"/>
    <w:rsid w:val="00D709DB"/>
    <w:rsid w:val="00D70B31"/>
    <w:rsid w:val="00D70D5B"/>
    <w:rsid w:val="00D70E46"/>
    <w:rsid w:val="00D71023"/>
    <w:rsid w:val="00D715EE"/>
    <w:rsid w:val="00D718B8"/>
    <w:rsid w:val="00D71D11"/>
    <w:rsid w:val="00D72022"/>
    <w:rsid w:val="00D7233A"/>
    <w:rsid w:val="00D72773"/>
    <w:rsid w:val="00D73ABB"/>
    <w:rsid w:val="00D73D18"/>
    <w:rsid w:val="00D73D77"/>
    <w:rsid w:val="00D73D7C"/>
    <w:rsid w:val="00D73DA9"/>
    <w:rsid w:val="00D73E43"/>
    <w:rsid w:val="00D73E68"/>
    <w:rsid w:val="00D73EDF"/>
    <w:rsid w:val="00D745F9"/>
    <w:rsid w:val="00D747F3"/>
    <w:rsid w:val="00D7483E"/>
    <w:rsid w:val="00D74DC6"/>
    <w:rsid w:val="00D7555D"/>
    <w:rsid w:val="00D7562B"/>
    <w:rsid w:val="00D75BB5"/>
    <w:rsid w:val="00D75E51"/>
    <w:rsid w:val="00D75F4D"/>
    <w:rsid w:val="00D760D7"/>
    <w:rsid w:val="00D761E5"/>
    <w:rsid w:val="00D7695B"/>
    <w:rsid w:val="00D76A63"/>
    <w:rsid w:val="00D76B30"/>
    <w:rsid w:val="00D76F61"/>
    <w:rsid w:val="00D771EC"/>
    <w:rsid w:val="00D772B6"/>
    <w:rsid w:val="00D7760C"/>
    <w:rsid w:val="00D776CA"/>
    <w:rsid w:val="00D77BD1"/>
    <w:rsid w:val="00D80105"/>
    <w:rsid w:val="00D8071F"/>
    <w:rsid w:val="00D80E66"/>
    <w:rsid w:val="00D8100D"/>
    <w:rsid w:val="00D81589"/>
    <w:rsid w:val="00D815F5"/>
    <w:rsid w:val="00D8183F"/>
    <w:rsid w:val="00D81A4A"/>
    <w:rsid w:val="00D81DDF"/>
    <w:rsid w:val="00D826A4"/>
    <w:rsid w:val="00D828A9"/>
    <w:rsid w:val="00D82AD1"/>
    <w:rsid w:val="00D83985"/>
    <w:rsid w:val="00D83CD7"/>
    <w:rsid w:val="00D84388"/>
    <w:rsid w:val="00D845CE"/>
    <w:rsid w:val="00D8461C"/>
    <w:rsid w:val="00D8483F"/>
    <w:rsid w:val="00D853D8"/>
    <w:rsid w:val="00D8565F"/>
    <w:rsid w:val="00D859F3"/>
    <w:rsid w:val="00D85BAA"/>
    <w:rsid w:val="00D85CA2"/>
    <w:rsid w:val="00D85CB6"/>
    <w:rsid w:val="00D86383"/>
    <w:rsid w:val="00D86F66"/>
    <w:rsid w:val="00D8708A"/>
    <w:rsid w:val="00D871C5"/>
    <w:rsid w:val="00D8769F"/>
    <w:rsid w:val="00D87728"/>
    <w:rsid w:val="00D87DE9"/>
    <w:rsid w:val="00D90464"/>
    <w:rsid w:val="00D907FB"/>
    <w:rsid w:val="00D90B11"/>
    <w:rsid w:val="00D90C9B"/>
    <w:rsid w:val="00D90CCA"/>
    <w:rsid w:val="00D90F1B"/>
    <w:rsid w:val="00D9163C"/>
    <w:rsid w:val="00D91C62"/>
    <w:rsid w:val="00D92956"/>
    <w:rsid w:val="00D92F49"/>
    <w:rsid w:val="00D92F88"/>
    <w:rsid w:val="00D93400"/>
    <w:rsid w:val="00D93B54"/>
    <w:rsid w:val="00D9412B"/>
    <w:rsid w:val="00D94602"/>
    <w:rsid w:val="00D9486A"/>
    <w:rsid w:val="00D949CF"/>
    <w:rsid w:val="00D94D7A"/>
    <w:rsid w:val="00D95356"/>
    <w:rsid w:val="00D95366"/>
    <w:rsid w:val="00D95587"/>
    <w:rsid w:val="00D956B2"/>
    <w:rsid w:val="00D957A0"/>
    <w:rsid w:val="00D95806"/>
    <w:rsid w:val="00D95950"/>
    <w:rsid w:val="00D968B4"/>
    <w:rsid w:val="00D96CBB"/>
    <w:rsid w:val="00D96E41"/>
    <w:rsid w:val="00D97435"/>
    <w:rsid w:val="00D9795A"/>
    <w:rsid w:val="00D97ADC"/>
    <w:rsid w:val="00DA0335"/>
    <w:rsid w:val="00DA0A65"/>
    <w:rsid w:val="00DA1B75"/>
    <w:rsid w:val="00DA1BC6"/>
    <w:rsid w:val="00DA24C6"/>
    <w:rsid w:val="00DA250D"/>
    <w:rsid w:val="00DA2AA1"/>
    <w:rsid w:val="00DA32AE"/>
    <w:rsid w:val="00DA34B4"/>
    <w:rsid w:val="00DA3913"/>
    <w:rsid w:val="00DA39DA"/>
    <w:rsid w:val="00DA3EA0"/>
    <w:rsid w:val="00DA52F2"/>
    <w:rsid w:val="00DA54A9"/>
    <w:rsid w:val="00DA587A"/>
    <w:rsid w:val="00DA58DE"/>
    <w:rsid w:val="00DA5AFF"/>
    <w:rsid w:val="00DA5DA5"/>
    <w:rsid w:val="00DA6EA2"/>
    <w:rsid w:val="00DA6F74"/>
    <w:rsid w:val="00DA6FAF"/>
    <w:rsid w:val="00DA70E5"/>
    <w:rsid w:val="00DA7209"/>
    <w:rsid w:val="00DA73BA"/>
    <w:rsid w:val="00DA73ED"/>
    <w:rsid w:val="00DA7C3D"/>
    <w:rsid w:val="00DB0DC0"/>
    <w:rsid w:val="00DB0E6A"/>
    <w:rsid w:val="00DB0E70"/>
    <w:rsid w:val="00DB0F78"/>
    <w:rsid w:val="00DB1083"/>
    <w:rsid w:val="00DB1411"/>
    <w:rsid w:val="00DB179A"/>
    <w:rsid w:val="00DB1BD4"/>
    <w:rsid w:val="00DB1D9B"/>
    <w:rsid w:val="00DB1FB2"/>
    <w:rsid w:val="00DB22CD"/>
    <w:rsid w:val="00DB27B0"/>
    <w:rsid w:val="00DB2904"/>
    <w:rsid w:val="00DB2D33"/>
    <w:rsid w:val="00DB2F94"/>
    <w:rsid w:val="00DB301C"/>
    <w:rsid w:val="00DB34BD"/>
    <w:rsid w:val="00DB47C8"/>
    <w:rsid w:val="00DB483F"/>
    <w:rsid w:val="00DB4AEC"/>
    <w:rsid w:val="00DB4EA0"/>
    <w:rsid w:val="00DB53F0"/>
    <w:rsid w:val="00DB5B38"/>
    <w:rsid w:val="00DB5CDE"/>
    <w:rsid w:val="00DB606B"/>
    <w:rsid w:val="00DB618F"/>
    <w:rsid w:val="00DB6921"/>
    <w:rsid w:val="00DB69EB"/>
    <w:rsid w:val="00DB6A4E"/>
    <w:rsid w:val="00DB6BBD"/>
    <w:rsid w:val="00DB7001"/>
    <w:rsid w:val="00DB7543"/>
    <w:rsid w:val="00DB7621"/>
    <w:rsid w:val="00DB78B1"/>
    <w:rsid w:val="00DB7ADF"/>
    <w:rsid w:val="00DB7C3D"/>
    <w:rsid w:val="00DC05AA"/>
    <w:rsid w:val="00DC062F"/>
    <w:rsid w:val="00DC0F55"/>
    <w:rsid w:val="00DC100D"/>
    <w:rsid w:val="00DC150F"/>
    <w:rsid w:val="00DC159C"/>
    <w:rsid w:val="00DC15AC"/>
    <w:rsid w:val="00DC16E1"/>
    <w:rsid w:val="00DC2137"/>
    <w:rsid w:val="00DC2823"/>
    <w:rsid w:val="00DC2A8C"/>
    <w:rsid w:val="00DC2BE5"/>
    <w:rsid w:val="00DC2ED9"/>
    <w:rsid w:val="00DC2F62"/>
    <w:rsid w:val="00DC30C1"/>
    <w:rsid w:val="00DC312E"/>
    <w:rsid w:val="00DC3450"/>
    <w:rsid w:val="00DC3494"/>
    <w:rsid w:val="00DC35CC"/>
    <w:rsid w:val="00DC39DE"/>
    <w:rsid w:val="00DC3B87"/>
    <w:rsid w:val="00DC3F44"/>
    <w:rsid w:val="00DC5579"/>
    <w:rsid w:val="00DC55B6"/>
    <w:rsid w:val="00DC5ADD"/>
    <w:rsid w:val="00DC5C4D"/>
    <w:rsid w:val="00DC6C4E"/>
    <w:rsid w:val="00DC7365"/>
    <w:rsid w:val="00DC772C"/>
    <w:rsid w:val="00DC7B2B"/>
    <w:rsid w:val="00DC7EED"/>
    <w:rsid w:val="00DD009A"/>
    <w:rsid w:val="00DD019C"/>
    <w:rsid w:val="00DD0A10"/>
    <w:rsid w:val="00DD0A60"/>
    <w:rsid w:val="00DD14EE"/>
    <w:rsid w:val="00DD1989"/>
    <w:rsid w:val="00DD19E6"/>
    <w:rsid w:val="00DD1B33"/>
    <w:rsid w:val="00DD256E"/>
    <w:rsid w:val="00DD2648"/>
    <w:rsid w:val="00DD2C81"/>
    <w:rsid w:val="00DD3367"/>
    <w:rsid w:val="00DD33AF"/>
    <w:rsid w:val="00DD33B1"/>
    <w:rsid w:val="00DD3732"/>
    <w:rsid w:val="00DD3B4A"/>
    <w:rsid w:val="00DD421A"/>
    <w:rsid w:val="00DD427F"/>
    <w:rsid w:val="00DD43BD"/>
    <w:rsid w:val="00DD49E2"/>
    <w:rsid w:val="00DD49EF"/>
    <w:rsid w:val="00DD4A52"/>
    <w:rsid w:val="00DD4D30"/>
    <w:rsid w:val="00DD50C9"/>
    <w:rsid w:val="00DD51A8"/>
    <w:rsid w:val="00DD5781"/>
    <w:rsid w:val="00DD58A0"/>
    <w:rsid w:val="00DD5CB1"/>
    <w:rsid w:val="00DD60A4"/>
    <w:rsid w:val="00DD63F2"/>
    <w:rsid w:val="00DD64A9"/>
    <w:rsid w:val="00DD6D02"/>
    <w:rsid w:val="00DD6D76"/>
    <w:rsid w:val="00DD7298"/>
    <w:rsid w:val="00DD7761"/>
    <w:rsid w:val="00DD780F"/>
    <w:rsid w:val="00DD7A0F"/>
    <w:rsid w:val="00DD7F34"/>
    <w:rsid w:val="00DE0457"/>
    <w:rsid w:val="00DE0633"/>
    <w:rsid w:val="00DE0A91"/>
    <w:rsid w:val="00DE0B5F"/>
    <w:rsid w:val="00DE0C5A"/>
    <w:rsid w:val="00DE0D20"/>
    <w:rsid w:val="00DE116E"/>
    <w:rsid w:val="00DE1536"/>
    <w:rsid w:val="00DE1BBC"/>
    <w:rsid w:val="00DE1C3C"/>
    <w:rsid w:val="00DE1D01"/>
    <w:rsid w:val="00DE1D37"/>
    <w:rsid w:val="00DE2344"/>
    <w:rsid w:val="00DE2392"/>
    <w:rsid w:val="00DE23F3"/>
    <w:rsid w:val="00DE2933"/>
    <w:rsid w:val="00DE2A11"/>
    <w:rsid w:val="00DE2EB8"/>
    <w:rsid w:val="00DE2FEC"/>
    <w:rsid w:val="00DE36EF"/>
    <w:rsid w:val="00DE3730"/>
    <w:rsid w:val="00DE3A5E"/>
    <w:rsid w:val="00DE3EF8"/>
    <w:rsid w:val="00DE4218"/>
    <w:rsid w:val="00DE4347"/>
    <w:rsid w:val="00DE44FB"/>
    <w:rsid w:val="00DE4521"/>
    <w:rsid w:val="00DE47A7"/>
    <w:rsid w:val="00DE47EC"/>
    <w:rsid w:val="00DE4889"/>
    <w:rsid w:val="00DE50DB"/>
    <w:rsid w:val="00DE5B9D"/>
    <w:rsid w:val="00DE6B15"/>
    <w:rsid w:val="00DE6C7D"/>
    <w:rsid w:val="00DE6F86"/>
    <w:rsid w:val="00DE76B2"/>
    <w:rsid w:val="00DE76C3"/>
    <w:rsid w:val="00DE79E8"/>
    <w:rsid w:val="00DE7B73"/>
    <w:rsid w:val="00DF032F"/>
    <w:rsid w:val="00DF08A3"/>
    <w:rsid w:val="00DF0A41"/>
    <w:rsid w:val="00DF106F"/>
    <w:rsid w:val="00DF109A"/>
    <w:rsid w:val="00DF2B94"/>
    <w:rsid w:val="00DF2C64"/>
    <w:rsid w:val="00DF3013"/>
    <w:rsid w:val="00DF3125"/>
    <w:rsid w:val="00DF3391"/>
    <w:rsid w:val="00DF3529"/>
    <w:rsid w:val="00DF3AE1"/>
    <w:rsid w:val="00DF3D3C"/>
    <w:rsid w:val="00DF4230"/>
    <w:rsid w:val="00DF450B"/>
    <w:rsid w:val="00DF4F1B"/>
    <w:rsid w:val="00DF5BE8"/>
    <w:rsid w:val="00DF5EBF"/>
    <w:rsid w:val="00DF6138"/>
    <w:rsid w:val="00DF6238"/>
    <w:rsid w:val="00DF631B"/>
    <w:rsid w:val="00DF63B4"/>
    <w:rsid w:val="00DF65A8"/>
    <w:rsid w:val="00DF66F7"/>
    <w:rsid w:val="00DF6BD9"/>
    <w:rsid w:val="00DF6C0C"/>
    <w:rsid w:val="00DF7348"/>
    <w:rsid w:val="00DF769F"/>
    <w:rsid w:val="00DF774F"/>
    <w:rsid w:val="00DF7A3A"/>
    <w:rsid w:val="00DF7EE9"/>
    <w:rsid w:val="00E000EC"/>
    <w:rsid w:val="00E0072F"/>
    <w:rsid w:val="00E00C35"/>
    <w:rsid w:val="00E00E21"/>
    <w:rsid w:val="00E01097"/>
    <w:rsid w:val="00E011D0"/>
    <w:rsid w:val="00E01353"/>
    <w:rsid w:val="00E01C6E"/>
    <w:rsid w:val="00E01E87"/>
    <w:rsid w:val="00E01F99"/>
    <w:rsid w:val="00E02121"/>
    <w:rsid w:val="00E0291A"/>
    <w:rsid w:val="00E02B52"/>
    <w:rsid w:val="00E02CC2"/>
    <w:rsid w:val="00E03A4F"/>
    <w:rsid w:val="00E03D12"/>
    <w:rsid w:val="00E03DDF"/>
    <w:rsid w:val="00E03E22"/>
    <w:rsid w:val="00E042BA"/>
    <w:rsid w:val="00E04BF8"/>
    <w:rsid w:val="00E0510E"/>
    <w:rsid w:val="00E05D47"/>
    <w:rsid w:val="00E05DD8"/>
    <w:rsid w:val="00E061C6"/>
    <w:rsid w:val="00E06AA5"/>
    <w:rsid w:val="00E06AB2"/>
    <w:rsid w:val="00E06DF8"/>
    <w:rsid w:val="00E06FF8"/>
    <w:rsid w:val="00E07312"/>
    <w:rsid w:val="00E075D1"/>
    <w:rsid w:val="00E104E9"/>
    <w:rsid w:val="00E1079A"/>
    <w:rsid w:val="00E10ADC"/>
    <w:rsid w:val="00E10C87"/>
    <w:rsid w:val="00E10F5E"/>
    <w:rsid w:val="00E1124E"/>
    <w:rsid w:val="00E11584"/>
    <w:rsid w:val="00E11B86"/>
    <w:rsid w:val="00E120DE"/>
    <w:rsid w:val="00E13682"/>
    <w:rsid w:val="00E1418D"/>
    <w:rsid w:val="00E14614"/>
    <w:rsid w:val="00E14C87"/>
    <w:rsid w:val="00E14D70"/>
    <w:rsid w:val="00E14DDE"/>
    <w:rsid w:val="00E14FEC"/>
    <w:rsid w:val="00E15797"/>
    <w:rsid w:val="00E160D6"/>
    <w:rsid w:val="00E16807"/>
    <w:rsid w:val="00E16A4E"/>
    <w:rsid w:val="00E16B7A"/>
    <w:rsid w:val="00E2034D"/>
    <w:rsid w:val="00E206A5"/>
    <w:rsid w:val="00E20F5B"/>
    <w:rsid w:val="00E2113A"/>
    <w:rsid w:val="00E21340"/>
    <w:rsid w:val="00E2180C"/>
    <w:rsid w:val="00E2325A"/>
    <w:rsid w:val="00E235F7"/>
    <w:rsid w:val="00E238AD"/>
    <w:rsid w:val="00E23C79"/>
    <w:rsid w:val="00E240C2"/>
    <w:rsid w:val="00E245E1"/>
    <w:rsid w:val="00E25101"/>
    <w:rsid w:val="00E25402"/>
    <w:rsid w:val="00E254BF"/>
    <w:rsid w:val="00E25591"/>
    <w:rsid w:val="00E25F6E"/>
    <w:rsid w:val="00E25F94"/>
    <w:rsid w:val="00E26A49"/>
    <w:rsid w:val="00E26C4F"/>
    <w:rsid w:val="00E26FF5"/>
    <w:rsid w:val="00E27341"/>
    <w:rsid w:val="00E273FA"/>
    <w:rsid w:val="00E27941"/>
    <w:rsid w:val="00E27F1D"/>
    <w:rsid w:val="00E30157"/>
    <w:rsid w:val="00E307A1"/>
    <w:rsid w:val="00E307F1"/>
    <w:rsid w:val="00E310AD"/>
    <w:rsid w:val="00E314D1"/>
    <w:rsid w:val="00E31794"/>
    <w:rsid w:val="00E3192C"/>
    <w:rsid w:val="00E31ACC"/>
    <w:rsid w:val="00E31E26"/>
    <w:rsid w:val="00E321ED"/>
    <w:rsid w:val="00E327C2"/>
    <w:rsid w:val="00E3291F"/>
    <w:rsid w:val="00E32950"/>
    <w:rsid w:val="00E33209"/>
    <w:rsid w:val="00E3399D"/>
    <w:rsid w:val="00E343F9"/>
    <w:rsid w:val="00E34C7D"/>
    <w:rsid w:val="00E34E04"/>
    <w:rsid w:val="00E35474"/>
    <w:rsid w:val="00E3576C"/>
    <w:rsid w:val="00E35BBF"/>
    <w:rsid w:val="00E35DAC"/>
    <w:rsid w:val="00E36BD9"/>
    <w:rsid w:val="00E36C17"/>
    <w:rsid w:val="00E37014"/>
    <w:rsid w:val="00E379BD"/>
    <w:rsid w:val="00E37D33"/>
    <w:rsid w:val="00E4055F"/>
    <w:rsid w:val="00E40977"/>
    <w:rsid w:val="00E409E2"/>
    <w:rsid w:val="00E4110B"/>
    <w:rsid w:val="00E41629"/>
    <w:rsid w:val="00E42994"/>
    <w:rsid w:val="00E42A17"/>
    <w:rsid w:val="00E42A8A"/>
    <w:rsid w:val="00E43196"/>
    <w:rsid w:val="00E437E5"/>
    <w:rsid w:val="00E43813"/>
    <w:rsid w:val="00E441DC"/>
    <w:rsid w:val="00E44544"/>
    <w:rsid w:val="00E445D5"/>
    <w:rsid w:val="00E44BD0"/>
    <w:rsid w:val="00E454E9"/>
    <w:rsid w:val="00E455FC"/>
    <w:rsid w:val="00E45A95"/>
    <w:rsid w:val="00E45B1F"/>
    <w:rsid w:val="00E4639A"/>
    <w:rsid w:val="00E46BF2"/>
    <w:rsid w:val="00E47000"/>
    <w:rsid w:val="00E471B5"/>
    <w:rsid w:val="00E472EB"/>
    <w:rsid w:val="00E47B23"/>
    <w:rsid w:val="00E47B31"/>
    <w:rsid w:val="00E47BAC"/>
    <w:rsid w:val="00E50595"/>
    <w:rsid w:val="00E506DB"/>
    <w:rsid w:val="00E50C6D"/>
    <w:rsid w:val="00E513E7"/>
    <w:rsid w:val="00E51681"/>
    <w:rsid w:val="00E525DE"/>
    <w:rsid w:val="00E52A20"/>
    <w:rsid w:val="00E52D4A"/>
    <w:rsid w:val="00E530DF"/>
    <w:rsid w:val="00E5336E"/>
    <w:rsid w:val="00E5396F"/>
    <w:rsid w:val="00E53F9E"/>
    <w:rsid w:val="00E543BC"/>
    <w:rsid w:val="00E54662"/>
    <w:rsid w:val="00E54EFC"/>
    <w:rsid w:val="00E54F60"/>
    <w:rsid w:val="00E551F6"/>
    <w:rsid w:val="00E552B2"/>
    <w:rsid w:val="00E5596C"/>
    <w:rsid w:val="00E564FD"/>
    <w:rsid w:val="00E565EC"/>
    <w:rsid w:val="00E56D57"/>
    <w:rsid w:val="00E56FFF"/>
    <w:rsid w:val="00E5792E"/>
    <w:rsid w:val="00E57A36"/>
    <w:rsid w:val="00E57CA4"/>
    <w:rsid w:val="00E600B2"/>
    <w:rsid w:val="00E60259"/>
    <w:rsid w:val="00E60486"/>
    <w:rsid w:val="00E6095D"/>
    <w:rsid w:val="00E60BDE"/>
    <w:rsid w:val="00E6116F"/>
    <w:rsid w:val="00E61789"/>
    <w:rsid w:val="00E61905"/>
    <w:rsid w:val="00E61D02"/>
    <w:rsid w:val="00E62150"/>
    <w:rsid w:val="00E622DF"/>
    <w:rsid w:val="00E624F5"/>
    <w:rsid w:val="00E626D0"/>
    <w:rsid w:val="00E626E8"/>
    <w:rsid w:val="00E62A8D"/>
    <w:rsid w:val="00E631EE"/>
    <w:rsid w:val="00E63472"/>
    <w:rsid w:val="00E63988"/>
    <w:rsid w:val="00E63D41"/>
    <w:rsid w:val="00E63D97"/>
    <w:rsid w:val="00E63FF8"/>
    <w:rsid w:val="00E64051"/>
    <w:rsid w:val="00E64B10"/>
    <w:rsid w:val="00E64DF5"/>
    <w:rsid w:val="00E651EB"/>
    <w:rsid w:val="00E657B7"/>
    <w:rsid w:val="00E65AB8"/>
    <w:rsid w:val="00E65BE6"/>
    <w:rsid w:val="00E65CFF"/>
    <w:rsid w:val="00E660A7"/>
    <w:rsid w:val="00E6614B"/>
    <w:rsid w:val="00E66675"/>
    <w:rsid w:val="00E6684B"/>
    <w:rsid w:val="00E66928"/>
    <w:rsid w:val="00E66B09"/>
    <w:rsid w:val="00E6724B"/>
    <w:rsid w:val="00E67918"/>
    <w:rsid w:val="00E67CF0"/>
    <w:rsid w:val="00E70622"/>
    <w:rsid w:val="00E70A1C"/>
    <w:rsid w:val="00E70DCC"/>
    <w:rsid w:val="00E70F6D"/>
    <w:rsid w:val="00E70FE7"/>
    <w:rsid w:val="00E71596"/>
    <w:rsid w:val="00E71684"/>
    <w:rsid w:val="00E7182F"/>
    <w:rsid w:val="00E71BB4"/>
    <w:rsid w:val="00E7255D"/>
    <w:rsid w:val="00E72F72"/>
    <w:rsid w:val="00E72F9A"/>
    <w:rsid w:val="00E73B48"/>
    <w:rsid w:val="00E74295"/>
    <w:rsid w:val="00E743AB"/>
    <w:rsid w:val="00E743C8"/>
    <w:rsid w:val="00E74881"/>
    <w:rsid w:val="00E74ECD"/>
    <w:rsid w:val="00E75290"/>
    <w:rsid w:val="00E759BC"/>
    <w:rsid w:val="00E75A18"/>
    <w:rsid w:val="00E75DF3"/>
    <w:rsid w:val="00E76006"/>
    <w:rsid w:val="00E76050"/>
    <w:rsid w:val="00E76156"/>
    <w:rsid w:val="00E769C1"/>
    <w:rsid w:val="00E77160"/>
    <w:rsid w:val="00E772CA"/>
    <w:rsid w:val="00E775F5"/>
    <w:rsid w:val="00E77748"/>
    <w:rsid w:val="00E778FD"/>
    <w:rsid w:val="00E77B34"/>
    <w:rsid w:val="00E77BC0"/>
    <w:rsid w:val="00E77F99"/>
    <w:rsid w:val="00E80261"/>
    <w:rsid w:val="00E80B31"/>
    <w:rsid w:val="00E8115B"/>
    <w:rsid w:val="00E8167C"/>
    <w:rsid w:val="00E81AEF"/>
    <w:rsid w:val="00E81B58"/>
    <w:rsid w:val="00E8282C"/>
    <w:rsid w:val="00E83359"/>
    <w:rsid w:val="00E839A5"/>
    <w:rsid w:val="00E83AA9"/>
    <w:rsid w:val="00E83FD8"/>
    <w:rsid w:val="00E84267"/>
    <w:rsid w:val="00E845B3"/>
    <w:rsid w:val="00E84D99"/>
    <w:rsid w:val="00E84EFF"/>
    <w:rsid w:val="00E85441"/>
    <w:rsid w:val="00E85612"/>
    <w:rsid w:val="00E85963"/>
    <w:rsid w:val="00E85F5D"/>
    <w:rsid w:val="00E863AF"/>
    <w:rsid w:val="00E86707"/>
    <w:rsid w:val="00E867F5"/>
    <w:rsid w:val="00E86A21"/>
    <w:rsid w:val="00E86D75"/>
    <w:rsid w:val="00E87F7B"/>
    <w:rsid w:val="00E901B6"/>
    <w:rsid w:val="00E903B3"/>
    <w:rsid w:val="00E904D1"/>
    <w:rsid w:val="00E90956"/>
    <w:rsid w:val="00E90AF0"/>
    <w:rsid w:val="00E90E02"/>
    <w:rsid w:val="00E911DB"/>
    <w:rsid w:val="00E913F4"/>
    <w:rsid w:val="00E91AA3"/>
    <w:rsid w:val="00E91E42"/>
    <w:rsid w:val="00E91EC5"/>
    <w:rsid w:val="00E92054"/>
    <w:rsid w:val="00E92097"/>
    <w:rsid w:val="00E92111"/>
    <w:rsid w:val="00E92AB2"/>
    <w:rsid w:val="00E9387F"/>
    <w:rsid w:val="00E93945"/>
    <w:rsid w:val="00E939F5"/>
    <w:rsid w:val="00E93CC4"/>
    <w:rsid w:val="00E93F75"/>
    <w:rsid w:val="00E94049"/>
    <w:rsid w:val="00E944CA"/>
    <w:rsid w:val="00E9530A"/>
    <w:rsid w:val="00E95F6F"/>
    <w:rsid w:val="00E961F1"/>
    <w:rsid w:val="00E96C96"/>
    <w:rsid w:val="00E972C7"/>
    <w:rsid w:val="00E97875"/>
    <w:rsid w:val="00E979BF"/>
    <w:rsid w:val="00E97D88"/>
    <w:rsid w:val="00EA058F"/>
    <w:rsid w:val="00EA066B"/>
    <w:rsid w:val="00EA08C6"/>
    <w:rsid w:val="00EA0A92"/>
    <w:rsid w:val="00EA0BFB"/>
    <w:rsid w:val="00EA0DE1"/>
    <w:rsid w:val="00EA1644"/>
    <w:rsid w:val="00EA17F9"/>
    <w:rsid w:val="00EA1A8B"/>
    <w:rsid w:val="00EA2106"/>
    <w:rsid w:val="00EA33A3"/>
    <w:rsid w:val="00EA3679"/>
    <w:rsid w:val="00EA4088"/>
    <w:rsid w:val="00EA447A"/>
    <w:rsid w:val="00EA468A"/>
    <w:rsid w:val="00EA4F83"/>
    <w:rsid w:val="00EA525C"/>
    <w:rsid w:val="00EA53A3"/>
    <w:rsid w:val="00EA5563"/>
    <w:rsid w:val="00EA62BB"/>
    <w:rsid w:val="00EA7341"/>
    <w:rsid w:val="00EA7842"/>
    <w:rsid w:val="00EA7A71"/>
    <w:rsid w:val="00EA7CC1"/>
    <w:rsid w:val="00EB0A85"/>
    <w:rsid w:val="00EB0C91"/>
    <w:rsid w:val="00EB0CC9"/>
    <w:rsid w:val="00EB1039"/>
    <w:rsid w:val="00EB151C"/>
    <w:rsid w:val="00EB1666"/>
    <w:rsid w:val="00EB1788"/>
    <w:rsid w:val="00EB1870"/>
    <w:rsid w:val="00EB1BA5"/>
    <w:rsid w:val="00EB1CA9"/>
    <w:rsid w:val="00EB29F1"/>
    <w:rsid w:val="00EB3520"/>
    <w:rsid w:val="00EB3EB5"/>
    <w:rsid w:val="00EB3F91"/>
    <w:rsid w:val="00EB4352"/>
    <w:rsid w:val="00EB54E0"/>
    <w:rsid w:val="00EB5829"/>
    <w:rsid w:val="00EB6B08"/>
    <w:rsid w:val="00EB6D14"/>
    <w:rsid w:val="00EB6F6B"/>
    <w:rsid w:val="00EB73A3"/>
    <w:rsid w:val="00EB7423"/>
    <w:rsid w:val="00EB76F5"/>
    <w:rsid w:val="00EB774C"/>
    <w:rsid w:val="00EB778F"/>
    <w:rsid w:val="00EC020A"/>
    <w:rsid w:val="00EC0544"/>
    <w:rsid w:val="00EC0816"/>
    <w:rsid w:val="00EC094B"/>
    <w:rsid w:val="00EC0CD0"/>
    <w:rsid w:val="00EC0EB7"/>
    <w:rsid w:val="00EC1A49"/>
    <w:rsid w:val="00EC1A4F"/>
    <w:rsid w:val="00EC1E72"/>
    <w:rsid w:val="00EC2554"/>
    <w:rsid w:val="00EC2929"/>
    <w:rsid w:val="00EC2ACF"/>
    <w:rsid w:val="00EC2E68"/>
    <w:rsid w:val="00EC2FC2"/>
    <w:rsid w:val="00EC39B8"/>
    <w:rsid w:val="00EC4086"/>
    <w:rsid w:val="00EC5492"/>
    <w:rsid w:val="00EC56BC"/>
    <w:rsid w:val="00EC5A6D"/>
    <w:rsid w:val="00EC5D61"/>
    <w:rsid w:val="00EC5FB6"/>
    <w:rsid w:val="00EC60AF"/>
    <w:rsid w:val="00EC626C"/>
    <w:rsid w:val="00EC626F"/>
    <w:rsid w:val="00EC64EA"/>
    <w:rsid w:val="00EC6AD0"/>
    <w:rsid w:val="00EC6C1C"/>
    <w:rsid w:val="00EC6DBF"/>
    <w:rsid w:val="00EC6F75"/>
    <w:rsid w:val="00EC73EF"/>
    <w:rsid w:val="00EC74F9"/>
    <w:rsid w:val="00EC7900"/>
    <w:rsid w:val="00EC7F41"/>
    <w:rsid w:val="00ED0FEB"/>
    <w:rsid w:val="00ED1024"/>
    <w:rsid w:val="00ED19C4"/>
    <w:rsid w:val="00ED2028"/>
    <w:rsid w:val="00ED2AFB"/>
    <w:rsid w:val="00ED2E47"/>
    <w:rsid w:val="00ED2E81"/>
    <w:rsid w:val="00ED2E9F"/>
    <w:rsid w:val="00ED3452"/>
    <w:rsid w:val="00ED395B"/>
    <w:rsid w:val="00ED3A60"/>
    <w:rsid w:val="00ED4063"/>
    <w:rsid w:val="00ED4175"/>
    <w:rsid w:val="00ED4252"/>
    <w:rsid w:val="00ED43E5"/>
    <w:rsid w:val="00ED454F"/>
    <w:rsid w:val="00ED4822"/>
    <w:rsid w:val="00ED4923"/>
    <w:rsid w:val="00ED51D4"/>
    <w:rsid w:val="00ED537F"/>
    <w:rsid w:val="00ED53A1"/>
    <w:rsid w:val="00ED56A7"/>
    <w:rsid w:val="00ED6AD3"/>
    <w:rsid w:val="00ED6B3C"/>
    <w:rsid w:val="00ED6C3A"/>
    <w:rsid w:val="00ED6E3D"/>
    <w:rsid w:val="00ED6F98"/>
    <w:rsid w:val="00ED785B"/>
    <w:rsid w:val="00ED7D7F"/>
    <w:rsid w:val="00EE081C"/>
    <w:rsid w:val="00EE0BEF"/>
    <w:rsid w:val="00EE1295"/>
    <w:rsid w:val="00EE1807"/>
    <w:rsid w:val="00EE1A3D"/>
    <w:rsid w:val="00EE1C9F"/>
    <w:rsid w:val="00EE26A0"/>
    <w:rsid w:val="00EE2716"/>
    <w:rsid w:val="00EE2921"/>
    <w:rsid w:val="00EE2F49"/>
    <w:rsid w:val="00EE2FA9"/>
    <w:rsid w:val="00EE303C"/>
    <w:rsid w:val="00EE30D1"/>
    <w:rsid w:val="00EE3294"/>
    <w:rsid w:val="00EE3383"/>
    <w:rsid w:val="00EE3876"/>
    <w:rsid w:val="00EE3B08"/>
    <w:rsid w:val="00EE408E"/>
    <w:rsid w:val="00EE4129"/>
    <w:rsid w:val="00EE442C"/>
    <w:rsid w:val="00EE46DD"/>
    <w:rsid w:val="00EE4903"/>
    <w:rsid w:val="00EE5A74"/>
    <w:rsid w:val="00EE636E"/>
    <w:rsid w:val="00EE648C"/>
    <w:rsid w:val="00EE669F"/>
    <w:rsid w:val="00EE6BD8"/>
    <w:rsid w:val="00EE7134"/>
    <w:rsid w:val="00EE73C5"/>
    <w:rsid w:val="00EE7603"/>
    <w:rsid w:val="00EE766D"/>
    <w:rsid w:val="00EE7687"/>
    <w:rsid w:val="00EE78B4"/>
    <w:rsid w:val="00EE79E5"/>
    <w:rsid w:val="00EF00D4"/>
    <w:rsid w:val="00EF0B64"/>
    <w:rsid w:val="00EF1123"/>
    <w:rsid w:val="00EF192D"/>
    <w:rsid w:val="00EF2EC9"/>
    <w:rsid w:val="00EF3245"/>
    <w:rsid w:val="00EF3B8C"/>
    <w:rsid w:val="00EF40DC"/>
    <w:rsid w:val="00EF41E1"/>
    <w:rsid w:val="00EF44AF"/>
    <w:rsid w:val="00EF4699"/>
    <w:rsid w:val="00EF477B"/>
    <w:rsid w:val="00EF5009"/>
    <w:rsid w:val="00EF51A2"/>
    <w:rsid w:val="00EF58CF"/>
    <w:rsid w:val="00EF5C2F"/>
    <w:rsid w:val="00EF6421"/>
    <w:rsid w:val="00EF6476"/>
    <w:rsid w:val="00EF6605"/>
    <w:rsid w:val="00EF6C9F"/>
    <w:rsid w:val="00EF6ED6"/>
    <w:rsid w:val="00EF6F81"/>
    <w:rsid w:val="00EF7344"/>
    <w:rsid w:val="00EF7966"/>
    <w:rsid w:val="00EF7D24"/>
    <w:rsid w:val="00F001C2"/>
    <w:rsid w:val="00F002CC"/>
    <w:rsid w:val="00F00748"/>
    <w:rsid w:val="00F00826"/>
    <w:rsid w:val="00F00EC4"/>
    <w:rsid w:val="00F00FFC"/>
    <w:rsid w:val="00F018CD"/>
    <w:rsid w:val="00F0259A"/>
    <w:rsid w:val="00F02A08"/>
    <w:rsid w:val="00F02CE0"/>
    <w:rsid w:val="00F02FC6"/>
    <w:rsid w:val="00F031E8"/>
    <w:rsid w:val="00F03455"/>
    <w:rsid w:val="00F03555"/>
    <w:rsid w:val="00F036B1"/>
    <w:rsid w:val="00F04010"/>
    <w:rsid w:val="00F04217"/>
    <w:rsid w:val="00F04289"/>
    <w:rsid w:val="00F04DA1"/>
    <w:rsid w:val="00F051B6"/>
    <w:rsid w:val="00F05292"/>
    <w:rsid w:val="00F054E5"/>
    <w:rsid w:val="00F054ED"/>
    <w:rsid w:val="00F05CA0"/>
    <w:rsid w:val="00F0615A"/>
    <w:rsid w:val="00F06232"/>
    <w:rsid w:val="00F06371"/>
    <w:rsid w:val="00F06C8E"/>
    <w:rsid w:val="00F06F73"/>
    <w:rsid w:val="00F07072"/>
    <w:rsid w:val="00F0734C"/>
    <w:rsid w:val="00F076C1"/>
    <w:rsid w:val="00F07C7C"/>
    <w:rsid w:val="00F07FFE"/>
    <w:rsid w:val="00F108C0"/>
    <w:rsid w:val="00F10A2A"/>
    <w:rsid w:val="00F10DD2"/>
    <w:rsid w:val="00F11063"/>
    <w:rsid w:val="00F1114D"/>
    <w:rsid w:val="00F1150E"/>
    <w:rsid w:val="00F11607"/>
    <w:rsid w:val="00F11C0E"/>
    <w:rsid w:val="00F12538"/>
    <w:rsid w:val="00F12641"/>
    <w:rsid w:val="00F1267C"/>
    <w:rsid w:val="00F12CD4"/>
    <w:rsid w:val="00F1351F"/>
    <w:rsid w:val="00F13D69"/>
    <w:rsid w:val="00F14033"/>
    <w:rsid w:val="00F1409B"/>
    <w:rsid w:val="00F14116"/>
    <w:rsid w:val="00F14340"/>
    <w:rsid w:val="00F147BF"/>
    <w:rsid w:val="00F14A8D"/>
    <w:rsid w:val="00F14F5A"/>
    <w:rsid w:val="00F151E5"/>
    <w:rsid w:val="00F15320"/>
    <w:rsid w:val="00F15439"/>
    <w:rsid w:val="00F1591D"/>
    <w:rsid w:val="00F15ECB"/>
    <w:rsid w:val="00F16145"/>
    <w:rsid w:val="00F1634E"/>
    <w:rsid w:val="00F16411"/>
    <w:rsid w:val="00F164FC"/>
    <w:rsid w:val="00F16670"/>
    <w:rsid w:val="00F168AB"/>
    <w:rsid w:val="00F16A7E"/>
    <w:rsid w:val="00F16EC7"/>
    <w:rsid w:val="00F17170"/>
    <w:rsid w:val="00F176D2"/>
    <w:rsid w:val="00F17A4A"/>
    <w:rsid w:val="00F17FF8"/>
    <w:rsid w:val="00F2007B"/>
    <w:rsid w:val="00F205EF"/>
    <w:rsid w:val="00F207BD"/>
    <w:rsid w:val="00F208B4"/>
    <w:rsid w:val="00F212AC"/>
    <w:rsid w:val="00F215DD"/>
    <w:rsid w:val="00F21EC6"/>
    <w:rsid w:val="00F21F45"/>
    <w:rsid w:val="00F229D3"/>
    <w:rsid w:val="00F22FA5"/>
    <w:rsid w:val="00F2379C"/>
    <w:rsid w:val="00F23ED6"/>
    <w:rsid w:val="00F24A4D"/>
    <w:rsid w:val="00F24E32"/>
    <w:rsid w:val="00F25971"/>
    <w:rsid w:val="00F25F35"/>
    <w:rsid w:val="00F263BD"/>
    <w:rsid w:val="00F265D4"/>
    <w:rsid w:val="00F26F1D"/>
    <w:rsid w:val="00F271AF"/>
    <w:rsid w:val="00F2753A"/>
    <w:rsid w:val="00F2760B"/>
    <w:rsid w:val="00F278C8"/>
    <w:rsid w:val="00F304D5"/>
    <w:rsid w:val="00F31BCB"/>
    <w:rsid w:val="00F31E19"/>
    <w:rsid w:val="00F31EE3"/>
    <w:rsid w:val="00F32067"/>
    <w:rsid w:val="00F321C5"/>
    <w:rsid w:val="00F32C46"/>
    <w:rsid w:val="00F33C36"/>
    <w:rsid w:val="00F342C1"/>
    <w:rsid w:val="00F34B05"/>
    <w:rsid w:val="00F34FEA"/>
    <w:rsid w:val="00F3543F"/>
    <w:rsid w:val="00F355DD"/>
    <w:rsid w:val="00F360B8"/>
    <w:rsid w:val="00F360D2"/>
    <w:rsid w:val="00F363B7"/>
    <w:rsid w:val="00F36708"/>
    <w:rsid w:val="00F3694E"/>
    <w:rsid w:val="00F36E04"/>
    <w:rsid w:val="00F37694"/>
    <w:rsid w:val="00F37878"/>
    <w:rsid w:val="00F379C0"/>
    <w:rsid w:val="00F37A73"/>
    <w:rsid w:val="00F37D25"/>
    <w:rsid w:val="00F40041"/>
    <w:rsid w:val="00F40868"/>
    <w:rsid w:val="00F40CFE"/>
    <w:rsid w:val="00F40DCF"/>
    <w:rsid w:val="00F41887"/>
    <w:rsid w:val="00F41901"/>
    <w:rsid w:val="00F41A2F"/>
    <w:rsid w:val="00F42189"/>
    <w:rsid w:val="00F42305"/>
    <w:rsid w:val="00F425F9"/>
    <w:rsid w:val="00F429D6"/>
    <w:rsid w:val="00F432CC"/>
    <w:rsid w:val="00F43702"/>
    <w:rsid w:val="00F43C84"/>
    <w:rsid w:val="00F4482A"/>
    <w:rsid w:val="00F44B45"/>
    <w:rsid w:val="00F451E7"/>
    <w:rsid w:val="00F454F7"/>
    <w:rsid w:val="00F45BC8"/>
    <w:rsid w:val="00F46012"/>
    <w:rsid w:val="00F46255"/>
    <w:rsid w:val="00F46258"/>
    <w:rsid w:val="00F463D7"/>
    <w:rsid w:val="00F464BD"/>
    <w:rsid w:val="00F46522"/>
    <w:rsid w:val="00F468DC"/>
    <w:rsid w:val="00F46FBA"/>
    <w:rsid w:val="00F47346"/>
    <w:rsid w:val="00F473DA"/>
    <w:rsid w:val="00F47796"/>
    <w:rsid w:val="00F478CB"/>
    <w:rsid w:val="00F47AA5"/>
    <w:rsid w:val="00F50727"/>
    <w:rsid w:val="00F5074B"/>
    <w:rsid w:val="00F509BE"/>
    <w:rsid w:val="00F50FC2"/>
    <w:rsid w:val="00F515CB"/>
    <w:rsid w:val="00F523A4"/>
    <w:rsid w:val="00F52486"/>
    <w:rsid w:val="00F524A7"/>
    <w:rsid w:val="00F52733"/>
    <w:rsid w:val="00F52946"/>
    <w:rsid w:val="00F52A7C"/>
    <w:rsid w:val="00F52B25"/>
    <w:rsid w:val="00F53C07"/>
    <w:rsid w:val="00F544CA"/>
    <w:rsid w:val="00F54877"/>
    <w:rsid w:val="00F5497B"/>
    <w:rsid w:val="00F54B49"/>
    <w:rsid w:val="00F54D26"/>
    <w:rsid w:val="00F54D73"/>
    <w:rsid w:val="00F55323"/>
    <w:rsid w:val="00F55661"/>
    <w:rsid w:val="00F55A97"/>
    <w:rsid w:val="00F56787"/>
    <w:rsid w:val="00F567B5"/>
    <w:rsid w:val="00F567EF"/>
    <w:rsid w:val="00F56A92"/>
    <w:rsid w:val="00F56CD4"/>
    <w:rsid w:val="00F61980"/>
    <w:rsid w:val="00F623E0"/>
    <w:rsid w:val="00F62592"/>
    <w:rsid w:val="00F62E01"/>
    <w:rsid w:val="00F62E1C"/>
    <w:rsid w:val="00F6368E"/>
    <w:rsid w:val="00F6389B"/>
    <w:rsid w:val="00F638C7"/>
    <w:rsid w:val="00F639F2"/>
    <w:rsid w:val="00F64EFE"/>
    <w:rsid w:val="00F65577"/>
    <w:rsid w:val="00F656B2"/>
    <w:rsid w:val="00F65CE9"/>
    <w:rsid w:val="00F65DA6"/>
    <w:rsid w:val="00F65F0C"/>
    <w:rsid w:val="00F65FA4"/>
    <w:rsid w:val="00F6645C"/>
    <w:rsid w:val="00F66461"/>
    <w:rsid w:val="00F66726"/>
    <w:rsid w:val="00F676B9"/>
    <w:rsid w:val="00F67D03"/>
    <w:rsid w:val="00F707F8"/>
    <w:rsid w:val="00F714FF"/>
    <w:rsid w:val="00F72BD0"/>
    <w:rsid w:val="00F737AF"/>
    <w:rsid w:val="00F744E0"/>
    <w:rsid w:val="00F74596"/>
    <w:rsid w:val="00F745A9"/>
    <w:rsid w:val="00F74819"/>
    <w:rsid w:val="00F74847"/>
    <w:rsid w:val="00F74CAE"/>
    <w:rsid w:val="00F74EFB"/>
    <w:rsid w:val="00F758E0"/>
    <w:rsid w:val="00F768BF"/>
    <w:rsid w:val="00F76CD8"/>
    <w:rsid w:val="00F76DF0"/>
    <w:rsid w:val="00F76E85"/>
    <w:rsid w:val="00F772D4"/>
    <w:rsid w:val="00F77CAF"/>
    <w:rsid w:val="00F77CCE"/>
    <w:rsid w:val="00F80642"/>
    <w:rsid w:val="00F80C86"/>
    <w:rsid w:val="00F80F93"/>
    <w:rsid w:val="00F81082"/>
    <w:rsid w:val="00F8113B"/>
    <w:rsid w:val="00F81171"/>
    <w:rsid w:val="00F816D9"/>
    <w:rsid w:val="00F817E3"/>
    <w:rsid w:val="00F81ACA"/>
    <w:rsid w:val="00F81BB2"/>
    <w:rsid w:val="00F81F14"/>
    <w:rsid w:val="00F82562"/>
    <w:rsid w:val="00F82D0E"/>
    <w:rsid w:val="00F82D13"/>
    <w:rsid w:val="00F82D5B"/>
    <w:rsid w:val="00F82E46"/>
    <w:rsid w:val="00F834A1"/>
    <w:rsid w:val="00F838DA"/>
    <w:rsid w:val="00F8511F"/>
    <w:rsid w:val="00F85228"/>
    <w:rsid w:val="00F85A7D"/>
    <w:rsid w:val="00F85FF9"/>
    <w:rsid w:val="00F86366"/>
    <w:rsid w:val="00F8646B"/>
    <w:rsid w:val="00F86670"/>
    <w:rsid w:val="00F8675E"/>
    <w:rsid w:val="00F869E4"/>
    <w:rsid w:val="00F870DB"/>
    <w:rsid w:val="00F874E0"/>
    <w:rsid w:val="00F874E9"/>
    <w:rsid w:val="00F87650"/>
    <w:rsid w:val="00F87A0A"/>
    <w:rsid w:val="00F9035D"/>
    <w:rsid w:val="00F90B3C"/>
    <w:rsid w:val="00F90BF0"/>
    <w:rsid w:val="00F90F85"/>
    <w:rsid w:val="00F90F94"/>
    <w:rsid w:val="00F910CC"/>
    <w:rsid w:val="00F912C0"/>
    <w:rsid w:val="00F91617"/>
    <w:rsid w:val="00F916B7"/>
    <w:rsid w:val="00F919C4"/>
    <w:rsid w:val="00F91E5E"/>
    <w:rsid w:val="00F921FF"/>
    <w:rsid w:val="00F92715"/>
    <w:rsid w:val="00F92D91"/>
    <w:rsid w:val="00F92DB6"/>
    <w:rsid w:val="00F930B4"/>
    <w:rsid w:val="00F936A8"/>
    <w:rsid w:val="00F9384A"/>
    <w:rsid w:val="00F939DE"/>
    <w:rsid w:val="00F93B1B"/>
    <w:rsid w:val="00F9486A"/>
    <w:rsid w:val="00F949B9"/>
    <w:rsid w:val="00F94A9F"/>
    <w:rsid w:val="00F94B65"/>
    <w:rsid w:val="00F94DAE"/>
    <w:rsid w:val="00F94EE9"/>
    <w:rsid w:val="00F95010"/>
    <w:rsid w:val="00F95286"/>
    <w:rsid w:val="00F95CAD"/>
    <w:rsid w:val="00F96E02"/>
    <w:rsid w:val="00F97411"/>
    <w:rsid w:val="00F97581"/>
    <w:rsid w:val="00F9797A"/>
    <w:rsid w:val="00F97F39"/>
    <w:rsid w:val="00FA02DB"/>
    <w:rsid w:val="00FA05AB"/>
    <w:rsid w:val="00FA099C"/>
    <w:rsid w:val="00FA0A6D"/>
    <w:rsid w:val="00FA0C2D"/>
    <w:rsid w:val="00FA0FC3"/>
    <w:rsid w:val="00FA10B9"/>
    <w:rsid w:val="00FA123B"/>
    <w:rsid w:val="00FA1720"/>
    <w:rsid w:val="00FA1A3B"/>
    <w:rsid w:val="00FA1ECA"/>
    <w:rsid w:val="00FA1F5B"/>
    <w:rsid w:val="00FA2199"/>
    <w:rsid w:val="00FA3134"/>
    <w:rsid w:val="00FA339D"/>
    <w:rsid w:val="00FA358A"/>
    <w:rsid w:val="00FA4271"/>
    <w:rsid w:val="00FA456F"/>
    <w:rsid w:val="00FA482C"/>
    <w:rsid w:val="00FA4983"/>
    <w:rsid w:val="00FA498E"/>
    <w:rsid w:val="00FA55C6"/>
    <w:rsid w:val="00FA5E2C"/>
    <w:rsid w:val="00FA620D"/>
    <w:rsid w:val="00FA639D"/>
    <w:rsid w:val="00FA67A9"/>
    <w:rsid w:val="00FA68AD"/>
    <w:rsid w:val="00FA69D0"/>
    <w:rsid w:val="00FA719D"/>
    <w:rsid w:val="00FA7BEF"/>
    <w:rsid w:val="00FB0142"/>
    <w:rsid w:val="00FB01BD"/>
    <w:rsid w:val="00FB0289"/>
    <w:rsid w:val="00FB04F3"/>
    <w:rsid w:val="00FB0970"/>
    <w:rsid w:val="00FB0A7D"/>
    <w:rsid w:val="00FB0D46"/>
    <w:rsid w:val="00FB1AF9"/>
    <w:rsid w:val="00FB1D6B"/>
    <w:rsid w:val="00FB2A7F"/>
    <w:rsid w:val="00FB2D62"/>
    <w:rsid w:val="00FB304E"/>
    <w:rsid w:val="00FB319A"/>
    <w:rsid w:val="00FB391A"/>
    <w:rsid w:val="00FB3CBB"/>
    <w:rsid w:val="00FB4119"/>
    <w:rsid w:val="00FB44C8"/>
    <w:rsid w:val="00FB4520"/>
    <w:rsid w:val="00FB4640"/>
    <w:rsid w:val="00FB4B92"/>
    <w:rsid w:val="00FB4F68"/>
    <w:rsid w:val="00FB509F"/>
    <w:rsid w:val="00FB546F"/>
    <w:rsid w:val="00FB5620"/>
    <w:rsid w:val="00FB569E"/>
    <w:rsid w:val="00FB5F97"/>
    <w:rsid w:val="00FB619C"/>
    <w:rsid w:val="00FB6959"/>
    <w:rsid w:val="00FB6995"/>
    <w:rsid w:val="00FB6F90"/>
    <w:rsid w:val="00FB709C"/>
    <w:rsid w:val="00FB7788"/>
    <w:rsid w:val="00FC00CC"/>
    <w:rsid w:val="00FC04D4"/>
    <w:rsid w:val="00FC0616"/>
    <w:rsid w:val="00FC0B20"/>
    <w:rsid w:val="00FC0EA0"/>
    <w:rsid w:val="00FC1634"/>
    <w:rsid w:val="00FC18CF"/>
    <w:rsid w:val="00FC21E0"/>
    <w:rsid w:val="00FC2BAB"/>
    <w:rsid w:val="00FC312A"/>
    <w:rsid w:val="00FC3C19"/>
    <w:rsid w:val="00FC4161"/>
    <w:rsid w:val="00FC44D9"/>
    <w:rsid w:val="00FC4A1E"/>
    <w:rsid w:val="00FC4B76"/>
    <w:rsid w:val="00FC4F22"/>
    <w:rsid w:val="00FC524D"/>
    <w:rsid w:val="00FC544C"/>
    <w:rsid w:val="00FC5A66"/>
    <w:rsid w:val="00FC5AB8"/>
    <w:rsid w:val="00FC5B0B"/>
    <w:rsid w:val="00FC5C0F"/>
    <w:rsid w:val="00FC5C2F"/>
    <w:rsid w:val="00FC5EA0"/>
    <w:rsid w:val="00FC5F45"/>
    <w:rsid w:val="00FC6062"/>
    <w:rsid w:val="00FC6197"/>
    <w:rsid w:val="00FC6393"/>
    <w:rsid w:val="00FC690A"/>
    <w:rsid w:val="00FC6A35"/>
    <w:rsid w:val="00FC6B8A"/>
    <w:rsid w:val="00FC7625"/>
    <w:rsid w:val="00FC7784"/>
    <w:rsid w:val="00FC7885"/>
    <w:rsid w:val="00FC7CDF"/>
    <w:rsid w:val="00FC7DB9"/>
    <w:rsid w:val="00FD071F"/>
    <w:rsid w:val="00FD0BFD"/>
    <w:rsid w:val="00FD0D4E"/>
    <w:rsid w:val="00FD1676"/>
    <w:rsid w:val="00FD1924"/>
    <w:rsid w:val="00FD1AD5"/>
    <w:rsid w:val="00FD204E"/>
    <w:rsid w:val="00FD3282"/>
    <w:rsid w:val="00FD37C1"/>
    <w:rsid w:val="00FD3D3F"/>
    <w:rsid w:val="00FD4074"/>
    <w:rsid w:val="00FD425D"/>
    <w:rsid w:val="00FD45BD"/>
    <w:rsid w:val="00FD4B0D"/>
    <w:rsid w:val="00FD4C04"/>
    <w:rsid w:val="00FD4C22"/>
    <w:rsid w:val="00FD4DC3"/>
    <w:rsid w:val="00FD4FB2"/>
    <w:rsid w:val="00FD510E"/>
    <w:rsid w:val="00FD5274"/>
    <w:rsid w:val="00FD537E"/>
    <w:rsid w:val="00FD53A2"/>
    <w:rsid w:val="00FD642D"/>
    <w:rsid w:val="00FD675E"/>
    <w:rsid w:val="00FD6B10"/>
    <w:rsid w:val="00FD6FAB"/>
    <w:rsid w:val="00FD74CB"/>
    <w:rsid w:val="00FD7C98"/>
    <w:rsid w:val="00FD7CC7"/>
    <w:rsid w:val="00FD7D5C"/>
    <w:rsid w:val="00FE03F9"/>
    <w:rsid w:val="00FE04D6"/>
    <w:rsid w:val="00FE0781"/>
    <w:rsid w:val="00FE11C2"/>
    <w:rsid w:val="00FE1932"/>
    <w:rsid w:val="00FE19BB"/>
    <w:rsid w:val="00FE1C1B"/>
    <w:rsid w:val="00FE221D"/>
    <w:rsid w:val="00FE22E0"/>
    <w:rsid w:val="00FE23A8"/>
    <w:rsid w:val="00FE2543"/>
    <w:rsid w:val="00FE2EED"/>
    <w:rsid w:val="00FE2F2E"/>
    <w:rsid w:val="00FE3109"/>
    <w:rsid w:val="00FE3339"/>
    <w:rsid w:val="00FE3C31"/>
    <w:rsid w:val="00FE3E01"/>
    <w:rsid w:val="00FE490C"/>
    <w:rsid w:val="00FE492D"/>
    <w:rsid w:val="00FE4981"/>
    <w:rsid w:val="00FE4ABA"/>
    <w:rsid w:val="00FE5341"/>
    <w:rsid w:val="00FE564D"/>
    <w:rsid w:val="00FE56ED"/>
    <w:rsid w:val="00FE5814"/>
    <w:rsid w:val="00FE5A2F"/>
    <w:rsid w:val="00FE5BF1"/>
    <w:rsid w:val="00FE5C86"/>
    <w:rsid w:val="00FE5D67"/>
    <w:rsid w:val="00FE5E0E"/>
    <w:rsid w:val="00FE601A"/>
    <w:rsid w:val="00FE6075"/>
    <w:rsid w:val="00FE6291"/>
    <w:rsid w:val="00FE6588"/>
    <w:rsid w:val="00FE673E"/>
    <w:rsid w:val="00FE6CD1"/>
    <w:rsid w:val="00FE7271"/>
    <w:rsid w:val="00FE7AB0"/>
    <w:rsid w:val="00FE7AE9"/>
    <w:rsid w:val="00FE7BC6"/>
    <w:rsid w:val="00FE7CD2"/>
    <w:rsid w:val="00FF0091"/>
    <w:rsid w:val="00FF0425"/>
    <w:rsid w:val="00FF05AE"/>
    <w:rsid w:val="00FF0CB6"/>
    <w:rsid w:val="00FF0DEF"/>
    <w:rsid w:val="00FF12A1"/>
    <w:rsid w:val="00FF1741"/>
    <w:rsid w:val="00FF19B2"/>
    <w:rsid w:val="00FF2032"/>
    <w:rsid w:val="00FF291F"/>
    <w:rsid w:val="00FF2AB3"/>
    <w:rsid w:val="00FF2BFC"/>
    <w:rsid w:val="00FF2CB0"/>
    <w:rsid w:val="00FF3059"/>
    <w:rsid w:val="00FF3247"/>
    <w:rsid w:val="00FF327E"/>
    <w:rsid w:val="00FF362A"/>
    <w:rsid w:val="00FF37C1"/>
    <w:rsid w:val="00FF4387"/>
    <w:rsid w:val="00FF46E8"/>
    <w:rsid w:val="00FF48EA"/>
    <w:rsid w:val="00FF4CE5"/>
    <w:rsid w:val="00FF4EAE"/>
    <w:rsid w:val="00FF5630"/>
    <w:rsid w:val="00FF56EA"/>
    <w:rsid w:val="00FF5912"/>
    <w:rsid w:val="00FF5955"/>
    <w:rsid w:val="00FF5A0E"/>
    <w:rsid w:val="00FF5DC1"/>
    <w:rsid w:val="00FF6B3A"/>
    <w:rsid w:val="00FF6D70"/>
    <w:rsid w:val="00FF70AC"/>
    <w:rsid w:val="00FF79EA"/>
    <w:rsid w:val="00FF7A2F"/>
    <w:rsid w:val="00FF7EB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o:shapelayout v:ext="edit">
      <o:idmap v:ext="edit" data="1"/>
    </o:shapelayout>
  </w:shapeDefaults>
  <w:decimalSymbol w:val="."/>
  <w:listSeparator w:val=","/>
  <w14:docId w14:val="2C8716F7"/>
  <w15:docId w15:val="{785156EE-2862-4430-986E-465E66284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99"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99" w:unhideWhenUsed="1"/>
    <w:lsdException w:name="Table Grid 1" w:semiHidden="1" w:uiPriority="99" w:unhideWhenUsed="1"/>
    <w:lsdException w:name="Table Grid 2" w:semiHidden="1" w:unhideWhenUsed="1"/>
    <w:lsdException w:name="Table Grid 3" w:semiHidden="1" w:uiPriority="99" w:unhideWhenUsed="1"/>
    <w:lsdException w:name="Table Grid 4" w:semiHidden="1" w:unhideWhenUsed="1"/>
    <w:lsdException w:name="Table Grid 5" w:semiHidden="1" w:uiPriority="99" w:unhideWhenUsed="1"/>
    <w:lsdException w:name="Table Grid 6" w:semiHidden="1" w:unhideWhenUsed="1"/>
    <w:lsdException w:name="Table Grid 7" w:semiHidden="1" w:uiPriority="99"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99" w:unhideWhenUsed="1"/>
    <w:lsdException w:name="Table List 8" w:semiHidden="1" w:unhideWhenUsed="1"/>
    <w:lsdException w:name="Table 3D effects 1" w:semiHidden="1" w:unhideWhenUsed="1"/>
    <w:lsdException w:name="Table 3D effects 2" w:semiHidden="1"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1Normal"/>
    <w:qFormat/>
    <w:rsid w:val="005402C0"/>
    <w:pPr>
      <w:spacing w:before="120" w:line="360" w:lineRule="auto"/>
      <w:ind w:firstLine="567"/>
      <w:contextualSpacing/>
      <w:jc w:val="both"/>
    </w:pPr>
    <w:rPr>
      <w:rFonts w:ascii="GHEA Grapalat" w:hAnsi="GHEA Grapalat"/>
      <w:b/>
      <w:sz w:val="22"/>
      <w:szCs w:val="24"/>
      <w:lang w:val="ru-RU" w:eastAsia="ru-RU"/>
    </w:rPr>
  </w:style>
  <w:style w:type="paragraph" w:styleId="Heading1">
    <w:name w:val="heading 1"/>
    <w:aliases w:val="(Text),(Section),Section Heading,1, 1,Chapter,head3"/>
    <w:basedOn w:val="Normal"/>
    <w:next w:val="Normal"/>
    <w:link w:val="Heading1Char"/>
    <w:autoRedefine/>
    <w:uiPriority w:val="9"/>
    <w:qFormat/>
    <w:rsid w:val="00A30EDC"/>
    <w:pPr>
      <w:keepNext/>
      <w:tabs>
        <w:tab w:val="left" w:pos="567"/>
      </w:tabs>
      <w:spacing w:before="0" w:line="276" w:lineRule="auto"/>
      <w:ind w:firstLine="426"/>
      <w:jc w:val="center"/>
      <w:outlineLvl w:val="0"/>
    </w:pPr>
    <w:rPr>
      <w:sz w:val="28"/>
      <w:szCs w:val="20"/>
      <w:lang w:val="en-US"/>
    </w:rPr>
  </w:style>
  <w:style w:type="paragraph" w:styleId="Heading2">
    <w:name w:val="heading 2"/>
    <w:aliases w:val="(Chapter),Paranum,Body"/>
    <w:basedOn w:val="Normal"/>
    <w:next w:val="Normal"/>
    <w:link w:val="Heading2Char"/>
    <w:autoRedefine/>
    <w:uiPriority w:val="9"/>
    <w:qFormat/>
    <w:rsid w:val="002F7255"/>
    <w:pPr>
      <w:keepNext/>
      <w:spacing w:before="0" w:line="276" w:lineRule="auto"/>
      <w:jc w:val="center"/>
      <w:outlineLvl w:val="1"/>
    </w:pPr>
    <w:rPr>
      <w:rFonts w:eastAsia="Calibri" w:cs="Times LatArm"/>
      <w:sz w:val="24"/>
      <w:lang w:val="hy-AM" w:eastAsia="en-US"/>
    </w:rPr>
  </w:style>
  <w:style w:type="paragraph" w:styleId="Heading3">
    <w:name w:val="heading 3"/>
    <w:aliases w:val="Centered,(text),(Sub-Chapter),Heading 3 Char Char Char Char Char Char"/>
    <w:basedOn w:val="Normal"/>
    <w:next w:val="Normal"/>
    <w:link w:val="Heading3Char"/>
    <w:autoRedefine/>
    <w:qFormat/>
    <w:rsid w:val="007F28F7"/>
    <w:pPr>
      <w:keepNext/>
      <w:tabs>
        <w:tab w:val="left" w:pos="709"/>
      </w:tabs>
      <w:spacing w:before="0"/>
      <w:ind w:firstLine="360"/>
      <w:jc w:val="center"/>
      <w:outlineLvl w:val="2"/>
    </w:pPr>
    <w:rPr>
      <w:rFonts w:eastAsia="Calibri" w:cs="GHEA Grapalat"/>
      <w:bCs/>
      <w:sz w:val="24"/>
      <w:szCs w:val="26"/>
      <w:lang w:val="af-ZA" w:eastAsia="en-US"/>
    </w:rPr>
  </w:style>
  <w:style w:type="paragraph" w:styleId="Heading4">
    <w:name w:val="heading 4"/>
    <w:aliases w:val="Centred"/>
    <w:basedOn w:val="Normal"/>
    <w:next w:val="Normal"/>
    <w:link w:val="Heading4Char"/>
    <w:autoRedefine/>
    <w:qFormat/>
    <w:rsid w:val="004D4C68"/>
    <w:pPr>
      <w:keepNext/>
      <w:spacing w:before="360" w:after="120"/>
      <w:ind w:left="397" w:firstLine="0"/>
      <w:outlineLvl w:val="3"/>
    </w:pPr>
    <w:rPr>
      <w:szCs w:val="20"/>
      <w:lang w:val="en-GB" w:eastAsia="en-US"/>
    </w:rPr>
  </w:style>
  <w:style w:type="paragraph" w:styleId="Heading5">
    <w:name w:val="heading 5"/>
    <w:aliases w:val="Side"/>
    <w:basedOn w:val="Normal"/>
    <w:next w:val="Normal"/>
    <w:link w:val="Heading5Char"/>
    <w:autoRedefine/>
    <w:qFormat/>
    <w:rsid w:val="00785686"/>
    <w:pPr>
      <w:tabs>
        <w:tab w:val="left" w:pos="720"/>
      </w:tabs>
      <w:spacing w:before="240" w:after="360" w:line="240" w:lineRule="auto"/>
      <w:ind w:left="851" w:firstLine="0"/>
      <w:jc w:val="center"/>
      <w:outlineLvl w:val="4"/>
    </w:pPr>
    <w:rPr>
      <w:b w:val="0"/>
      <w:bCs/>
      <w:i/>
      <w:spacing w:val="60"/>
      <w:szCs w:val="20"/>
      <w:lang w:val="hy-AM" w:eastAsia="en-US"/>
    </w:rPr>
  </w:style>
  <w:style w:type="paragraph" w:styleId="Heading6">
    <w:name w:val="heading 6"/>
    <w:basedOn w:val="Normal"/>
    <w:next w:val="Normal"/>
    <w:link w:val="Heading6Char"/>
    <w:qFormat/>
    <w:rsid w:val="003B72C4"/>
    <w:pPr>
      <w:spacing w:before="240"/>
      <w:outlineLvl w:val="5"/>
    </w:pPr>
    <w:rPr>
      <w:b w:val="0"/>
      <w:bCs/>
      <w:szCs w:val="22"/>
      <w:lang w:val="en-GB" w:eastAsia="en-US"/>
    </w:rPr>
  </w:style>
  <w:style w:type="paragraph" w:styleId="Heading7">
    <w:name w:val="heading 7"/>
    <w:basedOn w:val="Normal"/>
    <w:next w:val="BodyText"/>
    <w:link w:val="Heading7Char"/>
    <w:qFormat/>
    <w:rsid w:val="008E54BF"/>
    <w:pPr>
      <w:framePr w:w="3780" w:hSpace="240" w:wrap="auto" w:vAnchor="text" w:hAnchor="page" w:x="1489" w:y="1"/>
      <w:widowControl w:val="0"/>
      <w:pBdr>
        <w:top w:val="single" w:sz="6" w:space="12" w:color="FFFFFF"/>
        <w:left w:val="single" w:sz="6" w:space="12" w:color="FFFFFF"/>
        <w:bottom w:val="single" w:sz="6" w:space="12" w:color="FFFFFF"/>
        <w:right w:val="single" w:sz="6" w:space="12" w:color="FFFFFF"/>
      </w:pBdr>
      <w:shd w:val="pct5" w:color="auto" w:fill="auto"/>
      <w:spacing w:before="60"/>
      <w:ind w:firstLine="0"/>
      <w:contextualSpacing w:val="0"/>
      <w:outlineLvl w:val="6"/>
    </w:pPr>
    <w:rPr>
      <w:rFonts w:ascii="Times Armenian" w:hAnsi="Times Armenian"/>
      <w:spacing w:val="-5"/>
      <w:sz w:val="24"/>
      <w:szCs w:val="20"/>
      <w:lang w:val="en-GB" w:eastAsia="en-US"/>
    </w:rPr>
  </w:style>
  <w:style w:type="paragraph" w:styleId="Heading8">
    <w:name w:val="heading 8"/>
    <w:basedOn w:val="Normal"/>
    <w:next w:val="BodyText"/>
    <w:link w:val="Heading8Char"/>
    <w:qFormat/>
    <w:rsid w:val="00060470"/>
    <w:pPr>
      <w:keepNext/>
      <w:framePr w:w="1860" w:wrap="auto" w:vAnchor="text" w:hAnchor="page" w:x="1201" w:y="1"/>
      <w:widowControl w:val="0"/>
      <w:pBdr>
        <w:top w:val="single" w:sz="24" w:space="0" w:color="auto"/>
        <w:bottom w:val="single" w:sz="6" w:space="0" w:color="auto"/>
      </w:pBdr>
      <w:tabs>
        <w:tab w:val="left" w:pos="720"/>
      </w:tabs>
      <w:spacing w:before="60" w:line="320" w:lineRule="exact"/>
      <w:ind w:left="720" w:hanging="720"/>
      <w:contextualSpacing w:val="0"/>
      <w:jc w:val="center"/>
      <w:outlineLvl w:val="7"/>
    </w:pPr>
    <w:rPr>
      <w:rFonts w:ascii="Arial Black" w:hAnsi="Arial Black"/>
      <w:caps/>
      <w:spacing w:val="60"/>
      <w:position w:val="4"/>
      <w:sz w:val="14"/>
      <w:szCs w:val="20"/>
      <w:lang w:val="en-GB"/>
    </w:rPr>
  </w:style>
  <w:style w:type="paragraph" w:styleId="Heading9">
    <w:name w:val="heading 9"/>
    <w:basedOn w:val="Normal"/>
    <w:next w:val="BodyText"/>
    <w:link w:val="Heading9Char"/>
    <w:qFormat/>
    <w:rsid w:val="00060470"/>
    <w:pPr>
      <w:keepNext/>
      <w:widowControl w:val="0"/>
      <w:tabs>
        <w:tab w:val="left" w:pos="720"/>
      </w:tabs>
      <w:spacing w:before="80" w:line="240" w:lineRule="auto"/>
      <w:ind w:left="720" w:hanging="720"/>
      <w:contextualSpacing w:val="0"/>
      <w:jc w:val="left"/>
      <w:outlineLvl w:val="8"/>
    </w:pPr>
    <w:rPr>
      <w:rFonts w:ascii="Garamond" w:hAnsi="Garamond"/>
      <w:b w:val="0"/>
      <w:i/>
      <w:kern w:val="28"/>
      <w:sz w:val="16"/>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
    <w:name w:val="Char Char"/>
    <w:basedOn w:val="Normal"/>
    <w:uiPriority w:val="99"/>
    <w:rsid w:val="00C52D6C"/>
    <w:pPr>
      <w:spacing w:after="160" w:line="240" w:lineRule="exact"/>
    </w:pPr>
    <w:rPr>
      <w:rFonts w:ascii="Arial" w:hAnsi="Arial" w:cs="Arial"/>
      <w:sz w:val="20"/>
      <w:szCs w:val="20"/>
      <w:lang w:val="en-US" w:eastAsia="en-US"/>
    </w:rPr>
  </w:style>
  <w:style w:type="paragraph" w:styleId="BodyText">
    <w:name w:val="Body Text"/>
    <w:aliases w:val="(Main Text),date,Body Text (Main text)"/>
    <w:basedOn w:val="Normal"/>
    <w:link w:val="BodyTextChar"/>
    <w:rsid w:val="005F5C4A"/>
    <w:pPr>
      <w:jc w:val="center"/>
    </w:pPr>
    <w:rPr>
      <w:rFonts w:ascii="Times Armenian" w:hAnsi="Times Armenian"/>
      <w:sz w:val="52"/>
      <w:szCs w:val="20"/>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webb, webb"/>
    <w:basedOn w:val="Normal"/>
    <w:link w:val="NormalWebChar"/>
    <w:uiPriority w:val="99"/>
    <w:qFormat/>
    <w:rsid w:val="00425E64"/>
    <w:pPr>
      <w:spacing w:before="100" w:beforeAutospacing="1" w:after="100" w:afterAutospacing="1"/>
    </w:pPr>
  </w:style>
  <w:style w:type="paragraph" w:styleId="Footer">
    <w:name w:val="footer"/>
    <w:basedOn w:val="Normal"/>
    <w:link w:val="FooterChar"/>
    <w:uiPriority w:val="99"/>
    <w:rsid w:val="00335FBB"/>
    <w:pPr>
      <w:tabs>
        <w:tab w:val="center" w:pos="4677"/>
        <w:tab w:val="right" w:pos="9355"/>
      </w:tabs>
    </w:pPr>
  </w:style>
  <w:style w:type="character" w:styleId="PageNumber">
    <w:name w:val="page number"/>
    <w:basedOn w:val="DefaultParagraphFont"/>
    <w:rsid w:val="00335FBB"/>
  </w:style>
  <w:style w:type="paragraph" w:styleId="BodyTextIndent">
    <w:name w:val="Body Text Indent"/>
    <w:aliases w:val=" (Table Source),(Table Source),(Table Source)1,(Table Source)11,Body Text 21"/>
    <w:basedOn w:val="Normal"/>
    <w:link w:val="BodyTextIndentChar"/>
    <w:rsid w:val="00335FBB"/>
    <w:pPr>
      <w:ind w:firstLine="708"/>
    </w:pPr>
    <w:rPr>
      <w:rFonts w:ascii="Arial Armenian" w:hAnsi="Arial Armenian"/>
    </w:rPr>
  </w:style>
  <w:style w:type="paragraph" w:styleId="Header">
    <w:name w:val="header"/>
    <w:aliases w:val="Header Char Char Char Char Char Char Char Char Char Char,Header Char Char Char Char Char Char Char Char Char Char Char Char,h"/>
    <w:basedOn w:val="Normal"/>
    <w:link w:val="HeaderChar"/>
    <w:uiPriority w:val="99"/>
    <w:rsid w:val="00D008DD"/>
    <w:pPr>
      <w:tabs>
        <w:tab w:val="center" w:pos="4677"/>
        <w:tab w:val="right" w:pos="9355"/>
      </w:tabs>
    </w:pPr>
    <w:rPr>
      <w:sz w:val="20"/>
      <w:szCs w:val="20"/>
      <w:lang w:val="en-AU" w:eastAsia="en-US"/>
    </w:rPr>
  </w:style>
  <w:style w:type="character" w:styleId="Hyperlink">
    <w:name w:val="Hyperlink"/>
    <w:uiPriority w:val="99"/>
    <w:rsid w:val="00D008DD"/>
    <w:rPr>
      <w:color w:val="0000FF"/>
      <w:u w:val="single"/>
    </w:rPr>
  </w:style>
  <w:style w:type="paragraph" w:styleId="BodyText2">
    <w:name w:val="Body Text 2"/>
    <w:aliases w:val="1Text"/>
    <w:basedOn w:val="Normal"/>
    <w:link w:val="BodyText2Char"/>
    <w:autoRedefine/>
    <w:qFormat/>
    <w:rsid w:val="008F5CA2"/>
    <w:pPr>
      <w:tabs>
        <w:tab w:val="left" w:pos="284"/>
      </w:tabs>
      <w:spacing w:before="0" w:line="276" w:lineRule="auto"/>
      <w:ind w:firstLine="720"/>
    </w:pPr>
    <w:rPr>
      <w:rFonts w:eastAsia="Calibri"/>
      <w:b w:val="0"/>
      <w:szCs w:val="22"/>
      <w:lang w:val="hy-AM" w:eastAsia="en-US"/>
    </w:rPr>
  </w:style>
  <w:style w:type="paragraph" w:styleId="BodyTextIndent2">
    <w:name w:val="Body Text Indent 2"/>
    <w:basedOn w:val="Normal"/>
    <w:link w:val="BodyTextIndent2Char"/>
    <w:rsid w:val="00473302"/>
    <w:pPr>
      <w:ind w:firstLine="720"/>
    </w:pPr>
    <w:rPr>
      <w:rFonts w:ascii="Arial Armenian" w:hAnsi="Arial Armenian"/>
      <w:bCs/>
      <w:szCs w:val="20"/>
      <w:lang w:val="en-US" w:eastAsia="en-US"/>
    </w:rPr>
  </w:style>
  <w:style w:type="paragraph" w:styleId="BlockText">
    <w:name w:val="Block Text"/>
    <w:basedOn w:val="Normal"/>
    <w:rsid w:val="00473302"/>
    <w:pPr>
      <w:ind w:left="360" w:right="-810"/>
    </w:pPr>
    <w:rPr>
      <w:rFonts w:ascii="Times Armenian" w:hAnsi="Times Armenian"/>
      <w:bCs/>
      <w:szCs w:val="20"/>
      <w:lang w:val="en-US" w:eastAsia="en-US"/>
    </w:rPr>
  </w:style>
  <w:style w:type="paragraph" w:styleId="BodyText3">
    <w:name w:val="Body Text 3"/>
    <w:basedOn w:val="Normal"/>
    <w:link w:val="BodyText3Char"/>
    <w:rsid w:val="00473302"/>
    <w:rPr>
      <w:rFonts w:ascii="Times Armenian" w:hAnsi="Times Armenian"/>
      <w:bCs/>
      <w:szCs w:val="20"/>
      <w:lang w:val="en-US" w:eastAsia="en-US"/>
    </w:rPr>
  </w:style>
  <w:style w:type="paragraph" w:customStyle="1" w:styleId="CharCharCharCharCharCharCharCharCharCharCharChar">
    <w:name w:val="Char Char Char Char Char Char Char Char Char Char Char Char"/>
    <w:basedOn w:val="Normal"/>
    <w:rsid w:val="00473302"/>
    <w:pPr>
      <w:spacing w:after="160" w:line="240" w:lineRule="exact"/>
    </w:pPr>
    <w:rPr>
      <w:rFonts w:ascii="Arial" w:hAnsi="Arial" w:cs="Arial"/>
      <w:sz w:val="20"/>
      <w:szCs w:val="20"/>
      <w:lang w:val="en-US" w:eastAsia="en-US"/>
    </w:rPr>
  </w:style>
  <w:style w:type="paragraph" w:customStyle="1" w:styleId="Char">
    <w:name w:val="Char"/>
    <w:basedOn w:val="Normal"/>
    <w:rsid w:val="00473302"/>
    <w:pPr>
      <w:spacing w:after="160" w:line="240" w:lineRule="exact"/>
    </w:pPr>
    <w:rPr>
      <w:rFonts w:ascii="Arial" w:hAnsi="Arial" w:cs="Arial"/>
      <w:sz w:val="20"/>
      <w:szCs w:val="20"/>
      <w:lang w:val="en-US" w:eastAsia="en-US"/>
    </w:rPr>
  </w:style>
  <w:style w:type="paragraph" w:styleId="Subtitle">
    <w:name w:val="Subtitle"/>
    <w:basedOn w:val="Normal"/>
    <w:link w:val="SubtitleChar"/>
    <w:qFormat/>
    <w:rsid w:val="003B72C4"/>
    <w:pPr>
      <w:jc w:val="center"/>
    </w:pPr>
    <w:rPr>
      <w:rFonts w:ascii="Times Armenian" w:hAnsi="Times Armenian"/>
      <w:bCs/>
      <w:i/>
      <w:sz w:val="26"/>
      <w:szCs w:val="20"/>
      <w:lang w:val="en-US" w:eastAsia="en-US"/>
    </w:rPr>
  </w:style>
  <w:style w:type="paragraph" w:customStyle="1" w:styleId="CharCharCharCharCharChar1CharCharCharCharCharCharCharCharChar">
    <w:name w:val="Char Char Char Char Char Char1 Char Char Char Char Char Char Char Char Char Знак Знак"/>
    <w:basedOn w:val="Normal"/>
    <w:rsid w:val="003B72C4"/>
    <w:pPr>
      <w:spacing w:after="160" w:line="240" w:lineRule="exact"/>
    </w:pPr>
    <w:rPr>
      <w:rFonts w:ascii="Arial" w:hAnsi="Arial" w:cs="Arial"/>
      <w:sz w:val="20"/>
      <w:szCs w:val="20"/>
      <w:lang w:val="en-US" w:eastAsia="en-US"/>
    </w:rPr>
  </w:style>
  <w:style w:type="paragraph" w:customStyle="1" w:styleId="a0">
    <w:name w:val="Знак Знак"/>
    <w:basedOn w:val="Normal"/>
    <w:link w:val="Char0"/>
    <w:rsid w:val="003B72C4"/>
    <w:pPr>
      <w:spacing w:after="160" w:line="240" w:lineRule="exact"/>
    </w:pPr>
    <w:rPr>
      <w:rFonts w:ascii="Arial" w:hAnsi="Arial" w:cs="Arial"/>
      <w:sz w:val="20"/>
      <w:szCs w:val="20"/>
      <w:lang w:val="en-US" w:eastAsia="en-US"/>
    </w:rPr>
  </w:style>
  <w:style w:type="paragraph" w:customStyle="1" w:styleId="Char9">
    <w:name w:val="Char9"/>
    <w:basedOn w:val="Normal"/>
    <w:rsid w:val="003B72C4"/>
    <w:pPr>
      <w:spacing w:after="160" w:line="240" w:lineRule="exact"/>
    </w:pPr>
    <w:rPr>
      <w:rFonts w:ascii="Arial" w:hAnsi="Arial" w:cs="Arial"/>
      <w:sz w:val="20"/>
      <w:szCs w:val="20"/>
      <w:lang w:val="en-US" w:eastAsia="en-US"/>
    </w:rPr>
  </w:style>
  <w:style w:type="paragraph" w:customStyle="1" w:styleId="Style1">
    <w:name w:val="Style1"/>
    <w:basedOn w:val="Normal"/>
    <w:link w:val="Style1Char"/>
    <w:qFormat/>
    <w:rsid w:val="003B72C4"/>
    <w:pPr>
      <w:widowControl w:val="0"/>
      <w:autoSpaceDE w:val="0"/>
      <w:autoSpaceDN w:val="0"/>
      <w:adjustRightInd w:val="0"/>
    </w:pPr>
    <w:rPr>
      <w:rFonts w:ascii="Sylfaen" w:hAnsi="Sylfaen"/>
      <w:lang w:val="en-US" w:eastAsia="en-US"/>
    </w:rPr>
  </w:style>
  <w:style w:type="paragraph" w:customStyle="1" w:styleId="Style2">
    <w:name w:val="Style2"/>
    <w:basedOn w:val="Normal"/>
    <w:rsid w:val="003B72C4"/>
    <w:pPr>
      <w:widowControl w:val="0"/>
      <w:autoSpaceDE w:val="0"/>
      <w:autoSpaceDN w:val="0"/>
      <w:adjustRightInd w:val="0"/>
    </w:pPr>
    <w:rPr>
      <w:rFonts w:ascii="Sylfaen" w:hAnsi="Sylfaen"/>
      <w:lang w:val="en-US" w:eastAsia="en-US"/>
    </w:rPr>
  </w:style>
  <w:style w:type="paragraph" w:customStyle="1" w:styleId="Style3">
    <w:name w:val="Style3"/>
    <w:basedOn w:val="Normal"/>
    <w:rsid w:val="003B72C4"/>
    <w:pPr>
      <w:widowControl w:val="0"/>
      <w:autoSpaceDE w:val="0"/>
      <w:autoSpaceDN w:val="0"/>
      <w:adjustRightInd w:val="0"/>
    </w:pPr>
    <w:rPr>
      <w:rFonts w:ascii="Sylfaen" w:hAnsi="Sylfaen"/>
      <w:lang w:val="en-US" w:eastAsia="en-US"/>
    </w:rPr>
  </w:style>
  <w:style w:type="paragraph" w:customStyle="1" w:styleId="Style4">
    <w:name w:val="Style4"/>
    <w:basedOn w:val="Normal"/>
    <w:rsid w:val="003B72C4"/>
    <w:pPr>
      <w:widowControl w:val="0"/>
      <w:autoSpaceDE w:val="0"/>
      <w:autoSpaceDN w:val="0"/>
      <w:adjustRightInd w:val="0"/>
    </w:pPr>
    <w:rPr>
      <w:rFonts w:ascii="Sylfaen" w:hAnsi="Sylfaen"/>
      <w:lang w:val="en-US" w:eastAsia="en-US"/>
    </w:rPr>
  </w:style>
  <w:style w:type="paragraph" w:customStyle="1" w:styleId="CharCharCharChar">
    <w:name w:val="Char Char Char Char"/>
    <w:basedOn w:val="Normal"/>
    <w:rsid w:val="003B72C4"/>
    <w:pPr>
      <w:spacing w:after="160" w:line="240" w:lineRule="exact"/>
    </w:pPr>
    <w:rPr>
      <w:rFonts w:ascii="Arial" w:hAnsi="Arial" w:cs="Arial"/>
      <w:sz w:val="20"/>
      <w:szCs w:val="20"/>
      <w:lang w:val="en-US" w:eastAsia="en-US"/>
    </w:rPr>
  </w:style>
  <w:style w:type="paragraph" w:customStyle="1" w:styleId="Text">
    <w:name w:val="Text"/>
    <w:basedOn w:val="Normal"/>
    <w:link w:val="TextChar"/>
    <w:autoRedefine/>
    <w:rsid w:val="0002358C"/>
    <w:pPr>
      <w:numPr>
        <w:numId w:val="3"/>
      </w:numPr>
      <w:overflowPunct w:val="0"/>
      <w:autoSpaceDE w:val="0"/>
      <w:autoSpaceDN w:val="0"/>
      <w:adjustRightInd w:val="0"/>
      <w:spacing w:after="220"/>
    </w:pPr>
    <w:rPr>
      <w:szCs w:val="20"/>
      <w:lang w:val="en-GB" w:eastAsia="en-US"/>
    </w:rPr>
  </w:style>
  <w:style w:type="character" w:customStyle="1" w:styleId="FontStyle11">
    <w:name w:val="Font Style11"/>
    <w:rsid w:val="003B72C4"/>
    <w:rPr>
      <w:rFonts w:ascii="Sylfaen" w:hAnsi="Sylfaen" w:cs="Sylfaen" w:hint="default"/>
      <w:b/>
      <w:bCs/>
      <w:sz w:val="26"/>
      <w:szCs w:val="26"/>
    </w:rPr>
  </w:style>
  <w:style w:type="character" w:customStyle="1" w:styleId="FontStyle12">
    <w:name w:val="Font Style12"/>
    <w:rsid w:val="003B72C4"/>
    <w:rPr>
      <w:rFonts w:ascii="Sylfaen" w:hAnsi="Sylfaen" w:cs="Sylfaen" w:hint="default"/>
      <w:b/>
      <w:bCs/>
      <w:spacing w:val="10"/>
      <w:sz w:val="32"/>
      <w:szCs w:val="32"/>
    </w:rPr>
  </w:style>
  <w:style w:type="character" w:customStyle="1" w:styleId="FontStyle13">
    <w:name w:val="Font Style13"/>
    <w:rsid w:val="003B72C4"/>
    <w:rPr>
      <w:rFonts w:ascii="Sylfaen" w:hAnsi="Sylfaen" w:cs="Sylfaen" w:hint="default"/>
      <w:b/>
      <w:bCs/>
      <w:sz w:val="14"/>
      <w:szCs w:val="14"/>
    </w:rPr>
  </w:style>
  <w:style w:type="character" w:customStyle="1" w:styleId="FontStyle14">
    <w:name w:val="Font Style14"/>
    <w:rsid w:val="003B72C4"/>
    <w:rPr>
      <w:rFonts w:ascii="Sylfaen" w:hAnsi="Sylfaen" w:cs="Sylfaen" w:hint="default"/>
      <w:b/>
      <w:bCs/>
      <w:sz w:val="16"/>
      <w:szCs w:val="16"/>
    </w:rPr>
  </w:style>
  <w:style w:type="character" w:customStyle="1" w:styleId="Heading3CharCharCharCharCharCharChar">
    <w:name w:val="Heading 3 Char Char Char Char Char Char Char"/>
    <w:rsid w:val="003B72C4"/>
    <w:rPr>
      <w:rFonts w:ascii="Times Armenian" w:hAnsi="Times Armenian" w:hint="default"/>
      <w:b/>
      <w:bCs/>
      <w:sz w:val="24"/>
      <w:szCs w:val="24"/>
      <w:lang w:val="en-GB" w:eastAsia="en-US" w:bidi="ar-SA"/>
    </w:rPr>
  </w:style>
  <w:style w:type="character" w:styleId="FollowedHyperlink">
    <w:name w:val="FollowedHyperlink"/>
    <w:rsid w:val="003B72C4"/>
    <w:rPr>
      <w:color w:val="0000FF"/>
      <w:u w:val="single"/>
    </w:rPr>
  </w:style>
  <w:style w:type="paragraph" w:styleId="BalloonText">
    <w:name w:val="Balloon Text"/>
    <w:basedOn w:val="Normal"/>
    <w:link w:val="BalloonTextChar"/>
    <w:uiPriority w:val="99"/>
    <w:rsid w:val="000776D9"/>
    <w:rPr>
      <w:rFonts w:ascii="Tahoma" w:hAnsi="Tahoma" w:cs="Tahoma"/>
      <w:sz w:val="16"/>
      <w:szCs w:val="16"/>
    </w:rPr>
  </w:style>
  <w:style w:type="paragraph" w:styleId="ListParagraph">
    <w:name w:val="List Paragraph"/>
    <w:aliases w:val="List_Paragraph,Multilevel para_II,List Paragraph1,Akapit z listą BS,Bullet1,Bullets,List Paragraph 1,References,List Paragraph (numbered (a)),IBL List Paragraph,List Paragraph nowy,Numbered List Paragraph,List Paragraph11,Ha,OBC Bullet"/>
    <w:basedOn w:val="Normal"/>
    <w:link w:val="ListParagraphChar"/>
    <w:uiPriority w:val="34"/>
    <w:qFormat/>
    <w:rsid w:val="00DA54A9"/>
    <w:pPr>
      <w:ind w:left="720"/>
    </w:pPr>
  </w:style>
  <w:style w:type="paragraph" w:customStyle="1" w:styleId="CM2">
    <w:name w:val="CM2"/>
    <w:basedOn w:val="Normal"/>
    <w:next w:val="Normal"/>
    <w:rsid w:val="00093193"/>
    <w:pPr>
      <w:widowControl w:val="0"/>
      <w:autoSpaceDE w:val="0"/>
      <w:autoSpaceDN w:val="0"/>
      <w:adjustRightInd w:val="0"/>
      <w:spacing w:line="356" w:lineRule="atLeast"/>
    </w:pPr>
    <w:rPr>
      <w:rFonts w:ascii="Arial Armenian" w:hAnsi="Arial Armenian"/>
      <w:lang w:val="en-US" w:eastAsia="en-US"/>
    </w:rPr>
  </w:style>
  <w:style w:type="paragraph" w:customStyle="1" w:styleId="Default">
    <w:name w:val="Default"/>
    <w:link w:val="DefaultChar"/>
    <w:rsid w:val="00193290"/>
    <w:pPr>
      <w:widowControl w:val="0"/>
      <w:autoSpaceDE w:val="0"/>
      <w:autoSpaceDN w:val="0"/>
      <w:adjustRightInd w:val="0"/>
    </w:pPr>
    <w:rPr>
      <w:rFonts w:ascii="Sylfaen" w:hAnsi="Sylfaen" w:cs="Sylfaen"/>
      <w:color w:val="000000"/>
      <w:sz w:val="24"/>
      <w:szCs w:val="24"/>
    </w:rPr>
  </w:style>
  <w:style w:type="paragraph" w:customStyle="1" w:styleId="CM32">
    <w:name w:val="CM32"/>
    <w:basedOn w:val="Normal"/>
    <w:next w:val="Normal"/>
    <w:rsid w:val="00B16699"/>
    <w:pPr>
      <w:widowControl w:val="0"/>
      <w:autoSpaceDE w:val="0"/>
      <w:autoSpaceDN w:val="0"/>
      <w:adjustRightInd w:val="0"/>
      <w:spacing w:after="233"/>
    </w:pPr>
    <w:rPr>
      <w:rFonts w:ascii="Arial Armenian" w:hAnsi="Arial Armenian"/>
      <w:lang w:val="en-US" w:eastAsia="en-US"/>
    </w:rPr>
  </w:style>
  <w:style w:type="paragraph" w:customStyle="1" w:styleId="CM4">
    <w:name w:val="CM4"/>
    <w:basedOn w:val="Default"/>
    <w:next w:val="Default"/>
    <w:uiPriority w:val="99"/>
    <w:rsid w:val="00627DFA"/>
    <w:pPr>
      <w:spacing w:line="248" w:lineRule="atLeast"/>
    </w:pPr>
    <w:rPr>
      <w:rFonts w:ascii="Arial Armenian" w:hAnsi="Arial Armenian" w:cs="Times New Roman"/>
      <w:color w:val="auto"/>
    </w:rPr>
  </w:style>
  <w:style w:type="paragraph" w:customStyle="1" w:styleId="1">
    <w:name w:val="Знак Знак1"/>
    <w:basedOn w:val="Normal"/>
    <w:rsid w:val="005769C1"/>
    <w:pPr>
      <w:spacing w:after="160" w:line="240" w:lineRule="exact"/>
    </w:pPr>
    <w:rPr>
      <w:rFonts w:ascii="Arial" w:hAnsi="Arial" w:cs="Arial"/>
      <w:sz w:val="20"/>
      <w:szCs w:val="20"/>
      <w:lang w:val="en-GB" w:eastAsia="en-US"/>
    </w:rPr>
  </w:style>
  <w:style w:type="paragraph" w:customStyle="1" w:styleId="2">
    <w:name w:val="Знак Знак2"/>
    <w:basedOn w:val="Normal"/>
    <w:rsid w:val="00A836D7"/>
    <w:pPr>
      <w:spacing w:after="160"/>
      <w:ind w:firstLine="709"/>
    </w:pPr>
    <w:rPr>
      <w:rFonts w:ascii="Arial AMU" w:hAnsi="Arial AMU" w:cs="Arial"/>
      <w:szCs w:val="20"/>
      <w:lang w:val="en-US" w:eastAsia="en-US"/>
    </w:rPr>
  </w:style>
  <w:style w:type="paragraph" w:customStyle="1" w:styleId="14">
    <w:name w:val="Знак Знак14"/>
    <w:basedOn w:val="Normal"/>
    <w:rsid w:val="00513314"/>
    <w:pPr>
      <w:spacing w:after="160" w:line="240" w:lineRule="exact"/>
    </w:pPr>
    <w:rPr>
      <w:rFonts w:ascii="Arial" w:hAnsi="Arial" w:cs="Arial"/>
      <w:sz w:val="20"/>
      <w:szCs w:val="20"/>
      <w:lang w:val="en-GB" w:eastAsia="en-US"/>
    </w:rPr>
  </w:style>
  <w:style w:type="paragraph" w:customStyle="1" w:styleId="CharCharCharCharCharCharCharCharCharCharChar">
    <w:name w:val="Char Char Char Знак Char Char Char Char Char Знак Char Char Char"/>
    <w:basedOn w:val="Normal"/>
    <w:rsid w:val="004900E7"/>
    <w:pPr>
      <w:spacing w:after="160" w:line="240" w:lineRule="exact"/>
    </w:pPr>
    <w:rPr>
      <w:rFonts w:ascii="Arial" w:hAnsi="Arial" w:cs="Arial"/>
      <w:sz w:val="20"/>
      <w:szCs w:val="20"/>
      <w:lang w:val="en-US" w:eastAsia="en-US"/>
    </w:rPr>
  </w:style>
  <w:style w:type="paragraph" w:customStyle="1" w:styleId="mechtex">
    <w:name w:val="mechtex"/>
    <w:basedOn w:val="Normal"/>
    <w:link w:val="mechtexChar"/>
    <w:uiPriority w:val="99"/>
    <w:rsid w:val="00C719CB"/>
    <w:pPr>
      <w:jc w:val="center"/>
    </w:pPr>
    <w:rPr>
      <w:rFonts w:ascii="Arial Armenian" w:hAnsi="Arial Armenian"/>
      <w:szCs w:val="20"/>
      <w:lang w:val="en-US"/>
    </w:rPr>
  </w:style>
  <w:style w:type="character" w:customStyle="1" w:styleId="mechtexChar">
    <w:name w:val="mechtex Char"/>
    <w:link w:val="mechtex"/>
    <w:uiPriority w:val="99"/>
    <w:rsid w:val="00C719CB"/>
    <w:rPr>
      <w:rFonts w:ascii="Arial Armenian" w:hAnsi="Arial Armenian"/>
      <w:sz w:val="22"/>
      <w:lang w:val="en-US" w:eastAsia="ru-RU" w:bidi="ar-SA"/>
    </w:rPr>
  </w:style>
  <w:style w:type="character" w:styleId="Strong">
    <w:name w:val="Strong"/>
    <w:qFormat/>
    <w:rsid w:val="003A5A6F"/>
    <w:rPr>
      <w:b/>
      <w:bCs/>
    </w:rPr>
  </w:style>
  <w:style w:type="character" w:customStyle="1" w:styleId="apple-converted-space">
    <w:name w:val="apple-converted-space"/>
    <w:rsid w:val="00680C30"/>
  </w:style>
  <w:style w:type="paragraph" w:styleId="DocumentMap">
    <w:name w:val="Document Map"/>
    <w:basedOn w:val="Normal"/>
    <w:link w:val="DocumentMapChar"/>
    <w:uiPriority w:val="99"/>
    <w:rsid w:val="00A503EB"/>
    <w:pPr>
      <w:shd w:val="clear" w:color="auto" w:fill="000080"/>
    </w:pPr>
    <w:rPr>
      <w:rFonts w:ascii="Tahoma" w:hAnsi="Tahoma" w:cs="Tahoma"/>
      <w:sz w:val="20"/>
      <w:szCs w:val="20"/>
    </w:rPr>
  </w:style>
  <w:style w:type="paragraph" w:customStyle="1" w:styleId="CharCharChar">
    <w:name w:val="Char Char Char Знак"/>
    <w:basedOn w:val="Normal"/>
    <w:next w:val="Normal"/>
    <w:rsid w:val="002A51A9"/>
    <w:pPr>
      <w:spacing w:after="160" w:line="240" w:lineRule="exact"/>
    </w:pPr>
    <w:rPr>
      <w:rFonts w:ascii="Tahoma" w:hAnsi="Tahoma"/>
      <w:szCs w:val="20"/>
      <w:lang w:val="en-US" w:eastAsia="en-US"/>
    </w:rPr>
  </w:style>
  <w:style w:type="paragraph" w:customStyle="1" w:styleId="Graphic">
    <w:name w:val="Graphic"/>
    <w:basedOn w:val="Normal"/>
    <w:rsid w:val="00C947B2"/>
    <w:pPr>
      <w:keepNext/>
      <w:overflowPunct w:val="0"/>
      <w:autoSpaceDE w:val="0"/>
      <w:autoSpaceDN w:val="0"/>
      <w:adjustRightInd w:val="0"/>
      <w:spacing w:after="130"/>
      <w:jc w:val="center"/>
      <w:textAlignment w:val="baseline"/>
    </w:pPr>
    <w:rPr>
      <w:szCs w:val="20"/>
      <w:lang w:val="en-GB" w:eastAsia="en-US"/>
    </w:rPr>
  </w:style>
  <w:style w:type="character" w:customStyle="1" w:styleId="StyleGHEAGrapalatJustifiedBefore12ptChar">
    <w:name w:val="Style GHEA Grapalat Justified Before:  12 pt Char"/>
    <w:link w:val="StyleGHEAGrapalatJustifiedBefore12pt"/>
    <w:locked/>
    <w:rsid w:val="00E472EB"/>
    <w:rPr>
      <w:rFonts w:ascii="GHEA Grapalat" w:hAnsi="GHEA Grapalat"/>
      <w:b/>
      <w:noProof/>
      <w:sz w:val="22"/>
      <w:lang w:val="ru-RU" w:eastAsia="ru-RU"/>
    </w:rPr>
  </w:style>
  <w:style w:type="paragraph" w:customStyle="1" w:styleId="StyleGHEAGrapalatJustifiedBefore12pt">
    <w:name w:val="Style GHEA Grapalat Justified Before:  12 pt"/>
    <w:basedOn w:val="Normal"/>
    <w:link w:val="StyleGHEAGrapalatJustifiedBefore12ptChar"/>
    <w:rsid w:val="00E472EB"/>
    <w:pPr>
      <w:numPr>
        <w:numId w:val="1"/>
      </w:numPr>
      <w:spacing w:before="240" w:after="240"/>
    </w:pPr>
    <w:rPr>
      <w:noProof/>
      <w:szCs w:val="20"/>
    </w:rPr>
  </w:style>
  <w:style w:type="paragraph" w:customStyle="1" w:styleId="Bullet1">
    <w:name w:val="Bullet 1"/>
    <w:basedOn w:val="Normal"/>
    <w:autoRedefine/>
    <w:qFormat/>
    <w:rsid w:val="004D4C68"/>
    <w:pPr>
      <w:numPr>
        <w:numId w:val="13"/>
      </w:numPr>
      <w:tabs>
        <w:tab w:val="left" w:pos="851"/>
      </w:tabs>
      <w:overflowPunct w:val="0"/>
      <w:autoSpaceDE w:val="0"/>
      <w:autoSpaceDN w:val="0"/>
      <w:adjustRightInd w:val="0"/>
      <w:spacing w:before="0"/>
      <w:ind w:left="1248" w:hanging="397"/>
      <w:textAlignment w:val="baseline"/>
    </w:pPr>
    <w:rPr>
      <w:b w:val="0"/>
      <w:szCs w:val="20"/>
      <w:lang w:val="en-GB" w:eastAsia="en-US"/>
    </w:rPr>
  </w:style>
  <w:style w:type="character" w:customStyle="1" w:styleId="longtext">
    <w:name w:val="long_text"/>
    <w:basedOn w:val="DefaultParagraphFont"/>
    <w:rsid w:val="00115664"/>
  </w:style>
  <w:style w:type="character" w:customStyle="1" w:styleId="CharChar6">
    <w:name w:val="Char Char6"/>
    <w:uiPriority w:val="99"/>
    <w:rsid w:val="00B5740E"/>
    <w:rPr>
      <w:rFonts w:ascii="Arial Armenian" w:hAnsi="Arial Armenian" w:cs="Arial Armenian"/>
      <w:b/>
      <w:bCs/>
      <w:sz w:val="18"/>
      <w:szCs w:val="18"/>
      <w:lang w:eastAsia="ru-RU"/>
    </w:rPr>
  </w:style>
  <w:style w:type="character" w:customStyle="1" w:styleId="BodyTextIndentChar">
    <w:name w:val="Body Text Indent Char"/>
    <w:aliases w:val=" (Table Source) Char,(Table Source) Char,(Table Source)1 Char,(Table Source)11 Char,Body Text 21 Char"/>
    <w:link w:val="BodyTextIndent"/>
    <w:rsid w:val="00275883"/>
    <w:rPr>
      <w:rFonts w:ascii="Arial Armenian" w:hAnsi="Arial Armenian"/>
      <w:sz w:val="24"/>
      <w:szCs w:val="24"/>
      <w:lang w:eastAsia="ru-RU"/>
    </w:rPr>
  </w:style>
  <w:style w:type="character" w:customStyle="1" w:styleId="BodyTextChar">
    <w:name w:val="Body Text Char"/>
    <w:aliases w:val="(Main Text) Char,date Char,Body Text (Main text) Char"/>
    <w:link w:val="BodyText"/>
    <w:locked/>
    <w:rsid w:val="007F6A4C"/>
    <w:rPr>
      <w:rFonts w:ascii="Times Armenian" w:hAnsi="Times Armenian"/>
      <w:sz w:val="52"/>
      <w:lang w:eastAsia="ru-RU"/>
    </w:rPr>
  </w:style>
  <w:style w:type="character" w:customStyle="1" w:styleId="FooterChar">
    <w:name w:val="Footer Char"/>
    <w:link w:val="Footer"/>
    <w:uiPriority w:val="99"/>
    <w:rsid w:val="00F52B25"/>
    <w:rPr>
      <w:sz w:val="24"/>
      <w:szCs w:val="24"/>
      <w:lang w:val="ru-RU" w:eastAsia="ru-RU"/>
    </w:rPr>
  </w:style>
  <w:style w:type="character" w:customStyle="1" w:styleId="ListParagraphChar">
    <w:name w:val="List Paragraph Char"/>
    <w:aliases w:val="List_Paragraph Char,Multilevel para_II Char,List Paragraph1 Char,Akapit z listą BS Char,Bullet1 Char,Bullets Char,List Paragraph 1 Char,References Char,List Paragraph (numbered (a)) Char,IBL List Paragraph Char,List Paragraph11 Char"/>
    <w:link w:val="ListParagraph"/>
    <w:uiPriority w:val="34"/>
    <w:qFormat/>
    <w:locked/>
    <w:rsid w:val="00C3777C"/>
    <w:rPr>
      <w:sz w:val="24"/>
      <w:szCs w:val="24"/>
    </w:rPr>
  </w:style>
  <w:style w:type="paragraph" w:styleId="BodyTextIndent3">
    <w:name w:val="Body Text Indent 3"/>
    <w:basedOn w:val="Normal"/>
    <w:link w:val="BodyTextIndent3Char"/>
    <w:rsid w:val="00101E4C"/>
    <w:pPr>
      <w:spacing w:after="120"/>
      <w:ind w:left="360"/>
    </w:pPr>
    <w:rPr>
      <w:sz w:val="16"/>
      <w:szCs w:val="16"/>
    </w:rPr>
  </w:style>
  <w:style w:type="character" w:customStyle="1" w:styleId="BodyTextIndent3Char">
    <w:name w:val="Body Text Indent 3 Char"/>
    <w:link w:val="BodyTextIndent3"/>
    <w:rsid w:val="00101E4C"/>
    <w:rPr>
      <w:sz w:val="16"/>
      <w:szCs w:val="16"/>
      <w:lang w:val="ru-RU" w:eastAsia="ru-RU"/>
    </w:rPr>
  </w:style>
  <w:style w:type="paragraph" w:styleId="Title">
    <w:name w:val="Title"/>
    <w:basedOn w:val="Normal"/>
    <w:next w:val="Normal"/>
    <w:link w:val="TitleChar"/>
    <w:autoRedefine/>
    <w:qFormat/>
    <w:rsid w:val="00D6329B"/>
    <w:pPr>
      <w:spacing w:before="720" w:after="720"/>
      <w:ind w:firstLine="0"/>
      <w:jc w:val="center"/>
      <w:outlineLvl w:val="0"/>
    </w:pPr>
    <w:rPr>
      <w:b w:val="0"/>
      <w:bCs/>
      <w:kern w:val="28"/>
      <w:sz w:val="32"/>
      <w:szCs w:val="32"/>
    </w:rPr>
  </w:style>
  <w:style w:type="character" w:customStyle="1" w:styleId="TitleChar">
    <w:name w:val="Title Char"/>
    <w:link w:val="Title"/>
    <w:rsid w:val="00D6329B"/>
    <w:rPr>
      <w:rFonts w:ascii="GHEA Grapalat" w:hAnsi="GHEA Grapalat"/>
      <w:b/>
      <w:bCs/>
      <w:kern w:val="28"/>
      <w:sz w:val="32"/>
      <w:szCs w:val="32"/>
      <w:lang w:val="ru-RU" w:eastAsia="ru-RU"/>
    </w:rPr>
  </w:style>
  <w:style w:type="paragraph" w:styleId="TOC2">
    <w:name w:val="toc 2"/>
    <w:basedOn w:val="Normal"/>
    <w:next w:val="Normal"/>
    <w:autoRedefine/>
    <w:uiPriority w:val="39"/>
    <w:qFormat/>
    <w:rsid w:val="007F21D5"/>
    <w:pPr>
      <w:tabs>
        <w:tab w:val="left" w:pos="1134"/>
        <w:tab w:val="left" w:pos="1276"/>
        <w:tab w:val="right" w:leader="dot" w:pos="10065"/>
      </w:tabs>
      <w:spacing w:after="100"/>
      <w:ind w:left="284" w:firstLine="0"/>
      <w:jc w:val="left"/>
    </w:pPr>
  </w:style>
  <w:style w:type="paragraph" w:styleId="TOC1">
    <w:name w:val="toc 1"/>
    <w:basedOn w:val="Normal"/>
    <w:next w:val="Normal"/>
    <w:autoRedefine/>
    <w:uiPriority w:val="39"/>
    <w:qFormat/>
    <w:rsid w:val="003F3E0E"/>
    <w:pPr>
      <w:tabs>
        <w:tab w:val="right" w:leader="dot" w:pos="10065"/>
      </w:tabs>
      <w:spacing w:after="100"/>
      <w:ind w:firstLine="0"/>
    </w:pPr>
  </w:style>
  <w:style w:type="paragraph" w:styleId="TOC3">
    <w:name w:val="toc 3"/>
    <w:basedOn w:val="Normal"/>
    <w:next w:val="Normal"/>
    <w:autoRedefine/>
    <w:uiPriority w:val="39"/>
    <w:qFormat/>
    <w:rsid w:val="004D4C68"/>
    <w:pPr>
      <w:tabs>
        <w:tab w:val="left" w:pos="1276"/>
        <w:tab w:val="right" w:leader="dot" w:pos="10055"/>
      </w:tabs>
      <w:spacing w:after="100"/>
      <w:ind w:left="567" w:firstLine="0"/>
      <w:jc w:val="left"/>
    </w:pPr>
  </w:style>
  <w:style w:type="paragraph" w:customStyle="1" w:styleId="Tables">
    <w:name w:val="Tables"/>
    <w:basedOn w:val="Normal"/>
    <w:autoRedefine/>
    <w:qFormat/>
    <w:rsid w:val="00866D50"/>
    <w:pPr>
      <w:keepNext/>
      <w:numPr>
        <w:numId w:val="16"/>
      </w:numPr>
      <w:spacing w:before="0" w:line="276" w:lineRule="auto"/>
      <w:ind w:hanging="1350"/>
      <w:contextualSpacing w:val="0"/>
      <w:jc w:val="left"/>
    </w:pPr>
    <w:rPr>
      <w:rFonts w:cs="Sylfaen"/>
      <w:szCs w:val="22"/>
      <w:lang w:val="af-ZA"/>
    </w:rPr>
  </w:style>
  <w:style w:type="paragraph" w:customStyle="1" w:styleId="Charts">
    <w:name w:val="Charts"/>
    <w:basedOn w:val="Normal"/>
    <w:autoRedefine/>
    <w:qFormat/>
    <w:rsid w:val="00263EE6"/>
    <w:pPr>
      <w:keepNext/>
      <w:numPr>
        <w:numId w:val="17"/>
      </w:numPr>
      <w:tabs>
        <w:tab w:val="left" w:pos="795"/>
      </w:tabs>
      <w:spacing w:before="360" w:after="120" w:line="240" w:lineRule="auto"/>
    </w:pPr>
    <w:rPr>
      <w:rFonts w:cs="Sylfaen"/>
      <w:szCs w:val="22"/>
      <w:u w:val="single"/>
      <w:lang w:val="it-IT"/>
    </w:rPr>
  </w:style>
  <w:style w:type="paragraph" w:styleId="Caption">
    <w:name w:val="caption"/>
    <w:aliases w:val="(Table Title),(Table Title) Char Char Char Char Char Char Char Char Char Char, (Table Title), (Table Title) Char Char Char Char Char Char Char Char Char Char"/>
    <w:basedOn w:val="Normal"/>
    <w:next w:val="Normal"/>
    <w:uiPriority w:val="35"/>
    <w:unhideWhenUsed/>
    <w:qFormat/>
    <w:rsid w:val="00C93040"/>
    <w:pPr>
      <w:spacing w:after="200"/>
    </w:pPr>
    <w:rPr>
      <w:b w:val="0"/>
      <w:bCs/>
      <w:color w:val="4F81BD" w:themeColor="accent1"/>
      <w:sz w:val="18"/>
      <w:szCs w:val="18"/>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
    <w:uiPriority w:val="99"/>
    <w:rsid w:val="00BB1F69"/>
    <w:rPr>
      <w:rFonts w:ascii="Arial Armenian" w:hAnsi="Arial Armenian"/>
      <w:sz w:val="20"/>
      <w:szCs w:val="20"/>
      <w:vertAlign w:val="superscript"/>
    </w:rPr>
  </w:style>
  <w:style w:type="paragraph" w:styleId="FootnoteText">
    <w:name w:val="footnote text"/>
    <w:aliases w:val="fn,ADB,single space,footnote text Char,fn Char,ADB Char,single space Char Char,footnote text,FOOTNOTES Char,FOOTNOTES Char Char Char,FOOTNOTES,Footnote Text Char Char Char,Footnote Text Char Char Char Char Char,f,Footnote Text Char2 Char"/>
    <w:basedOn w:val="Normal"/>
    <w:link w:val="FootnoteTextChar1"/>
    <w:autoRedefine/>
    <w:qFormat/>
    <w:rsid w:val="00DE6C7D"/>
    <w:pPr>
      <w:spacing w:before="0" w:line="240" w:lineRule="auto"/>
      <w:ind w:firstLine="0"/>
    </w:pPr>
    <w:rPr>
      <w:b w:val="0"/>
      <w:iCs/>
      <w:sz w:val="16"/>
      <w:szCs w:val="16"/>
      <w:lang w:val="en-GB" w:eastAsia="en-US"/>
    </w:rPr>
  </w:style>
  <w:style w:type="character" w:customStyle="1" w:styleId="FootnoteTextChar">
    <w:name w:val="Footnote Text Char"/>
    <w:aliases w:val="footnote text Char3,FOOTNOTES Char Char1,FOOTNOTES Char Char Char Char1,FOOTNOTES Char2,Footnote Text Char2 Char Char,fn Char2,ADB Char2,single space Char1,footnote text Char Char1,fn Char Char1,ADB Char Char1,footnote text Char2"/>
    <w:basedOn w:val="DefaultParagraphFont"/>
    <w:rsid w:val="00BB1F69"/>
    <w:rPr>
      <w:lang w:val="ru-RU" w:eastAsia="ru-RU"/>
    </w:rPr>
  </w:style>
  <w:style w:type="character" w:customStyle="1" w:styleId="FootnoteTextChar1">
    <w:name w:val="Footnote Text Char1"/>
    <w:aliases w:val="fn Char1,ADB Char1,single space Char,footnote text Char Char,fn Char Char,ADB Char Char,single space Char Char Char,footnote text Char1,FOOTNOTES Char Char,FOOTNOTES Char Char Char Char,FOOTNOTES Char1,f Char"/>
    <w:link w:val="FootnoteText"/>
    <w:uiPriority w:val="99"/>
    <w:rsid w:val="00DE6C7D"/>
    <w:rPr>
      <w:rFonts w:ascii="GHEA Grapalat" w:hAnsi="GHEA Grapalat"/>
      <w:iCs/>
      <w:sz w:val="16"/>
      <w:szCs w:val="16"/>
      <w:lang w:val="en-GB"/>
    </w:rPr>
  </w:style>
  <w:style w:type="paragraph" w:styleId="Revision">
    <w:name w:val="Revision"/>
    <w:hidden/>
    <w:uiPriority w:val="99"/>
    <w:semiHidden/>
    <w:rsid w:val="00E759BC"/>
    <w:rPr>
      <w:sz w:val="24"/>
      <w:szCs w:val="24"/>
      <w:lang w:val="ru-RU" w:eastAsia="ru-RU"/>
    </w:rPr>
  </w:style>
  <w:style w:type="paragraph" w:customStyle="1" w:styleId="Bullet2">
    <w:name w:val="Bullet 2"/>
    <w:basedOn w:val="Normal"/>
    <w:autoRedefine/>
    <w:qFormat/>
    <w:rsid w:val="00530B17"/>
    <w:pPr>
      <w:widowControl w:val="0"/>
      <w:spacing w:before="0" w:line="276" w:lineRule="auto"/>
      <w:ind w:firstLine="630"/>
    </w:pPr>
    <w:rPr>
      <w:rFonts w:eastAsia="Calibri" w:cs="Sylfaen"/>
      <w:b w:val="0"/>
      <w:szCs w:val="22"/>
      <w:lang w:val="af-ZA"/>
    </w:rPr>
  </w:style>
  <w:style w:type="paragraph" w:customStyle="1" w:styleId="StyleLeft1cmFirstline0cmRight032cm">
    <w:name w:val="Style Left:  1 cm First line:  0 cm Right:  0.32 cm"/>
    <w:basedOn w:val="Normal"/>
    <w:autoRedefine/>
    <w:rsid w:val="00735DDA"/>
    <w:pPr>
      <w:ind w:left="567" w:right="180" w:firstLine="0"/>
    </w:pPr>
    <w:rPr>
      <w:szCs w:val="20"/>
    </w:rPr>
  </w:style>
  <w:style w:type="character" w:styleId="CommentReference">
    <w:name w:val="annotation reference"/>
    <w:basedOn w:val="DefaultParagraphFont"/>
    <w:uiPriority w:val="99"/>
    <w:rsid w:val="00FA0FC3"/>
    <w:rPr>
      <w:sz w:val="16"/>
      <w:szCs w:val="16"/>
    </w:rPr>
  </w:style>
  <w:style w:type="paragraph" w:styleId="CommentText">
    <w:name w:val="annotation text"/>
    <w:basedOn w:val="Normal"/>
    <w:link w:val="CommentTextChar"/>
    <w:uiPriority w:val="99"/>
    <w:rsid w:val="00FA0FC3"/>
    <w:pPr>
      <w:spacing w:line="240" w:lineRule="auto"/>
    </w:pPr>
    <w:rPr>
      <w:sz w:val="20"/>
      <w:szCs w:val="20"/>
    </w:rPr>
  </w:style>
  <w:style w:type="character" w:customStyle="1" w:styleId="CommentTextChar">
    <w:name w:val="Comment Text Char"/>
    <w:basedOn w:val="DefaultParagraphFont"/>
    <w:link w:val="CommentText"/>
    <w:uiPriority w:val="99"/>
    <w:rsid w:val="00FA0FC3"/>
    <w:rPr>
      <w:rFonts w:ascii="GHEA Grapalat" w:hAnsi="GHEA Grapalat"/>
      <w:lang w:val="ru-RU" w:eastAsia="ru-RU"/>
    </w:rPr>
  </w:style>
  <w:style w:type="paragraph" w:styleId="CommentSubject">
    <w:name w:val="annotation subject"/>
    <w:basedOn w:val="CommentText"/>
    <w:next w:val="CommentText"/>
    <w:link w:val="CommentSubjectChar"/>
    <w:uiPriority w:val="99"/>
    <w:rsid w:val="00FA0FC3"/>
    <w:rPr>
      <w:b w:val="0"/>
      <w:bCs/>
    </w:rPr>
  </w:style>
  <w:style w:type="character" w:customStyle="1" w:styleId="CommentSubjectChar">
    <w:name w:val="Comment Subject Char"/>
    <w:basedOn w:val="CommentTextChar"/>
    <w:link w:val="CommentSubject"/>
    <w:uiPriority w:val="99"/>
    <w:rsid w:val="00FA0FC3"/>
    <w:rPr>
      <w:rFonts w:ascii="GHEA Grapalat" w:hAnsi="GHEA Grapalat"/>
      <w:b/>
      <w:bCs/>
      <w:lang w:val="ru-RU" w:eastAsia="ru-RU"/>
    </w:rPr>
  </w:style>
  <w:style w:type="character" w:customStyle="1" w:styleId="Heading5Char">
    <w:name w:val="Heading 5 Char"/>
    <w:aliases w:val="Side Char"/>
    <w:basedOn w:val="DefaultParagraphFont"/>
    <w:link w:val="Heading5"/>
    <w:rsid w:val="00785686"/>
    <w:rPr>
      <w:rFonts w:ascii="GHEA Grapalat" w:hAnsi="GHEA Grapalat"/>
      <w:b/>
      <w:bCs/>
      <w:i/>
      <w:spacing w:val="60"/>
      <w:sz w:val="22"/>
      <w:lang w:val="hy-AM"/>
    </w:rPr>
  </w:style>
  <w:style w:type="character" w:customStyle="1" w:styleId="Heading7Char">
    <w:name w:val="Heading 7 Char"/>
    <w:basedOn w:val="DefaultParagraphFont"/>
    <w:link w:val="Heading7"/>
    <w:rsid w:val="008E54BF"/>
    <w:rPr>
      <w:rFonts w:ascii="Times Armenian" w:hAnsi="Times Armenian"/>
      <w:spacing w:val="-5"/>
      <w:sz w:val="24"/>
      <w:shd w:val="pct5" w:color="auto" w:fill="auto"/>
      <w:lang w:val="en-GB"/>
    </w:rPr>
  </w:style>
  <w:style w:type="paragraph" w:styleId="NormalIndent">
    <w:name w:val="Normal Indent"/>
    <w:basedOn w:val="Normal"/>
    <w:rsid w:val="008E54BF"/>
    <w:pPr>
      <w:spacing w:before="0"/>
      <w:ind w:left="720" w:firstLine="0"/>
      <w:contextualSpacing w:val="0"/>
    </w:pPr>
    <w:rPr>
      <w:rFonts w:ascii="Times Armenian" w:hAnsi="Times Armenian"/>
      <w:sz w:val="24"/>
      <w:lang w:val="en-US" w:eastAsia="en-US"/>
    </w:rPr>
  </w:style>
  <w:style w:type="paragraph" w:styleId="TOC4">
    <w:name w:val="toc 4"/>
    <w:basedOn w:val="Normal"/>
    <w:next w:val="Normal"/>
    <w:autoRedefine/>
    <w:uiPriority w:val="39"/>
    <w:rsid w:val="00BA2D53"/>
    <w:pPr>
      <w:tabs>
        <w:tab w:val="left" w:pos="540"/>
        <w:tab w:val="left" w:pos="960"/>
        <w:tab w:val="right" w:leader="dot" w:pos="10065"/>
      </w:tabs>
      <w:spacing w:before="0"/>
      <w:ind w:left="1134" w:firstLine="0"/>
      <w:contextualSpacing w:val="0"/>
      <w:jc w:val="left"/>
    </w:pPr>
    <w:rPr>
      <w:noProof/>
      <w:sz w:val="21"/>
      <w:szCs w:val="22"/>
      <w:lang w:val="hy-AM" w:eastAsia="en-US"/>
    </w:rPr>
  </w:style>
  <w:style w:type="paragraph" w:styleId="Index1">
    <w:name w:val="index 1"/>
    <w:basedOn w:val="Normal"/>
    <w:next w:val="Normal"/>
    <w:autoRedefine/>
    <w:rsid w:val="008E54BF"/>
    <w:pPr>
      <w:spacing w:before="0" w:line="240" w:lineRule="auto"/>
      <w:ind w:left="220" w:hanging="220"/>
    </w:pPr>
  </w:style>
  <w:style w:type="paragraph" w:styleId="IndexHeading">
    <w:name w:val="index heading"/>
    <w:basedOn w:val="Normal"/>
    <w:next w:val="Index1"/>
    <w:rsid w:val="008E54BF"/>
    <w:pPr>
      <w:tabs>
        <w:tab w:val="left" w:pos="720"/>
      </w:tabs>
      <w:spacing w:before="0"/>
      <w:ind w:left="9" w:firstLine="0"/>
      <w:contextualSpacing w:val="0"/>
    </w:pPr>
    <w:rPr>
      <w:rFonts w:ascii="Times Armenian" w:hAnsi="Times Armenian"/>
      <w:szCs w:val="20"/>
      <w:lang w:val="hy-AM" w:eastAsia="en-US"/>
    </w:rPr>
  </w:style>
  <w:style w:type="paragraph" w:customStyle="1" w:styleId="xl43">
    <w:name w:val="xl43"/>
    <w:basedOn w:val="Normal"/>
    <w:rsid w:val="008E54BF"/>
    <w:pPr>
      <w:pBdr>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Cs w:val="22"/>
      <w:lang w:val="en-US" w:eastAsia="en-US"/>
    </w:rPr>
  </w:style>
  <w:style w:type="paragraph" w:customStyle="1" w:styleId="xl44">
    <w:name w:val="xl44"/>
    <w:basedOn w:val="Normal"/>
    <w:rsid w:val="008E54BF"/>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Cs w:val="22"/>
      <w:lang w:val="en-US" w:eastAsia="en-US"/>
    </w:rPr>
  </w:style>
  <w:style w:type="character" w:styleId="EndnoteReference">
    <w:name w:val="endnote reference"/>
    <w:rsid w:val="008E54BF"/>
    <w:rPr>
      <w:vertAlign w:val="superscript"/>
    </w:rPr>
  </w:style>
  <w:style w:type="table" w:styleId="TableGrid">
    <w:name w:val="Table Grid"/>
    <w:basedOn w:val="TableNormal"/>
    <w:rsid w:val="008E54BF"/>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8">
    <w:name w:val="Char8"/>
    <w:basedOn w:val="Normal"/>
    <w:rsid w:val="008E54BF"/>
    <w:pPr>
      <w:spacing w:before="0" w:line="240" w:lineRule="auto"/>
      <w:ind w:firstLine="0"/>
      <w:contextualSpacing w:val="0"/>
      <w:jc w:val="left"/>
    </w:pPr>
    <w:rPr>
      <w:rFonts w:ascii="Times New Roman" w:hAnsi="Times New Roman"/>
      <w:sz w:val="24"/>
      <w:lang w:val="pl-PL" w:eastAsia="pl-PL"/>
    </w:rPr>
  </w:style>
  <w:style w:type="character" w:customStyle="1" w:styleId="NormalWebChar">
    <w:name w:val="Normal (Web) Char"/>
    <w:aliases w:val="Обычный (веб) Знак Знак Char,Знак Знак Знак Знак Char,Обычный (веб) Знак Знак Знак Char,Знак Знак Знак1 Знак Знак Знак Знак Знак Char,Знак1 Char,Знак Char,webb Char, webb Char"/>
    <w:link w:val="NormalWeb"/>
    <w:locked/>
    <w:rsid w:val="008E54BF"/>
    <w:rPr>
      <w:rFonts w:ascii="GHEA Grapalat" w:hAnsi="GHEA Grapalat"/>
      <w:sz w:val="22"/>
      <w:szCs w:val="24"/>
      <w:lang w:val="ru-RU" w:eastAsia="ru-RU"/>
    </w:rPr>
  </w:style>
  <w:style w:type="numbering" w:customStyle="1" w:styleId="NoList1">
    <w:name w:val="No List1"/>
    <w:next w:val="NoList"/>
    <w:uiPriority w:val="99"/>
    <w:semiHidden/>
    <w:unhideWhenUsed/>
    <w:rsid w:val="008E54BF"/>
  </w:style>
  <w:style w:type="character" w:customStyle="1" w:styleId="Heading1Char">
    <w:name w:val="Heading 1 Char"/>
    <w:aliases w:val="(Text) Char,(Section) Char,Section Heading Char,1 Char, 1 Char,Chapter Char,head3 Char"/>
    <w:link w:val="Heading1"/>
    <w:uiPriority w:val="9"/>
    <w:rsid w:val="00A30EDC"/>
    <w:rPr>
      <w:rFonts w:ascii="GHEA Grapalat" w:hAnsi="GHEA Grapalat"/>
      <w:b/>
      <w:sz w:val="28"/>
      <w:lang w:eastAsia="ru-RU"/>
    </w:rPr>
  </w:style>
  <w:style w:type="character" w:customStyle="1" w:styleId="Heading2Char">
    <w:name w:val="Heading 2 Char"/>
    <w:aliases w:val="(Chapter) Char,Paranum Char,Body Char"/>
    <w:link w:val="Heading2"/>
    <w:uiPriority w:val="9"/>
    <w:rsid w:val="002F7255"/>
    <w:rPr>
      <w:rFonts w:ascii="GHEA Grapalat" w:eastAsia="Calibri" w:hAnsi="GHEA Grapalat" w:cs="Times LatArm"/>
      <w:b/>
      <w:sz w:val="24"/>
      <w:szCs w:val="24"/>
      <w:lang w:val="hy-AM"/>
    </w:rPr>
  </w:style>
  <w:style w:type="character" w:customStyle="1" w:styleId="Heading3Char">
    <w:name w:val="Heading 3 Char"/>
    <w:aliases w:val="Centered Char2,(text) Char2,(Sub-Chapter) Char2,Heading 3 Char Char Char Char Char Char Char2"/>
    <w:link w:val="Heading3"/>
    <w:rsid w:val="007F28F7"/>
    <w:rPr>
      <w:rFonts w:ascii="GHEA Grapalat" w:eastAsia="Calibri" w:hAnsi="GHEA Grapalat" w:cs="GHEA Grapalat"/>
      <w:b/>
      <w:bCs/>
      <w:sz w:val="24"/>
      <w:szCs w:val="26"/>
      <w:lang w:val="af-ZA"/>
    </w:rPr>
  </w:style>
  <w:style w:type="character" w:customStyle="1" w:styleId="Heading4Char">
    <w:name w:val="Heading 4 Char"/>
    <w:aliases w:val="Centred Char"/>
    <w:link w:val="Heading4"/>
    <w:rsid w:val="004D4C68"/>
    <w:rPr>
      <w:rFonts w:ascii="GHEA Grapalat" w:hAnsi="GHEA Grapalat"/>
      <w:b/>
      <w:sz w:val="22"/>
      <w:lang w:val="en-GB"/>
    </w:rPr>
  </w:style>
  <w:style w:type="character" w:customStyle="1" w:styleId="Heading6Char">
    <w:name w:val="Heading 6 Char"/>
    <w:link w:val="Heading6"/>
    <w:rsid w:val="008E54BF"/>
    <w:rPr>
      <w:rFonts w:ascii="GHEA Grapalat" w:hAnsi="GHEA Grapalat"/>
      <w:b/>
      <w:bCs/>
      <w:sz w:val="22"/>
      <w:szCs w:val="22"/>
      <w:lang w:val="en-GB"/>
    </w:rPr>
  </w:style>
  <w:style w:type="numbering" w:customStyle="1" w:styleId="NoList11">
    <w:name w:val="No List11"/>
    <w:next w:val="NoList"/>
    <w:semiHidden/>
    <w:rsid w:val="008E54BF"/>
  </w:style>
  <w:style w:type="character" w:customStyle="1" w:styleId="BodyText2Char">
    <w:name w:val="Body Text 2 Char"/>
    <w:aliases w:val="1Text Char"/>
    <w:link w:val="BodyText2"/>
    <w:rsid w:val="008F5CA2"/>
    <w:rPr>
      <w:rFonts w:ascii="GHEA Grapalat" w:eastAsia="Calibri" w:hAnsi="GHEA Grapalat"/>
      <w:sz w:val="22"/>
      <w:szCs w:val="22"/>
      <w:lang w:val="hy-AM"/>
    </w:rPr>
  </w:style>
  <w:style w:type="character" w:customStyle="1" w:styleId="BodyText3Char">
    <w:name w:val="Body Text 3 Char"/>
    <w:link w:val="BodyText3"/>
    <w:rsid w:val="008E54BF"/>
    <w:rPr>
      <w:rFonts w:ascii="Times Armenian" w:hAnsi="Times Armenian"/>
      <w:bCs/>
      <w:sz w:val="22"/>
    </w:rPr>
  </w:style>
  <w:style w:type="character" w:customStyle="1" w:styleId="HeaderChar">
    <w:name w:val="Header Char"/>
    <w:aliases w:val="Header Char Char Char Char Char Char Char Char Char Char Char1,Header Char Char Char Char Char Char Char Char Char Char Char Char Char1,h Char1"/>
    <w:link w:val="Header"/>
    <w:uiPriority w:val="99"/>
    <w:rsid w:val="008E54BF"/>
    <w:rPr>
      <w:rFonts w:ascii="GHEA Grapalat" w:hAnsi="GHEA Grapalat"/>
      <w:lang w:val="en-AU"/>
    </w:rPr>
  </w:style>
  <w:style w:type="character" w:customStyle="1" w:styleId="BodyTextIndent2Char">
    <w:name w:val="Body Text Indent 2 Char"/>
    <w:link w:val="BodyTextIndent2"/>
    <w:rsid w:val="008E54BF"/>
    <w:rPr>
      <w:rFonts w:ascii="Arial Armenian" w:hAnsi="Arial Armenian"/>
      <w:bCs/>
      <w:sz w:val="22"/>
    </w:rPr>
  </w:style>
  <w:style w:type="character" w:customStyle="1" w:styleId="BalloonTextChar">
    <w:name w:val="Balloon Text Char"/>
    <w:link w:val="BalloonText"/>
    <w:uiPriority w:val="99"/>
    <w:rsid w:val="008E54BF"/>
    <w:rPr>
      <w:rFonts w:ascii="Tahoma" w:hAnsi="Tahoma" w:cs="Tahoma"/>
      <w:sz w:val="16"/>
      <w:szCs w:val="16"/>
      <w:lang w:val="ru-RU" w:eastAsia="ru-RU"/>
    </w:rPr>
  </w:style>
  <w:style w:type="table" w:customStyle="1" w:styleId="TableGrid1">
    <w:name w:val="Table Grid1"/>
    <w:basedOn w:val="TableNormal"/>
    <w:next w:val="TableGrid"/>
    <w:uiPriority w:val="39"/>
    <w:rsid w:val="008E54BF"/>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8E54BF"/>
  </w:style>
  <w:style w:type="paragraph" w:styleId="TableofFigures">
    <w:name w:val="table of figures"/>
    <w:basedOn w:val="Normal"/>
    <w:next w:val="Normal"/>
    <w:autoRedefine/>
    <w:uiPriority w:val="99"/>
    <w:rsid w:val="00EF3245"/>
    <w:pPr>
      <w:tabs>
        <w:tab w:val="left" w:pos="1843"/>
        <w:tab w:val="right" w:leader="dot" w:pos="9923"/>
      </w:tabs>
      <w:spacing w:before="0"/>
      <w:ind w:left="1440" w:hanging="1440"/>
      <w:jc w:val="left"/>
    </w:pPr>
  </w:style>
  <w:style w:type="character" w:styleId="PlaceholderText">
    <w:name w:val="Placeholder Text"/>
    <w:basedOn w:val="DefaultParagraphFont"/>
    <w:uiPriority w:val="99"/>
    <w:semiHidden/>
    <w:rsid w:val="00D43712"/>
    <w:rPr>
      <w:color w:val="808080"/>
    </w:rPr>
  </w:style>
  <w:style w:type="character" w:customStyle="1" w:styleId="Heading8Char">
    <w:name w:val="Heading 8 Char"/>
    <w:basedOn w:val="DefaultParagraphFont"/>
    <w:link w:val="Heading8"/>
    <w:rsid w:val="00060470"/>
    <w:rPr>
      <w:rFonts w:ascii="Arial Black" w:hAnsi="Arial Black"/>
      <w:caps/>
      <w:spacing w:val="60"/>
      <w:position w:val="4"/>
      <w:sz w:val="14"/>
      <w:lang w:val="en-GB"/>
    </w:rPr>
  </w:style>
  <w:style w:type="character" w:customStyle="1" w:styleId="Heading9Char">
    <w:name w:val="Heading 9 Char"/>
    <w:basedOn w:val="DefaultParagraphFont"/>
    <w:link w:val="Heading9"/>
    <w:rsid w:val="00060470"/>
    <w:rPr>
      <w:rFonts w:ascii="Garamond" w:hAnsi="Garamond"/>
      <w:b/>
      <w:i/>
      <w:kern w:val="28"/>
      <w:sz w:val="16"/>
      <w:lang w:val="en-GB"/>
    </w:rPr>
  </w:style>
  <w:style w:type="character" w:customStyle="1" w:styleId="FooterChar1">
    <w:name w:val="Footer Char1"/>
    <w:locked/>
    <w:rsid w:val="00060470"/>
    <w:rPr>
      <w:lang w:val="en-GB" w:eastAsia="en-US" w:bidi="ar-SA"/>
    </w:rPr>
  </w:style>
  <w:style w:type="paragraph" w:customStyle="1" w:styleId="CharChar7">
    <w:name w:val="Char Char7"/>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overSubTitle">
    <w:name w:val="Cover SubTitle"/>
    <w:basedOn w:val="Normal"/>
    <w:rsid w:val="00060470"/>
    <w:pPr>
      <w:spacing w:before="0" w:line="440" w:lineRule="exact"/>
      <w:ind w:firstLine="0"/>
      <w:contextualSpacing w:val="0"/>
      <w:jc w:val="center"/>
    </w:pPr>
    <w:rPr>
      <w:rFonts w:ascii="Times New Roman" w:hAnsi="Times New Roman"/>
      <w:sz w:val="32"/>
      <w:szCs w:val="20"/>
      <w:lang w:val="en-US" w:eastAsia="en-US"/>
    </w:rPr>
  </w:style>
  <w:style w:type="paragraph" w:customStyle="1" w:styleId="xl25">
    <w:name w:val="xl25"/>
    <w:basedOn w:val="Normal"/>
    <w:rsid w:val="00060470"/>
    <w:pPr>
      <w:spacing w:before="100" w:after="100" w:line="240" w:lineRule="auto"/>
      <w:ind w:firstLine="0"/>
      <w:contextualSpacing w:val="0"/>
      <w:jc w:val="center"/>
    </w:pPr>
    <w:rPr>
      <w:rFonts w:ascii="Times Armenian" w:hAnsi="Times Armenian"/>
      <w:sz w:val="24"/>
      <w:szCs w:val="20"/>
      <w:lang w:val="en-US" w:eastAsia="en-US"/>
    </w:rPr>
  </w:style>
  <w:style w:type="paragraph" w:customStyle="1" w:styleId="ModelSingleNoIndent">
    <w:name w:val="ModelSingleNoIndent"/>
    <w:basedOn w:val="Normal"/>
    <w:rsid w:val="00060470"/>
    <w:pPr>
      <w:spacing w:before="0" w:after="240" w:line="240" w:lineRule="auto"/>
      <w:ind w:firstLine="0"/>
      <w:contextualSpacing w:val="0"/>
    </w:pPr>
    <w:rPr>
      <w:rFonts w:ascii="Times New Roman" w:hAnsi="Times New Roman"/>
      <w:szCs w:val="20"/>
      <w:lang w:val="en-US" w:eastAsia="en-US"/>
    </w:rPr>
  </w:style>
  <w:style w:type="paragraph" w:customStyle="1" w:styleId="Head4">
    <w:name w:val="Head 4"/>
    <w:basedOn w:val="Heading4"/>
    <w:rsid w:val="00060470"/>
    <w:pPr>
      <w:widowControl w:val="0"/>
      <w:tabs>
        <w:tab w:val="left" w:pos="624"/>
      </w:tabs>
      <w:spacing w:before="0"/>
      <w:ind w:left="0" w:firstLine="624"/>
      <w:contextualSpacing w:val="0"/>
      <w:jc w:val="left"/>
    </w:pPr>
    <w:rPr>
      <w:rFonts w:ascii="Arial Armenian" w:hAnsi="Arial Armenian"/>
      <w:i/>
      <w:spacing w:val="-5"/>
      <w:sz w:val="24"/>
      <w:u w:val="single"/>
      <w:lang w:val="fr-FR"/>
    </w:rPr>
  </w:style>
  <w:style w:type="paragraph" w:customStyle="1" w:styleId="BodyTextMainTextdate">
    <w:name w:val="Body Text.(Main Text).date"/>
    <w:basedOn w:val="Normal"/>
    <w:rsid w:val="00060470"/>
    <w:pPr>
      <w:spacing w:before="0" w:line="240" w:lineRule="auto"/>
      <w:ind w:firstLine="0"/>
      <w:contextualSpacing w:val="0"/>
      <w:jc w:val="center"/>
    </w:pPr>
    <w:rPr>
      <w:rFonts w:ascii="Times LatArm" w:hAnsi="Times LatArm"/>
      <w:b w:val="0"/>
      <w:i/>
      <w:sz w:val="28"/>
      <w:szCs w:val="20"/>
      <w:lang w:val="en-US" w:eastAsia="en-US"/>
    </w:rPr>
  </w:style>
  <w:style w:type="paragraph" w:customStyle="1" w:styleId="Char7">
    <w:name w:val="Char7"/>
    <w:basedOn w:val="Normal"/>
    <w:next w:val="Normal"/>
    <w:rsid w:val="00060470"/>
    <w:pPr>
      <w:spacing w:before="0" w:after="160" w:line="240" w:lineRule="exact"/>
      <w:ind w:firstLine="0"/>
      <w:contextualSpacing w:val="0"/>
      <w:jc w:val="left"/>
    </w:pPr>
    <w:rPr>
      <w:rFonts w:ascii="Tahoma" w:hAnsi="Tahoma"/>
      <w:sz w:val="24"/>
      <w:szCs w:val="20"/>
      <w:lang w:val="en-US" w:eastAsia="en-US"/>
    </w:rPr>
  </w:style>
  <w:style w:type="paragraph" w:customStyle="1" w:styleId="a1">
    <w:name w:val="???????"/>
    <w:link w:val="Char1"/>
    <w:rsid w:val="00060470"/>
    <w:rPr>
      <w:lang w:val="ru-RU" w:eastAsia="ru-RU"/>
    </w:rPr>
  </w:style>
  <w:style w:type="paragraph" w:customStyle="1" w:styleId="Char1CharCharCharCharCharCharCharCharCharCharCharChar">
    <w:name w:val="Char1 Char Char Char Char Char Char Char Char Char Char Char Char"/>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Armenian">
    <w:name w:val="Armenian"/>
    <w:basedOn w:val="Normal"/>
    <w:rsid w:val="00060470"/>
    <w:pPr>
      <w:spacing w:before="0" w:line="240" w:lineRule="auto"/>
      <w:ind w:firstLine="0"/>
      <w:contextualSpacing w:val="0"/>
      <w:jc w:val="left"/>
    </w:pPr>
    <w:rPr>
      <w:rFonts w:ascii="Times LatArm" w:hAnsi="Times LatArm"/>
      <w:sz w:val="24"/>
      <w:lang w:val="en-US"/>
    </w:rPr>
  </w:style>
  <w:style w:type="paragraph" w:customStyle="1" w:styleId="CharCharChar0">
    <w:name w:val="Char Char Char"/>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ModelNrmlDouble">
    <w:name w:val="ModelNrmlDouble"/>
    <w:basedOn w:val="Normal"/>
    <w:rsid w:val="00060470"/>
    <w:pPr>
      <w:overflowPunct w:val="0"/>
      <w:autoSpaceDE w:val="0"/>
      <w:autoSpaceDN w:val="0"/>
      <w:adjustRightInd w:val="0"/>
      <w:spacing w:before="0" w:after="360" w:line="480" w:lineRule="auto"/>
      <w:ind w:firstLine="720"/>
      <w:contextualSpacing w:val="0"/>
      <w:textAlignment w:val="baseline"/>
    </w:pPr>
    <w:rPr>
      <w:rFonts w:ascii="Times New Roman" w:hAnsi="Times New Roman"/>
      <w:szCs w:val="20"/>
      <w:lang w:val="en-US" w:eastAsia="en-US"/>
    </w:rPr>
  </w:style>
  <w:style w:type="paragraph" w:customStyle="1" w:styleId="norm">
    <w:name w:val="norm"/>
    <w:basedOn w:val="Normal"/>
    <w:link w:val="normChar"/>
    <w:rsid w:val="00060470"/>
    <w:pPr>
      <w:spacing w:before="0" w:line="480" w:lineRule="auto"/>
      <w:ind w:firstLine="709"/>
      <w:contextualSpacing w:val="0"/>
    </w:pPr>
    <w:rPr>
      <w:rFonts w:ascii="Arial Armenian" w:hAnsi="Arial Armenian"/>
      <w:szCs w:val="20"/>
      <w:lang w:val="en-US"/>
    </w:rPr>
  </w:style>
  <w:style w:type="paragraph" w:styleId="ListBullet">
    <w:name w:val="List Bullet"/>
    <w:basedOn w:val="Normal"/>
    <w:autoRedefine/>
    <w:qFormat/>
    <w:rsid w:val="00060470"/>
    <w:pPr>
      <w:overflowPunct w:val="0"/>
      <w:autoSpaceDE w:val="0"/>
      <w:autoSpaceDN w:val="0"/>
      <w:adjustRightInd w:val="0"/>
      <w:spacing w:before="130" w:line="240" w:lineRule="auto"/>
      <w:ind w:left="928" w:hanging="360"/>
      <w:contextualSpacing w:val="0"/>
      <w:textAlignment w:val="baseline"/>
    </w:pPr>
    <w:rPr>
      <w:rFonts w:ascii="Times New Roman" w:hAnsi="Times New Roman"/>
      <w:szCs w:val="20"/>
      <w:lang w:val="en-GB" w:eastAsia="en-US"/>
    </w:rPr>
  </w:style>
  <w:style w:type="paragraph" w:styleId="PlainText">
    <w:name w:val="Plain Text"/>
    <w:basedOn w:val="Normal"/>
    <w:link w:val="PlainTextChar"/>
    <w:rsid w:val="00060470"/>
    <w:pPr>
      <w:numPr>
        <w:numId w:val="12"/>
      </w:numPr>
      <w:tabs>
        <w:tab w:val="clear" w:pos="540"/>
      </w:tabs>
      <w:spacing w:before="0" w:line="240" w:lineRule="auto"/>
      <w:ind w:left="0" w:firstLine="0"/>
      <w:contextualSpacing w:val="0"/>
      <w:jc w:val="left"/>
    </w:pPr>
    <w:rPr>
      <w:rFonts w:ascii="Courier New" w:hAnsi="Courier New"/>
      <w:sz w:val="20"/>
      <w:szCs w:val="20"/>
    </w:rPr>
  </w:style>
  <w:style w:type="character" w:customStyle="1" w:styleId="PlainTextChar">
    <w:name w:val="Plain Text Char"/>
    <w:basedOn w:val="DefaultParagraphFont"/>
    <w:link w:val="PlainText"/>
    <w:rsid w:val="00060470"/>
    <w:rPr>
      <w:rFonts w:ascii="Courier New" w:hAnsi="Courier New"/>
      <w:b/>
      <w:lang w:val="ru-RU" w:eastAsia="ru-RU"/>
    </w:rPr>
  </w:style>
  <w:style w:type="paragraph" w:customStyle="1" w:styleId="Tabletext">
    <w:name w:val="Tabletext"/>
    <w:basedOn w:val="Normal"/>
    <w:rsid w:val="00060470"/>
    <w:pPr>
      <w:overflowPunct w:val="0"/>
      <w:autoSpaceDE w:val="0"/>
      <w:autoSpaceDN w:val="0"/>
      <w:adjustRightInd w:val="0"/>
      <w:spacing w:before="0" w:line="240" w:lineRule="auto"/>
      <w:ind w:left="153" w:hanging="153"/>
      <w:contextualSpacing w:val="0"/>
      <w:jc w:val="left"/>
      <w:textAlignment w:val="baseline"/>
    </w:pPr>
    <w:rPr>
      <w:rFonts w:ascii="Times New Roman" w:hAnsi="Times New Roman"/>
      <w:sz w:val="18"/>
      <w:szCs w:val="20"/>
      <w:lang w:val="en-GB" w:eastAsia="en-US"/>
    </w:rPr>
  </w:style>
  <w:style w:type="paragraph" w:styleId="ListBullet2">
    <w:name w:val="List Bullet 2"/>
    <w:basedOn w:val="Normal"/>
    <w:autoRedefine/>
    <w:rsid w:val="00060470"/>
    <w:pPr>
      <w:numPr>
        <w:numId w:val="2"/>
      </w:numPr>
      <w:spacing w:before="0" w:line="240" w:lineRule="auto"/>
      <w:contextualSpacing w:val="0"/>
      <w:jc w:val="left"/>
    </w:pPr>
    <w:rPr>
      <w:rFonts w:ascii="Times New Roman" w:hAnsi="Times New Roman"/>
      <w:sz w:val="24"/>
      <w:lang w:val="en-US" w:eastAsia="en-US"/>
    </w:rPr>
  </w:style>
  <w:style w:type="paragraph" w:styleId="ListContinue2">
    <w:name w:val="List Continue 2"/>
    <w:basedOn w:val="Normal"/>
    <w:rsid w:val="00060470"/>
    <w:pPr>
      <w:spacing w:before="0" w:after="120" w:line="240" w:lineRule="auto"/>
      <w:ind w:left="720" w:firstLine="0"/>
      <w:contextualSpacing w:val="0"/>
      <w:jc w:val="left"/>
    </w:pPr>
    <w:rPr>
      <w:rFonts w:ascii="Times New Roman" w:hAnsi="Times New Roman"/>
      <w:sz w:val="24"/>
      <w:lang w:val="en-US" w:eastAsia="en-US"/>
    </w:rPr>
  </w:style>
  <w:style w:type="paragraph" w:customStyle="1" w:styleId="GlossaryHeader">
    <w:name w:val="Glossary Header"/>
    <w:next w:val="Normal"/>
    <w:rsid w:val="00060470"/>
    <w:pPr>
      <w:pageBreakBefore/>
      <w:overflowPunct w:val="0"/>
      <w:autoSpaceDE w:val="0"/>
      <w:autoSpaceDN w:val="0"/>
      <w:adjustRightInd w:val="0"/>
      <w:textAlignment w:val="baseline"/>
    </w:pPr>
    <w:rPr>
      <w:noProof/>
      <w:sz w:val="36"/>
      <w:lang w:val="en-GB"/>
    </w:rPr>
  </w:style>
  <w:style w:type="paragraph" w:customStyle="1" w:styleId="CaptionSubtitle">
    <w:name w:val="Caption: Subtitle"/>
    <w:rsid w:val="00060470"/>
    <w:rPr>
      <w:rFonts w:ascii="Arial" w:hAnsi="Arial"/>
      <w:noProof/>
      <w:sz w:val="18"/>
    </w:rPr>
  </w:style>
  <w:style w:type="paragraph" w:customStyle="1" w:styleId="KLegalHeading3">
    <w:name w:val="KLegal Heading 3"/>
    <w:basedOn w:val="Normal"/>
    <w:next w:val="Text"/>
    <w:rsid w:val="00060470"/>
    <w:pPr>
      <w:keepNext/>
      <w:numPr>
        <w:ilvl w:val="2"/>
        <w:numId w:val="1"/>
      </w:numPr>
      <w:overflowPunct w:val="0"/>
      <w:autoSpaceDE w:val="0"/>
      <w:autoSpaceDN w:val="0"/>
      <w:adjustRightInd w:val="0"/>
      <w:spacing w:before="0" w:after="220" w:line="240" w:lineRule="auto"/>
      <w:ind w:left="1440" w:hanging="720"/>
      <w:contextualSpacing w:val="0"/>
      <w:textAlignment w:val="baseline"/>
    </w:pPr>
    <w:rPr>
      <w:rFonts w:ascii="Times New Roman" w:hAnsi="Times New Roman"/>
      <w:b w:val="0"/>
      <w:szCs w:val="20"/>
      <w:lang w:val="en-GB" w:eastAsia="en-US"/>
    </w:rPr>
  </w:style>
  <w:style w:type="paragraph" w:customStyle="1" w:styleId="KLegalHeading4">
    <w:name w:val="KLegal Heading 4"/>
    <w:basedOn w:val="Normal"/>
    <w:next w:val="Text"/>
    <w:rsid w:val="00060470"/>
    <w:pPr>
      <w:keepNext/>
      <w:numPr>
        <w:ilvl w:val="3"/>
        <w:numId w:val="1"/>
      </w:numPr>
      <w:overflowPunct w:val="0"/>
      <w:autoSpaceDE w:val="0"/>
      <w:autoSpaceDN w:val="0"/>
      <w:adjustRightInd w:val="0"/>
      <w:spacing w:before="0" w:after="220" w:line="240" w:lineRule="auto"/>
      <w:ind w:left="2160" w:hanging="720"/>
      <w:contextualSpacing w:val="0"/>
      <w:textAlignment w:val="baseline"/>
    </w:pPr>
    <w:rPr>
      <w:rFonts w:ascii="Times New Roman" w:hAnsi="Times New Roman"/>
      <w:b w:val="0"/>
      <w:i/>
      <w:szCs w:val="20"/>
      <w:lang w:val="en-GB" w:eastAsia="en-US"/>
    </w:rPr>
  </w:style>
  <w:style w:type="paragraph" w:customStyle="1" w:styleId="KLegalHeading1">
    <w:name w:val="KLegal Heading 1"/>
    <w:basedOn w:val="Normal"/>
    <w:next w:val="KLegalHeading2"/>
    <w:rsid w:val="00060470"/>
    <w:pPr>
      <w:keepNext/>
      <w:pageBreakBefore/>
      <w:overflowPunct w:val="0"/>
      <w:autoSpaceDE w:val="0"/>
      <w:autoSpaceDN w:val="0"/>
      <w:adjustRightInd w:val="0"/>
      <w:spacing w:before="0" w:after="440" w:line="240" w:lineRule="auto"/>
      <w:ind w:left="851" w:hanging="851"/>
      <w:contextualSpacing w:val="0"/>
      <w:textAlignment w:val="baseline"/>
      <w:outlineLvl w:val="0"/>
    </w:pPr>
    <w:rPr>
      <w:rFonts w:ascii="Times New Roman" w:hAnsi="Times New Roman"/>
      <w:b w:val="0"/>
      <w:sz w:val="32"/>
      <w:szCs w:val="20"/>
      <w:lang w:val="en-GB" w:eastAsia="en-US"/>
    </w:rPr>
  </w:style>
  <w:style w:type="paragraph" w:customStyle="1" w:styleId="KLegalHeading2">
    <w:name w:val="KLegal Heading 2"/>
    <w:basedOn w:val="Normal"/>
    <w:next w:val="KLegalHeading3"/>
    <w:rsid w:val="00060470"/>
    <w:pPr>
      <w:keepNext/>
      <w:numPr>
        <w:ilvl w:val="1"/>
        <w:numId w:val="1"/>
      </w:numPr>
      <w:overflowPunct w:val="0"/>
      <w:autoSpaceDE w:val="0"/>
      <w:autoSpaceDN w:val="0"/>
      <w:adjustRightInd w:val="0"/>
      <w:spacing w:before="0" w:after="220" w:line="240" w:lineRule="auto"/>
      <w:ind w:left="851" w:hanging="851"/>
      <w:contextualSpacing w:val="0"/>
      <w:textAlignment w:val="baseline"/>
      <w:outlineLvl w:val="1"/>
    </w:pPr>
    <w:rPr>
      <w:rFonts w:ascii="Times New Roman" w:hAnsi="Times New Roman"/>
      <w:b w:val="0"/>
      <w:sz w:val="28"/>
      <w:szCs w:val="20"/>
      <w:lang w:val="en-GB" w:eastAsia="en-US"/>
    </w:rPr>
  </w:style>
  <w:style w:type="paragraph" w:customStyle="1" w:styleId="font5">
    <w:name w:val="font5"/>
    <w:basedOn w:val="Normal"/>
    <w:rsid w:val="00060470"/>
    <w:pPr>
      <w:spacing w:before="100" w:beforeAutospacing="1" w:after="100" w:afterAutospacing="1" w:line="240" w:lineRule="auto"/>
      <w:ind w:firstLine="0"/>
      <w:contextualSpacing w:val="0"/>
      <w:jc w:val="left"/>
    </w:pPr>
    <w:rPr>
      <w:rFonts w:ascii="Times Armenian" w:hAnsi="Times Armenian"/>
      <w:color w:val="000000"/>
      <w:sz w:val="16"/>
      <w:szCs w:val="16"/>
      <w:lang w:val="en-US" w:eastAsia="en-US"/>
    </w:rPr>
  </w:style>
  <w:style w:type="paragraph" w:customStyle="1" w:styleId="font6">
    <w:name w:val="font6"/>
    <w:basedOn w:val="Normal"/>
    <w:rsid w:val="00060470"/>
    <w:pPr>
      <w:spacing w:before="100" w:beforeAutospacing="1" w:after="100" w:afterAutospacing="1" w:line="240" w:lineRule="auto"/>
      <w:ind w:firstLine="0"/>
      <w:contextualSpacing w:val="0"/>
      <w:jc w:val="left"/>
    </w:pPr>
    <w:rPr>
      <w:rFonts w:ascii="Times Armenian" w:hAnsi="Times Armenian"/>
      <w:b w:val="0"/>
      <w:bCs/>
      <w:color w:val="000000"/>
      <w:sz w:val="16"/>
      <w:szCs w:val="16"/>
      <w:lang w:val="en-US" w:eastAsia="en-US"/>
    </w:rPr>
  </w:style>
  <w:style w:type="paragraph" w:customStyle="1" w:styleId="font7">
    <w:name w:val="font7"/>
    <w:basedOn w:val="Normal"/>
    <w:rsid w:val="00060470"/>
    <w:pPr>
      <w:spacing w:before="100" w:beforeAutospacing="1" w:after="100" w:afterAutospacing="1" w:line="240" w:lineRule="auto"/>
      <w:ind w:firstLine="0"/>
      <w:contextualSpacing w:val="0"/>
      <w:jc w:val="left"/>
    </w:pPr>
    <w:rPr>
      <w:rFonts w:ascii="Times Armenian" w:hAnsi="Times Armenian"/>
      <w:color w:val="000000"/>
      <w:sz w:val="20"/>
      <w:szCs w:val="20"/>
      <w:lang w:val="en-US" w:eastAsia="en-US"/>
    </w:rPr>
  </w:style>
  <w:style w:type="paragraph" w:customStyle="1" w:styleId="font8">
    <w:name w:val="font8"/>
    <w:basedOn w:val="Normal"/>
    <w:rsid w:val="00060470"/>
    <w:pPr>
      <w:spacing w:before="100" w:beforeAutospacing="1" w:after="100" w:afterAutospacing="1" w:line="240" w:lineRule="auto"/>
      <w:ind w:firstLine="0"/>
      <w:contextualSpacing w:val="0"/>
      <w:jc w:val="left"/>
    </w:pPr>
    <w:rPr>
      <w:rFonts w:ascii="Times Armenian" w:hAnsi="Times Armenian"/>
      <w:color w:val="000000"/>
      <w:sz w:val="16"/>
      <w:szCs w:val="16"/>
      <w:lang w:val="en-US" w:eastAsia="en-US"/>
    </w:rPr>
  </w:style>
  <w:style w:type="paragraph" w:customStyle="1" w:styleId="font9">
    <w:name w:val="font9"/>
    <w:basedOn w:val="Normal"/>
    <w:rsid w:val="00060470"/>
    <w:pPr>
      <w:spacing w:before="100" w:beforeAutospacing="1" w:after="100" w:afterAutospacing="1" w:line="240" w:lineRule="auto"/>
      <w:ind w:firstLine="0"/>
      <w:contextualSpacing w:val="0"/>
      <w:jc w:val="left"/>
    </w:pPr>
    <w:rPr>
      <w:rFonts w:ascii="Times Armenian" w:hAnsi="Times Armenian"/>
      <w:color w:val="000000"/>
      <w:szCs w:val="22"/>
      <w:lang w:val="en-US" w:eastAsia="en-US"/>
    </w:rPr>
  </w:style>
  <w:style w:type="paragraph" w:customStyle="1" w:styleId="font10">
    <w:name w:val="font10"/>
    <w:basedOn w:val="Normal"/>
    <w:rsid w:val="00060470"/>
    <w:pPr>
      <w:spacing w:before="100" w:beforeAutospacing="1" w:after="100" w:afterAutospacing="1" w:line="240" w:lineRule="auto"/>
      <w:ind w:firstLine="0"/>
      <w:contextualSpacing w:val="0"/>
      <w:jc w:val="left"/>
    </w:pPr>
    <w:rPr>
      <w:rFonts w:ascii="Times Armenian" w:hAnsi="Times Armenian"/>
      <w:b w:val="0"/>
      <w:bCs/>
      <w:color w:val="000000"/>
      <w:sz w:val="16"/>
      <w:szCs w:val="16"/>
      <w:lang w:val="en-US" w:eastAsia="en-US"/>
    </w:rPr>
  </w:style>
  <w:style w:type="paragraph" w:customStyle="1" w:styleId="xl65">
    <w:name w:val="xl65"/>
    <w:basedOn w:val="Normal"/>
    <w:rsid w:val="00060470"/>
    <w:pPr>
      <w:spacing w:before="100" w:beforeAutospacing="1" w:after="100" w:afterAutospacing="1" w:line="240" w:lineRule="auto"/>
      <w:ind w:firstLine="0"/>
      <w:contextualSpacing w:val="0"/>
      <w:jc w:val="left"/>
      <w:textAlignment w:val="center"/>
    </w:pPr>
    <w:rPr>
      <w:rFonts w:ascii="Times New Roman" w:hAnsi="Times New Roman"/>
      <w:sz w:val="24"/>
      <w:lang w:val="en-US" w:eastAsia="en-US"/>
    </w:rPr>
  </w:style>
  <w:style w:type="paragraph" w:customStyle="1" w:styleId="xl66">
    <w:name w:val="xl66"/>
    <w:basedOn w:val="Normal"/>
    <w:rsid w:val="00060470"/>
    <w:pPr>
      <w:pBdr>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67">
    <w:name w:val="xl67"/>
    <w:basedOn w:val="Normal"/>
    <w:rsid w:val="00060470"/>
    <w:pPr>
      <w:spacing w:before="100" w:beforeAutospacing="1" w:after="100" w:afterAutospacing="1" w:line="240" w:lineRule="auto"/>
      <w:ind w:firstLine="0"/>
      <w:contextualSpacing w:val="0"/>
      <w:jc w:val="center"/>
      <w:textAlignment w:val="center"/>
    </w:pPr>
    <w:rPr>
      <w:rFonts w:ascii="Times New Roman" w:hAnsi="Times New Roman"/>
      <w:sz w:val="24"/>
      <w:lang w:val="en-US" w:eastAsia="en-US"/>
    </w:rPr>
  </w:style>
  <w:style w:type="paragraph" w:customStyle="1" w:styleId="xl68">
    <w:name w:val="xl68"/>
    <w:basedOn w:val="Normal"/>
    <w:rsid w:val="00060470"/>
    <w:pPr>
      <w:spacing w:before="100" w:beforeAutospacing="1" w:after="100" w:afterAutospacing="1" w:line="240" w:lineRule="auto"/>
      <w:ind w:firstLine="0"/>
      <w:contextualSpacing w:val="0"/>
      <w:jc w:val="right"/>
      <w:textAlignment w:val="top"/>
    </w:pPr>
    <w:rPr>
      <w:rFonts w:ascii="Times Armenian" w:hAnsi="Times Armenian"/>
      <w:sz w:val="18"/>
      <w:szCs w:val="18"/>
      <w:lang w:val="en-US" w:eastAsia="en-US"/>
    </w:rPr>
  </w:style>
  <w:style w:type="paragraph" w:customStyle="1" w:styleId="xl69">
    <w:name w:val="xl69"/>
    <w:basedOn w:val="Normal"/>
    <w:rsid w:val="00060470"/>
    <w:pPr>
      <w:spacing w:before="100" w:beforeAutospacing="1" w:after="100" w:afterAutospacing="1" w:line="240" w:lineRule="auto"/>
      <w:ind w:firstLine="0"/>
      <w:contextualSpacing w:val="0"/>
      <w:textAlignment w:val="top"/>
    </w:pPr>
    <w:rPr>
      <w:rFonts w:ascii="Times Armenian" w:hAnsi="Times Armenian"/>
      <w:sz w:val="18"/>
      <w:szCs w:val="18"/>
      <w:lang w:val="en-US" w:eastAsia="en-US"/>
    </w:rPr>
  </w:style>
  <w:style w:type="paragraph" w:customStyle="1" w:styleId="xl70">
    <w:name w:val="xl70"/>
    <w:basedOn w:val="Normal"/>
    <w:rsid w:val="00060470"/>
    <w:pPr>
      <w:pBdr>
        <w:top w:val="double" w:sz="6" w:space="0" w:color="auto"/>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1">
    <w:name w:val="xl71"/>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2">
    <w:name w:val="xl72"/>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3">
    <w:name w:val="xl73"/>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4">
    <w:name w:val="xl74"/>
    <w:basedOn w:val="Normal"/>
    <w:rsid w:val="00060470"/>
    <w:pPr>
      <w:pBdr>
        <w:top w:val="double" w:sz="6" w:space="0" w:color="auto"/>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5">
    <w:name w:val="xl75"/>
    <w:basedOn w:val="Normal"/>
    <w:rsid w:val="00060470"/>
    <w:pPr>
      <w:pBdr>
        <w:top w:val="double" w:sz="6"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6">
    <w:name w:val="xl76"/>
    <w:basedOn w:val="Normal"/>
    <w:rsid w:val="00060470"/>
    <w:pPr>
      <w:pBdr>
        <w:top w:val="double" w:sz="6"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7">
    <w:name w:val="xl77"/>
    <w:basedOn w:val="Normal"/>
    <w:rsid w:val="00060470"/>
    <w:pPr>
      <w:pBdr>
        <w:left w:val="double" w:sz="6"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8">
    <w:name w:val="xl78"/>
    <w:basedOn w:val="Normal"/>
    <w:rsid w:val="00060470"/>
    <w:pPr>
      <w:pBdr>
        <w:left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9">
    <w:name w:val="xl79"/>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80">
    <w:name w:val="xl80"/>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81">
    <w:name w:val="xl81"/>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left"/>
      <w:textAlignment w:val="center"/>
    </w:pPr>
    <w:rPr>
      <w:rFonts w:ascii="Times Armenian" w:hAnsi="Times Armenian"/>
      <w:b w:val="0"/>
      <w:bCs/>
      <w:sz w:val="16"/>
      <w:szCs w:val="16"/>
      <w:lang w:val="en-US" w:eastAsia="en-US"/>
    </w:rPr>
  </w:style>
  <w:style w:type="paragraph" w:customStyle="1" w:styleId="xl82">
    <w:name w:val="xl82"/>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b w:val="0"/>
      <w:bCs/>
      <w:sz w:val="16"/>
      <w:szCs w:val="16"/>
      <w:lang w:val="en-US" w:eastAsia="en-US"/>
    </w:rPr>
  </w:style>
  <w:style w:type="paragraph" w:customStyle="1" w:styleId="xl83">
    <w:name w:val="xl83"/>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4">
    <w:name w:val="xl84"/>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5">
    <w:name w:val="xl85"/>
    <w:basedOn w:val="Normal"/>
    <w:rsid w:val="00060470"/>
    <w:pPr>
      <w:pBdr>
        <w:top w:val="double" w:sz="6" w:space="0" w:color="auto"/>
        <w:lef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86">
    <w:name w:val="xl86"/>
    <w:basedOn w:val="Normal"/>
    <w:rsid w:val="00060470"/>
    <w:pPr>
      <w:pBdr>
        <w:top w:val="double" w:sz="6"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87">
    <w:name w:val="xl87"/>
    <w:basedOn w:val="Normal"/>
    <w:rsid w:val="00060470"/>
    <w:pPr>
      <w:pBdr>
        <w:lef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8">
    <w:name w:val="xl88"/>
    <w:basedOn w:val="Normal"/>
    <w:rsid w:val="00060470"/>
    <w:pPr>
      <w:pBdr>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9">
    <w:name w:val="xl89"/>
    <w:basedOn w:val="Normal"/>
    <w:rsid w:val="00060470"/>
    <w:pPr>
      <w:pBdr>
        <w:left w:val="single" w:sz="8" w:space="0" w:color="auto"/>
        <w:bottom w:val="double" w:sz="6"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0">
    <w:name w:val="xl90"/>
    <w:basedOn w:val="Normal"/>
    <w:rsid w:val="00060470"/>
    <w:pPr>
      <w:pBdr>
        <w:bottom w:val="double" w:sz="6"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1">
    <w:name w:val="xl91"/>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92">
    <w:name w:val="xl92"/>
    <w:basedOn w:val="Normal"/>
    <w:rsid w:val="00060470"/>
    <w:pPr>
      <w:pBdr>
        <w:left w:val="single" w:sz="8" w:space="0" w:color="auto"/>
        <w:bottom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93">
    <w:name w:val="xl93"/>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94">
    <w:name w:val="xl94"/>
    <w:basedOn w:val="Normal"/>
    <w:rsid w:val="00060470"/>
    <w:pPr>
      <w:pBdr>
        <w:top w:val="single" w:sz="8" w:space="0" w:color="auto"/>
        <w:lef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5">
    <w:name w:val="xl95"/>
    <w:basedOn w:val="Normal"/>
    <w:rsid w:val="00060470"/>
    <w:pPr>
      <w:pBdr>
        <w:top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6">
    <w:name w:val="xl96"/>
    <w:basedOn w:val="Normal"/>
    <w:rsid w:val="00060470"/>
    <w:pPr>
      <w:pBdr>
        <w:lef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7">
    <w:name w:val="xl97"/>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8">
    <w:name w:val="xl98"/>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9">
    <w:name w:val="xl99"/>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00">
    <w:name w:val="xl100"/>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01">
    <w:name w:val="xl101"/>
    <w:basedOn w:val="Normal"/>
    <w:rsid w:val="00060470"/>
    <w:pPr>
      <w:pBdr>
        <w:lef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102">
    <w:name w:val="xl102"/>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103">
    <w:name w:val="xl103"/>
    <w:basedOn w:val="Normal"/>
    <w:rsid w:val="00060470"/>
    <w:pPr>
      <w:pBdr>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04">
    <w:name w:val="xl104"/>
    <w:basedOn w:val="Normal"/>
    <w:rsid w:val="00060470"/>
    <w:pPr>
      <w:spacing w:before="100" w:beforeAutospacing="1" w:after="100" w:afterAutospacing="1" w:line="240" w:lineRule="auto"/>
      <w:ind w:firstLine="0"/>
      <w:contextualSpacing w:val="0"/>
      <w:jc w:val="left"/>
      <w:textAlignment w:val="center"/>
    </w:pPr>
    <w:rPr>
      <w:rFonts w:ascii="Calibri" w:hAnsi="Calibri"/>
      <w:sz w:val="24"/>
      <w:lang w:val="en-US" w:eastAsia="en-US"/>
    </w:rPr>
  </w:style>
  <w:style w:type="paragraph" w:customStyle="1" w:styleId="xl105">
    <w:name w:val="xl105"/>
    <w:basedOn w:val="Normal"/>
    <w:rsid w:val="00060470"/>
    <w:pPr>
      <w:pBdr>
        <w:top w:val="single" w:sz="8" w:space="0" w:color="auto"/>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6">
    <w:name w:val="xl106"/>
    <w:basedOn w:val="Normal"/>
    <w:rsid w:val="00060470"/>
    <w:pPr>
      <w:pBdr>
        <w:top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7">
    <w:name w:val="xl107"/>
    <w:basedOn w:val="Normal"/>
    <w:rsid w:val="00060470"/>
    <w:pPr>
      <w:pBdr>
        <w:top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8">
    <w:name w:val="xl108"/>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09">
    <w:name w:val="xl109"/>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0">
    <w:name w:val="xl110"/>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1">
    <w:name w:val="xl111"/>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2">
    <w:name w:val="xl112"/>
    <w:basedOn w:val="Normal"/>
    <w:rsid w:val="00060470"/>
    <w:pPr>
      <w:pBdr>
        <w:top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3">
    <w:name w:val="xl113"/>
    <w:basedOn w:val="Normal"/>
    <w:rsid w:val="00060470"/>
    <w:pPr>
      <w:pBdr>
        <w:left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4">
    <w:name w:val="xl114"/>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5">
    <w:name w:val="xl115"/>
    <w:basedOn w:val="Normal"/>
    <w:rsid w:val="00060470"/>
    <w:pPr>
      <w:pBdr>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16">
    <w:name w:val="xl116"/>
    <w:basedOn w:val="Normal"/>
    <w:rsid w:val="00060470"/>
    <w:pPr>
      <w:pBdr>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7">
    <w:name w:val="xl117"/>
    <w:basedOn w:val="Normal"/>
    <w:rsid w:val="00060470"/>
    <w:pPr>
      <w:pBdr>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8">
    <w:name w:val="xl118"/>
    <w:basedOn w:val="Normal"/>
    <w:rsid w:val="00060470"/>
    <w:pPr>
      <w:pBdr>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9">
    <w:name w:val="xl119"/>
    <w:basedOn w:val="Normal"/>
    <w:rsid w:val="00060470"/>
    <w:pPr>
      <w:pBdr>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0">
    <w:name w:val="xl120"/>
    <w:basedOn w:val="Normal"/>
    <w:rsid w:val="00060470"/>
    <w:pPr>
      <w:pBdr>
        <w:left w:val="double" w:sz="6"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21">
    <w:name w:val="xl12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2">
    <w:name w:val="xl122"/>
    <w:basedOn w:val="Normal"/>
    <w:rsid w:val="00060470"/>
    <w:pPr>
      <w:pBdr>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3">
    <w:name w:val="xl123"/>
    <w:basedOn w:val="Normal"/>
    <w:rsid w:val="00060470"/>
    <w:pPr>
      <w:pBdr>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4">
    <w:name w:val="xl124"/>
    <w:basedOn w:val="Normal"/>
    <w:rsid w:val="00060470"/>
    <w:pPr>
      <w:pBdr>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5">
    <w:name w:val="xl125"/>
    <w:basedOn w:val="Normal"/>
    <w:rsid w:val="00060470"/>
    <w:pPr>
      <w:pBdr>
        <w:top w:val="single" w:sz="8" w:space="0" w:color="auto"/>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26">
    <w:name w:val="xl126"/>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27">
    <w:name w:val="xl127"/>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8">
    <w:name w:val="xl128"/>
    <w:basedOn w:val="Normal"/>
    <w:rsid w:val="00060470"/>
    <w:pPr>
      <w:pBdr>
        <w:top w:val="single" w:sz="8"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9">
    <w:name w:val="xl129"/>
    <w:basedOn w:val="Normal"/>
    <w:rsid w:val="00060470"/>
    <w:pPr>
      <w:pBdr>
        <w:top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30">
    <w:name w:val="xl130"/>
    <w:basedOn w:val="Normal"/>
    <w:rsid w:val="00060470"/>
    <w:pPr>
      <w:pBdr>
        <w:top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31">
    <w:name w:val="xl13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32">
    <w:name w:val="xl132"/>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33">
    <w:name w:val="xl133"/>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4">
    <w:name w:val="xl134"/>
    <w:basedOn w:val="Normal"/>
    <w:rsid w:val="00060470"/>
    <w:pPr>
      <w:pBdr>
        <w:top w:val="single" w:sz="8"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5">
    <w:name w:val="xl135"/>
    <w:basedOn w:val="Normal"/>
    <w:rsid w:val="00060470"/>
    <w:pPr>
      <w:pBdr>
        <w:top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6">
    <w:name w:val="xl136"/>
    <w:basedOn w:val="Normal"/>
    <w:rsid w:val="00060470"/>
    <w:pPr>
      <w:pBdr>
        <w:top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7">
    <w:name w:val="xl137"/>
    <w:basedOn w:val="Normal"/>
    <w:rsid w:val="00060470"/>
    <w:pPr>
      <w:pBdr>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38">
    <w:name w:val="xl138"/>
    <w:basedOn w:val="Normal"/>
    <w:rsid w:val="00060470"/>
    <w:pPr>
      <w:pBdr>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9">
    <w:name w:val="xl139"/>
    <w:basedOn w:val="Normal"/>
    <w:rsid w:val="00060470"/>
    <w:pPr>
      <w:pBdr>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0">
    <w:name w:val="xl140"/>
    <w:basedOn w:val="Normal"/>
    <w:rsid w:val="00060470"/>
    <w:pPr>
      <w:pBdr>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1">
    <w:name w:val="xl14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42">
    <w:name w:val="xl142"/>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3">
    <w:name w:val="xl143"/>
    <w:basedOn w:val="Normal"/>
    <w:rsid w:val="00060470"/>
    <w:pPr>
      <w:pBdr>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4">
    <w:name w:val="xl144"/>
    <w:basedOn w:val="Normal"/>
    <w:rsid w:val="00060470"/>
    <w:pPr>
      <w:pBdr>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5">
    <w:name w:val="xl145"/>
    <w:basedOn w:val="Normal"/>
    <w:rsid w:val="00060470"/>
    <w:pPr>
      <w:pBdr>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6">
    <w:name w:val="xl146"/>
    <w:basedOn w:val="Normal"/>
    <w:rsid w:val="00060470"/>
    <w:pPr>
      <w:pBdr>
        <w:left w:val="single" w:sz="8" w:space="0" w:color="auto"/>
        <w:bottom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47">
    <w:name w:val="xl147"/>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8">
    <w:name w:val="xl148"/>
    <w:basedOn w:val="Normal"/>
    <w:rsid w:val="00060470"/>
    <w:pPr>
      <w:pBdr>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9">
    <w:name w:val="xl149"/>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50">
    <w:name w:val="xl150"/>
    <w:basedOn w:val="Normal"/>
    <w:rsid w:val="00060470"/>
    <w:pPr>
      <w:pBdr>
        <w:top w:val="double" w:sz="6"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1">
    <w:name w:val="xl151"/>
    <w:basedOn w:val="Normal"/>
    <w:rsid w:val="00060470"/>
    <w:pPr>
      <w:pBdr>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2">
    <w:name w:val="xl152"/>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3">
    <w:name w:val="xl153"/>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4">
    <w:name w:val="xl154"/>
    <w:basedOn w:val="Normal"/>
    <w:rsid w:val="00060470"/>
    <w:pPr>
      <w:spacing w:before="100" w:beforeAutospacing="1" w:after="100" w:afterAutospacing="1" w:line="240" w:lineRule="auto"/>
      <w:ind w:firstLine="0"/>
      <w:contextualSpacing w:val="0"/>
      <w:jc w:val="center"/>
      <w:textAlignment w:val="center"/>
    </w:pPr>
    <w:rPr>
      <w:rFonts w:ascii="Calibri" w:hAnsi="Calibri"/>
      <w:sz w:val="24"/>
      <w:lang w:val="en-US" w:eastAsia="en-US"/>
    </w:rPr>
  </w:style>
  <w:style w:type="paragraph" w:customStyle="1" w:styleId="xl155">
    <w:name w:val="xl155"/>
    <w:basedOn w:val="Normal"/>
    <w:rsid w:val="00060470"/>
    <w:pPr>
      <w:spacing w:before="100" w:beforeAutospacing="1" w:after="100" w:afterAutospacing="1" w:line="240" w:lineRule="auto"/>
      <w:ind w:firstLine="0"/>
      <w:contextualSpacing w:val="0"/>
      <w:jc w:val="left"/>
      <w:textAlignment w:val="center"/>
    </w:pPr>
    <w:rPr>
      <w:rFonts w:ascii="Times Armenian" w:hAnsi="Times Armenian"/>
      <w:b w:val="0"/>
      <w:bCs/>
      <w:sz w:val="18"/>
      <w:szCs w:val="18"/>
      <w:lang w:val="en-US" w:eastAsia="en-US"/>
    </w:rPr>
  </w:style>
  <w:style w:type="paragraph" w:customStyle="1" w:styleId="xl156">
    <w:name w:val="xl156"/>
    <w:basedOn w:val="Normal"/>
    <w:rsid w:val="00060470"/>
    <w:pPr>
      <w:pBdr>
        <w:top w:val="single" w:sz="8" w:space="0" w:color="auto"/>
        <w:left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57">
    <w:name w:val="xl157"/>
    <w:basedOn w:val="Normal"/>
    <w:rsid w:val="00060470"/>
    <w:pPr>
      <w:pBdr>
        <w:left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8">
    <w:name w:val="xl158"/>
    <w:basedOn w:val="Normal"/>
    <w:rsid w:val="00060470"/>
    <w:pPr>
      <w:pBdr>
        <w:top w:val="double" w:sz="6" w:space="0" w:color="auto"/>
        <w:left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59">
    <w:name w:val="xl159"/>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60">
    <w:name w:val="xl160"/>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61">
    <w:name w:val="xl161"/>
    <w:basedOn w:val="Normal"/>
    <w:rsid w:val="00060470"/>
    <w:pPr>
      <w:spacing w:before="100" w:beforeAutospacing="1" w:after="100" w:afterAutospacing="1" w:line="240" w:lineRule="auto"/>
      <w:ind w:firstLine="0"/>
      <w:contextualSpacing w:val="0"/>
      <w:jc w:val="left"/>
      <w:textAlignment w:val="center"/>
    </w:pPr>
    <w:rPr>
      <w:rFonts w:ascii="Times Armenian" w:hAnsi="Times Armenian"/>
      <w:b w:val="0"/>
      <w:bCs/>
      <w:sz w:val="18"/>
      <w:szCs w:val="18"/>
      <w:u w:val="single"/>
      <w:lang w:val="en-US" w:eastAsia="en-US"/>
    </w:rPr>
  </w:style>
  <w:style w:type="paragraph" w:customStyle="1" w:styleId="xl24">
    <w:name w:val="xl24"/>
    <w:basedOn w:val="Normal"/>
    <w:rsid w:val="00060470"/>
    <w:pP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26">
    <w:name w:val="xl26"/>
    <w:basedOn w:val="Normal"/>
    <w:rsid w:val="00060470"/>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27">
    <w:name w:val="xl27"/>
    <w:basedOn w:val="Normal"/>
    <w:rsid w:val="00060470"/>
    <w:pPr>
      <w:pBdr>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Cs w:val="22"/>
      <w:lang w:val="en-US" w:eastAsia="en-US"/>
    </w:rPr>
  </w:style>
  <w:style w:type="paragraph" w:customStyle="1" w:styleId="xl28">
    <w:name w:val="xl28"/>
    <w:basedOn w:val="Normal"/>
    <w:rsid w:val="00060470"/>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Cs w:val="22"/>
      <w:lang w:val="en-US" w:eastAsia="en-US"/>
    </w:rPr>
  </w:style>
  <w:style w:type="paragraph" w:customStyle="1" w:styleId="xl29">
    <w:name w:val="xl29"/>
    <w:basedOn w:val="Normal"/>
    <w:rsid w:val="00060470"/>
    <w:pPr>
      <w:pBdr>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30">
    <w:name w:val="xl30"/>
    <w:basedOn w:val="Normal"/>
    <w:rsid w:val="00060470"/>
    <w:pPr>
      <w:pBdr>
        <w:bottom w:val="single" w:sz="4" w:space="0" w:color="auto"/>
      </w:pBdr>
      <w:spacing w:before="100" w:beforeAutospacing="1" w:after="100" w:afterAutospacing="1" w:line="240" w:lineRule="auto"/>
      <w:ind w:firstLine="0"/>
      <w:contextualSpacing w:val="0"/>
      <w:jc w:val="center"/>
      <w:textAlignment w:val="top"/>
    </w:pPr>
    <w:rPr>
      <w:rFonts w:ascii="Times Armenian" w:eastAsia="Arial Unicode MS" w:hAnsi="Times Armenian" w:cs="Arial Unicode MS"/>
      <w:b w:val="0"/>
      <w:bCs/>
      <w:szCs w:val="22"/>
      <w:lang w:val="en-US" w:eastAsia="en-US"/>
    </w:rPr>
  </w:style>
  <w:style w:type="paragraph" w:customStyle="1" w:styleId="xl31">
    <w:name w:val="xl31"/>
    <w:basedOn w:val="Normal"/>
    <w:rsid w:val="00060470"/>
    <w:pPr>
      <w:pBdr>
        <w:left w:val="single" w:sz="4" w:space="0" w:color="auto"/>
        <w:bottom w:val="single" w:sz="4" w:space="0" w:color="auto"/>
      </w:pBdr>
      <w:spacing w:before="100" w:beforeAutospacing="1" w:after="100" w:afterAutospacing="1" w:line="240" w:lineRule="auto"/>
      <w:ind w:firstLine="0"/>
      <w:contextualSpacing w:val="0"/>
      <w:jc w:val="center"/>
      <w:textAlignment w:val="top"/>
    </w:pPr>
    <w:rPr>
      <w:rFonts w:ascii="Times Armenian" w:eastAsia="Arial Unicode MS" w:hAnsi="Times Armenian" w:cs="Arial Unicode MS"/>
      <w:b w:val="0"/>
      <w:bCs/>
      <w:sz w:val="24"/>
      <w:lang w:val="en-US" w:eastAsia="en-US"/>
    </w:rPr>
  </w:style>
  <w:style w:type="paragraph" w:customStyle="1" w:styleId="xl32">
    <w:name w:val="xl32"/>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33">
    <w:name w:val="xl33"/>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34">
    <w:name w:val="xl34"/>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 w:val="24"/>
      <w:lang w:val="en-US" w:eastAsia="en-US"/>
    </w:rPr>
  </w:style>
  <w:style w:type="paragraph" w:customStyle="1" w:styleId="xl35">
    <w:name w:val="xl35"/>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 w:val="24"/>
      <w:lang w:val="en-US" w:eastAsia="en-US"/>
    </w:rPr>
  </w:style>
  <w:style w:type="paragraph" w:customStyle="1" w:styleId="xl36">
    <w:name w:val="xl36"/>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23">
    <w:name w:val="xl23"/>
    <w:basedOn w:val="Normal"/>
    <w:rsid w:val="00060470"/>
    <w:pPr>
      <w:spacing w:before="100" w:beforeAutospacing="1" w:after="100" w:afterAutospacing="1" w:line="240" w:lineRule="auto"/>
      <w:ind w:firstLine="0"/>
      <w:contextualSpacing w:val="0"/>
      <w:jc w:val="center"/>
      <w:textAlignment w:val="center"/>
    </w:pPr>
    <w:rPr>
      <w:rFonts w:ascii="Times Armenian" w:hAnsi="Times Armenian"/>
      <w:sz w:val="24"/>
      <w:lang w:val="en-US" w:eastAsia="en-US"/>
    </w:rPr>
  </w:style>
  <w:style w:type="paragraph" w:customStyle="1" w:styleId="xl37">
    <w:name w:val="xl37"/>
    <w:basedOn w:val="Normal"/>
    <w:rsid w:val="00060470"/>
    <w:pPr>
      <w:spacing w:before="100" w:beforeAutospacing="1" w:after="100" w:afterAutospacing="1" w:line="240" w:lineRule="auto"/>
      <w:ind w:firstLine="0"/>
      <w:contextualSpacing w:val="0"/>
      <w:jc w:val="right"/>
      <w:textAlignment w:val="center"/>
    </w:pPr>
    <w:rPr>
      <w:rFonts w:ascii="Times Armenian" w:eastAsia="Arial Unicode MS" w:hAnsi="Times Armenian" w:cs="Arial Unicode MS"/>
      <w:szCs w:val="22"/>
      <w:lang w:val="en-US" w:eastAsia="en-US"/>
    </w:rPr>
  </w:style>
  <w:style w:type="paragraph" w:customStyle="1" w:styleId="xl38">
    <w:name w:val="xl38"/>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39">
    <w:name w:val="xl39"/>
    <w:basedOn w:val="Normal"/>
    <w:rsid w:val="0006047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40">
    <w:name w:val="xl40"/>
    <w:basedOn w:val="Normal"/>
    <w:rsid w:val="00060470"/>
    <w:pPr>
      <w:pBdr>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1">
    <w:name w:val="xl41"/>
    <w:basedOn w:val="Normal"/>
    <w:rsid w:val="0006047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2">
    <w:name w:val="xl42"/>
    <w:basedOn w:val="Normal"/>
    <w:rsid w:val="00060470"/>
    <w:pPr>
      <w:pBdr>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5">
    <w:name w:val="xl45"/>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b w:val="0"/>
      <w:bCs/>
      <w:sz w:val="24"/>
      <w:lang w:val="en-US" w:eastAsia="en-US"/>
    </w:rPr>
  </w:style>
  <w:style w:type="paragraph" w:customStyle="1" w:styleId="xl46">
    <w:name w:val="xl46"/>
    <w:basedOn w:val="Normal"/>
    <w:rsid w:val="00060470"/>
    <w:pP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b w:val="0"/>
      <w:bCs/>
      <w:szCs w:val="22"/>
      <w:u w:val="single"/>
      <w:lang w:val="en-US" w:eastAsia="en-US"/>
    </w:rPr>
  </w:style>
  <w:style w:type="paragraph" w:customStyle="1" w:styleId="xl47">
    <w:name w:val="xl47"/>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48">
    <w:name w:val="xl48"/>
    <w:basedOn w:val="Normal"/>
    <w:rsid w:val="00060470"/>
    <w:pPr>
      <w:spacing w:before="100" w:beforeAutospacing="1" w:after="100" w:afterAutospacing="1" w:line="240" w:lineRule="auto"/>
      <w:ind w:firstLine="0"/>
      <w:contextualSpacing w:val="0"/>
      <w:jc w:val="right"/>
      <w:textAlignment w:val="center"/>
    </w:pPr>
    <w:rPr>
      <w:rFonts w:ascii="Times Armenian" w:eastAsia="Arial Unicode MS" w:hAnsi="Times Armenian" w:cs="Arial Unicode MS"/>
      <w:szCs w:val="22"/>
      <w:lang w:val="en-US" w:eastAsia="en-US"/>
    </w:rPr>
  </w:style>
  <w:style w:type="paragraph" w:customStyle="1" w:styleId="StyleBodyTextArialAMChar">
    <w:name w:val="Style Body Text + Arial AM Char"/>
    <w:basedOn w:val="BodyText"/>
    <w:rsid w:val="00060470"/>
    <w:pPr>
      <w:spacing w:before="0" w:after="240" w:line="240" w:lineRule="auto"/>
      <w:ind w:firstLine="0"/>
      <w:contextualSpacing w:val="0"/>
      <w:jc w:val="both"/>
    </w:pPr>
    <w:rPr>
      <w:rFonts w:ascii="Arial AM" w:hAnsi="Arial AM"/>
      <w:spacing w:val="-5"/>
      <w:sz w:val="24"/>
      <w:lang w:val="en-GB" w:eastAsia="en-US"/>
    </w:rPr>
  </w:style>
  <w:style w:type="paragraph" w:customStyle="1" w:styleId="CharCharChar1">
    <w:name w:val="Char Char Char Знак Знак"/>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
    <w:name w:val="Char Char Char Char Char Знак Знак"/>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10">
    <w:name w:val="Абзац списка1"/>
    <w:basedOn w:val="Normal"/>
    <w:uiPriority w:val="99"/>
    <w:qFormat/>
    <w:rsid w:val="00060470"/>
    <w:pPr>
      <w:spacing w:before="0" w:after="200" w:line="276" w:lineRule="auto"/>
      <w:ind w:left="720" w:firstLine="0"/>
      <w:jc w:val="left"/>
    </w:pPr>
    <w:rPr>
      <w:rFonts w:ascii="Calibri" w:eastAsia="Calibri" w:hAnsi="Calibri"/>
      <w:szCs w:val="22"/>
      <w:lang w:eastAsia="en-US"/>
    </w:rPr>
  </w:style>
  <w:style w:type="paragraph" w:styleId="NoSpacing">
    <w:name w:val="No Spacing"/>
    <w:link w:val="NoSpacingChar"/>
    <w:qFormat/>
    <w:rsid w:val="00060470"/>
    <w:rPr>
      <w:rFonts w:ascii="Calibri" w:eastAsia="Calibri" w:hAnsi="Calibri"/>
      <w:sz w:val="22"/>
      <w:szCs w:val="22"/>
    </w:rPr>
  </w:style>
  <w:style w:type="paragraph" w:customStyle="1" w:styleId="5">
    <w:name w:val="Знак Знак5"/>
    <w:basedOn w:val="Normal"/>
    <w:link w:val="Char2"/>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ubhead3">
    <w:name w:val="sub_head3"/>
    <w:basedOn w:val="Normal"/>
    <w:rsid w:val="00060470"/>
    <w:pPr>
      <w:spacing w:before="0" w:after="120"/>
      <w:ind w:firstLine="0"/>
      <w:contextualSpacing w:val="0"/>
    </w:pPr>
    <w:rPr>
      <w:rFonts w:ascii="Times Armenian" w:hAnsi="Times Armenian"/>
      <w:i/>
      <w:szCs w:val="22"/>
      <w:u w:val="single"/>
      <w:lang w:val="en-US"/>
    </w:rPr>
  </w:style>
  <w:style w:type="paragraph" w:customStyle="1" w:styleId="StyleHeading2ParanumTextLeft">
    <w:name w:val="Style Heading 2ParanumText + Left"/>
    <w:basedOn w:val="Heading2"/>
    <w:rsid w:val="00060470"/>
    <w:pPr>
      <w:widowControl w:val="0"/>
      <w:numPr>
        <w:numId w:val="4"/>
      </w:numPr>
      <w:tabs>
        <w:tab w:val="clear" w:pos="720"/>
        <w:tab w:val="num" w:pos="1440"/>
      </w:tabs>
      <w:spacing w:before="120" w:after="120" w:line="240" w:lineRule="auto"/>
      <w:ind w:left="1440"/>
      <w:contextualSpacing w:val="0"/>
      <w:jc w:val="left"/>
    </w:pPr>
    <w:rPr>
      <w:rFonts w:ascii="Times Armenian" w:hAnsi="Times Armenian"/>
      <w:bCs/>
      <w:kern w:val="28"/>
      <w:szCs w:val="20"/>
      <w:lang w:val="en-GB"/>
    </w:rPr>
  </w:style>
  <w:style w:type="paragraph" w:customStyle="1" w:styleId="annexedhead">
    <w:name w:val="annexed head"/>
    <w:basedOn w:val="Heading2"/>
    <w:rsid w:val="00060470"/>
    <w:pPr>
      <w:widowControl w:val="0"/>
      <w:spacing w:before="120" w:after="120" w:line="240" w:lineRule="auto"/>
      <w:ind w:left="928" w:hanging="360"/>
      <w:contextualSpacing w:val="0"/>
      <w:jc w:val="left"/>
    </w:pPr>
    <w:rPr>
      <w:rFonts w:ascii="Times Armenian" w:hAnsi="Times Armenian"/>
      <w:kern w:val="28"/>
      <w:szCs w:val="20"/>
      <w:lang w:val="en-GB"/>
    </w:rPr>
  </w:style>
  <w:style w:type="paragraph" w:customStyle="1" w:styleId="Tabletitle">
    <w:name w:val="Table_title"/>
    <w:basedOn w:val="Normal"/>
    <w:rsid w:val="00060470"/>
    <w:pPr>
      <w:tabs>
        <w:tab w:val="left" w:pos="9626"/>
        <w:tab w:val="left" w:pos="10916"/>
        <w:tab w:val="left" w:pos="12206"/>
        <w:tab w:val="left" w:pos="13496"/>
      </w:tabs>
      <w:spacing w:before="0" w:line="240" w:lineRule="auto"/>
      <w:ind w:left="108" w:firstLine="0"/>
      <w:contextualSpacing w:val="0"/>
      <w:jc w:val="left"/>
    </w:pPr>
    <w:rPr>
      <w:rFonts w:ascii="Times Armenian" w:hAnsi="Times Armenian" w:cs="Arial"/>
      <w:b w:val="0"/>
      <w:bCs/>
      <w:szCs w:val="22"/>
      <w:lang w:val="en-US"/>
    </w:rPr>
  </w:style>
  <w:style w:type="paragraph" w:customStyle="1" w:styleId="StyleHeading3CenteredtextLinespacingsingle">
    <w:name w:val="Style Heading 3Centered(text) + Line spacing:  single"/>
    <w:basedOn w:val="Heading3"/>
    <w:rsid w:val="00060470"/>
    <w:pPr>
      <w:widowControl w:val="0"/>
      <w:ind w:left="928" w:hanging="360"/>
      <w:contextualSpacing w:val="0"/>
    </w:pPr>
    <w:rPr>
      <w:rFonts w:ascii="Times Armenian" w:hAnsi="Times Armenian" w:cs="Times New Roman"/>
      <w:bCs w:val="0"/>
      <w:i/>
      <w:iCs/>
      <w:spacing w:val="-5"/>
      <w:szCs w:val="20"/>
    </w:rPr>
  </w:style>
  <w:style w:type="paragraph" w:customStyle="1" w:styleId="Titlefigure">
    <w:name w:val="Title_figure"/>
    <w:basedOn w:val="Caption"/>
    <w:next w:val="Normal"/>
    <w:rsid w:val="00060470"/>
    <w:pPr>
      <w:keepNext/>
      <w:spacing w:before="0" w:after="60" w:line="240" w:lineRule="auto"/>
      <w:ind w:firstLine="0"/>
      <w:contextualSpacing w:val="0"/>
      <w:jc w:val="left"/>
    </w:pPr>
    <w:rPr>
      <w:rFonts w:ascii="Times Armenian" w:hAnsi="Times Armenian"/>
      <w:color w:val="auto"/>
      <w:sz w:val="22"/>
      <w:szCs w:val="20"/>
      <w:lang w:val="en-US"/>
    </w:rPr>
  </w:style>
  <w:style w:type="paragraph" w:customStyle="1" w:styleId="ModelNrmlSingle">
    <w:name w:val="ModelNrmlSingle"/>
    <w:basedOn w:val="Normal"/>
    <w:rsid w:val="00060470"/>
    <w:pPr>
      <w:spacing w:before="0" w:after="240" w:line="240" w:lineRule="auto"/>
      <w:ind w:firstLine="720"/>
      <w:contextualSpacing w:val="0"/>
    </w:pPr>
    <w:rPr>
      <w:rFonts w:ascii="Times New Roman" w:hAnsi="Times New Roman"/>
      <w:szCs w:val="20"/>
      <w:lang w:val="en-US" w:eastAsia="en-US"/>
    </w:rPr>
  </w:style>
  <w:style w:type="paragraph" w:customStyle="1" w:styleId="CharCharCharCharCharCharCharCharCharCharCharCharCharCharChar">
    <w:name w:val="Char Char Char Char Знак Char Знак Char Char Char Char Char Char Char Char Char Char"/>
    <w:basedOn w:val="Normal"/>
    <w:uiPriority w:val="99"/>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hps">
    <w:name w:val="hps"/>
    <w:basedOn w:val="DefaultParagraphFont"/>
    <w:rsid w:val="00060470"/>
  </w:style>
  <w:style w:type="character" w:customStyle="1" w:styleId="CharChar4">
    <w:name w:val="Char Char4"/>
    <w:locked/>
    <w:rsid w:val="00060470"/>
    <w:rPr>
      <w:rFonts w:ascii="Times Armenian" w:hAnsi="Times Armenian"/>
      <w:lang w:val="hy-AM" w:eastAsia="en-US" w:bidi="ar-SA"/>
    </w:rPr>
  </w:style>
  <w:style w:type="character" w:customStyle="1" w:styleId="normChar">
    <w:name w:val="norm Char"/>
    <w:link w:val="norm"/>
    <w:locked/>
    <w:rsid w:val="00060470"/>
    <w:rPr>
      <w:rFonts w:ascii="Arial Armenian" w:hAnsi="Arial Armenian"/>
      <w:sz w:val="22"/>
      <w:lang w:eastAsia="ru-RU"/>
    </w:rPr>
  </w:style>
  <w:style w:type="character" w:customStyle="1" w:styleId="Heading3Char1">
    <w:name w:val="Heading 3 Char1"/>
    <w:aliases w:val="Centered Char,(text) Char,(Sub-Chapter) Char,Heading 3 Char Char Char Char Char Char Char1,Centered Char1,(text) Char1,(Sub-Chapter) Char1,Heading 3 Char2"/>
    <w:rsid w:val="00060470"/>
    <w:rPr>
      <w:rFonts w:ascii="Times Armenian" w:hAnsi="Times Armenian"/>
      <w:sz w:val="24"/>
      <w:lang w:val="fr-FR" w:eastAsia="en-US" w:bidi="ar-SA"/>
    </w:rPr>
  </w:style>
  <w:style w:type="character" w:customStyle="1" w:styleId="CharChar16">
    <w:name w:val="Char Char16"/>
    <w:uiPriority w:val="99"/>
    <w:rsid w:val="00060470"/>
    <w:rPr>
      <w:b/>
      <w:sz w:val="32"/>
      <w:lang w:val="en-GB" w:eastAsia="en-US" w:bidi="ar-SA"/>
    </w:rPr>
  </w:style>
  <w:style w:type="character" w:customStyle="1" w:styleId="CharChar14">
    <w:name w:val="Char Char14"/>
    <w:uiPriority w:val="99"/>
    <w:rsid w:val="00060470"/>
    <w:rPr>
      <w:sz w:val="22"/>
      <w:lang w:val="en-GB" w:eastAsia="en-US" w:bidi="ar-SA"/>
    </w:rPr>
  </w:style>
  <w:style w:type="character" w:customStyle="1" w:styleId="CharChar15">
    <w:name w:val="Char Char15"/>
    <w:uiPriority w:val="99"/>
    <w:rsid w:val="00060470"/>
    <w:rPr>
      <w:sz w:val="36"/>
      <w:lang w:val="en-GB" w:eastAsia="en-US" w:bidi="ar-SA"/>
    </w:rPr>
  </w:style>
  <w:style w:type="character" w:customStyle="1" w:styleId="CharChar13">
    <w:name w:val="Char Char13"/>
    <w:uiPriority w:val="99"/>
    <w:rsid w:val="00060470"/>
    <w:rPr>
      <w:sz w:val="22"/>
      <w:lang w:val="en-GB" w:eastAsia="en-US" w:bidi="ar-SA"/>
    </w:rPr>
  </w:style>
  <w:style w:type="character" w:customStyle="1" w:styleId="CharChar12">
    <w:name w:val="Char Char12"/>
    <w:uiPriority w:val="99"/>
    <w:rsid w:val="00060470"/>
    <w:rPr>
      <w:sz w:val="22"/>
      <w:lang w:val="en-GB" w:eastAsia="en-US" w:bidi="ar-SA"/>
    </w:rPr>
  </w:style>
  <w:style w:type="character" w:customStyle="1" w:styleId="CharChar11">
    <w:name w:val="Char Char11"/>
    <w:uiPriority w:val="99"/>
    <w:rsid w:val="00060470"/>
    <w:rPr>
      <w:rFonts w:ascii="Times Armenian" w:hAnsi="Times Armenian"/>
      <w:b/>
      <w:bCs/>
      <w:sz w:val="32"/>
      <w:szCs w:val="24"/>
      <w:lang w:val="fr-FR" w:eastAsia="en-US" w:bidi="ar-SA"/>
    </w:rPr>
  </w:style>
  <w:style w:type="character" w:customStyle="1" w:styleId="CharChar10">
    <w:name w:val="Char Char10"/>
    <w:uiPriority w:val="99"/>
    <w:rsid w:val="00060470"/>
    <w:rPr>
      <w:rFonts w:ascii="Times Armenian" w:hAnsi="Times Armenian"/>
      <w:color w:val="993300"/>
      <w:sz w:val="22"/>
      <w:szCs w:val="24"/>
      <w:lang w:val="hy-AM" w:eastAsia="en-US" w:bidi="ar-SA"/>
    </w:rPr>
  </w:style>
  <w:style w:type="character" w:styleId="Emphasis">
    <w:name w:val="Emphasis"/>
    <w:qFormat/>
    <w:rsid w:val="00060470"/>
    <w:rPr>
      <w:i/>
      <w:iCs/>
    </w:rPr>
  </w:style>
  <w:style w:type="character" w:customStyle="1" w:styleId="CharChar9">
    <w:name w:val="Char Char9"/>
    <w:uiPriority w:val="99"/>
    <w:rsid w:val="00060470"/>
    <w:rPr>
      <w:rFonts w:ascii="Times Armenian" w:hAnsi="Times Armenian"/>
      <w:b/>
      <w:i/>
      <w:sz w:val="24"/>
      <w:u w:val="single"/>
      <w:lang w:val="hy-AM" w:eastAsia="en-US" w:bidi="ar-SA"/>
    </w:rPr>
  </w:style>
  <w:style w:type="character" w:customStyle="1" w:styleId="BodyTextChar1">
    <w:name w:val="Body Text Char1"/>
    <w:aliases w:val="(Main Text) Char1,date Char1,Body Text (Main text) Char1,Body Text Char4,Body Text (Main text) Char4"/>
    <w:uiPriority w:val="99"/>
    <w:rsid w:val="00060470"/>
    <w:rPr>
      <w:rFonts w:eastAsia="Batang"/>
      <w:sz w:val="24"/>
      <w:szCs w:val="24"/>
    </w:rPr>
  </w:style>
  <w:style w:type="character" w:customStyle="1" w:styleId="NoSpacingChar">
    <w:name w:val="No Spacing Char"/>
    <w:link w:val="NoSpacing"/>
    <w:rsid w:val="00060470"/>
    <w:rPr>
      <w:rFonts w:ascii="Calibri" w:eastAsia="Calibri" w:hAnsi="Calibri"/>
      <w:sz w:val="22"/>
      <w:szCs w:val="22"/>
    </w:rPr>
  </w:style>
  <w:style w:type="character" w:customStyle="1" w:styleId="Heading4Char1">
    <w:name w:val="Heading 4 Char1"/>
    <w:aliases w:val="Centred Char1,Heading 4 Char2"/>
    <w:rsid w:val="00060470"/>
    <w:rPr>
      <w:rFonts w:ascii="Cambria" w:eastAsia="Times New Roman" w:hAnsi="Cambria" w:cs="Times New Roman"/>
      <w:b/>
      <w:bCs/>
      <w:i/>
      <w:iCs/>
      <w:color w:val="4F81BD"/>
      <w:sz w:val="24"/>
      <w:szCs w:val="24"/>
    </w:rPr>
  </w:style>
  <w:style w:type="character" w:customStyle="1" w:styleId="Heading5Char1">
    <w:name w:val="Heading 5 Char1"/>
    <w:aliases w:val="Side Char1"/>
    <w:rsid w:val="00060470"/>
    <w:rPr>
      <w:rFonts w:ascii="Cambria" w:eastAsia="Times New Roman" w:hAnsi="Cambria" w:cs="Times New Roman"/>
      <w:color w:val="243F60"/>
      <w:sz w:val="24"/>
      <w:szCs w:val="24"/>
    </w:rPr>
  </w:style>
  <w:style w:type="character" w:customStyle="1" w:styleId="SubtitleChar">
    <w:name w:val="Subtitle Char"/>
    <w:link w:val="Subtitle"/>
    <w:rsid w:val="00060470"/>
    <w:rPr>
      <w:rFonts w:ascii="Times Armenian" w:hAnsi="Times Armenian"/>
      <w:bCs/>
      <w:i/>
      <w:sz w:val="26"/>
    </w:rPr>
  </w:style>
  <w:style w:type="character" w:customStyle="1" w:styleId="BodyTextIndentChar2">
    <w:name w:val="Body Text Indent Char2"/>
    <w:aliases w:val="(Table Source)1 Char1"/>
    <w:locked/>
    <w:rsid w:val="00060470"/>
    <w:rPr>
      <w:rFonts w:ascii="Times New Roman" w:hAnsi="Times New Roman" w:cs="Times New Roman"/>
      <w:sz w:val="20"/>
      <w:szCs w:val="20"/>
      <w:lang w:val="en-GB"/>
    </w:rPr>
  </w:style>
  <w:style w:type="paragraph" w:customStyle="1" w:styleId="Char1CharCharCharCharCharCharCharCharCharCharCharChar2">
    <w:name w:val="Char1 Char Char Char Char Char Char Char Char Char Char Char Char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10">
    <w:name w:val="Char1"/>
    <w:basedOn w:val="Normal"/>
    <w:uiPriority w:val="99"/>
    <w:locked/>
    <w:rsid w:val="00060470"/>
    <w:pPr>
      <w:spacing w:before="0" w:after="160" w:line="240" w:lineRule="auto"/>
      <w:ind w:firstLine="0"/>
      <w:contextualSpacing w:val="0"/>
      <w:jc w:val="left"/>
    </w:pPr>
    <w:rPr>
      <w:rFonts w:ascii="Verdana" w:eastAsia="Batang" w:hAnsi="Verdana" w:cs="Verdana"/>
      <w:sz w:val="24"/>
      <w:lang w:val="en-US" w:eastAsia="en-US"/>
    </w:rPr>
  </w:style>
  <w:style w:type="paragraph" w:customStyle="1" w:styleId="CharCharChar2">
    <w:name w:val="Char Char Char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20">
    <w:name w:val="Char Char Char Знак Знак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2">
    <w:name w:val="Char Char Char Char Char Знак Знак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CharCharCharCharCharCharCharCharChar3">
    <w:name w:val="Char Char Char Char Знак Char Знак Char Char Char Char Char Char Char Char Char Char3"/>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Char162">
    <w:name w:val="Char Char162"/>
    <w:rsid w:val="00060470"/>
    <w:rPr>
      <w:b/>
      <w:sz w:val="32"/>
      <w:lang w:val="en-GB" w:eastAsia="en-US"/>
    </w:rPr>
  </w:style>
  <w:style w:type="character" w:customStyle="1" w:styleId="CharChar142">
    <w:name w:val="Char Char142"/>
    <w:uiPriority w:val="99"/>
    <w:rsid w:val="00060470"/>
    <w:rPr>
      <w:sz w:val="22"/>
      <w:lang w:val="en-GB" w:eastAsia="en-US"/>
    </w:rPr>
  </w:style>
  <w:style w:type="character" w:customStyle="1" w:styleId="CharChar152">
    <w:name w:val="Char Char152"/>
    <w:rsid w:val="00060470"/>
    <w:rPr>
      <w:sz w:val="36"/>
      <w:lang w:val="en-GB" w:eastAsia="en-US"/>
    </w:rPr>
  </w:style>
  <w:style w:type="character" w:customStyle="1" w:styleId="CharChar132">
    <w:name w:val="Char Char132"/>
    <w:rsid w:val="00060470"/>
    <w:rPr>
      <w:sz w:val="22"/>
      <w:lang w:val="en-GB" w:eastAsia="en-US"/>
    </w:rPr>
  </w:style>
  <w:style w:type="character" w:customStyle="1" w:styleId="CharChar122">
    <w:name w:val="Char Char122"/>
    <w:rsid w:val="00060470"/>
    <w:rPr>
      <w:sz w:val="22"/>
      <w:lang w:val="en-GB" w:eastAsia="en-US"/>
    </w:rPr>
  </w:style>
  <w:style w:type="character" w:customStyle="1" w:styleId="CharChar112">
    <w:name w:val="Char Char112"/>
    <w:uiPriority w:val="99"/>
    <w:rsid w:val="00060470"/>
    <w:rPr>
      <w:rFonts w:ascii="Times Armenian" w:hAnsi="Times Armenian"/>
      <w:b/>
      <w:sz w:val="24"/>
      <w:lang w:val="fr-FR" w:eastAsia="en-US"/>
    </w:rPr>
  </w:style>
  <w:style w:type="character" w:customStyle="1" w:styleId="CharChar102">
    <w:name w:val="Char Char102"/>
    <w:rsid w:val="00060470"/>
    <w:rPr>
      <w:rFonts w:ascii="Times Armenian" w:hAnsi="Times Armenian"/>
      <w:color w:val="993300"/>
      <w:sz w:val="24"/>
      <w:lang w:val="hy-AM" w:eastAsia="en-US"/>
    </w:rPr>
  </w:style>
  <w:style w:type="character" w:customStyle="1" w:styleId="CharChar92">
    <w:name w:val="Char Char92"/>
    <w:rsid w:val="00060470"/>
    <w:rPr>
      <w:rFonts w:ascii="Times Armenian" w:hAnsi="Times Armenian"/>
      <w:b/>
      <w:i/>
      <w:sz w:val="24"/>
      <w:u w:val="single"/>
      <w:lang w:val="hy-AM" w:eastAsia="en-US"/>
    </w:rPr>
  </w:style>
  <w:style w:type="character" w:customStyle="1" w:styleId="BodyText2Char1">
    <w:name w:val="Body Text 2 Char1"/>
    <w:aliases w:val="1Text Char1"/>
    <w:link w:val="1Text1"/>
    <w:locked/>
    <w:rsid w:val="00060470"/>
    <w:rPr>
      <w:rFonts w:cs="Times New Roman"/>
    </w:rPr>
  </w:style>
  <w:style w:type="paragraph" w:customStyle="1" w:styleId="11">
    <w:name w:val="Рецензия1"/>
    <w:hidden/>
    <w:uiPriority w:val="99"/>
    <w:semiHidden/>
    <w:rsid w:val="00060470"/>
    <w:rPr>
      <w:rFonts w:ascii="Arial Armenian" w:hAnsi="Arial Armenian"/>
      <w:sz w:val="22"/>
      <w:szCs w:val="22"/>
      <w:lang w:eastAsia="ru-RU"/>
    </w:rPr>
  </w:style>
  <w:style w:type="character" w:customStyle="1" w:styleId="DocumentMapChar">
    <w:name w:val="Document Map Char"/>
    <w:link w:val="DocumentMap"/>
    <w:uiPriority w:val="99"/>
    <w:rsid w:val="00060470"/>
    <w:rPr>
      <w:rFonts w:ascii="Tahoma" w:hAnsi="Tahoma" w:cs="Tahoma"/>
      <w:shd w:val="clear" w:color="auto" w:fill="000080"/>
      <w:lang w:val="ru-RU" w:eastAsia="ru-RU"/>
    </w:rPr>
  </w:style>
  <w:style w:type="paragraph" w:customStyle="1" w:styleId="font11">
    <w:name w:val="font11"/>
    <w:basedOn w:val="Normal"/>
    <w:rsid w:val="00060470"/>
    <w:pPr>
      <w:spacing w:before="100" w:after="100" w:line="240" w:lineRule="auto"/>
      <w:ind w:firstLine="0"/>
      <w:contextualSpacing w:val="0"/>
      <w:jc w:val="left"/>
    </w:pPr>
    <w:rPr>
      <w:rFonts w:ascii="Times New Roman" w:eastAsia="SimSun" w:hAnsi="Times New Roman"/>
      <w:color w:val="000000"/>
      <w:sz w:val="16"/>
      <w:szCs w:val="16"/>
      <w:lang w:val="en-US" w:eastAsia="en-US"/>
    </w:rPr>
  </w:style>
  <w:style w:type="paragraph" w:customStyle="1" w:styleId="font12">
    <w:name w:val="font12"/>
    <w:basedOn w:val="Normal"/>
    <w:rsid w:val="00060470"/>
    <w:pPr>
      <w:spacing w:before="100" w:after="100" w:line="240" w:lineRule="auto"/>
      <w:ind w:firstLine="0"/>
      <w:contextualSpacing w:val="0"/>
      <w:jc w:val="left"/>
    </w:pPr>
    <w:rPr>
      <w:rFonts w:ascii="Times New Roman" w:eastAsia="SimSun" w:hAnsi="Times New Roman"/>
      <w:color w:val="000000"/>
      <w:sz w:val="16"/>
      <w:szCs w:val="16"/>
      <w:lang w:val="en-US" w:eastAsia="en-US"/>
    </w:rPr>
  </w:style>
  <w:style w:type="paragraph" w:customStyle="1" w:styleId="font13">
    <w:name w:val="font13"/>
    <w:basedOn w:val="Normal"/>
    <w:rsid w:val="00060470"/>
    <w:pPr>
      <w:spacing w:before="100" w:after="100" w:line="240" w:lineRule="auto"/>
      <w:ind w:firstLine="0"/>
      <w:contextualSpacing w:val="0"/>
      <w:jc w:val="left"/>
    </w:pPr>
    <w:rPr>
      <w:rFonts w:ascii="Times New Roman" w:eastAsia="SimSun" w:hAnsi="Times New Roman"/>
      <w:b w:val="0"/>
      <w:bCs/>
      <w:color w:val="000000"/>
      <w:sz w:val="16"/>
      <w:szCs w:val="16"/>
      <w:lang w:val="en-US" w:eastAsia="en-US"/>
    </w:rPr>
  </w:style>
  <w:style w:type="paragraph" w:customStyle="1" w:styleId="font14">
    <w:name w:val="font14"/>
    <w:basedOn w:val="Normal"/>
    <w:rsid w:val="00060470"/>
    <w:pPr>
      <w:spacing w:before="100" w:after="100" w:line="240" w:lineRule="auto"/>
      <w:ind w:firstLine="0"/>
      <w:contextualSpacing w:val="0"/>
      <w:jc w:val="left"/>
    </w:pPr>
    <w:rPr>
      <w:rFonts w:ascii="Times New Roman" w:eastAsia="SimSun" w:hAnsi="Times New Roman"/>
      <w:i/>
      <w:iCs/>
      <w:sz w:val="20"/>
      <w:szCs w:val="20"/>
      <w:lang w:val="en-US" w:eastAsia="en-US"/>
    </w:rPr>
  </w:style>
  <w:style w:type="paragraph" w:customStyle="1" w:styleId="font15">
    <w:name w:val="font15"/>
    <w:basedOn w:val="Normal"/>
    <w:rsid w:val="00060470"/>
    <w:pPr>
      <w:spacing w:before="100" w:after="100" w:line="240" w:lineRule="auto"/>
      <w:ind w:firstLine="0"/>
      <w:contextualSpacing w:val="0"/>
      <w:jc w:val="left"/>
    </w:pPr>
    <w:rPr>
      <w:rFonts w:ascii="Times New Roman" w:eastAsia="SimSun" w:hAnsi="Times New Roman"/>
      <w:i/>
      <w:iCs/>
      <w:sz w:val="28"/>
      <w:szCs w:val="28"/>
      <w:lang w:val="en-US" w:eastAsia="en-US"/>
    </w:rPr>
  </w:style>
  <w:style w:type="paragraph" w:customStyle="1" w:styleId="xl49">
    <w:name w:val="xl49"/>
    <w:basedOn w:val="Normal"/>
    <w:rsid w:val="00060470"/>
    <w:pPr>
      <w:pBdr>
        <w:top w:val="single" w:sz="4" w:space="0" w:color="auto"/>
        <w:left w:val="single" w:sz="8" w:space="2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0">
    <w:name w:val="xl50"/>
    <w:basedOn w:val="Normal"/>
    <w:rsid w:val="00060470"/>
    <w:pPr>
      <w:pBdr>
        <w:top w:val="single" w:sz="4" w:space="0" w:color="auto"/>
        <w:left w:val="single" w:sz="8" w:space="2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xl51">
    <w:name w:val="xl51"/>
    <w:basedOn w:val="Normal"/>
    <w:rsid w:val="00060470"/>
    <w:pPr>
      <w:pBdr>
        <w:top w:val="single" w:sz="4" w:space="0" w:color="auto"/>
        <w:left w:val="single" w:sz="8" w:space="2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xl52">
    <w:name w:val="xl52"/>
    <w:basedOn w:val="Normal"/>
    <w:rsid w:val="00060470"/>
    <w:pPr>
      <w:pBdr>
        <w:top w:val="single" w:sz="4" w:space="0" w:color="auto"/>
        <w:left w:val="single" w:sz="8" w:space="21" w:color="auto"/>
        <w:bottom w:val="single" w:sz="4" w:space="0" w:color="auto"/>
        <w:right w:val="single" w:sz="4" w:space="0" w:color="auto"/>
      </w:pBdr>
      <w:shd w:val="clear" w:color="auto" w:fill="FFFFFF"/>
      <w:spacing w:before="100" w:after="100" w:line="240" w:lineRule="auto"/>
      <w:ind w:firstLine="0"/>
      <w:contextualSpacing w:val="0"/>
      <w:jc w:val="left"/>
    </w:pPr>
    <w:rPr>
      <w:rFonts w:ascii="Times New Roman" w:eastAsia="SimSun" w:hAnsi="Times New Roman"/>
      <w:b w:val="0"/>
      <w:bCs/>
      <w:sz w:val="24"/>
      <w:lang w:val="en-US" w:eastAsia="en-US"/>
    </w:rPr>
  </w:style>
  <w:style w:type="paragraph" w:customStyle="1" w:styleId="xl53">
    <w:name w:val="xl53"/>
    <w:basedOn w:val="Normal"/>
    <w:rsid w:val="00060470"/>
    <w:pPr>
      <w:pBdr>
        <w:top w:val="single" w:sz="4" w:space="0" w:color="auto"/>
        <w:left w:val="single" w:sz="8" w:space="31" w:color="auto"/>
        <w:bottom w:val="single" w:sz="4" w:space="0" w:color="auto"/>
        <w:right w:val="single" w:sz="4" w:space="0" w:color="auto"/>
      </w:pBdr>
      <w:shd w:val="clear" w:color="auto" w:fill="FFFFFF"/>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4">
    <w:name w:val="xl54"/>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5">
    <w:name w:val="xl55"/>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6">
    <w:name w:val="xl56"/>
    <w:basedOn w:val="Normal"/>
    <w:rsid w:val="00060470"/>
    <w:pPr>
      <w:pBdr>
        <w:top w:val="single" w:sz="4" w:space="0" w:color="auto"/>
        <w:left w:val="single" w:sz="8" w:space="3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7">
    <w:name w:val="xl57"/>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8">
    <w:name w:val="xl58"/>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9">
    <w:name w:val="xl59"/>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0">
    <w:name w:val="xl60"/>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1">
    <w:name w:val="xl61"/>
    <w:basedOn w:val="Normal"/>
    <w:rsid w:val="00060470"/>
    <w:pPr>
      <w:pBdr>
        <w:top w:val="single" w:sz="4" w:space="0" w:color="auto"/>
        <w:left w:val="single" w:sz="8" w:space="1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b w:val="0"/>
      <w:bCs/>
      <w:i/>
      <w:iCs/>
      <w:sz w:val="24"/>
      <w:lang w:val="en-US" w:eastAsia="en-US"/>
    </w:rPr>
  </w:style>
  <w:style w:type="paragraph" w:customStyle="1" w:styleId="xl62">
    <w:name w:val="xl62"/>
    <w:basedOn w:val="Normal"/>
    <w:rsid w:val="00060470"/>
    <w:pPr>
      <w:pBdr>
        <w:top w:val="single" w:sz="4" w:space="0" w:color="auto"/>
        <w:left w:val="single" w:sz="8" w:space="1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b w:val="0"/>
      <w:bCs/>
      <w:sz w:val="24"/>
      <w:lang w:val="en-US" w:eastAsia="en-US"/>
    </w:rPr>
  </w:style>
  <w:style w:type="paragraph" w:customStyle="1" w:styleId="xl63">
    <w:name w:val="xl63"/>
    <w:basedOn w:val="Normal"/>
    <w:rsid w:val="00060470"/>
    <w:pPr>
      <w:pBdr>
        <w:top w:val="single" w:sz="4" w:space="0" w:color="auto"/>
        <w:left w:val="single" w:sz="8" w:space="0"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4">
    <w:name w:val="xl64"/>
    <w:basedOn w:val="Normal"/>
    <w:rsid w:val="00060470"/>
    <w:pPr>
      <w:pBdr>
        <w:top w:val="single" w:sz="4" w:space="0" w:color="auto"/>
        <w:left w:val="single" w:sz="8" w:space="1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paragraph">
    <w:name w:val="paragraph"/>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normaltextrun">
    <w:name w:val="normaltextrun"/>
    <w:rsid w:val="00060470"/>
  </w:style>
  <w:style w:type="character" w:customStyle="1" w:styleId="BodyText2Char2">
    <w:name w:val="Body Text 2 Char2"/>
    <w:aliases w:val="1Text Char2"/>
    <w:uiPriority w:val="99"/>
    <w:rsid w:val="00060470"/>
    <w:rPr>
      <w:sz w:val="24"/>
      <w:szCs w:val="24"/>
    </w:rPr>
  </w:style>
  <w:style w:type="numbering" w:customStyle="1" w:styleId="NoList2">
    <w:name w:val="No List2"/>
    <w:next w:val="NoList"/>
    <w:semiHidden/>
    <w:rsid w:val="00060470"/>
  </w:style>
  <w:style w:type="paragraph" w:customStyle="1" w:styleId="12">
    <w:name w:val="Рецензия1"/>
    <w:hidden/>
    <w:uiPriority w:val="99"/>
    <w:semiHidden/>
    <w:rsid w:val="00060470"/>
    <w:rPr>
      <w:rFonts w:ascii="Arial Armenian" w:hAnsi="Arial Armenian"/>
      <w:sz w:val="22"/>
      <w:szCs w:val="22"/>
      <w:lang w:eastAsia="ru-RU"/>
    </w:rPr>
  </w:style>
  <w:style w:type="character" w:customStyle="1" w:styleId="showhide1">
    <w:name w:val="showhide1"/>
    <w:rsid w:val="00060470"/>
    <w:rPr>
      <w:b/>
      <w:bCs/>
      <w:color w:val="000000"/>
      <w:sz w:val="21"/>
      <w:szCs w:val="21"/>
      <w:u w:val="single"/>
    </w:rPr>
  </w:style>
  <w:style w:type="paragraph" w:customStyle="1" w:styleId="alignright">
    <w:name w:val="alignright"/>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BodyTextIndentChar3">
    <w:name w:val="Body Text Indent Char3"/>
    <w:aliases w:val="(Table Source)1 Char2,(Table Source)11 Char1"/>
    <w:uiPriority w:val="99"/>
    <w:locked/>
    <w:rsid w:val="00060470"/>
    <w:rPr>
      <w:rFonts w:ascii="Times New Roman" w:hAnsi="Times New Roman" w:cs="Times New Roman"/>
      <w:sz w:val="20"/>
      <w:szCs w:val="20"/>
      <w:lang w:val="en-GB" w:eastAsia="en-US"/>
    </w:rPr>
  </w:style>
  <w:style w:type="paragraph" w:customStyle="1" w:styleId="Char20">
    <w:name w:val="Char2"/>
    <w:basedOn w:val="Normal"/>
    <w:locked/>
    <w:rsid w:val="00060470"/>
    <w:pPr>
      <w:spacing w:before="0" w:after="160" w:line="240" w:lineRule="auto"/>
      <w:ind w:firstLine="0"/>
      <w:contextualSpacing w:val="0"/>
      <w:jc w:val="left"/>
    </w:pPr>
    <w:rPr>
      <w:rFonts w:ascii="Verdana" w:eastAsia="Batang" w:hAnsi="Verdana" w:cs="Verdana"/>
      <w:sz w:val="24"/>
      <w:lang w:val="en-US" w:eastAsia="en-US"/>
    </w:rPr>
  </w:style>
  <w:style w:type="paragraph" w:customStyle="1" w:styleId="CharChar1">
    <w:name w:val="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1CharCharCharCharCharCharCharCharCharCharCharChar1">
    <w:name w:val="Char1 Char Char Char Char Char Char Char Char Char Char Char Char1"/>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10">
    <w:name w:val="Char Char Char1"/>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11">
    <w:name w:val="Char Char Char Знак Знак1"/>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1">
    <w:name w:val="Char Char Char Char Char Знак Знак1"/>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CharCharCharCharCharCharCharCharChar1">
    <w:name w:val="Char Char Char Char Знак Char Знак Char Char Char Char Char Char Char Char Char Char1"/>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Char161">
    <w:name w:val="Char Char161"/>
    <w:rsid w:val="00060470"/>
    <w:rPr>
      <w:b/>
      <w:sz w:val="32"/>
      <w:lang w:val="en-GB" w:eastAsia="en-US"/>
    </w:rPr>
  </w:style>
  <w:style w:type="character" w:customStyle="1" w:styleId="CharChar141">
    <w:name w:val="Char Char141"/>
    <w:rsid w:val="00060470"/>
    <w:rPr>
      <w:sz w:val="22"/>
      <w:lang w:val="en-GB" w:eastAsia="en-US"/>
    </w:rPr>
  </w:style>
  <w:style w:type="character" w:customStyle="1" w:styleId="CharChar151">
    <w:name w:val="Char Char151"/>
    <w:rsid w:val="00060470"/>
    <w:rPr>
      <w:sz w:val="36"/>
      <w:lang w:val="en-GB" w:eastAsia="en-US"/>
    </w:rPr>
  </w:style>
  <w:style w:type="character" w:customStyle="1" w:styleId="CharChar131">
    <w:name w:val="Char Char131"/>
    <w:rsid w:val="00060470"/>
    <w:rPr>
      <w:sz w:val="22"/>
      <w:lang w:val="en-GB" w:eastAsia="en-US"/>
    </w:rPr>
  </w:style>
  <w:style w:type="character" w:customStyle="1" w:styleId="CharChar121">
    <w:name w:val="Char Char121"/>
    <w:rsid w:val="00060470"/>
    <w:rPr>
      <w:sz w:val="22"/>
      <w:lang w:val="en-GB" w:eastAsia="en-US"/>
    </w:rPr>
  </w:style>
  <w:style w:type="character" w:customStyle="1" w:styleId="CharChar111">
    <w:name w:val="Char Char111"/>
    <w:rsid w:val="00060470"/>
    <w:rPr>
      <w:rFonts w:ascii="Times Armenian" w:hAnsi="Times Armenian"/>
      <w:b/>
      <w:sz w:val="24"/>
      <w:lang w:val="fr-FR" w:eastAsia="en-US"/>
    </w:rPr>
  </w:style>
  <w:style w:type="character" w:customStyle="1" w:styleId="CharChar101">
    <w:name w:val="Char Char101"/>
    <w:rsid w:val="00060470"/>
    <w:rPr>
      <w:rFonts w:ascii="Times Armenian" w:hAnsi="Times Armenian"/>
      <w:color w:val="993300"/>
      <w:sz w:val="24"/>
      <w:lang w:val="hy-AM" w:eastAsia="en-US"/>
    </w:rPr>
  </w:style>
  <w:style w:type="character" w:customStyle="1" w:styleId="CharChar91">
    <w:name w:val="Char Char91"/>
    <w:rsid w:val="00060470"/>
    <w:rPr>
      <w:rFonts w:ascii="Times Armenian" w:hAnsi="Times Armenian"/>
      <w:b/>
      <w:i/>
      <w:sz w:val="24"/>
      <w:u w:val="single"/>
      <w:lang w:val="hy-AM" w:eastAsia="en-US"/>
    </w:rPr>
  </w:style>
  <w:style w:type="character" w:customStyle="1" w:styleId="BodyText2Char3">
    <w:name w:val="Body Text 2 Char3"/>
    <w:uiPriority w:val="99"/>
    <w:semiHidden/>
    <w:rsid w:val="00060470"/>
  </w:style>
  <w:style w:type="character" w:customStyle="1" w:styleId="CharChar24">
    <w:name w:val="Char Char24"/>
    <w:rsid w:val="00060470"/>
    <w:rPr>
      <w:rFonts w:ascii="Garamond" w:hAnsi="Garamond"/>
      <w:sz w:val="16"/>
      <w:lang w:val="en-GB"/>
    </w:rPr>
  </w:style>
  <w:style w:type="character" w:customStyle="1" w:styleId="CharChar23">
    <w:name w:val="Char Char23"/>
    <w:rsid w:val="00060470"/>
    <w:rPr>
      <w:rFonts w:ascii="Garamond" w:hAnsi="Garamond"/>
      <w:i/>
      <w:spacing w:val="-5"/>
      <w:sz w:val="28"/>
      <w:shd w:val="pct5" w:color="auto" w:fill="auto"/>
      <w:lang w:val="en-GB"/>
    </w:rPr>
  </w:style>
  <w:style w:type="character" w:customStyle="1" w:styleId="CharChar22">
    <w:name w:val="Char Char22"/>
    <w:rsid w:val="00060470"/>
    <w:rPr>
      <w:rFonts w:ascii="Arial Black" w:hAnsi="Arial Black"/>
      <w:caps/>
      <w:spacing w:val="60"/>
      <w:position w:val="4"/>
      <w:sz w:val="14"/>
      <w:lang w:val="en-GB"/>
    </w:rPr>
  </w:style>
  <w:style w:type="character" w:customStyle="1" w:styleId="CharChar21">
    <w:name w:val="Char Char21"/>
    <w:rsid w:val="00060470"/>
    <w:rPr>
      <w:rFonts w:ascii="Garamond" w:hAnsi="Garamond"/>
      <w:b/>
      <w:i/>
      <w:kern w:val="28"/>
      <w:sz w:val="16"/>
      <w:lang w:val="en-GB"/>
    </w:rPr>
  </w:style>
  <w:style w:type="character" w:customStyle="1" w:styleId="CharChar17">
    <w:name w:val="Char Char17"/>
    <w:rsid w:val="00060470"/>
    <w:rPr>
      <w:lang w:val="en-GB" w:eastAsia="en-US" w:bidi="ar-SA"/>
    </w:rPr>
  </w:style>
  <w:style w:type="character" w:customStyle="1" w:styleId="CharChar20">
    <w:name w:val="Char Char20"/>
    <w:rsid w:val="00060470"/>
    <w:rPr>
      <w:rFonts w:ascii="Times Armenian" w:hAnsi="Times Armenian"/>
      <w:i/>
      <w:sz w:val="24"/>
      <w:lang w:val="hy-AM"/>
    </w:rPr>
  </w:style>
  <w:style w:type="character" w:customStyle="1" w:styleId="CharChar19">
    <w:name w:val="Char Char19"/>
    <w:locked/>
    <w:rsid w:val="00060470"/>
    <w:rPr>
      <w:rFonts w:ascii="Times Armenian" w:hAnsi="Times Armenian"/>
      <w:sz w:val="24"/>
      <w:u w:val="single"/>
    </w:rPr>
  </w:style>
  <w:style w:type="character" w:customStyle="1" w:styleId="CharChar18">
    <w:name w:val="Char Char18"/>
    <w:rsid w:val="00060470"/>
    <w:rPr>
      <w:sz w:val="16"/>
      <w:szCs w:val="16"/>
      <w:lang w:val="en-GB"/>
    </w:rPr>
  </w:style>
  <w:style w:type="numbering" w:customStyle="1" w:styleId="NoList3">
    <w:name w:val="No List3"/>
    <w:next w:val="NoList"/>
    <w:semiHidden/>
    <w:unhideWhenUsed/>
    <w:rsid w:val="00060470"/>
  </w:style>
  <w:style w:type="paragraph" w:customStyle="1" w:styleId="CharCharCharCharCharCharCharCharCharCharCharCharCharCharCharCharChar">
    <w:name w:val="Char Char Char Знак Char Char Char Char Char Знак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character" w:customStyle="1" w:styleId="apple-style-span">
    <w:name w:val="apple-style-span"/>
    <w:rsid w:val="00060470"/>
    <w:rPr>
      <w:rFonts w:cs="Times New Roman"/>
    </w:rPr>
  </w:style>
  <w:style w:type="character" w:customStyle="1" w:styleId="Style1Char">
    <w:name w:val="Style1 Char"/>
    <w:link w:val="Style1"/>
    <w:rsid w:val="00060470"/>
    <w:rPr>
      <w:rFonts w:ascii="Sylfaen" w:hAnsi="Sylfaen"/>
      <w:sz w:val="22"/>
      <w:szCs w:val="24"/>
    </w:rPr>
  </w:style>
  <w:style w:type="character" w:customStyle="1" w:styleId="FontStyle17">
    <w:name w:val="Font Style17"/>
    <w:rsid w:val="00060470"/>
    <w:rPr>
      <w:rFonts w:ascii="Arial Unicode MS" w:eastAsia="Arial Unicode MS" w:cs="Arial Unicode MS"/>
      <w:b/>
      <w:bCs/>
      <w:sz w:val="24"/>
      <w:szCs w:val="24"/>
    </w:rPr>
  </w:style>
  <w:style w:type="character" w:customStyle="1" w:styleId="Heading6Char1">
    <w:name w:val="Heading 6 Char1"/>
    <w:rsid w:val="00060470"/>
    <w:rPr>
      <w:rFonts w:ascii="Arial Armenian" w:eastAsia="Times New Roman" w:hAnsi="Arial Armenian" w:cs="Times New Roman"/>
      <w:i/>
      <w:szCs w:val="20"/>
      <w:u w:val="single"/>
      <w:lang w:val="en-GB"/>
    </w:rPr>
  </w:style>
  <w:style w:type="character" w:customStyle="1" w:styleId="Heading7Char1">
    <w:name w:val="Heading 7 Char1"/>
    <w:rsid w:val="00060470"/>
    <w:rPr>
      <w:rFonts w:ascii="Garamond" w:eastAsia="Times New Roman" w:hAnsi="Garamond" w:cs="Times New Roman"/>
      <w:i/>
      <w:spacing w:val="-5"/>
      <w:sz w:val="28"/>
      <w:szCs w:val="20"/>
      <w:shd w:val="pct5" w:color="auto" w:fill="auto"/>
      <w:lang w:val="en-GB"/>
    </w:rPr>
  </w:style>
  <w:style w:type="character" w:customStyle="1" w:styleId="Heading8Char1">
    <w:name w:val="Heading 8 Char1"/>
    <w:rsid w:val="00060470"/>
    <w:rPr>
      <w:rFonts w:ascii="Arial Black" w:eastAsia="Times New Roman" w:hAnsi="Arial Black" w:cs="Times New Roman"/>
      <w:caps/>
      <w:spacing w:val="60"/>
      <w:position w:val="4"/>
      <w:sz w:val="14"/>
      <w:szCs w:val="20"/>
      <w:lang w:val="en-GB"/>
    </w:rPr>
  </w:style>
  <w:style w:type="character" w:customStyle="1" w:styleId="Heading9Char1">
    <w:name w:val="Heading 9 Char1"/>
    <w:rsid w:val="00060470"/>
    <w:rPr>
      <w:rFonts w:ascii="Garamond" w:eastAsia="Times New Roman" w:hAnsi="Garamond" w:cs="Times New Roman"/>
      <w:b/>
      <w:i/>
      <w:kern w:val="28"/>
      <w:sz w:val="20"/>
      <w:szCs w:val="20"/>
      <w:lang w:val="en-GB"/>
    </w:rPr>
  </w:style>
  <w:style w:type="paragraph" w:customStyle="1" w:styleId="Tablefigure">
    <w:name w:val="Table_figure"/>
    <w:basedOn w:val="Normal"/>
    <w:rsid w:val="00060470"/>
    <w:pPr>
      <w:spacing w:before="60" w:line="240" w:lineRule="auto"/>
      <w:ind w:firstLine="0"/>
      <w:contextualSpacing w:val="0"/>
      <w:jc w:val="right"/>
    </w:pPr>
    <w:rPr>
      <w:rFonts w:ascii="Arial Armenian" w:hAnsi="Arial Armenian"/>
      <w:sz w:val="16"/>
      <w:szCs w:val="20"/>
      <w:lang w:val="en-GB" w:eastAsia="en-US"/>
    </w:rPr>
  </w:style>
  <w:style w:type="character" w:customStyle="1" w:styleId="BodyTextIndent2Char1">
    <w:name w:val="Body Text Indent 2 Char1"/>
    <w:link w:val="BodyTextIndent21"/>
    <w:rsid w:val="00060470"/>
    <w:rPr>
      <w:rFonts w:ascii="Arial Armenian" w:eastAsia="Times New Roman" w:hAnsi="Arial Armenian" w:cs="Times New Roman"/>
      <w:sz w:val="20"/>
      <w:szCs w:val="20"/>
      <w:lang w:val="en-GB"/>
    </w:rPr>
  </w:style>
  <w:style w:type="paragraph" w:customStyle="1" w:styleId="Specialnormal">
    <w:name w:val="Special normal"/>
    <w:basedOn w:val="Normal"/>
    <w:rsid w:val="00060470"/>
    <w:pPr>
      <w:overflowPunct w:val="0"/>
      <w:autoSpaceDE w:val="0"/>
      <w:autoSpaceDN w:val="0"/>
      <w:adjustRightInd w:val="0"/>
      <w:spacing w:before="0" w:line="240" w:lineRule="auto"/>
      <w:ind w:firstLine="0"/>
      <w:contextualSpacing w:val="0"/>
      <w:jc w:val="center"/>
      <w:textAlignment w:val="baseline"/>
    </w:pPr>
    <w:rPr>
      <w:rFonts w:ascii="Times New Roman" w:hAnsi="Times New Roman"/>
      <w:sz w:val="20"/>
      <w:szCs w:val="20"/>
      <w:lang w:val="en-GB" w:eastAsia="en-US"/>
    </w:rPr>
  </w:style>
  <w:style w:type="paragraph" w:customStyle="1" w:styleId="a2">
    <w:name w:val="???????? ????? ? ????????"/>
    <w:basedOn w:val="Normal"/>
    <w:rsid w:val="00060470"/>
    <w:pPr>
      <w:spacing w:before="0" w:line="240" w:lineRule="auto"/>
      <w:ind w:left="360" w:hanging="360"/>
      <w:contextualSpacing w:val="0"/>
    </w:pPr>
    <w:rPr>
      <w:rFonts w:ascii="Times Armenian" w:hAnsi="Times Armenian"/>
      <w:sz w:val="24"/>
      <w:szCs w:val="20"/>
      <w:lang w:val="en-US"/>
    </w:rPr>
  </w:style>
  <w:style w:type="character" w:customStyle="1" w:styleId="Char1">
    <w:name w:val="??????? Char"/>
    <w:link w:val="a1"/>
    <w:rsid w:val="00060470"/>
    <w:rPr>
      <w:lang w:val="ru-RU" w:eastAsia="ru-RU"/>
    </w:rPr>
  </w:style>
  <w:style w:type="paragraph" w:customStyle="1" w:styleId="20">
    <w:name w:val="???????2"/>
    <w:rsid w:val="00060470"/>
    <w:rPr>
      <w:rFonts w:ascii="Times Armenian" w:hAnsi="Times Armenian"/>
      <w:sz w:val="24"/>
      <w:lang w:eastAsia="ru-RU"/>
    </w:rPr>
  </w:style>
  <w:style w:type="paragraph" w:customStyle="1" w:styleId="a3">
    <w:name w:val="???????? ?????"/>
    <w:basedOn w:val="a1"/>
    <w:rsid w:val="00060470"/>
    <w:pPr>
      <w:jc w:val="center"/>
    </w:pPr>
    <w:rPr>
      <w:rFonts w:ascii="Times Armenian" w:hAnsi="Times Armenian"/>
      <w:i/>
      <w:sz w:val="32"/>
      <w:lang w:val="en-US"/>
    </w:rPr>
  </w:style>
  <w:style w:type="paragraph" w:customStyle="1" w:styleId="31">
    <w:name w:val="???????? ????? ? ???????? 31"/>
    <w:basedOn w:val="20"/>
    <w:rsid w:val="00060470"/>
    <w:pPr>
      <w:spacing w:line="360" w:lineRule="auto"/>
      <w:ind w:firstLine="360"/>
      <w:jc w:val="both"/>
    </w:pPr>
  </w:style>
  <w:style w:type="paragraph" w:customStyle="1" w:styleId="a4">
    <w:name w:val="??????"/>
    <w:basedOn w:val="20"/>
    <w:rsid w:val="00060470"/>
    <w:pPr>
      <w:spacing w:line="360" w:lineRule="auto"/>
      <w:ind w:left="-426" w:right="-619" w:firstLine="710"/>
      <w:jc w:val="both"/>
    </w:pPr>
    <w:rPr>
      <w:rFonts w:ascii="Arial LatArm" w:hAnsi="Arial LatArm"/>
      <w:i/>
      <w:lang w:val="en-AU"/>
    </w:rPr>
  </w:style>
  <w:style w:type="paragraph" w:customStyle="1" w:styleId="3">
    <w:name w:val="???????? ????? 3"/>
    <w:basedOn w:val="Normal"/>
    <w:rsid w:val="00060470"/>
    <w:pPr>
      <w:spacing w:before="0" w:line="240" w:lineRule="auto"/>
      <w:ind w:firstLine="0"/>
      <w:contextualSpacing w:val="0"/>
    </w:pPr>
    <w:rPr>
      <w:rFonts w:ascii="Times Armenian" w:hAnsi="Times Armenian"/>
      <w:sz w:val="24"/>
      <w:szCs w:val="20"/>
    </w:rPr>
  </w:style>
  <w:style w:type="paragraph" w:customStyle="1" w:styleId="21">
    <w:name w:val="???????? ????? ? ????????2"/>
    <w:basedOn w:val="20"/>
    <w:rsid w:val="00060470"/>
    <w:pPr>
      <w:spacing w:line="360" w:lineRule="auto"/>
      <w:ind w:firstLine="720"/>
      <w:jc w:val="both"/>
    </w:pPr>
    <w:rPr>
      <w:sz w:val="28"/>
    </w:rPr>
  </w:style>
  <w:style w:type="paragraph" w:customStyle="1" w:styleId="110">
    <w:name w:val="????????? 11"/>
    <w:basedOn w:val="20"/>
    <w:next w:val="20"/>
    <w:rsid w:val="00060470"/>
    <w:pPr>
      <w:keepNext/>
      <w:spacing w:line="360" w:lineRule="auto"/>
      <w:outlineLvl w:val="0"/>
    </w:pPr>
    <w:rPr>
      <w:rFonts w:ascii="Times LatArm" w:hAnsi="Times LatArm"/>
    </w:rPr>
  </w:style>
  <w:style w:type="paragraph" w:customStyle="1" w:styleId="13">
    <w:name w:val="????????1"/>
    <w:basedOn w:val="a1"/>
    <w:rsid w:val="00060470"/>
    <w:pPr>
      <w:jc w:val="center"/>
    </w:pPr>
    <w:rPr>
      <w:rFonts w:ascii="Times Armenian" w:hAnsi="Times Armenian"/>
      <w:i/>
      <w:sz w:val="28"/>
      <w:lang w:val="en-US"/>
    </w:rPr>
  </w:style>
  <w:style w:type="paragraph" w:customStyle="1" w:styleId="22">
    <w:name w:val="???????? ????? ? ???????? 2"/>
    <w:basedOn w:val="a1"/>
    <w:rsid w:val="00060470"/>
    <w:pPr>
      <w:ind w:right="-141" w:firstLine="567"/>
      <w:jc w:val="both"/>
    </w:pPr>
    <w:rPr>
      <w:rFonts w:ascii="Times Armenian" w:hAnsi="Times Armenian"/>
      <w:sz w:val="24"/>
    </w:rPr>
  </w:style>
  <w:style w:type="paragraph" w:customStyle="1" w:styleId="23">
    <w:name w:val="???????? ????? 2"/>
    <w:basedOn w:val="a1"/>
    <w:rsid w:val="00060470"/>
    <w:pPr>
      <w:spacing w:line="360" w:lineRule="auto"/>
      <w:jc w:val="both"/>
    </w:pPr>
    <w:rPr>
      <w:rFonts w:ascii="Times LatArm" w:hAnsi="Times LatArm"/>
      <w:b/>
      <w:i/>
      <w:sz w:val="28"/>
      <w:lang w:val="en-US"/>
    </w:rPr>
  </w:style>
  <w:style w:type="paragraph" w:customStyle="1" w:styleId="15">
    <w:name w:val="???????1"/>
    <w:rsid w:val="00060470"/>
    <w:rPr>
      <w:lang w:val="ru-RU" w:eastAsia="ru-RU"/>
    </w:rPr>
  </w:style>
  <w:style w:type="paragraph" w:customStyle="1" w:styleId="30">
    <w:name w:val="???????? ????? ? ????????3"/>
    <w:basedOn w:val="a1"/>
    <w:rsid w:val="00060470"/>
    <w:pPr>
      <w:ind w:left="360" w:hanging="360"/>
      <w:jc w:val="both"/>
    </w:pPr>
    <w:rPr>
      <w:rFonts w:ascii="Times Armenian" w:hAnsi="Times Armenian"/>
      <w:sz w:val="24"/>
      <w:lang w:val="en-US"/>
    </w:rPr>
  </w:style>
  <w:style w:type="paragraph" w:customStyle="1" w:styleId="StyleHeading2ChapterParanumTextSylfaen1">
    <w:name w:val="Style Heading 2.(Chapter).Paranum.Text + Sylfaen1"/>
    <w:basedOn w:val="Heading2ChapterParanumText"/>
    <w:link w:val="StyleHeading2ChapterParanumTextSylfaen1Char"/>
    <w:autoRedefine/>
    <w:rsid w:val="00060470"/>
    <w:pPr>
      <w:spacing w:before="240" w:after="120" w:line="240" w:lineRule="auto"/>
      <w:ind w:firstLine="567"/>
      <w:jc w:val="both"/>
    </w:pPr>
    <w:rPr>
      <w:rFonts w:ascii="GHEA Grapalat" w:hAnsi="GHEA Grapalat"/>
      <w:sz w:val="22"/>
      <w:szCs w:val="22"/>
      <w:lang w:val="pt-BR"/>
    </w:rPr>
  </w:style>
  <w:style w:type="paragraph" w:customStyle="1" w:styleId="Heading2ChapterParanumText">
    <w:name w:val="Heading 2.(Chapter).Paranum.Text"/>
    <w:basedOn w:val="Normal"/>
    <w:next w:val="BodyTextMainTextdateBodyTextMaintext"/>
    <w:link w:val="Heading2ChapterParanumTextChar"/>
    <w:rsid w:val="00060470"/>
    <w:pPr>
      <w:keepNext/>
      <w:widowControl w:val="0"/>
      <w:spacing w:before="0" w:after="240"/>
      <w:ind w:firstLine="0"/>
      <w:contextualSpacing w:val="0"/>
      <w:jc w:val="left"/>
      <w:outlineLvl w:val="1"/>
    </w:pPr>
    <w:rPr>
      <w:rFonts w:ascii="Times Armenian" w:hAnsi="Times Armenian"/>
      <w:b w:val="0"/>
      <w:spacing w:val="24"/>
      <w:kern w:val="28"/>
      <w:sz w:val="24"/>
      <w:lang w:val="it-IT" w:eastAsia="en-US"/>
    </w:rPr>
  </w:style>
  <w:style w:type="paragraph" w:customStyle="1" w:styleId="BodyTextMainTextdateBodyTextMaintext">
    <w:name w:val="Body Text.(Main Text).date.Body Text (Main text)"/>
    <w:basedOn w:val="Normal"/>
    <w:rsid w:val="00060470"/>
    <w:pPr>
      <w:widowControl w:val="0"/>
      <w:spacing w:before="0" w:after="120"/>
      <w:ind w:firstLine="652"/>
      <w:contextualSpacing w:val="0"/>
    </w:pPr>
    <w:rPr>
      <w:rFonts w:ascii="Arial Armenian" w:hAnsi="Arial Armenian"/>
      <w:sz w:val="20"/>
      <w:lang w:val="en-GB" w:eastAsia="en-US"/>
    </w:rPr>
  </w:style>
  <w:style w:type="character" w:customStyle="1" w:styleId="Heading2ChapterParanumTextChar">
    <w:name w:val="Heading 2.(Chapter).Paranum.Text Char"/>
    <w:link w:val="Heading2ChapterParanumText"/>
    <w:rsid w:val="00060470"/>
    <w:rPr>
      <w:rFonts w:ascii="Times Armenian" w:hAnsi="Times Armenian"/>
      <w:b/>
      <w:spacing w:val="24"/>
      <w:kern w:val="28"/>
      <w:sz w:val="24"/>
      <w:szCs w:val="24"/>
      <w:lang w:val="it-IT"/>
    </w:rPr>
  </w:style>
  <w:style w:type="character" w:customStyle="1" w:styleId="StyleHeading2ChapterParanumTextSylfaen1Char">
    <w:name w:val="Style Heading 2.(Chapter).Paranum.Text + Sylfaen1 Char"/>
    <w:link w:val="StyleHeading2ChapterParanumTextSylfaen1"/>
    <w:rsid w:val="00060470"/>
    <w:rPr>
      <w:rFonts w:ascii="GHEA Grapalat" w:hAnsi="GHEA Grapalat"/>
      <w:b/>
      <w:spacing w:val="24"/>
      <w:kern w:val="28"/>
      <w:sz w:val="22"/>
      <w:szCs w:val="22"/>
      <w:lang w:val="pt-BR"/>
    </w:rPr>
  </w:style>
  <w:style w:type="paragraph" w:customStyle="1" w:styleId="8">
    <w:name w:val="????????? 8"/>
    <w:basedOn w:val="a1"/>
    <w:next w:val="a1"/>
    <w:rsid w:val="00060470"/>
    <w:pPr>
      <w:keepNext/>
      <w:ind w:firstLine="426"/>
      <w:outlineLvl w:val="7"/>
    </w:pPr>
    <w:rPr>
      <w:rFonts w:ascii="Times Armenian" w:hAnsi="Times Armenian"/>
      <w:b/>
      <w:sz w:val="24"/>
      <w:lang w:val="en-US"/>
    </w:rPr>
  </w:style>
  <w:style w:type="paragraph" w:customStyle="1" w:styleId="210">
    <w:name w:val="???????? ????? ? ???????? 21"/>
    <w:basedOn w:val="20"/>
    <w:rsid w:val="00060470"/>
    <w:pPr>
      <w:spacing w:line="360" w:lineRule="auto"/>
      <w:ind w:firstLine="840"/>
      <w:jc w:val="both"/>
    </w:pPr>
    <w:rPr>
      <w:rFonts w:ascii="Arial LatArm" w:hAnsi="Arial LatArm"/>
    </w:rPr>
  </w:style>
  <w:style w:type="character" w:customStyle="1" w:styleId="BodyText3Char1">
    <w:name w:val="Body Text 3 Char1"/>
    <w:link w:val="BodyText31"/>
    <w:rsid w:val="00060470"/>
    <w:rPr>
      <w:rFonts w:ascii="Times New Roman" w:eastAsia="Times New Roman" w:hAnsi="Times New Roman" w:cs="Times New Roman"/>
      <w:sz w:val="16"/>
      <w:szCs w:val="16"/>
      <w:lang w:val="ru-RU" w:eastAsia="ru-RU"/>
    </w:rPr>
  </w:style>
  <w:style w:type="paragraph" w:customStyle="1" w:styleId="BSAPtext">
    <w:name w:val="BSAP text"/>
    <w:basedOn w:val="Normal"/>
    <w:rsid w:val="00060470"/>
    <w:pPr>
      <w:spacing w:before="0" w:line="312" w:lineRule="auto"/>
      <w:ind w:firstLine="0"/>
      <w:contextualSpacing w:val="0"/>
    </w:pPr>
    <w:rPr>
      <w:rFonts w:ascii="Bookman Old Style" w:hAnsi="Bookman Old Style"/>
      <w:szCs w:val="22"/>
      <w:lang w:val="en-US" w:eastAsia="en-US"/>
    </w:rPr>
  </w:style>
  <w:style w:type="paragraph" w:styleId="EndnoteText">
    <w:name w:val="endnote text"/>
    <w:basedOn w:val="Normal"/>
    <w:link w:val="EndnoteTextChar"/>
    <w:rsid w:val="00060470"/>
    <w:pPr>
      <w:spacing w:before="0" w:line="240" w:lineRule="auto"/>
      <w:ind w:firstLine="0"/>
      <w:contextualSpacing w:val="0"/>
      <w:jc w:val="left"/>
    </w:pPr>
    <w:rPr>
      <w:rFonts w:ascii="Times New Roman" w:hAnsi="Times New Roman"/>
      <w:sz w:val="20"/>
      <w:szCs w:val="20"/>
      <w:lang w:val="en-GB" w:eastAsia="en-US"/>
    </w:rPr>
  </w:style>
  <w:style w:type="character" w:customStyle="1" w:styleId="EndnoteTextChar">
    <w:name w:val="Endnote Text Char"/>
    <w:basedOn w:val="DefaultParagraphFont"/>
    <w:link w:val="EndnoteText"/>
    <w:rsid w:val="00060470"/>
    <w:rPr>
      <w:lang w:val="en-GB"/>
    </w:rPr>
  </w:style>
  <w:style w:type="character" w:customStyle="1" w:styleId="FooterChar2">
    <w:name w:val="Footer Char2"/>
    <w:uiPriority w:val="99"/>
    <w:rsid w:val="00060470"/>
    <w:rPr>
      <w:rFonts w:ascii="Times New Roman" w:eastAsia="Times New Roman" w:hAnsi="Times New Roman" w:cs="Times New Roman"/>
      <w:lang w:val="en-GB"/>
    </w:rPr>
  </w:style>
  <w:style w:type="paragraph" w:customStyle="1" w:styleId="CaptionTable">
    <w:name w:val="Caption_Table"/>
    <w:basedOn w:val="Caption"/>
    <w:qFormat/>
    <w:rsid w:val="00060470"/>
    <w:pPr>
      <w:keepNext/>
      <w:widowControl w:val="0"/>
      <w:spacing w:before="0" w:after="0" w:line="240" w:lineRule="auto"/>
      <w:ind w:left="1325" w:hanging="1325"/>
      <w:contextualSpacing w:val="0"/>
      <w:jc w:val="left"/>
    </w:pPr>
    <w:rPr>
      <w:rFonts w:ascii="Arial Armenian" w:hAnsi="Arial Armenian" w:cs="Sylfaen"/>
      <w:color w:val="auto"/>
      <w:sz w:val="20"/>
      <w:szCs w:val="20"/>
      <w:lang w:val="en-GB" w:eastAsia="en-US"/>
    </w:rPr>
  </w:style>
  <w:style w:type="paragraph" w:customStyle="1" w:styleId="Tablefirstcolumn">
    <w:name w:val="Table_first column"/>
    <w:basedOn w:val="Normal"/>
    <w:rsid w:val="00060470"/>
    <w:pPr>
      <w:spacing w:before="60" w:line="240" w:lineRule="auto"/>
      <w:ind w:firstLine="0"/>
      <w:contextualSpacing w:val="0"/>
      <w:jc w:val="left"/>
    </w:pPr>
    <w:rPr>
      <w:rFonts w:ascii="Arial Armenian" w:hAnsi="Arial Armenian"/>
      <w:sz w:val="16"/>
      <w:szCs w:val="20"/>
      <w:lang w:val="en-GB" w:eastAsia="en-US"/>
    </w:rPr>
  </w:style>
  <w:style w:type="paragraph" w:customStyle="1" w:styleId="BodyTextIndentTableSourceTableSourceCharBodyTextIndentChar">
    <w:name w:val="Body Text Indent.(Table Source).(Table Source) Char.Body Text Indent Char"/>
    <w:basedOn w:val="BodyTextMainTextdateBodyTextMaintext"/>
    <w:next w:val="Normal"/>
    <w:rsid w:val="00060470"/>
    <w:pPr>
      <w:spacing w:before="60" w:after="60" w:line="240" w:lineRule="auto"/>
    </w:pPr>
    <w:rPr>
      <w:i/>
      <w:sz w:val="16"/>
    </w:rPr>
  </w:style>
  <w:style w:type="paragraph" w:customStyle="1" w:styleId="Tablefirstrow">
    <w:name w:val="Table_first row"/>
    <w:basedOn w:val="Normal"/>
    <w:rsid w:val="00060470"/>
    <w:pPr>
      <w:widowControl w:val="0"/>
      <w:spacing w:before="60" w:line="240" w:lineRule="auto"/>
      <w:ind w:firstLine="0"/>
      <w:contextualSpacing w:val="0"/>
      <w:jc w:val="right"/>
    </w:pPr>
    <w:rPr>
      <w:rFonts w:ascii="Arial Armenian" w:hAnsi="Arial Armenian"/>
      <w:b w:val="0"/>
      <w:sz w:val="16"/>
      <w:szCs w:val="20"/>
      <w:lang w:val="en-GB" w:eastAsia="en-US"/>
    </w:rPr>
  </w:style>
  <w:style w:type="paragraph" w:customStyle="1" w:styleId="FootnoteTextfnADBsinglespacefootnotetextCharFootnoteTextCharfnCharADBCharsinglespaceCharChar">
    <w:name w:val="Footnote Text.fn.ADB.single space.footnote text Char.Footnote Text Char.fn Char.ADB Char.single space Char Char"/>
    <w:basedOn w:val="Normal"/>
    <w:rsid w:val="00060470"/>
    <w:pPr>
      <w:spacing w:before="0" w:line="240" w:lineRule="auto"/>
      <w:ind w:firstLine="0"/>
      <w:contextualSpacing w:val="0"/>
    </w:pPr>
    <w:rPr>
      <w:rFonts w:ascii="Arial Armenian" w:hAnsi="Arial Armenian"/>
      <w:i/>
      <w:sz w:val="18"/>
      <w:lang w:val="en-GB" w:eastAsia="en-US"/>
    </w:rPr>
  </w:style>
  <w:style w:type="character" w:customStyle="1" w:styleId="HeaderChar1">
    <w:name w:val="Header Char1"/>
    <w:aliases w:val="Header Char Char Char Char Char Char Char Char Char Char Char,Header Char Char Char Char Char Char Char Char Char Char Char Char Char,h Char"/>
    <w:uiPriority w:val="99"/>
    <w:rsid w:val="00060470"/>
    <w:rPr>
      <w:rFonts w:ascii="Times New Roman" w:eastAsia="Times New Roman" w:hAnsi="Times New Roman" w:cs="Times New Roman"/>
      <w:sz w:val="24"/>
      <w:szCs w:val="24"/>
    </w:rPr>
  </w:style>
  <w:style w:type="paragraph" w:styleId="TOC5">
    <w:name w:val="toc 5"/>
    <w:basedOn w:val="Normal"/>
    <w:next w:val="Normal"/>
    <w:autoRedefine/>
    <w:uiPriority w:val="39"/>
    <w:rsid w:val="00060470"/>
    <w:pPr>
      <w:tabs>
        <w:tab w:val="right" w:leader="dot" w:pos="9072"/>
      </w:tabs>
      <w:spacing w:before="0" w:after="100" w:line="240" w:lineRule="auto"/>
      <w:ind w:left="851" w:firstLine="0"/>
      <w:contextualSpacing w:val="0"/>
      <w:jc w:val="left"/>
    </w:pPr>
    <w:rPr>
      <w:rFonts w:ascii="Times Armenian" w:hAnsi="Times Armenian"/>
      <w:b w:val="0"/>
      <w:sz w:val="18"/>
      <w:lang w:val="en-US" w:eastAsia="en-US"/>
    </w:rPr>
  </w:style>
  <w:style w:type="paragraph" w:customStyle="1" w:styleId="H1-intro">
    <w:name w:val="H1-intro"/>
    <w:basedOn w:val="Heading1"/>
    <w:autoRedefine/>
    <w:rsid w:val="00060470"/>
    <w:pPr>
      <w:widowControl w:val="0"/>
      <w:tabs>
        <w:tab w:val="left" w:pos="-284"/>
      </w:tabs>
      <w:spacing w:line="240" w:lineRule="auto"/>
      <w:ind w:right="-51"/>
      <w:contextualSpacing w:val="0"/>
    </w:pPr>
    <w:rPr>
      <w:rFonts w:ascii="Times Armenian" w:hAnsi="Times Armenian"/>
      <w:iCs/>
      <w:spacing w:val="60"/>
      <w:kern w:val="28"/>
      <w:szCs w:val="28"/>
      <w:lang w:val="es-ES" w:eastAsia="en-US"/>
    </w:rPr>
  </w:style>
  <w:style w:type="character" w:customStyle="1" w:styleId="TitleChar1">
    <w:name w:val="Title Char1"/>
    <w:rsid w:val="00060470"/>
    <w:rPr>
      <w:rFonts w:ascii="Arial Armenian" w:eastAsia="Times New Roman" w:hAnsi="Arial Armenian" w:cs="Times New Roman"/>
      <w:b/>
      <w:bCs/>
      <w:sz w:val="24"/>
      <w:szCs w:val="24"/>
      <w:lang w:val="fr-FR"/>
    </w:rPr>
  </w:style>
  <w:style w:type="paragraph" w:customStyle="1" w:styleId="CaptionGraph">
    <w:name w:val="Caption_Graph"/>
    <w:basedOn w:val="Caption"/>
    <w:rsid w:val="00060470"/>
    <w:pPr>
      <w:keepNext/>
      <w:keepLines/>
      <w:widowControl w:val="0"/>
      <w:spacing w:after="0" w:line="240" w:lineRule="auto"/>
      <w:ind w:left="1325" w:hanging="1325"/>
      <w:contextualSpacing w:val="0"/>
    </w:pPr>
    <w:rPr>
      <w:rFonts w:cs="Sylfaen"/>
      <w:bCs w:val="0"/>
      <w:color w:val="auto"/>
      <w:sz w:val="20"/>
      <w:szCs w:val="20"/>
      <w:lang w:val="it-IT" w:eastAsia="en-US"/>
    </w:rPr>
  </w:style>
  <w:style w:type="paragraph" w:customStyle="1" w:styleId="graphtable">
    <w:name w:val="graph&amp;table"/>
    <w:basedOn w:val="BodyText"/>
    <w:next w:val="BodyTextIndent"/>
    <w:rsid w:val="00060470"/>
    <w:pPr>
      <w:widowControl w:val="0"/>
      <w:spacing w:before="60" w:line="240" w:lineRule="auto"/>
      <w:ind w:firstLine="0"/>
      <w:contextualSpacing w:val="0"/>
      <w:jc w:val="both"/>
    </w:pPr>
    <w:rPr>
      <w:rFonts w:ascii="Arial Armenian" w:hAnsi="Arial Armenian"/>
      <w:sz w:val="20"/>
      <w:lang w:val="en-GB"/>
    </w:rPr>
  </w:style>
  <w:style w:type="paragraph" w:customStyle="1" w:styleId="BodyTextdate">
    <w:name w:val="Body Text.date"/>
    <w:basedOn w:val="Normal"/>
    <w:rsid w:val="00060470"/>
    <w:pPr>
      <w:widowControl w:val="0"/>
      <w:spacing w:before="0" w:after="120"/>
      <w:ind w:firstLine="0"/>
      <w:contextualSpacing w:val="0"/>
    </w:pPr>
    <w:rPr>
      <w:rFonts w:ascii="Arial Armenian" w:hAnsi="Arial Armenian"/>
      <w:spacing w:val="-5"/>
      <w:sz w:val="20"/>
      <w:szCs w:val="20"/>
      <w:lang w:val="en-GB" w:eastAsia="en-US"/>
    </w:rPr>
  </w:style>
  <w:style w:type="character" w:customStyle="1" w:styleId="CaptionGraphChar">
    <w:name w:val="Caption_Graph Char"/>
    <w:rsid w:val="00060470"/>
    <w:rPr>
      <w:rFonts w:ascii="Arial Armenian" w:hAnsi="Arial Armenian"/>
      <w:b/>
      <w:sz w:val="20"/>
    </w:rPr>
  </w:style>
  <w:style w:type="paragraph" w:customStyle="1" w:styleId="Heading5Side">
    <w:name w:val="Heading 5.Side"/>
    <w:basedOn w:val="Normal"/>
    <w:next w:val="Normal"/>
    <w:rsid w:val="00060470"/>
    <w:pPr>
      <w:keepNext/>
      <w:spacing w:before="0"/>
      <w:ind w:firstLine="0"/>
      <w:contextualSpacing w:val="0"/>
      <w:outlineLvl w:val="4"/>
    </w:pPr>
    <w:rPr>
      <w:rFonts w:ascii="Times LatArm" w:hAnsi="Times LatArm"/>
      <w:sz w:val="24"/>
      <w:szCs w:val="20"/>
      <w:lang w:val="en-NZ" w:eastAsia="en-US"/>
    </w:rPr>
  </w:style>
  <w:style w:type="paragraph" w:customStyle="1" w:styleId="24">
    <w:name w:val="çàãîëîâîê 2"/>
    <w:basedOn w:val="Normal"/>
    <w:next w:val="Normal"/>
    <w:rsid w:val="00060470"/>
    <w:pPr>
      <w:keepNext/>
      <w:overflowPunct w:val="0"/>
      <w:autoSpaceDE w:val="0"/>
      <w:autoSpaceDN w:val="0"/>
      <w:adjustRightInd w:val="0"/>
      <w:spacing w:before="0" w:line="240" w:lineRule="auto"/>
      <w:ind w:firstLine="0"/>
      <w:contextualSpacing w:val="0"/>
    </w:pPr>
    <w:rPr>
      <w:rFonts w:ascii="Arial Armenian" w:hAnsi="Arial Armenian"/>
      <w:sz w:val="24"/>
      <w:szCs w:val="20"/>
      <w:lang w:val="en-US" w:eastAsia="en-US"/>
    </w:rPr>
  </w:style>
  <w:style w:type="paragraph" w:customStyle="1" w:styleId="CaptionAnnexedTable">
    <w:name w:val="Caption_Annexed Table"/>
    <w:basedOn w:val="Caption"/>
    <w:rsid w:val="00060470"/>
    <w:pPr>
      <w:keepNext/>
      <w:keepLines/>
      <w:widowControl w:val="0"/>
      <w:spacing w:after="0" w:line="240" w:lineRule="auto"/>
      <w:ind w:left="1325" w:hanging="1325"/>
      <w:contextualSpacing w:val="0"/>
    </w:pPr>
    <w:rPr>
      <w:rFonts w:cs="Sylfaen"/>
      <w:bCs w:val="0"/>
      <w:color w:val="auto"/>
      <w:sz w:val="20"/>
      <w:szCs w:val="20"/>
      <w:lang w:val="en-US" w:eastAsia="en-US"/>
    </w:rPr>
  </w:style>
  <w:style w:type="paragraph" w:customStyle="1" w:styleId="Vernagir">
    <w:name w:val="Vernagir"/>
    <w:basedOn w:val="Normal"/>
    <w:next w:val="Normal"/>
    <w:rsid w:val="00060470"/>
    <w:pPr>
      <w:autoSpaceDE w:val="0"/>
      <w:autoSpaceDN w:val="0"/>
      <w:spacing w:before="240" w:after="120" w:line="240" w:lineRule="auto"/>
      <w:ind w:firstLine="0"/>
      <w:contextualSpacing w:val="0"/>
      <w:jc w:val="center"/>
    </w:pPr>
    <w:rPr>
      <w:rFonts w:ascii="Times Armenian" w:hAnsi="Times Armenian"/>
      <w:b w:val="0"/>
      <w:bCs/>
      <w:sz w:val="20"/>
      <w:lang w:val="en-US" w:eastAsia="en-US"/>
    </w:rPr>
  </w:style>
  <w:style w:type="paragraph" w:customStyle="1" w:styleId="Heading3Sub-ChapterCenteredtext">
    <w:name w:val="Heading 3.(Sub-Chapter).Centered.(text)"/>
    <w:basedOn w:val="Normal"/>
    <w:next w:val="BodyTextMainTextdateBodyTextMaintext"/>
    <w:rsid w:val="00060470"/>
    <w:pPr>
      <w:keepNext/>
      <w:widowControl w:val="0"/>
      <w:tabs>
        <w:tab w:val="left" w:pos="624"/>
      </w:tabs>
      <w:spacing w:before="240" w:after="240" w:line="240" w:lineRule="auto"/>
      <w:ind w:firstLine="0"/>
      <w:contextualSpacing w:val="0"/>
      <w:jc w:val="left"/>
      <w:outlineLvl w:val="2"/>
    </w:pPr>
    <w:rPr>
      <w:rFonts w:ascii="Times Armenian" w:hAnsi="Times Armenian"/>
      <w:b w:val="0"/>
      <w:lang w:val="af-ZA" w:eastAsia="en-US"/>
    </w:rPr>
  </w:style>
  <w:style w:type="paragraph" w:customStyle="1" w:styleId="BoxTitle">
    <w:name w:val="Box_Title"/>
    <w:basedOn w:val="Caption"/>
    <w:rsid w:val="00060470"/>
    <w:pPr>
      <w:keepNext/>
      <w:keepLines/>
      <w:widowControl w:val="0"/>
      <w:spacing w:before="60" w:after="120" w:line="240" w:lineRule="auto"/>
      <w:ind w:left="1325" w:hanging="1325"/>
      <w:contextualSpacing w:val="0"/>
    </w:pPr>
    <w:rPr>
      <w:rFonts w:cs="Sylfaen"/>
      <w:bCs w:val="0"/>
      <w:color w:val="auto"/>
      <w:sz w:val="20"/>
      <w:szCs w:val="20"/>
      <w:lang w:val="fr-FR" w:eastAsia="en-US"/>
    </w:rPr>
  </w:style>
  <w:style w:type="paragraph" w:styleId="TOC6">
    <w:name w:val="toc 6"/>
    <w:basedOn w:val="Normal"/>
    <w:next w:val="Normal"/>
    <w:autoRedefine/>
    <w:uiPriority w:val="39"/>
    <w:rsid w:val="00060470"/>
    <w:pPr>
      <w:spacing w:before="0" w:line="240" w:lineRule="auto"/>
      <w:ind w:left="1200" w:firstLine="0"/>
      <w:contextualSpacing w:val="0"/>
      <w:jc w:val="left"/>
    </w:pPr>
    <w:rPr>
      <w:rFonts w:ascii="Times New Roman" w:hAnsi="Times New Roman"/>
      <w:sz w:val="24"/>
      <w:lang w:val="en-US" w:eastAsia="en-US"/>
    </w:rPr>
  </w:style>
  <w:style w:type="paragraph" w:styleId="TOC7">
    <w:name w:val="toc 7"/>
    <w:basedOn w:val="Normal"/>
    <w:next w:val="Normal"/>
    <w:autoRedefine/>
    <w:uiPriority w:val="39"/>
    <w:rsid w:val="00060470"/>
    <w:pPr>
      <w:spacing w:before="0" w:line="240" w:lineRule="auto"/>
      <w:ind w:left="1440" w:firstLine="0"/>
      <w:contextualSpacing w:val="0"/>
      <w:jc w:val="left"/>
    </w:pPr>
    <w:rPr>
      <w:rFonts w:ascii="Times New Roman" w:hAnsi="Times New Roman"/>
      <w:sz w:val="24"/>
      <w:lang w:val="en-US" w:eastAsia="en-US"/>
    </w:rPr>
  </w:style>
  <w:style w:type="paragraph" w:styleId="TOC8">
    <w:name w:val="toc 8"/>
    <w:basedOn w:val="Normal"/>
    <w:next w:val="Normal"/>
    <w:autoRedefine/>
    <w:uiPriority w:val="39"/>
    <w:rsid w:val="00060470"/>
    <w:pPr>
      <w:spacing w:before="0" w:line="240" w:lineRule="auto"/>
      <w:ind w:left="1680" w:firstLine="0"/>
      <w:contextualSpacing w:val="0"/>
      <w:jc w:val="left"/>
    </w:pPr>
    <w:rPr>
      <w:rFonts w:ascii="Times New Roman" w:hAnsi="Times New Roman"/>
      <w:sz w:val="24"/>
      <w:lang w:val="en-US" w:eastAsia="en-US"/>
    </w:rPr>
  </w:style>
  <w:style w:type="paragraph" w:styleId="TOC9">
    <w:name w:val="toc 9"/>
    <w:basedOn w:val="Normal"/>
    <w:next w:val="Normal"/>
    <w:autoRedefine/>
    <w:uiPriority w:val="39"/>
    <w:rsid w:val="00060470"/>
    <w:pPr>
      <w:spacing w:before="0" w:line="240" w:lineRule="auto"/>
      <w:ind w:left="1920" w:firstLine="0"/>
      <w:contextualSpacing w:val="0"/>
      <w:jc w:val="left"/>
    </w:pPr>
    <w:rPr>
      <w:rFonts w:ascii="Times New Roman" w:hAnsi="Times New Roman"/>
      <w:sz w:val="24"/>
      <w:lang w:val="en-US" w:eastAsia="en-US"/>
    </w:rPr>
  </w:style>
  <w:style w:type="table" w:styleId="TableList7">
    <w:name w:val="Table List 7"/>
    <w:basedOn w:val="TableNormal"/>
    <w:uiPriority w:val="99"/>
    <w:rsid w:val="0006047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Web3">
    <w:name w:val="Table Web 3"/>
    <w:basedOn w:val="TableNormal"/>
    <w:uiPriority w:val="99"/>
    <w:rsid w:val="0006047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Elegant">
    <w:name w:val="Table Elegant"/>
    <w:basedOn w:val="TableNormal"/>
    <w:uiPriority w:val="99"/>
    <w:rsid w:val="0006047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OCBase">
    <w:name w:val="TOC Base"/>
    <w:basedOn w:val="Normal"/>
    <w:rsid w:val="00060470"/>
    <w:pPr>
      <w:tabs>
        <w:tab w:val="right" w:leader="dot" w:pos="8505"/>
      </w:tabs>
      <w:overflowPunct w:val="0"/>
      <w:autoSpaceDE w:val="0"/>
      <w:autoSpaceDN w:val="0"/>
      <w:adjustRightInd w:val="0"/>
      <w:spacing w:before="0" w:line="240" w:lineRule="auto"/>
      <w:ind w:firstLine="0"/>
      <w:contextualSpacing w:val="0"/>
      <w:jc w:val="left"/>
      <w:textAlignment w:val="baseline"/>
    </w:pPr>
    <w:rPr>
      <w:rFonts w:ascii="Gill Sans" w:hAnsi="Gill Sans"/>
      <w:sz w:val="24"/>
      <w:szCs w:val="20"/>
      <w:lang w:val="en-US" w:eastAsia="en-US"/>
    </w:rPr>
  </w:style>
  <w:style w:type="paragraph" w:customStyle="1" w:styleId="Bulets">
    <w:name w:val="Bulets"/>
    <w:basedOn w:val="Normal"/>
    <w:next w:val="Normal"/>
    <w:rsid w:val="00060470"/>
    <w:pPr>
      <w:tabs>
        <w:tab w:val="num" w:pos="360"/>
      </w:tabs>
      <w:spacing w:before="0" w:line="240" w:lineRule="auto"/>
      <w:ind w:left="357" w:hanging="357"/>
      <w:contextualSpacing w:val="0"/>
    </w:pPr>
    <w:rPr>
      <w:rFonts w:ascii="Times Armenian" w:hAnsi="Times Armenian"/>
      <w:sz w:val="20"/>
      <w:szCs w:val="20"/>
      <w:lang w:val="en-US" w:eastAsia="en-US"/>
    </w:rPr>
  </w:style>
  <w:style w:type="paragraph" w:customStyle="1" w:styleId="Numbering1">
    <w:name w:val="Numbering 1"/>
    <w:basedOn w:val="Normal"/>
    <w:next w:val="Normal"/>
    <w:autoRedefine/>
    <w:qFormat/>
    <w:rsid w:val="003C4BB9"/>
    <w:pPr>
      <w:keepNext/>
      <w:spacing w:after="120" w:line="240" w:lineRule="auto"/>
      <w:ind w:left="567" w:firstLine="0"/>
      <w:contextualSpacing w:val="0"/>
      <w:jc w:val="left"/>
    </w:pPr>
    <w:rPr>
      <w:b w:val="0"/>
      <w:i/>
      <w:szCs w:val="20"/>
      <w:lang w:val="en-US" w:eastAsia="en-US"/>
    </w:rPr>
  </w:style>
  <w:style w:type="paragraph" w:customStyle="1" w:styleId="Bulet-2">
    <w:name w:val="Bulet-2"/>
    <w:basedOn w:val="Normal"/>
    <w:rsid w:val="00060470"/>
    <w:pPr>
      <w:tabs>
        <w:tab w:val="num" w:pos="454"/>
      </w:tabs>
      <w:spacing w:before="0" w:line="240" w:lineRule="auto"/>
      <w:ind w:left="454" w:hanging="454"/>
      <w:contextualSpacing w:val="0"/>
      <w:jc w:val="left"/>
    </w:pPr>
    <w:rPr>
      <w:rFonts w:ascii="Times Armenian" w:hAnsi="Times Armenian"/>
      <w:sz w:val="24"/>
      <w:lang w:val="en-US" w:eastAsia="en-US"/>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rsid w:val="00060470"/>
    <w:pPr>
      <w:spacing w:before="0" w:after="120" w:line="240" w:lineRule="auto"/>
      <w:ind w:left="360" w:firstLine="0"/>
      <w:contextualSpacing w:val="0"/>
      <w:jc w:val="left"/>
    </w:pPr>
    <w:rPr>
      <w:rFonts w:ascii="Times New Roman" w:hAnsi="Times New Roman"/>
      <w:sz w:val="20"/>
      <w:lang w:val="en-US" w:eastAsia="en-US"/>
    </w:rPr>
  </w:style>
  <w:style w:type="paragraph" w:customStyle="1" w:styleId="StyleHeading120pt">
    <w:name w:val="Style Heading 1 + 20 pt"/>
    <w:basedOn w:val="Heading1"/>
    <w:rsid w:val="00060470"/>
    <w:pPr>
      <w:spacing w:line="240" w:lineRule="auto"/>
      <w:contextualSpacing w:val="0"/>
    </w:pPr>
    <w:rPr>
      <w:rFonts w:ascii="Times Armenian" w:hAnsi="Times Armenian"/>
      <w:b w:val="0"/>
      <w:sz w:val="40"/>
      <w:szCs w:val="24"/>
      <w:lang w:eastAsia="en-US"/>
    </w:rPr>
  </w:style>
  <w:style w:type="paragraph" w:customStyle="1" w:styleId="StyleHeading216ptBoldLightBlueLeft025">
    <w:name w:val="Style Heading 2 + 16 pt Bold Light Blue Left:  0.25&quot;"/>
    <w:basedOn w:val="Heading2"/>
    <w:rsid w:val="00060470"/>
    <w:pPr>
      <w:tabs>
        <w:tab w:val="num" w:pos="0"/>
        <w:tab w:val="left" w:pos="993"/>
        <w:tab w:val="num" w:pos="1080"/>
        <w:tab w:val="right" w:pos="10208"/>
      </w:tabs>
      <w:ind w:left="360" w:firstLine="540"/>
      <w:jc w:val="left"/>
    </w:pPr>
    <w:rPr>
      <w:color w:val="3366FF"/>
      <w:spacing w:val="24"/>
      <w:kern w:val="16"/>
      <w:sz w:val="32"/>
      <w:lang w:val="en-US"/>
    </w:rPr>
  </w:style>
  <w:style w:type="paragraph" w:styleId="Index2">
    <w:name w:val="index 2"/>
    <w:basedOn w:val="Normal"/>
    <w:next w:val="Normal"/>
    <w:autoRedefine/>
    <w:rsid w:val="00060470"/>
    <w:pPr>
      <w:spacing w:before="0" w:line="240" w:lineRule="auto"/>
      <w:ind w:left="480" w:hanging="240"/>
      <w:contextualSpacing w:val="0"/>
      <w:jc w:val="left"/>
    </w:pPr>
    <w:rPr>
      <w:rFonts w:ascii="Times New Roman" w:hAnsi="Times New Roman"/>
      <w:sz w:val="24"/>
      <w:lang w:val="en-US" w:eastAsia="en-US"/>
    </w:rPr>
  </w:style>
  <w:style w:type="paragraph" w:styleId="Index3">
    <w:name w:val="index 3"/>
    <w:basedOn w:val="Normal"/>
    <w:next w:val="Normal"/>
    <w:autoRedefine/>
    <w:rsid w:val="00060470"/>
    <w:pPr>
      <w:spacing w:before="0" w:line="240" w:lineRule="auto"/>
      <w:ind w:left="720" w:hanging="240"/>
      <w:contextualSpacing w:val="0"/>
      <w:jc w:val="left"/>
    </w:pPr>
    <w:rPr>
      <w:rFonts w:ascii="Times New Roman" w:hAnsi="Times New Roman"/>
      <w:sz w:val="24"/>
      <w:lang w:val="en-US" w:eastAsia="en-US"/>
    </w:rPr>
  </w:style>
  <w:style w:type="paragraph" w:styleId="Index4">
    <w:name w:val="index 4"/>
    <w:basedOn w:val="Normal"/>
    <w:next w:val="Normal"/>
    <w:autoRedefine/>
    <w:rsid w:val="00060470"/>
    <w:pPr>
      <w:spacing w:before="0" w:line="240" w:lineRule="auto"/>
      <w:ind w:left="960" w:hanging="240"/>
      <w:contextualSpacing w:val="0"/>
      <w:jc w:val="left"/>
    </w:pPr>
    <w:rPr>
      <w:rFonts w:ascii="Times New Roman" w:hAnsi="Times New Roman"/>
      <w:sz w:val="24"/>
      <w:lang w:val="en-US" w:eastAsia="en-US"/>
    </w:rPr>
  </w:style>
  <w:style w:type="paragraph" w:styleId="Index5">
    <w:name w:val="index 5"/>
    <w:basedOn w:val="Normal"/>
    <w:next w:val="Normal"/>
    <w:autoRedefine/>
    <w:rsid w:val="00060470"/>
    <w:pPr>
      <w:spacing w:before="0" w:line="240" w:lineRule="auto"/>
      <w:ind w:left="1200" w:hanging="240"/>
      <w:contextualSpacing w:val="0"/>
      <w:jc w:val="left"/>
    </w:pPr>
    <w:rPr>
      <w:rFonts w:ascii="Times New Roman" w:hAnsi="Times New Roman"/>
      <w:sz w:val="24"/>
      <w:lang w:val="en-US" w:eastAsia="en-US"/>
    </w:rPr>
  </w:style>
  <w:style w:type="paragraph" w:styleId="Index6">
    <w:name w:val="index 6"/>
    <w:basedOn w:val="Normal"/>
    <w:next w:val="Normal"/>
    <w:autoRedefine/>
    <w:rsid w:val="00060470"/>
    <w:pPr>
      <w:spacing w:before="0" w:line="240" w:lineRule="auto"/>
      <w:ind w:left="1440" w:hanging="240"/>
      <w:contextualSpacing w:val="0"/>
      <w:jc w:val="left"/>
    </w:pPr>
    <w:rPr>
      <w:rFonts w:ascii="Times New Roman" w:hAnsi="Times New Roman"/>
      <w:sz w:val="24"/>
      <w:lang w:val="en-US" w:eastAsia="en-US"/>
    </w:rPr>
  </w:style>
  <w:style w:type="paragraph" w:styleId="Index7">
    <w:name w:val="index 7"/>
    <w:basedOn w:val="Normal"/>
    <w:next w:val="Normal"/>
    <w:autoRedefine/>
    <w:rsid w:val="00060470"/>
    <w:pPr>
      <w:spacing w:before="0" w:line="240" w:lineRule="auto"/>
      <w:ind w:left="1680" w:hanging="240"/>
      <w:contextualSpacing w:val="0"/>
      <w:jc w:val="left"/>
    </w:pPr>
    <w:rPr>
      <w:rFonts w:ascii="Times New Roman" w:hAnsi="Times New Roman"/>
      <w:sz w:val="24"/>
      <w:lang w:val="en-US" w:eastAsia="en-US"/>
    </w:rPr>
  </w:style>
  <w:style w:type="paragraph" w:styleId="Index8">
    <w:name w:val="index 8"/>
    <w:basedOn w:val="Normal"/>
    <w:next w:val="Normal"/>
    <w:autoRedefine/>
    <w:rsid w:val="00060470"/>
    <w:pPr>
      <w:spacing w:before="0" w:line="240" w:lineRule="auto"/>
      <w:ind w:left="1920" w:hanging="240"/>
      <w:contextualSpacing w:val="0"/>
      <w:jc w:val="left"/>
    </w:pPr>
    <w:rPr>
      <w:rFonts w:ascii="Times New Roman" w:hAnsi="Times New Roman"/>
      <w:sz w:val="24"/>
      <w:lang w:val="en-US" w:eastAsia="en-US"/>
    </w:rPr>
  </w:style>
  <w:style w:type="paragraph" w:styleId="Index9">
    <w:name w:val="index 9"/>
    <w:basedOn w:val="Normal"/>
    <w:next w:val="Normal"/>
    <w:autoRedefine/>
    <w:rsid w:val="00060470"/>
    <w:pPr>
      <w:spacing w:before="0" w:line="240" w:lineRule="auto"/>
      <w:ind w:left="2160" w:hanging="240"/>
      <w:contextualSpacing w:val="0"/>
      <w:jc w:val="left"/>
    </w:pPr>
    <w:rPr>
      <w:rFonts w:ascii="Times New Roman" w:hAnsi="Times New Roman"/>
      <w:sz w:val="24"/>
      <w:lang w:val="en-US" w:eastAsia="en-US"/>
    </w:rPr>
  </w:style>
  <w:style w:type="paragraph" w:customStyle="1" w:styleId="BodyTextIndentTableSource">
    <w:name w:val="Body Text Indent.(Table Source)"/>
    <w:basedOn w:val="Normal"/>
    <w:rsid w:val="00060470"/>
    <w:pPr>
      <w:spacing w:before="0"/>
      <w:ind w:firstLine="540"/>
      <w:contextualSpacing w:val="0"/>
      <w:jc w:val="left"/>
    </w:pPr>
    <w:rPr>
      <w:rFonts w:ascii="Times LatArm" w:hAnsi="Times LatArm"/>
      <w:szCs w:val="20"/>
      <w:lang w:val="en-US" w:eastAsia="en-US"/>
    </w:rPr>
  </w:style>
  <w:style w:type="character" w:customStyle="1" w:styleId="TableTitleCharCharCharCharCharCharCharCharCharCharChar">
    <w:name w:val="(Table Title) Char Char Char Char Char Char Char Char Char Char Char"/>
    <w:aliases w:val="Caption1,(Table Title)1"/>
    <w:rsid w:val="00060470"/>
    <w:rPr>
      <w:rFonts w:ascii="Arial Armenian" w:hAnsi="Arial Armenian"/>
      <w:b/>
      <w:noProof w:val="0"/>
      <w:lang w:val="en-GB" w:eastAsia="en-US" w:bidi="ar-SA"/>
    </w:rPr>
  </w:style>
  <w:style w:type="paragraph" w:customStyle="1" w:styleId="BoxText">
    <w:name w:val="Box Text"/>
    <w:basedOn w:val="BodyText"/>
    <w:rsid w:val="00060470"/>
    <w:pPr>
      <w:framePr w:w="9639" w:h="6855" w:hRule="exact" w:hSpace="181" w:wrap="notBeside" w:vAnchor="text" w:hAnchor="page" w:x="1124" w:y="7"/>
      <w:widowControl w:val="0"/>
      <w:pBdr>
        <w:top w:val="single" w:sz="12" w:space="7" w:color="auto"/>
        <w:left w:val="single" w:sz="12" w:space="7" w:color="auto"/>
        <w:bottom w:val="single" w:sz="12" w:space="7" w:color="auto"/>
        <w:right w:val="single" w:sz="12" w:space="7" w:color="auto"/>
      </w:pBdr>
      <w:spacing w:before="0" w:after="120"/>
      <w:ind w:firstLine="652"/>
      <w:contextualSpacing w:val="0"/>
      <w:suppressOverlap/>
      <w:jc w:val="both"/>
    </w:pPr>
    <w:rPr>
      <w:rFonts w:ascii="Arial Armenian" w:hAnsi="Arial Armenian"/>
      <w:noProof/>
      <w:sz w:val="20"/>
      <w:lang w:val="it-IT"/>
    </w:rPr>
  </w:style>
  <w:style w:type="paragraph" w:customStyle="1" w:styleId="BulletAB1">
    <w:name w:val="Bullet AB1"/>
    <w:basedOn w:val="Normal"/>
    <w:rsid w:val="00060470"/>
    <w:pPr>
      <w:tabs>
        <w:tab w:val="num" w:pos="360"/>
        <w:tab w:val="left" w:pos="1008"/>
      </w:tabs>
      <w:spacing w:before="0" w:line="240" w:lineRule="auto"/>
      <w:ind w:left="360" w:hanging="360"/>
      <w:contextualSpacing w:val="0"/>
    </w:pPr>
    <w:rPr>
      <w:rFonts w:ascii="Times New Roman" w:hAnsi="Times New Roman"/>
      <w:sz w:val="21"/>
      <w:szCs w:val="20"/>
      <w:lang w:val="en-GB" w:eastAsia="en-US"/>
    </w:rPr>
  </w:style>
  <w:style w:type="paragraph" w:customStyle="1" w:styleId="wolort">
    <w:name w:val="wolort"/>
    <w:basedOn w:val="Normal"/>
    <w:rsid w:val="00060470"/>
    <w:pPr>
      <w:spacing w:before="0" w:line="240" w:lineRule="auto"/>
      <w:ind w:firstLine="0"/>
      <w:contextualSpacing w:val="0"/>
      <w:jc w:val="center"/>
    </w:pPr>
    <w:rPr>
      <w:rFonts w:ascii="Arial Armenian" w:hAnsi="Arial Armenian"/>
      <w:b w:val="0"/>
      <w:sz w:val="24"/>
      <w:lang w:val="en-US" w:eastAsia="en-US"/>
    </w:rPr>
  </w:style>
  <w:style w:type="paragraph" w:customStyle="1" w:styleId="Tabletext0">
    <w:name w:val="Table text"/>
    <w:basedOn w:val="Normal"/>
    <w:rsid w:val="00060470"/>
    <w:pPr>
      <w:overflowPunct w:val="0"/>
      <w:autoSpaceDE w:val="0"/>
      <w:autoSpaceDN w:val="0"/>
      <w:adjustRightInd w:val="0"/>
      <w:spacing w:before="60" w:line="240" w:lineRule="atLeast"/>
      <w:ind w:firstLine="0"/>
      <w:contextualSpacing w:val="0"/>
      <w:jc w:val="left"/>
      <w:textAlignment w:val="baseline"/>
    </w:pPr>
    <w:rPr>
      <w:rFonts w:ascii="Times New Roman" w:hAnsi="Times New Roman"/>
      <w:sz w:val="18"/>
      <w:szCs w:val="20"/>
      <w:lang w:val="en-GB" w:eastAsia="en-US"/>
    </w:rPr>
  </w:style>
  <w:style w:type="paragraph" w:customStyle="1" w:styleId="MessageText">
    <w:name w:val="Message Text"/>
    <w:basedOn w:val="BodyText"/>
    <w:rsid w:val="00060470"/>
    <w:pPr>
      <w:widowControl w:val="0"/>
      <w:spacing w:before="0" w:after="120"/>
      <w:ind w:firstLine="652"/>
      <w:contextualSpacing w:val="0"/>
      <w:jc w:val="both"/>
    </w:pPr>
    <w:rPr>
      <w:rFonts w:ascii="Arial Armenian" w:hAnsi="Arial Armenian"/>
      <w:sz w:val="22"/>
      <w:lang w:val="en-GB"/>
    </w:rPr>
  </w:style>
  <w:style w:type="paragraph" w:customStyle="1" w:styleId="Heading41">
    <w:name w:val="Heading 41"/>
    <w:aliases w:val="Centred1"/>
    <w:basedOn w:val="Normal"/>
    <w:rsid w:val="00060470"/>
    <w:pPr>
      <w:widowControl w:val="0"/>
      <w:tabs>
        <w:tab w:val="num" w:pos="1080"/>
      </w:tabs>
      <w:spacing w:before="0" w:line="240" w:lineRule="auto"/>
      <w:ind w:left="737" w:hanging="737"/>
      <w:contextualSpacing w:val="0"/>
      <w:jc w:val="left"/>
    </w:pPr>
    <w:rPr>
      <w:rFonts w:ascii="Arial Armenian" w:hAnsi="Arial Armenian"/>
      <w:sz w:val="20"/>
      <w:szCs w:val="20"/>
      <w:lang w:val="en-GB" w:eastAsia="en-US"/>
    </w:rPr>
  </w:style>
  <w:style w:type="paragraph" w:customStyle="1" w:styleId="PRAMO">
    <w:name w:val="PRAMO"/>
    <w:basedOn w:val="Normal"/>
    <w:rsid w:val="00060470"/>
    <w:pPr>
      <w:tabs>
        <w:tab w:val="left" w:pos="216"/>
        <w:tab w:val="left" w:pos="360"/>
        <w:tab w:val="left" w:pos="1418"/>
        <w:tab w:val="left" w:pos="1800"/>
        <w:tab w:val="left" w:pos="2835"/>
        <w:tab w:val="left" w:pos="3240"/>
        <w:tab w:val="left" w:pos="3960"/>
        <w:tab w:val="left" w:pos="4680"/>
        <w:tab w:val="left" w:pos="5400"/>
        <w:tab w:val="left" w:pos="6120"/>
        <w:tab w:val="left" w:pos="6840"/>
        <w:tab w:val="left" w:pos="7560"/>
        <w:tab w:val="left" w:pos="8280"/>
      </w:tabs>
      <w:spacing w:before="0" w:line="240" w:lineRule="auto"/>
      <w:ind w:firstLine="0"/>
      <w:contextualSpacing w:val="0"/>
    </w:pPr>
    <w:rPr>
      <w:rFonts w:ascii="Arial" w:hAnsi="Arial"/>
      <w:sz w:val="24"/>
      <w:lang w:val="en-GB" w:eastAsia="en-US"/>
    </w:rPr>
  </w:style>
  <w:style w:type="paragraph" w:customStyle="1" w:styleId="bullet10">
    <w:name w:val="bullet1"/>
    <w:basedOn w:val="NormalIndent"/>
    <w:rsid w:val="00060470"/>
    <w:pPr>
      <w:tabs>
        <w:tab w:val="left" w:pos="1418"/>
        <w:tab w:val="left" w:pos="2835"/>
        <w:tab w:val="left" w:pos="5103"/>
        <w:tab w:val="left" w:pos="7371"/>
        <w:tab w:val="right" w:pos="9639"/>
      </w:tabs>
      <w:spacing w:line="240" w:lineRule="auto"/>
      <w:ind w:left="0"/>
      <w:jc w:val="left"/>
    </w:pPr>
    <w:rPr>
      <w:rFonts w:ascii="Times New Roman" w:hAnsi="Times New Roman"/>
      <w:sz w:val="22"/>
      <w:lang w:val="en-GB"/>
    </w:rPr>
  </w:style>
  <w:style w:type="paragraph" w:customStyle="1" w:styleId="a5">
    <w:name w:val="????????"/>
    <w:basedOn w:val="Normal"/>
    <w:rsid w:val="00060470"/>
    <w:pPr>
      <w:spacing w:before="0" w:line="240" w:lineRule="auto"/>
      <w:ind w:firstLine="0"/>
      <w:contextualSpacing w:val="0"/>
      <w:jc w:val="center"/>
    </w:pPr>
    <w:rPr>
      <w:rFonts w:ascii="Times Armenian" w:hAnsi="Times Armenian"/>
      <w:i/>
      <w:sz w:val="28"/>
      <w:szCs w:val="20"/>
      <w:lang w:val="en-US"/>
    </w:rPr>
  </w:style>
  <w:style w:type="paragraph" w:customStyle="1" w:styleId="16">
    <w:name w:val="???????? ????? ? ????????1"/>
    <w:basedOn w:val="20"/>
    <w:rsid w:val="00060470"/>
    <w:pPr>
      <w:spacing w:line="360" w:lineRule="auto"/>
      <w:ind w:firstLine="720"/>
      <w:jc w:val="both"/>
    </w:pPr>
    <w:rPr>
      <w:sz w:val="28"/>
    </w:rPr>
  </w:style>
  <w:style w:type="paragraph" w:customStyle="1" w:styleId="BodyTextIndentTableSource1">
    <w:name w:val="Body Text Indent.(Table Source)1"/>
    <w:basedOn w:val="Normal"/>
    <w:rsid w:val="00060470"/>
    <w:pPr>
      <w:spacing w:before="0" w:line="240" w:lineRule="auto"/>
      <w:ind w:firstLine="3"/>
      <w:contextualSpacing w:val="0"/>
    </w:pPr>
    <w:rPr>
      <w:rFonts w:ascii="Times Armenian" w:hAnsi="Times Armenian"/>
      <w:szCs w:val="20"/>
      <w:lang w:val="fr-FR" w:eastAsia="en-US"/>
    </w:rPr>
  </w:style>
  <w:style w:type="character" w:customStyle="1" w:styleId="Normal1">
    <w:name w:val="Normal1"/>
    <w:rsid w:val="00060470"/>
    <w:rPr>
      <w:rFonts w:ascii="Arial" w:hAnsi="Arial"/>
      <w:sz w:val="24"/>
      <w:szCs w:val="24"/>
    </w:rPr>
  </w:style>
  <w:style w:type="paragraph" w:customStyle="1" w:styleId="BulletblBulletL1bl1">
    <w:name w:val="Bullet.bl.Bullet L1.bl1"/>
    <w:basedOn w:val="Normal"/>
    <w:rsid w:val="00060470"/>
    <w:pPr>
      <w:tabs>
        <w:tab w:val="num" w:pos="360"/>
      </w:tabs>
      <w:autoSpaceDE w:val="0"/>
      <w:autoSpaceDN w:val="0"/>
      <w:spacing w:before="0" w:after="130" w:line="240" w:lineRule="auto"/>
      <w:ind w:left="360" w:hanging="360"/>
      <w:contextualSpacing w:val="0"/>
    </w:pPr>
    <w:rPr>
      <w:rFonts w:ascii="Times Armenian" w:hAnsi="Times Armenian"/>
      <w:szCs w:val="22"/>
      <w:lang w:val="en-GB"/>
    </w:rPr>
  </w:style>
  <w:style w:type="paragraph" w:customStyle="1" w:styleId="Heading3Centeredtext">
    <w:name w:val="Heading 3.Centered.(text)"/>
    <w:basedOn w:val="Normal"/>
    <w:next w:val="Heading2"/>
    <w:rsid w:val="00060470"/>
    <w:pPr>
      <w:keepNext/>
      <w:autoSpaceDE w:val="0"/>
      <w:autoSpaceDN w:val="0"/>
      <w:spacing w:before="0" w:after="220" w:line="240" w:lineRule="auto"/>
      <w:ind w:firstLine="0"/>
      <w:contextualSpacing w:val="0"/>
      <w:jc w:val="left"/>
      <w:outlineLvl w:val="2"/>
    </w:pPr>
    <w:rPr>
      <w:rFonts w:ascii="Times Armenian" w:hAnsi="Times Armenian"/>
      <w:b w:val="0"/>
      <w:bCs/>
      <w:sz w:val="24"/>
      <w:lang w:val="en-GB"/>
    </w:rPr>
  </w:style>
  <w:style w:type="paragraph" w:customStyle="1" w:styleId="17">
    <w:name w:val="çàãîëîâîê 1"/>
    <w:basedOn w:val="Normal"/>
    <w:next w:val="Normal"/>
    <w:rsid w:val="00060470"/>
    <w:pPr>
      <w:keepNext/>
      <w:overflowPunct w:val="0"/>
      <w:autoSpaceDE w:val="0"/>
      <w:autoSpaceDN w:val="0"/>
      <w:adjustRightInd w:val="0"/>
      <w:spacing w:before="0" w:line="240" w:lineRule="auto"/>
      <w:ind w:firstLine="0"/>
      <w:contextualSpacing w:val="0"/>
      <w:jc w:val="center"/>
    </w:pPr>
    <w:rPr>
      <w:rFonts w:ascii="Arial Armenian" w:hAnsi="Arial Armenian"/>
      <w:sz w:val="24"/>
      <w:szCs w:val="20"/>
      <w:lang w:val="en-US" w:eastAsia="en-US"/>
    </w:rPr>
  </w:style>
  <w:style w:type="paragraph" w:customStyle="1" w:styleId="BalloonText2">
    <w:name w:val="Balloon Text2"/>
    <w:basedOn w:val="Normal"/>
    <w:semiHidden/>
    <w:rsid w:val="00060470"/>
    <w:pPr>
      <w:spacing w:before="0" w:line="240" w:lineRule="auto"/>
      <w:ind w:left="2157" w:hanging="180"/>
      <w:contextualSpacing w:val="0"/>
      <w:jc w:val="left"/>
    </w:pPr>
    <w:rPr>
      <w:rFonts w:ascii="Tahoma" w:hAnsi="Tahoma" w:cs="Tahoma"/>
      <w:sz w:val="16"/>
      <w:szCs w:val="16"/>
      <w:lang w:val="en-US" w:eastAsia="en-US"/>
    </w:rPr>
  </w:style>
  <w:style w:type="paragraph" w:customStyle="1" w:styleId="WW-BodyText3">
    <w:name w:val="WW-Body Text 3"/>
    <w:basedOn w:val="Normal"/>
    <w:rsid w:val="00060470"/>
    <w:pPr>
      <w:suppressAutoHyphens/>
      <w:spacing w:before="0" w:line="240" w:lineRule="auto"/>
      <w:ind w:firstLine="0"/>
      <w:contextualSpacing w:val="0"/>
    </w:pPr>
    <w:rPr>
      <w:rFonts w:ascii="Times Armenian" w:hAnsi="Times Armenian"/>
      <w:sz w:val="24"/>
      <w:lang w:val="en-US" w:eastAsia="ar-SA"/>
    </w:rPr>
  </w:style>
  <w:style w:type="paragraph" w:customStyle="1" w:styleId="WW-BodyTextIndent2">
    <w:name w:val="WW-Body Text Indent 2"/>
    <w:basedOn w:val="Normal"/>
    <w:rsid w:val="00060470"/>
    <w:pPr>
      <w:suppressAutoHyphens/>
      <w:spacing w:before="0" w:line="240" w:lineRule="auto"/>
      <w:ind w:firstLine="720"/>
      <w:contextualSpacing w:val="0"/>
      <w:jc w:val="left"/>
    </w:pPr>
    <w:rPr>
      <w:rFonts w:ascii="Times LatArm" w:hAnsi="Times LatArm"/>
      <w:i/>
      <w:iCs/>
      <w:sz w:val="24"/>
      <w:lang w:val="en-US" w:eastAsia="ar-SA"/>
    </w:rPr>
  </w:style>
  <w:style w:type="paragraph" w:customStyle="1" w:styleId="BalloonText1">
    <w:name w:val="Balloon Text1"/>
    <w:basedOn w:val="Normal"/>
    <w:semiHidden/>
    <w:rsid w:val="00060470"/>
    <w:pPr>
      <w:spacing w:before="0" w:line="240" w:lineRule="auto"/>
      <w:ind w:firstLine="0"/>
      <w:contextualSpacing w:val="0"/>
      <w:jc w:val="left"/>
    </w:pPr>
    <w:rPr>
      <w:rFonts w:ascii="Tahoma" w:hAnsi="Tahoma" w:cs="Tahoma"/>
      <w:sz w:val="16"/>
      <w:szCs w:val="16"/>
      <w:lang w:val="en-US" w:eastAsia="en-US"/>
    </w:rPr>
  </w:style>
  <w:style w:type="paragraph" w:customStyle="1" w:styleId="BalloonText3">
    <w:name w:val="Balloon Text3"/>
    <w:basedOn w:val="Normal"/>
    <w:semiHidden/>
    <w:rsid w:val="00060470"/>
    <w:pPr>
      <w:spacing w:before="0" w:line="240" w:lineRule="auto"/>
      <w:ind w:firstLine="0"/>
      <w:contextualSpacing w:val="0"/>
      <w:jc w:val="left"/>
    </w:pPr>
    <w:rPr>
      <w:rFonts w:ascii="Tahoma" w:hAnsi="Tahoma" w:cs="Tahoma"/>
      <w:sz w:val="16"/>
      <w:szCs w:val="16"/>
      <w:lang w:val="en-US" w:eastAsia="en-US"/>
    </w:rPr>
  </w:style>
  <w:style w:type="paragraph" w:customStyle="1" w:styleId="StyleHeading5SideItalic">
    <w:name w:val="Style Heading 5Side + Italic"/>
    <w:basedOn w:val="Heading5"/>
    <w:rsid w:val="00060470"/>
    <w:pPr>
      <w:keepNext/>
      <w:widowControl w:val="0"/>
      <w:tabs>
        <w:tab w:val="clear" w:pos="720"/>
        <w:tab w:val="left" w:pos="1021"/>
      </w:tabs>
      <w:spacing w:after="120"/>
      <w:jc w:val="left"/>
    </w:pPr>
    <w:rPr>
      <w:bCs w:val="0"/>
      <w:i w:val="0"/>
      <w:iCs/>
      <w:spacing w:val="0"/>
      <w:sz w:val="20"/>
      <w:u w:val="single"/>
      <w:lang w:val="en-GB"/>
    </w:rPr>
  </w:style>
  <w:style w:type="paragraph" w:customStyle="1" w:styleId="CaptionTableTitle">
    <w:name w:val="Caption.(Table Title)"/>
    <w:basedOn w:val="Normal"/>
    <w:next w:val="Normal"/>
    <w:rsid w:val="00060470"/>
    <w:pPr>
      <w:keepNext/>
      <w:keepLines/>
      <w:spacing w:before="130" w:after="130" w:line="240" w:lineRule="auto"/>
      <w:ind w:firstLine="0"/>
      <w:contextualSpacing w:val="0"/>
      <w:jc w:val="left"/>
    </w:pPr>
    <w:rPr>
      <w:rFonts w:ascii="Times New Roman" w:hAnsi="Times New Roman"/>
      <w:b w:val="0"/>
      <w:szCs w:val="20"/>
      <w:lang w:val="en-GB" w:eastAsia="en-US"/>
    </w:rPr>
  </w:style>
  <w:style w:type="paragraph" w:customStyle="1" w:styleId="StyleHeading2ChapterParanumText10pt">
    <w:name w:val="Style Heading 2(Chapter)ParanumText + 10 pt"/>
    <w:basedOn w:val="Heading2"/>
    <w:rsid w:val="00060470"/>
    <w:pPr>
      <w:widowControl w:val="0"/>
      <w:tabs>
        <w:tab w:val="num" w:pos="0"/>
        <w:tab w:val="left" w:pos="993"/>
        <w:tab w:val="num" w:pos="1080"/>
        <w:tab w:val="right" w:pos="10208"/>
      </w:tabs>
      <w:ind w:firstLine="540"/>
    </w:pPr>
    <w:rPr>
      <w:kern w:val="16"/>
      <w:lang w:val="af-ZA"/>
    </w:rPr>
  </w:style>
  <w:style w:type="paragraph" w:customStyle="1" w:styleId="BodyText1">
    <w:name w:val="Body Text1"/>
    <w:basedOn w:val="Normal"/>
    <w:rsid w:val="00060470"/>
    <w:pPr>
      <w:numPr>
        <w:numId w:val="7"/>
      </w:numPr>
      <w:tabs>
        <w:tab w:val="clear" w:pos="360"/>
        <w:tab w:val="num" w:pos="0"/>
      </w:tabs>
      <w:spacing w:before="0" w:after="240" w:line="240" w:lineRule="auto"/>
      <w:contextualSpacing w:val="0"/>
    </w:pPr>
    <w:rPr>
      <w:rFonts w:ascii="Times Armenian" w:hAnsi="Times Armenian"/>
      <w:sz w:val="24"/>
      <w:lang w:val="en-US"/>
    </w:rPr>
  </w:style>
  <w:style w:type="table" w:styleId="TableWeb2">
    <w:name w:val="Table Web 2"/>
    <w:basedOn w:val="TableNormal"/>
    <w:uiPriority w:val="99"/>
    <w:rsid w:val="0006047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uiPriority w:val="99"/>
    <w:rsid w:val="0006047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letable">
    <w:name w:val="Title_table"/>
    <w:basedOn w:val="Caption"/>
    <w:rsid w:val="00060470"/>
    <w:pPr>
      <w:keepNext/>
      <w:spacing w:before="0" w:after="60" w:line="240" w:lineRule="auto"/>
      <w:ind w:firstLine="0"/>
      <w:contextualSpacing w:val="0"/>
      <w:jc w:val="left"/>
    </w:pPr>
    <w:rPr>
      <w:rFonts w:cs="Sylfaen"/>
      <w:color w:val="auto"/>
      <w:sz w:val="22"/>
      <w:szCs w:val="20"/>
      <w:lang w:val="en-US"/>
    </w:rPr>
  </w:style>
  <w:style w:type="paragraph" w:customStyle="1" w:styleId="ConsNonformat">
    <w:name w:val="ConsNonformat"/>
    <w:rsid w:val="00060470"/>
    <w:pPr>
      <w:widowControl w:val="0"/>
      <w:autoSpaceDE w:val="0"/>
      <w:autoSpaceDN w:val="0"/>
      <w:adjustRightInd w:val="0"/>
    </w:pPr>
    <w:rPr>
      <w:rFonts w:ascii="Courier New" w:hAnsi="Courier New"/>
      <w:lang w:val="ru-RU"/>
    </w:rPr>
  </w:style>
  <w:style w:type="paragraph" w:customStyle="1" w:styleId="Znak">
    <w:name w:val="Znak"/>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0">
    <w:name w:val="Знак Знак Char"/>
    <w:link w:val="a0"/>
    <w:locked/>
    <w:rsid w:val="00060470"/>
    <w:rPr>
      <w:rFonts w:ascii="Arial" w:hAnsi="Arial" w:cs="Arial"/>
    </w:rPr>
  </w:style>
  <w:style w:type="character" w:customStyle="1" w:styleId="ParanumCharChar">
    <w:name w:val="Paranum Char Char"/>
    <w:rsid w:val="00060470"/>
    <w:rPr>
      <w:rFonts w:ascii="Arial" w:hAnsi="Arial" w:cs="Arial"/>
      <w:b/>
      <w:bCs/>
      <w:i/>
      <w:iCs/>
      <w:sz w:val="28"/>
      <w:szCs w:val="28"/>
      <w:lang w:val="en-US" w:eastAsia="en-US" w:bidi="ar-SA"/>
    </w:rPr>
  </w:style>
  <w:style w:type="character" w:customStyle="1" w:styleId="textinfo1">
    <w:name w:val="textinfo1"/>
    <w:rsid w:val="00060470"/>
    <w:rPr>
      <w:rFonts w:ascii="Arial AM" w:hAnsi="Arial AM" w:hint="default"/>
      <w:color w:val="000000"/>
      <w:sz w:val="18"/>
      <w:szCs w:val="18"/>
    </w:rPr>
  </w:style>
  <w:style w:type="paragraph" w:customStyle="1" w:styleId="CharCharCharCharCharCharCharChar">
    <w:name w:val="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Report-Title">
    <w:name w:val="Report-Title"/>
    <w:rsid w:val="00060470"/>
    <w:pPr>
      <w:spacing w:after="240"/>
    </w:pPr>
    <w:rPr>
      <w:rFonts w:ascii="Arial" w:eastAsia="MS Mincho" w:hAnsi="Arial" w:cs="Arial"/>
      <w:b/>
      <w:bCs/>
      <w:sz w:val="36"/>
      <w:szCs w:val="36"/>
    </w:rPr>
  </w:style>
  <w:style w:type="paragraph" w:customStyle="1" w:styleId="msonormalcxspmiddle">
    <w:name w:val="msonormalcxspmiddl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a6">
    <w:name w:val="Стиль"/>
    <w:rsid w:val="00060470"/>
    <w:rPr>
      <w:rFonts w:ascii="Baltica" w:hAnsi="Baltica"/>
      <w:lang w:eastAsia="ru-RU"/>
    </w:rPr>
  </w:style>
  <w:style w:type="paragraph" w:customStyle="1" w:styleId="ConsNormal">
    <w:name w:val="ConsNormal"/>
    <w:rsid w:val="00060470"/>
    <w:pPr>
      <w:widowControl w:val="0"/>
      <w:autoSpaceDE w:val="0"/>
      <w:autoSpaceDN w:val="0"/>
      <w:adjustRightInd w:val="0"/>
      <w:ind w:firstLine="720"/>
    </w:pPr>
    <w:rPr>
      <w:rFonts w:ascii="Arial" w:hAnsi="Arial"/>
      <w:lang w:val="ru-RU"/>
    </w:rPr>
  </w:style>
  <w:style w:type="paragraph" w:customStyle="1" w:styleId="ListDash">
    <w:name w:val="List Dash"/>
    <w:basedOn w:val="Normal"/>
    <w:rsid w:val="00060470"/>
    <w:pPr>
      <w:numPr>
        <w:numId w:val="6"/>
      </w:numPr>
      <w:spacing w:after="120" w:line="240" w:lineRule="auto"/>
      <w:contextualSpacing w:val="0"/>
    </w:pPr>
    <w:rPr>
      <w:rFonts w:ascii="Times New Roman" w:hAnsi="Times New Roman"/>
      <w:sz w:val="24"/>
      <w:szCs w:val="20"/>
      <w:lang w:val="en-GB" w:eastAsia="en-US"/>
    </w:rPr>
  </w:style>
  <w:style w:type="paragraph" w:customStyle="1" w:styleId="CharCharCharCharCharCharChar">
    <w:name w:val="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2ndheading">
    <w:name w:val="2nd heading"/>
    <w:basedOn w:val="Normal"/>
    <w:next w:val="Normal"/>
    <w:rsid w:val="00060470"/>
    <w:pPr>
      <w:spacing w:before="0" w:line="240" w:lineRule="auto"/>
      <w:ind w:firstLine="0"/>
      <w:contextualSpacing w:val="0"/>
      <w:jc w:val="left"/>
    </w:pPr>
    <w:rPr>
      <w:rFonts w:ascii="Univers" w:hAnsi="Univers"/>
      <w:bCs/>
      <w:sz w:val="28"/>
      <w:szCs w:val="20"/>
      <w:lang w:val="en-GB" w:eastAsia="en-US"/>
    </w:rPr>
  </w:style>
  <w:style w:type="paragraph" w:styleId="BodyTextFirstIndent">
    <w:name w:val="Body Text First Indent"/>
    <w:basedOn w:val="BodyText"/>
    <w:link w:val="BodyTextFirstIndentChar2"/>
    <w:rsid w:val="00060470"/>
    <w:pPr>
      <w:spacing w:before="0" w:after="120" w:line="240" w:lineRule="auto"/>
      <w:ind w:firstLine="210"/>
      <w:contextualSpacing w:val="0"/>
      <w:jc w:val="left"/>
    </w:pPr>
    <w:rPr>
      <w:rFonts w:ascii="Times New Roman" w:hAnsi="Times New Roman"/>
      <w:sz w:val="24"/>
      <w:szCs w:val="24"/>
    </w:rPr>
  </w:style>
  <w:style w:type="character" w:customStyle="1" w:styleId="BodyTextFirstIndentChar">
    <w:name w:val="Body Text First Indent Char"/>
    <w:basedOn w:val="BodyTextChar"/>
    <w:rsid w:val="00060470"/>
    <w:rPr>
      <w:rFonts w:ascii="GHEA Grapalat" w:hAnsi="GHEA Grapalat"/>
      <w:sz w:val="22"/>
      <w:szCs w:val="24"/>
      <w:lang w:val="ru-RU" w:eastAsia="ru-RU"/>
    </w:rPr>
  </w:style>
  <w:style w:type="character" w:customStyle="1" w:styleId="BodyTextFirstIndentChar2">
    <w:name w:val="Body Text First Indent Char2"/>
    <w:link w:val="BodyTextFirstIndent"/>
    <w:rsid w:val="00060470"/>
    <w:rPr>
      <w:sz w:val="24"/>
      <w:szCs w:val="24"/>
      <w:lang w:val="ru-RU" w:eastAsia="ru-RU"/>
    </w:rPr>
  </w:style>
  <w:style w:type="character" w:customStyle="1" w:styleId="CommentSubjectChar2">
    <w:name w:val="Comment Subject Char2"/>
    <w:uiPriority w:val="99"/>
    <w:rsid w:val="00060470"/>
    <w:rPr>
      <w:rFonts w:ascii="Courier New" w:hAnsi="Courier New"/>
      <w:b/>
      <w:bCs/>
    </w:rPr>
  </w:style>
  <w:style w:type="table" w:styleId="TableGrid8">
    <w:name w:val="Table Grid 8"/>
    <w:basedOn w:val="TableNormal"/>
    <w:uiPriority w:val="99"/>
    <w:rsid w:val="0006047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uiPriority w:val="99"/>
    <w:rsid w:val="0006047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LineNumber">
    <w:name w:val="line number"/>
    <w:rsid w:val="00060470"/>
  </w:style>
  <w:style w:type="paragraph" w:customStyle="1" w:styleId="a7">
    <w:name w:val="Заголовок таблицы"/>
    <w:basedOn w:val="a8"/>
    <w:rsid w:val="00060470"/>
  </w:style>
  <w:style w:type="paragraph" w:customStyle="1" w:styleId="a8">
    <w:name w:val="Содержимое таблицы"/>
    <w:basedOn w:val="Normal"/>
    <w:rsid w:val="00060470"/>
    <w:pPr>
      <w:suppressLineNumbers/>
      <w:suppressAutoHyphens/>
      <w:spacing w:before="0" w:line="240" w:lineRule="auto"/>
      <w:ind w:firstLine="0"/>
      <w:contextualSpacing w:val="0"/>
      <w:jc w:val="left"/>
    </w:pPr>
    <w:rPr>
      <w:rFonts w:ascii="Times New Roman" w:hAnsi="Times New Roman"/>
      <w:sz w:val="24"/>
      <w:szCs w:val="20"/>
      <w:lang w:val="en-US" w:eastAsia="en-US"/>
    </w:rPr>
  </w:style>
  <w:style w:type="paragraph" w:customStyle="1" w:styleId="a9">
    <w:name w:val="??????? ??????????"/>
    <w:basedOn w:val="a1"/>
    <w:rsid w:val="00060470"/>
    <w:pPr>
      <w:tabs>
        <w:tab w:val="center" w:pos="4320"/>
        <w:tab w:val="right" w:pos="8640"/>
      </w:tabs>
    </w:pPr>
    <w:rPr>
      <w:rFonts w:ascii="Times Armenian" w:hAnsi="Times Armenian"/>
      <w:sz w:val="24"/>
      <w:lang w:val="en-US"/>
    </w:rPr>
  </w:style>
  <w:style w:type="paragraph" w:customStyle="1" w:styleId="BodyText22">
    <w:name w:val="Body Text 22"/>
    <w:basedOn w:val="Normal"/>
    <w:rsid w:val="00060470"/>
    <w:pPr>
      <w:overflowPunct w:val="0"/>
      <w:autoSpaceDE w:val="0"/>
      <w:autoSpaceDN w:val="0"/>
      <w:adjustRightInd w:val="0"/>
      <w:spacing w:before="0" w:line="240" w:lineRule="auto"/>
      <w:ind w:firstLine="0"/>
      <w:contextualSpacing w:val="0"/>
      <w:textAlignment w:val="baseline"/>
    </w:pPr>
    <w:rPr>
      <w:rFonts w:ascii="Times LatArm" w:hAnsi="Times LatArm"/>
      <w:szCs w:val="20"/>
      <w:lang w:val="en-GB"/>
    </w:rPr>
  </w:style>
  <w:style w:type="paragraph" w:customStyle="1" w:styleId="CM31">
    <w:name w:val="CM31"/>
    <w:basedOn w:val="Default"/>
    <w:next w:val="Default"/>
    <w:rsid w:val="00060470"/>
    <w:pPr>
      <w:widowControl/>
      <w:numPr>
        <w:numId w:val="5"/>
      </w:numPr>
      <w:tabs>
        <w:tab w:val="clear" w:pos="1429"/>
      </w:tabs>
      <w:ind w:left="0" w:firstLine="0"/>
    </w:pPr>
    <w:rPr>
      <w:rFonts w:ascii="GHEA Grapalat" w:hAnsi="GHEA Grapalat" w:cs="GHEA Grapalat"/>
      <w:lang w:val="ru-RU" w:eastAsia="ru-RU"/>
    </w:rPr>
  </w:style>
  <w:style w:type="paragraph" w:customStyle="1" w:styleId="StyleCaptionTimesArmenian11pt">
    <w:name w:val="Style Caption + Times Armenian 11 pt"/>
    <w:basedOn w:val="Caption"/>
    <w:link w:val="StyleCaptionTimesArmenian11ptChar"/>
    <w:rsid w:val="00060470"/>
    <w:pPr>
      <w:overflowPunct w:val="0"/>
      <w:autoSpaceDE w:val="0"/>
      <w:autoSpaceDN w:val="0"/>
      <w:adjustRightInd w:val="0"/>
      <w:spacing w:before="0" w:after="120" w:line="240" w:lineRule="auto"/>
      <w:ind w:firstLine="0"/>
      <w:contextualSpacing w:val="0"/>
      <w:jc w:val="left"/>
      <w:textAlignment w:val="baseline"/>
    </w:pPr>
    <w:rPr>
      <w:rFonts w:ascii="Arial Armenian" w:hAnsi="Arial Armenian"/>
      <w:color w:val="auto"/>
      <w:sz w:val="26"/>
      <w:szCs w:val="26"/>
      <w:lang w:val="en-US" w:eastAsia="en-US"/>
    </w:rPr>
  </w:style>
  <w:style w:type="character" w:customStyle="1" w:styleId="StyleCaptionTimesArmenian11ptChar">
    <w:name w:val="Style Caption + Times Armenian 11 pt Char"/>
    <w:link w:val="StyleCaptionTimesArmenian11pt"/>
    <w:rsid w:val="00060470"/>
    <w:rPr>
      <w:rFonts w:ascii="Arial Armenian" w:hAnsi="Arial Armenian"/>
      <w:b/>
      <w:bCs/>
      <w:sz w:val="26"/>
      <w:szCs w:val="26"/>
    </w:rPr>
  </w:style>
  <w:style w:type="paragraph" w:customStyle="1" w:styleId="StyleHeading120ptBlue">
    <w:name w:val="Style Heading 1 + 20 pt Blue"/>
    <w:basedOn w:val="Heading1"/>
    <w:rsid w:val="00060470"/>
    <w:pPr>
      <w:spacing w:before="240" w:after="60"/>
      <w:ind w:firstLine="720"/>
      <w:contextualSpacing w:val="0"/>
    </w:pPr>
    <w:rPr>
      <w:rFonts w:ascii="Arial" w:hAnsi="Arial" w:cs="Arial"/>
      <w:bCs/>
      <w:kern w:val="32"/>
      <w:sz w:val="40"/>
      <w:szCs w:val="40"/>
      <w:lang w:val="en-GB" w:eastAsia="en-US"/>
    </w:rPr>
  </w:style>
  <w:style w:type="paragraph" w:customStyle="1" w:styleId="StyleHeading1TimesArmenian10ptNotBoldUnderline1">
    <w:name w:val="Style Heading 1 + Times Armenian 10 pt Not Bold Underline1"/>
    <w:basedOn w:val="Heading1"/>
    <w:autoRedefine/>
    <w:rsid w:val="00060470"/>
    <w:pPr>
      <w:tabs>
        <w:tab w:val="center" w:pos="-180"/>
        <w:tab w:val="left" w:pos="450"/>
      </w:tabs>
      <w:spacing w:before="240" w:after="60"/>
      <w:contextualSpacing w:val="0"/>
    </w:pPr>
    <w:rPr>
      <w:rFonts w:cs="Sylfaen"/>
      <w:b w:val="0"/>
      <w:sz w:val="24"/>
      <w:szCs w:val="24"/>
      <w:lang w:eastAsia="en-US"/>
    </w:rPr>
  </w:style>
  <w:style w:type="paragraph" w:customStyle="1" w:styleId="CharCharCharCharCharCharCharCharCharChar">
    <w:name w:val="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Titlechart">
    <w:name w:val="Title_chart"/>
    <w:basedOn w:val="Caption"/>
    <w:rsid w:val="00060470"/>
    <w:pPr>
      <w:keepNext/>
      <w:spacing w:before="0" w:after="60" w:line="240" w:lineRule="auto"/>
      <w:ind w:firstLine="0"/>
      <w:contextualSpacing w:val="0"/>
      <w:jc w:val="left"/>
    </w:pPr>
    <w:rPr>
      <w:rFonts w:cs="Sylfaen"/>
      <w:color w:val="auto"/>
      <w:sz w:val="22"/>
      <w:szCs w:val="20"/>
      <w:lang w:val="en-US"/>
    </w:rPr>
  </w:style>
  <w:style w:type="paragraph" w:customStyle="1" w:styleId="CharCharCharCharCharCharCharCharCharCharCharCharChar">
    <w:name w:val="Char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Heading1SectionSectionHeadingText11Chapterhead3">
    <w:name w:val="Style Heading 1(Section)Section Heading(Text)1 1Chapterhead3..."/>
    <w:basedOn w:val="Heading1"/>
    <w:link w:val="StyleHeading1SectionSectionHeadingText11Chapterhead3Char"/>
    <w:autoRedefine/>
    <w:rsid w:val="00060470"/>
    <w:pPr>
      <w:contextualSpacing w:val="0"/>
    </w:pPr>
    <w:rPr>
      <w:bCs/>
      <w:kern w:val="32"/>
      <w:szCs w:val="28"/>
      <w:lang w:val="es-ES"/>
    </w:rPr>
  </w:style>
  <w:style w:type="character" w:customStyle="1" w:styleId="StyleHeading1SectionSectionHeadingText11Chapterhead3Char">
    <w:name w:val="Style Heading 1(Section)Section Heading(Text)1 1Chapterhead3... Char"/>
    <w:link w:val="StyleHeading1SectionSectionHeadingText11Chapterhead3"/>
    <w:rsid w:val="00060470"/>
    <w:rPr>
      <w:rFonts w:ascii="GHEA Grapalat" w:hAnsi="GHEA Grapalat"/>
      <w:b/>
      <w:bCs/>
      <w:kern w:val="32"/>
      <w:sz w:val="28"/>
      <w:szCs w:val="28"/>
      <w:lang w:val="es-ES"/>
    </w:rPr>
  </w:style>
  <w:style w:type="paragraph" w:customStyle="1" w:styleId="StyleHeading2ChapterParanumTextSylfaen">
    <w:name w:val="Style Heading 2.(Chapter).Paranum.Text + Sylfaen"/>
    <w:basedOn w:val="Heading2ChapterParanumText"/>
    <w:link w:val="StyleHeading2ChapterParanumTextSylfaenChar"/>
    <w:autoRedefine/>
    <w:rsid w:val="00060470"/>
    <w:pPr>
      <w:spacing w:before="120" w:after="120"/>
      <w:ind w:left="576" w:hanging="576"/>
    </w:pPr>
    <w:rPr>
      <w:rFonts w:ascii="Sylfaen" w:hAnsi="Sylfaen"/>
      <w:bCs/>
    </w:rPr>
  </w:style>
  <w:style w:type="character" w:customStyle="1" w:styleId="StyleHeading2ChapterParanumTextSylfaenChar">
    <w:name w:val="Style Heading 2.(Chapter).Paranum.Text + Sylfaen Char"/>
    <w:link w:val="StyleHeading2ChapterParanumTextSylfaen"/>
    <w:rsid w:val="00060470"/>
    <w:rPr>
      <w:rFonts w:ascii="Sylfaen" w:hAnsi="Sylfaen"/>
      <w:b/>
      <w:bCs/>
      <w:spacing w:val="24"/>
      <w:kern w:val="28"/>
      <w:sz w:val="24"/>
      <w:szCs w:val="24"/>
      <w:lang w:val="it-IT"/>
    </w:rPr>
  </w:style>
  <w:style w:type="paragraph" w:customStyle="1" w:styleId="StyleHeading3Sub-ChapterCenteredtextHeading3CharCharC">
    <w:name w:val="Style Heading 3(Sub-Chapter)Centered(text)Heading 3 Char Char C..."/>
    <w:basedOn w:val="Heading3"/>
    <w:autoRedefine/>
    <w:rsid w:val="00060470"/>
    <w:pPr>
      <w:widowControl w:val="0"/>
      <w:tabs>
        <w:tab w:val="left" w:pos="624"/>
      </w:tabs>
      <w:spacing w:before="120"/>
      <w:ind w:right="302"/>
      <w:contextualSpacing w:val="0"/>
    </w:pPr>
    <w:rPr>
      <w:rFonts w:cs="Times New Roman"/>
      <w:color w:val="000000"/>
      <w:szCs w:val="24"/>
      <w:lang w:val="es-ES"/>
    </w:rPr>
  </w:style>
  <w:style w:type="paragraph" w:customStyle="1" w:styleId="StyleStyleHeading1SectionSectionHeadingText11Chapterhead3">
    <w:name w:val="Style Style Heading 1(Section)Section Heading(Text)1 1Chapterhead3...."/>
    <w:basedOn w:val="StyleHeading1SectionSectionHeadingText11Chapterhead3"/>
    <w:link w:val="StyleStyleHeading1SectionSectionHeadingText11Chapterhead3Char"/>
    <w:autoRedefine/>
    <w:rsid w:val="00060470"/>
  </w:style>
  <w:style w:type="character" w:customStyle="1" w:styleId="StyleStyleHeading1SectionSectionHeadingText11Chapterhead3Char">
    <w:name w:val="Style Style Heading 1(Section)Section Heading(Text)1 1Chapterhead3.... Char"/>
    <w:link w:val="StyleStyleHeading1SectionSectionHeadingText11Chapterhead3"/>
    <w:rsid w:val="00060470"/>
    <w:rPr>
      <w:rFonts w:ascii="GHEA Grapalat" w:hAnsi="GHEA Grapalat"/>
      <w:b/>
      <w:bCs/>
      <w:kern w:val="32"/>
      <w:sz w:val="28"/>
      <w:szCs w:val="28"/>
      <w:lang w:val="es-ES"/>
    </w:rPr>
  </w:style>
  <w:style w:type="paragraph" w:customStyle="1" w:styleId="211">
    <w:name w:val="???????? ????? 21"/>
    <w:basedOn w:val="20"/>
    <w:rsid w:val="00060470"/>
    <w:pPr>
      <w:jc w:val="center"/>
    </w:pPr>
    <w:rPr>
      <w:b/>
      <w:sz w:val="28"/>
    </w:rPr>
  </w:style>
  <w:style w:type="paragraph" w:customStyle="1" w:styleId="Style15">
    <w:name w:val="Style1.5"/>
    <w:basedOn w:val="Normal"/>
    <w:rsid w:val="00060470"/>
    <w:pPr>
      <w:spacing w:before="0"/>
      <w:ind w:firstLine="709"/>
      <w:contextualSpacing w:val="0"/>
    </w:pPr>
    <w:rPr>
      <w:rFonts w:ascii="Arial Armenian" w:hAnsi="Arial Armenian"/>
      <w:lang w:val="en-US" w:eastAsia="en-US"/>
    </w:rPr>
  </w:style>
  <w:style w:type="paragraph" w:customStyle="1" w:styleId="russtyle">
    <w:name w:val="russtyle"/>
    <w:basedOn w:val="Normal"/>
    <w:rsid w:val="00060470"/>
    <w:pPr>
      <w:spacing w:before="0" w:line="240" w:lineRule="auto"/>
      <w:ind w:firstLine="0"/>
      <w:contextualSpacing w:val="0"/>
      <w:jc w:val="left"/>
    </w:pPr>
    <w:rPr>
      <w:rFonts w:ascii="Russian Baltica" w:hAnsi="Russian Baltica"/>
      <w:lang w:val="en-US" w:eastAsia="en-US"/>
    </w:rPr>
  </w:style>
  <w:style w:type="paragraph" w:customStyle="1" w:styleId="Style6">
    <w:name w:val="Style6"/>
    <w:basedOn w:val="mechtex"/>
    <w:rsid w:val="00060470"/>
    <w:pPr>
      <w:spacing w:before="0" w:line="240" w:lineRule="auto"/>
      <w:ind w:firstLine="0"/>
      <w:contextualSpacing w:val="0"/>
    </w:pPr>
    <w:rPr>
      <w:rFonts w:ascii="Times New Roman" w:hAnsi="Times New Roman"/>
      <w:szCs w:val="24"/>
      <w:lang w:eastAsia="en-US"/>
    </w:rPr>
  </w:style>
  <w:style w:type="paragraph" w:customStyle="1" w:styleId="1CharChar">
    <w:name w:val="Знак Знак1 Char Char Знак Знак"/>
    <w:basedOn w:val="Normal"/>
    <w:rsid w:val="00060470"/>
    <w:pPr>
      <w:tabs>
        <w:tab w:val="num" w:pos="840"/>
      </w:tabs>
      <w:spacing w:before="0" w:after="160" w:line="240" w:lineRule="exact"/>
      <w:ind w:left="840" w:hanging="360"/>
      <w:contextualSpacing w:val="0"/>
    </w:pPr>
    <w:rPr>
      <w:rFonts w:ascii="Verdana" w:hAnsi="Verdana"/>
      <w:sz w:val="20"/>
      <w:szCs w:val="20"/>
      <w:lang w:eastAsia="en-US"/>
    </w:rPr>
  </w:style>
  <w:style w:type="paragraph" w:customStyle="1" w:styleId="CharCharCharChar0">
    <w:name w:val="Знак Знак Char Char Знак Знак Char Char Знак Знак"/>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18">
    <w:name w:val="Обычный1"/>
    <w:rsid w:val="00060470"/>
    <w:pPr>
      <w:autoSpaceDE w:val="0"/>
      <w:autoSpaceDN w:val="0"/>
    </w:pPr>
    <w:rPr>
      <w:lang w:val="ru-RU" w:eastAsia="ru-RU"/>
    </w:rPr>
  </w:style>
  <w:style w:type="paragraph" w:customStyle="1" w:styleId="Char3">
    <w:name w:val="Знак Знак Знак Знак Знак Знак Знак Знак Знак Знак Знак Знак Знак Знак Знак Знак Знак Знак Char Знак Знак"/>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TitlePageHeader">
    <w:name w:val="TitlePage_Header"/>
    <w:basedOn w:val="Normal"/>
    <w:rsid w:val="00060470"/>
    <w:pPr>
      <w:spacing w:before="240" w:after="240" w:line="288" w:lineRule="auto"/>
      <w:ind w:left="3240" w:firstLine="0"/>
      <w:contextualSpacing w:val="0"/>
      <w:jc w:val="left"/>
    </w:pPr>
    <w:rPr>
      <w:rFonts w:ascii="Verdana" w:hAnsi="Verdana"/>
      <w:b w:val="0"/>
      <w:sz w:val="32"/>
      <w:szCs w:val="20"/>
      <w:lang w:val="en-US" w:eastAsia="fr-FR"/>
    </w:rPr>
  </w:style>
  <w:style w:type="character" w:customStyle="1" w:styleId="t101">
    <w:name w:val="t101"/>
    <w:rsid w:val="00060470"/>
    <w:rPr>
      <w:b/>
      <w:bCs/>
      <w:color w:val="0000FF"/>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40">
    <w:name w:val="Style 4"/>
    <w:basedOn w:val="Normal"/>
    <w:rsid w:val="00060470"/>
    <w:pPr>
      <w:tabs>
        <w:tab w:val="num" w:pos="1531"/>
      </w:tabs>
      <w:spacing w:before="0" w:after="240" w:line="240" w:lineRule="atLeast"/>
      <w:ind w:left="1531" w:hanging="1531"/>
      <w:contextualSpacing w:val="0"/>
      <w:jc w:val="left"/>
    </w:pPr>
    <w:rPr>
      <w:rFonts w:ascii="Garamond" w:hAnsi="Garamond"/>
      <w:szCs w:val="20"/>
      <w:lang w:val="en-US" w:eastAsia="en-US"/>
    </w:rPr>
  </w:style>
  <w:style w:type="paragraph" w:customStyle="1" w:styleId="NormalWeb1">
    <w:name w:val="Normal (Web)1"/>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CharCharChar1Char">
    <w:name w:val="Char Char Char1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1CharCharChar1Char">
    <w:name w:val="Char Char1 Char Char Char1 Char"/>
    <w:basedOn w:val="Normal"/>
    <w:autoRedefine/>
    <w:rsid w:val="00060470"/>
    <w:pPr>
      <w:spacing w:before="0" w:line="240" w:lineRule="auto"/>
      <w:ind w:firstLine="0"/>
      <w:contextualSpacing w:val="0"/>
      <w:jc w:val="left"/>
    </w:pPr>
    <w:rPr>
      <w:rFonts w:ascii="Times New Roman" w:eastAsia="SimSun" w:hAnsi="Times New Roman"/>
      <w:sz w:val="20"/>
      <w:szCs w:val="20"/>
      <w:lang w:val="en-US"/>
    </w:rPr>
  </w:style>
  <w:style w:type="paragraph" w:customStyle="1" w:styleId="4">
    <w:name w:val="Знак Знак4"/>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paragraph" w:customStyle="1" w:styleId="Char4">
    <w:name w:val="Знак Char Знак"/>
    <w:basedOn w:val="Normal"/>
    <w:rsid w:val="00060470"/>
    <w:pPr>
      <w:spacing w:before="0" w:after="160" w:line="240" w:lineRule="exact"/>
      <w:ind w:firstLine="0"/>
      <w:contextualSpacing w:val="0"/>
      <w:jc w:val="left"/>
    </w:pPr>
    <w:rPr>
      <w:rFonts w:ascii="Arial" w:eastAsia="Batang" w:hAnsi="Arial" w:cs="Arial"/>
      <w:sz w:val="20"/>
      <w:szCs w:val="20"/>
      <w:lang w:val="en-US" w:eastAsia="en-US"/>
    </w:rPr>
  </w:style>
  <w:style w:type="paragraph" w:customStyle="1" w:styleId="CharCharCharCharCharChar">
    <w:name w:val="Знак Знак Char Char Знак Знак Char Char Знак Знак Char Char"/>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hodvats">
    <w:name w:val="hodvats"/>
    <w:basedOn w:val="Normal"/>
    <w:rsid w:val="00060470"/>
    <w:pPr>
      <w:tabs>
        <w:tab w:val="left" w:pos="993"/>
        <w:tab w:val="left" w:pos="1985"/>
      </w:tabs>
      <w:spacing w:before="113" w:after="57" w:line="220" w:lineRule="exact"/>
      <w:contextualSpacing w:val="0"/>
    </w:pPr>
    <w:rPr>
      <w:rFonts w:ascii="Dallak Helv" w:hAnsi="Dallak Helv"/>
      <w:b w:val="0"/>
      <w:noProof/>
      <w:sz w:val="18"/>
      <w:szCs w:val="20"/>
      <w:lang w:val="en-US" w:eastAsia="en-US"/>
    </w:rPr>
  </w:style>
  <w:style w:type="paragraph" w:customStyle="1" w:styleId="CharCharCharCharChar0">
    <w:name w:val="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Heading4CentredArialUnicode105pt">
    <w:name w:val="Style Heading 4Centred + Arial Unicode 10.5 pt"/>
    <w:basedOn w:val="Heading4"/>
    <w:link w:val="StyleHeading4CentredArialUnicode105ptChar"/>
    <w:autoRedefine/>
    <w:rsid w:val="00060470"/>
    <w:pPr>
      <w:spacing w:before="120"/>
      <w:ind w:left="0"/>
      <w:contextualSpacing w:val="0"/>
    </w:pPr>
    <w:rPr>
      <w:rFonts w:ascii="Arial Unicode" w:hAnsi="Arial Unicode"/>
      <w:bCs/>
      <w:szCs w:val="22"/>
      <w:lang w:val="af-ZA"/>
    </w:rPr>
  </w:style>
  <w:style w:type="character" w:customStyle="1" w:styleId="StyleHeading4CentredArialUnicode105ptChar">
    <w:name w:val="Style Heading 4Centred + Arial Unicode 10.5 pt Char"/>
    <w:link w:val="StyleHeading4CentredArialUnicode105pt"/>
    <w:rsid w:val="00060470"/>
    <w:rPr>
      <w:rFonts w:ascii="Arial Unicode" w:hAnsi="Arial Unicode"/>
      <w:b/>
      <w:bCs/>
      <w:sz w:val="22"/>
      <w:szCs w:val="22"/>
      <w:lang w:val="af-ZA"/>
    </w:rPr>
  </w:style>
  <w:style w:type="paragraph" w:customStyle="1" w:styleId="StyleStyleHeading3Sub-ChapterCenteredtextHeading3CharChar">
    <w:name w:val="Style Style Heading 3(Sub-Chapter)Centered(text)Heading 3 Char Char..."/>
    <w:basedOn w:val="StyleHeading3Sub-ChapterCenteredtextHeading3CharCharC"/>
    <w:autoRedefine/>
    <w:rsid w:val="00060470"/>
    <w:pPr>
      <w:tabs>
        <w:tab w:val="clear" w:pos="624"/>
        <w:tab w:val="left" w:pos="360"/>
      </w:tabs>
      <w:spacing w:before="240" w:after="240"/>
      <w:ind w:right="0"/>
    </w:pPr>
    <w:rPr>
      <w:caps/>
    </w:rPr>
  </w:style>
  <w:style w:type="paragraph" w:customStyle="1" w:styleId="StyleStyleHeading2ChapterParanumTextSylfaen1ArialUni">
    <w:name w:val="Style Style Heading 2.(Chapter).Paranum.Text + Sylfaen1 + Arial Uni..."/>
    <w:basedOn w:val="StyleHeading2ChapterParanumTextSylfaen1"/>
    <w:link w:val="StyleStyleHeading2ChapterParanumTextSylfaen1ArialUniChar"/>
    <w:autoRedefine/>
    <w:rsid w:val="00060470"/>
    <w:pPr>
      <w:spacing w:before="120"/>
    </w:pPr>
    <w:rPr>
      <w:bCs/>
      <w:sz w:val="24"/>
      <w:szCs w:val="24"/>
      <w:lang w:val="af-ZA"/>
    </w:rPr>
  </w:style>
  <w:style w:type="character" w:customStyle="1" w:styleId="StyleStyleHeading2ChapterParanumTextSylfaen1ArialUniChar">
    <w:name w:val="Style Style Heading 2.(Chapter).Paranum.Text + Sylfaen1 + Arial Uni... Char"/>
    <w:link w:val="StyleStyleHeading2ChapterParanumTextSylfaen1ArialUni"/>
    <w:rsid w:val="00060470"/>
    <w:rPr>
      <w:rFonts w:ascii="GHEA Grapalat" w:hAnsi="GHEA Grapalat"/>
      <w:b/>
      <w:bCs/>
      <w:spacing w:val="24"/>
      <w:kern w:val="28"/>
      <w:sz w:val="24"/>
      <w:szCs w:val="24"/>
      <w:lang w:val="af-ZA"/>
    </w:rPr>
  </w:style>
  <w:style w:type="paragraph" w:customStyle="1" w:styleId="StyleBodyTextMainTextdateBodyTextMaintextGHEAGrapa">
    <w:name w:val="Style Body Text(Main Text)dateBody Text (Main text) + GHEA Grapa..."/>
    <w:basedOn w:val="BodyText"/>
    <w:autoRedefine/>
    <w:rsid w:val="00060470"/>
    <w:pPr>
      <w:spacing w:before="0" w:after="120"/>
      <w:ind w:firstLine="0"/>
      <w:contextualSpacing w:val="0"/>
      <w:jc w:val="both"/>
    </w:pPr>
    <w:rPr>
      <w:rFonts w:ascii="GHEA Grapalat" w:hAnsi="GHEA Grapalat"/>
      <w:sz w:val="22"/>
      <w:szCs w:val="22"/>
    </w:rPr>
  </w:style>
  <w:style w:type="paragraph" w:customStyle="1" w:styleId="StyleStyleHeading2ChapterParanumTextSylfaen1ArialUni1">
    <w:name w:val="Style Style Heading 2.(Chapter).Paranum.Text + Sylfaen1 + Arial Uni...1"/>
    <w:basedOn w:val="StyleHeading2ChapterParanumTextSylfaen1"/>
    <w:autoRedefine/>
    <w:rsid w:val="00060470"/>
    <w:rPr>
      <w:bCs/>
      <w:sz w:val="24"/>
    </w:rPr>
  </w:style>
  <w:style w:type="paragraph" w:customStyle="1" w:styleId="StyleStyleHeading1SectionSectionHeadingText11Chapterhead31">
    <w:name w:val="Style Style Heading 1(Section)Section Heading(Text)1 1Chapterhead3....1"/>
    <w:basedOn w:val="StyleHeading1SectionSectionHeadingText11Chapterhead3"/>
    <w:rsid w:val="00060470"/>
    <w:rPr>
      <w:b w:val="0"/>
      <w:bCs w:val="0"/>
      <w:spacing w:val="40"/>
    </w:rPr>
  </w:style>
  <w:style w:type="paragraph" w:customStyle="1" w:styleId="StyleStyleHeading2ChapterParanumTextSylfaen1GHEAGrap">
    <w:name w:val="Style Style Heading 2.(Chapter).Paranum.Text + Sylfaen1 + GHEA Grap..."/>
    <w:basedOn w:val="StyleHeading2ChapterParanumTextSylfaen1"/>
    <w:link w:val="StyleStyleHeading2ChapterParanumTextSylfaen1GHEAGrapChar"/>
    <w:rsid w:val="00060470"/>
    <w:rPr>
      <w:bCs/>
    </w:rPr>
  </w:style>
  <w:style w:type="character" w:customStyle="1" w:styleId="StyleStyleHeading2ChapterParanumTextSylfaen1GHEAGrapChar">
    <w:name w:val="Style Style Heading 2.(Chapter).Paranum.Text + Sylfaen1 + GHEA Grap... Char"/>
    <w:link w:val="StyleStyleHeading2ChapterParanumTextSylfaen1GHEAGrap"/>
    <w:rsid w:val="00060470"/>
    <w:rPr>
      <w:rFonts w:ascii="GHEA Grapalat" w:hAnsi="GHEA Grapalat"/>
      <w:b/>
      <w:bCs/>
      <w:spacing w:val="24"/>
      <w:kern w:val="28"/>
      <w:sz w:val="22"/>
      <w:szCs w:val="22"/>
      <w:lang w:val="pt-BR"/>
    </w:rPr>
  </w:style>
  <w:style w:type="character" w:customStyle="1" w:styleId="CharChar181">
    <w:name w:val="Char Char181"/>
    <w:rsid w:val="00060470"/>
    <w:rPr>
      <w:rFonts w:ascii="Arial Armenian" w:eastAsia="Times New Roman" w:hAnsi="Arial Armenian"/>
      <w:i/>
      <w:sz w:val="22"/>
      <w:u w:val="single"/>
      <w:lang w:val="en-GB"/>
    </w:rPr>
  </w:style>
  <w:style w:type="character" w:customStyle="1" w:styleId="FontStyle29">
    <w:name w:val="Font Style29"/>
    <w:rsid w:val="00060470"/>
    <w:rPr>
      <w:rFonts w:ascii="Tahoma" w:hAnsi="Tahoma" w:cs="Tahoma"/>
      <w:color w:val="000000"/>
      <w:sz w:val="16"/>
      <w:szCs w:val="16"/>
    </w:rPr>
  </w:style>
  <w:style w:type="character" w:customStyle="1" w:styleId="CharChar191">
    <w:name w:val="Char Char191"/>
    <w:rsid w:val="00060470"/>
    <w:rPr>
      <w:b/>
      <w:sz w:val="32"/>
      <w:lang w:val="en-GB" w:eastAsia="en-US" w:bidi="ar-SA"/>
    </w:rPr>
  </w:style>
  <w:style w:type="paragraph" w:customStyle="1" w:styleId="rmcptlkhmsonormal">
    <w:name w:val="rmcptlkh msonormal"/>
    <w:basedOn w:val="Normal"/>
    <w:rsid w:val="00060470"/>
    <w:pPr>
      <w:spacing w:before="100" w:beforeAutospacing="1" w:after="100" w:afterAutospacing="1" w:line="240" w:lineRule="auto"/>
      <w:ind w:firstLine="0"/>
      <w:contextualSpacing w:val="0"/>
      <w:jc w:val="left"/>
    </w:pPr>
    <w:rPr>
      <w:rFonts w:ascii="Times New Roman" w:eastAsia="Batang" w:hAnsi="Times New Roman"/>
      <w:sz w:val="24"/>
      <w:lang w:eastAsia="ko-KR"/>
    </w:rPr>
  </w:style>
  <w:style w:type="character" w:customStyle="1" w:styleId="CharChar211">
    <w:name w:val="Char Char211"/>
    <w:rsid w:val="00060470"/>
    <w:rPr>
      <w:rFonts w:ascii="Arial Armenian" w:hAnsi="Arial Armenian"/>
      <w:i/>
      <w:sz w:val="22"/>
      <w:u w:val="single"/>
      <w:lang w:val="en-GB" w:eastAsia="en-US" w:bidi="ar-SA"/>
    </w:rPr>
  </w:style>
  <w:style w:type="character" w:customStyle="1" w:styleId="CharChar201">
    <w:name w:val="Char Char201"/>
    <w:rsid w:val="00060470"/>
    <w:rPr>
      <w:rFonts w:ascii="Garamond" w:hAnsi="Garamond"/>
      <w:i/>
      <w:spacing w:val="-5"/>
      <w:sz w:val="28"/>
      <w:lang w:val="en-GB" w:eastAsia="en-US" w:bidi="ar-SA"/>
    </w:rPr>
  </w:style>
  <w:style w:type="paragraph" w:customStyle="1" w:styleId="CM33">
    <w:name w:val="CM33"/>
    <w:basedOn w:val="Normal"/>
    <w:next w:val="Normal"/>
    <w:rsid w:val="00060470"/>
    <w:pPr>
      <w:widowControl w:val="0"/>
      <w:autoSpaceDE w:val="0"/>
      <w:autoSpaceDN w:val="0"/>
      <w:adjustRightInd w:val="0"/>
      <w:spacing w:before="0" w:after="343" w:line="240" w:lineRule="auto"/>
      <w:ind w:firstLine="0"/>
      <w:contextualSpacing w:val="0"/>
      <w:jc w:val="left"/>
    </w:pPr>
    <w:rPr>
      <w:rFonts w:ascii="Arial Armenian" w:hAnsi="Arial Armenian" w:cs="Arial Armenian"/>
      <w:sz w:val="24"/>
      <w:lang w:val="en-US" w:eastAsia="en-US"/>
    </w:rPr>
  </w:style>
  <w:style w:type="paragraph" w:customStyle="1" w:styleId="listparagraphcxspmiddle">
    <w:name w:val="listparagraphcxspmiddl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listparagraphcxsplast">
    <w:name w:val="listparagraphcxsplast"/>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CharCharCharCharChar3">
    <w:name w:val="Знак Char Char Знак Char Char Char"/>
    <w:aliases w:val=" Знак Char Char Знак Char Char1 Знак,Знак Char Char Знак Char Char1 Знак, Знак Char Char Знак Char Char Char,Знак Char Char Знак Char Char Char1"/>
    <w:basedOn w:val="Normal"/>
    <w:next w:val="Normal"/>
    <w:semiHidden/>
    <w:rsid w:val="00060470"/>
    <w:pPr>
      <w:spacing w:before="0" w:after="160" w:line="240" w:lineRule="exact"/>
      <w:ind w:firstLine="0"/>
      <w:contextualSpacing w:val="0"/>
    </w:pPr>
    <w:rPr>
      <w:rFonts w:ascii="Arial" w:hAnsi="Arial" w:cs="Arial"/>
      <w:b w:val="0"/>
      <w:sz w:val="20"/>
      <w:szCs w:val="20"/>
      <w:lang w:val="en-GB" w:eastAsia="en-US"/>
    </w:rPr>
  </w:style>
  <w:style w:type="character" w:customStyle="1" w:styleId="BodyTextFirstIndentChar1">
    <w:name w:val="Body Text First Indent Char1"/>
    <w:rsid w:val="00060470"/>
    <w:rPr>
      <w:rFonts w:ascii="Times Armenian" w:hAnsi="Times Armenian"/>
      <w:sz w:val="24"/>
      <w:szCs w:val="24"/>
      <w:lang w:val="ru-RU" w:eastAsia="ru-RU" w:bidi="ar-SA"/>
    </w:rPr>
  </w:style>
  <w:style w:type="character" w:customStyle="1" w:styleId="CommentSubjectChar1">
    <w:name w:val="Comment Subject Char1"/>
    <w:rsid w:val="00060470"/>
    <w:rPr>
      <w:rFonts w:ascii="Courier New" w:hAnsi="Courier New"/>
      <w:b/>
      <w:bCs/>
      <w:lang w:val="en-US" w:eastAsia="en-US" w:bidi="ar-SA"/>
    </w:rPr>
  </w:style>
  <w:style w:type="paragraph" w:customStyle="1" w:styleId="CharCharChar1CharCharCharCharCharCharCharCharCharCharCharCharCharCharChar">
    <w:name w:val="Char Char Char1 Char Char Char Char Char Char Char Char Char Char Char Char Char Char Char"/>
    <w:basedOn w:val="Normal"/>
    <w:rsid w:val="00060470"/>
    <w:pPr>
      <w:spacing w:before="0" w:after="160" w:line="240" w:lineRule="exact"/>
      <w:ind w:firstLine="0"/>
      <w:contextualSpacing w:val="0"/>
      <w:jc w:val="left"/>
    </w:pPr>
    <w:rPr>
      <w:rFonts w:ascii="Verdana" w:eastAsia="MS Mincho" w:hAnsi="Verdana"/>
      <w:sz w:val="20"/>
      <w:szCs w:val="20"/>
      <w:lang w:val="en-GB" w:eastAsia="en-US"/>
    </w:rPr>
  </w:style>
  <w:style w:type="character" w:customStyle="1" w:styleId="textexposedshow">
    <w:name w:val="text_exposed_show"/>
    <w:rsid w:val="00060470"/>
    <w:rPr>
      <w:rFonts w:cs="Times New Roman"/>
    </w:rPr>
  </w:style>
  <w:style w:type="paragraph" w:customStyle="1" w:styleId="formtext">
    <w:name w:val="formtext"/>
    <w:basedOn w:val="Normal"/>
    <w:rsid w:val="00060470"/>
    <w:pPr>
      <w:spacing w:after="120" w:line="240" w:lineRule="exact"/>
      <w:ind w:firstLine="0"/>
      <w:contextualSpacing w:val="0"/>
      <w:jc w:val="left"/>
    </w:pPr>
    <w:rPr>
      <w:rFonts w:ascii="Arial" w:eastAsia="SimSun" w:hAnsi="Arial"/>
      <w:szCs w:val="22"/>
      <w:lang w:val="en-US" w:eastAsia="fr-FR"/>
    </w:rPr>
  </w:style>
  <w:style w:type="paragraph" w:customStyle="1" w:styleId="italic">
    <w:name w:val="italic"/>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paragraph" w:customStyle="1" w:styleId="ecxmsonormal">
    <w:name w:val="ecxmsonormal"/>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paragraph" w:customStyle="1" w:styleId="CharCharChar3">
    <w:name w:val="Char Char Char Знак Знак Знак Знак Знак"/>
    <w:basedOn w:val="Normal"/>
    <w:rsid w:val="00060470"/>
    <w:pPr>
      <w:spacing w:before="0" w:after="160" w:line="240" w:lineRule="exact"/>
      <w:ind w:firstLine="0"/>
      <w:contextualSpacing w:val="0"/>
      <w:jc w:val="left"/>
    </w:pPr>
    <w:rPr>
      <w:rFonts w:ascii="Arial" w:hAnsi="Arial" w:cs="Arial"/>
      <w:color w:val="000000"/>
      <w:sz w:val="20"/>
      <w:szCs w:val="20"/>
      <w:lang w:val="en-GB" w:eastAsia="en-US"/>
    </w:rPr>
  </w:style>
  <w:style w:type="character" w:customStyle="1" w:styleId="title1">
    <w:name w:val="title1"/>
    <w:rsid w:val="00060470"/>
    <w:rPr>
      <w:rFonts w:ascii="Verdana" w:hAnsi="Verdana"/>
      <w:b/>
      <w:color w:val="000000"/>
      <w:sz w:val="12"/>
      <w:u w:val="none"/>
      <w:effect w:val="none"/>
    </w:rPr>
  </w:style>
  <w:style w:type="character" w:customStyle="1" w:styleId="st">
    <w:name w:val="st"/>
    <w:rsid w:val="00060470"/>
    <w:rPr>
      <w:rFonts w:cs="Times New Roman"/>
    </w:rPr>
  </w:style>
  <w:style w:type="paragraph" w:customStyle="1" w:styleId="bodytext0">
    <w:name w:val="bodytext"/>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character" w:customStyle="1" w:styleId="CharChar2">
    <w:name w:val="Char Char2"/>
    <w:rsid w:val="00060470"/>
    <w:rPr>
      <w:rFonts w:ascii="Calibri" w:hAnsi="Calibri" w:cs="Calibri"/>
      <w:sz w:val="22"/>
      <w:szCs w:val="22"/>
      <w:lang w:val="en-US" w:eastAsia="en-US"/>
    </w:rPr>
  </w:style>
  <w:style w:type="paragraph" w:customStyle="1" w:styleId="num02">
    <w:name w:val="Énum02"/>
    <w:basedOn w:val="Normal"/>
    <w:rsid w:val="00060470"/>
    <w:pPr>
      <w:numPr>
        <w:numId w:val="8"/>
      </w:numPr>
      <w:spacing w:before="0" w:after="120" w:line="260" w:lineRule="exact"/>
      <w:contextualSpacing w:val="0"/>
    </w:pPr>
    <w:rPr>
      <w:rFonts w:ascii="Arial" w:hAnsi="Arial" w:cs="Arial"/>
      <w:szCs w:val="22"/>
      <w:lang w:val="en-US" w:eastAsia="fr-FR"/>
    </w:rPr>
  </w:style>
  <w:style w:type="character" w:customStyle="1" w:styleId="arg">
    <w:name w:val="arg"/>
    <w:rsid w:val="00060470"/>
    <w:rPr>
      <w:rFonts w:cs="Times New Roman"/>
    </w:rPr>
  </w:style>
  <w:style w:type="character" w:customStyle="1" w:styleId="fulltext">
    <w:name w:val="fulltext"/>
    <w:rsid w:val="00060470"/>
    <w:rPr>
      <w:rFonts w:cs="Times New Roman"/>
    </w:rPr>
  </w:style>
  <w:style w:type="paragraph" w:customStyle="1" w:styleId="innewsdate">
    <w:name w:val="in_news_dat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gr">
    <w:name w:val="gr"/>
    <w:rsid w:val="00060470"/>
    <w:rPr>
      <w:rFonts w:cs="Times New Roman"/>
    </w:rPr>
  </w:style>
  <w:style w:type="character" w:customStyle="1" w:styleId="opennewstext">
    <w:name w:val="opennewstext"/>
    <w:rsid w:val="00060470"/>
    <w:rPr>
      <w:rFonts w:cs="Times New Roman"/>
    </w:rPr>
  </w:style>
  <w:style w:type="character" w:customStyle="1" w:styleId="fulltext0">
    <w:name w:val="full_text"/>
    <w:rsid w:val="00060470"/>
    <w:rPr>
      <w:rFonts w:cs="Times New Roman"/>
    </w:rPr>
  </w:style>
  <w:style w:type="character" w:customStyle="1" w:styleId="wrc116">
    <w:name w:val="wrc116"/>
    <w:rsid w:val="00060470"/>
    <w:rPr>
      <w:rFonts w:cs="Times New Roman"/>
      <w:vanish/>
    </w:rPr>
  </w:style>
  <w:style w:type="character" w:customStyle="1" w:styleId="editsection">
    <w:name w:val="editsection"/>
    <w:rsid w:val="00060470"/>
    <w:rPr>
      <w:rFonts w:cs="Times New Roman"/>
    </w:rPr>
  </w:style>
  <w:style w:type="character" w:customStyle="1" w:styleId="mw-headline">
    <w:name w:val="mw-headline"/>
    <w:rsid w:val="00060470"/>
    <w:rPr>
      <w:rFonts w:cs="Times New Roman"/>
    </w:rPr>
  </w:style>
  <w:style w:type="paragraph" w:styleId="ListNumber">
    <w:name w:val="List Number"/>
    <w:basedOn w:val="Normal"/>
    <w:rsid w:val="00060470"/>
    <w:pPr>
      <w:numPr>
        <w:numId w:val="9"/>
      </w:numPr>
      <w:spacing w:before="0" w:line="240" w:lineRule="auto"/>
      <w:contextualSpacing w:val="0"/>
      <w:jc w:val="left"/>
    </w:pPr>
    <w:rPr>
      <w:rFonts w:ascii="Times New Roman" w:hAnsi="Times New Roman"/>
      <w:sz w:val="24"/>
      <w:lang w:val="en-US" w:eastAsia="en-US"/>
    </w:rPr>
  </w:style>
  <w:style w:type="character" w:customStyle="1" w:styleId="il">
    <w:name w:val="il"/>
    <w:rsid w:val="00060470"/>
  </w:style>
  <w:style w:type="paragraph" w:customStyle="1" w:styleId="Listenabsatz">
    <w:name w:val="Listenabsatz"/>
    <w:basedOn w:val="Normal"/>
    <w:rsid w:val="00060470"/>
    <w:pPr>
      <w:spacing w:before="0" w:line="240" w:lineRule="auto"/>
      <w:ind w:left="720" w:firstLine="0"/>
      <w:jc w:val="left"/>
    </w:pPr>
    <w:rPr>
      <w:rFonts w:ascii="Cambria" w:hAnsi="Cambria"/>
      <w:sz w:val="24"/>
      <w:lang w:val="de-DE" w:eastAsia="en-US"/>
    </w:rPr>
  </w:style>
  <w:style w:type="paragraph" w:customStyle="1" w:styleId="Style5">
    <w:name w:val="Style5"/>
    <w:basedOn w:val="TOC3"/>
    <w:autoRedefine/>
    <w:rsid w:val="00060470"/>
    <w:pPr>
      <w:tabs>
        <w:tab w:val="right" w:leader="dot" w:pos="10200"/>
      </w:tabs>
      <w:spacing w:before="0" w:line="240" w:lineRule="auto"/>
      <w:ind w:left="142"/>
      <w:contextualSpacing w:val="0"/>
    </w:pPr>
    <w:rPr>
      <w:rFonts w:cs="Sylfaen"/>
      <w:b w:val="0"/>
      <w:noProof/>
      <w:sz w:val="20"/>
      <w:lang w:val="en-US" w:eastAsia="en-US"/>
    </w:rPr>
  </w:style>
  <w:style w:type="paragraph" w:customStyle="1" w:styleId="Style7">
    <w:name w:val="Style7"/>
    <w:basedOn w:val="TOC3"/>
    <w:autoRedefine/>
    <w:rsid w:val="00060470"/>
    <w:pPr>
      <w:tabs>
        <w:tab w:val="right" w:leader="dot" w:pos="10200"/>
      </w:tabs>
      <w:spacing w:before="0" w:line="240" w:lineRule="auto"/>
      <w:ind w:left="142"/>
      <w:contextualSpacing w:val="0"/>
    </w:pPr>
    <w:rPr>
      <w:rFonts w:cs="Sylfaen"/>
      <w:b w:val="0"/>
      <w:noProof/>
      <w:sz w:val="20"/>
      <w:lang w:val="en-US" w:eastAsia="en-US"/>
    </w:rPr>
  </w:style>
  <w:style w:type="paragraph" w:customStyle="1" w:styleId="Style8">
    <w:name w:val="Style8"/>
    <w:basedOn w:val="TOC1"/>
    <w:autoRedefine/>
    <w:rsid w:val="00060470"/>
    <w:pPr>
      <w:tabs>
        <w:tab w:val="right" w:leader="dot" w:pos="10200"/>
      </w:tabs>
      <w:spacing w:before="240" w:after="120" w:line="240" w:lineRule="auto"/>
      <w:contextualSpacing w:val="0"/>
      <w:jc w:val="left"/>
    </w:pPr>
    <w:rPr>
      <w:b w:val="0"/>
      <w:i/>
      <w:noProof/>
      <w:sz w:val="24"/>
      <w:lang w:val="en-US" w:eastAsia="en-US"/>
    </w:rPr>
  </w:style>
  <w:style w:type="paragraph" w:customStyle="1" w:styleId="Style9">
    <w:name w:val="Style9"/>
    <w:basedOn w:val="TOC1"/>
    <w:autoRedefine/>
    <w:rsid w:val="00060470"/>
    <w:pPr>
      <w:tabs>
        <w:tab w:val="right" w:leader="dot" w:pos="10200"/>
      </w:tabs>
      <w:spacing w:before="240" w:after="120" w:line="240" w:lineRule="auto"/>
      <w:contextualSpacing w:val="0"/>
      <w:jc w:val="left"/>
    </w:pPr>
    <w:rPr>
      <w:b w:val="0"/>
      <w:noProof/>
      <w:sz w:val="24"/>
      <w:lang w:val="en-US" w:eastAsia="en-US"/>
    </w:rPr>
  </w:style>
  <w:style w:type="character" w:customStyle="1" w:styleId="CharChar5">
    <w:name w:val="Char Char5"/>
    <w:rsid w:val="00060470"/>
    <w:rPr>
      <w:rFonts w:ascii="Arial Armenian" w:hAnsi="Arial Armenian" w:cs="Sylfaen"/>
      <w:sz w:val="24"/>
      <w:szCs w:val="24"/>
      <w:lang w:val="ru-RU" w:eastAsia="ru-RU"/>
    </w:rPr>
  </w:style>
  <w:style w:type="character" w:customStyle="1" w:styleId="CharChar171">
    <w:name w:val="Char Char171"/>
    <w:rsid w:val="00060470"/>
    <w:rPr>
      <w:rFonts w:ascii="Arial Armenian" w:hAnsi="Arial Armenian"/>
      <w:i/>
      <w:sz w:val="22"/>
      <w:u w:val="single"/>
      <w:lang w:val="en-GB" w:eastAsia="en-US" w:bidi="ar-SA"/>
    </w:rPr>
  </w:style>
  <w:style w:type="paragraph" w:customStyle="1" w:styleId="text0">
    <w:name w:val="text"/>
    <w:basedOn w:val="Normal"/>
    <w:link w:val="textChar0"/>
    <w:rsid w:val="00060470"/>
    <w:pPr>
      <w:spacing w:before="0" w:line="240" w:lineRule="auto"/>
      <w:ind w:firstLine="454"/>
      <w:contextualSpacing w:val="0"/>
    </w:pPr>
    <w:rPr>
      <w:rFonts w:ascii="GHEA Mariam" w:hAnsi="GHEA Mariam"/>
      <w:sz w:val="20"/>
      <w:szCs w:val="20"/>
      <w:lang w:val="en-GB"/>
    </w:rPr>
  </w:style>
  <w:style w:type="character" w:customStyle="1" w:styleId="textChar0">
    <w:name w:val="text Char"/>
    <w:link w:val="text0"/>
    <w:rsid w:val="00060470"/>
    <w:rPr>
      <w:rFonts w:ascii="GHEA Mariam" w:hAnsi="GHEA Mariam"/>
      <w:lang w:val="en-GB" w:eastAsia="ru-RU"/>
    </w:rPr>
  </w:style>
  <w:style w:type="paragraph" w:customStyle="1" w:styleId="Char40">
    <w:name w:val="Char4"/>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p2">
    <w:name w:val="p2"/>
    <w:basedOn w:val="Normal"/>
    <w:rsid w:val="00060470"/>
    <w:pPr>
      <w:spacing w:before="100" w:beforeAutospacing="1" w:after="100" w:afterAutospacing="1" w:line="240" w:lineRule="auto"/>
      <w:ind w:firstLine="0"/>
      <w:contextualSpacing w:val="0"/>
      <w:jc w:val="left"/>
    </w:pPr>
    <w:rPr>
      <w:rFonts w:ascii="Times New Roman" w:eastAsia="Calibri" w:hAnsi="Times New Roman"/>
      <w:sz w:val="24"/>
      <w:lang w:val="en-US" w:eastAsia="en-US"/>
    </w:rPr>
  </w:style>
  <w:style w:type="paragraph" w:customStyle="1" w:styleId="Char30">
    <w:name w:val="Char3"/>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character" w:customStyle="1" w:styleId="32ptExact">
    <w:name w:val="Основной текст (3) + Интервал 2 pt Exact"/>
    <w:rsid w:val="00060470"/>
    <w:rPr>
      <w:rFonts w:ascii="Sylfaen" w:hAnsi="Sylfaen" w:cs="Sylfaen"/>
      <w:spacing w:val="40"/>
      <w:sz w:val="20"/>
      <w:szCs w:val="20"/>
      <w:u w:val="none"/>
      <w:lang w:val="ru-RU" w:eastAsia="ru-RU"/>
    </w:rPr>
  </w:style>
  <w:style w:type="paragraph" w:customStyle="1" w:styleId="CharCharCharCharChar4">
    <w:name w:val="Char Char Char Знак Знак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0">
    <w:name w:val="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character" w:customStyle="1" w:styleId="BodyTextIndent3Char1">
    <w:name w:val="Body Text Indent 3 Char1"/>
    <w:uiPriority w:val="99"/>
    <w:locked/>
    <w:rsid w:val="00060470"/>
    <w:rPr>
      <w:rFonts w:ascii="Times New Roman" w:hAnsi="Times New Roman"/>
      <w:sz w:val="16"/>
    </w:rPr>
  </w:style>
  <w:style w:type="character" w:customStyle="1" w:styleId="PlainTextChar1">
    <w:name w:val="Plain Text Char1"/>
    <w:uiPriority w:val="99"/>
    <w:locked/>
    <w:rsid w:val="00060470"/>
    <w:rPr>
      <w:rFonts w:ascii="Courier New" w:hAnsi="Courier New"/>
      <w:sz w:val="20"/>
    </w:rPr>
  </w:style>
  <w:style w:type="character" w:customStyle="1" w:styleId="CommentTextChar1">
    <w:name w:val="Comment Text Char1"/>
    <w:uiPriority w:val="99"/>
    <w:locked/>
    <w:rsid w:val="00060470"/>
    <w:rPr>
      <w:rFonts w:ascii="Times New Roman" w:hAnsi="Times New Roman"/>
      <w:sz w:val="20"/>
      <w:lang w:val="en-GB"/>
    </w:rPr>
  </w:style>
  <w:style w:type="character" w:customStyle="1" w:styleId="SubtitleChar1">
    <w:name w:val="Subtitle Char1"/>
    <w:uiPriority w:val="99"/>
    <w:locked/>
    <w:rsid w:val="00060470"/>
    <w:rPr>
      <w:rFonts w:ascii="Times LatArm" w:hAnsi="Times LatArm"/>
      <w:b/>
      <w:sz w:val="24"/>
    </w:rPr>
  </w:style>
  <w:style w:type="character" w:customStyle="1" w:styleId="BalloonTextChar1">
    <w:name w:val="Balloon Text Char1"/>
    <w:uiPriority w:val="99"/>
    <w:locked/>
    <w:rsid w:val="00060470"/>
    <w:rPr>
      <w:rFonts w:ascii="Tahoma" w:hAnsi="Tahoma"/>
      <w:sz w:val="16"/>
    </w:rPr>
  </w:style>
  <w:style w:type="character" w:customStyle="1" w:styleId="EndnoteTextChar1">
    <w:name w:val="Endnote Text Char1"/>
    <w:uiPriority w:val="99"/>
    <w:semiHidden/>
    <w:locked/>
    <w:rsid w:val="00060470"/>
    <w:rPr>
      <w:rFonts w:ascii="Times New Roman" w:hAnsi="Times New Roman"/>
      <w:sz w:val="20"/>
      <w:lang w:val="en-GB"/>
    </w:rPr>
  </w:style>
  <w:style w:type="character" w:customStyle="1" w:styleId="estilo2">
    <w:name w:val="estilo2"/>
    <w:uiPriority w:val="99"/>
    <w:rsid w:val="00060470"/>
  </w:style>
  <w:style w:type="character" w:customStyle="1" w:styleId="CharChar3">
    <w:name w:val="Char Char3"/>
    <w:uiPriority w:val="99"/>
    <w:locked/>
    <w:rsid w:val="00060470"/>
    <w:rPr>
      <w:rFonts w:cs="Times New Roman"/>
      <w:sz w:val="22"/>
      <w:lang w:val="en-GB" w:eastAsia="en-US" w:bidi="ar-SA"/>
    </w:rPr>
  </w:style>
  <w:style w:type="character" w:customStyle="1" w:styleId="CharChar51">
    <w:name w:val="Char Char51"/>
    <w:uiPriority w:val="99"/>
    <w:locked/>
    <w:rsid w:val="00060470"/>
    <w:rPr>
      <w:sz w:val="22"/>
      <w:lang w:val="en-GB" w:eastAsia="en-US"/>
    </w:rPr>
  </w:style>
  <w:style w:type="paragraph" w:customStyle="1" w:styleId="Numberedtext">
    <w:name w:val="Numbered text"/>
    <w:basedOn w:val="BodyText"/>
    <w:uiPriority w:val="99"/>
    <w:rsid w:val="00060470"/>
    <w:pPr>
      <w:numPr>
        <w:numId w:val="10"/>
      </w:numPr>
      <w:tabs>
        <w:tab w:val="clear" w:pos="1004"/>
        <w:tab w:val="num" w:pos="360"/>
      </w:tabs>
      <w:spacing w:before="0" w:after="120" w:line="240" w:lineRule="auto"/>
      <w:ind w:left="0" w:firstLine="0"/>
      <w:contextualSpacing w:val="0"/>
      <w:jc w:val="both"/>
    </w:pPr>
    <w:rPr>
      <w:rFonts w:ascii="Calibri" w:hAnsi="Calibri" w:cs="Calibri"/>
      <w:sz w:val="24"/>
      <w:szCs w:val="24"/>
      <w:lang w:eastAsia="en-NZ"/>
    </w:rPr>
  </w:style>
  <w:style w:type="character" w:customStyle="1" w:styleId="DocumentMapChar1">
    <w:name w:val="Document Map Char1"/>
    <w:link w:val="DocumentMap1"/>
    <w:uiPriority w:val="99"/>
    <w:locked/>
    <w:rsid w:val="00060470"/>
    <w:rPr>
      <w:rFonts w:ascii="Tahoma" w:eastAsia="Times New Roman" w:hAnsi="Tahoma" w:cs="Times New Roman"/>
      <w:sz w:val="24"/>
      <w:szCs w:val="20"/>
      <w:shd w:val="clear" w:color="auto" w:fill="000080"/>
      <w:lang w:val="en-GB" w:eastAsia="ru-RU"/>
    </w:rPr>
  </w:style>
  <w:style w:type="paragraph" w:styleId="TOCHeading">
    <w:name w:val="TOC Heading"/>
    <w:basedOn w:val="Heading1"/>
    <w:next w:val="Normal"/>
    <w:uiPriority w:val="39"/>
    <w:qFormat/>
    <w:rsid w:val="00060470"/>
    <w:pPr>
      <w:keepLines/>
      <w:spacing w:before="480"/>
      <w:contextualSpacing w:val="0"/>
      <w:outlineLvl w:val="9"/>
    </w:pPr>
    <w:rPr>
      <w:rFonts w:ascii="Cambria" w:hAnsi="Cambria"/>
      <w:bCs/>
      <w:color w:val="365F91"/>
      <w:szCs w:val="28"/>
      <w:lang w:eastAsia="en-US"/>
    </w:rPr>
  </w:style>
  <w:style w:type="character" w:customStyle="1" w:styleId="FontStyle32">
    <w:name w:val="Font Style32"/>
    <w:uiPriority w:val="99"/>
    <w:rsid w:val="00060470"/>
    <w:rPr>
      <w:rFonts w:ascii="Tahoma" w:hAnsi="Tahoma" w:cs="Tahoma"/>
      <w:sz w:val="20"/>
      <w:szCs w:val="20"/>
    </w:rPr>
  </w:style>
  <w:style w:type="paragraph" w:customStyle="1" w:styleId="Text2">
    <w:name w:val="Text 2"/>
    <w:basedOn w:val="Normal"/>
    <w:rsid w:val="00060470"/>
    <w:pPr>
      <w:spacing w:after="120" w:line="240" w:lineRule="auto"/>
      <w:ind w:left="850" w:firstLine="0"/>
      <w:contextualSpacing w:val="0"/>
    </w:pPr>
    <w:rPr>
      <w:rFonts w:ascii="Times New Roman" w:hAnsi="Times New Roman"/>
      <w:sz w:val="24"/>
      <w:lang w:val="en-GB" w:eastAsia="zh-CN"/>
    </w:rPr>
  </w:style>
  <w:style w:type="paragraph" w:customStyle="1" w:styleId="article-type">
    <w:name w:val="article-type"/>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wpn-byline">
    <w:name w:val="wpn-byline"/>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headline10margin-bottom-20">
    <w:name w:val="headline10 margin-bottom-20"/>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character" w:customStyle="1" w:styleId="published">
    <w:name w:val="published"/>
    <w:rsid w:val="00060470"/>
  </w:style>
  <w:style w:type="character" w:customStyle="1" w:styleId="divider">
    <w:name w:val="divider"/>
    <w:rsid w:val="00060470"/>
  </w:style>
  <w:style w:type="character" w:customStyle="1" w:styleId="authorvcard">
    <w:name w:val="author vcard"/>
    <w:rsid w:val="00060470"/>
  </w:style>
  <w:style w:type="character" w:customStyle="1" w:styleId="category">
    <w:name w:val="category"/>
    <w:rsid w:val="00060470"/>
  </w:style>
  <w:style w:type="character" w:customStyle="1" w:styleId="before">
    <w:name w:val="before"/>
    <w:rsid w:val="00060470"/>
  </w:style>
  <w:style w:type="character" w:customStyle="1" w:styleId="aqj">
    <w:name w:val="aqj"/>
    <w:rsid w:val="00060470"/>
  </w:style>
  <w:style w:type="character" w:customStyle="1" w:styleId="gd">
    <w:name w:val="gd"/>
    <w:rsid w:val="00060470"/>
  </w:style>
  <w:style w:type="character" w:customStyle="1" w:styleId="g3">
    <w:name w:val="g3"/>
    <w:rsid w:val="00060470"/>
  </w:style>
  <w:style w:type="character" w:customStyle="1" w:styleId="goa1h">
    <w:name w:val="go a1h"/>
    <w:rsid w:val="00060470"/>
  </w:style>
  <w:style w:type="character" w:customStyle="1" w:styleId="hb">
    <w:name w:val="hb"/>
    <w:rsid w:val="00060470"/>
  </w:style>
  <w:style w:type="character" w:customStyle="1" w:styleId="g2">
    <w:name w:val="g2"/>
    <w:rsid w:val="00060470"/>
  </w:style>
  <w:style w:type="character" w:customStyle="1" w:styleId="sizzle">
    <w:name w:val="sizzle"/>
    <w:rsid w:val="00060470"/>
  </w:style>
  <w:style w:type="paragraph" w:customStyle="1" w:styleId="19">
    <w:name w:val="Абзац списка1"/>
    <w:basedOn w:val="Normal"/>
    <w:uiPriority w:val="99"/>
    <w:qFormat/>
    <w:rsid w:val="00060470"/>
    <w:pPr>
      <w:spacing w:before="0" w:line="240" w:lineRule="auto"/>
      <w:ind w:left="720" w:firstLine="0"/>
      <w:contextualSpacing w:val="0"/>
      <w:jc w:val="left"/>
    </w:pPr>
    <w:rPr>
      <w:rFonts w:ascii="Times New Roman" w:hAnsi="Times New Roman"/>
      <w:sz w:val="24"/>
      <w:lang w:val="en-US" w:eastAsia="en-US"/>
    </w:rPr>
  </w:style>
  <w:style w:type="paragraph" w:customStyle="1" w:styleId="StyleGHEAGrapalatJustifiedAfter6ptLinespacingMultip">
    <w:name w:val="Style GHEA Grapalat Justified After:  6 pt Line spacing:  Multip..."/>
    <w:basedOn w:val="Normal"/>
    <w:rsid w:val="00060470"/>
    <w:pPr>
      <w:numPr>
        <w:numId w:val="11"/>
      </w:numPr>
      <w:spacing w:before="240" w:after="240" w:line="240" w:lineRule="auto"/>
      <w:contextualSpacing w:val="0"/>
    </w:pPr>
    <w:rPr>
      <w:sz w:val="24"/>
      <w:szCs w:val="20"/>
      <w:lang w:val="hy-AM"/>
    </w:rPr>
  </w:style>
  <w:style w:type="paragraph" w:customStyle="1" w:styleId="StyleStyleHeading2ChapterParanumTextSylfaenGHEAGrapa">
    <w:name w:val="Style Style Heading 2.(Chapter).Paranum.Text + Sylfaen + GHEA Grapa..."/>
    <w:basedOn w:val="StyleHeading2ChapterParanumTextSylfaen"/>
    <w:qFormat/>
    <w:rsid w:val="00060470"/>
    <w:rPr>
      <w:rFonts w:ascii="GHEA Grapalat" w:hAnsi="GHEA Grapalat"/>
      <w:sz w:val="22"/>
    </w:rPr>
  </w:style>
  <w:style w:type="paragraph" w:customStyle="1" w:styleId="1a">
    <w:name w:val="Без интервала1"/>
    <w:link w:val="aa"/>
    <w:uiPriority w:val="1"/>
    <w:qFormat/>
    <w:rsid w:val="00060470"/>
    <w:rPr>
      <w:rFonts w:ascii="Calibri" w:hAnsi="Calibri"/>
      <w:sz w:val="22"/>
      <w:szCs w:val="22"/>
    </w:rPr>
  </w:style>
  <w:style w:type="character" w:customStyle="1" w:styleId="aa">
    <w:name w:val="Без интервала Знак"/>
    <w:link w:val="1a"/>
    <w:rsid w:val="00060470"/>
    <w:rPr>
      <w:rFonts w:ascii="Calibri" w:hAnsi="Calibri"/>
      <w:sz w:val="22"/>
      <w:szCs w:val="22"/>
    </w:rPr>
  </w:style>
  <w:style w:type="paragraph" w:customStyle="1" w:styleId="1b">
    <w:name w:val="Обычный1"/>
    <w:rsid w:val="00060470"/>
    <w:pPr>
      <w:autoSpaceDE w:val="0"/>
      <w:autoSpaceDN w:val="0"/>
    </w:pPr>
    <w:rPr>
      <w:lang w:val="ru-RU" w:eastAsia="ru-RU"/>
    </w:rPr>
  </w:style>
  <w:style w:type="paragraph" w:customStyle="1" w:styleId="32">
    <w:name w:val="???????? ????? ? ???????? 3"/>
    <w:basedOn w:val="a1"/>
    <w:uiPriority w:val="99"/>
    <w:rsid w:val="00060470"/>
    <w:pPr>
      <w:ind w:firstLine="360"/>
      <w:jc w:val="both"/>
    </w:pPr>
    <w:rPr>
      <w:rFonts w:ascii="Times Armenian" w:hAnsi="Times Armenian"/>
      <w:sz w:val="24"/>
      <w:lang w:val="af-ZA"/>
    </w:rPr>
  </w:style>
  <w:style w:type="paragraph" w:customStyle="1" w:styleId="6">
    <w:name w:val="????????? 6"/>
    <w:basedOn w:val="a1"/>
    <w:next w:val="a1"/>
    <w:uiPriority w:val="99"/>
    <w:rsid w:val="00060470"/>
    <w:pPr>
      <w:keepNext/>
      <w:jc w:val="center"/>
      <w:outlineLvl w:val="5"/>
    </w:pPr>
    <w:rPr>
      <w:rFonts w:ascii="Times Armenian" w:hAnsi="Times Armenian"/>
      <w:i/>
      <w:lang w:val="en-US"/>
    </w:rPr>
  </w:style>
  <w:style w:type="paragraph" w:customStyle="1" w:styleId="310">
    <w:name w:val="???????? ????? 31"/>
    <w:basedOn w:val="a1"/>
    <w:uiPriority w:val="99"/>
    <w:rsid w:val="00060470"/>
    <w:pPr>
      <w:jc w:val="center"/>
    </w:pPr>
    <w:rPr>
      <w:rFonts w:ascii="Arial Armenian" w:hAnsi="Arial Armenian"/>
      <w:sz w:val="24"/>
      <w:lang w:val="en-AU"/>
    </w:rPr>
  </w:style>
  <w:style w:type="paragraph" w:customStyle="1" w:styleId="25">
    <w:name w:val="????????? 2"/>
    <w:basedOn w:val="a1"/>
    <w:next w:val="a1"/>
    <w:uiPriority w:val="99"/>
    <w:rsid w:val="00060470"/>
    <w:pPr>
      <w:keepNext/>
      <w:ind w:firstLine="720"/>
      <w:outlineLvl w:val="1"/>
    </w:pPr>
    <w:rPr>
      <w:rFonts w:ascii="Times LatArm" w:hAnsi="Times LatArm"/>
      <w:b/>
      <w:i/>
      <w:sz w:val="28"/>
      <w:lang w:val="en-US"/>
    </w:rPr>
  </w:style>
  <w:style w:type="paragraph" w:customStyle="1" w:styleId="40">
    <w:name w:val="????????? 4"/>
    <w:basedOn w:val="a1"/>
    <w:next w:val="a1"/>
    <w:uiPriority w:val="99"/>
    <w:rsid w:val="00060470"/>
    <w:pPr>
      <w:keepNext/>
      <w:spacing w:line="360" w:lineRule="auto"/>
      <w:ind w:firstLine="360"/>
      <w:jc w:val="both"/>
      <w:outlineLvl w:val="3"/>
    </w:pPr>
    <w:rPr>
      <w:rFonts w:ascii="Times LatArm" w:hAnsi="Times LatArm"/>
      <w:i/>
      <w:noProof/>
      <w:sz w:val="24"/>
    </w:rPr>
  </w:style>
  <w:style w:type="paragraph" w:customStyle="1" w:styleId="1c">
    <w:name w:val="????????? 1"/>
    <w:basedOn w:val="Normal"/>
    <w:next w:val="Normal"/>
    <w:rsid w:val="00060470"/>
    <w:pPr>
      <w:keepNext/>
      <w:spacing w:before="0" w:line="240" w:lineRule="auto"/>
      <w:ind w:firstLine="0"/>
      <w:contextualSpacing w:val="0"/>
      <w:outlineLvl w:val="0"/>
    </w:pPr>
    <w:rPr>
      <w:rFonts w:ascii="Times Armenian" w:hAnsi="Times Armenian"/>
      <w:i/>
      <w:sz w:val="24"/>
      <w:szCs w:val="20"/>
      <w:lang w:val="en-US"/>
    </w:rPr>
  </w:style>
  <w:style w:type="paragraph" w:customStyle="1" w:styleId="CharChar0">
    <w:name w:val="Знак Знак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8">
    <w:name w:val="Знак Знак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Para">
    <w:name w:val="Para"/>
    <w:basedOn w:val="Normal"/>
    <w:autoRedefine/>
    <w:rsid w:val="00060470"/>
    <w:pPr>
      <w:suppressAutoHyphens/>
      <w:spacing w:before="0" w:line="240" w:lineRule="auto"/>
      <w:ind w:firstLine="0"/>
      <w:contextualSpacing w:val="0"/>
    </w:pPr>
    <w:rPr>
      <w:rFonts w:eastAsia="Calibri" w:cs="Sylfaen"/>
      <w:bCs/>
      <w:kern w:val="1"/>
      <w:sz w:val="24"/>
      <w:lang w:val="hy-AM" w:eastAsia="en-US"/>
    </w:rPr>
  </w:style>
  <w:style w:type="paragraph" w:customStyle="1" w:styleId="Char5">
    <w:name w:val="Char5"/>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33">
    <w:name w:val="Знак Знак3"/>
    <w:basedOn w:val="Normal"/>
    <w:link w:val="Char11"/>
    <w:rsid w:val="00060470"/>
    <w:pPr>
      <w:spacing w:before="0" w:after="160" w:line="240" w:lineRule="exact"/>
      <w:ind w:firstLine="0"/>
      <w:contextualSpacing w:val="0"/>
      <w:jc w:val="left"/>
    </w:pPr>
    <w:rPr>
      <w:rFonts w:ascii="Arial" w:eastAsia="Calibri" w:hAnsi="Arial"/>
      <w:sz w:val="20"/>
      <w:szCs w:val="20"/>
      <w:lang w:val="en-GB"/>
    </w:rPr>
  </w:style>
  <w:style w:type="character" w:customStyle="1" w:styleId="Char11">
    <w:name w:val="Знак Знак Char1"/>
    <w:link w:val="33"/>
    <w:locked/>
    <w:rsid w:val="00060470"/>
    <w:rPr>
      <w:rFonts w:ascii="Arial" w:eastAsia="Calibri" w:hAnsi="Arial"/>
      <w:lang w:val="en-GB"/>
    </w:rPr>
  </w:style>
  <w:style w:type="paragraph" w:customStyle="1" w:styleId="Znak1">
    <w:name w:val="Znak1"/>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CharCharCharCharCharCharCharCharCharCharCharChar1">
    <w:name w:val="Char Char Char Char Char 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12">
    <w:name w:val="Знак Знак Знак Знак Знак Знак Знак Знак Знак Знак Знак Знак Знак Знак Знак Знак Знак Знак Char Знак Знак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CharCharChar12">
    <w:name w:val="Char Char Char Знак1"/>
    <w:basedOn w:val="Normal"/>
    <w:next w:val="Normal"/>
    <w:rsid w:val="00060470"/>
    <w:pPr>
      <w:spacing w:before="0" w:after="160" w:line="240" w:lineRule="exact"/>
      <w:ind w:firstLine="0"/>
      <w:contextualSpacing w:val="0"/>
      <w:jc w:val="left"/>
    </w:pPr>
    <w:rPr>
      <w:rFonts w:ascii="Tahoma" w:eastAsia="Calibri" w:hAnsi="Tahoma"/>
      <w:sz w:val="24"/>
      <w:szCs w:val="20"/>
      <w:lang w:val="en-US" w:eastAsia="en-US"/>
    </w:rPr>
  </w:style>
  <w:style w:type="paragraph" w:customStyle="1" w:styleId="CharCharCharCharCharCharCharChar1">
    <w:name w:val="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CharCharCharCharCharCharCharCharCharChar2">
    <w:name w:val="Char Char Char Char Знак Char Знак Char Char Char Char Char Char Char Char Char Char2"/>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CharCharCharCharCharChar1">
    <w:name w:val="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CharCharCharCharChar1">
    <w:name w:val="Char Char 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1CharChar1">
    <w:name w:val="Знак Знак1 Char Char Знак Знак1"/>
    <w:basedOn w:val="Normal"/>
    <w:rsid w:val="00060470"/>
    <w:pPr>
      <w:tabs>
        <w:tab w:val="num" w:pos="840"/>
      </w:tabs>
      <w:spacing w:before="0" w:after="160" w:line="240" w:lineRule="exact"/>
      <w:ind w:left="840" w:hanging="360"/>
      <w:contextualSpacing w:val="0"/>
    </w:pPr>
    <w:rPr>
      <w:rFonts w:ascii="Verdana" w:eastAsia="Calibri" w:hAnsi="Verdana"/>
      <w:sz w:val="20"/>
      <w:szCs w:val="20"/>
      <w:lang w:eastAsia="en-US"/>
    </w:rPr>
  </w:style>
  <w:style w:type="paragraph" w:customStyle="1" w:styleId="CharCharCharChar1">
    <w:name w:val="Знак Знак Char Char Знак Знак Char Char Знак Знак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CharCharChar1Char1">
    <w:name w:val="Char Char Char1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111">
    <w:name w:val="Знак Знак11"/>
    <w:basedOn w:val="Normal"/>
    <w:rsid w:val="00060470"/>
    <w:pPr>
      <w:spacing w:before="0" w:after="160" w:line="240" w:lineRule="exact"/>
      <w:ind w:firstLine="0"/>
      <w:contextualSpacing w:val="0"/>
      <w:jc w:val="left"/>
    </w:pPr>
    <w:rPr>
      <w:rFonts w:ascii="Arial" w:eastAsia="MS Mincho" w:hAnsi="Arial" w:cs="Arial"/>
      <w:sz w:val="20"/>
      <w:szCs w:val="20"/>
      <w:lang w:val="en-US" w:eastAsia="en-US"/>
    </w:rPr>
  </w:style>
  <w:style w:type="paragraph" w:customStyle="1" w:styleId="CharChar1CharCharChar1Char1">
    <w:name w:val="Char Char1 Char Char Char1 Char1"/>
    <w:basedOn w:val="Normal"/>
    <w:autoRedefine/>
    <w:rsid w:val="00060470"/>
    <w:pPr>
      <w:spacing w:before="0" w:line="240" w:lineRule="auto"/>
      <w:ind w:firstLine="0"/>
      <w:contextualSpacing w:val="0"/>
      <w:jc w:val="left"/>
    </w:pPr>
    <w:rPr>
      <w:rFonts w:ascii="Times New Roman" w:eastAsia="SimSun" w:hAnsi="Times New Roman"/>
      <w:sz w:val="20"/>
      <w:szCs w:val="20"/>
      <w:lang w:val="en-US"/>
    </w:rPr>
  </w:style>
  <w:style w:type="paragraph" w:customStyle="1" w:styleId="41">
    <w:name w:val="Знак Знак41"/>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13">
    <w:name w:val="Знак Char Знак1"/>
    <w:basedOn w:val="Normal"/>
    <w:rsid w:val="00060470"/>
    <w:pPr>
      <w:spacing w:before="0" w:after="160" w:line="240" w:lineRule="exact"/>
      <w:ind w:firstLine="0"/>
      <w:contextualSpacing w:val="0"/>
      <w:jc w:val="left"/>
    </w:pPr>
    <w:rPr>
      <w:rFonts w:ascii="Arial" w:eastAsia="Batang" w:hAnsi="Arial" w:cs="Arial"/>
      <w:sz w:val="20"/>
      <w:szCs w:val="20"/>
      <w:lang w:val="en-US" w:eastAsia="en-US"/>
    </w:rPr>
  </w:style>
  <w:style w:type="paragraph" w:customStyle="1" w:styleId="CharCharCharCharCharChar1">
    <w:name w:val="Знак Знак Char Char Знак Знак Char Char Знак Знак Char Char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212">
    <w:name w:val="Знак Знак2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10">
    <w:name w:val="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styleId="Quote">
    <w:name w:val="Quote"/>
    <w:basedOn w:val="Normal"/>
    <w:next w:val="Normal"/>
    <w:link w:val="QuoteChar"/>
    <w:uiPriority w:val="29"/>
    <w:qFormat/>
    <w:rsid w:val="00060470"/>
    <w:pPr>
      <w:spacing w:before="0" w:line="240" w:lineRule="auto"/>
      <w:ind w:firstLine="0"/>
      <w:contextualSpacing w:val="0"/>
      <w:jc w:val="left"/>
    </w:pPr>
    <w:rPr>
      <w:rFonts w:ascii="Times New Roman" w:hAnsi="Times New Roman"/>
      <w:i/>
      <w:iCs/>
      <w:color w:val="000000"/>
      <w:sz w:val="24"/>
    </w:rPr>
  </w:style>
  <w:style w:type="character" w:customStyle="1" w:styleId="QuoteChar">
    <w:name w:val="Quote Char"/>
    <w:basedOn w:val="DefaultParagraphFont"/>
    <w:link w:val="Quote"/>
    <w:uiPriority w:val="29"/>
    <w:rsid w:val="00060470"/>
    <w:rPr>
      <w:i/>
      <w:iCs/>
      <w:color w:val="000000"/>
      <w:sz w:val="24"/>
      <w:szCs w:val="24"/>
    </w:rPr>
  </w:style>
  <w:style w:type="character" w:styleId="IntenseEmphasis">
    <w:name w:val="Intense Emphasis"/>
    <w:uiPriority w:val="21"/>
    <w:qFormat/>
    <w:rsid w:val="00060470"/>
    <w:rPr>
      <w:b/>
      <w:bCs/>
      <w:i/>
      <w:iCs/>
      <w:color w:val="4F81BD"/>
    </w:rPr>
  </w:style>
  <w:style w:type="table" w:styleId="LightList-Accent1">
    <w:name w:val="Light List Accent 1"/>
    <w:basedOn w:val="TableNormal"/>
    <w:uiPriority w:val="61"/>
    <w:rsid w:val="0006047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7">
    <w:name w:val="Table Grid 7"/>
    <w:basedOn w:val="TableNormal"/>
    <w:uiPriority w:val="99"/>
    <w:rsid w:val="0006047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ColorfulGrid-Accent1">
    <w:name w:val="Colorful Grid Accent 1"/>
    <w:basedOn w:val="TableNormal"/>
    <w:uiPriority w:val="73"/>
    <w:rsid w:val="00060470"/>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List-Accent5">
    <w:name w:val="Light List Accent 5"/>
    <w:basedOn w:val="TableNormal"/>
    <w:uiPriority w:val="61"/>
    <w:rsid w:val="0006047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TableSimple3">
    <w:name w:val="Table Simple 3"/>
    <w:basedOn w:val="TableNormal"/>
    <w:uiPriority w:val="99"/>
    <w:rsid w:val="0006047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Grid5">
    <w:name w:val="Table Grid 5"/>
    <w:basedOn w:val="TableNormal"/>
    <w:uiPriority w:val="99"/>
    <w:rsid w:val="0006047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3">
    <w:name w:val="Table Grid 3"/>
    <w:basedOn w:val="TableNormal"/>
    <w:uiPriority w:val="99"/>
    <w:rsid w:val="0006047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uiPriority w:val="99"/>
    <w:rsid w:val="0006047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olumns5">
    <w:name w:val="Table Columns 5"/>
    <w:basedOn w:val="TableNormal"/>
    <w:uiPriority w:val="99"/>
    <w:rsid w:val="0006047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ListParagraph2">
    <w:name w:val="List Paragraph2"/>
    <w:basedOn w:val="Normal"/>
    <w:qFormat/>
    <w:rsid w:val="00060470"/>
    <w:pPr>
      <w:spacing w:before="0" w:line="240" w:lineRule="auto"/>
      <w:ind w:left="720" w:firstLine="0"/>
      <w:jc w:val="left"/>
    </w:pPr>
    <w:rPr>
      <w:rFonts w:ascii="Times New Roman" w:hAnsi="Times New Roman"/>
      <w:sz w:val="24"/>
    </w:rPr>
  </w:style>
  <w:style w:type="character" w:customStyle="1" w:styleId="A00">
    <w:name w:val="A0"/>
    <w:rsid w:val="00060470"/>
    <w:rPr>
      <w:color w:val="000000"/>
      <w:sz w:val="56"/>
      <w:szCs w:val="56"/>
    </w:rPr>
  </w:style>
  <w:style w:type="character" w:customStyle="1" w:styleId="1d">
    <w:name w:val="Текст сноски Знак1"/>
    <w:semiHidden/>
    <w:rsid w:val="00060470"/>
    <w:rPr>
      <w:sz w:val="20"/>
      <w:szCs w:val="20"/>
    </w:rPr>
  </w:style>
  <w:style w:type="character" w:customStyle="1" w:styleId="CharChar28">
    <w:name w:val="Char Char28"/>
    <w:rsid w:val="00060470"/>
    <w:rPr>
      <w:rFonts w:ascii="Arial Armenian" w:hAnsi="Arial Armenian"/>
      <w:i/>
      <w:sz w:val="22"/>
      <w:u w:val="single"/>
      <w:lang w:val="en-GB"/>
    </w:rPr>
  </w:style>
  <w:style w:type="character" w:customStyle="1" w:styleId="CharChar27">
    <w:name w:val="Char Char27"/>
    <w:rsid w:val="00060470"/>
    <w:rPr>
      <w:rFonts w:ascii="Garamond" w:hAnsi="Garamond"/>
      <w:i/>
      <w:spacing w:val="-5"/>
      <w:sz w:val="28"/>
      <w:shd w:val="pct5" w:color="auto" w:fill="auto"/>
      <w:lang w:val="en-GB"/>
    </w:rPr>
  </w:style>
  <w:style w:type="character" w:customStyle="1" w:styleId="CharChar26">
    <w:name w:val="Char Char26"/>
    <w:rsid w:val="00060470"/>
    <w:rPr>
      <w:rFonts w:ascii="Arial Black" w:hAnsi="Arial Black"/>
      <w:caps/>
      <w:spacing w:val="60"/>
      <w:position w:val="4"/>
      <w:sz w:val="14"/>
      <w:lang w:val="en-GB"/>
    </w:rPr>
  </w:style>
  <w:style w:type="character" w:customStyle="1" w:styleId="CharChar25">
    <w:name w:val="Char Char25"/>
    <w:rsid w:val="00060470"/>
    <w:rPr>
      <w:rFonts w:ascii="Garamond" w:hAnsi="Garamond"/>
      <w:b/>
      <w:i/>
      <w:kern w:val="28"/>
      <w:lang w:val="en-GB"/>
    </w:rPr>
  </w:style>
  <w:style w:type="character" w:customStyle="1" w:styleId="CharChar241">
    <w:name w:val="Char Char241"/>
    <w:rsid w:val="00060470"/>
    <w:rPr>
      <w:rFonts w:ascii="Arial Armenian" w:hAnsi="Arial Armenian"/>
      <w:noProof/>
      <w:lang w:val="en-US" w:eastAsia="en-US" w:bidi="ar-SA"/>
    </w:rPr>
  </w:style>
  <w:style w:type="character" w:customStyle="1" w:styleId="CharChar231">
    <w:name w:val="Char Char231"/>
    <w:rsid w:val="00060470"/>
    <w:rPr>
      <w:rFonts w:ascii="Arial Armenian" w:hAnsi="Arial Armenian"/>
      <w:lang w:val="en-GB" w:eastAsia="en-US" w:bidi="ar-SA"/>
    </w:rPr>
  </w:style>
  <w:style w:type="character" w:customStyle="1" w:styleId="CharChar221">
    <w:name w:val="Char Char221"/>
    <w:rsid w:val="00060470"/>
    <w:rPr>
      <w:rFonts w:ascii="Arial Armenian" w:hAnsi="Arial Armenian"/>
      <w:lang w:val="ru-RU" w:eastAsia="ru-RU" w:bidi="ar-SA"/>
    </w:rPr>
  </w:style>
  <w:style w:type="paragraph" w:customStyle="1" w:styleId="Outline">
    <w:name w:val="Outline"/>
    <w:basedOn w:val="Normal"/>
    <w:rsid w:val="00060470"/>
    <w:pPr>
      <w:spacing w:before="240" w:line="240" w:lineRule="auto"/>
      <w:ind w:firstLine="0"/>
      <w:contextualSpacing w:val="0"/>
      <w:jc w:val="left"/>
    </w:pPr>
    <w:rPr>
      <w:rFonts w:ascii="Times New Roman" w:hAnsi="Times New Roman"/>
      <w:kern w:val="28"/>
      <w:sz w:val="24"/>
      <w:szCs w:val="20"/>
      <w:lang w:val="en-US" w:eastAsia="en-US"/>
    </w:rPr>
  </w:style>
  <w:style w:type="paragraph" w:customStyle="1" w:styleId="ab">
    <w:name w:val="Îáû÷íûé"/>
    <w:rsid w:val="00060470"/>
    <w:rPr>
      <w:rFonts w:ascii="Times Armenian" w:hAnsi="Times Armenian"/>
      <w:sz w:val="24"/>
    </w:rPr>
  </w:style>
  <w:style w:type="paragraph" w:customStyle="1" w:styleId="Style13">
    <w:name w:val="Style13"/>
    <w:basedOn w:val="Normal"/>
    <w:rsid w:val="00060470"/>
    <w:pPr>
      <w:widowControl w:val="0"/>
      <w:autoSpaceDE w:val="0"/>
      <w:autoSpaceDN w:val="0"/>
      <w:adjustRightInd w:val="0"/>
      <w:spacing w:before="0" w:line="240" w:lineRule="auto"/>
      <w:ind w:firstLine="0"/>
      <w:contextualSpacing w:val="0"/>
      <w:jc w:val="left"/>
    </w:pPr>
    <w:rPr>
      <w:rFonts w:ascii="Tahoma" w:eastAsia="SimSun" w:hAnsi="Tahoma" w:cs="Tahoma"/>
      <w:sz w:val="24"/>
      <w:lang w:val="en-US" w:eastAsia="en-US"/>
    </w:rPr>
  </w:style>
  <w:style w:type="character" w:customStyle="1" w:styleId="FontStyle27">
    <w:name w:val="Font Style27"/>
    <w:rsid w:val="00060470"/>
    <w:rPr>
      <w:rFonts w:ascii="Tahoma" w:hAnsi="Tahoma" w:cs="Tahoma" w:hint="default"/>
      <w:sz w:val="14"/>
      <w:szCs w:val="14"/>
    </w:rPr>
  </w:style>
  <w:style w:type="paragraph" w:customStyle="1" w:styleId="Style14">
    <w:name w:val="Style14"/>
    <w:basedOn w:val="Normal"/>
    <w:rsid w:val="00060470"/>
    <w:pPr>
      <w:widowControl w:val="0"/>
      <w:autoSpaceDE w:val="0"/>
      <w:autoSpaceDN w:val="0"/>
      <w:adjustRightInd w:val="0"/>
      <w:spacing w:before="0" w:line="211" w:lineRule="exact"/>
      <w:ind w:firstLine="0"/>
      <w:contextualSpacing w:val="0"/>
      <w:jc w:val="left"/>
    </w:pPr>
    <w:rPr>
      <w:rFonts w:ascii="Tahoma" w:eastAsia="SimSun" w:hAnsi="Tahoma" w:cs="Tahoma"/>
      <w:sz w:val="24"/>
      <w:lang w:val="en-US" w:eastAsia="en-US"/>
    </w:rPr>
  </w:style>
  <w:style w:type="character" w:customStyle="1" w:styleId="FontStyle26">
    <w:name w:val="Font Style26"/>
    <w:rsid w:val="00060470"/>
    <w:rPr>
      <w:rFonts w:ascii="Tahoma" w:hAnsi="Tahoma" w:cs="Tahoma" w:hint="default"/>
      <w:i/>
      <w:iCs/>
      <w:spacing w:val="10"/>
      <w:sz w:val="16"/>
      <w:szCs w:val="16"/>
    </w:rPr>
  </w:style>
  <w:style w:type="character" w:customStyle="1" w:styleId="FontStyle53">
    <w:name w:val="Font Style53"/>
    <w:rsid w:val="00060470"/>
    <w:rPr>
      <w:rFonts w:ascii="Sylfaen" w:hAnsi="Sylfaen"/>
      <w:sz w:val="18"/>
    </w:rPr>
  </w:style>
  <w:style w:type="character" w:customStyle="1" w:styleId="shorttext">
    <w:name w:val="short_text"/>
    <w:rsid w:val="00060470"/>
    <w:rPr>
      <w:rFonts w:cs="Times New Roman"/>
    </w:rPr>
  </w:style>
  <w:style w:type="table" w:customStyle="1" w:styleId="LightList-Accent11">
    <w:name w:val="Light List - Accent 11"/>
    <w:basedOn w:val="TableNormal"/>
    <w:uiPriority w:val="61"/>
    <w:rsid w:val="0006047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e">
    <w:name w:val="Нет списка1"/>
    <w:next w:val="NoList"/>
    <w:semiHidden/>
    <w:unhideWhenUsed/>
    <w:rsid w:val="00060470"/>
  </w:style>
  <w:style w:type="paragraph" w:customStyle="1" w:styleId="NoSpacing1">
    <w:name w:val="No Spacing1"/>
    <w:qFormat/>
    <w:rsid w:val="00060470"/>
    <w:rPr>
      <w:rFonts w:ascii="Calibri" w:hAnsi="Calibri"/>
      <w:sz w:val="22"/>
      <w:szCs w:val="22"/>
    </w:rPr>
  </w:style>
  <w:style w:type="paragraph" w:customStyle="1" w:styleId="26">
    <w:name w:val="Обычный2"/>
    <w:rsid w:val="00060470"/>
    <w:pPr>
      <w:autoSpaceDE w:val="0"/>
      <w:autoSpaceDN w:val="0"/>
    </w:pPr>
    <w:rPr>
      <w:lang w:val="ru-RU" w:eastAsia="ru-RU"/>
    </w:rPr>
  </w:style>
  <w:style w:type="paragraph" w:customStyle="1" w:styleId="Revision1">
    <w:name w:val="Revision1"/>
    <w:hidden/>
    <w:semiHidden/>
    <w:rsid w:val="00060470"/>
    <w:rPr>
      <w:rFonts w:ascii="Arial Armenian" w:hAnsi="Arial Armenian" w:cs="Sylfaen"/>
      <w:sz w:val="24"/>
      <w:szCs w:val="24"/>
      <w:lang w:val="ru-RU" w:eastAsia="ru-RU"/>
    </w:rPr>
  </w:style>
  <w:style w:type="paragraph" w:customStyle="1" w:styleId="TOCHeading1">
    <w:name w:val="TOC Heading1"/>
    <w:basedOn w:val="Heading1"/>
    <w:next w:val="Normal"/>
    <w:qFormat/>
    <w:rsid w:val="00060470"/>
    <w:pPr>
      <w:keepLines/>
      <w:spacing w:before="480"/>
      <w:contextualSpacing w:val="0"/>
      <w:outlineLvl w:val="9"/>
    </w:pPr>
    <w:rPr>
      <w:rFonts w:ascii="Cambria" w:hAnsi="Cambria"/>
      <w:bCs/>
      <w:color w:val="365F91"/>
      <w:szCs w:val="28"/>
      <w:lang w:eastAsia="en-US"/>
    </w:rPr>
  </w:style>
  <w:style w:type="character" w:customStyle="1" w:styleId="NoSpacingChar1">
    <w:name w:val="No Spacing Char1"/>
    <w:rsid w:val="00060470"/>
    <w:rPr>
      <w:rFonts w:ascii="Calibri" w:eastAsia="Times New Roman" w:hAnsi="Calibri" w:cs="Times New Roman"/>
      <w:lang w:val="en-US"/>
    </w:rPr>
  </w:style>
  <w:style w:type="paragraph" w:customStyle="1" w:styleId="Quote1">
    <w:name w:val="Quote1"/>
    <w:basedOn w:val="Normal"/>
    <w:next w:val="Normal"/>
    <w:qFormat/>
    <w:rsid w:val="00060470"/>
    <w:pPr>
      <w:spacing w:before="0" w:line="240" w:lineRule="auto"/>
      <w:ind w:firstLine="0"/>
      <w:contextualSpacing w:val="0"/>
      <w:jc w:val="left"/>
    </w:pPr>
    <w:rPr>
      <w:rFonts w:ascii="Times New Roman" w:hAnsi="Times New Roman"/>
      <w:i/>
      <w:iCs/>
      <w:color w:val="000000"/>
      <w:sz w:val="24"/>
    </w:rPr>
  </w:style>
  <w:style w:type="character" w:customStyle="1" w:styleId="IntenseEmphasis1">
    <w:name w:val="Intense Emphasis1"/>
    <w:qFormat/>
    <w:rsid w:val="00060470"/>
    <w:rPr>
      <w:b/>
      <w:bCs/>
      <w:i/>
      <w:iCs/>
      <w:color w:val="4F81BD"/>
    </w:rPr>
  </w:style>
  <w:style w:type="table" w:customStyle="1" w:styleId="ColorfulGrid-Accent11">
    <w:name w:val="Colorful Grid - Accent 11"/>
    <w:basedOn w:val="TableNormal"/>
    <w:rsid w:val="00060470"/>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
    <w:name w:val="Light List - Accent 51"/>
    <w:basedOn w:val="TableNormal"/>
    <w:rsid w:val="00060470"/>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tandard">
    <w:name w:val="Standard"/>
    <w:rsid w:val="00060470"/>
    <w:pPr>
      <w:widowControl w:val="0"/>
      <w:suppressAutoHyphens/>
      <w:autoSpaceDN w:val="0"/>
      <w:textAlignment w:val="baseline"/>
    </w:pPr>
    <w:rPr>
      <w:rFonts w:ascii="Calibri" w:hAnsi="Calibri"/>
      <w:kern w:val="3"/>
      <w:sz w:val="24"/>
      <w:szCs w:val="24"/>
    </w:rPr>
  </w:style>
  <w:style w:type="character" w:customStyle="1" w:styleId="PageNumber1">
    <w:name w:val="Page Number1"/>
    <w:rsid w:val="00060470"/>
    <w:rPr>
      <w:rFonts w:cs="Times New Roman"/>
    </w:rPr>
  </w:style>
  <w:style w:type="character" w:customStyle="1" w:styleId="ac">
    <w:name w:val="Основной текст_"/>
    <w:link w:val="50"/>
    <w:rsid w:val="00060470"/>
    <w:rPr>
      <w:rFonts w:ascii="Sylfaen" w:hAnsi="Sylfaen" w:cs="Sylfaen"/>
      <w:spacing w:val="20"/>
      <w:w w:val="80"/>
      <w:shd w:val="clear" w:color="auto" w:fill="FFFFFF"/>
    </w:rPr>
  </w:style>
  <w:style w:type="character" w:customStyle="1" w:styleId="27">
    <w:name w:val="Основной текст (2)_"/>
    <w:rsid w:val="00060470"/>
    <w:rPr>
      <w:rFonts w:ascii="Sylfaen" w:hAnsi="Sylfaen" w:cs="Sylfaen"/>
      <w:i/>
      <w:iCs/>
      <w:shd w:val="clear" w:color="auto" w:fill="FFFFFF"/>
    </w:rPr>
  </w:style>
  <w:style w:type="character" w:customStyle="1" w:styleId="34">
    <w:name w:val="Основной текст (3)_"/>
    <w:rsid w:val="00060470"/>
    <w:rPr>
      <w:rFonts w:ascii="Sylfaen" w:hAnsi="Sylfaen" w:cs="Sylfaen"/>
      <w:spacing w:val="20"/>
      <w:w w:val="80"/>
      <w:sz w:val="21"/>
      <w:szCs w:val="21"/>
      <w:shd w:val="clear" w:color="auto" w:fill="FFFFFF"/>
    </w:rPr>
  </w:style>
  <w:style w:type="character" w:customStyle="1" w:styleId="311pt">
    <w:name w:val="Основной текст (3) + 11 pt"/>
    <w:rsid w:val="00060470"/>
    <w:rPr>
      <w:rFonts w:ascii="Sylfaen" w:hAnsi="Sylfaen" w:cs="Sylfaen"/>
      <w:i/>
      <w:iCs/>
      <w:spacing w:val="0"/>
      <w:w w:val="100"/>
      <w:sz w:val="22"/>
      <w:szCs w:val="22"/>
      <w:shd w:val="clear" w:color="auto" w:fill="FFFFFF"/>
    </w:rPr>
  </w:style>
  <w:style w:type="character" w:customStyle="1" w:styleId="311pt1">
    <w:name w:val="Основной текст (3) + 11 pt1"/>
    <w:rsid w:val="00060470"/>
    <w:rPr>
      <w:rFonts w:ascii="Sylfaen" w:hAnsi="Sylfaen" w:cs="Sylfaen"/>
      <w:spacing w:val="0"/>
      <w:w w:val="100"/>
      <w:sz w:val="22"/>
      <w:szCs w:val="22"/>
      <w:shd w:val="clear" w:color="auto" w:fill="FFFFFF"/>
    </w:rPr>
  </w:style>
  <w:style w:type="character" w:customStyle="1" w:styleId="28">
    <w:name w:val="Основной текст2"/>
    <w:rsid w:val="00060470"/>
  </w:style>
  <w:style w:type="character" w:customStyle="1" w:styleId="42">
    <w:name w:val="Основной текст (4)_"/>
    <w:rsid w:val="00060470"/>
    <w:rPr>
      <w:rFonts w:ascii="Sylfaen" w:hAnsi="Sylfaen" w:cs="Sylfaen"/>
      <w:spacing w:val="20"/>
      <w:w w:val="80"/>
      <w:shd w:val="clear" w:color="auto" w:fill="FFFFFF"/>
    </w:rPr>
  </w:style>
  <w:style w:type="character" w:customStyle="1" w:styleId="4pt">
    <w:name w:val="Основной текст + 4 pt"/>
    <w:rsid w:val="00060470"/>
    <w:rPr>
      <w:rFonts w:ascii="Sylfaen" w:hAnsi="Sylfaen" w:cs="Sylfaen"/>
      <w:i/>
      <w:iCs/>
      <w:spacing w:val="0"/>
      <w:w w:val="100"/>
      <w:sz w:val="8"/>
      <w:szCs w:val="8"/>
      <w:shd w:val="clear" w:color="auto" w:fill="FFFFFF"/>
    </w:rPr>
  </w:style>
  <w:style w:type="character" w:customStyle="1" w:styleId="1f">
    <w:name w:val="Заголовок №1_"/>
    <w:rsid w:val="00060470"/>
    <w:rPr>
      <w:rFonts w:ascii="Sylfaen" w:hAnsi="Sylfaen" w:cs="Sylfaen"/>
      <w:i/>
      <w:iCs/>
      <w:spacing w:val="-30"/>
      <w:sz w:val="31"/>
      <w:szCs w:val="31"/>
      <w:shd w:val="clear" w:color="auto" w:fill="FFFFFF"/>
    </w:rPr>
  </w:style>
  <w:style w:type="character" w:customStyle="1" w:styleId="1110">
    <w:name w:val="Заголовок №1 + 11"/>
    <w:rsid w:val="00060470"/>
    <w:rPr>
      <w:rFonts w:ascii="Sylfaen" w:hAnsi="Sylfaen" w:cs="Sylfaen"/>
      <w:i/>
      <w:iCs/>
      <w:spacing w:val="-20"/>
      <w:sz w:val="23"/>
      <w:szCs w:val="23"/>
      <w:shd w:val="clear" w:color="auto" w:fill="FFFFFF"/>
    </w:rPr>
  </w:style>
  <w:style w:type="character" w:customStyle="1" w:styleId="Sylfaen2">
    <w:name w:val="Основной текст + Sylfaen2"/>
    <w:rsid w:val="00060470"/>
    <w:rPr>
      <w:rFonts w:ascii="Sylfaen" w:hAnsi="Sylfaen" w:cs="Sylfaen"/>
      <w:spacing w:val="20"/>
      <w:w w:val="80"/>
      <w:sz w:val="22"/>
      <w:szCs w:val="22"/>
      <w:u w:val="none"/>
      <w:shd w:val="clear" w:color="auto" w:fill="FFFFFF"/>
    </w:rPr>
  </w:style>
  <w:style w:type="character" w:customStyle="1" w:styleId="Sylfaen1">
    <w:name w:val="Основной текст + Sylfaen1"/>
    <w:rsid w:val="00060470"/>
    <w:rPr>
      <w:rFonts w:ascii="Sylfaen" w:hAnsi="Sylfaen" w:cs="Sylfaen"/>
      <w:spacing w:val="20"/>
      <w:w w:val="80"/>
      <w:sz w:val="20"/>
      <w:szCs w:val="20"/>
      <w:u w:val="none"/>
      <w:shd w:val="clear" w:color="auto" w:fill="FFFFFF"/>
    </w:rPr>
  </w:style>
  <w:style w:type="character" w:customStyle="1" w:styleId="ad">
    <w:name w:val="Основной текст + Полужирный"/>
    <w:rsid w:val="00060470"/>
    <w:rPr>
      <w:rFonts w:ascii="Sylfaen" w:hAnsi="Sylfaen" w:cs="Sylfaen"/>
      <w:b/>
      <w:bCs/>
      <w:spacing w:val="20"/>
      <w:w w:val="80"/>
      <w:sz w:val="21"/>
      <w:szCs w:val="21"/>
      <w:u w:val="none"/>
      <w:shd w:val="clear" w:color="auto" w:fill="FFFFFF"/>
    </w:rPr>
  </w:style>
  <w:style w:type="character" w:customStyle="1" w:styleId="ListLabel1">
    <w:name w:val="ListLabel 1"/>
    <w:rsid w:val="00060470"/>
    <w:rPr>
      <w:rFonts w:eastAsia="Times New Roman"/>
      <w:color w:val="000000"/>
    </w:rPr>
  </w:style>
  <w:style w:type="character" w:customStyle="1" w:styleId="ListLabel2">
    <w:name w:val="ListLabel 2"/>
    <w:rsid w:val="00060470"/>
  </w:style>
  <w:style w:type="character" w:customStyle="1" w:styleId="ListLabel3">
    <w:name w:val="ListLabel 3"/>
    <w:rsid w:val="00060470"/>
  </w:style>
  <w:style w:type="character" w:customStyle="1" w:styleId="ListLabel4">
    <w:name w:val="ListLabel 4"/>
    <w:rsid w:val="00060470"/>
  </w:style>
  <w:style w:type="character" w:customStyle="1" w:styleId="ListLabel5">
    <w:name w:val="ListLabel 5"/>
    <w:rsid w:val="00060470"/>
    <w:rPr>
      <w:color w:val="auto"/>
    </w:rPr>
  </w:style>
  <w:style w:type="character" w:customStyle="1" w:styleId="ListLabel6">
    <w:name w:val="ListLabel 6"/>
    <w:rsid w:val="00060470"/>
    <w:rPr>
      <w:b/>
      <w:i/>
    </w:rPr>
  </w:style>
  <w:style w:type="character" w:customStyle="1" w:styleId="ListLabel7">
    <w:name w:val="ListLabel 7"/>
    <w:rsid w:val="00060470"/>
    <w:rPr>
      <w:sz w:val="24"/>
    </w:rPr>
  </w:style>
  <w:style w:type="character" w:customStyle="1" w:styleId="ListLabel8">
    <w:name w:val="ListLabel 8"/>
    <w:rsid w:val="00060470"/>
    <w:rPr>
      <w:rFonts w:eastAsia="Times New Roman"/>
    </w:rPr>
  </w:style>
  <w:style w:type="paragraph" w:customStyle="1" w:styleId="Heading">
    <w:name w:val="Heading"/>
    <w:basedOn w:val="Normal"/>
    <w:next w:val="BodyText"/>
    <w:rsid w:val="00060470"/>
    <w:pPr>
      <w:keepNext/>
      <w:suppressAutoHyphens/>
      <w:spacing w:before="240" w:after="120" w:line="276" w:lineRule="auto"/>
      <w:ind w:firstLine="0"/>
      <w:contextualSpacing w:val="0"/>
      <w:jc w:val="left"/>
    </w:pPr>
    <w:rPr>
      <w:rFonts w:ascii="Liberation Sans" w:hAnsi="Liberation Sans" w:cs="Liberation Sans"/>
      <w:kern w:val="1"/>
      <w:sz w:val="28"/>
      <w:szCs w:val="28"/>
      <w:lang w:val="en-US" w:eastAsia="en-US"/>
    </w:rPr>
  </w:style>
  <w:style w:type="paragraph" w:styleId="List">
    <w:name w:val="List"/>
    <w:basedOn w:val="BodyText"/>
    <w:rsid w:val="00060470"/>
    <w:pPr>
      <w:suppressAutoHyphens/>
      <w:spacing w:before="0" w:after="120" w:line="288" w:lineRule="auto"/>
      <w:ind w:firstLine="0"/>
      <w:contextualSpacing w:val="0"/>
      <w:jc w:val="left"/>
    </w:pPr>
    <w:rPr>
      <w:rFonts w:ascii="GHEA Grapalat" w:hAnsi="GHEA Grapalat" w:cs="GHEA Grapalat"/>
      <w:kern w:val="1"/>
      <w:sz w:val="22"/>
      <w:szCs w:val="22"/>
    </w:rPr>
  </w:style>
  <w:style w:type="paragraph" w:customStyle="1" w:styleId="Index">
    <w:name w:val="Index"/>
    <w:basedOn w:val="Normal"/>
    <w:rsid w:val="00060470"/>
    <w:pPr>
      <w:suppressLineNumbers/>
      <w:suppressAutoHyphens/>
      <w:spacing w:before="0" w:after="200" w:line="276" w:lineRule="auto"/>
      <w:ind w:firstLine="0"/>
      <w:contextualSpacing w:val="0"/>
      <w:jc w:val="left"/>
    </w:pPr>
    <w:rPr>
      <w:rFonts w:ascii="Calibri" w:hAnsi="Calibri" w:cs="Calibri"/>
      <w:kern w:val="1"/>
      <w:szCs w:val="22"/>
      <w:lang w:val="en-US" w:eastAsia="en-US"/>
    </w:rPr>
  </w:style>
  <w:style w:type="paragraph" w:customStyle="1" w:styleId="ae">
    <w:name w:val="Стиль Знак"/>
    <w:basedOn w:val="Normal"/>
    <w:rsid w:val="00060470"/>
    <w:pPr>
      <w:suppressAutoHyphens/>
      <w:spacing w:before="0" w:after="160" w:line="240" w:lineRule="exact"/>
      <w:ind w:firstLine="0"/>
      <w:contextualSpacing w:val="0"/>
      <w:jc w:val="left"/>
    </w:pPr>
    <w:rPr>
      <w:rFonts w:ascii="Arial" w:hAnsi="Arial" w:cs="Arial"/>
      <w:kern w:val="1"/>
      <w:sz w:val="20"/>
      <w:szCs w:val="20"/>
      <w:lang w:val="en-US" w:eastAsia="en-US"/>
    </w:rPr>
  </w:style>
  <w:style w:type="paragraph" w:customStyle="1" w:styleId="1f0">
    <w:name w:val="Без интервала1"/>
    <w:uiPriority w:val="1"/>
    <w:qFormat/>
    <w:rsid w:val="00060470"/>
    <w:pPr>
      <w:suppressAutoHyphens/>
    </w:pPr>
    <w:rPr>
      <w:rFonts w:ascii="GHEA Grapalat" w:hAnsi="GHEA Grapalat" w:cs="GHEA Grapalat"/>
      <w:kern w:val="1"/>
      <w:sz w:val="22"/>
      <w:szCs w:val="22"/>
    </w:rPr>
  </w:style>
  <w:style w:type="paragraph" w:customStyle="1" w:styleId="Iacaaiea">
    <w:name w:val="Iacaaiea"/>
    <w:basedOn w:val="Normal"/>
    <w:rsid w:val="00060470"/>
    <w:pPr>
      <w:widowControl w:val="0"/>
      <w:suppressAutoHyphens/>
      <w:spacing w:before="0" w:line="240" w:lineRule="auto"/>
      <w:ind w:firstLine="0"/>
      <w:contextualSpacing w:val="0"/>
      <w:jc w:val="center"/>
    </w:pPr>
    <w:rPr>
      <w:rFonts w:ascii="Times LatArm" w:hAnsi="Times LatArm" w:cs="Times LatArm"/>
      <w:kern w:val="1"/>
      <w:sz w:val="24"/>
      <w:lang w:val="en-US" w:eastAsia="en-US"/>
    </w:rPr>
  </w:style>
  <w:style w:type="paragraph" w:customStyle="1" w:styleId="1f1">
    <w:name w:val="Основной текст1"/>
    <w:basedOn w:val="Normal"/>
    <w:rsid w:val="00060470"/>
    <w:pPr>
      <w:suppressAutoHyphens/>
      <w:spacing w:before="0" w:after="200" w:line="276" w:lineRule="auto"/>
      <w:ind w:firstLine="0"/>
      <w:contextualSpacing w:val="0"/>
      <w:jc w:val="left"/>
    </w:pPr>
    <w:rPr>
      <w:rFonts w:ascii="Sylfaen" w:hAnsi="Sylfaen" w:cs="Sylfaen"/>
      <w:spacing w:val="20"/>
      <w:w w:val="80"/>
      <w:kern w:val="1"/>
      <w:sz w:val="20"/>
      <w:szCs w:val="20"/>
      <w:shd w:val="clear" w:color="auto" w:fill="FFFFFF"/>
    </w:rPr>
  </w:style>
  <w:style w:type="paragraph" w:customStyle="1" w:styleId="29">
    <w:name w:val="Основной текст (2)"/>
    <w:basedOn w:val="Normal"/>
    <w:rsid w:val="00060470"/>
    <w:pPr>
      <w:suppressAutoHyphens/>
      <w:spacing w:before="0" w:after="200" w:line="276" w:lineRule="auto"/>
      <w:ind w:firstLine="0"/>
      <w:contextualSpacing w:val="0"/>
      <w:jc w:val="left"/>
    </w:pPr>
    <w:rPr>
      <w:rFonts w:ascii="Sylfaen" w:hAnsi="Sylfaen" w:cs="Sylfaen"/>
      <w:i/>
      <w:iCs/>
      <w:kern w:val="1"/>
      <w:sz w:val="20"/>
      <w:szCs w:val="20"/>
      <w:shd w:val="clear" w:color="auto" w:fill="FFFFFF"/>
    </w:rPr>
  </w:style>
  <w:style w:type="paragraph" w:customStyle="1" w:styleId="35">
    <w:name w:val="Основной текст (3)"/>
    <w:basedOn w:val="Normal"/>
    <w:rsid w:val="00060470"/>
    <w:pPr>
      <w:suppressAutoHyphens/>
      <w:spacing w:before="0" w:after="200" w:line="276" w:lineRule="auto"/>
      <w:ind w:firstLine="0"/>
      <w:contextualSpacing w:val="0"/>
      <w:jc w:val="left"/>
    </w:pPr>
    <w:rPr>
      <w:rFonts w:ascii="Sylfaen" w:hAnsi="Sylfaen" w:cs="Sylfaen"/>
      <w:spacing w:val="20"/>
      <w:w w:val="80"/>
      <w:kern w:val="1"/>
      <w:sz w:val="21"/>
      <w:szCs w:val="21"/>
      <w:shd w:val="clear" w:color="auto" w:fill="FFFFFF"/>
    </w:rPr>
  </w:style>
  <w:style w:type="paragraph" w:customStyle="1" w:styleId="43">
    <w:name w:val="Основной текст (4)"/>
    <w:basedOn w:val="Normal"/>
    <w:rsid w:val="00060470"/>
    <w:pPr>
      <w:suppressAutoHyphens/>
      <w:spacing w:before="0" w:after="200" w:line="276" w:lineRule="auto"/>
      <w:ind w:firstLine="0"/>
      <w:contextualSpacing w:val="0"/>
      <w:jc w:val="left"/>
    </w:pPr>
    <w:rPr>
      <w:rFonts w:ascii="Sylfaen" w:hAnsi="Sylfaen" w:cs="Sylfaen"/>
      <w:spacing w:val="20"/>
      <w:w w:val="80"/>
      <w:kern w:val="1"/>
      <w:sz w:val="20"/>
      <w:szCs w:val="20"/>
      <w:shd w:val="clear" w:color="auto" w:fill="FFFFFF"/>
    </w:rPr>
  </w:style>
  <w:style w:type="paragraph" w:customStyle="1" w:styleId="1f2">
    <w:name w:val="Заголовок №1"/>
    <w:basedOn w:val="Normal"/>
    <w:rsid w:val="00060470"/>
    <w:pPr>
      <w:suppressAutoHyphens/>
      <w:spacing w:before="0" w:after="200" w:line="276" w:lineRule="auto"/>
      <w:ind w:firstLine="0"/>
      <w:contextualSpacing w:val="0"/>
      <w:jc w:val="left"/>
    </w:pPr>
    <w:rPr>
      <w:rFonts w:ascii="Sylfaen" w:hAnsi="Sylfaen" w:cs="Sylfaen"/>
      <w:i/>
      <w:iCs/>
      <w:spacing w:val="-30"/>
      <w:kern w:val="1"/>
      <w:sz w:val="31"/>
      <w:szCs w:val="31"/>
      <w:shd w:val="clear" w:color="auto" w:fill="FFFFFF"/>
    </w:rPr>
  </w:style>
  <w:style w:type="paragraph" w:customStyle="1" w:styleId="CharCharCharCharChar11">
    <w:name w:val="Char Char Char Знак Знак Char Char Знак Знак1"/>
    <w:basedOn w:val="Normal"/>
    <w:rsid w:val="00060470"/>
    <w:pPr>
      <w:suppressAutoHyphens/>
      <w:spacing w:before="0" w:after="160" w:line="240" w:lineRule="exact"/>
      <w:ind w:firstLine="0"/>
      <w:contextualSpacing w:val="0"/>
      <w:jc w:val="left"/>
    </w:pPr>
    <w:rPr>
      <w:rFonts w:ascii="Arial" w:hAnsi="Arial" w:cs="Arial"/>
      <w:kern w:val="1"/>
      <w:sz w:val="20"/>
      <w:szCs w:val="20"/>
      <w:lang w:val="en-US" w:eastAsia="en-US"/>
    </w:rPr>
  </w:style>
  <w:style w:type="paragraph" w:customStyle="1" w:styleId="FrameContents">
    <w:name w:val="Frame Contents"/>
    <w:basedOn w:val="Normal"/>
    <w:rsid w:val="00060470"/>
    <w:pPr>
      <w:suppressAutoHyphens/>
      <w:spacing w:before="0" w:after="200" w:line="276" w:lineRule="auto"/>
      <w:ind w:firstLine="0"/>
      <w:contextualSpacing w:val="0"/>
      <w:jc w:val="left"/>
    </w:pPr>
    <w:rPr>
      <w:rFonts w:ascii="Calibri" w:hAnsi="Calibri" w:cs="Calibri"/>
      <w:kern w:val="1"/>
      <w:szCs w:val="22"/>
      <w:lang w:val="en-US" w:eastAsia="en-US"/>
    </w:rPr>
  </w:style>
  <w:style w:type="paragraph" w:customStyle="1" w:styleId="NoSpacing2">
    <w:name w:val="No Spacing2"/>
    <w:rsid w:val="00060470"/>
    <w:rPr>
      <w:rFonts w:ascii="Arial Armenian" w:hAnsi="Arial Armenian" w:cs="Arial Armenian"/>
      <w:sz w:val="24"/>
      <w:szCs w:val="24"/>
      <w:lang w:val="ru-RU"/>
    </w:rPr>
  </w:style>
  <w:style w:type="character" w:customStyle="1" w:styleId="user-name">
    <w:name w:val="user-name"/>
    <w:rsid w:val="00060470"/>
    <w:rPr>
      <w:rFonts w:cs="Times New Roman"/>
    </w:rPr>
  </w:style>
  <w:style w:type="character" w:customStyle="1" w:styleId="Heading2Char2">
    <w:name w:val="Heading 2 Char2"/>
    <w:aliases w:val="Paranum Char2,(Chapter) Char2,(Chapter) Char Char"/>
    <w:locked/>
    <w:rsid w:val="00060470"/>
    <w:rPr>
      <w:rFonts w:ascii="Cambria" w:hAnsi="Cambria" w:cs="Times New Roman"/>
      <w:b/>
      <w:color w:val="4F81BD"/>
      <w:sz w:val="26"/>
    </w:rPr>
  </w:style>
  <w:style w:type="character" w:customStyle="1" w:styleId="BodyTextChar3">
    <w:name w:val="Body Text Char3"/>
    <w:aliases w:val="(Main Text) Char3,date Char3,Body Text (Main text) Char3,Body Text (Main text) Char Char"/>
    <w:semiHidden/>
    <w:locked/>
    <w:rsid w:val="00060470"/>
    <w:rPr>
      <w:rFonts w:ascii="Times New Roman" w:hAnsi="Times New Roman" w:cs="Times New Roman"/>
      <w:sz w:val="24"/>
      <w:szCs w:val="24"/>
    </w:rPr>
  </w:style>
  <w:style w:type="character" w:customStyle="1" w:styleId="BodyTextChar2">
    <w:name w:val="Body Text Char2"/>
    <w:aliases w:val="(Main Text) Char2,date Char2,Body Text (Main text) Char2"/>
    <w:locked/>
    <w:rsid w:val="00060470"/>
    <w:rPr>
      <w:rFonts w:ascii="Times New Roman" w:hAnsi="Times New Roman" w:cs="Times New Roman"/>
      <w:sz w:val="24"/>
    </w:rPr>
  </w:style>
  <w:style w:type="character" w:customStyle="1" w:styleId="fsl">
    <w:name w:val="fsl"/>
    <w:rsid w:val="00060470"/>
  </w:style>
  <w:style w:type="paragraph" w:styleId="IntenseQuote">
    <w:name w:val="Intense Quote"/>
    <w:basedOn w:val="Normal"/>
    <w:next w:val="Normal"/>
    <w:link w:val="IntenseQuoteChar"/>
    <w:qFormat/>
    <w:rsid w:val="00060470"/>
    <w:pPr>
      <w:pBdr>
        <w:bottom w:val="single" w:sz="4" w:space="4" w:color="4F81BD"/>
      </w:pBdr>
      <w:spacing w:before="200" w:after="280" w:line="240" w:lineRule="auto"/>
      <w:ind w:left="936" w:right="936" w:firstLine="0"/>
      <w:contextualSpacing w:val="0"/>
      <w:jc w:val="left"/>
    </w:pPr>
    <w:rPr>
      <w:rFonts w:ascii="Times New Roman" w:hAnsi="Times New Roman"/>
      <w:b w:val="0"/>
      <w:bCs/>
      <w:i/>
      <w:iCs/>
      <w:color w:val="4F81BD"/>
      <w:sz w:val="24"/>
    </w:rPr>
  </w:style>
  <w:style w:type="character" w:customStyle="1" w:styleId="IntenseQuoteChar">
    <w:name w:val="Intense Quote Char"/>
    <w:basedOn w:val="DefaultParagraphFont"/>
    <w:link w:val="IntenseQuote"/>
    <w:rsid w:val="00060470"/>
    <w:rPr>
      <w:b/>
      <w:bCs/>
      <w:i/>
      <w:iCs/>
      <w:color w:val="4F81BD"/>
      <w:sz w:val="24"/>
      <w:szCs w:val="24"/>
    </w:rPr>
  </w:style>
  <w:style w:type="character" w:styleId="SubtleEmphasis">
    <w:name w:val="Subtle Emphasis"/>
    <w:qFormat/>
    <w:rsid w:val="00060470"/>
    <w:rPr>
      <w:rFonts w:cs="Times New Roman"/>
      <w:i/>
      <w:iCs/>
      <w:color w:val="808080"/>
    </w:rPr>
  </w:style>
  <w:style w:type="character" w:styleId="SubtleReference">
    <w:name w:val="Subtle Reference"/>
    <w:qFormat/>
    <w:rsid w:val="00060470"/>
    <w:rPr>
      <w:rFonts w:cs="Times New Roman"/>
      <w:smallCaps/>
      <w:color w:val="C0504D"/>
      <w:u w:val="single"/>
    </w:rPr>
  </w:style>
  <w:style w:type="character" w:styleId="IntenseReference">
    <w:name w:val="Intense Reference"/>
    <w:qFormat/>
    <w:rsid w:val="00060470"/>
    <w:rPr>
      <w:rFonts w:cs="Times New Roman"/>
      <w:b/>
      <w:bCs/>
      <w:smallCaps/>
      <w:color w:val="C0504D"/>
      <w:spacing w:val="5"/>
      <w:u w:val="single"/>
    </w:rPr>
  </w:style>
  <w:style w:type="character" w:styleId="BookTitle">
    <w:name w:val="Book Title"/>
    <w:qFormat/>
    <w:rsid w:val="00060470"/>
    <w:rPr>
      <w:rFonts w:cs="Times New Roman"/>
      <w:b/>
      <w:bCs/>
      <w:smallCaps/>
      <w:spacing w:val="5"/>
    </w:rPr>
  </w:style>
  <w:style w:type="paragraph" w:customStyle="1" w:styleId="ColorfulList-Accent11">
    <w:name w:val="Colorful List - Accent 11"/>
    <w:basedOn w:val="Normal"/>
    <w:qFormat/>
    <w:rsid w:val="00060470"/>
    <w:pPr>
      <w:spacing w:before="0" w:after="200" w:line="276" w:lineRule="auto"/>
      <w:ind w:left="720" w:firstLine="0"/>
      <w:jc w:val="left"/>
    </w:pPr>
    <w:rPr>
      <w:rFonts w:ascii="Calibri" w:eastAsia="Calibri" w:hAnsi="Calibri"/>
      <w:szCs w:val="22"/>
      <w:lang w:eastAsia="en-US"/>
    </w:rPr>
  </w:style>
  <w:style w:type="character" w:customStyle="1" w:styleId="spellingerror">
    <w:name w:val="spellingerror"/>
    <w:rsid w:val="00060470"/>
  </w:style>
  <w:style w:type="character" w:customStyle="1" w:styleId="CharChar31">
    <w:name w:val="Char Char31"/>
    <w:locked/>
    <w:rsid w:val="00060470"/>
    <w:rPr>
      <w:sz w:val="22"/>
      <w:lang w:val="en-GB" w:eastAsia="en-US"/>
    </w:rPr>
  </w:style>
  <w:style w:type="character" w:customStyle="1" w:styleId="red-block">
    <w:name w:val="red-block"/>
    <w:rsid w:val="00060470"/>
    <w:rPr>
      <w:rFonts w:cs="Times New Roman"/>
    </w:rPr>
  </w:style>
  <w:style w:type="character" w:customStyle="1" w:styleId="accent">
    <w:name w:val="accent"/>
    <w:rsid w:val="00060470"/>
    <w:rPr>
      <w:rFonts w:cs="Times New Roman"/>
    </w:rPr>
  </w:style>
  <w:style w:type="character" w:customStyle="1" w:styleId="FontStyle37">
    <w:name w:val="Font Style37"/>
    <w:rsid w:val="00060470"/>
    <w:rPr>
      <w:rFonts w:ascii="Sylfaen" w:hAnsi="Sylfaen"/>
      <w:sz w:val="22"/>
    </w:rPr>
  </w:style>
  <w:style w:type="numbering" w:customStyle="1" w:styleId="NoList4">
    <w:name w:val="No List4"/>
    <w:next w:val="NoList"/>
    <w:semiHidden/>
    <w:rsid w:val="00060470"/>
  </w:style>
  <w:style w:type="paragraph" w:customStyle="1" w:styleId="StyleHeading3Sub-ChapterCenteredtextHeading3CharCharC1">
    <w:name w:val="Style Heading 3(Sub-Chapter)Centered(text)Heading 3 Char Char C...1"/>
    <w:basedOn w:val="Heading3"/>
    <w:rsid w:val="00060470"/>
    <w:pPr>
      <w:widowControl w:val="0"/>
      <w:tabs>
        <w:tab w:val="left" w:pos="624"/>
      </w:tabs>
      <w:spacing w:before="120"/>
      <w:ind w:right="301"/>
      <w:contextualSpacing w:val="0"/>
    </w:pPr>
    <w:rPr>
      <w:rFonts w:cs="Times New Roman"/>
      <w:color w:val="000000"/>
      <w:szCs w:val="22"/>
      <w:u w:val="single"/>
      <w:lang w:val="es-ES"/>
    </w:rPr>
  </w:style>
  <w:style w:type="paragraph" w:customStyle="1" w:styleId="1MTEF">
    <w:name w:val="1. MTEF"/>
    <w:basedOn w:val="StyleStyleHeading1SectionSectionHeadingText11Chapterhead31"/>
    <w:rsid w:val="00060470"/>
    <w:rPr>
      <w:b/>
      <w:bCs/>
    </w:rPr>
  </w:style>
  <w:style w:type="character" w:customStyle="1" w:styleId="CharChar35">
    <w:name w:val="Char Char35"/>
    <w:rsid w:val="00060470"/>
    <w:rPr>
      <w:rFonts w:ascii="Arial Armenian" w:hAnsi="Arial Armenian"/>
      <w:i/>
      <w:sz w:val="22"/>
      <w:u w:val="single"/>
      <w:lang w:val="en-GB"/>
    </w:rPr>
  </w:style>
  <w:style w:type="character" w:customStyle="1" w:styleId="CharChar34">
    <w:name w:val="Char Char34"/>
    <w:rsid w:val="00060470"/>
    <w:rPr>
      <w:rFonts w:ascii="Garamond" w:hAnsi="Garamond"/>
      <w:i/>
      <w:spacing w:val="-5"/>
      <w:sz w:val="28"/>
      <w:shd w:val="pct5" w:color="auto" w:fill="auto"/>
      <w:lang w:val="en-GB"/>
    </w:rPr>
  </w:style>
  <w:style w:type="character" w:customStyle="1" w:styleId="CharChar33">
    <w:name w:val="Char Char33"/>
    <w:rsid w:val="00060470"/>
    <w:rPr>
      <w:rFonts w:ascii="Arial Black" w:hAnsi="Arial Black"/>
      <w:caps/>
      <w:spacing w:val="60"/>
      <w:position w:val="4"/>
      <w:sz w:val="14"/>
      <w:lang w:val="en-GB"/>
    </w:rPr>
  </w:style>
  <w:style w:type="character" w:customStyle="1" w:styleId="CharChar32">
    <w:name w:val="Char Char32"/>
    <w:rsid w:val="00060470"/>
    <w:rPr>
      <w:rFonts w:ascii="Garamond" w:hAnsi="Garamond"/>
      <w:b/>
      <w:i/>
      <w:kern w:val="28"/>
      <w:lang w:val="en-GB"/>
    </w:rPr>
  </w:style>
  <w:style w:type="character" w:customStyle="1" w:styleId="CharChar30">
    <w:name w:val="Char Char30"/>
    <w:rsid w:val="00060470"/>
    <w:rPr>
      <w:rFonts w:ascii="Arial Armenian" w:hAnsi="Arial Armenian"/>
      <w:lang w:val="en-GB" w:eastAsia="en-US" w:bidi="ar-SA"/>
    </w:rPr>
  </w:style>
  <w:style w:type="character" w:customStyle="1" w:styleId="CharChar29">
    <w:name w:val="Char Char29"/>
    <w:rsid w:val="00060470"/>
    <w:rPr>
      <w:rFonts w:ascii="Arial Armenian" w:hAnsi="Arial Armenian"/>
      <w:lang w:val="ru-RU" w:eastAsia="ru-RU" w:bidi="ar-SA"/>
    </w:rPr>
  </w:style>
  <w:style w:type="paragraph" w:customStyle="1" w:styleId="CharChar5CharCharCharCharCharChar">
    <w:name w:val="Char Char5 Char Char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paragraph" w:customStyle="1" w:styleId="CharChar5CharCharCharChar">
    <w:name w:val="Char Char5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table" w:styleId="Table3Deffects3">
    <w:name w:val="Table 3D effects 3"/>
    <w:basedOn w:val="TableNormal"/>
    <w:uiPriority w:val="99"/>
    <w:rsid w:val="0006047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5CharChar">
    <w:name w:val="Char Char5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tocnumber">
    <w:name w:val="tocnumber"/>
    <w:rsid w:val="00060470"/>
  </w:style>
  <w:style w:type="character" w:customStyle="1" w:styleId="toctext">
    <w:name w:val="toctext"/>
    <w:rsid w:val="00060470"/>
  </w:style>
  <w:style w:type="character" w:customStyle="1" w:styleId="mw-editsection">
    <w:name w:val="mw-editsection"/>
    <w:rsid w:val="00060470"/>
  </w:style>
  <w:style w:type="character" w:customStyle="1" w:styleId="mw-editsection-bracket">
    <w:name w:val="mw-editsection-bracket"/>
    <w:rsid w:val="00060470"/>
  </w:style>
  <w:style w:type="character" w:customStyle="1" w:styleId="mw-editsection-divider">
    <w:name w:val="mw-editsection-divider"/>
    <w:rsid w:val="00060470"/>
  </w:style>
  <w:style w:type="character" w:customStyle="1" w:styleId="reference-text">
    <w:name w:val="reference-text"/>
    <w:rsid w:val="00060470"/>
  </w:style>
  <w:style w:type="paragraph" w:styleId="z-TopofForm">
    <w:name w:val="HTML Top of Form"/>
    <w:basedOn w:val="Normal"/>
    <w:next w:val="Normal"/>
    <w:link w:val="z-TopofFormChar"/>
    <w:hidden/>
    <w:uiPriority w:val="99"/>
    <w:unhideWhenUsed/>
    <w:rsid w:val="00060470"/>
    <w:pPr>
      <w:pBdr>
        <w:bottom w:val="single" w:sz="6" w:space="1" w:color="auto"/>
      </w:pBdr>
      <w:spacing w:before="0" w:line="240" w:lineRule="auto"/>
      <w:ind w:firstLine="0"/>
      <w:contextualSpacing w:val="0"/>
      <w:jc w:val="center"/>
    </w:pPr>
    <w:rPr>
      <w:rFonts w:ascii="Arial" w:hAnsi="Arial"/>
      <w:vanish/>
      <w:sz w:val="16"/>
      <w:szCs w:val="16"/>
    </w:rPr>
  </w:style>
  <w:style w:type="character" w:customStyle="1" w:styleId="z-TopofFormChar">
    <w:name w:val="z-Top of Form Char"/>
    <w:basedOn w:val="DefaultParagraphFont"/>
    <w:link w:val="z-TopofForm"/>
    <w:uiPriority w:val="99"/>
    <w:rsid w:val="00060470"/>
    <w:rPr>
      <w:rFonts w:ascii="Arial" w:hAnsi="Arial"/>
      <w:vanish/>
      <w:sz w:val="16"/>
      <w:szCs w:val="16"/>
    </w:rPr>
  </w:style>
  <w:style w:type="paragraph" w:styleId="z-BottomofForm">
    <w:name w:val="HTML Bottom of Form"/>
    <w:basedOn w:val="Normal"/>
    <w:next w:val="Normal"/>
    <w:link w:val="z-BottomofFormChar"/>
    <w:hidden/>
    <w:uiPriority w:val="99"/>
    <w:unhideWhenUsed/>
    <w:rsid w:val="00060470"/>
    <w:pPr>
      <w:pBdr>
        <w:top w:val="single" w:sz="6" w:space="1" w:color="auto"/>
      </w:pBdr>
      <w:spacing w:before="0" w:line="240" w:lineRule="auto"/>
      <w:ind w:firstLine="0"/>
      <w:contextualSpacing w:val="0"/>
      <w:jc w:val="center"/>
    </w:pPr>
    <w:rPr>
      <w:rFonts w:ascii="Arial" w:hAnsi="Arial"/>
      <w:vanish/>
      <w:sz w:val="16"/>
      <w:szCs w:val="16"/>
    </w:rPr>
  </w:style>
  <w:style w:type="character" w:customStyle="1" w:styleId="z-BottomofFormChar">
    <w:name w:val="z-Bottom of Form Char"/>
    <w:basedOn w:val="DefaultParagraphFont"/>
    <w:link w:val="z-BottomofForm"/>
    <w:uiPriority w:val="99"/>
    <w:rsid w:val="00060470"/>
    <w:rPr>
      <w:rFonts w:ascii="Arial" w:hAnsi="Arial"/>
      <w:vanish/>
      <w:sz w:val="16"/>
      <w:szCs w:val="16"/>
    </w:rPr>
  </w:style>
  <w:style w:type="character" w:customStyle="1" w:styleId="wb-langlinks-edit">
    <w:name w:val="wb-langlinks-edit"/>
    <w:rsid w:val="00060470"/>
  </w:style>
  <w:style w:type="character" w:customStyle="1" w:styleId="noprint">
    <w:name w:val="noprint"/>
    <w:rsid w:val="00060470"/>
  </w:style>
  <w:style w:type="character" w:customStyle="1" w:styleId="pg">
    <w:name w:val="pg"/>
    <w:rsid w:val="00060470"/>
  </w:style>
  <w:style w:type="paragraph" w:customStyle="1" w:styleId="DecimalAligned">
    <w:name w:val="Decimal Aligned"/>
    <w:basedOn w:val="Normal"/>
    <w:uiPriority w:val="40"/>
    <w:qFormat/>
    <w:rsid w:val="00060470"/>
    <w:pPr>
      <w:tabs>
        <w:tab w:val="decimal" w:pos="360"/>
      </w:tabs>
      <w:spacing w:before="0" w:after="200" w:line="276" w:lineRule="auto"/>
      <w:ind w:firstLine="0"/>
      <w:contextualSpacing w:val="0"/>
      <w:jc w:val="left"/>
    </w:pPr>
    <w:rPr>
      <w:rFonts w:ascii="Calibri" w:eastAsia="Calibri" w:hAnsi="Calibri"/>
      <w:szCs w:val="22"/>
      <w:lang w:val="en-US" w:eastAsia="ja-JP"/>
    </w:rPr>
  </w:style>
  <w:style w:type="paragraph" w:styleId="HTMLPreformatted">
    <w:name w:val="HTML Preformatted"/>
    <w:basedOn w:val="Normal"/>
    <w:link w:val="HTMLPreformattedChar"/>
    <w:uiPriority w:val="99"/>
    <w:unhideWhenUsed/>
    <w:rsid w:val="00060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contextualSpacing w:val="0"/>
      <w:jc w:val="left"/>
    </w:pPr>
    <w:rPr>
      <w:rFonts w:ascii="Arial Unicode" w:hAnsi="Arial Unicode"/>
      <w:sz w:val="20"/>
      <w:szCs w:val="20"/>
    </w:rPr>
  </w:style>
  <w:style w:type="character" w:customStyle="1" w:styleId="HTMLPreformattedChar">
    <w:name w:val="HTML Preformatted Char"/>
    <w:basedOn w:val="DefaultParagraphFont"/>
    <w:link w:val="HTMLPreformatted"/>
    <w:uiPriority w:val="99"/>
    <w:rsid w:val="00060470"/>
    <w:rPr>
      <w:rFonts w:ascii="Arial Unicode" w:hAnsi="Arial Unicode"/>
    </w:rPr>
  </w:style>
  <w:style w:type="paragraph" w:customStyle="1" w:styleId="StyleCaption11pt">
    <w:name w:val="Style Caption + 11 pt"/>
    <w:basedOn w:val="Caption"/>
    <w:link w:val="StyleCaption11ptChar"/>
    <w:rsid w:val="00060470"/>
    <w:pPr>
      <w:spacing w:before="360" w:after="120" w:line="240" w:lineRule="auto"/>
      <w:ind w:left="1350" w:hanging="1350"/>
      <w:contextualSpacing w:val="0"/>
      <w:jc w:val="left"/>
    </w:pPr>
    <w:rPr>
      <w:color w:val="auto"/>
      <w:sz w:val="20"/>
      <w:szCs w:val="20"/>
    </w:rPr>
  </w:style>
  <w:style w:type="character" w:customStyle="1" w:styleId="StyleCaption11ptChar">
    <w:name w:val="Style Caption + 11 pt Char"/>
    <w:link w:val="StyleCaption11pt"/>
    <w:rsid w:val="00060470"/>
    <w:rPr>
      <w:rFonts w:ascii="GHEA Grapalat" w:hAnsi="GHEA Grapalat"/>
      <w:b/>
      <w:bCs/>
      <w:lang w:eastAsia="ru-RU"/>
    </w:rPr>
  </w:style>
  <w:style w:type="paragraph" w:customStyle="1" w:styleId="StyleHeading3GHEAGrapalatJustified">
    <w:name w:val="Style Heading 3 + GHEA Grapalat Justified"/>
    <w:basedOn w:val="Heading3"/>
    <w:rsid w:val="00060470"/>
    <w:pPr>
      <w:tabs>
        <w:tab w:val="num" w:pos="384"/>
        <w:tab w:val="num" w:pos="737"/>
      </w:tabs>
      <w:spacing w:after="240"/>
      <w:ind w:left="1248" w:hanging="708"/>
      <w:contextualSpacing w:val="0"/>
    </w:pPr>
    <w:rPr>
      <w:rFonts w:cs="Times New Roman"/>
      <w:szCs w:val="22"/>
      <w:lang w:eastAsia="ru-RU"/>
    </w:rPr>
  </w:style>
  <w:style w:type="paragraph" w:customStyle="1" w:styleId="TitleNew">
    <w:name w:val="Title New"/>
    <w:basedOn w:val="Normal"/>
    <w:rsid w:val="00060470"/>
    <w:pPr>
      <w:widowControl w:val="0"/>
      <w:spacing w:before="0" w:line="360" w:lineRule="atLeast"/>
      <w:ind w:firstLine="0"/>
      <w:contextualSpacing w:val="0"/>
    </w:pPr>
    <w:rPr>
      <w:rFonts w:ascii="Times New Roman" w:eastAsia="ヒラギノ角ゴ Pro W3" w:hAnsi="Times New Roman"/>
      <w:b w:val="0"/>
      <w:color w:val="000000"/>
      <w:sz w:val="44"/>
      <w:lang w:val="en-US" w:eastAsia="en-US"/>
    </w:rPr>
  </w:style>
  <w:style w:type="paragraph" w:customStyle="1" w:styleId="36">
    <w:name w:val="Абзац списка3"/>
    <w:basedOn w:val="Normal"/>
    <w:uiPriority w:val="99"/>
    <w:qFormat/>
    <w:rsid w:val="00060470"/>
    <w:pPr>
      <w:spacing w:before="0" w:line="240" w:lineRule="auto"/>
      <w:ind w:left="720" w:firstLine="0"/>
      <w:jc w:val="left"/>
    </w:pPr>
    <w:rPr>
      <w:rFonts w:ascii="Times New Roman" w:hAnsi="Times New Roman"/>
      <w:sz w:val="24"/>
    </w:rPr>
  </w:style>
  <w:style w:type="character" w:customStyle="1" w:styleId="37">
    <w:name w:val="Основной текст3"/>
    <w:rsid w:val="00060470"/>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paragraph" w:customStyle="1" w:styleId="NormalGHEAGrapalat">
    <w:name w:val="Normal + GHEA Grapalat"/>
    <w:aliases w:val="11 pt,Bold,Italic"/>
    <w:basedOn w:val="Normal"/>
    <w:rsid w:val="00060470"/>
    <w:pPr>
      <w:autoSpaceDE w:val="0"/>
      <w:autoSpaceDN w:val="0"/>
      <w:adjustRightInd w:val="0"/>
      <w:spacing w:before="0" w:line="240" w:lineRule="auto"/>
      <w:ind w:firstLine="180"/>
      <w:contextualSpacing w:val="0"/>
    </w:pPr>
    <w:rPr>
      <w:b w:val="0"/>
      <w:i/>
      <w:szCs w:val="22"/>
      <w:lang w:val="hy-AM"/>
    </w:rPr>
  </w:style>
  <w:style w:type="character" w:customStyle="1" w:styleId="CommentTextChar2">
    <w:name w:val="Comment Text Char2"/>
    <w:rsid w:val="00060470"/>
    <w:rPr>
      <w:rFonts w:ascii="Arial Armenian" w:hAnsi="Arial Armenian"/>
      <w:lang w:val="ru-RU" w:eastAsia="ru-RU" w:bidi="ar-SA"/>
    </w:rPr>
  </w:style>
  <w:style w:type="character" w:customStyle="1" w:styleId="BalloonTextChar2">
    <w:name w:val="Balloon Text Char2"/>
    <w:rsid w:val="00060470"/>
    <w:rPr>
      <w:rFonts w:ascii="Tahoma" w:hAnsi="Tahoma"/>
      <w:sz w:val="16"/>
      <w:szCs w:val="16"/>
      <w:lang w:bidi="ar-SA"/>
    </w:rPr>
  </w:style>
  <w:style w:type="character" w:customStyle="1" w:styleId="Bodytext20">
    <w:name w:val="Body text (2)_"/>
    <w:link w:val="Bodytext21"/>
    <w:uiPriority w:val="99"/>
    <w:locked/>
    <w:rsid w:val="00060470"/>
    <w:rPr>
      <w:rFonts w:ascii="Tahoma" w:hAnsi="Tahoma" w:cs="Tahoma"/>
      <w:sz w:val="21"/>
      <w:szCs w:val="21"/>
      <w:shd w:val="clear" w:color="auto" w:fill="FFFFFF"/>
    </w:rPr>
  </w:style>
  <w:style w:type="paragraph" w:customStyle="1" w:styleId="Bodytext21">
    <w:name w:val="Body text (2)"/>
    <w:basedOn w:val="Normal"/>
    <w:link w:val="Bodytext20"/>
    <w:uiPriority w:val="99"/>
    <w:rsid w:val="00060470"/>
    <w:pPr>
      <w:widowControl w:val="0"/>
      <w:shd w:val="clear" w:color="auto" w:fill="FFFFFF"/>
      <w:spacing w:before="720" w:line="485" w:lineRule="exact"/>
      <w:ind w:firstLine="0"/>
      <w:contextualSpacing w:val="0"/>
    </w:pPr>
    <w:rPr>
      <w:rFonts w:ascii="Tahoma" w:hAnsi="Tahoma" w:cs="Tahoma"/>
      <w:sz w:val="21"/>
      <w:szCs w:val="21"/>
      <w:lang w:val="en-US" w:eastAsia="en-US"/>
    </w:rPr>
  </w:style>
  <w:style w:type="paragraph" w:customStyle="1" w:styleId="Appendix">
    <w:name w:val="Appendix"/>
    <w:basedOn w:val="Normal"/>
    <w:next w:val="Normal"/>
    <w:uiPriority w:val="6"/>
    <w:qFormat/>
    <w:rsid w:val="00060470"/>
    <w:pPr>
      <w:spacing w:before="0" w:after="240" w:line="264" w:lineRule="auto"/>
      <w:ind w:firstLine="0"/>
      <w:contextualSpacing w:val="0"/>
      <w:jc w:val="center"/>
    </w:pPr>
    <w:rPr>
      <w:rFonts w:ascii="Segoe UI" w:eastAsia="SimSun" w:hAnsi="Segoe UI"/>
      <w:b w:val="0"/>
      <w:color w:val="C45911"/>
      <w:sz w:val="32"/>
      <w:szCs w:val="20"/>
      <w:lang w:val="en-US" w:eastAsia="en-US"/>
    </w:rPr>
  </w:style>
  <w:style w:type="paragraph" w:customStyle="1" w:styleId="dec-date">
    <w:name w:val="dec-date"/>
    <w:basedOn w:val="Normal"/>
    <w:uiPriority w:val="99"/>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38">
    <w:name w:val="Обычный3"/>
    <w:rsid w:val="00060470"/>
    <w:pPr>
      <w:autoSpaceDE w:val="0"/>
      <w:autoSpaceDN w:val="0"/>
    </w:pPr>
    <w:rPr>
      <w:lang w:val="ru-RU" w:eastAsia="ru-RU"/>
    </w:rPr>
  </w:style>
  <w:style w:type="paragraph" w:customStyle="1" w:styleId="1f3">
    <w:name w:val="Заголовок оглавления1"/>
    <w:basedOn w:val="Heading1"/>
    <w:next w:val="Normal"/>
    <w:uiPriority w:val="39"/>
    <w:unhideWhenUsed/>
    <w:qFormat/>
    <w:rsid w:val="00060470"/>
    <w:pPr>
      <w:keepLines/>
      <w:spacing w:before="480"/>
      <w:contextualSpacing w:val="0"/>
      <w:outlineLvl w:val="9"/>
    </w:pPr>
    <w:rPr>
      <w:rFonts w:ascii="Cambria" w:hAnsi="Cambria"/>
      <w:bCs/>
      <w:color w:val="365F91"/>
      <w:szCs w:val="28"/>
      <w:lang w:eastAsia="en-US"/>
    </w:rPr>
  </w:style>
  <w:style w:type="paragraph" w:customStyle="1" w:styleId="213">
    <w:name w:val="Цитата 21"/>
    <w:basedOn w:val="Normal"/>
    <w:next w:val="Normal"/>
    <w:uiPriority w:val="29"/>
    <w:qFormat/>
    <w:rsid w:val="00060470"/>
    <w:pPr>
      <w:spacing w:before="0" w:line="240" w:lineRule="auto"/>
      <w:ind w:firstLine="0"/>
      <w:contextualSpacing w:val="0"/>
      <w:jc w:val="left"/>
    </w:pPr>
    <w:rPr>
      <w:rFonts w:ascii="Times New Roman" w:hAnsi="Times New Roman"/>
      <w:i/>
      <w:iCs/>
      <w:color w:val="000000"/>
      <w:sz w:val="24"/>
    </w:rPr>
  </w:style>
  <w:style w:type="character" w:customStyle="1" w:styleId="1f4">
    <w:name w:val="Сильное выделение1"/>
    <w:uiPriority w:val="21"/>
    <w:qFormat/>
    <w:rsid w:val="00060470"/>
    <w:rPr>
      <w:b/>
      <w:bCs/>
      <w:i/>
      <w:iCs/>
      <w:color w:val="4F81BD"/>
    </w:rPr>
  </w:style>
  <w:style w:type="numbering" w:customStyle="1" w:styleId="112">
    <w:name w:val="Нет списка11"/>
    <w:next w:val="NoList"/>
    <w:semiHidden/>
    <w:unhideWhenUsed/>
    <w:rsid w:val="00060470"/>
  </w:style>
  <w:style w:type="paragraph" w:customStyle="1" w:styleId="1f5">
    <w:name w:val="Выделенная цитата1"/>
    <w:basedOn w:val="Normal"/>
    <w:next w:val="Normal"/>
    <w:qFormat/>
    <w:rsid w:val="00060470"/>
    <w:pPr>
      <w:pBdr>
        <w:bottom w:val="single" w:sz="4" w:space="4" w:color="4F81BD"/>
      </w:pBdr>
      <w:spacing w:before="200" w:after="280" w:line="240" w:lineRule="auto"/>
      <w:ind w:left="936" w:right="936" w:firstLine="0"/>
      <w:contextualSpacing w:val="0"/>
      <w:jc w:val="left"/>
    </w:pPr>
    <w:rPr>
      <w:rFonts w:ascii="Times New Roman" w:hAnsi="Times New Roman"/>
      <w:b w:val="0"/>
      <w:bCs/>
      <w:i/>
      <w:iCs/>
      <w:color w:val="4F81BD"/>
      <w:sz w:val="24"/>
    </w:rPr>
  </w:style>
  <w:style w:type="character" w:customStyle="1" w:styleId="1f6">
    <w:name w:val="Слабое выделение1"/>
    <w:qFormat/>
    <w:rsid w:val="00060470"/>
    <w:rPr>
      <w:rFonts w:cs="Times New Roman"/>
      <w:i/>
      <w:iCs/>
      <w:color w:val="808080"/>
    </w:rPr>
  </w:style>
  <w:style w:type="character" w:customStyle="1" w:styleId="1f7">
    <w:name w:val="Слабая ссылка1"/>
    <w:qFormat/>
    <w:rsid w:val="00060470"/>
    <w:rPr>
      <w:rFonts w:cs="Times New Roman"/>
      <w:smallCaps/>
      <w:color w:val="C0504D"/>
      <w:u w:val="single"/>
    </w:rPr>
  </w:style>
  <w:style w:type="character" w:customStyle="1" w:styleId="1f8">
    <w:name w:val="Сильная ссылка1"/>
    <w:qFormat/>
    <w:rsid w:val="00060470"/>
    <w:rPr>
      <w:rFonts w:cs="Times New Roman"/>
      <w:b/>
      <w:bCs/>
      <w:smallCaps/>
      <w:color w:val="C0504D"/>
      <w:spacing w:val="5"/>
      <w:u w:val="single"/>
    </w:rPr>
  </w:style>
  <w:style w:type="character" w:customStyle="1" w:styleId="1f9">
    <w:name w:val="Название книги1"/>
    <w:qFormat/>
    <w:rsid w:val="00060470"/>
    <w:rPr>
      <w:rFonts w:cs="Times New Roman"/>
      <w:b/>
      <w:bCs/>
      <w:smallCaps/>
      <w:spacing w:val="5"/>
    </w:rPr>
  </w:style>
  <w:style w:type="character" w:customStyle="1" w:styleId="SubtitleChar2">
    <w:name w:val="Subtitle Char2"/>
    <w:rsid w:val="00060470"/>
    <w:rPr>
      <w:rFonts w:ascii="Times Armenian" w:hAnsi="Times Armenian"/>
      <w:b/>
      <w:sz w:val="28"/>
      <w:szCs w:val="24"/>
      <w:lang w:eastAsia="ru-RU"/>
    </w:rPr>
  </w:style>
  <w:style w:type="paragraph" w:customStyle="1" w:styleId="2a">
    <w:name w:val="Рецензия2"/>
    <w:hidden/>
    <w:semiHidden/>
    <w:rsid w:val="00060470"/>
    <w:rPr>
      <w:rFonts w:ascii="Arial Armenian" w:hAnsi="Arial Armenian"/>
      <w:sz w:val="22"/>
      <w:szCs w:val="22"/>
      <w:lang w:eastAsia="ru-RU"/>
    </w:rPr>
  </w:style>
  <w:style w:type="character" w:customStyle="1" w:styleId="TextChar">
    <w:name w:val="Text Char"/>
    <w:link w:val="Text"/>
    <w:locked/>
    <w:rsid w:val="00060470"/>
    <w:rPr>
      <w:rFonts w:ascii="GHEA Grapalat" w:hAnsi="GHEA Grapalat"/>
      <w:b/>
      <w:sz w:val="22"/>
      <w:lang w:val="en-GB"/>
    </w:rPr>
  </w:style>
  <w:style w:type="numbering" w:customStyle="1" w:styleId="NoList5">
    <w:name w:val="No List5"/>
    <w:next w:val="NoList"/>
    <w:uiPriority w:val="99"/>
    <w:semiHidden/>
    <w:unhideWhenUsed/>
    <w:rsid w:val="004D6E4C"/>
  </w:style>
  <w:style w:type="numbering" w:customStyle="1" w:styleId="NoList12">
    <w:name w:val="No List12"/>
    <w:next w:val="NoList"/>
    <w:uiPriority w:val="99"/>
    <w:semiHidden/>
    <w:rsid w:val="004D6E4C"/>
  </w:style>
  <w:style w:type="paragraph" w:customStyle="1" w:styleId="Bullet">
    <w:name w:val="Bullet"/>
    <w:aliases w:val="bl,Bullet L1,bl1"/>
    <w:basedOn w:val="Normal"/>
    <w:rsid w:val="004D6E4C"/>
    <w:pPr>
      <w:overflowPunct w:val="0"/>
      <w:autoSpaceDE w:val="0"/>
      <w:autoSpaceDN w:val="0"/>
      <w:adjustRightInd w:val="0"/>
      <w:spacing w:before="0" w:after="130" w:line="240" w:lineRule="auto"/>
      <w:ind w:left="283" w:hanging="283"/>
      <w:contextualSpacing w:val="0"/>
      <w:textAlignment w:val="baseline"/>
    </w:pPr>
    <w:rPr>
      <w:rFonts w:ascii="Times New Roman" w:hAnsi="Times New Roman"/>
      <w:szCs w:val="20"/>
      <w:lang w:val="en-GB" w:eastAsia="en-US"/>
    </w:rPr>
  </w:style>
  <w:style w:type="numbering" w:customStyle="1" w:styleId="NoList112">
    <w:name w:val="No List112"/>
    <w:next w:val="NoList"/>
    <w:semiHidden/>
    <w:rsid w:val="004D6E4C"/>
  </w:style>
  <w:style w:type="numbering" w:customStyle="1" w:styleId="NoList1111">
    <w:name w:val="No List1111"/>
    <w:next w:val="NoList"/>
    <w:semiHidden/>
    <w:rsid w:val="004D6E4C"/>
  </w:style>
  <w:style w:type="numbering" w:customStyle="1" w:styleId="NoList21">
    <w:name w:val="No List21"/>
    <w:next w:val="NoList"/>
    <w:semiHidden/>
    <w:rsid w:val="004D6E4C"/>
  </w:style>
  <w:style w:type="table" w:customStyle="1" w:styleId="TableGrid2">
    <w:name w:val="Table Grid2"/>
    <w:basedOn w:val="TableNormal"/>
    <w:next w:val="TableGrid"/>
    <w:rsid w:val="004D6E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semiHidden/>
    <w:unhideWhenUsed/>
    <w:rsid w:val="004D6E4C"/>
  </w:style>
  <w:style w:type="paragraph" w:customStyle="1" w:styleId="Char6">
    <w:name w:val="Char6"/>
    <w:basedOn w:val="Normal"/>
    <w:rsid w:val="008F52AF"/>
    <w:pPr>
      <w:spacing w:before="0" w:after="160" w:line="240" w:lineRule="exact"/>
      <w:ind w:firstLine="0"/>
      <w:contextualSpacing w:val="0"/>
      <w:jc w:val="left"/>
    </w:pPr>
    <w:rPr>
      <w:rFonts w:ascii="Arial" w:hAnsi="Arial" w:cs="Arial"/>
      <w:sz w:val="20"/>
      <w:szCs w:val="20"/>
      <w:lang w:val="en-US" w:eastAsia="en-US"/>
    </w:rPr>
  </w:style>
  <w:style w:type="paragraph" w:customStyle="1" w:styleId="1fa">
    <w:name w:val="1.Աղյուսակ Տեքստ"/>
    <w:basedOn w:val="Normal"/>
    <w:link w:val="1Char"/>
    <w:qFormat/>
    <w:rsid w:val="00681E45"/>
    <w:pPr>
      <w:spacing w:before="0" w:line="240" w:lineRule="auto"/>
      <w:ind w:firstLine="0"/>
      <w:jc w:val="center"/>
    </w:pPr>
    <w:rPr>
      <w:rFonts w:cs="Courier New"/>
      <w:b w:val="0"/>
      <w:color w:val="000000"/>
      <w:sz w:val="20"/>
      <w:szCs w:val="22"/>
      <w:lang w:val="en-US"/>
    </w:rPr>
  </w:style>
  <w:style w:type="character" w:customStyle="1" w:styleId="1Char">
    <w:name w:val="1.Աղյուսակ Տեքստ Char"/>
    <w:basedOn w:val="DefaultParagraphFont"/>
    <w:link w:val="1fa"/>
    <w:rsid w:val="00681E45"/>
    <w:rPr>
      <w:rFonts w:ascii="GHEA Grapalat" w:hAnsi="GHEA Grapalat" w:cs="Courier New"/>
      <w:color w:val="000000"/>
      <w:szCs w:val="22"/>
      <w:lang w:eastAsia="ru-RU"/>
    </w:rPr>
  </w:style>
  <w:style w:type="paragraph" w:customStyle="1" w:styleId="N">
    <w:name w:val="Աղյուսակ N"/>
    <w:basedOn w:val="BodyText2"/>
    <w:link w:val="NChar"/>
    <w:qFormat/>
    <w:rsid w:val="00FF291F"/>
  </w:style>
  <w:style w:type="character" w:customStyle="1" w:styleId="NChar">
    <w:name w:val="Աղյուսակ N Char"/>
    <w:basedOn w:val="BodyText2Char"/>
    <w:link w:val="N"/>
    <w:rsid w:val="00FF291F"/>
    <w:rPr>
      <w:rFonts w:ascii="GHEA Grapalat" w:eastAsia="Calibri" w:hAnsi="GHEA Grapalat"/>
      <w:sz w:val="22"/>
      <w:szCs w:val="24"/>
      <w:lang w:val="hy-AM" w:eastAsia="ru-RU"/>
    </w:rPr>
  </w:style>
  <w:style w:type="numbering" w:customStyle="1" w:styleId="NoList6">
    <w:name w:val="No List6"/>
    <w:next w:val="NoList"/>
    <w:uiPriority w:val="99"/>
    <w:semiHidden/>
    <w:unhideWhenUsed/>
    <w:rsid w:val="004163F2"/>
  </w:style>
  <w:style w:type="character" w:customStyle="1" w:styleId="BodyTextIndentChar1">
    <w:name w:val="Body Text Indent Char1"/>
    <w:aliases w:val="(Table Source) Char1,(Table Source) Char Char"/>
    <w:rsid w:val="004163F2"/>
    <w:rPr>
      <w:rFonts w:eastAsia="Batang"/>
      <w:sz w:val="24"/>
    </w:rPr>
  </w:style>
  <w:style w:type="numbering" w:customStyle="1" w:styleId="NoList7">
    <w:name w:val="No List7"/>
    <w:next w:val="NoList"/>
    <w:uiPriority w:val="99"/>
    <w:semiHidden/>
    <w:unhideWhenUsed/>
    <w:rsid w:val="003E71C9"/>
  </w:style>
  <w:style w:type="table" w:customStyle="1" w:styleId="TableGrid30">
    <w:name w:val="Table Grid3"/>
    <w:basedOn w:val="TableNormal"/>
    <w:next w:val="TableGrid"/>
    <w:rsid w:val="003E71C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semiHidden/>
    <w:unhideWhenUsed/>
    <w:rsid w:val="003E71C9"/>
  </w:style>
  <w:style w:type="numbering" w:customStyle="1" w:styleId="NoList113">
    <w:name w:val="No List113"/>
    <w:next w:val="NoList"/>
    <w:semiHidden/>
    <w:rsid w:val="003E71C9"/>
  </w:style>
  <w:style w:type="table" w:customStyle="1" w:styleId="TableGrid11">
    <w:name w:val="Table Grid11"/>
    <w:basedOn w:val="TableNormal"/>
    <w:next w:val="TableGrid"/>
    <w:rsid w:val="003E71C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semiHidden/>
    <w:rsid w:val="003E71C9"/>
  </w:style>
  <w:style w:type="numbering" w:customStyle="1" w:styleId="NoList22">
    <w:name w:val="No List22"/>
    <w:next w:val="NoList"/>
    <w:semiHidden/>
    <w:rsid w:val="003E71C9"/>
  </w:style>
  <w:style w:type="numbering" w:customStyle="1" w:styleId="NoList32">
    <w:name w:val="No List32"/>
    <w:next w:val="NoList"/>
    <w:semiHidden/>
    <w:unhideWhenUsed/>
    <w:rsid w:val="003E71C9"/>
  </w:style>
  <w:style w:type="table" w:customStyle="1" w:styleId="TableList71">
    <w:name w:val="Table List 71"/>
    <w:basedOn w:val="TableNormal"/>
    <w:next w:val="TableList7"/>
    <w:rsid w:val="003E71C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
    <w:name w:val="Table Web 31"/>
    <w:basedOn w:val="TableNormal"/>
    <w:next w:val="TableWeb3"/>
    <w:rsid w:val="003E71C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
    <w:name w:val="Table Elegant1"/>
    <w:basedOn w:val="TableNormal"/>
    <w:next w:val="TableElegant"/>
    <w:rsid w:val="003E71C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3E71C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
    <w:name w:val="Table Web 11"/>
    <w:basedOn w:val="TableNormal"/>
    <w:next w:val="TableWeb1"/>
    <w:rsid w:val="003E71C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
    <w:name w:val="Table Grid 81"/>
    <w:basedOn w:val="TableNormal"/>
    <w:next w:val="TableGrid8"/>
    <w:rsid w:val="003E71C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rsid w:val="003E71C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
    <w:name w:val="Light List - Accent 12"/>
    <w:basedOn w:val="TableNormal"/>
    <w:next w:val="LightList-Accent1"/>
    <w:uiPriority w:val="61"/>
    <w:rsid w:val="003E71C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
    <w:name w:val="Table Grid 71"/>
    <w:basedOn w:val="TableNormal"/>
    <w:next w:val="TableGrid7"/>
    <w:rsid w:val="003E71C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
    <w:name w:val="Colorful Grid - Accent 12"/>
    <w:basedOn w:val="TableNormal"/>
    <w:next w:val="ColorfulGrid-Accent1"/>
    <w:rsid w:val="003E71C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
    <w:name w:val="Light List - Accent 52"/>
    <w:basedOn w:val="TableNormal"/>
    <w:next w:val="LightList-Accent5"/>
    <w:rsid w:val="003E71C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
    <w:name w:val="Table Simple 31"/>
    <w:basedOn w:val="TableNormal"/>
    <w:next w:val="TableSimple3"/>
    <w:rsid w:val="003E71C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
    <w:name w:val="Table Grid 51"/>
    <w:basedOn w:val="TableNormal"/>
    <w:next w:val="TableGrid5"/>
    <w:rsid w:val="003E71C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
    <w:name w:val="Table Grid 31"/>
    <w:basedOn w:val="TableNormal"/>
    <w:next w:val="TableGrid3"/>
    <w:rsid w:val="003E71C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0">
    <w:name w:val="Table Grid 11"/>
    <w:basedOn w:val="TableNormal"/>
    <w:next w:val="TableGrid10"/>
    <w:rsid w:val="003E71C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
    <w:name w:val="Table Columns 51"/>
    <w:basedOn w:val="TableNormal"/>
    <w:next w:val="TableColumns5"/>
    <w:rsid w:val="003E71C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
    <w:name w:val="Light List - Accent 111"/>
    <w:basedOn w:val="TableNormal"/>
    <w:uiPriority w:val="61"/>
    <w:rsid w:val="003E71C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0">
    <w:name w:val="Нет списка12"/>
    <w:next w:val="NoList"/>
    <w:uiPriority w:val="99"/>
    <w:semiHidden/>
    <w:unhideWhenUsed/>
    <w:rsid w:val="003E71C9"/>
  </w:style>
  <w:style w:type="table" w:customStyle="1" w:styleId="ColorfulGrid-Accent111">
    <w:name w:val="Colorful Grid - Accent 111"/>
    <w:basedOn w:val="TableNormal"/>
    <w:rsid w:val="003E71C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
    <w:name w:val="Light List - Accent 511"/>
    <w:basedOn w:val="TableNormal"/>
    <w:rsid w:val="003E71C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
    <w:name w:val="No List41"/>
    <w:next w:val="NoList"/>
    <w:semiHidden/>
    <w:rsid w:val="003E71C9"/>
  </w:style>
  <w:style w:type="table" w:customStyle="1" w:styleId="Table3Deffects31">
    <w:name w:val="Table 3D effects 31"/>
    <w:basedOn w:val="TableNormal"/>
    <w:next w:val="Table3Deffects3"/>
    <w:rsid w:val="003E71C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
    <w:name w:val="Нет списка111"/>
    <w:next w:val="NoList"/>
    <w:semiHidden/>
    <w:unhideWhenUsed/>
    <w:rsid w:val="003E71C9"/>
  </w:style>
  <w:style w:type="numbering" w:customStyle="1" w:styleId="NoList51">
    <w:name w:val="No List51"/>
    <w:next w:val="NoList"/>
    <w:uiPriority w:val="99"/>
    <w:semiHidden/>
    <w:unhideWhenUsed/>
    <w:rsid w:val="003E71C9"/>
  </w:style>
  <w:style w:type="numbering" w:customStyle="1" w:styleId="NoList121">
    <w:name w:val="No List121"/>
    <w:next w:val="NoList"/>
    <w:uiPriority w:val="99"/>
    <w:semiHidden/>
    <w:rsid w:val="003E71C9"/>
  </w:style>
  <w:style w:type="numbering" w:customStyle="1" w:styleId="NoList1121">
    <w:name w:val="No List1121"/>
    <w:next w:val="NoList"/>
    <w:semiHidden/>
    <w:rsid w:val="003E71C9"/>
  </w:style>
  <w:style w:type="numbering" w:customStyle="1" w:styleId="NoList11111">
    <w:name w:val="No List11111"/>
    <w:next w:val="NoList"/>
    <w:semiHidden/>
    <w:rsid w:val="003E71C9"/>
  </w:style>
  <w:style w:type="numbering" w:customStyle="1" w:styleId="NoList211">
    <w:name w:val="No List211"/>
    <w:next w:val="NoList"/>
    <w:semiHidden/>
    <w:rsid w:val="003E71C9"/>
  </w:style>
  <w:style w:type="table" w:customStyle="1" w:styleId="TableGrid21">
    <w:name w:val="Table Grid21"/>
    <w:basedOn w:val="TableNormal"/>
    <w:next w:val="TableGrid"/>
    <w:rsid w:val="003E71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semiHidden/>
    <w:unhideWhenUsed/>
    <w:rsid w:val="003E71C9"/>
  </w:style>
  <w:style w:type="numbering" w:customStyle="1" w:styleId="NoList8">
    <w:name w:val="No List8"/>
    <w:next w:val="NoList"/>
    <w:uiPriority w:val="99"/>
    <w:semiHidden/>
    <w:unhideWhenUsed/>
    <w:rsid w:val="00243A0B"/>
  </w:style>
  <w:style w:type="numbering" w:customStyle="1" w:styleId="NoList9">
    <w:name w:val="No List9"/>
    <w:next w:val="NoList"/>
    <w:uiPriority w:val="99"/>
    <w:semiHidden/>
    <w:unhideWhenUsed/>
    <w:rsid w:val="000E5840"/>
  </w:style>
  <w:style w:type="table" w:customStyle="1" w:styleId="TableGrid4">
    <w:name w:val="Table Grid4"/>
    <w:basedOn w:val="TableNormal"/>
    <w:next w:val="TableGrid"/>
    <w:uiPriority w:val="39"/>
    <w:rsid w:val="000E5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
    <w:name w:val="Table List 72"/>
    <w:basedOn w:val="TableNormal"/>
    <w:next w:val="TableList7"/>
    <w:rsid w:val="000E584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
    <w:name w:val="Table Web 32"/>
    <w:basedOn w:val="TableNormal"/>
    <w:next w:val="TableWeb3"/>
    <w:rsid w:val="000E584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
    <w:name w:val="Table Elegant2"/>
    <w:basedOn w:val="TableNormal"/>
    <w:next w:val="TableElegant"/>
    <w:rsid w:val="000E584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umbering">
    <w:name w:val="Numbering"/>
    <w:basedOn w:val="Normal"/>
    <w:next w:val="Normal"/>
    <w:rsid w:val="000E5840"/>
    <w:pPr>
      <w:tabs>
        <w:tab w:val="num" w:pos="360"/>
      </w:tabs>
      <w:spacing w:before="0" w:line="240" w:lineRule="auto"/>
      <w:ind w:left="360" w:hanging="360"/>
      <w:contextualSpacing w:val="0"/>
      <w:jc w:val="left"/>
    </w:pPr>
    <w:rPr>
      <w:rFonts w:ascii="Times Armenian" w:hAnsi="Times Armenian"/>
      <w:b w:val="0"/>
      <w:sz w:val="20"/>
      <w:szCs w:val="20"/>
      <w:lang w:val="en-US" w:eastAsia="en-US"/>
    </w:rPr>
  </w:style>
  <w:style w:type="table" w:customStyle="1" w:styleId="TableWeb22">
    <w:name w:val="Table Web 22"/>
    <w:basedOn w:val="TableNormal"/>
    <w:next w:val="TableWeb2"/>
    <w:rsid w:val="000E584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
    <w:name w:val="Table Web 12"/>
    <w:basedOn w:val="TableNormal"/>
    <w:next w:val="TableWeb1"/>
    <w:rsid w:val="000E584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
    <w:name w:val="Table Grid 82"/>
    <w:basedOn w:val="TableNormal"/>
    <w:next w:val="TableGrid8"/>
    <w:rsid w:val="000E584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
    <w:name w:val="Table Contemporary2"/>
    <w:basedOn w:val="TableNormal"/>
    <w:next w:val="TableContemporary"/>
    <w:rsid w:val="000E584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
    <w:name w:val="No List14"/>
    <w:next w:val="NoList"/>
    <w:semiHidden/>
    <w:unhideWhenUsed/>
    <w:rsid w:val="000E5840"/>
  </w:style>
  <w:style w:type="numbering" w:customStyle="1" w:styleId="NoList23">
    <w:name w:val="No List23"/>
    <w:next w:val="NoList"/>
    <w:semiHidden/>
    <w:unhideWhenUsed/>
    <w:rsid w:val="000E5840"/>
  </w:style>
  <w:style w:type="numbering" w:customStyle="1" w:styleId="NoList33">
    <w:name w:val="No List33"/>
    <w:next w:val="NoList"/>
    <w:semiHidden/>
    <w:unhideWhenUsed/>
    <w:rsid w:val="000E5840"/>
  </w:style>
  <w:style w:type="character" w:customStyle="1" w:styleId="Heading1Char1">
    <w:name w:val="Heading 1 Char1"/>
    <w:aliases w:val="(Section) Char1,Section Heading Char1,(Text) Char1,1 Char1,Chapter Char1,head3 Char1"/>
    <w:uiPriority w:val="99"/>
    <w:locked/>
    <w:rsid w:val="000E5840"/>
    <w:rPr>
      <w:rFonts w:ascii="Arial" w:hAnsi="Arial"/>
      <w:b/>
      <w:kern w:val="32"/>
      <w:sz w:val="32"/>
    </w:rPr>
  </w:style>
  <w:style w:type="table" w:customStyle="1" w:styleId="LightList-Accent13">
    <w:name w:val="Light List - Accent 13"/>
    <w:basedOn w:val="TableNormal"/>
    <w:next w:val="LightList-Accent1"/>
    <w:uiPriority w:val="61"/>
    <w:rsid w:val="000E584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
    <w:name w:val="Table Grid 72"/>
    <w:basedOn w:val="TableNormal"/>
    <w:next w:val="TableGrid7"/>
    <w:rsid w:val="000E584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
    <w:name w:val="Colorful Grid - Accent 13"/>
    <w:basedOn w:val="TableNormal"/>
    <w:next w:val="ColorfulGrid-Accent1"/>
    <w:uiPriority w:val="73"/>
    <w:rsid w:val="000E5840"/>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
    <w:name w:val="Light List - Accent 53"/>
    <w:basedOn w:val="TableNormal"/>
    <w:next w:val="LightList-Accent5"/>
    <w:uiPriority w:val="61"/>
    <w:rsid w:val="000E584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
    <w:name w:val="Table Simple 32"/>
    <w:basedOn w:val="TableNormal"/>
    <w:next w:val="TableSimple3"/>
    <w:rsid w:val="000E584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
    <w:name w:val="Table Grid 52"/>
    <w:basedOn w:val="TableNormal"/>
    <w:next w:val="TableGrid5"/>
    <w:rsid w:val="000E584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
    <w:name w:val="Table Grid 32"/>
    <w:basedOn w:val="TableNormal"/>
    <w:next w:val="TableGrid3"/>
    <w:rsid w:val="000E584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
    <w:name w:val="Table Grid 12"/>
    <w:basedOn w:val="TableNormal"/>
    <w:next w:val="TableGrid10"/>
    <w:rsid w:val="000E584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
    <w:name w:val="Table Columns 52"/>
    <w:basedOn w:val="TableNormal"/>
    <w:next w:val="TableColumns5"/>
    <w:rsid w:val="000E584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
    <w:name w:val="Light List - Accent 112"/>
    <w:basedOn w:val="TableNormal"/>
    <w:uiPriority w:val="61"/>
    <w:rsid w:val="000E584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0">
    <w:name w:val="Нет списка13"/>
    <w:next w:val="NoList"/>
    <w:semiHidden/>
    <w:unhideWhenUsed/>
    <w:rsid w:val="000E5840"/>
  </w:style>
  <w:style w:type="table" w:customStyle="1" w:styleId="ColorfulGrid-Accent112">
    <w:name w:val="Colorful Grid - Accent 112"/>
    <w:basedOn w:val="TableNormal"/>
    <w:rsid w:val="000E5840"/>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
    <w:name w:val="Light List - Accent 512"/>
    <w:basedOn w:val="TableNormal"/>
    <w:rsid w:val="000E5840"/>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
    <w:name w:val="No List42"/>
    <w:next w:val="NoList"/>
    <w:semiHidden/>
    <w:rsid w:val="000E5840"/>
  </w:style>
  <w:style w:type="numbering" w:customStyle="1" w:styleId="NoList114">
    <w:name w:val="No List114"/>
    <w:next w:val="NoList"/>
    <w:semiHidden/>
    <w:unhideWhenUsed/>
    <w:rsid w:val="000E5840"/>
  </w:style>
  <w:style w:type="table" w:customStyle="1" w:styleId="Table3Deffects32">
    <w:name w:val="Table 3D effects 32"/>
    <w:basedOn w:val="TableNormal"/>
    <w:next w:val="Table3Deffects3"/>
    <w:rsid w:val="000E584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0">
    <w:name w:val="Нет списка112"/>
    <w:next w:val="NoList"/>
    <w:semiHidden/>
    <w:unhideWhenUsed/>
    <w:rsid w:val="000E5840"/>
  </w:style>
  <w:style w:type="numbering" w:customStyle="1" w:styleId="NoList10">
    <w:name w:val="No List10"/>
    <w:next w:val="NoList"/>
    <w:uiPriority w:val="99"/>
    <w:semiHidden/>
    <w:unhideWhenUsed/>
    <w:rsid w:val="00BD032A"/>
  </w:style>
  <w:style w:type="table" w:customStyle="1" w:styleId="TableGrid50">
    <w:name w:val="Table Grid5"/>
    <w:basedOn w:val="TableNormal"/>
    <w:next w:val="TableGrid"/>
    <w:uiPriority w:val="39"/>
    <w:rsid w:val="00BD032A"/>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BD032A"/>
  </w:style>
  <w:style w:type="numbering" w:customStyle="1" w:styleId="NoList115">
    <w:name w:val="No List115"/>
    <w:next w:val="NoList"/>
    <w:semiHidden/>
    <w:rsid w:val="00BD032A"/>
  </w:style>
  <w:style w:type="table" w:customStyle="1" w:styleId="TableGrid120">
    <w:name w:val="Table Grid12"/>
    <w:basedOn w:val="TableNormal"/>
    <w:next w:val="TableGrid"/>
    <w:uiPriority w:val="39"/>
    <w:rsid w:val="00BD032A"/>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semiHidden/>
    <w:rsid w:val="00BD032A"/>
  </w:style>
  <w:style w:type="numbering" w:customStyle="1" w:styleId="NoList24">
    <w:name w:val="No List24"/>
    <w:next w:val="NoList"/>
    <w:semiHidden/>
    <w:rsid w:val="00BD032A"/>
  </w:style>
  <w:style w:type="numbering" w:customStyle="1" w:styleId="NoList34">
    <w:name w:val="No List34"/>
    <w:next w:val="NoList"/>
    <w:semiHidden/>
    <w:unhideWhenUsed/>
    <w:rsid w:val="00BD032A"/>
  </w:style>
  <w:style w:type="table" w:customStyle="1" w:styleId="TableList73">
    <w:name w:val="Table List 73"/>
    <w:basedOn w:val="TableNormal"/>
    <w:next w:val="TableList7"/>
    <w:rsid w:val="00BD032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
    <w:name w:val="Table Web 33"/>
    <w:basedOn w:val="TableNormal"/>
    <w:next w:val="TableWeb3"/>
    <w:rsid w:val="00BD032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
    <w:name w:val="Table Elegant3"/>
    <w:basedOn w:val="TableNormal"/>
    <w:next w:val="TableElegant"/>
    <w:rsid w:val="00BD032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rsid w:val="00BD032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
    <w:name w:val="Table Web 13"/>
    <w:basedOn w:val="TableNormal"/>
    <w:next w:val="TableWeb1"/>
    <w:rsid w:val="00BD032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
    <w:name w:val="Table Grid 83"/>
    <w:basedOn w:val="TableNormal"/>
    <w:next w:val="TableGrid8"/>
    <w:rsid w:val="00BD032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
    <w:name w:val="Table Contemporary3"/>
    <w:basedOn w:val="TableNormal"/>
    <w:next w:val="TableContemporary"/>
    <w:rsid w:val="00BD032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
    <w:name w:val="Light List - Accent 14"/>
    <w:basedOn w:val="TableNormal"/>
    <w:next w:val="LightList-Accent1"/>
    <w:uiPriority w:val="61"/>
    <w:rsid w:val="00BD032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
    <w:name w:val="Table Grid 73"/>
    <w:basedOn w:val="TableNormal"/>
    <w:next w:val="TableGrid7"/>
    <w:rsid w:val="00BD032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
    <w:name w:val="Colorful Grid - Accent 14"/>
    <w:basedOn w:val="TableNormal"/>
    <w:next w:val="ColorfulGrid-Accent1"/>
    <w:uiPriority w:val="73"/>
    <w:rsid w:val="00BD032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
    <w:name w:val="Light List - Accent 54"/>
    <w:basedOn w:val="TableNormal"/>
    <w:next w:val="LightList-Accent5"/>
    <w:uiPriority w:val="61"/>
    <w:rsid w:val="00BD032A"/>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
    <w:name w:val="Table Simple 33"/>
    <w:basedOn w:val="TableNormal"/>
    <w:next w:val="TableSimple3"/>
    <w:rsid w:val="00BD032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
    <w:name w:val="Table Grid 53"/>
    <w:basedOn w:val="TableNormal"/>
    <w:next w:val="TableGrid5"/>
    <w:rsid w:val="00BD032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
    <w:name w:val="Table Grid 33"/>
    <w:basedOn w:val="TableNormal"/>
    <w:next w:val="TableGrid3"/>
    <w:rsid w:val="00BD032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
    <w:name w:val="Table Grid 13"/>
    <w:basedOn w:val="TableNormal"/>
    <w:next w:val="TableGrid10"/>
    <w:rsid w:val="00BD032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
    <w:name w:val="Table Columns 53"/>
    <w:basedOn w:val="TableNormal"/>
    <w:next w:val="TableColumns5"/>
    <w:rsid w:val="00BD032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
    <w:name w:val="Light List - Accent 113"/>
    <w:basedOn w:val="TableNormal"/>
    <w:uiPriority w:val="61"/>
    <w:rsid w:val="00BD032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0">
    <w:name w:val="Нет списка14"/>
    <w:next w:val="NoList"/>
    <w:semiHidden/>
    <w:unhideWhenUsed/>
    <w:rsid w:val="00BD032A"/>
  </w:style>
  <w:style w:type="table" w:customStyle="1" w:styleId="ColorfulGrid-Accent113">
    <w:name w:val="Colorful Grid - Accent 113"/>
    <w:basedOn w:val="TableNormal"/>
    <w:rsid w:val="00BD032A"/>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
    <w:name w:val="Light List - Accent 513"/>
    <w:basedOn w:val="TableNormal"/>
    <w:rsid w:val="00BD032A"/>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
    <w:name w:val="No List43"/>
    <w:next w:val="NoList"/>
    <w:semiHidden/>
    <w:rsid w:val="00BD032A"/>
  </w:style>
  <w:style w:type="table" w:customStyle="1" w:styleId="Table3Deffects33">
    <w:name w:val="Table 3D effects 33"/>
    <w:basedOn w:val="TableNormal"/>
    <w:next w:val="Table3Deffects3"/>
    <w:rsid w:val="00BD032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
    <w:name w:val="Нет списка113"/>
    <w:next w:val="NoList"/>
    <w:semiHidden/>
    <w:unhideWhenUsed/>
    <w:rsid w:val="00BD032A"/>
  </w:style>
  <w:style w:type="numbering" w:customStyle="1" w:styleId="NoList52">
    <w:name w:val="No List52"/>
    <w:next w:val="NoList"/>
    <w:uiPriority w:val="99"/>
    <w:semiHidden/>
    <w:unhideWhenUsed/>
    <w:rsid w:val="00BD032A"/>
  </w:style>
  <w:style w:type="numbering" w:customStyle="1" w:styleId="NoList122">
    <w:name w:val="No List122"/>
    <w:next w:val="NoList"/>
    <w:uiPriority w:val="99"/>
    <w:semiHidden/>
    <w:rsid w:val="00BD032A"/>
  </w:style>
  <w:style w:type="numbering" w:customStyle="1" w:styleId="NoList1122">
    <w:name w:val="No List1122"/>
    <w:next w:val="NoList"/>
    <w:semiHidden/>
    <w:rsid w:val="00BD032A"/>
  </w:style>
  <w:style w:type="numbering" w:customStyle="1" w:styleId="NoList11112">
    <w:name w:val="No List11112"/>
    <w:next w:val="NoList"/>
    <w:semiHidden/>
    <w:rsid w:val="00BD032A"/>
  </w:style>
  <w:style w:type="numbering" w:customStyle="1" w:styleId="NoList212">
    <w:name w:val="No List212"/>
    <w:next w:val="NoList"/>
    <w:semiHidden/>
    <w:rsid w:val="00BD032A"/>
  </w:style>
  <w:style w:type="table" w:customStyle="1" w:styleId="TableGrid22">
    <w:name w:val="Table Grid22"/>
    <w:basedOn w:val="TableNormal"/>
    <w:next w:val="TableGrid"/>
    <w:uiPriority w:val="39"/>
    <w:rsid w:val="00BD03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NoList"/>
    <w:semiHidden/>
    <w:unhideWhenUsed/>
    <w:rsid w:val="00BD032A"/>
  </w:style>
  <w:style w:type="table" w:styleId="LightShading-Accent1">
    <w:name w:val="Light Shading Accent 1"/>
    <w:basedOn w:val="TableNormal"/>
    <w:uiPriority w:val="60"/>
    <w:rsid w:val="007660E4"/>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2-Accent1">
    <w:name w:val="Medium Grid 2 Accent 1"/>
    <w:basedOn w:val="TableNormal"/>
    <w:uiPriority w:val="68"/>
    <w:rsid w:val="007660E4"/>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List2-Accent5">
    <w:name w:val="Medium List 2 Accent 5"/>
    <w:basedOn w:val="TableNormal"/>
    <w:uiPriority w:val="66"/>
    <w:rsid w:val="007660E4"/>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5">
    <w:name w:val="Light List - Accent 15"/>
    <w:basedOn w:val="TableNormal"/>
    <w:next w:val="LightList-Accent1"/>
    <w:uiPriority w:val="61"/>
    <w:rsid w:val="007660E4"/>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5">
    <w:name w:val="Medium Grid 3 Accent 5"/>
    <w:basedOn w:val="TableNormal"/>
    <w:uiPriority w:val="69"/>
    <w:rsid w:val="007660E4"/>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Shading-Accent5">
    <w:name w:val="Light Shading Accent 5"/>
    <w:basedOn w:val="TableNormal"/>
    <w:uiPriority w:val="60"/>
    <w:rsid w:val="007660E4"/>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2-Accent5">
    <w:name w:val="Medium Grid 2 Accent 5"/>
    <w:basedOn w:val="TableNormal"/>
    <w:uiPriority w:val="68"/>
    <w:rsid w:val="007660E4"/>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7660E4"/>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eList4">
    <w:name w:val="Table List 4"/>
    <w:basedOn w:val="TableNormal"/>
    <w:rsid w:val="0086441C"/>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ParagraphNumbering">
    <w:name w:val="Paragraph Numbering"/>
    <w:basedOn w:val="Normal"/>
    <w:link w:val="ParagraphNumberingChar"/>
    <w:qFormat/>
    <w:rsid w:val="0086441C"/>
    <w:pPr>
      <w:numPr>
        <w:numId w:val="15"/>
      </w:numPr>
      <w:spacing w:before="0" w:after="240" w:line="240" w:lineRule="auto"/>
      <w:contextualSpacing w:val="0"/>
      <w:jc w:val="left"/>
    </w:pPr>
    <w:rPr>
      <w:rFonts w:ascii="Segoe UI" w:eastAsia="MS Mincho" w:hAnsi="Segoe UI"/>
      <w:b w:val="0"/>
      <w:sz w:val="21"/>
      <w:lang w:val="en-US" w:eastAsia="en-US"/>
    </w:rPr>
  </w:style>
  <w:style w:type="character" w:customStyle="1" w:styleId="ParagraphNumberingChar">
    <w:name w:val="Paragraph Numbering Char"/>
    <w:link w:val="ParagraphNumbering"/>
    <w:rsid w:val="0086441C"/>
    <w:rPr>
      <w:rFonts w:ascii="Segoe UI" w:eastAsia="MS Mincho" w:hAnsi="Segoe UI"/>
      <w:sz w:val="21"/>
      <w:szCs w:val="24"/>
    </w:rPr>
  </w:style>
  <w:style w:type="table" w:customStyle="1" w:styleId="TableList41">
    <w:name w:val="Table List 41"/>
    <w:basedOn w:val="TableNormal"/>
    <w:next w:val="TableList4"/>
    <w:rsid w:val="0086441C"/>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Theme">
    <w:name w:val="Table Theme"/>
    <w:basedOn w:val="TableNormal"/>
    <w:rsid w:val="008644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rsid w:val="0086441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6">
    <w:name w:val="Table Grid 6"/>
    <w:basedOn w:val="TableNormal"/>
    <w:rsid w:val="0086441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
    <w:name w:val="Table List 42"/>
    <w:basedOn w:val="TableNormal"/>
    <w:next w:val="TableList4"/>
    <w:rsid w:val="0086441C"/>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
    <w:name w:val="Table List 411"/>
    <w:basedOn w:val="TableNormal"/>
    <w:next w:val="TableList4"/>
    <w:rsid w:val="0086441C"/>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
    <w:name w:val="Style11"/>
    <w:basedOn w:val="TableElegant"/>
    <w:uiPriority w:val="99"/>
    <w:rsid w:val="0086441C"/>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
    <w:name w:val="Style21"/>
    <w:basedOn w:val="TableGrid5"/>
    <w:uiPriority w:val="99"/>
    <w:rsid w:val="0086441C"/>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
    <w:name w:val="Style211"/>
    <w:basedOn w:val="TableGrid5"/>
    <w:uiPriority w:val="99"/>
    <w:rsid w:val="0086441C"/>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
    <w:name w:val="No List16"/>
    <w:next w:val="NoList"/>
    <w:semiHidden/>
    <w:unhideWhenUsed/>
    <w:rsid w:val="0006050F"/>
  </w:style>
  <w:style w:type="table" w:customStyle="1" w:styleId="TableGrid60">
    <w:name w:val="Table Grid6"/>
    <w:basedOn w:val="TableNormal"/>
    <w:next w:val="TableGrid"/>
    <w:uiPriority w:val="39"/>
    <w:rsid w:val="00060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06050F"/>
  </w:style>
  <w:style w:type="numbering" w:customStyle="1" w:styleId="NoList116">
    <w:name w:val="No List116"/>
    <w:next w:val="NoList"/>
    <w:semiHidden/>
    <w:rsid w:val="0006050F"/>
  </w:style>
  <w:style w:type="table" w:customStyle="1" w:styleId="TableGrid130">
    <w:name w:val="Table Grid13"/>
    <w:basedOn w:val="TableNormal"/>
    <w:next w:val="TableGrid"/>
    <w:rsid w:val="00060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rsid w:val="0010572B"/>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1">
    <w:name w:val="Medium Grid 2 - Accent 11"/>
    <w:basedOn w:val="TableNormal"/>
    <w:next w:val="MediumGrid2-Accent1"/>
    <w:uiPriority w:val="68"/>
    <w:rsid w:val="0010572B"/>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1">
    <w:name w:val="Medium List 2 - Accent 51"/>
    <w:basedOn w:val="TableNormal"/>
    <w:next w:val="MediumList2-Accent5"/>
    <w:uiPriority w:val="66"/>
    <w:rsid w:val="0010572B"/>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6">
    <w:name w:val="Light List - Accent 16"/>
    <w:basedOn w:val="TableNormal"/>
    <w:next w:val="LightList-Accent1"/>
    <w:uiPriority w:val="61"/>
    <w:rsid w:val="0010572B"/>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1">
    <w:name w:val="Medium Grid 3 - Accent 51"/>
    <w:basedOn w:val="TableNormal"/>
    <w:next w:val="MediumGrid3-Accent5"/>
    <w:uiPriority w:val="69"/>
    <w:rsid w:val="0010572B"/>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1">
    <w:name w:val="Light Shading - Accent 51"/>
    <w:basedOn w:val="TableNormal"/>
    <w:next w:val="LightShading-Accent5"/>
    <w:uiPriority w:val="60"/>
    <w:rsid w:val="0010572B"/>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1">
    <w:name w:val="Medium Grid 2 - Accent 51"/>
    <w:basedOn w:val="TableNormal"/>
    <w:next w:val="MediumGrid2-Accent5"/>
    <w:uiPriority w:val="68"/>
    <w:rsid w:val="0010572B"/>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1">
    <w:name w:val="Light Grid - Accent 11"/>
    <w:basedOn w:val="TableNormal"/>
    <w:next w:val="LightGrid-Accent1"/>
    <w:uiPriority w:val="62"/>
    <w:rsid w:val="0010572B"/>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2">
    <w:name w:val="Light Shading - Accent 12"/>
    <w:basedOn w:val="TableNormal"/>
    <w:next w:val="LightShading-Accent1"/>
    <w:uiPriority w:val="60"/>
    <w:rsid w:val="00360620"/>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2">
    <w:name w:val="Medium Grid 2 - Accent 12"/>
    <w:basedOn w:val="TableNormal"/>
    <w:next w:val="MediumGrid2-Accent1"/>
    <w:uiPriority w:val="68"/>
    <w:rsid w:val="00360620"/>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2">
    <w:name w:val="Medium List 2 - Accent 52"/>
    <w:basedOn w:val="TableNormal"/>
    <w:next w:val="MediumList2-Accent5"/>
    <w:uiPriority w:val="66"/>
    <w:rsid w:val="00360620"/>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7">
    <w:name w:val="Light List - Accent 17"/>
    <w:basedOn w:val="TableNormal"/>
    <w:next w:val="LightList-Accent1"/>
    <w:uiPriority w:val="61"/>
    <w:rsid w:val="00360620"/>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2">
    <w:name w:val="Medium Grid 3 - Accent 52"/>
    <w:basedOn w:val="TableNormal"/>
    <w:next w:val="MediumGrid3-Accent5"/>
    <w:uiPriority w:val="69"/>
    <w:rsid w:val="00360620"/>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2">
    <w:name w:val="Light Shading - Accent 52"/>
    <w:basedOn w:val="TableNormal"/>
    <w:next w:val="LightShading-Accent5"/>
    <w:uiPriority w:val="60"/>
    <w:rsid w:val="00360620"/>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2">
    <w:name w:val="Medium Grid 2 - Accent 52"/>
    <w:basedOn w:val="TableNormal"/>
    <w:next w:val="MediumGrid2-Accent5"/>
    <w:uiPriority w:val="68"/>
    <w:rsid w:val="00360620"/>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2">
    <w:name w:val="Light Grid - Accent 12"/>
    <w:basedOn w:val="TableNormal"/>
    <w:next w:val="LightGrid-Accent1"/>
    <w:uiPriority w:val="62"/>
    <w:rsid w:val="00360620"/>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18">
    <w:name w:val="No List18"/>
    <w:next w:val="NoList"/>
    <w:semiHidden/>
    <w:unhideWhenUsed/>
    <w:rsid w:val="00006BCE"/>
  </w:style>
  <w:style w:type="table" w:customStyle="1" w:styleId="TableGrid70">
    <w:name w:val="Table Grid7"/>
    <w:basedOn w:val="TableNormal"/>
    <w:next w:val="TableGrid"/>
    <w:uiPriority w:val="39"/>
    <w:rsid w:val="00006B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4">
    <w:name w:val="Table List 74"/>
    <w:basedOn w:val="TableNormal"/>
    <w:next w:val="TableList7"/>
    <w:rsid w:val="00006BC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4">
    <w:name w:val="Table Web 34"/>
    <w:basedOn w:val="TableNormal"/>
    <w:next w:val="TableWeb3"/>
    <w:rsid w:val="00006BC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4">
    <w:name w:val="Table Elegant4"/>
    <w:basedOn w:val="TableNormal"/>
    <w:next w:val="TableElegant"/>
    <w:rsid w:val="00006BC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4">
    <w:name w:val="Table Web 24"/>
    <w:basedOn w:val="TableNormal"/>
    <w:next w:val="TableWeb2"/>
    <w:rsid w:val="00006BC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4">
    <w:name w:val="Table Web 14"/>
    <w:basedOn w:val="TableNormal"/>
    <w:next w:val="TableWeb1"/>
    <w:rsid w:val="00006BC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
    <w:name w:val="Table Grid 84"/>
    <w:basedOn w:val="TableNormal"/>
    <w:next w:val="TableGrid8"/>
    <w:rsid w:val="00006BC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4">
    <w:name w:val="Table Contemporary4"/>
    <w:basedOn w:val="TableNormal"/>
    <w:next w:val="TableContemporary"/>
    <w:rsid w:val="00006BC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9">
    <w:name w:val="No List19"/>
    <w:next w:val="NoList"/>
    <w:semiHidden/>
    <w:unhideWhenUsed/>
    <w:rsid w:val="00006BCE"/>
  </w:style>
  <w:style w:type="numbering" w:customStyle="1" w:styleId="NoList25">
    <w:name w:val="No List25"/>
    <w:next w:val="NoList"/>
    <w:semiHidden/>
    <w:unhideWhenUsed/>
    <w:rsid w:val="00006BCE"/>
  </w:style>
  <w:style w:type="numbering" w:customStyle="1" w:styleId="NoList35">
    <w:name w:val="No List35"/>
    <w:next w:val="NoList"/>
    <w:semiHidden/>
    <w:unhideWhenUsed/>
    <w:rsid w:val="00006BCE"/>
  </w:style>
  <w:style w:type="table" w:customStyle="1" w:styleId="LightList-Accent18">
    <w:name w:val="Light List - Accent 18"/>
    <w:basedOn w:val="TableNormal"/>
    <w:next w:val="LightList-Accent1"/>
    <w:uiPriority w:val="61"/>
    <w:rsid w:val="00006BC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4">
    <w:name w:val="Table Grid 74"/>
    <w:basedOn w:val="TableNormal"/>
    <w:next w:val="TableGrid7"/>
    <w:rsid w:val="00006BC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5">
    <w:name w:val="Colorful Grid - Accent 15"/>
    <w:basedOn w:val="TableNormal"/>
    <w:next w:val="ColorfulGrid-Accent1"/>
    <w:uiPriority w:val="73"/>
    <w:rsid w:val="00006BCE"/>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5">
    <w:name w:val="Light List - Accent 55"/>
    <w:basedOn w:val="TableNormal"/>
    <w:next w:val="LightList-Accent5"/>
    <w:uiPriority w:val="61"/>
    <w:rsid w:val="00006BCE"/>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4">
    <w:name w:val="Table Simple 34"/>
    <w:basedOn w:val="TableNormal"/>
    <w:next w:val="TableSimple3"/>
    <w:rsid w:val="00006BC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4">
    <w:name w:val="Table Grid 54"/>
    <w:basedOn w:val="TableNormal"/>
    <w:next w:val="TableGrid5"/>
    <w:rsid w:val="00006BC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4">
    <w:name w:val="Table Grid 34"/>
    <w:basedOn w:val="TableNormal"/>
    <w:next w:val="TableGrid3"/>
    <w:rsid w:val="00006BC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4">
    <w:name w:val="Table Grid 14"/>
    <w:basedOn w:val="TableNormal"/>
    <w:next w:val="TableGrid10"/>
    <w:rsid w:val="00006BC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4">
    <w:name w:val="Table Columns 54"/>
    <w:basedOn w:val="TableNormal"/>
    <w:next w:val="TableColumns5"/>
    <w:rsid w:val="00006BC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4">
    <w:name w:val="Light List - Accent 114"/>
    <w:basedOn w:val="TableNormal"/>
    <w:uiPriority w:val="61"/>
    <w:rsid w:val="00006BC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50">
    <w:name w:val="Нет списка15"/>
    <w:next w:val="NoList"/>
    <w:semiHidden/>
    <w:unhideWhenUsed/>
    <w:rsid w:val="00006BCE"/>
  </w:style>
  <w:style w:type="table" w:customStyle="1" w:styleId="ColorfulGrid-Accent114">
    <w:name w:val="Colorful Grid - Accent 114"/>
    <w:basedOn w:val="TableNormal"/>
    <w:rsid w:val="00006BCE"/>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4">
    <w:name w:val="Light List - Accent 514"/>
    <w:basedOn w:val="TableNormal"/>
    <w:rsid w:val="00006BCE"/>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4">
    <w:name w:val="No List44"/>
    <w:next w:val="NoList"/>
    <w:semiHidden/>
    <w:rsid w:val="00006BCE"/>
  </w:style>
  <w:style w:type="numbering" w:customStyle="1" w:styleId="NoList117">
    <w:name w:val="No List117"/>
    <w:next w:val="NoList"/>
    <w:semiHidden/>
    <w:unhideWhenUsed/>
    <w:rsid w:val="00006BCE"/>
  </w:style>
  <w:style w:type="table" w:customStyle="1" w:styleId="Table3Deffects34">
    <w:name w:val="Table 3D effects 34"/>
    <w:basedOn w:val="TableNormal"/>
    <w:next w:val="Table3Deffects3"/>
    <w:rsid w:val="00006BC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
    <w:name w:val="Нет списка114"/>
    <w:next w:val="NoList"/>
    <w:semiHidden/>
    <w:unhideWhenUsed/>
    <w:rsid w:val="00006BCE"/>
  </w:style>
  <w:style w:type="table" w:customStyle="1" w:styleId="Style111">
    <w:name w:val="Style111"/>
    <w:basedOn w:val="TableElegant"/>
    <w:uiPriority w:val="99"/>
    <w:rsid w:val="00BC5928"/>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2">
    <w:name w:val="Style212"/>
    <w:basedOn w:val="TableGrid5"/>
    <w:uiPriority w:val="99"/>
    <w:rsid w:val="00BC5928"/>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1">
    <w:name w:val="Style2111"/>
    <w:basedOn w:val="TableGrid5"/>
    <w:uiPriority w:val="99"/>
    <w:rsid w:val="00BC5928"/>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112">
    <w:name w:val="Style112"/>
    <w:basedOn w:val="TableElegant"/>
    <w:uiPriority w:val="99"/>
    <w:rsid w:val="00D70E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3">
    <w:name w:val="Style213"/>
    <w:basedOn w:val="TableGrid5"/>
    <w:uiPriority w:val="99"/>
    <w:rsid w:val="00D70E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2">
    <w:name w:val="Style2112"/>
    <w:basedOn w:val="TableGrid5"/>
    <w:uiPriority w:val="99"/>
    <w:rsid w:val="00D70E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20">
    <w:name w:val="No List20"/>
    <w:next w:val="NoList"/>
    <w:uiPriority w:val="99"/>
    <w:semiHidden/>
    <w:unhideWhenUsed/>
    <w:rsid w:val="009526B6"/>
  </w:style>
  <w:style w:type="numbering" w:customStyle="1" w:styleId="NoList110">
    <w:name w:val="No List110"/>
    <w:next w:val="NoList"/>
    <w:uiPriority w:val="99"/>
    <w:semiHidden/>
    <w:unhideWhenUsed/>
    <w:rsid w:val="009526B6"/>
  </w:style>
  <w:style w:type="paragraph" w:customStyle="1" w:styleId="TableTitleCharCharCharCharCharCharCharCharCharChar1">
    <w:name w:val="(Table Title) Char Char Char Char Char Char Char Char Char Char1"/>
    <w:basedOn w:val="Normal"/>
    <w:next w:val="Normal"/>
    <w:unhideWhenUsed/>
    <w:qFormat/>
    <w:rsid w:val="009526B6"/>
    <w:pPr>
      <w:spacing w:after="200"/>
    </w:pPr>
    <w:rPr>
      <w:b w:val="0"/>
      <w:bCs/>
      <w:color w:val="4F81BD"/>
      <w:sz w:val="18"/>
      <w:szCs w:val="18"/>
    </w:rPr>
  </w:style>
  <w:style w:type="table" w:customStyle="1" w:styleId="TableGrid80">
    <w:name w:val="Table Grid8"/>
    <w:basedOn w:val="TableNormal"/>
    <w:next w:val="TableGrid"/>
    <w:uiPriority w:val="39"/>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semiHidden/>
    <w:unhideWhenUsed/>
    <w:rsid w:val="009526B6"/>
  </w:style>
  <w:style w:type="numbering" w:customStyle="1" w:styleId="NoList1114">
    <w:name w:val="No List1114"/>
    <w:next w:val="NoList"/>
    <w:semiHidden/>
    <w:rsid w:val="009526B6"/>
  </w:style>
  <w:style w:type="table" w:customStyle="1" w:styleId="TableGrid140">
    <w:name w:val="Table Grid14"/>
    <w:basedOn w:val="TableNormal"/>
    <w:next w:val="TableGrid"/>
    <w:uiPriority w:val="39"/>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semiHidden/>
    <w:rsid w:val="009526B6"/>
  </w:style>
  <w:style w:type="numbering" w:customStyle="1" w:styleId="NoList26">
    <w:name w:val="No List26"/>
    <w:next w:val="NoList"/>
    <w:semiHidden/>
    <w:rsid w:val="009526B6"/>
  </w:style>
  <w:style w:type="numbering" w:customStyle="1" w:styleId="NoList36">
    <w:name w:val="No List36"/>
    <w:next w:val="NoList"/>
    <w:semiHidden/>
    <w:unhideWhenUsed/>
    <w:rsid w:val="009526B6"/>
  </w:style>
  <w:style w:type="table" w:customStyle="1" w:styleId="TableList75">
    <w:name w:val="Table List 75"/>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5">
    <w:name w:val="Table Web 35"/>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5">
    <w:name w:val="Table Elegant5"/>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5">
    <w:name w:val="Table Web 25"/>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5">
    <w:name w:val="Table Web 15"/>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5">
    <w:name w:val="Table Grid 85"/>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5">
    <w:name w:val="Table Contemporary5"/>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9">
    <w:name w:val="Light List - Accent 19"/>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5">
    <w:name w:val="Table Grid 75"/>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6">
    <w:name w:val="Colorful Grid - Accent 16"/>
    <w:basedOn w:val="TableNormal"/>
    <w:next w:val="ColorfulGrid-Accent1"/>
    <w:uiPriority w:val="73"/>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6">
    <w:name w:val="Light List - Accent 56"/>
    <w:basedOn w:val="TableNormal"/>
    <w:next w:val="LightList-Accent5"/>
    <w:uiPriority w:val="61"/>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5">
    <w:name w:val="Table Simple 35"/>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5">
    <w:name w:val="Table Grid 55"/>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5">
    <w:name w:val="Table Grid 35"/>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5">
    <w:name w:val="Table Grid 15"/>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5">
    <w:name w:val="Table Columns 55"/>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5">
    <w:name w:val="Light List - Accent 115"/>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60">
    <w:name w:val="Нет списка16"/>
    <w:next w:val="NoList"/>
    <w:semiHidden/>
    <w:unhideWhenUsed/>
    <w:rsid w:val="009526B6"/>
  </w:style>
  <w:style w:type="table" w:customStyle="1" w:styleId="ColorfulGrid-Accent115">
    <w:name w:val="Colorful Grid - Accent 115"/>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5">
    <w:name w:val="Light List - Accent 515"/>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5">
    <w:name w:val="No List45"/>
    <w:next w:val="NoList"/>
    <w:semiHidden/>
    <w:rsid w:val="009526B6"/>
  </w:style>
  <w:style w:type="table" w:customStyle="1" w:styleId="Table3Deffects35">
    <w:name w:val="Table 3D effects 35"/>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
    <w:name w:val="Нет списка115"/>
    <w:next w:val="NoList"/>
    <w:semiHidden/>
    <w:unhideWhenUsed/>
    <w:rsid w:val="009526B6"/>
  </w:style>
  <w:style w:type="numbering" w:customStyle="1" w:styleId="NoList53">
    <w:name w:val="No List53"/>
    <w:next w:val="NoList"/>
    <w:uiPriority w:val="99"/>
    <w:semiHidden/>
    <w:unhideWhenUsed/>
    <w:rsid w:val="009526B6"/>
  </w:style>
  <w:style w:type="numbering" w:customStyle="1" w:styleId="NoList123">
    <w:name w:val="No List123"/>
    <w:next w:val="NoList"/>
    <w:semiHidden/>
    <w:rsid w:val="009526B6"/>
  </w:style>
  <w:style w:type="numbering" w:customStyle="1" w:styleId="NoList1123">
    <w:name w:val="No List1123"/>
    <w:next w:val="NoList"/>
    <w:semiHidden/>
    <w:rsid w:val="009526B6"/>
  </w:style>
  <w:style w:type="numbering" w:customStyle="1" w:styleId="NoList111111">
    <w:name w:val="No List111111"/>
    <w:next w:val="NoList"/>
    <w:semiHidden/>
    <w:rsid w:val="009526B6"/>
  </w:style>
  <w:style w:type="numbering" w:customStyle="1" w:styleId="NoList213">
    <w:name w:val="No List213"/>
    <w:next w:val="NoList"/>
    <w:semiHidden/>
    <w:rsid w:val="009526B6"/>
  </w:style>
  <w:style w:type="table" w:customStyle="1" w:styleId="TableGrid23">
    <w:name w:val="Table Grid23"/>
    <w:basedOn w:val="TableNormal"/>
    <w:next w:val="TableGrid"/>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
    <w:name w:val="No List313"/>
    <w:next w:val="NoList"/>
    <w:uiPriority w:val="99"/>
    <w:semiHidden/>
    <w:unhideWhenUsed/>
    <w:rsid w:val="009526B6"/>
  </w:style>
  <w:style w:type="numbering" w:customStyle="1" w:styleId="NoList61">
    <w:name w:val="No List61"/>
    <w:next w:val="NoList"/>
    <w:uiPriority w:val="99"/>
    <w:semiHidden/>
    <w:unhideWhenUsed/>
    <w:rsid w:val="009526B6"/>
  </w:style>
  <w:style w:type="numbering" w:customStyle="1" w:styleId="NoList71">
    <w:name w:val="No List71"/>
    <w:next w:val="NoList"/>
    <w:uiPriority w:val="99"/>
    <w:semiHidden/>
    <w:unhideWhenUsed/>
    <w:rsid w:val="009526B6"/>
  </w:style>
  <w:style w:type="table" w:customStyle="1" w:styleId="TableGrid310">
    <w:name w:val="Table Grid31"/>
    <w:basedOn w:val="TableNormal"/>
    <w:next w:val="TableGrid"/>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semiHidden/>
    <w:unhideWhenUsed/>
    <w:rsid w:val="009526B6"/>
  </w:style>
  <w:style w:type="numbering" w:customStyle="1" w:styleId="NoList1131">
    <w:name w:val="No List1131"/>
    <w:next w:val="NoList"/>
    <w:semiHidden/>
    <w:rsid w:val="009526B6"/>
  </w:style>
  <w:style w:type="table" w:customStyle="1" w:styleId="TableGrid111">
    <w:name w:val="Table Grid111"/>
    <w:basedOn w:val="TableNormal"/>
    <w:next w:val="TableGrid"/>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NoList"/>
    <w:semiHidden/>
    <w:rsid w:val="009526B6"/>
  </w:style>
  <w:style w:type="numbering" w:customStyle="1" w:styleId="NoList221">
    <w:name w:val="No List221"/>
    <w:next w:val="NoList"/>
    <w:semiHidden/>
    <w:rsid w:val="009526B6"/>
  </w:style>
  <w:style w:type="numbering" w:customStyle="1" w:styleId="NoList321">
    <w:name w:val="No List321"/>
    <w:next w:val="NoList"/>
    <w:semiHidden/>
    <w:unhideWhenUsed/>
    <w:rsid w:val="009526B6"/>
  </w:style>
  <w:style w:type="table" w:customStyle="1" w:styleId="TableList711">
    <w:name w:val="Table List 711"/>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
    <w:name w:val="Table Web 311"/>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
    <w:name w:val="Table Elegant11"/>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1">
    <w:name w:val="Table Web 211"/>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
    <w:name w:val="Table Web 111"/>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
    <w:name w:val="Table Grid 811"/>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
    <w:name w:val="Table Contemporary11"/>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1">
    <w:name w:val="Light List - Accent 121"/>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
    <w:name w:val="Table Grid 711"/>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1">
    <w:name w:val="Colorful Grid - Accent 121"/>
    <w:basedOn w:val="TableNormal"/>
    <w:next w:val="ColorfulGrid-Accent1"/>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
    <w:name w:val="Light List - Accent 521"/>
    <w:basedOn w:val="TableNormal"/>
    <w:next w:val="LightList-Accent5"/>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
    <w:name w:val="Table Simple 311"/>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
    <w:name w:val="Table Grid 511"/>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
    <w:name w:val="Table Grid 311"/>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0">
    <w:name w:val="Table Grid 111"/>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
    <w:name w:val="Table Columns 511"/>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
    <w:name w:val="Light List - Accent 1111"/>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1">
    <w:name w:val="Нет списка121"/>
    <w:next w:val="NoList"/>
    <w:uiPriority w:val="99"/>
    <w:semiHidden/>
    <w:unhideWhenUsed/>
    <w:rsid w:val="009526B6"/>
  </w:style>
  <w:style w:type="table" w:customStyle="1" w:styleId="ColorfulGrid-Accent1111">
    <w:name w:val="Colorful Grid - Accent 1111"/>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
    <w:name w:val="Light List - Accent 5111"/>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1">
    <w:name w:val="No List411"/>
    <w:next w:val="NoList"/>
    <w:semiHidden/>
    <w:rsid w:val="009526B6"/>
  </w:style>
  <w:style w:type="table" w:customStyle="1" w:styleId="Table3Deffects311">
    <w:name w:val="Table 3D effects 311"/>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
    <w:name w:val="Нет списка1111"/>
    <w:next w:val="NoList"/>
    <w:semiHidden/>
    <w:unhideWhenUsed/>
    <w:rsid w:val="009526B6"/>
  </w:style>
  <w:style w:type="numbering" w:customStyle="1" w:styleId="NoList511">
    <w:name w:val="No List511"/>
    <w:next w:val="NoList"/>
    <w:uiPriority w:val="99"/>
    <w:semiHidden/>
    <w:unhideWhenUsed/>
    <w:rsid w:val="009526B6"/>
  </w:style>
  <w:style w:type="numbering" w:customStyle="1" w:styleId="NoList1211">
    <w:name w:val="No List1211"/>
    <w:next w:val="NoList"/>
    <w:uiPriority w:val="99"/>
    <w:semiHidden/>
    <w:rsid w:val="009526B6"/>
  </w:style>
  <w:style w:type="numbering" w:customStyle="1" w:styleId="NoList11211">
    <w:name w:val="No List11211"/>
    <w:next w:val="NoList"/>
    <w:semiHidden/>
    <w:rsid w:val="009526B6"/>
  </w:style>
  <w:style w:type="numbering" w:customStyle="1" w:styleId="NoList1111111">
    <w:name w:val="No List1111111"/>
    <w:next w:val="NoList"/>
    <w:semiHidden/>
    <w:rsid w:val="009526B6"/>
  </w:style>
  <w:style w:type="numbering" w:customStyle="1" w:styleId="NoList2111">
    <w:name w:val="No List2111"/>
    <w:next w:val="NoList"/>
    <w:semiHidden/>
    <w:rsid w:val="009526B6"/>
  </w:style>
  <w:style w:type="table" w:customStyle="1" w:styleId="TableGrid211">
    <w:name w:val="Table Grid211"/>
    <w:basedOn w:val="TableNormal"/>
    <w:next w:val="TableGrid"/>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
    <w:name w:val="No List3111"/>
    <w:next w:val="NoList"/>
    <w:semiHidden/>
    <w:unhideWhenUsed/>
    <w:rsid w:val="009526B6"/>
  </w:style>
  <w:style w:type="numbering" w:customStyle="1" w:styleId="NoList81">
    <w:name w:val="No List81"/>
    <w:next w:val="NoList"/>
    <w:uiPriority w:val="99"/>
    <w:semiHidden/>
    <w:unhideWhenUsed/>
    <w:rsid w:val="009526B6"/>
  </w:style>
  <w:style w:type="numbering" w:customStyle="1" w:styleId="NoList91">
    <w:name w:val="No List91"/>
    <w:next w:val="NoList"/>
    <w:uiPriority w:val="99"/>
    <w:semiHidden/>
    <w:unhideWhenUsed/>
    <w:rsid w:val="009526B6"/>
  </w:style>
  <w:style w:type="table" w:customStyle="1" w:styleId="TableGrid41">
    <w:name w:val="Table Grid41"/>
    <w:basedOn w:val="TableNormal"/>
    <w:next w:val="TableGrid"/>
    <w:uiPriority w:val="39"/>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1">
    <w:name w:val="Table List 721"/>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1">
    <w:name w:val="Table Web 321"/>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1">
    <w:name w:val="Table Elegant21"/>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
    <w:name w:val="Table Web 221"/>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
    <w:name w:val="Table Web 121"/>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
    <w:name w:val="Table Grid 821"/>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
    <w:name w:val="Table Contemporary21"/>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
    <w:name w:val="No List141"/>
    <w:next w:val="NoList"/>
    <w:semiHidden/>
    <w:unhideWhenUsed/>
    <w:rsid w:val="009526B6"/>
  </w:style>
  <w:style w:type="numbering" w:customStyle="1" w:styleId="NoList231">
    <w:name w:val="No List231"/>
    <w:next w:val="NoList"/>
    <w:semiHidden/>
    <w:unhideWhenUsed/>
    <w:rsid w:val="009526B6"/>
  </w:style>
  <w:style w:type="numbering" w:customStyle="1" w:styleId="NoList331">
    <w:name w:val="No List331"/>
    <w:next w:val="NoList"/>
    <w:semiHidden/>
    <w:unhideWhenUsed/>
    <w:rsid w:val="009526B6"/>
  </w:style>
  <w:style w:type="table" w:customStyle="1" w:styleId="LightList-Accent131">
    <w:name w:val="Light List - Accent 131"/>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1">
    <w:name w:val="Table Grid 721"/>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
    <w:name w:val="Colorful Grid - Accent 131"/>
    <w:basedOn w:val="TableNormal"/>
    <w:next w:val="ColorfulGrid-Accent1"/>
    <w:uiPriority w:val="73"/>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
    <w:name w:val="Light List - Accent 531"/>
    <w:basedOn w:val="TableNormal"/>
    <w:next w:val="LightList-Accent5"/>
    <w:uiPriority w:val="61"/>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1">
    <w:name w:val="Table Simple 321"/>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1">
    <w:name w:val="Table Grid 521"/>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1">
    <w:name w:val="Table Grid 321"/>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1">
    <w:name w:val="Table Grid 121"/>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1">
    <w:name w:val="Table Columns 521"/>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1">
    <w:name w:val="Light List - Accent 1121"/>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
    <w:name w:val="Нет списка131"/>
    <w:next w:val="NoList"/>
    <w:semiHidden/>
    <w:unhideWhenUsed/>
    <w:rsid w:val="009526B6"/>
  </w:style>
  <w:style w:type="table" w:customStyle="1" w:styleId="ColorfulGrid-Accent1121">
    <w:name w:val="Colorful Grid - Accent 1121"/>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1">
    <w:name w:val="Light List - Accent 5121"/>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
    <w:name w:val="No List421"/>
    <w:next w:val="NoList"/>
    <w:semiHidden/>
    <w:rsid w:val="009526B6"/>
  </w:style>
  <w:style w:type="numbering" w:customStyle="1" w:styleId="NoList1141">
    <w:name w:val="No List1141"/>
    <w:next w:val="NoList"/>
    <w:semiHidden/>
    <w:unhideWhenUsed/>
    <w:rsid w:val="009526B6"/>
  </w:style>
  <w:style w:type="table" w:customStyle="1" w:styleId="Table3Deffects321">
    <w:name w:val="Table 3D effects 321"/>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
    <w:name w:val="Нет списка1121"/>
    <w:next w:val="NoList"/>
    <w:semiHidden/>
    <w:unhideWhenUsed/>
    <w:rsid w:val="009526B6"/>
  </w:style>
  <w:style w:type="numbering" w:customStyle="1" w:styleId="NoList101">
    <w:name w:val="No List101"/>
    <w:next w:val="NoList"/>
    <w:uiPriority w:val="99"/>
    <w:semiHidden/>
    <w:unhideWhenUsed/>
    <w:rsid w:val="009526B6"/>
  </w:style>
  <w:style w:type="table" w:customStyle="1" w:styleId="TableGrid510">
    <w:name w:val="Table Grid51"/>
    <w:basedOn w:val="TableNormal"/>
    <w:next w:val="TableGrid"/>
    <w:uiPriority w:val="39"/>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semiHidden/>
    <w:unhideWhenUsed/>
    <w:rsid w:val="009526B6"/>
  </w:style>
  <w:style w:type="numbering" w:customStyle="1" w:styleId="NoList1151">
    <w:name w:val="No List1151"/>
    <w:next w:val="NoList"/>
    <w:semiHidden/>
    <w:rsid w:val="009526B6"/>
  </w:style>
  <w:style w:type="table" w:customStyle="1" w:styleId="TableGrid1210">
    <w:name w:val="Table Grid121"/>
    <w:basedOn w:val="TableNormal"/>
    <w:next w:val="TableGrid"/>
    <w:uiPriority w:val="39"/>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
    <w:name w:val="No List11131"/>
    <w:next w:val="NoList"/>
    <w:semiHidden/>
    <w:rsid w:val="009526B6"/>
  </w:style>
  <w:style w:type="numbering" w:customStyle="1" w:styleId="NoList241">
    <w:name w:val="No List241"/>
    <w:next w:val="NoList"/>
    <w:semiHidden/>
    <w:rsid w:val="009526B6"/>
  </w:style>
  <w:style w:type="numbering" w:customStyle="1" w:styleId="NoList341">
    <w:name w:val="No List341"/>
    <w:next w:val="NoList"/>
    <w:semiHidden/>
    <w:unhideWhenUsed/>
    <w:rsid w:val="009526B6"/>
  </w:style>
  <w:style w:type="table" w:customStyle="1" w:styleId="TableList731">
    <w:name w:val="Table List 731"/>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1">
    <w:name w:val="Table Web 331"/>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1">
    <w:name w:val="Table Elegant31"/>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1">
    <w:name w:val="Table Web 231"/>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1">
    <w:name w:val="Table Web 131"/>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1">
    <w:name w:val="Table Grid 831"/>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1">
    <w:name w:val="Table Contemporary31"/>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1">
    <w:name w:val="Light List - Accent 141"/>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1">
    <w:name w:val="Table Grid 731"/>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1">
    <w:name w:val="Colorful Grid - Accent 141"/>
    <w:basedOn w:val="TableNormal"/>
    <w:next w:val="ColorfulGrid-Accent1"/>
    <w:uiPriority w:val="73"/>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1">
    <w:name w:val="Light List - Accent 541"/>
    <w:basedOn w:val="TableNormal"/>
    <w:next w:val="LightList-Accent5"/>
    <w:uiPriority w:val="61"/>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1">
    <w:name w:val="Table Simple 331"/>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1">
    <w:name w:val="Table Grid 531"/>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1">
    <w:name w:val="Table Grid 331"/>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1">
    <w:name w:val="Table Grid 131"/>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1">
    <w:name w:val="Table Columns 531"/>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1">
    <w:name w:val="Light List - Accent 1131"/>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1">
    <w:name w:val="Нет списка141"/>
    <w:next w:val="NoList"/>
    <w:semiHidden/>
    <w:unhideWhenUsed/>
    <w:rsid w:val="009526B6"/>
  </w:style>
  <w:style w:type="table" w:customStyle="1" w:styleId="ColorfulGrid-Accent1131">
    <w:name w:val="Colorful Grid - Accent 1131"/>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1">
    <w:name w:val="Light List - Accent 5131"/>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1">
    <w:name w:val="No List431"/>
    <w:next w:val="NoList"/>
    <w:semiHidden/>
    <w:rsid w:val="009526B6"/>
  </w:style>
  <w:style w:type="table" w:customStyle="1" w:styleId="Table3Deffects331">
    <w:name w:val="Table 3D effects 331"/>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
    <w:name w:val="Нет списка1131"/>
    <w:next w:val="NoList"/>
    <w:semiHidden/>
    <w:unhideWhenUsed/>
    <w:rsid w:val="009526B6"/>
  </w:style>
  <w:style w:type="numbering" w:customStyle="1" w:styleId="NoList521">
    <w:name w:val="No List521"/>
    <w:next w:val="NoList"/>
    <w:uiPriority w:val="99"/>
    <w:semiHidden/>
    <w:unhideWhenUsed/>
    <w:rsid w:val="009526B6"/>
  </w:style>
  <w:style w:type="numbering" w:customStyle="1" w:styleId="NoList1221">
    <w:name w:val="No List1221"/>
    <w:next w:val="NoList"/>
    <w:semiHidden/>
    <w:rsid w:val="009526B6"/>
  </w:style>
  <w:style w:type="numbering" w:customStyle="1" w:styleId="NoList11221">
    <w:name w:val="No List11221"/>
    <w:next w:val="NoList"/>
    <w:semiHidden/>
    <w:rsid w:val="009526B6"/>
  </w:style>
  <w:style w:type="numbering" w:customStyle="1" w:styleId="NoList111121">
    <w:name w:val="No List111121"/>
    <w:next w:val="NoList"/>
    <w:semiHidden/>
    <w:rsid w:val="009526B6"/>
  </w:style>
  <w:style w:type="numbering" w:customStyle="1" w:styleId="NoList2121">
    <w:name w:val="No List2121"/>
    <w:next w:val="NoList"/>
    <w:semiHidden/>
    <w:rsid w:val="009526B6"/>
  </w:style>
  <w:style w:type="table" w:customStyle="1" w:styleId="TableGrid221">
    <w:name w:val="Table Grid221"/>
    <w:basedOn w:val="TableNormal"/>
    <w:next w:val="TableGrid"/>
    <w:uiPriority w:val="39"/>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
    <w:name w:val="No List3121"/>
    <w:next w:val="NoList"/>
    <w:uiPriority w:val="99"/>
    <w:semiHidden/>
    <w:unhideWhenUsed/>
    <w:rsid w:val="009526B6"/>
  </w:style>
  <w:style w:type="table" w:customStyle="1" w:styleId="LightShading-Accent111">
    <w:name w:val="Light Shading - Accent 111"/>
    <w:basedOn w:val="TableNormal"/>
    <w:next w:val="LightShading-Accent1"/>
    <w:uiPriority w:val="60"/>
    <w:rsid w:val="009526B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1">
    <w:name w:val="Medium Grid 2 - Accent 111"/>
    <w:basedOn w:val="TableNormal"/>
    <w:next w:val="MediumGrid2-Accent1"/>
    <w:uiPriority w:val="68"/>
    <w:rsid w:val="009526B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1">
    <w:name w:val="Medium List 2 - Accent 511"/>
    <w:basedOn w:val="TableNormal"/>
    <w:next w:val="MediumList2-Accent5"/>
    <w:uiPriority w:val="66"/>
    <w:rsid w:val="009526B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1">
    <w:name w:val="Light List - Accent 151"/>
    <w:basedOn w:val="TableNormal"/>
    <w:next w:val="LightList-Accent1"/>
    <w:uiPriority w:val="61"/>
    <w:rsid w:val="009526B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1">
    <w:name w:val="Medium Grid 3 - Accent 511"/>
    <w:basedOn w:val="TableNormal"/>
    <w:next w:val="MediumGrid3-Accent5"/>
    <w:uiPriority w:val="69"/>
    <w:rsid w:val="009526B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1">
    <w:name w:val="Light Shading - Accent 511"/>
    <w:basedOn w:val="TableNormal"/>
    <w:next w:val="LightShading-Accent5"/>
    <w:uiPriority w:val="60"/>
    <w:rsid w:val="009526B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1">
    <w:name w:val="Medium Grid 2 - Accent 511"/>
    <w:basedOn w:val="TableNormal"/>
    <w:next w:val="MediumGrid2-Accent5"/>
    <w:uiPriority w:val="68"/>
    <w:rsid w:val="009526B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1">
    <w:name w:val="Light Grid - Accent 111"/>
    <w:basedOn w:val="TableNormal"/>
    <w:next w:val="LightGrid-Accent1"/>
    <w:uiPriority w:val="62"/>
    <w:rsid w:val="009526B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3">
    <w:name w:val="Table List 43"/>
    <w:basedOn w:val="TableNormal"/>
    <w:next w:val="TableList4"/>
    <w:rsid w:val="009526B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2">
    <w:name w:val="Table List 412"/>
    <w:basedOn w:val="TableNormal"/>
    <w:next w:val="TableList4"/>
    <w:rsid w:val="009526B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1">
    <w:name w:val="Table Theme1"/>
    <w:basedOn w:val="TableNormal"/>
    <w:next w:val="TableTheme"/>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
    <w:name w:val="Table Professional1"/>
    <w:basedOn w:val="TableNormal"/>
    <w:next w:val="TableProfessional"/>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1">
    <w:name w:val="Table Grid 61"/>
    <w:basedOn w:val="TableNormal"/>
    <w:next w:val="TableGrid6"/>
    <w:rsid w:val="009526B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1">
    <w:name w:val="Table List 421"/>
    <w:basedOn w:val="TableNormal"/>
    <w:next w:val="TableList4"/>
    <w:rsid w:val="009526B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1">
    <w:name w:val="Table List 4111"/>
    <w:basedOn w:val="TableNormal"/>
    <w:next w:val="TableList4"/>
    <w:rsid w:val="009526B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3">
    <w:name w:val="Style113"/>
    <w:basedOn w:val="TableElegant"/>
    <w:uiPriority w:val="99"/>
    <w:rsid w:val="009526B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4">
    <w:name w:val="Style214"/>
    <w:basedOn w:val="TableGrid5"/>
    <w:uiPriority w:val="99"/>
    <w:rsid w:val="009526B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3">
    <w:name w:val="Style2113"/>
    <w:basedOn w:val="TableGrid5"/>
    <w:uiPriority w:val="99"/>
    <w:rsid w:val="009526B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1">
    <w:name w:val="No List161"/>
    <w:next w:val="NoList"/>
    <w:uiPriority w:val="99"/>
    <w:semiHidden/>
    <w:unhideWhenUsed/>
    <w:rsid w:val="009526B6"/>
  </w:style>
  <w:style w:type="table" w:customStyle="1" w:styleId="TableGrid610">
    <w:name w:val="Table Grid61"/>
    <w:basedOn w:val="TableNormal"/>
    <w:next w:val="TableGrid"/>
    <w:uiPriority w:val="39"/>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
    <w:name w:val="No List171"/>
    <w:next w:val="NoList"/>
    <w:uiPriority w:val="99"/>
    <w:semiHidden/>
    <w:unhideWhenUsed/>
    <w:rsid w:val="009526B6"/>
  </w:style>
  <w:style w:type="numbering" w:customStyle="1" w:styleId="NoList1161">
    <w:name w:val="No List1161"/>
    <w:next w:val="NoList"/>
    <w:semiHidden/>
    <w:rsid w:val="009526B6"/>
  </w:style>
  <w:style w:type="table" w:customStyle="1" w:styleId="TableGrid1310">
    <w:name w:val="Table Grid131"/>
    <w:basedOn w:val="TableNormal"/>
    <w:next w:val="TableGrid"/>
    <w:uiPriority w:val="59"/>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1">
    <w:name w:val="Light List - Accent 161"/>
    <w:basedOn w:val="TableNormal"/>
    <w:next w:val="LightList-Accent1"/>
    <w:uiPriority w:val="61"/>
    <w:rsid w:val="009526B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
    <w:name w:val="Light Shading - Accent 13"/>
    <w:basedOn w:val="TableNormal"/>
    <w:next w:val="LightShading-Accent1"/>
    <w:uiPriority w:val="60"/>
    <w:semiHidden/>
    <w:unhideWhenUsed/>
    <w:rsid w:val="009526B6"/>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3">
    <w:name w:val="Medium Grid 2 - Accent 13"/>
    <w:basedOn w:val="TableNormal"/>
    <w:next w:val="MediumGrid2-Accent1"/>
    <w:uiPriority w:val="68"/>
    <w:semiHidden/>
    <w:unhideWhenUsed/>
    <w:rsid w:val="009526B6"/>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3">
    <w:name w:val="Medium List 2 - Accent 53"/>
    <w:basedOn w:val="TableNormal"/>
    <w:next w:val="MediumList2-Accent5"/>
    <w:uiPriority w:val="66"/>
    <w:semiHidden/>
    <w:unhideWhenUsed/>
    <w:rsid w:val="009526B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3">
    <w:name w:val="Medium Grid 3 - Accent 53"/>
    <w:basedOn w:val="TableNormal"/>
    <w:next w:val="MediumGrid3-Accent5"/>
    <w:uiPriority w:val="69"/>
    <w:semiHidden/>
    <w:unhideWhenUsed/>
    <w:rsid w:val="009526B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3">
    <w:name w:val="Light Shading - Accent 53"/>
    <w:basedOn w:val="TableNormal"/>
    <w:next w:val="LightShading-Accent5"/>
    <w:uiPriority w:val="60"/>
    <w:semiHidden/>
    <w:unhideWhenUsed/>
    <w:rsid w:val="009526B6"/>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3">
    <w:name w:val="Medium Grid 2 - Accent 53"/>
    <w:basedOn w:val="TableNormal"/>
    <w:next w:val="MediumGrid2-Accent5"/>
    <w:uiPriority w:val="68"/>
    <w:semiHidden/>
    <w:unhideWhenUsed/>
    <w:rsid w:val="009526B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3">
    <w:name w:val="Light Grid - Accent 13"/>
    <w:basedOn w:val="TableNormal"/>
    <w:next w:val="LightGrid-Accent1"/>
    <w:uiPriority w:val="62"/>
    <w:semiHidden/>
    <w:unhideWhenUsed/>
    <w:rsid w:val="009526B6"/>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Shading-Accent14">
    <w:name w:val="Light Shading - Accent 14"/>
    <w:basedOn w:val="TableNormal"/>
    <w:next w:val="LightShading-Accent1"/>
    <w:uiPriority w:val="60"/>
    <w:rsid w:val="002D7AC1"/>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4">
    <w:name w:val="Medium Grid 2 - Accent 14"/>
    <w:basedOn w:val="TableNormal"/>
    <w:next w:val="MediumGrid2-Accent1"/>
    <w:uiPriority w:val="68"/>
    <w:rsid w:val="002D7AC1"/>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4">
    <w:name w:val="Medium List 2 - Accent 54"/>
    <w:basedOn w:val="TableNormal"/>
    <w:next w:val="MediumList2-Accent5"/>
    <w:uiPriority w:val="66"/>
    <w:rsid w:val="002D7AC1"/>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10">
    <w:name w:val="Light List - Accent 110"/>
    <w:basedOn w:val="TableNormal"/>
    <w:next w:val="LightList-Accent1"/>
    <w:uiPriority w:val="61"/>
    <w:rsid w:val="002D7AC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4">
    <w:name w:val="Medium Grid 3 - Accent 54"/>
    <w:basedOn w:val="TableNormal"/>
    <w:next w:val="MediumGrid3-Accent5"/>
    <w:uiPriority w:val="69"/>
    <w:rsid w:val="002D7AC1"/>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4">
    <w:name w:val="Light Shading - Accent 54"/>
    <w:basedOn w:val="TableNormal"/>
    <w:next w:val="LightShading-Accent5"/>
    <w:uiPriority w:val="60"/>
    <w:rsid w:val="002D7AC1"/>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4">
    <w:name w:val="Medium Grid 2 - Accent 54"/>
    <w:basedOn w:val="TableNormal"/>
    <w:next w:val="MediumGrid2-Accent5"/>
    <w:uiPriority w:val="68"/>
    <w:rsid w:val="002D7AC1"/>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4">
    <w:name w:val="Light Grid - Accent 14"/>
    <w:basedOn w:val="TableNormal"/>
    <w:next w:val="LightGrid-Accent1"/>
    <w:uiPriority w:val="62"/>
    <w:rsid w:val="002D7AC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5">
    <w:name w:val="Light Shading - Accent 15"/>
    <w:basedOn w:val="TableNormal"/>
    <w:next w:val="LightShading-Accent1"/>
    <w:uiPriority w:val="60"/>
    <w:rsid w:val="00EF5C2F"/>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5">
    <w:name w:val="Medium Grid 2 - Accent 15"/>
    <w:basedOn w:val="TableNormal"/>
    <w:next w:val="MediumGrid2-Accent1"/>
    <w:uiPriority w:val="68"/>
    <w:rsid w:val="00EF5C2F"/>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5">
    <w:name w:val="Medium List 2 - Accent 55"/>
    <w:basedOn w:val="TableNormal"/>
    <w:next w:val="MediumList2-Accent5"/>
    <w:uiPriority w:val="66"/>
    <w:rsid w:val="00EF5C2F"/>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16">
    <w:name w:val="Light List - Accent 116"/>
    <w:basedOn w:val="TableNormal"/>
    <w:next w:val="LightList-Accent1"/>
    <w:uiPriority w:val="61"/>
    <w:rsid w:val="00EF5C2F"/>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5">
    <w:name w:val="Medium Grid 3 - Accent 55"/>
    <w:basedOn w:val="TableNormal"/>
    <w:next w:val="MediumGrid3-Accent5"/>
    <w:uiPriority w:val="69"/>
    <w:rsid w:val="00EF5C2F"/>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5">
    <w:name w:val="Light Shading - Accent 55"/>
    <w:basedOn w:val="TableNormal"/>
    <w:next w:val="LightShading-Accent5"/>
    <w:uiPriority w:val="60"/>
    <w:rsid w:val="00EF5C2F"/>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5">
    <w:name w:val="Medium Grid 2 - Accent 55"/>
    <w:basedOn w:val="TableNormal"/>
    <w:next w:val="MediumGrid2-Accent5"/>
    <w:uiPriority w:val="68"/>
    <w:rsid w:val="00EF5C2F"/>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5">
    <w:name w:val="Light Grid - Accent 15"/>
    <w:basedOn w:val="TableNormal"/>
    <w:next w:val="LightGrid-Accent1"/>
    <w:uiPriority w:val="62"/>
    <w:rsid w:val="00EF5C2F"/>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27">
    <w:name w:val="No List27"/>
    <w:next w:val="NoList"/>
    <w:uiPriority w:val="99"/>
    <w:semiHidden/>
    <w:unhideWhenUsed/>
    <w:rsid w:val="00CD7119"/>
  </w:style>
  <w:style w:type="table" w:customStyle="1" w:styleId="TableGrid9">
    <w:name w:val="Table Grid9"/>
    <w:basedOn w:val="TableNormal"/>
    <w:next w:val="TableGrid"/>
    <w:uiPriority w:val="39"/>
    <w:rsid w:val="00CD7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6">
    <w:name w:val="Table List 76"/>
    <w:basedOn w:val="TableNormal"/>
    <w:next w:val="TableList7"/>
    <w:rsid w:val="00CD711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6">
    <w:name w:val="Table Web 36"/>
    <w:basedOn w:val="TableNormal"/>
    <w:next w:val="TableWeb3"/>
    <w:rsid w:val="00CD711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6">
    <w:name w:val="Table Elegant6"/>
    <w:basedOn w:val="TableNormal"/>
    <w:next w:val="TableElegant"/>
    <w:rsid w:val="00CD711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6">
    <w:name w:val="Table Web 26"/>
    <w:basedOn w:val="TableNormal"/>
    <w:next w:val="TableWeb2"/>
    <w:rsid w:val="00CD711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6">
    <w:name w:val="Table Web 16"/>
    <w:basedOn w:val="TableNormal"/>
    <w:next w:val="TableWeb1"/>
    <w:rsid w:val="00CD711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6">
    <w:name w:val="Table Grid 86"/>
    <w:basedOn w:val="TableNormal"/>
    <w:next w:val="TableGrid8"/>
    <w:rsid w:val="00CD711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6">
    <w:name w:val="Table Contemporary6"/>
    <w:basedOn w:val="TableNormal"/>
    <w:next w:val="TableContemporary"/>
    <w:rsid w:val="00CD711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9">
    <w:name w:val="No List119"/>
    <w:next w:val="NoList"/>
    <w:semiHidden/>
    <w:unhideWhenUsed/>
    <w:rsid w:val="00CD7119"/>
  </w:style>
  <w:style w:type="numbering" w:customStyle="1" w:styleId="NoList28">
    <w:name w:val="No List28"/>
    <w:next w:val="NoList"/>
    <w:semiHidden/>
    <w:unhideWhenUsed/>
    <w:rsid w:val="00CD7119"/>
  </w:style>
  <w:style w:type="numbering" w:customStyle="1" w:styleId="NoList37">
    <w:name w:val="No List37"/>
    <w:next w:val="NoList"/>
    <w:semiHidden/>
    <w:unhideWhenUsed/>
    <w:rsid w:val="00CD7119"/>
  </w:style>
  <w:style w:type="table" w:customStyle="1" w:styleId="LightList-Accent117">
    <w:name w:val="Light List - Accent 117"/>
    <w:basedOn w:val="TableNormal"/>
    <w:next w:val="LightList-Accent1"/>
    <w:uiPriority w:val="61"/>
    <w:rsid w:val="00CD711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6">
    <w:name w:val="Table Grid 76"/>
    <w:basedOn w:val="TableNormal"/>
    <w:next w:val="TableGrid7"/>
    <w:rsid w:val="00CD711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7">
    <w:name w:val="Colorful Grid - Accent 17"/>
    <w:basedOn w:val="TableNormal"/>
    <w:next w:val="ColorfulGrid-Accent1"/>
    <w:uiPriority w:val="73"/>
    <w:rsid w:val="00CD711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7">
    <w:name w:val="Light List - Accent 57"/>
    <w:basedOn w:val="TableNormal"/>
    <w:next w:val="LightList-Accent5"/>
    <w:uiPriority w:val="61"/>
    <w:rsid w:val="00CD711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6">
    <w:name w:val="Table Simple 36"/>
    <w:basedOn w:val="TableNormal"/>
    <w:next w:val="TableSimple3"/>
    <w:rsid w:val="00CD711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6">
    <w:name w:val="Table Grid 56"/>
    <w:basedOn w:val="TableNormal"/>
    <w:next w:val="TableGrid5"/>
    <w:rsid w:val="00CD711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6">
    <w:name w:val="Table Grid 36"/>
    <w:basedOn w:val="TableNormal"/>
    <w:next w:val="TableGrid3"/>
    <w:rsid w:val="00CD711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6">
    <w:name w:val="Table Grid 16"/>
    <w:basedOn w:val="TableNormal"/>
    <w:next w:val="TableGrid10"/>
    <w:rsid w:val="00CD711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6">
    <w:name w:val="Table Columns 56"/>
    <w:basedOn w:val="TableNormal"/>
    <w:next w:val="TableColumns5"/>
    <w:rsid w:val="00CD711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8">
    <w:name w:val="Light List - Accent 118"/>
    <w:basedOn w:val="TableNormal"/>
    <w:uiPriority w:val="61"/>
    <w:rsid w:val="00CD711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70">
    <w:name w:val="Нет списка17"/>
    <w:next w:val="NoList"/>
    <w:semiHidden/>
    <w:unhideWhenUsed/>
    <w:rsid w:val="00CD7119"/>
  </w:style>
  <w:style w:type="table" w:customStyle="1" w:styleId="ColorfulGrid-Accent116">
    <w:name w:val="Colorful Grid - Accent 116"/>
    <w:basedOn w:val="TableNormal"/>
    <w:rsid w:val="00CD711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6">
    <w:name w:val="Light List - Accent 516"/>
    <w:basedOn w:val="TableNormal"/>
    <w:rsid w:val="00CD711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6">
    <w:name w:val="No List46"/>
    <w:next w:val="NoList"/>
    <w:semiHidden/>
    <w:rsid w:val="00CD7119"/>
  </w:style>
  <w:style w:type="numbering" w:customStyle="1" w:styleId="NoList1110">
    <w:name w:val="No List1110"/>
    <w:next w:val="NoList"/>
    <w:semiHidden/>
    <w:unhideWhenUsed/>
    <w:rsid w:val="00CD7119"/>
  </w:style>
  <w:style w:type="table" w:customStyle="1" w:styleId="Table3Deffects36">
    <w:name w:val="Table 3D effects 36"/>
    <w:basedOn w:val="TableNormal"/>
    <w:next w:val="Table3Deffects3"/>
    <w:rsid w:val="00CD711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
    <w:name w:val="Нет списка116"/>
    <w:next w:val="NoList"/>
    <w:semiHidden/>
    <w:unhideWhenUsed/>
    <w:rsid w:val="00CD7119"/>
  </w:style>
  <w:style w:type="character" w:customStyle="1" w:styleId="39">
    <w:name w:val="Основной текст3"/>
    <w:rsid w:val="00291C2D"/>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paragraph" w:customStyle="1" w:styleId="msonormal0">
    <w:name w:val="msonormal"/>
    <w:basedOn w:val="Normal"/>
    <w:rsid w:val="00291C2D"/>
    <w:pPr>
      <w:spacing w:before="100" w:beforeAutospacing="1" w:after="100" w:afterAutospacing="1" w:line="240" w:lineRule="auto"/>
      <w:ind w:firstLine="0"/>
      <w:contextualSpacing w:val="0"/>
      <w:jc w:val="left"/>
    </w:pPr>
    <w:rPr>
      <w:rFonts w:ascii="Times New Roman" w:hAnsi="Times New Roman"/>
      <w:b w:val="0"/>
      <w:sz w:val="24"/>
      <w:lang w:val="en-US" w:eastAsia="en-US"/>
    </w:rPr>
  </w:style>
  <w:style w:type="paragraph" w:customStyle="1" w:styleId="2b">
    <w:name w:val="Абзац списка2"/>
    <w:basedOn w:val="Normal"/>
    <w:uiPriority w:val="99"/>
    <w:qFormat/>
    <w:rsid w:val="00291C2D"/>
    <w:pPr>
      <w:spacing w:before="0" w:after="200" w:line="276" w:lineRule="auto"/>
      <w:ind w:left="720" w:firstLine="0"/>
      <w:jc w:val="left"/>
    </w:pPr>
    <w:rPr>
      <w:rFonts w:ascii="Calibri" w:eastAsia="Calibri" w:hAnsi="Calibri"/>
      <w:szCs w:val="22"/>
      <w:lang w:eastAsia="en-US"/>
    </w:rPr>
  </w:style>
  <w:style w:type="paragraph" w:customStyle="1" w:styleId="3a">
    <w:name w:val="Рецензия3"/>
    <w:hidden/>
    <w:uiPriority w:val="99"/>
    <w:semiHidden/>
    <w:rsid w:val="00291C2D"/>
    <w:rPr>
      <w:rFonts w:ascii="Arial Armenian" w:hAnsi="Arial Armenian"/>
      <w:sz w:val="22"/>
      <w:szCs w:val="22"/>
      <w:lang w:eastAsia="ru-RU"/>
    </w:rPr>
  </w:style>
  <w:style w:type="paragraph" w:customStyle="1" w:styleId="44">
    <w:name w:val="Обычный4"/>
    <w:rsid w:val="00291C2D"/>
    <w:pPr>
      <w:autoSpaceDE w:val="0"/>
      <w:autoSpaceDN w:val="0"/>
    </w:pPr>
    <w:rPr>
      <w:lang w:val="ru-RU" w:eastAsia="ru-RU"/>
    </w:rPr>
  </w:style>
  <w:style w:type="paragraph" w:customStyle="1" w:styleId="2c">
    <w:name w:val="Без интервала2"/>
    <w:uiPriority w:val="1"/>
    <w:qFormat/>
    <w:rsid w:val="00291C2D"/>
    <w:rPr>
      <w:rFonts w:ascii="Calibri" w:hAnsi="Calibri"/>
      <w:sz w:val="22"/>
      <w:szCs w:val="22"/>
    </w:rPr>
  </w:style>
  <w:style w:type="character" w:customStyle="1" w:styleId="45">
    <w:name w:val="Основной текст4"/>
    <w:rsid w:val="00291C2D"/>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table" w:customStyle="1" w:styleId="LightShading-Accent16">
    <w:name w:val="Light Shading - Accent 16"/>
    <w:basedOn w:val="TableNormal"/>
    <w:next w:val="LightShading-Accent1"/>
    <w:uiPriority w:val="60"/>
    <w:rsid w:val="00291C2D"/>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6">
    <w:name w:val="Medium Grid 2 - Accent 16"/>
    <w:basedOn w:val="TableNormal"/>
    <w:next w:val="MediumGrid2-Accent1"/>
    <w:uiPriority w:val="68"/>
    <w:rsid w:val="00291C2D"/>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6">
    <w:name w:val="Medium List 2 - Accent 56"/>
    <w:basedOn w:val="TableNormal"/>
    <w:next w:val="MediumList2-Accent5"/>
    <w:uiPriority w:val="66"/>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2">
    <w:name w:val="Light List - Accent 152"/>
    <w:basedOn w:val="TableNormal"/>
    <w:next w:val="LightList-Accent1"/>
    <w:uiPriority w:val="61"/>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6">
    <w:name w:val="Medium Grid 3 - Accent 56"/>
    <w:basedOn w:val="TableNormal"/>
    <w:next w:val="MediumGrid3-Accent5"/>
    <w:uiPriority w:val="69"/>
    <w:rsid w:val="00291C2D"/>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6">
    <w:name w:val="Light Shading - Accent 56"/>
    <w:basedOn w:val="TableNormal"/>
    <w:next w:val="LightShading-Accent5"/>
    <w:uiPriority w:val="60"/>
    <w:rsid w:val="00291C2D"/>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6">
    <w:name w:val="Medium Grid 2 - Accent 56"/>
    <w:basedOn w:val="TableNormal"/>
    <w:next w:val="MediumGrid2-Accent5"/>
    <w:uiPriority w:val="68"/>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6">
    <w:name w:val="Light Grid - Accent 16"/>
    <w:basedOn w:val="TableNormal"/>
    <w:next w:val="LightGrid-Accent1"/>
    <w:uiPriority w:val="62"/>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4">
    <w:name w:val="Style114"/>
    <w:basedOn w:val="TableElegant"/>
    <w:uiPriority w:val="99"/>
    <w:rsid w:val="00291C2D"/>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5">
    <w:name w:val="Style215"/>
    <w:basedOn w:val="TableGrid5"/>
    <w:uiPriority w:val="99"/>
    <w:rsid w:val="00291C2D"/>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4">
    <w:name w:val="Style2114"/>
    <w:basedOn w:val="TableGrid5"/>
    <w:uiPriority w:val="99"/>
    <w:rsid w:val="00291C2D"/>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Shading-Accent112">
    <w:name w:val="Light Shading - Accent 112"/>
    <w:basedOn w:val="TableNormal"/>
    <w:next w:val="LightShading-Accent1"/>
    <w:uiPriority w:val="60"/>
    <w:rsid w:val="00291C2D"/>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2">
    <w:name w:val="Medium Grid 2 - Accent 112"/>
    <w:basedOn w:val="TableNormal"/>
    <w:next w:val="MediumGrid2-Accent1"/>
    <w:uiPriority w:val="68"/>
    <w:rsid w:val="00291C2D"/>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2">
    <w:name w:val="Medium List 2 - Accent 512"/>
    <w:basedOn w:val="TableNormal"/>
    <w:next w:val="MediumList2-Accent5"/>
    <w:uiPriority w:val="66"/>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62">
    <w:name w:val="Light List - Accent 162"/>
    <w:basedOn w:val="TableNormal"/>
    <w:next w:val="LightList-Accent1"/>
    <w:uiPriority w:val="61"/>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2">
    <w:name w:val="Medium Grid 3 - Accent 512"/>
    <w:basedOn w:val="TableNormal"/>
    <w:next w:val="MediumGrid3-Accent5"/>
    <w:uiPriority w:val="69"/>
    <w:rsid w:val="00291C2D"/>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2">
    <w:name w:val="Light Shading - Accent 512"/>
    <w:basedOn w:val="TableNormal"/>
    <w:next w:val="LightShading-Accent5"/>
    <w:uiPriority w:val="60"/>
    <w:rsid w:val="00291C2D"/>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2">
    <w:name w:val="Medium Grid 2 - Accent 512"/>
    <w:basedOn w:val="TableNormal"/>
    <w:next w:val="MediumGrid2-Accent5"/>
    <w:uiPriority w:val="68"/>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2">
    <w:name w:val="Light Grid - Accent 112"/>
    <w:basedOn w:val="TableNormal"/>
    <w:next w:val="LightGrid-Accent1"/>
    <w:uiPriority w:val="62"/>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9">
    <w:name w:val="No List29"/>
    <w:next w:val="NoList"/>
    <w:uiPriority w:val="99"/>
    <w:semiHidden/>
    <w:unhideWhenUsed/>
    <w:rsid w:val="00CC15D2"/>
  </w:style>
  <w:style w:type="table" w:customStyle="1" w:styleId="TableGrid100">
    <w:name w:val="Table Grid10"/>
    <w:basedOn w:val="TableNormal"/>
    <w:next w:val="TableGrid"/>
    <w:uiPriority w:val="39"/>
    <w:rsid w:val="00CC15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CC15D2"/>
  </w:style>
  <w:style w:type="numbering" w:customStyle="1" w:styleId="NoList1115">
    <w:name w:val="No List1115"/>
    <w:next w:val="NoList"/>
    <w:semiHidden/>
    <w:rsid w:val="00CC15D2"/>
  </w:style>
  <w:style w:type="table" w:customStyle="1" w:styleId="TableGrid150">
    <w:name w:val="Table Grid15"/>
    <w:basedOn w:val="TableNormal"/>
    <w:next w:val="TableGrid"/>
    <w:uiPriority w:val="39"/>
    <w:rsid w:val="00CC15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unhideWhenUsed/>
    <w:rsid w:val="00941455"/>
  </w:style>
  <w:style w:type="table" w:customStyle="1" w:styleId="LightShading-Accent17">
    <w:name w:val="Light Shading - Accent 17"/>
    <w:basedOn w:val="TableNormal"/>
    <w:next w:val="LightShading-Accent1"/>
    <w:uiPriority w:val="60"/>
    <w:rsid w:val="00372F27"/>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7">
    <w:name w:val="Medium Grid 2 - Accent 17"/>
    <w:basedOn w:val="TableNormal"/>
    <w:next w:val="MediumGrid2-Accent1"/>
    <w:uiPriority w:val="68"/>
    <w:rsid w:val="00372F27"/>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7">
    <w:name w:val="Medium List 2 - Accent 57"/>
    <w:basedOn w:val="TableNormal"/>
    <w:next w:val="MediumList2-Accent5"/>
    <w:uiPriority w:val="66"/>
    <w:rsid w:val="00372F27"/>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19">
    <w:name w:val="Light List - Accent 119"/>
    <w:basedOn w:val="TableNormal"/>
    <w:next w:val="LightList-Accent1"/>
    <w:uiPriority w:val="61"/>
    <w:rsid w:val="00372F27"/>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7">
    <w:name w:val="Medium Grid 3 - Accent 57"/>
    <w:basedOn w:val="TableNormal"/>
    <w:next w:val="MediumGrid3-Accent5"/>
    <w:uiPriority w:val="69"/>
    <w:rsid w:val="00372F27"/>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7">
    <w:name w:val="Light Shading - Accent 57"/>
    <w:basedOn w:val="TableNormal"/>
    <w:next w:val="LightShading-Accent5"/>
    <w:uiPriority w:val="60"/>
    <w:rsid w:val="00372F27"/>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7">
    <w:name w:val="Medium Grid 2 - Accent 57"/>
    <w:basedOn w:val="TableNormal"/>
    <w:next w:val="MediumGrid2-Accent5"/>
    <w:uiPriority w:val="68"/>
    <w:rsid w:val="00372F27"/>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7">
    <w:name w:val="Light Grid - Accent 17"/>
    <w:basedOn w:val="TableNormal"/>
    <w:next w:val="LightGrid-Accent1"/>
    <w:uiPriority w:val="62"/>
    <w:rsid w:val="00372F27"/>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38">
    <w:name w:val="No List38"/>
    <w:next w:val="NoList"/>
    <w:uiPriority w:val="99"/>
    <w:semiHidden/>
    <w:unhideWhenUsed/>
    <w:rsid w:val="00CD51B8"/>
  </w:style>
  <w:style w:type="table" w:customStyle="1" w:styleId="TableGrid160">
    <w:name w:val="Table Grid16"/>
    <w:basedOn w:val="TableNormal"/>
    <w:next w:val="TableGrid"/>
    <w:rsid w:val="00CD5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CD51B8"/>
  </w:style>
  <w:style w:type="numbering" w:customStyle="1" w:styleId="NoList1116">
    <w:name w:val="No List1116"/>
    <w:next w:val="NoList"/>
    <w:semiHidden/>
    <w:rsid w:val="00CD51B8"/>
  </w:style>
  <w:style w:type="table" w:customStyle="1" w:styleId="TableGrid17">
    <w:name w:val="Table Grid17"/>
    <w:basedOn w:val="TableNormal"/>
    <w:next w:val="TableGrid"/>
    <w:uiPriority w:val="59"/>
    <w:rsid w:val="00CD5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
    <w:name w:val="Light Shading - Accent 18"/>
    <w:basedOn w:val="TableNormal"/>
    <w:next w:val="LightShading-Accent1"/>
    <w:uiPriority w:val="60"/>
    <w:rsid w:val="00434536"/>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8">
    <w:name w:val="Medium Grid 2 - Accent 18"/>
    <w:basedOn w:val="TableNormal"/>
    <w:next w:val="MediumGrid2-Accent1"/>
    <w:uiPriority w:val="68"/>
    <w:rsid w:val="00434536"/>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8">
    <w:name w:val="Medium List 2 - Accent 58"/>
    <w:basedOn w:val="TableNormal"/>
    <w:next w:val="MediumList2-Accent5"/>
    <w:uiPriority w:val="66"/>
    <w:rsid w:val="00434536"/>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20">
    <w:name w:val="Light List - Accent 120"/>
    <w:basedOn w:val="TableNormal"/>
    <w:next w:val="LightList-Accent1"/>
    <w:uiPriority w:val="61"/>
    <w:rsid w:val="00434536"/>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8">
    <w:name w:val="Medium Grid 3 - Accent 58"/>
    <w:basedOn w:val="TableNormal"/>
    <w:next w:val="MediumGrid3-Accent5"/>
    <w:uiPriority w:val="69"/>
    <w:rsid w:val="00434536"/>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8">
    <w:name w:val="Light Shading - Accent 58"/>
    <w:basedOn w:val="TableNormal"/>
    <w:next w:val="LightShading-Accent5"/>
    <w:uiPriority w:val="60"/>
    <w:rsid w:val="00434536"/>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8">
    <w:name w:val="Medium Grid 2 - Accent 58"/>
    <w:basedOn w:val="TableNormal"/>
    <w:next w:val="MediumGrid2-Accent5"/>
    <w:uiPriority w:val="68"/>
    <w:rsid w:val="00434536"/>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8">
    <w:name w:val="Light Grid - Accent 18"/>
    <w:basedOn w:val="TableNormal"/>
    <w:next w:val="LightGrid-Accent1"/>
    <w:uiPriority w:val="62"/>
    <w:rsid w:val="00434536"/>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9">
    <w:name w:val="Light Shading - Accent 19"/>
    <w:basedOn w:val="TableNormal"/>
    <w:next w:val="LightShading-Accent1"/>
    <w:uiPriority w:val="60"/>
    <w:rsid w:val="00E81B58"/>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9">
    <w:name w:val="Medium Grid 2 - Accent 19"/>
    <w:basedOn w:val="TableNormal"/>
    <w:next w:val="MediumGrid2-Accent1"/>
    <w:uiPriority w:val="68"/>
    <w:rsid w:val="00E81B58"/>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9">
    <w:name w:val="Medium List 2 - Accent 59"/>
    <w:basedOn w:val="TableNormal"/>
    <w:next w:val="MediumList2-Accent5"/>
    <w:uiPriority w:val="66"/>
    <w:rsid w:val="00E81B58"/>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22">
    <w:name w:val="Light List - Accent 122"/>
    <w:basedOn w:val="TableNormal"/>
    <w:next w:val="LightList-Accent1"/>
    <w:uiPriority w:val="61"/>
    <w:rsid w:val="00E81B58"/>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9">
    <w:name w:val="Medium Grid 3 - Accent 59"/>
    <w:basedOn w:val="TableNormal"/>
    <w:next w:val="MediumGrid3-Accent5"/>
    <w:uiPriority w:val="69"/>
    <w:rsid w:val="00E81B58"/>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9">
    <w:name w:val="Light Shading - Accent 59"/>
    <w:basedOn w:val="TableNormal"/>
    <w:next w:val="LightShading-Accent5"/>
    <w:uiPriority w:val="60"/>
    <w:rsid w:val="00E81B58"/>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9">
    <w:name w:val="Medium Grid 2 - Accent 59"/>
    <w:basedOn w:val="TableNormal"/>
    <w:next w:val="MediumGrid2-Accent5"/>
    <w:uiPriority w:val="68"/>
    <w:rsid w:val="00E81B58"/>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9">
    <w:name w:val="Light Grid - Accent 19"/>
    <w:basedOn w:val="TableNormal"/>
    <w:next w:val="LightGrid-Accent1"/>
    <w:uiPriority w:val="62"/>
    <w:rsid w:val="00E81B58"/>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tyle115">
    <w:name w:val="Style115"/>
    <w:basedOn w:val="TableElegant"/>
    <w:uiPriority w:val="99"/>
    <w:rsid w:val="00CF7470"/>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15">
    <w:name w:val="Style2115"/>
    <w:basedOn w:val="TableGrid5"/>
    <w:uiPriority w:val="99"/>
    <w:rsid w:val="00CF7470"/>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39">
    <w:name w:val="No List39"/>
    <w:next w:val="NoList"/>
    <w:uiPriority w:val="99"/>
    <w:semiHidden/>
    <w:unhideWhenUsed/>
    <w:rsid w:val="008B1219"/>
  </w:style>
  <w:style w:type="table" w:customStyle="1" w:styleId="TableGrid18">
    <w:name w:val="Table Grid18"/>
    <w:basedOn w:val="TableNormal"/>
    <w:next w:val="TableGrid"/>
    <w:uiPriority w:val="39"/>
    <w:rsid w:val="008B1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8B1219"/>
  </w:style>
  <w:style w:type="numbering" w:customStyle="1" w:styleId="NoList1117">
    <w:name w:val="No List1117"/>
    <w:next w:val="NoList"/>
    <w:semiHidden/>
    <w:rsid w:val="008B1219"/>
  </w:style>
  <w:style w:type="table" w:customStyle="1" w:styleId="TableGrid19">
    <w:name w:val="Table Grid19"/>
    <w:basedOn w:val="TableNormal"/>
    <w:next w:val="TableGrid"/>
    <w:uiPriority w:val="59"/>
    <w:rsid w:val="008B1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51">
    <w:name w:val="Style1151"/>
    <w:basedOn w:val="TableElegant"/>
    <w:uiPriority w:val="99"/>
    <w:rsid w:val="008B121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6">
    <w:name w:val="Style216"/>
    <w:basedOn w:val="TableGrid5"/>
    <w:uiPriority w:val="99"/>
    <w:rsid w:val="008B121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40">
    <w:name w:val="No List40"/>
    <w:next w:val="NoList"/>
    <w:uiPriority w:val="99"/>
    <w:semiHidden/>
    <w:unhideWhenUsed/>
    <w:rsid w:val="008B1219"/>
  </w:style>
  <w:style w:type="table" w:customStyle="1" w:styleId="TableGrid20">
    <w:name w:val="Table Grid20"/>
    <w:basedOn w:val="TableNormal"/>
    <w:next w:val="TableGrid"/>
    <w:uiPriority w:val="59"/>
    <w:rsid w:val="008B1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0">
    <w:name w:val="Light Shading - Accent 110"/>
    <w:basedOn w:val="TableNormal"/>
    <w:next w:val="LightShading-Accent1"/>
    <w:uiPriority w:val="60"/>
    <w:rsid w:val="008B1219"/>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58">
    <w:name w:val="Light List - Accent 58"/>
    <w:basedOn w:val="TableNormal"/>
    <w:next w:val="LightList-Accent5"/>
    <w:uiPriority w:val="61"/>
    <w:rsid w:val="008B1219"/>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List2-Accent1">
    <w:name w:val="Medium List 2 Accent 1"/>
    <w:basedOn w:val="TableNormal"/>
    <w:uiPriority w:val="66"/>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2-Accent110">
    <w:name w:val="Medium Grid 2 - Accent 110"/>
    <w:basedOn w:val="TableNormal"/>
    <w:next w:val="MediumGrid2-Accent1"/>
    <w:uiPriority w:val="68"/>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3-Accent6">
    <w:name w:val="Medium Grid 3 Accent 6"/>
    <w:basedOn w:val="TableNormal"/>
    <w:uiPriority w:val="69"/>
    <w:rsid w:val="008B1219"/>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List2-Accent510">
    <w:name w:val="Medium List 2 - Accent 510"/>
    <w:basedOn w:val="TableNormal"/>
    <w:next w:val="MediumList2-Accent5"/>
    <w:uiPriority w:val="66"/>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23">
    <w:name w:val="Light List - Accent 123"/>
    <w:basedOn w:val="TableNormal"/>
    <w:next w:val="LightList-Accent1"/>
    <w:uiPriority w:val="61"/>
    <w:rsid w:val="008B1219"/>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List1-Accent5">
    <w:name w:val="Medium List 1 Accent 5"/>
    <w:basedOn w:val="TableNormal"/>
    <w:uiPriority w:val="65"/>
    <w:rsid w:val="008B1219"/>
    <w:rPr>
      <w:rFonts w:asciiTheme="minorHAnsi" w:eastAsiaTheme="minorHAnsi" w:hAnsiTheme="minorHAnsi" w:cstheme="minorBidi"/>
      <w:color w:val="000000" w:themeColor="text1"/>
      <w:sz w:val="22"/>
      <w:szCs w:val="22"/>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Grid3-Accent510">
    <w:name w:val="Medium Grid 3 - Accent 510"/>
    <w:basedOn w:val="TableNormal"/>
    <w:next w:val="MediumGrid3-Accent5"/>
    <w:uiPriority w:val="69"/>
    <w:rsid w:val="008B1219"/>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10">
    <w:name w:val="Light Shading - Accent 510"/>
    <w:basedOn w:val="TableNormal"/>
    <w:next w:val="LightShading-Accent5"/>
    <w:uiPriority w:val="60"/>
    <w:rsid w:val="008B1219"/>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10">
    <w:name w:val="Medium Grid 2 - Accent 510"/>
    <w:basedOn w:val="TableNormal"/>
    <w:next w:val="MediumGrid2-Accent5"/>
    <w:uiPriority w:val="68"/>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ghtList-Accent3">
    <w:name w:val="Light List Accent 3"/>
    <w:basedOn w:val="TableNormal"/>
    <w:uiPriority w:val="61"/>
    <w:rsid w:val="008B1219"/>
    <w:rPr>
      <w:rFonts w:asciiTheme="minorHAnsi" w:eastAsiaTheme="minorHAnsi"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List2-Accent3">
    <w:name w:val="Medium List 2 Accent 3"/>
    <w:basedOn w:val="TableNormal"/>
    <w:uiPriority w:val="66"/>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Grid-Accent110">
    <w:name w:val="Light Grid - Accent 110"/>
    <w:basedOn w:val="TableNormal"/>
    <w:next w:val="LightGrid-Accent1"/>
    <w:uiPriority w:val="62"/>
    <w:rsid w:val="008B1219"/>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47">
    <w:name w:val="No List47"/>
    <w:next w:val="NoList"/>
    <w:uiPriority w:val="99"/>
    <w:semiHidden/>
    <w:unhideWhenUsed/>
    <w:rsid w:val="00961B35"/>
  </w:style>
  <w:style w:type="table" w:customStyle="1" w:styleId="TableGrid24">
    <w:name w:val="Table Grid24"/>
    <w:basedOn w:val="TableNormal"/>
    <w:next w:val="TableGrid"/>
    <w:uiPriority w:val="39"/>
    <w:rsid w:val="00961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961B35"/>
  </w:style>
  <w:style w:type="numbering" w:customStyle="1" w:styleId="NoList1118">
    <w:name w:val="No List1118"/>
    <w:next w:val="NoList"/>
    <w:semiHidden/>
    <w:rsid w:val="00961B35"/>
  </w:style>
  <w:style w:type="table" w:customStyle="1" w:styleId="TableGrid1100">
    <w:name w:val="Table Grid110"/>
    <w:basedOn w:val="TableNormal"/>
    <w:next w:val="TableGrid"/>
    <w:uiPriority w:val="59"/>
    <w:rsid w:val="00961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semiHidden/>
    <w:rsid w:val="001725C5"/>
  </w:style>
  <w:style w:type="paragraph" w:customStyle="1" w:styleId="CharChara">
    <w:name w:val="Char Char"/>
    <w:basedOn w:val="Normal"/>
    <w:uiPriority w:val="99"/>
    <w:rsid w:val="001725C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a">
    <w:name w:val="Char"/>
    <w:basedOn w:val="Normal"/>
    <w:next w:val="Normal"/>
    <w:rsid w:val="001725C5"/>
    <w:pPr>
      <w:spacing w:before="0" w:after="160" w:line="240" w:lineRule="exact"/>
      <w:ind w:firstLine="0"/>
      <w:contextualSpacing w:val="0"/>
      <w:jc w:val="left"/>
    </w:pPr>
    <w:rPr>
      <w:rFonts w:ascii="Tahoma" w:hAnsi="Tahoma"/>
      <w:b w:val="0"/>
      <w:sz w:val="24"/>
      <w:szCs w:val="20"/>
      <w:lang w:val="en-US" w:eastAsia="en-US"/>
    </w:rPr>
  </w:style>
  <w:style w:type="paragraph" w:customStyle="1" w:styleId="Char1CharCharCharCharCharCharCharCharCharCharCharChar0">
    <w:name w:val="Char1 Char Char Char Char Char Char Char Char Char Char Char Char"/>
    <w:basedOn w:val="Normal"/>
    <w:uiPriority w:val="99"/>
    <w:rsid w:val="001725C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4">
    <w:name w:val="Char Char Char"/>
    <w:basedOn w:val="Normal"/>
    <w:uiPriority w:val="99"/>
    <w:rsid w:val="001725C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5">
    <w:name w:val="Char Char Char Знак Знак"/>
    <w:basedOn w:val="Normal"/>
    <w:uiPriority w:val="99"/>
    <w:rsid w:val="001725C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CharChar5">
    <w:name w:val="Char Char Char Char Char Знак Знак"/>
    <w:basedOn w:val="Normal"/>
    <w:uiPriority w:val="99"/>
    <w:rsid w:val="001725C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af">
    <w:name w:val="Знак Знак"/>
    <w:basedOn w:val="Normal"/>
    <w:rsid w:val="001725C5"/>
    <w:pPr>
      <w:spacing w:before="0" w:after="160" w:line="240" w:lineRule="exact"/>
      <w:ind w:firstLine="0"/>
      <w:contextualSpacing w:val="0"/>
      <w:jc w:val="left"/>
    </w:pPr>
    <w:rPr>
      <w:rFonts w:ascii="Arial" w:hAnsi="Arial" w:cs="Arial"/>
      <w:b w:val="0"/>
      <w:sz w:val="20"/>
      <w:szCs w:val="20"/>
      <w:lang w:val="en-US" w:eastAsia="en-US"/>
    </w:rPr>
  </w:style>
  <w:style w:type="numbering" w:customStyle="1" w:styleId="NoList127">
    <w:name w:val="No List127"/>
    <w:next w:val="NoList"/>
    <w:semiHidden/>
    <w:rsid w:val="001725C5"/>
  </w:style>
  <w:style w:type="paragraph" w:customStyle="1" w:styleId="CharCharCharCharCharCharCharCharCharCharCharCharCharCharChar0">
    <w:name w:val="Char Char Char Char Знак Char Знак Char Char Char Char Char Char Char Char Char Char"/>
    <w:basedOn w:val="Normal"/>
    <w:uiPriority w:val="99"/>
    <w:rsid w:val="001725C5"/>
    <w:pPr>
      <w:tabs>
        <w:tab w:val="left" w:pos="709"/>
      </w:tabs>
      <w:spacing w:before="0" w:line="240" w:lineRule="auto"/>
      <w:ind w:firstLine="0"/>
      <w:contextualSpacing w:val="0"/>
      <w:jc w:val="left"/>
    </w:pPr>
    <w:rPr>
      <w:rFonts w:ascii="Tahoma" w:hAnsi="Tahoma"/>
      <w:b w:val="0"/>
      <w:sz w:val="24"/>
      <w:lang w:val="pl-PL" w:eastAsia="pl-PL"/>
    </w:rPr>
  </w:style>
  <w:style w:type="character" w:customStyle="1" w:styleId="CharChar160">
    <w:name w:val="Char Char16"/>
    <w:uiPriority w:val="99"/>
    <w:rsid w:val="001725C5"/>
    <w:rPr>
      <w:b/>
      <w:sz w:val="32"/>
      <w:lang w:val="en-GB" w:eastAsia="en-US" w:bidi="ar-SA"/>
    </w:rPr>
  </w:style>
  <w:style w:type="character" w:customStyle="1" w:styleId="CharChar140">
    <w:name w:val="Char Char14"/>
    <w:uiPriority w:val="99"/>
    <w:rsid w:val="001725C5"/>
    <w:rPr>
      <w:sz w:val="22"/>
      <w:lang w:val="en-GB" w:eastAsia="en-US" w:bidi="ar-SA"/>
    </w:rPr>
  </w:style>
  <w:style w:type="character" w:customStyle="1" w:styleId="CharChar150">
    <w:name w:val="Char Char15"/>
    <w:uiPriority w:val="99"/>
    <w:rsid w:val="001725C5"/>
    <w:rPr>
      <w:sz w:val="36"/>
      <w:lang w:val="en-GB" w:eastAsia="en-US" w:bidi="ar-SA"/>
    </w:rPr>
  </w:style>
  <w:style w:type="character" w:customStyle="1" w:styleId="CharChar130">
    <w:name w:val="Char Char13"/>
    <w:uiPriority w:val="99"/>
    <w:rsid w:val="001725C5"/>
    <w:rPr>
      <w:sz w:val="22"/>
      <w:lang w:val="en-GB" w:eastAsia="en-US" w:bidi="ar-SA"/>
    </w:rPr>
  </w:style>
  <w:style w:type="character" w:customStyle="1" w:styleId="CharChar120">
    <w:name w:val="Char Char12"/>
    <w:uiPriority w:val="99"/>
    <w:rsid w:val="001725C5"/>
    <w:rPr>
      <w:sz w:val="22"/>
      <w:lang w:val="en-GB" w:eastAsia="en-US" w:bidi="ar-SA"/>
    </w:rPr>
  </w:style>
  <w:style w:type="character" w:customStyle="1" w:styleId="CharChar110">
    <w:name w:val="Char Char11"/>
    <w:uiPriority w:val="99"/>
    <w:rsid w:val="001725C5"/>
    <w:rPr>
      <w:rFonts w:ascii="Times Armenian" w:hAnsi="Times Armenian"/>
      <w:b/>
      <w:bCs/>
      <w:sz w:val="32"/>
      <w:szCs w:val="24"/>
      <w:lang w:val="fr-FR" w:eastAsia="en-US" w:bidi="ar-SA"/>
    </w:rPr>
  </w:style>
  <w:style w:type="character" w:customStyle="1" w:styleId="CharChar100">
    <w:name w:val="Char Char10"/>
    <w:uiPriority w:val="99"/>
    <w:rsid w:val="001725C5"/>
    <w:rPr>
      <w:rFonts w:ascii="Times Armenian" w:hAnsi="Times Armenian"/>
      <w:color w:val="993300"/>
      <w:sz w:val="22"/>
      <w:szCs w:val="24"/>
      <w:lang w:val="hy-AM" w:eastAsia="en-US" w:bidi="ar-SA"/>
    </w:rPr>
  </w:style>
  <w:style w:type="character" w:customStyle="1" w:styleId="CharChar90">
    <w:name w:val="Char Char9"/>
    <w:uiPriority w:val="99"/>
    <w:rsid w:val="001725C5"/>
    <w:rPr>
      <w:rFonts w:ascii="Times Armenian" w:hAnsi="Times Armenian"/>
      <w:b/>
      <w:i/>
      <w:sz w:val="24"/>
      <w:u w:val="single"/>
      <w:lang w:val="hy-AM" w:eastAsia="en-US" w:bidi="ar-SA"/>
    </w:rPr>
  </w:style>
  <w:style w:type="numbering" w:customStyle="1" w:styleId="NoList210">
    <w:name w:val="No List210"/>
    <w:next w:val="NoList"/>
    <w:semiHidden/>
    <w:rsid w:val="001725C5"/>
  </w:style>
  <w:style w:type="numbering" w:customStyle="1" w:styleId="NoList49">
    <w:name w:val="No List49"/>
    <w:next w:val="NoList"/>
    <w:uiPriority w:val="99"/>
    <w:semiHidden/>
    <w:unhideWhenUsed/>
    <w:rsid w:val="002C0A36"/>
  </w:style>
  <w:style w:type="table" w:customStyle="1" w:styleId="TableGrid25">
    <w:name w:val="Table Grid25"/>
    <w:basedOn w:val="TableNormal"/>
    <w:next w:val="TableGrid"/>
    <w:uiPriority w:val="39"/>
    <w:rsid w:val="002C0A36"/>
    <w:rPr>
      <w:rFonts w:ascii="Calibri" w:eastAsia="Calibri" w:hAnsi="Calibri"/>
      <w:sz w:val="22"/>
      <w:szCs w:val="22"/>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2C0A36"/>
    <w:rPr>
      <w:rFonts w:ascii="Calibri" w:eastAsia="Calibri" w:hAnsi="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26">
    <w:name w:val="Table Grid26"/>
    <w:basedOn w:val="TableNormal"/>
    <w:next w:val="TableGrid"/>
    <w:uiPriority w:val="39"/>
    <w:rsid w:val="00BA6B0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0">
    <w:name w:val="No List50"/>
    <w:next w:val="NoList"/>
    <w:uiPriority w:val="99"/>
    <w:semiHidden/>
    <w:unhideWhenUsed/>
    <w:rsid w:val="00B36A46"/>
  </w:style>
  <w:style w:type="numbering" w:customStyle="1" w:styleId="NoList128">
    <w:name w:val="No List128"/>
    <w:next w:val="NoList"/>
    <w:uiPriority w:val="99"/>
    <w:semiHidden/>
    <w:unhideWhenUsed/>
    <w:rsid w:val="00B36A46"/>
  </w:style>
  <w:style w:type="table" w:customStyle="1" w:styleId="TableGrid27">
    <w:name w:val="Table Grid27"/>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semiHidden/>
    <w:unhideWhenUsed/>
    <w:rsid w:val="00B36A46"/>
  </w:style>
  <w:style w:type="numbering" w:customStyle="1" w:styleId="NoList11110">
    <w:name w:val="No List11110"/>
    <w:next w:val="NoList"/>
    <w:semiHidden/>
    <w:rsid w:val="00B36A46"/>
  </w:style>
  <w:style w:type="table" w:customStyle="1" w:styleId="TableGrid112">
    <w:name w:val="Table Grid112"/>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
    <w:name w:val="No List11114"/>
    <w:next w:val="NoList"/>
    <w:semiHidden/>
    <w:rsid w:val="00B36A46"/>
  </w:style>
  <w:style w:type="numbering" w:customStyle="1" w:styleId="NoList214">
    <w:name w:val="No List214"/>
    <w:next w:val="NoList"/>
    <w:semiHidden/>
    <w:rsid w:val="00B36A46"/>
  </w:style>
  <w:style w:type="numbering" w:customStyle="1" w:styleId="NoList310">
    <w:name w:val="No List310"/>
    <w:next w:val="NoList"/>
    <w:semiHidden/>
    <w:unhideWhenUsed/>
    <w:rsid w:val="00B36A46"/>
  </w:style>
  <w:style w:type="table" w:customStyle="1" w:styleId="TableList77">
    <w:name w:val="Table List 77"/>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7">
    <w:name w:val="Table Web 37"/>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7">
    <w:name w:val="Table Elegant7"/>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7">
    <w:name w:val="Table Web 27"/>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7">
    <w:name w:val="Table Web 17"/>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7">
    <w:name w:val="Table Grid 87"/>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7">
    <w:name w:val="Table Contemporary7"/>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4">
    <w:name w:val="Light List - Accent 124"/>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7">
    <w:name w:val="Table Grid 77"/>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8">
    <w:name w:val="Colorful Grid - Accent 18"/>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9">
    <w:name w:val="Light List - Accent 59"/>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7">
    <w:name w:val="Table Simple 37"/>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7">
    <w:name w:val="Table Grid 57"/>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7">
    <w:name w:val="Table Grid 37"/>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70">
    <w:name w:val="Table Grid 17"/>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7">
    <w:name w:val="Table Columns 57"/>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0">
    <w:name w:val="Light List - Accent 1110"/>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80">
    <w:name w:val="Нет списка18"/>
    <w:next w:val="NoList"/>
    <w:semiHidden/>
    <w:unhideWhenUsed/>
    <w:rsid w:val="00B36A46"/>
  </w:style>
  <w:style w:type="table" w:customStyle="1" w:styleId="ColorfulGrid-Accent117">
    <w:name w:val="Colorful Grid - Accent 117"/>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7">
    <w:name w:val="Light List - Accent 517"/>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0">
    <w:name w:val="No List410"/>
    <w:next w:val="NoList"/>
    <w:semiHidden/>
    <w:rsid w:val="00B36A46"/>
  </w:style>
  <w:style w:type="table" w:customStyle="1" w:styleId="Table3Deffects37">
    <w:name w:val="Table 3D effects 37"/>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
    <w:name w:val="Нет списка117"/>
    <w:next w:val="NoList"/>
    <w:semiHidden/>
    <w:unhideWhenUsed/>
    <w:rsid w:val="00B36A46"/>
  </w:style>
  <w:style w:type="numbering" w:customStyle="1" w:styleId="NoList54">
    <w:name w:val="No List54"/>
    <w:next w:val="NoList"/>
    <w:uiPriority w:val="99"/>
    <w:semiHidden/>
    <w:unhideWhenUsed/>
    <w:rsid w:val="00B36A46"/>
  </w:style>
  <w:style w:type="numbering" w:customStyle="1" w:styleId="NoList129">
    <w:name w:val="No List129"/>
    <w:next w:val="NoList"/>
    <w:semiHidden/>
    <w:rsid w:val="00B36A46"/>
  </w:style>
  <w:style w:type="numbering" w:customStyle="1" w:styleId="NoList1124">
    <w:name w:val="No List1124"/>
    <w:next w:val="NoList"/>
    <w:semiHidden/>
    <w:rsid w:val="00B36A46"/>
  </w:style>
  <w:style w:type="numbering" w:customStyle="1" w:styleId="NoList111112">
    <w:name w:val="No List111112"/>
    <w:next w:val="NoList"/>
    <w:semiHidden/>
    <w:rsid w:val="00B36A46"/>
  </w:style>
  <w:style w:type="numbering" w:customStyle="1" w:styleId="NoList215">
    <w:name w:val="No List215"/>
    <w:next w:val="NoList"/>
    <w:semiHidden/>
    <w:rsid w:val="00B36A46"/>
  </w:style>
  <w:style w:type="table" w:customStyle="1" w:styleId="TableGrid28">
    <w:name w:val="Table Grid28"/>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
    <w:name w:val="No List314"/>
    <w:next w:val="NoList"/>
    <w:uiPriority w:val="99"/>
    <w:semiHidden/>
    <w:unhideWhenUsed/>
    <w:rsid w:val="00B36A46"/>
  </w:style>
  <w:style w:type="numbering" w:customStyle="1" w:styleId="NoList62">
    <w:name w:val="No List62"/>
    <w:next w:val="NoList"/>
    <w:uiPriority w:val="99"/>
    <w:semiHidden/>
    <w:unhideWhenUsed/>
    <w:rsid w:val="00B36A46"/>
  </w:style>
  <w:style w:type="numbering" w:customStyle="1" w:styleId="NoList72">
    <w:name w:val="No List72"/>
    <w:next w:val="NoList"/>
    <w:uiPriority w:val="99"/>
    <w:semiHidden/>
    <w:unhideWhenUsed/>
    <w:rsid w:val="00B36A46"/>
  </w:style>
  <w:style w:type="table" w:customStyle="1" w:styleId="TableGrid320">
    <w:name w:val="Table Grid32"/>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semiHidden/>
    <w:unhideWhenUsed/>
    <w:rsid w:val="00B36A46"/>
  </w:style>
  <w:style w:type="numbering" w:customStyle="1" w:styleId="NoList1132">
    <w:name w:val="No List1132"/>
    <w:next w:val="NoList"/>
    <w:semiHidden/>
    <w:rsid w:val="00B36A46"/>
  </w:style>
  <w:style w:type="table" w:customStyle="1" w:styleId="TableGrid113">
    <w:name w:val="Table Grid113"/>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semiHidden/>
    <w:rsid w:val="00B36A46"/>
  </w:style>
  <w:style w:type="numbering" w:customStyle="1" w:styleId="NoList222">
    <w:name w:val="No List222"/>
    <w:next w:val="NoList"/>
    <w:semiHidden/>
    <w:rsid w:val="00B36A46"/>
  </w:style>
  <w:style w:type="numbering" w:customStyle="1" w:styleId="NoList322">
    <w:name w:val="No List322"/>
    <w:next w:val="NoList"/>
    <w:semiHidden/>
    <w:unhideWhenUsed/>
    <w:rsid w:val="00B36A46"/>
  </w:style>
  <w:style w:type="table" w:customStyle="1" w:styleId="TableList712">
    <w:name w:val="Table List 712"/>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
    <w:name w:val="Table Web 312"/>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
    <w:name w:val="Table Elegant12"/>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2">
    <w:name w:val="Table Web 212"/>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
    <w:name w:val="Table Web 112"/>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
    <w:name w:val="Table Grid 812"/>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
    <w:name w:val="Table Contemporary12"/>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5">
    <w:name w:val="Light List - Accent 125"/>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2">
    <w:name w:val="Table Grid 712"/>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2">
    <w:name w:val="Colorful Grid - Accent 122"/>
    <w:basedOn w:val="TableNormal"/>
    <w:next w:val="ColorfulGrid-Accent1"/>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
    <w:name w:val="Light List - Accent 522"/>
    <w:basedOn w:val="TableNormal"/>
    <w:next w:val="LightList-Accent5"/>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2">
    <w:name w:val="Table Simple 312"/>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
    <w:name w:val="Table Grid 512"/>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
    <w:name w:val="Table Grid 312"/>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0">
    <w:name w:val="Table Grid 112"/>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
    <w:name w:val="Table Columns 512"/>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2">
    <w:name w:val="Light List - Accent 1112"/>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2">
    <w:name w:val="Нет списка122"/>
    <w:next w:val="NoList"/>
    <w:uiPriority w:val="99"/>
    <w:semiHidden/>
    <w:unhideWhenUsed/>
    <w:rsid w:val="00B36A46"/>
  </w:style>
  <w:style w:type="table" w:customStyle="1" w:styleId="ColorfulGrid-Accent1112">
    <w:name w:val="Colorful Grid - Accent 1112"/>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2">
    <w:name w:val="Light List - Accent 5112"/>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2">
    <w:name w:val="No List412"/>
    <w:next w:val="NoList"/>
    <w:semiHidden/>
    <w:rsid w:val="00B36A46"/>
  </w:style>
  <w:style w:type="table" w:customStyle="1" w:styleId="Table3Deffects312">
    <w:name w:val="Table 3D effects 312"/>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
    <w:name w:val="Нет списка1112"/>
    <w:next w:val="NoList"/>
    <w:semiHidden/>
    <w:unhideWhenUsed/>
    <w:rsid w:val="00B36A46"/>
  </w:style>
  <w:style w:type="numbering" w:customStyle="1" w:styleId="NoList512">
    <w:name w:val="No List512"/>
    <w:next w:val="NoList"/>
    <w:uiPriority w:val="99"/>
    <w:semiHidden/>
    <w:unhideWhenUsed/>
    <w:rsid w:val="00B36A46"/>
  </w:style>
  <w:style w:type="numbering" w:customStyle="1" w:styleId="NoList1212">
    <w:name w:val="No List1212"/>
    <w:next w:val="NoList"/>
    <w:semiHidden/>
    <w:rsid w:val="00B36A46"/>
  </w:style>
  <w:style w:type="numbering" w:customStyle="1" w:styleId="NoList11212">
    <w:name w:val="No List11212"/>
    <w:next w:val="NoList"/>
    <w:semiHidden/>
    <w:rsid w:val="00B36A46"/>
  </w:style>
  <w:style w:type="numbering" w:customStyle="1" w:styleId="NoList1111112">
    <w:name w:val="No List1111112"/>
    <w:next w:val="NoList"/>
    <w:semiHidden/>
    <w:rsid w:val="00B36A46"/>
  </w:style>
  <w:style w:type="numbering" w:customStyle="1" w:styleId="NoList2112">
    <w:name w:val="No List2112"/>
    <w:next w:val="NoList"/>
    <w:semiHidden/>
    <w:rsid w:val="00B36A46"/>
  </w:style>
  <w:style w:type="table" w:customStyle="1" w:styleId="TableGrid212">
    <w:name w:val="Table Grid212"/>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2">
    <w:name w:val="No List3112"/>
    <w:next w:val="NoList"/>
    <w:uiPriority w:val="99"/>
    <w:semiHidden/>
    <w:unhideWhenUsed/>
    <w:rsid w:val="00B36A46"/>
  </w:style>
  <w:style w:type="numbering" w:customStyle="1" w:styleId="NoList82">
    <w:name w:val="No List82"/>
    <w:next w:val="NoList"/>
    <w:uiPriority w:val="99"/>
    <w:semiHidden/>
    <w:unhideWhenUsed/>
    <w:rsid w:val="00B36A46"/>
  </w:style>
  <w:style w:type="numbering" w:customStyle="1" w:styleId="NoList92">
    <w:name w:val="No List92"/>
    <w:next w:val="NoList"/>
    <w:uiPriority w:val="99"/>
    <w:semiHidden/>
    <w:unhideWhenUsed/>
    <w:rsid w:val="00B36A46"/>
  </w:style>
  <w:style w:type="table" w:customStyle="1" w:styleId="TableGrid42">
    <w:name w:val="Table Grid42"/>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2">
    <w:name w:val="Table List 722"/>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2">
    <w:name w:val="Table Web 322"/>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2">
    <w:name w:val="Table Elegant22"/>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2">
    <w:name w:val="Table Web 222"/>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2">
    <w:name w:val="Table Web 122"/>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2">
    <w:name w:val="Table Grid 822"/>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2">
    <w:name w:val="Table Contemporary22"/>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2">
    <w:name w:val="No List142"/>
    <w:next w:val="NoList"/>
    <w:semiHidden/>
    <w:unhideWhenUsed/>
    <w:rsid w:val="00B36A46"/>
  </w:style>
  <w:style w:type="numbering" w:customStyle="1" w:styleId="NoList232">
    <w:name w:val="No List232"/>
    <w:next w:val="NoList"/>
    <w:semiHidden/>
    <w:unhideWhenUsed/>
    <w:rsid w:val="00B36A46"/>
  </w:style>
  <w:style w:type="numbering" w:customStyle="1" w:styleId="NoList332">
    <w:name w:val="No List332"/>
    <w:next w:val="NoList"/>
    <w:semiHidden/>
    <w:unhideWhenUsed/>
    <w:rsid w:val="00B36A46"/>
  </w:style>
  <w:style w:type="table" w:customStyle="1" w:styleId="LightList-Accent132">
    <w:name w:val="Light List - Accent 132"/>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2">
    <w:name w:val="Table Grid 722"/>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2">
    <w:name w:val="Colorful Grid - Accent 132"/>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2">
    <w:name w:val="Light List - Accent 532"/>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2">
    <w:name w:val="Table Simple 322"/>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2">
    <w:name w:val="Table Grid 522"/>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2">
    <w:name w:val="Table Grid 322"/>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2">
    <w:name w:val="Table Grid 122"/>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2">
    <w:name w:val="Table Columns 522"/>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2">
    <w:name w:val="Light List - Accent 1122"/>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2">
    <w:name w:val="Нет списка132"/>
    <w:next w:val="NoList"/>
    <w:semiHidden/>
    <w:unhideWhenUsed/>
    <w:rsid w:val="00B36A46"/>
  </w:style>
  <w:style w:type="table" w:customStyle="1" w:styleId="ColorfulGrid-Accent1122">
    <w:name w:val="Colorful Grid - Accent 1122"/>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2">
    <w:name w:val="Light List - Accent 5122"/>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2">
    <w:name w:val="No List422"/>
    <w:next w:val="NoList"/>
    <w:semiHidden/>
    <w:rsid w:val="00B36A46"/>
  </w:style>
  <w:style w:type="numbering" w:customStyle="1" w:styleId="NoList1142">
    <w:name w:val="No List1142"/>
    <w:next w:val="NoList"/>
    <w:semiHidden/>
    <w:unhideWhenUsed/>
    <w:rsid w:val="00B36A46"/>
  </w:style>
  <w:style w:type="table" w:customStyle="1" w:styleId="Table3Deffects322">
    <w:name w:val="Table 3D effects 322"/>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
    <w:name w:val="Нет списка1122"/>
    <w:next w:val="NoList"/>
    <w:semiHidden/>
    <w:unhideWhenUsed/>
    <w:rsid w:val="00B36A46"/>
  </w:style>
  <w:style w:type="numbering" w:customStyle="1" w:styleId="NoList102">
    <w:name w:val="No List102"/>
    <w:next w:val="NoList"/>
    <w:uiPriority w:val="99"/>
    <w:semiHidden/>
    <w:unhideWhenUsed/>
    <w:rsid w:val="00B36A46"/>
  </w:style>
  <w:style w:type="table" w:customStyle="1" w:styleId="TableGrid520">
    <w:name w:val="Table Grid52"/>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semiHidden/>
    <w:unhideWhenUsed/>
    <w:rsid w:val="00B36A46"/>
  </w:style>
  <w:style w:type="numbering" w:customStyle="1" w:styleId="NoList1152">
    <w:name w:val="No List1152"/>
    <w:next w:val="NoList"/>
    <w:semiHidden/>
    <w:rsid w:val="00B36A46"/>
  </w:style>
  <w:style w:type="table" w:customStyle="1" w:styleId="TableGrid1220">
    <w:name w:val="Table Grid122"/>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2">
    <w:name w:val="No List11132"/>
    <w:next w:val="NoList"/>
    <w:semiHidden/>
    <w:rsid w:val="00B36A46"/>
  </w:style>
  <w:style w:type="numbering" w:customStyle="1" w:styleId="NoList242">
    <w:name w:val="No List242"/>
    <w:next w:val="NoList"/>
    <w:semiHidden/>
    <w:rsid w:val="00B36A46"/>
  </w:style>
  <w:style w:type="numbering" w:customStyle="1" w:styleId="NoList342">
    <w:name w:val="No List342"/>
    <w:next w:val="NoList"/>
    <w:semiHidden/>
    <w:unhideWhenUsed/>
    <w:rsid w:val="00B36A46"/>
  </w:style>
  <w:style w:type="table" w:customStyle="1" w:styleId="TableList732">
    <w:name w:val="Table List 732"/>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2">
    <w:name w:val="Table Web 332"/>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2">
    <w:name w:val="Table Elegant32"/>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2">
    <w:name w:val="Table Web 232"/>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2">
    <w:name w:val="Table Web 132"/>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2">
    <w:name w:val="Table Grid 832"/>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2">
    <w:name w:val="Table Contemporary32"/>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2">
    <w:name w:val="Light List - Accent 142"/>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2">
    <w:name w:val="Table Grid 732"/>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2">
    <w:name w:val="Colorful Grid - Accent 142"/>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2">
    <w:name w:val="Light List - Accent 542"/>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2">
    <w:name w:val="Table Simple 332"/>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2">
    <w:name w:val="Table Grid 532"/>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2">
    <w:name w:val="Table Grid 332"/>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2">
    <w:name w:val="Table Grid 132"/>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2">
    <w:name w:val="Table Columns 532"/>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2">
    <w:name w:val="Light List - Accent 1132"/>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2">
    <w:name w:val="Нет списка142"/>
    <w:next w:val="NoList"/>
    <w:semiHidden/>
    <w:unhideWhenUsed/>
    <w:rsid w:val="00B36A46"/>
  </w:style>
  <w:style w:type="table" w:customStyle="1" w:styleId="ColorfulGrid-Accent1132">
    <w:name w:val="Colorful Grid - Accent 1132"/>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2">
    <w:name w:val="Light List - Accent 5132"/>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2">
    <w:name w:val="No List432"/>
    <w:next w:val="NoList"/>
    <w:semiHidden/>
    <w:rsid w:val="00B36A46"/>
  </w:style>
  <w:style w:type="table" w:customStyle="1" w:styleId="Table3Deffects332">
    <w:name w:val="Table 3D effects 332"/>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
    <w:name w:val="Нет списка1132"/>
    <w:next w:val="NoList"/>
    <w:semiHidden/>
    <w:unhideWhenUsed/>
    <w:rsid w:val="00B36A46"/>
  </w:style>
  <w:style w:type="numbering" w:customStyle="1" w:styleId="NoList522">
    <w:name w:val="No List522"/>
    <w:next w:val="NoList"/>
    <w:uiPriority w:val="99"/>
    <w:semiHidden/>
    <w:unhideWhenUsed/>
    <w:rsid w:val="00B36A46"/>
  </w:style>
  <w:style w:type="numbering" w:customStyle="1" w:styleId="NoList1222">
    <w:name w:val="No List1222"/>
    <w:next w:val="NoList"/>
    <w:semiHidden/>
    <w:rsid w:val="00B36A46"/>
  </w:style>
  <w:style w:type="numbering" w:customStyle="1" w:styleId="NoList11222">
    <w:name w:val="No List11222"/>
    <w:next w:val="NoList"/>
    <w:semiHidden/>
    <w:rsid w:val="00B36A46"/>
  </w:style>
  <w:style w:type="numbering" w:customStyle="1" w:styleId="NoList111122">
    <w:name w:val="No List111122"/>
    <w:next w:val="NoList"/>
    <w:semiHidden/>
    <w:rsid w:val="00B36A46"/>
  </w:style>
  <w:style w:type="numbering" w:customStyle="1" w:styleId="NoList2122">
    <w:name w:val="No List2122"/>
    <w:next w:val="NoList"/>
    <w:semiHidden/>
    <w:rsid w:val="00B36A46"/>
  </w:style>
  <w:style w:type="table" w:customStyle="1" w:styleId="TableGrid222">
    <w:name w:val="Table Grid222"/>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2">
    <w:name w:val="No List3122"/>
    <w:next w:val="NoList"/>
    <w:uiPriority w:val="99"/>
    <w:semiHidden/>
    <w:unhideWhenUsed/>
    <w:rsid w:val="00B36A46"/>
  </w:style>
  <w:style w:type="table" w:customStyle="1" w:styleId="LightShading-Accent113">
    <w:name w:val="Light Shading - Accent 113"/>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3">
    <w:name w:val="Medium Grid 2 - Accent 113"/>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3">
    <w:name w:val="Medium List 2 - Accent 513"/>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3">
    <w:name w:val="Light List - Accent 153"/>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3">
    <w:name w:val="Medium Grid 3 - Accent 513"/>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3">
    <w:name w:val="Light Shading - Accent 513"/>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3">
    <w:name w:val="Medium Grid 2 - Accent 513"/>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3">
    <w:name w:val="Light Grid - Accent 113"/>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4">
    <w:name w:val="Table List 44"/>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3">
    <w:name w:val="Table List 413"/>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2">
    <w:name w:val="Table Theme2"/>
    <w:basedOn w:val="TableNormal"/>
    <w:next w:val="TableTheme"/>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2">
    <w:name w:val="Table Professional2"/>
    <w:basedOn w:val="TableNormal"/>
    <w:next w:val="TableProfessional"/>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2">
    <w:name w:val="Table Grid 62"/>
    <w:basedOn w:val="TableNormal"/>
    <w:next w:val="TableGrid6"/>
    <w:rsid w:val="00B36A4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2">
    <w:name w:val="Table List 422"/>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2">
    <w:name w:val="Table List 4112"/>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6">
    <w:name w:val="Style116"/>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7">
    <w:name w:val="Style217"/>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6">
    <w:name w:val="Style2116"/>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2">
    <w:name w:val="No List162"/>
    <w:next w:val="NoList"/>
    <w:uiPriority w:val="99"/>
    <w:semiHidden/>
    <w:unhideWhenUsed/>
    <w:rsid w:val="00B36A46"/>
  </w:style>
  <w:style w:type="table" w:customStyle="1" w:styleId="TableGrid620">
    <w:name w:val="Table Grid62"/>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B36A46"/>
  </w:style>
  <w:style w:type="numbering" w:customStyle="1" w:styleId="NoList1162">
    <w:name w:val="No List1162"/>
    <w:next w:val="NoList"/>
    <w:semiHidden/>
    <w:rsid w:val="00B36A46"/>
  </w:style>
  <w:style w:type="table" w:customStyle="1" w:styleId="TableGrid1320">
    <w:name w:val="Table Grid132"/>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3">
    <w:name w:val="Light List - Accent 163"/>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21">
    <w:name w:val="Light Shading - Accent 12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21">
    <w:name w:val="Medium Grid 2 - Accent 12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21">
    <w:name w:val="Medium List 2 - Accent 52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71">
    <w:name w:val="Light List - Accent 17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21">
    <w:name w:val="Medium Grid 3 - Accent 52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21">
    <w:name w:val="Light Shading - Accent 52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21">
    <w:name w:val="Medium Grid 2 - Accent 52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21">
    <w:name w:val="Light Grid - Accent 12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81">
    <w:name w:val="No List181"/>
    <w:next w:val="NoList"/>
    <w:uiPriority w:val="99"/>
    <w:semiHidden/>
    <w:unhideWhenUsed/>
    <w:rsid w:val="00B36A46"/>
  </w:style>
  <w:style w:type="table" w:customStyle="1" w:styleId="TableGrid710">
    <w:name w:val="Table Grid7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41">
    <w:name w:val="Table List 74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41">
    <w:name w:val="Table Web 34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41">
    <w:name w:val="Table Elegant4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41">
    <w:name w:val="Table Web 24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41">
    <w:name w:val="Table Web 14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1">
    <w:name w:val="Table Grid 84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41">
    <w:name w:val="Table Contemporary4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91">
    <w:name w:val="No List191"/>
    <w:next w:val="NoList"/>
    <w:semiHidden/>
    <w:unhideWhenUsed/>
    <w:rsid w:val="00B36A46"/>
  </w:style>
  <w:style w:type="numbering" w:customStyle="1" w:styleId="NoList251">
    <w:name w:val="No List251"/>
    <w:next w:val="NoList"/>
    <w:semiHidden/>
    <w:unhideWhenUsed/>
    <w:rsid w:val="00B36A46"/>
  </w:style>
  <w:style w:type="numbering" w:customStyle="1" w:styleId="NoList351">
    <w:name w:val="No List351"/>
    <w:next w:val="NoList"/>
    <w:semiHidden/>
    <w:unhideWhenUsed/>
    <w:rsid w:val="00B36A46"/>
  </w:style>
  <w:style w:type="table" w:customStyle="1" w:styleId="LightList-Accent181">
    <w:name w:val="Light List - Accent 18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41">
    <w:name w:val="Table Grid 74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51">
    <w:name w:val="Colorful Grid - Accent 15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51">
    <w:name w:val="Light List - Accent 55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41">
    <w:name w:val="Table Simple 34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41">
    <w:name w:val="Table Grid 54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41">
    <w:name w:val="Table Grid 34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41">
    <w:name w:val="Table Grid 14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41">
    <w:name w:val="Table Columns 54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41">
    <w:name w:val="Light List - Accent 114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51">
    <w:name w:val="Нет списка151"/>
    <w:next w:val="NoList"/>
    <w:semiHidden/>
    <w:unhideWhenUsed/>
    <w:rsid w:val="00B36A46"/>
  </w:style>
  <w:style w:type="table" w:customStyle="1" w:styleId="ColorfulGrid-Accent1141">
    <w:name w:val="Colorful Grid - Accent 114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41">
    <w:name w:val="Light List - Accent 514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41">
    <w:name w:val="No List441"/>
    <w:next w:val="NoList"/>
    <w:semiHidden/>
    <w:rsid w:val="00B36A46"/>
  </w:style>
  <w:style w:type="numbering" w:customStyle="1" w:styleId="NoList1171">
    <w:name w:val="No List1171"/>
    <w:next w:val="NoList"/>
    <w:semiHidden/>
    <w:unhideWhenUsed/>
    <w:rsid w:val="00B36A46"/>
  </w:style>
  <w:style w:type="table" w:customStyle="1" w:styleId="Table3Deffects341">
    <w:name w:val="Table 3D effects 34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
    <w:name w:val="Нет списка1141"/>
    <w:next w:val="NoList"/>
    <w:semiHidden/>
    <w:unhideWhenUsed/>
    <w:rsid w:val="00B36A46"/>
  </w:style>
  <w:style w:type="table" w:customStyle="1" w:styleId="Style1111">
    <w:name w:val="Style111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21">
    <w:name w:val="Style212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11">
    <w:name w:val="Style2111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1121">
    <w:name w:val="Style112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31">
    <w:name w:val="Style213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21">
    <w:name w:val="Style2112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201">
    <w:name w:val="No List201"/>
    <w:next w:val="NoList"/>
    <w:uiPriority w:val="99"/>
    <w:semiHidden/>
    <w:unhideWhenUsed/>
    <w:rsid w:val="00B36A46"/>
  </w:style>
  <w:style w:type="numbering" w:customStyle="1" w:styleId="NoList1101">
    <w:name w:val="No List1101"/>
    <w:next w:val="NoList"/>
    <w:uiPriority w:val="99"/>
    <w:semiHidden/>
    <w:unhideWhenUsed/>
    <w:rsid w:val="00B36A46"/>
  </w:style>
  <w:style w:type="table" w:customStyle="1" w:styleId="TableGrid810">
    <w:name w:val="Table Grid81"/>
    <w:basedOn w:val="TableNormal"/>
    <w:next w:val="TableGrid"/>
    <w:uiPriority w:val="39"/>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1">
    <w:name w:val="No List1181"/>
    <w:next w:val="NoList"/>
    <w:semiHidden/>
    <w:unhideWhenUsed/>
    <w:rsid w:val="00B36A46"/>
  </w:style>
  <w:style w:type="numbering" w:customStyle="1" w:styleId="NoList11141">
    <w:name w:val="No List11141"/>
    <w:next w:val="NoList"/>
    <w:semiHidden/>
    <w:rsid w:val="00B36A46"/>
  </w:style>
  <w:style w:type="table" w:customStyle="1" w:styleId="TableGrid1410">
    <w:name w:val="Table Grid141"/>
    <w:basedOn w:val="TableNormal"/>
    <w:next w:val="TableGrid"/>
    <w:uiPriority w:val="39"/>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1">
    <w:name w:val="No List111131"/>
    <w:next w:val="NoList"/>
    <w:semiHidden/>
    <w:rsid w:val="00B36A46"/>
  </w:style>
  <w:style w:type="numbering" w:customStyle="1" w:styleId="NoList261">
    <w:name w:val="No List261"/>
    <w:next w:val="NoList"/>
    <w:semiHidden/>
    <w:rsid w:val="00B36A46"/>
  </w:style>
  <w:style w:type="numbering" w:customStyle="1" w:styleId="NoList361">
    <w:name w:val="No List361"/>
    <w:next w:val="NoList"/>
    <w:semiHidden/>
    <w:unhideWhenUsed/>
    <w:rsid w:val="00B36A46"/>
  </w:style>
  <w:style w:type="table" w:customStyle="1" w:styleId="TableList751">
    <w:name w:val="Table List 75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51">
    <w:name w:val="Table Web 35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51">
    <w:name w:val="Table Elegant5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51">
    <w:name w:val="Table Web 25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51">
    <w:name w:val="Table Web 15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51">
    <w:name w:val="Table Grid 85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51">
    <w:name w:val="Table Contemporary5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91">
    <w:name w:val="Light List - Accent 19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51">
    <w:name w:val="Table Grid 75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61">
    <w:name w:val="Colorful Grid - Accent 16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61">
    <w:name w:val="Light List - Accent 56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51">
    <w:name w:val="Table Simple 35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51">
    <w:name w:val="Table Grid 55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51">
    <w:name w:val="Table Grid 35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51">
    <w:name w:val="Table Grid 15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51">
    <w:name w:val="Table Columns 55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51">
    <w:name w:val="Light List - Accent 115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61">
    <w:name w:val="Нет списка161"/>
    <w:next w:val="NoList"/>
    <w:semiHidden/>
    <w:unhideWhenUsed/>
    <w:rsid w:val="00B36A46"/>
  </w:style>
  <w:style w:type="table" w:customStyle="1" w:styleId="ColorfulGrid-Accent1151">
    <w:name w:val="Colorful Grid - Accent 115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51">
    <w:name w:val="Light List - Accent 515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51">
    <w:name w:val="No List451"/>
    <w:next w:val="NoList"/>
    <w:semiHidden/>
    <w:rsid w:val="00B36A46"/>
  </w:style>
  <w:style w:type="table" w:customStyle="1" w:styleId="Table3Deffects351">
    <w:name w:val="Table 3D effects 35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1">
    <w:name w:val="Нет списка1151"/>
    <w:next w:val="NoList"/>
    <w:semiHidden/>
    <w:unhideWhenUsed/>
    <w:rsid w:val="00B36A46"/>
  </w:style>
  <w:style w:type="numbering" w:customStyle="1" w:styleId="NoList531">
    <w:name w:val="No List531"/>
    <w:next w:val="NoList"/>
    <w:uiPriority w:val="99"/>
    <w:semiHidden/>
    <w:unhideWhenUsed/>
    <w:rsid w:val="00B36A46"/>
  </w:style>
  <w:style w:type="numbering" w:customStyle="1" w:styleId="NoList1231">
    <w:name w:val="No List1231"/>
    <w:next w:val="NoList"/>
    <w:semiHidden/>
    <w:rsid w:val="00B36A46"/>
  </w:style>
  <w:style w:type="numbering" w:customStyle="1" w:styleId="NoList11231">
    <w:name w:val="No List11231"/>
    <w:next w:val="NoList"/>
    <w:semiHidden/>
    <w:rsid w:val="00B36A46"/>
  </w:style>
  <w:style w:type="numbering" w:customStyle="1" w:styleId="NoList11111111">
    <w:name w:val="No List11111111"/>
    <w:next w:val="NoList"/>
    <w:semiHidden/>
    <w:rsid w:val="00B36A46"/>
  </w:style>
  <w:style w:type="numbering" w:customStyle="1" w:styleId="NoList2131">
    <w:name w:val="No List2131"/>
    <w:next w:val="NoList"/>
    <w:semiHidden/>
    <w:rsid w:val="00B36A46"/>
  </w:style>
  <w:style w:type="table" w:customStyle="1" w:styleId="TableGrid231">
    <w:name w:val="Table Grid231"/>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1">
    <w:name w:val="No List3131"/>
    <w:next w:val="NoList"/>
    <w:uiPriority w:val="99"/>
    <w:semiHidden/>
    <w:unhideWhenUsed/>
    <w:rsid w:val="00B36A46"/>
  </w:style>
  <w:style w:type="numbering" w:customStyle="1" w:styleId="NoList611">
    <w:name w:val="No List611"/>
    <w:next w:val="NoList"/>
    <w:uiPriority w:val="99"/>
    <w:semiHidden/>
    <w:unhideWhenUsed/>
    <w:rsid w:val="00B36A46"/>
  </w:style>
  <w:style w:type="numbering" w:customStyle="1" w:styleId="NoList711">
    <w:name w:val="No List711"/>
    <w:next w:val="NoList"/>
    <w:uiPriority w:val="99"/>
    <w:semiHidden/>
    <w:unhideWhenUsed/>
    <w:rsid w:val="00B36A46"/>
  </w:style>
  <w:style w:type="table" w:customStyle="1" w:styleId="TableGrid3110">
    <w:name w:val="Table Grid311"/>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semiHidden/>
    <w:unhideWhenUsed/>
    <w:rsid w:val="00B36A46"/>
  </w:style>
  <w:style w:type="numbering" w:customStyle="1" w:styleId="NoList11311">
    <w:name w:val="No List11311"/>
    <w:next w:val="NoList"/>
    <w:semiHidden/>
    <w:rsid w:val="00B36A46"/>
  </w:style>
  <w:style w:type="table" w:customStyle="1" w:styleId="TableGrid1111">
    <w:name w:val="Table Grid1111"/>
    <w:basedOn w:val="TableNormal"/>
    <w:next w:val="TableGrid"/>
    <w:uiPriority w:val="39"/>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1">
    <w:name w:val="No List111211"/>
    <w:next w:val="NoList"/>
    <w:semiHidden/>
    <w:rsid w:val="00B36A46"/>
  </w:style>
  <w:style w:type="numbering" w:customStyle="1" w:styleId="NoList2211">
    <w:name w:val="No List2211"/>
    <w:next w:val="NoList"/>
    <w:semiHidden/>
    <w:rsid w:val="00B36A46"/>
  </w:style>
  <w:style w:type="numbering" w:customStyle="1" w:styleId="NoList3211">
    <w:name w:val="No List3211"/>
    <w:next w:val="NoList"/>
    <w:semiHidden/>
    <w:unhideWhenUsed/>
    <w:rsid w:val="00B36A46"/>
  </w:style>
  <w:style w:type="table" w:customStyle="1" w:styleId="TableList7111">
    <w:name w:val="Table List 711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1">
    <w:name w:val="Table Web 311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1">
    <w:name w:val="Table Elegant11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11">
    <w:name w:val="Table Web 211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
    <w:name w:val="Table Web 111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
    <w:name w:val="Table Grid 811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
    <w:name w:val="Table Contemporary11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11">
    <w:name w:val="Light List - Accent 121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1">
    <w:name w:val="Table Grid 711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11">
    <w:name w:val="Colorful Grid - Accent 1211"/>
    <w:basedOn w:val="TableNormal"/>
    <w:next w:val="ColorfulGrid-Accent1"/>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
    <w:name w:val="Light List - Accent 5211"/>
    <w:basedOn w:val="TableNormal"/>
    <w:next w:val="LightList-Accent5"/>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1">
    <w:name w:val="Table Simple 311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1">
    <w:name w:val="Table Grid 511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1">
    <w:name w:val="Table Grid 311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10">
    <w:name w:val="Table Grid 111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1">
    <w:name w:val="Table Columns 511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1">
    <w:name w:val="Light List - Accent 1111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11">
    <w:name w:val="Нет списка1211"/>
    <w:next w:val="NoList"/>
    <w:uiPriority w:val="99"/>
    <w:semiHidden/>
    <w:unhideWhenUsed/>
    <w:rsid w:val="00B36A46"/>
  </w:style>
  <w:style w:type="table" w:customStyle="1" w:styleId="ColorfulGrid-Accent11111">
    <w:name w:val="Colorful Grid - Accent 1111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1">
    <w:name w:val="Light List - Accent 5111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11">
    <w:name w:val="No List4111"/>
    <w:next w:val="NoList"/>
    <w:semiHidden/>
    <w:rsid w:val="00B36A46"/>
  </w:style>
  <w:style w:type="table" w:customStyle="1" w:styleId="Table3Deffects3111">
    <w:name w:val="Table 3D effects 311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
    <w:name w:val="Нет списка11111"/>
    <w:next w:val="NoList"/>
    <w:semiHidden/>
    <w:unhideWhenUsed/>
    <w:rsid w:val="00B36A46"/>
  </w:style>
  <w:style w:type="numbering" w:customStyle="1" w:styleId="NoList5111">
    <w:name w:val="No List5111"/>
    <w:next w:val="NoList"/>
    <w:uiPriority w:val="99"/>
    <w:semiHidden/>
    <w:unhideWhenUsed/>
    <w:rsid w:val="00B36A46"/>
  </w:style>
  <w:style w:type="numbering" w:customStyle="1" w:styleId="NoList12111">
    <w:name w:val="No List12111"/>
    <w:next w:val="NoList"/>
    <w:semiHidden/>
    <w:rsid w:val="00B36A46"/>
  </w:style>
  <w:style w:type="numbering" w:customStyle="1" w:styleId="NoList112111">
    <w:name w:val="No List112111"/>
    <w:next w:val="NoList"/>
    <w:semiHidden/>
    <w:rsid w:val="00B36A46"/>
  </w:style>
  <w:style w:type="numbering" w:customStyle="1" w:styleId="NoList111111111">
    <w:name w:val="No List111111111"/>
    <w:next w:val="NoList"/>
    <w:semiHidden/>
    <w:rsid w:val="00B36A46"/>
  </w:style>
  <w:style w:type="numbering" w:customStyle="1" w:styleId="NoList21111">
    <w:name w:val="No List21111"/>
    <w:next w:val="NoList"/>
    <w:semiHidden/>
    <w:rsid w:val="00B36A46"/>
  </w:style>
  <w:style w:type="table" w:customStyle="1" w:styleId="TableGrid2111">
    <w:name w:val="Table Grid2111"/>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1">
    <w:name w:val="No List31111"/>
    <w:next w:val="NoList"/>
    <w:uiPriority w:val="99"/>
    <w:semiHidden/>
    <w:unhideWhenUsed/>
    <w:rsid w:val="00B36A46"/>
  </w:style>
  <w:style w:type="numbering" w:customStyle="1" w:styleId="NoList811">
    <w:name w:val="No List811"/>
    <w:next w:val="NoList"/>
    <w:uiPriority w:val="99"/>
    <w:semiHidden/>
    <w:unhideWhenUsed/>
    <w:rsid w:val="00B36A46"/>
  </w:style>
  <w:style w:type="numbering" w:customStyle="1" w:styleId="NoList911">
    <w:name w:val="No List911"/>
    <w:next w:val="NoList"/>
    <w:uiPriority w:val="99"/>
    <w:semiHidden/>
    <w:unhideWhenUsed/>
    <w:rsid w:val="00B36A46"/>
  </w:style>
  <w:style w:type="table" w:customStyle="1" w:styleId="TableGrid411">
    <w:name w:val="Table Grid41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11">
    <w:name w:val="Table List 721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11">
    <w:name w:val="Table Web 321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11">
    <w:name w:val="Table Elegant21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1">
    <w:name w:val="Table Web 221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1">
    <w:name w:val="Table Web 121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1">
    <w:name w:val="Table Grid 821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1">
    <w:name w:val="Table Contemporary21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1">
    <w:name w:val="No List1411"/>
    <w:next w:val="NoList"/>
    <w:semiHidden/>
    <w:unhideWhenUsed/>
    <w:rsid w:val="00B36A46"/>
  </w:style>
  <w:style w:type="numbering" w:customStyle="1" w:styleId="NoList2311">
    <w:name w:val="No List2311"/>
    <w:next w:val="NoList"/>
    <w:semiHidden/>
    <w:unhideWhenUsed/>
    <w:rsid w:val="00B36A46"/>
  </w:style>
  <w:style w:type="numbering" w:customStyle="1" w:styleId="NoList3311">
    <w:name w:val="No List3311"/>
    <w:next w:val="NoList"/>
    <w:semiHidden/>
    <w:unhideWhenUsed/>
    <w:rsid w:val="00B36A46"/>
  </w:style>
  <w:style w:type="table" w:customStyle="1" w:styleId="LightList-Accent1311">
    <w:name w:val="Light List - Accent 131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11">
    <w:name w:val="Table Grid 721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1">
    <w:name w:val="Colorful Grid - Accent 131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1">
    <w:name w:val="Light List - Accent 531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11">
    <w:name w:val="Table Simple 321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11">
    <w:name w:val="Table Grid 521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11">
    <w:name w:val="Table Grid 321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11">
    <w:name w:val="Table Grid 121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11">
    <w:name w:val="Table Columns 521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11">
    <w:name w:val="Light List - Accent 1121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1">
    <w:name w:val="Нет списка1311"/>
    <w:next w:val="NoList"/>
    <w:semiHidden/>
    <w:unhideWhenUsed/>
    <w:rsid w:val="00B36A46"/>
  </w:style>
  <w:style w:type="table" w:customStyle="1" w:styleId="ColorfulGrid-Accent11211">
    <w:name w:val="Colorful Grid - Accent 1121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11">
    <w:name w:val="Light List - Accent 5121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1">
    <w:name w:val="No List4211"/>
    <w:next w:val="NoList"/>
    <w:semiHidden/>
    <w:rsid w:val="00B36A46"/>
  </w:style>
  <w:style w:type="numbering" w:customStyle="1" w:styleId="NoList11411">
    <w:name w:val="No List11411"/>
    <w:next w:val="NoList"/>
    <w:semiHidden/>
    <w:unhideWhenUsed/>
    <w:rsid w:val="00B36A46"/>
  </w:style>
  <w:style w:type="table" w:customStyle="1" w:styleId="Table3Deffects3211">
    <w:name w:val="Table 3D effects 321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1">
    <w:name w:val="Нет списка11211"/>
    <w:next w:val="NoList"/>
    <w:semiHidden/>
    <w:unhideWhenUsed/>
    <w:rsid w:val="00B36A46"/>
  </w:style>
  <w:style w:type="numbering" w:customStyle="1" w:styleId="NoList1011">
    <w:name w:val="No List1011"/>
    <w:next w:val="NoList"/>
    <w:uiPriority w:val="99"/>
    <w:semiHidden/>
    <w:unhideWhenUsed/>
    <w:rsid w:val="00B36A46"/>
  </w:style>
  <w:style w:type="table" w:customStyle="1" w:styleId="TableGrid5110">
    <w:name w:val="Table Grid511"/>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semiHidden/>
    <w:unhideWhenUsed/>
    <w:rsid w:val="00B36A46"/>
  </w:style>
  <w:style w:type="numbering" w:customStyle="1" w:styleId="NoList11511">
    <w:name w:val="No List11511"/>
    <w:next w:val="NoList"/>
    <w:semiHidden/>
    <w:rsid w:val="00B36A46"/>
  </w:style>
  <w:style w:type="table" w:customStyle="1" w:styleId="TableGrid12110">
    <w:name w:val="Table Grid1211"/>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1">
    <w:name w:val="No List111311"/>
    <w:next w:val="NoList"/>
    <w:semiHidden/>
    <w:rsid w:val="00B36A46"/>
  </w:style>
  <w:style w:type="numbering" w:customStyle="1" w:styleId="NoList2411">
    <w:name w:val="No List2411"/>
    <w:next w:val="NoList"/>
    <w:semiHidden/>
    <w:rsid w:val="00B36A46"/>
  </w:style>
  <w:style w:type="numbering" w:customStyle="1" w:styleId="NoList3411">
    <w:name w:val="No List3411"/>
    <w:next w:val="NoList"/>
    <w:semiHidden/>
    <w:unhideWhenUsed/>
    <w:rsid w:val="00B36A46"/>
  </w:style>
  <w:style w:type="table" w:customStyle="1" w:styleId="TableList7311">
    <w:name w:val="Table List 731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11">
    <w:name w:val="Table Web 331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11">
    <w:name w:val="Table Elegant31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11">
    <w:name w:val="Table Web 231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11">
    <w:name w:val="Table Web 131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11">
    <w:name w:val="Table Grid 831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11">
    <w:name w:val="Table Contemporary31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11">
    <w:name w:val="Light List - Accent 141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11">
    <w:name w:val="Table Grid 731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11">
    <w:name w:val="Colorful Grid - Accent 141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11">
    <w:name w:val="Light List - Accent 541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11">
    <w:name w:val="Table Simple 331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11">
    <w:name w:val="Table Grid 531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11">
    <w:name w:val="Table Grid 331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11">
    <w:name w:val="Table Grid 131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11">
    <w:name w:val="Table Columns 531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11">
    <w:name w:val="Light List - Accent 1131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11">
    <w:name w:val="Нет списка1411"/>
    <w:next w:val="NoList"/>
    <w:semiHidden/>
    <w:unhideWhenUsed/>
    <w:rsid w:val="00B36A46"/>
  </w:style>
  <w:style w:type="table" w:customStyle="1" w:styleId="ColorfulGrid-Accent11311">
    <w:name w:val="Colorful Grid - Accent 1131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11">
    <w:name w:val="Light List - Accent 5131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11">
    <w:name w:val="No List4311"/>
    <w:next w:val="NoList"/>
    <w:semiHidden/>
    <w:rsid w:val="00B36A46"/>
  </w:style>
  <w:style w:type="table" w:customStyle="1" w:styleId="Table3Deffects3311">
    <w:name w:val="Table 3D effects 331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1">
    <w:name w:val="Нет списка11311"/>
    <w:next w:val="NoList"/>
    <w:semiHidden/>
    <w:unhideWhenUsed/>
    <w:rsid w:val="00B36A46"/>
  </w:style>
  <w:style w:type="numbering" w:customStyle="1" w:styleId="NoList5211">
    <w:name w:val="No List5211"/>
    <w:next w:val="NoList"/>
    <w:uiPriority w:val="99"/>
    <w:semiHidden/>
    <w:unhideWhenUsed/>
    <w:rsid w:val="00B36A46"/>
  </w:style>
  <w:style w:type="numbering" w:customStyle="1" w:styleId="NoList12211">
    <w:name w:val="No List12211"/>
    <w:next w:val="NoList"/>
    <w:semiHidden/>
    <w:rsid w:val="00B36A46"/>
  </w:style>
  <w:style w:type="numbering" w:customStyle="1" w:styleId="NoList112211">
    <w:name w:val="No List112211"/>
    <w:next w:val="NoList"/>
    <w:semiHidden/>
    <w:rsid w:val="00B36A46"/>
  </w:style>
  <w:style w:type="numbering" w:customStyle="1" w:styleId="NoList1111211">
    <w:name w:val="No List1111211"/>
    <w:next w:val="NoList"/>
    <w:semiHidden/>
    <w:rsid w:val="00B36A46"/>
  </w:style>
  <w:style w:type="numbering" w:customStyle="1" w:styleId="NoList21211">
    <w:name w:val="No List21211"/>
    <w:next w:val="NoList"/>
    <w:semiHidden/>
    <w:rsid w:val="00B36A46"/>
  </w:style>
  <w:style w:type="table" w:customStyle="1" w:styleId="TableGrid2211">
    <w:name w:val="Table Grid2211"/>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1">
    <w:name w:val="No List31211"/>
    <w:next w:val="NoList"/>
    <w:uiPriority w:val="99"/>
    <w:semiHidden/>
    <w:unhideWhenUsed/>
    <w:rsid w:val="00B36A46"/>
  </w:style>
  <w:style w:type="table" w:customStyle="1" w:styleId="LightShading-Accent1111">
    <w:name w:val="Light Shading - Accent 111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11">
    <w:name w:val="Medium Grid 2 - Accent 111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11">
    <w:name w:val="Medium List 2 - Accent 511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11">
    <w:name w:val="Light List - Accent 151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11">
    <w:name w:val="Medium Grid 3 - Accent 511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11">
    <w:name w:val="Light Shading - Accent 511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11">
    <w:name w:val="Medium Grid 2 - Accent 511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11">
    <w:name w:val="Light Grid - Accent 111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31">
    <w:name w:val="Table List 431"/>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21">
    <w:name w:val="Table List 4121"/>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11">
    <w:name w:val="Table Theme11"/>
    <w:basedOn w:val="TableNormal"/>
    <w:next w:val="TableTheme"/>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1">
    <w:name w:val="Table Professional11"/>
    <w:basedOn w:val="TableNormal"/>
    <w:next w:val="TableProfessional"/>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11">
    <w:name w:val="Table Grid 611"/>
    <w:basedOn w:val="TableNormal"/>
    <w:next w:val="TableGrid6"/>
    <w:rsid w:val="00B36A4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11">
    <w:name w:val="Table List 4211"/>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11">
    <w:name w:val="Table List 41111"/>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31">
    <w:name w:val="Style113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41">
    <w:name w:val="Style214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31">
    <w:name w:val="Style2113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11">
    <w:name w:val="No List1611"/>
    <w:next w:val="NoList"/>
    <w:uiPriority w:val="99"/>
    <w:semiHidden/>
    <w:unhideWhenUsed/>
    <w:rsid w:val="00B36A46"/>
  </w:style>
  <w:style w:type="table" w:customStyle="1" w:styleId="TableGrid6110">
    <w:name w:val="Table Grid61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1">
    <w:name w:val="No List1711"/>
    <w:next w:val="NoList"/>
    <w:uiPriority w:val="99"/>
    <w:semiHidden/>
    <w:unhideWhenUsed/>
    <w:rsid w:val="00B36A46"/>
  </w:style>
  <w:style w:type="numbering" w:customStyle="1" w:styleId="NoList11611">
    <w:name w:val="No List11611"/>
    <w:next w:val="NoList"/>
    <w:semiHidden/>
    <w:rsid w:val="00B36A46"/>
  </w:style>
  <w:style w:type="table" w:customStyle="1" w:styleId="TableGrid13110">
    <w:name w:val="Table Grid131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11">
    <w:name w:val="Light List - Accent 161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
    <w:name w:val="Light Shading - Accent 131"/>
    <w:basedOn w:val="TableNormal"/>
    <w:next w:val="LightShading-Accent1"/>
    <w:uiPriority w:val="60"/>
    <w:semiHidden/>
    <w:unhideWhenUsed/>
    <w:rsid w:val="00B36A46"/>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31">
    <w:name w:val="Medium Grid 2 - Accent 131"/>
    <w:basedOn w:val="TableNormal"/>
    <w:next w:val="MediumGrid2-Accent1"/>
    <w:uiPriority w:val="68"/>
    <w:semiHidden/>
    <w:unhideWhenUsed/>
    <w:rsid w:val="00B36A46"/>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31">
    <w:name w:val="Medium List 2 - Accent 531"/>
    <w:basedOn w:val="TableNormal"/>
    <w:next w:val="MediumList2-Accent5"/>
    <w:uiPriority w:val="66"/>
    <w:semiHidden/>
    <w:unhideWhenUsed/>
    <w:rsid w:val="00B36A4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31">
    <w:name w:val="Medium Grid 3 - Accent 531"/>
    <w:basedOn w:val="TableNormal"/>
    <w:next w:val="MediumGrid3-Accent5"/>
    <w:uiPriority w:val="69"/>
    <w:semiHidden/>
    <w:unhideWhenUsed/>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31">
    <w:name w:val="Light Shading - Accent 531"/>
    <w:basedOn w:val="TableNormal"/>
    <w:next w:val="LightShading-Accent5"/>
    <w:uiPriority w:val="60"/>
    <w:semiHidden/>
    <w:unhideWhenUsed/>
    <w:rsid w:val="00B36A46"/>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31">
    <w:name w:val="Medium Grid 2 - Accent 531"/>
    <w:basedOn w:val="TableNormal"/>
    <w:next w:val="MediumGrid2-Accent5"/>
    <w:uiPriority w:val="68"/>
    <w:semiHidden/>
    <w:unhideWhenUsed/>
    <w:rsid w:val="00B36A4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31">
    <w:name w:val="Light Grid - Accent 131"/>
    <w:basedOn w:val="TableNormal"/>
    <w:next w:val="LightGrid-Accent1"/>
    <w:uiPriority w:val="62"/>
    <w:semiHidden/>
    <w:unhideWhenUsed/>
    <w:rsid w:val="00B36A46"/>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Shading-Accent141">
    <w:name w:val="Light Shading - Accent 14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41">
    <w:name w:val="Medium Grid 2 - Accent 14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41">
    <w:name w:val="Medium List 2 - Accent 54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01">
    <w:name w:val="Light List - Accent 110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41">
    <w:name w:val="Medium Grid 3 - Accent 54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41">
    <w:name w:val="Light Shading - Accent 54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41">
    <w:name w:val="Medium Grid 2 - Accent 54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41">
    <w:name w:val="Light Grid - Accent 14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51">
    <w:name w:val="Light Shading - Accent 15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51">
    <w:name w:val="Medium Grid 2 - Accent 15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51">
    <w:name w:val="Medium List 2 - Accent 55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61">
    <w:name w:val="Light List - Accent 116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51">
    <w:name w:val="Medium Grid 3 - Accent 55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51">
    <w:name w:val="Light Shading - Accent 55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51">
    <w:name w:val="Medium Grid 2 - Accent 55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51">
    <w:name w:val="Light Grid - Accent 15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71">
    <w:name w:val="No List271"/>
    <w:next w:val="NoList"/>
    <w:uiPriority w:val="99"/>
    <w:semiHidden/>
    <w:unhideWhenUsed/>
    <w:rsid w:val="00B36A46"/>
  </w:style>
  <w:style w:type="table" w:customStyle="1" w:styleId="TableGrid91">
    <w:name w:val="Table Grid9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61">
    <w:name w:val="Table List 76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61">
    <w:name w:val="Table Web 36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61">
    <w:name w:val="Table Elegant6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61">
    <w:name w:val="Table Web 26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61">
    <w:name w:val="Table Web 16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61">
    <w:name w:val="Table Grid 86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61">
    <w:name w:val="Table Contemporary6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91">
    <w:name w:val="No List1191"/>
    <w:next w:val="NoList"/>
    <w:semiHidden/>
    <w:unhideWhenUsed/>
    <w:rsid w:val="00B36A46"/>
  </w:style>
  <w:style w:type="numbering" w:customStyle="1" w:styleId="NoList281">
    <w:name w:val="No List281"/>
    <w:next w:val="NoList"/>
    <w:semiHidden/>
    <w:unhideWhenUsed/>
    <w:rsid w:val="00B36A46"/>
  </w:style>
  <w:style w:type="numbering" w:customStyle="1" w:styleId="NoList371">
    <w:name w:val="No List371"/>
    <w:next w:val="NoList"/>
    <w:semiHidden/>
    <w:unhideWhenUsed/>
    <w:rsid w:val="00B36A46"/>
  </w:style>
  <w:style w:type="table" w:customStyle="1" w:styleId="LightList-Accent1171">
    <w:name w:val="Light List - Accent 117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61">
    <w:name w:val="Table Grid 76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71">
    <w:name w:val="Colorful Grid - Accent 17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71">
    <w:name w:val="Light List - Accent 57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61">
    <w:name w:val="Table Simple 36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61">
    <w:name w:val="Table Grid 56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61">
    <w:name w:val="Table Grid 36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61">
    <w:name w:val="Table Grid 16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61">
    <w:name w:val="Table Columns 56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81">
    <w:name w:val="Light List - Accent 118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71">
    <w:name w:val="Нет списка171"/>
    <w:next w:val="NoList"/>
    <w:semiHidden/>
    <w:unhideWhenUsed/>
    <w:rsid w:val="00B36A46"/>
  </w:style>
  <w:style w:type="table" w:customStyle="1" w:styleId="ColorfulGrid-Accent1161">
    <w:name w:val="Colorful Grid - Accent 116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61">
    <w:name w:val="Light List - Accent 516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61">
    <w:name w:val="No List461"/>
    <w:next w:val="NoList"/>
    <w:semiHidden/>
    <w:rsid w:val="00B36A46"/>
  </w:style>
  <w:style w:type="numbering" w:customStyle="1" w:styleId="NoList11101">
    <w:name w:val="No List11101"/>
    <w:next w:val="NoList"/>
    <w:semiHidden/>
    <w:unhideWhenUsed/>
    <w:rsid w:val="00B36A46"/>
  </w:style>
  <w:style w:type="table" w:customStyle="1" w:styleId="Table3Deffects361">
    <w:name w:val="Table 3D effects 36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
    <w:name w:val="Нет списка1161"/>
    <w:next w:val="NoList"/>
    <w:semiHidden/>
    <w:unhideWhenUsed/>
    <w:rsid w:val="00B36A46"/>
  </w:style>
  <w:style w:type="table" w:customStyle="1" w:styleId="LightShading-Accent161">
    <w:name w:val="Light Shading - Accent 16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61">
    <w:name w:val="Medium Grid 2 - Accent 16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61">
    <w:name w:val="Medium List 2 - Accent 56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21">
    <w:name w:val="Light List - Accent 152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61">
    <w:name w:val="Medium Grid 3 - Accent 56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61">
    <w:name w:val="Light Shading - Accent 56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61">
    <w:name w:val="Medium Grid 2 - Accent 56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61">
    <w:name w:val="Light Grid - Accent 16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41">
    <w:name w:val="Style114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51">
    <w:name w:val="Style215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41">
    <w:name w:val="Style2114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Shading-Accent1121">
    <w:name w:val="Light Shading - Accent 112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21">
    <w:name w:val="Medium Grid 2 - Accent 112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21">
    <w:name w:val="Medium List 2 - Accent 512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621">
    <w:name w:val="Light List - Accent 162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21">
    <w:name w:val="Medium Grid 3 - Accent 512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21">
    <w:name w:val="Light Shading - Accent 512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21">
    <w:name w:val="Medium Grid 2 - Accent 512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21">
    <w:name w:val="Light Grid - Accent 112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91">
    <w:name w:val="No List291"/>
    <w:next w:val="NoList"/>
    <w:uiPriority w:val="99"/>
    <w:semiHidden/>
    <w:unhideWhenUsed/>
    <w:rsid w:val="00B36A46"/>
  </w:style>
  <w:style w:type="table" w:customStyle="1" w:styleId="TableGrid101">
    <w:name w:val="Table Grid10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emiHidden/>
    <w:unhideWhenUsed/>
    <w:rsid w:val="00B36A46"/>
  </w:style>
  <w:style w:type="numbering" w:customStyle="1" w:styleId="NoList11151">
    <w:name w:val="No List11151"/>
    <w:next w:val="NoList"/>
    <w:semiHidden/>
    <w:rsid w:val="00B36A46"/>
  </w:style>
  <w:style w:type="table" w:customStyle="1" w:styleId="TableGrid1510">
    <w:name w:val="Table Grid15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emiHidden/>
    <w:unhideWhenUsed/>
    <w:rsid w:val="00B36A46"/>
  </w:style>
  <w:style w:type="table" w:customStyle="1" w:styleId="LightShading-Accent171">
    <w:name w:val="Light Shading - Accent 17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71">
    <w:name w:val="Medium Grid 2 - Accent 17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71">
    <w:name w:val="Medium List 2 - Accent 57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91">
    <w:name w:val="Light List - Accent 119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71">
    <w:name w:val="Medium Grid 3 - Accent 57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71">
    <w:name w:val="Light Shading - Accent 57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71">
    <w:name w:val="Medium Grid 2 - Accent 57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71">
    <w:name w:val="Light Grid - Accent 17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381">
    <w:name w:val="No List381"/>
    <w:next w:val="NoList"/>
    <w:uiPriority w:val="99"/>
    <w:semiHidden/>
    <w:unhideWhenUsed/>
    <w:rsid w:val="00B36A46"/>
  </w:style>
  <w:style w:type="table" w:customStyle="1" w:styleId="TableGrid1610">
    <w:name w:val="Table Grid16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B36A46"/>
  </w:style>
  <w:style w:type="numbering" w:customStyle="1" w:styleId="NoList11161">
    <w:name w:val="No List11161"/>
    <w:next w:val="NoList"/>
    <w:semiHidden/>
    <w:rsid w:val="00B36A46"/>
  </w:style>
  <w:style w:type="table" w:customStyle="1" w:styleId="TableGrid171">
    <w:name w:val="Table Grid17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1">
    <w:name w:val="Light Shading - Accent 18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81">
    <w:name w:val="Medium Grid 2 - Accent 18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81">
    <w:name w:val="Medium List 2 - Accent 58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01">
    <w:name w:val="Light List - Accent 120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81">
    <w:name w:val="Medium Grid 3 - Accent 58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81">
    <w:name w:val="Light Shading - Accent 58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81">
    <w:name w:val="Medium Grid 2 - Accent 58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81">
    <w:name w:val="Light Grid - Accent 18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91">
    <w:name w:val="Light Shading - Accent 19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91">
    <w:name w:val="Medium Grid 2 - Accent 19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91">
    <w:name w:val="Medium List 2 - Accent 59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21">
    <w:name w:val="Light List - Accent 122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91">
    <w:name w:val="Medium Grid 3 - Accent 59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91">
    <w:name w:val="Light Shading - Accent 59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91">
    <w:name w:val="Medium Grid 2 - Accent 59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91">
    <w:name w:val="Light Grid - Accent 19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52">
    <w:name w:val="Style1152"/>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151">
    <w:name w:val="Style2115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391">
    <w:name w:val="No List391"/>
    <w:next w:val="NoList"/>
    <w:uiPriority w:val="99"/>
    <w:semiHidden/>
    <w:unhideWhenUsed/>
    <w:rsid w:val="00B36A46"/>
  </w:style>
  <w:style w:type="table" w:customStyle="1" w:styleId="TableGrid181">
    <w:name w:val="Table Grid18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emiHidden/>
    <w:unhideWhenUsed/>
    <w:rsid w:val="00B36A46"/>
  </w:style>
  <w:style w:type="numbering" w:customStyle="1" w:styleId="NoList11171">
    <w:name w:val="No List11171"/>
    <w:next w:val="NoList"/>
    <w:semiHidden/>
    <w:rsid w:val="00B36A46"/>
  </w:style>
  <w:style w:type="table" w:customStyle="1" w:styleId="TableGrid191">
    <w:name w:val="Table Grid19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511">
    <w:name w:val="Style1151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61">
    <w:name w:val="Style216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401">
    <w:name w:val="No List401"/>
    <w:next w:val="NoList"/>
    <w:uiPriority w:val="99"/>
    <w:semiHidden/>
    <w:unhideWhenUsed/>
    <w:rsid w:val="00B36A46"/>
  </w:style>
  <w:style w:type="table" w:customStyle="1" w:styleId="TableGrid201">
    <w:name w:val="Table Grid201"/>
    <w:basedOn w:val="TableNormal"/>
    <w:next w:val="TableGrid"/>
    <w:uiPriority w:val="59"/>
    <w:rsid w:val="00B36A4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01">
    <w:name w:val="Light Shading - Accent 110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81">
    <w:name w:val="Light List - Accent 581"/>
    <w:basedOn w:val="TableNormal"/>
    <w:next w:val="LightList-Accent5"/>
    <w:uiPriority w:val="61"/>
    <w:rsid w:val="00B36A46"/>
    <w:rPr>
      <w:rFonts w:ascii="Calibri" w:eastAsia="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List2-Accent11">
    <w:name w:val="Medium List 2 - Accent 11"/>
    <w:basedOn w:val="TableNormal"/>
    <w:next w:val="MediumList2-Accent1"/>
    <w:uiPriority w:val="66"/>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Grid2-Accent1101">
    <w:name w:val="Medium Grid 2 - Accent 110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3-Accent61">
    <w:name w:val="Medium Grid 3 - Accent 61"/>
    <w:basedOn w:val="TableNormal"/>
    <w:next w:val="MediumGrid3-Accent6"/>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2-Accent5101">
    <w:name w:val="Medium List 2 - Accent 510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31">
    <w:name w:val="Light List - Accent 123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1-Accent51">
    <w:name w:val="Medium List 1 - Accent 51"/>
    <w:basedOn w:val="TableNormal"/>
    <w:next w:val="MediumList1-Accent5"/>
    <w:uiPriority w:val="65"/>
    <w:rsid w:val="00B36A46"/>
    <w:rPr>
      <w:rFonts w:ascii="Calibri" w:eastAsia="Calibri" w:hAnsi="Calibri"/>
      <w:color w:val="000000"/>
      <w:sz w:val="22"/>
      <w:szCs w:val="22"/>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Grid3-Accent5101">
    <w:name w:val="Medium Grid 3 - Accent 510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01">
    <w:name w:val="Light Shading - Accent 510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01">
    <w:name w:val="Medium Grid 2 - Accent 510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List-Accent31">
    <w:name w:val="Light List - Accent 31"/>
    <w:basedOn w:val="TableNormal"/>
    <w:next w:val="LightList-Accent3"/>
    <w:uiPriority w:val="61"/>
    <w:rsid w:val="00B36A46"/>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2-Accent31">
    <w:name w:val="Medium List 2 - Accent 31"/>
    <w:basedOn w:val="TableNormal"/>
    <w:next w:val="MediumList2-Accent3"/>
    <w:uiPriority w:val="66"/>
    <w:rsid w:val="00B36A46"/>
    <w:rPr>
      <w:rFonts w:ascii="Cambria"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B36A46"/>
    <w:rPr>
      <w:rFonts w:ascii="Cambria" w:hAnsi="Cambria"/>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LightGrid-Accent1101">
    <w:name w:val="Light Grid - Accent 110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471">
    <w:name w:val="No List471"/>
    <w:next w:val="NoList"/>
    <w:uiPriority w:val="99"/>
    <w:semiHidden/>
    <w:unhideWhenUsed/>
    <w:rsid w:val="00B36A46"/>
  </w:style>
  <w:style w:type="table" w:customStyle="1" w:styleId="TableGrid241">
    <w:name w:val="Table Grid24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
    <w:name w:val="No List1261"/>
    <w:next w:val="NoList"/>
    <w:uiPriority w:val="99"/>
    <w:semiHidden/>
    <w:unhideWhenUsed/>
    <w:rsid w:val="00B36A46"/>
  </w:style>
  <w:style w:type="numbering" w:customStyle="1" w:styleId="NoList11181">
    <w:name w:val="No List11181"/>
    <w:next w:val="NoList"/>
    <w:semiHidden/>
    <w:rsid w:val="00B36A46"/>
  </w:style>
  <w:style w:type="table" w:customStyle="1" w:styleId="TableGrid1101">
    <w:name w:val="Table Grid110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4">
    <w:name w:val="Light Shading - Accent 114"/>
    <w:basedOn w:val="TableNormal"/>
    <w:next w:val="LightShading-Accent1"/>
    <w:uiPriority w:val="60"/>
    <w:semiHidden/>
    <w:unhideWhenUsed/>
    <w:rsid w:val="00B36A46"/>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14">
    <w:name w:val="Medium Grid 2 - Accent 114"/>
    <w:basedOn w:val="TableNormal"/>
    <w:next w:val="MediumGrid2-Accent1"/>
    <w:uiPriority w:val="68"/>
    <w:semiHidden/>
    <w:unhideWhenUsed/>
    <w:rsid w:val="00B36A46"/>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14">
    <w:name w:val="Medium List 2 - Accent 514"/>
    <w:basedOn w:val="TableNormal"/>
    <w:next w:val="MediumList2-Accent5"/>
    <w:uiPriority w:val="66"/>
    <w:semiHidden/>
    <w:unhideWhenUsed/>
    <w:rsid w:val="00B36A4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14">
    <w:name w:val="Medium Grid 3 - Accent 514"/>
    <w:basedOn w:val="TableNormal"/>
    <w:next w:val="MediumGrid3-Accent5"/>
    <w:uiPriority w:val="69"/>
    <w:semiHidden/>
    <w:unhideWhenUsed/>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14">
    <w:name w:val="Light Shading - Accent 514"/>
    <w:basedOn w:val="TableNormal"/>
    <w:next w:val="LightShading-Accent5"/>
    <w:uiPriority w:val="60"/>
    <w:semiHidden/>
    <w:unhideWhenUsed/>
    <w:rsid w:val="00B36A46"/>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14">
    <w:name w:val="Medium Grid 2 - Accent 514"/>
    <w:basedOn w:val="TableNormal"/>
    <w:next w:val="MediumGrid2-Accent5"/>
    <w:uiPriority w:val="68"/>
    <w:semiHidden/>
    <w:unhideWhenUsed/>
    <w:rsid w:val="00B36A4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14">
    <w:name w:val="Light Grid - Accent 114"/>
    <w:basedOn w:val="TableNormal"/>
    <w:next w:val="LightGrid-Accent1"/>
    <w:uiPriority w:val="62"/>
    <w:semiHidden/>
    <w:unhideWhenUsed/>
    <w:rsid w:val="00B36A46"/>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List2-Accent12">
    <w:name w:val="Medium List 2 - Accent 12"/>
    <w:basedOn w:val="TableNormal"/>
    <w:next w:val="MediumList2-Accent1"/>
    <w:uiPriority w:val="66"/>
    <w:semiHidden/>
    <w:unhideWhenUsed/>
    <w:rsid w:val="00B36A46"/>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MediumGrid3-Accent62">
    <w:name w:val="Medium Grid 3 - Accent 62"/>
    <w:basedOn w:val="TableNormal"/>
    <w:next w:val="MediumGrid3-Accent6"/>
    <w:uiPriority w:val="69"/>
    <w:semiHidden/>
    <w:unhideWhenUsed/>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List1-Accent52">
    <w:name w:val="Medium List 1 - Accent 52"/>
    <w:basedOn w:val="TableNormal"/>
    <w:next w:val="MediumList1-Accent5"/>
    <w:uiPriority w:val="65"/>
    <w:semiHidden/>
    <w:unhideWhenUsed/>
    <w:rsid w:val="00B36A46"/>
    <w:rPr>
      <w:rFonts w:ascii="Calibri" w:eastAsia="Calibri" w:hAnsi="Calibri"/>
      <w:color w:val="000000"/>
      <w:sz w:val="22"/>
      <w:szCs w:val="22"/>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Accent32">
    <w:name w:val="Light List - Accent 32"/>
    <w:basedOn w:val="TableNormal"/>
    <w:next w:val="LightList-Accent3"/>
    <w:uiPriority w:val="61"/>
    <w:semiHidden/>
    <w:unhideWhenUsed/>
    <w:rsid w:val="00B36A46"/>
    <w:rPr>
      <w:rFonts w:ascii="Calibri" w:eastAsia="Calibri" w:hAnsi="Calibri"/>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List2-Accent32">
    <w:name w:val="Medium List 2 - Accent 32"/>
    <w:basedOn w:val="TableNormal"/>
    <w:next w:val="MediumList2-Accent3"/>
    <w:uiPriority w:val="66"/>
    <w:semiHidden/>
    <w:unhideWhenUsed/>
    <w:rsid w:val="00B36A46"/>
    <w:rPr>
      <w:rFonts w:ascii="Calibri Light" w:hAnsi="Calibri Light"/>
      <w:color w:val="000000"/>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MediumList2-Accent42">
    <w:name w:val="Medium List 2 - Accent 42"/>
    <w:basedOn w:val="TableNormal"/>
    <w:next w:val="MediumList2-Accent4"/>
    <w:uiPriority w:val="66"/>
    <w:semiHidden/>
    <w:unhideWhenUsed/>
    <w:rsid w:val="00B36A46"/>
    <w:rPr>
      <w:rFonts w:ascii="Calibri Light" w:hAnsi="Calibri Light"/>
      <w:color w:val="000000"/>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numbering" w:customStyle="1" w:styleId="NoList55">
    <w:name w:val="No List55"/>
    <w:next w:val="NoList"/>
    <w:uiPriority w:val="99"/>
    <w:semiHidden/>
    <w:unhideWhenUsed/>
    <w:rsid w:val="005150E5"/>
  </w:style>
  <w:style w:type="table" w:customStyle="1" w:styleId="TableGrid29">
    <w:name w:val="Table Grid29"/>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
    <w:name w:val="Medium Grid 3 - Accent 11"/>
    <w:basedOn w:val="TableNormal"/>
    <w:next w:val="MediumGrid3-Accent1"/>
    <w:uiPriority w:val="69"/>
    <w:rsid w:val="005150E5"/>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paragraph" w:customStyle="1" w:styleId="Side1">
    <w:name w:val="Side1"/>
    <w:basedOn w:val="Normal"/>
    <w:next w:val="Normal"/>
    <w:unhideWhenUsed/>
    <w:qFormat/>
    <w:rsid w:val="005150E5"/>
    <w:pPr>
      <w:spacing w:before="200" w:line="312" w:lineRule="auto"/>
      <w:contextualSpacing w:val="0"/>
      <w:outlineLvl w:val="4"/>
    </w:pPr>
    <w:rPr>
      <w:rFonts w:ascii="Cambria" w:hAnsi="Cambria"/>
      <w:bCs/>
      <w:color w:val="7F7F7F"/>
      <w:szCs w:val="22"/>
      <w:lang w:val="en-US" w:eastAsia="en-US"/>
    </w:rPr>
  </w:style>
  <w:style w:type="paragraph" w:customStyle="1" w:styleId="Heading61">
    <w:name w:val="Heading 61"/>
    <w:basedOn w:val="Normal"/>
    <w:next w:val="Normal"/>
    <w:unhideWhenUsed/>
    <w:qFormat/>
    <w:rsid w:val="005150E5"/>
    <w:pPr>
      <w:spacing w:before="40" w:line="271" w:lineRule="auto"/>
      <w:contextualSpacing w:val="0"/>
      <w:outlineLvl w:val="5"/>
    </w:pPr>
    <w:rPr>
      <w:rFonts w:ascii="Cambria" w:hAnsi="Cambria"/>
      <w:bCs/>
      <w:i/>
      <w:iCs/>
      <w:color w:val="7F7F7F"/>
      <w:szCs w:val="22"/>
      <w:lang w:val="en-US" w:eastAsia="en-US"/>
    </w:rPr>
  </w:style>
  <w:style w:type="paragraph" w:customStyle="1" w:styleId="Heading71">
    <w:name w:val="Heading 71"/>
    <w:basedOn w:val="Normal"/>
    <w:next w:val="Normal"/>
    <w:unhideWhenUsed/>
    <w:qFormat/>
    <w:rsid w:val="005150E5"/>
    <w:pPr>
      <w:spacing w:before="40" w:line="312" w:lineRule="auto"/>
      <w:contextualSpacing w:val="0"/>
      <w:outlineLvl w:val="6"/>
    </w:pPr>
    <w:rPr>
      <w:rFonts w:ascii="Cambria" w:hAnsi="Cambria"/>
      <w:b w:val="0"/>
      <w:i/>
      <w:iCs/>
      <w:szCs w:val="22"/>
      <w:lang w:val="en-US" w:eastAsia="en-US"/>
    </w:rPr>
  </w:style>
  <w:style w:type="paragraph" w:customStyle="1" w:styleId="Heading81">
    <w:name w:val="Heading 81"/>
    <w:basedOn w:val="Normal"/>
    <w:next w:val="Normal"/>
    <w:unhideWhenUsed/>
    <w:qFormat/>
    <w:rsid w:val="005150E5"/>
    <w:pPr>
      <w:spacing w:before="40" w:line="312" w:lineRule="auto"/>
      <w:contextualSpacing w:val="0"/>
      <w:outlineLvl w:val="7"/>
    </w:pPr>
    <w:rPr>
      <w:rFonts w:ascii="Cambria" w:hAnsi="Cambria"/>
      <w:b w:val="0"/>
      <w:sz w:val="20"/>
      <w:szCs w:val="20"/>
      <w:lang w:val="en-US" w:eastAsia="en-US"/>
    </w:rPr>
  </w:style>
  <w:style w:type="paragraph" w:customStyle="1" w:styleId="Heading91">
    <w:name w:val="Heading 91"/>
    <w:basedOn w:val="Normal"/>
    <w:next w:val="Normal"/>
    <w:unhideWhenUsed/>
    <w:qFormat/>
    <w:rsid w:val="005150E5"/>
    <w:pPr>
      <w:spacing w:before="40" w:line="312" w:lineRule="auto"/>
      <w:contextualSpacing w:val="0"/>
      <w:outlineLvl w:val="8"/>
    </w:pPr>
    <w:rPr>
      <w:rFonts w:ascii="Cambria" w:hAnsi="Cambria"/>
      <w:b w:val="0"/>
      <w:i/>
      <w:iCs/>
      <w:spacing w:val="5"/>
      <w:sz w:val="20"/>
      <w:szCs w:val="20"/>
      <w:lang w:val="en-US" w:eastAsia="en-US"/>
    </w:rPr>
  </w:style>
  <w:style w:type="numbering" w:customStyle="1" w:styleId="NoList130">
    <w:name w:val="No List130"/>
    <w:next w:val="NoList"/>
    <w:uiPriority w:val="99"/>
    <w:semiHidden/>
    <w:unhideWhenUsed/>
    <w:rsid w:val="005150E5"/>
  </w:style>
  <w:style w:type="paragraph" w:customStyle="1" w:styleId="BodyTextMaintext1">
    <w:name w:val="Body Text (Main text)1"/>
    <w:basedOn w:val="Normal"/>
    <w:next w:val="BodyText"/>
    <w:rsid w:val="005150E5"/>
    <w:pPr>
      <w:spacing w:before="40" w:after="120" w:line="312" w:lineRule="auto"/>
      <w:contextualSpacing w:val="0"/>
    </w:pPr>
    <w:rPr>
      <w:rFonts w:eastAsia="Calibri"/>
      <w:b w:val="0"/>
      <w:szCs w:val="22"/>
      <w:lang w:val="en-US" w:eastAsia="en-US"/>
    </w:rPr>
  </w:style>
  <w:style w:type="paragraph" w:customStyle="1" w:styleId="BodyTextIndent31">
    <w:name w:val="Body Text Indent 31"/>
    <w:basedOn w:val="Normal"/>
    <w:next w:val="BodyTextIndent3"/>
    <w:rsid w:val="005150E5"/>
    <w:pPr>
      <w:spacing w:before="40" w:after="60" w:line="312" w:lineRule="auto"/>
      <w:contextualSpacing w:val="0"/>
    </w:pPr>
    <w:rPr>
      <w:rFonts w:ascii="Arial Armenian" w:eastAsia="Calibri" w:hAnsi="Arial Armenian"/>
      <w:b w:val="0"/>
      <w:noProof/>
      <w:sz w:val="20"/>
      <w:szCs w:val="20"/>
      <w:lang w:val="en-US" w:eastAsia="en-US"/>
    </w:rPr>
  </w:style>
  <w:style w:type="paragraph" w:customStyle="1" w:styleId="BodyTextIndent21">
    <w:name w:val="Body Text Indent 21"/>
    <w:basedOn w:val="Normal"/>
    <w:next w:val="BodyTextIndent2"/>
    <w:link w:val="BodyTextIndent2Char1"/>
    <w:rsid w:val="005150E5"/>
    <w:pPr>
      <w:widowControl w:val="0"/>
      <w:spacing w:before="40" w:after="120" w:line="312" w:lineRule="auto"/>
      <w:ind w:left="720" w:firstLine="720"/>
      <w:contextualSpacing w:val="0"/>
    </w:pPr>
    <w:rPr>
      <w:rFonts w:ascii="Arial Armenian" w:hAnsi="Arial Armenian"/>
      <w:b w:val="0"/>
      <w:sz w:val="20"/>
      <w:szCs w:val="20"/>
      <w:lang w:val="en-GB" w:eastAsia="en-US"/>
    </w:rPr>
  </w:style>
  <w:style w:type="paragraph" w:customStyle="1" w:styleId="1Text1">
    <w:name w:val="1Text1"/>
    <w:basedOn w:val="Normal"/>
    <w:next w:val="BodyText2"/>
    <w:link w:val="BodyText2Char1"/>
    <w:qFormat/>
    <w:rsid w:val="005150E5"/>
    <w:pPr>
      <w:spacing w:before="40" w:after="120" w:line="480" w:lineRule="auto"/>
      <w:contextualSpacing w:val="0"/>
    </w:pPr>
    <w:rPr>
      <w:rFonts w:ascii="Times New Roman" w:hAnsi="Times New Roman"/>
      <w:b w:val="0"/>
      <w:sz w:val="20"/>
      <w:szCs w:val="20"/>
      <w:lang w:val="en-US" w:eastAsia="en-US"/>
    </w:rPr>
  </w:style>
  <w:style w:type="paragraph" w:customStyle="1" w:styleId="BodyText31">
    <w:name w:val="Body Text 31"/>
    <w:basedOn w:val="Normal"/>
    <w:next w:val="BodyText3"/>
    <w:link w:val="BodyText3Char1"/>
    <w:rsid w:val="005150E5"/>
    <w:pPr>
      <w:spacing w:before="40" w:after="120" w:line="312" w:lineRule="auto"/>
      <w:contextualSpacing w:val="0"/>
    </w:pPr>
    <w:rPr>
      <w:rFonts w:ascii="Times New Roman" w:hAnsi="Times New Roman"/>
      <w:b w:val="0"/>
      <w:sz w:val="16"/>
      <w:szCs w:val="16"/>
    </w:rPr>
  </w:style>
  <w:style w:type="paragraph" w:customStyle="1" w:styleId="ListBullet1">
    <w:name w:val="List Bullet1"/>
    <w:basedOn w:val="Normal"/>
    <w:next w:val="ListBullet"/>
    <w:autoRedefine/>
    <w:qFormat/>
    <w:rsid w:val="005150E5"/>
    <w:pPr>
      <w:tabs>
        <w:tab w:val="num" w:pos="360"/>
      </w:tabs>
      <w:overflowPunct w:val="0"/>
      <w:autoSpaceDE w:val="0"/>
      <w:autoSpaceDN w:val="0"/>
      <w:adjustRightInd w:val="0"/>
      <w:spacing w:before="130" w:after="60" w:line="312" w:lineRule="auto"/>
      <w:ind w:left="360" w:hanging="360"/>
      <w:contextualSpacing w:val="0"/>
      <w:textAlignment w:val="baseline"/>
    </w:pPr>
    <w:rPr>
      <w:b w:val="0"/>
      <w:szCs w:val="22"/>
      <w:lang w:val="en-GB" w:eastAsia="en-US"/>
    </w:rPr>
  </w:style>
  <w:style w:type="paragraph" w:customStyle="1" w:styleId="EndnoteText1">
    <w:name w:val="Endnote Text1"/>
    <w:basedOn w:val="Normal"/>
    <w:next w:val="EndnoteText"/>
    <w:rsid w:val="005150E5"/>
    <w:pPr>
      <w:spacing w:before="40" w:after="60" w:line="312" w:lineRule="auto"/>
      <w:contextualSpacing w:val="0"/>
    </w:pPr>
    <w:rPr>
      <w:rFonts w:eastAsia="Calibri"/>
      <w:b w:val="0"/>
      <w:sz w:val="20"/>
      <w:szCs w:val="20"/>
      <w:lang w:val="en-GB" w:eastAsia="en-US"/>
    </w:rPr>
  </w:style>
  <w:style w:type="table" w:customStyle="1" w:styleId="TableGrid114">
    <w:name w:val="Table Grid114"/>
    <w:basedOn w:val="TableNormal"/>
    <w:next w:val="TableGrid"/>
    <w:uiPriority w:val="39"/>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Text1">
    <w:name w:val="Block Text1"/>
    <w:basedOn w:val="Normal"/>
    <w:next w:val="BlockText"/>
    <w:rsid w:val="005150E5"/>
    <w:pPr>
      <w:spacing w:before="40" w:after="60"/>
      <w:ind w:left="-709" w:right="-483"/>
      <w:contextualSpacing w:val="0"/>
    </w:pPr>
    <w:rPr>
      <w:rFonts w:ascii="Times Armenian" w:hAnsi="Times Armenian"/>
      <w:b w:val="0"/>
      <w:szCs w:val="20"/>
      <w:lang w:val="en-US" w:eastAsia="en-US"/>
    </w:rPr>
  </w:style>
  <w:style w:type="paragraph" w:customStyle="1" w:styleId="TOC41">
    <w:name w:val="TOC 41"/>
    <w:basedOn w:val="Normal"/>
    <w:next w:val="Normal"/>
    <w:autoRedefine/>
    <w:uiPriority w:val="39"/>
    <w:rsid w:val="005150E5"/>
    <w:pPr>
      <w:spacing w:before="0" w:line="312" w:lineRule="auto"/>
      <w:ind w:left="660"/>
      <w:contextualSpacing w:val="0"/>
      <w:jc w:val="left"/>
    </w:pPr>
    <w:rPr>
      <w:rFonts w:ascii="Calibri" w:hAnsi="Calibri" w:cs="Calibri"/>
      <w:b w:val="0"/>
      <w:sz w:val="20"/>
      <w:szCs w:val="20"/>
      <w:lang w:val="en-US" w:eastAsia="en-US"/>
    </w:rPr>
  </w:style>
  <w:style w:type="paragraph" w:customStyle="1" w:styleId="TOC51">
    <w:name w:val="TOC 51"/>
    <w:basedOn w:val="Normal"/>
    <w:next w:val="Normal"/>
    <w:autoRedefine/>
    <w:uiPriority w:val="39"/>
    <w:rsid w:val="005150E5"/>
    <w:pPr>
      <w:spacing w:before="0" w:line="312" w:lineRule="auto"/>
      <w:ind w:left="880"/>
      <w:contextualSpacing w:val="0"/>
      <w:jc w:val="left"/>
    </w:pPr>
    <w:rPr>
      <w:rFonts w:ascii="Calibri" w:hAnsi="Calibri" w:cs="Calibri"/>
      <w:b w:val="0"/>
      <w:sz w:val="20"/>
      <w:szCs w:val="20"/>
      <w:lang w:val="en-US" w:eastAsia="en-US"/>
    </w:rPr>
  </w:style>
  <w:style w:type="paragraph" w:customStyle="1" w:styleId="Title10">
    <w:name w:val="Title1"/>
    <w:basedOn w:val="Normal"/>
    <w:next w:val="Normal"/>
    <w:qFormat/>
    <w:rsid w:val="005150E5"/>
    <w:pPr>
      <w:pBdr>
        <w:bottom w:val="single" w:sz="4" w:space="1" w:color="auto"/>
      </w:pBdr>
      <w:spacing w:before="40" w:after="60" w:line="240" w:lineRule="auto"/>
    </w:pPr>
    <w:rPr>
      <w:rFonts w:ascii="Cambria" w:hAnsi="Cambria"/>
      <w:b w:val="0"/>
      <w:spacing w:val="5"/>
      <w:sz w:val="52"/>
      <w:szCs w:val="52"/>
      <w:lang w:val="en-US" w:eastAsia="en-US"/>
    </w:rPr>
  </w:style>
  <w:style w:type="paragraph" w:customStyle="1" w:styleId="PlainText1">
    <w:name w:val="Plain Text1"/>
    <w:basedOn w:val="Normal"/>
    <w:next w:val="PlainText"/>
    <w:rsid w:val="005150E5"/>
    <w:pPr>
      <w:spacing w:after="60" w:line="312" w:lineRule="auto"/>
      <w:contextualSpacing w:val="0"/>
    </w:pPr>
    <w:rPr>
      <w:rFonts w:ascii="Courier New" w:eastAsia="Calibri" w:hAnsi="Courier New"/>
      <w:b w:val="0"/>
      <w:sz w:val="20"/>
      <w:szCs w:val="20"/>
      <w:lang w:val="en-US" w:eastAsia="en-US"/>
    </w:rPr>
  </w:style>
  <w:style w:type="paragraph" w:customStyle="1" w:styleId="TOC61">
    <w:name w:val="TOC 61"/>
    <w:basedOn w:val="Normal"/>
    <w:next w:val="Normal"/>
    <w:autoRedefine/>
    <w:uiPriority w:val="39"/>
    <w:rsid w:val="005150E5"/>
    <w:pPr>
      <w:spacing w:before="0" w:line="312" w:lineRule="auto"/>
      <w:ind w:left="1100"/>
      <w:contextualSpacing w:val="0"/>
      <w:jc w:val="left"/>
    </w:pPr>
    <w:rPr>
      <w:rFonts w:ascii="Calibri" w:hAnsi="Calibri" w:cs="Calibri"/>
      <w:b w:val="0"/>
      <w:sz w:val="20"/>
      <w:szCs w:val="20"/>
      <w:lang w:val="en-US" w:eastAsia="en-US"/>
    </w:rPr>
  </w:style>
  <w:style w:type="paragraph" w:customStyle="1" w:styleId="TOC71">
    <w:name w:val="TOC 71"/>
    <w:basedOn w:val="Normal"/>
    <w:next w:val="Normal"/>
    <w:autoRedefine/>
    <w:uiPriority w:val="39"/>
    <w:rsid w:val="005150E5"/>
    <w:pPr>
      <w:spacing w:before="0" w:line="312" w:lineRule="auto"/>
      <w:ind w:left="1320"/>
      <w:contextualSpacing w:val="0"/>
      <w:jc w:val="left"/>
    </w:pPr>
    <w:rPr>
      <w:rFonts w:ascii="Calibri" w:hAnsi="Calibri" w:cs="Calibri"/>
      <w:b w:val="0"/>
      <w:sz w:val="20"/>
      <w:szCs w:val="20"/>
      <w:lang w:val="en-US" w:eastAsia="en-US"/>
    </w:rPr>
  </w:style>
  <w:style w:type="paragraph" w:customStyle="1" w:styleId="TOC81">
    <w:name w:val="TOC 81"/>
    <w:basedOn w:val="Normal"/>
    <w:next w:val="Normal"/>
    <w:autoRedefine/>
    <w:uiPriority w:val="39"/>
    <w:rsid w:val="005150E5"/>
    <w:pPr>
      <w:spacing w:before="0" w:line="312" w:lineRule="auto"/>
      <w:ind w:left="1540"/>
      <w:contextualSpacing w:val="0"/>
      <w:jc w:val="left"/>
    </w:pPr>
    <w:rPr>
      <w:rFonts w:ascii="Calibri" w:hAnsi="Calibri" w:cs="Calibri"/>
      <w:b w:val="0"/>
      <w:sz w:val="20"/>
      <w:szCs w:val="20"/>
      <w:lang w:val="en-US" w:eastAsia="en-US"/>
    </w:rPr>
  </w:style>
  <w:style w:type="paragraph" w:customStyle="1" w:styleId="TOC91">
    <w:name w:val="TOC 91"/>
    <w:basedOn w:val="Normal"/>
    <w:next w:val="Normal"/>
    <w:autoRedefine/>
    <w:uiPriority w:val="39"/>
    <w:rsid w:val="005150E5"/>
    <w:pPr>
      <w:spacing w:before="0" w:line="312" w:lineRule="auto"/>
      <w:ind w:left="1760"/>
      <w:contextualSpacing w:val="0"/>
      <w:jc w:val="left"/>
    </w:pPr>
    <w:rPr>
      <w:rFonts w:ascii="Calibri" w:hAnsi="Calibri" w:cs="Calibri"/>
      <w:b w:val="0"/>
      <w:sz w:val="20"/>
      <w:szCs w:val="20"/>
      <w:lang w:val="en-US" w:eastAsia="en-US"/>
    </w:rPr>
  </w:style>
  <w:style w:type="table" w:customStyle="1" w:styleId="TableList713">
    <w:name w:val="Table List 713"/>
    <w:basedOn w:val="TableNormal"/>
    <w:next w:val="TableList7"/>
    <w:rsid w:val="005150E5"/>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3">
    <w:name w:val="Table Web 313"/>
    <w:basedOn w:val="TableNormal"/>
    <w:next w:val="TableWeb3"/>
    <w:rsid w:val="005150E5"/>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3">
    <w:name w:val="Table Elegant13"/>
    <w:basedOn w:val="TableNormal"/>
    <w:next w:val="TableElegant"/>
    <w:rsid w:val="005150E5"/>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1">
    <w:name w:val="Table of Figures1"/>
    <w:basedOn w:val="Normal"/>
    <w:next w:val="Normal"/>
    <w:rsid w:val="005150E5"/>
    <w:pPr>
      <w:spacing w:before="40" w:after="60" w:line="312" w:lineRule="auto"/>
      <w:ind w:left="480" w:hanging="480"/>
      <w:contextualSpacing w:val="0"/>
    </w:pPr>
    <w:rPr>
      <w:b w:val="0"/>
      <w:sz w:val="20"/>
      <w:szCs w:val="22"/>
      <w:lang w:val="en-US" w:eastAsia="en-US"/>
    </w:rPr>
  </w:style>
  <w:style w:type="paragraph" w:customStyle="1" w:styleId="Subtitle1">
    <w:name w:val="Subtitle1"/>
    <w:basedOn w:val="Normal"/>
    <w:next w:val="Normal"/>
    <w:qFormat/>
    <w:rsid w:val="005150E5"/>
    <w:pPr>
      <w:spacing w:before="40" w:after="600" w:line="312" w:lineRule="auto"/>
      <w:contextualSpacing w:val="0"/>
    </w:pPr>
    <w:rPr>
      <w:rFonts w:ascii="Cambria" w:hAnsi="Cambria"/>
      <w:b w:val="0"/>
      <w:i/>
      <w:iCs/>
      <w:spacing w:val="13"/>
      <w:sz w:val="24"/>
      <w:lang w:val="en-US" w:eastAsia="en-US"/>
    </w:rPr>
  </w:style>
  <w:style w:type="paragraph" w:customStyle="1" w:styleId="Index11">
    <w:name w:val="Index 11"/>
    <w:basedOn w:val="Normal"/>
    <w:next w:val="Normal"/>
    <w:autoRedefine/>
    <w:rsid w:val="005150E5"/>
    <w:pPr>
      <w:spacing w:before="40" w:after="60" w:line="312" w:lineRule="auto"/>
      <w:ind w:left="240" w:hanging="240"/>
      <w:contextualSpacing w:val="0"/>
    </w:pPr>
    <w:rPr>
      <w:b w:val="0"/>
      <w:szCs w:val="22"/>
      <w:lang w:val="en-US" w:eastAsia="en-US"/>
    </w:rPr>
  </w:style>
  <w:style w:type="paragraph" w:customStyle="1" w:styleId="Index21">
    <w:name w:val="Index 21"/>
    <w:basedOn w:val="Normal"/>
    <w:next w:val="Normal"/>
    <w:autoRedefine/>
    <w:rsid w:val="005150E5"/>
    <w:pPr>
      <w:spacing w:before="40" w:after="60" w:line="312" w:lineRule="auto"/>
      <w:ind w:left="480" w:hanging="240"/>
      <w:contextualSpacing w:val="0"/>
    </w:pPr>
    <w:rPr>
      <w:b w:val="0"/>
      <w:szCs w:val="22"/>
      <w:lang w:val="en-US" w:eastAsia="en-US"/>
    </w:rPr>
  </w:style>
  <w:style w:type="paragraph" w:customStyle="1" w:styleId="Index31">
    <w:name w:val="Index 31"/>
    <w:basedOn w:val="Normal"/>
    <w:next w:val="Normal"/>
    <w:autoRedefine/>
    <w:rsid w:val="005150E5"/>
    <w:pPr>
      <w:spacing w:before="40" w:after="60" w:line="312" w:lineRule="auto"/>
      <w:ind w:left="720" w:hanging="240"/>
      <w:contextualSpacing w:val="0"/>
    </w:pPr>
    <w:rPr>
      <w:b w:val="0"/>
      <w:szCs w:val="22"/>
      <w:lang w:val="en-US" w:eastAsia="en-US"/>
    </w:rPr>
  </w:style>
  <w:style w:type="paragraph" w:customStyle="1" w:styleId="Index41">
    <w:name w:val="Index 41"/>
    <w:basedOn w:val="Normal"/>
    <w:next w:val="Normal"/>
    <w:autoRedefine/>
    <w:rsid w:val="005150E5"/>
    <w:pPr>
      <w:spacing w:before="40" w:after="60" w:line="312" w:lineRule="auto"/>
      <w:ind w:left="960" w:hanging="240"/>
      <w:contextualSpacing w:val="0"/>
    </w:pPr>
    <w:rPr>
      <w:b w:val="0"/>
      <w:szCs w:val="22"/>
      <w:lang w:val="en-US" w:eastAsia="en-US"/>
    </w:rPr>
  </w:style>
  <w:style w:type="paragraph" w:customStyle="1" w:styleId="Index51">
    <w:name w:val="Index 51"/>
    <w:basedOn w:val="Normal"/>
    <w:next w:val="Normal"/>
    <w:autoRedefine/>
    <w:rsid w:val="005150E5"/>
    <w:pPr>
      <w:spacing w:before="40" w:after="60" w:line="312" w:lineRule="auto"/>
      <w:ind w:left="1200" w:hanging="240"/>
      <w:contextualSpacing w:val="0"/>
    </w:pPr>
    <w:rPr>
      <w:b w:val="0"/>
      <w:szCs w:val="22"/>
      <w:lang w:val="en-US" w:eastAsia="en-US"/>
    </w:rPr>
  </w:style>
  <w:style w:type="paragraph" w:customStyle="1" w:styleId="Index61">
    <w:name w:val="Index 61"/>
    <w:basedOn w:val="Normal"/>
    <w:next w:val="Normal"/>
    <w:autoRedefine/>
    <w:rsid w:val="005150E5"/>
    <w:pPr>
      <w:spacing w:before="40" w:after="60" w:line="312" w:lineRule="auto"/>
      <w:ind w:left="1440" w:hanging="240"/>
      <w:contextualSpacing w:val="0"/>
    </w:pPr>
    <w:rPr>
      <w:b w:val="0"/>
      <w:szCs w:val="22"/>
      <w:lang w:val="en-US" w:eastAsia="en-US"/>
    </w:rPr>
  </w:style>
  <w:style w:type="paragraph" w:customStyle="1" w:styleId="Index71">
    <w:name w:val="Index 71"/>
    <w:basedOn w:val="Normal"/>
    <w:next w:val="Normal"/>
    <w:autoRedefine/>
    <w:rsid w:val="005150E5"/>
    <w:pPr>
      <w:spacing w:before="40" w:after="60" w:line="312" w:lineRule="auto"/>
      <w:ind w:left="1680" w:hanging="240"/>
      <w:contextualSpacing w:val="0"/>
    </w:pPr>
    <w:rPr>
      <w:b w:val="0"/>
      <w:szCs w:val="22"/>
      <w:lang w:val="en-US" w:eastAsia="en-US"/>
    </w:rPr>
  </w:style>
  <w:style w:type="paragraph" w:customStyle="1" w:styleId="Index81">
    <w:name w:val="Index 81"/>
    <w:basedOn w:val="Normal"/>
    <w:next w:val="Normal"/>
    <w:autoRedefine/>
    <w:rsid w:val="005150E5"/>
    <w:pPr>
      <w:spacing w:before="40" w:after="60" w:line="312" w:lineRule="auto"/>
      <w:ind w:left="1920" w:hanging="240"/>
      <w:contextualSpacing w:val="0"/>
    </w:pPr>
    <w:rPr>
      <w:b w:val="0"/>
      <w:szCs w:val="22"/>
      <w:lang w:val="en-US" w:eastAsia="en-US"/>
    </w:rPr>
  </w:style>
  <w:style w:type="paragraph" w:customStyle="1" w:styleId="Index91">
    <w:name w:val="Index 91"/>
    <w:basedOn w:val="Normal"/>
    <w:next w:val="Normal"/>
    <w:autoRedefine/>
    <w:rsid w:val="005150E5"/>
    <w:pPr>
      <w:spacing w:before="40" w:after="60" w:line="312" w:lineRule="auto"/>
      <w:ind w:left="2160" w:hanging="240"/>
      <w:contextualSpacing w:val="0"/>
    </w:pPr>
    <w:rPr>
      <w:b w:val="0"/>
      <w:szCs w:val="22"/>
      <w:lang w:val="en-US" w:eastAsia="en-US"/>
    </w:rPr>
  </w:style>
  <w:style w:type="paragraph" w:customStyle="1" w:styleId="IndexHeading1">
    <w:name w:val="Index Heading1"/>
    <w:basedOn w:val="Normal"/>
    <w:next w:val="Index1"/>
    <w:rsid w:val="005150E5"/>
    <w:pPr>
      <w:spacing w:before="40" w:after="60" w:line="312" w:lineRule="auto"/>
      <w:contextualSpacing w:val="0"/>
    </w:pPr>
    <w:rPr>
      <w:b w:val="0"/>
      <w:szCs w:val="22"/>
      <w:lang w:val="en-US" w:eastAsia="en-US"/>
    </w:rPr>
  </w:style>
  <w:style w:type="paragraph" w:customStyle="1" w:styleId="NormalIndent1">
    <w:name w:val="Normal Indent1"/>
    <w:basedOn w:val="Normal"/>
    <w:next w:val="NormalIndent"/>
    <w:rsid w:val="005150E5"/>
    <w:pPr>
      <w:tabs>
        <w:tab w:val="left" w:pos="1134"/>
        <w:tab w:val="left" w:pos="1701"/>
        <w:tab w:val="left" w:pos="2835"/>
        <w:tab w:val="left" w:pos="5103"/>
        <w:tab w:val="left" w:pos="7371"/>
        <w:tab w:val="right" w:pos="9639"/>
      </w:tabs>
      <w:spacing w:before="40" w:after="60" w:line="312" w:lineRule="auto"/>
      <w:ind w:left="1134"/>
      <w:contextualSpacing w:val="0"/>
    </w:pPr>
    <w:rPr>
      <w:b w:val="0"/>
      <w:szCs w:val="22"/>
      <w:lang w:val="en-GB" w:eastAsia="en-US"/>
    </w:rPr>
  </w:style>
  <w:style w:type="paragraph" w:customStyle="1" w:styleId="webb1">
    <w:name w:val="webb1"/>
    <w:basedOn w:val="Normal"/>
    <w:next w:val="NormalWeb"/>
    <w:uiPriority w:val="99"/>
    <w:qFormat/>
    <w:rsid w:val="005150E5"/>
    <w:pPr>
      <w:spacing w:before="100" w:after="100" w:line="312" w:lineRule="auto"/>
      <w:contextualSpacing w:val="0"/>
    </w:pPr>
    <w:rPr>
      <w:b w:val="0"/>
      <w:szCs w:val="20"/>
      <w:lang w:val="en-US" w:eastAsia="en-US"/>
    </w:rPr>
  </w:style>
  <w:style w:type="table" w:customStyle="1" w:styleId="TableWeb213">
    <w:name w:val="Table Web 213"/>
    <w:basedOn w:val="TableNormal"/>
    <w:next w:val="TableWeb2"/>
    <w:rsid w:val="005150E5"/>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3">
    <w:name w:val="Table Web 113"/>
    <w:basedOn w:val="TableNormal"/>
    <w:next w:val="TableWeb1"/>
    <w:rsid w:val="005150E5"/>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istBullet21">
    <w:name w:val="List Bullet 21"/>
    <w:basedOn w:val="Normal"/>
    <w:next w:val="ListBullet2"/>
    <w:autoRedefine/>
    <w:rsid w:val="005150E5"/>
    <w:pPr>
      <w:spacing w:before="40" w:after="60" w:line="312" w:lineRule="auto"/>
      <w:ind w:left="720" w:hanging="360"/>
      <w:contextualSpacing w:val="0"/>
    </w:pPr>
    <w:rPr>
      <w:b w:val="0"/>
      <w:szCs w:val="22"/>
      <w:lang w:val="en-US" w:eastAsia="en-US"/>
    </w:rPr>
  </w:style>
  <w:style w:type="paragraph" w:customStyle="1" w:styleId="BodyTextFirstIndent1">
    <w:name w:val="Body Text First Indent1"/>
    <w:basedOn w:val="BodyText"/>
    <w:next w:val="BodyTextFirstIndent"/>
    <w:rsid w:val="005150E5"/>
    <w:pPr>
      <w:spacing w:before="40" w:after="120" w:line="312" w:lineRule="auto"/>
      <w:ind w:firstLine="210"/>
      <w:contextualSpacing w:val="0"/>
      <w:jc w:val="both"/>
    </w:pPr>
    <w:rPr>
      <w:rFonts w:ascii="GHEA Grapalat" w:eastAsia="Calibri" w:hAnsi="GHEA Grapalat"/>
      <w:b w:val="0"/>
      <w:sz w:val="22"/>
      <w:szCs w:val="22"/>
    </w:rPr>
  </w:style>
  <w:style w:type="table" w:customStyle="1" w:styleId="TableGrid813">
    <w:name w:val="Table Grid 813"/>
    <w:basedOn w:val="TableNormal"/>
    <w:next w:val="TableGrid8"/>
    <w:rsid w:val="005150E5"/>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3">
    <w:name w:val="Table Contemporary13"/>
    <w:basedOn w:val="TableNormal"/>
    <w:next w:val="TableContemporary"/>
    <w:rsid w:val="005150E5"/>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60">
    <w:name w:val="Знак Знак6"/>
    <w:basedOn w:val="Normal"/>
    <w:link w:val="Char31"/>
    <w:rsid w:val="005150E5"/>
    <w:pPr>
      <w:spacing w:before="40" w:after="60" w:line="240" w:lineRule="exact"/>
      <w:contextualSpacing w:val="0"/>
    </w:pPr>
    <w:rPr>
      <w:rFonts w:ascii="Arial" w:hAnsi="Arial" w:cs="Arial"/>
      <w:b w:val="0"/>
      <w:sz w:val="20"/>
      <w:szCs w:val="20"/>
      <w:lang w:val="en-GB" w:eastAsia="en-US"/>
    </w:rPr>
  </w:style>
  <w:style w:type="character" w:customStyle="1" w:styleId="Char31">
    <w:name w:val="Знак Знак Char3"/>
    <w:link w:val="60"/>
    <w:rsid w:val="005150E5"/>
    <w:rPr>
      <w:rFonts w:ascii="Arial" w:hAnsi="Arial" w:cs="Arial"/>
      <w:lang w:val="en-GB"/>
    </w:rPr>
  </w:style>
  <w:style w:type="paragraph" w:customStyle="1" w:styleId="DocumentMap1">
    <w:name w:val="Document Map1"/>
    <w:basedOn w:val="Normal"/>
    <w:next w:val="DocumentMap"/>
    <w:link w:val="DocumentMapChar1"/>
    <w:uiPriority w:val="99"/>
    <w:rsid w:val="005150E5"/>
    <w:pPr>
      <w:shd w:val="clear" w:color="auto" w:fill="000080"/>
      <w:overflowPunct w:val="0"/>
      <w:autoSpaceDE w:val="0"/>
      <w:autoSpaceDN w:val="0"/>
      <w:adjustRightInd w:val="0"/>
      <w:spacing w:before="40" w:after="60" w:line="312" w:lineRule="auto"/>
      <w:contextualSpacing w:val="0"/>
      <w:textAlignment w:val="baseline"/>
    </w:pPr>
    <w:rPr>
      <w:rFonts w:ascii="Tahoma" w:hAnsi="Tahoma"/>
      <w:b w:val="0"/>
      <w:sz w:val="24"/>
      <w:szCs w:val="20"/>
      <w:lang w:val="en-GB"/>
    </w:rPr>
  </w:style>
  <w:style w:type="paragraph" w:customStyle="1" w:styleId="CharChar39">
    <w:name w:val="Char Char39"/>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Char30">
    <w:name w:val="Char Char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Znak3">
    <w:name w:val="Znak3"/>
    <w:basedOn w:val="Normal"/>
    <w:rsid w:val="005150E5"/>
    <w:pPr>
      <w:tabs>
        <w:tab w:val="left" w:pos="709"/>
      </w:tabs>
      <w:spacing w:before="40" w:after="60" w:line="312" w:lineRule="auto"/>
      <w:contextualSpacing w:val="0"/>
    </w:pPr>
    <w:rPr>
      <w:rFonts w:ascii="Tahoma" w:hAnsi="Tahoma"/>
      <w:b w:val="0"/>
      <w:szCs w:val="22"/>
      <w:lang w:val="pl-PL" w:eastAsia="pl-PL"/>
    </w:rPr>
  </w:style>
  <w:style w:type="paragraph" w:customStyle="1" w:styleId="CharCharCharCharCharCharCharCharCharCharCharCharChar3">
    <w:name w:val="Char Char Char Char Char Char Char Char Char Char Char Char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32">
    <w:name w:val="Знак Знак Знак Знак Знак Знак Знак Знак Знак Знак Знак Знак Знак Знак Знак Знак Знак Знак Char Знак Знак3"/>
    <w:basedOn w:val="Normal"/>
    <w:autoRedefine/>
    <w:rsid w:val="005150E5"/>
    <w:pPr>
      <w:spacing w:before="40" w:after="60" w:line="240" w:lineRule="exact"/>
      <w:contextualSpacing w:val="0"/>
    </w:pPr>
    <w:rPr>
      <w:b w:val="0"/>
      <w:sz w:val="28"/>
      <w:szCs w:val="20"/>
      <w:lang w:val="en-US" w:eastAsia="en-US"/>
    </w:rPr>
  </w:style>
  <w:style w:type="paragraph" w:customStyle="1" w:styleId="CharCharChar31">
    <w:name w:val="Char Char Char Знак3"/>
    <w:basedOn w:val="Normal"/>
    <w:next w:val="Normal"/>
    <w:rsid w:val="005150E5"/>
    <w:pPr>
      <w:spacing w:before="40" w:after="60" w:line="240" w:lineRule="exact"/>
      <w:contextualSpacing w:val="0"/>
    </w:pPr>
    <w:rPr>
      <w:rFonts w:ascii="Tahoma" w:hAnsi="Tahoma"/>
      <w:b w:val="0"/>
      <w:szCs w:val="20"/>
      <w:lang w:val="en-US" w:eastAsia="en-US"/>
    </w:rPr>
  </w:style>
  <w:style w:type="paragraph" w:customStyle="1" w:styleId="ListContinue21">
    <w:name w:val="List Continue 21"/>
    <w:basedOn w:val="Normal"/>
    <w:next w:val="ListContinue2"/>
    <w:rsid w:val="005150E5"/>
    <w:pPr>
      <w:spacing w:before="40" w:after="120" w:line="312" w:lineRule="auto"/>
      <w:ind w:left="720"/>
      <w:contextualSpacing w:val="0"/>
    </w:pPr>
    <w:rPr>
      <w:b w:val="0"/>
      <w:szCs w:val="22"/>
      <w:lang w:val="en-US" w:eastAsia="en-US"/>
    </w:rPr>
  </w:style>
  <w:style w:type="paragraph" w:customStyle="1" w:styleId="CharCharCharCharCharCharCharChar3">
    <w:name w:val="Char Char Char Char Char Char Char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CharCharCharCharCharCharCharCharCharCharCharCharChar6">
    <w:name w:val="Char Char Char Char Знак Char Знак Char Char Char Char Char Char Char Char Char Char6"/>
    <w:basedOn w:val="Normal"/>
    <w:rsid w:val="005150E5"/>
    <w:pPr>
      <w:tabs>
        <w:tab w:val="left" w:pos="709"/>
      </w:tabs>
      <w:spacing w:before="40" w:after="60" w:line="312" w:lineRule="auto"/>
      <w:contextualSpacing w:val="0"/>
    </w:pPr>
    <w:rPr>
      <w:rFonts w:ascii="Tahoma" w:hAnsi="Tahoma"/>
      <w:b w:val="0"/>
      <w:szCs w:val="22"/>
      <w:lang w:val="pl-PL" w:eastAsia="pl-PL"/>
    </w:rPr>
  </w:style>
  <w:style w:type="paragraph" w:customStyle="1" w:styleId="CharCharCharCharCharCharChar3">
    <w:name w:val="Char Char Char Char Char Char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Char32">
    <w:name w:val="Char Char Char Знак Знак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CharCharCharCharCharCharCharChar3">
    <w:name w:val="Char Char Char Char Char Char Char Char Char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1CharChar3">
    <w:name w:val="Знак Знак1 Char Char Знак Знак3"/>
    <w:basedOn w:val="Normal"/>
    <w:rsid w:val="005150E5"/>
    <w:pPr>
      <w:tabs>
        <w:tab w:val="num" w:pos="840"/>
      </w:tabs>
      <w:spacing w:before="40" w:after="60" w:line="240" w:lineRule="exact"/>
      <w:ind w:left="840" w:hanging="360"/>
      <w:contextualSpacing w:val="0"/>
    </w:pPr>
    <w:rPr>
      <w:rFonts w:ascii="Verdana" w:hAnsi="Verdana"/>
      <w:b w:val="0"/>
      <w:sz w:val="20"/>
      <w:szCs w:val="20"/>
      <w:lang w:eastAsia="en-US"/>
    </w:rPr>
  </w:style>
  <w:style w:type="paragraph" w:customStyle="1" w:styleId="CharCharCharChar3">
    <w:name w:val="Знак Знак Char Char Знак Знак Char Char Знак Знак3"/>
    <w:basedOn w:val="Normal"/>
    <w:autoRedefine/>
    <w:rsid w:val="005150E5"/>
    <w:pPr>
      <w:spacing w:before="40" w:after="60" w:line="240" w:lineRule="exact"/>
      <w:contextualSpacing w:val="0"/>
    </w:pPr>
    <w:rPr>
      <w:b w:val="0"/>
      <w:sz w:val="28"/>
      <w:szCs w:val="20"/>
      <w:lang w:val="en-US" w:eastAsia="en-US"/>
    </w:rPr>
  </w:style>
  <w:style w:type="paragraph" w:customStyle="1" w:styleId="CharCharChar1Char3">
    <w:name w:val="Char Char Char1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133">
    <w:name w:val="Знак Знак13"/>
    <w:basedOn w:val="Normal"/>
    <w:rsid w:val="005150E5"/>
    <w:pPr>
      <w:spacing w:before="40" w:after="60" w:line="240" w:lineRule="exact"/>
      <w:contextualSpacing w:val="0"/>
    </w:pPr>
    <w:rPr>
      <w:rFonts w:ascii="Arial" w:eastAsia="MS Mincho" w:hAnsi="Arial" w:cs="Arial"/>
      <w:b w:val="0"/>
      <w:sz w:val="20"/>
      <w:szCs w:val="20"/>
      <w:lang w:val="en-US" w:eastAsia="en-US"/>
    </w:rPr>
  </w:style>
  <w:style w:type="paragraph" w:customStyle="1" w:styleId="CharCharCharCharChar30">
    <w:name w:val="Char Char Char Char Char Знак Знак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1CharCharChar1Char3">
    <w:name w:val="Char Char1 Char Char Char1 Char3"/>
    <w:basedOn w:val="Normal"/>
    <w:autoRedefine/>
    <w:rsid w:val="005150E5"/>
    <w:pPr>
      <w:spacing w:before="40" w:after="60" w:line="312" w:lineRule="auto"/>
      <w:contextualSpacing w:val="0"/>
    </w:pPr>
    <w:rPr>
      <w:rFonts w:eastAsia="SimSun"/>
      <w:b w:val="0"/>
      <w:sz w:val="20"/>
      <w:szCs w:val="20"/>
      <w:lang w:val="en-US"/>
    </w:rPr>
  </w:style>
  <w:style w:type="paragraph" w:customStyle="1" w:styleId="430">
    <w:name w:val="Знак Знак43"/>
    <w:basedOn w:val="Normal"/>
    <w:rsid w:val="005150E5"/>
    <w:pPr>
      <w:tabs>
        <w:tab w:val="left" w:pos="709"/>
      </w:tabs>
      <w:spacing w:before="40" w:after="60" w:line="312" w:lineRule="auto"/>
      <w:contextualSpacing w:val="0"/>
    </w:pPr>
    <w:rPr>
      <w:rFonts w:ascii="Tahoma" w:hAnsi="Tahoma"/>
      <w:b w:val="0"/>
      <w:szCs w:val="22"/>
      <w:lang w:val="pl-PL" w:eastAsia="pl-PL"/>
    </w:rPr>
  </w:style>
  <w:style w:type="paragraph" w:customStyle="1" w:styleId="Char33">
    <w:name w:val="Знак Char Знак3"/>
    <w:basedOn w:val="Normal"/>
    <w:rsid w:val="005150E5"/>
    <w:pPr>
      <w:spacing w:before="40" w:after="60" w:line="240" w:lineRule="exact"/>
      <w:contextualSpacing w:val="0"/>
    </w:pPr>
    <w:rPr>
      <w:rFonts w:ascii="Arial" w:eastAsia="Batang" w:hAnsi="Arial" w:cs="Arial"/>
      <w:b w:val="0"/>
      <w:sz w:val="20"/>
      <w:szCs w:val="20"/>
      <w:lang w:val="en-US" w:eastAsia="en-US"/>
    </w:rPr>
  </w:style>
  <w:style w:type="paragraph" w:customStyle="1" w:styleId="CharCharCharCharCharChar3">
    <w:name w:val="Знак Знак Char Char Знак Знак Char Char Знак Знак Char Char3"/>
    <w:basedOn w:val="Normal"/>
    <w:autoRedefine/>
    <w:rsid w:val="005150E5"/>
    <w:pPr>
      <w:spacing w:before="40" w:after="60" w:line="240" w:lineRule="exact"/>
      <w:contextualSpacing w:val="0"/>
    </w:pPr>
    <w:rPr>
      <w:b w:val="0"/>
      <w:sz w:val="28"/>
      <w:szCs w:val="20"/>
      <w:lang w:val="en-US" w:eastAsia="en-US"/>
    </w:rPr>
  </w:style>
  <w:style w:type="paragraph" w:customStyle="1" w:styleId="230">
    <w:name w:val="Знак Знак2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CharCharChar31">
    <w:name w:val="Char Char Char Char Char3"/>
    <w:basedOn w:val="Normal"/>
    <w:rsid w:val="005150E5"/>
    <w:pPr>
      <w:spacing w:before="40" w:after="60" w:line="240" w:lineRule="exact"/>
      <w:contextualSpacing w:val="0"/>
    </w:pPr>
    <w:rPr>
      <w:rFonts w:ascii="Arial" w:hAnsi="Arial" w:cs="Arial"/>
      <w:b w:val="0"/>
      <w:sz w:val="20"/>
      <w:szCs w:val="20"/>
      <w:lang w:val="en-US" w:eastAsia="en-US"/>
    </w:rPr>
  </w:style>
  <w:style w:type="numbering" w:customStyle="1" w:styleId="NoList1120">
    <w:name w:val="No List1120"/>
    <w:next w:val="NoList"/>
    <w:semiHidden/>
    <w:unhideWhenUsed/>
    <w:rsid w:val="005150E5"/>
  </w:style>
  <w:style w:type="numbering" w:customStyle="1" w:styleId="NoList216">
    <w:name w:val="No List216"/>
    <w:next w:val="NoList"/>
    <w:semiHidden/>
    <w:unhideWhenUsed/>
    <w:rsid w:val="005150E5"/>
  </w:style>
  <w:style w:type="numbering" w:customStyle="1" w:styleId="NoList315">
    <w:name w:val="No List315"/>
    <w:next w:val="NoList"/>
    <w:semiHidden/>
    <w:unhideWhenUsed/>
    <w:rsid w:val="005150E5"/>
  </w:style>
  <w:style w:type="paragraph" w:customStyle="1" w:styleId="ListNumber1">
    <w:name w:val="List Number1"/>
    <w:basedOn w:val="Normal"/>
    <w:next w:val="ListNumber"/>
    <w:rsid w:val="005150E5"/>
    <w:pPr>
      <w:spacing w:before="40" w:after="60" w:line="312" w:lineRule="auto"/>
      <w:ind w:left="720" w:hanging="360"/>
      <w:contextualSpacing w:val="0"/>
    </w:pPr>
    <w:rPr>
      <w:b w:val="0"/>
      <w:szCs w:val="22"/>
      <w:lang w:val="en-US" w:eastAsia="en-US"/>
    </w:rPr>
  </w:style>
  <w:style w:type="paragraph" w:customStyle="1" w:styleId="CharChar113">
    <w:name w:val="Char Char113"/>
    <w:basedOn w:val="Normal"/>
    <w:rsid w:val="005150E5"/>
    <w:pPr>
      <w:spacing w:before="40" w:after="60" w:line="240" w:lineRule="exact"/>
      <w:contextualSpacing w:val="0"/>
    </w:pPr>
    <w:rPr>
      <w:rFonts w:ascii="Arial" w:hAnsi="Arial" w:cs="Arial"/>
      <w:b w:val="0"/>
      <w:sz w:val="20"/>
      <w:szCs w:val="20"/>
      <w:lang w:val="en-US" w:eastAsia="en-US"/>
    </w:rPr>
  </w:style>
  <w:style w:type="character" w:customStyle="1" w:styleId="CharChar163">
    <w:name w:val="Char Char163"/>
    <w:uiPriority w:val="99"/>
    <w:rsid w:val="005150E5"/>
    <w:rPr>
      <w:rFonts w:ascii="Times New Roman" w:hAnsi="Times New Roman"/>
      <w:b/>
      <w:sz w:val="20"/>
      <w:lang w:val="en-GB"/>
    </w:rPr>
  </w:style>
  <w:style w:type="character" w:customStyle="1" w:styleId="CharChar53">
    <w:name w:val="Char Char53"/>
    <w:uiPriority w:val="99"/>
    <w:rsid w:val="005150E5"/>
    <w:rPr>
      <w:rFonts w:ascii="Times New Roman" w:hAnsi="Times New Roman"/>
      <w:sz w:val="20"/>
      <w:lang w:val="en-GB"/>
    </w:rPr>
  </w:style>
  <w:style w:type="paragraph" w:customStyle="1" w:styleId="CharCharCharCharCharChar2">
    <w:name w:val="Char Char Char Char Char Char2"/>
    <w:basedOn w:val="Normal"/>
    <w:rsid w:val="005150E5"/>
    <w:pPr>
      <w:spacing w:before="40" w:after="60" w:line="240" w:lineRule="exact"/>
      <w:contextualSpacing w:val="0"/>
    </w:pPr>
    <w:rPr>
      <w:rFonts w:ascii="Arial" w:eastAsia="Calibri" w:hAnsi="Arial" w:cs="Arial"/>
      <w:b w:val="0"/>
      <w:sz w:val="20"/>
      <w:szCs w:val="20"/>
      <w:lang w:val="en-US" w:eastAsia="en-US"/>
    </w:rPr>
  </w:style>
  <w:style w:type="paragraph" w:customStyle="1" w:styleId="3b">
    <w:name w:val="Знак3"/>
    <w:basedOn w:val="Normal"/>
    <w:rsid w:val="005150E5"/>
    <w:pPr>
      <w:spacing w:before="40" w:after="60" w:line="240" w:lineRule="exact"/>
      <w:contextualSpacing w:val="0"/>
    </w:pPr>
    <w:rPr>
      <w:rFonts w:ascii="Arial" w:eastAsia="Calibri" w:hAnsi="Arial" w:cs="Arial"/>
      <w:b w:val="0"/>
      <w:sz w:val="20"/>
      <w:szCs w:val="20"/>
      <w:lang w:val="en-GB" w:eastAsia="en-US"/>
    </w:rPr>
  </w:style>
  <w:style w:type="paragraph" w:customStyle="1" w:styleId="BodyText11">
    <w:name w:val="Body Text11"/>
    <w:basedOn w:val="Normal"/>
    <w:rsid w:val="005150E5"/>
    <w:pPr>
      <w:tabs>
        <w:tab w:val="num" w:pos="0"/>
      </w:tabs>
      <w:spacing w:before="40" w:after="240" w:line="312" w:lineRule="auto"/>
      <w:contextualSpacing w:val="0"/>
    </w:pPr>
    <w:rPr>
      <w:rFonts w:ascii="Times Armenian" w:hAnsi="Times Armenian"/>
      <w:b w:val="0"/>
      <w:szCs w:val="22"/>
      <w:lang w:val="en-US"/>
    </w:rPr>
  </w:style>
  <w:style w:type="table" w:customStyle="1" w:styleId="LightList-Accent1113">
    <w:name w:val="Light List - Accent 1113"/>
    <w:basedOn w:val="TableNormal"/>
    <w:next w:val="LightList-Accent1"/>
    <w:uiPriority w:val="61"/>
    <w:rsid w:val="005150E5"/>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3">
    <w:name w:val="Table Grid 713"/>
    <w:basedOn w:val="TableNormal"/>
    <w:next w:val="TableGrid7"/>
    <w:rsid w:val="005150E5"/>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18">
    <w:name w:val="Colorful Grid - Accent 118"/>
    <w:basedOn w:val="TableNormal"/>
    <w:next w:val="ColorfulGrid-Accent1"/>
    <w:rsid w:val="005150E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8">
    <w:name w:val="Light List - Accent 518"/>
    <w:basedOn w:val="TableNormal"/>
    <w:next w:val="LightList-Accent5"/>
    <w:rsid w:val="005150E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3">
    <w:name w:val="Table Simple 313"/>
    <w:basedOn w:val="TableNormal"/>
    <w:next w:val="TableSimple3"/>
    <w:rsid w:val="005150E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3">
    <w:name w:val="Table Grid 513"/>
    <w:basedOn w:val="TableNormal"/>
    <w:next w:val="TableGrid5"/>
    <w:rsid w:val="005150E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3">
    <w:name w:val="Table Grid 313"/>
    <w:basedOn w:val="TableNormal"/>
    <w:next w:val="TableGrid3"/>
    <w:rsid w:val="005150E5"/>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30">
    <w:name w:val="Table Grid 113"/>
    <w:basedOn w:val="TableNormal"/>
    <w:next w:val="TableGrid10"/>
    <w:rsid w:val="005150E5"/>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3">
    <w:name w:val="Table Columns 513"/>
    <w:basedOn w:val="TableNormal"/>
    <w:next w:val="TableColumns5"/>
    <w:rsid w:val="005150E5"/>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190">
    <w:name w:val="Нет списка19"/>
    <w:next w:val="NoList"/>
    <w:semiHidden/>
    <w:unhideWhenUsed/>
    <w:rsid w:val="005150E5"/>
  </w:style>
  <w:style w:type="paragraph" w:customStyle="1" w:styleId="List1">
    <w:name w:val="List1"/>
    <w:basedOn w:val="BodyText"/>
    <w:next w:val="List"/>
    <w:rsid w:val="005150E5"/>
    <w:pPr>
      <w:suppressAutoHyphens/>
      <w:spacing w:before="40" w:after="120" w:line="288" w:lineRule="auto"/>
      <w:contextualSpacing w:val="0"/>
      <w:jc w:val="both"/>
    </w:pPr>
    <w:rPr>
      <w:rFonts w:ascii="GHEA Grapalat" w:hAnsi="GHEA Grapalat" w:cs="GHEA Grapalat"/>
      <w:b w:val="0"/>
      <w:kern w:val="1"/>
      <w:sz w:val="22"/>
      <w:szCs w:val="22"/>
      <w:lang w:val="en-US" w:eastAsia="en-US"/>
    </w:rPr>
  </w:style>
  <w:style w:type="character" w:customStyle="1" w:styleId="CharChar123">
    <w:name w:val="Char Char123"/>
    <w:rsid w:val="005150E5"/>
    <w:rPr>
      <w:sz w:val="22"/>
      <w:lang w:val="en-GB" w:eastAsia="en-US" w:bidi="ar-SA"/>
    </w:rPr>
  </w:style>
  <w:style w:type="paragraph" w:customStyle="1" w:styleId="IntenseQuote1">
    <w:name w:val="Intense Quote1"/>
    <w:basedOn w:val="Normal"/>
    <w:next w:val="Normal"/>
    <w:qFormat/>
    <w:rsid w:val="005150E5"/>
    <w:pPr>
      <w:pBdr>
        <w:bottom w:val="single" w:sz="4" w:space="1" w:color="auto"/>
      </w:pBdr>
      <w:spacing w:before="200" w:after="280" w:line="312" w:lineRule="auto"/>
      <w:ind w:left="1008" w:right="1152"/>
      <w:contextualSpacing w:val="0"/>
    </w:pPr>
    <w:rPr>
      <w:bCs/>
      <w:i/>
      <w:iCs/>
      <w:szCs w:val="22"/>
      <w:lang w:val="en-US" w:eastAsia="en-US"/>
    </w:rPr>
  </w:style>
  <w:style w:type="character" w:customStyle="1" w:styleId="CharChar213">
    <w:name w:val="Char Char213"/>
    <w:locked/>
    <w:rsid w:val="005150E5"/>
    <w:rPr>
      <w:sz w:val="22"/>
      <w:lang w:val="en-GB" w:eastAsia="en-US"/>
    </w:rPr>
  </w:style>
  <w:style w:type="character" w:customStyle="1" w:styleId="CharChar222">
    <w:name w:val="Char Char222"/>
    <w:rsid w:val="005150E5"/>
    <w:rPr>
      <w:rFonts w:cs="Times New Roman"/>
      <w:lang w:val="ru-RU" w:eastAsia="ru-RU" w:bidi="ar-SA"/>
    </w:rPr>
  </w:style>
  <w:style w:type="numbering" w:customStyle="1" w:styleId="NoList413">
    <w:name w:val="No List413"/>
    <w:next w:val="NoList"/>
    <w:semiHidden/>
    <w:rsid w:val="005150E5"/>
  </w:style>
  <w:style w:type="character" w:customStyle="1" w:styleId="CharChar182">
    <w:name w:val="Char Char182"/>
    <w:rsid w:val="005150E5"/>
    <w:rPr>
      <w:rFonts w:ascii="Arial Armenian" w:eastAsia="Times New Roman" w:hAnsi="Arial Armenian"/>
      <w:i/>
      <w:sz w:val="22"/>
      <w:u w:val="single"/>
      <w:lang w:val="en-GB"/>
    </w:rPr>
  </w:style>
  <w:style w:type="character" w:customStyle="1" w:styleId="CharChar192">
    <w:name w:val="Char Char192"/>
    <w:rsid w:val="005150E5"/>
    <w:rPr>
      <w:b/>
      <w:sz w:val="32"/>
      <w:lang w:val="en-GB" w:eastAsia="en-US" w:bidi="ar-SA"/>
    </w:rPr>
  </w:style>
  <w:style w:type="character" w:customStyle="1" w:styleId="CharChar202">
    <w:name w:val="Char Char202"/>
    <w:rsid w:val="005150E5"/>
    <w:rPr>
      <w:rFonts w:ascii="Garamond" w:hAnsi="Garamond"/>
      <w:i/>
      <w:spacing w:val="-5"/>
      <w:sz w:val="28"/>
      <w:lang w:val="en-GB" w:eastAsia="en-US" w:bidi="ar-SA"/>
    </w:rPr>
  </w:style>
  <w:style w:type="numbering" w:customStyle="1" w:styleId="NoList11115">
    <w:name w:val="No List11115"/>
    <w:next w:val="NoList"/>
    <w:semiHidden/>
    <w:unhideWhenUsed/>
    <w:rsid w:val="005150E5"/>
  </w:style>
  <w:style w:type="character" w:customStyle="1" w:styleId="CharChar172">
    <w:name w:val="Char Char172"/>
    <w:rsid w:val="005150E5"/>
    <w:rPr>
      <w:rFonts w:ascii="Arial Armenian" w:hAnsi="Arial Armenian"/>
      <w:i/>
      <w:sz w:val="22"/>
      <w:u w:val="single"/>
      <w:lang w:val="en-GB" w:eastAsia="en-US" w:bidi="ar-SA"/>
    </w:rPr>
  </w:style>
  <w:style w:type="character" w:customStyle="1" w:styleId="CharChar282">
    <w:name w:val="Char Char282"/>
    <w:rsid w:val="005150E5"/>
    <w:rPr>
      <w:rFonts w:ascii="Arial Armenian" w:hAnsi="Arial Armenian"/>
      <w:i/>
      <w:sz w:val="22"/>
      <w:u w:val="single"/>
      <w:lang w:val="en-GB"/>
    </w:rPr>
  </w:style>
  <w:style w:type="character" w:customStyle="1" w:styleId="CharChar272">
    <w:name w:val="Char Char272"/>
    <w:rsid w:val="005150E5"/>
    <w:rPr>
      <w:rFonts w:ascii="Garamond" w:hAnsi="Garamond"/>
      <w:i/>
      <w:spacing w:val="-5"/>
      <w:sz w:val="28"/>
      <w:shd w:val="pct5" w:color="auto" w:fill="auto"/>
      <w:lang w:val="en-GB"/>
    </w:rPr>
  </w:style>
  <w:style w:type="character" w:customStyle="1" w:styleId="CharChar262">
    <w:name w:val="Char Char262"/>
    <w:rsid w:val="005150E5"/>
    <w:rPr>
      <w:rFonts w:ascii="Arial Black" w:hAnsi="Arial Black"/>
      <w:caps/>
      <w:spacing w:val="60"/>
      <w:position w:val="4"/>
      <w:sz w:val="14"/>
      <w:lang w:val="en-GB"/>
    </w:rPr>
  </w:style>
  <w:style w:type="character" w:customStyle="1" w:styleId="CharChar252">
    <w:name w:val="Char Char252"/>
    <w:rsid w:val="005150E5"/>
    <w:rPr>
      <w:rFonts w:ascii="Garamond" w:hAnsi="Garamond"/>
      <w:b/>
      <w:i/>
      <w:kern w:val="28"/>
      <w:lang w:val="en-GB"/>
    </w:rPr>
  </w:style>
  <w:style w:type="character" w:customStyle="1" w:styleId="CharChar242">
    <w:name w:val="Char Char242"/>
    <w:rsid w:val="005150E5"/>
    <w:rPr>
      <w:rFonts w:ascii="Arial Armenian" w:hAnsi="Arial Armenian"/>
      <w:noProof/>
      <w:lang w:val="en-US" w:eastAsia="en-US" w:bidi="ar-SA"/>
    </w:rPr>
  </w:style>
  <w:style w:type="character" w:customStyle="1" w:styleId="CharChar232">
    <w:name w:val="Char Char232"/>
    <w:rsid w:val="005150E5"/>
    <w:rPr>
      <w:rFonts w:ascii="Arial Armenian" w:hAnsi="Arial Armenian"/>
      <w:lang w:val="en-GB" w:eastAsia="en-US" w:bidi="ar-SA"/>
    </w:rPr>
  </w:style>
  <w:style w:type="character" w:customStyle="1" w:styleId="CharChar312">
    <w:name w:val="Char Char312"/>
    <w:rsid w:val="005150E5"/>
    <w:rPr>
      <w:rFonts w:ascii="Arial Armenian" w:hAnsi="Arial Armenian"/>
      <w:noProof/>
      <w:lang w:val="en-US" w:eastAsia="en-US" w:bidi="ar-SA"/>
    </w:rPr>
  </w:style>
  <w:style w:type="table" w:customStyle="1" w:styleId="Table3Deffects313">
    <w:name w:val="Table 3D effects 313"/>
    <w:basedOn w:val="TableNormal"/>
    <w:next w:val="Table3Deffects3"/>
    <w:rsid w:val="005150E5"/>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z-TopofForm1">
    <w:name w:val="z-Top of Form1"/>
    <w:basedOn w:val="Normal"/>
    <w:next w:val="Normal"/>
    <w:hidden/>
    <w:uiPriority w:val="99"/>
    <w:unhideWhenUsed/>
    <w:rsid w:val="005150E5"/>
    <w:pPr>
      <w:pBdr>
        <w:bottom w:val="single" w:sz="6" w:space="1" w:color="auto"/>
      </w:pBdr>
      <w:spacing w:before="40" w:after="60" w:line="312" w:lineRule="auto"/>
      <w:contextualSpacing w:val="0"/>
      <w:jc w:val="center"/>
    </w:pPr>
    <w:rPr>
      <w:rFonts w:ascii="Arial" w:hAnsi="Arial"/>
      <w:b w:val="0"/>
      <w:vanish/>
      <w:sz w:val="16"/>
      <w:szCs w:val="16"/>
      <w:lang w:val="en-US" w:eastAsia="en-US"/>
    </w:rPr>
  </w:style>
  <w:style w:type="paragraph" w:customStyle="1" w:styleId="z-BottomofForm1">
    <w:name w:val="z-Bottom of Form1"/>
    <w:basedOn w:val="Normal"/>
    <w:next w:val="Normal"/>
    <w:hidden/>
    <w:uiPriority w:val="99"/>
    <w:unhideWhenUsed/>
    <w:rsid w:val="005150E5"/>
    <w:pPr>
      <w:pBdr>
        <w:top w:val="single" w:sz="6" w:space="1" w:color="auto"/>
      </w:pBdr>
      <w:spacing w:before="40" w:after="60" w:line="312" w:lineRule="auto"/>
      <w:contextualSpacing w:val="0"/>
      <w:jc w:val="center"/>
    </w:pPr>
    <w:rPr>
      <w:rFonts w:ascii="Arial" w:hAnsi="Arial"/>
      <w:b w:val="0"/>
      <w:vanish/>
      <w:sz w:val="16"/>
      <w:szCs w:val="16"/>
      <w:lang w:val="en-US" w:eastAsia="en-US"/>
    </w:rPr>
  </w:style>
  <w:style w:type="paragraph" w:customStyle="1" w:styleId="HTMLPreformatted1">
    <w:name w:val="HTML Preformatted1"/>
    <w:basedOn w:val="Normal"/>
    <w:next w:val="HTMLPreformatted"/>
    <w:uiPriority w:val="99"/>
    <w:unhideWhenUsed/>
    <w:rsid w:val="00515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60" w:line="312" w:lineRule="auto"/>
      <w:contextualSpacing w:val="0"/>
    </w:pPr>
    <w:rPr>
      <w:rFonts w:ascii="Arial Unicode" w:eastAsia="Calibri" w:hAnsi="Arial Unicode"/>
      <w:b w:val="0"/>
      <w:sz w:val="20"/>
      <w:szCs w:val="20"/>
      <w:lang w:val="en-US" w:eastAsia="en-US"/>
    </w:rPr>
  </w:style>
  <w:style w:type="numbering" w:customStyle="1" w:styleId="118">
    <w:name w:val="Нет списка118"/>
    <w:next w:val="NoList"/>
    <w:semiHidden/>
    <w:unhideWhenUsed/>
    <w:rsid w:val="005150E5"/>
  </w:style>
  <w:style w:type="character" w:customStyle="1" w:styleId="CharChar352">
    <w:name w:val="Char Char352"/>
    <w:rsid w:val="005150E5"/>
    <w:rPr>
      <w:rFonts w:ascii="Arial Armenian" w:hAnsi="Arial Armenian"/>
      <w:i/>
      <w:sz w:val="22"/>
      <w:u w:val="single"/>
      <w:lang w:val="en-GB"/>
    </w:rPr>
  </w:style>
  <w:style w:type="character" w:customStyle="1" w:styleId="CharChar342">
    <w:name w:val="Char Char342"/>
    <w:rsid w:val="005150E5"/>
    <w:rPr>
      <w:rFonts w:ascii="Garamond" w:hAnsi="Garamond"/>
      <w:i/>
      <w:spacing w:val="-5"/>
      <w:sz w:val="28"/>
      <w:shd w:val="pct5" w:color="auto" w:fill="auto"/>
      <w:lang w:val="en-GB"/>
    </w:rPr>
  </w:style>
  <w:style w:type="character" w:customStyle="1" w:styleId="CharChar332">
    <w:name w:val="Char Char332"/>
    <w:rsid w:val="005150E5"/>
    <w:rPr>
      <w:rFonts w:ascii="Arial Black" w:hAnsi="Arial Black"/>
      <w:caps/>
      <w:spacing w:val="60"/>
      <w:position w:val="4"/>
      <w:sz w:val="14"/>
      <w:lang w:val="en-GB"/>
    </w:rPr>
  </w:style>
  <w:style w:type="character" w:customStyle="1" w:styleId="CharChar322">
    <w:name w:val="Char Char322"/>
    <w:rsid w:val="005150E5"/>
    <w:rPr>
      <w:rFonts w:ascii="Garamond" w:hAnsi="Garamond"/>
      <w:b/>
      <w:i/>
      <w:kern w:val="28"/>
      <w:lang w:val="en-GB"/>
    </w:rPr>
  </w:style>
  <w:style w:type="character" w:customStyle="1" w:styleId="CharChar302">
    <w:name w:val="Char Char302"/>
    <w:rsid w:val="005150E5"/>
    <w:rPr>
      <w:rFonts w:ascii="Arial Armenian" w:hAnsi="Arial Armenian"/>
      <w:lang w:val="en-GB" w:eastAsia="en-US" w:bidi="ar-SA"/>
    </w:rPr>
  </w:style>
  <w:style w:type="character" w:customStyle="1" w:styleId="CharChar292">
    <w:name w:val="Char Char292"/>
    <w:rsid w:val="005150E5"/>
    <w:rPr>
      <w:rFonts w:ascii="Arial Armenian" w:hAnsi="Arial Armenian"/>
      <w:lang w:val="ru-RU" w:eastAsia="ru-RU" w:bidi="ar-SA"/>
    </w:rPr>
  </w:style>
  <w:style w:type="paragraph" w:customStyle="1" w:styleId="textbox">
    <w:name w:val="textbox"/>
    <w:basedOn w:val="Normal"/>
    <w:rsid w:val="005150E5"/>
    <w:pPr>
      <w:spacing w:before="40" w:after="60" w:line="160" w:lineRule="exact"/>
      <w:contextualSpacing w:val="0"/>
    </w:pPr>
    <w:rPr>
      <w:b w:val="0"/>
      <w:smallCaps/>
      <w:sz w:val="16"/>
      <w:szCs w:val="20"/>
      <w:lang w:val="hy-AM" w:eastAsia="en-US"/>
    </w:rPr>
  </w:style>
  <w:style w:type="character" w:customStyle="1" w:styleId="t121">
    <w:name w:val="t121"/>
    <w:rsid w:val="005150E5"/>
    <w:rPr>
      <w:b/>
      <w:bCs/>
      <w:color w:val="191970"/>
    </w:rPr>
  </w:style>
  <w:style w:type="character" w:customStyle="1" w:styleId="t61">
    <w:name w:val="t61"/>
    <w:rsid w:val="005150E5"/>
    <w:rPr>
      <w:b/>
      <w:bCs/>
      <w:color w:val="191970"/>
    </w:rPr>
  </w:style>
  <w:style w:type="table" w:customStyle="1" w:styleId="TableGrid115">
    <w:name w:val="Table Grid115"/>
    <w:basedOn w:val="TableNormal"/>
    <w:next w:val="TableGrid"/>
    <w:rsid w:val="005150E5"/>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CharCharCharCharCharCharCharChar4">
    <w:name w:val="Char Char Char Char Знак Char Знак Char Char Char Char Char Char Char Char Char Char4"/>
    <w:basedOn w:val="Normal"/>
    <w:rsid w:val="005150E5"/>
    <w:pPr>
      <w:tabs>
        <w:tab w:val="left" w:pos="709"/>
      </w:tabs>
      <w:spacing w:before="40" w:after="60" w:line="312" w:lineRule="auto"/>
      <w:contextualSpacing w:val="0"/>
    </w:pPr>
    <w:rPr>
      <w:rFonts w:ascii="Tahoma" w:hAnsi="Tahoma" w:cs="Tahoma"/>
      <w:b w:val="0"/>
      <w:szCs w:val="22"/>
      <w:lang w:val="pl-PL" w:eastAsia="pl-PL"/>
    </w:rPr>
  </w:style>
  <w:style w:type="character" w:customStyle="1" w:styleId="CharChar62">
    <w:name w:val="Char Char62"/>
    <w:locked/>
    <w:rsid w:val="005150E5"/>
    <w:rPr>
      <w:rFonts w:ascii="Times LatArm" w:eastAsia="Calibri" w:hAnsi="Times LatArm" w:cs="Times LatArm"/>
      <w:sz w:val="22"/>
      <w:szCs w:val="22"/>
      <w:lang w:val="en-GB" w:eastAsia="en-US" w:bidi="ar-SA"/>
    </w:rPr>
  </w:style>
  <w:style w:type="character" w:customStyle="1" w:styleId="CentredCharChar">
    <w:name w:val="Centred Char Char"/>
    <w:locked/>
    <w:rsid w:val="005150E5"/>
    <w:rPr>
      <w:rFonts w:eastAsia="Calibri"/>
      <w:b/>
      <w:bCs/>
      <w:i/>
      <w:iCs/>
      <w:sz w:val="24"/>
      <w:szCs w:val="24"/>
      <w:lang w:val="en-GB" w:eastAsia="en-US" w:bidi="ar-SA"/>
    </w:rPr>
  </w:style>
  <w:style w:type="character" w:customStyle="1" w:styleId="SideCharChar">
    <w:name w:val="Side Char Char"/>
    <w:locked/>
    <w:rsid w:val="005150E5"/>
    <w:rPr>
      <w:rFonts w:eastAsia="Calibri"/>
      <w:sz w:val="22"/>
      <w:szCs w:val="22"/>
      <w:lang w:val="en-GB" w:eastAsia="en-US" w:bidi="ar-SA"/>
    </w:rPr>
  </w:style>
  <w:style w:type="character" w:customStyle="1" w:styleId="CharChar80">
    <w:name w:val="Char Char8"/>
    <w:locked/>
    <w:rsid w:val="005150E5"/>
    <w:rPr>
      <w:rFonts w:ascii="Times Armenian" w:eastAsia="Calibri" w:hAnsi="Times Armenian" w:cs="Times Armenian"/>
      <w:color w:val="993300"/>
      <w:sz w:val="22"/>
      <w:szCs w:val="22"/>
      <w:lang w:val="hy-AM" w:eastAsia="en-US" w:bidi="ar-SA"/>
    </w:rPr>
  </w:style>
  <w:style w:type="character" w:customStyle="1" w:styleId="CharChar42">
    <w:name w:val="Char Char42"/>
    <w:locked/>
    <w:rsid w:val="005150E5"/>
    <w:rPr>
      <w:rFonts w:eastAsia="Calibri"/>
      <w:sz w:val="22"/>
      <w:szCs w:val="22"/>
      <w:lang w:val="en-GB" w:eastAsia="en-US" w:bidi="ar-SA"/>
    </w:rPr>
  </w:style>
  <w:style w:type="character" w:customStyle="1" w:styleId="CharChar38">
    <w:name w:val="Char Char38"/>
    <w:uiPriority w:val="99"/>
    <w:locked/>
    <w:rsid w:val="005150E5"/>
    <w:rPr>
      <w:rFonts w:eastAsia="Calibri"/>
      <w:sz w:val="22"/>
      <w:szCs w:val="22"/>
      <w:lang w:val="en-GB" w:eastAsia="en-US" w:bidi="ar-SA"/>
    </w:rPr>
  </w:style>
  <w:style w:type="character" w:customStyle="1" w:styleId="CharChar212">
    <w:name w:val="Char Char212"/>
    <w:locked/>
    <w:rsid w:val="005150E5"/>
    <w:rPr>
      <w:rFonts w:ascii="Times Armenian" w:eastAsia="Calibri" w:hAnsi="Times Armenian" w:cs="Times Armenian"/>
      <w:b/>
      <w:bCs/>
      <w:sz w:val="22"/>
      <w:szCs w:val="22"/>
      <w:lang w:val="en-US" w:eastAsia="en-US" w:bidi="ar-SA"/>
    </w:rPr>
  </w:style>
  <w:style w:type="numbering" w:customStyle="1" w:styleId="NoList56">
    <w:name w:val="No List56"/>
    <w:next w:val="NoList"/>
    <w:uiPriority w:val="99"/>
    <w:semiHidden/>
    <w:rsid w:val="005150E5"/>
  </w:style>
  <w:style w:type="numbering" w:customStyle="1" w:styleId="NoList63">
    <w:name w:val="No List63"/>
    <w:next w:val="NoList"/>
    <w:uiPriority w:val="99"/>
    <w:semiHidden/>
    <w:unhideWhenUsed/>
    <w:rsid w:val="005150E5"/>
  </w:style>
  <w:style w:type="table" w:customStyle="1" w:styleId="TableGrid210">
    <w:name w:val="Table Grid210"/>
    <w:basedOn w:val="TableNormal"/>
    <w:next w:val="TableGrid"/>
    <w:rsid w:val="005150E5"/>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mak">
    <w:name w:val="namak Знак"/>
    <w:link w:val="namak0"/>
    <w:locked/>
    <w:rsid w:val="005150E5"/>
    <w:rPr>
      <w:rFonts w:ascii="GHEA Grapalat" w:hAnsi="GHEA Grapalat"/>
      <w:spacing w:val="-4"/>
      <w:sz w:val="24"/>
      <w:szCs w:val="24"/>
    </w:rPr>
  </w:style>
  <w:style w:type="paragraph" w:customStyle="1" w:styleId="namak0">
    <w:name w:val="namak"/>
    <w:basedOn w:val="Normal"/>
    <w:link w:val="namak"/>
    <w:rsid w:val="005150E5"/>
    <w:pPr>
      <w:spacing w:before="40" w:after="60" w:line="400" w:lineRule="exact"/>
      <w:ind w:firstLine="397"/>
      <w:contextualSpacing w:val="0"/>
    </w:pPr>
    <w:rPr>
      <w:b w:val="0"/>
      <w:spacing w:val="-4"/>
      <w:sz w:val="24"/>
      <w:lang w:val="en-US" w:eastAsia="en-US"/>
    </w:rPr>
  </w:style>
  <w:style w:type="numbering" w:customStyle="1" w:styleId="NoList73">
    <w:name w:val="No List73"/>
    <w:next w:val="NoList"/>
    <w:uiPriority w:val="99"/>
    <w:semiHidden/>
    <w:unhideWhenUsed/>
    <w:rsid w:val="005150E5"/>
  </w:style>
  <w:style w:type="numbering" w:customStyle="1" w:styleId="NoList1210">
    <w:name w:val="No List1210"/>
    <w:next w:val="NoList"/>
    <w:uiPriority w:val="99"/>
    <w:semiHidden/>
    <w:unhideWhenUsed/>
    <w:rsid w:val="005150E5"/>
  </w:style>
  <w:style w:type="table" w:customStyle="1" w:styleId="TableGrid330">
    <w:name w:val="Table Grid33"/>
    <w:basedOn w:val="TableNormal"/>
    <w:next w:val="TableGrid"/>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3">
    <w:name w:val="Colorful Grid - Accent 123"/>
    <w:basedOn w:val="TableNormal"/>
    <w:next w:val="ColorfulGrid-Accent1"/>
    <w:uiPriority w:val="73"/>
    <w:rsid w:val="005150E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3">
    <w:name w:val="Light List - Accent 523"/>
    <w:basedOn w:val="TableNormal"/>
    <w:next w:val="LightList-Accent5"/>
    <w:uiPriority w:val="61"/>
    <w:rsid w:val="005150E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harChar5CharCharCharCharCharChar2">
    <w:name w:val="Char Char5 Char Char Char Char Char Char2"/>
    <w:basedOn w:val="Normal"/>
    <w:rsid w:val="005150E5"/>
    <w:pPr>
      <w:tabs>
        <w:tab w:val="left" w:pos="709"/>
      </w:tabs>
      <w:spacing w:before="40" w:after="60" w:line="312" w:lineRule="auto"/>
      <w:contextualSpacing w:val="0"/>
    </w:pPr>
    <w:rPr>
      <w:rFonts w:ascii="Tahoma" w:hAnsi="Tahoma"/>
      <w:b w:val="0"/>
      <w:szCs w:val="22"/>
      <w:lang w:val="pl-PL" w:eastAsia="pl-PL"/>
    </w:rPr>
  </w:style>
  <w:style w:type="paragraph" w:customStyle="1" w:styleId="CharChar5CharCharCharChar2">
    <w:name w:val="Char Char5 Char Char Char Char2"/>
    <w:basedOn w:val="Normal"/>
    <w:rsid w:val="005150E5"/>
    <w:pPr>
      <w:tabs>
        <w:tab w:val="left" w:pos="709"/>
      </w:tabs>
      <w:spacing w:before="40" w:after="60" w:line="312" w:lineRule="auto"/>
      <w:contextualSpacing w:val="0"/>
    </w:pPr>
    <w:rPr>
      <w:rFonts w:ascii="Tahoma" w:hAnsi="Tahoma"/>
      <w:b w:val="0"/>
      <w:szCs w:val="22"/>
      <w:lang w:val="pl-PL" w:eastAsia="pl-PL"/>
    </w:rPr>
  </w:style>
  <w:style w:type="paragraph" w:customStyle="1" w:styleId="CharChar5CharChar2">
    <w:name w:val="Char Char5 Char Char2"/>
    <w:basedOn w:val="Normal"/>
    <w:rsid w:val="005150E5"/>
    <w:pPr>
      <w:tabs>
        <w:tab w:val="left" w:pos="709"/>
      </w:tabs>
      <w:spacing w:before="40" w:after="60" w:line="312" w:lineRule="auto"/>
      <w:contextualSpacing w:val="0"/>
    </w:pPr>
    <w:rPr>
      <w:rFonts w:ascii="Tahoma" w:hAnsi="Tahoma"/>
      <w:b w:val="0"/>
      <w:szCs w:val="22"/>
      <w:lang w:val="pl-PL" w:eastAsia="pl-PL"/>
    </w:rPr>
  </w:style>
  <w:style w:type="numbering" w:customStyle="1" w:styleId="NoList83">
    <w:name w:val="No List83"/>
    <w:next w:val="NoList"/>
    <w:uiPriority w:val="99"/>
    <w:semiHidden/>
    <w:unhideWhenUsed/>
    <w:rsid w:val="005150E5"/>
  </w:style>
  <w:style w:type="numbering" w:customStyle="1" w:styleId="123">
    <w:name w:val="Нет списка123"/>
    <w:next w:val="NoList"/>
    <w:semiHidden/>
    <w:unhideWhenUsed/>
    <w:rsid w:val="005150E5"/>
  </w:style>
  <w:style w:type="numbering" w:customStyle="1" w:styleId="NoList133">
    <w:name w:val="No List133"/>
    <w:next w:val="NoList"/>
    <w:semiHidden/>
    <w:unhideWhenUsed/>
    <w:rsid w:val="005150E5"/>
  </w:style>
  <w:style w:type="numbering" w:customStyle="1" w:styleId="NoList217">
    <w:name w:val="No List217"/>
    <w:next w:val="NoList"/>
    <w:semiHidden/>
    <w:unhideWhenUsed/>
    <w:rsid w:val="005150E5"/>
  </w:style>
  <w:style w:type="numbering" w:customStyle="1" w:styleId="NoList316">
    <w:name w:val="No List316"/>
    <w:next w:val="NoList"/>
    <w:semiHidden/>
    <w:unhideWhenUsed/>
    <w:rsid w:val="005150E5"/>
  </w:style>
  <w:style w:type="numbering" w:customStyle="1" w:styleId="1113">
    <w:name w:val="Нет списка1113"/>
    <w:next w:val="NoList"/>
    <w:semiHidden/>
    <w:unhideWhenUsed/>
    <w:rsid w:val="005150E5"/>
  </w:style>
  <w:style w:type="numbering" w:customStyle="1" w:styleId="NoList414">
    <w:name w:val="No List414"/>
    <w:next w:val="NoList"/>
    <w:semiHidden/>
    <w:rsid w:val="005150E5"/>
  </w:style>
  <w:style w:type="numbering" w:customStyle="1" w:styleId="NoList11116">
    <w:name w:val="No List11116"/>
    <w:next w:val="NoList"/>
    <w:semiHidden/>
    <w:unhideWhenUsed/>
    <w:rsid w:val="005150E5"/>
  </w:style>
  <w:style w:type="numbering" w:customStyle="1" w:styleId="11112">
    <w:name w:val="Нет списка11112"/>
    <w:next w:val="NoList"/>
    <w:semiHidden/>
    <w:unhideWhenUsed/>
    <w:rsid w:val="005150E5"/>
  </w:style>
  <w:style w:type="numbering" w:customStyle="1" w:styleId="NoList93">
    <w:name w:val="No List93"/>
    <w:next w:val="NoList"/>
    <w:uiPriority w:val="99"/>
    <w:semiHidden/>
    <w:unhideWhenUsed/>
    <w:rsid w:val="005150E5"/>
  </w:style>
  <w:style w:type="character" w:customStyle="1" w:styleId="newstext">
    <w:name w:val="news_text"/>
    <w:rsid w:val="005150E5"/>
  </w:style>
  <w:style w:type="table" w:customStyle="1" w:styleId="TableGrid43">
    <w:name w:val="Table Grid43"/>
    <w:basedOn w:val="TableNormal"/>
    <w:next w:val="TableGrid"/>
    <w:rsid w:val="005150E5"/>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link w:val="Default"/>
    <w:locked/>
    <w:rsid w:val="005150E5"/>
    <w:rPr>
      <w:rFonts w:ascii="Sylfaen" w:hAnsi="Sylfaen" w:cs="Sylfaen"/>
      <w:color w:val="000000"/>
      <w:sz w:val="24"/>
      <w:szCs w:val="24"/>
    </w:rPr>
  </w:style>
  <w:style w:type="table" w:customStyle="1" w:styleId="GridTable1Light-Accent51">
    <w:name w:val="Grid Table 1 Light - Accent 51"/>
    <w:basedOn w:val="TableNormal"/>
    <w:uiPriority w:val="46"/>
    <w:rsid w:val="005150E5"/>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
    <w:name w:val="Plain Table 31"/>
    <w:basedOn w:val="TableNormal"/>
    <w:uiPriority w:val="43"/>
    <w:rsid w:val="005150E5"/>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1">
    <w:name w:val="Grid Table 4 - Accent 111"/>
    <w:basedOn w:val="TableNormal"/>
    <w:uiPriority w:val="49"/>
    <w:rsid w:val="005150E5"/>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lid-translation">
    <w:name w:val="tlid-translation"/>
    <w:rsid w:val="005150E5"/>
  </w:style>
  <w:style w:type="numbering" w:customStyle="1" w:styleId="NoList103">
    <w:name w:val="No List103"/>
    <w:next w:val="NoList"/>
    <w:uiPriority w:val="99"/>
    <w:semiHidden/>
    <w:unhideWhenUsed/>
    <w:rsid w:val="005150E5"/>
  </w:style>
  <w:style w:type="table" w:customStyle="1" w:styleId="TableGrid530">
    <w:name w:val="Table Grid53"/>
    <w:basedOn w:val="TableNormal"/>
    <w:next w:val="TableGrid"/>
    <w:uiPriority w:val="39"/>
    <w:rsid w:val="005150E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12">
    <w:name w:val="Table List 7112"/>
    <w:basedOn w:val="TableNormal"/>
    <w:next w:val="TableList7"/>
    <w:rsid w:val="005150E5"/>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2">
    <w:name w:val="Table Web 3112"/>
    <w:basedOn w:val="TableNormal"/>
    <w:next w:val="TableWeb3"/>
    <w:rsid w:val="005150E5"/>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2">
    <w:name w:val="Table Elegant112"/>
    <w:basedOn w:val="TableNormal"/>
    <w:next w:val="TableElegant"/>
    <w:rsid w:val="005150E5"/>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3">
    <w:name w:val="Table Web 223"/>
    <w:basedOn w:val="TableNormal"/>
    <w:next w:val="TableWeb2"/>
    <w:rsid w:val="005150E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3">
    <w:name w:val="Table Web 123"/>
    <w:basedOn w:val="TableNormal"/>
    <w:next w:val="TableWeb1"/>
    <w:rsid w:val="005150E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3">
    <w:name w:val="Table Grid 823"/>
    <w:basedOn w:val="TableNormal"/>
    <w:next w:val="TableGrid8"/>
    <w:rsid w:val="005150E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3">
    <w:name w:val="Table Contemporary23"/>
    <w:basedOn w:val="TableNormal"/>
    <w:next w:val="TableContemporary"/>
    <w:rsid w:val="005150E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3">
    <w:name w:val="No List143"/>
    <w:next w:val="NoList"/>
    <w:semiHidden/>
    <w:unhideWhenUsed/>
    <w:rsid w:val="005150E5"/>
  </w:style>
  <w:style w:type="numbering" w:customStyle="1" w:styleId="NoList223">
    <w:name w:val="No List223"/>
    <w:next w:val="NoList"/>
    <w:semiHidden/>
    <w:unhideWhenUsed/>
    <w:rsid w:val="005150E5"/>
  </w:style>
  <w:style w:type="numbering" w:customStyle="1" w:styleId="NoList323">
    <w:name w:val="No List323"/>
    <w:next w:val="NoList"/>
    <w:semiHidden/>
    <w:unhideWhenUsed/>
    <w:rsid w:val="005150E5"/>
  </w:style>
  <w:style w:type="table" w:customStyle="1" w:styleId="LightList-Accent126">
    <w:name w:val="Light List - Accent 126"/>
    <w:basedOn w:val="TableNormal"/>
    <w:uiPriority w:val="61"/>
    <w:rsid w:val="005150E5"/>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2">
    <w:name w:val="Table Grid 7112"/>
    <w:basedOn w:val="TableNormal"/>
    <w:next w:val="TableGrid7"/>
    <w:rsid w:val="005150E5"/>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3">
    <w:name w:val="Colorful Grid - Accent 133"/>
    <w:basedOn w:val="TableNormal"/>
    <w:next w:val="ColorfulGrid-Accent1"/>
    <w:uiPriority w:val="73"/>
    <w:rsid w:val="005150E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3">
    <w:name w:val="Light List - Accent 533"/>
    <w:basedOn w:val="TableNormal"/>
    <w:next w:val="LightList-Accent5"/>
    <w:uiPriority w:val="61"/>
    <w:rsid w:val="005150E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2">
    <w:name w:val="Table Simple 3112"/>
    <w:basedOn w:val="TableNormal"/>
    <w:next w:val="TableSimple3"/>
    <w:rsid w:val="005150E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2">
    <w:name w:val="Table Grid 5112"/>
    <w:basedOn w:val="TableNormal"/>
    <w:next w:val="TableGrid5"/>
    <w:rsid w:val="005150E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2">
    <w:name w:val="Table Grid 3112"/>
    <w:basedOn w:val="TableNormal"/>
    <w:next w:val="TableGrid3"/>
    <w:rsid w:val="005150E5"/>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2">
    <w:name w:val="Table Grid 1112"/>
    <w:basedOn w:val="TableNormal"/>
    <w:next w:val="TableGrid10"/>
    <w:rsid w:val="005150E5"/>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2">
    <w:name w:val="Table Columns 5112"/>
    <w:basedOn w:val="TableNormal"/>
    <w:next w:val="TableColumns5"/>
    <w:rsid w:val="005150E5"/>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4">
    <w:name w:val="Light List - Accent 1114"/>
    <w:basedOn w:val="TableNormal"/>
    <w:uiPriority w:val="61"/>
    <w:rsid w:val="005150E5"/>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30">
    <w:name w:val="Нет списка133"/>
    <w:next w:val="NoList"/>
    <w:semiHidden/>
    <w:unhideWhenUsed/>
    <w:rsid w:val="005150E5"/>
  </w:style>
  <w:style w:type="table" w:customStyle="1" w:styleId="ColorfulGrid-Accent1113">
    <w:name w:val="Colorful Grid - Accent 1113"/>
    <w:basedOn w:val="TableNormal"/>
    <w:rsid w:val="005150E5"/>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3">
    <w:name w:val="Light List - Accent 5113"/>
    <w:basedOn w:val="TableNormal"/>
    <w:rsid w:val="005150E5"/>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3">
    <w:name w:val="No List423"/>
    <w:next w:val="NoList"/>
    <w:semiHidden/>
    <w:rsid w:val="005150E5"/>
  </w:style>
  <w:style w:type="numbering" w:customStyle="1" w:styleId="NoList1125">
    <w:name w:val="No List1125"/>
    <w:next w:val="NoList"/>
    <w:semiHidden/>
    <w:unhideWhenUsed/>
    <w:rsid w:val="005150E5"/>
  </w:style>
  <w:style w:type="table" w:customStyle="1" w:styleId="Table3Deffects3112">
    <w:name w:val="Table 3D effects 3112"/>
    <w:basedOn w:val="TableNormal"/>
    <w:next w:val="Table3Deffects3"/>
    <w:rsid w:val="005150E5"/>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3">
    <w:name w:val="Нет списка1123"/>
    <w:next w:val="NoList"/>
    <w:semiHidden/>
    <w:unhideWhenUsed/>
    <w:rsid w:val="005150E5"/>
  </w:style>
  <w:style w:type="table" w:customStyle="1" w:styleId="TableGrid11120">
    <w:name w:val="Table Grid1112"/>
    <w:basedOn w:val="TableNormal"/>
    <w:next w:val="TableGrid"/>
    <w:uiPriority w:val="39"/>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3">
    <w:name w:val="No List513"/>
    <w:next w:val="NoList"/>
    <w:uiPriority w:val="99"/>
    <w:semiHidden/>
    <w:rsid w:val="005150E5"/>
  </w:style>
  <w:style w:type="numbering" w:customStyle="1" w:styleId="NoList612">
    <w:name w:val="No List612"/>
    <w:next w:val="NoList"/>
    <w:uiPriority w:val="99"/>
    <w:semiHidden/>
    <w:unhideWhenUsed/>
    <w:rsid w:val="005150E5"/>
  </w:style>
  <w:style w:type="table" w:customStyle="1" w:styleId="TableGrid213">
    <w:name w:val="Table Grid213"/>
    <w:basedOn w:val="TableNormal"/>
    <w:next w:val="TableGrid"/>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2">
    <w:name w:val="No List712"/>
    <w:next w:val="NoList"/>
    <w:uiPriority w:val="99"/>
    <w:semiHidden/>
    <w:unhideWhenUsed/>
    <w:rsid w:val="005150E5"/>
  </w:style>
  <w:style w:type="numbering" w:customStyle="1" w:styleId="NoList1213">
    <w:name w:val="No List1213"/>
    <w:next w:val="NoList"/>
    <w:uiPriority w:val="99"/>
    <w:semiHidden/>
    <w:unhideWhenUsed/>
    <w:rsid w:val="005150E5"/>
  </w:style>
  <w:style w:type="table" w:customStyle="1" w:styleId="TableGrid3120">
    <w:name w:val="Table Grid312"/>
    <w:basedOn w:val="TableNormal"/>
    <w:next w:val="TableGrid"/>
    <w:rsid w:val="005150E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2">
    <w:name w:val="Table Web 2112"/>
    <w:basedOn w:val="TableNormal"/>
    <w:next w:val="TableWeb2"/>
    <w:rsid w:val="005150E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2">
    <w:name w:val="Table Web 1112"/>
    <w:basedOn w:val="TableNormal"/>
    <w:next w:val="TableWeb1"/>
    <w:rsid w:val="005150E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2">
    <w:name w:val="Table Grid 8112"/>
    <w:basedOn w:val="TableNormal"/>
    <w:next w:val="TableGrid8"/>
    <w:rsid w:val="005150E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2">
    <w:name w:val="Table Contemporary112"/>
    <w:basedOn w:val="TableNormal"/>
    <w:next w:val="TableContemporary"/>
    <w:rsid w:val="005150E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2">
    <w:name w:val="Colorful Grid - Accent 1212"/>
    <w:basedOn w:val="TableNormal"/>
    <w:next w:val="ColorfulGrid-Accent1"/>
    <w:uiPriority w:val="73"/>
    <w:rsid w:val="005150E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2">
    <w:name w:val="Light List - Accent 5212"/>
    <w:basedOn w:val="TableNormal"/>
    <w:next w:val="LightList-Accent5"/>
    <w:uiPriority w:val="61"/>
    <w:rsid w:val="005150E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2">
    <w:name w:val="No List812"/>
    <w:next w:val="NoList"/>
    <w:uiPriority w:val="99"/>
    <w:semiHidden/>
    <w:unhideWhenUsed/>
    <w:rsid w:val="005150E5"/>
  </w:style>
  <w:style w:type="numbering" w:customStyle="1" w:styleId="1212">
    <w:name w:val="Нет списка1212"/>
    <w:next w:val="NoList"/>
    <w:semiHidden/>
    <w:unhideWhenUsed/>
    <w:rsid w:val="005150E5"/>
  </w:style>
  <w:style w:type="numbering" w:customStyle="1" w:styleId="NoList1312">
    <w:name w:val="No List1312"/>
    <w:next w:val="NoList"/>
    <w:semiHidden/>
    <w:unhideWhenUsed/>
    <w:rsid w:val="005150E5"/>
  </w:style>
  <w:style w:type="numbering" w:customStyle="1" w:styleId="NoList2113">
    <w:name w:val="No List2113"/>
    <w:next w:val="NoList"/>
    <w:semiHidden/>
    <w:unhideWhenUsed/>
    <w:rsid w:val="005150E5"/>
  </w:style>
  <w:style w:type="numbering" w:customStyle="1" w:styleId="NoList3113">
    <w:name w:val="No List3113"/>
    <w:next w:val="NoList"/>
    <w:semiHidden/>
    <w:unhideWhenUsed/>
    <w:rsid w:val="005150E5"/>
  </w:style>
  <w:style w:type="numbering" w:customStyle="1" w:styleId="11121">
    <w:name w:val="Нет списка11121"/>
    <w:next w:val="NoList"/>
    <w:semiHidden/>
    <w:unhideWhenUsed/>
    <w:rsid w:val="005150E5"/>
  </w:style>
  <w:style w:type="numbering" w:customStyle="1" w:styleId="NoList4112">
    <w:name w:val="No List4112"/>
    <w:next w:val="NoList"/>
    <w:semiHidden/>
    <w:rsid w:val="005150E5"/>
  </w:style>
  <w:style w:type="numbering" w:customStyle="1" w:styleId="NoList111113">
    <w:name w:val="No List111113"/>
    <w:next w:val="NoList"/>
    <w:semiHidden/>
    <w:unhideWhenUsed/>
    <w:rsid w:val="005150E5"/>
  </w:style>
  <w:style w:type="numbering" w:customStyle="1" w:styleId="111111">
    <w:name w:val="Нет списка111111"/>
    <w:next w:val="NoList"/>
    <w:semiHidden/>
    <w:unhideWhenUsed/>
    <w:rsid w:val="005150E5"/>
  </w:style>
  <w:style w:type="paragraph" w:customStyle="1" w:styleId="CharChar37">
    <w:name w:val="Char Char37"/>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BodyText23">
    <w:name w:val="Body Text2"/>
    <w:basedOn w:val="Normal"/>
    <w:rsid w:val="005150E5"/>
    <w:pPr>
      <w:tabs>
        <w:tab w:val="num" w:pos="0"/>
      </w:tabs>
      <w:spacing w:before="0" w:after="240" w:line="240" w:lineRule="auto"/>
      <w:ind w:firstLine="0"/>
      <w:contextualSpacing w:val="0"/>
    </w:pPr>
    <w:rPr>
      <w:rFonts w:ascii="Times Armenian" w:hAnsi="Times Armenian"/>
      <w:b w:val="0"/>
      <w:sz w:val="24"/>
      <w:lang w:val="en-US"/>
    </w:rPr>
  </w:style>
  <w:style w:type="paragraph" w:customStyle="1" w:styleId="Znak2">
    <w:name w:val="Znak2"/>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paragraph" w:customStyle="1" w:styleId="CharCharCharCharCharCharCharChar2">
    <w:name w:val="Char Char Char Char Char Char Char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CharCharCharCharCharCharCharCharCharCharCharChar5">
    <w:name w:val="Char Char Char Char Знак Char Знак Char Char Char Char Char Char Char Char Char Char5"/>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paragraph" w:customStyle="1" w:styleId="CharCharCharCharCharCharChar2">
    <w:name w:val="Char Char Char Char Char Char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character" w:customStyle="1" w:styleId="Char2">
    <w:name w:val="Знак Знак Char2"/>
    <w:link w:val="5"/>
    <w:rsid w:val="005150E5"/>
    <w:rPr>
      <w:rFonts w:ascii="Arial" w:hAnsi="Arial" w:cs="Arial"/>
      <w:b/>
    </w:rPr>
  </w:style>
  <w:style w:type="paragraph" w:customStyle="1" w:styleId="CharCharCharCharCharCharCharCharCharChar2">
    <w:name w:val="Char Char Char Char Char Char Char Char Char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CharCharCharCharCharCharCharCharCharChar2">
    <w:name w:val="Char Char Char Char Char Char Char Char Char Char Char Char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1CharChar2">
    <w:name w:val="Знак Знак1 Char Char Знак Знак2"/>
    <w:basedOn w:val="Normal"/>
    <w:rsid w:val="005150E5"/>
    <w:pPr>
      <w:tabs>
        <w:tab w:val="num" w:pos="840"/>
      </w:tabs>
      <w:spacing w:before="0" w:after="160" w:line="240" w:lineRule="exact"/>
      <w:ind w:left="840" w:hanging="360"/>
      <w:contextualSpacing w:val="0"/>
    </w:pPr>
    <w:rPr>
      <w:rFonts w:ascii="Verdana" w:hAnsi="Verdana"/>
      <w:b w:val="0"/>
      <w:sz w:val="20"/>
      <w:szCs w:val="20"/>
      <w:lang w:eastAsia="en-US"/>
    </w:rPr>
  </w:style>
  <w:style w:type="paragraph" w:customStyle="1" w:styleId="CharCharCharChar2">
    <w:name w:val="Знак Знак Char Char Знак Знак Char Char Знак Знак2"/>
    <w:basedOn w:val="Normal"/>
    <w:autoRedefine/>
    <w:rsid w:val="005150E5"/>
    <w:pPr>
      <w:spacing w:before="0" w:after="160" w:line="240" w:lineRule="exact"/>
      <w:ind w:firstLine="0"/>
      <w:contextualSpacing w:val="0"/>
      <w:jc w:val="left"/>
    </w:pPr>
    <w:rPr>
      <w:rFonts w:ascii="Times New Roman" w:hAnsi="Times New Roman"/>
      <w:b w:val="0"/>
      <w:sz w:val="28"/>
      <w:szCs w:val="20"/>
      <w:lang w:val="en-US" w:eastAsia="en-US"/>
    </w:rPr>
  </w:style>
  <w:style w:type="paragraph" w:customStyle="1" w:styleId="Char21">
    <w:name w:val="Знак Знак Знак Знак Знак Знак Знак Знак Знак Знак Знак Знак Знак Знак Знак Знак Знак Знак Char Знак Знак2"/>
    <w:basedOn w:val="Normal"/>
    <w:autoRedefine/>
    <w:rsid w:val="005150E5"/>
    <w:pPr>
      <w:spacing w:before="0" w:after="160" w:line="240" w:lineRule="exact"/>
      <w:ind w:firstLine="0"/>
      <w:contextualSpacing w:val="0"/>
      <w:jc w:val="left"/>
    </w:pPr>
    <w:rPr>
      <w:rFonts w:ascii="Times New Roman" w:hAnsi="Times New Roman"/>
      <w:b w:val="0"/>
      <w:sz w:val="28"/>
      <w:szCs w:val="20"/>
      <w:lang w:val="en-US" w:eastAsia="en-US"/>
    </w:rPr>
  </w:style>
  <w:style w:type="paragraph" w:customStyle="1" w:styleId="CharCharChar21">
    <w:name w:val="Char Char Char Знак2"/>
    <w:basedOn w:val="Normal"/>
    <w:next w:val="Normal"/>
    <w:rsid w:val="005150E5"/>
    <w:pPr>
      <w:spacing w:before="0" w:after="160" w:line="240" w:lineRule="exact"/>
      <w:ind w:firstLine="0"/>
      <w:contextualSpacing w:val="0"/>
      <w:jc w:val="left"/>
    </w:pPr>
    <w:rPr>
      <w:rFonts w:ascii="Tahoma" w:hAnsi="Tahoma"/>
      <w:b w:val="0"/>
      <w:sz w:val="24"/>
      <w:szCs w:val="20"/>
      <w:lang w:val="en-US" w:eastAsia="en-US"/>
    </w:rPr>
  </w:style>
  <w:style w:type="paragraph" w:customStyle="1" w:styleId="CharCharChar1Char2">
    <w:name w:val="Char Char Char1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124">
    <w:name w:val="Знак Знак12"/>
    <w:basedOn w:val="Normal"/>
    <w:rsid w:val="005150E5"/>
    <w:pPr>
      <w:spacing w:before="0" w:after="160" w:line="240" w:lineRule="exact"/>
      <w:ind w:firstLine="0"/>
      <w:contextualSpacing w:val="0"/>
      <w:jc w:val="left"/>
    </w:pPr>
    <w:rPr>
      <w:rFonts w:ascii="Arial" w:eastAsia="MS Mincho" w:hAnsi="Arial" w:cs="Arial"/>
      <w:b w:val="0"/>
      <w:sz w:val="20"/>
      <w:szCs w:val="20"/>
      <w:lang w:val="en-US" w:eastAsia="en-US"/>
    </w:rPr>
  </w:style>
  <w:style w:type="paragraph" w:customStyle="1" w:styleId="CharChar1CharCharChar1Char2">
    <w:name w:val="Char Char1 Char Char Char1 Char2"/>
    <w:basedOn w:val="Normal"/>
    <w:autoRedefine/>
    <w:rsid w:val="005150E5"/>
    <w:pPr>
      <w:spacing w:before="0" w:line="240" w:lineRule="auto"/>
      <w:ind w:firstLine="0"/>
      <w:contextualSpacing w:val="0"/>
      <w:jc w:val="left"/>
    </w:pPr>
    <w:rPr>
      <w:rFonts w:ascii="Times New Roman" w:eastAsia="SimSun" w:hAnsi="Times New Roman"/>
      <w:b w:val="0"/>
      <w:sz w:val="20"/>
      <w:szCs w:val="20"/>
      <w:lang w:val="en-US"/>
    </w:rPr>
  </w:style>
  <w:style w:type="paragraph" w:customStyle="1" w:styleId="420">
    <w:name w:val="Знак Знак42"/>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paragraph" w:customStyle="1" w:styleId="Char22">
    <w:name w:val="Знак Char Знак2"/>
    <w:basedOn w:val="Normal"/>
    <w:rsid w:val="005150E5"/>
    <w:pPr>
      <w:spacing w:before="0" w:after="160" w:line="240" w:lineRule="exact"/>
      <w:ind w:firstLine="0"/>
      <w:contextualSpacing w:val="0"/>
      <w:jc w:val="left"/>
    </w:pPr>
    <w:rPr>
      <w:rFonts w:ascii="Arial" w:eastAsia="Batang" w:hAnsi="Arial" w:cs="Arial"/>
      <w:b w:val="0"/>
      <w:sz w:val="20"/>
      <w:szCs w:val="20"/>
      <w:lang w:val="en-US" w:eastAsia="en-US"/>
    </w:rPr>
  </w:style>
  <w:style w:type="paragraph" w:customStyle="1" w:styleId="CharCharCharCharCharChar20">
    <w:name w:val="Знак Знак Char Char Знак Знак Char Char Знак Знак Char Char2"/>
    <w:basedOn w:val="Normal"/>
    <w:autoRedefine/>
    <w:rsid w:val="005150E5"/>
    <w:pPr>
      <w:spacing w:before="0" w:after="160" w:line="240" w:lineRule="exact"/>
      <w:ind w:firstLine="0"/>
      <w:contextualSpacing w:val="0"/>
      <w:jc w:val="left"/>
    </w:pPr>
    <w:rPr>
      <w:rFonts w:ascii="Times New Roman" w:hAnsi="Times New Roman"/>
      <w:b w:val="0"/>
      <w:sz w:val="28"/>
      <w:szCs w:val="20"/>
      <w:lang w:val="en-US" w:eastAsia="en-US"/>
    </w:rPr>
  </w:style>
  <w:style w:type="paragraph" w:customStyle="1" w:styleId="220">
    <w:name w:val="Знак Знак2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CharChar20">
    <w:name w:val="Char Char Char Char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character" w:customStyle="1" w:styleId="CharChar52">
    <w:name w:val="Char Char52"/>
    <w:rsid w:val="005150E5"/>
    <w:rPr>
      <w:rFonts w:ascii="Arial Armenian" w:hAnsi="Arial Armenian" w:cs="Sylfaen"/>
      <w:sz w:val="24"/>
      <w:szCs w:val="24"/>
      <w:lang w:val="ru-RU" w:eastAsia="ru-RU"/>
    </w:rPr>
  </w:style>
  <w:style w:type="paragraph" w:customStyle="1" w:styleId="CharCharCharCharCharChar10">
    <w:name w:val="Char Char Char Char Char Char1"/>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1100">
    <w:name w:val="Char Char110"/>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2d">
    <w:name w:val="Знак2"/>
    <w:basedOn w:val="Normal"/>
    <w:rsid w:val="005150E5"/>
    <w:pPr>
      <w:spacing w:before="0" w:after="160" w:line="240" w:lineRule="exact"/>
      <w:ind w:firstLine="0"/>
      <w:contextualSpacing w:val="0"/>
      <w:jc w:val="left"/>
    </w:pPr>
    <w:rPr>
      <w:rFonts w:ascii="Arial" w:hAnsi="Arial" w:cs="Arial"/>
      <w:b w:val="0"/>
      <w:sz w:val="20"/>
      <w:szCs w:val="20"/>
      <w:lang w:val="en-GB" w:eastAsia="en-US"/>
    </w:rPr>
  </w:style>
  <w:style w:type="character" w:customStyle="1" w:styleId="CharChar281">
    <w:name w:val="Char Char281"/>
    <w:rsid w:val="005150E5"/>
    <w:rPr>
      <w:rFonts w:ascii="Arial Armenian" w:hAnsi="Arial Armenian"/>
      <w:i/>
      <w:sz w:val="22"/>
      <w:u w:val="single"/>
      <w:lang w:val="en-GB"/>
    </w:rPr>
  </w:style>
  <w:style w:type="character" w:customStyle="1" w:styleId="CharChar271">
    <w:name w:val="Char Char271"/>
    <w:rsid w:val="005150E5"/>
    <w:rPr>
      <w:rFonts w:ascii="Garamond" w:hAnsi="Garamond"/>
      <w:i/>
      <w:spacing w:val="-5"/>
      <w:sz w:val="28"/>
      <w:shd w:val="pct5" w:color="auto" w:fill="auto"/>
      <w:lang w:val="en-GB"/>
    </w:rPr>
  </w:style>
  <w:style w:type="character" w:customStyle="1" w:styleId="CharChar261">
    <w:name w:val="Char Char261"/>
    <w:rsid w:val="005150E5"/>
    <w:rPr>
      <w:rFonts w:ascii="Arial Black" w:hAnsi="Arial Black"/>
      <w:caps/>
      <w:spacing w:val="60"/>
      <w:position w:val="4"/>
      <w:sz w:val="14"/>
      <w:lang w:val="en-GB"/>
    </w:rPr>
  </w:style>
  <w:style w:type="character" w:customStyle="1" w:styleId="CharChar251">
    <w:name w:val="Char Char251"/>
    <w:rsid w:val="005150E5"/>
    <w:rPr>
      <w:rFonts w:ascii="Garamond" w:hAnsi="Garamond"/>
      <w:b/>
      <w:i/>
      <w:kern w:val="28"/>
      <w:lang w:val="en-GB"/>
    </w:rPr>
  </w:style>
  <w:style w:type="character" w:customStyle="1" w:styleId="CharChar351">
    <w:name w:val="Char Char351"/>
    <w:rsid w:val="005150E5"/>
    <w:rPr>
      <w:rFonts w:ascii="Arial Armenian" w:hAnsi="Arial Armenian"/>
      <w:i/>
      <w:sz w:val="22"/>
      <w:u w:val="single"/>
      <w:lang w:val="en-GB"/>
    </w:rPr>
  </w:style>
  <w:style w:type="character" w:customStyle="1" w:styleId="CharChar341">
    <w:name w:val="Char Char341"/>
    <w:rsid w:val="005150E5"/>
    <w:rPr>
      <w:rFonts w:ascii="Garamond" w:hAnsi="Garamond"/>
      <w:i/>
      <w:spacing w:val="-5"/>
      <w:sz w:val="28"/>
      <w:shd w:val="pct5" w:color="auto" w:fill="auto"/>
      <w:lang w:val="en-GB"/>
    </w:rPr>
  </w:style>
  <w:style w:type="character" w:customStyle="1" w:styleId="CharChar331">
    <w:name w:val="Char Char331"/>
    <w:rsid w:val="005150E5"/>
    <w:rPr>
      <w:rFonts w:ascii="Arial Black" w:hAnsi="Arial Black"/>
      <w:caps/>
      <w:spacing w:val="60"/>
      <w:position w:val="4"/>
      <w:sz w:val="14"/>
      <w:lang w:val="en-GB"/>
    </w:rPr>
  </w:style>
  <w:style w:type="character" w:customStyle="1" w:styleId="CharChar321">
    <w:name w:val="Char Char321"/>
    <w:rsid w:val="005150E5"/>
    <w:rPr>
      <w:rFonts w:ascii="Garamond" w:hAnsi="Garamond"/>
      <w:b/>
      <w:i/>
      <w:kern w:val="28"/>
      <w:lang w:val="en-GB"/>
    </w:rPr>
  </w:style>
  <w:style w:type="character" w:customStyle="1" w:styleId="CharChar311">
    <w:name w:val="Char Char311"/>
    <w:rsid w:val="005150E5"/>
    <w:rPr>
      <w:rFonts w:ascii="Arial Armenian" w:hAnsi="Arial Armenian"/>
      <w:noProof/>
      <w:lang w:val="en-US" w:eastAsia="en-US" w:bidi="ar-SA"/>
    </w:rPr>
  </w:style>
  <w:style w:type="character" w:customStyle="1" w:styleId="CharChar301">
    <w:name w:val="Char Char301"/>
    <w:rsid w:val="005150E5"/>
    <w:rPr>
      <w:rFonts w:ascii="Arial Armenian" w:hAnsi="Arial Armenian"/>
      <w:lang w:val="en-GB" w:eastAsia="en-US" w:bidi="ar-SA"/>
    </w:rPr>
  </w:style>
  <w:style w:type="character" w:customStyle="1" w:styleId="CharChar291">
    <w:name w:val="Char Char291"/>
    <w:rsid w:val="005150E5"/>
    <w:rPr>
      <w:rFonts w:ascii="Arial Armenian" w:hAnsi="Arial Armenian"/>
      <w:lang w:val="ru-RU" w:eastAsia="ru-RU" w:bidi="ar-SA"/>
    </w:rPr>
  </w:style>
  <w:style w:type="paragraph" w:customStyle="1" w:styleId="CharChar5CharCharCharCharCharChar1">
    <w:name w:val="Char Char5 Char Char Char Char Char Char1"/>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paragraph" w:customStyle="1" w:styleId="CharChar5CharCharCharChar1">
    <w:name w:val="Char Char5 Char Char Char Char1"/>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paragraph" w:customStyle="1" w:styleId="CharChar5CharChar1">
    <w:name w:val="Char Char5 Char Char1"/>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character" w:customStyle="1" w:styleId="CharChar61">
    <w:name w:val="Char Char61"/>
    <w:locked/>
    <w:rsid w:val="005150E5"/>
    <w:rPr>
      <w:rFonts w:ascii="Times LatArm" w:eastAsia="Calibri" w:hAnsi="Times LatArm" w:cs="Times LatArm"/>
      <w:sz w:val="22"/>
      <w:szCs w:val="22"/>
      <w:lang w:val="en-GB" w:eastAsia="en-US" w:bidi="ar-SA"/>
    </w:rPr>
  </w:style>
  <w:style w:type="character" w:customStyle="1" w:styleId="CharChar81">
    <w:name w:val="Char Char81"/>
    <w:locked/>
    <w:rsid w:val="005150E5"/>
    <w:rPr>
      <w:rFonts w:ascii="Times Armenian" w:eastAsia="Calibri" w:hAnsi="Times Armenian" w:cs="Times Armenian"/>
      <w:color w:val="993300"/>
      <w:sz w:val="22"/>
      <w:szCs w:val="22"/>
      <w:lang w:val="hy-AM" w:eastAsia="en-US" w:bidi="ar-SA"/>
    </w:rPr>
  </w:style>
  <w:style w:type="character" w:customStyle="1" w:styleId="CharChar71">
    <w:name w:val="Char Char71"/>
    <w:locked/>
    <w:rsid w:val="005150E5"/>
    <w:rPr>
      <w:rFonts w:ascii="Courier New" w:eastAsia="Calibri" w:hAnsi="Courier New" w:cs="Courier New"/>
      <w:lang w:val="en-US" w:eastAsia="en-US" w:bidi="ar-SA"/>
    </w:rPr>
  </w:style>
  <w:style w:type="character" w:customStyle="1" w:styleId="CharChar41">
    <w:name w:val="Char Char41"/>
    <w:locked/>
    <w:rsid w:val="005150E5"/>
    <w:rPr>
      <w:rFonts w:eastAsia="Calibri"/>
      <w:sz w:val="22"/>
      <w:szCs w:val="22"/>
      <w:lang w:val="en-GB" w:eastAsia="en-US" w:bidi="ar-SA"/>
    </w:rPr>
  </w:style>
  <w:style w:type="character" w:customStyle="1" w:styleId="CharChar36">
    <w:name w:val="Char Char36"/>
    <w:locked/>
    <w:rsid w:val="005150E5"/>
    <w:rPr>
      <w:rFonts w:eastAsia="Calibri"/>
      <w:sz w:val="22"/>
      <w:szCs w:val="22"/>
      <w:lang w:val="en-GB" w:eastAsia="en-US" w:bidi="ar-SA"/>
    </w:rPr>
  </w:style>
  <w:style w:type="character" w:customStyle="1" w:styleId="CharChar210">
    <w:name w:val="Char Char210"/>
    <w:locked/>
    <w:rsid w:val="005150E5"/>
    <w:rPr>
      <w:rFonts w:ascii="Times Armenian" w:eastAsia="Calibri" w:hAnsi="Times Armenian" w:cs="Times Armenian"/>
      <w:b/>
      <w:bCs/>
      <w:sz w:val="22"/>
      <w:szCs w:val="22"/>
      <w:lang w:val="en-US" w:eastAsia="en-US" w:bidi="ar-SA"/>
    </w:rPr>
  </w:style>
  <w:style w:type="table" w:customStyle="1" w:styleId="TableGrid63">
    <w:name w:val="Table Grid63"/>
    <w:basedOn w:val="TableNormal"/>
    <w:next w:val="TableGrid"/>
    <w:uiPriority w:val="39"/>
    <w:rsid w:val="005150E5"/>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
    <w:name w:val="Grid Table 1 Light - Accent 511"/>
    <w:basedOn w:val="TableNormal"/>
    <w:uiPriority w:val="46"/>
    <w:rsid w:val="005150E5"/>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3">
    <w:name w:val="Table Grid223"/>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0">
    <w:name w:val="Table Grid72"/>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 Grid82"/>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150E5"/>
    <w:rPr>
      <w:color w:val="605E5C"/>
      <w:shd w:val="clear" w:color="auto" w:fill="E1DFDD"/>
    </w:rPr>
  </w:style>
  <w:style w:type="table" w:customStyle="1" w:styleId="GridTable1Light-Accent11">
    <w:name w:val="Grid Table 1 Light - Accent 11"/>
    <w:basedOn w:val="TableNormal"/>
    <w:uiPriority w:val="46"/>
    <w:rsid w:val="005150E5"/>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Heading5Char2">
    <w:name w:val="Heading 5 Char2"/>
    <w:basedOn w:val="DefaultParagraphFont"/>
    <w:uiPriority w:val="9"/>
    <w:semiHidden/>
    <w:rsid w:val="005150E5"/>
    <w:rPr>
      <w:rFonts w:ascii="Calibri Light" w:eastAsia="Times New Roman" w:hAnsi="Calibri Light" w:cs="Times New Roman"/>
      <w:color w:val="2E74B5"/>
      <w:sz w:val="24"/>
      <w:szCs w:val="24"/>
    </w:rPr>
  </w:style>
  <w:style w:type="character" w:customStyle="1" w:styleId="Heading6Char2">
    <w:name w:val="Heading 6 Char2"/>
    <w:basedOn w:val="DefaultParagraphFont"/>
    <w:uiPriority w:val="9"/>
    <w:semiHidden/>
    <w:rsid w:val="005150E5"/>
    <w:rPr>
      <w:rFonts w:ascii="Calibri Light" w:eastAsia="Times New Roman" w:hAnsi="Calibri Light" w:cs="Times New Roman"/>
      <w:color w:val="1F4D78"/>
      <w:sz w:val="24"/>
      <w:szCs w:val="24"/>
    </w:rPr>
  </w:style>
  <w:style w:type="character" w:customStyle="1" w:styleId="Heading7Char2">
    <w:name w:val="Heading 7 Char2"/>
    <w:basedOn w:val="DefaultParagraphFont"/>
    <w:uiPriority w:val="9"/>
    <w:semiHidden/>
    <w:rsid w:val="005150E5"/>
    <w:rPr>
      <w:rFonts w:ascii="Calibri Light" w:eastAsia="Times New Roman" w:hAnsi="Calibri Light" w:cs="Times New Roman"/>
      <w:i/>
      <w:iCs/>
      <w:color w:val="1F4D78"/>
      <w:sz w:val="24"/>
      <w:szCs w:val="24"/>
    </w:rPr>
  </w:style>
  <w:style w:type="character" w:customStyle="1" w:styleId="Heading8Char2">
    <w:name w:val="Heading 8 Char2"/>
    <w:basedOn w:val="DefaultParagraphFont"/>
    <w:uiPriority w:val="9"/>
    <w:semiHidden/>
    <w:rsid w:val="005150E5"/>
    <w:rPr>
      <w:rFonts w:ascii="Calibri Light" w:eastAsia="Times New Roman" w:hAnsi="Calibri Light" w:cs="Times New Roman"/>
      <w:color w:val="272727"/>
      <w:sz w:val="21"/>
      <w:szCs w:val="21"/>
    </w:rPr>
  </w:style>
  <w:style w:type="character" w:customStyle="1" w:styleId="Heading9Char2">
    <w:name w:val="Heading 9 Char2"/>
    <w:basedOn w:val="DefaultParagraphFont"/>
    <w:uiPriority w:val="9"/>
    <w:semiHidden/>
    <w:rsid w:val="005150E5"/>
    <w:rPr>
      <w:rFonts w:ascii="Calibri Light" w:eastAsia="Times New Roman" w:hAnsi="Calibri Light" w:cs="Times New Roman"/>
      <w:i/>
      <w:iCs/>
      <w:color w:val="272727"/>
      <w:sz w:val="21"/>
      <w:szCs w:val="21"/>
    </w:rPr>
  </w:style>
  <w:style w:type="character" w:customStyle="1" w:styleId="BodyTextIndent3Char2">
    <w:name w:val="Body Text Indent 3 Char2"/>
    <w:basedOn w:val="DefaultParagraphFont"/>
    <w:uiPriority w:val="99"/>
    <w:rsid w:val="005150E5"/>
    <w:rPr>
      <w:rFonts w:ascii="Times New Roman" w:eastAsia="Times New Roman" w:hAnsi="Times New Roman" w:cs="Times New Roman"/>
      <w:sz w:val="16"/>
      <w:szCs w:val="16"/>
    </w:rPr>
  </w:style>
  <w:style w:type="character" w:customStyle="1" w:styleId="BodyTextIndent2Char2">
    <w:name w:val="Body Text Indent 2 Char2"/>
    <w:basedOn w:val="DefaultParagraphFont"/>
    <w:uiPriority w:val="99"/>
    <w:rsid w:val="005150E5"/>
    <w:rPr>
      <w:rFonts w:ascii="Times New Roman" w:eastAsia="Times New Roman" w:hAnsi="Times New Roman" w:cs="Times New Roman"/>
      <w:sz w:val="24"/>
      <w:szCs w:val="24"/>
    </w:rPr>
  </w:style>
  <w:style w:type="character" w:customStyle="1" w:styleId="BodyText3Char2">
    <w:name w:val="Body Text 3 Char2"/>
    <w:basedOn w:val="DefaultParagraphFont"/>
    <w:uiPriority w:val="99"/>
    <w:rsid w:val="005150E5"/>
    <w:rPr>
      <w:rFonts w:ascii="Times New Roman" w:eastAsia="Times New Roman" w:hAnsi="Times New Roman" w:cs="Times New Roman"/>
      <w:sz w:val="16"/>
      <w:szCs w:val="16"/>
    </w:rPr>
  </w:style>
  <w:style w:type="character" w:customStyle="1" w:styleId="EndnoteTextChar2">
    <w:name w:val="Endnote Text Char2"/>
    <w:basedOn w:val="DefaultParagraphFont"/>
    <w:uiPriority w:val="99"/>
    <w:rsid w:val="005150E5"/>
    <w:rPr>
      <w:rFonts w:ascii="Times New Roman" w:eastAsia="Times New Roman" w:hAnsi="Times New Roman" w:cs="Times New Roman"/>
      <w:sz w:val="20"/>
      <w:szCs w:val="20"/>
    </w:rPr>
  </w:style>
  <w:style w:type="character" w:customStyle="1" w:styleId="TitleChar2">
    <w:name w:val="Title Char2"/>
    <w:basedOn w:val="DefaultParagraphFont"/>
    <w:uiPriority w:val="10"/>
    <w:rsid w:val="005150E5"/>
    <w:rPr>
      <w:rFonts w:ascii="Calibri Light" w:eastAsia="Times New Roman" w:hAnsi="Calibri Light" w:cs="Times New Roman"/>
      <w:spacing w:val="-10"/>
      <w:kern w:val="28"/>
      <w:sz w:val="56"/>
      <w:szCs w:val="56"/>
    </w:rPr>
  </w:style>
  <w:style w:type="character" w:customStyle="1" w:styleId="PlainTextChar2">
    <w:name w:val="Plain Text Char2"/>
    <w:basedOn w:val="DefaultParagraphFont"/>
    <w:uiPriority w:val="99"/>
    <w:rsid w:val="005150E5"/>
    <w:rPr>
      <w:rFonts w:ascii="Consolas" w:eastAsia="Times New Roman" w:hAnsi="Consolas" w:cs="Times New Roman"/>
      <w:sz w:val="21"/>
      <w:szCs w:val="21"/>
    </w:rPr>
  </w:style>
  <w:style w:type="table" w:customStyle="1" w:styleId="TableList78">
    <w:name w:val="Table List 78"/>
    <w:basedOn w:val="TableNormal"/>
    <w:next w:val="TableList7"/>
    <w:uiPriority w:val="99"/>
    <w:semiHidden/>
    <w:unhideWhenUsed/>
    <w:rsid w:val="005150E5"/>
    <w:rPr>
      <w:rFonts w:ascii="Calibri" w:eastAsia="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8">
    <w:name w:val="Table Web 38"/>
    <w:basedOn w:val="TableNormal"/>
    <w:next w:val="TableWeb3"/>
    <w:uiPriority w:val="99"/>
    <w:semiHidden/>
    <w:unhideWhenUsed/>
    <w:rsid w:val="005150E5"/>
    <w:rPr>
      <w:rFonts w:ascii="Calibri" w:eastAsia="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8">
    <w:name w:val="Table Elegant8"/>
    <w:basedOn w:val="TableNormal"/>
    <w:next w:val="TableElegant"/>
    <w:uiPriority w:val="99"/>
    <w:semiHidden/>
    <w:unhideWhenUsed/>
    <w:rsid w:val="005150E5"/>
    <w:rPr>
      <w:rFonts w:ascii="Calibri" w:eastAsia="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SubtitleChar3">
    <w:name w:val="Subtitle Char3"/>
    <w:basedOn w:val="DefaultParagraphFont"/>
    <w:uiPriority w:val="11"/>
    <w:rsid w:val="005150E5"/>
    <w:rPr>
      <w:rFonts w:eastAsia="Times New Roman"/>
      <w:color w:val="5A5A5A"/>
      <w:spacing w:val="15"/>
    </w:rPr>
  </w:style>
  <w:style w:type="table" w:customStyle="1" w:styleId="TableWeb28">
    <w:name w:val="Table Web 28"/>
    <w:basedOn w:val="TableNormal"/>
    <w:next w:val="TableWeb2"/>
    <w:uiPriority w:val="99"/>
    <w:semiHidden/>
    <w:unhideWhenUsed/>
    <w:rsid w:val="005150E5"/>
    <w:rPr>
      <w:rFonts w:ascii="Calibri" w:eastAsia="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8">
    <w:name w:val="Table Web 18"/>
    <w:basedOn w:val="TableNormal"/>
    <w:next w:val="TableWeb1"/>
    <w:uiPriority w:val="99"/>
    <w:semiHidden/>
    <w:unhideWhenUsed/>
    <w:rsid w:val="005150E5"/>
    <w:rPr>
      <w:rFonts w:ascii="Calibri" w:eastAsia="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BodyTextFirstIndentChar3">
    <w:name w:val="Body Text First Indent Char3"/>
    <w:basedOn w:val="BodyTextChar1"/>
    <w:uiPriority w:val="99"/>
    <w:rsid w:val="005150E5"/>
    <w:rPr>
      <w:rFonts w:ascii="Times New Roman" w:eastAsia="Times New Roman" w:hAnsi="Times New Roman" w:cs="Times New Roman"/>
      <w:sz w:val="24"/>
      <w:szCs w:val="24"/>
    </w:rPr>
  </w:style>
  <w:style w:type="table" w:customStyle="1" w:styleId="TableGrid88">
    <w:name w:val="Table Grid 88"/>
    <w:basedOn w:val="TableNormal"/>
    <w:next w:val="TableGrid8"/>
    <w:uiPriority w:val="99"/>
    <w:semiHidden/>
    <w:unhideWhenUsed/>
    <w:rsid w:val="005150E5"/>
    <w:rPr>
      <w:rFonts w:ascii="Calibri" w:eastAsia="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8">
    <w:name w:val="Table Contemporary8"/>
    <w:basedOn w:val="TableNormal"/>
    <w:next w:val="TableContemporary"/>
    <w:uiPriority w:val="99"/>
    <w:semiHidden/>
    <w:unhideWhenUsed/>
    <w:rsid w:val="005150E5"/>
    <w:rPr>
      <w:rFonts w:ascii="Calibri" w:eastAsia="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DocumentMapChar2">
    <w:name w:val="Document Map Char2"/>
    <w:basedOn w:val="DefaultParagraphFont"/>
    <w:uiPriority w:val="99"/>
    <w:rsid w:val="005150E5"/>
    <w:rPr>
      <w:rFonts w:ascii="Segoe UI" w:eastAsia="Times New Roman" w:hAnsi="Segoe UI" w:cs="Segoe UI"/>
      <w:sz w:val="16"/>
      <w:szCs w:val="16"/>
    </w:rPr>
  </w:style>
  <w:style w:type="character" w:customStyle="1" w:styleId="QuoteChar1">
    <w:name w:val="Quote Char1"/>
    <w:basedOn w:val="DefaultParagraphFont"/>
    <w:uiPriority w:val="29"/>
    <w:rsid w:val="005150E5"/>
    <w:rPr>
      <w:rFonts w:ascii="Times New Roman" w:eastAsia="Times New Roman" w:hAnsi="Times New Roman" w:cs="Times New Roman"/>
      <w:i/>
      <w:iCs/>
      <w:color w:val="404040"/>
      <w:sz w:val="24"/>
      <w:szCs w:val="24"/>
    </w:rPr>
  </w:style>
  <w:style w:type="table" w:customStyle="1" w:styleId="LightList-Accent127">
    <w:name w:val="Light List - Accent 127"/>
    <w:basedOn w:val="TableNormal"/>
    <w:next w:val="LightList-Accent1"/>
    <w:uiPriority w:val="61"/>
    <w:semiHidden/>
    <w:unhideWhenUsed/>
    <w:rsid w:val="005150E5"/>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78">
    <w:name w:val="Table Grid 78"/>
    <w:basedOn w:val="TableNormal"/>
    <w:next w:val="TableGrid7"/>
    <w:uiPriority w:val="99"/>
    <w:semiHidden/>
    <w:unhideWhenUsed/>
    <w:rsid w:val="005150E5"/>
    <w:rPr>
      <w:rFonts w:ascii="Calibri" w:eastAsia="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9">
    <w:name w:val="Colorful Grid - Accent 19"/>
    <w:basedOn w:val="TableNormal"/>
    <w:next w:val="ColorfulGrid-Accent1"/>
    <w:uiPriority w:val="73"/>
    <w:semiHidden/>
    <w:unhideWhenUsed/>
    <w:rsid w:val="005150E5"/>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LightList-Accent510">
    <w:name w:val="Light List - Accent 510"/>
    <w:basedOn w:val="TableNormal"/>
    <w:next w:val="LightList-Accent5"/>
    <w:uiPriority w:val="61"/>
    <w:semiHidden/>
    <w:unhideWhenUsed/>
    <w:rsid w:val="005150E5"/>
    <w:rPr>
      <w:rFonts w:ascii="Calibri" w:eastAsia="Calibri" w:hAnsi="Calibri"/>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Simple38">
    <w:name w:val="Table Simple 38"/>
    <w:basedOn w:val="TableNormal"/>
    <w:next w:val="TableSimple3"/>
    <w:uiPriority w:val="99"/>
    <w:semiHidden/>
    <w:unhideWhenUsed/>
    <w:rsid w:val="005150E5"/>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8">
    <w:name w:val="Table Grid 58"/>
    <w:basedOn w:val="TableNormal"/>
    <w:next w:val="TableGrid5"/>
    <w:uiPriority w:val="99"/>
    <w:semiHidden/>
    <w:unhideWhenUsed/>
    <w:rsid w:val="005150E5"/>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8">
    <w:name w:val="Table Grid 38"/>
    <w:basedOn w:val="TableNormal"/>
    <w:next w:val="TableGrid3"/>
    <w:uiPriority w:val="99"/>
    <w:semiHidden/>
    <w:unhideWhenUsed/>
    <w:rsid w:val="005150E5"/>
    <w:rPr>
      <w:rFonts w:ascii="Calibri" w:eastAsia="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80">
    <w:name w:val="Table Grid 18"/>
    <w:basedOn w:val="TableNormal"/>
    <w:next w:val="TableGrid10"/>
    <w:uiPriority w:val="99"/>
    <w:semiHidden/>
    <w:unhideWhenUsed/>
    <w:rsid w:val="005150E5"/>
    <w:rPr>
      <w:rFonts w:ascii="Calibri" w:eastAsia="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8">
    <w:name w:val="Table Columns 58"/>
    <w:basedOn w:val="TableNormal"/>
    <w:next w:val="TableColumns5"/>
    <w:uiPriority w:val="99"/>
    <w:semiHidden/>
    <w:unhideWhenUsed/>
    <w:rsid w:val="005150E5"/>
    <w:rPr>
      <w:rFonts w:ascii="Calibri" w:eastAsia="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IntenseQuoteChar1">
    <w:name w:val="Intense Quote Char1"/>
    <w:basedOn w:val="DefaultParagraphFont"/>
    <w:uiPriority w:val="30"/>
    <w:rsid w:val="005150E5"/>
    <w:rPr>
      <w:rFonts w:ascii="Times New Roman" w:eastAsia="Times New Roman" w:hAnsi="Times New Roman" w:cs="Times New Roman"/>
      <w:i/>
      <w:iCs/>
      <w:color w:val="5B9BD5"/>
      <w:sz w:val="24"/>
      <w:szCs w:val="24"/>
    </w:rPr>
  </w:style>
  <w:style w:type="table" w:customStyle="1" w:styleId="Table3Deffects38">
    <w:name w:val="Table 3D effects 38"/>
    <w:basedOn w:val="TableNormal"/>
    <w:next w:val="Table3Deffects3"/>
    <w:uiPriority w:val="99"/>
    <w:semiHidden/>
    <w:unhideWhenUsed/>
    <w:rsid w:val="005150E5"/>
    <w:rPr>
      <w:rFonts w:ascii="Calibri" w:eastAsia="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z-TopofFormChar1">
    <w:name w:val="z-Top of Form Char1"/>
    <w:basedOn w:val="DefaultParagraphFont"/>
    <w:uiPriority w:val="99"/>
    <w:semiHidden/>
    <w:rsid w:val="005150E5"/>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5150E5"/>
    <w:rPr>
      <w:rFonts w:ascii="Arial" w:eastAsia="Times New Roman" w:hAnsi="Arial" w:cs="Arial"/>
      <w:vanish/>
      <w:sz w:val="16"/>
      <w:szCs w:val="16"/>
    </w:rPr>
  </w:style>
  <w:style w:type="character" w:customStyle="1" w:styleId="HTMLPreformattedChar1">
    <w:name w:val="HTML Preformatted Char1"/>
    <w:basedOn w:val="DefaultParagraphFont"/>
    <w:uiPriority w:val="99"/>
    <w:rsid w:val="005150E5"/>
    <w:rPr>
      <w:rFonts w:ascii="Consolas" w:eastAsia="Times New Roman" w:hAnsi="Consolas" w:cs="Times New Roman"/>
      <w:sz w:val="20"/>
      <w:szCs w:val="20"/>
    </w:rPr>
  </w:style>
  <w:style w:type="numbering" w:customStyle="1" w:styleId="NoList153">
    <w:name w:val="No List153"/>
    <w:next w:val="NoList"/>
    <w:uiPriority w:val="99"/>
    <w:semiHidden/>
    <w:unhideWhenUsed/>
    <w:rsid w:val="005150E5"/>
  </w:style>
  <w:style w:type="table" w:customStyle="1" w:styleId="TableGrid123">
    <w:name w:val="Table Grid123"/>
    <w:basedOn w:val="TableNormal"/>
    <w:next w:val="TableGrid"/>
    <w:uiPriority w:val="39"/>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2">
    <w:name w:val="TOC 42"/>
    <w:basedOn w:val="Normal"/>
    <w:next w:val="Normal"/>
    <w:autoRedefine/>
    <w:uiPriority w:val="39"/>
    <w:rsid w:val="005150E5"/>
    <w:pPr>
      <w:spacing w:before="0" w:line="312" w:lineRule="auto"/>
      <w:ind w:left="660"/>
      <w:contextualSpacing w:val="0"/>
      <w:jc w:val="left"/>
    </w:pPr>
    <w:rPr>
      <w:rFonts w:ascii="Calibri" w:hAnsi="Calibri" w:cs="Calibri"/>
      <w:b w:val="0"/>
      <w:sz w:val="20"/>
      <w:szCs w:val="20"/>
      <w:lang w:val="en-US" w:eastAsia="en-US"/>
    </w:rPr>
  </w:style>
  <w:style w:type="paragraph" w:customStyle="1" w:styleId="TOC52">
    <w:name w:val="TOC 52"/>
    <w:basedOn w:val="Normal"/>
    <w:next w:val="Normal"/>
    <w:autoRedefine/>
    <w:uiPriority w:val="39"/>
    <w:rsid w:val="005150E5"/>
    <w:pPr>
      <w:spacing w:before="0" w:line="312" w:lineRule="auto"/>
      <w:ind w:left="880"/>
      <w:contextualSpacing w:val="0"/>
      <w:jc w:val="left"/>
    </w:pPr>
    <w:rPr>
      <w:rFonts w:ascii="Calibri" w:hAnsi="Calibri" w:cs="Calibri"/>
      <w:b w:val="0"/>
      <w:sz w:val="20"/>
      <w:szCs w:val="20"/>
      <w:lang w:val="en-US" w:eastAsia="en-US"/>
    </w:rPr>
  </w:style>
  <w:style w:type="paragraph" w:customStyle="1" w:styleId="TOC62">
    <w:name w:val="TOC 62"/>
    <w:basedOn w:val="Normal"/>
    <w:next w:val="Normal"/>
    <w:autoRedefine/>
    <w:uiPriority w:val="39"/>
    <w:rsid w:val="005150E5"/>
    <w:pPr>
      <w:spacing w:before="0" w:line="312" w:lineRule="auto"/>
      <w:ind w:left="1100"/>
      <w:contextualSpacing w:val="0"/>
      <w:jc w:val="left"/>
    </w:pPr>
    <w:rPr>
      <w:rFonts w:ascii="Calibri" w:hAnsi="Calibri" w:cs="Calibri"/>
      <w:b w:val="0"/>
      <w:sz w:val="20"/>
      <w:szCs w:val="20"/>
      <w:lang w:val="en-US" w:eastAsia="en-US"/>
    </w:rPr>
  </w:style>
  <w:style w:type="paragraph" w:customStyle="1" w:styleId="TOC72">
    <w:name w:val="TOC 72"/>
    <w:basedOn w:val="Normal"/>
    <w:next w:val="Normal"/>
    <w:autoRedefine/>
    <w:uiPriority w:val="39"/>
    <w:rsid w:val="005150E5"/>
    <w:pPr>
      <w:spacing w:before="0" w:line="312" w:lineRule="auto"/>
      <w:ind w:left="1320"/>
      <w:contextualSpacing w:val="0"/>
      <w:jc w:val="left"/>
    </w:pPr>
    <w:rPr>
      <w:rFonts w:ascii="Calibri" w:hAnsi="Calibri" w:cs="Calibri"/>
      <w:b w:val="0"/>
      <w:sz w:val="20"/>
      <w:szCs w:val="20"/>
      <w:lang w:val="en-US" w:eastAsia="en-US"/>
    </w:rPr>
  </w:style>
  <w:style w:type="paragraph" w:customStyle="1" w:styleId="TOC82">
    <w:name w:val="TOC 82"/>
    <w:basedOn w:val="Normal"/>
    <w:next w:val="Normal"/>
    <w:autoRedefine/>
    <w:uiPriority w:val="39"/>
    <w:rsid w:val="005150E5"/>
    <w:pPr>
      <w:spacing w:before="0" w:line="312" w:lineRule="auto"/>
      <w:ind w:left="1540"/>
      <w:contextualSpacing w:val="0"/>
      <w:jc w:val="left"/>
    </w:pPr>
    <w:rPr>
      <w:rFonts w:ascii="Calibri" w:hAnsi="Calibri" w:cs="Calibri"/>
      <w:b w:val="0"/>
      <w:sz w:val="20"/>
      <w:szCs w:val="20"/>
      <w:lang w:val="en-US" w:eastAsia="en-US"/>
    </w:rPr>
  </w:style>
  <w:style w:type="paragraph" w:customStyle="1" w:styleId="TOC92">
    <w:name w:val="TOC 92"/>
    <w:basedOn w:val="Normal"/>
    <w:next w:val="Normal"/>
    <w:autoRedefine/>
    <w:uiPriority w:val="39"/>
    <w:rsid w:val="005150E5"/>
    <w:pPr>
      <w:spacing w:before="0" w:line="312" w:lineRule="auto"/>
      <w:ind w:left="1760"/>
      <w:contextualSpacing w:val="0"/>
      <w:jc w:val="left"/>
    </w:pPr>
    <w:rPr>
      <w:rFonts w:ascii="Calibri" w:hAnsi="Calibri" w:cs="Calibri"/>
      <w:b w:val="0"/>
      <w:sz w:val="20"/>
      <w:szCs w:val="20"/>
      <w:lang w:val="en-US" w:eastAsia="en-US"/>
    </w:rPr>
  </w:style>
  <w:style w:type="table" w:customStyle="1" w:styleId="TableList723">
    <w:name w:val="Table List 723"/>
    <w:basedOn w:val="TableNormal"/>
    <w:next w:val="TableList7"/>
    <w:rsid w:val="005150E5"/>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3">
    <w:name w:val="Table Web 323"/>
    <w:basedOn w:val="TableNormal"/>
    <w:next w:val="TableWeb3"/>
    <w:rsid w:val="005150E5"/>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3">
    <w:name w:val="Table Elegant23"/>
    <w:basedOn w:val="TableNormal"/>
    <w:next w:val="TableElegant"/>
    <w:rsid w:val="005150E5"/>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3">
    <w:name w:val="Table Web 233"/>
    <w:basedOn w:val="TableNormal"/>
    <w:next w:val="TableWeb2"/>
    <w:rsid w:val="005150E5"/>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3">
    <w:name w:val="Table Web 133"/>
    <w:basedOn w:val="TableNormal"/>
    <w:next w:val="TableWeb1"/>
    <w:rsid w:val="005150E5"/>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3">
    <w:name w:val="Table Grid 833"/>
    <w:basedOn w:val="TableNormal"/>
    <w:next w:val="TableGrid8"/>
    <w:rsid w:val="005150E5"/>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3">
    <w:name w:val="Table Contemporary33"/>
    <w:basedOn w:val="TableNormal"/>
    <w:next w:val="TableContemporary"/>
    <w:rsid w:val="005150E5"/>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63">
    <w:name w:val="No List163"/>
    <w:next w:val="NoList"/>
    <w:semiHidden/>
    <w:unhideWhenUsed/>
    <w:rsid w:val="005150E5"/>
  </w:style>
  <w:style w:type="numbering" w:customStyle="1" w:styleId="NoList233">
    <w:name w:val="No List233"/>
    <w:next w:val="NoList"/>
    <w:semiHidden/>
    <w:unhideWhenUsed/>
    <w:rsid w:val="005150E5"/>
  </w:style>
  <w:style w:type="numbering" w:customStyle="1" w:styleId="NoList333">
    <w:name w:val="No List333"/>
    <w:next w:val="NoList"/>
    <w:semiHidden/>
    <w:unhideWhenUsed/>
    <w:rsid w:val="005150E5"/>
  </w:style>
  <w:style w:type="table" w:customStyle="1" w:styleId="LightList-Accent133">
    <w:name w:val="Light List - Accent 133"/>
    <w:basedOn w:val="TableNormal"/>
    <w:next w:val="LightList-Accent1"/>
    <w:uiPriority w:val="61"/>
    <w:rsid w:val="005150E5"/>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3">
    <w:name w:val="Table Grid 723"/>
    <w:basedOn w:val="TableNormal"/>
    <w:next w:val="TableGrid7"/>
    <w:rsid w:val="005150E5"/>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3">
    <w:name w:val="Colorful Grid - Accent 143"/>
    <w:basedOn w:val="TableNormal"/>
    <w:next w:val="ColorfulGrid-Accent1"/>
    <w:uiPriority w:val="73"/>
    <w:rsid w:val="005150E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3">
    <w:name w:val="Light List - Accent 543"/>
    <w:basedOn w:val="TableNormal"/>
    <w:next w:val="LightList-Accent5"/>
    <w:uiPriority w:val="61"/>
    <w:rsid w:val="005150E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3">
    <w:name w:val="Table Simple 323"/>
    <w:basedOn w:val="TableNormal"/>
    <w:next w:val="TableSimple3"/>
    <w:rsid w:val="005150E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3">
    <w:name w:val="Table Grid 523"/>
    <w:basedOn w:val="TableNormal"/>
    <w:next w:val="TableGrid5"/>
    <w:rsid w:val="005150E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3">
    <w:name w:val="Table Grid 323"/>
    <w:basedOn w:val="TableNormal"/>
    <w:next w:val="TableGrid3"/>
    <w:rsid w:val="005150E5"/>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30">
    <w:name w:val="Table Grid 123"/>
    <w:basedOn w:val="TableNormal"/>
    <w:next w:val="TableGrid10"/>
    <w:rsid w:val="005150E5"/>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3">
    <w:name w:val="Table Columns 523"/>
    <w:basedOn w:val="TableNormal"/>
    <w:next w:val="TableColumns5"/>
    <w:rsid w:val="005150E5"/>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3">
    <w:name w:val="Light List - Accent 1123"/>
    <w:basedOn w:val="TableNormal"/>
    <w:uiPriority w:val="61"/>
    <w:rsid w:val="005150E5"/>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3">
    <w:name w:val="Нет списка143"/>
    <w:next w:val="NoList"/>
    <w:semiHidden/>
    <w:unhideWhenUsed/>
    <w:rsid w:val="005150E5"/>
  </w:style>
  <w:style w:type="table" w:customStyle="1" w:styleId="ColorfulGrid-Accent1123">
    <w:name w:val="Colorful Grid - Accent 1123"/>
    <w:basedOn w:val="TableNormal"/>
    <w:rsid w:val="005150E5"/>
    <w:pPr>
      <w:spacing w:after="200" w:line="276" w:lineRule="auto"/>
    </w:pPr>
    <w:rPr>
      <w:rFonts w:ascii="Calibri" w:hAnsi="Calibri"/>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3">
    <w:name w:val="Light List - Accent 5123"/>
    <w:basedOn w:val="TableNormal"/>
    <w:rsid w:val="005150E5"/>
    <w:pPr>
      <w:spacing w:after="200" w:line="276" w:lineRule="auto"/>
    </w:pPr>
    <w:rPr>
      <w:rFonts w:ascii="Calibri" w:hAnsi="Calibri"/>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3">
    <w:name w:val="No List433"/>
    <w:next w:val="NoList"/>
    <w:semiHidden/>
    <w:rsid w:val="005150E5"/>
  </w:style>
  <w:style w:type="numbering" w:customStyle="1" w:styleId="NoList1133">
    <w:name w:val="No List1133"/>
    <w:next w:val="NoList"/>
    <w:semiHidden/>
    <w:unhideWhenUsed/>
    <w:rsid w:val="005150E5"/>
  </w:style>
  <w:style w:type="table" w:customStyle="1" w:styleId="Table3Deffects323">
    <w:name w:val="Table 3D effects 323"/>
    <w:basedOn w:val="TableNormal"/>
    <w:next w:val="Table3Deffects3"/>
    <w:rsid w:val="005150E5"/>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3">
    <w:name w:val="Нет списка1133"/>
    <w:next w:val="NoList"/>
    <w:semiHidden/>
    <w:unhideWhenUsed/>
    <w:rsid w:val="005150E5"/>
  </w:style>
  <w:style w:type="table" w:customStyle="1" w:styleId="TableGrid133">
    <w:name w:val="Table Grid133"/>
    <w:basedOn w:val="TableNormal"/>
    <w:next w:val="TableGrid"/>
    <w:rsid w:val="005150E5"/>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3">
    <w:name w:val="No List523"/>
    <w:next w:val="NoList"/>
    <w:uiPriority w:val="99"/>
    <w:semiHidden/>
    <w:rsid w:val="005150E5"/>
  </w:style>
  <w:style w:type="numbering" w:customStyle="1" w:styleId="NoList621">
    <w:name w:val="No List621"/>
    <w:next w:val="NoList"/>
    <w:uiPriority w:val="99"/>
    <w:semiHidden/>
    <w:unhideWhenUsed/>
    <w:rsid w:val="005150E5"/>
  </w:style>
  <w:style w:type="table" w:customStyle="1" w:styleId="TableGrid232">
    <w:name w:val="Table Grid232"/>
    <w:basedOn w:val="TableNormal"/>
    <w:next w:val="TableGrid"/>
    <w:rsid w:val="005150E5"/>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21">
    <w:name w:val="No List721"/>
    <w:next w:val="NoList"/>
    <w:uiPriority w:val="99"/>
    <w:semiHidden/>
    <w:unhideWhenUsed/>
    <w:rsid w:val="005150E5"/>
  </w:style>
  <w:style w:type="numbering" w:customStyle="1" w:styleId="NoList1223">
    <w:name w:val="No List1223"/>
    <w:next w:val="NoList"/>
    <w:uiPriority w:val="99"/>
    <w:semiHidden/>
    <w:unhideWhenUsed/>
    <w:rsid w:val="005150E5"/>
  </w:style>
  <w:style w:type="table" w:customStyle="1" w:styleId="TableGrid3210">
    <w:name w:val="Table Grid321"/>
    <w:basedOn w:val="TableNormal"/>
    <w:next w:val="TableGrid"/>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21">
    <w:name w:val="Table Web 2121"/>
    <w:basedOn w:val="TableNormal"/>
    <w:next w:val="TableWeb2"/>
    <w:rsid w:val="005150E5"/>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1">
    <w:name w:val="Table Web 1121"/>
    <w:basedOn w:val="TableNormal"/>
    <w:next w:val="TableWeb1"/>
    <w:rsid w:val="005150E5"/>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1">
    <w:name w:val="Table Grid 8121"/>
    <w:basedOn w:val="TableNormal"/>
    <w:next w:val="TableGrid8"/>
    <w:rsid w:val="005150E5"/>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1">
    <w:name w:val="Table Contemporary121"/>
    <w:basedOn w:val="TableNormal"/>
    <w:next w:val="TableContemporary"/>
    <w:rsid w:val="005150E5"/>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21">
    <w:name w:val="Colorful Grid - Accent 1221"/>
    <w:basedOn w:val="TableNormal"/>
    <w:next w:val="ColorfulGrid-Accent1"/>
    <w:uiPriority w:val="73"/>
    <w:rsid w:val="005150E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1">
    <w:name w:val="Light List - Accent 5221"/>
    <w:basedOn w:val="TableNormal"/>
    <w:next w:val="LightList-Accent5"/>
    <w:uiPriority w:val="61"/>
    <w:rsid w:val="005150E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21">
    <w:name w:val="No List821"/>
    <w:next w:val="NoList"/>
    <w:uiPriority w:val="99"/>
    <w:semiHidden/>
    <w:unhideWhenUsed/>
    <w:rsid w:val="005150E5"/>
  </w:style>
  <w:style w:type="numbering" w:customStyle="1" w:styleId="1221">
    <w:name w:val="Нет списка1221"/>
    <w:next w:val="NoList"/>
    <w:semiHidden/>
    <w:unhideWhenUsed/>
    <w:rsid w:val="005150E5"/>
  </w:style>
  <w:style w:type="numbering" w:customStyle="1" w:styleId="NoList1321">
    <w:name w:val="No List1321"/>
    <w:next w:val="NoList"/>
    <w:semiHidden/>
    <w:unhideWhenUsed/>
    <w:rsid w:val="005150E5"/>
  </w:style>
  <w:style w:type="numbering" w:customStyle="1" w:styleId="NoList2123">
    <w:name w:val="No List2123"/>
    <w:next w:val="NoList"/>
    <w:semiHidden/>
    <w:unhideWhenUsed/>
    <w:rsid w:val="005150E5"/>
  </w:style>
  <w:style w:type="numbering" w:customStyle="1" w:styleId="NoList3123">
    <w:name w:val="No List3123"/>
    <w:next w:val="NoList"/>
    <w:semiHidden/>
    <w:unhideWhenUsed/>
    <w:rsid w:val="005150E5"/>
  </w:style>
  <w:style w:type="numbering" w:customStyle="1" w:styleId="11131">
    <w:name w:val="Нет списка11131"/>
    <w:next w:val="NoList"/>
    <w:semiHidden/>
    <w:unhideWhenUsed/>
    <w:rsid w:val="005150E5"/>
  </w:style>
  <w:style w:type="numbering" w:customStyle="1" w:styleId="NoList4121">
    <w:name w:val="No List4121"/>
    <w:next w:val="NoList"/>
    <w:semiHidden/>
    <w:rsid w:val="005150E5"/>
  </w:style>
  <w:style w:type="numbering" w:customStyle="1" w:styleId="NoList11123">
    <w:name w:val="No List11123"/>
    <w:next w:val="NoList"/>
    <w:semiHidden/>
    <w:unhideWhenUsed/>
    <w:rsid w:val="005150E5"/>
  </w:style>
  <w:style w:type="numbering" w:customStyle="1" w:styleId="111121">
    <w:name w:val="Нет списка111121"/>
    <w:next w:val="NoList"/>
    <w:semiHidden/>
    <w:unhideWhenUsed/>
    <w:rsid w:val="005150E5"/>
  </w:style>
  <w:style w:type="numbering" w:customStyle="1" w:styleId="NoList912">
    <w:name w:val="No List912"/>
    <w:next w:val="NoList"/>
    <w:uiPriority w:val="99"/>
    <w:semiHidden/>
    <w:unhideWhenUsed/>
    <w:rsid w:val="005150E5"/>
  </w:style>
  <w:style w:type="table" w:customStyle="1" w:styleId="TableGrid421">
    <w:name w:val="Table Grid421"/>
    <w:basedOn w:val="TableNormal"/>
    <w:next w:val="TableGrid"/>
    <w:rsid w:val="005150E5"/>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2">
    <w:name w:val="Grid Table 1 Light - Accent 512"/>
    <w:basedOn w:val="TableNormal"/>
    <w:uiPriority w:val="46"/>
    <w:rsid w:val="005150E5"/>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1">
    <w:name w:val="Plain Table 311"/>
    <w:basedOn w:val="TableNormal"/>
    <w:uiPriority w:val="43"/>
    <w:rsid w:val="005150E5"/>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NoList1012">
    <w:name w:val="No List1012"/>
    <w:next w:val="NoList"/>
    <w:uiPriority w:val="99"/>
    <w:semiHidden/>
    <w:unhideWhenUsed/>
    <w:rsid w:val="005150E5"/>
  </w:style>
  <w:style w:type="table" w:customStyle="1" w:styleId="TableGrid5120">
    <w:name w:val="Table Grid512"/>
    <w:basedOn w:val="TableNormal"/>
    <w:next w:val="TableGrid"/>
    <w:uiPriority w:val="39"/>
    <w:rsid w:val="005150E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21">
    <w:name w:val="Table List 7121"/>
    <w:basedOn w:val="TableNormal"/>
    <w:next w:val="TableList7"/>
    <w:rsid w:val="005150E5"/>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1">
    <w:name w:val="Table Web 3121"/>
    <w:basedOn w:val="TableNormal"/>
    <w:next w:val="TableWeb3"/>
    <w:rsid w:val="005150E5"/>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1">
    <w:name w:val="Table Elegant121"/>
    <w:basedOn w:val="TableNormal"/>
    <w:next w:val="TableElegant"/>
    <w:rsid w:val="005150E5"/>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2">
    <w:name w:val="Table Web 2212"/>
    <w:basedOn w:val="TableNormal"/>
    <w:next w:val="TableWeb2"/>
    <w:rsid w:val="005150E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2">
    <w:name w:val="Table Web 1212"/>
    <w:basedOn w:val="TableNormal"/>
    <w:next w:val="TableWeb1"/>
    <w:rsid w:val="005150E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2">
    <w:name w:val="Table Grid 8212"/>
    <w:basedOn w:val="TableNormal"/>
    <w:next w:val="TableGrid8"/>
    <w:rsid w:val="005150E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2">
    <w:name w:val="Table Contemporary212"/>
    <w:basedOn w:val="TableNormal"/>
    <w:next w:val="TableContemporary"/>
    <w:rsid w:val="005150E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2">
    <w:name w:val="No List1412"/>
    <w:next w:val="NoList"/>
    <w:semiHidden/>
    <w:unhideWhenUsed/>
    <w:rsid w:val="005150E5"/>
  </w:style>
  <w:style w:type="numbering" w:customStyle="1" w:styleId="NoList2212">
    <w:name w:val="No List2212"/>
    <w:next w:val="NoList"/>
    <w:semiHidden/>
    <w:unhideWhenUsed/>
    <w:rsid w:val="005150E5"/>
  </w:style>
  <w:style w:type="numbering" w:customStyle="1" w:styleId="NoList3212">
    <w:name w:val="No List3212"/>
    <w:next w:val="NoList"/>
    <w:semiHidden/>
    <w:unhideWhenUsed/>
    <w:rsid w:val="005150E5"/>
  </w:style>
  <w:style w:type="table" w:customStyle="1" w:styleId="LightList-Accent1212">
    <w:name w:val="Light List - Accent 1212"/>
    <w:basedOn w:val="TableNormal"/>
    <w:uiPriority w:val="61"/>
    <w:rsid w:val="005150E5"/>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21">
    <w:name w:val="Table Grid 7121"/>
    <w:basedOn w:val="TableNormal"/>
    <w:next w:val="TableGrid7"/>
    <w:rsid w:val="005150E5"/>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2">
    <w:name w:val="Colorful Grid - Accent 1312"/>
    <w:basedOn w:val="TableNormal"/>
    <w:next w:val="ColorfulGrid-Accent1"/>
    <w:uiPriority w:val="73"/>
    <w:rsid w:val="005150E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2">
    <w:name w:val="Light List - Accent 5312"/>
    <w:basedOn w:val="TableNormal"/>
    <w:next w:val="LightList-Accent5"/>
    <w:uiPriority w:val="61"/>
    <w:rsid w:val="005150E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21">
    <w:name w:val="Table Simple 3121"/>
    <w:basedOn w:val="TableNormal"/>
    <w:next w:val="TableSimple3"/>
    <w:rsid w:val="005150E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1">
    <w:name w:val="Table Grid 5121"/>
    <w:basedOn w:val="TableNormal"/>
    <w:next w:val="TableGrid5"/>
    <w:rsid w:val="005150E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1">
    <w:name w:val="Table Grid 3121"/>
    <w:basedOn w:val="TableNormal"/>
    <w:next w:val="TableGrid3"/>
    <w:rsid w:val="005150E5"/>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1">
    <w:name w:val="Table Grid 1121"/>
    <w:basedOn w:val="TableNormal"/>
    <w:next w:val="TableGrid10"/>
    <w:rsid w:val="005150E5"/>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1">
    <w:name w:val="Table Columns 5121"/>
    <w:basedOn w:val="TableNormal"/>
    <w:next w:val="TableColumns5"/>
    <w:rsid w:val="005150E5"/>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2">
    <w:name w:val="Light List - Accent 11112"/>
    <w:basedOn w:val="TableNormal"/>
    <w:uiPriority w:val="61"/>
    <w:rsid w:val="005150E5"/>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2">
    <w:name w:val="Нет списка1312"/>
    <w:next w:val="NoList"/>
    <w:semiHidden/>
    <w:unhideWhenUsed/>
    <w:rsid w:val="005150E5"/>
  </w:style>
  <w:style w:type="table" w:customStyle="1" w:styleId="ColorfulGrid-Accent11112">
    <w:name w:val="Colorful Grid - Accent 11112"/>
    <w:basedOn w:val="TableNormal"/>
    <w:rsid w:val="005150E5"/>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2">
    <w:name w:val="Light List - Accent 51112"/>
    <w:basedOn w:val="TableNormal"/>
    <w:rsid w:val="005150E5"/>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2">
    <w:name w:val="No List4212"/>
    <w:next w:val="NoList"/>
    <w:semiHidden/>
    <w:rsid w:val="005150E5"/>
  </w:style>
  <w:style w:type="numbering" w:customStyle="1" w:styleId="NoList11213">
    <w:name w:val="No List11213"/>
    <w:next w:val="NoList"/>
    <w:semiHidden/>
    <w:unhideWhenUsed/>
    <w:rsid w:val="005150E5"/>
  </w:style>
  <w:style w:type="table" w:customStyle="1" w:styleId="Table3Deffects3121">
    <w:name w:val="Table 3D effects 3121"/>
    <w:basedOn w:val="TableNormal"/>
    <w:next w:val="Table3Deffects3"/>
    <w:rsid w:val="005150E5"/>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2">
    <w:name w:val="Нет списка11212"/>
    <w:next w:val="NoList"/>
    <w:semiHidden/>
    <w:unhideWhenUsed/>
    <w:rsid w:val="005150E5"/>
  </w:style>
  <w:style w:type="table" w:customStyle="1" w:styleId="TableGrid11210">
    <w:name w:val="Table Grid1121"/>
    <w:basedOn w:val="TableNormal"/>
    <w:next w:val="TableGrid"/>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12">
    <w:name w:val="No List5112"/>
    <w:next w:val="NoList"/>
    <w:uiPriority w:val="99"/>
    <w:semiHidden/>
    <w:rsid w:val="005150E5"/>
  </w:style>
  <w:style w:type="numbering" w:customStyle="1" w:styleId="NoList6111">
    <w:name w:val="No List6111"/>
    <w:next w:val="NoList"/>
    <w:uiPriority w:val="99"/>
    <w:semiHidden/>
    <w:unhideWhenUsed/>
    <w:rsid w:val="005150E5"/>
  </w:style>
  <w:style w:type="table" w:customStyle="1" w:styleId="TableGrid2112">
    <w:name w:val="Table Grid2112"/>
    <w:basedOn w:val="TableNormal"/>
    <w:next w:val="TableGrid"/>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11">
    <w:name w:val="No List7111"/>
    <w:next w:val="NoList"/>
    <w:uiPriority w:val="99"/>
    <w:semiHidden/>
    <w:unhideWhenUsed/>
    <w:rsid w:val="005150E5"/>
  </w:style>
  <w:style w:type="numbering" w:customStyle="1" w:styleId="NoList12112">
    <w:name w:val="No List12112"/>
    <w:next w:val="NoList"/>
    <w:uiPriority w:val="99"/>
    <w:semiHidden/>
    <w:unhideWhenUsed/>
    <w:rsid w:val="005150E5"/>
  </w:style>
  <w:style w:type="table" w:customStyle="1" w:styleId="TableGrid31110">
    <w:name w:val="Table Grid3111"/>
    <w:basedOn w:val="TableNormal"/>
    <w:next w:val="TableGrid"/>
    <w:rsid w:val="005150E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11">
    <w:name w:val="Table Web 21111"/>
    <w:basedOn w:val="TableNormal"/>
    <w:next w:val="TableWeb2"/>
    <w:rsid w:val="005150E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1">
    <w:name w:val="Table Web 11111"/>
    <w:basedOn w:val="TableNormal"/>
    <w:next w:val="TableWeb1"/>
    <w:rsid w:val="005150E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1">
    <w:name w:val="Table Grid 81111"/>
    <w:basedOn w:val="TableNormal"/>
    <w:next w:val="TableGrid8"/>
    <w:rsid w:val="005150E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1">
    <w:name w:val="Table Contemporary1111"/>
    <w:basedOn w:val="TableNormal"/>
    <w:next w:val="TableContemporary"/>
    <w:rsid w:val="005150E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11">
    <w:name w:val="Colorful Grid - Accent 12111"/>
    <w:basedOn w:val="TableNormal"/>
    <w:next w:val="ColorfulGrid-Accent1"/>
    <w:uiPriority w:val="73"/>
    <w:rsid w:val="005150E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1">
    <w:name w:val="Light List - Accent 52111"/>
    <w:basedOn w:val="TableNormal"/>
    <w:next w:val="LightList-Accent5"/>
    <w:uiPriority w:val="61"/>
    <w:rsid w:val="005150E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11">
    <w:name w:val="No List8111"/>
    <w:next w:val="NoList"/>
    <w:uiPriority w:val="99"/>
    <w:semiHidden/>
    <w:unhideWhenUsed/>
    <w:rsid w:val="005150E5"/>
  </w:style>
  <w:style w:type="numbering" w:customStyle="1" w:styleId="12111">
    <w:name w:val="Нет списка12111"/>
    <w:next w:val="NoList"/>
    <w:semiHidden/>
    <w:unhideWhenUsed/>
    <w:rsid w:val="005150E5"/>
  </w:style>
  <w:style w:type="numbering" w:customStyle="1" w:styleId="NoList13111">
    <w:name w:val="No List13111"/>
    <w:next w:val="NoList"/>
    <w:semiHidden/>
    <w:unhideWhenUsed/>
    <w:rsid w:val="005150E5"/>
  </w:style>
  <w:style w:type="numbering" w:customStyle="1" w:styleId="NoList21112">
    <w:name w:val="No List21112"/>
    <w:next w:val="NoList"/>
    <w:semiHidden/>
    <w:unhideWhenUsed/>
    <w:rsid w:val="005150E5"/>
  </w:style>
  <w:style w:type="numbering" w:customStyle="1" w:styleId="NoList31112">
    <w:name w:val="No List31112"/>
    <w:next w:val="NoList"/>
    <w:semiHidden/>
    <w:unhideWhenUsed/>
    <w:rsid w:val="005150E5"/>
  </w:style>
  <w:style w:type="numbering" w:customStyle="1" w:styleId="111211">
    <w:name w:val="Нет списка111211"/>
    <w:next w:val="NoList"/>
    <w:semiHidden/>
    <w:unhideWhenUsed/>
    <w:rsid w:val="005150E5"/>
  </w:style>
  <w:style w:type="numbering" w:customStyle="1" w:styleId="NoList41111">
    <w:name w:val="No List41111"/>
    <w:next w:val="NoList"/>
    <w:semiHidden/>
    <w:rsid w:val="005150E5"/>
  </w:style>
  <w:style w:type="numbering" w:customStyle="1" w:styleId="NoList111123">
    <w:name w:val="No List111123"/>
    <w:next w:val="NoList"/>
    <w:semiHidden/>
    <w:unhideWhenUsed/>
    <w:rsid w:val="005150E5"/>
  </w:style>
  <w:style w:type="numbering" w:customStyle="1" w:styleId="1111111">
    <w:name w:val="Нет списка1111111"/>
    <w:next w:val="NoList"/>
    <w:semiHidden/>
    <w:unhideWhenUsed/>
    <w:rsid w:val="005150E5"/>
  </w:style>
  <w:style w:type="table" w:customStyle="1" w:styleId="TableGrid612">
    <w:name w:val="Table Grid612"/>
    <w:basedOn w:val="TableNormal"/>
    <w:next w:val="TableGrid"/>
    <w:uiPriority w:val="39"/>
    <w:rsid w:val="005150E5"/>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1">
    <w:name w:val="Grid Table 1 Light - Accent 5111"/>
    <w:basedOn w:val="TableNormal"/>
    <w:uiPriority w:val="46"/>
    <w:rsid w:val="005150E5"/>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12">
    <w:name w:val="Table Grid2212"/>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 Grid7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 Grid8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rsid w:val="005150E5"/>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Grid142">
    <w:name w:val="Table Grid142"/>
    <w:basedOn w:val="TableNormal"/>
    <w:next w:val="TableGrid"/>
    <w:uiPriority w:val="39"/>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0">
    <w:name w:val="Table Grid73"/>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39"/>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1">
    <w:name w:val="Table Grid11131"/>
    <w:basedOn w:val="TableNormal"/>
    <w:next w:val="TableGrid"/>
    <w:uiPriority w:val="39"/>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Grid3-Accent1">
    <w:name w:val="Medium Grid 3 Accent 1"/>
    <w:basedOn w:val="TableNormal"/>
    <w:uiPriority w:val="69"/>
    <w:unhideWhenUsed/>
    <w:rsid w:val="005150E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stTable7Colorful-Accent11">
    <w:name w:val="List Table 7 Colorful - Accent 11"/>
    <w:basedOn w:val="TableNormal"/>
    <w:uiPriority w:val="52"/>
    <w:rsid w:val="001E3933"/>
    <w:rPr>
      <w:rFonts w:asciiTheme="minorHAnsi" w:eastAsiaTheme="minorHAnsi" w:hAnsiTheme="minorHAnsi" w:cstheme="minorBidi"/>
      <w:color w:val="365F91" w:themeColor="accent1"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57">
    <w:name w:val="No List57"/>
    <w:next w:val="NoList"/>
    <w:semiHidden/>
    <w:rsid w:val="00A00B8B"/>
  </w:style>
  <w:style w:type="paragraph" w:customStyle="1" w:styleId="DefaultParagraphFontParaChar">
    <w:name w:val="Default Paragraph Font Para Char"/>
    <w:basedOn w:val="Normal"/>
    <w:locked/>
    <w:rsid w:val="00A00B8B"/>
    <w:pPr>
      <w:spacing w:before="0" w:after="160" w:line="240" w:lineRule="auto"/>
      <w:ind w:firstLine="0"/>
      <w:contextualSpacing w:val="0"/>
      <w:jc w:val="left"/>
    </w:pPr>
    <w:rPr>
      <w:rFonts w:ascii="Verdana" w:eastAsia="Batang" w:hAnsi="Verdana" w:cs="Verdana"/>
      <w:b w:val="0"/>
      <w:sz w:val="24"/>
      <w:lang w:val="en-GB" w:eastAsia="en-US"/>
    </w:rPr>
  </w:style>
  <w:style w:type="table" w:customStyle="1" w:styleId="TableGrid300">
    <w:name w:val="Table Grid30"/>
    <w:basedOn w:val="TableNormal"/>
    <w:next w:val="TableGrid"/>
    <w:rsid w:val="00A00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Ամփոփոթերթ"/>
    <w:basedOn w:val="Normal"/>
    <w:rsid w:val="00A00B8B"/>
    <w:pPr>
      <w:framePr w:wrap="around" w:vAnchor="text" w:hAnchor="text" w:y="1"/>
      <w:numPr>
        <w:numId w:val="25"/>
      </w:numPr>
      <w:spacing w:before="0" w:line="240" w:lineRule="auto"/>
      <w:contextualSpacing w:val="0"/>
      <w:jc w:val="left"/>
    </w:pPr>
    <w:rPr>
      <w:rFonts w:ascii="Sylfaen" w:hAnsi="Sylfaen" w:cs="Sylfaen"/>
      <w:b w:val="0"/>
      <w:szCs w:val="22"/>
      <w:lang w:val="en-US" w:eastAsia="en-US"/>
    </w:rPr>
  </w:style>
  <w:style w:type="paragraph" w:customStyle="1" w:styleId="GHM">
    <w:name w:val="GHM"/>
    <w:rsid w:val="00A00B8B"/>
    <w:rPr>
      <w:rFonts w:ascii="GHEA Mariam" w:hAnsi="GHEA Mariam"/>
      <w:sz w:val="24"/>
      <w:szCs w:val="24"/>
      <w:lang w:val="hy-AM"/>
    </w:rPr>
  </w:style>
  <w:style w:type="paragraph" w:customStyle="1" w:styleId="Charb">
    <w:name w:val="Char"/>
    <w:basedOn w:val="Normal"/>
    <w:locked/>
    <w:rsid w:val="00A00B8B"/>
    <w:pPr>
      <w:spacing w:before="0" w:after="160" w:line="240" w:lineRule="auto"/>
      <w:ind w:firstLine="0"/>
      <w:contextualSpacing w:val="0"/>
      <w:jc w:val="left"/>
    </w:pPr>
    <w:rPr>
      <w:rFonts w:ascii="Verdana" w:eastAsia="Batang" w:hAnsi="Verdana" w:cs="Verdana"/>
      <w:b w:val="0"/>
      <w:sz w:val="24"/>
      <w:lang w:val="en-GB"/>
    </w:rPr>
  </w:style>
  <w:style w:type="table" w:customStyle="1" w:styleId="TableGrid340">
    <w:name w:val="Table Grid34"/>
    <w:basedOn w:val="TableNormal"/>
    <w:next w:val="TableGrid"/>
    <w:uiPriority w:val="39"/>
    <w:rsid w:val="00836C0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4E12E8"/>
  </w:style>
  <w:style w:type="table" w:customStyle="1" w:styleId="TableGrid350">
    <w:name w:val="Table Grid35"/>
    <w:basedOn w:val="TableNormal"/>
    <w:next w:val="TableGrid"/>
    <w:uiPriority w:val="39"/>
    <w:rsid w:val="004E12E8"/>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9">
    <w:name w:val="Table List 79"/>
    <w:basedOn w:val="TableNormal"/>
    <w:next w:val="TableList7"/>
    <w:rsid w:val="004E12E8"/>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9">
    <w:name w:val="Table Web 39"/>
    <w:basedOn w:val="TableNormal"/>
    <w:next w:val="TableWeb3"/>
    <w:rsid w:val="004E12E8"/>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9">
    <w:name w:val="Table Elegant9"/>
    <w:basedOn w:val="TableNormal"/>
    <w:next w:val="TableElegant"/>
    <w:rsid w:val="004E12E8"/>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9">
    <w:name w:val="Table Web 29"/>
    <w:basedOn w:val="TableNormal"/>
    <w:next w:val="TableWeb2"/>
    <w:rsid w:val="004E12E8"/>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9">
    <w:name w:val="Table Web 19"/>
    <w:basedOn w:val="TableNormal"/>
    <w:next w:val="TableWeb1"/>
    <w:rsid w:val="004E12E8"/>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9">
    <w:name w:val="Table Grid 89"/>
    <w:basedOn w:val="TableNormal"/>
    <w:next w:val="TableGrid8"/>
    <w:rsid w:val="004E12E8"/>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9">
    <w:name w:val="Table Contemporary9"/>
    <w:basedOn w:val="TableNormal"/>
    <w:next w:val="TableContemporary"/>
    <w:rsid w:val="004E12E8"/>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34">
    <w:name w:val="No List134"/>
    <w:next w:val="NoList"/>
    <w:semiHidden/>
    <w:unhideWhenUsed/>
    <w:rsid w:val="004E12E8"/>
  </w:style>
  <w:style w:type="numbering" w:customStyle="1" w:styleId="NoList218">
    <w:name w:val="No List218"/>
    <w:next w:val="NoList"/>
    <w:semiHidden/>
    <w:unhideWhenUsed/>
    <w:rsid w:val="004E12E8"/>
  </w:style>
  <w:style w:type="numbering" w:customStyle="1" w:styleId="NoList317">
    <w:name w:val="No List317"/>
    <w:next w:val="NoList"/>
    <w:semiHidden/>
    <w:unhideWhenUsed/>
    <w:rsid w:val="004E12E8"/>
  </w:style>
  <w:style w:type="table" w:customStyle="1" w:styleId="LightList-Accent128">
    <w:name w:val="Light List - Accent 128"/>
    <w:basedOn w:val="TableNormal"/>
    <w:next w:val="LightList-Accent1"/>
    <w:uiPriority w:val="61"/>
    <w:rsid w:val="004E12E8"/>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9">
    <w:name w:val="Table Grid 79"/>
    <w:basedOn w:val="TableNormal"/>
    <w:next w:val="TableGrid7"/>
    <w:rsid w:val="004E12E8"/>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10">
    <w:name w:val="Colorful Grid - Accent 110"/>
    <w:basedOn w:val="TableNormal"/>
    <w:next w:val="ColorfulGrid-Accent1"/>
    <w:uiPriority w:val="73"/>
    <w:rsid w:val="004E12E8"/>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9">
    <w:name w:val="Light List - Accent 519"/>
    <w:basedOn w:val="TableNormal"/>
    <w:next w:val="LightList-Accent5"/>
    <w:uiPriority w:val="61"/>
    <w:rsid w:val="004E12E8"/>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9">
    <w:name w:val="Table Simple 39"/>
    <w:basedOn w:val="TableNormal"/>
    <w:next w:val="TableSimple3"/>
    <w:rsid w:val="004E12E8"/>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9">
    <w:name w:val="Table Grid 59"/>
    <w:basedOn w:val="TableNormal"/>
    <w:next w:val="TableGrid5"/>
    <w:rsid w:val="004E12E8"/>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9">
    <w:name w:val="Table Grid 39"/>
    <w:basedOn w:val="TableNormal"/>
    <w:next w:val="TableGrid3"/>
    <w:rsid w:val="004E12E8"/>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90">
    <w:name w:val="Table Grid 19"/>
    <w:basedOn w:val="TableNormal"/>
    <w:next w:val="TableGrid10"/>
    <w:rsid w:val="004E12E8"/>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9">
    <w:name w:val="Table Columns 59"/>
    <w:basedOn w:val="TableNormal"/>
    <w:next w:val="TableColumns5"/>
    <w:rsid w:val="004E12E8"/>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5">
    <w:name w:val="Light List - Accent 1115"/>
    <w:basedOn w:val="TableNormal"/>
    <w:uiPriority w:val="61"/>
    <w:rsid w:val="004E12E8"/>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100">
    <w:name w:val="Нет списка110"/>
    <w:next w:val="NoList"/>
    <w:semiHidden/>
    <w:unhideWhenUsed/>
    <w:rsid w:val="004E12E8"/>
  </w:style>
  <w:style w:type="table" w:customStyle="1" w:styleId="ColorfulGrid-Accent119">
    <w:name w:val="Colorful Grid - Accent 119"/>
    <w:basedOn w:val="TableNormal"/>
    <w:rsid w:val="004E12E8"/>
    <w:pPr>
      <w:spacing w:after="200" w:line="276" w:lineRule="auto"/>
    </w:pPr>
    <w:rPr>
      <w:rFonts w:ascii="Calibri" w:hAnsi="Calibri"/>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0">
    <w:name w:val="Light List - Accent 5110"/>
    <w:basedOn w:val="TableNormal"/>
    <w:rsid w:val="004E12E8"/>
    <w:pPr>
      <w:spacing w:after="200" w:line="276" w:lineRule="auto"/>
    </w:pPr>
    <w:rPr>
      <w:rFonts w:ascii="Calibri" w:hAnsi="Calibri"/>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5">
    <w:name w:val="No List415"/>
    <w:next w:val="NoList"/>
    <w:semiHidden/>
    <w:rsid w:val="004E12E8"/>
  </w:style>
  <w:style w:type="numbering" w:customStyle="1" w:styleId="NoList1126">
    <w:name w:val="No List1126"/>
    <w:next w:val="NoList"/>
    <w:semiHidden/>
    <w:unhideWhenUsed/>
    <w:rsid w:val="004E12E8"/>
  </w:style>
  <w:style w:type="table" w:customStyle="1" w:styleId="Table3Deffects39">
    <w:name w:val="Table 3D effects 39"/>
    <w:basedOn w:val="TableNormal"/>
    <w:next w:val="Table3Deffects3"/>
    <w:rsid w:val="004E12E8"/>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
    <w:name w:val="Нет списка119"/>
    <w:next w:val="NoList"/>
    <w:semiHidden/>
    <w:unhideWhenUsed/>
    <w:rsid w:val="004E12E8"/>
  </w:style>
  <w:style w:type="table" w:customStyle="1" w:styleId="TableGrid116">
    <w:name w:val="Table Grid116"/>
    <w:basedOn w:val="TableNormal"/>
    <w:next w:val="TableGrid"/>
    <w:rsid w:val="004E12E8"/>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9">
    <w:name w:val="No List59"/>
    <w:next w:val="NoList"/>
    <w:uiPriority w:val="99"/>
    <w:semiHidden/>
    <w:rsid w:val="004E12E8"/>
  </w:style>
  <w:style w:type="numbering" w:customStyle="1" w:styleId="NoList64">
    <w:name w:val="No List64"/>
    <w:next w:val="NoList"/>
    <w:uiPriority w:val="99"/>
    <w:semiHidden/>
    <w:unhideWhenUsed/>
    <w:rsid w:val="004E12E8"/>
  </w:style>
  <w:style w:type="table" w:customStyle="1" w:styleId="TableGrid214">
    <w:name w:val="Table Grid214"/>
    <w:basedOn w:val="TableNormal"/>
    <w:next w:val="TableGrid"/>
    <w:rsid w:val="004E12E8"/>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4">
    <w:name w:val="No List74"/>
    <w:next w:val="NoList"/>
    <w:uiPriority w:val="99"/>
    <w:semiHidden/>
    <w:unhideWhenUsed/>
    <w:rsid w:val="004E12E8"/>
  </w:style>
  <w:style w:type="numbering" w:customStyle="1" w:styleId="NoList1214">
    <w:name w:val="No List1214"/>
    <w:next w:val="NoList"/>
    <w:uiPriority w:val="99"/>
    <w:semiHidden/>
    <w:unhideWhenUsed/>
    <w:rsid w:val="004E12E8"/>
  </w:style>
  <w:style w:type="table" w:customStyle="1" w:styleId="TableGrid360">
    <w:name w:val="Table Grid36"/>
    <w:basedOn w:val="TableNormal"/>
    <w:next w:val="TableGrid"/>
    <w:rsid w:val="004E12E8"/>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4">
    <w:name w:val="Table Web 214"/>
    <w:basedOn w:val="TableNormal"/>
    <w:next w:val="TableWeb2"/>
    <w:rsid w:val="004E12E8"/>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4">
    <w:name w:val="Table Web 114"/>
    <w:basedOn w:val="TableNormal"/>
    <w:next w:val="TableWeb1"/>
    <w:rsid w:val="004E12E8"/>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4">
    <w:name w:val="Table Grid 814"/>
    <w:basedOn w:val="TableNormal"/>
    <w:next w:val="TableGrid8"/>
    <w:rsid w:val="004E12E8"/>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4">
    <w:name w:val="Table Contemporary14"/>
    <w:basedOn w:val="TableNormal"/>
    <w:next w:val="TableContemporary"/>
    <w:rsid w:val="004E12E8"/>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4">
    <w:name w:val="Colorful Grid - Accent 124"/>
    <w:basedOn w:val="TableNormal"/>
    <w:next w:val="ColorfulGrid-Accent1"/>
    <w:rsid w:val="004E12E8"/>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4">
    <w:name w:val="Light List - Accent 524"/>
    <w:basedOn w:val="TableNormal"/>
    <w:next w:val="LightList-Accent5"/>
    <w:rsid w:val="004E12E8"/>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4">
    <w:name w:val="No List84"/>
    <w:next w:val="NoList"/>
    <w:uiPriority w:val="99"/>
    <w:semiHidden/>
    <w:unhideWhenUsed/>
    <w:rsid w:val="004E12E8"/>
  </w:style>
  <w:style w:type="numbering" w:customStyle="1" w:styleId="1240">
    <w:name w:val="Нет списка124"/>
    <w:next w:val="NoList"/>
    <w:uiPriority w:val="99"/>
    <w:semiHidden/>
    <w:unhideWhenUsed/>
    <w:rsid w:val="004E12E8"/>
  </w:style>
  <w:style w:type="numbering" w:customStyle="1" w:styleId="NoList135">
    <w:name w:val="No List135"/>
    <w:next w:val="NoList"/>
    <w:semiHidden/>
    <w:unhideWhenUsed/>
    <w:rsid w:val="004E12E8"/>
  </w:style>
  <w:style w:type="numbering" w:customStyle="1" w:styleId="NoList219">
    <w:name w:val="No List219"/>
    <w:next w:val="NoList"/>
    <w:semiHidden/>
    <w:unhideWhenUsed/>
    <w:rsid w:val="004E12E8"/>
  </w:style>
  <w:style w:type="numbering" w:customStyle="1" w:styleId="NoList318">
    <w:name w:val="No List318"/>
    <w:next w:val="NoList"/>
    <w:semiHidden/>
    <w:unhideWhenUsed/>
    <w:rsid w:val="004E12E8"/>
  </w:style>
  <w:style w:type="numbering" w:customStyle="1" w:styleId="1114">
    <w:name w:val="Нет списка1114"/>
    <w:next w:val="NoList"/>
    <w:semiHidden/>
    <w:unhideWhenUsed/>
    <w:rsid w:val="004E12E8"/>
  </w:style>
  <w:style w:type="numbering" w:customStyle="1" w:styleId="NoList416">
    <w:name w:val="No List416"/>
    <w:next w:val="NoList"/>
    <w:semiHidden/>
    <w:rsid w:val="004E12E8"/>
  </w:style>
  <w:style w:type="numbering" w:customStyle="1" w:styleId="NoList11117">
    <w:name w:val="No List11117"/>
    <w:next w:val="NoList"/>
    <w:semiHidden/>
    <w:unhideWhenUsed/>
    <w:rsid w:val="004E12E8"/>
  </w:style>
  <w:style w:type="numbering" w:customStyle="1" w:styleId="11113">
    <w:name w:val="Нет списка11113"/>
    <w:next w:val="NoList"/>
    <w:semiHidden/>
    <w:unhideWhenUsed/>
    <w:rsid w:val="004E12E8"/>
  </w:style>
  <w:style w:type="numbering" w:customStyle="1" w:styleId="NoList94">
    <w:name w:val="No List94"/>
    <w:next w:val="NoList"/>
    <w:uiPriority w:val="99"/>
    <w:semiHidden/>
    <w:unhideWhenUsed/>
    <w:rsid w:val="004E12E8"/>
  </w:style>
  <w:style w:type="table" w:customStyle="1" w:styleId="TableGrid44">
    <w:name w:val="Table Grid44"/>
    <w:basedOn w:val="TableNormal"/>
    <w:next w:val="TableGrid"/>
    <w:uiPriority w:val="39"/>
    <w:rsid w:val="004E12E8"/>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3">
    <w:name w:val="Grid Table 1 Light - Accent 513"/>
    <w:basedOn w:val="TableNormal"/>
    <w:uiPriority w:val="46"/>
    <w:rsid w:val="004E12E8"/>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2">
    <w:name w:val="Plain Table 312"/>
    <w:basedOn w:val="TableNormal"/>
    <w:uiPriority w:val="43"/>
    <w:rsid w:val="004E12E8"/>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2">
    <w:name w:val="Grid Table 4 - Accent 112"/>
    <w:basedOn w:val="TableNormal"/>
    <w:uiPriority w:val="49"/>
    <w:rsid w:val="004E12E8"/>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04">
    <w:name w:val="No List104"/>
    <w:next w:val="NoList"/>
    <w:uiPriority w:val="99"/>
    <w:semiHidden/>
    <w:unhideWhenUsed/>
    <w:rsid w:val="004E12E8"/>
  </w:style>
  <w:style w:type="table" w:customStyle="1" w:styleId="TableGrid540">
    <w:name w:val="Table Grid54"/>
    <w:basedOn w:val="TableNormal"/>
    <w:next w:val="TableGrid"/>
    <w:uiPriority w:val="39"/>
    <w:rsid w:val="004E12E8"/>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4">
    <w:name w:val="Table List 714"/>
    <w:basedOn w:val="TableNormal"/>
    <w:next w:val="TableList7"/>
    <w:rsid w:val="004E12E8"/>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4">
    <w:name w:val="Table Web 314"/>
    <w:basedOn w:val="TableNormal"/>
    <w:next w:val="TableWeb3"/>
    <w:rsid w:val="004E12E8"/>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4">
    <w:name w:val="Table Elegant14"/>
    <w:basedOn w:val="TableNormal"/>
    <w:next w:val="TableElegant"/>
    <w:rsid w:val="004E12E8"/>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4">
    <w:name w:val="Table Web 224"/>
    <w:basedOn w:val="TableNormal"/>
    <w:next w:val="TableWeb2"/>
    <w:rsid w:val="004E12E8"/>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4">
    <w:name w:val="Table Web 124"/>
    <w:basedOn w:val="TableNormal"/>
    <w:next w:val="TableWeb1"/>
    <w:rsid w:val="004E12E8"/>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4">
    <w:name w:val="Table Grid 824"/>
    <w:basedOn w:val="TableNormal"/>
    <w:next w:val="TableGrid8"/>
    <w:rsid w:val="004E12E8"/>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4">
    <w:name w:val="Table Contemporary24"/>
    <w:basedOn w:val="TableNormal"/>
    <w:next w:val="TableContemporary"/>
    <w:rsid w:val="004E12E8"/>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4">
    <w:name w:val="No List144"/>
    <w:next w:val="NoList"/>
    <w:semiHidden/>
    <w:unhideWhenUsed/>
    <w:rsid w:val="004E12E8"/>
  </w:style>
  <w:style w:type="numbering" w:customStyle="1" w:styleId="NoList224">
    <w:name w:val="No List224"/>
    <w:next w:val="NoList"/>
    <w:semiHidden/>
    <w:unhideWhenUsed/>
    <w:rsid w:val="004E12E8"/>
  </w:style>
  <w:style w:type="numbering" w:customStyle="1" w:styleId="NoList324">
    <w:name w:val="No List324"/>
    <w:next w:val="NoList"/>
    <w:semiHidden/>
    <w:unhideWhenUsed/>
    <w:rsid w:val="004E12E8"/>
  </w:style>
  <w:style w:type="table" w:customStyle="1" w:styleId="LightList-Accent129">
    <w:name w:val="Light List - Accent 129"/>
    <w:basedOn w:val="TableNormal"/>
    <w:uiPriority w:val="61"/>
    <w:rsid w:val="004E12E8"/>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4">
    <w:name w:val="Table Grid 714"/>
    <w:basedOn w:val="TableNormal"/>
    <w:next w:val="TableGrid7"/>
    <w:rsid w:val="004E12E8"/>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4">
    <w:name w:val="Colorful Grid - Accent 134"/>
    <w:basedOn w:val="TableNormal"/>
    <w:next w:val="ColorfulGrid-Accent1"/>
    <w:uiPriority w:val="73"/>
    <w:rsid w:val="004E12E8"/>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4">
    <w:name w:val="Light List - Accent 534"/>
    <w:basedOn w:val="TableNormal"/>
    <w:next w:val="LightList-Accent5"/>
    <w:uiPriority w:val="61"/>
    <w:rsid w:val="004E12E8"/>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4">
    <w:name w:val="Table Simple 314"/>
    <w:basedOn w:val="TableNormal"/>
    <w:next w:val="TableSimple3"/>
    <w:rsid w:val="004E12E8"/>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4">
    <w:name w:val="Table Grid 514"/>
    <w:basedOn w:val="TableNormal"/>
    <w:next w:val="TableGrid5"/>
    <w:rsid w:val="004E12E8"/>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4">
    <w:name w:val="Table Grid 314"/>
    <w:basedOn w:val="TableNormal"/>
    <w:next w:val="TableGrid3"/>
    <w:rsid w:val="004E12E8"/>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40">
    <w:name w:val="Table Grid 114"/>
    <w:basedOn w:val="TableNormal"/>
    <w:next w:val="TableGrid10"/>
    <w:rsid w:val="004E12E8"/>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4">
    <w:name w:val="Table Columns 514"/>
    <w:basedOn w:val="TableNormal"/>
    <w:next w:val="TableColumns5"/>
    <w:rsid w:val="004E12E8"/>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6">
    <w:name w:val="Light List - Accent 1116"/>
    <w:basedOn w:val="TableNormal"/>
    <w:uiPriority w:val="61"/>
    <w:rsid w:val="004E12E8"/>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4">
    <w:name w:val="Нет списка134"/>
    <w:next w:val="NoList"/>
    <w:semiHidden/>
    <w:unhideWhenUsed/>
    <w:rsid w:val="004E12E8"/>
  </w:style>
  <w:style w:type="table" w:customStyle="1" w:styleId="ColorfulGrid-Accent1114">
    <w:name w:val="Colorful Grid - Accent 1114"/>
    <w:basedOn w:val="TableNormal"/>
    <w:rsid w:val="004E12E8"/>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4">
    <w:name w:val="Light List - Accent 5114"/>
    <w:basedOn w:val="TableNormal"/>
    <w:rsid w:val="004E12E8"/>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4">
    <w:name w:val="No List424"/>
    <w:next w:val="NoList"/>
    <w:semiHidden/>
    <w:rsid w:val="004E12E8"/>
  </w:style>
  <w:style w:type="numbering" w:customStyle="1" w:styleId="NoList1127">
    <w:name w:val="No List1127"/>
    <w:next w:val="NoList"/>
    <w:semiHidden/>
    <w:unhideWhenUsed/>
    <w:rsid w:val="004E12E8"/>
  </w:style>
  <w:style w:type="table" w:customStyle="1" w:styleId="Table3Deffects314">
    <w:name w:val="Table 3D effects 314"/>
    <w:basedOn w:val="TableNormal"/>
    <w:next w:val="Table3Deffects3"/>
    <w:rsid w:val="004E12E8"/>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4">
    <w:name w:val="Нет списка1124"/>
    <w:next w:val="NoList"/>
    <w:semiHidden/>
    <w:unhideWhenUsed/>
    <w:rsid w:val="004E12E8"/>
  </w:style>
  <w:style w:type="table" w:customStyle="1" w:styleId="TableGrid117">
    <w:name w:val="Table Grid117"/>
    <w:basedOn w:val="TableNormal"/>
    <w:next w:val="TableGrid"/>
    <w:rsid w:val="004E12E8"/>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4">
    <w:name w:val="No List514"/>
    <w:next w:val="NoList"/>
    <w:uiPriority w:val="99"/>
    <w:semiHidden/>
    <w:rsid w:val="004E12E8"/>
  </w:style>
  <w:style w:type="numbering" w:customStyle="1" w:styleId="NoList613">
    <w:name w:val="No List613"/>
    <w:next w:val="NoList"/>
    <w:uiPriority w:val="99"/>
    <w:semiHidden/>
    <w:unhideWhenUsed/>
    <w:rsid w:val="004E12E8"/>
  </w:style>
  <w:style w:type="table" w:customStyle="1" w:styleId="TableGrid215">
    <w:name w:val="Table Grid215"/>
    <w:basedOn w:val="TableNormal"/>
    <w:next w:val="TableGrid"/>
    <w:rsid w:val="004E12E8"/>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3">
    <w:name w:val="No List713"/>
    <w:next w:val="NoList"/>
    <w:uiPriority w:val="99"/>
    <w:semiHidden/>
    <w:unhideWhenUsed/>
    <w:rsid w:val="004E12E8"/>
  </w:style>
  <w:style w:type="numbering" w:customStyle="1" w:styleId="NoList1215">
    <w:name w:val="No List1215"/>
    <w:next w:val="NoList"/>
    <w:uiPriority w:val="99"/>
    <w:semiHidden/>
    <w:unhideWhenUsed/>
    <w:rsid w:val="004E12E8"/>
  </w:style>
  <w:style w:type="table" w:customStyle="1" w:styleId="TableGrid3130">
    <w:name w:val="Table Grid313"/>
    <w:basedOn w:val="TableNormal"/>
    <w:next w:val="TableGrid"/>
    <w:rsid w:val="004E12E8"/>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3">
    <w:name w:val="Table Web 2113"/>
    <w:basedOn w:val="TableNormal"/>
    <w:next w:val="TableWeb2"/>
    <w:rsid w:val="004E12E8"/>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3">
    <w:name w:val="Table Web 1113"/>
    <w:basedOn w:val="TableNormal"/>
    <w:next w:val="TableWeb1"/>
    <w:rsid w:val="004E12E8"/>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3">
    <w:name w:val="Table Grid 8113"/>
    <w:basedOn w:val="TableNormal"/>
    <w:next w:val="TableGrid8"/>
    <w:rsid w:val="004E12E8"/>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3">
    <w:name w:val="Table Contemporary113"/>
    <w:basedOn w:val="TableNormal"/>
    <w:next w:val="TableContemporary"/>
    <w:rsid w:val="004E12E8"/>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3">
    <w:name w:val="Colorful Grid - Accent 1213"/>
    <w:basedOn w:val="TableNormal"/>
    <w:next w:val="ColorfulGrid-Accent1"/>
    <w:rsid w:val="004E12E8"/>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3">
    <w:name w:val="Light List - Accent 5213"/>
    <w:basedOn w:val="TableNormal"/>
    <w:next w:val="LightList-Accent5"/>
    <w:rsid w:val="004E12E8"/>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3">
    <w:name w:val="No List813"/>
    <w:next w:val="NoList"/>
    <w:uiPriority w:val="99"/>
    <w:semiHidden/>
    <w:unhideWhenUsed/>
    <w:rsid w:val="004E12E8"/>
  </w:style>
  <w:style w:type="numbering" w:customStyle="1" w:styleId="1213">
    <w:name w:val="Нет списка1213"/>
    <w:next w:val="NoList"/>
    <w:uiPriority w:val="99"/>
    <w:semiHidden/>
    <w:unhideWhenUsed/>
    <w:rsid w:val="004E12E8"/>
  </w:style>
  <w:style w:type="numbering" w:customStyle="1" w:styleId="NoList1313">
    <w:name w:val="No List1313"/>
    <w:next w:val="NoList"/>
    <w:semiHidden/>
    <w:unhideWhenUsed/>
    <w:rsid w:val="004E12E8"/>
  </w:style>
  <w:style w:type="numbering" w:customStyle="1" w:styleId="NoList2114">
    <w:name w:val="No List2114"/>
    <w:next w:val="NoList"/>
    <w:semiHidden/>
    <w:unhideWhenUsed/>
    <w:rsid w:val="004E12E8"/>
  </w:style>
  <w:style w:type="numbering" w:customStyle="1" w:styleId="NoList3114">
    <w:name w:val="No List3114"/>
    <w:next w:val="NoList"/>
    <w:semiHidden/>
    <w:unhideWhenUsed/>
    <w:rsid w:val="004E12E8"/>
  </w:style>
  <w:style w:type="numbering" w:customStyle="1" w:styleId="11122">
    <w:name w:val="Нет списка11122"/>
    <w:next w:val="NoList"/>
    <w:semiHidden/>
    <w:unhideWhenUsed/>
    <w:rsid w:val="004E12E8"/>
  </w:style>
  <w:style w:type="numbering" w:customStyle="1" w:styleId="NoList4113">
    <w:name w:val="No List4113"/>
    <w:next w:val="NoList"/>
    <w:semiHidden/>
    <w:rsid w:val="004E12E8"/>
  </w:style>
  <w:style w:type="numbering" w:customStyle="1" w:styleId="NoList11118">
    <w:name w:val="No List11118"/>
    <w:next w:val="NoList"/>
    <w:semiHidden/>
    <w:unhideWhenUsed/>
    <w:rsid w:val="004E12E8"/>
  </w:style>
  <w:style w:type="numbering" w:customStyle="1" w:styleId="111112">
    <w:name w:val="Нет списка111112"/>
    <w:next w:val="NoList"/>
    <w:semiHidden/>
    <w:unhideWhenUsed/>
    <w:rsid w:val="004E12E8"/>
  </w:style>
  <w:style w:type="table" w:customStyle="1" w:styleId="TableGrid64">
    <w:name w:val="Table Grid64"/>
    <w:basedOn w:val="TableNormal"/>
    <w:next w:val="TableGrid"/>
    <w:uiPriority w:val="39"/>
    <w:rsid w:val="004E12E8"/>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2">
    <w:name w:val="Grid Table 1 Light - Accent 5112"/>
    <w:basedOn w:val="TableNormal"/>
    <w:uiPriority w:val="46"/>
    <w:rsid w:val="004E12E8"/>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4">
    <w:name w:val="Table Grid224"/>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0">
    <w:name w:val="Table Grid74"/>
    <w:basedOn w:val="TableNormal"/>
    <w:next w:val="TableGrid"/>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 Grid83"/>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2">
    <w:name w:val="Grid Table 1 Light - Accent 112"/>
    <w:basedOn w:val="TableNormal"/>
    <w:uiPriority w:val="46"/>
    <w:rsid w:val="004E12E8"/>
    <w:rPr>
      <w:rFonts w:ascii="Calibri" w:eastAsia="Calibri" w:hAnsi="Calibri"/>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51111">
    <w:name w:val="Grid Table 1 Light - Accent 51111"/>
    <w:basedOn w:val="TableNormal"/>
    <w:uiPriority w:val="46"/>
    <w:rsid w:val="009032E3"/>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13">
    <w:name w:val="Table Grid2213"/>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uiPriority w:val="99"/>
    <w:semiHidden/>
    <w:unhideWhenUsed/>
    <w:rsid w:val="009032E3"/>
  </w:style>
  <w:style w:type="table" w:customStyle="1" w:styleId="TableGrid370">
    <w:name w:val="Table Grid37"/>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2">
    <w:name w:val="Medium Grid 3 - Accent 12"/>
    <w:basedOn w:val="TableNormal"/>
    <w:next w:val="MediumGrid3-Accent1"/>
    <w:uiPriority w:val="69"/>
    <w:rsid w:val="009032E3"/>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numbering" w:customStyle="1" w:styleId="NoList136">
    <w:name w:val="No List136"/>
    <w:next w:val="NoList"/>
    <w:uiPriority w:val="99"/>
    <w:semiHidden/>
    <w:unhideWhenUsed/>
    <w:rsid w:val="009032E3"/>
  </w:style>
  <w:style w:type="table" w:customStyle="1" w:styleId="TableGrid118">
    <w:name w:val="Table Grid118"/>
    <w:basedOn w:val="TableNormal"/>
    <w:next w:val="TableGrid"/>
    <w:uiPriority w:val="39"/>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5">
    <w:name w:val="Table List 715"/>
    <w:basedOn w:val="TableNormal"/>
    <w:next w:val="TableList7"/>
    <w:rsid w:val="009032E3"/>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5">
    <w:name w:val="Table Web 315"/>
    <w:basedOn w:val="TableNormal"/>
    <w:next w:val="TableWeb3"/>
    <w:rsid w:val="009032E3"/>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5">
    <w:name w:val="Table Elegant15"/>
    <w:basedOn w:val="TableNormal"/>
    <w:next w:val="TableElegant"/>
    <w:rsid w:val="009032E3"/>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5">
    <w:name w:val="Table Web 215"/>
    <w:basedOn w:val="TableNormal"/>
    <w:next w:val="TableWeb2"/>
    <w:rsid w:val="009032E3"/>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5">
    <w:name w:val="Table Web 115"/>
    <w:basedOn w:val="TableNormal"/>
    <w:next w:val="TableWeb1"/>
    <w:rsid w:val="009032E3"/>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5">
    <w:name w:val="Table Grid 815"/>
    <w:basedOn w:val="TableNormal"/>
    <w:next w:val="TableGrid8"/>
    <w:rsid w:val="009032E3"/>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5">
    <w:name w:val="Table Contemporary15"/>
    <w:basedOn w:val="TableNormal"/>
    <w:next w:val="TableContemporary"/>
    <w:rsid w:val="009032E3"/>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28">
    <w:name w:val="No List1128"/>
    <w:next w:val="NoList"/>
    <w:semiHidden/>
    <w:unhideWhenUsed/>
    <w:rsid w:val="009032E3"/>
  </w:style>
  <w:style w:type="numbering" w:customStyle="1" w:styleId="NoList220">
    <w:name w:val="No List220"/>
    <w:next w:val="NoList"/>
    <w:semiHidden/>
    <w:unhideWhenUsed/>
    <w:rsid w:val="009032E3"/>
  </w:style>
  <w:style w:type="numbering" w:customStyle="1" w:styleId="NoList319">
    <w:name w:val="No List319"/>
    <w:next w:val="NoList"/>
    <w:semiHidden/>
    <w:unhideWhenUsed/>
    <w:rsid w:val="009032E3"/>
  </w:style>
  <w:style w:type="table" w:customStyle="1" w:styleId="LightList-Accent1117">
    <w:name w:val="Light List - Accent 1117"/>
    <w:basedOn w:val="TableNormal"/>
    <w:next w:val="LightList-Accent1"/>
    <w:uiPriority w:val="61"/>
    <w:rsid w:val="009032E3"/>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5">
    <w:name w:val="Table Grid 715"/>
    <w:basedOn w:val="TableNormal"/>
    <w:next w:val="TableGrid7"/>
    <w:rsid w:val="009032E3"/>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110">
    <w:name w:val="Colorful Grid - Accent 1110"/>
    <w:basedOn w:val="TableNormal"/>
    <w:next w:val="ColorfulGrid-Accent1"/>
    <w:rsid w:val="009032E3"/>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5">
    <w:name w:val="Light List - Accent 5115"/>
    <w:basedOn w:val="TableNormal"/>
    <w:next w:val="LightList-Accent5"/>
    <w:rsid w:val="009032E3"/>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5">
    <w:name w:val="Table Simple 315"/>
    <w:basedOn w:val="TableNormal"/>
    <w:next w:val="TableSimple3"/>
    <w:rsid w:val="009032E3"/>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5">
    <w:name w:val="Table Grid 515"/>
    <w:basedOn w:val="TableNormal"/>
    <w:next w:val="TableGrid5"/>
    <w:rsid w:val="009032E3"/>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5">
    <w:name w:val="Table Grid 315"/>
    <w:basedOn w:val="TableNormal"/>
    <w:next w:val="TableGrid3"/>
    <w:rsid w:val="009032E3"/>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50">
    <w:name w:val="Table Grid 115"/>
    <w:basedOn w:val="TableNormal"/>
    <w:next w:val="TableGrid10"/>
    <w:rsid w:val="009032E3"/>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5">
    <w:name w:val="Table Columns 515"/>
    <w:basedOn w:val="TableNormal"/>
    <w:next w:val="TableColumns5"/>
    <w:rsid w:val="009032E3"/>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1200">
    <w:name w:val="Нет списка120"/>
    <w:next w:val="NoList"/>
    <w:semiHidden/>
    <w:unhideWhenUsed/>
    <w:rsid w:val="009032E3"/>
  </w:style>
  <w:style w:type="numbering" w:customStyle="1" w:styleId="NoList417">
    <w:name w:val="No List417"/>
    <w:next w:val="NoList"/>
    <w:semiHidden/>
    <w:rsid w:val="009032E3"/>
  </w:style>
  <w:style w:type="numbering" w:customStyle="1" w:styleId="NoList11119">
    <w:name w:val="No List11119"/>
    <w:next w:val="NoList"/>
    <w:semiHidden/>
    <w:unhideWhenUsed/>
    <w:rsid w:val="009032E3"/>
  </w:style>
  <w:style w:type="table" w:customStyle="1" w:styleId="Table3Deffects315">
    <w:name w:val="Table 3D effects 315"/>
    <w:basedOn w:val="TableNormal"/>
    <w:next w:val="Table3Deffects3"/>
    <w:rsid w:val="009032E3"/>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0">
    <w:name w:val="Нет списка1110"/>
    <w:next w:val="NoList"/>
    <w:semiHidden/>
    <w:unhideWhenUsed/>
    <w:rsid w:val="009032E3"/>
  </w:style>
  <w:style w:type="table" w:customStyle="1" w:styleId="TableGrid119">
    <w:name w:val="Table Grid119"/>
    <w:basedOn w:val="TableNormal"/>
    <w:next w:val="TableGrid"/>
    <w:rsid w:val="009032E3"/>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0">
    <w:name w:val="No List510"/>
    <w:next w:val="NoList"/>
    <w:uiPriority w:val="99"/>
    <w:semiHidden/>
    <w:rsid w:val="009032E3"/>
  </w:style>
  <w:style w:type="numbering" w:customStyle="1" w:styleId="NoList65">
    <w:name w:val="No List65"/>
    <w:next w:val="NoList"/>
    <w:uiPriority w:val="99"/>
    <w:semiHidden/>
    <w:unhideWhenUsed/>
    <w:rsid w:val="009032E3"/>
  </w:style>
  <w:style w:type="table" w:customStyle="1" w:styleId="TableGrid216">
    <w:name w:val="Table Grid216"/>
    <w:basedOn w:val="TableNormal"/>
    <w:next w:val="TableGrid"/>
    <w:rsid w:val="009032E3"/>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5">
    <w:name w:val="No List75"/>
    <w:next w:val="NoList"/>
    <w:uiPriority w:val="99"/>
    <w:semiHidden/>
    <w:unhideWhenUsed/>
    <w:rsid w:val="009032E3"/>
  </w:style>
  <w:style w:type="numbering" w:customStyle="1" w:styleId="NoList1216">
    <w:name w:val="No List1216"/>
    <w:next w:val="NoList"/>
    <w:uiPriority w:val="99"/>
    <w:semiHidden/>
    <w:unhideWhenUsed/>
    <w:rsid w:val="009032E3"/>
  </w:style>
  <w:style w:type="table" w:customStyle="1" w:styleId="TableGrid380">
    <w:name w:val="Table Grid38"/>
    <w:basedOn w:val="TableNormal"/>
    <w:next w:val="TableGrid"/>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5">
    <w:name w:val="Colorful Grid - Accent 125"/>
    <w:basedOn w:val="TableNormal"/>
    <w:next w:val="ColorfulGrid-Accent1"/>
    <w:rsid w:val="009032E3"/>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5">
    <w:name w:val="Light List - Accent 525"/>
    <w:basedOn w:val="TableNormal"/>
    <w:next w:val="LightList-Accent5"/>
    <w:rsid w:val="009032E3"/>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5">
    <w:name w:val="No List85"/>
    <w:next w:val="NoList"/>
    <w:uiPriority w:val="99"/>
    <w:semiHidden/>
    <w:unhideWhenUsed/>
    <w:rsid w:val="009032E3"/>
  </w:style>
  <w:style w:type="numbering" w:customStyle="1" w:styleId="125">
    <w:name w:val="Нет списка125"/>
    <w:next w:val="NoList"/>
    <w:uiPriority w:val="99"/>
    <w:semiHidden/>
    <w:unhideWhenUsed/>
    <w:rsid w:val="009032E3"/>
  </w:style>
  <w:style w:type="numbering" w:customStyle="1" w:styleId="NoList137">
    <w:name w:val="No List137"/>
    <w:next w:val="NoList"/>
    <w:semiHidden/>
    <w:unhideWhenUsed/>
    <w:rsid w:val="009032E3"/>
  </w:style>
  <w:style w:type="numbering" w:customStyle="1" w:styleId="NoList2110">
    <w:name w:val="No List2110"/>
    <w:next w:val="NoList"/>
    <w:semiHidden/>
    <w:unhideWhenUsed/>
    <w:rsid w:val="009032E3"/>
  </w:style>
  <w:style w:type="numbering" w:customStyle="1" w:styleId="NoList3110">
    <w:name w:val="No List3110"/>
    <w:next w:val="NoList"/>
    <w:semiHidden/>
    <w:unhideWhenUsed/>
    <w:rsid w:val="009032E3"/>
  </w:style>
  <w:style w:type="numbering" w:customStyle="1" w:styleId="1115">
    <w:name w:val="Нет списка1115"/>
    <w:next w:val="NoList"/>
    <w:semiHidden/>
    <w:unhideWhenUsed/>
    <w:rsid w:val="009032E3"/>
  </w:style>
  <w:style w:type="numbering" w:customStyle="1" w:styleId="NoList418">
    <w:name w:val="No List418"/>
    <w:next w:val="NoList"/>
    <w:semiHidden/>
    <w:rsid w:val="009032E3"/>
  </w:style>
  <w:style w:type="numbering" w:customStyle="1" w:styleId="NoList111110">
    <w:name w:val="No List111110"/>
    <w:next w:val="NoList"/>
    <w:semiHidden/>
    <w:unhideWhenUsed/>
    <w:rsid w:val="009032E3"/>
  </w:style>
  <w:style w:type="numbering" w:customStyle="1" w:styleId="11114">
    <w:name w:val="Нет списка11114"/>
    <w:next w:val="NoList"/>
    <w:semiHidden/>
    <w:unhideWhenUsed/>
    <w:rsid w:val="009032E3"/>
  </w:style>
  <w:style w:type="numbering" w:customStyle="1" w:styleId="NoList95">
    <w:name w:val="No List95"/>
    <w:next w:val="NoList"/>
    <w:uiPriority w:val="99"/>
    <w:semiHidden/>
    <w:unhideWhenUsed/>
    <w:rsid w:val="009032E3"/>
  </w:style>
  <w:style w:type="table" w:customStyle="1" w:styleId="TableGrid45">
    <w:name w:val="Table Grid45"/>
    <w:basedOn w:val="TableNormal"/>
    <w:next w:val="TableGrid"/>
    <w:uiPriority w:val="39"/>
    <w:rsid w:val="009032E3"/>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4">
    <w:name w:val="Grid Table 1 Light - Accent 514"/>
    <w:basedOn w:val="TableNormal"/>
    <w:uiPriority w:val="46"/>
    <w:rsid w:val="009032E3"/>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3">
    <w:name w:val="Plain Table 313"/>
    <w:basedOn w:val="TableNormal"/>
    <w:uiPriority w:val="43"/>
    <w:rsid w:val="009032E3"/>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3">
    <w:name w:val="Grid Table 4 - Accent 113"/>
    <w:basedOn w:val="TableNormal"/>
    <w:uiPriority w:val="49"/>
    <w:rsid w:val="009032E3"/>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05">
    <w:name w:val="No List105"/>
    <w:next w:val="NoList"/>
    <w:uiPriority w:val="99"/>
    <w:semiHidden/>
    <w:unhideWhenUsed/>
    <w:rsid w:val="009032E3"/>
  </w:style>
  <w:style w:type="table" w:customStyle="1" w:styleId="TableGrid550">
    <w:name w:val="Table Grid55"/>
    <w:basedOn w:val="TableNormal"/>
    <w:next w:val="TableGrid"/>
    <w:uiPriority w:val="39"/>
    <w:rsid w:val="009032E3"/>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13">
    <w:name w:val="Table List 7113"/>
    <w:basedOn w:val="TableNormal"/>
    <w:next w:val="TableList7"/>
    <w:rsid w:val="009032E3"/>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3">
    <w:name w:val="Table Web 3113"/>
    <w:basedOn w:val="TableNormal"/>
    <w:next w:val="TableWeb3"/>
    <w:rsid w:val="009032E3"/>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3">
    <w:name w:val="Table Elegant113"/>
    <w:basedOn w:val="TableNormal"/>
    <w:next w:val="TableElegant"/>
    <w:rsid w:val="009032E3"/>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5">
    <w:name w:val="Table Web 225"/>
    <w:basedOn w:val="TableNormal"/>
    <w:next w:val="TableWeb2"/>
    <w:rsid w:val="009032E3"/>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5">
    <w:name w:val="Table Web 125"/>
    <w:basedOn w:val="TableNormal"/>
    <w:next w:val="TableWeb1"/>
    <w:rsid w:val="009032E3"/>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5">
    <w:name w:val="Table Grid 825"/>
    <w:basedOn w:val="TableNormal"/>
    <w:next w:val="TableGrid8"/>
    <w:rsid w:val="009032E3"/>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5">
    <w:name w:val="Table Contemporary25"/>
    <w:basedOn w:val="TableNormal"/>
    <w:next w:val="TableContemporary"/>
    <w:rsid w:val="009032E3"/>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5">
    <w:name w:val="No List145"/>
    <w:next w:val="NoList"/>
    <w:semiHidden/>
    <w:unhideWhenUsed/>
    <w:rsid w:val="009032E3"/>
  </w:style>
  <w:style w:type="numbering" w:customStyle="1" w:styleId="NoList225">
    <w:name w:val="No List225"/>
    <w:next w:val="NoList"/>
    <w:semiHidden/>
    <w:unhideWhenUsed/>
    <w:rsid w:val="009032E3"/>
  </w:style>
  <w:style w:type="numbering" w:customStyle="1" w:styleId="NoList325">
    <w:name w:val="No List325"/>
    <w:next w:val="NoList"/>
    <w:semiHidden/>
    <w:unhideWhenUsed/>
    <w:rsid w:val="009032E3"/>
  </w:style>
  <w:style w:type="table" w:customStyle="1" w:styleId="LightList-Accent1210">
    <w:name w:val="Light List - Accent 1210"/>
    <w:basedOn w:val="TableNormal"/>
    <w:uiPriority w:val="61"/>
    <w:rsid w:val="009032E3"/>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3">
    <w:name w:val="Table Grid 7113"/>
    <w:basedOn w:val="TableNormal"/>
    <w:next w:val="TableGrid7"/>
    <w:rsid w:val="009032E3"/>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5">
    <w:name w:val="Colorful Grid - Accent 135"/>
    <w:basedOn w:val="TableNormal"/>
    <w:next w:val="ColorfulGrid-Accent1"/>
    <w:uiPriority w:val="73"/>
    <w:rsid w:val="009032E3"/>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5">
    <w:name w:val="Light List - Accent 535"/>
    <w:basedOn w:val="TableNormal"/>
    <w:next w:val="LightList-Accent5"/>
    <w:uiPriority w:val="61"/>
    <w:rsid w:val="009032E3"/>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3">
    <w:name w:val="Table Simple 3113"/>
    <w:basedOn w:val="TableNormal"/>
    <w:next w:val="TableSimple3"/>
    <w:rsid w:val="009032E3"/>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3">
    <w:name w:val="Table Grid 5113"/>
    <w:basedOn w:val="TableNormal"/>
    <w:next w:val="TableGrid5"/>
    <w:rsid w:val="009032E3"/>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3">
    <w:name w:val="Table Grid 3113"/>
    <w:basedOn w:val="TableNormal"/>
    <w:next w:val="TableGrid3"/>
    <w:rsid w:val="009032E3"/>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30">
    <w:name w:val="Table Grid 1113"/>
    <w:basedOn w:val="TableNormal"/>
    <w:next w:val="TableGrid10"/>
    <w:rsid w:val="009032E3"/>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3">
    <w:name w:val="Table Columns 5113"/>
    <w:basedOn w:val="TableNormal"/>
    <w:next w:val="TableColumns5"/>
    <w:rsid w:val="009032E3"/>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8">
    <w:name w:val="Light List - Accent 1118"/>
    <w:basedOn w:val="TableNormal"/>
    <w:uiPriority w:val="61"/>
    <w:rsid w:val="009032E3"/>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5">
    <w:name w:val="Нет списка135"/>
    <w:next w:val="NoList"/>
    <w:semiHidden/>
    <w:unhideWhenUsed/>
    <w:rsid w:val="009032E3"/>
  </w:style>
  <w:style w:type="table" w:customStyle="1" w:styleId="ColorfulGrid-Accent1115">
    <w:name w:val="Colorful Grid - Accent 1115"/>
    <w:basedOn w:val="TableNormal"/>
    <w:rsid w:val="009032E3"/>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6">
    <w:name w:val="Light List - Accent 5116"/>
    <w:basedOn w:val="TableNormal"/>
    <w:rsid w:val="009032E3"/>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5">
    <w:name w:val="No List425"/>
    <w:next w:val="NoList"/>
    <w:semiHidden/>
    <w:rsid w:val="009032E3"/>
  </w:style>
  <w:style w:type="numbering" w:customStyle="1" w:styleId="NoList1129">
    <w:name w:val="No List1129"/>
    <w:next w:val="NoList"/>
    <w:semiHidden/>
    <w:unhideWhenUsed/>
    <w:rsid w:val="009032E3"/>
  </w:style>
  <w:style w:type="table" w:customStyle="1" w:styleId="Table3Deffects3113">
    <w:name w:val="Table 3D effects 3113"/>
    <w:basedOn w:val="TableNormal"/>
    <w:next w:val="Table3Deffects3"/>
    <w:rsid w:val="009032E3"/>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5">
    <w:name w:val="Нет списка1125"/>
    <w:next w:val="NoList"/>
    <w:semiHidden/>
    <w:unhideWhenUsed/>
    <w:rsid w:val="009032E3"/>
  </w:style>
  <w:style w:type="table" w:customStyle="1" w:styleId="TableGrid1115">
    <w:name w:val="Table Grid1115"/>
    <w:basedOn w:val="TableNormal"/>
    <w:next w:val="TableGrid"/>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5">
    <w:name w:val="No List515"/>
    <w:next w:val="NoList"/>
    <w:uiPriority w:val="99"/>
    <w:semiHidden/>
    <w:rsid w:val="009032E3"/>
  </w:style>
  <w:style w:type="numbering" w:customStyle="1" w:styleId="NoList614">
    <w:name w:val="No List614"/>
    <w:next w:val="NoList"/>
    <w:uiPriority w:val="99"/>
    <w:semiHidden/>
    <w:unhideWhenUsed/>
    <w:rsid w:val="009032E3"/>
  </w:style>
  <w:style w:type="table" w:customStyle="1" w:styleId="TableGrid217">
    <w:name w:val="Table Grid217"/>
    <w:basedOn w:val="TableNormal"/>
    <w:next w:val="TableGrid"/>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4">
    <w:name w:val="No List714"/>
    <w:next w:val="NoList"/>
    <w:uiPriority w:val="99"/>
    <w:semiHidden/>
    <w:unhideWhenUsed/>
    <w:rsid w:val="009032E3"/>
  </w:style>
  <w:style w:type="numbering" w:customStyle="1" w:styleId="NoList1217">
    <w:name w:val="No List1217"/>
    <w:next w:val="NoList"/>
    <w:uiPriority w:val="99"/>
    <w:semiHidden/>
    <w:unhideWhenUsed/>
    <w:rsid w:val="009032E3"/>
  </w:style>
  <w:style w:type="table" w:customStyle="1" w:styleId="TableGrid3140">
    <w:name w:val="Table Grid314"/>
    <w:basedOn w:val="TableNormal"/>
    <w:next w:val="TableGrid"/>
    <w:rsid w:val="009032E3"/>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4">
    <w:name w:val="Table Web 2114"/>
    <w:basedOn w:val="TableNormal"/>
    <w:next w:val="TableWeb2"/>
    <w:rsid w:val="009032E3"/>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4">
    <w:name w:val="Table Web 1114"/>
    <w:basedOn w:val="TableNormal"/>
    <w:next w:val="TableWeb1"/>
    <w:rsid w:val="009032E3"/>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4">
    <w:name w:val="Table Grid 8114"/>
    <w:basedOn w:val="TableNormal"/>
    <w:next w:val="TableGrid8"/>
    <w:rsid w:val="009032E3"/>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4">
    <w:name w:val="Table Contemporary114"/>
    <w:basedOn w:val="TableNormal"/>
    <w:next w:val="TableContemporary"/>
    <w:rsid w:val="009032E3"/>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4">
    <w:name w:val="Colorful Grid - Accent 1214"/>
    <w:basedOn w:val="TableNormal"/>
    <w:next w:val="ColorfulGrid-Accent1"/>
    <w:rsid w:val="009032E3"/>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4">
    <w:name w:val="Light List - Accent 5214"/>
    <w:basedOn w:val="TableNormal"/>
    <w:next w:val="LightList-Accent5"/>
    <w:rsid w:val="009032E3"/>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4">
    <w:name w:val="No List814"/>
    <w:next w:val="NoList"/>
    <w:uiPriority w:val="99"/>
    <w:semiHidden/>
    <w:unhideWhenUsed/>
    <w:rsid w:val="009032E3"/>
  </w:style>
  <w:style w:type="numbering" w:customStyle="1" w:styleId="1214">
    <w:name w:val="Нет списка1214"/>
    <w:next w:val="NoList"/>
    <w:uiPriority w:val="99"/>
    <w:semiHidden/>
    <w:unhideWhenUsed/>
    <w:rsid w:val="009032E3"/>
  </w:style>
  <w:style w:type="numbering" w:customStyle="1" w:styleId="NoList1314">
    <w:name w:val="No List1314"/>
    <w:next w:val="NoList"/>
    <w:semiHidden/>
    <w:unhideWhenUsed/>
    <w:rsid w:val="009032E3"/>
  </w:style>
  <w:style w:type="numbering" w:customStyle="1" w:styleId="NoList2115">
    <w:name w:val="No List2115"/>
    <w:next w:val="NoList"/>
    <w:semiHidden/>
    <w:unhideWhenUsed/>
    <w:rsid w:val="009032E3"/>
  </w:style>
  <w:style w:type="numbering" w:customStyle="1" w:styleId="NoList3115">
    <w:name w:val="No List3115"/>
    <w:next w:val="NoList"/>
    <w:semiHidden/>
    <w:unhideWhenUsed/>
    <w:rsid w:val="009032E3"/>
  </w:style>
  <w:style w:type="numbering" w:customStyle="1" w:styleId="11123">
    <w:name w:val="Нет списка11123"/>
    <w:next w:val="NoList"/>
    <w:semiHidden/>
    <w:unhideWhenUsed/>
    <w:rsid w:val="009032E3"/>
  </w:style>
  <w:style w:type="numbering" w:customStyle="1" w:styleId="NoList4114">
    <w:name w:val="No List4114"/>
    <w:next w:val="NoList"/>
    <w:semiHidden/>
    <w:rsid w:val="009032E3"/>
  </w:style>
  <w:style w:type="numbering" w:customStyle="1" w:styleId="NoList111114">
    <w:name w:val="No List111114"/>
    <w:next w:val="NoList"/>
    <w:semiHidden/>
    <w:unhideWhenUsed/>
    <w:rsid w:val="009032E3"/>
  </w:style>
  <w:style w:type="numbering" w:customStyle="1" w:styleId="111113">
    <w:name w:val="Нет списка111113"/>
    <w:next w:val="NoList"/>
    <w:semiHidden/>
    <w:unhideWhenUsed/>
    <w:rsid w:val="009032E3"/>
  </w:style>
  <w:style w:type="table" w:customStyle="1" w:styleId="TableGrid65">
    <w:name w:val="Table Grid65"/>
    <w:basedOn w:val="TableNormal"/>
    <w:next w:val="TableGrid"/>
    <w:uiPriority w:val="39"/>
    <w:rsid w:val="009032E3"/>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3">
    <w:name w:val="Grid Table 1 Light - Accent 5113"/>
    <w:basedOn w:val="TableNormal"/>
    <w:uiPriority w:val="46"/>
    <w:rsid w:val="009032E3"/>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5">
    <w:name w:val="Table Grid225"/>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0">
    <w:name w:val="Table Grid75"/>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 Grid8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3">
    <w:name w:val="Grid Table 1 Light - Accent 113"/>
    <w:basedOn w:val="TableNormal"/>
    <w:uiPriority w:val="46"/>
    <w:rsid w:val="009032E3"/>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List710">
    <w:name w:val="Table List 710"/>
    <w:basedOn w:val="TableNormal"/>
    <w:next w:val="TableList7"/>
    <w:uiPriority w:val="99"/>
    <w:semiHidden/>
    <w:unhideWhenUsed/>
    <w:rsid w:val="009032E3"/>
    <w:rPr>
      <w:rFonts w:ascii="Calibri" w:eastAsia="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0">
    <w:name w:val="Table Web 310"/>
    <w:basedOn w:val="TableNormal"/>
    <w:next w:val="TableWeb3"/>
    <w:uiPriority w:val="99"/>
    <w:semiHidden/>
    <w:unhideWhenUsed/>
    <w:rsid w:val="009032E3"/>
    <w:rPr>
      <w:rFonts w:ascii="Calibri" w:eastAsia="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0">
    <w:name w:val="Table Elegant10"/>
    <w:basedOn w:val="TableNormal"/>
    <w:next w:val="TableElegant"/>
    <w:uiPriority w:val="99"/>
    <w:semiHidden/>
    <w:unhideWhenUsed/>
    <w:rsid w:val="009032E3"/>
    <w:rPr>
      <w:rFonts w:ascii="Calibri" w:eastAsia="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0">
    <w:name w:val="Table Web 210"/>
    <w:basedOn w:val="TableNormal"/>
    <w:next w:val="TableWeb2"/>
    <w:uiPriority w:val="99"/>
    <w:semiHidden/>
    <w:unhideWhenUsed/>
    <w:rsid w:val="009032E3"/>
    <w:rPr>
      <w:rFonts w:ascii="Calibri" w:eastAsia="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0">
    <w:name w:val="Table Web 110"/>
    <w:basedOn w:val="TableNormal"/>
    <w:next w:val="TableWeb1"/>
    <w:uiPriority w:val="99"/>
    <w:semiHidden/>
    <w:unhideWhenUsed/>
    <w:rsid w:val="009032E3"/>
    <w:rPr>
      <w:rFonts w:ascii="Calibri" w:eastAsia="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00">
    <w:name w:val="Table Grid 810"/>
    <w:basedOn w:val="TableNormal"/>
    <w:next w:val="TableGrid8"/>
    <w:uiPriority w:val="99"/>
    <w:semiHidden/>
    <w:unhideWhenUsed/>
    <w:rsid w:val="009032E3"/>
    <w:rPr>
      <w:rFonts w:ascii="Calibri" w:eastAsia="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0">
    <w:name w:val="Table Contemporary10"/>
    <w:basedOn w:val="TableNormal"/>
    <w:next w:val="TableContemporary"/>
    <w:uiPriority w:val="99"/>
    <w:semiHidden/>
    <w:unhideWhenUsed/>
    <w:rsid w:val="009032E3"/>
    <w:rPr>
      <w:rFonts w:ascii="Calibri" w:eastAsia="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30">
    <w:name w:val="Light List - Accent 130"/>
    <w:basedOn w:val="TableNormal"/>
    <w:next w:val="LightList-Accent1"/>
    <w:uiPriority w:val="61"/>
    <w:semiHidden/>
    <w:unhideWhenUsed/>
    <w:rsid w:val="009032E3"/>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7100">
    <w:name w:val="Table Grid 710"/>
    <w:basedOn w:val="TableNormal"/>
    <w:next w:val="TableGrid7"/>
    <w:uiPriority w:val="99"/>
    <w:semiHidden/>
    <w:unhideWhenUsed/>
    <w:rsid w:val="009032E3"/>
    <w:rPr>
      <w:rFonts w:ascii="Calibri" w:eastAsia="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0">
    <w:name w:val="Colorful Grid - Accent 120"/>
    <w:basedOn w:val="TableNormal"/>
    <w:next w:val="ColorfulGrid-Accent1"/>
    <w:uiPriority w:val="73"/>
    <w:semiHidden/>
    <w:unhideWhenUsed/>
    <w:rsid w:val="009032E3"/>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LightList-Accent520">
    <w:name w:val="Light List - Accent 520"/>
    <w:basedOn w:val="TableNormal"/>
    <w:next w:val="LightList-Accent5"/>
    <w:uiPriority w:val="61"/>
    <w:semiHidden/>
    <w:unhideWhenUsed/>
    <w:rsid w:val="009032E3"/>
    <w:rPr>
      <w:rFonts w:ascii="Calibri" w:eastAsia="Calibri" w:hAnsi="Calibri"/>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Simple310">
    <w:name w:val="Table Simple 310"/>
    <w:basedOn w:val="TableNormal"/>
    <w:next w:val="TableSimple3"/>
    <w:uiPriority w:val="99"/>
    <w:semiHidden/>
    <w:unhideWhenUsed/>
    <w:rsid w:val="009032E3"/>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00">
    <w:name w:val="Table Grid 510"/>
    <w:basedOn w:val="TableNormal"/>
    <w:next w:val="TableGrid5"/>
    <w:uiPriority w:val="99"/>
    <w:semiHidden/>
    <w:unhideWhenUsed/>
    <w:rsid w:val="009032E3"/>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00">
    <w:name w:val="Table Grid 310"/>
    <w:basedOn w:val="TableNormal"/>
    <w:next w:val="TableGrid3"/>
    <w:uiPriority w:val="99"/>
    <w:semiHidden/>
    <w:unhideWhenUsed/>
    <w:rsid w:val="009032E3"/>
    <w:rPr>
      <w:rFonts w:ascii="Calibri" w:eastAsia="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02">
    <w:name w:val="Table Grid 110"/>
    <w:basedOn w:val="TableNormal"/>
    <w:next w:val="TableGrid10"/>
    <w:uiPriority w:val="99"/>
    <w:semiHidden/>
    <w:unhideWhenUsed/>
    <w:rsid w:val="009032E3"/>
    <w:rPr>
      <w:rFonts w:ascii="Calibri" w:eastAsia="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0">
    <w:name w:val="Table Columns 510"/>
    <w:basedOn w:val="TableNormal"/>
    <w:next w:val="TableColumns5"/>
    <w:uiPriority w:val="99"/>
    <w:semiHidden/>
    <w:unhideWhenUsed/>
    <w:rsid w:val="009032E3"/>
    <w:rPr>
      <w:rFonts w:ascii="Calibri" w:eastAsia="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3Deffects310">
    <w:name w:val="Table 3D effects 310"/>
    <w:basedOn w:val="TableNormal"/>
    <w:next w:val="Table3Deffects3"/>
    <w:uiPriority w:val="99"/>
    <w:semiHidden/>
    <w:unhideWhenUsed/>
    <w:rsid w:val="009032E3"/>
    <w:rPr>
      <w:rFonts w:ascii="Calibri" w:eastAsia="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154">
    <w:name w:val="No List154"/>
    <w:next w:val="NoList"/>
    <w:uiPriority w:val="99"/>
    <w:semiHidden/>
    <w:unhideWhenUsed/>
    <w:rsid w:val="009032E3"/>
  </w:style>
  <w:style w:type="table" w:customStyle="1" w:styleId="TableGrid124">
    <w:name w:val="Table Grid124"/>
    <w:basedOn w:val="TableNormal"/>
    <w:next w:val="TableGrid"/>
    <w:uiPriority w:val="39"/>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4">
    <w:name w:val="Table List 724"/>
    <w:basedOn w:val="TableNormal"/>
    <w:next w:val="TableList7"/>
    <w:rsid w:val="009032E3"/>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4">
    <w:name w:val="Table Web 324"/>
    <w:basedOn w:val="TableNormal"/>
    <w:next w:val="TableWeb3"/>
    <w:rsid w:val="009032E3"/>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4">
    <w:name w:val="Table Elegant24"/>
    <w:basedOn w:val="TableNormal"/>
    <w:next w:val="TableElegant"/>
    <w:rsid w:val="009032E3"/>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4">
    <w:name w:val="Table Web 234"/>
    <w:basedOn w:val="TableNormal"/>
    <w:next w:val="TableWeb2"/>
    <w:rsid w:val="009032E3"/>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4">
    <w:name w:val="Table Web 134"/>
    <w:basedOn w:val="TableNormal"/>
    <w:next w:val="TableWeb1"/>
    <w:rsid w:val="009032E3"/>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4">
    <w:name w:val="Table Grid 834"/>
    <w:basedOn w:val="TableNormal"/>
    <w:next w:val="TableGrid8"/>
    <w:rsid w:val="009032E3"/>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4">
    <w:name w:val="Table Contemporary34"/>
    <w:basedOn w:val="TableNormal"/>
    <w:next w:val="TableContemporary"/>
    <w:rsid w:val="009032E3"/>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64">
    <w:name w:val="No List164"/>
    <w:next w:val="NoList"/>
    <w:semiHidden/>
    <w:unhideWhenUsed/>
    <w:rsid w:val="009032E3"/>
  </w:style>
  <w:style w:type="numbering" w:customStyle="1" w:styleId="NoList234">
    <w:name w:val="No List234"/>
    <w:next w:val="NoList"/>
    <w:semiHidden/>
    <w:unhideWhenUsed/>
    <w:rsid w:val="009032E3"/>
  </w:style>
  <w:style w:type="numbering" w:customStyle="1" w:styleId="NoList334">
    <w:name w:val="No List334"/>
    <w:next w:val="NoList"/>
    <w:semiHidden/>
    <w:unhideWhenUsed/>
    <w:rsid w:val="009032E3"/>
  </w:style>
  <w:style w:type="table" w:customStyle="1" w:styleId="LightList-Accent134">
    <w:name w:val="Light List - Accent 134"/>
    <w:basedOn w:val="TableNormal"/>
    <w:next w:val="LightList-Accent1"/>
    <w:uiPriority w:val="61"/>
    <w:rsid w:val="009032E3"/>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4">
    <w:name w:val="Table Grid 724"/>
    <w:basedOn w:val="TableNormal"/>
    <w:next w:val="TableGrid7"/>
    <w:rsid w:val="009032E3"/>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4">
    <w:name w:val="Colorful Grid - Accent 144"/>
    <w:basedOn w:val="TableNormal"/>
    <w:next w:val="ColorfulGrid-Accent1"/>
    <w:uiPriority w:val="73"/>
    <w:rsid w:val="009032E3"/>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4">
    <w:name w:val="Light List - Accent 544"/>
    <w:basedOn w:val="TableNormal"/>
    <w:next w:val="LightList-Accent5"/>
    <w:uiPriority w:val="61"/>
    <w:rsid w:val="009032E3"/>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4">
    <w:name w:val="Table Simple 324"/>
    <w:basedOn w:val="TableNormal"/>
    <w:next w:val="TableSimple3"/>
    <w:rsid w:val="009032E3"/>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4">
    <w:name w:val="Table Grid 524"/>
    <w:basedOn w:val="TableNormal"/>
    <w:next w:val="TableGrid5"/>
    <w:rsid w:val="009032E3"/>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4">
    <w:name w:val="Table Grid 324"/>
    <w:basedOn w:val="TableNormal"/>
    <w:next w:val="TableGrid3"/>
    <w:rsid w:val="009032E3"/>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40">
    <w:name w:val="Table Grid 124"/>
    <w:basedOn w:val="TableNormal"/>
    <w:next w:val="TableGrid10"/>
    <w:rsid w:val="009032E3"/>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4">
    <w:name w:val="Table Columns 524"/>
    <w:basedOn w:val="TableNormal"/>
    <w:next w:val="TableColumns5"/>
    <w:rsid w:val="009032E3"/>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4">
    <w:name w:val="Light List - Accent 1124"/>
    <w:basedOn w:val="TableNormal"/>
    <w:uiPriority w:val="61"/>
    <w:rsid w:val="009032E3"/>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4">
    <w:name w:val="Нет списка144"/>
    <w:next w:val="NoList"/>
    <w:semiHidden/>
    <w:unhideWhenUsed/>
    <w:rsid w:val="009032E3"/>
  </w:style>
  <w:style w:type="table" w:customStyle="1" w:styleId="ColorfulGrid-Accent1124">
    <w:name w:val="Colorful Grid - Accent 1124"/>
    <w:basedOn w:val="TableNormal"/>
    <w:rsid w:val="009032E3"/>
    <w:pPr>
      <w:spacing w:after="200" w:line="276" w:lineRule="auto"/>
    </w:pPr>
    <w:rPr>
      <w:rFonts w:ascii="Calibri" w:hAnsi="Calibri"/>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4">
    <w:name w:val="Light List - Accent 5124"/>
    <w:basedOn w:val="TableNormal"/>
    <w:rsid w:val="009032E3"/>
    <w:pPr>
      <w:spacing w:after="200" w:line="276" w:lineRule="auto"/>
    </w:pPr>
    <w:rPr>
      <w:rFonts w:ascii="Calibri" w:hAnsi="Calibri"/>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4">
    <w:name w:val="No List434"/>
    <w:next w:val="NoList"/>
    <w:semiHidden/>
    <w:rsid w:val="009032E3"/>
  </w:style>
  <w:style w:type="numbering" w:customStyle="1" w:styleId="NoList1134">
    <w:name w:val="No List1134"/>
    <w:next w:val="NoList"/>
    <w:semiHidden/>
    <w:unhideWhenUsed/>
    <w:rsid w:val="009032E3"/>
  </w:style>
  <w:style w:type="table" w:customStyle="1" w:styleId="Table3Deffects324">
    <w:name w:val="Table 3D effects 324"/>
    <w:basedOn w:val="TableNormal"/>
    <w:next w:val="Table3Deffects3"/>
    <w:rsid w:val="009032E3"/>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4">
    <w:name w:val="Нет списка1134"/>
    <w:next w:val="NoList"/>
    <w:semiHidden/>
    <w:unhideWhenUsed/>
    <w:rsid w:val="009032E3"/>
  </w:style>
  <w:style w:type="table" w:customStyle="1" w:styleId="TableGrid134">
    <w:name w:val="Table Grid134"/>
    <w:basedOn w:val="TableNormal"/>
    <w:next w:val="TableGrid"/>
    <w:rsid w:val="009032E3"/>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4">
    <w:name w:val="No List524"/>
    <w:next w:val="NoList"/>
    <w:uiPriority w:val="99"/>
    <w:semiHidden/>
    <w:rsid w:val="009032E3"/>
  </w:style>
  <w:style w:type="numbering" w:customStyle="1" w:styleId="NoList622">
    <w:name w:val="No List622"/>
    <w:next w:val="NoList"/>
    <w:uiPriority w:val="99"/>
    <w:semiHidden/>
    <w:unhideWhenUsed/>
    <w:rsid w:val="009032E3"/>
  </w:style>
  <w:style w:type="table" w:customStyle="1" w:styleId="TableGrid233">
    <w:name w:val="Table Grid233"/>
    <w:basedOn w:val="TableNormal"/>
    <w:next w:val="TableGrid"/>
    <w:rsid w:val="009032E3"/>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22">
    <w:name w:val="No List722"/>
    <w:next w:val="NoList"/>
    <w:uiPriority w:val="99"/>
    <w:semiHidden/>
    <w:unhideWhenUsed/>
    <w:rsid w:val="009032E3"/>
  </w:style>
  <w:style w:type="numbering" w:customStyle="1" w:styleId="NoList1224">
    <w:name w:val="No List1224"/>
    <w:next w:val="NoList"/>
    <w:uiPriority w:val="99"/>
    <w:semiHidden/>
    <w:unhideWhenUsed/>
    <w:rsid w:val="009032E3"/>
  </w:style>
  <w:style w:type="table" w:customStyle="1" w:styleId="TableGrid3220">
    <w:name w:val="Table Grid322"/>
    <w:basedOn w:val="TableNormal"/>
    <w:next w:val="TableGrid"/>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22">
    <w:name w:val="Table Web 2122"/>
    <w:basedOn w:val="TableNormal"/>
    <w:next w:val="TableWeb2"/>
    <w:rsid w:val="009032E3"/>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2">
    <w:name w:val="Table Web 1122"/>
    <w:basedOn w:val="TableNormal"/>
    <w:next w:val="TableWeb1"/>
    <w:rsid w:val="009032E3"/>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2">
    <w:name w:val="Table Grid 8122"/>
    <w:basedOn w:val="TableNormal"/>
    <w:next w:val="TableGrid8"/>
    <w:rsid w:val="009032E3"/>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2">
    <w:name w:val="Table Contemporary122"/>
    <w:basedOn w:val="TableNormal"/>
    <w:next w:val="TableContemporary"/>
    <w:rsid w:val="009032E3"/>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22">
    <w:name w:val="Colorful Grid - Accent 1222"/>
    <w:basedOn w:val="TableNormal"/>
    <w:next w:val="ColorfulGrid-Accent1"/>
    <w:rsid w:val="009032E3"/>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2">
    <w:name w:val="Light List - Accent 5222"/>
    <w:basedOn w:val="TableNormal"/>
    <w:next w:val="LightList-Accent5"/>
    <w:rsid w:val="009032E3"/>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22">
    <w:name w:val="No List822"/>
    <w:next w:val="NoList"/>
    <w:uiPriority w:val="99"/>
    <w:semiHidden/>
    <w:unhideWhenUsed/>
    <w:rsid w:val="009032E3"/>
  </w:style>
  <w:style w:type="numbering" w:customStyle="1" w:styleId="1222">
    <w:name w:val="Нет списка1222"/>
    <w:next w:val="NoList"/>
    <w:uiPriority w:val="99"/>
    <w:semiHidden/>
    <w:unhideWhenUsed/>
    <w:rsid w:val="009032E3"/>
  </w:style>
  <w:style w:type="numbering" w:customStyle="1" w:styleId="NoList1322">
    <w:name w:val="No List1322"/>
    <w:next w:val="NoList"/>
    <w:semiHidden/>
    <w:unhideWhenUsed/>
    <w:rsid w:val="009032E3"/>
  </w:style>
  <w:style w:type="numbering" w:customStyle="1" w:styleId="NoList2124">
    <w:name w:val="No List2124"/>
    <w:next w:val="NoList"/>
    <w:semiHidden/>
    <w:unhideWhenUsed/>
    <w:rsid w:val="009032E3"/>
  </w:style>
  <w:style w:type="numbering" w:customStyle="1" w:styleId="NoList3124">
    <w:name w:val="No List3124"/>
    <w:next w:val="NoList"/>
    <w:semiHidden/>
    <w:unhideWhenUsed/>
    <w:rsid w:val="009032E3"/>
  </w:style>
  <w:style w:type="numbering" w:customStyle="1" w:styleId="11132">
    <w:name w:val="Нет списка11132"/>
    <w:next w:val="NoList"/>
    <w:semiHidden/>
    <w:unhideWhenUsed/>
    <w:rsid w:val="009032E3"/>
  </w:style>
  <w:style w:type="numbering" w:customStyle="1" w:styleId="NoList4122">
    <w:name w:val="No List4122"/>
    <w:next w:val="NoList"/>
    <w:semiHidden/>
    <w:rsid w:val="009032E3"/>
  </w:style>
  <w:style w:type="numbering" w:customStyle="1" w:styleId="NoList11124">
    <w:name w:val="No List11124"/>
    <w:next w:val="NoList"/>
    <w:semiHidden/>
    <w:unhideWhenUsed/>
    <w:rsid w:val="009032E3"/>
  </w:style>
  <w:style w:type="numbering" w:customStyle="1" w:styleId="111122">
    <w:name w:val="Нет списка111122"/>
    <w:next w:val="NoList"/>
    <w:semiHidden/>
    <w:unhideWhenUsed/>
    <w:rsid w:val="009032E3"/>
  </w:style>
  <w:style w:type="numbering" w:customStyle="1" w:styleId="NoList913">
    <w:name w:val="No List913"/>
    <w:next w:val="NoList"/>
    <w:uiPriority w:val="99"/>
    <w:semiHidden/>
    <w:unhideWhenUsed/>
    <w:rsid w:val="009032E3"/>
  </w:style>
  <w:style w:type="table" w:customStyle="1" w:styleId="TableGrid422">
    <w:name w:val="Table Grid422"/>
    <w:basedOn w:val="TableNormal"/>
    <w:next w:val="TableGrid"/>
    <w:uiPriority w:val="39"/>
    <w:rsid w:val="009032E3"/>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21">
    <w:name w:val="Grid Table 1 Light - Accent 5121"/>
    <w:basedOn w:val="TableNormal"/>
    <w:uiPriority w:val="46"/>
    <w:rsid w:val="009032E3"/>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11">
    <w:name w:val="Plain Table 3111"/>
    <w:basedOn w:val="TableNormal"/>
    <w:uiPriority w:val="43"/>
    <w:rsid w:val="009032E3"/>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11">
    <w:name w:val="Grid Table 4 - Accent 1111"/>
    <w:basedOn w:val="TableNormal"/>
    <w:uiPriority w:val="49"/>
    <w:rsid w:val="009032E3"/>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013">
    <w:name w:val="No List1013"/>
    <w:next w:val="NoList"/>
    <w:uiPriority w:val="99"/>
    <w:semiHidden/>
    <w:unhideWhenUsed/>
    <w:rsid w:val="009032E3"/>
  </w:style>
  <w:style w:type="table" w:customStyle="1" w:styleId="TableGrid5130">
    <w:name w:val="Table Grid513"/>
    <w:basedOn w:val="TableNormal"/>
    <w:next w:val="TableGrid"/>
    <w:uiPriority w:val="39"/>
    <w:rsid w:val="009032E3"/>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22">
    <w:name w:val="Table List 7122"/>
    <w:basedOn w:val="TableNormal"/>
    <w:next w:val="TableList7"/>
    <w:rsid w:val="009032E3"/>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2">
    <w:name w:val="Table Web 3122"/>
    <w:basedOn w:val="TableNormal"/>
    <w:next w:val="TableWeb3"/>
    <w:rsid w:val="009032E3"/>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2">
    <w:name w:val="Table Elegant122"/>
    <w:basedOn w:val="TableNormal"/>
    <w:next w:val="TableElegant"/>
    <w:rsid w:val="009032E3"/>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3">
    <w:name w:val="Table Web 2213"/>
    <w:basedOn w:val="TableNormal"/>
    <w:next w:val="TableWeb2"/>
    <w:rsid w:val="009032E3"/>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3">
    <w:name w:val="Table Web 1213"/>
    <w:basedOn w:val="TableNormal"/>
    <w:next w:val="TableWeb1"/>
    <w:rsid w:val="009032E3"/>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3">
    <w:name w:val="Table Grid 8213"/>
    <w:basedOn w:val="TableNormal"/>
    <w:next w:val="TableGrid8"/>
    <w:rsid w:val="009032E3"/>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3">
    <w:name w:val="Table Contemporary213"/>
    <w:basedOn w:val="TableNormal"/>
    <w:next w:val="TableContemporary"/>
    <w:rsid w:val="009032E3"/>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3">
    <w:name w:val="No List1413"/>
    <w:next w:val="NoList"/>
    <w:semiHidden/>
    <w:unhideWhenUsed/>
    <w:rsid w:val="009032E3"/>
  </w:style>
  <w:style w:type="numbering" w:customStyle="1" w:styleId="NoList2213">
    <w:name w:val="No List2213"/>
    <w:next w:val="NoList"/>
    <w:semiHidden/>
    <w:unhideWhenUsed/>
    <w:rsid w:val="009032E3"/>
  </w:style>
  <w:style w:type="numbering" w:customStyle="1" w:styleId="NoList3213">
    <w:name w:val="No List3213"/>
    <w:next w:val="NoList"/>
    <w:semiHidden/>
    <w:unhideWhenUsed/>
    <w:rsid w:val="009032E3"/>
  </w:style>
  <w:style w:type="table" w:customStyle="1" w:styleId="LightList-Accent1213">
    <w:name w:val="Light List - Accent 1213"/>
    <w:basedOn w:val="TableNormal"/>
    <w:uiPriority w:val="61"/>
    <w:rsid w:val="009032E3"/>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22">
    <w:name w:val="Table Grid 7122"/>
    <w:basedOn w:val="TableNormal"/>
    <w:next w:val="TableGrid7"/>
    <w:rsid w:val="009032E3"/>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3">
    <w:name w:val="Colorful Grid - Accent 1313"/>
    <w:basedOn w:val="TableNormal"/>
    <w:next w:val="ColorfulGrid-Accent1"/>
    <w:uiPriority w:val="73"/>
    <w:rsid w:val="009032E3"/>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3">
    <w:name w:val="Light List - Accent 5313"/>
    <w:basedOn w:val="TableNormal"/>
    <w:next w:val="LightList-Accent5"/>
    <w:uiPriority w:val="61"/>
    <w:rsid w:val="009032E3"/>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22">
    <w:name w:val="Table Simple 3122"/>
    <w:basedOn w:val="TableNormal"/>
    <w:next w:val="TableSimple3"/>
    <w:rsid w:val="009032E3"/>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2">
    <w:name w:val="Table Grid 5122"/>
    <w:basedOn w:val="TableNormal"/>
    <w:next w:val="TableGrid5"/>
    <w:rsid w:val="009032E3"/>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2">
    <w:name w:val="Table Grid 3122"/>
    <w:basedOn w:val="TableNormal"/>
    <w:next w:val="TableGrid3"/>
    <w:rsid w:val="009032E3"/>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2">
    <w:name w:val="Table Grid 1122"/>
    <w:basedOn w:val="TableNormal"/>
    <w:next w:val="TableGrid10"/>
    <w:rsid w:val="009032E3"/>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2">
    <w:name w:val="Table Columns 5122"/>
    <w:basedOn w:val="TableNormal"/>
    <w:next w:val="TableColumns5"/>
    <w:rsid w:val="009032E3"/>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3">
    <w:name w:val="Light List - Accent 11113"/>
    <w:basedOn w:val="TableNormal"/>
    <w:uiPriority w:val="61"/>
    <w:rsid w:val="009032E3"/>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3">
    <w:name w:val="Нет списка1313"/>
    <w:next w:val="NoList"/>
    <w:semiHidden/>
    <w:unhideWhenUsed/>
    <w:rsid w:val="009032E3"/>
  </w:style>
  <w:style w:type="table" w:customStyle="1" w:styleId="ColorfulGrid-Accent11113">
    <w:name w:val="Colorful Grid - Accent 11113"/>
    <w:basedOn w:val="TableNormal"/>
    <w:rsid w:val="009032E3"/>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3">
    <w:name w:val="Light List - Accent 51113"/>
    <w:basedOn w:val="TableNormal"/>
    <w:rsid w:val="009032E3"/>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3">
    <w:name w:val="No List4213"/>
    <w:next w:val="NoList"/>
    <w:semiHidden/>
    <w:rsid w:val="009032E3"/>
  </w:style>
  <w:style w:type="numbering" w:customStyle="1" w:styleId="NoList11214">
    <w:name w:val="No List11214"/>
    <w:next w:val="NoList"/>
    <w:semiHidden/>
    <w:unhideWhenUsed/>
    <w:rsid w:val="009032E3"/>
  </w:style>
  <w:style w:type="table" w:customStyle="1" w:styleId="Table3Deffects3122">
    <w:name w:val="Table 3D effects 3122"/>
    <w:basedOn w:val="TableNormal"/>
    <w:next w:val="Table3Deffects3"/>
    <w:rsid w:val="009032E3"/>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3">
    <w:name w:val="Нет списка11213"/>
    <w:next w:val="NoList"/>
    <w:semiHidden/>
    <w:unhideWhenUsed/>
    <w:rsid w:val="009032E3"/>
  </w:style>
  <w:style w:type="table" w:customStyle="1" w:styleId="TableGrid11220">
    <w:name w:val="Table Grid1122"/>
    <w:basedOn w:val="TableNormal"/>
    <w:next w:val="TableGrid"/>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13">
    <w:name w:val="No List5113"/>
    <w:next w:val="NoList"/>
    <w:uiPriority w:val="99"/>
    <w:semiHidden/>
    <w:rsid w:val="009032E3"/>
  </w:style>
  <w:style w:type="numbering" w:customStyle="1" w:styleId="NoList6112">
    <w:name w:val="No List6112"/>
    <w:next w:val="NoList"/>
    <w:uiPriority w:val="99"/>
    <w:semiHidden/>
    <w:unhideWhenUsed/>
    <w:rsid w:val="009032E3"/>
  </w:style>
  <w:style w:type="table" w:customStyle="1" w:styleId="TableGrid2113">
    <w:name w:val="Table Grid2113"/>
    <w:basedOn w:val="TableNormal"/>
    <w:next w:val="TableGrid"/>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12">
    <w:name w:val="No List7112"/>
    <w:next w:val="NoList"/>
    <w:uiPriority w:val="99"/>
    <w:semiHidden/>
    <w:unhideWhenUsed/>
    <w:rsid w:val="009032E3"/>
  </w:style>
  <w:style w:type="numbering" w:customStyle="1" w:styleId="NoList12113">
    <w:name w:val="No List12113"/>
    <w:next w:val="NoList"/>
    <w:uiPriority w:val="99"/>
    <w:semiHidden/>
    <w:unhideWhenUsed/>
    <w:rsid w:val="009032E3"/>
  </w:style>
  <w:style w:type="table" w:customStyle="1" w:styleId="TableGrid31120">
    <w:name w:val="Table Grid3112"/>
    <w:basedOn w:val="TableNormal"/>
    <w:next w:val="TableGrid"/>
    <w:rsid w:val="009032E3"/>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12">
    <w:name w:val="Table Web 21112"/>
    <w:basedOn w:val="TableNormal"/>
    <w:next w:val="TableWeb2"/>
    <w:rsid w:val="009032E3"/>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2">
    <w:name w:val="Table Web 11112"/>
    <w:basedOn w:val="TableNormal"/>
    <w:next w:val="TableWeb1"/>
    <w:rsid w:val="009032E3"/>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2">
    <w:name w:val="Table Grid 81112"/>
    <w:basedOn w:val="TableNormal"/>
    <w:next w:val="TableGrid8"/>
    <w:rsid w:val="009032E3"/>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2">
    <w:name w:val="Table Contemporary1112"/>
    <w:basedOn w:val="TableNormal"/>
    <w:next w:val="TableContemporary"/>
    <w:rsid w:val="009032E3"/>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12">
    <w:name w:val="Colorful Grid - Accent 12112"/>
    <w:basedOn w:val="TableNormal"/>
    <w:next w:val="ColorfulGrid-Accent1"/>
    <w:rsid w:val="009032E3"/>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2">
    <w:name w:val="Light List - Accent 52112"/>
    <w:basedOn w:val="TableNormal"/>
    <w:next w:val="LightList-Accent5"/>
    <w:rsid w:val="009032E3"/>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12">
    <w:name w:val="No List8112"/>
    <w:next w:val="NoList"/>
    <w:uiPriority w:val="99"/>
    <w:semiHidden/>
    <w:unhideWhenUsed/>
    <w:rsid w:val="009032E3"/>
  </w:style>
  <w:style w:type="numbering" w:customStyle="1" w:styleId="12112">
    <w:name w:val="Нет списка12112"/>
    <w:next w:val="NoList"/>
    <w:uiPriority w:val="99"/>
    <w:semiHidden/>
    <w:unhideWhenUsed/>
    <w:rsid w:val="009032E3"/>
  </w:style>
  <w:style w:type="numbering" w:customStyle="1" w:styleId="NoList13112">
    <w:name w:val="No List13112"/>
    <w:next w:val="NoList"/>
    <w:semiHidden/>
    <w:unhideWhenUsed/>
    <w:rsid w:val="009032E3"/>
  </w:style>
  <w:style w:type="numbering" w:customStyle="1" w:styleId="NoList21113">
    <w:name w:val="No List21113"/>
    <w:next w:val="NoList"/>
    <w:semiHidden/>
    <w:unhideWhenUsed/>
    <w:rsid w:val="009032E3"/>
  </w:style>
  <w:style w:type="numbering" w:customStyle="1" w:styleId="NoList31113">
    <w:name w:val="No List31113"/>
    <w:next w:val="NoList"/>
    <w:semiHidden/>
    <w:unhideWhenUsed/>
    <w:rsid w:val="009032E3"/>
  </w:style>
  <w:style w:type="numbering" w:customStyle="1" w:styleId="111212">
    <w:name w:val="Нет списка111212"/>
    <w:next w:val="NoList"/>
    <w:semiHidden/>
    <w:unhideWhenUsed/>
    <w:rsid w:val="009032E3"/>
  </w:style>
  <w:style w:type="numbering" w:customStyle="1" w:styleId="NoList41112">
    <w:name w:val="No List41112"/>
    <w:next w:val="NoList"/>
    <w:semiHidden/>
    <w:rsid w:val="009032E3"/>
  </w:style>
  <w:style w:type="numbering" w:customStyle="1" w:styleId="NoList111124">
    <w:name w:val="No List111124"/>
    <w:next w:val="NoList"/>
    <w:semiHidden/>
    <w:unhideWhenUsed/>
    <w:rsid w:val="009032E3"/>
  </w:style>
  <w:style w:type="numbering" w:customStyle="1" w:styleId="1111112">
    <w:name w:val="Нет списка1111112"/>
    <w:next w:val="NoList"/>
    <w:semiHidden/>
    <w:unhideWhenUsed/>
    <w:rsid w:val="009032E3"/>
  </w:style>
  <w:style w:type="table" w:customStyle="1" w:styleId="TableGrid613">
    <w:name w:val="Table Grid613"/>
    <w:basedOn w:val="TableNormal"/>
    <w:next w:val="TableGrid"/>
    <w:uiPriority w:val="39"/>
    <w:rsid w:val="009032E3"/>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12">
    <w:name w:val="Grid Table 1 Light - Accent 51112"/>
    <w:basedOn w:val="TableNormal"/>
    <w:uiPriority w:val="46"/>
    <w:rsid w:val="009032E3"/>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14">
    <w:name w:val="Table Grid221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0">
    <w:name w:val="Table Grid7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0">
    <w:name w:val="Table Grid8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1">
    <w:name w:val="Grid Table 1 Light - Accent 1111"/>
    <w:basedOn w:val="TableNormal"/>
    <w:uiPriority w:val="46"/>
    <w:rsid w:val="009032E3"/>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Grid143">
    <w:name w:val="Table Grid143"/>
    <w:basedOn w:val="TableNormal"/>
    <w:next w:val="TableGrid"/>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0">
    <w:name w:val="Table Grid721"/>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next w:val="TableGrid"/>
    <w:uiPriority w:val="39"/>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0">
    <w:name w:val="Table Grid731"/>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leNormal"/>
    <w:next w:val="TableGrid"/>
    <w:uiPriority w:val="39"/>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uiPriority w:val="39"/>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2">
    <w:name w:val="Table Grid11132"/>
    <w:basedOn w:val="TableNormal"/>
    <w:next w:val="TableGrid"/>
    <w:uiPriority w:val="39"/>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11">
    <w:name w:val="Table Grid111311"/>
    <w:basedOn w:val="TableNormal"/>
    <w:next w:val="TableGrid"/>
    <w:uiPriority w:val="39"/>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6">
    <w:name w:val="No List66"/>
    <w:next w:val="NoList"/>
    <w:uiPriority w:val="99"/>
    <w:semiHidden/>
    <w:unhideWhenUsed/>
    <w:rsid w:val="00E27F1D"/>
  </w:style>
  <w:style w:type="numbering" w:customStyle="1" w:styleId="NoList2221">
    <w:name w:val="No List2221"/>
    <w:next w:val="NoList"/>
    <w:semiHidden/>
    <w:rsid w:val="009F0A25"/>
  </w:style>
  <w:style w:type="numbering" w:customStyle="1" w:styleId="NoList3221">
    <w:name w:val="No List3221"/>
    <w:next w:val="NoList"/>
    <w:semiHidden/>
    <w:unhideWhenUsed/>
    <w:rsid w:val="009F0A25"/>
  </w:style>
  <w:style w:type="numbering" w:customStyle="1" w:styleId="NoList5121">
    <w:name w:val="No List5121"/>
    <w:next w:val="NoList"/>
    <w:uiPriority w:val="99"/>
    <w:semiHidden/>
    <w:unhideWhenUsed/>
    <w:rsid w:val="009F0A25"/>
  </w:style>
  <w:style w:type="numbering" w:customStyle="1" w:styleId="NoList12121">
    <w:name w:val="No List12121"/>
    <w:next w:val="NoList"/>
    <w:semiHidden/>
    <w:rsid w:val="009F0A25"/>
  </w:style>
  <w:style w:type="numbering" w:customStyle="1" w:styleId="NoList21121">
    <w:name w:val="No List21121"/>
    <w:next w:val="NoList"/>
    <w:semiHidden/>
    <w:rsid w:val="009F0A25"/>
  </w:style>
  <w:style w:type="numbering" w:customStyle="1" w:styleId="NoList31121">
    <w:name w:val="No List31121"/>
    <w:next w:val="NoList"/>
    <w:uiPriority w:val="99"/>
    <w:semiHidden/>
    <w:unhideWhenUsed/>
    <w:rsid w:val="009F0A25"/>
  </w:style>
  <w:style w:type="numbering" w:customStyle="1" w:styleId="NoList921">
    <w:name w:val="No List921"/>
    <w:next w:val="NoList"/>
    <w:uiPriority w:val="99"/>
    <w:semiHidden/>
    <w:unhideWhenUsed/>
    <w:rsid w:val="009F0A25"/>
  </w:style>
  <w:style w:type="numbering" w:customStyle="1" w:styleId="NoList1421">
    <w:name w:val="No List1421"/>
    <w:next w:val="NoList"/>
    <w:semiHidden/>
    <w:unhideWhenUsed/>
    <w:rsid w:val="009F0A25"/>
  </w:style>
  <w:style w:type="numbering" w:customStyle="1" w:styleId="1321">
    <w:name w:val="Нет списка1321"/>
    <w:next w:val="NoList"/>
    <w:semiHidden/>
    <w:unhideWhenUsed/>
    <w:rsid w:val="009F0A25"/>
  </w:style>
  <w:style w:type="numbering" w:customStyle="1" w:styleId="NoList4221">
    <w:name w:val="No List4221"/>
    <w:next w:val="NoList"/>
    <w:semiHidden/>
    <w:rsid w:val="009F0A25"/>
  </w:style>
  <w:style w:type="numbering" w:customStyle="1" w:styleId="11221">
    <w:name w:val="Нет списка11221"/>
    <w:next w:val="NoList"/>
    <w:semiHidden/>
    <w:unhideWhenUsed/>
    <w:rsid w:val="009F0A25"/>
  </w:style>
  <w:style w:type="numbering" w:customStyle="1" w:styleId="NoList1021">
    <w:name w:val="No List1021"/>
    <w:next w:val="NoList"/>
    <w:uiPriority w:val="99"/>
    <w:semiHidden/>
    <w:unhideWhenUsed/>
    <w:rsid w:val="009F0A25"/>
  </w:style>
  <w:style w:type="numbering" w:customStyle="1" w:styleId="NoList1811">
    <w:name w:val="No List1811"/>
    <w:next w:val="NoList"/>
    <w:uiPriority w:val="99"/>
    <w:semiHidden/>
    <w:unhideWhenUsed/>
    <w:rsid w:val="009F0A25"/>
  </w:style>
  <w:style w:type="numbering" w:customStyle="1" w:styleId="1511">
    <w:name w:val="Нет списка1511"/>
    <w:next w:val="NoList"/>
    <w:semiHidden/>
    <w:unhideWhenUsed/>
    <w:rsid w:val="009F0A25"/>
  </w:style>
  <w:style w:type="numbering" w:customStyle="1" w:styleId="NoList4411">
    <w:name w:val="No List4411"/>
    <w:next w:val="NoList"/>
    <w:semiHidden/>
    <w:rsid w:val="009F0A25"/>
  </w:style>
  <w:style w:type="numbering" w:customStyle="1" w:styleId="11411">
    <w:name w:val="Нет списка11411"/>
    <w:next w:val="NoList"/>
    <w:semiHidden/>
    <w:unhideWhenUsed/>
    <w:rsid w:val="009F0A25"/>
  </w:style>
  <w:style w:type="numbering" w:customStyle="1" w:styleId="NoList1111311">
    <w:name w:val="No List1111311"/>
    <w:next w:val="NoList"/>
    <w:semiHidden/>
    <w:rsid w:val="009F0A25"/>
  </w:style>
  <w:style w:type="numbering" w:customStyle="1" w:styleId="NoList5311">
    <w:name w:val="No List5311"/>
    <w:next w:val="NoList"/>
    <w:uiPriority w:val="99"/>
    <w:semiHidden/>
    <w:unhideWhenUsed/>
    <w:rsid w:val="009F0A25"/>
  </w:style>
  <w:style w:type="numbering" w:customStyle="1" w:styleId="NoList12311">
    <w:name w:val="No List12311"/>
    <w:next w:val="NoList"/>
    <w:semiHidden/>
    <w:rsid w:val="009F0A25"/>
  </w:style>
  <w:style w:type="numbering" w:customStyle="1" w:styleId="NoList21311">
    <w:name w:val="No List21311"/>
    <w:next w:val="NoList"/>
    <w:semiHidden/>
    <w:rsid w:val="009F0A25"/>
  </w:style>
  <w:style w:type="numbering" w:customStyle="1" w:styleId="NoList31311">
    <w:name w:val="No List31311"/>
    <w:next w:val="NoList"/>
    <w:uiPriority w:val="99"/>
    <w:semiHidden/>
    <w:unhideWhenUsed/>
    <w:rsid w:val="009F0A25"/>
  </w:style>
  <w:style w:type="numbering" w:customStyle="1" w:styleId="NoList113111">
    <w:name w:val="No List113111"/>
    <w:next w:val="NoList"/>
    <w:semiHidden/>
    <w:rsid w:val="009F0A25"/>
  </w:style>
  <w:style w:type="numbering" w:customStyle="1" w:styleId="NoList1112111">
    <w:name w:val="No List1112111"/>
    <w:next w:val="NoList"/>
    <w:semiHidden/>
    <w:rsid w:val="009F0A25"/>
  </w:style>
  <w:style w:type="numbering" w:customStyle="1" w:styleId="NoList22111">
    <w:name w:val="No List22111"/>
    <w:next w:val="NoList"/>
    <w:semiHidden/>
    <w:rsid w:val="009F0A25"/>
  </w:style>
  <w:style w:type="numbering" w:customStyle="1" w:styleId="NoList32111">
    <w:name w:val="No List32111"/>
    <w:next w:val="NoList"/>
    <w:semiHidden/>
    <w:unhideWhenUsed/>
    <w:rsid w:val="009F0A25"/>
  </w:style>
  <w:style w:type="numbering" w:customStyle="1" w:styleId="NoList51111">
    <w:name w:val="No List51111"/>
    <w:next w:val="NoList"/>
    <w:uiPriority w:val="99"/>
    <w:semiHidden/>
    <w:unhideWhenUsed/>
    <w:rsid w:val="009F0A25"/>
  </w:style>
  <w:style w:type="numbering" w:customStyle="1" w:styleId="NoList121111">
    <w:name w:val="No List121111"/>
    <w:next w:val="NoList"/>
    <w:semiHidden/>
    <w:rsid w:val="009F0A25"/>
  </w:style>
  <w:style w:type="numbering" w:customStyle="1" w:styleId="NoList1121111">
    <w:name w:val="No List1121111"/>
    <w:next w:val="NoList"/>
    <w:semiHidden/>
    <w:rsid w:val="009F0A25"/>
  </w:style>
  <w:style w:type="numbering" w:customStyle="1" w:styleId="NoList1111111111">
    <w:name w:val="No List1111111111"/>
    <w:next w:val="NoList"/>
    <w:semiHidden/>
    <w:rsid w:val="009F0A25"/>
  </w:style>
  <w:style w:type="numbering" w:customStyle="1" w:styleId="NoList211111">
    <w:name w:val="No List211111"/>
    <w:next w:val="NoList"/>
    <w:semiHidden/>
    <w:rsid w:val="009F0A25"/>
  </w:style>
  <w:style w:type="numbering" w:customStyle="1" w:styleId="NoList311111">
    <w:name w:val="No List311111"/>
    <w:next w:val="NoList"/>
    <w:uiPriority w:val="99"/>
    <w:semiHidden/>
    <w:unhideWhenUsed/>
    <w:rsid w:val="009F0A25"/>
  </w:style>
  <w:style w:type="numbering" w:customStyle="1" w:styleId="NoList9111">
    <w:name w:val="No List9111"/>
    <w:next w:val="NoList"/>
    <w:uiPriority w:val="99"/>
    <w:semiHidden/>
    <w:unhideWhenUsed/>
    <w:rsid w:val="009F0A25"/>
  </w:style>
  <w:style w:type="numbering" w:customStyle="1" w:styleId="NoList14111">
    <w:name w:val="No List14111"/>
    <w:next w:val="NoList"/>
    <w:semiHidden/>
    <w:unhideWhenUsed/>
    <w:rsid w:val="009F0A25"/>
  </w:style>
  <w:style w:type="numbering" w:customStyle="1" w:styleId="NoList23111">
    <w:name w:val="No List23111"/>
    <w:next w:val="NoList"/>
    <w:semiHidden/>
    <w:unhideWhenUsed/>
    <w:rsid w:val="009F0A25"/>
  </w:style>
  <w:style w:type="numbering" w:customStyle="1" w:styleId="NoList33111">
    <w:name w:val="No List33111"/>
    <w:next w:val="NoList"/>
    <w:semiHidden/>
    <w:unhideWhenUsed/>
    <w:rsid w:val="009F0A25"/>
  </w:style>
  <w:style w:type="numbering" w:customStyle="1" w:styleId="13111">
    <w:name w:val="Нет списка13111"/>
    <w:next w:val="NoList"/>
    <w:semiHidden/>
    <w:unhideWhenUsed/>
    <w:rsid w:val="009F0A25"/>
  </w:style>
  <w:style w:type="numbering" w:customStyle="1" w:styleId="NoList42111">
    <w:name w:val="No List42111"/>
    <w:next w:val="NoList"/>
    <w:semiHidden/>
    <w:rsid w:val="009F0A25"/>
  </w:style>
  <w:style w:type="numbering" w:customStyle="1" w:styleId="NoList114111">
    <w:name w:val="No List114111"/>
    <w:next w:val="NoList"/>
    <w:semiHidden/>
    <w:unhideWhenUsed/>
    <w:rsid w:val="009F0A25"/>
  </w:style>
  <w:style w:type="numbering" w:customStyle="1" w:styleId="112111">
    <w:name w:val="Нет списка112111"/>
    <w:next w:val="NoList"/>
    <w:semiHidden/>
    <w:unhideWhenUsed/>
    <w:rsid w:val="009F0A25"/>
  </w:style>
  <w:style w:type="numbering" w:customStyle="1" w:styleId="NoList10111">
    <w:name w:val="No List10111"/>
    <w:next w:val="NoList"/>
    <w:uiPriority w:val="99"/>
    <w:semiHidden/>
    <w:unhideWhenUsed/>
    <w:rsid w:val="009F0A25"/>
  </w:style>
  <w:style w:type="numbering" w:customStyle="1" w:styleId="NoList15111">
    <w:name w:val="No List15111"/>
    <w:next w:val="NoList"/>
    <w:semiHidden/>
    <w:unhideWhenUsed/>
    <w:rsid w:val="009F0A25"/>
  </w:style>
  <w:style w:type="numbering" w:customStyle="1" w:styleId="NoList1113111">
    <w:name w:val="No List1113111"/>
    <w:next w:val="NoList"/>
    <w:semiHidden/>
    <w:rsid w:val="009F0A25"/>
  </w:style>
  <w:style w:type="numbering" w:customStyle="1" w:styleId="NoList24111">
    <w:name w:val="No List24111"/>
    <w:next w:val="NoList"/>
    <w:semiHidden/>
    <w:rsid w:val="009F0A25"/>
  </w:style>
  <w:style w:type="numbering" w:customStyle="1" w:styleId="NoList34111">
    <w:name w:val="No List34111"/>
    <w:next w:val="NoList"/>
    <w:semiHidden/>
    <w:unhideWhenUsed/>
    <w:rsid w:val="009F0A25"/>
  </w:style>
  <w:style w:type="numbering" w:customStyle="1" w:styleId="14111">
    <w:name w:val="Нет списка14111"/>
    <w:next w:val="NoList"/>
    <w:semiHidden/>
    <w:unhideWhenUsed/>
    <w:rsid w:val="009F0A25"/>
  </w:style>
  <w:style w:type="numbering" w:customStyle="1" w:styleId="NoList43111">
    <w:name w:val="No List43111"/>
    <w:next w:val="NoList"/>
    <w:semiHidden/>
    <w:rsid w:val="009F0A25"/>
  </w:style>
  <w:style w:type="numbering" w:customStyle="1" w:styleId="113111">
    <w:name w:val="Нет списка113111"/>
    <w:next w:val="NoList"/>
    <w:semiHidden/>
    <w:unhideWhenUsed/>
    <w:rsid w:val="009F0A25"/>
  </w:style>
  <w:style w:type="numbering" w:customStyle="1" w:styleId="NoList52111">
    <w:name w:val="No List52111"/>
    <w:next w:val="NoList"/>
    <w:uiPriority w:val="99"/>
    <w:semiHidden/>
    <w:unhideWhenUsed/>
    <w:rsid w:val="009F0A25"/>
  </w:style>
  <w:style w:type="numbering" w:customStyle="1" w:styleId="NoList122111">
    <w:name w:val="No List122111"/>
    <w:next w:val="NoList"/>
    <w:semiHidden/>
    <w:rsid w:val="009F0A25"/>
  </w:style>
  <w:style w:type="numbering" w:customStyle="1" w:styleId="NoList1122111">
    <w:name w:val="No List1122111"/>
    <w:next w:val="NoList"/>
    <w:semiHidden/>
    <w:rsid w:val="009F0A25"/>
  </w:style>
  <w:style w:type="numbering" w:customStyle="1" w:styleId="NoList11112111">
    <w:name w:val="No List11112111"/>
    <w:next w:val="NoList"/>
    <w:semiHidden/>
    <w:rsid w:val="009F0A25"/>
  </w:style>
  <w:style w:type="numbering" w:customStyle="1" w:styleId="NoList212111">
    <w:name w:val="No List212111"/>
    <w:next w:val="NoList"/>
    <w:semiHidden/>
    <w:rsid w:val="009F0A25"/>
  </w:style>
  <w:style w:type="numbering" w:customStyle="1" w:styleId="NoList312111">
    <w:name w:val="No List312111"/>
    <w:next w:val="NoList"/>
    <w:uiPriority w:val="99"/>
    <w:semiHidden/>
    <w:unhideWhenUsed/>
    <w:rsid w:val="009F0A25"/>
  </w:style>
  <w:style w:type="numbering" w:customStyle="1" w:styleId="NoList16111">
    <w:name w:val="No List16111"/>
    <w:next w:val="NoList"/>
    <w:uiPriority w:val="99"/>
    <w:semiHidden/>
    <w:unhideWhenUsed/>
    <w:rsid w:val="009F0A25"/>
  </w:style>
  <w:style w:type="numbering" w:customStyle="1" w:styleId="NoList17111">
    <w:name w:val="No List17111"/>
    <w:next w:val="NoList"/>
    <w:uiPriority w:val="99"/>
    <w:semiHidden/>
    <w:unhideWhenUsed/>
    <w:rsid w:val="009F0A25"/>
  </w:style>
  <w:style w:type="table" w:customStyle="1" w:styleId="LightList-Accent12211">
    <w:name w:val="Light List - Accent 12211"/>
    <w:basedOn w:val="TableNormal"/>
    <w:next w:val="LightList-Accent1"/>
    <w:uiPriority w:val="61"/>
    <w:rsid w:val="009F0A25"/>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2-Accent111">
    <w:name w:val="Medium List 2 - Accent 111"/>
    <w:basedOn w:val="TableNormal"/>
    <w:next w:val="MediumList2-Accent1"/>
    <w:uiPriority w:val="66"/>
    <w:rsid w:val="009F0A25"/>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Grid3-Accent611">
    <w:name w:val="Medium Grid 3 - Accent 611"/>
    <w:basedOn w:val="TableNormal"/>
    <w:next w:val="MediumGrid3-Accent6"/>
    <w:uiPriority w:val="69"/>
    <w:rsid w:val="009F0A25"/>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Accent511">
    <w:name w:val="Medium List 1 - Accent 511"/>
    <w:basedOn w:val="TableNormal"/>
    <w:next w:val="MediumList1-Accent5"/>
    <w:uiPriority w:val="65"/>
    <w:rsid w:val="009F0A25"/>
    <w:rPr>
      <w:rFonts w:ascii="Calibri" w:eastAsia="Calibri" w:hAnsi="Calibri"/>
      <w:color w:val="000000"/>
      <w:sz w:val="22"/>
      <w:szCs w:val="22"/>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Accent311">
    <w:name w:val="Light List - Accent 311"/>
    <w:basedOn w:val="TableNormal"/>
    <w:next w:val="LightList-Accent3"/>
    <w:uiPriority w:val="61"/>
    <w:rsid w:val="009F0A25"/>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2-Accent311">
    <w:name w:val="Medium List 2 - Accent 311"/>
    <w:basedOn w:val="TableNormal"/>
    <w:next w:val="MediumList2-Accent3"/>
    <w:uiPriority w:val="66"/>
    <w:rsid w:val="009F0A25"/>
    <w:rPr>
      <w:rFonts w:ascii="Cambria"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1">
    <w:name w:val="Medium List 2 - Accent 411"/>
    <w:basedOn w:val="TableNormal"/>
    <w:next w:val="MediumList2-Accent4"/>
    <w:uiPriority w:val="66"/>
    <w:rsid w:val="009F0A25"/>
    <w:rPr>
      <w:rFonts w:ascii="Cambria" w:hAnsi="Cambria"/>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TableList7131">
    <w:name w:val="Table List 7131"/>
    <w:basedOn w:val="TableNormal"/>
    <w:next w:val="TableList7"/>
    <w:rsid w:val="009F0A25"/>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31">
    <w:name w:val="Table Web 3131"/>
    <w:basedOn w:val="TableNormal"/>
    <w:next w:val="TableWeb3"/>
    <w:rsid w:val="009F0A25"/>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31">
    <w:name w:val="Table Elegant131"/>
    <w:basedOn w:val="TableNormal"/>
    <w:next w:val="TableElegant"/>
    <w:rsid w:val="009F0A25"/>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31">
    <w:name w:val="Table Web 2131"/>
    <w:basedOn w:val="TableNormal"/>
    <w:next w:val="TableWeb2"/>
    <w:rsid w:val="009F0A25"/>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31">
    <w:name w:val="Table Web 1131"/>
    <w:basedOn w:val="TableNormal"/>
    <w:next w:val="TableWeb1"/>
    <w:rsid w:val="009F0A25"/>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31">
    <w:name w:val="Table Grid 8131"/>
    <w:basedOn w:val="TableNormal"/>
    <w:next w:val="TableGrid8"/>
    <w:rsid w:val="009F0A25"/>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31">
    <w:name w:val="Table Contemporary131"/>
    <w:basedOn w:val="TableNormal"/>
    <w:next w:val="TableContemporary"/>
    <w:rsid w:val="009F0A25"/>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7131">
    <w:name w:val="Table Grid 7131"/>
    <w:basedOn w:val="TableNormal"/>
    <w:next w:val="TableGrid7"/>
    <w:rsid w:val="009F0A25"/>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Simple3131">
    <w:name w:val="Table Simple 3131"/>
    <w:basedOn w:val="TableNormal"/>
    <w:next w:val="TableSimple3"/>
    <w:rsid w:val="009F0A2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31">
    <w:name w:val="Table Grid 5131"/>
    <w:basedOn w:val="TableNormal"/>
    <w:next w:val="TableGrid5"/>
    <w:rsid w:val="009F0A2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31">
    <w:name w:val="Table Grid 3131"/>
    <w:basedOn w:val="TableNormal"/>
    <w:next w:val="TableGrid3"/>
    <w:rsid w:val="009F0A25"/>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31">
    <w:name w:val="Table Grid 1131"/>
    <w:basedOn w:val="TableNormal"/>
    <w:next w:val="TableGrid10"/>
    <w:rsid w:val="009F0A25"/>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31">
    <w:name w:val="Table Columns 5131"/>
    <w:basedOn w:val="TableNormal"/>
    <w:next w:val="TableColumns5"/>
    <w:rsid w:val="009F0A25"/>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NoList4131">
    <w:name w:val="No List4131"/>
    <w:next w:val="NoList"/>
    <w:semiHidden/>
    <w:rsid w:val="009F0A25"/>
  </w:style>
  <w:style w:type="table" w:customStyle="1" w:styleId="Table3Deffects3131">
    <w:name w:val="Table 3D effects 3131"/>
    <w:basedOn w:val="TableNormal"/>
    <w:next w:val="Table3Deffects3"/>
    <w:rsid w:val="009F0A25"/>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631">
    <w:name w:val="No List631"/>
    <w:next w:val="NoList"/>
    <w:uiPriority w:val="99"/>
    <w:semiHidden/>
    <w:unhideWhenUsed/>
    <w:rsid w:val="009F0A25"/>
  </w:style>
  <w:style w:type="numbering" w:customStyle="1" w:styleId="NoList731">
    <w:name w:val="No List731"/>
    <w:next w:val="NoList"/>
    <w:uiPriority w:val="99"/>
    <w:semiHidden/>
    <w:unhideWhenUsed/>
    <w:rsid w:val="009F0A25"/>
  </w:style>
  <w:style w:type="table" w:customStyle="1" w:styleId="TableGrid3310">
    <w:name w:val="Table Grid331"/>
    <w:basedOn w:val="TableNormal"/>
    <w:next w:val="TableGrid"/>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31">
    <w:name w:val="Colorful Grid - Accent 1231"/>
    <w:basedOn w:val="TableNormal"/>
    <w:next w:val="ColorfulGrid-Accent1"/>
    <w:rsid w:val="009F0A2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31">
    <w:name w:val="Light List - Accent 5231"/>
    <w:basedOn w:val="TableNormal"/>
    <w:next w:val="LightList-Accent5"/>
    <w:rsid w:val="009F0A2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31">
    <w:name w:val="No List831"/>
    <w:next w:val="NoList"/>
    <w:uiPriority w:val="99"/>
    <w:semiHidden/>
    <w:unhideWhenUsed/>
    <w:rsid w:val="009F0A25"/>
  </w:style>
  <w:style w:type="numbering" w:customStyle="1" w:styleId="1231">
    <w:name w:val="Нет списка1231"/>
    <w:next w:val="NoList"/>
    <w:uiPriority w:val="99"/>
    <w:semiHidden/>
    <w:unhideWhenUsed/>
    <w:rsid w:val="009F0A25"/>
  </w:style>
  <w:style w:type="numbering" w:customStyle="1" w:styleId="NoList1331">
    <w:name w:val="No List1331"/>
    <w:next w:val="NoList"/>
    <w:semiHidden/>
    <w:unhideWhenUsed/>
    <w:rsid w:val="009F0A25"/>
  </w:style>
  <w:style w:type="table" w:customStyle="1" w:styleId="TableGrid431">
    <w:name w:val="Table Grid431"/>
    <w:basedOn w:val="TableNormal"/>
    <w:next w:val="TableGrid"/>
    <w:uiPriority w:val="39"/>
    <w:rsid w:val="009F0A25"/>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9F0A25"/>
  </w:style>
  <w:style w:type="numbering" w:customStyle="1" w:styleId="NoList7121">
    <w:name w:val="No List7121"/>
    <w:next w:val="NoList"/>
    <w:uiPriority w:val="99"/>
    <w:semiHidden/>
    <w:unhideWhenUsed/>
    <w:rsid w:val="009F0A25"/>
  </w:style>
  <w:style w:type="table" w:customStyle="1" w:styleId="TableGrid31210">
    <w:name w:val="Table Grid3121"/>
    <w:basedOn w:val="TableNormal"/>
    <w:next w:val="TableGrid"/>
    <w:rsid w:val="009F0A2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21">
    <w:name w:val="Table Web 21121"/>
    <w:basedOn w:val="TableNormal"/>
    <w:next w:val="TableWeb2"/>
    <w:rsid w:val="009F0A2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21">
    <w:name w:val="Table Web 11121"/>
    <w:basedOn w:val="TableNormal"/>
    <w:next w:val="TableWeb1"/>
    <w:rsid w:val="009F0A2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21">
    <w:name w:val="Table Grid 81121"/>
    <w:basedOn w:val="TableNormal"/>
    <w:next w:val="TableGrid8"/>
    <w:rsid w:val="009F0A2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21">
    <w:name w:val="Table Contemporary1121"/>
    <w:basedOn w:val="TableNormal"/>
    <w:next w:val="TableContemporary"/>
    <w:rsid w:val="009F0A2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21">
    <w:name w:val="Colorful Grid - Accent 12121"/>
    <w:basedOn w:val="TableNormal"/>
    <w:next w:val="ColorfulGrid-Accent1"/>
    <w:rsid w:val="009F0A2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21">
    <w:name w:val="Light List - Accent 52121"/>
    <w:basedOn w:val="TableNormal"/>
    <w:next w:val="LightList-Accent5"/>
    <w:rsid w:val="009F0A2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21">
    <w:name w:val="No List8121"/>
    <w:next w:val="NoList"/>
    <w:uiPriority w:val="99"/>
    <w:semiHidden/>
    <w:unhideWhenUsed/>
    <w:rsid w:val="009F0A25"/>
  </w:style>
  <w:style w:type="numbering" w:customStyle="1" w:styleId="12121">
    <w:name w:val="Нет списка12121"/>
    <w:next w:val="NoList"/>
    <w:uiPriority w:val="99"/>
    <w:semiHidden/>
    <w:unhideWhenUsed/>
    <w:rsid w:val="009F0A25"/>
  </w:style>
  <w:style w:type="numbering" w:customStyle="1" w:styleId="NoList13121">
    <w:name w:val="No List13121"/>
    <w:next w:val="NoList"/>
    <w:semiHidden/>
    <w:unhideWhenUsed/>
    <w:rsid w:val="009F0A25"/>
  </w:style>
  <w:style w:type="numbering" w:customStyle="1" w:styleId="NoList41121">
    <w:name w:val="No List41121"/>
    <w:next w:val="NoList"/>
    <w:semiHidden/>
    <w:rsid w:val="009F0A25"/>
  </w:style>
  <w:style w:type="table" w:customStyle="1" w:styleId="TableGrid4121">
    <w:name w:val="Table Grid412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 Grid82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9F0A25"/>
  </w:style>
  <w:style w:type="numbering" w:customStyle="1" w:styleId="NoList7211">
    <w:name w:val="No List7211"/>
    <w:next w:val="NoList"/>
    <w:uiPriority w:val="99"/>
    <w:semiHidden/>
    <w:unhideWhenUsed/>
    <w:rsid w:val="009F0A25"/>
  </w:style>
  <w:style w:type="table" w:customStyle="1" w:styleId="TableGrid32110">
    <w:name w:val="Table Grid3211"/>
    <w:basedOn w:val="TableNormal"/>
    <w:next w:val="TableGrid"/>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211">
    <w:name w:val="Table Web 21211"/>
    <w:basedOn w:val="TableNormal"/>
    <w:next w:val="TableWeb2"/>
    <w:rsid w:val="009F0A25"/>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11">
    <w:name w:val="Table Web 11211"/>
    <w:basedOn w:val="TableNormal"/>
    <w:next w:val="TableWeb1"/>
    <w:rsid w:val="009F0A25"/>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11">
    <w:name w:val="Table Grid 81211"/>
    <w:basedOn w:val="TableNormal"/>
    <w:next w:val="TableGrid8"/>
    <w:rsid w:val="009F0A25"/>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11">
    <w:name w:val="Table Contemporary1211"/>
    <w:basedOn w:val="TableNormal"/>
    <w:next w:val="TableContemporary"/>
    <w:rsid w:val="009F0A25"/>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211">
    <w:name w:val="Colorful Grid - Accent 12211"/>
    <w:basedOn w:val="TableNormal"/>
    <w:next w:val="ColorfulGrid-Accent1"/>
    <w:rsid w:val="009F0A2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11">
    <w:name w:val="Light List - Accent 52211"/>
    <w:basedOn w:val="TableNormal"/>
    <w:next w:val="LightList-Accent5"/>
    <w:rsid w:val="009F0A2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211">
    <w:name w:val="No List8211"/>
    <w:next w:val="NoList"/>
    <w:uiPriority w:val="99"/>
    <w:semiHidden/>
    <w:unhideWhenUsed/>
    <w:rsid w:val="009F0A25"/>
  </w:style>
  <w:style w:type="numbering" w:customStyle="1" w:styleId="12211">
    <w:name w:val="Нет списка12211"/>
    <w:next w:val="NoList"/>
    <w:uiPriority w:val="99"/>
    <w:semiHidden/>
    <w:unhideWhenUsed/>
    <w:rsid w:val="009F0A25"/>
  </w:style>
  <w:style w:type="numbering" w:customStyle="1" w:styleId="NoList13211">
    <w:name w:val="No List13211"/>
    <w:next w:val="NoList"/>
    <w:semiHidden/>
    <w:unhideWhenUsed/>
    <w:rsid w:val="009F0A25"/>
  </w:style>
  <w:style w:type="numbering" w:customStyle="1" w:styleId="111311">
    <w:name w:val="Нет списка111311"/>
    <w:next w:val="NoList"/>
    <w:semiHidden/>
    <w:unhideWhenUsed/>
    <w:rsid w:val="009F0A25"/>
  </w:style>
  <w:style w:type="numbering" w:customStyle="1" w:styleId="NoList41211">
    <w:name w:val="No List41211"/>
    <w:next w:val="NoList"/>
    <w:semiHidden/>
    <w:rsid w:val="009F0A25"/>
  </w:style>
  <w:style w:type="numbering" w:customStyle="1" w:styleId="1111211">
    <w:name w:val="Нет списка1111211"/>
    <w:next w:val="NoList"/>
    <w:semiHidden/>
    <w:unhideWhenUsed/>
    <w:rsid w:val="009F0A25"/>
  </w:style>
  <w:style w:type="table" w:customStyle="1" w:styleId="TableGrid4211">
    <w:name w:val="Table Grid4211"/>
    <w:basedOn w:val="TableNormal"/>
    <w:next w:val="TableGrid"/>
    <w:uiPriority w:val="39"/>
    <w:rsid w:val="009F0A25"/>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211">
    <w:name w:val="Table List 71211"/>
    <w:basedOn w:val="TableNormal"/>
    <w:next w:val="TableList7"/>
    <w:rsid w:val="009F0A25"/>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11">
    <w:name w:val="Table Web 31211"/>
    <w:basedOn w:val="TableNormal"/>
    <w:next w:val="TableWeb3"/>
    <w:rsid w:val="009F0A25"/>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11">
    <w:name w:val="Table Elegant1211"/>
    <w:basedOn w:val="TableNormal"/>
    <w:next w:val="TableElegant"/>
    <w:rsid w:val="009F0A25"/>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71211">
    <w:name w:val="Table Grid 71211"/>
    <w:basedOn w:val="TableNormal"/>
    <w:next w:val="TableGrid7"/>
    <w:rsid w:val="009F0A25"/>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Simple31211">
    <w:name w:val="Table Simple 31211"/>
    <w:basedOn w:val="TableNormal"/>
    <w:next w:val="TableSimple3"/>
    <w:rsid w:val="009F0A2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11">
    <w:name w:val="Table Grid 51211"/>
    <w:basedOn w:val="TableNormal"/>
    <w:next w:val="TableGrid5"/>
    <w:rsid w:val="009F0A2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11">
    <w:name w:val="Table Grid 31211"/>
    <w:basedOn w:val="TableNormal"/>
    <w:next w:val="TableGrid3"/>
    <w:rsid w:val="009F0A25"/>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11">
    <w:name w:val="Table Grid 11211"/>
    <w:basedOn w:val="TableNormal"/>
    <w:next w:val="TableGrid10"/>
    <w:rsid w:val="009F0A25"/>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11">
    <w:name w:val="Table Columns 51211"/>
    <w:basedOn w:val="TableNormal"/>
    <w:next w:val="TableColumns5"/>
    <w:rsid w:val="009F0A25"/>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3Deffects31211">
    <w:name w:val="Table 3D effects 31211"/>
    <w:basedOn w:val="TableNormal"/>
    <w:next w:val="Table3Deffects3"/>
    <w:rsid w:val="009F0A25"/>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2110">
    <w:name w:val="Table Grid11211"/>
    <w:basedOn w:val="TableNormal"/>
    <w:next w:val="TableGrid"/>
    <w:rsid w:val="009F0A2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1111">
    <w:name w:val="No List61111"/>
    <w:next w:val="NoList"/>
    <w:uiPriority w:val="99"/>
    <w:semiHidden/>
    <w:unhideWhenUsed/>
    <w:rsid w:val="009F0A25"/>
  </w:style>
  <w:style w:type="numbering" w:customStyle="1" w:styleId="NoList71111">
    <w:name w:val="No List71111"/>
    <w:next w:val="NoList"/>
    <w:uiPriority w:val="99"/>
    <w:semiHidden/>
    <w:unhideWhenUsed/>
    <w:rsid w:val="009F0A25"/>
  </w:style>
  <w:style w:type="table" w:customStyle="1" w:styleId="TableGrid31111">
    <w:name w:val="Table Grid31111"/>
    <w:basedOn w:val="TableNormal"/>
    <w:next w:val="TableGrid"/>
    <w:rsid w:val="009F0A2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111">
    <w:name w:val="Table Web 211111"/>
    <w:basedOn w:val="TableNormal"/>
    <w:next w:val="TableWeb2"/>
    <w:rsid w:val="009F0A2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11">
    <w:name w:val="Table Web 111111"/>
    <w:basedOn w:val="TableNormal"/>
    <w:next w:val="TableWeb1"/>
    <w:rsid w:val="009F0A2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11">
    <w:name w:val="Table Grid 811111"/>
    <w:basedOn w:val="TableNormal"/>
    <w:next w:val="TableGrid8"/>
    <w:rsid w:val="009F0A2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11">
    <w:name w:val="Table Contemporary11111"/>
    <w:basedOn w:val="TableNormal"/>
    <w:next w:val="TableContemporary"/>
    <w:rsid w:val="009F0A2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111">
    <w:name w:val="Colorful Grid - Accent 121111"/>
    <w:basedOn w:val="TableNormal"/>
    <w:next w:val="ColorfulGrid-Accent1"/>
    <w:rsid w:val="009F0A2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11">
    <w:name w:val="Light List - Accent 521111"/>
    <w:basedOn w:val="TableNormal"/>
    <w:next w:val="LightList-Accent5"/>
    <w:rsid w:val="009F0A2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111">
    <w:name w:val="No List81111"/>
    <w:next w:val="NoList"/>
    <w:uiPriority w:val="99"/>
    <w:semiHidden/>
    <w:unhideWhenUsed/>
    <w:rsid w:val="009F0A25"/>
  </w:style>
  <w:style w:type="numbering" w:customStyle="1" w:styleId="121111">
    <w:name w:val="Нет списка121111"/>
    <w:next w:val="NoList"/>
    <w:uiPriority w:val="99"/>
    <w:semiHidden/>
    <w:unhideWhenUsed/>
    <w:rsid w:val="009F0A25"/>
  </w:style>
  <w:style w:type="numbering" w:customStyle="1" w:styleId="NoList131111">
    <w:name w:val="No List131111"/>
    <w:next w:val="NoList"/>
    <w:semiHidden/>
    <w:unhideWhenUsed/>
    <w:rsid w:val="009F0A25"/>
  </w:style>
  <w:style w:type="numbering" w:customStyle="1" w:styleId="1112111">
    <w:name w:val="Нет списка1112111"/>
    <w:next w:val="NoList"/>
    <w:semiHidden/>
    <w:unhideWhenUsed/>
    <w:rsid w:val="009F0A25"/>
  </w:style>
  <w:style w:type="numbering" w:customStyle="1" w:styleId="NoList411111">
    <w:name w:val="No List411111"/>
    <w:next w:val="NoList"/>
    <w:semiHidden/>
    <w:rsid w:val="009F0A25"/>
  </w:style>
  <w:style w:type="numbering" w:customStyle="1" w:styleId="11111111">
    <w:name w:val="Нет списка11111111"/>
    <w:next w:val="NoList"/>
    <w:semiHidden/>
    <w:unhideWhenUsed/>
    <w:rsid w:val="009F0A25"/>
  </w:style>
  <w:style w:type="table" w:customStyle="1" w:styleId="TableGrid41111">
    <w:name w:val="Table Grid41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1">
    <w:name w:val="Table Grid1112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0">
    <w:name w:val="Table Grid7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0">
    <w:name w:val="Table Grid8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10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
    <w:name w:val="Table Grid14111"/>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Нет списка11141"/>
    <w:next w:val="NoList"/>
    <w:semiHidden/>
    <w:unhideWhenUsed/>
    <w:rsid w:val="009F0A25"/>
  </w:style>
  <w:style w:type="numbering" w:customStyle="1" w:styleId="111131">
    <w:name w:val="Нет списка111131"/>
    <w:next w:val="NoList"/>
    <w:semiHidden/>
    <w:unhideWhenUsed/>
    <w:rsid w:val="009F0A25"/>
  </w:style>
  <w:style w:type="table" w:customStyle="1" w:styleId="GridTable4-Accent1121">
    <w:name w:val="Grid Table 4 - Accent 1121"/>
    <w:basedOn w:val="TableNormal"/>
    <w:uiPriority w:val="49"/>
    <w:rsid w:val="009F0A25"/>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111221">
    <w:name w:val="Нет списка111221"/>
    <w:next w:val="NoList"/>
    <w:semiHidden/>
    <w:unhideWhenUsed/>
    <w:rsid w:val="009F0A25"/>
  </w:style>
  <w:style w:type="numbering" w:customStyle="1" w:styleId="1111121">
    <w:name w:val="Нет списка1111121"/>
    <w:next w:val="NoList"/>
    <w:semiHidden/>
    <w:unhideWhenUsed/>
    <w:rsid w:val="009F0A25"/>
  </w:style>
  <w:style w:type="table" w:customStyle="1" w:styleId="TableGrid11141">
    <w:name w:val="Table Grid1114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0">
    <w:name w:val="Table Grid74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21">
    <w:name w:val="Grid Table 1 Light - Accent 1121"/>
    <w:basedOn w:val="TableNormal"/>
    <w:uiPriority w:val="46"/>
    <w:rsid w:val="009F0A25"/>
    <w:rPr>
      <w:rFonts w:ascii="Calibri" w:eastAsia="Calibri" w:hAnsi="Calibri"/>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MediumGrid3-Accent121">
    <w:name w:val="Medium Grid 3 - Accent 121"/>
    <w:basedOn w:val="TableNormal"/>
    <w:next w:val="MediumGrid3-Accent1"/>
    <w:uiPriority w:val="69"/>
    <w:rsid w:val="009F0A25"/>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TableGrid1431">
    <w:name w:val="Table Grid1431"/>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0">
    <w:name w:val="Table Grid73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1">
    <w:name w:val="Table Grid14211"/>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1">
    <w:name w:val="Table Grid1113111"/>
    <w:basedOn w:val="TableNormal"/>
    <w:next w:val="TableGrid"/>
    <w:uiPriority w:val="39"/>
    <w:rsid w:val="009F0A2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31">
    <w:name w:val="Table Grid12131"/>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211">
    <w:name w:val="Grid Table 1 Light - Accent 51211"/>
    <w:basedOn w:val="TableNormal"/>
    <w:uiPriority w:val="46"/>
    <w:rsid w:val="009F0A25"/>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1241">
    <w:name w:val="Table Grid1241"/>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2">
    <w:name w:val="Table Grid7312"/>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2">
    <w:name w:val="Table Grid14212"/>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2">
    <w:name w:val="Table Grid1113112"/>
    <w:basedOn w:val="TableNormal"/>
    <w:next w:val="TableGrid"/>
    <w:uiPriority w:val="39"/>
    <w:rsid w:val="009F0A2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1121">
    <w:name w:val="Table Grid11131121"/>
    <w:basedOn w:val="TableNormal"/>
    <w:next w:val="TableGrid"/>
    <w:uiPriority w:val="39"/>
    <w:rsid w:val="00005BEA"/>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21">
    <w:name w:val="Table Grid9121"/>
    <w:basedOn w:val="TableNormal"/>
    <w:next w:val="TableGrid"/>
    <w:uiPriority w:val="39"/>
    <w:rsid w:val="00005BE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21">
    <w:name w:val="Table Grid73121"/>
    <w:basedOn w:val="TableNormal"/>
    <w:next w:val="TableGrid"/>
    <w:uiPriority w:val="39"/>
    <w:rsid w:val="00005BE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21">
    <w:name w:val="Table Grid142121"/>
    <w:basedOn w:val="TableNormal"/>
    <w:next w:val="TableGrid"/>
    <w:uiPriority w:val="39"/>
    <w:rsid w:val="00005BEA"/>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22">
    <w:name w:val="Table Grid11131122"/>
    <w:basedOn w:val="TableNormal"/>
    <w:next w:val="TableGrid"/>
    <w:uiPriority w:val="39"/>
    <w:rsid w:val="00005BEA"/>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0">
    <w:name w:val="Основной текст5"/>
    <w:basedOn w:val="Normal"/>
    <w:link w:val="ac"/>
    <w:rsid w:val="00CF740B"/>
    <w:pPr>
      <w:widowControl w:val="0"/>
      <w:shd w:val="clear" w:color="auto" w:fill="FFFFFF"/>
      <w:spacing w:before="0" w:line="322" w:lineRule="exact"/>
      <w:ind w:hanging="440"/>
      <w:contextualSpacing w:val="0"/>
      <w:jc w:val="right"/>
    </w:pPr>
    <w:rPr>
      <w:rFonts w:ascii="Sylfaen" w:hAnsi="Sylfaen" w:cs="Sylfaen"/>
      <w:b w:val="0"/>
      <w:spacing w:val="20"/>
      <w:w w:val="80"/>
      <w:sz w:val="20"/>
      <w:szCs w:val="20"/>
      <w:lang w:val="en-US" w:eastAsia="en-US"/>
    </w:rPr>
  </w:style>
  <w:style w:type="paragraph" w:customStyle="1" w:styleId="Charc">
    <w:name w:val="Char"/>
    <w:basedOn w:val="Normal"/>
    <w:locked/>
    <w:rsid w:val="00840AE8"/>
    <w:pPr>
      <w:spacing w:before="0" w:after="160" w:line="240" w:lineRule="auto"/>
      <w:ind w:firstLine="0"/>
      <w:contextualSpacing w:val="0"/>
      <w:jc w:val="left"/>
    </w:pPr>
    <w:rPr>
      <w:rFonts w:ascii="Verdana" w:eastAsia="Batang" w:hAnsi="Verdana" w:cs="Verdana"/>
      <w:b w:val="0"/>
      <w:sz w:val="24"/>
      <w:lang w:val="en-GB"/>
    </w:rPr>
  </w:style>
  <w:style w:type="paragraph" w:customStyle="1" w:styleId="61">
    <w:name w:val="Основной текст6"/>
    <w:basedOn w:val="Normal"/>
    <w:rsid w:val="00453D56"/>
    <w:pPr>
      <w:widowControl w:val="0"/>
      <w:shd w:val="clear" w:color="auto" w:fill="FFFFFF"/>
      <w:spacing w:before="0" w:line="322" w:lineRule="exact"/>
      <w:ind w:hanging="440"/>
      <w:contextualSpacing w:val="0"/>
      <w:jc w:val="right"/>
    </w:pPr>
    <w:rPr>
      <w:rFonts w:ascii="Sylfaen" w:hAnsi="Sylfaen" w:cs="Sylfaen"/>
      <w:b w:val="0"/>
      <w:spacing w:val="20"/>
      <w:w w:val="80"/>
      <w:sz w:val="20"/>
      <w:szCs w:val="20"/>
      <w:lang w:val="en-US" w:eastAsia="en-US"/>
    </w:rPr>
  </w:style>
  <w:style w:type="table" w:customStyle="1" w:styleId="GridTable4-Accent51">
    <w:name w:val="Grid Table 4 - Accent 51"/>
    <w:basedOn w:val="TableNormal"/>
    <w:uiPriority w:val="49"/>
    <w:rsid w:val="00453D56"/>
    <w:rPr>
      <w:rFonts w:asciiTheme="minorHAnsi" w:eastAsiaTheme="minorHAnsi"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af0">
    <w:name w:val="Աղյուսակներ"/>
    <w:basedOn w:val="Normal"/>
    <w:qFormat/>
    <w:rsid w:val="008624F6"/>
    <w:pPr>
      <w:spacing w:before="60" w:after="40"/>
      <w:contextualSpacing w:val="0"/>
    </w:pPr>
    <w:rPr>
      <w:rFonts w:eastAsia="Calibri" w:cs="Sylfaen"/>
      <w:bCs/>
      <w:i/>
      <w:szCs w:val="22"/>
      <w:lang w:val="hy-AM" w:eastAsia="en-US"/>
    </w:rPr>
  </w:style>
  <w:style w:type="numbering" w:customStyle="1" w:styleId="NoList11111111111">
    <w:name w:val="No List11111111111"/>
    <w:next w:val="NoList"/>
    <w:semiHidden/>
    <w:rsid w:val="009B3790"/>
  </w:style>
  <w:style w:type="character" w:customStyle="1" w:styleId="Chard">
    <w:name w:val="Գծապատկեր Char"/>
    <w:link w:val="af1"/>
    <w:locked/>
    <w:rsid w:val="009B3790"/>
    <w:rPr>
      <w:rFonts w:ascii="GHEA Grapalat" w:eastAsia="GHEA Grapalat" w:hAnsi="GHEA Grapalat" w:cs="GHEA Grapalat"/>
      <w:noProof/>
    </w:rPr>
  </w:style>
  <w:style w:type="paragraph" w:customStyle="1" w:styleId="af1">
    <w:name w:val="Գծապատկեր"/>
    <w:basedOn w:val="Normal"/>
    <w:link w:val="Chard"/>
    <w:autoRedefine/>
    <w:qFormat/>
    <w:rsid w:val="009B3790"/>
    <w:pPr>
      <w:keepNext/>
      <w:keepLines/>
      <w:tabs>
        <w:tab w:val="left" w:pos="2160"/>
        <w:tab w:val="left" w:pos="2552"/>
      </w:tabs>
      <w:autoSpaceDE w:val="0"/>
      <w:autoSpaceDN w:val="0"/>
      <w:adjustRightInd w:val="0"/>
      <w:spacing w:before="0" w:line="240" w:lineRule="auto"/>
      <w:ind w:left="360" w:firstLine="0"/>
      <w:contextualSpacing w:val="0"/>
      <w:jc w:val="center"/>
    </w:pPr>
    <w:rPr>
      <w:rFonts w:eastAsia="GHEA Grapalat" w:cs="GHEA Grapalat"/>
      <w:b w:val="0"/>
      <w:noProof/>
      <w:sz w:val="20"/>
      <w:szCs w:val="20"/>
      <w:lang w:val="en-US" w:eastAsia="en-US"/>
    </w:rPr>
  </w:style>
  <w:style w:type="paragraph" w:customStyle="1" w:styleId="af2">
    <w:name w:val="Հղումներ"/>
    <w:basedOn w:val="Normal"/>
    <w:qFormat/>
    <w:rsid w:val="009B3790"/>
    <w:pPr>
      <w:spacing w:before="60" w:after="40" w:line="240" w:lineRule="auto"/>
      <w:contextualSpacing w:val="0"/>
    </w:pPr>
    <w:rPr>
      <w:b w:val="0"/>
      <w:sz w:val="20"/>
      <w:szCs w:val="20"/>
      <w:lang w:val="hy-AM" w:eastAsia="en-US"/>
    </w:rPr>
  </w:style>
  <w:style w:type="paragraph" w:customStyle="1" w:styleId="af3">
    <w:name w:val="Գծապատկերներ"/>
    <w:basedOn w:val="Normal"/>
    <w:qFormat/>
    <w:rsid w:val="009B3790"/>
    <w:pPr>
      <w:keepNext/>
      <w:keepLines/>
      <w:spacing w:before="60" w:after="40" w:line="240" w:lineRule="auto"/>
      <w:ind w:firstLine="0"/>
      <w:contextualSpacing w:val="0"/>
      <w:jc w:val="left"/>
    </w:pPr>
    <w:rPr>
      <w:rFonts w:eastAsiaTheme="majorEastAsia"/>
      <w:i/>
      <w:szCs w:val="22"/>
      <w:lang w:val="hy-AM" w:eastAsia="en-US"/>
    </w:rPr>
  </w:style>
  <w:style w:type="numbering" w:customStyle="1" w:styleId="NoList67">
    <w:name w:val="No List67"/>
    <w:next w:val="NoList"/>
    <w:uiPriority w:val="99"/>
    <w:semiHidden/>
    <w:unhideWhenUsed/>
    <w:rsid w:val="008F7DB9"/>
  </w:style>
  <w:style w:type="numbering" w:customStyle="1" w:styleId="NoList138">
    <w:name w:val="No List138"/>
    <w:next w:val="NoList"/>
    <w:uiPriority w:val="99"/>
    <w:semiHidden/>
    <w:unhideWhenUsed/>
    <w:rsid w:val="008F7DB9"/>
  </w:style>
  <w:style w:type="table" w:customStyle="1" w:styleId="TableGrid390">
    <w:name w:val="Table Grid39"/>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0">
    <w:name w:val="No List1130"/>
    <w:next w:val="NoList"/>
    <w:uiPriority w:val="99"/>
    <w:semiHidden/>
    <w:unhideWhenUsed/>
    <w:rsid w:val="008F7DB9"/>
  </w:style>
  <w:style w:type="numbering" w:customStyle="1" w:styleId="NoList11120">
    <w:name w:val="No List11120"/>
    <w:next w:val="NoList"/>
    <w:semiHidden/>
    <w:rsid w:val="008F7DB9"/>
  </w:style>
  <w:style w:type="table" w:customStyle="1" w:styleId="TableGrid1200">
    <w:name w:val="Table Grid120"/>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5">
    <w:name w:val="No List111115"/>
    <w:next w:val="NoList"/>
    <w:semiHidden/>
    <w:rsid w:val="008F7DB9"/>
  </w:style>
  <w:style w:type="numbering" w:customStyle="1" w:styleId="NoList226">
    <w:name w:val="No List226"/>
    <w:next w:val="NoList"/>
    <w:semiHidden/>
    <w:rsid w:val="008F7DB9"/>
  </w:style>
  <w:style w:type="numbering" w:customStyle="1" w:styleId="NoList320">
    <w:name w:val="No List320"/>
    <w:next w:val="NoList"/>
    <w:semiHidden/>
    <w:unhideWhenUsed/>
    <w:rsid w:val="008F7DB9"/>
  </w:style>
  <w:style w:type="table" w:customStyle="1" w:styleId="TableList716">
    <w:name w:val="Table List 716"/>
    <w:basedOn w:val="TableNormal"/>
    <w:next w:val="TableList7"/>
    <w:uiPriority w:val="99"/>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6">
    <w:name w:val="Table Web 316"/>
    <w:basedOn w:val="TableNormal"/>
    <w:next w:val="TableWeb3"/>
    <w:uiPriority w:val="99"/>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6">
    <w:name w:val="Table Elegant16"/>
    <w:basedOn w:val="TableNormal"/>
    <w:next w:val="TableElegant"/>
    <w:uiPriority w:val="99"/>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6">
    <w:name w:val="Table Web 216"/>
    <w:basedOn w:val="TableNormal"/>
    <w:next w:val="TableWeb2"/>
    <w:uiPriority w:val="99"/>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6">
    <w:name w:val="Table Web 116"/>
    <w:basedOn w:val="TableNormal"/>
    <w:next w:val="TableWeb1"/>
    <w:uiPriority w:val="99"/>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6">
    <w:name w:val="Table Grid 816"/>
    <w:basedOn w:val="TableNormal"/>
    <w:next w:val="TableGrid8"/>
    <w:uiPriority w:val="99"/>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6">
    <w:name w:val="Table Contemporary16"/>
    <w:basedOn w:val="TableNormal"/>
    <w:next w:val="TableContemporary"/>
    <w:uiPriority w:val="99"/>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35">
    <w:name w:val="Light List - Accent 135"/>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6">
    <w:name w:val="Table Grid 716"/>
    <w:basedOn w:val="TableNormal"/>
    <w:next w:val="TableGrid7"/>
    <w:uiPriority w:val="99"/>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6">
    <w:name w:val="Colorful Grid - Accent 126"/>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6">
    <w:name w:val="Light List - Accent 526"/>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6">
    <w:name w:val="Table Simple 316"/>
    <w:basedOn w:val="TableNormal"/>
    <w:next w:val="TableSimple3"/>
    <w:uiPriority w:val="99"/>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6">
    <w:name w:val="Table Grid 516"/>
    <w:basedOn w:val="TableNormal"/>
    <w:next w:val="TableGrid5"/>
    <w:uiPriority w:val="99"/>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6">
    <w:name w:val="Table Grid 316"/>
    <w:basedOn w:val="TableNormal"/>
    <w:next w:val="TableGrid3"/>
    <w:uiPriority w:val="99"/>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60">
    <w:name w:val="Table Grid 116"/>
    <w:basedOn w:val="TableNormal"/>
    <w:next w:val="TableGrid10"/>
    <w:uiPriority w:val="99"/>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6">
    <w:name w:val="Table Columns 516"/>
    <w:basedOn w:val="TableNormal"/>
    <w:next w:val="TableColumns5"/>
    <w:uiPriority w:val="99"/>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9">
    <w:name w:val="Light List - Accent 1119"/>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6">
    <w:name w:val="Нет списка126"/>
    <w:next w:val="NoList"/>
    <w:semiHidden/>
    <w:unhideWhenUsed/>
    <w:rsid w:val="008F7DB9"/>
  </w:style>
  <w:style w:type="table" w:customStyle="1" w:styleId="ColorfulGrid-Accent1116">
    <w:name w:val="Colorful Grid - Accent 1116"/>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7">
    <w:name w:val="Light List - Accent 5117"/>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9">
    <w:name w:val="No List419"/>
    <w:next w:val="NoList"/>
    <w:semiHidden/>
    <w:rsid w:val="008F7DB9"/>
  </w:style>
  <w:style w:type="table" w:customStyle="1" w:styleId="Table3Deffects316">
    <w:name w:val="Table 3D effects 316"/>
    <w:basedOn w:val="TableNormal"/>
    <w:next w:val="Table3Deffects3"/>
    <w:uiPriority w:val="99"/>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
    <w:name w:val="Нет списка1116"/>
    <w:next w:val="NoList"/>
    <w:semiHidden/>
    <w:unhideWhenUsed/>
    <w:rsid w:val="008F7DB9"/>
  </w:style>
  <w:style w:type="numbering" w:customStyle="1" w:styleId="NoList516">
    <w:name w:val="No List516"/>
    <w:next w:val="NoList"/>
    <w:uiPriority w:val="99"/>
    <w:semiHidden/>
    <w:unhideWhenUsed/>
    <w:rsid w:val="008F7DB9"/>
  </w:style>
  <w:style w:type="numbering" w:customStyle="1" w:styleId="NoList1218">
    <w:name w:val="No List1218"/>
    <w:next w:val="NoList"/>
    <w:uiPriority w:val="99"/>
    <w:semiHidden/>
    <w:rsid w:val="008F7DB9"/>
  </w:style>
  <w:style w:type="numbering" w:customStyle="1" w:styleId="NoList11210">
    <w:name w:val="No List11210"/>
    <w:next w:val="NoList"/>
    <w:semiHidden/>
    <w:rsid w:val="008F7DB9"/>
  </w:style>
  <w:style w:type="numbering" w:customStyle="1" w:styleId="NoList111116">
    <w:name w:val="No List111116"/>
    <w:next w:val="NoList"/>
    <w:semiHidden/>
    <w:rsid w:val="008F7DB9"/>
  </w:style>
  <w:style w:type="numbering" w:customStyle="1" w:styleId="NoList2116">
    <w:name w:val="No List2116"/>
    <w:next w:val="NoList"/>
    <w:semiHidden/>
    <w:rsid w:val="008F7DB9"/>
  </w:style>
  <w:style w:type="table" w:customStyle="1" w:styleId="TableGrid218">
    <w:name w:val="Table Grid218"/>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6">
    <w:name w:val="No List3116"/>
    <w:next w:val="NoList"/>
    <w:semiHidden/>
    <w:unhideWhenUsed/>
    <w:rsid w:val="008F7DB9"/>
  </w:style>
  <w:style w:type="numbering" w:customStyle="1" w:styleId="NoList68">
    <w:name w:val="No List68"/>
    <w:next w:val="NoList"/>
    <w:uiPriority w:val="99"/>
    <w:semiHidden/>
    <w:unhideWhenUsed/>
    <w:rsid w:val="008F7DB9"/>
  </w:style>
  <w:style w:type="numbering" w:customStyle="1" w:styleId="NoList76">
    <w:name w:val="No List76"/>
    <w:next w:val="NoList"/>
    <w:uiPriority w:val="99"/>
    <w:semiHidden/>
    <w:unhideWhenUsed/>
    <w:rsid w:val="008F7DB9"/>
  </w:style>
  <w:style w:type="table" w:customStyle="1" w:styleId="TableGrid3101">
    <w:name w:val="Table Grid310"/>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9">
    <w:name w:val="No List139"/>
    <w:next w:val="NoList"/>
    <w:semiHidden/>
    <w:unhideWhenUsed/>
    <w:rsid w:val="008F7DB9"/>
  </w:style>
  <w:style w:type="numbering" w:customStyle="1" w:styleId="NoList1135">
    <w:name w:val="No List1135"/>
    <w:next w:val="NoList"/>
    <w:semiHidden/>
    <w:rsid w:val="008F7DB9"/>
  </w:style>
  <w:style w:type="table" w:customStyle="1" w:styleId="TableGrid11100">
    <w:name w:val="Table Grid1110"/>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5">
    <w:name w:val="No List11125"/>
    <w:next w:val="NoList"/>
    <w:semiHidden/>
    <w:rsid w:val="008F7DB9"/>
  </w:style>
  <w:style w:type="numbering" w:customStyle="1" w:styleId="NoList227">
    <w:name w:val="No List227"/>
    <w:next w:val="NoList"/>
    <w:semiHidden/>
    <w:rsid w:val="008F7DB9"/>
  </w:style>
  <w:style w:type="numbering" w:customStyle="1" w:styleId="NoList326">
    <w:name w:val="No List326"/>
    <w:next w:val="NoList"/>
    <w:semiHidden/>
    <w:unhideWhenUsed/>
    <w:rsid w:val="008F7DB9"/>
  </w:style>
  <w:style w:type="table" w:customStyle="1" w:styleId="TableList717">
    <w:name w:val="Table List 717"/>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7">
    <w:name w:val="Table Web 317"/>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7">
    <w:name w:val="Table Elegant17"/>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7">
    <w:name w:val="Table Web 217"/>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7">
    <w:name w:val="Table Web 117"/>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7">
    <w:name w:val="Table Grid 817"/>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7">
    <w:name w:val="Table Contemporary17"/>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14">
    <w:name w:val="Light List - Accent 1214"/>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7">
    <w:name w:val="Table Grid 717"/>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7">
    <w:name w:val="Colorful Grid - Accent 127"/>
    <w:basedOn w:val="TableNormal"/>
    <w:next w:val="ColorfulGrid-Accent1"/>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7">
    <w:name w:val="Light List - Accent 527"/>
    <w:basedOn w:val="TableNormal"/>
    <w:next w:val="LightList-Accent5"/>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7">
    <w:name w:val="Table Simple 317"/>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7">
    <w:name w:val="Table Grid 517"/>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7">
    <w:name w:val="Table Grid 317"/>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70">
    <w:name w:val="Table Grid 117"/>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7">
    <w:name w:val="Table Columns 517"/>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0">
    <w:name w:val="Light List - Accent 11110"/>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7">
    <w:name w:val="Нет списка127"/>
    <w:next w:val="NoList"/>
    <w:uiPriority w:val="99"/>
    <w:semiHidden/>
    <w:unhideWhenUsed/>
    <w:rsid w:val="008F7DB9"/>
  </w:style>
  <w:style w:type="table" w:customStyle="1" w:styleId="ColorfulGrid-Accent1117">
    <w:name w:val="Colorful Grid - Accent 1117"/>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8">
    <w:name w:val="Light List - Accent 5118"/>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10">
    <w:name w:val="No List4110"/>
    <w:next w:val="NoList"/>
    <w:semiHidden/>
    <w:rsid w:val="008F7DB9"/>
  </w:style>
  <w:style w:type="table" w:customStyle="1" w:styleId="Table3Deffects317">
    <w:name w:val="Table 3D effects 317"/>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
    <w:name w:val="Нет списка1117"/>
    <w:next w:val="NoList"/>
    <w:semiHidden/>
    <w:unhideWhenUsed/>
    <w:rsid w:val="008F7DB9"/>
  </w:style>
  <w:style w:type="numbering" w:customStyle="1" w:styleId="NoList517">
    <w:name w:val="No List517"/>
    <w:next w:val="NoList"/>
    <w:uiPriority w:val="99"/>
    <w:semiHidden/>
    <w:unhideWhenUsed/>
    <w:rsid w:val="008F7DB9"/>
  </w:style>
  <w:style w:type="numbering" w:customStyle="1" w:styleId="NoList1219">
    <w:name w:val="No List1219"/>
    <w:next w:val="NoList"/>
    <w:uiPriority w:val="99"/>
    <w:semiHidden/>
    <w:rsid w:val="008F7DB9"/>
  </w:style>
  <w:style w:type="numbering" w:customStyle="1" w:styleId="NoList11215">
    <w:name w:val="No List11215"/>
    <w:next w:val="NoList"/>
    <w:semiHidden/>
    <w:rsid w:val="008F7DB9"/>
  </w:style>
  <w:style w:type="numbering" w:customStyle="1" w:styleId="NoList1111113">
    <w:name w:val="No List1111113"/>
    <w:next w:val="NoList"/>
    <w:semiHidden/>
    <w:rsid w:val="008F7DB9"/>
  </w:style>
  <w:style w:type="numbering" w:customStyle="1" w:styleId="NoList2117">
    <w:name w:val="No List2117"/>
    <w:next w:val="NoList"/>
    <w:semiHidden/>
    <w:rsid w:val="008F7DB9"/>
  </w:style>
  <w:style w:type="table" w:customStyle="1" w:styleId="TableGrid219">
    <w:name w:val="Table Grid219"/>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7">
    <w:name w:val="No List3117"/>
    <w:next w:val="NoList"/>
    <w:semiHidden/>
    <w:unhideWhenUsed/>
    <w:rsid w:val="008F7DB9"/>
  </w:style>
  <w:style w:type="numbering" w:customStyle="1" w:styleId="NoList86">
    <w:name w:val="No List86"/>
    <w:next w:val="NoList"/>
    <w:uiPriority w:val="99"/>
    <w:semiHidden/>
    <w:unhideWhenUsed/>
    <w:rsid w:val="008F7DB9"/>
  </w:style>
  <w:style w:type="numbering" w:customStyle="1" w:styleId="NoList96">
    <w:name w:val="No List96"/>
    <w:next w:val="NoList"/>
    <w:uiPriority w:val="99"/>
    <w:semiHidden/>
    <w:unhideWhenUsed/>
    <w:rsid w:val="008F7DB9"/>
  </w:style>
  <w:style w:type="table" w:customStyle="1" w:styleId="TableGrid46">
    <w:name w:val="Table Grid46"/>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5">
    <w:name w:val="Table List 725"/>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5">
    <w:name w:val="Table Web 325"/>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5">
    <w:name w:val="Table Elegant25"/>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6">
    <w:name w:val="Table Web 226"/>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6">
    <w:name w:val="Table Web 126"/>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6">
    <w:name w:val="Table Grid 826"/>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6">
    <w:name w:val="Table Contemporary26"/>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6">
    <w:name w:val="No List146"/>
    <w:next w:val="NoList"/>
    <w:semiHidden/>
    <w:unhideWhenUsed/>
    <w:rsid w:val="008F7DB9"/>
  </w:style>
  <w:style w:type="numbering" w:customStyle="1" w:styleId="NoList235">
    <w:name w:val="No List235"/>
    <w:next w:val="NoList"/>
    <w:semiHidden/>
    <w:unhideWhenUsed/>
    <w:rsid w:val="008F7DB9"/>
  </w:style>
  <w:style w:type="numbering" w:customStyle="1" w:styleId="NoList335">
    <w:name w:val="No List335"/>
    <w:next w:val="NoList"/>
    <w:semiHidden/>
    <w:unhideWhenUsed/>
    <w:rsid w:val="008F7DB9"/>
  </w:style>
  <w:style w:type="table" w:customStyle="1" w:styleId="LightList-Accent136">
    <w:name w:val="Light List - Accent 136"/>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5">
    <w:name w:val="Table Grid 725"/>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6">
    <w:name w:val="Colorful Grid - Accent 136"/>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6">
    <w:name w:val="Light List - Accent 536"/>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5">
    <w:name w:val="Table Simple 325"/>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5">
    <w:name w:val="Table Grid 525"/>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5">
    <w:name w:val="Table Grid 325"/>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5">
    <w:name w:val="Table Grid 125"/>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5">
    <w:name w:val="Table Columns 525"/>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5">
    <w:name w:val="Light List - Accent 1125"/>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6">
    <w:name w:val="Нет списка136"/>
    <w:next w:val="NoList"/>
    <w:semiHidden/>
    <w:unhideWhenUsed/>
    <w:rsid w:val="008F7DB9"/>
  </w:style>
  <w:style w:type="table" w:customStyle="1" w:styleId="ColorfulGrid-Accent1125">
    <w:name w:val="Colorful Grid - Accent 1125"/>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5">
    <w:name w:val="Light List - Accent 5125"/>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6">
    <w:name w:val="No List426"/>
    <w:next w:val="NoList"/>
    <w:semiHidden/>
    <w:rsid w:val="008F7DB9"/>
  </w:style>
  <w:style w:type="numbering" w:customStyle="1" w:styleId="NoList1143">
    <w:name w:val="No List1143"/>
    <w:next w:val="NoList"/>
    <w:semiHidden/>
    <w:unhideWhenUsed/>
    <w:rsid w:val="008F7DB9"/>
  </w:style>
  <w:style w:type="table" w:customStyle="1" w:styleId="Table3Deffects325">
    <w:name w:val="Table 3D effects 325"/>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6">
    <w:name w:val="Нет списка1126"/>
    <w:next w:val="NoList"/>
    <w:semiHidden/>
    <w:unhideWhenUsed/>
    <w:rsid w:val="008F7DB9"/>
  </w:style>
  <w:style w:type="numbering" w:customStyle="1" w:styleId="NoList106">
    <w:name w:val="No List106"/>
    <w:next w:val="NoList"/>
    <w:uiPriority w:val="99"/>
    <w:semiHidden/>
    <w:unhideWhenUsed/>
    <w:rsid w:val="008F7DB9"/>
  </w:style>
  <w:style w:type="table" w:customStyle="1" w:styleId="TableGrid560">
    <w:name w:val="Table Grid56"/>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5">
    <w:name w:val="No List155"/>
    <w:next w:val="NoList"/>
    <w:uiPriority w:val="99"/>
    <w:semiHidden/>
    <w:unhideWhenUsed/>
    <w:rsid w:val="008F7DB9"/>
  </w:style>
  <w:style w:type="numbering" w:customStyle="1" w:styleId="NoList1153">
    <w:name w:val="No List1153"/>
    <w:next w:val="NoList"/>
    <w:semiHidden/>
    <w:rsid w:val="008F7DB9"/>
  </w:style>
  <w:style w:type="table" w:customStyle="1" w:styleId="TableGrid1250">
    <w:name w:val="Table Grid125"/>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3">
    <w:name w:val="No List11133"/>
    <w:next w:val="NoList"/>
    <w:semiHidden/>
    <w:rsid w:val="008F7DB9"/>
  </w:style>
  <w:style w:type="numbering" w:customStyle="1" w:styleId="NoList243">
    <w:name w:val="No List243"/>
    <w:next w:val="NoList"/>
    <w:semiHidden/>
    <w:rsid w:val="008F7DB9"/>
  </w:style>
  <w:style w:type="numbering" w:customStyle="1" w:styleId="NoList343">
    <w:name w:val="No List343"/>
    <w:next w:val="NoList"/>
    <w:semiHidden/>
    <w:unhideWhenUsed/>
    <w:rsid w:val="008F7DB9"/>
  </w:style>
  <w:style w:type="table" w:customStyle="1" w:styleId="TableList733">
    <w:name w:val="Table List 733"/>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3">
    <w:name w:val="Table Web 333"/>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3">
    <w:name w:val="Table Elegant33"/>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5">
    <w:name w:val="Table Web 235"/>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5">
    <w:name w:val="Table Web 135"/>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5">
    <w:name w:val="Table Grid 835"/>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5">
    <w:name w:val="Table Contemporary35"/>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3">
    <w:name w:val="Light List - Accent 143"/>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3">
    <w:name w:val="Table Grid 733"/>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5">
    <w:name w:val="Colorful Grid - Accent 145"/>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5">
    <w:name w:val="Light List - Accent 545"/>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3">
    <w:name w:val="Table Simple 333"/>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3">
    <w:name w:val="Table Grid 533"/>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3">
    <w:name w:val="Table Grid 333"/>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30">
    <w:name w:val="Table Grid 133"/>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3">
    <w:name w:val="Table Columns 533"/>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3">
    <w:name w:val="Light List - Accent 1133"/>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5">
    <w:name w:val="Нет списка145"/>
    <w:next w:val="NoList"/>
    <w:semiHidden/>
    <w:unhideWhenUsed/>
    <w:rsid w:val="008F7DB9"/>
  </w:style>
  <w:style w:type="table" w:customStyle="1" w:styleId="ColorfulGrid-Accent1133">
    <w:name w:val="Colorful Grid - Accent 1133"/>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3">
    <w:name w:val="Light List - Accent 5133"/>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5">
    <w:name w:val="No List435"/>
    <w:next w:val="NoList"/>
    <w:semiHidden/>
    <w:rsid w:val="008F7DB9"/>
  </w:style>
  <w:style w:type="table" w:customStyle="1" w:styleId="Table3Deffects333">
    <w:name w:val="Table 3D effects 333"/>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5">
    <w:name w:val="Нет списка1135"/>
    <w:next w:val="NoList"/>
    <w:semiHidden/>
    <w:unhideWhenUsed/>
    <w:rsid w:val="008F7DB9"/>
  </w:style>
  <w:style w:type="numbering" w:customStyle="1" w:styleId="NoList525">
    <w:name w:val="No List525"/>
    <w:next w:val="NoList"/>
    <w:uiPriority w:val="99"/>
    <w:semiHidden/>
    <w:unhideWhenUsed/>
    <w:rsid w:val="008F7DB9"/>
  </w:style>
  <w:style w:type="numbering" w:customStyle="1" w:styleId="NoList1225">
    <w:name w:val="No List1225"/>
    <w:next w:val="NoList"/>
    <w:uiPriority w:val="99"/>
    <w:semiHidden/>
    <w:rsid w:val="008F7DB9"/>
  </w:style>
  <w:style w:type="numbering" w:customStyle="1" w:styleId="NoList11223">
    <w:name w:val="No List11223"/>
    <w:next w:val="NoList"/>
    <w:semiHidden/>
    <w:rsid w:val="008F7DB9"/>
  </w:style>
  <w:style w:type="numbering" w:customStyle="1" w:styleId="NoList111125">
    <w:name w:val="No List111125"/>
    <w:next w:val="NoList"/>
    <w:semiHidden/>
    <w:rsid w:val="008F7DB9"/>
  </w:style>
  <w:style w:type="numbering" w:customStyle="1" w:styleId="NoList2125">
    <w:name w:val="No List2125"/>
    <w:next w:val="NoList"/>
    <w:semiHidden/>
    <w:rsid w:val="008F7DB9"/>
  </w:style>
  <w:style w:type="table" w:customStyle="1" w:styleId="TableGrid226">
    <w:name w:val="Table Grid226"/>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5">
    <w:name w:val="No List3125"/>
    <w:next w:val="NoList"/>
    <w:semiHidden/>
    <w:unhideWhenUsed/>
    <w:rsid w:val="008F7DB9"/>
  </w:style>
  <w:style w:type="table" w:customStyle="1" w:styleId="LightShading-Accent115">
    <w:name w:val="Light Shading - Accent 115"/>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5">
    <w:name w:val="Medium Grid 2 - Accent 115"/>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5">
    <w:name w:val="Medium List 2 - Accent 515"/>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4">
    <w:name w:val="Light List - Accent 154"/>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5">
    <w:name w:val="Medium Grid 3 - Accent 515"/>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5">
    <w:name w:val="Light Shading - Accent 515"/>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5">
    <w:name w:val="Medium Grid 2 - Accent 515"/>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5">
    <w:name w:val="Light Grid - Accent 115"/>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5">
    <w:name w:val="Table List 45"/>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4">
    <w:name w:val="Table List 414"/>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3">
    <w:name w:val="Table Theme3"/>
    <w:basedOn w:val="TableNormal"/>
    <w:next w:val="TableTheme"/>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3">
    <w:name w:val="Table Professional3"/>
    <w:basedOn w:val="TableNormal"/>
    <w:next w:val="TableProfessional"/>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30">
    <w:name w:val="Table Grid 63"/>
    <w:basedOn w:val="TableNormal"/>
    <w:next w:val="TableGrid6"/>
    <w:rsid w:val="008F7DB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3">
    <w:name w:val="Table List 423"/>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3">
    <w:name w:val="Table List 4113"/>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7">
    <w:name w:val="Style117"/>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8">
    <w:name w:val="Style218"/>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7">
    <w:name w:val="Style2117"/>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5">
    <w:name w:val="No List165"/>
    <w:next w:val="NoList"/>
    <w:semiHidden/>
    <w:unhideWhenUsed/>
    <w:rsid w:val="008F7DB9"/>
  </w:style>
  <w:style w:type="table" w:customStyle="1" w:styleId="TableGrid66">
    <w:name w:val="Table Grid66"/>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uiPriority w:val="99"/>
    <w:semiHidden/>
    <w:unhideWhenUsed/>
    <w:rsid w:val="008F7DB9"/>
  </w:style>
  <w:style w:type="numbering" w:customStyle="1" w:styleId="NoList1163">
    <w:name w:val="No List1163"/>
    <w:next w:val="NoList"/>
    <w:semiHidden/>
    <w:rsid w:val="008F7DB9"/>
  </w:style>
  <w:style w:type="table" w:customStyle="1" w:styleId="TableGrid135">
    <w:name w:val="Table Grid135"/>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4">
    <w:name w:val="Light List - Accent 164"/>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22">
    <w:name w:val="Light Shading - Accent 12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22">
    <w:name w:val="Medium Grid 2 - Accent 12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22">
    <w:name w:val="Medium List 2 - Accent 52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72">
    <w:name w:val="Light List - Accent 17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22">
    <w:name w:val="Medium Grid 3 - Accent 52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22">
    <w:name w:val="Light Shading - Accent 52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22">
    <w:name w:val="Medium Grid 2 - Accent 52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22">
    <w:name w:val="Light Grid - Accent 12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82">
    <w:name w:val="No List182"/>
    <w:next w:val="NoList"/>
    <w:semiHidden/>
    <w:unhideWhenUsed/>
    <w:rsid w:val="008F7DB9"/>
  </w:style>
  <w:style w:type="table" w:customStyle="1" w:styleId="TableGrid760">
    <w:name w:val="Table Grid76"/>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42">
    <w:name w:val="Table List 742"/>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42">
    <w:name w:val="Table Web 342"/>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42">
    <w:name w:val="Table Elegant42"/>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42">
    <w:name w:val="Table Web 242"/>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42">
    <w:name w:val="Table Web 142"/>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2">
    <w:name w:val="Table Grid 842"/>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42">
    <w:name w:val="Table Contemporary42"/>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92">
    <w:name w:val="No List192"/>
    <w:next w:val="NoList"/>
    <w:semiHidden/>
    <w:unhideWhenUsed/>
    <w:rsid w:val="008F7DB9"/>
  </w:style>
  <w:style w:type="numbering" w:customStyle="1" w:styleId="NoList252">
    <w:name w:val="No List252"/>
    <w:next w:val="NoList"/>
    <w:semiHidden/>
    <w:unhideWhenUsed/>
    <w:rsid w:val="008F7DB9"/>
  </w:style>
  <w:style w:type="numbering" w:customStyle="1" w:styleId="NoList352">
    <w:name w:val="No List352"/>
    <w:next w:val="NoList"/>
    <w:semiHidden/>
    <w:unhideWhenUsed/>
    <w:rsid w:val="008F7DB9"/>
  </w:style>
  <w:style w:type="table" w:customStyle="1" w:styleId="LightList-Accent182">
    <w:name w:val="Light List - Accent 182"/>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42">
    <w:name w:val="Table Grid 742"/>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52">
    <w:name w:val="Colorful Grid - Accent 152"/>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52">
    <w:name w:val="Light List - Accent 552"/>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42">
    <w:name w:val="Table Simple 342"/>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42">
    <w:name w:val="Table Grid 542"/>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42">
    <w:name w:val="Table Grid 342"/>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420">
    <w:name w:val="Table Grid 142"/>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42">
    <w:name w:val="Table Columns 542"/>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42">
    <w:name w:val="Light List - Accent 1142"/>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52">
    <w:name w:val="Нет списка152"/>
    <w:next w:val="NoList"/>
    <w:semiHidden/>
    <w:unhideWhenUsed/>
    <w:rsid w:val="008F7DB9"/>
  </w:style>
  <w:style w:type="table" w:customStyle="1" w:styleId="ColorfulGrid-Accent1142">
    <w:name w:val="Colorful Grid - Accent 1142"/>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42">
    <w:name w:val="Light List - Accent 5142"/>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42">
    <w:name w:val="No List442"/>
    <w:next w:val="NoList"/>
    <w:semiHidden/>
    <w:rsid w:val="008F7DB9"/>
  </w:style>
  <w:style w:type="numbering" w:customStyle="1" w:styleId="NoList1172">
    <w:name w:val="No List1172"/>
    <w:next w:val="NoList"/>
    <w:semiHidden/>
    <w:unhideWhenUsed/>
    <w:rsid w:val="008F7DB9"/>
  </w:style>
  <w:style w:type="table" w:customStyle="1" w:styleId="Table3Deffects342">
    <w:name w:val="Table 3D effects 342"/>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2">
    <w:name w:val="Нет списка1142"/>
    <w:next w:val="NoList"/>
    <w:semiHidden/>
    <w:unhideWhenUsed/>
    <w:rsid w:val="008F7DB9"/>
  </w:style>
  <w:style w:type="table" w:customStyle="1" w:styleId="Style1112">
    <w:name w:val="Style1112"/>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22">
    <w:name w:val="Style212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12">
    <w:name w:val="Style2111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1122">
    <w:name w:val="Style1122"/>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32">
    <w:name w:val="Style213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22">
    <w:name w:val="Style2112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202">
    <w:name w:val="No List202"/>
    <w:next w:val="NoList"/>
    <w:uiPriority w:val="99"/>
    <w:semiHidden/>
    <w:unhideWhenUsed/>
    <w:rsid w:val="008F7DB9"/>
  </w:style>
  <w:style w:type="numbering" w:customStyle="1" w:styleId="NoList1102">
    <w:name w:val="No List1102"/>
    <w:next w:val="NoList"/>
    <w:uiPriority w:val="99"/>
    <w:semiHidden/>
    <w:unhideWhenUsed/>
    <w:rsid w:val="008F7DB9"/>
  </w:style>
  <w:style w:type="table" w:customStyle="1" w:styleId="TableGrid850">
    <w:name w:val="Table Grid85"/>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2">
    <w:name w:val="No List1182"/>
    <w:next w:val="NoList"/>
    <w:semiHidden/>
    <w:unhideWhenUsed/>
    <w:rsid w:val="008F7DB9"/>
  </w:style>
  <w:style w:type="numbering" w:customStyle="1" w:styleId="NoList11142">
    <w:name w:val="No List11142"/>
    <w:next w:val="NoList"/>
    <w:semiHidden/>
    <w:rsid w:val="008F7DB9"/>
  </w:style>
  <w:style w:type="table" w:customStyle="1" w:styleId="TableGrid144">
    <w:name w:val="Table Grid144"/>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2">
    <w:name w:val="No List111132"/>
    <w:next w:val="NoList"/>
    <w:semiHidden/>
    <w:rsid w:val="008F7DB9"/>
  </w:style>
  <w:style w:type="numbering" w:customStyle="1" w:styleId="NoList262">
    <w:name w:val="No List262"/>
    <w:next w:val="NoList"/>
    <w:semiHidden/>
    <w:rsid w:val="008F7DB9"/>
  </w:style>
  <w:style w:type="numbering" w:customStyle="1" w:styleId="NoList362">
    <w:name w:val="No List362"/>
    <w:next w:val="NoList"/>
    <w:semiHidden/>
    <w:unhideWhenUsed/>
    <w:rsid w:val="008F7DB9"/>
  </w:style>
  <w:style w:type="table" w:customStyle="1" w:styleId="TableList752">
    <w:name w:val="Table List 752"/>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52">
    <w:name w:val="Table Web 352"/>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52">
    <w:name w:val="Table Elegant52"/>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52">
    <w:name w:val="Table Web 252"/>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52">
    <w:name w:val="Table Web 152"/>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52">
    <w:name w:val="Table Grid 852"/>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52">
    <w:name w:val="Table Contemporary52"/>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92">
    <w:name w:val="Light List - Accent 192"/>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52">
    <w:name w:val="Table Grid 752"/>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62">
    <w:name w:val="Colorful Grid - Accent 162"/>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62">
    <w:name w:val="Light List - Accent 562"/>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52">
    <w:name w:val="Table Simple 352"/>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52">
    <w:name w:val="Table Grid 552"/>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52">
    <w:name w:val="Table Grid 352"/>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52">
    <w:name w:val="Table Grid 152"/>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52">
    <w:name w:val="Table Columns 552"/>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52">
    <w:name w:val="Light List - Accent 1152"/>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62">
    <w:name w:val="Нет списка162"/>
    <w:next w:val="NoList"/>
    <w:semiHidden/>
    <w:unhideWhenUsed/>
    <w:rsid w:val="008F7DB9"/>
  </w:style>
  <w:style w:type="table" w:customStyle="1" w:styleId="ColorfulGrid-Accent1152">
    <w:name w:val="Colorful Grid - Accent 1152"/>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52">
    <w:name w:val="Light List - Accent 5152"/>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52">
    <w:name w:val="No List452"/>
    <w:next w:val="NoList"/>
    <w:semiHidden/>
    <w:rsid w:val="008F7DB9"/>
  </w:style>
  <w:style w:type="table" w:customStyle="1" w:styleId="Table3Deffects352">
    <w:name w:val="Table 3D effects 352"/>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2">
    <w:name w:val="Нет списка1152"/>
    <w:next w:val="NoList"/>
    <w:semiHidden/>
    <w:unhideWhenUsed/>
    <w:rsid w:val="008F7DB9"/>
  </w:style>
  <w:style w:type="numbering" w:customStyle="1" w:styleId="NoList532">
    <w:name w:val="No List532"/>
    <w:next w:val="NoList"/>
    <w:uiPriority w:val="99"/>
    <w:semiHidden/>
    <w:unhideWhenUsed/>
    <w:rsid w:val="008F7DB9"/>
  </w:style>
  <w:style w:type="numbering" w:customStyle="1" w:styleId="NoList1232">
    <w:name w:val="No List1232"/>
    <w:next w:val="NoList"/>
    <w:semiHidden/>
    <w:rsid w:val="008F7DB9"/>
  </w:style>
  <w:style w:type="numbering" w:customStyle="1" w:styleId="NoList11232">
    <w:name w:val="No List11232"/>
    <w:next w:val="NoList"/>
    <w:semiHidden/>
    <w:rsid w:val="008F7DB9"/>
  </w:style>
  <w:style w:type="numbering" w:customStyle="1" w:styleId="NoList11111112">
    <w:name w:val="No List11111112"/>
    <w:next w:val="NoList"/>
    <w:semiHidden/>
    <w:rsid w:val="008F7DB9"/>
  </w:style>
  <w:style w:type="numbering" w:customStyle="1" w:styleId="NoList2132">
    <w:name w:val="No List2132"/>
    <w:next w:val="NoList"/>
    <w:semiHidden/>
    <w:rsid w:val="008F7DB9"/>
  </w:style>
  <w:style w:type="table" w:customStyle="1" w:styleId="TableGrid234">
    <w:name w:val="Table Grid234"/>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2">
    <w:name w:val="No List3132"/>
    <w:next w:val="NoList"/>
    <w:uiPriority w:val="99"/>
    <w:semiHidden/>
    <w:unhideWhenUsed/>
    <w:rsid w:val="008F7DB9"/>
  </w:style>
  <w:style w:type="numbering" w:customStyle="1" w:styleId="NoList615">
    <w:name w:val="No List615"/>
    <w:next w:val="NoList"/>
    <w:uiPriority w:val="99"/>
    <w:semiHidden/>
    <w:unhideWhenUsed/>
    <w:rsid w:val="008F7DB9"/>
  </w:style>
  <w:style w:type="numbering" w:customStyle="1" w:styleId="NoList715">
    <w:name w:val="No List715"/>
    <w:next w:val="NoList"/>
    <w:uiPriority w:val="99"/>
    <w:semiHidden/>
    <w:unhideWhenUsed/>
    <w:rsid w:val="008F7DB9"/>
  </w:style>
  <w:style w:type="table" w:customStyle="1" w:styleId="TableGrid3150">
    <w:name w:val="Table Grid315"/>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5">
    <w:name w:val="No List1315"/>
    <w:next w:val="NoList"/>
    <w:semiHidden/>
    <w:unhideWhenUsed/>
    <w:rsid w:val="008F7DB9"/>
  </w:style>
  <w:style w:type="numbering" w:customStyle="1" w:styleId="NoList11312">
    <w:name w:val="No List11312"/>
    <w:next w:val="NoList"/>
    <w:semiHidden/>
    <w:rsid w:val="008F7DB9"/>
  </w:style>
  <w:style w:type="table" w:customStyle="1" w:styleId="TableGrid1116">
    <w:name w:val="Table Grid1116"/>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2">
    <w:name w:val="No List111212"/>
    <w:next w:val="NoList"/>
    <w:semiHidden/>
    <w:rsid w:val="008F7DB9"/>
  </w:style>
  <w:style w:type="numbering" w:customStyle="1" w:styleId="NoList2214">
    <w:name w:val="No List2214"/>
    <w:next w:val="NoList"/>
    <w:semiHidden/>
    <w:rsid w:val="008F7DB9"/>
  </w:style>
  <w:style w:type="numbering" w:customStyle="1" w:styleId="NoList3214">
    <w:name w:val="No List3214"/>
    <w:next w:val="NoList"/>
    <w:semiHidden/>
    <w:unhideWhenUsed/>
    <w:rsid w:val="008F7DB9"/>
  </w:style>
  <w:style w:type="table" w:customStyle="1" w:styleId="TableList7114">
    <w:name w:val="Table List 7114"/>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4">
    <w:name w:val="Table Web 3114"/>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4">
    <w:name w:val="Table Elegant114"/>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15">
    <w:name w:val="Table Web 2115"/>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5">
    <w:name w:val="Table Web 1115"/>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5">
    <w:name w:val="Table Grid 8115"/>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5">
    <w:name w:val="Table Contemporary115"/>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15">
    <w:name w:val="Light List - Accent 1215"/>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4">
    <w:name w:val="Table Grid 7114"/>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15">
    <w:name w:val="Colorful Grid - Accent 1215"/>
    <w:basedOn w:val="TableNormal"/>
    <w:next w:val="ColorfulGrid-Accent1"/>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5">
    <w:name w:val="Light List - Accent 5215"/>
    <w:basedOn w:val="TableNormal"/>
    <w:next w:val="LightList-Accent5"/>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4">
    <w:name w:val="Table Simple 3114"/>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4">
    <w:name w:val="Table Grid 5114"/>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4">
    <w:name w:val="Table Grid 3114"/>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40">
    <w:name w:val="Table Grid 1114"/>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4">
    <w:name w:val="Table Columns 5114"/>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4">
    <w:name w:val="Light List - Accent 11114"/>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15">
    <w:name w:val="Нет списка1215"/>
    <w:next w:val="NoList"/>
    <w:uiPriority w:val="99"/>
    <w:semiHidden/>
    <w:unhideWhenUsed/>
    <w:rsid w:val="008F7DB9"/>
  </w:style>
  <w:style w:type="table" w:customStyle="1" w:styleId="ColorfulGrid-Accent11114">
    <w:name w:val="Colorful Grid - Accent 11114"/>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4">
    <w:name w:val="Light List - Accent 51114"/>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15">
    <w:name w:val="No List4115"/>
    <w:next w:val="NoList"/>
    <w:semiHidden/>
    <w:rsid w:val="008F7DB9"/>
  </w:style>
  <w:style w:type="table" w:customStyle="1" w:styleId="Table3Deffects3114">
    <w:name w:val="Table 3D effects 3114"/>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5">
    <w:name w:val="Нет списка11115"/>
    <w:next w:val="NoList"/>
    <w:semiHidden/>
    <w:unhideWhenUsed/>
    <w:rsid w:val="008F7DB9"/>
  </w:style>
  <w:style w:type="numbering" w:customStyle="1" w:styleId="NoList5114">
    <w:name w:val="No List5114"/>
    <w:next w:val="NoList"/>
    <w:uiPriority w:val="99"/>
    <w:semiHidden/>
    <w:unhideWhenUsed/>
    <w:rsid w:val="008F7DB9"/>
  </w:style>
  <w:style w:type="numbering" w:customStyle="1" w:styleId="NoList12114">
    <w:name w:val="No List12114"/>
    <w:next w:val="NoList"/>
    <w:uiPriority w:val="99"/>
    <w:semiHidden/>
    <w:rsid w:val="008F7DB9"/>
  </w:style>
  <w:style w:type="numbering" w:customStyle="1" w:styleId="NoList112112">
    <w:name w:val="No List112112"/>
    <w:next w:val="NoList"/>
    <w:semiHidden/>
    <w:rsid w:val="008F7DB9"/>
  </w:style>
  <w:style w:type="numbering" w:customStyle="1" w:styleId="NoList111111112">
    <w:name w:val="No List111111112"/>
    <w:next w:val="NoList"/>
    <w:semiHidden/>
    <w:rsid w:val="008F7DB9"/>
  </w:style>
  <w:style w:type="numbering" w:customStyle="1" w:styleId="NoList21114">
    <w:name w:val="No List21114"/>
    <w:next w:val="NoList"/>
    <w:semiHidden/>
    <w:rsid w:val="008F7DB9"/>
  </w:style>
  <w:style w:type="table" w:customStyle="1" w:styleId="TableGrid2114">
    <w:name w:val="Table Grid2114"/>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4">
    <w:name w:val="No List31114"/>
    <w:next w:val="NoList"/>
    <w:semiHidden/>
    <w:unhideWhenUsed/>
    <w:rsid w:val="008F7DB9"/>
  </w:style>
  <w:style w:type="numbering" w:customStyle="1" w:styleId="NoList815">
    <w:name w:val="No List815"/>
    <w:next w:val="NoList"/>
    <w:uiPriority w:val="99"/>
    <w:semiHidden/>
    <w:unhideWhenUsed/>
    <w:rsid w:val="008F7DB9"/>
  </w:style>
  <w:style w:type="numbering" w:customStyle="1" w:styleId="NoList914">
    <w:name w:val="No List914"/>
    <w:next w:val="NoList"/>
    <w:uiPriority w:val="99"/>
    <w:semiHidden/>
    <w:unhideWhenUsed/>
    <w:rsid w:val="008F7DB9"/>
  </w:style>
  <w:style w:type="table" w:customStyle="1" w:styleId="TableGrid415">
    <w:name w:val="Table Grid415"/>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12">
    <w:name w:val="Table List 7212"/>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12">
    <w:name w:val="Table Web 3212"/>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12">
    <w:name w:val="Table Elegant212"/>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4">
    <w:name w:val="Table Web 2214"/>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4">
    <w:name w:val="Table Web 1214"/>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4">
    <w:name w:val="Table Grid 8214"/>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4">
    <w:name w:val="Table Contemporary214"/>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4">
    <w:name w:val="No List1414"/>
    <w:next w:val="NoList"/>
    <w:semiHidden/>
    <w:unhideWhenUsed/>
    <w:rsid w:val="008F7DB9"/>
  </w:style>
  <w:style w:type="numbering" w:customStyle="1" w:styleId="NoList2312">
    <w:name w:val="No List2312"/>
    <w:next w:val="NoList"/>
    <w:semiHidden/>
    <w:unhideWhenUsed/>
    <w:rsid w:val="008F7DB9"/>
  </w:style>
  <w:style w:type="numbering" w:customStyle="1" w:styleId="NoList3312">
    <w:name w:val="No List3312"/>
    <w:next w:val="NoList"/>
    <w:semiHidden/>
    <w:unhideWhenUsed/>
    <w:rsid w:val="008F7DB9"/>
  </w:style>
  <w:style w:type="table" w:customStyle="1" w:styleId="LightList-Accent1312">
    <w:name w:val="Light List - Accent 1312"/>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12">
    <w:name w:val="Table Grid 7212"/>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4">
    <w:name w:val="Colorful Grid - Accent 1314"/>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4">
    <w:name w:val="Light List - Accent 5314"/>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12">
    <w:name w:val="Table Simple 3212"/>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12">
    <w:name w:val="Table Grid 5212"/>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12">
    <w:name w:val="Table Grid 3212"/>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120">
    <w:name w:val="Table Grid 1212"/>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12">
    <w:name w:val="Table Columns 5212"/>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12">
    <w:name w:val="Light List - Accent 11212"/>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4">
    <w:name w:val="Нет списка1314"/>
    <w:next w:val="NoList"/>
    <w:semiHidden/>
    <w:unhideWhenUsed/>
    <w:rsid w:val="008F7DB9"/>
  </w:style>
  <w:style w:type="table" w:customStyle="1" w:styleId="ColorfulGrid-Accent11212">
    <w:name w:val="Colorful Grid - Accent 11212"/>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12">
    <w:name w:val="Light List - Accent 51212"/>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4">
    <w:name w:val="No List4214"/>
    <w:next w:val="NoList"/>
    <w:semiHidden/>
    <w:rsid w:val="008F7DB9"/>
  </w:style>
  <w:style w:type="numbering" w:customStyle="1" w:styleId="NoList11412">
    <w:name w:val="No List11412"/>
    <w:next w:val="NoList"/>
    <w:semiHidden/>
    <w:unhideWhenUsed/>
    <w:rsid w:val="008F7DB9"/>
  </w:style>
  <w:style w:type="table" w:customStyle="1" w:styleId="Table3Deffects3212">
    <w:name w:val="Table 3D effects 3212"/>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4">
    <w:name w:val="Нет списка11214"/>
    <w:next w:val="NoList"/>
    <w:semiHidden/>
    <w:unhideWhenUsed/>
    <w:rsid w:val="008F7DB9"/>
  </w:style>
  <w:style w:type="numbering" w:customStyle="1" w:styleId="NoList1014">
    <w:name w:val="No List1014"/>
    <w:next w:val="NoList"/>
    <w:uiPriority w:val="99"/>
    <w:semiHidden/>
    <w:unhideWhenUsed/>
    <w:rsid w:val="008F7DB9"/>
  </w:style>
  <w:style w:type="table" w:customStyle="1" w:styleId="TableGrid5140">
    <w:name w:val="Table Grid514"/>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semiHidden/>
    <w:unhideWhenUsed/>
    <w:rsid w:val="008F7DB9"/>
  </w:style>
  <w:style w:type="numbering" w:customStyle="1" w:styleId="NoList11512">
    <w:name w:val="No List11512"/>
    <w:next w:val="NoList"/>
    <w:semiHidden/>
    <w:rsid w:val="008F7DB9"/>
  </w:style>
  <w:style w:type="table" w:customStyle="1" w:styleId="TableGrid1214">
    <w:name w:val="Table Grid1214"/>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2">
    <w:name w:val="No List111312"/>
    <w:next w:val="NoList"/>
    <w:semiHidden/>
    <w:rsid w:val="008F7DB9"/>
  </w:style>
  <w:style w:type="numbering" w:customStyle="1" w:styleId="NoList2412">
    <w:name w:val="No List2412"/>
    <w:next w:val="NoList"/>
    <w:semiHidden/>
    <w:rsid w:val="008F7DB9"/>
  </w:style>
  <w:style w:type="numbering" w:customStyle="1" w:styleId="NoList3412">
    <w:name w:val="No List3412"/>
    <w:next w:val="NoList"/>
    <w:semiHidden/>
    <w:unhideWhenUsed/>
    <w:rsid w:val="008F7DB9"/>
  </w:style>
  <w:style w:type="table" w:customStyle="1" w:styleId="TableList7312">
    <w:name w:val="Table List 7312"/>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12">
    <w:name w:val="Table Web 3312"/>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12">
    <w:name w:val="Table Elegant312"/>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12">
    <w:name w:val="Table Web 2312"/>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12">
    <w:name w:val="Table Web 1312"/>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12">
    <w:name w:val="Table Grid 8312"/>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12">
    <w:name w:val="Table Contemporary312"/>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12">
    <w:name w:val="Light List - Accent 1412"/>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120">
    <w:name w:val="Table Grid 7312"/>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12">
    <w:name w:val="Colorful Grid - Accent 1412"/>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12">
    <w:name w:val="Light List - Accent 5412"/>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12">
    <w:name w:val="Table Simple 3312"/>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12">
    <w:name w:val="Table Grid 5312"/>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12">
    <w:name w:val="Table Grid 3312"/>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12">
    <w:name w:val="Table Grid 1312"/>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12">
    <w:name w:val="Table Columns 5312"/>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12">
    <w:name w:val="Light List - Accent 11312"/>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12">
    <w:name w:val="Нет списка1412"/>
    <w:next w:val="NoList"/>
    <w:semiHidden/>
    <w:unhideWhenUsed/>
    <w:rsid w:val="008F7DB9"/>
  </w:style>
  <w:style w:type="table" w:customStyle="1" w:styleId="ColorfulGrid-Accent11312">
    <w:name w:val="Colorful Grid - Accent 11312"/>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12">
    <w:name w:val="Light List - Accent 51312"/>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12">
    <w:name w:val="No List4312"/>
    <w:next w:val="NoList"/>
    <w:semiHidden/>
    <w:rsid w:val="008F7DB9"/>
  </w:style>
  <w:style w:type="table" w:customStyle="1" w:styleId="Table3Deffects3312">
    <w:name w:val="Table 3D effects 3312"/>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2">
    <w:name w:val="Нет списка11312"/>
    <w:next w:val="NoList"/>
    <w:semiHidden/>
    <w:unhideWhenUsed/>
    <w:rsid w:val="008F7DB9"/>
  </w:style>
  <w:style w:type="numbering" w:customStyle="1" w:styleId="NoList5212">
    <w:name w:val="No List5212"/>
    <w:next w:val="NoList"/>
    <w:uiPriority w:val="99"/>
    <w:semiHidden/>
    <w:unhideWhenUsed/>
    <w:rsid w:val="008F7DB9"/>
  </w:style>
  <w:style w:type="numbering" w:customStyle="1" w:styleId="NoList12212">
    <w:name w:val="No List12212"/>
    <w:next w:val="NoList"/>
    <w:semiHidden/>
    <w:rsid w:val="008F7DB9"/>
  </w:style>
  <w:style w:type="numbering" w:customStyle="1" w:styleId="NoList112212">
    <w:name w:val="No List112212"/>
    <w:next w:val="NoList"/>
    <w:semiHidden/>
    <w:rsid w:val="008F7DB9"/>
  </w:style>
  <w:style w:type="numbering" w:customStyle="1" w:styleId="NoList1111212">
    <w:name w:val="No List1111212"/>
    <w:next w:val="NoList"/>
    <w:semiHidden/>
    <w:rsid w:val="008F7DB9"/>
  </w:style>
  <w:style w:type="numbering" w:customStyle="1" w:styleId="NoList21212">
    <w:name w:val="No List21212"/>
    <w:next w:val="NoList"/>
    <w:semiHidden/>
    <w:rsid w:val="008F7DB9"/>
  </w:style>
  <w:style w:type="table" w:customStyle="1" w:styleId="TableGrid2215">
    <w:name w:val="Table Grid2215"/>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2">
    <w:name w:val="No List31212"/>
    <w:next w:val="NoList"/>
    <w:uiPriority w:val="99"/>
    <w:semiHidden/>
    <w:unhideWhenUsed/>
    <w:rsid w:val="008F7DB9"/>
  </w:style>
  <w:style w:type="table" w:customStyle="1" w:styleId="LightShading-Accent1112">
    <w:name w:val="Light Shading - Accent 111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12">
    <w:name w:val="Medium Grid 2 - Accent 111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12">
    <w:name w:val="Medium List 2 - Accent 511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12">
    <w:name w:val="Light List - Accent 151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12">
    <w:name w:val="Medium Grid 3 - Accent 511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12">
    <w:name w:val="Light Shading - Accent 511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12">
    <w:name w:val="Medium Grid 2 - Accent 511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12">
    <w:name w:val="Light Grid - Accent 111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32">
    <w:name w:val="Table List 432"/>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22">
    <w:name w:val="Table List 4122"/>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12">
    <w:name w:val="Table Theme12"/>
    <w:basedOn w:val="TableNormal"/>
    <w:next w:val="TableTheme"/>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2">
    <w:name w:val="Table Professional12"/>
    <w:basedOn w:val="TableNormal"/>
    <w:next w:val="TableProfessional"/>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120">
    <w:name w:val="Table Grid 612"/>
    <w:basedOn w:val="TableNormal"/>
    <w:next w:val="TableGrid6"/>
    <w:rsid w:val="008F7DB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12">
    <w:name w:val="Table List 4212"/>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12">
    <w:name w:val="Table List 41112"/>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32">
    <w:name w:val="Style1132"/>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42">
    <w:name w:val="Style214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32">
    <w:name w:val="Style2113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12">
    <w:name w:val="No List1612"/>
    <w:next w:val="NoList"/>
    <w:uiPriority w:val="99"/>
    <w:semiHidden/>
    <w:unhideWhenUsed/>
    <w:rsid w:val="008F7DB9"/>
  </w:style>
  <w:style w:type="table" w:customStyle="1" w:styleId="TableGrid614">
    <w:name w:val="Table Grid614"/>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2">
    <w:name w:val="No List1712"/>
    <w:next w:val="NoList"/>
    <w:uiPriority w:val="99"/>
    <w:semiHidden/>
    <w:unhideWhenUsed/>
    <w:rsid w:val="008F7DB9"/>
  </w:style>
  <w:style w:type="numbering" w:customStyle="1" w:styleId="NoList11612">
    <w:name w:val="No List11612"/>
    <w:next w:val="NoList"/>
    <w:semiHidden/>
    <w:rsid w:val="008F7DB9"/>
  </w:style>
  <w:style w:type="table" w:customStyle="1" w:styleId="TableGrid13120">
    <w:name w:val="Table Grid1312"/>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12">
    <w:name w:val="Light List - Accent 161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2">
    <w:name w:val="Light Shading - Accent 132"/>
    <w:basedOn w:val="TableNormal"/>
    <w:next w:val="LightShading-Accent1"/>
    <w:uiPriority w:val="60"/>
    <w:semiHidden/>
    <w:unhideWhenUsed/>
    <w:rsid w:val="008F7DB9"/>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32">
    <w:name w:val="Medium Grid 2 - Accent 132"/>
    <w:basedOn w:val="TableNormal"/>
    <w:next w:val="MediumGrid2-Accent1"/>
    <w:uiPriority w:val="68"/>
    <w:semiHidden/>
    <w:unhideWhenUsed/>
    <w:rsid w:val="008F7DB9"/>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32">
    <w:name w:val="Medium List 2 - Accent 532"/>
    <w:basedOn w:val="TableNormal"/>
    <w:next w:val="MediumList2-Accent5"/>
    <w:uiPriority w:val="66"/>
    <w:semiHidden/>
    <w:unhideWhenUsed/>
    <w:rsid w:val="008F7DB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32">
    <w:name w:val="Medium Grid 3 - Accent 532"/>
    <w:basedOn w:val="TableNormal"/>
    <w:next w:val="MediumGrid3-Accent5"/>
    <w:uiPriority w:val="69"/>
    <w:semiHidden/>
    <w:unhideWhenUsed/>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32">
    <w:name w:val="Light Shading - Accent 532"/>
    <w:basedOn w:val="TableNormal"/>
    <w:next w:val="LightShading-Accent5"/>
    <w:uiPriority w:val="60"/>
    <w:semiHidden/>
    <w:unhideWhenUsed/>
    <w:rsid w:val="008F7DB9"/>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32">
    <w:name w:val="Medium Grid 2 - Accent 532"/>
    <w:basedOn w:val="TableNormal"/>
    <w:next w:val="MediumGrid2-Accent5"/>
    <w:uiPriority w:val="68"/>
    <w:semiHidden/>
    <w:unhideWhenUsed/>
    <w:rsid w:val="008F7DB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32">
    <w:name w:val="Light Grid - Accent 132"/>
    <w:basedOn w:val="TableNormal"/>
    <w:next w:val="LightGrid-Accent1"/>
    <w:uiPriority w:val="62"/>
    <w:semiHidden/>
    <w:unhideWhenUsed/>
    <w:rsid w:val="008F7DB9"/>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Shading-Accent142">
    <w:name w:val="Light Shading - Accent 14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42">
    <w:name w:val="Medium Grid 2 - Accent 14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42">
    <w:name w:val="Medium List 2 - Accent 54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02">
    <w:name w:val="Light List - Accent 110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42">
    <w:name w:val="Medium Grid 3 - Accent 54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42">
    <w:name w:val="Light Shading - Accent 54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42">
    <w:name w:val="Medium Grid 2 - Accent 54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42">
    <w:name w:val="Light Grid - Accent 14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52">
    <w:name w:val="Light Shading - Accent 15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52">
    <w:name w:val="Medium Grid 2 - Accent 15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52">
    <w:name w:val="Medium List 2 - Accent 55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62">
    <w:name w:val="Light List - Accent 116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52">
    <w:name w:val="Medium Grid 3 - Accent 55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52">
    <w:name w:val="Light Shading - Accent 55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52">
    <w:name w:val="Medium Grid 2 - Accent 55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52">
    <w:name w:val="Light Grid - Accent 15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72">
    <w:name w:val="No List272"/>
    <w:next w:val="NoList"/>
    <w:uiPriority w:val="99"/>
    <w:semiHidden/>
    <w:unhideWhenUsed/>
    <w:rsid w:val="008F7DB9"/>
  </w:style>
  <w:style w:type="table" w:customStyle="1" w:styleId="TableGrid95">
    <w:name w:val="Table Grid95"/>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62">
    <w:name w:val="Table List 762"/>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62">
    <w:name w:val="Table Web 362"/>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62">
    <w:name w:val="Table Elegant62"/>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62">
    <w:name w:val="Table Web 262"/>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62">
    <w:name w:val="Table Web 162"/>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62">
    <w:name w:val="Table Grid 862"/>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62">
    <w:name w:val="Table Contemporary62"/>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92">
    <w:name w:val="No List1192"/>
    <w:next w:val="NoList"/>
    <w:semiHidden/>
    <w:unhideWhenUsed/>
    <w:rsid w:val="008F7DB9"/>
  </w:style>
  <w:style w:type="numbering" w:customStyle="1" w:styleId="NoList282">
    <w:name w:val="No List282"/>
    <w:next w:val="NoList"/>
    <w:semiHidden/>
    <w:unhideWhenUsed/>
    <w:rsid w:val="008F7DB9"/>
  </w:style>
  <w:style w:type="numbering" w:customStyle="1" w:styleId="NoList372">
    <w:name w:val="No List372"/>
    <w:next w:val="NoList"/>
    <w:semiHidden/>
    <w:unhideWhenUsed/>
    <w:rsid w:val="008F7DB9"/>
  </w:style>
  <w:style w:type="table" w:customStyle="1" w:styleId="LightList-Accent1172">
    <w:name w:val="Light List - Accent 1172"/>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62">
    <w:name w:val="Table Grid 762"/>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72">
    <w:name w:val="Colorful Grid - Accent 172"/>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72">
    <w:name w:val="Light List - Accent 572"/>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62">
    <w:name w:val="Table Simple 362"/>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62">
    <w:name w:val="Table Grid 562"/>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62">
    <w:name w:val="Table Grid 362"/>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62">
    <w:name w:val="Table Grid 162"/>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62">
    <w:name w:val="Table Columns 562"/>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82">
    <w:name w:val="Light List - Accent 1182"/>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72">
    <w:name w:val="Нет списка172"/>
    <w:next w:val="NoList"/>
    <w:semiHidden/>
    <w:unhideWhenUsed/>
    <w:rsid w:val="008F7DB9"/>
  </w:style>
  <w:style w:type="table" w:customStyle="1" w:styleId="ColorfulGrid-Accent1162">
    <w:name w:val="Colorful Grid - Accent 1162"/>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62">
    <w:name w:val="Light List - Accent 5162"/>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62">
    <w:name w:val="No List462"/>
    <w:next w:val="NoList"/>
    <w:semiHidden/>
    <w:rsid w:val="008F7DB9"/>
  </w:style>
  <w:style w:type="numbering" w:customStyle="1" w:styleId="NoList11102">
    <w:name w:val="No List11102"/>
    <w:next w:val="NoList"/>
    <w:semiHidden/>
    <w:unhideWhenUsed/>
    <w:rsid w:val="008F7DB9"/>
  </w:style>
  <w:style w:type="table" w:customStyle="1" w:styleId="Table3Deffects362">
    <w:name w:val="Table 3D effects 362"/>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2">
    <w:name w:val="Нет списка1162"/>
    <w:next w:val="NoList"/>
    <w:semiHidden/>
    <w:unhideWhenUsed/>
    <w:rsid w:val="008F7DB9"/>
  </w:style>
  <w:style w:type="table" w:customStyle="1" w:styleId="LightShading-Accent162">
    <w:name w:val="Light Shading - Accent 16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62">
    <w:name w:val="Medium Grid 2 - Accent 16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62">
    <w:name w:val="Medium List 2 - Accent 56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22">
    <w:name w:val="Light List - Accent 152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62">
    <w:name w:val="Medium Grid 3 - Accent 56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62">
    <w:name w:val="Light Shading - Accent 56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62">
    <w:name w:val="Medium Grid 2 - Accent 56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62">
    <w:name w:val="Light Grid - Accent 16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42">
    <w:name w:val="Style1142"/>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52">
    <w:name w:val="Style215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42">
    <w:name w:val="Style2114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Shading-Accent1122">
    <w:name w:val="Light Shading - Accent 112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22">
    <w:name w:val="Medium Grid 2 - Accent 112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22">
    <w:name w:val="Medium List 2 - Accent 512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622">
    <w:name w:val="Light List - Accent 162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22">
    <w:name w:val="Medium Grid 3 - Accent 512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22">
    <w:name w:val="Light Shading - Accent 512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22">
    <w:name w:val="Medium Grid 2 - Accent 512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22">
    <w:name w:val="Light Grid - Accent 112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92">
    <w:name w:val="No List292"/>
    <w:next w:val="NoList"/>
    <w:uiPriority w:val="99"/>
    <w:semiHidden/>
    <w:unhideWhenUsed/>
    <w:rsid w:val="008F7DB9"/>
  </w:style>
  <w:style w:type="table" w:customStyle="1" w:styleId="TableGrid105">
    <w:name w:val="Table Grid105"/>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2">
    <w:name w:val="No List1202"/>
    <w:next w:val="NoList"/>
    <w:uiPriority w:val="99"/>
    <w:semiHidden/>
    <w:unhideWhenUsed/>
    <w:rsid w:val="008F7DB9"/>
  </w:style>
  <w:style w:type="numbering" w:customStyle="1" w:styleId="NoList11152">
    <w:name w:val="No List11152"/>
    <w:next w:val="NoList"/>
    <w:semiHidden/>
    <w:rsid w:val="008F7DB9"/>
  </w:style>
  <w:style w:type="table" w:customStyle="1" w:styleId="TableGrid1520">
    <w:name w:val="Table Grid152"/>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2">
    <w:name w:val="No List302"/>
    <w:next w:val="NoList"/>
    <w:uiPriority w:val="99"/>
    <w:semiHidden/>
    <w:unhideWhenUsed/>
    <w:rsid w:val="008F7DB9"/>
  </w:style>
  <w:style w:type="table" w:customStyle="1" w:styleId="LightShading-Accent172">
    <w:name w:val="Light Shading - Accent 17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72">
    <w:name w:val="Medium Grid 2 - Accent 17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72">
    <w:name w:val="Medium List 2 - Accent 57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92">
    <w:name w:val="Light List - Accent 119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72">
    <w:name w:val="Medium Grid 3 - Accent 57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72">
    <w:name w:val="Light Shading - Accent 57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72">
    <w:name w:val="Medium Grid 2 - Accent 57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72">
    <w:name w:val="Light Grid - Accent 17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382">
    <w:name w:val="No List382"/>
    <w:next w:val="NoList"/>
    <w:uiPriority w:val="99"/>
    <w:semiHidden/>
    <w:unhideWhenUsed/>
    <w:rsid w:val="008F7DB9"/>
  </w:style>
  <w:style w:type="table" w:customStyle="1" w:styleId="TableGrid1620">
    <w:name w:val="Table Grid162"/>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8F7DB9"/>
  </w:style>
  <w:style w:type="numbering" w:customStyle="1" w:styleId="NoList11162">
    <w:name w:val="No List11162"/>
    <w:next w:val="NoList"/>
    <w:semiHidden/>
    <w:rsid w:val="008F7DB9"/>
  </w:style>
  <w:style w:type="table" w:customStyle="1" w:styleId="TableGrid172">
    <w:name w:val="Table Grid172"/>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2">
    <w:name w:val="Light Shading - Accent 18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82">
    <w:name w:val="Medium Grid 2 - Accent 18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82">
    <w:name w:val="Medium List 2 - Accent 58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02">
    <w:name w:val="Light List - Accent 120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82">
    <w:name w:val="Medium Grid 3 - Accent 58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82">
    <w:name w:val="Light Shading - Accent 58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82">
    <w:name w:val="Medium Grid 2 - Accent 58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82">
    <w:name w:val="Light Grid - Accent 18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92">
    <w:name w:val="Light Shading - Accent 19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92">
    <w:name w:val="Medium Grid 2 - Accent 19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92">
    <w:name w:val="Medium List 2 - Accent 59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22">
    <w:name w:val="Light List - Accent 122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92">
    <w:name w:val="Medium Grid 3 - Accent 59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92">
    <w:name w:val="Light Shading - Accent 59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92">
    <w:name w:val="Medium Grid 2 - Accent 59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92">
    <w:name w:val="Light Grid - Accent 19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53">
    <w:name w:val="Style1153"/>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152">
    <w:name w:val="Style2115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392">
    <w:name w:val="No List392"/>
    <w:next w:val="NoList"/>
    <w:uiPriority w:val="99"/>
    <w:semiHidden/>
    <w:unhideWhenUsed/>
    <w:rsid w:val="008F7DB9"/>
  </w:style>
  <w:style w:type="table" w:customStyle="1" w:styleId="TableGrid182">
    <w:name w:val="Table Grid182"/>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8F7DB9"/>
  </w:style>
  <w:style w:type="numbering" w:customStyle="1" w:styleId="NoList11172">
    <w:name w:val="No List11172"/>
    <w:next w:val="NoList"/>
    <w:semiHidden/>
    <w:rsid w:val="008F7DB9"/>
  </w:style>
  <w:style w:type="table" w:customStyle="1" w:styleId="TableGrid192">
    <w:name w:val="Table Grid192"/>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512">
    <w:name w:val="Style11512"/>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62">
    <w:name w:val="Style216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402">
    <w:name w:val="No List402"/>
    <w:next w:val="NoList"/>
    <w:uiPriority w:val="99"/>
    <w:semiHidden/>
    <w:unhideWhenUsed/>
    <w:rsid w:val="008F7DB9"/>
  </w:style>
  <w:style w:type="table" w:customStyle="1" w:styleId="TableGrid202">
    <w:name w:val="Table Grid202"/>
    <w:basedOn w:val="TableNormal"/>
    <w:next w:val="TableGrid"/>
    <w:uiPriority w:val="5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02">
    <w:name w:val="Light Shading - Accent 110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82">
    <w:name w:val="Light List - Accent 582"/>
    <w:basedOn w:val="TableNormal"/>
    <w:next w:val="LightList-Accent5"/>
    <w:uiPriority w:val="61"/>
    <w:rsid w:val="008F7DB9"/>
    <w:rPr>
      <w:rFonts w:ascii="Calibri" w:eastAsia="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List2-Accent112">
    <w:name w:val="Medium List 2 - Accent 112"/>
    <w:basedOn w:val="TableNormal"/>
    <w:next w:val="MediumList2-Accent1"/>
    <w:uiPriority w:val="66"/>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Grid2-Accent1102">
    <w:name w:val="Medium Grid 2 - Accent 110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3-Accent612">
    <w:name w:val="Medium Grid 3 - Accent 612"/>
    <w:basedOn w:val="TableNormal"/>
    <w:next w:val="MediumGrid3-Accent6"/>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2-Accent5102">
    <w:name w:val="Medium List 2 - Accent 510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32">
    <w:name w:val="Light List - Accent 123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1-Accent512">
    <w:name w:val="Medium List 1 - Accent 512"/>
    <w:basedOn w:val="TableNormal"/>
    <w:next w:val="MediumList1-Accent5"/>
    <w:uiPriority w:val="65"/>
    <w:rsid w:val="008F7DB9"/>
    <w:rPr>
      <w:rFonts w:ascii="Calibri" w:eastAsia="Calibri" w:hAnsi="Calibri"/>
      <w:color w:val="000000"/>
      <w:sz w:val="22"/>
      <w:szCs w:val="22"/>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Grid3-Accent5102">
    <w:name w:val="Medium Grid 3 - Accent 510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02">
    <w:name w:val="Light Shading - Accent 510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02">
    <w:name w:val="Medium Grid 2 - Accent 510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List-Accent312">
    <w:name w:val="Light List - Accent 312"/>
    <w:basedOn w:val="TableNormal"/>
    <w:next w:val="LightList-Accent3"/>
    <w:uiPriority w:val="61"/>
    <w:rsid w:val="008F7DB9"/>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2-Accent312">
    <w:name w:val="Medium List 2 - Accent 312"/>
    <w:basedOn w:val="TableNormal"/>
    <w:next w:val="MediumList2-Accent3"/>
    <w:uiPriority w:val="66"/>
    <w:rsid w:val="008F7DB9"/>
    <w:rPr>
      <w:rFonts w:ascii="Cambria"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2">
    <w:name w:val="Medium List 2 - Accent 412"/>
    <w:basedOn w:val="TableNormal"/>
    <w:next w:val="MediumList2-Accent4"/>
    <w:uiPriority w:val="66"/>
    <w:rsid w:val="008F7DB9"/>
    <w:rPr>
      <w:rFonts w:ascii="Cambria" w:hAnsi="Cambria"/>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LightGrid-Accent1102">
    <w:name w:val="Light Grid - Accent 110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472">
    <w:name w:val="No List472"/>
    <w:next w:val="NoList"/>
    <w:uiPriority w:val="99"/>
    <w:semiHidden/>
    <w:unhideWhenUsed/>
    <w:rsid w:val="008F7DB9"/>
  </w:style>
  <w:style w:type="table" w:customStyle="1" w:styleId="TableGrid242">
    <w:name w:val="Table Grid242"/>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2">
    <w:name w:val="No List1262"/>
    <w:next w:val="NoList"/>
    <w:uiPriority w:val="99"/>
    <w:semiHidden/>
    <w:unhideWhenUsed/>
    <w:rsid w:val="008F7DB9"/>
  </w:style>
  <w:style w:type="numbering" w:customStyle="1" w:styleId="NoList11182">
    <w:name w:val="No List11182"/>
    <w:next w:val="NoList"/>
    <w:semiHidden/>
    <w:rsid w:val="008F7DB9"/>
  </w:style>
  <w:style w:type="table" w:customStyle="1" w:styleId="TableGrid11020">
    <w:name w:val="Table Grid1102"/>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semiHidden/>
    <w:rsid w:val="008F7DB9"/>
  </w:style>
  <w:style w:type="numbering" w:customStyle="1" w:styleId="NoList1271">
    <w:name w:val="No List1271"/>
    <w:next w:val="NoList"/>
    <w:semiHidden/>
    <w:rsid w:val="008F7DB9"/>
  </w:style>
  <w:style w:type="numbering" w:customStyle="1" w:styleId="NoList2101">
    <w:name w:val="No List2101"/>
    <w:next w:val="NoList"/>
    <w:semiHidden/>
    <w:rsid w:val="008F7DB9"/>
  </w:style>
  <w:style w:type="numbering" w:customStyle="1" w:styleId="NoList491">
    <w:name w:val="No List491"/>
    <w:next w:val="NoList"/>
    <w:uiPriority w:val="99"/>
    <w:semiHidden/>
    <w:unhideWhenUsed/>
    <w:rsid w:val="008F7DB9"/>
  </w:style>
  <w:style w:type="table" w:customStyle="1" w:styleId="TableGrid251">
    <w:name w:val="Table Grid251"/>
    <w:basedOn w:val="TableNormal"/>
    <w:next w:val="TableGrid"/>
    <w:uiPriority w:val="39"/>
    <w:rsid w:val="008F7DB9"/>
    <w:rPr>
      <w:rFonts w:ascii="Calibri" w:eastAsia="Calibri" w:hAnsi="Calibri"/>
      <w:sz w:val="22"/>
      <w:szCs w:val="22"/>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4">
    <w:name w:val="Grid Table 4 - Accent 114"/>
    <w:basedOn w:val="TableNormal"/>
    <w:uiPriority w:val="49"/>
    <w:rsid w:val="008F7DB9"/>
    <w:rPr>
      <w:rFonts w:ascii="Calibri" w:eastAsia="Calibri" w:hAnsi="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261">
    <w:name w:val="Table Grid261"/>
    <w:basedOn w:val="TableNormal"/>
    <w:next w:val="TableGrid"/>
    <w:uiPriority w:val="3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01">
    <w:name w:val="No List501"/>
    <w:next w:val="NoList"/>
    <w:uiPriority w:val="99"/>
    <w:semiHidden/>
    <w:unhideWhenUsed/>
    <w:rsid w:val="008F7DB9"/>
  </w:style>
  <w:style w:type="numbering" w:customStyle="1" w:styleId="NoList1281">
    <w:name w:val="No List1281"/>
    <w:next w:val="NoList"/>
    <w:uiPriority w:val="99"/>
    <w:semiHidden/>
    <w:unhideWhenUsed/>
    <w:rsid w:val="008F7DB9"/>
  </w:style>
  <w:style w:type="table" w:customStyle="1" w:styleId="TableGrid271">
    <w:name w:val="Table Grid271"/>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1">
    <w:name w:val="No List11191"/>
    <w:next w:val="NoList"/>
    <w:semiHidden/>
    <w:unhideWhenUsed/>
    <w:rsid w:val="008F7DB9"/>
  </w:style>
  <w:style w:type="numbering" w:customStyle="1" w:styleId="NoList111101">
    <w:name w:val="No List111101"/>
    <w:next w:val="NoList"/>
    <w:semiHidden/>
    <w:rsid w:val="008F7DB9"/>
  </w:style>
  <w:style w:type="table" w:customStyle="1" w:styleId="TableGrid1123">
    <w:name w:val="Table Grid1123"/>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1">
    <w:name w:val="No List111141"/>
    <w:next w:val="NoList"/>
    <w:semiHidden/>
    <w:rsid w:val="008F7DB9"/>
  </w:style>
  <w:style w:type="numbering" w:customStyle="1" w:styleId="NoList2141">
    <w:name w:val="No List2141"/>
    <w:next w:val="NoList"/>
    <w:semiHidden/>
    <w:rsid w:val="008F7DB9"/>
  </w:style>
  <w:style w:type="numbering" w:customStyle="1" w:styleId="NoList3101">
    <w:name w:val="No List3101"/>
    <w:next w:val="NoList"/>
    <w:semiHidden/>
    <w:unhideWhenUsed/>
    <w:rsid w:val="008F7DB9"/>
  </w:style>
  <w:style w:type="table" w:customStyle="1" w:styleId="TableList771">
    <w:name w:val="Table List 77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71">
    <w:name w:val="Table Web 37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71">
    <w:name w:val="Table Elegant7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71">
    <w:name w:val="Table Web 27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71">
    <w:name w:val="Table Web 17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71">
    <w:name w:val="Table Grid 87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71">
    <w:name w:val="Table Contemporary7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41">
    <w:name w:val="Light List - Accent 124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71">
    <w:name w:val="Table Grid 77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81">
    <w:name w:val="Colorful Grid - Accent 18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91">
    <w:name w:val="Light List - Accent 59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71">
    <w:name w:val="Table Simple 37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71">
    <w:name w:val="Table Grid 57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71">
    <w:name w:val="Table Grid 37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710">
    <w:name w:val="Table Grid 17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71">
    <w:name w:val="Table Columns 57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01">
    <w:name w:val="Light List - Accent 1110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81">
    <w:name w:val="Нет списка181"/>
    <w:next w:val="NoList"/>
    <w:semiHidden/>
    <w:unhideWhenUsed/>
    <w:rsid w:val="008F7DB9"/>
  </w:style>
  <w:style w:type="table" w:customStyle="1" w:styleId="ColorfulGrid-Accent1171">
    <w:name w:val="Colorful Grid - Accent 117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71">
    <w:name w:val="Light List - Accent 517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01">
    <w:name w:val="No List4101"/>
    <w:next w:val="NoList"/>
    <w:semiHidden/>
    <w:rsid w:val="008F7DB9"/>
  </w:style>
  <w:style w:type="table" w:customStyle="1" w:styleId="Table3Deffects371">
    <w:name w:val="Table 3D effects 37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
    <w:name w:val="Нет списка1171"/>
    <w:next w:val="NoList"/>
    <w:semiHidden/>
    <w:unhideWhenUsed/>
    <w:rsid w:val="008F7DB9"/>
  </w:style>
  <w:style w:type="numbering" w:customStyle="1" w:styleId="NoList541">
    <w:name w:val="No List541"/>
    <w:next w:val="NoList"/>
    <w:uiPriority w:val="99"/>
    <w:semiHidden/>
    <w:unhideWhenUsed/>
    <w:rsid w:val="008F7DB9"/>
  </w:style>
  <w:style w:type="numbering" w:customStyle="1" w:styleId="NoList1291">
    <w:name w:val="No List1291"/>
    <w:next w:val="NoList"/>
    <w:semiHidden/>
    <w:rsid w:val="008F7DB9"/>
  </w:style>
  <w:style w:type="numbering" w:customStyle="1" w:styleId="NoList11241">
    <w:name w:val="No List11241"/>
    <w:next w:val="NoList"/>
    <w:semiHidden/>
    <w:rsid w:val="008F7DB9"/>
  </w:style>
  <w:style w:type="numbering" w:customStyle="1" w:styleId="NoList1111121">
    <w:name w:val="No List1111121"/>
    <w:next w:val="NoList"/>
    <w:semiHidden/>
    <w:rsid w:val="008F7DB9"/>
  </w:style>
  <w:style w:type="numbering" w:customStyle="1" w:styleId="NoList2151">
    <w:name w:val="No List2151"/>
    <w:next w:val="NoList"/>
    <w:semiHidden/>
    <w:rsid w:val="008F7DB9"/>
  </w:style>
  <w:style w:type="table" w:customStyle="1" w:styleId="TableGrid281">
    <w:name w:val="Table Grid281"/>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1">
    <w:name w:val="No List3141"/>
    <w:next w:val="NoList"/>
    <w:uiPriority w:val="99"/>
    <w:semiHidden/>
    <w:unhideWhenUsed/>
    <w:rsid w:val="008F7DB9"/>
  </w:style>
  <w:style w:type="numbering" w:customStyle="1" w:styleId="NoList623">
    <w:name w:val="No List623"/>
    <w:next w:val="NoList"/>
    <w:uiPriority w:val="99"/>
    <w:semiHidden/>
    <w:unhideWhenUsed/>
    <w:rsid w:val="008F7DB9"/>
  </w:style>
  <w:style w:type="numbering" w:customStyle="1" w:styleId="NoList723">
    <w:name w:val="No List723"/>
    <w:next w:val="NoList"/>
    <w:uiPriority w:val="99"/>
    <w:semiHidden/>
    <w:unhideWhenUsed/>
    <w:rsid w:val="008F7DB9"/>
  </w:style>
  <w:style w:type="table" w:customStyle="1" w:styleId="TableGrid3230">
    <w:name w:val="Table Grid323"/>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3">
    <w:name w:val="No List1323"/>
    <w:next w:val="NoList"/>
    <w:semiHidden/>
    <w:unhideWhenUsed/>
    <w:rsid w:val="008F7DB9"/>
  </w:style>
  <w:style w:type="numbering" w:customStyle="1" w:styleId="NoList11321">
    <w:name w:val="No List11321"/>
    <w:next w:val="NoList"/>
    <w:semiHidden/>
    <w:rsid w:val="008F7DB9"/>
  </w:style>
  <w:style w:type="table" w:customStyle="1" w:styleId="TableGrid11310">
    <w:name w:val="Table Grid1131"/>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1">
    <w:name w:val="No List111221"/>
    <w:next w:val="NoList"/>
    <w:semiHidden/>
    <w:rsid w:val="008F7DB9"/>
  </w:style>
  <w:style w:type="numbering" w:customStyle="1" w:styleId="NoList2222">
    <w:name w:val="No List2222"/>
    <w:next w:val="NoList"/>
    <w:semiHidden/>
    <w:rsid w:val="008F7DB9"/>
  </w:style>
  <w:style w:type="numbering" w:customStyle="1" w:styleId="NoList3222">
    <w:name w:val="No List3222"/>
    <w:next w:val="NoList"/>
    <w:semiHidden/>
    <w:unhideWhenUsed/>
    <w:rsid w:val="008F7DB9"/>
  </w:style>
  <w:style w:type="table" w:customStyle="1" w:styleId="TableList7123">
    <w:name w:val="Table List 7123"/>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3">
    <w:name w:val="Table Web 3123"/>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3">
    <w:name w:val="Table Elegant123"/>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23">
    <w:name w:val="Table Web 2123"/>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3">
    <w:name w:val="Table Web 1123"/>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3">
    <w:name w:val="Table Grid 8123"/>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3">
    <w:name w:val="Table Contemporary123"/>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51">
    <w:name w:val="Light List - Accent 125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23">
    <w:name w:val="Table Grid 7123"/>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23">
    <w:name w:val="Colorful Grid - Accent 1223"/>
    <w:basedOn w:val="TableNormal"/>
    <w:next w:val="ColorfulGrid-Accent1"/>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3">
    <w:name w:val="Light List - Accent 5223"/>
    <w:basedOn w:val="TableNormal"/>
    <w:next w:val="LightList-Accent5"/>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23">
    <w:name w:val="Table Simple 3123"/>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3">
    <w:name w:val="Table Grid 5123"/>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3">
    <w:name w:val="Table Grid 3123"/>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30">
    <w:name w:val="Table Grid 1123"/>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3">
    <w:name w:val="Table Columns 5123"/>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21">
    <w:name w:val="Light List - Accent 1112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23">
    <w:name w:val="Нет списка1223"/>
    <w:next w:val="NoList"/>
    <w:uiPriority w:val="99"/>
    <w:semiHidden/>
    <w:unhideWhenUsed/>
    <w:rsid w:val="008F7DB9"/>
  </w:style>
  <w:style w:type="table" w:customStyle="1" w:styleId="ColorfulGrid-Accent11121">
    <w:name w:val="Colorful Grid - Accent 1112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21">
    <w:name w:val="Light List - Accent 5112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23">
    <w:name w:val="No List4123"/>
    <w:next w:val="NoList"/>
    <w:semiHidden/>
    <w:rsid w:val="008F7DB9"/>
  </w:style>
  <w:style w:type="table" w:customStyle="1" w:styleId="Table3Deffects3123">
    <w:name w:val="Table 3D effects 3123"/>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4">
    <w:name w:val="Нет списка11124"/>
    <w:next w:val="NoList"/>
    <w:semiHidden/>
    <w:unhideWhenUsed/>
    <w:rsid w:val="008F7DB9"/>
  </w:style>
  <w:style w:type="numbering" w:customStyle="1" w:styleId="NoList5122">
    <w:name w:val="No List5122"/>
    <w:next w:val="NoList"/>
    <w:uiPriority w:val="99"/>
    <w:semiHidden/>
    <w:unhideWhenUsed/>
    <w:rsid w:val="008F7DB9"/>
  </w:style>
  <w:style w:type="numbering" w:customStyle="1" w:styleId="NoList12122">
    <w:name w:val="No List12122"/>
    <w:next w:val="NoList"/>
    <w:semiHidden/>
    <w:rsid w:val="008F7DB9"/>
  </w:style>
  <w:style w:type="numbering" w:customStyle="1" w:styleId="NoList112121">
    <w:name w:val="No List112121"/>
    <w:next w:val="NoList"/>
    <w:semiHidden/>
    <w:rsid w:val="008F7DB9"/>
  </w:style>
  <w:style w:type="numbering" w:customStyle="1" w:styleId="NoList11111121">
    <w:name w:val="No List11111121"/>
    <w:next w:val="NoList"/>
    <w:semiHidden/>
    <w:rsid w:val="008F7DB9"/>
  </w:style>
  <w:style w:type="numbering" w:customStyle="1" w:styleId="NoList21122">
    <w:name w:val="No List21122"/>
    <w:next w:val="NoList"/>
    <w:semiHidden/>
    <w:rsid w:val="008F7DB9"/>
  </w:style>
  <w:style w:type="table" w:customStyle="1" w:styleId="TableGrid2121">
    <w:name w:val="Table Grid2121"/>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22">
    <w:name w:val="No List31122"/>
    <w:next w:val="NoList"/>
    <w:uiPriority w:val="99"/>
    <w:semiHidden/>
    <w:unhideWhenUsed/>
    <w:rsid w:val="008F7DB9"/>
  </w:style>
  <w:style w:type="numbering" w:customStyle="1" w:styleId="NoList823">
    <w:name w:val="No List823"/>
    <w:next w:val="NoList"/>
    <w:uiPriority w:val="99"/>
    <w:semiHidden/>
    <w:unhideWhenUsed/>
    <w:rsid w:val="008F7DB9"/>
  </w:style>
  <w:style w:type="numbering" w:customStyle="1" w:styleId="NoList922">
    <w:name w:val="No List922"/>
    <w:next w:val="NoList"/>
    <w:uiPriority w:val="99"/>
    <w:semiHidden/>
    <w:unhideWhenUsed/>
    <w:rsid w:val="008F7DB9"/>
  </w:style>
  <w:style w:type="table" w:customStyle="1" w:styleId="TableGrid423">
    <w:name w:val="Table Grid423"/>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21">
    <w:name w:val="Table List 722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21">
    <w:name w:val="Table Web 322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21">
    <w:name w:val="Table Elegant22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21">
    <w:name w:val="Table Web 222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21">
    <w:name w:val="Table Web 122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21">
    <w:name w:val="Table Grid 822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21">
    <w:name w:val="Table Contemporary22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22">
    <w:name w:val="No List1422"/>
    <w:next w:val="NoList"/>
    <w:semiHidden/>
    <w:unhideWhenUsed/>
    <w:rsid w:val="008F7DB9"/>
  </w:style>
  <w:style w:type="numbering" w:customStyle="1" w:styleId="NoList2321">
    <w:name w:val="No List2321"/>
    <w:next w:val="NoList"/>
    <w:semiHidden/>
    <w:unhideWhenUsed/>
    <w:rsid w:val="008F7DB9"/>
  </w:style>
  <w:style w:type="numbering" w:customStyle="1" w:styleId="NoList3321">
    <w:name w:val="No List3321"/>
    <w:next w:val="NoList"/>
    <w:semiHidden/>
    <w:unhideWhenUsed/>
    <w:rsid w:val="008F7DB9"/>
  </w:style>
  <w:style w:type="table" w:customStyle="1" w:styleId="LightList-Accent1321">
    <w:name w:val="Light List - Accent 132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21">
    <w:name w:val="Table Grid 722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21">
    <w:name w:val="Colorful Grid - Accent 132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21">
    <w:name w:val="Light List - Accent 532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21">
    <w:name w:val="Table Simple 322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21">
    <w:name w:val="Table Grid 522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21">
    <w:name w:val="Table Grid 322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21">
    <w:name w:val="Table Grid 122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21">
    <w:name w:val="Table Columns 522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21">
    <w:name w:val="Light List - Accent 1122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22">
    <w:name w:val="Нет списка1322"/>
    <w:next w:val="NoList"/>
    <w:semiHidden/>
    <w:unhideWhenUsed/>
    <w:rsid w:val="008F7DB9"/>
  </w:style>
  <w:style w:type="table" w:customStyle="1" w:styleId="ColorfulGrid-Accent11221">
    <w:name w:val="Colorful Grid - Accent 1122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21">
    <w:name w:val="Light List - Accent 5122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22">
    <w:name w:val="No List4222"/>
    <w:next w:val="NoList"/>
    <w:semiHidden/>
    <w:rsid w:val="008F7DB9"/>
  </w:style>
  <w:style w:type="numbering" w:customStyle="1" w:styleId="NoList11421">
    <w:name w:val="No List11421"/>
    <w:next w:val="NoList"/>
    <w:semiHidden/>
    <w:unhideWhenUsed/>
    <w:rsid w:val="008F7DB9"/>
  </w:style>
  <w:style w:type="table" w:customStyle="1" w:styleId="Table3Deffects3221">
    <w:name w:val="Table 3D effects 322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2">
    <w:name w:val="Нет списка11222"/>
    <w:next w:val="NoList"/>
    <w:semiHidden/>
    <w:unhideWhenUsed/>
    <w:rsid w:val="008F7DB9"/>
  </w:style>
  <w:style w:type="numbering" w:customStyle="1" w:styleId="NoList1022">
    <w:name w:val="No List1022"/>
    <w:next w:val="NoList"/>
    <w:uiPriority w:val="99"/>
    <w:semiHidden/>
    <w:unhideWhenUsed/>
    <w:rsid w:val="008F7DB9"/>
  </w:style>
  <w:style w:type="table" w:customStyle="1" w:styleId="TableGrid5210">
    <w:name w:val="Table Grid521"/>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semiHidden/>
    <w:unhideWhenUsed/>
    <w:rsid w:val="008F7DB9"/>
  </w:style>
  <w:style w:type="numbering" w:customStyle="1" w:styleId="NoList11521">
    <w:name w:val="No List11521"/>
    <w:next w:val="NoList"/>
    <w:semiHidden/>
    <w:rsid w:val="008F7DB9"/>
  </w:style>
  <w:style w:type="table" w:customStyle="1" w:styleId="TableGrid12210">
    <w:name w:val="Table Grid1221"/>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21">
    <w:name w:val="No List111321"/>
    <w:next w:val="NoList"/>
    <w:semiHidden/>
    <w:rsid w:val="008F7DB9"/>
  </w:style>
  <w:style w:type="numbering" w:customStyle="1" w:styleId="NoList2421">
    <w:name w:val="No List2421"/>
    <w:next w:val="NoList"/>
    <w:semiHidden/>
    <w:rsid w:val="008F7DB9"/>
  </w:style>
  <w:style w:type="numbering" w:customStyle="1" w:styleId="NoList3421">
    <w:name w:val="No List3421"/>
    <w:next w:val="NoList"/>
    <w:semiHidden/>
    <w:unhideWhenUsed/>
    <w:rsid w:val="008F7DB9"/>
  </w:style>
  <w:style w:type="table" w:customStyle="1" w:styleId="TableList7321">
    <w:name w:val="Table List 732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21">
    <w:name w:val="Table Web 332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21">
    <w:name w:val="Table Elegant32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21">
    <w:name w:val="Table Web 232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21">
    <w:name w:val="Table Web 132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21">
    <w:name w:val="Table Grid 832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21">
    <w:name w:val="Table Contemporary32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21">
    <w:name w:val="Light List - Accent 142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21">
    <w:name w:val="Table Grid 732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21">
    <w:name w:val="Colorful Grid - Accent 142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21">
    <w:name w:val="Light List - Accent 542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21">
    <w:name w:val="Table Simple 332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21">
    <w:name w:val="Table Grid 532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21">
    <w:name w:val="Table Grid 332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21">
    <w:name w:val="Table Grid 132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21">
    <w:name w:val="Table Columns 532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21">
    <w:name w:val="Light List - Accent 1132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21">
    <w:name w:val="Нет списка1421"/>
    <w:next w:val="NoList"/>
    <w:semiHidden/>
    <w:unhideWhenUsed/>
    <w:rsid w:val="008F7DB9"/>
  </w:style>
  <w:style w:type="table" w:customStyle="1" w:styleId="ColorfulGrid-Accent11321">
    <w:name w:val="Colorful Grid - Accent 1132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21">
    <w:name w:val="Light List - Accent 5132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21">
    <w:name w:val="No List4321"/>
    <w:next w:val="NoList"/>
    <w:semiHidden/>
    <w:rsid w:val="008F7DB9"/>
  </w:style>
  <w:style w:type="table" w:customStyle="1" w:styleId="Table3Deffects3321">
    <w:name w:val="Table 3D effects 332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1">
    <w:name w:val="Нет списка11321"/>
    <w:next w:val="NoList"/>
    <w:semiHidden/>
    <w:unhideWhenUsed/>
    <w:rsid w:val="008F7DB9"/>
  </w:style>
  <w:style w:type="numbering" w:customStyle="1" w:styleId="NoList5221">
    <w:name w:val="No List5221"/>
    <w:next w:val="NoList"/>
    <w:uiPriority w:val="99"/>
    <w:semiHidden/>
    <w:unhideWhenUsed/>
    <w:rsid w:val="008F7DB9"/>
  </w:style>
  <w:style w:type="numbering" w:customStyle="1" w:styleId="NoList12221">
    <w:name w:val="No List12221"/>
    <w:next w:val="NoList"/>
    <w:semiHidden/>
    <w:rsid w:val="008F7DB9"/>
  </w:style>
  <w:style w:type="numbering" w:customStyle="1" w:styleId="NoList112221">
    <w:name w:val="No List112221"/>
    <w:next w:val="NoList"/>
    <w:semiHidden/>
    <w:rsid w:val="008F7DB9"/>
  </w:style>
  <w:style w:type="numbering" w:customStyle="1" w:styleId="NoList1111221">
    <w:name w:val="No List1111221"/>
    <w:next w:val="NoList"/>
    <w:semiHidden/>
    <w:rsid w:val="008F7DB9"/>
  </w:style>
  <w:style w:type="numbering" w:customStyle="1" w:styleId="NoList21221">
    <w:name w:val="No List21221"/>
    <w:next w:val="NoList"/>
    <w:semiHidden/>
    <w:rsid w:val="008F7DB9"/>
  </w:style>
  <w:style w:type="table" w:customStyle="1" w:styleId="TableGrid2221">
    <w:name w:val="Table Grid2221"/>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21">
    <w:name w:val="No List31221"/>
    <w:next w:val="NoList"/>
    <w:uiPriority w:val="99"/>
    <w:semiHidden/>
    <w:unhideWhenUsed/>
    <w:rsid w:val="008F7DB9"/>
  </w:style>
  <w:style w:type="table" w:customStyle="1" w:styleId="LightShading-Accent1131">
    <w:name w:val="Light Shading - Accent 113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31">
    <w:name w:val="Medium Grid 2 - Accent 113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31">
    <w:name w:val="Medium List 2 - Accent 513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31">
    <w:name w:val="Light List - Accent 153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31">
    <w:name w:val="Medium Grid 3 - Accent 513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31">
    <w:name w:val="Light Shading - Accent 513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31">
    <w:name w:val="Medium Grid 2 - Accent 513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31">
    <w:name w:val="Light Grid - Accent 113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41">
    <w:name w:val="Table List 44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31">
    <w:name w:val="Table List 413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21">
    <w:name w:val="Table Theme21"/>
    <w:basedOn w:val="TableNormal"/>
    <w:next w:val="TableTheme"/>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21">
    <w:name w:val="Table Professional21"/>
    <w:basedOn w:val="TableNormal"/>
    <w:next w:val="TableProfessional"/>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21">
    <w:name w:val="Table Grid 621"/>
    <w:basedOn w:val="TableNormal"/>
    <w:next w:val="TableGrid6"/>
    <w:rsid w:val="008F7DB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21">
    <w:name w:val="Table List 422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21">
    <w:name w:val="Table List 4112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61">
    <w:name w:val="Style116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71">
    <w:name w:val="Style217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61">
    <w:name w:val="Style2116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21">
    <w:name w:val="No List1621"/>
    <w:next w:val="NoList"/>
    <w:uiPriority w:val="99"/>
    <w:semiHidden/>
    <w:unhideWhenUsed/>
    <w:rsid w:val="008F7DB9"/>
  </w:style>
  <w:style w:type="table" w:customStyle="1" w:styleId="TableGrid6210">
    <w:name w:val="Table Grid621"/>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1">
    <w:name w:val="No List1721"/>
    <w:next w:val="NoList"/>
    <w:uiPriority w:val="99"/>
    <w:semiHidden/>
    <w:unhideWhenUsed/>
    <w:rsid w:val="008F7DB9"/>
  </w:style>
  <w:style w:type="numbering" w:customStyle="1" w:styleId="NoList11621">
    <w:name w:val="No List11621"/>
    <w:next w:val="NoList"/>
    <w:semiHidden/>
    <w:rsid w:val="008F7DB9"/>
  </w:style>
  <w:style w:type="table" w:customStyle="1" w:styleId="TableGrid13210">
    <w:name w:val="Table Grid1321"/>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31">
    <w:name w:val="Light List - Accent 163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211">
    <w:name w:val="Light Shading - Accent 12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211">
    <w:name w:val="Medium Grid 2 - Accent 12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211">
    <w:name w:val="Medium List 2 - Accent 52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711">
    <w:name w:val="Light List - Accent 17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211">
    <w:name w:val="Medium Grid 3 - Accent 52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211">
    <w:name w:val="Light Shading - Accent 52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211">
    <w:name w:val="Medium Grid 2 - Accent 52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211">
    <w:name w:val="Light Grid - Accent 12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812">
    <w:name w:val="No List1812"/>
    <w:next w:val="NoList"/>
    <w:uiPriority w:val="99"/>
    <w:semiHidden/>
    <w:unhideWhenUsed/>
    <w:rsid w:val="008F7DB9"/>
  </w:style>
  <w:style w:type="table" w:customStyle="1" w:styleId="TableGrid7130">
    <w:name w:val="Table Grid713"/>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411">
    <w:name w:val="Table List 741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411">
    <w:name w:val="Table Web 341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411">
    <w:name w:val="Table Elegant41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411">
    <w:name w:val="Table Web 241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411">
    <w:name w:val="Table Web 141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11">
    <w:name w:val="Table Grid 841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411">
    <w:name w:val="Table Contemporary41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911">
    <w:name w:val="No List1911"/>
    <w:next w:val="NoList"/>
    <w:semiHidden/>
    <w:unhideWhenUsed/>
    <w:rsid w:val="008F7DB9"/>
  </w:style>
  <w:style w:type="numbering" w:customStyle="1" w:styleId="NoList2511">
    <w:name w:val="No List2511"/>
    <w:next w:val="NoList"/>
    <w:semiHidden/>
    <w:unhideWhenUsed/>
    <w:rsid w:val="008F7DB9"/>
  </w:style>
  <w:style w:type="numbering" w:customStyle="1" w:styleId="NoList3511">
    <w:name w:val="No List3511"/>
    <w:next w:val="NoList"/>
    <w:semiHidden/>
    <w:unhideWhenUsed/>
    <w:rsid w:val="008F7DB9"/>
  </w:style>
  <w:style w:type="table" w:customStyle="1" w:styleId="LightList-Accent1811">
    <w:name w:val="Light List - Accent 181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411">
    <w:name w:val="Table Grid 741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511">
    <w:name w:val="Colorful Grid - Accent 151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511">
    <w:name w:val="Light List - Accent 551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411">
    <w:name w:val="Table Simple 341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411">
    <w:name w:val="Table Grid 541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411">
    <w:name w:val="Table Grid 341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4110">
    <w:name w:val="Table Grid 141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411">
    <w:name w:val="Table Columns 541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411">
    <w:name w:val="Light List - Accent 1141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512">
    <w:name w:val="Нет списка1512"/>
    <w:next w:val="NoList"/>
    <w:semiHidden/>
    <w:unhideWhenUsed/>
    <w:rsid w:val="008F7DB9"/>
  </w:style>
  <w:style w:type="table" w:customStyle="1" w:styleId="ColorfulGrid-Accent11411">
    <w:name w:val="Colorful Grid - Accent 1141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411">
    <w:name w:val="Light List - Accent 5141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412">
    <w:name w:val="No List4412"/>
    <w:next w:val="NoList"/>
    <w:semiHidden/>
    <w:rsid w:val="008F7DB9"/>
  </w:style>
  <w:style w:type="numbering" w:customStyle="1" w:styleId="NoList11711">
    <w:name w:val="No List11711"/>
    <w:next w:val="NoList"/>
    <w:semiHidden/>
    <w:unhideWhenUsed/>
    <w:rsid w:val="008F7DB9"/>
  </w:style>
  <w:style w:type="table" w:customStyle="1" w:styleId="Table3Deffects3411">
    <w:name w:val="Table 3D effects 341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2">
    <w:name w:val="Нет списка11412"/>
    <w:next w:val="NoList"/>
    <w:semiHidden/>
    <w:unhideWhenUsed/>
    <w:rsid w:val="008F7DB9"/>
  </w:style>
  <w:style w:type="table" w:customStyle="1" w:styleId="Style11111">
    <w:name w:val="Style1111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211">
    <w:name w:val="Style212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111">
    <w:name w:val="Style2111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11211">
    <w:name w:val="Style1121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311">
    <w:name w:val="Style213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211">
    <w:name w:val="Style2112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2011">
    <w:name w:val="No List2011"/>
    <w:next w:val="NoList"/>
    <w:uiPriority w:val="99"/>
    <w:semiHidden/>
    <w:unhideWhenUsed/>
    <w:rsid w:val="008F7DB9"/>
  </w:style>
  <w:style w:type="numbering" w:customStyle="1" w:styleId="NoList11011">
    <w:name w:val="No List11011"/>
    <w:next w:val="NoList"/>
    <w:uiPriority w:val="99"/>
    <w:semiHidden/>
    <w:unhideWhenUsed/>
    <w:rsid w:val="008F7DB9"/>
  </w:style>
  <w:style w:type="table" w:customStyle="1" w:styleId="TableGrid8130">
    <w:name w:val="Table Grid813"/>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11">
    <w:name w:val="No List11811"/>
    <w:next w:val="NoList"/>
    <w:semiHidden/>
    <w:unhideWhenUsed/>
    <w:rsid w:val="008F7DB9"/>
  </w:style>
  <w:style w:type="numbering" w:customStyle="1" w:styleId="NoList111411">
    <w:name w:val="No List111411"/>
    <w:next w:val="NoList"/>
    <w:semiHidden/>
    <w:rsid w:val="008F7DB9"/>
  </w:style>
  <w:style w:type="table" w:customStyle="1" w:styleId="TableGrid1413">
    <w:name w:val="Table Grid1413"/>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12">
    <w:name w:val="No List1111312"/>
    <w:next w:val="NoList"/>
    <w:semiHidden/>
    <w:rsid w:val="008F7DB9"/>
  </w:style>
  <w:style w:type="numbering" w:customStyle="1" w:styleId="NoList2611">
    <w:name w:val="No List2611"/>
    <w:next w:val="NoList"/>
    <w:semiHidden/>
    <w:rsid w:val="008F7DB9"/>
  </w:style>
  <w:style w:type="numbering" w:customStyle="1" w:styleId="NoList3611">
    <w:name w:val="No List3611"/>
    <w:next w:val="NoList"/>
    <w:semiHidden/>
    <w:unhideWhenUsed/>
    <w:rsid w:val="008F7DB9"/>
  </w:style>
  <w:style w:type="table" w:customStyle="1" w:styleId="TableList7511">
    <w:name w:val="Table List 751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511">
    <w:name w:val="Table Web 351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511">
    <w:name w:val="Table Elegant51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511">
    <w:name w:val="Table Web 251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511">
    <w:name w:val="Table Web 151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511">
    <w:name w:val="Table Grid 851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511">
    <w:name w:val="Table Contemporary51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911">
    <w:name w:val="Light List - Accent 191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511">
    <w:name w:val="Table Grid 751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611">
    <w:name w:val="Colorful Grid - Accent 161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611">
    <w:name w:val="Light List - Accent 561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511">
    <w:name w:val="Table Simple 351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511">
    <w:name w:val="Table Grid 551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511">
    <w:name w:val="Table Grid 351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511">
    <w:name w:val="Table Grid 151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511">
    <w:name w:val="Table Columns 551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511">
    <w:name w:val="Light List - Accent 1151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611">
    <w:name w:val="Нет списка1611"/>
    <w:next w:val="NoList"/>
    <w:semiHidden/>
    <w:unhideWhenUsed/>
    <w:rsid w:val="008F7DB9"/>
  </w:style>
  <w:style w:type="table" w:customStyle="1" w:styleId="ColorfulGrid-Accent11511">
    <w:name w:val="Colorful Grid - Accent 1151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511">
    <w:name w:val="Light List - Accent 5151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511">
    <w:name w:val="No List4511"/>
    <w:next w:val="NoList"/>
    <w:semiHidden/>
    <w:rsid w:val="008F7DB9"/>
  </w:style>
  <w:style w:type="table" w:customStyle="1" w:styleId="Table3Deffects3511">
    <w:name w:val="Table 3D effects 351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11">
    <w:name w:val="Нет списка11511"/>
    <w:next w:val="NoList"/>
    <w:semiHidden/>
    <w:unhideWhenUsed/>
    <w:rsid w:val="008F7DB9"/>
  </w:style>
  <w:style w:type="numbering" w:customStyle="1" w:styleId="NoList5312">
    <w:name w:val="No List5312"/>
    <w:next w:val="NoList"/>
    <w:uiPriority w:val="99"/>
    <w:semiHidden/>
    <w:unhideWhenUsed/>
    <w:rsid w:val="008F7DB9"/>
  </w:style>
  <w:style w:type="numbering" w:customStyle="1" w:styleId="NoList12312">
    <w:name w:val="No List12312"/>
    <w:next w:val="NoList"/>
    <w:semiHidden/>
    <w:rsid w:val="008F7DB9"/>
  </w:style>
  <w:style w:type="numbering" w:customStyle="1" w:styleId="NoList112311">
    <w:name w:val="No List112311"/>
    <w:next w:val="NoList"/>
    <w:semiHidden/>
    <w:rsid w:val="008F7DB9"/>
  </w:style>
  <w:style w:type="numbering" w:customStyle="1" w:styleId="NoList1111111112">
    <w:name w:val="No List1111111112"/>
    <w:next w:val="NoList"/>
    <w:semiHidden/>
    <w:rsid w:val="008F7DB9"/>
  </w:style>
  <w:style w:type="numbering" w:customStyle="1" w:styleId="NoList21312">
    <w:name w:val="No List21312"/>
    <w:next w:val="NoList"/>
    <w:semiHidden/>
    <w:rsid w:val="008F7DB9"/>
  </w:style>
  <w:style w:type="table" w:customStyle="1" w:styleId="TableGrid2311">
    <w:name w:val="Table Grid2311"/>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12">
    <w:name w:val="No List31312"/>
    <w:next w:val="NoList"/>
    <w:uiPriority w:val="99"/>
    <w:semiHidden/>
    <w:unhideWhenUsed/>
    <w:rsid w:val="008F7DB9"/>
  </w:style>
  <w:style w:type="numbering" w:customStyle="1" w:styleId="NoList6113">
    <w:name w:val="No List6113"/>
    <w:next w:val="NoList"/>
    <w:uiPriority w:val="99"/>
    <w:semiHidden/>
    <w:unhideWhenUsed/>
    <w:rsid w:val="008F7DB9"/>
  </w:style>
  <w:style w:type="numbering" w:customStyle="1" w:styleId="NoList7113">
    <w:name w:val="No List7113"/>
    <w:next w:val="NoList"/>
    <w:uiPriority w:val="99"/>
    <w:semiHidden/>
    <w:unhideWhenUsed/>
    <w:rsid w:val="008F7DB9"/>
  </w:style>
  <w:style w:type="table" w:customStyle="1" w:styleId="TableGrid31130">
    <w:name w:val="Table Grid3113"/>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3">
    <w:name w:val="No List13113"/>
    <w:next w:val="NoList"/>
    <w:semiHidden/>
    <w:unhideWhenUsed/>
    <w:rsid w:val="008F7DB9"/>
  </w:style>
  <w:style w:type="numbering" w:customStyle="1" w:styleId="NoList113112">
    <w:name w:val="No List113112"/>
    <w:next w:val="NoList"/>
    <w:semiHidden/>
    <w:rsid w:val="008F7DB9"/>
  </w:style>
  <w:style w:type="table" w:customStyle="1" w:styleId="TableGrid11113">
    <w:name w:val="Table Grid11113"/>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12">
    <w:name w:val="No List1112112"/>
    <w:next w:val="NoList"/>
    <w:semiHidden/>
    <w:rsid w:val="008F7DB9"/>
  </w:style>
  <w:style w:type="numbering" w:customStyle="1" w:styleId="NoList22112">
    <w:name w:val="No List22112"/>
    <w:next w:val="NoList"/>
    <w:semiHidden/>
    <w:rsid w:val="008F7DB9"/>
  </w:style>
  <w:style w:type="numbering" w:customStyle="1" w:styleId="NoList32112">
    <w:name w:val="No List32112"/>
    <w:next w:val="NoList"/>
    <w:semiHidden/>
    <w:unhideWhenUsed/>
    <w:rsid w:val="008F7DB9"/>
  </w:style>
  <w:style w:type="table" w:customStyle="1" w:styleId="TableList71111">
    <w:name w:val="Table List 7111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11">
    <w:name w:val="Table Web 3111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11">
    <w:name w:val="Table Elegant111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113">
    <w:name w:val="Table Web 21113"/>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3">
    <w:name w:val="Table Web 11113"/>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3">
    <w:name w:val="Table Grid 81113"/>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3">
    <w:name w:val="Table Contemporary1113"/>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111">
    <w:name w:val="Light List - Accent 1211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11">
    <w:name w:val="Table Grid 7111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113">
    <w:name w:val="Colorful Grid - Accent 12113"/>
    <w:basedOn w:val="TableNormal"/>
    <w:next w:val="ColorfulGrid-Accent1"/>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3">
    <w:name w:val="Light List - Accent 52113"/>
    <w:basedOn w:val="TableNormal"/>
    <w:next w:val="LightList-Accent5"/>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11">
    <w:name w:val="Table Simple 3111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11">
    <w:name w:val="Table Grid 5111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110">
    <w:name w:val="Table Grid 3111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110">
    <w:name w:val="Table Grid 1111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11">
    <w:name w:val="Table Columns 5111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11">
    <w:name w:val="Light List - Accent 11111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113">
    <w:name w:val="Нет списка12113"/>
    <w:next w:val="NoList"/>
    <w:uiPriority w:val="99"/>
    <w:semiHidden/>
    <w:unhideWhenUsed/>
    <w:rsid w:val="008F7DB9"/>
  </w:style>
  <w:style w:type="table" w:customStyle="1" w:styleId="ColorfulGrid-Accent111111">
    <w:name w:val="Colorful Grid - Accent 11111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11">
    <w:name w:val="Light List - Accent 51111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113">
    <w:name w:val="No List41113"/>
    <w:next w:val="NoList"/>
    <w:semiHidden/>
    <w:rsid w:val="008F7DB9"/>
  </w:style>
  <w:style w:type="table" w:customStyle="1" w:styleId="Table3Deffects31111">
    <w:name w:val="Table 3D effects 3111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4">
    <w:name w:val="Нет списка111114"/>
    <w:next w:val="NoList"/>
    <w:semiHidden/>
    <w:unhideWhenUsed/>
    <w:rsid w:val="008F7DB9"/>
  </w:style>
  <w:style w:type="numbering" w:customStyle="1" w:styleId="NoList51112">
    <w:name w:val="No List51112"/>
    <w:next w:val="NoList"/>
    <w:uiPriority w:val="99"/>
    <w:semiHidden/>
    <w:unhideWhenUsed/>
    <w:rsid w:val="008F7DB9"/>
  </w:style>
  <w:style w:type="numbering" w:customStyle="1" w:styleId="NoList121112">
    <w:name w:val="No List121112"/>
    <w:next w:val="NoList"/>
    <w:semiHidden/>
    <w:rsid w:val="008F7DB9"/>
  </w:style>
  <w:style w:type="numbering" w:customStyle="1" w:styleId="NoList1121112">
    <w:name w:val="No List1121112"/>
    <w:next w:val="NoList"/>
    <w:semiHidden/>
    <w:rsid w:val="008F7DB9"/>
  </w:style>
  <w:style w:type="numbering" w:customStyle="1" w:styleId="NoList11111111112">
    <w:name w:val="No List11111111112"/>
    <w:next w:val="NoList"/>
    <w:semiHidden/>
    <w:rsid w:val="008F7DB9"/>
  </w:style>
  <w:style w:type="numbering" w:customStyle="1" w:styleId="NoList211112">
    <w:name w:val="No List211112"/>
    <w:next w:val="NoList"/>
    <w:semiHidden/>
    <w:rsid w:val="008F7DB9"/>
  </w:style>
  <w:style w:type="table" w:customStyle="1" w:styleId="TableGrid21111">
    <w:name w:val="Table Grid21111"/>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12">
    <w:name w:val="No List311112"/>
    <w:next w:val="NoList"/>
    <w:uiPriority w:val="99"/>
    <w:semiHidden/>
    <w:unhideWhenUsed/>
    <w:rsid w:val="008F7DB9"/>
  </w:style>
  <w:style w:type="numbering" w:customStyle="1" w:styleId="NoList8113">
    <w:name w:val="No List8113"/>
    <w:next w:val="NoList"/>
    <w:uiPriority w:val="99"/>
    <w:semiHidden/>
    <w:unhideWhenUsed/>
    <w:rsid w:val="008F7DB9"/>
  </w:style>
  <w:style w:type="numbering" w:customStyle="1" w:styleId="NoList9112">
    <w:name w:val="No List9112"/>
    <w:next w:val="NoList"/>
    <w:uiPriority w:val="99"/>
    <w:semiHidden/>
    <w:unhideWhenUsed/>
    <w:rsid w:val="008F7DB9"/>
  </w:style>
  <w:style w:type="table" w:customStyle="1" w:styleId="TableGrid4114">
    <w:name w:val="Table Grid4114"/>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111">
    <w:name w:val="Table List 7211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111">
    <w:name w:val="Table Web 3211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111">
    <w:name w:val="Table Elegant211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11">
    <w:name w:val="Table Web 2211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11">
    <w:name w:val="Table Web 1211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11">
    <w:name w:val="Table Grid 8211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11">
    <w:name w:val="Table Contemporary211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12">
    <w:name w:val="No List14112"/>
    <w:next w:val="NoList"/>
    <w:semiHidden/>
    <w:unhideWhenUsed/>
    <w:rsid w:val="008F7DB9"/>
  </w:style>
  <w:style w:type="numbering" w:customStyle="1" w:styleId="NoList23112">
    <w:name w:val="No List23112"/>
    <w:next w:val="NoList"/>
    <w:semiHidden/>
    <w:unhideWhenUsed/>
    <w:rsid w:val="008F7DB9"/>
  </w:style>
  <w:style w:type="numbering" w:customStyle="1" w:styleId="NoList33112">
    <w:name w:val="No List33112"/>
    <w:next w:val="NoList"/>
    <w:semiHidden/>
    <w:unhideWhenUsed/>
    <w:rsid w:val="008F7DB9"/>
  </w:style>
  <w:style w:type="table" w:customStyle="1" w:styleId="LightList-Accent13111">
    <w:name w:val="Light List - Accent 1311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111">
    <w:name w:val="Table Grid 7211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11">
    <w:name w:val="Colorful Grid - Accent 1311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11">
    <w:name w:val="Light List - Accent 5311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111">
    <w:name w:val="Table Simple 3211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111">
    <w:name w:val="Table Grid 5211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111">
    <w:name w:val="Table Grid 3211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111">
    <w:name w:val="Table Grid 1211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111">
    <w:name w:val="Table Columns 5211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111">
    <w:name w:val="Light List - Accent 11211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12">
    <w:name w:val="Нет списка13112"/>
    <w:next w:val="NoList"/>
    <w:semiHidden/>
    <w:unhideWhenUsed/>
    <w:rsid w:val="008F7DB9"/>
  </w:style>
  <w:style w:type="table" w:customStyle="1" w:styleId="ColorfulGrid-Accent112111">
    <w:name w:val="Colorful Grid - Accent 11211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111">
    <w:name w:val="Light List - Accent 51211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12">
    <w:name w:val="No List42112"/>
    <w:next w:val="NoList"/>
    <w:semiHidden/>
    <w:rsid w:val="008F7DB9"/>
  </w:style>
  <w:style w:type="numbering" w:customStyle="1" w:styleId="NoList114112">
    <w:name w:val="No List114112"/>
    <w:next w:val="NoList"/>
    <w:semiHidden/>
    <w:unhideWhenUsed/>
    <w:rsid w:val="008F7DB9"/>
  </w:style>
  <w:style w:type="table" w:customStyle="1" w:styleId="Table3Deffects32111">
    <w:name w:val="Table 3D effects 3211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12">
    <w:name w:val="Нет списка112112"/>
    <w:next w:val="NoList"/>
    <w:semiHidden/>
    <w:unhideWhenUsed/>
    <w:rsid w:val="008F7DB9"/>
  </w:style>
  <w:style w:type="numbering" w:customStyle="1" w:styleId="NoList10112">
    <w:name w:val="No List10112"/>
    <w:next w:val="NoList"/>
    <w:uiPriority w:val="99"/>
    <w:semiHidden/>
    <w:unhideWhenUsed/>
    <w:rsid w:val="008F7DB9"/>
  </w:style>
  <w:style w:type="table" w:customStyle="1" w:styleId="TableGrid51110">
    <w:name w:val="Table Grid5111"/>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2">
    <w:name w:val="No List15112"/>
    <w:next w:val="NoList"/>
    <w:semiHidden/>
    <w:unhideWhenUsed/>
    <w:rsid w:val="008F7DB9"/>
  </w:style>
  <w:style w:type="numbering" w:customStyle="1" w:styleId="NoList115111">
    <w:name w:val="No List115111"/>
    <w:next w:val="NoList"/>
    <w:semiHidden/>
    <w:rsid w:val="008F7DB9"/>
  </w:style>
  <w:style w:type="table" w:customStyle="1" w:styleId="TableGrid121110">
    <w:name w:val="Table Grid12111"/>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12">
    <w:name w:val="No List1113112"/>
    <w:next w:val="NoList"/>
    <w:semiHidden/>
    <w:rsid w:val="008F7DB9"/>
  </w:style>
  <w:style w:type="numbering" w:customStyle="1" w:styleId="NoList24112">
    <w:name w:val="No List24112"/>
    <w:next w:val="NoList"/>
    <w:semiHidden/>
    <w:rsid w:val="008F7DB9"/>
  </w:style>
  <w:style w:type="numbering" w:customStyle="1" w:styleId="NoList34112">
    <w:name w:val="No List34112"/>
    <w:next w:val="NoList"/>
    <w:semiHidden/>
    <w:unhideWhenUsed/>
    <w:rsid w:val="008F7DB9"/>
  </w:style>
  <w:style w:type="table" w:customStyle="1" w:styleId="TableList73111">
    <w:name w:val="Table List 7311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111">
    <w:name w:val="Table Web 3311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111">
    <w:name w:val="Table Elegant311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111">
    <w:name w:val="Table Web 2311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111">
    <w:name w:val="Table Web 1311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111">
    <w:name w:val="Table Grid 8311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111">
    <w:name w:val="Table Contemporary311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111">
    <w:name w:val="Light List - Accent 1411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111">
    <w:name w:val="Table Grid 7311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111">
    <w:name w:val="Colorful Grid - Accent 1411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111">
    <w:name w:val="Light List - Accent 5411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111">
    <w:name w:val="Table Simple 3311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111">
    <w:name w:val="Table Grid 5311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111">
    <w:name w:val="Table Grid 3311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111">
    <w:name w:val="Table Grid 1311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111">
    <w:name w:val="Table Columns 5311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111">
    <w:name w:val="Light List - Accent 11311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112">
    <w:name w:val="Нет списка14112"/>
    <w:next w:val="NoList"/>
    <w:semiHidden/>
    <w:unhideWhenUsed/>
    <w:rsid w:val="008F7DB9"/>
  </w:style>
  <w:style w:type="table" w:customStyle="1" w:styleId="ColorfulGrid-Accent113111">
    <w:name w:val="Colorful Grid - Accent 11311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111">
    <w:name w:val="Light List - Accent 51311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112">
    <w:name w:val="No List43112"/>
    <w:next w:val="NoList"/>
    <w:semiHidden/>
    <w:rsid w:val="008F7DB9"/>
  </w:style>
  <w:style w:type="table" w:customStyle="1" w:styleId="Table3Deffects33111">
    <w:name w:val="Table 3D effects 3311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12">
    <w:name w:val="Нет списка113112"/>
    <w:next w:val="NoList"/>
    <w:semiHidden/>
    <w:unhideWhenUsed/>
    <w:rsid w:val="008F7DB9"/>
  </w:style>
  <w:style w:type="numbering" w:customStyle="1" w:styleId="NoList52112">
    <w:name w:val="No List52112"/>
    <w:next w:val="NoList"/>
    <w:uiPriority w:val="99"/>
    <w:semiHidden/>
    <w:unhideWhenUsed/>
    <w:rsid w:val="008F7DB9"/>
  </w:style>
  <w:style w:type="numbering" w:customStyle="1" w:styleId="NoList122112">
    <w:name w:val="No List122112"/>
    <w:next w:val="NoList"/>
    <w:semiHidden/>
    <w:rsid w:val="008F7DB9"/>
  </w:style>
  <w:style w:type="numbering" w:customStyle="1" w:styleId="NoList1122112">
    <w:name w:val="No List1122112"/>
    <w:next w:val="NoList"/>
    <w:semiHidden/>
    <w:rsid w:val="008F7DB9"/>
  </w:style>
  <w:style w:type="numbering" w:customStyle="1" w:styleId="NoList11112112">
    <w:name w:val="No List11112112"/>
    <w:next w:val="NoList"/>
    <w:semiHidden/>
    <w:rsid w:val="008F7DB9"/>
  </w:style>
  <w:style w:type="numbering" w:customStyle="1" w:styleId="NoList212112">
    <w:name w:val="No List212112"/>
    <w:next w:val="NoList"/>
    <w:semiHidden/>
    <w:rsid w:val="008F7DB9"/>
  </w:style>
  <w:style w:type="table" w:customStyle="1" w:styleId="TableGrid22111">
    <w:name w:val="Table Grid22111"/>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12">
    <w:name w:val="No List312112"/>
    <w:next w:val="NoList"/>
    <w:uiPriority w:val="99"/>
    <w:semiHidden/>
    <w:unhideWhenUsed/>
    <w:rsid w:val="008F7DB9"/>
  </w:style>
  <w:style w:type="table" w:customStyle="1" w:styleId="LightShading-Accent11111">
    <w:name w:val="Light Shading - Accent 111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111">
    <w:name w:val="Medium Grid 2 - Accent 111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111">
    <w:name w:val="Medium List 2 - Accent 511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111">
    <w:name w:val="Light List - Accent 151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111">
    <w:name w:val="Medium Grid 3 - Accent 511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111">
    <w:name w:val="Light Shading - Accent 511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111">
    <w:name w:val="Medium Grid 2 - Accent 511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111">
    <w:name w:val="Light Grid - Accent 111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311">
    <w:name w:val="Table List 431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211">
    <w:name w:val="Table List 4121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111">
    <w:name w:val="Table Theme111"/>
    <w:basedOn w:val="TableNormal"/>
    <w:next w:val="TableTheme"/>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11">
    <w:name w:val="Table Professional111"/>
    <w:basedOn w:val="TableNormal"/>
    <w:next w:val="TableProfessional"/>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111">
    <w:name w:val="Table Grid 6111"/>
    <w:basedOn w:val="TableNormal"/>
    <w:next w:val="TableGrid6"/>
    <w:rsid w:val="008F7DB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111">
    <w:name w:val="Table List 4211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111">
    <w:name w:val="Table List 41111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311">
    <w:name w:val="Style1131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411">
    <w:name w:val="Style214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311">
    <w:name w:val="Style2113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112">
    <w:name w:val="No List16112"/>
    <w:next w:val="NoList"/>
    <w:uiPriority w:val="99"/>
    <w:semiHidden/>
    <w:unhideWhenUsed/>
    <w:rsid w:val="008F7DB9"/>
  </w:style>
  <w:style w:type="table" w:customStyle="1" w:styleId="TableGrid61110">
    <w:name w:val="Table Grid6111"/>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12">
    <w:name w:val="No List17112"/>
    <w:next w:val="NoList"/>
    <w:uiPriority w:val="99"/>
    <w:semiHidden/>
    <w:unhideWhenUsed/>
    <w:rsid w:val="008F7DB9"/>
  </w:style>
  <w:style w:type="numbering" w:customStyle="1" w:styleId="NoList116111">
    <w:name w:val="No List116111"/>
    <w:next w:val="NoList"/>
    <w:semiHidden/>
    <w:rsid w:val="008F7DB9"/>
  </w:style>
  <w:style w:type="table" w:customStyle="1" w:styleId="TableGrid131110">
    <w:name w:val="Table Grid13111"/>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111">
    <w:name w:val="Light List - Accent 161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1">
    <w:name w:val="Light Shading - Accent 1311"/>
    <w:basedOn w:val="TableNormal"/>
    <w:next w:val="LightShading-Accent1"/>
    <w:uiPriority w:val="60"/>
    <w:semiHidden/>
    <w:unhideWhenUsed/>
    <w:rsid w:val="008F7DB9"/>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311">
    <w:name w:val="Medium Grid 2 - Accent 1311"/>
    <w:basedOn w:val="TableNormal"/>
    <w:next w:val="MediumGrid2-Accent1"/>
    <w:uiPriority w:val="68"/>
    <w:semiHidden/>
    <w:unhideWhenUsed/>
    <w:rsid w:val="008F7DB9"/>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311">
    <w:name w:val="Medium List 2 - Accent 5311"/>
    <w:basedOn w:val="TableNormal"/>
    <w:next w:val="MediumList2-Accent5"/>
    <w:uiPriority w:val="66"/>
    <w:semiHidden/>
    <w:unhideWhenUsed/>
    <w:rsid w:val="008F7DB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311">
    <w:name w:val="Medium Grid 3 - Accent 5311"/>
    <w:basedOn w:val="TableNormal"/>
    <w:next w:val="MediumGrid3-Accent5"/>
    <w:uiPriority w:val="69"/>
    <w:semiHidden/>
    <w:unhideWhenUsed/>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311">
    <w:name w:val="Light Shading - Accent 5311"/>
    <w:basedOn w:val="TableNormal"/>
    <w:next w:val="LightShading-Accent5"/>
    <w:uiPriority w:val="60"/>
    <w:semiHidden/>
    <w:unhideWhenUsed/>
    <w:rsid w:val="008F7DB9"/>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311">
    <w:name w:val="Medium Grid 2 - Accent 5311"/>
    <w:basedOn w:val="TableNormal"/>
    <w:next w:val="MediumGrid2-Accent5"/>
    <w:uiPriority w:val="68"/>
    <w:semiHidden/>
    <w:unhideWhenUsed/>
    <w:rsid w:val="008F7DB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311">
    <w:name w:val="Light Grid - Accent 1311"/>
    <w:basedOn w:val="TableNormal"/>
    <w:next w:val="LightGrid-Accent1"/>
    <w:uiPriority w:val="62"/>
    <w:semiHidden/>
    <w:unhideWhenUsed/>
    <w:rsid w:val="008F7DB9"/>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Shading-Accent1411">
    <w:name w:val="Light Shading - Accent 14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411">
    <w:name w:val="Medium Grid 2 - Accent 14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411">
    <w:name w:val="Medium List 2 - Accent 54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011">
    <w:name w:val="Light List - Accent 110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411">
    <w:name w:val="Medium Grid 3 - Accent 54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411">
    <w:name w:val="Light Shading - Accent 54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411">
    <w:name w:val="Medium Grid 2 - Accent 54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411">
    <w:name w:val="Light Grid - Accent 14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511">
    <w:name w:val="Light Shading - Accent 15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511">
    <w:name w:val="Medium Grid 2 - Accent 15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511">
    <w:name w:val="Medium List 2 - Accent 55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611">
    <w:name w:val="Light List - Accent 116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511">
    <w:name w:val="Medium Grid 3 - Accent 55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511">
    <w:name w:val="Light Shading - Accent 55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511">
    <w:name w:val="Medium Grid 2 - Accent 55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511">
    <w:name w:val="Light Grid - Accent 15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711">
    <w:name w:val="No List2711"/>
    <w:next w:val="NoList"/>
    <w:uiPriority w:val="99"/>
    <w:semiHidden/>
    <w:unhideWhenUsed/>
    <w:rsid w:val="008F7DB9"/>
  </w:style>
  <w:style w:type="table" w:customStyle="1" w:styleId="TableGrid913">
    <w:name w:val="Table Grid913"/>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611">
    <w:name w:val="Table List 761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611">
    <w:name w:val="Table Web 361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611">
    <w:name w:val="Table Elegant61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611">
    <w:name w:val="Table Web 261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611">
    <w:name w:val="Table Web 161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611">
    <w:name w:val="Table Grid 861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611">
    <w:name w:val="Table Contemporary61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911">
    <w:name w:val="No List11911"/>
    <w:next w:val="NoList"/>
    <w:semiHidden/>
    <w:unhideWhenUsed/>
    <w:rsid w:val="008F7DB9"/>
  </w:style>
  <w:style w:type="numbering" w:customStyle="1" w:styleId="NoList2811">
    <w:name w:val="No List2811"/>
    <w:next w:val="NoList"/>
    <w:semiHidden/>
    <w:unhideWhenUsed/>
    <w:rsid w:val="008F7DB9"/>
  </w:style>
  <w:style w:type="numbering" w:customStyle="1" w:styleId="NoList3711">
    <w:name w:val="No List3711"/>
    <w:next w:val="NoList"/>
    <w:semiHidden/>
    <w:unhideWhenUsed/>
    <w:rsid w:val="008F7DB9"/>
  </w:style>
  <w:style w:type="table" w:customStyle="1" w:styleId="LightList-Accent11711">
    <w:name w:val="Light List - Accent 1171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611">
    <w:name w:val="Table Grid 761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711">
    <w:name w:val="Colorful Grid - Accent 171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711">
    <w:name w:val="Light List - Accent 571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611">
    <w:name w:val="Table Simple 361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611">
    <w:name w:val="Table Grid 561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611">
    <w:name w:val="Table Grid 361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611">
    <w:name w:val="Table Grid 161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611">
    <w:name w:val="Table Columns 561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811">
    <w:name w:val="Light List - Accent 1181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711">
    <w:name w:val="Нет списка1711"/>
    <w:next w:val="NoList"/>
    <w:semiHidden/>
    <w:unhideWhenUsed/>
    <w:rsid w:val="008F7DB9"/>
  </w:style>
  <w:style w:type="table" w:customStyle="1" w:styleId="ColorfulGrid-Accent11611">
    <w:name w:val="Colorful Grid - Accent 1161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611">
    <w:name w:val="Light List - Accent 5161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611">
    <w:name w:val="No List4611"/>
    <w:next w:val="NoList"/>
    <w:semiHidden/>
    <w:rsid w:val="008F7DB9"/>
  </w:style>
  <w:style w:type="numbering" w:customStyle="1" w:styleId="NoList111011">
    <w:name w:val="No List111011"/>
    <w:next w:val="NoList"/>
    <w:semiHidden/>
    <w:unhideWhenUsed/>
    <w:rsid w:val="008F7DB9"/>
  </w:style>
  <w:style w:type="table" w:customStyle="1" w:styleId="Table3Deffects3611">
    <w:name w:val="Table 3D effects 361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1">
    <w:name w:val="Нет списка11611"/>
    <w:next w:val="NoList"/>
    <w:semiHidden/>
    <w:unhideWhenUsed/>
    <w:rsid w:val="008F7DB9"/>
  </w:style>
  <w:style w:type="table" w:customStyle="1" w:styleId="LightShading-Accent1611">
    <w:name w:val="Light Shading - Accent 16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611">
    <w:name w:val="Medium Grid 2 - Accent 16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611">
    <w:name w:val="Medium List 2 - Accent 56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211">
    <w:name w:val="Light List - Accent 152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611">
    <w:name w:val="Medium Grid 3 - Accent 56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611">
    <w:name w:val="Light Shading - Accent 56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611">
    <w:name w:val="Medium Grid 2 - Accent 56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611">
    <w:name w:val="Light Grid - Accent 16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411">
    <w:name w:val="Style1141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511">
    <w:name w:val="Style215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411">
    <w:name w:val="Style2114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Shading-Accent11211">
    <w:name w:val="Light Shading - Accent 112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211">
    <w:name w:val="Medium Grid 2 - Accent 112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211">
    <w:name w:val="Medium List 2 - Accent 512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6211">
    <w:name w:val="Light List - Accent 162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211">
    <w:name w:val="Medium Grid 3 - Accent 512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211">
    <w:name w:val="Light Shading - Accent 512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211">
    <w:name w:val="Medium Grid 2 - Accent 512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211">
    <w:name w:val="Light Grid - Accent 112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911">
    <w:name w:val="No List2911"/>
    <w:next w:val="NoList"/>
    <w:uiPriority w:val="99"/>
    <w:semiHidden/>
    <w:unhideWhenUsed/>
    <w:rsid w:val="008F7DB9"/>
  </w:style>
  <w:style w:type="table" w:customStyle="1" w:styleId="TableGrid1013">
    <w:name w:val="Table Grid1013"/>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1">
    <w:name w:val="No List12011"/>
    <w:next w:val="NoList"/>
    <w:uiPriority w:val="99"/>
    <w:semiHidden/>
    <w:unhideWhenUsed/>
    <w:rsid w:val="008F7DB9"/>
  </w:style>
  <w:style w:type="numbering" w:customStyle="1" w:styleId="NoList111511">
    <w:name w:val="No List111511"/>
    <w:next w:val="NoList"/>
    <w:semiHidden/>
    <w:rsid w:val="008F7DB9"/>
  </w:style>
  <w:style w:type="table" w:customStyle="1" w:styleId="TableGrid15110">
    <w:name w:val="Table Grid1511"/>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1">
    <w:name w:val="No List3011"/>
    <w:next w:val="NoList"/>
    <w:uiPriority w:val="99"/>
    <w:semiHidden/>
    <w:unhideWhenUsed/>
    <w:rsid w:val="008F7DB9"/>
  </w:style>
  <w:style w:type="table" w:customStyle="1" w:styleId="LightShading-Accent1711">
    <w:name w:val="Light Shading - Accent 17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711">
    <w:name w:val="Medium Grid 2 - Accent 17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711">
    <w:name w:val="Medium List 2 - Accent 57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911">
    <w:name w:val="Light List - Accent 119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711">
    <w:name w:val="Medium Grid 3 - Accent 57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711">
    <w:name w:val="Light Shading - Accent 57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711">
    <w:name w:val="Medium Grid 2 - Accent 57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711">
    <w:name w:val="Light Grid - Accent 17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3811">
    <w:name w:val="No List3811"/>
    <w:next w:val="NoList"/>
    <w:uiPriority w:val="99"/>
    <w:semiHidden/>
    <w:unhideWhenUsed/>
    <w:rsid w:val="008F7DB9"/>
  </w:style>
  <w:style w:type="table" w:customStyle="1" w:styleId="TableGrid16110">
    <w:name w:val="Table Grid1611"/>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1">
    <w:name w:val="No List12411"/>
    <w:next w:val="NoList"/>
    <w:uiPriority w:val="99"/>
    <w:semiHidden/>
    <w:unhideWhenUsed/>
    <w:rsid w:val="008F7DB9"/>
  </w:style>
  <w:style w:type="numbering" w:customStyle="1" w:styleId="NoList111611">
    <w:name w:val="No List111611"/>
    <w:next w:val="NoList"/>
    <w:semiHidden/>
    <w:rsid w:val="008F7DB9"/>
  </w:style>
  <w:style w:type="table" w:customStyle="1" w:styleId="TableGrid1711">
    <w:name w:val="Table Grid1711"/>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11">
    <w:name w:val="Light Shading - Accent 18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811">
    <w:name w:val="Medium Grid 2 - Accent 18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811">
    <w:name w:val="Medium List 2 - Accent 58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011">
    <w:name w:val="Light List - Accent 120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811">
    <w:name w:val="Medium Grid 3 - Accent 58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811">
    <w:name w:val="Light Shading - Accent 58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811">
    <w:name w:val="Medium Grid 2 - Accent 58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811">
    <w:name w:val="Light Grid - Accent 18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911">
    <w:name w:val="Light Shading - Accent 19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911">
    <w:name w:val="Medium Grid 2 - Accent 19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911">
    <w:name w:val="Medium List 2 - Accent 59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212">
    <w:name w:val="Light List - Accent 1221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911">
    <w:name w:val="Medium Grid 3 - Accent 59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911">
    <w:name w:val="Light Shading - Accent 59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911">
    <w:name w:val="Medium Grid 2 - Accent 59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911">
    <w:name w:val="Light Grid - Accent 19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521">
    <w:name w:val="Style1152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1511">
    <w:name w:val="Style2115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3911">
    <w:name w:val="No List3911"/>
    <w:next w:val="NoList"/>
    <w:uiPriority w:val="99"/>
    <w:semiHidden/>
    <w:unhideWhenUsed/>
    <w:rsid w:val="008F7DB9"/>
  </w:style>
  <w:style w:type="table" w:customStyle="1" w:styleId="TableGrid1811">
    <w:name w:val="Table Grid1811"/>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1">
    <w:name w:val="No List12511"/>
    <w:next w:val="NoList"/>
    <w:uiPriority w:val="99"/>
    <w:semiHidden/>
    <w:unhideWhenUsed/>
    <w:rsid w:val="008F7DB9"/>
  </w:style>
  <w:style w:type="numbering" w:customStyle="1" w:styleId="NoList111711">
    <w:name w:val="No List111711"/>
    <w:next w:val="NoList"/>
    <w:semiHidden/>
    <w:rsid w:val="008F7DB9"/>
  </w:style>
  <w:style w:type="table" w:customStyle="1" w:styleId="TableGrid1911">
    <w:name w:val="Table Grid1911"/>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5111">
    <w:name w:val="Style11511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611">
    <w:name w:val="Style216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4011">
    <w:name w:val="No List4011"/>
    <w:next w:val="NoList"/>
    <w:uiPriority w:val="99"/>
    <w:semiHidden/>
    <w:unhideWhenUsed/>
    <w:rsid w:val="008F7DB9"/>
  </w:style>
  <w:style w:type="table" w:customStyle="1" w:styleId="TableGrid2011">
    <w:name w:val="Table Grid2011"/>
    <w:basedOn w:val="TableNormal"/>
    <w:next w:val="TableGrid"/>
    <w:uiPriority w:val="5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011">
    <w:name w:val="Light Shading - Accent 110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811">
    <w:name w:val="Light List - Accent 5811"/>
    <w:basedOn w:val="TableNormal"/>
    <w:next w:val="LightList-Accent5"/>
    <w:uiPriority w:val="61"/>
    <w:rsid w:val="008F7DB9"/>
    <w:rPr>
      <w:rFonts w:ascii="Calibri" w:eastAsia="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List2-Accent1111">
    <w:name w:val="Medium List 2 - Accent 1111"/>
    <w:basedOn w:val="TableNormal"/>
    <w:next w:val="MediumList2-Accent1"/>
    <w:uiPriority w:val="66"/>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Grid2-Accent11011">
    <w:name w:val="Medium Grid 2 - Accent 110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3-Accent6111">
    <w:name w:val="Medium Grid 3 - Accent 6111"/>
    <w:basedOn w:val="TableNormal"/>
    <w:next w:val="MediumGrid3-Accent6"/>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2-Accent51011">
    <w:name w:val="Medium List 2 - Accent 510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311">
    <w:name w:val="Light List - Accent 123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1-Accent5111">
    <w:name w:val="Medium List 1 - Accent 5111"/>
    <w:basedOn w:val="TableNormal"/>
    <w:next w:val="MediumList1-Accent5"/>
    <w:uiPriority w:val="65"/>
    <w:rsid w:val="008F7DB9"/>
    <w:rPr>
      <w:rFonts w:ascii="Calibri" w:eastAsia="Calibri" w:hAnsi="Calibri"/>
      <w:color w:val="000000"/>
      <w:sz w:val="22"/>
      <w:szCs w:val="22"/>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Grid3-Accent51011">
    <w:name w:val="Medium Grid 3 - Accent 510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011">
    <w:name w:val="Light Shading - Accent 510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011">
    <w:name w:val="Medium Grid 2 - Accent 510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List-Accent3111">
    <w:name w:val="Light List - Accent 3111"/>
    <w:basedOn w:val="TableNormal"/>
    <w:next w:val="LightList-Accent3"/>
    <w:uiPriority w:val="61"/>
    <w:rsid w:val="008F7DB9"/>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2-Accent3111">
    <w:name w:val="Medium List 2 - Accent 3111"/>
    <w:basedOn w:val="TableNormal"/>
    <w:next w:val="MediumList2-Accent3"/>
    <w:uiPriority w:val="66"/>
    <w:rsid w:val="008F7DB9"/>
    <w:rPr>
      <w:rFonts w:ascii="Cambria"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11">
    <w:name w:val="Medium List 2 - Accent 4111"/>
    <w:basedOn w:val="TableNormal"/>
    <w:next w:val="MediumList2-Accent4"/>
    <w:uiPriority w:val="66"/>
    <w:rsid w:val="008F7DB9"/>
    <w:rPr>
      <w:rFonts w:ascii="Cambria" w:hAnsi="Cambria"/>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LightGrid-Accent11011">
    <w:name w:val="Light Grid - Accent 110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4711">
    <w:name w:val="No List4711"/>
    <w:next w:val="NoList"/>
    <w:uiPriority w:val="99"/>
    <w:semiHidden/>
    <w:unhideWhenUsed/>
    <w:rsid w:val="008F7DB9"/>
  </w:style>
  <w:style w:type="table" w:customStyle="1" w:styleId="TableGrid2411">
    <w:name w:val="Table Grid2411"/>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1">
    <w:name w:val="No List12611"/>
    <w:next w:val="NoList"/>
    <w:uiPriority w:val="99"/>
    <w:semiHidden/>
    <w:unhideWhenUsed/>
    <w:rsid w:val="008F7DB9"/>
  </w:style>
  <w:style w:type="numbering" w:customStyle="1" w:styleId="NoList111811">
    <w:name w:val="No List111811"/>
    <w:next w:val="NoList"/>
    <w:semiHidden/>
    <w:rsid w:val="008F7DB9"/>
  </w:style>
  <w:style w:type="table" w:customStyle="1" w:styleId="TableGrid11011">
    <w:name w:val="Table Grid11011"/>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41">
    <w:name w:val="Light Shading - Accent 1141"/>
    <w:basedOn w:val="TableNormal"/>
    <w:next w:val="LightShading-Accent1"/>
    <w:uiPriority w:val="60"/>
    <w:semiHidden/>
    <w:unhideWhenUsed/>
    <w:rsid w:val="008F7DB9"/>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141">
    <w:name w:val="Medium Grid 2 - Accent 1141"/>
    <w:basedOn w:val="TableNormal"/>
    <w:next w:val="MediumGrid2-Accent1"/>
    <w:uiPriority w:val="68"/>
    <w:semiHidden/>
    <w:unhideWhenUsed/>
    <w:rsid w:val="008F7DB9"/>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141">
    <w:name w:val="Medium List 2 - Accent 5141"/>
    <w:basedOn w:val="TableNormal"/>
    <w:next w:val="MediumList2-Accent5"/>
    <w:uiPriority w:val="66"/>
    <w:semiHidden/>
    <w:unhideWhenUsed/>
    <w:rsid w:val="008F7DB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141">
    <w:name w:val="Medium Grid 3 - Accent 5141"/>
    <w:basedOn w:val="TableNormal"/>
    <w:next w:val="MediumGrid3-Accent5"/>
    <w:uiPriority w:val="69"/>
    <w:semiHidden/>
    <w:unhideWhenUsed/>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141">
    <w:name w:val="Light Shading - Accent 5141"/>
    <w:basedOn w:val="TableNormal"/>
    <w:next w:val="LightShading-Accent5"/>
    <w:uiPriority w:val="60"/>
    <w:semiHidden/>
    <w:unhideWhenUsed/>
    <w:rsid w:val="008F7DB9"/>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141">
    <w:name w:val="Medium Grid 2 - Accent 5141"/>
    <w:basedOn w:val="TableNormal"/>
    <w:next w:val="MediumGrid2-Accent5"/>
    <w:uiPriority w:val="68"/>
    <w:semiHidden/>
    <w:unhideWhenUsed/>
    <w:rsid w:val="008F7DB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141">
    <w:name w:val="Light Grid - Accent 1141"/>
    <w:basedOn w:val="TableNormal"/>
    <w:next w:val="LightGrid-Accent1"/>
    <w:uiPriority w:val="62"/>
    <w:semiHidden/>
    <w:unhideWhenUsed/>
    <w:rsid w:val="008F7DB9"/>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List2-Accent121">
    <w:name w:val="Medium List 2 - Accent 121"/>
    <w:basedOn w:val="TableNormal"/>
    <w:next w:val="MediumList2-Accent1"/>
    <w:uiPriority w:val="66"/>
    <w:semiHidden/>
    <w:unhideWhenUsed/>
    <w:rsid w:val="008F7DB9"/>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MediumGrid3-Accent621">
    <w:name w:val="Medium Grid 3 - Accent 621"/>
    <w:basedOn w:val="TableNormal"/>
    <w:next w:val="MediumGrid3-Accent6"/>
    <w:uiPriority w:val="69"/>
    <w:semiHidden/>
    <w:unhideWhenUsed/>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List1-Accent521">
    <w:name w:val="Medium List 1 - Accent 521"/>
    <w:basedOn w:val="TableNormal"/>
    <w:next w:val="MediumList1-Accent5"/>
    <w:uiPriority w:val="65"/>
    <w:semiHidden/>
    <w:unhideWhenUsed/>
    <w:rsid w:val="008F7DB9"/>
    <w:rPr>
      <w:rFonts w:ascii="Calibri" w:eastAsia="Calibri" w:hAnsi="Calibri"/>
      <w:color w:val="000000"/>
      <w:sz w:val="22"/>
      <w:szCs w:val="22"/>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Accent321">
    <w:name w:val="Light List - Accent 321"/>
    <w:basedOn w:val="TableNormal"/>
    <w:next w:val="LightList-Accent3"/>
    <w:uiPriority w:val="61"/>
    <w:semiHidden/>
    <w:unhideWhenUsed/>
    <w:rsid w:val="008F7DB9"/>
    <w:rPr>
      <w:rFonts w:ascii="Calibri" w:eastAsia="Calibri" w:hAnsi="Calibri"/>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List2-Accent321">
    <w:name w:val="Medium List 2 - Accent 321"/>
    <w:basedOn w:val="TableNormal"/>
    <w:next w:val="MediumList2-Accent3"/>
    <w:uiPriority w:val="66"/>
    <w:semiHidden/>
    <w:unhideWhenUsed/>
    <w:rsid w:val="008F7DB9"/>
    <w:rPr>
      <w:rFonts w:ascii="Calibri Light" w:hAnsi="Calibri Light"/>
      <w:color w:val="000000"/>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MediumList2-Accent421">
    <w:name w:val="Medium List 2 - Accent 421"/>
    <w:basedOn w:val="TableNormal"/>
    <w:next w:val="MediumList2-Accent4"/>
    <w:uiPriority w:val="66"/>
    <w:semiHidden/>
    <w:unhideWhenUsed/>
    <w:rsid w:val="008F7DB9"/>
    <w:rPr>
      <w:rFonts w:ascii="Calibri Light" w:hAnsi="Calibri Light"/>
      <w:color w:val="000000"/>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numbering" w:customStyle="1" w:styleId="NoList551">
    <w:name w:val="No List551"/>
    <w:next w:val="NoList"/>
    <w:uiPriority w:val="99"/>
    <w:semiHidden/>
    <w:unhideWhenUsed/>
    <w:rsid w:val="008F7DB9"/>
  </w:style>
  <w:style w:type="table" w:customStyle="1" w:styleId="TableGrid291">
    <w:name w:val="Table Grid291"/>
    <w:basedOn w:val="TableNormal"/>
    <w:next w:val="TableGrid"/>
    <w:uiPriority w:val="3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1">
    <w:name w:val="Medium Grid 3 - Accent 111"/>
    <w:basedOn w:val="TableNormal"/>
    <w:next w:val="MediumGrid3-Accent1"/>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numbering" w:customStyle="1" w:styleId="NoList1301">
    <w:name w:val="No List1301"/>
    <w:next w:val="NoList"/>
    <w:uiPriority w:val="99"/>
    <w:semiHidden/>
    <w:unhideWhenUsed/>
    <w:rsid w:val="008F7DB9"/>
  </w:style>
  <w:style w:type="table" w:customStyle="1" w:styleId="TableGrid1141">
    <w:name w:val="Table Grid1141"/>
    <w:basedOn w:val="TableNormal"/>
    <w:next w:val="TableGrid"/>
    <w:uiPriority w:val="39"/>
    <w:rsid w:val="008F7DB9"/>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32">
    <w:name w:val="Table List 7132"/>
    <w:basedOn w:val="TableNormal"/>
    <w:next w:val="TableList7"/>
    <w:rsid w:val="008F7DB9"/>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32">
    <w:name w:val="Table Web 3132"/>
    <w:basedOn w:val="TableNormal"/>
    <w:next w:val="TableWeb3"/>
    <w:rsid w:val="008F7DB9"/>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32">
    <w:name w:val="Table Elegant132"/>
    <w:basedOn w:val="TableNormal"/>
    <w:next w:val="TableElegant"/>
    <w:rsid w:val="008F7DB9"/>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32">
    <w:name w:val="Table Web 2132"/>
    <w:basedOn w:val="TableNormal"/>
    <w:next w:val="TableWeb2"/>
    <w:rsid w:val="008F7DB9"/>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32">
    <w:name w:val="Table Web 1132"/>
    <w:basedOn w:val="TableNormal"/>
    <w:next w:val="TableWeb1"/>
    <w:rsid w:val="008F7DB9"/>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32">
    <w:name w:val="Table Grid 8132"/>
    <w:basedOn w:val="TableNormal"/>
    <w:next w:val="TableGrid8"/>
    <w:rsid w:val="008F7DB9"/>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32">
    <w:name w:val="Table Contemporary132"/>
    <w:basedOn w:val="TableNormal"/>
    <w:next w:val="TableContemporary"/>
    <w:rsid w:val="008F7DB9"/>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201">
    <w:name w:val="No List11201"/>
    <w:next w:val="NoList"/>
    <w:semiHidden/>
    <w:unhideWhenUsed/>
    <w:rsid w:val="008F7DB9"/>
  </w:style>
  <w:style w:type="numbering" w:customStyle="1" w:styleId="NoList2161">
    <w:name w:val="No List2161"/>
    <w:next w:val="NoList"/>
    <w:semiHidden/>
    <w:unhideWhenUsed/>
    <w:rsid w:val="008F7DB9"/>
  </w:style>
  <w:style w:type="numbering" w:customStyle="1" w:styleId="NoList3151">
    <w:name w:val="No List3151"/>
    <w:next w:val="NoList"/>
    <w:semiHidden/>
    <w:unhideWhenUsed/>
    <w:rsid w:val="008F7DB9"/>
  </w:style>
  <w:style w:type="table" w:customStyle="1" w:styleId="LightList-Accent11131">
    <w:name w:val="Light List - Accent 11131"/>
    <w:basedOn w:val="TableNormal"/>
    <w:next w:val="LightList-Accent1"/>
    <w:uiPriority w:val="61"/>
    <w:rsid w:val="008F7DB9"/>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32">
    <w:name w:val="Table Grid 7132"/>
    <w:basedOn w:val="TableNormal"/>
    <w:next w:val="TableGrid7"/>
    <w:rsid w:val="008F7DB9"/>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181">
    <w:name w:val="Colorful Grid - Accent 1181"/>
    <w:basedOn w:val="TableNormal"/>
    <w:next w:val="ColorfulGrid-Accent1"/>
    <w:rsid w:val="008F7DB9"/>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81">
    <w:name w:val="Light List - Accent 5181"/>
    <w:basedOn w:val="TableNormal"/>
    <w:next w:val="LightList-Accent5"/>
    <w:rsid w:val="008F7DB9"/>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32">
    <w:name w:val="Table Simple 3132"/>
    <w:basedOn w:val="TableNormal"/>
    <w:next w:val="TableSimple3"/>
    <w:rsid w:val="008F7DB9"/>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32">
    <w:name w:val="Table Grid 5132"/>
    <w:basedOn w:val="TableNormal"/>
    <w:next w:val="TableGrid5"/>
    <w:rsid w:val="008F7DB9"/>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32">
    <w:name w:val="Table Grid 3132"/>
    <w:basedOn w:val="TableNormal"/>
    <w:next w:val="TableGrid3"/>
    <w:rsid w:val="008F7DB9"/>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32">
    <w:name w:val="Table Grid 1132"/>
    <w:basedOn w:val="TableNormal"/>
    <w:next w:val="TableGrid10"/>
    <w:rsid w:val="008F7DB9"/>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32">
    <w:name w:val="Table Columns 5132"/>
    <w:basedOn w:val="TableNormal"/>
    <w:next w:val="TableColumns5"/>
    <w:rsid w:val="008F7DB9"/>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191">
    <w:name w:val="Нет списка191"/>
    <w:next w:val="NoList"/>
    <w:semiHidden/>
    <w:unhideWhenUsed/>
    <w:rsid w:val="008F7DB9"/>
  </w:style>
  <w:style w:type="numbering" w:customStyle="1" w:styleId="NoList4132">
    <w:name w:val="No List4132"/>
    <w:next w:val="NoList"/>
    <w:semiHidden/>
    <w:rsid w:val="008F7DB9"/>
  </w:style>
  <w:style w:type="numbering" w:customStyle="1" w:styleId="NoList111151">
    <w:name w:val="No List111151"/>
    <w:next w:val="NoList"/>
    <w:semiHidden/>
    <w:unhideWhenUsed/>
    <w:rsid w:val="008F7DB9"/>
  </w:style>
  <w:style w:type="table" w:customStyle="1" w:styleId="Table3Deffects3132">
    <w:name w:val="Table 3D effects 3132"/>
    <w:basedOn w:val="TableNormal"/>
    <w:next w:val="Table3Deffects3"/>
    <w:rsid w:val="008F7DB9"/>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81">
    <w:name w:val="Нет списка1181"/>
    <w:next w:val="NoList"/>
    <w:semiHidden/>
    <w:unhideWhenUsed/>
    <w:rsid w:val="008F7DB9"/>
  </w:style>
  <w:style w:type="table" w:customStyle="1" w:styleId="TableGrid1151">
    <w:name w:val="Table Grid1151"/>
    <w:basedOn w:val="TableNormal"/>
    <w:next w:val="TableGrid"/>
    <w:rsid w:val="008F7DB9"/>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61">
    <w:name w:val="No List561"/>
    <w:next w:val="NoList"/>
    <w:uiPriority w:val="99"/>
    <w:semiHidden/>
    <w:rsid w:val="008F7DB9"/>
  </w:style>
  <w:style w:type="numbering" w:customStyle="1" w:styleId="NoList632">
    <w:name w:val="No List632"/>
    <w:next w:val="NoList"/>
    <w:uiPriority w:val="99"/>
    <w:semiHidden/>
    <w:unhideWhenUsed/>
    <w:rsid w:val="008F7DB9"/>
  </w:style>
  <w:style w:type="table" w:customStyle="1" w:styleId="TableGrid2101">
    <w:name w:val="Table Grid2101"/>
    <w:basedOn w:val="TableNormal"/>
    <w:next w:val="TableGrid"/>
    <w:rsid w:val="008F7DB9"/>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32">
    <w:name w:val="No List732"/>
    <w:next w:val="NoList"/>
    <w:uiPriority w:val="99"/>
    <w:semiHidden/>
    <w:unhideWhenUsed/>
    <w:rsid w:val="008F7DB9"/>
  </w:style>
  <w:style w:type="numbering" w:customStyle="1" w:styleId="NoList12101">
    <w:name w:val="No List12101"/>
    <w:next w:val="NoList"/>
    <w:uiPriority w:val="99"/>
    <w:semiHidden/>
    <w:unhideWhenUsed/>
    <w:rsid w:val="008F7DB9"/>
  </w:style>
  <w:style w:type="table" w:customStyle="1" w:styleId="TableGrid3320">
    <w:name w:val="Table Grid332"/>
    <w:basedOn w:val="TableNormal"/>
    <w:next w:val="TableGrid"/>
    <w:rsid w:val="008F7DB9"/>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32">
    <w:name w:val="Colorful Grid - Accent 1232"/>
    <w:basedOn w:val="TableNormal"/>
    <w:next w:val="ColorfulGrid-Accent1"/>
    <w:uiPriority w:val="73"/>
    <w:rsid w:val="008F7DB9"/>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32">
    <w:name w:val="Light List - Accent 5232"/>
    <w:basedOn w:val="TableNormal"/>
    <w:next w:val="LightList-Accent5"/>
    <w:uiPriority w:val="61"/>
    <w:rsid w:val="008F7DB9"/>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32">
    <w:name w:val="No List832"/>
    <w:next w:val="NoList"/>
    <w:uiPriority w:val="99"/>
    <w:semiHidden/>
    <w:unhideWhenUsed/>
    <w:rsid w:val="008F7DB9"/>
  </w:style>
  <w:style w:type="numbering" w:customStyle="1" w:styleId="1232">
    <w:name w:val="Нет списка1232"/>
    <w:next w:val="NoList"/>
    <w:semiHidden/>
    <w:unhideWhenUsed/>
    <w:rsid w:val="008F7DB9"/>
  </w:style>
  <w:style w:type="numbering" w:customStyle="1" w:styleId="NoList1332">
    <w:name w:val="No List1332"/>
    <w:next w:val="NoList"/>
    <w:semiHidden/>
    <w:unhideWhenUsed/>
    <w:rsid w:val="008F7DB9"/>
  </w:style>
  <w:style w:type="numbering" w:customStyle="1" w:styleId="NoList2171">
    <w:name w:val="No List2171"/>
    <w:next w:val="NoList"/>
    <w:semiHidden/>
    <w:unhideWhenUsed/>
    <w:rsid w:val="008F7DB9"/>
  </w:style>
  <w:style w:type="numbering" w:customStyle="1" w:styleId="NoList3161">
    <w:name w:val="No List3161"/>
    <w:next w:val="NoList"/>
    <w:semiHidden/>
    <w:unhideWhenUsed/>
    <w:rsid w:val="008F7DB9"/>
  </w:style>
  <w:style w:type="numbering" w:customStyle="1" w:styleId="11133">
    <w:name w:val="Нет списка11133"/>
    <w:next w:val="NoList"/>
    <w:semiHidden/>
    <w:unhideWhenUsed/>
    <w:rsid w:val="008F7DB9"/>
  </w:style>
  <w:style w:type="numbering" w:customStyle="1" w:styleId="NoList4141">
    <w:name w:val="No List4141"/>
    <w:next w:val="NoList"/>
    <w:semiHidden/>
    <w:rsid w:val="008F7DB9"/>
  </w:style>
  <w:style w:type="numbering" w:customStyle="1" w:styleId="NoList111161">
    <w:name w:val="No List111161"/>
    <w:next w:val="NoList"/>
    <w:semiHidden/>
    <w:unhideWhenUsed/>
    <w:rsid w:val="008F7DB9"/>
  </w:style>
  <w:style w:type="numbering" w:customStyle="1" w:styleId="111123">
    <w:name w:val="Нет списка111123"/>
    <w:next w:val="NoList"/>
    <w:semiHidden/>
    <w:unhideWhenUsed/>
    <w:rsid w:val="008F7DB9"/>
  </w:style>
  <w:style w:type="numbering" w:customStyle="1" w:styleId="NoList931">
    <w:name w:val="No List931"/>
    <w:next w:val="NoList"/>
    <w:uiPriority w:val="99"/>
    <w:semiHidden/>
    <w:unhideWhenUsed/>
    <w:rsid w:val="008F7DB9"/>
  </w:style>
  <w:style w:type="table" w:customStyle="1" w:styleId="TableGrid432">
    <w:name w:val="Table Grid432"/>
    <w:basedOn w:val="TableNormal"/>
    <w:next w:val="TableGrid"/>
    <w:rsid w:val="008F7DB9"/>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5">
    <w:name w:val="Grid Table 1 Light - Accent 515"/>
    <w:basedOn w:val="TableNormal"/>
    <w:uiPriority w:val="46"/>
    <w:rsid w:val="008F7DB9"/>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4">
    <w:name w:val="Plain Table 314"/>
    <w:basedOn w:val="TableNormal"/>
    <w:uiPriority w:val="43"/>
    <w:rsid w:val="008F7DB9"/>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12">
    <w:name w:val="Grid Table 4 - Accent 1112"/>
    <w:basedOn w:val="TableNormal"/>
    <w:uiPriority w:val="49"/>
    <w:rsid w:val="008F7DB9"/>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031">
    <w:name w:val="No List1031"/>
    <w:next w:val="NoList"/>
    <w:uiPriority w:val="99"/>
    <w:semiHidden/>
    <w:unhideWhenUsed/>
    <w:rsid w:val="008F7DB9"/>
  </w:style>
  <w:style w:type="table" w:customStyle="1" w:styleId="TableGrid5310">
    <w:name w:val="Table Grid531"/>
    <w:basedOn w:val="TableNormal"/>
    <w:next w:val="TableGrid"/>
    <w:uiPriority w:val="39"/>
    <w:rsid w:val="008F7DB9"/>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121">
    <w:name w:val="Table List 71121"/>
    <w:basedOn w:val="TableNormal"/>
    <w:next w:val="TableList7"/>
    <w:rsid w:val="008F7DB9"/>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21">
    <w:name w:val="Table Web 31121"/>
    <w:basedOn w:val="TableNormal"/>
    <w:next w:val="TableWeb3"/>
    <w:rsid w:val="008F7DB9"/>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21">
    <w:name w:val="Table Elegant1121"/>
    <w:basedOn w:val="TableNormal"/>
    <w:next w:val="TableElegant"/>
    <w:rsid w:val="008F7DB9"/>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31">
    <w:name w:val="Table Web 2231"/>
    <w:basedOn w:val="TableNormal"/>
    <w:next w:val="TableWeb2"/>
    <w:rsid w:val="008F7DB9"/>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31">
    <w:name w:val="Table Web 1231"/>
    <w:basedOn w:val="TableNormal"/>
    <w:next w:val="TableWeb1"/>
    <w:rsid w:val="008F7DB9"/>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31">
    <w:name w:val="Table Grid 8231"/>
    <w:basedOn w:val="TableNormal"/>
    <w:next w:val="TableGrid8"/>
    <w:rsid w:val="008F7DB9"/>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31">
    <w:name w:val="Table Contemporary231"/>
    <w:basedOn w:val="TableNormal"/>
    <w:next w:val="TableContemporary"/>
    <w:rsid w:val="008F7DB9"/>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31">
    <w:name w:val="No List1431"/>
    <w:next w:val="NoList"/>
    <w:semiHidden/>
    <w:unhideWhenUsed/>
    <w:rsid w:val="008F7DB9"/>
  </w:style>
  <w:style w:type="numbering" w:customStyle="1" w:styleId="NoList2231">
    <w:name w:val="No List2231"/>
    <w:next w:val="NoList"/>
    <w:semiHidden/>
    <w:unhideWhenUsed/>
    <w:rsid w:val="008F7DB9"/>
  </w:style>
  <w:style w:type="numbering" w:customStyle="1" w:styleId="NoList3231">
    <w:name w:val="No List3231"/>
    <w:next w:val="NoList"/>
    <w:semiHidden/>
    <w:unhideWhenUsed/>
    <w:rsid w:val="008F7DB9"/>
  </w:style>
  <w:style w:type="table" w:customStyle="1" w:styleId="LightList-Accent1261">
    <w:name w:val="Light List - Accent 1261"/>
    <w:basedOn w:val="TableNormal"/>
    <w:uiPriority w:val="61"/>
    <w:rsid w:val="008F7DB9"/>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21">
    <w:name w:val="Table Grid 71121"/>
    <w:basedOn w:val="TableNormal"/>
    <w:next w:val="TableGrid7"/>
    <w:rsid w:val="008F7DB9"/>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31">
    <w:name w:val="Colorful Grid - Accent 1331"/>
    <w:basedOn w:val="TableNormal"/>
    <w:next w:val="ColorfulGrid-Accent1"/>
    <w:uiPriority w:val="73"/>
    <w:rsid w:val="008F7DB9"/>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31">
    <w:name w:val="Light List - Accent 5331"/>
    <w:basedOn w:val="TableNormal"/>
    <w:next w:val="LightList-Accent5"/>
    <w:uiPriority w:val="61"/>
    <w:rsid w:val="008F7DB9"/>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21">
    <w:name w:val="Table Simple 31121"/>
    <w:basedOn w:val="TableNormal"/>
    <w:next w:val="TableSimple3"/>
    <w:rsid w:val="008F7DB9"/>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21">
    <w:name w:val="Table Grid 51121"/>
    <w:basedOn w:val="TableNormal"/>
    <w:next w:val="TableGrid5"/>
    <w:rsid w:val="008F7DB9"/>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21">
    <w:name w:val="Table Grid 31121"/>
    <w:basedOn w:val="TableNormal"/>
    <w:next w:val="TableGrid3"/>
    <w:rsid w:val="008F7DB9"/>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210">
    <w:name w:val="Table Grid 11121"/>
    <w:basedOn w:val="TableNormal"/>
    <w:next w:val="TableGrid10"/>
    <w:rsid w:val="008F7DB9"/>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21">
    <w:name w:val="Table Columns 51121"/>
    <w:basedOn w:val="TableNormal"/>
    <w:next w:val="TableColumns5"/>
    <w:rsid w:val="008F7DB9"/>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41">
    <w:name w:val="Light List - Accent 11141"/>
    <w:basedOn w:val="TableNormal"/>
    <w:uiPriority w:val="61"/>
    <w:rsid w:val="008F7DB9"/>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31">
    <w:name w:val="Нет списка1331"/>
    <w:next w:val="NoList"/>
    <w:semiHidden/>
    <w:unhideWhenUsed/>
    <w:rsid w:val="008F7DB9"/>
  </w:style>
  <w:style w:type="table" w:customStyle="1" w:styleId="ColorfulGrid-Accent11131">
    <w:name w:val="Colorful Grid - Accent 11131"/>
    <w:basedOn w:val="TableNormal"/>
    <w:rsid w:val="008F7DB9"/>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31">
    <w:name w:val="Light List - Accent 51131"/>
    <w:basedOn w:val="TableNormal"/>
    <w:rsid w:val="008F7DB9"/>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31">
    <w:name w:val="No List4231"/>
    <w:next w:val="NoList"/>
    <w:semiHidden/>
    <w:rsid w:val="008F7DB9"/>
  </w:style>
  <w:style w:type="numbering" w:customStyle="1" w:styleId="NoList11251">
    <w:name w:val="No List11251"/>
    <w:next w:val="NoList"/>
    <w:semiHidden/>
    <w:unhideWhenUsed/>
    <w:rsid w:val="008F7DB9"/>
  </w:style>
  <w:style w:type="table" w:customStyle="1" w:styleId="Table3Deffects31121">
    <w:name w:val="Table 3D effects 31121"/>
    <w:basedOn w:val="TableNormal"/>
    <w:next w:val="Table3Deffects3"/>
    <w:rsid w:val="008F7DB9"/>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31">
    <w:name w:val="Нет списка11231"/>
    <w:next w:val="NoList"/>
    <w:semiHidden/>
    <w:unhideWhenUsed/>
    <w:rsid w:val="008F7DB9"/>
  </w:style>
  <w:style w:type="table" w:customStyle="1" w:styleId="TableGrid11123">
    <w:name w:val="Table Grid11123"/>
    <w:basedOn w:val="TableNormal"/>
    <w:next w:val="TableGrid"/>
    <w:uiPriority w:val="39"/>
    <w:rsid w:val="008F7DB9"/>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31">
    <w:name w:val="No List5131"/>
    <w:next w:val="NoList"/>
    <w:uiPriority w:val="99"/>
    <w:semiHidden/>
    <w:rsid w:val="008F7DB9"/>
  </w:style>
  <w:style w:type="numbering" w:customStyle="1" w:styleId="NoList6122">
    <w:name w:val="No List6122"/>
    <w:next w:val="NoList"/>
    <w:uiPriority w:val="99"/>
    <w:semiHidden/>
    <w:unhideWhenUsed/>
    <w:rsid w:val="008F7DB9"/>
  </w:style>
  <w:style w:type="table" w:customStyle="1" w:styleId="TableGrid2131">
    <w:name w:val="Table Grid2131"/>
    <w:basedOn w:val="TableNormal"/>
    <w:next w:val="TableGrid"/>
    <w:rsid w:val="008F7DB9"/>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22">
    <w:name w:val="No List7122"/>
    <w:next w:val="NoList"/>
    <w:uiPriority w:val="99"/>
    <w:semiHidden/>
    <w:unhideWhenUsed/>
    <w:rsid w:val="008F7DB9"/>
  </w:style>
  <w:style w:type="numbering" w:customStyle="1" w:styleId="NoList12131">
    <w:name w:val="No List12131"/>
    <w:next w:val="NoList"/>
    <w:uiPriority w:val="99"/>
    <w:semiHidden/>
    <w:unhideWhenUsed/>
    <w:rsid w:val="008F7DB9"/>
  </w:style>
  <w:style w:type="table" w:customStyle="1" w:styleId="TableGrid31220">
    <w:name w:val="Table Grid3122"/>
    <w:basedOn w:val="TableNormal"/>
    <w:next w:val="TableGrid"/>
    <w:rsid w:val="008F7DB9"/>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22">
    <w:name w:val="Table Web 21122"/>
    <w:basedOn w:val="TableNormal"/>
    <w:next w:val="TableWeb2"/>
    <w:rsid w:val="008F7DB9"/>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22">
    <w:name w:val="Table Web 11122"/>
    <w:basedOn w:val="TableNormal"/>
    <w:next w:val="TableWeb1"/>
    <w:rsid w:val="008F7DB9"/>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22">
    <w:name w:val="Table Grid 81122"/>
    <w:basedOn w:val="TableNormal"/>
    <w:next w:val="TableGrid8"/>
    <w:rsid w:val="008F7DB9"/>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22">
    <w:name w:val="Table Contemporary1122"/>
    <w:basedOn w:val="TableNormal"/>
    <w:next w:val="TableContemporary"/>
    <w:rsid w:val="008F7DB9"/>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22">
    <w:name w:val="Colorful Grid - Accent 12122"/>
    <w:basedOn w:val="TableNormal"/>
    <w:next w:val="ColorfulGrid-Accent1"/>
    <w:uiPriority w:val="73"/>
    <w:rsid w:val="008F7DB9"/>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22">
    <w:name w:val="Light List - Accent 52122"/>
    <w:basedOn w:val="TableNormal"/>
    <w:next w:val="LightList-Accent5"/>
    <w:uiPriority w:val="61"/>
    <w:rsid w:val="008F7DB9"/>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22">
    <w:name w:val="No List8122"/>
    <w:next w:val="NoList"/>
    <w:uiPriority w:val="99"/>
    <w:semiHidden/>
    <w:unhideWhenUsed/>
    <w:rsid w:val="008F7DB9"/>
  </w:style>
  <w:style w:type="numbering" w:customStyle="1" w:styleId="12122">
    <w:name w:val="Нет списка12122"/>
    <w:next w:val="NoList"/>
    <w:semiHidden/>
    <w:unhideWhenUsed/>
    <w:rsid w:val="008F7DB9"/>
  </w:style>
  <w:style w:type="numbering" w:customStyle="1" w:styleId="NoList13122">
    <w:name w:val="No List13122"/>
    <w:next w:val="NoList"/>
    <w:semiHidden/>
    <w:unhideWhenUsed/>
    <w:rsid w:val="008F7DB9"/>
  </w:style>
  <w:style w:type="numbering" w:customStyle="1" w:styleId="NoList21131">
    <w:name w:val="No List21131"/>
    <w:next w:val="NoList"/>
    <w:semiHidden/>
    <w:unhideWhenUsed/>
    <w:rsid w:val="008F7DB9"/>
  </w:style>
  <w:style w:type="numbering" w:customStyle="1" w:styleId="NoList31131">
    <w:name w:val="No List31131"/>
    <w:next w:val="NoList"/>
    <w:semiHidden/>
    <w:unhideWhenUsed/>
    <w:rsid w:val="008F7DB9"/>
  </w:style>
  <w:style w:type="numbering" w:customStyle="1" w:styleId="111213">
    <w:name w:val="Нет списка111213"/>
    <w:next w:val="NoList"/>
    <w:semiHidden/>
    <w:unhideWhenUsed/>
    <w:rsid w:val="008F7DB9"/>
  </w:style>
  <w:style w:type="numbering" w:customStyle="1" w:styleId="NoList41122">
    <w:name w:val="No List41122"/>
    <w:next w:val="NoList"/>
    <w:semiHidden/>
    <w:rsid w:val="008F7DB9"/>
  </w:style>
  <w:style w:type="numbering" w:customStyle="1" w:styleId="NoList1111131">
    <w:name w:val="No List1111131"/>
    <w:next w:val="NoList"/>
    <w:semiHidden/>
    <w:unhideWhenUsed/>
    <w:rsid w:val="008F7DB9"/>
  </w:style>
  <w:style w:type="numbering" w:customStyle="1" w:styleId="1111113">
    <w:name w:val="Нет списка1111113"/>
    <w:next w:val="NoList"/>
    <w:semiHidden/>
    <w:unhideWhenUsed/>
    <w:rsid w:val="008F7DB9"/>
  </w:style>
  <w:style w:type="table" w:customStyle="1" w:styleId="TableGrid631">
    <w:name w:val="Table Grid631"/>
    <w:basedOn w:val="TableNormal"/>
    <w:next w:val="TableGrid"/>
    <w:uiPriority w:val="39"/>
    <w:rsid w:val="008F7DB9"/>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4">
    <w:name w:val="Grid Table 1 Light - Accent 5114"/>
    <w:basedOn w:val="TableNormal"/>
    <w:uiPriority w:val="46"/>
    <w:rsid w:val="008F7DB9"/>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31">
    <w:name w:val="Table Grid2231"/>
    <w:basedOn w:val="TableNormal"/>
    <w:next w:val="TableGrid"/>
    <w:uiPriority w:val="3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
    <w:name w:val="Table Grid4122"/>
    <w:basedOn w:val="TableNormal"/>
    <w:next w:val="TableGrid"/>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next w:val="TableGrid"/>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0">
    <w:name w:val="Table Grid722"/>
    <w:basedOn w:val="TableNormal"/>
    <w:next w:val="TableGrid"/>
    <w:uiPriority w:val="3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0">
    <w:name w:val="Table Grid822"/>
    <w:basedOn w:val="TableNormal"/>
    <w:next w:val="TableGrid"/>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2">
    <w:name w:val="Table Grid922"/>
    <w:basedOn w:val="TableNormal"/>
    <w:next w:val="TableGrid"/>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2">
    <w:name w:val="Table Grid1022"/>
    <w:basedOn w:val="TableNormal"/>
    <w:next w:val="TableGrid"/>
    <w:uiPriority w:val="3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4">
    <w:name w:val="Grid Table 1 Light - Accent 114"/>
    <w:basedOn w:val="TableNormal"/>
    <w:uiPriority w:val="46"/>
    <w:rsid w:val="008F7DB9"/>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List781">
    <w:name w:val="Table List 781"/>
    <w:basedOn w:val="TableNormal"/>
    <w:next w:val="TableList7"/>
    <w:uiPriority w:val="99"/>
    <w:semiHidden/>
    <w:unhideWhenUsed/>
    <w:rsid w:val="008F7DB9"/>
    <w:rPr>
      <w:rFonts w:ascii="Calibri" w:eastAsia="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81">
    <w:name w:val="Table Web 381"/>
    <w:basedOn w:val="TableNormal"/>
    <w:next w:val="TableWeb3"/>
    <w:uiPriority w:val="99"/>
    <w:semiHidden/>
    <w:unhideWhenUsed/>
    <w:rsid w:val="008F7DB9"/>
    <w:rPr>
      <w:rFonts w:ascii="Calibri" w:eastAsia="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81">
    <w:name w:val="Table Elegant81"/>
    <w:basedOn w:val="TableNormal"/>
    <w:next w:val="TableElegant"/>
    <w:uiPriority w:val="99"/>
    <w:semiHidden/>
    <w:unhideWhenUsed/>
    <w:rsid w:val="008F7DB9"/>
    <w:rPr>
      <w:rFonts w:ascii="Calibri" w:eastAsia="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81">
    <w:name w:val="Table Web 281"/>
    <w:basedOn w:val="TableNormal"/>
    <w:next w:val="TableWeb2"/>
    <w:uiPriority w:val="99"/>
    <w:semiHidden/>
    <w:unhideWhenUsed/>
    <w:rsid w:val="008F7DB9"/>
    <w:rPr>
      <w:rFonts w:ascii="Calibri" w:eastAsia="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81">
    <w:name w:val="Table Web 181"/>
    <w:basedOn w:val="TableNormal"/>
    <w:next w:val="TableWeb1"/>
    <w:uiPriority w:val="99"/>
    <w:semiHidden/>
    <w:unhideWhenUsed/>
    <w:rsid w:val="008F7DB9"/>
    <w:rPr>
      <w:rFonts w:ascii="Calibri" w:eastAsia="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81">
    <w:name w:val="Table Grid 881"/>
    <w:basedOn w:val="TableNormal"/>
    <w:next w:val="TableGrid8"/>
    <w:uiPriority w:val="99"/>
    <w:semiHidden/>
    <w:unhideWhenUsed/>
    <w:rsid w:val="008F7DB9"/>
    <w:rPr>
      <w:rFonts w:ascii="Calibri" w:eastAsia="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81">
    <w:name w:val="Table Contemporary81"/>
    <w:basedOn w:val="TableNormal"/>
    <w:next w:val="TableContemporary"/>
    <w:uiPriority w:val="99"/>
    <w:semiHidden/>
    <w:unhideWhenUsed/>
    <w:rsid w:val="008F7DB9"/>
    <w:rPr>
      <w:rFonts w:ascii="Calibri" w:eastAsia="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71">
    <w:name w:val="Light List - Accent 1271"/>
    <w:basedOn w:val="TableNormal"/>
    <w:next w:val="LightList-Accent1"/>
    <w:uiPriority w:val="61"/>
    <w:semiHidden/>
    <w:unhideWhenUsed/>
    <w:rsid w:val="008F7DB9"/>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781">
    <w:name w:val="Table Grid 781"/>
    <w:basedOn w:val="TableNormal"/>
    <w:next w:val="TableGrid7"/>
    <w:uiPriority w:val="99"/>
    <w:semiHidden/>
    <w:unhideWhenUsed/>
    <w:rsid w:val="008F7DB9"/>
    <w:rPr>
      <w:rFonts w:ascii="Calibri" w:eastAsia="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91">
    <w:name w:val="Colorful Grid - Accent 191"/>
    <w:basedOn w:val="TableNormal"/>
    <w:next w:val="ColorfulGrid-Accent1"/>
    <w:uiPriority w:val="73"/>
    <w:semiHidden/>
    <w:unhideWhenUsed/>
    <w:rsid w:val="008F7DB9"/>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LightList-Accent5101">
    <w:name w:val="Light List - Accent 5101"/>
    <w:basedOn w:val="TableNormal"/>
    <w:next w:val="LightList-Accent5"/>
    <w:uiPriority w:val="61"/>
    <w:semiHidden/>
    <w:unhideWhenUsed/>
    <w:rsid w:val="008F7DB9"/>
    <w:rPr>
      <w:rFonts w:ascii="Calibri" w:eastAsia="Calibri" w:hAnsi="Calibri"/>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Simple381">
    <w:name w:val="Table Simple 381"/>
    <w:basedOn w:val="TableNormal"/>
    <w:next w:val="TableSimple3"/>
    <w:uiPriority w:val="99"/>
    <w:semiHidden/>
    <w:unhideWhenUsed/>
    <w:rsid w:val="008F7DB9"/>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81">
    <w:name w:val="Table Grid 581"/>
    <w:basedOn w:val="TableNormal"/>
    <w:next w:val="TableGrid5"/>
    <w:uiPriority w:val="99"/>
    <w:semiHidden/>
    <w:unhideWhenUsed/>
    <w:rsid w:val="008F7DB9"/>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81">
    <w:name w:val="Table Grid 381"/>
    <w:basedOn w:val="TableNormal"/>
    <w:next w:val="TableGrid3"/>
    <w:uiPriority w:val="99"/>
    <w:semiHidden/>
    <w:unhideWhenUsed/>
    <w:rsid w:val="008F7DB9"/>
    <w:rPr>
      <w:rFonts w:ascii="Calibri" w:eastAsia="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810">
    <w:name w:val="Table Grid 181"/>
    <w:basedOn w:val="TableNormal"/>
    <w:next w:val="TableGrid10"/>
    <w:uiPriority w:val="99"/>
    <w:semiHidden/>
    <w:unhideWhenUsed/>
    <w:rsid w:val="008F7DB9"/>
    <w:rPr>
      <w:rFonts w:ascii="Calibri" w:eastAsia="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81">
    <w:name w:val="Table Columns 581"/>
    <w:basedOn w:val="TableNormal"/>
    <w:next w:val="TableColumns5"/>
    <w:uiPriority w:val="99"/>
    <w:semiHidden/>
    <w:unhideWhenUsed/>
    <w:rsid w:val="008F7DB9"/>
    <w:rPr>
      <w:rFonts w:ascii="Calibri" w:eastAsia="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Light1">
    <w:name w:val="Table Grid Light1"/>
    <w:basedOn w:val="TableNormal"/>
    <w:uiPriority w:val="40"/>
    <w:rsid w:val="00352DBB"/>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4">
    <w:name w:val="Основной текст"/>
    <w:basedOn w:val="Normal"/>
    <w:rsid w:val="00352DBB"/>
    <w:pPr>
      <w:widowControl w:val="0"/>
      <w:shd w:val="clear" w:color="auto" w:fill="FFFFFF"/>
      <w:spacing w:before="0" w:line="322" w:lineRule="exact"/>
      <w:ind w:hanging="440"/>
      <w:contextualSpacing w:val="0"/>
      <w:jc w:val="right"/>
    </w:pPr>
    <w:rPr>
      <w:rFonts w:ascii="Sylfaen" w:hAnsi="Sylfaen" w:cs="Sylfaen"/>
      <w:b w:val="0"/>
      <w:spacing w:val="20"/>
      <w:w w:val="80"/>
      <w:sz w:val="20"/>
      <w:szCs w:val="20"/>
      <w:lang w:val="en-US" w:eastAsia="en-US"/>
    </w:rPr>
  </w:style>
  <w:style w:type="table" w:customStyle="1" w:styleId="GridTable4-Accent52">
    <w:name w:val="Grid Table 4 - Accent 52"/>
    <w:basedOn w:val="TableNormal"/>
    <w:uiPriority w:val="49"/>
    <w:rsid w:val="00352DBB"/>
    <w:rPr>
      <w:rFonts w:asciiTheme="minorHAnsi" w:eastAsiaTheme="minorHAnsi"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3Deffects381">
    <w:name w:val="Table 3D effects 381"/>
    <w:basedOn w:val="TableNormal"/>
    <w:next w:val="Table3Deffects3"/>
    <w:uiPriority w:val="99"/>
    <w:semiHidden/>
    <w:unhideWhenUsed/>
    <w:rsid w:val="00352DBB"/>
    <w:rPr>
      <w:rFonts w:ascii="Calibri" w:eastAsia="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1531">
    <w:name w:val="No List1531"/>
    <w:next w:val="NoList"/>
    <w:uiPriority w:val="99"/>
    <w:semiHidden/>
    <w:unhideWhenUsed/>
    <w:rsid w:val="00352DBB"/>
  </w:style>
  <w:style w:type="table" w:customStyle="1" w:styleId="TableGrid1231">
    <w:name w:val="Table Grid1231"/>
    <w:basedOn w:val="TableNormal"/>
    <w:next w:val="TableGrid"/>
    <w:uiPriority w:val="39"/>
    <w:rsid w:val="00352DBB"/>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57107">
      <w:bodyDiv w:val="1"/>
      <w:marLeft w:val="0"/>
      <w:marRight w:val="0"/>
      <w:marTop w:val="0"/>
      <w:marBottom w:val="0"/>
      <w:divBdr>
        <w:top w:val="none" w:sz="0" w:space="0" w:color="auto"/>
        <w:left w:val="none" w:sz="0" w:space="0" w:color="auto"/>
        <w:bottom w:val="none" w:sz="0" w:space="0" w:color="auto"/>
        <w:right w:val="none" w:sz="0" w:space="0" w:color="auto"/>
      </w:divBdr>
    </w:div>
    <w:div w:id="69543490">
      <w:bodyDiv w:val="1"/>
      <w:marLeft w:val="0"/>
      <w:marRight w:val="0"/>
      <w:marTop w:val="0"/>
      <w:marBottom w:val="0"/>
      <w:divBdr>
        <w:top w:val="none" w:sz="0" w:space="0" w:color="auto"/>
        <w:left w:val="none" w:sz="0" w:space="0" w:color="auto"/>
        <w:bottom w:val="none" w:sz="0" w:space="0" w:color="auto"/>
        <w:right w:val="none" w:sz="0" w:space="0" w:color="auto"/>
      </w:divBdr>
    </w:div>
    <w:div w:id="97062946">
      <w:bodyDiv w:val="1"/>
      <w:marLeft w:val="0"/>
      <w:marRight w:val="0"/>
      <w:marTop w:val="0"/>
      <w:marBottom w:val="0"/>
      <w:divBdr>
        <w:top w:val="none" w:sz="0" w:space="0" w:color="auto"/>
        <w:left w:val="none" w:sz="0" w:space="0" w:color="auto"/>
        <w:bottom w:val="none" w:sz="0" w:space="0" w:color="auto"/>
        <w:right w:val="none" w:sz="0" w:space="0" w:color="auto"/>
      </w:divBdr>
    </w:div>
    <w:div w:id="98794014">
      <w:bodyDiv w:val="1"/>
      <w:marLeft w:val="0"/>
      <w:marRight w:val="0"/>
      <w:marTop w:val="0"/>
      <w:marBottom w:val="0"/>
      <w:divBdr>
        <w:top w:val="none" w:sz="0" w:space="0" w:color="auto"/>
        <w:left w:val="none" w:sz="0" w:space="0" w:color="auto"/>
        <w:bottom w:val="none" w:sz="0" w:space="0" w:color="auto"/>
        <w:right w:val="none" w:sz="0" w:space="0" w:color="auto"/>
      </w:divBdr>
    </w:div>
    <w:div w:id="120733560">
      <w:bodyDiv w:val="1"/>
      <w:marLeft w:val="0"/>
      <w:marRight w:val="0"/>
      <w:marTop w:val="0"/>
      <w:marBottom w:val="0"/>
      <w:divBdr>
        <w:top w:val="none" w:sz="0" w:space="0" w:color="auto"/>
        <w:left w:val="none" w:sz="0" w:space="0" w:color="auto"/>
        <w:bottom w:val="none" w:sz="0" w:space="0" w:color="auto"/>
        <w:right w:val="none" w:sz="0" w:space="0" w:color="auto"/>
      </w:divBdr>
    </w:div>
    <w:div w:id="145555845">
      <w:bodyDiv w:val="1"/>
      <w:marLeft w:val="0"/>
      <w:marRight w:val="0"/>
      <w:marTop w:val="0"/>
      <w:marBottom w:val="0"/>
      <w:divBdr>
        <w:top w:val="none" w:sz="0" w:space="0" w:color="auto"/>
        <w:left w:val="none" w:sz="0" w:space="0" w:color="auto"/>
        <w:bottom w:val="none" w:sz="0" w:space="0" w:color="auto"/>
        <w:right w:val="none" w:sz="0" w:space="0" w:color="auto"/>
      </w:divBdr>
    </w:div>
    <w:div w:id="243032163">
      <w:bodyDiv w:val="1"/>
      <w:marLeft w:val="0"/>
      <w:marRight w:val="0"/>
      <w:marTop w:val="0"/>
      <w:marBottom w:val="0"/>
      <w:divBdr>
        <w:top w:val="none" w:sz="0" w:space="0" w:color="auto"/>
        <w:left w:val="none" w:sz="0" w:space="0" w:color="auto"/>
        <w:bottom w:val="none" w:sz="0" w:space="0" w:color="auto"/>
        <w:right w:val="none" w:sz="0" w:space="0" w:color="auto"/>
      </w:divBdr>
    </w:div>
    <w:div w:id="259916422">
      <w:bodyDiv w:val="1"/>
      <w:marLeft w:val="0"/>
      <w:marRight w:val="0"/>
      <w:marTop w:val="0"/>
      <w:marBottom w:val="0"/>
      <w:divBdr>
        <w:top w:val="none" w:sz="0" w:space="0" w:color="auto"/>
        <w:left w:val="none" w:sz="0" w:space="0" w:color="auto"/>
        <w:bottom w:val="none" w:sz="0" w:space="0" w:color="auto"/>
        <w:right w:val="none" w:sz="0" w:space="0" w:color="auto"/>
      </w:divBdr>
    </w:div>
    <w:div w:id="262345488">
      <w:bodyDiv w:val="1"/>
      <w:marLeft w:val="0"/>
      <w:marRight w:val="0"/>
      <w:marTop w:val="0"/>
      <w:marBottom w:val="0"/>
      <w:divBdr>
        <w:top w:val="none" w:sz="0" w:space="0" w:color="auto"/>
        <w:left w:val="none" w:sz="0" w:space="0" w:color="auto"/>
        <w:bottom w:val="none" w:sz="0" w:space="0" w:color="auto"/>
        <w:right w:val="none" w:sz="0" w:space="0" w:color="auto"/>
      </w:divBdr>
    </w:div>
    <w:div w:id="272060592">
      <w:bodyDiv w:val="1"/>
      <w:marLeft w:val="0"/>
      <w:marRight w:val="0"/>
      <w:marTop w:val="0"/>
      <w:marBottom w:val="0"/>
      <w:divBdr>
        <w:top w:val="none" w:sz="0" w:space="0" w:color="auto"/>
        <w:left w:val="none" w:sz="0" w:space="0" w:color="auto"/>
        <w:bottom w:val="none" w:sz="0" w:space="0" w:color="auto"/>
        <w:right w:val="none" w:sz="0" w:space="0" w:color="auto"/>
      </w:divBdr>
    </w:div>
    <w:div w:id="279338549">
      <w:bodyDiv w:val="1"/>
      <w:marLeft w:val="0"/>
      <w:marRight w:val="0"/>
      <w:marTop w:val="0"/>
      <w:marBottom w:val="0"/>
      <w:divBdr>
        <w:top w:val="none" w:sz="0" w:space="0" w:color="auto"/>
        <w:left w:val="none" w:sz="0" w:space="0" w:color="auto"/>
        <w:bottom w:val="none" w:sz="0" w:space="0" w:color="auto"/>
        <w:right w:val="none" w:sz="0" w:space="0" w:color="auto"/>
      </w:divBdr>
    </w:div>
    <w:div w:id="300502754">
      <w:bodyDiv w:val="1"/>
      <w:marLeft w:val="0"/>
      <w:marRight w:val="0"/>
      <w:marTop w:val="0"/>
      <w:marBottom w:val="0"/>
      <w:divBdr>
        <w:top w:val="none" w:sz="0" w:space="0" w:color="auto"/>
        <w:left w:val="none" w:sz="0" w:space="0" w:color="auto"/>
        <w:bottom w:val="none" w:sz="0" w:space="0" w:color="auto"/>
        <w:right w:val="none" w:sz="0" w:space="0" w:color="auto"/>
      </w:divBdr>
    </w:div>
    <w:div w:id="313533215">
      <w:bodyDiv w:val="1"/>
      <w:marLeft w:val="0"/>
      <w:marRight w:val="0"/>
      <w:marTop w:val="0"/>
      <w:marBottom w:val="0"/>
      <w:divBdr>
        <w:top w:val="none" w:sz="0" w:space="0" w:color="auto"/>
        <w:left w:val="none" w:sz="0" w:space="0" w:color="auto"/>
        <w:bottom w:val="none" w:sz="0" w:space="0" w:color="auto"/>
        <w:right w:val="none" w:sz="0" w:space="0" w:color="auto"/>
      </w:divBdr>
    </w:div>
    <w:div w:id="336809432">
      <w:bodyDiv w:val="1"/>
      <w:marLeft w:val="0"/>
      <w:marRight w:val="0"/>
      <w:marTop w:val="0"/>
      <w:marBottom w:val="0"/>
      <w:divBdr>
        <w:top w:val="none" w:sz="0" w:space="0" w:color="auto"/>
        <w:left w:val="none" w:sz="0" w:space="0" w:color="auto"/>
        <w:bottom w:val="none" w:sz="0" w:space="0" w:color="auto"/>
        <w:right w:val="none" w:sz="0" w:space="0" w:color="auto"/>
      </w:divBdr>
    </w:div>
    <w:div w:id="338898078">
      <w:bodyDiv w:val="1"/>
      <w:marLeft w:val="0"/>
      <w:marRight w:val="0"/>
      <w:marTop w:val="0"/>
      <w:marBottom w:val="0"/>
      <w:divBdr>
        <w:top w:val="none" w:sz="0" w:space="0" w:color="auto"/>
        <w:left w:val="none" w:sz="0" w:space="0" w:color="auto"/>
        <w:bottom w:val="none" w:sz="0" w:space="0" w:color="auto"/>
        <w:right w:val="none" w:sz="0" w:space="0" w:color="auto"/>
      </w:divBdr>
    </w:div>
    <w:div w:id="363482288">
      <w:bodyDiv w:val="1"/>
      <w:marLeft w:val="0"/>
      <w:marRight w:val="0"/>
      <w:marTop w:val="0"/>
      <w:marBottom w:val="0"/>
      <w:divBdr>
        <w:top w:val="none" w:sz="0" w:space="0" w:color="auto"/>
        <w:left w:val="none" w:sz="0" w:space="0" w:color="auto"/>
        <w:bottom w:val="none" w:sz="0" w:space="0" w:color="auto"/>
        <w:right w:val="none" w:sz="0" w:space="0" w:color="auto"/>
      </w:divBdr>
    </w:div>
    <w:div w:id="495145514">
      <w:bodyDiv w:val="1"/>
      <w:marLeft w:val="0"/>
      <w:marRight w:val="0"/>
      <w:marTop w:val="0"/>
      <w:marBottom w:val="0"/>
      <w:divBdr>
        <w:top w:val="none" w:sz="0" w:space="0" w:color="auto"/>
        <w:left w:val="none" w:sz="0" w:space="0" w:color="auto"/>
        <w:bottom w:val="none" w:sz="0" w:space="0" w:color="auto"/>
        <w:right w:val="none" w:sz="0" w:space="0" w:color="auto"/>
      </w:divBdr>
    </w:div>
    <w:div w:id="545262789">
      <w:bodyDiv w:val="1"/>
      <w:marLeft w:val="0"/>
      <w:marRight w:val="0"/>
      <w:marTop w:val="0"/>
      <w:marBottom w:val="0"/>
      <w:divBdr>
        <w:top w:val="none" w:sz="0" w:space="0" w:color="auto"/>
        <w:left w:val="none" w:sz="0" w:space="0" w:color="auto"/>
        <w:bottom w:val="none" w:sz="0" w:space="0" w:color="auto"/>
        <w:right w:val="none" w:sz="0" w:space="0" w:color="auto"/>
      </w:divBdr>
    </w:div>
    <w:div w:id="607200544">
      <w:bodyDiv w:val="1"/>
      <w:marLeft w:val="0"/>
      <w:marRight w:val="0"/>
      <w:marTop w:val="0"/>
      <w:marBottom w:val="0"/>
      <w:divBdr>
        <w:top w:val="none" w:sz="0" w:space="0" w:color="auto"/>
        <w:left w:val="none" w:sz="0" w:space="0" w:color="auto"/>
        <w:bottom w:val="none" w:sz="0" w:space="0" w:color="auto"/>
        <w:right w:val="none" w:sz="0" w:space="0" w:color="auto"/>
      </w:divBdr>
    </w:div>
    <w:div w:id="642002085">
      <w:bodyDiv w:val="1"/>
      <w:marLeft w:val="0"/>
      <w:marRight w:val="0"/>
      <w:marTop w:val="0"/>
      <w:marBottom w:val="0"/>
      <w:divBdr>
        <w:top w:val="none" w:sz="0" w:space="0" w:color="auto"/>
        <w:left w:val="none" w:sz="0" w:space="0" w:color="auto"/>
        <w:bottom w:val="none" w:sz="0" w:space="0" w:color="auto"/>
        <w:right w:val="none" w:sz="0" w:space="0" w:color="auto"/>
      </w:divBdr>
    </w:div>
    <w:div w:id="661465204">
      <w:bodyDiv w:val="1"/>
      <w:marLeft w:val="0"/>
      <w:marRight w:val="0"/>
      <w:marTop w:val="0"/>
      <w:marBottom w:val="0"/>
      <w:divBdr>
        <w:top w:val="none" w:sz="0" w:space="0" w:color="auto"/>
        <w:left w:val="none" w:sz="0" w:space="0" w:color="auto"/>
        <w:bottom w:val="none" w:sz="0" w:space="0" w:color="auto"/>
        <w:right w:val="none" w:sz="0" w:space="0" w:color="auto"/>
      </w:divBdr>
    </w:div>
    <w:div w:id="672148981">
      <w:bodyDiv w:val="1"/>
      <w:marLeft w:val="0"/>
      <w:marRight w:val="0"/>
      <w:marTop w:val="0"/>
      <w:marBottom w:val="0"/>
      <w:divBdr>
        <w:top w:val="none" w:sz="0" w:space="0" w:color="auto"/>
        <w:left w:val="none" w:sz="0" w:space="0" w:color="auto"/>
        <w:bottom w:val="none" w:sz="0" w:space="0" w:color="auto"/>
        <w:right w:val="none" w:sz="0" w:space="0" w:color="auto"/>
      </w:divBdr>
    </w:div>
    <w:div w:id="685063752">
      <w:bodyDiv w:val="1"/>
      <w:marLeft w:val="0"/>
      <w:marRight w:val="0"/>
      <w:marTop w:val="0"/>
      <w:marBottom w:val="0"/>
      <w:divBdr>
        <w:top w:val="none" w:sz="0" w:space="0" w:color="auto"/>
        <w:left w:val="none" w:sz="0" w:space="0" w:color="auto"/>
        <w:bottom w:val="none" w:sz="0" w:space="0" w:color="auto"/>
        <w:right w:val="none" w:sz="0" w:space="0" w:color="auto"/>
      </w:divBdr>
    </w:div>
    <w:div w:id="713309798">
      <w:bodyDiv w:val="1"/>
      <w:marLeft w:val="0"/>
      <w:marRight w:val="0"/>
      <w:marTop w:val="0"/>
      <w:marBottom w:val="0"/>
      <w:divBdr>
        <w:top w:val="none" w:sz="0" w:space="0" w:color="auto"/>
        <w:left w:val="none" w:sz="0" w:space="0" w:color="auto"/>
        <w:bottom w:val="none" w:sz="0" w:space="0" w:color="auto"/>
        <w:right w:val="none" w:sz="0" w:space="0" w:color="auto"/>
      </w:divBdr>
    </w:div>
    <w:div w:id="716927086">
      <w:bodyDiv w:val="1"/>
      <w:marLeft w:val="0"/>
      <w:marRight w:val="0"/>
      <w:marTop w:val="0"/>
      <w:marBottom w:val="0"/>
      <w:divBdr>
        <w:top w:val="none" w:sz="0" w:space="0" w:color="auto"/>
        <w:left w:val="none" w:sz="0" w:space="0" w:color="auto"/>
        <w:bottom w:val="none" w:sz="0" w:space="0" w:color="auto"/>
        <w:right w:val="none" w:sz="0" w:space="0" w:color="auto"/>
      </w:divBdr>
    </w:div>
    <w:div w:id="723942746">
      <w:bodyDiv w:val="1"/>
      <w:marLeft w:val="0"/>
      <w:marRight w:val="0"/>
      <w:marTop w:val="0"/>
      <w:marBottom w:val="0"/>
      <w:divBdr>
        <w:top w:val="none" w:sz="0" w:space="0" w:color="auto"/>
        <w:left w:val="none" w:sz="0" w:space="0" w:color="auto"/>
        <w:bottom w:val="none" w:sz="0" w:space="0" w:color="auto"/>
        <w:right w:val="none" w:sz="0" w:space="0" w:color="auto"/>
      </w:divBdr>
    </w:div>
    <w:div w:id="726100770">
      <w:bodyDiv w:val="1"/>
      <w:marLeft w:val="0"/>
      <w:marRight w:val="0"/>
      <w:marTop w:val="0"/>
      <w:marBottom w:val="0"/>
      <w:divBdr>
        <w:top w:val="none" w:sz="0" w:space="0" w:color="auto"/>
        <w:left w:val="none" w:sz="0" w:space="0" w:color="auto"/>
        <w:bottom w:val="none" w:sz="0" w:space="0" w:color="auto"/>
        <w:right w:val="none" w:sz="0" w:space="0" w:color="auto"/>
      </w:divBdr>
    </w:div>
    <w:div w:id="730081290">
      <w:bodyDiv w:val="1"/>
      <w:marLeft w:val="0"/>
      <w:marRight w:val="0"/>
      <w:marTop w:val="0"/>
      <w:marBottom w:val="0"/>
      <w:divBdr>
        <w:top w:val="none" w:sz="0" w:space="0" w:color="auto"/>
        <w:left w:val="none" w:sz="0" w:space="0" w:color="auto"/>
        <w:bottom w:val="none" w:sz="0" w:space="0" w:color="auto"/>
        <w:right w:val="none" w:sz="0" w:space="0" w:color="auto"/>
      </w:divBdr>
    </w:div>
    <w:div w:id="732123155">
      <w:bodyDiv w:val="1"/>
      <w:marLeft w:val="0"/>
      <w:marRight w:val="0"/>
      <w:marTop w:val="0"/>
      <w:marBottom w:val="0"/>
      <w:divBdr>
        <w:top w:val="none" w:sz="0" w:space="0" w:color="auto"/>
        <w:left w:val="none" w:sz="0" w:space="0" w:color="auto"/>
        <w:bottom w:val="none" w:sz="0" w:space="0" w:color="auto"/>
        <w:right w:val="none" w:sz="0" w:space="0" w:color="auto"/>
      </w:divBdr>
    </w:div>
    <w:div w:id="734619232">
      <w:bodyDiv w:val="1"/>
      <w:marLeft w:val="0"/>
      <w:marRight w:val="0"/>
      <w:marTop w:val="0"/>
      <w:marBottom w:val="0"/>
      <w:divBdr>
        <w:top w:val="none" w:sz="0" w:space="0" w:color="auto"/>
        <w:left w:val="none" w:sz="0" w:space="0" w:color="auto"/>
        <w:bottom w:val="none" w:sz="0" w:space="0" w:color="auto"/>
        <w:right w:val="none" w:sz="0" w:space="0" w:color="auto"/>
      </w:divBdr>
    </w:div>
    <w:div w:id="736587001">
      <w:bodyDiv w:val="1"/>
      <w:marLeft w:val="0"/>
      <w:marRight w:val="0"/>
      <w:marTop w:val="0"/>
      <w:marBottom w:val="0"/>
      <w:divBdr>
        <w:top w:val="none" w:sz="0" w:space="0" w:color="auto"/>
        <w:left w:val="none" w:sz="0" w:space="0" w:color="auto"/>
        <w:bottom w:val="none" w:sz="0" w:space="0" w:color="auto"/>
        <w:right w:val="none" w:sz="0" w:space="0" w:color="auto"/>
      </w:divBdr>
    </w:div>
    <w:div w:id="749352696">
      <w:bodyDiv w:val="1"/>
      <w:marLeft w:val="0"/>
      <w:marRight w:val="0"/>
      <w:marTop w:val="0"/>
      <w:marBottom w:val="0"/>
      <w:divBdr>
        <w:top w:val="none" w:sz="0" w:space="0" w:color="auto"/>
        <w:left w:val="none" w:sz="0" w:space="0" w:color="auto"/>
        <w:bottom w:val="none" w:sz="0" w:space="0" w:color="auto"/>
        <w:right w:val="none" w:sz="0" w:space="0" w:color="auto"/>
      </w:divBdr>
    </w:div>
    <w:div w:id="768082022">
      <w:bodyDiv w:val="1"/>
      <w:marLeft w:val="0"/>
      <w:marRight w:val="0"/>
      <w:marTop w:val="0"/>
      <w:marBottom w:val="0"/>
      <w:divBdr>
        <w:top w:val="none" w:sz="0" w:space="0" w:color="auto"/>
        <w:left w:val="none" w:sz="0" w:space="0" w:color="auto"/>
        <w:bottom w:val="none" w:sz="0" w:space="0" w:color="auto"/>
        <w:right w:val="none" w:sz="0" w:space="0" w:color="auto"/>
      </w:divBdr>
    </w:div>
    <w:div w:id="798456811">
      <w:bodyDiv w:val="1"/>
      <w:marLeft w:val="0"/>
      <w:marRight w:val="0"/>
      <w:marTop w:val="0"/>
      <w:marBottom w:val="0"/>
      <w:divBdr>
        <w:top w:val="none" w:sz="0" w:space="0" w:color="auto"/>
        <w:left w:val="none" w:sz="0" w:space="0" w:color="auto"/>
        <w:bottom w:val="none" w:sz="0" w:space="0" w:color="auto"/>
        <w:right w:val="none" w:sz="0" w:space="0" w:color="auto"/>
      </w:divBdr>
    </w:div>
    <w:div w:id="799693678">
      <w:bodyDiv w:val="1"/>
      <w:marLeft w:val="0"/>
      <w:marRight w:val="0"/>
      <w:marTop w:val="0"/>
      <w:marBottom w:val="0"/>
      <w:divBdr>
        <w:top w:val="none" w:sz="0" w:space="0" w:color="auto"/>
        <w:left w:val="none" w:sz="0" w:space="0" w:color="auto"/>
        <w:bottom w:val="none" w:sz="0" w:space="0" w:color="auto"/>
        <w:right w:val="none" w:sz="0" w:space="0" w:color="auto"/>
      </w:divBdr>
    </w:div>
    <w:div w:id="803541761">
      <w:bodyDiv w:val="1"/>
      <w:marLeft w:val="0"/>
      <w:marRight w:val="0"/>
      <w:marTop w:val="0"/>
      <w:marBottom w:val="0"/>
      <w:divBdr>
        <w:top w:val="none" w:sz="0" w:space="0" w:color="auto"/>
        <w:left w:val="none" w:sz="0" w:space="0" w:color="auto"/>
        <w:bottom w:val="none" w:sz="0" w:space="0" w:color="auto"/>
        <w:right w:val="none" w:sz="0" w:space="0" w:color="auto"/>
      </w:divBdr>
    </w:div>
    <w:div w:id="834997167">
      <w:bodyDiv w:val="1"/>
      <w:marLeft w:val="0"/>
      <w:marRight w:val="0"/>
      <w:marTop w:val="0"/>
      <w:marBottom w:val="0"/>
      <w:divBdr>
        <w:top w:val="none" w:sz="0" w:space="0" w:color="auto"/>
        <w:left w:val="none" w:sz="0" w:space="0" w:color="auto"/>
        <w:bottom w:val="none" w:sz="0" w:space="0" w:color="auto"/>
        <w:right w:val="none" w:sz="0" w:space="0" w:color="auto"/>
      </w:divBdr>
    </w:div>
    <w:div w:id="837118536">
      <w:bodyDiv w:val="1"/>
      <w:marLeft w:val="0"/>
      <w:marRight w:val="0"/>
      <w:marTop w:val="0"/>
      <w:marBottom w:val="0"/>
      <w:divBdr>
        <w:top w:val="none" w:sz="0" w:space="0" w:color="auto"/>
        <w:left w:val="none" w:sz="0" w:space="0" w:color="auto"/>
        <w:bottom w:val="none" w:sz="0" w:space="0" w:color="auto"/>
        <w:right w:val="none" w:sz="0" w:space="0" w:color="auto"/>
      </w:divBdr>
    </w:div>
    <w:div w:id="837840740">
      <w:bodyDiv w:val="1"/>
      <w:marLeft w:val="0"/>
      <w:marRight w:val="0"/>
      <w:marTop w:val="0"/>
      <w:marBottom w:val="0"/>
      <w:divBdr>
        <w:top w:val="none" w:sz="0" w:space="0" w:color="auto"/>
        <w:left w:val="none" w:sz="0" w:space="0" w:color="auto"/>
        <w:bottom w:val="none" w:sz="0" w:space="0" w:color="auto"/>
        <w:right w:val="none" w:sz="0" w:space="0" w:color="auto"/>
      </w:divBdr>
    </w:div>
    <w:div w:id="860893093">
      <w:bodyDiv w:val="1"/>
      <w:marLeft w:val="0"/>
      <w:marRight w:val="0"/>
      <w:marTop w:val="0"/>
      <w:marBottom w:val="0"/>
      <w:divBdr>
        <w:top w:val="none" w:sz="0" w:space="0" w:color="auto"/>
        <w:left w:val="none" w:sz="0" w:space="0" w:color="auto"/>
        <w:bottom w:val="none" w:sz="0" w:space="0" w:color="auto"/>
        <w:right w:val="none" w:sz="0" w:space="0" w:color="auto"/>
      </w:divBdr>
    </w:div>
    <w:div w:id="861821522">
      <w:bodyDiv w:val="1"/>
      <w:marLeft w:val="0"/>
      <w:marRight w:val="0"/>
      <w:marTop w:val="0"/>
      <w:marBottom w:val="0"/>
      <w:divBdr>
        <w:top w:val="none" w:sz="0" w:space="0" w:color="auto"/>
        <w:left w:val="none" w:sz="0" w:space="0" w:color="auto"/>
        <w:bottom w:val="none" w:sz="0" w:space="0" w:color="auto"/>
        <w:right w:val="none" w:sz="0" w:space="0" w:color="auto"/>
      </w:divBdr>
    </w:div>
    <w:div w:id="865677390">
      <w:bodyDiv w:val="1"/>
      <w:marLeft w:val="0"/>
      <w:marRight w:val="0"/>
      <w:marTop w:val="0"/>
      <w:marBottom w:val="0"/>
      <w:divBdr>
        <w:top w:val="none" w:sz="0" w:space="0" w:color="auto"/>
        <w:left w:val="none" w:sz="0" w:space="0" w:color="auto"/>
        <w:bottom w:val="none" w:sz="0" w:space="0" w:color="auto"/>
        <w:right w:val="none" w:sz="0" w:space="0" w:color="auto"/>
      </w:divBdr>
    </w:div>
    <w:div w:id="868225871">
      <w:bodyDiv w:val="1"/>
      <w:marLeft w:val="0"/>
      <w:marRight w:val="0"/>
      <w:marTop w:val="0"/>
      <w:marBottom w:val="0"/>
      <w:divBdr>
        <w:top w:val="none" w:sz="0" w:space="0" w:color="auto"/>
        <w:left w:val="none" w:sz="0" w:space="0" w:color="auto"/>
        <w:bottom w:val="none" w:sz="0" w:space="0" w:color="auto"/>
        <w:right w:val="none" w:sz="0" w:space="0" w:color="auto"/>
      </w:divBdr>
    </w:div>
    <w:div w:id="882208889">
      <w:bodyDiv w:val="1"/>
      <w:marLeft w:val="0"/>
      <w:marRight w:val="0"/>
      <w:marTop w:val="0"/>
      <w:marBottom w:val="0"/>
      <w:divBdr>
        <w:top w:val="none" w:sz="0" w:space="0" w:color="auto"/>
        <w:left w:val="none" w:sz="0" w:space="0" w:color="auto"/>
        <w:bottom w:val="none" w:sz="0" w:space="0" w:color="auto"/>
        <w:right w:val="none" w:sz="0" w:space="0" w:color="auto"/>
      </w:divBdr>
    </w:div>
    <w:div w:id="897057614">
      <w:bodyDiv w:val="1"/>
      <w:marLeft w:val="0"/>
      <w:marRight w:val="0"/>
      <w:marTop w:val="0"/>
      <w:marBottom w:val="0"/>
      <w:divBdr>
        <w:top w:val="none" w:sz="0" w:space="0" w:color="auto"/>
        <w:left w:val="none" w:sz="0" w:space="0" w:color="auto"/>
        <w:bottom w:val="none" w:sz="0" w:space="0" w:color="auto"/>
        <w:right w:val="none" w:sz="0" w:space="0" w:color="auto"/>
      </w:divBdr>
    </w:div>
    <w:div w:id="898171275">
      <w:bodyDiv w:val="1"/>
      <w:marLeft w:val="0"/>
      <w:marRight w:val="0"/>
      <w:marTop w:val="0"/>
      <w:marBottom w:val="0"/>
      <w:divBdr>
        <w:top w:val="none" w:sz="0" w:space="0" w:color="auto"/>
        <w:left w:val="none" w:sz="0" w:space="0" w:color="auto"/>
        <w:bottom w:val="none" w:sz="0" w:space="0" w:color="auto"/>
        <w:right w:val="none" w:sz="0" w:space="0" w:color="auto"/>
      </w:divBdr>
    </w:div>
    <w:div w:id="970793711">
      <w:bodyDiv w:val="1"/>
      <w:marLeft w:val="0"/>
      <w:marRight w:val="0"/>
      <w:marTop w:val="0"/>
      <w:marBottom w:val="0"/>
      <w:divBdr>
        <w:top w:val="none" w:sz="0" w:space="0" w:color="auto"/>
        <w:left w:val="none" w:sz="0" w:space="0" w:color="auto"/>
        <w:bottom w:val="none" w:sz="0" w:space="0" w:color="auto"/>
        <w:right w:val="none" w:sz="0" w:space="0" w:color="auto"/>
      </w:divBdr>
    </w:div>
    <w:div w:id="972516997">
      <w:bodyDiv w:val="1"/>
      <w:marLeft w:val="0"/>
      <w:marRight w:val="0"/>
      <w:marTop w:val="0"/>
      <w:marBottom w:val="0"/>
      <w:divBdr>
        <w:top w:val="none" w:sz="0" w:space="0" w:color="auto"/>
        <w:left w:val="none" w:sz="0" w:space="0" w:color="auto"/>
        <w:bottom w:val="none" w:sz="0" w:space="0" w:color="auto"/>
        <w:right w:val="none" w:sz="0" w:space="0" w:color="auto"/>
      </w:divBdr>
    </w:div>
    <w:div w:id="1012679722">
      <w:bodyDiv w:val="1"/>
      <w:marLeft w:val="0"/>
      <w:marRight w:val="0"/>
      <w:marTop w:val="0"/>
      <w:marBottom w:val="0"/>
      <w:divBdr>
        <w:top w:val="none" w:sz="0" w:space="0" w:color="auto"/>
        <w:left w:val="none" w:sz="0" w:space="0" w:color="auto"/>
        <w:bottom w:val="none" w:sz="0" w:space="0" w:color="auto"/>
        <w:right w:val="none" w:sz="0" w:space="0" w:color="auto"/>
      </w:divBdr>
    </w:div>
    <w:div w:id="1018190345">
      <w:bodyDiv w:val="1"/>
      <w:marLeft w:val="0"/>
      <w:marRight w:val="0"/>
      <w:marTop w:val="0"/>
      <w:marBottom w:val="0"/>
      <w:divBdr>
        <w:top w:val="none" w:sz="0" w:space="0" w:color="auto"/>
        <w:left w:val="none" w:sz="0" w:space="0" w:color="auto"/>
        <w:bottom w:val="none" w:sz="0" w:space="0" w:color="auto"/>
        <w:right w:val="none" w:sz="0" w:space="0" w:color="auto"/>
      </w:divBdr>
    </w:div>
    <w:div w:id="1084644819">
      <w:bodyDiv w:val="1"/>
      <w:marLeft w:val="0"/>
      <w:marRight w:val="0"/>
      <w:marTop w:val="0"/>
      <w:marBottom w:val="0"/>
      <w:divBdr>
        <w:top w:val="none" w:sz="0" w:space="0" w:color="auto"/>
        <w:left w:val="none" w:sz="0" w:space="0" w:color="auto"/>
        <w:bottom w:val="none" w:sz="0" w:space="0" w:color="auto"/>
        <w:right w:val="none" w:sz="0" w:space="0" w:color="auto"/>
      </w:divBdr>
    </w:div>
    <w:div w:id="1120607710">
      <w:bodyDiv w:val="1"/>
      <w:marLeft w:val="0"/>
      <w:marRight w:val="0"/>
      <w:marTop w:val="0"/>
      <w:marBottom w:val="0"/>
      <w:divBdr>
        <w:top w:val="none" w:sz="0" w:space="0" w:color="auto"/>
        <w:left w:val="none" w:sz="0" w:space="0" w:color="auto"/>
        <w:bottom w:val="none" w:sz="0" w:space="0" w:color="auto"/>
        <w:right w:val="none" w:sz="0" w:space="0" w:color="auto"/>
      </w:divBdr>
    </w:div>
    <w:div w:id="1134130242">
      <w:bodyDiv w:val="1"/>
      <w:marLeft w:val="0"/>
      <w:marRight w:val="0"/>
      <w:marTop w:val="0"/>
      <w:marBottom w:val="0"/>
      <w:divBdr>
        <w:top w:val="none" w:sz="0" w:space="0" w:color="auto"/>
        <w:left w:val="none" w:sz="0" w:space="0" w:color="auto"/>
        <w:bottom w:val="none" w:sz="0" w:space="0" w:color="auto"/>
        <w:right w:val="none" w:sz="0" w:space="0" w:color="auto"/>
      </w:divBdr>
    </w:div>
    <w:div w:id="1154759160">
      <w:bodyDiv w:val="1"/>
      <w:marLeft w:val="0"/>
      <w:marRight w:val="0"/>
      <w:marTop w:val="0"/>
      <w:marBottom w:val="0"/>
      <w:divBdr>
        <w:top w:val="none" w:sz="0" w:space="0" w:color="auto"/>
        <w:left w:val="none" w:sz="0" w:space="0" w:color="auto"/>
        <w:bottom w:val="none" w:sz="0" w:space="0" w:color="auto"/>
        <w:right w:val="none" w:sz="0" w:space="0" w:color="auto"/>
      </w:divBdr>
    </w:div>
    <w:div w:id="1161854222">
      <w:bodyDiv w:val="1"/>
      <w:marLeft w:val="0"/>
      <w:marRight w:val="0"/>
      <w:marTop w:val="0"/>
      <w:marBottom w:val="0"/>
      <w:divBdr>
        <w:top w:val="none" w:sz="0" w:space="0" w:color="auto"/>
        <w:left w:val="none" w:sz="0" w:space="0" w:color="auto"/>
        <w:bottom w:val="none" w:sz="0" w:space="0" w:color="auto"/>
        <w:right w:val="none" w:sz="0" w:space="0" w:color="auto"/>
      </w:divBdr>
    </w:div>
    <w:div w:id="1163545497">
      <w:bodyDiv w:val="1"/>
      <w:marLeft w:val="0"/>
      <w:marRight w:val="0"/>
      <w:marTop w:val="0"/>
      <w:marBottom w:val="0"/>
      <w:divBdr>
        <w:top w:val="none" w:sz="0" w:space="0" w:color="auto"/>
        <w:left w:val="none" w:sz="0" w:space="0" w:color="auto"/>
        <w:bottom w:val="none" w:sz="0" w:space="0" w:color="auto"/>
        <w:right w:val="none" w:sz="0" w:space="0" w:color="auto"/>
      </w:divBdr>
    </w:div>
    <w:div w:id="1169834707">
      <w:bodyDiv w:val="1"/>
      <w:marLeft w:val="0"/>
      <w:marRight w:val="0"/>
      <w:marTop w:val="0"/>
      <w:marBottom w:val="0"/>
      <w:divBdr>
        <w:top w:val="none" w:sz="0" w:space="0" w:color="auto"/>
        <w:left w:val="none" w:sz="0" w:space="0" w:color="auto"/>
        <w:bottom w:val="none" w:sz="0" w:space="0" w:color="auto"/>
        <w:right w:val="none" w:sz="0" w:space="0" w:color="auto"/>
      </w:divBdr>
    </w:div>
    <w:div w:id="1195776638">
      <w:bodyDiv w:val="1"/>
      <w:marLeft w:val="0"/>
      <w:marRight w:val="0"/>
      <w:marTop w:val="0"/>
      <w:marBottom w:val="0"/>
      <w:divBdr>
        <w:top w:val="none" w:sz="0" w:space="0" w:color="auto"/>
        <w:left w:val="none" w:sz="0" w:space="0" w:color="auto"/>
        <w:bottom w:val="none" w:sz="0" w:space="0" w:color="auto"/>
        <w:right w:val="none" w:sz="0" w:space="0" w:color="auto"/>
      </w:divBdr>
    </w:div>
    <w:div w:id="1222060243">
      <w:bodyDiv w:val="1"/>
      <w:marLeft w:val="0"/>
      <w:marRight w:val="0"/>
      <w:marTop w:val="0"/>
      <w:marBottom w:val="0"/>
      <w:divBdr>
        <w:top w:val="none" w:sz="0" w:space="0" w:color="auto"/>
        <w:left w:val="none" w:sz="0" w:space="0" w:color="auto"/>
        <w:bottom w:val="none" w:sz="0" w:space="0" w:color="auto"/>
        <w:right w:val="none" w:sz="0" w:space="0" w:color="auto"/>
      </w:divBdr>
    </w:div>
    <w:div w:id="1272861352">
      <w:bodyDiv w:val="1"/>
      <w:marLeft w:val="0"/>
      <w:marRight w:val="0"/>
      <w:marTop w:val="0"/>
      <w:marBottom w:val="0"/>
      <w:divBdr>
        <w:top w:val="none" w:sz="0" w:space="0" w:color="auto"/>
        <w:left w:val="none" w:sz="0" w:space="0" w:color="auto"/>
        <w:bottom w:val="none" w:sz="0" w:space="0" w:color="auto"/>
        <w:right w:val="none" w:sz="0" w:space="0" w:color="auto"/>
      </w:divBdr>
    </w:div>
    <w:div w:id="1309239260">
      <w:bodyDiv w:val="1"/>
      <w:marLeft w:val="0"/>
      <w:marRight w:val="0"/>
      <w:marTop w:val="0"/>
      <w:marBottom w:val="0"/>
      <w:divBdr>
        <w:top w:val="none" w:sz="0" w:space="0" w:color="auto"/>
        <w:left w:val="none" w:sz="0" w:space="0" w:color="auto"/>
        <w:bottom w:val="none" w:sz="0" w:space="0" w:color="auto"/>
        <w:right w:val="none" w:sz="0" w:space="0" w:color="auto"/>
      </w:divBdr>
    </w:div>
    <w:div w:id="1338272255">
      <w:bodyDiv w:val="1"/>
      <w:marLeft w:val="0"/>
      <w:marRight w:val="0"/>
      <w:marTop w:val="0"/>
      <w:marBottom w:val="0"/>
      <w:divBdr>
        <w:top w:val="none" w:sz="0" w:space="0" w:color="auto"/>
        <w:left w:val="none" w:sz="0" w:space="0" w:color="auto"/>
        <w:bottom w:val="none" w:sz="0" w:space="0" w:color="auto"/>
        <w:right w:val="none" w:sz="0" w:space="0" w:color="auto"/>
      </w:divBdr>
    </w:div>
    <w:div w:id="1374623251">
      <w:bodyDiv w:val="1"/>
      <w:marLeft w:val="0"/>
      <w:marRight w:val="0"/>
      <w:marTop w:val="0"/>
      <w:marBottom w:val="0"/>
      <w:divBdr>
        <w:top w:val="none" w:sz="0" w:space="0" w:color="auto"/>
        <w:left w:val="none" w:sz="0" w:space="0" w:color="auto"/>
        <w:bottom w:val="none" w:sz="0" w:space="0" w:color="auto"/>
        <w:right w:val="none" w:sz="0" w:space="0" w:color="auto"/>
      </w:divBdr>
    </w:div>
    <w:div w:id="1394505736">
      <w:bodyDiv w:val="1"/>
      <w:marLeft w:val="0"/>
      <w:marRight w:val="0"/>
      <w:marTop w:val="0"/>
      <w:marBottom w:val="0"/>
      <w:divBdr>
        <w:top w:val="none" w:sz="0" w:space="0" w:color="auto"/>
        <w:left w:val="none" w:sz="0" w:space="0" w:color="auto"/>
        <w:bottom w:val="none" w:sz="0" w:space="0" w:color="auto"/>
        <w:right w:val="none" w:sz="0" w:space="0" w:color="auto"/>
      </w:divBdr>
    </w:div>
    <w:div w:id="1402023537">
      <w:bodyDiv w:val="1"/>
      <w:marLeft w:val="0"/>
      <w:marRight w:val="0"/>
      <w:marTop w:val="0"/>
      <w:marBottom w:val="0"/>
      <w:divBdr>
        <w:top w:val="none" w:sz="0" w:space="0" w:color="auto"/>
        <w:left w:val="none" w:sz="0" w:space="0" w:color="auto"/>
        <w:bottom w:val="none" w:sz="0" w:space="0" w:color="auto"/>
        <w:right w:val="none" w:sz="0" w:space="0" w:color="auto"/>
      </w:divBdr>
    </w:div>
    <w:div w:id="1404796487">
      <w:bodyDiv w:val="1"/>
      <w:marLeft w:val="0"/>
      <w:marRight w:val="0"/>
      <w:marTop w:val="0"/>
      <w:marBottom w:val="0"/>
      <w:divBdr>
        <w:top w:val="none" w:sz="0" w:space="0" w:color="auto"/>
        <w:left w:val="none" w:sz="0" w:space="0" w:color="auto"/>
        <w:bottom w:val="none" w:sz="0" w:space="0" w:color="auto"/>
        <w:right w:val="none" w:sz="0" w:space="0" w:color="auto"/>
      </w:divBdr>
    </w:div>
    <w:div w:id="1425154574">
      <w:bodyDiv w:val="1"/>
      <w:marLeft w:val="0"/>
      <w:marRight w:val="0"/>
      <w:marTop w:val="0"/>
      <w:marBottom w:val="0"/>
      <w:divBdr>
        <w:top w:val="none" w:sz="0" w:space="0" w:color="auto"/>
        <w:left w:val="none" w:sz="0" w:space="0" w:color="auto"/>
        <w:bottom w:val="none" w:sz="0" w:space="0" w:color="auto"/>
        <w:right w:val="none" w:sz="0" w:space="0" w:color="auto"/>
      </w:divBdr>
    </w:div>
    <w:div w:id="1452361426">
      <w:bodyDiv w:val="1"/>
      <w:marLeft w:val="0"/>
      <w:marRight w:val="0"/>
      <w:marTop w:val="0"/>
      <w:marBottom w:val="0"/>
      <w:divBdr>
        <w:top w:val="none" w:sz="0" w:space="0" w:color="auto"/>
        <w:left w:val="none" w:sz="0" w:space="0" w:color="auto"/>
        <w:bottom w:val="none" w:sz="0" w:space="0" w:color="auto"/>
        <w:right w:val="none" w:sz="0" w:space="0" w:color="auto"/>
      </w:divBdr>
    </w:div>
    <w:div w:id="1461876761">
      <w:bodyDiv w:val="1"/>
      <w:marLeft w:val="0"/>
      <w:marRight w:val="0"/>
      <w:marTop w:val="0"/>
      <w:marBottom w:val="0"/>
      <w:divBdr>
        <w:top w:val="none" w:sz="0" w:space="0" w:color="auto"/>
        <w:left w:val="none" w:sz="0" w:space="0" w:color="auto"/>
        <w:bottom w:val="none" w:sz="0" w:space="0" w:color="auto"/>
        <w:right w:val="none" w:sz="0" w:space="0" w:color="auto"/>
      </w:divBdr>
    </w:div>
    <w:div w:id="1468086967">
      <w:bodyDiv w:val="1"/>
      <w:marLeft w:val="0"/>
      <w:marRight w:val="0"/>
      <w:marTop w:val="0"/>
      <w:marBottom w:val="0"/>
      <w:divBdr>
        <w:top w:val="none" w:sz="0" w:space="0" w:color="auto"/>
        <w:left w:val="none" w:sz="0" w:space="0" w:color="auto"/>
        <w:bottom w:val="none" w:sz="0" w:space="0" w:color="auto"/>
        <w:right w:val="none" w:sz="0" w:space="0" w:color="auto"/>
      </w:divBdr>
    </w:div>
    <w:div w:id="1480658654">
      <w:bodyDiv w:val="1"/>
      <w:marLeft w:val="0"/>
      <w:marRight w:val="0"/>
      <w:marTop w:val="0"/>
      <w:marBottom w:val="0"/>
      <w:divBdr>
        <w:top w:val="none" w:sz="0" w:space="0" w:color="auto"/>
        <w:left w:val="none" w:sz="0" w:space="0" w:color="auto"/>
        <w:bottom w:val="none" w:sz="0" w:space="0" w:color="auto"/>
        <w:right w:val="none" w:sz="0" w:space="0" w:color="auto"/>
      </w:divBdr>
    </w:div>
    <w:div w:id="1482695752">
      <w:bodyDiv w:val="1"/>
      <w:marLeft w:val="0"/>
      <w:marRight w:val="0"/>
      <w:marTop w:val="0"/>
      <w:marBottom w:val="0"/>
      <w:divBdr>
        <w:top w:val="none" w:sz="0" w:space="0" w:color="auto"/>
        <w:left w:val="none" w:sz="0" w:space="0" w:color="auto"/>
        <w:bottom w:val="none" w:sz="0" w:space="0" w:color="auto"/>
        <w:right w:val="none" w:sz="0" w:space="0" w:color="auto"/>
      </w:divBdr>
    </w:div>
    <w:div w:id="1492141419">
      <w:bodyDiv w:val="1"/>
      <w:marLeft w:val="0"/>
      <w:marRight w:val="0"/>
      <w:marTop w:val="0"/>
      <w:marBottom w:val="0"/>
      <w:divBdr>
        <w:top w:val="none" w:sz="0" w:space="0" w:color="auto"/>
        <w:left w:val="none" w:sz="0" w:space="0" w:color="auto"/>
        <w:bottom w:val="none" w:sz="0" w:space="0" w:color="auto"/>
        <w:right w:val="none" w:sz="0" w:space="0" w:color="auto"/>
      </w:divBdr>
    </w:div>
    <w:div w:id="1512405994">
      <w:bodyDiv w:val="1"/>
      <w:marLeft w:val="0"/>
      <w:marRight w:val="0"/>
      <w:marTop w:val="0"/>
      <w:marBottom w:val="0"/>
      <w:divBdr>
        <w:top w:val="none" w:sz="0" w:space="0" w:color="auto"/>
        <w:left w:val="none" w:sz="0" w:space="0" w:color="auto"/>
        <w:bottom w:val="none" w:sz="0" w:space="0" w:color="auto"/>
        <w:right w:val="none" w:sz="0" w:space="0" w:color="auto"/>
      </w:divBdr>
    </w:div>
    <w:div w:id="1512603500">
      <w:bodyDiv w:val="1"/>
      <w:marLeft w:val="0"/>
      <w:marRight w:val="0"/>
      <w:marTop w:val="0"/>
      <w:marBottom w:val="0"/>
      <w:divBdr>
        <w:top w:val="none" w:sz="0" w:space="0" w:color="auto"/>
        <w:left w:val="none" w:sz="0" w:space="0" w:color="auto"/>
        <w:bottom w:val="none" w:sz="0" w:space="0" w:color="auto"/>
        <w:right w:val="none" w:sz="0" w:space="0" w:color="auto"/>
      </w:divBdr>
    </w:div>
    <w:div w:id="1518690528">
      <w:bodyDiv w:val="1"/>
      <w:marLeft w:val="0"/>
      <w:marRight w:val="0"/>
      <w:marTop w:val="0"/>
      <w:marBottom w:val="0"/>
      <w:divBdr>
        <w:top w:val="none" w:sz="0" w:space="0" w:color="auto"/>
        <w:left w:val="none" w:sz="0" w:space="0" w:color="auto"/>
        <w:bottom w:val="none" w:sz="0" w:space="0" w:color="auto"/>
        <w:right w:val="none" w:sz="0" w:space="0" w:color="auto"/>
      </w:divBdr>
    </w:div>
    <w:div w:id="1543714739">
      <w:bodyDiv w:val="1"/>
      <w:marLeft w:val="0"/>
      <w:marRight w:val="0"/>
      <w:marTop w:val="0"/>
      <w:marBottom w:val="0"/>
      <w:divBdr>
        <w:top w:val="none" w:sz="0" w:space="0" w:color="auto"/>
        <w:left w:val="none" w:sz="0" w:space="0" w:color="auto"/>
        <w:bottom w:val="none" w:sz="0" w:space="0" w:color="auto"/>
        <w:right w:val="none" w:sz="0" w:space="0" w:color="auto"/>
      </w:divBdr>
    </w:div>
    <w:div w:id="1574776707">
      <w:bodyDiv w:val="1"/>
      <w:marLeft w:val="0"/>
      <w:marRight w:val="0"/>
      <w:marTop w:val="0"/>
      <w:marBottom w:val="0"/>
      <w:divBdr>
        <w:top w:val="none" w:sz="0" w:space="0" w:color="auto"/>
        <w:left w:val="none" w:sz="0" w:space="0" w:color="auto"/>
        <w:bottom w:val="none" w:sz="0" w:space="0" w:color="auto"/>
        <w:right w:val="none" w:sz="0" w:space="0" w:color="auto"/>
      </w:divBdr>
    </w:div>
    <w:div w:id="1582518203">
      <w:bodyDiv w:val="1"/>
      <w:marLeft w:val="0"/>
      <w:marRight w:val="0"/>
      <w:marTop w:val="0"/>
      <w:marBottom w:val="0"/>
      <w:divBdr>
        <w:top w:val="none" w:sz="0" w:space="0" w:color="auto"/>
        <w:left w:val="none" w:sz="0" w:space="0" w:color="auto"/>
        <w:bottom w:val="none" w:sz="0" w:space="0" w:color="auto"/>
        <w:right w:val="none" w:sz="0" w:space="0" w:color="auto"/>
      </w:divBdr>
    </w:div>
    <w:div w:id="1602687862">
      <w:bodyDiv w:val="1"/>
      <w:marLeft w:val="0"/>
      <w:marRight w:val="0"/>
      <w:marTop w:val="0"/>
      <w:marBottom w:val="0"/>
      <w:divBdr>
        <w:top w:val="none" w:sz="0" w:space="0" w:color="auto"/>
        <w:left w:val="none" w:sz="0" w:space="0" w:color="auto"/>
        <w:bottom w:val="none" w:sz="0" w:space="0" w:color="auto"/>
        <w:right w:val="none" w:sz="0" w:space="0" w:color="auto"/>
      </w:divBdr>
    </w:div>
    <w:div w:id="1610971926">
      <w:bodyDiv w:val="1"/>
      <w:marLeft w:val="0"/>
      <w:marRight w:val="0"/>
      <w:marTop w:val="0"/>
      <w:marBottom w:val="0"/>
      <w:divBdr>
        <w:top w:val="none" w:sz="0" w:space="0" w:color="auto"/>
        <w:left w:val="none" w:sz="0" w:space="0" w:color="auto"/>
        <w:bottom w:val="none" w:sz="0" w:space="0" w:color="auto"/>
        <w:right w:val="none" w:sz="0" w:space="0" w:color="auto"/>
      </w:divBdr>
    </w:div>
    <w:div w:id="1640695032">
      <w:bodyDiv w:val="1"/>
      <w:marLeft w:val="0"/>
      <w:marRight w:val="0"/>
      <w:marTop w:val="0"/>
      <w:marBottom w:val="0"/>
      <w:divBdr>
        <w:top w:val="none" w:sz="0" w:space="0" w:color="auto"/>
        <w:left w:val="none" w:sz="0" w:space="0" w:color="auto"/>
        <w:bottom w:val="none" w:sz="0" w:space="0" w:color="auto"/>
        <w:right w:val="none" w:sz="0" w:space="0" w:color="auto"/>
      </w:divBdr>
    </w:div>
    <w:div w:id="1649702469">
      <w:bodyDiv w:val="1"/>
      <w:marLeft w:val="0"/>
      <w:marRight w:val="0"/>
      <w:marTop w:val="0"/>
      <w:marBottom w:val="0"/>
      <w:divBdr>
        <w:top w:val="none" w:sz="0" w:space="0" w:color="auto"/>
        <w:left w:val="none" w:sz="0" w:space="0" w:color="auto"/>
        <w:bottom w:val="none" w:sz="0" w:space="0" w:color="auto"/>
        <w:right w:val="none" w:sz="0" w:space="0" w:color="auto"/>
      </w:divBdr>
    </w:div>
    <w:div w:id="1656256338">
      <w:bodyDiv w:val="1"/>
      <w:marLeft w:val="0"/>
      <w:marRight w:val="0"/>
      <w:marTop w:val="0"/>
      <w:marBottom w:val="0"/>
      <w:divBdr>
        <w:top w:val="none" w:sz="0" w:space="0" w:color="auto"/>
        <w:left w:val="none" w:sz="0" w:space="0" w:color="auto"/>
        <w:bottom w:val="none" w:sz="0" w:space="0" w:color="auto"/>
        <w:right w:val="none" w:sz="0" w:space="0" w:color="auto"/>
      </w:divBdr>
    </w:div>
    <w:div w:id="1656952239">
      <w:bodyDiv w:val="1"/>
      <w:marLeft w:val="0"/>
      <w:marRight w:val="0"/>
      <w:marTop w:val="0"/>
      <w:marBottom w:val="0"/>
      <w:divBdr>
        <w:top w:val="none" w:sz="0" w:space="0" w:color="auto"/>
        <w:left w:val="none" w:sz="0" w:space="0" w:color="auto"/>
        <w:bottom w:val="none" w:sz="0" w:space="0" w:color="auto"/>
        <w:right w:val="none" w:sz="0" w:space="0" w:color="auto"/>
      </w:divBdr>
    </w:div>
    <w:div w:id="1680692810">
      <w:bodyDiv w:val="1"/>
      <w:marLeft w:val="0"/>
      <w:marRight w:val="0"/>
      <w:marTop w:val="0"/>
      <w:marBottom w:val="0"/>
      <w:divBdr>
        <w:top w:val="none" w:sz="0" w:space="0" w:color="auto"/>
        <w:left w:val="none" w:sz="0" w:space="0" w:color="auto"/>
        <w:bottom w:val="none" w:sz="0" w:space="0" w:color="auto"/>
        <w:right w:val="none" w:sz="0" w:space="0" w:color="auto"/>
      </w:divBdr>
    </w:div>
    <w:div w:id="1687294139">
      <w:bodyDiv w:val="1"/>
      <w:marLeft w:val="0"/>
      <w:marRight w:val="0"/>
      <w:marTop w:val="0"/>
      <w:marBottom w:val="0"/>
      <w:divBdr>
        <w:top w:val="none" w:sz="0" w:space="0" w:color="auto"/>
        <w:left w:val="none" w:sz="0" w:space="0" w:color="auto"/>
        <w:bottom w:val="none" w:sz="0" w:space="0" w:color="auto"/>
        <w:right w:val="none" w:sz="0" w:space="0" w:color="auto"/>
      </w:divBdr>
    </w:div>
    <w:div w:id="1692947657">
      <w:bodyDiv w:val="1"/>
      <w:marLeft w:val="0"/>
      <w:marRight w:val="0"/>
      <w:marTop w:val="0"/>
      <w:marBottom w:val="0"/>
      <w:divBdr>
        <w:top w:val="none" w:sz="0" w:space="0" w:color="auto"/>
        <w:left w:val="none" w:sz="0" w:space="0" w:color="auto"/>
        <w:bottom w:val="none" w:sz="0" w:space="0" w:color="auto"/>
        <w:right w:val="none" w:sz="0" w:space="0" w:color="auto"/>
      </w:divBdr>
    </w:div>
    <w:div w:id="1694769276">
      <w:bodyDiv w:val="1"/>
      <w:marLeft w:val="0"/>
      <w:marRight w:val="0"/>
      <w:marTop w:val="0"/>
      <w:marBottom w:val="0"/>
      <w:divBdr>
        <w:top w:val="none" w:sz="0" w:space="0" w:color="auto"/>
        <w:left w:val="none" w:sz="0" w:space="0" w:color="auto"/>
        <w:bottom w:val="none" w:sz="0" w:space="0" w:color="auto"/>
        <w:right w:val="none" w:sz="0" w:space="0" w:color="auto"/>
      </w:divBdr>
    </w:div>
    <w:div w:id="1700273557">
      <w:bodyDiv w:val="1"/>
      <w:marLeft w:val="0"/>
      <w:marRight w:val="0"/>
      <w:marTop w:val="0"/>
      <w:marBottom w:val="0"/>
      <w:divBdr>
        <w:top w:val="none" w:sz="0" w:space="0" w:color="auto"/>
        <w:left w:val="none" w:sz="0" w:space="0" w:color="auto"/>
        <w:bottom w:val="none" w:sz="0" w:space="0" w:color="auto"/>
        <w:right w:val="none" w:sz="0" w:space="0" w:color="auto"/>
      </w:divBdr>
    </w:div>
    <w:div w:id="1729835609">
      <w:bodyDiv w:val="1"/>
      <w:marLeft w:val="0"/>
      <w:marRight w:val="0"/>
      <w:marTop w:val="0"/>
      <w:marBottom w:val="0"/>
      <w:divBdr>
        <w:top w:val="none" w:sz="0" w:space="0" w:color="auto"/>
        <w:left w:val="none" w:sz="0" w:space="0" w:color="auto"/>
        <w:bottom w:val="none" w:sz="0" w:space="0" w:color="auto"/>
        <w:right w:val="none" w:sz="0" w:space="0" w:color="auto"/>
      </w:divBdr>
    </w:div>
    <w:div w:id="1738742965">
      <w:bodyDiv w:val="1"/>
      <w:marLeft w:val="0"/>
      <w:marRight w:val="0"/>
      <w:marTop w:val="0"/>
      <w:marBottom w:val="0"/>
      <w:divBdr>
        <w:top w:val="none" w:sz="0" w:space="0" w:color="auto"/>
        <w:left w:val="none" w:sz="0" w:space="0" w:color="auto"/>
        <w:bottom w:val="none" w:sz="0" w:space="0" w:color="auto"/>
        <w:right w:val="none" w:sz="0" w:space="0" w:color="auto"/>
      </w:divBdr>
    </w:div>
    <w:div w:id="1745637596">
      <w:bodyDiv w:val="1"/>
      <w:marLeft w:val="0"/>
      <w:marRight w:val="0"/>
      <w:marTop w:val="0"/>
      <w:marBottom w:val="0"/>
      <w:divBdr>
        <w:top w:val="none" w:sz="0" w:space="0" w:color="auto"/>
        <w:left w:val="none" w:sz="0" w:space="0" w:color="auto"/>
        <w:bottom w:val="none" w:sz="0" w:space="0" w:color="auto"/>
        <w:right w:val="none" w:sz="0" w:space="0" w:color="auto"/>
      </w:divBdr>
    </w:div>
    <w:div w:id="1776637366">
      <w:bodyDiv w:val="1"/>
      <w:marLeft w:val="0"/>
      <w:marRight w:val="0"/>
      <w:marTop w:val="0"/>
      <w:marBottom w:val="0"/>
      <w:divBdr>
        <w:top w:val="none" w:sz="0" w:space="0" w:color="auto"/>
        <w:left w:val="none" w:sz="0" w:space="0" w:color="auto"/>
        <w:bottom w:val="none" w:sz="0" w:space="0" w:color="auto"/>
        <w:right w:val="none" w:sz="0" w:space="0" w:color="auto"/>
      </w:divBdr>
    </w:div>
    <w:div w:id="1835994144">
      <w:bodyDiv w:val="1"/>
      <w:marLeft w:val="0"/>
      <w:marRight w:val="0"/>
      <w:marTop w:val="0"/>
      <w:marBottom w:val="0"/>
      <w:divBdr>
        <w:top w:val="none" w:sz="0" w:space="0" w:color="auto"/>
        <w:left w:val="none" w:sz="0" w:space="0" w:color="auto"/>
        <w:bottom w:val="none" w:sz="0" w:space="0" w:color="auto"/>
        <w:right w:val="none" w:sz="0" w:space="0" w:color="auto"/>
      </w:divBdr>
    </w:div>
    <w:div w:id="1958679444">
      <w:bodyDiv w:val="1"/>
      <w:marLeft w:val="0"/>
      <w:marRight w:val="0"/>
      <w:marTop w:val="0"/>
      <w:marBottom w:val="0"/>
      <w:divBdr>
        <w:top w:val="none" w:sz="0" w:space="0" w:color="auto"/>
        <w:left w:val="none" w:sz="0" w:space="0" w:color="auto"/>
        <w:bottom w:val="none" w:sz="0" w:space="0" w:color="auto"/>
        <w:right w:val="none" w:sz="0" w:space="0" w:color="auto"/>
      </w:divBdr>
    </w:div>
    <w:div w:id="1990860506">
      <w:bodyDiv w:val="1"/>
      <w:marLeft w:val="0"/>
      <w:marRight w:val="0"/>
      <w:marTop w:val="0"/>
      <w:marBottom w:val="0"/>
      <w:divBdr>
        <w:top w:val="none" w:sz="0" w:space="0" w:color="auto"/>
        <w:left w:val="none" w:sz="0" w:space="0" w:color="auto"/>
        <w:bottom w:val="none" w:sz="0" w:space="0" w:color="auto"/>
        <w:right w:val="none" w:sz="0" w:space="0" w:color="auto"/>
      </w:divBdr>
    </w:div>
    <w:div w:id="2010517897">
      <w:bodyDiv w:val="1"/>
      <w:marLeft w:val="0"/>
      <w:marRight w:val="0"/>
      <w:marTop w:val="0"/>
      <w:marBottom w:val="0"/>
      <w:divBdr>
        <w:top w:val="none" w:sz="0" w:space="0" w:color="auto"/>
        <w:left w:val="none" w:sz="0" w:space="0" w:color="auto"/>
        <w:bottom w:val="none" w:sz="0" w:space="0" w:color="auto"/>
        <w:right w:val="none" w:sz="0" w:space="0" w:color="auto"/>
      </w:divBdr>
    </w:div>
    <w:div w:id="2053726300">
      <w:bodyDiv w:val="1"/>
      <w:marLeft w:val="0"/>
      <w:marRight w:val="0"/>
      <w:marTop w:val="0"/>
      <w:marBottom w:val="0"/>
      <w:divBdr>
        <w:top w:val="none" w:sz="0" w:space="0" w:color="auto"/>
        <w:left w:val="none" w:sz="0" w:space="0" w:color="auto"/>
        <w:bottom w:val="none" w:sz="0" w:space="0" w:color="auto"/>
        <w:right w:val="none" w:sz="0" w:space="0" w:color="auto"/>
      </w:divBdr>
    </w:div>
    <w:div w:id="2069262735">
      <w:bodyDiv w:val="1"/>
      <w:marLeft w:val="0"/>
      <w:marRight w:val="0"/>
      <w:marTop w:val="0"/>
      <w:marBottom w:val="0"/>
      <w:divBdr>
        <w:top w:val="none" w:sz="0" w:space="0" w:color="auto"/>
        <w:left w:val="none" w:sz="0" w:space="0" w:color="auto"/>
        <w:bottom w:val="none" w:sz="0" w:space="0" w:color="auto"/>
        <w:right w:val="none" w:sz="0" w:space="0" w:color="auto"/>
      </w:divBdr>
    </w:div>
    <w:div w:id="2070688347">
      <w:bodyDiv w:val="1"/>
      <w:marLeft w:val="0"/>
      <w:marRight w:val="0"/>
      <w:marTop w:val="0"/>
      <w:marBottom w:val="0"/>
      <w:divBdr>
        <w:top w:val="none" w:sz="0" w:space="0" w:color="auto"/>
        <w:left w:val="none" w:sz="0" w:space="0" w:color="auto"/>
        <w:bottom w:val="none" w:sz="0" w:space="0" w:color="auto"/>
        <w:right w:val="none" w:sz="0" w:space="0" w:color="auto"/>
      </w:divBdr>
    </w:div>
    <w:div w:id="2098597891">
      <w:bodyDiv w:val="1"/>
      <w:marLeft w:val="0"/>
      <w:marRight w:val="0"/>
      <w:marTop w:val="0"/>
      <w:marBottom w:val="0"/>
      <w:divBdr>
        <w:top w:val="none" w:sz="0" w:space="0" w:color="auto"/>
        <w:left w:val="none" w:sz="0" w:space="0" w:color="auto"/>
        <w:bottom w:val="none" w:sz="0" w:space="0" w:color="auto"/>
        <w:right w:val="none" w:sz="0" w:space="0" w:color="auto"/>
      </w:divBdr>
    </w:div>
    <w:div w:id="2127769506">
      <w:bodyDiv w:val="1"/>
      <w:marLeft w:val="0"/>
      <w:marRight w:val="0"/>
      <w:marTop w:val="0"/>
      <w:marBottom w:val="0"/>
      <w:divBdr>
        <w:top w:val="none" w:sz="0" w:space="0" w:color="auto"/>
        <w:left w:val="none" w:sz="0" w:space="0" w:color="auto"/>
        <w:bottom w:val="none" w:sz="0" w:space="0" w:color="auto"/>
        <w:right w:val="none" w:sz="0" w:space="0" w:color="auto"/>
      </w:divBdr>
    </w:div>
    <w:div w:id="2140100829">
      <w:bodyDiv w:val="1"/>
      <w:marLeft w:val="0"/>
      <w:marRight w:val="0"/>
      <w:marTop w:val="0"/>
      <w:marBottom w:val="0"/>
      <w:divBdr>
        <w:top w:val="none" w:sz="0" w:space="0" w:color="auto"/>
        <w:left w:val="none" w:sz="0" w:space="0" w:color="auto"/>
        <w:bottom w:val="none" w:sz="0" w:space="0" w:color="auto"/>
        <w:right w:val="none" w:sz="0" w:space="0" w:color="auto"/>
      </w:divBdr>
    </w:div>
    <w:div w:id="2142185074">
      <w:bodyDiv w:val="1"/>
      <w:marLeft w:val="0"/>
      <w:marRight w:val="0"/>
      <w:marTop w:val="0"/>
      <w:marBottom w:val="0"/>
      <w:divBdr>
        <w:top w:val="none" w:sz="0" w:space="0" w:color="auto"/>
        <w:left w:val="none" w:sz="0" w:space="0" w:color="auto"/>
        <w:bottom w:val="none" w:sz="0" w:space="0" w:color="auto"/>
        <w:right w:val="none" w:sz="0" w:space="0" w:color="auto"/>
      </w:divBdr>
    </w:div>
    <w:div w:id="214283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30.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chart" Target="charts/chart38.xml"/><Relationship Id="rId50" Type="http://schemas.openxmlformats.org/officeDocument/2006/relationships/chart" Target="charts/chart41.xml"/><Relationship Id="rId55" Type="http://schemas.openxmlformats.org/officeDocument/2006/relationships/chart" Target="charts/chart46.xml"/><Relationship Id="rId63" Type="http://schemas.openxmlformats.org/officeDocument/2006/relationships/chart" Target="charts/chart54.xml"/><Relationship Id="rId68" Type="http://schemas.openxmlformats.org/officeDocument/2006/relationships/image" Target="media/image3.png"/><Relationship Id="rId76" Type="http://schemas.openxmlformats.org/officeDocument/2006/relationships/chart" Target="charts/chart63.xml"/><Relationship Id="rId7" Type="http://schemas.openxmlformats.org/officeDocument/2006/relationships/endnotes" Target="endnotes.xml"/><Relationship Id="rId71"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chart" Target="charts/chart44.xml"/><Relationship Id="rId58" Type="http://schemas.openxmlformats.org/officeDocument/2006/relationships/chart" Target="charts/chart49.xml"/><Relationship Id="rId66" Type="http://schemas.openxmlformats.org/officeDocument/2006/relationships/chart" Target="charts/chart57.xml"/><Relationship Id="rId74" Type="http://schemas.openxmlformats.org/officeDocument/2006/relationships/chart" Target="charts/chart61.xml"/><Relationship Id="rId79" Type="http://schemas.openxmlformats.org/officeDocument/2006/relationships/chart" Target="charts/chart66.xml"/><Relationship Id="rId5" Type="http://schemas.openxmlformats.org/officeDocument/2006/relationships/webSettings" Target="webSettings.xml"/><Relationship Id="rId61" Type="http://schemas.openxmlformats.org/officeDocument/2006/relationships/chart" Target="charts/chart52.xml"/><Relationship Id="rId82"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chart" Target="charts/chart43.xml"/><Relationship Id="rId60" Type="http://schemas.openxmlformats.org/officeDocument/2006/relationships/chart" Target="charts/chart51.xml"/><Relationship Id="rId65" Type="http://schemas.openxmlformats.org/officeDocument/2006/relationships/chart" Target="charts/chart56.xml"/><Relationship Id="rId73" Type="http://schemas.openxmlformats.org/officeDocument/2006/relationships/chart" Target="charts/chart60.xml"/><Relationship Id="rId78" Type="http://schemas.openxmlformats.org/officeDocument/2006/relationships/chart" Target="charts/chart65.xm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chart" Target="charts/chart39.xml"/><Relationship Id="rId56" Type="http://schemas.openxmlformats.org/officeDocument/2006/relationships/chart" Target="charts/chart47.xml"/><Relationship Id="rId64" Type="http://schemas.openxmlformats.org/officeDocument/2006/relationships/chart" Target="charts/chart55.xml"/><Relationship Id="rId69" Type="http://schemas.openxmlformats.org/officeDocument/2006/relationships/image" Target="media/image4.png"/><Relationship Id="rId77" Type="http://schemas.openxmlformats.org/officeDocument/2006/relationships/chart" Target="charts/chart64.xml"/><Relationship Id="rId8" Type="http://schemas.openxmlformats.org/officeDocument/2006/relationships/image" Target="media/image1.jpeg"/><Relationship Id="rId51" Type="http://schemas.openxmlformats.org/officeDocument/2006/relationships/chart" Target="charts/chart42.xml"/><Relationship Id="rId72" Type="http://schemas.openxmlformats.org/officeDocument/2006/relationships/chart" Target="charts/chart59.xml"/><Relationship Id="rId80" Type="http://schemas.openxmlformats.org/officeDocument/2006/relationships/chart" Target="charts/chart67.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chart" Target="charts/chart50.xml"/><Relationship Id="rId67" Type="http://schemas.openxmlformats.org/officeDocument/2006/relationships/chart" Target="charts/chart58.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chart" Target="charts/chart45.xml"/><Relationship Id="rId62" Type="http://schemas.openxmlformats.org/officeDocument/2006/relationships/chart" Target="charts/chart53.xml"/><Relationship Id="rId70" Type="http://schemas.openxmlformats.org/officeDocument/2006/relationships/image" Target="media/image5.png"/><Relationship Id="rId75" Type="http://schemas.openxmlformats.org/officeDocument/2006/relationships/chart" Target="charts/chart62.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40.xml"/><Relationship Id="rId57" Type="http://schemas.openxmlformats.org/officeDocument/2006/relationships/chart" Target="charts/chart48.xml"/></Relationships>
</file>

<file path=word/_rels/footnotes.xml.rels><?xml version="1.0" encoding="UTF-8" standalone="yes"?>
<Relationships xmlns="http://schemas.openxmlformats.org/package/2006/relationships"><Relationship Id="rId3" Type="http://schemas.openxmlformats.org/officeDocument/2006/relationships/hyperlink" Target="https://www.psrc.am/uploads/files/%D4%B7%D5%AC%D5%A5%D5%AF%D5%BF%D6%80%D5%A1%D5%AF%D5%A1%D5%B6%20%D4%B7%D5%B6%D5%A5%D6%80%D5%A3%D5%AB%D5%A1/%D5%80%D5%A1%D5%B7%D5%BE%D5%A5%D5%BF%D5%BE%D5%B8%D6%82%D5%A9%D5%B5%D5%B8%D6%82%D5%B6%D5%B6%D5%A5%D6%80/2022/2-er/Araqum%202022-2.pdf" TargetMode="External"/><Relationship Id="rId2" Type="http://schemas.openxmlformats.org/officeDocument/2006/relationships/hyperlink" Target="http://www.mnp.am/news/attention_danger_environmental_disasters" TargetMode="External"/><Relationship Id="rId1" Type="http://schemas.openxmlformats.org/officeDocument/2006/relationships/hyperlink" Target="https://www.cba.am/am/SitePages/ainflationreport.aspx" TargetMode="External"/><Relationship Id="rId5" Type="http://schemas.openxmlformats.org/officeDocument/2006/relationships/hyperlink" Target="https://www.cba.am/am/SitePages/Default.aspx" TargetMode="External"/><Relationship Id="rId4" Type="http://schemas.openxmlformats.org/officeDocument/2006/relationships/hyperlink" Target="https://www.cba.am/AM/pperiodicals/Monetary%20overview_II_2022.pdf"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23.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24.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27.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28.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29.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30.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Worksheet36.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Microsoft_Excel_Worksheet39.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Microsoft_Excel_Worksheet40.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Microsoft_Excel_Worksheet41.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Microsoft_Excel_Worksheet42.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package" Target="../embeddings/Microsoft_Excel_Worksheet43.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package" Target="../embeddings/Microsoft_Excel_Worksheet44.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package" Target="../embeddings/Microsoft_Excel_Worksheet45.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package" Target="../embeddings/Microsoft_Excel_Worksheet48.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package" Target="../embeddings/Microsoft_Excel_Worksheet49.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package" Target="../embeddings/Microsoft_Excel_Worksheet50.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1" Type="http://schemas.openxmlformats.org/officeDocument/2006/relationships/oleObject" Target="file:///C:\M-Artak\Budget%20External%20Debt.xls"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M-Artak\Budget%20External%20Debt.xls"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M-Artak\Budget%20External%20Debt.xls"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M-Artak\Budget%20External%20Debt.xls" TargetMode="Externa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5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oleObject" Target="file:///\\172.20.215.254\Share\public_debt\External\Marianna\Budget%20External%20Debt.xls" TargetMode="External"/><Relationship Id="rId1" Type="http://schemas.openxmlformats.org/officeDocument/2006/relationships/themeOverride" Target="../theme/themeOverride56.xml"/></Relationships>
</file>

<file path=word/charts/_rels/chart61.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57.xml"/></Relationships>
</file>

<file path=word/charts/_rels/chart62.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58.xml"/></Relationships>
</file>

<file path=word/charts/_rels/chart63.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59.xml"/></Relationships>
</file>

<file path=word/charts/_rels/chart6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60.xml"/></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6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Hayk.Ohanyan\Downloads\Fiscal%20risk%20report_Ara\&#1358;&#1377;&#1408;&#1391;&#1377;&#1397;&#1387;&#1398;%20&#1402;&#1400;&#1408;&#1407;&#1414;&#1381;&#1388;_31.07.2022_without%20&#1377;&#1397;&#1388;.xlsx" TargetMode="External"/></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6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Hayk.Ohanyan\Downloads\Fiscal%20risk%20report_Ara\&#1358;&#1377;&#1408;&#1391;&#1377;&#1397;&#1387;&#1398;%20&#1402;&#1400;&#1408;&#1407;&#1414;&#1381;&#1388;_31.07.2022_without%20&#1377;&#1397;&#1388;.xlsx" TargetMode="External"/></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6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LENOVO\Downloads\Yerevan%20data%20(1).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84258002232482"/>
          <c:y val="7.1301466104615782E-2"/>
          <c:w val="0.83276495610462564"/>
          <c:h val="0.67818924149632864"/>
        </c:manualLayout>
      </c:layout>
      <c:barChart>
        <c:barDir val="col"/>
        <c:grouping val="clustered"/>
        <c:varyColors val="0"/>
        <c:ser>
          <c:idx val="1"/>
          <c:order val="1"/>
          <c:tx>
            <c:strRef>
              <c:f>Sheet1!$C$1</c:f>
              <c:strCache>
                <c:ptCount val="1"/>
                <c:pt idx="0">
                  <c:v>ՌԴ</c:v>
                </c:pt>
              </c:strCache>
            </c:strRef>
          </c:tx>
          <c:spPr>
            <a:solidFill>
              <a:schemeClr val="accent2"/>
            </a:solidFill>
            <a:ln>
              <a:noFill/>
            </a:ln>
            <a:effectLst/>
          </c:spPr>
          <c:invertIfNegative val="0"/>
          <c:cat>
            <c:numRef>
              <c:f>Sheet1!$A$2:$A$10</c:f>
              <c:numCache>
                <c:formatCode>General</c:formatCode>
                <c:ptCount val="6"/>
                <c:pt idx="0">
                  <c:v>2020</c:v>
                </c:pt>
                <c:pt idx="1">
                  <c:v>2021</c:v>
                </c:pt>
                <c:pt idx="2">
                  <c:v>2022</c:v>
                </c:pt>
                <c:pt idx="3">
                  <c:v>2023</c:v>
                </c:pt>
                <c:pt idx="4">
                  <c:v>2024</c:v>
                </c:pt>
                <c:pt idx="5">
                  <c:v>2025</c:v>
                </c:pt>
              </c:numCache>
            </c:numRef>
          </c:cat>
          <c:val>
            <c:numRef>
              <c:f>Sheet1!$C$2:$C$10</c:f>
              <c:numCache>
                <c:formatCode>_(* #,##0.0_);_(* \(#,##0.0\);_(* "-"??_);_(@_)</c:formatCode>
                <c:ptCount val="6"/>
                <c:pt idx="0">
                  <c:v>-2.7</c:v>
                </c:pt>
                <c:pt idx="1">
                  <c:v>4.7</c:v>
                </c:pt>
                <c:pt idx="2">
                  <c:v>-6</c:v>
                </c:pt>
                <c:pt idx="3">
                  <c:v>-3.5</c:v>
                </c:pt>
                <c:pt idx="4">
                  <c:v>1.5</c:v>
                </c:pt>
                <c:pt idx="5">
                  <c:v>1</c:v>
                </c:pt>
              </c:numCache>
            </c:numRef>
          </c:val>
          <c:extLst>
            <c:ext xmlns:c16="http://schemas.microsoft.com/office/drawing/2014/chart" uri="{C3380CC4-5D6E-409C-BE32-E72D297353CC}">
              <c16:uniqueId val="{00000000-367F-4EA2-A0E8-05DE87AA5E48}"/>
            </c:ext>
          </c:extLst>
        </c:ser>
        <c:ser>
          <c:idx val="2"/>
          <c:order val="2"/>
          <c:tx>
            <c:strRef>
              <c:f>Sheet1!$D$1</c:f>
              <c:strCache>
                <c:ptCount val="1"/>
                <c:pt idx="0">
                  <c:v>Եվրոգոտի</c:v>
                </c:pt>
              </c:strCache>
            </c:strRef>
          </c:tx>
          <c:spPr>
            <a:solidFill>
              <a:schemeClr val="accent3"/>
            </a:solidFill>
            <a:ln>
              <a:noFill/>
            </a:ln>
            <a:effectLst/>
          </c:spPr>
          <c:invertIfNegative val="0"/>
          <c:cat>
            <c:numRef>
              <c:f>Sheet1!$A$2:$A$10</c:f>
              <c:numCache>
                <c:formatCode>General</c:formatCode>
                <c:ptCount val="6"/>
                <c:pt idx="0">
                  <c:v>2020</c:v>
                </c:pt>
                <c:pt idx="1">
                  <c:v>2021</c:v>
                </c:pt>
                <c:pt idx="2">
                  <c:v>2022</c:v>
                </c:pt>
                <c:pt idx="3">
                  <c:v>2023</c:v>
                </c:pt>
                <c:pt idx="4">
                  <c:v>2024</c:v>
                </c:pt>
                <c:pt idx="5">
                  <c:v>2025</c:v>
                </c:pt>
              </c:numCache>
            </c:numRef>
          </c:cat>
          <c:val>
            <c:numRef>
              <c:f>Sheet1!$D$2:$D$10</c:f>
              <c:numCache>
                <c:formatCode>_(* #,##0.0_);_(* \(#,##0.0\);_(* "-"??_);_(@_)</c:formatCode>
                <c:ptCount val="6"/>
                <c:pt idx="0">
                  <c:v>-6.3</c:v>
                </c:pt>
                <c:pt idx="1">
                  <c:v>5.4</c:v>
                </c:pt>
                <c:pt idx="2">
                  <c:v>2.6</c:v>
                </c:pt>
                <c:pt idx="3">
                  <c:v>1.2</c:v>
                </c:pt>
                <c:pt idx="4">
                  <c:v>1.8460000000000001</c:v>
                </c:pt>
                <c:pt idx="5">
                  <c:v>1.5720000000000001</c:v>
                </c:pt>
              </c:numCache>
            </c:numRef>
          </c:val>
          <c:extLst>
            <c:ext xmlns:c16="http://schemas.microsoft.com/office/drawing/2014/chart" uri="{C3380CC4-5D6E-409C-BE32-E72D297353CC}">
              <c16:uniqueId val="{00000001-367F-4EA2-A0E8-05DE87AA5E48}"/>
            </c:ext>
          </c:extLst>
        </c:ser>
        <c:ser>
          <c:idx val="3"/>
          <c:order val="3"/>
          <c:tx>
            <c:strRef>
              <c:f>Sheet1!$E$1</c:f>
              <c:strCache>
                <c:ptCount val="1"/>
                <c:pt idx="0">
                  <c:v>Չինաստան</c:v>
                </c:pt>
              </c:strCache>
            </c:strRef>
          </c:tx>
          <c:spPr>
            <a:solidFill>
              <a:schemeClr val="accent4"/>
            </a:solidFill>
            <a:ln>
              <a:noFill/>
            </a:ln>
            <a:effectLst/>
          </c:spPr>
          <c:invertIfNegative val="0"/>
          <c:cat>
            <c:numRef>
              <c:f>Sheet1!$A$2:$A$10</c:f>
              <c:numCache>
                <c:formatCode>General</c:formatCode>
                <c:ptCount val="6"/>
                <c:pt idx="0">
                  <c:v>2020</c:v>
                </c:pt>
                <c:pt idx="1">
                  <c:v>2021</c:v>
                </c:pt>
                <c:pt idx="2">
                  <c:v>2022</c:v>
                </c:pt>
                <c:pt idx="3">
                  <c:v>2023</c:v>
                </c:pt>
                <c:pt idx="4">
                  <c:v>2024</c:v>
                </c:pt>
                <c:pt idx="5">
                  <c:v>2025</c:v>
                </c:pt>
              </c:numCache>
            </c:numRef>
          </c:cat>
          <c:val>
            <c:numRef>
              <c:f>Sheet1!$E$2:$E$10</c:f>
              <c:numCache>
                <c:formatCode>_(* #,##0.0_);_(* \(#,##0.0\);_(* "-"??_);_(@_)</c:formatCode>
                <c:ptCount val="6"/>
                <c:pt idx="0">
                  <c:v>2.2440000000000002</c:v>
                </c:pt>
                <c:pt idx="1">
                  <c:v>8.08</c:v>
                </c:pt>
                <c:pt idx="2">
                  <c:v>3.3</c:v>
                </c:pt>
                <c:pt idx="3">
                  <c:v>4.5999999999999996</c:v>
                </c:pt>
                <c:pt idx="4">
                  <c:v>5.0869999999999997</c:v>
                </c:pt>
                <c:pt idx="5">
                  <c:v>4.968</c:v>
                </c:pt>
              </c:numCache>
            </c:numRef>
          </c:val>
          <c:extLst>
            <c:ext xmlns:c16="http://schemas.microsoft.com/office/drawing/2014/chart" uri="{C3380CC4-5D6E-409C-BE32-E72D297353CC}">
              <c16:uniqueId val="{00000002-367F-4EA2-A0E8-05DE87AA5E48}"/>
            </c:ext>
          </c:extLst>
        </c:ser>
        <c:ser>
          <c:idx val="4"/>
          <c:order val="4"/>
          <c:tx>
            <c:strRef>
              <c:f>Sheet1!$F$1</c:f>
              <c:strCache>
                <c:ptCount val="1"/>
                <c:pt idx="0">
                  <c:v>ԱՄՆ</c:v>
                </c:pt>
              </c:strCache>
            </c:strRef>
          </c:tx>
          <c:spPr>
            <a:solidFill>
              <a:schemeClr val="accent5"/>
            </a:solidFill>
            <a:ln>
              <a:noFill/>
            </a:ln>
            <a:effectLst/>
          </c:spPr>
          <c:invertIfNegative val="0"/>
          <c:cat>
            <c:numRef>
              <c:f>Sheet1!$A$2:$A$10</c:f>
              <c:numCache>
                <c:formatCode>General</c:formatCode>
                <c:ptCount val="6"/>
                <c:pt idx="0">
                  <c:v>2020</c:v>
                </c:pt>
                <c:pt idx="1">
                  <c:v>2021</c:v>
                </c:pt>
                <c:pt idx="2">
                  <c:v>2022</c:v>
                </c:pt>
                <c:pt idx="3">
                  <c:v>2023</c:v>
                </c:pt>
                <c:pt idx="4">
                  <c:v>2024</c:v>
                </c:pt>
                <c:pt idx="5">
                  <c:v>2025</c:v>
                </c:pt>
              </c:numCache>
            </c:numRef>
          </c:cat>
          <c:val>
            <c:numRef>
              <c:f>Sheet1!$F$2:$F$10</c:f>
              <c:numCache>
                <c:formatCode>_(* #,##0.0_);_(* \(#,##0.0\);_(* "-"??_);_(@_)</c:formatCode>
                <c:ptCount val="6"/>
                <c:pt idx="0">
                  <c:v>-3.4049999999999998</c:v>
                </c:pt>
                <c:pt idx="1">
                  <c:v>5.6769999999999996</c:v>
                </c:pt>
                <c:pt idx="2">
                  <c:v>2.2999999999999998</c:v>
                </c:pt>
                <c:pt idx="3">
                  <c:v>1</c:v>
                </c:pt>
                <c:pt idx="4">
                  <c:v>1.4379999999999999</c:v>
                </c:pt>
                <c:pt idx="5">
                  <c:v>1.681</c:v>
                </c:pt>
              </c:numCache>
            </c:numRef>
          </c:val>
          <c:extLst>
            <c:ext xmlns:c16="http://schemas.microsoft.com/office/drawing/2014/chart" uri="{C3380CC4-5D6E-409C-BE32-E72D297353CC}">
              <c16:uniqueId val="{00000003-367F-4EA2-A0E8-05DE87AA5E48}"/>
            </c:ext>
          </c:extLst>
        </c:ser>
        <c:dLbls>
          <c:showLegendKey val="0"/>
          <c:showVal val="0"/>
          <c:showCatName val="0"/>
          <c:showSerName val="0"/>
          <c:showPercent val="0"/>
          <c:showBubbleSize val="0"/>
        </c:dLbls>
        <c:gapWidth val="150"/>
        <c:axId val="143838592"/>
        <c:axId val="154634112"/>
      </c:barChart>
      <c:lineChart>
        <c:grouping val="standard"/>
        <c:varyColors val="0"/>
        <c:ser>
          <c:idx val="0"/>
          <c:order val="0"/>
          <c:tx>
            <c:strRef>
              <c:f>Sheet1!$B$1</c:f>
              <c:strCache>
                <c:ptCount val="1"/>
                <c:pt idx="0">
                  <c:v>Աշխարհ</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Sheet1!$A$2:$A$10</c:f>
              <c:numCache>
                <c:formatCode>General</c:formatCode>
                <c:ptCount val="6"/>
                <c:pt idx="0">
                  <c:v>2020</c:v>
                </c:pt>
                <c:pt idx="1">
                  <c:v>2021</c:v>
                </c:pt>
                <c:pt idx="2">
                  <c:v>2022</c:v>
                </c:pt>
                <c:pt idx="3">
                  <c:v>2023</c:v>
                </c:pt>
                <c:pt idx="4">
                  <c:v>2024</c:v>
                </c:pt>
                <c:pt idx="5">
                  <c:v>2025</c:v>
                </c:pt>
              </c:numCache>
            </c:numRef>
          </c:cat>
          <c:val>
            <c:numRef>
              <c:f>Sheet1!$B$2:$B$10</c:f>
              <c:numCache>
                <c:formatCode>_(* #,##0.0_);_(* \(#,##0.0\);_(* "-"??_);_(@_)</c:formatCode>
                <c:ptCount val="6"/>
                <c:pt idx="0">
                  <c:v>-3.0630000000000002</c:v>
                </c:pt>
                <c:pt idx="1">
                  <c:v>6.1079999999999997</c:v>
                </c:pt>
                <c:pt idx="2">
                  <c:v>3.2</c:v>
                </c:pt>
                <c:pt idx="3">
                  <c:v>2.9</c:v>
                </c:pt>
                <c:pt idx="4">
                  <c:v>3.4039999999999999</c:v>
                </c:pt>
                <c:pt idx="5">
                  <c:v>3.3780000000000001</c:v>
                </c:pt>
              </c:numCache>
            </c:numRef>
          </c:val>
          <c:smooth val="0"/>
          <c:extLst>
            <c:ext xmlns:c16="http://schemas.microsoft.com/office/drawing/2014/chart" uri="{C3380CC4-5D6E-409C-BE32-E72D297353CC}">
              <c16:uniqueId val="{00000004-367F-4EA2-A0E8-05DE87AA5E48}"/>
            </c:ext>
          </c:extLst>
        </c:ser>
        <c:dLbls>
          <c:showLegendKey val="0"/>
          <c:showVal val="0"/>
          <c:showCatName val="0"/>
          <c:showSerName val="0"/>
          <c:showPercent val="0"/>
          <c:showBubbleSize val="0"/>
        </c:dLbls>
        <c:marker val="1"/>
        <c:smooth val="0"/>
        <c:axId val="143838592"/>
        <c:axId val="154634112"/>
      </c:lineChart>
      <c:catAx>
        <c:axId val="1438385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634112"/>
        <c:crosses val="autoZero"/>
        <c:auto val="1"/>
        <c:lblAlgn val="ctr"/>
        <c:lblOffset val="100"/>
        <c:noMultiLvlLbl val="0"/>
      </c:catAx>
      <c:valAx>
        <c:axId val="154634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y-AM" sz="800" b="0" i="0" u="none" strike="noStrike" kern="1200" baseline="0">
                    <a:solidFill>
                      <a:sysClr val="windowText" lastClr="000000">
                        <a:lumMod val="65000"/>
                        <a:lumOff val="35000"/>
                      </a:sysClr>
                    </a:solidFill>
                    <a:latin typeface="+mn-lt"/>
                    <a:ea typeface="+mn-ea"/>
                    <a:cs typeface="+mn-cs"/>
                  </a:rPr>
                  <a:t>%</a:t>
                </a:r>
                <a:endParaRPr lang="en-US" sz="800"/>
              </a:p>
            </c:rich>
          </c:tx>
          <c:overlay val="0"/>
          <c:spPr>
            <a:noFill/>
            <a:ln>
              <a:noFill/>
            </a:ln>
            <a:effectLst/>
          </c:spPr>
        </c:title>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838592"/>
        <c:crosses val="autoZero"/>
        <c:crossBetween val="between"/>
      </c:valAx>
      <c:spPr>
        <a:noFill/>
        <a:ln>
          <a:noFill/>
        </a:ln>
        <a:effectLst/>
      </c:spPr>
    </c:plotArea>
    <c:legend>
      <c:legendPos val="b"/>
      <c:layout>
        <c:manualLayout>
          <c:xMode val="edge"/>
          <c:yMode val="edge"/>
          <c:x val="1.8065984072810005E-2"/>
          <c:y val="0.83979280367731934"/>
          <c:w val="0.91522685944120463"/>
          <c:h val="0.1417672790901139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90033979737642"/>
          <c:y val="6.6493995043935883E-2"/>
          <c:w val="0.86270095598017105"/>
          <c:h val="0.72872079514650834"/>
        </c:manualLayout>
      </c:layout>
      <c:barChart>
        <c:barDir val="col"/>
        <c:grouping val="stacked"/>
        <c:varyColors val="0"/>
        <c:ser>
          <c:idx val="1"/>
          <c:order val="1"/>
          <c:tx>
            <c:strRef>
              <c:f>Sheet1!$C$1</c:f>
              <c:strCache>
                <c:ptCount val="1"/>
                <c:pt idx="0">
                  <c:v>Զուտ հարկեր</c:v>
                </c:pt>
              </c:strCache>
            </c:strRef>
          </c:tx>
          <c:spPr>
            <a:solidFill>
              <a:schemeClr val="accent2"/>
            </a:solidFill>
            <a:ln>
              <a:noFill/>
            </a:ln>
            <a:effectLst/>
          </c:spPr>
          <c:invertIfNegative val="0"/>
          <c:cat>
            <c:strRef>
              <c:f>Sheet1!$A$2:$A$7</c:f>
              <c:strCache>
                <c:ptCount val="6"/>
                <c:pt idx="0">
                  <c:v>I եռ. -2021</c:v>
                </c:pt>
                <c:pt idx="1">
                  <c:v>I-II եռ. -2021</c:v>
                </c:pt>
                <c:pt idx="2">
                  <c:v>I-III եռ. -2021</c:v>
                </c:pt>
                <c:pt idx="3">
                  <c:v>I-IV եռ. -2021</c:v>
                </c:pt>
                <c:pt idx="4">
                  <c:v>I եռ. -2022</c:v>
                </c:pt>
                <c:pt idx="5">
                  <c:v>I-II եռ. -2022</c:v>
                </c:pt>
              </c:strCache>
            </c:strRef>
          </c:cat>
          <c:val>
            <c:numRef>
              <c:f>Sheet1!$C$2:$C$7</c:f>
              <c:numCache>
                <c:formatCode>0.00</c:formatCode>
                <c:ptCount val="6"/>
                <c:pt idx="0">
                  <c:v>1.3108564792008393</c:v>
                </c:pt>
                <c:pt idx="1">
                  <c:v>-0.3559878667844929</c:v>
                </c:pt>
                <c:pt idx="2">
                  <c:v>-0.29423229215261276</c:v>
                </c:pt>
                <c:pt idx="3">
                  <c:v>0.8063673308605277</c:v>
                </c:pt>
                <c:pt idx="4">
                  <c:v>1.2101447975987187</c:v>
                </c:pt>
                <c:pt idx="5">
                  <c:v>0.27734871297395658</c:v>
                </c:pt>
              </c:numCache>
            </c:numRef>
          </c:val>
          <c:extLst>
            <c:ext xmlns:c16="http://schemas.microsoft.com/office/drawing/2014/chart" uri="{C3380CC4-5D6E-409C-BE32-E72D297353CC}">
              <c16:uniqueId val="{00000000-B8B3-426D-8951-65FBCA870D45}"/>
            </c:ext>
          </c:extLst>
        </c:ser>
        <c:ser>
          <c:idx val="2"/>
          <c:order val="2"/>
          <c:tx>
            <c:strRef>
              <c:f>Sheet1!$D$1</c:f>
              <c:strCache>
                <c:ptCount val="1"/>
                <c:pt idx="0">
                  <c:v>Արդյունաբերություն</c:v>
                </c:pt>
              </c:strCache>
            </c:strRef>
          </c:tx>
          <c:spPr>
            <a:solidFill>
              <a:schemeClr val="accent3"/>
            </a:solidFill>
            <a:ln>
              <a:noFill/>
            </a:ln>
            <a:effectLst/>
          </c:spPr>
          <c:invertIfNegative val="0"/>
          <c:cat>
            <c:strRef>
              <c:f>Sheet1!$A$2:$A$7</c:f>
              <c:strCache>
                <c:ptCount val="6"/>
                <c:pt idx="0">
                  <c:v>I եռ. -2021</c:v>
                </c:pt>
                <c:pt idx="1">
                  <c:v>I-II եռ. -2021</c:v>
                </c:pt>
                <c:pt idx="2">
                  <c:v>I-III եռ. -2021</c:v>
                </c:pt>
                <c:pt idx="3">
                  <c:v>I-IV եռ. -2021</c:v>
                </c:pt>
                <c:pt idx="4">
                  <c:v>I եռ. -2022</c:v>
                </c:pt>
                <c:pt idx="5">
                  <c:v>I-II եռ. -2022</c:v>
                </c:pt>
              </c:strCache>
            </c:strRef>
          </c:cat>
          <c:val>
            <c:numRef>
              <c:f>Sheet1!$D$2:$D$7</c:f>
              <c:numCache>
                <c:formatCode>0.00</c:formatCode>
                <c:ptCount val="6"/>
                <c:pt idx="0">
                  <c:v>-1.1019747251431553</c:v>
                </c:pt>
                <c:pt idx="1">
                  <c:v>5.7258965388988989E-2</c:v>
                </c:pt>
                <c:pt idx="2">
                  <c:v>-0.10269970749341066</c:v>
                </c:pt>
                <c:pt idx="3">
                  <c:v>0.70183227147092597</c:v>
                </c:pt>
                <c:pt idx="4">
                  <c:v>0.82010729212266931</c:v>
                </c:pt>
                <c:pt idx="5">
                  <c:v>1.0058651107239489</c:v>
                </c:pt>
              </c:numCache>
            </c:numRef>
          </c:val>
          <c:extLst>
            <c:ext xmlns:c16="http://schemas.microsoft.com/office/drawing/2014/chart" uri="{C3380CC4-5D6E-409C-BE32-E72D297353CC}">
              <c16:uniqueId val="{00000001-B8B3-426D-8951-65FBCA870D45}"/>
            </c:ext>
          </c:extLst>
        </c:ser>
        <c:ser>
          <c:idx val="3"/>
          <c:order val="3"/>
          <c:tx>
            <c:strRef>
              <c:f>Sheet1!$E$1</c:f>
              <c:strCache>
                <c:ptCount val="1"/>
                <c:pt idx="0">
                  <c:v>Գյուղատնտեսություն</c:v>
                </c:pt>
              </c:strCache>
            </c:strRef>
          </c:tx>
          <c:spPr>
            <a:solidFill>
              <a:schemeClr val="accent4"/>
            </a:solidFill>
            <a:ln>
              <a:noFill/>
            </a:ln>
            <a:effectLst/>
          </c:spPr>
          <c:invertIfNegative val="0"/>
          <c:cat>
            <c:strRef>
              <c:f>Sheet1!$A$2:$A$7</c:f>
              <c:strCache>
                <c:ptCount val="6"/>
                <c:pt idx="0">
                  <c:v>I եռ. -2021</c:v>
                </c:pt>
                <c:pt idx="1">
                  <c:v>I-II եռ. -2021</c:v>
                </c:pt>
                <c:pt idx="2">
                  <c:v>I-III եռ. -2021</c:v>
                </c:pt>
                <c:pt idx="3">
                  <c:v>I-IV եռ. -2021</c:v>
                </c:pt>
                <c:pt idx="4">
                  <c:v>I եռ. -2022</c:v>
                </c:pt>
                <c:pt idx="5">
                  <c:v>I-II եռ. -2022</c:v>
                </c:pt>
              </c:strCache>
            </c:strRef>
          </c:cat>
          <c:val>
            <c:numRef>
              <c:f>Sheet1!$E$2:$E$7</c:f>
              <c:numCache>
                <c:formatCode>0.00</c:formatCode>
                <c:ptCount val="6"/>
                <c:pt idx="0">
                  <c:v>0.11133439074537359</c:v>
                </c:pt>
                <c:pt idx="1">
                  <c:v>0.59923971156041689</c:v>
                </c:pt>
                <c:pt idx="2">
                  <c:v>-0.14314523364447745</c:v>
                </c:pt>
                <c:pt idx="3">
                  <c:v>-6.806663963794346E-2</c:v>
                </c:pt>
                <c:pt idx="4">
                  <c:v>-0.10962525029880942</c:v>
                </c:pt>
                <c:pt idx="5">
                  <c:v>-0.14639218428663606</c:v>
                </c:pt>
              </c:numCache>
            </c:numRef>
          </c:val>
          <c:extLst>
            <c:ext xmlns:c16="http://schemas.microsoft.com/office/drawing/2014/chart" uri="{C3380CC4-5D6E-409C-BE32-E72D297353CC}">
              <c16:uniqueId val="{00000002-B8B3-426D-8951-65FBCA870D45}"/>
            </c:ext>
          </c:extLst>
        </c:ser>
        <c:ser>
          <c:idx val="4"/>
          <c:order val="4"/>
          <c:tx>
            <c:strRef>
              <c:f>Sheet1!$F$1</c:f>
              <c:strCache>
                <c:ptCount val="1"/>
                <c:pt idx="0">
                  <c:v>Շինարարություն</c:v>
                </c:pt>
              </c:strCache>
            </c:strRef>
          </c:tx>
          <c:spPr>
            <a:solidFill>
              <a:schemeClr val="accent5"/>
            </a:solidFill>
            <a:ln>
              <a:noFill/>
            </a:ln>
            <a:effectLst/>
          </c:spPr>
          <c:invertIfNegative val="0"/>
          <c:cat>
            <c:strRef>
              <c:f>Sheet1!$A$2:$A$7</c:f>
              <c:strCache>
                <c:ptCount val="6"/>
                <c:pt idx="0">
                  <c:v>I եռ. -2021</c:v>
                </c:pt>
                <c:pt idx="1">
                  <c:v>I-II եռ. -2021</c:v>
                </c:pt>
                <c:pt idx="2">
                  <c:v>I-III եռ. -2021</c:v>
                </c:pt>
                <c:pt idx="3">
                  <c:v>I-IV եռ. -2021</c:v>
                </c:pt>
                <c:pt idx="4">
                  <c:v>I եռ. -2022</c:v>
                </c:pt>
                <c:pt idx="5">
                  <c:v>I-II եռ. -2022</c:v>
                </c:pt>
              </c:strCache>
            </c:strRef>
          </c:cat>
          <c:val>
            <c:numRef>
              <c:f>Sheet1!$F$2:$F$7</c:f>
              <c:numCache>
                <c:formatCode>0.00</c:formatCode>
                <c:ptCount val="6"/>
                <c:pt idx="0">
                  <c:v>0.16554715898889585</c:v>
                </c:pt>
                <c:pt idx="1">
                  <c:v>0.25702559241832573</c:v>
                </c:pt>
                <c:pt idx="2">
                  <c:v>0.11029455021970115</c:v>
                </c:pt>
                <c:pt idx="3">
                  <c:v>0.21405737932987379</c:v>
                </c:pt>
                <c:pt idx="4">
                  <c:v>0.33613774154182152</c:v>
                </c:pt>
                <c:pt idx="5">
                  <c:v>0.93081796892371771</c:v>
                </c:pt>
              </c:numCache>
            </c:numRef>
          </c:val>
          <c:extLst>
            <c:ext xmlns:c16="http://schemas.microsoft.com/office/drawing/2014/chart" uri="{C3380CC4-5D6E-409C-BE32-E72D297353CC}">
              <c16:uniqueId val="{00000003-B8B3-426D-8951-65FBCA870D45}"/>
            </c:ext>
          </c:extLst>
        </c:ser>
        <c:ser>
          <c:idx val="5"/>
          <c:order val="5"/>
          <c:tx>
            <c:strRef>
              <c:f>Sheet1!$G$1</c:f>
              <c:strCache>
                <c:ptCount val="1"/>
                <c:pt idx="0">
                  <c:v>Ծառայություններ</c:v>
                </c:pt>
              </c:strCache>
            </c:strRef>
          </c:tx>
          <c:spPr>
            <a:solidFill>
              <a:schemeClr val="accent6"/>
            </a:solidFill>
            <a:ln>
              <a:noFill/>
            </a:ln>
            <a:effectLst/>
          </c:spPr>
          <c:invertIfNegative val="0"/>
          <c:cat>
            <c:strRef>
              <c:f>Sheet1!$A$2:$A$7</c:f>
              <c:strCache>
                <c:ptCount val="6"/>
                <c:pt idx="0">
                  <c:v>I եռ. -2021</c:v>
                </c:pt>
                <c:pt idx="1">
                  <c:v>I-II եռ. -2021</c:v>
                </c:pt>
                <c:pt idx="2">
                  <c:v>I-III եռ. -2021</c:v>
                </c:pt>
                <c:pt idx="3">
                  <c:v>I-IV եռ. -2021</c:v>
                </c:pt>
                <c:pt idx="4">
                  <c:v>I եռ. -2022</c:v>
                </c:pt>
                <c:pt idx="5">
                  <c:v>I-II եռ. -2022</c:v>
                </c:pt>
              </c:strCache>
            </c:strRef>
          </c:cat>
          <c:val>
            <c:numRef>
              <c:f>Sheet1!$G$2:$G$7</c:f>
              <c:numCache>
                <c:formatCode>0.00</c:formatCode>
                <c:ptCount val="6"/>
                <c:pt idx="0">
                  <c:v>-2.196264510177711</c:v>
                </c:pt>
                <c:pt idx="1">
                  <c:v>3.1753212228952497</c:v>
                </c:pt>
                <c:pt idx="2">
                  <c:v>3.5616218285896388</c:v>
                </c:pt>
                <c:pt idx="3">
                  <c:v>4.0458096579766192</c:v>
                </c:pt>
                <c:pt idx="4">
                  <c:v>6.440804379479915</c:v>
                </c:pt>
                <c:pt idx="5">
                  <c:v>8.9502658816678462</c:v>
                </c:pt>
              </c:numCache>
            </c:numRef>
          </c:val>
          <c:extLst>
            <c:ext xmlns:c16="http://schemas.microsoft.com/office/drawing/2014/chart" uri="{C3380CC4-5D6E-409C-BE32-E72D297353CC}">
              <c16:uniqueId val="{00000004-B8B3-426D-8951-65FBCA870D45}"/>
            </c:ext>
          </c:extLst>
        </c:ser>
        <c:dLbls>
          <c:showLegendKey val="0"/>
          <c:showVal val="0"/>
          <c:showCatName val="0"/>
          <c:showSerName val="0"/>
          <c:showPercent val="0"/>
          <c:showBubbleSize val="0"/>
        </c:dLbls>
        <c:gapWidth val="219"/>
        <c:overlap val="100"/>
        <c:axId val="241025408"/>
        <c:axId val="241026944"/>
      </c:barChart>
      <c:lineChart>
        <c:grouping val="standard"/>
        <c:varyColors val="0"/>
        <c:ser>
          <c:idx val="0"/>
          <c:order val="0"/>
          <c:tx>
            <c:strRef>
              <c:f>Sheet1!$B$1</c:f>
              <c:strCache>
                <c:ptCount val="1"/>
                <c:pt idx="0">
                  <c:v>ՀՆԱ</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7.652585959009664E-2"/>
                  <c:y val="-7.53709618073441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B3-426D-8951-65FBCA870D45}"/>
                </c:ext>
              </c:extLst>
            </c:dLbl>
            <c:dLbl>
              <c:idx val="1"/>
              <c:layout>
                <c:manualLayout>
                  <c:x val="-4.7121498835169112E-2"/>
                  <c:y val="-4.8903083376260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8B3-426D-8951-65FBCA870D45}"/>
                </c:ext>
              </c:extLst>
            </c:dLbl>
            <c:dLbl>
              <c:idx val="2"/>
              <c:layout>
                <c:manualLayout>
                  <c:x val="-6.0971019558483462E-2"/>
                  <c:y val="-5.97754065788506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8B3-426D-8951-65FBCA870D45}"/>
                </c:ext>
              </c:extLst>
            </c:dLbl>
            <c:dLbl>
              <c:idx val="3"/>
              <c:layout>
                <c:manualLayout>
                  <c:x val="-6.5375853821902349E-2"/>
                  <c:y val="-5.05744352049452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8B3-426D-8951-65FBCA870D45}"/>
                </c:ext>
              </c:extLst>
            </c:dLbl>
            <c:dLbl>
              <c:idx val="4"/>
              <c:layout>
                <c:manualLayout>
                  <c:x val="-6.9136027797531377E-2"/>
                  <c:y val="-5.7147398631245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8B3-426D-8951-65FBCA870D45}"/>
                </c:ext>
              </c:extLst>
            </c:dLbl>
            <c:dLbl>
              <c:idx val="5"/>
              <c:layout>
                <c:manualLayout>
                  <c:x val="-3.4987972884321011E-2"/>
                  <c:y val="-5.98130841121495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8B3-426D-8951-65FBCA870D45}"/>
                </c:ext>
              </c:extLst>
            </c:dLbl>
            <c:spPr>
              <a:noFill/>
              <a:ln>
                <a:noFill/>
              </a:ln>
              <a:effectLst/>
            </c:spPr>
            <c:txPr>
              <a:bodyPr rot="0" vert="horz"/>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I եռ. -2021</c:v>
                </c:pt>
                <c:pt idx="1">
                  <c:v>I-II եռ. -2021</c:v>
                </c:pt>
                <c:pt idx="2">
                  <c:v>I-III եռ. -2021</c:v>
                </c:pt>
                <c:pt idx="3">
                  <c:v>I-IV եռ. -2021</c:v>
                </c:pt>
                <c:pt idx="4">
                  <c:v>I եռ. -2022</c:v>
                </c:pt>
                <c:pt idx="5">
                  <c:v>I-II եռ. -2022</c:v>
                </c:pt>
              </c:strCache>
            </c:strRef>
          </c:cat>
          <c:val>
            <c:numRef>
              <c:f>Sheet1!$B$2:$B$7</c:f>
              <c:numCache>
                <c:formatCode>0.0</c:formatCode>
                <c:ptCount val="6"/>
                <c:pt idx="0">
                  <c:v>-1.7105012063857572</c:v>
                </c:pt>
                <c:pt idx="1">
                  <c:v>3.7328576254784878</c:v>
                </c:pt>
                <c:pt idx="2">
                  <c:v>3.131839145518839</c:v>
                </c:pt>
                <c:pt idx="3">
                  <c:v>5.700000000000002</c:v>
                </c:pt>
                <c:pt idx="4">
                  <c:v>8.6975689604443147</c:v>
                </c:pt>
                <c:pt idx="5">
                  <c:v>11.017905490002832</c:v>
                </c:pt>
              </c:numCache>
            </c:numRef>
          </c:val>
          <c:smooth val="0"/>
          <c:extLst>
            <c:ext xmlns:c16="http://schemas.microsoft.com/office/drawing/2014/chart" uri="{C3380CC4-5D6E-409C-BE32-E72D297353CC}">
              <c16:uniqueId val="{0000000B-B8B3-426D-8951-65FBCA870D45}"/>
            </c:ext>
          </c:extLst>
        </c:ser>
        <c:dLbls>
          <c:showLegendKey val="0"/>
          <c:showVal val="0"/>
          <c:showCatName val="0"/>
          <c:showSerName val="0"/>
          <c:showPercent val="0"/>
          <c:showBubbleSize val="0"/>
        </c:dLbls>
        <c:marker val="1"/>
        <c:smooth val="0"/>
        <c:axId val="241025408"/>
        <c:axId val="241026944"/>
      </c:lineChart>
      <c:catAx>
        <c:axId val="24102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600"/>
            </a:pPr>
            <a:endParaRPr lang="en-US"/>
          </a:p>
        </c:txPr>
        <c:crossAx val="241026944"/>
        <c:crosses val="autoZero"/>
        <c:auto val="1"/>
        <c:lblAlgn val="ctr"/>
        <c:lblOffset val="100"/>
        <c:noMultiLvlLbl val="0"/>
      </c:catAx>
      <c:valAx>
        <c:axId val="241026944"/>
        <c:scaling>
          <c:orientation val="minMax"/>
          <c:max val="12"/>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en-US"/>
          </a:p>
        </c:txPr>
        <c:crossAx val="241025408"/>
        <c:crosses val="autoZero"/>
        <c:crossBetween val="between"/>
        <c:majorUnit val="2"/>
        <c:minorUnit val="2"/>
      </c:valAx>
      <c:spPr>
        <a:noFill/>
        <a:ln>
          <a:noFill/>
        </a:ln>
        <a:effectLst/>
      </c:spPr>
    </c:plotArea>
    <c:legend>
      <c:legendPos val="b"/>
      <c:layout>
        <c:manualLayout>
          <c:xMode val="edge"/>
          <c:yMode val="edge"/>
          <c:x val="4.8648018769902046E-2"/>
          <c:y val="0.83925459317585294"/>
          <c:w val="0.95135189902732742"/>
          <c:h val="0.15626745406824169"/>
        </c:manualLayout>
      </c:layout>
      <c:overlay val="0"/>
      <c:spPr>
        <a:noFill/>
        <a:ln>
          <a:noFill/>
        </a:ln>
        <a:effectLst/>
      </c:spPr>
      <c:txPr>
        <a:bodyPr rot="0" vert="horz"/>
        <a:lstStyle/>
        <a:p>
          <a:pPr>
            <a:defRPr sz="500"/>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a:solidFill>
        <a:srgbClr val="E7E6E6"/>
      </a:solidFill>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7611554748301"/>
          <c:y val="7.0365212113800715E-2"/>
          <c:w val="0.87260540551091115"/>
          <c:h val="0.61464478622415186"/>
        </c:manualLayout>
      </c:layout>
      <c:barChart>
        <c:barDir val="col"/>
        <c:grouping val="stacked"/>
        <c:varyColors val="0"/>
        <c:ser>
          <c:idx val="1"/>
          <c:order val="1"/>
          <c:tx>
            <c:strRef>
              <c:f>Sheet1!$C$1</c:f>
              <c:strCache>
                <c:ptCount val="1"/>
                <c:pt idx="0">
                  <c:v>Սպառում</c:v>
                </c:pt>
              </c:strCache>
            </c:strRef>
          </c:tx>
          <c:spPr>
            <a:solidFill>
              <a:schemeClr val="accent2"/>
            </a:solidFill>
            <a:ln>
              <a:noFill/>
            </a:ln>
            <a:effectLst/>
          </c:spPr>
          <c:invertIfNegative val="0"/>
          <c:cat>
            <c:strRef>
              <c:f>Sheet1!$A$2:$A$7</c:f>
              <c:strCache>
                <c:ptCount val="6"/>
                <c:pt idx="0">
                  <c:v>I եռ. -2021</c:v>
                </c:pt>
                <c:pt idx="1">
                  <c:v>I-II եռ. -2021</c:v>
                </c:pt>
                <c:pt idx="2">
                  <c:v>I-III եռ. -2021</c:v>
                </c:pt>
                <c:pt idx="3">
                  <c:v>I-IV եռ. -2021</c:v>
                </c:pt>
                <c:pt idx="4">
                  <c:v>I եռ. -2022</c:v>
                </c:pt>
                <c:pt idx="5">
                  <c:v>I-II եռ. -2022</c:v>
                </c:pt>
              </c:strCache>
            </c:strRef>
          </c:cat>
          <c:val>
            <c:numRef>
              <c:f>Sheet1!$C$2:$C$7</c:f>
              <c:numCache>
                <c:formatCode>0.0</c:formatCode>
                <c:ptCount val="6"/>
                <c:pt idx="0">
                  <c:v>0.49082509064502777</c:v>
                </c:pt>
                <c:pt idx="1">
                  <c:v>3.9977445920885319</c:v>
                </c:pt>
                <c:pt idx="2">
                  <c:v>2.001373772770076</c:v>
                </c:pt>
                <c:pt idx="3">
                  <c:v>3.9729800336873691</c:v>
                </c:pt>
                <c:pt idx="4">
                  <c:v>5.0396527173476953</c:v>
                </c:pt>
                <c:pt idx="5">
                  <c:v>5.6129676121429952</c:v>
                </c:pt>
              </c:numCache>
            </c:numRef>
          </c:val>
          <c:extLst>
            <c:ext xmlns:c16="http://schemas.microsoft.com/office/drawing/2014/chart" uri="{C3380CC4-5D6E-409C-BE32-E72D297353CC}">
              <c16:uniqueId val="{00000000-1ABA-4A5E-97F7-24A6DAAEA602}"/>
            </c:ext>
          </c:extLst>
        </c:ser>
        <c:ser>
          <c:idx val="2"/>
          <c:order val="2"/>
          <c:tx>
            <c:strRef>
              <c:f>Sheet1!$D$1</c:f>
              <c:strCache>
                <c:ptCount val="1"/>
                <c:pt idx="0">
                  <c:v>Հիմնական միջոցների համախառն կուտակում</c:v>
                </c:pt>
              </c:strCache>
            </c:strRef>
          </c:tx>
          <c:spPr>
            <a:solidFill>
              <a:schemeClr val="accent3"/>
            </a:solidFill>
            <a:ln>
              <a:noFill/>
            </a:ln>
            <a:effectLst/>
          </c:spPr>
          <c:invertIfNegative val="0"/>
          <c:cat>
            <c:strRef>
              <c:f>Sheet1!$A$2:$A$7</c:f>
              <c:strCache>
                <c:ptCount val="6"/>
                <c:pt idx="0">
                  <c:v>I եռ. -2021</c:v>
                </c:pt>
                <c:pt idx="1">
                  <c:v>I-II եռ. -2021</c:v>
                </c:pt>
                <c:pt idx="2">
                  <c:v>I-III եռ. -2021</c:v>
                </c:pt>
                <c:pt idx="3">
                  <c:v>I-IV եռ. -2021</c:v>
                </c:pt>
                <c:pt idx="4">
                  <c:v>I եռ. -2022</c:v>
                </c:pt>
                <c:pt idx="5">
                  <c:v>I-II եռ. -2022</c:v>
                </c:pt>
              </c:strCache>
            </c:strRef>
          </c:cat>
          <c:val>
            <c:numRef>
              <c:f>Sheet1!$D$2:$D$7</c:f>
              <c:numCache>
                <c:formatCode>0.0</c:formatCode>
                <c:ptCount val="6"/>
                <c:pt idx="0">
                  <c:v>0.35989811400704419</c:v>
                </c:pt>
                <c:pt idx="1">
                  <c:v>0.69248137086837658</c:v>
                </c:pt>
                <c:pt idx="2">
                  <c:v>0.64869428054670819</c:v>
                </c:pt>
                <c:pt idx="3">
                  <c:v>1.1197570388766716</c:v>
                </c:pt>
                <c:pt idx="4">
                  <c:v>1.1408836739517525</c:v>
                </c:pt>
                <c:pt idx="5">
                  <c:v>2.1705791700386676</c:v>
                </c:pt>
              </c:numCache>
            </c:numRef>
          </c:val>
          <c:extLst>
            <c:ext xmlns:c16="http://schemas.microsoft.com/office/drawing/2014/chart" uri="{C3380CC4-5D6E-409C-BE32-E72D297353CC}">
              <c16:uniqueId val="{00000001-1ABA-4A5E-97F7-24A6DAAEA602}"/>
            </c:ext>
          </c:extLst>
        </c:ser>
        <c:ser>
          <c:idx val="3"/>
          <c:order val="3"/>
          <c:tx>
            <c:strRef>
              <c:f>Sheet1!$E$1</c:f>
              <c:strCache>
                <c:ptCount val="1"/>
                <c:pt idx="0">
                  <c:v>Արտահանում</c:v>
                </c:pt>
              </c:strCache>
            </c:strRef>
          </c:tx>
          <c:spPr>
            <a:solidFill>
              <a:schemeClr val="accent4"/>
            </a:solidFill>
            <a:ln>
              <a:noFill/>
            </a:ln>
            <a:effectLst/>
          </c:spPr>
          <c:invertIfNegative val="0"/>
          <c:cat>
            <c:strRef>
              <c:f>Sheet1!$A$2:$A$7</c:f>
              <c:strCache>
                <c:ptCount val="6"/>
                <c:pt idx="0">
                  <c:v>I եռ. -2021</c:v>
                </c:pt>
                <c:pt idx="1">
                  <c:v>I-II եռ. -2021</c:v>
                </c:pt>
                <c:pt idx="2">
                  <c:v>I-III եռ. -2021</c:v>
                </c:pt>
                <c:pt idx="3">
                  <c:v>I-IV եռ. -2021</c:v>
                </c:pt>
                <c:pt idx="4">
                  <c:v>I եռ. -2022</c:v>
                </c:pt>
                <c:pt idx="5">
                  <c:v>I-II եռ. -2022</c:v>
                </c:pt>
              </c:strCache>
            </c:strRef>
          </c:cat>
          <c:val>
            <c:numRef>
              <c:f>Sheet1!$E$2:$E$7</c:f>
              <c:numCache>
                <c:formatCode>0.0</c:formatCode>
                <c:ptCount val="6"/>
                <c:pt idx="0">
                  <c:v>-7.8223246613696844</c:v>
                </c:pt>
                <c:pt idx="1">
                  <c:v>0.86307003119078263</c:v>
                </c:pt>
                <c:pt idx="2">
                  <c:v>3.823995023052059</c:v>
                </c:pt>
                <c:pt idx="3">
                  <c:v>4.9409878279221022</c:v>
                </c:pt>
                <c:pt idx="4">
                  <c:v>9.3064752121633703</c:v>
                </c:pt>
                <c:pt idx="5">
                  <c:v>12.048655289561014</c:v>
                </c:pt>
              </c:numCache>
            </c:numRef>
          </c:val>
          <c:extLst>
            <c:ext xmlns:c16="http://schemas.microsoft.com/office/drawing/2014/chart" uri="{C3380CC4-5D6E-409C-BE32-E72D297353CC}">
              <c16:uniqueId val="{00000002-1ABA-4A5E-97F7-24A6DAAEA602}"/>
            </c:ext>
          </c:extLst>
        </c:ser>
        <c:ser>
          <c:idx val="4"/>
          <c:order val="4"/>
          <c:tx>
            <c:strRef>
              <c:f>Sheet1!$F$1</c:f>
              <c:strCache>
                <c:ptCount val="1"/>
                <c:pt idx="0">
                  <c:v>Ներմուծում ("-" նշանով)</c:v>
                </c:pt>
              </c:strCache>
            </c:strRef>
          </c:tx>
          <c:invertIfNegative val="0"/>
          <c:cat>
            <c:strRef>
              <c:f>Sheet1!$A$2:$A$7</c:f>
              <c:strCache>
                <c:ptCount val="6"/>
                <c:pt idx="0">
                  <c:v>I եռ. -2021</c:v>
                </c:pt>
                <c:pt idx="1">
                  <c:v>I-II եռ. -2021</c:v>
                </c:pt>
                <c:pt idx="2">
                  <c:v>I-III եռ. -2021</c:v>
                </c:pt>
                <c:pt idx="3">
                  <c:v>I-IV եռ. -2021</c:v>
                </c:pt>
                <c:pt idx="4">
                  <c:v>I եռ. -2022</c:v>
                </c:pt>
                <c:pt idx="5">
                  <c:v>I-II եռ. -2022</c:v>
                </c:pt>
              </c:strCache>
            </c:strRef>
          </c:cat>
          <c:val>
            <c:numRef>
              <c:f>Sheet1!$F$2:$F$7</c:f>
              <c:numCache>
                <c:formatCode>0.0</c:formatCode>
                <c:ptCount val="6"/>
                <c:pt idx="0">
                  <c:v>9.3425088760713315</c:v>
                </c:pt>
                <c:pt idx="1">
                  <c:v>-1.0211297554187455</c:v>
                </c:pt>
                <c:pt idx="2">
                  <c:v>-2.6051822356334178</c:v>
                </c:pt>
                <c:pt idx="3">
                  <c:v>-5.1243728605494399</c:v>
                </c:pt>
                <c:pt idx="4">
                  <c:v>-11.3475410588701</c:v>
                </c:pt>
                <c:pt idx="5">
                  <c:v>-11.485906770549899</c:v>
                </c:pt>
              </c:numCache>
            </c:numRef>
          </c:val>
          <c:extLst>
            <c:ext xmlns:c16="http://schemas.microsoft.com/office/drawing/2014/chart" uri="{C3380CC4-5D6E-409C-BE32-E72D297353CC}">
              <c16:uniqueId val="{00000003-1ABA-4A5E-97F7-24A6DAAEA602}"/>
            </c:ext>
          </c:extLst>
        </c:ser>
        <c:dLbls>
          <c:showLegendKey val="0"/>
          <c:showVal val="0"/>
          <c:showCatName val="0"/>
          <c:showSerName val="0"/>
          <c:showPercent val="0"/>
          <c:showBubbleSize val="0"/>
        </c:dLbls>
        <c:gapWidth val="150"/>
        <c:overlap val="100"/>
        <c:axId val="241273088"/>
        <c:axId val="241283072"/>
      </c:barChart>
      <c:lineChart>
        <c:grouping val="standard"/>
        <c:varyColors val="0"/>
        <c:ser>
          <c:idx val="0"/>
          <c:order val="0"/>
          <c:tx>
            <c:strRef>
              <c:f>Sheet1!$B$1</c:f>
              <c:strCache>
                <c:ptCount val="1"/>
                <c:pt idx="0">
                  <c:v>ՀՆԱ</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9585960115114231E-2"/>
                  <c:y val="-7.10409890352490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ABA-4A5E-97F7-24A6DAAEA602}"/>
                </c:ext>
              </c:extLst>
            </c:dLbl>
            <c:dLbl>
              <c:idx val="1"/>
              <c:layout>
                <c:manualLayout>
                  <c:x val="-5.8612721641306091E-2"/>
                  <c:y val="-5.36787107219074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ABA-4A5E-97F7-24A6DAAEA602}"/>
                </c:ext>
              </c:extLst>
            </c:dLbl>
            <c:dLbl>
              <c:idx val="2"/>
              <c:layout>
                <c:manualLayout>
                  <c:x val="-5.814112464237798E-2"/>
                  <c:y val="-5.6798881448230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ABA-4A5E-97F7-24A6DAAEA602}"/>
                </c:ext>
              </c:extLst>
            </c:dLbl>
            <c:dLbl>
              <c:idx val="3"/>
              <c:layout>
                <c:manualLayout>
                  <c:x val="-6.0503835734359648E-2"/>
                  <c:y val="-5.3917138862315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ABA-4A5E-97F7-24A6DAAEA602}"/>
                </c:ext>
              </c:extLst>
            </c:dLbl>
            <c:dLbl>
              <c:idx val="4"/>
              <c:layout>
                <c:manualLayout>
                  <c:x val="-5.1396646158779993E-2"/>
                  <c:y val="-5.945043785414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ABA-4A5E-97F7-24A6DAAEA602}"/>
                </c:ext>
              </c:extLst>
            </c:dLbl>
            <c:dLbl>
              <c:idx val="5"/>
              <c:layout>
                <c:manualLayout>
                  <c:x val="-4.7159699892819019E-2"/>
                  <c:y val="-4.50717492089189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ABA-4A5E-97F7-24A6DAAEA602}"/>
                </c:ext>
              </c:extLst>
            </c:dLbl>
            <c:spPr>
              <a:noFill/>
              <a:ln>
                <a:noFill/>
              </a:ln>
              <a:effectLst/>
            </c:spPr>
            <c:txPr>
              <a:bodyPr rot="0" vert="horz"/>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I եռ. -2021</c:v>
                </c:pt>
                <c:pt idx="1">
                  <c:v>I-II եռ. -2021</c:v>
                </c:pt>
                <c:pt idx="2">
                  <c:v>I-III եռ. -2021</c:v>
                </c:pt>
                <c:pt idx="3">
                  <c:v>I-IV եռ. -2021</c:v>
                </c:pt>
                <c:pt idx="4">
                  <c:v>I եռ. -2022</c:v>
                </c:pt>
                <c:pt idx="5">
                  <c:v>I-II եռ. -2022</c:v>
                </c:pt>
              </c:strCache>
            </c:strRef>
          </c:cat>
          <c:val>
            <c:numRef>
              <c:f>Sheet1!$B$2:$B$7</c:f>
              <c:numCache>
                <c:formatCode>0.0</c:formatCode>
                <c:ptCount val="6"/>
                <c:pt idx="0">
                  <c:v>-1.7105012063857572</c:v>
                </c:pt>
                <c:pt idx="1">
                  <c:v>3.7328576254784878</c:v>
                </c:pt>
                <c:pt idx="2">
                  <c:v>3.131839145518839</c:v>
                </c:pt>
                <c:pt idx="3">
                  <c:v>5.700000000000002</c:v>
                </c:pt>
                <c:pt idx="4">
                  <c:v>8.6975689604443147</c:v>
                </c:pt>
                <c:pt idx="5">
                  <c:v>11.017905490002832</c:v>
                </c:pt>
              </c:numCache>
            </c:numRef>
          </c:val>
          <c:smooth val="0"/>
          <c:extLst>
            <c:ext xmlns:c16="http://schemas.microsoft.com/office/drawing/2014/chart" uri="{C3380CC4-5D6E-409C-BE32-E72D297353CC}">
              <c16:uniqueId val="{0000000A-1ABA-4A5E-97F7-24A6DAAEA602}"/>
            </c:ext>
          </c:extLst>
        </c:ser>
        <c:dLbls>
          <c:showLegendKey val="0"/>
          <c:showVal val="0"/>
          <c:showCatName val="0"/>
          <c:showSerName val="0"/>
          <c:showPercent val="0"/>
          <c:showBubbleSize val="0"/>
        </c:dLbls>
        <c:marker val="1"/>
        <c:smooth val="0"/>
        <c:axId val="241273088"/>
        <c:axId val="241283072"/>
      </c:lineChart>
      <c:catAx>
        <c:axId val="241273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600"/>
            </a:pPr>
            <a:endParaRPr lang="en-US"/>
          </a:p>
        </c:txPr>
        <c:crossAx val="241283072"/>
        <c:crosses val="autoZero"/>
        <c:auto val="1"/>
        <c:lblAlgn val="ctr"/>
        <c:lblOffset val="100"/>
        <c:noMultiLvlLbl val="0"/>
      </c:catAx>
      <c:valAx>
        <c:axId val="241283072"/>
        <c:scaling>
          <c:orientation val="minMax"/>
          <c:max val="22"/>
          <c:min val="-1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sz="700"/>
            </a:pPr>
            <a:endParaRPr lang="en-US"/>
          </a:p>
        </c:txPr>
        <c:crossAx val="241273088"/>
        <c:crosses val="autoZero"/>
        <c:crossBetween val="between"/>
        <c:majorUnit val="4"/>
      </c:valAx>
      <c:spPr>
        <a:noFill/>
        <a:ln w="25400">
          <a:noFill/>
        </a:ln>
        <a:effectLst/>
      </c:spPr>
    </c:plotArea>
    <c:legend>
      <c:legendPos val="b"/>
      <c:layout>
        <c:manualLayout>
          <c:xMode val="edge"/>
          <c:yMode val="edge"/>
          <c:x val="0"/>
          <c:y val="0.70153329899183159"/>
          <c:w val="1"/>
          <c:h val="0.29846670100816841"/>
        </c:manualLayout>
      </c:layout>
      <c:overlay val="0"/>
      <c:spPr>
        <a:noFill/>
        <a:ln>
          <a:noFill/>
        </a:ln>
        <a:effectLst/>
      </c:spPr>
      <c:txPr>
        <a:bodyPr rot="0" vert="horz"/>
        <a:lstStyle/>
        <a:p>
          <a:pPr>
            <a:defRPr sz="600"/>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a:solidFill>
        <a:srgbClr val="E7E6E6"/>
      </a:solidFill>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7687837896831341E-2"/>
          <c:w val="0.87658476118247253"/>
          <c:h val="0.6148588444244294"/>
        </c:manualLayout>
      </c:layout>
      <c:barChart>
        <c:barDir val="col"/>
        <c:grouping val="clustered"/>
        <c:varyColors val="0"/>
        <c:ser>
          <c:idx val="1"/>
          <c:order val="1"/>
          <c:tx>
            <c:strRef>
              <c:f>Sheet1!$A$3</c:f>
              <c:strCache>
                <c:ptCount val="1"/>
                <c:pt idx="0">
                  <c:v>արդյունաբերություն</c:v>
                </c:pt>
              </c:strCache>
            </c:strRef>
          </c:tx>
          <c:spPr>
            <a:solidFill>
              <a:srgbClr val="C00000"/>
            </a:solidFill>
            <a:ln>
              <a:solidFill>
                <a:srgbClr val="C00000"/>
              </a:solidFill>
            </a:ln>
            <a:effectLst/>
          </c:spPr>
          <c:invertIfNegative val="0"/>
          <c:cat>
            <c:strRef>
              <c:f>Sheet1!$B$1:$I$1</c:f>
              <c:strCache>
                <c:ptCount val="8"/>
                <c:pt idx="0">
                  <c:v>հունվար</c:v>
                </c:pt>
                <c:pt idx="1">
                  <c:v>հունվար - փետրվար</c:v>
                </c:pt>
                <c:pt idx="2">
                  <c:v>հունվար - մարտ</c:v>
                </c:pt>
                <c:pt idx="3">
                  <c:v>հունվար - ապրիլ</c:v>
                </c:pt>
                <c:pt idx="4">
                  <c:v>հունվար - մայիս</c:v>
                </c:pt>
                <c:pt idx="5">
                  <c:v>հունվար - հունիս</c:v>
                </c:pt>
                <c:pt idx="6">
                  <c:v>հունվար - հուլիս</c:v>
                </c:pt>
                <c:pt idx="7">
                  <c:v>հունվար - օգոստոս</c:v>
                </c:pt>
              </c:strCache>
            </c:strRef>
          </c:cat>
          <c:val>
            <c:numRef>
              <c:f>Sheet1!$B$3:$I$3</c:f>
              <c:numCache>
                <c:formatCode>0.0</c:formatCode>
                <c:ptCount val="8"/>
                <c:pt idx="0">
                  <c:v>16.700000000000031</c:v>
                </c:pt>
                <c:pt idx="1">
                  <c:v>9.3203777289514278</c:v>
                </c:pt>
                <c:pt idx="2">
                  <c:v>3.4649554560304097</c:v>
                </c:pt>
                <c:pt idx="3">
                  <c:v>2.9757587775538497</c:v>
                </c:pt>
                <c:pt idx="4">
                  <c:v>2.8005207674161738</c:v>
                </c:pt>
                <c:pt idx="5">
                  <c:v>5.8797994866860677</c:v>
                </c:pt>
                <c:pt idx="6">
                  <c:v>7.0869489727112693</c:v>
                </c:pt>
                <c:pt idx="7">
                  <c:v>9.262687639037992</c:v>
                </c:pt>
              </c:numCache>
            </c:numRef>
          </c:val>
          <c:extLst>
            <c:ext xmlns:c16="http://schemas.microsoft.com/office/drawing/2014/chart" uri="{C3380CC4-5D6E-409C-BE32-E72D297353CC}">
              <c16:uniqueId val="{00000000-B8AF-4981-822C-376AF8FF0C66}"/>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Sheet1!$B$1:$I$1</c:f>
              <c:strCache>
                <c:ptCount val="8"/>
                <c:pt idx="0">
                  <c:v>հունվար</c:v>
                </c:pt>
                <c:pt idx="1">
                  <c:v>հունվար - փետրվար</c:v>
                </c:pt>
                <c:pt idx="2">
                  <c:v>հունվար - մարտ</c:v>
                </c:pt>
                <c:pt idx="3">
                  <c:v>հունվար - ապրիլ</c:v>
                </c:pt>
                <c:pt idx="4">
                  <c:v>հունվար - մայիս</c:v>
                </c:pt>
                <c:pt idx="5">
                  <c:v>հունվար - հունիս</c:v>
                </c:pt>
                <c:pt idx="6">
                  <c:v>հունվար - հուլիս</c:v>
                </c:pt>
                <c:pt idx="7">
                  <c:v>հունվար - օգոստոս</c:v>
                </c:pt>
              </c:strCache>
            </c:strRef>
          </c:cat>
          <c:val>
            <c:numRef>
              <c:f>Sheet1!$B$4:$I$4</c:f>
              <c:numCache>
                <c:formatCode>0.0</c:formatCode>
                <c:ptCount val="8"/>
                <c:pt idx="0">
                  <c:v>0</c:v>
                </c:pt>
                <c:pt idx="1">
                  <c:v>0</c:v>
                </c:pt>
                <c:pt idx="2">
                  <c:v>-5.4000000000000057</c:v>
                </c:pt>
                <c:pt idx="3">
                  <c:v>0</c:v>
                </c:pt>
                <c:pt idx="4">
                  <c:v>0</c:v>
                </c:pt>
                <c:pt idx="5">
                  <c:v>-5.5</c:v>
                </c:pt>
                <c:pt idx="6">
                  <c:v>0</c:v>
                </c:pt>
                <c:pt idx="7">
                  <c:v>0</c:v>
                </c:pt>
              </c:numCache>
            </c:numRef>
          </c:val>
          <c:extLst>
            <c:ext xmlns:c16="http://schemas.microsoft.com/office/drawing/2014/chart" uri="{C3380CC4-5D6E-409C-BE32-E72D297353CC}">
              <c16:uniqueId val="{00000001-B8AF-4981-822C-376AF8FF0C66}"/>
            </c:ext>
          </c:extLst>
        </c:ser>
        <c:ser>
          <c:idx val="3"/>
          <c:order val="3"/>
          <c:tx>
            <c:strRef>
              <c:f>Sheet1!$A$5</c:f>
              <c:strCache>
                <c:ptCount val="1"/>
                <c:pt idx="0">
                  <c:v>շինարարություն</c:v>
                </c:pt>
              </c:strCache>
            </c:strRef>
          </c:tx>
          <c:spPr>
            <a:solidFill>
              <a:srgbClr val="9C5BCD"/>
            </a:solidFill>
            <a:ln>
              <a:solidFill>
                <a:srgbClr val="9C5BCD"/>
              </a:solidFill>
            </a:ln>
            <a:effectLst/>
          </c:spPr>
          <c:invertIfNegative val="0"/>
          <c:cat>
            <c:strRef>
              <c:f>Sheet1!$B$1:$I$1</c:f>
              <c:strCache>
                <c:ptCount val="8"/>
                <c:pt idx="0">
                  <c:v>հունվար</c:v>
                </c:pt>
                <c:pt idx="1">
                  <c:v>հունվար - փետրվար</c:v>
                </c:pt>
                <c:pt idx="2">
                  <c:v>հունվար - մարտ</c:v>
                </c:pt>
                <c:pt idx="3">
                  <c:v>հունվար - ապրիլ</c:v>
                </c:pt>
                <c:pt idx="4">
                  <c:v>հունվար - մայիս</c:v>
                </c:pt>
                <c:pt idx="5">
                  <c:v>հունվար - հունիս</c:v>
                </c:pt>
                <c:pt idx="6">
                  <c:v>հունվար - հուլիս</c:v>
                </c:pt>
                <c:pt idx="7">
                  <c:v>հունվար - օգոստոս</c:v>
                </c:pt>
              </c:strCache>
            </c:strRef>
          </c:cat>
          <c:val>
            <c:numRef>
              <c:f>Sheet1!$B$5:$I$5</c:f>
              <c:numCache>
                <c:formatCode>0.0</c:formatCode>
                <c:ptCount val="8"/>
                <c:pt idx="0">
                  <c:v>3</c:v>
                </c:pt>
                <c:pt idx="1">
                  <c:v>4.9000000000000057</c:v>
                </c:pt>
                <c:pt idx="2">
                  <c:v>6.2000000000000028</c:v>
                </c:pt>
                <c:pt idx="3">
                  <c:v>9</c:v>
                </c:pt>
                <c:pt idx="4">
                  <c:v>11.400000000000006</c:v>
                </c:pt>
                <c:pt idx="5">
                  <c:v>12.700000000000003</c:v>
                </c:pt>
                <c:pt idx="6">
                  <c:v>13.599999999999994</c:v>
                </c:pt>
                <c:pt idx="7">
                  <c:v>14.200000000000003</c:v>
                </c:pt>
              </c:numCache>
            </c:numRef>
          </c:val>
          <c:extLst>
            <c:ext xmlns:c16="http://schemas.microsoft.com/office/drawing/2014/chart" uri="{C3380CC4-5D6E-409C-BE32-E72D297353CC}">
              <c16:uniqueId val="{00000002-B8AF-4981-822C-376AF8FF0C66}"/>
            </c:ext>
          </c:extLst>
        </c:ser>
        <c:ser>
          <c:idx val="4"/>
          <c:order val="4"/>
          <c:tx>
            <c:strRef>
              <c:f>Sheet1!$A$6</c:f>
              <c:strCache>
                <c:ptCount val="1"/>
                <c:pt idx="0">
                  <c:v>ծառայություններ</c:v>
                </c:pt>
              </c:strCache>
            </c:strRef>
          </c:tx>
          <c:spPr>
            <a:solidFill>
              <a:srgbClr val="00B0F0"/>
            </a:solidFill>
            <a:ln>
              <a:solidFill>
                <a:srgbClr val="00B0F0"/>
              </a:solidFill>
            </a:ln>
          </c:spPr>
          <c:invertIfNegative val="0"/>
          <c:cat>
            <c:strRef>
              <c:f>Sheet1!$B$1:$I$1</c:f>
              <c:strCache>
                <c:ptCount val="8"/>
                <c:pt idx="0">
                  <c:v>հունվար</c:v>
                </c:pt>
                <c:pt idx="1">
                  <c:v>հունվար - փետրվար</c:v>
                </c:pt>
                <c:pt idx="2">
                  <c:v>հունվար - մարտ</c:v>
                </c:pt>
                <c:pt idx="3">
                  <c:v>հունվար - ապրիլ</c:v>
                </c:pt>
                <c:pt idx="4">
                  <c:v>հունվար - մայիս</c:v>
                </c:pt>
                <c:pt idx="5">
                  <c:v>հունվար - հունիս</c:v>
                </c:pt>
                <c:pt idx="6">
                  <c:v>հունվար - հուլիս</c:v>
                </c:pt>
                <c:pt idx="7">
                  <c:v>հունվար - օգոստոս</c:v>
                </c:pt>
              </c:strCache>
            </c:strRef>
          </c:cat>
          <c:val>
            <c:numRef>
              <c:f>Sheet1!$B$6:$I$6</c:f>
              <c:numCache>
                <c:formatCode>0.0</c:formatCode>
                <c:ptCount val="8"/>
                <c:pt idx="0">
                  <c:v>21.200000000000003</c:v>
                </c:pt>
                <c:pt idx="1">
                  <c:v>20.074856909207895</c:v>
                </c:pt>
                <c:pt idx="2">
                  <c:v>22.165342918615721</c:v>
                </c:pt>
                <c:pt idx="3">
                  <c:v>23.481237998492645</c:v>
                </c:pt>
                <c:pt idx="4">
                  <c:v>24.935253478144688</c:v>
                </c:pt>
                <c:pt idx="5">
                  <c:v>26.876715804622606</c:v>
                </c:pt>
                <c:pt idx="6">
                  <c:v>27.470561442139712</c:v>
                </c:pt>
                <c:pt idx="7">
                  <c:v>27.15539464843593</c:v>
                </c:pt>
              </c:numCache>
            </c:numRef>
          </c:val>
          <c:extLst>
            <c:ext xmlns:c16="http://schemas.microsoft.com/office/drawing/2014/chart" uri="{C3380CC4-5D6E-409C-BE32-E72D297353CC}">
              <c16:uniqueId val="{00000003-B8AF-4981-822C-376AF8FF0C66}"/>
            </c:ext>
          </c:extLst>
        </c:ser>
        <c:ser>
          <c:idx val="5"/>
          <c:order val="5"/>
          <c:tx>
            <c:strRef>
              <c:f>Sheet1!$A$7</c:f>
              <c:strCache>
                <c:ptCount val="1"/>
                <c:pt idx="0">
                  <c:v>առևտուր</c:v>
                </c:pt>
              </c:strCache>
            </c:strRef>
          </c:tx>
          <c:spPr>
            <a:solidFill>
              <a:srgbClr val="ED7D31"/>
            </a:solidFill>
            <a:ln>
              <a:solidFill>
                <a:srgbClr val="ED7D31"/>
              </a:solidFill>
            </a:ln>
          </c:spPr>
          <c:invertIfNegative val="0"/>
          <c:cat>
            <c:strRef>
              <c:f>Sheet1!$B$1:$I$1</c:f>
              <c:strCache>
                <c:ptCount val="8"/>
                <c:pt idx="0">
                  <c:v>հունվար</c:v>
                </c:pt>
                <c:pt idx="1">
                  <c:v>հունվար - փետրվար</c:v>
                </c:pt>
                <c:pt idx="2">
                  <c:v>հունվար - մարտ</c:v>
                </c:pt>
                <c:pt idx="3">
                  <c:v>հունվար - ապրիլ</c:v>
                </c:pt>
                <c:pt idx="4">
                  <c:v>հունվար - մայիս</c:v>
                </c:pt>
                <c:pt idx="5">
                  <c:v>հունվար - հունիս</c:v>
                </c:pt>
                <c:pt idx="6">
                  <c:v>հունվար - հուլիս</c:v>
                </c:pt>
                <c:pt idx="7">
                  <c:v>հունվար - օգոստոս</c:v>
                </c:pt>
              </c:strCache>
            </c:strRef>
          </c:cat>
          <c:val>
            <c:numRef>
              <c:f>Sheet1!$B$7:$I$7</c:f>
              <c:numCache>
                <c:formatCode>0.0</c:formatCode>
                <c:ptCount val="8"/>
                <c:pt idx="0">
                  <c:v>11.5</c:v>
                </c:pt>
                <c:pt idx="1">
                  <c:v>8.2000000000000028</c:v>
                </c:pt>
                <c:pt idx="2">
                  <c:v>7.5999999999999943</c:v>
                </c:pt>
                <c:pt idx="3">
                  <c:v>7.7999999999999972</c:v>
                </c:pt>
                <c:pt idx="4">
                  <c:v>8.9000000000000057</c:v>
                </c:pt>
                <c:pt idx="5">
                  <c:v>10.700000000000003</c:v>
                </c:pt>
                <c:pt idx="6">
                  <c:v>12.5</c:v>
                </c:pt>
                <c:pt idx="7">
                  <c:v>13.599999999999994</c:v>
                </c:pt>
              </c:numCache>
            </c:numRef>
          </c:val>
          <c:extLst>
            <c:ext xmlns:c16="http://schemas.microsoft.com/office/drawing/2014/chart" uri="{C3380CC4-5D6E-409C-BE32-E72D297353CC}">
              <c16:uniqueId val="{00000004-B8AF-4981-822C-376AF8FF0C66}"/>
            </c:ext>
          </c:extLst>
        </c:ser>
        <c:dLbls>
          <c:showLegendKey val="0"/>
          <c:showVal val="0"/>
          <c:showCatName val="0"/>
          <c:showSerName val="0"/>
          <c:showPercent val="0"/>
          <c:showBubbleSize val="0"/>
        </c:dLbls>
        <c:gapWidth val="150"/>
        <c:axId val="241314816"/>
        <c:axId val="241316608"/>
      </c:barChart>
      <c:lineChart>
        <c:grouping val="standard"/>
        <c:varyColors val="0"/>
        <c:ser>
          <c:idx val="0"/>
          <c:order val="0"/>
          <c:tx>
            <c:strRef>
              <c:f>Sheet1!$A$2</c:f>
              <c:strCache>
                <c:ptCount val="1"/>
                <c:pt idx="0">
                  <c:v>ՏԱՑ (աջ առանցք)</c:v>
                </c:pt>
              </c:strCache>
            </c:strRef>
          </c:tx>
          <c:spPr>
            <a:ln>
              <a:solidFill>
                <a:srgbClr val="4472C4">
                  <a:lumMod val="75000"/>
                </a:srgbClr>
              </a:solidFill>
            </a:ln>
            <a:effectLst/>
          </c:spPr>
          <c:marker>
            <c:spPr>
              <a:solidFill>
                <a:srgbClr val="4472C4">
                  <a:lumMod val="75000"/>
                </a:srgbClr>
              </a:solidFill>
              <a:ln>
                <a:solidFill>
                  <a:srgbClr val="4472C4">
                    <a:lumMod val="75000"/>
                  </a:srgbClr>
                </a:solidFill>
              </a:ln>
            </c:spPr>
          </c:marker>
          <c:dLbls>
            <c:dLbl>
              <c:idx val="0"/>
              <c:layout>
                <c:manualLayout>
                  <c:x val="-7.4340432891392097E-2"/>
                  <c:y val="-3.95676682467257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8AF-4981-822C-376AF8FF0C66}"/>
                </c:ext>
              </c:extLst>
            </c:dLbl>
            <c:dLbl>
              <c:idx val="1"/>
              <c:layout>
                <c:manualLayout>
                  <c:x val="-4.9455541016345229E-2"/>
                  <c:y val="-4.54036840375985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8AF-4981-822C-376AF8FF0C66}"/>
                </c:ext>
              </c:extLst>
            </c:dLbl>
            <c:dLbl>
              <c:idx val="2"/>
              <c:layout>
                <c:manualLayout>
                  <c:x val="-3.6983400282590118E-2"/>
                  <c:y val="-4.0870897849178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8AF-4981-822C-376AF8FF0C66}"/>
                </c:ext>
              </c:extLst>
            </c:dLbl>
            <c:dLbl>
              <c:idx val="3"/>
              <c:layout>
                <c:manualLayout>
                  <c:x val="-4.9435635713376766E-2"/>
                  <c:y val="-4.0601614322575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8AF-4981-822C-376AF8FF0C66}"/>
                </c:ext>
              </c:extLst>
            </c:dLbl>
            <c:dLbl>
              <c:idx val="4"/>
              <c:layout>
                <c:manualLayout>
                  <c:x val="-6.5992931985864117E-2"/>
                  <c:y val="-4.06014407773496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8AF-4981-822C-376AF8FF0C66}"/>
                </c:ext>
              </c:extLst>
            </c:dLbl>
            <c:dLbl>
              <c:idx val="5"/>
              <c:layout>
                <c:manualLayout>
                  <c:x val="-5.8019063406547867E-2"/>
                  <c:y val="-4.0852057192880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B8AF-4981-822C-376AF8FF0C66}"/>
                </c:ext>
              </c:extLst>
            </c:dLbl>
            <c:dLbl>
              <c:idx val="6"/>
              <c:layout>
                <c:manualLayout>
                  <c:x val="-6.2163282221301283E-2"/>
                  <c:y val="-4.66880653632915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B8AF-4981-822C-376AF8FF0C66}"/>
                </c:ext>
              </c:extLst>
            </c:dLbl>
            <c:dLbl>
              <c:idx val="7"/>
              <c:layout>
                <c:manualLayout>
                  <c:x val="-6.2163282221301436E-2"/>
                  <c:y val="-4.0852057192880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B8AF-4981-822C-376AF8FF0C66}"/>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Sheet1!$B$1:$I$1</c:f>
              <c:strCache>
                <c:ptCount val="8"/>
                <c:pt idx="0">
                  <c:v>հունվար</c:v>
                </c:pt>
                <c:pt idx="1">
                  <c:v>հունվար - փետրվար</c:v>
                </c:pt>
                <c:pt idx="2">
                  <c:v>հունվար - մարտ</c:v>
                </c:pt>
                <c:pt idx="3">
                  <c:v>հունվար - ապրիլ</c:v>
                </c:pt>
                <c:pt idx="4">
                  <c:v>հունվար - մայիս</c:v>
                </c:pt>
                <c:pt idx="5">
                  <c:v>հունվար - հունիս</c:v>
                </c:pt>
                <c:pt idx="6">
                  <c:v>հունվար - հուլիս</c:v>
                </c:pt>
                <c:pt idx="7">
                  <c:v>հունվար - օգոստոս</c:v>
                </c:pt>
              </c:strCache>
            </c:strRef>
          </c:cat>
          <c:val>
            <c:numRef>
              <c:f>Sheet1!$B$2:$I$2</c:f>
              <c:numCache>
                <c:formatCode>0.0</c:formatCode>
                <c:ptCount val="8"/>
                <c:pt idx="0">
                  <c:v>14.81051623645115</c:v>
                </c:pt>
                <c:pt idx="1">
                  <c:v>11.383875072057847</c:v>
                </c:pt>
                <c:pt idx="2">
                  <c:v>9.6891393001964161</c:v>
                </c:pt>
                <c:pt idx="3">
                  <c:v>9.4416532977950567</c:v>
                </c:pt>
                <c:pt idx="4">
                  <c:v>10.231292819763922</c:v>
                </c:pt>
                <c:pt idx="5">
                  <c:v>11.819473276141395</c:v>
                </c:pt>
                <c:pt idx="6">
                  <c:v>13.141756991273155</c:v>
                </c:pt>
                <c:pt idx="7">
                  <c:v>13.953083534739633</c:v>
                </c:pt>
              </c:numCache>
            </c:numRef>
          </c:val>
          <c:smooth val="0"/>
          <c:extLst>
            <c:ext xmlns:c16="http://schemas.microsoft.com/office/drawing/2014/chart" uri="{C3380CC4-5D6E-409C-BE32-E72D297353CC}">
              <c16:uniqueId val="{0000000D-B8AF-4981-822C-376AF8FF0C66}"/>
            </c:ext>
          </c:extLst>
        </c:ser>
        <c:dLbls>
          <c:showLegendKey val="0"/>
          <c:showVal val="0"/>
          <c:showCatName val="0"/>
          <c:showSerName val="0"/>
          <c:showPercent val="0"/>
          <c:showBubbleSize val="0"/>
        </c:dLbls>
        <c:marker val="1"/>
        <c:smooth val="0"/>
        <c:axId val="241324032"/>
        <c:axId val="241318144"/>
      </c:lineChart>
      <c:catAx>
        <c:axId val="2413148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41316608"/>
        <c:crosses val="autoZero"/>
        <c:auto val="1"/>
        <c:lblAlgn val="ctr"/>
        <c:lblOffset val="100"/>
        <c:noMultiLvlLbl val="0"/>
      </c:catAx>
      <c:valAx>
        <c:axId val="241316608"/>
        <c:scaling>
          <c:orientation val="minMax"/>
          <c:max val="30"/>
          <c:min val="-6"/>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41314816"/>
        <c:crosses val="autoZero"/>
        <c:crossBetween val="between"/>
        <c:majorUnit val="6"/>
      </c:valAx>
      <c:valAx>
        <c:axId val="241318144"/>
        <c:scaling>
          <c:orientation val="minMax"/>
        </c:scaling>
        <c:delete val="0"/>
        <c:axPos val="r"/>
        <c:numFmt formatCode="0.0" sourceLinked="1"/>
        <c:majorTickMark val="out"/>
        <c:minorTickMark val="none"/>
        <c:tickLblPos val="nextTo"/>
        <c:crossAx val="241324032"/>
        <c:crosses val="max"/>
        <c:crossBetween val="between"/>
      </c:valAx>
      <c:catAx>
        <c:axId val="241324032"/>
        <c:scaling>
          <c:orientation val="minMax"/>
        </c:scaling>
        <c:delete val="1"/>
        <c:axPos val="b"/>
        <c:numFmt formatCode="General" sourceLinked="1"/>
        <c:majorTickMark val="out"/>
        <c:minorTickMark val="none"/>
        <c:tickLblPos val="none"/>
        <c:crossAx val="241318144"/>
        <c:crosses val="autoZero"/>
        <c:auto val="1"/>
        <c:lblAlgn val="ctr"/>
        <c:lblOffset val="100"/>
        <c:noMultiLvlLbl val="0"/>
      </c:catAx>
      <c:spPr>
        <a:noFill/>
        <a:ln>
          <a:noFill/>
        </a:ln>
        <a:effectLst/>
      </c:spPr>
    </c:plotArea>
    <c:legend>
      <c:legendPos val="b"/>
      <c:layout>
        <c:manualLayout>
          <c:xMode val="edge"/>
          <c:yMode val="edge"/>
          <c:x val="3.9212662156607202E-2"/>
          <c:y val="0.82064339658692165"/>
          <c:w val="0.89647382445930079"/>
          <c:h val="0.165724803001654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46374940837313E-2"/>
          <c:w val="0.87658476118247253"/>
          <c:h val="0.62133489719661383"/>
        </c:manualLayout>
      </c:layout>
      <c:barChart>
        <c:barDir val="col"/>
        <c:grouping val="clustered"/>
        <c:varyColors val="0"/>
        <c:ser>
          <c:idx val="1"/>
          <c:order val="1"/>
          <c:tx>
            <c:strRef>
              <c:f>Sheet1!$A$3</c:f>
              <c:strCache>
                <c:ptCount val="1"/>
                <c:pt idx="0">
                  <c:v>արդյունաբերություն</c:v>
                </c:pt>
              </c:strCache>
            </c:strRef>
          </c:tx>
          <c:spPr>
            <a:solidFill>
              <a:srgbClr val="C00000"/>
            </a:solidFill>
            <a:ln>
              <a:solidFill>
                <a:srgbClr val="C00000"/>
              </a:solidFill>
            </a:ln>
            <a:effectLst/>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Sheet1!$B$3:$I$3</c:f>
              <c:numCache>
                <c:formatCode>0.0</c:formatCode>
                <c:ptCount val="8"/>
                <c:pt idx="0">
                  <c:v>16.700000000000003</c:v>
                </c:pt>
                <c:pt idx="1">
                  <c:v>2.9000000000000057</c:v>
                </c:pt>
                <c:pt idx="2">
                  <c:v>-6.4000000000000057</c:v>
                </c:pt>
                <c:pt idx="3">
                  <c:v>1.7000000000000028</c:v>
                </c:pt>
                <c:pt idx="4">
                  <c:v>2.2000000000000028</c:v>
                </c:pt>
                <c:pt idx="5">
                  <c:v>19.099999999999994</c:v>
                </c:pt>
                <c:pt idx="6">
                  <c:v>13.700000000000003</c:v>
                </c:pt>
                <c:pt idx="7">
                  <c:v>23.299999999999997</c:v>
                </c:pt>
              </c:numCache>
            </c:numRef>
          </c:val>
          <c:extLst>
            <c:ext xmlns:c16="http://schemas.microsoft.com/office/drawing/2014/chart" uri="{C3380CC4-5D6E-409C-BE32-E72D297353CC}">
              <c16:uniqueId val="{00000000-025D-4B51-880C-F5E0CE7FE650}"/>
            </c:ext>
          </c:extLst>
        </c:ser>
        <c:ser>
          <c:idx val="2"/>
          <c:order val="2"/>
          <c:tx>
            <c:strRef>
              <c:f>Sheet1!$A$4</c:f>
              <c:strCache>
                <c:ptCount val="1"/>
                <c:pt idx="0">
                  <c:v>շինարարություն</c:v>
                </c:pt>
              </c:strCache>
            </c:strRef>
          </c:tx>
          <c:spPr>
            <a:solidFill>
              <a:srgbClr val="9C5BCD"/>
            </a:solidFill>
            <a:ln>
              <a:solidFill>
                <a:srgbClr val="9C5BCD"/>
              </a:solidFill>
            </a:ln>
            <a:effectLst/>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Sheet1!$B$4:$I$4</c:f>
              <c:numCache>
                <c:formatCode>0.0</c:formatCode>
                <c:ptCount val="8"/>
                <c:pt idx="0">
                  <c:v>3</c:v>
                </c:pt>
                <c:pt idx="1">
                  <c:v>6.2999999999999972</c:v>
                </c:pt>
                <c:pt idx="2">
                  <c:v>8.2000000000000028</c:v>
                </c:pt>
                <c:pt idx="3">
                  <c:v>15.599999999999994</c:v>
                </c:pt>
                <c:pt idx="4">
                  <c:v>18.099999999999994</c:v>
                </c:pt>
                <c:pt idx="5">
                  <c:v>16.700000000000003</c:v>
                </c:pt>
                <c:pt idx="6">
                  <c:v>16.799999999999997</c:v>
                </c:pt>
                <c:pt idx="7">
                  <c:v>16.299999999999997</c:v>
                </c:pt>
              </c:numCache>
            </c:numRef>
          </c:val>
          <c:extLst>
            <c:ext xmlns:c16="http://schemas.microsoft.com/office/drawing/2014/chart" uri="{C3380CC4-5D6E-409C-BE32-E72D297353CC}">
              <c16:uniqueId val="{00000001-025D-4B51-880C-F5E0CE7FE650}"/>
            </c:ext>
          </c:extLst>
        </c:ser>
        <c:ser>
          <c:idx val="3"/>
          <c:order val="3"/>
          <c:tx>
            <c:strRef>
              <c:f>Sheet1!$A$5</c:f>
              <c:strCache>
                <c:ptCount val="1"/>
                <c:pt idx="0">
                  <c:v>ծառայություններ</c:v>
                </c:pt>
              </c:strCache>
            </c:strRef>
          </c:tx>
          <c:spPr>
            <a:solidFill>
              <a:srgbClr val="00B0F0"/>
            </a:solidFill>
            <a:ln>
              <a:solidFill>
                <a:srgbClr val="00B0F0"/>
              </a:solidFill>
            </a:ln>
            <a:effectLst/>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Sheet1!$B$5:$I$5</c:f>
              <c:numCache>
                <c:formatCode>0.0</c:formatCode>
                <c:ptCount val="8"/>
                <c:pt idx="0">
                  <c:v>21.200000000000003</c:v>
                </c:pt>
                <c:pt idx="1">
                  <c:v>19</c:v>
                </c:pt>
                <c:pt idx="2">
                  <c:v>25.900000000000006</c:v>
                </c:pt>
                <c:pt idx="3">
                  <c:v>27.099999999999994</c:v>
                </c:pt>
                <c:pt idx="4">
                  <c:v>30.199999999999989</c:v>
                </c:pt>
                <c:pt idx="5">
                  <c:v>35.5</c:v>
                </c:pt>
                <c:pt idx="6">
                  <c:v>30.599999999999994</c:v>
                </c:pt>
                <c:pt idx="7">
                  <c:v>25.200000000000003</c:v>
                </c:pt>
              </c:numCache>
            </c:numRef>
          </c:val>
          <c:extLst>
            <c:ext xmlns:c16="http://schemas.microsoft.com/office/drawing/2014/chart" uri="{C3380CC4-5D6E-409C-BE32-E72D297353CC}">
              <c16:uniqueId val="{00000002-025D-4B51-880C-F5E0CE7FE650}"/>
            </c:ext>
          </c:extLst>
        </c:ser>
        <c:ser>
          <c:idx val="4"/>
          <c:order val="4"/>
          <c:tx>
            <c:strRef>
              <c:f>Sheet1!$A$6</c:f>
              <c:strCache>
                <c:ptCount val="1"/>
                <c:pt idx="0">
                  <c:v>առևտուր</c:v>
                </c:pt>
              </c:strCache>
            </c:strRef>
          </c:tx>
          <c:spPr>
            <a:solidFill>
              <a:srgbClr val="ED7D31"/>
            </a:solidFill>
            <a:ln>
              <a:solidFill>
                <a:srgbClr val="ED7D31"/>
              </a:solidFill>
            </a:ln>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Sheet1!$B$6:$I$6</c:f>
              <c:numCache>
                <c:formatCode>0.0</c:formatCode>
                <c:ptCount val="8"/>
                <c:pt idx="0">
                  <c:v>11.5</c:v>
                </c:pt>
                <c:pt idx="1">
                  <c:v>5.2999999999999972</c:v>
                </c:pt>
                <c:pt idx="2">
                  <c:v>6.5999999999999943</c:v>
                </c:pt>
                <c:pt idx="3">
                  <c:v>8.5999999999999943</c:v>
                </c:pt>
                <c:pt idx="4">
                  <c:v>12.400000000000006</c:v>
                </c:pt>
                <c:pt idx="5">
                  <c:v>18.200000000000003</c:v>
                </c:pt>
                <c:pt idx="6">
                  <c:v>21.299999999999997</c:v>
                </c:pt>
                <c:pt idx="7">
                  <c:v>20</c:v>
                </c:pt>
              </c:numCache>
            </c:numRef>
          </c:val>
          <c:extLst>
            <c:ext xmlns:c16="http://schemas.microsoft.com/office/drawing/2014/chart" uri="{C3380CC4-5D6E-409C-BE32-E72D297353CC}">
              <c16:uniqueId val="{00000003-025D-4B51-880C-F5E0CE7FE650}"/>
            </c:ext>
          </c:extLst>
        </c:ser>
        <c:dLbls>
          <c:showLegendKey val="0"/>
          <c:showVal val="0"/>
          <c:showCatName val="0"/>
          <c:showSerName val="0"/>
          <c:showPercent val="0"/>
          <c:showBubbleSize val="0"/>
        </c:dLbls>
        <c:gapWidth val="219"/>
        <c:overlap val="-27"/>
        <c:axId val="241792896"/>
        <c:axId val="241794432"/>
      </c:barChart>
      <c:lineChart>
        <c:grouping val="standard"/>
        <c:varyColors val="0"/>
        <c:ser>
          <c:idx val="0"/>
          <c:order val="0"/>
          <c:tx>
            <c:strRef>
              <c:f>Sheet1!$A$2</c:f>
              <c:strCache>
                <c:ptCount val="1"/>
                <c:pt idx="0">
                  <c:v>ՏԱՑ (աջ առանցք)</c:v>
                </c:pt>
              </c:strCache>
            </c:strRef>
          </c:tx>
          <c:spPr>
            <a:ln>
              <a:solidFill>
                <a:srgbClr val="4472C4">
                  <a:lumMod val="75000"/>
                </a:srgbClr>
              </a:solidFill>
            </a:ln>
            <a:effectLst/>
          </c:spPr>
          <c:marker>
            <c:spPr>
              <a:solidFill>
                <a:srgbClr val="4472C4">
                  <a:lumMod val="75000"/>
                </a:srgbClr>
              </a:solidFill>
              <a:ln>
                <a:solidFill>
                  <a:srgbClr val="4472C4">
                    <a:lumMod val="75000"/>
                  </a:srgbClr>
                </a:solidFill>
              </a:ln>
            </c:spPr>
          </c:marker>
          <c:dLbls>
            <c:dLbl>
              <c:idx val="0"/>
              <c:layout>
                <c:manualLayout>
                  <c:x val="-7.0390729460704182E-2"/>
                  <c:y val="-5.208326884751743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25D-4B51-880C-F5E0CE7FE650}"/>
                </c:ext>
              </c:extLst>
            </c:dLbl>
            <c:dLbl>
              <c:idx val="1"/>
              <c:layout>
                <c:manualLayout>
                  <c:x val="-3.2586539890060912E-2"/>
                  <c:y val="-4.019952714547973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25D-4B51-880C-F5E0CE7FE650}"/>
                </c:ext>
              </c:extLst>
            </c:dLbl>
            <c:dLbl>
              <c:idx val="2"/>
              <c:layout>
                <c:manualLayout>
                  <c:x val="-7.8571452153386484E-2"/>
                  <c:y val="-3.88452975330228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25D-4B51-880C-F5E0CE7FE650}"/>
                </c:ext>
              </c:extLst>
            </c:dLbl>
            <c:dLbl>
              <c:idx val="3"/>
              <c:layout>
                <c:manualLayout>
                  <c:x val="-6.6061176315224748E-2"/>
                  <c:y val="-4.286479071936842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25D-4B51-880C-F5E0CE7FE650}"/>
                </c:ext>
              </c:extLst>
            </c:dLbl>
            <c:dLbl>
              <c:idx val="4"/>
              <c:layout>
                <c:manualLayout>
                  <c:x val="-7.4378580035986061E-2"/>
                  <c:y val="-4.55245399548284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25D-4B51-880C-F5E0CE7FE650}"/>
                </c:ext>
              </c:extLst>
            </c:dLbl>
            <c:dLbl>
              <c:idx val="5"/>
              <c:layout>
                <c:manualLayout>
                  <c:x val="-5.8700209643605873E-2"/>
                  <c:y val="-4.668806536329150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025D-4B51-880C-F5E0CE7FE650}"/>
                </c:ext>
              </c:extLst>
            </c:dLbl>
            <c:dLbl>
              <c:idx val="6"/>
              <c:layout>
                <c:manualLayout>
                  <c:x val="-5.0314465408805034E-2"/>
                  <c:y val="-4.0852057192880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025D-4B51-880C-F5E0CE7FE650}"/>
                </c:ext>
              </c:extLst>
            </c:dLbl>
            <c:dLbl>
              <c:idx val="7"/>
              <c:layout>
                <c:manualLayout>
                  <c:x val="-4.6121593291404611E-2"/>
                  <c:y val="-5.83600817041144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025D-4B51-880C-F5E0CE7FE650}"/>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Sheet1!$B$2:$I$2</c:f>
              <c:numCache>
                <c:formatCode>0.0</c:formatCode>
                <c:ptCount val="8"/>
                <c:pt idx="0">
                  <c:v>14.81051623645115</c:v>
                </c:pt>
                <c:pt idx="1">
                  <c:v>8.3257211633604982</c:v>
                </c:pt>
                <c:pt idx="2">
                  <c:v>6.7716416471752581</c:v>
                </c:pt>
                <c:pt idx="3">
                  <c:v>8.7895461593255391</c:v>
                </c:pt>
                <c:pt idx="4">
                  <c:v>13.040396667584233</c:v>
                </c:pt>
                <c:pt idx="5">
                  <c:v>18.303638806864726</c:v>
                </c:pt>
                <c:pt idx="6">
                  <c:v>19.398472181546026</c:v>
                </c:pt>
                <c:pt idx="7">
                  <c:v>18.496803109603604</c:v>
                </c:pt>
              </c:numCache>
            </c:numRef>
          </c:val>
          <c:smooth val="0"/>
          <c:extLst>
            <c:ext xmlns:c16="http://schemas.microsoft.com/office/drawing/2014/chart" uri="{C3380CC4-5D6E-409C-BE32-E72D297353CC}">
              <c16:uniqueId val="{0000000C-025D-4B51-880C-F5E0CE7FE650}"/>
            </c:ext>
          </c:extLst>
        </c:ser>
        <c:dLbls>
          <c:showLegendKey val="0"/>
          <c:showVal val="0"/>
          <c:showCatName val="0"/>
          <c:showSerName val="0"/>
          <c:showPercent val="0"/>
          <c:showBubbleSize val="0"/>
        </c:dLbls>
        <c:marker val="1"/>
        <c:smooth val="0"/>
        <c:axId val="241797760"/>
        <c:axId val="241796224"/>
      </c:lineChart>
      <c:catAx>
        <c:axId val="24179289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41794432"/>
        <c:crosses val="autoZero"/>
        <c:auto val="1"/>
        <c:lblAlgn val="ctr"/>
        <c:lblOffset val="100"/>
        <c:noMultiLvlLbl val="0"/>
      </c:catAx>
      <c:valAx>
        <c:axId val="241794432"/>
        <c:scaling>
          <c:orientation val="minMax"/>
          <c:max val="40"/>
          <c:min val="-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41792896"/>
        <c:crosses val="autoZero"/>
        <c:crossBetween val="between"/>
        <c:majorUnit val="8"/>
      </c:valAx>
      <c:valAx>
        <c:axId val="241796224"/>
        <c:scaling>
          <c:orientation val="minMax"/>
          <c:max val="20"/>
        </c:scaling>
        <c:delete val="0"/>
        <c:axPos val="r"/>
        <c:numFmt formatCode="0.0" sourceLinked="1"/>
        <c:majorTickMark val="out"/>
        <c:minorTickMark val="none"/>
        <c:tickLblPos val="nextTo"/>
        <c:crossAx val="241797760"/>
        <c:crosses val="max"/>
        <c:crossBetween val="between"/>
      </c:valAx>
      <c:catAx>
        <c:axId val="241797760"/>
        <c:scaling>
          <c:orientation val="minMax"/>
        </c:scaling>
        <c:delete val="1"/>
        <c:axPos val="b"/>
        <c:numFmt formatCode="General" sourceLinked="1"/>
        <c:majorTickMark val="out"/>
        <c:minorTickMark val="none"/>
        <c:tickLblPos val="none"/>
        <c:crossAx val="241796224"/>
        <c:crosses val="autoZero"/>
        <c:auto val="1"/>
        <c:lblAlgn val="ctr"/>
        <c:lblOffset val="100"/>
        <c:noMultiLvlLbl val="0"/>
      </c:catAx>
      <c:spPr>
        <a:noFill/>
        <a:ln>
          <a:noFill/>
        </a:ln>
        <a:effectLst/>
      </c:spPr>
    </c:plotArea>
    <c:legend>
      <c:legendPos val="b"/>
      <c:layout>
        <c:manualLayout>
          <c:xMode val="edge"/>
          <c:yMode val="edge"/>
          <c:x val="3.9212598425196851E-2"/>
          <c:y val="0.79446551510904051"/>
          <c:w val="0.92687606666201161"/>
          <c:h val="0.2055344848909597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1054857812194963E-2"/>
          <c:w val="0.87658476118247253"/>
          <c:h val="0.55264186996053377"/>
        </c:manualLayout>
      </c:layout>
      <c:barChart>
        <c:barDir val="col"/>
        <c:grouping val="stacked"/>
        <c:varyColors val="0"/>
        <c:ser>
          <c:idx val="1"/>
          <c:order val="1"/>
          <c:tx>
            <c:strRef>
              <c:f>Sheet1!$A$3</c:f>
              <c:strCache>
                <c:ptCount val="1"/>
                <c:pt idx="0">
                  <c:v>արդյունաբերություն</c:v>
                </c:pt>
              </c:strCache>
            </c:strRef>
          </c:tx>
          <c:spPr>
            <a:solidFill>
              <a:srgbClr val="C00000"/>
            </a:solidFill>
            <a:ln>
              <a:solidFill>
                <a:srgbClr val="C00000"/>
              </a:solidFill>
            </a:ln>
            <a:effectLst/>
          </c:spPr>
          <c:invertIfNegative val="0"/>
          <c:cat>
            <c:strRef>
              <c:f>Sheet1!$B$1:$I$1</c:f>
              <c:strCache>
                <c:ptCount val="8"/>
                <c:pt idx="0">
                  <c:v>հունվար</c:v>
                </c:pt>
                <c:pt idx="1">
                  <c:v>հունվար - փետրվար</c:v>
                </c:pt>
                <c:pt idx="2">
                  <c:v>հունվար - մարտ</c:v>
                </c:pt>
                <c:pt idx="3">
                  <c:v>հունվար - ապրիլ</c:v>
                </c:pt>
                <c:pt idx="4">
                  <c:v>հունվար -մայիս</c:v>
                </c:pt>
                <c:pt idx="5">
                  <c:v>հունվար - հունիս</c:v>
                </c:pt>
                <c:pt idx="6">
                  <c:v>հունվար - հուլիս</c:v>
                </c:pt>
                <c:pt idx="7">
                  <c:v>հունվար - օգոստոս</c:v>
                </c:pt>
              </c:strCache>
            </c:strRef>
          </c:cat>
          <c:val>
            <c:numRef>
              <c:f>Sheet1!$B$3:$I$3</c:f>
              <c:numCache>
                <c:formatCode>0.0</c:formatCode>
                <c:ptCount val="8"/>
                <c:pt idx="0">
                  <c:v>3.7030065700093595</c:v>
                </c:pt>
                <c:pt idx="1">
                  <c:v>2.0666718542081428</c:v>
                </c:pt>
                <c:pt idx="2">
                  <c:v>0.76830855200421311</c:v>
                </c:pt>
                <c:pt idx="3">
                  <c:v>0.65983558706855716</c:v>
                </c:pt>
                <c:pt idx="4">
                  <c:v>0.62097885037064227</c:v>
                </c:pt>
                <c:pt idx="5">
                  <c:v>1.3037686305111453</c:v>
                </c:pt>
                <c:pt idx="6">
                  <c:v>1.5714382399563389</c:v>
                </c:pt>
                <c:pt idx="7">
                  <c:v>2.0538798313354554</c:v>
                </c:pt>
              </c:numCache>
            </c:numRef>
          </c:val>
          <c:extLst>
            <c:ext xmlns:c16="http://schemas.microsoft.com/office/drawing/2014/chart" uri="{C3380CC4-5D6E-409C-BE32-E72D297353CC}">
              <c16:uniqueId val="{00000000-CEEC-4991-A73C-5A0B7A71B404}"/>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Sheet1!$B$1:$I$1</c:f>
              <c:strCache>
                <c:ptCount val="8"/>
                <c:pt idx="0">
                  <c:v>հունվար</c:v>
                </c:pt>
                <c:pt idx="1">
                  <c:v>հունվար - փետրվար</c:v>
                </c:pt>
                <c:pt idx="2">
                  <c:v>հունվար - մարտ</c:v>
                </c:pt>
                <c:pt idx="3">
                  <c:v>հունվար - ապրիլ</c:v>
                </c:pt>
                <c:pt idx="4">
                  <c:v>հունվար -մայիս</c:v>
                </c:pt>
                <c:pt idx="5">
                  <c:v>հունվար - հունիս</c:v>
                </c:pt>
                <c:pt idx="6">
                  <c:v>հունվար - հուլիս</c:v>
                </c:pt>
                <c:pt idx="7">
                  <c:v>հունվար - օգոստոս</c:v>
                </c:pt>
              </c:strCache>
            </c:strRef>
          </c:cat>
          <c:val>
            <c:numRef>
              <c:f>Sheet1!$B$4:$I$4</c:f>
              <c:numCache>
                <c:formatCode>0.0</c:formatCode>
                <c:ptCount val="8"/>
                <c:pt idx="0">
                  <c:v>0</c:v>
                </c:pt>
                <c:pt idx="1">
                  <c:v>0</c:v>
                </c:pt>
                <c:pt idx="2">
                  <c:v>-0.67444374001273288</c:v>
                </c:pt>
                <c:pt idx="3">
                  <c:v>0</c:v>
                </c:pt>
                <c:pt idx="4">
                  <c:v>0</c:v>
                </c:pt>
                <c:pt idx="5">
                  <c:v>-0.68693343890185687</c:v>
                </c:pt>
                <c:pt idx="6">
                  <c:v>0</c:v>
                </c:pt>
                <c:pt idx="7">
                  <c:v>0</c:v>
                </c:pt>
              </c:numCache>
            </c:numRef>
          </c:val>
          <c:extLst>
            <c:ext xmlns:c16="http://schemas.microsoft.com/office/drawing/2014/chart" uri="{C3380CC4-5D6E-409C-BE32-E72D297353CC}">
              <c16:uniqueId val="{00000001-CEEC-4991-A73C-5A0B7A71B404}"/>
            </c:ext>
          </c:extLst>
        </c:ser>
        <c:ser>
          <c:idx val="3"/>
          <c:order val="3"/>
          <c:tx>
            <c:strRef>
              <c:f>Sheet1!$A$5</c:f>
              <c:strCache>
                <c:ptCount val="1"/>
                <c:pt idx="0">
                  <c:v>շինարարություն</c:v>
                </c:pt>
              </c:strCache>
            </c:strRef>
          </c:tx>
          <c:spPr>
            <a:solidFill>
              <a:srgbClr val="9C5BCD"/>
            </a:solidFill>
            <a:ln>
              <a:solidFill>
                <a:srgbClr val="9C5BCD"/>
              </a:solidFill>
            </a:ln>
            <a:effectLst/>
          </c:spPr>
          <c:invertIfNegative val="0"/>
          <c:cat>
            <c:strRef>
              <c:f>Sheet1!$B$1:$I$1</c:f>
              <c:strCache>
                <c:ptCount val="8"/>
                <c:pt idx="0">
                  <c:v>հունվար</c:v>
                </c:pt>
                <c:pt idx="1">
                  <c:v>հունվար - փետրվար</c:v>
                </c:pt>
                <c:pt idx="2">
                  <c:v>հունվար - մարտ</c:v>
                </c:pt>
                <c:pt idx="3">
                  <c:v>հունվար - ապրիլ</c:v>
                </c:pt>
                <c:pt idx="4">
                  <c:v>հունվար -մայիս</c:v>
                </c:pt>
                <c:pt idx="5">
                  <c:v>հունվար - հունիս</c:v>
                </c:pt>
                <c:pt idx="6">
                  <c:v>հունվար - հուլիս</c:v>
                </c:pt>
                <c:pt idx="7">
                  <c:v>հունվար - օգոստոս</c:v>
                </c:pt>
              </c:strCache>
            </c:strRef>
          </c:cat>
          <c:val>
            <c:numRef>
              <c:f>Sheet1!$B$5:$I$5</c:f>
              <c:numCache>
                <c:formatCode>0.0</c:formatCode>
                <c:ptCount val="8"/>
                <c:pt idx="0">
                  <c:v>0.21525790674990417</c:v>
                </c:pt>
                <c:pt idx="1">
                  <c:v>0.35158791435817721</c:v>
                </c:pt>
                <c:pt idx="2">
                  <c:v>0.44486634061646879</c:v>
                </c:pt>
                <c:pt idx="3">
                  <c:v>0.64577372024971247</c:v>
                </c:pt>
                <c:pt idx="4">
                  <c:v>0.81798004564963622</c:v>
                </c:pt>
                <c:pt idx="5">
                  <c:v>0.91125847190792786</c:v>
                </c:pt>
                <c:pt idx="6">
                  <c:v>0.97583584393289846</c:v>
                </c:pt>
                <c:pt idx="7">
                  <c:v>1.0188874252828799</c:v>
                </c:pt>
              </c:numCache>
            </c:numRef>
          </c:val>
          <c:extLst>
            <c:ext xmlns:c16="http://schemas.microsoft.com/office/drawing/2014/chart" uri="{C3380CC4-5D6E-409C-BE32-E72D297353CC}">
              <c16:uniqueId val="{00000002-CEEC-4991-A73C-5A0B7A71B404}"/>
            </c:ext>
          </c:extLst>
        </c:ser>
        <c:ser>
          <c:idx val="4"/>
          <c:order val="4"/>
          <c:tx>
            <c:strRef>
              <c:f>Sheet1!$A$6</c:f>
              <c:strCache>
                <c:ptCount val="1"/>
                <c:pt idx="0">
                  <c:v>ծառայություններ</c:v>
                </c:pt>
              </c:strCache>
            </c:strRef>
          </c:tx>
          <c:spPr>
            <a:solidFill>
              <a:srgbClr val="00B0F0"/>
            </a:solidFill>
            <a:ln>
              <a:solidFill>
                <a:srgbClr val="00B0F0"/>
              </a:solidFill>
            </a:ln>
          </c:spPr>
          <c:invertIfNegative val="0"/>
          <c:cat>
            <c:strRef>
              <c:f>Sheet1!$B$1:$I$1</c:f>
              <c:strCache>
                <c:ptCount val="8"/>
                <c:pt idx="0">
                  <c:v>հունվար</c:v>
                </c:pt>
                <c:pt idx="1">
                  <c:v>հունվար - փետրվար</c:v>
                </c:pt>
                <c:pt idx="2">
                  <c:v>հունվար - մարտ</c:v>
                </c:pt>
                <c:pt idx="3">
                  <c:v>հունվար - ապրիլ</c:v>
                </c:pt>
                <c:pt idx="4">
                  <c:v>հունվար -մայիս</c:v>
                </c:pt>
                <c:pt idx="5">
                  <c:v>հունվար - հունիս</c:v>
                </c:pt>
                <c:pt idx="6">
                  <c:v>հունվար - հուլիս</c:v>
                </c:pt>
                <c:pt idx="7">
                  <c:v>հունվար - օգոստոս</c:v>
                </c:pt>
              </c:strCache>
            </c:strRef>
          </c:cat>
          <c:val>
            <c:numRef>
              <c:f>Sheet1!$B$6:$I$6</c:f>
              <c:numCache>
                <c:formatCode>0.0</c:formatCode>
                <c:ptCount val="8"/>
                <c:pt idx="0">
                  <c:v>9.7040852150518262</c:v>
                </c:pt>
                <c:pt idx="1">
                  <c:v>9.1890623644776088</c:v>
                </c:pt>
                <c:pt idx="2">
                  <c:v>10.145961155806249</c:v>
                </c:pt>
                <c:pt idx="3">
                  <c:v>10.748298796805924</c:v>
                </c:pt>
                <c:pt idx="4">
                  <c:v>11.413859651454409</c:v>
                </c:pt>
                <c:pt idx="5">
                  <c:v>12.302544361735281</c:v>
                </c:pt>
                <c:pt idx="6">
                  <c:v>12.574371185841542</c:v>
                </c:pt>
                <c:pt idx="7">
                  <c:v>12.430106779093611</c:v>
                </c:pt>
              </c:numCache>
            </c:numRef>
          </c:val>
          <c:extLst>
            <c:ext xmlns:c16="http://schemas.microsoft.com/office/drawing/2014/chart" uri="{C3380CC4-5D6E-409C-BE32-E72D297353CC}">
              <c16:uniqueId val="{00000003-CEEC-4991-A73C-5A0B7A71B404}"/>
            </c:ext>
          </c:extLst>
        </c:ser>
        <c:ser>
          <c:idx val="5"/>
          <c:order val="5"/>
          <c:tx>
            <c:strRef>
              <c:f>Sheet1!$A$7</c:f>
              <c:strCache>
                <c:ptCount val="1"/>
                <c:pt idx="0">
                  <c:v>առևտուր</c:v>
                </c:pt>
              </c:strCache>
            </c:strRef>
          </c:tx>
          <c:spPr>
            <a:solidFill>
              <a:srgbClr val="ED7D31"/>
            </a:solidFill>
            <a:ln>
              <a:solidFill>
                <a:srgbClr val="ED7D31"/>
              </a:solidFill>
            </a:ln>
          </c:spPr>
          <c:invertIfNegative val="0"/>
          <c:cat>
            <c:strRef>
              <c:f>Sheet1!$B$1:$I$1</c:f>
              <c:strCache>
                <c:ptCount val="8"/>
                <c:pt idx="0">
                  <c:v>հունվար</c:v>
                </c:pt>
                <c:pt idx="1">
                  <c:v>հունվար - փետրվար</c:v>
                </c:pt>
                <c:pt idx="2">
                  <c:v>հունվար - մարտ</c:v>
                </c:pt>
                <c:pt idx="3">
                  <c:v>հունվար - ապրիլ</c:v>
                </c:pt>
                <c:pt idx="4">
                  <c:v>հունվար -մայիս</c:v>
                </c:pt>
                <c:pt idx="5">
                  <c:v>հունվար - հունիս</c:v>
                </c:pt>
                <c:pt idx="6">
                  <c:v>հունվար - հուլիս</c:v>
                </c:pt>
                <c:pt idx="7">
                  <c:v>հունվար - օգոստոս</c:v>
                </c:pt>
              </c:strCache>
            </c:strRef>
          </c:cat>
          <c:val>
            <c:numRef>
              <c:f>Sheet1!$B$7:$I$7</c:f>
              <c:numCache>
                <c:formatCode>0.0</c:formatCode>
                <c:ptCount val="8"/>
                <c:pt idx="0">
                  <c:v>1.4245462451075392</c:v>
                </c:pt>
                <c:pt idx="1">
                  <c:v>1.0157634095549413</c:v>
                </c:pt>
                <c:pt idx="2">
                  <c:v>0.941439257636286</c:v>
                </c:pt>
                <c:pt idx="3">
                  <c:v>0.96621397494250449</c:v>
                </c:pt>
                <c:pt idx="4">
                  <c:v>1.102474920126705</c:v>
                </c:pt>
                <c:pt idx="5">
                  <c:v>1.3254473758826673</c:v>
                </c:pt>
                <c:pt idx="6">
                  <c:v>1.5484198316386295</c:v>
                </c:pt>
                <c:pt idx="7">
                  <c:v>1.6846807768228282</c:v>
                </c:pt>
              </c:numCache>
            </c:numRef>
          </c:val>
          <c:extLst>
            <c:ext xmlns:c16="http://schemas.microsoft.com/office/drawing/2014/chart" uri="{C3380CC4-5D6E-409C-BE32-E72D297353CC}">
              <c16:uniqueId val="{00000004-CEEC-4991-A73C-5A0B7A71B404}"/>
            </c:ext>
          </c:extLst>
        </c:ser>
        <c:ser>
          <c:idx val="6"/>
          <c:order val="6"/>
          <c:tx>
            <c:strRef>
              <c:f>Sheet1!$A$8</c:f>
              <c:strCache>
                <c:ptCount val="1"/>
                <c:pt idx="0">
                  <c:v>այլ </c:v>
                </c:pt>
              </c:strCache>
            </c:strRef>
          </c:tx>
          <c:spPr>
            <a:solidFill>
              <a:srgbClr val="5B9BD5">
                <a:lumMod val="40000"/>
                <a:lumOff val="60000"/>
              </a:srgbClr>
            </a:solidFill>
          </c:spPr>
          <c:invertIfNegative val="0"/>
          <c:cat>
            <c:strRef>
              <c:f>Sheet1!$B$1:$I$1</c:f>
              <c:strCache>
                <c:ptCount val="8"/>
                <c:pt idx="0">
                  <c:v>հունվար</c:v>
                </c:pt>
                <c:pt idx="1">
                  <c:v>հունվար - փետրվար</c:v>
                </c:pt>
                <c:pt idx="2">
                  <c:v>հունվար - մարտ</c:v>
                </c:pt>
                <c:pt idx="3">
                  <c:v>հունվար - ապրիլ</c:v>
                </c:pt>
                <c:pt idx="4">
                  <c:v>հունվար -մայիս</c:v>
                </c:pt>
                <c:pt idx="5">
                  <c:v>հունվար - հունիս</c:v>
                </c:pt>
                <c:pt idx="6">
                  <c:v>հունվար - հուլիս</c:v>
                </c:pt>
                <c:pt idx="7">
                  <c:v>հունվար - օգոստոս</c:v>
                </c:pt>
              </c:strCache>
            </c:strRef>
          </c:cat>
          <c:val>
            <c:numRef>
              <c:f>Sheet1!$B$8:$I$8</c:f>
              <c:numCache>
                <c:formatCode>0.0</c:formatCode>
                <c:ptCount val="8"/>
                <c:pt idx="0">
                  <c:v>-0.23637970046747925</c:v>
                </c:pt>
                <c:pt idx="1">
                  <c:v>-1.2392104705410216</c:v>
                </c:pt>
                <c:pt idx="2">
                  <c:v>-1.9369922658540681</c:v>
                </c:pt>
                <c:pt idx="3">
                  <c:v>-3.5784687812716411</c:v>
                </c:pt>
                <c:pt idx="4">
                  <c:v>-3.7240006478374696</c:v>
                </c:pt>
                <c:pt idx="5">
                  <c:v>-3.3366121249937706</c:v>
                </c:pt>
                <c:pt idx="6">
                  <c:v>-3.5283081100962552</c:v>
                </c:pt>
                <c:pt idx="7">
                  <c:v>-3.2344712777951408</c:v>
                </c:pt>
              </c:numCache>
            </c:numRef>
          </c:val>
          <c:extLst>
            <c:ext xmlns:c16="http://schemas.microsoft.com/office/drawing/2014/chart" uri="{C3380CC4-5D6E-409C-BE32-E72D297353CC}">
              <c16:uniqueId val="{00000005-CEEC-4991-A73C-5A0B7A71B404}"/>
            </c:ext>
          </c:extLst>
        </c:ser>
        <c:dLbls>
          <c:showLegendKey val="0"/>
          <c:showVal val="0"/>
          <c:showCatName val="0"/>
          <c:showSerName val="0"/>
          <c:showPercent val="0"/>
          <c:showBubbleSize val="0"/>
        </c:dLbls>
        <c:gapWidth val="150"/>
        <c:overlap val="100"/>
        <c:axId val="244868608"/>
        <c:axId val="244870144"/>
      </c:barChart>
      <c:lineChart>
        <c:grouping val="standard"/>
        <c:varyColors val="0"/>
        <c:ser>
          <c:idx val="0"/>
          <c:order val="0"/>
          <c:tx>
            <c:strRef>
              <c:f>Sheet1!$A$2</c:f>
              <c:strCache>
                <c:ptCount val="1"/>
                <c:pt idx="0">
                  <c:v>ՏԱՑ</c:v>
                </c:pt>
              </c:strCache>
            </c:strRef>
          </c:tx>
          <c:spPr>
            <a:ln>
              <a:solidFill>
                <a:srgbClr val="4472C4">
                  <a:lumMod val="75000"/>
                </a:srgbClr>
              </a:solidFill>
            </a:ln>
            <a:effectLst/>
          </c:spPr>
          <c:marker>
            <c:spPr>
              <a:ln>
                <a:solidFill>
                  <a:srgbClr val="4472C4">
                    <a:lumMod val="75000"/>
                  </a:srgbClr>
                </a:solidFill>
              </a:ln>
            </c:spPr>
          </c:marker>
          <c:dLbls>
            <c:dLbl>
              <c:idx val="0"/>
              <c:layout>
                <c:manualLayout>
                  <c:x val="-4.5370159499293398E-2"/>
                  <c:y val="-4.550030324550444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EEC-4991-A73C-5A0B7A71B404}"/>
                </c:ext>
              </c:extLst>
            </c:dLbl>
            <c:dLbl>
              <c:idx val="1"/>
              <c:layout>
                <c:manualLayout>
                  <c:x val="-5.7743751261861501E-2"/>
                  <c:y val="-5.208376772004958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EEC-4991-A73C-5A0B7A71B404}"/>
                </c:ext>
              </c:extLst>
            </c:dLbl>
            <c:dLbl>
              <c:idx val="2"/>
              <c:layout>
                <c:manualLayout>
                  <c:x val="-5.7435897435897436E-2"/>
                  <c:y val="-4.44182575958130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CEEC-4991-A73C-5A0B7A71B404}"/>
                </c:ext>
              </c:extLst>
            </c:dLbl>
            <c:dLbl>
              <c:idx val="3"/>
              <c:layout>
                <c:manualLayout>
                  <c:x val="-5.7699818291944274E-2"/>
                  <c:y val="-4.252905607864176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CEEC-4991-A73C-5A0B7A71B404}"/>
                </c:ext>
              </c:extLst>
            </c:dLbl>
            <c:dLbl>
              <c:idx val="4"/>
              <c:layout>
                <c:manualLayout>
                  <c:x val="-5.7457863920856195E-2"/>
                  <c:y val="-4.322485574456421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CEEC-4991-A73C-5A0B7A71B404}"/>
                </c:ext>
              </c:extLst>
            </c:dLbl>
            <c:dLbl>
              <c:idx val="5"/>
              <c:layout>
                <c:manualLayout>
                  <c:x val="-6.1538461538461542E-2"/>
                  <c:y val="-4.165426956263017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CEEC-4991-A73C-5A0B7A71B404}"/>
                </c:ext>
              </c:extLst>
            </c:dLbl>
            <c:dLbl>
              <c:idx val="6"/>
              <c:layout>
                <c:manualLayout>
                  <c:x val="-4.9230769230769231E-2"/>
                  <c:y val="-4.760487950014876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CEEC-4991-A73C-5A0B7A71B404}"/>
                </c:ext>
              </c:extLst>
            </c:dLbl>
            <c:dLbl>
              <c:idx val="7"/>
              <c:layout>
                <c:manualLayout>
                  <c:x val="-3.282051282051282E-2"/>
                  <c:y val="-4.165426956263017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CEEC-4991-A73C-5A0B7A71B40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Sheet1!$B$1:$I$1</c:f>
              <c:strCache>
                <c:ptCount val="8"/>
                <c:pt idx="0">
                  <c:v>հունվար</c:v>
                </c:pt>
                <c:pt idx="1">
                  <c:v>հունվար - փետրվար</c:v>
                </c:pt>
                <c:pt idx="2">
                  <c:v>հունվար - մարտ</c:v>
                </c:pt>
                <c:pt idx="3">
                  <c:v>հունվար - ապրիլ</c:v>
                </c:pt>
                <c:pt idx="4">
                  <c:v>հունվար -մայիս</c:v>
                </c:pt>
                <c:pt idx="5">
                  <c:v>հունվար - հունիս</c:v>
                </c:pt>
                <c:pt idx="6">
                  <c:v>հունվար - հուլիս</c:v>
                </c:pt>
                <c:pt idx="7">
                  <c:v>հունվար - օգոստոս</c:v>
                </c:pt>
              </c:strCache>
            </c:strRef>
          </c:cat>
          <c:val>
            <c:numRef>
              <c:f>Sheet1!$B$2:$I$2</c:f>
              <c:numCache>
                <c:formatCode>0.0</c:formatCode>
                <c:ptCount val="8"/>
                <c:pt idx="0">
                  <c:v>14.81051623645115</c:v>
                </c:pt>
                <c:pt idx="1">
                  <c:v>11.383875072057847</c:v>
                </c:pt>
                <c:pt idx="2">
                  <c:v>9.6891393001964161</c:v>
                </c:pt>
                <c:pt idx="3">
                  <c:v>9.4416532977950567</c:v>
                </c:pt>
                <c:pt idx="4">
                  <c:v>10.231292819763922</c:v>
                </c:pt>
                <c:pt idx="5">
                  <c:v>11.819473276141395</c:v>
                </c:pt>
                <c:pt idx="6">
                  <c:v>13.141756991273155</c:v>
                </c:pt>
                <c:pt idx="7">
                  <c:v>13.953083534739633</c:v>
                </c:pt>
              </c:numCache>
            </c:numRef>
          </c:val>
          <c:smooth val="0"/>
          <c:extLst>
            <c:ext xmlns:c16="http://schemas.microsoft.com/office/drawing/2014/chart" uri="{C3380CC4-5D6E-409C-BE32-E72D297353CC}">
              <c16:uniqueId val="{0000000E-CEEC-4991-A73C-5A0B7A71B404}"/>
            </c:ext>
          </c:extLst>
        </c:ser>
        <c:dLbls>
          <c:showLegendKey val="0"/>
          <c:showVal val="0"/>
          <c:showCatName val="0"/>
          <c:showSerName val="0"/>
          <c:showPercent val="0"/>
          <c:showBubbleSize val="0"/>
        </c:dLbls>
        <c:marker val="1"/>
        <c:smooth val="0"/>
        <c:axId val="244868608"/>
        <c:axId val="244870144"/>
      </c:lineChart>
      <c:catAx>
        <c:axId val="2448686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44870144"/>
        <c:crosses val="autoZero"/>
        <c:auto val="1"/>
        <c:lblAlgn val="ctr"/>
        <c:lblOffset val="100"/>
        <c:noMultiLvlLbl val="0"/>
      </c:catAx>
      <c:valAx>
        <c:axId val="244870144"/>
        <c:scaling>
          <c:orientation val="minMax"/>
          <c:max val="16"/>
          <c:min val="-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44868608"/>
        <c:crosses val="autoZero"/>
        <c:crossBetween val="between"/>
      </c:valAx>
      <c:spPr>
        <a:noFill/>
        <a:ln>
          <a:noFill/>
        </a:ln>
        <a:effectLst/>
      </c:spPr>
    </c:plotArea>
    <c:legend>
      <c:legendPos val="b"/>
      <c:layout>
        <c:manualLayout>
          <c:xMode val="edge"/>
          <c:yMode val="edge"/>
          <c:x val="3.9212662156607202E-2"/>
          <c:y val="0.77063982271677356"/>
          <c:w val="0.93458477517078753"/>
          <c:h val="0.2293601772832288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8.1124951594165523E-2"/>
          <c:w val="0.87658476118247253"/>
          <c:h val="0.56153951611461161"/>
        </c:manualLayout>
      </c:layout>
      <c:barChart>
        <c:barDir val="col"/>
        <c:grouping val="stacked"/>
        <c:varyColors val="0"/>
        <c:ser>
          <c:idx val="1"/>
          <c:order val="1"/>
          <c:tx>
            <c:strRef>
              <c:f>Sheet1!$A$3</c:f>
              <c:strCache>
                <c:ptCount val="1"/>
                <c:pt idx="0">
                  <c:v>արդյունաբերություն</c:v>
                </c:pt>
              </c:strCache>
            </c:strRef>
          </c:tx>
          <c:spPr>
            <a:solidFill>
              <a:srgbClr val="C00000"/>
            </a:solidFill>
            <a:ln>
              <a:solidFill>
                <a:srgbClr val="C00000"/>
              </a:solidFill>
            </a:ln>
            <a:effectLst/>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Sheet1!$B$3:$I$3</c:f>
              <c:numCache>
                <c:formatCode>0.0</c:formatCode>
                <c:ptCount val="8"/>
                <c:pt idx="0">
                  <c:v>3.7030065700093533</c:v>
                </c:pt>
                <c:pt idx="1">
                  <c:v>0.64303706904354152</c:v>
                </c:pt>
                <c:pt idx="2">
                  <c:v>-1.4191162903029866</c:v>
                </c:pt>
                <c:pt idx="3">
                  <c:v>0.37695276461173111</c:v>
                </c:pt>
                <c:pt idx="4">
                  <c:v>0.48782122479165185</c:v>
                </c:pt>
                <c:pt idx="5">
                  <c:v>4.2351751788729706</c:v>
                </c:pt>
                <c:pt idx="6">
                  <c:v>3.0377958089298289</c:v>
                </c:pt>
                <c:pt idx="7">
                  <c:v>5.1664702443843051</c:v>
                </c:pt>
              </c:numCache>
            </c:numRef>
          </c:val>
          <c:extLst>
            <c:ext xmlns:c16="http://schemas.microsoft.com/office/drawing/2014/chart" uri="{C3380CC4-5D6E-409C-BE32-E72D297353CC}">
              <c16:uniqueId val="{00000000-A113-4413-ACEF-AFEFC6AB6BA3}"/>
            </c:ext>
          </c:extLst>
        </c:ser>
        <c:ser>
          <c:idx val="2"/>
          <c:order val="2"/>
          <c:tx>
            <c:strRef>
              <c:f>Sheet1!$A$4</c:f>
              <c:strCache>
                <c:ptCount val="1"/>
                <c:pt idx="0">
                  <c:v>շինարարություն</c:v>
                </c:pt>
              </c:strCache>
            </c:strRef>
          </c:tx>
          <c:spPr>
            <a:solidFill>
              <a:srgbClr val="9C5BCD"/>
            </a:solidFill>
            <a:ln>
              <a:solidFill>
                <a:srgbClr val="9C5BCD"/>
              </a:solidFill>
            </a:ln>
            <a:effectLst/>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Sheet1!$B$4:$I$4</c:f>
              <c:numCache>
                <c:formatCode>0.0</c:formatCode>
                <c:ptCount val="8"/>
                <c:pt idx="0">
                  <c:v>0.21525790674990417</c:v>
                </c:pt>
                <c:pt idx="1">
                  <c:v>0.45204160417479855</c:v>
                </c:pt>
                <c:pt idx="2">
                  <c:v>0.58837161178307162</c:v>
                </c:pt>
                <c:pt idx="3">
                  <c:v>1.1193411150995012</c:v>
                </c:pt>
                <c:pt idx="4">
                  <c:v>1.2987227040577547</c:v>
                </c:pt>
                <c:pt idx="5">
                  <c:v>1.1982690142411334</c:v>
                </c:pt>
                <c:pt idx="6">
                  <c:v>1.2054442777994632</c:v>
                </c:pt>
                <c:pt idx="7">
                  <c:v>1.1695679600078124</c:v>
                </c:pt>
              </c:numCache>
            </c:numRef>
          </c:val>
          <c:extLst>
            <c:ext xmlns:c16="http://schemas.microsoft.com/office/drawing/2014/chart" uri="{C3380CC4-5D6E-409C-BE32-E72D297353CC}">
              <c16:uniqueId val="{00000001-A113-4413-ACEF-AFEFC6AB6BA3}"/>
            </c:ext>
          </c:extLst>
        </c:ser>
        <c:ser>
          <c:idx val="3"/>
          <c:order val="3"/>
          <c:tx>
            <c:strRef>
              <c:f>Sheet1!$A$5</c:f>
              <c:strCache>
                <c:ptCount val="1"/>
                <c:pt idx="0">
                  <c:v>ծառայություններ</c:v>
                </c:pt>
              </c:strCache>
            </c:strRef>
          </c:tx>
          <c:spPr>
            <a:solidFill>
              <a:srgbClr val="00B0F0"/>
            </a:solidFill>
            <a:ln>
              <a:solidFill>
                <a:srgbClr val="00B0F0"/>
              </a:solidFill>
            </a:ln>
            <a:effectLst/>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Sheet1!$B$5:$I$5</c:f>
              <c:numCache>
                <c:formatCode>0.0</c:formatCode>
                <c:ptCount val="8"/>
                <c:pt idx="0">
                  <c:v>9.7040852150518262</c:v>
                </c:pt>
                <c:pt idx="1">
                  <c:v>8.6970575040558806</c:v>
                </c:pt>
                <c:pt idx="2">
                  <c:v>11.855462597634071</c:v>
                </c:pt>
                <c:pt idx="3">
                  <c:v>12.404750439995491</c:v>
                </c:pt>
                <c:pt idx="4">
                  <c:v>13.8237440327625</c:v>
                </c:pt>
                <c:pt idx="5">
                  <c:v>16.24976533652546</c:v>
                </c:pt>
                <c:pt idx="6">
                  <c:v>14.006839980216311</c:v>
                </c:pt>
                <c:pt idx="7">
                  <c:v>11.535044689589906</c:v>
                </c:pt>
              </c:numCache>
            </c:numRef>
          </c:val>
          <c:extLst>
            <c:ext xmlns:c16="http://schemas.microsoft.com/office/drawing/2014/chart" uri="{C3380CC4-5D6E-409C-BE32-E72D297353CC}">
              <c16:uniqueId val="{00000002-A113-4413-ACEF-AFEFC6AB6BA3}"/>
            </c:ext>
          </c:extLst>
        </c:ser>
        <c:ser>
          <c:idx val="4"/>
          <c:order val="4"/>
          <c:tx>
            <c:strRef>
              <c:f>Sheet1!$A$6</c:f>
              <c:strCache>
                <c:ptCount val="1"/>
                <c:pt idx="0">
                  <c:v>առևտուր</c:v>
                </c:pt>
              </c:strCache>
            </c:strRef>
          </c:tx>
          <c:spPr>
            <a:solidFill>
              <a:srgbClr val="ED7D31"/>
            </a:solidFill>
            <a:ln>
              <a:solidFill>
                <a:srgbClr val="ED7D31"/>
              </a:solidFill>
            </a:ln>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Sheet1!$B$6:$I$6</c:f>
              <c:numCache>
                <c:formatCode>0.0</c:formatCode>
                <c:ptCount val="8"/>
                <c:pt idx="0">
                  <c:v>1.4245462451075392</c:v>
                </c:pt>
                <c:pt idx="1">
                  <c:v>0.6565300086147785</c:v>
                </c:pt>
                <c:pt idx="2">
                  <c:v>0.81756567110519562</c:v>
                </c:pt>
                <c:pt idx="3">
                  <c:v>1.0653128441673765</c:v>
                </c:pt>
                <c:pt idx="4">
                  <c:v>1.5360324729855213</c:v>
                </c:pt>
                <c:pt idx="5">
                  <c:v>2.2544992748658448</c:v>
                </c:pt>
                <c:pt idx="6">
                  <c:v>2.6385073931122243</c:v>
                </c:pt>
                <c:pt idx="7">
                  <c:v>2.477471730621807</c:v>
                </c:pt>
              </c:numCache>
            </c:numRef>
          </c:val>
          <c:extLst>
            <c:ext xmlns:c16="http://schemas.microsoft.com/office/drawing/2014/chart" uri="{C3380CC4-5D6E-409C-BE32-E72D297353CC}">
              <c16:uniqueId val="{00000003-A113-4413-ACEF-AFEFC6AB6BA3}"/>
            </c:ext>
          </c:extLst>
        </c:ser>
        <c:ser>
          <c:idx val="5"/>
          <c:order val="5"/>
          <c:tx>
            <c:strRef>
              <c:f>Sheet1!$A$7</c:f>
              <c:strCache>
                <c:ptCount val="1"/>
                <c:pt idx="0">
                  <c:v>այլ </c:v>
                </c:pt>
              </c:strCache>
            </c:strRef>
          </c:tx>
          <c:spPr>
            <a:solidFill>
              <a:srgbClr val="5B9BD5">
                <a:lumMod val="40000"/>
                <a:lumOff val="60000"/>
              </a:srgbClr>
            </a:solidFill>
            <a:ln>
              <a:solidFill>
                <a:srgbClr val="5B9BD5">
                  <a:lumMod val="40000"/>
                  <a:lumOff val="60000"/>
                </a:srgbClr>
              </a:solidFill>
            </a:ln>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Sheet1!$B$7:$I$7</c:f>
              <c:numCache>
                <c:formatCode>0.0</c:formatCode>
                <c:ptCount val="8"/>
                <c:pt idx="0">
                  <c:v>-0.2363797004674737</c:v>
                </c:pt>
                <c:pt idx="1">
                  <c:v>-2.1229450225285014</c:v>
                </c:pt>
                <c:pt idx="2">
                  <c:v>-5.0706419430440945</c:v>
                </c:pt>
                <c:pt idx="3">
                  <c:v>-6.1768110045485614</c:v>
                </c:pt>
                <c:pt idx="4">
                  <c:v>-4.1059237670131949</c:v>
                </c:pt>
                <c:pt idx="5">
                  <c:v>-5.6340699976406796</c:v>
                </c:pt>
                <c:pt idx="6">
                  <c:v>-1.4901152785118015</c:v>
                </c:pt>
                <c:pt idx="7">
                  <c:v>-1.8517515150002275</c:v>
                </c:pt>
              </c:numCache>
            </c:numRef>
          </c:val>
          <c:extLst>
            <c:ext xmlns:c16="http://schemas.microsoft.com/office/drawing/2014/chart" uri="{C3380CC4-5D6E-409C-BE32-E72D297353CC}">
              <c16:uniqueId val="{00000004-A113-4413-ACEF-AFEFC6AB6BA3}"/>
            </c:ext>
          </c:extLst>
        </c:ser>
        <c:dLbls>
          <c:showLegendKey val="0"/>
          <c:showVal val="0"/>
          <c:showCatName val="0"/>
          <c:showSerName val="0"/>
          <c:showPercent val="0"/>
          <c:showBubbleSize val="0"/>
        </c:dLbls>
        <c:gapWidth val="219"/>
        <c:overlap val="100"/>
        <c:axId val="245876224"/>
        <c:axId val="245877760"/>
      </c:barChart>
      <c:lineChart>
        <c:grouping val="standard"/>
        <c:varyColors val="0"/>
        <c:ser>
          <c:idx val="0"/>
          <c:order val="0"/>
          <c:tx>
            <c:strRef>
              <c:f>Sheet1!$A$2</c:f>
              <c:strCache>
                <c:ptCount val="1"/>
                <c:pt idx="0">
                  <c:v>ՏԱՑ</c:v>
                </c:pt>
              </c:strCache>
            </c:strRef>
          </c:tx>
          <c:spPr>
            <a:ln>
              <a:solidFill>
                <a:srgbClr val="4472C4">
                  <a:lumMod val="75000"/>
                </a:srgbClr>
              </a:solidFill>
            </a:ln>
            <a:effectLst/>
          </c:spPr>
          <c:marker>
            <c:spPr>
              <a:ln>
                <a:solidFill>
                  <a:srgbClr val="4472C4">
                    <a:lumMod val="75000"/>
                  </a:srgbClr>
                </a:solidFill>
              </a:ln>
            </c:spPr>
          </c:marker>
          <c:dLbls>
            <c:dLbl>
              <c:idx val="0"/>
              <c:layout>
                <c:manualLayout>
                  <c:x val="-6.6237445871316594E-2"/>
                  <c:y val="-4.5600377748567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113-4413-ACEF-AFEFC6AB6BA3}"/>
                </c:ext>
              </c:extLst>
            </c:dLbl>
            <c:dLbl>
              <c:idx val="1"/>
              <c:layout>
                <c:manualLayout>
                  <c:x val="-5.7522293848818219E-2"/>
                  <c:y val="-5.20022785244034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113-4413-ACEF-AFEFC6AB6BA3}"/>
                </c:ext>
              </c:extLst>
            </c:dLbl>
            <c:dLbl>
              <c:idx val="2"/>
              <c:layout>
                <c:manualLayout>
                  <c:x val="-6.9977616924800007E-2"/>
                  <c:y val="-5.15632088882616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113-4413-ACEF-AFEFC6AB6BA3}"/>
                </c:ext>
              </c:extLst>
            </c:dLbl>
            <c:dLbl>
              <c:idx val="3"/>
              <c:layout>
                <c:manualLayout>
                  <c:x val="-6.5742338003130577E-2"/>
                  <c:y val="-5.06059261798421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113-4413-ACEF-AFEFC6AB6BA3}"/>
                </c:ext>
              </c:extLst>
            </c:dLbl>
            <c:dLbl>
              <c:idx val="4"/>
              <c:layout>
                <c:manualLayout>
                  <c:x val="-6.2008426369540064E-2"/>
                  <c:y val="-5.076774174034903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113-4413-ACEF-AFEFC6AB6BA3}"/>
                </c:ext>
              </c:extLst>
            </c:dLbl>
            <c:dLbl>
              <c:idx val="5"/>
              <c:layout>
                <c:manualLayout>
                  <c:x val="-6.4088335817509112E-2"/>
                  <c:y val="-3.88977386149394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A113-4413-ACEF-AFEFC6AB6BA3}"/>
                </c:ext>
              </c:extLst>
            </c:dLbl>
            <c:dLbl>
              <c:idx val="6"/>
              <c:layout>
                <c:manualLayout>
                  <c:x val="-4.7042527842879989E-2"/>
                  <c:y val="-5.18636514865859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A113-4413-ACEF-AFEFC6AB6BA3}"/>
                </c:ext>
              </c:extLst>
            </c:dLbl>
            <c:dLbl>
              <c:idx val="7"/>
              <c:layout>
                <c:manualLayout>
                  <c:x val="0"/>
                  <c:y val="-4.481434058898853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A113-4413-ACEF-AFEFC6AB6BA3}"/>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Sheet1!$B$2:$I$2</c:f>
              <c:numCache>
                <c:formatCode>0.0</c:formatCode>
                <c:ptCount val="8"/>
                <c:pt idx="0">
                  <c:v>14.81051623645115</c:v>
                </c:pt>
                <c:pt idx="1">
                  <c:v>8.3257211633604982</c:v>
                </c:pt>
                <c:pt idx="2">
                  <c:v>6.7716416471752581</c:v>
                </c:pt>
                <c:pt idx="3">
                  <c:v>8.7895461593255391</c:v>
                </c:pt>
                <c:pt idx="4">
                  <c:v>13.040396667584233</c:v>
                </c:pt>
                <c:pt idx="5">
                  <c:v>18.303638806864726</c:v>
                </c:pt>
                <c:pt idx="6">
                  <c:v>19.398472181546026</c:v>
                </c:pt>
                <c:pt idx="7">
                  <c:v>18.496803109603604</c:v>
                </c:pt>
              </c:numCache>
            </c:numRef>
          </c:val>
          <c:smooth val="0"/>
          <c:extLst>
            <c:ext xmlns:c16="http://schemas.microsoft.com/office/drawing/2014/chart" uri="{C3380CC4-5D6E-409C-BE32-E72D297353CC}">
              <c16:uniqueId val="{0000000D-A113-4413-ACEF-AFEFC6AB6BA3}"/>
            </c:ext>
          </c:extLst>
        </c:ser>
        <c:dLbls>
          <c:showLegendKey val="0"/>
          <c:showVal val="0"/>
          <c:showCatName val="0"/>
          <c:showSerName val="0"/>
          <c:showPercent val="0"/>
          <c:showBubbleSize val="0"/>
        </c:dLbls>
        <c:marker val="1"/>
        <c:smooth val="0"/>
        <c:axId val="245876224"/>
        <c:axId val="245877760"/>
      </c:lineChart>
      <c:catAx>
        <c:axId val="2458762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45877760"/>
        <c:crosses val="autoZero"/>
        <c:auto val="1"/>
        <c:lblAlgn val="ctr"/>
        <c:lblOffset val="100"/>
        <c:noMultiLvlLbl val="0"/>
      </c:catAx>
      <c:valAx>
        <c:axId val="245877760"/>
        <c:scaling>
          <c:orientation val="minMax"/>
          <c:max val="21"/>
          <c:min val="-7"/>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45876224"/>
        <c:crosses val="autoZero"/>
        <c:crossBetween val="between"/>
        <c:majorUnit val="7"/>
      </c:valAx>
      <c:spPr>
        <a:noFill/>
        <a:ln>
          <a:noFill/>
        </a:ln>
        <a:effectLst/>
      </c:spPr>
    </c:plotArea>
    <c:legend>
      <c:legendPos val="b"/>
      <c:layout>
        <c:manualLayout>
          <c:xMode val="edge"/>
          <c:yMode val="edge"/>
          <c:x val="3.9212432830754193E-2"/>
          <c:y val="0.77158400988919762"/>
          <c:w val="0.92635475389664357"/>
          <c:h val="0.1836016816719933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Sheet1!$A$3</c:f>
              <c:strCache>
                <c:ptCount val="1"/>
                <c:pt idx="0">
                  <c:v>Անվանական ՀՆԱ, մլրդ դրամ</c:v>
                </c:pt>
              </c:strCache>
            </c:strRef>
          </c:tx>
          <c:spPr>
            <a:solidFill>
              <a:schemeClr val="accent2"/>
            </a:solidFill>
            <a:ln>
              <a:noFill/>
            </a:ln>
            <a:effectLst/>
          </c:spPr>
          <c:invertIfNegative val="0"/>
          <c:cat>
            <c:numRef>
              <c:f>Sheet1!$B$1:$Y$1</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Sheet1!$B$3:$Y$3</c:f>
              <c:numCache>
                <c:formatCode>_(* #,##0_);_(* \(#,##0\);_(* "-"??_);_(@_)</c:formatCode>
                <c:ptCount val="24"/>
                <c:pt idx="0">
                  <c:v>1031.3383000000001</c:v>
                </c:pt>
                <c:pt idx="1">
                  <c:v>1175.8768043886819</c:v>
                </c:pt>
                <c:pt idx="2">
                  <c:v>1362.4717000000001</c:v>
                </c:pt>
                <c:pt idx="3">
                  <c:v>1624.6426999999999</c:v>
                </c:pt>
                <c:pt idx="4">
                  <c:v>1907.9453999999998</c:v>
                </c:pt>
                <c:pt idx="5">
                  <c:v>2242.8809000000001</c:v>
                </c:pt>
                <c:pt idx="6">
                  <c:v>2656.1898000000001</c:v>
                </c:pt>
                <c:pt idx="7">
                  <c:v>3149.2834000000007</c:v>
                </c:pt>
                <c:pt idx="8">
                  <c:v>3568.2276000000006</c:v>
                </c:pt>
                <c:pt idx="9">
                  <c:v>3141.6510000000003</c:v>
                </c:pt>
                <c:pt idx="10">
                  <c:v>3460.2027000000007</c:v>
                </c:pt>
                <c:pt idx="11">
                  <c:v>3777.9456</c:v>
                </c:pt>
                <c:pt idx="12">
                  <c:v>4266.4605000000001</c:v>
                </c:pt>
                <c:pt idx="13">
                  <c:v>4555.6382000000003</c:v>
                </c:pt>
                <c:pt idx="14">
                  <c:v>4828.6262999999999</c:v>
                </c:pt>
                <c:pt idx="15">
                  <c:v>5043.6332000000002</c:v>
                </c:pt>
                <c:pt idx="16">
                  <c:v>5067.2934999999998</c:v>
                </c:pt>
                <c:pt idx="17">
                  <c:v>5564.4933000000001</c:v>
                </c:pt>
                <c:pt idx="18">
                  <c:v>6017.0352000000003</c:v>
                </c:pt>
                <c:pt idx="19">
                  <c:v>6543.3217999999997</c:v>
                </c:pt>
                <c:pt idx="20">
                  <c:v>6181.9025999999994</c:v>
                </c:pt>
                <c:pt idx="21">
                  <c:v>6982.9624999999996</c:v>
                </c:pt>
                <c:pt idx="22">
                  <c:v>8293.6645612499997</c:v>
                </c:pt>
                <c:pt idx="23">
                  <c:v>9317.9321345643748</c:v>
                </c:pt>
              </c:numCache>
            </c:numRef>
          </c:val>
          <c:extLst>
            <c:ext xmlns:c16="http://schemas.microsoft.com/office/drawing/2014/chart" uri="{C3380CC4-5D6E-409C-BE32-E72D297353CC}">
              <c16:uniqueId val="{00000000-D1AB-405A-A8FC-A59ED32C2C4F}"/>
            </c:ext>
          </c:extLst>
        </c:ser>
        <c:dLbls>
          <c:showLegendKey val="0"/>
          <c:showVal val="0"/>
          <c:showCatName val="0"/>
          <c:showSerName val="0"/>
          <c:showPercent val="0"/>
          <c:showBubbleSize val="0"/>
        </c:dLbls>
        <c:gapWidth val="219"/>
        <c:axId val="262069632"/>
        <c:axId val="263406720"/>
      </c:barChart>
      <c:lineChart>
        <c:grouping val="standard"/>
        <c:varyColors val="0"/>
        <c:ser>
          <c:idx val="0"/>
          <c:order val="0"/>
          <c:tx>
            <c:strRef>
              <c:f>Sheet1!$A$2</c:f>
              <c:strCache>
                <c:ptCount val="1"/>
                <c:pt idx="0">
                  <c:v>Տնտեսական աճ, %</c:v>
                </c:pt>
              </c:strCache>
            </c:strRef>
          </c:tx>
          <c:spPr>
            <a:ln w="28575" cap="rnd">
              <a:solidFill>
                <a:schemeClr val="accent1"/>
              </a:solidFill>
              <a:round/>
            </a:ln>
            <a:effectLst/>
          </c:spPr>
          <c:marker>
            <c:symbol val="none"/>
          </c:marker>
          <c:cat>
            <c:numRef>
              <c:f>Sheet1!$B$1:$Y$1</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Sheet1!$B$2:$Y$2</c:f>
              <c:numCache>
                <c:formatCode>0.0</c:formatCode>
                <c:ptCount val="24"/>
                <c:pt idx="0">
                  <c:v>5.8956981547403728</c:v>
                </c:pt>
                <c:pt idx="1">
                  <c:v>9.5566411137839395</c:v>
                </c:pt>
                <c:pt idx="2">
                  <c:v>13.196463821262512</c:v>
                </c:pt>
                <c:pt idx="3">
                  <c:v>14.040798058411056</c:v>
                </c:pt>
                <c:pt idx="4">
                  <c:v>10.46784009801047</c:v>
                </c:pt>
                <c:pt idx="5">
                  <c:v>13.865711251485493</c:v>
                </c:pt>
                <c:pt idx="6">
                  <c:v>13.198003514141135</c:v>
                </c:pt>
                <c:pt idx="7">
                  <c:v>13.749201958384148</c:v>
                </c:pt>
                <c:pt idx="8">
                  <c:v>6.9476535519159768</c:v>
                </c:pt>
                <c:pt idx="9">
                  <c:v>-14.149988638617103</c:v>
                </c:pt>
                <c:pt idx="10">
                  <c:v>2.2151091894039183</c:v>
                </c:pt>
                <c:pt idx="11">
                  <c:v>4.6507622226871206</c:v>
                </c:pt>
                <c:pt idx="12">
                  <c:v>7.1590508979271874</c:v>
                </c:pt>
                <c:pt idx="13">
                  <c:v>3.2999999999999972</c:v>
                </c:pt>
                <c:pt idx="14">
                  <c:v>3.5999999999999943</c:v>
                </c:pt>
                <c:pt idx="15">
                  <c:v>3.2000000000000028</c:v>
                </c:pt>
                <c:pt idx="16">
                  <c:v>0.20000000000000284</c:v>
                </c:pt>
                <c:pt idx="17">
                  <c:v>7.5</c:v>
                </c:pt>
                <c:pt idx="18">
                  <c:v>5.1947356482574918</c:v>
                </c:pt>
                <c:pt idx="19">
                  <c:v>7.6208632799755094</c:v>
                </c:pt>
                <c:pt idx="20">
                  <c:v>-7.1651595279938647</c:v>
                </c:pt>
                <c:pt idx="21">
                  <c:v>5.7044705828317603</c:v>
                </c:pt>
                <c:pt idx="22">
                  <c:v>11</c:v>
                </c:pt>
                <c:pt idx="23">
                  <c:v>7</c:v>
                </c:pt>
              </c:numCache>
            </c:numRef>
          </c:val>
          <c:smooth val="0"/>
          <c:extLst>
            <c:ext xmlns:c16="http://schemas.microsoft.com/office/drawing/2014/chart" uri="{C3380CC4-5D6E-409C-BE32-E72D297353CC}">
              <c16:uniqueId val="{00000001-D1AB-405A-A8FC-A59ED32C2C4F}"/>
            </c:ext>
          </c:extLst>
        </c:ser>
        <c:dLbls>
          <c:showLegendKey val="0"/>
          <c:showVal val="0"/>
          <c:showCatName val="0"/>
          <c:showSerName val="0"/>
          <c:showPercent val="0"/>
          <c:showBubbleSize val="0"/>
        </c:dLbls>
        <c:marker val="1"/>
        <c:smooth val="0"/>
        <c:axId val="263414144"/>
        <c:axId val="263408256"/>
      </c:lineChart>
      <c:catAx>
        <c:axId val="26206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63406720"/>
        <c:crosses val="autoZero"/>
        <c:auto val="1"/>
        <c:lblAlgn val="ctr"/>
        <c:lblOffset val="100"/>
        <c:noMultiLvlLbl val="0"/>
      </c:catAx>
      <c:valAx>
        <c:axId val="263406720"/>
        <c:scaling>
          <c:orientation val="minMax"/>
          <c:max val="9500"/>
          <c:min val="5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62069632"/>
        <c:crosses val="autoZero"/>
        <c:crossBetween val="between"/>
      </c:valAx>
      <c:valAx>
        <c:axId val="26340825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63414144"/>
        <c:crosses val="max"/>
        <c:crossBetween val="between"/>
      </c:valAx>
      <c:catAx>
        <c:axId val="263414144"/>
        <c:scaling>
          <c:orientation val="minMax"/>
        </c:scaling>
        <c:delete val="1"/>
        <c:axPos val="b"/>
        <c:numFmt formatCode="General" sourceLinked="1"/>
        <c:majorTickMark val="out"/>
        <c:minorTickMark val="none"/>
        <c:tickLblPos val="none"/>
        <c:crossAx val="26340825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500">
          <a:latin typeface="GHEA Grapalat" panose="02000506050000020003" pitchFamily="50" charset="0"/>
        </a:defRPr>
      </a:pPr>
      <a:endParaRPr lang="en-US"/>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Տնտեսական աճ/անկում</c:v>
                </c:pt>
              </c:strCache>
            </c:strRef>
          </c:tx>
          <c:spPr>
            <a:solidFill>
              <a:srgbClr val="C00000"/>
            </a:solidFill>
            <a:ln>
              <a:solidFill>
                <a:srgbClr val="C00000"/>
              </a:solidFill>
            </a:ln>
            <a:effectLst/>
          </c:spPr>
          <c:invertIfNegative val="0"/>
          <c:dPt>
            <c:idx val="1"/>
            <c:invertIfNegative val="0"/>
            <c:bubble3D val="0"/>
            <c:spPr>
              <a:solidFill>
                <a:srgbClr val="4F81BD"/>
              </a:solidFill>
              <a:ln>
                <a:solidFill>
                  <a:srgbClr val="4F81BD"/>
                </a:solidFill>
              </a:ln>
              <a:effectLst/>
            </c:spPr>
            <c:extLst>
              <c:ext xmlns:c16="http://schemas.microsoft.com/office/drawing/2014/chart" uri="{C3380CC4-5D6E-409C-BE32-E72D297353CC}">
                <c16:uniqueId val="{00000001-B94B-4EBA-AE22-4D93501E4778}"/>
              </c:ext>
            </c:extLst>
          </c:dPt>
          <c:dPt>
            <c:idx val="2"/>
            <c:invertIfNegative val="0"/>
            <c:bubble3D val="0"/>
            <c:spPr>
              <a:solidFill>
                <a:srgbClr val="4F81BD"/>
              </a:solidFill>
              <a:ln>
                <a:solidFill>
                  <a:srgbClr val="4F81BD"/>
                </a:solidFill>
              </a:ln>
              <a:effectLst/>
            </c:spPr>
            <c:extLst>
              <c:ext xmlns:c16="http://schemas.microsoft.com/office/drawing/2014/chart" uri="{C3380CC4-5D6E-409C-BE32-E72D297353CC}">
                <c16:uniqueId val="{00000003-B94B-4EBA-AE22-4D93501E4778}"/>
              </c:ext>
            </c:extLst>
          </c:dPt>
          <c:dPt>
            <c:idx val="4"/>
            <c:invertIfNegative val="0"/>
            <c:bubble3D val="0"/>
            <c:spPr>
              <a:solidFill>
                <a:srgbClr val="C00000"/>
              </a:solidFill>
              <a:ln>
                <a:solidFill>
                  <a:srgbClr val="C00000"/>
                </a:solidFill>
              </a:ln>
              <a:effectLst/>
            </c:spPr>
            <c:extLst>
              <c:ext xmlns:c16="http://schemas.microsoft.com/office/drawing/2014/chart" uri="{C3380CC4-5D6E-409C-BE32-E72D297353CC}">
                <c16:uniqueId val="{00000005-B94B-4EBA-AE22-4D93501E4778}"/>
              </c:ext>
            </c:extLst>
          </c:dPt>
          <c:dPt>
            <c:idx val="5"/>
            <c:invertIfNegative val="0"/>
            <c:bubble3D val="0"/>
            <c:spPr>
              <a:solidFill>
                <a:srgbClr val="4F81BD"/>
              </a:solidFill>
              <a:ln>
                <a:solidFill>
                  <a:srgbClr val="4F81BD"/>
                </a:solidFill>
              </a:ln>
              <a:effectLst/>
            </c:spPr>
            <c:extLst>
              <c:ext xmlns:c16="http://schemas.microsoft.com/office/drawing/2014/chart" uri="{C3380CC4-5D6E-409C-BE32-E72D297353CC}">
                <c16:uniqueId val="{00000007-B94B-4EBA-AE22-4D93501E4778}"/>
              </c:ext>
            </c:extLst>
          </c:dPt>
          <c:dPt>
            <c:idx val="6"/>
            <c:invertIfNegative val="0"/>
            <c:bubble3D val="0"/>
            <c:spPr>
              <a:solidFill>
                <a:srgbClr val="4F81BD"/>
              </a:solidFill>
              <a:ln>
                <a:solidFill>
                  <a:srgbClr val="4F81BD"/>
                </a:solidFill>
              </a:ln>
              <a:effectLst/>
            </c:spPr>
            <c:extLst>
              <c:ext xmlns:c16="http://schemas.microsoft.com/office/drawing/2014/chart" uri="{C3380CC4-5D6E-409C-BE32-E72D297353CC}">
                <c16:uniqueId val="{00000009-B94B-4EBA-AE22-4D93501E4778}"/>
              </c:ext>
            </c:extLst>
          </c:dPt>
          <c:dPt>
            <c:idx val="7"/>
            <c:invertIfNegative val="0"/>
            <c:bubble3D val="0"/>
            <c:spPr>
              <a:solidFill>
                <a:srgbClr val="5B9BD5"/>
              </a:solidFill>
              <a:ln>
                <a:solidFill>
                  <a:srgbClr val="5B9BD5"/>
                </a:solidFill>
              </a:ln>
              <a:effectLst/>
            </c:spPr>
            <c:extLst>
              <c:ext xmlns:c16="http://schemas.microsoft.com/office/drawing/2014/chart" uri="{C3380CC4-5D6E-409C-BE32-E72D297353CC}">
                <c16:uniqueId val="{0000000B-B94B-4EBA-AE22-4D93501E4778}"/>
              </c:ext>
            </c:extLst>
          </c:dPt>
          <c:dPt>
            <c:idx val="9"/>
            <c:invertIfNegative val="0"/>
            <c:bubble3D val="0"/>
            <c:spPr>
              <a:solidFill>
                <a:srgbClr val="4F81BD"/>
              </a:solidFill>
              <a:ln>
                <a:solidFill>
                  <a:srgbClr val="4F81BD"/>
                </a:solidFill>
              </a:ln>
              <a:effectLst/>
            </c:spPr>
            <c:extLst>
              <c:ext xmlns:c16="http://schemas.microsoft.com/office/drawing/2014/chart" uri="{C3380CC4-5D6E-409C-BE32-E72D297353CC}">
                <c16:uniqueId val="{0000000D-B94B-4EBA-AE22-4D93501E4778}"/>
              </c:ext>
            </c:extLst>
          </c:dPt>
          <c:dPt>
            <c:idx val="10"/>
            <c:invertIfNegative val="0"/>
            <c:bubble3D val="0"/>
            <c:spPr>
              <a:solidFill>
                <a:srgbClr val="4F81BD"/>
              </a:solidFill>
              <a:ln>
                <a:solidFill>
                  <a:srgbClr val="4F81BD"/>
                </a:solidFill>
              </a:ln>
              <a:effectLst/>
            </c:spPr>
            <c:extLst>
              <c:ext xmlns:c16="http://schemas.microsoft.com/office/drawing/2014/chart" uri="{C3380CC4-5D6E-409C-BE32-E72D297353CC}">
                <c16:uniqueId val="{0000000F-B94B-4EBA-AE22-4D93501E4778}"/>
              </c:ext>
            </c:extLst>
          </c:dPt>
          <c:dLbls>
            <c:dLbl>
              <c:idx val="0"/>
              <c:layout>
                <c:manualLayout>
                  <c:x val="7.6366559485530547E-2"/>
                  <c:y val="9.6852300242130748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layout/>
                </c:ext>
                <c:ext xmlns:c16="http://schemas.microsoft.com/office/drawing/2014/chart" uri="{C3380CC4-5D6E-409C-BE32-E72D297353CC}">
                  <c16:uniqueId val="{00000010-B94B-4EBA-AE22-4D93501E4778}"/>
                </c:ext>
              </c:extLst>
            </c:dLbl>
            <c:dLbl>
              <c:idx val="3"/>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0-7FAC-4F37-BA50-2683AC2FB71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0"/>
              </c:ext>
            </c:extLst>
          </c:dLbls>
          <c:cat>
            <c:numRef>
              <c:f>Sheet1!$A$2:$A$12</c:f>
              <c:numCache>
                <c:formatCode>General</c:formatCode>
                <c:ptCount val="11"/>
                <c:pt idx="0">
                  <c:v>2009</c:v>
                </c:pt>
                <c:pt idx="1">
                  <c:v>2010</c:v>
                </c:pt>
                <c:pt idx="2">
                  <c:v>2011</c:v>
                </c:pt>
                <c:pt idx="4">
                  <c:v>2016</c:v>
                </c:pt>
                <c:pt idx="5">
                  <c:v>2017</c:v>
                </c:pt>
                <c:pt idx="6">
                  <c:v>2018</c:v>
                </c:pt>
                <c:pt idx="8">
                  <c:v>2020</c:v>
                </c:pt>
                <c:pt idx="9">
                  <c:v>2021</c:v>
                </c:pt>
                <c:pt idx="10">
                  <c:v>2022</c:v>
                </c:pt>
              </c:numCache>
            </c:numRef>
          </c:cat>
          <c:val>
            <c:numRef>
              <c:f>Sheet1!$B$2:$B$12</c:f>
              <c:numCache>
                <c:formatCode>0.0</c:formatCode>
                <c:ptCount val="11"/>
                <c:pt idx="0" formatCode="General">
                  <c:v>-14.1</c:v>
                </c:pt>
                <c:pt idx="1">
                  <c:v>2.2151091894039183</c:v>
                </c:pt>
                <c:pt idx="2">
                  <c:v>4.6507622226871206</c:v>
                </c:pt>
                <c:pt idx="4" formatCode="General">
                  <c:v>0.2</c:v>
                </c:pt>
                <c:pt idx="5" formatCode="General">
                  <c:v>7.5</c:v>
                </c:pt>
                <c:pt idx="6" formatCode="General">
                  <c:v>5.2000000000000028</c:v>
                </c:pt>
                <c:pt idx="8" formatCode="General">
                  <c:v>-7.2000000000000028</c:v>
                </c:pt>
                <c:pt idx="9">
                  <c:v>5.7000000000000028</c:v>
                </c:pt>
                <c:pt idx="10">
                  <c:v>11</c:v>
                </c:pt>
              </c:numCache>
            </c:numRef>
          </c:val>
          <c:extLst>
            <c:ext xmlns:c16="http://schemas.microsoft.com/office/drawing/2014/chart" uri="{C3380CC4-5D6E-409C-BE32-E72D297353CC}">
              <c16:uniqueId val="{00000012-B94B-4EBA-AE22-4D93501E4778}"/>
            </c:ext>
          </c:extLst>
        </c:ser>
        <c:dLbls>
          <c:showLegendKey val="0"/>
          <c:showVal val="0"/>
          <c:showCatName val="0"/>
          <c:showSerName val="0"/>
          <c:showPercent val="0"/>
          <c:showBubbleSize val="0"/>
        </c:dLbls>
        <c:gapWidth val="219"/>
        <c:overlap val="-27"/>
        <c:axId val="263441408"/>
        <c:axId val="263447296"/>
      </c:barChart>
      <c:catAx>
        <c:axId val="26344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63447296"/>
        <c:crosses val="autoZero"/>
        <c:auto val="1"/>
        <c:lblAlgn val="ctr"/>
        <c:lblOffset val="100"/>
        <c:noMultiLvlLbl val="0"/>
      </c:catAx>
      <c:valAx>
        <c:axId val="263447296"/>
        <c:scaling>
          <c:orientation val="minMax"/>
          <c:max val="12"/>
          <c:min val="-1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441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157794177073183E-2"/>
          <c:y val="4.1115590668506716E-2"/>
          <c:w val="0.91791893726288765"/>
          <c:h val="0.57079207993394554"/>
        </c:manualLayout>
      </c:layout>
      <c:barChart>
        <c:barDir val="col"/>
        <c:grouping val="stacked"/>
        <c:varyColors val="0"/>
        <c:ser>
          <c:idx val="1"/>
          <c:order val="1"/>
          <c:tx>
            <c:strRef>
              <c:f>Sheet1!$D$4</c:f>
              <c:strCache>
                <c:ptCount val="1"/>
                <c:pt idx="0">
                  <c:v>արդյունաբերություն</c:v>
                </c:pt>
              </c:strCache>
            </c:strRef>
          </c:tx>
          <c:spPr>
            <a:solidFill>
              <a:schemeClr val="accent2"/>
            </a:solidFill>
            <a:ln>
              <a:noFill/>
            </a:ln>
            <a:effectLst/>
          </c:spPr>
          <c:invertIfNegative val="0"/>
          <c:val>
            <c:numRef>
              <c:f>Sheet1!$E$4:$I$4</c:f>
              <c:numCache>
                <c:formatCode>0.0</c:formatCode>
                <c:ptCount val="5"/>
                <c:pt idx="0">
                  <c:v>2.168157050169826</c:v>
                </c:pt>
                <c:pt idx="1">
                  <c:v>-0.25862819095951967</c:v>
                </c:pt>
                <c:pt idx="2">
                  <c:v>0.70216419456365931</c:v>
                </c:pt>
                <c:pt idx="3">
                  <c:v>1.0064043018990869</c:v>
                </c:pt>
                <c:pt idx="4">
                  <c:v>0.96832159705758525</c:v>
                </c:pt>
              </c:numCache>
            </c:numRef>
          </c:val>
          <c:extLst>
            <c:ext xmlns:c16="http://schemas.microsoft.com/office/drawing/2014/chart" uri="{C3380CC4-5D6E-409C-BE32-E72D297353CC}">
              <c16:uniqueId val="{00000000-B4AD-47D6-813E-7AE20F22B553}"/>
            </c:ext>
          </c:extLst>
        </c:ser>
        <c:ser>
          <c:idx val="2"/>
          <c:order val="2"/>
          <c:tx>
            <c:strRef>
              <c:f>Sheet1!$D$5</c:f>
              <c:strCache>
                <c:ptCount val="1"/>
                <c:pt idx="0">
                  <c:v>գյուղատնտեսություն </c:v>
                </c:pt>
              </c:strCache>
            </c:strRef>
          </c:tx>
          <c:spPr>
            <a:solidFill>
              <a:schemeClr val="accent3"/>
            </a:solidFill>
            <a:ln>
              <a:noFill/>
            </a:ln>
            <a:effectLst/>
          </c:spPr>
          <c:invertIfNegative val="0"/>
          <c:val>
            <c:numRef>
              <c:f>Sheet1!$E$5:$I$5</c:f>
              <c:numCache>
                <c:formatCode>0.0</c:formatCode>
                <c:ptCount val="5"/>
                <c:pt idx="0">
                  <c:v>-0.80865407601404715</c:v>
                </c:pt>
                <c:pt idx="1">
                  <c:v>-0.42644759730447657</c:v>
                </c:pt>
                <c:pt idx="2">
                  <c:v>-6.8098830932728741E-2</c:v>
                </c:pt>
                <c:pt idx="3">
                  <c:v>0.24942450428453583</c:v>
                </c:pt>
                <c:pt idx="4">
                  <c:v>0.33891468763076649</c:v>
                </c:pt>
              </c:numCache>
            </c:numRef>
          </c:val>
          <c:extLst>
            <c:ext xmlns:c16="http://schemas.microsoft.com/office/drawing/2014/chart" uri="{C3380CC4-5D6E-409C-BE32-E72D297353CC}">
              <c16:uniqueId val="{00000001-B4AD-47D6-813E-7AE20F22B553}"/>
            </c:ext>
          </c:extLst>
        </c:ser>
        <c:ser>
          <c:idx val="3"/>
          <c:order val="3"/>
          <c:tx>
            <c:strRef>
              <c:f>Sheet1!$D$6</c:f>
              <c:strCache>
                <c:ptCount val="1"/>
                <c:pt idx="0">
                  <c:v>շինարարություն</c:v>
                </c:pt>
              </c:strCache>
            </c:strRef>
          </c:tx>
          <c:spPr>
            <a:solidFill>
              <a:schemeClr val="accent4"/>
            </a:solidFill>
            <a:ln>
              <a:noFill/>
            </a:ln>
            <a:effectLst/>
          </c:spPr>
          <c:invertIfNegative val="0"/>
          <c:val>
            <c:numRef>
              <c:f>Sheet1!$E$6:$I$6</c:f>
              <c:numCache>
                <c:formatCode>0.0</c:formatCode>
                <c:ptCount val="5"/>
                <c:pt idx="0">
                  <c:v>0.42924919235971903</c:v>
                </c:pt>
                <c:pt idx="1">
                  <c:v>-0.37459956500993163</c:v>
                </c:pt>
                <c:pt idx="2">
                  <c:v>0.21415861518102824</c:v>
                </c:pt>
                <c:pt idx="3">
                  <c:v>1.1007508546694902</c:v>
                </c:pt>
                <c:pt idx="4">
                  <c:v>0.6246652640907826</c:v>
                </c:pt>
              </c:numCache>
            </c:numRef>
          </c:val>
          <c:extLst>
            <c:ext xmlns:c16="http://schemas.microsoft.com/office/drawing/2014/chart" uri="{C3380CC4-5D6E-409C-BE32-E72D297353CC}">
              <c16:uniqueId val="{00000002-B4AD-47D6-813E-7AE20F22B553}"/>
            </c:ext>
          </c:extLst>
        </c:ser>
        <c:ser>
          <c:idx val="4"/>
          <c:order val="4"/>
          <c:tx>
            <c:strRef>
              <c:f>Sheet1!$D$7</c:f>
              <c:strCache>
                <c:ptCount val="1"/>
                <c:pt idx="0">
                  <c:v>ծառայություններ</c:v>
                </c:pt>
              </c:strCache>
            </c:strRef>
          </c:tx>
          <c:spPr>
            <a:solidFill>
              <a:schemeClr val="accent5"/>
            </a:solidFill>
            <a:ln>
              <a:noFill/>
            </a:ln>
            <a:effectLst/>
          </c:spPr>
          <c:invertIfNegative val="0"/>
          <c:val>
            <c:numRef>
              <c:f>Sheet1!$E$7:$I$7</c:f>
              <c:numCache>
                <c:formatCode>0.0</c:formatCode>
                <c:ptCount val="5"/>
                <c:pt idx="0">
                  <c:v>5.0778366362224343</c:v>
                </c:pt>
                <c:pt idx="1">
                  <c:v>-4.9778368840120288</c:v>
                </c:pt>
                <c:pt idx="2">
                  <c:v>4.0477230747698885</c:v>
                </c:pt>
                <c:pt idx="3">
                  <c:v>7.9653025632028882</c:v>
                </c:pt>
                <c:pt idx="4">
                  <c:v>4.3099643732932762</c:v>
                </c:pt>
              </c:numCache>
            </c:numRef>
          </c:val>
          <c:extLst>
            <c:ext xmlns:c16="http://schemas.microsoft.com/office/drawing/2014/chart" uri="{C3380CC4-5D6E-409C-BE32-E72D297353CC}">
              <c16:uniqueId val="{00000003-B4AD-47D6-813E-7AE20F22B553}"/>
            </c:ext>
          </c:extLst>
        </c:ser>
        <c:ser>
          <c:idx val="5"/>
          <c:order val="5"/>
          <c:tx>
            <c:strRef>
              <c:f>Sheet1!$D$8</c:f>
              <c:strCache>
                <c:ptCount val="1"/>
                <c:pt idx="0">
                  <c:v>զուտ հարկեր</c:v>
                </c:pt>
              </c:strCache>
            </c:strRef>
          </c:tx>
          <c:spPr>
            <a:solidFill>
              <a:schemeClr val="accent6"/>
            </a:solidFill>
            <a:ln>
              <a:noFill/>
            </a:ln>
            <a:effectLst/>
          </c:spPr>
          <c:invertIfNegative val="0"/>
          <c:val>
            <c:numRef>
              <c:f>Sheet1!$E$8:$I$8</c:f>
              <c:numCache>
                <c:formatCode>0.0</c:formatCode>
                <c:ptCount val="5"/>
                <c:pt idx="0">
                  <c:v>0.75427447723755991</c:v>
                </c:pt>
                <c:pt idx="1">
                  <c:v>-1.1276472907079103</c:v>
                </c:pt>
                <c:pt idx="2">
                  <c:v>0.80852352924991799</c:v>
                </c:pt>
                <c:pt idx="3">
                  <c:v>0.67811777594401312</c:v>
                </c:pt>
                <c:pt idx="4">
                  <c:v>0.75813407792759491</c:v>
                </c:pt>
              </c:numCache>
            </c:numRef>
          </c:val>
          <c:extLst>
            <c:ext xmlns:c16="http://schemas.microsoft.com/office/drawing/2014/chart" uri="{C3380CC4-5D6E-409C-BE32-E72D297353CC}">
              <c16:uniqueId val="{00000004-B4AD-47D6-813E-7AE20F22B553}"/>
            </c:ext>
          </c:extLst>
        </c:ser>
        <c:dLbls>
          <c:showLegendKey val="0"/>
          <c:showVal val="0"/>
          <c:showCatName val="0"/>
          <c:showSerName val="0"/>
          <c:showPercent val="0"/>
          <c:showBubbleSize val="0"/>
        </c:dLbls>
        <c:gapWidth val="150"/>
        <c:overlap val="100"/>
        <c:axId val="283037696"/>
        <c:axId val="283039232"/>
      </c:barChart>
      <c:lineChart>
        <c:grouping val="standard"/>
        <c:varyColors val="0"/>
        <c:ser>
          <c:idx val="0"/>
          <c:order val="0"/>
          <c:tx>
            <c:strRef>
              <c:f>Sheet1!$D$3</c:f>
              <c:strCache>
                <c:ptCount val="1"/>
                <c:pt idx="0">
                  <c:v>ՀՆԱ</c:v>
                </c:pt>
              </c:strCache>
            </c:strRef>
          </c:tx>
          <c:spPr>
            <a:ln w="28575" cap="rnd">
              <a:solidFill>
                <a:schemeClr val="accent1"/>
              </a:solidFill>
              <a:round/>
            </a:ln>
            <a:effectLst/>
          </c:spPr>
          <c:marker>
            <c:symbol val="none"/>
          </c:marker>
          <c:dLbls>
            <c:dLbl>
              <c:idx val="2"/>
              <c:layout>
                <c:manualLayout>
                  <c:x val="-5.6988997065022043E-2"/>
                  <c:y val="4.480476253317504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4AD-47D6-813E-7AE20F22B553}"/>
                </c:ext>
              </c:extLst>
            </c:dLbl>
            <c:dLbl>
              <c:idx val="3"/>
              <c:layout>
                <c:manualLayout>
                  <c:x val="-4.8726129061453523E-2"/>
                  <c:y val="-4.855027199812317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4AD-47D6-813E-7AE20F22B553}"/>
                </c:ext>
              </c:extLst>
            </c:dLbl>
            <c:spPr>
              <a:noFill/>
              <a:ln>
                <a:noFill/>
              </a:ln>
              <a:effectLst/>
            </c:spPr>
            <c:txPr>
              <a:bodyPr rot="0" spcFirstLastPara="1" vertOverflow="ellipsis" vert="horz" wrap="square" anchor="ctr" anchorCtr="1"/>
              <a:lstStyle/>
              <a:p>
                <a:pPr>
                  <a:defRPr sz="6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Sheet1!$E$2:$I$2</c:f>
              <c:numCache>
                <c:formatCode>General</c:formatCode>
                <c:ptCount val="5"/>
                <c:pt idx="0">
                  <c:v>2019</c:v>
                </c:pt>
                <c:pt idx="1">
                  <c:v>2020</c:v>
                </c:pt>
                <c:pt idx="2">
                  <c:v>2021</c:v>
                </c:pt>
                <c:pt idx="3">
                  <c:v>2022</c:v>
                </c:pt>
                <c:pt idx="4">
                  <c:v>2023</c:v>
                </c:pt>
              </c:numCache>
            </c:numRef>
          </c:cat>
          <c:val>
            <c:numRef>
              <c:f>Sheet1!$E$3:$I$3</c:f>
              <c:numCache>
                <c:formatCode>0.0</c:formatCode>
                <c:ptCount val="5"/>
                <c:pt idx="0">
                  <c:v>7.6208632799754925</c:v>
                </c:pt>
                <c:pt idx="1">
                  <c:v>-7.1651595279938665</c:v>
                </c:pt>
                <c:pt idx="2">
                  <c:v>5.7044705828317648</c:v>
                </c:pt>
                <c:pt idx="3">
                  <c:v>11.000000000000014</c:v>
                </c:pt>
                <c:pt idx="4">
                  <c:v>7.0000000000000053</c:v>
                </c:pt>
              </c:numCache>
            </c:numRef>
          </c:val>
          <c:smooth val="0"/>
          <c:extLst>
            <c:ext xmlns:c16="http://schemas.microsoft.com/office/drawing/2014/chart" uri="{C3380CC4-5D6E-409C-BE32-E72D297353CC}">
              <c16:uniqueId val="{00000007-B4AD-47D6-813E-7AE20F22B553}"/>
            </c:ext>
          </c:extLst>
        </c:ser>
        <c:dLbls>
          <c:showLegendKey val="0"/>
          <c:showVal val="0"/>
          <c:showCatName val="0"/>
          <c:showSerName val="0"/>
          <c:showPercent val="0"/>
          <c:showBubbleSize val="0"/>
        </c:dLbls>
        <c:marker val="1"/>
        <c:smooth val="0"/>
        <c:axId val="283037696"/>
        <c:axId val="283039232"/>
      </c:lineChart>
      <c:catAx>
        <c:axId val="283037696"/>
        <c:scaling>
          <c:orientation val="minMax"/>
        </c:scaling>
        <c:delete val="0"/>
        <c:axPos val="b"/>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83039232"/>
        <c:crosses val="autoZero"/>
        <c:auto val="1"/>
        <c:lblAlgn val="ctr"/>
        <c:lblOffset val="100"/>
        <c:noMultiLvlLbl val="0"/>
      </c:catAx>
      <c:valAx>
        <c:axId val="283039232"/>
        <c:scaling>
          <c:orientation val="minMax"/>
          <c:max val="12"/>
          <c:min val="-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83037696"/>
        <c:crosses val="autoZero"/>
        <c:crossBetween val="between"/>
        <c:majorUnit val="4"/>
      </c:valAx>
      <c:spPr>
        <a:noFill/>
        <a:ln>
          <a:noFill/>
        </a:ln>
        <a:effectLst/>
      </c:spPr>
    </c:plotArea>
    <c:legend>
      <c:legendPos val="b"/>
      <c:layout>
        <c:manualLayout>
          <c:xMode val="edge"/>
          <c:yMode val="edge"/>
          <c:x val="0"/>
          <c:y val="0.77835400008346001"/>
          <c:w val="1"/>
          <c:h val="0.1581293808862133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500">
          <a:latin typeface="GHEA Grapalat" panose="02000506050000020003" pitchFamily="50" charset="0"/>
        </a:defRPr>
      </a:pPr>
      <a:endParaRPr lang="en-US"/>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30597210264042"/>
          <c:y val="7.201309328968912E-2"/>
          <c:w val="0.81369779122581465"/>
          <c:h val="0.58559531940667808"/>
        </c:manualLayout>
      </c:layout>
      <c:barChart>
        <c:barDir val="col"/>
        <c:grouping val="stacked"/>
        <c:varyColors val="0"/>
        <c:ser>
          <c:idx val="1"/>
          <c:order val="1"/>
          <c:tx>
            <c:strRef>
              <c:f>Sheet1!$A$3</c:f>
              <c:strCache>
                <c:ptCount val="1"/>
                <c:pt idx="0">
                  <c:v>Սպառում</c:v>
                </c:pt>
              </c:strCache>
            </c:strRef>
          </c:tx>
          <c:spPr>
            <a:solidFill>
              <a:schemeClr val="accent2"/>
            </a:solidFill>
            <a:ln>
              <a:noFill/>
            </a:ln>
            <a:effectLst/>
          </c:spPr>
          <c:invertIfNegative val="0"/>
          <c:cat>
            <c:strRef>
              <c:f>Sheet1!$B$1:$F$1</c:f>
              <c:strCache>
                <c:ptCount val="5"/>
                <c:pt idx="0">
                  <c:v>2019</c:v>
                </c:pt>
                <c:pt idx="1">
                  <c:v>2020</c:v>
                </c:pt>
                <c:pt idx="2">
                  <c:v>2021</c:v>
                </c:pt>
                <c:pt idx="3">
                  <c:v>2022</c:v>
                </c:pt>
                <c:pt idx="4">
                  <c:v>2023</c:v>
                </c:pt>
              </c:strCache>
            </c:strRef>
          </c:cat>
          <c:val>
            <c:numRef>
              <c:f>Sheet1!$B$3:$F$3</c:f>
              <c:numCache>
                <c:formatCode>0.0</c:formatCode>
                <c:ptCount val="5"/>
                <c:pt idx="0">
                  <c:v>10.680646817555598</c:v>
                </c:pt>
                <c:pt idx="1">
                  <c:v>-10.464438397329021</c:v>
                </c:pt>
                <c:pt idx="2">
                  <c:v>3.9729800336873686</c:v>
                </c:pt>
                <c:pt idx="3">
                  <c:v>5.8926261427605677</c:v>
                </c:pt>
                <c:pt idx="4">
                  <c:v>3.0579234505450938</c:v>
                </c:pt>
              </c:numCache>
            </c:numRef>
          </c:val>
          <c:extLst>
            <c:ext xmlns:c16="http://schemas.microsoft.com/office/drawing/2014/chart" uri="{C3380CC4-5D6E-409C-BE32-E72D297353CC}">
              <c16:uniqueId val="{00000000-2D75-4727-BC5A-184F46A4224E}"/>
            </c:ext>
          </c:extLst>
        </c:ser>
        <c:ser>
          <c:idx val="2"/>
          <c:order val="2"/>
          <c:tx>
            <c:strRef>
              <c:f>Sheet1!$A$4</c:f>
              <c:strCache>
                <c:ptCount val="1"/>
                <c:pt idx="0">
                  <c:v>Հիմնական միջոցներում կապիտալ ներդրումներ</c:v>
                </c:pt>
              </c:strCache>
            </c:strRef>
          </c:tx>
          <c:spPr>
            <a:solidFill>
              <a:schemeClr val="accent3"/>
            </a:solidFill>
            <a:ln>
              <a:noFill/>
            </a:ln>
            <a:effectLst/>
          </c:spPr>
          <c:invertIfNegative val="0"/>
          <c:cat>
            <c:strRef>
              <c:f>Sheet1!$B$1:$F$1</c:f>
              <c:strCache>
                <c:ptCount val="5"/>
                <c:pt idx="0">
                  <c:v>2019</c:v>
                </c:pt>
                <c:pt idx="1">
                  <c:v>2020</c:v>
                </c:pt>
                <c:pt idx="2">
                  <c:v>2021</c:v>
                </c:pt>
                <c:pt idx="3">
                  <c:v>2022</c:v>
                </c:pt>
                <c:pt idx="4">
                  <c:v>2023</c:v>
                </c:pt>
              </c:strCache>
            </c:strRef>
          </c:cat>
          <c:val>
            <c:numRef>
              <c:f>Sheet1!$B$4:$F$4</c:f>
              <c:numCache>
                <c:formatCode>0.0</c:formatCode>
                <c:ptCount val="5"/>
                <c:pt idx="0">
                  <c:v>0.73660007839076713</c:v>
                </c:pt>
                <c:pt idx="1">
                  <c:v>-0.23723397647965289</c:v>
                </c:pt>
                <c:pt idx="2">
                  <c:v>1.1197570388766716</c:v>
                </c:pt>
                <c:pt idx="3">
                  <c:v>2.8773126108831635</c:v>
                </c:pt>
                <c:pt idx="4">
                  <c:v>3.0307558070611593</c:v>
                </c:pt>
              </c:numCache>
            </c:numRef>
          </c:val>
          <c:extLst>
            <c:ext xmlns:c16="http://schemas.microsoft.com/office/drawing/2014/chart" uri="{C3380CC4-5D6E-409C-BE32-E72D297353CC}">
              <c16:uniqueId val="{00000001-2D75-4727-BC5A-184F46A4224E}"/>
            </c:ext>
          </c:extLst>
        </c:ser>
        <c:ser>
          <c:idx val="3"/>
          <c:order val="3"/>
          <c:tx>
            <c:strRef>
              <c:f>Sheet1!$A$5</c:f>
              <c:strCache>
                <c:ptCount val="1"/>
                <c:pt idx="0">
                  <c:v>Արտահանում</c:v>
                </c:pt>
              </c:strCache>
            </c:strRef>
          </c:tx>
          <c:spPr>
            <a:solidFill>
              <a:schemeClr val="accent4"/>
            </a:solidFill>
            <a:ln>
              <a:noFill/>
            </a:ln>
            <a:effectLst/>
          </c:spPr>
          <c:invertIfNegative val="0"/>
          <c:cat>
            <c:strRef>
              <c:f>Sheet1!$B$1:$F$1</c:f>
              <c:strCache>
                <c:ptCount val="5"/>
                <c:pt idx="0">
                  <c:v>2019</c:v>
                </c:pt>
                <c:pt idx="1">
                  <c:v>2020</c:v>
                </c:pt>
                <c:pt idx="2">
                  <c:v>2021</c:v>
                </c:pt>
                <c:pt idx="3">
                  <c:v>2022</c:v>
                </c:pt>
                <c:pt idx="4">
                  <c:v>2023</c:v>
                </c:pt>
              </c:strCache>
            </c:strRef>
          </c:cat>
          <c:val>
            <c:numRef>
              <c:f>Sheet1!$B$5:$F$5</c:f>
              <c:numCache>
                <c:formatCode>0.0</c:formatCode>
                <c:ptCount val="5"/>
                <c:pt idx="0">
                  <c:v>6.3028630445771689</c:v>
                </c:pt>
                <c:pt idx="1">
                  <c:v>-13.852518456298451</c:v>
                </c:pt>
                <c:pt idx="2">
                  <c:v>4.9409878279221022</c:v>
                </c:pt>
                <c:pt idx="3">
                  <c:v>10.301937584288609</c:v>
                </c:pt>
                <c:pt idx="4">
                  <c:v>3.3818155405549128</c:v>
                </c:pt>
              </c:numCache>
            </c:numRef>
          </c:val>
          <c:extLst>
            <c:ext xmlns:c16="http://schemas.microsoft.com/office/drawing/2014/chart" uri="{C3380CC4-5D6E-409C-BE32-E72D297353CC}">
              <c16:uniqueId val="{00000002-2D75-4727-BC5A-184F46A4224E}"/>
            </c:ext>
          </c:extLst>
        </c:ser>
        <c:ser>
          <c:idx val="4"/>
          <c:order val="4"/>
          <c:tx>
            <c:strRef>
              <c:f>Sheet1!$A$6</c:f>
              <c:strCache>
                <c:ptCount val="1"/>
                <c:pt idx="0">
                  <c:v>Ներմուծում ("-" նշանով)</c:v>
                </c:pt>
              </c:strCache>
            </c:strRef>
          </c:tx>
          <c:invertIfNegative val="0"/>
          <c:cat>
            <c:strRef>
              <c:f>Sheet1!$B$1:$F$1</c:f>
              <c:strCache>
                <c:ptCount val="5"/>
                <c:pt idx="0">
                  <c:v>2019</c:v>
                </c:pt>
                <c:pt idx="1">
                  <c:v>2020</c:v>
                </c:pt>
                <c:pt idx="2">
                  <c:v>2021</c:v>
                </c:pt>
                <c:pt idx="3">
                  <c:v>2022</c:v>
                </c:pt>
                <c:pt idx="4">
                  <c:v>2023</c:v>
                </c:pt>
              </c:strCache>
            </c:strRef>
          </c:cat>
          <c:val>
            <c:numRef>
              <c:f>Sheet1!$B$6:$F$6</c:f>
              <c:numCache>
                <c:formatCode>0.0</c:formatCode>
                <c:ptCount val="5"/>
                <c:pt idx="0">
                  <c:v>-6.1573047071421447</c:v>
                </c:pt>
                <c:pt idx="1">
                  <c:v>17.250456121537535</c:v>
                </c:pt>
                <c:pt idx="2">
                  <c:v>-5.1243728605494399</c:v>
                </c:pt>
                <c:pt idx="3">
                  <c:v>-8.0718763379323413</c:v>
                </c:pt>
                <c:pt idx="4">
                  <c:v>-2.4704947981611669</c:v>
                </c:pt>
              </c:numCache>
            </c:numRef>
          </c:val>
          <c:extLst>
            <c:ext xmlns:c16="http://schemas.microsoft.com/office/drawing/2014/chart" uri="{C3380CC4-5D6E-409C-BE32-E72D297353CC}">
              <c16:uniqueId val="{00000003-2D75-4727-BC5A-184F46A4224E}"/>
            </c:ext>
          </c:extLst>
        </c:ser>
        <c:dLbls>
          <c:showLegendKey val="0"/>
          <c:showVal val="0"/>
          <c:showCatName val="0"/>
          <c:showSerName val="0"/>
          <c:showPercent val="0"/>
          <c:showBubbleSize val="0"/>
        </c:dLbls>
        <c:gapWidth val="150"/>
        <c:overlap val="100"/>
        <c:axId val="283331200"/>
        <c:axId val="283332992"/>
      </c:barChart>
      <c:lineChart>
        <c:grouping val="standard"/>
        <c:varyColors val="0"/>
        <c:ser>
          <c:idx val="0"/>
          <c:order val="0"/>
          <c:tx>
            <c:strRef>
              <c:f>Sheet1!$A$2</c:f>
              <c:strCache>
                <c:ptCount val="1"/>
                <c:pt idx="0">
                  <c:v>ՀՆԱ</c:v>
                </c:pt>
              </c:strCache>
            </c:strRef>
          </c:tx>
          <c:spPr>
            <a:ln w="28575" cap="rnd">
              <a:solidFill>
                <a:schemeClr val="accent1"/>
              </a:solidFill>
              <a:round/>
            </a:ln>
            <a:effectLst/>
          </c:spPr>
          <c:marker>
            <c:symbol val="none"/>
          </c:marker>
          <c:dLbls>
            <c:dLbl>
              <c:idx val="0"/>
              <c:layout>
                <c:manualLayout>
                  <c:x val="-4.47245375076235E-2"/>
                  <c:y val="-5.3171287504747471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D75-4727-BC5A-184F46A4224E}"/>
                </c:ext>
              </c:extLst>
            </c:dLbl>
            <c:dLbl>
              <c:idx val="1"/>
              <c:layout>
                <c:manualLayout>
                  <c:x val="-5.2856271599918722E-2"/>
                  <c:y val="-3.7979491074819599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D75-4727-BC5A-184F46A4224E}"/>
                </c:ext>
              </c:extLst>
            </c:dLbl>
            <c:dLbl>
              <c:idx val="2"/>
              <c:layout>
                <c:manualLayout>
                  <c:x val="-6.0988005692213867E-2"/>
                  <c:y val="3.7979491074819599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D75-4727-BC5A-184F46A4224E}"/>
                </c:ext>
              </c:extLst>
            </c:dLbl>
            <c:dLbl>
              <c:idx val="3"/>
              <c:layout>
                <c:manualLayout>
                  <c:x val="-4.4724537507623577E-2"/>
                  <c:y val="-6.0767185719711354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D75-4727-BC5A-184F46A4224E}"/>
                </c:ext>
              </c:extLst>
            </c:dLbl>
            <c:dLbl>
              <c:idx val="4"/>
              <c:layout>
                <c:manualLayout>
                  <c:x val="-5.0985652611679283E-2"/>
                  <c:y val="-4.5800275725124184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D75-4727-BC5A-184F46A4224E}"/>
                </c:ext>
              </c:extLst>
            </c:dLbl>
            <c:dLbl>
              <c:idx val="5"/>
              <c:layout>
                <c:manualLayout>
                  <c:x val="-5.8613475307861367E-2"/>
                  <c:y val="-5.4261627854816703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D75-4727-BC5A-184F46A4224E}"/>
                </c:ext>
              </c:extLst>
            </c:dLbl>
            <c:dLbl>
              <c:idx val="6"/>
              <c:layout>
                <c:manualLayout>
                  <c:x val="-5.6802723810773906E-2"/>
                  <c:y val="-4.015957367273644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D75-4727-BC5A-184F46A4224E}"/>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2019</c:v>
                </c:pt>
                <c:pt idx="1">
                  <c:v>2020</c:v>
                </c:pt>
                <c:pt idx="2">
                  <c:v>2021</c:v>
                </c:pt>
                <c:pt idx="3">
                  <c:v>2022</c:v>
                </c:pt>
                <c:pt idx="4">
                  <c:v>2023</c:v>
                </c:pt>
              </c:strCache>
            </c:strRef>
          </c:cat>
          <c:val>
            <c:numRef>
              <c:f>Sheet1!$B$2:$F$2</c:f>
              <c:numCache>
                <c:formatCode>0.0</c:formatCode>
                <c:ptCount val="5"/>
                <c:pt idx="0">
                  <c:v>7.5999999999999943</c:v>
                </c:pt>
                <c:pt idx="1">
                  <c:v>-7.2000000000000028</c:v>
                </c:pt>
                <c:pt idx="2">
                  <c:v>5.7000000000000028</c:v>
                </c:pt>
                <c:pt idx="3">
                  <c:v>11</c:v>
                </c:pt>
                <c:pt idx="4">
                  <c:v>7</c:v>
                </c:pt>
              </c:numCache>
            </c:numRef>
          </c:val>
          <c:smooth val="0"/>
          <c:extLst>
            <c:ext xmlns:c16="http://schemas.microsoft.com/office/drawing/2014/chart" uri="{C3380CC4-5D6E-409C-BE32-E72D297353CC}">
              <c16:uniqueId val="{0000000B-2D75-4727-BC5A-184F46A4224E}"/>
            </c:ext>
          </c:extLst>
        </c:ser>
        <c:dLbls>
          <c:showLegendKey val="0"/>
          <c:showVal val="0"/>
          <c:showCatName val="0"/>
          <c:showSerName val="0"/>
          <c:showPercent val="0"/>
          <c:showBubbleSize val="0"/>
        </c:dLbls>
        <c:marker val="1"/>
        <c:smooth val="0"/>
        <c:axId val="283331200"/>
        <c:axId val="283332992"/>
      </c:lineChart>
      <c:catAx>
        <c:axId val="2833312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83332992"/>
        <c:crosses val="autoZero"/>
        <c:auto val="1"/>
        <c:lblAlgn val="ctr"/>
        <c:lblOffset val="100"/>
        <c:noMultiLvlLbl val="0"/>
      </c:catAx>
      <c:valAx>
        <c:axId val="283332992"/>
        <c:scaling>
          <c:orientation val="minMax"/>
          <c:max val="20"/>
          <c:min val="-2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83331200"/>
        <c:crosses val="autoZero"/>
        <c:crossBetween val="between"/>
        <c:majorUnit val="3"/>
      </c:valAx>
      <c:spPr>
        <a:noFill/>
        <a:ln>
          <a:noFill/>
        </a:ln>
        <a:effectLst/>
      </c:spPr>
    </c:plotArea>
    <c:legend>
      <c:legendPos val="b"/>
      <c:layout>
        <c:manualLayout>
          <c:xMode val="edge"/>
          <c:yMode val="edge"/>
          <c:x val="2.091774131948677E-2"/>
          <c:y val="0.76103826800655461"/>
          <c:w val="0.92386679963439222"/>
          <c:h val="0.2389616576649876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999689291175051"/>
          <c:y val="7.0512820512820512E-2"/>
          <c:w val="0.63817237798546189"/>
          <c:h val="0.63414496264890174"/>
        </c:manualLayout>
      </c:layout>
      <c:lineChart>
        <c:grouping val="standard"/>
        <c:varyColors val="0"/>
        <c:ser>
          <c:idx val="1"/>
          <c:order val="1"/>
          <c:tx>
            <c:strRef>
              <c:f>Sheet1!$C$1</c:f>
              <c:strCache>
                <c:ptCount val="1"/>
                <c:pt idx="0">
                  <c:v>Պղինձ</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Sheet1!$A$2:$A$8</c:f>
              <c:numCache>
                <c:formatCode>General</c:formatCode>
                <c:ptCount val="6"/>
                <c:pt idx="0">
                  <c:v>2018</c:v>
                </c:pt>
                <c:pt idx="1">
                  <c:v>2019</c:v>
                </c:pt>
                <c:pt idx="2">
                  <c:v>2020</c:v>
                </c:pt>
                <c:pt idx="3">
                  <c:v>2021</c:v>
                </c:pt>
                <c:pt idx="4">
                  <c:v>2022</c:v>
                </c:pt>
                <c:pt idx="5">
                  <c:v>2023</c:v>
                </c:pt>
              </c:numCache>
            </c:numRef>
          </c:cat>
          <c:val>
            <c:numRef>
              <c:f>Sheet1!$C$3:$C$8</c:f>
              <c:numCache>
                <c:formatCode>_(* #,##0_);_(* \(#,##0\);_(* "-"??_);_(@_)</c:formatCode>
                <c:ptCount val="6"/>
                <c:pt idx="0">
                  <c:v>6529.7983333333304</c:v>
                </c:pt>
                <c:pt idx="1">
                  <c:v>6010.1450000000004</c:v>
                </c:pt>
                <c:pt idx="2">
                  <c:v>6173.7708333333303</c:v>
                </c:pt>
                <c:pt idx="3">
                  <c:v>9317.0499999999975</c:v>
                </c:pt>
                <c:pt idx="4">
                  <c:v>8776.9629000000004</c:v>
                </c:pt>
                <c:pt idx="5">
                  <c:v>8078.2800999999999</c:v>
                </c:pt>
              </c:numCache>
            </c:numRef>
          </c:val>
          <c:smooth val="0"/>
          <c:extLst>
            <c:ext xmlns:c16="http://schemas.microsoft.com/office/drawing/2014/chart" uri="{C3380CC4-5D6E-409C-BE32-E72D297353CC}">
              <c16:uniqueId val="{00000000-29E7-46F7-ADCB-3E9D8787C92C}"/>
            </c:ext>
          </c:extLst>
        </c:ser>
        <c:dLbls>
          <c:showLegendKey val="0"/>
          <c:showVal val="0"/>
          <c:showCatName val="0"/>
          <c:showSerName val="0"/>
          <c:showPercent val="0"/>
          <c:showBubbleSize val="0"/>
        </c:dLbls>
        <c:marker val="1"/>
        <c:smooth val="0"/>
        <c:axId val="205101696"/>
        <c:axId val="308876032"/>
      </c:lineChart>
      <c:lineChart>
        <c:grouping val="standard"/>
        <c:varyColors val="0"/>
        <c:ser>
          <c:idx val="0"/>
          <c:order val="0"/>
          <c:tx>
            <c:strRef>
              <c:f>Sheet1!$B$1</c:f>
              <c:strCache>
                <c:ptCount val="1"/>
                <c:pt idx="0">
                  <c:v>Նավթ (աջ առանցք)</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Sheet1!$A$2:$A$8</c:f>
              <c:numCache>
                <c:formatCode>General</c:formatCode>
                <c:ptCount val="6"/>
                <c:pt idx="0">
                  <c:v>2018</c:v>
                </c:pt>
                <c:pt idx="1">
                  <c:v>2019</c:v>
                </c:pt>
                <c:pt idx="2">
                  <c:v>2020</c:v>
                </c:pt>
                <c:pt idx="3">
                  <c:v>2021</c:v>
                </c:pt>
                <c:pt idx="4">
                  <c:v>2022</c:v>
                </c:pt>
                <c:pt idx="5">
                  <c:v>2023</c:v>
                </c:pt>
              </c:numCache>
            </c:numRef>
          </c:cat>
          <c:val>
            <c:numRef>
              <c:f>Sheet1!$B$3:$B$8</c:f>
              <c:numCache>
                <c:formatCode>_(* #,##0_);_(* \(#,##0\);_(* "-"??_);_(@_)</c:formatCode>
                <c:ptCount val="6"/>
                <c:pt idx="0">
                  <c:v>71.071666666666701</c:v>
                </c:pt>
                <c:pt idx="1">
                  <c:v>64.031666666666695</c:v>
                </c:pt>
                <c:pt idx="2">
                  <c:v>42.3</c:v>
                </c:pt>
                <c:pt idx="3">
                  <c:v>70.44</c:v>
                </c:pt>
                <c:pt idx="4">
                  <c:v>102.9761</c:v>
                </c:pt>
                <c:pt idx="5">
                  <c:v>89.638999999999996</c:v>
                </c:pt>
              </c:numCache>
            </c:numRef>
          </c:val>
          <c:smooth val="0"/>
          <c:extLst>
            <c:ext xmlns:c16="http://schemas.microsoft.com/office/drawing/2014/chart" uri="{C3380CC4-5D6E-409C-BE32-E72D297353CC}">
              <c16:uniqueId val="{00000001-29E7-46F7-ADCB-3E9D8787C92C}"/>
            </c:ext>
          </c:extLst>
        </c:ser>
        <c:dLbls>
          <c:showLegendKey val="0"/>
          <c:showVal val="0"/>
          <c:showCatName val="0"/>
          <c:showSerName val="0"/>
          <c:showPercent val="0"/>
          <c:showBubbleSize val="0"/>
        </c:dLbls>
        <c:marker val="1"/>
        <c:smooth val="0"/>
        <c:axId val="349563520"/>
        <c:axId val="308878336"/>
      </c:lineChart>
      <c:catAx>
        <c:axId val="20510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876032"/>
        <c:crosses val="autoZero"/>
        <c:auto val="1"/>
        <c:lblAlgn val="ctr"/>
        <c:lblOffset val="100"/>
        <c:noMultiLvlLbl val="0"/>
      </c:catAx>
      <c:valAx>
        <c:axId val="308876032"/>
        <c:scaling>
          <c:orientation val="minMax"/>
          <c:min val="5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0" i="0" baseline="0">
                    <a:effectLst/>
                  </a:rPr>
                  <a:t>($/mt) </a:t>
                </a:r>
                <a:endParaRPr lang="en-US" sz="900">
                  <a:effectLst/>
                </a:endParaRPr>
              </a:p>
            </c:rich>
          </c:tx>
          <c:layout>
            <c:manualLayout>
              <c:xMode val="edge"/>
              <c:yMode val="edge"/>
              <c:x val="1.9550342130987301E-3"/>
              <c:y val="0.28080027732382629"/>
            </c:manualLayout>
          </c:layout>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101696"/>
        <c:crosses val="autoZero"/>
        <c:crossBetween val="between"/>
      </c:valAx>
      <c:valAx>
        <c:axId val="308878336"/>
        <c:scaling>
          <c:orientation val="minMax"/>
          <c:min val="30"/>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0" i="0" baseline="0">
                    <a:effectLst/>
                  </a:rPr>
                  <a:t>($/bbl) </a:t>
                </a:r>
                <a:endParaRPr lang="en-US" sz="900">
                  <a:effectLst/>
                </a:endParaRPr>
              </a:p>
            </c:rich>
          </c:tx>
          <c:layout>
            <c:manualLayout>
              <c:xMode val="edge"/>
              <c:yMode val="edge"/>
              <c:x val="0.935609106263532"/>
              <c:y val="0.28816222491419341"/>
            </c:manualLayout>
          </c:layout>
          <c:overlay val="0"/>
          <c:spPr>
            <a:noFill/>
            <a:ln>
              <a:noFill/>
            </a:ln>
            <a:effectLst/>
          </c:spPr>
        </c:title>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9563520"/>
        <c:crosses val="max"/>
        <c:crossBetween val="between"/>
      </c:valAx>
      <c:catAx>
        <c:axId val="349563520"/>
        <c:scaling>
          <c:orientation val="minMax"/>
        </c:scaling>
        <c:delete val="1"/>
        <c:axPos val="b"/>
        <c:numFmt formatCode="General" sourceLinked="1"/>
        <c:majorTickMark val="out"/>
        <c:minorTickMark val="none"/>
        <c:tickLblPos val="none"/>
        <c:crossAx val="3088783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122703412073505E-2"/>
          <c:y val="5.0925925925925923E-2"/>
          <c:w val="0.87232174103237092"/>
          <c:h val="0.58299139690871971"/>
        </c:manualLayout>
      </c:layout>
      <c:barChart>
        <c:barDir val="col"/>
        <c:grouping val="percentStacked"/>
        <c:varyColors val="0"/>
        <c:ser>
          <c:idx val="0"/>
          <c:order val="0"/>
          <c:tx>
            <c:strRef>
              <c:f>Sheet1!$A$8</c:f>
              <c:strCache>
                <c:ptCount val="1"/>
                <c:pt idx="0">
                  <c:v>Արդյունաբերություն</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Sheet1!$B$7:$F$7</c:f>
              <c:strCache>
                <c:ptCount val="5"/>
                <c:pt idx="0">
                  <c:v>2019 </c:v>
                </c:pt>
                <c:pt idx="1">
                  <c:v>2020</c:v>
                </c:pt>
                <c:pt idx="2">
                  <c:v>2021</c:v>
                </c:pt>
                <c:pt idx="3">
                  <c:v>2022</c:v>
                </c:pt>
                <c:pt idx="4">
                  <c:v>2023</c:v>
                </c:pt>
              </c:strCache>
            </c:strRef>
          </c:cat>
          <c:val>
            <c:numRef>
              <c:f>Sheet1!$B$8:$F$8</c:f>
              <c:numCache>
                <c:formatCode>0.0</c:formatCode>
                <c:ptCount val="5"/>
                <c:pt idx="0">
                  <c:v>18.62246328768364</c:v>
                </c:pt>
                <c:pt idx="1">
                  <c:v>19.908953272735175</c:v>
                </c:pt>
                <c:pt idx="2">
                  <c:v>20.128086037981742</c:v>
                </c:pt>
                <c:pt idx="3">
                  <c:v>18.986697981521299</c:v>
                </c:pt>
                <c:pt idx="4">
                  <c:v>18.649551008017646</c:v>
                </c:pt>
              </c:numCache>
            </c:numRef>
          </c:val>
          <c:extLst>
            <c:ext xmlns:c16="http://schemas.microsoft.com/office/drawing/2014/chart" uri="{C3380CC4-5D6E-409C-BE32-E72D297353CC}">
              <c16:uniqueId val="{00000000-3E19-411C-88E1-70815701B6A2}"/>
            </c:ext>
          </c:extLst>
        </c:ser>
        <c:ser>
          <c:idx val="1"/>
          <c:order val="1"/>
          <c:tx>
            <c:strRef>
              <c:f>Sheet1!$A$9</c:f>
              <c:strCache>
                <c:ptCount val="1"/>
                <c:pt idx="0">
                  <c:v>Գյուղատնտեսություն և անտառային տնտեսություն</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Sheet1!$B$7:$F$7</c:f>
              <c:strCache>
                <c:ptCount val="5"/>
                <c:pt idx="0">
                  <c:v>2019 </c:v>
                </c:pt>
                <c:pt idx="1">
                  <c:v>2020</c:v>
                </c:pt>
                <c:pt idx="2">
                  <c:v>2021</c:v>
                </c:pt>
                <c:pt idx="3">
                  <c:v>2022</c:v>
                </c:pt>
                <c:pt idx="4">
                  <c:v>2023</c:v>
                </c:pt>
              </c:strCache>
            </c:strRef>
          </c:cat>
          <c:val>
            <c:numRef>
              <c:f>Sheet1!$B$9:$F$9</c:f>
              <c:numCache>
                <c:formatCode>0.0</c:formatCode>
                <c:ptCount val="5"/>
                <c:pt idx="0">
                  <c:v>11.525610737958818</c:v>
                </c:pt>
                <c:pt idx="1">
                  <c:v>11.349805155454895</c:v>
                </c:pt>
                <c:pt idx="2">
                  <c:v>11.337477467478886</c:v>
                </c:pt>
                <c:pt idx="3">
                  <c:v>11.297156254358882</c:v>
                </c:pt>
                <c:pt idx="4">
                  <c:v>10.87483265606509</c:v>
                </c:pt>
              </c:numCache>
            </c:numRef>
          </c:val>
          <c:extLst>
            <c:ext xmlns:c16="http://schemas.microsoft.com/office/drawing/2014/chart" uri="{C3380CC4-5D6E-409C-BE32-E72D297353CC}">
              <c16:uniqueId val="{00000001-3E19-411C-88E1-70815701B6A2}"/>
            </c:ext>
          </c:extLst>
        </c:ser>
        <c:ser>
          <c:idx val="2"/>
          <c:order val="2"/>
          <c:tx>
            <c:strRef>
              <c:f>Sheet1!$A$10</c:f>
              <c:strCache>
                <c:ptCount val="1"/>
                <c:pt idx="0">
                  <c:v>Շինարարություն</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Sheet1!$B$7:$F$7</c:f>
              <c:strCache>
                <c:ptCount val="5"/>
                <c:pt idx="0">
                  <c:v>2019 </c:v>
                </c:pt>
                <c:pt idx="1">
                  <c:v>2020</c:v>
                </c:pt>
                <c:pt idx="2">
                  <c:v>2021</c:v>
                </c:pt>
                <c:pt idx="3">
                  <c:v>2022</c:v>
                </c:pt>
                <c:pt idx="4">
                  <c:v>2023</c:v>
                </c:pt>
              </c:strCache>
            </c:strRef>
          </c:cat>
          <c:val>
            <c:numRef>
              <c:f>Sheet1!$B$10:$F$10</c:f>
              <c:numCache>
                <c:formatCode>0.0</c:formatCode>
                <c:ptCount val="5"/>
                <c:pt idx="0">
                  <c:v>6.3491451696598515</c:v>
                </c:pt>
                <c:pt idx="1">
                  <c:v>6.9083424251944709</c:v>
                </c:pt>
                <c:pt idx="2">
                  <c:v>6.5133186666833724</c:v>
                </c:pt>
                <c:pt idx="3">
                  <c:v>6.5069298342789903</c:v>
                </c:pt>
                <c:pt idx="4">
                  <c:v>6.6650421480091326</c:v>
                </c:pt>
              </c:numCache>
            </c:numRef>
          </c:val>
          <c:extLst>
            <c:ext xmlns:c16="http://schemas.microsoft.com/office/drawing/2014/chart" uri="{C3380CC4-5D6E-409C-BE32-E72D297353CC}">
              <c16:uniqueId val="{00000002-3E19-411C-88E1-70815701B6A2}"/>
            </c:ext>
          </c:extLst>
        </c:ser>
        <c:ser>
          <c:idx val="3"/>
          <c:order val="3"/>
          <c:tx>
            <c:strRef>
              <c:f>Sheet1!$A$11</c:f>
              <c:strCache>
                <c:ptCount val="1"/>
                <c:pt idx="0">
                  <c:v>Ծառայություններ</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Sheet1!$B$7:$F$7</c:f>
              <c:strCache>
                <c:ptCount val="5"/>
                <c:pt idx="0">
                  <c:v>2019 </c:v>
                </c:pt>
                <c:pt idx="1">
                  <c:v>2020</c:v>
                </c:pt>
                <c:pt idx="2">
                  <c:v>2021</c:v>
                </c:pt>
                <c:pt idx="3">
                  <c:v>2022</c:v>
                </c:pt>
                <c:pt idx="4">
                  <c:v>2023</c:v>
                </c:pt>
              </c:strCache>
            </c:strRef>
          </c:cat>
          <c:val>
            <c:numRef>
              <c:f>Sheet1!$B$11:$F$11</c:f>
              <c:numCache>
                <c:formatCode>0.0</c:formatCode>
                <c:ptCount val="5"/>
                <c:pt idx="0">
                  <c:v>52.112404130880428</c:v>
                </c:pt>
                <c:pt idx="1">
                  <c:v>50.930889787878556</c:v>
                </c:pt>
                <c:pt idx="2">
                  <c:v>51.033141020018348</c:v>
                </c:pt>
                <c:pt idx="3">
                  <c:v>52.679575958624234</c:v>
                </c:pt>
                <c:pt idx="4">
                  <c:v>53.261252646651883</c:v>
                </c:pt>
              </c:numCache>
            </c:numRef>
          </c:val>
          <c:extLst>
            <c:ext xmlns:c16="http://schemas.microsoft.com/office/drawing/2014/chart" uri="{C3380CC4-5D6E-409C-BE32-E72D297353CC}">
              <c16:uniqueId val="{00000003-3E19-411C-88E1-70815701B6A2}"/>
            </c:ext>
          </c:extLst>
        </c:ser>
        <c:ser>
          <c:idx val="4"/>
          <c:order val="4"/>
          <c:tx>
            <c:strRef>
              <c:f>Sheet1!$A$12</c:f>
              <c:strCache>
                <c:ptCount val="1"/>
                <c:pt idx="0">
                  <c:v>Զուտ հարկեր</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Sheet1!$B$7:$F$7</c:f>
              <c:strCache>
                <c:ptCount val="5"/>
                <c:pt idx="0">
                  <c:v>2019 </c:v>
                </c:pt>
                <c:pt idx="1">
                  <c:v>2020</c:v>
                </c:pt>
                <c:pt idx="2">
                  <c:v>2021</c:v>
                </c:pt>
                <c:pt idx="3">
                  <c:v>2022</c:v>
                </c:pt>
                <c:pt idx="4">
                  <c:v>2023</c:v>
                </c:pt>
              </c:strCache>
            </c:strRef>
          </c:cat>
          <c:val>
            <c:numRef>
              <c:f>Sheet1!$B$12:$F$12</c:f>
              <c:numCache>
                <c:formatCode>0.0</c:formatCode>
                <c:ptCount val="5"/>
                <c:pt idx="0">
                  <c:v>11.390376673817267</c:v>
                </c:pt>
                <c:pt idx="1">
                  <c:v>10.902009358736906</c:v>
                </c:pt>
                <c:pt idx="2">
                  <c:v>10.987976807837653</c:v>
                </c:pt>
                <c:pt idx="3">
                  <c:v>10.529639971216593</c:v>
                </c:pt>
                <c:pt idx="4">
                  <c:v>10.549321541256248</c:v>
                </c:pt>
              </c:numCache>
            </c:numRef>
          </c:val>
          <c:extLst>
            <c:ext xmlns:c16="http://schemas.microsoft.com/office/drawing/2014/chart" uri="{C3380CC4-5D6E-409C-BE32-E72D297353CC}">
              <c16:uniqueId val="{00000004-3E19-411C-88E1-70815701B6A2}"/>
            </c:ext>
          </c:extLst>
        </c:ser>
        <c:dLbls>
          <c:showLegendKey val="0"/>
          <c:showVal val="0"/>
          <c:showCatName val="0"/>
          <c:showSerName val="0"/>
          <c:showPercent val="0"/>
          <c:showBubbleSize val="0"/>
        </c:dLbls>
        <c:gapWidth val="150"/>
        <c:overlap val="100"/>
        <c:axId val="296305024"/>
        <c:axId val="296306560"/>
      </c:barChart>
      <c:catAx>
        <c:axId val="29630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306560"/>
        <c:crosses val="autoZero"/>
        <c:auto val="1"/>
        <c:lblAlgn val="ctr"/>
        <c:lblOffset val="100"/>
        <c:noMultiLvlLbl val="0"/>
      </c:catAx>
      <c:valAx>
        <c:axId val="296306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305024"/>
        <c:crosses val="autoZero"/>
        <c:crossBetween val="between"/>
      </c:valAx>
      <c:spPr>
        <a:noFill/>
        <a:ln>
          <a:noFill/>
        </a:ln>
        <a:effectLst/>
      </c:spPr>
    </c:plotArea>
    <c:legend>
      <c:legendPos val="b"/>
      <c:layout>
        <c:manualLayout>
          <c:xMode val="edge"/>
          <c:yMode val="edge"/>
          <c:x val="0"/>
          <c:y val="0.73565859823077828"/>
          <c:w val="0.97725437445319496"/>
          <c:h val="0.2365639480250154"/>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GHEA Grapalat" panose="02000506050000020003" pitchFamily="50" charset="0"/>
        </a:defRPr>
      </a:pPr>
      <a:endParaRPr lang="en-US"/>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36046999039115"/>
          <c:y val="8.6819258089976328E-2"/>
          <c:w val="0.84559448496456369"/>
          <c:h val="0.6190958864948537"/>
        </c:manualLayout>
      </c:layout>
      <c:barChart>
        <c:barDir val="col"/>
        <c:grouping val="percentStacked"/>
        <c:varyColors val="0"/>
        <c:ser>
          <c:idx val="0"/>
          <c:order val="0"/>
          <c:tx>
            <c:strRef>
              <c:f>Sheet1!$A$2</c:f>
              <c:strCache>
                <c:ptCount val="1"/>
                <c:pt idx="0">
                  <c:v>Սպառում</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2019 </c:v>
                </c:pt>
                <c:pt idx="1">
                  <c:v>2020</c:v>
                </c:pt>
                <c:pt idx="2">
                  <c:v>2021</c:v>
                </c:pt>
                <c:pt idx="3">
                  <c:v>2022</c:v>
                </c:pt>
                <c:pt idx="4">
                  <c:v>2023</c:v>
                </c:pt>
              </c:strCache>
            </c:strRef>
          </c:cat>
          <c:val>
            <c:numRef>
              <c:f>Sheet1!$B$2:$F$2</c:f>
              <c:numCache>
                <c:formatCode>0.0</c:formatCode>
                <c:ptCount val="5"/>
                <c:pt idx="0">
                  <c:v>96.004021993844162</c:v>
                </c:pt>
                <c:pt idx="1">
                  <c:v>90.295000765621907</c:v>
                </c:pt>
                <c:pt idx="2">
                  <c:v>87.803692200838839</c:v>
                </c:pt>
                <c:pt idx="3">
                  <c:v>86.187165217134847</c:v>
                </c:pt>
                <c:pt idx="4">
                  <c:v>84.406693014543947</c:v>
                </c:pt>
              </c:numCache>
            </c:numRef>
          </c:val>
          <c:extLst>
            <c:ext xmlns:c16="http://schemas.microsoft.com/office/drawing/2014/chart" uri="{C3380CC4-5D6E-409C-BE32-E72D297353CC}">
              <c16:uniqueId val="{00000000-C200-4156-860D-CD1103D7B5A6}"/>
            </c:ext>
          </c:extLst>
        </c:ser>
        <c:ser>
          <c:idx val="1"/>
          <c:order val="1"/>
          <c:tx>
            <c:strRef>
              <c:f>Sheet1!$A$3</c:f>
              <c:strCache>
                <c:ptCount val="1"/>
                <c:pt idx="0">
                  <c:v>Հիմնական միջոցներում կապիտալ ներդրումներ</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2019 </c:v>
                </c:pt>
                <c:pt idx="1">
                  <c:v>2020</c:v>
                </c:pt>
                <c:pt idx="2">
                  <c:v>2021</c:v>
                </c:pt>
                <c:pt idx="3">
                  <c:v>2022</c:v>
                </c:pt>
                <c:pt idx="4">
                  <c:v>2023</c:v>
                </c:pt>
              </c:strCache>
            </c:strRef>
          </c:cat>
          <c:val>
            <c:numRef>
              <c:f>Sheet1!$B$3:$F$3</c:f>
              <c:numCache>
                <c:formatCode>0.0</c:formatCode>
                <c:ptCount val="5"/>
                <c:pt idx="0">
                  <c:v>15.815598431976859</c:v>
                </c:pt>
                <c:pt idx="1">
                  <c:v>17.77392125201067</c:v>
                </c:pt>
                <c:pt idx="2">
                  <c:v>18.26147283477464</c:v>
                </c:pt>
                <c:pt idx="3">
                  <c:v>18.462080477114</c:v>
                </c:pt>
                <c:pt idx="4">
                  <c:v>20.434122490061288</c:v>
                </c:pt>
              </c:numCache>
            </c:numRef>
          </c:val>
          <c:extLst>
            <c:ext xmlns:c16="http://schemas.microsoft.com/office/drawing/2014/chart" uri="{C3380CC4-5D6E-409C-BE32-E72D297353CC}">
              <c16:uniqueId val="{00000001-C200-4156-860D-CD1103D7B5A6}"/>
            </c:ext>
          </c:extLst>
        </c:ser>
        <c:ser>
          <c:idx val="2"/>
          <c:order val="2"/>
          <c:tx>
            <c:strRef>
              <c:f>Sheet1!$A$4</c:f>
              <c:strCache>
                <c:ptCount val="1"/>
                <c:pt idx="0">
                  <c:v>Ապրանք. և ծառ. արտահանում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2019 </c:v>
                </c:pt>
                <c:pt idx="1">
                  <c:v>2020</c:v>
                </c:pt>
                <c:pt idx="2">
                  <c:v>2021</c:v>
                </c:pt>
                <c:pt idx="3">
                  <c:v>2022</c:v>
                </c:pt>
                <c:pt idx="4">
                  <c:v>2023</c:v>
                </c:pt>
              </c:strCache>
            </c:strRef>
          </c:cat>
          <c:val>
            <c:numRef>
              <c:f>Sheet1!$B$4:$F$4</c:f>
              <c:numCache>
                <c:formatCode>0.0</c:formatCode>
                <c:ptCount val="5"/>
                <c:pt idx="0">
                  <c:v>41.35080136208493</c:v>
                </c:pt>
                <c:pt idx="1">
                  <c:v>29.764986915193397</c:v>
                </c:pt>
                <c:pt idx="2">
                  <c:v>35.335979535906148</c:v>
                </c:pt>
                <c:pt idx="3">
                  <c:v>40.796659115823203</c:v>
                </c:pt>
                <c:pt idx="4">
                  <c:v>40.193697986828248</c:v>
                </c:pt>
              </c:numCache>
            </c:numRef>
          </c:val>
          <c:extLst>
            <c:ext xmlns:c16="http://schemas.microsoft.com/office/drawing/2014/chart" uri="{C3380CC4-5D6E-409C-BE32-E72D297353CC}">
              <c16:uniqueId val="{00000002-C200-4156-860D-CD1103D7B5A6}"/>
            </c:ext>
          </c:extLst>
        </c:ser>
        <c:ser>
          <c:idx val="3"/>
          <c:order val="3"/>
          <c:tx>
            <c:strRef>
              <c:f>Sheet1!$A$5</c:f>
              <c:strCache>
                <c:ptCount val="1"/>
                <c:pt idx="0">
                  <c:v>Ապրանք. և ծառ. ներմուծում </c:v>
                </c:pt>
              </c:strCache>
            </c:strRef>
          </c:tx>
          <c:spPr>
            <a:solidFill>
              <a:schemeClr val="accent4"/>
            </a:solidFill>
            <a:ln>
              <a:noFill/>
            </a:ln>
            <a:effectLst/>
          </c:spPr>
          <c:invertIfNegative val="0"/>
          <c:dLbls>
            <c:dLbl>
              <c:idx val="0"/>
              <c:layout>
                <c:manualLayout>
                  <c:x val="4.0933278755628322E-3"/>
                  <c:y val="-7.727377070490003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200-4156-860D-CD1103D7B5A6}"/>
                </c:ext>
              </c:extLst>
            </c:dLbl>
            <c:dLbl>
              <c:idx val="1"/>
              <c:layout>
                <c:manualLayout>
                  <c:x val="4.0933278755627949E-3"/>
                  <c:y val="-7.727377070490003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200-4156-860D-CD1103D7B5A6}"/>
                </c:ext>
              </c:extLst>
            </c:dLbl>
            <c:dLbl>
              <c:idx val="2"/>
              <c:layout>
                <c:manualLayout>
                  <c:x val="0"/>
                  <c:y val="-4.21496311907270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200-4156-860D-CD1103D7B5A6}"/>
                </c:ext>
              </c:extLst>
            </c:dLbl>
            <c:dLbl>
              <c:idx val="3"/>
              <c:layout>
                <c:manualLayout>
                  <c:x val="-7.5043477476663076E-17"/>
                  <c:y val="-3.512469265893923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200-4156-860D-CD1103D7B5A6}"/>
                </c:ext>
              </c:extLst>
            </c:dLbl>
            <c:dLbl>
              <c:idx val="4"/>
              <c:layout>
                <c:manualLayout>
                  <c:x val="0"/>
                  <c:y val="-4.21496311907269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200-4156-860D-CD1103D7B5A6}"/>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2019 </c:v>
                </c:pt>
                <c:pt idx="1">
                  <c:v>2020</c:v>
                </c:pt>
                <c:pt idx="2">
                  <c:v>2021</c:v>
                </c:pt>
                <c:pt idx="3">
                  <c:v>2022</c:v>
                </c:pt>
                <c:pt idx="4">
                  <c:v>2023</c:v>
                </c:pt>
              </c:strCache>
            </c:strRef>
          </c:cat>
          <c:val>
            <c:numRef>
              <c:f>Sheet1!$B$5:$F$5</c:f>
              <c:numCache>
                <c:formatCode>0.0</c:formatCode>
                <c:ptCount val="5"/>
                <c:pt idx="0">
                  <c:v>-54.763352766785822</c:v>
                </c:pt>
                <c:pt idx="1">
                  <c:v>-39.723820624414245</c:v>
                </c:pt>
                <c:pt idx="2">
                  <c:v>-43.830783854273889</c:v>
                </c:pt>
                <c:pt idx="3">
                  <c:v>-47.447208315115702</c:v>
                </c:pt>
                <c:pt idx="4">
                  <c:v>-46.745870683324902</c:v>
                </c:pt>
              </c:numCache>
            </c:numRef>
          </c:val>
          <c:extLst>
            <c:ext xmlns:c16="http://schemas.microsoft.com/office/drawing/2014/chart" uri="{C3380CC4-5D6E-409C-BE32-E72D297353CC}">
              <c16:uniqueId val="{00000008-C200-4156-860D-CD1103D7B5A6}"/>
            </c:ext>
          </c:extLst>
        </c:ser>
        <c:dLbls>
          <c:showLegendKey val="0"/>
          <c:showVal val="0"/>
          <c:showCatName val="0"/>
          <c:showSerName val="0"/>
          <c:showPercent val="0"/>
          <c:showBubbleSize val="0"/>
        </c:dLbls>
        <c:gapWidth val="150"/>
        <c:overlap val="100"/>
        <c:axId val="296380672"/>
        <c:axId val="296386560"/>
      </c:barChart>
      <c:catAx>
        <c:axId val="29638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386560"/>
        <c:crosses val="autoZero"/>
        <c:auto val="1"/>
        <c:lblAlgn val="ctr"/>
        <c:lblOffset val="10"/>
        <c:noMultiLvlLbl val="0"/>
      </c:catAx>
      <c:valAx>
        <c:axId val="296386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380672"/>
        <c:crosses val="autoZero"/>
        <c:crossBetween val="between"/>
      </c:valAx>
      <c:spPr>
        <a:noFill/>
        <a:ln>
          <a:noFill/>
        </a:ln>
        <a:effectLst/>
      </c:spPr>
    </c:plotArea>
    <c:legend>
      <c:legendPos val="b"/>
      <c:layout>
        <c:manualLayout>
          <c:xMode val="edge"/>
          <c:yMode val="edge"/>
          <c:x val="5.2434256574987008E-3"/>
          <c:y val="0.72839011460201153"/>
          <c:w val="0.99475646011079077"/>
          <c:h val="0.23801928224318494"/>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GHEA Grapalat" panose="02000506050000020003" pitchFamily="50" charset="0"/>
        </a:defRPr>
      </a:pPr>
      <a:endParaRPr lang="en-US"/>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5345131697766"/>
          <c:y val="0.15092599850358071"/>
          <c:w val="0.79438558816511551"/>
          <c:h val="0.50461383816384664"/>
        </c:manualLayout>
      </c:layout>
      <c:barChart>
        <c:barDir val="col"/>
        <c:grouping val="clustered"/>
        <c:varyColors val="0"/>
        <c:ser>
          <c:idx val="0"/>
          <c:order val="0"/>
          <c:tx>
            <c:strRef>
              <c:f>Лист1!$B$1</c:f>
              <c:strCache>
                <c:ptCount val="1"/>
                <c:pt idx="0">
                  <c:v>Գործազուրկներ, հազ. մարդ</c:v>
                </c:pt>
              </c:strCache>
            </c:strRef>
          </c:tx>
          <c:spPr>
            <a:solidFill>
              <a:schemeClr val="accent1"/>
            </a:solidFill>
            <a:ln>
              <a:noFill/>
            </a:ln>
            <a:effectLst/>
          </c:spPr>
          <c:invertIfNegative val="0"/>
          <c:cat>
            <c:strRef>
              <c:f>Лист1!$A$2:$A$6</c:f>
              <c:strCache>
                <c:ptCount val="5"/>
                <c:pt idx="0">
                  <c:v>2021-I</c:v>
                </c:pt>
                <c:pt idx="1">
                  <c:v>2021-II</c:v>
                </c:pt>
                <c:pt idx="2">
                  <c:v>2021-III</c:v>
                </c:pt>
                <c:pt idx="3">
                  <c:v>2021-IV</c:v>
                </c:pt>
                <c:pt idx="4">
                  <c:v>2022-I</c:v>
                </c:pt>
              </c:strCache>
            </c:strRef>
          </c:cat>
          <c:val>
            <c:numRef>
              <c:f>Лист1!$B$2:$B$6</c:f>
              <c:numCache>
                <c:formatCode>General</c:formatCode>
                <c:ptCount val="5"/>
                <c:pt idx="0" formatCode="0.0">
                  <c:v>207.5</c:v>
                </c:pt>
                <c:pt idx="1">
                  <c:v>174.6</c:v>
                </c:pt>
                <c:pt idx="2">
                  <c:v>177.3</c:v>
                </c:pt>
                <c:pt idx="3">
                  <c:v>181.8</c:v>
                </c:pt>
                <c:pt idx="4">
                  <c:v>186.4</c:v>
                </c:pt>
              </c:numCache>
            </c:numRef>
          </c:val>
          <c:extLst>
            <c:ext xmlns:c16="http://schemas.microsoft.com/office/drawing/2014/chart" uri="{C3380CC4-5D6E-409C-BE32-E72D297353CC}">
              <c16:uniqueId val="{00000000-97A9-4D0C-A4E7-128C407A1569}"/>
            </c:ext>
          </c:extLst>
        </c:ser>
        <c:ser>
          <c:idx val="1"/>
          <c:order val="1"/>
          <c:tx>
            <c:strRef>
              <c:f>Лист1!$C$1</c:f>
              <c:strCache>
                <c:ptCount val="1"/>
                <c:pt idx="0">
                  <c:v>Զբաղվածներ, հազ. մարդ</c:v>
                </c:pt>
              </c:strCache>
            </c:strRef>
          </c:tx>
          <c:spPr>
            <a:solidFill>
              <a:schemeClr val="accent2"/>
            </a:solidFill>
            <a:ln>
              <a:noFill/>
            </a:ln>
            <a:effectLst/>
          </c:spPr>
          <c:invertIfNegative val="0"/>
          <c:cat>
            <c:strRef>
              <c:f>Лист1!$A$2:$A$6</c:f>
              <c:strCache>
                <c:ptCount val="5"/>
                <c:pt idx="0">
                  <c:v>2021-I</c:v>
                </c:pt>
                <c:pt idx="1">
                  <c:v>2021-II</c:v>
                </c:pt>
                <c:pt idx="2">
                  <c:v>2021-III</c:v>
                </c:pt>
                <c:pt idx="3">
                  <c:v>2021-IV</c:v>
                </c:pt>
                <c:pt idx="4">
                  <c:v>2022-I</c:v>
                </c:pt>
              </c:strCache>
            </c:strRef>
          </c:cat>
          <c:val>
            <c:numRef>
              <c:f>Лист1!$C$2:$C$6</c:f>
              <c:numCache>
                <c:formatCode>General</c:formatCode>
                <c:ptCount val="5"/>
                <c:pt idx="0">
                  <c:v>1036.5</c:v>
                </c:pt>
                <c:pt idx="1">
                  <c:v>993</c:v>
                </c:pt>
                <c:pt idx="2">
                  <c:v>1004.8</c:v>
                </c:pt>
                <c:pt idx="3">
                  <c:v>1093.0999999999999</c:v>
                </c:pt>
                <c:pt idx="4">
                  <c:v>1070.5</c:v>
                </c:pt>
              </c:numCache>
            </c:numRef>
          </c:val>
          <c:extLst>
            <c:ext xmlns:c16="http://schemas.microsoft.com/office/drawing/2014/chart" uri="{C3380CC4-5D6E-409C-BE32-E72D297353CC}">
              <c16:uniqueId val="{00000001-97A9-4D0C-A4E7-128C407A1569}"/>
            </c:ext>
          </c:extLst>
        </c:ser>
        <c:dLbls>
          <c:showLegendKey val="0"/>
          <c:showVal val="0"/>
          <c:showCatName val="0"/>
          <c:showSerName val="0"/>
          <c:showPercent val="0"/>
          <c:showBubbleSize val="0"/>
        </c:dLbls>
        <c:gapWidth val="219"/>
        <c:overlap val="-27"/>
        <c:axId val="296453632"/>
        <c:axId val="296455168"/>
      </c:barChart>
      <c:lineChart>
        <c:grouping val="standard"/>
        <c:varyColors val="0"/>
        <c:ser>
          <c:idx val="2"/>
          <c:order val="2"/>
          <c:tx>
            <c:strRef>
              <c:f>Лист1!$D$1</c:f>
              <c:strCache>
                <c:ptCount val="1"/>
                <c:pt idx="0">
                  <c:v>Գործազրկության մակարդակ, %, աջ առանցք</c:v>
                </c:pt>
              </c:strCache>
            </c:strRef>
          </c:tx>
          <c:spPr>
            <a:ln w="28575" cap="rnd">
              <a:solidFill>
                <a:srgbClr val="C00000"/>
              </a:solidFill>
              <a:round/>
            </a:ln>
            <a:effectLst/>
          </c:spPr>
          <c:marker>
            <c:symbol val="none"/>
          </c:marker>
          <c:dLbls>
            <c:dLbl>
              <c:idx val="1"/>
              <c:layout>
                <c:manualLayout>
                  <c:x val="8.5744908896034297E-3"/>
                  <c:y val="-2.413273001508301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7A9-4D0C-A4E7-128C407A1569}"/>
                </c:ext>
              </c:extLst>
            </c:dLbl>
            <c:dLbl>
              <c:idx val="2"/>
              <c:layout>
                <c:manualLayout>
                  <c:x val="-4.2872454448017148E-3"/>
                  <c:y val="-2.413273001508301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7A9-4D0C-A4E7-128C407A1569}"/>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2021-I</c:v>
                </c:pt>
                <c:pt idx="1">
                  <c:v>2021-II</c:v>
                </c:pt>
                <c:pt idx="2">
                  <c:v>2021-III</c:v>
                </c:pt>
                <c:pt idx="3">
                  <c:v>2021-IV</c:v>
                </c:pt>
                <c:pt idx="4">
                  <c:v>2022-I</c:v>
                </c:pt>
              </c:strCache>
            </c:strRef>
          </c:cat>
          <c:val>
            <c:numRef>
              <c:f>Лист1!$D$2:$D$6</c:f>
              <c:numCache>
                <c:formatCode>0.0</c:formatCode>
                <c:ptCount val="5"/>
                <c:pt idx="0">
                  <c:v>16.7</c:v>
                </c:pt>
                <c:pt idx="1">
                  <c:v>15</c:v>
                </c:pt>
                <c:pt idx="2">
                  <c:v>15</c:v>
                </c:pt>
                <c:pt idx="3">
                  <c:v>14.3</c:v>
                </c:pt>
                <c:pt idx="4">
                  <c:v>14.8</c:v>
                </c:pt>
              </c:numCache>
            </c:numRef>
          </c:val>
          <c:smooth val="0"/>
          <c:extLst>
            <c:ext xmlns:c16="http://schemas.microsoft.com/office/drawing/2014/chart" uri="{C3380CC4-5D6E-409C-BE32-E72D297353CC}">
              <c16:uniqueId val="{00000004-97A9-4D0C-A4E7-128C407A1569}"/>
            </c:ext>
          </c:extLst>
        </c:ser>
        <c:dLbls>
          <c:showLegendKey val="0"/>
          <c:showVal val="0"/>
          <c:showCatName val="0"/>
          <c:showSerName val="0"/>
          <c:showPercent val="0"/>
          <c:showBubbleSize val="0"/>
        </c:dLbls>
        <c:marker val="1"/>
        <c:smooth val="0"/>
        <c:axId val="296470784"/>
        <c:axId val="296469248"/>
      </c:lineChart>
      <c:catAx>
        <c:axId val="29645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455168"/>
        <c:crosses val="autoZero"/>
        <c:auto val="1"/>
        <c:lblAlgn val="ctr"/>
        <c:lblOffset val="100"/>
        <c:noMultiLvlLbl val="0"/>
      </c:catAx>
      <c:valAx>
        <c:axId val="296455168"/>
        <c:scaling>
          <c:orientation val="minMax"/>
          <c:max val="1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453632"/>
        <c:crosses val="autoZero"/>
        <c:crossBetween val="between"/>
        <c:majorUnit val="200"/>
      </c:valAx>
      <c:valAx>
        <c:axId val="296469248"/>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470784"/>
        <c:crosses val="max"/>
        <c:crossBetween val="between"/>
      </c:valAx>
      <c:catAx>
        <c:axId val="296470784"/>
        <c:scaling>
          <c:orientation val="minMax"/>
        </c:scaling>
        <c:delete val="1"/>
        <c:axPos val="b"/>
        <c:numFmt formatCode="General" sourceLinked="1"/>
        <c:majorTickMark val="none"/>
        <c:minorTickMark val="none"/>
        <c:tickLblPos val="none"/>
        <c:crossAx val="296469248"/>
        <c:crosses val="autoZero"/>
        <c:auto val="1"/>
        <c:lblAlgn val="ctr"/>
        <c:lblOffset val="100"/>
        <c:noMultiLvlLbl val="0"/>
      </c:catAx>
      <c:spPr>
        <a:noFill/>
        <a:ln>
          <a:noFill/>
        </a:ln>
        <a:effectLst/>
      </c:spPr>
    </c:plotArea>
    <c:legend>
      <c:legendPos val="b"/>
      <c:layout>
        <c:manualLayout>
          <c:xMode val="edge"/>
          <c:yMode val="edge"/>
          <c:x val="1.1575282854656208E-2"/>
          <c:y val="0.79644947529258803"/>
          <c:w val="0.81583986074847892"/>
          <c:h val="0.1620423960322156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a:p>
            <a:pPr>
              <a:defRPr sz="1400" b="0" i="0" u="none" strike="noStrike" kern="1200" spc="0" baseline="0">
                <a:solidFill>
                  <a:schemeClr val="tx1">
                    <a:lumMod val="65000"/>
                    <a:lumOff val="35000"/>
                  </a:schemeClr>
                </a:solidFill>
                <a:latin typeface="+mn-lt"/>
                <a:ea typeface="+mn-ea"/>
                <a:cs typeface="+mn-cs"/>
              </a:defRPr>
            </a:pPr>
            <a:endParaRPr lang="ru-RU"/>
          </a:p>
        </c:rich>
      </c:tx>
      <c:layout>
        <c:manualLayout>
          <c:xMode val="edge"/>
          <c:yMode val="edge"/>
          <c:x val="9.3106574844288706E-2"/>
          <c:y val="0"/>
        </c:manualLayout>
      </c:layout>
      <c:overlay val="0"/>
      <c:spPr>
        <a:noFill/>
        <a:ln>
          <a:noFill/>
        </a:ln>
        <a:effectLst/>
      </c:spPr>
    </c:title>
    <c:autoTitleDeleted val="0"/>
    <c:plotArea>
      <c:layout>
        <c:manualLayout>
          <c:layoutTarget val="inner"/>
          <c:xMode val="edge"/>
          <c:yMode val="edge"/>
          <c:x val="0.11873917014291722"/>
          <c:y val="7.0087221630047547E-2"/>
          <c:w val="0.80804307316570501"/>
          <c:h val="0.61867847769029227"/>
        </c:manualLayout>
      </c:layout>
      <c:lineChart>
        <c:grouping val="standard"/>
        <c:varyColors val="0"/>
        <c:ser>
          <c:idx val="0"/>
          <c:order val="0"/>
          <c:tx>
            <c:strRef>
              <c:f>Лист1!$B$1</c:f>
              <c:strCache>
                <c:ptCount val="1"/>
                <c:pt idx="0">
                  <c:v>Ընդամենը</c:v>
                </c:pt>
              </c:strCache>
            </c:strRef>
          </c:tx>
          <c:spPr>
            <a:effectLst/>
          </c:spPr>
          <c:marker>
            <c:symbol val="none"/>
          </c:marker>
          <c:cat>
            <c:strRef>
              <c:f>Лист1!$A$2:$A$8</c:f>
              <c:strCache>
                <c:ptCount val="7"/>
                <c:pt idx="0">
                  <c:v>I</c:v>
                </c:pt>
                <c:pt idx="1">
                  <c:v>I-II</c:v>
                </c:pt>
                <c:pt idx="2">
                  <c:v>I-III</c:v>
                </c:pt>
                <c:pt idx="3">
                  <c:v>I-IV</c:v>
                </c:pt>
                <c:pt idx="4">
                  <c:v>I-V</c:v>
                </c:pt>
                <c:pt idx="5">
                  <c:v>I-VI</c:v>
                </c:pt>
                <c:pt idx="6">
                  <c:v>I-VII</c:v>
                </c:pt>
              </c:strCache>
            </c:strRef>
          </c:cat>
          <c:val>
            <c:numRef>
              <c:f>Лист1!$B$2:$B$8</c:f>
              <c:numCache>
                <c:formatCode>0.0</c:formatCode>
                <c:ptCount val="7"/>
                <c:pt idx="0">
                  <c:v>6.2000000000000028</c:v>
                </c:pt>
                <c:pt idx="1">
                  <c:v>7</c:v>
                </c:pt>
                <c:pt idx="2">
                  <c:v>9.5999999999999943</c:v>
                </c:pt>
                <c:pt idx="3">
                  <c:v>9.7000000000000028</c:v>
                </c:pt>
                <c:pt idx="4">
                  <c:v>10.1</c:v>
                </c:pt>
                <c:pt idx="5">
                  <c:v>11.3</c:v>
                </c:pt>
                <c:pt idx="6">
                  <c:v>12</c:v>
                </c:pt>
              </c:numCache>
            </c:numRef>
          </c:val>
          <c:smooth val="0"/>
          <c:extLst>
            <c:ext xmlns:c16="http://schemas.microsoft.com/office/drawing/2014/chart" uri="{C3380CC4-5D6E-409C-BE32-E72D297353CC}">
              <c16:uniqueId val="{00000000-72FD-4AB6-ABEF-1387D6853248}"/>
            </c:ext>
          </c:extLst>
        </c:ser>
        <c:ser>
          <c:idx val="1"/>
          <c:order val="1"/>
          <c:tx>
            <c:strRef>
              <c:f>Лист1!$C$1</c:f>
              <c:strCache>
                <c:ptCount val="1"/>
                <c:pt idx="0">
                  <c:v>Պետական</c:v>
                </c:pt>
              </c:strCache>
            </c:strRef>
          </c:tx>
          <c:marker>
            <c:symbol val="none"/>
          </c:marker>
          <c:cat>
            <c:strRef>
              <c:f>Лист1!$A$2:$A$8</c:f>
              <c:strCache>
                <c:ptCount val="7"/>
                <c:pt idx="0">
                  <c:v>I</c:v>
                </c:pt>
                <c:pt idx="1">
                  <c:v>I-II</c:v>
                </c:pt>
                <c:pt idx="2">
                  <c:v>I-III</c:v>
                </c:pt>
                <c:pt idx="3">
                  <c:v>I-IV</c:v>
                </c:pt>
                <c:pt idx="4">
                  <c:v>I-V</c:v>
                </c:pt>
                <c:pt idx="5">
                  <c:v>I-VI</c:v>
                </c:pt>
                <c:pt idx="6">
                  <c:v>I-VII</c:v>
                </c:pt>
              </c:strCache>
            </c:strRef>
          </c:cat>
          <c:val>
            <c:numRef>
              <c:f>Лист1!$C$2:$C$8</c:f>
              <c:numCache>
                <c:formatCode>0.0</c:formatCode>
                <c:ptCount val="7"/>
                <c:pt idx="0">
                  <c:v>5.0999999999999943</c:v>
                </c:pt>
                <c:pt idx="1">
                  <c:v>4</c:v>
                </c:pt>
                <c:pt idx="2">
                  <c:v>4.0999999999999943</c:v>
                </c:pt>
                <c:pt idx="3">
                  <c:v>4.0999999999999943</c:v>
                </c:pt>
                <c:pt idx="4">
                  <c:v>4</c:v>
                </c:pt>
                <c:pt idx="5">
                  <c:v>4.5</c:v>
                </c:pt>
                <c:pt idx="6">
                  <c:v>4.3</c:v>
                </c:pt>
              </c:numCache>
            </c:numRef>
          </c:val>
          <c:smooth val="0"/>
          <c:extLst>
            <c:ext xmlns:c16="http://schemas.microsoft.com/office/drawing/2014/chart" uri="{C3380CC4-5D6E-409C-BE32-E72D297353CC}">
              <c16:uniqueId val="{00000001-72FD-4AB6-ABEF-1387D6853248}"/>
            </c:ext>
          </c:extLst>
        </c:ser>
        <c:ser>
          <c:idx val="2"/>
          <c:order val="2"/>
          <c:tx>
            <c:strRef>
              <c:f>Лист1!$D$1</c:f>
              <c:strCache>
                <c:ptCount val="1"/>
                <c:pt idx="0">
                  <c:v>Մասնավոր</c:v>
                </c:pt>
              </c:strCache>
            </c:strRef>
          </c:tx>
          <c:marker>
            <c:symbol val="none"/>
          </c:marker>
          <c:cat>
            <c:strRef>
              <c:f>Лист1!$A$2:$A$8</c:f>
              <c:strCache>
                <c:ptCount val="7"/>
                <c:pt idx="0">
                  <c:v>I</c:v>
                </c:pt>
                <c:pt idx="1">
                  <c:v>I-II</c:v>
                </c:pt>
                <c:pt idx="2">
                  <c:v>I-III</c:v>
                </c:pt>
                <c:pt idx="3">
                  <c:v>I-IV</c:v>
                </c:pt>
                <c:pt idx="4">
                  <c:v>I-V</c:v>
                </c:pt>
                <c:pt idx="5">
                  <c:v>I-VI</c:v>
                </c:pt>
                <c:pt idx="6">
                  <c:v>I-VII</c:v>
                </c:pt>
              </c:strCache>
            </c:strRef>
          </c:cat>
          <c:val>
            <c:numRef>
              <c:f>Лист1!$D$2:$D$8</c:f>
              <c:numCache>
                <c:formatCode>0.0</c:formatCode>
                <c:ptCount val="7"/>
                <c:pt idx="0">
                  <c:v>6</c:v>
                </c:pt>
                <c:pt idx="1">
                  <c:v>7.5999999999999943</c:v>
                </c:pt>
                <c:pt idx="2">
                  <c:v>11.200000000000003</c:v>
                </c:pt>
                <c:pt idx="3">
                  <c:v>11.200000000000003</c:v>
                </c:pt>
                <c:pt idx="4">
                  <c:v>11.8</c:v>
                </c:pt>
                <c:pt idx="5">
                  <c:v>13.2</c:v>
                </c:pt>
                <c:pt idx="6">
                  <c:v>14.3</c:v>
                </c:pt>
              </c:numCache>
            </c:numRef>
          </c:val>
          <c:smooth val="0"/>
          <c:extLst>
            <c:ext xmlns:c16="http://schemas.microsoft.com/office/drawing/2014/chart" uri="{C3380CC4-5D6E-409C-BE32-E72D297353CC}">
              <c16:uniqueId val="{00000002-72FD-4AB6-ABEF-1387D6853248}"/>
            </c:ext>
          </c:extLst>
        </c:ser>
        <c:dLbls>
          <c:showLegendKey val="0"/>
          <c:showVal val="0"/>
          <c:showCatName val="0"/>
          <c:showSerName val="0"/>
          <c:showPercent val="0"/>
          <c:showBubbleSize val="0"/>
        </c:dLbls>
        <c:smooth val="0"/>
        <c:axId val="297149184"/>
        <c:axId val="297150720"/>
      </c:lineChart>
      <c:catAx>
        <c:axId val="29714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7150720"/>
        <c:crosses val="autoZero"/>
        <c:auto val="1"/>
        <c:lblAlgn val="ctr"/>
        <c:lblOffset val="100"/>
        <c:noMultiLvlLbl val="0"/>
      </c:catAx>
      <c:valAx>
        <c:axId val="297150720"/>
        <c:scaling>
          <c:orientation val="minMax"/>
          <c:max val="15"/>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7149184"/>
        <c:crosses val="autoZero"/>
        <c:crossBetween val="between"/>
        <c:majorUnit val="2"/>
      </c:valAx>
      <c:spPr>
        <a:noFill/>
        <a:ln>
          <a:noFill/>
        </a:ln>
        <a:effectLst/>
      </c:spPr>
    </c:plotArea>
    <c:legend>
      <c:legendPos val="b"/>
      <c:layout>
        <c:manualLayout>
          <c:xMode val="edge"/>
          <c:yMode val="edge"/>
          <c:x val="5.8843537414965986E-2"/>
          <c:y val="0.80372399534053762"/>
          <c:w val="0.83130122127591199"/>
          <c:h val="9.2976776106579506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0353496275395"/>
          <c:y val="2.7462631000912119E-2"/>
          <c:w val="0.83619698175608326"/>
          <c:h val="0.66128895652749531"/>
        </c:manualLayout>
      </c:layout>
      <c:barChart>
        <c:barDir val="col"/>
        <c:grouping val="clustered"/>
        <c:varyColors val="0"/>
        <c:ser>
          <c:idx val="1"/>
          <c:order val="1"/>
          <c:tx>
            <c:strRef>
              <c:f>Sheet1!$A$3</c:f>
              <c:strCache>
                <c:ptCount val="1"/>
                <c:pt idx="0">
                  <c:v>Ապրանքների  հաշվեկշիռ</c:v>
                </c:pt>
              </c:strCache>
            </c:strRef>
          </c:tx>
          <c:spPr>
            <a:solidFill>
              <a:srgbClr val="C00000"/>
            </a:solidFill>
            <a:ln>
              <a:solidFill>
                <a:srgbClr val="C00000"/>
              </a:solidFill>
              <a:headEnd type="none"/>
              <a:tailEnd type="none"/>
            </a:ln>
            <a:effectLst/>
          </c:spPr>
          <c:invertIfNegative val="0"/>
          <c:cat>
            <c:strRef>
              <c:f>Sheet1!$B$1:$H$1</c:f>
              <c:strCache>
                <c:ptCount val="6"/>
                <c:pt idx="0">
                  <c:v>2018</c:v>
                </c:pt>
                <c:pt idx="1">
                  <c:v>2019</c:v>
                </c:pt>
                <c:pt idx="2">
                  <c:v>2020</c:v>
                </c:pt>
                <c:pt idx="3">
                  <c:v>2021</c:v>
                </c:pt>
                <c:pt idx="4">
                  <c:v>2022*</c:v>
                </c:pt>
                <c:pt idx="5">
                  <c:v>2023*</c:v>
                </c:pt>
              </c:strCache>
            </c:strRef>
          </c:cat>
          <c:val>
            <c:numRef>
              <c:f>Sheet1!$B$3:$H$3</c:f>
              <c:numCache>
                <c:formatCode>0.0</c:formatCode>
                <c:ptCount val="6"/>
                <c:pt idx="0">
                  <c:v>-14.154908222987975</c:v>
                </c:pt>
                <c:pt idx="1">
                  <c:v>-12.644612396588299</c:v>
                </c:pt>
                <c:pt idx="2">
                  <c:v>-10.933296134402209</c:v>
                </c:pt>
                <c:pt idx="3">
                  <c:v>-10.855815219969703</c:v>
                </c:pt>
                <c:pt idx="4">
                  <c:v>-11.992799140005751</c:v>
                </c:pt>
                <c:pt idx="5">
                  <c:v>-11.514028415776052</c:v>
                </c:pt>
              </c:numCache>
            </c:numRef>
          </c:val>
          <c:extLst>
            <c:ext xmlns:c16="http://schemas.microsoft.com/office/drawing/2014/chart" uri="{C3380CC4-5D6E-409C-BE32-E72D297353CC}">
              <c16:uniqueId val="{00000000-23A3-4C76-87F3-97DEEFDDCB67}"/>
            </c:ext>
          </c:extLst>
        </c:ser>
        <c:ser>
          <c:idx val="2"/>
          <c:order val="2"/>
          <c:tx>
            <c:strRef>
              <c:f>Sheet1!$A$4</c:f>
              <c:strCache>
                <c:ptCount val="1"/>
                <c:pt idx="0">
                  <c:v>Դրամական փոխանցումներ</c:v>
                </c:pt>
              </c:strCache>
            </c:strRef>
          </c:tx>
          <c:spPr>
            <a:solidFill>
              <a:srgbClr val="0070C0"/>
            </a:solidFill>
            <a:ln>
              <a:solidFill>
                <a:srgbClr val="0070C0"/>
              </a:solidFill>
            </a:ln>
            <a:effectLst/>
          </c:spPr>
          <c:invertIfNegative val="0"/>
          <c:cat>
            <c:strRef>
              <c:f>Sheet1!$B$1:$H$1</c:f>
              <c:strCache>
                <c:ptCount val="6"/>
                <c:pt idx="0">
                  <c:v>2018</c:v>
                </c:pt>
                <c:pt idx="1">
                  <c:v>2019</c:v>
                </c:pt>
                <c:pt idx="2">
                  <c:v>2020</c:v>
                </c:pt>
                <c:pt idx="3">
                  <c:v>2021</c:v>
                </c:pt>
                <c:pt idx="4">
                  <c:v>2022*</c:v>
                </c:pt>
                <c:pt idx="5">
                  <c:v>2023*</c:v>
                </c:pt>
              </c:strCache>
            </c:strRef>
          </c:cat>
          <c:val>
            <c:numRef>
              <c:f>Sheet1!$B$4:$H$4</c:f>
              <c:numCache>
                <c:formatCode>0.0</c:formatCode>
                <c:ptCount val="6"/>
                <c:pt idx="0">
                  <c:v>9.1527801920170671</c:v>
                </c:pt>
                <c:pt idx="1">
                  <c:v>8.5356388401983665</c:v>
                </c:pt>
                <c:pt idx="2">
                  <c:v>8.2756807900344835</c:v>
                </c:pt>
                <c:pt idx="3">
                  <c:v>8.9683607586653959</c:v>
                </c:pt>
                <c:pt idx="4">
                  <c:v>7.1943455679786856</c:v>
                </c:pt>
                <c:pt idx="5">
                  <c:v>6.4199830149982127</c:v>
                </c:pt>
              </c:numCache>
            </c:numRef>
          </c:val>
          <c:extLst>
            <c:ext xmlns:c16="http://schemas.microsoft.com/office/drawing/2014/chart" uri="{C3380CC4-5D6E-409C-BE32-E72D297353CC}">
              <c16:uniqueId val="{00000001-23A3-4C76-87F3-97DEEFDDCB67}"/>
            </c:ext>
          </c:extLst>
        </c:ser>
        <c:ser>
          <c:idx val="3"/>
          <c:order val="3"/>
          <c:tx>
            <c:strRef>
              <c:f>Sheet1!$A$5</c:f>
              <c:strCache>
                <c:ptCount val="1"/>
                <c:pt idx="0">
                  <c:v>Ծառայությունների հաշվեկշիռ</c:v>
                </c:pt>
              </c:strCache>
            </c:strRef>
          </c:tx>
          <c:spPr>
            <a:solidFill>
              <a:srgbClr val="ED7D31"/>
            </a:solidFill>
            <a:ln w="28575" cap="rnd">
              <a:solidFill>
                <a:srgbClr val="ED7D31"/>
              </a:solidFill>
              <a:round/>
            </a:ln>
            <a:effectLst/>
          </c:spPr>
          <c:invertIfNegative val="0"/>
          <c:cat>
            <c:strRef>
              <c:f>Sheet1!$B$1:$H$1</c:f>
              <c:strCache>
                <c:ptCount val="6"/>
                <c:pt idx="0">
                  <c:v>2018</c:v>
                </c:pt>
                <c:pt idx="1">
                  <c:v>2019</c:v>
                </c:pt>
                <c:pt idx="2">
                  <c:v>2020</c:v>
                </c:pt>
                <c:pt idx="3">
                  <c:v>2021</c:v>
                </c:pt>
                <c:pt idx="4">
                  <c:v>2022*</c:v>
                </c:pt>
                <c:pt idx="5">
                  <c:v>2023*</c:v>
                </c:pt>
              </c:strCache>
            </c:strRef>
          </c:cat>
          <c:val>
            <c:numRef>
              <c:f>Sheet1!$B$5:$H$5</c:f>
              <c:numCache>
                <c:formatCode>0.0</c:formatCode>
                <c:ptCount val="6"/>
                <c:pt idx="0">
                  <c:v>8.5642660008593552E-2</c:v>
                </c:pt>
                <c:pt idx="1">
                  <c:v>-0.63789499938145333</c:v>
                </c:pt>
                <c:pt idx="2">
                  <c:v>0.93379329835219949</c:v>
                </c:pt>
                <c:pt idx="3">
                  <c:v>2.8633929787633754</c:v>
                </c:pt>
                <c:pt idx="4">
                  <c:v>5.945220637362354</c:v>
                </c:pt>
                <c:pt idx="5">
                  <c:v>5.5559153161460895</c:v>
                </c:pt>
              </c:numCache>
            </c:numRef>
          </c:val>
          <c:extLst>
            <c:ext xmlns:c16="http://schemas.microsoft.com/office/drawing/2014/chart" uri="{C3380CC4-5D6E-409C-BE32-E72D297353CC}">
              <c16:uniqueId val="{00000002-23A3-4C76-87F3-97DEEFDDCB67}"/>
            </c:ext>
          </c:extLst>
        </c:ser>
        <c:dLbls>
          <c:showLegendKey val="0"/>
          <c:showVal val="0"/>
          <c:showCatName val="0"/>
          <c:showSerName val="0"/>
          <c:showPercent val="0"/>
          <c:showBubbleSize val="0"/>
        </c:dLbls>
        <c:gapWidth val="150"/>
        <c:axId val="299870464"/>
        <c:axId val="299868928"/>
      </c:barChart>
      <c:lineChart>
        <c:grouping val="stacked"/>
        <c:varyColors val="0"/>
        <c:ser>
          <c:idx val="0"/>
          <c:order val="0"/>
          <c:tx>
            <c:strRef>
              <c:f>Sheet1!$A$2</c:f>
              <c:strCache>
                <c:ptCount val="1"/>
                <c:pt idx="0">
                  <c:v>Ընթացիկ հաշիվ</c:v>
                </c:pt>
              </c:strCache>
            </c:strRef>
          </c:tx>
          <c:spPr>
            <a:ln w="28575" cap="rnd">
              <a:solidFill>
                <a:srgbClr val="FFC000">
                  <a:lumMod val="60000"/>
                  <a:lumOff val="40000"/>
                </a:srgbClr>
              </a:solidFill>
              <a:round/>
            </a:ln>
            <a:effectLst/>
          </c:spPr>
          <c:marker>
            <c:symbol val="circle"/>
            <c:size val="5"/>
            <c:spPr>
              <a:solidFill>
                <a:srgbClr val="FFC000">
                  <a:lumMod val="60000"/>
                  <a:lumOff val="40000"/>
                </a:srgbClr>
              </a:solidFill>
              <a:ln w="9525">
                <a:solidFill>
                  <a:srgbClr val="FFC000">
                    <a:lumMod val="60000"/>
                    <a:lumOff val="40000"/>
                  </a:srgb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Sheet1!$B$1:$H$1</c:f>
              <c:strCache>
                <c:ptCount val="6"/>
                <c:pt idx="0">
                  <c:v>2018</c:v>
                </c:pt>
                <c:pt idx="1">
                  <c:v>2019</c:v>
                </c:pt>
                <c:pt idx="2">
                  <c:v>2020</c:v>
                </c:pt>
                <c:pt idx="3">
                  <c:v>2021</c:v>
                </c:pt>
                <c:pt idx="4">
                  <c:v>2022*</c:v>
                </c:pt>
                <c:pt idx="5">
                  <c:v>2023*</c:v>
                </c:pt>
              </c:strCache>
            </c:strRef>
          </c:cat>
          <c:val>
            <c:numRef>
              <c:f>Sheet1!$B$2:$H$2</c:f>
              <c:numCache>
                <c:formatCode>0.0</c:formatCode>
                <c:ptCount val="6"/>
                <c:pt idx="0">
                  <c:v>-7.4196494237412498</c:v>
                </c:pt>
                <c:pt idx="1">
                  <c:v>-7.3203387073494151</c:v>
                </c:pt>
                <c:pt idx="2">
                  <c:v>-3.7796420088727403</c:v>
                </c:pt>
                <c:pt idx="3">
                  <c:v>-3.7162620881232686</c:v>
                </c:pt>
                <c:pt idx="4">
                  <c:v>-4.1780742758292631</c:v>
                </c:pt>
                <c:pt idx="5">
                  <c:v>-5.6826809887807856</c:v>
                </c:pt>
              </c:numCache>
            </c:numRef>
          </c:val>
          <c:smooth val="0"/>
          <c:extLst>
            <c:ext xmlns:c16="http://schemas.microsoft.com/office/drawing/2014/chart" uri="{C3380CC4-5D6E-409C-BE32-E72D297353CC}">
              <c16:uniqueId val="{00000003-23A3-4C76-87F3-97DEEFDDCB67}"/>
            </c:ext>
          </c:extLst>
        </c:ser>
        <c:dLbls>
          <c:showLegendKey val="0"/>
          <c:showVal val="0"/>
          <c:showCatName val="0"/>
          <c:showSerName val="0"/>
          <c:showPercent val="0"/>
          <c:showBubbleSize val="0"/>
        </c:dLbls>
        <c:marker val="1"/>
        <c:smooth val="0"/>
        <c:axId val="299881984"/>
        <c:axId val="299880448"/>
      </c:lineChart>
      <c:valAx>
        <c:axId val="299868928"/>
        <c:scaling>
          <c:orientation val="minMax"/>
          <c:max val="11"/>
          <c:min val="-1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9870464"/>
        <c:crosses val="autoZero"/>
        <c:crossBetween val="between"/>
      </c:valAx>
      <c:catAx>
        <c:axId val="2998704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99868928"/>
        <c:crosses val="autoZero"/>
        <c:auto val="1"/>
        <c:lblAlgn val="ctr"/>
        <c:lblOffset val="100"/>
        <c:noMultiLvlLbl val="0"/>
      </c:catAx>
      <c:valAx>
        <c:axId val="299880448"/>
        <c:scaling>
          <c:orientation val="minMax"/>
        </c:scaling>
        <c:delete val="1"/>
        <c:axPos val="r"/>
        <c:numFmt formatCode="0.0" sourceLinked="1"/>
        <c:majorTickMark val="out"/>
        <c:minorTickMark val="none"/>
        <c:tickLblPos val="none"/>
        <c:crossAx val="299881984"/>
        <c:crosses val="max"/>
        <c:crossBetween val="between"/>
      </c:valAx>
      <c:catAx>
        <c:axId val="299881984"/>
        <c:scaling>
          <c:orientation val="minMax"/>
        </c:scaling>
        <c:delete val="1"/>
        <c:axPos val="b"/>
        <c:numFmt formatCode="General" sourceLinked="1"/>
        <c:majorTickMark val="out"/>
        <c:minorTickMark val="none"/>
        <c:tickLblPos val="none"/>
        <c:crossAx val="299880448"/>
        <c:crosses val="autoZero"/>
        <c:auto val="1"/>
        <c:lblAlgn val="ctr"/>
        <c:lblOffset val="100"/>
        <c:noMultiLvlLbl val="0"/>
      </c:catAx>
      <c:spPr>
        <a:solidFill>
          <a:schemeClr val="bg1"/>
        </a:solidFill>
        <a:ln>
          <a:noFill/>
        </a:ln>
        <a:effectLst/>
      </c:spPr>
    </c:plotArea>
    <c:legend>
      <c:legendPos val="b"/>
      <c:layout>
        <c:manualLayout>
          <c:xMode val="edge"/>
          <c:yMode val="edge"/>
          <c:x val="5.3783209225543877E-3"/>
          <c:y val="0.7846087943437805"/>
          <c:w val="0.97570090670484499"/>
          <c:h val="0.21539120565621953"/>
        </c:manualLayout>
      </c:layout>
      <c:overlay val="0"/>
      <c:spPr>
        <a:noFill/>
        <a:ln>
          <a:noFill/>
        </a:ln>
        <a:effectLst/>
      </c:spPr>
      <c:txPr>
        <a:bodyPr rot="0" spcFirstLastPara="1" vertOverflow="ellipsis" vert="horz" wrap="square" anchor="ctr" anchorCtr="1"/>
        <a:lstStyle/>
        <a:p>
          <a:pPr algn="just">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zero"/>
    <c:showDLblsOverMax val="0"/>
  </c:chart>
  <c:spPr>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0353496275395"/>
          <c:y val="2.7462631000912119E-2"/>
          <c:w val="0.86378599935282063"/>
          <c:h val="0.73564911528916299"/>
        </c:manualLayout>
      </c:layout>
      <c:barChart>
        <c:barDir val="col"/>
        <c:grouping val="clustered"/>
        <c:varyColors val="0"/>
        <c:ser>
          <c:idx val="0"/>
          <c:order val="0"/>
          <c:tx>
            <c:strRef>
              <c:f>Sheet1!$A$2</c:f>
              <c:strCache>
                <c:ptCount val="1"/>
                <c:pt idx="0">
                  <c:v>Ապրանքների և ծառայությունների արտահանում</c:v>
                </c:pt>
              </c:strCache>
            </c:strRef>
          </c:tx>
          <c:spPr>
            <a:ln w="28575" cap="rnd">
              <a:solidFill>
                <a:srgbClr val="4472C4"/>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2018</c:v>
                </c:pt>
                <c:pt idx="1">
                  <c:v>2019</c:v>
                </c:pt>
                <c:pt idx="2">
                  <c:v>2020</c:v>
                </c:pt>
                <c:pt idx="3">
                  <c:v>2021</c:v>
                </c:pt>
                <c:pt idx="4">
                  <c:v>2022*</c:v>
                </c:pt>
                <c:pt idx="5">
                  <c:v>2023*</c:v>
                </c:pt>
              </c:strCache>
            </c:strRef>
          </c:cat>
          <c:val>
            <c:numRef>
              <c:f>Sheet1!$B$2:$G$2</c:f>
              <c:numCache>
                <c:formatCode>0.0</c:formatCode>
                <c:ptCount val="6"/>
                <c:pt idx="0">
                  <c:v>39.549255018918451</c:v>
                </c:pt>
                <c:pt idx="1">
                  <c:v>42.545710911812144</c:v>
                </c:pt>
                <c:pt idx="2">
                  <c:v>30.203163222394142</c:v>
                </c:pt>
                <c:pt idx="3">
                  <c:v>36.157026334028615</c:v>
                </c:pt>
                <c:pt idx="4">
                  <c:v>41.744587170487812</c:v>
                </c:pt>
                <c:pt idx="5">
                  <c:v>41.127615978354513</c:v>
                </c:pt>
              </c:numCache>
            </c:numRef>
          </c:val>
          <c:extLst>
            <c:ext xmlns:c16="http://schemas.microsoft.com/office/drawing/2014/chart" uri="{C3380CC4-5D6E-409C-BE32-E72D297353CC}">
              <c16:uniqueId val="{00000000-A30E-45B7-B9E9-B8CE705DCBF8}"/>
            </c:ext>
          </c:extLst>
        </c:ser>
        <c:ser>
          <c:idx val="1"/>
          <c:order val="1"/>
          <c:tx>
            <c:strRef>
              <c:f>Sheet1!$A$3</c:f>
              <c:strCache>
                <c:ptCount val="1"/>
                <c:pt idx="0">
                  <c:v>Ապրանքների և ծառայությունների ներմուծում</c:v>
                </c:pt>
              </c:strCache>
            </c:strRef>
          </c:tx>
          <c:spPr>
            <a:solidFill>
              <a:srgbClr val="C00000"/>
            </a:solidFill>
            <a:ln>
              <a:solidFill>
                <a:srgbClr val="C00000"/>
              </a:solidFill>
              <a:headEnd type="none"/>
              <a:tailEnd type="none"/>
            </a:ln>
            <a:effectLst/>
          </c:spPr>
          <c:invertIfNegative val="0"/>
          <c:dLbls>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Sheet1!$B$1:$G$1</c:f>
              <c:strCache>
                <c:ptCount val="6"/>
                <c:pt idx="0">
                  <c:v>2018</c:v>
                </c:pt>
                <c:pt idx="1">
                  <c:v>2019</c:v>
                </c:pt>
                <c:pt idx="2">
                  <c:v>2020</c:v>
                </c:pt>
                <c:pt idx="3">
                  <c:v>2021</c:v>
                </c:pt>
                <c:pt idx="4">
                  <c:v>2022*</c:v>
                </c:pt>
                <c:pt idx="5">
                  <c:v>2023*</c:v>
                </c:pt>
              </c:strCache>
            </c:strRef>
          </c:cat>
          <c:val>
            <c:numRef>
              <c:f>Sheet1!$B$3:$G$3</c:f>
              <c:numCache>
                <c:formatCode>0.0</c:formatCode>
                <c:ptCount val="6"/>
                <c:pt idx="0">
                  <c:v>53.618520581897833</c:v>
                </c:pt>
                <c:pt idx="1">
                  <c:v>55.828218307781896</c:v>
                </c:pt>
                <c:pt idx="2">
                  <c:v>40.202666058444152</c:v>
                </c:pt>
                <c:pt idx="3">
                  <c:v>44.149448575234942</c:v>
                </c:pt>
                <c:pt idx="4">
                  <c:v>47.792165673131208</c:v>
                </c:pt>
                <c:pt idx="5">
                  <c:v>47.085729077984475</c:v>
                </c:pt>
              </c:numCache>
            </c:numRef>
          </c:val>
          <c:extLst>
            <c:ext xmlns:c16="http://schemas.microsoft.com/office/drawing/2014/chart" uri="{C3380CC4-5D6E-409C-BE32-E72D297353CC}">
              <c16:uniqueId val="{00000001-A30E-45B7-B9E9-B8CE705DCBF8}"/>
            </c:ext>
          </c:extLst>
        </c:ser>
        <c:dLbls>
          <c:showLegendKey val="0"/>
          <c:showVal val="0"/>
          <c:showCatName val="0"/>
          <c:showSerName val="0"/>
          <c:showPercent val="0"/>
          <c:showBubbleSize val="0"/>
        </c:dLbls>
        <c:gapWidth val="150"/>
        <c:axId val="306657920"/>
        <c:axId val="306656384"/>
      </c:barChart>
      <c:valAx>
        <c:axId val="306656384"/>
        <c:scaling>
          <c:orientation val="minMax"/>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tx1">
                    <a:lumMod val="95000"/>
                    <a:lumOff val="5000"/>
                  </a:schemeClr>
                </a:solidFill>
                <a:latin typeface="+mn-lt"/>
                <a:ea typeface="+mn-ea"/>
                <a:cs typeface="+mn-cs"/>
              </a:defRPr>
            </a:pPr>
            <a:endParaRPr lang="en-US"/>
          </a:p>
        </c:txPr>
        <c:crossAx val="306657920"/>
        <c:crosses val="autoZero"/>
        <c:crossBetween val="between"/>
        <c:majorUnit val="10"/>
      </c:valAx>
      <c:catAx>
        <c:axId val="30665792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06656384"/>
        <c:crosses val="autoZero"/>
        <c:auto val="1"/>
        <c:lblAlgn val="ctr"/>
        <c:lblOffset val="100"/>
        <c:noMultiLvlLbl val="0"/>
      </c:catAx>
      <c:spPr>
        <a:solidFill>
          <a:schemeClr val="bg1"/>
        </a:solidFill>
        <a:ln>
          <a:noFill/>
        </a:ln>
        <a:effectLst/>
      </c:spPr>
    </c:plotArea>
    <c:legend>
      <c:legendPos val="b"/>
      <c:layout>
        <c:manualLayout>
          <c:xMode val="edge"/>
          <c:yMode val="edge"/>
          <c:x val="2.3948413133595012E-2"/>
          <c:y val="0.85107968646776433"/>
          <c:w val="0.92111602488045008"/>
          <c:h val="0.14008205652993741"/>
        </c:manualLayout>
      </c:layout>
      <c:overlay val="0"/>
      <c:spPr>
        <a:noFill/>
        <a:ln>
          <a:noFill/>
        </a:ln>
        <a:effectLst/>
      </c:spPr>
      <c:txPr>
        <a:bodyPr rot="0" spcFirstLastPara="1" vertOverflow="ellipsis" vert="horz" wrap="square" anchor="ctr" anchorCtr="1"/>
        <a:lstStyle/>
        <a:p>
          <a:pPr algn="just">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02378893389796"/>
          <c:y val="7.7192982456140605E-2"/>
          <c:w val="0.85358700104683449"/>
          <c:h val="0.53218566100289999"/>
        </c:manualLayout>
      </c:layout>
      <c:lineChart>
        <c:grouping val="standard"/>
        <c:varyColors val="0"/>
        <c:ser>
          <c:idx val="0"/>
          <c:order val="0"/>
          <c:tx>
            <c:strRef>
              <c:f>Sheet1!$A$2</c:f>
              <c:strCache>
                <c:ptCount val="1"/>
                <c:pt idx="0">
                  <c:v>12 ամսյա փոփոխություն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Sheet1!$B$2:$I$2</c:f>
              <c:numCache>
                <c:formatCode>0.0</c:formatCode>
                <c:ptCount val="8"/>
                <c:pt idx="0">
                  <c:v>51.959505283291662</c:v>
                </c:pt>
                <c:pt idx="1">
                  <c:v>30.390248339945572</c:v>
                </c:pt>
                <c:pt idx="2">
                  <c:v>5.2719718635667192</c:v>
                </c:pt>
                <c:pt idx="3">
                  <c:v>21.866057093461961</c:v>
                </c:pt>
                <c:pt idx="4">
                  <c:v>33.94259541063721</c:v>
                </c:pt>
                <c:pt idx="5">
                  <c:v>69.656472631102702</c:v>
                </c:pt>
                <c:pt idx="6">
                  <c:v>84.31211421139443</c:v>
                </c:pt>
                <c:pt idx="7">
                  <c:v>107.41296424392038</c:v>
                </c:pt>
              </c:numCache>
            </c:numRef>
          </c:val>
          <c:smooth val="0"/>
          <c:extLst>
            <c:ext xmlns:c16="http://schemas.microsoft.com/office/drawing/2014/chart" uri="{C3380CC4-5D6E-409C-BE32-E72D297353CC}">
              <c16:uniqueId val="{00000000-47E3-4388-A8B9-55617379A391}"/>
            </c:ext>
          </c:extLst>
        </c:ser>
        <c:ser>
          <c:idx val="1"/>
          <c:order val="1"/>
          <c:tx>
            <c:strRef>
              <c:f>Sheet1!$A$3</c:f>
              <c:strCache>
                <c:ptCount val="1"/>
                <c:pt idx="0">
                  <c:v>Անվանական կուտակային փոփոխություն</c:v>
                </c:pt>
              </c:strCache>
            </c:strRef>
          </c:tx>
          <c:spPr>
            <a:ln>
              <a:solidFill>
                <a:srgbClr val="C00000"/>
              </a:solidFill>
            </a:ln>
          </c:spPr>
          <c:marker>
            <c:spPr>
              <a:solidFill>
                <a:srgbClr val="C00000"/>
              </a:solidFill>
              <a:ln>
                <a:solidFill>
                  <a:srgbClr val="C00000"/>
                </a:solidFill>
              </a:ln>
            </c:spPr>
          </c:marker>
          <c:dLbls>
            <c:dLbl>
              <c:idx val="0"/>
              <c:layout>
                <c:manualLayout>
                  <c:x val="-2.6974951830443159E-2"/>
                  <c:y val="5.00782472613457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7E3-4388-A8B9-55617379A391}"/>
                </c:ext>
              </c:extLst>
            </c:dLbl>
            <c:dLbl>
              <c:idx val="1"/>
              <c:layout>
                <c:manualLayout>
                  <c:x val="-1.1560693641618497E-2"/>
                  <c:y val="5.6338028169014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7E3-4388-A8B9-55617379A391}"/>
                </c:ext>
              </c:extLst>
            </c:dLbl>
            <c:dLbl>
              <c:idx val="2"/>
              <c:delete val="1"/>
              <c:extLst>
                <c:ext xmlns:c15="http://schemas.microsoft.com/office/drawing/2012/chart" uri="{CE6537A1-D6FC-4f65-9D91-7224C49458BB}"/>
                <c:ext xmlns:c16="http://schemas.microsoft.com/office/drawing/2014/chart" uri="{C3380CC4-5D6E-409C-BE32-E72D297353CC}">
                  <c16:uniqueId val="{00000003-47E3-4388-A8B9-55617379A391}"/>
                </c:ext>
              </c:extLst>
            </c:dLbl>
            <c:dLbl>
              <c:idx val="3"/>
              <c:layout>
                <c:manualLayout>
                  <c:x val="-4.6242774566474062E-2"/>
                  <c:y val="6.431111604007246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7E3-4388-A8B9-55617379A391}"/>
                </c:ext>
              </c:extLst>
            </c:dLbl>
            <c:dLbl>
              <c:idx val="4"/>
              <c:layout>
                <c:manualLayout>
                  <c:x val="-1.5414258188824592E-2"/>
                  <c:y val="4.91228070175438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7E3-4388-A8B9-55617379A391}"/>
                </c:ext>
              </c:extLst>
            </c:dLbl>
            <c:dLbl>
              <c:idx val="5"/>
              <c:layout>
                <c:manualLayout>
                  <c:x val="-2.6974951830443159E-2"/>
                  <c:y val="6.31578947368421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7E3-4388-A8B9-55617379A391}"/>
                </c:ext>
              </c:extLst>
            </c:dLbl>
            <c:dLbl>
              <c:idx val="6"/>
              <c:layout>
                <c:manualLayout>
                  <c:x val="-3.8535645472061654E-2"/>
                  <c:y val="5.6897958177762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7E3-4388-A8B9-55617379A391}"/>
                </c:ext>
              </c:extLst>
            </c:dLbl>
            <c:dLbl>
              <c:idx val="7"/>
              <c:layout>
                <c:manualLayout>
                  <c:x val="-2.6974951830443301E-2"/>
                  <c:y val="-6.127980481313078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7E3-4388-A8B9-55617379A391}"/>
                </c:ext>
              </c:extLst>
            </c:dLbl>
            <c:dLbl>
              <c:idx val="8"/>
              <c:layout>
                <c:manualLayout>
                  <c:x val="-4.238921001926782E-2"/>
                  <c:y val="6.31578947368421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7E3-4388-A8B9-55617379A391}"/>
                </c:ext>
              </c:extLst>
            </c:dLbl>
            <c:dLbl>
              <c:idx val="9"/>
              <c:layout>
                <c:manualLayout>
                  <c:x val="-2.3121387283236993E-2"/>
                  <c:y val="7.0175438596491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7E3-4388-A8B9-55617379A391}"/>
                </c:ext>
              </c:extLst>
            </c:dLbl>
            <c:spPr>
              <a:noFill/>
              <a:ln>
                <a:noFill/>
              </a:ln>
              <a:effectLst/>
            </c:spPr>
            <c:txPr>
              <a:bodyPr/>
              <a:lstStyle/>
              <a:p>
                <a:pPr>
                  <a:defRPr b="1">
                    <a:solidFill>
                      <a:srgbClr val="990033"/>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Sheet1!$B$3:$I$3</c:f>
              <c:numCache>
                <c:formatCode>0.0</c:formatCode>
                <c:ptCount val="8"/>
                <c:pt idx="0">
                  <c:v>51.959505283291662</c:v>
                </c:pt>
                <c:pt idx="1">
                  <c:v>40.19369628119361</c:v>
                </c:pt>
                <c:pt idx="2">
                  <c:v>27.084053054494532</c:v>
                </c:pt>
                <c:pt idx="3">
                  <c:v>25.54079455669283</c:v>
                </c:pt>
                <c:pt idx="4">
                  <c:v>27.592486916957995</c:v>
                </c:pt>
                <c:pt idx="5">
                  <c:v>36.539705425385762</c:v>
                </c:pt>
                <c:pt idx="6">
                  <c:v>44.099971991301857</c:v>
                </c:pt>
                <c:pt idx="7">
                  <c:v>53.122800977591226</c:v>
                </c:pt>
              </c:numCache>
            </c:numRef>
          </c:val>
          <c:smooth val="0"/>
          <c:extLst>
            <c:ext xmlns:c16="http://schemas.microsoft.com/office/drawing/2014/chart" uri="{C3380CC4-5D6E-409C-BE32-E72D297353CC}">
              <c16:uniqueId val="{0000000B-47E3-4388-A8B9-55617379A391}"/>
            </c:ext>
          </c:extLst>
        </c:ser>
        <c:dLbls>
          <c:showLegendKey val="0"/>
          <c:showVal val="0"/>
          <c:showCatName val="0"/>
          <c:showSerName val="0"/>
          <c:showPercent val="0"/>
          <c:showBubbleSize val="0"/>
        </c:dLbls>
        <c:marker val="1"/>
        <c:smooth val="0"/>
        <c:axId val="306984448"/>
        <c:axId val="306985984"/>
      </c:lineChart>
      <c:catAx>
        <c:axId val="3069844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06985984"/>
        <c:crosses val="autoZero"/>
        <c:auto val="1"/>
        <c:lblAlgn val="ctr"/>
        <c:lblOffset val="100"/>
        <c:noMultiLvlLbl val="0"/>
      </c:catAx>
      <c:valAx>
        <c:axId val="3069859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06984448"/>
        <c:crosses val="autoZero"/>
        <c:crossBetween val="between"/>
      </c:valAx>
      <c:spPr>
        <a:noFill/>
        <a:ln>
          <a:noFill/>
        </a:ln>
        <a:effectLst/>
      </c:spPr>
    </c:plotArea>
    <c:legend>
      <c:legendPos val="b"/>
      <c:layout>
        <c:manualLayout>
          <c:xMode val="edge"/>
          <c:yMode val="edge"/>
          <c:x val="1.7440690881381768E-2"/>
          <c:y val="0.80522613620665839"/>
          <c:w val="0.97802150537634414"/>
          <c:h val="0.152668600635446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06797735188761"/>
          <c:y val="3.7666528526039522E-2"/>
          <c:w val="0.81581042935670778"/>
          <c:h val="0.52192175627783854"/>
        </c:manualLayout>
      </c:layout>
      <c:lineChart>
        <c:grouping val="standard"/>
        <c:varyColors val="0"/>
        <c:ser>
          <c:idx val="0"/>
          <c:order val="0"/>
          <c:tx>
            <c:strRef>
              <c:f>Sheet1!$A$2</c:f>
              <c:strCache>
                <c:ptCount val="1"/>
                <c:pt idx="0">
                  <c:v>Իրական փոփոխությունը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0"/>
              <c:layout>
                <c:manualLayout>
                  <c:x val="-5.4262288421377688E-2"/>
                  <c:y val="-3.151834794235626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A7E-4FEE-9E56-4875B2FD5CB9}"/>
                </c:ext>
              </c:extLst>
            </c:dLbl>
            <c:dLbl>
              <c:idx val="1"/>
              <c:layout>
                <c:manualLayout>
                  <c:x val="-2.1651349308890587E-2"/>
                  <c:y val="-4.421861329833773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A7E-4FEE-9E56-4875B2FD5CB9}"/>
                </c:ext>
              </c:extLst>
            </c:dLbl>
            <c:dLbl>
              <c:idx val="2"/>
              <c:layout>
                <c:manualLayout>
                  <c:x val="-3.4272527079625893E-2"/>
                  <c:y val="-6.505194663167103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A7E-4FEE-9E56-4875B2FD5CB9}"/>
                </c:ext>
              </c:extLst>
            </c:dLbl>
            <c:dLbl>
              <c:idx val="3"/>
              <c:layout>
                <c:manualLayout>
                  <c:x val="-6.9360246377871512E-2"/>
                  <c:y val="5.994805336832900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A7E-4FEE-9E56-4875B2FD5CB9}"/>
                </c:ext>
              </c:extLst>
            </c:dLbl>
            <c:dLbl>
              <c:idx val="4"/>
              <c:layout>
                <c:manualLayout>
                  <c:x val="-6.4375807513224928E-2"/>
                  <c:y val="6.689249781277345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A7E-4FEE-9E56-4875B2FD5CB9}"/>
                </c:ext>
              </c:extLst>
            </c:dLbl>
            <c:dLbl>
              <c:idx val="5"/>
              <c:layout>
                <c:manualLayout>
                  <c:x val="-6.9256884685079997E-2"/>
                  <c:y val="6.030785214348206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A7E-4FEE-9E56-4875B2FD5CB9}"/>
                </c:ext>
              </c:extLst>
            </c:dLbl>
            <c:dLbl>
              <c:idx val="6"/>
              <c:layout>
                <c:manualLayout>
                  <c:x val="-6.56967569456295E-2"/>
                  <c:y val="5.966699475065627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A7E-4FEE-9E56-4875B2FD5CB9}"/>
                </c:ext>
              </c:extLst>
            </c:dLbl>
            <c:dLbl>
              <c:idx val="7"/>
              <c:layout>
                <c:manualLayout>
                  <c:x val="-6.56967569456295E-2"/>
                  <c:y val="6.041447944006999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A7E-4FEE-9E56-4875B2FD5CB9}"/>
                </c:ext>
              </c:extLst>
            </c:dLbl>
            <c:dLbl>
              <c:idx val="8"/>
              <c:layout>
                <c:manualLayout>
                  <c:x val="-4.0763511372223997E-2"/>
                  <c:y val="6.74660979877515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A7E-4FEE-9E56-4875B2FD5CB9}"/>
                </c:ext>
              </c:extLst>
            </c:dLbl>
            <c:spPr>
              <a:noFill/>
              <a:ln>
                <a:noFill/>
              </a:ln>
              <a:effectLst/>
            </c:spPr>
            <c:txPr>
              <a:bodyPr/>
              <a:lstStyle/>
              <a:p>
                <a:pPr>
                  <a:defRPr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Sheet1!$B$2:$I$2</c:f>
              <c:numCache>
                <c:formatCode>0.0</c:formatCode>
                <c:ptCount val="8"/>
                <c:pt idx="0">
                  <c:v>35.090132495728113</c:v>
                </c:pt>
                <c:pt idx="1">
                  <c:v>27.650958076916226</c:v>
                </c:pt>
                <c:pt idx="2">
                  <c:v>17.300664601258703</c:v>
                </c:pt>
                <c:pt idx="3">
                  <c:v>14.869927047353812</c:v>
                </c:pt>
                <c:pt idx="4">
                  <c:v>17.466517544902814</c:v>
                </c:pt>
                <c:pt idx="5">
                  <c:v>26.433436333321225</c:v>
                </c:pt>
                <c:pt idx="6">
                  <c:v>32.793177632747529</c:v>
                </c:pt>
                <c:pt idx="7">
                  <c:v>40.9138891941098</c:v>
                </c:pt>
              </c:numCache>
            </c:numRef>
          </c:val>
          <c:smooth val="0"/>
          <c:extLst>
            <c:ext xmlns:c16="http://schemas.microsoft.com/office/drawing/2014/chart" uri="{C3380CC4-5D6E-409C-BE32-E72D297353CC}">
              <c16:uniqueId val="{00000009-3A7E-4FEE-9E56-4875B2FD5CB9}"/>
            </c:ext>
          </c:extLst>
        </c:ser>
        <c:ser>
          <c:idx val="1"/>
          <c:order val="1"/>
          <c:tx>
            <c:strRef>
              <c:f>Sheet1!$A$3</c:f>
              <c:strCache>
                <c:ptCount val="1"/>
                <c:pt idx="0">
                  <c:v>Գնային փոփոխություն (կուտակային)</c:v>
                </c:pt>
              </c:strCache>
            </c:strRef>
          </c:tx>
          <c:spPr>
            <a:ln>
              <a:solidFill>
                <a:srgbClr val="C00000"/>
              </a:solidFill>
            </a:ln>
          </c:spPr>
          <c:marker>
            <c:spPr>
              <a:solidFill>
                <a:srgbClr val="C00000"/>
              </a:solidFill>
              <a:ln>
                <a:solidFill>
                  <a:srgbClr val="C00000"/>
                </a:solidFill>
              </a:ln>
            </c:spPr>
          </c:marker>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Sheet1!$B$3:$I$3</c:f>
              <c:numCache>
                <c:formatCode>0.0</c:formatCode>
                <c:ptCount val="8"/>
                <c:pt idx="0">
                  <c:v>4.0250334732673281</c:v>
                </c:pt>
                <c:pt idx="1">
                  <c:v>1.1521405780693641</c:v>
                </c:pt>
                <c:pt idx="2">
                  <c:v>0.5394793918080012</c:v>
                </c:pt>
                <c:pt idx="3">
                  <c:v>0.5459646368703801</c:v>
                </c:pt>
                <c:pt idx="4">
                  <c:v>-1.0276291195431497</c:v>
                </c:pt>
                <c:pt idx="5">
                  <c:v>-3.1442912821501636</c:v>
                </c:pt>
                <c:pt idx="6">
                  <c:v>-3.5517711345587344</c:v>
                </c:pt>
                <c:pt idx="7">
                  <c:v>-4.2454561086719877</c:v>
                </c:pt>
              </c:numCache>
            </c:numRef>
          </c:val>
          <c:smooth val="0"/>
          <c:extLst>
            <c:ext xmlns:c16="http://schemas.microsoft.com/office/drawing/2014/chart" uri="{C3380CC4-5D6E-409C-BE32-E72D297353CC}">
              <c16:uniqueId val="{0000000A-3A7E-4FEE-9E56-4875B2FD5CB9}"/>
            </c:ext>
          </c:extLst>
        </c:ser>
        <c:dLbls>
          <c:showLegendKey val="0"/>
          <c:showVal val="0"/>
          <c:showCatName val="0"/>
          <c:showSerName val="0"/>
          <c:showPercent val="0"/>
          <c:showBubbleSize val="0"/>
        </c:dLbls>
        <c:marker val="1"/>
        <c:smooth val="0"/>
        <c:axId val="307020928"/>
        <c:axId val="307022848"/>
      </c:lineChart>
      <c:catAx>
        <c:axId val="3070209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07022848"/>
        <c:crosses val="autoZero"/>
        <c:auto val="1"/>
        <c:lblAlgn val="ctr"/>
        <c:lblOffset val="100"/>
        <c:noMultiLvlLbl val="0"/>
      </c:catAx>
      <c:valAx>
        <c:axId val="3070228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07020928"/>
        <c:crosses val="autoZero"/>
        <c:crossBetween val="between"/>
      </c:valAx>
      <c:spPr>
        <a:noFill/>
        <a:ln>
          <a:noFill/>
        </a:ln>
        <a:effectLst/>
      </c:spPr>
    </c:plotArea>
    <c:legend>
      <c:legendPos val="b"/>
      <c:layout>
        <c:manualLayout>
          <c:xMode val="edge"/>
          <c:yMode val="edge"/>
          <c:x val="1.290348140444713E-2"/>
          <c:y val="0.77859664093712422"/>
          <c:w val="0.95869985292086213"/>
          <c:h val="0.1876818845920122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81438189791494"/>
          <c:y val="9.078014184397161E-2"/>
          <c:w val="0.83207381685985082"/>
          <c:h val="0.61130698940410222"/>
        </c:manualLayout>
      </c:layout>
      <c:lineChart>
        <c:grouping val="standard"/>
        <c:varyColors val="0"/>
        <c:ser>
          <c:idx val="0"/>
          <c:order val="0"/>
          <c:tx>
            <c:strRef>
              <c:f>Sheet1!$A$2</c:f>
              <c:strCache>
                <c:ptCount val="1"/>
                <c:pt idx="0">
                  <c:v>Իրական փոփոխություն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Sheet1!$B$1:$I$1</c:f>
              <c:strCache>
                <c:ptCount val="8"/>
                <c:pt idx="0">
                  <c:v>հունվար</c:v>
                </c:pt>
                <c:pt idx="1">
                  <c:v>փետրվար</c:v>
                </c:pt>
                <c:pt idx="2">
                  <c:v>մարտ</c:v>
                </c:pt>
                <c:pt idx="3">
                  <c:v>ապրիլ</c:v>
                </c:pt>
                <c:pt idx="4">
                  <c:v>մայիս</c:v>
                </c:pt>
                <c:pt idx="5">
                  <c:v>հունիս</c:v>
                </c:pt>
                <c:pt idx="6">
                  <c:v>հուլիս </c:v>
                </c:pt>
                <c:pt idx="7">
                  <c:v>օգոստոս</c:v>
                </c:pt>
              </c:strCache>
            </c:strRef>
          </c:cat>
          <c:val>
            <c:numRef>
              <c:f>Sheet1!$B$2:$I$2</c:f>
              <c:numCache>
                <c:formatCode>0.0</c:formatCode>
                <c:ptCount val="8"/>
                <c:pt idx="0">
                  <c:v>38.305946538137817</c:v>
                </c:pt>
                <c:pt idx="1">
                  <c:v>36.293037535372633</c:v>
                </c:pt>
                <c:pt idx="2">
                  <c:v>24.0922896429677</c:v>
                </c:pt>
                <c:pt idx="3">
                  <c:v>16.43106797758351</c:v>
                </c:pt>
                <c:pt idx="4">
                  <c:v>18.921312660781766</c:v>
                </c:pt>
                <c:pt idx="5">
                  <c:v>22.210610685680351</c:v>
                </c:pt>
                <c:pt idx="6">
                  <c:v>23.183309352266463</c:v>
                </c:pt>
                <c:pt idx="7">
                  <c:v>29.319043839331783</c:v>
                </c:pt>
              </c:numCache>
            </c:numRef>
          </c:val>
          <c:smooth val="0"/>
          <c:extLst>
            <c:ext xmlns:c16="http://schemas.microsoft.com/office/drawing/2014/chart" uri="{C3380CC4-5D6E-409C-BE32-E72D297353CC}">
              <c16:uniqueId val="{00000000-AA1E-4916-BF9A-8C4DE66CCD22}"/>
            </c:ext>
          </c:extLst>
        </c:ser>
        <c:ser>
          <c:idx val="1"/>
          <c:order val="1"/>
          <c:tx>
            <c:strRef>
              <c:f>Sheet1!$A$3</c:f>
              <c:strCache>
                <c:ptCount val="1"/>
                <c:pt idx="0">
                  <c:v>Գնային փոփոխություն (կուտակային)</c:v>
                </c:pt>
              </c:strCache>
            </c:strRef>
          </c:tx>
          <c:spPr>
            <a:ln>
              <a:solidFill>
                <a:srgbClr val="C00000"/>
              </a:solidFill>
            </a:ln>
          </c:spPr>
          <c:marker>
            <c:spPr>
              <a:solidFill>
                <a:srgbClr val="C00000"/>
              </a:solidFill>
              <a:ln>
                <a:solidFill>
                  <a:srgbClr val="C00000"/>
                </a:solidFill>
              </a:ln>
            </c:spPr>
          </c:marker>
          <c:cat>
            <c:strRef>
              <c:f>Sheet1!$B$1:$I$1</c:f>
              <c:strCache>
                <c:ptCount val="8"/>
                <c:pt idx="0">
                  <c:v>հունվար</c:v>
                </c:pt>
                <c:pt idx="1">
                  <c:v>փետրվար</c:v>
                </c:pt>
                <c:pt idx="2">
                  <c:v>մարտ</c:v>
                </c:pt>
                <c:pt idx="3">
                  <c:v>ապրիլ</c:v>
                </c:pt>
                <c:pt idx="4">
                  <c:v>մայիս</c:v>
                </c:pt>
                <c:pt idx="5">
                  <c:v>հունիս</c:v>
                </c:pt>
                <c:pt idx="6">
                  <c:v>հուլիս </c:v>
                </c:pt>
                <c:pt idx="7">
                  <c:v>օգոստոս</c:v>
                </c:pt>
              </c:strCache>
            </c:strRef>
          </c:cat>
          <c:val>
            <c:numRef>
              <c:f>Sheet1!$B$3:$I$3</c:f>
              <c:numCache>
                <c:formatCode>0.0</c:formatCode>
                <c:ptCount val="8"/>
                <c:pt idx="0">
                  <c:v>11.687863985777881</c:v>
                </c:pt>
                <c:pt idx="1">
                  <c:v>8.1741458029670184</c:v>
                </c:pt>
                <c:pt idx="2">
                  <c:v>8.7689970648203683</c:v>
                </c:pt>
                <c:pt idx="3">
                  <c:v>9.7285562496348206</c:v>
                </c:pt>
                <c:pt idx="4">
                  <c:v>9.3024867090385044</c:v>
                </c:pt>
                <c:pt idx="5">
                  <c:v>8.6951225814600406</c:v>
                </c:pt>
                <c:pt idx="6">
                  <c:v>8.5902435062092053</c:v>
                </c:pt>
                <c:pt idx="7">
                  <c:v>7.8632418285072845</c:v>
                </c:pt>
              </c:numCache>
            </c:numRef>
          </c:val>
          <c:smooth val="0"/>
          <c:extLst>
            <c:ext xmlns:c16="http://schemas.microsoft.com/office/drawing/2014/chart" uri="{C3380CC4-5D6E-409C-BE32-E72D297353CC}">
              <c16:uniqueId val="{00000001-AA1E-4916-BF9A-8C4DE66CCD22}"/>
            </c:ext>
          </c:extLst>
        </c:ser>
        <c:dLbls>
          <c:showLegendKey val="0"/>
          <c:showVal val="0"/>
          <c:showCatName val="0"/>
          <c:showSerName val="0"/>
          <c:showPercent val="0"/>
          <c:showBubbleSize val="0"/>
        </c:dLbls>
        <c:marker val="1"/>
        <c:smooth val="0"/>
        <c:axId val="307095040"/>
        <c:axId val="307096960"/>
      </c:lineChart>
      <c:catAx>
        <c:axId val="3070950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07096960"/>
        <c:crosses val="autoZero"/>
        <c:auto val="1"/>
        <c:lblAlgn val="ctr"/>
        <c:lblOffset val="100"/>
        <c:noMultiLvlLbl val="0"/>
      </c:catAx>
      <c:valAx>
        <c:axId val="307096960"/>
        <c:scaling>
          <c:orientation val="minMax"/>
          <c:max val="4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07095040"/>
        <c:crosses val="autoZero"/>
        <c:crossBetween val="between"/>
        <c:majorUnit val="5"/>
      </c:valAx>
      <c:spPr>
        <a:noFill/>
        <a:ln>
          <a:noFill/>
        </a:ln>
        <a:effectLst/>
      </c:spPr>
    </c:plotArea>
    <c:legend>
      <c:legendPos val="b"/>
      <c:layout>
        <c:manualLayout>
          <c:xMode val="edge"/>
          <c:yMode val="edge"/>
          <c:x val="3.9658303581617586E-2"/>
          <c:y val="0.84919510061242365"/>
          <c:w val="0.83083600954714498"/>
          <c:h val="0.150804899387576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21400231947783"/>
          <c:y val="6.636500754147813E-2"/>
          <c:w val="0.8241503387657938"/>
          <c:h val="0.59055021348137959"/>
        </c:manualLayout>
      </c:layout>
      <c:lineChart>
        <c:grouping val="standard"/>
        <c:varyColors val="0"/>
        <c:ser>
          <c:idx val="0"/>
          <c:order val="0"/>
          <c:tx>
            <c:strRef>
              <c:f>Sheet1!$A$2</c:f>
              <c:strCache>
                <c:ptCount val="1"/>
                <c:pt idx="0">
                  <c:v>12 ամսյա փոփոխություն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cat>
            <c:strRef>
              <c:f>Sheet1!$B$1:$I$1</c:f>
              <c:strCache>
                <c:ptCount val="8"/>
                <c:pt idx="0">
                  <c:v>հունվար</c:v>
                </c:pt>
                <c:pt idx="1">
                  <c:v>փետրվար</c:v>
                </c:pt>
                <c:pt idx="2">
                  <c:v>մարտ</c:v>
                </c:pt>
                <c:pt idx="3">
                  <c:v>ապրիլ</c:v>
                </c:pt>
                <c:pt idx="4">
                  <c:v>մայիս</c:v>
                </c:pt>
                <c:pt idx="5">
                  <c:v>հունիս</c:v>
                </c:pt>
                <c:pt idx="6">
                  <c:v>հուլիս </c:v>
                </c:pt>
                <c:pt idx="7">
                  <c:v>օգոստոս</c:v>
                </c:pt>
              </c:strCache>
            </c:strRef>
          </c:cat>
          <c:val>
            <c:numRef>
              <c:f>Sheet1!$B$2:$I$2</c:f>
              <c:numCache>
                <c:formatCode>0.0</c:formatCode>
                <c:ptCount val="8"/>
                <c:pt idx="0">
                  <c:v>67.037206217761138</c:v>
                </c:pt>
                <c:pt idx="1">
                  <c:v>54.606949552575742</c:v>
                </c:pt>
                <c:pt idx="2">
                  <c:v>22.561116552007348</c:v>
                </c:pt>
                <c:pt idx="3">
                  <c:v>23.966184426425613</c:v>
                </c:pt>
                <c:pt idx="4">
                  <c:v>54.728817892488394</c:v>
                </c:pt>
                <c:pt idx="5">
                  <c:v>71.114137465345067</c:v>
                </c:pt>
                <c:pt idx="6">
                  <c:v>61.774083627384869</c:v>
                </c:pt>
                <c:pt idx="7">
                  <c:v>106.33954899502226</c:v>
                </c:pt>
              </c:numCache>
            </c:numRef>
          </c:val>
          <c:smooth val="0"/>
          <c:extLst>
            <c:ext xmlns:c16="http://schemas.microsoft.com/office/drawing/2014/chart" uri="{C3380CC4-5D6E-409C-BE32-E72D297353CC}">
              <c16:uniqueId val="{00000000-B2AA-4BF3-BD7F-EF8214F696FD}"/>
            </c:ext>
          </c:extLst>
        </c:ser>
        <c:ser>
          <c:idx val="1"/>
          <c:order val="1"/>
          <c:tx>
            <c:strRef>
              <c:f>Sheet1!$A$3</c:f>
              <c:strCache>
                <c:ptCount val="1"/>
                <c:pt idx="0">
                  <c:v>Անվանական կուտակային փոփոխություն</c:v>
                </c:pt>
              </c:strCache>
            </c:strRef>
          </c:tx>
          <c:spPr>
            <a:ln>
              <a:solidFill>
                <a:srgbClr val="C00000"/>
              </a:solidFill>
            </a:ln>
          </c:spPr>
          <c:marker>
            <c:spPr>
              <a:solidFill>
                <a:srgbClr val="C00000"/>
              </a:solidFill>
              <a:ln>
                <a:solidFill>
                  <a:srgbClr val="C00000"/>
                </a:solidFill>
              </a:ln>
            </c:spPr>
          </c:marker>
          <c:dLbls>
            <c:spPr>
              <a:noFill/>
              <a:ln>
                <a:noFill/>
              </a:ln>
              <a:effectLst/>
            </c:spPr>
            <c:txPr>
              <a:bodyPr wrap="square" lIns="38100" tIns="19050" rIns="38100" bIns="19050" anchor="ctr">
                <a:spAutoFit/>
              </a:bodyPr>
              <a:lstStyle/>
              <a:p>
                <a:pPr>
                  <a:defRPr b="1">
                    <a:solidFill>
                      <a:srgbClr val="990033"/>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Sheet1!$B$1:$I$1</c:f>
              <c:strCache>
                <c:ptCount val="8"/>
                <c:pt idx="0">
                  <c:v>հունվար</c:v>
                </c:pt>
                <c:pt idx="1">
                  <c:v>փետրվար</c:v>
                </c:pt>
                <c:pt idx="2">
                  <c:v>մարտ</c:v>
                </c:pt>
                <c:pt idx="3">
                  <c:v>ապրիլ</c:v>
                </c:pt>
                <c:pt idx="4">
                  <c:v>մայիս</c:v>
                </c:pt>
                <c:pt idx="5">
                  <c:v>հունիս</c:v>
                </c:pt>
                <c:pt idx="6">
                  <c:v>հուլիս </c:v>
                </c:pt>
                <c:pt idx="7">
                  <c:v>օգոստոս</c:v>
                </c:pt>
              </c:strCache>
            </c:strRef>
          </c:cat>
          <c:val>
            <c:numRef>
              <c:f>Sheet1!$B$3:$I$3</c:f>
              <c:numCache>
                <c:formatCode>0.0</c:formatCode>
                <c:ptCount val="8"/>
                <c:pt idx="0">
                  <c:v>67.037206217761138</c:v>
                </c:pt>
                <c:pt idx="1">
                  <c:v>60.076092679147109</c:v>
                </c:pt>
                <c:pt idx="2">
                  <c:v>45.446700726705387</c:v>
                </c:pt>
                <c:pt idx="3">
                  <c:v>38.868079304267866</c:v>
                </c:pt>
                <c:pt idx="4">
                  <c:v>42.654925629640729</c:v>
                </c:pt>
                <c:pt idx="5">
                  <c:v>48.112177682359345</c:v>
                </c:pt>
                <c:pt idx="6">
                  <c:v>50.500017544815165</c:v>
                </c:pt>
                <c:pt idx="7">
                  <c:v>58.293333520943577</c:v>
                </c:pt>
              </c:numCache>
            </c:numRef>
          </c:val>
          <c:smooth val="0"/>
          <c:extLst>
            <c:ext xmlns:c16="http://schemas.microsoft.com/office/drawing/2014/chart" uri="{C3380CC4-5D6E-409C-BE32-E72D297353CC}">
              <c16:uniqueId val="{00000001-B2AA-4BF3-BD7F-EF8214F696FD}"/>
            </c:ext>
          </c:extLst>
        </c:ser>
        <c:dLbls>
          <c:showLegendKey val="0"/>
          <c:showVal val="0"/>
          <c:showCatName val="0"/>
          <c:showSerName val="0"/>
          <c:showPercent val="0"/>
          <c:showBubbleSize val="0"/>
        </c:dLbls>
        <c:marker val="1"/>
        <c:smooth val="0"/>
        <c:axId val="307354624"/>
        <c:axId val="307356416"/>
      </c:lineChart>
      <c:catAx>
        <c:axId val="3073546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07356416"/>
        <c:crosses val="autoZero"/>
        <c:auto val="1"/>
        <c:lblAlgn val="ctr"/>
        <c:lblOffset val="100"/>
        <c:noMultiLvlLbl val="0"/>
      </c:catAx>
      <c:valAx>
        <c:axId val="307356416"/>
        <c:scaling>
          <c:orientation val="minMax"/>
          <c:max val="120"/>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07354624"/>
        <c:crosses val="autoZero"/>
        <c:crossBetween val="between"/>
        <c:majorUnit val="10"/>
      </c:valAx>
      <c:spPr>
        <a:noFill/>
        <a:ln>
          <a:noFill/>
        </a:ln>
        <a:effectLst/>
      </c:spPr>
    </c:plotArea>
    <c:legend>
      <c:legendPos val="b"/>
      <c:layout>
        <c:manualLayout>
          <c:xMode val="edge"/>
          <c:yMode val="edge"/>
          <c:x val="0"/>
          <c:y val="0.82552036199094836"/>
          <c:w val="1"/>
          <c:h val="0.1460488235430749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7614709925968"/>
          <c:y val="0.12727272727272718"/>
          <c:w val="0.82715542910077533"/>
          <c:h val="0.45733767572247186"/>
        </c:manualLayout>
      </c:layout>
      <c:barChart>
        <c:barDir val="col"/>
        <c:grouping val="clustered"/>
        <c:varyColors val="0"/>
        <c:ser>
          <c:idx val="1"/>
          <c:order val="1"/>
          <c:tx>
            <c:strRef>
              <c:f>Sheet1!$C$1</c:f>
              <c:strCache>
                <c:ptCount val="1"/>
                <c:pt idx="0">
                  <c:v>Արտահանում</c:v>
                </c:pt>
              </c:strCache>
            </c:strRef>
          </c:tx>
          <c:spPr>
            <a:solidFill>
              <a:schemeClr val="accent2"/>
            </a:solidFill>
            <a:ln>
              <a:noFill/>
            </a:ln>
            <a:effectLst/>
          </c:spPr>
          <c:invertIfNegative val="0"/>
          <c:cat>
            <c:numRef>
              <c:f>Sheet1!$A$2:$A$10</c:f>
              <c:numCache>
                <c:formatCode>General</c:formatCode>
                <c:ptCount val="8"/>
                <c:pt idx="0">
                  <c:v>2018</c:v>
                </c:pt>
                <c:pt idx="1">
                  <c:v>2019</c:v>
                </c:pt>
                <c:pt idx="2">
                  <c:v>2020</c:v>
                </c:pt>
                <c:pt idx="3">
                  <c:v>2021</c:v>
                </c:pt>
                <c:pt idx="4">
                  <c:v>2022</c:v>
                </c:pt>
                <c:pt idx="5">
                  <c:v>2023</c:v>
                </c:pt>
                <c:pt idx="6">
                  <c:v>2024</c:v>
                </c:pt>
                <c:pt idx="7">
                  <c:v>2025</c:v>
                </c:pt>
              </c:numCache>
            </c:numRef>
          </c:cat>
          <c:val>
            <c:numRef>
              <c:f>Sheet1!$C$2:$C$10</c:f>
              <c:numCache>
                <c:formatCode>0.0</c:formatCode>
                <c:ptCount val="8"/>
                <c:pt idx="0">
                  <c:v>3.7650000000000001</c:v>
                </c:pt>
                <c:pt idx="1">
                  <c:v>0.97099999999999997</c:v>
                </c:pt>
                <c:pt idx="2">
                  <c:v>-7.484</c:v>
                </c:pt>
                <c:pt idx="3">
                  <c:v>9.9670000000000005</c:v>
                </c:pt>
                <c:pt idx="4">
                  <c:v>4.6760000000000002</c:v>
                </c:pt>
                <c:pt idx="5">
                  <c:v>4.2590000000000003</c:v>
                </c:pt>
                <c:pt idx="6">
                  <c:v>3.9329999999999998</c:v>
                </c:pt>
                <c:pt idx="7">
                  <c:v>3.605</c:v>
                </c:pt>
              </c:numCache>
            </c:numRef>
          </c:val>
          <c:extLst>
            <c:ext xmlns:c16="http://schemas.microsoft.com/office/drawing/2014/chart" uri="{C3380CC4-5D6E-409C-BE32-E72D297353CC}">
              <c16:uniqueId val="{00000000-24ED-4DEA-9EAC-28E1488535B4}"/>
            </c:ext>
          </c:extLst>
        </c:ser>
        <c:ser>
          <c:idx val="2"/>
          <c:order val="2"/>
          <c:tx>
            <c:strRef>
              <c:f>Sheet1!$D$1</c:f>
              <c:strCache>
                <c:ptCount val="1"/>
                <c:pt idx="0">
                  <c:v>Ներմուծում</c:v>
                </c:pt>
              </c:strCache>
            </c:strRef>
          </c:tx>
          <c:spPr>
            <a:solidFill>
              <a:srgbClr val="0070C0"/>
            </a:solidFill>
            <a:ln>
              <a:solidFill>
                <a:schemeClr val="accent1"/>
              </a:solidFill>
            </a:ln>
            <a:effectLst/>
          </c:spPr>
          <c:invertIfNegative val="0"/>
          <c:cat>
            <c:numRef>
              <c:f>Sheet1!$A$2:$A$10</c:f>
              <c:numCache>
                <c:formatCode>General</c:formatCode>
                <c:ptCount val="8"/>
                <c:pt idx="0">
                  <c:v>2018</c:v>
                </c:pt>
                <c:pt idx="1">
                  <c:v>2019</c:v>
                </c:pt>
                <c:pt idx="2">
                  <c:v>2020</c:v>
                </c:pt>
                <c:pt idx="3">
                  <c:v>2021</c:v>
                </c:pt>
                <c:pt idx="4">
                  <c:v>2022</c:v>
                </c:pt>
                <c:pt idx="5">
                  <c:v>2023</c:v>
                </c:pt>
                <c:pt idx="6">
                  <c:v>2024</c:v>
                </c:pt>
                <c:pt idx="7">
                  <c:v>2025</c:v>
                </c:pt>
              </c:numCache>
            </c:numRef>
          </c:cat>
          <c:val>
            <c:numRef>
              <c:f>Sheet1!$D$2:$D$10</c:f>
              <c:numCache>
                <c:formatCode>0.0</c:formatCode>
                <c:ptCount val="8"/>
                <c:pt idx="0">
                  <c:v>4.258</c:v>
                </c:pt>
                <c:pt idx="1">
                  <c:v>0.92200000000000004</c:v>
                </c:pt>
                <c:pt idx="2">
                  <c:v>-8.3800000000000008</c:v>
                </c:pt>
                <c:pt idx="3">
                  <c:v>10.297000000000001</c:v>
                </c:pt>
                <c:pt idx="4">
                  <c:v>5.2759999999999998</c:v>
                </c:pt>
                <c:pt idx="5">
                  <c:v>4.5720000000000001</c:v>
                </c:pt>
                <c:pt idx="6">
                  <c:v>3.8820000000000001</c:v>
                </c:pt>
                <c:pt idx="7">
                  <c:v>3.754</c:v>
                </c:pt>
              </c:numCache>
            </c:numRef>
          </c:val>
          <c:extLst>
            <c:ext xmlns:c16="http://schemas.microsoft.com/office/drawing/2014/chart" uri="{C3380CC4-5D6E-409C-BE32-E72D297353CC}">
              <c16:uniqueId val="{00000001-24ED-4DEA-9EAC-28E1488535B4}"/>
            </c:ext>
          </c:extLst>
        </c:ser>
        <c:dLbls>
          <c:showLegendKey val="0"/>
          <c:showVal val="0"/>
          <c:showCatName val="0"/>
          <c:showSerName val="0"/>
          <c:showPercent val="0"/>
          <c:showBubbleSize val="0"/>
        </c:dLbls>
        <c:gapWidth val="150"/>
        <c:axId val="417028736"/>
        <c:axId val="422691200"/>
      </c:barChart>
      <c:lineChart>
        <c:grouping val="standard"/>
        <c:varyColors val="0"/>
        <c:ser>
          <c:idx val="0"/>
          <c:order val="0"/>
          <c:tx>
            <c:strRef>
              <c:f>Sheet1!$B$1</c:f>
              <c:strCache>
                <c:ptCount val="1"/>
                <c:pt idx="0">
                  <c:v>Առևտրաշրջանառություն</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Sheet1!$A$2:$A$10</c:f>
              <c:numCache>
                <c:formatCode>General</c:formatCode>
                <c:ptCount val="8"/>
                <c:pt idx="0">
                  <c:v>2018</c:v>
                </c:pt>
                <c:pt idx="1">
                  <c:v>2019</c:v>
                </c:pt>
                <c:pt idx="2">
                  <c:v>2020</c:v>
                </c:pt>
                <c:pt idx="3">
                  <c:v>2021</c:v>
                </c:pt>
                <c:pt idx="4">
                  <c:v>2022</c:v>
                </c:pt>
                <c:pt idx="5">
                  <c:v>2023</c:v>
                </c:pt>
                <c:pt idx="6">
                  <c:v>2024</c:v>
                </c:pt>
                <c:pt idx="7">
                  <c:v>2025</c:v>
                </c:pt>
              </c:numCache>
            </c:numRef>
          </c:cat>
          <c:val>
            <c:numRef>
              <c:f>Sheet1!$B$2:$B$10</c:f>
              <c:numCache>
                <c:formatCode>0.0</c:formatCode>
                <c:ptCount val="8"/>
                <c:pt idx="0">
                  <c:v>4.01</c:v>
                </c:pt>
                <c:pt idx="1">
                  <c:v>0.94699999999999995</c:v>
                </c:pt>
                <c:pt idx="2">
                  <c:v>-7.931</c:v>
                </c:pt>
                <c:pt idx="3">
                  <c:v>10.131</c:v>
                </c:pt>
                <c:pt idx="4">
                  <c:v>4.9740000000000002</c:v>
                </c:pt>
                <c:pt idx="5">
                  <c:v>4.415</c:v>
                </c:pt>
                <c:pt idx="6">
                  <c:v>3.9079999999999999</c:v>
                </c:pt>
                <c:pt idx="7">
                  <c:v>3.6789999999999998</c:v>
                </c:pt>
              </c:numCache>
            </c:numRef>
          </c:val>
          <c:smooth val="0"/>
          <c:extLst>
            <c:ext xmlns:c16="http://schemas.microsoft.com/office/drawing/2014/chart" uri="{C3380CC4-5D6E-409C-BE32-E72D297353CC}">
              <c16:uniqueId val="{00000002-24ED-4DEA-9EAC-28E1488535B4}"/>
            </c:ext>
          </c:extLst>
        </c:ser>
        <c:dLbls>
          <c:showLegendKey val="0"/>
          <c:showVal val="0"/>
          <c:showCatName val="0"/>
          <c:showSerName val="0"/>
          <c:showPercent val="0"/>
          <c:showBubbleSize val="0"/>
        </c:dLbls>
        <c:marker val="1"/>
        <c:smooth val="0"/>
        <c:axId val="417028736"/>
        <c:axId val="422691200"/>
      </c:lineChart>
      <c:catAx>
        <c:axId val="4170287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2691200"/>
        <c:crosses val="autoZero"/>
        <c:auto val="1"/>
        <c:lblAlgn val="ctr"/>
        <c:lblOffset val="100"/>
        <c:noMultiLvlLbl val="0"/>
      </c:catAx>
      <c:valAx>
        <c:axId val="422691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y-AM" sz="800" b="0" i="0" u="none" strike="noStrike" kern="1200" baseline="0">
                    <a:solidFill>
                      <a:sysClr val="windowText" lastClr="000000">
                        <a:lumMod val="65000"/>
                        <a:lumOff val="35000"/>
                      </a:sysClr>
                    </a:solidFill>
                    <a:latin typeface="+mn-lt"/>
                    <a:ea typeface="+mn-ea"/>
                    <a:cs typeface="+mn-cs"/>
                  </a:rPr>
                  <a:t>%</a:t>
                </a:r>
                <a:endParaRPr lang="en-US" sz="800"/>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028736"/>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ayout>
        <c:manualLayout>
          <c:xMode val="edge"/>
          <c:yMode val="edge"/>
          <c:x val="4.6399353926912981E-2"/>
          <c:y val="0.80366684530925792"/>
          <c:w val="0.9400150504156628"/>
          <c:h val="0.1938294100671970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48326771653564"/>
          <c:y val="9.1389048471945289E-2"/>
          <c:w val="0.89352514220179968"/>
          <c:h val="0.74930440561882716"/>
        </c:manualLayout>
      </c:layout>
      <c:barChart>
        <c:barDir val="col"/>
        <c:grouping val="clustered"/>
        <c:varyColors val="0"/>
        <c:ser>
          <c:idx val="0"/>
          <c:order val="0"/>
          <c:tx>
            <c:strRef>
              <c:f>Sheet1!$A$2</c:f>
              <c:strCache>
                <c:ptCount val="1"/>
                <c:pt idx="0">
                  <c:v>Կշիռը ՀՆԱ-ում, %</c:v>
                </c:pt>
              </c:strCache>
            </c:strRef>
          </c:tx>
          <c:spPr>
            <a:solidFill>
              <a:srgbClr val="4472C4"/>
            </a:solidFill>
            <a:ln w="28575" cap="rnd">
              <a:solidFill>
                <a:srgbClr val="4472C4"/>
              </a:solidFill>
              <a:round/>
            </a:ln>
            <a:effectLst/>
          </c:spPr>
          <c:invertIfNegative val="0"/>
          <c:cat>
            <c:strRef>
              <c:f>Sheet1!$B$1:$I$1</c:f>
              <c:strCache>
                <c:ptCount val="8"/>
                <c:pt idx="0">
                  <c:v>2009</c:v>
                </c:pt>
                <c:pt idx="1">
                  <c:v>2010</c:v>
                </c:pt>
                <c:pt idx="2">
                  <c:v>...</c:v>
                </c:pt>
                <c:pt idx="3">
                  <c:v>2019</c:v>
                </c:pt>
                <c:pt idx="4">
                  <c:v>2020</c:v>
                </c:pt>
                <c:pt idx="5">
                  <c:v>2021</c:v>
                </c:pt>
                <c:pt idx="6">
                  <c:v>2022*</c:v>
                </c:pt>
                <c:pt idx="7">
                  <c:v>2023*</c:v>
                </c:pt>
              </c:strCache>
            </c:strRef>
          </c:cat>
          <c:val>
            <c:numRef>
              <c:f>Sheet1!$B$2:$I$2</c:f>
              <c:numCache>
                <c:formatCode>#,##0.0</c:formatCode>
                <c:ptCount val="8"/>
                <c:pt idx="0">
                  <c:v>16.907680246733062</c:v>
                </c:pt>
                <c:pt idx="1">
                  <c:v>22.385676251709363</c:v>
                </c:pt>
                <c:pt idx="3" formatCode="0.0">
                  <c:v>42.545710911812144</c:v>
                </c:pt>
                <c:pt idx="4" formatCode="0.0">
                  <c:v>30.203163222394142</c:v>
                </c:pt>
                <c:pt idx="5" formatCode="0.0">
                  <c:v>36.157026334028615</c:v>
                </c:pt>
                <c:pt idx="6" formatCode="0.0">
                  <c:v>41.744587170487812</c:v>
                </c:pt>
                <c:pt idx="7" formatCode="0.0">
                  <c:v>41.127615978354513</c:v>
                </c:pt>
              </c:numCache>
            </c:numRef>
          </c:val>
          <c:extLst>
            <c:ext xmlns:c16="http://schemas.microsoft.com/office/drawing/2014/chart" uri="{C3380CC4-5D6E-409C-BE32-E72D297353CC}">
              <c16:uniqueId val="{00000000-DDE2-41EE-8FE6-A7DA8296A059}"/>
            </c:ext>
          </c:extLst>
        </c:ser>
        <c:ser>
          <c:idx val="1"/>
          <c:order val="1"/>
          <c:tx>
            <c:strRef>
              <c:f>Sheet1!$A$3</c:f>
              <c:strCache>
                <c:ptCount val="1"/>
                <c:pt idx="0">
                  <c:v>Փոփոխությունը, տ/տ, %</c:v>
                </c:pt>
              </c:strCache>
            </c:strRef>
          </c:tx>
          <c:spPr>
            <a:solidFill>
              <a:srgbClr val="C00000"/>
            </a:solidFill>
            <a:ln w="28575" cap="rnd">
              <a:solidFill>
                <a:srgbClr val="C00000"/>
              </a:solidFill>
              <a:round/>
            </a:ln>
            <a:effectLst/>
          </c:spPr>
          <c:invertIfNegative val="0"/>
          <c:cat>
            <c:strRef>
              <c:f>Sheet1!$B$1:$I$1</c:f>
              <c:strCache>
                <c:ptCount val="8"/>
                <c:pt idx="0">
                  <c:v>2009</c:v>
                </c:pt>
                <c:pt idx="1">
                  <c:v>2010</c:v>
                </c:pt>
                <c:pt idx="2">
                  <c:v>...</c:v>
                </c:pt>
                <c:pt idx="3">
                  <c:v>2019</c:v>
                </c:pt>
                <c:pt idx="4">
                  <c:v>2020</c:v>
                </c:pt>
                <c:pt idx="5">
                  <c:v>2021</c:v>
                </c:pt>
                <c:pt idx="6">
                  <c:v>2022*</c:v>
                </c:pt>
                <c:pt idx="7">
                  <c:v>2023*</c:v>
                </c:pt>
              </c:strCache>
            </c:strRef>
          </c:cat>
          <c:val>
            <c:numRef>
              <c:f>Sheet1!$B$3:$I$3</c:f>
              <c:numCache>
                <c:formatCode>#,##0.0</c:formatCode>
                <c:ptCount val="8"/>
                <c:pt idx="0">
                  <c:v>-19.773709903356107</c:v>
                </c:pt>
                <c:pt idx="1">
                  <c:v>41.77337373770419</c:v>
                </c:pt>
                <c:pt idx="3" formatCode="0.0">
                  <c:v>17.604900267109173</c:v>
                </c:pt>
                <c:pt idx="4" formatCode="0.0">
                  <c:v>-34.105798225991492</c:v>
                </c:pt>
                <c:pt idx="5" formatCode="0.0">
                  <c:v>31.263060653814478</c:v>
                </c:pt>
                <c:pt idx="6" formatCode="0.0">
                  <c:v>53.292091702696496</c:v>
                </c:pt>
                <c:pt idx="7" formatCode="0.0">
                  <c:v>14.333878512653556</c:v>
                </c:pt>
              </c:numCache>
            </c:numRef>
          </c:val>
          <c:extLst>
            <c:ext xmlns:c16="http://schemas.microsoft.com/office/drawing/2014/chart" uri="{C3380CC4-5D6E-409C-BE32-E72D297353CC}">
              <c16:uniqueId val="{00000001-DDE2-41EE-8FE6-A7DA8296A059}"/>
            </c:ext>
          </c:extLst>
        </c:ser>
        <c:dLbls>
          <c:showLegendKey val="0"/>
          <c:showVal val="0"/>
          <c:showCatName val="0"/>
          <c:showSerName val="0"/>
          <c:showPercent val="0"/>
          <c:showBubbleSize val="0"/>
        </c:dLbls>
        <c:gapWidth val="150"/>
        <c:axId val="308890624"/>
        <c:axId val="308896512"/>
      </c:barChart>
      <c:catAx>
        <c:axId val="3088906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08896512"/>
        <c:crosses val="autoZero"/>
        <c:auto val="1"/>
        <c:lblAlgn val="ctr"/>
        <c:lblOffset val="100"/>
        <c:noMultiLvlLbl val="0"/>
      </c:catAx>
      <c:valAx>
        <c:axId val="308896512"/>
        <c:scaling>
          <c:orientation val="minMax"/>
          <c:max val="45"/>
          <c:min val="-2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08890624"/>
        <c:crosses val="autoZero"/>
        <c:crossBetween val="between"/>
        <c:majorUnit val="20"/>
      </c:valAx>
      <c:spPr>
        <a:noFill/>
        <a:ln>
          <a:noFill/>
        </a:ln>
        <a:effectLst/>
      </c:spPr>
    </c:plotArea>
    <c:legend>
      <c:legendPos val="b"/>
      <c:layout>
        <c:manualLayout>
          <c:xMode val="edge"/>
          <c:yMode val="edge"/>
          <c:x val="0.05"/>
          <c:y val="0.91940387279916191"/>
          <c:w val="0.92515703461595589"/>
          <c:h val="7.753569794601397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17462150075816"/>
          <c:y val="9.8556430446194623E-2"/>
          <c:w val="0.85282510140778012"/>
          <c:h val="0.74838039641596521"/>
        </c:manualLayout>
      </c:layout>
      <c:barChart>
        <c:barDir val="col"/>
        <c:grouping val="clustered"/>
        <c:varyColors val="0"/>
        <c:ser>
          <c:idx val="0"/>
          <c:order val="0"/>
          <c:tx>
            <c:strRef>
              <c:f>Sheet1!$A$2</c:f>
              <c:strCache>
                <c:ptCount val="1"/>
                <c:pt idx="0">
                  <c:v>Կշիռը ՀՆԱ-ում, %</c:v>
                </c:pt>
              </c:strCache>
            </c:strRef>
          </c:tx>
          <c:spPr>
            <a:solidFill>
              <a:srgbClr val="4472C4"/>
            </a:solidFill>
            <a:ln w="28575" cap="rnd">
              <a:solidFill>
                <a:srgbClr val="4472C4"/>
              </a:solidFill>
              <a:round/>
            </a:ln>
            <a:effectLst/>
          </c:spPr>
          <c:invertIfNegative val="0"/>
          <c:cat>
            <c:strRef>
              <c:f>Sheet1!$B$1:$I$1</c:f>
              <c:strCache>
                <c:ptCount val="8"/>
                <c:pt idx="0">
                  <c:v>2009</c:v>
                </c:pt>
                <c:pt idx="1">
                  <c:v>2010</c:v>
                </c:pt>
                <c:pt idx="2">
                  <c:v>.</c:v>
                </c:pt>
                <c:pt idx="3">
                  <c:v>2019</c:v>
                </c:pt>
                <c:pt idx="4">
                  <c:v>2020</c:v>
                </c:pt>
                <c:pt idx="5">
                  <c:v>2021</c:v>
                </c:pt>
                <c:pt idx="6">
                  <c:v>2022*</c:v>
                </c:pt>
                <c:pt idx="7">
                  <c:v>2023*</c:v>
                </c:pt>
              </c:strCache>
            </c:strRef>
          </c:cat>
          <c:val>
            <c:numRef>
              <c:f>Sheet1!$B$2:$I$2</c:f>
              <c:numCache>
                <c:formatCode>0.0</c:formatCode>
                <c:ptCount val="8"/>
                <c:pt idx="0">
                  <c:v>42.565558730307387</c:v>
                </c:pt>
                <c:pt idx="1">
                  <c:v>45.944135054288665</c:v>
                </c:pt>
                <c:pt idx="3">
                  <c:v>55.828218307781896</c:v>
                </c:pt>
                <c:pt idx="4">
                  <c:v>40.202666058444152</c:v>
                </c:pt>
                <c:pt idx="5">
                  <c:v>44.149448575234942</c:v>
                </c:pt>
                <c:pt idx="6">
                  <c:v>47.792165673131208</c:v>
                </c:pt>
                <c:pt idx="7">
                  <c:v>47.085729077984475</c:v>
                </c:pt>
              </c:numCache>
            </c:numRef>
          </c:val>
          <c:extLst>
            <c:ext xmlns:c16="http://schemas.microsoft.com/office/drawing/2014/chart" uri="{C3380CC4-5D6E-409C-BE32-E72D297353CC}">
              <c16:uniqueId val="{00000000-B44F-4C54-A1F9-0B3A08C65867}"/>
            </c:ext>
          </c:extLst>
        </c:ser>
        <c:ser>
          <c:idx val="1"/>
          <c:order val="1"/>
          <c:tx>
            <c:strRef>
              <c:f>Sheet1!$A$3</c:f>
              <c:strCache>
                <c:ptCount val="1"/>
                <c:pt idx="0">
                  <c:v>Փոփոխությունը, տ/տ, %</c:v>
                </c:pt>
              </c:strCache>
            </c:strRef>
          </c:tx>
          <c:spPr>
            <a:solidFill>
              <a:srgbClr val="C00000"/>
            </a:solidFill>
            <a:ln w="28575" cap="rnd">
              <a:solidFill>
                <a:srgbClr val="C00000"/>
              </a:solidFill>
              <a:round/>
            </a:ln>
            <a:effectLst/>
          </c:spPr>
          <c:invertIfNegative val="0"/>
          <c:cat>
            <c:strRef>
              <c:f>Sheet1!$B$1:$I$1</c:f>
              <c:strCache>
                <c:ptCount val="8"/>
                <c:pt idx="0">
                  <c:v>2009</c:v>
                </c:pt>
                <c:pt idx="1">
                  <c:v>2010</c:v>
                </c:pt>
                <c:pt idx="2">
                  <c:v>.</c:v>
                </c:pt>
                <c:pt idx="3">
                  <c:v>2019</c:v>
                </c:pt>
                <c:pt idx="4">
                  <c:v>2020</c:v>
                </c:pt>
                <c:pt idx="5">
                  <c:v>2021</c:v>
                </c:pt>
                <c:pt idx="6">
                  <c:v>2022*</c:v>
                </c:pt>
                <c:pt idx="7">
                  <c:v>2023*</c:v>
                </c:pt>
              </c:strCache>
            </c:strRef>
          </c:cat>
          <c:val>
            <c:numRef>
              <c:f>Sheet1!$B$3:$I$3</c:f>
              <c:numCache>
                <c:formatCode>0.0</c:formatCode>
                <c:ptCount val="8"/>
                <c:pt idx="0">
                  <c:v>-22.58933683177068</c:v>
                </c:pt>
                <c:pt idx="1">
                  <c:v>15.579343442577226</c:v>
                </c:pt>
                <c:pt idx="3">
                  <c:v>13.827417153139578</c:v>
                </c:pt>
                <c:pt idx="4">
                  <c:v>-33.157660330275164</c:v>
                </c:pt>
                <c:pt idx="5">
                  <c:v>20.412806765335361</c:v>
                </c:pt>
                <c:pt idx="6">
                  <c:v>43.72877115465775</c:v>
                </c:pt>
                <c:pt idx="7">
                  <c:v>14.333674075339232</c:v>
                </c:pt>
              </c:numCache>
            </c:numRef>
          </c:val>
          <c:extLst>
            <c:ext xmlns:c16="http://schemas.microsoft.com/office/drawing/2014/chart" uri="{C3380CC4-5D6E-409C-BE32-E72D297353CC}">
              <c16:uniqueId val="{00000001-B44F-4C54-A1F9-0B3A08C65867}"/>
            </c:ext>
          </c:extLst>
        </c:ser>
        <c:dLbls>
          <c:showLegendKey val="0"/>
          <c:showVal val="0"/>
          <c:showCatName val="0"/>
          <c:showSerName val="0"/>
          <c:showPercent val="0"/>
          <c:showBubbleSize val="0"/>
        </c:dLbls>
        <c:gapWidth val="150"/>
        <c:axId val="308964736"/>
        <c:axId val="308970624"/>
      </c:barChart>
      <c:catAx>
        <c:axId val="3089647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08970624"/>
        <c:crosses val="autoZero"/>
        <c:auto val="1"/>
        <c:lblAlgn val="ctr"/>
        <c:lblOffset val="100"/>
        <c:noMultiLvlLbl val="0"/>
      </c:catAx>
      <c:valAx>
        <c:axId val="308970624"/>
        <c:scaling>
          <c:orientation val="minMax"/>
          <c:max val="60"/>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08964736"/>
        <c:crosses val="autoZero"/>
        <c:crossBetween val="between"/>
        <c:majorUnit val="20"/>
      </c:valAx>
      <c:spPr>
        <a:noFill/>
        <a:ln>
          <a:noFill/>
        </a:ln>
        <a:effectLst/>
      </c:spPr>
    </c:plotArea>
    <c:legend>
      <c:legendPos val="b"/>
      <c:layout>
        <c:manualLayout>
          <c:xMode val="edge"/>
          <c:yMode val="edge"/>
          <c:x val="4.9999900955776971E-2"/>
          <c:y val="0.9160701503221188"/>
          <c:w val="0.92515703461595589"/>
          <c:h val="8.392984967788157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40622581751751"/>
          <c:y val="6.2146892655367263E-2"/>
          <c:w val="0.79139809651453141"/>
          <c:h val="0.61186351706036746"/>
        </c:manualLayout>
      </c:layout>
      <c:lineChart>
        <c:grouping val="standard"/>
        <c:varyColors val="0"/>
        <c:ser>
          <c:idx val="0"/>
          <c:order val="0"/>
          <c:tx>
            <c:strRef>
              <c:f>Sheet1!$B$1</c:f>
              <c:strCache>
                <c:ptCount val="1"/>
                <c:pt idx="0">
                  <c:v>USD</c:v>
                </c:pt>
              </c:strCache>
            </c:strRef>
          </c:tx>
          <c:spPr>
            <a:ln w="28575" cap="rnd">
              <a:solidFill>
                <a:srgbClr val="0070C0"/>
              </a:solidFill>
              <a:round/>
            </a:ln>
            <a:effectLst/>
          </c:spPr>
          <c:marker>
            <c:symbol val="none"/>
          </c:marker>
          <c:cat>
            <c:numRef>
              <c:f>Sheet1!$A$2:$A$439</c:f>
              <c:numCache>
                <c:formatCode>[$-2B]\ dd\/mmm\/yy</c:formatCode>
                <c:ptCount val="438"/>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pt idx="250">
                  <c:v>44564</c:v>
                </c:pt>
                <c:pt idx="251">
                  <c:v>44565</c:v>
                </c:pt>
                <c:pt idx="252">
                  <c:v>44566</c:v>
                </c:pt>
                <c:pt idx="253">
                  <c:v>44568</c:v>
                </c:pt>
                <c:pt idx="254">
                  <c:v>44571</c:v>
                </c:pt>
                <c:pt idx="255">
                  <c:v>44572</c:v>
                </c:pt>
                <c:pt idx="256">
                  <c:v>44573</c:v>
                </c:pt>
                <c:pt idx="257">
                  <c:v>44574</c:v>
                </c:pt>
                <c:pt idx="258">
                  <c:v>44575</c:v>
                </c:pt>
                <c:pt idx="259">
                  <c:v>44578</c:v>
                </c:pt>
                <c:pt idx="260">
                  <c:v>44579</c:v>
                </c:pt>
                <c:pt idx="261">
                  <c:v>44580</c:v>
                </c:pt>
                <c:pt idx="262">
                  <c:v>44581</c:v>
                </c:pt>
                <c:pt idx="263">
                  <c:v>44582</c:v>
                </c:pt>
                <c:pt idx="264">
                  <c:v>44585</c:v>
                </c:pt>
                <c:pt idx="265">
                  <c:v>44586</c:v>
                </c:pt>
                <c:pt idx="266">
                  <c:v>44587</c:v>
                </c:pt>
                <c:pt idx="267">
                  <c:v>44588</c:v>
                </c:pt>
                <c:pt idx="268">
                  <c:v>44589</c:v>
                </c:pt>
                <c:pt idx="269">
                  <c:v>44592</c:v>
                </c:pt>
                <c:pt idx="270">
                  <c:v>44593</c:v>
                </c:pt>
                <c:pt idx="271">
                  <c:v>44594</c:v>
                </c:pt>
                <c:pt idx="272">
                  <c:v>44595</c:v>
                </c:pt>
                <c:pt idx="273">
                  <c:v>44596</c:v>
                </c:pt>
                <c:pt idx="274">
                  <c:v>44599</c:v>
                </c:pt>
                <c:pt idx="275">
                  <c:v>44600</c:v>
                </c:pt>
                <c:pt idx="276">
                  <c:v>44601</c:v>
                </c:pt>
                <c:pt idx="277">
                  <c:v>44602</c:v>
                </c:pt>
                <c:pt idx="278">
                  <c:v>44603</c:v>
                </c:pt>
                <c:pt idx="279">
                  <c:v>44606</c:v>
                </c:pt>
                <c:pt idx="280">
                  <c:v>44607</c:v>
                </c:pt>
                <c:pt idx="281">
                  <c:v>44608</c:v>
                </c:pt>
                <c:pt idx="282">
                  <c:v>44609</c:v>
                </c:pt>
                <c:pt idx="283">
                  <c:v>44610</c:v>
                </c:pt>
                <c:pt idx="284">
                  <c:v>44613</c:v>
                </c:pt>
                <c:pt idx="285">
                  <c:v>44614</c:v>
                </c:pt>
                <c:pt idx="286">
                  <c:v>44615</c:v>
                </c:pt>
                <c:pt idx="287">
                  <c:v>44616</c:v>
                </c:pt>
                <c:pt idx="288">
                  <c:v>44617</c:v>
                </c:pt>
                <c:pt idx="289">
                  <c:v>44620</c:v>
                </c:pt>
                <c:pt idx="290">
                  <c:v>44621</c:v>
                </c:pt>
                <c:pt idx="291">
                  <c:v>44622</c:v>
                </c:pt>
                <c:pt idx="292">
                  <c:v>44623</c:v>
                </c:pt>
                <c:pt idx="293">
                  <c:v>44624</c:v>
                </c:pt>
                <c:pt idx="294">
                  <c:v>44627</c:v>
                </c:pt>
                <c:pt idx="295">
                  <c:v>44628</c:v>
                </c:pt>
                <c:pt idx="296">
                  <c:v>44629</c:v>
                </c:pt>
                <c:pt idx="297">
                  <c:v>44630</c:v>
                </c:pt>
                <c:pt idx="298">
                  <c:v>44631</c:v>
                </c:pt>
                <c:pt idx="299">
                  <c:v>44634</c:v>
                </c:pt>
                <c:pt idx="300">
                  <c:v>44635</c:v>
                </c:pt>
                <c:pt idx="301">
                  <c:v>44636</c:v>
                </c:pt>
                <c:pt idx="302">
                  <c:v>44637</c:v>
                </c:pt>
                <c:pt idx="303">
                  <c:v>44638</c:v>
                </c:pt>
                <c:pt idx="304">
                  <c:v>44641</c:v>
                </c:pt>
                <c:pt idx="305">
                  <c:v>44642</c:v>
                </c:pt>
                <c:pt idx="306">
                  <c:v>44643</c:v>
                </c:pt>
                <c:pt idx="307">
                  <c:v>44644</c:v>
                </c:pt>
                <c:pt idx="308">
                  <c:v>44645</c:v>
                </c:pt>
                <c:pt idx="309">
                  <c:v>44648</c:v>
                </c:pt>
                <c:pt idx="310">
                  <c:v>44649</c:v>
                </c:pt>
                <c:pt idx="311">
                  <c:v>44650</c:v>
                </c:pt>
                <c:pt idx="312">
                  <c:v>44651</c:v>
                </c:pt>
                <c:pt idx="313">
                  <c:v>44652</c:v>
                </c:pt>
                <c:pt idx="314">
                  <c:v>44655</c:v>
                </c:pt>
                <c:pt idx="315">
                  <c:v>44656</c:v>
                </c:pt>
                <c:pt idx="316">
                  <c:v>44657</c:v>
                </c:pt>
                <c:pt idx="317">
                  <c:v>44658</c:v>
                </c:pt>
                <c:pt idx="318">
                  <c:v>44659</c:v>
                </c:pt>
                <c:pt idx="319">
                  <c:v>44662</c:v>
                </c:pt>
                <c:pt idx="320">
                  <c:v>44663</c:v>
                </c:pt>
                <c:pt idx="321">
                  <c:v>44664</c:v>
                </c:pt>
                <c:pt idx="322">
                  <c:v>44665</c:v>
                </c:pt>
                <c:pt idx="323">
                  <c:v>44666</c:v>
                </c:pt>
                <c:pt idx="324">
                  <c:v>44669</c:v>
                </c:pt>
                <c:pt idx="325">
                  <c:v>44670</c:v>
                </c:pt>
                <c:pt idx="326">
                  <c:v>44671</c:v>
                </c:pt>
                <c:pt idx="327">
                  <c:v>44672</c:v>
                </c:pt>
                <c:pt idx="328">
                  <c:v>44673</c:v>
                </c:pt>
                <c:pt idx="329">
                  <c:v>44676</c:v>
                </c:pt>
                <c:pt idx="330">
                  <c:v>44677</c:v>
                </c:pt>
                <c:pt idx="331">
                  <c:v>44678</c:v>
                </c:pt>
                <c:pt idx="332">
                  <c:v>44679</c:v>
                </c:pt>
                <c:pt idx="333">
                  <c:v>44680</c:v>
                </c:pt>
                <c:pt idx="334">
                  <c:v>44683</c:v>
                </c:pt>
                <c:pt idx="335">
                  <c:v>44684</c:v>
                </c:pt>
                <c:pt idx="336">
                  <c:v>44685</c:v>
                </c:pt>
                <c:pt idx="337">
                  <c:v>44686</c:v>
                </c:pt>
                <c:pt idx="338">
                  <c:v>44687</c:v>
                </c:pt>
                <c:pt idx="339">
                  <c:v>44690</c:v>
                </c:pt>
                <c:pt idx="340">
                  <c:v>44691</c:v>
                </c:pt>
                <c:pt idx="341">
                  <c:v>44692</c:v>
                </c:pt>
                <c:pt idx="342">
                  <c:v>44693</c:v>
                </c:pt>
                <c:pt idx="343">
                  <c:v>44694</c:v>
                </c:pt>
                <c:pt idx="344">
                  <c:v>44697</c:v>
                </c:pt>
                <c:pt idx="345">
                  <c:v>44698</c:v>
                </c:pt>
                <c:pt idx="346">
                  <c:v>44699</c:v>
                </c:pt>
                <c:pt idx="347">
                  <c:v>44700</c:v>
                </c:pt>
                <c:pt idx="348">
                  <c:v>44701</c:v>
                </c:pt>
                <c:pt idx="349">
                  <c:v>44704</c:v>
                </c:pt>
                <c:pt idx="350">
                  <c:v>44705</c:v>
                </c:pt>
                <c:pt idx="351">
                  <c:v>44706</c:v>
                </c:pt>
                <c:pt idx="352">
                  <c:v>44707</c:v>
                </c:pt>
                <c:pt idx="353">
                  <c:v>44708</c:v>
                </c:pt>
                <c:pt idx="354">
                  <c:v>44711</c:v>
                </c:pt>
                <c:pt idx="355">
                  <c:v>44712</c:v>
                </c:pt>
                <c:pt idx="356">
                  <c:v>44713</c:v>
                </c:pt>
                <c:pt idx="357">
                  <c:v>44714</c:v>
                </c:pt>
                <c:pt idx="358">
                  <c:v>44715</c:v>
                </c:pt>
                <c:pt idx="359">
                  <c:v>44718</c:v>
                </c:pt>
                <c:pt idx="360">
                  <c:v>44719</c:v>
                </c:pt>
                <c:pt idx="361">
                  <c:v>44720</c:v>
                </c:pt>
                <c:pt idx="362">
                  <c:v>44721</c:v>
                </c:pt>
                <c:pt idx="363">
                  <c:v>44722</c:v>
                </c:pt>
                <c:pt idx="364">
                  <c:v>44725</c:v>
                </c:pt>
                <c:pt idx="365">
                  <c:v>44726</c:v>
                </c:pt>
                <c:pt idx="366">
                  <c:v>44727</c:v>
                </c:pt>
                <c:pt idx="367">
                  <c:v>44728</c:v>
                </c:pt>
                <c:pt idx="368">
                  <c:v>44729</c:v>
                </c:pt>
                <c:pt idx="369">
                  <c:v>44732</c:v>
                </c:pt>
                <c:pt idx="370">
                  <c:v>44733</c:v>
                </c:pt>
                <c:pt idx="371">
                  <c:v>44734</c:v>
                </c:pt>
                <c:pt idx="372">
                  <c:v>44735</c:v>
                </c:pt>
                <c:pt idx="373">
                  <c:v>44736</c:v>
                </c:pt>
                <c:pt idx="374">
                  <c:v>44739</c:v>
                </c:pt>
                <c:pt idx="375">
                  <c:v>44740</c:v>
                </c:pt>
                <c:pt idx="376">
                  <c:v>44741</c:v>
                </c:pt>
                <c:pt idx="377">
                  <c:v>44742</c:v>
                </c:pt>
                <c:pt idx="378">
                  <c:v>44743</c:v>
                </c:pt>
                <c:pt idx="379">
                  <c:v>44746</c:v>
                </c:pt>
                <c:pt idx="380">
                  <c:v>44747</c:v>
                </c:pt>
                <c:pt idx="381">
                  <c:v>44748</c:v>
                </c:pt>
                <c:pt idx="382">
                  <c:v>44749</c:v>
                </c:pt>
                <c:pt idx="383">
                  <c:v>44750</c:v>
                </c:pt>
                <c:pt idx="384">
                  <c:v>44753</c:v>
                </c:pt>
                <c:pt idx="385">
                  <c:v>44754</c:v>
                </c:pt>
                <c:pt idx="386">
                  <c:v>44755</c:v>
                </c:pt>
                <c:pt idx="387">
                  <c:v>44756</c:v>
                </c:pt>
                <c:pt idx="388">
                  <c:v>44757</c:v>
                </c:pt>
                <c:pt idx="389">
                  <c:v>44760</c:v>
                </c:pt>
                <c:pt idx="390">
                  <c:v>44761</c:v>
                </c:pt>
                <c:pt idx="391">
                  <c:v>44762</c:v>
                </c:pt>
                <c:pt idx="392">
                  <c:v>44763</c:v>
                </c:pt>
                <c:pt idx="393">
                  <c:v>44764</c:v>
                </c:pt>
                <c:pt idx="394">
                  <c:v>44767</c:v>
                </c:pt>
                <c:pt idx="395">
                  <c:v>44768</c:v>
                </c:pt>
                <c:pt idx="396">
                  <c:v>44769</c:v>
                </c:pt>
                <c:pt idx="397">
                  <c:v>44770</c:v>
                </c:pt>
                <c:pt idx="398">
                  <c:v>44771</c:v>
                </c:pt>
                <c:pt idx="399">
                  <c:v>44774</c:v>
                </c:pt>
                <c:pt idx="400">
                  <c:v>44775</c:v>
                </c:pt>
                <c:pt idx="401">
                  <c:v>44776</c:v>
                </c:pt>
                <c:pt idx="402">
                  <c:v>44777</c:v>
                </c:pt>
                <c:pt idx="403">
                  <c:v>44778</c:v>
                </c:pt>
                <c:pt idx="404">
                  <c:v>44781</c:v>
                </c:pt>
                <c:pt idx="405">
                  <c:v>44782</c:v>
                </c:pt>
                <c:pt idx="406">
                  <c:v>44783</c:v>
                </c:pt>
                <c:pt idx="407">
                  <c:v>44784</c:v>
                </c:pt>
                <c:pt idx="408">
                  <c:v>44785</c:v>
                </c:pt>
                <c:pt idx="409">
                  <c:v>44788</c:v>
                </c:pt>
                <c:pt idx="410">
                  <c:v>44789</c:v>
                </c:pt>
                <c:pt idx="411">
                  <c:v>44790</c:v>
                </c:pt>
                <c:pt idx="412">
                  <c:v>44791</c:v>
                </c:pt>
                <c:pt idx="413">
                  <c:v>44792</c:v>
                </c:pt>
                <c:pt idx="414">
                  <c:v>44795</c:v>
                </c:pt>
                <c:pt idx="415">
                  <c:v>44796</c:v>
                </c:pt>
                <c:pt idx="416">
                  <c:v>44797</c:v>
                </c:pt>
                <c:pt idx="417">
                  <c:v>44798</c:v>
                </c:pt>
                <c:pt idx="418">
                  <c:v>44799</c:v>
                </c:pt>
                <c:pt idx="419">
                  <c:v>44802</c:v>
                </c:pt>
                <c:pt idx="420">
                  <c:v>44803</c:v>
                </c:pt>
                <c:pt idx="421">
                  <c:v>44804</c:v>
                </c:pt>
                <c:pt idx="422">
                  <c:v>44805</c:v>
                </c:pt>
                <c:pt idx="423">
                  <c:v>44806</c:v>
                </c:pt>
                <c:pt idx="424">
                  <c:v>44809</c:v>
                </c:pt>
                <c:pt idx="425">
                  <c:v>44810</c:v>
                </c:pt>
                <c:pt idx="426">
                  <c:v>44811</c:v>
                </c:pt>
                <c:pt idx="427">
                  <c:v>44812</c:v>
                </c:pt>
                <c:pt idx="428">
                  <c:v>44813</c:v>
                </c:pt>
                <c:pt idx="429">
                  <c:v>44816</c:v>
                </c:pt>
                <c:pt idx="430">
                  <c:v>44817</c:v>
                </c:pt>
                <c:pt idx="431">
                  <c:v>44818</c:v>
                </c:pt>
                <c:pt idx="432">
                  <c:v>44819</c:v>
                </c:pt>
                <c:pt idx="433">
                  <c:v>44820</c:v>
                </c:pt>
                <c:pt idx="434">
                  <c:v>44823</c:v>
                </c:pt>
                <c:pt idx="435">
                  <c:v>44824</c:v>
                </c:pt>
                <c:pt idx="436">
                  <c:v>44826</c:v>
                </c:pt>
                <c:pt idx="437">
                  <c:v>44827</c:v>
                </c:pt>
              </c:numCache>
            </c:numRef>
          </c:cat>
          <c:val>
            <c:numRef>
              <c:f>Sheet1!$B$2:$B$439</c:f>
              <c:numCache>
                <c:formatCode>0</c:formatCode>
                <c:ptCount val="438"/>
                <c:pt idx="0">
                  <c:v>100</c:v>
                </c:pt>
                <c:pt idx="1">
                  <c:v>99.814800672063527</c:v>
                </c:pt>
                <c:pt idx="2">
                  <c:v>99.495660779537133</c:v>
                </c:pt>
                <c:pt idx="3">
                  <c:v>99.221848962781607</c:v>
                </c:pt>
                <c:pt idx="4">
                  <c:v>99.493767247121497</c:v>
                </c:pt>
                <c:pt idx="5">
                  <c:v>100.04975790863681</c:v>
                </c:pt>
                <c:pt idx="6">
                  <c:v>100.1149007066393</c:v>
                </c:pt>
                <c:pt idx="7">
                  <c:v>100.67011996687911</c:v>
                </c:pt>
                <c:pt idx="8">
                  <c:v>100.69338777711432</c:v>
                </c:pt>
                <c:pt idx="9">
                  <c:v>100.75160438628609</c:v>
                </c:pt>
                <c:pt idx="10">
                  <c:v>100.83905562842369</c:v>
                </c:pt>
                <c:pt idx="11">
                  <c:v>100.85461841191447</c:v>
                </c:pt>
                <c:pt idx="12">
                  <c:v>100.87407864778295</c:v>
                </c:pt>
                <c:pt idx="13">
                  <c:v>100.89354639493592</c:v>
                </c:pt>
                <c:pt idx="14">
                  <c:v>100.87213228626005</c:v>
                </c:pt>
                <c:pt idx="15">
                  <c:v>100.75354609929077</c:v>
                </c:pt>
                <c:pt idx="16">
                  <c:v>100.69144838212634</c:v>
                </c:pt>
                <c:pt idx="17">
                  <c:v>100.50754590022109</c:v>
                </c:pt>
                <c:pt idx="18">
                  <c:v>100.42066845946982</c:v>
                </c:pt>
                <c:pt idx="19">
                  <c:v>100.31853856043595</c:v>
                </c:pt>
                <c:pt idx="20">
                  <c:v>100.18972786508239</c:v>
                </c:pt>
                <c:pt idx="21">
                  <c:v>100.03635667814768</c:v>
                </c:pt>
                <c:pt idx="22">
                  <c:v>99.935006594919003</c:v>
                </c:pt>
                <c:pt idx="23">
                  <c:v>99.755757818611968</c:v>
                </c:pt>
                <c:pt idx="24">
                  <c:v>99.715800717173991</c:v>
                </c:pt>
                <c:pt idx="25">
                  <c:v>99.654975219214592</c:v>
                </c:pt>
                <c:pt idx="26">
                  <c:v>99.594223881734322</c:v>
                </c:pt>
                <c:pt idx="27">
                  <c:v>99.7062918391089</c:v>
                </c:pt>
                <c:pt idx="28">
                  <c:v>99.704390281115252</c:v>
                </c:pt>
                <c:pt idx="29">
                  <c:v>99.677776082977374</c:v>
                </c:pt>
                <c:pt idx="30">
                  <c:v>99.560083793563081</c:v>
                </c:pt>
                <c:pt idx="31">
                  <c:v>99.435103469263495</c:v>
                </c:pt>
                <c:pt idx="32">
                  <c:v>99.304777281793093</c:v>
                </c:pt>
                <c:pt idx="33">
                  <c:v>99.206785965045398</c:v>
                </c:pt>
                <c:pt idx="34">
                  <c:v>99.020759148420282</c:v>
                </c:pt>
                <c:pt idx="35">
                  <c:v>98.94392187292992</c:v>
                </c:pt>
                <c:pt idx="36">
                  <c:v>99.133419296116472</c:v>
                </c:pt>
                <c:pt idx="37">
                  <c:v>99.391623414893786</c:v>
                </c:pt>
                <c:pt idx="38">
                  <c:v>99.582841251095232</c:v>
                </c:pt>
                <c:pt idx="39">
                  <c:v>99.491873786777248</c:v>
                </c:pt>
                <c:pt idx="40">
                  <c:v>99.524072417140985</c:v>
                </c:pt>
                <c:pt idx="41">
                  <c:v>99.402962371418226</c:v>
                </c:pt>
                <c:pt idx="42">
                  <c:v>99.317983206048837</c:v>
                </c:pt>
                <c:pt idx="43">
                  <c:v>99.22373215912539</c:v>
                </c:pt>
                <c:pt idx="44">
                  <c:v>99.191727540081573</c:v>
                </c:pt>
                <c:pt idx="45">
                  <c:v>99.071424510602782</c:v>
                </c:pt>
                <c:pt idx="46">
                  <c:v>99.071424510602782</c:v>
                </c:pt>
                <c:pt idx="47">
                  <c:v>99.122141746615583</c:v>
                </c:pt>
                <c:pt idx="48">
                  <c:v>99.037641843635726</c:v>
                </c:pt>
                <c:pt idx="49">
                  <c:v>99.058284068515974</c:v>
                </c:pt>
                <c:pt idx="50">
                  <c:v>98.990759675831228</c:v>
                </c:pt>
                <c:pt idx="51">
                  <c:v>98.953285887340968</c:v>
                </c:pt>
                <c:pt idx="52">
                  <c:v>98.885904516910017</c:v>
                </c:pt>
                <c:pt idx="53">
                  <c:v>98.734631437798612</c:v>
                </c:pt>
                <c:pt idx="54">
                  <c:v>98.624735888922402</c:v>
                </c:pt>
                <c:pt idx="55">
                  <c:v>98.509515733936283</c:v>
                </c:pt>
                <c:pt idx="56">
                  <c:v>98.422350659864051</c:v>
                </c:pt>
                <c:pt idx="57">
                  <c:v>98.242943586274265</c:v>
                </c:pt>
                <c:pt idx="58">
                  <c:v>98.053153778344594</c:v>
                </c:pt>
                <c:pt idx="59">
                  <c:v>97.930091413157456</c:v>
                </c:pt>
                <c:pt idx="60">
                  <c:v>97.697669638018311</c:v>
                </c:pt>
                <c:pt idx="61">
                  <c:v>97.430019754742958</c:v>
                </c:pt>
                <c:pt idx="62">
                  <c:v>97.288596099449123</c:v>
                </c:pt>
                <c:pt idx="63">
                  <c:v>98.124929614474979</c:v>
                </c:pt>
                <c:pt idx="64">
                  <c:v>98.994508615792427</c:v>
                </c:pt>
                <c:pt idx="65">
                  <c:v>100.64686290741773</c:v>
                </c:pt>
                <c:pt idx="66">
                  <c:v>100.66430469441981</c:v>
                </c:pt>
                <c:pt idx="67">
                  <c:v>100.30506523407517</c:v>
                </c:pt>
                <c:pt idx="68">
                  <c:v>100.11298353121406</c:v>
                </c:pt>
                <c:pt idx="69">
                  <c:v>100.11106642921426</c:v>
                </c:pt>
                <c:pt idx="70">
                  <c:v>100.17245013316979</c:v>
                </c:pt>
                <c:pt idx="71">
                  <c:v>100.10723244547417</c:v>
                </c:pt>
                <c:pt idx="72">
                  <c:v>100.10531556372544</c:v>
                </c:pt>
                <c:pt idx="73">
                  <c:v>100.17245013316978</c:v>
                </c:pt>
                <c:pt idx="74">
                  <c:v>100.44768089766738</c:v>
                </c:pt>
                <c:pt idx="75">
                  <c:v>100.48050125891325</c:v>
                </c:pt>
                <c:pt idx="76">
                  <c:v>100.57328639310514</c:v>
                </c:pt>
                <c:pt idx="77">
                  <c:v>100.41488196992101</c:v>
                </c:pt>
                <c:pt idx="78">
                  <c:v>100.40331099118471</c:v>
                </c:pt>
                <c:pt idx="79">
                  <c:v>100.414881969921</c:v>
                </c:pt>
                <c:pt idx="80">
                  <c:v>100.36668714483177</c:v>
                </c:pt>
                <c:pt idx="81">
                  <c:v>100.33586672808225</c:v>
                </c:pt>
                <c:pt idx="82">
                  <c:v>100.25697574072292</c:v>
                </c:pt>
                <c:pt idx="83">
                  <c:v>100.1340765002202</c:v>
                </c:pt>
                <c:pt idx="84">
                  <c:v>100.08040277963889</c:v>
                </c:pt>
                <c:pt idx="85">
                  <c:v>100.13215859030829</c:v>
                </c:pt>
                <c:pt idx="86">
                  <c:v>100.09956535891391</c:v>
                </c:pt>
                <c:pt idx="87">
                  <c:v>99.9407379086216</c:v>
                </c:pt>
                <c:pt idx="88">
                  <c:v>100.05933241463781</c:v>
                </c:pt>
                <c:pt idx="89">
                  <c:v>100.1686114464179</c:v>
                </c:pt>
                <c:pt idx="90">
                  <c:v>100.23775285207547</c:v>
                </c:pt>
                <c:pt idx="91">
                  <c:v>100.39752650176669</c:v>
                </c:pt>
                <c:pt idx="92">
                  <c:v>100.39367054576171</c:v>
                </c:pt>
                <c:pt idx="93">
                  <c:v>100.43224343950504</c:v>
                </c:pt>
                <c:pt idx="94">
                  <c:v>100.42452648968448</c:v>
                </c:pt>
                <c:pt idx="95">
                  <c:v>100.42645561595933</c:v>
                </c:pt>
                <c:pt idx="96">
                  <c:v>100.40523930245055</c:v>
                </c:pt>
                <c:pt idx="97">
                  <c:v>100.38595952225498</c:v>
                </c:pt>
                <c:pt idx="98">
                  <c:v>100.4187395555213</c:v>
                </c:pt>
                <c:pt idx="99">
                  <c:v>100.4071676877868</c:v>
                </c:pt>
                <c:pt idx="100">
                  <c:v>100.4071676877868</c:v>
                </c:pt>
                <c:pt idx="101">
                  <c:v>100.49402176002449</c:v>
                </c:pt>
                <c:pt idx="102">
                  <c:v>100.5288054765017</c:v>
                </c:pt>
                <c:pt idx="103">
                  <c:v>100.53073861123387</c:v>
                </c:pt>
                <c:pt idx="104">
                  <c:v>100.56941692476374</c:v>
                </c:pt>
                <c:pt idx="105">
                  <c:v>100.61974324922521</c:v>
                </c:pt>
                <c:pt idx="106">
                  <c:v>100.67593591126166</c:v>
                </c:pt>
                <c:pt idx="107">
                  <c:v>100.80600065559852</c:v>
                </c:pt>
                <c:pt idx="108">
                  <c:v>101.12187856631648</c:v>
                </c:pt>
                <c:pt idx="109">
                  <c:v>101.37876202295992</c:v>
                </c:pt>
                <c:pt idx="110">
                  <c:v>101.53825237438569</c:v>
                </c:pt>
                <c:pt idx="111">
                  <c:v>101.68835463227707</c:v>
                </c:pt>
                <c:pt idx="112">
                  <c:v>101.76357230451787</c:v>
                </c:pt>
                <c:pt idx="113">
                  <c:v>101.85080558748459</c:v>
                </c:pt>
                <c:pt idx="114">
                  <c:v>101.89447833628931</c:v>
                </c:pt>
                <c:pt idx="115">
                  <c:v>102.10542762836656</c:v>
                </c:pt>
                <c:pt idx="116">
                  <c:v>102.93167946446144</c:v>
                </c:pt>
                <c:pt idx="117">
                  <c:v>104.68781288798102</c:v>
                </c:pt>
                <c:pt idx="118">
                  <c:v>105.22512730712711</c:v>
                </c:pt>
                <c:pt idx="119">
                  <c:v>105.53525647495805</c:v>
                </c:pt>
                <c:pt idx="120">
                  <c:v>105.43096841850516</c:v>
                </c:pt>
                <c:pt idx="121">
                  <c:v>105.43522103904479</c:v>
                </c:pt>
                <c:pt idx="122">
                  <c:v>105.50969747119008</c:v>
                </c:pt>
                <c:pt idx="123">
                  <c:v>105.4884077564115</c:v>
                </c:pt>
                <c:pt idx="124">
                  <c:v>105.56935441529852</c:v>
                </c:pt>
                <c:pt idx="125">
                  <c:v>105.5331260850256</c:v>
                </c:pt>
                <c:pt idx="126">
                  <c:v>105.45010791294347</c:v>
                </c:pt>
                <c:pt idx="127">
                  <c:v>105.42671614100182</c:v>
                </c:pt>
                <c:pt idx="128">
                  <c:v>105.36722025153172</c:v>
                </c:pt>
                <c:pt idx="129">
                  <c:v>105.4841508444139</c:v>
                </c:pt>
                <c:pt idx="130">
                  <c:v>105.52034555142899</c:v>
                </c:pt>
                <c:pt idx="131">
                  <c:v>105.66110190387644</c:v>
                </c:pt>
                <c:pt idx="132">
                  <c:v>106.06195857255885</c:v>
                </c:pt>
                <c:pt idx="133">
                  <c:v>106.44202382164306</c:v>
                </c:pt>
                <c:pt idx="134">
                  <c:v>107.22357815288058</c:v>
                </c:pt>
                <c:pt idx="135">
                  <c:v>107.9208125180628</c:v>
                </c:pt>
                <c:pt idx="136">
                  <c:v>108.14405692772326</c:v>
                </c:pt>
                <c:pt idx="137">
                  <c:v>108.34576805106521</c:v>
                </c:pt>
                <c:pt idx="138">
                  <c:v>108.39968483038895</c:v>
                </c:pt>
                <c:pt idx="139">
                  <c:v>108.39069497429088</c:v>
                </c:pt>
                <c:pt idx="140">
                  <c:v>107.9341811875464</c:v>
                </c:pt>
                <c:pt idx="141">
                  <c:v>107.51686410003285</c:v>
                </c:pt>
                <c:pt idx="142">
                  <c:v>107.08740449415181</c:v>
                </c:pt>
                <c:pt idx="143">
                  <c:v>106.48972358584722</c:v>
                </c:pt>
                <c:pt idx="144">
                  <c:v>106.19337802153153</c:v>
                </c:pt>
                <c:pt idx="145">
                  <c:v>105.96736596736591</c:v>
                </c:pt>
                <c:pt idx="146">
                  <c:v>106.12439608623275</c:v>
                </c:pt>
                <c:pt idx="147">
                  <c:v>106.41169166887171</c:v>
                </c:pt>
                <c:pt idx="148">
                  <c:v>106.55266590575573</c:v>
                </c:pt>
                <c:pt idx="149">
                  <c:v>106.45936424542325</c:v>
                </c:pt>
                <c:pt idx="150">
                  <c:v>106.31215048296897</c:v>
                </c:pt>
                <c:pt idx="151">
                  <c:v>106.20200706943484</c:v>
                </c:pt>
                <c:pt idx="152">
                  <c:v>106.14594331194671</c:v>
                </c:pt>
                <c:pt idx="153">
                  <c:v>106.22790262933309</c:v>
                </c:pt>
                <c:pt idx="154">
                  <c:v>106.45719638348127</c:v>
                </c:pt>
                <c:pt idx="155">
                  <c:v>106.54180847378178</c:v>
                </c:pt>
                <c:pt idx="156">
                  <c:v>106.66789088163878</c:v>
                </c:pt>
                <c:pt idx="157">
                  <c:v>106.57004240052183</c:v>
                </c:pt>
                <c:pt idx="158">
                  <c:v>106.47887897674036</c:v>
                </c:pt>
                <c:pt idx="159">
                  <c:v>106.1976923701958</c:v>
                </c:pt>
                <c:pt idx="160">
                  <c:v>106.02969212671883</c:v>
                </c:pt>
                <c:pt idx="161">
                  <c:v>105.8900974256142</c:v>
                </c:pt>
                <c:pt idx="162">
                  <c:v>105.93730369409712</c:v>
                </c:pt>
                <c:pt idx="163">
                  <c:v>106.0167910447761</c:v>
                </c:pt>
                <c:pt idx="164">
                  <c:v>105.91369529983791</c:v>
                </c:pt>
                <c:pt idx="165">
                  <c:v>105.92657130121164</c:v>
                </c:pt>
                <c:pt idx="166">
                  <c:v>105.90296768965867</c:v>
                </c:pt>
                <c:pt idx="167">
                  <c:v>105.93945043365486</c:v>
                </c:pt>
                <c:pt idx="168">
                  <c:v>105.90296768965867</c:v>
                </c:pt>
                <c:pt idx="169">
                  <c:v>105.900822428392</c:v>
                </c:pt>
                <c:pt idx="170">
                  <c:v>106.0060425411116</c:v>
                </c:pt>
                <c:pt idx="171">
                  <c:v>106.07487065029929</c:v>
                </c:pt>
                <c:pt idx="172">
                  <c:v>106.28405302106206</c:v>
                </c:pt>
                <c:pt idx="173">
                  <c:v>106.65048246598259</c:v>
                </c:pt>
                <c:pt idx="174">
                  <c:v>107.34907597535937</c:v>
                </c:pt>
                <c:pt idx="175">
                  <c:v>107.48812632358083</c:v>
                </c:pt>
                <c:pt idx="176">
                  <c:v>107.8073123956035</c:v>
                </c:pt>
                <c:pt idx="177">
                  <c:v>107.96315800342813</c:v>
                </c:pt>
                <c:pt idx="178">
                  <c:v>108.07028423772611</c:v>
                </c:pt>
                <c:pt idx="179">
                  <c:v>108.40867617783677</c:v>
                </c:pt>
                <c:pt idx="180">
                  <c:v>108.72883823468243</c:v>
                </c:pt>
                <c:pt idx="181">
                  <c:v>108.62265993475867</c:v>
                </c:pt>
                <c:pt idx="182">
                  <c:v>108.32556308406375</c:v>
                </c:pt>
                <c:pt idx="183">
                  <c:v>108.12839976007777</c:v>
                </c:pt>
                <c:pt idx="184">
                  <c:v>107.96984717059067</c:v>
                </c:pt>
                <c:pt idx="185">
                  <c:v>107.72067913953681</c:v>
                </c:pt>
                <c:pt idx="186">
                  <c:v>107.73843871074109</c:v>
                </c:pt>
                <c:pt idx="187">
                  <c:v>107.86514535663443</c:v>
                </c:pt>
                <c:pt idx="188">
                  <c:v>108.23585433013811</c:v>
                </c:pt>
                <c:pt idx="189">
                  <c:v>108.71753280512407</c:v>
                </c:pt>
                <c:pt idx="190">
                  <c:v>109.07364907156273</c:v>
                </c:pt>
                <c:pt idx="191">
                  <c:v>109.20808004846361</c:v>
                </c:pt>
                <c:pt idx="192">
                  <c:v>109.19211328794022</c:v>
                </c:pt>
                <c:pt idx="193">
                  <c:v>109.10096414708462</c:v>
                </c:pt>
                <c:pt idx="194">
                  <c:v>109.19667474308633</c:v>
                </c:pt>
                <c:pt idx="195">
                  <c:v>109.27427783119438</c:v>
                </c:pt>
                <c:pt idx="196">
                  <c:v>109.30854956405383</c:v>
                </c:pt>
                <c:pt idx="197">
                  <c:v>109.52151506263884</c:v>
                </c:pt>
                <c:pt idx="198">
                  <c:v>109.70307417899491</c:v>
                </c:pt>
                <c:pt idx="199">
                  <c:v>109.72149348332535</c:v>
                </c:pt>
                <c:pt idx="200">
                  <c:v>109.71919073203499</c:v>
                </c:pt>
                <c:pt idx="201">
                  <c:v>109.6110703428033</c:v>
                </c:pt>
                <c:pt idx="202">
                  <c:v>109.61336855788994</c:v>
                </c:pt>
                <c:pt idx="203">
                  <c:v>109.52839873457508</c:v>
                </c:pt>
                <c:pt idx="204">
                  <c:v>109.41836371627709</c:v>
                </c:pt>
                <c:pt idx="205">
                  <c:v>109.41607367099211</c:v>
                </c:pt>
                <c:pt idx="206">
                  <c:v>109.49628233322866</c:v>
                </c:pt>
                <c:pt idx="207">
                  <c:v>109.5513505584544</c:v>
                </c:pt>
                <c:pt idx="208">
                  <c:v>109.6340568312887</c:v>
                </c:pt>
                <c:pt idx="209">
                  <c:v>109.77909369619087</c:v>
                </c:pt>
                <c:pt idx="210">
                  <c:v>109.85060200458072</c:v>
                </c:pt>
                <c:pt idx="211">
                  <c:v>109.84829383089598</c:v>
                </c:pt>
                <c:pt idx="212">
                  <c:v>109.88523625357327</c:v>
                </c:pt>
                <c:pt idx="213">
                  <c:v>109.90371678439291</c:v>
                </c:pt>
                <c:pt idx="214">
                  <c:v>109.92913766637933</c:v>
                </c:pt>
                <c:pt idx="215">
                  <c:v>110.01704581325369</c:v>
                </c:pt>
                <c:pt idx="216">
                  <c:v>109.91064858614531</c:v>
                </c:pt>
                <c:pt idx="217">
                  <c:v>109.98695615585294</c:v>
                </c:pt>
                <c:pt idx="218">
                  <c:v>109.83213933065824</c:v>
                </c:pt>
                <c:pt idx="219">
                  <c:v>109.77448345372085</c:v>
                </c:pt>
                <c:pt idx="220">
                  <c:v>109.76526413034354</c:v>
                </c:pt>
                <c:pt idx="221">
                  <c:v>109.70998069336024</c:v>
                </c:pt>
                <c:pt idx="222">
                  <c:v>109.56512627056486</c:v>
                </c:pt>
                <c:pt idx="223">
                  <c:v>109.34512978184941</c:v>
                </c:pt>
                <c:pt idx="224">
                  <c:v>108.86468701844993</c:v>
                </c:pt>
                <c:pt idx="225">
                  <c:v>108.22241083072852</c:v>
                </c:pt>
                <c:pt idx="226">
                  <c:v>107.60095500761541</c:v>
                </c:pt>
                <c:pt idx="227">
                  <c:v>107.5080200707412</c:v>
                </c:pt>
                <c:pt idx="228">
                  <c:v>107.13348907742126</c:v>
                </c:pt>
                <c:pt idx="229">
                  <c:v>107.01944728761521</c:v>
                </c:pt>
                <c:pt idx="230">
                  <c:v>106.69401416355441</c:v>
                </c:pt>
                <c:pt idx="231">
                  <c:v>106.46803657617667</c:v>
                </c:pt>
                <c:pt idx="232">
                  <c:v>106.16965536849379</c:v>
                </c:pt>
                <c:pt idx="233">
                  <c:v>105.86865393572432</c:v>
                </c:pt>
                <c:pt idx="234">
                  <c:v>105.56295937323324</c:v>
                </c:pt>
                <c:pt idx="235">
                  <c:v>105.54590971493182</c:v>
                </c:pt>
                <c:pt idx="236">
                  <c:v>105.68459781268326</c:v>
                </c:pt>
                <c:pt idx="237">
                  <c:v>107.03040229296762</c:v>
                </c:pt>
                <c:pt idx="238">
                  <c:v>108.45815526326714</c:v>
                </c:pt>
                <c:pt idx="239">
                  <c:v>108.91004541477446</c:v>
                </c:pt>
                <c:pt idx="240">
                  <c:v>108.64523369147329</c:v>
                </c:pt>
                <c:pt idx="241">
                  <c:v>108.77634672603573</c:v>
                </c:pt>
                <c:pt idx="242">
                  <c:v>108.66329945334753</c:v>
                </c:pt>
                <c:pt idx="243">
                  <c:v>109.11007221271451</c:v>
                </c:pt>
                <c:pt idx="244">
                  <c:v>109.31997825268711</c:v>
                </c:pt>
                <c:pt idx="245">
                  <c:v>109.37715756219016</c:v>
                </c:pt>
                <c:pt idx="246">
                  <c:v>109.26057515465648</c:v>
                </c:pt>
                <c:pt idx="247">
                  <c:v>109.34284280097054</c:v>
                </c:pt>
                <c:pt idx="248">
                  <c:v>109.22405147919112</c:v>
                </c:pt>
                <c:pt idx="249">
                  <c:v>108.88282584246269</c:v>
                </c:pt>
                <c:pt idx="250">
                  <c:v>108.55499491268515</c:v>
                </c:pt>
                <c:pt idx="251">
                  <c:v>108.41991745992252</c:v>
                </c:pt>
                <c:pt idx="252">
                  <c:v>108.33903222464001</c:v>
                </c:pt>
                <c:pt idx="253">
                  <c:v>108.28517574929064</c:v>
                </c:pt>
                <c:pt idx="254">
                  <c:v>108.24705979791294</c:v>
                </c:pt>
                <c:pt idx="255">
                  <c:v>108.39069497429098</c:v>
                </c:pt>
                <c:pt idx="256">
                  <c:v>108.57754055120569</c:v>
                </c:pt>
                <c:pt idx="257">
                  <c:v>108.72657696067223</c:v>
                </c:pt>
                <c:pt idx="258">
                  <c:v>108.71527200133094</c:v>
                </c:pt>
                <c:pt idx="259">
                  <c:v>108.57754055120569</c:v>
                </c:pt>
                <c:pt idx="260">
                  <c:v>108.57077587639149</c:v>
                </c:pt>
                <c:pt idx="261">
                  <c:v>108.54147202325348</c:v>
                </c:pt>
                <c:pt idx="262">
                  <c:v>108.53921853589677</c:v>
                </c:pt>
                <c:pt idx="263">
                  <c:v>108.43565917199047</c:v>
                </c:pt>
                <c:pt idx="264">
                  <c:v>108.54597927869951</c:v>
                </c:pt>
                <c:pt idx="265">
                  <c:v>108.40418031767105</c:v>
                </c:pt>
                <c:pt idx="266">
                  <c:v>108.35699628992484</c:v>
                </c:pt>
                <c:pt idx="267">
                  <c:v>108.33454213896438</c:v>
                </c:pt>
                <c:pt idx="268">
                  <c:v>108.28741870002909</c:v>
                </c:pt>
                <c:pt idx="269">
                  <c:v>108.1530059166702</c:v>
                </c:pt>
                <c:pt idx="270">
                  <c:v>108.34576805106532</c:v>
                </c:pt>
                <c:pt idx="271">
                  <c:v>108.3951897159445</c:v>
                </c:pt>
                <c:pt idx="272">
                  <c:v>108.54597927869949</c:v>
                </c:pt>
                <c:pt idx="273">
                  <c:v>108.62943107675693</c:v>
                </c:pt>
                <c:pt idx="274">
                  <c:v>108.84882050427873</c:v>
                </c:pt>
                <c:pt idx="275">
                  <c:v>109.11690425998212</c:v>
                </c:pt>
                <c:pt idx="276">
                  <c:v>109.13284903139619</c:v>
                </c:pt>
                <c:pt idx="277">
                  <c:v>109.15563536142322</c:v>
                </c:pt>
                <c:pt idx="278">
                  <c:v>109.17159145488345</c:v>
                </c:pt>
                <c:pt idx="279">
                  <c:v>109.07592480544146</c:v>
                </c:pt>
                <c:pt idx="280">
                  <c:v>109.11234946674188</c:v>
                </c:pt>
                <c:pt idx="281">
                  <c:v>109.28341485848077</c:v>
                </c:pt>
                <c:pt idx="282">
                  <c:v>109.14196242171195</c:v>
                </c:pt>
                <c:pt idx="283">
                  <c:v>109.21036139544606</c:v>
                </c:pt>
                <c:pt idx="284">
                  <c:v>109.27199381309705</c:v>
                </c:pt>
                <c:pt idx="285">
                  <c:v>109.19211328794023</c:v>
                </c:pt>
                <c:pt idx="286">
                  <c:v>108.96452540747848</c:v>
                </c:pt>
                <c:pt idx="287">
                  <c:v>108.43565917199042</c:v>
                </c:pt>
                <c:pt idx="288">
                  <c:v>108.03231939163503</c:v>
                </c:pt>
                <c:pt idx="289">
                  <c:v>107.82287670667827</c:v>
                </c:pt>
                <c:pt idx="290">
                  <c:v>106.83137158737949</c:v>
                </c:pt>
                <c:pt idx="291">
                  <c:v>105.29930712213992</c:v>
                </c:pt>
                <c:pt idx="292">
                  <c:v>103.9178659457741</c:v>
                </c:pt>
                <c:pt idx="293">
                  <c:v>102.47167666313855</c:v>
                </c:pt>
                <c:pt idx="294">
                  <c:v>102.02572159013296</c:v>
                </c:pt>
                <c:pt idx="295">
                  <c:v>101.31392802465074</c:v>
                </c:pt>
                <c:pt idx="296">
                  <c:v>100.87018599984569</c:v>
                </c:pt>
                <c:pt idx="297">
                  <c:v>101.51853506029481</c:v>
                </c:pt>
                <c:pt idx="298">
                  <c:v>102.92357365043118</c:v>
                </c:pt>
                <c:pt idx="299">
                  <c:v>104.75913754408468</c:v>
                </c:pt>
                <c:pt idx="300">
                  <c:v>106.58525148321071</c:v>
                </c:pt>
                <c:pt idx="301">
                  <c:v>106.99754400327471</c:v>
                </c:pt>
                <c:pt idx="302">
                  <c:v>106.96032898909513</c:v>
                </c:pt>
                <c:pt idx="303">
                  <c:v>106.94063740130103</c:v>
                </c:pt>
                <c:pt idx="304">
                  <c:v>106.8772360216703</c:v>
                </c:pt>
                <c:pt idx="305">
                  <c:v>106.73322308650297</c:v>
                </c:pt>
                <c:pt idx="306">
                  <c:v>106.62655517030393</c:v>
                </c:pt>
                <c:pt idx="307">
                  <c:v>106.6113342985909</c:v>
                </c:pt>
                <c:pt idx="308">
                  <c:v>106.60481239804247</c:v>
                </c:pt>
                <c:pt idx="309">
                  <c:v>107.17961334235405</c:v>
                </c:pt>
                <c:pt idx="310">
                  <c:v>107.5898829001256</c:v>
                </c:pt>
                <c:pt idx="311">
                  <c:v>107.84066999463683</c:v>
                </c:pt>
                <c:pt idx="312">
                  <c:v>108.20449135879134</c:v>
                </c:pt>
                <c:pt idx="313">
                  <c:v>108.55499491268515</c:v>
                </c:pt>
                <c:pt idx="314">
                  <c:v>109.05544661854903</c:v>
                </c:pt>
                <c:pt idx="315">
                  <c:v>109.6179652771954</c:v>
                </c:pt>
                <c:pt idx="316">
                  <c:v>109.90140637810346</c:v>
                </c:pt>
                <c:pt idx="317">
                  <c:v>110.09813832027638</c:v>
                </c:pt>
                <c:pt idx="318">
                  <c:v>110.49605816583187</c:v>
                </c:pt>
                <c:pt idx="319">
                  <c:v>110.65978028491</c:v>
                </c:pt>
                <c:pt idx="320">
                  <c:v>110.87569722805462</c:v>
                </c:pt>
                <c:pt idx="321">
                  <c:v>110.89216019005607</c:v>
                </c:pt>
                <c:pt idx="322">
                  <c:v>110.91333404052197</c:v>
                </c:pt>
                <c:pt idx="323">
                  <c:v>111.03583034216179</c:v>
                </c:pt>
                <c:pt idx="324">
                  <c:v>111.41919396432309</c:v>
                </c:pt>
                <c:pt idx="325">
                  <c:v>111.76219082027499</c:v>
                </c:pt>
                <c:pt idx="326">
                  <c:v>111.87938709125157</c:v>
                </c:pt>
                <c:pt idx="327">
                  <c:v>112.06164794649753</c:v>
                </c:pt>
                <c:pt idx="328">
                  <c:v>112.87947488880259</c:v>
                </c:pt>
                <c:pt idx="329">
                  <c:v>113.65494151919654</c:v>
                </c:pt>
                <c:pt idx="330">
                  <c:v>114.47872643265383</c:v>
                </c:pt>
                <c:pt idx="331">
                  <c:v>115.33998146759041</c:v>
                </c:pt>
                <c:pt idx="332">
                  <c:v>116.26598465473153</c:v>
                </c:pt>
                <c:pt idx="333">
                  <c:v>115.97196033629855</c:v>
                </c:pt>
                <c:pt idx="334">
                  <c:v>114.99241141147753</c:v>
                </c:pt>
                <c:pt idx="335">
                  <c:v>112.55140046072042</c:v>
                </c:pt>
                <c:pt idx="336">
                  <c:v>110.20489902609728</c:v>
                </c:pt>
                <c:pt idx="337">
                  <c:v>110.61061272850378</c:v>
                </c:pt>
                <c:pt idx="338">
                  <c:v>111.97763831473434</c:v>
                </c:pt>
                <c:pt idx="339">
                  <c:v>113.61789059613592</c:v>
                </c:pt>
                <c:pt idx="340">
                  <c:v>114.66201693205251</c:v>
                </c:pt>
                <c:pt idx="341">
                  <c:v>114.90142640497596</c:v>
                </c:pt>
                <c:pt idx="342">
                  <c:v>114.93426548828214</c:v>
                </c:pt>
                <c:pt idx="343">
                  <c:v>114.27353603357454</c:v>
                </c:pt>
                <c:pt idx="344">
                  <c:v>113.79843273835442</c:v>
                </c:pt>
                <c:pt idx="345">
                  <c:v>113.9025665606345</c:v>
                </c:pt>
                <c:pt idx="346">
                  <c:v>114.71485309284012</c:v>
                </c:pt>
                <c:pt idx="347">
                  <c:v>115.48265959796781</c:v>
                </c:pt>
                <c:pt idx="348">
                  <c:v>115.99254509551602</c:v>
                </c:pt>
                <c:pt idx="349">
                  <c:v>116.91079455240741</c:v>
                </c:pt>
                <c:pt idx="350">
                  <c:v>116.64732919809011</c:v>
                </c:pt>
                <c:pt idx="351">
                  <c:v>116.28926061037464</c:v>
                </c:pt>
                <c:pt idx="352">
                  <c:v>116.69680126788549</c:v>
                </c:pt>
                <c:pt idx="353">
                  <c:v>117.31218023516745</c:v>
                </c:pt>
                <c:pt idx="354">
                  <c:v>117.94206560483694</c:v>
                </c:pt>
                <c:pt idx="355">
                  <c:v>118.77541747131666</c:v>
                </c:pt>
                <c:pt idx="356">
                  <c:v>119.4620903980623</c:v>
                </c:pt>
                <c:pt idx="357">
                  <c:v>120.49461820360943</c:v>
                </c:pt>
                <c:pt idx="358">
                  <c:v>121.35611318739996</c:v>
                </c:pt>
                <c:pt idx="359">
                  <c:v>122.47627972355635</c:v>
                </c:pt>
                <c:pt idx="360">
                  <c:v>123.89856618082719</c:v>
                </c:pt>
                <c:pt idx="361">
                  <c:v>124.87817695394618</c:v>
                </c:pt>
                <c:pt idx="362">
                  <c:v>124.58356170912477</c:v>
                </c:pt>
                <c:pt idx="363">
                  <c:v>123.17751284105373</c:v>
                </c:pt>
                <c:pt idx="364">
                  <c:v>122.28147732322884</c:v>
                </c:pt>
                <c:pt idx="365">
                  <c:v>122.92264284034805</c:v>
                </c:pt>
                <c:pt idx="366">
                  <c:v>124.16929909982669</c:v>
                </c:pt>
                <c:pt idx="367">
                  <c:v>125.36629817030773</c:v>
                </c:pt>
                <c:pt idx="368">
                  <c:v>126.70011148272025</c:v>
                </c:pt>
                <c:pt idx="369">
                  <c:v>127.25524560634835</c:v>
                </c:pt>
                <c:pt idx="370">
                  <c:v>127.95917368318003</c:v>
                </c:pt>
                <c:pt idx="371">
                  <c:v>127.62181427594969</c:v>
                </c:pt>
                <c:pt idx="372">
                  <c:v>128.01243909008554</c:v>
                </c:pt>
                <c:pt idx="373">
                  <c:v>128.03752051137624</c:v>
                </c:pt>
                <c:pt idx="374">
                  <c:v>128.3833894059577</c:v>
                </c:pt>
                <c:pt idx="375">
                  <c:v>127.6218142759497</c:v>
                </c:pt>
                <c:pt idx="376">
                  <c:v>128.01243909008554</c:v>
                </c:pt>
                <c:pt idx="377">
                  <c:v>128.03752051137624</c:v>
                </c:pt>
                <c:pt idx="378">
                  <c:v>128.3833894059577</c:v>
                </c:pt>
                <c:pt idx="379">
                  <c:v>128.15050864076488</c:v>
                </c:pt>
                <c:pt idx="380">
                  <c:v>128.2857283078132</c:v>
                </c:pt>
                <c:pt idx="381">
                  <c:v>128.07202351788348</c:v>
                </c:pt>
                <c:pt idx="382">
                  <c:v>127.70286775123367</c:v>
                </c:pt>
                <c:pt idx="383">
                  <c:v>127.30172644702569</c:v>
                </c:pt>
                <c:pt idx="384">
                  <c:v>127.21189410161583</c:v>
                </c:pt>
                <c:pt idx="385">
                  <c:v>127.18713507201254</c:v>
                </c:pt>
                <c:pt idx="386">
                  <c:v>126.94007381507392</c:v>
                </c:pt>
                <c:pt idx="387">
                  <c:v>126.69704093255469</c:v>
                </c:pt>
                <c:pt idx="388">
                  <c:v>126.45493686807613</c:v>
                </c:pt>
                <c:pt idx="389">
                  <c:v>125.95831827490673</c:v>
                </c:pt>
                <c:pt idx="390">
                  <c:v>125.86734079691834</c:v>
                </c:pt>
                <c:pt idx="391">
                  <c:v>125.79162656400392</c:v>
                </c:pt>
                <c:pt idx="392">
                  <c:v>126.02208080223708</c:v>
                </c:pt>
                <c:pt idx="393">
                  <c:v>126.55289276204314</c:v>
                </c:pt>
                <c:pt idx="394">
                  <c:v>127.10055431294374</c:v>
                </c:pt>
                <c:pt idx="395">
                  <c:v>127.68727254964224</c:v>
                </c:pt>
                <c:pt idx="396">
                  <c:v>128.18192963099185</c:v>
                </c:pt>
                <c:pt idx="397">
                  <c:v>128.5475423541273</c:v>
                </c:pt>
                <c:pt idx="398">
                  <c:v>128.22594491182466</c:v>
                </c:pt>
                <c:pt idx="399">
                  <c:v>128.28258042352718</c:v>
                </c:pt>
                <c:pt idx="400">
                  <c:v>128.45910017937445</c:v>
                </c:pt>
                <c:pt idx="401">
                  <c:v>128.63294129225929</c:v>
                </c:pt>
                <c:pt idx="402">
                  <c:v>128.78186968838531</c:v>
                </c:pt>
                <c:pt idx="403">
                  <c:v>128.72162308563554</c:v>
                </c:pt>
                <c:pt idx="404">
                  <c:v>128.57283391948062</c:v>
                </c:pt>
                <c:pt idx="405">
                  <c:v>128.6772669095206</c:v>
                </c:pt>
                <c:pt idx="406">
                  <c:v>128.83582236679982</c:v>
                </c:pt>
                <c:pt idx="407">
                  <c:v>128.73747198896803</c:v>
                </c:pt>
                <c:pt idx="408">
                  <c:v>128.79456037052555</c:v>
                </c:pt>
                <c:pt idx="409">
                  <c:v>128.70577808414788</c:v>
                </c:pt>
                <c:pt idx="410">
                  <c:v>128.73747198896803</c:v>
                </c:pt>
                <c:pt idx="411">
                  <c:v>128.77869740861175</c:v>
                </c:pt>
                <c:pt idx="412">
                  <c:v>128.83264742847291</c:v>
                </c:pt>
                <c:pt idx="413">
                  <c:v>129.03615944711842</c:v>
                </c:pt>
                <c:pt idx="414">
                  <c:v>128.93750308291823</c:v>
                </c:pt>
                <c:pt idx="415">
                  <c:v>129.10626528041888</c:v>
                </c:pt>
                <c:pt idx="416">
                  <c:v>129.12539827598988</c:v>
                </c:pt>
                <c:pt idx="417">
                  <c:v>129.10307699906164</c:v>
                </c:pt>
                <c:pt idx="418">
                  <c:v>129.14134677140461</c:v>
                </c:pt>
                <c:pt idx="419">
                  <c:v>129.04571484992104</c:v>
                </c:pt>
                <c:pt idx="420">
                  <c:v>129.15729920695708</c:v>
                </c:pt>
                <c:pt idx="421">
                  <c:v>129.22434249555073</c:v>
                </c:pt>
                <c:pt idx="422">
                  <c:v>129.16687256016209</c:v>
                </c:pt>
                <c:pt idx="423">
                  <c:v>129.21476062186414</c:v>
                </c:pt>
                <c:pt idx="424">
                  <c:v>129.16687256016209</c:v>
                </c:pt>
                <c:pt idx="425">
                  <c:v>129.14772727272728</c:v>
                </c:pt>
                <c:pt idx="426">
                  <c:v>129.11583106939986</c:v>
                </c:pt>
                <c:pt idx="427">
                  <c:v>129.04890029868429</c:v>
                </c:pt>
                <c:pt idx="428">
                  <c:v>128.98203888285798</c:v>
                </c:pt>
                <c:pt idx="429">
                  <c:v>128.93432313118109</c:v>
                </c:pt>
                <c:pt idx="430">
                  <c:v>128.85805131744351</c:v>
                </c:pt>
                <c:pt idx="431">
                  <c:v>128.53490030241193</c:v>
                </c:pt>
                <c:pt idx="432">
                  <c:v>127.15619983460623</c:v>
                </c:pt>
                <c:pt idx="433">
                  <c:v>125.67973651946055</c:v>
                </c:pt>
                <c:pt idx="434">
                  <c:v>124.97967965574948</c:v>
                </c:pt>
                <c:pt idx="435">
                  <c:v>125.09331929555898</c:v>
                </c:pt>
                <c:pt idx="436">
                  <c:v>125.05741077408862</c:v>
                </c:pt>
                <c:pt idx="437">
                  <c:v>125.58916088115889</c:v>
                </c:pt>
              </c:numCache>
            </c:numRef>
          </c:val>
          <c:smooth val="0"/>
          <c:extLst>
            <c:ext xmlns:c16="http://schemas.microsoft.com/office/drawing/2014/chart" uri="{C3380CC4-5D6E-409C-BE32-E72D297353CC}">
              <c16:uniqueId val="{00000000-3F1F-43F1-8AAB-A7241745A478}"/>
            </c:ext>
          </c:extLst>
        </c:ser>
        <c:ser>
          <c:idx val="1"/>
          <c:order val="1"/>
          <c:tx>
            <c:strRef>
              <c:f>Sheet1!$C$1</c:f>
              <c:strCache>
                <c:ptCount val="1"/>
                <c:pt idx="0">
                  <c:v>EUR</c:v>
                </c:pt>
              </c:strCache>
            </c:strRef>
          </c:tx>
          <c:spPr>
            <a:ln w="28575" cap="rnd">
              <a:solidFill>
                <a:srgbClr val="FFC000"/>
              </a:solidFill>
              <a:round/>
            </a:ln>
            <a:effectLst/>
          </c:spPr>
          <c:marker>
            <c:symbol val="none"/>
          </c:marker>
          <c:cat>
            <c:numRef>
              <c:f>Sheet1!$A$2:$A$439</c:f>
              <c:numCache>
                <c:formatCode>[$-2B]\ dd\/mmm\/yy</c:formatCode>
                <c:ptCount val="438"/>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pt idx="250">
                  <c:v>44564</c:v>
                </c:pt>
                <c:pt idx="251">
                  <c:v>44565</c:v>
                </c:pt>
                <c:pt idx="252">
                  <c:v>44566</c:v>
                </c:pt>
                <c:pt idx="253">
                  <c:v>44568</c:v>
                </c:pt>
                <c:pt idx="254">
                  <c:v>44571</c:v>
                </c:pt>
                <c:pt idx="255">
                  <c:v>44572</c:v>
                </c:pt>
                <c:pt idx="256">
                  <c:v>44573</c:v>
                </c:pt>
                <c:pt idx="257">
                  <c:v>44574</c:v>
                </c:pt>
                <c:pt idx="258">
                  <c:v>44575</c:v>
                </c:pt>
                <c:pt idx="259">
                  <c:v>44578</c:v>
                </c:pt>
                <c:pt idx="260">
                  <c:v>44579</c:v>
                </c:pt>
                <c:pt idx="261">
                  <c:v>44580</c:v>
                </c:pt>
                <c:pt idx="262">
                  <c:v>44581</c:v>
                </c:pt>
                <c:pt idx="263">
                  <c:v>44582</c:v>
                </c:pt>
                <c:pt idx="264">
                  <c:v>44585</c:v>
                </c:pt>
                <c:pt idx="265">
                  <c:v>44586</c:v>
                </c:pt>
                <c:pt idx="266">
                  <c:v>44587</c:v>
                </c:pt>
                <c:pt idx="267">
                  <c:v>44588</c:v>
                </c:pt>
                <c:pt idx="268">
                  <c:v>44589</c:v>
                </c:pt>
                <c:pt idx="269">
                  <c:v>44592</c:v>
                </c:pt>
                <c:pt idx="270">
                  <c:v>44593</c:v>
                </c:pt>
                <c:pt idx="271">
                  <c:v>44594</c:v>
                </c:pt>
                <c:pt idx="272">
                  <c:v>44595</c:v>
                </c:pt>
                <c:pt idx="273">
                  <c:v>44596</c:v>
                </c:pt>
                <c:pt idx="274">
                  <c:v>44599</c:v>
                </c:pt>
                <c:pt idx="275">
                  <c:v>44600</c:v>
                </c:pt>
                <c:pt idx="276">
                  <c:v>44601</c:v>
                </c:pt>
                <c:pt idx="277">
                  <c:v>44602</c:v>
                </c:pt>
                <c:pt idx="278">
                  <c:v>44603</c:v>
                </c:pt>
                <c:pt idx="279">
                  <c:v>44606</c:v>
                </c:pt>
                <c:pt idx="280">
                  <c:v>44607</c:v>
                </c:pt>
                <c:pt idx="281">
                  <c:v>44608</c:v>
                </c:pt>
                <c:pt idx="282">
                  <c:v>44609</c:v>
                </c:pt>
                <c:pt idx="283">
                  <c:v>44610</c:v>
                </c:pt>
                <c:pt idx="284">
                  <c:v>44613</c:v>
                </c:pt>
                <c:pt idx="285">
                  <c:v>44614</c:v>
                </c:pt>
                <c:pt idx="286">
                  <c:v>44615</c:v>
                </c:pt>
                <c:pt idx="287">
                  <c:v>44616</c:v>
                </c:pt>
                <c:pt idx="288">
                  <c:v>44617</c:v>
                </c:pt>
                <c:pt idx="289">
                  <c:v>44620</c:v>
                </c:pt>
                <c:pt idx="290">
                  <c:v>44621</c:v>
                </c:pt>
                <c:pt idx="291">
                  <c:v>44622</c:v>
                </c:pt>
                <c:pt idx="292">
                  <c:v>44623</c:v>
                </c:pt>
                <c:pt idx="293">
                  <c:v>44624</c:v>
                </c:pt>
                <c:pt idx="294">
                  <c:v>44627</c:v>
                </c:pt>
                <c:pt idx="295">
                  <c:v>44628</c:v>
                </c:pt>
                <c:pt idx="296">
                  <c:v>44629</c:v>
                </c:pt>
                <c:pt idx="297">
                  <c:v>44630</c:v>
                </c:pt>
                <c:pt idx="298">
                  <c:v>44631</c:v>
                </c:pt>
                <c:pt idx="299">
                  <c:v>44634</c:v>
                </c:pt>
                <c:pt idx="300">
                  <c:v>44635</c:v>
                </c:pt>
                <c:pt idx="301">
                  <c:v>44636</c:v>
                </c:pt>
                <c:pt idx="302">
                  <c:v>44637</c:v>
                </c:pt>
                <c:pt idx="303">
                  <c:v>44638</c:v>
                </c:pt>
                <c:pt idx="304">
                  <c:v>44641</c:v>
                </c:pt>
                <c:pt idx="305">
                  <c:v>44642</c:v>
                </c:pt>
                <c:pt idx="306">
                  <c:v>44643</c:v>
                </c:pt>
                <c:pt idx="307">
                  <c:v>44644</c:v>
                </c:pt>
                <c:pt idx="308">
                  <c:v>44645</c:v>
                </c:pt>
                <c:pt idx="309">
                  <c:v>44648</c:v>
                </c:pt>
                <c:pt idx="310">
                  <c:v>44649</c:v>
                </c:pt>
                <c:pt idx="311">
                  <c:v>44650</c:v>
                </c:pt>
                <c:pt idx="312">
                  <c:v>44651</c:v>
                </c:pt>
                <c:pt idx="313">
                  <c:v>44652</c:v>
                </c:pt>
                <c:pt idx="314">
                  <c:v>44655</c:v>
                </c:pt>
                <c:pt idx="315">
                  <c:v>44656</c:v>
                </c:pt>
                <c:pt idx="316">
                  <c:v>44657</c:v>
                </c:pt>
                <c:pt idx="317">
                  <c:v>44658</c:v>
                </c:pt>
                <c:pt idx="318">
                  <c:v>44659</c:v>
                </c:pt>
                <c:pt idx="319">
                  <c:v>44662</c:v>
                </c:pt>
                <c:pt idx="320">
                  <c:v>44663</c:v>
                </c:pt>
                <c:pt idx="321">
                  <c:v>44664</c:v>
                </c:pt>
                <c:pt idx="322">
                  <c:v>44665</c:v>
                </c:pt>
                <c:pt idx="323">
                  <c:v>44666</c:v>
                </c:pt>
                <c:pt idx="324">
                  <c:v>44669</c:v>
                </c:pt>
                <c:pt idx="325">
                  <c:v>44670</c:v>
                </c:pt>
                <c:pt idx="326">
                  <c:v>44671</c:v>
                </c:pt>
                <c:pt idx="327">
                  <c:v>44672</c:v>
                </c:pt>
                <c:pt idx="328">
                  <c:v>44673</c:v>
                </c:pt>
                <c:pt idx="329">
                  <c:v>44676</c:v>
                </c:pt>
                <c:pt idx="330">
                  <c:v>44677</c:v>
                </c:pt>
                <c:pt idx="331">
                  <c:v>44678</c:v>
                </c:pt>
                <c:pt idx="332">
                  <c:v>44679</c:v>
                </c:pt>
                <c:pt idx="333">
                  <c:v>44680</c:v>
                </c:pt>
                <c:pt idx="334">
                  <c:v>44683</c:v>
                </c:pt>
                <c:pt idx="335">
                  <c:v>44684</c:v>
                </c:pt>
                <c:pt idx="336">
                  <c:v>44685</c:v>
                </c:pt>
                <c:pt idx="337">
                  <c:v>44686</c:v>
                </c:pt>
                <c:pt idx="338">
                  <c:v>44687</c:v>
                </c:pt>
                <c:pt idx="339">
                  <c:v>44690</c:v>
                </c:pt>
                <c:pt idx="340">
                  <c:v>44691</c:v>
                </c:pt>
                <c:pt idx="341">
                  <c:v>44692</c:v>
                </c:pt>
                <c:pt idx="342">
                  <c:v>44693</c:v>
                </c:pt>
                <c:pt idx="343">
                  <c:v>44694</c:v>
                </c:pt>
                <c:pt idx="344">
                  <c:v>44697</c:v>
                </c:pt>
                <c:pt idx="345">
                  <c:v>44698</c:v>
                </c:pt>
                <c:pt idx="346">
                  <c:v>44699</c:v>
                </c:pt>
                <c:pt idx="347">
                  <c:v>44700</c:v>
                </c:pt>
                <c:pt idx="348">
                  <c:v>44701</c:v>
                </c:pt>
                <c:pt idx="349">
                  <c:v>44704</c:v>
                </c:pt>
                <c:pt idx="350">
                  <c:v>44705</c:v>
                </c:pt>
                <c:pt idx="351">
                  <c:v>44706</c:v>
                </c:pt>
                <c:pt idx="352">
                  <c:v>44707</c:v>
                </c:pt>
                <c:pt idx="353">
                  <c:v>44708</c:v>
                </c:pt>
                <c:pt idx="354">
                  <c:v>44711</c:v>
                </c:pt>
                <c:pt idx="355">
                  <c:v>44712</c:v>
                </c:pt>
                <c:pt idx="356">
                  <c:v>44713</c:v>
                </c:pt>
                <c:pt idx="357">
                  <c:v>44714</c:v>
                </c:pt>
                <c:pt idx="358">
                  <c:v>44715</c:v>
                </c:pt>
                <c:pt idx="359">
                  <c:v>44718</c:v>
                </c:pt>
                <c:pt idx="360">
                  <c:v>44719</c:v>
                </c:pt>
                <c:pt idx="361">
                  <c:v>44720</c:v>
                </c:pt>
                <c:pt idx="362">
                  <c:v>44721</c:v>
                </c:pt>
                <c:pt idx="363">
                  <c:v>44722</c:v>
                </c:pt>
                <c:pt idx="364">
                  <c:v>44725</c:v>
                </c:pt>
                <c:pt idx="365">
                  <c:v>44726</c:v>
                </c:pt>
                <c:pt idx="366">
                  <c:v>44727</c:v>
                </c:pt>
                <c:pt idx="367">
                  <c:v>44728</c:v>
                </c:pt>
                <c:pt idx="368">
                  <c:v>44729</c:v>
                </c:pt>
                <c:pt idx="369">
                  <c:v>44732</c:v>
                </c:pt>
                <c:pt idx="370">
                  <c:v>44733</c:v>
                </c:pt>
                <c:pt idx="371">
                  <c:v>44734</c:v>
                </c:pt>
                <c:pt idx="372">
                  <c:v>44735</c:v>
                </c:pt>
                <c:pt idx="373">
                  <c:v>44736</c:v>
                </c:pt>
                <c:pt idx="374">
                  <c:v>44739</c:v>
                </c:pt>
                <c:pt idx="375">
                  <c:v>44740</c:v>
                </c:pt>
                <c:pt idx="376">
                  <c:v>44741</c:v>
                </c:pt>
                <c:pt idx="377">
                  <c:v>44742</c:v>
                </c:pt>
                <c:pt idx="378">
                  <c:v>44743</c:v>
                </c:pt>
                <c:pt idx="379">
                  <c:v>44746</c:v>
                </c:pt>
                <c:pt idx="380">
                  <c:v>44747</c:v>
                </c:pt>
                <c:pt idx="381">
                  <c:v>44748</c:v>
                </c:pt>
                <c:pt idx="382">
                  <c:v>44749</c:v>
                </c:pt>
                <c:pt idx="383">
                  <c:v>44750</c:v>
                </c:pt>
                <c:pt idx="384">
                  <c:v>44753</c:v>
                </c:pt>
                <c:pt idx="385">
                  <c:v>44754</c:v>
                </c:pt>
                <c:pt idx="386">
                  <c:v>44755</c:v>
                </c:pt>
                <c:pt idx="387">
                  <c:v>44756</c:v>
                </c:pt>
                <c:pt idx="388">
                  <c:v>44757</c:v>
                </c:pt>
                <c:pt idx="389">
                  <c:v>44760</c:v>
                </c:pt>
                <c:pt idx="390">
                  <c:v>44761</c:v>
                </c:pt>
                <c:pt idx="391">
                  <c:v>44762</c:v>
                </c:pt>
                <c:pt idx="392">
                  <c:v>44763</c:v>
                </c:pt>
                <c:pt idx="393">
                  <c:v>44764</c:v>
                </c:pt>
                <c:pt idx="394">
                  <c:v>44767</c:v>
                </c:pt>
                <c:pt idx="395">
                  <c:v>44768</c:v>
                </c:pt>
                <c:pt idx="396">
                  <c:v>44769</c:v>
                </c:pt>
                <c:pt idx="397">
                  <c:v>44770</c:v>
                </c:pt>
                <c:pt idx="398">
                  <c:v>44771</c:v>
                </c:pt>
                <c:pt idx="399">
                  <c:v>44774</c:v>
                </c:pt>
                <c:pt idx="400">
                  <c:v>44775</c:v>
                </c:pt>
                <c:pt idx="401">
                  <c:v>44776</c:v>
                </c:pt>
                <c:pt idx="402">
                  <c:v>44777</c:v>
                </c:pt>
                <c:pt idx="403">
                  <c:v>44778</c:v>
                </c:pt>
                <c:pt idx="404">
                  <c:v>44781</c:v>
                </c:pt>
                <c:pt idx="405">
                  <c:v>44782</c:v>
                </c:pt>
                <c:pt idx="406">
                  <c:v>44783</c:v>
                </c:pt>
                <c:pt idx="407">
                  <c:v>44784</c:v>
                </c:pt>
                <c:pt idx="408">
                  <c:v>44785</c:v>
                </c:pt>
                <c:pt idx="409">
                  <c:v>44788</c:v>
                </c:pt>
                <c:pt idx="410">
                  <c:v>44789</c:v>
                </c:pt>
                <c:pt idx="411">
                  <c:v>44790</c:v>
                </c:pt>
                <c:pt idx="412">
                  <c:v>44791</c:v>
                </c:pt>
                <c:pt idx="413">
                  <c:v>44792</c:v>
                </c:pt>
                <c:pt idx="414">
                  <c:v>44795</c:v>
                </c:pt>
                <c:pt idx="415">
                  <c:v>44796</c:v>
                </c:pt>
                <c:pt idx="416">
                  <c:v>44797</c:v>
                </c:pt>
                <c:pt idx="417">
                  <c:v>44798</c:v>
                </c:pt>
                <c:pt idx="418">
                  <c:v>44799</c:v>
                </c:pt>
                <c:pt idx="419">
                  <c:v>44802</c:v>
                </c:pt>
                <c:pt idx="420">
                  <c:v>44803</c:v>
                </c:pt>
                <c:pt idx="421">
                  <c:v>44804</c:v>
                </c:pt>
                <c:pt idx="422">
                  <c:v>44805</c:v>
                </c:pt>
                <c:pt idx="423">
                  <c:v>44806</c:v>
                </c:pt>
                <c:pt idx="424">
                  <c:v>44809</c:v>
                </c:pt>
                <c:pt idx="425">
                  <c:v>44810</c:v>
                </c:pt>
                <c:pt idx="426">
                  <c:v>44811</c:v>
                </c:pt>
                <c:pt idx="427">
                  <c:v>44812</c:v>
                </c:pt>
                <c:pt idx="428">
                  <c:v>44813</c:v>
                </c:pt>
                <c:pt idx="429">
                  <c:v>44816</c:v>
                </c:pt>
                <c:pt idx="430">
                  <c:v>44817</c:v>
                </c:pt>
                <c:pt idx="431">
                  <c:v>44818</c:v>
                </c:pt>
                <c:pt idx="432">
                  <c:v>44819</c:v>
                </c:pt>
                <c:pt idx="433">
                  <c:v>44820</c:v>
                </c:pt>
                <c:pt idx="434">
                  <c:v>44823</c:v>
                </c:pt>
                <c:pt idx="435">
                  <c:v>44824</c:v>
                </c:pt>
                <c:pt idx="436">
                  <c:v>44826</c:v>
                </c:pt>
                <c:pt idx="437">
                  <c:v>44827</c:v>
                </c:pt>
              </c:numCache>
            </c:numRef>
          </c:cat>
          <c:val>
            <c:numRef>
              <c:f>Sheet1!$C$2:$C$439</c:f>
              <c:numCache>
                <c:formatCode>0</c:formatCode>
                <c:ptCount val="438"/>
                <c:pt idx="0">
                  <c:v>100</c:v>
                </c:pt>
                <c:pt idx="1">
                  <c:v>100.45537340619308</c:v>
                </c:pt>
                <c:pt idx="2">
                  <c:v>100.10953930896345</c:v>
                </c:pt>
                <c:pt idx="3">
                  <c:v>99.596780471097404</c:v>
                </c:pt>
                <c:pt idx="4">
                  <c:v>100.06569480072575</c:v>
                </c:pt>
                <c:pt idx="5">
                  <c:v>100.84968865768109</c:v>
                </c:pt>
                <c:pt idx="6">
                  <c:v>101.55892811785624</c:v>
                </c:pt>
                <c:pt idx="7">
                  <c:v>101.64283444550367</c:v>
                </c:pt>
                <c:pt idx="8">
                  <c:v>101.61538828089013</c:v>
                </c:pt>
                <c:pt idx="9">
                  <c:v>101.54925553192165</c:v>
                </c:pt>
                <c:pt idx="10">
                  <c:v>101.36903818729203</c:v>
                </c:pt>
                <c:pt idx="11">
                  <c:v>101.64444938750219</c:v>
                </c:pt>
                <c:pt idx="12">
                  <c:v>101.79000461423412</c:v>
                </c:pt>
                <c:pt idx="13">
                  <c:v>101.85969493360508</c:v>
                </c:pt>
                <c:pt idx="14">
                  <c:v>101.89701033719319</c:v>
                </c:pt>
                <c:pt idx="15">
                  <c:v>101.95384713457003</c:v>
                </c:pt>
                <c:pt idx="16">
                  <c:v>102.11006831386068</c:v>
                </c:pt>
                <c:pt idx="17">
                  <c:v>102.2634994724895</c:v>
                </c:pt>
                <c:pt idx="18">
                  <c:v>102.53229477193315</c:v>
                </c:pt>
                <c:pt idx="19">
                  <c:v>102.48794476217934</c:v>
                </c:pt>
                <c:pt idx="20">
                  <c:v>101.92298500804559</c:v>
                </c:pt>
                <c:pt idx="21">
                  <c:v>101.10310386244385</c:v>
                </c:pt>
                <c:pt idx="22">
                  <c:v>100.89104070400094</c:v>
                </c:pt>
                <c:pt idx="23">
                  <c:v>100.65293664154559</c:v>
                </c:pt>
                <c:pt idx="24">
                  <c:v>100.7781978575929</c:v>
                </c:pt>
                <c:pt idx="25">
                  <c:v>100.49324536600686</c:v>
                </c:pt>
                <c:pt idx="26">
                  <c:v>100.25858421225841</c:v>
                </c:pt>
                <c:pt idx="27">
                  <c:v>101.12867530825162</c:v>
                </c:pt>
                <c:pt idx="28">
                  <c:v>101.07594836711797</c:v>
                </c:pt>
                <c:pt idx="29">
                  <c:v>100.52482715273409</c:v>
                </c:pt>
                <c:pt idx="30">
                  <c:v>100.62127432013712</c:v>
                </c:pt>
                <c:pt idx="31">
                  <c:v>100.15499021526415</c:v>
                </c:pt>
                <c:pt idx="32">
                  <c:v>99.901619376298029</c:v>
                </c:pt>
                <c:pt idx="33">
                  <c:v>99.344679793775967</c:v>
                </c:pt>
                <c:pt idx="34">
                  <c:v>99.928147453920602</c:v>
                </c:pt>
                <c:pt idx="35">
                  <c:v>100.57223706964309</c:v>
                </c:pt>
                <c:pt idx="36">
                  <c:v>101.03284902084644</c:v>
                </c:pt>
                <c:pt idx="37">
                  <c:v>100.51692984523524</c:v>
                </c:pt>
                <c:pt idx="38">
                  <c:v>101.27115290243935</c:v>
                </c:pt>
                <c:pt idx="39">
                  <c:v>102.06119779202956</c:v>
                </c:pt>
                <c:pt idx="40">
                  <c:v>102.29947550211074</c:v>
                </c:pt>
                <c:pt idx="41">
                  <c:v>102.20958284737418</c:v>
                </c:pt>
                <c:pt idx="42">
                  <c:v>101.60086395832668</c:v>
                </c:pt>
                <c:pt idx="43">
                  <c:v>101.9229850080456</c:v>
                </c:pt>
                <c:pt idx="44">
                  <c:v>101.78676552481261</c:v>
                </c:pt>
                <c:pt idx="45">
                  <c:v>101.62184486839384</c:v>
                </c:pt>
                <c:pt idx="46">
                  <c:v>101.80944348075174</c:v>
                </c:pt>
                <c:pt idx="47">
                  <c:v>101.57989170993503</c:v>
                </c:pt>
                <c:pt idx="48">
                  <c:v>101.90187957948389</c:v>
                </c:pt>
                <c:pt idx="49">
                  <c:v>101.87267110417525</c:v>
                </c:pt>
                <c:pt idx="50">
                  <c:v>101.88078288981252</c:v>
                </c:pt>
                <c:pt idx="51">
                  <c:v>102.3322029560432</c:v>
                </c:pt>
                <c:pt idx="52">
                  <c:v>102.46168137482577</c:v>
                </c:pt>
                <c:pt idx="53">
                  <c:v>102.46168137482577</c:v>
                </c:pt>
                <c:pt idx="54">
                  <c:v>102.50272383515984</c:v>
                </c:pt>
                <c:pt idx="55">
                  <c:v>102.69688894596584</c:v>
                </c:pt>
                <c:pt idx="56">
                  <c:v>102.69359188390901</c:v>
                </c:pt>
                <c:pt idx="57">
                  <c:v>102.41903206698359</c:v>
                </c:pt>
                <c:pt idx="58">
                  <c:v>101.86618260564944</c:v>
                </c:pt>
                <c:pt idx="59">
                  <c:v>102.0758540360282</c:v>
                </c:pt>
                <c:pt idx="60">
                  <c:v>101.21347319126039</c:v>
                </c:pt>
                <c:pt idx="61">
                  <c:v>100.32461931720164</c:v>
                </c:pt>
                <c:pt idx="62">
                  <c:v>100.33878101571561</c:v>
                </c:pt>
                <c:pt idx="63">
                  <c:v>100.97225291202366</c:v>
                </c:pt>
                <c:pt idx="64">
                  <c:v>101.79000461423404</c:v>
                </c:pt>
                <c:pt idx="65">
                  <c:v>103.53287695619096</c:v>
                </c:pt>
                <c:pt idx="66">
                  <c:v>103.03098627842549</c:v>
                </c:pt>
                <c:pt idx="67">
                  <c:v>102.47481138573411</c:v>
                </c:pt>
                <c:pt idx="68">
                  <c:v>102.27821388031774</c:v>
                </c:pt>
                <c:pt idx="69">
                  <c:v>101.75762299384424</c:v>
                </c:pt>
                <c:pt idx="70">
                  <c:v>101.66060163040878</c:v>
                </c:pt>
                <c:pt idx="71">
                  <c:v>102.04166267904412</c:v>
                </c:pt>
                <c:pt idx="72">
                  <c:v>101.70908917470855</c:v>
                </c:pt>
                <c:pt idx="73">
                  <c:v>101.66867967707064</c:v>
                </c:pt>
                <c:pt idx="74">
                  <c:v>101.610546378653</c:v>
                </c:pt>
                <c:pt idx="75">
                  <c:v>101.90512599955387</c:v>
                </c:pt>
                <c:pt idx="76">
                  <c:v>101.99936224489784</c:v>
                </c:pt>
                <c:pt idx="77">
                  <c:v>101.39313733259358</c:v>
                </c:pt>
                <c:pt idx="78">
                  <c:v>101.60731870016824</c:v>
                </c:pt>
                <c:pt idx="79">
                  <c:v>101.96522210356852</c:v>
                </c:pt>
                <c:pt idx="80">
                  <c:v>102.3158366119693</c:v>
                </c:pt>
                <c:pt idx="81">
                  <c:v>102.28311962395665</c:v>
                </c:pt>
                <c:pt idx="82">
                  <c:v>101.83861570543931</c:v>
                </c:pt>
                <c:pt idx="83">
                  <c:v>101.43654468193051</c:v>
                </c:pt>
                <c:pt idx="84">
                  <c:v>100.69729738238016</c:v>
                </c:pt>
                <c:pt idx="85">
                  <c:v>100.73376582477786</c:v>
                </c:pt>
                <c:pt idx="86">
                  <c:v>100.94198210707344</c:v>
                </c:pt>
                <c:pt idx="87">
                  <c:v>101.35779583947262</c:v>
                </c:pt>
                <c:pt idx="88">
                  <c:v>101.1174862092401</c:v>
                </c:pt>
                <c:pt idx="89">
                  <c:v>100.8369717699351</c:v>
                </c:pt>
                <c:pt idx="90">
                  <c:v>100.3938923151765</c:v>
                </c:pt>
                <c:pt idx="91">
                  <c:v>100.61177950774541</c:v>
                </c:pt>
                <c:pt idx="92">
                  <c:v>100.81472493184349</c:v>
                </c:pt>
                <c:pt idx="93">
                  <c:v>100.51535053263351</c:v>
                </c:pt>
                <c:pt idx="94">
                  <c:v>100.63077092476354</c:v>
                </c:pt>
                <c:pt idx="95">
                  <c:v>100.27115562451988</c:v>
                </c:pt>
                <c:pt idx="96">
                  <c:v>100.36396724294802</c:v>
                </c:pt>
                <c:pt idx="97">
                  <c:v>100.74011085915836</c:v>
                </c:pt>
                <c:pt idx="98">
                  <c:v>100.82266910420465</c:v>
                </c:pt>
                <c:pt idx="99">
                  <c:v>100.47272784382695</c:v>
                </c:pt>
                <c:pt idx="100">
                  <c:v>100.88626758342259</c:v>
                </c:pt>
                <c:pt idx="101">
                  <c:v>100.81631366616229</c:v>
                </c:pt>
                <c:pt idx="102">
                  <c:v>101.52508212591042</c:v>
                </c:pt>
                <c:pt idx="103">
                  <c:v>101.17665665032411</c:v>
                </c:pt>
                <c:pt idx="104">
                  <c:v>101.09831065598371</c:v>
                </c:pt>
                <c:pt idx="105">
                  <c:v>101.01689562608547</c:v>
                </c:pt>
                <c:pt idx="106">
                  <c:v>101.28077257975134</c:v>
                </c:pt>
                <c:pt idx="107">
                  <c:v>101.52024882569498</c:v>
                </c:pt>
                <c:pt idx="108">
                  <c:v>102.165511514261</c:v>
                </c:pt>
                <c:pt idx="109">
                  <c:v>102.33220295604318</c:v>
                </c:pt>
                <c:pt idx="110">
                  <c:v>102.49287064628786</c:v>
                </c:pt>
                <c:pt idx="111">
                  <c:v>104.13112832866715</c:v>
                </c:pt>
                <c:pt idx="112">
                  <c:v>104.50535807631982</c:v>
                </c:pt>
                <c:pt idx="113">
                  <c:v>104.75348365017757</c:v>
                </c:pt>
                <c:pt idx="114">
                  <c:v>104.92185065520796</c:v>
                </c:pt>
                <c:pt idx="115">
                  <c:v>104.64553276409191</c:v>
                </c:pt>
                <c:pt idx="116">
                  <c:v>105.45628379269409</c:v>
                </c:pt>
                <c:pt idx="117">
                  <c:v>107.27412972030307</c:v>
                </c:pt>
                <c:pt idx="118">
                  <c:v>107.86922285733546</c:v>
                </c:pt>
                <c:pt idx="119">
                  <c:v>108.45072810184941</c:v>
                </c:pt>
                <c:pt idx="120">
                  <c:v>108.48935015601676</c:v>
                </c:pt>
                <c:pt idx="121">
                  <c:v>108.86967768285618</c:v>
                </c:pt>
                <c:pt idx="122">
                  <c:v>109.23216145611001</c:v>
                </c:pt>
                <c:pt idx="123">
                  <c:v>109.04411263380369</c:v>
                </c:pt>
                <c:pt idx="124">
                  <c:v>109.22097212026009</c:v>
                </c:pt>
                <c:pt idx="125">
                  <c:v>109.15574665574655</c:v>
                </c:pt>
                <c:pt idx="126">
                  <c:v>108.84744955252313</c:v>
                </c:pt>
                <c:pt idx="127">
                  <c:v>108.85115361056275</c:v>
                </c:pt>
                <c:pt idx="128">
                  <c:v>108.88264828525223</c:v>
                </c:pt>
                <c:pt idx="129">
                  <c:v>109.43770634825587</c:v>
                </c:pt>
                <c:pt idx="130">
                  <c:v>109.0403954320776</c:v>
                </c:pt>
                <c:pt idx="131">
                  <c:v>109.39840623824334</c:v>
                </c:pt>
                <c:pt idx="132">
                  <c:v>110.18601446779182</c:v>
                </c:pt>
                <c:pt idx="133">
                  <c:v>110.3932632741453</c:v>
                </c:pt>
                <c:pt idx="134">
                  <c:v>111.44907842932292</c:v>
                </c:pt>
                <c:pt idx="135">
                  <c:v>111.96597651259243</c:v>
                </c:pt>
                <c:pt idx="136">
                  <c:v>112.45407723813028</c:v>
                </c:pt>
                <c:pt idx="137">
                  <c:v>112.37703766160753</c:v>
                </c:pt>
                <c:pt idx="138">
                  <c:v>112.60450953126913</c:v>
                </c:pt>
                <c:pt idx="139">
                  <c:v>112.23311871721538</c:v>
                </c:pt>
                <c:pt idx="140">
                  <c:v>111.24365305696587</c:v>
                </c:pt>
                <c:pt idx="141">
                  <c:v>110.61850500579243</c:v>
                </c:pt>
                <c:pt idx="142">
                  <c:v>110.16703977957626</c:v>
                </c:pt>
                <c:pt idx="143">
                  <c:v>109.67222107933884</c:v>
                </c:pt>
                <c:pt idx="144">
                  <c:v>109.58768007948325</c:v>
                </c:pt>
                <c:pt idx="145">
                  <c:v>109.58580287094442</c:v>
                </c:pt>
                <c:pt idx="146">
                  <c:v>109.97198012823807</c:v>
                </c:pt>
                <c:pt idx="147">
                  <c:v>110.71805610840923</c:v>
                </c:pt>
                <c:pt idx="148">
                  <c:v>111.23398188235691</c:v>
                </c:pt>
                <c:pt idx="149">
                  <c:v>111.24171868750965</c:v>
                </c:pt>
                <c:pt idx="150">
                  <c:v>110.81394744591282</c:v>
                </c:pt>
                <c:pt idx="151">
                  <c:v>110.62233058394274</c:v>
                </c:pt>
                <c:pt idx="152">
                  <c:v>110.24487756121925</c:v>
                </c:pt>
                <c:pt idx="153">
                  <c:v>110.43328154669415</c:v>
                </c:pt>
                <c:pt idx="154">
                  <c:v>111.19144868340993</c:v>
                </c:pt>
                <c:pt idx="155">
                  <c:v>111.48015195343797</c:v>
                </c:pt>
                <c:pt idx="156">
                  <c:v>111.81333566372442</c:v>
                </c:pt>
                <c:pt idx="157">
                  <c:v>111.22431238916501</c:v>
                </c:pt>
                <c:pt idx="158">
                  <c:v>111.07175720957676</c:v>
                </c:pt>
                <c:pt idx="159">
                  <c:v>110.59938108327702</c:v>
                </c:pt>
                <c:pt idx="160">
                  <c:v>110.21828644280951</c:v>
                </c:pt>
                <c:pt idx="161">
                  <c:v>110.21448875872153</c:v>
                </c:pt>
                <c:pt idx="162">
                  <c:v>109.8699915846599</c:v>
                </c:pt>
                <c:pt idx="163">
                  <c:v>109.71171820068241</c:v>
                </c:pt>
                <c:pt idx="164">
                  <c:v>109.66846093187492</c:v>
                </c:pt>
                <c:pt idx="165">
                  <c:v>109.37783172904292</c:v>
                </c:pt>
                <c:pt idx="166">
                  <c:v>109.15947172644425</c:v>
                </c:pt>
                <c:pt idx="167">
                  <c:v>109.30681565773047</c:v>
                </c:pt>
                <c:pt idx="168">
                  <c:v>109.19673642167054</c:v>
                </c:pt>
                <c:pt idx="169">
                  <c:v>109.69290650023129</c:v>
                </c:pt>
                <c:pt idx="170">
                  <c:v>109.63463120372892</c:v>
                </c:pt>
                <c:pt idx="171">
                  <c:v>109.65906169114982</c:v>
                </c:pt>
                <c:pt idx="172">
                  <c:v>110.30380357943358</c:v>
                </c:pt>
                <c:pt idx="173">
                  <c:v>110.45997651771512</c:v>
                </c:pt>
                <c:pt idx="174">
                  <c:v>111.10840946194708</c:v>
                </c:pt>
                <c:pt idx="175">
                  <c:v>111.75278622087113</c:v>
                </c:pt>
                <c:pt idx="176">
                  <c:v>111.96205743887693</c:v>
                </c:pt>
                <c:pt idx="177">
                  <c:v>112.64019720045759</c:v>
                </c:pt>
                <c:pt idx="178">
                  <c:v>112.81897539899462</c:v>
                </c:pt>
                <c:pt idx="179">
                  <c:v>113.06622364397926</c:v>
                </c:pt>
                <c:pt idx="180">
                  <c:v>113.39891872728865</c:v>
                </c:pt>
                <c:pt idx="181">
                  <c:v>113.6466993533715</c:v>
                </c:pt>
                <c:pt idx="182">
                  <c:v>113.52166660751656</c:v>
                </c:pt>
                <c:pt idx="183">
                  <c:v>113.43108920370908</c:v>
                </c:pt>
                <c:pt idx="184">
                  <c:v>113.94831056409507</c:v>
                </c:pt>
                <c:pt idx="185">
                  <c:v>113.8428685826139</c:v>
                </c:pt>
                <c:pt idx="186">
                  <c:v>113.57608251815273</c:v>
                </c:pt>
                <c:pt idx="187">
                  <c:v>113.77807814750901</c:v>
                </c:pt>
                <c:pt idx="188">
                  <c:v>114.76392078071163</c:v>
                </c:pt>
                <c:pt idx="189">
                  <c:v>115.09427173287258</c:v>
                </c:pt>
                <c:pt idx="190">
                  <c:v>115.39113652351131</c:v>
                </c:pt>
                <c:pt idx="191">
                  <c:v>115.64352856109888</c:v>
                </c:pt>
                <c:pt idx="192">
                  <c:v>115.60800187939336</c:v>
                </c:pt>
                <c:pt idx="193">
                  <c:v>115.50155268289141</c:v>
                </c:pt>
                <c:pt idx="194">
                  <c:v>115.08391948047257</c:v>
                </c:pt>
                <c:pt idx="195">
                  <c:v>115.25600835945647</c:v>
                </c:pt>
                <c:pt idx="196">
                  <c:v>115.50155268289143</c:v>
                </c:pt>
                <c:pt idx="197">
                  <c:v>114.89170647606031</c:v>
                </c:pt>
                <c:pt idx="198">
                  <c:v>115.48904213452704</c:v>
                </c:pt>
                <c:pt idx="199">
                  <c:v>115.34952489136495</c:v>
                </c:pt>
                <c:pt idx="200">
                  <c:v>115.31625718766321</c:v>
                </c:pt>
                <c:pt idx="201">
                  <c:v>115.37240757439119</c:v>
                </c:pt>
                <c:pt idx="202">
                  <c:v>115.4744499196764</c:v>
                </c:pt>
                <c:pt idx="203">
                  <c:v>115.61218035601323</c:v>
                </c:pt>
                <c:pt idx="204">
                  <c:v>115.49738219895274</c:v>
                </c:pt>
                <c:pt idx="205">
                  <c:v>114.91027966878003</c:v>
                </c:pt>
                <c:pt idx="206">
                  <c:v>115.85924624662678</c:v>
                </c:pt>
                <c:pt idx="207">
                  <c:v>115.59755700914299</c:v>
                </c:pt>
                <c:pt idx="208">
                  <c:v>115.76490174079822</c:v>
                </c:pt>
                <c:pt idx="209">
                  <c:v>116.29944735311211</c:v>
                </c:pt>
                <c:pt idx="210">
                  <c:v>116.47519344560749</c:v>
                </c:pt>
                <c:pt idx="211">
                  <c:v>116.29099105649661</c:v>
                </c:pt>
                <c:pt idx="212">
                  <c:v>115.9705605104777</c:v>
                </c:pt>
                <c:pt idx="213">
                  <c:v>116.16007553473491</c:v>
                </c:pt>
                <c:pt idx="214">
                  <c:v>117.35118774649163</c:v>
                </c:pt>
                <c:pt idx="215">
                  <c:v>117.67281021226486</c:v>
                </c:pt>
                <c:pt idx="216">
                  <c:v>117.48696099316813</c:v>
                </c:pt>
                <c:pt idx="217">
                  <c:v>118.487924136909</c:v>
                </c:pt>
                <c:pt idx="218">
                  <c:v>118.81360968724442</c:v>
                </c:pt>
                <c:pt idx="219">
                  <c:v>118.55160017048698</c:v>
                </c:pt>
                <c:pt idx="220">
                  <c:v>118.866592344853</c:v>
                </c:pt>
                <c:pt idx="221">
                  <c:v>119.02803877425697</c:v>
                </c:pt>
                <c:pt idx="222">
                  <c:v>119.092296809263</c:v>
                </c:pt>
                <c:pt idx="223">
                  <c:v>119.41685955349789</c:v>
                </c:pt>
                <c:pt idx="224">
                  <c:v>118.70117821690302</c:v>
                </c:pt>
                <c:pt idx="225">
                  <c:v>117.56036605534914</c:v>
                </c:pt>
                <c:pt idx="226">
                  <c:v>116.66849035270066</c:v>
                </c:pt>
                <c:pt idx="227">
                  <c:v>115.79842884552706</c:v>
                </c:pt>
                <c:pt idx="228">
                  <c:v>115.75023973656096</c:v>
                </c:pt>
                <c:pt idx="229">
                  <c:v>115.65816354202425</c:v>
                </c:pt>
                <c:pt idx="230">
                  <c:v>115.5933795894765</c:v>
                </c:pt>
                <c:pt idx="231">
                  <c:v>115.31625718766314</c:v>
                </c:pt>
                <c:pt idx="232">
                  <c:v>115.23939907050452</c:v>
                </c:pt>
                <c:pt idx="233">
                  <c:v>114.80923154229905</c:v>
                </c:pt>
                <c:pt idx="234">
                  <c:v>114.12516055373177</c:v>
                </c:pt>
                <c:pt idx="235">
                  <c:v>114.48051250849983</c:v>
                </c:pt>
                <c:pt idx="236">
                  <c:v>114.7639207807116</c:v>
                </c:pt>
                <c:pt idx="237">
                  <c:v>115.89492753623168</c:v>
                </c:pt>
                <c:pt idx="238">
                  <c:v>117.75511706670572</c:v>
                </c:pt>
                <c:pt idx="239">
                  <c:v>117.80499033238171</c:v>
                </c:pt>
                <c:pt idx="240">
                  <c:v>117.34257781690764</c:v>
                </c:pt>
                <c:pt idx="241">
                  <c:v>118.24701489778545</c:v>
                </c:pt>
                <c:pt idx="242">
                  <c:v>117.73561293409625</c:v>
                </c:pt>
                <c:pt idx="243">
                  <c:v>118.33669373485485</c:v>
                </c:pt>
                <c:pt idx="244">
                  <c:v>118.1749330377757</c:v>
                </c:pt>
                <c:pt idx="245">
                  <c:v>118.01796815909361</c:v>
                </c:pt>
                <c:pt idx="246">
                  <c:v>118.22734748941967</c:v>
                </c:pt>
                <c:pt idx="247">
                  <c:v>118.07460179767794</c:v>
                </c:pt>
                <c:pt idx="248">
                  <c:v>118.49011872349072</c:v>
                </c:pt>
                <c:pt idx="249">
                  <c:v>117.90051786734463</c:v>
                </c:pt>
                <c:pt idx="250">
                  <c:v>116.99707388441821</c:v>
                </c:pt>
                <c:pt idx="251">
                  <c:v>117.40071937165067</c:v>
                </c:pt>
                <c:pt idx="252">
                  <c:v>117.27159407537739</c:v>
                </c:pt>
                <c:pt idx="253">
                  <c:v>117.10844255693029</c:v>
                </c:pt>
                <c:pt idx="254">
                  <c:v>116.97568111172038</c:v>
                </c:pt>
                <c:pt idx="255">
                  <c:v>117.03774171712898</c:v>
                </c:pt>
                <c:pt idx="256">
                  <c:v>116.90941320516779</c:v>
                </c:pt>
                <c:pt idx="257">
                  <c:v>116.00841402821578</c:v>
                </c:pt>
                <c:pt idx="258">
                  <c:v>116.11790757614237</c:v>
                </c:pt>
                <c:pt idx="259">
                  <c:v>116.31424883183922</c:v>
                </c:pt>
                <c:pt idx="260">
                  <c:v>116.58344571199456</c:v>
                </c:pt>
                <c:pt idx="261">
                  <c:v>117.13846266525047</c:v>
                </c:pt>
                <c:pt idx="262">
                  <c:v>117.05273173052274</c:v>
                </c:pt>
                <c:pt idx="263">
                  <c:v>117.02275554254756</c:v>
                </c:pt>
                <c:pt idx="264">
                  <c:v>117.27804359383286</c:v>
                </c:pt>
                <c:pt idx="265">
                  <c:v>117.53876681119993</c:v>
                </c:pt>
                <c:pt idx="266">
                  <c:v>117.48696099316811</c:v>
                </c:pt>
                <c:pt idx="267">
                  <c:v>118.41774026358637</c:v>
                </c:pt>
                <c:pt idx="268">
                  <c:v>118.56917801871914</c:v>
                </c:pt>
                <c:pt idx="269">
                  <c:v>117.53660732330175</c:v>
                </c:pt>
                <c:pt idx="270">
                  <c:v>117.31030183005079</c:v>
                </c:pt>
                <c:pt idx="271">
                  <c:v>117.53876681119995</c:v>
                </c:pt>
                <c:pt idx="272">
                  <c:v>115.85504989224705</c:v>
                </c:pt>
                <c:pt idx="273">
                  <c:v>116.39043027381044</c:v>
                </c:pt>
                <c:pt idx="274">
                  <c:v>116.78989356846834</c:v>
                </c:pt>
                <c:pt idx="275">
                  <c:v>116.86242989971305</c:v>
                </c:pt>
                <c:pt idx="276">
                  <c:v>116.69615658233141</c:v>
                </c:pt>
                <c:pt idx="277">
                  <c:v>117.32536174739104</c:v>
                </c:pt>
                <c:pt idx="278">
                  <c:v>118.12038404726719</c:v>
                </c:pt>
                <c:pt idx="279">
                  <c:v>117.64251563074644</c:v>
                </c:pt>
                <c:pt idx="280">
                  <c:v>117.3705647084723</c:v>
                </c:pt>
                <c:pt idx="281">
                  <c:v>117.7204475195052</c:v>
                </c:pt>
                <c:pt idx="282">
                  <c:v>117.46538871139494</c:v>
                </c:pt>
                <c:pt idx="283">
                  <c:v>117.64251563074644</c:v>
                </c:pt>
                <c:pt idx="284">
                  <c:v>118.10293900457819</c:v>
                </c:pt>
                <c:pt idx="285">
                  <c:v>117.71611526147261</c:v>
                </c:pt>
                <c:pt idx="286">
                  <c:v>119.01032462096533</c:v>
                </c:pt>
                <c:pt idx="287">
                  <c:v>118.67695618298504</c:v>
                </c:pt>
                <c:pt idx="288">
                  <c:v>118.25794406344141</c:v>
                </c:pt>
                <c:pt idx="289">
                  <c:v>118.03756596184343</c:v>
                </c:pt>
                <c:pt idx="290">
                  <c:v>117.774627662512</c:v>
                </c:pt>
                <c:pt idx="291">
                  <c:v>116.23183139534866</c:v>
                </c:pt>
                <c:pt idx="292">
                  <c:v>115.58293736110842</c:v>
                </c:pt>
                <c:pt idx="293">
                  <c:v>115.72092686721035</c:v>
                </c:pt>
                <c:pt idx="294">
                  <c:v>113.94425149167317</c:v>
                </c:pt>
                <c:pt idx="295">
                  <c:v>112.3494081697164</c:v>
                </c:pt>
                <c:pt idx="296">
                  <c:v>112.41850738924894</c:v>
                </c:pt>
                <c:pt idx="297">
                  <c:v>113.31656511265395</c:v>
                </c:pt>
                <c:pt idx="298">
                  <c:v>114.53995309114983</c:v>
                </c:pt>
                <c:pt idx="299">
                  <c:v>116.55158592796354</c:v>
                </c:pt>
                <c:pt idx="300">
                  <c:v>118.05717027440978</c:v>
                </c:pt>
                <c:pt idx="301">
                  <c:v>118.61974338055312</c:v>
                </c:pt>
                <c:pt idx="302">
                  <c:v>118.52524316813323</c:v>
                </c:pt>
                <c:pt idx="303">
                  <c:v>118.92404357363256</c:v>
                </c:pt>
                <c:pt idx="304">
                  <c:v>118.87542738219101</c:v>
                </c:pt>
                <c:pt idx="305">
                  <c:v>118.86659234485303</c:v>
                </c:pt>
                <c:pt idx="306">
                  <c:v>118.45501509063622</c:v>
                </c:pt>
                <c:pt idx="307">
                  <c:v>118.70778594225472</c:v>
                </c:pt>
                <c:pt idx="308">
                  <c:v>118.12038404726718</c:v>
                </c:pt>
                <c:pt idx="309">
                  <c:v>117.87227770203026</c:v>
                </c:pt>
                <c:pt idx="310">
                  <c:v>118.64394206338883</c:v>
                </c:pt>
                <c:pt idx="311">
                  <c:v>119.2966098534291</c:v>
                </c:pt>
                <c:pt idx="312">
                  <c:v>120.34009894471491</c:v>
                </c:pt>
                <c:pt idx="313">
                  <c:v>121.10324461439424</c:v>
                </c:pt>
                <c:pt idx="314">
                  <c:v>122.27446483180407</c:v>
                </c:pt>
                <c:pt idx="315">
                  <c:v>123.1429616369269</c:v>
                </c:pt>
                <c:pt idx="316">
                  <c:v>123.55201915834586</c:v>
                </c:pt>
                <c:pt idx="317">
                  <c:v>123.46617774775625</c:v>
                </c:pt>
                <c:pt idx="318">
                  <c:v>124.41462465966528</c:v>
                </c:pt>
                <c:pt idx="319">
                  <c:v>125.08358588327283</c:v>
                </c:pt>
                <c:pt idx="320">
                  <c:v>124.41946400093332</c:v>
                </c:pt>
                <c:pt idx="321">
                  <c:v>125.55492316448469</c:v>
                </c:pt>
                <c:pt idx="322">
                  <c:v>125.65850209188562</c:v>
                </c:pt>
                <c:pt idx="323">
                  <c:v>125.91572027476506</c:v>
                </c:pt>
                <c:pt idx="324">
                  <c:v>125.60422515854138</c:v>
                </c:pt>
                <c:pt idx="325">
                  <c:v>125.48350398179726</c:v>
                </c:pt>
                <c:pt idx="326">
                  <c:v>126.59094506886156</c:v>
                </c:pt>
                <c:pt idx="327">
                  <c:v>127.81251873014581</c:v>
                </c:pt>
                <c:pt idx="328">
                  <c:v>129.227350772649</c:v>
                </c:pt>
                <c:pt idx="329">
                  <c:v>131.12113137938081</c:v>
                </c:pt>
                <c:pt idx="330">
                  <c:v>133.46824668280041</c:v>
                </c:pt>
                <c:pt idx="331">
                  <c:v>133.58251028376915</c:v>
                </c:pt>
                <c:pt idx="332">
                  <c:v>135.17728098719496</c:v>
                </c:pt>
                <c:pt idx="333">
                  <c:v>135.10591117399821</c:v>
                </c:pt>
                <c:pt idx="334">
                  <c:v>133.67182766041893</c:v>
                </c:pt>
                <c:pt idx="335">
                  <c:v>129.94657837541365</c:v>
                </c:pt>
                <c:pt idx="336">
                  <c:v>127.41794136392586</c:v>
                </c:pt>
                <c:pt idx="337">
                  <c:v>128.25067158494025</c:v>
                </c:pt>
                <c:pt idx="338">
                  <c:v>129.97033846653912</c:v>
                </c:pt>
                <c:pt idx="339">
                  <c:v>133.2125603864732</c:v>
                </c:pt>
                <c:pt idx="340">
                  <c:v>135.0574227326463</c:v>
                </c:pt>
                <c:pt idx="341">
                  <c:v>134.74451324824111</c:v>
                </c:pt>
                <c:pt idx="342">
                  <c:v>133.75567124547848</c:v>
                </c:pt>
                <c:pt idx="343">
                  <c:v>132.94956254286228</c:v>
                </c:pt>
                <c:pt idx="344">
                  <c:v>132.15857210733964</c:v>
                </c:pt>
                <c:pt idx="345">
                  <c:v>131.70420389508769</c:v>
                </c:pt>
                <c:pt idx="346">
                  <c:v>131.47683834107423</c:v>
                </c:pt>
                <c:pt idx="347">
                  <c:v>131.98407295083638</c:v>
                </c:pt>
                <c:pt idx="348">
                  <c:v>133.06570709486846</c:v>
                </c:pt>
                <c:pt idx="349">
                  <c:v>133.5044554352134</c:v>
                </c:pt>
                <c:pt idx="350">
                  <c:v>133.42927460059215</c:v>
                </c:pt>
                <c:pt idx="351">
                  <c:v>132.06853839801801</c:v>
                </c:pt>
                <c:pt idx="352">
                  <c:v>133.58529964501969</c:v>
                </c:pt>
                <c:pt idx="353">
                  <c:v>133.95171590694932</c:v>
                </c:pt>
                <c:pt idx="354">
                  <c:v>134.97193974429283</c:v>
                </c:pt>
                <c:pt idx="355">
                  <c:v>135.36892443767309</c:v>
                </c:pt>
                <c:pt idx="356">
                  <c:v>136.29178295234223</c:v>
                </c:pt>
                <c:pt idx="357">
                  <c:v>138.1399667465611</c:v>
                </c:pt>
                <c:pt idx="358">
                  <c:v>138.58284773519901</c:v>
                </c:pt>
                <c:pt idx="359">
                  <c:v>139.84610676343269</c:v>
                </c:pt>
                <c:pt idx="360">
                  <c:v>143.15379623621004</c:v>
                </c:pt>
                <c:pt idx="361">
                  <c:v>145.99602911978801</c:v>
                </c:pt>
                <c:pt idx="362">
                  <c:v>146.08270728198548</c:v>
                </c:pt>
                <c:pt idx="363">
                  <c:v>143.84260820685756</c:v>
                </c:pt>
                <c:pt idx="364">
                  <c:v>143.86848674297769</c:v>
                </c:pt>
                <c:pt idx="365">
                  <c:v>143.0257774598133</c:v>
                </c:pt>
                <c:pt idx="366">
                  <c:v>144.25778519403769</c:v>
                </c:pt>
                <c:pt idx="367">
                  <c:v>145.37232712977459</c:v>
                </c:pt>
                <c:pt idx="368">
                  <c:v>147.37836343531123</c:v>
                </c:pt>
                <c:pt idx="369">
                  <c:v>148.26643181607466</c:v>
                </c:pt>
                <c:pt idx="370">
                  <c:v>148.5901426116038</c:v>
                </c:pt>
                <c:pt idx="371">
                  <c:v>147.56873961985585</c:v>
                </c:pt>
                <c:pt idx="372">
                  <c:v>148.10510475749487</c:v>
                </c:pt>
                <c:pt idx="373">
                  <c:v>148.8632926119835</c:v>
                </c:pt>
                <c:pt idx="374">
                  <c:v>151.04594607357018</c:v>
                </c:pt>
                <c:pt idx="375">
                  <c:v>147.56873961985588</c:v>
                </c:pt>
                <c:pt idx="376">
                  <c:v>148.1051047574949</c:v>
                </c:pt>
                <c:pt idx="377">
                  <c:v>148.86329261198352</c:v>
                </c:pt>
                <c:pt idx="378">
                  <c:v>151.04594607357021</c:v>
                </c:pt>
                <c:pt idx="379">
                  <c:v>150.05042805206972</c:v>
                </c:pt>
                <c:pt idx="380">
                  <c:v>150.20896924160584</c:v>
                </c:pt>
                <c:pt idx="381">
                  <c:v>153.66544965411205</c:v>
                </c:pt>
                <c:pt idx="382">
                  <c:v>153.35602646466566</c:v>
                </c:pt>
                <c:pt idx="383">
                  <c:v>153.59903961584618</c:v>
                </c:pt>
                <c:pt idx="384">
                  <c:v>153.93166506256</c:v>
                </c:pt>
                <c:pt idx="385">
                  <c:v>155.31439669822757</c:v>
                </c:pt>
                <c:pt idx="386">
                  <c:v>154.44076962074195</c:v>
                </c:pt>
                <c:pt idx="387">
                  <c:v>154.8369920371758</c:v>
                </c:pt>
                <c:pt idx="388">
                  <c:v>153.83542538354237</c:v>
                </c:pt>
                <c:pt idx="389">
                  <c:v>151.78418904811599</c:v>
                </c:pt>
                <c:pt idx="390">
                  <c:v>150.19486312626177</c:v>
                </c:pt>
                <c:pt idx="391">
                  <c:v>151.00316291365701</c:v>
                </c:pt>
                <c:pt idx="392">
                  <c:v>151.32462863090151</c:v>
                </c:pt>
                <c:pt idx="393">
                  <c:v>152.29003999238225</c:v>
                </c:pt>
                <c:pt idx="394">
                  <c:v>152.00779356555609</c:v>
                </c:pt>
                <c:pt idx="395">
                  <c:v>153.94277739009058</c:v>
                </c:pt>
                <c:pt idx="396">
                  <c:v>154.46314315377728</c:v>
                </c:pt>
                <c:pt idx="397">
                  <c:v>155.22395302567074</c:v>
                </c:pt>
                <c:pt idx="398">
                  <c:v>153.24949095700069</c:v>
                </c:pt>
                <c:pt idx="399">
                  <c:v>153.12111057922436</c:v>
                </c:pt>
                <c:pt idx="400">
                  <c:v>153.72083523560067</c:v>
                </c:pt>
                <c:pt idx="401">
                  <c:v>154.48925380342897</c:v>
                </c:pt>
                <c:pt idx="402">
                  <c:v>154.65358023497544</c:v>
                </c:pt>
                <c:pt idx="403">
                  <c:v>153.91685112116241</c:v>
                </c:pt>
                <c:pt idx="404">
                  <c:v>154.38486413436931</c:v>
                </c:pt>
                <c:pt idx="405">
                  <c:v>153.96871239470508</c:v>
                </c:pt>
                <c:pt idx="406">
                  <c:v>153.9761240011552</c:v>
                </c:pt>
                <c:pt idx="407">
                  <c:v>152.39887560150547</c:v>
                </c:pt>
                <c:pt idx="408">
                  <c:v>153.20911964747572</c:v>
                </c:pt>
                <c:pt idx="409">
                  <c:v>154.41094832371888</c:v>
                </c:pt>
                <c:pt idx="410">
                  <c:v>155.49938018035527</c:v>
                </c:pt>
                <c:pt idx="411">
                  <c:v>154.92323339952529</c:v>
                </c:pt>
                <c:pt idx="412">
                  <c:v>154.97202102662234</c:v>
                </c:pt>
                <c:pt idx="413">
                  <c:v>156.99141104294472</c:v>
                </c:pt>
                <c:pt idx="414">
                  <c:v>157.59083630989031</c:v>
                </c:pt>
                <c:pt idx="415">
                  <c:v>159.19870598482012</c:v>
                </c:pt>
                <c:pt idx="416">
                  <c:v>159.28590991708779</c:v>
                </c:pt>
                <c:pt idx="417">
                  <c:v>158.36324479540551</c:v>
                </c:pt>
                <c:pt idx="418">
                  <c:v>157.83967827095302</c:v>
                </c:pt>
                <c:pt idx="419">
                  <c:v>158.10493537305678</c:v>
                </c:pt>
                <c:pt idx="420">
                  <c:v>157.52874836866849</c:v>
                </c:pt>
                <c:pt idx="421">
                  <c:v>158.4966429650917</c:v>
                </c:pt>
                <c:pt idx="422">
                  <c:v>157.82410262735897</c:v>
                </c:pt>
                <c:pt idx="423">
                  <c:v>158.16747842856074</c:v>
                </c:pt>
                <c:pt idx="424">
                  <c:v>159.14326227020564</c:v>
                </c:pt>
                <c:pt idx="425">
                  <c:v>159.15118043635087</c:v>
                </c:pt>
                <c:pt idx="426">
                  <c:v>159.56401366822129</c:v>
                </c:pt>
                <c:pt idx="427">
                  <c:v>157.77739413520101</c:v>
                </c:pt>
                <c:pt idx="428">
                  <c:v>156.67613636363626</c:v>
                </c:pt>
                <c:pt idx="429">
                  <c:v>155.61285300771073</c:v>
                </c:pt>
                <c:pt idx="430">
                  <c:v>154.92698520330313</c:v>
                </c:pt>
                <c:pt idx="431">
                  <c:v>157.18041325765944</c:v>
                </c:pt>
                <c:pt idx="432">
                  <c:v>155.88206627680304</c:v>
                </c:pt>
                <c:pt idx="433">
                  <c:v>154.02431684121817</c:v>
                </c:pt>
                <c:pt idx="434">
                  <c:v>153.01490109784967</c:v>
                </c:pt>
                <c:pt idx="435">
                  <c:v>153.00026307607675</c:v>
                </c:pt>
                <c:pt idx="436">
                  <c:v>155.06592980414962</c:v>
                </c:pt>
                <c:pt idx="437">
                  <c:v>157.55978622269285</c:v>
                </c:pt>
              </c:numCache>
            </c:numRef>
          </c:val>
          <c:smooth val="0"/>
          <c:extLst>
            <c:ext xmlns:c16="http://schemas.microsoft.com/office/drawing/2014/chart" uri="{C3380CC4-5D6E-409C-BE32-E72D297353CC}">
              <c16:uniqueId val="{00000001-3F1F-43F1-8AAB-A7241745A478}"/>
            </c:ext>
          </c:extLst>
        </c:ser>
        <c:ser>
          <c:idx val="2"/>
          <c:order val="2"/>
          <c:tx>
            <c:strRef>
              <c:f>Sheet1!$D$1</c:f>
              <c:strCache>
                <c:ptCount val="1"/>
                <c:pt idx="0">
                  <c:v>RUB</c:v>
                </c:pt>
              </c:strCache>
            </c:strRef>
          </c:tx>
          <c:spPr>
            <a:ln w="28575" cap="rnd">
              <a:solidFill>
                <a:srgbClr val="C00000"/>
              </a:solidFill>
              <a:round/>
            </a:ln>
            <a:effectLst/>
          </c:spPr>
          <c:marker>
            <c:symbol val="none"/>
          </c:marker>
          <c:cat>
            <c:numRef>
              <c:f>Sheet1!$A$2:$A$439</c:f>
              <c:numCache>
                <c:formatCode>[$-2B]\ dd\/mmm\/yy</c:formatCode>
                <c:ptCount val="438"/>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pt idx="250">
                  <c:v>44564</c:v>
                </c:pt>
                <c:pt idx="251">
                  <c:v>44565</c:v>
                </c:pt>
                <c:pt idx="252">
                  <c:v>44566</c:v>
                </c:pt>
                <c:pt idx="253">
                  <c:v>44568</c:v>
                </c:pt>
                <c:pt idx="254">
                  <c:v>44571</c:v>
                </c:pt>
                <c:pt idx="255">
                  <c:v>44572</c:v>
                </c:pt>
                <c:pt idx="256">
                  <c:v>44573</c:v>
                </c:pt>
                <c:pt idx="257">
                  <c:v>44574</c:v>
                </c:pt>
                <c:pt idx="258">
                  <c:v>44575</c:v>
                </c:pt>
                <c:pt idx="259">
                  <c:v>44578</c:v>
                </c:pt>
                <c:pt idx="260">
                  <c:v>44579</c:v>
                </c:pt>
                <c:pt idx="261">
                  <c:v>44580</c:v>
                </c:pt>
                <c:pt idx="262">
                  <c:v>44581</c:v>
                </c:pt>
                <c:pt idx="263">
                  <c:v>44582</c:v>
                </c:pt>
                <c:pt idx="264">
                  <c:v>44585</c:v>
                </c:pt>
                <c:pt idx="265">
                  <c:v>44586</c:v>
                </c:pt>
                <c:pt idx="266">
                  <c:v>44587</c:v>
                </c:pt>
                <c:pt idx="267">
                  <c:v>44588</c:v>
                </c:pt>
                <c:pt idx="268">
                  <c:v>44589</c:v>
                </c:pt>
                <c:pt idx="269">
                  <c:v>44592</c:v>
                </c:pt>
                <c:pt idx="270">
                  <c:v>44593</c:v>
                </c:pt>
                <c:pt idx="271">
                  <c:v>44594</c:v>
                </c:pt>
                <c:pt idx="272">
                  <c:v>44595</c:v>
                </c:pt>
                <c:pt idx="273">
                  <c:v>44596</c:v>
                </c:pt>
                <c:pt idx="274">
                  <c:v>44599</c:v>
                </c:pt>
                <c:pt idx="275">
                  <c:v>44600</c:v>
                </c:pt>
                <c:pt idx="276">
                  <c:v>44601</c:v>
                </c:pt>
                <c:pt idx="277">
                  <c:v>44602</c:v>
                </c:pt>
                <c:pt idx="278">
                  <c:v>44603</c:v>
                </c:pt>
                <c:pt idx="279">
                  <c:v>44606</c:v>
                </c:pt>
                <c:pt idx="280">
                  <c:v>44607</c:v>
                </c:pt>
                <c:pt idx="281">
                  <c:v>44608</c:v>
                </c:pt>
                <c:pt idx="282">
                  <c:v>44609</c:v>
                </c:pt>
                <c:pt idx="283">
                  <c:v>44610</c:v>
                </c:pt>
                <c:pt idx="284">
                  <c:v>44613</c:v>
                </c:pt>
                <c:pt idx="285">
                  <c:v>44614</c:v>
                </c:pt>
                <c:pt idx="286">
                  <c:v>44615</c:v>
                </c:pt>
                <c:pt idx="287">
                  <c:v>44616</c:v>
                </c:pt>
                <c:pt idx="288">
                  <c:v>44617</c:v>
                </c:pt>
                <c:pt idx="289">
                  <c:v>44620</c:v>
                </c:pt>
                <c:pt idx="290">
                  <c:v>44621</c:v>
                </c:pt>
                <c:pt idx="291">
                  <c:v>44622</c:v>
                </c:pt>
                <c:pt idx="292">
                  <c:v>44623</c:v>
                </c:pt>
                <c:pt idx="293">
                  <c:v>44624</c:v>
                </c:pt>
                <c:pt idx="294">
                  <c:v>44627</c:v>
                </c:pt>
                <c:pt idx="295">
                  <c:v>44628</c:v>
                </c:pt>
                <c:pt idx="296">
                  <c:v>44629</c:v>
                </c:pt>
                <c:pt idx="297">
                  <c:v>44630</c:v>
                </c:pt>
                <c:pt idx="298">
                  <c:v>44631</c:v>
                </c:pt>
                <c:pt idx="299">
                  <c:v>44634</c:v>
                </c:pt>
                <c:pt idx="300">
                  <c:v>44635</c:v>
                </c:pt>
                <c:pt idx="301">
                  <c:v>44636</c:v>
                </c:pt>
                <c:pt idx="302">
                  <c:v>44637</c:v>
                </c:pt>
                <c:pt idx="303">
                  <c:v>44638</c:v>
                </c:pt>
                <c:pt idx="304">
                  <c:v>44641</c:v>
                </c:pt>
                <c:pt idx="305">
                  <c:v>44642</c:v>
                </c:pt>
                <c:pt idx="306">
                  <c:v>44643</c:v>
                </c:pt>
                <c:pt idx="307">
                  <c:v>44644</c:v>
                </c:pt>
                <c:pt idx="308">
                  <c:v>44645</c:v>
                </c:pt>
                <c:pt idx="309">
                  <c:v>44648</c:v>
                </c:pt>
                <c:pt idx="310">
                  <c:v>44649</c:v>
                </c:pt>
                <c:pt idx="311">
                  <c:v>44650</c:v>
                </c:pt>
                <c:pt idx="312">
                  <c:v>44651</c:v>
                </c:pt>
                <c:pt idx="313">
                  <c:v>44652</c:v>
                </c:pt>
                <c:pt idx="314">
                  <c:v>44655</c:v>
                </c:pt>
                <c:pt idx="315">
                  <c:v>44656</c:v>
                </c:pt>
                <c:pt idx="316">
                  <c:v>44657</c:v>
                </c:pt>
                <c:pt idx="317">
                  <c:v>44658</c:v>
                </c:pt>
                <c:pt idx="318">
                  <c:v>44659</c:v>
                </c:pt>
                <c:pt idx="319">
                  <c:v>44662</c:v>
                </c:pt>
                <c:pt idx="320">
                  <c:v>44663</c:v>
                </c:pt>
                <c:pt idx="321">
                  <c:v>44664</c:v>
                </c:pt>
                <c:pt idx="322">
                  <c:v>44665</c:v>
                </c:pt>
                <c:pt idx="323">
                  <c:v>44666</c:v>
                </c:pt>
                <c:pt idx="324">
                  <c:v>44669</c:v>
                </c:pt>
                <c:pt idx="325">
                  <c:v>44670</c:v>
                </c:pt>
                <c:pt idx="326">
                  <c:v>44671</c:v>
                </c:pt>
                <c:pt idx="327">
                  <c:v>44672</c:v>
                </c:pt>
                <c:pt idx="328">
                  <c:v>44673</c:v>
                </c:pt>
                <c:pt idx="329">
                  <c:v>44676</c:v>
                </c:pt>
                <c:pt idx="330">
                  <c:v>44677</c:v>
                </c:pt>
                <c:pt idx="331">
                  <c:v>44678</c:v>
                </c:pt>
                <c:pt idx="332">
                  <c:v>44679</c:v>
                </c:pt>
                <c:pt idx="333">
                  <c:v>44680</c:v>
                </c:pt>
                <c:pt idx="334">
                  <c:v>44683</c:v>
                </c:pt>
                <c:pt idx="335">
                  <c:v>44684</c:v>
                </c:pt>
                <c:pt idx="336">
                  <c:v>44685</c:v>
                </c:pt>
                <c:pt idx="337">
                  <c:v>44686</c:v>
                </c:pt>
                <c:pt idx="338">
                  <c:v>44687</c:v>
                </c:pt>
                <c:pt idx="339">
                  <c:v>44690</c:v>
                </c:pt>
                <c:pt idx="340">
                  <c:v>44691</c:v>
                </c:pt>
                <c:pt idx="341">
                  <c:v>44692</c:v>
                </c:pt>
                <c:pt idx="342">
                  <c:v>44693</c:v>
                </c:pt>
                <c:pt idx="343">
                  <c:v>44694</c:v>
                </c:pt>
                <c:pt idx="344">
                  <c:v>44697</c:v>
                </c:pt>
                <c:pt idx="345">
                  <c:v>44698</c:v>
                </c:pt>
                <c:pt idx="346">
                  <c:v>44699</c:v>
                </c:pt>
                <c:pt idx="347">
                  <c:v>44700</c:v>
                </c:pt>
                <c:pt idx="348">
                  <c:v>44701</c:v>
                </c:pt>
                <c:pt idx="349">
                  <c:v>44704</c:v>
                </c:pt>
                <c:pt idx="350">
                  <c:v>44705</c:v>
                </c:pt>
                <c:pt idx="351">
                  <c:v>44706</c:v>
                </c:pt>
                <c:pt idx="352">
                  <c:v>44707</c:v>
                </c:pt>
                <c:pt idx="353">
                  <c:v>44708</c:v>
                </c:pt>
                <c:pt idx="354">
                  <c:v>44711</c:v>
                </c:pt>
                <c:pt idx="355">
                  <c:v>44712</c:v>
                </c:pt>
                <c:pt idx="356">
                  <c:v>44713</c:v>
                </c:pt>
                <c:pt idx="357">
                  <c:v>44714</c:v>
                </c:pt>
                <c:pt idx="358">
                  <c:v>44715</c:v>
                </c:pt>
                <c:pt idx="359">
                  <c:v>44718</c:v>
                </c:pt>
                <c:pt idx="360">
                  <c:v>44719</c:v>
                </c:pt>
                <c:pt idx="361">
                  <c:v>44720</c:v>
                </c:pt>
                <c:pt idx="362">
                  <c:v>44721</c:v>
                </c:pt>
                <c:pt idx="363">
                  <c:v>44722</c:v>
                </c:pt>
                <c:pt idx="364">
                  <c:v>44725</c:v>
                </c:pt>
                <c:pt idx="365">
                  <c:v>44726</c:v>
                </c:pt>
                <c:pt idx="366">
                  <c:v>44727</c:v>
                </c:pt>
                <c:pt idx="367">
                  <c:v>44728</c:v>
                </c:pt>
                <c:pt idx="368">
                  <c:v>44729</c:v>
                </c:pt>
                <c:pt idx="369">
                  <c:v>44732</c:v>
                </c:pt>
                <c:pt idx="370">
                  <c:v>44733</c:v>
                </c:pt>
                <c:pt idx="371">
                  <c:v>44734</c:v>
                </c:pt>
                <c:pt idx="372">
                  <c:v>44735</c:v>
                </c:pt>
                <c:pt idx="373">
                  <c:v>44736</c:v>
                </c:pt>
                <c:pt idx="374">
                  <c:v>44739</c:v>
                </c:pt>
                <c:pt idx="375">
                  <c:v>44740</c:v>
                </c:pt>
                <c:pt idx="376">
                  <c:v>44741</c:v>
                </c:pt>
                <c:pt idx="377">
                  <c:v>44742</c:v>
                </c:pt>
                <c:pt idx="378">
                  <c:v>44743</c:v>
                </c:pt>
                <c:pt idx="379">
                  <c:v>44746</c:v>
                </c:pt>
                <c:pt idx="380">
                  <c:v>44747</c:v>
                </c:pt>
                <c:pt idx="381">
                  <c:v>44748</c:v>
                </c:pt>
                <c:pt idx="382">
                  <c:v>44749</c:v>
                </c:pt>
                <c:pt idx="383">
                  <c:v>44750</c:v>
                </c:pt>
                <c:pt idx="384">
                  <c:v>44753</c:v>
                </c:pt>
                <c:pt idx="385">
                  <c:v>44754</c:v>
                </c:pt>
                <c:pt idx="386">
                  <c:v>44755</c:v>
                </c:pt>
                <c:pt idx="387">
                  <c:v>44756</c:v>
                </c:pt>
                <c:pt idx="388">
                  <c:v>44757</c:v>
                </c:pt>
                <c:pt idx="389">
                  <c:v>44760</c:v>
                </c:pt>
                <c:pt idx="390">
                  <c:v>44761</c:v>
                </c:pt>
                <c:pt idx="391">
                  <c:v>44762</c:v>
                </c:pt>
                <c:pt idx="392">
                  <c:v>44763</c:v>
                </c:pt>
                <c:pt idx="393">
                  <c:v>44764</c:v>
                </c:pt>
                <c:pt idx="394">
                  <c:v>44767</c:v>
                </c:pt>
                <c:pt idx="395">
                  <c:v>44768</c:v>
                </c:pt>
                <c:pt idx="396">
                  <c:v>44769</c:v>
                </c:pt>
                <c:pt idx="397">
                  <c:v>44770</c:v>
                </c:pt>
                <c:pt idx="398">
                  <c:v>44771</c:v>
                </c:pt>
                <c:pt idx="399">
                  <c:v>44774</c:v>
                </c:pt>
                <c:pt idx="400">
                  <c:v>44775</c:v>
                </c:pt>
                <c:pt idx="401">
                  <c:v>44776</c:v>
                </c:pt>
                <c:pt idx="402">
                  <c:v>44777</c:v>
                </c:pt>
                <c:pt idx="403">
                  <c:v>44778</c:v>
                </c:pt>
                <c:pt idx="404">
                  <c:v>44781</c:v>
                </c:pt>
                <c:pt idx="405">
                  <c:v>44782</c:v>
                </c:pt>
                <c:pt idx="406">
                  <c:v>44783</c:v>
                </c:pt>
                <c:pt idx="407">
                  <c:v>44784</c:v>
                </c:pt>
                <c:pt idx="408">
                  <c:v>44785</c:v>
                </c:pt>
                <c:pt idx="409">
                  <c:v>44788</c:v>
                </c:pt>
                <c:pt idx="410">
                  <c:v>44789</c:v>
                </c:pt>
                <c:pt idx="411">
                  <c:v>44790</c:v>
                </c:pt>
                <c:pt idx="412">
                  <c:v>44791</c:v>
                </c:pt>
                <c:pt idx="413">
                  <c:v>44792</c:v>
                </c:pt>
                <c:pt idx="414">
                  <c:v>44795</c:v>
                </c:pt>
                <c:pt idx="415">
                  <c:v>44796</c:v>
                </c:pt>
                <c:pt idx="416">
                  <c:v>44797</c:v>
                </c:pt>
                <c:pt idx="417">
                  <c:v>44798</c:v>
                </c:pt>
                <c:pt idx="418">
                  <c:v>44799</c:v>
                </c:pt>
                <c:pt idx="419">
                  <c:v>44802</c:v>
                </c:pt>
                <c:pt idx="420">
                  <c:v>44803</c:v>
                </c:pt>
                <c:pt idx="421">
                  <c:v>44804</c:v>
                </c:pt>
                <c:pt idx="422">
                  <c:v>44805</c:v>
                </c:pt>
                <c:pt idx="423">
                  <c:v>44806</c:v>
                </c:pt>
                <c:pt idx="424">
                  <c:v>44809</c:v>
                </c:pt>
                <c:pt idx="425">
                  <c:v>44810</c:v>
                </c:pt>
                <c:pt idx="426">
                  <c:v>44811</c:v>
                </c:pt>
                <c:pt idx="427">
                  <c:v>44812</c:v>
                </c:pt>
                <c:pt idx="428">
                  <c:v>44813</c:v>
                </c:pt>
                <c:pt idx="429">
                  <c:v>44816</c:v>
                </c:pt>
                <c:pt idx="430">
                  <c:v>44817</c:v>
                </c:pt>
                <c:pt idx="431">
                  <c:v>44818</c:v>
                </c:pt>
                <c:pt idx="432">
                  <c:v>44819</c:v>
                </c:pt>
                <c:pt idx="433">
                  <c:v>44820</c:v>
                </c:pt>
                <c:pt idx="434">
                  <c:v>44823</c:v>
                </c:pt>
                <c:pt idx="435">
                  <c:v>44824</c:v>
                </c:pt>
                <c:pt idx="436">
                  <c:v>44826</c:v>
                </c:pt>
                <c:pt idx="437">
                  <c:v>44827</c:v>
                </c:pt>
              </c:numCache>
            </c:numRef>
          </c:cat>
          <c:val>
            <c:numRef>
              <c:f>Sheet1!$D$2:$D$439</c:f>
              <c:numCache>
                <c:formatCode>0</c:formatCode>
                <c:ptCount val="438"/>
                <c:pt idx="0">
                  <c:v>100</c:v>
                </c:pt>
                <c:pt idx="1">
                  <c:v>99.857752489331432</c:v>
                </c:pt>
                <c:pt idx="2">
                  <c:v>99.012693935119884</c:v>
                </c:pt>
                <c:pt idx="3">
                  <c:v>98.319327731092443</c:v>
                </c:pt>
                <c:pt idx="4">
                  <c:v>98.044692737430168</c:v>
                </c:pt>
                <c:pt idx="5">
                  <c:v>98.457223001402539</c:v>
                </c:pt>
                <c:pt idx="6">
                  <c:v>99.857752489331446</c:v>
                </c:pt>
                <c:pt idx="7">
                  <c:v>99.715909090909108</c:v>
                </c:pt>
                <c:pt idx="8">
                  <c:v>99.152542372881371</c:v>
                </c:pt>
                <c:pt idx="9">
                  <c:v>99.574468085106403</c:v>
                </c:pt>
                <c:pt idx="10">
                  <c:v>101.00719424460434</c:v>
                </c:pt>
                <c:pt idx="11">
                  <c:v>102.03488372093027</c:v>
                </c:pt>
                <c:pt idx="12">
                  <c:v>102.33236151603501</c:v>
                </c:pt>
                <c:pt idx="13">
                  <c:v>101.88679245283022</c:v>
                </c:pt>
                <c:pt idx="14">
                  <c:v>103.23529411764709</c:v>
                </c:pt>
                <c:pt idx="15">
                  <c:v>102.18340611353715</c:v>
                </c:pt>
                <c:pt idx="16">
                  <c:v>102.63157894736847</c:v>
                </c:pt>
                <c:pt idx="17">
                  <c:v>102.63157894736847</c:v>
                </c:pt>
                <c:pt idx="18">
                  <c:v>101.73913043478265</c:v>
                </c:pt>
                <c:pt idx="19">
                  <c:v>101.00719424460436</c:v>
                </c:pt>
                <c:pt idx="20">
                  <c:v>100.14265335235383</c:v>
                </c:pt>
                <c:pt idx="21">
                  <c:v>99.433427762039713</c:v>
                </c:pt>
                <c:pt idx="22">
                  <c:v>99.012693935119941</c:v>
                </c:pt>
                <c:pt idx="23">
                  <c:v>98.734177215189916</c:v>
                </c:pt>
                <c:pt idx="24">
                  <c:v>99.433427762039727</c:v>
                </c:pt>
                <c:pt idx="25">
                  <c:v>98.044692737430225</c:v>
                </c:pt>
                <c:pt idx="26">
                  <c:v>98.044692737430225</c:v>
                </c:pt>
                <c:pt idx="27">
                  <c:v>98.734177215189931</c:v>
                </c:pt>
                <c:pt idx="28">
                  <c:v>98.595505617977594</c:v>
                </c:pt>
                <c:pt idx="29">
                  <c:v>98.873239436619784</c:v>
                </c:pt>
                <c:pt idx="30">
                  <c:v>99.857752489331489</c:v>
                </c:pt>
                <c:pt idx="31">
                  <c:v>99.152542372881399</c:v>
                </c:pt>
                <c:pt idx="32">
                  <c:v>98.044692737430211</c:v>
                </c:pt>
                <c:pt idx="33">
                  <c:v>98.044692737430211</c:v>
                </c:pt>
                <c:pt idx="34">
                  <c:v>99.152542372881413</c:v>
                </c:pt>
                <c:pt idx="35">
                  <c:v>98.457223001402582</c:v>
                </c:pt>
                <c:pt idx="36">
                  <c:v>99.292786421499329</c:v>
                </c:pt>
                <c:pt idx="37">
                  <c:v>98.319327731092471</c:v>
                </c:pt>
                <c:pt idx="38">
                  <c:v>98.734177215189902</c:v>
                </c:pt>
                <c:pt idx="39">
                  <c:v>99.857752489331475</c:v>
                </c:pt>
                <c:pt idx="40">
                  <c:v>98.87323943661977</c:v>
                </c:pt>
                <c:pt idx="41">
                  <c:v>98.734177215189916</c:v>
                </c:pt>
                <c:pt idx="42">
                  <c:v>98.044692737430211</c:v>
                </c:pt>
                <c:pt idx="43">
                  <c:v>98.181818181818215</c:v>
                </c:pt>
                <c:pt idx="44">
                  <c:v>97.364771151178957</c:v>
                </c:pt>
                <c:pt idx="45">
                  <c:v>96.961325966850865</c:v>
                </c:pt>
                <c:pt idx="46">
                  <c:v>97.229916897506953</c:v>
                </c:pt>
                <c:pt idx="47">
                  <c:v>98.044692737430182</c:v>
                </c:pt>
                <c:pt idx="48">
                  <c:v>98.595505617977537</c:v>
                </c:pt>
                <c:pt idx="49">
                  <c:v>99.012693935119898</c:v>
                </c:pt>
                <c:pt idx="50">
                  <c:v>101.2987012987013</c:v>
                </c:pt>
                <c:pt idx="51">
                  <c:v>100.71736011477762</c:v>
                </c:pt>
                <c:pt idx="52">
                  <c:v>100.86206896551724</c:v>
                </c:pt>
                <c:pt idx="53">
                  <c:v>100.57306590257879</c:v>
                </c:pt>
                <c:pt idx="54">
                  <c:v>100.57306590257879</c:v>
                </c:pt>
                <c:pt idx="55">
                  <c:v>100.42918454935622</c:v>
                </c:pt>
                <c:pt idx="56">
                  <c:v>100.00000000000001</c:v>
                </c:pt>
                <c:pt idx="57">
                  <c:v>100.14265335235379</c:v>
                </c:pt>
                <c:pt idx="58">
                  <c:v>100.28571428571429</c:v>
                </c:pt>
                <c:pt idx="59">
                  <c:v>100.42918454935622</c:v>
                </c:pt>
                <c:pt idx="60">
                  <c:v>100.28571428571428</c:v>
                </c:pt>
                <c:pt idx="61">
                  <c:v>101.44508670520231</c:v>
                </c:pt>
                <c:pt idx="62">
                  <c:v>100.71736011477762</c:v>
                </c:pt>
                <c:pt idx="63">
                  <c:v>101.7391304347826</c:v>
                </c:pt>
                <c:pt idx="64">
                  <c:v>102.7818448023426</c:v>
                </c:pt>
                <c:pt idx="65">
                  <c:v>104.30906389301634</c:v>
                </c:pt>
                <c:pt idx="66">
                  <c:v>102.33236151603499</c:v>
                </c:pt>
                <c:pt idx="67">
                  <c:v>103.38733431516937</c:v>
                </c:pt>
                <c:pt idx="68">
                  <c:v>101.88679245283019</c:v>
                </c:pt>
                <c:pt idx="69">
                  <c:v>102.1834061135371</c:v>
                </c:pt>
                <c:pt idx="70">
                  <c:v>102.48175182481751</c:v>
                </c:pt>
                <c:pt idx="71">
                  <c:v>103.38733431516935</c:v>
                </c:pt>
                <c:pt idx="72">
                  <c:v>102.33236151603498</c:v>
                </c:pt>
                <c:pt idx="73">
                  <c:v>101.15273775216139</c:v>
                </c:pt>
                <c:pt idx="74">
                  <c:v>101.00719424460432</c:v>
                </c:pt>
                <c:pt idx="75">
                  <c:v>101.15273775216139</c:v>
                </c:pt>
                <c:pt idx="76">
                  <c:v>101.00719424460432</c:v>
                </c:pt>
                <c:pt idx="77">
                  <c:v>100.14265335235379</c:v>
                </c:pt>
                <c:pt idx="78">
                  <c:v>101.00719424460431</c:v>
                </c:pt>
                <c:pt idx="79">
                  <c:v>102.18340611353712</c:v>
                </c:pt>
                <c:pt idx="80">
                  <c:v>101.2987012987013</c:v>
                </c:pt>
                <c:pt idx="81">
                  <c:v>100.71736011477762</c:v>
                </c:pt>
                <c:pt idx="82">
                  <c:v>100.42918454935622</c:v>
                </c:pt>
                <c:pt idx="83">
                  <c:v>99.574468085106389</c:v>
                </c:pt>
                <c:pt idx="84">
                  <c:v>99.43342776203967</c:v>
                </c:pt>
                <c:pt idx="85">
                  <c:v>99.43342776203967</c:v>
                </c:pt>
                <c:pt idx="86">
                  <c:v>99.857752489331432</c:v>
                </c:pt>
                <c:pt idx="87">
                  <c:v>99.857752489331432</c:v>
                </c:pt>
                <c:pt idx="88">
                  <c:v>99.43342776203967</c:v>
                </c:pt>
                <c:pt idx="89">
                  <c:v>99.43342776203967</c:v>
                </c:pt>
                <c:pt idx="90">
                  <c:v>99.152542372881356</c:v>
                </c:pt>
                <c:pt idx="91">
                  <c:v>99.292786421499287</c:v>
                </c:pt>
                <c:pt idx="92">
                  <c:v>99.292786421499287</c:v>
                </c:pt>
                <c:pt idx="93">
                  <c:v>99.012693935119898</c:v>
                </c:pt>
                <c:pt idx="94">
                  <c:v>99.292786421499287</c:v>
                </c:pt>
                <c:pt idx="95">
                  <c:v>98.873239436619727</c:v>
                </c:pt>
                <c:pt idx="96">
                  <c:v>99.152542372881356</c:v>
                </c:pt>
                <c:pt idx="97">
                  <c:v>99.012693935119884</c:v>
                </c:pt>
                <c:pt idx="98">
                  <c:v>99.012693935119884</c:v>
                </c:pt>
                <c:pt idx="99">
                  <c:v>99.152542372881356</c:v>
                </c:pt>
                <c:pt idx="100">
                  <c:v>99.152542372881356</c:v>
                </c:pt>
                <c:pt idx="101">
                  <c:v>98.734177215189874</c:v>
                </c:pt>
                <c:pt idx="102">
                  <c:v>98.873239436619713</c:v>
                </c:pt>
                <c:pt idx="103">
                  <c:v>98.319327731092429</c:v>
                </c:pt>
                <c:pt idx="104">
                  <c:v>98.181818181818159</c:v>
                </c:pt>
                <c:pt idx="105">
                  <c:v>97.499999999999986</c:v>
                </c:pt>
                <c:pt idx="106">
                  <c:v>97.635605006954094</c:v>
                </c:pt>
                <c:pt idx="107">
                  <c:v>96.961325966850822</c:v>
                </c:pt>
                <c:pt idx="108">
                  <c:v>98.181818181818173</c:v>
                </c:pt>
                <c:pt idx="109">
                  <c:v>97.771587743732582</c:v>
                </c:pt>
                <c:pt idx="110">
                  <c:v>98.044692737430168</c:v>
                </c:pt>
                <c:pt idx="111">
                  <c:v>99.012693935119884</c:v>
                </c:pt>
                <c:pt idx="112">
                  <c:v>98.595505617977523</c:v>
                </c:pt>
                <c:pt idx="113">
                  <c:v>99.857752489331432</c:v>
                </c:pt>
                <c:pt idx="114">
                  <c:v>100.14265335235378</c:v>
                </c:pt>
                <c:pt idx="115">
                  <c:v>99.574468085106375</c:v>
                </c:pt>
                <c:pt idx="116">
                  <c:v>99.857752489331418</c:v>
                </c:pt>
                <c:pt idx="117">
                  <c:v>101.44508670520229</c:v>
                </c:pt>
                <c:pt idx="118">
                  <c:v>101.88679245283018</c:v>
                </c:pt>
                <c:pt idx="119">
                  <c:v>102.63157894736841</c:v>
                </c:pt>
                <c:pt idx="120">
                  <c:v>103.53982300884955</c:v>
                </c:pt>
                <c:pt idx="121">
                  <c:v>103.23529411764706</c:v>
                </c:pt>
                <c:pt idx="122">
                  <c:v>104.46428571428571</c:v>
                </c:pt>
                <c:pt idx="123">
                  <c:v>103.99999999999999</c:v>
                </c:pt>
                <c:pt idx="124">
                  <c:v>105.24737631184408</c:v>
                </c:pt>
                <c:pt idx="125">
                  <c:v>106.36363636363637</c:v>
                </c:pt>
                <c:pt idx="126">
                  <c:v>105.24737631184409</c:v>
                </c:pt>
                <c:pt idx="127">
                  <c:v>105.72289156626508</c:v>
                </c:pt>
                <c:pt idx="128">
                  <c:v>104.77611940298507</c:v>
                </c:pt>
                <c:pt idx="129">
                  <c:v>104.93273542600897</c:v>
                </c:pt>
                <c:pt idx="130">
                  <c:v>104.93273542600897</c:v>
                </c:pt>
                <c:pt idx="131">
                  <c:v>105.08982035928146</c:v>
                </c:pt>
                <c:pt idx="132">
                  <c:v>106.20272314674736</c:v>
                </c:pt>
                <c:pt idx="133">
                  <c:v>106.52503793626708</c:v>
                </c:pt>
                <c:pt idx="134">
                  <c:v>107.01219512195124</c:v>
                </c:pt>
                <c:pt idx="135">
                  <c:v>106.84931506849315</c:v>
                </c:pt>
                <c:pt idx="136">
                  <c:v>106.84931506849315</c:v>
                </c:pt>
                <c:pt idx="137">
                  <c:v>107.66871165644173</c:v>
                </c:pt>
                <c:pt idx="138">
                  <c:v>107.50382848392037</c:v>
                </c:pt>
                <c:pt idx="139">
                  <c:v>107.01219512195124</c:v>
                </c:pt>
                <c:pt idx="140">
                  <c:v>106.04229607250757</c:v>
                </c:pt>
                <c:pt idx="141">
                  <c:v>105.40540540540542</c:v>
                </c:pt>
                <c:pt idx="142">
                  <c:v>104.93273542600897</c:v>
                </c:pt>
                <c:pt idx="143">
                  <c:v>104.15430267062315</c:v>
                </c:pt>
                <c:pt idx="144">
                  <c:v>103.84615384615387</c:v>
                </c:pt>
                <c:pt idx="145">
                  <c:v>104.00000000000001</c:v>
                </c:pt>
                <c:pt idx="146">
                  <c:v>104.30906389301636</c:v>
                </c:pt>
                <c:pt idx="147">
                  <c:v>104.93273542600899</c:v>
                </c:pt>
                <c:pt idx="148">
                  <c:v>105.24737631184409</c:v>
                </c:pt>
                <c:pt idx="149">
                  <c:v>105.88235294117648</c:v>
                </c:pt>
                <c:pt idx="150">
                  <c:v>104.93273542600897</c:v>
                </c:pt>
                <c:pt idx="151">
                  <c:v>104.77611940298509</c:v>
                </c:pt>
                <c:pt idx="152">
                  <c:v>104.6199701937407</c:v>
                </c:pt>
                <c:pt idx="153">
                  <c:v>104.77611940298509</c:v>
                </c:pt>
                <c:pt idx="154">
                  <c:v>105.08982035928145</c:v>
                </c:pt>
                <c:pt idx="155">
                  <c:v>106.04229607250757</c:v>
                </c:pt>
                <c:pt idx="156">
                  <c:v>106.68693009118542</c:v>
                </c:pt>
                <c:pt idx="157">
                  <c:v>106.04229607250755</c:v>
                </c:pt>
                <c:pt idx="158">
                  <c:v>105.72289156626508</c:v>
                </c:pt>
                <c:pt idx="159">
                  <c:v>105.08982035928145</c:v>
                </c:pt>
                <c:pt idx="160">
                  <c:v>105.40540540540542</c:v>
                </c:pt>
                <c:pt idx="161">
                  <c:v>105.24737631184409</c:v>
                </c:pt>
                <c:pt idx="162">
                  <c:v>104.77611940298509</c:v>
                </c:pt>
                <c:pt idx="163">
                  <c:v>104.30906389301636</c:v>
                </c:pt>
                <c:pt idx="164">
                  <c:v>104.00000000000001</c:v>
                </c:pt>
                <c:pt idx="165">
                  <c:v>103.53982300884957</c:v>
                </c:pt>
                <c:pt idx="166">
                  <c:v>103.53982300884957</c:v>
                </c:pt>
                <c:pt idx="167">
                  <c:v>103.84615384615387</c:v>
                </c:pt>
                <c:pt idx="168">
                  <c:v>104.15430267062317</c:v>
                </c:pt>
                <c:pt idx="169">
                  <c:v>104.46428571428574</c:v>
                </c:pt>
                <c:pt idx="170">
                  <c:v>104.00000000000001</c:v>
                </c:pt>
                <c:pt idx="171">
                  <c:v>103.69276218611523</c:v>
                </c:pt>
                <c:pt idx="172">
                  <c:v>104.15430267062315</c:v>
                </c:pt>
                <c:pt idx="173">
                  <c:v>104.46428571428572</c:v>
                </c:pt>
                <c:pt idx="174">
                  <c:v>104.61997019374068</c:v>
                </c:pt>
                <c:pt idx="175">
                  <c:v>104.46428571428571</c:v>
                </c:pt>
                <c:pt idx="176">
                  <c:v>105.08982035928142</c:v>
                </c:pt>
                <c:pt idx="177">
                  <c:v>105.56390977443606</c:v>
                </c:pt>
                <c:pt idx="178">
                  <c:v>105.40540540540538</c:v>
                </c:pt>
                <c:pt idx="179">
                  <c:v>106.20272314674733</c:v>
                </c:pt>
                <c:pt idx="180">
                  <c:v>106.36363636363636</c:v>
                </c:pt>
                <c:pt idx="181">
                  <c:v>105.88235294117646</c:v>
                </c:pt>
                <c:pt idx="182">
                  <c:v>105.72289156626505</c:v>
                </c:pt>
                <c:pt idx="183">
                  <c:v>105.56390977443607</c:v>
                </c:pt>
                <c:pt idx="184">
                  <c:v>105.40540540540539</c:v>
                </c:pt>
                <c:pt idx="185">
                  <c:v>105.72289156626505</c:v>
                </c:pt>
                <c:pt idx="186">
                  <c:v>105.56390977443607</c:v>
                </c:pt>
                <c:pt idx="187">
                  <c:v>105.24737631184406</c:v>
                </c:pt>
                <c:pt idx="188">
                  <c:v>105.72289156626505</c:v>
                </c:pt>
                <c:pt idx="189">
                  <c:v>105.40540540540539</c:v>
                </c:pt>
                <c:pt idx="190">
                  <c:v>105.56390977443606</c:v>
                </c:pt>
                <c:pt idx="191">
                  <c:v>105.0898203592814</c:v>
                </c:pt>
                <c:pt idx="192">
                  <c:v>105.40540540540538</c:v>
                </c:pt>
                <c:pt idx="193">
                  <c:v>105.0898203592814</c:v>
                </c:pt>
                <c:pt idx="194">
                  <c:v>104.93273542600893</c:v>
                </c:pt>
                <c:pt idx="195">
                  <c:v>104.46428571428569</c:v>
                </c:pt>
                <c:pt idx="196">
                  <c:v>104.61997019374066</c:v>
                </c:pt>
                <c:pt idx="197">
                  <c:v>104.15430267062311</c:v>
                </c:pt>
                <c:pt idx="198">
                  <c:v>104.61997019374066</c:v>
                </c:pt>
                <c:pt idx="199">
                  <c:v>104.77611940298505</c:v>
                </c:pt>
                <c:pt idx="200">
                  <c:v>103.99999999999997</c:v>
                </c:pt>
                <c:pt idx="201">
                  <c:v>103.23529411764703</c:v>
                </c:pt>
                <c:pt idx="202">
                  <c:v>102.0348837209302</c:v>
                </c:pt>
                <c:pt idx="203">
                  <c:v>103.53982300884951</c:v>
                </c:pt>
                <c:pt idx="204">
                  <c:v>103.38733431516933</c:v>
                </c:pt>
                <c:pt idx="205">
                  <c:v>103.69276218611517</c:v>
                </c:pt>
                <c:pt idx="206">
                  <c:v>104.1543026706231</c:v>
                </c:pt>
                <c:pt idx="207">
                  <c:v>105.72289156626503</c:v>
                </c:pt>
                <c:pt idx="208">
                  <c:v>105.72289156626503</c:v>
                </c:pt>
                <c:pt idx="209">
                  <c:v>105.56390977443606</c:v>
                </c:pt>
                <c:pt idx="210">
                  <c:v>105.72289156626503</c:v>
                </c:pt>
                <c:pt idx="211">
                  <c:v>105.24737631184405</c:v>
                </c:pt>
                <c:pt idx="212">
                  <c:v>104.77611940298505</c:v>
                </c:pt>
                <c:pt idx="213">
                  <c:v>104.30906389301632</c:v>
                </c:pt>
                <c:pt idx="214">
                  <c:v>104.77611940298505</c:v>
                </c:pt>
                <c:pt idx="215">
                  <c:v>106.52503793626704</c:v>
                </c:pt>
                <c:pt idx="216">
                  <c:v>106.84931506849311</c:v>
                </c:pt>
                <c:pt idx="217">
                  <c:v>107.17557251908394</c:v>
                </c:pt>
                <c:pt idx="218">
                  <c:v>107.33944954128437</c:v>
                </c:pt>
                <c:pt idx="219">
                  <c:v>107.33944954128437</c:v>
                </c:pt>
                <c:pt idx="220">
                  <c:v>107.99999999999997</c:v>
                </c:pt>
                <c:pt idx="221">
                  <c:v>109.17573872472781</c:v>
                </c:pt>
                <c:pt idx="222">
                  <c:v>110.20408163265301</c:v>
                </c:pt>
                <c:pt idx="223">
                  <c:v>109.68749999999994</c:v>
                </c:pt>
                <c:pt idx="224">
                  <c:v>109.00621118012417</c:v>
                </c:pt>
                <c:pt idx="225">
                  <c:v>110.03134796238241</c:v>
                </c:pt>
                <c:pt idx="226">
                  <c:v>108.3333333333333</c:v>
                </c:pt>
                <c:pt idx="227">
                  <c:v>107.99999999999997</c:v>
                </c:pt>
                <c:pt idx="228">
                  <c:v>106.36363636363633</c:v>
                </c:pt>
                <c:pt idx="229">
                  <c:v>106.2027231467473</c:v>
                </c:pt>
                <c:pt idx="230">
                  <c:v>105.56390977443604</c:v>
                </c:pt>
                <c:pt idx="231">
                  <c:v>105.40540540540536</c:v>
                </c:pt>
                <c:pt idx="232">
                  <c:v>106.0422960725075</c:v>
                </c:pt>
                <c:pt idx="233">
                  <c:v>104.77611940298502</c:v>
                </c:pt>
                <c:pt idx="234">
                  <c:v>104.46428571428565</c:v>
                </c:pt>
                <c:pt idx="235">
                  <c:v>104.15430267062307</c:v>
                </c:pt>
                <c:pt idx="236">
                  <c:v>104.15430267062307</c:v>
                </c:pt>
                <c:pt idx="237">
                  <c:v>105.72289156626501</c:v>
                </c:pt>
                <c:pt idx="238">
                  <c:v>107.50382848392032</c:v>
                </c:pt>
                <c:pt idx="239">
                  <c:v>107.50382848392032</c:v>
                </c:pt>
                <c:pt idx="240">
                  <c:v>107.50382848392032</c:v>
                </c:pt>
                <c:pt idx="241">
                  <c:v>108.50077279752699</c:v>
                </c:pt>
                <c:pt idx="242">
                  <c:v>107.83410138248843</c:v>
                </c:pt>
                <c:pt idx="243">
                  <c:v>108.16640986132505</c:v>
                </c:pt>
                <c:pt idx="244">
                  <c:v>107.66871165644167</c:v>
                </c:pt>
                <c:pt idx="245">
                  <c:v>107.83410138248844</c:v>
                </c:pt>
                <c:pt idx="246">
                  <c:v>107.83410138248844</c:v>
                </c:pt>
                <c:pt idx="247">
                  <c:v>108.16640986132506</c:v>
                </c:pt>
                <c:pt idx="248">
                  <c:v>107.99999999999996</c:v>
                </c:pt>
                <c:pt idx="249">
                  <c:v>109.34579439252332</c:v>
                </c:pt>
                <c:pt idx="250">
                  <c:v>108.33333333333329</c:v>
                </c:pt>
                <c:pt idx="251">
                  <c:v>109.00621118012417</c:v>
                </c:pt>
                <c:pt idx="252">
                  <c:v>110.204081632653</c:v>
                </c:pt>
                <c:pt idx="253">
                  <c:v>110.03134796238238</c:v>
                </c:pt>
                <c:pt idx="254">
                  <c:v>109.00621118012415</c:v>
                </c:pt>
                <c:pt idx="255">
                  <c:v>109.00621118012415</c:v>
                </c:pt>
                <c:pt idx="256">
                  <c:v>108.50077279752699</c:v>
                </c:pt>
                <c:pt idx="257">
                  <c:v>109.00621118012415</c:v>
                </c:pt>
                <c:pt idx="258">
                  <c:v>111.07594936708855</c:v>
                </c:pt>
                <c:pt idx="259">
                  <c:v>111.42857142857137</c:v>
                </c:pt>
                <c:pt idx="260">
                  <c:v>111.78343949044579</c:v>
                </c:pt>
                <c:pt idx="261">
                  <c:v>111.42857142857137</c:v>
                </c:pt>
                <c:pt idx="262">
                  <c:v>111.60572337042919</c:v>
                </c:pt>
                <c:pt idx="263">
                  <c:v>111.42857142857136</c:v>
                </c:pt>
                <c:pt idx="264">
                  <c:v>113.77633711507286</c:v>
                </c:pt>
                <c:pt idx="265">
                  <c:v>114.33224755700319</c:v>
                </c:pt>
                <c:pt idx="266">
                  <c:v>115.08196721311467</c:v>
                </c:pt>
                <c:pt idx="267">
                  <c:v>114.51876019575847</c:v>
                </c:pt>
                <c:pt idx="268">
                  <c:v>112.68057784911707</c:v>
                </c:pt>
                <c:pt idx="269">
                  <c:v>111.78343949044576</c:v>
                </c:pt>
                <c:pt idx="270">
                  <c:v>111.0759493670885</c:v>
                </c:pt>
                <c:pt idx="271">
                  <c:v>111.42857142857132</c:v>
                </c:pt>
                <c:pt idx="272">
                  <c:v>110.72555205047308</c:v>
                </c:pt>
                <c:pt idx="273">
                  <c:v>110.20408163265296</c:v>
                </c:pt>
                <c:pt idx="274">
                  <c:v>110.20408163265296</c:v>
                </c:pt>
                <c:pt idx="275">
                  <c:v>109.51638065522611</c:v>
                </c:pt>
                <c:pt idx="276">
                  <c:v>109.51638065522611</c:v>
                </c:pt>
                <c:pt idx="277">
                  <c:v>110.03134796238236</c:v>
                </c:pt>
                <c:pt idx="278">
                  <c:v>113.4087237479805</c:v>
                </c:pt>
                <c:pt idx="279">
                  <c:v>110.72555205047308</c:v>
                </c:pt>
                <c:pt idx="280">
                  <c:v>110.03134796238234</c:v>
                </c:pt>
                <c:pt idx="281">
                  <c:v>111.42857142857132</c:v>
                </c:pt>
                <c:pt idx="282">
                  <c:v>111.07594936708848</c:v>
                </c:pt>
                <c:pt idx="283">
                  <c:v>112.86173633440502</c:v>
                </c:pt>
                <c:pt idx="284">
                  <c:v>117.19532554257081</c:v>
                </c:pt>
                <c:pt idx="285">
                  <c:v>116.41791044776106</c:v>
                </c:pt>
                <c:pt idx="286">
                  <c:v>123.37434094903325</c:v>
                </c:pt>
                <c:pt idx="287">
                  <c:v>121.4532871972317</c:v>
                </c:pt>
                <c:pt idx="288">
                  <c:v>146.55532359081406</c:v>
                </c:pt>
                <c:pt idx="289">
                  <c:v>147.16981132075458</c:v>
                </c:pt>
                <c:pt idx="290">
                  <c:v>153.61050328227554</c:v>
                </c:pt>
                <c:pt idx="291">
                  <c:v>164.78873239436604</c:v>
                </c:pt>
                <c:pt idx="292">
                  <c:v>153.61050328227554</c:v>
                </c:pt>
                <c:pt idx="293">
                  <c:v>187.70053475935808</c:v>
                </c:pt>
                <c:pt idx="294">
                  <c:v>161.75115207373256</c:v>
                </c:pt>
                <c:pt idx="295">
                  <c:v>160.64073226544605</c:v>
                </c:pt>
                <c:pt idx="296">
                  <c:v>154.28571428571411</c:v>
                </c:pt>
                <c:pt idx="297">
                  <c:v>150.64377682403415</c:v>
                </c:pt>
                <c:pt idx="298">
                  <c:v>152.2776572668111</c:v>
                </c:pt>
                <c:pt idx="299">
                  <c:v>150.9677419354837</c:v>
                </c:pt>
                <c:pt idx="300">
                  <c:v>150.9677419354837</c:v>
                </c:pt>
                <c:pt idx="301">
                  <c:v>146.55532359081403</c:v>
                </c:pt>
                <c:pt idx="302">
                  <c:v>149.68017057569278</c:v>
                </c:pt>
                <c:pt idx="303">
                  <c:v>149.99999999999986</c:v>
                </c:pt>
                <c:pt idx="304">
                  <c:v>147.16981132075458</c:v>
                </c:pt>
                <c:pt idx="305">
                  <c:v>136.57587548638119</c:v>
                </c:pt>
                <c:pt idx="306">
                  <c:v>134.2256214149138</c:v>
                </c:pt>
                <c:pt idx="307">
                  <c:v>134.2256214149138</c:v>
                </c:pt>
                <c:pt idx="308">
                  <c:v>121.66377816291148</c:v>
                </c:pt>
                <c:pt idx="309">
                  <c:v>120.41166380789009</c:v>
                </c:pt>
                <c:pt idx="310">
                  <c:v>117.39130434782595</c:v>
                </c:pt>
                <c:pt idx="311">
                  <c:v>120.82616179001708</c:v>
                </c:pt>
                <c:pt idx="312">
                  <c:v>120.82616179001708</c:v>
                </c:pt>
                <c:pt idx="313">
                  <c:v>121.24352331606204</c:v>
                </c:pt>
                <c:pt idx="314">
                  <c:v>119.99999999999987</c:v>
                </c:pt>
                <c:pt idx="315">
                  <c:v>112.14057507987208</c:v>
                </c:pt>
                <c:pt idx="316">
                  <c:v>110.20408163265294</c:v>
                </c:pt>
                <c:pt idx="317">
                  <c:v>115.84158415841573</c:v>
                </c:pt>
                <c:pt idx="318">
                  <c:v>117.78523489932874</c:v>
                </c:pt>
                <c:pt idx="319">
                  <c:v>118.78172588832476</c:v>
                </c:pt>
                <c:pt idx="320">
                  <c:v>121.24352331606207</c:v>
                </c:pt>
                <c:pt idx="321">
                  <c:v>119.18505942275033</c:v>
                </c:pt>
                <c:pt idx="322">
                  <c:v>117.58793969849236</c:v>
                </c:pt>
                <c:pt idx="323">
                  <c:v>117.78523489932876</c:v>
                </c:pt>
                <c:pt idx="324">
                  <c:v>115.65074135090599</c:v>
                </c:pt>
                <c:pt idx="325">
                  <c:v>111.42857142857133</c:v>
                </c:pt>
                <c:pt idx="326">
                  <c:v>109.68749999999989</c:v>
                </c:pt>
                <c:pt idx="327">
                  <c:v>110.03134796238234</c:v>
                </c:pt>
                <c:pt idx="328">
                  <c:v>109.85915492957737</c:v>
                </c:pt>
                <c:pt idx="329">
                  <c:v>111.0759493670885</c:v>
                </c:pt>
                <c:pt idx="330">
                  <c:v>111.0759493670885</c:v>
                </c:pt>
                <c:pt idx="331">
                  <c:v>109.6874999999999</c:v>
                </c:pt>
                <c:pt idx="332">
                  <c:v>110.7255520504731</c:v>
                </c:pt>
                <c:pt idx="333">
                  <c:v>107.8341013824884</c:v>
                </c:pt>
                <c:pt idx="334">
                  <c:v>106.20272314674727</c:v>
                </c:pt>
                <c:pt idx="335">
                  <c:v>99.999999999999943</c:v>
                </c:pt>
                <c:pt idx="336">
                  <c:v>99.152542372881285</c:v>
                </c:pt>
                <c:pt idx="337">
                  <c:v>103.08370044052857</c:v>
                </c:pt>
                <c:pt idx="338">
                  <c:v>102.33236151603491</c:v>
                </c:pt>
                <c:pt idx="339">
                  <c:v>99.999999999999943</c:v>
                </c:pt>
                <c:pt idx="340">
                  <c:v>99.29278642149923</c:v>
                </c:pt>
                <c:pt idx="341">
                  <c:v>97.364771151178857</c:v>
                </c:pt>
                <c:pt idx="342">
                  <c:v>97.771587743732525</c:v>
                </c:pt>
                <c:pt idx="343">
                  <c:v>97.229916897506854</c:v>
                </c:pt>
                <c:pt idx="344">
                  <c:v>94.864864864864785</c:v>
                </c:pt>
                <c:pt idx="345">
                  <c:v>89.884763124199679</c:v>
                </c:pt>
                <c:pt idx="346">
                  <c:v>88.973384030418188</c:v>
                </c:pt>
                <c:pt idx="347">
                  <c:v>87.531172069825374</c:v>
                </c:pt>
                <c:pt idx="348">
                  <c:v>87.313432835820834</c:v>
                </c:pt>
                <c:pt idx="349">
                  <c:v>99.715909090909008</c:v>
                </c:pt>
                <c:pt idx="350">
                  <c:v>102.78184480234252</c:v>
                </c:pt>
                <c:pt idx="351">
                  <c:v>95.640326975476768</c:v>
                </c:pt>
                <c:pt idx="352">
                  <c:v>95.770804911323268</c:v>
                </c:pt>
                <c:pt idx="353">
                  <c:v>96.561210453920154</c:v>
                </c:pt>
                <c:pt idx="354">
                  <c:v>97.635605006954023</c:v>
                </c:pt>
                <c:pt idx="355">
                  <c:v>98.319327731092372</c:v>
                </c:pt>
                <c:pt idx="356">
                  <c:v>97.635605006954037</c:v>
                </c:pt>
                <c:pt idx="357">
                  <c:v>98.734177215189803</c:v>
                </c:pt>
                <c:pt idx="358">
                  <c:v>97.907949790794916</c:v>
                </c:pt>
                <c:pt idx="359">
                  <c:v>94.864864864864799</c:v>
                </c:pt>
                <c:pt idx="360">
                  <c:v>94.993234100135254</c:v>
                </c:pt>
                <c:pt idx="361">
                  <c:v>95.251017639077276</c:v>
                </c:pt>
                <c:pt idx="362">
                  <c:v>94.993234100135254</c:v>
                </c:pt>
                <c:pt idx="363">
                  <c:v>93.72496662216281</c:v>
                </c:pt>
                <c:pt idx="364">
                  <c:v>92.85714285714279</c:v>
                </c:pt>
                <c:pt idx="365">
                  <c:v>93.227091633466074</c:v>
                </c:pt>
                <c:pt idx="366">
                  <c:v>93.4753661784287</c:v>
                </c:pt>
                <c:pt idx="367">
                  <c:v>91.764705882352871</c:v>
                </c:pt>
                <c:pt idx="368">
                  <c:v>90.463917525773127</c:v>
                </c:pt>
                <c:pt idx="369">
                  <c:v>90.697674418604564</c:v>
                </c:pt>
                <c:pt idx="370">
                  <c:v>91.525423728813479</c:v>
                </c:pt>
                <c:pt idx="371">
                  <c:v>91.287386215864672</c:v>
                </c:pt>
                <c:pt idx="372">
                  <c:v>90.93264248704655</c:v>
                </c:pt>
                <c:pt idx="373">
                  <c:v>89.655172413793011</c:v>
                </c:pt>
                <c:pt idx="374">
                  <c:v>90.580645161290221</c:v>
                </c:pt>
                <c:pt idx="375">
                  <c:v>91.287386215864643</c:v>
                </c:pt>
                <c:pt idx="376">
                  <c:v>90.932642487046522</c:v>
                </c:pt>
                <c:pt idx="377">
                  <c:v>89.655172413792982</c:v>
                </c:pt>
                <c:pt idx="378">
                  <c:v>90.580645161290192</c:v>
                </c:pt>
                <c:pt idx="379">
                  <c:v>94.10187667560308</c:v>
                </c:pt>
                <c:pt idx="380">
                  <c:v>94.736842105263008</c:v>
                </c:pt>
                <c:pt idx="381">
                  <c:v>106.20272314674719</c:v>
                </c:pt>
                <c:pt idx="382">
                  <c:v>107.99999999999984</c:v>
                </c:pt>
                <c:pt idx="383">
                  <c:v>104.46428571428557</c:v>
                </c:pt>
                <c:pt idx="384">
                  <c:v>104.93273542600882</c:v>
                </c:pt>
                <c:pt idx="385">
                  <c:v>99.999999999999872</c:v>
                </c:pt>
                <c:pt idx="386">
                  <c:v>99.433427762039528</c:v>
                </c:pt>
                <c:pt idx="387">
                  <c:v>99.292786421499159</c:v>
                </c:pt>
                <c:pt idx="388">
                  <c:v>96.827586206896427</c:v>
                </c:pt>
                <c:pt idx="389">
                  <c:v>95.251017639077219</c:v>
                </c:pt>
                <c:pt idx="390">
                  <c:v>93.227091633466017</c:v>
                </c:pt>
                <c:pt idx="391">
                  <c:v>92.980132450331013</c:v>
                </c:pt>
                <c:pt idx="392">
                  <c:v>96.961325966850708</c:v>
                </c:pt>
                <c:pt idx="393">
                  <c:v>97.907949790794859</c:v>
                </c:pt>
                <c:pt idx="394">
                  <c:v>99.012693935119771</c:v>
                </c:pt>
                <c:pt idx="395">
                  <c:v>100.57306590257866</c:v>
                </c:pt>
                <c:pt idx="396">
                  <c:v>103.38733431516924</c:v>
                </c:pt>
                <c:pt idx="397">
                  <c:v>104.46428571428559</c:v>
                </c:pt>
                <c:pt idx="398">
                  <c:v>105.88235294117635</c:v>
                </c:pt>
                <c:pt idx="399">
                  <c:v>106.52503793626695</c:v>
                </c:pt>
                <c:pt idx="400">
                  <c:v>104.15430267062303</c:v>
                </c:pt>
                <c:pt idx="401">
                  <c:v>104.15430267062303</c:v>
                </c:pt>
                <c:pt idx="402">
                  <c:v>104.30906389301623</c:v>
                </c:pt>
                <c:pt idx="403">
                  <c:v>104.61997019374058</c:v>
                </c:pt>
                <c:pt idx="404">
                  <c:v>104.30906389301623</c:v>
                </c:pt>
                <c:pt idx="405">
                  <c:v>104.46428571428561</c:v>
                </c:pt>
                <c:pt idx="406">
                  <c:v>104.61997019374057</c:v>
                </c:pt>
                <c:pt idx="407">
                  <c:v>104.77611940298496</c:v>
                </c:pt>
                <c:pt idx="408">
                  <c:v>105.4054054054053</c:v>
                </c:pt>
                <c:pt idx="409">
                  <c:v>106.36363636363627</c:v>
                </c:pt>
                <c:pt idx="410">
                  <c:v>106.04229607250745</c:v>
                </c:pt>
                <c:pt idx="411">
                  <c:v>104.77611940298497</c:v>
                </c:pt>
                <c:pt idx="412">
                  <c:v>102.7818448023425</c:v>
                </c:pt>
                <c:pt idx="413">
                  <c:v>102.18340611353702</c:v>
                </c:pt>
                <c:pt idx="414">
                  <c:v>103.08370044052855</c:v>
                </c:pt>
                <c:pt idx="415">
                  <c:v>103.84615384615374</c:v>
                </c:pt>
                <c:pt idx="416">
                  <c:v>103.99999999999989</c:v>
                </c:pt>
                <c:pt idx="417">
                  <c:v>103.53982300884944</c:v>
                </c:pt>
                <c:pt idx="418">
                  <c:v>104.15430267062303</c:v>
                </c:pt>
                <c:pt idx="419">
                  <c:v>104.46428571428559</c:v>
                </c:pt>
                <c:pt idx="420">
                  <c:v>104.93273542600885</c:v>
                </c:pt>
                <c:pt idx="421">
                  <c:v>104.61997019374057</c:v>
                </c:pt>
                <c:pt idx="422">
                  <c:v>104.46428571428559</c:v>
                </c:pt>
                <c:pt idx="423">
                  <c:v>104.77611940298495</c:v>
                </c:pt>
                <c:pt idx="424">
                  <c:v>105.24737631184395</c:v>
                </c:pt>
                <c:pt idx="425">
                  <c:v>105.56390977443596</c:v>
                </c:pt>
                <c:pt idx="426">
                  <c:v>105.88235294117634</c:v>
                </c:pt>
                <c:pt idx="427">
                  <c:v>105.24737631184394</c:v>
                </c:pt>
                <c:pt idx="428">
                  <c:v>104.46428571428558</c:v>
                </c:pt>
                <c:pt idx="429">
                  <c:v>104.46428571428558</c:v>
                </c:pt>
                <c:pt idx="430">
                  <c:v>103.69276218611509</c:v>
                </c:pt>
                <c:pt idx="431">
                  <c:v>103.0837004405285</c:v>
                </c:pt>
                <c:pt idx="432">
                  <c:v>101.88679245283012</c:v>
                </c:pt>
                <c:pt idx="433">
                  <c:v>101.29870129870123</c:v>
                </c:pt>
                <c:pt idx="434">
                  <c:v>100.86206896551718</c:v>
                </c:pt>
                <c:pt idx="435">
                  <c:v>100.71736011477756</c:v>
                </c:pt>
                <c:pt idx="436">
                  <c:v>99.999999999999957</c:v>
                </c:pt>
                <c:pt idx="437">
                  <c:v>96.827586206896498</c:v>
                </c:pt>
              </c:numCache>
            </c:numRef>
          </c:val>
          <c:smooth val="0"/>
          <c:extLst>
            <c:ext xmlns:c16="http://schemas.microsoft.com/office/drawing/2014/chart" uri="{C3380CC4-5D6E-409C-BE32-E72D297353CC}">
              <c16:uniqueId val="{00000002-3F1F-43F1-8AAB-A7241745A478}"/>
            </c:ext>
          </c:extLst>
        </c:ser>
        <c:dLbls>
          <c:showLegendKey val="0"/>
          <c:showVal val="0"/>
          <c:showCatName val="0"/>
          <c:showSerName val="0"/>
          <c:showPercent val="0"/>
          <c:showBubbleSize val="0"/>
        </c:dLbls>
        <c:smooth val="0"/>
        <c:axId val="308999296"/>
        <c:axId val="309000832"/>
      </c:lineChart>
      <c:dateAx>
        <c:axId val="308999296"/>
        <c:scaling>
          <c:orientation val="minMax"/>
        </c:scaling>
        <c:delete val="0"/>
        <c:axPos val="b"/>
        <c:numFmt formatCode="[$-2B]\ dd\/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09000832"/>
        <c:crosses val="autoZero"/>
        <c:auto val="1"/>
        <c:lblOffset val="100"/>
        <c:baseTimeUnit val="days"/>
      </c:dateAx>
      <c:valAx>
        <c:axId val="309000832"/>
        <c:scaling>
          <c:orientation val="minMax"/>
          <c:max val="190"/>
          <c:min val="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hy-AM" sz="900"/>
                  <a:t>Ինդեքս, 20</a:t>
                </a:r>
                <a:r>
                  <a:rPr lang="en-US" sz="900"/>
                  <a:t>21</a:t>
                </a:r>
                <a:r>
                  <a:rPr lang="hy-AM" sz="900"/>
                  <a:t>թ. </a:t>
                </a:r>
                <a:r>
                  <a:rPr lang="en-US" sz="900"/>
                  <a:t>հունվար 8=100</a:t>
                </a:r>
              </a:p>
              <a:p>
                <a:pPr>
                  <a:defRPr sz="900" b="0" i="0" u="none" strike="noStrike" kern="1200" baseline="0">
                    <a:solidFill>
                      <a:schemeClr val="tx1">
                        <a:lumMod val="65000"/>
                        <a:lumOff val="35000"/>
                      </a:schemeClr>
                    </a:solidFill>
                    <a:latin typeface="+mn-lt"/>
                    <a:ea typeface="+mn-ea"/>
                    <a:cs typeface="+mn-cs"/>
                  </a:defRPr>
                </a:pPr>
                <a:endParaRPr lang="en-US" sz="900"/>
              </a:p>
            </c:rich>
          </c:tx>
          <c:layout>
            <c:manualLayout>
              <c:xMode val="edge"/>
              <c:yMode val="edge"/>
              <c:x val="7.7972709551656924E-3"/>
              <c:y val="6.2146892655367263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999296"/>
        <c:crosses val="autoZero"/>
        <c:crossBetween val="between"/>
        <c:majorUnit val="10"/>
        <c:minorUnit val="5"/>
      </c:valAx>
      <c:spPr>
        <a:noFill/>
        <a:ln>
          <a:noFill/>
        </a:ln>
        <a:effectLst/>
      </c:spPr>
    </c:plotArea>
    <c:legend>
      <c:legendPos val="b"/>
      <c:layout>
        <c:manualLayout>
          <c:xMode val="edge"/>
          <c:yMode val="edge"/>
          <c:x val="0"/>
          <c:y val="0.88503824118759367"/>
          <c:w val="1"/>
          <c:h val="0.1013520607221394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306257770410277"/>
          <c:y val="6.6066066066066062E-2"/>
          <c:w val="0.78392660669738268"/>
          <c:h val="0.56289234116005749"/>
        </c:manualLayout>
      </c:layout>
      <c:lineChart>
        <c:grouping val="standard"/>
        <c:varyColors val="0"/>
        <c:ser>
          <c:idx val="0"/>
          <c:order val="0"/>
          <c:tx>
            <c:strRef>
              <c:f>Sheet1!$B$1</c:f>
              <c:strCache>
                <c:ptCount val="1"/>
                <c:pt idx="0">
                  <c:v>Իրական</c:v>
                </c:pt>
              </c:strCache>
            </c:strRef>
          </c:tx>
          <c:spPr>
            <a:ln w="28575" cap="rnd">
              <a:solidFill>
                <a:srgbClr val="0070C0"/>
              </a:solidFill>
              <a:round/>
            </a:ln>
            <a:effectLst/>
          </c:spPr>
          <c:marker>
            <c:symbol val="none"/>
          </c:marker>
          <c:cat>
            <c:strRef>
              <c:f>Sheet1!$A$2:$A$68</c:f>
              <c:strCache>
                <c:ptCount val="19"/>
                <c:pt idx="0">
                  <c:v>2021-M1</c:v>
                </c:pt>
                <c:pt idx="1">
                  <c:v>2021-M2</c:v>
                </c:pt>
                <c:pt idx="2">
                  <c:v>2021-M3</c:v>
                </c:pt>
                <c:pt idx="3">
                  <c:v>2021-M4</c:v>
                </c:pt>
                <c:pt idx="4">
                  <c:v>2021-M5</c:v>
                </c:pt>
                <c:pt idx="5">
                  <c:v>2021-M6</c:v>
                </c:pt>
                <c:pt idx="6">
                  <c:v>2021-M7</c:v>
                </c:pt>
                <c:pt idx="7">
                  <c:v>2021-M8</c:v>
                </c:pt>
                <c:pt idx="8">
                  <c:v>2021-M9</c:v>
                </c:pt>
                <c:pt idx="9">
                  <c:v>2021-M10</c:v>
                </c:pt>
                <c:pt idx="10">
                  <c:v>2021-M11</c:v>
                </c:pt>
                <c:pt idx="11">
                  <c:v>2021-M12</c:v>
                </c:pt>
                <c:pt idx="12">
                  <c:v>2022-M1</c:v>
                </c:pt>
                <c:pt idx="13">
                  <c:v>2022-M2</c:v>
                </c:pt>
                <c:pt idx="14">
                  <c:v>2022-M3</c:v>
                </c:pt>
                <c:pt idx="15">
                  <c:v>2022-M4</c:v>
                </c:pt>
                <c:pt idx="16">
                  <c:v>2022-M5</c:v>
                </c:pt>
                <c:pt idx="17">
                  <c:v>2022-M6</c:v>
                </c:pt>
                <c:pt idx="18">
                  <c:v>2022-M7</c:v>
                </c:pt>
              </c:strCache>
            </c:strRef>
          </c:cat>
          <c:val>
            <c:numRef>
              <c:f>Sheet1!$B$2:$B$68</c:f>
              <c:numCache>
                <c:formatCode>_(* #,##0.0_);_(* \(#,##0.0\);_(* "-"??_);_(@_)</c:formatCode>
                <c:ptCount val="19"/>
                <c:pt idx="0">
                  <c:v>-2.9309866962305904</c:v>
                </c:pt>
                <c:pt idx="1">
                  <c:v>-3.9358450389806308</c:v>
                </c:pt>
                <c:pt idx="2">
                  <c:v>-4.6884569147367472</c:v>
                </c:pt>
                <c:pt idx="3">
                  <c:v>-5.3713382968353329</c:v>
                </c:pt>
                <c:pt idx="4">
                  <c:v>-6.1200523127018585</c:v>
                </c:pt>
                <c:pt idx="5">
                  <c:v>-6.0824489977530192</c:v>
                </c:pt>
                <c:pt idx="6">
                  <c:v>-5.1402450103761339</c:v>
                </c:pt>
                <c:pt idx="7">
                  <c:v>-4.3538477034649503</c:v>
                </c:pt>
                <c:pt idx="8">
                  <c:v>-3.8404925394323044</c:v>
                </c:pt>
                <c:pt idx="9">
                  <c:v>-3.2467619893906345</c:v>
                </c:pt>
                <c:pt idx="10">
                  <c:v>-2.324568399612275</c:v>
                </c:pt>
                <c:pt idx="11">
                  <c:v>-1.1645712671281387</c:v>
                </c:pt>
                <c:pt idx="12">
                  <c:v>13.562709686630029</c:v>
                </c:pt>
                <c:pt idx="13">
                  <c:v>13.331664938686473</c:v>
                </c:pt>
                <c:pt idx="14">
                  <c:v>14.167063303188954</c:v>
                </c:pt>
                <c:pt idx="15">
                  <c:v>15.231329366841308</c:v>
                </c:pt>
                <c:pt idx="16">
                  <c:v>16.374310570307628</c:v>
                </c:pt>
                <c:pt idx="17">
                  <c:v>18.102570176477585</c:v>
                </c:pt>
                <c:pt idx="18">
                  <c:v>19.108395838374065</c:v>
                </c:pt>
              </c:numCache>
            </c:numRef>
          </c:val>
          <c:smooth val="0"/>
          <c:extLst>
            <c:ext xmlns:c16="http://schemas.microsoft.com/office/drawing/2014/chart" uri="{C3380CC4-5D6E-409C-BE32-E72D297353CC}">
              <c16:uniqueId val="{00000000-2F47-4784-B932-D699ADAE0B36}"/>
            </c:ext>
          </c:extLst>
        </c:ser>
        <c:ser>
          <c:idx val="1"/>
          <c:order val="1"/>
          <c:tx>
            <c:strRef>
              <c:f>Sheet1!$C$1</c:f>
              <c:strCache>
                <c:ptCount val="1"/>
                <c:pt idx="0">
                  <c:v>Անվանական</c:v>
                </c:pt>
              </c:strCache>
            </c:strRef>
          </c:tx>
          <c:spPr>
            <a:ln w="28575" cap="rnd">
              <a:solidFill>
                <a:srgbClr val="C00000"/>
              </a:solidFill>
              <a:round/>
            </a:ln>
            <a:effectLst/>
          </c:spPr>
          <c:marker>
            <c:symbol val="none"/>
          </c:marker>
          <c:cat>
            <c:strRef>
              <c:f>Sheet1!$A$2:$A$68</c:f>
              <c:strCache>
                <c:ptCount val="19"/>
                <c:pt idx="0">
                  <c:v>2021-M1</c:v>
                </c:pt>
                <c:pt idx="1">
                  <c:v>2021-M2</c:v>
                </c:pt>
                <c:pt idx="2">
                  <c:v>2021-M3</c:v>
                </c:pt>
                <c:pt idx="3">
                  <c:v>2021-M4</c:v>
                </c:pt>
                <c:pt idx="4">
                  <c:v>2021-M5</c:v>
                </c:pt>
                <c:pt idx="5">
                  <c:v>2021-M6</c:v>
                </c:pt>
                <c:pt idx="6">
                  <c:v>2021-M7</c:v>
                </c:pt>
                <c:pt idx="7">
                  <c:v>2021-M8</c:v>
                </c:pt>
                <c:pt idx="8">
                  <c:v>2021-M9</c:v>
                </c:pt>
                <c:pt idx="9">
                  <c:v>2021-M10</c:v>
                </c:pt>
                <c:pt idx="10">
                  <c:v>2021-M11</c:v>
                </c:pt>
                <c:pt idx="11">
                  <c:v>2021-M12</c:v>
                </c:pt>
                <c:pt idx="12">
                  <c:v>2022-M1</c:v>
                </c:pt>
                <c:pt idx="13">
                  <c:v>2022-M2</c:v>
                </c:pt>
                <c:pt idx="14">
                  <c:v>2022-M3</c:v>
                </c:pt>
                <c:pt idx="15">
                  <c:v>2022-M4</c:v>
                </c:pt>
                <c:pt idx="16">
                  <c:v>2022-M5</c:v>
                </c:pt>
                <c:pt idx="17">
                  <c:v>2022-M6</c:v>
                </c:pt>
                <c:pt idx="18">
                  <c:v>2022-M7</c:v>
                </c:pt>
              </c:strCache>
            </c:strRef>
          </c:cat>
          <c:val>
            <c:numRef>
              <c:f>Sheet1!$C$2:$C$68</c:f>
              <c:numCache>
                <c:formatCode>_(* #,##0.0_);_(* \(#,##0.0\);_(* "-"??_);_(@_)</c:formatCode>
                <c:ptCount val="19"/>
                <c:pt idx="0">
                  <c:v>-2.6458548274370344</c:v>
                </c:pt>
                <c:pt idx="1">
                  <c:v>-3.812533952293947</c:v>
                </c:pt>
                <c:pt idx="2">
                  <c:v>-4.579853862212957</c:v>
                </c:pt>
                <c:pt idx="3">
                  <c:v>-5.280059384530972</c:v>
                </c:pt>
                <c:pt idx="4">
                  <c:v>-5.9339955142582568</c:v>
                </c:pt>
                <c:pt idx="5">
                  <c:v>-5.8889332800639238</c:v>
                </c:pt>
                <c:pt idx="6">
                  <c:v>-5.1113975830072604</c:v>
                </c:pt>
                <c:pt idx="7">
                  <c:v>-4.4923561884823329</c:v>
                </c:pt>
                <c:pt idx="8">
                  <c:v>-4.0853841404251483</c:v>
                </c:pt>
                <c:pt idx="9">
                  <c:v>-3.5536226742602253</c:v>
                </c:pt>
                <c:pt idx="10">
                  <c:v>-2.677789556159837</c:v>
                </c:pt>
                <c:pt idx="11">
                  <c:v>-1.3669868689630249</c:v>
                </c:pt>
                <c:pt idx="12">
                  <c:v>16.532202926295653</c:v>
                </c:pt>
                <c:pt idx="13">
                  <c:v>16.946483886977788</c:v>
                </c:pt>
                <c:pt idx="14">
                  <c:v>18.682483249008627</c:v>
                </c:pt>
                <c:pt idx="15">
                  <c:v>19.429442731315063</c:v>
                </c:pt>
                <c:pt idx="16">
                  <c:v>20.414197152394564</c:v>
                </c:pt>
                <c:pt idx="17">
                  <c:v>22.064300673572191</c:v>
                </c:pt>
                <c:pt idx="18">
                  <c:v>23.197860859880564</c:v>
                </c:pt>
              </c:numCache>
            </c:numRef>
          </c:val>
          <c:smooth val="0"/>
          <c:extLst>
            <c:ext xmlns:c16="http://schemas.microsoft.com/office/drawing/2014/chart" uri="{C3380CC4-5D6E-409C-BE32-E72D297353CC}">
              <c16:uniqueId val="{00000001-2F47-4784-B932-D699ADAE0B36}"/>
            </c:ext>
          </c:extLst>
        </c:ser>
        <c:dLbls>
          <c:showLegendKey val="0"/>
          <c:showVal val="0"/>
          <c:showCatName val="0"/>
          <c:showSerName val="0"/>
          <c:showPercent val="0"/>
          <c:showBubbleSize val="0"/>
        </c:dLbls>
        <c:smooth val="0"/>
        <c:axId val="309273728"/>
        <c:axId val="309275264"/>
      </c:lineChart>
      <c:catAx>
        <c:axId val="3092737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275264"/>
        <c:crosses val="autoZero"/>
        <c:auto val="1"/>
        <c:lblAlgn val="ctr"/>
        <c:lblOffset val="100"/>
        <c:noMultiLvlLbl val="0"/>
      </c:catAx>
      <c:valAx>
        <c:axId val="309275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y-AM" sz="1000" b="0" i="0" u="none" strike="noStrike" kern="1200" baseline="0">
                    <a:solidFill>
                      <a:sysClr val="windowText" lastClr="000000">
                        <a:lumMod val="65000"/>
                        <a:lumOff val="35000"/>
                      </a:sysClr>
                    </a:solidFill>
                    <a:latin typeface="+mn-lt"/>
                    <a:ea typeface="+mn-ea"/>
                    <a:cs typeface="+mn-cs"/>
                  </a:rPr>
                  <a:t>տոկոս</a:t>
                </a:r>
                <a:endParaRPr lang="en-US"/>
              </a:p>
            </c:rich>
          </c:tx>
          <c:layout/>
          <c:overlay val="0"/>
          <c:spPr>
            <a:noFill/>
            <a:ln>
              <a:noFill/>
            </a:ln>
            <a:effectLst/>
          </c:spPr>
        </c:title>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2737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900" i="1"/>
              <a:t>Մ</a:t>
            </a:r>
            <a:r>
              <a:rPr lang="hy-AM" sz="900" i="1"/>
              <a:t>իջին գնաճը</a:t>
            </a:r>
            <a:r>
              <a:rPr lang="en-US" sz="900" i="1"/>
              <a:t>,</a:t>
            </a:r>
            <a:r>
              <a:rPr lang="en-US" sz="900" i="1" baseline="0"/>
              <a:t> %</a:t>
            </a:r>
            <a:endParaRPr lang="en-US" sz="900" i="1"/>
          </a:p>
        </c:rich>
      </c:tx>
      <c:layout>
        <c:manualLayout>
          <c:xMode val="edge"/>
          <c:yMode val="edge"/>
          <c:x val="0.31103696783664886"/>
          <c:y val="0"/>
        </c:manualLayout>
      </c:layout>
      <c:overlay val="0"/>
      <c:spPr>
        <a:noFill/>
        <a:ln>
          <a:noFill/>
        </a:ln>
        <a:effectLst/>
      </c:spPr>
    </c:title>
    <c:autoTitleDeleted val="0"/>
    <c:plotArea>
      <c:layout>
        <c:manualLayout>
          <c:layoutTarget val="inner"/>
          <c:xMode val="edge"/>
          <c:yMode val="edge"/>
          <c:x val="0.11270836908098351"/>
          <c:y val="0.12480519374330552"/>
          <c:w val="0.84290099330804125"/>
          <c:h val="0.67598220783149765"/>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Sheet1!$A$16:$A$62</c:f>
              <c:numCache>
                <c:formatCode>General</c:formatCode>
                <c:ptCount val="19"/>
                <c:pt idx="0">
                  <c:v>2018.3</c:v>
                </c:pt>
                <c:pt idx="1">
                  <c:v>2018.6</c:v>
                </c:pt>
                <c:pt idx="2">
                  <c:v>2018.9</c:v>
                </c:pt>
                <c:pt idx="3">
                  <c:v>2018.12</c:v>
                </c:pt>
                <c:pt idx="4">
                  <c:v>2019.3</c:v>
                </c:pt>
                <c:pt idx="5">
                  <c:v>2019.6</c:v>
                </c:pt>
                <c:pt idx="6">
                  <c:v>2019.9</c:v>
                </c:pt>
                <c:pt idx="7">
                  <c:v>2019.12</c:v>
                </c:pt>
                <c:pt idx="8">
                  <c:v>2020.3</c:v>
                </c:pt>
                <c:pt idx="9">
                  <c:v>2020.6</c:v>
                </c:pt>
                <c:pt idx="10">
                  <c:v>2020.9</c:v>
                </c:pt>
                <c:pt idx="11">
                  <c:v>2020.12</c:v>
                </c:pt>
                <c:pt idx="12">
                  <c:v>2021.3</c:v>
                </c:pt>
                <c:pt idx="13">
                  <c:v>2021.6</c:v>
                </c:pt>
                <c:pt idx="14">
                  <c:v>2021.9</c:v>
                </c:pt>
                <c:pt idx="15">
                  <c:v>2021.12</c:v>
                </c:pt>
                <c:pt idx="16">
                  <c:v>2022.3</c:v>
                </c:pt>
                <c:pt idx="17">
                  <c:v>2022.6</c:v>
                </c:pt>
                <c:pt idx="18">
                  <c:v>2022.8</c:v>
                </c:pt>
              </c:numCache>
            </c:numRef>
          </c:cat>
          <c:val>
            <c:numRef>
              <c:f>Sheet1!$C$16:$C$62</c:f>
              <c:numCache>
                <c:formatCode>0.0</c:formatCode>
                <c:ptCount val="19"/>
                <c:pt idx="0">
                  <c:v>1.7110799999999999</c:v>
                </c:pt>
                <c:pt idx="1">
                  <c:v>0.75369000000000019</c:v>
                </c:pt>
                <c:pt idx="2">
                  <c:v>0.97775999999999996</c:v>
                </c:pt>
                <c:pt idx="3">
                  <c:v>0.93701999999999996</c:v>
                </c:pt>
                <c:pt idx="4">
                  <c:v>0.99239999999999995</c:v>
                </c:pt>
                <c:pt idx="5">
                  <c:v>1.4472499999999999</c:v>
                </c:pt>
                <c:pt idx="6">
                  <c:v>1.0130749999999999</c:v>
                </c:pt>
                <c:pt idx="7">
                  <c:v>0.76497500000000007</c:v>
                </c:pt>
                <c:pt idx="8">
                  <c:v>-1.2156899999999999</c:v>
                </c:pt>
                <c:pt idx="9">
                  <c:v>-0.43004000000000003</c:v>
                </c:pt>
                <c:pt idx="10">
                  <c:v>-0.12404999999999999</c:v>
                </c:pt>
                <c:pt idx="11">
                  <c:v>0.11768999999999999</c:v>
                </c:pt>
                <c:pt idx="12">
                  <c:v>2.6414839999999997</c:v>
                </c:pt>
                <c:pt idx="13">
                  <c:v>2.8647079999999998</c:v>
                </c:pt>
                <c:pt idx="14">
                  <c:v>3.6831960000000006</c:v>
                </c:pt>
                <c:pt idx="15">
                  <c:v>4.1668479999999999</c:v>
                </c:pt>
                <c:pt idx="16">
                  <c:v>4.501684</c:v>
                </c:pt>
                <c:pt idx="17">
                  <c:v>5.0969480000000003</c:v>
                </c:pt>
                <c:pt idx="18">
                  <c:v>5.0225400000000002</c:v>
                </c:pt>
              </c:numCache>
            </c:numRef>
          </c:val>
          <c:extLst>
            <c:ext xmlns:c16="http://schemas.microsoft.com/office/drawing/2014/chart" uri="{C3380CC4-5D6E-409C-BE32-E72D297353CC}">
              <c16:uniqueId val="{00000000-2D22-447A-B280-EE525B6215A6}"/>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Sheet1!$A$16:$A$62</c:f>
              <c:numCache>
                <c:formatCode>General</c:formatCode>
                <c:ptCount val="19"/>
                <c:pt idx="0">
                  <c:v>2018.3</c:v>
                </c:pt>
                <c:pt idx="1">
                  <c:v>2018.6</c:v>
                </c:pt>
                <c:pt idx="2">
                  <c:v>2018.9</c:v>
                </c:pt>
                <c:pt idx="3">
                  <c:v>2018.12</c:v>
                </c:pt>
                <c:pt idx="4">
                  <c:v>2019.3</c:v>
                </c:pt>
                <c:pt idx="5">
                  <c:v>2019.6</c:v>
                </c:pt>
                <c:pt idx="6">
                  <c:v>2019.9</c:v>
                </c:pt>
                <c:pt idx="7">
                  <c:v>2019.12</c:v>
                </c:pt>
                <c:pt idx="8">
                  <c:v>2020.3</c:v>
                </c:pt>
                <c:pt idx="9">
                  <c:v>2020.6</c:v>
                </c:pt>
                <c:pt idx="10">
                  <c:v>2020.9</c:v>
                </c:pt>
                <c:pt idx="11">
                  <c:v>2020.12</c:v>
                </c:pt>
                <c:pt idx="12">
                  <c:v>2021.3</c:v>
                </c:pt>
                <c:pt idx="13">
                  <c:v>2021.6</c:v>
                </c:pt>
                <c:pt idx="14">
                  <c:v>2021.9</c:v>
                </c:pt>
                <c:pt idx="15">
                  <c:v>2021.12</c:v>
                </c:pt>
                <c:pt idx="16">
                  <c:v>2022.3</c:v>
                </c:pt>
                <c:pt idx="17">
                  <c:v>2022.6</c:v>
                </c:pt>
                <c:pt idx="18">
                  <c:v>2022.8</c:v>
                </c:pt>
              </c:numCache>
            </c:numRef>
          </c:cat>
          <c:val>
            <c:numRef>
              <c:f>Sheet1!$D$16:$D$62</c:f>
              <c:numCache>
                <c:formatCode>0.0</c:formatCode>
                <c:ptCount val="19"/>
                <c:pt idx="0">
                  <c:v>0.16416</c:v>
                </c:pt>
                <c:pt idx="1">
                  <c:v>0.16632000000000002</c:v>
                </c:pt>
                <c:pt idx="2">
                  <c:v>0.18576000000000001</c:v>
                </c:pt>
                <c:pt idx="3">
                  <c:v>0.18144000000000002</c:v>
                </c:pt>
                <c:pt idx="4">
                  <c:v>0.18613999999999997</c:v>
                </c:pt>
                <c:pt idx="5">
                  <c:v>0.19068000000000002</c:v>
                </c:pt>
                <c:pt idx="6">
                  <c:v>0.19295000000000001</c:v>
                </c:pt>
                <c:pt idx="7">
                  <c:v>0.19295000000000001</c:v>
                </c:pt>
                <c:pt idx="8">
                  <c:v>0.36093000000000003</c:v>
                </c:pt>
                <c:pt idx="9">
                  <c:v>0.40240499999999996</c:v>
                </c:pt>
                <c:pt idx="10">
                  <c:v>0.44946000000000003</c:v>
                </c:pt>
                <c:pt idx="11">
                  <c:v>0.41283000000000003</c:v>
                </c:pt>
                <c:pt idx="12">
                  <c:v>0.42338649999999994</c:v>
                </c:pt>
                <c:pt idx="13">
                  <c:v>0.40555969999999997</c:v>
                </c:pt>
                <c:pt idx="14">
                  <c:v>0.41001639999999995</c:v>
                </c:pt>
                <c:pt idx="15">
                  <c:v>0.41447310000000004</c:v>
                </c:pt>
                <c:pt idx="16">
                  <c:v>0.35207929999999998</c:v>
                </c:pt>
                <c:pt idx="17">
                  <c:v>0.3476226</c:v>
                </c:pt>
                <c:pt idx="18">
                  <c:v>0.35207929999999998</c:v>
                </c:pt>
              </c:numCache>
            </c:numRef>
          </c:val>
          <c:extLst>
            <c:ext xmlns:c16="http://schemas.microsoft.com/office/drawing/2014/chart" uri="{C3380CC4-5D6E-409C-BE32-E72D297353CC}">
              <c16:uniqueId val="{00000001-2D22-447A-B280-EE525B6215A6}"/>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Sheet1!$A$16:$A$62</c:f>
              <c:numCache>
                <c:formatCode>General</c:formatCode>
                <c:ptCount val="19"/>
                <c:pt idx="0">
                  <c:v>2018.3</c:v>
                </c:pt>
                <c:pt idx="1">
                  <c:v>2018.6</c:v>
                </c:pt>
                <c:pt idx="2">
                  <c:v>2018.9</c:v>
                </c:pt>
                <c:pt idx="3">
                  <c:v>2018.12</c:v>
                </c:pt>
                <c:pt idx="4">
                  <c:v>2019.3</c:v>
                </c:pt>
                <c:pt idx="5">
                  <c:v>2019.6</c:v>
                </c:pt>
                <c:pt idx="6">
                  <c:v>2019.9</c:v>
                </c:pt>
                <c:pt idx="7">
                  <c:v>2019.12</c:v>
                </c:pt>
                <c:pt idx="8">
                  <c:v>2020.3</c:v>
                </c:pt>
                <c:pt idx="9">
                  <c:v>2020.6</c:v>
                </c:pt>
                <c:pt idx="10">
                  <c:v>2020.9</c:v>
                </c:pt>
                <c:pt idx="11">
                  <c:v>2020.12</c:v>
                </c:pt>
                <c:pt idx="12">
                  <c:v>2021.3</c:v>
                </c:pt>
                <c:pt idx="13">
                  <c:v>2021.6</c:v>
                </c:pt>
                <c:pt idx="14">
                  <c:v>2021.9</c:v>
                </c:pt>
                <c:pt idx="15">
                  <c:v>2021.12</c:v>
                </c:pt>
                <c:pt idx="16">
                  <c:v>2022.3</c:v>
                </c:pt>
                <c:pt idx="17">
                  <c:v>2022.6</c:v>
                </c:pt>
                <c:pt idx="18">
                  <c:v>2022.8</c:v>
                </c:pt>
              </c:numCache>
            </c:numRef>
          </c:cat>
          <c:val>
            <c:numRef>
              <c:f>Sheet1!$E$16:$E$62</c:f>
              <c:numCache>
                <c:formatCode>0.0</c:formatCode>
                <c:ptCount val="19"/>
                <c:pt idx="0">
                  <c:v>0.96140000000000014</c:v>
                </c:pt>
                <c:pt idx="1">
                  <c:v>1.0378750000000001</c:v>
                </c:pt>
                <c:pt idx="2">
                  <c:v>1.0488000000000002</c:v>
                </c:pt>
                <c:pt idx="3">
                  <c:v>0.98325000000000007</c:v>
                </c:pt>
                <c:pt idx="4">
                  <c:v>0.17791999999999997</c:v>
                </c:pt>
                <c:pt idx="5">
                  <c:v>0.26688000000000001</c:v>
                </c:pt>
                <c:pt idx="6">
                  <c:v>0.34472000000000003</c:v>
                </c:pt>
                <c:pt idx="7">
                  <c:v>0.32247999999999999</c:v>
                </c:pt>
                <c:pt idx="8">
                  <c:v>0.36695999999999995</c:v>
                </c:pt>
                <c:pt idx="9">
                  <c:v>0.19959500000000002</c:v>
                </c:pt>
                <c:pt idx="10">
                  <c:v>0.17791999999999997</c:v>
                </c:pt>
                <c:pt idx="11">
                  <c:v>0.21010000000000001</c:v>
                </c:pt>
                <c:pt idx="12">
                  <c:v>1.5324900000000001</c:v>
                </c:pt>
                <c:pt idx="13">
                  <c:v>1.7545900000000001</c:v>
                </c:pt>
                <c:pt idx="14">
                  <c:v>1.88785</c:v>
                </c:pt>
                <c:pt idx="15">
                  <c:v>1.9322699999999999</c:v>
                </c:pt>
                <c:pt idx="16">
                  <c:v>1.2215499999999999</c:v>
                </c:pt>
                <c:pt idx="17">
                  <c:v>1.3548099999999998</c:v>
                </c:pt>
                <c:pt idx="18">
                  <c:v>1.4880700000000002</c:v>
                </c:pt>
              </c:numCache>
            </c:numRef>
          </c:val>
          <c:extLst>
            <c:ext xmlns:c16="http://schemas.microsoft.com/office/drawing/2014/chart" uri="{C3380CC4-5D6E-409C-BE32-E72D297353CC}">
              <c16:uniqueId val="{00000002-2D22-447A-B280-EE525B6215A6}"/>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Sheet1!$A$16:$A$62</c:f>
              <c:numCache>
                <c:formatCode>General</c:formatCode>
                <c:ptCount val="19"/>
                <c:pt idx="0">
                  <c:v>2018.3</c:v>
                </c:pt>
                <c:pt idx="1">
                  <c:v>2018.6</c:v>
                </c:pt>
                <c:pt idx="2">
                  <c:v>2018.9</c:v>
                </c:pt>
                <c:pt idx="3">
                  <c:v>2018.12</c:v>
                </c:pt>
                <c:pt idx="4">
                  <c:v>2019.3</c:v>
                </c:pt>
                <c:pt idx="5">
                  <c:v>2019.6</c:v>
                </c:pt>
                <c:pt idx="6">
                  <c:v>2019.9</c:v>
                </c:pt>
                <c:pt idx="7">
                  <c:v>2019.12</c:v>
                </c:pt>
                <c:pt idx="8">
                  <c:v>2020.3</c:v>
                </c:pt>
                <c:pt idx="9">
                  <c:v>2020.6</c:v>
                </c:pt>
                <c:pt idx="10">
                  <c:v>2020.9</c:v>
                </c:pt>
                <c:pt idx="11">
                  <c:v>2020.12</c:v>
                </c:pt>
                <c:pt idx="12">
                  <c:v>2021.3</c:v>
                </c:pt>
                <c:pt idx="13">
                  <c:v>2021.6</c:v>
                </c:pt>
                <c:pt idx="14">
                  <c:v>2021.9</c:v>
                </c:pt>
                <c:pt idx="15">
                  <c:v>2021.12</c:v>
                </c:pt>
                <c:pt idx="16">
                  <c:v>2022.3</c:v>
                </c:pt>
                <c:pt idx="17">
                  <c:v>2022.6</c:v>
                </c:pt>
                <c:pt idx="18">
                  <c:v>2022.8</c:v>
                </c:pt>
              </c:numCache>
            </c:numRef>
          </c:cat>
          <c:val>
            <c:numRef>
              <c:f>Sheet1!$F$16:$F$62</c:f>
              <c:numCache>
                <c:formatCode>0.0</c:formatCode>
                <c:ptCount val="19"/>
                <c:pt idx="0">
                  <c:v>0.46311999999999998</c:v>
                </c:pt>
                <c:pt idx="1">
                  <c:v>0.47965999999999992</c:v>
                </c:pt>
                <c:pt idx="2">
                  <c:v>0.43003999999999998</c:v>
                </c:pt>
                <c:pt idx="3">
                  <c:v>0.39695999999999998</c:v>
                </c:pt>
                <c:pt idx="4">
                  <c:v>0.12748000000000001</c:v>
                </c:pt>
                <c:pt idx="5">
                  <c:v>6.3740000000000005E-2</c:v>
                </c:pt>
                <c:pt idx="6">
                  <c:v>9.5610000000000001E-2</c:v>
                </c:pt>
                <c:pt idx="7">
                  <c:v>0.14660200000000001</c:v>
                </c:pt>
                <c:pt idx="8">
                  <c:v>0.43024500000000004</c:v>
                </c:pt>
                <c:pt idx="9">
                  <c:v>0.39837499999999998</c:v>
                </c:pt>
                <c:pt idx="10">
                  <c:v>0.41431000000000007</c:v>
                </c:pt>
                <c:pt idx="11">
                  <c:v>0.49797999999999992</c:v>
                </c:pt>
                <c:pt idx="12">
                  <c:v>0.61421000000000003</c:v>
                </c:pt>
                <c:pt idx="13">
                  <c:v>0.72260000000000002</c:v>
                </c:pt>
                <c:pt idx="14">
                  <c:v>0.68647000000000002</c:v>
                </c:pt>
                <c:pt idx="15">
                  <c:v>0.68647000000000002</c:v>
                </c:pt>
                <c:pt idx="16">
                  <c:v>0.90325</c:v>
                </c:pt>
                <c:pt idx="17">
                  <c:v>1.2645500000000001</c:v>
                </c:pt>
                <c:pt idx="18">
                  <c:v>1.48133</c:v>
                </c:pt>
              </c:numCache>
            </c:numRef>
          </c:val>
          <c:extLst>
            <c:ext xmlns:c16="http://schemas.microsoft.com/office/drawing/2014/chart" uri="{C3380CC4-5D6E-409C-BE32-E72D297353CC}">
              <c16:uniqueId val="{00000003-2D22-447A-B280-EE525B6215A6}"/>
            </c:ext>
          </c:extLst>
        </c:ser>
        <c:dLbls>
          <c:showLegendKey val="0"/>
          <c:showVal val="0"/>
          <c:showCatName val="0"/>
          <c:showSerName val="0"/>
          <c:showPercent val="0"/>
          <c:showBubbleSize val="0"/>
        </c:dLbls>
        <c:gapWidth val="100"/>
        <c:overlap val="100"/>
        <c:axId val="326402432"/>
        <c:axId val="326403968"/>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4-2D22-447A-B280-EE525B6215A6}"/>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2D22-447A-B280-EE525B6215A6}"/>
              </c:ext>
            </c:extLst>
          </c:dPt>
          <c:dPt>
            <c:idx val="11"/>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6-2D22-447A-B280-EE525B6215A6}"/>
              </c:ext>
            </c:extLst>
          </c:dPt>
          <c:dPt>
            <c:idx val="15"/>
            <c:marker>
              <c:symbol val="auto"/>
              <c:spPr>
                <a:ln cap="sq">
                  <a:solidFill>
                    <a:srgbClr val="4F81BD"/>
                  </a:solidFill>
                  <a:headEnd type="diamond"/>
                  <a:tailEnd type="diamond"/>
                </a:ln>
              </c:spPr>
            </c:marker>
            <c:bubble3D val="0"/>
            <c:extLst>
              <c:ext xmlns:c16="http://schemas.microsoft.com/office/drawing/2014/chart" uri="{C3380CC4-5D6E-409C-BE32-E72D297353CC}">
                <c16:uniqueId val="{00000007-2D22-447A-B280-EE525B6215A6}"/>
              </c:ext>
            </c:extLst>
          </c:dPt>
          <c:dLbls>
            <c:dLbl>
              <c:idx val="3"/>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D22-447A-B280-EE525B6215A6}"/>
                </c:ext>
              </c:extLst>
            </c:dLbl>
            <c:dLbl>
              <c:idx val="7"/>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D22-447A-B280-EE525B6215A6}"/>
                </c:ext>
              </c:extLst>
            </c:dLbl>
            <c:dLbl>
              <c:idx val="11"/>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D22-447A-B280-EE525B6215A6}"/>
                </c:ext>
              </c:extLst>
            </c:dLbl>
            <c:dLbl>
              <c:idx val="15"/>
              <c:layout>
                <c:manualLayout>
                  <c:x val="-8.5661839689985725E-2"/>
                  <c:y val="-6.9796954314720813E-2"/>
                </c:manualLayout>
              </c:layout>
              <c:spPr>
                <a:noFill/>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D22-447A-B280-EE525B6215A6}"/>
                </c:ext>
              </c:extLst>
            </c:dLbl>
            <c:dLbl>
              <c:idx val="18"/>
              <c:layout>
                <c:manualLayout>
                  <c:x val="-2.4385287543182279E-2"/>
                  <c:y val="-6.31313131313131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D22-447A-B280-EE525B6215A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Sheet1!$A$16:$A$62</c:f>
              <c:numCache>
                <c:formatCode>General</c:formatCode>
                <c:ptCount val="19"/>
                <c:pt idx="0">
                  <c:v>2018.3</c:v>
                </c:pt>
                <c:pt idx="1">
                  <c:v>2018.6</c:v>
                </c:pt>
                <c:pt idx="2">
                  <c:v>2018.9</c:v>
                </c:pt>
                <c:pt idx="3">
                  <c:v>2018.12</c:v>
                </c:pt>
                <c:pt idx="4">
                  <c:v>2019.3</c:v>
                </c:pt>
                <c:pt idx="5">
                  <c:v>2019.6</c:v>
                </c:pt>
                <c:pt idx="6">
                  <c:v>2019.9</c:v>
                </c:pt>
                <c:pt idx="7">
                  <c:v>2019.12</c:v>
                </c:pt>
                <c:pt idx="8">
                  <c:v>2020.3</c:v>
                </c:pt>
                <c:pt idx="9">
                  <c:v>2020.6</c:v>
                </c:pt>
                <c:pt idx="10">
                  <c:v>2020.9</c:v>
                </c:pt>
                <c:pt idx="11">
                  <c:v>2020.12</c:v>
                </c:pt>
                <c:pt idx="12">
                  <c:v>2021.3</c:v>
                </c:pt>
                <c:pt idx="13">
                  <c:v>2021.6</c:v>
                </c:pt>
                <c:pt idx="14">
                  <c:v>2021.9</c:v>
                </c:pt>
                <c:pt idx="15">
                  <c:v>2021.12</c:v>
                </c:pt>
                <c:pt idx="16">
                  <c:v>2022.3</c:v>
                </c:pt>
                <c:pt idx="17">
                  <c:v>2022.6</c:v>
                </c:pt>
                <c:pt idx="18">
                  <c:v>2022.8</c:v>
                </c:pt>
              </c:numCache>
            </c:numRef>
          </c:cat>
          <c:val>
            <c:numRef>
              <c:f>Sheet1!$B$16:$B$62</c:f>
              <c:numCache>
                <c:formatCode>0.0</c:formatCode>
                <c:ptCount val="19"/>
                <c:pt idx="0">
                  <c:v>3.29976</c:v>
                </c:pt>
                <c:pt idx="1">
                  <c:v>2.4375450000000001</c:v>
                </c:pt>
                <c:pt idx="2">
                  <c:v>2.64236</c:v>
                </c:pt>
                <c:pt idx="3">
                  <c:v>2.4986700000000002</c:v>
                </c:pt>
                <c:pt idx="4">
                  <c:v>1.4839399999999998</c:v>
                </c:pt>
                <c:pt idx="5">
                  <c:v>1.9685499999999998</c:v>
                </c:pt>
                <c:pt idx="6">
                  <c:v>1.646355</c:v>
                </c:pt>
                <c:pt idx="7">
                  <c:v>1.4270070000000001</c:v>
                </c:pt>
                <c:pt idx="8">
                  <c:v>-5.7554999999999967E-2</c:v>
                </c:pt>
                <c:pt idx="9">
                  <c:v>0.51033499999999998</c:v>
                </c:pt>
                <c:pt idx="10">
                  <c:v>0.91764000000000012</c:v>
                </c:pt>
                <c:pt idx="11">
                  <c:v>1.2385999999999999</c:v>
                </c:pt>
                <c:pt idx="12">
                  <c:v>5.2115704999999997</c:v>
                </c:pt>
                <c:pt idx="13">
                  <c:v>5.7474577</c:v>
                </c:pt>
                <c:pt idx="14">
                  <c:v>6.6675324000000007</c:v>
                </c:pt>
                <c:pt idx="15">
                  <c:v>7.2000611000000001</c:v>
                </c:pt>
                <c:pt idx="16">
                  <c:v>6.9785632999999994</c:v>
                </c:pt>
                <c:pt idx="17">
                  <c:v>8.0639306000000008</c:v>
                </c:pt>
                <c:pt idx="18">
                  <c:v>8.3440193000000011</c:v>
                </c:pt>
              </c:numCache>
            </c:numRef>
          </c:val>
          <c:smooth val="0"/>
          <c:extLst>
            <c:ext xmlns:c16="http://schemas.microsoft.com/office/drawing/2014/chart" uri="{C3380CC4-5D6E-409C-BE32-E72D297353CC}">
              <c16:uniqueId val="{00000009-2D22-447A-B280-EE525B6215A6}"/>
            </c:ext>
          </c:extLst>
        </c:ser>
        <c:dLbls>
          <c:showLegendKey val="0"/>
          <c:showVal val="0"/>
          <c:showCatName val="0"/>
          <c:showSerName val="0"/>
          <c:showPercent val="0"/>
          <c:showBubbleSize val="0"/>
        </c:dLbls>
        <c:marker val="1"/>
        <c:smooth val="0"/>
        <c:axId val="326402432"/>
        <c:axId val="326403968"/>
      </c:lineChart>
      <c:catAx>
        <c:axId val="3264024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326403968"/>
        <c:crosses val="autoZero"/>
        <c:auto val="1"/>
        <c:lblAlgn val="ctr"/>
        <c:lblOffset val="100"/>
        <c:noMultiLvlLbl val="0"/>
      </c:catAx>
      <c:valAx>
        <c:axId val="326403968"/>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32640243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lgn="l">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900" i="1"/>
              <a:t>12</a:t>
            </a:r>
            <a:r>
              <a:rPr lang="hy-AM" sz="900" i="1"/>
              <a:t> ամսյա գնաճը</a:t>
            </a:r>
            <a:r>
              <a:rPr lang="en-US" sz="900" i="1"/>
              <a:t>,</a:t>
            </a:r>
            <a:r>
              <a:rPr lang="en-US" sz="900" i="1" baseline="0"/>
              <a:t> %</a:t>
            </a:r>
            <a:endParaRPr lang="en-US" sz="900" i="1"/>
          </a:p>
        </c:rich>
      </c:tx>
      <c:layout>
        <c:manualLayout>
          <c:xMode val="edge"/>
          <c:yMode val="edge"/>
          <c:x val="0.28161808163810031"/>
          <c:y val="0"/>
        </c:manualLayout>
      </c:layout>
      <c:overlay val="0"/>
      <c:spPr>
        <a:noFill/>
        <a:ln>
          <a:noFill/>
        </a:ln>
        <a:effectLst/>
      </c:spPr>
    </c:title>
    <c:autoTitleDeleted val="0"/>
    <c:plotArea>
      <c:layout>
        <c:manualLayout>
          <c:layoutTarget val="inner"/>
          <c:xMode val="edge"/>
          <c:yMode val="edge"/>
          <c:x val="0.11270836908098351"/>
          <c:y val="0.11961308574745928"/>
          <c:w val="0.84290099330804125"/>
          <c:h val="0.68117431582734356"/>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Sheet1!$A$16:$A$62</c:f>
              <c:numCache>
                <c:formatCode>General</c:formatCode>
                <c:ptCount val="19"/>
                <c:pt idx="0">
                  <c:v>2018.3</c:v>
                </c:pt>
                <c:pt idx="1">
                  <c:v>2018.6</c:v>
                </c:pt>
                <c:pt idx="2">
                  <c:v>2018.9</c:v>
                </c:pt>
                <c:pt idx="3">
                  <c:v>2018.12</c:v>
                </c:pt>
                <c:pt idx="4">
                  <c:v>2019.3</c:v>
                </c:pt>
                <c:pt idx="5">
                  <c:v>2019.6</c:v>
                </c:pt>
                <c:pt idx="6">
                  <c:v>2019.9</c:v>
                </c:pt>
                <c:pt idx="7">
                  <c:v>2019.12</c:v>
                </c:pt>
                <c:pt idx="8">
                  <c:v>2020.3</c:v>
                </c:pt>
                <c:pt idx="9">
                  <c:v>2020.6</c:v>
                </c:pt>
                <c:pt idx="10">
                  <c:v>2020.9</c:v>
                </c:pt>
                <c:pt idx="11">
                  <c:v>2020.12</c:v>
                </c:pt>
                <c:pt idx="12">
                  <c:v>2021.3</c:v>
                </c:pt>
                <c:pt idx="13">
                  <c:v>2021.6</c:v>
                </c:pt>
                <c:pt idx="14">
                  <c:v>2021.9</c:v>
                </c:pt>
                <c:pt idx="15">
                  <c:v>2021.12</c:v>
                </c:pt>
                <c:pt idx="16">
                  <c:v>2022.3</c:v>
                </c:pt>
                <c:pt idx="17">
                  <c:v>2022.6</c:v>
                </c:pt>
                <c:pt idx="18">
                  <c:v>2022.8</c:v>
                </c:pt>
              </c:numCache>
            </c:numRef>
          </c:cat>
          <c:val>
            <c:numRef>
              <c:f>Sheet1!$C$16:$C$62</c:f>
              <c:numCache>
                <c:formatCode>0.0</c:formatCode>
                <c:ptCount val="19"/>
                <c:pt idx="0">
                  <c:v>1.8984840000000003</c:v>
                </c:pt>
                <c:pt idx="1">
                  <c:v>-0.89628000000000019</c:v>
                </c:pt>
                <c:pt idx="2">
                  <c:v>2.1592199999999999</c:v>
                </c:pt>
                <c:pt idx="3">
                  <c:v>0.65184000000000009</c:v>
                </c:pt>
                <c:pt idx="4">
                  <c:v>1.4224399999999999</c:v>
                </c:pt>
                <c:pt idx="5">
                  <c:v>1.9020999999999999</c:v>
                </c:pt>
                <c:pt idx="6">
                  <c:v>-0.57889999999999997</c:v>
                </c:pt>
                <c:pt idx="7">
                  <c:v>-0.13645500000000002</c:v>
                </c:pt>
                <c:pt idx="8">
                  <c:v>-1.1761594</c:v>
                </c:pt>
                <c:pt idx="9">
                  <c:v>0.78459999999999996</c:v>
                </c:pt>
                <c:pt idx="10">
                  <c:v>0.34734000000000004</c:v>
                </c:pt>
                <c:pt idx="11">
                  <c:v>1.937962</c:v>
                </c:pt>
                <c:pt idx="12">
                  <c:v>2.7530960000000007</c:v>
                </c:pt>
                <c:pt idx="13">
                  <c:v>3.2739520000000004</c:v>
                </c:pt>
                <c:pt idx="14">
                  <c:v>5.7294159999999996</c:v>
                </c:pt>
                <c:pt idx="15">
                  <c:v>4.7993160000000001</c:v>
                </c:pt>
                <c:pt idx="16">
                  <c:v>4.7621120000000001</c:v>
                </c:pt>
                <c:pt idx="17">
                  <c:v>6.3618840000000008</c:v>
                </c:pt>
                <c:pt idx="18">
                  <c:v>4.6505000000000001</c:v>
                </c:pt>
              </c:numCache>
            </c:numRef>
          </c:val>
          <c:extLst>
            <c:ext xmlns:c16="http://schemas.microsoft.com/office/drawing/2014/chart" uri="{C3380CC4-5D6E-409C-BE32-E72D297353CC}">
              <c16:uniqueId val="{00000000-733F-48AA-86E6-3588103C0593}"/>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Sheet1!$A$16:$A$62</c:f>
              <c:numCache>
                <c:formatCode>General</c:formatCode>
                <c:ptCount val="19"/>
                <c:pt idx="0">
                  <c:v>2018.3</c:v>
                </c:pt>
                <c:pt idx="1">
                  <c:v>2018.6</c:v>
                </c:pt>
                <c:pt idx="2">
                  <c:v>2018.9</c:v>
                </c:pt>
                <c:pt idx="3">
                  <c:v>2018.12</c:v>
                </c:pt>
                <c:pt idx="4">
                  <c:v>2019.3</c:v>
                </c:pt>
                <c:pt idx="5">
                  <c:v>2019.6</c:v>
                </c:pt>
                <c:pt idx="6">
                  <c:v>2019.9</c:v>
                </c:pt>
                <c:pt idx="7">
                  <c:v>2019.12</c:v>
                </c:pt>
                <c:pt idx="8">
                  <c:v>2020.3</c:v>
                </c:pt>
                <c:pt idx="9">
                  <c:v>2020.6</c:v>
                </c:pt>
                <c:pt idx="10">
                  <c:v>2020.9</c:v>
                </c:pt>
                <c:pt idx="11">
                  <c:v>2020.12</c:v>
                </c:pt>
                <c:pt idx="12">
                  <c:v>2021.3</c:v>
                </c:pt>
                <c:pt idx="13">
                  <c:v>2021.6</c:v>
                </c:pt>
                <c:pt idx="14">
                  <c:v>2021.9</c:v>
                </c:pt>
                <c:pt idx="15">
                  <c:v>2021.12</c:v>
                </c:pt>
                <c:pt idx="16">
                  <c:v>2022.3</c:v>
                </c:pt>
                <c:pt idx="17">
                  <c:v>2022.6</c:v>
                </c:pt>
                <c:pt idx="18">
                  <c:v>2022.8</c:v>
                </c:pt>
              </c:numCache>
            </c:numRef>
          </c:cat>
          <c:val>
            <c:numRef>
              <c:f>Sheet1!$D$16:$D$62</c:f>
              <c:numCache>
                <c:formatCode>0.0</c:formatCode>
                <c:ptCount val="19"/>
                <c:pt idx="0">
                  <c:v>0.15984000000000001</c:v>
                </c:pt>
                <c:pt idx="1">
                  <c:v>0.19872000000000001</c:v>
                </c:pt>
                <c:pt idx="2">
                  <c:v>0.21600000000000003</c:v>
                </c:pt>
                <c:pt idx="3">
                  <c:v>0.16847999999999999</c:v>
                </c:pt>
                <c:pt idx="4">
                  <c:v>0.19976000000000002</c:v>
                </c:pt>
                <c:pt idx="5">
                  <c:v>0.18160000000000001</c:v>
                </c:pt>
                <c:pt idx="6">
                  <c:v>0.21338000000000001</c:v>
                </c:pt>
                <c:pt idx="7">
                  <c:v>0.20702399999999999</c:v>
                </c:pt>
                <c:pt idx="8">
                  <c:v>0.45172999999999996</c:v>
                </c:pt>
                <c:pt idx="9">
                  <c:v>0.46287</c:v>
                </c:pt>
                <c:pt idx="10">
                  <c:v>0.44492000000000004</c:v>
                </c:pt>
                <c:pt idx="11">
                  <c:v>0.43368000000000001</c:v>
                </c:pt>
                <c:pt idx="12">
                  <c:v>0.41001639999999995</c:v>
                </c:pt>
                <c:pt idx="13">
                  <c:v>0.39218960000000003</c:v>
                </c:pt>
                <c:pt idx="14">
                  <c:v>0.41447310000000004</c:v>
                </c:pt>
                <c:pt idx="15">
                  <c:v>0.41001639999999995</c:v>
                </c:pt>
                <c:pt idx="16">
                  <c:v>0.32533909999999999</c:v>
                </c:pt>
                <c:pt idx="17">
                  <c:v>0.36099269999999994</c:v>
                </c:pt>
                <c:pt idx="18">
                  <c:v>0.36990610000000002</c:v>
                </c:pt>
              </c:numCache>
            </c:numRef>
          </c:val>
          <c:extLst>
            <c:ext xmlns:c16="http://schemas.microsoft.com/office/drawing/2014/chart" uri="{C3380CC4-5D6E-409C-BE32-E72D297353CC}">
              <c16:uniqueId val="{00000001-733F-48AA-86E6-3588103C0593}"/>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Sheet1!$A$16:$A$62</c:f>
              <c:numCache>
                <c:formatCode>General</c:formatCode>
                <c:ptCount val="19"/>
                <c:pt idx="0">
                  <c:v>2018.3</c:v>
                </c:pt>
                <c:pt idx="1">
                  <c:v>2018.6</c:v>
                </c:pt>
                <c:pt idx="2">
                  <c:v>2018.9</c:v>
                </c:pt>
                <c:pt idx="3">
                  <c:v>2018.12</c:v>
                </c:pt>
                <c:pt idx="4">
                  <c:v>2019.3</c:v>
                </c:pt>
                <c:pt idx="5">
                  <c:v>2019.6</c:v>
                </c:pt>
                <c:pt idx="6">
                  <c:v>2019.9</c:v>
                </c:pt>
                <c:pt idx="7">
                  <c:v>2019.12</c:v>
                </c:pt>
                <c:pt idx="8">
                  <c:v>2020.3</c:v>
                </c:pt>
                <c:pt idx="9">
                  <c:v>2020.6</c:v>
                </c:pt>
                <c:pt idx="10">
                  <c:v>2020.9</c:v>
                </c:pt>
                <c:pt idx="11">
                  <c:v>2020.12</c:v>
                </c:pt>
                <c:pt idx="12">
                  <c:v>2021.3</c:v>
                </c:pt>
                <c:pt idx="13">
                  <c:v>2021.6</c:v>
                </c:pt>
                <c:pt idx="14">
                  <c:v>2021.9</c:v>
                </c:pt>
                <c:pt idx="15">
                  <c:v>2021.12</c:v>
                </c:pt>
                <c:pt idx="16">
                  <c:v>2022.3</c:v>
                </c:pt>
                <c:pt idx="17">
                  <c:v>2022.6</c:v>
                </c:pt>
                <c:pt idx="18">
                  <c:v>2022.8</c:v>
                </c:pt>
              </c:numCache>
            </c:numRef>
          </c:cat>
          <c:val>
            <c:numRef>
              <c:f>Sheet1!$E$16:$E$62</c:f>
              <c:numCache>
                <c:formatCode>0.0</c:formatCode>
                <c:ptCount val="19"/>
                <c:pt idx="0">
                  <c:v>1.0925</c:v>
                </c:pt>
                <c:pt idx="1">
                  <c:v>1.15805</c:v>
                </c:pt>
                <c:pt idx="2">
                  <c:v>0.85215000000000007</c:v>
                </c:pt>
                <c:pt idx="3">
                  <c:v>0.69920000000000004</c:v>
                </c:pt>
                <c:pt idx="4">
                  <c:v>0.20015999999999998</c:v>
                </c:pt>
                <c:pt idx="5">
                  <c:v>0.42255999999999994</c:v>
                </c:pt>
                <c:pt idx="6">
                  <c:v>0.53376000000000001</c:v>
                </c:pt>
                <c:pt idx="7">
                  <c:v>0.31135999999999997</c:v>
                </c:pt>
                <c:pt idx="8">
                  <c:v>0.27799999999999997</c:v>
                </c:pt>
                <c:pt idx="9">
                  <c:v>-4.2020000000000009E-2</c:v>
                </c:pt>
                <c:pt idx="10">
                  <c:v>0.11119999999999999</c:v>
                </c:pt>
                <c:pt idx="11">
                  <c:v>0.71433999999999997</c:v>
                </c:pt>
                <c:pt idx="12">
                  <c:v>1.8656400000000002</c:v>
                </c:pt>
                <c:pt idx="13">
                  <c:v>2.10995</c:v>
                </c:pt>
                <c:pt idx="14">
                  <c:v>2.1987900000000002</c:v>
                </c:pt>
                <c:pt idx="15">
                  <c:v>1.7768000000000002</c:v>
                </c:pt>
                <c:pt idx="16">
                  <c:v>1.0660800000000001</c:v>
                </c:pt>
                <c:pt idx="17">
                  <c:v>1.6657500000000001</c:v>
                </c:pt>
                <c:pt idx="18">
                  <c:v>1.8212199999999998</c:v>
                </c:pt>
              </c:numCache>
            </c:numRef>
          </c:val>
          <c:extLst>
            <c:ext xmlns:c16="http://schemas.microsoft.com/office/drawing/2014/chart" uri="{C3380CC4-5D6E-409C-BE32-E72D297353CC}">
              <c16:uniqueId val="{00000002-733F-48AA-86E6-3588103C0593}"/>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Sheet1!$A$16:$A$62</c:f>
              <c:numCache>
                <c:formatCode>General</c:formatCode>
                <c:ptCount val="19"/>
                <c:pt idx="0">
                  <c:v>2018.3</c:v>
                </c:pt>
                <c:pt idx="1">
                  <c:v>2018.6</c:v>
                </c:pt>
                <c:pt idx="2">
                  <c:v>2018.9</c:v>
                </c:pt>
                <c:pt idx="3">
                  <c:v>2018.12</c:v>
                </c:pt>
                <c:pt idx="4">
                  <c:v>2019.3</c:v>
                </c:pt>
                <c:pt idx="5">
                  <c:v>2019.6</c:v>
                </c:pt>
                <c:pt idx="6">
                  <c:v>2019.9</c:v>
                </c:pt>
                <c:pt idx="7">
                  <c:v>2019.12</c:v>
                </c:pt>
                <c:pt idx="8">
                  <c:v>2020.3</c:v>
                </c:pt>
                <c:pt idx="9">
                  <c:v>2020.6</c:v>
                </c:pt>
                <c:pt idx="10">
                  <c:v>2020.9</c:v>
                </c:pt>
                <c:pt idx="11">
                  <c:v>2020.12</c:v>
                </c:pt>
                <c:pt idx="12">
                  <c:v>2021.3</c:v>
                </c:pt>
                <c:pt idx="13">
                  <c:v>2021.6</c:v>
                </c:pt>
                <c:pt idx="14">
                  <c:v>2021.9</c:v>
                </c:pt>
                <c:pt idx="15">
                  <c:v>2021.12</c:v>
                </c:pt>
                <c:pt idx="16">
                  <c:v>2022.3</c:v>
                </c:pt>
                <c:pt idx="17">
                  <c:v>2022.6</c:v>
                </c:pt>
                <c:pt idx="18">
                  <c:v>2022.8</c:v>
                </c:pt>
              </c:numCache>
            </c:numRef>
          </c:cat>
          <c:val>
            <c:numRef>
              <c:f>Sheet1!$F$16:$F$62</c:f>
              <c:numCache>
                <c:formatCode>0.0</c:formatCode>
                <c:ptCount val="19"/>
                <c:pt idx="0">
                  <c:v>0.59543999999999997</c:v>
                </c:pt>
                <c:pt idx="1">
                  <c:v>0.46311999999999998</c:v>
                </c:pt>
                <c:pt idx="2">
                  <c:v>0.23155999999999999</c:v>
                </c:pt>
                <c:pt idx="3">
                  <c:v>0.26463999999999999</c:v>
                </c:pt>
                <c:pt idx="4">
                  <c:v>3.1870000000000002E-2</c:v>
                </c:pt>
                <c:pt idx="5">
                  <c:v>3.1870000000000002E-2</c:v>
                </c:pt>
                <c:pt idx="6">
                  <c:v>0.35057000000000005</c:v>
                </c:pt>
                <c:pt idx="7">
                  <c:v>0.33782200000000001</c:v>
                </c:pt>
                <c:pt idx="8">
                  <c:v>0.39837499999999998</c:v>
                </c:pt>
                <c:pt idx="9">
                  <c:v>0.46240999999999999</c:v>
                </c:pt>
                <c:pt idx="10">
                  <c:v>0.44618000000000002</c:v>
                </c:pt>
                <c:pt idx="11">
                  <c:v>0.56912000000000007</c:v>
                </c:pt>
                <c:pt idx="12">
                  <c:v>0.79486000000000023</c:v>
                </c:pt>
                <c:pt idx="13">
                  <c:v>0.75873000000000002</c:v>
                </c:pt>
                <c:pt idx="14">
                  <c:v>0.57808000000000004</c:v>
                </c:pt>
                <c:pt idx="15">
                  <c:v>0.68647000000000002</c:v>
                </c:pt>
                <c:pt idx="16">
                  <c:v>1.1922900000000001</c:v>
                </c:pt>
                <c:pt idx="17">
                  <c:v>1.91489</c:v>
                </c:pt>
                <c:pt idx="18">
                  <c:v>2.2400600000000002</c:v>
                </c:pt>
              </c:numCache>
            </c:numRef>
          </c:val>
          <c:extLst>
            <c:ext xmlns:c16="http://schemas.microsoft.com/office/drawing/2014/chart" uri="{C3380CC4-5D6E-409C-BE32-E72D297353CC}">
              <c16:uniqueId val="{00000003-733F-48AA-86E6-3588103C0593}"/>
            </c:ext>
          </c:extLst>
        </c:ser>
        <c:dLbls>
          <c:showLegendKey val="0"/>
          <c:showVal val="0"/>
          <c:showCatName val="0"/>
          <c:showSerName val="0"/>
          <c:showPercent val="0"/>
          <c:showBubbleSize val="0"/>
        </c:dLbls>
        <c:gapWidth val="100"/>
        <c:overlap val="100"/>
        <c:axId val="327907200"/>
        <c:axId val="327908736"/>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4-733F-48AA-86E6-3588103C0593}"/>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733F-48AA-86E6-3588103C0593}"/>
              </c:ext>
            </c:extLst>
          </c:dPt>
          <c:dPt>
            <c:idx val="11"/>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6-733F-48AA-86E6-3588103C0593}"/>
              </c:ext>
            </c:extLst>
          </c:dPt>
          <c:dPt>
            <c:idx val="15"/>
            <c:marker>
              <c:symbol val="auto"/>
            </c:marker>
            <c:bubble3D val="0"/>
            <c:extLst>
              <c:ext xmlns:c16="http://schemas.microsoft.com/office/drawing/2014/chart" uri="{C3380CC4-5D6E-409C-BE32-E72D297353CC}">
                <c16:uniqueId val="{00000007-733F-48AA-86E6-3588103C0593}"/>
              </c:ext>
            </c:extLst>
          </c:dPt>
          <c:dLbls>
            <c:dLbl>
              <c:idx val="3"/>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33F-48AA-86E6-3588103C0593}"/>
                </c:ext>
              </c:extLst>
            </c:dLbl>
            <c:dLbl>
              <c:idx val="7"/>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33F-48AA-86E6-3588103C0593}"/>
                </c:ext>
              </c:extLst>
            </c:dLbl>
            <c:dLbl>
              <c:idx val="11"/>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33F-48AA-86E6-3588103C0593}"/>
                </c:ext>
              </c:extLst>
            </c:dLbl>
            <c:dLbl>
              <c:idx val="15"/>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33F-48AA-86E6-3588103C0593}"/>
                </c:ext>
              </c:extLst>
            </c:dLbl>
            <c:dLbl>
              <c:idx val="18"/>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33F-48AA-86E6-3588103C0593}"/>
                </c:ext>
              </c:extLst>
            </c:dLbl>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Sheet1!$A$16:$A$62</c:f>
              <c:numCache>
                <c:formatCode>General</c:formatCode>
                <c:ptCount val="19"/>
                <c:pt idx="0">
                  <c:v>2018.3</c:v>
                </c:pt>
                <c:pt idx="1">
                  <c:v>2018.6</c:v>
                </c:pt>
                <c:pt idx="2">
                  <c:v>2018.9</c:v>
                </c:pt>
                <c:pt idx="3">
                  <c:v>2018.12</c:v>
                </c:pt>
                <c:pt idx="4">
                  <c:v>2019.3</c:v>
                </c:pt>
                <c:pt idx="5">
                  <c:v>2019.6</c:v>
                </c:pt>
                <c:pt idx="6">
                  <c:v>2019.9</c:v>
                </c:pt>
                <c:pt idx="7">
                  <c:v>2019.12</c:v>
                </c:pt>
                <c:pt idx="8">
                  <c:v>2020.3</c:v>
                </c:pt>
                <c:pt idx="9">
                  <c:v>2020.6</c:v>
                </c:pt>
                <c:pt idx="10">
                  <c:v>2020.9</c:v>
                </c:pt>
                <c:pt idx="11">
                  <c:v>2020.12</c:v>
                </c:pt>
                <c:pt idx="12">
                  <c:v>2021.3</c:v>
                </c:pt>
                <c:pt idx="13">
                  <c:v>2021.6</c:v>
                </c:pt>
                <c:pt idx="14">
                  <c:v>2021.9</c:v>
                </c:pt>
                <c:pt idx="15">
                  <c:v>2021.12</c:v>
                </c:pt>
                <c:pt idx="16">
                  <c:v>2022.3</c:v>
                </c:pt>
                <c:pt idx="17">
                  <c:v>2022.6</c:v>
                </c:pt>
                <c:pt idx="18">
                  <c:v>2022.8</c:v>
                </c:pt>
              </c:numCache>
            </c:numRef>
          </c:cat>
          <c:val>
            <c:numRef>
              <c:f>Sheet1!$B$16:$B$62</c:f>
              <c:numCache>
                <c:formatCode>0.0</c:formatCode>
                <c:ptCount val="19"/>
                <c:pt idx="0">
                  <c:v>3.746264</c:v>
                </c:pt>
                <c:pt idx="1">
                  <c:v>0.92360999999999982</c:v>
                </c:pt>
                <c:pt idx="2">
                  <c:v>3.4589300000000001</c:v>
                </c:pt>
                <c:pt idx="3">
                  <c:v>1.78416</c:v>
                </c:pt>
                <c:pt idx="4">
                  <c:v>1.8542299999999998</c:v>
                </c:pt>
                <c:pt idx="5">
                  <c:v>2.5381299999999998</c:v>
                </c:pt>
                <c:pt idx="6">
                  <c:v>0.5188100000000001</c:v>
                </c:pt>
                <c:pt idx="7">
                  <c:v>0.71975100000000003</c:v>
                </c:pt>
                <c:pt idx="8">
                  <c:v>-5.8054400000000055E-2</c:v>
                </c:pt>
                <c:pt idx="9">
                  <c:v>1.6678599999999999</c:v>
                </c:pt>
                <c:pt idx="10">
                  <c:v>1.3506399999999998</c:v>
                </c:pt>
                <c:pt idx="11">
                  <c:v>3.6551020000000003</c:v>
                </c:pt>
                <c:pt idx="12">
                  <c:v>5.8236124000000009</c:v>
                </c:pt>
                <c:pt idx="13">
                  <c:v>6.5348216000000008</c:v>
                </c:pt>
                <c:pt idx="14">
                  <c:v>8.9207590999999997</c:v>
                </c:pt>
                <c:pt idx="15">
                  <c:v>7.6726024000000006</c:v>
                </c:pt>
                <c:pt idx="16">
                  <c:v>7.3458211000000002</c:v>
                </c:pt>
                <c:pt idx="17">
                  <c:v>10.303516699999999</c:v>
                </c:pt>
                <c:pt idx="18">
                  <c:v>9.0816860999999989</c:v>
                </c:pt>
              </c:numCache>
            </c:numRef>
          </c:val>
          <c:smooth val="0"/>
          <c:extLst>
            <c:ext xmlns:c16="http://schemas.microsoft.com/office/drawing/2014/chart" uri="{C3380CC4-5D6E-409C-BE32-E72D297353CC}">
              <c16:uniqueId val="{00000009-733F-48AA-86E6-3588103C0593}"/>
            </c:ext>
          </c:extLst>
        </c:ser>
        <c:dLbls>
          <c:showLegendKey val="0"/>
          <c:showVal val="0"/>
          <c:showCatName val="0"/>
          <c:showSerName val="0"/>
          <c:showPercent val="0"/>
          <c:showBubbleSize val="0"/>
        </c:dLbls>
        <c:marker val="1"/>
        <c:smooth val="0"/>
        <c:axId val="327907200"/>
        <c:axId val="327908736"/>
      </c:lineChart>
      <c:catAx>
        <c:axId val="32790720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327908736"/>
        <c:crosses val="autoZero"/>
        <c:auto val="1"/>
        <c:lblAlgn val="ctr"/>
        <c:lblOffset val="100"/>
        <c:noMultiLvlLbl val="0"/>
      </c:catAx>
      <c:valAx>
        <c:axId val="327908736"/>
        <c:scaling>
          <c:orientation val="minMax"/>
          <c:max val="12"/>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32790720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lgn="l">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0836908098351"/>
          <c:y val="9.4702319668604998E-2"/>
          <c:w val="0.84290099330804125"/>
          <c:h val="1.9030841865487539E-2"/>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Sheet1!$C$2:$C$37</c:f>
              <c:numCache>
                <c:formatCode>General</c:formatCode>
                <c:ptCount val="12"/>
              </c:numCache>
            </c:numRef>
          </c:val>
          <c:extLst>
            <c:ext xmlns:c16="http://schemas.microsoft.com/office/drawing/2014/chart" uri="{C3380CC4-5D6E-409C-BE32-E72D297353CC}">
              <c16:uniqueId val="{00000000-E0DA-4417-B88B-9EE855707024}"/>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Sheet1!$D$2:$D$37</c:f>
              <c:numCache>
                <c:formatCode>General</c:formatCode>
                <c:ptCount val="12"/>
              </c:numCache>
            </c:numRef>
          </c:val>
          <c:extLst>
            <c:ext xmlns:c16="http://schemas.microsoft.com/office/drawing/2014/chart" uri="{C3380CC4-5D6E-409C-BE32-E72D297353CC}">
              <c16:uniqueId val="{00000001-E0DA-4417-B88B-9EE855707024}"/>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Sheet1!$E$2:$E$37</c:f>
              <c:numCache>
                <c:formatCode>General</c:formatCode>
                <c:ptCount val="12"/>
              </c:numCache>
            </c:numRef>
          </c:val>
          <c:extLst>
            <c:ext xmlns:c16="http://schemas.microsoft.com/office/drawing/2014/chart" uri="{C3380CC4-5D6E-409C-BE32-E72D297353CC}">
              <c16:uniqueId val="{00000002-E0DA-4417-B88B-9EE855707024}"/>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Sheet1!$F$2:$F$37</c:f>
              <c:numCache>
                <c:formatCode>General</c:formatCode>
                <c:ptCount val="12"/>
              </c:numCache>
            </c:numRef>
          </c:val>
          <c:extLst>
            <c:ext xmlns:c16="http://schemas.microsoft.com/office/drawing/2014/chart" uri="{C3380CC4-5D6E-409C-BE32-E72D297353CC}">
              <c16:uniqueId val="{00000003-E0DA-4417-B88B-9EE855707024}"/>
            </c:ext>
          </c:extLst>
        </c:ser>
        <c:dLbls>
          <c:showLegendKey val="0"/>
          <c:showVal val="0"/>
          <c:showCatName val="0"/>
          <c:showSerName val="0"/>
          <c:showPercent val="0"/>
          <c:showBubbleSize val="0"/>
        </c:dLbls>
        <c:gapWidth val="100"/>
        <c:overlap val="100"/>
        <c:axId val="328267648"/>
        <c:axId val="328269184"/>
      </c:barChart>
      <c:lineChart>
        <c:grouping val="standard"/>
        <c:varyColors val="0"/>
        <c:ser>
          <c:idx val="0"/>
          <c:order val="0"/>
          <c:tx>
            <c:strRef>
              <c:f>Sheet1!$B$1</c:f>
              <c:strCache>
                <c:ptCount val="1"/>
                <c:pt idx="0">
                  <c:v>Գնաճի տեմպ</c:v>
                </c:pt>
              </c:strCache>
            </c:strRef>
          </c:tx>
          <c:spPr>
            <a:ln w="34925" cap="rnd">
              <a:solidFill>
                <a:schemeClr val="accent1"/>
              </a:solidFill>
              <a:round/>
            </a:ln>
            <a:effectLst/>
          </c:spPr>
          <c:marker>
            <c:symbol val="none"/>
          </c:marker>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Sheet1!$B$2:$B$37</c:f>
              <c:numCache>
                <c:formatCode>General</c:formatCode>
                <c:ptCount val="12"/>
              </c:numCache>
            </c:numRef>
          </c:val>
          <c:smooth val="0"/>
          <c:extLst>
            <c:ext xmlns:c16="http://schemas.microsoft.com/office/drawing/2014/chart" uri="{C3380CC4-5D6E-409C-BE32-E72D297353CC}">
              <c16:uniqueId val="{00000004-E0DA-4417-B88B-9EE855707024}"/>
            </c:ext>
          </c:extLst>
        </c:ser>
        <c:dLbls>
          <c:showLegendKey val="0"/>
          <c:showVal val="0"/>
          <c:showCatName val="0"/>
          <c:showSerName val="0"/>
          <c:showPercent val="0"/>
          <c:showBubbleSize val="0"/>
        </c:dLbls>
        <c:marker val="1"/>
        <c:smooth val="0"/>
        <c:axId val="328267648"/>
        <c:axId val="328269184"/>
      </c:lineChart>
      <c:catAx>
        <c:axId val="328267648"/>
        <c:scaling>
          <c:orientation val="minMax"/>
        </c:scaling>
        <c:delete val="1"/>
        <c:axPos val="b"/>
        <c:numFmt formatCode="General" sourceLinked="1"/>
        <c:majorTickMark val="out"/>
        <c:minorTickMark val="none"/>
        <c:tickLblPos val="none"/>
        <c:crossAx val="328269184"/>
        <c:crosses val="autoZero"/>
        <c:auto val="1"/>
        <c:lblAlgn val="ctr"/>
        <c:lblOffset val="100"/>
        <c:noMultiLvlLbl val="0"/>
      </c:catAx>
      <c:valAx>
        <c:axId val="328269184"/>
        <c:scaling>
          <c:orientation val="minMax"/>
        </c:scaling>
        <c:delete val="1"/>
        <c:axPos val="l"/>
        <c:numFmt formatCode="General" sourceLinked="1"/>
        <c:majorTickMark val="none"/>
        <c:minorTickMark val="none"/>
        <c:tickLblPos val="none"/>
        <c:crossAx val="328267648"/>
        <c:crosses val="autoZero"/>
        <c:crossBetween val="between"/>
      </c:valAx>
      <c:spPr>
        <a:noFill/>
        <a:ln>
          <a:noFill/>
        </a:ln>
        <a:effectLst/>
      </c:spPr>
    </c:plotArea>
    <c:legend>
      <c:legendPos val="b"/>
      <c:layout>
        <c:manualLayout>
          <c:xMode val="edge"/>
          <c:yMode val="edge"/>
          <c:x val="2.4091860941327401E-2"/>
          <c:y val="0.10991302557768533"/>
          <c:w val="0.95949541633383073"/>
          <c:h val="0.8769288604549443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hy-AM" sz="900" i="1"/>
              <a:t>Գնաճի կանխատեսումները և նպատակային միջակայքը</a:t>
            </a:r>
            <a:r>
              <a:rPr lang="en-US" sz="900" i="1"/>
              <a:t>, %</a:t>
            </a:r>
          </a:p>
        </c:rich>
      </c:tx>
      <c:layout>
        <c:manualLayout>
          <c:xMode val="edge"/>
          <c:yMode val="edge"/>
          <c:x val="0.21738990489660431"/>
          <c:y val="1.2091606196284284E-2"/>
        </c:manualLayout>
      </c:layout>
      <c:overlay val="0"/>
      <c:spPr>
        <a:noFill/>
        <a:ln>
          <a:noFill/>
        </a:ln>
        <a:effectLst/>
      </c:spPr>
    </c:title>
    <c:autoTitleDeleted val="0"/>
    <c:plotArea>
      <c:layout>
        <c:manualLayout>
          <c:layoutTarget val="inner"/>
          <c:xMode val="edge"/>
          <c:yMode val="edge"/>
          <c:x val="4.286978223573857E-2"/>
          <c:y val="0.15820767267105321"/>
          <c:w val="0.9349795935193983"/>
          <c:h val="0.60057783583806246"/>
        </c:manualLayout>
      </c:layout>
      <c:lineChart>
        <c:grouping val="standard"/>
        <c:varyColors val="0"/>
        <c:ser>
          <c:idx val="0"/>
          <c:order val="0"/>
          <c:tx>
            <c:strRef>
              <c:f>Sheet1!$B$1</c:f>
              <c:strCache>
                <c:ptCount val="1"/>
                <c:pt idx="0">
                  <c:v>12 ամսյա գնաճ</c:v>
                </c:pt>
              </c:strCache>
            </c:strRef>
          </c:tx>
          <c:spPr>
            <a:ln w="31750" cap="rnd">
              <a:solidFill>
                <a:schemeClr val="accent1"/>
              </a:solidFill>
              <a:round/>
            </a:ln>
            <a:effectLst/>
          </c:spPr>
          <c:marker>
            <c:symbol val="circle"/>
            <c:size val="7"/>
            <c:spPr>
              <a:solidFill>
                <a:schemeClr val="accent1"/>
              </a:solidFill>
              <a:ln w="15875">
                <a:solidFill>
                  <a:schemeClr val="accent1"/>
                </a:solidFill>
                <a:round/>
              </a:ln>
              <a:effectLst/>
            </c:spPr>
          </c:marker>
          <c:dLbls>
            <c:dLbl>
              <c:idx val="1"/>
              <c:layout>
                <c:manualLayout>
                  <c:x val="-3.435360451067259E-2"/>
                  <c:y val="5.90326797385622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4DA-431E-91B7-ABEBC0801D2B}"/>
                </c:ext>
              </c:extLst>
            </c:dLbl>
            <c:dLbl>
              <c:idx val="2"/>
              <c:layout>
                <c:manualLayout>
                  <c:x val="-3.3729359645589999E-2"/>
                  <c:y val="4.334640522875807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4DA-431E-91B7-ABEBC0801D2B}"/>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Sheet1!$A$2:$A$10</c:f>
              <c:numCache>
                <c:formatCode>General</c:formatCode>
                <c:ptCount val="6"/>
                <c:pt idx="0">
                  <c:v>2018</c:v>
                </c:pt>
                <c:pt idx="1">
                  <c:v>2019</c:v>
                </c:pt>
                <c:pt idx="2">
                  <c:v>2020</c:v>
                </c:pt>
                <c:pt idx="3">
                  <c:v>2021</c:v>
                </c:pt>
                <c:pt idx="4">
                  <c:v>2022</c:v>
                </c:pt>
                <c:pt idx="5">
                  <c:v>2023</c:v>
                </c:pt>
              </c:numCache>
            </c:numRef>
          </c:cat>
          <c:val>
            <c:numRef>
              <c:f>Sheet1!$B$2:$B$10</c:f>
              <c:numCache>
                <c:formatCode>0.0</c:formatCode>
                <c:ptCount val="6"/>
                <c:pt idx="0">
                  <c:v>1.7710353790077846</c:v>
                </c:pt>
                <c:pt idx="1">
                  <c:v>0.74073867036182151</c:v>
                </c:pt>
                <c:pt idx="2">
                  <c:v>3.6934661649650451</c:v>
                </c:pt>
                <c:pt idx="3">
                  <c:v>7.6757614850219795</c:v>
                </c:pt>
                <c:pt idx="4">
                  <c:v>8.5</c:v>
                </c:pt>
                <c:pt idx="5">
                  <c:v>3.6</c:v>
                </c:pt>
              </c:numCache>
            </c:numRef>
          </c:val>
          <c:smooth val="0"/>
          <c:extLst>
            <c:ext xmlns:c16="http://schemas.microsoft.com/office/drawing/2014/chart" uri="{C3380CC4-5D6E-409C-BE32-E72D297353CC}">
              <c16:uniqueId val="{00000002-D4DA-431E-91B7-ABEBC0801D2B}"/>
            </c:ext>
          </c:extLst>
        </c:ser>
        <c:ser>
          <c:idx val="1"/>
          <c:order val="1"/>
          <c:tx>
            <c:strRef>
              <c:f>Sheet1!$C$1</c:f>
              <c:strCache>
                <c:ptCount val="1"/>
                <c:pt idx="0">
                  <c:v>Միջին գնաճ</c:v>
                </c:pt>
              </c:strCache>
            </c:strRef>
          </c:tx>
          <c:spPr>
            <a:ln w="28575" cap="rnd">
              <a:solidFill>
                <a:srgbClr val="FF0000"/>
              </a:solidFill>
              <a:round/>
            </a:ln>
            <a:effectLst/>
          </c:spPr>
          <c:marker>
            <c:symbol val="square"/>
            <c:size val="7"/>
            <c:spPr>
              <a:solidFill>
                <a:srgbClr val="FF0000"/>
              </a:solidFill>
              <a:ln w="15875">
                <a:solidFill>
                  <a:srgbClr val="FF0000"/>
                </a:solidFill>
                <a:round/>
              </a:ln>
              <a:effectLst/>
            </c:spPr>
          </c:marker>
          <c:dLbls>
            <c:dLbl>
              <c:idx val="1"/>
              <c:layout>
                <c:manualLayout>
                  <c:x val="-3.3296494905514985E-2"/>
                  <c:y val="-5.90326797385622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4DA-431E-91B7-ABEBC0801D2B}"/>
                </c:ext>
              </c:extLst>
            </c:dLbl>
            <c:dLbl>
              <c:idx val="2"/>
              <c:layout>
                <c:manualLayout>
                  <c:x val="-3.1735803463552245E-2"/>
                  <c:y val="-6.426143790849694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4DA-431E-91B7-ABEBC0801D2B}"/>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Sheet1!$A$2:$A$10</c:f>
              <c:numCache>
                <c:formatCode>General</c:formatCode>
                <c:ptCount val="6"/>
                <c:pt idx="0">
                  <c:v>2018</c:v>
                </c:pt>
                <c:pt idx="1">
                  <c:v>2019</c:v>
                </c:pt>
                <c:pt idx="2">
                  <c:v>2020</c:v>
                </c:pt>
                <c:pt idx="3">
                  <c:v>2021</c:v>
                </c:pt>
                <c:pt idx="4">
                  <c:v>2022</c:v>
                </c:pt>
                <c:pt idx="5">
                  <c:v>2023</c:v>
                </c:pt>
              </c:numCache>
            </c:numRef>
          </c:cat>
          <c:val>
            <c:numRef>
              <c:f>Sheet1!$C$2:$C$10</c:f>
              <c:numCache>
                <c:formatCode>0.0</c:formatCode>
                <c:ptCount val="6"/>
                <c:pt idx="0">
                  <c:v>2.5490680730946309</c:v>
                </c:pt>
                <c:pt idx="1">
                  <c:v>1.4309835696169273</c:v>
                </c:pt>
                <c:pt idx="2">
                  <c:v>1.2335679541075848</c:v>
                </c:pt>
                <c:pt idx="3">
                  <c:v>7.2455189371209059</c:v>
                </c:pt>
                <c:pt idx="4">
                  <c:v>8.1</c:v>
                </c:pt>
                <c:pt idx="5">
                  <c:v>5.6</c:v>
                </c:pt>
              </c:numCache>
            </c:numRef>
          </c:val>
          <c:smooth val="0"/>
          <c:extLst>
            <c:ext xmlns:c16="http://schemas.microsoft.com/office/drawing/2014/chart" uri="{C3380CC4-5D6E-409C-BE32-E72D297353CC}">
              <c16:uniqueId val="{00000005-D4DA-431E-91B7-ABEBC0801D2B}"/>
            </c:ext>
          </c:extLst>
        </c:ser>
        <c:ser>
          <c:idx val="2"/>
          <c:order val="2"/>
          <c:tx>
            <c:strRef>
              <c:f>Sheet1!$D$1</c:f>
              <c:strCache>
                <c:ptCount val="1"/>
                <c:pt idx="0">
                  <c:v>Column2</c:v>
                </c:pt>
              </c:strCache>
            </c:strRef>
          </c:tx>
          <c:spPr>
            <a:ln w="19050" cap="rnd">
              <a:solidFill>
                <a:srgbClr val="C00000"/>
              </a:solidFill>
              <a:prstDash val="dash"/>
              <a:round/>
            </a:ln>
            <a:effectLst/>
          </c:spPr>
          <c:marker>
            <c:symbol val="none"/>
          </c:marker>
          <c:cat>
            <c:numRef>
              <c:f>Sheet1!$A$2:$A$10</c:f>
              <c:numCache>
                <c:formatCode>General</c:formatCode>
                <c:ptCount val="6"/>
                <c:pt idx="0">
                  <c:v>2018</c:v>
                </c:pt>
                <c:pt idx="1">
                  <c:v>2019</c:v>
                </c:pt>
                <c:pt idx="2">
                  <c:v>2020</c:v>
                </c:pt>
                <c:pt idx="3">
                  <c:v>2021</c:v>
                </c:pt>
                <c:pt idx="4">
                  <c:v>2022</c:v>
                </c:pt>
                <c:pt idx="5">
                  <c:v>2023</c:v>
                </c:pt>
              </c:numCache>
            </c:numRef>
          </c:cat>
          <c:val>
            <c:numRef>
              <c:f>Sheet1!$D$2:$D$10</c:f>
              <c:numCache>
                <c:formatCode>General</c:formatCode>
                <c:ptCount val="6"/>
                <c:pt idx="0">
                  <c:v>4</c:v>
                </c:pt>
                <c:pt idx="1">
                  <c:v>4</c:v>
                </c:pt>
                <c:pt idx="2">
                  <c:v>4</c:v>
                </c:pt>
                <c:pt idx="3">
                  <c:v>4</c:v>
                </c:pt>
                <c:pt idx="4">
                  <c:v>4</c:v>
                </c:pt>
                <c:pt idx="5">
                  <c:v>4</c:v>
                </c:pt>
              </c:numCache>
            </c:numRef>
          </c:val>
          <c:smooth val="0"/>
          <c:extLst>
            <c:ext xmlns:c16="http://schemas.microsoft.com/office/drawing/2014/chart" uri="{C3380CC4-5D6E-409C-BE32-E72D297353CC}">
              <c16:uniqueId val="{00000006-D4DA-431E-91B7-ABEBC0801D2B}"/>
            </c:ext>
          </c:extLst>
        </c:ser>
        <c:ser>
          <c:idx val="3"/>
          <c:order val="3"/>
          <c:tx>
            <c:strRef>
              <c:f>Sheet1!$E$1</c:f>
              <c:strCache>
                <c:ptCount val="1"/>
                <c:pt idx="0">
                  <c:v>Column3</c:v>
                </c:pt>
              </c:strCache>
            </c:strRef>
          </c:tx>
          <c:spPr>
            <a:ln w="12700" cap="rnd">
              <a:solidFill>
                <a:schemeClr val="accent2"/>
              </a:solidFill>
              <a:prstDash val="sysDash"/>
              <a:round/>
            </a:ln>
            <a:effectLst/>
          </c:spPr>
          <c:marker>
            <c:symbol val="none"/>
          </c:marker>
          <c:cat>
            <c:numRef>
              <c:f>Sheet1!$A$2:$A$10</c:f>
              <c:numCache>
                <c:formatCode>General</c:formatCode>
                <c:ptCount val="6"/>
                <c:pt idx="0">
                  <c:v>2018</c:v>
                </c:pt>
                <c:pt idx="1">
                  <c:v>2019</c:v>
                </c:pt>
                <c:pt idx="2">
                  <c:v>2020</c:v>
                </c:pt>
                <c:pt idx="3">
                  <c:v>2021</c:v>
                </c:pt>
                <c:pt idx="4">
                  <c:v>2022</c:v>
                </c:pt>
                <c:pt idx="5">
                  <c:v>2023</c:v>
                </c:pt>
              </c:numCache>
            </c:numRef>
          </c:cat>
          <c:val>
            <c:numRef>
              <c:f>Sheet1!$E$2:$E$10</c:f>
              <c:numCache>
                <c:formatCode>General</c:formatCode>
                <c:ptCount val="6"/>
                <c:pt idx="0">
                  <c:v>5.5</c:v>
                </c:pt>
                <c:pt idx="1">
                  <c:v>5.5</c:v>
                </c:pt>
                <c:pt idx="2">
                  <c:v>5.5</c:v>
                </c:pt>
                <c:pt idx="3">
                  <c:v>5.5</c:v>
                </c:pt>
                <c:pt idx="4">
                  <c:v>5.5</c:v>
                </c:pt>
                <c:pt idx="5">
                  <c:v>5.5</c:v>
                </c:pt>
              </c:numCache>
            </c:numRef>
          </c:val>
          <c:smooth val="0"/>
          <c:extLst>
            <c:ext xmlns:c16="http://schemas.microsoft.com/office/drawing/2014/chart" uri="{C3380CC4-5D6E-409C-BE32-E72D297353CC}">
              <c16:uniqueId val="{00000007-D4DA-431E-91B7-ABEBC0801D2B}"/>
            </c:ext>
          </c:extLst>
        </c:ser>
        <c:ser>
          <c:idx val="4"/>
          <c:order val="4"/>
          <c:tx>
            <c:strRef>
              <c:f>Sheet1!$F$1</c:f>
              <c:strCache>
                <c:ptCount val="1"/>
                <c:pt idx="0">
                  <c:v>Column4</c:v>
                </c:pt>
              </c:strCache>
            </c:strRef>
          </c:tx>
          <c:spPr>
            <a:ln w="15875" cap="rnd">
              <a:solidFill>
                <a:schemeClr val="accent2"/>
              </a:solidFill>
              <a:prstDash val="sysDash"/>
              <a:round/>
            </a:ln>
            <a:effectLst/>
          </c:spPr>
          <c:marker>
            <c:symbol val="none"/>
          </c:marker>
          <c:cat>
            <c:numRef>
              <c:f>Sheet1!$A$2:$A$10</c:f>
              <c:numCache>
                <c:formatCode>General</c:formatCode>
                <c:ptCount val="6"/>
                <c:pt idx="0">
                  <c:v>2018</c:v>
                </c:pt>
                <c:pt idx="1">
                  <c:v>2019</c:v>
                </c:pt>
                <c:pt idx="2">
                  <c:v>2020</c:v>
                </c:pt>
                <c:pt idx="3">
                  <c:v>2021</c:v>
                </c:pt>
                <c:pt idx="4">
                  <c:v>2022</c:v>
                </c:pt>
                <c:pt idx="5">
                  <c:v>2023</c:v>
                </c:pt>
              </c:numCache>
            </c:numRef>
          </c:cat>
          <c:val>
            <c:numRef>
              <c:f>Sheet1!$F$2:$F$10</c:f>
              <c:numCache>
                <c:formatCode>General</c:formatCode>
                <c:ptCount val="6"/>
                <c:pt idx="0">
                  <c:v>2.5</c:v>
                </c:pt>
                <c:pt idx="1">
                  <c:v>2.5</c:v>
                </c:pt>
                <c:pt idx="2">
                  <c:v>2.5</c:v>
                </c:pt>
                <c:pt idx="3">
                  <c:v>2.5</c:v>
                </c:pt>
                <c:pt idx="4">
                  <c:v>2.5</c:v>
                </c:pt>
                <c:pt idx="5">
                  <c:v>2.5</c:v>
                </c:pt>
              </c:numCache>
            </c:numRef>
          </c:val>
          <c:smooth val="0"/>
          <c:extLst>
            <c:ext xmlns:c16="http://schemas.microsoft.com/office/drawing/2014/chart" uri="{C3380CC4-5D6E-409C-BE32-E72D297353CC}">
              <c16:uniqueId val="{00000008-D4DA-431E-91B7-ABEBC0801D2B}"/>
            </c:ext>
          </c:extLst>
        </c:ser>
        <c:dLbls>
          <c:showLegendKey val="0"/>
          <c:showVal val="0"/>
          <c:showCatName val="0"/>
          <c:showSerName val="0"/>
          <c:showPercent val="0"/>
          <c:showBubbleSize val="0"/>
        </c:dLbls>
        <c:marker val="1"/>
        <c:smooth val="0"/>
        <c:axId val="334422784"/>
        <c:axId val="334424320"/>
      </c:lineChart>
      <c:catAx>
        <c:axId val="33442278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334424320"/>
        <c:crosses val="autoZero"/>
        <c:auto val="1"/>
        <c:lblAlgn val="ctr"/>
        <c:lblOffset val="100"/>
        <c:noMultiLvlLbl val="0"/>
      </c:catAx>
      <c:valAx>
        <c:axId val="334424320"/>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334422784"/>
        <c:crosses val="autoZero"/>
        <c:crossBetween val="between"/>
      </c:valAx>
      <c:spPr>
        <a:pattFill prst="ltDnDiag">
          <a:fgClr>
            <a:schemeClr val="dk1">
              <a:lumMod val="15000"/>
              <a:lumOff val="85000"/>
            </a:schemeClr>
          </a:fgClr>
          <a:bgClr>
            <a:schemeClr val="lt1"/>
          </a:bgClr>
        </a:pattFill>
        <a:ln>
          <a:noFill/>
        </a:ln>
        <a:effectLst/>
      </c:spPr>
    </c:plotArea>
    <c:legend>
      <c:legendPos val="b"/>
      <c:legendEntry>
        <c:idx val="2"/>
        <c:delete val="1"/>
      </c:legendEntry>
      <c:legendEntry>
        <c:idx val="3"/>
        <c:delete val="1"/>
      </c:legendEntry>
      <c:legendEntry>
        <c:idx val="4"/>
        <c:delete val="1"/>
      </c:legendEntry>
      <c:layout>
        <c:manualLayout>
          <c:xMode val="edge"/>
          <c:yMode val="edge"/>
          <c:x val="0.14766603676674128"/>
          <c:y val="0.86064068445478081"/>
          <c:w val="0.68434653349696861"/>
          <c:h val="0.1302270612045914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userShapes r:id="rId3"/>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cap="none" spc="0" normalizeH="0" baseline="0">
                <a:solidFill>
                  <a:schemeClr val="tx1"/>
                </a:solidFill>
                <a:latin typeface="GHEA Grapalat" panose="02000506050000020003" pitchFamily="50" charset="0"/>
                <a:ea typeface="+mj-ea"/>
                <a:cs typeface="+mj-cs"/>
              </a:defRPr>
            </a:pPr>
            <a:r>
              <a:rPr lang="hy-AM" sz="900" i="1"/>
              <a:t>Կարճաժամկետ տոկոսադրույքներ, </a:t>
            </a:r>
            <a:r>
              <a:rPr lang="en-US" sz="900" i="1"/>
              <a:t>%</a:t>
            </a:r>
          </a:p>
        </c:rich>
      </c:tx>
      <c:layout/>
      <c:overlay val="0"/>
      <c:spPr>
        <a:noFill/>
        <a:ln>
          <a:noFill/>
        </a:ln>
        <a:effectLst/>
      </c:spPr>
    </c:title>
    <c:autoTitleDeleted val="0"/>
    <c:plotArea>
      <c:layout>
        <c:manualLayout>
          <c:layoutTarget val="inner"/>
          <c:xMode val="edge"/>
          <c:yMode val="edge"/>
          <c:x val="0.11873660719946239"/>
          <c:y val="0.19546619172603474"/>
          <c:w val="0.83697997895190634"/>
          <c:h val="0.34204632060829027"/>
        </c:manualLayout>
      </c:layout>
      <c:lineChart>
        <c:grouping val="standard"/>
        <c:varyColors val="0"/>
        <c:ser>
          <c:idx val="0"/>
          <c:order val="0"/>
          <c:tx>
            <c:strRef>
              <c:f>Sheet1!$B$1</c:f>
              <c:strCache>
                <c:ptCount val="1"/>
                <c:pt idx="0">
                  <c:v>ԿԲ վերաֆինանսավորման տոկոսադրույք</c:v>
                </c:pt>
              </c:strCache>
            </c:strRef>
          </c:tx>
          <c:spPr>
            <a:ln w="22225" cap="rnd">
              <a:solidFill>
                <a:schemeClr val="accent1"/>
              </a:solidFill>
              <a:round/>
            </a:ln>
            <a:effectLst/>
          </c:spPr>
          <c:marker>
            <c:symbol val="none"/>
          </c:marker>
          <c:cat>
            <c:strRef>
              <c:f>Sheet1!$A$2:$A$66</c:f>
              <c:strCache>
                <c:ptCount val="53"/>
                <c:pt idx="0">
                  <c:v>2018/1</c:v>
                </c:pt>
                <c:pt idx="1">
                  <c:v>2018/2</c:v>
                </c:pt>
                <c:pt idx="2">
                  <c:v>2018/3</c:v>
                </c:pt>
                <c:pt idx="3">
                  <c:v>2018/4</c:v>
                </c:pt>
                <c:pt idx="4">
                  <c:v>2018/5</c:v>
                </c:pt>
                <c:pt idx="5">
                  <c:v>2018/6</c:v>
                </c:pt>
                <c:pt idx="6">
                  <c:v>2018/7</c:v>
                </c:pt>
                <c:pt idx="7">
                  <c:v>2018/8</c:v>
                </c:pt>
                <c:pt idx="8">
                  <c:v>2018/9</c:v>
                </c:pt>
                <c:pt idx="9">
                  <c:v>2018/10</c:v>
                </c:pt>
                <c:pt idx="10">
                  <c:v>2018/11</c:v>
                </c:pt>
                <c:pt idx="11">
                  <c:v>2018/12</c:v>
                </c:pt>
                <c:pt idx="12">
                  <c:v>2019/1</c:v>
                </c:pt>
                <c:pt idx="13">
                  <c:v>2019/2</c:v>
                </c:pt>
                <c:pt idx="14">
                  <c:v>2019/3</c:v>
                </c:pt>
                <c:pt idx="15">
                  <c:v>2019/4</c:v>
                </c:pt>
                <c:pt idx="16">
                  <c:v>2019/5</c:v>
                </c:pt>
                <c:pt idx="17">
                  <c:v>2019/6</c:v>
                </c:pt>
                <c:pt idx="18">
                  <c:v>2019/7</c:v>
                </c:pt>
                <c:pt idx="19">
                  <c:v>2019/8</c:v>
                </c:pt>
                <c:pt idx="20">
                  <c:v>2019/9</c:v>
                </c:pt>
                <c:pt idx="21">
                  <c:v>2019/10</c:v>
                </c:pt>
                <c:pt idx="22">
                  <c:v>2019/11</c:v>
                </c:pt>
                <c:pt idx="23">
                  <c:v>2019/12</c:v>
                </c:pt>
                <c:pt idx="24">
                  <c:v>2020/1</c:v>
                </c:pt>
                <c:pt idx="25">
                  <c:v>2020/2</c:v>
                </c:pt>
                <c:pt idx="26">
                  <c:v>2020/3</c:v>
                </c:pt>
                <c:pt idx="27">
                  <c:v>2020/4</c:v>
                </c:pt>
                <c:pt idx="28">
                  <c:v>2020/5</c:v>
                </c:pt>
                <c:pt idx="29">
                  <c:v>2020/6</c:v>
                </c:pt>
                <c:pt idx="30">
                  <c:v>2020/7</c:v>
                </c:pt>
                <c:pt idx="31">
                  <c:v>2020/8</c:v>
                </c:pt>
                <c:pt idx="32">
                  <c:v>2020/9</c:v>
                </c:pt>
                <c:pt idx="33">
                  <c:v>2020/10</c:v>
                </c:pt>
                <c:pt idx="34">
                  <c:v>2020/11</c:v>
                </c:pt>
                <c:pt idx="35">
                  <c:v>2020/12</c:v>
                </c:pt>
                <c:pt idx="36">
                  <c:v>2021/1</c:v>
                </c:pt>
                <c:pt idx="37">
                  <c:v>2021/2</c:v>
                </c:pt>
                <c:pt idx="38">
                  <c:v>2021/3</c:v>
                </c:pt>
                <c:pt idx="39">
                  <c:v>2021/4</c:v>
                </c:pt>
                <c:pt idx="40">
                  <c:v>2021/5</c:v>
                </c:pt>
                <c:pt idx="41">
                  <c:v>2021/6</c:v>
                </c:pt>
                <c:pt idx="42">
                  <c:v>2021/7</c:v>
                </c:pt>
                <c:pt idx="43">
                  <c:v>2021/8</c:v>
                </c:pt>
                <c:pt idx="44">
                  <c:v>2021/9</c:v>
                </c:pt>
                <c:pt idx="45">
                  <c:v>2021/10</c:v>
                </c:pt>
                <c:pt idx="46">
                  <c:v>2021/11</c:v>
                </c:pt>
                <c:pt idx="47">
                  <c:v>2021/12</c:v>
                </c:pt>
                <c:pt idx="48">
                  <c:v>2022/1</c:v>
                </c:pt>
                <c:pt idx="49">
                  <c:v>2022/2</c:v>
                </c:pt>
                <c:pt idx="50">
                  <c:v>2022/3</c:v>
                </c:pt>
                <c:pt idx="51">
                  <c:v>2022/4</c:v>
                </c:pt>
                <c:pt idx="52">
                  <c:v>2022/5</c:v>
                </c:pt>
              </c:strCache>
            </c:strRef>
          </c:cat>
          <c:val>
            <c:numRef>
              <c:f>Sheet1!$B$2:$B$66</c:f>
              <c:numCache>
                <c:formatCode>0.0</c:formatCode>
                <c:ptCount val="53"/>
                <c:pt idx="0">
                  <c:v>6</c:v>
                </c:pt>
                <c:pt idx="1">
                  <c:v>6</c:v>
                </c:pt>
                <c:pt idx="2">
                  <c:v>6</c:v>
                </c:pt>
                <c:pt idx="3">
                  <c:v>6</c:v>
                </c:pt>
                <c:pt idx="4">
                  <c:v>6</c:v>
                </c:pt>
                <c:pt idx="5">
                  <c:v>6</c:v>
                </c:pt>
                <c:pt idx="6">
                  <c:v>6</c:v>
                </c:pt>
                <c:pt idx="7">
                  <c:v>6</c:v>
                </c:pt>
                <c:pt idx="8">
                  <c:v>6</c:v>
                </c:pt>
                <c:pt idx="9">
                  <c:v>6</c:v>
                </c:pt>
                <c:pt idx="10">
                  <c:v>6</c:v>
                </c:pt>
                <c:pt idx="11">
                  <c:v>6</c:v>
                </c:pt>
                <c:pt idx="12">
                  <c:v>5.75</c:v>
                </c:pt>
                <c:pt idx="13">
                  <c:v>5.75</c:v>
                </c:pt>
                <c:pt idx="14">
                  <c:v>5.75</c:v>
                </c:pt>
                <c:pt idx="15">
                  <c:v>5.75</c:v>
                </c:pt>
                <c:pt idx="16">
                  <c:v>5.75</c:v>
                </c:pt>
                <c:pt idx="17">
                  <c:v>5.75</c:v>
                </c:pt>
                <c:pt idx="18">
                  <c:v>5.75</c:v>
                </c:pt>
                <c:pt idx="19">
                  <c:v>5.75</c:v>
                </c:pt>
                <c:pt idx="20">
                  <c:v>5.5</c:v>
                </c:pt>
                <c:pt idx="21">
                  <c:v>5.5</c:v>
                </c:pt>
                <c:pt idx="22">
                  <c:v>5.5</c:v>
                </c:pt>
                <c:pt idx="23">
                  <c:v>5.5</c:v>
                </c:pt>
                <c:pt idx="24">
                  <c:v>5.5</c:v>
                </c:pt>
                <c:pt idx="25">
                  <c:v>5.5</c:v>
                </c:pt>
                <c:pt idx="26">
                  <c:v>5.25</c:v>
                </c:pt>
                <c:pt idx="27">
                  <c:v>5</c:v>
                </c:pt>
                <c:pt idx="28">
                  <c:v>5</c:v>
                </c:pt>
                <c:pt idx="29">
                  <c:v>4.5</c:v>
                </c:pt>
                <c:pt idx="30">
                  <c:v>4.5</c:v>
                </c:pt>
                <c:pt idx="31">
                  <c:v>4.5</c:v>
                </c:pt>
                <c:pt idx="32">
                  <c:v>4.25</c:v>
                </c:pt>
                <c:pt idx="33">
                  <c:v>4.25</c:v>
                </c:pt>
                <c:pt idx="34">
                  <c:v>4.25</c:v>
                </c:pt>
                <c:pt idx="35">
                  <c:v>5.25</c:v>
                </c:pt>
                <c:pt idx="36">
                  <c:v>5.25</c:v>
                </c:pt>
                <c:pt idx="37">
                  <c:v>5.5</c:v>
                </c:pt>
                <c:pt idx="38">
                  <c:v>5.5</c:v>
                </c:pt>
                <c:pt idx="39">
                  <c:v>5.5</c:v>
                </c:pt>
                <c:pt idx="40">
                  <c:v>6</c:v>
                </c:pt>
                <c:pt idx="41">
                  <c:v>6.5</c:v>
                </c:pt>
                <c:pt idx="42">
                  <c:v>6.5</c:v>
                </c:pt>
                <c:pt idx="43">
                  <c:v>7</c:v>
                </c:pt>
                <c:pt idx="44">
                  <c:v>7.25</c:v>
                </c:pt>
                <c:pt idx="45">
                  <c:v>7.25</c:v>
                </c:pt>
                <c:pt idx="46">
                  <c:v>7.25</c:v>
                </c:pt>
                <c:pt idx="47">
                  <c:v>7.75</c:v>
                </c:pt>
                <c:pt idx="48">
                  <c:v>7.75</c:v>
                </c:pt>
                <c:pt idx="49">
                  <c:v>8</c:v>
                </c:pt>
                <c:pt idx="50">
                  <c:v>9.25</c:v>
                </c:pt>
                <c:pt idx="51">
                  <c:v>9.25</c:v>
                </c:pt>
                <c:pt idx="52">
                  <c:v>9.25</c:v>
                </c:pt>
              </c:numCache>
            </c:numRef>
          </c:val>
          <c:smooth val="0"/>
          <c:extLst>
            <c:ext xmlns:c16="http://schemas.microsoft.com/office/drawing/2014/chart" uri="{C3380CC4-5D6E-409C-BE32-E72D297353CC}">
              <c16:uniqueId val="{00000000-B61C-4727-BCED-DD07705BED75}"/>
            </c:ext>
          </c:extLst>
        </c:ser>
        <c:ser>
          <c:idx val="1"/>
          <c:order val="1"/>
          <c:tx>
            <c:strRef>
              <c:f>Sheet1!$C$1</c:f>
              <c:strCache>
                <c:ptCount val="1"/>
                <c:pt idx="0">
                  <c:v>Միջբանկային ռեպո տոկոսադրույք </c:v>
                </c:pt>
              </c:strCache>
            </c:strRef>
          </c:tx>
          <c:spPr>
            <a:ln w="22225" cap="rnd">
              <a:solidFill>
                <a:schemeClr val="accent2"/>
              </a:solidFill>
              <a:round/>
            </a:ln>
            <a:effectLst/>
          </c:spPr>
          <c:marker>
            <c:symbol val="none"/>
          </c:marker>
          <c:cat>
            <c:strRef>
              <c:f>Sheet1!$A$2:$A$66</c:f>
              <c:strCache>
                <c:ptCount val="53"/>
                <c:pt idx="0">
                  <c:v>2018/1</c:v>
                </c:pt>
                <c:pt idx="1">
                  <c:v>2018/2</c:v>
                </c:pt>
                <c:pt idx="2">
                  <c:v>2018/3</c:v>
                </c:pt>
                <c:pt idx="3">
                  <c:v>2018/4</c:v>
                </c:pt>
                <c:pt idx="4">
                  <c:v>2018/5</c:v>
                </c:pt>
                <c:pt idx="5">
                  <c:v>2018/6</c:v>
                </c:pt>
                <c:pt idx="6">
                  <c:v>2018/7</c:v>
                </c:pt>
                <c:pt idx="7">
                  <c:v>2018/8</c:v>
                </c:pt>
                <c:pt idx="8">
                  <c:v>2018/9</c:v>
                </c:pt>
                <c:pt idx="9">
                  <c:v>2018/10</c:v>
                </c:pt>
                <c:pt idx="10">
                  <c:v>2018/11</c:v>
                </c:pt>
                <c:pt idx="11">
                  <c:v>2018/12</c:v>
                </c:pt>
                <c:pt idx="12">
                  <c:v>2019/1</c:v>
                </c:pt>
                <c:pt idx="13">
                  <c:v>2019/2</c:v>
                </c:pt>
                <c:pt idx="14">
                  <c:v>2019/3</c:v>
                </c:pt>
                <c:pt idx="15">
                  <c:v>2019/4</c:v>
                </c:pt>
                <c:pt idx="16">
                  <c:v>2019/5</c:v>
                </c:pt>
                <c:pt idx="17">
                  <c:v>2019/6</c:v>
                </c:pt>
                <c:pt idx="18">
                  <c:v>2019/7</c:v>
                </c:pt>
                <c:pt idx="19">
                  <c:v>2019/8</c:v>
                </c:pt>
                <c:pt idx="20">
                  <c:v>2019/9</c:v>
                </c:pt>
                <c:pt idx="21">
                  <c:v>2019/10</c:v>
                </c:pt>
                <c:pt idx="22">
                  <c:v>2019/11</c:v>
                </c:pt>
                <c:pt idx="23">
                  <c:v>2019/12</c:v>
                </c:pt>
                <c:pt idx="24">
                  <c:v>2020/1</c:v>
                </c:pt>
                <c:pt idx="25">
                  <c:v>2020/2</c:v>
                </c:pt>
                <c:pt idx="26">
                  <c:v>2020/3</c:v>
                </c:pt>
                <c:pt idx="27">
                  <c:v>2020/4</c:v>
                </c:pt>
                <c:pt idx="28">
                  <c:v>2020/5</c:v>
                </c:pt>
                <c:pt idx="29">
                  <c:v>2020/6</c:v>
                </c:pt>
                <c:pt idx="30">
                  <c:v>2020/7</c:v>
                </c:pt>
                <c:pt idx="31">
                  <c:v>2020/8</c:v>
                </c:pt>
                <c:pt idx="32">
                  <c:v>2020/9</c:v>
                </c:pt>
                <c:pt idx="33">
                  <c:v>2020/10</c:v>
                </c:pt>
                <c:pt idx="34">
                  <c:v>2020/11</c:v>
                </c:pt>
                <c:pt idx="35">
                  <c:v>2020/12</c:v>
                </c:pt>
                <c:pt idx="36">
                  <c:v>2021/1</c:v>
                </c:pt>
                <c:pt idx="37">
                  <c:v>2021/2</c:v>
                </c:pt>
                <c:pt idx="38">
                  <c:v>2021/3</c:v>
                </c:pt>
                <c:pt idx="39">
                  <c:v>2021/4</c:v>
                </c:pt>
                <c:pt idx="40">
                  <c:v>2021/5</c:v>
                </c:pt>
                <c:pt idx="41">
                  <c:v>2021/6</c:v>
                </c:pt>
                <c:pt idx="42">
                  <c:v>2021/7</c:v>
                </c:pt>
                <c:pt idx="43">
                  <c:v>2021/8</c:v>
                </c:pt>
                <c:pt idx="44">
                  <c:v>2021/9</c:v>
                </c:pt>
                <c:pt idx="45">
                  <c:v>2021/10</c:v>
                </c:pt>
                <c:pt idx="46">
                  <c:v>2021/11</c:v>
                </c:pt>
                <c:pt idx="47">
                  <c:v>2021/12</c:v>
                </c:pt>
                <c:pt idx="48">
                  <c:v>2022/1</c:v>
                </c:pt>
                <c:pt idx="49">
                  <c:v>2022/2</c:v>
                </c:pt>
                <c:pt idx="50">
                  <c:v>2022/3</c:v>
                </c:pt>
                <c:pt idx="51">
                  <c:v>2022/4</c:v>
                </c:pt>
                <c:pt idx="52">
                  <c:v>2022/5</c:v>
                </c:pt>
              </c:strCache>
            </c:strRef>
          </c:cat>
          <c:val>
            <c:numRef>
              <c:f>Sheet1!$C$2:$C$66</c:f>
              <c:numCache>
                <c:formatCode>0.0</c:formatCode>
                <c:ptCount val="53"/>
                <c:pt idx="0">
                  <c:v>6.03</c:v>
                </c:pt>
                <c:pt idx="1">
                  <c:v>5.85</c:v>
                </c:pt>
                <c:pt idx="2">
                  <c:v>5.99</c:v>
                </c:pt>
                <c:pt idx="3">
                  <c:v>5.93</c:v>
                </c:pt>
                <c:pt idx="4">
                  <c:v>6.23</c:v>
                </c:pt>
                <c:pt idx="5">
                  <c:v>6.45</c:v>
                </c:pt>
                <c:pt idx="6">
                  <c:v>6.22</c:v>
                </c:pt>
                <c:pt idx="7">
                  <c:v>6.17</c:v>
                </c:pt>
                <c:pt idx="8">
                  <c:v>6.14</c:v>
                </c:pt>
                <c:pt idx="9">
                  <c:v>6.1</c:v>
                </c:pt>
                <c:pt idx="10">
                  <c:v>6.16</c:v>
                </c:pt>
                <c:pt idx="11">
                  <c:v>6.22</c:v>
                </c:pt>
                <c:pt idx="12">
                  <c:v>6.15</c:v>
                </c:pt>
                <c:pt idx="13">
                  <c:v>5.8</c:v>
                </c:pt>
                <c:pt idx="14">
                  <c:v>5.84</c:v>
                </c:pt>
                <c:pt idx="15">
                  <c:v>5.95</c:v>
                </c:pt>
                <c:pt idx="16">
                  <c:v>5.83</c:v>
                </c:pt>
                <c:pt idx="17">
                  <c:v>5.84</c:v>
                </c:pt>
                <c:pt idx="18">
                  <c:v>5.81</c:v>
                </c:pt>
                <c:pt idx="19">
                  <c:v>5.83</c:v>
                </c:pt>
                <c:pt idx="20">
                  <c:v>5.68</c:v>
                </c:pt>
                <c:pt idx="21">
                  <c:v>5.59</c:v>
                </c:pt>
                <c:pt idx="22">
                  <c:v>5.5</c:v>
                </c:pt>
                <c:pt idx="23">
                  <c:v>5.56</c:v>
                </c:pt>
                <c:pt idx="24">
                  <c:v>5.55</c:v>
                </c:pt>
                <c:pt idx="25">
                  <c:v>5.54</c:v>
                </c:pt>
                <c:pt idx="26">
                  <c:v>5.33</c:v>
                </c:pt>
                <c:pt idx="27">
                  <c:v>5.27</c:v>
                </c:pt>
                <c:pt idx="28">
                  <c:v>5.1100000000000003</c:v>
                </c:pt>
                <c:pt idx="29">
                  <c:v>4.87</c:v>
                </c:pt>
                <c:pt idx="30">
                  <c:v>3.3</c:v>
                </c:pt>
                <c:pt idx="31">
                  <c:v>4.58</c:v>
                </c:pt>
                <c:pt idx="32">
                  <c:v>4.3899999999999997</c:v>
                </c:pt>
                <c:pt idx="33">
                  <c:v>4.28</c:v>
                </c:pt>
                <c:pt idx="34">
                  <c:v>4.3099999999999996</c:v>
                </c:pt>
                <c:pt idx="35">
                  <c:v>5.03</c:v>
                </c:pt>
                <c:pt idx="36">
                  <c:v>5.49</c:v>
                </c:pt>
                <c:pt idx="37">
                  <c:v>5.56</c:v>
                </c:pt>
                <c:pt idx="38">
                  <c:v>5.54</c:v>
                </c:pt>
                <c:pt idx="39">
                  <c:v>5.54</c:v>
                </c:pt>
                <c:pt idx="40">
                  <c:v>6.71</c:v>
                </c:pt>
                <c:pt idx="41">
                  <c:v>6.48</c:v>
                </c:pt>
                <c:pt idx="42">
                  <c:v>6.93</c:v>
                </c:pt>
                <c:pt idx="43">
                  <c:v>7.24</c:v>
                </c:pt>
                <c:pt idx="44">
                  <c:v>7.17</c:v>
                </c:pt>
                <c:pt idx="45">
                  <c:v>7.8</c:v>
                </c:pt>
                <c:pt idx="46">
                  <c:v>7</c:v>
                </c:pt>
                <c:pt idx="47">
                  <c:v>7.25</c:v>
                </c:pt>
                <c:pt idx="48">
                  <c:v>7.66</c:v>
                </c:pt>
                <c:pt idx="49">
                  <c:v>8.16</c:v>
                </c:pt>
                <c:pt idx="50">
                  <c:v>8.36</c:v>
                </c:pt>
                <c:pt idx="51">
                  <c:v>9.31</c:v>
                </c:pt>
              </c:numCache>
            </c:numRef>
          </c:val>
          <c:smooth val="0"/>
          <c:extLst>
            <c:ext xmlns:c16="http://schemas.microsoft.com/office/drawing/2014/chart" uri="{C3380CC4-5D6E-409C-BE32-E72D297353CC}">
              <c16:uniqueId val="{00000001-B61C-4727-BCED-DD07705BED75}"/>
            </c:ext>
          </c:extLst>
        </c:ser>
        <c:ser>
          <c:idx val="2"/>
          <c:order val="2"/>
          <c:tx>
            <c:strRef>
              <c:f>Sheet1!$D$1</c:f>
              <c:strCache>
                <c:ptCount val="1"/>
                <c:pt idx="0">
                  <c:v>1 տարի ժ․կ․ ՊՊ եկամտ․</c:v>
                </c:pt>
              </c:strCache>
            </c:strRef>
          </c:tx>
          <c:spPr>
            <a:ln w="22225" cap="rnd">
              <a:solidFill>
                <a:schemeClr val="accent3"/>
              </a:solidFill>
              <a:round/>
            </a:ln>
            <a:effectLst/>
          </c:spPr>
          <c:marker>
            <c:symbol val="none"/>
          </c:marker>
          <c:cat>
            <c:strRef>
              <c:f>Sheet1!$A$2:$A$66</c:f>
              <c:strCache>
                <c:ptCount val="53"/>
                <c:pt idx="0">
                  <c:v>2018/1</c:v>
                </c:pt>
                <c:pt idx="1">
                  <c:v>2018/2</c:v>
                </c:pt>
                <c:pt idx="2">
                  <c:v>2018/3</c:v>
                </c:pt>
                <c:pt idx="3">
                  <c:v>2018/4</c:v>
                </c:pt>
                <c:pt idx="4">
                  <c:v>2018/5</c:v>
                </c:pt>
                <c:pt idx="5">
                  <c:v>2018/6</c:v>
                </c:pt>
                <c:pt idx="6">
                  <c:v>2018/7</c:v>
                </c:pt>
                <c:pt idx="7">
                  <c:v>2018/8</c:v>
                </c:pt>
                <c:pt idx="8">
                  <c:v>2018/9</c:v>
                </c:pt>
                <c:pt idx="9">
                  <c:v>2018/10</c:v>
                </c:pt>
                <c:pt idx="10">
                  <c:v>2018/11</c:v>
                </c:pt>
                <c:pt idx="11">
                  <c:v>2018/12</c:v>
                </c:pt>
                <c:pt idx="12">
                  <c:v>2019/1</c:v>
                </c:pt>
                <c:pt idx="13">
                  <c:v>2019/2</c:v>
                </c:pt>
                <c:pt idx="14">
                  <c:v>2019/3</c:v>
                </c:pt>
                <c:pt idx="15">
                  <c:v>2019/4</c:v>
                </c:pt>
                <c:pt idx="16">
                  <c:v>2019/5</c:v>
                </c:pt>
                <c:pt idx="17">
                  <c:v>2019/6</c:v>
                </c:pt>
                <c:pt idx="18">
                  <c:v>2019/7</c:v>
                </c:pt>
                <c:pt idx="19">
                  <c:v>2019/8</c:v>
                </c:pt>
                <c:pt idx="20">
                  <c:v>2019/9</c:v>
                </c:pt>
                <c:pt idx="21">
                  <c:v>2019/10</c:v>
                </c:pt>
                <c:pt idx="22">
                  <c:v>2019/11</c:v>
                </c:pt>
                <c:pt idx="23">
                  <c:v>2019/12</c:v>
                </c:pt>
                <c:pt idx="24">
                  <c:v>2020/1</c:v>
                </c:pt>
                <c:pt idx="25">
                  <c:v>2020/2</c:v>
                </c:pt>
                <c:pt idx="26">
                  <c:v>2020/3</c:v>
                </c:pt>
                <c:pt idx="27">
                  <c:v>2020/4</c:v>
                </c:pt>
                <c:pt idx="28">
                  <c:v>2020/5</c:v>
                </c:pt>
                <c:pt idx="29">
                  <c:v>2020/6</c:v>
                </c:pt>
                <c:pt idx="30">
                  <c:v>2020/7</c:v>
                </c:pt>
                <c:pt idx="31">
                  <c:v>2020/8</c:v>
                </c:pt>
                <c:pt idx="32">
                  <c:v>2020/9</c:v>
                </c:pt>
                <c:pt idx="33">
                  <c:v>2020/10</c:v>
                </c:pt>
                <c:pt idx="34">
                  <c:v>2020/11</c:v>
                </c:pt>
                <c:pt idx="35">
                  <c:v>2020/12</c:v>
                </c:pt>
                <c:pt idx="36">
                  <c:v>2021/1</c:v>
                </c:pt>
                <c:pt idx="37">
                  <c:v>2021/2</c:v>
                </c:pt>
                <c:pt idx="38">
                  <c:v>2021/3</c:v>
                </c:pt>
                <c:pt idx="39">
                  <c:v>2021/4</c:v>
                </c:pt>
                <c:pt idx="40">
                  <c:v>2021/5</c:v>
                </c:pt>
                <c:pt idx="41">
                  <c:v>2021/6</c:v>
                </c:pt>
                <c:pt idx="42">
                  <c:v>2021/7</c:v>
                </c:pt>
                <c:pt idx="43">
                  <c:v>2021/8</c:v>
                </c:pt>
                <c:pt idx="44">
                  <c:v>2021/9</c:v>
                </c:pt>
                <c:pt idx="45">
                  <c:v>2021/10</c:v>
                </c:pt>
                <c:pt idx="46">
                  <c:v>2021/11</c:v>
                </c:pt>
                <c:pt idx="47">
                  <c:v>2021/12</c:v>
                </c:pt>
                <c:pt idx="48">
                  <c:v>2022/1</c:v>
                </c:pt>
                <c:pt idx="49">
                  <c:v>2022/2</c:v>
                </c:pt>
                <c:pt idx="50">
                  <c:v>2022/3</c:v>
                </c:pt>
                <c:pt idx="51">
                  <c:v>2022/4</c:v>
                </c:pt>
                <c:pt idx="52">
                  <c:v>2022/5</c:v>
                </c:pt>
              </c:strCache>
            </c:strRef>
          </c:cat>
          <c:val>
            <c:numRef>
              <c:f>Sheet1!$D$2:$D$66</c:f>
              <c:numCache>
                <c:formatCode>#,##0.0</c:formatCode>
                <c:ptCount val="53"/>
                <c:pt idx="0">
                  <c:v>6.1689999999999996</c:v>
                </c:pt>
                <c:pt idx="1">
                  <c:v>6.1475999999999997</c:v>
                </c:pt>
                <c:pt idx="2">
                  <c:v>6.1622000000000003</c:v>
                </c:pt>
                <c:pt idx="3">
                  <c:v>6.1551999999999998</c:v>
                </c:pt>
                <c:pt idx="4">
                  <c:v>6.2244999999999999</c:v>
                </c:pt>
                <c:pt idx="5">
                  <c:v>6.2295999999999996</c:v>
                </c:pt>
                <c:pt idx="6">
                  <c:v>6.2680999999999996</c:v>
                </c:pt>
                <c:pt idx="7">
                  <c:v>6.2766000000000002</c:v>
                </c:pt>
                <c:pt idx="8">
                  <c:v>6.2794999999999996</c:v>
                </c:pt>
                <c:pt idx="9">
                  <c:v>6.2557</c:v>
                </c:pt>
                <c:pt idx="10">
                  <c:v>6.2257999999999996</c:v>
                </c:pt>
                <c:pt idx="11">
                  <c:v>6.2268999999999997</c:v>
                </c:pt>
                <c:pt idx="12">
                  <c:v>6.2257999999999996</c:v>
                </c:pt>
                <c:pt idx="13">
                  <c:v>6.2496999999999998</c:v>
                </c:pt>
                <c:pt idx="14">
                  <c:v>6.1811999999999996</c:v>
                </c:pt>
                <c:pt idx="15">
                  <c:v>6.1741999999999999</c:v>
                </c:pt>
                <c:pt idx="16">
                  <c:v>6.0544000000000002</c:v>
                </c:pt>
                <c:pt idx="17">
                  <c:v>6.0544000000000002</c:v>
                </c:pt>
                <c:pt idx="18">
                  <c:v>6.1539999999999999</c:v>
                </c:pt>
                <c:pt idx="19">
                  <c:v>5.9701000000000004</c:v>
                </c:pt>
                <c:pt idx="20">
                  <c:v>5.9745999999999997</c:v>
                </c:pt>
                <c:pt idx="21">
                  <c:v>5.8437999999999999</c:v>
                </c:pt>
                <c:pt idx="22">
                  <c:v>5.7622</c:v>
                </c:pt>
                <c:pt idx="23">
                  <c:v>5.7070999999999996</c:v>
                </c:pt>
                <c:pt idx="24" formatCode="0.0">
                  <c:v>5.6117749999999997</c:v>
                </c:pt>
                <c:pt idx="25" formatCode="0.0">
                  <c:v>5.5589009999999996</c:v>
                </c:pt>
                <c:pt idx="26" formatCode="0.0">
                  <c:v>5.5941828200000003</c:v>
                </c:pt>
                <c:pt idx="27" formatCode="0.0">
                  <c:v>5.7322329999999999</c:v>
                </c:pt>
                <c:pt idx="28" formatCode="0.0">
                  <c:v>5.7526204545454549</c:v>
                </c:pt>
                <c:pt idx="29" formatCode="0.0">
                  <c:v>5.7470333333333334</c:v>
                </c:pt>
                <c:pt idx="30" formatCode="0.0">
                  <c:v>5.6</c:v>
                </c:pt>
                <c:pt idx="31" formatCode="0.0">
                  <c:v>5.6621024092801902</c:v>
                </c:pt>
                <c:pt idx="32" formatCode="0.0">
                  <c:v>5.6617125000000001</c:v>
                </c:pt>
                <c:pt idx="33" formatCode="0.0">
                  <c:v>5.7126151515151511</c:v>
                </c:pt>
                <c:pt idx="34" formatCode="0.0">
                  <c:v>5.9</c:v>
                </c:pt>
                <c:pt idx="35" formatCode="0.0">
                  <c:v>6.1296879687499999</c:v>
                </c:pt>
                <c:pt idx="36" formatCode="0.0">
                  <c:v>6.8925232558139538</c:v>
                </c:pt>
                <c:pt idx="37" formatCode="0.0">
                  <c:v>6.9028499999999999</c:v>
                </c:pt>
                <c:pt idx="38" formatCode="0.0">
                  <c:v>6.9170499999999997</c:v>
                </c:pt>
                <c:pt idx="39" formatCode="0.0">
                  <c:v>6.92875</c:v>
                </c:pt>
                <c:pt idx="40" formatCode="0.0">
                  <c:v>7.0799500000000002</c:v>
                </c:pt>
                <c:pt idx="41" formatCode="0.0">
                  <c:v>7.3498999999999999</c:v>
                </c:pt>
                <c:pt idx="42" formatCode="0.0">
                  <c:v>7.8607287499999998</c:v>
                </c:pt>
                <c:pt idx="43" formatCode="0.0">
                  <c:v>8.2888199999999994</c:v>
                </c:pt>
                <c:pt idx="44" formatCode="0.0">
                  <c:v>8.5056999999999992</c:v>
                </c:pt>
                <c:pt idx="45" formatCode="0.0">
                  <c:v>8.81</c:v>
                </c:pt>
                <c:pt idx="46" formatCode="0.0">
                  <c:v>8.91</c:v>
                </c:pt>
                <c:pt idx="47" formatCode="0.0">
                  <c:v>9.0983000000000001</c:v>
                </c:pt>
                <c:pt idx="48" formatCode="0.0">
                  <c:v>9.2489000000000008</c:v>
                </c:pt>
                <c:pt idx="49" formatCode="0.0">
                  <c:v>9.1161499999999993</c:v>
                </c:pt>
                <c:pt idx="50" formatCode="0.0">
                  <c:v>10.187799999999999</c:v>
                </c:pt>
                <c:pt idx="51" formatCode="0.0">
                  <c:v>10.511244110854504</c:v>
                </c:pt>
                <c:pt idx="52" formatCode="0.0">
                  <c:v>10.476050000000001</c:v>
                </c:pt>
              </c:numCache>
            </c:numRef>
          </c:val>
          <c:smooth val="0"/>
          <c:extLst>
            <c:ext xmlns:c16="http://schemas.microsoft.com/office/drawing/2014/chart" uri="{C3380CC4-5D6E-409C-BE32-E72D297353CC}">
              <c16:uniqueId val="{00000002-B61C-4727-BCED-DD07705BED75}"/>
            </c:ext>
          </c:extLst>
        </c:ser>
        <c:dLbls>
          <c:showLegendKey val="0"/>
          <c:showVal val="0"/>
          <c:showCatName val="0"/>
          <c:showSerName val="0"/>
          <c:showPercent val="0"/>
          <c:showBubbleSize val="0"/>
        </c:dLbls>
        <c:smooth val="0"/>
        <c:axId val="334528512"/>
        <c:axId val="334530048"/>
      </c:lineChart>
      <c:catAx>
        <c:axId val="33452851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solidFill>
                <a:latin typeface="GHEA Grapalat" panose="02000506050000020003" pitchFamily="50" charset="0"/>
                <a:ea typeface="+mn-ea"/>
                <a:cs typeface="+mn-cs"/>
              </a:defRPr>
            </a:pPr>
            <a:endParaRPr lang="en-US"/>
          </a:p>
        </c:txPr>
        <c:crossAx val="334530048"/>
        <c:crosses val="autoZero"/>
        <c:auto val="1"/>
        <c:lblAlgn val="ctr"/>
        <c:lblOffset val="100"/>
        <c:noMultiLvlLbl val="0"/>
      </c:catAx>
      <c:valAx>
        <c:axId val="334530048"/>
        <c:scaling>
          <c:orientation val="minMax"/>
          <c:min val="3"/>
        </c:scaling>
        <c:delete val="0"/>
        <c:axPos val="l"/>
        <c:majorGridlines>
          <c:spPr>
            <a:ln w="9525" cap="flat" cmpd="sng" algn="ctr">
              <a:solidFill>
                <a:schemeClr val="dk1">
                  <a:lumMod val="15000"/>
                  <a:lumOff val="85000"/>
                  <a:alpha val="54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GHEA Grapalat" panose="02000506050000020003" pitchFamily="50" charset="0"/>
                <a:ea typeface="+mn-ea"/>
                <a:cs typeface="+mn-cs"/>
              </a:defRPr>
            </a:pPr>
            <a:endParaRPr lang="en-US"/>
          </a:p>
        </c:txPr>
        <c:crossAx val="334528512"/>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2.5422546819328741E-2"/>
          <c:y val="0.77057094314875862"/>
          <c:w val="0.95318035426731051"/>
          <c:h val="0.205850933155709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solidFill>
            <a:schemeClr val="tx1"/>
          </a:solidFill>
          <a:latin typeface="GHEA Grapalat" panose="02000506050000020003" pitchFamily="50" charset="0"/>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areaChart>
        <c:grouping val="stacked"/>
        <c:varyColors val="0"/>
        <c:ser>
          <c:idx val="0"/>
          <c:order val="0"/>
          <c:tx>
            <c:strRef>
              <c:f>[FanChart_Budget_2023.xlsx]Sheet6!$B$3</c:f>
              <c:strCache>
                <c:ptCount val="1"/>
              </c:strCache>
            </c:strRef>
          </c:tx>
          <c:spPr>
            <a:no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[FanChart_Budget_2023.xlsx]Sheet6!$B$4:$B$59</c:f>
              <c:numCache>
                <c:formatCode>General</c:formatCode>
                <c:ptCount val="12"/>
                <c:pt idx="0">
                  <c:v>5.18438177874188</c:v>
                </c:pt>
                <c:pt idx="1">
                  <c:v>7.6716848834811344</c:v>
                </c:pt>
                <c:pt idx="2">
                  <c:v>-7.1825320819766461</c:v>
                </c:pt>
                <c:pt idx="3">
                  <c:v>5.6954189021873844</c:v>
                </c:pt>
                <c:pt idx="4">
                  <c:v>8.7136929460580888</c:v>
                </c:pt>
                <c:pt idx="5">
                  <c:v>10.998552821997094</c:v>
                </c:pt>
                <c:pt idx="6">
                  <c:v>9.2713143679959664</c:v>
                </c:pt>
                <c:pt idx="7">
                  <c:v>7.7076467278429845</c:v>
                </c:pt>
                <c:pt idx="8">
                  <c:v>2.5285921928413693</c:v>
                </c:pt>
                <c:pt idx="9">
                  <c:v>2.040063908907384</c:v>
                </c:pt>
                <c:pt idx="10">
                  <c:v>1.7757728104882258</c:v>
                </c:pt>
                <c:pt idx="11">
                  <c:v>1.591033948564375</c:v>
                </c:pt>
              </c:numCache>
            </c:numRef>
          </c:val>
          <c:extLst>
            <c:ext xmlns:c16="http://schemas.microsoft.com/office/drawing/2014/chart" uri="{C3380CC4-5D6E-409C-BE32-E72D297353CC}">
              <c16:uniqueId val="{00000000-E8A7-4309-AED7-13A6998C5714}"/>
            </c:ext>
          </c:extLst>
        </c:ser>
        <c:ser>
          <c:idx val="1"/>
          <c:order val="1"/>
          <c:tx>
            <c:strRef>
              <c:f>[FanChart_Budget_2023.xlsx]Sheet6!$C$3</c:f>
              <c:strCache>
                <c:ptCount val="1"/>
              </c:strCache>
            </c:strRef>
          </c:tx>
          <c:spPr>
            <a:solidFill>
              <a:srgbClr val="FF0000">
                <a:alpha val="2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[FanChart_Budget_2023.xlsx]Sheet6!$C$4:$C$59</c:f>
              <c:numCache>
                <c:formatCode>General</c:formatCode>
                <c:ptCount val="12"/>
                <c:pt idx="6">
                  <c:v>0.5744309963400358</c:v>
                </c:pt>
                <c:pt idx="7">
                  <c:v>0.72718855407892136</c:v>
                </c:pt>
                <c:pt idx="8">
                  <c:v>1.1172528852097172</c:v>
                </c:pt>
                <c:pt idx="9">
                  <c:v>1.1574930127380849</c:v>
                </c:pt>
                <c:pt idx="10">
                  <c:v>1.1808811031073283</c:v>
                </c:pt>
                <c:pt idx="11">
                  <c:v>1.1946889889578767</c:v>
                </c:pt>
              </c:numCache>
            </c:numRef>
          </c:val>
          <c:extLst>
            <c:ext xmlns:c16="http://schemas.microsoft.com/office/drawing/2014/chart" uri="{C3380CC4-5D6E-409C-BE32-E72D297353CC}">
              <c16:uniqueId val="{00000001-E8A7-4309-AED7-13A6998C5714}"/>
            </c:ext>
          </c:extLst>
        </c:ser>
        <c:ser>
          <c:idx val="2"/>
          <c:order val="2"/>
          <c:tx>
            <c:strRef>
              <c:f>[FanChart_Budget_2023.xlsx]Sheet6!$D$3</c:f>
              <c:strCache>
                <c:ptCount val="1"/>
              </c:strCache>
            </c:strRef>
          </c:tx>
          <c:spPr>
            <a:solidFill>
              <a:srgbClr val="FF0000">
                <a:alpha val="3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[FanChart_Budget_2023.xlsx]Sheet6!$D$4:$D$59</c:f>
              <c:numCache>
                <c:formatCode>General</c:formatCode>
                <c:ptCount val="12"/>
                <c:pt idx="6">
                  <c:v>0.38756586611335031</c:v>
                </c:pt>
                <c:pt idx="7">
                  <c:v>0.49063066510164255</c:v>
                </c:pt>
                <c:pt idx="8">
                  <c:v>0.75380521748102636</c:v>
                </c:pt>
                <c:pt idx="9">
                  <c:v>0.78095504048398245</c:v>
                </c:pt>
                <c:pt idx="10">
                  <c:v>0.79673487402090259</c:v>
                </c:pt>
                <c:pt idx="11">
                  <c:v>0.80605098905118266</c:v>
                </c:pt>
              </c:numCache>
            </c:numRef>
          </c:val>
          <c:extLst>
            <c:ext xmlns:c16="http://schemas.microsoft.com/office/drawing/2014/chart" uri="{C3380CC4-5D6E-409C-BE32-E72D297353CC}">
              <c16:uniqueId val="{00000002-E8A7-4309-AED7-13A6998C5714}"/>
            </c:ext>
          </c:extLst>
        </c:ser>
        <c:ser>
          <c:idx val="3"/>
          <c:order val="3"/>
          <c:tx>
            <c:strRef>
              <c:f>[FanChart_Budget_2023.xlsx]Sheet6!$E$3</c:f>
              <c:strCache>
                <c:ptCount val="1"/>
              </c:strCache>
            </c:strRef>
          </c:tx>
          <c:spPr>
            <a:solidFill>
              <a:srgbClr val="FF0000">
                <a:alpha val="4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[FanChart_Budget_2023.xlsx]Sheet6!$E$4:$E$59</c:f>
              <c:numCache>
                <c:formatCode>General</c:formatCode>
                <c:ptCount val="12"/>
                <c:pt idx="6">
                  <c:v>0.30802506429891174</c:v>
                </c:pt>
                <c:pt idx="7">
                  <c:v>0.38993769931419031</c:v>
                </c:pt>
                <c:pt idx="8">
                  <c:v>0.59910049074223704</c:v>
                </c:pt>
                <c:pt idx="9">
                  <c:v>0.62067830939808166</c:v>
                </c:pt>
                <c:pt idx="10">
                  <c:v>0.63321962086232375</c:v>
                </c:pt>
                <c:pt idx="11">
                  <c:v>0.64062377376153323</c:v>
                </c:pt>
              </c:numCache>
            </c:numRef>
          </c:val>
          <c:extLst>
            <c:ext xmlns:c16="http://schemas.microsoft.com/office/drawing/2014/chart" uri="{C3380CC4-5D6E-409C-BE32-E72D297353CC}">
              <c16:uniqueId val="{00000003-E8A7-4309-AED7-13A6998C5714}"/>
            </c:ext>
          </c:extLst>
        </c:ser>
        <c:ser>
          <c:idx val="4"/>
          <c:order val="4"/>
          <c:tx>
            <c:strRef>
              <c:f>[FanChart_Budget_2023.xlsx]Sheet6!$F$3</c:f>
              <c:strCache>
                <c:ptCount val="1"/>
              </c:strCache>
            </c:strRef>
          </c:tx>
          <c:spPr>
            <a:solidFill>
              <a:srgbClr val="FF0000">
                <a:alpha val="5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[FanChart_Budget_2023.xlsx]Sheet6!$F$4:$F$59</c:f>
              <c:numCache>
                <c:formatCode>General</c:formatCode>
                <c:ptCount val="12"/>
                <c:pt idx="6">
                  <c:v>0.26425807809667923</c:v>
                </c:pt>
                <c:pt idx="7">
                  <c:v>0.33453182530046988</c:v>
                </c:pt>
                <c:pt idx="8">
                  <c:v>0.51397487613763815</c:v>
                </c:pt>
                <c:pt idx="9">
                  <c:v>0.53248672321895008</c:v>
                </c:pt>
                <c:pt idx="10">
                  <c:v>0.54324605175572138</c:v>
                </c:pt>
                <c:pt idx="11">
                  <c:v>0.54959815566496939</c:v>
                </c:pt>
              </c:numCache>
            </c:numRef>
          </c:val>
          <c:extLst>
            <c:ext xmlns:c16="http://schemas.microsoft.com/office/drawing/2014/chart" uri="{C3380CC4-5D6E-409C-BE32-E72D297353CC}">
              <c16:uniqueId val="{00000004-E8A7-4309-AED7-13A6998C5714}"/>
            </c:ext>
          </c:extLst>
        </c:ser>
        <c:ser>
          <c:idx val="5"/>
          <c:order val="5"/>
          <c:tx>
            <c:strRef>
              <c:f>[FanChart_Budget_2023.xlsx]Sheet6!$G$3</c:f>
              <c:strCache>
                <c:ptCount val="1"/>
              </c:strCache>
            </c:strRef>
          </c:tx>
          <c:spPr>
            <a:solidFill>
              <a:srgbClr val="FF0000">
                <a:alpha val="6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[FanChart_Budget_2023.xlsx]Sheet6!$G$4:$G$59</c:f>
              <c:numCache>
                <c:formatCode>General</c:formatCode>
                <c:ptCount val="12"/>
                <c:pt idx="6">
                  <c:v>0.23731192137007007</c:v>
                </c:pt>
                <c:pt idx="7">
                  <c:v>0.30041991826053405</c:v>
                </c:pt>
                <c:pt idx="8">
                  <c:v>0.46156532383294824</c:v>
                </c:pt>
                <c:pt idx="9">
                  <c:v>0.47818953464465075</c:v>
                </c:pt>
                <c:pt idx="10">
                  <c:v>0.48785174420169941</c:v>
                </c:pt>
                <c:pt idx="11">
                  <c:v>0.49355612983222841</c:v>
                </c:pt>
              </c:numCache>
            </c:numRef>
          </c:val>
          <c:extLst>
            <c:ext xmlns:c16="http://schemas.microsoft.com/office/drawing/2014/chart" uri="{C3380CC4-5D6E-409C-BE32-E72D297353CC}">
              <c16:uniqueId val="{00000005-E8A7-4309-AED7-13A6998C5714}"/>
            </c:ext>
          </c:extLst>
        </c:ser>
        <c:ser>
          <c:idx val="6"/>
          <c:order val="6"/>
          <c:tx>
            <c:strRef>
              <c:f>[FanChart_Budget_2023.xlsx]Sheet6!$H$3</c:f>
              <c:strCache>
                <c:ptCount val="1"/>
              </c:strCache>
            </c:strRef>
          </c:tx>
          <c:spPr>
            <a:solidFill>
              <a:srgbClr val="FF0000">
                <a:alpha val="7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[FanChart_Budget_2023.xlsx]Sheet6!$H$4:$H$59</c:f>
              <c:numCache>
                <c:formatCode>General</c:formatCode>
                <c:ptCount val="12"/>
                <c:pt idx="6">
                  <c:v>0.21990486169558388</c:v>
                </c:pt>
                <c:pt idx="7">
                  <c:v>0.27838382578623388</c:v>
                </c:pt>
                <c:pt idx="8">
                  <c:v>0.42770905951530391</c:v>
                </c:pt>
                <c:pt idx="9">
                  <c:v>0.44311386833502198</c:v>
                </c:pt>
                <c:pt idx="10">
                  <c:v>0.45206734544670546</c:v>
                </c:pt>
                <c:pt idx="11">
                  <c:v>0.45735330885679293</c:v>
                </c:pt>
              </c:numCache>
            </c:numRef>
          </c:val>
          <c:extLst>
            <c:ext xmlns:c16="http://schemas.microsoft.com/office/drawing/2014/chart" uri="{C3380CC4-5D6E-409C-BE32-E72D297353CC}">
              <c16:uniqueId val="{00000006-E8A7-4309-AED7-13A6998C5714}"/>
            </c:ext>
          </c:extLst>
        </c:ser>
        <c:ser>
          <c:idx val="7"/>
          <c:order val="7"/>
          <c:tx>
            <c:strRef>
              <c:f>[FanChart_Budget_2023.xlsx]Sheet6!$I$3</c:f>
              <c:strCache>
                <c:ptCount val="1"/>
              </c:strCache>
            </c:strRef>
          </c:tx>
          <c:spPr>
            <a:solidFill>
              <a:srgbClr val="FF0000">
                <a:alpha val="8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[FanChart_Budget_2023.xlsx]Sheet6!$I$4:$I$59</c:f>
              <c:numCache>
                <c:formatCode>General</c:formatCode>
                <c:ptCount val="12"/>
                <c:pt idx="6">
                  <c:v>0.20866820920579876</c:v>
                </c:pt>
                <c:pt idx="7">
                  <c:v>0.2641590274574579</c:v>
                </c:pt>
                <c:pt idx="8">
                  <c:v>0.40585407171990262</c:v>
                </c:pt>
                <c:pt idx="9">
                  <c:v>0.42047172885027528</c:v>
                </c:pt>
                <c:pt idx="10">
                  <c:v>0.42896770306682885</c:v>
                </c:pt>
                <c:pt idx="11">
                  <c:v>0.43398356542751237</c:v>
                </c:pt>
              </c:numCache>
            </c:numRef>
          </c:val>
          <c:extLst>
            <c:ext xmlns:c16="http://schemas.microsoft.com/office/drawing/2014/chart" uri="{C3380CC4-5D6E-409C-BE32-E72D297353CC}">
              <c16:uniqueId val="{00000007-E8A7-4309-AED7-13A6998C5714}"/>
            </c:ext>
          </c:extLst>
        </c:ser>
        <c:ser>
          <c:idx val="8"/>
          <c:order val="8"/>
          <c:tx>
            <c:strRef>
              <c:f>[FanChart_Budget_2023.xlsx]Sheet6!$J$3</c:f>
              <c:strCache>
                <c:ptCount val="1"/>
              </c:strCache>
            </c:strRef>
          </c:tx>
          <c:spPr>
            <a:solidFill>
              <a:srgbClr val="FF0000">
                <a:alpha val="9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[FanChart_Budget_2023.xlsx]Sheet6!$J$4:$J$59</c:f>
              <c:numCache>
                <c:formatCode>General</c:formatCode>
                <c:ptCount val="12"/>
                <c:pt idx="6">
                  <c:v>0.2018889073041219</c:v>
                </c:pt>
                <c:pt idx="7">
                  <c:v>0.25557691615260936</c:v>
                </c:pt>
                <c:pt idx="8">
                  <c:v>0.39266851129991043</c:v>
                </c:pt>
                <c:pt idx="9">
                  <c:v>0.40681126374231535</c:v>
                </c:pt>
                <c:pt idx="10">
                  <c:v>0.41503121711993707</c:v>
                </c:pt>
                <c:pt idx="11">
                  <c:v>0.41988412200200109</c:v>
                </c:pt>
              </c:numCache>
            </c:numRef>
          </c:val>
          <c:extLst>
            <c:ext xmlns:c16="http://schemas.microsoft.com/office/drawing/2014/chart" uri="{C3380CC4-5D6E-409C-BE32-E72D297353CC}">
              <c16:uniqueId val="{00000008-E8A7-4309-AED7-13A6998C5714}"/>
            </c:ext>
          </c:extLst>
        </c:ser>
        <c:ser>
          <c:idx val="9"/>
          <c:order val="9"/>
          <c:tx>
            <c:strRef>
              <c:f>[FanChart_Budget_2023.xlsx]Sheet6!$K$3</c:f>
              <c:strCache>
                <c:ptCount val="1"/>
              </c:strCache>
            </c:strRef>
          </c:tx>
          <c:spPr>
            <a:solidFill>
              <a:srgbClr val="FF0000"/>
            </a:solidFill>
            <a:ln>
              <a:solidFill>
                <a:srgbClr val="FF0000"/>
              </a:solidFill>
              <a:prstDash val="solid"/>
            </a:ln>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[FanChart_Budget_2023.xlsx]Sheet6!$K$4:$K$59</c:f>
              <c:numCache>
                <c:formatCode>General</c:formatCode>
                <c:ptCount val="12"/>
                <c:pt idx="6">
                  <c:v>0.39737606990647123</c:v>
                </c:pt>
                <c:pt idx="7">
                  <c:v>0.50304968140994077</c:v>
                </c:pt>
                <c:pt idx="8">
                  <c:v>0.6153926582823388</c:v>
                </c:pt>
                <c:pt idx="9">
                  <c:v>0.64322970717357286</c:v>
                </c:pt>
                <c:pt idx="10">
                  <c:v>0.65940896541827509</c:v>
                </c:pt>
                <c:pt idx="11">
                  <c:v>0.6689608932354858</c:v>
                </c:pt>
              </c:numCache>
            </c:numRef>
          </c:val>
          <c:extLst>
            <c:ext xmlns:c16="http://schemas.microsoft.com/office/drawing/2014/chart" uri="{C3380CC4-5D6E-409C-BE32-E72D297353CC}">
              <c16:uniqueId val="{00000009-E8A7-4309-AED7-13A6998C5714}"/>
            </c:ext>
          </c:extLst>
        </c:ser>
        <c:ser>
          <c:idx val="10"/>
          <c:order val="10"/>
          <c:tx>
            <c:strRef>
              <c:f>[FanChart_Budget_2023.xlsx]Sheet6!$L$3</c:f>
              <c:strCache>
                <c:ptCount val="1"/>
              </c:strCache>
            </c:strRef>
          </c:tx>
          <c:spPr>
            <a:solidFill>
              <a:srgbClr val="FF0000">
                <a:alpha val="9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[FanChart_Budget_2023.xlsx]Sheet6!$L$4:$L$59</c:f>
              <c:numCache>
                <c:formatCode>General</c:formatCode>
                <c:ptCount val="12"/>
                <c:pt idx="6">
                  <c:v>0.2018889073041219</c:v>
                </c:pt>
                <c:pt idx="7">
                  <c:v>0.25557691615261113</c:v>
                </c:pt>
                <c:pt idx="8">
                  <c:v>0.23263814781945769</c:v>
                </c:pt>
                <c:pt idx="9">
                  <c:v>0.24678090026186172</c:v>
                </c:pt>
                <c:pt idx="10">
                  <c:v>0.25500085363948433</c:v>
                </c:pt>
                <c:pt idx="11">
                  <c:v>0.25985375852154835</c:v>
                </c:pt>
              </c:numCache>
            </c:numRef>
          </c:val>
          <c:extLst>
            <c:ext xmlns:c16="http://schemas.microsoft.com/office/drawing/2014/chart" uri="{C3380CC4-5D6E-409C-BE32-E72D297353CC}">
              <c16:uniqueId val="{0000000A-E8A7-4309-AED7-13A6998C5714}"/>
            </c:ext>
          </c:extLst>
        </c:ser>
        <c:ser>
          <c:idx val="11"/>
          <c:order val="11"/>
          <c:tx>
            <c:strRef>
              <c:f>[FanChart_Budget_2023.xlsx]Sheet6!$M$3</c:f>
              <c:strCache>
                <c:ptCount val="1"/>
              </c:strCache>
            </c:strRef>
          </c:tx>
          <c:spPr>
            <a:solidFill>
              <a:srgbClr val="FF0000">
                <a:alpha val="8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[FanChart_Budget_2023.xlsx]Sheet6!$M$4:$M$59</c:f>
              <c:numCache>
                <c:formatCode>General</c:formatCode>
                <c:ptCount val="12"/>
                <c:pt idx="6">
                  <c:v>0.20866820920579876</c:v>
                </c:pt>
                <c:pt idx="7">
                  <c:v>0.26415902745745612</c:v>
                </c:pt>
                <c:pt idx="8">
                  <c:v>0.24044998978232002</c:v>
                </c:pt>
                <c:pt idx="9">
                  <c:v>0.25506764691269268</c:v>
                </c:pt>
                <c:pt idx="10">
                  <c:v>0.26356362112924536</c:v>
                </c:pt>
                <c:pt idx="11">
                  <c:v>0.26857948348992888</c:v>
                </c:pt>
              </c:numCache>
            </c:numRef>
          </c:val>
          <c:extLst>
            <c:ext xmlns:c16="http://schemas.microsoft.com/office/drawing/2014/chart" uri="{C3380CC4-5D6E-409C-BE32-E72D297353CC}">
              <c16:uniqueId val="{0000000B-E8A7-4309-AED7-13A6998C5714}"/>
            </c:ext>
          </c:extLst>
        </c:ser>
        <c:ser>
          <c:idx val="12"/>
          <c:order val="12"/>
          <c:tx>
            <c:strRef>
              <c:f>[FanChart_Budget_2023.xlsx]Sheet6!$N$3</c:f>
              <c:strCache>
                <c:ptCount val="1"/>
              </c:strCache>
            </c:strRef>
          </c:tx>
          <c:spPr>
            <a:solidFill>
              <a:srgbClr val="FF0000">
                <a:alpha val="7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[FanChart_Budget_2023.xlsx]Sheet6!$N$4:$N$59</c:f>
              <c:numCache>
                <c:formatCode>General</c:formatCode>
                <c:ptCount val="12"/>
                <c:pt idx="6">
                  <c:v>0.21990486169558565</c:v>
                </c:pt>
                <c:pt idx="7">
                  <c:v>0.27838382578623388</c:v>
                </c:pt>
                <c:pt idx="8">
                  <c:v>0.25339807126842651</c:v>
                </c:pt>
                <c:pt idx="9">
                  <c:v>0.26880288008814723</c:v>
                </c:pt>
                <c:pt idx="10">
                  <c:v>0.27775635719982894</c:v>
                </c:pt>
                <c:pt idx="11">
                  <c:v>0.2830423206099173</c:v>
                </c:pt>
              </c:numCache>
            </c:numRef>
          </c:val>
          <c:extLst>
            <c:ext xmlns:c16="http://schemas.microsoft.com/office/drawing/2014/chart" uri="{C3380CC4-5D6E-409C-BE32-E72D297353CC}">
              <c16:uniqueId val="{0000000C-E8A7-4309-AED7-13A6998C5714}"/>
            </c:ext>
          </c:extLst>
        </c:ser>
        <c:ser>
          <c:idx val="13"/>
          <c:order val="13"/>
          <c:tx>
            <c:strRef>
              <c:f>[FanChart_Budget_2023.xlsx]Sheet6!$O$3</c:f>
              <c:strCache>
                <c:ptCount val="1"/>
              </c:strCache>
            </c:strRef>
          </c:tx>
          <c:spPr>
            <a:solidFill>
              <a:srgbClr val="FF0000">
                <a:alpha val="6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[FanChart_Budget_2023.xlsx]Sheet6!$O$4:$O$59</c:f>
              <c:numCache>
                <c:formatCode>General</c:formatCode>
                <c:ptCount val="12"/>
                <c:pt idx="6">
                  <c:v>0.23731192137006829</c:v>
                </c:pt>
                <c:pt idx="7">
                  <c:v>0.30041991826053405</c:v>
                </c:pt>
                <c:pt idx="8">
                  <c:v>0.27345636063028245</c:v>
                </c:pt>
                <c:pt idx="9">
                  <c:v>0.29008057144198496</c:v>
                </c:pt>
                <c:pt idx="10">
                  <c:v>0.29974278099903451</c:v>
                </c:pt>
                <c:pt idx="11">
                  <c:v>0.30544716662956262</c:v>
                </c:pt>
              </c:numCache>
            </c:numRef>
          </c:val>
          <c:extLst>
            <c:ext xmlns:c16="http://schemas.microsoft.com/office/drawing/2014/chart" uri="{C3380CC4-5D6E-409C-BE32-E72D297353CC}">
              <c16:uniqueId val="{0000000D-E8A7-4309-AED7-13A6998C5714}"/>
            </c:ext>
          </c:extLst>
        </c:ser>
        <c:ser>
          <c:idx val="14"/>
          <c:order val="14"/>
          <c:tx>
            <c:strRef>
              <c:f>[FanChart_Budget_2023.xlsx]Sheet6!$P$3</c:f>
              <c:strCache>
                <c:ptCount val="1"/>
              </c:strCache>
            </c:strRef>
          </c:tx>
          <c:spPr>
            <a:solidFill>
              <a:srgbClr val="FF0000">
                <a:alpha val="5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[FanChart_Budget_2023.xlsx]Sheet6!$P$4:$P$59</c:f>
              <c:numCache>
                <c:formatCode>General</c:formatCode>
                <c:ptCount val="12"/>
                <c:pt idx="6">
                  <c:v>0.264258078096681</c:v>
                </c:pt>
                <c:pt idx="7">
                  <c:v>0.33453182530046988</c:v>
                </c:pt>
                <c:pt idx="8">
                  <c:v>0.30450662523094429</c:v>
                </c:pt>
                <c:pt idx="9">
                  <c:v>0.32301847231225622</c:v>
                </c:pt>
                <c:pt idx="10">
                  <c:v>0.33377780084902753</c:v>
                </c:pt>
                <c:pt idx="11">
                  <c:v>0.34012990475827642</c:v>
                </c:pt>
              </c:numCache>
            </c:numRef>
          </c:val>
          <c:extLst>
            <c:ext xmlns:c16="http://schemas.microsoft.com/office/drawing/2014/chart" uri="{C3380CC4-5D6E-409C-BE32-E72D297353CC}">
              <c16:uniqueId val="{0000000E-E8A7-4309-AED7-13A6998C5714}"/>
            </c:ext>
          </c:extLst>
        </c:ser>
        <c:ser>
          <c:idx val="15"/>
          <c:order val="15"/>
          <c:tx>
            <c:strRef>
              <c:f>[FanChart_Budget_2023.xlsx]Sheet6!$Q$3</c:f>
              <c:strCache>
                <c:ptCount val="1"/>
              </c:strCache>
            </c:strRef>
          </c:tx>
          <c:spPr>
            <a:solidFill>
              <a:srgbClr val="FF0000">
                <a:alpha val="4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[FanChart_Budget_2023.xlsx]Sheet6!$Q$4:$Q$59</c:f>
              <c:numCache>
                <c:formatCode>General</c:formatCode>
                <c:ptCount val="12"/>
                <c:pt idx="6">
                  <c:v>0.30802506429891174</c:v>
                </c:pt>
                <c:pt idx="7">
                  <c:v>0.38993769931419209</c:v>
                </c:pt>
                <c:pt idx="8">
                  <c:v>0.35493966160569279</c:v>
                </c:pt>
                <c:pt idx="9">
                  <c:v>0.37651748026153697</c:v>
                </c:pt>
                <c:pt idx="10">
                  <c:v>0.38905879172577862</c:v>
                </c:pt>
                <c:pt idx="11">
                  <c:v>0.39646294462498943</c:v>
                </c:pt>
              </c:numCache>
            </c:numRef>
          </c:val>
          <c:extLst>
            <c:ext xmlns:c16="http://schemas.microsoft.com/office/drawing/2014/chart" uri="{C3380CC4-5D6E-409C-BE32-E72D297353CC}">
              <c16:uniqueId val="{0000000F-E8A7-4309-AED7-13A6998C5714}"/>
            </c:ext>
          </c:extLst>
        </c:ser>
        <c:ser>
          <c:idx val="16"/>
          <c:order val="16"/>
          <c:tx>
            <c:strRef>
              <c:f>[FanChart_Budget_2023.xlsx]Sheet6!$R$3</c:f>
              <c:strCache>
                <c:ptCount val="1"/>
              </c:strCache>
            </c:strRef>
          </c:tx>
          <c:spPr>
            <a:solidFill>
              <a:srgbClr val="FF0000">
                <a:alpha val="3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[FanChart_Budget_2023.xlsx]Sheet6!$R$4:$R$59</c:f>
              <c:numCache>
                <c:formatCode>General</c:formatCode>
                <c:ptCount val="12"/>
                <c:pt idx="6">
                  <c:v>0.38756586611335031</c:v>
                </c:pt>
                <c:pt idx="7">
                  <c:v>0.49063066510164255</c:v>
                </c:pt>
                <c:pt idx="8">
                  <c:v>0.44659514212355589</c:v>
                </c:pt>
                <c:pt idx="9">
                  <c:v>0.47374496512651199</c:v>
                </c:pt>
                <c:pt idx="10">
                  <c:v>0.48952479866342991</c:v>
                </c:pt>
                <c:pt idx="11">
                  <c:v>0.49884091369371042</c:v>
                </c:pt>
              </c:numCache>
            </c:numRef>
          </c:val>
          <c:extLst>
            <c:ext xmlns:c16="http://schemas.microsoft.com/office/drawing/2014/chart" uri="{C3380CC4-5D6E-409C-BE32-E72D297353CC}">
              <c16:uniqueId val="{00000010-E8A7-4309-AED7-13A6998C5714}"/>
            </c:ext>
          </c:extLst>
        </c:ser>
        <c:ser>
          <c:idx val="17"/>
          <c:order val="17"/>
          <c:tx>
            <c:strRef>
              <c:f>[FanChart_Budget_2023.xlsx]Sheet6!$S$3</c:f>
              <c:strCache>
                <c:ptCount val="1"/>
              </c:strCache>
            </c:strRef>
          </c:tx>
          <c:spPr>
            <a:solidFill>
              <a:srgbClr val="FF0000">
                <a:alpha val="2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[FanChart_Budget_2023.xlsx]Sheet6!$S$4:$S$59</c:f>
              <c:numCache>
                <c:formatCode>General</c:formatCode>
                <c:ptCount val="12"/>
                <c:pt idx="6">
                  <c:v>0.5744309963400358</c:v>
                </c:pt>
                <c:pt idx="7">
                  <c:v>0.72718855407892136</c:v>
                </c:pt>
                <c:pt idx="8">
                  <c:v>0.66192127553262026</c:v>
                </c:pt>
                <c:pt idx="9">
                  <c:v>0.70216140306098929</c:v>
                </c:pt>
                <c:pt idx="10">
                  <c:v>0.72554949343023267</c:v>
                </c:pt>
                <c:pt idx="11">
                  <c:v>0.73935737928078105</c:v>
                </c:pt>
              </c:numCache>
            </c:numRef>
          </c:val>
          <c:extLst>
            <c:ext xmlns:c16="http://schemas.microsoft.com/office/drawing/2014/chart" uri="{C3380CC4-5D6E-409C-BE32-E72D297353CC}">
              <c16:uniqueId val="{00000011-E8A7-4309-AED7-13A6998C5714}"/>
            </c:ext>
          </c:extLst>
        </c:ser>
        <c:dLbls>
          <c:showLegendKey val="0"/>
          <c:showVal val="0"/>
          <c:showCatName val="0"/>
          <c:showSerName val="0"/>
          <c:showPercent val="0"/>
          <c:showBubbleSize val="0"/>
        </c:dLbls>
        <c:axId val="334690176"/>
        <c:axId val="334691712"/>
      </c:areaChart>
      <c:lineChart>
        <c:grouping val="standard"/>
        <c:varyColors val="0"/>
        <c:ser>
          <c:idx val="18"/>
          <c:order val="18"/>
          <c:tx>
            <c:strRef>
              <c:f>[FanChart_Budget_2023.xlsx]Sheet6!$T$3</c:f>
              <c:strCache>
                <c:ptCount val="1"/>
              </c:strCache>
            </c:strRef>
          </c:tx>
          <c:marker>
            <c:symbol val="none"/>
          </c:marker>
          <c:dLbls>
            <c:dLbl>
              <c:idx val="11"/>
              <c:layout>
                <c:manualLayout>
                  <c:x val="-2.2633744855967079E-2"/>
                  <c:y val="8.3125519534496487E-3"/>
                </c:manualLayout>
              </c:layout>
              <c:spPr>
                <a:noFill/>
                <a:ln>
                  <a:noFill/>
                </a:ln>
                <a:effectLst/>
              </c:spPr>
              <c:txPr>
                <a:bodyPr wrap="square" lIns="38100" tIns="19050" rIns="38100" bIns="19050" anchor="ctr">
                  <a:noAutofit/>
                </a:bodyPr>
                <a:lstStyle/>
                <a:p>
                  <a:pPr>
                    <a:defRPr sz="1200" b="1">
                      <a:latin typeface="GHEA Grapalat" panose="02000506050000020003" pitchFamily="50"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3.7139917695473243E-2"/>
                      <c:h val="7.5178719866999172E-2"/>
                    </c:manualLayout>
                  </c15:layout>
                </c:ext>
                <c:ext xmlns:c16="http://schemas.microsoft.com/office/drawing/2014/chart" uri="{C3380CC4-5D6E-409C-BE32-E72D297353CC}">
                  <c16:uniqueId val="{00000012-E8A7-4309-AED7-13A6998C5714}"/>
                </c:ext>
              </c:extLst>
            </c:dLbl>
            <c:spPr>
              <a:noFill/>
              <a:ln>
                <a:noFill/>
              </a:ln>
              <a:effectLst/>
            </c:spPr>
            <c:txPr>
              <a:bodyPr wrap="square" lIns="38100" tIns="19050" rIns="38100" bIns="19050" anchor="ctr">
                <a:spAutoFit/>
              </a:bodyPr>
              <a:lstStyle/>
              <a:p>
                <a:pPr>
                  <a:defRPr sz="1200"/>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[FanChart_Budget_2023.xlsx]Sheet6!$T$4:$T$59</c:f>
              <c:numCache>
                <c:formatCode>General</c:formatCode>
                <c:ptCount val="12"/>
                <c:pt idx="0">
                  <c:v>7</c:v>
                </c:pt>
                <c:pt idx="1">
                  <c:v>7</c:v>
                </c:pt>
                <c:pt idx="2">
                  <c:v>7</c:v>
                </c:pt>
                <c:pt idx="3">
                  <c:v>7</c:v>
                </c:pt>
                <c:pt idx="4">
                  <c:v>7</c:v>
                </c:pt>
                <c:pt idx="5">
                  <c:v>7</c:v>
                </c:pt>
                <c:pt idx="6">
                  <c:v>7</c:v>
                </c:pt>
                <c:pt idx="7">
                  <c:v>7</c:v>
                </c:pt>
                <c:pt idx="8">
                  <c:v>7</c:v>
                </c:pt>
                <c:pt idx="9">
                  <c:v>7</c:v>
                </c:pt>
                <c:pt idx="10">
                  <c:v>7</c:v>
                </c:pt>
                <c:pt idx="11">
                  <c:v>7</c:v>
                </c:pt>
              </c:numCache>
            </c:numRef>
          </c:val>
          <c:smooth val="0"/>
          <c:extLst>
            <c:ext xmlns:c16="http://schemas.microsoft.com/office/drawing/2014/chart" uri="{C3380CC4-5D6E-409C-BE32-E72D297353CC}">
              <c16:uniqueId val="{00000013-E8A7-4309-AED7-13A6998C5714}"/>
            </c:ext>
          </c:extLst>
        </c:ser>
        <c:dLbls>
          <c:showLegendKey val="0"/>
          <c:showVal val="0"/>
          <c:showCatName val="0"/>
          <c:showSerName val="0"/>
          <c:showPercent val="0"/>
          <c:showBubbleSize val="0"/>
        </c:dLbls>
        <c:marker val="1"/>
        <c:smooth val="0"/>
        <c:axId val="334690176"/>
        <c:axId val="334691712"/>
      </c:lineChart>
      <c:catAx>
        <c:axId val="334690176"/>
        <c:scaling>
          <c:orientation val="minMax"/>
        </c:scaling>
        <c:delete val="0"/>
        <c:axPos val="b"/>
        <c:numFmt formatCode="General" sourceLinked="0"/>
        <c:majorTickMark val="out"/>
        <c:minorTickMark val="none"/>
        <c:tickLblPos val="nextTo"/>
        <c:txPr>
          <a:bodyPr/>
          <a:lstStyle/>
          <a:p>
            <a:pPr>
              <a:defRPr sz="1200"/>
            </a:pPr>
            <a:endParaRPr lang="en-US"/>
          </a:p>
        </c:txPr>
        <c:crossAx val="334691712"/>
        <c:crosses val="autoZero"/>
        <c:auto val="1"/>
        <c:lblAlgn val="ctr"/>
        <c:lblOffset val="100"/>
        <c:noMultiLvlLbl val="0"/>
      </c:catAx>
      <c:valAx>
        <c:axId val="334691712"/>
        <c:scaling>
          <c:orientation val="minMax"/>
          <c:max val="15"/>
          <c:min val="-8"/>
        </c:scaling>
        <c:delete val="0"/>
        <c:axPos val="l"/>
        <c:numFmt formatCode="General" sourceLinked="1"/>
        <c:majorTickMark val="out"/>
        <c:minorTickMark val="none"/>
        <c:tickLblPos val="nextTo"/>
        <c:crossAx val="334690176"/>
        <c:crosses val="autoZero"/>
        <c:crossBetween val="between"/>
        <c:majorUnit val="3"/>
      </c:valAx>
    </c:plotArea>
    <c:plotVisOnly val="1"/>
    <c:dispBlanksAs val="gap"/>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22200096683625"/>
          <c:y val="9.7387132828492137E-2"/>
          <c:w val="0.77075361005773846"/>
          <c:h val="0.53498227413516442"/>
        </c:manualLayout>
      </c:layout>
      <c:lineChart>
        <c:grouping val="standard"/>
        <c:varyColors val="0"/>
        <c:ser>
          <c:idx val="0"/>
          <c:order val="0"/>
          <c:tx>
            <c:strRef>
              <c:f>Sheet1!$B$1</c:f>
              <c:strCache>
                <c:ptCount val="1"/>
                <c:pt idx="0">
                  <c:v>Զարգացող երկրների արժույթ</c:v>
                </c:pt>
              </c:strCache>
            </c:strRef>
          </c:tx>
          <c:spPr>
            <a:ln w="28575" cap="rnd">
              <a:solidFill>
                <a:schemeClr val="accent1"/>
              </a:solidFill>
              <a:round/>
            </a:ln>
            <a:effectLst/>
          </c:spPr>
          <c:marker>
            <c:symbol val="none"/>
          </c:marker>
          <c:cat>
            <c:numRef>
              <c:f>Sheet1!$A$2:$A$542</c:f>
              <c:numCache>
                <c:formatCode>m\/d\/yyyy</c:formatCode>
                <c:ptCount val="541"/>
                <c:pt idx="0">
                  <c:v>43840</c:v>
                </c:pt>
                <c:pt idx="1">
                  <c:v>43844</c:v>
                </c:pt>
                <c:pt idx="2">
                  <c:v>43845</c:v>
                </c:pt>
                <c:pt idx="3">
                  <c:v>43846</c:v>
                </c:pt>
                <c:pt idx="4">
                  <c:v>43847</c:v>
                </c:pt>
                <c:pt idx="5">
                  <c:v>43851</c:v>
                </c:pt>
                <c:pt idx="6">
                  <c:v>43852</c:v>
                </c:pt>
                <c:pt idx="7">
                  <c:v>43853</c:v>
                </c:pt>
                <c:pt idx="8">
                  <c:v>43854</c:v>
                </c:pt>
                <c:pt idx="9">
                  <c:v>43859</c:v>
                </c:pt>
                <c:pt idx="10">
                  <c:v>43860</c:v>
                </c:pt>
                <c:pt idx="11">
                  <c:v>43861</c:v>
                </c:pt>
                <c:pt idx="12">
                  <c:v>43865</c:v>
                </c:pt>
                <c:pt idx="13">
                  <c:v>43866</c:v>
                </c:pt>
                <c:pt idx="14">
                  <c:v>43867</c:v>
                </c:pt>
                <c:pt idx="15">
                  <c:v>43868</c:v>
                </c:pt>
                <c:pt idx="16">
                  <c:v>43872</c:v>
                </c:pt>
                <c:pt idx="17">
                  <c:v>43873</c:v>
                </c:pt>
                <c:pt idx="18">
                  <c:v>43874</c:v>
                </c:pt>
                <c:pt idx="19">
                  <c:v>43875</c:v>
                </c:pt>
                <c:pt idx="20">
                  <c:v>43879</c:v>
                </c:pt>
                <c:pt idx="21">
                  <c:v>43880</c:v>
                </c:pt>
                <c:pt idx="22">
                  <c:v>43881</c:v>
                </c:pt>
                <c:pt idx="23">
                  <c:v>43882</c:v>
                </c:pt>
                <c:pt idx="24">
                  <c:v>43887</c:v>
                </c:pt>
                <c:pt idx="25">
                  <c:v>43888</c:v>
                </c:pt>
                <c:pt idx="26">
                  <c:v>43889</c:v>
                </c:pt>
                <c:pt idx="27">
                  <c:v>43893</c:v>
                </c:pt>
                <c:pt idx="28">
                  <c:v>43894</c:v>
                </c:pt>
                <c:pt idx="29">
                  <c:v>43895</c:v>
                </c:pt>
                <c:pt idx="30">
                  <c:v>43896</c:v>
                </c:pt>
                <c:pt idx="31">
                  <c:v>43901</c:v>
                </c:pt>
                <c:pt idx="32">
                  <c:v>43902</c:v>
                </c:pt>
                <c:pt idx="33">
                  <c:v>43903</c:v>
                </c:pt>
                <c:pt idx="34">
                  <c:v>43907</c:v>
                </c:pt>
                <c:pt idx="35">
                  <c:v>43908</c:v>
                </c:pt>
                <c:pt idx="36">
                  <c:v>43909</c:v>
                </c:pt>
                <c:pt idx="37">
                  <c:v>43910</c:v>
                </c:pt>
                <c:pt idx="38">
                  <c:v>43914</c:v>
                </c:pt>
                <c:pt idx="39">
                  <c:v>43915</c:v>
                </c:pt>
                <c:pt idx="40">
                  <c:v>43916</c:v>
                </c:pt>
                <c:pt idx="41">
                  <c:v>43917</c:v>
                </c:pt>
                <c:pt idx="42">
                  <c:v>43928</c:v>
                </c:pt>
                <c:pt idx="43">
                  <c:v>43929</c:v>
                </c:pt>
                <c:pt idx="44">
                  <c:v>43930</c:v>
                </c:pt>
                <c:pt idx="45">
                  <c:v>43931</c:v>
                </c:pt>
                <c:pt idx="46">
                  <c:v>43935</c:v>
                </c:pt>
                <c:pt idx="47">
                  <c:v>43936</c:v>
                </c:pt>
                <c:pt idx="48">
                  <c:v>43937</c:v>
                </c:pt>
                <c:pt idx="49">
                  <c:v>43938</c:v>
                </c:pt>
                <c:pt idx="50">
                  <c:v>43942</c:v>
                </c:pt>
                <c:pt idx="51">
                  <c:v>43943</c:v>
                </c:pt>
                <c:pt idx="52">
                  <c:v>43944</c:v>
                </c:pt>
                <c:pt idx="53">
                  <c:v>43949</c:v>
                </c:pt>
                <c:pt idx="54">
                  <c:v>43950</c:v>
                </c:pt>
                <c:pt idx="55">
                  <c:v>43951</c:v>
                </c:pt>
                <c:pt idx="56">
                  <c:v>43958</c:v>
                </c:pt>
                <c:pt idx="57">
                  <c:v>43959</c:v>
                </c:pt>
                <c:pt idx="58">
                  <c:v>43964</c:v>
                </c:pt>
                <c:pt idx="59">
                  <c:v>43965</c:v>
                </c:pt>
                <c:pt idx="60">
                  <c:v>43966</c:v>
                </c:pt>
                <c:pt idx="61">
                  <c:v>43970</c:v>
                </c:pt>
                <c:pt idx="62">
                  <c:v>43971</c:v>
                </c:pt>
                <c:pt idx="63">
                  <c:v>43972</c:v>
                </c:pt>
                <c:pt idx="64">
                  <c:v>43973</c:v>
                </c:pt>
                <c:pt idx="65">
                  <c:v>43977</c:v>
                </c:pt>
                <c:pt idx="66">
                  <c:v>43978</c:v>
                </c:pt>
                <c:pt idx="67">
                  <c:v>43984</c:v>
                </c:pt>
                <c:pt idx="68">
                  <c:v>43985</c:v>
                </c:pt>
                <c:pt idx="69">
                  <c:v>43986</c:v>
                </c:pt>
                <c:pt idx="70">
                  <c:v>43987</c:v>
                </c:pt>
                <c:pt idx="71">
                  <c:v>43991</c:v>
                </c:pt>
                <c:pt idx="72">
                  <c:v>43992</c:v>
                </c:pt>
                <c:pt idx="73">
                  <c:v>43993</c:v>
                </c:pt>
                <c:pt idx="74">
                  <c:v>43994</c:v>
                </c:pt>
                <c:pt idx="75">
                  <c:v>43998</c:v>
                </c:pt>
                <c:pt idx="76">
                  <c:v>43999</c:v>
                </c:pt>
                <c:pt idx="77">
                  <c:v>44000</c:v>
                </c:pt>
                <c:pt idx="78">
                  <c:v>44001</c:v>
                </c:pt>
                <c:pt idx="79">
                  <c:v>44005</c:v>
                </c:pt>
                <c:pt idx="80">
                  <c:v>44006</c:v>
                </c:pt>
                <c:pt idx="81">
                  <c:v>44007</c:v>
                </c:pt>
                <c:pt idx="82">
                  <c:v>44008</c:v>
                </c:pt>
                <c:pt idx="83">
                  <c:v>44012</c:v>
                </c:pt>
                <c:pt idx="84">
                  <c:v>44013</c:v>
                </c:pt>
                <c:pt idx="85">
                  <c:v>44014</c:v>
                </c:pt>
                <c:pt idx="86">
                  <c:v>44015</c:v>
                </c:pt>
                <c:pt idx="87">
                  <c:v>44019</c:v>
                </c:pt>
                <c:pt idx="88">
                  <c:v>44020</c:v>
                </c:pt>
                <c:pt idx="89">
                  <c:v>44021</c:v>
                </c:pt>
                <c:pt idx="90">
                  <c:v>44022</c:v>
                </c:pt>
                <c:pt idx="91">
                  <c:v>44026</c:v>
                </c:pt>
                <c:pt idx="92">
                  <c:v>44027</c:v>
                </c:pt>
                <c:pt idx="93">
                  <c:v>44028</c:v>
                </c:pt>
                <c:pt idx="94">
                  <c:v>44029</c:v>
                </c:pt>
                <c:pt idx="95">
                  <c:v>44033</c:v>
                </c:pt>
                <c:pt idx="96">
                  <c:v>44034</c:v>
                </c:pt>
                <c:pt idx="97">
                  <c:v>44035</c:v>
                </c:pt>
                <c:pt idx="98">
                  <c:v>44036</c:v>
                </c:pt>
                <c:pt idx="99">
                  <c:v>44040</c:v>
                </c:pt>
                <c:pt idx="100">
                  <c:v>44041</c:v>
                </c:pt>
                <c:pt idx="101">
                  <c:v>44042</c:v>
                </c:pt>
                <c:pt idx="102">
                  <c:v>44043</c:v>
                </c:pt>
                <c:pt idx="103">
                  <c:v>44047</c:v>
                </c:pt>
                <c:pt idx="104">
                  <c:v>44048</c:v>
                </c:pt>
                <c:pt idx="105">
                  <c:v>44049</c:v>
                </c:pt>
                <c:pt idx="106">
                  <c:v>44050</c:v>
                </c:pt>
                <c:pt idx="107">
                  <c:v>44054</c:v>
                </c:pt>
                <c:pt idx="108">
                  <c:v>44055</c:v>
                </c:pt>
                <c:pt idx="109">
                  <c:v>44056</c:v>
                </c:pt>
                <c:pt idx="110">
                  <c:v>44057</c:v>
                </c:pt>
                <c:pt idx="111">
                  <c:v>44061</c:v>
                </c:pt>
                <c:pt idx="112">
                  <c:v>44062</c:v>
                </c:pt>
                <c:pt idx="113">
                  <c:v>44063</c:v>
                </c:pt>
                <c:pt idx="114">
                  <c:v>44064</c:v>
                </c:pt>
                <c:pt idx="115">
                  <c:v>44068</c:v>
                </c:pt>
                <c:pt idx="116">
                  <c:v>44069</c:v>
                </c:pt>
                <c:pt idx="117">
                  <c:v>44070</c:v>
                </c:pt>
                <c:pt idx="118">
                  <c:v>44071</c:v>
                </c:pt>
                <c:pt idx="119">
                  <c:v>44075</c:v>
                </c:pt>
                <c:pt idx="120">
                  <c:v>44076</c:v>
                </c:pt>
                <c:pt idx="121">
                  <c:v>44077</c:v>
                </c:pt>
                <c:pt idx="122">
                  <c:v>44078</c:v>
                </c:pt>
                <c:pt idx="123">
                  <c:v>44082</c:v>
                </c:pt>
                <c:pt idx="124">
                  <c:v>44083</c:v>
                </c:pt>
                <c:pt idx="125">
                  <c:v>44084</c:v>
                </c:pt>
                <c:pt idx="126">
                  <c:v>44085</c:v>
                </c:pt>
                <c:pt idx="127">
                  <c:v>44089</c:v>
                </c:pt>
                <c:pt idx="128">
                  <c:v>44090</c:v>
                </c:pt>
                <c:pt idx="129">
                  <c:v>44091</c:v>
                </c:pt>
                <c:pt idx="130">
                  <c:v>44092</c:v>
                </c:pt>
                <c:pt idx="131">
                  <c:v>44096</c:v>
                </c:pt>
                <c:pt idx="132">
                  <c:v>44097</c:v>
                </c:pt>
                <c:pt idx="133">
                  <c:v>44098</c:v>
                </c:pt>
                <c:pt idx="134">
                  <c:v>44099</c:v>
                </c:pt>
                <c:pt idx="135">
                  <c:v>44103</c:v>
                </c:pt>
                <c:pt idx="136">
                  <c:v>44104</c:v>
                </c:pt>
                <c:pt idx="137">
                  <c:v>44105</c:v>
                </c:pt>
                <c:pt idx="138">
                  <c:v>44106</c:v>
                </c:pt>
                <c:pt idx="139">
                  <c:v>44110</c:v>
                </c:pt>
                <c:pt idx="140">
                  <c:v>44111</c:v>
                </c:pt>
                <c:pt idx="141">
                  <c:v>44112</c:v>
                </c:pt>
                <c:pt idx="142">
                  <c:v>44113</c:v>
                </c:pt>
                <c:pt idx="143">
                  <c:v>44117</c:v>
                </c:pt>
                <c:pt idx="144">
                  <c:v>44118</c:v>
                </c:pt>
                <c:pt idx="145">
                  <c:v>44119</c:v>
                </c:pt>
                <c:pt idx="146">
                  <c:v>44120</c:v>
                </c:pt>
                <c:pt idx="147">
                  <c:v>44124</c:v>
                </c:pt>
                <c:pt idx="148">
                  <c:v>44125</c:v>
                </c:pt>
                <c:pt idx="149">
                  <c:v>44126</c:v>
                </c:pt>
                <c:pt idx="150">
                  <c:v>44127</c:v>
                </c:pt>
                <c:pt idx="151">
                  <c:v>44131</c:v>
                </c:pt>
                <c:pt idx="152">
                  <c:v>44132</c:v>
                </c:pt>
                <c:pt idx="153">
                  <c:v>44133</c:v>
                </c:pt>
                <c:pt idx="154">
                  <c:v>44134</c:v>
                </c:pt>
                <c:pt idx="155">
                  <c:v>44138</c:v>
                </c:pt>
                <c:pt idx="156">
                  <c:v>44139</c:v>
                </c:pt>
                <c:pt idx="157">
                  <c:v>44141</c:v>
                </c:pt>
                <c:pt idx="158">
                  <c:v>44145</c:v>
                </c:pt>
                <c:pt idx="159">
                  <c:v>44146</c:v>
                </c:pt>
                <c:pt idx="160">
                  <c:v>44147</c:v>
                </c:pt>
                <c:pt idx="161">
                  <c:v>44148</c:v>
                </c:pt>
                <c:pt idx="162">
                  <c:v>44152</c:v>
                </c:pt>
                <c:pt idx="163">
                  <c:v>44153</c:v>
                </c:pt>
                <c:pt idx="164">
                  <c:v>44154</c:v>
                </c:pt>
                <c:pt idx="165">
                  <c:v>44155</c:v>
                </c:pt>
                <c:pt idx="166">
                  <c:v>44159</c:v>
                </c:pt>
                <c:pt idx="167">
                  <c:v>44160</c:v>
                </c:pt>
                <c:pt idx="168">
                  <c:v>44161</c:v>
                </c:pt>
                <c:pt idx="169">
                  <c:v>44162</c:v>
                </c:pt>
                <c:pt idx="170">
                  <c:v>44166</c:v>
                </c:pt>
                <c:pt idx="171">
                  <c:v>44167</c:v>
                </c:pt>
                <c:pt idx="172">
                  <c:v>44168</c:v>
                </c:pt>
                <c:pt idx="173">
                  <c:v>44169</c:v>
                </c:pt>
                <c:pt idx="174">
                  <c:v>44173</c:v>
                </c:pt>
                <c:pt idx="175">
                  <c:v>44174</c:v>
                </c:pt>
                <c:pt idx="176">
                  <c:v>44175</c:v>
                </c:pt>
                <c:pt idx="177">
                  <c:v>44176</c:v>
                </c:pt>
                <c:pt idx="178">
                  <c:v>44180</c:v>
                </c:pt>
                <c:pt idx="179">
                  <c:v>44181</c:v>
                </c:pt>
                <c:pt idx="180">
                  <c:v>44182</c:v>
                </c:pt>
                <c:pt idx="181">
                  <c:v>44183</c:v>
                </c:pt>
                <c:pt idx="182">
                  <c:v>44187</c:v>
                </c:pt>
                <c:pt idx="183">
                  <c:v>44188</c:v>
                </c:pt>
                <c:pt idx="184">
                  <c:v>44189</c:v>
                </c:pt>
                <c:pt idx="185">
                  <c:v>44190</c:v>
                </c:pt>
                <c:pt idx="186">
                  <c:v>44194</c:v>
                </c:pt>
                <c:pt idx="187">
                  <c:v>44195</c:v>
                </c:pt>
                <c:pt idx="188">
                  <c:v>44208</c:v>
                </c:pt>
                <c:pt idx="189">
                  <c:v>44209</c:v>
                </c:pt>
                <c:pt idx="190">
                  <c:v>44210</c:v>
                </c:pt>
                <c:pt idx="191">
                  <c:v>44211</c:v>
                </c:pt>
                <c:pt idx="192">
                  <c:v>44215</c:v>
                </c:pt>
                <c:pt idx="193">
                  <c:v>44216</c:v>
                </c:pt>
                <c:pt idx="194">
                  <c:v>44217</c:v>
                </c:pt>
                <c:pt idx="195">
                  <c:v>44218</c:v>
                </c:pt>
                <c:pt idx="196">
                  <c:v>44222</c:v>
                </c:pt>
                <c:pt idx="197">
                  <c:v>44223</c:v>
                </c:pt>
                <c:pt idx="198">
                  <c:v>44225</c:v>
                </c:pt>
                <c:pt idx="199">
                  <c:v>44229</c:v>
                </c:pt>
                <c:pt idx="200">
                  <c:v>44230</c:v>
                </c:pt>
                <c:pt idx="201">
                  <c:v>44231</c:v>
                </c:pt>
                <c:pt idx="202">
                  <c:v>44232</c:v>
                </c:pt>
                <c:pt idx="203">
                  <c:v>44236</c:v>
                </c:pt>
                <c:pt idx="204">
                  <c:v>44237</c:v>
                </c:pt>
                <c:pt idx="205">
                  <c:v>44238</c:v>
                </c:pt>
                <c:pt idx="206">
                  <c:v>44239</c:v>
                </c:pt>
                <c:pt idx="207">
                  <c:v>44243</c:v>
                </c:pt>
                <c:pt idx="208">
                  <c:v>44244</c:v>
                </c:pt>
                <c:pt idx="209">
                  <c:v>44245</c:v>
                </c:pt>
                <c:pt idx="210">
                  <c:v>44246</c:v>
                </c:pt>
                <c:pt idx="211">
                  <c:v>44252</c:v>
                </c:pt>
                <c:pt idx="212">
                  <c:v>44253</c:v>
                </c:pt>
                <c:pt idx="213">
                  <c:v>44257</c:v>
                </c:pt>
                <c:pt idx="214">
                  <c:v>44258</c:v>
                </c:pt>
                <c:pt idx="215">
                  <c:v>44259</c:v>
                </c:pt>
                <c:pt idx="216">
                  <c:v>44260</c:v>
                </c:pt>
                <c:pt idx="217">
                  <c:v>44265</c:v>
                </c:pt>
                <c:pt idx="218">
                  <c:v>44266</c:v>
                </c:pt>
                <c:pt idx="219">
                  <c:v>44267</c:v>
                </c:pt>
                <c:pt idx="220">
                  <c:v>44271</c:v>
                </c:pt>
                <c:pt idx="221">
                  <c:v>44272</c:v>
                </c:pt>
                <c:pt idx="222">
                  <c:v>44273</c:v>
                </c:pt>
                <c:pt idx="223">
                  <c:v>44274</c:v>
                </c:pt>
                <c:pt idx="224">
                  <c:v>44278</c:v>
                </c:pt>
                <c:pt idx="225">
                  <c:v>44279</c:v>
                </c:pt>
                <c:pt idx="226">
                  <c:v>44280</c:v>
                </c:pt>
                <c:pt idx="227">
                  <c:v>44281</c:v>
                </c:pt>
                <c:pt idx="228">
                  <c:v>44285</c:v>
                </c:pt>
                <c:pt idx="229">
                  <c:v>44286</c:v>
                </c:pt>
                <c:pt idx="230">
                  <c:v>44287</c:v>
                </c:pt>
                <c:pt idx="231">
                  <c:v>44288</c:v>
                </c:pt>
                <c:pt idx="232">
                  <c:v>44292</c:v>
                </c:pt>
                <c:pt idx="233">
                  <c:v>44293</c:v>
                </c:pt>
                <c:pt idx="234">
                  <c:v>44294</c:v>
                </c:pt>
                <c:pt idx="235">
                  <c:v>44295</c:v>
                </c:pt>
                <c:pt idx="236">
                  <c:v>44299</c:v>
                </c:pt>
                <c:pt idx="237">
                  <c:v>44300</c:v>
                </c:pt>
                <c:pt idx="238">
                  <c:v>44301</c:v>
                </c:pt>
                <c:pt idx="239">
                  <c:v>44302</c:v>
                </c:pt>
                <c:pt idx="240">
                  <c:v>44306</c:v>
                </c:pt>
                <c:pt idx="241">
                  <c:v>44307</c:v>
                </c:pt>
                <c:pt idx="242">
                  <c:v>44308</c:v>
                </c:pt>
                <c:pt idx="243">
                  <c:v>44309</c:v>
                </c:pt>
                <c:pt idx="244">
                  <c:v>44313</c:v>
                </c:pt>
                <c:pt idx="245">
                  <c:v>44314</c:v>
                </c:pt>
                <c:pt idx="246">
                  <c:v>44315</c:v>
                </c:pt>
                <c:pt idx="247">
                  <c:v>44316</c:v>
                </c:pt>
                <c:pt idx="248">
                  <c:v>44321</c:v>
                </c:pt>
                <c:pt idx="249">
                  <c:v>44322</c:v>
                </c:pt>
                <c:pt idx="250">
                  <c:v>44323</c:v>
                </c:pt>
                <c:pt idx="251">
                  <c:v>44328</c:v>
                </c:pt>
                <c:pt idx="252">
                  <c:v>44329</c:v>
                </c:pt>
                <c:pt idx="253">
                  <c:v>44330</c:v>
                </c:pt>
                <c:pt idx="254">
                  <c:v>44334</c:v>
                </c:pt>
                <c:pt idx="255">
                  <c:v>44335</c:v>
                </c:pt>
                <c:pt idx="256">
                  <c:v>44336</c:v>
                </c:pt>
                <c:pt idx="257">
                  <c:v>44337</c:v>
                </c:pt>
                <c:pt idx="258">
                  <c:v>44341</c:v>
                </c:pt>
                <c:pt idx="259">
                  <c:v>44342</c:v>
                </c:pt>
                <c:pt idx="260">
                  <c:v>44343</c:v>
                </c:pt>
                <c:pt idx="261">
                  <c:v>44348</c:v>
                </c:pt>
                <c:pt idx="262">
                  <c:v>44349</c:v>
                </c:pt>
                <c:pt idx="263">
                  <c:v>44350</c:v>
                </c:pt>
                <c:pt idx="264">
                  <c:v>44351</c:v>
                </c:pt>
                <c:pt idx="265">
                  <c:v>44355</c:v>
                </c:pt>
                <c:pt idx="266">
                  <c:v>44356</c:v>
                </c:pt>
                <c:pt idx="267">
                  <c:v>44357</c:v>
                </c:pt>
                <c:pt idx="268">
                  <c:v>44358</c:v>
                </c:pt>
                <c:pt idx="269">
                  <c:v>44363</c:v>
                </c:pt>
                <c:pt idx="270">
                  <c:v>44364</c:v>
                </c:pt>
                <c:pt idx="271">
                  <c:v>44365</c:v>
                </c:pt>
                <c:pt idx="272">
                  <c:v>44369</c:v>
                </c:pt>
                <c:pt idx="273">
                  <c:v>44370</c:v>
                </c:pt>
                <c:pt idx="274">
                  <c:v>44371</c:v>
                </c:pt>
                <c:pt idx="275">
                  <c:v>44372</c:v>
                </c:pt>
                <c:pt idx="276">
                  <c:v>44376</c:v>
                </c:pt>
                <c:pt idx="277">
                  <c:v>44377</c:v>
                </c:pt>
                <c:pt idx="278">
                  <c:v>44378</c:v>
                </c:pt>
                <c:pt idx="279">
                  <c:v>44379</c:v>
                </c:pt>
                <c:pt idx="280">
                  <c:v>44383</c:v>
                </c:pt>
                <c:pt idx="281">
                  <c:v>44384</c:v>
                </c:pt>
                <c:pt idx="282">
                  <c:v>44385</c:v>
                </c:pt>
                <c:pt idx="283">
                  <c:v>44386</c:v>
                </c:pt>
                <c:pt idx="284">
                  <c:v>44390</c:v>
                </c:pt>
                <c:pt idx="285">
                  <c:v>44391</c:v>
                </c:pt>
                <c:pt idx="286">
                  <c:v>44392</c:v>
                </c:pt>
                <c:pt idx="287">
                  <c:v>44393</c:v>
                </c:pt>
                <c:pt idx="288">
                  <c:v>44397</c:v>
                </c:pt>
                <c:pt idx="289">
                  <c:v>44398</c:v>
                </c:pt>
                <c:pt idx="290">
                  <c:v>44399</c:v>
                </c:pt>
                <c:pt idx="291">
                  <c:v>44400</c:v>
                </c:pt>
                <c:pt idx="292">
                  <c:v>44404</c:v>
                </c:pt>
                <c:pt idx="293">
                  <c:v>44405</c:v>
                </c:pt>
                <c:pt idx="294">
                  <c:v>44406</c:v>
                </c:pt>
                <c:pt idx="295">
                  <c:v>44407</c:v>
                </c:pt>
                <c:pt idx="296">
                  <c:v>44411</c:v>
                </c:pt>
                <c:pt idx="297">
                  <c:v>44412</c:v>
                </c:pt>
                <c:pt idx="298">
                  <c:v>44413</c:v>
                </c:pt>
                <c:pt idx="299">
                  <c:v>44414</c:v>
                </c:pt>
                <c:pt idx="300">
                  <c:v>44418</c:v>
                </c:pt>
                <c:pt idx="301">
                  <c:v>44419</c:v>
                </c:pt>
                <c:pt idx="302">
                  <c:v>44420</c:v>
                </c:pt>
                <c:pt idx="303">
                  <c:v>44421</c:v>
                </c:pt>
                <c:pt idx="304">
                  <c:v>44425</c:v>
                </c:pt>
                <c:pt idx="305">
                  <c:v>44426</c:v>
                </c:pt>
                <c:pt idx="306">
                  <c:v>44427</c:v>
                </c:pt>
                <c:pt idx="307">
                  <c:v>44428</c:v>
                </c:pt>
                <c:pt idx="308">
                  <c:v>44432</c:v>
                </c:pt>
                <c:pt idx="309">
                  <c:v>44433</c:v>
                </c:pt>
                <c:pt idx="310">
                  <c:v>44434</c:v>
                </c:pt>
                <c:pt idx="311">
                  <c:v>44435</c:v>
                </c:pt>
                <c:pt idx="312">
                  <c:v>44439</c:v>
                </c:pt>
                <c:pt idx="313">
                  <c:v>44440</c:v>
                </c:pt>
                <c:pt idx="314">
                  <c:v>44441</c:v>
                </c:pt>
                <c:pt idx="315">
                  <c:v>44442</c:v>
                </c:pt>
                <c:pt idx="316">
                  <c:v>44446</c:v>
                </c:pt>
                <c:pt idx="317">
                  <c:v>44447</c:v>
                </c:pt>
                <c:pt idx="318">
                  <c:v>44448</c:v>
                </c:pt>
                <c:pt idx="319">
                  <c:v>44449</c:v>
                </c:pt>
                <c:pt idx="320">
                  <c:v>44453</c:v>
                </c:pt>
                <c:pt idx="321">
                  <c:v>44454</c:v>
                </c:pt>
                <c:pt idx="322">
                  <c:v>44455</c:v>
                </c:pt>
                <c:pt idx="323">
                  <c:v>44456</c:v>
                </c:pt>
                <c:pt idx="324">
                  <c:v>44461</c:v>
                </c:pt>
                <c:pt idx="325">
                  <c:v>44462</c:v>
                </c:pt>
                <c:pt idx="326">
                  <c:v>44463</c:v>
                </c:pt>
                <c:pt idx="327">
                  <c:v>44467</c:v>
                </c:pt>
                <c:pt idx="328">
                  <c:v>44468</c:v>
                </c:pt>
                <c:pt idx="329">
                  <c:v>44469</c:v>
                </c:pt>
                <c:pt idx="330">
                  <c:v>44470</c:v>
                </c:pt>
                <c:pt idx="331">
                  <c:v>44474</c:v>
                </c:pt>
                <c:pt idx="332">
                  <c:v>44475</c:v>
                </c:pt>
                <c:pt idx="333">
                  <c:v>44476</c:v>
                </c:pt>
                <c:pt idx="334">
                  <c:v>44477</c:v>
                </c:pt>
                <c:pt idx="335">
                  <c:v>44481</c:v>
                </c:pt>
                <c:pt idx="336">
                  <c:v>44482</c:v>
                </c:pt>
                <c:pt idx="337">
                  <c:v>44483</c:v>
                </c:pt>
                <c:pt idx="338">
                  <c:v>44484</c:v>
                </c:pt>
                <c:pt idx="339">
                  <c:v>44488</c:v>
                </c:pt>
                <c:pt idx="340">
                  <c:v>44489</c:v>
                </c:pt>
                <c:pt idx="341">
                  <c:v>44490</c:v>
                </c:pt>
                <c:pt idx="342">
                  <c:v>44491</c:v>
                </c:pt>
                <c:pt idx="343">
                  <c:v>44495</c:v>
                </c:pt>
                <c:pt idx="344">
                  <c:v>44496</c:v>
                </c:pt>
                <c:pt idx="345">
                  <c:v>44497</c:v>
                </c:pt>
                <c:pt idx="346">
                  <c:v>44498</c:v>
                </c:pt>
                <c:pt idx="347">
                  <c:v>44502</c:v>
                </c:pt>
                <c:pt idx="348">
                  <c:v>44503</c:v>
                </c:pt>
                <c:pt idx="349">
                  <c:v>44504</c:v>
                </c:pt>
                <c:pt idx="350">
                  <c:v>44509</c:v>
                </c:pt>
                <c:pt idx="351">
                  <c:v>44510</c:v>
                </c:pt>
                <c:pt idx="352">
                  <c:v>44511</c:v>
                </c:pt>
                <c:pt idx="353">
                  <c:v>44512</c:v>
                </c:pt>
                <c:pt idx="354">
                  <c:v>44516</c:v>
                </c:pt>
                <c:pt idx="355">
                  <c:v>44517</c:v>
                </c:pt>
                <c:pt idx="356">
                  <c:v>44518</c:v>
                </c:pt>
                <c:pt idx="357">
                  <c:v>44519</c:v>
                </c:pt>
                <c:pt idx="358">
                  <c:v>44523</c:v>
                </c:pt>
                <c:pt idx="359">
                  <c:v>44524</c:v>
                </c:pt>
                <c:pt idx="360">
                  <c:v>44525</c:v>
                </c:pt>
                <c:pt idx="361">
                  <c:v>44526</c:v>
                </c:pt>
                <c:pt idx="362">
                  <c:v>44530</c:v>
                </c:pt>
                <c:pt idx="363">
                  <c:v>44531</c:v>
                </c:pt>
                <c:pt idx="364">
                  <c:v>44532</c:v>
                </c:pt>
                <c:pt idx="365">
                  <c:v>44533</c:v>
                </c:pt>
                <c:pt idx="366">
                  <c:v>44537</c:v>
                </c:pt>
                <c:pt idx="367">
                  <c:v>44538</c:v>
                </c:pt>
                <c:pt idx="368">
                  <c:v>44539</c:v>
                </c:pt>
                <c:pt idx="369">
                  <c:v>44540</c:v>
                </c:pt>
                <c:pt idx="370">
                  <c:v>44544</c:v>
                </c:pt>
                <c:pt idx="371">
                  <c:v>44545</c:v>
                </c:pt>
                <c:pt idx="372">
                  <c:v>44546</c:v>
                </c:pt>
                <c:pt idx="373">
                  <c:v>44547</c:v>
                </c:pt>
                <c:pt idx="374">
                  <c:v>44551</c:v>
                </c:pt>
                <c:pt idx="375">
                  <c:v>44552</c:v>
                </c:pt>
                <c:pt idx="376">
                  <c:v>44553</c:v>
                </c:pt>
                <c:pt idx="377">
                  <c:v>44558</c:v>
                </c:pt>
                <c:pt idx="378">
                  <c:v>44559</c:v>
                </c:pt>
                <c:pt idx="379">
                  <c:v>44560</c:v>
                </c:pt>
                <c:pt idx="380">
                  <c:v>44572</c:v>
                </c:pt>
                <c:pt idx="381">
                  <c:v>44573</c:v>
                </c:pt>
                <c:pt idx="382">
                  <c:v>44574</c:v>
                </c:pt>
                <c:pt idx="383">
                  <c:v>44575</c:v>
                </c:pt>
                <c:pt idx="384">
                  <c:v>44579</c:v>
                </c:pt>
                <c:pt idx="385">
                  <c:v>44580</c:v>
                </c:pt>
                <c:pt idx="386">
                  <c:v>44581</c:v>
                </c:pt>
                <c:pt idx="387">
                  <c:v>44582</c:v>
                </c:pt>
                <c:pt idx="388">
                  <c:v>44586</c:v>
                </c:pt>
                <c:pt idx="389">
                  <c:v>44587</c:v>
                </c:pt>
                <c:pt idx="390">
                  <c:v>44588</c:v>
                </c:pt>
                <c:pt idx="391">
                  <c:v>44593</c:v>
                </c:pt>
                <c:pt idx="392">
                  <c:v>44594</c:v>
                </c:pt>
                <c:pt idx="393">
                  <c:v>44595</c:v>
                </c:pt>
                <c:pt idx="394">
                  <c:v>44596</c:v>
                </c:pt>
                <c:pt idx="395">
                  <c:v>44600</c:v>
                </c:pt>
                <c:pt idx="396">
                  <c:v>44601</c:v>
                </c:pt>
                <c:pt idx="397">
                  <c:v>44602</c:v>
                </c:pt>
                <c:pt idx="398">
                  <c:v>44603</c:v>
                </c:pt>
                <c:pt idx="399">
                  <c:v>44607</c:v>
                </c:pt>
                <c:pt idx="400">
                  <c:v>44608</c:v>
                </c:pt>
                <c:pt idx="401">
                  <c:v>44609</c:v>
                </c:pt>
                <c:pt idx="402">
                  <c:v>44610</c:v>
                </c:pt>
                <c:pt idx="403">
                  <c:v>44614</c:v>
                </c:pt>
                <c:pt idx="404">
                  <c:v>44615</c:v>
                </c:pt>
                <c:pt idx="405">
                  <c:v>44617</c:v>
                </c:pt>
                <c:pt idx="406">
                  <c:v>44621</c:v>
                </c:pt>
                <c:pt idx="407">
                  <c:v>44622</c:v>
                </c:pt>
                <c:pt idx="408">
                  <c:v>44623</c:v>
                </c:pt>
                <c:pt idx="409">
                  <c:v>44624</c:v>
                </c:pt>
                <c:pt idx="410">
                  <c:v>44630</c:v>
                </c:pt>
                <c:pt idx="411">
                  <c:v>44631</c:v>
                </c:pt>
                <c:pt idx="412">
                  <c:v>44635</c:v>
                </c:pt>
                <c:pt idx="413">
                  <c:v>44636</c:v>
                </c:pt>
                <c:pt idx="414">
                  <c:v>44637</c:v>
                </c:pt>
                <c:pt idx="415">
                  <c:v>44638</c:v>
                </c:pt>
                <c:pt idx="416">
                  <c:v>44642</c:v>
                </c:pt>
                <c:pt idx="417">
                  <c:v>44643</c:v>
                </c:pt>
                <c:pt idx="418">
                  <c:v>44644</c:v>
                </c:pt>
                <c:pt idx="419">
                  <c:v>44645</c:v>
                </c:pt>
                <c:pt idx="420">
                  <c:v>44649</c:v>
                </c:pt>
                <c:pt idx="421">
                  <c:v>44650</c:v>
                </c:pt>
                <c:pt idx="422">
                  <c:v>44651</c:v>
                </c:pt>
                <c:pt idx="423">
                  <c:v>44652</c:v>
                </c:pt>
                <c:pt idx="424">
                  <c:v>44656</c:v>
                </c:pt>
                <c:pt idx="425">
                  <c:v>44657</c:v>
                </c:pt>
                <c:pt idx="426">
                  <c:v>44658</c:v>
                </c:pt>
                <c:pt idx="427">
                  <c:v>44659</c:v>
                </c:pt>
                <c:pt idx="428">
                  <c:v>44663</c:v>
                </c:pt>
                <c:pt idx="429">
                  <c:v>44664</c:v>
                </c:pt>
                <c:pt idx="430">
                  <c:v>44665</c:v>
                </c:pt>
                <c:pt idx="431">
                  <c:v>44666</c:v>
                </c:pt>
                <c:pt idx="432">
                  <c:v>44670</c:v>
                </c:pt>
                <c:pt idx="433">
                  <c:v>44671</c:v>
                </c:pt>
                <c:pt idx="434">
                  <c:v>44672</c:v>
                </c:pt>
                <c:pt idx="435">
                  <c:v>44673</c:v>
                </c:pt>
                <c:pt idx="436">
                  <c:v>44677</c:v>
                </c:pt>
                <c:pt idx="437">
                  <c:v>44678</c:v>
                </c:pt>
                <c:pt idx="438">
                  <c:v>44679</c:v>
                </c:pt>
                <c:pt idx="439">
                  <c:v>44680</c:v>
                </c:pt>
                <c:pt idx="440">
                  <c:v>44686</c:v>
                </c:pt>
                <c:pt idx="441">
                  <c:v>44687</c:v>
                </c:pt>
                <c:pt idx="442">
                  <c:v>44693</c:v>
                </c:pt>
                <c:pt idx="443">
                  <c:v>44694</c:v>
                </c:pt>
                <c:pt idx="444">
                  <c:v>44698</c:v>
                </c:pt>
                <c:pt idx="445">
                  <c:v>44699</c:v>
                </c:pt>
                <c:pt idx="446">
                  <c:v>44700</c:v>
                </c:pt>
                <c:pt idx="447">
                  <c:v>44701</c:v>
                </c:pt>
                <c:pt idx="448">
                  <c:v>44705</c:v>
                </c:pt>
                <c:pt idx="449">
                  <c:v>44706</c:v>
                </c:pt>
                <c:pt idx="450">
                  <c:v>44707</c:v>
                </c:pt>
                <c:pt idx="451">
                  <c:v>44708</c:v>
                </c:pt>
                <c:pt idx="452">
                  <c:v>44712</c:v>
                </c:pt>
                <c:pt idx="453">
                  <c:v>44713</c:v>
                </c:pt>
                <c:pt idx="454">
                  <c:v>44714</c:v>
                </c:pt>
                <c:pt idx="455">
                  <c:v>44715</c:v>
                </c:pt>
                <c:pt idx="456">
                  <c:v>44719</c:v>
                </c:pt>
                <c:pt idx="457">
                  <c:v>44720</c:v>
                </c:pt>
                <c:pt idx="458">
                  <c:v>44721</c:v>
                </c:pt>
                <c:pt idx="459">
                  <c:v>44722</c:v>
                </c:pt>
              </c:numCache>
            </c:numRef>
          </c:cat>
          <c:val>
            <c:numRef>
              <c:f>Sheet1!$B$2:$B$542</c:f>
              <c:numCache>
                <c:formatCode>0</c:formatCode>
                <c:ptCount val="541"/>
                <c:pt idx="0">
                  <c:v>100</c:v>
                </c:pt>
                <c:pt idx="1">
                  <c:v>99.954226676039298</c:v>
                </c:pt>
                <c:pt idx="2">
                  <c:v>99.85450622026778</c:v>
                </c:pt>
                <c:pt idx="3">
                  <c:v>99.695934347975353</c:v>
                </c:pt>
                <c:pt idx="4">
                  <c:v>99.738438148796007</c:v>
                </c:pt>
                <c:pt idx="5">
                  <c:v>99.419659642641136</c:v>
                </c:pt>
                <c:pt idx="6">
                  <c:v>99.537362475682926</c:v>
                </c:pt>
                <c:pt idx="7">
                  <c:v>99.390233934380689</c:v>
                </c:pt>
                <c:pt idx="8">
                  <c:v>99.246374916218485</c:v>
                </c:pt>
                <c:pt idx="9">
                  <c:v>98.469863170456605</c:v>
                </c:pt>
                <c:pt idx="10">
                  <c:v>98.167432280001975</c:v>
                </c:pt>
                <c:pt idx="11">
                  <c:v>97.760376649065748</c:v>
                </c:pt>
                <c:pt idx="12">
                  <c:v>98.31292605973421</c:v>
                </c:pt>
                <c:pt idx="13">
                  <c:v>98.525445063837452</c:v>
                </c:pt>
                <c:pt idx="14">
                  <c:v>98.074250870510554</c:v>
                </c:pt>
                <c:pt idx="15">
                  <c:v>97.387651011100047</c:v>
                </c:pt>
                <c:pt idx="16">
                  <c:v>97.781628549476068</c:v>
                </c:pt>
                <c:pt idx="17">
                  <c:v>97.526605744552171</c:v>
                </c:pt>
                <c:pt idx="18">
                  <c:v>97.520066698272075</c:v>
                </c:pt>
                <c:pt idx="19">
                  <c:v>97.663925716434278</c:v>
                </c:pt>
                <c:pt idx="20">
                  <c:v>97.269948178058243</c:v>
                </c:pt>
                <c:pt idx="21">
                  <c:v>97.037812035114698</c:v>
                </c:pt>
                <c:pt idx="22">
                  <c:v>96.496705955436411</c:v>
                </c:pt>
                <c:pt idx="23">
                  <c:v>96.714129244249747</c:v>
                </c:pt>
                <c:pt idx="24">
                  <c:v>95.797028003465712</c:v>
                </c:pt>
                <c:pt idx="25">
                  <c:v>95.259191446927474</c:v>
                </c:pt>
                <c:pt idx="26">
                  <c:v>95.231400500237044</c:v>
                </c:pt>
                <c:pt idx="27">
                  <c:v>95.837897042716335</c:v>
                </c:pt>
                <c:pt idx="28">
                  <c:v>95.533831390691674</c:v>
                </c:pt>
                <c:pt idx="29">
                  <c:v>94.63961681188799</c:v>
                </c:pt>
                <c:pt idx="30">
                  <c:v>94.673946804858517</c:v>
                </c:pt>
                <c:pt idx="31">
                  <c:v>92.027267822988023</c:v>
                </c:pt>
                <c:pt idx="32">
                  <c:v>91.052949927253124</c:v>
                </c:pt>
                <c:pt idx="33">
                  <c:v>91.530300305700436</c:v>
                </c:pt>
                <c:pt idx="34">
                  <c:v>89.853034934854762</c:v>
                </c:pt>
                <c:pt idx="35">
                  <c:v>86.773144136927641</c:v>
                </c:pt>
                <c:pt idx="36">
                  <c:v>87.503882558728819</c:v>
                </c:pt>
                <c:pt idx="37">
                  <c:v>87.041245034411745</c:v>
                </c:pt>
                <c:pt idx="38">
                  <c:v>87.342041163296329</c:v>
                </c:pt>
                <c:pt idx="39">
                  <c:v>88.00085007601642</c:v>
                </c:pt>
                <c:pt idx="40">
                  <c:v>89.127200797763649</c:v>
                </c:pt>
                <c:pt idx="41">
                  <c:v>88.370306190842058</c:v>
                </c:pt>
                <c:pt idx="42">
                  <c:v>86.830360791878505</c:v>
                </c:pt>
                <c:pt idx="43">
                  <c:v>87.351849732716474</c:v>
                </c:pt>
                <c:pt idx="44">
                  <c:v>88.116918147488192</c:v>
                </c:pt>
                <c:pt idx="45">
                  <c:v>88.286933350770795</c:v>
                </c:pt>
                <c:pt idx="46">
                  <c:v>87.881512481404599</c:v>
                </c:pt>
                <c:pt idx="47">
                  <c:v>86.53937323241405</c:v>
                </c:pt>
                <c:pt idx="48">
                  <c:v>86.957872194340467</c:v>
                </c:pt>
                <c:pt idx="49">
                  <c:v>86.988932664170946</c:v>
                </c:pt>
                <c:pt idx="50">
                  <c:v>85.883833842834036</c:v>
                </c:pt>
                <c:pt idx="51">
                  <c:v>85.807000049042855</c:v>
                </c:pt>
                <c:pt idx="52">
                  <c:v>85.641889130470332</c:v>
                </c:pt>
                <c:pt idx="53">
                  <c:v>86.426574684082354</c:v>
                </c:pt>
                <c:pt idx="54">
                  <c:v>87.438492095927842</c:v>
                </c:pt>
                <c:pt idx="55">
                  <c:v>86.594955125794925</c:v>
                </c:pt>
                <c:pt idx="56">
                  <c:v>86.18462997171865</c:v>
                </c:pt>
                <c:pt idx="57">
                  <c:v>86.737179382387097</c:v>
                </c:pt>
                <c:pt idx="58">
                  <c:v>86.104526654787421</c:v>
                </c:pt>
                <c:pt idx="59">
                  <c:v>86.263098527079862</c:v>
                </c:pt>
                <c:pt idx="60">
                  <c:v>86.160108548168282</c:v>
                </c:pt>
                <c:pt idx="61">
                  <c:v>87.261937846365129</c:v>
                </c:pt>
                <c:pt idx="62">
                  <c:v>87.891321050824772</c:v>
                </c:pt>
                <c:pt idx="63">
                  <c:v>88.329437151591449</c:v>
                </c:pt>
                <c:pt idx="64">
                  <c:v>88.259142404080379</c:v>
                </c:pt>
                <c:pt idx="65">
                  <c:v>89.236729822955354</c:v>
                </c:pt>
                <c:pt idx="66">
                  <c:v>89.06507985810272</c:v>
                </c:pt>
                <c:pt idx="67">
                  <c:v>91.023524218992677</c:v>
                </c:pt>
                <c:pt idx="68">
                  <c:v>91.04314135783298</c:v>
                </c:pt>
                <c:pt idx="69">
                  <c:v>91.304703209036987</c:v>
                </c:pt>
                <c:pt idx="70">
                  <c:v>91.858887381275466</c:v>
                </c:pt>
                <c:pt idx="71">
                  <c:v>92.035441630838164</c:v>
                </c:pt>
                <c:pt idx="72">
                  <c:v>91.71829788625331</c:v>
                </c:pt>
                <c:pt idx="73">
                  <c:v>90.488957185594501</c:v>
                </c:pt>
                <c:pt idx="74">
                  <c:v>90.667146196727231</c:v>
                </c:pt>
                <c:pt idx="75">
                  <c:v>90.229030095960525</c:v>
                </c:pt>
                <c:pt idx="76">
                  <c:v>90.042667276977667</c:v>
                </c:pt>
                <c:pt idx="77">
                  <c:v>89.226921253535195</c:v>
                </c:pt>
                <c:pt idx="78">
                  <c:v>89.411649310948007</c:v>
                </c:pt>
                <c:pt idx="79">
                  <c:v>90.153831063739361</c:v>
                </c:pt>
                <c:pt idx="80">
                  <c:v>89.246538392375484</c:v>
                </c:pt>
                <c:pt idx="81">
                  <c:v>89.529352143989797</c:v>
                </c:pt>
                <c:pt idx="82">
                  <c:v>88.775727060208268</c:v>
                </c:pt>
                <c:pt idx="83">
                  <c:v>88.7512056366579</c:v>
                </c:pt>
                <c:pt idx="84">
                  <c:v>89.522813097709701</c:v>
                </c:pt>
                <c:pt idx="85">
                  <c:v>89.831783034444427</c:v>
                </c:pt>
                <c:pt idx="86">
                  <c:v>89.745140671233102</c:v>
                </c:pt>
                <c:pt idx="87">
                  <c:v>89.615994507201123</c:v>
                </c:pt>
                <c:pt idx="88">
                  <c:v>89.964198721616455</c:v>
                </c:pt>
                <c:pt idx="89">
                  <c:v>89.85630445799481</c:v>
                </c:pt>
                <c:pt idx="90">
                  <c:v>90.063919177388001</c:v>
                </c:pt>
                <c:pt idx="91">
                  <c:v>90.158735348449454</c:v>
                </c:pt>
                <c:pt idx="92">
                  <c:v>90.2666296120711</c:v>
                </c:pt>
                <c:pt idx="93">
                  <c:v>90.162004871589502</c:v>
                </c:pt>
                <c:pt idx="94">
                  <c:v>90.059014892677936</c:v>
                </c:pt>
                <c:pt idx="95">
                  <c:v>91.355380817707768</c:v>
                </c:pt>
                <c:pt idx="96">
                  <c:v>91.409327949518584</c:v>
                </c:pt>
                <c:pt idx="97">
                  <c:v>91.013715649572532</c:v>
                </c:pt>
                <c:pt idx="98">
                  <c:v>91.048045642543073</c:v>
                </c:pt>
                <c:pt idx="99">
                  <c:v>91.428945088358901</c:v>
                </c:pt>
                <c:pt idx="100">
                  <c:v>91.53030030570045</c:v>
                </c:pt>
                <c:pt idx="101">
                  <c:v>91.479622697029683</c:v>
                </c:pt>
                <c:pt idx="102">
                  <c:v>90.889473770250646</c:v>
                </c:pt>
                <c:pt idx="103">
                  <c:v>90.506939562864787</c:v>
                </c:pt>
                <c:pt idx="104">
                  <c:v>90.57559954880584</c:v>
                </c:pt>
                <c:pt idx="105">
                  <c:v>89.887364927825317</c:v>
                </c:pt>
                <c:pt idx="106">
                  <c:v>89.526082620849792</c:v>
                </c:pt>
                <c:pt idx="107">
                  <c:v>89.586568798940704</c:v>
                </c:pt>
                <c:pt idx="108">
                  <c:v>89.599646891500896</c:v>
                </c:pt>
                <c:pt idx="109">
                  <c:v>89.823609226594314</c:v>
                </c:pt>
                <c:pt idx="110">
                  <c:v>89.836687319154521</c:v>
                </c:pt>
                <c:pt idx="111">
                  <c:v>89.753314479083244</c:v>
                </c:pt>
                <c:pt idx="112">
                  <c:v>89.758218763793323</c:v>
                </c:pt>
                <c:pt idx="113">
                  <c:v>89.715714962972683</c:v>
                </c:pt>
                <c:pt idx="114">
                  <c:v>89.328276470876744</c:v>
                </c:pt>
                <c:pt idx="115">
                  <c:v>89.77129685635353</c:v>
                </c:pt>
                <c:pt idx="116">
                  <c:v>89.584934037370672</c:v>
                </c:pt>
                <c:pt idx="117">
                  <c:v>89.732062578672938</c:v>
                </c:pt>
                <c:pt idx="118">
                  <c:v>90.806100930179369</c:v>
                </c:pt>
                <c:pt idx="119">
                  <c:v>90.863317585130261</c:v>
                </c:pt>
                <c:pt idx="120">
                  <c:v>90.521652416995025</c:v>
                </c:pt>
                <c:pt idx="121">
                  <c:v>90.578869071945903</c:v>
                </c:pt>
                <c:pt idx="122">
                  <c:v>90.71618904382801</c:v>
                </c:pt>
                <c:pt idx="123">
                  <c:v>90.00016347615707</c:v>
                </c:pt>
                <c:pt idx="124">
                  <c:v>90.796292360759239</c:v>
                </c:pt>
                <c:pt idx="125">
                  <c:v>90.631181442186715</c:v>
                </c:pt>
                <c:pt idx="126">
                  <c:v>90.779944745058984</c:v>
                </c:pt>
                <c:pt idx="127">
                  <c:v>91.255660361936265</c:v>
                </c:pt>
                <c:pt idx="128">
                  <c:v>91.262199408216361</c:v>
                </c:pt>
                <c:pt idx="129">
                  <c:v>91.533569828840498</c:v>
                </c:pt>
                <c:pt idx="130">
                  <c:v>90.884569485540567</c:v>
                </c:pt>
                <c:pt idx="131">
                  <c:v>89.645420215461613</c:v>
                </c:pt>
                <c:pt idx="132">
                  <c:v>88.682545650716861</c:v>
                </c:pt>
                <c:pt idx="133">
                  <c:v>89.110853182063408</c:v>
                </c:pt>
                <c:pt idx="134">
                  <c:v>88.615520426345824</c:v>
                </c:pt>
                <c:pt idx="135">
                  <c:v>88.393192852822423</c:v>
                </c:pt>
                <c:pt idx="136">
                  <c:v>89.119026989913536</c:v>
                </c:pt>
                <c:pt idx="137">
                  <c:v>89.228556015105212</c:v>
                </c:pt>
                <c:pt idx="138">
                  <c:v>89.251442677085549</c:v>
                </c:pt>
                <c:pt idx="139">
                  <c:v>89.127200797763649</c:v>
                </c:pt>
                <c:pt idx="140">
                  <c:v>89.315198378316524</c:v>
                </c:pt>
                <c:pt idx="141">
                  <c:v>89.573490706380468</c:v>
                </c:pt>
                <c:pt idx="142">
                  <c:v>90.116231547628772</c:v>
                </c:pt>
                <c:pt idx="143">
                  <c:v>89.459057396478713</c:v>
                </c:pt>
                <c:pt idx="144">
                  <c:v>89.290676954766141</c:v>
                </c:pt>
                <c:pt idx="145">
                  <c:v>89.068349381242754</c:v>
                </c:pt>
                <c:pt idx="146">
                  <c:v>89.341354563436937</c:v>
                </c:pt>
                <c:pt idx="147">
                  <c:v>89.969103006326534</c:v>
                </c:pt>
                <c:pt idx="148">
                  <c:v>89.897173497245447</c:v>
                </c:pt>
                <c:pt idx="149">
                  <c:v>89.993624429876917</c:v>
                </c:pt>
                <c:pt idx="150">
                  <c:v>90.1162315476288</c:v>
                </c:pt>
                <c:pt idx="151">
                  <c:v>89.516274051429633</c:v>
                </c:pt>
                <c:pt idx="152">
                  <c:v>88.87054323126975</c:v>
                </c:pt>
                <c:pt idx="153">
                  <c:v>88.775727060208297</c:v>
                </c:pt>
                <c:pt idx="154">
                  <c:v>88.747936113517866</c:v>
                </c:pt>
                <c:pt idx="155">
                  <c:v>88.778996583348359</c:v>
                </c:pt>
                <c:pt idx="156">
                  <c:v>89.748410194373193</c:v>
                </c:pt>
                <c:pt idx="157">
                  <c:v>90.994098510732243</c:v>
                </c:pt>
                <c:pt idx="158">
                  <c:v>91.507413643720085</c:v>
                </c:pt>
                <c:pt idx="159">
                  <c:v>91.460005558189366</c:v>
                </c:pt>
                <c:pt idx="160">
                  <c:v>91.30306844746697</c:v>
                </c:pt>
                <c:pt idx="161">
                  <c:v>91.507413643720099</c:v>
                </c:pt>
                <c:pt idx="162">
                  <c:v>91.992937830017539</c:v>
                </c:pt>
                <c:pt idx="163">
                  <c:v>92.037076392408196</c:v>
                </c:pt>
                <c:pt idx="164">
                  <c:v>92.383645845253497</c:v>
                </c:pt>
                <c:pt idx="165">
                  <c:v>92.118814470909442</c:v>
                </c:pt>
                <c:pt idx="166">
                  <c:v>91.888313089535913</c:v>
                </c:pt>
                <c:pt idx="167">
                  <c:v>92.298638243612189</c:v>
                </c:pt>
                <c:pt idx="168">
                  <c:v>92.272482058491789</c:v>
                </c:pt>
                <c:pt idx="169">
                  <c:v>92.135162086609682</c:v>
                </c:pt>
                <c:pt idx="170">
                  <c:v>92.79560576089979</c:v>
                </c:pt>
                <c:pt idx="171">
                  <c:v>92.754736721649152</c:v>
                </c:pt>
                <c:pt idx="172">
                  <c:v>93.469127527750089</c:v>
                </c:pt>
                <c:pt idx="173">
                  <c:v>93.532883228981078</c:v>
                </c:pt>
                <c:pt idx="174">
                  <c:v>93.894165535956603</c:v>
                </c:pt>
                <c:pt idx="175">
                  <c:v>93.639142731032706</c:v>
                </c:pt>
                <c:pt idx="176">
                  <c:v>94.021676938418565</c:v>
                </c:pt>
                <c:pt idx="177">
                  <c:v>93.807523172745277</c:v>
                </c:pt>
                <c:pt idx="178">
                  <c:v>94.064180739239191</c:v>
                </c:pt>
                <c:pt idx="179">
                  <c:v>94.319203544163102</c:v>
                </c:pt>
                <c:pt idx="180">
                  <c:v>94.634712527177939</c:v>
                </c:pt>
                <c:pt idx="181">
                  <c:v>94.608556342057526</c:v>
                </c:pt>
                <c:pt idx="182">
                  <c:v>93.832044596295646</c:v>
                </c:pt>
                <c:pt idx="183">
                  <c:v>94.150823102450516</c:v>
                </c:pt>
                <c:pt idx="184">
                  <c:v>94.311029736312975</c:v>
                </c:pt>
                <c:pt idx="185">
                  <c:v>94.407480668944444</c:v>
                </c:pt>
                <c:pt idx="186">
                  <c:v>94.739337267659522</c:v>
                </c:pt>
                <c:pt idx="187">
                  <c:v>94.801458207320465</c:v>
                </c:pt>
                <c:pt idx="188">
                  <c:v>94.211309280541442</c:v>
                </c:pt>
                <c:pt idx="189">
                  <c:v>93.941573621487322</c:v>
                </c:pt>
                <c:pt idx="190">
                  <c:v>94.559513494956789</c:v>
                </c:pt>
                <c:pt idx="191">
                  <c:v>93.889261251246523</c:v>
                </c:pt>
                <c:pt idx="192">
                  <c:v>94.106684540059845</c:v>
                </c:pt>
                <c:pt idx="193">
                  <c:v>94.680485851138613</c:v>
                </c:pt>
                <c:pt idx="194">
                  <c:v>94.433636854064829</c:v>
                </c:pt>
                <c:pt idx="195">
                  <c:v>93.624429876902454</c:v>
                </c:pt>
                <c:pt idx="196">
                  <c:v>93.845122688855824</c:v>
                </c:pt>
                <c:pt idx="197">
                  <c:v>93.062071896813848</c:v>
                </c:pt>
                <c:pt idx="198">
                  <c:v>93.292573278187376</c:v>
                </c:pt>
                <c:pt idx="199">
                  <c:v>93.935034575207197</c:v>
                </c:pt>
                <c:pt idx="200">
                  <c:v>93.881087443396368</c:v>
                </c:pt>
                <c:pt idx="201">
                  <c:v>93.552500367821338</c:v>
                </c:pt>
                <c:pt idx="202">
                  <c:v>94.172075002860822</c:v>
                </c:pt>
                <c:pt idx="203">
                  <c:v>94.508835886285965</c:v>
                </c:pt>
                <c:pt idx="204">
                  <c:v>94.685390135848678</c:v>
                </c:pt>
                <c:pt idx="205">
                  <c:v>94.780206306910131</c:v>
                </c:pt>
                <c:pt idx="206">
                  <c:v>94.956760556472815</c:v>
                </c:pt>
                <c:pt idx="207">
                  <c:v>94.703372513118936</c:v>
                </c:pt>
                <c:pt idx="208">
                  <c:v>94.732798221379383</c:v>
                </c:pt>
                <c:pt idx="209">
                  <c:v>94.667407758578392</c:v>
                </c:pt>
                <c:pt idx="210">
                  <c:v>94.776936783770068</c:v>
                </c:pt>
                <c:pt idx="211">
                  <c:v>93.138905690605</c:v>
                </c:pt>
                <c:pt idx="212">
                  <c:v>92.782527668339554</c:v>
                </c:pt>
                <c:pt idx="213">
                  <c:v>93.03591571169342</c:v>
                </c:pt>
                <c:pt idx="214">
                  <c:v>92.769449575779333</c:v>
                </c:pt>
                <c:pt idx="215">
                  <c:v>92.171126841150183</c:v>
                </c:pt>
                <c:pt idx="216">
                  <c:v>91.765705971783987</c:v>
                </c:pt>
                <c:pt idx="217">
                  <c:v>92.493174870445117</c:v>
                </c:pt>
                <c:pt idx="218">
                  <c:v>93.240260907946549</c:v>
                </c:pt>
                <c:pt idx="219">
                  <c:v>92.862630985270769</c:v>
                </c:pt>
                <c:pt idx="220">
                  <c:v>92.793970999329716</c:v>
                </c:pt>
                <c:pt idx="221">
                  <c:v>93.271321377777028</c:v>
                </c:pt>
                <c:pt idx="222">
                  <c:v>93.181409491425654</c:v>
                </c:pt>
                <c:pt idx="223">
                  <c:v>93.630968923182522</c:v>
                </c:pt>
                <c:pt idx="224">
                  <c:v>92.154779225449943</c:v>
                </c:pt>
                <c:pt idx="225">
                  <c:v>91.800035964754514</c:v>
                </c:pt>
                <c:pt idx="226">
                  <c:v>91.865426427555519</c:v>
                </c:pt>
                <c:pt idx="227">
                  <c:v>91.551552206110713</c:v>
                </c:pt>
                <c:pt idx="228">
                  <c:v>91.110166582203945</c:v>
                </c:pt>
                <c:pt idx="229">
                  <c:v>91.777149302774163</c:v>
                </c:pt>
                <c:pt idx="230">
                  <c:v>92.00601592257766</c:v>
                </c:pt>
                <c:pt idx="231">
                  <c:v>91.886678327965825</c:v>
                </c:pt>
                <c:pt idx="232">
                  <c:v>92.332968236582659</c:v>
                </c:pt>
                <c:pt idx="233">
                  <c:v>92.234882542381158</c:v>
                </c:pt>
                <c:pt idx="234">
                  <c:v>92.444132023344352</c:v>
                </c:pt>
                <c:pt idx="235">
                  <c:v>92.079580193228779</c:v>
                </c:pt>
                <c:pt idx="236">
                  <c:v>92.3231596671625</c:v>
                </c:pt>
                <c:pt idx="237">
                  <c:v>92.516061532425454</c:v>
                </c:pt>
                <c:pt idx="238">
                  <c:v>92.985238103022638</c:v>
                </c:pt>
                <c:pt idx="239">
                  <c:v>93.013029049713055</c:v>
                </c:pt>
                <c:pt idx="240">
                  <c:v>92.934560494351857</c:v>
                </c:pt>
                <c:pt idx="241">
                  <c:v>92.952542871622128</c:v>
                </c:pt>
                <c:pt idx="242">
                  <c:v>93.019568095993165</c:v>
                </c:pt>
                <c:pt idx="243">
                  <c:v>93.011394288143038</c:v>
                </c:pt>
                <c:pt idx="244">
                  <c:v>93.246799954226631</c:v>
                </c:pt>
                <c:pt idx="245">
                  <c:v>93.907243628516738</c:v>
                </c:pt>
                <c:pt idx="246">
                  <c:v>93.609717022772173</c:v>
                </c:pt>
                <c:pt idx="247">
                  <c:v>92.939464779061908</c:v>
                </c:pt>
                <c:pt idx="248">
                  <c:v>93.230452338526376</c:v>
                </c:pt>
                <c:pt idx="249">
                  <c:v>93.915417436366866</c:v>
                </c:pt>
                <c:pt idx="250">
                  <c:v>94.585669680077118</c:v>
                </c:pt>
                <c:pt idx="251">
                  <c:v>93.675107485573179</c:v>
                </c:pt>
                <c:pt idx="252">
                  <c:v>93.776462702914742</c:v>
                </c:pt>
                <c:pt idx="253">
                  <c:v>94.155727387160539</c:v>
                </c:pt>
                <c:pt idx="254">
                  <c:v>94.425463046214674</c:v>
                </c:pt>
                <c:pt idx="255">
                  <c:v>94.036389792548718</c:v>
                </c:pt>
                <c:pt idx="256">
                  <c:v>94.227656896241626</c:v>
                </c:pt>
                <c:pt idx="257">
                  <c:v>94.024946461558514</c:v>
                </c:pt>
                <c:pt idx="258">
                  <c:v>94.226022134671595</c:v>
                </c:pt>
                <c:pt idx="259">
                  <c:v>94.276699743342377</c:v>
                </c:pt>
                <c:pt idx="260">
                  <c:v>94.495757793725716</c:v>
                </c:pt>
                <c:pt idx="261">
                  <c:v>94.47777541645543</c:v>
                </c:pt>
                <c:pt idx="262">
                  <c:v>95.018881496133702</c:v>
                </c:pt>
                <c:pt idx="263">
                  <c:v>94.543165879256406</c:v>
                </c:pt>
                <c:pt idx="264">
                  <c:v>95.040133396544007</c:v>
                </c:pt>
                <c:pt idx="265">
                  <c:v>95.197070507266403</c:v>
                </c:pt>
                <c:pt idx="266">
                  <c:v>95.084271958934693</c:v>
                </c:pt>
                <c:pt idx="267">
                  <c:v>95.432476173350025</c:v>
                </c:pt>
                <c:pt idx="268">
                  <c:v>94.927334848212297</c:v>
                </c:pt>
                <c:pt idx="269">
                  <c:v>93.892530774386472</c:v>
                </c:pt>
                <c:pt idx="270">
                  <c:v>93.416815157509191</c:v>
                </c:pt>
                <c:pt idx="271">
                  <c:v>92.713867682398444</c:v>
                </c:pt>
                <c:pt idx="272">
                  <c:v>93.366137548838424</c:v>
                </c:pt>
                <c:pt idx="273">
                  <c:v>93.635873207892544</c:v>
                </c:pt>
                <c:pt idx="274">
                  <c:v>94.020042176848435</c:v>
                </c:pt>
                <c:pt idx="275">
                  <c:v>94.013503130568338</c:v>
                </c:pt>
                <c:pt idx="276">
                  <c:v>93.890896012816455</c:v>
                </c:pt>
                <c:pt idx="277">
                  <c:v>93.593369407071918</c:v>
                </c:pt>
                <c:pt idx="278">
                  <c:v>93.181409491425612</c:v>
                </c:pt>
                <c:pt idx="279">
                  <c:v>93.518170374850769</c:v>
                </c:pt>
                <c:pt idx="280">
                  <c:v>92.619051511337005</c:v>
                </c:pt>
                <c:pt idx="281">
                  <c:v>92.349315852282885</c:v>
                </c:pt>
                <c:pt idx="282">
                  <c:v>92.282290627911863</c:v>
                </c:pt>
                <c:pt idx="283">
                  <c:v>92.664824835297694</c:v>
                </c:pt>
                <c:pt idx="284">
                  <c:v>92.354220136992936</c:v>
                </c:pt>
                <c:pt idx="285">
                  <c:v>92.875709077830919</c:v>
                </c:pt>
                <c:pt idx="286">
                  <c:v>92.540582955975779</c:v>
                </c:pt>
                <c:pt idx="287">
                  <c:v>92.65011198116747</c:v>
                </c:pt>
                <c:pt idx="288">
                  <c:v>91.994572591587442</c:v>
                </c:pt>
                <c:pt idx="289">
                  <c:v>92.297003482042072</c:v>
                </c:pt>
                <c:pt idx="290">
                  <c:v>92.280655866341817</c:v>
                </c:pt>
                <c:pt idx="291">
                  <c:v>92.097562570499022</c:v>
                </c:pt>
                <c:pt idx="292">
                  <c:v>92.126988278759455</c:v>
                </c:pt>
                <c:pt idx="293">
                  <c:v>92.494809632015091</c:v>
                </c:pt>
                <c:pt idx="294">
                  <c:v>92.954177633192117</c:v>
                </c:pt>
                <c:pt idx="295">
                  <c:v>92.690981020418107</c:v>
                </c:pt>
                <c:pt idx="296">
                  <c:v>92.821761946020118</c:v>
                </c:pt>
                <c:pt idx="297">
                  <c:v>92.658285789017611</c:v>
                </c:pt>
                <c:pt idx="298">
                  <c:v>92.473557731604785</c:v>
                </c:pt>
                <c:pt idx="299">
                  <c:v>91.970051168037088</c:v>
                </c:pt>
                <c:pt idx="300">
                  <c:v>91.881774043255731</c:v>
                </c:pt>
                <c:pt idx="301">
                  <c:v>92.233247780811112</c:v>
                </c:pt>
                <c:pt idx="302">
                  <c:v>92.086119239508861</c:v>
                </c:pt>
                <c:pt idx="303">
                  <c:v>92.287194912621942</c:v>
                </c:pt>
                <c:pt idx="304">
                  <c:v>91.917738797796275</c:v>
                </c:pt>
                <c:pt idx="305">
                  <c:v>91.469814127609425</c:v>
                </c:pt>
                <c:pt idx="306">
                  <c:v>91.152670383024571</c:v>
                </c:pt>
                <c:pt idx="307">
                  <c:v>91.201713230125321</c:v>
                </c:pt>
                <c:pt idx="308">
                  <c:v>91.963512121756978</c:v>
                </c:pt>
                <c:pt idx="309">
                  <c:v>92.071406385378623</c:v>
                </c:pt>
                <c:pt idx="310">
                  <c:v>91.893217374245907</c:v>
                </c:pt>
                <c:pt idx="311">
                  <c:v>92.516061532425439</c:v>
                </c:pt>
                <c:pt idx="312">
                  <c:v>93.019568095993151</c:v>
                </c:pt>
                <c:pt idx="313">
                  <c:v>93.241895669516538</c:v>
                </c:pt>
                <c:pt idx="314">
                  <c:v>93.307286132317529</c:v>
                </c:pt>
                <c:pt idx="315">
                  <c:v>93.459318958329874</c:v>
                </c:pt>
                <c:pt idx="316">
                  <c:v>93.042454757973488</c:v>
                </c:pt>
                <c:pt idx="317">
                  <c:v>92.538948194405776</c:v>
                </c:pt>
                <c:pt idx="318">
                  <c:v>92.692615781988124</c:v>
                </c:pt>
                <c:pt idx="319">
                  <c:v>92.77435386048937</c:v>
                </c:pt>
                <c:pt idx="320">
                  <c:v>92.772719098919353</c:v>
                </c:pt>
                <c:pt idx="321">
                  <c:v>92.978699056742485</c:v>
                </c:pt>
                <c:pt idx="322">
                  <c:v>92.49317487044506</c:v>
                </c:pt>
                <c:pt idx="323">
                  <c:v>91.992937830017411</c:v>
                </c:pt>
                <c:pt idx="324">
                  <c:v>91.772245018064027</c:v>
                </c:pt>
                <c:pt idx="325">
                  <c:v>91.788592633764296</c:v>
                </c:pt>
                <c:pt idx="326">
                  <c:v>91.36682414869783</c:v>
                </c:pt>
                <c:pt idx="327">
                  <c:v>90.693302381847531</c:v>
                </c:pt>
                <c:pt idx="328">
                  <c:v>90.37452387569266</c:v>
                </c:pt>
                <c:pt idx="329">
                  <c:v>90.29932484347151</c:v>
                </c:pt>
                <c:pt idx="330">
                  <c:v>90.931977571071187</c:v>
                </c:pt>
                <c:pt idx="331">
                  <c:v>90.399045299243028</c:v>
                </c:pt>
                <c:pt idx="332">
                  <c:v>90.332020074872005</c:v>
                </c:pt>
                <c:pt idx="333">
                  <c:v>90.268264373641045</c:v>
                </c:pt>
                <c:pt idx="334">
                  <c:v>90.063919177387916</c:v>
                </c:pt>
                <c:pt idx="335">
                  <c:v>89.90044302038541</c:v>
                </c:pt>
                <c:pt idx="336">
                  <c:v>90.168543917869499</c:v>
                </c:pt>
                <c:pt idx="337">
                  <c:v>90.165274394729451</c:v>
                </c:pt>
                <c:pt idx="338">
                  <c:v>90.454627192623889</c:v>
                </c:pt>
                <c:pt idx="339">
                  <c:v>90.516748132284832</c:v>
                </c:pt>
                <c:pt idx="340">
                  <c:v>90.748884275228377</c:v>
                </c:pt>
                <c:pt idx="341">
                  <c:v>89.970737767896466</c:v>
                </c:pt>
                <c:pt idx="342">
                  <c:v>89.965833483186387</c:v>
                </c:pt>
                <c:pt idx="343">
                  <c:v>90.363080544702456</c:v>
                </c:pt>
                <c:pt idx="344">
                  <c:v>90.0982491703584</c:v>
                </c:pt>
                <c:pt idx="345">
                  <c:v>90.075362508378049</c:v>
                </c:pt>
                <c:pt idx="346">
                  <c:v>89.599646891500768</c:v>
                </c:pt>
                <c:pt idx="347">
                  <c:v>89.331545994016679</c:v>
                </c:pt>
                <c:pt idx="348">
                  <c:v>89.645420215461485</c:v>
                </c:pt>
                <c:pt idx="349">
                  <c:v>89.498291674159233</c:v>
                </c:pt>
                <c:pt idx="350">
                  <c:v>90.372889114122614</c:v>
                </c:pt>
                <c:pt idx="351">
                  <c:v>89.568586421670318</c:v>
                </c:pt>
                <c:pt idx="352">
                  <c:v>89.689558777852156</c:v>
                </c:pt>
                <c:pt idx="353">
                  <c:v>89.424727403508101</c:v>
                </c:pt>
                <c:pt idx="354">
                  <c:v>88.52397377842432</c:v>
                </c:pt>
                <c:pt idx="355">
                  <c:v>88.18884765656918</c:v>
                </c:pt>
                <c:pt idx="356">
                  <c:v>87.722940609112058</c:v>
                </c:pt>
                <c:pt idx="357">
                  <c:v>87.332232593876071</c:v>
                </c:pt>
                <c:pt idx="358">
                  <c:v>86.15520426345806</c:v>
                </c:pt>
                <c:pt idx="359">
                  <c:v>86.513217047293537</c:v>
                </c:pt>
                <c:pt idx="360">
                  <c:v>85.862581942423589</c:v>
                </c:pt>
                <c:pt idx="361">
                  <c:v>85.498030112308001</c:v>
                </c:pt>
                <c:pt idx="362">
                  <c:v>85.699105785421082</c:v>
                </c:pt>
                <c:pt idx="363">
                  <c:v>85.408118225956628</c:v>
                </c:pt>
                <c:pt idx="364">
                  <c:v>85.354171094145812</c:v>
                </c:pt>
                <c:pt idx="365">
                  <c:v>85.233198737963946</c:v>
                </c:pt>
                <c:pt idx="366">
                  <c:v>85.587941998659375</c:v>
                </c:pt>
                <c:pt idx="367">
                  <c:v>85.882199081263877</c:v>
                </c:pt>
                <c:pt idx="368">
                  <c:v>85.347632047865702</c:v>
                </c:pt>
                <c:pt idx="369">
                  <c:v>85.396674894966452</c:v>
                </c:pt>
                <c:pt idx="370">
                  <c:v>84.636510764904827</c:v>
                </c:pt>
                <c:pt idx="371">
                  <c:v>84.39129652940106</c:v>
                </c:pt>
                <c:pt idx="372">
                  <c:v>84.27849798106935</c:v>
                </c:pt>
                <c:pt idx="373">
                  <c:v>83.897598535253522</c:v>
                </c:pt>
                <c:pt idx="374">
                  <c:v>85.676219123440731</c:v>
                </c:pt>
                <c:pt idx="375">
                  <c:v>86.326854228310694</c:v>
                </c:pt>
                <c:pt idx="376">
                  <c:v>86.797665560477881</c:v>
                </c:pt>
                <c:pt idx="377">
                  <c:v>86.624380834055231</c:v>
                </c:pt>
                <c:pt idx="378">
                  <c:v>86.040770953556304</c:v>
                </c:pt>
                <c:pt idx="379">
                  <c:v>86.084909515946975</c:v>
                </c:pt>
                <c:pt idx="380">
                  <c:v>86.586781317944656</c:v>
                </c:pt>
                <c:pt idx="381">
                  <c:v>87.165486913733517</c:v>
                </c:pt>
                <c:pt idx="382">
                  <c:v>86.990567425740835</c:v>
                </c:pt>
                <c:pt idx="383">
                  <c:v>86.843438884438569</c:v>
                </c:pt>
                <c:pt idx="384">
                  <c:v>86.457635153912676</c:v>
                </c:pt>
                <c:pt idx="385">
                  <c:v>87.088653119942336</c:v>
                </c:pt>
                <c:pt idx="386">
                  <c:v>87.183469291003789</c:v>
                </c:pt>
                <c:pt idx="387">
                  <c:v>87.121348351342832</c:v>
                </c:pt>
                <c:pt idx="388">
                  <c:v>86.867960307988952</c:v>
                </c:pt>
                <c:pt idx="389">
                  <c:v>86.325219466740648</c:v>
                </c:pt>
                <c:pt idx="390">
                  <c:v>86.43965277664239</c:v>
                </c:pt>
                <c:pt idx="391">
                  <c:v>87.333867355446088</c:v>
                </c:pt>
                <c:pt idx="392">
                  <c:v>87.160582629023438</c:v>
                </c:pt>
                <c:pt idx="393">
                  <c:v>87.268476892645097</c:v>
                </c:pt>
                <c:pt idx="394">
                  <c:v>86.939889817070068</c:v>
                </c:pt>
                <c:pt idx="395">
                  <c:v>87.242320707524698</c:v>
                </c:pt>
                <c:pt idx="396">
                  <c:v>87.613411583920382</c:v>
                </c:pt>
                <c:pt idx="397">
                  <c:v>87.453204950057938</c:v>
                </c:pt>
                <c:pt idx="398">
                  <c:v>87.096826927792478</c:v>
                </c:pt>
                <c:pt idx="399">
                  <c:v>87.798139641333208</c:v>
                </c:pt>
                <c:pt idx="400">
                  <c:v>87.907668666524884</c:v>
                </c:pt>
                <c:pt idx="401">
                  <c:v>87.966520083045793</c:v>
                </c:pt>
                <c:pt idx="402">
                  <c:v>87.668993477301242</c:v>
                </c:pt>
                <c:pt idx="403">
                  <c:v>87.858625819424134</c:v>
                </c:pt>
                <c:pt idx="404">
                  <c:v>86.84670840757866</c:v>
                </c:pt>
                <c:pt idx="405">
                  <c:v>86.666884634875899</c:v>
                </c:pt>
                <c:pt idx="406">
                  <c:v>83.958084713344462</c:v>
                </c:pt>
                <c:pt idx="407">
                  <c:v>84.621797910774632</c:v>
                </c:pt>
                <c:pt idx="408">
                  <c:v>84.016936129865371</c:v>
                </c:pt>
                <c:pt idx="409">
                  <c:v>82.69441401971514</c:v>
                </c:pt>
                <c:pt idx="410">
                  <c:v>82.094456523515973</c:v>
                </c:pt>
                <c:pt idx="411">
                  <c:v>81.947327982213721</c:v>
                </c:pt>
                <c:pt idx="412">
                  <c:v>83.37447483284555</c:v>
                </c:pt>
                <c:pt idx="413">
                  <c:v>84.891533569828752</c:v>
                </c:pt>
                <c:pt idx="414">
                  <c:v>84.484477938892525</c:v>
                </c:pt>
                <c:pt idx="415">
                  <c:v>84.39947033725123</c:v>
                </c:pt>
                <c:pt idx="416">
                  <c:v>84.70680551241594</c:v>
                </c:pt>
                <c:pt idx="417">
                  <c:v>85.28387634663477</c:v>
                </c:pt>
                <c:pt idx="418">
                  <c:v>85.313302054895232</c:v>
                </c:pt>
                <c:pt idx="419">
                  <c:v>85.645158653610309</c:v>
                </c:pt>
                <c:pt idx="420">
                  <c:v>87.064131696392025</c:v>
                </c:pt>
                <c:pt idx="421">
                  <c:v>87.418874957087439</c:v>
                </c:pt>
                <c:pt idx="422">
                  <c:v>87.449935426917904</c:v>
                </c:pt>
                <c:pt idx="423">
                  <c:v>87.299537362475604</c:v>
                </c:pt>
                <c:pt idx="424">
                  <c:v>87.062496934821965</c:v>
                </c:pt>
                <c:pt idx="425">
                  <c:v>86.804204606758006</c:v>
                </c:pt>
                <c:pt idx="426">
                  <c:v>86.822186984028278</c:v>
                </c:pt>
                <c:pt idx="427">
                  <c:v>86.851612692288725</c:v>
                </c:pt>
                <c:pt idx="428">
                  <c:v>86.784587467917703</c:v>
                </c:pt>
                <c:pt idx="429">
                  <c:v>87.147504536463245</c:v>
                </c:pt>
                <c:pt idx="430">
                  <c:v>86.66198035016582</c:v>
                </c:pt>
                <c:pt idx="431">
                  <c:v>86.648902257605613</c:v>
                </c:pt>
                <c:pt idx="432">
                  <c:v>86.653806542315692</c:v>
                </c:pt>
                <c:pt idx="433">
                  <c:v>86.560625132824271</c:v>
                </c:pt>
                <c:pt idx="434">
                  <c:v>86.295793758480215</c:v>
                </c:pt>
                <c:pt idx="435">
                  <c:v>85.802095764332662</c:v>
                </c:pt>
                <c:pt idx="436">
                  <c:v>84.943845940069536</c:v>
                </c:pt>
                <c:pt idx="437">
                  <c:v>84.829412630167781</c:v>
                </c:pt>
                <c:pt idx="438">
                  <c:v>84.799986921907333</c:v>
                </c:pt>
                <c:pt idx="439">
                  <c:v>85.110591620212105</c:v>
                </c:pt>
                <c:pt idx="440">
                  <c:v>85.360710140425937</c:v>
                </c:pt>
                <c:pt idx="441">
                  <c:v>84.894803092968814</c:v>
                </c:pt>
                <c:pt idx="442">
                  <c:v>84.427261283941675</c:v>
                </c:pt>
                <c:pt idx="443">
                  <c:v>84.415817952951485</c:v>
                </c:pt>
                <c:pt idx="444">
                  <c:v>85.148191136322694</c:v>
                </c:pt>
                <c:pt idx="445">
                  <c:v>84.932402609079404</c:v>
                </c:pt>
                <c:pt idx="446">
                  <c:v>85.762861486652113</c:v>
                </c:pt>
                <c:pt idx="447">
                  <c:v>85.901816220104237</c:v>
                </c:pt>
                <c:pt idx="448">
                  <c:v>87.016723610861291</c:v>
                </c:pt>
                <c:pt idx="449">
                  <c:v>86.186264733288581</c:v>
                </c:pt>
                <c:pt idx="450">
                  <c:v>85.89364241225411</c:v>
                </c:pt>
                <c:pt idx="451">
                  <c:v>85.900181458534206</c:v>
                </c:pt>
                <c:pt idx="452">
                  <c:v>86.289254712200162</c:v>
                </c:pt>
                <c:pt idx="453">
                  <c:v>86.135587124617814</c:v>
                </c:pt>
                <c:pt idx="454">
                  <c:v>86.617841787775205</c:v>
                </c:pt>
                <c:pt idx="455">
                  <c:v>86.361184221281292</c:v>
                </c:pt>
                <c:pt idx="456">
                  <c:v>86.160108548168211</c:v>
                </c:pt>
                <c:pt idx="457">
                  <c:v>86.200977587418834</c:v>
                </c:pt>
                <c:pt idx="458">
                  <c:v>85.874025273413835</c:v>
                </c:pt>
                <c:pt idx="459">
                  <c:v>85.043566395841125</c:v>
                </c:pt>
              </c:numCache>
            </c:numRef>
          </c:val>
          <c:smooth val="0"/>
          <c:extLst>
            <c:ext xmlns:c16="http://schemas.microsoft.com/office/drawing/2014/chart" uri="{C3380CC4-5D6E-409C-BE32-E72D297353CC}">
              <c16:uniqueId val="{00000000-EF82-4DBE-A133-804C43A29F89}"/>
            </c:ext>
          </c:extLst>
        </c:ser>
        <c:ser>
          <c:idx val="1"/>
          <c:order val="1"/>
          <c:tx>
            <c:strRef>
              <c:f>Sheet1!$C$1</c:f>
              <c:strCache>
                <c:ptCount val="1"/>
                <c:pt idx="0">
                  <c:v>ՀՀ դրամ</c:v>
                </c:pt>
              </c:strCache>
            </c:strRef>
          </c:tx>
          <c:spPr>
            <a:ln w="28575" cap="rnd">
              <a:solidFill>
                <a:srgbClr val="E7E6E6">
                  <a:lumMod val="10000"/>
                </a:srgbClr>
              </a:solidFill>
              <a:round/>
            </a:ln>
            <a:effectLst/>
          </c:spPr>
          <c:marker>
            <c:symbol val="none"/>
          </c:marker>
          <c:cat>
            <c:numRef>
              <c:f>Sheet1!$A$2:$A$542</c:f>
              <c:numCache>
                <c:formatCode>m\/d\/yyyy</c:formatCode>
                <c:ptCount val="541"/>
                <c:pt idx="0">
                  <c:v>43840</c:v>
                </c:pt>
                <c:pt idx="1">
                  <c:v>43844</c:v>
                </c:pt>
                <c:pt idx="2">
                  <c:v>43845</c:v>
                </c:pt>
                <c:pt idx="3">
                  <c:v>43846</c:v>
                </c:pt>
                <c:pt idx="4">
                  <c:v>43847</c:v>
                </c:pt>
                <c:pt idx="5">
                  <c:v>43851</c:v>
                </c:pt>
                <c:pt idx="6">
                  <c:v>43852</c:v>
                </c:pt>
                <c:pt idx="7">
                  <c:v>43853</c:v>
                </c:pt>
                <c:pt idx="8">
                  <c:v>43854</c:v>
                </c:pt>
                <c:pt idx="9">
                  <c:v>43859</c:v>
                </c:pt>
                <c:pt idx="10">
                  <c:v>43860</c:v>
                </c:pt>
                <c:pt idx="11">
                  <c:v>43861</c:v>
                </c:pt>
                <c:pt idx="12">
                  <c:v>43865</c:v>
                </c:pt>
                <c:pt idx="13">
                  <c:v>43866</c:v>
                </c:pt>
                <c:pt idx="14">
                  <c:v>43867</c:v>
                </c:pt>
                <c:pt idx="15">
                  <c:v>43868</c:v>
                </c:pt>
                <c:pt idx="16">
                  <c:v>43872</c:v>
                </c:pt>
                <c:pt idx="17">
                  <c:v>43873</c:v>
                </c:pt>
                <c:pt idx="18">
                  <c:v>43874</c:v>
                </c:pt>
                <c:pt idx="19">
                  <c:v>43875</c:v>
                </c:pt>
                <c:pt idx="20">
                  <c:v>43879</c:v>
                </c:pt>
                <c:pt idx="21">
                  <c:v>43880</c:v>
                </c:pt>
                <c:pt idx="22">
                  <c:v>43881</c:v>
                </c:pt>
                <c:pt idx="23">
                  <c:v>43882</c:v>
                </c:pt>
                <c:pt idx="24">
                  <c:v>43887</c:v>
                </c:pt>
                <c:pt idx="25">
                  <c:v>43888</c:v>
                </c:pt>
                <c:pt idx="26">
                  <c:v>43889</c:v>
                </c:pt>
                <c:pt idx="27">
                  <c:v>43893</c:v>
                </c:pt>
                <c:pt idx="28">
                  <c:v>43894</c:v>
                </c:pt>
                <c:pt idx="29">
                  <c:v>43895</c:v>
                </c:pt>
                <c:pt idx="30">
                  <c:v>43896</c:v>
                </c:pt>
                <c:pt idx="31">
                  <c:v>43901</c:v>
                </c:pt>
                <c:pt idx="32">
                  <c:v>43902</c:v>
                </c:pt>
                <c:pt idx="33">
                  <c:v>43903</c:v>
                </c:pt>
                <c:pt idx="34">
                  <c:v>43907</c:v>
                </c:pt>
                <c:pt idx="35">
                  <c:v>43908</c:v>
                </c:pt>
                <c:pt idx="36">
                  <c:v>43909</c:v>
                </c:pt>
                <c:pt idx="37">
                  <c:v>43910</c:v>
                </c:pt>
                <c:pt idx="38">
                  <c:v>43914</c:v>
                </c:pt>
                <c:pt idx="39">
                  <c:v>43915</c:v>
                </c:pt>
                <c:pt idx="40">
                  <c:v>43916</c:v>
                </c:pt>
                <c:pt idx="41">
                  <c:v>43917</c:v>
                </c:pt>
                <c:pt idx="42">
                  <c:v>43928</c:v>
                </c:pt>
                <c:pt idx="43">
                  <c:v>43929</c:v>
                </c:pt>
                <c:pt idx="44">
                  <c:v>43930</c:v>
                </c:pt>
                <c:pt idx="45">
                  <c:v>43931</c:v>
                </c:pt>
                <c:pt idx="46">
                  <c:v>43935</c:v>
                </c:pt>
                <c:pt idx="47">
                  <c:v>43936</c:v>
                </c:pt>
                <c:pt idx="48">
                  <c:v>43937</c:v>
                </c:pt>
                <c:pt idx="49">
                  <c:v>43938</c:v>
                </c:pt>
                <c:pt idx="50">
                  <c:v>43942</c:v>
                </c:pt>
                <c:pt idx="51">
                  <c:v>43943</c:v>
                </c:pt>
                <c:pt idx="52">
                  <c:v>43944</c:v>
                </c:pt>
                <c:pt idx="53">
                  <c:v>43949</c:v>
                </c:pt>
                <c:pt idx="54">
                  <c:v>43950</c:v>
                </c:pt>
                <c:pt idx="55">
                  <c:v>43951</c:v>
                </c:pt>
                <c:pt idx="56">
                  <c:v>43958</c:v>
                </c:pt>
                <c:pt idx="57">
                  <c:v>43959</c:v>
                </c:pt>
                <c:pt idx="58">
                  <c:v>43964</c:v>
                </c:pt>
                <c:pt idx="59">
                  <c:v>43965</c:v>
                </c:pt>
                <c:pt idx="60">
                  <c:v>43966</c:v>
                </c:pt>
                <c:pt idx="61">
                  <c:v>43970</c:v>
                </c:pt>
                <c:pt idx="62">
                  <c:v>43971</c:v>
                </c:pt>
                <c:pt idx="63">
                  <c:v>43972</c:v>
                </c:pt>
                <c:pt idx="64">
                  <c:v>43973</c:v>
                </c:pt>
                <c:pt idx="65">
                  <c:v>43977</c:v>
                </c:pt>
                <c:pt idx="66">
                  <c:v>43978</c:v>
                </c:pt>
                <c:pt idx="67">
                  <c:v>43984</c:v>
                </c:pt>
                <c:pt idx="68">
                  <c:v>43985</c:v>
                </c:pt>
                <c:pt idx="69">
                  <c:v>43986</c:v>
                </c:pt>
                <c:pt idx="70">
                  <c:v>43987</c:v>
                </c:pt>
                <c:pt idx="71">
                  <c:v>43991</c:v>
                </c:pt>
                <c:pt idx="72">
                  <c:v>43992</c:v>
                </c:pt>
                <c:pt idx="73">
                  <c:v>43993</c:v>
                </c:pt>
                <c:pt idx="74">
                  <c:v>43994</c:v>
                </c:pt>
                <c:pt idx="75">
                  <c:v>43998</c:v>
                </c:pt>
                <c:pt idx="76">
                  <c:v>43999</c:v>
                </c:pt>
                <c:pt idx="77">
                  <c:v>44000</c:v>
                </c:pt>
                <c:pt idx="78">
                  <c:v>44001</c:v>
                </c:pt>
                <c:pt idx="79">
                  <c:v>44005</c:v>
                </c:pt>
                <c:pt idx="80">
                  <c:v>44006</c:v>
                </c:pt>
                <c:pt idx="81">
                  <c:v>44007</c:v>
                </c:pt>
                <c:pt idx="82">
                  <c:v>44008</c:v>
                </c:pt>
                <c:pt idx="83">
                  <c:v>44012</c:v>
                </c:pt>
                <c:pt idx="84">
                  <c:v>44013</c:v>
                </c:pt>
                <c:pt idx="85">
                  <c:v>44014</c:v>
                </c:pt>
                <c:pt idx="86">
                  <c:v>44015</c:v>
                </c:pt>
                <c:pt idx="87">
                  <c:v>44019</c:v>
                </c:pt>
                <c:pt idx="88">
                  <c:v>44020</c:v>
                </c:pt>
                <c:pt idx="89">
                  <c:v>44021</c:v>
                </c:pt>
                <c:pt idx="90">
                  <c:v>44022</c:v>
                </c:pt>
                <c:pt idx="91">
                  <c:v>44026</c:v>
                </c:pt>
                <c:pt idx="92">
                  <c:v>44027</c:v>
                </c:pt>
                <c:pt idx="93">
                  <c:v>44028</c:v>
                </c:pt>
                <c:pt idx="94">
                  <c:v>44029</c:v>
                </c:pt>
                <c:pt idx="95">
                  <c:v>44033</c:v>
                </c:pt>
                <c:pt idx="96">
                  <c:v>44034</c:v>
                </c:pt>
                <c:pt idx="97">
                  <c:v>44035</c:v>
                </c:pt>
                <c:pt idx="98">
                  <c:v>44036</c:v>
                </c:pt>
                <c:pt idx="99">
                  <c:v>44040</c:v>
                </c:pt>
                <c:pt idx="100">
                  <c:v>44041</c:v>
                </c:pt>
                <c:pt idx="101">
                  <c:v>44042</c:v>
                </c:pt>
                <c:pt idx="102">
                  <c:v>44043</c:v>
                </c:pt>
                <c:pt idx="103">
                  <c:v>44047</c:v>
                </c:pt>
                <c:pt idx="104">
                  <c:v>44048</c:v>
                </c:pt>
                <c:pt idx="105">
                  <c:v>44049</c:v>
                </c:pt>
                <c:pt idx="106">
                  <c:v>44050</c:v>
                </c:pt>
                <c:pt idx="107">
                  <c:v>44054</c:v>
                </c:pt>
                <c:pt idx="108">
                  <c:v>44055</c:v>
                </c:pt>
                <c:pt idx="109">
                  <c:v>44056</c:v>
                </c:pt>
                <c:pt idx="110">
                  <c:v>44057</c:v>
                </c:pt>
                <c:pt idx="111">
                  <c:v>44061</c:v>
                </c:pt>
                <c:pt idx="112">
                  <c:v>44062</c:v>
                </c:pt>
                <c:pt idx="113">
                  <c:v>44063</c:v>
                </c:pt>
                <c:pt idx="114">
                  <c:v>44064</c:v>
                </c:pt>
                <c:pt idx="115">
                  <c:v>44068</c:v>
                </c:pt>
                <c:pt idx="116">
                  <c:v>44069</c:v>
                </c:pt>
                <c:pt idx="117">
                  <c:v>44070</c:v>
                </c:pt>
                <c:pt idx="118">
                  <c:v>44071</c:v>
                </c:pt>
                <c:pt idx="119">
                  <c:v>44075</c:v>
                </c:pt>
                <c:pt idx="120">
                  <c:v>44076</c:v>
                </c:pt>
                <c:pt idx="121">
                  <c:v>44077</c:v>
                </c:pt>
                <c:pt idx="122">
                  <c:v>44078</c:v>
                </c:pt>
                <c:pt idx="123">
                  <c:v>44082</c:v>
                </c:pt>
                <c:pt idx="124">
                  <c:v>44083</c:v>
                </c:pt>
                <c:pt idx="125">
                  <c:v>44084</c:v>
                </c:pt>
                <c:pt idx="126">
                  <c:v>44085</c:v>
                </c:pt>
                <c:pt idx="127">
                  <c:v>44089</c:v>
                </c:pt>
                <c:pt idx="128">
                  <c:v>44090</c:v>
                </c:pt>
                <c:pt idx="129">
                  <c:v>44091</c:v>
                </c:pt>
                <c:pt idx="130">
                  <c:v>44092</c:v>
                </c:pt>
                <c:pt idx="131">
                  <c:v>44096</c:v>
                </c:pt>
                <c:pt idx="132">
                  <c:v>44097</c:v>
                </c:pt>
                <c:pt idx="133">
                  <c:v>44098</c:v>
                </c:pt>
                <c:pt idx="134">
                  <c:v>44099</c:v>
                </c:pt>
                <c:pt idx="135">
                  <c:v>44103</c:v>
                </c:pt>
                <c:pt idx="136">
                  <c:v>44104</c:v>
                </c:pt>
                <c:pt idx="137">
                  <c:v>44105</c:v>
                </c:pt>
                <c:pt idx="138">
                  <c:v>44106</c:v>
                </c:pt>
                <c:pt idx="139">
                  <c:v>44110</c:v>
                </c:pt>
                <c:pt idx="140">
                  <c:v>44111</c:v>
                </c:pt>
                <c:pt idx="141">
                  <c:v>44112</c:v>
                </c:pt>
                <c:pt idx="142">
                  <c:v>44113</c:v>
                </c:pt>
                <c:pt idx="143">
                  <c:v>44117</c:v>
                </c:pt>
                <c:pt idx="144">
                  <c:v>44118</c:v>
                </c:pt>
                <c:pt idx="145">
                  <c:v>44119</c:v>
                </c:pt>
                <c:pt idx="146">
                  <c:v>44120</c:v>
                </c:pt>
                <c:pt idx="147">
                  <c:v>44124</c:v>
                </c:pt>
                <c:pt idx="148">
                  <c:v>44125</c:v>
                </c:pt>
                <c:pt idx="149">
                  <c:v>44126</c:v>
                </c:pt>
                <c:pt idx="150">
                  <c:v>44127</c:v>
                </c:pt>
                <c:pt idx="151">
                  <c:v>44131</c:v>
                </c:pt>
                <c:pt idx="152">
                  <c:v>44132</c:v>
                </c:pt>
                <c:pt idx="153">
                  <c:v>44133</c:v>
                </c:pt>
                <c:pt idx="154">
                  <c:v>44134</c:v>
                </c:pt>
                <c:pt idx="155">
                  <c:v>44138</c:v>
                </c:pt>
                <c:pt idx="156">
                  <c:v>44139</c:v>
                </c:pt>
                <c:pt idx="157">
                  <c:v>44141</c:v>
                </c:pt>
                <c:pt idx="158">
                  <c:v>44145</c:v>
                </c:pt>
                <c:pt idx="159">
                  <c:v>44146</c:v>
                </c:pt>
                <c:pt idx="160">
                  <c:v>44147</c:v>
                </c:pt>
                <c:pt idx="161">
                  <c:v>44148</c:v>
                </c:pt>
                <c:pt idx="162">
                  <c:v>44152</c:v>
                </c:pt>
                <c:pt idx="163">
                  <c:v>44153</c:v>
                </c:pt>
                <c:pt idx="164">
                  <c:v>44154</c:v>
                </c:pt>
                <c:pt idx="165">
                  <c:v>44155</c:v>
                </c:pt>
                <c:pt idx="166">
                  <c:v>44159</c:v>
                </c:pt>
                <c:pt idx="167">
                  <c:v>44160</c:v>
                </c:pt>
                <c:pt idx="168">
                  <c:v>44161</c:v>
                </c:pt>
                <c:pt idx="169">
                  <c:v>44162</c:v>
                </c:pt>
                <c:pt idx="170">
                  <c:v>44166</c:v>
                </c:pt>
                <c:pt idx="171">
                  <c:v>44167</c:v>
                </c:pt>
                <c:pt idx="172">
                  <c:v>44168</c:v>
                </c:pt>
                <c:pt idx="173">
                  <c:v>44169</c:v>
                </c:pt>
                <c:pt idx="174">
                  <c:v>44173</c:v>
                </c:pt>
                <c:pt idx="175">
                  <c:v>44174</c:v>
                </c:pt>
                <c:pt idx="176">
                  <c:v>44175</c:v>
                </c:pt>
                <c:pt idx="177">
                  <c:v>44176</c:v>
                </c:pt>
                <c:pt idx="178">
                  <c:v>44180</c:v>
                </c:pt>
                <c:pt idx="179">
                  <c:v>44181</c:v>
                </c:pt>
                <c:pt idx="180">
                  <c:v>44182</c:v>
                </c:pt>
                <c:pt idx="181">
                  <c:v>44183</c:v>
                </c:pt>
                <c:pt idx="182">
                  <c:v>44187</c:v>
                </c:pt>
                <c:pt idx="183">
                  <c:v>44188</c:v>
                </c:pt>
                <c:pt idx="184">
                  <c:v>44189</c:v>
                </c:pt>
                <c:pt idx="185">
                  <c:v>44190</c:v>
                </c:pt>
                <c:pt idx="186">
                  <c:v>44194</c:v>
                </c:pt>
                <c:pt idx="187">
                  <c:v>44195</c:v>
                </c:pt>
                <c:pt idx="188">
                  <c:v>44208</c:v>
                </c:pt>
                <c:pt idx="189">
                  <c:v>44209</c:v>
                </c:pt>
                <c:pt idx="190">
                  <c:v>44210</c:v>
                </c:pt>
                <c:pt idx="191">
                  <c:v>44211</c:v>
                </c:pt>
                <c:pt idx="192">
                  <c:v>44215</c:v>
                </c:pt>
                <c:pt idx="193">
                  <c:v>44216</c:v>
                </c:pt>
                <c:pt idx="194">
                  <c:v>44217</c:v>
                </c:pt>
                <c:pt idx="195">
                  <c:v>44218</c:v>
                </c:pt>
                <c:pt idx="196">
                  <c:v>44222</c:v>
                </c:pt>
                <c:pt idx="197">
                  <c:v>44223</c:v>
                </c:pt>
                <c:pt idx="198">
                  <c:v>44225</c:v>
                </c:pt>
                <c:pt idx="199">
                  <c:v>44229</c:v>
                </c:pt>
                <c:pt idx="200">
                  <c:v>44230</c:v>
                </c:pt>
                <c:pt idx="201">
                  <c:v>44231</c:v>
                </c:pt>
                <c:pt idx="202">
                  <c:v>44232</c:v>
                </c:pt>
                <c:pt idx="203">
                  <c:v>44236</c:v>
                </c:pt>
                <c:pt idx="204">
                  <c:v>44237</c:v>
                </c:pt>
                <c:pt idx="205">
                  <c:v>44238</c:v>
                </c:pt>
                <c:pt idx="206">
                  <c:v>44239</c:v>
                </c:pt>
                <c:pt idx="207">
                  <c:v>44243</c:v>
                </c:pt>
                <c:pt idx="208">
                  <c:v>44244</c:v>
                </c:pt>
                <c:pt idx="209">
                  <c:v>44245</c:v>
                </c:pt>
                <c:pt idx="210">
                  <c:v>44246</c:v>
                </c:pt>
                <c:pt idx="211">
                  <c:v>44252</c:v>
                </c:pt>
                <c:pt idx="212">
                  <c:v>44253</c:v>
                </c:pt>
                <c:pt idx="213">
                  <c:v>44257</c:v>
                </c:pt>
                <c:pt idx="214">
                  <c:v>44258</c:v>
                </c:pt>
                <c:pt idx="215">
                  <c:v>44259</c:v>
                </c:pt>
                <c:pt idx="216">
                  <c:v>44260</c:v>
                </c:pt>
                <c:pt idx="217">
                  <c:v>44265</c:v>
                </c:pt>
                <c:pt idx="218">
                  <c:v>44266</c:v>
                </c:pt>
                <c:pt idx="219">
                  <c:v>44267</c:v>
                </c:pt>
                <c:pt idx="220">
                  <c:v>44271</c:v>
                </c:pt>
                <c:pt idx="221">
                  <c:v>44272</c:v>
                </c:pt>
                <c:pt idx="222">
                  <c:v>44273</c:v>
                </c:pt>
                <c:pt idx="223">
                  <c:v>44274</c:v>
                </c:pt>
                <c:pt idx="224">
                  <c:v>44278</c:v>
                </c:pt>
                <c:pt idx="225">
                  <c:v>44279</c:v>
                </c:pt>
                <c:pt idx="226">
                  <c:v>44280</c:v>
                </c:pt>
                <c:pt idx="227">
                  <c:v>44281</c:v>
                </c:pt>
                <c:pt idx="228">
                  <c:v>44285</c:v>
                </c:pt>
                <c:pt idx="229">
                  <c:v>44286</c:v>
                </c:pt>
                <c:pt idx="230">
                  <c:v>44287</c:v>
                </c:pt>
                <c:pt idx="231">
                  <c:v>44288</c:v>
                </c:pt>
                <c:pt idx="232">
                  <c:v>44292</c:v>
                </c:pt>
                <c:pt idx="233">
                  <c:v>44293</c:v>
                </c:pt>
                <c:pt idx="234">
                  <c:v>44294</c:v>
                </c:pt>
                <c:pt idx="235">
                  <c:v>44295</c:v>
                </c:pt>
                <c:pt idx="236">
                  <c:v>44299</c:v>
                </c:pt>
                <c:pt idx="237">
                  <c:v>44300</c:v>
                </c:pt>
                <c:pt idx="238">
                  <c:v>44301</c:v>
                </c:pt>
                <c:pt idx="239">
                  <c:v>44302</c:v>
                </c:pt>
                <c:pt idx="240">
                  <c:v>44306</c:v>
                </c:pt>
                <c:pt idx="241">
                  <c:v>44307</c:v>
                </c:pt>
                <c:pt idx="242">
                  <c:v>44308</c:v>
                </c:pt>
                <c:pt idx="243">
                  <c:v>44309</c:v>
                </c:pt>
                <c:pt idx="244">
                  <c:v>44313</c:v>
                </c:pt>
                <c:pt idx="245">
                  <c:v>44314</c:v>
                </c:pt>
                <c:pt idx="246">
                  <c:v>44315</c:v>
                </c:pt>
                <c:pt idx="247">
                  <c:v>44316</c:v>
                </c:pt>
                <c:pt idx="248">
                  <c:v>44321</c:v>
                </c:pt>
                <c:pt idx="249">
                  <c:v>44322</c:v>
                </c:pt>
                <c:pt idx="250">
                  <c:v>44323</c:v>
                </c:pt>
                <c:pt idx="251">
                  <c:v>44328</c:v>
                </c:pt>
                <c:pt idx="252">
                  <c:v>44329</c:v>
                </c:pt>
                <c:pt idx="253">
                  <c:v>44330</c:v>
                </c:pt>
                <c:pt idx="254">
                  <c:v>44334</c:v>
                </c:pt>
                <c:pt idx="255">
                  <c:v>44335</c:v>
                </c:pt>
                <c:pt idx="256">
                  <c:v>44336</c:v>
                </c:pt>
                <c:pt idx="257">
                  <c:v>44337</c:v>
                </c:pt>
                <c:pt idx="258">
                  <c:v>44341</c:v>
                </c:pt>
                <c:pt idx="259">
                  <c:v>44342</c:v>
                </c:pt>
                <c:pt idx="260">
                  <c:v>44343</c:v>
                </c:pt>
                <c:pt idx="261">
                  <c:v>44348</c:v>
                </c:pt>
                <c:pt idx="262">
                  <c:v>44349</c:v>
                </c:pt>
                <c:pt idx="263">
                  <c:v>44350</c:v>
                </c:pt>
                <c:pt idx="264">
                  <c:v>44351</c:v>
                </c:pt>
                <c:pt idx="265">
                  <c:v>44355</c:v>
                </c:pt>
                <c:pt idx="266">
                  <c:v>44356</c:v>
                </c:pt>
                <c:pt idx="267">
                  <c:v>44357</c:v>
                </c:pt>
                <c:pt idx="268">
                  <c:v>44358</c:v>
                </c:pt>
                <c:pt idx="269">
                  <c:v>44363</c:v>
                </c:pt>
                <c:pt idx="270">
                  <c:v>44364</c:v>
                </c:pt>
                <c:pt idx="271">
                  <c:v>44365</c:v>
                </c:pt>
                <c:pt idx="272">
                  <c:v>44369</c:v>
                </c:pt>
                <c:pt idx="273">
                  <c:v>44370</c:v>
                </c:pt>
                <c:pt idx="274">
                  <c:v>44371</c:v>
                </c:pt>
                <c:pt idx="275">
                  <c:v>44372</c:v>
                </c:pt>
                <c:pt idx="276">
                  <c:v>44376</c:v>
                </c:pt>
                <c:pt idx="277">
                  <c:v>44377</c:v>
                </c:pt>
                <c:pt idx="278">
                  <c:v>44378</c:v>
                </c:pt>
                <c:pt idx="279">
                  <c:v>44379</c:v>
                </c:pt>
                <c:pt idx="280">
                  <c:v>44383</c:v>
                </c:pt>
                <c:pt idx="281">
                  <c:v>44384</c:v>
                </c:pt>
                <c:pt idx="282">
                  <c:v>44385</c:v>
                </c:pt>
                <c:pt idx="283">
                  <c:v>44386</c:v>
                </c:pt>
                <c:pt idx="284">
                  <c:v>44390</c:v>
                </c:pt>
                <c:pt idx="285">
                  <c:v>44391</c:v>
                </c:pt>
                <c:pt idx="286">
                  <c:v>44392</c:v>
                </c:pt>
                <c:pt idx="287">
                  <c:v>44393</c:v>
                </c:pt>
                <c:pt idx="288">
                  <c:v>44397</c:v>
                </c:pt>
                <c:pt idx="289">
                  <c:v>44398</c:v>
                </c:pt>
                <c:pt idx="290">
                  <c:v>44399</c:v>
                </c:pt>
                <c:pt idx="291">
                  <c:v>44400</c:v>
                </c:pt>
                <c:pt idx="292">
                  <c:v>44404</c:v>
                </c:pt>
                <c:pt idx="293">
                  <c:v>44405</c:v>
                </c:pt>
                <c:pt idx="294">
                  <c:v>44406</c:v>
                </c:pt>
                <c:pt idx="295">
                  <c:v>44407</c:v>
                </c:pt>
                <c:pt idx="296">
                  <c:v>44411</c:v>
                </c:pt>
                <c:pt idx="297">
                  <c:v>44412</c:v>
                </c:pt>
                <c:pt idx="298">
                  <c:v>44413</c:v>
                </c:pt>
                <c:pt idx="299">
                  <c:v>44414</c:v>
                </c:pt>
                <c:pt idx="300">
                  <c:v>44418</c:v>
                </c:pt>
                <c:pt idx="301">
                  <c:v>44419</c:v>
                </c:pt>
                <c:pt idx="302">
                  <c:v>44420</c:v>
                </c:pt>
                <c:pt idx="303">
                  <c:v>44421</c:v>
                </c:pt>
                <c:pt idx="304">
                  <c:v>44425</c:v>
                </c:pt>
                <c:pt idx="305">
                  <c:v>44426</c:v>
                </c:pt>
                <c:pt idx="306">
                  <c:v>44427</c:v>
                </c:pt>
                <c:pt idx="307">
                  <c:v>44428</c:v>
                </c:pt>
                <c:pt idx="308">
                  <c:v>44432</c:v>
                </c:pt>
                <c:pt idx="309">
                  <c:v>44433</c:v>
                </c:pt>
                <c:pt idx="310">
                  <c:v>44434</c:v>
                </c:pt>
                <c:pt idx="311">
                  <c:v>44435</c:v>
                </c:pt>
                <c:pt idx="312">
                  <c:v>44439</c:v>
                </c:pt>
                <c:pt idx="313">
                  <c:v>44440</c:v>
                </c:pt>
                <c:pt idx="314">
                  <c:v>44441</c:v>
                </c:pt>
                <c:pt idx="315">
                  <c:v>44442</c:v>
                </c:pt>
                <c:pt idx="316">
                  <c:v>44446</c:v>
                </c:pt>
                <c:pt idx="317">
                  <c:v>44447</c:v>
                </c:pt>
                <c:pt idx="318">
                  <c:v>44448</c:v>
                </c:pt>
                <c:pt idx="319">
                  <c:v>44449</c:v>
                </c:pt>
                <c:pt idx="320">
                  <c:v>44453</c:v>
                </c:pt>
                <c:pt idx="321">
                  <c:v>44454</c:v>
                </c:pt>
                <c:pt idx="322">
                  <c:v>44455</c:v>
                </c:pt>
                <c:pt idx="323">
                  <c:v>44456</c:v>
                </c:pt>
                <c:pt idx="324">
                  <c:v>44461</c:v>
                </c:pt>
                <c:pt idx="325">
                  <c:v>44462</c:v>
                </c:pt>
                <c:pt idx="326">
                  <c:v>44463</c:v>
                </c:pt>
                <c:pt idx="327">
                  <c:v>44467</c:v>
                </c:pt>
                <c:pt idx="328">
                  <c:v>44468</c:v>
                </c:pt>
                <c:pt idx="329">
                  <c:v>44469</c:v>
                </c:pt>
                <c:pt idx="330">
                  <c:v>44470</c:v>
                </c:pt>
                <c:pt idx="331">
                  <c:v>44474</c:v>
                </c:pt>
                <c:pt idx="332">
                  <c:v>44475</c:v>
                </c:pt>
                <c:pt idx="333">
                  <c:v>44476</c:v>
                </c:pt>
                <c:pt idx="334">
                  <c:v>44477</c:v>
                </c:pt>
                <c:pt idx="335">
                  <c:v>44481</c:v>
                </c:pt>
                <c:pt idx="336">
                  <c:v>44482</c:v>
                </c:pt>
                <c:pt idx="337">
                  <c:v>44483</c:v>
                </c:pt>
                <c:pt idx="338">
                  <c:v>44484</c:v>
                </c:pt>
                <c:pt idx="339">
                  <c:v>44488</c:v>
                </c:pt>
                <c:pt idx="340">
                  <c:v>44489</c:v>
                </c:pt>
                <c:pt idx="341">
                  <c:v>44490</c:v>
                </c:pt>
                <c:pt idx="342">
                  <c:v>44491</c:v>
                </c:pt>
                <c:pt idx="343">
                  <c:v>44495</c:v>
                </c:pt>
                <c:pt idx="344">
                  <c:v>44496</c:v>
                </c:pt>
                <c:pt idx="345">
                  <c:v>44497</c:v>
                </c:pt>
                <c:pt idx="346">
                  <c:v>44498</c:v>
                </c:pt>
                <c:pt idx="347">
                  <c:v>44502</c:v>
                </c:pt>
                <c:pt idx="348">
                  <c:v>44503</c:v>
                </c:pt>
                <c:pt idx="349">
                  <c:v>44504</c:v>
                </c:pt>
                <c:pt idx="350">
                  <c:v>44509</c:v>
                </c:pt>
                <c:pt idx="351">
                  <c:v>44510</c:v>
                </c:pt>
                <c:pt idx="352">
                  <c:v>44511</c:v>
                </c:pt>
                <c:pt idx="353">
                  <c:v>44512</c:v>
                </c:pt>
                <c:pt idx="354">
                  <c:v>44516</c:v>
                </c:pt>
                <c:pt idx="355">
                  <c:v>44517</c:v>
                </c:pt>
                <c:pt idx="356">
                  <c:v>44518</c:v>
                </c:pt>
                <c:pt idx="357">
                  <c:v>44519</c:v>
                </c:pt>
                <c:pt idx="358">
                  <c:v>44523</c:v>
                </c:pt>
                <c:pt idx="359">
                  <c:v>44524</c:v>
                </c:pt>
                <c:pt idx="360">
                  <c:v>44525</c:v>
                </c:pt>
                <c:pt idx="361">
                  <c:v>44526</c:v>
                </c:pt>
                <c:pt idx="362">
                  <c:v>44530</c:v>
                </c:pt>
                <c:pt idx="363">
                  <c:v>44531</c:v>
                </c:pt>
                <c:pt idx="364">
                  <c:v>44532</c:v>
                </c:pt>
                <c:pt idx="365">
                  <c:v>44533</c:v>
                </c:pt>
                <c:pt idx="366">
                  <c:v>44537</c:v>
                </c:pt>
                <c:pt idx="367">
                  <c:v>44538</c:v>
                </c:pt>
                <c:pt idx="368">
                  <c:v>44539</c:v>
                </c:pt>
                <c:pt idx="369">
                  <c:v>44540</c:v>
                </c:pt>
                <c:pt idx="370">
                  <c:v>44544</c:v>
                </c:pt>
                <c:pt idx="371">
                  <c:v>44545</c:v>
                </c:pt>
                <c:pt idx="372">
                  <c:v>44546</c:v>
                </c:pt>
                <c:pt idx="373">
                  <c:v>44547</c:v>
                </c:pt>
                <c:pt idx="374">
                  <c:v>44551</c:v>
                </c:pt>
                <c:pt idx="375">
                  <c:v>44552</c:v>
                </c:pt>
                <c:pt idx="376">
                  <c:v>44553</c:v>
                </c:pt>
                <c:pt idx="377">
                  <c:v>44558</c:v>
                </c:pt>
                <c:pt idx="378">
                  <c:v>44559</c:v>
                </c:pt>
                <c:pt idx="379">
                  <c:v>44560</c:v>
                </c:pt>
                <c:pt idx="380">
                  <c:v>44572</c:v>
                </c:pt>
                <c:pt idx="381">
                  <c:v>44573</c:v>
                </c:pt>
                <c:pt idx="382">
                  <c:v>44574</c:v>
                </c:pt>
                <c:pt idx="383">
                  <c:v>44575</c:v>
                </c:pt>
                <c:pt idx="384">
                  <c:v>44579</c:v>
                </c:pt>
                <c:pt idx="385">
                  <c:v>44580</c:v>
                </c:pt>
                <c:pt idx="386">
                  <c:v>44581</c:v>
                </c:pt>
                <c:pt idx="387">
                  <c:v>44582</c:v>
                </c:pt>
                <c:pt idx="388">
                  <c:v>44586</c:v>
                </c:pt>
                <c:pt idx="389">
                  <c:v>44587</c:v>
                </c:pt>
                <c:pt idx="390">
                  <c:v>44588</c:v>
                </c:pt>
                <c:pt idx="391">
                  <c:v>44593</c:v>
                </c:pt>
                <c:pt idx="392">
                  <c:v>44594</c:v>
                </c:pt>
                <c:pt idx="393">
                  <c:v>44595</c:v>
                </c:pt>
                <c:pt idx="394">
                  <c:v>44596</c:v>
                </c:pt>
                <c:pt idx="395">
                  <c:v>44600</c:v>
                </c:pt>
                <c:pt idx="396">
                  <c:v>44601</c:v>
                </c:pt>
                <c:pt idx="397">
                  <c:v>44602</c:v>
                </c:pt>
                <c:pt idx="398">
                  <c:v>44603</c:v>
                </c:pt>
                <c:pt idx="399">
                  <c:v>44607</c:v>
                </c:pt>
                <c:pt idx="400">
                  <c:v>44608</c:v>
                </c:pt>
                <c:pt idx="401">
                  <c:v>44609</c:v>
                </c:pt>
                <c:pt idx="402">
                  <c:v>44610</c:v>
                </c:pt>
                <c:pt idx="403">
                  <c:v>44614</c:v>
                </c:pt>
                <c:pt idx="404">
                  <c:v>44615</c:v>
                </c:pt>
                <c:pt idx="405">
                  <c:v>44617</c:v>
                </c:pt>
                <c:pt idx="406">
                  <c:v>44621</c:v>
                </c:pt>
                <c:pt idx="407">
                  <c:v>44622</c:v>
                </c:pt>
                <c:pt idx="408">
                  <c:v>44623</c:v>
                </c:pt>
                <c:pt idx="409">
                  <c:v>44624</c:v>
                </c:pt>
                <c:pt idx="410">
                  <c:v>44630</c:v>
                </c:pt>
                <c:pt idx="411">
                  <c:v>44631</c:v>
                </c:pt>
                <c:pt idx="412">
                  <c:v>44635</c:v>
                </c:pt>
                <c:pt idx="413">
                  <c:v>44636</c:v>
                </c:pt>
                <c:pt idx="414">
                  <c:v>44637</c:v>
                </c:pt>
                <c:pt idx="415">
                  <c:v>44638</c:v>
                </c:pt>
                <c:pt idx="416">
                  <c:v>44642</c:v>
                </c:pt>
                <c:pt idx="417">
                  <c:v>44643</c:v>
                </c:pt>
                <c:pt idx="418">
                  <c:v>44644</c:v>
                </c:pt>
                <c:pt idx="419">
                  <c:v>44645</c:v>
                </c:pt>
                <c:pt idx="420">
                  <c:v>44649</c:v>
                </c:pt>
                <c:pt idx="421">
                  <c:v>44650</c:v>
                </c:pt>
                <c:pt idx="422">
                  <c:v>44651</c:v>
                </c:pt>
                <c:pt idx="423">
                  <c:v>44652</c:v>
                </c:pt>
                <c:pt idx="424">
                  <c:v>44656</c:v>
                </c:pt>
                <c:pt idx="425">
                  <c:v>44657</c:v>
                </c:pt>
                <c:pt idx="426">
                  <c:v>44658</c:v>
                </c:pt>
                <c:pt idx="427">
                  <c:v>44659</c:v>
                </c:pt>
                <c:pt idx="428">
                  <c:v>44663</c:v>
                </c:pt>
                <c:pt idx="429">
                  <c:v>44664</c:v>
                </c:pt>
                <c:pt idx="430">
                  <c:v>44665</c:v>
                </c:pt>
                <c:pt idx="431">
                  <c:v>44666</c:v>
                </c:pt>
                <c:pt idx="432">
                  <c:v>44670</c:v>
                </c:pt>
                <c:pt idx="433">
                  <c:v>44671</c:v>
                </c:pt>
                <c:pt idx="434">
                  <c:v>44672</c:v>
                </c:pt>
                <c:pt idx="435">
                  <c:v>44673</c:v>
                </c:pt>
                <c:pt idx="436">
                  <c:v>44677</c:v>
                </c:pt>
                <c:pt idx="437">
                  <c:v>44678</c:v>
                </c:pt>
                <c:pt idx="438">
                  <c:v>44679</c:v>
                </c:pt>
                <c:pt idx="439">
                  <c:v>44680</c:v>
                </c:pt>
                <c:pt idx="440">
                  <c:v>44686</c:v>
                </c:pt>
                <c:pt idx="441">
                  <c:v>44687</c:v>
                </c:pt>
                <c:pt idx="442">
                  <c:v>44693</c:v>
                </c:pt>
                <c:pt idx="443">
                  <c:v>44694</c:v>
                </c:pt>
                <c:pt idx="444">
                  <c:v>44698</c:v>
                </c:pt>
                <c:pt idx="445">
                  <c:v>44699</c:v>
                </c:pt>
                <c:pt idx="446">
                  <c:v>44700</c:v>
                </c:pt>
                <c:pt idx="447">
                  <c:v>44701</c:v>
                </c:pt>
                <c:pt idx="448">
                  <c:v>44705</c:v>
                </c:pt>
                <c:pt idx="449">
                  <c:v>44706</c:v>
                </c:pt>
                <c:pt idx="450">
                  <c:v>44707</c:v>
                </c:pt>
                <c:pt idx="451">
                  <c:v>44708</c:v>
                </c:pt>
                <c:pt idx="452">
                  <c:v>44712</c:v>
                </c:pt>
                <c:pt idx="453">
                  <c:v>44713</c:v>
                </c:pt>
                <c:pt idx="454">
                  <c:v>44714</c:v>
                </c:pt>
                <c:pt idx="455">
                  <c:v>44715</c:v>
                </c:pt>
                <c:pt idx="456">
                  <c:v>44719</c:v>
                </c:pt>
                <c:pt idx="457">
                  <c:v>44720</c:v>
                </c:pt>
                <c:pt idx="458">
                  <c:v>44721</c:v>
                </c:pt>
                <c:pt idx="459">
                  <c:v>44722</c:v>
                </c:pt>
              </c:numCache>
            </c:numRef>
          </c:cat>
          <c:val>
            <c:numRef>
              <c:f>Sheet1!$C$2:$C$542</c:f>
              <c:numCache>
                <c:formatCode>0</c:formatCode>
                <c:ptCount val="541"/>
                <c:pt idx="0">
                  <c:v>100</c:v>
                </c:pt>
                <c:pt idx="1">
                  <c:v>99.972882204468178</c:v>
                </c:pt>
                <c:pt idx="2">
                  <c:v>99.922857202426869</c:v>
                </c:pt>
                <c:pt idx="3">
                  <c:v>99.895781223945306</c:v>
                </c:pt>
                <c:pt idx="4">
                  <c:v>99.927024040366135</c:v>
                </c:pt>
                <c:pt idx="5">
                  <c:v>99.985396282310731</c:v>
                </c:pt>
                <c:pt idx="6">
                  <c:v>100.07517226978493</c:v>
                </c:pt>
                <c:pt idx="7">
                  <c:v>100.11070958577905</c:v>
                </c:pt>
                <c:pt idx="8">
                  <c:v>100.08144172739993</c:v>
                </c:pt>
                <c:pt idx="9">
                  <c:v>100.14208700739691</c:v>
                </c:pt>
                <c:pt idx="10">
                  <c:v>100.11907497545387</c:v>
                </c:pt>
                <c:pt idx="11">
                  <c:v>100.13790221479317</c:v>
                </c:pt>
                <c:pt idx="12">
                  <c:v>100.09607351712617</c:v>
                </c:pt>
                <c:pt idx="13">
                  <c:v>100.11280080213906</c:v>
                </c:pt>
                <c:pt idx="14">
                  <c:v>100.08562180223454</c:v>
                </c:pt>
                <c:pt idx="15">
                  <c:v>100.16510962024789</c:v>
                </c:pt>
                <c:pt idx="16">
                  <c:v>100.04383676025469</c:v>
                </c:pt>
                <c:pt idx="17">
                  <c:v>99.993740741513506</c:v>
                </c:pt>
                <c:pt idx="18">
                  <c:v>100.03130805034337</c:v>
                </c:pt>
                <c:pt idx="19">
                  <c:v>100.04383676025471</c:v>
                </c:pt>
                <c:pt idx="20">
                  <c:v>100.06472491909388</c:v>
                </c:pt>
                <c:pt idx="21">
                  <c:v>100.13162568163301</c:v>
                </c:pt>
                <c:pt idx="22">
                  <c:v>100.1860484562159</c:v>
                </c:pt>
                <c:pt idx="23">
                  <c:v>100.19023727396258</c:v>
                </c:pt>
                <c:pt idx="24">
                  <c:v>100.18185998871215</c:v>
                </c:pt>
                <c:pt idx="25">
                  <c:v>100.16092290329998</c:v>
                </c:pt>
                <c:pt idx="26">
                  <c:v>100.13790221479316</c:v>
                </c:pt>
                <c:pt idx="27">
                  <c:v>100.08144172739993</c:v>
                </c:pt>
                <c:pt idx="28">
                  <c:v>100.02922023710136</c:v>
                </c:pt>
                <c:pt idx="29">
                  <c:v>99.929107589658045</c:v>
                </c:pt>
                <c:pt idx="30">
                  <c:v>99.883289566920936</c:v>
                </c:pt>
                <c:pt idx="31">
                  <c:v>99.219510175351445</c:v>
                </c:pt>
                <c:pt idx="32">
                  <c:v>98.953193070840143</c:v>
                </c:pt>
                <c:pt idx="33">
                  <c:v>98.239212872809276</c:v>
                </c:pt>
                <c:pt idx="34">
                  <c:v>97.656695737223913</c:v>
                </c:pt>
                <c:pt idx="35">
                  <c:v>97.702485067172248</c:v>
                </c:pt>
                <c:pt idx="36">
                  <c:v>97.367031002397297</c:v>
                </c:pt>
                <c:pt idx="37">
                  <c:v>97.098747923335637</c:v>
                </c:pt>
                <c:pt idx="38">
                  <c:v>96.736168580828775</c:v>
                </c:pt>
                <c:pt idx="39">
                  <c:v>96.638638517532712</c:v>
                </c:pt>
                <c:pt idx="40">
                  <c:v>96.384039900249363</c:v>
                </c:pt>
                <c:pt idx="41">
                  <c:v>96.153923319222343</c:v>
                </c:pt>
                <c:pt idx="42">
                  <c:v>95.972925886617134</c:v>
                </c:pt>
                <c:pt idx="43">
                  <c:v>96.51214305852028</c:v>
                </c:pt>
                <c:pt idx="44">
                  <c:v>97.193267085783816</c:v>
                </c:pt>
                <c:pt idx="45">
                  <c:v>97.573191090842457</c:v>
                </c:pt>
                <c:pt idx="46">
                  <c:v>98.710660734882197</c:v>
                </c:pt>
                <c:pt idx="47">
                  <c:v>98.588825804328152</c:v>
                </c:pt>
                <c:pt idx="48">
                  <c:v>98.904183090162405</c:v>
                </c:pt>
                <c:pt idx="49">
                  <c:v>99.028845359120595</c:v>
                </c:pt>
                <c:pt idx="50">
                  <c:v>99.665190176139092</c:v>
                </c:pt>
                <c:pt idx="51">
                  <c:v>99.885371292803413</c:v>
                </c:pt>
                <c:pt idx="52">
                  <c:v>99.9145245689745</c:v>
                </c:pt>
                <c:pt idx="53">
                  <c:v>99.922857202426869</c:v>
                </c:pt>
                <c:pt idx="54">
                  <c:v>99.945779112445763</c:v>
                </c:pt>
                <c:pt idx="55">
                  <c:v>99.995827073944241</c:v>
                </c:pt>
                <c:pt idx="56">
                  <c:v>99.196920147369283</c:v>
                </c:pt>
                <c:pt idx="57">
                  <c:v>98.99816157484868</c:v>
                </c:pt>
                <c:pt idx="58">
                  <c:v>98.277488414058965</c:v>
                </c:pt>
                <c:pt idx="59">
                  <c:v>98.028226631212917</c:v>
                </c:pt>
                <c:pt idx="60">
                  <c:v>98.231158662813328</c:v>
                </c:pt>
                <c:pt idx="61">
                  <c:v>98.887857216548014</c:v>
                </c:pt>
                <c:pt idx="62">
                  <c:v>99.096416682174379</c:v>
                </c:pt>
                <c:pt idx="63">
                  <c:v>99.497591762165726</c:v>
                </c:pt>
                <c:pt idx="64">
                  <c:v>99.433598207431658</c:v>
                </c:pt>
                <c:pt idx="65">
                  <c:v>99.057500723409504</c:v>
                </c:pt>
                <c:pt idx="66">
                  <c:v>99.03907751441379</c:v>
                </c:pt>
                <c:pt idx="67">
                  <c:v>99.330556073700961</c:v>
                </c:pt>
                <c:pt idx="68">
                  <c:v>99.353207015216185</c:v>
                </c:pt>
                <c:pt idx="69">
                  <c:v>99.408848603015883</c:v>
                </c:pt>
                <c:pt idx="70">
                  <c:v>99.485199485199445</c:v>
                </c:pt>
                <c:pt idx="71">
                  <c:v>99.59063233796725</c:v>
                </c:pt>
                <c:pt idx="72">
                  <c:v>99.632039581730822</c:v>
                </c:pt>
                <c:pt idx="73">
                  <c:v>99.51205332115191</c:v>
                </c:pt>
                <c:pt idx="74">
                  <c:v>99.474874945515623</c:v>
                </c:pt>
                <c:pt idx="75">
                  <c:v>99.582355019012155</c:v>
                </c:pt>
                <c:pt idx="76">
                  <c:v>99.777236483251059</c:v>
                </c:pt>
                <c:pt idx="77">
                  <c:v>99.860396307794844</c:v>
                </c:pt>
                <c:pt idx="78">
                  <c:v>99.914524568974471</c:v>
                </c:pt>
                <c:pt idx="79">
                  <c:v>99.964541226039231</c:v>
                </c:pt>
                <c:pt idx="80">
                  <c:v>99.829195134144285</c:v>
                </c:pt>
                <c:pt idx="81">
                  <c:v>99.576147932682289</c:v>
                </c:pt>
                <c:pt idx="82">
                  <c:v>99.443914180188372</c:v>
                </c:pt>
                <c:pt idx="83">
                  <c:v>99.357326478149062</c:v>
                </c:pt>
                <c:pt idx="84">
                  <c:v>99.324380336566335</c:v>
                </c:pt>
                <c:pt idx="85">
                  <c:v>99.151770936775875</c:v>
                </c:pt>
                <c:pt idx="86">
                  <c:v>99.053406084656075</c:v>
                </c:pt>
                <c:pt idx="87">
                  <c:v>98.792051451187319</c:v>
                </c:pt>
                <c:pt idx="88">
                  <c:v>98.665952978959922</c:v>
                </c:pt>
                <c:pt idx="89">
                  <c:v>98.491574188244954</c:v>
                </c:pt>
                <c:pt idx="90">
                  <c:v>98.465268218519498</c:v>
                </c:pt>
                <c:pt idx="91">
                  <c:v>98.690334006012932</c:v>
                </c:pt>
                <c:pt idx="92">
                  <c:v>98.918472652218796</c:v>
                </c:pt>
                <c:pt idx="93">
                  <c:v>99.094367711520988</c:v>
                </c:pt>
                <c:pt idx="94">
                  <c:v>99.303800091169052</c:v>
                </c:pt>
                <c:pt idx="95">
                  <c:v>99.082075666735605</c:v>
                </c:pt>
                <c:pt idx="96">
                  <c:v>98.98793787177793</c:v>
                </c:pt>
                <c:pt idx="97">
                  <c:v>98.77779838826028</c:v>
                </c:pt>
                <c:pt idx="98">
                  <c:v>98.757444002555175</c:v>
                </c:pt>
                <c:pt idx="99">
                  <c:v>98.889897655992087</c:v>
                </c:pt>
                <c:pt idx="100">
                  <c:v>98.934808637133074</c:v>
                </c:pt>
                <c:pt idx="101">
                  <c:v>98.783906340176443</c:v>
                </c:pt>
                <c:pt idx="102">
                  <c:v>98.74930459687225</c:v>
                </c:pt>
                <c:pt idx="103">
                  <c:v>98.682205658279472</c:v>
                </c:pt>
                <c:pt idx="104">
                  <c:v>98.710660734882197</c:v>
                </c:pt>
                <c:pt idx="105">
                  <c:v>98.779834288305381</c:v>
                </c:pt>
                <c:pt idx="106">
                  <c:v>98.816494845360822</c:v>
                </c:pt>
                <c:pt idx="107">
                  <c:v>98.751339322508855</c:v>
                </c:pt>
                <c:pt idx="108">
                  <c:v>98.816494845360822</c:v>
                </c:pt>
                <c:pt idx="109">
                  <c:v>98.781870272275683</c:v>
                </c:pt>
                <c:pt idx="110">
                  <c:v>98.851143699853552</c:v>
                </c:pt>
                <c:pt idx="111">
                  <c:v>98.977716280126387</c:v>
                </c:pt>
                <c:pt idx="112">
                  <c:v>98.95932273384264</c:v>
                </c:pt>
                <c:pt idx="113">
                  <c:v>98.873576497771893</c:v>
                </c:pt>
                <c:pt idx="114">
                  <c:v>98.806308627976478</c:v>
                </c:pt>
                <c:pt idx="115">
                  <c:v>98.672047106297981</c:v>
                </c:pt>
                <c:pt idx="116">
                  <c:v>98.376336802348234</c:v>
                </c:pt>
                <c:pt idx="117">
                  <c:v>98.40461573209042</c:v>
                </c:pt>
                <c:pt idx="118">
                  <c:v>98.362203431573747</c:v>
                </c:pt>
                <c:pt idx="119">
                  <c:v>98.43897629708745</c:v>
                </c:pt>
                <c:pt idx="120">
                  <c:v>98.352110652794011</c:v>
                </c:pt>
                <c:pt idx="121">
                  <c:v>98.313776975465643</c:v>
                </c:pt>
                <c:pt idx="122">
                  <c:v>98.20901639344261</c:v>
                </c:pt>
                <c:pt idx="123">
                  <c:v>98.094438872628274</c:v>
                </c:pt>
                <c:pt idx="124">
                  <c:v>98.046275649025176</c:v>
                </c:pt>
                <c:pt idx="125">
                  <c:v>98.142649437880124</c:v>
                </c:pt>
                <c:pt idx="126">
                  <c:v>98.275473168331033</c:v>
                </c:pt>
                <c:pt idx="127">
                  <c:v>98.753374131998086</c:v>
                </c:pt>
                <c:pt idx="128">
                  <c:v>98.830759078629882</c:v>
                </c:pt>
                <c:pt idx="129">
                  <c:v>98.938893476465708</c:v>
                </c:pt>
                <c:pt idx="130">
                  <c:v>98.763549437414966</c:v>
                </c:pt>
                <c:pt idx="131">
                  <c:v>98.757444002555147</c:v>
                </c:pt>
                <c:pt idx="132">
                  <c:v>98.730995838655161</c:v>
                </c:pt>
                <c:pt idx="133">
                  <c:v>98.751339322508841</c:v>
                </c:pt>
                <c:pt idx="134">
                  <c:v>98.761514208584899</c:v>
                </c:pt>
                <c:pt idx="135">
                  <c:v>98.285550223534699</c:v>
                </c:pt>
                <c:pt idx="136">
                  <c:v>98.126573984971614</c:v>
                </c:pt>
                <c:pt idx="137">
                  <c:v>98.092431126939275</c:v>
                </c:pt>
                <c:pt idx="138">
                  <c:v>98.08841588211213</c:v>
                </c:pt>
                <c:pt idx="139">
                  <c:v>97.780226057861</c:v>
                </c:pt>
                <c:pt idx="140">
                  <c:v>97.774241589652533</c:v>
                </c:pt>
                <c:pt idx="141">
                  <c:v>97.579150972208055</c:v>
                </c:pt>
                <c:pt idx="142">
                  <c:v>97.618902128526287</c:v>
                </c:pt>
                <c:pt idx="143">
                  <c:v>97.610949306503144</c:v>
                </c:pt>
                <c:pt idx="144">
                  <c:v>97.541417348475562</c:v>
                </c:pt>
                <c:pt idx="145">
                  <c:v>97.473966807679744</c:v>
                </c:pt>
                <c:pt idx="146">
                  <c:v>97.380879813065079</c:v>
                </c:pt>
                <c:pt idx="147">
                  <c:v>97.147953702389842</c:v>
                </c:pt>
                <c:pt idx="148">
                  <c:v>96.943584764447635</c:v>
                </c:pt>
                <c:pt idx="149">
                  <c:v>96.955351904675155</c:v>
                </c:pt>
                <c:pt idx="150">
                  <c:v>97.01423048116429</c:v>
                </c:pt>
                <c:pt idx="151">
                  <c:v>97.177501115211427</c:v>
                </c:pt>
                <c:pt idx="152">
                  <c:v>97.270199508838829</c:v>
                </c:pt>
                <c:pt idx="153">
                  <c:v>97.183412754739891</c:v>
                </c:pt>
                <c:pt idx="154">
                  <c:v>97.094813614262506</c:v>
                </c:pt>
                <c:pt idx="155">
                  <c:v>97.083012599764956</c:v>
                </c:pt>
                <c:pt idx="156">
                  <c:v>97.114488348530841</c:v>
                </c:pt>
                <c:pt idx="157">
                  <c:v>97.06728237533919</c:v>
                </c:pt>
                <c:pt idx="158">
                  <c:v>96.990670471333402</c:v>
                </c:pt>
                <c:pt idx="159">
                  <c:v>96.867167919799442</c:v>
                </c:pt>
                <c:pt idx="160">
                  <c:v>96.706888897857013</c:v>
                </c:pt>
                <c:pt idx="161">
                  <c:v>96.63668992216796</c:v>
                </c:pt>
                <c:pt idx="162">
                  <c:v>96.356910209497727</c:v>
                </c:pt>
                <c:pt idx="163">
                  <c:v>96.082598235765801</c:v>
                </c:pt>
                <c:pt idx="164">
                  <c:v>95.695060101433612</c:v>
                </c:pt>
                <c:pt idx="165">
                  <c:v>95.238663010214182</c:v>
                </c:pt>
                <c:pt idx="166">
                  <c:v>93.548827858132753</c:v>
                </c:pt>
                <c:pt idx="167">
                  <c:v>93.662178272000602</c:v>
                </c:pt>
                <c:pt idx="168">
                  <c:v>94.320239313547958</c:v>
                </c:pt>
                <c:pt idx="169">
                  <c:v>94.303535939867359</c:v>
                </c:pt>
                <c:pt idx="170">
                  <c:v>94.532328691467086</c:v>
                </c:pt>
                <c:pt idx="171">
                  <c:v>94.131280197980871</c:v>
                </c:pt>
                <c:pt idx="172">
                  <c:v>93.972549019607797</c:v>
                </c:pt>
                <c:pt idx="173">
                  <c:v>93.742787286063532</c:v>
                </c:pt>
                <c:pt idx="174">
                  <c:v>93.217668683017877</c:v>
                </c:pt>
                <c:pt idx="175">
                  <c:v>92.973539225576118</c:v>
                </c:pt>
                <c:pt idx="176">
                  <c:v>92.383908090290461</c:v>
                </c:pt>
                <c:pt idx="177">
                  <c:v>92.055625984403179</c:v>
                </c:pt>
                <c:pt idx="178">
                  <c:v>91.27197242377494</c:v>
                </c:pt>
                <c:pt idx="179">
                  <c:v>91.305010478186304</c:v>
                </c:pt>
                <c:pt idx="180">
                  <c:v>91.563180619769966</c:v>
                </c:pt>
                <c:pt idx="181">
                  <c:v>91.771824674951631</c:v>
                </c:pt>
                <c:pt idx="182">
                  <c:v>91.817537406364337</c:v>
                </c:pt>
                <c:pt idx="183">
                  <c:v>91.775339422837533</c:v>
                </c:pt>
                <c:pt idx="184">
                  <c:v>91.727913030163805</c:v>
                </c:pt>
                <c:pt idx="185">
                  <c:v>91.712115123332723</c:v>
                </c:pt>
                <c:pt idx="186">
                  <c:v>91.759525177101267</c:v>
                </c:pt>
                <c:pt idx="187">
                  <c:v>91.708605216326347</c:v>
                </c:pt>
                <c:pt idx="188">
                  <c:v>91.211175395858675</c:v>
                </c:pt>
                <c:pt idx="189">
                  <c:v>90.960162462753118</c:v>
                </c:pt>
                <c:pt idx="190">
                  <c:v>91.209439528023566</c:v>
                </c:pt>
                <c:pt idx="191">
                  <c:v>91.719135743402262</c:v>
                </c:pt>
                <c:pt idx="192">
                  <c:v>92.287843484623792</c:v>
                </c:pt>
                <c:pt idx="193">
                  <c:v>92.309173905506611</c:v>
                </c:pt>
                <c:pt idx="194">
                  <c:v>92.362543120892639</c:v>
                </c:pt>
                <c:pt idx="195">
                  <c:v>92.442712753645495</c:v>
                </c:pt>
                <c:pt idx="196">
                  <c:v>92.474819588623419</c:v>
                </c:pt>
                <c:pt idx="197">
                  <c:v>92.492666357881689</c:v>
                </c:pt>
                <c:pt idx="198">
                  <c:v>92.473035290485598</c:v>
                </c:pt>
                <c:pt idx="199">
                  <c:v>92.307395993836593</c:v>
                </c:pt>
                <c:pt idx="200">
                  <c:v>92.138806113621001</c:v>
                </c:pt>
                <c:pt idx="201">
                  <c:v>92.059162504802075</c:v>
                </c:pt>
                <c:pt idx="202">
                  <c:v>91.965536430449134</c:v>
                </c:pt>
                <c:pt idx="203">
                  <c:v>91.706850363566701</c:v>
                </c:pt>
                <c:pt idx="204">
                  <c:v>91.613939173819048</c:v>
                </c:pt>
                <c:pt idx="205">
                  <c:v>91.449615509378432</c:v>
                </c:pt>
                <c:pt idx="206">
                  <c:v>91.412985427634013</c:v>
                </c:pt>
                <c:pt idx="207">
                  <c:v>91.301531661967459</c:v>
                </c:pt>
                <c:pt idx="208">
                  <c:v>91.404268304312069</c:v>
                </c:pt>
                <c:pt idx="209">
                  <c:v>91.402525079147011</c:v>
                </c:pt>
                <c:pt idx="210">
                  <c:v>91.378126906650294</c:v>
                </c:pt>
                <c:pt idx="211">
                  <c:v>90.946353682372717</c:v>
                </c:pt>
                <c:pt idx="212">
                  <c:v>90.775816349723371</c:v>
                </c:pt>
                <c:pt idx="213">
                  <c:v>90.879095873786326</c:v>
                </c:pt>
                <c:pt idx="214">
                  <c:v>91.11580068062122</c:v>
                </c:pt>
                <c:pt idx="215">
                  <c:v>91.291096803687665</c:v>
                </c:pt>
                <c:pt idx="216">
                  <c:v>91.207703726258799</c:v>
                </c:pt>
                <c:pt idx="217">
                  <c:v>91.126195501302377</c:v>
                </c:pt>
                <c:pt idx="218">
                  <c:v>91.048292108362688</c:v>
                </c:pt>
                <c:pt idx="219">
                  <c:v>90.96188885514718</c:v>
                </c:pt>
                <c:pt idx="220">
                  <c:v>90.822263071121199</c:v>
                </c:pt>
                <c:pt idx="221">
                  <c:v>90.822263071121199</c:v>
                </c:pt>
                <c:pt idx="222">
                  <c:v>90.868757347085733</c:v>
                </c:pt>
                <c:pt idx="223">
                  <c:v>90.791293310852964</c:v>
                </c:pt>
                <c:pt idx="224">
                  <c:v>90.74831477694454</c:v>
                </c:pt>
                <c:pt idx="225">
                  <c:v>90.713961235614676</c:v>
                </c:pt>
                <c:pt idx="226">
                  <c:v>90.652190360898757</c:v>
                </c:pt>
                <c:pt idx="227">
                  <c:v>90.513513003078344</c:v>
                </c:pt>
                <c:pt idx="228">
                  <c:v>90.307141511211512</c:v>
                </c:pt>
                <c:pt idx="229">
                  <c:v>90.227234218799921</c:v>
                </c:pt>
                <c:pt idx="230">
                  <c:v>90.062765437666684</c:v>
                </c:pt>
                <c:pt idx="231">
                  <c:v>89.88877843839667</c:v>
                </c:pt>
                <c:pt idx="232">
                  <c:v>89.562893610659387</c:v>
                </c:pt>
                <c:pt idx="233">
                  <c:v>89.317529538931637</c:v>
                </c:pt>
                <c:pt idx="234">
                  <c:v>89.187881494714802</c:v>
                </c:pt>
                <c:pt idx="235">
                  <c:v>89.954577874544739</c:v>
                </c:pt>
                <c:pt idx="236">
                  <c:v>92.266522919353818</c:v>
                </c:pt>
                <c:pt idx="237">
                  <c:v>92.282512419609404</c:v>
                </c:pt>
                <c:pt idx="238">
                  <c:v>91.953184957789617</c:v>
                </c:pt>
                <c:pt idx="239">
                  <c:v>91.777096897740222</c:v>
                </c:pt>
                <c:pt idx="240">
                  <c:v>91.831612025522517</c:v>
                </c:pt>
                <c:pt idx="241">
                  <c:v>91.771824674951546</c:v>
                </c:pt>
                <c:pt idx="242">
                  <c:v>91.770067401960688</c:v>
                </c:pt>
                <c:pt idx="243">
                  <c:v>91.831612025522517</c:v>
                </c:pt>
                <c:pt idx="244">
                  <c:v>92.114013338714841</c:v>
                </c:pt>
                <c:pt idx="245">
                  <c:v>92.199072738115746</c:v>
                </c:pt>
                <c:pt idx="246">
                  <c:v>92.053857826095197</c:v>
                </c:pt>
                <c:pt idx="247">
                  <c:v>92.043250302483116</c:v>
                </c:pt>
                <c:pt idx="248">
                  <c:v>91.981421771840814</c:v>
                </c:pt>
                <c:pt idx="249">
                  <c:v>91.909099626042632</c:v>
                </c:pt>
                <c:pt idx="250">
                  <c:v>91.796433565094006</c:v>
                </c:pt>
                <c:pt idx="251">
                  <c:v>91.764795986750016</c:v>
                </c:pt>
                <c:pt idx="252">
                  <c:v>91.619193270884963</c:v>
                </c:pt>
                <c:pt idx="253">
                  <c:v>91.727913030163691</c:v>
                </c:pt>
                <c:pt idx="254">
                  <c:v>91.891477327197634</c:v>
                </c:pt>
                <c:pt idx="255">
                  <c:v>92.037947457366556</c:v>
                </c:pt>
                <c:pt idx="256">
                  <c:v>92.034412566731788</c:v>
                </c:pt>
                <c:pt idx="257">
                  <c:v>92.069773696545738</c:v>
                </c:pt>
                <c:pt idx="258">
                  <c:v>92.064467794916936</c:v>
                </c:pt>
                <c:pt idx="259">
                  <c:v>92.045018053314735</c:v>
                </c:pt>
                <c:pt idx="260">
                  <c:v>92.027343599984462</c:v>
                </c:pt>
                <c:pt idx="261">
                  <c:v>92.046785872049313</c:v>
                </c:pt>
                <c:pt idx="262">
                  <c:v>92.046785872049313</c:v>
                </c:pt>
                <c:pt idx="263">
                  <c:v>92.126408058129073</c:v>
                </c:pt>
                <c:pt idx="264">
                  <c:v>92.158295515729378</c:v>
                </c:pt>
                <c:pt idx="265">
                  <c:v>92.195525460246415</c:v>
                </c:pt>
                <c:pt idx="266">
                  <c:v>92.241661373828151</c:v>
                </c:pt>
                <c:pt idx="267">
                  <c:v>92.293175165613732</c:v>
                </c:pt>
                <c:pt idx="268">
                  <c:v>92.412410096218537</c:v>
                </c:pt>
                <c:pt idx="269">
                  <c:v>93.083691028803187</c:v>
                </c:pt>
                <c:pt idx="270">
                  <c:v>93.221295053587554</c:v>
                </c:pt>
                <c:pt idx="271">
                  <c:v>93.29024974208221</c:v>
                </c:pt>
                <c:pt idx="272">
                  <c:v>93.41025591049933</c:v>
                </c:pt>
                <c:pt idx="273">
                  <c:v>93.603640553895218</c:v>
                </c:pt>
                <c:pt idx="274">
                  <c:v>94.36109470368163</c:v>
                </c:pt>
                <c:pt idx="275">
                  <c:v>95.971004045015619</c:v>
                </c:pt>
                <c:pt idx="276">
                  <c:v>96.747885418979564</c:v>
                </c:pt>
                <c:pt idx="277">
                  <c:v>96.652280885733688</c:v>
                </c:pt>
                <c:pt idx="278">
                  <c:v>96.656179412713598</c:v>
                </c:pt>
                <c:pt idx="279">
                  <c:v>96.724454580314259</c:v>
                </c:pt>
                <c:pt idx="280">
                  <c:v>96.704937549183626</c:v>
                </c:pt>
                <c:pt idx="281">
                  <c:v>96.779144201449725</c:v>
                </c:pt>
                <c:pt idx="282">
                  <c:v>96.745932415519235</c:v>
                </c:pt>
                <c:pt idx="283">
                  <c:v>96.669826734170925</c:v>
                </c:pt>
                <c:pt idx="284">
                  <c:v>96.593840696549336</c:v>
                </c:pt>
                <c:pt idx="285">
                  <c:v>96.701035088073112</c:v>
                </c:pt>
                <c:pt idx="286">
                  <c:v>96.734216050379302</c:v>
                </c:pt>
                <c:pt idx="287">
                  <c:v>96.863252354581689</c:v>
                </c:pt>
                <c:pt idx="288">
                  <c:v>97.579150972207941</c:v>
                </c:pt>
                <c:pt idx="289">
                  <c:v>98.295629345529719</c:v>
                </c:pt>
                <c:pt idx="290">
                  <c:v>98.934808637132903</c:v>
                </c:pt>
                <c:pt idx="291">
                  <c:v>99.139464647718171</c:v>
                </c:pt>
                <c:pt idx="292">
                  <c:v>99.373807746537125</c:v>
                </c:pt>
                <c:pt idx="293">
                  <c:v>99.365566428926698</c:v>
                </c:pt>
                <c:pt idx="294">
                  <c:v>98.947064167148241</c:v>
                </c:pt>
                <c:pt idx="295">
                  <c:v>98.564494899637879</c:v>
                </c:pt>
                <c:pt idx="296">
                  <c:v>97.62287902552282</c:v>
                </c:pt>
                <c:pt idx="297">
                  <c:v>97.351208612634409</c:v>
                </c:pt>
                <c:pt idx="298">
                  <c:v>97.144015404884797</c:v>
                </c:pt>
                <c:pt idx="299">
                  <c:v>97.287970443749586</c:v>
                </c:pt>
                <c:pt idx="300">
                  <c:v>97.680580466329531</c:v>
                </c:pt>
                <c:pt idx="301">
                  <c:v>97.595047549229079</c:v>
                </c:pt>
                <c:pt idx="302">
                  <c:v>97.460091509913411</c:v>
                </c:pt>
                <c:pt idx="303">
                  <c:v>97.359119164668925</c:v>
                </c:pt>
                <c:pt idx="304">
                  <c:v>97.382858536188749</c:v>
                </c:pt>
                <c:pt idx="305">
                  <c:v>97.593060193858292</c:v>
                </c:pt>
                <c:pt idx="306">
                  <c:v>97.670627076157928</c:v>
                </c:pt>
                <c:pt idx="307">
                  <c:v>97.786211258696895</c:v>
                </c:pt>
                <c:pt idx="308">
                  <c:v>97.612937390524948</c:v>
                </c:pt>
                <c:pt idx="309">
                  <c:v>97.355163727959578</c:v>
                </c:pt>
                <c:pt idx="310">
                  <c:v>97.201151989615752</c:v>
                </c:pt>
                <c:pt idx="311">
                  <c:v>97.073180612100103</c:v>
                </c:pt>
                <c:pt idx="312">
                  <c:v>97.189325113562504</c:v>
                </c:pt>
                <c:pt idx="313">
                  <c:v>97.094813614262449</c:v>
                </c:pt>
                <c:pt idx="314">
                  <c:v>97.106617498075011</c:v>
                </c:pt>
                <c:pt idx="315">
                  <c:v>97.08497923630091</c:v>
                </c:pt>
                <c:pt idx="316">
                  <c:v>97.08497923630091</c:v>
                </c:pt>
                <c:pt idx="317">
                  <c:v>97.083012599764899</c:v>
                </c:pt>
                <c:pt idx="318">
                  <c:v>97.179471581807377</c:v>
                </c:pt>
                <c:pt idx="319">
                  <c:v>97.242568732880073</c:v>
                </c:pt>
                <c:pt idx="320">
                  <c:v>97.770252351129059</c:v>
                </c:pt>
                <c:pt idx="321">
                  <c:v>98.410677618069727</c:v>
                </c:pt>
                <c:pt idx="322">
                  <c:v>98.538149968131165</c:v>
                </c:pt>
                <c:pt idx="323">
                  <c:v>98.830759078629811</c:v>
                </c:pt>
                <c:pt idx="324">
                  <c:v>98.973628234516553</c:v>
                </c:pt>
                <c:pt idx="325">
                  <c:v>99.071834625322893</c:v>
                </c:pt>
                <c:pt idx="326">
                  <c:v>99.382050431320394</c:v>
                </c:pt>
                <c:pt idx="327">
                  <c:v>99.305857731915935</c:v>
                </c:pt>
                <c:pt idx="328">
                  <c:v>99.125111170861757</c:v>
                </c:pt>
                <c:pt idx="329">
                  <c:v>98.979760429574455</c:v>
                </c:pt>
                <c:pt idx="330">
                  <c:v>98.751339322508755</c:v>
                </c:pt>
                <c:pt idx="331">
                  <c:v>98.88377659025717</c:v>
                </c:pt>
                <c:pt idx="332">
                  <c:v>99.223618558621865</c:v>
                </c:pt>
                <c:pt idx="333">
                  <c:v>99.665190176138978</c:v>
                </c:pt>
                <c:pt idx="334">
                  <c:v>99.9916544961401</c:v>
                </c:pt>
                <c:pt idx="335">
                  <c:v>100.10025481431963</c:v>
                </c:pt>
                <c:pt idx="336">
                  <c:v>100.01669518761206</c:v>
                </c:pt>
                <c:pt idx="337">
                  <c:v>100.1044364608571</c:v>
                </c:pt>
                <c:pt idx="338">
                  <c:v>100.17557794406576</c:v>
                </c:pt>
                <c:pt idx="339">
                  <c:v>100.40222901914767</c:v>
                </c:pt>
                <c:pt idx="340">
                  <c:v>100.56867065365638</c:v>
                </c:pt>
                <c:pt idx="341">
                  <c:v>100.58555627846444</c:v>
                </c:pt>
                <c:pt idx="342">
                  <c:v>100.58344526527861</c:v>
                </c:pt>
                <c:pt idx="343">
                  <c:v>100.48643435232934</c:v>
                </c:pt>
                <c:pt idx="344">
                  <c:v>100.40853952357998</c:v>
                </c:pt>
                <c:pt idx="345">
                  <c:v>100.30766654806496</c:v>
                </c:pt>
                <c:pt idx="346">
                  <c:v>100.30556718292164</c:v>
                </c:pt>
                <c:pt idx="347">
                  <c:v>100.42958026864476</c:v>
                </c:pt>
                <c:pt idx="348">
                  <c:v>100.50540002097087</c:v>
                </c:pt>
                <c:pt idx="349">
                  <c:v>100.63836042165376</c:v>
                </c:pt>
                <c:pt idx="350">
                  <c:v>100.73566504119715</c:v>
                </c:pt>
                <c:pt idx="351">
                  <c:v>100.7526067944836</c:v>
                </c:pt>
                <c:pt idx="352">
                  <c:v>100.77591101204861</c:v>
                </c:pt>
                <c:pt idx="353">
                  <c:v>100.85649950546089</c:v>
                </c:pt>
                <c:pt idx="354">
                  <c:v>100.82891525708988</c:v>
                </c:pt>
                <c:pt idx="355">
                  <c:v>100.68698922246257</c:v>
                </c:pt>
                <c:pt idx="356">
                  <c:v>100.63413405005871</c:v>
                </c:pt>
                <c:pt idx="357">
                  <c:v>100.62568237171403</c:v>
                </c:pt>
                <c:pt idx="358">
                  <c:v>100.44220894896775</c:v>
                </c:pt>
                <c:pt idx="359">
                  <c:v>100.24053042186935</c:v>
                </c:pt>
                <c:pt idx="360">
                  <c:v>99.800091624671936</c:v>
                </c:pt>
                <c:pt idx="361">
                  <c:v>99.211294429378682</c:v>
                </c:pt>
                <c:pt idx="362">
                  <c:v>98.556387266595308</c:v>
                </c:pt>
                <c:pt idx="363">
                  <c:v>98.213041518094926</c:v>
                </c:pt>
                <c:pt idx="364">
                  <c:v>98.108495394063397</c:v>
                </c:pt>
                <c:pt idx="365">
                  <c:v>97.810159391007915</c:v>
                </c:pt>
                <c:pt idx="366">
                  <c:v>97.329461221339869</c:v>
                </c:pt>
                <c:pt idx="367">
                  <c:v>97.05352260991063</c:v>
                </c:pt>
                <c:pt idx="368">
                  <c:v>96.773281641224386</c:v>
                </c:pt>
                <c:pt idx="369">
                  <c:v>96.757651619155226</c:v>
                </c:pt>
                <c:pt idx="370">
                  <c:v>98.118538233186541</c:v>
                </c:pt>
                <c:pt idx="371">
                  <c:v>99.427409651051747</c:v>
                </c:pt>
                <c:pt idx="372">
                  <c:v>99.841673263613956</c:v>
                </c:pt>
                <c:pt idx="373">
                  <c:v>99.5989110330638</c:v>
                </c:pt>
                <c:pt idx="374">
                  <c:v>99.615472553054332</c:v>
                </c:pt>
                <c:pt idx="375">
                  <c:v>100.02504487206238</c:v>
                </c:pt>
                <c:pt idx="376">
                  <c:v>100.21747312952191</c:v>
                </c:pt>
                <c:pt idx="377">
                  <c:v>100.23843386597501</c:v>
                </c:pt>
                <c:pt idx="378">
                  <c:v>100.12953367875643</c:v>
                </c:pt>
                <c:pt idx="379">
                  <c:v>99.816720123297316</c:v>
                </c:pt>
                <c:pt idx="380">
                  <c:v>99.365566428926797</c:v>
                </c:pt>
                <c:pt idx="381">
                  <c:v>99.53685434796148</c:v>
                </c:pt>
                <c:pt idx="382">
                  <c:v>99.673481271967177</c:v>
                </c:pt>
                <c:pt idx="383">
                  <c:v>99.663117617700834</c:v>
                </c:pt>
                <c:pt idx="384">
                  <c:v>99.530652932380747</c:v>
                </c:pt>
                <c:pt idx="385">
                  <c:v>99.50378905844488</c:v>
                </c:pt>
                <c:pt idx="386">
                  <c:v>99.501723207241568</c:v>
                </c:pt>
                <c:pt idx="387">
                  <c:v>99.406786692109804</c:v>
                </c:pt>
                <c:pt idx="388">
                  <c:v>99.377928918010994</c:v>
                </c:pt>
                <c:pt idx="389">
                  <c:v>99.334673658465761</c:v>
                </c:pt>
                <c:pt idx="390">
                  <c:v>99.314089147688378</c:v>
                </c:pt>
                <c:pt idx="391">
                  <c:v>99.147668500972273</c:v>
                </c:pt>
                <c:pt idx="392">
                  <c:v>99.324380336566321</c:v>
                </c:pt>
                <c:pt idx="393">
                  <c:v>99.369686916856679</c:v>
                </c:pt>
                <c:pt idx="394">
                  <c:v>99.507921018208961</c:v>
                </c:pt>
                <c:pt idx="395">
                  <c:v>99.785546232484506</c:v>
                </c:pt>
                <c:pt idx="396">
                  <c:v>100.03130805034331</c:v>
                </c:pt>
                <c:pt idx="397">
                  <c:v>100.0459251837007</c:v>
                </c:pt>
                <c:pt idx="398">
                  <c:v>100.06681421472416</c:v>
                </c:pt>
                <c:pt idx="399">
                  <c:v>99.993740741513463</c:v>
                </c:pt>
                <c:pt idx="400">
                  <c:v>100.02713251100951</c:v>
                </c:pt>
                <c:pt idx="401">
                  <c:v>100.18395417868636</c:v>
                </c:pt>
                <c:pt idx="402">
                  <c:v>100.05427974947804</c:v>
                </c:pt>
                <c:pt idx="403">
                  <c:v>100.17348410425764</c:v>
                </c:pt>
                <c:pt idx="404">
                  <c:v>100.1002548143197</c:v>
                </c:pt>
                <c:pt idx="405">
                  <c:v>99.406786692109804</c:v>
                </c:pt>
                <c:pt idx="406">
                  <c:v>98.845027430598478</c:v>
                </c:pt>
                <c:pt idx="407">
                  <c:v>97.936079777668752</c:v>
                </c:pt>
                <c:pt idx="408">
                  <c:v>96.531582339671246</c:v>
                </c:pt>
                <c:pt idx="409">
                  <c:v>95.265166573904722</c:v>
                </c:pt>
                <c:pt idx="410">
                  <c:v>92.878044999127894</c:v>
                </c:pt>
                <c:pt idx="411">
                  <c:v>92.471251061202409</c:v>
                </c:pt>
                <c:pt idx="412">
                  <c:v>94.353663818561216</c:v>
                </c:pt>
                <c:pt idx="413">
                  <c:v>96.036389868547587</c:v>
                </c:pt>
                <c:pt idx="414">
                  <c:v>97.710452812493614</c:v>
                </c:pt>
                <c:pt idx="415">
                  <c:v>98.088415882112145</c:v>
                </c:pt>
                <c:pt idx="416">
                  <c:v>98.036247596448874</c:v>
                </c:pt>
                <c:pt idx="417">
                  <c:v>97.978125319431669</c:v>
                </c:pt>
                <c:pt idx="418">
                  <c:v>97.846103591188424</c:v>
                </c:pt>
                <c:pt idx="419">
                  <c:v>97.748317356720378</c:v>
                </c:pt>
                <c:pt idx="420">
                  <c:v>97.728384991843399</c:v>
                </c:pt>
                <c:pt idx="421">
                  <c:v>98.255325255755793</c:v>
                </c:pt>
                <c:pt idx="422">
                  <c:v>98.631433804614034</c:v>
                </c:pt>
                <c:pt idx="423">
                  <c:v>98.861339164156959</c:v>
                </c:pt>
                <c:pt idx="424">
                  <c:v>99.51618596731663</c:v>
                </c:pt>
                <c:pt idx="425">
                  <c:v>99.974967666569341</c:v>
                </c:pt>
                <c:pt idx="426">
                  <c:v>100.49064832676341</c:v>
                </c:pt>
                <c:pt idx="427">
                  <c:v>100.75048876369065</c:v>
                </c:pt>
                <c:pt idx="428">
                  <c:v>101.29562699469493</c:v>
                </c:pt>
                <c:pt idx="429">
                  <c:v>101.44571682577316</c:v>
                </c:pt>
                <c:pt idx="430">
                  <c:v>101.64365548980938</c:v>
                </c:pt>
                <c:pt idx="431">
                  <c:v>101.65874766672327</c:v>
                </c:pt>
                <c:pt idx="432">
                  <c:v>101.79045515366485</c:v>
                </c:pt>
                <c:pt idx="433">
                  <c:v>102.1418980840136</c:v>
                </c:pt>
                <c:pt idx="434">
                  <c:v>102.45633537849803</c:v>
                </c:pt>
                <c:pt idx="435">
                  <c:v>102.56377332648523</c:v>
                </c:pt>
                <c:pt idx="436">
                  <c:v>103.48058902275774</c:v>
                </c:pt>
                <c:pt idx="437">
                  <c:v>104.19148658637336</c:v>
                </c:pt>
                <c:pt idx="438">
                  <c:v>104.9466792213196</c:v>
                </c:pt>
                <c:pt idx="439">
                  <c:v>105.73622203591763</c:v>
                </c:pt>
                <c:pt idx="440">
                  <c:v>103.17983164330776</c:v>
                </c:pt>
                <c:pt idx="441">
                  <c:v>101.02871115982973</c:v>
                </c:pt>
                <c:pt idx="442">
                  <c:v>104.15752070067161</c:v>
                </c:pt>
                <c:pt idx="443">
                  <c:v>105.11470807562405</c:v>
                </c:pt>
                <c:pt idx="444">
                  <c:v>105.36428791276444</c:v>
                </c:pt>
                <c:pt idx="445">
                  <c:v>104.75857395790079</c:v>
                </c:pt>
                <c:pt idx="446">
                  <c:v>104.32303003918162</c:v>
                </c:pt>
                <c:pt idx="447">
                  <c:v>104.41849318053082</c:v>
                </c:pt>
                <c:pt idx="448">
                  <c:v>105.86702010161262</c:v>
                </c:pt>
                <c:pt idx="449">
                  <c:v>106.33445008985831</c:v>
                </c:pt>
                <c:pt idx="450">
                  <c:v>107.17624169778838</c:v>
                </c:pt>
                <c:pt idx="451">
                  <c:v>106.93471373109026</c:v>
                </c:pt>
                <c:pt idx="452">
                  <c:v>106.98006651934203</c:v>
                </c:pt>
                <c:pt idx="453">
                  <c:v>107.54420608562974</c:v>
                </c:pt>
                <c:pt idx="454">
                  <c:v>108.12164418174443</c:v>
                </c:pt>
                <c:pt idx="455">
                  <c:v>108.88560717937077</c:v>
                </c:pt>
                <c:pt idx="456">
                  <c:v>110.46165902228788</c:v>
                </c:pt>
                <c:pt idx="457">
                  <c:v>111.25142180644872</c:v>
                </c:pt>
                <c:pt idx="458">
                  <c:v>112.27831791027303</c:v>
                </c:pt>
                <c:pt idx="459">
                  <c:v>113.58217798317347</c:v>
                </c:pt>
                <c:pt idx="460">
                  <c:v>114.79322194572848</c:v>
                </c:pt>
                <c:pt idx="461">
                  <c:v>115.7008408178868</c:v>
                </c:pt>
                <c:pt idx="462">
                  <c:v>115.42787693920866</c:v>
                </c:pt>
                <c:pt idx="463">
                  <c:v>114.12515904057332</c:v>
                </c:pt>
                <c:pt idx="464">
                  <c:v>113.29497345215572</c:v>
                </c:pt>
                <c:pt idx="465">
                  <c:v>113.88901951563633</c:v>
                </c:pt>
                <c:pt idx="466">
                  <c:v>115.04405861815106</c:v>
                </c:pt>
                <c:pt idx="467">
                  <c:v>116.15308985396067</c:v>
                </c:pt>
                <c:pt idx="468">
                  <c:v>117.38888081043123</c:v>
                </c:pt>
                <c:pt idx="469">
                  <c:v>117.90321795433557</c:v>
                </c:pt>
                <c:pt idx="470">
                  <c:v>118.55541413745874</c:v>
                </c:pt>
                <c:pt idx="471">
                  <c:v>118.24284737818607</c:v>
                </c:pt>
                <c:pt idx="472">
                  <c:v>118.6047650530134</c:v>
                </c:pt>
                <c:pt idx="473">
                  <c:v>118.62800323283814</c:v>
                </c:pt>
                <c:pt idx="474">
                  <c:v>118.94845411458498</c:v>
                </c:pt>
                <c:pt idx="475">
                  <c:v>118.73268782939121</c:v>
                </c:pt>
                <c:pt idx="476">
                  <c:v>118.85797016097403</c:v>
                </c:pt>
                <c:pt idx="477">
                  <c:v>118.6599706026461</c:v>
                </c:pt>
                <c:pt idx="478">
                  <c:v>118.31794420831535</c:v>
                </c:pt>
                <c:pt idx="479">
                  <c:v>117.94628290354819</c:v>
                </c:pt>
                <c:pt idx="480">
                  <c:v>117.86305236519404</c:v>
                </c:pt>
                <c:pt idx="481">
                  <c:v>117.84011288439115</c:v>
                </c:pt>
                <c:pt idx="482">
                  <c:v>117.61120823620858</c:v>
                </c:pt>
                <c:pt idx="483">
                  <c:v>117.3860359159541</c:v>
                </c:pt>
                <c:pt idx="484">
                  <c:v>117.16172415461307</c:v>
                </c:pt>
                <c:pt idx="485">
                  <c:v>116.70160221660073</c:v>
                </c:pt>
                <c:pt idx="486">
                  <c:v>116.61731070181806</c:v>
                </c:pt>
                <c:pt idx="487">
                  <c:v>116.54716073147287</c:v>
                </c:pt>
                <c:pt idx="488">
                  <c:v>116.76067881592935</c:v>
                </c:pt>
                <c:pt idx="489">
                  <c:v>117.25248123940965</c:v>
                </c:pt>
                <c:pt idx="490">
                  <c:v>117.75989497228466</c:v>
                </c:pt>
                <c:pt idx="491">
                  <c:v>118.3034951029483</c:v>
                </c:pt>
                <c:pt idx="492">
                  <c:v>118.76179968125567</c:v>
                </c:pt>
                <c:pt idx="493">
                  <c:v>119.10054341144392</c:v>
                </c:pt>
                <c:pt idx="494">
                  <c:v>118.80258026538503</c:v>
                </c:pt>
                <c:pt idx="495">
                  <c:v>118.85505361568507</c:v>
                </c:pt>
                <c:pt idx="496">
                  <c:v>119.01860087967202</c:v>
                </c:pt>
                <c:pt idx="497">
                  <c:v>119.17966635500252</c:v>
                </c:pt>
                <c:pt idx="498">
                  <c:v>119.31764995689156</c:v>
                </c:pt>
                <c:pt idx="499">
                  <c:v>119.26183089575055</c:v>
                </c:pt>
                <c:pt idx="500">
                  <c:v>119.12397629177867</c:v>
                </c:pt>
                <c:pt idx="501">
                  <c:v>119.22073446883957</c:v>
                </c:pt>
                <c:pt idx="502">
                  <c:v>119.36763763615788</c:v>
                </c:pt>
                <c:pt idx="503">
                  <c:v>119.27651505823867</c:v>
                </c:pt>
                <c:pt idx="504">
                  <c:v>119.32940799684694</c:v>
                </c:pt>
                <c:pt idx="505">
                  <c:v>119.2471503483595</c:v>
                </c:pt>
                <c:pt idx="506">
                  <c:v>119.27651505823867</c:v>
                </c:pt>
                <c:pt idx="507">
                  <c:v>119.31471080894704</c:v>
                </c:pt>
                <c:pt idx="508">
                  <c:v>119.36469602503793</c:v>
                </c:pt>
                <c:pt idx="509">
                  <c:v>119.55325188201937</c:v>
                </c:pt>
                <c:pt idx="510">
                  <c:v>119.46184580476532</c:v>
                </c:pt>
                <c:pt idx="511">
                  <c:v>119.6182056157858</c:v>
                </c:pt>
                <c:pt idx="512">
                  <c:v>119.63593252155049</c:v>
                </c:pt>
                <c:pt idx="513">
                  <c:v>119.61525164221896</c:v>
                </c:pt>
                <c:pt idx="514">
                  <c:v>119.65070895706769</c:v>
                </c:pt>
                <c:pt idx="515">
                  <c:v>119.56210505529261</c:v>
                </c:pt>
                <c:pt idx="516">
                  <c:v>119.66548904316066</c:v>
                </c:pt>
                <c:pt idx="517">
                  <c:v>119.72760529958506</c:v>
                </c:pt>
                <c:pt idx="518">
                  <c:v>119.67435884765561</c:v>
                </c:pt>
                <c:pt idx="519">
                  <c:v>119.71872760078138</c:v>
                </c:pt>
                <c:pt idx="520">
                  <c:v>119.67435884765561</c:v>
                </c:pt>
                <c:pt idx="521">
                  <c:v>119.65662055336001</c:v>
                </c:pt>
                <c:pt idx="522">
                  <c:v>119.62706841195391</c:v>
                </c:pt>
                <c:pt idx="523">
                  <c:v>119.56505640443369</c:v>
                </c:pt>
                <c:pt idx="524">
                  <c:v>119.5031086548903</c:v>
                </c:pt>
                <c:pt idx="525">
                  <c:v>119.45889954867224</c:v>
                </c:pt>
                <c:pt idx="526">
                  <c:v>119.38823297429232</c:v>
                </c:pt>
                <c:pt idx="527">
                  <c:v>119.08883042804842</c:v>
                </c:pt>
                <c:pt idx="528">
                  <c:v>117.81145108722123</c:v>
                </c:pt>
                <c:pt idx="529">
                  <c:v>116.44349352116771</c:v>
                </c:pt>
                <c:pt idx="530">
                  <c:v>115.79488405450665</c:v>
                </c:pt>
                <c:pt idx="531">
                  <c:v>115.90017228177675</c:v>
                </c:pt>
                <c:pt idx="532">
                  <c:v>115.86690268873825</c:v>
                </c:pt>
                <c:pt idx="533">
                  <c:v>116.35957431474799</c:v>
                </c:pt>
                <c:pt idx="534">
                  <c:v>117.26383576235931</c:v>
                </c:pt>
              </c:numCache>
            </c:numRef>
          </c:val>
          <c:smooth val="0"/>
          <c:extLst>
            <c:ext xmlns:c16="http://schemas.microsoft.com/office/drawing/2014/chart" uri="{C3380CC4-5D6E-409C-BE32-E72D297353CC}">
              <c16:uniqueId val="{00000001-EF82-4DBE-A133-804C43A29F89}"/>
            </c:ext>
          </c:extLst>
        </c:ser>
        <c:ser>
          <c:idx val="3"/>
          <c:order val="2"/>
          <c:tx>
            <c:strRef>
              <c:f>Sheet1!$D$1</c:f>
              <c:strCache>
                <c:ptCount val="1"/>
                <c:pt idx="0">
                  <c:v>Ռուսական ռուբլի</c:v>
                </c:pt>
              </c:strCache>
            </c:strRef>
          </c:tx>
          <c:spPr>
            <a:ln w="28575" cap="rnd">
              <a:solidFill>
                <a:srgbClr val="C00000"/>
              </a:solidFill>
              <a:round/>
            </a:ln>
            <a:effectLst/>
          </c:spPr>
          <c:marker>
            <c:symbol val="picture"/>
            <c:spPr>
              <a:ln w="6350">
                <a:noFill/>
              </a:ln>
            </c:spPr>
          </c:marker>
          <c:cat>
            <c:numRef>
              <c:f>Sheet1!$A$2:$A$542</c:f>
              <c:numCache>
                <c:formatCode>m\/d\/yyyy</c:formatCode>
                <c:ptCount val="541"/>
                <c:pt idx="0">
                  <c:v>43840</c:v>
                </c:pt>
                <c:pt idx="1">
                  <c:v>43844</c:v>
                </c:pt>
                <c:pt idx="2">
                  <c:v>43845</c:v>
                </c:pt>
                <c:pt idx="3">
                  <c:v>43846</c:v>
                </c:pt>
                <c:pt idx="4">
                  <c:v>43847</c:v>
                </c:pt>
                <c:pt idx="5">
                  <c:v>43851</c:v>
                </c:pt>
                <c:pt idx="6">
                  <c:v>43852</c:v>
                </c:pt>
                <c:pt idx="7">
                  <c:v>43853</c:v>
                </c:pt>
                <c:pt idx="8">
                  <c:v>43854</c:v>
                </c:pt>
                <c:pt idx="9">
                  <c:v>43859</c:v>
                </c:pt>
                <c:pt idx="10">
                  <c:v>43860</c:v>
                </c:pt>
                <c:pt idx="11">
                  <c:v>43861</c:v>
                </c:pt>
                <c:pt idx="12">
                  <c:v>43865</c:v>
                </c:pt>
                <c:pt idx="13">
                  <c:v>43866</c:v>
                </c:pt>
                <c:pt idx="14">
                  <c:v>43867</c:v>
                </c:pt>
                <c:pt idx="15">
                  <c:v>43868</c:v>
                </c:pt>
                <c:pt idx="16">
                  <c:v>43872</c:v>
                </c:pt>
                <c:pt idx="17">
                  <c:v>43873</c:v>
                </c:pt>
                <c:pt idx="18">
                  <c:v>43874</c:v>
                </c:pt>
                <c:pt idx="19">
                  <c:v>43875</c:v>
                </c:pt>
                <c:pt idx="20">
                  <c:v>43879</c:v>
                </c:pt>
                <c:pt idx="21">
                  <c:v>43880</c:v>
                </c:pt>
                <c:pt idx="22">
                  <c:v>43881</c:v>
                </c:pt>
                <c:pt idx="23">
                  <c:v>43882</c:v>
                </c:pt>
                <c:pt idx="24">
                  <c:v>43887</c:v>
                </c:pt>
                <c:pt idx="25">
                  <c:v>43888</c:v>
                </c:pt>
                <c:pt idx="26">
                  <c:v>43889</c:v>
                </c:pt>
                <c:pt idx="27">
                  <c:v>43893</c:v>
                </c:pt>
                <c:pt idx="28">
                  <c:v>43894</c:v>
                </c:pt>
                <c:pt idx="29">
                  <c:v>43895</c:v>
                </c:pt>
                <c:pt idx="30">
                  <c:v>43896</c:v>
                </c:pt>
                <c:pt idx="31">
                  <c:v>43901</c:v>
                </c:pt>
                <c:pt idx="32">
                  <c:v>43902</c:v>
                </c:pt>
                <c:pt idx="33">
                  <c:v>43903</c:v>
                </c:pt>
                <c:pt idx="34">
                  <c:v>43907</c:v>
                </c:pt>
                <c:pt idx="35">
                  <c:v>43908</c:v>
                </c:pt>
                <c:pt idx="36">
                  <c:v>43909</c:v>
                </c:pt>
                <c:pt idx="37">
                  <c:v>43910</c:v>
                </c:pt>
                <c:pt idx="38">
                  <c:v>43914</c:v>
                </c:pt>
                <c:pt idx="39">
                  <c:v>43915</c:v>
                </c:pt>
                <c:pt idx="40">
                  <c:v>43916</c:v>
                </c:pt>
                <c:pt idx="41">
                  <c:v>43917</c:v>
                </c:pt>
                <c:pt idx="42">
                  <c:v>43928</c:v>
                </c:pt>
                <c:pt idx="43">
                  <c:v>43929</c:v>
                </c:pt>
                <c:pt idx="44">
                  <c:v>43930</c:v>
                </c:pt>
                <c:pt idx="45">
                  <c:v>43931</c:v>
                </c:pt>
                <c:pt idx="46">
                  <c:v>43935</c:v>
                </c:pt>
                <c:pt idx="47">
                  <c:v>43936</c:v>
                </c:pt>
                <c:pt idx="48">
                  <c:v>43937</c:v>
                </c:pt>
                <c:pt idx="49">
                  <c:v>43938</c:v>
                </c:pt>
                <c:pt idx="50">
                  <c:v>43942</c:v>
                </c:pt>
                <c:pt idx="51">
                  <c:v>43943</c:v>
                </c:pt>
                <c:pt idx="52">
                  <c:v>43944</c:v>
                </c:pt>
                <c:pt idx="53">
                  <c:v>43949</c:v>
                </c:pt>
                <c:pt idx="54">
                  <c:v>43950</c:v>
                </c:pt>
                <c:pt idx="55">
                  <c:v>43951</c:v>
                </c:pt>
                <c:pt idx="56">
                  <c:v>43958</c:v>
                </c:pt>
                <c:pt idx="57">
                  <c:v>43959</c:v>
                </c:pt>
                <c:pt idx="58">
                  <c:v>43964</c:v>
                </c:pt>
                <c:pt idx="59">
                  <c:v>43965</c:v>
                </c:pt>
                <c:pt idx="60">
                  <c:v>43966</c:v>
                </c:pt>
                <c:pt idx="61">
                  <c:v>43970</c:v>
                </c:pt>
                <c:pt idx="62">
                  <c:v>43971</c:v>
                </c:pt>
                <c:pt idx="63">
                  <c:v>43972</c:v>
                </c:pt>
                <c:pt idx="64">
                  <c:v>43973</c:v>
                </c:pt>
                <c:pt idx="65">
                  <c:v>43977</c:v>
                </c:pt>
                <c:pt idx="66">
                  <c:v>43978</c:v>
                </c:pt>
                <c:pt idx="67">
                  <c:v>43984</c:v>
                </c:pt>
                <c:pt idx="68">
                  <c:v>43985</c:v>
                </c:pt>
                <c:pt idx="69">
                  <c:v>43986</c:v>
                </c:pt>
                <c:pt idx="70">
                  <c:v>43987</c:v>
                </c:pt>
                <c:pt idx="71">
                  <c:v>43991</c:v>
                </c:pt>
                <c:pt idx="72">
                  <c:v>43992</c:v>
                </c:pt>
                <c:pt idx="73">
                  <c:v>43993</c:v>
                </c:pt>
                <c:pt idx="74">
                  <c:v>43994</c:v>
                </c:pt>
                <c:pt idx="75">
                  <c:v>43998</c:v>
                </c:pt>
                <c:pt idx="76">
                  <c:v>43999</c:v>
                </c:pt>
                <c:pt idx="77">
                  <c:v>44000</c:v>
                </c:pt>
                <c:pt idx="78">
                  <c:v>44001</c:v>
                </c:pt>
                <c:pt idx="79">
                  <c:v>44005</c:v>
                </c:pt>
                <c:pt idx="80">
                  <c:v>44006</c:v>
                </c:pt>
                <c:pt idx="81">
                  <c:v>44007</c:v>
                </c:pt>
                <c:pt idx="82">
                  <c:v>44008</c:v>
                </c:pt>
                <c:pt idx="83">
                  <c:v>44012</c:v>
                </c:pt>
                <c:pt idx="84">
                  <c:v>44013</c:v>
                </c:pt>
                <c:pt idx="85">
                  <c:v>44014</c:v>
                </c:pt>
                <c:pt idx="86">
                  <c:v>44015</c:v>
                </c:pt>
                <c:pt idx="87">
                  <c:v>44019</c:v>
                </c:pt>
                <c:pt idx="88">
                  <c:v>44020</c:v>
                </c:pt>
                <c:pt idx="89">
                  <c:v>44021</c:v>
                </c:pt>
                <c:pt idx="90">
                  <c:v>44022</c:v>
                </c:pt>
                <c:pt idx="91">
                  <c:v>44026</c:v>
                </c:pt>
                <c:pt idx="92">
                  <c:v>44027</c:v>
                </c:pt>
                <c:pt idx="93">
                  <c:v>44028</c:v>
                </c:pt>
                <c:pt idx="94">
                  <c:v>44029</c:v>
                </c:pt>
                <c:pt idx="95">
                  <c:v>44033</c:v>
                </c:pt>
                <c:pt idx="96">
                  <c:v>44034</c:v>
                </c:pt>
                <c:pt idx="97">
                  <c:v>44035</c:v>
                </c:pt>
                <c:pt idx="98">
                  <c:v>44036</c:v>
                </c:pt>
                <c:pt idx="99">
                  <c:v>44040</c:v>
                </c:pt>
                <c:pt idx="100">
                  <c:v>44041</c:v>
                </c:pt>
                <c:pt idx="101">
                  <c:v>44042</c:v>
                </c:pt>
                <c:pt idx="102">
                  <c:v>44043</c:v>
                </c:pt>
                <c:pt idx="103">
                  <c:v>44047</c:v>
                </c:pt>
                <c:pt idx="104">
                  <c:v>44048</c:v>
                </c:pt>
                <c:pt idx="105">
                  <c:v>44049</c:v>
                </c:pt>
                <c:pt idx="106">
                  <c:v>44050</c:v>
                </c:pt>
                <c:pt idx="107">
                  <c:v>44054</c:v>
                </c:pt>
                <c:pt idx="108">
                  <c:v>44055</c:v>
                </c:pt>
                <c:pt idx="109">
                  <c:v>44056</c:v>
                </c:pt>
                <c:pt idx="110">
                  <c:v>44057</c:v>
                </c:pt>
                <c:pt idx="111">
                  <c:v>44061</c:v>
                </c:pt>
                <c:pt idx="112">
                  <c:v>44062</c:v>
                </c:pt>
                <c:pt idx="113">
                  <c:v>44063</c:v>
                </c:pt>
                <c:pt idx="114">
                  <c:v>44064</c:v>
                </c:pt>
                <c:pt idx="115">
                  <c:v>44068</c:v>
                </c:pt>
                <c:pt idx="116">
                  <c:v>44069</c:v>
                </c:pt>
                <c:pt idx="117">
                  <c:v>44070</c:v>
                </c:pt>
                <c:pt idx="118">
                  <c:v>44071</c:v>
                </c:pt>
                <c:pt idx="119">
                  <c:v>44075</c:v>
                </c:pt>
                <c:pt idx="120">
                  <c:v>44076</c:v>
                </c:pt>
                <c:pt idx="121">
                  <c:v>44077</c:v>
                </c:pt>
                <c:pt idx="122">
                  <c:v>44078</c:v>
                </c:pt>
                <c:pt idx="123">
                  <c:v>44082</c:v>
                </c:pt>
                <c:pt idx="124">
                  <c:v>44083</c:v>
                </c:pt>
                <c:pt idx="125">
                  <c:v>44084</c:v>
                </c:pt>
                <c:pt idx="126">
                  <c:v>44085</c:v>
                </c:pt>
                <c:pt idx="127">
                  <c:v>44089</c:v>
                </c:pt>
                <c:pt idx="128">
                  <c:v>44090</c:v>
                </c:pt>
                <c:pt idx="129">
                  <c:v>44091</c:v>
                </c:pt>
                <c:pt idx="130">
                  <c:v>44092</c:v>
                </c:pt>
                <c:pt idx="131">
                  <c:v>44096</c:v>
                </c:pt>
                <c:pt idx="132">
                  <c:v>44097</c:v>
                </c:pt>
                <c:pt idx="133">
                  <c:v>44098</c:v>
                </c:pt>
                <c:pt idx="134">
                  <c:v>44099</c:v>
                </c:pt>
                <c:pt idx="135">
                  <c:v>44103</c:v>
                </c:pt>
                <c:pt idx="136">
                  <c:v>44104</c:v>
                </c:pt>
                <c:pt idx="137">
                  <c:v>44105</c:v>
                </c:pt>
                <c:pt idx="138">
                  <c:v>44106</c:v>
                </c:pt>
                <c:pt idx="139">
                  <c:v>44110</c:v>
                </c:pt>
                <c:pt idx="140">
                  <c:v>44111</c:v>
                </c:pt>
                <c:pt idx="141">
                  <c:v>44112</c:v>
                </c:pt>
                <c:pt idx="142">
                  <c:v>44113</c:v>
                </c:pt>
                <c:pt idx="143">
                  <c:v>44117</c:v>
                </c:pt>
                <c:pt idx="144">
                  <c:v>44118</c:v>
                </c:pt>
                <c:pt idx="145">
                  <c:v>44119</c:v>
                </c:pt>
                <c:pt idx="146">
                  <c:v>44120</c:v>
                </c:pt>
                <c:pt idx="147">
                  <c:v>44124</c:v>
                </c:pt>
                <c:pt idx="148">
                  <c:v>44125</c:v>
                </c:pt>
                <c:pt idx="149">
                  <c:v>44126</c:v>
                </c:pt>
                <c:pt idx="150">
                  <c:v>44127</c:v>
                </c:pt>
                <c:pt idx="151">
                  <c:v>44131</c:v>
                </c:pt>
                <c:pt idx="152">
                  <c:v>44132</c:v>
                </c:pt>
                <c:pt idx="153">
                  <c:v>44133</c:v>
                </c:pt>
                <c:pt idx="154">
                  <c:v>44134</c:v>
                </c:pt>
                <c:pt idx="155">
                  <c:v>44138</c:v>
                </c:pt>
                <c:pt idx="156">
                  <c:v>44139</c:v>
                </c:pt>
                <c:pt idx="157">
                  <c:v>44141</c:v>
                </c:pt>
                <c:pt idx="158">
                  <c:v>44145</c:v>
                </c:pt>
                <c:pt idx="159">
                  <c:v>44146</c:v>
                </c:pt>
                <c:pt idx="160">
                  <c:v>44147</c:v>
                </c:pt>
                <c:pt idx="161">
                  <c:v>44148</c:v>
                </c:pt>
                <c:pt idx="162">
                  <c:v>44152</c:v>
                </c:pt>
                <c:pt idx="163">
                  <c:v>44153</c:v>
                </c:pt>
                <c:pt idx="164">
                  <c:v>44154</c:v>
                </c:pt>
                <c:pt idx="165">
                  <c:v>44155</c:v>
                </c:pt>
                <c:pt idx="166">
                  <c:v>44159</c:v>
                </c:pt>
                <c:pt idx="167">
                  <c:v>44160</c:v>
                </c:pt>
                <c:pt idx="168">
                  <c:v>44161</c:v>
                </c:pt>
                <c:pt idx="169">
                  <c:v>44162</c:v>
                </c:pt>
                <c:pt idx="170">
                  <c:v>44166</c:v>
                </c:pt>
                <c:pt idx="171">
                  <c:v>44167</c:v>
                </c:pt>
                <c:pt idx="172">
                  <c:v>44168</c:v>
                </c:pt>
                <c:pt idx="173">
                  <c:v>44169</c:v>
                </c:pt>
                <c:pt idx="174">
                  <c:v>44173</c:v>
                </c:pt>
                <c:pt idx="175">
                  <c:v>44174</c:v>
                </c:pt>
                <c:pt idx="176">
                  <c:v>44175</c:v>
                </c:pt>
                <c:pt idx="177">
                  <c:v>44176</c:v>
                </c:pt>
                <c:pt idx="178">
                  <c:v>44180</c:v>
                </c:pt>
                <c:pt idx="179">
                  <c:v>44181</c:v>
                </c:pt>
                <c:pt idx="180">
                  <c:v>44182</c:v>
                </c:pt>
                <c:pt idx="181">
                  <c:v>44183</c:v>
                </c:pt>
                <c:pt idx="182">
                  <c:v>44187</c:v>
                </c:pt>
                <c:pt idx="183">
                  <c:v>44188</c:v>
                </c:pt>
                <c:pt idx="184">
                  <c:v>44189</c:v>
                </c:pt>
                <c:pt idx="185">
                  <c:v>44190</c:v>
                </c:pt>
                <c:pt idx="186">
                  <c:v>44194</c:v>
                </c:pt>
                <c:pt idx="187">
                  <c:v>44195</c:v>
                </c:pt>
                <c:pt idx="188">
                  <c:v>44208</c:v>
                </c:pt>
                <c:pt idx="189">
                  <c:v>44209</c:v>
                </c:pt>
                <c:pt idx="190">
                  <c:v>44210</c:v>
                </c:pt>
                <c:pt idx="191">
                  <c:v>44211</c:v>
                </c:pt>
                <c:pt idx="192">
                  <c:v>44215</c:v>
                </c:pt>
                <c:pt idx="193">
                  <c:v>44216</c:v>
                </c:pt>
                <c:pt idx="194">
                  <c:v>44217</c:v>
                </c:pt>
                <c:pt idx="195">
                  <c:v>44218</c:v>
                </c:pt>
                <c:pt idx="196">
                  <c:v>44222</c:v>
                </c:pt>
                <c:pt idx="197">
                  <c:v>44223</c:v>
                </c:pt>
                <c:pt idx="198">
                  <c:v>44225</c:v>
                </c:pt>
                <c:pt idx="199">
                  <c:v>44229</c:v>
                </c:pt>
                <c:pt idx="200">
                  <c:v>44230</c:v>
                </c:pt>
                <c:pt idx="201">
                  <c:v>44231</c:v>
                </c:pt>
                <c:pt idx="202">
                  <c:v>44232</c:v>
                </c:pt>
                <c:pt idx="203">
                  <c:v>44236</c:v>
                </c:pt>
                <c:pt idx="204">
                  <c:v>44237</c:v>
                </c:pt>
                <c:pt idx="205">
                  <c:v>44238</c:v>
                </c:pt>
                <c:pt idx="206">
                  <c:v>44239</c:v>
                </c:pt>
                <c:pt idx="207">
                  <c:v>44243</c:v>
                </c:pt>
                <c:pt idx="208">
                  <c:v>44244</c:v>
                </c:pt>
                <c:pt idx="209">
                  <c:v>44245</c:v>
                </c:pt>
                <c:pt idx="210">
                  <c:v>44246</c:v>
                </c:pt>
                <c:pt idx="211">
                  <c:v>44252</c:v>
                </c:pt>
                <c:pt idx="212">
                  <c:v>44253</c:v>
                </c:pt>
                <c:pt idx="213">
                  <c:v>44257</c:v>
                </c:pt>
                <c:pt idx="214">
                  <c:v>44258</c:v>
                </c:pt>
                <c:pt idx="215">
                  <c:v>44259</c:v>
                </c:pt>
                <c:pt idx="216">
                  <c:v>44260</c:v>
                </c:pt>
                <c:pt idx="217">
                  <c:v>44265</c:v>
                </c:pt>
                <c:pt idx="218">
                  <c:v>44266</c:v>
                </c:pt>
                <c:pt idx="219">
                  <c:v>44267</c:v>
                </c:pt>
                <c:pt idx="220">
                  <c:v>44271</c:v>
                </c:pt>
                <c:pt idx="221">
                  <c:v>44272</c:v>
                </c:pt>
                <c:pt idx="222">
                  <c:v>44273</c:v>
                </c:pt>
                <c:pt idx="223">
                  <c:v>44274</c:v>
                </c:pt>
                <c:pt idx="224">
                  <c:v>44278</c:v>
                </c:pt>
                <c:pt idx="225">
                  <c:v>44279</c:v>
                </c:pt>
                <c:pt idx="226">
                  <c:v>44280</c:v>
                </c:pt>
                <c:pt idx="227">
                  <c:v>44281</c:v>
                </c:pt>
                <c:pt idx="228">
                  <c:v>44285</c:v>
                </c:pt>
                <c:pt idx="229">
                  <c:v>44286</c:v>
                </c:pt>
                <c:pt idx="230">
                  <c:v>44287</c:v>
                </c:pt>
                <c:pt idx="231">
                  <c:v>44288</c:v>
                </c:pt>
                <c:pt idx="232">
                  <c:v>44292</c:v>
                </c:pt>
                <c:pt idx="233">
                  <c:v>44293</c:v>
                </c:pt>
                <c:pt idx="234">
                  <c:v>44294</c:v>
                </c:pt>
                <c:pt idx="235">
                  <c:v>44295</c:v>
                </c:pt>
                <c:pt idx="236">
                  <c:v>44299</c:v>
                </c:pt>
                <c:pt idx="237">
                  <c:v>44300</c:v>
                </c:pt>
                <c:pt idx="238">
                  <c:v>44301</c:v>
                </c:pt>
                <c:pt idx="239">
                  <c:v>44302</c:v>
                </c:pt>
                <c:pt idx="240">
                  <c:v>44306</c:v>
                </c:pt>
                <c:pt idx="241">
                  <c:v>44307</c:v>
                </c:pt>
                <c:pt idx="242">
                  <c:v>44308</c:v>
                </c:pt>
                <c:pt idx="243">
                  <c:v>44309</c:v>
                </c:pt>
                <c:pt idx="244">
                  <c:v>44313</c:v>
                </c:pt>
                <c:pt idx="245">
                  <c:v>44314</c:v>
                </c:pt>
                <c:pt idx="246">
                  <c:v>44315</c:v>
                </c:pt>
                <c:pt idx="247">
                  <c:v>44316</c:v>
                </c:pt>
                <c:pt idx="248">
                  <c:v>44321</c:v>
                </c:pt>
                <c:pt idx="249">
                  <c:v>44322</c:v>
                </c:pt>
                <c:pt idx="250">
                  <c:v>44323</c:v>
                </c:pt>
                <c:pt idx="251">
                  <c:v>44328</c:v>
                </c:pt>
                <c:pt idx="252">
                  <c:v>44329</c:v>
                </c:pt>
                <c:pt idx="253">
                  <c:v>44330</c:v>
                </c:pt>
                <c:pt idx="254">
                  <c:v>44334</c:v>
                </c:pt>
                <c:pt idx="255">
                  <c:v>44335</c:v>
                </c:pt>
                <c:pt idx="256">
                  <c:v>44336</c:v>
                </c:pt>
                <c:pt idx="257">
                  <c:v>44337</c:v>
                </c:pt>
                <c:pt idx="258">
                  <c:v>44341</c:v>
                </c:pt>
                <c:pt idx="259">
                  <c:v>44342</c:v>
                </c:pt>
                <c:pt idx="260">
                  <c:v>44343</c:v>
                </c:pt>
                <c:pt idx="261">
                  <c:v>44348</c:v>
                </c:pt>
                <c:pt idx="262">
                  <c:v>44349</c:v>
                </c:pt>
                <c:pt idx="263">
                  <c:v>44350</c:v>
                </c:pt>
                <c:pt idx="264">
                  <c:v>44351</c:v>
                </c:pt>
                <c:pt idx="265">
                  <c:v>44355</c:v>
                </c:pt>
                <c:pt idx="266">
                  <c:v>44356</c:v>
                </c:pt>
                <c:pt idx="267">
                  <c:v>44357</c:v>
                </c:pt>
                <c:pt idx="268">
                  <c:v>44358</c:v>
                </c:pt>
                <c:pt idx="269">
                  <c:v>44363</c:v>
                </c:pt>
                <c:pt idx="270">
                  <c:v>44364</c:v>
                </c:pt>
                <c:pt idx="271">
                  <c:v>44365</c:v>
                </c:pt>
                <c:pt idx="272">
                  <c:v>44369</c:v>
                </c:pt>
                <c:pt idx="273">
                  <c:v>44370</c:v>
                </c:pt>
                <c:pt idx="274">
                  <c:v>44371</c:v>
                </c:pt>
                <c:pt idx="275">
                  <c:v>44372</c:v>
                </c:pt>
                <c:pt idx="276">
                  <c:v>44376</c:v>
                </c:pt>
                <c:pt idx="277">
                  <c:v>44377</c:v>
                </c:pt>
                <c:pt idx="278">
                  <c:v>44378</c:v>
                </c:pt>
                <c:pt idx="279">
                  <c:v>44379</c:v>
                </c:pt>
                <c:pt idx="280">
                  <c:v>44383</c:v>
                </c:pt>
                <c:pt idx="281">
                  <c:v>44384</c:v>
                </c:pt>
                <c:pt idx="282">
                  <c:v>44385</c:v>
                </c:pt>
                <c:pt idx="283">
                  <c:v>44386</c:v>
                </c:pt>
                <c:pt idx="284">
                  <c:v>44390</c:v>
                </c:pt>
                <c:pt idx="285">
                  <c:v>44391</c:v>
                </c:pt>
                <c:pt idx="286">
                  <c:v>44392</c:v>
                </c:pt>
                <c:pt idx="287">
                  <c:v>44393</c:v>
                </c:pt>
                <c:pt idx="288">
                  <c:v>44397</c:v>
                </c:pt>
                <c:pt idx="289">
                  <c:v>44398</c:v>
                </c:pt>
                <c:pt idx="290">
                  <c:v>44399</c:v>
                </c:pt>
                <c:pt idx="291">
                  <c:v>44400</c:v>
                </c:pt>
                <c:pt idx="292">
                  <c:v>44404</c:v>
                </c:pt>
                <c:pt idx="293">
                  <c:v>44405</c:v>
                </c:pt>
                <c:pt idx="294">
                  <c:v>44406</c:v>
                </c:pt>
                <c:pt idx="295">
                  <c:v>44407</c:v>
                </c:pt>
                <c:pt idx="296">
                  <c:v>44411</c:v>
                </c:pt>
                <c:pt idx="297">
                  <c:v>44412</c:v>
                </c:pt>
                <c:pt idx="298">
                  <c:v>44413</c:v>
                </c:pt>
                <c:pt idx="299">
                  <c:v>44414</c:v>
                </c:pt>
                <c:pt idx="300">
                  <c:v>44418</c:v>
                </c:pt>
                <c:pt idx="301">
                  <c:v>44419</c:v>
                </c:pt>
                <c:pt idx="302">
                  <c:v>44420</c:v>
                </c:pt>
                <c:pt idx="303">
                  <c:v>44421</c:v>
                </c:pt>
                <c:pt idx="304">
                  <c:v>44425</c:v>
                </c:pt>
                <c:pt idx="305">
                  <c:v>44426</c:v>
                </c:pt>
                <c:pt idx="306">
                  <c:v>44427</c:v>
                </c:pt>
                <c:pt idx="307">
                  <c:v>44428</c:v>
                </c:pt>
                <c:pt idx="308">
                  <c:v>44432</c:v>
                </c:pt>
                <c:pt idx="309">
                  <c:v>44433</c:v>
                </c:pt>
                <c:pt idx="310">
                  <c:v>44434</c:v>
                </c:pt>
                <c:pt idx="311">
                  <c:v>44435</c:v>
                </c:pt>
                <c:pt idx="312">
                  <c:v>44439</c:v>
                </c:pt>
                <c:pt idx="313">
                  <c:v>44440</c:v>
                </c:pt>
                <c:pt idx="314">
                  <c:v>44441</c:v>
                </c:pt>
                <c:pt idx="315">
                  <c:v>44442</c:v>
                </c:pt>
                <c:pt idx="316">
                  <c:v>44446</c:v>
                </c:pt>
                <c:pt idx="317">
                  <c:v>44447</c:v>
                </c:pt>
                <c:pt idx="318">
                  <c:v>44448</c:v>
                </c:pt>
                <c:pt idx="319">
                  <c:v>44449</c:v>
                </c:pt>
                <c:pt idx="320">
                  <c:v>44453</c:v>
                </c:pt>
                <c:pt idx="321">
                  <c:v>44454</c:v>
                </c:pt>
                <c:pt idx="322">
                  <c:v>44455</c:v>
                </c:pt>
                <c:pt idx="323">
                  <c:v>44456</c:v>
                </c:pt>
                <c:pt idx="324">
                  <c:v>44461</c:v>
                </c:pt>
                <c:pt idx="325">
                  <c:v>44462</c:v>
                </c:pt>
                <c:pt idx="326">
                  <c:v>44463</c:v>
                </c:pt>
                <c:pt idx="327">
                  <c:v>44467</c:v>
                </c:pt>
                <c:pt idx="328">
                  <c:v>44468</c:v>
                </c:pt>
                <c:pt idx="329">
                  <c:v>44469</c:v>
                </c:pt>
                <c:pt idx="330">
                  <c:v>44470</c:v>
                </c:pt>
                <c:pt idx="331">
                  <c:v>44474</c:v>
                </c:pt>
                <c:pt idx="332">
                  <c:v>44475</c:v>
                </c:pt>
                <c:pt idx="333">
                  <c:v>44476</c:v>
                </c:pt>
                <c:pt idx="334">
                  <c:v>44477</c:v>
                </c:pt>
                <c:pt idx="335">
                  <c:v>44481</c:v>
                </c:pt>
                <c:pt idx="336">
                  <c:v>44482</c:v>
                </c:pt>
                <c:pt idx="337">
                  <c:v>44483</c:v>
                </c:pt>
                <c:pt idx="338">
                  <c:v>44484</c:v>
                </c:pt>
                <c:pt idx="339">
                  <c:v>44488</c:v>
                </c:pt>
                <c:pt idx="340">
                  <c:v>44489</c:v>
                </c:pt>
                <c:pt idx="341">
                  <c:v>44490</c:v>
                </c:pt>
                <c:pt idx="342">
                  <c:v>44491</c:v>
                </c:pt>
                <c:pt idx="343">
                  <c:v>44495</c:v>
                </c:pt>
                <c:pt idx="344">
                  <c:v>44496</c:v>
                </c:pt>
                <c:pt idx="345">
                  <c:v>44497</c:v>
                </c:pt>
                <c:pt idx="346">
                  <c:v>44498</c:v>
                </c:pt>
                <c:pt idx="347">
                  <c:v>44502</c:v>
                </c:pt>
                <c:pt idx="348">
                  <c:v>44503</c:v>
                </c:pt>
                <c:pt idx="349">
                  <c:v>44504</c:v>
                </c:pt>
                <c:pt idx="350">
                  <c:v>44509</c:v>
                </c:pt>
                <c:pt idx="351">
                  <c:v>44510</c:v>
                </c:pt>
                <c:pt idx="352">
                  <c:v>44511</c:v>
                </c:pt>
                <c:pt idx="353">
                  <c:v>44512</c:v>
                </c:pt>
                <c:pt idx="354">
                  <c:v>44516</c:v>
                </c:pt>
                <c:pt idx="355">
                  <c:v>44517</c:v>
                </c:pt>
                <c:pt idx="356">
                  <c:v>44518</c:v>
                </c:pt>
                <c:pt idx="357">
                  <c:v>44519</c:v>
                </c:pt>
                <c:pt idx="358">
                  <c:v>44523</c:v>
                </c:pt>
                <c:pt idx="359">
                  <c:v>44524</c:v>
                </c:pt>
                <c:pt idx="360">
                  <c:v>44525</c:v>
                </c:pt>
                <c:pt idx="361">
                  <c:v>44526</c:v>
                </c:pt>
                <c:pt idx="362">
                  <c:v>44530</c:v>
                </c:pt>
                <c:pt idx="363">
                  <c:v>44531</c:v>
                </c:pt>
                <c:pt idx="364">
                  <c:v>44532</c:v>
                </c:pt>
                <c:pt idx="365">
                  <c:v>44533</c:v>
                </c:pt>
                <c:pt idx="366">
                  <c:v>44537</c:v>
                </c:pt>
                <c:pt idx="367">
                  <c:v>44538</c:v>
                </c:pt>
                <c:pt idx="368">
                  <c:v>44539</c:v>
                </c:pt>
                <c:pt idx="369">
                  <c:v>44540</c:v>
                </c:pt>
                <c:pt idx="370">
                  <c:v>44544</c:v>
                </c:pt>
                <c:pt idx="371">
                  <c:v>44545</c:v>
                </c:pt>
                <c:pt idx="372">
                  <c:v>44546</c:v>
                </c:pt>
                <c:pt idx="373">
                  <c:v>44547</c:v>
                </c:pt>
                <c:pt idx="374">
                  <c:v>44551</c:v>
                </c:pt>
                <c:pt idx="375">
                  <c:v>44552</c:v>
                </c:pt>
                <c:pt idx="376">
                  <c:v>44553</c:v>
                </c:pt>
                <c:pt idx="377">
                  <c:v>44558</c:v>
                </c:pt>
                <c:pt idx="378">
                  <c:v>44559</c:v>
                </c:pt>
                <c:pt idx="379">
                  <c:v>44560</c:v>
                </c:pt>
                <c:pt idx="380">
                  <c:v>44572</c:v>
                </c:pt>
                <c:pt idx="381">
                  <c:v>44573</c:v>
                </c:pt>
                <c:pt idx="382">
                  <c:v>44574</c:v>
                </c:pt>
                <c:pt idx="383">
                  <c:v>44575</c:v>
                </c:pt>
                <c:pt idx="384">
                  <c:v>44579</c:v>
                </c:pt>
                <c:pt idx="385">
                  <c:v>44580</c:v>
                </c:pt>
                <c:pt idx="386">
                  <c:v>44581</c:v>
                </c:pt>
                <c:pt idx="387">
                  <c:v>44582</c:v>
                </c:pt>
                <c:pt idx="388">
                  <c:v>44586</c:v>
                </c:pt>
                <c:pt idx="389">
                  <c:v>44587</c:v>
                </c:pt>
                <c:pt idx="390">
                  <c:v>44588</c:v>
                </c:pt>
                <c:pt idx="391">
                  <c:v>44593</c:v>
                </c:pt>
                <c:pt idx="392">
                  <c:v>44594</c:v>
                </c:pt>
                <c:pt idx="393">
                  <c:v>44595</c:v>
                </c:pt>
                <c:pt idx="394">
                  <c:v>44596</c:v>
                </c:pt>
                <c:pt idx="395">
                  <c:v>44600</c:v>
                </c:pt>
                <c:pt idx="396">
                  <c:v>44601</c:v>
                </c:pt>
                <c:pt idx="397">
                  <c:v>44602</c:v>
                </c:pt>
                <c:pt idx="398">
                  <c:v>44603</c:v>
                </c:pt>
                <c:pt idx="399">
                  <c:v>44607</c:v>
                </c:pt>
                <c:pt idx="400">
                  <c:v>44608</c:v>
                </c:pt>
                <c:pt idx="401">
                  <c:v>44609</c:v>
                </c:pt>
                <c:pt idx="402">
                  <c:v>44610</c:v>
                </c:pt>
                <c:pt idx="403">
                  <c:v>44614</c:v>
                </c:pt>
                <c:pt idx="404">
                  <c:v>44615</c:v>
                </c:pt>
                <c:pt idx="405">
                  <c:v>44617</c:v>
                </c:pt>
                <c:pt idx="406">
                  <c:v>44621</c:v>
                </c:pt>
                <c:pt idx="407">
                  <c:v>44622</c:v>
                </c:pt>
                <c:pt idx="408">
                  <c:v>44623</c:v>
                </c:pt>
                <c:pt idx="409">
                  <c:v>44624</c:v>
                </c:pt>
                <c:pt idx="410">
                  <c:v>44630</c:v>
                </c:pt>
                <c:pt idx="411">
                  <c:v>44631</c:v>
                </c:pt>
                <c:pt idx="412">
                  <c:v>44635</c:v>
                </c:pt>
                <c:pt idx="413">
                  <c:v>44636</c:v>
                </c:pt>
                <c:pt idx="414">
                  <c:v>44637</c:v>
                </c:pt>
                <c:pt idx="415">
                  <c:v>44638</c:v>
                </c:pt>
                <c:pt idx="416">
                  <c:v>44642</c:v>
                </c:pt>
                <c:pt idx="417">
                  <c:v>44643</c:v>
                </c:pt>
                <c:pt idx="418">
                  <c:v>44644</c:v>
                </c:pt>
                <c:pt idx="419">
                  <c:v>44645</c:v>
                </c:pt>
                <c:pt idx="420">
                  <c:v>44649</c:v>
                </c:pt>
                <c:pt idx="421">
                  <c:v>44650</c:v>
                </c:pt>
                <c:pt idx="422">
                  <c:v>44651</c:v>
                </c:pt>
                <c:pt idx="423">
                  <c:v>44652</c:v>
                </c:pt>
                <c:pt idx="424">
                  <c:v>44656</c:v>
                </c:pt>
                <c:pt idx="425">
                  <c:v>44657</c:v>
                </c:pt>
                <c:pt idx="426">
                  <c:v>44658</c:v>
                </c:pt>
                <c:pt idx="427">
                  <c:v>44659</c:v>
                </c:pt>
                <c:pt idx="428">
                  <c:v>44663</c:v>
                </c:pt>
                <c:pt idx="429">
                  <c:v>44664</c:v>
                </c:pt>
                <c:pt idx="430">
                  <c:v>44665</c:v>
                </c:pt>
                <c:pt idx="431">
                  <c:v>44666</c:v>
                </c:pt>
                <c:pt idx="432">
                  <c:v>44670</c:v>
                </c:pt>
                <c:pt idx="433">
                  <c:v>44671</c:v>
                </c:pt>
                <c:pt idx="434">
                  <c:v>44672</c:v>
                </c:pt>
                <c:pt idx="435">
                  <c:v>44673</c:v>
                </c:pt>
                <c:pt idx="436">
                  <c:v>44677</c:v>
                </c:pt>
                <c:pt idx="437">
                  <c:v>44678</c:v>
                </c:pt>
                <c:pt idx="438">
                  <c:v>44679</c:v>
                </c:pt>
                <c:pt idx="439">
                  <c:v>44680</c:v>
                </c:pt>
                <c:pt idx="440">
                  <c:v>44686</c:v>
                </c:pt>
                <c:pt idx="441">
                  <c:v>44687</c:v>
                </c:pt>
                <c:pt idx="442">
                  <c:v>44693</c:v>
                </c:pt>
                <c:pt idx="443">
                  <c:v>44694</c:v>
                </c:pt>
                <c:pt idx="444">
                  <c:v>44698</c:v>
                </c:pt>
                <c:pt idx="445">
                  <c:v>44699</c:v>
                </c:pt>
                <c:pt idx="446">
                  <c:v>44700</c:v>
                </c:pt>
                <c:pt idx="447">
                  <c:v>44701</c:v>
                </c:pt>
                <c:pt idx="448">
                  <c:v>44705</c:v>
                </c:pt>
                <c:pt idx="449">
                  <c:v>44706</c:v>
                </c:pt>
                <c:pt idx="450">
                  <c:v>44707</c:v>
                </c:pt>
                <c:pt idx="451">
                  <c:v>44708</c:v>
                </c:pt>
                <c:pt idx="452">
                  <c:v>44712</c:v>
                </c:pt>
                <c:pt idx="453">
                  <c:v>44713</c:v>
                </c:pt>
                <c:pt idx="454">
                  <c:v>44714</c:v>
                </c:pt>
                <c:pt idx="455">
                  <c:v>44715</c:v>
                </c:pt>
                <c:pt idx="456">
                  <c:v>44719</c:v>
                </c:pt>
                <c:pt idx="457">
                  <c:v>44720</c:v>
                </c:pt>
                <c:pt idx="458">
                  <c:v>44721</c:v>
                </c:pt>
                <c:pt idx="459">
                  <c:v>44722</c:v>
                </c:pt>
              </c:numCache>
            </c:numRef>
          </c:cat>
          <c:val>
            <c:numRef>
              <c:f>Sheet1!$D$2:$D$542</c:f>
              <c:numCache>
                <c:formatCode>0</c:formatCode>
                <c:ptCount val="541"/>
                <c:pt idx="0">
                  <c:v>100</c:v>
                </c:pt>
                <c:pt idx="1">
                  <c:v>100.47024155255187</c:v>
                </c:pt>
                <c:pt idx="2">
                  <c:v>99.706907219852141</c:v>
                </c:pt>
                <c:pt idx="3">
                  <c:v>99.676394369131785</c:v>
                </c:pt>
                <c:pt idx="4">
                  <c:v>99.455248873628761</c:v>
                </c:pt>
                <c:pt idx="5">
                  <c:v>99.623528033657934</c:v>
                </c:pt>
                <c:pt idx="6">
                  <c:v>98.995719034131298</c:v>
                </c:pt>
                <c:pt idx="7">
                  <c:v>99.029179597731343</c:v>
                </c:pt>
                <c:pt idx="8">
                  <c:v>98.841835952317524</c:v>
                </c:pt>
                <c:pt idx="9">
                  <c:v>97.45996730855849</c:v>
                </c:pt>
                <c:pt idx="10">
                  <c:v>98.141790638112354</c:v>
                </c:pt>
                <c:pt idx="11">
                  <c:v>97.141470178104854</c:v>
                </c:pt>
                <c:pt idx="12">
                  <c:v>95.814211121733834</c:v>
                </c:pt>
                <c:pt idx="13">
                  <c:v>96.531524004401419</c:v>
                </c:pt>
                <c:pt idx="14">
                  <c:v>96.928809545668969</c:v>
                </c:pt>
                <c:pt idx="15">
                  <c:v>97.509940650692627</c:v>
                </c:pt>
                <c:pt idx="16">
                  <c:v>96.022003801112731</c:v>
                </c:pt>
                <c:pt idx="17">
                  <c:v>95.754429310857091</c:v>
                </c:pt>
                <c:pt idx="18">
                  <c:v>97.124367535330791</c:v>
                </c:pt>
                <c:pt idx="19">
                  <c:v>96.277452139568823</c:v>
                </c:pt>
                <c:pt idx="20">
                  <c:v>96.723188829304107</c:v>
                </c:pt>
                <c:pt idx="21">
                  <c:v>96.023509560952036</c:v>
                </c:pt>
                <c:pt idx="22">
                  <c:v>96.147897618520474</c:v>
                </c:pt>
                <c:pt idx="23">
                  <c:v>96.06644357739799</c:v>
                </c:pt>
                <c:pt idx="24">
                  <c:v>94.320354028646975</c:v>
                </c:pt>
                <c:pt idx="25">
                  <c:v>93.461766820263819</c:v>
                </c:pt>
                <c:pt idx="26">
                  <c:v>93.330711769753535</c:v>
                </c:pt>
                <c:pt idx="27">
                  <c:v>92.320820656319995</c:v>
                </c:pt>
                <c:pt idx="28">
                  <c:v>92.159226533140057</c:v>
                </c:pt>
                <c:pt idx="29">
                  <c:v>92.668708685440293</c:v>
                </c:pt>
                <c:pt idx="30">
                  <c:v>92.518893895028185</c:v>
                </c:pt>
                <c:pt idx="31">
                  <c:v>85.022660120409654</c:v>
                </c:pt>
                <c:pt idx="32">
                  <c:v>85.675509290351457</c:v>
                </c:pt>
                <c:pt idx="33">
                  <c:v>82.71802062479567</c:v>
                </c:pt>
                <c:pt idx="34">
                  <c:v>82.607768913015903</c:v>
                </c:pt>
                <c:pt idx="35">
                  <c:v>82.872285138909916</c:v>
                </c:pt>
                <c:pt idx="36">
                  <c:v>79.305195620950315</c:v>
                </c:pt>
                <c:pt idx="37">
                  <c:v>76.392579562608361</c:v>
                </c:pt>
                <c:pt idx="38">
                  <c:v>75.708289287414274</c:v>
                </c:pt>
                <c:pt idx="39">
                  <c:v>77.659535341467802</c:v>
                </c:pt>
                <c:pt idx="40">
                  <c:v>78.714225481021344</c:v>
                </c:pt>
                <c:pt idx="41">
                  <c:v>77.784820819513612</c:v>
                </c:pt>
                <c:pt idx="42">
                  <c:v>80.141452267712253</c:v>
                </c:pt>
                <c:pt idx="43">
                  <c:v>81.153005102378856</c:v>
                </c:pt>
                <c:pt idx="44">
                  <c:v>80.837070411974096</c:v>
                </c:pt>
                <c:pt idx="45">
                  <c:v>82.077608739360585</c:v>
                </c:pt>
                <c:pt idx="46">
                  <c:v>83.283803358064262</c:v>
                </c:pt>
                <c:pt idx="47">
                  <c:v>83.521789538293618</c:v>
                </c:pt>
                <c:pt idx="48">
                  <c:v>83.069138364907801</c:v>
                </c:pt>
                <c:pt idx="49">
                  <c:v>81.96016966507338</c:v>
                </c:pt>
                <c:pt idx="50">
                  <c:v>82.010883176612509</c:v>
                </c:pt>
                <c:pt idx="51">
                  <c:v>80.300355905486981</c:v>
                </c:pt>
                <c:pt idx="52">
                  <c:v>79.481734543415456</c:v>
                </c:pt>
                <c:pt idx="53">
                  <c:v>82.197701890034324</c:v>
                </c:pt>
                <c:pt idx="54">
                  <c:v>82.115471781104034</c:v>
                </c:pt>
                <c:pt idx="55">
                  <c:v>83.097433280770318</c:v>
                </c:pt>
                <c:pt idx="56">
                  <c:v>82.780082707081959</c:v>
                </c:pt>
                <c:pt idx="57">
                  <c:v>82.618134325639573</c:v>
                </c:pt>
                <c:pt idx="58">
                  <c:v>83.388032018476764</c:v>
                </c:pt>
                <c:pt idx="59">
                  <c:v>83.218835066775881</c:v>
                </c:pt>
                <c:pt idx="60">
                  <c:v>82.827222581421793</c:v>
                </c:pt>
                <c:pt idx="61">
                  <c:v>83.905409442064752</c:v>
                </c:pt>
                <c:pt idx="62">
                  <c:v>84.586928353763781</c:v>
                </c:pt>
                <c:pt idx="63">
                  <c:v>84.649721239568052</c:v>
                </c:pt>
                <c:pt idx="64">
                  <c:v>86.337488015340327</c:v>
                </c:pt>
                <c:pt idx="65">
                  <c:v>85.526885505096615</c:v>
                </c:pt>
                <c:pt idx="66">
                  <c:v>86.074376447832989</c:v>
                </c:pt>
                <c:pt idx="67">
                  <c:v>87.839291708386256</c:v>
                </c:pt>
                <c:pt idx="68">
                  <c:v>88.766668937754304</c:v>
                </c:pt>
                <c:pt idx="69">
                  <c:v>89.600285625236836</c:v>
                </c:pt>
                <c:pt idx="70">
                  <c:v>88.72551079401461</c:v>
                </c:pt>
                <c:pt idx="71">
                  <c:v>89.638322820341273</c:v>
                </c:pt>
                <c:pt idx="72">
                  <c:v>89.165556356435047</c:v>
                </c:pt>
                <c:pt idx="73">
                  <c:v>89.238585042182592</c:v>
                </c:pt>
                <c:pt idx="74">
                  <c:v>88.588421325223976</c:v>
                </c:pt>
                <c:pt idx="75">
                  <c:v>86.98629164003124</c:v>
                </c:pt>
                <c:pt idx="76">
                  <c:v>87.787660352905405</c:v>
                </c:pt>
                <c:pt idx="77">
                  <c:v>88.129046000270549</c:v>
                </c:pt>
                <c:pt idx="78">
                  <c:v>87.957137521905238</c:v>
                </c:pt>
                <c:pt idx="79">
                  <c:v>88.127397151841777</c:v>
                </c:pt>
                <c:pt idx="80">
                  <c:v>88.954292421583531</c:v>
                </c:pt>
                <c:pt idx="81">
                  <c:v>88.954292421583531</c:v>
                </c:pt>
                <c:pt idx="82">
                  <c:v>88.149598364667582</c:v>
                </c:pt>
                <c:pt idx="83">
                  <c:v>87.538044325123309</c:v>
                </c:pt>
                <c:pt idx="84">
                  <c:v>86.929116867519454</c:v>
                </c:pt>
                <c:pt idx="85">
                  <c:v>86.929116867519454</c:v>
                </c:pt>
                <c:pt idx="86">
                  <c:v>86.832350630603003</c:v>
                </c:pt>
                <c:pt idx="87">
                  <c:v>85.832951364504765</c:v>
                </c:pt>
                <c:pt idx="88">
                  <c:v>84.8446556069606</c:v>
                </c:pt>
                <c:pt idx="89">
                  <c:v>85.957053759305083</c:v>
                </c:pt>
                <c:pt idx="90">
                  <c:v>86.391083521444699</c:v>
                </c:pt>
                <c:pt idx="91">
                  <c:v>86.552392367829995</c:v>
                </c:pt>
                <c:pt idx="92">
                  <c:v>86.090471336684118</c:v>
                </c:pt>
                <c:pt idx="93">
                  <c:v>86.488944884025088</c:v>
                </c:pt>
                <c:pt idx="94">
                  <c:v>85.965380241748676</c:v>
                </c:pt>
                <c:pt idx="95">
                  <c:v>85.091186001656411</c:v>
                </c:pt>
                <c:pt idx="96">
                  <c:v>86.28541797009305</c:v>
                </c:pt>
                <c:pt idx="97">
                  <c:v>86.503239951347751</c:v>
                </c:pt>
                <c:pt idx="98">
                  <c:v>86.290038470752378</c:v>
                </c:pt>
                <c:pt idx="99">
                  <c:v>85.540266815673689</c:v>
                </c:pt>
                <c:pt idx="100">
                  <c:v>85.142297788085585</c:v>
                </c:pt>
                <c:pt idx="101">
                  <c:v>84.770775304977647</c:v>
                </c:pt>
                <c:pt idx="102">
                  <c:v>83.466801520651345</c:v>
                </c:pt>
                <c:pt idx="103">
                  <c:v>82.571677458851696</c:v>
                </c:pt>
                <c:pt idx="104">
                  <c:v>83.447123626680607</c:v>
                </c:pt>
                <c:pt idx="105">
                  <c:v>83.560997044238164</c:v>
                </c:pt>
                <c:pt idx="106">
                  <c:v>83.83659845262234</c:v>
                </c:pt>
                <c:pt idx="107">
                  <c:v>83.001016604540823</c:v>
                </c:pt>
                <c:pt idx="108">
                  <c:v>83.707667028469402</c:v>
                </c:pt>
                <c:pt idx="109">
                  <c:v>83.612912387639241</c:v>
                </c:pt>
                <c:pt idx="110">
                  <c:v>83.190796489993417</c:v>
                </c:pt>
                <c:pt idx="111">
                  <c:v>83.919438216413852</c:v>
                </c:pt>
                <c:pt idx="112">
                  <c:v>83.3885998085306</c:v>
                </c:pt>
                <c:pt idx="113">
                  <c:v>83.608231657363831</c:v>
                </c:pt>
                <c:pt idx="114">
                  <c:v>83.005404555442453</c:v>
                </c:pt>
                <c:pt idx="115">
                  <c:v>82.283413779387899</c:v>
                </c:pt>
                <c:pt idx="116">
                  <c:v>82.179389794477714</c:v>
                </c:pt>
                <c:pt idx="117">
                  <c:v>81.06394273603054</c:v>
                </c:pt>
                <c:pt idx="118">
                  <c:v>81.389877637388807</c:v>
                </c:pt>
                <c:pt idx="119">
                  <c:v>82.968515213965674</c:v>
                </c:pt>
                <c:pt idx="120">
                  <c:v>83.215442298623785</c:v>
                </c:pt>
                <c:pt idx="121">
                  <c:v>82.906843869654011</c:v>
                </c:pt>
                <c:pt idx="122">
                  <c:v>81.139025812264819</c:v>
                </c:pt>
                <c:pt idx="123">
                  <c:v>81.006998187614954</c:v>
                </c:pt>
                <c:pt idx="124">
                  <c:v>80.608705382119297</c:v>
                </c:pt>
                <c:pt idx="125">
                  <c:v>80.495535109824615</c:v>
                </c:pt>
                <c:pt idx="126">
                  <c:v>81.075212439459065</c:v>
                </c:pt>
                <c:pt idx="127">
                  <c:v>81.956988441379764</c:v>
                </c:pt>
                <c:pt idx="128">
                  <c:v>81.440754158886222</c:v>
                </c:pt>
                <c:pt idx="129">
                  <c:v>81.7240063100745</c:v>
                </c:pt>
                <c:pt idx="130">
                  <c:v>81.434580638640526</c:v>
                </c:pt>
                <c:pt idx="131">
                  <c:v>80.530681329491401</c:v>
                </c:pt>
                <c:pt idx="132">
                  <c:v>80.28466876706905</c:v>
                </c:pt>
                <c:pt idx="133">
                  <c:v>80.196975947717561</c:v>
                </c:pt>
                <c:pt idx="134">
                  <c:v>79.341263054238269</c:v>
                </c:pt>
                <c:pt idx="135">
                  <c:v>77.835246144400827</c:v>
                </c:pt>
                <c:pt idx="136">
                  <c:v>76.845559675972126</c:v>
                </c:pt>
                <c:pt idx="137">
                  <c:v>77.723212755776188</c:v>
                </c:pt>
                <c:pt idx="138">
                  <c:v>79.23920835845928</c:v>
                </c:pt>
                <c:pt idx="139">
                  <c:v>78.376410024050259</c:v>
                </c:pt>
                <c:pt idx="140">
                  <c:v>77.993272357438826</c:v>
                </c:pt>
                <c:pt idx="141">
                  <c:v>78.412541089303545</c:v>
                </c:pt>
                <c:pt idx="142">
                  <c:v>78.590065930229756</c:v>
                </c:pt>
                <c:pt idx="143">
                  <c:v>79.499999350850871</c:v>
                </c:pt>
                <c:pt idx="144">
                  <c:v>79.230903597699466</c:v>
                </c:pt>
                <c:pt idx="145">
                  <c:v>79.240746468174464</c:v>
                </c:pt>
                <c:pt idx="146">
                  <c:v>78.559414775081791</c:v>
                </c:pt>
                <c:pt idx="147">
                  <c:v>78.581594140965422</c:v>
                </c:pt>
                <c:pt idx="148">
                  <c:v>78.729203630846811</c:v>
                </c:pt>
                <c:pt idx="149">
                  <c:v>79.491433452504324</c:v>
                </c:pt>
                <c:pt idx="150">
                  <c:v>79.44121046848187</c:v>
                </c:pt>
                <c:pt idx="151">
                  <c:v>80.102767636043552</c:v>
                </c:pt>
                <c:pt idx="152">
                  <c:v>80.0909285912347</c:v>
                </c:pt>
                <c:pt idx="153">
                  <c:v>78.958634206725861</c:v>
                </c:pt>
                <c:pt idx="154">
                  <c:v>77.639251476165242</c:v>
                </c:pt>
                <c:pt idx="155">
                  <c:v>75.996371078338356</c:v>
                </c:pt>
                <c:pt idx="156">
                  <c:v>76.54192593555554</c:v>
                </c:pt>
                <c:pt idx="157">
                  <c:v>78.048942144567903</c:v>
                </c:pt>
                <c:pt idx="158">
                  <c:v>79.57479711246701</c:v>
                </c:pt>
                <c:pt idx="159">
                  <c:v>80.151522687826144</c:v>
                </c:pt>
                <c:pt idx="160">
                  <c:v>80.351671423416391</c:v>
                </c:pt>
                <c:pt idx="161">
                  <c:v>79.406287768366184</c:v>
                </c:pt>
                <c:pt idx="162">
                  <c:v>79.607694777800788</c:v>
                </c:pt>
                <c:pt idx="163">
                  <c:v>80.303725755052298</c:v>
                </c:pt>
                <c:pt idx="164">
                  <c:v>80.648730092668245</c:v>
                </c:pt>
                <c:pt idx="165">
                  <c:v>80.293511769187347</c:v>
                </c:pt>
                <c:pt idx="166">
                  <c:v>80.826293558606167</c:v>
                </c:pt>
                <c:pt idx="167">
                  <c:v>80.768084247625183</c:v>
                </c:pt>
                <c:pt idx="168">
                  <c:v>81.133972946509175</c:v>
                </c:pt>
                <c:pt idx="169">
                  <c:v>81.156446897224484</c:v>
                </c:pt>
                <c:pt idx="170">
                  <c:v>80.359685511398354</c:v>
                </c:pt>
                <c:pt idx="171">
                  <c:v>80.232913130582602</c:v>
                </c:pt>
                <c:pt idx="172">
                  <c:v>80.981179685010048</c:v>
                </c:pt>
                <c:pt idx="173">
                  <c:v>81.428624620343754</c:v>
                </c:pt>
                <c:pt idx="174">
                  <c:v>82.469367250904398</c:v>
                </c:pt>
                <c:pt idx="175">
                  <c:v>83.128568674672664</c:v>
                </c:pt>
                <c:pt idx="176">
                  <c:v>83.532385612578594</c:v>
                </c:pt>
                <c:pt idx="177">
                  <c:v>83.071504929971113</c:v>
                </c:pt>
                <c:pt idx="178">
                  <c:v>83.96592766484936</c:v>
                </c:pt>
                <c:pt idx="179">
                  <c:v>83.373612743089112</c:v>
                </c:pt>
                <c:pt idx="180">
                  <c:v>83.402229089854174</c:v>
                </c:pt>
                <c:pt idx="181">
                  <c:v>83.907363990018965</c:v>
                </c:pt>
                <c:pt idx="182">
                  <c:v>82.003854183825055</c:v>
                </c:pt>
                <c:pt idx="183">
                  <c:v>81.266307276197182</c:v>
                </c:pt>
                <c:pt idx="184">
                  <c:v>81.150746583157883</c:v>
                </c:pt>
                <c:pt idx="185">
                  <c:v>81.820757036419437</c:v>
                </c:pt>
                <c:pt idx="186">
                  <c:v>83.065757791569183</c:v>
                </c:pt>
                <c:pt idx="187">
                  <c:v>83.134324508157448</c:v>
                </c:pt>
                <c:pt idx="188">
                  <c:v>82.175970969876161</c:v>
                </c:pt>
                <c:pt idx="189">
                  <c:v>82.451933110980363</c:v>
                </c:pt>
                <c:pt idx="190">
                  <c:v>83.281651216433843</c:v>
                </c:pt>
                <c:pt idx="191">
                  <c:v>82.977284707457457</c:v>
                </c:pt>
                <c:pt idx="192">
                  <c:v>82.778292226270224</c:v>
                </c:pt>
                <c:pt idx="193">
                  <c:v>83.058096177244153</c:v>
                </c:pt>
                <c:pt idx="194">
                  <c:v>83.476245654692931</c:v>
                </c:pt>
                <c:pt idx="195">
                  <c:v>83.459862013318912</c:v>
                </c:pt>
                <c:pt idx="196">
                  <c:v>81.801410424423139</c:v>
                </c:pt>
                <c:pt idx="197">
                  <c:v>80.959444916004941</c:v>
                </c:pt>
                <c:pt idx="198">
                  <c:v>80.374979983041371</c:v>
                </c:pt>
                <c:pt idx="199">
                  <c:v>81.098942723226045</c:v>
                </c:pt>
                <c:pt idx="200">
                  <c:v>80.671786217263389</c:v>
                </c:pt>
                <c:pt idx="201">
                  <c:v>80.486224387191911</c:v>
                </c:pt>
                <c:pt idx="202">
                  <c:v>80.859059835492999</c:v>
                </c:pt>
                <c:pt idx="203">
                  <c:v>82.45870600941015</c:v>
                </c:pt>
                <c:pt idx="204">
                  <c:v>82.615570594393873</c:v>
                </c:pt>
                <c:pt idx="205">
                  <c:v>82.913803982527355</c:v>
                </c:pt>
                <c:pt idx="206">
                  <c:v>83.020259524742414</c:v>
                </c:pt>
                <c:pt idx="207">
                  <c:v>83.5283975271862</c:v>
                </c:pt>
                <c:pt idx="208">
                  <c:v>83.550849712441732</c:v>
                </c:pt>
                <c:pt idx="209">
                  <c:v>83.010130559912355</c:v>
                </c:pt>
                <c:pt idx="210">
                  <c:v>83.000454080284101</c:v>
                </c:pt>
                <c:pt idx="211">
                  <c:v>83.025550077827106</c:v>
                </c:pt>
                <c:pt idx="212">
                  <c:v>83.340251814570166</c:v>
                </c:pt>
                <c:pt idx="213">
                  <c:v>82.698582479796002</c:v>
                </c:pt>
                <c:pt idx="214">
                  <c:v>82.110076365562392</c:v>
                </c:pt>
                <c:pt idx="215">
                  <c:v>83.290373741646675</c:v>
                </c:pt>
                <c:pt idx="216">
                  <c:v>82.988192946125551</c:v>
                </c:pt>
                <c:pt idx="217">
                  <c:v>82.454486696111161</c:v>
                </c:pt>
                <c:pt idx="218">
                  <c:v>82.704725733495579</c:v>
                </c:pt>
                <c:pt idx="219">
                  <c:v>83.312018024587871</c:v>
                </c:pt>
                <c:pt idx="220">
                  <c:v>83.616794366374094</c:v>
                </c:pt>
                <c:pt idx="221">
                  <c:v>83.925994251794407</c:v>
                </c:pt>
                <c:pt idx="222">
                  <c:v>83.765264651123957</c:v>
                </c:pt>
                <c:pt idx="223">
                  <c:v>83.132631533216923</c:v>
                </c:pt>
                <c:pt idx="224">
                  <c:v>82.07375835193038</c:v>
                </c:pt>
                <c:pt idx="225">
                  <c:v>81.256925230730417</c:v>
                </c:pt>
                <c:pt idx="226">
                  <c:v>80.408648322138831</c:v>
                </c:pt>
                <c:pt idx="227">
                  <c:v>80.386903159997942</c:v>
                </c:pt>
                <c:pt idx="228">
                  <c:v>80.753065791712089</c:v>
                </c:pt>
                <c:pt idx="229">
                  <c:v>80.887899046660394</c:v>
                </c:pt>
                <c:pt idx="230">
                  <c:v>80.957411224356221</c:v>
                </c:pt>
                <c:pt idx="231">
                  <c:v>80.775861955247038</c:v>
                </c:pt>
                <c:pt idx="232">
                  <c:v>79.934521416300711</c:v>
                </c:pt>
                <c:pt idx="233">
                  <c:v>80.169991699419469</c:v>
                </c:pt>
                <c:pt idx="234">
                  <c:v>78.734265104856433</c:v>
                </c:pt>
                <c:pt idx="235">
                  <c:v>79.420397374356511</c:v>
                </c:pt>
                <c:pt idx="236">
                  <c:v>79.001011477169499</c:v>
                </c:pt>
                <c:pt idx="237">
                  <c:v>79.263722679231336</c:v>
                </c:pt>
                <c:pt idx="238">
                  <c:v>80.908953973568558</c:v>
                </c:pt>
                <c:pt idx="239">
                  <c:v>79.544509799846182</c:v>
                </c:pt>
                <c:pt idx="240">
                  <c:v>80.307833141637076</c:v>
                </c:pt>
                <c:pt idx="241">
                  <c:v>80.554623728055446</c:v>
                </c:pt>
                <c:pt idx="242">
                  <c:v>79.711220284353757</c:v>
                </c:pt>
                <c:pt idx="243">
                  <c:v>80.126456229055336</c:v>
                </c:pt>
                <c:pt idx="244">
                  <c:v>81.898673229188944</c:v>
                </c:pt>
                <c:pt idx="245">
                  <c:v>81.691298303845613</c:v>
                </c:pt>
                <c:pt idx="246">
                  <c:v>81.711792257702925</c:v>
                </c:pt>
                <c:pt idx="247">
                  <c:v>82.323348431011112</c:v>
                </c:pt>
                <c:pt idx="248">
                  <c:v>81.366841756282142</c:v>
                </c:pt>
                <c:pt idx="249">
                  <c:v>81.796165462446055</c:v>
                </c:pt>
                <c:pt idx="250">
                  <c:v>82.108424849484408</c:v>
                </c:pt>
                <c:pt idx="251">
                  <c:v>82.573793062528381</c:v>
                </c:pt>
                <c:pt idx="252">
                  <c:v>82.703943814154485</c:v>
                </c:pt>
                <c:pt idx="253">
                  <c:v>82.351801992022203</c:v>
                </c:pt>
                <c:pt idx="254">
                  <c:v>82.912569038518001</c:v>
                </c:pt>
                <c:pt idx="255">
                  <c:v>83.086383569970863</c:v>
                </c:pt>
                <c:pt idx="256">
                  <c:v>83.110516329206305</c:v>
                </c:pt>
                <c:pt idx="257">
                  <c:v>83.197578283902146</c:v>
                </c:pt>
                <c:pt idx="258">
                  <c:v>83.281424681679795</c:v>
                </c:pt>
                <c:pt idx="259">
                  <c:v>83.429273682733296</c:v>
                </c:pt>
                <c:pt idx="260">
                  <c:v>83.341386101421293</c:v>
                </c:pt>
                <c:pt idx="261">
                  <c:v>83.542870396267176</c:v>
                </c:pt>
                <c:pt idx="262">
                  <c:v>83.606062716152493</c:v>
                </c:pt>
                <c:pt idx="263">
                  <c:v>83.313945024279562</c:v>
                </c:pt>
                <c:pt idx="264">
                  <c:v>83.580386440196733</c:v>
                </c:pt>
                <c:pt idx="265">
                  <c:v>83.963394735182206</c:v>
                </c:pt>
                <c:pt idx="266">
                  <c:v>84.083069689779393</c:v>
                </c:pt>
                <c:pt idx="267">
                  <c:v>84.94941241265262</c:v>
                </c:pt>
                <c:pt idx="268">
                  <c:v>84.814688617595607</c:v>
                </c:pt>
                <c:pt idx="269">
                  <c:v>85.246367207838276</c:v>
                </c:pt>
                <c:pt idx="270">
                  <c:v>85.009086201606735</c:v>
                </c:pt>
                <c:pt idx="271">
                  <c:v>84.455098145226202</c:v>
                </c:pt>
                <c:pt idx="272">
                  <c:v>83.654491131673055</c:v>
                </c:pt>
                <c:pt idx="273">
                  <c:v>83.691764355350315</c:v>
                </c:pt>
                <c:pt idx="274">
                  <c:v>84.266469970591871</c:v>
                </c:pt>
                <c:pt idx="275">
                  <c:v>84.663882974310724</c:v>
                </c:pt>
                <c:pt idx="276">
                  <c:v>84.837837725502425</c:v>
                </c:pt>
                <c:pt idx="277">
                  <c:v>84.609719464491207</c:v>
                </c:pt>
                <c:pt idx="278">
                  <c:v>84.201233715695309</c:v>
                </c:pt>
                <c:pt idx="279">
                  <c:v>83.987348543244494</c:v>
                </c:pt>
                <c:pt idx="280">
                  <c:v>83.477383646426858</c:v>
                </c:pt>
                <c:pt idx="281">
                  <c:v>83.577648568230771</c:v>
                </c:pt>
                <c:pt idx="282">
                  <c:v>82.683842393799395</c:v>
                </c:pt>
                <c:pt idx="283">
                  <c:v>81.433389365278586</c:v>
                </c:pt>
                <c:pt idx="284">
                  <c:v>82.046156154868527</c:v>
                </c:pt>
                <c:pt idx="285">
                  <c:v>82.682837579278058</c:v>
                </c:pt>
                <c:pt idx="286">
                  <c:v>82.610666508372447</c:v>
                </c:pt>
                <c:pt idx="287">
                  <c:v>82.503701847353128</c:v>
                </c:pt>
                <c:pt idx="288">
                  <c:v>82.363211081116276</c:v>
                </c:pt>
                <c:pt idx="289">
                  <c:v>82.203219180840577</c:v>
                </c:pt>
                <c:pt idx="290">
                  <c:v>82.19913631439546</c:v>
                </c:pt>
                <c:pt idx="291">
                  <c:v>83.091682554328941</c:v>
                </c:pt>
                <c:pt idx="292">
                  <c:v>82.639207535965809</c:v>
                </c:pt>
                <c:pt idx="293">
                  <c:v>82.919979254432405</c:v>
                </c:pt>
                <c:pt idx="294">
                  <c:v>83.188423123322139</c:v>
                </c:pt>
                <c:pt idx="295">
                  <c:v>83.663977789436785</c:v>
                </c:pt>
                <c:pt idx="296">
                  <c:v>83.864270101183763</c:v>
                </c:pt>
                <c:pt idx="297">
                  <c:v>84.029069990833207</c:v>
                </c:pt>
                <c:pt idx="298">
                  <c:v>84.129162733888577</c:v>
                </c:pt>
                <c:pt idx="299">
                  <c:v>83.689591078066826</c:v>
                </c:pt>
                <c:pt idx="300">
                  <c:v>83.302724336736972</c:v>
                </c:pt>
                <c:pt idx="301">
                  <c:v>83.202665355004669</c:v>
                </c:pt>
                <c:pt idx="302">
                  <c:v>82.782768573533616</c:v>
                </c:pt>
                <c:pt idx="303">
                  <c:v>83.235576772769278</c:v>
                </c:pt>
                <c:pt idx="304">
                  <c:v>83.434161761499809</c:v>
                </c:pt>
                <c:pt idx="305">
                  <c:v>83.339571257279559</c:v>
                </c:pt>
                <c:pt idx="306">
                  <c:v>83.353184515261262</c:v>
                </c:pt>
                <c:pt idx="307">
                  <c:v>82.580920104166708</c:v>
                </c:pt>
                <c:pt idx="308">
                  <c:v>82.674241831000671</c:v>
                </c:pt>
                <c:pt idx="309">
                  <c:v>82.808516968348655</c:v>
                </c:pt>
                <c:pt idx="310">
                  <c:v>83.037259230731593</c:v>
                </c:pt>
                <c:pt idx="311">
                  <c:v>82.758937597647204</c:v>
                </c:pt>
                <c:pt idx="312">
                  <c:v>83.227318197633892</c:v>
                </c:pt>
                <c:pt idx="313">
                  <c:v>83.563847861775827</c:v>
                </c:pt>
                <c:pt idx="314">
                  <c:v>83.66306331908747</c:v>
                </c:pt>
                <c:pt idx="315">
                  <c:v>84.0559457838188</c:v>
                </c:pt>
                <c:pt idx="316">
                  <c:v>83.935312485435915</c:v>
                </c:pt>
                <c:pt idx="317">
                  <c:v>83.663406243125777</c:v>
                </c:pt>
                <c:pt idx="318">
                  <c:v>83.377245476368387</c:v>
                </c:pt>
                <c:pt idx="319">
                  <c:v>83.73422308523287</c:v>
                </c:pt>
                <c:pt idx="320">
                  <c:v>83.785666102476384</c:v>
                </c:pt>
                <c:pt idx="321">
                  <c:v>84.208528667947363</c:v>
                </c:pt>
                <c:pt idx="322">
                  <c:v>84.05259979135775</c:v>
                </c:pt>
                <c:pt idx="323">
                  <c:v>84.538931894208218</c:v>
                </c:pt>
                <c:pt idx="324">
                  <c:v>83.645349401079343</c:v>
                </c:pt>
                <c:pt idx="325">
                  <c:v>84.019615645315682</c:v>
                </c:pt>
                <c:pt idx="326">
                  <c:v>84.199960123479613</c:v>
                </c:pt>
                <c:pt idx="327">
                  <c:v>84.27319632321462</c:v>
                </c:pt>
                <c:pt idx="328">
                  <c:v>84.451021469266195</c:v>
                </c:pt>
                <c:pt idx="329">
                  <c:v>84.157953183582279</c:v>
                </c:pt>
                <c:pt idx="330">
                  <c:v>84.269833012680181</c:v>
                </c:pt>
                <c:pt idx="331">
                  <c:v>83.969727345904346</c:v>
                </c:pt>
                <c:pt idx="332">
                  <c:v>84.380847914938329</c:v>
                </c:pt>
                <c:pt idx="333">
                  <c:v>84.381313026918036</c:v>
                </c:pt>
                <c:pt idx="334">
                  <c:v>84.711435504264955</c:v>
                </c:pt>
                <c:pt idx="335">
                  <c:v>85.477816723969141</c:v>
                </c:pt>
                <c:pt idx="336">
                  <c:v>85.189085713570151</c:v>
                </c:pt>
                <c:pt idx="337">
                  <c:v>85.215641469181378</c:v>
                </c:pt>
                <c:pt idx="338">
                  <c:v>85.302418624607427</c:v>
                </c:pt>
                <c:pt idx="339">
                  <c:v>86.037368943142809</c:v>
                </c:pt>
                <c:pt idx="340">
                  <c:v>86.284688462589799</c:v>
                </c:pt>
                <c:pt idx="341">
                  <c:v>86.177706159269803</c:v>
                </c:pt>
                <c:pt idx="342">
                  <c:v>86.256733304784817</c:v>
                </c:pt>
                <c:pt idx="343">
                  <c:v>87.309384111956248</c:v>
                </c:pt>
                <c:pt idx="344">
                  <c:v>88.039843226565154</c:v>
                </c:pt>
                <c:pt idx="345">
                  <c:v>87.714724453662996</c:v>
                </c:pt>
                <c:pt idx="346">
                  <c:v>86.83124245788818</c:v>
                </c:pt>
                <c:pt idx="347">
                  <c:v>86.140367412567485</c:v>
                </c:pt>
                <c:pt idx="348">
                  <c:v>85.667957967662844</c:v>
                </c:pt>
                <c:pt idx="349">
                  <c:v>85.656813209563552</c:v>
                </c:pt>
                <c:pt idx="350">
                  <c:v>85.764907734864607</c:v>
                </c:pt>
                <c:pt idx="351">
                  <c:v>85.898331523736502</c:v>
                </c:pt>
                <c:pt idx="352">
                  <c:v>86.61715821486662</c:v>
                </c:pt>
                <c:pt idx="353">
                  <c:v>86.007157665275145</c:v>
                </c:pt>
                <c:pt idx="354">
                  <c:v>84.726672976129123</c:v>
                </c:pt>
                <c:pt idx="355">
                  <c:v>84.396315637865115</c:v>
                </c:pt>
                <c:pt idx="356">
                  <c:v>84.086302641480344</c:v>
                </c:pt>
                <c:pt idx="357">
                  <c:v>84.341796805055424</c:v>
                </c:pt>
                <c:pt idx="358">
                  <c:v>83.367596724873522</c:v>
                </c:pt>
                <c:pt idx="359">
                  <c:v>81.827864022011696</c:v>
                </c:pt>
                <c:pt idx="360">
                  <c:v>82.334085402419646</c:v>
                </c:pt>
                <c:pt idx="361">
                  <c:v>82.082669798017122</c:v>
                </c:pt>
                <c:pt idx="362">
                  <c:v>81.665150743246969</c:v>
                </c:pt>
                <c:pt idx="363">
                  <c:v>81.762417114641437</c:v>
                </c:pt>
                <c:pt idx="364">
                  <c:v>82.777061315640722</c:v>
                </c:pt>
                <c:pt idx="365">
                  <c:v>82.677478980931227</c:v>
                </c:pt>
                <c:pt idx="366">
                  <c:v>83.119992832845071</c:v>
                </c:pt>
                <c:pt idx="367">
                  <c:v>82.592504171168244</c:v>
                </c:pt>
                <c:pt idx="368">
                  <c:v>82.922000452296857</c:v>
                </c:pt>
                <c:pt idx="369">
                  <c:v>83.198595648357681</c:v>
                </c:pt>
                <c:pt idx="370">
                  <c:v>83.412908472470562</c:v>
                </c:pt>
                <c:pt idx="371">
                  <c:v>83.345810115176505</c:v>
                </c:pt>
                <c:pt idx="372">
                  <c:v>82.915600330394923</c:v>
                </c:pt>
                <c:pt idx="373">
                  <c:v>83.231390714794387</c:v>
                </c:pt>
                <c:pt idx="374">
                  <c:v>82.420414915195764</c:v>
                </c:pt>
                <c:pt idx="375">
                  <c:v>82.949745734930289</c:v>
                </c:pt>
                <c:pt idx="376">
                  <c:v>82.984031733254128</c:v>
                </c:pt>
                <c:pt idx="377">
                  <c:v>83.615424215072665</c:v>
                </c:pt>
                <c:pt idx="378">
                  <c:v>83.316212196870765</c:v>
                </c:pt>
                <c:pt idx="379">
                  <c:v>83.140306905231881</c:v>
                </c:pt>
                <c:pt idx="380">
                  <c:v>81.502432401855344</c:v>
                </c:pt>
                <c:pt idx="381">
                  <c:v>81.824802399930448</c:v>
                </c:pt>
                <c:pt idx="382">
                  <c:v>82.162739491491024</c:v>
                </c:pt>
                <c:pt idx="383">
                  <c:v>82.117674195304659</c:v>
                </c:pt>
                <c:pt idx="384">
                  <c:v>80.528245511596396</c:v>
                </c:pt>
                <c:pt idx="385">
                  <c:v>80.217777760310781</c:v>
                </c:pt>
                <c:pt idx="386">
                  <c:v>79.659475710195252</c:v>
                </c:pt>
                <c:pt idx="387">
                  <c:v>80.106435306799455</c:v>
                </c:pt>
                <c:pt idx="388">
                  <c:v>79.14958850848376</c:v>
                </c:pt>
                <c:pt idx="389">
                  <c:v>77.864047546991259</c:v>
                </c:pt>
                <c:pt idx="390">
                  <c:v>77.566670931309218</c:v>
                </c:pt>
                <c:pt idx="391">
                  <c:v>79.042005829338194</c:v>
                </c:pt>
                <c:pt idx="392">
                  <c:v>79.390433319244551</c:v>
                </c:pt>
                <c:pt idx="393">
                  <c:v>80.060247186045828</c:v>
                </c:pt>
                <c:pt idx="394">
                  <c:v>79.887697472018914</c:v>
                </c:pt>
                <c:pt idx="395">
                  <c:v>80.911092142504117</c:v>
                </c:pt>
                <c:pt idx="396">
                  <c:v>81.315517593972146</c:v>
                </c:pt>
                <c:pt idx="397">
                  <c:v>81.861994746094624</c:v>
                </c:pt>
                <c:pt idx="398">
                  <c:v>81.946788251715262</c:v>
                </c:pt>
                <c:pt idx="399">
                  <c:v>79.964793238630236</c:v>
                </c:pt>
                <c:pt idx="400">
                  <c:v>80.395452038967477</c:v>
                </c:pt>
                <c:pt idx="401">
                  <c:v>81.62998689579689</c:v>
                </c:pt>
                <c:pt idx="402">
                  <c:v>80.834082481548478</c:v>
                </c:pt>
                <c:pt idx="403">
                  <c:v>79.765941399375492</c:v>
                </c:pt>
                <c:pt idx="404">
                  <c:v>76.14331865196705</c:v>
                </c:pt>
                <c:pt idx="405">
                  <c:v>70.441556768297716</c:v>
                </c:pt>
                <c:pt idx="406">
                  <c:v>65.449679292937375</c:v>
                </c:pt>
                <c:pt idx="407">
                  <c:v>66.743182514275858</c:v>
                </c:pt>
                <c:pt idx="408">
                  <c:v>59.307284256363509</c:v>
                </c:pt>
                <c:pt idx="409">
                  <c:v>54.79238772902491</c:v>
                </c:pt>
                <c:pt idx="410">
                  <c:v>52.749414866903216</c:v>
                </c:pt>
                <c:pt idx="411">
                  <c:v>50.86788753805704</c:v>
                </c:pt>
                <c:pt idx="412">
                  <c:v>53.156221163353337</c:v>
                </c:pt>
                <c:pt idx="413">
                  <c:v>54.927105020258821</c:v>
                </c:pt>
                <c:pt idx="414">
                  <c:v>56.670809729750736</c:v>
                </c:pt>
                <c:pt idx="415">
                  <c:v>58.428720281828831</c:v>
                </c:pt>
                <c:pt idx="416">
                  <c:v>58.495308166932382</c:v>
                </c:pt>
                <c:pt idx="417">
                  <c:v>58.836924844894156</c:v>
                </c:pt>
                <c:pt idx="418">
                  <c:v>59.357242700301846</c:v>
                </c:pt>
                <c:pt idx="419">
                  <c:v>63.755000218645677</c:v>
                </c:pt>
                <c:pt idx="420">
                  <c:v>65.342403628117893</c:v>
                </c:pt>
                <c:pt idx="421">
                  <c:v>70.967719504011711</c:v>
                </c:pt>
                <c:pt idx="422">
                  <c:v>72.823841560514254</c:v>
                </c:pt>
                <c:pt idx="423">
                  <c:v>73.413523846746799</c:v>
                </c:pt>
                <c:pt idx="424">
                  <c:v>73.252369809984501</c:v>
                </c:pt>
                <c:pt idx="425">
                  <c:v>73.464343986946872</c:v>
                </c:pt>
                <c:pt idx="426">
                  <c:v>74.136582554645329</c:v>
                </c:pt>
                <c:pt idx="427">
                  <c:v>80.301935487255165</c:v>
                </c:pt>
                <c:pt idx="428">
                  <c:v>77.355115488203538</c:v>
                </c:pt>
                <c:pt idx="429">
                  <c:v>76.900664846522645</c:v>
                </c:pt>
                <c:pt idx="430">
                  <c:v>76.689071988838634</c:v>
                </c:pt>
                <c:pt idx="431">
                  <c:v>75.329691959452774</c:v>
                </c:pt>
                <c:pt idx="432">
                  <c:v>77.069559449686494</c:v>
                </c:pt>
                <c:pt idx="433">
                  <c:v>77.483243429285764</c:v>
                </c:pt>
                <c:pt idx="434">
                  <c:v>79.441210468481771</c:v>
                </c:pt>
                <c:pt idx="435">
                  <c:v>81.646421952292656</c:v>
                </c:pt>
                <c:pt idx="436">
                  <c:v>83.469304576948772</c:v>
                </c:pt>
                <c:pt idx="437">
                  <c:v>84.21802557871176</c:v>
                </c:pt>
                <c:pt idx="438">
                  <c:v>84.024457849180195</c:v>
                </c:pt>
                <c:pt idx="439">
                  <c:v>84.699835259000182</c:v>
                </c:pt>
                <c:pt idx="440">
                  <c:v>88.213092082516937</c:v>
                </c:pt>
                <c:pt idx="441">
                  <c:v>92.44570320874179</c:v>
                </c:pt>
                <c:pt idx="442">
                  <c:v>88.952612549009302</c:v>
                </c:pt>
                <c:pt idx="443">
                  <c:v>93.072671891244411</c:v>
                </c:pt>
                <c:pt idx="444">
                  <c:v>96.515852437957534</c:v>
                </c:pt>
                <c:pt idx="445">
                  <c:v>96.366543495093026</c:v>
                </c:pt>
                <c:pt idx="446">
                  <c:v>96.333948458490013</c:v>
                </c:pt>
                <c:pt idx="447">
                  <c:v>98.126535380453802</c:v>
                </c:pt>
                <c:pt idx="448">
                  <c:v>105.19733304471663</c:v>
                </c:pt>
                <c:pt idx="449">
                  <c:v>107.48652776071192</c:v>
                </c:pt>
                <c:pt idx="450">
                  <c:v>108.76453829156864</c:v>
                </c:pt>
                <c:pt idx="451">
                  <c:v>98.685726718184625</c:v>
                </c:pt>
                <c:pt idx="452">
                  <c:v>97.046634177265304</c:v>
                </c:pt>
                <c:pt idx="453">
                  <c:v>99.394710657410087</c:v>
                </c:pt>
                <c:pt idx="454">
                  <c:v>99.61072530675915</c:v>
                </c:pt>
                <c:pt idx="455">
                  <c:v>99.446203816483916</c:v>
                </c:pt>
                <c:pt idx="456">
                  <c:v>100.20389661819618</c:v>
                </c:pt>
                <c:pt idx="457">
                  <c:v>100.4552426730537</c:v>
                </c:pt>
                <c:pt idx="458">
                  <c:v>101.66998183575133</c:v>
                </c:pt>
                <c:pt idx="459">
                  <c:v>104.87159506418105</c:v>
                </c:pt>
                <c:pt idx="460">
                  <c:v>104.87159506418105</c:v>
                </c:pt>
                <c:pt idx="461">
                  <c:v>105.98151545570978</c:v>
                </c:pt>
                <c:pt idx="462">
                  <c:v>107.25382974325919</c:v>
                </c:pt>
                <c:pt idx="463">
                  <c:v>108.06813689501325</c:v>
                </c:pt>
                <c:pt idx="464">
                  <c:v>107.67534566223131</c:v>
                </c:pt>
                <c:pt idx="465">
                  <c:v>107.97723862239704</c:v>
                </c:pt>
                <c:pt idx="466">
                  <c:v>109.01024875072763</c:v>
                </c:pt>
                <c:pt idx="467">
                  <c:v>111.92858095967503</c:v>
                </c:pt>
                <c:pt idx="468">
                  <c:v>114.93126722073316</c:v>
                </c:pt>
                <c:pt idx="469">
                  <c:v>114.76110334384099</c:v>
                </c:pt>
                <c:pt idx="470">
                  <c:v>114.83513804446075</c:v>
                </c:pt>
                <c:pt idx="471">
                  <c:v>114.74755500420692</c:v>
                </c:pt>
                <c:pt idx="472">
                  <c:v>115.6015019850896</c:v>
                </c:pt>
                <c:pt idx="473">
                  <c:v>119.69584424723401</c:v>
                </c:pt>
                <c:pt idx="474">
                  <c:v>116.60887068363026</c:v>
                </c:pt>
                <c:pt idx="475">
                  <c:v>113.88642974579481</c:v>
                </c:pt>
                <c:pt idx="476">
                  <c:v>111.16113408537223</c:v>
                </c:pt>
                <c:pt idx="477">
                  <c:v>104.65239490154117</c:v>
                </c:pt>
                <c:pt idx="478">
                  <c:v>97.334329449539766</c:v>
                </c:pt>
                <c:pt idx="479">
                  <c:v>96.977164422807334</c:v>
                </c:pt>
                <c:pt idx="480">
                  <c:v>99.947116200723357</c:v>
                </c:pt>
                <c:pt idx="481">
                  <c:v>99.885000285460251</c:v>
                </c:pt>
                <c:pt idx="482">
                  <c:v>104.04372847431186</c:v>
                </c:pt>
                <c:pt idx="483">
                  <c:v>104.61592080940061</c:v>
                </c:pt>
                <c:pt idx="484">
                  <c:v>105.11047637357353</c:v>
                </c:pt>
                <c:pt idx="485">
                  <c:v>105.88200711367175</c:v>
                </c:pt>
                <c:pt idx="486">
                  <c:v>108.26072812650274</c:v>
                </c:pt>
                <c:pt idx="487">
                  <c:v>110.45691505673101</c:v>
                </c:pt>
                <c:pt idx="488">
                  <c:v>111.64084734298278</c:v>
                </c:pt>
                <c:pt idx="489">
                  <c:v>108.42040217216164</c:v>
                </c:pt>
                <c:pt idx="490">
                  <c:v>106.69487051263505</c:v>
                </c:pt>
                <c:pt idx="491">
                  <c:v>105.97399540688201</c:v>
                </c:pt>
                <c:pt idx="492">
                  <c:v>104.38710887223935</c:v>
                </c:pt>
                <c:pt idx="493">
                  <c:v>101.68416368038415</c:v>
                </c:pt>
                <c:pt idx="494">
                  <c:v>101.71237029322405</c:v>
                </c:pt>
                <c:pt idx="495">
                  <c:v>99.875876894671464</c:v>
                </c:pt>
                <c:pt idx="496">
                  <c:v>98.683977270163325</c:v>
                </c:pt>
                <c:pt idx="497">
                  <c:v>101.78608532318248</c:v>
                </c:pt>
                <c:pt idx="498">
                  <c:v>101.65445387749132</c:v>
                </c:pt>
                <c:pt idx="499">
                  <c:v>101.61970194828895</c:v>
                </c:pt>
                <c:pt idx="500">
                  <c:v>101.43184649227419</c:v>
                </c:pt>
                <c:pt idx="501">
                  <c:v>101.52131095357143</c:v>
                </c:pt>
                <c:pt idx="502">
                  <c:v>101.41202423262786</c:v>
                </c:pt>
                <c:pt idx="503">
                  <c:v>101.28990210771121</c:v>
                </c:pt>
                <c:pt idx="504">
                  <c:v>101.00803491749809</c:v>
                </c:pt>
                <c:pt idx="505">
                  <c:v>100.54959580816194</c:v>
                </c:pt>
                <c:pt idx="506">
                  <c:v>99.770752443596407</c:v>
                </c:pt>
                <c:pt idx="507">
                  <c:v>99.689538573244903</c:v>
                </c:pt>
                <c:pt idx="508">
                  <c:v>100.78808069103543</c:v>
                </c:pt>
                <c:pt idx="509">
                  <c:v>102.12985973280844</c:v>
                </c:pt>
                <c:pt idx="510">
                  <c:v>103.55458372017898</c:v>
                </c:pt>
                <c:pt idx="511">
                  <c:v>102.49757707739452</c:v>
                </c:pt>
                <c:pt idx="512">
                  <c:v>102.23335999051687</c:v>
                </c:pt>
                <c:pt idx="513">
                  <c:v>102.0610893138702</c:v>
                </c:pt>
                <c:pt idx="514">
                  <c:v>102.44956073207409</c:v>
                </c:pt>
                <c:pt idx="515">
                  <c:v>101.89974106542583</c:v>
                </c:pt>
                <c:pt idx="516">
                  <c:v>101.44192857947496</c:v>
                </c:pt>
                <c:pt idx="517">
                  <c:v>101.43503893638477</c:v>
                </c:pt>
                <c:pt idx="518">
                  <c:v>101.65242884130765</c:v>
                </c:pt>
                <c:pt idx="519">
                  <c:v>101.65512890748201</c:v>
                </c:pt>
                <c:pt idx="520">
                  <c:v>101.42899026524184</c:v>
                </c:pt>
                <c:pt idx="521">
                  <c:v>100.54299192326187</c:v>
                </c:pt>
                <c:pt idx="522">
                  <c:v>100.62378398275217</c:v>
                </c:pt>
                <c:pt idx="523">
                  <c:v>100.08597384172305</c:v>
                </c:pt>
                <c:pt idx="524">
                  <c:v>100.71215933948444</c:v>
                </c:pt>
                <c:pt idx="525">
                  <c:v>101.26410626165865</c:v>
                </c:pt>
                <c:pt idx="526">
                  <c:v>101.2855460427941</c:v>
                </c:pt>
                <c:pt idx="527">
                  <c:v>101.9418122248932</c:v>
                </c:pt>
                <c:pt idx="528">
                  <c:v>102.44064836361621</c:v>
                </c:pt>
                <c:pt idx="529">
                  <c:v>102.62744631391581</c:v>
                </c:pt>
                <c:pt idx="530">
                  <c:v>102.00294511557239</c:v>
                </c:pt>
                <c:pt idx="531">
                  <c:v>101.77475060748384</c:v>
                </c:pt>
                <c:pt idx="532">
                  <c:v>102.02979881964406</c:v>
                </c:pt>
                <c:pt idx="533">
                  <c:v>100.60047479402309</c:v>
                </c:pt>
                <c:pt idx="534">
                  <c:v>102.34356980735986</c:v>
                </c:pt>
                <c:pt idx="535">
                  <c:v>105.393059624169</c:v>
                </c:pt>
                <c:pt idx="536">
                  <c:v>105.57768237383391</c:v>
                </c:pt>
              </c:numCache>
            </c:numRef>
          </c:val>
          <c:smooth val="0"/>
          <c:extLst>
            <c:ext xmlns:c16="http://schemas.microsoft.com/office/drawing/2014/chart" uri="{C3380CC4-5D6E-409C-BE32-E72D297353CC}">
              <c16:uniqueId val="{00000002-EF82-4DBE-A133-804C43A29F89}"/>
            </c:ext>
          </c:extLst>
        </c:ser>
        <c:ser>
          <c:idx val="2"/>
          <c:order val="3"/>
          <c:tx>
            <c:strRef>
              <c:f>Sheet1!$E$1</c:f>
              <c:strCache>
                <c:ptCount val="1"/>
                <c:pt idx="0">
                  <c:v>Դոլարի ինդեքս</c:v>
                </c:pt>
              </c:strCache>
            </c:strRef>
          </c:tx>
          <c:spPr>
            <a:ln w="28575">
              <a:solidFill>
                <a:srgbClr val="00B050"/>
              </a:solidFill>
            </a:ln>
          </c:spPr>
          <c:marker>
            <c:symbol val="none"/>
          </c:marker>
          <c:cat>
            <c:numRef>
              <c:f>Sheet1!$A$2:$A$542</c:f>
              <c:numCache>
                <c:formatCode>m\/d\/yyyy</c:formatCode>
                <c:ptCount val="541"/>
                <c:pt idx="0">
                  <c:v>43840</c:v>
                </c:pt>
                <c:pt idx="1">
                  <c:v>43844</c:v>
                </c:pt>
                <c:pt idx="2">
                  <c:v>43845</c:v>
                </c:pt>
                <c:pt idx="3">
                  <c:v>43846</c:v>
                </c:pt>
                <c:pt idx="4">
                  <c:v>43847</c:v>
                </c:pt>
                <c:pt idx="5">
                  <c:v>43851</c:v>
                </c:pt>
                <c:pt idx="6">
                  <c:v>43852</c:v>
                </c:pt>
                <c:pt idx="7">
                  <c:v>43853</c:v>
                </c:pt>
                <c:pt idx="8">
                  <c:v>43854</c:v>
                </c:pt>
                <c:pt idx="9">
                  <c:v>43859</c:v>
                </c:pt>
                <c:pt idx="10">
                  <c:v>43860</c:v>
                </c:pt>
                <c:pt idx="11">
                  <c:v>43861</c:v>
                </c:pt>
                <c:pt idx="12">
                  <c:v>43865</c:v>
                </c:pt>
                <c:pt idx="13">
                  <c:v>43866</c:v>
                </c:pt>
                <c:pt idx="14">
                  <c:v>43867</c:v>
                </c:pt>
                <c:pt idx="15">
                  <c:v>43868</c:v>
                </c:pt>
                <c:pt idx="16">
                  <c:v>43872</c:v>
                </c:pt>
                <c:pt idx="17">
                  <c:v>43873</c:v>
                </c:pt>
                <c:pt idx="18">
                  <c:v>43874</c:v>
                </c:pt>
                <c:pt idx="19">
                  <c:v>43875</c:v>
                </c:pt>
                <c:pt idx="20">
                  <c:v>43879</c:v>
                </c:pt>
                <c:pt idx="21">
                  <c:v>43880</c:v>
                </c:pt>
                <c:pt idx="22">
                  <c:v>43881</c:v>
                </c:pt>
                <c:pt idx="23">
                  <c:v>43882</c:v>
                </c:pt>
                <c:pt idx="24">
                  <c:v>43887</c:v>
                </c:pt>
                <c:pt idx="25">
                  <c:v>43888</c:v>
                </c:pt>
                <c:pt idx="26">
                  <c:v>43889</c:v>
                </c:pt>
                <c:pt idx="27">
                  <c:v>43893</c:v>
                </c:pt>
                <c:pt idx="28">
                  <c:v>43894</c:v>
                </c:pt>
                <c:pt idx="29">
                  <c:v>43895</c:v>
                </c:pt>
                <c:pt idx="30">
                  <c:v>43896</c:v>
                </c:pt>
                <c:pt idx="31">
                  <c:v>43901</c:v>
                </c:pt>
                <c:pt idx="32">
                  <c:v>43902</c:v>
                </c:pt>
                <c:pt idx="33">
                  <c:v>43903</c:v>
                </c:pt>
                <c:pt idx="34">
                  <c:v>43907</c:v>
                </c:pt>
                <c:pt idx="35">
                  <c:v>43908</c:v>
                </c:pt>
                <c:pt idx="36">
                  <c:v>43909</c:v>
                </c:pt>
                <c:pt idx="37">
                  <c:v>43910</c:v>
                </c:pt>
                <c:pt idx="38">
                  <c:v>43914</c:v>
                </c:pt>
                <c:pt idx="39">
                  <c:v>43915</c:v>
                </c:pt>
                <c:pt idx="40">
                  <c:v>43916</c:v>
                </c:pt>
                <c:pt idx="41">
                  <c:v>43917</c:v>
                </c:pt>
                <c:pt idx="42">
                  <c:v>43928</c:v>
                </c:pt>
                <c:pt idx="43">
                  <c:v>43929</c:v>
                </c:pt>
                <c:pt idx="44">
                  <c:v>43930</c:v>
                </c:pt>
                <c:pt idx="45">
                  <c:v>43931</c:v>
                </c:pt>
                <c:pt idx="46">
                  <c:v>43935</c:v>
                </c:pt>
                <c:pt idx="47">
                  <c:v>43936</c:v>
                </c:pt>
                <c:pt idx="48">
                  <c:v>43937</c:v>
                </c:pt>
                <c:pt idx="49">
                  <c:v>43938</c:v>
                </c:pt>
                <c:pt idx="50">
                  <c:v>43942</c:v>
                </c:pt>
                <c:pt idx="51">
                  <c:v>43943</c:v>
                </c:pt>
                <c:pt idx="52">
                  <c:v>43944</c:v>
                </c:pt>
                <c:pt idx="53">
                  <c:v>43949</c:v>
                </c:pt>
                <c:pt idx="54">
                  <c:v>43950</c:v>
                </c:pt>
                <c:pt idx="55">
                  <c:v>43951</c:v>
                </c:pt>
                <c:pt idx="56">
                  <c:v>43958</c:v>
                </c:pt>
                <c:pt idx="57">
                  <c:v>43959</c:v>
                </c:pt>
                <c:pt idx="58">
                  <c:v>43964</c:v>
                </c:pt>
                <c:pt idx="59">
                  <c:v>43965</c:v>
                </c:pt>
                <c:pt idx="60">
                  <c:v>43966</c:v>
                </c:pt>
                <c:pt idx="61">
                  <c:v>43970</c:v>
                </c:pt>
                <c:pt idx="62">
                  <c:v>43971</c:v>
                </c:pt>
                <c:pt idx="63">
                  <c:v>43972</c:v>
                </c:pt>
                <c:pt idx="64">
                  <c:v>43973</c:v>
                </c:pt>
                <c:pt idx="65">
                  <c:v>43977</c:v>
                </c:pt>
                <c:pt idx="66">
                  <c:v>43978</c:v>
                </c:pt>
                <c:pt idx="67">
                  <c:v>43984</c:v>
                </c:pt>
                <c:pt idx="68">
                  <c:v>43985</c:v>
                </c:pt>
                <c:pt idx="69">
                  <c:v>43986</c:v>
                </c:pt>
                <c:pt idx="70">
                  <c:v>43987</c:v>
                </c:pt>
                <c:pt idx="71">
                  <c:v>43991</c:v>
                </c:pt>
                <c:pt idx="72">
                  <c:v>43992</c:v>
                </c:pt>
                <c:pt idx="73">
                  <c:v>43993</c:v>
                </c:pt>
                <c:pt idx="74">
                  <c:v>43994</c:v>
                </c:pt>
                <c:pt idx="75">
                  <c:v>43998</c:v>
                </c:pt>
                <c:pt idx="76">
                  <c:v>43999</c:v>
                </c:pt>
                <c:pt idx="77">
                  <c:v>44000</c:v>
                </c:pt>
                <c:pt idx="78">
                  <c:v>44001</c:v>
                </c:pt>
                <c:pt idx="79">
                  <c:v>44005</c:v>
                </c:pt>
                <c:pt idx="80">
                  <c:v>44006</c:v>
                </c:pt>
                <c:pt idx="81">
                  <c:v>44007</c:v>
                </c:pt>
                <c:pt idx="82">
                  <c:v>44008</c:v>
                </c:pt>
                <c:pt idx="83">
                  <c:v>44012</c:v>
                </c:pt>
                <c:pt idx="84">
                  <c:v>44013</c:v>
                </c:pt>
                <c:pt idx="85">
                  <c:v>44014</c:v>
                </c:pt>
                <c:pt idx="86">
                  <c:v>44015</c:v>
                </c:pt>
                <c:pt idx="87">
                  <c:v>44019</c:v>
                </c:pt>
                <c:pt idx="88">
                  <c:v>44020</c:v>
                </c:pt>
                <c:pt idx="89">
                  <c:v>44021</c:v>
                </c:pt>
                <c:pt idx="90">
                  <c:v>44022</c:v>
                </c:pt>
                <c:pt idx="91">
                  <c:v>44026</c:v>
                </c:pt>
                <c:pt idx="92">
                  <c:v>44027</c:v>
                </c:pt>
                <c:pt idx="93">
                  <c:v>44028</c:v>
                </c:pt>
                <c:pt idx="94">
                  <c:v>44029</c:v>
                </c:pt>
                <c:pt idx="95">
                  <c:v>44033</c:v>
                </c:pt>
                <c:pt idx="96">
                  <c:v>44034</c:v>
                </c:pt>
                <c:pt idx="97">
                  <c:v>44035</c:v>
                </c:pt>
                <c:pt idx="98">
                  <c:v>44036</c:v>
                </c:pt>
                <c:pt idx="99">
                  <c:v>44040</c:v>
                </c:pt>
                <c:pt idx="100">
                  <c:v>44041</c:v>
                </c:pt>
                <c:pt idx="101">
                  <c:v>44042</c:v>
                </c:pt>
                <c:pt idx="102">
                  <c:v>44043</c:v>
                </c:pt>
                <c:pt idx="103">
                  <c:v>44047</c:v>
                </c:pt>
                <c:pt idx="104">
                  <c:v>44048</c:v>
                </c:pt>
                <c:pt idx="105">
                  <c:v>44049</c:v>
                </c:pt>
                <c:pt idx="106">
                  <c:v>44050</c:v>
                </c:pt>
                <c:pt idx="107">
                  <c:v>44054</c:v>
                </c:pt>
                <c:pt idx="108">
                  <c:v>44055</c:v>
                </c:pt>
                <c:pt idx="109">
                  <c:v>44056</c:v>
                </c:pt>
                <c:pt idx="110">
                  <c:v>44057</c:v>
                </c:pt>
                <c:pt idx="111">
                  <c:v>44061</c:v>
                </c:pt>
                <c:pt idx="112">
                  <c:v>44062</c:v>
                </c:pt>
                <c:pt idx="113">
                  <c:v>44063</c:v>
                </c:pt>
                <c:pt idx="114">
                  <c:v>44064</c:v>
                </c:pt>
                <c:pt idx="115">
                  <c:v>44068</c:v>
                </c:pt>
                <c:pt idx="116">
                  <c:v>44069</c:v>
                </c:pt>
                <c:pt idx="117">
                  <c:v>44070</c:v>
                </c:pt>
                <c:pt idx="118">
                  <c:v>44071</c:v>
                </c:pt>
                <c:pt idx="119">
                  <c:v>44075</c:v>
                </c:pt>
                <c:pt idx="120">
                  <c:v>44076</c:v>
                </c:pt>
                <c:pt idx="121">
                  <c:v>44077</c:v>
                </c:pt>
                <c:pt idx="122">
                  <c:v>44078</c:v>
                </c:pt>
                <c:pt idx="123">
                  <c:v>44082</c:v>
                </c:pt>
                <c:pt idx="124">
                  <c:v>44083</c:v>
                </c:pt>
                <c:pt idx="125">
                  <c:v>44084</c:v>
                </c:pt>
                <c:pt idx="126">
                  <c:v>44085</c:v>
                </c:pt>
                <c:pt idx="127">
                  <c:v>44089</c:v>
                </c:pt>
                <c:pt idx="128">
                  <c:v>44090</c:v>
                </c:pt>
                <c:pt idx="129">
                  <c:v>44091</c:v>
                </c:pt>
                <c:pt idx="130">
                  <c:v>44092</c:v>
                </c:pt>
                <c:pt idx="131">
                  <c:v>44096</c:v>
                </c:pt>
                <c:pt idx="132">
                  <c:v>44097</c:v>
                </c:pt>
                <c:pt idx="133">
                  <c:v>44098</c:v>
                </c:pt>
                <c:pt idx="134">
                  <c:v>44099</c:v>
                </c:pt>
                <c:pt idx="135">
                  <c:v>44103</c:v>
                </c:pt>
                <c:pt idx="136">
                  <c:v>44104</c:v>
                </c:pt>
                <c:pt idx="137">
                  <c:v>44105</c:v>
                </c:pt>
                <c:pt idx="138">
                  <c:v>44106</c:v>
                </c:pt>
                <c:pt idx="139">
                  <c:v>44110</c:v>
                </c:pt>
                <c:pt idx="140">
                  <c:v>44111</c:v>
                </c:pt>
                <c:pt idx="141">
                  <c:v>44112</c:v>
                </c:pt>
                <c:pt idx="142">
                  <c:v>44113</c:v>
                </c:pt>
                <c:pt idx="143">
                  <c:v>44117</c:v>
                </c:pt>
                <c:pt idx="144">
                  <c:v>44118</c:v>
                </c:pt>
                <c:pt idx="145">
                  <c:v>44119</c:v>
                </c:pt>
                <c:pt idx="146">
                  <c:v>44120</c:v>
                </c:pt>
                <c:pt idx="147">
                  <c:v>44124</c:v>
                </c:pt>
                <c:pt idx="148">
                  <c:v>44125</c:v>
                </c:pt>
                <c:pt idx="149">
                  <c:v>44126</c:v>
                </c:pt>
                <c:pt idx="150">
                  <c:v>44127</c:v>
                </c:pt>
                <c:pt idx="151">
                  <c:v>44131</c:v>
                </c:pt>
                <c:pt idx="152">
                  <c:v>44132</c:v>
                </c:pt>
                <c:pt idx="153">
                  <c:v>44133</c:v>
                </c:pt>
                <c:pt idx="154">
                  <c:v>44134</c:v>
                </c:pt>
                <c:pt idx="155">
                  <c:v>44138</c:v>
                </c:pt>
                <c:pt idx="156">
                  <c:v>44139</c:v>
                </c:pt>
                <c:pt idx="157">
                  <c:v>44141</c:v>
                </c:pt>
                <c:pt idx="158">
                  <c:v>44145</c:v>
                </c:pt>
                <c:pt idx="159">
                  <c:v>44146</c:v>
                </c:pt>
                <c:pt idx="160">
                  <c:v>44147</c:v>
                </c:pt>
                <c:pt idx="161">
                  <c:v>44148</c:v>
                </c:pt>
                <c:pt idx="162">
                  <c:v>44152</c:v>
                </c:pt>
                <c:pt idx="163">
                  <c:v>44153</c:v>
                </c:pt>
                <c:pt idx="164">
                  <c:v>44154</c:v>
                </c:pt>
                <c:pt idx="165">
                  <c:v>44155</c:v>
                </c:pt>
                <c:pt idx="166">
                  <c:v>44159</c:v>
                </c:pt>
                <c:pt idx="167">
                  <c:v>44160</c:v>
                </c:pt>
                <c:pt idx="168">
                  <c:v>44161</c:v>
                </c:pt>
                <c:pt idx="169">
                  <c:v>44162</c:v>
                </c:pt>
                <c:pt idx="170">
                  <c:v>44166</c:v>
                </c:pt>
                <c:pt idx="171">
                  <c:v>44167</c:v>
                </c:pt>
                <c:pt idx="172">
                  <c:v>44168</c:v>
                </c:pt>
                <c:pt idx="173">
                  <c:v>44169</c:v>
                </c:pt>
                <c:pt idx="174">
                  <c:v>44173</c:v>
                </c:pt>
                <c:pt idx="175">
                  <c:v>44174</c:v>
                </c:pt>
                <c:pt idx="176">
                  <c:v>44175</c:v>
                </c:pt>
                <c:pt idx="177">
                  <c:v>44176</c:v>
                </c:pt>
                <c:pt idx="178">
                  <c:v>44180</c:v>
                </c:pt>
                <c:pt idx="179">
                  <c:v>44181</c:v>
                </c:pt>
                <c:pt idx="180">
                  <c:v>44182</c:v>
                </c:pt>
                <c:pt idx="181">
                  <c:v>44183</c:v>
                </c:pt>
                <c:pt idx="182">
                  <c:v>44187</c:v>
                </c:pt>
                <c:pt idx="183">
                  <c:v>44188</c:v>
                </c:pt>
                <c:pt idx="184">
                  <c:v>44189</c:v>
                </c:pt>
                <c:pt idx="185">
                  <c:v>44190</c:v>
                </c:pt>
                <c:pt idx="186">
                  <c:v>44194</c:v>
                </c:pt>
                <c:pt idx="187">
                  <c:v>44195</c:v>
                </c:pt>
                <c:pt idx="188">
                  <c:v>44208</c:v>
                </c:pt>
                <c:pt idx="189">
                  <c:v>44209</c:v>
                </c:pt>
                <c:pt idx="190">
                  <c:v>44210</c:v>
                </c:pt>
                <c:pt idx="191">
                  <c:v>44211</c:v>
                </c:pt>
                <c:pt idx="192">
                  <c:v>44215</c:v>
                </c:pt>
                <c:pt idx="193">
                  <c:v>44216</c:v>
                </c:pt>
                <c:pt idx="194">
                  <c:v>44217</c:v>
                </c:pt>
                <c:pt idx="195">
                  <c:v>44218</c:v>
                </c:pt>
                <c:pt idx="196">
                  <c:v>44222</c:v>
                </c:pt>
                <c:pt idx="197">
                  <c:v>44223</c:v>
                </c:pt>
                <c:pt idx="198">
                  <c:v>44225</c:v>
                </c:pt>
                <c:pt idx="199">
                  <c:v>44229</c:v>
                </c:pt>
                <c:pt idx="200">
                  <c:v>44230</c:v>
                </c:pt>
                <c:pt idx="201">
                  <c:v>44231</c:v>
                </c:pt>
                <c:pt idx="202">
                  <c:v>44232</c:v>
                </c:pt>
                <c:pt idx="203">
                  <c:v>44236</c:v>
                </c:pt>
                <c:pt idx="204">
                  <c:v>44237</c:v>
                </c:pt>
                <c:pt idx="205">
                  <c:v>44238</c:v>
                </c:pt>
                <c:pt idx="206">
                  <c:v>44239</c:v>
                </c:pt>
                <c:pt idx="207">
                  <c:v>44243</c:v>
                </c:pt>
                <c:pt idx="208">
                  <c:v>44244</c:v>
                </c:pt>
                <c:pt idx="209">
                  <c:v>44245</c:v>
                </c:pt>
                <c:pt idx="210">
                  <c:v>44246</c:v>
                </c:pt>
                <c:pt idx="211">
                  <c:v>44252</c:v>
                </c:pt>
                <c:pt idx="212">
                  <c:v>44253</c:v>
                </c:pt>
                <c:pt idx="213">
                  <c:v>44257</c:v>
                </c:pt>
                <c:pt idx="214">
                  <c:v>44258</c:v>
                </c:pt>
                <c:pt idx="215">
                  <c:v>44259</c:v>
                </c:pt>
                <c:pt idx="216">
                  <c:v>44260</c:v>
                </c:pt>
                <c:pt idx="217">
                  <c:v>44265</c:v>
                </c:pt>
                <c:pt idx="218">
                  <c:v>44266</c:v>
                </c:pt>
                <c:pt idx="219">
                  <c:v>44267</c:v>
                </c:pt>
                <c:pt idx="220">
                  <c:v>44271</c:v>
                </c:pt>
                <c:pt idx="221">
                  <c:v>44272</c:v>
                </c:pt>
                <c:pt idx="222">
                  <c:v>44273</c:v>
                </c:pt>
                <c:pt idx="223">
                  <c:v>44274</c:v>
                </c:pt>
                <c:pt idx="224">
                  <c:v>44278</c:v>
                </c:pt>
                <c:pt idx="225">
                  <c:v>44279</c:v>
                </c:pt>
                <c:pt idx="226">
                  <c:v>44280</c:v>
                </c:pt>
                <c:pt idx="227">
                  <c:v>44281</c:v>
                </c:pt>
                <c:pt idx="228">
                  <c:v>44285</c:v>
                </c:pt>
                <c:pt idx="229">
                  <c:v>44286</c:v>
                </c:pt>
                <c:pt idx="230">
                  <c:v>44287</c:v>
                </c:pt>
                <c:pt idx="231">
                  <c:v>44288</c:v>
                </c:pt>
                <c:pt idx="232">
                  <c:v>44292</c:v>
                </c:pt>
                <c:pt idx="233">
                  <c:v>44293</c:v>
                </c:pt>
                <c:pt idx="234">
                  <c:v>44294</c:v>
                </c:pt>
                <c:pt idx="235">
                  <c:v>44295</c:v>
                </c:pt>
                <c:pt idx="236">
                  <c:v>44299</c:v>
                </c:pt>
                <c:pt idx="237">
                  <c:v>44300</c:v>
                </c:pt>
                <c:pt idx="238">
                  <c:v>44301</c:v>
                </c:pt>
                <c:pt idx="239">
                  <c:v>44302</c:v>
                </c:pt>
                <c:pt idx="240">
                  <c:v>44306</c:v>
                </c:pt>
                <c:pt idx="241">
                  <c:v>44307</c:v>
                </c:pt>
                <c:pt idx="242">
                  <c:v>44308</c:v>
                </c:pt>
                <c:pt idx="243">
                  <c:v>44309</c:v>
                </c:pt>
                <c:pt idx="244">
                  <c:v>44313</c:v>
                </c:pt>
                <c:pt idx="245">
                  <c:v>44314</c:v>
                </c:pt>
                <c:pt idx="246">
                  <c:v>44315</c:v>
                </c:pt>
                <c:pt idx="247">
                  <c:v>44316</c:v>
                </c:pt>
                <c:pt idx="248">
                  <c:v>44321</c:v>
                </c:pt>
                <c:pt idx="249">
                  <c:v>44322</c:v>
                </c:pt>
                <c:pt idx="250">
                  <c:v>44323</c:v>
                </c:pt>
                <c:pt idx="251">
                  <c:v>44328</c:v>
                </c:pt>
                <c:pt idx="252">
                  <c:v>44329</c:v>
                </c:pt>
                <c:pt idx="253">
                  <c:v>44330</c:v>
                </c:pt>
                <c:pt idx="254">
                  <c:v>44334</c:v>
                </c:pt>
                <c:pt idx="255">
                  <c:v>44335</c:v>
                </c:pt>
                <c:pt idx="256">
                  <c:v>44336</c:v>
                </c:pt>
                <c:pt idx="257">
                  <c:v>44337</c:v>
                </c:pt>
                <c:pt idx="258">
                  <c:v>44341</c:v>
                </c:pt>
                <c:pt idx="259">
                  <c:v>44342</c:v>
                </c:pt>
                <c:pt idx="260">
                  <c:v>44343</c:v>
                </c:pt>
                <c:pt idx="261">
                  <c:v>44348</c:v>
                </c:pt>
                <c:pt idx="262">
                  <c:v>44349</c:v>
                </c:pt>
                <c:pt idx="263">
                  <c:v>44350</c:v>
                </c:pt>
                <c:pt idx="264">
                  <c:v>44351</c:v>
                </c:pt>
                <c:pt idx="265">
                  <c:v>44355</c:v>
                </c:pt>
                <c:pt idx="266">
                  <c:v>44356</c:v>
                </c:pt>
                <c:pt idx="267">
                  <c:v>44357</c:v>
                </c:pt>
                <c:pt idx="268">
                  <c:v>44358</c:v>
                </c:pt>
                <c:pt idx="269">
                  <c:v>44363</c:v>
                </c:pt>
                <c:pt idx="270">
                  <c:v>44364</c:v>
                </c:pt>
                <c:pt idx="271">
                  <c:v>44365</c:v>
                </c:pt>
                <c:pt idx="272">
                  <c:v>44369</c:v>
                </c:pt>
                <c:pt idx="273">
                  <c:v>44370</c:v>
                </c:pt>
                <c:pt idx="274">
                  <c:v>44371</c:v>
                </c:pt>
                <c:pt idx="275">
                  <c:v>44372</c:v>
                </c:pt>
                <c:pt idx="276">
                  <c:v>44376</c:v>
                </c:pt>
                <c:pt idx="277">
                  <c:v>44377</c:v>
                </c:pt>
                <c:pt idx="278">
                  <c:v>44378</c:v>
                </c:pt>
                <c:pt idx="279">
                  <c:v>44379</c:v>
                </c:pt>
                <c:pt idx="280">
                  <c:v>44383</c:v>
                </c:pt>
                <c:pt idx="281">
                  <c:v>44384</c:v>
                </c:pt>
                <c:pt idx="282">
                  <c:v>44385</c:v>
                </c:pt>
                <c:pt idx="283">
                  <c:v>44386</c:v>
                </c:pt>
                <c:pt idx="284">
                  <c:v>44390</c:v>
                </c:pt>
                <c:pt idx="285">
                  <c:v>44391</c:v>
                </c:pt>
                <c:pt idx="286">
                  <c:v>44392</c:v>
                </c:pt>
                <c:pt idx="287">
                  <c:v>44393</c:v>
                </c:pt>
                <c:pt idx="288">
                  <c:v>44397</c:v>
                </c:pt>
                <c:pt idx="289">
                  <c:v>44398</c:v>
                </c:pt>
                <c:pt idx="290">
                  <c:v>44399</c:v>
                </c:pt>
                <c:pt idx="291">
                  <c:v>44400</c:v>
                </c:pt>
                <c:pt idx="292">
                  <c:v>44404</c:v>
                </c:pt>
                <c:pt idx="293">
                  <c:v>44405</c:v>
                </c:pt>
                <c:pt idx="294">
                  <c:v>44406</c:v>
                </c:pt>
                <c:pt idx="295">
                  <c:v>44407</c:v>
                </c:pt>
                <c:pt idx="296">
                  <c:v>44411</c:v>
                </c:pt>
                <c:pt idx="297">
                  <c:v>44412</c:v>
                </c:pt>
                <c:pt idx="298">
                  <c:v>44413</c:v>
                </c:pt>
                <c:pt idx="299">
                  <c:v>44414</c:v>
                </c:pt>
                <c:pt idx="300">
                  <c:v>44418</c:v>
                </c:pt>
                <c:pt idx="301">
                  <c:v>44419</c:v>
                </c:pt>
                <c:pt idx="302">
                  <c:v>44420</c:v>
                </c:pt>
                <c:pt idx="303">
                  <c:v>44421</c:v>
                </c:pt>
                <c:pt idx="304">
                  <c:v>44425</c:v>
                </c:pt>
                <c:pt idx="305">
                  <c:v>44426</c:v>
                </c:pt>
                <c:pt idx="306">
                  <c:v>44427</c:v>
                </c:pt>
                <c:pt idx="307">
                  <c:v>44428</c:v>
                </c:pt>
                <c:pt idx="308">
                  <c:v>44432</c:v>
                </c:pt>
                <c:pt idx="309">
                  <c:v>44433</c:v>
                </c:pt>
                <c:pt idx="310">
                  <c:v>44434</c:v>
                </c:pt>
                <c:pt idx="311">
                  <c:v>44435</c:v>
                </c:pt>
                <c:pt idx="312">
                  <c:v>44439</c:v>
                </c:pt>
                <c:pt idx="313">
                  <c:v>44440</c:v>
                </c:pt>
                <c:pt idx="314">
                  <c:v>44441</c:v>
                </c:pt>
                <c:pt idx="315">
                  <c:v>44442</c:v>
                </c:pt>
                <c:pt idx="316">
                  <c:v>44446</c:v>
                </c:pt>
                <c:pt idx="317">
                  <c:v>44447</c:v>
                </c:pt>
                <c:pt idx="318">
                  <c:v>44448</c:v>
                </c:pt>
                <c:pt idx="319">
                  <c:v>44449</c:v>
                </c:pt>
                <c:pt idx="320">
                  <c:v>44453</c:v>
                </c:pt>
                <c:pt idx="321">
                  <c:v>44454</c:v>
                </c:pt>
                <c:pt idx="322">
                  <c:v>44455</c:v>
                </c:pt>
                <c:pt idx="323">
                  <c:v>44456</c:v>
                </c:pt>
                <c:pt idx="324">
                  <c:v>44461</c:v>
                </c:pt>
                <c:pt idx="325">
                  <c:v>44462</c:v>
                </c:pt>
                <c:pt idx="326">
                  <c:v>44463</c:v>
                </c:pt>
                <c:pt idx="327">
                  <c:v>44467</c:v>
                </c:pt>
                <c:pt idx="328">
                  <c:v>44468</c:v>
                </c:pt>
                <c:pt idx="329">
                  <c:v>44469</c:v>
                </c:pt>
                <c:pt idx="330">
                  <c:v>44470</c:v>
                </c:pt>
                <c:pt idx="331">
                  <c:v>44474</c:v>
                </c:pt>
                <c:pt idx="332">
                  <c:v>44475</c:v>
                </c:pt>
                <c:pt idx="333">
                  <c:v>44476</c:v>
                </c:pt>
                <c:pt idx="334">
                  <c:v>44477</c:v>
                </c:pt>
                <c:pt idx="335">
                  <c:v>44481</c:v>
                </c:pt>
                <c:pt idx="336">
                  <c:v>44482</c:v>
                </c:pt>
                <c:pt idx="337">
                  <c:v>44483</c:v>
                </c:pt>
                <c:pt idx="338">
                  <c:v>44484</c:v>
                </c:pt>
                <c:pt idx="339">
                  <c:v>44488</c:v>
                </c:pt>
                <c:pt idx="340">
                  <c:v>44489</c:v>
                </c:pt>
                <c:pt idx="341">
                  <c:v>44490</c:v>
                </c:pt>
                <c:pt idx="342">
                  <c:v>44491</c:v>
                </c:pt>
                <c:pt idx="343">
                  <c:v>44495</c:v>
                </c:pt>
                <c:pt idx="344">
                  <c:v>44496</c:v>
                </c:pt>
                <c:pt idx="345">
                  <c:v>44497</c:v>
                </c:pt>
                <c:pt idx="346">
                  <c:v>44498</c:v>
                </c:pt>
                <c:pt idx="347">
                  <c:v>44502</c:v>
                </c:pt>
                <c:pt idx="348">
                  <c:v>44503</c:v>
                </c:pt>
                <c:pt idx="349">
                  <c:v>44504</c:v>
                </c:pt>
                <c:pt idx="350">
                  <c:v>44509</c:v>
                </c:pt>
                <c:pt idx="351">
                  <c:v>44510</c:v>
                </c:pt>
                <c:pt idx="352">
                  <c:v>44511</c:v>
                </c:pt>
                <c:pt idx="353">
                  <c:v>44512</c:v>
                </c:pt>
                <c:pt idx="354">
                  <c:v>44516</c:v>
                </c:pt>
                <c:pt idx="355">
                  <c:v>44517</c:v>
                </c:pt>
                <c:pt idx="356">
                  <c:v>44518</c:v>
                </c:pt>
                <c:pt idx="357">
                  <c:v>44519</c:v>
                </c:pt>
                <c:pt idx="358">
                  <c:v>44523</c:v>
                </c:pt>
                <c:pt idx="359">
                  <c:v>44524</c:v>
                </c:pt>
                <c:pt idx="360">
                  <c:v>44525</c:v>
                </c:pt>
                <c:pt idx="361">
                  <c:v>44526</c:v>
                </c:pt>
                <c:pt idx="362">
                  <c:v>44530</c:v>
                </c:pt>
                <c:pt idx="363">
                  <c:v>44531</c:v>
                </c:pt>
                <c:pt idx="364">
                  <c:v>44532</c:v>
                </c:pt>
                <c:pt idx="365">
                  <c:v>44533</c:v>
                </c:pt>
                <c:pt idx="366">
                  <c:v>44537</c:v>
                </c:pt>
                <c:pt idx="367">
                  <c:v>44538</c:v>
                </c:pt>
                <c:pt idx="368">
                  <c:v>44539</c:v>
                </c:pt>
                <c:pt idx="369">
                  <c:v>44540</c:v>
                </c:pt>
                <c:pt idx="370">
                  <c:v>44544</c:v>
                </c:pt>
                <c:pt idx="371">
                  <c:v>44545</c:v>
                </c:pt>
                <c:pt idx="372">
                  <c:v>44546</c:v>
                </c:pt>
                <c:pt idx="373">
                  <c:v>44547</c:v>
                </c:pt>
                <c:pt idx="374">
                  <c:v>44551</c:v>
                </c:pt>
                <c:pt idx="375">
                  <c:v>44552</c:v>
                </c:pt>
                <c:pt idx="376">
                  <c:v>44553</c:v>
                </c:pt>
                <c:pt idx="377">
                  <c:v>44558</c:v>
                </c:pt>
                <c:pt idx="378">
                  <c:v>44559</c:v>
                </c:pt>
                <c:pt idx="379">
                  <c:v>44560</c:v>
                </c:pt>
                <c:pt idx="380">
                  <c:v>44572</c:v>
                </c:pt>
                <c:pt idx="381">
                  <c:v>44573</c:v>
                </c:pt>
                <c:pt idx="382">
                  <c:v>44574</c:v>
                </c:pt>
                <c:pt idx="383">
                  <c:v>44575</c:v>
                </c:pt>
                <c:pt idx="384">
                  <c:v>44579</c:v>
                </c:pt>
                <c:pt idx="385">
                  <c:v>44580</c:v>
                </c:pt>
                <c:pt idx="386">
                  <c:v>44581</c:v>
                </c:pt>
                <c:pt idx="387">
                  <c:v>44582</c:v>
                </c:pt>
                <c:pt idx="388">
                  <c:v>44586</c:v>
                </c:pt>
                <c:pt idx="389">
                  <c:v>44587</c:v>
                </c:pt>
                <c:pt idx="390">
                  <c:v>44588</c:v>
                </c:pt>
                <c:pt idx="391">
                  <c:v>44593</c:v>
                </c:pt>
                <c:pt idx="392">
                  <c:v>44594</c:v>
                </c:pt>
                <c:pt idx="393">
                  <c:v>44595</c:v>
                </c:pt>
                <c:pt idx="394">
                  <c:v>44596</c:v>
                </c:pt>
                <c:pt idx="395">
                  <c:v>44600</c:v>
                </c:pt>
                <c:pt idx="396">
                  <c:v>44601</c:v>
                </c:pt>
                <c:pt idx="397">
                  <c:v>44602</c:v>
                </c:pt>
                <c:pt idx="398">
                  <c:v>44603</c:v>
                </c:pt>
                <c:pt idx="399">
                  <c:v>44607</c:v>
                </c:pt>
                <c:pt idx="400">
                  <c:v>44608</c:v>
                </c:pt>
                <c:pt idx="401">
                  <c:v>44609</c:v>
                </c:pt>
                <c:pt idx="402">
                  <c:v>44610</c:v>
                </c:pt>
                <c:pt idx="403">
                  <c:v>44614</c:v>
                </c:pt>
                <c:pt idx="404">
                  <c:v>44615</c:v>
                </c:pt>
                <c:pt idx="405">
                  <c:v>44617</c:v>
                </c:pt>
                <c:pt idx="406">
                  <c:v>44621</c:v>
                </c:pt>
                <c:pt idx="407">
                  <c:v>44622</c:v>
                </c:pt>
                <c:pt idx="408">
                  <c:v>44623</c:v>
                </c:pt>
                <c:pt idx="409">
                  <c:v>44624</c:v>
                </c:pt>
                <c:pt idx="410">
                  <c:v>44630</c:v>
                </c:pt>
                <c:pt idx="411">
                  <c:v>44631</c:v>
                </c:pt>
                <c:pt idx="412">
                  <c:v>44635</c:v>
                </c:pt>
                <c:pt idx="413">
                  <c:v>44636</c:v>
                </c:pt>
                <c:pt idx="414">
                  <c:v>44637</c:v>
                </c:pt>
                <c:pt idx="415">
                  <c:v>44638</c:v>
                </c:pt>
                <c:pt idx="416">
                  <c:v>44642</c:v>
                </c:pt>
                <c:pt idx="417">
                  <c:v>44643</c:v>
                </c:pt>
                <c:pt idx="418">
                  <c:v>44644</c:v>
                </c:pt>
                <c:pt idx="419">
                  <c:v>44645</c:v>
                </c:pt>
                <c:pt idx="420">
                  <c:v>44649</c:v>
                </c:pt>
                <c:pt idx="421">
                  <c:v>44650</c:v>
                </c:pt>
                <c:pt idx="422">
                  <c:v>44651</c:v>
                </c:pt>
                <c:pt idx="423">
                  <c:v>44652</c:v>
                </c:pt>
                <c:pt idx="424">
                  <c:v>44656</c:v>
                </c:pt>
                <c:pt idx="425">
                  <c:v>44657</c:v>
                </c:pt>
                <c:pt idx="426">
                  <c:v>44658</c:v>
                </c:pt>
                <c:pt idx="427">
                  <c:v>44659</c:v>
                </c:pt>
                <c:pt idx="428">
                  <c:v>44663</c:v>
                </c:pt>
                <c:pt idx="429">
                  <c:v>44664</c:v>
                </c:pt>
                <c:pt idx="430">
                  <c:v>44665</c:v>
                </c:pt>
                <c:pt idx="431">
                  <c:v>44666</c:v>
                </c:pt>
                <c:pt idx="432">
                  <c:v>44670</c:v>
                </c:pt>
                <c:pt idx="433">
                  <c:v>44671</c:v>
                </c:pt>
                <c:pt idx="434">
                  <c:v>44672</c:v>
                </c:pt>
                <c:pt idx="435">
                  <c:v>44673</c:v>
                </c:pt>
                <c:pt idx="436">
                  <c:v>44677</c:v>
                </c:pt>
                <c:pt idx="437">
                  <c:v>44678</c:v>
                </c:pt>
                <c:pt idx="438">
                  <c:v>44679</c:v>
                </c:pt>
                <c:pt idx="439">
                  <c:v>44680</c:v>
                </c:pt>
                <c:pt idx="440">
                  <c:v>44686</c:v>
                </c:pt>
                <c:pt idx="441">
                  <c:v>44687</c:v>
                </c:pt>
                <c:pt idx="442">
                  <c:v>44693</c:v>
                </c:pt>
                <c:pt idx="443">
                  <c:v>44694</c:v>
                </c:pt>
                <c:pt idx="444">
                  <c:v>44698</c:v>
                </c:pt>
                <c:pt idx="445">
                  <c:v>44699</c:v>
                </c:pt>
                <c:pt idx="446">
                  <c:v>44700</c:v>
                </c:pt>
                <c:pt idx="447">
                  <c:v>44701</c:v>
                </c:pt>
                <c:pt idx="448">
                  <c:v>44705</c:v>
                </c:pt>
                <c:pt idx="449">
                  <c:v>44706</c:v>
                </c:pt>
                <c:pt idx="450">
                  <c:v>44707</c:v>
                </c:pt>
                <c:pt idx="451">
                  <c:v>44708</c:v>
                </c:pt>
                <c:pt idx="452">
                  <c:v>44712</c:v>
                </c:pt>
                <c:pt idx="453">
                  <c:v>44713</c:v>
                </c:pt>
                <c:pt idx="454">
                  <c:v>44714</c:v>
                </c:pt>
                <c:pt idx="455">
                  <c:v>44715</c:v>
                </c:pt>
                <c:pt idx="456">
                  <c:v>44719</c:v>
                </c:pt>
                <c:pt idx="457">
                  <c:v>44720</c:v>
                </c:pt>
                <c:pt idx="458">
                  <c:v>44721</c:v>
                </c:pt>
                <c:pt idx="459">
                  <c:v>44722</c:v>
                </c:pt>
              </c:numCache>
            </c:numRef>
          </c:cat>
          <c:val>
            <c:numRef>
              <c:f>Sheet1!$E$2:$E$542</c:f>
              <c:numCache>
                <c:formatCode>0</c:formatCode>
                <c:ptCount val="541"/>
                <c:pt idx="0">
                  <c:v>100</c:v>
                </c:pt>
                <c:pt idx="1">
                  <c:v>100.01027115858669</c:v>
                </c:pt>
                <c:pt idx="2">
                  <c:v>99.866474938373045</c:v>
                </c:pt>
                <c:pt idx="3">
                  <c:v>99.95891536565324</c:v>
                </c:pt>
                <c:pt idx="4">
                  <c:v>100.28759244042728</c:v>
                </c:pt>
                <c:pt idx="5">
                  <c:v>100.1746096959737</c:v>
                </c:pt>
                <c:pt idx="6">
                  <c:v>100.1746096959737</c:v>
                </c:pt>
                <c:pt idx="7">
                  <c:v>100.33894823336071</c:v>
                </c:pt>
                <c:pt idx="8">
                  <c:v>100.50328677074772</c:v>
                </c:pt>
                <c:pt idx="9">
                  <c:v>100.64708299096137</c:v>
                </c:pt>
                <c:pt idx="10">
                  <c:v>100.52382908792111</c:v>
                </c:pt>
                <c:pt idx="11">
                  <c:v>100.03081347576006</c:v>
                </c:pt>
                <c:pt idx="12">
                  <c:v>100.6162695152013</c:v>
                </c:pt>
                <c:pt idx="13">
                  <c:v>100.96548890714872</c:v>
                </c:pt>
                <c:pt idx="14">
                  <c:v>101.17091207888251</c:v>
                </c:pt>
                <c:pt idx="15">
                  <c:v>101.35579293344291</c:v>
                </c:pt>
                <c:pt idx="16">
                  <c:v>101.39687756778967</c:v>
                </c:pt>
                <c:pt idx="17">
                  <c:v>101.73582580115038</c:v>
                </c:pt>
                <c:pt idx="18">
                  <c:v>101.75636811832376</c:v>
                </c:pt>
                <c:pt idx="19">
                  <c:v>101.80772391125723</c:v>
                </c:pt>
                <c:pt idx="20">
                  <c:v>102.13640098603126</c:v>
                </c:pt>
                <c:pt idx="21">
                  <c:v>102.41372226787186</c:v>
                </c:pt>
                <c:pt idx="22">
                  <c:v>102.5677896466722</c:v>
                </c:pt>
                <c:pt idx="23">
                  <c:v>101.95152013147089</c:v>
                </c:pt>
                <c:pt idx="24">
                  <c:v>101.68447000821698</c:v>
                </c:pt>
                <c:pt idx="25">
                  <c:v>101.18118323746924</c:v>
                </c:pt>
                <c:pt idx="26">
                  <c:v>100.79087921117507</c:v>
                </c:pt>
                <c:pt idx="27">
                  <c:v>99.784305669679597</c:v>
                </c:pt>
                <c:pt idx="28">
                  <c:v>99.979457682826691</c:v>
                </c:pt>
                <c:pt idx="29">
                  <c:v>99.445357436318886</c:v>
                </c:pt>
                <c:pt idx="30">
                  <c:v>98.551766639276991</c:v>
                </c:pt>
                <c:pt idx="31">
                  <c:v>99.126951520131556</c:v>
                </c:pt>
                <c:pt idx="32">
                  <c:v>100.11298274445366</c:v>
                </c:pt>
                <c:pt idx="33">
                  <c:v>101.4276910435498</c:v>
                </c:pt>
                <c:pt idx="34">
                  <c:v>102.26992604765826</c:v>
                </c:pt>
                <c:pt idx="35">
                  <c:v>103.90304026294176</c:v>
                </c:pt>
                <c:pt idx="36">
                  <c:v>105.53615447822524</c:v>
                </c:pt>
                <c:pt idx="37">
                  <c:v>105.60805258833206</c:v>
                </c:pt>
                <c:pt idx="38">
                  <c:v>104.80690221857036</c:v>
                </c:pt>
                <c:pt idx="39">
                  <c:v>103.79005751848818</c:v>
                </c:pt>
                <c:pt idx="40">
                  <c:v>102.04396055875112</c:v>
                </c:pt>
                <c:pt idx="41">
                  <c:v>101.02711585866895</c:v>
                </c:pt>
                <c:pt idx="42">
                  <c:v>102.608874281019</c:v>
                </c:pt>
                <c:pt idx="43">
                  <c:v>102.83483976992613</c:v>
                </c:pt>
                <c:pt idx="44">
                  <c:v>102.21857025472481</c:v>
                </c:pt>
                <c:pt idx="45">
                  <c:v>102.21857025472481</c:v>
                </c:pt>
                <c:pt idx="46">
                  <c:v>101.57148726376343</c:v>
                </c:pt>
                <c:pt idx="47">
                  <c:v>102.15694330320468</c:v>
                </c:pt>
                <c:pt idx="48">
                  <c:v>102.74239934264595</c:v>
                </c:pt>
                <c:pt idx="49">
                  <c:v>102.48562037797875</c:v>
                </c:pt>
                <c:pt idx="50">
                  <c:v>102.97863599013979</c:v>
                </c:pt>
                <c:pt idx="51">
                  <c:v>103.11216105176673</c:v>
                </c:pt>
                <c:pt idx="52">
                  <c:v>103.15324568611348</c:v>
                </c:pt>
                <c:pt idx="53">
                  <c:v>102.56778964667222</c:v>
                </c:pt>
                <c:pt idx="54">
                  <c:v>102.26992604765826</c:v>
                </c:pt>
                <c:pt idx="55">
                  <c:v>101.7050123253904</c:v>
                </c:pt>
                <c:pt idx="56">
                  <c:v>102.59860312243231</c:v>
                </c:pt>
                <c:pt idx="57">
                  <c:v>102.4342645850453</c:v>
                </c:pt>
                <c:pt idx="58">
                  <c:v>102.95809367296641</c:v>
                </c:pt>
                <c:pt idx="59">
                  <c:v>103.19433032046025</c:v>
                </c:pt>
                <c:pt idx="60">
                  <c:v>103.12243221035344</c:v>
                </c:pt>
                <c:pt idx="61">
                  <c:v>102.06450287592452</c:v>
                </c:pt>
                <c:pt idx="62">
                  <c:v>101.8077239112573</c:v>
                </c:pt>
                <c:pt idx="63">
                  <c:v>102.06450287592452</c:v>
                </c:pt>
                <c:pt idx="64">
                  <c:v>102.56778964667224</c:v>
                </c:pt>
                <c:pt idx="65">
                  <c:v>101.59202958093681</c:v>
                </c:pt>
                <c:pt idx="66">
                  <c:v>101.74609695973714</c:v>
                </c:pt>
                <c:pt idx="67">
                  <c:v>100.31840591618743</c:v>
                </c:pt>
                <c:pt idx="68">
                  <c:v>99.917830731306566</c:v>
                </c:pt>
                <c:pt idx="69">
                  <c:v>99.301561216105256</c:v>
                </c:pt>
                <c:pt idx="70">
                  <c:v>99.568611339359137</c:v>
                </c:pt>
                <c:pt idx="71">
                  <c:v>98.931799506984433</c:v>
                </c:pt>
                <c:pt idx="72">
                  <c:v>98.562037797863638</c:v>
                </c:pt>
                <c:pt idx="73">
                  <c:v>99.352917009038677</c:v>
                </c:pt>
                <c:pt idx="74">
                  <c:v>99.958915365653297</c:v>
                </c:pt>
                <c:pt idx="75">
                  <c:v>99.589153656532503</c:v>
                </c:pt>
                <c:pt idx="76">
                  <c:v>99.794576828266273</c:v>
                </c:pt>
                <c:pt idx="77">
                  <c:v>100.06162695152018</c:v>
                </c:pt>
                <c:pt idx="78">
                  <c:v>100.26705012325397</c:v>
                </c:pt>
                <c:pt idx="79">
                  <c:v>99.270747740345186</c:v>
                </c:pt>
                <c:pt idx="80">
                  <c:v>99.784305669679611</c:v>
                </c:pt>
                <c:pt idx="81">
                  <c:v>100.07189811010689</c:v>
                </c:pt>
                <c:pt idx="82">
                  <c:v>100.07189811010689</c:v>
                </c:pt>
                <c:pt idx="83">
                  <c:v>100.03081347576013</c:v>
                </c:pt>
                <c:pt idx="84">
                  <c:v>99.835661462613047</c:v>
                </c:pt>
                <c:pt idx="85">
                  <c:v>99.958915365653297</c:v>
                </c:pt>
                <c:pt idx="86">
                  <c:v>99.804847986852977</c:v>
                </c:pt>
                <c:pt idx="87">
                  <c:v>99.506984387838997</c:v>
                </c:pt>
                <c:pt idx="88">
                  <c:v>99.044782251438022</c:v>
                </c:pt>
                <c:pt idx="89">
                  <c:v>99.322103533278607</c:v>
                </c:pt>
                <c:pt idx="90">
                  <c:v>99.270747740345158</c:v>
                </c:pt>
                <c:pt idx="91">
                  <c:v>98.870172555464308</c:v>
                </c:pt>
                <c:pt idx="92">
                  <c:v>98.685291700903903</c:v>
                </c:pt>
                <c:pt idx="93">
                  <c:v>98.962612982744503</c:v>
                </c:pt>
                <c:pt idx="94">
                  <c:v>98.541495480690273</c:v>
                </c:pt>
                <c:pt idx="95">
                  <c:v>97.699260476581813</c:v>
                </c:pt>
                <c:pt idx="96">
                  <c:v>97.565735414954844</c:v>
                </c:pt>
                <c:pt idx="97">
                  <c:v>97.257600657354189</c:v>
                </c:pt>
                <c:pt idx="98">
                  <c:v>96.990550534100294</c:v>
                </c:pt>
                <c:pt idx="99">
                  <c:v>96.240755957272029</c:v>
                </c:pt>
                <c:pt idx="100">
                  <c:v>95.983976992604809</c:v>
                </c:pt>
                <c:pt idx="101">
                  <c:v>95.542317173377199</c:v>
                </c:pt>
                <c:pt idx="102">
                  <c:v>95.88126540673791</c:v>
                </c:pt>
                <c:pt idx="103">
                  <c:v>95.912078882497966</c:v>
                </c:pt>
                <c:pt idx="104">
                  <c:v>95.388249794576851</c:v>
                </c:pt>
                <c:pt idx="105">
                  <c:v>95.306080525883345</c:v>
                </c:pt>
                <c:pt idx="106">
                  <c:v>95.963434675431401</c:v>
                </c:pt>
                <c:pt idx="107">
                  <c:v>96.168857847165157</c:v>
                </c:pt>
                <c:pt idx="108">
                  <c:v>95.973705834018077</c:v>
                </c:pt>
                <c:pt idx="109">
                  <c:v>95.860723089564502</c:v>
                </c:pt>
                <c:pt idx="110">
                  <c:v>95.624486442070662</c:v>
                </c:pt>
                <c:pt idx="111">
                  <c:v>94.771980279375512</c:v>
                </c:pt>
                <c:pt idx="112">
                  <c:v>95.408792111750216</c:v>
                </c:pt>
                <c:pt idx="113">
                  <c:v>95.306080525883331</c:v>
                </c:pt>
                <c:pt idx="114">
                  <c:v>95.778553820871011</c:v>
                </c:pt>
                <c:pt idx="115">
                  <c:v>95.542317173377171</c:v>
                </c:pt>
                <c:pt idx="116">
                  <c:v>95.532046014790495</c:v>
                </c:pt>
                <c:pt idx="117">
                  <c:v>95.521774856203791</c:v>
                </c:pt>
                <c:pt idx="118">
                  <c:v>94.874691865242411</c:v>
                </c:pt>
                <c:pt idx="119">
                  <c:v>94.843878389482342</c:v>
                </c:pt>
                <c:pt idx="120">
                  <c:v>95.367707477403442</c:v>
                </c:pt>
                <c:pt idx="121">
                  <c:v>95.254724732949867</c:v>
                </c:pt>
                <c:pt idx="122">
                  <c:v>95.234182415776502</c:v>
                </c:pt>
                <c:pt idx="123">
                  <c:v>95.973705834018091</c:v>
                </c:pt>
                <c:pt idx="124">
                  <c:v>95.778553820871011</c:v>
                </c:pt>
                <c:pt idx="125">
                  <c:v>95.87099424815122</c:v>
                </c:pt>
                <c:pt idx="126">
                  <c:v>95.860723089564516</c:v>
                </c:pt>
                <c:pt idx="127">
                  <c:v>95.573130649137227</c:v>
                </c:pt>
                <c:pt idx="128">
                  <c:v>95.737469186524237</c:v>
                </c:pt>
                <c:pt idx="129">
                  <c:v>95.490961380443707</c:v>
                </c:pt>
                <c:pt idx="130">
                  <c:v>95.449876746096962</c:v>
                </c:pt>
                <c:pt idx="131">
                  <c:v>96.538619556285937</c:v>
                </c:pt>
                <c:pt idx="132">
                  <c:v>96.949465899753477</c:v>
                </c:pt>
                <c:pt idx="133">
                  <c:v>96.908381265406717</c:v>
                </c:pt>
                <c:pt idx="134">
                  <c:v>97.206244864420697</c:v>
                </c:pt>
                <c:pt idx="135">
                  <c:v>96.435907970419052</c:v>
                </c:pt>
                <c:pt idx="136">
                  <c:v>96.435907970419052</c:v>
                </c:pt>
                <c:pt idx="137">
                  <c:v>96.251027115858648</c:v>
                </c:pt>
                <c:pt idx="138">
                  <c:v>96.384552177485602</c:v>
                </c:pt>
                <c:pt idx="139">
                  <c:v>96.230484798685268</c:v>
                </c:pt>
                <c:pt idx="140">
                  <c:v>96.168857847165128</c:v>
                </c:pt>
                <c:pt idx="141">
                  <c:v>96.148315529991748</c:v>
                </c:pt>
                <c:pt idx="142">
                  <c:v>95.583401807723874</c:v>
                </c:pt>
                <c:pt idx="143">
                  <c:v>96.066146261298229</c:v>
                </c:pt>
                <c:pt idx="144">
                  <c:v>95.912078882497894</c:v>
                </c:pt>
                <c:pt idx="145">
                  <c:v>96.405094494658954</c:v>
                </c:pt>
                <c:pt idx="146">
                  <c:v>96.220213640098564</c:v>
                </c:pt>
                <c:pt idx="147">
                  <c:v>95.59367296631055</c:v>
                </c:pt>
                <c:pt idx="148">
                  <c:v>95.121199671322884</c:v>
                </c:pt>
                <c:pt idx="149">
                  <c:v>95.470419063270299</c:v>
                </c:pt>
                <c:pt idx="150">
                  <c:v>95.285538208709895</c:v>
                </c:pt>
                <c:pt idx="151">
                  <c:v>95.460147904683609</c:v>
                </c:pt>
                <c:pt idx="152">
                  <c:v>95.932621199671303</c:v>
                </c:pt>
                <c:pt idx="153">
                  <c:v>96.507806080525853</c:v>
                </c:pt>
                <c:pt idx="154">
                  <c:v>96.589975349219372</c:v>
                </c:pt>
                <c:pt idx="155">
                  <c:v>96.086688578471623</c:v>
                </c:pt>
                <c:pt idx="156">
                  <c:v>95.942892358257978</c:v>
                </c:pt>
                <c:pt idx="157">
                  <c:v>94.730895645028724</c:v>
                </c:pt>
                <c:pt idx="158">
                  <c:v>95.264995891536529</c:v>
                </c:pt>
                <c:pt idx="159">
                  <c:v>95.562859490550508</c:v>
                </c:pt>
                <c:pt idx="160">
                  <c:v>95.480690221856989</c:v>
                </c:pt>
                <c:pt idx="161">
                  <c:v>95.264995891536543</c:v>
                </c:pt>
                <c:pt idx="162">
                  <c:v>94.926047658175833</c:v>
                </c:pt>
                <c:pt idx="163">
                  <c:v>94.823336072308933</c:v>
                </c:pt>
                <c:pt idx="164">
                  <c:v>94.792522596548892</c:v>
                </c:pt>
                <c:pt idx="165">
                  <c:v>94.895234182415777</c:v>
                </c:pt>
                <c:pt idx="166">
                  <c:v>94.730895645028752</c:v>
                </c:pt>
                <c:pt idx="167">
                  <c:v>94.484387838948223</c:v>
                </c:pt>
                <c:pt idx="168">
                  <c:v>94.484387838948223</c:v>
                </c:pt>
                <c:pt idx="169">
                  <c:v>94.278964667214453</c:v>
                </c:pt>
                <c:pt idx="170">
                  <c:v>93.785949055053393</c:v>
                </c:pt>
                <c:pt idx="171">
                  <c:v>93.590797041906313</c:v>
                </c:pt>
                <c:pt idx="172">
                  <c:v>93.169679539852069</c:v>
                </c:pt>
                <c:pt idx="173">
                  <c:v>93.159408381265393</c:v>
                </c:pt>
                <c:pt idx="174">
                  <c:v>93.426458504519289</c:v>
                </c:pt>
                <c:pt idx="175">
                  <c:v>93.559983566146258</c:v>
                </c:pt>
                <c:pt idx="176">
                  <c:v>93.282662284305658</c:v>
                </c:pt>
                <c:pt idx="177">
                  <c:v>93.447000821692683</c:v>
                </c:pt>
                <c:pt idx="178">
                  <c:v>92.923171733771554</c:v>
                </c:pt>
                <c:pt idx="179">
                  <c:v>92.902629416598174</c:v>
                </c:pt>
                <c:pt idx="180">
                  <c:v>92.25554642563678</c:v>
                </c:pt>
                <c:pt idx="181">
                  <c:v>92.460969597370564</c:v>
                </c:pt>
                <c:pt idx="182">
                  <c:v>93.108052588331958</c:v>
                </c:pt>
                <c:pt idx="183">
                  <c:v>92.861544782251414</c:v>
                </c:pt>
                <c:pt idx="184">
                  <c:v>92.769104354971219</c:v>
                </c:pt>
                <c:pt idx="185">
                  <c:v>92.769104354971219</c:v>
                </c:pt>
                <c:pt idx="186">
                  <c:v>92.430156121610494</c:v>
                </c:pt>
                <c:pt idx="187">
                  <c:v>92.111750205423164</c:v>
                </c:pt>
                <c:pt idx="188">
                  <c:v>92.532867707477394</c:v>
                </c:pt>
                <c:pt idx="189">
                  <c:v>92.810188989317993</c:v>
                </c:pt>
                <c:pt idx="190">
                  <c:v>92.686935086277728</c:v>
                </c:pt>
                <c:pt idx="191">
                  <c:v>93.231306491372209</c:v>
                </c:pt>
                <c:pt idx="192">
                  <c:v>92.953985209531623</c:v>
                </c:pt>
                <c:pt idx="193">
                  <c:v>92.923171733771554</c:v>
                </c:pt>
                <c:pt idx="194">
                  <c:v>92.573952341824139</c:v>
                </c:pt>
                <c:pt idx="195">
                  <c:v>92.686935086277714</c:v>
                </c:pt>
                <c:pt idx="196">
                  <c:v>92.615036976170899</c:v>
                </c:pt>
                <c:pt idx="197">
                  <c:v>93.108052588331958</c:v>
                </c:pt>
                <c:pt idx="198">
                  <c:v>93.036154478225129</c:v>
                </c:pt>
                <c:pt idx="199">
                  <c:v>93.672966310599833</c:v>
                </c:pt>
                <c:pt idx="200">
                  <c:v>93.642152834839763</c:v>
                </c:pt>
                <c:pt idx="201">
                  <c:v>94.011914543960557</c:v>
                </c:pt>
                <c:pt idx="202">
                  <c:v>93.508627773212822</c:v>
                </c:pt>
                <c:pt idx="203">
                  <c:v>92.892358258011498</c:v>
                </c:pt>
                <c:pt idx="204">
                  <c:v>92.820460147904683</c:v>
                </c:pt>
                <c:pt idx="205">
                  <c:v>92.871815940838133</c:v>
                </c:pt>
                <c:pt idx="206">
                  <c:v>92.933442892358272</c:v>
                </c:pt>
                <c:pt idx="207">
                  <c:v>92.964256368118342</c:v>
                </c:pt>
                <c:pt idx="208">
                  <c:v>93.416187345932642</c:v>
                </c:pt>
                <c:pt idx="209">
                  <c:v>93.046425636811847</c:v>
                </c:pt>
                <c:pt idx="210">
                  <c:v>92.810188989318007</c:v>
                </c:pt>
                <c:pt idx="211">
                  <c:v>92.573952341824167</c:v>
                </c:pt>
                <c:pt idx="212">
                  <c:v>93.344289235825812</c:v>
                </c:pt>
                <c:pt idx="213">
                  <c:v>93.251848808545617</c:v>
                </c:pt>
                <c:pt idx="214">
                  <c:v>93.416187345932627</c:v>
                </c:pt>
                <c:pt idx="215">
                  <c:v>94.114626129827442</c:v>
                </c:pt>
                <c:pt idx="216">
                  <c:v>94.474116680361547</c:v>
                </c:pt>
                <c:pt idx="217">
                  <c:v>94.309778142974523</c:v>
                </c:pt>
                <c:pt idx="218">
                  <c:v>93.898931799506983</c:v>
                </c:pt>
                <c:pt idx="219">
                  <c:v>94.165981922760892</c:v>
                </c:pt>
                <c:pt idx="220">
                  <c:v>94.350862777321282</c:v>
                </c:pt>
                <c:pt idx="221">
                  <c:v>93.919474116680362</c:v>
                </c:pt>
                <c:pt idx="222">
                  <c:v>94.350862777321282</c:v>
                </c:pt>
                <c:pt idx="223">
                  <c:v>94.412489728841408</c:v>
                </c:pt>
                <c:pt idx="224">
                  <c:v>94.843878389482342</c:v>
                </c:pt>
                <c:pt idx="225">
                  <c:v>95.039030402629422</c:v>
                </c:pt>
                <c:pt idx="226">
                  <c:v>95.039030402629422</c:v>
                </c:pt>
                <c:pt idx="227">
                  <c:v>95.285538208709951</c:v>
                </c:pt>
                <c:pt idx="228">
                  <c:v>95.82990961380446</c:v>
                </c:pt>
                <c:pt idx="229">
                  <c:v>95.758011503697645</c:v>
                </c:pt>
                <c:pt idx="230">
                  <c:v>95.44987674609699</c:v>
                </c:pt>
                <c:pt idx="231">
                  <c:v>95.542317173377171</c:v>
                </c:pt>
                <c:pt idx="232">
                  <c:v>94.833607230895666</c:v>
                </c:pt>
                <c:pt idx="233">
                  <c:v>94.967132292522606</c:v>
                </c:pt>
                <c:pt idx="234">
                  <c:v>94.556285949055066</c:v>
                </c:pt>
                <c:pt idx="235">
                  <c:v>94.658997534921937</c:v>
                </c:pt>
                <c:pt idx="236">
                  <c:v>94.340591618734592</c:v>
                </c:pt>
                <c:pt idx="237">
                  <c:v>94.176253081347582</c:v>
                </c:pt>
                <c:pt idx="238">
                  <c:v>94.176253081347582</c:v>
                </c:pt>
                <c:pt idx="239">
                  <c:v>94.042728019720627</c:v>
                </c:pt>
                <c:pt idx="240">
                  <c:v>93.714050944946578</c:v>
                </c:pt>
                <c:pt idx="241">
                  <c:v>93.621610517666397</c:v>
                </c:pt>
                <c:pt idx="242">
                  <c:v>93.806491372226787</c:v>
                </c:pt>
                <c:pt idx="243">
                  <c:v>93.323746918652432</c:v>
                </c:pt>
                <c:pt idx="244">
                  <c:v>93.375102711585882</c:v>
                </c:pt>
                <c:pt idx="245">
                  <c:v>93.066967953985227</c:v>
                </c:pt>
                <c:pt idx="246">
                  <c:v>93.066967953985227</c:v>
                </c:pt>
                <c:pt idx="247">
                  <c:v>93.755135579293366</c:v>
                </c:pt>
                <c:pt idx="248">
                  <c:v>93.785949055053436</c:v>
                </c:pt>
                <c:pt idx="249">
                  <c:v>93.416187345932642</c:v>
                </c:pt>
                <c:pt idx="250">
                  <c:v>92.676663927691067</c:v>
                </c:pt>
                <c:pt idx="251">
                  <c:v>93.169679539852112</c:v>
                </c:pt>
                <c:pt idx="252">
                  <c:v>93.210764174198886</c:v>
                </c:pt>
                <c:pt idx="253">
                  <c:v>92.769104354971262</c:v>
                </c:pt>
                <c:pt idx="254">
                  <c:v>92.183648315530021</c:v>
                </c:pt>
                <c:pt idx="255">
                  <c:v>92.635579293344307</c:v>
                </c:pt>
                <c:pt idx="256">
                  <c:v>92.245275267050147</c:v>
                </c:pt>
                <c:pt idx="257">
                  <c:v>92.460969597370593</c:v>
                </c:pt>
                <c:pt idx="258">
                  <c:v>92.070665571076432</c:v>
                </c:pt>
                <c:pt idx="259">
                  <c:v>92.481511914543987</c:v>
                </c:pt>
                <c:pt idx="260">
                  <c:v>92.409613804437157</c:v>
                </c:pt>
                <c:pt idx="261">
                  <c:v>92.265817584223512</c:v>
                </c:pt>
                <c:pt idx="262">
                  <c:v>92.347986852917018</c:v>
                </c:pt>
                <c:pt idx="263">
                  <c:v>92.964256368118342</c:v>
                </c:pt>
                <c:pt idx="264">
                  <c:v>92.584223500410857</c:v>
                </c:pt>
                <c:pt idx="265">
                  <c:v>92.522596548890718</c:v>
                </c:pt>
                <c:pt idx="266">
                  <c:v>92.563681183237478</c:v>
                </c:pt>
                <c:pt idx="267">
                  <c:v>92.512325390304028</c:v>
                </c:pt>
                <c:pt idx="268">
                  <c:v>93.015612161051777</c:v>
                </c:pt>
                <c:pt idx="269">
                  <c:v>93.601068200493003</c:v>
                </c:pt>
                <c:pt idx="270">
                  <c:v>94.381676253081338</c:v>
                </c:pt>
                <c:pt idx="271">
                  <c:v>94.720624486442063</c:v>
                </c:pt>
                <c:pt idx="272">
                  <c:v>94.248151191454397</c:v>
                </c:pt>
                <c:pt idx="273">
                  <c:v>94.289235825801143</c:v>
                </c:pt>
                <c:pt idx="274">
                  <c:v>94.299506984387833</c:v>
                </c:pt>
                <c:pt idx="275">
                  <c:v>94.340591618734578</c:v>
                </c:pt>
                <c:pt idx="276">
                  <c:v>94.546014790468348</c:v>
                </c:pt>
                <c:pt idx="277">
                  <c:v>94.946589975349212</c:v>
                </c:pt>
                <c:pt idx="278">
                  <c:v>95.110928512736223</c:v>
                </c:pt>
                <c:pt idx="279">
                  <c:v>94.730895645028752</c:v>
                </c:pt>
                <c:pt idx="280">
                  <c:v>95.059572719802773</c:v>
                </c:pt>
                <c:pt idx="281">
                  <c:v>95.152013147082982</c:v>
                </c:pt>
                <c:pt idx="282">
                  <c:v>94.926047658175833</c:v>
                </c:pt>
                <c:pt idx="283">
                  <c:v>94.628184059161853</c:v>
                </c:pt>
                <c:pt idx="284">
                  <c:v>95.264995891536557</c:v>
                </c:pt>
                <c:pt idx="285">
                  <c:v>94.915776499589143</c:v>
                </c:pt>
                <c:pt idx="286">
                  <c:v>95.131470829909617</c:v>
                </c:pt>
                <c:pt idx="287">
                  <c:v>95.203368940016418</c:v>
                </c:pt>
                <c:pt idx="288">
                  <c:v>95.490961380443707</c:v>
                </c:pt>
                <c:pt idx="289">
                  <c:v>95.264995891536557</c:v>
                </c:pt>
                <c:pt idx="290">
                  <c:v>95.336894001643358</c:v>
                </c:pt>
                <c:pt idx="291">
                  <c:v>95.429334428923553</c:v>
                </c:pt>
                <c:pt idx="292">
                  <c:v>94.936318816762508</c:v>
                </c:pt>
                <c:pt idx="293">
                  <c:v>94.823336072308919</c:v>
                </c:pt>
                <c:pt idx="294">
                  <c:v>94.350862777321254</c:v>
                </c:pt>
                <c:pt idx="295">
                  <c:v>94.669268693508599</c:v>
                </c:pt>
                <c:pt idx="296">
                  <c:v>94.576828266228404</c:v>
                </c:pt>
                <c:pt idx="297">
                  <c:v>94.771980279375498</c:v>
                </c:pt>
                <c:pt idx="298">
                  <c:v>94.741166803615428</c:v>
                </c:pt>
                <c:pt idx="299">
                  <c:v>95.316351684469979</c:v>
                </c:pt>
                <c:pt idx="300">
                  <c:v>95.583401807723874</c:v>
                </c:pt>
                <c:pt idx="301">
                  <c:v>95.439605587510243</c:v>
                </c:pt>
                <c:pt idx="302">
                  <c:v>95.562859490550522</c:v>
                </c:pt>
                <c:pt idx="303">
                  <c:v>95.028759244042703</c:v>
                </c:pt>
                <c:pt idx="304">
                  <c:v>95.655299917830703</c:v>
                </c:pt>
                <c:pt idx="305">
                  <c:v>95.665571076417407</c:v>
                </c:pt>
                <c:pt idx="306">
                  <c:v>96.107230895645003</c:v>
                </c:pt>
                <c:pt idx="307">
                  <c:v>96.035332785538188</c:v>
                </c:pt>
                <c:pt idx="308">
                  <c:v>95.408792111750188</c:v>
                </c:pt>
                <c:pt idx="309">
                  <c:v>95.336894001643358</c:v>
                </c:pt>
                <c:pt idx="310">
                  <c:v>95.583401807723888</c:v>
                </c:pt>
                <c:pt idx="311">
                  <c:v>95.203368940016404</c:v>
                </c:pt>
                <c:pt idx="312">
                  <c:v>95.141741988496264</c:v>
                </c:pt>
                <c:pt idx="313">
                  <c:v>94.956861133935874</c:v>
                </c:pt>
                <c:pt idx="314">
                  <c:v>94.720624486442034</c:v>
                </c:pt>
                <c:pt idx="315">
                  <c:v>94.535743631881644</c:v>
                </c:pt>
                <c:pt idx="316">
                  <c:v>95.018488085455999</c:v>
                </c:pt>
                <c:pt idx="317">
                  <c:v>95.162284305669644</c:v>
                </c:pt>
                <c:pt idx="318">
                  <c:v>94.987674609695929</c:v>
                </c:pt>
                <c:pt idx="319">
                  <c:v>95.0903861955628</c:v>
                </c:pt>
                <c:pt idx="320">
                  <c:v>95.131470829909574</c:v>
                </c:pt>
                <c:pt idx="321">
                  <c:v>95.059572719802745</c:v>
                </c:pt>
                <c:pt idx="322">
                  <c:v>95.449876746096919</c:v>
                </c:pt>
                <c:pt idx="323">
                  <c:v>95.7169268693508</c:v>
                </c:pt>
                <c:pt idx="324">
                  <c:v>95.994248151191385</c:v>
                </c:pt>
                <c:pt idx="325">
                  <c:v>95.55258833196379</c:v>
                </c:pt>
                <c:pt idx="326">
                  <c:v>95.860723089564445</c:v>
                </c:pt>
                <c:pt idx="327">
                  <c:v>96.312654067378745</c:v>
                </c:pt>
                <c:pt idx="328">
                  <c:v>96.898110106820013</c:v>
                </c:pt>
                <c:pt idx="329">
                  <c:v>96.785127362366438</c:v>
                </c:pt>
                <c:pt idx="330">
                  <c:v>96.589975349219358</c:v>
                </c:pt>
                <c:pt idx="331">
                  <c:v>96.518077239112529</c:v>
                </c:pt>
                <c:pt idx="332">
                  <c:v>96.826211996713184</c:v>
                </c:pt>
                <c:pt idx="333">
                  <c:v>96.774856203779748</c:v>
                </c:pt>
                <c:pt idx="334">
                  <c:v>96.620788824979414</c:v>
                </c:pt>
                <c:pt idx="335">
                  <c:v>97.082990961380403</c:v>
                </c:pt>
                <c:pt idx="336">
                  <c:v>96.631059983566104</c:v>
                </c:pt>
                <c:pt idx="337">
                  <c:v>96.507806080525839</c:v>
                </c:pt>
                <c:pt idx="338">
                  <c:v>96.487263763352459</c:v>
                </c:pt>
                <c:pt idx="339">
                  <c:v>96.271569433032013</c:v>
                </c:pt>
                <c:pt idx="340">
                  <c:v>96.096959737058299</c:v>
                </c:pt>
                <c:pt idx="341">
                  <c:v>96.312654067378759</c:v>
                </c:pt>
                <c:pt idx="342">
                  <c:v>96.179129005751818</c:v>
                </c:pt>
                <c:pt idx="343">
                  <c:v>96.497534921939177</c:v>
                </c:pt>
                <c:pt idx="344">
                  <c:v>96.343467543138843</c:v>
                </c:pt>
                <c:pt idx="345">
                  <c:v>95.881265406737853</c:v>
                </c:pt>
                <c:pt idx="346">
                  <c:v>96.672144617912878</c:v>
                </c:pt>
                <c:pt idx="347">
                  <c:v>96.641331142152808</c:v>
                </c:pt>
                <c:pt idx="348">
                  <c:v>96.405094494658968</c:v>
                </c:pt>
                <c:pt idx="349">
                  <c:v>96.908381265406703</c:v>
                </c:pt>
                <c:pt idx="350">
                  <c:v>96.507806080525853</c:v>
                </c:pt>
                <c:pt idx="351">
                  <c:v>97.421939194741128</c:v>
                </c:pt>
                <c:pt idx="352">
                  <c:v>97.760887428101881</c:v>
                </c:pt>
                <c:pt idx="353">
                  <c:v>97.709531635168432</c:v>
                </c:pt>
                <c:pt idx="354">
                  <c:v>98.52095316351685</c:v>
                </c:pt>
                <c:pt idx="355">
                  <c:v>98.428512736236641</c:v>
                </c:pt>
                <c:pt idx="356">
                  <c:v>98.130649137222676</c:v>
                </c:pt>
                <c:pt idx="357">
                  <c:v>98.633935907970397</c:v>
                </c:pt>
                <c:pt idx="358">
                  <c:v>99.106409202958062</c:v>
                </c:pt>
                <c:pt idx="359">
                  <c:v>99.506984387838912</c:v>
                </c:pt>
                <c:pt idx="360">
                  <c:v>99.394001643385337</c:v>
                </c:pt>
                <c:pt idx="361">
                  <c:v>98.695562859490522</c:v>
                </c:pt>
                <c:pt idx="362">
                  <c:v>98.592851273623623</c:v>
                </c:pt>
                <c:pt idx="363">
                  <c:v>98.633935907970383</c:v>
                </c:pt>
                <c:pt idx="364">
                  <c:v>98.767460969597323</c:v>
                </c:pt>
                <c:pt idx="365">
                  <c:v>98.726376335250578</c:v>
                </c:pt>
                <c:pt idx="366">
                  <c:v>98.983155299917797</c:v>
                </c:pt>
                <c:pt idx="367">
                  <c:v>98.490139687756752</c:v>
                </c:pt>
                <c:pt idx="368">
                  <c:v>98.880443714050912</c:v>
                </c:pt>
                <c:pt idx="369">
                  <c:v>98.705834018077198</c:v>
                </c:pt>
                <c:pt idx="370">
                  <c:v>99.188578471651553</c:v>
                </c:pt>
                <c:pt idx="371">
                  <c:v>99.126951520131442</c:v>
                </c:pt>
                <c:pt idx="372">
                  <c:v>98.644207066557087</c:v>
                </c:pt>
                <c:pt idx="373">
                  <c:v>99.188578471651581</c:v>
                </c:pt>
                <c:pt idx="374">
                  <c:v>99.106409202958076</c:v>
                </c:pt>
                <c:pt idx="375">
                  <c:v>98.685291700903846</c:v>
                </c:pt>
                <c:pt idx="376">
                  <c:v>98.623664749383707</c:v>
                </c:pt>
                <c:pt idx="377">
                  <c:v>98.808545603944111</c:v>
                </c:pt>
                <c:pt idx="378">
                  <c:v>98.531224322103512</c:v>
                </c:pt>
                <c:pt idx="379">
                  <c:v>98.572308956450257</c:v>
                </c:pt>
                <c:pt idx="380">
                  <c:v>98.212818405916153</c:v>
                </c:pt>
                <c:pt idx="381">
                  <c:v>97.493837304847943</c:v>
                </c:pt>
                <c:pt idx="382">
                  <c:v>97.360312243221003</c:v>
                </c:pt>
                <c:pt idx="383">
                  <c:v>97.750616269515163</c:v>
                </c:pt>
                <c:pt idx="384">
                  <c:v>98.325801150369713</c:v>
                </c:pt>
                <c:pt idx="385">
                  <c:v>98.099835661462564</c:v>
                </c:pt>
                <c:pt idx="386">
                  <c:v>98.336072308956389</c:v>
                </c:pt>
                <c:pt idx="387">
                  <c:v>98.233360723089504</c:v>
                </c:pt>
                <c:pt idx="388">
                  <c:v>98.551766639276849</c:v>
                </c:pt>
                <c:pt idx="389">
                  <c:v>99.003697617091149</c:v>
                </c:pt>
                <c:pt idx="390">
                  <c:v>99.887017255546368</c:v>
                </c:pt>
                <c:pt idx="391">
                  <c:v>99.003697617091149</c:v>
                </c:pt>
                <c:pt idx="392">
                  <c:v>98.541495480690159</c:v>
                </c:pt>
                <c:pt idx="393">
                  <c:v>97.966310599835595</c:v>
                </c:pt>
                <c:pt idx="394">
                  <c:v>98.079293344289169</c:v>
                </c:pt>
                <c:pt idx="395">
                  <c:v>98.23336072308949</c:v>
                </c:pt>
                <c:pt idx="396">
                  <c:v>98.079293344289155</c:v>
                </c:pt>
                <c:pt idx="397">
                  <c:v>98.140920295809295</c:v>
                </c:pt>
                <c:pt idx="398">
                  <c:v>98.68529170090379</c:v>
                </c:pt>
                <c:pt idx="399">
                  <c:v>98.59285127362358</c:v>
                </c:pt>
                <c:pt idx="400">
                  <c:v>98.294987674609629</c:v>
                </c:pt>
                <c:pt idx="401">
                  <c:v>98.397699260476514</c:v>
                </c:pt>
                <c:pt idx="402">
                  <c:v>98.644207066557058</c:v>
                </c:pt>
                <c:pt idx="403">
                  <c:v>98.633935907970368</c:v>
                </c:pt>
                <c:pt idx="404">
                  <c:v>98.798274445357393</c:v>
                </c:pt>
                <c:pt idx="405">
                  <c:v>99.229663105998313</c:v>
                </c:pt>
                <c:pt idx="406">
                  <c:v>100.05135579293338</c:v>
                </c:pt>
                <c:pt idx="407">
                  <c:v>100.03081347576001</c:v>
                </c:pt>
                <c:pt idx="408">
                  <c:v>100.44165981922755</c:v>
                </c:pt>
                <c:pt idx="409">
                  <c:v>101.32497945768276</c:v>
                </c:pt>
                <c:pt idx="410">
                  <c:v>101.18118323746911</c:v>
                </c:pt>
                <c:pt idx="411">
                  <c:v>101.80772391125711</c:v>
                </c:pt>
                <c:pt idx="412">
                  <c:v>101.78718159408373</c:v>
                </c:pt>
                <c:pt idx="413">
                  <c:v>101.29416598192269</c:v>
                </c:pt>
                <c:pt idx="414">
                  <c:v>100.62654067378791</c:v>
                </c:pt>
                <c:pt idx="415">
                  <c:v>100.89359079704184</c:v>
                </c:pt>
                <c:pt idx="416">
                  <c:v>101.16064092029573</c:v>
                </c:pt>
                <c:pt idx="417">
                  <c:v>101.29416598192269</c:v>
                </c:pt>
                <c:pt idx="418">
                  <c:v>101.46877567789639</c:v>
                </c:pt>
                <c:pt idx="419">
                  <c:v>101.46877567789639</c:v>
                </c:pt>
                <c:pt idx="420">
                  <c:v>101.06820049301554</c:v>
                </c:pt>
                <c:pt idx="421">
                  <c:v>100.44165981922754</c:v>
                </c:pt>
                <c:pt idx="422">
                  <c:v>100.97576006573534</c:v>
                </c:pt>
                <c:pt idx="423">
                  <c:v>101.30443714050938</c:v>
                </c:pt>
                <c:pt idx="424">
                  <c:v>102.16721446179122</c:v>
                </c:pt>
                <c:pt idx="425">
                  <c:v>102.30073952341816</c:v>
                </c:pt>
                <c:pt idx="426">
                  <c:v>102.45480690221849</c:v>
                </c:pt>
                <c:pt idx="427">
                  <c:v>102.50616269515194</c:v>
                </c:pt>
                <c:pt idx="428">
                  <c:v>103.00944946589971</c:v>
                </c:pt>
                <c:pt idx="429">
                  <c:v>102.58833196384546</c:v>
                </c:pt>
                <c:pt idx="430">
                  <c:v>103.04026294165976</c:v>
                </c:pt>
                <c:pt idx="431">
                  <c:v>103.04026294165976</c:v>
                </c:pt>
                <c:pt idx="432">
                  <c:v>103.69761709120783</c:v>
                </c:pt>
                <c:pt idx="433">
                  <c:v>103.11216105176659</c:v>
                </c:pt>
                <c:pt idx="434">
                  <c:v>103.30731306491366</c:v>
                </c:pt>
                <c:pt idx="435">
                  <c:v>103.96466721446174</c:v>
                </c:pt>
                <c:pt idx="436">
                  <c:v>105.0739523418241</c:v>
                </c:pt>
                <c:pt idx="437">
                  <c:v>105.74157764995886</c:v>
                </c:pt>
                <c:pt idx="438">
                  <c:v>106.429745275267</c:v>
                </c:pt>
                <c:pt idx="439">
                  <c:v>105.75184880854553</c:v>
                </c:pt>
                <c:pt idx="440">
                  <c:v>106.56327033689394</c:v>
                </c:pt>
                <c:pt idx="441">
                  <c:v>106.47082990961373</c:v>
                </c:pt>
                <c:pt idx="442">
                  <c:v>107.69309778142967</c:v>
                </c:pt>
                <c:pt idx="443">
                  <c:v>107.39523418241572</c:v>
                </c:pt>
                <c:pt idx="444">
                  <c:v>106.16269515201309</c:v>
                </c:pt>
                <c:pt idx="445">
                  <c:v>106.62489728841406</c:v>
                </c:pt>
                <c:pt idx="446">
                  <c:v>105.505341002465</c:v>
                </c:pt>
                <c:pt idx="447">
                  <c:v>105.94700082169261</c:v>
                </c:pt>
                <c:pt idx="448">
                  <c:v>104.62202136400978</c:v>
                </c:pt>
                <c:pt idx="449">
                  <c:v>104.82744453574357</c:v>
                </c:pt>
                <c:pt idx="450">
                  <c:v>104.59120788824973</c:v>
                </c:pt>
                <c:pt idx="451">
                  <c:v>104.42686935086272</c:v>
                </c:pt>
                <c:pt idx="452">
                  <c:v>104.50903861955621</c:v>
                </c:pt>
                <c:pt idx="453">
                  <c:v>105.27937551355785</c:v>
                </c:pt>
                <c:pt idx="454">
                  <c:v>104.58093672966302</c:v>
                </c:pt>
                <c:pt idx="455">
                  <c:v>104.90961380443707</c:v>
                </c:pt>
                <c:pt idx="456">
                  <c:v>105.09449465899745</c:v>
                </c:pt>
                <c:pt idx="457">
                  <c:v>105.32046014790461</c:v>
                </c:pt>
                <c:pt idx="458">
                  <c:v>106.01889893179943</c:v>
                </c:pt>
                <c:pt idx="459">
                  <c:v>106.97411668036148</c:v>
                </c:pt>
                <c:pt idx="460">
                  <c:v>107.92933442892362</c:v>
                </c:pt>
                <c:pt idx="461">
                  <c:v>108.38126540673792</c:v>
                </c:pt>
                <c:pt idx="462">
                  <c:v>108.01150369761713</c:v>
                </c:pt>
                <c:pt idx="463">
                  <c:v>106.44001643385378</c:v>
                </c:pt>
                <c:pt idx="464">
                  <c:v>107.53903040262948</c:v>
                </c:pt>
                <c:pt idx="465">
                  <c:v>107.53903040262948</c:v>
                </c:pt>
                <c:pt idx="466">
                  <c:v>107.26170912078889</c:v>
                </c:pt>
                <c:pt idx="467">
                  <c:v>107.02547247329505</c:v>
                </c:pt>
                <c:pt idx="468">
                  <c:v>107.26170912078889</c:v>
                </c:pt>
                <c:pt idx="469">
                  <c:v>107.00493015612167</c:v>
                </c:pt>
                <c:pt idx="470">
                  <c:v>106.75842235004114</c:v>
                </c:pt>
                <c:pt idx="471">
                  <c:v>107.3438783894824</c:v>
                </c:pt>
                <c:pt idx="472">
                  <c:v>107.96014790468372</c:v>
                </c:pt>
                <c:pt idx="473">
                  <c:v>107.51848808545613</c:v>
                </c:pt>
                <c:pt idx="474">
                  <c:v>107.99096138044379</c:v>
                </c:pt>
                <c:pt idx="475">
                  <c:v>107.99096138044379</c:v>
                </c:pt>
                <c:pt idx="476">
                  <c:v>109.4289235825802</c:v>
                </c:pt>
                <c:pt idx="477">
                  <c:v>110.00410846343473</c:v>
                </c:pt>
                <c:pt idx="478">
                  <c:v>110.0349219391948</c:v>
                </c:pt>
                <c:pt idx="479">
                  <c:v>109.91166803615455</c:v>
                </c:pt>
                <c:pt idx="480">
                  <c:v>110.94905505341011</c:v>
                </c:pt>
                <c:pt idx="481">
                  <c:v>111.00041084634356</c:v>
                </c:pt>
                <c:pt idx="482">
                  <c:v>110.88742810188998</c:v>
                </c:pt>
                <c:pt idx="483">
                  <c:v>111.48315529991793</c:v>
                </c:pt>
                <c:pt idx="484">
                  <c:v>110.99013968775687</c:v>
                </c:pt>
                <c:pt idx="485">
                  <c:v>110.28142974527536</c:v>
                </c:pt>
                <c:pt idx="486">
                  <c:v>109.57271980279384</c:v>
                </c:pt>
                <c:pt idx="487">
                  <c:v>109.98356614626137</c:v>
                </c:pt>
                <c:pt idx="488">
                  <c:v>109.80895645028767</c:v>
                </c:pt>
                <c:pt idx="489">
                  <c:v>109.62407559572728</c:v>
                </c:pt>
                <c:pt idx="490">
                  <c:v>109.36729663106006</c:v>
                </c:pt>
                <c:pt idx="491">
                  <c:v>110.09654889071494</c:v>
                </c:pt>
                <c:pt idx="492">
                  <c:v>109.3364831553</c:v>
                </c:pt>
                <c:pt idx="493">
                  <c:v>109.2337715694331</c:v>
                </c:pt>
                <c:pt idx="494">
                  <c:v>108.77156943303213</c:v>
                </c:pt>
                <c:pt idx="495">
                  <c:v>108.30936729663114</c:v>
                </c:pt>
                <c:pt idx="496">
                  <c:v>109.12078882497954</c:v>
                </c:pt>
                <c:pt idx="497">
                  <c:v>109.39811010682014</c:v>
                </c:pt>
                <c:pt idx="498">
                  <c:v>108.55587510271167</c:v>
                </c:pt>
                <c:pt idx="499">
                  <c:v>109.51109285127372</c:v>
                </c:pt>
                <c:pt idx="500">
                  <c:v>109.31594083812664</c:v>
                </c:pt>
                <c:pt idx="501">
                  <c:v>109.2543138866065</c:v>
                </c:pt>
                <c:pt idx="502">
                  <c:v>108.05258833196393</c:v>
                </c:pt>
                <c:pt idx="503">
                  <c:v>107.93960558751036</c:v>
                </c:pt>
                <c:pt idx="504">
                  <c:v>108.49424815119153</c:v>
                </c:pt>
                <c:pt idx="505">
                  <c:v>109.43919474116689</c:v>
                </c:pt>
                <c:pt idx="506">
                  <c:v>109.38783894823345</c:v>
                </c:pt>
                <c:pt idx="507">
                  <c:v>109.45973705834025</c:v>
                </c:pt>
                <c:pt idx="508">
                  <c:v>110.39441248972894</c:v>
                </c:pt>
                <c:pt idx="509">
                  <c:v>111.10312243221044</c:v>
                </c:pt>
                <c:pt idx="510">
                  <c:v>112.00698438783903</c:v>
                </c:pt>
                <c:pt idx="511">
                  <c:v>111.56532456861142</c:v>
                </c:pt>
                <c:pt idx="512">
                  <c:v>111.62695152013154</c:v>
                </c:pt>
                <c:pt idx="513">
                  <c:v>111.41125718981108</c:v>
                </c:pt>
                <c:pt idx="514">
                  <c:v>111.75020542317179</c:v>
                </c:pt>
                <c:pt idx="515">
                  <c:v>111.78101889893185</c:v>
                </c:pt>
                <c:pt idx="516">
                  <c:v>111.71939194741172</c:v>
                </c:pt>
                <c:pt idx="517">
                  <c:v>111.64749383730491</c:v>
                </c:pt>
                <c:pt idx="518">
                  <c:v>112.66433853738707</c:v>
                </c:pt>
                <c:pt idx="519">
                  <c:v>112.50000000000004</c:v>
                </c:pt>
                <c:pt idx="520">
                  <c:v>113.01355792933447</c:v>
                </c:pt>
                <c:pt idx="521">
                  <c:v>112.8081347576007</c:v>
                </c:pt>
                <c:pt idx="522">
                  <c:v>113.19843878389487</c:v>
                </c:pt>
                <c:pt idx="523">
                  <c:v>112.8184059161874</c:v>
                </c:pt>
                <c:pt idx="524">
                  <c:v>112.68488085456045</c:v>
                </c:pt>
                <c:pt idx="525">
                  <c:v>111.95562859490556</c:v>
                </c:pt>
                <c:pt idx="526">
                  <c:v>111.70912078882505</c:v>
                </c:pt>
                <c:pt idx="527">
                  <c:v>111.26746096959744</c:v>
                </c:pt>
                <c:pt idx="528">
                  <c:v>112.79786359901404</c:v>
                </c:pt>
                <c:pt idx="529">
                  <c:v>112.63352506162703</c:v>
                </c:pt>
                <c:pt idx="530">
                  <c:v>112.71569433032053</c:v>
                </c:pt>
                <c:pt idx="531">
                  <c:v>112.73623664749393</c:v>
                </c:pt>
                <c:pt idx="532">
                  <c:v>112.52054231717345</c:v>
                </c:pt>
                <c:pt idx="533">
                  <c:v>112.71569433032052</c:v>
                </c:pt>
                <c:pt idx="534">
                  <c:v>113.19843878389487</c:v>
                </c:pt>
                <c:pt idx="535">
                  <c:v>113.6400986031225</c:v>
                </c:pt>
                <c:pt idx="536">
                  <c:v>114.3693508627774</c:v>
                </c:pt>
                <c:pt idx="537">
                  <c:v>116.08463434675438</c:v>
                </c:pt>
                <c:pt idx="538">
                  <c:v>116.20788824979465</c:v>
                </c:pt>
                <c:pt idx="539">
                  <c:v>116.96795398520959</c:v>
                </c:pt>
                <c:pt idx="540">
                  <c:v>116.55710764174205</c:v>
                </c:pt>
              </c:numCache>
            </c:numRef>
          </c:val>
          <c:smooth val="0"/>
          <c:extLst>
            <c:ext xmlns:c16="http://schemas.microsoft.com/office/drawing/2014/chart" uri="{C3380CC4-5D6E-409C-BE32-E72D297353CC}">
              <c16:uniqueId val="{00000003-EF82-4DBE-A133-804C43A29F89}"/>
            </c:ext>
          </c:extLst>
        </c:ser>
        <c:dLbls>
          <c:showLegendKey val="0"/>
          <c:showVal val="0"/>
          <c:showCatName val="0"/>
          <c:showSerName val="0"/>
          <c:showPercent val="0"/>
          <c:showBubbleSize val="0"/>
        </c:dLbls>
        <c:smooth val="0"/>
        <c:axId val="426740352"/>
        <c:axId val="426881792"/>
      </c:lineChart>
      <c:dateAx>
        <c:axId val="426740352"/>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26881792"/>
        <c:crosses val="autoZero"/>
        <c:auto val="1"/>
        <c:lblOffset val="100"/>
        <c:baseTimeUnit val="days"/>
      </c:dateAx>
      <c:valAx>
        <c:axId val="426881792"/>
        <c:scaling>
          <c:orientation val="minMax"/>
          <c:max val="110"/>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y-AM" sz="800" b="0" i="0" u="none" strike="noStrike" baseline="0">
                    <a:effectLst/>
                  </a:rPr>
                  <a:t>Ինդեքս՝ </a:t>
                </a:r>
                <a:r>
                  <a:rPr lang="en-US" sz="800" b="0" i="0" u="none" strike="noStrike" baseline="0">
                    <a:effectLst/>
                  </a:rPr>
                  <a:t>2020</a:t>
                </a:r>
                <a:r>
                  <a:rPr lang="hy-AM" sz="800" b="0" i="0" u="none" strike="noStrike" baseline="0">
                    <a:effectLst/>
                  </a:rPr>
                  <a:t> թ. հունվարի </a:t>
                </a:r>
                <a:r>
                  <a:rPr lang="en-US" sz="800" b="0" i="0" u="none" strike="noStrike" baseline="0">
                    <a:effectLst/>
                  </a:rPr>
                  <a:t>10</a:t>
                </a:r>
                <a:r>
                  <a:rPr lang="hy-AM" sz="800" b="0" i="0" u="none" strike="noStrike" baseline="0">
                    <a:effectLst/>
                  </a:rPr>
                  <a:t>=100</a:t>
                </a:r>
                <a:endParaRPr lang="en-US" sz="800"/>
              </a:p>
            </c:rich>
          </c:tx>
          <c:layout>
            <c:manualLayout>
              <c:xMode val="edge"/>
              <c:yMode val="edge"/>
              <c:x val="7.751937984496143E-3"/>
              <c:y val="8.4670206921809224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740352"/>
        <c:crosses val="autoZero"/>
        <c:crossBetween val="between"/>
      </c:valAx>
      <c:spPr>
        <a:noFill/>
        <a:ln>
          <a:noFill/>
        </a:ln>
        <a:effectLst/>
      </c:spPr>
    </c:plotArea>
    <c:legend>
      <c:legendPos val="b"/>
      <c:layout>
        <c:manualLayout>
          <c:xMode val="edge"/>
          <c:yMode val="edge"/>
          <c:x val="0"/>
          <c:y val="0.8741543909882078"/>
          <c:w val="1"/>
          <c:h val="0.125845609011792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464888974767725E-2"/>
          <c:y val="6.2624833434282282E-2"/>
          <c:w val="0.89812080444264131"/>
          <c:h val="0.70725943872400565"/>
        </c:manualLayout>
      </c:layout>
      <c:barChart>
        <c:barDir val="col"/>
        <c:grouping val="clustered"/>
        <c:varyColors val="0"/>
        <c:ser>
          <c:idx val="3"/>
          <c:order val="2"/>
          <c:tx>
            <c:strRef>
              <c:f>Sheet1!$A$5</c:f>
              <c:strCache>
                <c:ptCount val="1"/>
                <c:pt idx="0">
                  <c:v>2022  12 ամսյա աճը, %</c:v>
                </c:pt>
              </c:strCache>
            </c:strRef>
          </c:tx>
          <c:spPr>
            <a:solidFill>
              <a:srgbClr val="4F81BD"/>
            </a:solidFill>
            <a:ln>
              <a:solidFill>
                <a:srgbClr val="4F81BD"/>
              </a:solidFill>
            </a:ln>
          </c:spPr>
          <c:invertIfNegative val="0"/>
          <c:dLbls>
            <c:dLbl>
              <c:idx val="2"/>
              <c:layout>
                <c:manualLayout>
                  <c:x val="0"/>
                  <c:y val="5.27577937649880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7E5-40C7-BE45-79FFB0A74C5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Sheet1!$B$5:$M$5</c:f>
              <c:numCache>
                <c:formatCode>0.0</c:formatCode>
                <c:ptCount val="12"/>
                <c:pt idx="0">
                  <c:v>10.465495021027209</c:v>
                </c:pt>
                <c:pt idx="1">
                  <c:v>36.036816259051363</c:v>
                </c:pt>
                <c:pt idx="2">
                  <c:v>20.407827685047209</c:v>
                </c:pt>
                <c:pt idx="3">
                  <c:v>28.429747589104466</c:v>
                </c:pt>
                <c:pt idx="4">
                  <c:v>23.353110136931647</c:v>
                </c:pt>
                <c:pt idx="5">
                  <c:v>25.963309740001449</c:v>
                </c:pt>
                <c:pt idx="6">
                  <c:v>29.854231544912608</c:v>
                </c:pt>
                <c:pt idx="7">
                  <c:v>30.582312007088177</c:v>
                </c:pt>
              </c:numCache>
            </c:numRef>
          </c:val>
          <c:extLst>
            <c:ext xmlns:c16="http://schemas.microsoft.com/office/drawing/2014/chart" uri="{C3380CC4-5D6E-409C-BE32-E72D297353CC}">
              <c16:uniqueId val="{00000001-17E5-40C7-BE45-79FFB0A74C50}"/>
            </c:ext>
          </c:extLst>
        </c:ser>
        <c:dLbls>
          <c:showLegendKey val="0"/>
          <c:showVal val="0"/>
          <c:showCatName val="0"/>
          <c:showSerName val="0"/>
          <c:showPercent val="0"/>
          <c:showBubbleSize val="0"/>
        </c:dLbls>
        <c:gapWidth val="150"/>
        <c:axId val="334767232"/>
        <c:axId val="334768768"/>
      </c:barChart>
      <c:lineChart>
        <c:grouping val="standard"/>
        <c:varyColors val="0"/>
        <c:ser>
          <c:idx val="0"/>
          <c:order val="0"/>
          <c:tx>
            <c:strRef>
              <c:f>Sheet1!$A$2</c:f>
              <c:strCache>
                <c:ptCount val="1"/>
                <c:pt idx="0">
                  <c:v>2021 աճը, %</c:v>
                </c:pt>
              </c:strCache>
            </c:strRef>
          </c:tx>
          <c:spPr>
            <a:ln>
              <a:prstDash val="dash"/>
            </a:ln>
          </c:spPr>
          <c:marker>
            <c:spPr>
              <a:ln>
                <a:prstDash val="dash"/>
              </a:ln>
            </c:spPr>
          </c:marker>
          <c:dLbls>
            <c:spPr>
              <a:noFill/>
              <a:ln>
                <a:noFill/>
              </a:ln>
              <a:effectLst/>
            </c:spPr>
            <c:txPr>
              <a:bodyPr wrap="square" lIns="38100" tIns="19050" rIns="38100" bIns="19050" anchor="ctr">
                <a:spAutoFit/>
              </a:bodyPr>
              <a:lstStyle/>
              <a:p>
                <a:pPr>
                  <a:defRPr sz="800">
                    <a:solidFill>
                      <a:sysClr val="windowText" lastClr="000000"/>
                    </a:solidFil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Sheet1!$B$2:$M$2</c:f>
              <c:numCache>
                <c:formatCode>0.0</c:formatCode>
                <c:ptCount val="12"/>
                <c:pt idx="0">
                  <c:v>-11.039004584606957</c:v>
                </c:pt>
                <c:pt idx="1">
                  <c:v>-8.7254904299668539</c:v>
                </c:pt>
                <c:pt idx="2">
                  <c:v>-4.6241859555737088</c:v>
                </c:pt>
                <c:pt idx="3">
                  <c:v>2.447882635918802</c:v>
                </c:pt>
                <c:pt idx="4">
                  <c:v>5.9468334154336437</c:v>
                </c:pt>
                <c:pt idx="5">
                  <c:v>10.27686684687737</c:v>
                </c:pt>
                <c:pt idx="6">
                  <c:v>10.473631807306081</c:v>
                </c:pt>
                <c:pt idx="7">
                  <c:v>10.857868136693853</c:v>
                </c:pt>
                <c:pt idx="8">
                  <c:v>11.854661163811445</c:v>
                </c:pt>
                <c:pt idx="9">
                  <c:v>12.700907835308442</c:v>
                </c:pt>
                <c:pt idx="10">
                  <c:v>13.376380238254027</c:v>
                </c:pt>
                <c:pt idx="11">
                  <c:v>14.560636925162942</c:v>
                </c:pt>
              </c:numCache>
            </c:numRef>
          </c:val>
          <c:smooth val="0"/>
          <c:extLst>
            <c:ext xmlns:c16="http://schemas.microsoft.com/office/drawing/2014/chart" uri="{C3380CC4-5D6E-409C-BE32-E72D297353CC}">
              <c16:uniqueId val="{00000002-17E5-40C7-BE45-79FFB0A74C50}"/>
            </c:ext>
          </c:extLst>
        </c:ser>
        <c:ser>
          <c:idx val="2"/>
          <c:order val="1"/>
          <c:tx>
            <c:strRef>
              <c:f>Sheet1!$A$4</c:f>
              <c:strCache>
                <c:ptCount val="1"/>
                <c:pt idx="0">
                  <c:v>2022  աճը, %</c:v>
                </c:pt>
              </c:strCache>
            </c:strRef>
          </c:tx>
          <c:spPr>
            <a:ln>
              <a:solidFill>
                <a:srgbClr val="1F497D"/>
              </a:solidFill>
            </a:ln>
          </c:spPr>
          <c:marker>
            <c:spPr>
              <a:solidFill>
                <a:srgbClr val="00B050"/>
              </a:solidFill>
              <a:ln>
                <a:solidFill>
                  <a:srgbClr val="1F497D"/>
                </a:solidFill>
              </a:ln>
            </c:spPr>
          </c:marker>
          <c:dLbls>
            <c:dLbl>
              <c:idx val="9"/>
              <c:spPr>
                <a:noFill/>
                <a:ln>
                  <a:noFill/>
                </a:ln>
                <a:effectLst/>
              </c:spPr>
              <c:txPr>
                <a:bodyPr wrap="square" lIns="38100" tIns="19050" rIns="38100" bIns="19050" anchor="ctr">
                  <a:noAutofit/>
                </a:bodyPr>
                <a:lstStyle/>
                <a:p>
                  <a:pPr>
                    <a:defRPr sz="900" b="0">
                      <a:solidFill>
                        <a:sysClr val="windowText" lastClr="000000"/>
                      </a:solidFill>
                    </a:defRPr>
                  </a:pPr>
                  <a:endParaRPr lang="en-US"/>
                </a:p>
              </c:txPr>
              <c:dLblPos val="b"/>
              <c:showLegendKey val="0"/>
              <c:showVal val="1"/>
              <c:showCatName val="0"/>
              <c:showSerName val="0"/>
              <c:showPercent val="0"/>
              <c:showBubbleSize val="0"/>
              <c:extLst>
                <c:ext xmlns:c16="http://schemas.microsoft.com/office/drawing/2014/chart" uri="{C3380CC4-5D6E-409C-BE32-E72D297353CC}">
                  <c16:uniqueId val="{00000000-9D92-43E6-BCC3-8B0473797C26}"/>
                </c:ext>
              </c:extLst>
            </c:dLbl>
            <c:spPr>
              <a:noFill/>
              <a:effectLst/>
            </c:spPr>
            <c:txPr>
              <a:bodyPr wrap="square" lIns="38100" tIns="19050" rIns="38100" bIns="19050" anchor="ctr">
                <a:spAutoFit/>
              </a:bodyPr>
              <a:lstStyle/>
              <a:p>
                <a:pPr>
                  <a:defRPr sz="900" b="0">
                    <a:solidFill>
                      <a:sysClr val="windowText" lastClr="000000"/>
                    </a:solidFil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Sheet1!$B$4:$M$4</c:f>
              <c:numCache>
                <c:formatCode>0.0</c:formatCode>
                <c:ptCount val="12"/>
                <c:pt idx="0">
                  <c:v>10.465495021107399</c:v>
                </c:pt>
                <c:pt idx="1">
                  <c:v>20.27752807035057</c:v>
                </c:pt>
                <c:pt idx="2">
                  <c:v>20.324942076471565</c:v>
                </c:pt>
                <c:pt idx="3">
                  <c:v>23.170028686693176</c:v>
                </c:pt>
                <c:pt idx="4">
                  <c:v>23.201233589844325</c:v>
                </c:pt>
                <c:pt idx="5">
                  <c:v>23.686651790698491</c:v>
                </c:pt>
                <c:pt idx="6">
                  <c:v>24.550950594910109</c:v>
                </c:pt>
                <c:pt idx="7">
                  <c:v>25.233917168127338</c:v>
                </c:pt>
              </c:numCache>
            </c:numRef>
          </c:val>
          <c:smooth val="0"/>
          <c:extLst>
            <c:ext xmlns:c16="http://schemas.microsoft.com/office/drawing/2014/chart" uri="{C3380CC4-5D6E-409C-BE32-E72D297353CC}">
              <c16:uniqueId val="{00000004-17E5-40C7-BE45-79FFB0A74C50}"/>
            </c:ext>
          </c:extLst>
        </c:ser>
        <c:dLbls>
          <c:showLegendKey val="0"/>
          <c:showVal val="0"/>
          <c:showCatName val="0"/>
          <c:showSerName val="0"/>
          <c:showPercent val="0"/>
          <c:showBubbleSize val="0"/>
        </c:dLbls>
        <c:marker val="1"/>
        <c:smooth val="0"/>
        <c:axId val="334767232"/>
        <c:axId val="334768768"/>
      </c:lineChart>
      <c:catAx>
        <c:axId val="334767232"/>
        <c:scaling>
          <c:orientation val="minMax"/>
        </c:scaling>
        <c:delete val="0"/>
        <c:axPos val="b"/>
        <c:numFmt formatCode="General" sourceLinked="1"/>
        <c:majorTickMark val="out"/>
        <c:minorTickMark val="none"/>
        <c:tickLblPos val="low"/>
        <c:txPr>
          <a:bodyPr/>
          <a:lstStyle/>
          <a:p>
            <a:pPr>
              <a:defRPr sz="900"/>
            </a:pPr>
            <a:endParaRPr lang="en-US"/>
          </a:p>
        </c:txPr>
        <c:crossAx val="334768768"/>
        <c:crosses val="autoZero"/>
        <c:auto val="1"/>
        <c:lblAlgn val="ctr"/>
        <c:lblOffset val="100"/>
        <c:noMultiLvlLbl val="0"/>
      </c:catAx>
      <c:valAx>
        <c:axId val="334768768"/>
        <c:scaling>
          <c:orientation val="minMax"/>
        </c:scaling>
        <c:delete val="0"/>
        <c:axPos val="l"/>
        <c:majorGridlines>
          <c:spPr>
            <a:ln>
              <a:solidFill>
                <a:srgbClr val="1F497D">
                  <a:lumMod val="20000"/>
                  <a:lumOff val="80000"/>
                </a:srgbClr>
              </a:solidFill>
            </a:ln>
          </c:spPr>
        </c:majorGridlines>
        <c:numFmt formatCode="0.0" sourceLinked="1"/>
        <c:majorTickMark val="out"/>
        <c:minorTickMark val="none"/>
        <c:tickLblPos val="nextTo"/>
        <c:crossAx val="334767232"/>
        <c:crosses val="autoZero"/>
        <c:crossBetween val="between"/>
      </c:valAx>
    </c:plotArea>
    <c:legend>
      <c:legendPos val="r"/>
      <c:layout>
        <c:manualLayout>
          <c:xMode val="edge"/>
          <c:yMode val="edge"/>
          <c:x val="1.312251766444192E-2"/>
          <c:y val="0.86942442963860311"/>
          <c:w val="0.96413793103448275"/>
          <c:h val="0.13057565313232644"/>
        </c:manualLayout>
      </c:layout>
      <c:overlay val="0"/>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txPr>
    <a:bodyPr/>
    <a:lstStyle/>
    <a:p>
      <a:pPr>
        <a:defRPr>
          <a:latin typeface="GHEA Grapalat" panose="02000506050000020003" pitchFamily="50" charset="0"/>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97139780604335"/>
          <c:y val="4.1079906678331876E-2"/>
          <c:w val="0.784643986809341"/>
          <c:h val="0.76182298046077712"/>
        </c:manualLayout>
      </c:layout>
      <c:barChart>
        <c:barDir val="col"/>
        <c:grouping val="clustered"/>
        <c:varyColors val="0"/>
        <c:ser>
          <c:idx val="0"/>
          <c:order val="0"/>
          <c:tx>
            <c:strRef>
              <c:f>Sheet1!$B$1</c:f>
              <c:strCache>
                <c:ptCount val="1"/>
                <c:pt idx="0">
                  <c:v>Եկամուտներ</c:v>
                </c:pt>
              </c:strCache>
            </c:strRef>
          </c:tx>
          <c:spPr>
            <a:solidFill>
              <a:srgbClr val="FF0000"/>
            </a:solidFill>
            <a:ln>
              <a:noFill/>
            </a:ln>
            <a:effectLst>
              <a:outerShdw blurRad="40000" dist="23000" dir="5400000" rotWithShape="0">
                <a:srgbClr val="000000">
                  <a:alpha val="35000"/>
                </a:srgbClr>
              </a:outerShdw>
            </a:effectLst>
          </c:spPr>
          <c:invertIfNegative val="0"/>
          <c:dLbls>
            <c:spPr>
              <a:noFill/>
              <a:ln>
                <a:noFill/>
              </a:ln>
              <a:effectLst/>
            </c:spPr>
            <c:txPr>
              <a:bodyPr wrap="square" lIns="38100" tIns="19050" rIns="38100" bIns="19050" anchor="ctr">
                <a:spAutoFit/>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Sheet1!$A$2:$A$8</c:f>
              <c:numCache>
                <c:formatCode>0</c:formatCode>
                <c:ptCount val="6"/>
                <c:pt idx="0">
                  <c:v>2018</c:v>
                </c:pt>
                <c:pt idx="1">
                  <c:v>2019</c:v>
                </c:pt>
                <c:pt idx="2">
                  <c:v>2020</c:v>
                </c:pt>
                <c:pt idx="3">
                  <c:v>2021</c:v>
                </c:pt>
                <c:pt idx="4">
                  <c:v>2022</c:v>
                </c:pt>
                <c:pt idx="5">
                  <c:v>2023</c:v>
                </c:pt>
              </c:numCache>
            </c:numRef>
          </c:cat>
          <c:val>
            <c:numRef>
              <c:f>Sheet1!$B$2:$B$8</c:f>
              <c:numCache>
                <c:formatCode>0.0</c:formatCode>
                <c:ptCount val="6"/>
                <c:pt idx="0">
                  <c:v>1341.690590901</c:v>
                </c:pt>
                <c:pt idx="1">
                  <c:v>1565.4731594</c:v>
                </c:pt>
                <c:pt idx="2">
                  <c:v>1560.6553879319999</c:v>
                </c:pt>
                <c:pt idx="3">
                  <c:v>1683.8314631499998</c:v>
                </c:pt>
                <c:pt idx="4">
                  <c:v>2042.5147775</c:v>
                </c:pt>
                <c:pt idx="5">
                  <c:v>2302.0259999999998</c:v>
                </c:pt>
              </c:numCache>
            </c:numRef>
          </c:val>
          <c:extLst>
            <c:ext xmlns:c16="http://schemas.microsoft.com/office/drawing/2014/chart" uri="{C3380CC4-5D6E-409C-BE32-E72D297353CC}">
              <c16:uniqueId val="{00000000-63C8-4D77-8E47-E5711F40317F}"/>
            </c:ext>
          </c:extLst>
        </c:ser>
        <c:ser>
          <c:idx val="1"/>
          <c:order val="1"/>
          <c:tx>
            <c:strRef>
              <c:f>Sheet1!$C$1</c:f>
              <c:strCache>
                <c:ptCount val="1"/>
                <c:pt idx="0">
                  <c:v>Ծախսեր</c:v>
                </c:pt>
              </c:strCache>
            </c:strRef>
          </c:tx>
          <c:spPr>
            <a:solidFill>
              <a:srgbClr val="4472C4"/>
            </a:solidFill>
            <a:ln>
              <a:solidFill>
                <a:srgbClr val="4472C4"/>
              </a:solidFill>
            </a:ln>
            <a:effectLst>
              <a:outerShdw blurRad="40000" dist="23000" dir="5400000" rotWithShape="0">
                <a:srgbClr val="000000">
                  <a:alpha val="35000"/>
                </a:srgbClr>
              </a:outerShdw>
            </a:effectLst>
          </c:spPr>
          <c:invertIfNegative val="0"/>
          <c:dLbls>
            <c:spPr>
              <a:noFill/>
              <a:ln>
                <a:noFill/>
              </a:ln>
              <a:effectLst/>
            </c:spPr>
            <c:txPr>
              <a:bodyPr wrap="square" lIns="38100" tIns="19050" rIns="38100" bIns="19050" anchor="ctr">
                <a:spAutoFit/>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Sheet1!$A$2:$A$8</c:f>
              <c:numCache>
                <c:formatCode>0</c:formatCode>
                <c:ptCount val="6"/>
                <c:pt idx="0">
                  <c:v>2018</c:v>
                </c:pt>
                <c:pt idx="1">
                  <c:v>2019</c:v>
                </c:pt>
                <c:pt idx="2">
                  <c:v>2020</c:v>
                </c:pt>
                <c:pt idx="3">
                  <c:v>2021</c:v>
                </c:pt>
                <c:pt idx="4">
                  <c:v>2022</c:v>
                </c:pt>
                <c:pt idx="5">
                  <c:v>2023</c:v>
                </c:pt>
              </c:numCache>
            </c:numRef>
          </c:cat>
          <c:val>
            <c:numRef>
              <c:f>Sheet1!$C$2:$C$8</c:f>
              <c:numCache>
                <c:formatCode>0.0</c:formatCode>
                <c:ptCount val="6"/>
                <c:pt idx="0">
                  <c:v>1447.0830114800001</c:v>
                </c:pt>
                <c:pt idx="1">
                  <c:v>1629.43686245</c:v>
                </c:pt>
                <c:pt idx="2">
                  <c:v>1894.6471421200001</c:v>
                </c:pt>
                <c:pt idx="3">
                  <c:v>2004.3009903700001</c:v>
                </c:pt>
                <c:pt idx="4">
                  <c:v>2246.6964887198997</c:v>
                </c:pt>
                <c:pt idx="5">
                  <c:v>2591</c:v>
                </c:pt>
              </c:numCache>
            </c:numRef>
          </c:val>
          <c:extLst>
            <c:ext xmlns:c16="http://schemas.microsoft.com/office/drawing/2014/chart" uri="{C3380CC4-5D6E-409C-BE32-E72D297353CC}">
              <c16:uniqueId val="{00000001-63C8-4D77-8E47-E5711F40317F}"/>
            </c:ext>
          </c:extLst>
        </c:ser>
        <c:ser>
          <c:idx val="2"/>
          <c:order val="2"/>
          <c:tx>
            <c:strRef>
              <c:f>Sheet1!$D$1</c:f>
              <c:strCache>
                <c:ptCount val="1"/>
                <c:pt idx="0">
                  <c:v>Պակասուրդ</c:v>
                </c:pt>
              </c:strCache>
            </c:strRef>
          </c:tx>
          <c:spPr>
            <a:solidFill>
              <a:srgbClr val="ED7D31"/>
            </a:solidFill>
            <a:ln w="31765" cap="rnd">
              <a:solidFill>
                <a:srgbClr val="ED7D31"/>
              </a:solidFill>
              <a:round/>
            </a:ln>
            <a:effectLst>
              <a:outerShdw blurRad="40000" dist="23000" dir="5400000" rotWithShape="0">
                <a:srgbClr val="000000">
                  <a:alpha val="35000"/>
                </a:srgbClr>
              </a:outerShdw>
            </a:effectLst>
          </c:spPr>
          <c:invertIfNegative val="0"/>
          <c:dLbls>
            <c:dLbl>
              <c:idx val="0"/>
              <c:layout>
                <c:manualLayout>
                  <c:x val="1.9586668320030991E-17"/>
                  <c:y val="3.248659451549158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3C8-4D77-8E47-E5711F40317F}"/>
                </c:ext>
              </c:extLst>
            </c:dLbl>
            <c:dLbl>
              <c:idx val="1"/>
              <c:layout>
                <c:manualLayout>
                  <c:x val="-3.9173336640061982E-17"/>
                  <c:y val="2.377093639994027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3C8-4D77-8E47-E5711F40317F}"/>
                </c:ext>
              </c:extLst>
            </c:dLbl>
            <c:dLbl>
              <c:idx val="3"/>
              <c:layout>
                <c:manualLayout>
                  <c:x val="0"/>
                  <c:y val="5.380359008522011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3C8-4D77-8E47-E5711F40317F}"/>
                </c:ext>
              </c:extLst>
            </c:dLbl>
            <c:dLbl>
              <c:idx val="4"/>
              <c:layout>
                <c:manualLayout>
                  <c:x val="0"/>
                  <c:y val="2.582080152602285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3C8-4D77-8E47-E5711F40317F}"/>
                </c:ext>
              </c:extLst>
            </c:dLbl>
            <c:spPr>
              <a:noFill/>
              <a:ln>
                <a:noFill/>
              </a:ln>
              <a:effectLst/>
            </c:spPr>
            <c:txPr>
              <a:bodyPr wrap="square" lIns="38100" tIns="19050" rIns="38100" bIns="19050" anchor="ctr">
                <a:spAutoFit/>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Sheet1!$A$2:$A$8</c:f>
              <c:numCache>
                <c:formatCode>0</c:formatCode>
                <c:ptCount val="6"/>
                <c:pt idx="0">
                  <c:v>2018</c:v>
                </c:pt>
                <c:pt idx="1">
                  <c:v>2019</c:v>
                </c:pt>
                <c:pt idx="2">
                  <c:v>2020</c:v>
                </c:pt>
                <c:pt idx="3">
                  <c:v>2021</c:v>
                </c:pt>
                <c:pt idx="4">
                  <c:v>2022</c:v>
                </c:pt>
                <c:pt idx="5">
                  <c:v>2023</c:v>
                </c:pt>
              </c:numCache>
            </c:numRef>
          </c:cat>
          <c:val>
            <c:numRef>
              <c:f>Sheet1!$D$2:$D$8</c:f>
              <c:numCache>
                <c:formatCode>0.0</c:formatCode>
                <c:ptCount val="6"/>
                <c:pt idx="0">
                  <c:v>-105.39242057900015</c:v>
                </c:pt>
                <c:pt idx="1">
                  <c:v>-63.963703050000049</c:v>
                </c:pt>
                <c:pt idx="2">
                  <c:v>-333.99175418800019</c:v>
                </c:pt>
                <c:pt idx="3">
                  <c:v>-320.46952722000037</c:v>
                </c:pt>
                <c:pt idx="4">
                  <c:v>-204.18171121989963</c:v>
                </c:pt>
                <c:pt idx="5">
                  <c:v>-288.97400000000016</c:v>
                </c:pt>
              </c:numCache>
            </c:numRef>
          </c:val>
          <c:extLst>
            <c:ext xmlns:c16="http://schemas.microsoft.com/office/drawing/2014/chart" uri="{C3380CC4-5D6E-409C-BE32-E72D297353CC}">
              <c16:uniqueId val="{00000006-63C8-4D77-8E47-E5711F40317F}"/>
            </c:ext>
          </c:extLst>
        </c:ser>
        <c:dLbls>
          <c:showLegendKey val="0"/>
          <c:showVal val="0"/>
          <c:showCatName val="0"/>
          <c:showSerName val="0"/>
          <c:showPercent val="0"/>
          <c:showBubbleSize val="0"/>
        </c:dLbls>
        <c:gapWidth val="150"/>
        <c:axId val="334938880"/>
        <c:axId val="334940416"/>
      </c:barChart>
      <c:catAx>
        <c:axId val="334938880"/>
        <c:scaling>
          <c:orientation val="minMax"/>
        </c:scaling>
        <c:delete val="0"/>
        <c:axPos val="b"/>
        <c:numFmt formatCode="0" sourceLinked="1"/>
        <c:majorTickMark val="none"/>
        <c:minorTickMark val="none"/>
        <c:tickLblPos val="low"/>
        <c:spPr>
          <a:noFill/>
          <a:ln w="9530" cap="flat" cmpd="sng" algn="ctr">
            <a:solidFill>
              <a:schemeClr val="tx2">
                <a:lumMod val="15000"/>
                <a:lumOff val="85000"/>
              </a:schemeClr>
            </a:solidFill>
            <a:round/>
          </a:ln>
          <a:effectLst/>
        </c:spPr>
        <c:txPr>
          <a:bodyPr rot="-60000000" vert="horz"/>
          <a:lstStyle/>
          <a:p>
            <a:pPr>
              <a:defRPr/>
            </a:pPr>
            <a:endParaRPr lang="en-US"/>
          </a:p>
        </c:txPr>
        <c:crossAx val="334940416"/>
        <c:crosses val="autoZero"/>
        <c:auto val="1"/>
        <c:lblAlgn val="ctr"/>
        <c:lblOffset val="100"/>
        <c:noMultiLvlLbl val="0"/>
      </c:catAx>
      <c:valAx>
        <c:axId val="334940416"/>
        <c:scaling>
          <c:orientation val="minMax"/>
          <c:max val="2600"/>
          <c:min val="-500"/>
        </c:scaling>
        <c:delete val="0"/>
        <c:axPos val="l"/>
        <c:majorGridlines>
          <c:spPr>
            <a:ln w="9530" cap="flat" cmpd="sng" algn="ctr">
              <a:solidFill>
                <a:schemeClr val="tx2">
                  <a:lumMod val="15000"/>
                  <a:lumOff val="85000"/>
                </a:schemeClr>
              </a:solidFill>
              <a:round/>
            </a:ln>
            <a:effectLst/>
          </c:spPr>
        </c:majorGridlines>
        <c:numFmt formatCode="0.0" sourceLinked="1"/>
        <c:majorTickMark val="none"/>
        <c:minorTickMark val="none"/>
        <c:tickLblPos val="nextTo"/>
        <c:spPr>
          <a:ln w="6353">
            <a:noFill/>
          </a:ln>
        </c:spPr>
        <c:txPr>
          <a:bodyPr rot="-60000000" vert="horz"/>
          <a:lstStyle/>
          <a:p>
            <a:pPr>
              <a:defRPr/>
            </a:pPr>
            <a:endParaRPr lang="en-US"/>
          </a:p>
        </c:txPr>
        <c:crossAx val="334938880"/>
        <c:crosses val="autoZero"/>
        <c:crossBetween val="between"/>
      </c:valAx>
      <c:spPr>
        <a:noFill/>
        <a:ln w="25412">
          <a:noFill/>
        </a:ln>
      </c:spPr>
    </c:plotArea>
    <c:legend>
      <c:legendPos val="b"/>
      <c:layout>
        <c:manualLayout>
          <c:xMode val="edge"/>
          <c:yMode val="edge"/>
          <c:x val="0.05"/>
          <c:y val="0.91428556430446195"/>
          <c:w val="0.9"/>
          <c:h val="8.5714435695538063E-2"/>
        </c:manualLayout>
      </c:layout>
      <c:overlay val="0"/>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userShapes r:id="rId3"/>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46295207245282"/>
          <c:y val="5.203364604466193E-2"/>
          <c:w val="0.82012848918713577"/>
          <c:h val="0.72564276710820164"/>
        </c:manualLayout>
      </c:layout>
      <c:lineChart>
        <c:grouping val="standard"/>
        <c:varyColors val="0"/>
        <c:ser>
          <c:idx val="0"/>
          <c:order val="0"/>
          <c:tx>
            <c:strRef>
              <c:f>Sheet1!$B$1</c:f>
              <c:strCache>
                <c:ptCount val="1"/>
                <c:pt idx="0">
                  <c:v>Պակասուրդ, % ՀՆԱ-ում</c:v>
                </c:pt>
              </c:strCache>
            </c:strRef>
          </c:tx>
          <c:spPr>
            <a:ln>
              <a:solidFill>
                <a:srgbClr val="4472C4"/>
              </a:solidFill>
            </a:ln>
          </c:spPr>
          <c:marker>
            <c:spPr>
              <a:solidFill>
                <a:srgbClr val="4472C4"/>
              </a:solidFill>
              <a:ln>
                <a:solidFill>
                  <a:srgbClr val="4472C4"/>
                </a:solidFill>
              </a:ln>
            </c:spPr>
          </c:marker>
          <c:dLbls>
            <c:dLbl>
              <c:idx val="3"/>
              <c:layout>
                <c:manualLayout>
                  <c:x val="-6.0240963855421686E-2"/>
                  <c:y val="3.1111111111111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893-4A36-9E7E-451E3BE52DF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Sheet1!$A$2:$A$8</c:f>
              <c:numCache>
                <c:formatCode>0</c:formatCode>
                <c:ptCount val="6"/>
                <c:pt idx="0">
                  <c:v>2018</c:v>
                </c:pt>
                <c:pt idx="1">
                  <c:v>2019</c:v>
                </c:pt>
                <c:pt idx="2">
                  <c:v>2020</c:v>
                </c:pt>
                <c:pt idx="3">
                  <c:v>2021</c:v>
                </c:pt>
                <c:pt idx="4">
                  <c:v>2022</c:v>
                </c:pt>
                <c:pt idx="5">
                  <c:v>2023</c:v>
                </c:pt>
              </c:numCache>
            </c:numRef>
          </c:cat>
          <c:val>
            <c:numRef>
              <c:f>Sheet1!$B$2:$B$8</c:f>
              <c:numCache>
                <c:formatCode>0.0</c:formatCode>
                <c:ptCount val="6"/>
                <c:pt idx="0">
                  <c:v>-1.7515672931246962</c:v>
                </c:pt>
                <c:pt idx="1">
                  <c:v>-0.97754175944701427</c:v>
                </c:pt>
                <c:pt idx="2">
                  <c:v>-5.4027340092352834</c:v>
                </c:pt>
                <c:pt idx="3">
                  <c:v>-4.5893061464958533</c:v>
                </c:pt>
                <c:pt idx="4">
                  <c:v>-2.4618997996842782</c:v>
                </c:pt>
                <c:pt idx="5">
                  <c:v>-3.0999999999999979</c:v>
                </c:pt>
              </c:numCache>
            </c:numRef>
          </c:val>
          <c:smooth val="0"/>
          <c:extLst>
            <c:ext xmlns:c16="http://schemas.microsoft.com/office/drawing/2014/chart" uri="{C3380CC4-5D6E-409C-BE32-E72D297353CC}">
              <c16:uniqueId val="{00000001-6893-4A36-9E7E-451E3BE52DFE}"/>
            </c:ext>
          </c:extLst>
        </c:ser>
        <c:ser>
          <c:idx val="1"/>
          <c:order val="1"/>
          <c:tx>
            <c:strRef>
              <c:f>Sheet1!$C$1</c:f>
              <c:strCache>
                <c:ptCount val="1"/>
                <c:pt idx="0">
                  <c:v>Առաջնային պակասուրդ, % ՀՆԱ-ում</c:v>
                </c:pt>
              </c:strCache>
            </c:strRef>
          </c:tx>
          <c:spPr>
            <a:ln w="12700" cap="rnd">
              <a:solidFill>
                <a:srgbClr val="FF0000"/>
              </a:solidFill>
              <a:prstDash val="dash"/>
              <a:round/>
            </a:ln>
            <a:effectLst>
              <a:outerShdw blurRad="40000" dist="23000" dir="5400000" rotWithShape="0">
                <a:srgbClr val="000000">
                  <a:alpha val="35000"/>
                </a:srgbClr>
              </a:outerShdw>
            </a:effectLst>
          </c:spPr>
          <c:marker>
            <c:symbol val="circle"/>
            <c:size val="5"/>
            <c:spPr>
              <a:solidFill>
                <a:srgbClr val="FF0000"/>
              </a:solidFill>
              <a:ln w="12700">
                <a:solidFill>
                  <a:srgbClr val="FF0000"/>
                </a:solidFill>
                <a:prstDash val="dash"/>
              </a:ln>
            </c:spPr>
          </c:marker>
          <c:dLbls>
            <c:dLbl>
              <c:idx val="3"/>
              <c:layout>
                <c:manualLayout>
                  <c:x val="-5.163511187607573E-2"/>
                  <c:y val="0.0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893-4A36-9E7E-451E3BE52DFE}"/>
                </c:ext>
              </c:extLst>
            </c:dLbl>
            <c:spPr>
              <a:noFill/>
              <a:ln w="25412">
                <a:noFill/>
              </a:ln>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Sheet1!$A$2:$A$8</c:f>
              <c:numCache>
                <c:formatCode>0</c:formatCode>
                <c:ptCount val="6"/>
                <c:pt idx="0">
                  <c:v>2018</c:v>
                </c:pt>
                <c:pt idx="1">
                  <c:v>2019</c:v>
                </c:pt>
                <c:pt idx="2">
                  <c:v>2020</c:v>
                </c:pt>
                <c:pt idx="3">
                  <c:v>2021</c:v>
                </c:pt>
                <c:pt idx="4">
                  <c:v>2022</c:v>
                </c:pt>
                <c:pt idx="5">
                  <c:v>2023</c:v>
                </c:pt>
              </c:numCache>
            </c:numRef>
          </c:cat>
          <c:val>
            <c:numRef>
              <c:f>Sheet1!$C$2:$C$8</c:f>
              <c:numCache>
                <c:formatCode>0.0</c:formatCode>
                <c:ptCount val="6"/>
                <c:pt idx="0">
                  <c:v>0.558788129758653</c:v>
                </c:pt>
                <c:pt idx="1">
                  <c:v>1.4302980078100385</c:v>
                </c:pt>
                <c:pt idx="2">
                  <c:v>-2.7374160483861427</c:v>
                </c:pt>
                <c:pt idx="3">
                  <c:v>-1.999628985978378</c:v>
                </c:pt>
                <c:pt idx="4">
                  <c:v>0.1153099912526363</c:v>
                </c:pt>
                <c:pt idx="5">
                  <c:v>-0.2</c:v>
                </c:pt>
              </c:numCache>
            </c:numRef>
          </c:val>
          <c:smooth val="0"/>
          <c:extLst>
            <c:ext xmlns:c16="http://schemas.microsoft.com/office/drawing/2014/chart" uri="{C3380CC4-5D6E-409C-BE32-E72D297353CC}">
              <c16:uniqueId val="{00000003-6893-4A36-9E7E-451E3BE52DFE}"/>
            </c:ext>
          </c:extLst>
        </c:ser>
        <c:dLbls>
          <c:showLegendKey val="0"/>
          <c:showVal val="0"/>
          <c:showCatName val="0"/>
          <c:showSerName val="0"/>
          <c:showPercent val="0"/>
          <c:showBubbleSize val="0"/>
        </c:dLbls>
        <c:marker val="1"/>
        <c:smooth val="0"/>
        <c:axId val="335333248"/>
        <c:axId val="335334784"/>
      </c:lineChart>
      <c:catAx>
        <c:axId val="335333248"/>
        <c:scaling>
          <c:orientation val="minMax"/>
        </c:scaling>
        <c:delete val="0"/>
        <c:axPos val="b"/>
        <c:numFmt formatCode="0" sourceLinked="1"/>
        <c:majorTickMark val="none"/>
        <c:minorTickMark val="none"/>
        <c:tickLblPos val="low"/>
        <c:spPr>
          <a:noFill/>
          <a:ln w="19050" cap="flat" cmpd="sng" algn="ctr">
            <a:solidFill>
              <a:srgbClr val="44546A">
                <a:lumMod val="15000"/>
                <a:lumOff val="85000"/>
              </a:srgbClr>
            </a:solidFill>
            <a:round/>
          </a:ln>
          <a:effectLst/>
        </c:spPr>
        <c:txPr>
          <a:bodyPr rot="-60000000" vert="horz"/>
          <a:lstStyle/>
          <a:p>
            <a:pPr>
              <a:defRPr/>
            </a:pPr>
            <a:endParaRPr lang="en-US"/>
          </a:p>
        </c:txPr>
        <c:crossAx val="335334784"/>
        <c:crosses val="autoZero"/>
        <c:auto val="1"/>
        <c:lblAlgn val="ctr"/>
        <c:lblOffset val="100"/>
        <c:noMultiLvlLbl val="0"/>
      </c:catAx>
      <c:valAx>
        <c:axId val="335334784"/>
        <c:scaling>
          <c:orientation val="minMax"/>
        </c:scaling>
        <c:delete val="0"/>
        <c:axPos val="l"/>
        <c:majorGridlines>
          <c:spPr>
            <a:ln w="12700" cap="flat" cmpd="sng" algn="ctr">
              <a:solidFill>
                <a:srgbClr val="44546A">
                  <a:lumMod val="15000"/>
                  <a:lumOff val="85000"/>
                </a:srgbClr>
              </a:solidFill>
              <a:round/>
            </a:ln>
            <a:effectLst/>
          </c:spPr>
        </c:majorGridlines>
        <c:numFmt formatCode="0.0" sourceLinked="1"/>
        <c:majorTickMark val="none"/>
        <c:minorTickMark val="none"/>
        <c:tickLblPos val="nextTo"/>
        <c:spPr>
          <a:ln w="6353">
            <a:noFill/>
          </a:ln>
        </c:spPr>
        <c:txPr>
          <a:bodyPr rot="-60000000" vert="horz"/>
          <a:lstStyle/>
          <a:p>
            <a:pPr>
              <a:defRPr/>
            </a:pPr>
            <a:endParaRPr lang="en-US"/>
          </a:p>
        </c:txPr>
        <c:crossAx val="335333248"/>
        <c:crosses val="autoZero"/>
        <c:crossBetween val="between"/>
      </c:valAx>
      <c:spPr>
        <a:noFill/>
        <a:ln w="25400">
          <a:noFill/>
        </a:ln>
      </c:spPr>
    </c:plotArea>
    <c:legend>
      <c:legendPos val="b"/>
      <c:layout>
        <c:manualLayout>
          <c:xMode val="edge"/>
          <c:yMode val="edge"/>
          <c:x val="7.6856052056876012E-2"/>
          <c:y val="0.87435501653803793"/>
          <c:w val="0.82882226260179048"/>
          <c:h val="9.4774327409735307E-2"/>
        </c:manualLayout>
      </c:layout>
      <c:overlay val="0"/>
      <c:spPr>
        <a:noFill/>
        <a:ln w="25412">
          <a:noFill/>
        </a:ln>
      </c:spPr>
      <c:txPr>
        <a:bodyPr rot="0" vert="horz"/>
        <a:lstStyle/>
        <a:p>
          <a:pPr>
            <a:defRPr sz="900"/>
          </a:pPr>
          <a:endParaRPr lang="en-US"/>
        </a:p>
      </c:txPr>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userShapes r:id="rId3"/>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Եկամուտների ազդակ</c:v>
                </c:pt>
              </c:strCache>
            </c:strRef>
          </c:tx>
          <c:spPr>
            <a:solidFill>
              <a:schemeClr val="accent1"/>
            </a:solidFill>
            <a:ln>
              <a:noFill/>
            </a:ln>
            <a:effectLst/>
          </c:spPr>
          <c:invertIfNegative val="0"/>
          <c:cat>
            <c:numRef>
              <c:f>Sheet1!$A$2:$A$7</c:f>
              <c:numCache>
                <c:formatCode>General</c:formatCode>
                <c:ptCount val="6"/>
                <c:pt idx="0">
                  <c:v>2018</c:v>
                </c:pt>
                <c:pt idx="1">
                  <c:v>2019</c:v>
                </c:pt>
                <c:pt idx="2">
                  <c:v>2020</c:v>
                </c:pt>
                <c:pt idx="3">
                  <c:v>2021</c:v>
                </c:pt>
                <c:pt idx="4">
                  <c:v>2022</c:v>
                </c:pt>
                <c:pt idx="5">
                  <c:v>2023</c:v>
                </c:pt>
              </c:numCache>
            </c:numRef>
          </c:cat>
          <c:val>
            <c:numRef>
              <c:f>Sheet1!$B$2:$B$7</c:f>
              <c:numCache>
                <c:formatCode>#,##0.0</c:formatCode>
                <c:ptCount val="6"/>
                <c:pt idx="0">
                  <c:v>-1.2287752256907658</c:v>
                </c:pt>
                <c:pt idx="1">
                  <c:v>-1.1514948662770299</c:v>
                </c:pt>
                <c:pt idx="2">
                  <c:v>0.59026955719524488</c:v>
                </c:pt>
                <c:pt idx="3">
                  <c:v>-0.45268667551633374</c:v>
                </c:pt>
                <c:pt idx="4">
                  <c:v>-0.16475319059265253</c:v>
                </c:pt>
                <c:pt idx="5">
                  <c:v>-0.31736040849928615</c:v>
                </c:pt>
              </c:numCache>
            </c:numRef>
          </c:val>
          <c:extLst>
            <c:ext xmlns:c16="http://schemas.microsoft.com/office/drawing/2014/chart" uri="{C3380CC4-5D6E-409C-BE32-E72D297353CC}">
              <c16:uniqueId val="{00000000-64E4-4BA9-86CB-CD963FC87DF3}"/>
            </c:ext>
          </c:extLst>
        </c:ser>
        <c:ser>
          <c:idx val="1"/>
          <c:order val="1"/>
          <c:tx>
            <c:strRef>
              <c:f>Sheet1!$C$1</c:f>
              <c:strCache>
                <c:ptCount val="1"/>
                <c:pt idx="0">
                  <c:v>Ծախսերի ազդակ</c:v>
                </c:pt>
              </c:strCache>
            </c:strRef>
          </c:tx>
          <c:spPr>
            <a:solidFill>
              <a:schemeClr val="accent2"/>
            </a:solidFill>
            <a:ln>
              <a:noFill/>
            </a:ln>
            <a:effectLst/>
          </c:spPr>
          <c:invertIfNegative val="0"/>
          <c:cat>
            <c:numRef>
              <c:f>Sheet1!$A$2:$A$7</c:f>
              <c:numCache>
                <c:formatCode>General</c:formatCode>
                <c:ptCount val="6"/>
                <c:pt idx="0">
                  <c:v>2018</c:v>
                </c:pt>
                <c:pt idx="1">
                  <c:v>2019</c:v>
                </c:pt>
                <c:pt idx="2">
                  <c:v>2020</c:v>
                </c:pt>
                <c:pt idx="3">
                  <c:v>2021</c:v>
                </c:pt>
                <c:pt idx="4">
                  <c:v>2022</c:v>
                </c:pt>
                <c:pt idx="5">
                  <c:v>2023</c:v>
                </c:pt>
              </c:numCache>
            </c:numRef>
          </c:cat>
          <c:val>
            <c:numRef>
              <c:f>Sheet1!$C$2:$C$7</c:f>
              <c:numCache>
                <c:formatCode>#,##0.0</c:formatCode>
                <c:ptCount val="6"/>
                <c:pt idx="0">
                  <c:v>-0.82880570080322513</c:v>
                </c:pt>
                <c:pt idx="1">
                  <c:v>1.0313231004659387</c:v>
                </c:pt>
                <c:pt idx="2">
                  <c:v>3.9958437023243434</c:v>
                </c:pt>
                <c:pt idx="3">
                  <c:v>-1.7611678003082079</c:v>
                </c:pt>
                <c:pt idx="4">
                  <c:v>-1.173568478853612</c:v>
                </c:pt>
                <c:pt idx="5">
                  <c:v>0.58376593183811831</c:v>
                </c:pt>
              </c:numCache>
            </c:numRef>
          </c:val>
          <c:extLst>
            <c:ext xmlns:c16="http://schemas.microsoft.com/office/drawing/2014/chart" uri="{C3380CC4-5D6E-409C-BE32-E72D297353CC}">
              <c16:uniqueId val="{00000001-64E4-4BA9-86CB-CD963FC87DF3}"/>
            </c:ext>
          </c:extLst>
        </c:ser>
        <c:dLbls>
          <c:showLegendKey val="0"/>
          <c:showVal val="0"/>
          <c:showCatName val="0"/>
          <c:showSerName val="0"/>
          <c:showPercent val="0"/>
          <c:showBubbleSize val="0"/>
        </c:dLbls>
        <c:gapWidth val="219"/>
        <c:axId val="335401344"/>
        <c:axId val="335402880"/>
      </c:barChart>
      <c:lineChart>
        <c:grouping val="standard"/>
        <c:varyColors val="0"/>
        <c:ser>
          <c:idx val="2"/>
          <c:order val="2"/>
          <c:tx>
            <c:strRef>
              <c:f>Sheet1!$D$1</c:f>
              <c:strCache>
                <c:ptCount val="1"/>
                <c:pt idx="0">
                  <c:v>Հարկաբյուջետային ազդակ</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2.0586362874853801E-3"/>
                  <c:y val="5.617078399551200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4E4-4BA9-86CB-CD963FC87DF3}"/>
                </c:ext>
              </c:extLst>
            </c:dLbl>
            <c:dLbl>
              <c:idx val="2"/>
              <c:layout>
                <c:manualLayout>
                  <c:x val="-3.1484168202379037E-2"/>
                  <c:y val="-5.069944501212159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4E4-4BA9-86CB-CD963FC87D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2018</c:v>
                </c:pt>
                <c:pt idx="1">
                  <c:v>2019</c:v>
                </c:pt>
                <c:pt idx="2">
                  <c:v>2020</c:v>
                </c:pt>
                <c:pt idx="3">
                  <c:v>2021</c:v>
                </c:pt>
                <c:pt idx="4">
                  <c:v>2022</c:v>
                </c:pt>
                <c:pt idx="5">
                  <c:v>2023</c:v>
                </c:pt>
              </c:numCache>
            </c:numRef>
          </c:cat>
          <c:val>
            <c:numRef>
              <c:f>Sheet1!$D$2:$D$7</c:f>
              <c:numCache>
                <c:formatCode>#,##0.0</c:formatCode>
                <c:ptCount val="6"/>
                <c:pt idx="0">
                  <c:v>-2.057580926493991</c:v>
                </c:pt>
                <c:pt idx="1">
                  <c:v>-0.12017176581109124</c:v>
                </c:pt>
                <c:pt idx="2">
                  <c:v>4.5861132595195881</c:v>
                </c:pt>
                <c:pt idx="3">
                  <c:v>-2.2138544758245415</c:v>
                </c:pt>
                <c:pt idx="4">
                  <c:v>-1.3383216694462645</c:v>
                </c:pt>
                <c:pt idx="5">
                  <c:v>0.26640552333883216</c:v>
                </c:pt>
              </c:numCache>
            </c:numRef>
          </c:val>
          <c:smooth val="0"/>
          <c:extLst>
            <c:ext xmlns:c16="http://schemas.microsoft.com/office/drawing/2014/chart" uri="{C3380CC4-5D6E-409C-BE32-E72D297353CC}">
              <c16:uniqueId val="{00000004-64E4-4BA9-86CB-CD963FC87DF3}"/>
            </c:ext>
          </c:extLst>
        </c:ser>
        <c:dLbls>
          <c:showLegendKey val="0"/>
          <c:showVal val="0"/>
          <c:showCatName val="0"/>
          <c:showSerName val="0"/>
          <c:showPercent val="0"/>
          <c:showBubbleSize val="0"/>
        </c:dLbls>
        <c:marker val="1"/>
        <c:smooth val="0"/>
        <c:axId val="335401344"/>
        <c:axId val="335402880"/>
      </c:lineChart>
      <c:catAx>
        <c:axId val="3354013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35402880"/>
        <c:crosses val="autoZero"/>
        <c:auto val="1"/>
        <c:lblAlgn val="ctr"/>
        <c:lblOffset val="100"/>
        <c:noMultiLvlLbl val="0"/>
      </c:catAx>
      <c:valAx>
        <c:axId val="335402880"/>
        <c:scaling>
          <c:orientation val="minMax"/>
        </c:scaling>
        <c:delete val="0"/>
        <c:axPos val="l"/>
        <c:majorGridlines>
          <c:spPr>
            <a:ln w="317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354013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userShapes r:id="rId3"/>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32362300089968"/>
          <c:y val="6.0752269779507137E-2"/>
          <c:w val="0.80235521125059406"/>
          <c:h val="0.65690492968534575"/>
        </c:manualLayout>
      </c:layout>
      <c:barChart>
        <c:barDir val="col"/>
        <c:grouping val="clustered"/>
        <c:varyColors val="0"/>
        <c:ser>
          <c:idx val="0"/>
          <c:order val="0"/>
          <c:tx>
            <c:strRef>
              <c:f>Sheet1!$B$1</c:f>
              <c:strCache>
                <c:ptCount val="1"/>
                <c:pt idx="0">
                  <c:v>Ընթացիկ ծախսեր/ՀՆԱ%</c:v>
                </c:pt>
              </c:strCache>
            </c:strRef>
          </c:tx>
          <c:spPr>
            <a:solidFill>
              <a:srgbClr val="4472C4"/>
            </a:solidFill>
            <a:ln>
              <a:solidFill>
                <a:srgbClr val="4472C4"/>
              </a:solidFill>
            </a:ln>
            <a:effectLst>
              <a:outerShdw blurRad="40000" dist="23000" dir="5400000" rotWithShape="0">
                <a:srgbClr val="000000">
                  <a:alpha val="35000"/>
                </a:srgbClr>
              </a:outerShdw>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Sheet1!$A$2:$A$8</c:f>
              <c:numCache>
                <c:formatCode>0</c:formatCode>
                <c:ptCount val="6"/>
                <c:pt idx="0">
                  <c:v>2018</c:v>
                </c:pt>
                <c:pt idx="1">
                  <c:v>2019</c:v>
                </c:pt>
                <c:pt idx="2">
                  <c:v>2020</c:v>
                </c:pt>
                <c:pt idx="3">
                  <c:v>2021</c:v>
                </c:pt>
                <c:pt idx="4">
                  <c:v>2022</c:v>
                </c:pt>
                <c:pt idx="5">
                  <c:v>2023</c:v>
                </c:pt>
              </c:numCache>
            </c:numRef>
          </c:cat>
          <c:val>
            <c:numRef>
              <c:f>Sheet1!$B$2:$B$8</c:f>
              <c:numCache>
                <c:formatCode>0.0</c:formatCode>
                <c:ptCount val="6"/>
                <c:pt idx="0">
                  <c:v>21.588337472248792</c:v>
                </c:pt>
                <c:pt idx="1">
                  <c:v>21.963506331753393</c:v>
                </c:pt>
                <c:pt idx="2">
                  <c:v>26.989400038590066</c:v>
                </c:pt>
                <c:pt idx="3">
                  <c:v>25.604697072481784</c:v>
                </c:pt>
                <c:pt idx="4">
                  <c:v>22.391095063714658</c:v>
                </c:pt>
                <c:pt idx="5">
                  <c:v>21.9</c:v>
                </c:pt>
              </c:numCache>
            </c:numRef>
          </c:val>
          <c:extLst>
            <c:ext xmlns:c16="http://schemas.microsoft.com/office/drawing/2014/chart" uri="{C3380CC4-5D6E-409C-BE32-E72D297353CC}">
              <c16:uniqueId val="{00000000-FE13-4D56-8B75-EE89FA3A88C6}"/>
            </c:ext>
          </c:extLst>
        </c:ser>
        <c:dLbls>
          <c:showLegendKey val="0"/>
          <c:showVal val="0"/>
          <c:showCatName val="0"/>
          <c:showSerName val="0"/>
          <c:showPercent val="0"/>
          <c:showBubbleSize val="0"/>
        </c:dLbls>
        <c:gapWidth val="219"/>
        <c:overlap val="-27"/>
        <c:axId val="335525376"/>
        <c:axId val="335526912"/>
      </c:barChart>
      <c:lineChart>
        <c:grouping val="standard"/>
        <c:varyColors val="0"/>
        <c:ser>
          <c:idx val="1"/>
          <c:order val="1"/>
          <c:tx>
            <c:strRef>
              <c:f>Sheet1!$C$1</c:f>
              <c:strCache>
                <c:ptCount val="1"/>
                <c:pt idx="0">
                  <c:v>Հարկային եկամուտներ/ՀՆԱ%</c:v>
                </c:pt>
              </c:strCache>
            </c:strRef>
          </c:tx>
          <c:spPr>
            <a:ln>
              <a:solidFill>
                <a:srgbClr val="FF0000"/>
              </a:solidFill>
            </a:ln>
            <a:effectLst>
              <a:outerShdw blurRad="40000" dist="23000" dir="5400000" rotWithShape="0">
                <a:srgbClr val="000000">
                  <a:alpha val="35000"/>
                </a:srgbClr>
              </a:outerShdw>
            </a:effectLst>
          </c:spPr>
          <c:marker>
            <c:spPr>
              <a:solidFill>
                <a:srgbClr val="FF0000"/>
              </a:solidFill>
              <a:ln>
                <a:solidFill>
                  <a:srgbClr val="FF0000"/>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Sheet1!$A$2:$A$8</c:f>
              <c:numCache>
                <c:formatCode>0</c:formatCode>
                <c:ptCount val="6"/>
                <c:pt idx="0">
                  <c:v>2018</c:v>
                </c:pt>
                <c:pt idx="1">
                  <c:v>2019</c:v>
                </c:pt>
                <c:pt idx="2">
                  <c:v>2020</c:v>
                </c:pt>
                <c:pt idx="3">
                  <c:v>2021</c:v>
                </c:pt>
                <c:pt idx="4">
                  <c:v>2022</c:v>
                </c:pt>
                <c:pt idx="5">
                  <c:v>2023</c:v>
                </c:pt>
              </c:numCache>
            </c:numRef>
          </c:cat>
          <c:val>
            <c:numRef>
              <c:f>Sheet1!$C$2:$C$8</c:f>
              <c:numCache>
                <c:formatCode>0.0</c:formatCode>
                <c:ptCount val="6"/>
                <c:pt idx="0">
                  <c:v>20.909320563240183</c:v>
                </c:pt>
                <c:pt idx="1">
                  <c:v>22.29106408890242</c:v>
                </c:pt>
                <c:pt idx="2">
                  <c:v>22.400763757595897</c:v>
                </c:pt>
                <c:pt idx="3">
                  <c:v>22.725314602362541</c:v>
                </c:pt>
                <c:pt idx="4">
                  <c:v>23.150200804728755</c:v>
                </c:pt>
                <c:pt idx="5">
                  <c:v>23.650200804728755</c:v>
                </c:pt>
              </c:numCache>
            </c:numRef>
          </c:val>
          <c:smooth val="0"/>
          <c:extLst>
            <c:ext xmlns:c16="http://schemas.microsoft.com/office/drawing/2014/chart" uri="{C3380CC4-5D6E-409C-BE32-E72D297353CC}">
              <c16:uniqueId val="{00000001-FE13-4D56-8B75-EE89FA3A88C6}"/>
            </c:ext>
          </c:extLst>
        </c:ser>
        <c:dLbls>
          <c:showLegendKey val="0"/>
          <c:showVal val="0"/>
          <c:showCatName val="0"/>
          <c:showSerName val="0"/>
          <c:showPercent val="0"/>
          <c:showBubbleSize val="0"/>
        </c:dLbls>
        <c:marker val="1"/>
        <c:smooth val="0"/>
        <c:axId val="335525376"/>
        <c:axId val="335526912"/>
      </c:lineChart>
      <c:catAx>
        <c:axId val="335525376"/>
        <c:scaling>
          <c:orientation val="minMax"/>
        </c:scaling>
        <c:delete val="0"/>
        <c:axPos val="b"/>
        <c:numFmt formatCode="0" sourceLinked="1"/>
        <c:majorTickMark val="none"/>
        <c:minorTickMark val="none"/>
        <c:tickLblPos val="low"/>
        <c:spPr>
          <a:noFill/>
          <a:ln w="9530" cap="flat" cmpd="sng" algn="ctr">
            <a:solidFill>
              <a:schemeClr val="tx2">
                <a:lumMod val="15000"/>
                <a:lumOff val="85000"/>
              </a:schemeClr>
            </a:solidFill>
            <a:round/>
          </a:ln>
          <a:effectLst/>
        </c:spPr>
        <c:txPr>
          <a:bodyPr rot="-60000000" vert="horz"/>
          <a:lstStyle/>
          <a:p>
            <a:pPr>
              <a:defRPr/>
            </a:pPr>
            <a:endParaRPr lang="en-US"/>
          </a:p>
        </c:txPr>
        <c:crossAx val="335526912"/>
        <c:crosses val="autoZero"/>
        <c:auto val="1"/>
        <c:lblAlgn val="ctr"/>
        <c:lblOffset val="100"/>
        <c:noMultiLvlLbl val="0"/>
      </c:catAx>
      <c:valAx>
        <c:axId val="335526912"/>
        <c:scaling>
          <c:orientation val="minMax"/>
        </c:scaling>
        <c:delete val="0"/>
        <c:axPos val="l"/>
        <c:majorGridlines>
          <c:spPr>
            <a:ln w="9530" cap="flat" cmpd="sng" algn="ctr">
              <a:solidFill>
                <a:schemeClr val="tx2">
                  <a:lumMod val="15000"/>
                  <a:lumOff val="85000"/>
                </a:schemeClr>
              </a:solidFill>
              <a:round/>
            </a:ln>
            <a:effectLst/>
          </c:spPr>
        </c:majorGridlines>
        <c:numFmt formatCode="0.0" sourceLinked="1"/>
        <c:majorTickMark val="none"/>
        <c:minorTickMark val="none"/>
        <c:tickLblPos val="nextTo"/>
        <c:spPr>
          <a:ln w="6353">
            <a:noFill/>
          </a:ln>
        </c:spPr>
        <c:txPr>
          <a:bodyPr rot="-60000000" vert="horz"/>
          <a:lstStyle/>
          <a:p>
            <a:pPr>
              <a:defRPr/>
            </a:pPr>
            <a:endParaRPr lang="en-US"/>
          </a:p>
        </c:txPr>
        <c:crossAx val="335525376"/>
        <c:crosses val="autoZero"/>
        <c:crossBetween val="between"/>
      </c:valAx>
      <c:spPr>
        <a:noFill/>
        <a:ln w="25412">
          <a:noFill/>
        </a:ln>
      </c:spPr>
    </c:plotArea>
    <c:legend>
      <c:legendPos val="b"/>
      <c:layout>
        <c:manualLayout>
          <c:xMode val="edge"/>
          <c:yMode val="edge"/>
          <c:x val="4.0371417036737994E-2"/>
          <c:y val="0.81086469695875174"/>
          <c:w val="0.91117177425992479"/>
          <c:h val="0.18913530304124829"/>
        </c:manualLayout>
      </c:layout>
      <c:overlay val="0"/>
      <c:spPr>
        <a:noFill/>
        <a:ln w="25412">
          <a:noFill/>
        </a:ln>
      </c:spPr>
      <c:txPr>
        <a:bodyPr rot="0" vert="horz"/>
        <a:lstStyle/>
        <a:p>
          <a:pPr>
            <a:defRPr sz="900"/>
          </a:pPr>
          <a:endParaRPr lang="en-US"/>
        </a:p>
      </c:txPr>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userShapes r:id="rId3"/>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82080812768812"/>
          <c:y val="6.3554952510176385E-2"/>
          <c:w val="0.8257706331319018"/>
          <c:h val="0.63564952617015436"/>
        </c:manualLayout>
      </c:layout>
      <c:barChart>
        <c:barDir val="col"/>
        <c:grouping val="clustered"/>
        <c:varyColors val="0"/>
        <c:ser>
          <c:idx val="1"/>
          <c:order val="1"/>
          <c:tx>
            <c:strRef>
              <c:f>Sheet1!$C$1</c:f>
              <c:strCache>
                <c:ptCount val="1"/>
                <c:pt idx="0">
                  <c:v>Ոչ ֆին. ակիվ.գծով ծախսեր/ՀՆԱ%</c:v>
                </c:pt>
              </c:strCache>
            </c:strRef>
          </c:tx>
          <c:spPr>
            <a:solidFill>
              <a:srgbClr val="4472C4"/>
            </a:solidFill>
            <a:ln>
              <a:solidFill>
                <a:srgbClr val="4472C4"/>
              </a:solidFill>
            </a:ln>
            <a:effectLst>
              <a:outerShdw blurRad="40000" dist="23000" dir="5400000" rotWithShape="0">
                <a:srgbClr val="000000">
                  <a:alpha val="35000"/>
                </a:srgbClr>
              </a:outerShdw>
            </a:effectLst>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Sheet1!$A$2:$A$8</c:f>
              <c:numCache>
                <c:formatCode>0</c:formatCode>
                <c:ptCount val="6"/>
                <c:pt idx="0">
                  <c:v>2018</c:v>
                </c:pt>
                <c:pt idx="1">
                  <c:v>2019</c:v>
                </c:pt>
                <c:pt idx="2">
                  <c:v>2020</c:v>
                </c:pt>
                <c:pt idx="3">
                  <c:v>2021</c:v>
                </c:pt>
                <c:pt idx="4">
                  <c:v>2022</c:v>
                </c:pt>
                <c:pt idx="5">
                  <c:v>2023</c:v>
                </c:pt>
              </c:numCache>
            </c:numRef>
          </c:cat>
          <c:val>
            <c:numRef>
              <c:f>Sheet1!$C$2:$C$8</c:f>
              <c:numCache>
                <c:formatCode>0.0</c:formatCode>
                <c:ptCount val="6"/>
                <c:pt idx="0">
                  <c:v>2.461430617524059</c:v>
                </c:pt>
                <c:pt idx="1">
                  <c:v>2.9387820204716206</c:v>
                </c:pt>
                <c:pt idx="2">
                  <c:v>3.6588852016206146</c:v>
                </c:pt>
                <c:pt idx="3">
                  <c:v>3.0980346172559297</c:v>
                </c:pt>
                <c:pt idx="4">
                  <c:v>4.6982147597982014</c:v>
                </c:pt>
                <c:pt idx="5">
                  <c:v>5.9</c:v>
                </c:pt>
              </c:numCache>
            </c:numRef>
          </c:val>
          <c:extLst>
            <c:ext xmlns:c16="http://schemas.microsoft.com/office/drawing/2014/chart" uri="{C3380CC4-5D6E-409C-BE32-E72D297353CC}">
              <c16:uniqueId val="{00000000-7E40-47DD-AE9E-E6EB622D6BBD}"/>
            </c:ext>
          </c:extLst>
        </c:ser>
        <c:dLbls>
          <c:showLegendKey val="0"/>
          <c:showVal val="0"/>
          <c:showCatName val="0"/>
          <c:showSerName val="0"/>
          <c:showPercent val="0"/>
          <c:showBubbleSize val="0"/>
        </c:dLbls>
        <c:gapWidth val="219"/>
        <c:axId val="335797632"/>
        <c:axId val="335946880"/>
      </c:barChart>
      <c:lineChart>
        <c:grouping val="standard"/>
        <c:varyColors val="0"/>
        <c:ser>
          <c:idx val="0"/>
          <c:order val="0"/>
          <c:tx>
            <c:strRef>
              <c:f>Sheet1!$B$1</c:f>
              <c:strCache>
                <c:ptCount val="1"/>
                <c:pt idx="0">
                  <c:v>Պակասուրդ/ՀՆԱ%</c:v>
                </c:pt>
              </c:strCache>
            </c:strRef>
          </c:tx>
          <c:spPr>
            <a:ln>
              <a:solidFill>
                <a:srgbClr val="FF0000"/>
              </a:solidFill>
            </a:ln>
            <a:effectLst>
              <a:outerShdw blurRad="40000" dist="23000" dir="5400000" rotWithShape="0">
                <a:srgbClr val="000000">
                  <a:alpha val="35000"/>
                </a:srgbClr>
              </a:outerShdw>
            </a:effectLst>
          </c:spPr>
          <c:marker>
            <c:spPr>
              <a:solidFill>
                <a:srgbClr val="FF0000"/>
              </a:solidFill>
              <a:ln>
                <a:solidFill>
                  <a:srgbClr val="FF0000"/>
                </a:solidFill>
              </a:ln>
            </c:spPr>
          </c:marker>
          <c:dLbls>
            <c:dLbl>
              <c:idx val="3"/>
              <c:layout>
                <c:manualLayout>
                  <c:x val="-6.4230924505450135E-2"/>
                  <c:y val="-5.021109715371200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E40-47DD-AE9E-E6EB622D6BBD}"/>
                </c:ext>
              </c:extLst>
            </c:dLbl>
            <c:dLbl>
              <c:idx val="5"/>
              <c:layout>
                <c:manualLayout>
                  <c:x val="-2.1166561496886059E-3"/>
                  <c:y val="2.488826158550933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E40-47DD-AE9E-E6EB622D6BBD}"/>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Sheet1!$A$2:$A$8</c:f>
              <c:numCache>
                <c:formatCode>0</c:formatCode>
                <c:ptCount val="6"/>
                <c:pt idx="0">
                  <c:v>2018</c:v>
                </c:pt>
                <c:pt idx="1">
                  <c:v>2019</c:v>
                </c:pt>
                <c:pt idx="2">
                  <c:v>2020</c:v>
                </c:pt>
                <c:pt idx="3">
                  <c:v>2021</c:v>
                </c:pt>
                <c:pt idx="4">
                  <c:v>2022</c:v>
                </c:pt>
                <c:pt idx="5">
                  <c:v>2023</c:v>
                </c:pt>
              </c:numCache>
            </c:numRef>
          </c:cat>
          <c:val>
            <c:numRef>
              <c:f>Sheet1!$B$2:$B$8</c:f>
              <c:numCache>
                <c:formatCode>0.0</c:formatCode>
                <c:ptCount val="6"/>
                <c:pt idx="0">
                  <c:v>1.7515672931246957</c:v>
                </c:pt>
                <c:pt idx="1">
                  <c:v>0.973720551834374</c:v>
                </c:pt>
                <c:pt idx="2">
                  <c:v>5.4</c:v>
                </c:pt>
                <c:pt idx="3">
                  <c:v>4.5893061464958498</c:v>
                </c:pt>
                <c:pt idx="4">
                  <c:v>2.46189979968428</c:v>
                </c:pt>
                <c:pt idx="5">
                  <c:v>3.1</c:v>
                </c:pt>
              </c:numCache>
            </c:numRef>
          </c:val>
          <c:smooth val="0"/>
          <c:extLst>
            <c:ext xmlns:c16="http://schemas.microsoft.com/office/drawing/2014/chart" uri="{C3380CC4-5D6E-409C-BE32-E72D297353CC}">
              <c16:uniqueId val="{00000003-7E40-47DD-AE9E-E6EB622D6BBD}"/>
            </c:ext>
          </c:extLst>
        </c:ser>
        <c:dLbls>
          <c:showLegendKey val="0"/>
          <c:showVal val="0"/>
          <c:showCatName val="0"/>
          <c:showSerName val="0"/>
          <c:showPercent val="0"/>
          <c:showBubbleSize val="0"/>
        </c:dLbls>
        <c:marker val="1"/>
        <c:smooth val="0"/>
        <c:axId val="335797632"/>
        <c:axId val="335946880"/>
      </c:lineChart>
      <c:catAx>
        <c:axId val="335797632"/>
        <c:scaling>
          <c:orientation val="minMax"/>
        </c:scaling>
        <c:delete val="0"/>
        <c:axPos val="b"/>
        <c:numFmt formatCode="0" sourceLinked="1"/>
        <c:majorTickMark val="none"/>
        <c:minorTickMark val="none"/>
        <c:tickLblPos val="low"/>
        <c:spPr>
          <a:noFill/>
          <a:ln w="9530" cap="flat" cmpd="sng" algn="ctr">
            <a:solidFill>
              <a:schemeClr val="tx2">
                <a:lumMod val="15000"/>
                <a:lumOff val="85000"/>
              </a:schemeClr>
            </a:solidFill>
            <a:round/>
          </a:ln>
          <a:effectLst/>
        </c:spPr>
        <c:txPr>
          <a:bodyPr rot="-60000000" vert="horz"/>
          <a:lstStyle/>
          <a:p>
            <a:pPr>
              <a:defRPr/>
            </a:pPr>
            <a:endParaRPr lang="en-US"/>
          </a:p>
        </c:txPr>
        <c:crossAx val="335946880"/>
        <c:crosses val="autoZero"/>
        <c:auto val="1"/>
        <c:lblAlgn val="ctr"/>
        <c:lblOffset val="100"/>
        <c:noMultiLvlLbl val="0"/>
      </c:catAx>
      <c:valAx>
        <c:axId val="335946880"/>
        <c:scaling>
          <c:orientation val="minMax"/>
        </c:scaling>
        <c:delete val="0"/>
        <c:axPos val="l"/>
        <c:majorGridlines>
          <c:spPr>
            <a:ln w="9530" cap="flat" cmpd="sng" algn="ctr">
              <a:solidFill>
                <a:schemeClr val="tx2">
                  <a:lumMod val="15000"/>
                  <a:lumOff val="85000"/>
                </a:schemeClr>
              </a:solidFill>
              <a:round/>
            </a:ln>
            <a:effectLst/>
          </c:spPr>
        </c:majorGridlines>
        <c:numFmt formatCode="0.0" sourceLinked="1"/>
        <c:majorTickMark val="none"/>
        <c:minorTickMark val="none"/>
        <c:tickLblPos val="nextTo"/>
        <c:spPr>
          <a:ln w="6353">
            <a:noFill/>
          </a:ln>
        </c:spPr>
        <c:txPr>
          <a:bodyPr rot="-60000000" vert="horz"/>
          <a:lstStyle/>
          <a:p>
            <a:pPr>
              <a:defRPr/>
            </a:pPr>
            <a:endParaRPr lang="en-US"/>
          </a:p>
        </c:txPr>
        <c:crossAx val="335797632"/>
        <c:crosses val="autoZero"/>
        <c:crossBetween val="between"/>
      </c:valAx>
      <c:spPr>
        <a:noFill/>
        <a:ln w="25412">
          <a:noFill/>
        </a:ln>
      </c:spPr>
    </c:plotArea>
    <c:legend>
      <c:legendPos val="b"/>
      <c:layout>
        <c:manualLayout>
          <c:xMode val="edge"/>
          <c:yMode val="edge"/>
          <c:x val="0"/>
          <c:y val="0.8767285925196856"/>
          <c:w val="0.99584174404521597"/>
          <c:h val="0.123271407480315"/>
        </c:manualLayout>
      </c:layout>
      <c:overlay val="0"/>
      <c:spPr>
        <a:noFill/>
        <a:ln w="25412">
          <a:noFill/>
        </a:ln>
      </c:spPr>
      <c:txPr>
        <a:bodyPr rot="0" vert="horz"/>
        <a:lstStyle/>
        <a:p>
          <a:pPr>
            <a:defRPr sz="900"/>
          </a:pPr>
          <a:endParaRPr lang="en-US"/>
        </a:p>
      </c:txPr>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userShapes r:id="rId3"/>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y-AM" sz="1000" b="1">
                <a:solidFill>
                  <a:sysClr val="windowText" lastClr="000000"/>
                </a:solidFill>
                <a:latin typeface="GHEA Grapalat" panose="02000506050000020003" pitchFamily="50" charset="0"/>
              </a:rPr>
              <a:t>Կառավարության պարտքի</a:t>
            </a:r>
            <a:r>
              <a:rPr lang="hy-AM" sz="1000" b="1" baseline="0">
                <a:solidFill>
                  <a:sysClr val="windowText" lastClr="000000"/>
                </a:solidFill>
                <a:latin typeface="GHEA Grapalat" panose="02000506050000020003" pitchFamily="50" charset="0"/>
              </a:rPr>
              <a:t> դինամիկան</a:t>
            </a:r>
            <a:endParaRPr lang="en-US" sz="1000" b="1">
              <a:solidFill>
                <a:sysClr val="windowText" lastClr="000000"/>
              </a:solidFill>
              <a:latin typeface="GHEA Grapalat" panose="02000506050000020003" pitchFamily="50" charset="0"/>
            </a:endParaRPr>
          </a:p>
        </c:rich>
      </c:tx>
      <c:layout/>
      <c:overlay val="0"/>
      <c:spPr>
        <a:noFill/>
        <a:ln>
          <a:noFill/>
        </a:ln>
        <a:effectLst/>
      </c:spPr>
    </c:title>
    <c:autoTitleDeleted val="0"/>
    <c:plotArea>
      <c:layout/>
      <c:barChart>
        <c:barDir val="col"/>
        <c:grouping val="clustered"/>
        <c:varyColors val="0"/>
        <c:ser>
          <c:idx val="1"/>
          <c:order val="1"/>
          <c:tx>
            <c:strRef>
              <c:f>Sheet1!$C$1</c:f>
              <c:strCache>
                <c:ptCount val="1"/>
                <c:pt idx="0">
                  <c:v>ՀՀ կառավարության պարտք, մլրդ դրամ</c:v>
                </c:pt>
              </c:strCache>
            </c:strRef>
          </c:tx>
          <c:spPr>
            <a:solidFill>
              <a:schemeClr val="accent2"/>
            </a:solidFill>
            <a:ln>
              <a:noFill/>
            </a:ln>
            <a:effectLst/>
          </c:spPr>
          <c:invertIfNegative val="0"/>
          <c:cat>
            <c:numRef>
              <c:f>Sheet1!$A$2:$A$8</c:f>
              <c:numCache>
                <c:formatCode>General</c:formatCode>
                <c:ptCount val="7"/>
                <c:pt idx="0">
                  <c:v>2017</c:v>
                </c:pt>
                <c:pt idx="1">
                  <c:v>2018</c:v>
                </c:pt>
                <c:pt idx="2">
                  <c:v>2019</c:v>
                </c:pt>
                <c:pt idx="3">
                  <c:v>2020</c:v>
                </c:pt>
                <c:pt idx="4">
                  <c:v>2021</c:v>
                </c:pt>
                <c:pt idx="5">
                  <c:v>2022</c:v>
                </c:pt>
                <c:pt idx="6">
                  <c:v>2023</c:v>
                </c:pt>
              </c:numCache>
            </c:numRef>
          </c:cat>
          <c:val>
            <c:numRef>
              <c:f>Sheet1!$C$2:$C$8</c:f>
              <c:numCache>
                <c:formatCode>0.0</c:formatCode>
                <c:ptCount val="7"/>
                <c:pt idx="0">
                  <c:v>2988.3796278717332</c:v>
                </c:pt>
                <c:pt idx="1">
                  <c:v>3082.8664640448101</c:v>
                </c:pt>
                <c:pt idx="2">
                  <c:v>3277.2813769668846</c:v>
                </c:pt>
                <c:pt idx="3">
                  <c:v>3923.8890671175195</c:v>
                </c:pt>
                <c:pt idx="4">
                  <c:v>4209.8379084366843</c:v>
                </c:pt>
                <c:pt idx="5">
                  <c:v>4158</c:v>
                </c:pt>
                <c:pt idx="6">
                  <c:v>4645</c:v>
                </c:pt>
              </c:numCache>
            </c:numRef>
          </c:val>
          <c:extLst>
            <c:ext xmlns:c16="http://schemas.microsoft.com/office/drawing/2014/chart" uri="{C3380CC4-5D6E-409C-BE32-E72D297353CC}">
              <c16:uniqueId val="{00000000-9869-4CF0-A03A-D68E9C95B316}"/>
            </c:ext>
          </c:extLst>
        </c:ser>
        <c:dLbls>
          <c:showLegendKey val="0"/>
          <c:showVal val="0"/>
          <c:showCatName val="0"/>
          <c:showSerName val="0"/>
          <c:showPercent val="0"/>
          <c:showBubbleSize val="0"/>
        </c:dLbls>
        <c:gapWidth val="219"/>
        <c:axId val="335999744"/>
        <c:axId val="336001280"/>
      </c:barChart>
      <c:lineChart>
        <c:grouping val="standard"/>
        <c:varyColors val="0"/>
        <c:ser>
          <c:idx val="0"/>
          <c:order val="0"/>
          <c:tx>
            <c:strRef>
              <c:f>Sheet1!$B$1</c:f>
              <c:strCache>
                <c:ptCount val="1"/>
                <c:pt idx="0">
                  <c:v>Կառավարության պարտք/ՀՆԱ, % (աջ առանցք)</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2017</c:v>
                </c:pt>
                <c:pt idx="1">
                  <c:v>2018</c:v>
                </c:pt>
                <c:pt idx="2">
                  <c:v>2019</c:v>
                </c:pt>
                <c:pt idx="3">
                  <c:v>2020</c:v>
                </c:pt>
                <c:pt idx="4">
                  <c:v>2021</c:v>
                </c:pt>
                <c:pt idx="5">
                  <c:v>2022</c:v>
                </c:pt>
                <c:pt idx="6">
                  <c:v>2023</c:v>
                </c:pt>
              </c:numCache>
            </c:numRef>
          </c:cat>
          <c:val>
            <c:numRef>
              <c:f>Sheet1!$B$2:$B$8</c:f>
              <c:numCache>
                <c:formatCode>0.0</c:formatCode>
                <c:ptCount val="7"/>
                <c:pt idx="0">
                  <c:v>53.704433930610207</c:v>
                </c:pt>
                <c:pt idx="1">
                  <c:v>51.235639506393603</c:v>
                </c:pt>
                <c:pt idx="2">
                  <c:v>49.890110777392067</c:v>
                </c:pt>
                <c:pt idx="3">
                  <c:v>63.476258231461003</c:v>
                </c:pt>
                <c:pt idx="4">
                  <c:v>60.287276473798691</c:v>
                </c:pt>
                <c:pt idx="5">
                  <c:v>50.1</c:v>
                </c:pt>
                <c:pt idx="6">
                  <c:v>49.8</c:v>
                </c:pt>
              </c:numCache>
            </c:numRef>
          </c:val>
          <c:smooth val="0"/>
          <c:extLst>
            <c:ext xmlns:c16="http://schemas.microsoft.com/office/drawing/2014/chart" uri="{C3380CC4-5D6E-409C-BE32-E72D297353CC}">
              <c16:uniqueId val="{00000001-9869-4CF0-A03A-D68E9C95B316}"/>
            </c:ext>
          </c:extLst>
        </c:ser>
        <c:dLbls>
          <c:showLegendKey val="0"/>
          <c:showVal val="0"/>
          <c:showCatName val="0"/>
          <c:showSerName val="0"/>
          <c:showPercent val="0"/>
          <c:showBubbleSize val="0"/>
        </c:dLbls>
        <c:marker val="1"/>
        <c:smooth val="0"/>
        <c:axId val="346625536"/>
        <c:axId val="346624000"/>
      </c:lineChart>
      <c:catAx>
        <c:axId val="33599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6001280"/>
        <c:crosses val="autoZero"/>
        <c:auto val="1"/>
        <c:lblAlgn val="ctr"/>
        <c:lblOffset val="100"/>
        <c:noMultiLvlLbl val="0"/>
      </c:catAx>
      <c:valAx>
        <c:axId val="3360012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999744"/>
        <c:crosses val="autoZero"/>
        <c:crossBetween val="between"/>
      </c:valAx>
      <c:valAx>
        <c:axId val="34662400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625536"/>
        <c:crosses val="max"/>
        <c:crossBetween val="between"/>
      </c:valAx>
      <c:catAx>
        <c:axId val="346625536"/>
        <c:scaling>
          <c:orientation val="minMax"/>
        </c:scaling>
        <c:delete val="1"/>
        <c:axPos val="b"/>
        <c:numFmt formatCode="General" sourceLinked="1"/>
        <c:majorTickMark val="out"/>
        <c:minorTickMark val="none"/>
        <c:tickLblPos val="none"/>
        <c:crossAx val="346624000"/>
        <c:crosses val="autoZero"/>
        <c:auto val="1"/>
        <c:lblAlgn val="ctr"/>
        <c:lblOffset val="100"/>
        <c:noMultiLvlLbl val="0"/>
      </c:catAx>
      <c:spPr>
        <a:noFill/>
        <a:ln>
          <a:noFill/>
        </a:ln>
        <a:effectLst/>
      </c:spPr>
    </c:plotArea>
    <c:legend>
      <c:legendPos val="b"/>
      <c:layout>
        <c:manualLayout>
          <c:xMode val="edge"/>
          <c:yMode val="edge"/>
          <c:x val="0"/>
          <c:y val="0.78088601993439488"/>
          <c:w val="0.99724612736660856"/>
          <c:h val="0.219113980065605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99"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899" b="1" baseline="0">
                <a:solidFill>
                  <a:sysClr val="windowText" lastClr="000000"/>
                </a:solidFill>
              </a:rPr>
              <a:t>Կառավարության պարտքի բեռի փոփոխությանը նպաստող գործոնները, </a:t>
            </a:r>
            <a:r>
              <a:rPr lang="en-US" sz="899" b="1" baseline="0">
                <a:solidFill>
                  <a:sysClr val="windowText" lastClr="000000"/>
                </a:solidFill>
              </a:rPr>
              <a:t>%-</a:t>
            </a:r>
            <a:r>
              <a:rPr lang="hy-AM" sz="899" b="1" baseline="0">
                <a:solidFill>
                  <a:sysClr val="windowText" lastClr="000000"/>
                </a:solidFill>
              </a:rPr>
              <a:t>ային կետ</a:t>
            </a:r>
            <a:endParaRPr lang="en-US" sz="900" b="1">
              <a:solidFill>
                <a:sysClr val="windowText" lastClr="000000"/>
              </a:solidFill>
            </a:endParaRPr>
          </a:p>
        </c:rich>
      </c:tx>
      <c:layout>
        <c:manualLayout>
          <c:xMode val="edge"/>
          <c:yMode val="edge"/>
          <c:x val="8.4826303261163777E-2"/>
          <c:y val="3.4761154855643046E-3"/>
        </c:manualLayout>
      </c:layout>
      <c:overlay val="0"/>
      <c:spPr>
        <a:noFill/>
        <a:ln w="25384">
          <a:noFill/>
        </a:ln>
      </c:spPr>
    </c:title>
    <c:autoTitleDeleted val="0"/>
    <c:plotArea>
      <c:layout>
        <c:manualLayout>
          <c:layoutTarget val="inner"/>
          <c:xMode val="edge"/>
          <c:yMode val="edge"/>
          <c:x val="0.11882213353467802"/>
          <c:y val="0.21861594033419091"/>
          <c:w val="0.49000876204041866"/>
          <c:h val="0.65598537806536561"/>
        </c:manualLayout>
      </c:layout>
      <c:barChart>
        <c:barDir val="col"/>
        <c:grouping val="stacked"/>
        <c:varyColors val="0"/>
        <c:ser>
          <c:idx val="0"/>
          <c:order val="0"/>
          <c:tx>
            <c:strRef>
              <c:f>Sheet1!$B$1</c:f>
              <c:strCache>
                <c:ptCount val="1"/>
                <c:pt idx="0">
                  <c:v>Առաջնային պակասուրդ</c:v>
                </c:pt>
              </c:strCache>
            </c:strRef>
          </c:tx>
          <c:spPr>
            <a:solidFill>
              <a:srgbClr val="4F81BD"/>
            </a:solidFill>
            <a:ln w="25384">
              <a:noFill/>
            </a:ln>
          </c:spPr>
          <c:invertIfNegative val="0"/>
          <c:cat>
            <c:numRef>
              <c:f>Sheet1!$A$2:$A$10</c:f>
              <c:numCache>
                <c:formatCode>General</c:formatCode>
                <c:ptCount val="6"/>
                <c:pt idx="0">
                  <c:v>2018</c:v>
                </c:pt>
                <c:pt idx="1">
                  <c:v>2019</c:v>
                </c:pt>
                <c:pt idx="2">
                  <c:v>2020</c:v>
                </c:pt>
                <c:pt idx="3">
                  <c:v>2021</c:v>
                </c:pt>
                <c:pt idx="4">
                  <c:v>2022</c:v>
                </c:pt>
                <c:pt idx="5">
                  <c:v>2023</c:v>
                </c:pt>
              </c:numCache>
            </c:numRef>
          </c:cat>
          <c:val>
            <c:numRef>
              <c:f>Sheet1!$B$2:$B$10</c:f>
              <c:numCache>
                <c:formatCode>0.0</c:formatCode>
                <c:ptCount val="6"/>
                <c:pt idx="0">
                  <c:v>-0.57258085880967613</c:v>
                </c:pt>
                <c:pt idx="1">
                  <c:v>-1.4284363292094469</c:v>
                </c:pt>
                <c:pt idx="2">
                  <c:v>2.7324762509823195</c:v>
                </c:pt>
                <c:pt idx="3">
                  <c:v>2.1826159296250589</c:v>
                </c:pt>
                <c:pt idx="4">
                  <c:v>-0.24280671108465185</c:v>
                </c:pt>
                <c:pt idx="5">
                  <c:v>0.17956666846794012</c:v>
                </c:pt>
              </c:numCache>
            </c:numRef>
          </c:val>
          <c:extLst>
            <c:ext xmlns:c16="http://schemas.microsoft.com/office/drawing/2014/chart" uri="{C3380CC4-5D6E-409C-BE32-E72D297353CC}">
              <c16:uniqueId val="{00000000-0AA4-481A-AB1B-8D7BCEE93AF7}"/>
            </c:ext>
          </c:extLst>
        </c:ser>
        <c:ser>
          <c:idx val="1"/>
          <c:order val="1"/>
          <c:tx>
            <c:strRef>
              <c:f>Sheet1!$C$1</c:f>
              <c:strCache>
                <c:ptCount val="1"/>
                <c:pt idx="0">
                  <c:v>Իրական տոկոսադրույք</c:v>
                </c:pt>
              </c:strCache>
            </c:strRef>
          </c:tx>
          <c:spPr>
            <a:solidFill>
              <a:srgbClr val="C0504D"/>
            </a:solidFill>
            <a:ln w="25384">
              <a:noFill/>
            </a:ln>
          </c:spPr>
          <c:invertIfNegative val="0"/>
          <c:cat>
            <c:numRef>
              <c:f>Sheet1!$A$2:$A$10</c:f>
              <c:numCache>
                <c:formatCode>General</c:formatCode>
                <c:ptCount val="6"/>
                <c:pt idx="0">
                  <c:v>2018</c:v>
                </c:pt>
                <c:pt idx="1">
                  <c:v>2019</c:v>
                </c:pt>
                <c:pt idx="2">
                  <c:v>2020</c:v>
                </c:pt>
                <c:pt idx="3">
                  <c:v>2021</c:v>
                </c:pt>
                <c:pt idx="4">
                  <c:v>2022</c:v>
                </c:pt>
                <c:pt idx="5">
                  <c:v>2023</c:v>
                </c:pt>
              </c:numCache>
            </c:numRef>
          </c:cat>
          <c:val>
            <c:numRef>
              <c:f>Sheet1!$C$2:$C$10</c:f>
              <c:numCache>
                <c:formatCode>0.0</c:formatCode>
                <c:ptCount val="6"/>
                <c:pt idx="0">
                  <c:v>0.98012789078743601</c:v>
                </c:pt>
                <c:pt idx="1">
                  <c:v>1.6930478859443168</c:v>
                </c:pt>
                <c:pt idx="2">
                  <c:v>1.6692093790760498</c:v>
                </c:pt>
                <c:pt idx="3">
                  <c:v>-1.5186370629788788</c:v>
                </c:pt>
                <c:pt idx="4">
                  <c:v>-1.0848719047896622</c:v>
                </c:pt>
                <c:pt idx="5">
                  <c:v>9.2318147622608843E-2</c:v>
                </c:pt>
              </c:numCache>
            </c:numRef>
          </c:val>
          <c:extLst>
            <c:ext xmlns:c16="http://schemas.microsoft.com/office/drawing/2014/chart" uri="{C3380CC4-5D6E-409C-BE32-E72D297353CC}">
              <c16:uniqueId val="{00000001-0AA4-481A-AB1B-8D7BCEE93AF7}"/>
            </c:ext>
          </c:extLst>
        </c:ser>
        <c:ser>
          <c:idx val="2"/>
          <c:order val="2"/>
          <c:tx>
            <c:strRef>
              <c:f>Sheet1!$D$1</c:f>
              <c:strCache>
                <c:ptCount val="1"/>
                <c:pt idx="0">
                  <c:v>Իրական ՀՆԱ աճ</c:v>
                </c:pt>
              </c:strCache>
            </c:strRef>
          </c:tx>
          <c:spPr>
            <a:solidFill>
              <a:srgbClr val="9BBB59"/>
            </a:solidFill>
            <a:ln w="25384">
              <a:noFill/>
            </a:ln>
          </c:spPr>
          <c:invertIfNegative val="0"/>
          <c:cat>
            <c:numRef>
              <c:f>Sheet1!$A$2:$A$10</c:f>
              <c:numCache>
                <c:formatCode>General</c:formatCode>
                <c:ptCount val="6"/>
                <c:pt idx="0">
                  <c:v>2018</c:v>
                </c:pt>
                <c:pt idx="1">
                  <c:v>2019</c:v>
                </c:pt>
                <c:pt idx="2">
                  <c:v>2020</c:v>
                </c:pt>
                <c:pt idx="3">
                  <c:v>2021</c:v>
                </c:pt>
                <c:pt idx="4">
                  <c:v>2022</c:v>
                </c:pt>
                <c:pt idx="5">
                  <c:v>2023</c:v>
                </c:pt>
              </c:numCache>
            </c:numRef>
          </c:cat>
          <c:val>
            <c:numRef>
              <c:f>Sheet1!$D$2:$D$10</c:f>
              <c:numCache>
                <c:formatCode>0.0</c:formatCode>
                <c:ptCount val="6"/>
                <c:pt idx="0">
                  <c:v>-2.6039370723394306</c:v>
                </c:pt>
                <c:pt idx="1">
                  <c:v>-3.5727954124852048</c:v>
                </c:pt>
                <c:pt idx="2">
                  <c:v>3.927730789386175</c:v>
                </c:pt>
                <c:pt idx="3">
                  <c:v>-3.1805094702168866</c:v>
                </c:pt>
                <c:pt idx="4">
                  <c:v>-5.5835652202726713</c:v>
                </c:pt>
                <c:pt idx="5">
                  <c:v>-3.1589756071415152</c:v>
                </c:pt>
              </c:numCache>
            </c:numRef>
          </c:val>
          <c:extLst>
            <c:ext xmlns:c16="http://schemas.microsoft.com/office/drawing/2014/chart" uri="{C3380CC4-5D6E-409C-BE32-E72D297353CC}">
              <c16:uniqueId val="{00000002-0AA4-481A-AB1B-8D7BCEE93AF7}"/>
            </c:ext>
          </c:extLst>
        </c:ser>
        <c:ser>
          <c:idx val="3"/>
          <c:order val="3"/>
          <c:tx>
            <c:strRef>
              <c:f>Sheet1!$E$1</c:f>
              <c:strCache>
                <c:ptCount val="1"/>
                <c:pt idx="0">
                  <c:v>Փոխարժեքի արժեզրկում</c:v>
                </c:pt>
              </c:strCache>
            </c:strRef>
          </c:tx>
          <c:spPr>
            <a:solidFill>
              <a:srgbClr val="8064A2"/>
            </a:solidFill>
            <a:ln w="25384">
              <a:noFill/>
            </a:ln>
          </c:spPr>
          <c:invertIfNegative val="0"/>
          <c:cat>
            <c:numRef>
              <c:f>Sheet1!$A$2:$A$10</c:f>
              <c:numCache>
                <c:formatCode>General</c:formatCode>
                <c:ptCount val="6"/>
                <c:pt idx="0">
                  <c:v>2018</c:v>
                </c:pt>
                <c:pt idx="1">
                  <c:v>2019</c:v>
                </c:pt>
                <c:pt idx="2">
                  <c:v>2020</c:v>
                </c:pt>
                <c:pt idx="3">
                  <c:v>2021</c:v>
                </c:pt>
                <c:pt idx="4">
                  <c:v>2022</c:v>
                </c:pt>
                <c:pt idx="5">
                  <c:v>2023</c:v>
                </c:pt>
              </c:numCache>
            </c:numRef>
          </c:cat>
          <c:val>
            <c:numRef>
              <c:f>Sheet1!$E$2:$E$10</c:f>
              <c:numCache>
                <c:formatCode>0.0</c:formatCode>
                <c:ptCount val="6"/>
                <c:pt idx="0">
                  <c:v>-3.0355942288865109E-2</c:v>
                </c:pt>
                <c:pt idx="1">
                  <c:v>-0.33045922768254016</c:v>
                </c:pt>
                <c:pt idx="2">
                  <c:v>3.869772584163178</c:v>
                </c:pt>
                <c:pt idx="3">
                  <c:v>-4.106412737413172</c:v>
                </c:pt>
              </c:numCache>
            </c:numRef>
          </c:val>
          <c:extLst>
            <c:ext xmlns:c16="http://schemas.microsoft.com/office/drawing/2014/chart" uri="{C3380CC4-5D6E-409C-BE32-E72D297353CC}">
              <c16:uniqueId val="{00000003-0AA4-481A-AB1B-8D7BCEE93AF7}"/>
            </c:ext>
          </c:extLst>
        </c:ser>
        <c:ser>
          <c:idx val="4"/>
          <c:order val="4"/>
          <c:tx>
            <c:strRef>
              <c:f>Sheet1!$F$1</c:f>
              <c:strCache>
                <c:ptCount val="1"/>
                <c:pt idx="0">
                  <c:v>Զուտ վարկավորում բյուջեից</c:v>
                </c:pt>
              </c:strCache>
            </c:strRef>
          </c:tx>
          <c:spPr>
            <a:solidFill>
              <a:srgbClr val="4BACC6"/>
            </a:solidFill>
            <a:ln w="25384">
              <a:noFill/>
            </a:ln>
          </c:spPr>
          <c:invertIfNegative val="0"/>
          <c:cat>
            <c:numRef>
              <c:f>Sheet1!$A$2:$A$10</c:f>
              <c:numCache>
                <c:formatCode>General</c:formatCode>
                <c:ptCount val="6"/>
                <c:pt idx="0">
                  <c:v>2018</c:v>
                </c:pt>
                <c:pt idx="1">
                  <c:v>2019</c:v>
                </c:pt>
                <c:pt idx="2">
                  <c:v>2020</c:v>
                </c:pt>
                <c:pt idx="3">
                  <c:v>2021</c:v>
                </c:pt>
                <c:pt idx="4">
                  <c:v>2022</c:v>
                </c:pt>
                <c:pt idx="5">
                  <c:v>2023</c:v>
                </c:pt>
              </c:numCache>
            </c:numRef>
          </c:cat>
          <c:val>
            <c:numRef>
              <c:f>Sheet1!$F$2:$F$10</c:f>
              <c:numCache>
                <c:formatCode>0.0</c:formatCode>
                <c:ptCount val="6"/>
                <c:pt idx="0">
                  <c:v>0.81037920761112525</c:v>
                </c:pt>
                <c:pt idx="1">
                  <c:v>1.0104016885491129</c:v>
                </c:pt>
                <c:pt idx="2">
                  <c:v>1.6545023656332283</c:v>
                </c:pt>
                <c:pt idx="3">
                  <c:v>1.8936427014800208</c:v>
                </c:pt>
                <c:pt idx="4">
                  <c:v>1.9841688083045161</c:v>
                </c:pt>
                <c:pt idx="5">
                  <c:v>1.6222418914093861</c:v>
                </c:pt>
              </c:numCache>
            </c:numRef>
          </c:val>
          <c:extLst>
            <c:ext xmlns:c16="http://schemas.microsoft.com/office/drawing/2014/chart" uri="{C3380CC4-5D6E-409C-BE32-E72D297353CC}">
              <c16:uniqueId val="{00000004-0AA4-481A-AB1B-8D7BCEE93AF7}"/>
            </c:ext>
          </c:extLst>
        </c:ser>
        <c:ser>
          <c:idx val="5"/>
          <c:order val="5"/>
          <c:tx>
            <c:strRef>
              <c:f>Sheet1!$G$1</c:f>
              <c:strCache>
                <c:ptCount val="1"/>
                <c:pt idx="0">
                  <c:v>Մնացորդ</c:v>
                </c:pt>
              </c:strCache>
            </c:strRef>
          </c:tx>
          <c:spPr>
            <a:solidFill>
              <a:srgbClr val="F79646"/>
            </a:solidFill>
            <a:ln w="25384">
              <a:noFill/>
            </a:ln>
          </c:spPr>
          <c:invertIfNegative val="0"/>
          <c:cat>
            <c:numRef>
              <c:f>Sheet1!$A$2:$A$10</c:f>
              <c:numCache>
                <c:formatCode>General</c:formatCode>
                <c:ptCount val="6"/>
                <c:pt idx="0">
                  <c:v>2018</c:v>
                </c:pt>
                <c:pt idx="1">
                  <c:v>2019</c:v>
                </c:pt>
                <c:pt idx="2">
                  <c:v>2020</c:v>
                </c:pt>
                <c:pt idx="3">
                  <c:v>2021</c:v>
                </c:pt>
                <c:pt idx="4">
                  <c:v>2022</c:v>
                </c:pt>
                <c:pt idx="5">
                  <c:v>2023</c:v>
                </c:pt>
              </c:numCache>
            </c:numRef>
          </c:cat>
          <c:val>
            <c:numRef>
              <c:f>Sheet1!$G$2:$G$10</c:f>
              <c:numCache>
                <c:formatCode>0.0</c:formatCode>
                <c:ptCount val="6"/>
                <c:pt idx="0">
                  <c:v>-0.90772701057372629</c:v>
                </c:pt>
                <c:pt idx="1">
                  <c:v>1.3324296052555091</c:v>
                </c:pt>
                <c:pt idx="2">
                  <c:v>-0.48467011139045901</c:v>
                </c:pt>
                <c:pt idx="3">
                  <c:v>1.5413022514064032</c:v>
                </c:pt>
                <c:pt idx="4">
                  <c:v>-5.2729249721575266</c:v>
                </c:pt>
                <c:pt idx="5">
                  <c:v>0.96484889964157583</c:v>
                </c:pt>
              </c:numCache>
            </c:numRef>
          </c:val>
          <c:extLst>
            <c:ext xmlns:c16="http://schemas.microsoft.com/office/drawing/2014/chart" uri="{C3380CC4-5D6E-409C-BE32-E72D297353CC}">
              <c16:uniqueId val="{00000005-0AA4-481A-AB1B-8D7BCEE93AF7}"/>
            </c:ext>
          </c:extLst>
        </c:ser>
        <c:dLbls>
          <c:showLegendKey val="0"/>
          <c:showVal val="0"/>
          <c:showCatName val="0"/>
          <c:showSerName val="0"/>
          <c:showPercent val="0"/>
          <c:showBubbleSize val="0"/>
        </c:dLbls>
        <c:gapWidth val="81"/>
        <c:overlap val="100"/>
        <c:axId val="347695360"/>
        <c:axId val="347697536"/>
      </c:barChart>
      <c:lineChart>
        <c:grouping val="standard"/>
        <c:varyColors val="0"/>
        <c:ser>
          <c:idx val="6"/>
          <c:order val="6"/>
          <c:tx>
            <c:strRef>
              <c:f>Sheet1!$H$1</c:f>
              <c:strCache>
                <c:ptCount val="1"/>
                <c:pt idx="0">
                  <c:v>Պարտք/ՀՆԱ փոփոխություն, %-ային կետ </c:v>
                </c:pt>
              </c:strCache>
            </c:strRef>
          </c:tx>
          <c:spPr>
            <a:ln w="28557" cap="rnd">
              <a:solidFill>
                <a:schemeClr val="accent1">
                  <a:lumMod val="60000"/>
                </a:schemeClr>
              </a:solidFill>
              <a:round/>
            </a:ln>
            <a:effectLst/>
          </c:spPr>
          <c:marker>
            <c:symbol val="circle"/>
            <c:size val="4"/>
            <c:spPr>
              <a:solidFill>
                <a:schemeClr val="accent1">
                  <a:lumMod val="60000"/>
                </a:schemeClr>
              </a:solidFill>
              <a:ln w="9519">
                <a:solidFill>
                  <a:schemeClr val="accent1">
                    <a:lumMod val="60000"/>
                  </a:schemeClr>
                </a:solidFill>
              </a:ln>
              <a:effectLst/>
            </c:spPr>
          </c:marker>
          <c:cat>
            <c:numRef>
              <c:f>Sheet1!$A$2:$A$10</c:f>
              <c:numCache>
                <c:formatCode>General</c:formatCode>
                <c:ptCount val="6"/>
                <c:pt idx="0">
                  <c:v>2018</c:v>
                </c:pt>
                <c:pt idx="1">
                  <c:v>2019</c:v>
                </c:pt>
                <c:pt idx="2">
                  <c:v>2020</c:v>
                </c:pt>
                <c:pt idx="3">
                  <c:v>2021</c:v>
                </c:pt>
                <c:pt idx="4">
                  <c:v>2022</c:v>
                </c:pt>
                <c:pt idx="5">
                  <c:v>2023</c:v>
                </c:pt>
              </c:numCache>
            </c:numRef>
          </c:cat>
          <c:val>
            <c:numRef>
              <c:f>Sheet1!$H$2:$H$10</c:f>
              <c:numCache>
                <c:formatCode>0.0</c:formatCode>
                <c:ptCount val="6"/>
                <c:pt idx="0">
                  <c:v>-2.3240937856131367</c:v>
                </c:pt>
                <c:pt idx="1">
                  <c:v>-1.2958117896282531</c:v>
                </c:pt>
                <c:pt idx="2">
                  <c:v>13.369021257850491</c:v>
                </c:pt>
                <c:pt idx="3">
                  <c:v>-3.1879983880974549</c:v>
                </c:pt>
                <c:pt idx="4">
                  <c:v>-10.199999999999996</c:v>
                </c:pt>
                <c:pt idx="5">
                  <c:v>-0.30000000000000426</c:v>
                </c:pt>
              </c:numCache>
            </c:numRef>
          </c:val>
          <c:smooth val="0"/>
          <c:extLst>
            <c:ext xmlns:c16="http://schemas.microsoft.com/office/drawing/2014/chart" uri="{C3380CC4-5D6E-409C-BE32-E72D297353CC}">
              <c16:uniqueId val="{00000006-0AA4-481A-AB1B-8D7BCEE93AF7}"/>
            </c:ext>
          </c:extLst>
        </c:ser>
        <c:dLbls>
          <c:showLegendKey val="0"/>
          <c:showVal val="0"/>
          <c:showCatName val="0"/>
          <c:showSerName val="0"/>
          <c:showPercent val="0"/>
          <c:showBubbleSize val="0"/>
        </c:dLbls>
        <c:marker val="1"/>
        <c:smooth val="0"/>
        <c:axId val="347695360"/>
        <c:axId val="347697536"/>
      </c:lineChart>
      <c:catAx>
        <c:axId val="347695360"/>
        <c:scaling>
          <c:orientation val="minMax"/>
        </c:scaling>
        <c:delete val="0"/>
        <c:axPos val="b"/>
        <c:numFmt formatCode="General" sourceLinked="1"/>
        <c:majorTickMark val="none"/>
        <c:minorTickMark val="none"/>
        <c:tickLblPos val="low"/>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47697536"/>
        <c:crosses val="autoZero"/>
        <c:auto val="1"/>
        <c:lblAlgn val="ctr"/>
        <c:lblOffset val="100"/>
        <c:noMultiLvlLbl val="0"/>
      </c:catAx>
      <c:valAx>
        <c:axId val="347697536"/>
        <c:scaling>
          <c:orientation val="minMax"/>
        </c:scaling>
        <c:delete val="0"/>
        <c:axPos val="l"/>
        <c:majorGridlines>
          <c:spPr>
            <a:ln w="9519" cap="flat" cmpd="sng" algn="ctr">
              <a:solidFill>
                <a:schemeClr val="tx1">
                  <a:lumMod val="15000"/>
                  <a:lumOff val="85000"/>
                </a:schemeClr>
              </a:solidFill>
              <a:round/>
            </a:ln>
            <a:effectLst/>
          </c:spPr>
        </c:majorGridlines>
        <c:numFmt formatCode="0.0" sourceLinked="1"/>
        <c:majorTickMark val="none"/>
        <c:minorTickMark val="none"/>
        <c:tickLblPos val="nextTo"/>
        <c:spPr>
          <a:ln w="9519">
            <a:noFill/>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47695360"/>
        <c:crosses val="autoZero"/>
        <c:crossBetween val="between"/>
      </c:valAx>
      <c:spPr>
        <a:noFill/>
        <a:ln w="25384">
          <a:noFill/>
        </a:ln>
      </c:spPr>
    </c:plotArea>
    <c:legend>
      <c:legendPos val="r"/>
      <c:legendEntry>
        <c:idx val="1"/>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ayout>
        <c:manualLayout>
          <c:xMode val="edge"/>
          <c:yMode val="edge"/>
          <c:x val="0.6235197988129122"/>
          <c:y val="0.18021083998163598"/>
          <c:w val="0.34414221460698219"/>
          <c:h val="0.81679270289233652"/>
        </c:manualLayout>
      </c:layout>
      <c:overlay val="0"/>
      <c:spPr>
        <a:noFill/>
        <a:ln w="25384">
          <a:noFill/>
        </a:ln>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userShapes r:id="rId3"/>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20977596741344E-2"/>
          <c:y val="7.3260335323429362E-2"/>
          <c:w val="0.49490835030549907"/>
          <c:h val="0.89011307417966656"/>
        </c:manualLayout>
      </c:layout>
      <c:pieChart>
        <c:varyColors val="1"/>
        <c:ser>
          <c:idx val="0"/>
          <c:order val="0"/>
          <c:spPr>
            <a:solidFill>
              <a:srgbClr val="4F81BD"/>
            </a:solidFill>
            <a:ln w="25400">
              <a:noFill/>
            </a:ln>
          </c:spPr>
          <c:explosion val="25"/>
          <c:dPt>
            <c:idx val="1"/>
            <c:bubble3D val="0"/>
            <c:explosion val="24"/>
            <c:spPr>
              <a:solidFill>
                <a:srgbClr val="C0504D"/>
              </a:solidFill>
              <a:ln w="25400">
                <a:noFill/>
              </a:ln>
            </c:spPr>
            <c:extLst>
              <c:ext xmlns:c16="http://schemas.microsoft.com/office/drawing/2014/chart" uri="{C3380CC4-5D6E-409C-BE32-E72D297353CC}">
                <c16:uniqueId val="{00000001-2FD9-4B8F-8120-DDBCD2E7A7FC}"/>
              </c:ext>
            </c:extLst>
          </c:dPt>
          <c:dPt>
            <c:idx val="2"/>
            <c:bubble3D val="0"/>
            <c:spPr>
              <a:solidFill>
                <a:srgbClr val="9BBB59"/>
              </a:solidFill>
              <a:ln w="25400">
                <a:noFill/>
              </a:ln>
            </c:spPr>
            <c:extLst>
              <c:ext xmlns:c16="http://schemas.microsoft.com/office/drawing/2014/chart" uri="{C3380CC4-5D6E-409C-BE32-E72D297353CC}">
                <c16:uniqueId val="{00000003-2FD9-4B8F-8120-DDBCD2E7A7FC}"/>
              </c:ext>
            </c:extLst>
          </c:dPt>
          <c:dLbls>
            <c:dLbl>
              <c:idx val="0"/>
              <c:layout>
                <c:manualLayout>
                  <c:x val="3.7431725245129832E-2"/>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FD9-4B8F-8120-DDBCD2E7A7FC}"/>
                </c:ext>
              </c:extLst>
            </c:dLbl>
            <c:dLbl>
              <c:idx val="1"/>
              <c:layout>
                <c:manualLayout>
                  <c:x val="-1.4478655983178658E-2"/>
                  <c:y val="7.1039264968204077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D9-4B8F-8120-DDBCD2E7A7FC}"/>
                </c:ext>
              </c:extLst>
            </c:dLbl>
            <c:dLbl>
              <c:idx val="2"/>
              <c:layout>
                <c:manualLayout>
                  <c:x val="4.1268116326718243E-2"/>
                  <c:y val="8.9844708525324002E-3"/>
                </c:manualLayout>
              </c:layout>
              <c:dLblPos val="bestFit"/>
              <c:showLegendKey val="0"/>
              <c:showVal val="1"/>
              <c:showCatName val="0"/>
              <c:showSerName val="0"/>
              <c:showPercent val="0"/>
              <c:showBubbleSize val="0"/>
              <c:extLst>
                <c:ext xmlns:c15="http://schemas.microsoft.com/office/drawing/2012/chart" uri="{CE6537A1-D6FC-4f65-9D91-7224C49458BB}">
                  <c15:layout>
                    <c:manualLayout>
                      <c:w val="7.095552664387772E-2"/>
                      <c:h val="7.2555161374059013E-2"/>
                    </c:manualLayout>
                  </c15:layout>
                </c:ext>
                <c:ext xmlns:c16="http://schemas.microsoft.com/office/drawing/2014/chart" uri="{C3380CC4-5D6E-409C-BE32-E72D297353CC}">
                  <c16:uniqueId val="{00000003-2FD9-4B8F-8120-DDBCD2E7A7FC}"/>
                </c:ext>
              </c:extLst>
            </c:dLbl>
            <c:spPr>
              <a:noFill/>
              <a:ln w="25400">
                <a:noFill/>
              </a:ln>
            </c:spPr>
            <c:txPr>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table!$N$4:$N$6</c:f>
              <c:strCache>
                <c:ptCount val="3"/>
                <c:pt idx="0">
                  <c:v>Հարկային եկամուտներ և պետական տուրքեր</c:v>
                </c:pt>
                <c:pt idx="1">
                  <c:v>Պաշտոնական դրամաշնորհներ</c:v>
                </c:pt>
                <c:pt idx="2">
                  <c:v>Այլ եկամուտներ</c:v>
                </c:pt>
              </c:strCache>
            </c:strRef>
          </c:cat>
          <c:val>
            <c:numRef>
              <c:f>table!$O$4:$O$6</c:f>
              <c:numCache>
                <c:formatCode>0.0%</c:formatCode>
                <c:ptCount val="3"/>
                <c:pt idx="0">
                  <c:v>0.95729800173761959</c:v>
                </c:pt>
                <c:pt idx="1">
                  <c:v>7.4717636837532591E-3</c:v>
                </c:pt>
                <c:pt idx="2">
                  <c:v>3.5230234578627284E-2</c:v>
                </c:pt>
              </c:numCache>
            </c:numRef>
          </c:val>
          <c:extLst>
            <c:ext xmlns:c16="http://schemas.microsoft.com/office/drawing/2014/chart" uri="{C3380CC4-5D6E-409C-BE32-E72D297353CC}">
              <c16:uniqueId val="{00000005-2FD9-4B8F-8120-DDBCD2E7A7FC}"/>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843177189409364"/>
          <c:y val="0.19047695961081787"/>
          <c:w val="0.29327902240325865"/>
          <c:h val="0.6190499264515017"/>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62904752121119"/>
          <c:y val="4.3931262569693146E-2"/>
          <c:w val="0.75180333178147074"/>
          <c:h val="0.71448108460126669"/>
        </c:manualLayout>
      </c:layout>
      <c:barChart>
        <c:barDir val="col"/>
        <c:grouping val="clustered"/>
        <c:varyColors val="0"/>
        <c:ser>
          <c:idx val="0"/>
          <c:order val="0"/>
          <c:tx>
            <c:strRef>
              <c:f>Sheet1!$A$2</c:f>
              <c:strCache>
                <c:ptCount val="1"/>
                <c:pt idx="0">
                  <c:v> Հարկային եկամուտներ և պետական տուրքեր, մլրդ դրամ</c:v>
                </c:pt>
              </c:strCache>
            </c:strRef>
          </c:tx>
          <c:spPr>
            <a:ln w="25294" cap="rnd" cmpd="dbl">
              <a:miter lim="800000"/>
            </a:ln>
          </c:spPr>
          <c:invertIfNegative val="0"/>
          <c:dLbls>
            <c:spPr>
              <a:noFill/>
              <a:ln w="25403">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2019 փաստ</c:v>
                </c:pt>
                <c:pt idx="1">
                  <c:v>2020 փաստ</c:v>
                </c:pt>
                <c:pt idx="2">
                  <c:v>2021 փաստ</c:v>
                </c:pt>
                <c:pt idx="3">
                  <c:v>2022  սպասում</c:v>
                </c:pt>
                <c:pt idx="4">
                  <c:v>2023 կանխատեսում</c:v>
                </c:pt>
              </c:strCache>
            </c:strRef>
          </c:cat>
          <c:val>
            <c:numRef>
              <c:f>Sheet1!$B$2:$F$2</c:f>
              <c:numCache>
                <c:formatCode>#,##0.0</c:formatCode>
                <c:ptCount val="5"/>
                <c:pt idx="0">
                  <c:v>1464.3</c:v>
                </c:pt>
                <c:pt idx="1">
                  <c:v>1385.2054762</c:v>
                </c:pt>
                <c:pt idx="2">
                  <c:v>1586.9001966899998</c:v>
                </c:pt>
                <c:pt idx="3">
                  <c:v>1920</c:v>
                </c:pt>
                <c:pt idx="4">
                  <c:v>2203.7096606728214</c:v>
                </c:pt>
              </c:numCache>
            </c:numRef>
          </c:val>
          <c:extLst>
            <c:ext xmlns:c16="http://schemas.microsoft.com/office/drawing/2014/chart" uri="{C3380CC4-5D6E-409C-BE32-E72D297353CC}">
              <c16:uniqueId val="{00000000-0468-43EC-8952-4AB5BC1C4CA5}"/>
            </c:ext>
          </c:extLst>
        </c:ser>
        <c:dLbls>
          <c:showLegendKey val="0"/>
          <c:showVal val="0"/>
          <c:showCatName val="0"/>
          <c:showSerName val="0"/>
          <c:showPercent val="0"/>
          <c:showBubbleSize val="0"/>
        </c:dLbls>
        <c:gapWidth val="308"/>
        <c:overlap val="17"/>
        <c:axId val="348154496"/>
        <c:axId val="348160384"/>
      </c:barChart>
      <c:lineChart>
        <c:grouping val="standard"/>
        <c:varyColors val="0"/>
        <c:ser>
          <c:idx val="1"/>
          <c:order val="1"/>
          <c:tx>
            <c:strRef>
              <c:f>Sheet1!$A$3</c:f>
              <c:strCache>
                <c:ptCount val="1"/>
                <c:pt idx="0">
                  <c:v> հարաբերությունը ՀՆԱ-ի նկատմամբ (%-ով) աջ առանցք</c:v>
                </c:pt>
              </c:strCache>
            </c:strRef>
          </c:tx>
          <c:marker>
            <c:symbol val="none"/>
          </c:marker>
          <c:cat>
            <c:strRef>
              <c:f>Sheet1!$B$1:$F$1</c:f>
              <c:strCache>
                <c:ptCount val="5"/>
                <c:pt idx="0">
                  <c:v>2019 փաստ</c:v>
                </c:pt>
                <c:pt idx="1">
                  <c:v>2020 փաստ</c:v>
                </c:pt>
                <c:pt idx="2">
                  <c:v>2021 փաստ</c:v>
                </c:pt>
                <c:pt idx="3">
                  <c:v>2022  սպասում</c:v>
                </c:pt>
                <c:pt idx="4">
                  <c:v>2023 կանխատեսում</c:v>
                </c:pt>
              </c:strCache>
            </c:strRef>
          </c:cat>
          <c:val>
            <c:numRef>
              <c:f>Sheet1!$B$3:$F$3</c:f>
              <c:numCache>
                <c:formatCode>0.0%</c:formatCode>
                <c:ptCount val="5"/>
                <c:pt idx="0">
                  <c:v>0.22378857112603731</c:v>
                </c:pt>
                <c:pt idx="1">
                  <c:v>0.22400763757595901</c:v>
                </c:pt>
                <c:pt idx="2">
                  <c:v>0.22725314602362537</c:v>
                </c:pt>
                <c:pt idx="3">
                  <c:v>0.23150200000000001</c:v>
                </c:pt>
                <c:pt idx="4">
                  <c:v>0.23650200804728738</c:v>
                </c:pt>
              </c:numCache>
            </c:numRef>
          </c:val>
          <c:smooth val="0"/>
          <c:extLst>
            <c:ext xmlns:c16="http://schemas.microsoft.com/office/drawing/2014/chart" uri="{C3380CC4-5D6E-409C-BE32-E72D297353CC}">
              <c16:uniqueId val="{00000001-0468-43EC-8952-4AB5BC1C4CA5}"/>
            </c:ext>
          </c:extLst>
        </c:ser>
        <c:dLbls>
          <c:showLegendKey val="0"/>
          <c:showVal val="0"/>
          <c:showCatName val="0"/>
          <c:showSerName val="0"/>
          <c:showPercent val="0"/>
          <c:showBubbleSize val="0"/>
        </c:dLbls>
        <c:marker val="1"/>
        <c:smooth val="0"/>
        <c:axId val="348161920"/>
        <c:axId val="348163456"/>
      </c:lineChart>
      <c:catAx>
        <c:axId val="348154496"/>
        <c:scaling>
          <c:orientation val="minMax"/>
        </c:scaling>
        <c:delete val="0"/>
        <c:axPos val="b"/>
        <c:numFmt formatCode="General" sourceLinked="1"/>
        <c:majorTickMark val="out"/>
        <c:minorTickMark val="none"/>
        <c:tickLblPos val="nextTo"/>
        <c:crossAx val="348160384"/>
        <c:crosses val="autoZero"/>
        <c:auto val="1"/>
        <c:lblAlgn val="ctr"/>
        <c:lblOffset val="100"/>
        <c:noMultiLvlLbl val="0"/>
      </c:catAx>
      <c:valAx>
        <c:axId val="348160384"/>
        <c:scaling>
          <c:orientation val="minMax"/>
        </c:scaling>
        <c:delete val="0"/>
        <c:axPos val="l"/>
        <c:majorGridlines/>
        <c:numFmt formatCode="#,##0.0" sourceLinked="1"/>
        <c:majorTickMark val="out"/>
        <c:minorTickMark val="none"/>
        <c:tickLblPos val="nextTo"/>
        <c:crossAx val="348154496"/>
        <c:crosses val="autoZero"/>
        <c:crossBetween val="between"/>
        <c:majorUnit val="500"/>
      </c:valAx>
      <c:catAx>
        <c:axId val="348161920"/>
        <c:scaling>
          <c:orientation val="minMax"/>
        </c:scaling>
        <c:delete val="1"/>
        <c:axPos val="b"/>
        <c:numFmt formatCode="General" sourceLinked="1"/>
        <c:majorTickMark val="out"/>
        <c:minorTickMark val="none"/>
        <c:tickLblPos val="none"/>
        <c:crossAx val="348163456"/>
        <c:crosses val="autoZero"/>
        <c:auto val="1"/>
        <c:lblAlgn val="ctr"/>
        <c:lblOffset val="100"/>
        <c:noMultiLvlLbl val="0"/>
      </c:catAx>
      <c:valAx>
        <c:axId val="348163456"/>
        <c:scaling>
          <c:orientation val="minMax"/>
          <c:max val="0.25"/>
          <c:min val="0.2"/>
        </c:scaling>
        <c:delete val="0"/>
        <c:axPos val="r"/>
        <c:numFmt formatCode="0.0%" sourceLinked="1"/>
        <c:majorTickMark val="out"/>
        <c:minorTickMark val="none"/>
        <c:tickLblPos val="nextTo"/>
        <c:crossAx val="348161920"/>
        <c:crosses val="max"/>
        <c:crossBetween val="between"/>
        <c:majorUnit val="1.0000000000000005E-2"/>
      </c:valAx>
    </c:plotArea>
    <c:legend>
      <c:legendPos val="r"/>
      <c:layout>
        <c:manualLayout>
          <c:xMode val="edge"/>
          <c:yMode val="edge"/>
          <c:x val="0.13291130687871941"/>
          <c:y val="0.88008722212961243"/>
          <c:w val="0.73575963895602192"/>
          <c:h val="9.0283484178425383E-2"/>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10479423532748"/>
          <c:y val="7.2968490878938891E-2"/>
          <c:w val="0.78348499218615164"/>
          <c:h val="0.60569828630873002"/>
        </c:manualLayout>
      </c:layout>
      <c:lineChart>
        <c:grouping val="standard"/>
        <c:varyColors val="0"/>
        <c:ser>
          <c:idx val="0"/>
          <c:order val="0"/>
          <c:tx>
            <c:strRef>
              <c:f>Sheet1!$B$1</c:f>
              <c:strCache>
                <c:ptCount val="1"/>
                <c:pt idx="0">
                  <c:v>S&amp;P 500 (ԱՄՆ)</c:v>
                </c:pt>
              </c:strCache>
            </c:strRef>
          </c:tx>
          <c:spPr>
            <a:ln w="28575" cap="rnd">
              <a:solidFill>
                <a:schemeClr val="accent1"/>
              </a:solidFill>
              <a:round/>
            </a:ln>
            <a:effectLst/>
          </c:spPr>
          <c:marker>
            <c:symbol val="none"/>
          </c:marker>
          <c:cat>
            <c:numRef>
              <c:f>Sheet1!$A$2:$A$639</c:f>
              <c:numCache>
                <c:formatCode>d\-mmm\-yy</c:formatCode>
                <c:ptCount val="638"/>
                <c:pt idx="0">
                  <c:v>43836</c:v>
                </c:pt>
                <c:pt idx="1">
                  <c:v>43838</c:v>
                </c:pt>
                <c:pt idx="2">
                  <c:v>43839</c:v>
                </c:pt>
                <c:pt idx="3">
                  <c:v>43840</c:v>
                </c:pt>
                <c:pt idx="4">
                  <c:v>43843</c:v>
                </c:pt>
                <c:pt idx="5">
                  <c:v>43844</c:v>
                </c:pt>
                <c:pt idx="6">
                  <c:v>43845</c:v>
                </c:pt>
                <c:pt idx="7">
                  <c:v>43846</c:v>
                </c:pt>
                <c:pt idx="8">
                  <c:v>43847</c:v>
                </c:pt>
                <c:pt idx="9">
                  <c:v>43851</c:v>
                </c:pt>
                <c:pt idx="10">
                  <c:v>43852</c:v>
                </c:pt>
                <c:pt idx="11">
                  <c:v>43853</c:v>
                </c:pt>
                <c:pt idx="12">
                  <c:v>43854</c:v>
                </c:pt>
                <c:pt idx="13">
                  <c:v>43857</c:v>
                </c:pt>
                <c:pt idx="14">
                  <c:v>43858</c:v>
                </c:pt>
                <c:pt idx="15">
                  <c:v>43859</c:v>
                </c:pt>
                <c:pt idx="16">
                  <c:v>43860</c:v>
                </c:pt>
                <c:pt idx="17">
                  <c:v>43861</c:v>
                </c:pt>
                <c:pt idx="18">
                  <c:v>43864</c:v>
                </c:pt>
                <c:pt idx="19">
                  <c:v>43865</c:v>
                </c:pt>
                <c:pt idx="20">
                  <c:v>43866</c:v>
                </c:pt>
                <c:pt idx="21">
                  <c:v>43867</c:v>
                </c:pt>
                <c:pt idx="22">
                  <c:v>43868</c:v>
                </c:pt>
                <c:pt idx="23">
                  <c:v>43871</c:v>
                </c:pt>
                <c:pt idx="24">
                  <c:v>43872</c:v>
                </c:pt>
                <c:pt idx="25">
                  <c:v>43873</c:v>
                </c:pt>
                <c:pt idx="26">
                  <c:v>43874</c:v>
                </c:pt>
                <c:pt idx="27">
                  <c:v>43875</c:v>
                </c:pt>
                <c:pt idx="28">
                  <c:v>43879</c:v>
                </c:pt>
                <c:pt idx="29">
                  <c:v>43880</c:v>
                </c:pt>
                <c:pt idx="30">
                  <c:v>43882</c:v>
                </c:pt>
                <c:pt idx="31">
                  <c:v>43886</c:v>
                </c:pt>
                <c:pt idx="32">
                  <c:v>43887</c:v>
                </c:pt>
                <c:pt idx="33">
                  <c:v>43888</c:v>
                </c:pt>
                <c:pt idx="34">
                  <c:v>43892</c:v>
                </c:pt>
                <c:pt idx="35">
                  <c:v>43893</c:v>
                </c:pt>
                <c:pt idx="36">
                  <c:v>43894</c:v>
                </c:pt>
                <c:pt idx="37">
                  <c:v>43895</c:v>
                </c:pt>
                <c:pt idx="38">
                  <c:v>43896</c:v>
                </c:pt>
                <c:pt idx="39">
                  <c:v>43900</c:v>
                </c:pt>
                <c:pt idx="40">
                  <c:v>43901</c:v>
                </c:pt>
                <c:pt idx="41">
                  <c:v>43902</c:v>
                </c:pt>
                <c:pt idx="42">
                  <c:v>43903</c:v>
                </c:pt>
                <c:pt idx="43">
                  <c:v>43906</c:v>
                </c:pt>
                <c:pt idx="44">
                  <c:v>43907</c:v>
                </c:pt>
                <c:pt idx="45">
                  <c:v>43908</c:v>
                </c:pt>
                <c:pt idx="46">
                  <c:v>43909</c:v>
                </c:pt>
                <c:pt idx="47">
                  <c:v>43910</c:v>
                </c:pt>
                <c:pt idx="48">
                  <c:v>43913</c:v>
                </c:pt>
                <c:pt idx="49">
                  <c:v>43914</c:v>
                </c:pt>
                <c:pt idx="50">
                  <c:v>43915</c:v>
                </c:pt>
                <c:pt idx="51">
                  <c:v>43916</c:v>
                </c:pt>
                <c:pt idx="52">
                  <c:v>43917</c:v>
                </c:pt>
                <c:pt idx="53">
                  <c:v>43920</c:v>
                </c:pt>
                <c:pt idx="54">
                  <c:v>43921</c:v>
                </c:pt>
                <c:pt idx="55">
                  <c:v>43922</c:v>
                </c:pt>
                <c:pt idx="56">
                  <c:v>43923</c:v>
                </c:pt>
                <c:pt idx="57">
                  <c:v>43924</c:v>
                </c:pt>
                <c:pt idx="58">
                  <c:v>43927</c:v>
                </c:pt>
                <c:pt idx="59">
                  <c:v>43928</c:v>
                </c:pt>
                <c:pt idx="60">
                  <c:v>43929</c:v>
                </c:pt>
                <c:pt idx="61">
                  <c:v>43930</c:v>
                </c:pt>
                <c:pt idx="62">
                  <c:v>43935</c:v>
                </c:pt>
                <c:pt idx="63">
                  <c:v>43936</c:v>
                </c:pt>
                <c:pt idx="64">
                  <c:v>43937</c:v>
                </c:pt>
                <c:pt idx="65">
                  <c:v>43938</c:v>
                </c:pt>
                <c:pt idx="66">
                  <c:v>43941</c:v>
                </c:pt>
                <c:pt idx="67">
                  <c:v>43942</c:v>
                </c:pt>
                <c:pt idx="68">
                  <c:v>43943</c:v>
                </c:pt>
                <c:pt idx="69">
                  <c:v>43944</c:v>
                </c:pt>
                <c:pt idx="70">
                  <c:v>43945</c:v>
                </c:pt>
                <c:pt idx="71">
                  <c:v>43948</c:v>
                </c:pt>
                <c:pt idx="72">
                  <c:v>43949</c:v>
                </c:pt>
                <c:pt idx="73">
                  <c:v>43950</c:v>
                </c:pt>
                <c:pt idx="74">
                  <c:v>43951</c:v>
                </c:pt>
                <c:pt idx="75">
                  <c:v>43955</c:v>
                </c:pt>
                <c:pt idx="76">
                  <c:v>43956</c:v>
                </c:pt>
                <c:pt idx="77">
                  <c:v>43957</c:v>
                </c:pt>
                <c:pt idx="78">
                  <c:v>43958</c:v>
                </c:pt>
                <c:pt idx="79">
                  <c:v>43959</c:v>
                </c:pt>
                <c:pt idx="80">
                  <c:v>43963</c:v>
                </c:pt>
                <c:pt idx="81">
                  <c:v>43964</c:v>
                </c:pt>
                <c:pt idx="82">
                  <c:v>43965</c:v>
                </c:pt>
                <c:pt idx="83">
                  <c:v>43966</c:v>
                </c:pt>
                <c:pt idx="84">
                  <c:v>43969</c:v>
                </c:pt>
                <c:pt idx="85">
                  <c:v>43970</c:v>
                </c:pt>
                <c:pt idx="86">
                  <c:v>43971</c:v>
                </c:pt>
                <c:pt idx="87">
                  <c:v>43972</c:v>
                </c:pt>
                <c:pt idx="88">
                  <c:v>43973</c:v>
                </c:pt>
                <c:pt idx="89">
                  <c:v>43977</c:v>
                </c:pt>
                <c:pt idx="90">
                  <c:v>43978</c:v>
                </c:pt>
                <c:pt idx="91">
                  <c:v>43979</c:v>
                </c:pt>
                <c:pt idx="92">
                  <c:v>43980</c:v>
                </c:pt>
                <c:pt idx="93">
                  <c:v>43984</c:v>
                </c:pt>
                <c:pt idx="94">
                  <c:v>43985</c:v>
                </c:pt>
                <c:pt idx="95">
                  <c:v>43986</c:v>
                </c:pt>
                <c:pt idx="96">
                  <c:v>43987</c:v>
                </c:pt>
                <c:pt idx="97">
                  <c:v>43990</c:v>
                </c:pt>
                <c:pt idx="98">
                  <c:v>43991</c:v>
                </c:pt>
                <c:pt idx="99">
                  <c:v>43992</c:v>
                </c:pt>
                <c:pt idx="100">
                  <c:v>43993</c:v>
                </c:pt>
                <c:pt idx="101">
                  <c:v>43997</c:v>
                </c:pt>
                <c:pt idx="102">
                  <c:v>43998</c:v>
                </c:pt>
                <c:pt idx="103">
                  <c:v>43999</c:v>
                </c:pt>
                <c:pt idx="104">
                  <c:v>44000</c:v>
                </c:pt>
                <c:pt idx="105">
                  <c:v>44001</c:v>
                </c:pt>
                <c:pt idx="106">
                  <c:v>44004</c:v>
                </c:pt>
                <c:pt idx="107">
                  <c:v>44005</c:v>
                </c:pt>
                <c:pt idx="108">
                  <c:v>44007</c:v>
                </c:pt>
                <c:pt idx="109">
                  <c:v>44008</c:v>
                </c:pt>
                <c:pt idx="110">
                  <c:v>44011</c:v>
                </c:pt>
                <c:pt idx="111">
                  <c:v>44012</c:v>
                </c:pt>
                <c:pt idx="112">
                  <c:v>44014</c:v>
                </c:pt>
                <c:pt idx="113">
                  <c:v>44018</c:v>
                </c:pt>
                <c:pt idx="114">
                  <c:v>44019</c:v>
                </c:pt>
                <c:pt idx="115">
                  <c:v>44020</c:v>
                </c:pt>
                <c:pt idx="116">
                  <c:v>44021</c:v>
                </c:pt>
                <c:pt idx="117">
                  <c:v>44022</c:v>
                </c:pt>
                <c:pt idx="118">
                  <c:v>44025</c:v>
                </c:pt>
                <c:pt idx="119">
                  <c:v>44026</c:v>
                </c:pt>
                <c:pt idx="120">
                  <c:v>44027</c:v>
                </c:pt>
                <c:pt idx="121">
                  <c:v>44028</c:v>
                </c:pt>
                <c:pt idx="122">
                  <c:v>44029</c:v>
                </c:pt>
                <c:pt idx="123">
                  <c:v>44032</c:v>
                </c:pt>
                <c:pt idx="124">
                  <c:v>44033</c:v>
                </c:pt>
                <c:pt idx="125">
                  <c:v>44034</c:v>
                </c:pt>
                <c:pt idx="126">
                  <c:v>44035</c:v>
                </c:pt>
                <c:pt idx="127">
                  <c:v>44036</c:v>
                </c:pt>
                <c:pt idx="128">
                  <c:v>44039</c:v>
                </c:pt>
                <c:pt idx="129">
                  <c:v>44040</c:v>
                </c:pt>
                <c:pt idx="130">
                  <c:v>44041</c:v>
                </c:pt>
                <c:pt idx="131">
                  <c:v>44042</c:v>
                </c:pt>
                <c:pt idx="132">
                  <c:v>44043</c:v>
                </c:pt>
                <c:pt idx="133">
                  <c:v>44046</c:v>
                </c:pt>
                <c:pt idx="134">
                  <c:v>44047</c:v>
                </c:pt>
                <c:pt idx="135">
                  <c:v>44048</c:v>
                </c:pt>
                <c:pt idx="136">
                  <c:v>44049</c:v>
                </c:pt>
                <c:pt idx="137">
                  <c:v>44050</c:v>
                </c:pt>
                <c:pt idx="138">
                  <c:v>44053</c:v>
                </c:pt>
                <c:pt idx="139">
                  <c:v>44054</c:v>
                </c:pt>
                <c:pt idx="140">
                  <c:v>44055</c:v>
                </c:pt>
                <c:pt idx="141">
                  <c:v>44056</c:v>
                </c:pt>
                <c:pt idx="142">
                  <c:v>44057</c:v>
                </c:pt>
                <c:pt idx="143">
                  <c:v>44060</c:v>
                </c:pt>
                <c:pt idx="144">
                  <c:v>44061</c:v>
                </c:pt>
                <c:pt idx="145">
                  <c:v>44062</c:v>
                </c:pt>
                <c:pt idx="146">
                  <c:v>44063</c:v>
                </c:pt>
                <c:pt idx="147">
                  <c:v>44064</c:v>
                </c:pt>
                <c:pt idx="148">
                  <c:v>44067</c:v>
                </c:pt>
                <c:pt idx="149">
                  <c:v>44068</c:v>
                </c:pt>
                <c:pt idx="150">
                  <c:v>44069</c:v>
                </c:pt>
                <c:pt idx="151">
                  <c:v>44070</c:v>
                </c:pt>
                <c:pt idx="152">
                  <c:v>44071</c:v>
                </c:pt>
                <c:pt idx="153">
                  <c:v>44074</c:v>
                </c:pt>
                <c:pt idx="154">
                  <c:v>44075</c:v>
                </c:pt>
                <c:pt idx="155">
                  <c:v>44076</c:v>
                </c:pt>
                <c:pt idx="156">
                  <c:v>44077</c:v>
                </c:pt>
                <c:pt idx="157">
                  <c:v>44078</c:v>
                </c:pt>
                <c:pt idx="158">
                  <c:v>44082</c:v>
                </c:pt>
                <c:pt idx="159">
                  <c:v>44083</c:v>
                </c:pt>
                <c:pt idx="160">
                  <c:v>44084</c:v>
                </c:pt>
                <c:pt idx="161">
                  <c:v>44085</c:v>
                </c:pt>
                <c:pt idx="162">
                  <c:v>44088</c:v>
                </c:pt>
                <c:pt idx="163">
                  <c:v>44089</c:v>
                </c:pt>
                <c:pt idx="164">
                  <c:v>44090</c:v>
                </c:pt>
                <c:pt idx="165">
                  <c:v>44091</c:v>
                </c:pt>
                <c:pt idx="166">
                  <c:v>44092</c:v>
                </c:pt>
                <c:pt idx="167">
                  <c:v>44095</c:v>
                </c:pt>
                <c:pt idx="168">
                  <c:v>44096</c:v>
                </c:pt>
                <c:pt idx="169">
                  <c:v>44097</c:v>
                </c:pt>
                <c:pt idx="170">
                  <c:v>44098</c:v>
                </c:pt>
                <c:pt idx="171">
                  <c:v>44099</c:v>
                </c:pt>
                <c:pt idx="172">
                  <c:v>44102</c:v>
                </c:pt>
                <c:pt idx="173">
                  <c:v>44103</c:v>
                </c:pt>
                <c:pt idx="174">
                  <c:v>44104</c:v>
                </c:pt>
                <c:pt idx="175">
                  <c:v>44105</c:v>
                </c:pt>
                <c:pt idx="176">
                  <c:v>44106</c:v>
                </c:pt>
                <c:pt idx="177">
                  <c:v>44109</c:v>
                </c:pt>
                <c:pt idx="178">
                  <c:v>44110</c:v>
                </c:pt>
                <c:pt idx="179">
                  <c:v>44111</c:v>
                </c:pt>
                <c:pt idx="180">
                  <c:v>44112</c:v>
                </c:pt>
                <c:pt idx="181">
                  <c:v>44113</c:v>
                </c:pt>
                <c:pt idx="182">
                  <c:v>44116</c:v>
                </c:pt>
                <c:pt idx="183">
                  <c:v>44117</c:v>
                </c:pt>
                <c:pt idx="184">
                  <c:v>44118</c:v>
                </c:pt>
                <c:pt idx="185">
                  <c:v>44119</c:v>
                </c:pt>
                <c:pt idx="186">
                  <c:v>44120</c:v>
                </c:pt>
                <c:pt idx="187">
                  <c:v>44123</c:v>
                </c:pt>
                <c:pt idx="188">
                  <c:v>44124</c:v>
                </c:pt>
                <c:pt idx="189">
                  <c:v>44125</c:v>
                </c:pt>
                <c:pt idx="190">
                  <c:v>44126</c:v>
                </c:pt>
                <c:pt idx="191">
                  <c:v>44127</c:v>
                </c:pt>
                <c:pt idx="192">
                  <c:v>44130</c:v>
                </c:pt>
                <c:pt idx="193">
                  <c:v>44131</c:v>
                </c:pt>
                <c:pt idx="194">
                  <c:v>44132</c:v>
                </c:pt>
                <c:pt idx="195">
                  <c:v>44133</c:v>
                </c:pt>
                <c:pt idx="196">
                  <c:v>44134</c:v>
                </c:pt>
                <c:pt idx="197">
                  <c:v>44137</c:v>
                </c:pt>
                <c:pt idx="198">
                  <c:v>44138</c:v>
                </c:pt>
                <c:pt idx="199">
                  <c:v>44140</c:v>
                </c:pt>
                <c:pt idx="200">
                  <c:v>44141</c:v>
                </c:pt>
                <c:pt idx="201">
                  <c:v>44144</c:v>
                </c:pt>
                <c:pt idx="202">
                  <c:v>44145</c:v>
                </c:pt>
                <c:pt idx="203">
                  <c:v>44146</c:v>
                </c:pt>
                <c:pt idx="204">
                  <c:v>44147</c:v>
                </c:pt>
                <c:pt idx="205">
                  <c:v>44148</c:v>
                </c:pt>
                <c:pt idx="206">
                  <c:v>44151</c:v>
                </c:pt>
                <c:pt idx="207">
                  <c:v>44152</c:v>
                </c:pt>
                <c:pt idx="208">
                  <c:v>44153</c:v>
                </c:pt>
                <c:pt idx="209">
                  <c:v>44154</c:v>
                </c:pt>
                <c:pt idx="210">
                  <c:v>44155</c:v>
                </c:pt>
                <c:pt idx="211">
                  <c:v>44158</c:v>
                </c:pt>
                <c:pt idx="212">
                  <c:v>44159</c:v>
                </c:pt>
                <c:pt idx="213">
                  <c:v>44160</c:v>
                </c:pt>
                <c:pt idx="214">
                  <c:v>44162</c:v>
                </c:pt>
                <c:pt idx="215">
                  <c:v>44165</c:v>
                </c:pt>
                <c:pt idx="216">
                  <c:v>44166</c:v>
                </c:pt>
                <c:pt idx="217">
                  <c:v>44167</c:v>
                </c:pt>
                <c:pt idx="218">
                  <c:v>44168</c:v>
                </c:pt>
                <c:pt idx="219">
                  <c:v>44169</c:v>
                </c:pt>
                <c:pt idx="220">
                  <c:v>44172</c:v>
                </c:pt>
                <c:pt idx="221">
                  <c:v>44173</c:v>
                </c:pt>
                <c:pt idx="222">
                  <c:v>44174</c:v>
                </c:pt>
                <c:pt idx="223">
                  <c:v>44175</c:v>
                </c:pt>
                <c:pt idx="224">
                  <c:v>44176</c:v>
                </c:pt>
                <c:pt idx="225">
                  <c:v>44179</c:v>
                </c:pt>
                <c:pt idx="226">
                  <c:v>44180</c:v>
                </c:pt>
                <c:pt idx="227">
                  <c:v>44181</c:v>
                </c:pt>
                <c:pt idx="228">
                  <c:v>44182</c:v>
                </c:pt>
                <c:pt idx="229">
                  <c:v>44183</c:v>
                </c:pt>
                <c:pt idx="230">
                  <c:v>44186</c:v>
                </c:pt>
                <c:pt idx="231">
                  <c:v>44187</c:v>
                </c:pt>
                <c:pt idx="232">
                  <c:v>44188</c:v>
                </c:pt>
                <c:pt idx="233">
                  <c:v>44193</c:v>
                </c:pt>
                <c:pt idx="234">
                  <c:v>44194</c:v>
                </c:pt>
                <c:pt idx="235">
                  <c:v>44195</c:v>
                </c:pt>
                <c:pt idx="236">
                  <c:v>44200</c:v>
                </c:pt>
                <c:pt idx="237">
                  <c:v>44201</c:v>
                </c:pt>
                <c:pt idx="238">
                  <c:v>44202</c:v>
                </c:pt>
                <c:pt idx="239">
                  <c:v>44204</c:v>
                </c:pt>
                <c:pt idx="240">
                  <c:v>44207</c:v>
                </c:pt>
                <c:pt idx="241">
                  <c:v>44208</c:v>
                </c:pt>
                <c:pt idx="242">
                  <c:v>44209</c:v>
                </c:pt>
                <c:pt idx="243">
                  <c:v>44210</c:v>
                </c:pt>
                <c:pt idx="244">
                  <c:v>44211</c:v>
                </c:pt>
                <c:pt idx="245">
                  <c:v>44215</c:v>
                </c:pt>
                <c:pt idx="246">
                  <c:v>44216</c:v>
                </c:pt>
                <c:pt idx="247">
                  <c:v>44217</c:v>
                </c:pt>
                <c:pt idx="248">
                  <c:v>44218</c:v>
                </c:pt>
                <c:pt idx="249">
                  <c:v>44221</c:v>
                </c:pt>
                <c:pt idx="250">
                  <c:v>44222</c:v>
                </c:pt>
                <c:pt idx="251">
                  <c:v>44223</c:v>
                </c:pt>
                <c:pt idx="252">
                  <c:v>44224</c:v>
                </c:pt>
                <c:pt idx="253">
                  <c:v>44225</c:v>
                </c:pt>
                <c:pt idx="254">
                  <c:v>44228</c:v>
                </c:pt>
                <c:pt idx="255">
                  <c:v>44229</c:v>
                </c:pt>
                <c:pt idx="256">
                  <c:v>44230</c:v>
                </c:pt>
                <c:pt idx="257">
                  <c:v>44231</c:v>
                </c:pt>
                <c:pt idx="258">
                  <c:v>44232</c:v>
                </c:pt>
                <c:pt idx="259">
                  <c:v>44235</c:v>
                </c:pt>
                <c:pt idx="260">
                  <c:v>44236</c:v>
                </c:pt>
                <c:pt idx="261">
                  <c:v>44237</c:v>
                </c:pt>
                <c:pt idx="262">
                  <c:v>44238</c:v>
                </c:pt>
                <c:pt idx="263">
                  <c:v>44239</c:v>
                </c:pt>
                <c:pt idx="264">
                  <c:v>44243</c:v>
                </c:pt>
                <c:pt idx="265">
                  <c:v>44244</c:v>
                </c:pt>
                <c:pt idx="266">
                  <c:v>44245</c:v>
                </c:pt>
                <c:pt idx="267">
                  <c:v>44246</c:v>
                </c:pt>
                <c:pt idx="268">
                  <c:v>44249</c:v>
                </c:pt>
                <c:pt idx="269">
                  <c:v>44251</c:v>
                </c:pt>
                <c:pt idx="270">
                  <c:v>44252</c:v>
                </c:pt>
                <c:pt idx="271">
                  <c:v>44253</c:v>
                </c:pt>
                <c:pt idx="272">
                  <c:v>44256</c:v>
                </c:pt>
                <c:pt idx="273">
                  <c:v>44257</c:v>
                </c:pt>
                <c:pt idx="274">
                  <c:v>44258</c:v>
                </c:pt>
                <c:pt idx="275">
                  <c:v>44259</c:v>
                </c:pt>
                <c:pt idx="276">
                  <c:v>44260</c:v>
                </c:pt>
                <c:pt idx="277">
                  <c:v>44264</c:v>
                </c:pt>
                <c:pt idx="278">
                  <c:v>44265</c:v>
                </c:pt>
                <c:pt idx="279">
                  <c:v>44266</c:v>
                </c:pt>
                <c:pt idx="280">
                  <c:v>44267</c:v>
                </c:pt>
                <c:pt idx="281">
                  <c:v>44270</c:v>
                </c:pt>
                <c:pt idx="282">
                  <c:v>44271</c:v>
                </c:pt>
                <c:pt idx="283">
                  <c:v>44272</c:v>
                </c:pt>
                <c:pt idx="284">
                  <c:v>44273</c:v>
                </c:pt>
                <c:pt idx="285">
                  <c:v>44274</c:v>
                </c:pt>
                <c:pt idx="286">
                  <c:v>44277</c:v>
                </c:pt>
                <c:pt idx="287">
                  <c:v>44278</c:v>
                </c:pt>
                <c:pt idx="288">
                  <c:v>44279</c:v>
                </c:pt>
                <c:pt idx="289">
                  <c:v>44280</c:v>
                </c:pt>
                <c:pt idx="290">
                  <c:v>44281</c:v>
                </c:pt>
                <c:pt idx="291">
                  <c:v>44284</c:v>
                </c:pt>
                <c:pt idx="292">
                  <c:v>44285</c:v>
                </c:pt>
                <c:pt idx="293">
                  <c:v>44286</c:v>
                </c:pt>
                <c:pt idx="294">
                  <c:v>44287</c:v>
                </c:pt>
                <c:pt idx="295">
                  <c:v>44292</c:v>
                </c:pt>
                <c:pt idx="296">
                  <c:v>44293</c:v>
                </c:pt>
                <c:pt idx="297">
                  <c:v>44294</c:v>
                </c:pt>
                <c:pt idx="298">
                  <c:v>44295</c:v>
                </c:pt>
                <c:pt idx="299">
                  <c:v>44298</c:v>
                </c:pt>
                <c:pt idx="300">
                  <c:v>44299</c:v>
                </c:pt>
                <c:pt idx="301">
                  <c:v>44300</c:v>
                </c:pt>
                <c:pt idx="302">
                  <c:v>44301</c:v>
                </c:pt>
                <c:pt idx="303">
                  <c:v>44302</c:v>
                </c:pt>
                <c:pt idx="304">
                  <c:v>44305</c:v>
                </c:pt>
                <c:pt idx="305">
                  <c:v>44306</c:v>
                </c:pt>
                <c:pt idx="306">
                  <c:v>44307</c:v>
                </c:pt>
                <c:pt idx="307">
                  <c:v>44308</c:v>
                </c:pt>
                <c:pt idx="308">
                  <c:v>44309</c:v>
                </c:pt>
                <c:pt idx="309">
                  <c:v>44312</c:v>
                </c:pt>
                <c:pt idx="310">
                  <c:v>44313</c:v>
                </c:pt>
                <c:pt idx="311">
                  <c:v>44314</c:v>
                </c:pt>
                <c:pt idx="312">
                  <c:v>44315</c:v>
                </c:pt>
                <c:pt idx="313">
                  <c:v>44316</c:v>
                </c:pt>
                <c:pt idx="314">
                  <c:v>44320</c:v>
                </c:pt>
                <c:pt idx="315">
                  <c:v>44321</c:v>
                </c:pt>
                <c:pt idx="316">
                  <c:v>44322</c:v>
                </c:pt>
                <c:pt idx="317">
                  <c:v>44323</c:v>
                </c:pt>
                <c:pt idx="318">
                  <c:v>44326</c:v>
                </c:pt>
                <c:pt idx="319">
                  <c:v>44327</c:v>
                </c:pt>
                <c:pt idx="320">
                  <c:v>44328</c:v>
                </c:pt>
                <c:pt idx="321">
                  <c:v>44329</c:v>
                </c:pt>
                <c:pt idx="322">
                  <c:v>44330</c:v>
                </c:pt>
                <c:pt idx="323">
                  <c:v>44333</c:v>
                </c:pt>
                <c:pt idx="324">
                  <c:v>44334</c:v>
                </c:pt>
                <c:pt idx="325">
                  <c:v>44335</c:v>
                </c:pt>
                <c:pt idx="326">
                  <c:v>44336</c:v>
                </c:pt>
                <c:pt idx="327">
                  <c:v>44337</c:v>
                </c:pt>
                <c:pt idx="328">
                  <c:v>44341</c:v>
                </c:pt>
                <c:pt idx="329">
                  <c:v>44342</c:v>
                </c:pt>
                <c:pt idx="330">
                  <c:v>44343</c:v>
                </c:pt>
                <c:pt idx="331">
                  <c:v>44344</c:v>
                </c:pt>
                <c:pt idx="332">
                  <c:v>44348</c:v>
                </c:pt>
                <c:pt idx="333">
                  <c:v>44349</c:v>
                </c:pt>
                <c:pt idx="334">
                  <c:v>44350</c:v>
                </c:pt>
                <c:pt idx="335">
                  <c:v>44351</c:v>
                </c:pt>
                <c:pt idx="336">
                  <c:v>44354</c:v>
                </c:pt>
                <c:pt idx="337">
                  <c:v>44355</c:v>
                </c:pt>
                <c:pt idx="338">
                  <c:v>44356</c:v>
                </c:pt>
                <c:pt idx="339">
                  <c:v>44357</c:v>
                </c:pt>
                <c:pt idx="340">
                  <c:v>44358</c:v>
                </c:pt>
                <c:pt idx="341">
                  <c:v>44361</c:v>
                </c:pt>
                <c:pt idx="342">
                  <c:v>44362</c:v>
                </c:pt>
                <c:pt idx="343">
                  <c:v>44363</c:v>
                </c:pt>
                <c:pt idx="344">
                  <c:v>44364</c:v>
                </c:pt>
                <c:pt idx="345">
                  <c:v>44365</c:v>
                </c:pt>
                <c:pt idx="346">
                  <c:v>44368</c:v>
                </c:pt>
                <c:pt idx="347">
                  <c:v>44369</c:v>
                </c:pt>
                <c:pt idx="348">
                  <c:v>44370</c:v>
                </c:pt>
                <c:pt idx="349">
                  <c:v>44371</c:v>
                </c:pt>
                <c:pt idx="350">
                  <c:v>44372</c:v>
                </c:pt>
                <c:pt idx="351">
                  <c:v>44375</c:v>
                </c:pt>
                <c:pt idx="352">
                  <c:v>44376</c:v>
                </c:pt>
                <c:pt idx="353">
                  <c:v>44377</c:v>
                </c:pt>
                <c:pt idx="354">
                  <c:v>44378</c:v>
                </c:pt>
                <c:pt idx="355">
                  <c:v>44379</c:v>
                </c:pt>
                <c:pt idx="356">
                  <c:v>44383</c:v>
                </c:pt>
                <c:pt idx="357">
                  <c:v>44384</c:v>
                </c:pt>
                <c:pt idx="358">
                  <c:v>44385</c:v>
                </c:pt>
                <c:pt idx="359">
                  <c:v>44386</c:v>
                </c:pt>
                <c:pt idx="360">
                  <c:v>44389</c:v>
                </c:pt>
                <c:pt idx="361">
                  <c:v>44390</c:v>
                </c:pt>
                <c:pt idx="362">
                  <c:v>44391</c:v>
                </c:pt>
                <c:pt idx="363">
                  <c:v>44392</c:v>
                </c:pt>
                <c:pt idx="364">
                  <c:v>44393</c:v>
                </c:pt>
                <c:pt idx="365">
                  <c:v>44396</c:v>
                </c:pt>
                <c:pt idx="366">
                  <c:v>44397</c:v>
                </c:pt>
                <c:pt idx="367">
                  <c:v>44398</c:v>
                </c:pt>
                <c:pt idx="368">
                  <c:v>44399</c:v>
                </c:pt>
                <c:pt idx="369">
                  <c:v>44400</c:v>
                </c:pt>
                <c:pt idx="370">
                  <c:v>44403</c:v>
                </c:pt>
                <c:pt idx="371">
                  <c:v>44404</c:v>
                </c:pt>
                <c:pt idx="372">
                  <c:v>44405</c:v>
                </c:pt>
                <c:pt idx="373">
                  <c:v>44406</c:v>
                </c:pt>
                <c:pt idx="374">
                  <c:v>44407</c:v>
                </c:pt>
                <c:pt idx="375">
                  <c:v>44410</c:v>
                </c:pt>
                <c:pt idx="376">
                  <c:v>44411</c:v>
                </c:pt>
                <c:pt idx="377">
                  <c:v>44412</c:v>
                </c:pt>
                <c:pt idx="378">
                  <c:v>44413</c:v>
                </c:pt>
                <c:pt idx="379">
                  <c:v>44414</c:v>
                </c:pt>
                <c:pt idx="380">
                  <c:v>44417</c:v>
                </c:pt>
                <c:pt idx="381">
                  <c:v>44418</c:v>
                </c:pt>
                <c:pt idx="382">
                  <c:v>44419</c:v>
                </c:pt>
                <c:pt idx="383">
                  <c:v>44420</c:v>
                </c:pt>
                <c:pt idx="384">
                  <c:v>44421</c:v>
                </c:pt>
                <c:pt idx="385">
                  <c:v>44424</c:v>
                </c:pt>
                <c:pt idx="386">
                  <c:v>44425</c:v>
                </c:pt>
                <c:pt idx="387">
                  <c:v>44426</c:v>
                </c:pt>
                <c:pt idx="388">
                  <c:v>44427</c:v>
                </c:pt>
                <c:pt idx="389">
                  <c:v>44428</c:v>
                </c:pt>
                <c:pt idx="390">
                  <c:v>44431</c:v>
                </c:pt>
                <c:pt idx="391">
                  <c:v>44432</c:v>
                </c:pt>
                <c:pt idx="392">
                  <c:v>44433</c:v>
                </c:pt>
                <c:pt idx="393">
                  <c:v>44434</c:v>
                </c:pt>
                <c:pt idx="394">
                  <c:v>44435</c:v>
                </c:pt>
                <c:pt idx="395">
                  <c:v>44438</c:v>
                </c:pt>
                <c:pt idx="396">
                  <c:v>44439</c:v>
                </c:pt>
                <c:pt idx="397">
                  <c:v>44440</c:v>
                </c:pt>
                <c:pt idx="398">
                  <c:v>44441</c:v>
                </c:pt>
                <c:pt idx="399">
                  <c:v>44442</c:v>
                </c:pt>
                <c:pt idx="400">
                  <c:v>44446</c:v>
                </c:pt>
                <c:pt idx="401">
                  <c:v>44447</c:v>
                </c:pt>
                <c:pt idx="402">
                  <c:v>44448</c:v>
                </c:pt>
                <c:pt idx="403">
                  <c:v>44449</c:v>
                </c:pt>
                <c:pt idx="404">
                  <c:v>44452</c:v>
                </c:pt>
                <c:pt idx="405">
                  <c:v>44453</c:v>
                </c:pt>
                <c:pt idx="406">
                  <c:v>44454</c:v>
                </c:pt>
                <c:pt idx="407">
                  <c:v>44455</c:v>
                </c:pt>
                <c:pt idx="408">
                  <c:v>44456</c:v>
                </c:pt>
                <c:pt idx="409">
                  <c:v>44459</c:v>
                </c:pt>
                <c:pt idx="410">
                  <c:v>44460</c:v>
                </c:pt>
                <c:pt idx="411">
                  <c:v>44461</c:v>
                </c:pt>
                <c:pt idx="412">
                  <c:v>44462</c:v>
                </c:pt>
                <c:pt idx="413">
                  <c:v>44463</c:v>
                </c:pt>
                <c:pt idx="414">
                  <c:v>44466</c:v>
                </c:pt>
                <c:pt idx="415">
                  <c:v>44467</c:v>
                </c:pt>
                <c:pt idx="416">
                  <c:v>44468</c:v>
                </c:pt>
                <c:pt idx="417">
                  <c:v>44469</c:v>
                </c:pt>
                <c:pt idx="418">
                  <c:v>44470</c:v>
                </c:pt>
                <c:pt idx="419">
                  <c:v>44473</c:v>
                </c:pt>
                <c:pt idx="420">
                  <c:v>44474</c:v>
                </c:pt>
                <c:pt idx="421">
                  <c:v>44475</c:v>
                </c:pt>
                <c:pt idx="422">
                  <c:v>44476</c:v>
                </c:pt>
                <c:pt idx="423">
                  <c:v>44477</c:v>
                </c:pt>
                <c:pt idx="424">
                  <c:v>44480</c:v>
                </c:pt>
                <c:pt idx="425">
                  <c:v>44481</c:v>
                </c:pt>
                <c:pt idx="426">
                  <c:v>44482</c:v>
                </c:pt>
                <c:pt idx="427">
                  <c:v>44483</c:v>
                </c:pt>
                <c:pt idx="428">
                  <c:v>44484</c:v>
                </c:pt>
                <c:pt idx="429">
                  <c:v>44487</c:v>
                </c:pt>
                <c:pt idx="430">
                  <c:v>44488</c:v>
                </c:pt>
                <c:pt idx="431">
                  <c:v>44489</c:v>
                </c:pt>
                <c:pt idx="432">
                  <c:v>44490</c:v>
                </c:pt>
                <c:pt idx="433">
                  <c:v>44491</c:v>
                </c:pt>
                <c:pt idx="434">
                  <c:v>44494</c:v>
                </c:pt>
                <c:pt idx="435">
                  <c:v>44495</c:v>
                </c:pt>
                <c:pt idx="436">
                  <c:v>44496</c:v>
                </c:pt>
                <c:pt idx="437">
                  <c:v>44497</c:v>
                </c:pt>
                <c:pt idx="438">
                  <c:v>44498</c:v>
                </c:pt>
                <c:pt idx="439">
                  <c:v>44501</c:v>
                </c:pt>
                <c:pt idx="440">
                  <c:v>44502</c:v>
                </c:pt>
                <c:pt idx="441">
                  <c:v>44503</c:v>
                </c:pt>
                <c:pt idx="442">
                  <c:v>44505</c:v>
                </c:pt>
                <c:pt idx="443">
                  <c:v>44508</c:v>
                </c:pt>
                <c:pt idx="444">
                  <c:v>44509</c:v>
                </c:pt>
                <c:pt idx="445">
                  <c:v>44510</c:v>
                </c:pt>
                <c:pt idx="446">
                  <c:v>44511</c:v>
                </c:pt>
                <c:pt idx="447">
                  <c:v>44512</c:v>
                </c:pt>
                <c:pt idx="448">
                  <c:v>44515</c:v>
                </c:pt>
                <c:pt idx="449">
                  <c:v>44516</c:v>
                </c:pt>
                <c:pt idx="450">
                  <c:v>44517</c:v>
                </c:pt>
                <c:pt idx="451">
                  <c:v>44518</c:v>
                </c:pt>
                <c:pt idx="452">
                  <c:v>44519</c:v>
                </c:pt>
                <c:pt idx="453">
                  <c:v>44522</c:v>
                </c:pt>
                <c:pt idx="454">
                  <c:v>44523</c:v>
                </c:pt>
                <c:pt idx="455">
                  <c:v>44524</c:v>
                </c:pt>
                <c:pt idx="456">
                  <c:v>44526</c:v>
                </c:pt>
                <c:pt idx="457">
                  <c:v>44529</c:v>
                </c:pt>
                <c:pt idx="458">
                  <c:v>44530</c:v>
                </c:pt>
                <c:pt idx="459">
                  <c:v>44531</c:v>
                </c:pt>
                <c:pt idx="460">
                  <c:v>44532</c:v>
                </c:pt>
                <c:pt idx="461">
                  <c:v>44533</c:v>
                </c:pt>
                <c:pt idx="462">
                  <c:v>44536</c:v>
                </c:pt>
                <c:pt idx="463">
                  <c:v>44537</c:v>
                </c:pt>
                <c:pt idx="464">
                  <c:v>44538</c:v>
                </c:pt>
                <c:pt idx="465">
                  <c:v>44539</c:v>
                </c:pt>
                <c:pt idx="466">
                  <c:v>44540</c:v>
                </c:pt>
                <c:pt idx="467">
                  <c:v>44543</c:v>
                </c:pt>
                <c:pt idx="468">
                  <c:v>44544</c:v>
                </c:pt>
                <c:pt idx="469">
                  <c:v>44545</c:v>
                </c:pt>
                <c:pt idx="470">
                  <c:v>44546</c:v>
                </c:pt>
                <c:pt idx="471">
                  <c:v>44547</c:v>
                </c:pt>
                <c:pt idx="472">
                  <c:v>44550</c:v>
                </c:pt>
                <c:pt idx="473">
                  <c:v>44551</c:v>
                </c:pt>
                <c:pt idx="474">
                  <c:v>44552</c:v>
                </c:pt>
                <c:pt idx="475">
                  <c:v>44553</c:v>
                </c:pt>
                <c:pt idx="476">
                  <c:v>44557</c:v>
                </c:pt>
                <c:pt idx="477">
                  <c:v>44558</c:v>
                </c:pt>
                <c:pt idx="478">
                  <c:v>44559</c:v>
                </c:pt>
                <c:pt idx="479">
                  <c:v>44560</c:v>
                </c:pt>
                <c:pt idx="480">
                  <c:v>44564</c:v>
                </c:pt>
                <c:pt idx="481">
                  <c:v>44565</c:v>
                </c:pt>
                <c:pt idx="482">
                  <c:v>44566</c:v>
                </c:pt>
                <c:pt idx="483">
                  <c:v>44567</c:v>
                </c:pt>
                <c:pt idx="484">
                  <c:v>44568</c:v>
                </c:pt>
                <c:pt idx="485">
                  <c:v>44571</c:v>
                </c:pt>
                <c:pt idx="486">
                  <c:v>44572</c:v>
                </c:pt>
                <c:pt idx="487">
                  <c:v>44573</c:v>
                </c:pt>
                <c:pt idx="488">
                  <c:v>44574</c:v>
                </c:pt>
                <c:pt idx="489">
                  <c:v>44575</c:v>
                </c:pt>
                <c:pt idx="490">
                  <c:v>44579</c:v>
                </c:pt>
                <c:pt idx="491">
                  <c:v>44580</c:v>
                </c:pt>
                <c:pt idx="492">
                  <c:v>44581</c:v>
                </c:pt>
                <c:pt idx="493">
                  <c:v>44582</c:v>
                </c:pt>
                <c:pt idx="494">
                  <c:v>44585</c:v>
                </c:pt>
                <c:pt idx="495">
                  <c:v>44586</c:v>
                </c:pt>
                <c:pt idx="496">
                  <c:v>44587</c:v>
                </c:pt>
                <c:pt idx="497">
                  <c:v>44588</c:v>
                </c:pt>
                <c:pt idx="498">
                  <c:v>44589</c:v>
                </c:pt>
                <c:pt idx="499">
                  <c:v>44592</c:v>
                </c:pt>
                <c:pt idx="500">
                  <c:v>44593</c:v>
                </c:pt>
                <c:pt idx="501">
                  <c:v>44594</c:v>
                </c:pt>
                <c:pt idx="502">
                  <c:v>44595</c:v>
                </c:pt>
                <c:pt idx="503">
                  <c:v>44596</c:v>
                </c:pt>
                <c:pt idx="504">
                  <c:v>44599</c:v>
                </c:pt>
                <c:pt idx="505">
                  <c:v>44600</c:v>
                </c:pt>
                <c:pt idx="506">
                  <c:v>44601</c:v>
                </c:pt>
                <c:pt idx="507">
                  <c:v>44602</c:v>
                </c:pt>
                <c:pt idx="508">
                  <c:v>44603</c:v>
                </c:pt>
                <c:pt idx="509">
                  <c:v>44606</c:v>
                </c:pt>
                <c:pt idx="510">
                  <c:v>44607</c:v>
                </c:pt>
                <c:pt idx="511">
                  <c:v>44608</c:v>
                </c:pt>
                <c:pt idx="512">
                  <c:v>44609</c:v>
                </c:pt>
                <c:pt idx="513">
                  <c:v>44610</c:v>
                </c:pt>
                <c:pt idx="514">
                  <c:v>44614</c:v>
                </c:pt>
                <c:pt idx="515">
                  <c:v>44644</c:v>
                </c:pt>
                <c:pt idx="516">
                  <c:v>44645</c:v>
                </c:pt>
                <c:pt idx="517">
                  <c:v>44648</c:v>
                </c:pt>
                <c:pt idx="518">
                  <c:v>44649</c:v>
                </c:pt>
                <c:pt idx="519">
                  <c:v>44650</c:v>
                </c:pt>
                <c:pt idx="520">
                  <c:v>44651</c:v>
                </c:pt>
                <c:pt idx="521">
                  <c:v>44652</c:v>
                </c:pt>
                <c:pt idx="522">
                  <c:v>44655</c:v>
                </c:pt>
                <c:pt idx="523">
                  <c:v>44656</c:v>
                </c:pt>
                <c:pt idx="524">
                  <c:v>44657</c:v>
                </c:pt>
                <c:pt idx="525">
                  <c:v>44658</c:v>
                </c:pt>
                <c:pt idx="526">
                  <c:v>44659</c:v>
                </c:pt>
                <c:pt idx="527">
                  <c:v>44662</c:v>
                </c:pt>
                <c:pt idx="528">
                  <c:v>44663</c:v>
                </c:pt>
                <c:pt idx="529">
                  <c:v>44664</c:v>
                </c:pt>
                <c:pt idx="530">
                  <c:v>44665</c:v>
                </c:pt>
                <c:pt idx="531">
                  <c:v>44670</c:v>
                </c:pt>
                <c:pt idx="532">
                  <c:v>44671</c:v>
                </c:pt>
                <c:pt idx="533">
                  <c:v>44672</c:v>
                </c:pt>
                <c:pt idx="534">
                  <c:v>44673</c:v>
                </c:pt>
                <c:pt idx="535">
                  <c:v>44676</c:v>
                </c:pt>
                <c:pt idx="536">
                  <c:v>44677</c:v>
                </c:pt>
                <c:pt idx="537">
                  <c:v>44678</c:v>
                </c:pt>
                <c:pt idx="538">
                  <c:v>44679</c:v>
                </c:pt>
                <c:pt idx="539">
                  <c:v>44680</c:v>
                </c:pt>
                <c:pt idx="540">
                  <c:v>44685</c:v>
                </c:pt>
                <c:pt idx="541">
                  <c:v>44686</c:v>
                </c:pt>
                <c:pt idx="542">
                  <c:v>44687</c:v>
                </c:pt>
                <c:pt idx="543">
                  <c:v>44692</c:v>
                </c:pt>
                <c:pt idx="544">
                  <c:v>44693</c:v>
                </c:pt>
                <c:pt idx="545">
                  <c:v>44694</c:v>
                </c:pt>
                <c:pt idx="546">
                  <c:v>44697</c:v>
                </c:pt>
                <c:pt idx="547">
                  <c:v>44698</c:v>
                </c:pt>
                <c:pt idx="548">
                  <c:v>44699</c:v>
                </c:pt>
                <c:pt idx="549">
                  <c:v>44700</c:v>
                </c:pt>
                <c:pt idx="550">
                  <c:v>44701</c:v>
                </c:pt>
                <c:pt idx="551">
                  <c:v>44704</c:v>
                </c:pt>
                <c:pt idx="552">
                  <c:v>44705</c:v>
                </c:pt>
                <c:pt idx="553">
                  <c:v>44706</c:v>
                </c:pt>
                <c:pt idx="554">
                  <c:v>44707</c:v>
                </c:pt>
                <c:pt idx="555">
                  <c:v>44708</c:v>
                </c:pt>
                <c:pt idx="556">
                  <c:v>44712</c:v>
                </c:pt>
                <c:pt idx="557">
                  <c:v>44713</c:v>
                </c:pt>
                <c:pt idx="558">
                  <c:v>44714</c:v>
                </c:pt>
                <c:pt idx="559">
                  <c:v>44715</c:v>
                </c:pt>
                <c:pt idx="560">
                  <c:v>44718</c:v>
                </c:pt>
                <c:pt idx="561">
                  <c:v>44719</c:v>
                </c:pt>
                <c:pt idx="562">
                  <c:v>44720</c:v>
                </c:pt>
                <c:pt idx="563">
                  <c:v>44721</c:v>
                </c:pt>
                <c:pt idx="564">
                  <c:v>44722</c:v>
                </c:pt>
                <c:pt idx="565">
                  <c:v>44725</c:v>
                </c:pt>
                <c:pt idx="566">
                  <c:v>44726</c:v>
                </c:pt>
                <c:pt idx="567">
                  <c:v>44727</c:v>
                </c:pt>
                <c:pt idx="568">
                  <c:v>44728</c:v>
                </c:pt>
                <c:pt idx="569">
                  <c:v>44729</c:v>
                </c:pt>
                <c:pt idx="570">
                  <c:v>44733</c:v>
                </c:pt>
                <c:pt idx="571">
                  <c:v>44734</c:v>
                </c:pt>
                <c:pt idx="572">
                  <c:v>44735</c:v>
                </c:pt>
                <c:pt idx="573">
                  <c:v>44736</c:v>
                </c:pt>
                <c:pt idx="574">
                  <c:v>44739</c:v>
                </c:pt>
                <c:pt idx="575">
                  <c:v>44740</c:v>
                </c:pt>
                <c:pt idx="576">
                  <c:v>44741</c:v>
                </c:pt>
                <c:pt idx="577">
                  <c:v>44742</c:v>
                </c:pt>
                <c:pt idx="578">
                  <c:v>44743</c:v>
                </c:pt>
                <c:pt idx="579">
                  <c:v>44747</c:v>
                </c:pt>
                <c:pt idx="580">
                  <c:v>44748</c:v>
                </c:pt>
                <c:pt idx="581">
                  <c:v>44749</c:v>
                </c:pt>
                <c:pt idx="582">
                  <c:v>44750</c:v>
                </c:pt>
                <c:pt idx="583">
                  <c:v>44753</c:v>
                </c:pt>
                <c:pt idx="584">
                  <c:v>44754</c:v>
                </c:pt>
                <c:pt idx="585">
                  <c:v>44755</c:v>
                </c:pt>
                <c:pt idx="586">
                  <c:v>44756</c:v>
                </c:pt>
                <c:pt idx="587">
                  <c:v>44757</c:v>
                </c:pt>
                <c:pt idx="588">
                  <c:v>44760</c:v>
                </c:pt>
                <c:pt idx="589">
                  <c:v>44761</c:v>
                </c:pt>
                <c:pt idx="590">
                  <c:v>44762</c:v>
                </c:pt>
                <c:pt idx="591">
                  <c:v>44763</c:v>
                </c:pt>
                <c:pt idx="592">
                  <c:v>44764</c:v>
                </c:pt>
                <c:pt idx="593">
                  <c:v>44767</c:v>
                </c:pt>
                <c:pt idx="594">
                  <c:v>44768</c:v>
                </c:pt>
                <c:pt idx="595">
                  <c:v>44769</c:v>
                </c:pt>
                <c:pt idx="596">
                  <c:v>44770</c:v>
                </c:pt>
                <c:pt idx="597">
                  <c:v>44771</c:v>
                </c:pt>
                <c:pt idx="598">
                  <c:v>44774</c:v>
                </c:pt>
                <c:pt idx="599">
                  <c:v>44775</c:v>
                </c:pt>
                <c:pt idx="600">
                  <c:v>44776</c:v>
                </c:pt>
                <c:pt idx="601">
                  <c:v>44777</c:v>
                </c:pt>
                <c:pt idx="602">
                  <c:v>44778</c:v>
                </c:pt>
                <c:pt idx="603">
                  <c:v>44781</c:v>
                </c:pt>
                <c:pt idx="604">
                  <c:v>44782</c:v>
                </c:pt>
                <c:pt idx="605">
                  <c:v>44783</c:v>
                </c:pt>
                <c:pt idx="606">
                  <c:v>44784</c:v>
                </c:pt>
                <c:pt idx="607">
                  <c:v>44785</c:v>
                </c:pt>
                <c:pt idx="608">
                  <c:v>44788</c:v>
                </c:pt>
                <c:pt idx="609">
                  <c:v>44789</c:v>
                </c:pt>
                <c:pt idx="610">
                  <c:v>44790</c:v>
                </c:pt>
                <c:pt idx="611">
                  <c:v>44791</c:v>
                </c:pt>
                <c:pt idx="612">
                  <c:v>44792</c:v>
                </c:pt>
                <c:pt idx="613">
                  <c:v>44795</c:v>
                </c:pt>
                <c:pt idx="614">
                  <c:v>44796</c:v>
                </c:pt>
                <c:pt idx="615">
                  <c:v>44797</c:v>
                </c:pt>
                <c:pt idx="616">
                  <c:v>44798</c:v>
                </c:pt>
                <c:pt idx="617">
                  <c:v>44799</c:v>
                </c:pt>
                <c:pt idx="618">
                  <c:v>44802</c:v>
                </c:pt>
                <c:pt idx="619">
                  <c:v>44803</c:v>
                </c:pt>
                <c:pt idx="620">
                  <c:v>44804</c:v>
                </c:pt>
                <c:pt idx="621">
                  <c:v>44805</c:v>
                </c:pt>
                <c:pt idx="622">
                  <c:v>44806</c:v>
                </c:pt>
                <c:pt idx="623">
                  <c:v>44810</c:v>
                </c:pt>
                <c:pt idx="624">
                  <c:v>44811</c:v>
                </c:pt>
                <c:pt idx="625">
                  <c:v>44812</c:v>
                </c:pt>
                <c:pt idx="626">
                  <c:v>44813</c:v>
                </c:pt>
                <c:pt idx="627">
                  <c:v>44816</c:v>
                </c:pt>
                <c:pt idx="628">
                  <c:v>44817</c:v>
                </c:pt>
                <c:pt idx="629">
                  <c:v>44818</c:v>
                </c:pt>
                <c:pt idx="630">
                  <c:v>44819</c:v>
                </c:pt>
                <c:pt idx="631">
                  <c:v>44820</c:v>
                </c:pt>
                <c:pt idx="632">
                  <c:v>44823</c:v>
                </c:pt>
                <c:pt idx="633">
                  <c:v>44824</c:v>
                </c:pt>
                <c:pt idx="634">
                  <c:v>44825</c:v>
                </c:pt>
                <c:pt idx="635">
                  <c:v>44826</c:v>
                </c:pt>
                <c:pt idx="636">
                  <c:v>44827</c:v>
                </c:pt>
                <c:pt idx="637">
                  <c:v>44830</c:v>
                </c:pt>
              </c:numCache>
            </c:numRef>
          </c:cat>
          <c:val>
            <c:numRef>
              <c:f>Sheet1!$B$2:$B$639</c:f>
              <c:numCache>
                <c:formatCode>0</c:formatCode>
                <c:ptCount val="638"/>
                <c:pt idx="0">
                  <c:v>100</c:v>
                </c:pt>
                <c:pt idx="1">
                  <c:v>100.20854639772293</c:v>
                </c:pt>
                <c:pt idx="2">
                  <c:v>100.87546360757543</c:v>
                </c:pt>
                <c:pt idx="3">
                  <c:v>100.58744162549131</c:v>
                </c:pt>
                <c:pt idx="4">
                  <c:v>101.28916790911441</c:v>
                </c:pt>
                <c:pt idx="5">
                  <c:v>101.1357615486033</c:v>
                </c:pt>
                <c:pt idx="6">
                  <c:v>101.32490111758686</c:v>
                </c:pt>
                <c:pt idx="7">
                  <c:v>102.17264068410609</c:v>
                </c:pt>
                <c:pt idx="8">
                  <c:v>102.56724620180634</c:v>
                </c:pt>
                <c:pt idx="9">
                  <c:v>102.29524255455473</c:v>
                </c:pt>
                <c:pt idx="10">
                  <c:v>102.3248148650147</c:v>
                </c:pt>
                <c:pt idx="11">
                  <c:v>102.44156388235146</c:v>
                </c:pt>
                <c:pt idx="12">
                  <c:v>101.51527286617294</c:v>
                </c:pt>
                <c:pt idx="13">
                  <c:v>99.918368101334423</c:v>
                </c:pt>
                <c:pt idx="14">
                  <c:v>100.9229025222716</c:v>
                </c:pt>
                <c:pt idx="15">
                  <c:v>100.83541777049417</c:v>
                </c:pt>
                <c:pt idx="16">
                  <c:v>101.15147183853513</c:v>
                </c:pt>
                <c:pt idx="17">
                  <c:v>99.36049878630304</c:v>
                </c:pt>
                <c:pt idx="18">
                  <c:v>100.08132385376487</c:v>
                </c:pt>
                <c:pt idx="19">
                  <c:v>101.58057838510537</c:v>
                </c:pt>
                <c:pt idx="20">
                  <c:v>102.72342496642307</c:v>
                </c:pt>
                <c:pt idx="21">
                  <c:v>103.06504676121588</c:v>
                </c:pt>
                <c:pt idx="22">
                  <c:v>102.50840962578702</c:v>
                </c:pt>
                <c:pt idx="23">
                  <c:v>103.25942309351008</c:v>
                </c:pt>
                <c:pt idx="24">
                  <c:v>103.43377650726366</c:v>
                </c:pt>
                <c:pt idx="25">
                  <c:v>104.10223394161929</c:v>
                </c:pt>
                <c:pt idx="26">
                  <c:v>103.93250120137508</c:v>
                </c:pt>
                <c:pt idx="27">
                  <c:v>104.12410512956363</c:v>
                </c:pt>
                <c:pt idx="28">
                  <c:v>103.82006481264705</c:v>
                </c:pt>
                <c:pt idx="29">
                  <c:v>104.30862402503784</c:v>
                </c:pt>
                <c:pt idx="30">
                  <c:v>102.81768670601423</c:v>
                </c:pt>
                <c:pt idx="31">
                  <c:v>96.36291385832395</c:v>
                </c:pt>
                <c:pt idx="32">
                  <c:v>95.998804785785524</c:v>
                </c:pt>
                <c:pt idx="33">
                  <c:v>91.759182818487588</c:v>
                </c:pt>
                <c:pt idx="34">
                  <c:v>95.192959325751289</c:v>
                </c:pt>
                <c:pt idx="35">
                  <c:v>92.517281318925015</c:v>
                </c:pt>
                <c:pt idx="36">
                  <c:v>96.421750434343281</c:v>
                </c:pt>
                <c:pt idx="37">
                  <c:v>93.150929679510071</c:v>
                </c:pt>
                <c:pt idx="38">
                  <c:v>91.562342126988412</c:v>
                </c:pt>
                <c:pt idx="39">
                  <c:v>88.78562539275724</c:v>
                </c:pt>
                <c:pt idx="40">
                  <c:v>84.446812967458129</c:v>
                </c:pt>
                <c:pt idx="41">
                  <c:v>76.414850228569293</c:v>
                </c:pt>
                <c:pt idx="42">
                  <c:v>83.511588649161482</c:v>
                </c:pt>
                <c:pt idx="43">
                  <c:v>73.50351787276513</c:v>
                </c:pt>
                <c:pt idx="44">
                  <c:v>77.910408221102301</c:v>
                </c:pt>
                <c:pt idx="45">
                  <c:v>73.872247618812906</c:v>
                </c:pt>
                <c:pt idx="46">
                  <c:v>74.220030311618203</c:v>
                </c:pt>
                <c:pt idx="47">
                  <c:v>71.001885234791814</c:v>
                </c:pt>
                <c:pt idx="48">
                  <c:v>68.921966065773745</c:v>
                </c:pt>
                <c:pt idx="49">
                  <c:v>75.388752664588381</c:v>
                </c:pt>
                <c:pt idx="50">
                  <c:v>76.258363419051946</c:v>
                </c:pt>
                <c:pt idx="51">
                  <c:v>81.017965178604427</c:v>
                </c:pt>
                <c:pt idx="52">
                  <c:v>78.288687359069442</c:v>
                </c:pt>
                <c:pt idx="53">
                  <c:v>80.912613822590771</c:v>
                </c:pt>
                <c:pt idx="54">
                  <c:v>79.616976970563229</c:v>
                </c:pt>
                <c:pt idx="55">
                  <c:v>76.102492699335841</c:v>
                </c:pt>
                <c:pt idx="56">
                  <c:v>77.839865938859234</c:v>
                </c:pt>
                <c:pt idx="57">
                  <c:v>76.661594193969705</c:v>
                </c:pt>
                <c:pt idx="58">
                  <c:v>82.053304089604083</c:v>
                </c:pt>
                <c:pt idx="59">
                  <c:v>81.921768917037326</c:v>
                </c:pt>
                <c:pt idx="60">
                  <c:v>84.71173158199538</c:v>
                </c:pt>
                <c:pt idx="61">
                  <c:v>85.938982466084241</c:v>
                </c:pt>
                <c:pt idx="62">
                  <c:v>87.671426987197634</c:v>
                </c:pt>
                <c:pt idx="63">
                  <c:v>85.739985460280678</c:v>
                </c:pt>
                <c:pt idx="64">
                  <c:v>86.238710154392095</c:v>
                </c:pt>
                <c:pt idx="65">
                  <c:v>88.549354953978067</c:v>
                </c:pt>
                <c:pt idx="66">
                  <c:v>86.966004164767028</c:v>
                </c:pt>
                <c:pt idx="67">
                  <c:v>84.298335325357002</c:v>
                </c:pt>
                <c:pt idx="68">
                  <c:v>86.231317076777088</c:v>
                </c:pt>
                <c:pt idx="69">
                  <c:v>86.184802296782763</c:v>
                </c:pt>
                <c:pt idx="70">
                  <c:v>87.384329139815392</c:v>
                </c:pt>
                <c:pt idx="71">
                  <c:v>88.670108555022949</c:v>
                </c:pt>
                <c:pt idx="72">
                  <c:v>88.205268799980246</c:v>
                </c:pt>
                <c:pt idx="73">
                  <c:v>90.550106583535594</c:v>
                </c:pt>
                <c:pt idx="74">
                  <c:v>89.715920992643859</c:v>
                </c:pt>
                <c:pt idx="75">
                  <c:v>87.569156080190211</c:v>
                </c:pt>
                <c:pt idx="76">
                  <c:v>88.360831474795731</c:v>
                </c:pt>
                <c:pt idx="77">
                  <c:v>87.744125583745046</c:v>
                </c:pt>
                <c:pt idx="78">
                  <c:v>88.753588723092236</c:v>
                </c:pt>
                <c:pt idx="79">
                  <c:v>90.250994985028981</c:v>
                </c:pt>
                <c:pt idx="80">
                  <c:v>88.412583018100676</c:v>
                </c:pt>
                <c:pt idx="81">
                  <c:v>86.868661976169605</c:v>
                </c:pt>
                <c:pt idx="82">
                  <c:v>87.869807903199927</c:v>
                </c:pt>
                <c:pt idx="83">
                  <c:v>88.21481819189961</c:v>
                </c:pt>
                <c:pt idx="84">
                  <c:v>90.993691240435155</c:v>
                </c:pt>
                <c:pt idx="85">
                  <c:v>90.039676183200413</c:v>
                </c:pt>
                <c:pt idx="86">
                  <c:v>91.538930714540896</c:v>
                </c:pt>
                <c:pt idx="87">
                  <c:v>90.827346994097809</c:v>
                </c:pt>
                <c:pt idx="88">
                  <c:v>91.041130155131341</c:v>
                </c:pt>
                <c:pt idx="89">
                  <c:v>92.159949234200312</c:v>
                </c:pt>
                <c:pt idx="90">
                  <c:v>93.526436413371542</c:v>
                </c:pt>
                <c:pt idx="91">
                  <c:v>93.329287676971731</c:v>
                </c:pt>
                <c:pt idx="92">
                  <c:v>93.77841714208256</c:v>
                </c:pt>
                <c:pt idx="93">
                  <c:v>94.903089074263391</c:v>
                </c:pt>
                <c:pt idx="94">
                  <c:v>96.198417881390299</c:v>
                </c:pt>
                <c:pt idx="95">
                  <c:v>95.874354645933096</c:v>
                </c:pt>
                <c:pt idx="96">
                  <c:v>98.387384945229513</c:v>
                </c:pt>
                <c:pt idx="97">
                  <c:v>99.572125633032158</c:v>
                </c:pt>
                <c:pt idx="98">
                  <c:v>98.795544438557258</c:v>
                </c:pt>
                <c:pt idx="99">
                  <c:v>98.270635927892741</c:v>
                </c:pt>
                <c:pt idx="100">
                  <c:v>92.478159616545597</c:v>
                </c:pt>
                <c:pt idx="101">
                  <c:v>94.46474118067438</c:v>
                </c:pt>
                <c:pt idx="102">
                  <c:v>96.256022277807091</c:v>
                </c:pt>
                <c:pt idx="103">
                  <c:v>95.909471764604291</c:v>
                </c:pt>
                <c:pt idx="104">
                  <c:v>95.966460071219871</c:v>
                </c:pt>
                <c:pt idx="105">
                  <c:v>95.424301046120362</c:v>
                </c:pt>
                <c:pt idx="106">
                  <c:v>96.044087386177296</c:v>
                </c:pt>
                <c:pt idx="107">
                  <c:v>96.457791687716295</c:v>
                </c:pt>
                <c:pt idx="108">
                  <c:v>94.993654275047035</c:v>
                </c:pt>
                <c:pt idx="109">
                  <c:v>92.692250822479792</c:v>
                </c:pt>
                <c:pt idx="110">
                  <c:v>94.053501238340402</c:v>
                </c:pt>
                <c:pt idx="111">
                  <c:v>95.502852495779692</c:v>
                </c:pt>
                <c:pt idx="112">
                  <c:v>96.418361940436355</c:v>
                </c:pt>
                <c:pt idx="113">
                  <c:v>97.949653141441786</c:v>
                </c:pt>
                <c:pt idx="114">
                  <c:v>96.889978683292782</c:v>
                </c:pt>
                <c:pt idx="115">
                  <c:v>97.648385228630829</c:v>
                </c:pt>
                <c:pt idx="116">
                  <c:v>97.097292901413226</c:v>
                </c:pt>
                <c:pt idx="117">
                  <c:v>98.113533028574153</c:v>
                </c:pt>
                <c:pt idx="118">
                  <c:v>97.194943134911256</c:v>
                </c:pt>
                <c:pt idx="119">
                  <c:v>98.497973064553804</c:v>
                </c:pt>
                <c:pt idx="120">
                  <c:v>99.392535455967973</c:v>
                </c:pt>
                <c:pt idx="121">
                  <c:v>99.053994110181421</c:v>
                </c:pt>
                <c:pt idx="122">
                  <c:v>99.336163239153649</c:v>
                </c:pt>
                <c:pt idx="123">
                  <c:v>100.17127296474726</c:v>
                </c:pt>
                <c:pt idx="124">
                  <c:v>100.33946548048836</c:v>
                </c:pt>
                <c:pt idx="125">
                  <c:v>100.91612553445781</c:v>
                </c:pt>
                <c:pt idx="126">
                  <c:v>99.672856315536464</c:v>
                </c:pt>
                <c:pt idx="127">
                  <c:v>99.055842379585172</c:v>
                </c:pt>
                <c:pt idx="128">
                  <c:v>99.78837315327074</c:v>
                </c:pt>
                <c:pt idx="129">
                  <c:v>99.142402996660707</c:v>
                </c:pt>
                <c:pt idx="130">
                  <c:v>100.37458259915957</c:v>
                </c:pt>
                <c:pt idx="131">
                  <c:v>99.998151730596163</c:v>
                </c:pt>
                <c:pt idx="132">
                  <c:v>100.76518353315171</c:v>
                </c:pt>
                <c:pt idx="133">
                  <c:v>101.48878100471919</c:v>
                </c:pt>
                <c:pt idx="134">
                  <c:v>101.8553544364626</c:v>
                </c:pt>
                <c:pt idx="135">
                  <c:v>102.51025789519075</c:v>
                </c:pt>
                <c:pt idx="136">
                  <c:v>103.169165937627</c:v>
                </c:pt>
                <c:pt idx="137">
                  <c:v>103.23447145655946</c:v>
                </c:pt>
                <c:pt idx="138">
                  <c:v>103.51756472023357</c:v>
                </c:pt>
                <c:pt idx="139">
                  <c:v>102.69262047636059</c:v>
                </c:pt>
                <c:pt idx="140">
                  <c:v>104.12995798267551</c:v>
                </c:pt>
                <c:pt idx="141">
                  <c:v>103.9167909114432</c:v>
                </c:pt>
                <c:pt idx="142">
                  <c:v>103.89892430720697</c:v>
                </c:pt>
                <c:pt idx="143">
                  <c:v>104.18047734637796</c:v>
                </c:pt>
                <c:pt idx="144">
                  <c:v>104.42044432396462</c:v>
                </c:pt>
                <c:pt idx="145">
                  <c:v>103.9605332873319</c:v>
                </c:pt>
                <c:pt idx="146">
                  <c:v>104.28890915139785</c:v>
                </c:pt>
                <c:pt idx="147">
                  <c:v>104.64778146062562</c:v>
                </c:pt>
                <c:pt idx="148">
                  <c:v>105.69883066155715</c:v>
                </c:pt>
                <c:pt idx="149">
                  <c:v>106.07895806892805</c:v>
                </c:pt>
                <c:pt idx="150">
                  <c:v>107.16050371502143</c:v>
                </c:pt>
                <c:pt idx="151">
                  <c:v>107.33978584718503</c:v>
                </c:pt>
                <c:pt idx="152">
                  <c:v>108.06245918405061</c:v>
                </c:pt>
                <c:pt idx="153">
                  <c:v>107.82526461056958</c:v>
                </c:pt>
                <c:pt idx="154">
                  <c:v>108.63665487881508</c:v>
                </c:pt>
                <c:pt idx="155">
                  <c:v>110.30595019530041</c:v>
                </c:pt>
                <c:pt idx="156">
                  <c:v>106.43136143524275</c:v>
                </c:pt>
                <c:pt idx="157">
                  <c:v>105.56575526448731</c:v>
                </c:pt>
                <c:pt idx="158">
                  <c:v>102.63563216974501</c:v>
                </c:pt>
                <c:pt idx="159">
                  <c:v>104.70322954273809</c:v>
                </c:pt>
                <c:pt idx="160">
                  <c:v>102.86204517170417</c:v>
                </c:pt>
                <c:pt idx="161">
                  <c:v>102.91687716401536</c:v>
                </c:pt>
                <c:pt idx="162">
                  <c:v>104.22822430597478</c:v>
                </c:pt>
                <c:pt idx="163">
                  <c:v>104.77223160047801</c:v>
                </c:pt>
                <c:pt idx="164">
                  <c:v>104.28829306159659</c:v>
                </c:pt>
                <c:pt idx="165">
                  <c:v>103.41098118461741</c:v>
                </c:pt>
                <c:pt idx="166">
                  <c:v>102.25458062767223</c:v>
                </c:pt>
                <c:pt idx="167">
                  <c:v>101.0713801643727</c:v>
                </c:pt>
                <c:pt idx="168">
                  <c:v>102.1344431164286</c:v>
                </c:pt>
                <c:pt idx="169">
                  <c:v>99.711669973015205</c:v>
                </c:pt>
                <c:pt idx="170">
                  <c:v>100.00954939191931</c:v>
                </c:pt>
                <c:pt idx="171">
                  <c:v>101.6073782914597</c:v>
                </c:pt>
                <c:pt idx="172">
                  <c:v>103.24432889337943</c:v>
                </c:pt>
                <c:pt idx="173">
                  <c:v>102.74745246867175</c:v>
                </c:pt>
                <c:pt idx="174">
                  <c:v>103.5955000800916</c:v>
                </c:pt>
                <c:pt idx="175">
                  <c:v>104.1438200032036</c:v>
                </c:pt>
                <c:pt idx="176">
                  <c:v>103.14698670478202</c:v>
                </c:pt>
                <c:pt idx="177">
                  <c:v>105.00110896164217</c:v>
                </c:pt>
                <c:pt idx="178">
                  <c:v>103.53235087546352</c:v>
                </c:pt>
                <c:pt idx="179">
                  <c:v>105.33441354411811</c:v>
                </c:pt>
                <c:pt idx="180">
                  <c:v>106.17784048202857</c:v>
                </c:pt>
                <c:pt idx="181">
                  <c:v>107.11121653092145</c:v>
                </c:pt>
                <c:pt idx="182">
                  <c:v>108.86984486858795</c:v>
                </c:pt>
                <c:pt idx="183">
                  <c:v>108.18321278509546</c:v>
                </c:pt>
                <c:pt idx="184">
                  <c:v>107.46670034624238</c:v>
                </c:pt>
                <c:pt idx="185">
                  <c:v>107.30251241420942</c:v>
                </c:pt>
                <c:pt idx="186">
                  <c:v>107.31699052453878</c:v>
                </c:pt>
                <c:pt idx="187">
                  <c:v>105.56452308488478</c:v>
                </c:pt>
                <c:pt idx="188">
                  <c:v>106.06355582389682</c:v>
                </c:pt>
                <c:pt idx="189">
                  <c:v>105.83067387902453</c:v>
                </c:pt>
                <c:pt idx="190">
                  <c:v>106.38299838584463</c:v>
                </c:pt>
                <c:pt idx="191">
                  <c:v>106.74957181758805</c:v>
                </c:pt>
                <c:pt idx="192">
                  <c:v>104.76514656776362</c:v>
                </c:pt>
                <c:pt idx="193">
                  <c:v>104.44816836502079</c:v>
                </c:pt>
                <c:pt idx="194">
                  <c:v>100.76241112904609</c:v>
                </c:pt>
                <c:pt idx="195">
                  <c:v>101.96625060068747</c:v>
                </c:pt>
                <c:pt idx="196">
                  <c:v>100.72945032467923</c:v>
                </c:pt>
                <c:pt idx="197">
                  <c:v>101.97025518439557</c:v>
                </c:pt>
                <c:pt idx="198">
                  <c:v>103.78525573887639</c:v>
                </c:pt>
                <c:pt idx="199">
                  <c:v>108.13762213980299</c:v>
                </c:pt>
                <c:pt idx="200">
                  <c:v>108.10650960483989</c:v>
                </c:pt>
                <c:pt idx="201">
                  <c:v>109.37134196680496</c:v>
                </c:pt>
                <c:pt idx="202">
                  <c:v>109.21824365119448</c:v>
                </c:pt>
                <c:pt idx="203">
                  <c:v>110.05396946658932</c:v>
                </c:pt>
                <c:pt idx="204">
                  <c:v>108.95578939586223</c:v>
                </c:pt>
                <c:pt idx="205">
                  <c:v>110.43871754746959</c:v>
                </c:pt>
                <c:pt idx="206">
                  <c:v>111.72511305247839</c:v>
                </c:pt>
                <c:pt idx="207">
                  <c:v>111.18973101519265</c:v>
                </c:pt>
                <c:pt idx="208">
                  <c:v>109.90395159998508</c:v>
                </c:pt>
                <c:pt idx="209">
                  <c:v>110.33767882006467</c:v>
                </c:pt>
                <c:pt idx="210">
                  <c:v>109.58820557684474</c:v>
                </c:pt>
                <c:pt idx="211">
                  <c:v>110.20583560259729</c:v>
                </c:pt>
                <c:pt idx="212">
                  <c:v>111.98695121800938</c:v>
                </c:pt>
                <c:pt idx="213">
                  <c:v>111.80951735524955</c:v>
                </c:pt>
                <c:pt idx="214">
                  <c:v>112.07751641879305</c:v>
                </c:pt>
                <c:pt idx="215">
                  <c:v>111.56246534494854</c:v>
                </c:pt>
                <c:pt idx="216">
                  <c:v>112.81990462929861</c:v>
                </c:pt>
                <c:pt idx="217">
                  <c:v>113.02198208410843</c:v>
                </c:pt>
                <c:pt idx="218">
                  <c:v>112.95143980186536</c:v>
                </c:pt>
                <c:pt idx="219">
                  <c:v>113.94950527988944</c:v>
                </c:pt>
                <c:pt idx="220">
                  <c:v>113.72894513104214</c:v>
                </c:pt>
                <c:pt idx="221">
                  <c:v>114.04592333378497</c:v>
                </c:pt>
                <c:pt idx="222">
                  <c:v>113.13934719124644</c:v>
                </c:pt>
                <c:pt idx="223">
                  <c:v>112.99394999815156</c:v>
                </c:pt>
                <c:pt idx="224">
                  <c:v>112.85101716426171</c:v>
                </c:pt>
                <c:pt idx="225">
                  <c:v>112.35906945796403</c:v>
                </c:pt>
                <c:pt idx="226">
                  <c:v>113.81088507460831</c:v>
                </c:pt>
                <c:pt idx="227">
                  <c:v>114.0126544845175</c:v>
                </c:pt>
                <c:pt idx="228">
                  <c:v>114.66909816774876</c:v>
                </c:pt>
                <c:pt idx="229">
                  <c:v>114.26648348263224</c:v>
                </c:pt>
                <c:pt idx="230">
                  <c:v>113.82012642162704</c:v>
                </c:pt>
                <c:pt idx="231">
                  <c:v>113.5841640277485</c:v>
                </c:pt>
                <c:pt idx="232">
                  <c:v>113.6688763754203</c:v>
                </c:pt>
                <c:pt idx="233">
                  <c:v>115.06585999975337</c:v>
                </c:pt>
                <c:pt idx="234">
                  <c:v>114.80956664243361</c:v>
                </c:pt>
                <c:pt idx="235">
                  <c:v>114.96358909274596</c:v>
                </c:pt>
                <c:pt idx="236">
                  <c:v>113.99663614968499</c:v>
                </c:pt>
                <c:pt idx="237">
                  <c:v>114.80402183422237</c:v>
                </c:pt>
                <c:pt idx="238">
                  <c:v>115.45954138275175</c:v>
                </c:pt>
                <c:pt idx="239">
                  <c:v>117.81731705213332</c:v>
                </c:pt>
                <c:pt idx="240">
                  <c:v>117.04504848626718</c:v>
                </c:pt>
                <c:pt idx="241">
                  <c:v>117.09371958056587</c:v>
                </c:pt>
                <c:pt idx="242">
                  <c:v>117.36017841960624</c:v>
                </c:pt>
                <c:pt idx="243">
                  <c:v>116.9196742117129</c:v>
                </c:pt>
                <c:pt idx="244">
                  <c:v>116.07901967790806</c:v>
                </c:pt>
                <c:pt idx="245">
                  <c:v>117.02348534322344</c:v>
                </c:pt>
                <c:pt idx="246">
                  <c:v>118.65427504713068</c:v>
                </c:pt>
                <c:pt idx="247">
                  <c:v>118.69185652500691</c:v>
                </c:pt>
                <c:pt idx="248">
                  <c:v>118.33452444028224</c:v>
                </c:pt>
                <c:pt idx="249">
                  <c:v>118.76239880724998</c:v>
                </c:pt>
                <c:pt idx="250">
                  <c:v>118.58558103429138</c:v>
                </c:pt>
                <c:pt idx="251">
                  <c:v>115.54055719161609</c:v>
                </c:pt>
                <c:pt idx="252">
                  <c:v>116.66830957280317</c:v>
                </c:pt>
                <c:pt idx="253">
                  <c:v>114.41526916963399</c:v>
                </c:pt>
                <c:pt idx="254">
                  <c:v>116.25183286715854</c:v>
                </c:pt>
                <c:pt idx="255">
                  <c:v>117.86752837093516</c:v>
                </c:pt>
                <c:pt idx="256">
                  <c:v>117.98643370257629</c:v>
                </c:pt>
                <c:pt idx="257">
                  <c:v>119.26697635447323</c:v>
                </c:pt>
                <c:pt idx="258">
                  <c:v>119.73181610951593</c:v>
                </c:pt>
                <c:pt idx="259">
                  <c:v>120.61775324371261</c:v>
                </c:pt>
                <c:pt idx="260">
                  <c:v>120.48344566704024</c:v>
                </c:pt>
                <c:pt idx="261">
                  <c:v>120.4418596054559</c:v>
                </c:pt>
                <c:pt idx="262">
                  <c:v>120.64208879086196</c:v>
                </c:pt>
                <c:pt idx="263">
                  <c:v>121.21043163251456</c:v>
                </c:pt>
                <c:pt idx="264">
                  <c:v>121.14142957477463</c:v>
                </c:pt>
                <c:pt idx="265">
                  <c:v>121.10261591729592</c:v>
                </c:pt>
                <c:pt idx="266">
                  <c:v>120.56784996981142</c:v>
                </c:pt>
                <c:pt idx="267">
                  <c:v>120.34420937195787</c:v>
                </c:pt>
                <c:pt idx="268">
                  <c:v>119.41360572717062</c:v>
                </c:pt>
                <c:pt idx="269">
                  <c:v>120.92086942592734</c:v>
                </c:pt>
                <c:pt idx="270">
                  <c:v>117.96086597582448</c:v>
                </c:pt>
                <c:pt idx="271">
                  <c:v>117.40053230158813</c:v>
                </c:pt>
                <c:pt idx="272">
                  <c:v>120.19357541555243</c:v>
                </c:pt>
                <c:pt idx="273">
                  <c:v>119.2223098438827</c:v>
                </c:pt>
                <c:pt idx="274">
                  <c:v>117.66452678142352</c:v>
                </c:pt>
                <c:pt idx="275">
                  <c:v>116.08579666572186</c:v>
                </c:pt>
                <c:pt idx="276">
                  <c:v>118.34900255061166</c:v>
                </c:pt>
                <c:pt idx="277">
                  <c:v>119.38095296770445</c:v>
                </c:pt>
                <c:pt idx="278">
                  <c:v>120.1008539004644</c:v>
                </c:pt>
                <c:pt idx="279">
                  <c:v>121.34935988269638</c:v>
                </c:pt>
                <c:pt idx="280">
                  <c:v>121.47257784294625</c:v>
                </c:pt>
                <c:pt idx="281">
                  <c:v>122.26117278854552</c:v>
                </c:pt>
                <c:pt idx="282">
                  <c:v>122.06926081545633</c:v>
                </c:pt>
                <c:pt idx="283">
                  <c:v>122.42074004706913</c:v>
                </c:pt>
                <c:pt idx="284">
                  <c:v>120.61374866000456</c:v>
                </c:pt>
                <c:pt idx="285">
                  <c:v>120.54105006345713</c:v>
                </c:pt>
                <c:pt idx="286">
                  <c:v>121.38786549527448</c:v>
                </c:pt>
                <c:pt idx="287">
                  <c:v>120.46157447909596</c:v>
                </c:pt>
                <c:pt idx="288">
                  <c:v>119.80297448156033</c:v>
                </c:pt>
                <c:pt idx="289">
                  <c:v>120.43076998903349</c:v>
                </c:pt>
                <c:pt idx="290">
                  <c:v>122.43367793289539</c:v>
                </c:pt>
                <c:pt idx="291">
                  <c:v>122.32740244217986</c:v>
                </c:pt>
                <c:pt idx="292">
                  <c:v>121.94111413679647</c:v>
                </c:pt>
                <c:pt idx="293">
                  <c:v>122.38285052429231</c:v>
                </c:pt>
                <c:pt idx="294">
                  <c:v>123.83004546742721</c:v>
                </c:pt>
                <c:pt idx="295">
                  <c:v>125.49564424510505</c:v>
                </c:pt>
                <c:pt idx="296">
                  <c:v>125.68077923038051</c:v>
                </c:pt>
                <c:pt idx="297">
                  <c:v>126.21123254925628</c:v>
                </c:pt>
                <c:pt idx="298">
                  <c:v>127.18557856993226</c:v>
                </c:pt>
                <c:pt idx="299">
                  <c:v>127.16062693298166</c:v>
                </c:pt>
                <c:pt idx="300">
                  <c:v>127.57956799783129</c:v>
                </c:pt>
                <c:pt idx="301">
                  <c:v>127.05804798107364</c:v>
                </c:pt>
                <c:pt idx="302">
                  <c:v>128.46766144633233</c:v>
                </c:pt>
                <c:pt idx="303">
                  <c:v>128.93126902177252</c:v>
                </c:pt>
                <c:pt idx="304">
                  <c:v>128.24710129748502</c:v>
                </c:pt>
                <c:pt idx="305">
                  <c:v>127.37471813891581</c:v>
                </c:pt>
                <c:pt idx="306">
                  <c:v>128.56007491651974</c:v>
                </c:pt>
                <c:pt idx="307">
                  <c:v>127.37595031851831</c:v>
                </c:pt>
                <c:pt idx="308">
                  <c:v>128.76800522444142</c:v>
                </c:pt>
                <c:pt idx="309">
                  <c:v>128.99749867540683</c:v>
                </c:pt>
                <c:pt idx="310">
                  <c:v>128.96977463435061</c:v>
                </c:pt>
                <c:pt idx="311">
                  <c:v>128.86072673952947</c:v>
                </c:pt>
                <c:pt idx="312">
                  <c:v>129.73218576339679</c:v>
                </c:pt>
                <c:pt idx="313">
                  <c:v>128.7988097145039</c:v>
                </c:pt>
                <c:pt idx="314">
                  <c:v>128.29022758357249</c:v>
                </c:pt>
                <c:pt idx="315">
                  <c:v>128.38048473945554</c:v>
                </c:pt>
                <c:pt idx="316">
                  <c:v>129.42876153628143</c:v>
                </c:pt>
                <c:pt idx="317">
                  <c:v>130.38308463841682</c:v>
                </c:pt>
                <c:pt idx="318">
                  <c:v>129.02245031235745</c:v>
                </c:pt>
                <c:pt idx="319">
                  <c:v>127.90332318838786</c:v>
                </c:pt>
                <c:pt idx="320">
                  <c:v>125.15987530342413</c:v>
                </c:pt>
                <c:pt idx="321">
                  <c:v>126.68346538191398</c:v>
                </c:pt>
                <c:pt idx="322">
                  <c:v>128.57332084724663</c:v>
                </c:pt>
                <c:pt idx="323">
                  <c:v>128.24802543218692</c:v>
                </c:pt>
                <c:pt idx="324">
                  <c:v>127.15569821457169</c:v>
                </c:pt>
                <c:pt idx="325">
                  <c:v>126.78142366031267</c:v>
                </c:pt>
                <c:pt idx="326">
                  <c:v>128.11957070862641</c:v>
                </c:pt>
                <c:pt idx="327">
                  <c:v>128.01914807102276</c:v>
                </c:pt>
                <c:pt idx="328">
                  <c:v>129.01320896533872</c:v>
                </c:pt>
                <c:pt idx="329">
                  <c:v>129.25533225722972</c:v>
                </c:pt>
                <c:pt idx="330">
                  <c:v>129.40596621363522</c:v>
                </c:pt>
                <c:pt idx="331">
                  <c:v>129.50546471653701</c:v>
                </c:pt>
                <c:pt idx="332">
                  <c:v>129.44169942210769</c:v>
                </c:pt>
                <c:pt idx="333">
                  <c:v>129.6289907216875</c:v>
                </c:pt>
                <c:pt idx="334">
                  <c:v>129.15860615843357</c:v>
                </c:pt>
                <c:pt idx="335">
                  <c:v>130.29960447034753</c:v>
                </c:pt>
                <c:pt idx="336">
                  <c:v>130.19579333883701</c:v>
                </c:pt>
                <c:pt idx="337">
                  <c:v>130.21858866148324</c:v>
                </c:pt>
                <c:pt idx="338">
                  <c:v>129.98108604310158</c:v>
                </c:pt>
                <c:pt idx="339">
                  <c:v>130.58577818302791</c:v>
                </c:pt>
                <c:pt idx="340">
                  <c:v>130.84022327094391</c:v>
                </c:pt>
                <c:pt idx="341">
                  <c:v>131.07772588932556</c:v>
                </c:pt>
                <c:pt idx="342">
                  <c:v>130.81403945439084</c:v>
                </c:pt>
                <c:pt idx="343">
                  <c:v>130.10892467686085</c:v>
                </c:pt>
                <c:pt idx="344">
                  <c:v>130.05224441514591</c:v>
                </c:pt>
                <c:pt idx="345">
                  <c:v>128.34536762078437</c:v>
                </c:pt>
                <c:pt idx="346">
                  <c:v>130.14250157102896</c:v>
                </c:pt>
                <c:pt idx="347">
                  <c:v>130.80941878088146</c:v>
                </c:pt>
                <c:pt idx="348">
                  <c:v>130.66771812659411</c:v>
                </c:pt>
                <c:pt idx="349">
                  <c:v>131.42704880663402</c:v>
                </c:pt>
                <c:pt idx="350">
                  <c:v>131.86478061042175</c:v>
                </c:pt>
                <c:pt idx="351">
                  <c:v>132.17005310694083</c:v>
                </c:pt>
                <c:pt idx="352">
                  <c:v>132.2067104501152</c:v>
                </c:pt>
                <c:pt idx="353">
                  <c:v>132.38229604347126</c:v>
                </c:pt>
                <c:pt idx="354">
                  <c:v>133.07354880047311</c:v>
                </c:pt>
                <c:pt idx="355">
                  <c:v>134.07161427849721</c:v>
                </c:pt>
                <c:pt idx="356">
                  <c:v>133.80053476594748</c:v>
                </c:pt>
                <c:pt idx="357">
                  <c:v>134.24997227595892</c:v>
                </c:pt>
                <c:pt idx="358">
                  <c:v>133.10065675172808</c:v>
                </c:pt>
                <c:pt idx="359">
                  <c:v>134.60175955247234</c:v>
                </c:pt>
                <c:pt idx="360">
                  <c:v>135.06629126261441</c:v>
                </c:pt>
                <c:pt idx="361">
                  <c:v>134.5912860258511</c:v>
                </c:pt>
                <c:pt idx="362">
                  <c:v>134.74808088026907</c:v>
                </c:pt>
                <c:pt idx="363">
                  <c:v>134.30850080707759</c:v>
                </c:pt>
                <c:pt idx="364">
                  <c:v>133.29595721872417</c:v>
                </c:pt>
                <c:pt idx="365">
                  <c:v>131.18492551474301</c:v>
                </c:pt>
                <c:pt idx="366">
                  <c:v>133.17427948297743</c:v>
                </c:pt>
                <c:pt idx="367">
                  <c:v>134.2672227903939</c:v>
                </c:pt>
                <c:pt idx="368">
                  <c:v>134.53799425804303</c:v>
                </c:pt>
                <c:pt idx="369">
                  <c:v>135.90324925761178</c:v>
                </c:pt>
                <c:pt idx="370">
                  <c:v>136.22454008896332</c:v>
                </c:pt>
                <c:pt idx="371">
                  <c:v>135.58473083036583</c:v>
                </c:pt>
                <c:pt idx="372">
                  <c:v>135.55977919341524</c:v>
                </c:pt>
                <c:pt idx="373">
                  <c:v>136.12966225957095</c:v>
                </c:pt>
                <c:pt idx="374">
                  <c:v>135.39374299197854</c:v>
                </c:pt>
                <c:pt idx="375">
                  <c:v>135.14268639796938</c:v>
                </c:pt>
                <c:pt idx="376">
                  <c:v>136.25288021982087</c:v>
                </c:pt>
                <c:pt idx="377">
                  <c:v>135.6223123082421</c:v>
                </c:pt>
                <c:pt idx="378">
                  <c:v>136.4361669356926</c:v>
                </c:pt>
                <c:pt idx="379">
                  <c:v>136.66473625195616</c:v>
                </c:pt>
                <c:pt idx="380">
                  <c:v>136.53628152839565</c:v>
                </c:pt>
                <c:pt idx="381">
                  <c:v>136.6718212846705</c:v>
                </c:pt>
                <c:pt idx="382">
                  <c:v>137.00913045085457</c:v>
                </c:pt>
                <c:pt idx="383">
                  <c:v>137.41390145027546</c:v>
                </c:pt>
                <c:pt idx="384">
                  <c:v>137.63446159912274</c:v>
                </c:pt>
                <c:pt idx="385">
                  <c:v>137.99364195325114</c:v>
                </c:pt>
                <c:pt idx="386">
                  <c:v>137.02083615707829</c:v>
                </c:pt>
                <c:pt idx="387">
                  <c:v>135.54807348719154</c:v>
                </c:pt>
                <c:pt idx="388">
                  <c:v>135.71842231723701</c:v>
                </c:pt>
                <c:pt idx="389">
                  <c:v>136.82337937577785</c:v>
                </c:pt>
                <c:pt idx="390">
                  <c:v>137.98994541444364</c:v>
                </c:pt>
                <c:pt idx="391">
                  <c:v>138.19602745296154</c:v>
                </c:pt>
                <c:pt idx="392">
                  <c:v>138.50284017398377</c:v>
                </c:pt>
                <c:pt idx="393">
                  <c:v>137.69329817514202</c:v>
                </c:pt>
                <c:pt idx="394">
                  <c:v>138.90884335300714</c:v>
                </c:pt>
                <c:pt idx="395">
                  <c:v>139.50706655002034</c:v>
                </c:pt>
                <c:pt idx="396">
                  <c:v>139.31885111573865</c:v>
                </c:pt>
                <c:pt idx="397">
                  <c:v>139.36228544672673</c:v>
                </c:pt>
                <c:pt idx="398">
                  <c:v>139.7584311889301</c:v>
                </c:pt>
                <c:pt idx="399">
                  <c:v>139.71160836403516</c:v>
                </c:pt>
                <c:pt idx="400">
                  <c:v>139.23721921707309</c:v>
                </c:pt>
                <c:pt idx="401">
                  <c:v>139.05362445630075</c:v>
                </c:pt>
                <c:pt idx="402">
                  <c:v>138.41319910790196</c:v>
                </c:pt>
                <c:pt idx="403">
                  <c:v>137.34428330273423</c:v>
                </c:pt>
                <c:pt idx="404">
                  <c:v>137.65694887686831</c:v>
                </c:pt>
                <c:pt idx="405">
                  <c:v>136.86588957206405</c:v>
                </c:pt>
                <c:pt idx="406">
                  <c:v>138.0256786229161</c:v>
                </c:pt>
                <c:pt idx="407">
                  <c:v>137.81189546188256</c:v>
                </c:pt>
                <c:pt idx="408">
                  <c:v>136.55599640203559</c:v>
                </c:pt>
                <c:pt idx="409">
                  <c:v>134.23765047993399</c:v>
                </c:pt>
                <c:pt idx="410">
                  <c:v>134.12829454021224</c:v>
                </c:pt>
                <c:pt idx="411">
                  <c:v>135.40544869820229</c:v>
                </c:pt>
                <c:pt idx="412">
                  <c:v>137.04856019813448</c:v>
                </c:pt>
                <c:pt idx="413">
                  <c:v>137.24878938354055</c:v>
                </c:pt>
                <c:pt idx="414">
                  <c:v>136.86773784146777</c:v>
                </c:pt>
                <c:pt idx="415">
                  <c:v>134.08054758061539</c:v>
                </c:pt>
                <c:pt idx="416">
                  <c:v>134.29094224774207</c:v>
                </c:pt>
                <c:pt idx="417">
                  <c:v>132.69157312369856</c:v>
                </c:pt>
                <c:pt idx="418">
                  <c:v>134.21670342669154</c:v>
                </c:pt>
                <c:pt idx="419">
                  <c:v>132.47347733405627</c:v>
                </c:pt>
                <c:pt idx="420">
                  <c:v>133.86768855428375</c:v>
                </c:pt>
                <c:pt idx="421">
                  <c:v>134.41693261209761</c:v>
                </c:pt>
                <c:pt idx="422">
                  <c:v>135.53236319725971</c:v>
                </c:pt>
                <c:pt idx="423">
                  <c:v>135.27360548073494</c:v>
                </c:pt>
                <c:pt idx="424">
                  <c:v>134.3442340155502</c:v>
                </c:pt>
                <c:pt idx="425">
                  <c:v>134.01924664539115</c:v>
                </c:pt>
                <c:pt idx="426">
                  <c:v>134.42463373461325</c:v>
                </c:pt>
                <c:pt idx="427">
                  <c:v>136.71741192996299</c:v>
                </c:pt>
                <c:pt idx="428">
                  <c:v>137.73827273063333</c:v>
                </c:pt>
                <c:pt idx="429">
                  <c:v>138.20372857547727</c:v>
                </c:pt>
                <c:pt idx="430">
                  <c:v>139.22489742104821</c:v>
                </c:pt>
                <c:pt idx="431">
                  <c:v>139.73501977648272</c:v>
                </c:pt>
                <c:pt idx="432">
                  <c:v>140.15365279643171</c:v>
                </c:pt>
                <c:pt idx="433">
                  <c:v>140.00332688492685</c:v>
                </c:pt>
                <c:pt idx="434">
                  <c:v>140.66808778047499</c:v>
                </c:pt>
                <c:pt idx="435">
                  <c:v>140.92407309289413</c:v>
                </c:pt>
                <c:pt idx="436">
                  <c:v>140.21218132755044</c:v>
                </c:pt>
                <c:pt idx="437">
                  <c:v>141.59037421294539</c:v>
                </c:pt>
                <c:pt idx="438">
                  <c:v>141.86638244390514</c:v>
                </c:pt>
                <c:pt idx="439">
                  <c:v>142.12175166652304</c:v>
                </c:pt>
                <c:pt idx="440">
                  <c:v>142.64481190778378</c:v>
                </c:pt>
                <c:pt idx="441">
                  <c:v>143.56648225045294</c:v>
                </c:pt>
                <c:pt idx="442">
                  <c:v>144.70501620316188</c:v>
                </c:pt>
                <c:pt idx="443">
                  <c:v>144.83347092672238</c:v>
                </c:pt>
                <c:pt idx="444">
                  <c:v>144.32673706519475</c:v>
                </c:pt>
                <c:pt idx="445">
                  <c:v>143.13953201818708</c:v>
                </c:pt>
                <c:pt idx="446">
                  <c:v>143.21839151274702</c:v>
                </c:pt>
                <c:pt idx="447">
                  <c:v>144.2528062890448</c:v>
                </c:pt>
                <c:pt idx="448">
                  <c:v>144.25157410944229</c:v>
                </c:pt>
                <c:pt idx="449">
                  <c:v>144.80882733467237</c:v>
                </c:pt>
                <c:pt idx="450">
                  <c:v>144.43208842120836</c:v>
                </c:pt>
                <c:pt idx="451">
                  <c:v>144.98564510763097</c:v>
                </c:pt>
                <c:pt idx="452">
                  <c:v>144.71826213388871</c:v>
                </c:pt>
                <c:pt idx="453">
                  <c:v>144.255886738051</c:v>
                </c:pt>
                <c:pt idx="454">
                  <c:v>144.49462153603514</c:v>
                </c:pt>
                <c:pt idx="455">
                  <c:v>144.82607784910735</c:v>
                </c:pt>
                <c:pt idx="456">
                  <c:v>141.53492613083287</c:v>
                </c:pt>
                <c:pt idx="457">
                  <c:v>143.40321845312178</c:v>
                </c:pt>
                <c:pt idx="458">
                  <c:v>140.6841061153074</c:v>
                </c:pt>
                <c:pt idx="459">
                  <c:v>139.02189583153645</c:v>
                </c:pt>
                <c:pt idx="460">
                  <c:v>140.9952314649384</c:v>
                </c:pt>
                <c:pt idx="461">
                  <c:v>139.80402183422262</c:v>
                </c:pt>
                <c:pt idx="462">
                  <c:v>141.44405288514861</c:v>
                </c:pt>
                <c:pt idx="463">
                  <c:v>144.3729438002884</c:v>
                </c:pt>
                <c:pt idx="464">
                  <c:v>144.81837672659174</c:v>
                </c:pt>
                <c:pt idx="465">
                  <c:v>143.7784171420827</c:v>
                </c:pt>
                <c:pt idx="466">
                  <c:v>145.15137326416706</c:v>
                </c:pt>
                <c:pt idx="467">
                  <c:v>143.83078477518887</c:v>
                </c:pt>
                <c:pt idx="468">
                  <c:v>142.75077935359866</c:v>
                </c:pt>
                <c:pt idx="469">
                  <c:v>145.08421947583088</c:v>
                </c:pt>
                <c:pt idx="470">
                  <c:v>143.81599861995892</c:v>
                </c:pt>
                <c:pt idx="471">
                  <c:v>142.3364589622584</c:v>
                </c:pt>
                <c:pt idx="472">
                  <c:v>140.71552669517115</c:v>
                </c:pt>
                <c:pt idx="473">
                  <c:v>143.21715933314445</c:v>
                </c:pt>
                <c:pt idx="474">
                  <c:v>144.67513584780127</c:v>
                </c:pt>
                <c:pt idx="475">
                  <c:v>145.57524304742665</c:v>
                </c:pt>
                <c:pt idx="476">
                  <c:v>147.59016474241292</c:v>
                </c:pt>
                <c:pt idx="477">
                  <c:v>147.4413790554112</c:v>
                </c:pt>
                <c:pt idx="478">
                  <c:v>147.6477691388298</c:v>
                </c:pt>
                <c:pt idx="479">
                  <c:v>147.20634079623454</c:v>
                </c:pt>
                <c:pt idx="480">
                  <c:v>147.75558485404844</c:v>
                </c:pt>
                <c:pt idx="481">
                  <c:v>147.66255529405976</c:v>
                </c:pt>
                <c:pt idx="482">
                  <c:v>144.7989698978524</c:v>
                </c:pt>
                <c:pt idx="483">
                  <c:v>144.65942555786941</c:v>
                </c:pt>
                <c:pt idx="484">
                  <c:v>144.07321611198057</c:v>
                </c:pt>
                <c:pt idx="485">
                  <c:v>143.86590189386013</c:v>
                </c:pt>
                <c:pt idx="486">
                  <c:v>145.18371797873266</c:v>
                </c:pt>
                <c:pt idx="487">
                  <c:v>145.59280160676229</c:v>
                </c:pt>
                <c:pt idx="488">
                  <c:v>143.51873529085609</c:v>
                </c:pt>
                <c:pt idx="489">
                  <c:v>143.63671648779535</c:v>
                </c:pt>
                <c:pt idx="490">
                  <c:v>141.00262454255341</c:v>
                </c:pt>
                <c:pt idx="491">
                  <c:v>139.62936037556841</c:v>
                </c:pt>
                <c:pt idx="492">
                  <c:v>138.08821173774294</c:v>
                </c:pt>
                <c:pt idx="493">
                  <c:v>135.47599098044537</c:v>
                </c:pt>
                <c:pt idx="494">
                  <c:v>135.85180575920751</c:v>
                </c:pt>
                <c:pt idx="495">
                  <c:v>134.19822073265402</c:v>
                </c:pt>
                <c:pt idx="496">
                  <c:v>133.99737545744674</c:v>
                </c:pt>
                <c:pt idx="497">
                  <c:v>133.27562625528302</c:v>
                </c:pt>
                <c:pt idx="498">
                  <c:v>136.52087928336439</c:v>
                </c:pt>
                <c:pt idx="499">
                  <c:v>139.09921510159324</c:v>
                </c:pt>
                <c:pt idx="500">
                  <c:v>140.05384624862921</c:v>
                </c:pt>
                <c:pt idx="501">
                  <c:v>141.37166233350175</c:v>
                </c:pt>
                <c:pt idx="502">
                  <c:v>137.92525598531242</c:v>
                </c:pt>
                <c:pt idx="503">
                  <c:v>138.63683970575551</c:v>
                </c:pt>
                <c:pt idx="504">
                  <c:v>138.1233288564141</c:v>
                </c:pt>
                <c:pt idx="505">
                  <c:v>139.2837339970674</c:v>
                </c:pt>
                <c:pt idx="506">
                  <c:v>141.30574072476804</c:v>
                </c:pt>
                <c:pt idx="507">
                  <c:v>138.74527151077541</c:v>
                </c:pt>
                <c:pt idx="508">
                  <c:v>136.11395196963909</c:v>
                </c:pt>
                <c:pt idx="509">
                  <c:v>135.59119977327893</c:v>
                </c:pt>
                <c:pt idx="510">
                  <c:v>137.72903138361445</c:v>
                </c:pt>
                <c:pt idx="511">
                  <c:v>137.85040107446062</c:v>
                </c:pt>
                <c:pt idx="512">
                  <c:v>134.93167564104147</c:v>
                </c:pt>
                <c:pt idx="513">
                  <c:v>133.96472269798048</c:v>
                </c:pt>
                <c:pt idx="514">
                  <c:v>132.60532055152362</c:v>
                </c:pt>
                <c:pt idx="515">
                  <c:v>139.24122380078123</c:v>
                </c:pt>
                <c:pt idx="516">
                  <c:v>139.94603053341058</c:v>
                </c:pt>
                <c:pt idx="517">
                  <c:v>140.94656037063967</c:v>
                </c:pt>
                <c:pt idx="518">
                  <c:v>142.67407617334305</c:v>
                </c:pt>
                <c:pt idx="519">
                  <c:v>141.776125288022</c:v>
                </c:pt>
                <c:pt idx="520">
                  <c:v>139.55696982392158</c:v>
                </c:pt>
                <c:pt idx="521">
                  <c:v>140.03289919538676</c:v>
                </c:pt>
                <c:pt idx="522">
                  <c:v>141.1658883398845</c:v>
                </c:pt>
                <c:pt idx="523">
                  <c:v>139.39401407149114</c:v>
                </c:pt>
                <c:pt idx="524">
                  <c:v>138.03954064344427</c:v>
                </c:pt>
                <c:pt idx="525">
                  <c:v>138.62667422403499</c:v>
                </c:pt>
                <c:pt idx="526">
                  <c:v>138.25917665758971</c:v>
                </c:pt>
                <c:pt idx="527">
                  <c:v>135.92573653535749</c:v>
                </c:pt>
                <c:pt idx="528">
                  <c:v>135.46120482521542</c:v>
                </c:pt>
                <c:pt idx="529">
                  <c:v>136.97493746688528</c:v>
                </c:pt>
                <c:pt idx="530">
                  <c:v>135.31149500351182</c:v>
                </c:pt>
                <c:pt idx="531">
                  <c:v>137.45610360166108</c:v>
                </c:pt>
                <c:pt idx="532">
                  <c:v>137.37108320908865</c:v>
                </c:pt>
                <c:pt idx="533">
                  <c:v>135.34445580787866</c:v>
                </c:pt>
                <c:pt idx="534">
                  <c:v>131.59000455906462</c:v>
                </c:pt>
                <c:pt idx="535">
                  <c:v>132.3397858471852</c:v>
                </c:pt>
                <c:pt idx="536">
                  <c:v>128.61490690883113</c:v>
                </c:pt>
                <c:pt idx="537">
                  <c:v>128.88475424177838</c:v>
                </c:pt>
                <c:pt idx="538">
                  <c:v>132.07425114284669</c:v>
                </c:pt>
                <c:pt idx="539">
                  <c:v>127.28199662382801</c:v>
                </c:pt>
                <c:pt idx="540">
                  <c:v>132.4645440319382</c:v>
                </c:pt>
                <c:pt idx="541">
                  <c:v>127.91194844560553</c:v>
                </c:pt>
                <c:pt idx="542">
                  <c:v>127.01738605419136</c:v>
                </c:pt>
                <c:pt idx="543">
                  <c:v>121.2212132040367</c:v>
                </c:pt>
                <c:pt idx="544">
                  <c:v>121.0641103047181</c:v>
                </c:pt>
                <c:pt idx="545">
                  <c:v>123.95387951747854</c:v>
                </c:pt>
                <c:pt idx="546">
                  <c:v>123.4647042152865</c:v>
                </c:pt>
                <c:pt idx="547">
                  <c:v>125.9549391919367</c:v>
                </c:pt>
                <c:pt idx="548">
                  <c:v>120.86696156831829</c:v>
                </c:pt>
                <c:pt idx="549">
                  <c:v>120.16184679078832</c:v>
                </c:pt>
                <c:pt idx="550">
                  <c:v>120.17940535012393</c:v>
                </c:pt>
                <c:pt idx="551">
                  <c:v>122.40934238574624</c:v>
                </c:pt>
                <c:pt idx="552">
                  <c:v>121.41528149143029</c:v>
                </c:pt>
                <c:pt idx="553">
                  <c:v>122.56274874625736</c:v>
                </c:pt>
                <c:pt idx="554">
                  <c:v>124.99969195509948</c:v>
                </c:pt>
                <c:pt idx="555">
                  <c:v>128.09246275737161</c:v>
                </c:pt>
                <c:pt idx="556">
                  <c:v>127.28877361164172</c:v>
                </c:pt>
                <c:pt idx="557">
                  <c:v>126.33629877891009</c:v>
                </c:pt>
                <c:pt idx="558">
                  <c:v>128.66481018273231</c:v>
                </c:pt>
                <c:pt idx="559">
                  <c:v>126.56147960126678</c:v>
                </c:pt>
                <c:pt idx="560">
                  <c:v>126.95854947817206</c:v>
                </c:pt>
                <c:pt idx="561">
                  <c:v>128.16762571312407</c:v>
                </c:pt>
                <c:pt idx="562">
                  <c:v>126.78419606441848</c:v>
                </c:pt>
                <c:pt idx="563">
                  <c:v>123.76689626279938</c:v>
                </c:pt>
                <c:pt idx="564">
                  <c:v>120.1640031050927</c:v>
                </c:pt>
                <c:pt idx="565">
                  <c:v>115.50544007294513</c:v>
                </c:pt>
                <c:pt idx="566">
                  <c:v>115.06955653856116</c:v>
                </c:pt>
                <c:pt idx="567">
                  <c:v>116.74870929186648</c:v>
                </c:pt>
                <c:pt idx="568">
                  <c:v>112.95298002636873</c:v>
                </c:pt>
                <c:pt idx="569">
                  <c:v>113.20157226117288</c:v>
                </c:pt>
                <c:pt idx="570">
                  <c:v>115.9724361422922</c:v>
                </c:pt>
                <c:pt idx="571">
                  <c:v>115.82149414098608</c:v>
                </c:pt>
                <c:pt idx="572">
                  <c:v>116.92552706482506</c:v>
                </c:pt>
                <c:pt idx="573">
                  <c:v>120.49915595697237</c:v>
                </c:pt>
                <c:pt idx="574">
                  <c:v>120.14089973754585</c:v>
                </c:pt>
                <c:pt idx="575">
                  <c:v>117.72089899823808</c:v>
                </c:pt>
                <c:pt idx="576">
                  <c:v>117.63711078526816</c:v>
                </c:pt>
                <c:pt idx="577">
                  <c:v>116.60670059267849</c:v>
                </c:pt>
                <c:pt idx="578">
                  <c:v>117.83733997067422</c:v>
                </c:pt>
                <c:pt idx="579">
                  <c:v>118.02401518045279</c:v>
                </c:pt>
                <c:pt idx="580">
                  <c:v>118.44572864940804</c:v>
                </c:pt>
                <c:pt idx="581">
                  <c:v>120.21821900760264</c:v>
                </c:pt>
                <c:pt idx="582">
                  <c:v>120.11841245980024</c:v>
                </c:pt>
                <c:pt idx="583">
                  <c:v>118.73375063149214</c:v>
                </c:pt>
                <c:pt idx="584">
                  <c:v>117.63618665056629</c:v>
                </c:pt>
                <c:pt idx="585">
                  <c:v>117.11189422970303</c:v>
                </c:pt>
                <c:pt idx="586">
                  <c:v>116.76072304299085</c:v>
                </c:pt>
                <c:pt idx="587">
                  <c:v>119.00267382973752</c:v>
                </c:pt>
                <c:pt idx="588">
                  <c:v>118.00738075581906</c:v>
                </c:pt>
                <c:pt idx="589">
                  <c:v>121.26772798403105</c:v>
                </c:pt>
                <c:pt idx="590">
                  <c:v>121.98270019838102</c:v>
                </c:pt>
                <c:pt idx="591">
                  <c:v>123.18561553532054</c:v>
                </c:pt>
                <c:pt idx="592">
                  <c:v>122.0359919661891</c:v>
                </c:pt>
                <c:pt idx="593">
                  <c:v>122.19648335941459</c:v>
                </c:pt>
                <c:pt idx="594">
                  <c:v>120.78594575945402</c:v>
                </c:pt>
                <c:pt idx="595">
                  <c:v>123.94525426026109</c:v>
                </c:pt>
                <c:pt idx="596">
                  <c:v>125.44912946511096</c:v>
                </c:pt>
                <c:pt idx="597">
                  <c:v>127.23147726012556</c:v>
                </c:pt>
                <c:pt idx="598">
                  <c:v>126.87229690599715</c:v>
                </c:pt>
                <c:pt idx="599">
                  <c:v>126.02702169868292</c:v>
                </c:pt>
                <c:pt idx="600">
                  <c:v>127.99789297287984</c:v>
                </c:pt>
                <c:pt idx="601">
                  <c:v>127.89839446997803</c:v>
                </c:pt>
                <c:pt idx="602">
                  <c:v>127.69046416205636</c:v>
                </c:pt>
                <c:pt idx="603">
                  <c:v>127.53243712803589</c:v>
                </c:pt>
                <c:pt idx="604">
                  <c:v>126.99058614783701</c:v>
                </c:pt>
                <c:pt idx="605">
                  <c:v>129.6942962406201</c:v>
                </c:pt>
                <c:pt idx="606">
                  <c:v>129.6028069051346</c:v>
                </c:pt>
                <c:pt idx="607">
                  <c:v>131.84783814088752</c:v>
                </c:pt>
                <c:pt idx="608">
                  <c:v>132.37120642704892</c:v>
                </c:pt>
                <c:pt idx="609">
                  <c:v>132.61949061695242</c:v>
                </c:pt>
                <c:pt idx="610">
                  <c:v>131.6596227066058</c:v>
                </c:pt>
                <c:pt idx="611">
                  <c:v>131.95842626021178</c:v>
                </c:pt>
                <c:pt idx="612">
                  <c:v>130.2561701393596</c:v>
                </c:pt>
                <c:pt idx="613">
                  <c:v>127.46867183360656</c:v>
                </c:pt>
                <c:pt idx="614">
                  <c:v>127.18342225562807</c:v>
                </c:pt>
                <c:pt idx="615">
                  <c:v>127.55430831598025</c:v>
                </c:pt>
                <c:pt idx="616">
                  <c:v>129.35175031112544</c:v>
                </c:pt>
                <c:pt idx="617">
                  <c:v>124.99414714688822</c:v>
                </c:pt>
                <c:pt idx="618">
                  <c:v>124.16088569069838</c:v>
                </c:pt>
                <c:pt idx="619">
                  <c:v>122.79162610742151</c:v>
                </c:pt>
                <c:pt idx="620">
                  <c:v>121.83175819707489</c:v>
                </c:pt>
                <c:pt idx="621">
                  <c:v>122.19679140431518</c:v>
                </c:pt>
                <c:pt idx="622">
                  <c:v>120.88482817255452</c:v>
                </c:pt>
                <c:pt idx="623">
                  <c:v>120.38980001725059</c:v>
                </c:pt>
                <c:pt idx="624">
                  <c:v>122.59786586492855</c:v>
                </c:pt>
                <c:pt idx="625">
                  <c:v>123.40833199847216</c:v>
                </c:pt>
                <c:pt idx="626">
                  <c:v>125.29295070049419</c:v>
                </c:pt>
                <c:pt idx="627">
                  <c:v>126.61908399768357</c:v>
                </c:pt>
                <c:pt idx="628">
                  <c:v>121.14451002378115</c:v>
                </c:pt>
                <c:pt idx="629">
                  <c:v>121.55482583141328</c:v>
                </c:pt>
                <c:pt idx="630">
                  <c:v>120.17909730522329</c:v>
                </c:pt>
                <c:pt idx="631">
                  <c:v>119.31595549367285</c:v>
                </c:pt>
                <c:pt idx="632">
                  <c:v>120.13412274973209</c:v>
                </c:pt>
                <c:pt idx="633">
                  <c:v>118.77995736658583</c:v>
                </c:pt>
                <c:pt idx="634">
                  <c:v>116.74686102246271</c:v>
                </c:pt>
                <c:pt idx="635">
                  <c:v>115.76296560986738</c:v>
                </c:pt>
                <c:pt idx="636">
                  <c:v>113.76806683342174</c:v>
                </c:pt>
                <c:pt idx="637">
                  <c:v>112.59164335793595</c:v>
                </c:pt>
              </c:numCache>
            </c:numRef>
          </c:val>
          <c:smooth val="0"/>
          <c:extLst>
            <c:ext xmlns:c16="http://schemas.microsoft.com/office/drawing/2014/chart" uri="{C3380CC4-5D6E-409C-BE32-E72D297353CC}">
              <c16:uniqueId val="{00000000-6081-4704-A359-D34AB5B0377E}"/>
            </c:ext>
          </c:extLst>
        </c:ser>
        <c:ser>
          <c:idx val="2"/>
          <c:order val="1"/>
          <c:tx>
            <c:strRef>
              <c:f>Sheet1!$D$1</c:f>
              <c:strCache>
                <c:ptCount val="1"/>
                <c:pt idx="0">
                  <c:v>DAX (Գերմանիա)</c:v>
                </c:pt>
              </c:strCache>
            </c:strRef>
          </c:tx>
          <c:spPr>
            <a:ln w="28575" cap="rnd">
              <a:solidFill>
                <a:srgbClr val="C00000"/>
              </a:solidFill>
              <a:round/>
            </a:ln>
            <a:effectLst/>
          </c:spPr>
          <c:marker>
            <c:symbol val="none"/>
          </c:marker>
          <c:cat>
            <c:numRef>
              <c:f>Sheet1!$A$2:$A$639</c:f>
              <c:numCache>
                <c:formatCode>d\-mmm\-yy</c:formatCode>
                <c:ptCount val="638"/>
                <c:pt idx="0">
                  <c:v>43836</c:v>
                </c:pt>
                <c:pt idx="1">
                  <c:v>43838</c:v>
                </c:pt>
                <c:pt idx="2">
                  <c:v>43839</c:v>
                </c:pt>
                <c:pt idx="3">
                  <c:v>43840</c:v>
                </c:pt>
                <c:pt idx="4">
                  <c:v>43843</c:v>
                </c:pt>
                <c:pt idx="5">
                  <c:v>43844</c:v>
                </c:pt>
                <c:pt idx="6">
                  <c:v>43845</c:v>
                </c:pt>
                <c:pt idx="7">
                  <c:v>43846</c:v>
                </c:pt>
                <c:pt idx="8">
                  <c:v>43847</c:v>
                </c:pt>
                <c:pt idx="9">
                  <c:v>43851</c:v>
                </c:pt>
                <c:pt idx="10">
                  <c:v>43852</c:v>
                </c:pt>
                <c:pt idx="11">
                  <c:v>43853</c:v>
                </c:pt>
                <c:pt idx="12">
                  <c:v>43854</c:v>
                </c:pt>
                <c:pt idx="13">
                  <c:v>43857</c:v>
                </c:pt>
                <c:pt idx="14">
                  <c:v>43858</c:v>
                </c:pt>
                <c:pt idx="15">
                  <c:v>43859</c:v>
                </c:pt>
                <c:pt idx="16">
                  <c:v>43860</c:v>
                </c:pt>
                <c:pt idx="17">
                  <c:v>43861</c:v>
                </c:pt>
                <c:pt idx="18">
                  <c:v>43864</c:v>
                </c:pt>
                <c:pt idx="19">
                  <c:v>43865</c:v>
                </c:pt>
                <c:pt idx="20">
                  <c:v>43866</c:v>
                </c:pt>
                <c:pt idx="21">
                  <c:v>43867</c:v>
                </c:pt>
                <c:pt idx="22">
                  <c:v>43868</c:v>
                </c:pt>
                <c:pt idx="23">
                  <c:v>43871</c:v>
                </c:pt>
                <c:pt idx="24">
                  <c:v>43872</c:v>
                </c:pt>
                <c:pt idx="25">
                  <c:v>43873</c:v>
                </c:pt>
                <c:pt idx="26">
                  <c:v>43874</c:v>
                </c:pt>
                <c:pt idx="27">
                  <c:v>43875</c:v>
                </c:pt>
                <c:pt idx="28">
                  <c:v>43879</c:v>
                </c:pt>
                <c:pt idx="29">
                  <c:v>43880</c:v>
                </c:pt>
                <c:pt idx="30">
                  <c:v>43882</c:v>
                </c:pt>
                <c:pt idx="31">
                  <c:v>43886</c:v>
                </c:pt>
                <c:pt idx="32">
                  <c:v>43887</c:v>
                </c:pt>
                <c:pt idx="33">
                  <c:v>43888</c:v>
                </c:pt>
                <c:pt idx="34">
                  <c:v>43892</c:v>
                </c:pt>
                <c:pt idx="35">
                  <c:v>43893</c:v>
                </c:pt>
                <c:pt idx="36">
                  <c:v>43894</c:v>
                </c:pt>
                <c:pt idx="37">
                  <c:v>43895</c:v>
                </c:pt>
                <c:pt idx="38">
                  <c:v>43896</c:v>
                </c:pt>
                <c:pt idx="39">
                  <c:v>43900</c:v>
                </c:pt>
                <c:pt idx="40">
                  <c:v>43901</c:v>
                </c:pt>
                <c:pt idx="41">
                  <c:v>43902</c:v>
                </c:pt>
                <c:pt idx="42">
                  <c:v>43903</c:v>
                </c:pt>
                <c:pt idx="43">
                  <c:v>43906</c:v>
                </c:pt>
                <c:pt idx="44">
                  <c:v>43907</c:v>
                </c:pt>
                <c:pt idx="45">
                  <c:v>43908</c:v>
                </c:pt>
                <c:pt idx="46">
                  <c:v>43909</c:v>
                </c:pt>
                <c:pt idx="47">
                  <c:v>43910</c:v>
                </c:pt>
                <c:pt idx="48">
                  <c:v>43913</c:v>
                </c:pt>
                <c:pt idx="49">
                  <c:v>43914</c:v>
                </c:pt>
                <c:pt idx="50">
                  <c:v>43915</c:v>
                </c:pt>
                <c:pt idx="51">
                  <c:v>43916</c:v>
                </c:pt>
                <c:pt idx="52">
                  <c:v>43917</c:v>
                </c:pt>
                <c:pt idx="53">
                  <c:v>43920</c:v>
                </c:pt>
                <c:pt idx="54">
                  <c:v>43921</c:v>
                </c:pt>
                <c:pt idx="55">
                  <c:v>43922</c:v>
                </c:pt>
                <c:pt idx="56">
                  <c:v>43923</c:v>
                </c:pt>
                <c:pt idx="57">
                  <c:v>43924</c:v>
                </c:pt>
                <c:pt idx="58">
                  <c:v>43927</c:v>
                </c:pt>
                <c:pt idx="59">
                  <c:v>43928</c:v>
                </c:pt>
                <c:pt idx="60">
                  <c:v>43929</c:v>
                </c:pt>
                <c:pt idx="61">
                  <c:v>43930</c:v>
                </c:pt>
                <c:pt idx="62">
                  <c:v>43935</c:v>
                </c:pt>
                <c:pt idx="63">
                  <c:v>43936</c:v>
                </c:pt>
                <c:pt idx="64">
                  <c:v>43937</c:v>
                </c:pt>
                <c:pt idx="65">
                  <c:v>43938</c:v>
                </c:pt>
                <c:pt idx="66">
                  <c:v>43941</c:v>
                </c:pt>
                <c:pt idx="67">
                  <c:v>43942</c:v>
                </c:pt>
                <c:pt idx="68">
                  <c:v>43943</c:v>
                </c:pt>
                <c:pt idx="69">
                  <c:v>43944</c:v>
                </c:pt>
                <c:pt idx="70">
                  <c:v>43945</c:v>
                </c:pt>
                <c:pt idx="71">
                  <c:v>43948</c:v>
                </c:pt>
                <c:pt idx="72">
                  <c:v>43949</c:v>
                </c:pt>
                <c:pt idx="73">
                  <c:v>43950</c:v>
                </c:pt>
                <c:pt idx="74">
                  <c:v>43951</c:v>
                </c:pt>
                <c:pt idx="75">
                  <c:v>43955</c:v>
                </c:pt>
                <c:pt idx="76">
                  <c:v>43956</c:v>
                </c:pt>
                <c:pt idx="77">
                  <c:v>43957</c:v>
                </c:pt>
                <c:pt idx="78">
                  <c:v>43958</c:v>
                </c:pt>
                <c:pt idx="79">
                  <c:v>43959</c:v>
                </c:pt>
                <c:pt idx="80">
                  <c:v>43963</c:v>
                </c:pt>
                <c:pt idx="81">
                  <c:v>43964</c:v>
                </c:pt>
                <c:pt idx="82">
                  <c:v>43965</c:v>
                </c:pt>
                <c:pt idx="83">
                  <c:v>43966</c:v>
                </c:pt>
                <c:pt idx="84">
                  <c:v>43969</c:v>
                </c:pt>
                <c:pt idx="85">
                  <c:v>43970</c:v>
                </c:pt>
                <c:pt idx="86">
                  <c:v>43971</c:v>
                </c:pt>
                <c:pt idx="87">
                  <c:v>43972</c:v>
                </c:pt>
                <c:pt idx="88">
                  <c:v>43973</c:v>
                </c:pt>
                <c:pt idx="89">
                  <c:v>43977</c:v>
                </c:pt>
                <c:pt idx="90">
                  <c:v>43978</c:v>
                </c:pt>
                <c:pt idx="91">
                  <c:v>43979</c:v>
                </c:pt>
                <c:pt idx="92">
                  <c:v>43980</c:v>
                </c:pt>
                <c:pt idx="93">
                  <c:v>43984</c:v>
                </c:pt>
                <c:pt idx="94">
                  <c:v>43985</c:v>
                </c:pt>
                <c:pt idx="95">
                  <c:v>43986</c:v>
                </c:pt>
                <c:pt idx="96">
                  <c:v>43987</c:v>
                </c:pt>
                <c:pt idx="97">
                  <c:v>43990</c:v>
                </c:pt>
                <c:pt idx="98">
                  <c:v>43991</c:v>
                </c:pt>
                <c:pt idx="99">
                  <c:v>43992</c:v>
                </c:pt>
                <c:pt idx="100">
                  <c:v>43993</c:v>
                </c:pt>
                <c:pt idx="101">
                  <c:v>43997</c:v>
                </c:pt>
                <c:pt idx="102">
                  <c:v>43998</c:v>
                </c:pt>
                <c:pt idx="103">
                  <c:v>43999</c:v>
                </c:pt>
                <c:pt idx="104">
                  <c:v>44000</c:v>
                </c:pt>
                <c:pt idx="105">
                  <c:v>44001</c:v>
                </c:pt>
                <c:pt idx="106">
                  <c:v>44004</c:v>
                </c:pt>
                <c:pt idx="107">
                  <c:v>44005</c:v>
                </c:pt>
                <c:pt idx="108">
                  <c:v>44007</c:v>
                </c:pt>
                <c:pt idx="109">
                  <c:v>44008</c:v>
                </c:pt>
                <c:pt idx="110">
                  <c:v>44011</c:v>
                </c:pt>
                <c:pt idx="111">
                  <c:v>44012</c:v>
                </c:pt>
                <c:pt idx="112">
                  <c:v>44014</c:v>
                </c:pt>
                <c:pt idx="113">
                  <c:v>44018</c:v>
                </c:pt>
                <c:pt idx="114">
                  <c:v>44019</c:v>
                </c:pt>
                <c:pt idx="115">
                  <c:v>44020</c:v>
                </c:pt>
                <c:pt idx="116">
                  <c:v>44021</c:v>
                </c:pt>
                <c:pt idx="117">
                  <c:v>44022</c:v>
                </c:pt>
                <c:pt idx="118">
                  <c:v>44025</c:v>
                </c:pt>
                <c:pt idx="119">
                  <c:v>44026</c:v>
                </c:pt>
                <c:pt idx="120">
                  <c:v>44027</c:v>
                </c:pt>
                <c:pt idx="121">
                  <c:v>44028</c:v>
                </c:pt>
                <c:pt idx="122">
                  <c:v>44029</c:v>
                </c:pt>
                <c:pt idx="123">
                  <c:v>44032</c:v>
                </c:pt>
                <c:pt idx="124">
                  <c:v>44033</c:v>
                </c:pt>
                <c:pt idx="125">
                  <c:v>44034</c:v>
                </c:pt>
                <c:pt idx="126">
                  <c:v>44035</c:v>
                </c:pt>
                <c:pt idx="127">
                  <c:v>44036</c:v>
                </c:pt>
                <c:pt idx="128">
                  <c:v>44039</c:v>
                </c:pt>
                <c:pt idx="129">
                  <c:v>44040</c:v>
                </c:pt>
                <c:pt idx="130">
                  <c:v>44041</c:v>
                </c:pt>
                <c:pt idx="131">
                  <c:v>44042</c:v>
                </c:pt>
                <c:pt idx="132">
                  <c:v>44043</c:v>
                </c:pt>
                <c:pt idx="133">
                  <c:v>44046</c:v>
                </c:pt>
                <c:pt idx="134">
                  <c:v>44047</c:v>
                </c:pt>
                <c:pt idx="135">
                  <c:v>44048</c:v>
                </c:pt>
                <c:pt idx="136">
                  <c:v>44049</c:v>
                </c:pt>
                <c:pt idx="137">
                  <c:v>44050</c:v>
                </c:pt>
                <c:pt idx="138">
                  <c:v>44053</c:v>
                </c:pt>
                <c:pt idx="139">
                  <c:v>44054</c:v>
                </c:pt>
                <c:pt idx="140">
                  <c:v>44055</c:v>
                </c:pt>
                <c:pt idx="141">
                  <c:v>44056</c:v>
                </c:pt>
                <c:pt idx="142">
                  <c:v>44057</c:v>
                </c:pt>
                <c:pt idx="143">
                  <c:v>44060</c:v>
                </c:pt>
                <c:pt idx="144">
                  <c:v>44061</c:v>
                </c:pt>
                <c:pt idx="145">
                  <c:v>44062</c:v>
                </c:pt>
                <c:pt idx="146">
                  <c:v>44063</c:v>
                </c:pt>
                <c:pt idx="147">
                  <c:v>44064</c:v>
                </c:pt>
                <c:pt idx="148">
                  <c:v>44067</c:v>
                </c:pt>
                <c:pt idx="149">
                  <c:v>44068</c:v>
                </c:pt>
                <c:pt idx="150">
                  <c:v>44069</c:v>
                </c:pt>
                <c:pt idx="151">
                  <c:v>44070</c:v>
                </c:pt>
                <c:pt idx="152">
                  <c:v>44071</c:v>
                </c:pt>
                <c:pt idx="153">
                  <c:v>44074</c:v>
                </c:pt>
                <c:pt idx="154">
                  <c:v>44075</c:v>
                </c:pt>
                <c:pt idx="155">
                  <c:v>44076</c:v>
                </c:pt>
                <c:pt idx="156">
                  <c:v>44077</c:v>
                </c:pt>
                <c:pt idx="157">
                  <c:v>44078</c:v>
                </c:pt>
                <c:pt idx="158">
                  <c:v>44082</c:v>
                </c:pt>
                <c:pt idx="159">
                  <c:v>44083</c:v>
                </c:pt>
                <c:pt idx="160">
                  <c:v>44084</c:v>
                </c:pt>
                <c:pt idx="161">
                  <c:v>44085</c:v>
                </c:pt>
                <c:pt idx="162">
                  <c:v>44088</c:v>
                </c:pt>
                <c:pt idx="163">
                  <c:v>44089</c:v>
                </c:pt>
                <c:pt idx="164">
                  <c:v>44090</c:v>
                </c:pt>
                <c:pt idx="165">
                  <c:v>44091</c:v>
                </c:pt>
                <c:pt idx="166">
                  <c:v>44092</c:v>
                </c:pt>
                <c:pt idx="167">
                  <c:v>44095</c:v>
                </c:pt>
                <c:pt idx="168">
                  <c:v>44096</c:v>
                </c:pt>
                <c:pt idx="169">
                  <c:v>44097</c:v>
                </c:pt>
                <c:pt idx="170">
                  <c:v>44098</c:v>
                </c:pt>
                <c:pt idx="171">
                  <c:v>44099</c:v>
                </c:pt>
                <c:pt idx="172">
                  <c:v>44102</c:v>
                </c:pt>
                <c:pt idx="173">
                  <c:v>44103</c:v>
                </c:pt>
                <c:pt idx="174">
                  <c:v>44104</c:v>
                </c:pt>
                <c:pt idx="175">
                  <c:v>44105</c:v>
                </c:pt>
                <c:pt idx="176">
                  <c:v>44106</c:v>
                </c:pt>
                <c:pt idx="177">
                  <c:v>44109</c:v>
                </c:pt>
                <c:pt idx="178">
                  <c:v>44110</c:v>
                </c:pt>
                <c:pt idx="179">
                  <c:v>44111</c:v>
                </c:pt>
                <c:pt idx="180">
                  <c:v>44112</c:v>
                </c:pt>
                <c:pt idx="181">
                  <c:v>44113</c:v>
                </c:pt>
                <c:pt idx="182">
                  <c:v>44116</c:v>
                </c:pt>
                <c:pt idx="183">
                  <c:v>44117</c:v>
                </c:pt>
                <c:pt idx="184">
                  <c:v>44118</c:v>
                </c:pt>
                <c:pt idx="185">
                  <c:v>44119</c:v>
                </c:pt>
                <c:pt idx="186">
                  <c:v>44120</c:v>
                </c:pt>
                <c:pt idx="187">
                  <c:v>44123</c:v>
                </c:pt>
                <c:pt idx="188">
                  <c:v>44124</c:v>
                </c:pt>
                <c:pt idx="189">
                  <c:v>44125</c:v>
                </c:pt>
                <c:pt idx="190">
                  <c:v>44126</c:v>
                </c:pt>
                <c:pt idx="191">
                  <c:v>44127</c:v>
                </c:pt>
                <c:pt idx="192">
                  <c:v>44130</c:v>
                </c:pt>
                <c:pt idx="193">
                  <c:v>44131</c:v>
                </c:pt>
                <c:pt idx="194">
                  <c:v>44132</c:v>
                </c:pt>
                <c:pt idx="195">
                  <c:v>44133</c:v>
                </c:pt>
                <c:pt idx="196">
                  <c:v>44134</c:v>
                </c:pt>
                <c:pt idx="197">
                  <c:v>44137</c:v>
                </c:pt>
                <c:pt idx="198">
                  <c:v>44138</c:v>
                </c:pt>
                <c:pt idx="199">
                  <c:v>44140</c:v>
                </c:pt>
                <c:pt idx="200">
                  <c:v>44141</c:v>
                </c:pt>
                <c:pt idx="201">
                  <c:v>44144</c:v>
                </c:pt>
                <c:pt idx="202">
                  <c:v>44145</c:v>
                </c:pt>
                <c:pt idx="203">
                  <c:v>44146</c:v>
                </c:pt>
                <c:pt idx="204">
                  <c:v>44147</c:v>
                </c:pt>
                <c:pt idx="205">
                  <c:v>44148</c:v>
                </c:pt>
                <c:pt idx="206">
                  <c:v>44151</c:v>
                </c:pt>
                <c:pt idx="207">
                  <c:v>44152</c:v>
                </c:pt>
                <c:pt idx="208">
                  <c:v>44153</c:v>
                </c:pt>
                <c:pt idx="209">
                  <c:v>44154</c:v>
                </c:pt>
                <c:pt idx="210">
                  <c:v>44155</c:v>
                </c:pt>
                <c:pt idx="211">
                  <c:v>44158</c:v>
                </c:pt>
                <c:pt idx="212">
                  <c:v>44159</c:v>
                </c:pt>
                <c:pt idx="213">
                  <c:v>44160</c:v>
                </c:pt>
                <c:pt idx="214">
                  <c:v>44162</c:v>
                </c:pt>
                <c:pt idx="215">
                  <c:v>44165</c:v>
                </c:pt>
                <c:pt idx="216">
                  <c:v>44166</c:v>
                </c:pt>
                <c:pt idx="217">
                  <c:v>44167</c:v>
                </c:pt>
                <c:pt idx="218">
                  <c:v>44168</c:v>
                </c:pt>
                <c:pt idx="219">
                  <c:v>44169</c:v>
                </c:pt>
                <c:pt idx="220">
                  <c:v>44172</c:v>
                </c:pt>
                <c:pt idx="221">
                  <c:v>44173</c:v>
                </c:pt>
                <c:pt idx="222">
                  <c:v>44174</c:v>
                </c:pt>
                <c:pt idx="223">
                  <c:v>44175</c:v>
                </c:pt>
                <c:pt idx="224">
                  <c:v>44176</c:v>
                </c:pt>
                <c:pt idx="225">
                  <c:v>44179</c:v>
                </c:pt>
                <c:pt idx="226">
                  <c:v>44180</c:v>
                </c:pt>
                <c:pt idx="227">
                  <c:v>44181</c:v>
                </c:pt>
                <c:pt idx="228">
                  <c:v>44182</c:v>
                </c:pt>
                <c:pt idx="229">
                  <c:v>44183</c:v>
                </c:pt>
                <c:pt idx="230">
                  <c:v>44186</c:v>
                </c:pt>
                <c:pt idx="231">
                  <c:v>44187</c:v>
                </c:pt>
                <c:pt idx="232">
                  <c:v>44188</c:v>
                </c:pt>
                <c:pt idx="233">
                  <c:v>44193</c:v>
                </c:pt>
                <c:pt idx="234">
                  <c:v>44194</c:v>
                </c:pt>
                <c:pt idx="235">
                  <c:v>44195</c:v>
                </c:pt>
                <c:pt idx="236">
                  <c:v>44200</c:v>
                </c:pt>
                <c:pt idx="237">
                  <c:v>44201</c:v>
                </c:pt>
                <c:pt idx="238">
                  <c:v>44202</c:v>
                </c:pt>
                <c:pt idx="239">
                  <c:v>44204</c:v>
                </c:pt>
                <c:pt idx="240">
                  <c:v>44207</c:v>
                </c:pt>
                <c:pt idx="241">
                  <c:v>44208</c:v>
                </c:pt>
                <c:pt idx="242">
                  <c:v>44209</c:v>
                </c:pt>
                <c:pt idx="243">
                  <c:v>44210</c:v>
                </c:pt>
                <c:pt idx="244">
                  <c:v>44211</c:v>
                </c:pt>
                <c:pt idx="245">
                  <c:v>44215</c:v>
                </c:pt>
                <c:pt idx="246">
                  <c:v>44216</c:v>
                </c:pt>
                <c:pt idx="247">
                  <c:v>44217</c:v>
                </c:pt>
                <c:pt idx="248">
                  <c:v>44218</c:v>
                </c:pt>
                <c:pt idx="249">
                  <c:v>44221</c:v>
                </c:pt>
                <c:pt idx="250">
                  <c:v>44222</c:v>
                </c:pt>
                <c:pt idx="251">
                  <c:v>44223</c:v>
                </c:pt>
                <c:pt idx="252">
                  <c:v>44224</c:v>
                </c:pt>
                <c:pt idx="253">
                  <c:v>44225</c:v>
                </c:pt>
                <c:pt idx="254">
                  <c:v>44228</c:v>
                </c:pt>
                <c:pt idx="255">
                  <c:v>44229</c:v>
                </c:pt>
                <c:pt idx="256">
                  <c:v>44230</c:v>
                </c:pt>
                <c:pt idx="257">
                  <c:v>44231</c:v>
                </c:pt>
                <c:pt idx="258">
                  <c:v>44232</c:v>
                </c:pt>
                <c:pt idx="259">
                  <c:v>44235</c:v>
                </c:pt>
                <c:pt idx="260">
                  <c:v>44236</c:v>
                </c:pt>
                <c:pt idx="261">
                  <c:v>44237</c:v>
                </c:pt>
                <c:pt idx="262">
                  <c:v>44238</c:v>
                </c:pt>
                <c:pt idx="263">
                  <c:v>44239</c:v>
                </c:pt>
                <c:pt idx="264">
                  <c:v>44243</c:v>
                </c:pt>
                <c:pt idx="265">
                  <c:v>44244</c:v>
                </c:pt>
                <c:pt idx="266">
                  <c:v>44245</c:v>
                </c:pt>
                <c:pt idx="267">
                  <c:v>44246</c:v>
                </c:pt>
                <c:pt idx="268">
                  <c:v>44249</c:v>
                </c:pt>
                <c:pt idx="269">
                  <c:v>44251</c:v>
                </c:pt>
                <c:pt idx="270">
                  <c:v>44252</c:v>
                </c:pt>
                <c:pt idx="271">
                  <c:v>44253</c:v>
                </c:pt>
                <c:pt idx="272">
                  <c:v>44256</c:v>
                </c:pt>
                <c:pt idx="273">
                  <c:v>44257</c:v>
                </c:pt>
                <c:pt idx="274">
                  <c:v>44258</c:v>
                </c:pt>
                <c:pt idx="275">
                  <c:v>44259</c:v>
                </c:pt>
                <c:pt idx="276">
                  <c:v>44260</c:v>
                </c:pt>
                <c:pt idx="277">
                  <c:v>44264</c:v>
                </c:pt>
                <c:pt idx="278">
                  <c:v>44265</c:v>
                </c:pt>
                <c:pt idx="279">
                  <c:v>44266</c:v>
                </c:pt>
                <c:pt idx="280">
                  <c:v>44267</c:v>
                </c:pt>
                <c:pt idx="281">
                  <c:v>44270</c:v>
                </c:pt>
                <c:pt idx="282">
                  <c:v>44271</c:v>
                </c:pt>
                <c:pt idx="283">
                  <c:v>44272</c:v>
                </c:pt>
                <c:pt idx="284">
                  <c:v>44273</c:v>
                </c:pt>
                <c:pt idx="285">
                  <c:v>44274</c:v>
                </c:pt>
                <c:pt idx="286">
                  <c:v>44277</c:v>
                </c:pt>
                <c:pt idx="287">
                  <c:v>44278</c:v>
                </c:pt>
                <c:pt idx="288">
                  <c:v>44279</c:v>
                </c:pt>
                <c:pt idx="289">
                  <c:v>44280</c:v>
                </c:pt>
                <c:pt idx="290">
                  <c:v>44281</c:v>
                </c:pt>
                <c:pt idx="291">
                  <c:v>44284</c:v>
                </c:pt>
                <c:pt idx="292">
                  <c:v>44285</c:v>
                </c:pt>
                <c:pt idx="293">
                  <c:v>44286</c:v>
                </c:pt>
                <c:pt idx="294">
                  <c:v>44287</c:v>
                </c:pt>
                <c:pt idx="295">
                  <c:v>44292</c:v>
                </c:pt>
                <c:pt idx="296">
                  <c:v>44293</c:v>
                </c:pt>
                <c:pt idx="297">
                  <c:v>44294</c:v>
                </c:pt>
                <c:pt idx="298">
                  <c:v>44295</c:v>
                </c:pt>
                <c:pt idx="299">
                  <c:v>44298</c:v>
                </c:pt>
                <c:pt idx="300">
                  <c:v>44299</c:v>
                </c:pt>
                <c:pt idx="301">
                  <c:v>44300</c:v>
                </c:pt>
                <c:pt idx="302">
                  <c:v>44301</c:v>
                </c:pt>
                <c:pt idx="303">
                  <c:v>44302</c:v>
                </c:pt>
                <c:pt idx="304">
                  <c:v>44305</c:v>
                </c:pt>
                <c:pt idx="305">
                  <c:v>44306</c:v>
                </c:pt>
                <c:pt idx="306">
                  <c:v>44307</c:v>
                </c:pt>
                <c:pt idx="307">
                  <c:v>44308</c:v>
                </c:pt>
                <c:pt idx="308">
                  <c:v>44309</c:v>
                </c:pt>
                <c:pt idx="309">
                  <c:v>44312</c:v>
                </c:pt>
                <c:pt idx="310">
                  <c:v>44313</c:v>
                </c:pt>
                <c:pt idx="311">
                  <c:v>44314</c:v>
                </c:pt>
                <c:pt idx="312">
                  <c:v>44315</c:v>
                </c:pt>
                <c:pt idx="313">
                  <c:v>44316</c:v>
                </c:pt>
                <c:pt idx="314">
                  <c:v>44320</c:v>
                </c:pt>
                <c:pt idx="315">
                  <c:v>44321</c:v>
                </c:pt>
                <c:pt idx="316">
                  <c:v>44322</c:v>
                </c:pt>
                <c:pt idx="317">
                  <c:v>44323</c:v>
                </c:pt>
                <c:pt idx="318">
                  <c:v>44326</c:v>
                </c:pt>
                <c:pt idx="319">
                  <c:v>44327</c:v>
                </c:pt>
                <c:pt idx="320">
                  <c:v>44328</c:v>
                </c:pt>
                <c:pt idx="321">
                  <c:v>44329</c:v>
                </c:pt>
                <c:pt idx="322">
                  <c:v>44330</c:v>
                </c:pt>
                <c:pt idx="323">
                  <c:v>44333</c:v>
                </c:pt>
                <c:pt idx="324">
                  <c:v>44334</c:v>
                </c:pt>
                <c:pt idx="325">
                  <c:v>44335</c:v>
                </c:pt>
                <c:pt idx="326">
                  <c:v>44336</c:v>
                </c:pt>
                <c:pt idx="327">
                  <c:v>44337</c:v>
                </c:pt>
                <c:pt idx="328">
                  <c:v>44341</c:v>
                </c:pt>
                <c:pt idx="329">
                  <c:v>44342</c:v>
                </c:pt>
                <c:pt idx="330">
                  <c:v>44343</c:v>
                </c:pt>
                <c:pt idx="331">
                  <c:v>44344</c:v>
                </c:pt>
                <c:pt idx="332">
                  <c:v>44348</c:v>
                </c:pt>
                <c:pt idx="333">
                  <c:v>44349</c:v>
                </c:pt>
                <c:pt idx="334">
                  <c:v>44350</c:v>
                </c:pt>
                <c:pt idx="335">
                  <c:v>44351</c:v>
                </c:pt>
                <c:pt idx="336">
                  <c:v>44354</c:v>
                </c:pt>
                <c:pt idx="337">
                  <c:v>44355</c:v>
                </c:pt>
                <c:pt idx="338">
                  <c:v>44356</c:v>
                </c:pt>
                <c:pt idx="339">
                  <c:v>44357</c:v>
                </c:pt>
                <c:pt idx="340">
                  <c:v>44358</c:v>
                </c:pt>
                <c:pt idx="341">
                  <c:v>44361</c:v>
                </c:pt>
                <c:pt idx="342">
                  <c:v>44362</c:v>
                </c:pt>
                <c:pt idx="343">
                  <c:v>44363</c:v>
                </c:pt>
                <c:pt idx="344">
                  <c:v>44364</c:v>
                </c:pt>
                <c:pt idx="345">
                  <c:v>44365</c:v>
                </c:pt>
                <c:pt idx="346">
                  <c:v>44368</c:v>
                </c:pt>
                <c:pt idx="347">
                  <c:v>44369</c:v>
                </c:pt>
                <c:pt idx="348">
                  <c:v>44370</c:v>
                </c:pt>
                <c:pt idx="349">
                  <c:v>44371</c:v>
                </c:pt>
                <c:pt idx="350">
                  <c:v>44372</c:v>
                </c:pt>
                <c:pt idx="351">
                  <c:v>44375</c:v>
                </c:pt>
                <c:pt idx="352">
                  <c:v>44376</c:v>
                </c:pt>
                <c:pt idx="353">
                  <c:v>44377</c:v>
                </c:pt>
                <c:pt idx="354">
                  <c:v>44378</c:v>
                </c:pt>
                <c:pt idx="355">
                  <c:v>44379</c:v>
                </c:pt>
                <c:pt idx="356">
                  <c:v>44383</c:v>
                </c:pt>
                <c:pt idx="357">
                  <c:v>44384</c:v>
                </c:pt>
                <c:pt idx="358">
                  <c:v>44385</c:v>
                </c:pt>
                <c:pt idx="359">
                  <c:v>44386</c:v>
                </c:pt>
                <c:pt idx="360">
                  <c:v>44389</c:v>
                </c:pt>
                <c:pt idx="361">
                  <c:v>44390</c:v>
                </c:pt>
                <c:pt idx="362">
                  <c:v>44391</c:v>
                </c:pt>
                <c:pt idx="363">
                  <c:v>44392</c:v>
                </c:pt>
                <c:pt idx="364">
                  <c:v>44393</c:v>
                </c:pt>
                <c:pt idx="365">
                  <c:v>44396</c:v>
                </c:pt>
                <c:pt idx="366">
                  <c:v>44397</c:v>
                </c:pt>
                <c:pt idx="367">
                  <c:v>44398</c:v>
                </c:pt>
                <c:pt idx="368">
                  <c:v>44399</c:v>
                </c:pt>
                <c:pt idx="369">
                  <c:v>44400</c:v>
                </c:pt>
                <c:pt idx="370">
                  <c:v>44403</c:v>
                </c:pt>
                <c:pt idx="371">
                  <c:v>44404</c:v>
                </c:pt>
                <c:pt idx="372">
                  <c:v>44405</c:v>
                </c:pt>
                <c:pt idx="373">
                  <c:v>44406</c:v>
                </c:pt>
                <c:pt idx="374">
                  <c:v>44407</c:v>
                </c:pt>
                <c:pt idx="375">
                  <c:v>44410</c:v>
                </c:pt>
                <c:pt idx="376">
                  <c:v>44411</c:v>
                </c:pt>
                <c:pt idx="377">
                  <c:v>44412</c:v>
                </c:pt>
                <c:pt idx="378">
                  <c:v>44413</c:v>
                </c:pt>
                <c:pt idx="379">
                  <c:v>44414</c:v>
                </c:pt>
                <c:pt idx="380">
                  <c:v>44417</c:v>
                </c:pt>
                <c:pt idx="381">
                  <c:v>44418</c:v>
                </c:pt>
                <c:pt idx="382">
                  <c:v>44419</c:v>
                </c:pt>
                <c:pt idx="383">
                  <c:v>44420</c:v>
                </c:pt>
                <c:pt idx="384">
                  <c:v>44421</c:v>
                </c:pt>
                <c:pt idx="385">
                  <c:v>44424</c:v>
                </c:pt>
                <c:pt idx="386">
                  <c:v>44425</c:v>
                </c:pt>
                <c:pt idx="387">
                  <c:v>44426</c:v>
                </c:pt>
                <c:pt idx="388">
                  <c:v>44427</c:v>
                </c:pt>
                <c:pt idx="389">
                  <c:v>44428</c:v>
                </c:pt>
                <c:pt idx="390">
                  <c:v>44431</c:v>
                </c:pt>
                <c:pt idx="391">
                  <c:v>44432</c:v>
                </c:pt>
                <c:pt idx="392">
                  <c:v>44433</c:v>
                </c:pt>
                <c:pt idx="393">
                  <c:v>44434</c:v>
                </c:pt>
                <c:pt idx="394">
                  <c:v>44435</c:v>
                </c:pt>
                <c:pt idx="395">
                  <c:v>44438</c:v>
                </c:pt>
                <c:pt idx="396">
                  <c:v>44439</c:v>
                </c:pt>
                <c:pt idx="397">
                  <c:v>44440</c:v>
                </c:pt>
                <c:pt idx="398">
                  <c:v>44441</c:v>
                </c:pt>
                <c:pt idx="399">
                  <c:v>44442</c:v>
                </c:pt>
                <c:pt idx="400">
                  <c:v>44446</c:v>
                </c:pt>
                <c:pt idx="401">
                  <c:v>44447</c:v>
                </c:pt>
                <c:pt idx="402">
                  <c:v>44448</c:v>
                </c:pt>
                <c:pt idx="403">
                  <c:v>44449</c:v>
                </c:pt>
                <c:pt idx="404">
                  <c:v>44452</c:v>
                </c:pt>
                <c:pt idx="405">
                  <c:v>44453</c:v>
                </c:pt>
                <c:pt idx="406">
                  <c:v>44454</c:v>
                </c:pt>
                <c:pt idx="407">
                  <c:v>44455</c:v>
                </c:pt>
                <c:pt idx="408">
                  <c:v>44456</c:v>
                </c:pt>
                <c:pt idx="409">
                  <c:v>44459</c:v>
                </c:pt>
                <c:pt idx="410">
                  <c:v>44460</c:v>
                </c:pt>
                <c:pt idx="411">
                  <c:v>44461</c:v>
                </c:pt>
                <c:pt idx="412">
                  <c:v>44462</c:v>
                </c:pt>
                <c:pt idx="413">
                  <c:v>44463</c:v>
                </c:pt>
                <c:pt idx="414">
                  <c:v>44466</c:v>
                </c:pt>
                <c:pt idx="415">
                  <c:v>44467</c:v>
                </c:pt>
                <c:pt idx="416">
                  <c:v>44468</c:v>
                </c:pt>
                <c:pt idx="417">
                  <c:v>44469</c:v>
                </c:pt>
                <c:pt idx="418">
                  <c:v>44470</c:v>
                </c:pt>
                <c:pt idx="419">
                  <c:v>44473</c:v>
                </c:pt>
                <c:pt idx="420">
                  <c:v>44474</c:v>
                </c:pt>
                <c:pt idx="421">
                  <c:v>44475</c:v>
                </c:pt>
                <c:pt idx="422">
                  <c:v>44476</c:v>
                </c:pt>
                <c:pt idx="423">
                  <c:v>44477</c:v>
                </c:pt>
                <c:pt idx="424">
                  <c:v>44480</c:v>
                </c:pt>
                <c:pt idx="425">
                  <c:v>44481</c:v>
                </c:pt>
                <c:pt idx="426">
                  <c:v>44482</c:v>
                </c:pt>
                <c:pt idx="427">
                  <c:v>44483</c:v>
                </c:pt>
                <c:pt idx="428">
                  <c:v>44484</c:v>
                </c:pt>
                <c:pt idx="429">
                  <c:v>44487</c:v>
                </c:pt>
                <c:pt idx="430">
                  <c:v>44488</c:v>
                </c:pt>
                <c:pt idx="431">
                  <c:v>44489</c:v>
                </c:pt>
                <c:pt idx="432">
                  <c:v>44490</c:v>
                </c:pt>
                <c:pt idx="433">
                  <c:v>44491</c:v>
                </c:pt>
                <c:pt idx="434">
                  <c:v>44494</c:v>
                </c:pt>
                <c:pt idx="435">
                  <c:v>44495</c:v>
                </c:pt>
                <c:pt idx="436">
                  <c:v>44496</c:v>
                </c:pt>
                <c:pt idx="437">
                  <c:v>44497</c:v>
                </c:pt>
                <c:pt idx="438">
                  <c:v>44498</c:v>
                </c:pt>
                <c:pt idx="439">
                  <c:v>44501</c:v>
                </c:pt>
                <c:pt idx="440">
                  <c:v>44502</c:v>
                </c:pt>
                <c:pt idx="441">
                  <c:v>44503</c:v>
                </c:pt>
                <c:pt idx="442">
                  <c:v>44505</c:v>
                </c:pt>
                <c:pt idx="443">
                  <c:v>44508</c:v>
                </c:pt>
                <c:pt idx="444">
                  <c:v>44509</c:v>
                </c:pt>
                <c:pt idx="445">
                  <c:v>44510</c:v>
                </c:pt>
                <c:pt idx="446">
                  <c:v>44511</c:v>
                </c:pt>
                <c:pt idx="447">
                  <c:v>44512</c:v>
                </c:pt>
                <c:pt idx="448">
                  <c:v>44515</c:v>
                </c:pt>
                <c:pt idx="449">
                  <c:v>44516</c:v>
                </c:pt>
                <c:pt idx="450">
                  <c:v>44517</c:v>
                </c:pt>
                <c:pt idx="451">
                  <c:v>44518</c:v>
                </c:pt>
                <c:pt idx="452">
                  <c:v>44519</c:v>
                </c:pt>
                <c:pt idx="453">
                  <c:v>44522</c:v>
                </c:pt>
                <c:pt idx="454">
                  <c:v>44523</c:v>
                </c:pt>
                <c:pt idx="455">
                  <c:v>44524</c:v>
                </c:pt>
                <c:pt idx="456">
                  <c:v>44526</c:v>
                </c:pt>
                <c:pt idx="457">
                  <c:v>44529</c:v>
                </c:pt>
                <c:pt idx="458">
                  <c:v>44530</c:v>
                </c:pt>
                <c:pt idx="459">
                  <c:v>44531</c:v>
                </c:pt>
                <c:pt idx="460">
                  <c:v>44532</c:v>
                </c:pt>
                <c:pt idx="461">
                  <c:v>44533</c:v>
                </c:pt>
                <c:pt idx="462">
                  <c:v>44536</c:v>
                </c:pt>
                <c:pt idx="463">
                  <c:v>44537</c:v>
                </c:pt>
                <c:pt idx="464">
                  <c:v>44538</c:v>
                </c:pt>
                <c:pt idx="465">
                  <c:v>44539</c:v>
                </c:pt>
                <c:pt idx="466">
                  <c:v>44540</c:v>
                </c:pt>
                <c:pt idx="467">
                  <c:v>44543</c:v>
                </c:pt>
                <c:pt idx="468">
                  <c:v>44544</c:v>
                </c:pt>
                <c:pt idx="469">
                  <c:v>44545</c:v>
                </c:pt>
                <c:pt idx="470">
                  <c:v>44546</c:v>
                </c:pt>
                <c:pt idx="471">
                  <c:v>44547</c:v>
                </c:pt>
                <c:pt idx="472">
                  <c:v>44550</c:v>
                </c:pt>
                <c:pt idx="473">
                  <c:v>44551</c:v>
                </c:pt>
                <c:pt idx="474">
                  <c:v>44552</c:v>
                </c:pt>
                <c:pt idx="475">
                  <c:v>44553</c:v>
                </c:pt>
                <c:pt idx="476">
                  <c:v>44557</c:v>
                </c:pt>
                <c:pt idx="477">
                  <c:v>44558</c:v>
                </c:pt>
                <c:pt idx="478">
                  <c:v>44559</c:v>
                </c:pt>
                <c:pt idx="479">
                  <c:v>44560</c:v>
                </c:pt>
                <c:pt idx="480">
                  <c:v>44564</c:v>
                </c:pt>
                <c:pt idx="481">
                  <c:v>44565</c:v>
                </c:pt>
                <c:pt idx="482">
                  <c:v>44566</c:v>
                </c:pt>
                <c:pt idx="483">
                  <c:v>44567</c:v>
                </c:pt>
                <c:pt idx="484">
                  <c:v>44568</c:v>
                </c:pt>
                <c:pt idx="485">
                  <c:v>44571</c:v>
                </c:pt>
                <c:pt idx="486">
                  <c:v>44572</c:v>
                </c:pt>
                <c:pt idx="487">
                  <c:v>44573</c:v>
                </c:pt>
                <c:pt idx="488">
                  <c:v>44574</c:v>
                </c:pt>
                <c:pt idx="489">
                  <c:v>44575</c:v>
                </c:pt>
                <c:pt idx="490">
                  <c:v>44579</c:v>
                </c:pt>
                <c:pt idx="491">
                  <c:v>44580</c:v>
                </c:pt>
                <c:pt idx="492">
                  <c:v>44581</c:v>
                </c:pt>
                <c:pt idx="493">
                  <c:v>44582</c:v>
                </c:pt>
                <c:pt idx="494">
                  <c:v>44585</c:v>
                </c:pt>
                <c:pt idx="495">
                  <c:v>44586</c:v>
                </c:pt>
                <c:pt idx="496">
                  <c:v>44587</c:v>
                </c:pt>
                <c:pt idx="497">
                  <c:v>44588</c:v>
                </c:pt>
                <c:pt idx="498">
                  <c:v>44589</c:v>
                </c:pt>
                <c:pt idx="499">
                  <c:v>44592</c:v>
                </c:pt>
                <c:pt idx="500">
                  <c:v>44593</c:v>
                </c:pt>
                <c:pt idx="501">
                  <c:v>44594</c:v>
                </c:pt>
                <c:pt idx="502">
                  <c:v>44595</c:v>
                </c:pt>
                <c:pt idx="503">
                  <c:v>44596</c:v>
                </c:pt>
                <c:pt idx="504">
                  <c:v>44599</c:v>
                </c:pt>
                <c:pt idx="505">
                  <c:v>44600</c:v>
                </c:pt>
                <c:pt idx="506">
                  <c:v>44601</c:v>
                </c:pt>
                <c:pt idx="507">
                  <c:v>44602</c:v>
                </c:pt>
                <c:pt idx="508">
                  <c:v>44603</c:v>
                </c:pt>
                <c:pt idx="509">
                  <c:v>44606</c:v>
                </c:pt>
                <c:pt idx="510">
                  <c:v>44607</c:v>
                </c:pt>
                <c:pt idx="511">
                  <c:v>44608</c:v>
                </c:pt>
                <c:pt idx="512">
                  <c:v>44609</c:v>
                </c:pt>
                <c:pt idx="513">
                  <c:v>44610</c:v>
                </c:pt>
                <c:pt idx="514">
                  <c:v>44614</c:v>
                </c:pt>
                <c:pt idx="515">
                  <c:v>44644</c:v>
                </c:pt>
                <c:pt idx="516">
                  <c:v>44645</c:v>
                </c:pt>
                <c:pt idx="517">
                  <c:v>44648</c:v>
                </c:pt>
                <c:pt idx="518">
                  <c:v>44649</c:v>
                </c:pt>
                <c:pt idx="519">
                  <c:v>44650</c:v>
                </c:pt>
                <c:pt idx="520">
                  <c:v>44651</c:v>
                </c:pt>
                <c:pt idx="521">
                  <c:v>44652</c:v>
                </c:pt>
                <c:pt idx="522">
                  <c:v>44655</c:v>
                </c:pt>
                <c:pt idx="523">
                  <c:v>44656</c:v>
                </c:pt>
                <c:pt idx="524">
                  <c:v>44657</c:v>
                </c:pt>
                <c:pt idx="525">
                  <c:v>44658</c:v>
                </c:pt>
                <c:pt idx="526">
                  <c:v>44659</c:v>
                </c:pt>
                <c:pt idx="527">
                  <c:v>44662</c:v>
                </c:pt>
                <c:pt idx="528">
                  <c:v>44663</c:v>
                </c:pt>
                <c:pt idx="529">
                  <c:v>44664</c:v>
                </c:pt>
                <c:pt idx="530">
                  <c:v>44665</c:v>
                </c:pt>
                <c:pt idx="531">
                  <c:v>44670</c:v>
                </c:pt>
                <c:pt idx="532">
                  <c:v>44671</c:v>
                </c:pt>
                <c:pt idx="533">
                  <c:v>44672</c:v>
                </c:pt>
                <c:pt idx="534">
                  <c:v>44673</c:v>
                </c:pt>
                <c:pt idx="535">
                  <c:v>44676</c:v>
                </c:pt>
                <c:pt idx="536">
                  <c:v>44677</c:v>
                </c:pt>
                <c:pt idx="537">
                  <c:v>44678</c:v>
                </c:pt>
                <c:pt idx="538">
                  <c:v>44679</c:v>
                </c:pt>
                <c:pt idx="539">
                  <c:v>44680</c:v>
                </c:pt>
                <c:pt idx="540">
                  <c:v>44685</c:v>
                </c:pt>
                <c:pt idx="541">
                  <c:v>44686</c:v>
                </c:pt>
                <c:pt idx="542">
                  <c:v>44687</c:v>
                </c:pt>
                <c:pt idx="543">
                  <c:v>44692</c:v>
                </c:pt>
                <c:pt idx="544">
                  <c:v>44693</c:v>
                </c:pt>
                <c:pt idx="545">
                  <c:v>44694</c:v>
                </c:pt>
                <c:pt idx="546">
                  <c:v>44697</c:v>
                </c:pt>
                <c:pt idx="547">
                  <c:v>44698</c:v>
                </c:pt>
                <c:pt idx="548">
                  <c:v>44699</c:v>
                </c:pt>
                <c:pt idx="549">
                  <c:v>44700</c:v>
                </c:pt>
                <c:pt idx="550">
                  <c:v>44701</c:v>
                </c:pt>
                <c:pt idx="551">
                  <c:v>44704</c:v>
                </c:pt>
                <c:pt idx="552">
                  <c:v>44705</c:v>
                </c:pt>
                <c:pt idx="553">
                  <c:v>44706</c:v>
                </c:pt>
                <c:pt idx="554">
                  <c:v>44707</c:v>
                </c:pt>
                <c:pt idx="555">
                  <c:v>44708</c:v>
                </c:pt>
                <c:pt idx="556">
                  <c:v>44712</c:v>
                </c:pt>
                <c:pt idx="557">
                  <c:v>44713</c:v>
                </c:pt>
                <c:pt idx="558">
                  <c:v>44714</c:v>
                </c:pt>
                <c:pt idx="559">
                  <c:v>44715</c:v>
                </c:pt>
                <c:pt idx="560">
                  <c:v>44718</c:v>
                </c:pt>
                <c:pt idx="561">
                  <c:v>44719</c:v>
                </c:pt>
                <c:pt idx="562">
                  <c:v>44720</c:v>
                </c:pt>
                <c:pt idx="563">
                  <c:v>44721</c:v>
                </c:pt>
                <c:pt idx="564">
                  <c:v>44722</c:v>
                </c:pt>
                <c:pt idx="565">
                  <c:v>44725</c:v>
                </c:pt>
                <c:pt idx="566">
                  <c:v>44726</c:v>
                </c:pt>
                <c:pt idx="567">
                  <c:v>44727</c:v>
                </c:pt>
                <c:pt idx="568">
                  <c:v>44728</c:v>
                </c:pt>
                <c:pt idx="569">
                  <c:v>44729</c:v>
                </c:pt>
                <c:pt idx="570">
                  <c:v>44733</c:v>
                </c:pt>
                <c:pt idx="571">
                  <c:v>44734</c:v>
                </c:pt>
                <c:pt idx="572">
                  <c:v>44735</c:v>
                </c:pt>
                <c:pt idx="573">
                  <c:v>44736</c:v>
                </c:pt>
                <c:pt idx="574">
                  <c:v>44739</c:v>
                </c:pt>
                <c:pt idx="575">
                  <c:v>44740</c:v>
                </c:pt>
                <c:pt idx="576">
                  <c:v>44741</c:v>
                </c:pt>
                <c:pt idx="577">
                  <c:v>44742</c:v>
                </c:pt>
                <c:pt idx="578">
                  <c:v>44743</c:v>
                </c:pt>
                <c:pt idx="579">
                  <c:v>44747</c:v>
                </c:pt>
                <c:pt idx="580">
                  <c:v>44748</c:v>
                </c:pt>
                <c:pt idx="581">
                  <c:v>44749</c:v>
                </c:pt>
                <c:pt idx="582">
                  <c:v>44750</c:v>
                </c:pt>
                <c:pt idx="583">
                  <c:v>44753</c:v>
                </c:pt>
                <c:pt idx="584">
                  <c:v>44754</c:v>
                </c:pt>
                <c:pt idx="585">
                  <c:v>44755</c:v>
                </c:pt>
                <c:pt idx="586">
                  <c:v>44756</c:v>
                </c:pt>
                <c:pt idx="587">
                  <c:v>44757</c:v>
                </c:pt>
                <c:pt idx="588">
                  <c:v>44760</c:v>
                </c:pt>
                <c:pt idx="589">
                  <c:v>44761</c:v>
                </c:pt>
                <c:pt idx="590">
                  <c:v>44762</c:v>
                </c:pt>
                <c:pt idx="591">
                  <c:v>44763</c:v>
                </c:pt>
                <c:pt idx="592">
                  <c:v>44764</c:v>
                </c:pt>
                <c:pt idx="593">
                  <c:v>44767</c:v>
                </c:pt>
                <c:pt idx="594">
                  <c:v>44768</c:v>
                </c:pt>
                <c:pt idx="595">
                  <c:v>44769</c:v>
                </c:pt>
                <c:pt idx="596">
                  <c:v>44770</c:v>
                </c:pt>
                <c:pt idx="597">
                  <c:v>44771</c:v>
                </c:pt>
                <c:pt idx="598">
                  <c:v>44774</c:v>
                </c:pt>
                <c:pt idx="599">
                  <c:v>44775</c:v>
                </c:pt>
                <c:pt idx="600">
                  <c:v>44776</c:v>
                </c:pt>
                <c:pt idx="601">
                  <c:v>44777</c:v>
                </c:pt>
                <c:pt idx="602">
                  <c:v>44778</c:v>
                </c:pt>
                <c:pt idx="603">
                  <c:v>44781</c:v>
                </c:pt>
                <c:pt idx="604">
                  <c:v>44782</c:v>
                </c:pt>
                <c:pt idx="605">
                  <c:v>44783</c:v>
                </c:pt>
                <c:pt idx="606">
                  <c:v>44784</c:v>
                </c:pt>
                <c:pt idx="607">
                  <c:v>44785</c:v>
                </c:pt>
                <c:pt idx="608">
                  <c:v>44788</c:v>
                </c:pt>
                <c:pt idx="609">
                  <c:v>44789</c:v>
                </c:pt>
                <c:pt idx="610">
                  <c:v>44790</c:v>
                </c:pt>
                <c:pt idx="611">
                  <c:v>44791</c:v>
                </c:pt>
                <c:pt idx="612">
                  <c:v>44792</c:v>
                </c:pt>
                <c:pt idx="613">
                  <c:v>44795</c:v>
                </c:pt>
                <c:pt idx="614">
                  <c:v>44796</c:v>
                </c:pt>
                <c:pt idx="615">
                  <c:v>44797</c:v>
                </c:pt>
                <c:pt idx="616">
                  <c:v>44798</c:v>
                </c:pt>
                <c:pt idx="617">
                  <c:v>44799</c:v>
                </c:pt>
                <c:pt idx="618">
                  <c:v>44802</c:v>
                </c:pt>
                <c:pt idx="619">
                  <c:v>44803</c:v>
                </c:pt>
                <c:pt idx="620">
                  <c:v>44804</c:v>
                </c:pt>
                <c:pt idx="621">
                  <c:v>44805</c:v>
                </c:pt>
                <c:pt idx="622">
                  <c:v>44806</c:v>
                </c:pt>
                <c:pt idx="623">
                  <c:v>44810</c:v>
                </c:pt>
                <c:pt idx="624">
                  <c:v>44811</c:v>
                </c:pt>
                <c:pt idx="625">
                  <c:v>44812</c:v>
                </c:pt>
                <c:pt idx="626">
                  <c:v>44813</c:v>
                </c:pt>
                <c:pt idx="627">
                  <c:v>44816</c:v>
                </c:pt>
                <c:pt idx="628">
                  <c:v>44817</c:v>
                </c:pt>
                <c:pt idx="629">
                  <c:v>44818</c:v>
                </c:pt>
                <c:pt idx="630">
                  <c:v>44819</c:v>
                </c:pt>
                <c:pt idx="631">
                  <c:v>44820</c:v>
                </c:pt>
                <c:pt idx="632">
                  <c:v>44823</c:v>
                </c:pt>
                <c:pt idx="633">
                  <c:v>44824</c:v>
                </c:pt>
                <c:pt idx="634">
                  <c:v>44825</c:v>
                </c:pt>
                <c:pt idx="635">
                  <c:v>44826</c:v>
                </c:pt>
                <c:pt idx="636">
                  <c:v>44827</c:v>
                </c:pt>
                <c:pt idx="637">
                  <c:v>44830</c:v>
                </c:pt>
              </c:numCache>
            </c:numRef>
          </c:cat>
          <c:val>
            <c:numRef>
              <c:f>Sheet1!$D$2:$D$639</c:f>
              <c:numCache>
                <c:formatCode>0</c:formatCode>
                <c:ptCount val="638"/>
                <c:pt idx="0">
                  <c:v>100</c:v>
                </c:pt>
                <c:pt idx="1">
                  <c:v>101.47170067166959</c:v>
                </c:pt>
                <c:pt idx="2">
                  <c:v>102.80391772980705</c:v>
                </c:pt>
                <c:pt idx="3">
                  <c:v>102.71440749174029</c:v>
                </c:pt>
                <c:pt idx="4">
                  <c:v>102.47223468594095</c:v>
                </c:pt>
                <c:pt idx="5">
                  <c:v>102.51009561217003</c:v>
                </c:pt>
                <c:pt idx="6">
                  <c:v>102.32581879014153</c:v>
                </c:pt>
                <c:pt idx="7">
                  <c:v>102.30395543837545</c:v>
                </c:pt>
                <c:pt idx="8">
                  <c:v>103.04060565293339</c:v>
                </c:pt>
                <c:pt idx="9">
                  <c:v>103.26716177889983</c:v>
                </c:pt>
                <c:pt idx="10">
                  <c:v>102.9615319277306</c:v>
                </c:pt>
                <c:pt idx="11">
                  <c:v>101.99154566279097</c:v>
                </c:pt>
                <c:pt idx="12">
                  <c:v>103.42569012393552</c:v>
                </c:pt>
                <c:pt idx="13">
                  <c:v>100.59251968653899</c:v>
                </c:pt>
                <c:pt idx="14">
                  <c:v>101.49843947470063</c:v>
                </c:pt>
                <c:pt idx="15">
                  <c:v>101.66077676603703</c:v>
                </c:pt>
                <c:pt idx="16">
                  <c:v>100.22952710408101</c:v>
                </c:pt>
                <c:pt idx="17">
                  <c:v>98.895253214941135</c:v>
                </c:pt>
                <c:pt idx="18">
                  <c:v>99.376856385203325</c:v>
                </c:pt>
                <c:pt idx="19">
                  <c:v>101.17886888007077</c:v>
                </c:pt>
                <c:pt idx="20">
                  <c:v>102.67647038658521</c:v>
                </c:pt>
                <c:pt idx="21">
                  <c:v>103.41152084369685</c:v>
                </c:pt>
                <c:pt idx="22">
                  <c:v>102.94675321608382</c:v>
                </c:pt>
                <c:pt idx="23">
                  <c:v>102.7960713004276</c:v>
                </c:pt>
                <c:pt idx="24">
                  <c:v>103.81542150942448</c:v>
                </c:pt>
                <c:pt idx="25">
                  <c:v>104.74434733324244</c:v>
                </c:pt>
                <c:pt idx="26">
                  <c:v>104.71120950042624</c:v>
                </c:pt>
                <c:pt idx="27">
                  <c:v>104.7019156714525</c:v>
                </c:pt>
                <c:pt idx="28">
                  <c:v>104.2218360797106</c:v>
                </c:pt>
                <c:pt idx="29">
                  <c:v>105.04312108107038</c:v>
                </c:pt>
                <c:pt idx="30">
                  <c:v>103.44587753932927</c:v>
                </c:pt>
                <c:pt idx="31">
                  <c:v>97.436579139619965</c:v>
                </c:pt>
                <c:pt idx="32">
                  <c:v>97.317663836111691</c:v>
                </c:pt>
                <c:pt idx="33">
                  <c:v>94.213982032438494</c:v>
                </c:pt>
                <c:pt idx="34">
                  <c:v>90.331980141677562</c:v>
                </c:pt>
                <c:pt idx="35">
                  <c:v>91.303413806211466</c:v>
                </c:pt>
                <c:pt idx="36">
                  <c:v>92.387439923394467</c:v>
                </c:pt>
                <c:pt idx="37">
                  <c:v>90.99359411411146</c:v>
                </c:pt>
                <c:pt idx="38">
                  <c:v>87.924726079626808</c:v>
                </c:pt>
                <c:pt idx="39">
                  <c:v>79.801157767317576</c:v>
                </c:pt>
                <c:pt idx="40">
                  <c:v>79.520743140659064</c:v>
                </c:pt>
                <c:pt idx="41">
                  <c:v>69.788504447706586</c:v>
                </c:pt>
                <c:pt idx="42">
                  <c:v>70.328993927777802</c:v>
                </c:pt>
                <c:pt idx="43">
                  <c:v>66.597521594821046</c:v>
                </c:pt>
                <c:pt idx="44">
                  <c:v>68.097103753411858</c:v>
                </c:pt>
                <c:pt idx="45">
                  <c:v>64.308040152388301</c:v>
                </c:pt>
                <c:pt idx="46">
                  <c:v>65.593330992100988</c:v>
                </c:pt>
                <c:pt idx="47">
                  <c:v>68.019782143507371</c:v>
                </c:pt>
                <c:pt idx="48">
                  <c:v>66.589141912959462</c:v>
                </c:pt>
                <c:pt idx="49">
                  <c:v>73.897900432620105</c:v>
                </c:pt>
                <c:pt idx="50">
                  <c:v>75.221052198561893</c:v>
                </c:pt>
                <c:pt idx="51">
                  <c:v>76.186239191162628</c:v>
                </c:pt>
                <c:pt idx="52">
                  <c:v>73.379502841093057</c:v>
                </c:pt>
                <c:pt idx="53">
                  <c:v>74.777005238824742</c:v>
                </c:pt>
                <c:pt idx="54">
                  <c:v>75.690162024957758</c:v>
                </c:pt>
                <c:pt idx="55">
                  <c:v>72.710880407465851</c:v>
                </c:pt>
                <c:pt idx="56">
                  <c:v>72.909478867585037</c:v>
                </c:pt>
                <c:pt idx="57">
                  <c:v>72.566292805890782</c:v>
                </c:pt>
                <c:pt idx="58">
                  <c:v>76.751563001114519</c:v>
                </c:pt>
                <c:pt idx="59">
                  <c:v>78.896228305194143</c:v>
                </c:pt>
                <c:pt idx="60">
                  <c:v>78.714846282354173</c:v>
                </c:pt>
                <c:pt idx="61">
                  <c:v>80.481054681994905</c:v>
                </c:pt>
                <c:pt idx="62">
                  <c:v>81.485245284714949</c:v>
                </c:pt>
                <c:pt idx="63">
                  <c:v>78.310107648440379</c:v>
                </c:pt>
                <c:pt idx="64">
                  <c:v>78.476025349299462</c:v>
                </c:pt>
                <c:pt idx="65">
                  <c:v>80.946050846386001</c:v>
                </c:pt>
                <c:pt idx="66">
                  <c:v>81.327859623569495</c:v>
                </c:pt>
                <c:pt idx="67">
                  <c:v>78.082256480731729</c:v>
                </c:pt>
                <c:pt idx="68">
                  <c:v>79.340579980635368</c:v>
                </c:pt>
                <c:pt idx="69">
                  <c:v>80.092923053952248</c:v>
                </c:pt>
                <c:pt idx="70">
                  <c:v>78.739223538678743</c:v>
                </c:pt>
                <c:pt idx="71">
                  <c:v>81.20665895228079</c:v>
                </c:pt>
                <c:pt idx="72">
                  <c:v>82.239949904738282</c:v>
                </c:pt>
                <c:pt idx="73">
                  <c:v>84.617570364569517</c:v>
                </c:pt>
                <c:pt idx="74">
                  <c:v>82.74280699535845</c:v>
                </c:pt>
                <c:pt idx="75">
                  <c:v>79.73495828061121</c:v>
                </c:pt>
                <c:pt idx="76">
                  <c:v>81.735873951301897</c:v>
                </c:pt>
                <c:pt idx="77">
                  <c:v>80.796892509250085</c:v>
                </c:pt>
                <c:pt idx="78">
                  <c:v>81.962963329750437</c:v>
                </c:pt>
                <c:pt idx="79">
                  <c:v>83.069157514403585</c:v>
                </c:pt>
                <c:pt idx="80">
                  <c:v>82.421789001134357</c:v>
                </c:pt>
                <c:pt idx="81">
                  <c:v>80.312851613355434</c:v>
                </c:pt>
                <c:pt idx="82">
                  <c:v>78.746308178798088</c:v>
                </c:pt>
                <c:pt idx="83">
                  <c:v>79.722541115670893</c:v>
                </c:pt>
                <c:pt idx="84">
                  <c:v>84.245283953137829</c:v>
                </c:pt>
                <c:pt idx="85">
                  <c:v>84.37036974965325</c:v>
                </c:pt>
                <c:pt idx="86">
                  <c:v>85.501017369556962</c:v>
                </c:pt>
                <c:pt idx="87">
                  <c:v>84.299066274903893</c:v>
                </c:pt>
                <c:pt idx="88">
                  <c:v>84.359552342159219</c:v>
                </c:pt>
                <c:pt idx="89">
                  <c:v>87.641188117001732</c:v>
                </c:pt>
                <c:pt idx="90">
                  <c:v>88.807030400724059</c:v>
                </c:pt>
                <c:pt idx="91">
                  <c:v>89.747383063444133</c:v>
                </c:pt>
                <c:pt idx="92">
                  <c:v>88.267378888838991</c:v>
                </c:pt>
                <c:pt idx="93">
                  <c:v>91.576819971676727</c:v>
                </c:pt>
                <c:pt idx="94">
                  <c:v>95.127367355349605</c:v>
                </c:pt>
                <c:pt idx="95">
                  <c:v>94.694671055588572</c:v>
                </c:pt>
                <c:pt idx="96">
                  <c:v>97.872246417495617</c:v>
                </c:pt>
                <c:pt idx="97">
                  <c:v>97.658259814321539</c:v>
                </c:pt>
                <c:pt idx="98">
                  <c:v>96.122492665873949</c:v>
                </c:pt>
                <c:pt idx="99">
                  <c:v>95.453413158690651</c:v>
                </c:pt>
                <c:pt idx="100">
                  <c:v>91.188383627929994</c:v>
                </c:pt>
                <c:pt idx="101">
                  <c:v>90.739385038001913</c:v>
                </c:pt>
                <c:pt idx="102">
                  <c:v>93.819375195684671</c:v>
                </c:pt>
                <c:pt idx="103">
                  <c:v>94.325812695827508</c:v>
                </c:pt>
                <c:pt idx="104">
                  <c:v>93.55937652119799</c:v>
                </c:pt>
                <c:pt idx="105">
                  <c:v>93.934405373966229</c:v>
                </c:pt>
                <c:pt idx="106">
                  <c:v>93.417988434515507</c:v>
                </c:pt>
                <c:pt idx="107">
                  <c:v>95.404658646041554</c:v>
                </c:pt>
                <c:pt idx="108">
                  <c:v>92.769705774134124</c:v>
                </c:pt>
                <c:pt idx="109">
                  <c:v>92.095674636759895</c:v>
                </c:pt>
                <c:pt idx="110">
                  <c:v>93.182976447761519</c:v>
                </c:pt>
                <c:pt idx="111">
                  <c:v>93.783342563679952</c:v>
                </c:pt>
                <c:pt idx="112">
                  <c:v>96.049894149382382</c:v>
                </c:pt>
                <c:pt idx="113">
                  <c:v>97.002054545634692</c:v>
                </c:pt>
                <c:pt idx="114">
                  <c:v>96.113427373678263</c:v>
                </c:pt>
                <c:pt idx="115">
                  <c:v>95.184120655230245</c:v>
                </c:pt>
                <c:pt idx="116">
                  <c:v>95.143364929812606</c:v>
                </c:pt>
                <c:pt idx="117">
                  <c:v>96.242245937568384</c:v>
                </c:pt>
                <c:pt idx="118">
                  <c:v>97.508796761481562</c:v>
                </c:pt>
                <c:pt idx="119">
                  <c:v>96.727124801649182</c:v>
                </c:pt>
                <c:pt idx="120">
                  <c:v>98.506816871194445</c:v>
                </c:pt>
                <c:pt idx="121">
                  <c:v>98.080138706588542</c:v>
                </c:pt>
                <c:pt idx="122">
                  <c:v>98.420201432316219</c:v>
                </c:pt>
                <c:pt idx="123">
                  <c:v>99.390035339403823</c:v>
                </c:pt>
                <c:pt idx="124">
                  <c:v>100.34158630424801</c:v>
                </c:pt>
                <c:pt idx="125">
                  <c:v>99.826769122243604</c:v>
                </c:pt>
                <c:pt idx="126">
                  <c:v>99.820217734606373</c:v>
                </c:pt>
                <c:pt idx="127">
                  <c:v>97.798962290669863</c:v>
                </c:pt>
                <c:pt idx="128">
                  <c:v>97.80353302623071</c:v>
                </c:pt>
                <c:pt idx="129">
                  <c:v>97.777784549237893</c:v>
                </c:pt>
                <c:pt idx="130">
                  <c:v>97.678599587567319</c:v>
                </c:pt>
                <c:pt idx="131">
                  <c:v>94.306844143249933</c:v>
                </c:pt>
                <c:pt idx="132">
                  <c:v>93.801854042701379</c:v>
                </c:pt>
                <c:pt idx="133">
                  <c:v>96.343335372389305</c:v>
                </c:pt>
                <c:pt idx="134">
                  <c:v>95.992074344537542</c:v>
                </c:pt>
                <c:pt idx="135">
                  <c:v>96.444424807210254</c:v>
                </c:pt>
                <c:pt idx="136">
                  <c:v>95.922065911530439</c:v>
                </c:pt>
                <c:pt idx="137">
                  <c:v>96.555874575969113</c:v>
                </c:pt>
                <c:pt idx="138">
                  <c:v>96.652240917377171</c:v>
                </c:pt>
                <c:pt idx="139">
                  <c:v>98.62801754248315</c:v>
                </c:pt>
                <c:pt idx="140">
                  <c:v>99.479240861766542</c:v>
                </c:pt>
                <c:pt idx="141">
                  <c:v>98.984687274081935</c:v>
                </c:pt>
                <c:pt idx="142">
                  <c:v>98.281022534488173</c:v>
                </c:pt>
                <c:pt idx="143">
                  <c:v>98.428200219547733</c:v>
                </c:pt>
                <c:pt idx="144">
                  <c:v>98.131864197352243</c:v>
                </c:pt>
                <c:pt idx="145">
                  <c:v>98.859906193270575</c:v>
                </c:pt>
                <c:pt idx="146">
                  <c:v>97.737562076302396</c:v>
                </c:pt>
                <c:pt idx="147">
                  <c:v>97.240875478689389</c:v>
                </c:pt>
                <c:pt idx="148">
                  <c:v>99.539498392243843</c:v>
                </c:pt>
                <c:pt idx="149">
                  <c:v>99.502018360644826</c:v>
                </c:pt>
                <c:pt idx="150">
                  <c:v>100.48114609670617</c:v>
                </c:pt>
                <c:pt idx="151">
                  <c:v>99.766663949618376</c:v>
                </c:pt>
                <c:pt idx="152">
                  <c:v>99.285517852912278</c:v>
                </c:pt>
                <c:pt idx="153">
                  <c:v>98.616514524654988</c:v>
                </c:pt>
                <c:pt idx="154">
                  <c:v>98.836443084058175</c:v>
                </c:pt>
                <c:pt idx="155">
                  <c:v>100.88702741451017</c:v>
                </c:pt>
                <c:pt idx="156">
                  <c:v>99.472689474129325</c:v>
                </c:pt>
                <c:pt idx="157">
                  <c:v>97.834004596636461</c:v>
                </c:pt>
                <c:pt idx="158">
                  <c:v>98.791345159857727</c:v>
                </c:pt>
                <c:pt idx="159">
                  <c:v>100.83964412252929</c:v>
                </c:pt>
                <c:pt idx="160">
                  <c:v>100.6239054040569</c:v>
                </c:pt>
                <c:pt idx="161">
                  <c:v>100.57781715381827</c:v>
                </c:pt>
                <c:pt idx="162">
                  <c:v>100.50788489973718</c:v>
                </c:pt>
                <c:pt idx="163">
                  <c:v>100.69079050109744</c:v>
                </c:pt>
                <c:pt idx="164">
                  <c:v>100.97798505217122</c:v>
                </c:pt>
                <c:pt idx="165">
                  <c:v>100.61803962675381</c:v>
                </c:pt>
                <c:pt idx="166">
                  <c:v>99.918183833460745</c:v>
                </c:pt>
                <c:pt idx="167">
                  <c:v>95.546960879836192</c:v>
                </c:pt>
                <c:pt idx="168">
                  <c:v>95.942710400480294</c:v>
                </c:pt>
                <c:pt idx="169">
                  <c:v>96.312787623057602</c:v>
                </c:pt>
                <c:pt idx="170">
                  <c:v>96.035496332365682</c:v>
                </c:pt>
                <c:pt idx="171">
                  <c:v>94.989026425707735</c:v>
                </c:pt>
                <c:pt idx="172">
                  <c:v>98.048905346922737</c:v>
                </c:pt>
                <c:pt idx="173">
                  <c:v>97.705719285228469</c:v>
                </c:pt>
                <c:pt idx="174">
                  <c:v>97.209870655801609</c:v>
                </c:pt>
                <c:pt idx="175">
                  <c:v>96.981638593462876</c:v>
                </c:pt>
                <c:pt idx="176">
                  <c:v>96.66374393520536</c:v>
                </c:pt>
                <c:pt idx="177">
                  <c:v>97.724687837806016</c:v>
                </c:pt>
                <c:pt idx="178">
                  <c:v>98.316674271862894</c:v>
                </c:pt>
                <c:pt idx="179">
                  <c:v>98.488457750025063</c:v>
                </c:pt>
                <c:pt idx="180">
                  <c:v>99.354155065251163</c:v>
                </c:pt>
                <c:pt idx="181">
                  <c:v>99.422868456516042</c:v>
                </c:pt>
                <c:pt idx="182">
                  <c:v>100.08699633350841</c:v>
                </c:pt>
                <c:pt idx="183">
                  <c:v>99.177267599046047</c:v>
                </c:pt>
                <c:pt idx="184">
                  <c:v>99.246361884940981</c:v>
                </c:pt>
                <c:pt idx="185">
                  <c:v>96.775803135372342</c:v>
                </c:pt>
                <c:pt idx="186">
                  <c:v>98.339299412889119</c:v>
                </c:pt>
                <c:pt idx="187">
                  <c:v>97.925419307853616</c:v>
                </c:pt>
                <c:pt idx="188">
                  <c:v>97.028717169739707</c:v>
                </c:pt>
                <c:pt idx="189">
                  <c:v>95.662752847377902</c:v>
                </c:pt>
                <c:pt idx="190">
                  <c:v>95.551683973249112</c:v>
                </c:pt>
                <c:pt idx="191">
                  <c:v>96.3339653644896</c:v>
                </c:pt>
                <c:pt idx="192">
                  <c:v>92.764449428239175</c:v>
                </c:pt>
                <c:pt idx="193">
                  <c:v>91.898980649791113</c:v>
                </c:pt>
                <c:pt idx="194">
                  <c:v>88.066723597717484</c:v>
                </c:pt>
                <c:pt idx="195">
                  <c:v>88.352851643827066</c:v>
                </c:pt>
                <c:pt idx="196">
                  <c:v>88.036023490533736</c:v>
                </c:pt>
                <c:pt idx="197">
                  <c:v>89.801850995544413</c:v>
                </c:pt>
                <c:pt idx="198">
                  <c:v>92.09255130079336</c:v>
                </c:pt>
                <c:pt idx="199">
                  <c:v>95.742359825062834</c:v>
                </c:pt>
                <c:pt idx="200">
                  <c:v>95.071452023655198</c:v>
                </c:pt>
                <c:pt idx="201">
                  <c:v>99.763692971503858</c:v>
                </c:pt>
                <c:pt idx="202">
                  <c:v>100.27515828076365</c:v>
                </c:pt>
                <c:pt idx="203">
                  <c:v>100.67943984112135</c:v>
                </c:pt>
                <c:pt idx="204">
                  <c:v>99.435971231790504</c:v>
                </c:pt>
                <c:pt idx="205">
                  <c:v>99.617048538926397</c:v>
                </c:pt>
                <c:pt idx="206">
                  <c:v>100.0885199120287</c:v>
                </c:pt>
                <c:pt idx="207">
                  <c:v>100.04936394405736</c:v>
                </c:pt>
                <c:pt idx="208">
                  <c:v>100.57058015584695</c:v>
                </c:pt>
                <c:pt idx="209">
                  <c:v>99.688961445083862</c:v>
                </c:pt>
                <c:pt idx="210">
                  <c:v>100.07815957809075</c:v>
                </c:pt>
                <c:pt idx="211">
                  <c:v>99.999847642148069</c:v>
                </c:pt>
                <c:pt idx="212">
                  <c:v>101.26038033090613</c:v>
                </c:pt>
                <c:pt idx="213">
                  <c:v>101.24026909443835</c:v>
                </c:pt>
                <c:pt idx="214">
                  <c:v>101.58977800699181</c:v>
                </c:pt>
                <c:pt idx="215">
                  <c:v>101.2506294283763</c:v>
                </c:pt>
                <c:pt idx="216">
                  <c:v>101.9449241600703</c:v>
                </c:pt>
                <c:pt idx="217">
                  <c:v>101.41883249701579</c:v>
                </c:pt>
                <c:pt idx="218">
                  <c:v>100.95886414174166</c:v>
                </c:pt>
                <c:pt idx="219">
                  <c:v>101.3100489906674</c:v>
                </c:pt>
                <c:pt idx="220">
                  <c:v>101.09705271353153</c:v>
                </c:pt>
                <c:pt idx="221">
                  <c:v>101.15411072911621</c:v>
                </c:pt>
                <c:pt idx="222">
                  <c:v>101.62466795510635</c:v>
                </c:pt>
                <c:pt idx="223">
                  <c:v>101.28544319756482</c:v>
                </c:pt>
                <c:pt idx="224">
                  <c:v>99.90332894288801</c:v>
                </c:pt>
                <c:pt idx="225">
                  <c:v>100.73261273147931</c:v>
                </c:pt>
                <c:pt idx="226">
                  <c:v>101.79690850682462</c:v>
                </c:pt>
                <c:pt idx="227">
                  <c:v>103.34417867310036</c:v>
                </c:pt>
                <c:pt idx="228">
                  <c:v>104.11564265684683</c:v>
                </c:pt>
                <c:pt idx="229">
                  <c:v>103.83576128267042</c:v>
                </c:pt>
                <c:pt idx="230">
                  <c:v>100.90889076627633</c:v>
                </c:pt>
                <c:pt idx="231">
                  <c:v>102.21772089412742</c:v>
                </c:pt>
                <c:pt idx="232">
                  <c:v>103.50605889088067</c:v>
                </c:pt>
                <c:pt idx="233">
                  <c:v>105.05294816252636</c:v>
                </c:pt>
                <c:pt idx="234">
                  <c:v>104.83271488741912</c:v>
                </c:pt>
                <c:pt idx="235">
                  <c:v>104.50819266259835</c:v>
                </c:pt>
                <c:pt idx="236">
                  <c:v>104.5688310877057</c:v>
                </c:pt>
                <c:pt idx="237">
                  <c:v>103.99352783844597</c:v>
                </c:pt>
                <c:pt idx="238">
                  <c:v>105.82753548223941</c:v>
                </c:pt>
                <c:pt idx="239">
                  <c:v>107.02781064052019</c:v>
                </c:pt>
                <c:pt idx="240">
                  <c:v>106.16797910259717</c:v>
                </c:pt>
                <c:pt idx="241">
                  <c:v>106.07961154842062</c:v>
                </c:pt>
                <c:pt idx="242">
                  <c:v>106.19121367503151</c:v>
                </c:pt>
                <c:pt idx="243">
                  <c:v>106.56441423357539</c:v>
                </c:pt>
                <c:pt idx="244">
                  <c:v>105.03344635746669</c:v>
                </c:pt>
                <c:pt idx="245">
                  <c:v>105.24164336226367</c:v>
                </c:pt>
                <c:pt idx="246">
                  <c:v>106.05150152472133</c:v>
                </c:pt>
                <c:pt idx="247">
                  <c:v>105.93951850348036</c:v>
                </c:pt>
                <c:pt idx="248">
                  <c:v>105.6904134154137</c:v>
                </c:pt>
                <c:pt idx="249">
                  <c:v>103.93814575923358</c:v>
                </c:pt>
                <c:pt idx="250">
                  <c:v>105.66771209546145</c:v>
                </c:pt>
                <c:pt idx="251">
                  <c:v>103.75920146202606</c:v>
                </c:pt>
                <c:pt idx="252">
                  <c:v>104.10558703861292</c:v>
                </c:pt>
                <c:pt idx="253">
                  <c:v>102.33016098892446</c:v>
                </c:pt>
                <c:pt idx="254">
                  <c:v>103.7710853744843</c:v>
                </c:pt>
                <c:pt idx="255">
                  <c:v>105.39476300355236</c:v>
                </c:pt>
                <c:pt idx="256">
                  <c:v>106.14489688801483</c:v>
                </c:pt>
                <c:pt idx="257">
                  <c:v>107.10977916491153</c:v>
                </c:pt>
                <c:pt idx="258">
                  <c:v>107.08258328832441</c:v>
                </c:pt>
                <c:pt idx="259">
                  <c:v>107.10688436572296</c:v>
                </c:pt>
                <c:pt idx="260">
                  <c:v>106.74038755266834</c:v>
                </c:pt>
                <c:pt idx="261">
                  <c:v>106.13986907889787</c:v>
                </c:pt>
                <c:pt idx="262">
                  <c:v>106.96214440629586</c:v>
                </c:pt>
                <c:pt idx="263">
                  <c:v>107.03055308185667</c:v>
                </c:pt>
                <c:pt idx="264">
                  <c:v>107.14261228202366</c:v>
                </c:pt>
                <c:pt idx="265">
                  <c:v>105.95932502424408</c:v>
                </c:pt>
                <c:pt idx="266">
                  <c:v>105.7891413035282</c:v>
                </c:pt>
                <c:pt idx="267">
                  <c:v>106.59892328705983</c:v>
                </c:pt>
                <c:pt idx="268">
                  <c:v>106.26990650560423</c:v>
                </c:pt>
                <c:pt idx="269">
                  <c:v>106.46766699753725</c:v>
                </c:pt>
                <c:pt idx="270">
                  <c:v>105.73124531975735</c:v>
                </c:pt>
                <c:pt idx="271">
                  <c:v>105.02247659212064</c:v>
                </c:pt>
                <c:pt idx="272">
                  <c:v>106.74815780312179</c:v>
                </c:pt>
                <c:pt idx="273">
                  <c:v>106.95368854550827</c:v>
                </c:pt>
                <c:pt idx="274">
                  <c:v>107.26015636486368</c:v>
                </c:pt>
                <c:pt idx="275">
                  <c:v>107.07968848913588</c:v>
                </c:pt>
                <c:pt idx="276">
                  <c:v>106.04632135775236</c:v>
                </c:pt>
                <c:pt idx="277">
                  <c:v>109.98667630584023</c:v>
                </c:pt>
                <c:pt idx="278">
                  <c:v>110.76606289789218</c:v>
                </c:pt>
                <c:pt idx="279">
                  <c:v>110.98804828829775</c:v>
                </c:pt>
                <c:pt idx="280">
                  <c:v>110.47764948400217</c:v>
                </c:pt>
                <c:pt idx="281">
                  <c:v>110.16554442412172</c:v>
                </c:pt>
                <c:pt idx="282">
                  <c:v>110.89808097667489</c:v>
                </c:pt>
                <c:pt idx="283">
                  <c:v>111.19540732490857</c:v>
                </c:pt>
                <c:pt idx="284">
                  <c:v>112.55832449022979</c:v>
                </c:pt>
                <c:pt idx="285">
                  <c:v>111.38120772545736</c:v>
                </c:pt>
                <c:pt idx="286">
                  <c:v>111.65705161655501</c:v>
                </c:pt>
                <c:pt idx="287">
                  <c:v>111.69369367996788</c:v>
                </c:pt>
                <c:pt idx="288">
                  <c:v>111.30038188495622</c:v>
                </c:pt>
                <c:pt idx="289">
                  <c:v>111.38395016679388</c:v>
                </c:pt>
                <c:pt idx="290">
                  <c:v>112.35584090488388</c:v>
                </c:pt>
                <c:pt idx="291">
                  <c:v>112.87979955800999</c:v>
                </c:pt>
                <c:pt idx="292">
                  <c:v>114.33397907669632</c:v>
                </c:pt>
                <c:pt idx="293">
                  <c:v>114.33192224569395</c:v>
                </c:pt>
                <c:pt idx="294">
                  <c:v>115.08479857149293</c:v>
                </c:pt>
                <c:pt idx="295">
                  <c:v>115.88856241986944</c:v>
                </c:pt>
                <c:pt idx="296">
                  <c:v>115.61188056058563</c:v>
                </c:pt>
                <c:pt idx="297">
                  <c:v>115.81238349385518</c:v>
                </c:pt>
                <c:pt idx="298">
                  <c:v>116.05219475294808</c:v>
                </c:pt>
                <c:pt idx="299">
                  <c:v>115.90623593070475</c:v>
                </c:pt>
                <c:pt idx="300">
                  <c:v>116.05371833146837</c:v>
                </c:pt>
                <c:pt idx="301">
                  <c:v>115.86167125898641</c:v>
                </c:pt>
                <c:pt idx="302">
                  <c:v>116.2134655393203</c:v>
                </c:pt>
                <c:pt idx="303">
                  <c:v>117.7707151449039</c:v>
                </c:pt>
                <c:pt idx="304">
                  <c:v>117.07474447683757</c:v>
                </c:pt>
                <c:pt idx="305">
                  <c:v>115.25498229220881</c:v>
                </c:pt>
                <c:pt idx="306">
                  <c:v>115.7612674344996</c:v>
                </c:pt>
                <c:pt idx="307">
                  <c:v>116.71007595800729</c:v>
                </c:pt>
                <c:pt idx="308">
                  <c:v>116.39850415060896</c:v>
                </c:pt>
                <c:pt idx="309">
                  <c:v>116.52587531490479</c:v>
                </c:pt>
                <c:pt idx="310">
                  <c:v>116.16730111015565</c:v>
                </c:pt>
                <c:pt idx="311">
                  <c:v>116.49418488168286</c:v>
                </c:pt>
                <c:pt idx="312">
                  <c:v>115.44306806053802</c:v>
                </c:pt>
                <c:pt idx="313">
                  <c:v>115.30373680485792</c:v>
                </c:pt>
                <c:pt idx="314">
                  <c:v>113.17506907524131</c:v>
                </c:pt>
                <c:pt idx="315">
                  <c:v>115.56937271986968</c:v>
                </c:pt>
                <c:pt idx="316">
                  <c:v>115.7671332118027</c:v>
                </c:pt>
                <c:pt idx="317">
                  <c:v>117.31287979955816</c:v>
                </c:pt>
                <c:pt idx="318">
                  <c:v>117.31866939793524</c:v>
                </c:pt>
                <c:pt idx="319">
                  <c:v>115.18063166041887</c:v>
                </c:pt>
                <c:pt idx="320">
                  <c:v>115.41274884798433</c:v>
                </c:pt>
                <c:pt idx="321">
                  <c:v>115.7895298160509</c:v>
                </c:pt>
                <c:pt idx="322">
                  <c:v>117.4423077948564</c:v>
                </c:pt>
                <c:pt idx="323">
                  <c:v>117.28979758497586</c:v>
                </c:pt>
                <c:pt idx="324">
                  <c:v>117.21331394325753</c:v>
                </c:pt>
                <c:pt idx="325">
                  <c:v>115.13347690521606</c:v>
                </c:pt>
                <c:pt idx="326">
                  <c:v>117.08898993600225</c:v>
                </c:pt>
                <c:pt idx="327">
                  <c:v>117.60129321344819</c:v>
                </c:pt>
                <c:pt idx="328">
                  <c:v>117.81139469139552</c:v>
                </c:pt>
                <c:pt idx="329">
                  <c:v>117.701925574713</c:v>
                </c:pt>
                <c:pt idx="330">
                  <c:v>117.36681447917624</c:v>
                </c:pt>
                <c:pt idx="331">
                  <c:v>118.22954081628781</c:v>
                </c:pt>
                <c:pt idx="332">
                  <c:v>118.59047656774341</c:v>
                </c:pt>
                <c:pt idx="333">
                  <c:v>118.85976907120383</c:v>
                </c:pt>
                <c:pt idx="334">
                  <c:v>119.08800113354258</c:v>
                </c:pt>
                <c:pt idx="335">
                  <c:v>119.5468268049265</c:v>
                </c:pt>
                <c:pt idx="336">
                  <c:v>119.42684499645402</c:v>
                </c:pt>
                <c:pt idx="337">
                  <c:v>119.14841102187189</c:v>
                </c:pt>
                <c:pt idx="338">
                  <c:v>118.69545112779107</c:v>
                </c:pt>
                <c:pt idx="339">
                  <c:v>118.61988163318493</c:v>
                </c:pt>
                <c:pt idx="340">
                  <c:v>119.54964542518904</c:v>
                </c:pt>
                <c:pt idx="341">
                  <c:v>119.40010619342303</c:v>
                </c:pt>
                <c:pt idx="342">
                  <c:v>119.82579403199075</c:v>
                </c:pt>
                <c:pt idx="343">
                  <c:v>119.68143496719371</c:v>
                </c:pt>
                <c:pt idx="344">
                  <c:v>119.81170093067811</c:v>
                </c:pt>
                <c:pt idx="345">
                  <c:v>117.68150962254121</c:v>
                </c:pt>
                <c:pt idx="346">
                  <c:v>118.8638065542826</c:v>
                </c:pt>
                <c:pt idx="347">
                  <c:v>119.11588262046381</c:v>
                </c:pt>
                <c:pt idx="348">
                  <c:v>117.7451190257631</c:v>
                </c:pt>
                <c:pt idx="349">
                  <c:v>118.75707987893659</c:v>
                </c:pt>
                <c:pt idx="350">
                  <c:v>118.89983918628732</c:v>
                </c:pt>
                <c:pt idx="351">
                  <c:v>118.49007274325659</c:v>
                </c:pt>
                <c:pt idx="352">
                  <c:v>119.5292294730172</c:v>
                </c:pt>
                <c:pt idx="353">
                  <c:v>118.31379470845961</c:v>
                </c:pt>
                <c:pt idx="354">
                  <c:v>118.86814875306541</c:v>
                </c:pt>
                <c:pt idx="355">
                  <c:v>119.22070482265944</c:v>
                </c:pt>
                <c:pt idx="356">
                  <c:v>118.16402693991556</c:v>
                </c:pt>
                <c:pt idx="357">
                  <c:v>119.54537940533223</c:v>
                </c:pt>
                <c:pt idx="358">
                  <c:v>117.47277936526211</c:v>
                </c:pt>
                <c:pt idx="359">
                  <c:v>119.50896587869742</c:v>
                </c:pt>
                <c:pt idx="360">
                  <c:v>120.29040930175177</c:v>
                </c:pt>
                <c:pt idx="361">
                  <c:v>120.28378173518851</c:v>
                </c:pt>
                <c:pt idx="362">
                  <c:v>120.27875392607157</c:v>
                </c:pt>
                <c:pt idx="363">
                  <c:v>119.06507127681229</c:v>
                </c:pt>
                <c:pt idx="364">
                  <c:v>118.38441257287482</c:v>
                </c:pt>
                <c:pt idx="365">
                  <c:v>115.28309231590806</c:v>
                </c:pt>
                <c:pt idx="366">
                  <c:v>115.91591065430856</c:v>
                </c:pt>
                <c:pt idx="367">
                  <c:v>117.48694864550076</c:v>
                </c:pt>
                <c:pt idx="368">
                  <c:v>118.18809948053607</c:v>
                </c:pt>
                <c:pt idx="369">
                  <c:v>119.36696836060682</c:v>
                </c:pt>
                <c:pt idx="370">
                  <c:v>118.98371218382904</c:v>
                </c:pt>
                <c:pt idx="371">
                  <c:v>118.2230656075766</c:v>
                </c:pt>
                <c:pt idx="372">
                  <c:v>118.6133302455477</c:v>
                </c:pt>
                <c:pt idx="373">
                  <c:v>119.1474206958337</c:v>
                </c:pt>
                <c:pt idx="374">
                  <c:v>118.41549357468865</c:v>
                </c:pt>
                <c:pt idx="375">
                  <c:v>118.60091308060738</c:v>
                </c:pt>
                <c:pt idx="376">
                  <c:v>118.49692884659791</c:v>
                </c:pt>
                <c:pt idx="377">
                  <c:v>119.54096102762341</c:v>
                </c:pt>
                <c:pt idx="378">
                  <c:v>119.94120510490237</c:v>
                </c:pt>
                <c:pt idx="379">
                  <c:v>120.06903334275431</c:v>
                </c:pt>
                <c:pt idx="380">
                  <c:v>119.94684234542741</c:v>
                </c:pt>
                <c:pt idx="381">
                  <c:v>120.1395750282435</c:v>
                </c:pt>
                <c:pt idx="382">
                  <c:v>120.56145392051052</c:v>
                </c:pt>
                <c:pt idx="383">
                  <c:v>121.41023951416146</c:v>
                </c:pt>
                <c:pt idx="384">
                  <c:v>121.71442196573642</c:v>
                </c:pt>
                <c:pt idx="385">
                  <c:v>121.32050073931664</c:v>
                </c:pt>
                <c:pt idx="386">
                  <c:v>121.29170510528326</c:v>
                </c:pt>
                <c:pt idx="387">
                  <c:v>121.62704473759804</c:v>
                </c:pt>
                <c:pt idx="388">
                  <c:v>120.1022473544965</c:v>
                </c:pt>
                <c:pt idx="389">
                  <c:v>120.42395095905475</c:v>
                </c:pt>
                <c:pt idx="390">
                  <c:v>120.76485165296859</c:v>
                </c:pt>
                <c:pt idx="391">
                  <c:v>121.16905703440027</c:v>
                </c:pt>
                <c:pt idx="392">
                  <c:v>120.8248044677418</c:v>
                </c:pt>
                <c:pt idx="393">
                  <c:v>120.31410094774216</c:v>
                </c:pt>
                <c:pt idx="394">
                  <c:v>120.75692904466308</c:v>
                </c:pt>
                <c:pt idx="395">
                  <c:v>121.0278213055698</c:v>
                </c:pt>
                <c:pt idx="396">
                  <c:v>120.63001495392331</c:v>
                </c:pt>
                <c:pt idx="397">
                  <c:v>120.54774171382792</c:v>
                </c:pt>
                <c:pt idx="398">
                  <c:v>120.67191336323117</c:v>
                </c:pt>
                <c:pt idx="399">
                  <c:v>120.21948672163245</c:v>
                </c:pt>
                <c:pt idx="400">
                  <c:v>120.69095809473473</c:v>
                </c:pt>
                <c:pt idx="401">
                  <c:v>118.91743651819661</c:v>
                </c:pt>
                <c:pt idx="402">
                  <c:v>119.01547879597696</c:v>
                </c:pt>
                <c:pt idx="403">
                  <c:v>118.91385610867393</c:v>
                </c:pt>
                <c:pt idx="404">
                  <c:v>119.61173124989062</c:v>
                </c:pt>
                <c:pt idx="405">
                  <c:v>119.77604919330339</c:v>
                </c:pt>
                <c:pt idx="406">
                  <c:v>118.96101086387677</c:v>
                </c:pt>
                <c:pt idx="407">
                  <c:v>119.23335052437777</c:v>
                </c:pt>
                <c:pt idx="408">
                  <c:v>118.00245143783927</c:v>
                </c:pt>
                <c:pt idx="409">
                  <c:v>115.27440791834242</c:v>
                </c:pt>
                <c:pt idx="410">
                  <c:v>116.92345312977322</c:v>
                </c:pt>
                <c:pt idx="411">
                  <c:v>118.12867991824491</c:v>
                </c:pt>
                <c:pt idx="412">
                  <c:v>119.17408331993867</c:v>
                </c:pt>
                <c:pt idx="413">
                  <c:v>118.31920341220659</c:v>
                </c:pt>
                <c:pt idx="414">
                  <c:v>118.64014522750468</c:v>
                </c:pt>
                <c:pt idx="415">
                  <c:v>116.1618924064086</c:v>
                </c:pt>
                <c:pt idx="416">
                  <c:v>117.05097665192109</c:v>
                </c:pt>
                <c:pt idx="417">
                  <c:v>116.2542974436639</c:v>
                </c:pt>
                <c:pt idx="418">
                  <c:v>115.4601321399652</c:v>
                </c:pt>
                <c:pt idx="419">
                  <c:v>114.54682299598016</c:v>
                </c:pt>
                <c:pt idx="420">
                  <c:v>115.74999295344948</c:v>
                </c:pt>
                <c:pt idx="421">
                  <c:v>114.06521982571799</c:v>
                </c:pt>
                <c:pt idx="422">
                  <c:v>116.1794135593919</c:v>
                </c:pt>
                <c:pt idx="423">
                  <c:v>115.83866522333008</c:v>
                </c:pt>
                <c:pt idx="424">
                  <c:v>115.7854161540461</c:v>
                </c:pt>
                <c:pt idx="425">
                  <c:v>115.38722890776955</c:v>
                </c:pt>
                <c:pt idx="426">
                  <c:v>116.16813907834177</c:v>
                </c:pt>
                <c:pt idx="427">
                  <c:v>117.7933402859301</c:v>
                </c:pt>
                <c:pt idx="428">
                  <c:v>118.74283441977191</c:v>
                </c:pt>
                <c:pt idx="429">
                  <c:v>117.88285052399686</c:v>
                </c:pt>
                <c:pt idx="430">
                  <c:v>118.19792656199186</c:v>
                </c:pt>
                <c:pt idx="431">
                  <c:v>118.25193742053597</c:v>
                </c:pt>
                <c:pt idx="432">
                  <c:v>117.86830034912813</c:v>
                </c:pt>
                <c:pt idx="433">
                  <c:v>118.40475234612059</c:v>
                </c:pt>
                <c:pt idx="434">
                  <c:v>118.83325880495084</c:v>
                </c:pt>
                <c:pt idx="435">
                  <c:v>120.035590794234</c:v>
                </c:pt>
                <c:pt idx="436">
                  <c:v>119.64517379841089</c:v>
                </c:pt>
                <c:pt idx="437">
                  <c:v>119.57295617654937</c:v>
                </c:pt>
                <c:pt idx="438">
                  <c:v>119.5153649084826</c:v>
                </c:pt>
                <c:pt idx="439">
                  <c:v>120.41061964700225</c:v>
                </c:pt>
                <c:pt idx="440">
                  <c:v>121.53928661482961</c:v>
                </c:pt>
                <c:pt idx="441">
                  <c:v>121.58141356091549</c:v>
                </c:pt>
                <c:pt idx="442">
                  <c:v>122.30039026463814</c:v>
                </c:pt>
                <c:pt idx="443">
                  <c:v>122.24066598664295</c:v>
                </c:pt>
                <c:pt idx="444">
                  <c:v>122.19457773640431</c:v>
                </c:pt>
                <c:pt idx="445">
                  <c:v>122.40300327797934</c:v>
                </c:pt>
                <c:pt idx="446">
                  <c:v>122.51940467692914</c:v>
                </c:pt>
                <c:pt idx="447">
                  <c:v>122.60289677984078</c:v>
                </c:pt>
                <c:pt idx="448">
                  <c:v>123.01860517910062</c:v>
                </c:pt>
                <c:pt idx="449">
                  <c:v>123.77445248301417</c:v>
                </c:pt>
                <c:pt idx="450">
                  <c:v>123.79936299182083</c:v>
                </c:pt>
                <c:pt idx="451">
                  <c:v>123.5753969493389</c:v>
                </c:pt>
                <c:pt idx="452">
                  <c:v>123.10491590227478</c:v>
                </c:pt>
                <c:pt idx="453">
                  <c:v>122.76759561788361</c:v>
                </c:pt>
                <c:pt idx="454">
                  <c:v>121.4063543889347</c:v>
                </c:pt>
                <c:pt idx="455">
                  <c:v>120.95986970356509</c:v>
                </c:pt>
                <c:pt idx="456">
                  <c:v>116.22649213566872</c:v>
                </c:pt>
                <c:pt idx="457">
                  <c:v>116.4079503374347</c:v>
                </c:pt>
                <c:pt idx="458">
                  <c:v>115.03116860757886</c:v>
                </c:pt>
                <c:pt idx="459">
                  <c:v>117.86913831731431</c:v>
                </c:pt>
                <c:pt idx="460">
                  <c:v>116.27273274375936</c:v>
                </c:pt>
                <c:pt idx="461">
                  <c:v>115.56327840578849</c:v>
                </c:pt>
                <c:pt idx="462">
                  <c:v>117.16920634509523</c:v>
                </c:pt>
                <c:pt idx="463">
                  <c:v>120.46889652540312</c:v>
                </c:pt>
                <c:pt idx="464">
                  <c:v>119.50256684891217</c:v>
                </c:pt>
                <c:pt idx="465">
                  <c:v>119.13820304578593</c:v>
                </c:pt>
                <c:pt idx="466">
                  <c:v>119.01669765879316</c:v>
                </c:pt>
                <c:pt idx="467">
                  <c:v>119.00458520955689</c:v>
                </c:pt>
                <c:pt idx="468">
                  <c:v>117.72356038970101</c:v>
                </c:pt>
                <c:pt idx="469">
                  <c:v>117.89717216208751</c:v>
                </c:pt>
                <c:pt idx="470">
                  <c:v>119.11641587294582</c:v>
                </c:pt>
                <c:pt idx="471">
                  <c:v>118.31874633865046</c:v>
                </c:pt>
                <c:pt idx="472">
                  <c:v>116.09416934118188</c:v>
                </c:pt>
                <c:pt idx="473">
                  <c:v>117.67693888698028</c:v>
                </c:pt>
                <c:pt idx="474">
                  <c:v>118.7893797435666</c:v>
                </c:pt>
                <c:pt idx="475">
                  <c:v>120.0298773747829</c:v>
                </c:pt>
                <c:pt idx="476">
                  <c:v>120.63123381673951</c:v>
                </c:pt>
                <c:pt idx="477">
                  <c:v>121.60975212139276</c:v>
                </c:pt>
                <c:pt idx="478">
                  <c:v>120.76073799096376</c:v>
                </c:pt>
                <c:pt idx="479">
                  <c:v>121.00915746869629</c:v>
                </c:pt>
                <c:pt idx="480">
                  <c:v>122.04420053645211</c:v>
                </c:pt>
                <c:pt idx="481">
                  <c:v>123.04884821272825</c:v>
                </c:pt>
                <c:pt idx="482">
                  <c:v>123.95644393726221</c:v>
                </c:pt>
                <c:pt idx="483">
                  <c:v>122.28264057487678</c:v>
                </c:pt>
                <c:pt idx="484">
                  <c:v>121.488170555474</c:v>
                </c:pt>
                <c:pt idx="485">
                  <c:v>120.12098737029598</c:v>
                </c:pt>
                <c:pt idx="486">
                  <c:v>121.44299645234753</c:v>
                </c:pt>
                <c:pt idx="487">
                  <c:v>121.96489827447125</c:v>
                </c:pt>
                <c:pt idx="488">
                  <c:v>122.12693085010359</c:v>
                </c:pt>
                <c:pt idx="489">
                  <c:v>120.99681648268196</c:v>
                </c:pt>
                <c:pt idx="490">
                  <c:v>120.15366812955608</c:v>
                </c:pt>
                <c:pt idx="491">
                  <c:v>120.43674901862509</c:v>
                </c:pt>
                <c:pt idx="492">
                  <c:v>121.21842097845747</c:v>
                </c:pt>
                <c:pt idx="493">
                  <c:v>118.86868200554746</c:v>
                </c:pt>
                <c:pt idx="494">
                  <c:v>114.35317616605188</c:v>
                </c:pt>
                <c:pt idx="495">
                  <c:v>115.21201737793672</c:v>
                </c:pt>
                <c:pt idx="496">
                  <c:v>117.76797270356734</c:v>
                </c:pt>
                <c:pt idx="497">
                  <c:v>118.2622215755479</c:v>
                </c:pt>
                <c:pt idx="498">
                  <c:v>116.698115866623</c:v>
                </c:pt>
                <c:pt idx="499">
                  <c:v>117.85794001519018</c:v>
                </c:pt>
                <c:pt idx="500">
                  <c:v>118.98683551979558</c:v>
                </c:pt>
                <c:pt idx="501">
                  <c:v>118.94402296337557</c:v>
                </c:pt>
                <c:pt idx="502">
                  <c:v>117.07535390824563</c:v>
                </c:pt>
                <c:pt idx="503">
                  <c:v>115.02682640879603</c:v>
                </c:pt>
                <c:pt idx="504">
                  <c:v>115.84255034855678</c:v>
                </c:pt>
                <c:pt idx="505">
                  <c:v>116.11481383013177</c:v>
                </c:pt>
                <c:pt idx="506">
                  <c:v>117.94028943421162</c:v>
                </c:pt>
                <c:pt idx="507">
                  <c:v>118.00450826884165</c:v>
                </c:pt>
                <c:pt idx="508">
                  <c:v>117.50690752411647</c:v>
                </c:pt>
                <c:pt idx="509">
                  <c:v>115.13660024118259</c:v>
                </c:pt>
                <c:pt idx="510">
                  <c:v>117.41236947693275</c:v>
                </c:pt>
                <c:pt idx="511">
                  <c:v>117.08929465170625</c:v>
                </c:pt>
                <c:pt idx="512">
                  <c:v>116.30716561831778</c:v>
                </c:pt>
                <c:pt idx="513">
                  <c:v>114.59222563588465</c:v>
                </c:pt>
                <c:pt idx="514">
                  <c:v>111.92969599276005</c:v>
                </c:pt>
                <c:pt idx="515">
                  <c:v>108.73619923531604</c:v>
                </c:pt>
                <c:pt idx="516">
                  <c:v>108.97974326178363</c:v>
                </c:pt>
                <c:pt idx="517">
                  <c:v>109.82997625502884</c:v>
                </c:pt>
                <c:pt idx="518">
                  <c:v>112.89968225769967</c:v>
                </c:pt>
                <c:pt idx="519">
                  <c:v>111.26732023106599</c:v>
                </c:pt>
                <c:pt idx="520">
                  <c:v>109.8100173764131</c:v>
                </c:pt>
                <c:pt idx="521">
                  <c:v>110.05173310865636</c:v>
                </c:pt>
                <c:pt idx="522">
                  <c:v>110.59778365032662</c:v>
                </c:pt>
                <c:pt idx="523">
                  <c:v>109.88322532431282</c:v>
                </c:pt>
                <c:pt idx="524">
                  <c:v>107.80605454868186</c:v>
                </c:pt>
                <c:pt idx="525">
                  <c:v>107.24583472677294</c:v>
                </c:pt>
                <c:pt idx="526">
                  <c:v>108.81146401421813</c:v>
                </c:pt>
                <c:pt idx="527">
                  <c:v>108.11907375567448</c:v>
                </c:pt>
                <c:pt idx="528">
                  <c:v>107.60235210051972</c:v>
                </c:pt>
                <c:pt idx="529">
                  <c:v>107.23280813042453</c:v>
                </c:pt>
                <c:pt idx="530">
                  <c:v>107.89868812271521</c:v>
                </c:pt>
                <c:pt idx="531">
                  <c:v>107.81953821858639</c:v>
                </c:pt>
                <c:pt idx="532">
                  <c:v>109.40840207846593</c:v>
                </c:pt>
                <c:pt idx="533">
                  <c:v>110.47780184185417</c:v>
                </c:pt>
                <c:pt idx="534">
                  <c:v>107.73292277970816</c:v>
                </c:pt>
                <c:pt idx="535">
                  <c:v>106.07283162400529</c:v>
                </c:pt>
                <c:pt idx="536">
                  <c:v>104.79477778226395</c:v>
                </c:pt>
                <c:pt idx="537">
                  <c:v>105.08075347052151</c:v>
                </c:pt>
                <c:pt idx="538">
                  <c:v>106.4969197051267</c:v>
                </c:pt>
                <c:pt idx="539">
                  <c:v>107.39613574779908</c:v>
                </c:pt>
                <c:pt idx="540">
                  <c:v>106.42820631386182</c:v>
                </c:pt>
                <c:pt idx="541">
                  <c:v>105.90790424918438</c:v>
                </c:pt>
                <c:pt idx="542">
                  <c:v>104.16927262076081</c:v>
                </c:pt>
                <c:pt idx="543">
                  <c:v>105.34509434379098</c:v>
                </c:pt>
                <c:pt idx="544">
                  <c:v>104.66710190226402</c:v>
                </c:pt>
                <c:pt idx="545">
                  <c:v>106.86326416032929</c:v>
                </c:pt>
                <c:pt idx="546">
                  <c:v>106.37914708550862</c:v>
                </c:pt>
                <c:pt idx="547">
                  <c:v>108.06696737028069</c:v>
                </c:pt>
                <c:pt idx="548">
                  <c:v>106.70961126655851</c:v>
                </c:pt>
                <c:pt idx="549">
                  <c:v>105.75387046078353</c:v>
                </c:pt>
                <c:pt idx="550">
                  <c:v>106.51268874281163</c:v>
                </c:pt>
                <c:pt idx="551">
                  <c:v>107.98667478226166</c:v>
                </c:pt>
                <c:pt idx="552">
                  <c:v>106.03916053870697</c:v>
                </c:pt>
                <c:pt idx="553">
                  <c:v>106.71090630830076</c:v>
                </c:pt>
                <c:pt idx="554">
                  <c:v>108.41243879975541</c:v>
                </c:pt>
                <c:pt idx="555">
                  <c:v>110.17141020142479</c:v>
                </c:pt>
                <c:pt idx="556">
                  <c:v>109.60890501173544</c:v>
                </c:pt>
                <c:pt idx="557">
                  <c:v>109.24416031397914</c:v>
                </c:pt>
                <c:pt idx="558">
                  <c:v>110.34646937340555</c:v>
                </c:pt>
                <c:pt idx="559">
                  <c:v>110.15541262696178</c:v>
                </c:pt>
                <c:pt idx="560">
                  <c:v>111.63115078171013</c:v>
                </c:pt>
                <c:pt idx="561">
                  <c:v>110.89076779977749</c:v>
                </c:pt>
                <c:pt idx="562">
                  <c:v>110.04800034128166</c:v>
                </c:pt>
                <c:pt idx="563">
                  <c:v>108.16493346913504</c:v>
                </c:pt>
                <c:pt idx="564">
                  <c:v>104.8361429390897</c:v>
                </c:pt>
                <c:pt idx="565">
                  <c:v>102.28567249613211</c:v>
                </c:pt>
                <c:pt idx="566">
                  <c:v>101.35141414749314</c:v>
                </c:pt>
                <c:pt idx="567">
                  <c:v>102.72949091909122</c:v>
                </c:pt>
                <c:pt idx="568">
                  <c:v>99.325816504773826</c:v>
                </c:pt>
                <c:pt idx="569">
                  <c:v>99.994438938401046</c:v>
                </c:pt>
                <c:pt idx="570">
                  <c:v>101.05591609348382</c:v>
                </c:pt>
                <c:pt idx="571">
                  <c:v>101.26007561520206</c:v>
                </c:pt>
                <c:pt idx="572">
                  <c:v>100.13171336307877</c:v>
                </c:pt>
                <c:pt idx="573">
                  <c:v>98.366723826254244</c:v>
                </c:pt>
                <c:pt idx="574">
                  <c:v>99.932505471551451</c:v>
                </c:pt>
                <c:pt idx="575">
                  <c:v>100.45006509489237</c:v>
                </c:pt>
                <c:pt idx="576">
                  <c:v>100.79858368140764</c:v>
                </c:pt>
                <c:pt idx="577">
                  <c:v>99.05812375875972</c:v>
                </c:pt>
                <c:pt idx="578">
                  <c:v>97.385386901338478</c:v>
                </c:pt>
                <c:pt idx="579">
                  <c:v>97.608286438856226</c:v>
                </c:pt>
                <c:pt idx="580">
                  <c:v>97.306236997209652</c:v>
                </c:pt>
                <c:pt idx="581">
                  <c:v>94.471009728810742</c:v>
                </c:pt>
                <c:pt idx="582">
                  <c:v>95.943700726518514</c:v>
                </c:pt>
                <c:pt idx="583">
                  <c:v>97.838270616493276</c:v>
                </c:pt>
                <c:pt idx="584">
                  <c:v>99.148624322864649</c:v>
                </c:pt>
                <c:pt idx="585">
                  <c:v>97.756149734249888</c:v>
                </c:pt>
                <c:pt idx="586">
                  <c:v>98.312560609858082</c:v>
                </c:pt>
                <c:pt idx="587">
                  <c:v>97.176275749429308</c:v>
                </c:pt>
                <c:pt idx="588">
                  <c:v>95.373425286375706</c:v>
                </c:pt>
                <c:pt idx="589">
                  <c:v>98.002055307423944</c:v>
                </c:pt>
                <c:pt idx="590">
                  <c:v>98.726440714893599</c:v>
                </c:pt>
                <c:pt idx="591">
                  <c:v>101.3820380757509</c:v>
                </c:pt>
                <c:pt idx="592">
                  <c:v>101.18069717429519</c:v>
                </c:pt>
                <c:pt idx="593">
                  <c:v>100.91148084976078</c:v>
                </c:pt>
                <c:pt idx="594">
                  <c:v>100.96511081367483</c:v>
                </c:pt>
                <c:pt idx="595">
                  <c:v>100.63479899047697</c:v>
                </c:pt>
                <c:pt idx="596">
                  <c:v>99.771006148401213</c:v>
                </c:pt>
                <c:pt idx="597">
                  <c:v>100.30006878957028</c:v>
                </c:pt>
                <c:pt idx="598">
                  <c:v>101.18168750033338</c:v>
                </c:pt>
                <c:pt idx="599">
                  <c:v>102.72004473226545</c:v>
                </c:pt>
                <c:pt idx="600">
                  <c:v>102.68637364696714</c:v>
                </c:pt>
                <c:pt idx="601">
                  <c:v>102.45456117510574</c:v>
                </c:pt>
                <c:pt idx="602">
                  <c:v>103.50857279543911</c:v>
                </c:pt>
                <c:pt idx="603">
                  <c:v>104.08082888765827</c:v>
                </c:pt>
                <c:pt idx="604">
                  <c:v>103.40474091928166</c:v>
                </c:pt>
                <c:pt idx="605">
                  <c:v>104.27135238161995</c:v>
                </c:pt>
                <c:pt idx="606">
                  <c:v>103.10794782353008</c:v>
                </c:pt>
                <c:pt idx="607">
                  <c:v>104.37221327966283</c:v>
                </c:pt>
                <c:pt idx="608">
                  <c:v>104.32330640916166</c:v>
                </c:pt>
                <c:pt idx="609">
                  <c:v>105.09530364539023</c:v>
                </c:pt>
                <c:pt idx="610">
                  <c:v>105.25345109579584</c:v>
                </c:pt>
                <c:pt idx="611">
                  <c:v>105.96580023295523</c:v>
                </c:pt>
                <c:pt idx="612">
                  <c:v>103.80681329078492</c:v>
                </c:pt>
                <c:pt idx="613">
                  <c:v>104.34539829770578</c:v>
                </c:pt>
                <c:pt idx="614">
                  <c:v>103.18069869787368</c:v>
                </c:pt>
                <c:pt idx="615">
                  <c:v>100.78906131565581</c:v>
                </c:pt>
                <c:pt idx="616">
                  <c:v>100.51222709851999</c:v>
                </c:pt>
                <c:pt idx="617">
                  <c:v>100.70899726441483</c:v>
                </c:pt>
                <c:pt idx="618">
                  <c:v>101.10436589042888</c:v>
                </c:pt>
                <c:pt idx="619">
                  <c:v>98.815265342626233</c:v>
                </c:pt>
                <c:pt idx="620">
                  <c:v>98.217413131266284</c:v>
                </c:pt>
                <c:pt idx="621">
                  <c:v>98.736572512053499</c:v>
                </c:pt>
                <c:pt idx="622">
                  <c:v>97.775346823605489</c:v>
                </c:pt>
                <c:pt idx="623">
                  <c:v>96.215735671315443</c:v>
                </c:pt>
                <c:pt idx="624">
                  <c:v>99.415555279618644</c:v>
                </c:pt>
                <c:pt idx="625">
                  <c:v>97.210251550431678</c:v>
                </c:pt>
                <c:pt idx="626">
                  <c:v>98.053247545705545</c:v>
                </c:pt>
                <c:pt idx="627">
                  <c:v>98.392472303247061</c:v>
                </c:pt>
                <c:pt idx="628">
                  <c:v>98.303723854440449</c:v>
                </c:pt>
                <c:pt idx="629">
                  <c:v>99.704578124916779</c:v>
                </c:pt>
                <c:pt idx="630">
                  <c:v>102.09705347532082</c:v>
                </c:pt>
                <c:pt idx="631">
                  <c:v>100.47200462558452</c:v>
                </c:pt>
                <c:pt idx="632">
                  <c:v>99.245904811384904</c:v>
                </c:pt>
                <c:pt idx="633">
                  <c:v>98.702444353199141</c:v>
                </c:pt>
                <c:pt idx="634">
                  <c:v>97.061550286851869</c:v>
                </c:pt>
                <c:pt idx="635">
                  <c:v>97.533707270288289</c:v>
                </c:pt>
                <c:pt idx="636">
                  <c:v>96.525022110933406</c:v>
                </c:pt>
                <c:pt idx="637">
                  <c:v>97.258777526302808</c:v>
                </c:pt>
              </c:numCache>
            </c:numRef>
          </c:val>
          <c:smooth val="0"/>
          <c:extLst>
            <c:ext xmlns:c16="http://schemas.microsoft.com/office/drawing/2014/chart" uri="{C3380CC4-5D6E-409C-BE32-E72D297353CC}">
              <c16:uniqueId val="{00000001-6081-4704-A359-D34AB5B0377E}"/>
            </c:ext>
          </c:extLst>
        </c:ser>
        <c:ser>
          <c:idx val="4"/>
          <c:order val="2"/>
          <c:tx>
            <c:strRef>
              <c:f>Sheet1!$F$1</c:f>
              <c:strCache>
                <c:ptCount val="1"/>
                <c:pt idx="0">
                  <c:v>MOEX (ՌԴ)</c:v>
                </c:pt>
              </c:strCache>
            </c:strRef>
          </c:tx>
          <c:spPr>
            <a:ln w="28575" cap="rnd">
              <a:solidFill>
                <a:schemeClr val="accent2">
                  <a:lumMod val="75000"/>
                </a:schemeClr>
              </a:solidFill>
              <a:round/>
            </a:ln>
            <a:effectLst/>
          </c:spPr>
          <c:marker>
            <c:symbol val="none"/>
          </c:marker>
          <c:cat>
            <c:numRef>
              <c:f>Sheet1!$A$2:$A$639</c:f>
              <c:numCache>
                <c:formatCode>d\-mmm\-yy</c:formatCode>
                <c:ptCount val="638"/>
                <c:pt idx="0">
                  <c:v>43836</c:v>
                </c:pt>
                <c:pt idx="1">
                  <c:v>43838</c:v>
                </c:pt>
                <c:pt idx="2">
                  <c:v>43839</c:v>
                </c:pt>
                <c:pt idx="3">
                  <c:v>43840</c:v>
                </c:pt>
                <c:pt idx="4">
                  <c:v>43843</c:v>
                </c:pt>
                <c:pt idx="5">
                  <c:v>43844</c:v>
                </c:pt>
                <c:pt idx="6">
                  <c:v>43845</c:v>
                </c:pt>
                <c:pt idx="7">
                  <c:v>43846</c:v>
                </c:pt>
                <c:pt idx="8">
                  <c:v>43847</c:v>
                </c:pt>
                <c:pt idx="9">
                  <c:v>43851</c:v>
                </c:pt>
                <c:pt idx="10">
                  <c:v>43852</c:v>
                </c:pt>
                <c:pt idx="11">
                  <c:v>43853</c:v>
                </c:pt>
                <c:pt idx="12">
                  <c:v>43854</c:v>
                </c:pt>
                <c:pt idx="13">
                  <c:v>43857</c:v>
                </c:pt>
                <c:pt idx="14">
                  <c:v>43858</c:v>
                </c:pt>
                <c:pt idx="15">
                  <c:v>43859</c:v>
                </c:pt>
                <c:pt idx="16">
                  <c:v>43860</c:v>
                </c:pt>
                <c:pt idx="17">
                  <c:v>43861</c:v>
                </c:pt>
                <c:pt idx="18">
                  <c:v>43864</c:v>
                </c:pt>
                <c:pt idx="19">
                  <c:v>43865</c:v>
                </c:pt>
                <c:pt idx="20">
                  <c:v>43866</c:v>
                </c:pt>
                <c:pt idx="21">
                  <c:v>43867</c:v>
                </c:pt>
                <c:pt idx="22">
                  <c:v>43868</c:v>
                </c:pt>
                <c:pt idx="23">
                  <c:v>43871</c:v>
                </c:pt>
                <c:pt idx="24">
                  <c:v>43872</c:v>
                </c:pt>
                <c:pt idx="25">
                  <c:v>43873</c:v>
                </c:pt>
                <c:pt idx="26">
                  <c:v>43874</c:v>
                </c:pt>
                <c:pt idx="27">
                  <c:v>43875</c:v>
                </c:pt>
                <c:pt idx="28">
                  <c:v>43879</c:v>
                </c:pt>
                <c:pt idx="29">
                  <c:v>43880</c:v>
                </c:pt>
                <c:pt idx="30">
                  <c:v>43882</c:v>
                </c:pt>
                <c:pt idx="31">
                  <c:v>43886</c:v>
                </c:pt>
                <c:pt idx="32">
                  <c:v>43887</c:v>
                </c:pt>
                <c:pt idx="33">
                  <c:v>43888</c:v>
                </c:pt>
                <c:pt idx="34">
                  <c:v>43892</c:v>
                </c:pt>
                <c:pt idx="35">
                  <c:v>43893</c:v>
                </c:pt>
                <c:pt idx="36">
                  <c:v>43894</c:v>
                </c:pt>
                <c:pt idx="37">
                  <c:v>43895</c:v>
                </c:pt>
                <c:pt idx="38">
                  <c:v>43896</c:v>
                </c:pt>
                <c:pt idx="39">
                  <c:v>43900</c:v>
                </c:pt>
                <c:pt idx="40">
                  <c:v>43901</c:v>
                </c:pt>
                <c:pt idx="41">
                  <c:v>43902</c:v>
                </c:pt>
                <c:pt idx="42">
                  <c:v>43903</c:v>
                </c:pt>
                <c:pt idx="43">
                  <c:v>43906</c:v>
                </c:pt>
                <c:pt idx="44">
                  <c:v>43907</c:v>
                </c:pt>
                <c:pt idx="45">
                  <c:v>43908</c:v>
                </c:pt>
                <c:pt idx="46">
                  <c:v>43909</c:v>
                </c:pt>
                <c:pt idx="47">
                  <c:v>43910</c:v>
                </c:pt>
                <c:pt idx="48">
                  <c:v>43913</c:v>
                </c:pt>
                <c:pt idx="49">
                  <c:v>43914</c:v>
                </c:pt>
                <c:pt idx="50">
                  <c:v>43915</c:v>
                </c:pt>
                <c:pt idx="51">
                  <c:v>43916</c:v>
                </c:pt>
                <c:pt idx="52">
                  <c:v>43917</c:v>
                </c:pt>
                <c:pt idx="53">
                  <c:v>43920</c:v>
                </c:pt>
                <c:pt idx="54">
                  <c:v>43921</c:v>
                </c:pt>
                <c:pt idx="55">
                  <c:v>43922</c:v>
                </c:pt>
                <c:pt idx="56">
                  <c:v>43923</c:v>
                </c:pt>
                <c:pt idx="57">
                  <c:v>43924</c:v>
                </c:pt>
                <c:pt idx="58">
                  <c:v>43927</c:v>
                </c:pt>
                <c:pt idx="59">
                  <c:v>43928</c:v>
                </c:pt>
                <c:pt idx="60">
                  <c:v>43929</c:v>
                </c:pt>
                <c:pt idx="61">
                  <c:v>43930</c:v>
                </c:pt>
                <c:pt idx="62">
                  <c:v>43935</c:v>
                </c:pt>
                <c:pt idx="63">
                  <c:v>43936</c:v>
                </c:pt>
                <c:pt idx="64">
                  <c:v>43937</c:v>
                </c:pt>
                <c:pt idx="65">
                  <c:v>43938</c:v>
                </c:pt>
                <c:pt idx="66">
                  <c:v>43941</c:v>
                </c:pt>
                <c:pt idx="67">
                  <c:v>43942</c:v>
                </c:pt>
                <c:pt idx="68">
                  <c:v>43943</c:v>
                </c:pt>
                <c:pt idx="69">
                  <c:v>43944</c:v>
                </c:pt>
                <c:pt idx="70">
                  <c:v>43945</c:v>
                </c:pt>
                <c:pt idx="71">
                  <c:v>43948</c:v>
                </c:pt>
                <c:pt idx="72">
                  <c:v>43949</c:v>
                </c:pt>
                <c:pt idx="73">
                  <c:v>43950</c:v>
                </c:pt>
                <c:pt idx="74">
                  <c:v>43951</c:v>
                </c:pt>
                <c:pt idx="75">
                  <c:v>43955</c:v>
                </c:pt>
                <c:pt idx="76">
                  <c:v>43956</c:v>
                </c:pt>
                <c:pt idx="77">
                  <c:v>43957</c:v>
                </c:pt>
                <c:pt idx="78">
                  <c:v>43958</c:v>
                </c:pt>
                <c:pt idx="79">
                  <c:v>43959</c:v>
                </c:pt>
                <c:pt idx="80">
                  <c:v>43963</c:v>
                </c:pt>
                <c:pt idx="81">
                  <c:v>43964</c:v>
                </c:pt>
                <c:pt idx="82">
                  <c:v>43965</c:v>
                </c:pt>
                <c:pt idx="83">
                  <c:v>43966</c:v>
                </c:pt>
                <c:pt idx="84">
                  <c:v>43969</c:v>
                </c:pt>
                <c:pt idx="85">
                  <c:v>43970</c:v>
                </c:pt>
                <c:pt idx="86">
                  <c:v>43971</c:v>
                </c:pt>
                <c:pt idx="87">
                  <c:v>43972</c:v>
                </c:pt>
                <c:pt idx="88">
                  <c:v>43973</c:v>
                </c:pt>
                <c:pt idx="89">
                  <c:v>43977</c:v>
                </c:pt>
                <c:pt idx="90">
                  <c:v>43978</c:v>
                </c:pt>
                <c:pt idx="91">
                  <c:v>43979</c:v>
                </c:pt>
                <c:pt idx="92">
                  <c:v>43980</c:v>
                </c:pt>
                <c:pt idx="93">
                  <c:v>43984</c:v>
                </c:pt>
                <c:pt idx="94">
                  <c:v>43985</c:v>
                </c:pt>
                <c:pt idx="95">
                  <c:v>43986</c:v>
                </c:pt>
                <c:pt idx="96">
                  <c:v>43987</c:v>
                </c:pt>
                <c:pt idx="97">
                  <c:v>43990</c:v>
                </c:pt>
                <c:pt idx="98">
                  <c:v>43991</c:v>
                </c:pt>
                <c:pt idx="99">
                  <c:v>43992</c:v>
                </c:pt>
                <c:pt idx="100">
                  <c:v>43993</c:v>
                </c:pt>
                <c:pt idx="101">
                  <c:v>43997</c:v>
                </c:pt>
                <c:pt idx="102">
                  <c:v>43998</c:v>
                </c:pt>
                <c:pt idx="103">
                  <c:v>43999</c:v>
                </c:pt>
                <c:pt idx="104">
                  <c:v>44000</c:v>
                </c:pt>
                <c:pt idx="105">
                  <c:v>44001</c:v>
                </c:pt>
                <c:pt idx="106">
                  <c:v>44004</c:v>
                </c:pt>
                <c:pt idx="107">
                  <c:v>44005</c:v>
                </c:pt>
                <c:pt idx="108">
                  <c:v>44007</c:v>
                </c:pt>
                <c:pt idx="109">
                  <c:v>44008</c:v>
                </c:pt>
                <c:pt idx="110">
                  <c:v>44011</c:v>
                </c:pt>
                <c:pt idx="111">
                  <c:v>44012</c:v>
                </c:pt>
                <c:pt idx="112">
                  <c:v>44014</c:v>
                </c:pt>
                <c:pt idx="113">
                  <c:v>44018</c:v>
                </c:pt>
                <c:pt idx="114">
                  <c:v>44019</c:v>
                </c:pt>
                <c:pt idx="115">
                  <c:v>44020</c:v>
                </c:pt>
                <c:pt idx="116">
                  <c:v>44021</c:v>
                </c:pt>
                <c:pt idx="117">
                  <c:v>44022</c:v>
                </c:pt>
                <c:pt idx="118">
                  <c:v>44025</c:v>
                </c:pt>
                <c:pt idx="119">
                  <c:v>44026</c:v>
                </c:pt>
                <c:pt idx="120">
                  <c:v>44027</c:v>
                </c:pt>
                <c:pt idx="121">
                  <c:v>44028</c:v>
                </c:pt>
                <c:pt idx="122">
                  <c:v>44029</c:v>
                </c:pt>
                <c:pt idx="123">
                  <c:v>44032</c:v>
                </c:pt>
                <c:pt idx="124">
                  <c:v>44033</c:v>
                </c:pt>
                <c:pt idx="125">
                  <c:v>44034</c:v>
                </c:pt>
                <c:pt idx="126">
                  <c:v>44035</c:v>
                </c:pt>
                <c:pt idx="127">
                  <c:v>44036</c:v>
                </c:pt>
                <c:pt idx="128">
                  <c:v>44039</c:v>
                </c:pt>
                <c:pt idx="129">
                  <c:v>44040</c:v>
                </c:pt>
                <c:pt idx="130">
                  <c:v>44041</c:v>
                </c:pt>
                <c:pt idx="131">
                  <c:v>44042</c:v>
                </c:pt>
                <c:pt idx="132">
                  <c:v>44043</c:v>
                </c:pt>
                <c:pt idx="133">
                  <c:v>44046</c:v>
                </c:pt>
                <c:pt idx="134">
                  <c:v>44047</c:v>
                </c:pt>
                <c:pt idx="135">
                  <c:v>44048</c:v>
                </c:pt>
                <c:pt idx="136">
                  <c:v>44049</c:v>
                </c:pt>
                <c:pt idx="137">
                  <c:v>44050</c:v>
                </c:pt>
                <c:pt idx="138">
                  <c:v>44053</c:v>
                </c:pt>
                <c:pt idx="139">
                  <c:v>44054</c:v>
                </c:pt>
                <c:pt idx="140">
                  <c:v>44055</c:v>
                </c:pt>
                <c:pt idx="141">
                  <c:v>44056</c:v>
                </c:pt>
                <c:pt idx="142">
                  <c:v>44057</c:v>
                </c:pt>
                <c:pt idx="143">
                  <c:v>44060</c:v>
                </c:pt>
                <c:pt idx="144">
                  <c:v>44061</c:v>
                </c:pt>
                <c:pt idx="145">
                  <c:v>44062</c:v>
                </c:pt>
                <c:pt idx="146">
                  <c:v>44063</c:v>
                </c:pt>
                <c:pt idx="147">
                  <c:v>44064</c:v>
                </c:pt>
                <c:pt idx="148">
                  <c:v>44067</c:v>
                </c:pt>
                <c:pt idx="149">
                  <c:v>44068</c:v>
                </c:pt>
                <c:pt idx="150">
                  <c:v>44069</c:v>
                </c:pt>
                <c:pt idx="151">
                  <c:v>44070</c:v>
                </c:pt>
                <c:pt idx="152">
                  <c:v>44071</c:v>
                </c:pt>
                <c:pt idx="153">
                  <c:v>44074</c:v>
                </c:pt>
                <c:pt idx="154">
                  <c:v>44075</c:v>
                </c:pt>
                <c:pt idx="155">
                  <c:v>44076</c:v>
                </c:pt>
                <c:pt idx="156">
                  <c:v>44077</c:v>
                </c:pt>
                <c:pt idx="157">
                  <c:v>44078</c:v>
                </c:pt>
                <c:pt idx="158">
                  <c:v>44082</c:v>
                </c:pt>
                <c:pt idx="159">
                  <c:v>44083</c:v>
                </c:pt>
                <c:pt idx="160">
                  <c:v>44084</c:v>
                </c:pt>
                <c:pt idx="161">
                  <c:v>44085</c:v>
                </c:pt>
                <c:pt idx="162">
                  <c:v>44088</c:v>
                </c:pt>
                <c:pt idx="163">
                  <c:v>44089</c:v>
                </c:pt>
                <c:pt idx="164">
                  <c:v>44090</c:v>
                </c:pt>
                <c:pt idx="165">
                  <c:v>44091</c:v>
                </c:pt>
                <c:pt idx="166">
                  <c:v>44092</c:v>
                </c:pt>
                <c:pt idx="167">
                  <c:v>44095</c:v>
                </c:pt>
                <c:pt idx="168">
                  <c:v>44096</c:v>
                </c:pt>
                <c:pt idx="169">
                  <c:v>44097</c:v>
                </c:pt>
                <c:pt idx="170">
                  <c:v>44098</c:v>
                </c:pt>
                <c:pt idx="171">
                  <c:v>44099</c:v>
                </c:pt>
                <c:pt idx="172">
                  <c:v>44102</c:v>
                </c:pt>
                <c:pt idx="173">
                  <c:v>44103</c:v>
                </c:pt>
                <c:pt idx="174">
                  <c:v>44104</c:v>
                </c:pt>
                <c:pt idx="175">
                  <c:v>44105</c:v>
                </c:pt>
                <c:pt idx="176">
                  <c:v>44106</c:v>
                </c:pt>
                <c:pt idx="177">
                  <c:v>44109</c:v>
                </c:pt>
                <c:pt idx="178">
                  <c:v>44110</c:v>
                </c:pt>
                <c:pt idx="179">
                  <c:v>44111</c:v>
                </c:pt>
                <c:pt idx="180">
                  <c:v>44112</c:v>
                </c:pt>
                <c:pt idx="181">
                  <c:v>44113</c:v>
                </c:pt>
                <c:pt idx="182">
                  <c:v>44116</c:v>
                </c:pt>
                <c:pt idx="183">
                  <c:v>44117</c:v>
                </c:pt>
                <c:pt idx="184">
                  <c:v>44118</c:v>
                </c:pt>
                <c:pt idx="185">
                  <c:v>44119</c:v>
                </c:pt>
                <c:pt idx="186">
                  <c:v>44120</c:v>
                </c:pt>
                <c:pt idx="187">
                  <c:v>44123</c:v>
                </c:pt>
                <c:pt idx="188">
                  <c:v>44124</c:v>
                </c:pt>
                <c:pt idx="189">
                  <c:v>44125</c:v>
                </c:pt>
                <c:pt idx="190">
                  <c:v>44126</c:v>
                </c:pt>
                <c:pt idx="191">
                  <c:v>44127</c:v>
                </c:pt>
                <c:pt idx="192">
                  <c:v>44130</c:v>
                </c:pt>
                <c:pt idx="193">
                  <c:v>44131</c:v>
                </c:pt>
                <c:pt idx="194">
                  <c:v>44132</c:v>
                </c:pt>
                <c:pt idx="195">
                  <c:v>44133</c:v>
                </c:pt>
                <c:pt idx="196">
                  <c:v>44134</c:v>
                </c:pt>
                <c:pt idx="197">
                  <c:v>44137</c:v>
                </c:pt>
                <c:pt idx="198">
                  <c:v>44138</c:v>
                </c:pt>
                <c:pt idx="199">
                  <c:v>44140</c:v>
                </c:pt>
                <c:pt idx="200">
                  <c:v>44141</c:v>
                </c:pt>
                <c:pt idx="201">
                  <c:v>44144</c:v>
                </c:pt>
                <c:pt idx="202">
                  <c:v>44145</c:v>
                </c:pt>
                <c:pt idx="203">
                  <c:v>44146</c:v>
                </c:pt>
                <c:pt idx="204">
                  <c:v>44147</c:v>
                </c:pt>
                <c:pt idx="205">
                  <c:v>44148</c:v>
                </c:pt>
                <c:pt idx="206">
                  <c:v>44151</c:v>
                </c:pt>
                <c:pt idx="207">
                  <c:v>44152</c:v>
                </c:pt>
                <c:pt idx="208">
                  <c:v>44153</c:v>
                </c:pt>
                <c:pt idx="209">
                  <c:v>44154</c:v>
                </c:pt>
                <c:pt idx="210">
                  <c:v>44155</c:v>
                </c:pt>
                <c:pt idx="211">
                  <c:v>44158</c:v>
                </c:pt>
                <c:pt idx="212">
                  <c:v>44159</c:v>
                </c:pt>
                <c:pt idx="213">
                  <c:v>44160</c:v>
                </c:pt>
                <c:pt idx="214">
                  <c:v>44162</c:v>
                </c:pt>
                <c:pt idx="215">
                  <c:v>44165</c:v>
                </c:pt>
                <c:pt idx="216">
                  <c:v>44166</c:v>
                </c:pt>
                <c:pt idx="217">
                  <c:v>44167</c:v>
                </c:pt>
                <c:pt idx="218">
                  <c:v>44168</c:v>
                </c:pt>
                <c:pt idx="219">
                  <c:v>44169</c:v>
                </c:pt>
                <c:pt idx="220">
                  <c:v>44172</c:v>
                </c:pt>
                <c:pt idx="221">
                  <c:v>44173</c:v>
                </c:pt>
                <c:pt idx="222">
                  <c:v>44174</c:v>
                </c:pt>
                <c:pt idx="223">
                  <c:v>44175</c:v>
                </c:pt>
                <c:pt idx="224">
                  <c:v>44176</c:v>
                </c:pt>
                <c:pt idx="225">
                  <c:v>44179</c:v>
                </c:pt>
                <c:pt idx="226">
                  <c:v>44180</c:v>
                </c:pt>
                <c:pt idx="227">
                  <c:v>44181</c:v>
                </c:pt>
                <c:pt idx="228">
                  <c:v>44182</c:v>
                </c:pt>
                <c:pt idx="229">
                  <c:v>44183</c:v>
                </c:pt>
                <c:pt idx="230">
                  <c:v>44186</c:v>
                </c:pt>
                <c:pt idx="231">
                  <c:v>44187</c:v>
                </c:pt>
                <c:pt idx="232">
                  <c:v>44188</c:v>
                </c:pt>
                <c:pt idx="233">
                  <c:v>44193</c:v>
                </c:pt>
                <c:pt idx="234">
                  <c:v>44194</c:v>
                </c:pt>
                <c:pt idx="235">
                  <c:v>44195</c:v>
                </c:pt>
                <c:pt idx="236">
                  <c:v>44200</c:v>
                </c:pt>
                <c:pt idx="237">
                  <c:v>44201</c:v>
                </c:pt>
                <c:pt idx="238">
                  <c:v>44202</c:v>
                </c:pt>
                <c:pt idx="239">
                  <c:v>44204</c:v>
                </c:pt>
                <c:pt idx="240">
                  <c:v>44207</c:v>
                </c:pt>
                <c:pt idx="241">
                  <c:v>44208</c:v>
                </c:pt>
                <c:pt idx="242">
                  <c:v>44209</c:v>
                </c:pt>
                <c:pt idx="243">
                  <c:v>44210</c:v>
                </c:pt>
                <c:pt idx="244">
                  <c:v>44211</c:v>
                </c:pt>
                <c:pt idx="245">
                  <c:v>44215</c:v>
                </c:pt>
                <c:pt idx="246">
                  <c:v>44216</c:v>
                </c:pt>
                <c:pt idx="247">
                  <c:v>44217</c:v>
                </c:pt>
                <c:pt idx="248">
                  <c:v>44218</c:v>
                </c:pt>
                <c:pt idx="249">
                  <c:v>44221</c:v>
                </c:pt>
                <c:pt idx="250">
                  <c:v>44222</c:v>
                </c:pt>
                <c:pt idx="251">
                  <c:v>44223</c:v>
                </c:pt>
                <c:pt idx="252">
                  <c:v>44224</c:v>
                </c:pt>
                <c:pt idx="253">
                  <c:v>44225</c:v>
                </c:pt>
                <c:pt idx="254">
                  <c:v>44228</c:v>
                </c:pt>
                <c:pt idx="255">
                  <c:v>44229</c:v>
                </c:pt>
                <c:pt idx="256">
                  <c:v>44230</c:v>
                </c:pt>
                <c:pt idx="257">
                  <c:v>44231</c:v>
                </c:pt>
                <c:pt idx="258">
                  <c:v>44232</c:v>
                </c:pt>
                <c:pt idx="259">
                  <c:v>44235</c:v>
                </c:pt>
                <c:pt idx="260">
                  <c:v>44236</c:v>
                </c:pt>
                <c:pt idx="261">
                  <c:v>44237</c:v>
                </c:pt>
                <c:pt idx="262">
                  <c:v>44238</c:v>
                </c:pt>
                <c:pt idx="263">
                  <c:v>44239</c:v>
                </c:pt>
                <c:pt idx="264">
                  <c:v>44243</c:v>
                </c:pt>
                <c:pt idx="265">
                  <c:v>44244</c:v>
                </c:pt>
                <c:pt idx="266">
                  <c:v>44245</c:v>
                </c:pt>
                <c:pt idx="267">
                  <c:v>44246</c:v>
                </c:pt>
                <c:pt idx="268">
                  <c:v>44249</c:v>
                </c:pt>
                <c:pt idx="269">
                  <c:v>44251</c:v>
                </c:pt>
                <c:pt idx="270">
                  <c:v>44252</c:v>
                </c:pt>
                <c:pt idx="271">
                  <c:v>44253</c:v>
                </c:pt>
                <c:pt idx="272">
                  <c:v>44256</c:v>
                </c:pt>
                <c:pt idx="273">
                  <c:v>44257</c:v>
                </c:pt>
                <c:pt idx="274">
                  <c:v>44258</c:v>
                </c:pt>
                <c:pt idx="275">
                  <c:v>44259</c:v>
                </c:pt>
                <c:pt idx="276">
                  <c:v>44260</c:v>
                </c:pt>
                <c:pt idx="277">
                  <c:v>44264</c:v>
                </c:pt>
                <c:pt idx="278">
                  <c:v>44265</c:v>
                </c:pt>
                <c:pt idx="279">
                  <c:v>44266</c:v>
                </c:pt>
                <c:pt idx="280">
                  <c:v>44267</c:v>
                </c:pt>
                <c:pt idx="281">
                  <c:v>44270</c:v>
                </c:pt>
                <c:pt idx="282">
                  <c:v>44271</c:v>
                </c:pt>
                <c:pt idx="283">
                  <c:v>44272</c:v>
                </c:pt>
                <c:pt idx="284">
                  <c:v>44273</c:v>
                </c:pt>
                <c:pt idx="285">
                  <c:v>44274</c:v>
                </c:pt>
                <c:pt idx="286">
                  <c:v>44277</c:v>
                </c:pt>
                <c:pt idx="287">
                  <c:v>44278</c:v>
                </c:pt>
                <c:pt idx="288">
                  <c:v>44279</c:v>
                </c:pt>
                <c:pt idx="289">
                  <c:v>44280</c:v>
                </c:pt>
                <c:pt idx="290">
                  <c:v>44281</c:v>
                </c:pt>
                <c:pt idx="291">
                  <c:v>44284</c:v>
                </c:pt>
                <c:pt idx="292">
                  <c:v>44285</c:v>
                </c:pt>
                <c:pt idx="293">
                  <c:v>44286</c:v>
                </c:pt>
                <c:pt idx="294">
                  <c:v>44287</c:v>
                </c:pt>
                <c:pt idx="295">
                  <c:v>44292</c:v>
                </c:pt>
                <c:pt idx="296">
                  <c:v>44293</c:v>
                </c:pt>
                <c:pt idx="297">
                  <c:v>44294</c:v>
                </c:pt>
                <c:pt idx="298">
                  <c:v>44295</c:v>
                </c:pt>
                <c:pt idx="299">
                  <c:v>44298</c:v>
                </c:pt>
                <c:pt idx="300">
                  <c:v>44299</c:v>
                </c:pt>
                <c:pt idx="301">
                  <c:v>44300</c:v>
                </c:pt>
                <c:pt idx="302">
                  <c:v>44301</c:v>
                </c:pt>
                <c:pt idx="303">
                  <c:v>44302</c:v>
                </c:pt>
                <c:pt idx="304">
                  <c:v>44305</c:v>
                </c:pt>
                <c:pt idx="305">
                  <c:v>44306</c:v>
                </c:pt>
                <c:pt idx="306">
                  <c:v>44307</c:v>
                </c:pt>
                <c:pt idx="307">
                  <c:v>44308</c:v>
                </c:pt>
                <c:pt idx="308">
                  <c:v>44309</c:v>
                </c:pt>
                <c:pt idx="309">
                  <c:v>44312</c:v>
                </c:pt>
                <c:pt idx="310">
                  <c:v>44313</c:v>
                </c:pt>
                <c:pt idx="311">
                  <c:v>44314</c:v>
                </c:pt>
                <c:pt idx="312">
                  <c:v>44315</c:v>
                </c:pt>
                <c:pt idx="313">
                  <c:v>44316</c:v>
                </c:pt>
                <c:pt idx="314">
                  <c:v>44320</c:v>
                </c:pt>
                <c:pt idx="315">
                  <c:v>44321</c:v>
                </c:pt>
                <c:pt idx="316">
                  <c:v>44322</c:v>
                </c:pt>
                <c:pt idx="317">
                  <c:v>44323</c:v>
                </c:pt>
                <c:pt idx="318">
                  <c:v>44326</c:v>
                </c:pt>
                <c:pt idx="319">
                  <c:v>44327</c:v>
                </c:pt>
                <c:pt idx="320">
                  <c:v>44328</c:v>
                </c:pt>
                <c:pt idx="321">
                  <c:v>44329</c:v>
                </c:pt>
                <c:pt idx="322">
                  <c:v>44330</c:v>
                </c:pt>
                <c:pt idx="323">
                  <c:v>44333</c:v>
                </c:pt>
                <c:pt idx="324">
                  <c:v>44334</c:v>
                </c:pt>
                <c:pt idx="325">
                  <c:v>44335</c:v>
                </c:pt>
                <c:pt idx="326">
                  <c:v>44336</c:v>
                </c:pt>
                <c:pt idx="327">
                  <c:v>44337</c:v>
                </c:pt>
                <c:pt idx="328">
                  <c:v>44341</c:v>
                </c:pt>
                <c:pt idx="329">
                  <c:v>44342</c:v>
                </c:pt>
                <c:pt idx="330">
                  <c:v>44343</c:v>
                </c:pt>
                <c:pt idx="331">
                  <c:v>44344</c:v>
                </c:pt>
                <c:pt idx="332">
                  <c:v>44348</c:v>
                </c:pt>
                <c:pt idx="333">
                  <c:v>44349</c:v>
                </c:pt>
                <c:pt idx="334">
                  <c:v>44350</c:v>
                </c:pt>
                <c:pt idx="335">
                  <c:v>44351</c:v>
                </c:pt>
                <c:pt idx="336">
                  <c:v>44354</c:v>
                </c:pt>
                <c:pt idx="337">
                  <c:v>44355</c:v>
                </c:pt>
                <c:pt idx="338">
                  <c:v>44356</c:v>
                </c:pt>
                <c:pt idx="339">
                  <c:v>44357</c:v>
                </c:pt>
                <c:pt idx="340">
                  <c:v>44358</c:v>
                </c:pt>
                <c:pt idx="341">
                  <c:v>44361</c:v>
                </c:pt>
                <c:pt idx="342">
                  <c:v>44362</c:v>
                </c:pt>
                <c:pt idx="343">
                  <c:v>44363</c:v>
                </c:pt>
                <c:pt idx="344">
                  <c:v>44364</c:v>
                </c:pt>
                <c:pt idx="345">
                  <c:v>44365</c:v>
                </c:pt>
                <c:pt idx="346">
                  <c:v>44368</c:v>
                </c:pt>
                <c:pt idx="347">
                  <c:v>44369</c:v>
                </c:pt>
                <c:pt idx="348">
                  <c:v>44370</c:v>
                </c:pt>
                <c:pt idx="349">
                  <c:v>44371</c:v>
                </c:pt>
                <c:pt idx="350">
                  <c:v>44372</c:v>
                </c:pt>
                <c:pt idx="351">
                  <c:v>44375</c:v>
                </c:pt>
                <c:pt idx="352">
                  <c:v>44376</c:v>
                </c:pt>
                <c:pt idx="353">
                  <c:v>44377</c:v>
                </c:pt>
                <c:pt idx="354">
                  <c:v>44378</c:v>
                </c:pt>
                <c:pt idx="355">
                  <c:v>44379</c:v>
                </c:pt>
                <c:pt idx="356">
                  <c:v>44383</c:v>
                </c:pt>
                <c:pt idx="357">
                  <c:v>44384</c:v>
                </c:pt>
                <c:pt idx="358">
                  <c:v>44385</c:v>
                </c:pt>
                <c:pt idx="359">
                  <c:v>44386</c:v>
                </c:pt>
                <c:pt idx="360">
                  <c:v>44389</c:v>
                </c:pt>
                <c:pt idx="361">
                  <c:v>44390</c:v>
                </c:pt>
                <c:pt idx="362">
                  <c:v>44391</c:v>
                </c:pt>
                <c:pt idx="363">
                  <c:v>44392</c:v>
                </c:pt>
                <c:pt idx="364">
                  <c:v>44393</c:v>
                </c:pt>
                <c:pt idx="365">
                  <c:v>44396</c:v>
                </c:pt>
                <c:pt idx="366">
                  <c:v>44397</c:v>
                </c:pt>
                <c:pt idx="367">
                  <c:v>44398</c:v>
                </c:pt>
                <c:pt idx="368">
                  <c:v>44399</c:v>
                </c:pt>
                <c:pt idx="369">
                  <c:v>44400</c:v>
                </c:pt>
                <c:pt idx="370">
                  <c:v>44403</c:v>
                </c:pt>
                <c:pt idx="371">
                  <c:v>44404</c:v>
                </c:pt>
                <c:pt idx="372">
                  <c:v>44405</c:v>
                </c:pt>
                <c:pt idx="373">
                  <c:v>44406</c:v>
                </c:pt>
                <c:pt idx="374">
                  <c:v>44407</c:v>
                </c:pt>
                <c:pt idx="375">
                  <c:v>44410</c:v>
                </c:pt>
                <c:pt idx="376">
                  <c:v>44411</c:v>
                </c:pt>
                <c:pt idx="377">
                  <c:v>44412</c:v>
                </c:pt>
                <c:pt idx="378">
                  <c:v>44413</c:v>
                </c:pt>
                <c:pt idx="379">
                  <c:v>44414</c:v>
                </c:pt>
                <c:pt idx="380">
                  <c:v>44417</c:v>
                </c:pt>
                <c:pt idx="381">
                  <c:v>44418</c:v>
                </c:pt>
                <c:pt idx="382">
                  <c:v>44419</c:v>
                </c:pt>
                <c:pt idx="383">
                  <c:v>44420</c:v>
                </c:pt>
                <c:pt idx="384">
                  <c:v>44421</c:v>
                </c:pt>
                <c:pt idx="385">
                  <c:v>44424</c:v>
                </c:pt>
                <c:pt idx="386">
                  <c:v>44425</c:v>
                </c:pt>
                <c:pt idx="387">
                  <c:v>44426</c:v>
                </c:pt>
                <c:pt idx="388">
                  <c:v>44427</c:v>
                </c:pt>
                <c:pt idx="389">
                  <c:v>44428</c:v>
                </c:pt>
                <c:pt idx="390">
                  <c:v>44431</c:v>
                </c:pt>
                <c:pt idx="391">
                  <c:v>44432</c:v>
                </c:pt>
                <c:pt idx="392">
                  <c:v>44433</c:v>
                </c:pt>
                <c:pt idx="393">
                  <c:v>44434</c:v>
                </c:pt>
                <c:pt idx="394">
                  <c:v>44435</c:v>
                </c:pt>
                <c:pt idx="395">
                  <c:v>44438</c:v>
                </c:pt>
                <c:pt idx="396">
                  <c:v>44439</c:v>
                </c:pt>
                <c:pt idx="397">
                  <c:v>44440</c:v>
                </c:pt>
                <c:pt idx="398">
                  <c:v>44441</c:v>
                </c:pt>
                <c:pt idx="399">
                  <c:v>44442</c:v>
                </c:pt>
                <c:pt idx="400">
                  <c:v>44446</c:v>
                </c:pt>
                <c:pt idx="401">
                  <c:v>44447</c:v>
                </c:pt>
                <c:pt idx="402">
                  <c:v>44448</c:v>
                </c:pt>
                <c:pt idx="403">
                  <c:v>44449</c:v>
                </c:pt>
                <c:pt idx="404">
                  <c:v>44452</c:v>
                </c:pt>
                <c:pt idx="405">
                  <c:v>44453</c:v>
                </c:pt>
                <c:pt idx="406">
                  <c:v>44454</c:v>
                </c:pt>
                <c:pt idx="407">
                  <c:v>44455</c:v>
                </c:pt>
                <c:pt idx="408">
                  <c:v>44456</c:v>
                </c:pt>
                <c:pt idx="409">
                  <c:v>44459</c:v>
                </c:pt>
                <c:pt idx="410">
                  <c:v>44460</c:v>
                </c:pt>
                <c:pt idx="411">
                  <c:v>44461</c:v>
                </c:pt>
                <c:pt idx="412">
                  <c:v>44462</c:v>
                </c:pt>
                <c:pt idx="413">
                  <c:v>44463</c:v>
                </c:pt>
                <c:pt idx="414">
                  <c:v>44466</c:v>
                </c:pt>
                <c:pt idx="415">
                  <c:v>44467</c:v>
                </c:pt>
                <c:pt idx="416">
                  <c:v>44468</c:v>
                </c:pt>
                <c:pt idx="417">
                  <c:v>44469</c:v>
                </c:pt>
                <c:pt idx="418">
                  <c:v>44470</c:v>
                </c:pt>
                <c:pt idx="419">
                  <c:v>44473</c:v>
                </c:pt>
                <c:pt idx="420">
                  <c:v>44474</c:v>
                </c:pt>
                <c:pt idx="421">
                  <c:v>44475</c:v>
                </c:pt>
                <c:pt idx="422">
                  <c:v>44476</c:v>
                </c:pt>
                <c:pt idx="423">
                  <c:v>44477</c:v>
                </c:pt>
                <c:pt idx="424">
                  <c:v>44480</c:v>
                </c:pt>
                <c:pt idx="425">
                  <c:v>44481</c:v>
                </c:pt>
                <c:pt idx="426">
                  <c:v>44482</c:v>
                </c:pt>
                <c:pt idx="427">
                  <c:v>44483</c:v>
                </c:pt>
                <c:pt idx="428">
                  <c:v>44484</c:v>
                </c:pt>
                <c:pt idx="429">
                  <c:v>44487</c:v>
                </c:pt>
                <c:pt idx="430">
                  <c:v>44488</c:v>
                </c:pt>
                <c:pt idx="431">
                  <c:v>44489</c:v>
                </c:pt>
                <c:pt idx="432">
                  <c:v>44490</c:v>
                </c:pt>
                <c:pt idx="433">
                  <c:v>44491</c:v>
                </c:pt>
                <c:pt idx="434">
                  <c:v>44494</c:v>
                </c:pt>
                <c:pt idx="435">
                  <c:v>44495</c:v>
                </c:pt>
                <c:pt idx="436">
                  <c:v>44496</c:v>
                </c:pt>
                <c:pt idx="437">
                  <c:v>44497</c:v>
                </c:pt>
                <c:pt idx="438">
                  <c:v>44498</c:v>
                </c:pt>
                <c:pt idx="439">
                  <c:v>44501</c:v>
                </c:pt>
                <c:pt idx="440">
                  <c:v>44502</c:v>
                </c:pt>
                <c:pt idx="441">
                  <c:v>44503</c:v>
                </c:pt>
                <c:pt idx="442">
                  <c:v>44505</c:v>
                </c:pt>
                <c:pt idx="443">
                  <c:v>44508</c:v>
                </c:pt>
                <c:pt idx="444">
                  <c:v>44509</c:v>
                </c:pt>
                <c:pt idx="445">
                  <c:v>44510</c:v>
                </c:pt>
                <c:pt idx="446">
                  <c:v>44511</c:v>
                </c:pt>
                <c:pt idx="447">
                  <c:v>44512</c:v>
                </c:pt>
                <c:pt idx="448">
                  <c:v>44515</c:v>
                </c:pt>
                <c:pt idx="449">
                  <c:v>44516</c:v>
                </c:pt>
                <c:pt idx="450">
                  <c:v>44517</c:v>
                </c:pt>
                <c:pt idx="451">
                  <c:v>44518</c:v>
                </c:pt>
                <c:pt idx="452">
                  <c:v>44519</c:v>
                </c:pt>
                <c:pt idx="453">
                  <c:v>44522</c:v>
                </c:pt>
                <c:pt idx="454">
                  <c:v>44523</c:v>
                </c:pt>
                <c:pt idx="455">
                  <c:v>44524</c:v>
                </c:pt>
                <c:pt idx="456">
                  <c:v>44526</c:v>
                </c:pt>
                <c:pt idx="457">
                  <c:v>44529</c:v>
                </c:pt>
                <c:pt idx="458">
                  <c:v>44530</c:v>
                </c:pt>
                <c:pt idx="459">
                  <c:v>44531</c:v>
                </c:pt>
                <c:pt idx="460">
                  <c:v>44532</c:v>
                </c:pt>
                <c:pt idx="461">
                  <c:v>44533</c:v>
                </c:pt>
                <c:pt idx="462">
                  <c:v>44536</c:v>
                </c:pt>
                <c:pt idx="463">
                  <c:v>44537</c:v>
                </c:pt>
                <c:pt idx="464">
                  <c:v>44538</c:v>
                </c:pt>
                <c:pt idx="465">
                  <c:v>44539</c:v>
                </c:pt>
                <c:pt idx="466">
                  <c:v>44540</c:v>
                </c:pt>
                <c:pt idx="467">
                  <c:v>44543</c:v>
                </c:pt>
                <c:pt idx="468">
                  <c:v>44544</c:v>
                </c:pt>
                <c:pt idx="469">
                  <c:v>44545</c:v>
                </c:pt>
                <c:pt idx="470">
                  <c:v>44546</c:v>
                </c:pt>
                <c:pt idx="471">
                  <c:v>44547</c:v>
                </c:pt>
                <c:pt idx="472">
                  <c:v>44550</c:v>
                </c:pt>
                <c:pt idx="473">
                  <c:v>44551</c:v>
                </c:pt>
                <c:pt idx="474">
                  <c:v>44552</c:v>
                </c:pt>
                <c:pt idx="475">
                  <c:v>44553</c:v>
                </c:pt>
                <c:pt idx="476">
                  <c:v>44557</c:v>
                </c:pt>
                <c:pt idx="477">
                  <c:v>44558</c:v>
                </c:pt>
                <c:pt idx="478">
                  <c:v>44559</c:v>
                </c:pt>
                <c:pt idx="479">
                  <c:v>44560</c:v>
                </c:pt>
                <c:pt idx="480">
                  <c:v>44564</c:v>
                </c:pt>
                <c:pt idx="481">
                  <c:v>44565</c:v>
                </c:pt>
                <c:pt idx="482">
                  <c:v>44566</c:v>
                </c:pt>
                <c:pt idx="483">
                  <c:v>44567</c:v>
                </c:pt>
                <c:pt idx="484">
                  <c:v>44568</c:v>
                </c:pt>
                <c:pt idx="485">
                  <c:v>44571</c:v>
                </c:pt>
                <c:pt idx="486">
                  <c:v>44572</c:v>
                </c:pt>
                <c:pt idx="487">
                  <c:v>44573</c:v>
                </c:pt>
                <c:pt idx="488">
                  <c:v>44574</c:v>
                </c:pt>
                <c:pt idx="489">
                  <c:v>44575</c:v>
                </c:pt>
                <c:pt idx="490">
                  <c:v>44579</c:v>
                </c:pt>
                <c:pt idx="491">
                  <c:v>44580</c:v>
                </c:pt>
                <c:pt idx="492">
                  <c:v>44581</c:v>
                </c:pt>
                <c:pt idx="493">
                  <c:v>44582</c:v>
                </c:pt>
                <c:pt idx="494">
                  <c:v>44585</c:v>
                </c:pt>
                <c:pt idx="495">
                  <c:v>44586</c:v>
                </c:pt>
                <c:pt idx="496">
                  <c:v>44587</c:v>
                </c:pt>
                <c:pt idx="497">
                  <c:v>44588</c:v>
                </c:pt>
                <c:pt idx="498">
                  <c:v>44589</c:v>
                </c:pt>
                <c:pt idx="499">
                  <c:v>44592</c:v>
                </c:pt>
                <c:pt idx="500">
                  <c:v>44593</c:v>
                </c:pt>
                <c:pt idx="501">
                  <c:v>44594</c:v>
                </c:pt>
                <c:pt idx="502">
                  <c:v>44595</c:v>
                </c:pt>
                <c:pt idx="503">
                  <c:v>44596</c:v>
                </c:pt>
                <c:pt idx="504">
                  <c:v>44599</c:v>
                </c:pt>
                <c:pt idx="505">
                  <c:v>44600</c:v>
                </c:pt>
                <c:pt idx="506">
                  <c:v>44601</c:v>
                </c:pt>
                <c:pt idx="507">
                  <c:v>44602</c:v>
                </c:pt>
                <c:pt idx="508">
                  <c:v>44603</c:v>
                </c:pt>
                <c:pt idx="509">
                  <c:v>44606</c:v>
                </c:pt>
                <c:pt idx="510">
                  <c:v>44607</c:v>
                </c:pt>
                <c:pt idx="511">
                  <c:v>44608</c:v>
                </c:pt>
                <c:pt idx="512">
                  <c:v>44609</c:v>
                </c:pt>
                <c:pt idx="513">
                  <c:v>44610</c:v>
                </c:pt>
                <c:pt idx="514">
                  <c:v>44614</c:v>
                </c:pt>
                <c:pt idx="515">
                  <c:v>44644</c:v>
                </c:pt>
                <c:pt idx="516">
                  <c:v>44645</c:v>
                </c:pt>
                <c:pt idx="517">
                  <c:v>44648</c:v>
                </c:pt>
                <c:pt idx="518">
                  <c:v>44649</c:v>
                </c:pt>
                <c:pt idx="519">
                  <c:v>44650</c:v>
                </c:pt>
                <c:pt idx="520">
                  <c:v>44651</c:v>
                </c:pt>
                <c:pt idx="521">
                  <c:v>44652</c:v>
                </c:pt>
                <c:pt idx="522">
                  <c:v>44655</c:v>
                </c:pt>
                <c:pt idx="523">
                  <c:v>44656</c:v>
                </c:pt>
                <c:pt idx="524">
                  <c:v>44657</c:v>
                </c:pt>
                <c:pt idx="525">
                  <c:v>44658</c:v>
                </c:pt>
                <c:pt idx="526">
                  <c:v>44659</c:v>
                </c:pt>
                <c:pt idx="527">
                  <c:v>44662</c:v>
                </c:pt>
                <c:pt idx="528">
                  <c:v>44663</c:v>
                </c:pt>
                <c:pt idx="529">
                  <c:v>44664</c:v>
                </c:pt>
                <c:pt idx="530">
                  <c:v>44665</c:v>
                </c:pt>
                <c:pt idx="531">
                  <c:v>44670</c:v>
                </c:pt>
                <c:pt idx="532">
                  <c:v>44671</c:v>
                </c:pt>
                <c:pt idx="533">
                  <c:v>44672</c:v>
                </c:pt>
                <c:pt idx="534">
                  <c:v>44673</c:v>
                </c:pt>
                <c:pt idx="535">
                  <c:v>44676</c:v>
                </c:pt>
                <c:pt idx="536">
                  <c:v>44677</c:v>
                </c:pt>
                <c:pt idx="537">
                  <c:v>44678</c:v>
                </c:pt>
                <c:pt idx="538">
                  <c:v>44679</c:v>
                </c:pt>
                <c:pt idx="539">
                  <c:v>44680</c:v>
                </c:pt>
                <c:pt idx="540">
                  <c:v>44685</c:v>
                </c:pt>
                <c:pt idx="541">
                  <c:v>44686</c:v>
                </c:pt>
                <c:pt idx="542">
                  <c:v>44687</c:v>
                </c:pt>
                <c:pt idx="543">
                  <c:v>44692</c:v>
                </c:pt>
                <c:pt idx="544">
                  <c:v>44693</c:v>
                </c:pt>
                <c:pt idx="545">
                  <c:v>44694</c:v>
                </c:pt>
                <c:pt idx="546">
                  <c:v>44697</c:v>
                </c:pt>
                <c:pt idx="547">
                  <c:v>44698</c:v>
                </c:pt>
                <c:pt idx="548">
                  <c:v>44699</c:v>
                </c:pt>
                <c:pt idx="549">
                  <c:v>44700</c:v>
                </c:pt>
                <c:pt idx="550">
                  <c:v>44701</c:v>
                </c:pt>
                <c:pt idx="551">
                  <c:v>44704</c:v>
                </c:pt>
                <c:pt idx="552">
                  <c:v>44705</c:v>
                </c:pt>
                <c:pt idx="553">
                  <c:v>44706</c:v>
                </c:pt>
                <c:pt idx="554">
                  <c:v>44707</c:v>
                </c:pt>
                <c:pt idx="555">
                  <c:v>44708</c:v>
                </c:pt>
                <c:pt idx="556">
                  <c:v>44712</c:v>
                </c:pt>
                <c:pt idx="557">
                  <c:v>44713</c:v>
                </c:pt>
                <c:pt idx="558">
                  <c:v>44714</c:v>
                </c:pt>
                <c:pt idx="559">
                  <c:v>44715</c:v>
                </c:pt>
                <c:pt idx="560">
                  <c:v>44718</c:v>
                </c:pt>
                <c:pt idx="561">
                  <c:v>44719</c:v>
                </c:pt>
                <c:pt idx="562">
                  <c:v>44720</c:v>
                </c:pt>
                <c:pt idx="563">
                  <c:v>44721</c:v>
                </c:pt>
                <c:pt idx="564">
                  <c:v>44722</c:v>
                </c:pt>
                <c:pt idx="565">
                  <c:v>44725</c:v>
                </c:pt>
                <c:pt idx="566">
                  <c:v>44726</c:v>
                </c:pt>
                <c:pt idx="567">
                  <c:v>44727</c:v>
                </c:pt>
                <c:pt idx="568">
                  <c:v>44728</c:v>
                </c:pt>
                <c:pt idx="569">
                  <c:v>44729</c:v>
                </c:pt>
                <c:pt idx="570">
                  <c:v>44733</c:v>
                </c:pt>
                <c:pt idx="571">
                  <c:v>44734</c:v>
                </c:pt>
                <c:pt idx="572">
                  <c:v>44735</c:v>
                </c:pt>
                <c:pt idx="573">
                  <c:v>44736</c:v>
                </c:pt>
                <c:pt idx="574">
                  <c:v>44739</c:v>
                </c:pt>
                <c:pt idx="575">
                  <c:v>44740</c:v>
                </c:pt>
                <c:pt idx="576">
                  <c:v>44741</c:v>
                </c:pt>
                <c:pt idx="577">
                  <c:v>44742</c:v>
                </c:pt>
                <c:pt idx="578">
                  <c:v>44743</c:v>
                </c:pt>
                <c:pt idx="579">
                  <c:v>44747</c:v>
                </c:pt>
                <c:pt idx="580">
                  <c:v>44748</c:v>
                </c:pt>
                <c:pt idx="581">
                  <c:v>44749</c:v>
                </c:pt>
                <c:pt idx="582">
                  <c:v>44750</c:v>
                </c:pt>
                <c:pt idx="583">
                  <c:v>44753</c:v>
                </c:pt>
                <c:pt idx="584">
                  <c:v>44754</c:v>
                </c:pt>
                <c:pt idx="585">
                  <c:v>44755</c:v>
                </c:pt>
                <c:pt idx="586">
                  <c:v>44756</c:v>
                </c:pt>
                <c:pt idx="587">
                  <c:v>44757</c:v>
                </c:pt>
                <c:pt idx="588">
                  <c:v>44760</c:v>
                </c:pt>
                <c:pt idx="589">
                  <c:v>44761</c:v>
                </c:pt>
                <c:pt idx="590">
                  <c:v>44762</c:v>
                </c:pt>
                <c:pt idx="591">
                  <c:v>44763</c:v>
                </c:pt>
                <c:pt idx="592">
                  <c:v>44764</c:v>
                </c:pt>
                <c:pt idx="593">
                  <c:v>44767</c:v>
                </c:pt>
                <c:pt idx="594">
                  <c:v>44768</c:v>
                </c:pt>
                <c:pt idx="595">
                  <c:v>44769</c:v>
                </c:pt>
                <c:pt idx="596">
                  <c:v>44770</c:v>
                </c:pt>
                <c:pt idx="597">
                  <c:v>44771</c:v>
                </c:pt>
                <c:pt idx="598">
                  <c:v>44774</c:v>
                </c:pt>
                <c:pt idx="599">
                  <c:v>44775</c:v>
                </c:pt>
                <c:pt idx="600">
                  <c:v>44776</c:v>
                </c:pt>
                <c:pt idx="601">
                  <c:v>44777</c:v>
                </c:pt>
                <c:pt idx="602">
                  <c:v>44778</c:v>
                </c:pt>
                <c:pt idx="603">
                  <c:v>44781</c:v>
                </c:pt>
                <c:pt idx="604">
                  <c:v>44782</c:v>
                </c:pt>
                <c:pt idx="605">
                  <c:v>44783</c:v>
                </c:pt>
                <c:pt idx="606">
                  <c:v>44784</c:v>
                </c:pt>
                <c:pt idx="607">
                  <c:v>44785</c:v>
                </c:pt>
                <c:pt idx="608">
                  <c:v>44788</c:v>
                </c:pt>
                <c:pt idx="609">
                  <c:v>44789</c:v>
                </c:pt>
                <c:pt idx="610">
                  <c:v>44790</c:v>
                </c:pt>
                <c:pt idx="611">
                  <c:v>44791</c:v>
                </c:pt>
                <c:pt idx="612">
                  <c:v>44792</c:v>
                </c:pt>
                <c:pt idx="613">
                  <c:v>44795</c:v>
                </c:pt>
                <c:pt idx="614">
                  <c:v>44796</c:v>
                </c:pt>
                <c:pt idx="615">
                  <c:v>44797</c:v>
                </c:pt>
                <c:pt idx="616">
                  <c:v>44798</c:v>
                </c:pt>
                <c:pt idx="617">
                  <c:v>44799</c:v>
                </c:pt>
                <c:pt idx="618">
                  <c:v>44802</c:v>
                </c:pt>
                <c:pt idx="619">
                  <c:v>44803</c:v>
                </c:pt>
                <c:pt idx="620">
                  <c:v>44804</c:v>
                </c:pt>
                <c:pt idx="621">
                  <c:v>44805</c:v>
                </c:pt>
                <c:pt idx="622">
                  <c:v>44806</c:v>
                </c:pt>
                <c:pt idx="623">
                  <c:v>44810</c:v>
                </c:pt>
                <c:pt idx="624">
                  <c:v>44811</c:v>
                </c:pt>
                <c:pt idx="625">
                  <c:v>44812</c:v>
                </c:pt>
                <c:pt idx="626">
                  <c:v>44813</c:v>
                </c:pt>
                <c:pt idx="627">
                  <c:v>44816</c:v>
                </c:pt>
                <c:pt idx="628">
                  <c:v>44817</c:v>
                </c:pt>
                <c:pt idx="629">
                  <c:v>44818</c:v>
                </c:pt>
                <c:pt idx="630">
                  <c:v>44819</c:v>
                </c:pt>
                <c:pt idx="631">
                  <c:v>44820</c:v>
                </c:pt>
                <c:pt idx="632">
                  <c:v>44823</c:v>
                </c:pt>
                <c:pt idx="633">
                  <c:v>44824</c:v>
                </c:pt>
                <c:pt idx="634">
                  <c:v>44825</c:v>
                </c:pt>
                <c:pt idx="635">
                  <c:v>44826</c:v>
                </c:pt>
                <c:pt idx="636">
                  <c:v>44827</c:v>
                </c:pt>
                <c:pt idx="637">
                  <c:v>44830</c:v>
                </c:pt>
              </c:numCache>
            </c:numRef>
          </c:cat>
          <c:val>
            <c:numRef>
              <c:f>Sheet1!$F$2:$F$639</c:f>
              <c:numCache>
                <c:formatCode>0</c:formatCode>
                <c:ptCount val="638"/>
                <c:pt idx="0">
                  <c:v>100</c:v>
                </c:pt>
                <c:pt idx="1">
                  <c:v>101.01303400273477</c:v>
                </c:pt>
                <c:pt idx="2">
                  <c:v>101.27351918073839</c:v>
                </c:pt>
                <c:pt idx="3">
                  <c:v>101.45475450408755</c:v>
                </c:pt>
                <c:pt idx="4">
                  <c:v>102.36515344915506</c:v>
                </c:pt>
                <c:pt idx="5">
                  <c:v>101.65320393521</c:v>
                </c:pt>
                <c:pt idx="6">
                  <c:v>101.7460951582886</c:v>
                </c:pt>
                <c:pt idx="7">
                  <c:v>102.54508959455904</c:v>
                </c:pt>
                <c:pt idx="8">
                  <c:v>103.83289973269414</c:v>
                </c:pt>
                <c:pt idx="9">
                  <c:v>104.23369612877453</c:v>
                </c:pt>
                <c:pt idx="10">
                  <c:v>103.10990720621528</c:v>
                </c:pt>
                <c:pt idx="11">
                  <c:v>102.02444403303811</c:v>
                </c:pt>
                <c:pt idx="12">
                  <c:v>102.18684127618251</c:v>
                </c:pt>
                <c:pt idx="13">
                  <c:v>100.20429573187566</c:v>
                </c:pt>
                <c:pt idx="14">
                  <c:v>101.11177152656657</c:v>
                </c:pt>
                <c:pt idx="15">
                  <c:v>101.62169887003999</c:v>
                </c:pt>
                <c:pt idx="16">
                  <c:v>100.96496441876404</c:v>
                </c:pt>
                <c:pt idx="17">
                  <c:v>99.927895624043913</c:v>
                </c:pt>
                <c:pt idx="18">
                  <c:v>99.739190027510119</c:v>
                </c:pt>
                <c:pt idx="19">
                  <c:v>100.60834007281895</c:v>
                </c:pt>
                <c:pt idx="20">
                  <c:v>101.14912289248981</c:v>
                </c:pt>
                <c:pt idx="21">
                  <c:v>100.57845898008038</c:v>
                </c:pt>
                <c:pt idx="22">
                  <c:v>100.28451996998902</c:v>
                </c:pt>
                <c:pt idx="23">
                  <c:v>99.465388275568657</c:v>
                </c:pt>
                <c:pt idx="24">
                  <c:v>100.60769048384637</c:v>
                </c:pt>
                <c:pt idx="25">
                  <c:v>101.40960807049342</c:v>
                </c:pt>
                <c:pt idx="26">
                  <c:v>101.01270920824851</c:v>
                </c:pt>
                <c:pt idx="27">
                  <c:v>100.58495486980615</c:v>
                </c:pt>
                <c:pt idx="28">
                  <c:v>99.843449057608822</c:v>
                </c:pt>
                <c:pt idx="29">
                  <c:v>101.15951631605104</c:v>
                </c:pt>
                <c:pt idx="30">
                  <c:v>100.8821418247604</c:v>
                </c:pt>
                <c:pt idx="31">
                  <c:v>97.525390808965639</c:v>
                </c:pt>
                <c:pt idx="32">
                  <c:v>98.004137881755327</c:v>
                </c:pt>
                <c:pt idx="33">
                  <c:v>94.704875490033686</c:v>
                </c:pt>
                <c:pt idx="34">
                  <c:v>89.830684634297654</c:v>
                </c:pt>
                <c:pt idx="35">
                  <c:v>91.636541978063377</c:v>
                </c:pt>
                <c:pt idx="36">
                  <c:v>91.852205516959145</c:v>
                </c:pt>
                <c:pt idx="37">
                  <c:v>91.484862952966495</c:v>
                </c:pt>
                <c:pt idx="38">
                  <c:v>88.328185340725653</c:v>
                </c:pt>
                <c:pt idx="39">
                  <c:v>81.16419335665357</c:v>
                </c:pt>
                <c:pt idx="40">
                  <c:v>80.967367897962546</c:v>
                </c:pt>
                <c:pt idx="41">
                  <c:v>74.261011345071395</c:v>
                </c:pt>
                <c:pt idx="42">
                  <c:v>75.234745214965216</c:v>
                </c:pt>
                <c:pt idx="43">
                  <c:v>73.627662096808237</c:v>
                </c:pt>
                <c:pt idx="44">
                  <c:v>72.258328542614649</c:v>
                </c:pt>
                <c:pt idx="45">
                  <c:v>68.61738235131719</c:v>
                </c:pt>
                <c:pt idx="46">
                  <c:v>73.913481244742371</c:v>
                </c:pt>
                <c:pt idx="47">
                  <c:v>75.729407217583073</c:v>
                </c:pt>
                <c:pt idx="48">
                  <c:v>73.187565567886907</c:v>
                </c:pt>
                <c:pt idx="49">
                  <c:v>78.469373503915378</c:v>
                </c:pt>
                <c:pt idx="50">
                  <c:v>79.662018857567858</c:v>
                </c:pt>
                <c:pt idx="51">
                  <c:v>80.872852702452505</c:v>
                </c:pt>
                <c:pt idx="52">
                  <c:v>77.986728897290234</c:v>
                </c:pt>
                <c:pt idx="53">
                  <c:v>79.033866321085327</c:v>
                </c:pt>
                <c:pt idx="54">
                  <c:v>81.484765514620619</c:v>
                </c:pt>
                <c:pt idx="55">
                  <c:v>80.341488922884039</c:v>
                </c:pt>
                <c:pt idx="56">
                  <c:v>82.691052236697203</c:v>
                </c:pt>
                <c:pt idx="57">
                  <c:v>83.544612146664178</c:v>
                </c:pt>
                <c:pt idx="58">
                  <c:v>85.180277179614578</c:v>
                </c:pt>
                <c:pt idx="59">
                  <c:v>85.574902480455464</c:v>
                </c:pt>
                <c:pt idx="60">
                  <c:v>86.724025372945249</c:v>
                </c:pt>
                <c:pt idx="61">
                  <c:v>87.751999922049308</c:v>
                </c:pt>
                <c:pt idx="62">
                  <c:v>85.480387284945436</c:v>
                </c:pt>
                <c:pt idx="63">
                  <c:v>81.16419335665357</c:v>
                </c:pt>
                <c:pt idx="64">
                  <c:v>81.687437274064834</c:v>
                </c:pt>
                <c:pt idx="65">
                  <c:v>82.334427890752124</c:v>
                </c:pt>
                <c:pt idx="66">
                  <c:v>82.042112853092206</c:v>
                </c:pt>
                <c:pt idx="67">
                  <c:v>80.809517777626212</c:v>
                </c:pt>
                <c:pt idx="68">
                  <c:v>83.582937896046289</c:v>
                </c:pt>
                <c:pt idx="69">
                  <c:v>84.427403560397167</c:v>
                </c:pt>
                <c:pt idx="70">
                  <c:v>83.213321770649642</c:v>
                </c:pt>
                <c:pt idx="71">
                  <c:v>83.50173927447409</c:v>
                </c:pt>
                <c:pt idx="72">
                  <c:v>84.844114886305704</c:v>
                </c:pt>
                <c:pt idx="73">
                  <c:v>86.497318821515705</c:v>
                </c:pt>
                <c:pt idx="74">
                  <c:v>86.088727357764398</c:v>
                </c:pt>
                <c:pt idx="75">
                  <c:v>85.24686004930382</c:v>
                </c:pt>
                <c:pt idx="76">
                  <c:v>86.184541731219596</c:v>
                </c:pt>
                <c:pt idx="77">
                  <c:v>85.489156736075273</c:v>
                </c:pt>
                <c:pt idx="78">
                  <c:v>85.550867688470149</c:v>
                </c:pt>
                <c:pt idx="79">
                  <c:v>85.796087525618205</c:v>
                </c:pt>
                <c:pt idx="80">
                  <c:v>85.812002455446347</c:v>
                </c:pt>
                <c:pt idx="81">
                  <c:v>84.608314089260062</c:v>
                </c:pt>
                <c:pt idx="82">
                  <c:v>84.131840577874399</c:v>
                </c:pt>
                <c:pt idx="83">
                  <c:v>84.248766592938367</c:v>
                </c:pt>
                <c:pt idx="84">
                  <c:v>87.50775446836019</c:v>
                </c:pt>
                <c:pt idx="85">
                  <c:v>88.075170435906713</c:v>
                </c:pt>
                <c:pt idx="86">
                  <c:v>89.993731466414673</c:v>
                </c:pt>
                <c:pt idx="87">
                  <c:v>88.300902603877446</c:v>
                </c:pt>
                <c:pt idx="88">
                  <c:v>87.999168526115142</c:v>
                </c:pt>
                <c:pt idx="89">
                  <c:v>89.449700701880928</c:v>
                </c:pt>
                <c:pt idx="90">
                  <c:v>89.026818280732911</c:v>
                </c:pt>
                <c:pt idx="91">
                  <c:v>90.292217599314071</c:v>
                </c:pt>
                <c:pt idx="92">
                  <c:v>88.825770493720128</c:v>
                </c:pt>
                <c:pt idx="93">
                  <c:v>90.829102885149467</c:v>
                </c:pt>
                <c:pt idx="94">
                  <c:v>91.951917424249842</c:v>
                </c:pt>
                <c:pt idx="95">
                  <c:v>89.846599564125853</c:v>
                </c:pt>
                <c:pt idx="96">
                  <c:v>90.706655363818584</c:v>
                </c:pt>
                <c:pt idx="97">
                  <c:v>90.822282200937408</c:v>
                </c:pt>
                <c:pt idx="98">
                  <c:v>90.809290421485855</c:v>
                </c:pt>
                <c:pt idx="99">
                  <c:v>90.461110732184252</c:v>
                </c:pt>
                <c:pt idx="100">
                  <c:v>89.117111147921207</c:v>
                </c:pt>
                <c:pt idx="101">
                  <c:v>88.313569588842697</c:v>
                </c:pt>
                <c:pt idx="102">
                  <c:v>89.263268666751159</c:v>
                </c:pt>
                <c:pt idx="103">
                  <c:v>88.996937187994334</c:v>
                </c:pt>
                <c:pt idx="104">
                  <c:v>88.484736283116902</c:v>
                </c:pt>
                <c:pt idx="105">
                  <c:v>89.600080549032654</c:v>
                </c:pt>
                <c:pt idx="106">
                  <c:v>89.750135601698076</c:v>
                </c:pt>
                <c:pt idx="107">
                  <c:v>90.681646188374344</c:v>
                </c:pt>
                <c:pt idx="108">
                  <c:v>89.667637802180721</c:v>
                </c:pt>
                <c:pt idx="109">
                  <c:v>89.699792456323308</c:v>
                </c:pt>
                <c:pt idx="110">
                  <c:v>89.901489832308656</c:v>
                </c:pt>
                <c:pt idx="111">
                  <c:v>89.09762347874387</c:v>
                </c:pt>
                <c:pt idx="112">
                  <c:v>90.578361541734523</c:v>
                </c:pt>
                <c:pt idx="113">
                  <c:v>92.085083163628269</c:v>
                </c:pt>
                <c:pt idx="114">
                  <c:v>91.761263060798342</c:v>
                </c:pt>
                <c:pt idx="115">
                  <c:v>91.456605832659449</c:v>
                </c:pt>
                <c:pt idx="116">
                  <c:v>90.371792248454852</c:v>
                </c:pt>
                <c:pt idx="117">
                  <c:v>90.972986842575438</c:v>
                </c:pt>
                <c:pt idx="118">
                  <c:v>89.86381367189918</c:v>
                </c:pt>
                <c:pt idx="119">
                  <c:v>89.141145939906608</c:v>
                </c:pt>
                <c:pt idx="120">
                  <c:v>89.250601681785923</c:v>
                </c:pt>
                <c:pt idx="121">
                  <c:v>89.643603010195392</c:v>
                </c:pt>
                <c:pt idx="122">
                  <c:v>90.123649260930236</c:v>
                </c:pt>
                <c:pt idx="123">
                  <c:v>91.01521012579299</c:v>
                </c:pt>
                <c:pt idx="124">
                  <c:v>91.777502785112816</c:v>
                </c:pt>
                <c:pt idx="125">
                  <c:v>92.067869055854999</c:v>
                </c:pt>
                <c:pt idx="126">
                  <c:v>92.624566805353993</c:v>
                </c:pt>
                <c:pt idx="127">
                  <c:v>92.992558958319208</c:v>
                </c:pt>
                <c:pt idx="128">
                  <c:v>93.699311760483639</c:v>
                </c:pt>
                <c:pt idx="129">
                  <c:v>94.042619532490889</c:v>
                </c:pt>
                <c:pt idx="130">
                  <c:v>94.788672467496284</c:v>
                </c:pt>
                <c:pt idx="131">
                  <c:v>93.62623300106867</c:v>
                </c:pt>
                <c:pt idx="132">
                  <c:v>94.566188244388456</c:v>
                </c:pt>
                <c:pt idx="133">
                  <c:v>95.163810099159846</c:v>
                </c:pt>
                <c:pt idx="134">
                  <c:v>95.504519515276812</c:v>
                </c:pt>
                <c:pt idx="135">
                  <c:v>97.203844267539822</c:v>
                </c:pt>
                <c:pt idx="136">
                  <c:v>97.064832227408218</c:v>
                </c:pt>
                <c:pt idx="137">
                  <c:v>96.540289132051797</c:v>
                </c:pt>
                <c:pt idx="138">
                  <c:v>96.16450191141567</c:v>
                </c:pt>
                <c:pt idx="139">
                  <c:v>97.621205182420937</c:v>
                </c:pt>
                <c:pt idx="140">
                  <c:v>99.191911318113554</c:v>
                </c:pt>
                <c:pt idx="141">
                  <c:v>100.05099273434745</c:v>
                </c:pt>
                <c:pt idx="142">
                  <c:v>99.45174690714461</c:v>
                </c:pt>
                <c:pt idx="143">
                  <c:v>99.142217761711393</c:v>
                </c:pt>
                <c:pt idx="144">
                  <c:v>99.085053932124552</c:v>
                </c:pt>
                <c:pt idx="145">
                  <c:v>99.274733912117213</c:v>
                </c:pt>
                <c:pt idx="146">
                  <c:v>97.23340056579211</c:v>
                </c:pt>
                <c:pt idx="147">
                  <c:v>97.295761107159564</c:v>
                </c:pt>
                <c:pt idx="148">
                  <c:v>98.393891265302003</c:v>
                </c:pt>
                <c:pt idx="149">
                  <c:v>98.381873869309317</c:v>
                </c:pt>
                <c:pt idx="150">
                  <c:v>99.126302831883237</c:v>
                </c:pt>
                <c:pt idx="151">
                  <c:v>97.8284240646732</c:v>
                </c:pt>
                <c:pt idx="152">
                  <c:v>96.794278420329661</c:v>
                </c:pt>
                <c:pt idx="153">
                  <c:v>96.340540522984199</c:v>
                </c:pt>
                <c:pt idx="154">
                  <c:v>96.626359670918347</c:v>
                </c:pt>
                <c:pt idx="155">
                  <c:v>96.025489871284066</c:v>
                </c:pt>
                <c:pt idx="156">
                  <c:v>95.227145023986182</c:v>
                </c:pt>
                <c:pt idx="157">
                  <c:v>94.890333141704701</c:v>
                </c:pt>
                <c:pt idx="158">
                  <c:v>93.826306404622571</c:v>
                </c:pt>
                <c:pt idx="159">
                  <c:v>93.413167818063229</c:v>
                </c:pt>
                <c:pt idx="160">
                  <c:v>94.110826374611577</c:v>
                </c:pt>
                <c:pt idx="161">
                  <c:v>94.531760028841859</c:v>
                </c:pt>
                <c:pt idx="162">
                  <c:v>95.112167775839936</c:v>
                </c:pt>
                <c:pt idx="163">
                  <c:v>96.807594994267475</c:v>
                </c:pt>
                <c:pt idx="164">
                  <c:v>96.626684465404622</c:v>
                </c:pt>
                <c:pt idx="165">
                  <c:v>96.52047666838817</c:v>
                </c:pt>
                <c:pt idx="166">
                  <c:v>95.872511668242012</c:v>
                </c:pt>
                <c:pt idx="167">
                  <c:v>93.010422655065113</c:v>
                </c:pt>
                <c:pt idx="168">
                  <c:v>93.692166281785305</c:v>
                </c:pt>
                <c:pt idx="169">
                  <c:v>94.722739186779677</c:v>
                </c:pt>
                <c:pt idx="170">
                  <c:v>94.604838788256842</c:v>
                </c:pt>
                <c:pt idx="171">
                  <c:v>94.087441171598769</c:v>
                </c:pt>
                <c:pt idx="172">
                  <c:v>95.072867642999</c:v>
                </c:pt>
                <c:pt idx="173">
                  <c:v>94.519093043876595</c:v>
                </c:pt>
                <c:pt idx="174">
                  <c:v>94.379106620286123</c:v>
                </c:pt>
                <c:pt idx="175">
                  <c:v>93.859110647737765</c:v>
                </c:pt>
                <c:pt idx="176">
                  <c:v>92.645028857990226</c:v>
                </c:pt>
                <c:pt idx="177">
                  <c:v>93.605121359459929</c:v>
                </c:pt>
                <c:pt idx="178">
                  <c:v>93.962720088863904</c:v>
                </c:pt>
                <c:pt idx="179">
                  <c:v>92.325431083482059</c:v>
                </c:pt>
                <c:pt idx="180">
                  <c:v>92.449177782758099</c:v>
                </c:pt>
                <c:pt idx="181">
                  <c:v>92.049680564622875</c:v>
                </c:pt>
                <c:pt idx="182">
                  <c:v>92.441057920600869</c:v>
                </c:pt>
                <c:pt idx="183">
                  <c:v>91.891830444286512</c:v>
                </c:pt>
                <c:pt idx="184">
                  <c:v>92.763903639971943</c:v>
                </c:pt>
                <c:pt idx="185">
                  <c:v>91.504025827657685</c:v>
                </c:pt>
                <c:pt idx="186">
                  <c:v>90.927515614495064</c:v>
                </c:pt>
                <c:pt idx="187">
                  <c:v>90.756348920220873</c:v>
                </c:pt>
                <c:pt idx="188">
                  <c:v>91.041843273668732</c:v>
                </c:pt>
                <c:pt idx="189">
                  <c:v>90.495214153244689</c:v>
                </c:pt>
                <c:pt idx="190">
                  <c:v>91.045416013017913</c:v>
                </c:pt>
                <c:pt idx="191">
                  <c:v>91.484862952966651</c:v>
                </c:pt>
                <c:pt idx="192">
                  <c:v>90.474427306122195</c:v>
                </c:pt>
                <c:pt idx="193">
                  <c:v>89.741690945054657</c:v>
                </c:pt>
                <c:pt idx="194">
                  <c:v>87.482095703943457</c:v>
                </c:pt>
                <c:pt idx="195">
                  <c:v>87.988125513581409</c:v>
                </c:pt>
                <c:pt idx="196">
                  <c:v>87.388879686378573</c:v>
                </c:pt>
                <c:pt idx="197">
                  <c:v>88.913789799504485</c:v>
                </c:pt>
                <c:pt idx="198">
                  <c:v>90.501385248484155</c:v>
                </c:pt>
                <c:pt idx="199">
                  <c:v>92.936369512191291</c:v>
                </c:pt>
                <c:pt idx="200">
                  <c:v>94.048141038757862</c:v>
                </c:pt>
                <c:pt idx="201">
                  <c:v>97.040472640936599</c:v>
                </c:pt>
                <c:pt idx="202">
                  <c:v>97.393199453046236</c:v>
                </c:pt>
                <c:pt idx="203">
                  <c:v>97.926511999532451</c:v>
                </c:pt>
                <c:pt idx="204">
                  <c:v>98.277290044724339</c:v>
                </c:pt>
                <c:pt idx="205">
                  <c:v>98.257477581060712</c:v>
                </c:pt>
                <c:pt idx="206">
                  <c:v>100.02825712030726</c:v>
                </c:pt>
                <c:pt idx="207">
                  <c:v>99.134422694040481</c:v>
                </c:pt>
                <c:pt idx="208">
                  <c:v>100.05878780201841</c:v>
                </c:pt>
                <c:pt idx="209">
                  <c:v>98.948315453396987</c:v>
                </c:pt>
                <c:pt idx="210">
                  <c:v>99.096096944658399</c:v>
                </c:pt>
                <c:pt idx="211">
                  <c:v>98.966828739115442</c:v>
                </c:pt>
                <c:pt idx="212">
                  <c:v>100.55117624323222</c:v>
                </c:pt>
                <c:pt idx="213">
                  <c:v>101.8074813161973</c:v>
                </c:pt>
                <c:pt idx="214">
                  <c:v>102.07251361700897</c:v>
                </c:pt>
                <c:pt idx="215">
                  <c:v>100.93248497013528</c:v>
                </c:pt>
                <c:pt idx="216">
                  <c:v>102.23848359950256</c:v>
                </c:pt>
                <c:pt idx="217">
                  <c:v>103.59677414116233</c:v>
                </c:pt>
                <c:pt idx="218">
                  <c:v>102.72177779510029</c:v>
                </c:pt>
                <c:pt idx="219">
                  <c:v>103.43794963736708</c:v>
                </c:pt>
                <c:pt idx="220">
                  <c:v>103.77443672516229</c:v>
                </c:pt>
                <c:pt idx="221">
                  <c:v>103.27197965487352</c:v>
                </c:pt>
                <c:pt idx="222">
                  <c:v>104.31294598342912</c:v>
                </c:pt>
                <c:pt idx="223">
                  <c:v>105.82811226196637</c:v>
                </c:pt>
                <c:pt idx="224">
                  <c:v>106.421511788416</c:v>
                </c:pt>
                <c:pt idx="225">
                  <c:v>105.71508378073786</c:v>
                </c:pt>
                <c:pt idx="226">
                  <c:v>105.49682188595179</c:v>
                </c:pt>
                <c:pt idx="227">
                  <c:v>106.20617304400652</c:v>
                </c:pt>
                <c:pt idx="228">
                  <c:v>106.61931163056587</c:v>
                </c:pt>
                <c:pt idx="229">
                  <c:v>106.32959494879626</c:v>
                </c:pt>
                <c:pt idx="230">
                  <c:v>103.491865522091</c:v>
                </c:pt>
                <c:pt idx="231">
                  <c:v>105.11843630942532</c:v>
                </c:pt>
                <c:pt idx="232">
                  <c:v>105.62641488598099</c:v>
                </c:pt>
                <c:pt idx="233">
                  <c:v>105.84889910908883</c:v>
                </c:pt>
                <c:pt idx="234">
                  <c:v>106.35947604153483</c:v>
                </c:pt>
                <c:pt idx="235">
                  <c:v>106.82555612935926</c:v>
                </c:pt>
                <c:pt idx="236">
                  <c:v>108.8227174255491</c:v>
                </c:pt>
                <c:pt idx="237">
                  <c:v>109.10333986170262</c:v>
                </c:pt>
                <c:pt idx="238">
                  <c:v>109.48919571141371</c:v>
                </c:pt>
                <c:pt idx="239">
                  <c:v>112.21064871202759</c:v>
                </c:pt>
                <c:pt idx="240">
                  <c:v>113.10903026110242</c:v>
                </c:pt>
                <c:pt idx="241">
                  <c:v>112.75727783245165</c:v>
                </c:pt>
                <c:pt idx="242">
                  <c:v>112.71213139885751</c:v>
                </c:pt>
                <c:pt idx="243">
                  <c:v>113.38088324612615</c:v>
                </c:pt>
                <c:pt idx="244">
                  <c:v>112.08495324583383</c:v>
                </c:pt>
                <c:pt idx="245">
                  <c:v>111.83421190241889</c:v>
                </c:pt>
                <c:pt idx="246">
                  <c:v>112.5997525066016</c:v>
                </c:pt>
                <c:pt idx="247">
                  <c:v>111.16643443860912</c:v>
                </c:pt>
                <c:pt idx="248">
                  <c:v>109.87537635561112</c:v>
                </c:pt>
                <c:pt idx="249">
                  <c:v>110.34827712764762</c:v>
                </c:pt>
                <c:pt idx="250">
                  <c:v>110.13001523286155</c:v>
                </c:pt>
                <c:pt idx="251">
                  <c:v>108.59893402449613</c:v>
                </c:pt>
                <c:pt idx="252">
                  <c:v>108.54664211220366</c:v>
                </c:pt>
                <c:pt idx="253">
                  <c:v>106.43775151273046</c:v>
                </c:pt>
                <c:pt idx="254">
                  <c:v>106.89441256045251</c:v>
                </c:pt>
                <c:pt idx="255">
                  <c:v>109.13906725519442</c:v>
                </c:pt>
                <c:pt idx="256">
                  <c:v>108.59373731271552</c:v>
                </c:pt>
                <c:pt idx="257">
                  <c:v>109.52070077658377</c:v>
                </c:pt>
                <c:pt idx="258">
                  <c:v>110.19399974666044</c:v>
                </c:pt>
                <c:pt idx="259">
                  <c:v>111.92093203025799</c:v>
                </c:pt>
                <c:pt idx="260">
                  <c:v>111.3025233283641</c:v>
                </c:pt>
                <c:pt idx="261">
                  <c:v>110.41908232565856</c:v>
                </c:pt>
                <c:pt idx="262">
                  <c:v>110.89523104255795</c:v>
                </c:pt>
                <c:pt idx="263">
                  <c:v>111.30966880706247</c:v>
                </c:pt>
                <c:pt idx="264">
                  <c:v>113.52411761457952</c:v>
                </c:pt>
                <c:pt idx="265">
                  <c:v>111.62536904773519</c:v>
                </c:pt>
                <c:pt idx="266">
                  <c:v>110.43564684445931</c:v>
                </c:pt>
                <c:pt idx="267">
                  <c:v>112.30353993510622</c:v>
                </c:pt>
                <c:pt idx="268">
                  <c:v>111.53215303017032</c:v>
                </c:pt>
                <c:pt idx="269">
                  <c:v>109.95852374410109</c:v>
                </c:pt>
                <c:pt idx="270">
                  <c:v>110.74712475681031</c:v>
                </c:pt>
                <c:pt idx="271">
                  <c:v>108.69702195935538</c:v>
                </c:pt>
                <c:pt idx="272">
                  <c:v>109.98060976916872</c:v>
                </c:pt>
                <c:pt idx="273">
                  <c:v>110.75816776934411</c:v>
                </c:pt>
                <c:pt idx="274">
                  <c:v>110.95109569419967</c:v>
                </c:pt>
                <c:pt idx="275">
                  <c:v>110.35087548353795</c:v>
                </c:pt>
                <c:pt idx="276">
                  <c:v>110.8890599473185</c:v>
                </c:pt>
                <c:pt idx="277">
                  <c:v>112.98690753425785</c:v>
                </c:pt>
                <c:pt idx="278">
                  <c:v>112.4782793687296</c:v>
                </c:pt>
                <c:pt idx="279">
                  <c:v>113.95447030891221</c:v>
                </c:pt>
                <c:pt idx="280">
                  <c:v>114.96100842192121</c:v>
                </c:pt>
                <c:pt idx="281">
                  <c:v>116.42225881573451</c:v>
                </c:pt>
                <c:pt idx="282">
                  <c:v>116.59569907141272</c:v>
                </c:pt>
                <c:pt idx="283">
                  <c:v>113.93498263973486</c:v>
                </c:pt>
                <c:pt idx="284">
                  <c:v>113.83559552693048</c:v>
                </c:pt>
                <c:pt idx="285">
                  <c:v>112.87452864200193</c:v>
                </c:pt>
                <c:pt idx="286">
                  <c:v>113.32306982756677</c:v>
                </c:pt>
                <c:pt idx="287">
                  <c:v>112.61306908053943</c:v>
                </c:pt>
                <c:pt idx="288">
                  <c:v>113.20159668969474</c:v>
                </c:pt>
                <c:pt idx="289">
                  <c:v>111.7065676693074</c:v>
                </c:pt>
                <c:pt idx="290">
                  <c:v>113.34775420852471</c:v>
                </c:pt>
                <c:pt idx="291">
                  <c:v>114.63069242936547</c:v>
                </c:pt>
                <c:pt idx="292">
                  <c:v>114.49752668998705</c:v>
                </c:pt>
                <c:pt idx="293">
                  <c:v>115.03311279787728</c:v>
                </c:pt>
                <c:pt idx="294">
                  <c:v>114.57255421631976</c:v>
                </c:pt>
                <c:pt idx="295">
                  <c:v>113.47962076995793</c:v>
                </c:pt>
                <c:pt idx="296">
                  <c:v>113.68911321361422</c:v>
                </c:pt>
                <c:pt idx="297">
                  <c:v>113.93238428384453</c:v>
                </c:pt>
                <c:pt idx="298">
                  <c:v>113.22433230373494</c:v>
                </c:pt>
                <c:pt idx="299">
                  <c:v>114.41372971252451</c:v>
                </c:pt>
                <c:pt idx="300">
                  <c:v>114.53227970001993</c:v>
                </c:pt>
                <c:pt idx="301">
                  <c:v>116.17541500615496</c:v>
                </c:pt>
                <c:pt idx="302">
                  <c:v>115.90323722664496</c:v>
                </c:pt>
                <c:pt idx="303">
                  <c:v>116.87534712410734</c:v>
                </c:pt>
                <c:pt idx="304">
                  <c:v>116.08414775550781</c:v>
                </c:pt>
                <c:pt idx="305">
                  <c:v>115.38031810371999</c:v>
                </c:pt>
                <c:pt idx="306">
                  <c:v>115.68270177045487</c:v>
                </c:pt>
                <c:pt idx="307">
                  <c:v>116.93738287098851</c:v>
                </c:pt>
                <c:pt idx="308">
                  <c:v>116.83409822434868</c:v>
                </c:pt>
                <c:pt idx="309">
                  <c:v>117.28263940991351</c:v>
                </c:pt>
                <c:pt idx="310">
                  <c:v>116.94550273314573</c:v>
                </c:pt>
                <c:pt idx="311">
                  <c:v>116.21536472796851</c:v>
                </c:pt>
                <c:pt idx="312">
                  <c:v>115.98573502616233</c:v>
                </c:pt>
                <c:pt idx="313">
                  <c:v>115.10716594075112</c:v>
                </c:pt>
                <c:pt idx="314">
                  <c:v>116.18580842971623</c:v>
                </c:pt>
                <c:pt idx="315">
                  <c:v>118.34081984624243</c:v>
                </c:pt>
                <c:pt idx="316">
                  <c:v>118.81859253557325</c:v>
                </c:pt>
                <c:pt idx="317">
                  <c:v>119.6117406710905</c:v>
                </c:pt>
                <c:pt idx="318">
                  <c:v>120.00441720501367</c:v>
                </c:pt>
                <c:pt idx="319">
                  <c:v>118.61657036510162</c:v>
                </c:pt>
                <c:pt idx="320">
                  <c:v>118.68445241273596</c:v>
                </c:pt>
                <c:pt idx="321">
                  <c:v>118.14009685371595</c:v>
                </c:pt>
                <c:pt idx="322">
                  <c:v>118.14724233241429</c:v>
                </c:pt>
                <c:pt idx="323">
                  <c:v>118.21252602415835</c:v>
                </c:pt>
                <c:pt idx="324">
                  <c:v>119.78290736536471</c:v>
                </c:pt>
                <c:pt idx="325">
                  <c:v>118.05500069830829</c:v>
                </c:pt>
                <c:pt idx="326">
                  <c:v>118.10047192638871</c:v>
                </c:pt>
                <c:pt idx="327">
                  <c:v>118.89037211704307</c:v>
                </c:pt>
                <c:pt idx="328">
                  <c:v>119.74393202701005</c:v>
                </c:pt>
                <c:pt idx="329">
                  <c:v>120.53285783420554</c:v>
                </c:pt>
                <c:pt idx="330">
                  <c:v>121.43026499982149</c:v>
                </c:pt>
                <c:pt idx="331">
                  <c:v>121.1662070824687</c:v>
                </c:pt>
                <c:pt idx="332">
                  <c:v>122.27180751379578</c:v>
                </c:pt>
                <c:pt idx="333">
                  <c:v>123.99614144150301</c:v>
                </c:pt>
                <c:pt idx="334">
                  <c:v>123.5989177847718</c:v>
                </c:pt>
                <c:pt idx="335">
                  <c:v>123.66322709305699</c:v>
                </c:pt>
                <c:pt idx="336">
                  <c:v>124.14327334379183</c:v>
                </c:pt>
                <c:pt idx="337">
                  <c:v>123.66322709305699</c:v>
                </c:pt>
                <c:pt idx="338">
                  <c:v>124.82761532640235</c:v>
                </c:pt>
                <c:pt idx="339">
                  <c:v>124.32191031125069</c:v>
                </c:pt>
                <c:pt idx="340">
                  <c:v>124.77077629130181</c:v>
                </c:pt>
                <c:pt idx="341">
                  <c:v>125.37651800823042</c:v>
                </c:pt>
                <c:pt idx="342">
                  <c:v>124.14944443903134</c:v>
                </c:pt>
                <c:pt idx="343">
                  <c:v>124.3855700305633</c:v>
                </c:pt>
                <c:pt idx="344">
                  <c:v>124.04128787509717</c:v>
                </c:pt>
                <c:pt idx="345">
                  <c:v>123.5177191631996</c:v>
                </c:pt>
                <c:pt idx="346">
                  <c:v>123.85875337380284</c:v>
                </c:pt>
                <c:pt idx="347">
                  <c:v>124.12605923601852</c:v>
                </c:pt>
                <c:pt idx="348">
                  <c:v>124.6285163063073</c:v>
                </c:pt>
                <c:pt idx="349">
                  <c:v>124.18322306560536</c:v>
                </c:pt>
                <c:pt idx="350">
                  <c:v>124.45605043408796</c:v>
                </c:pt>
                <c:pt idx="351">
                  <c:v>124.25240429118489</c:v>
                </c:pt>
                <c:pt idx="352">
                  <c:v>123.12471783479016</c:v>
                </c:pt>
                <c:pt idx="353">
                  <c:v>124.78116971486305</c:v>
                </c:pt>
                <c:pt idx="354">
                  <c:v>125.31610623378072</c:v>
                </c:pt>
                <c:pt idx="355">
                  <c:v>125.54671031904576</c:v>
                </c:pt>
                <c:pt idx="356">
                  <c:v>126.15992230915901</c:v>
                </c:pt>
                <c:pt idx="357">
                  <c:v>126.5107003543509</c:v>
                </c:pt>
                <c:pt idx="358">
                  <c:v>125.4057495119964</c:v>
                </c:pt>
                <c:pt idx="359">
                  <c:v>125.21834309340777</c:v>
                </c:pt>
                <c:pt idx="360">
                  <c:v>125.87767590057405</c:v>
                </c:pt>
                <c:pt idx="361">
                  <c:v>125.92379671762706</c:v>
                </c:pt>
                <c:pt idx="362">
                  <c:v>124.48885467720312</c:v>
                </c:pt>
                <c:pt idx="363">
                  <c:v>123.42093040628554</c:v>
                </c:pt>
                <c:pt idx="364">
                  <c:v>122.45239324817234</c:v>
                </c:pt>
                <c:pt idx="365">
                  <c:v>119.96024515487838</c:v>
                </c:pt>
                <c:pt idx="366">
                  <c:v>120.31686950082349</c:v>
                </c:pt>
                <c:pt idx="367">
                  <c:v>120.9196880673755</c:v>
                </c:pt>
                <c:pt idx="368">
                  <c:v>121.94214111021266</c:v>
                </c:pt>
                <c:pt idx="369">
                  <c:v>121.29580008249793</c:v>
                </c:pt>
                <c:pt idx="370">
                  <c:v>121.80118030316331</c:v>
                </c:pt>
                <c:pt idx="371">
                  <c:v>121.24902967647233</c:v>
                </c:pt>
                <c:pt idx="372">
                  <c:v>122.84636896004066</c:v>
                </c:pt>
                <c:pt idx="373">
                  <c:v>123.56254080230747</c:v>
                </c:pt>
                <c:pt idx="374">
                  <c:v>122.49883885971164</c:v>
                </c:pt>
                <c:pt idx="375">
                  <c:v>123.03539935106075</c:v>
                </c:pt>
                <c:pt idx="376">
                  <c:v>123.21695946889619</c:v>
                </c:pt>
                <c:pt idx="377">
                  <c:v>123.76683653418313</c:v>
                </c:pt>
                <c:pt idx="378">
                  <c:v>124.51808618096912</c:v>
                </c:pt>
                <c:pt idx="379">
                  <c:v>123.59599463439523</c:v>
                </c:pt>
                <c:pt idx="380">
                  <c:v>124.56225823110441</c:v>
                </c:pt>
                <c:pt idx="381">
                  <c:v>125.44602402829624</c:v>
                </c:pt>
                <c:pt idx="382">
                  <c:v>125.93483973016087</c:v>
                </c:pt>
                <c:pt idx="383">
                  <c:v>126.30802859490672</c:v>
                </c:pt>
                <c:pt idx="384">
                  <c:v>125.79290453965267</c:v>
                </c:pt>
                <c:pt idx="385">
                  <c:v>126.51752103856298</c:v>
                </c:pt>
                <c:pt idx="386">
                  <c:v>128.06679073816056</c:v>
                </c:pt>
                <c:pt idx="387">
                  <c:v>127.48735737462134</c:v>
                </c:pt>
                <c:pt idx="388">
                  <c:v>125.17514542673136</c:v>
                </c:pt>
                <c:pt idx="389">
                  <c:v>124.48398275990878</c:v>
                </c:pt>
                <c:pt idx="390">
                  <c:v>126.11802382042777</c:v>
                </c:pt>
                <c:pt idx="391">
                  <c:v>126.30835338939299</c:v>
                </c:pt>
                <c:pt idx="392">
                  <c:v>126.23592421895059</c:v>
                </c:pt>
                <c:pt idx="393">
                  <c:v>125.09686995553577</c:v>
                </c:pt>
                <c:pt idx="394">
                  <c:v>126.25995901093596</c:v>
                </c:pt>
                <c:pt idx="395">
                  <c:v>127.59551393855551</c:v>
                </c:pt>
                <c:pt idx="396">
                  <c:v>127.28565999863599</c:v>
                </c:pt>
                <c:pt idx="397">
                  <c:v>128.97654009425548</c:v>
                </c:pt>
                <c:pt idx="398">
                  <c:v>129.61800920467587</c:v>
                </c:pt>
                <c:pt idx="399">
                  <c:v>129.97300957818953</c:v>
                </c:pt>
                <c:pt idx="400">
                  <c:v>130.24778571358985</c:v>
                </c:pt>
                <c:pt idx="401">
                  <c:v>130.48196253820407</c:v>
                </c:pt>
                <c:pt idx="402">
                  <c:v>129.70862686635044</c:v>
                </c:pt>
                <c:pt idx="403">
                  <c:v>130.00418984887324</c:v>
                </c:pt>
                <c:pt idx="404">
                  <c:v>131.2546486210851</c:v>
                </c:pt>
                <c:pt idx="405">
                  <c:v>131.72689980414901</c:v>
                </c:pt>
                <c:pt idx="406">
                  <c:v>132.04617278417092</c:v>
                </c:pt>
                <c:pt idx="407">
                  <c:v>131.3826176486829</c:v>
                </c:pt>
                <c:pt idx="408">
                  <c:v>131.06009672379813</c:v>
                </c:pt>
                <c:pt idx="409">
                  <c:v>128.93074407168874</c:v>
                </c:pt>
                <c:pt idx="410">
                  <c:v>128.95900119199587</c:v>
                </c:pt>
                <c:pt idx="411">
                  <c:v>130.92400783404312</c:v>
                </c:pt>
                <c:pt idx="412">
                  <c:v>131.6112729670302</c:v>
                </c:pt>
                <c:pt idx="413">
                  <c:v>131.1594838366025</c:v>
                </c:pt>
                <c:pt idx="414">
                  <c:v>132.55577533315804</c:v>
                </c:pt>
                <c:pt idx="415">
                  <c:v>132.0438992227669</c:v>
                </c:pt>
                <c:pt idx="416">
                  <c:v>131.81361993198814</c:v>
                </c:pt>
                <c:pt idx="417">
                  <c:v>133.28006703758209</c:v>
                </c:pt>
                <c:pt idx="418">
                  <c:v>132.74318175174668</c:v>
                </c:pt>
                <c:pt idx="419">
                  <c:v>133.5788779649678</c:v>
                </c:pt>
                <c:pt idx="420">
                  <c:v>137.18831909109525</c:v>
                </c:pt>
                <c:pt idx="421">
                  <c:v>135.49484063958542</c:v>
                </c:pt>
                <c:pt idx="422">
                  <c:v>137.32375839187767</c:v>
                </c:pt>
                <c:pt idx="423">
                  <c:v>137.64790328919386</c:v>
                </c:pt>
                <c:pt idx="424">
                  <c:v>139.00781780328506</c:v>
                </c:pt>
                <c:pt idx="425">
                  <c:v>138.48587306381896</c:v>
                </c:pt>
                <c:pt idx="426">
                  <c:v>137.84018162507681</c:v>
                </c:pt>
                <c:pt idx="427">
                  <c:v>138.33419403872207</c:v>
                </c:pt>
                <c:pt idx="428">
                  <c:v>138.42156375553375</c:v>
                </c:pt>
                <c:pt idx="429">
                  <c:v>137.98341599353017</c:v>
                </c:pt>
                <c:pt idx="430">
                  <c:v>138.89056699373478</c:v>
                </c:pt>
                <c:pt idx="431">
                  <c:v>139.25628558529596</c:v>
                </c:pt>
                <c:pt idx="432">
                  <c:v>137.01877636925241</c:v>
                </c:pt>
                <c:pt idx="433">
                  <c:v>136.31494671746458</c:v>
                </c:pt>
                <c:pt idx="434">
                  <c:v>138.1994043269122</c:v>
                </c:pt>
                <c:pt idx="435">
                  <c:v>137.57872206361429</c:v>
                </c:pt>
                <c:pt idx="436">
                  <c:v>137.37280235930717</c:v>
                </c:pt>
                <c:pt idx="437">
                  <c:v>136.07784674247375</c:v>
                </c:pt>
                <c:pt idx="438">
                  <c:v>134.78971180985238</c:v>
                </c:pt>
                <c:pt idx="439">
                  <c:v>137.111667592331</c:v>
                </c:pt>
                <c:pt idx="440">
                  <c:v>136.65825448947183</c:v>
                </c:pt>
                <c:pt idx="441">
                  <c:v>135.9222701835414</c:v>
                </c:pt>
                <c:pt idx="442">
                  <c:v>135.59390295790342</c:v>
                </c:pt>
                <c:pt idx="443">
                  <c:v>137.007083767746</c:v>
                </c:pt>
                <c:pt idx="444">
                  <c:v>136.00216962716843</c:v>
                </c:pt>
                <c:pt idx="445">
                  <c:v>135.51952502054326</c:v>
                </c:pt>
                <c:pt idx="446">
                  <c:v>136.06777811339876</c:v>
                </c:pt>
                <c:pt idx="447">
                  <c:v>133.86924423570986</c:v>
                </c:pt>
                <c:pt idx="448">
                  <c:v>134.30706720322718</c:v>
                </c:pt>
                <c:pt idx="449">
                  <c:v>133.81597793995851</c:v>
                </c:pt>
                <c:pt idx="450">
                  <c:v>134.75788195019604</c:v>
                </c:pt>
                <c:pt idx="451">
                  <c:v>132.96599076934069</c:v>
                </c:pt>
                <c:pt idx="452">
                  <c:v>130.45273103443793</c:v>
                </c:pt>
                <c:pt idx="453">
                  <c:v>125.78543426646787</c:v>
                </c:pt>
                <c:pt idx="454">
                  <c:v>128.62933478841262</c:v>
                </c:pt>
                <c:pt idx="455">
                  <c:v>128.31201057530845</c:v>
                </c:pt>
                <c:pt idx="456">
                  <c:v>123.77852913568937</c:v>
                </c:pt>
                <c:pt idx="457">
                  <c:v>126.00532013368539</c:v>
                </c:pt>
                <c:pt idx="458">
                  <c:v>126.36421804103452</c:v>
                </c:pt>
                <c:pt idx="459">
                  <c:v>128.59555616183857</c:v>
                </c:pt>
                <c:pt idx="460">
                  <c:v>128.21392264044923</c:v>
                </c:pt>
                <c:pt idx="461">
                  <c:v>127.09403125172544</c:v>
                </c:pt>
                <c:pt idx="462">
                  <c:v>123.74994722089595</c:v>
                </c:pt>
                <c:pt idx="463">
                  <c:v>125.79940042937828</c:v>
                </c:pt>
                <c:pt idx="464">
                  <c:v>122.56477214042813</c:v>
                </c:pt>
                <c:pt idx="465">
                  <c:v>123.85355666202209</c:v>
                </c:pt>
                <c:pt idx="466">
                  <c:v>122.13019711777372</c:v>
                </c:pt>
                <c:pt idx="467">
                  <c:v>117.52071376836305</c:v>
                </c:pt>
                <c:pt idx="468">
                  <c:v>117.55579157288224</c:v>
                </c:pt>
                <c:pt idx="469">
                  <c:v>117.63471663305043</c:v>
                </c:pt>
                <c:pt idx="470">
                  <c:v>121.80962495980668</c:v>
                </c:pt>
                <c:pt idx="471">
                  <c:v>120.92975669645031</c:v>
                </c:pt>
                <c:pt idx="472">
                  <c:v>119.16872099179243</c:v>
                </c:pt>
                <c:pt idx="473">
                  <c:v>119.94725337542667</c:v>
                </c:pt>
                <c:pt idx="474">
                  <c:v>121.6923741502564</c:v>
                </c:pt>
                <c:pt idx="475">
                  <c:v>120.3233653905491</c:v>
                </c:pt>
                <c:pt idx="476">
                  <c:v>121.49359992464765</c:v>
                </c:pt>
                <c:pt idx="477">
                  <c:v>122.69306596251219</c:v>
                </c:pt>
                <c:pt idx="478">
                  <c:v>121.50789088204438</c:v>
                </c:pt>
                <c:pt idx="479">
                  <c:v>123.00811661421234</c:v>
                </c:pt>
                <c:pt idx="480">
                  <c:v>125.12707584276046</c:v>
                </c:pt>
                <c:pt idx="481">
                  <c:v>125.80881946948065</c:v>
                </c:pt>
                <c:pt idx="482">
                  <c:v>123.91072049160891</c:v>
                </c:pt>
                <c:pt idx="483">
                  <c:v>121.90478974428927</c:v>
                </c:pt>
                <c:pt idx="484">
                  <c:v>122.51377940608077</c:v>
                </c:pt>
                <c:pt idx="485">
                  <c:v>121.43026499982133</c:v>
                </c:pt>
                <c:pt idx="486">
                  <c:v>122.94413210041343</c:v>
                </c:pt>
                <c:pt idx="487">
                  <c:v>124.39466427617921</c:v>
                </c:pt>
                <c:pt idx="488">
                  <c:v>119.35320426000446</c:v>
                </c:pt>
                <c:pt idx="489">
                  <c:v>116.82792712910904</c:v>
                </c:pt>
                <c:pt idx="490">
                  <c:v>108.12213571862402</c:v>
                </c:pt>
                <c:pt idx="491">
                  <c:v>111.62601863670761</c:v>
                </c:pt>
                <c:pt idx="492">
                  <c:v>114.19839096811491</c:v>
                </c:pt>
                <c:pt idx="493">
                  <c:v>111.70494369687579</c:v>
                </c:pt>
                <c:pt idx="494">
                  <c:v>105.08011056004312</c:v>
                </c:pt>
                <c:pt idx="495">
                  <c:v>105.84207842487665</c:v>
                </c:pt>
                <c:pt idx="496">
                  <c:v>109.05494548324546</c:v>
                </c:pt>
                <c:pt idx="497">
                  <c:v>112.24670090000551</c:v>
                </c:pt>
                <c:pt idx="498">
                  <c:v>113.30780448671102</c:v>
                </c:pt>
                <c:pt idx="499">
                  <c:v>114.66479585042563</c:v>
                </c:pt>
                <c:pt idx="500">
                  <c:v>115.24260524153341</c:v>
                </c:pt>
                <c:pt idx="501">
                  <c:v>115.10067005102522</c:v>
                </c:pt>
                <c:pt idx="502">
                  <c:v>112.74201249159594</c:v>
                </c:pt>
                <c:pt idx="503">
                  <c:v>112.73649098532906</c:v>
                </c:pt>
                <c:pt idx="504">
                  <c:v>112.72902071214442</c:v>
                </c:pt>
                <c:pt idx="505">
                  <c:v>115.35563372276195</c:v>
                </c:pt>
                <c:pt idx="506">
                  <c:v>118.1904399990906</c:v>
                </c:pt>
                <c:pt idx="507">
                  <c:v>118.73706911951466</c:v>
                </c:pt>
                <c:pt idx="508">
                  <c:v>115.19226209615869</c:v>
                </c:pt>
                <c:pt idx="509">
                  <c:v>113.07330286761056</c:v>
                </c:pt>
                <c:pt idx="510">
                  <c:v>116.93543410407068</c:v>
                </c:pt>
                <c:pt idx="511">
                  <c:v>118.43338627483462</c:v>
                </c:pt>
                <c:pt idx="512">
                  <c:v>114.03794249188829</c:v>
                </c:pt>
                <c:pt idx="513">
                  <c:v>110.21283782686508</c:v>
                </c:pt>
                <c:pt idx="514">
                  <c:v>100.19065436345156</c:v>
                </c:pt>
                <c:pt idx="515">
                  <c:v>83.748583084053607</c:v>
                </c:pt>
                <c:pt idx="516">
                  <c:v>80.683172722459901</c:v>
                </c:pt>
                <c:pt idx="517">
                  <c:v>78.947795782218833</c:v>
                </c:pt>
                <c:pt idx="518">
                  <c:v>78.226427228171403</c:v>
                </c:pt>
                <c:pt idx="519">
                  <c:v>81.621828787834545</c:v>
                </c:pt>
                <c:pt idx="520">
                  <c:v>87.808514162663627</c:v>
                </c:pt>
                <c:pt idx="521">
                  <c:v>89.631585614202649</c:v>
                </c:pt>
                <c:pt idx="522">
                  <c:v>90.54263414824274</c:v>
                </c:pt>
                <c:pt idx="523">
                  <c:v>86.485951014495612</c:v>
                </c:pt>
                <c:pt idx="524">
                  <c:v>84.817806532916336</c:v>
                </c:pt>
                <c:pt idx="525">
                  <c:v>85.596014122064304</c:v>
                </c:pt>
                <c:pt idx="526">
                  <c:v>84.210116049069981</c:v>
                </c:pt>
                <c:pt idx="527">
                  <c:v>83.055146855827005</c:v>
                </c:pt>
                <c:pt idx="528">
                  <c:v>82.529954171498005</c:v>
                </c:pt>
                <c:pt idx="529">
                  <c:v>82.121687502232987</c:v>
                </c:pt>
                <c:pt idx="530">
                  <c:v>78.104304501326808</c:v>
                </c:pt>
                <c:pt idx="531">
                  <c:v>75.269823019484448</c:v>
                </c:pt>
                <c:pt idx="532">
                  <c:v>75.700825302789681</c:v>
                </c:pt>
                <c:pt idx="533">
                  <c:v>73.762451808618124</c:v>
                </c:pt>
                <c:pt idx="534">
                  <c:v>72.501599612844984</c:v>
                </c:pt>
                <c:pt idx="535">
                  <c:v>71.007220181430199</c:v>
                </c:pt>
                <c:pt idx="536">
                  <c:v>75.302302468113311</c:v>
                </c:pt>
                <c:pt idx="537">
                  <c:v>78.739277722021413</c:v>
                </c:pt>
                <c:pt idx="538">
                  <c:v>77.419962518716289</c:v>
                </c:pt>
                <c:pt idx="539">
                  <c:v>79.417773403878712</c:v>
                </c:pt>
                <c:pt idx="540">
                  <c:v>77.078928308113049</c:v>
                </c:pt>
                <c:pt idx="541">
                  <c:v>78.106578062730833</c:v>
                </c:pt>
                <c:pt idx="542">
                  <c:v>77.724294952368908</c:v>
                </c:pt>
                <c:pt idx="543">
                  <c:v>77.532990999944786</c:v>
                </c:pt>
                <c:pt idx="544">
                  <c:v>74.634200209817237</c:v>
                </c:pt>
                <c:pt idx="545">
                  <c:v>74.946327711140782</c:v>
                </c:pt>
                <c:pt idx="546">
                  <c:v>76.800904227849841</c:v>
                </c:pt>
                <c:pt idx="547">
                  <c:v>78.733431421268207</c:v>
                </c:pt>
                <c:pt idx="548">
                  <c:v>79.421995732200472</c:v>
                </c:pt>
                <c:pt idx="549">
                  <c:v>79.138450145670348</c:v>
                </c:pt>
                <c:pt idx="550">
                  <c:v>77.082176252975955</c:v>
                </c:pt>
                <c:pt idx="551">
                  <c:v>74.762818826387615</c:v>
                </c:pt>
                <c:pt idx="552">
                  <c:v>74.495512964171937</c:v>
                </c:pt>
                <c:pt idx="553">
                  <c:v>76.007756092332585</c:v>
                </c:pt>
                <c:pt idx="554">
                  <c:v>78.374858308405379</c:v>
                </c:pt>
                <c:pt idx="555">
                  <c:v>78.197195724405418</c:v>
                </c:pt>
                <c:pt idx="556">
                  <c:v>76.513461107484275</c:v>
                </c:pt>
                <c:pt idx="557">
                  <c:v>77.125698714138665</c:v>
                </c:pt>
                <c:pt idx="558">
                  <c:v>76.007431297846324</c:v>
                </c:pt>
                <c:pt idx="559">
                  <c:v>74.963541818914123</c:v>
                </c:pt>
                <c:pt idx="560">
                  <c:v>74.123298482884977</c:v>
                </c:pt>
                <c:pt idx="561">
                  <c:v>74.430554066914183</c:v>
                </c:pt>
                <c:pt idx="562">
                  <c:v>75.314969453078589</c:v>
                </c:pt>
                <c:pt idx="563">
                  <c:v>74.507530360164623</c:v>
                </c:pt>
                <c:pt idx="564">
                  <c:v>74.232429430278017</c:v>
                </c:pt>
                <c:pt idx="565">
                  <c:v>74.36981749797819</c:v>
                </c:pt>
                <c:pt idx="566">
                  <c:v>75.318542192427785</c:v>
                </c:pt>
                <c:pt idx="567">
                  <c:v>76.968173388288605</c:v>
                </c:pt>
                <c:pt idx="568">
                  <c:v>76.455972483411159</c:v>
                </c:pt>
                <c:pt idx="569">
                  <c:v>78.093586283279294</c:v>
                </c:pt>
                <c:pt idx="570">
                  <c:v>76.61284822028864</c:v>
                </c:pt>
                <c:pt idx="571">
                  <c:v>77.090620909619474</c:v>
                </c:pt>
                <c:pt idx="572">
                  <c:v>78.098133406087328</c:v>
                </c:pt>
                <c:pt idx="573">
                  <c:v>77.674926190453036</c:v>
                </c:pt>
                <c:pt idx="574">
                  <c:v>78.504776102920914</c:v>
                </c:pt>
                <c:pt idx="575">
                  <c:v>78.234871884814922</c:v>
                </c:pt>
                <c:pt idx="576">
                  <c:v>77.253992536222754</c:v>
                </c:pt>
                <c:pt idx="577">
                  <c:v>71.612312309386283</c:v>
                </c:pt>
                <c:pt idx="578">
                  <c:v>71.669476138973124</c:v>
                </c:pt>
                <c:pt idx="579">
                  <c:v>71.606141214146803</c:v>
                </c:pt>
                <c:pt idx="580">
                  <c:v>72.320039495009581</c:v>
                </c:pt>
                <c:pt idx="581">
                  <c:v>72.16543731953611</c:v>
                </c:pt>
                <c:pt idx="582">
                  <c:v>72.32036428949587</c:v>
                </c:pt>
                <c:pt idx="583">
                  <c:v>72.185899372172315</c:v>
                </c:pt>
                <c:pt idx="584">
                  <c:v>70.231610948172602</c:v>
                </c:pt>
                <c:pt idx="585">
                  <c:v>69.303673100845486</c:v>
                </c:pt>
                <c:pt idx="586">
                  <c:v>67.351983032736086</c:v>
                </c:pt>
                <c:pt idx="587">
                  <c:v>67.014846355968317</c:v>
                </c:pt>
                <c:pt idx="588">
                  <c:v>68.516046471595146</c:v>
                </c:pt>
                <c:pt idx="589">
                  <c:v>68.09056569455683</c:v>
                </c:pt>
                <c:pt idx="590">
                  <c:v>67.274032356026794</c:v>
                </c:pt>
                <c:pt idx="591">
                  <c:v>67.402650972597144</c:v>
                </c:pt>
                <c:pt idx="592">
                  <c:v>66.70109488221334</c:v>
                </c:pt>
                <c:pt idx="593">
                  <c:v>68.101283912604373</c:v>
                </c:pt>
                <c:pt idx="594">
                  <c:v>69.147446952940598</c:v>
                </c:pt>
                <c:pt idx="595">
                  <c:v>71.208592762929328</c:v>
                </c:pt>
                <c:pt idx="596">
                  <c:v>71.332014667719065</c:v>
                </c:pt>
                <c:pt idx="597">
                  <c:v>71.102709760399165</c:v>
                </c:pt>
                <c:pt idx="598">
                  <c:v>71.903328169101059</c:v>
                </c:pt>
                <c:pt idx="599">
                  <c:v>70.808121161335222</c:v>
                </c:pt>
                <c:pt idx="600">
                  <c:v>69.418325554505444</c:v>
                </c:pt>
                <c:pt idx="601">
                  <c:v>68.98375053185103</c:v>
                </c:pt>
                <c:pt idx="602">
                  <c:v>68.745351378915046</c:v>
                </c:pt>
                <c:pt idx="603">
                  <c:v>66.722206523822109</c:v>
                </c:pt>
                <c:pt idx="604">
                  <c:v>67.830080516553224</c:v>
                </c:pt>
                <c:pt idx="605">
                  <c:v>69.402085830191027</c:v>
                </c:pt>
                <c:pt idx="606">
                  <c:v>69.879533725035557</c:v>
                </c:pt>
                <c:pt idx="607">
                  <c:v>69.282236664750457</c:v>
                </c:pt>
                <c:pt idx="608">
                  <c:v>69.74409442425312</c:v>
                </c:pt>
                <c:pt idx="609">
                  <c:v>70.321903815360898</c:v>
                </c:pt>
                <c:pt idx="610">
                  <c:v>71.725340790614808</c:v>
                </c:pt>
                <c:pt idx="611">
                  <c:v>71.083222091221856</c:v>
                </c:pt>
                <c:pt idx="612">
                  <c:v>71.269978920837914</c:v>
                </c:pt>
                <c:pt idx="613">
                  <c:v>71.297586452172453</c:v>
                </c:pt>
                <c:pt idx="614">
                  <c:v>72.367784284494064</c:v>
                </c:pt>
                <c:pt idx="615">
                  <c:v>73.406152257159349</c:v>
                </c:pt>
                <c:pt idx="616">
                  <c:v>73.020945996420835</c:v>
                </c:pt>
                <c:pt idx="617">
                  <c:v>72.959884632998552</c:v>
                </c:pt>
                <c:pt idx="618">
                  <c:v>73.692296199579786</c:v>
                </c:pt>
                <c:pt idx="619">
                  <c:v>74.583532269956265</c:v>
                </c:pt>
                <c:pt idx="620">
                  <c:v>74.917745796347447</c:v>
                </c:pt>
                <c:pt idx="621">
                  <c:v>77.95327506520259</c:v>
                </c:pt>
                <c:pt idx="622">
                  <c:v>79.437261073056135</c:v>
                </c:pt>
                <c:pt idx="623">
                  <c:v>80.271333313845773</c:v>
                </c:pt>
                <c:pt idx="624">
                  <c:v>80.823159146050457</c:v>
                </c:pt>
                <c:pt idx="625">
                  <c:v>78.773381143081835</c:v>
                </c:pt>
                <c:pt idx="626">
                  <c:v>78.001669443659651</c:v>
                </c:pt>
                <c:pt idx="627">
                  <c:v>77.634651674153304</c:v>
                </c:pt>
                <c:pt idx="628">
                  <c:v>78.797091140580918</c:v>
                </c:pt>
                <c:pt idx="629">
                  <c:v>79.563281333736199</c:v>
                </c:pt>
                <c:pt idx="630">
                  <c:v>79.473638055520496</c:v>
                </c:pt>
                <c:pt idx="631">
                  <c:v>79.11636412060281</c:v>
                </c:pt>
                <c:pt idx="632">
                  <c:v>79.463894220931834</c:v>
                </c:pt>
                <c:pt idx="633">
                  <c:v>78.977352080471206</c:v>
                </c:pt>
                <c:pt idx="634">
                  <c:v>78.942599070438291</c:v>
                </c:pt>
                <c:pt idx="635">
                  <c:v>71.96373994355082</c:v>
                </c:pt>
                <c:pt idx="636">
                  <c:v>69.204285988041164</c:v>
                </c:pt>
                <c:pt idx="637">
                  <c:v>71.158249617554588</c:v>
                </c:pt>
              </c:numCache>
            </c:numRef>
          </c:val>
          <c:smooth val="0"/>
          <c:extLst>
            <c:ext xmlns:c16="http://schemas.microsoft.com/office/drawing/2014/chart" uri="{C3380CC4-5D6E-409C-BE32-E72D297353CC}">
              <c16:uniqueId val="{00000002-6081-4704-A359-D34AB5B0377E}"/>
            </c:ext>
          </c:extLst>
        </c:ser>
        <c:dLbls>
          <c:showLegendKey val="0"/>
          <c:showVal val="0"/>
          <c:showCatName val="0"/>
          <c:showSerName val="0"/>
          <c:showPercent val="0"/>
          <c:showBubbleSize val="0"/>
        </c:dLbls>
        <c:smooth val="0"/>
        <c:axId val="456873856"/>
        <c:axId val="456875392"/>
      </c:lineChart>
      <c:dateAx>
        <c:axId val="456873856"/>
        <c:scaling>
          <c:orientation val="minMax"/>
        </c:scaling>
        <c:delete val="0"/>
        <c:axPos val="b"/>
        <c:numFmt formatCode="d\-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56875392"/>
        <c:crosses val="autoZero"/>
        <c:auto val="1"/>
        <c:lblOffset val="100"/>
        <c:baseTimeUnit val="days"/>
      </c:dateAx>
      <c:valAx>
        <c:axId val="456875392"/>
        <c:scaling>
          <c:orientation val="minMax"/>
          <c:min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hy-AM" sz="700" b="0" i="0" u="none" strike="noStrike" baseline="0">
                    <a:effectLst/>
                  </a:rPr>
                  <a:t>Ինդեքս՝ 20</a:t>
                </a:r>
                <a:r>
                  <a:rPr lang="en-US" sz="700" b="0" i="0" u="none" strike="noStrike" baseline="0">
                    <a:effectLst/>
                  </a:rPr>
                  <a:t>20</a:t>
                </a:r>
                <a:r>
                  <a:rPr lang="en-GB" sz="700" b="0" i="0" u="none" strike="noStrike" baseline="0">
                    <a:effectLst/>
                  </a:rPr>
                  <a:t> </a:t>
                </a:r>
                <a:r>
                  <a:rPr lang="hy-AM" sz="700" b="0" i="0" u="none" strike="noStrike" baseline="0">
                    <a:effectLst/>
                  </a:rPr>
                  <a:t>թ. հունվար</a:t>
                </a:r>
                <a:r>
                  <a:rPr lang="en-GB" sz="700" b="0" i="0" u="none" strike="noStrike" baseline="0">
                    <a:effectLst/>
                  </a:rPr>
                  <a:t>  </a:t>
                </a:r>
                <a:r>
                  <a:rPr lang="hy-AM" sz="700" b="0" i="0" u="none" strike="noStrike" baseline="0">
                    <a:effectLst/>
                  </a:rPr>
                  <a:t> =100</a:t>
                </a:r>
                <a:endParaRPr lang="en-US" sz="700"/>
              </a:p>
            </c:rich>
          </c:tx>
          <c:layout>
            <c:manualLayout>
              <c:xMode val="edge"/>
              <c:yMode val="edge"/>
              <c:x val="1.0471204188481676E-2"/>
              <c:y val="5.6737588652482303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73856"/>
        <c:crosses val="autoZero"/>
        <c:crossBetween val="between"/>
      </c:valAx>
      <c:spPr>
        <a:noFill/>
        <a:ln>
          <a:noFill/>
        </a:ln>
        <a:effectLst/>
      </c:spPr>
    </c:plotArea>
    <c:legend>
      <c:legendPos val="b"/>
      <c:layout>
        <c:manualLayout>
          <c:xMode val="edge"/>
          <c:yMode val="edge"/>
          <c:x val="1.5918499878236868E-2"/>
          <c:y val="0.917673683646687"/>
          <c:w val="0.93723489460724629"/>
          <c:h val="6.5865873908618561E-2"/>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53293849295147"/>
          <c:y val="3.2707203266258401E-2"/>
          <c:w val="0.84521276129266509"/>
          <c:h val="0.75897428379963161"/>
        </c:manualLayout>
      </c:layout>
      <c:barChart>
        <c:barDir val="col"/>
        <c:grouping val="stacked"/>
        <c:varyColors val="0"/>
        <c:ser>
          <c:idx val="0"/>
          <c:order val="0"/>
          <c:tx>
            <c:strRef>
              <c:f>Sheet1!$B$5</c:f>
              <c:strCache>
                <c:ptCount val="1"/>
                <c:pt idx="0">
                  <c:v>Ընդամենը ծախսեր</c:v>
                </c:pt>
              </c:strCache>
            </c:strRef>
          </c:tx>
          <c:spPr>
            <a:solidFill>
              <a:schemeClr val="accent1">
                <a:lumMod val="75000"/>
                <a:alpha val="12000"/>
              </a:schemeClr>
            </a:solidFill>
            <a:ln>
              <a:solidFill>
                <a:schemeClr val="bg1"/>
              </a:solidFill>
            </a:ln>
            <a:effectLst/>
            <a:scene3d>
              <a:camera prst="orthographicFront"/>
              <a:lightRig rig="threePt" dir="t"/>
            </a:scene3d>
            <a:sp3d prstMaterial="metal">
              <a:bevelT/>
            </a:sp3d>
          </c:spPr>
          <c:invertIfNegative val="0"/>
          <c:dLbls>
            <c:dLbl>
              <c:idx val="0"/>
              <c:layout>
                <c:manualLayout>
                  <c:x val="-6.3363734209482839E-2"/>
                  <c:y val="-0.1286095071449401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09-40CE-A46B-929177EBF5C8}"/>
                </c:ext>
              </c:extLst>
            </c:dLbl>
            <c:dLbl>
              <c:idx val="1"/>
              <c:layout>
                <c:manualLayout>
                  <c:x val="-9.3638777167242726E-2"/>
                  <c:y val="1.352843394575678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09-40CE-A46B-929177EBF5C8}"/>
                </c:ext>
              </c:extLst>
            </c:dLbl>
            <c:dLbl>
              <c:idx val="2"/>
              <c:layout>
                <c:manualLayout>
                  <c:x val="-8.9792560527441015E-2"/>
                  <c:y val="-2.364271395209457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709-40CE-A46B-929177EBF5C8}"/>
                </c:ext>
              </c:extLst>
            </c:dLbl>
            <c:dLbl>
              <c:idx val="3"/>
              <c:layout>
                <c:manualLayout>
                  <c:x val="-9.1698408202571829E-2"/>
                  <c:y val="-4.7273257509484773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09-40CE-A46B-929177EBF5C8}"/>
                </c:ext>
              </c:extLst>
            </c:dLbl>
            <c:dLbl>
              <c:idx val="4"/>
              <c:layout>
                <c:manualLayout>
                  <c:x val="-8.6330935251798552E-2"/>
                  <c:y val="-6.79004501761067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709-40CE-A46B-929177EBF5C8}"/>
                </c:ext>
              </c:extLst>
            </c:dLbl>
            <c:spPr>
              <a:noFill/>
              <a:ln w="25382">
                <a:noFill/>
              </a:ln>
            </c:spPr>
            <c:txPr>
              <a:bodyPr rot="-5400000" spcFirstLastPara="1" vertOverflow="ellipsis" wrap="square" lIns="38100" tIns="19050" rIns="38100" bIns="19050" anchor="ctr" anchorCtr="1">
                <a:spAutoFit/>
              </a:bodyPr>
              <a:lstStyle/>
              <a:p>
                <a:pPr>
                  <a:defRPr sz="1196" b="1" i="0" u="none" strike="noStrike" kern="1200" baseline="0">
                    <a:solidFill>
                      <a:schemeClr val="tx2">
                        <a:lumMod val="50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2019 թ</c:v>
                </c:pt>
                <c:pt idx="1">
                  <c:v>2020 թ</c:v>
                </c:pt>
                <c:pt idx="2">
                  <c:v>2021 թ</c:v>
                </c:pt>
                <c:pt idx="3">
                  <c:v>2022 թ</c:v>
                </c:pt>
                <c:pt idx="4">
                  <c:v>2023 թ</c:v>
                </c:pt>
              </c:strCache>
            </c:strRef>
          </c:cat>
          <c:val>
            <c:numRef>
              <c:f>Sheet1!$C$5:$G$5</c:f>
              <c:numCache>
                <c:formatCode>_(* #,##0.0_);_(* \(#,##0.0\);_(* "-"??_);_(@_)</c:formatCode>
                <c:ptCount val="5"/>
                <c:pt idx="0">
                  <c:v>1629.4</c:v>
                </c:pt>
                <c:pt idx="1">
                  <c:v>1894.6470933000005</c:v>
                </c:pt>
                <c:pt idx="2">
                  <c:v>2004.3009903999996</c:v>
                </c:pt>
                <c:pt idx="3">
                  <c:v>2184.0401850792941</c:v>
                </c:pt>
                <c:pt idx="4">
                  <c:v>2590.9602594174785</c:v>
                </c:pt>
              </c:numCache>
            </c:numRef>
          </c:val>
          <c:extLst>
            <c:ext xmlns:c16="http://schemas.microsoft.com/office/drawing/2014/chart" uri="{C3380CC4-5D6E-409C-BE32-E72D297353CC}">
              <c16:uniqueId val="{00000005-4709-40CE-A46B-929177EBF5C8}"/>
            </c:ext>
          </c:extLst>
        </c:ser>
        <c:dLbls>
          <c:showLegendKey val="0"/>
          <c:showVal val="0"/>
          <c:showCatName val="0"/>
          <c:showSerName val="0"/>
          <c:showPercent val="0"/>
          <c:showBubbleSize val="0"/>
        </c:dLbls>
        <c:gapWidth val="34"/>
        <c:overlap val="100"/>
        <c:axId val="348728704"/>
        <c:axId val="348734592"/>
      </c:barChart>
      <c:barChart>
        <c:barDir val="col"/>
        <c:grouping val="stacked"/>
        <c:varyColors val="0"/>
        <c:ser>
          <c:idx val="1"/>
          <c:order val="1"/>
          <c:tx>
            <c:strRef>
              <c:f>Sheet1!$B$6</c:f>
              <c:strCache>
                <c:ptCount val="1"/>
                <c:pt idx="0">
                  <c:v>Ընթացիկ ծախսեր</c:v>
                </c:pt>
              </c:strCache>
            </c:strRef>
          </c:tx>
          <c:spPr>
            <a:solidFill>
              <a:schemeClr val="accent2">
                <a:lumMod val="75000"/>
              </a:schemeClr>
            </a:solidFill>
            <a:ln>
              <a:noFill/>
            </a:ln>
            <a:effectLst/>
            <a:scene3d>
              <a:camera prst="orthographicFront"/>
              <a:lightRig rig="threePt" dir="t"/>
            </a:scene3d>
            <a:sp3d prstMaterial="metal">
              <a:bevelT/>
            </a:sp3d>
          </c:spPr>
          <c:invertIfNegative val="0"/>
          <c:dLbls>
            <c:dLbl>
              <c:idx val="0"/>
              <c:layout>
                <c:manualLayout>
                  <c:x val="-1.5290519877675841E-3"/>
                  <c:y val="-2.393617021276598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709-40CE-A46B-929177EBF5C8}"/>
                </c:ext>
              </c:extLst>
            </c:dLbl>
            <c:dLbl>
              <c:idx val="4"/>
              <c:layout>
                <c:manualLayout>
                  <c:x val="-3.8369304556354934E-3"/>
                  <c:y val="-4.07407407407407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709-40CE-A46B-929177EBF5C8}"/>
                </c:ext>
              </c:extLst>
            </c:dLbl>
            <c:spPr>
              <a:noFill/>
              <a:ln w="25382">
                <a:noFill/>
              </a:ln>
            </c:spPr>
            <c:txPr>
              <a:bodyPr rot="-5400000" spcFirstLastPara="1" vertOverflow="ellipsis" vert="horz" wrap="square" lIns="38100" tIns="19050" rIns="38100" bIns="19050" anchor="ctr" anchorCtr="1">
                <a:spAutoFit/>
              </a:bodyPr>
              <a:lstStyle/>
              <a:p>
                <a:pPr>
                  <a:defRPr sz="1196"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2019 թ</c:v>
                </c:pt>
                <c:pt idx="1">
                  <c:v>2020 թ</c:v>
                </c:pt>
                <c:pt idx="2">
                  <c:v>2021 թ</c:v>
                </c:pt>
                <c:pt idx="3">
                  <c:v>2022 թ</c:v>
                </c:pt>
                <c:pt idx="4">
                  <c:v>2023 թ</c:v>
                </c:pt>
              </c:strCache>
            </c:strRef>
          </c:cat>
          <c:val>
            <c:numRef>
              <c:f>Sheet1!$C$6:$G$6</c:f>
              <c:numCache>
                <c:formatCode>_(* #,##0.0_);_(* \(#,##0.0\);_(* "-"??_);_(@_)</c:formatCode>
                <c:ptCount val="5"/>
                <c:pt idx="0">
                  <c:v>1436.419762400008</c:v>
                </c:pt>
                <c:pt idx="1">
                  <c:v>1666.9486933000005</c:v>
                </c:pt>
                <c:pt idx="2">
                  <c:v>1791.8558212899995</c:v>
                </c:pt>
                <c:pt idx="3">
                  <c:v>1842.155368579294</c:v>
                </c:pt>
                <c:pt idx="4">
                  <c:v>2043.3</c:v>
                </c:pt>
              </c:numCache>
            </c:numRef>
          </c:val>
          <c:extLst>
            <c:ext xmlns:c16="http://schemas.microsoft.com/office/drawing/2014/chart" uri="{C3380CC4-5D6E-409C-BE32-E72D297353CC}">
              <c16:uniqueId val="{00000008-4709-40CE-A46B-929177EBF5C8}"/>
            </c:ext>
          </c:extLst>
        </c:ser>
        <c:ser>
          <c:idx val="2"/>
          <c:order val="2"/>
          <c:tx>
            <c:strRef>
              <c:f>Sheet1!$B$7</c:f>
              <c:strCache>
                <c:ptCount val="1"/>
                <c:pt idx="0">
                  <c:v>Ոչ ֆինանսական ակտիվների գծով գործառնություններ</c:v>
                </c:pt>
              </c:strCache>
            </c:strRef>
          </c:tx>
          <c:spPr>
            <a:solidFill>
              <a:schemeClr val="accent3">
                <a:lumMod val="75000"/>
              </a:schemeClr>
            </a:solidFill>
            <a:ln>
              <a:noFill/>
            </a:ln>
            <a:effectLst/>
            <a:scene3d>
              <a:camera prst="orthographicFront"/>
              <a:lightRig rig="threePt" dir="t"/>
            </a:scene3d>
            <a:sp3d prstMaterial="metal">
              <a:bevelT/>
            </a:sp3d>
          </c:spPr>
          <c:invertIfNegative val="0"/>
          <c:dLbls>
            <c:dLbl>
              <c:idx val="0"/>
              <c:layout>
                <c:manualLayout>
                  <c:x val="-2.1128248468202373E-3"/>
                  <c:y val="-6.7491563554555684E-2"/>
                </c:manualLayout>
              </c:layout>
              <c:spPr>
                <a:noFill/>
                <a:ln w="25382">
                  <a:noFill/>
                </a:ln>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709-40CE-A46B-929177EBF5C8}"/>
                </c:ext>
              </c:extLst>
            </c:dLbl>
            <c:dLbl>
              <c:idx val="1"/>
              <c:layout>
                <c:manualLayout>
                  <c:x val="-1.0564124234101031E-2"/>
                  <c:y val="-7.1241094863142146E-2"/>
                </c:manualLayout>
              </c:layout>
              <c:spPr>
                <a:noFill/>
                <a:ln w="25382">
                  <a:noFill/>
                </a:ln>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709-40CE-A46B-929177EBF5C8}"/>
                </c:ext>
              </c:extLst>
            </c:dLbl>
            <c:dLbl>
              <c:idx val="2"/>
              <c:layout>
                <c:manualLayout>
                  <c:x val="4.2256496936403974E-3"/>
                  <c:y val="-8.6239220097487815E-2"/>
                </c:manualLayout>
              </c:layout>
              <c:spPr>
                <a:noFill/>
                <a:ln w="25382">
                  <a:noFill/>
                </a:ln>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709-40CE-A46B-929177EBF5C8}"/>
                </c:ext>
              </c:extLst>
            </c:dLbl>
            <c:dLbl>
              <c:idx val="3"/>
              <c:layout>
                <c:manualLayout>
                  <c:x val="2.1128248468201987E-3"/>
                  <c:y val="-8.9988751406074236E-2"/>
                </c:manualLayout>
              </c:layout>
              <c:spPr>
                <a:noFill/>
                <a:ln w="25382">
                  <a:noFill/>
                </a:ln>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709-40CE-A46B-929177EBF5C8}"/>
                </c:ext>
              </c:extLst>
            </c:dLbl>
            <c:dLbl>
              <c:idx val="4"/>
              <c:layout>
                <c:manualLayout>
                  <c:x val="0"/>
                  <c:y val="1.4794480965108719E-2"/>
                </c:manualLayout>
              </c:layout>
              <c:spPr>
                <a:noFill/>
                <a:ln w="25382">
                  <a:noFill/>
                </a:ln>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709-40CE-A46B-929177EBF5C8}"/>
                </c:ext>
              </c:extLst>
            </c:dLbl>
            <c:spPr>
              <a:noFill/>
              <a:ln w="25382">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2019 թ</c:v>
                </c:pt>
                <c:pt idx="1">
                  <c:v>2020 թ</c:v>
                </c:pt>
                <c:pt idx="2">
                  <c:v>2021 թ</c:v>
                </c:pt>
                <c:pt idx="3">
                  <c:v>2022 թ</c:v>
                </c:pt>
                <c:pt idx="4">
                  <c:v>2023 թ</c:v>
                </c:pt>
              </c:strCache>
            </c:strRef>
          </c:cat>
          <c:val>
            <c:numRef>
              <c:f>Sheet1!$C$7:$G$7</c:f>
              <c:numCache>
                <c:formatCode>_(* #,##0.0_);_(* \(#,##0.0\);_(* "-"??_);_(@_)</c:formatCode>
                <c:ptCount val="5"/>
                <c:pt idx="0">
                  <c:v>192.98023759999205</c:v>
                </c:pt>
                <c:pt idx="1">
                  <c:v>227.69839999999999</c:v>
                </c:pt>
                <c:pt idx="2">
                  <c:v>212.44516910999999</c:v>
                </c:pt>
                <c:pt idx="3">
                  <c:v>341.88481650000017</c:v>
                </c:pt>
                <c:pt idx="4">
                  <c:v>547.6602594174783</c:v>
                </c:pt>
              </c:numCache>
            </c:numRef>
          </c:val>
          <c:extLst>
            <c:ext xmlns:c16="http://schemas.microsoft.com/office/drawing/2014/chart" uri="{C3380CC4-5D6E-409C-BE32-E72D297353CC}">
              <c16:uniqueId val="{0000000E-4709-40CE-A46B-929177EBF5C8}"/>
            </c:ext>
          </c:extLst>
        </c:ser>
        <c:dLbls>
          <c:showLegendKey val="0"/>
          <c:showVal val="0"/>
          <c:showCatName val="0"/>
          <c:showSerName val="0"/>
          <c:showPercent val="0"/>
          <c:showBubbleSize val="0"/>
        </c:dLbls>
        <c:gapWidth val="232"/>
        <c:overlap val="100"/>
        <c:axId val="348736512"/>
        <c:axId val="348738304"/>
      </c:barChart>
      <c:catAx>
        <c:axId val="348728704"/>
        <c:scaling>
          <c:orientation val="minMax"/>
        </c:scaling>
        <c:delete val="0"/>
        <c:axPos val="b"/>
        <c:numFmt formatCode="General" sourceLinked="1"/>
        <c:majorTickMark val="none"/>
        <c:minorTickMark val="none"/>
        <c:tickLblPos val="nextTo"/>
        <c:spPr>
          <a:noFill/>
          <a:ln w="25382" cap="flat" cmpd="sng" algn="ctr">
            <a:solidFill>
              <a:schemeClr val="tx2">
                <a:lumMod val="50000"/>
              </a:schemeClr>
            </a:solidFill>
            <a:round/>
          </a:ln>
          <a:effectLst/>
        </c:spPr>
        <c:txPr>
          <a:bodyPr rot="-60000000" spcFirstLastPara="1" vertOverflow="ellipsis" vert="horz" wrap="square" anchor="ctr" anchorCtr="1"/>
          <a:lstStyle/>
          <a:p>
            <a:pPr>
              <a:defRPr sz="1196" b="1" i="0" u="none" strike="noStrike" kern="1200" baseline="0">
                <a:solidFill>
                  <a:schemeClr val="tx1">
                    <a:lumMod val="65000"/>
                    <a:lumOff val="35000"/>
                  </a:schemeClr>
                </a:solidFill>
                <a:latin typeface="+mn-lt"/>
                <a:ea typeface="+mn-ea"/>
                <a:cs typeface="+mn-cs"/>
              </a:defRPr>
            </a:pPr>
            <a:endParaRPr lang="en-US"/>
          </a:p>
        </c:txPr>
        <c:crossAx val="348734592"/>
        <c:crosses val="autoZero"/>
        <c:auto val="1"/>
        <c:lblAlgn val="ctr"/>
        <c:lblOffset val="100"/>
        <c:noMultiLvlLbl val="0"/>
      </c:catAx>
      <c:valAx>
        <c:axId val="348734592"/>
        <c:scaling>
          <c:orientation val="minMax"/>
          <c:max val="2400"/>
          <c:min val="0"/>
        </c:scaling>
        <c:delete val="0"/>
        <c:axPos val="l"/>
        <c:majorGridlines>
          <c:spPr>
            <a:ln w="9518" cap="flat" cmpd="sng" algn="ctr">
              <a:solidFill>
                <a:schemeClr val="tx1">
                  <a:lumMod val="15000"/>
                  <a:lumOff val="85000"/>
                </a:schemeClr>
              </a:solidFill>
              <a:round/>
            </a:ln>
            <a:effectLst/>
          </c:spPr>
        </c:majorGridlines>
        <c:title>
          <c:tx>
            <c:rich>
              <a:bodyPr/>
              <a:lstStyle/>
              <a:p>
                <a:pPr>
                  <a:defRPr sz="1200" b="0" i="0" u="none" strike="noStrike" baseline="0">
                    <a:solidFill>
                      <a:srgbClr val="333333"/>
                    </a:solidFill>
                    <a:latin typeface="GHEA Grapalat"/>
                    <a:ea typeface="GHEA Grapalat"/>
                    <a:cs typeface="GHEA Grapalat"/>
                  </a:defRPr>
                </a:pPr>
                <a:r>
                  <a:rPr lang="hy-AM" sz="1200" b="0"/>
                  <a:t>մլրդ դրամ</a:t>
                </a:r>
              </a:p>
            </c:rich>
          </c:tx>
          <c:overlay val="0"/>
          <c:spPr>
            <a:noFill/>
            <a:ln w="25382">
              <a:noFill/>
            </a:ln>
          </c:spPr>
        </c:title>
        <c:numFmt formatCode="_(* #,##0.0_);_(* \(#,##0.0\);_(* &quot;-&quot;??_);_(@_)" sourceLinked="1"/>
        <c:majorTickMark val="none"/>
        <c:minorTickMark val="none"/>
        <c:tickLblPos val="nextTo"/>
        <c:spPr>
          <a:noFill/>
          <a:ln w="28555">
            <a:solidFill>
              <a:schemeClr val="tx2">
                <a:lumMod val="50000"/>
              </a:schemeClr>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48728704"/>
        <c:crosses val="autoZero"/>
        <c:crossBetween val="between"/>
        <c:majorUnit val="400"/>
      </c:valAx>
      <c:catAx>
        <c:axId val="348736512"/>
        <c:scaling>
          <c:orientation val="minMax"/>
        </c:scaling>
        <c:delete val="1"/>
        <c:axPos val="b"/>
        <c:numFmt formatCode="General" sourceLinked="1"/>
        <c:majorTickMark val="out"/>
        <c:minorTickMark val="none"/>
        <c:tickLblPos val="none"/>
        <c:crossAx val="348738304"/>
        <c:crosses val="autoZero"/>
        <c:auto val="1"/>
        <c:lblAlgn val="ctr"/>
        <c:lblOffset val="100"/>
        <c:noMultiLvlLbl val="0"/>
      </c:catAx>
      <c:valAx>
        <c:axId val="348738304"/>
        <c:scaling>
          <c:orientation val="minMax"/>
          <c:max val="1800"/>
          <c:min val="0"/>
        </c:scaling>
        <c:delete val="1"/>
        <c:axPos val="r"/>
        <c:numFmt formatCode="_(* #,##0.0_);_(* \(#,##0.0\);_(* &quot;-&quot;??_);_(@_)" sourceLinked="1"/>
        <c:majorTickMark val="out"/>
        <c:minorTickMark val="none"/>
        <c:tickLblPos val="none"/>
        <c:crossAx val="348736512"/>
        <c:crosses val="max"/>
        <c:crossBetween val="between"/>
        <c:majorUnit val="200"/>
      </c:valAx>
      <c:spPr>
        <a:noFill/>
        <a:ln w="25382">
          <a:noFill/>
        </a:ln>
      </c:spPr>
    </c:plotArea>
    <c:legend>
      <c:legendPos val="b"/>
      <c:legendEntry>
        <c:idx val="0"/>
        <c:delete val="1"/>
      </c:legendEntry>
      <c:layout>
        <c:manualLayout>
          <c:xMode val="edge"/>
          <c:yMode val="edge"/>
          <c:x val="5.8816782230579442E-2"/>
          <c:y val="0.92351471814054742"/>
          <c:w val="0.934860657343206"/>
          <c:h val="5.9144260510743334E-2"/>
        </c:manualLayout>
      </c:layout>
      <c:overlay val="0"/>
      <c:spPr>
        <a:noFill/>
        <a:ln w="25382">
          <a:noFill/>
        </a:ln>
      </c:spPr>
      <c:txPr>
        <a:bodyPr rot="0" spcFirstLastPara="1" vertOverflow="ellipsis" vert="horz" wrap="square" anchor="ctr" anchorCtr="1"/>
        <a:lstStyle/>
        <a:p>
          <a:pPr>
            <a:defRPr sz="1196"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c:spPr>
  <c:txPr>
    <a:bodyPr/>
    <a:lstStyle/>
    <a:p>
      <a:pPr>
        <a:defRPr/>
      </a:pPr>
      <a:endParaRPr lang="en-US"/>
    </a:p>
  </c:txPr>
  <c:externalData r:id="rId2">
    <c:autoUpdate val="0"/>
  </c:externalData>
  <c:userShapes r:id="rId3"/>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88145091188361"/>
          <c:y val="2.104553046571658E-2"/>
          <c:w val="0.86293549726037466"/>
          <c:h val="0.651164782619995"/>
        </c:manualLayout>
      </c:layout>
      <c:barChart>
        <c:barDir val="col"/>
        <c:grouping val="stacked"/>
        <c:varyColors val="0"/>
        <c:ser>
          <c:idx val="0"/>
          <c:order val="0"/>
          <c:tx>
            <c:strRef>
              <c:f>Sheet1!$B$5</c:f>
              <c:strCache>
                <c:ptCount val="1"/>
                <c:pt idx="0">
                  <c:v>Ընդամենը ծախսեր</c:v>
                </c:pt>
              </c:strCache>
            </c:strRef>
          </c:tx>
          <c:spPr>
            <a:solidFill>
              <a:schemeClr val="accent1">
                <a:lumMod val="75000"/>
                <a:alpha val="12000"/>
              </a:schemeClr>
            </a:solidFill>
            <a:ln>
              <a:noFill/>
            </a:ln>
            <a:effectLst/>
            <a:scene3d>
              <a:camera prst="orthographicFront"/>
              <a:lightRig rig="threePt" dir="t"/>
            </a:scene3d>
            <a:sp3d prstMaterial="metal">
              <a:bevelT/>
            </a:sp3d>
          </c:spPr>
          <c:invertIfNegative val="0"/>
          <c:dLbls>
            <c:dLbl>
              <c:idx val="0"/>
              <c:layout>
                <c:manualLayout>
                  <c:x val="-7.288317256162917E-2"/>
                  <c:y val="-8.2644628099173591E-3"/>
                </c:manualLayout>
              </c:layout>
              <c:tx>
                <c:rich>
                  <a:bodyPr/>
                  <a:lstStyle/>
                  <a:p>
                    <a:r>
                      <a:rPr lang="en-US"/>
                      <a:t>22.0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37-4D12-8D83-73711AAB8F14}"/>
                </c:ext>
              </c:extLst>
            </c:dLbl>
            <c:dLbl>
              <c:idx val="1"/>
              <c:layout>
                <c:manualLayout>
                  <c:x val="-9.952747466052278E-2"/>
                  <c:y val="1.08457517140012E-7"/>
                </c:manualLayout>
              </c:layout>
              <c:tx>
                <c:rich>
                  <a:bodyPr rot="-5400000" spcFirstLastPara="1" vertOverflow="ellipsis" wrap="square" lIns="38100" tIns="19050" rIns="38100" bIns="19050" anchor="ctr" anchorCtr="1">
                    <a:noAutofit/>
                  </a:bodyPr>
                  <a:lstStyle/>
                  <a:p>
                    <a:pPr>
                      <a:defRPr sz="1195" b="1" i="0" u="none" strike="noStrike" kern="1200" baseline="0">
                        <a:solidFill>
                          <a:schemeClr val="tx2">
                            <a:lumMod val="50000"/>
                          </a:schemeClr>
                        </a:solidFill>
                        <a:latin typeface="GHEA Grapalat" panose="02000506050000020003" pitchFamily="50" charset="0"/>
                        <a:ea typeface="+mn-ea"/>
                        <a:cs typeface="+mn-cs"/>
                      </a:defRPr>
                    </a:pPr>
                    <a:r>
                      <a:rPr lang="en-US"/>
                      <a:t>27.0</a:t>
                    </a:r>
                  </a:p>
                </c:rich>
              </c:tx>
              <c:spPr>
                <a:noFill/>
                <a:ln w="25384">
                  <a:noFill/>
                </a:ln>
              </c:spPr>
              <c:dLblPos val="ctr"/>
              <c:showLegendKey val="0"/>
              <c:showVal val="1"/>
              <c:showCatName val="0"/>
              <c:showSerName val="0"/>
              <c:showPercent val="0"/>
              <c:showBubbleSize val="0"/>
              <c:extLst>
                <c:ext xmlns:c15="http://schemas.microsoft.com/office/drawing/2012/chart" uri="{CE6537A1-D6FC-4f65-9D91-7224C49458BB}">
                  <c15:layout>
                    <c:manualLayout>
                      <c:w val="0.11762057877813503"/>
                      <c:h val="6.1639226914817456E-2"/>
                    </c:manualLayout>
                  </c15:layout>
                </c:ext>
                <c:ext xmlns:c16="http://schemas.microsoft.com/office/drawing/2014/chart" uri="{C3380CC4-5D6E-409C-BE32-E72D297353CC}">
                  <c16:uniqueId val="{00000001-B337-4D12-8D83-73711AAB8F14}"/>
                </c:ext>
              </c:extLst>
            </c:dLbl>
            <c:dLbl>
              <c:idx val="2"/>
              <c:layout>
                <c:manualLayout>
                  <c:x val="-9.0929437678811051E-2"/>
                  <c:y val="3.0255308995465972E-3"/>
                </c:manualLayout>
              </c:layout>
              <c:tx>
                <c:rich>
                  <a:bodyPr/>
                  <a:lstStyle/>
                  <a:p>
                    <a:r>
                      <a:rPr lang="en-US"/>
                      <a:t>25.6</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37-4D12-8D83-73711AAB8F14}"/>
                </c:ext>
              </c:extLst>
            </c:dLbl>
            <c:dLbl>
              <c:idx val="3"/>
              <c:layout>
                <c:manualLayout>
                  <c:x val="-0.10234397549180961"/>
                  <c:y val="-3.1923385609856632E-3"/>
                </c:manualLayout>
              </c:layout>
              <c:tx>
                <c:rich>
                  <a:bodyPr/>
                  <a:lstStyle/>
                  <a:p>
                    <a:r>
                      <a:rPr lang="en-US"/>
                      <a:t>23.6</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37-4D12-8D83-73711AAB8F14}"/>
                </c:ext>
              </c:extLst>
            </c:dLbl>
            <c:dLbl>
              <c:idx val="4"/>
              <c:layout>
                <c:manualLayout>
                  <c:x val="-7.5451637677123318E-2"/>
                  <c:y val="5.414199258150582E-4"/>
                </c:manualLayout>
              </c:layout>
              <c:tx>
                <c:rich>
                  <a:bodyPr/>
                  <a:lstStyle/>
                  <a:p>
                    <a:r>
                      <a:rPr lang="en-US"/>
                      <a:t>21.9</a:t>
                    </a:r>
                  </a:p>
                  <a:p>
                    <a:endParaRPr lang="en-US"/>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337-4D12-8D83-73711AAB8F14}"/>
                </c:ext>
              </c:extLst>
            </c:dLbl>
            <c:spPr>
              <a:noFill/>
              <a:ln w="25384">
                <a:noFill/>
              </a:ln>
            </c:spPr>
            <c:txPr>
              <a:bodyPr rot="-5400000" spcFirstLastPara="1" vertOverflow="ellipsis" wrap="square" lIns="38100" tIns="19050" rIns="38100" bIns="19050" anchor="ctr" anchorCtr="1">
                <a:spAutoFit/>
              </a:bodyPr>
              <a:lstStyle/>
              <a:p>
                <a:pPr>
                  <a:defRPr sz="1195" b="1" i="0" u="none" strike="noStrike" kern="1200" baseline="0">
                    <a:solidFill>
                      <a:schemeClr val="tx2">
                        <a:lumMod val="50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2019 թ</c:v>
                </c:pt>
                <c:pt idx="1">
                  <c:v>2020 թ</c:v>
                </c:pt>
                <c:pt idx="2">
                  <c:v>2021 թ</c:v>
                </c:pt>
                <c:pt idx="3">
                  <c:v>2022 թ</c:v>
                </c:pt>
                <c:pt idx="4">
                  <c:v>2023 թ</c:v>
                </c:pt>
              </c:strCache>
            </c:strRef>
          </c:cat>
          <c:val>
            <c:numRef>
              <c:f>Sheet1!$C$5:$G$5</c:f>
              <c:numCache>
                <c:formatCode>_ * #,##0.0_)\ _ _ ;_ * \(#,##0.0\)\ _ _ ;_ * "-"??_)\ _ _ ;_ @_ </c:formatCode>
                <c:ptCount val="5"/>
                <c:pt idx="0">
                  <c:v>21.963506332517529</c:v>
                </c:pt>
                <c:pt idx="1">
                  <c:v>26.990440551113089</c:v>
                </c:pt>
                <c:pt idx="2">
                  <c:v>25.605114720803162</c:v>
                </c:pt>
                <c:pt idx="3">
                  <c:v>23.583380091177109</c:v>
                </c:pt>
                <c:pt idx="4">
                  <c:v>19.117040842058877</c:v>
                </c:pt>
              </c:numCache>
            </c:numRef>
          </c:val>
          <c:extLst>
            <c:ext xmlns:c16="http://schemas.microsoft.com/office/drawing/2014/chart" uri="{C3380CC4-5D6E-409C-BE32-E72D297353CC}">
              <c16:uniqueId val="{00000005-B337-4D12-8D83-73711AAB8F14}"/>
            </c:ext>
          </c:extLst>
        </c:ser>
        <c:dLbls>
          <c:showLegendKey val="0"/>
          <c:showVal val="0"/>
          <c:showCatName val="0"/>
          <c:showSerName val="0"/>
          <c:showPercent val="0"/>
          <c:showBubbleSize val="0"/>
        </c:dLbls>
        <c:gapWidth val="34"/>
        <c:overlap val="100"/>
        <c:axId val="349357184"/>
        <c:axId val="349358720"/>
      </c:barChart>
      <c:barChart>
        <c:barDir val="col"/>
        <c:grouping val="stacked"/>
        <c:varyColors val="0"/>
        <c:ser>
          <c:idx val="1"/>
          <c:order val="1"/>
          <c:tx>
            <c:strRef>
              <c:f>Sheet1!$B$6</c:f>
              <c:strCache>
                <c:ptCount val="1"/>
                <c:pt idx="0">
                  <c:v>Աշխատանքի վարձատրություն</c:v>
                </c:pt>
              </c:strCache>
            </c:strRef>
          </c:tx>
          <c:spPr>
            <a:solidFill>
              <a:schemeClr val="accent2">
                <a:lumMod val="75000"/>
              </a:schemeClr>
            </a:solidFill>
            <a:ln>
              <a:noFill/>
            </a:ln>
            <a:effectLst/>
            <a:scene3d>
              <a:camera prst="orthographicFront"/>
              <a:lightRig rig="threePt" dir="t"/>
            </a:scene3d>
            <a:sp3d prstMaterial="metal">
              <a:bevelT/>
            </a:sp3d>
          </c:spPr>
          <c:invertIfNegative val="0"/>
          <c:dLbls>
            <c:spPr>
              <a:noFill/>
              <a:ln w="25384">
                <a:noFill/>
              </a:ln>
            </c:spPr>
            <c:txPr>
              <a:bodyPr rot="0" spcFirstLastPara="1" vertOverflow="ellipsis" vert="horz" wrap="square" lIns="38100" tIns="19050" rIns="38100" bIns="19050" anchor="ctr" anchorCtr="1">
                <a:spAutoFit/>
              </a:bodyPr>
              <a:lstStyle/>
              <a:p>
                <a:pPr>
                  <a:defRPr sz="1195" b="0"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2019 թ</c:v>
                </c:pt>
                <c:pt idx="1">
                  <c:v>2020 թ</c:v>
                </c:pt>
                <c:pt idx="2">
                  <c:v>2021 թ</c:v>
                </c:pt>
                <c:pt idx="3">
                  <c:v>2022 թ</c:v>
                </c:pt>
                <c:pt idx="4">
                  <c:v>2023 թ</c:v>
                </c:pt>
              </c:strCache>
            </c:strRef>
          </c:cat>
          <c:val>
            <c:numRef>
              <c:f>Sheet1!$C$6:$G$6</c:f>
              <c:numCache>
                <c:formatCode>_ * #,##0.0_)\ _ _ ;_ * \(#,##0.0\)\ _ _ ;_ * "-"??_)\ _ _ ;_ @_ </c:formatCode>
                <c:ptCount val="5"/>
                <c:pt idx="0">
                  <c:v>2.6374771129245089</c:v>
                </c:pt>
                <c:pt idx="1">
                  <c:v>2.8487691403355289</c:v>
                </c:pt>
                <c:pt idx="2">
                  <c:v>2.5979581310126036</c:v>
                </c:pt>
                <c:pt idx="3">
                  <c:v>2.3631600188095629</c:v>
                </c:pt>
                <c:pt idx="4">
                  <c:v>2.2690365013039933</c:v>
                </c:pt>
              </c:numCache>
            </c:numRef>
          </c:val>
          <c:extLst>
            <c:ext xmlns:c16="http://schemas.microsoft.com/office/drawing/2014/chart" uri="{C3380CC4-5D6E-409C-BE32-E72D297353CC}">
              <c16:uniqueId val="{00000006-B337-4D12-8D83-73711AAB8F14}"/>
            </c:ext>
          </c:extLst>
        </c:ser>
        <c:ser>
          <c:idx val="2"/>
          <c:order val="2"/>
          <c:tx>
            <c:strRef>
              <c:f>Sheet1!$B$7</c:f>
              <c:strCache>
                <c:ptCount val="1"/>
                <c:pt idx="0">
                  <c:v>Ծառայությունների և ապրանքների ձեռքբերում</c:v>
                </c:pt>
              </c:strCache>
            </c:strRef>
          </c:tx>
          <c:invertIfNegative val="0"/>
          <c:dLbls>
            <c:spPr>
              <a:noFill/>
              <a:ln w="25384">
                <a:noFill/>
              </a:ln>
            </c:spPr>
            <c:txPr>
              <a:bodyPr rot="0" spcFirstLastPara="1" vertOverflow="ellipsis" vert="horz" wrap="square" lIns="38100" tIns="19050" rIns="38100" bIns="19050" anchor="ctr" anchorCtr="1">
                <a:spAutoFit/>
              </a:bodyPr>
              <a:lstStyle/>
              <a:p>
                <a:pPr>
                  <a:defRPr sz="1195" b="0" i="0" u="none" strike="noStrike" kern="1200" baseline="0">
                    <a:solidFill>
                      <a:schemeClr val="tx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2019 թ</c:v>
                </c:pt>
                <c:pt idx="1">
                  <c:v>2020 թ</c:v>
                </c:pt>
                <c:pt idx="2">
                  <c:v>2021 թ</c:v>
                </c:pt>
                <c:pt idx="3">
                  <c:v>2022 թ</c:v>
                </c:pt>
                <c:pt idx="4">
                  <c:v>2023 թ</c:v>
                </c:pt>
              </c:strCache>
            </c:strRef>
          </c:cat>
          <c:val>
            <c:numRef>
              <c:f>Sheet1!$C$7:$G$7</c:f>
              <c:numCache>
                <c:formatCode>_ * #,##0.0_)\ _ _ ;_ * \(#,##0.0\)\ _ _ ;_ * "-"??_)\ _ _ ;_ @_ </c:formatCode>
                <c:ptCount val="5"/>
                <c:pt idx="0">
                  <c:v>2.9361427203534451</c:v>
                </c:pt>
                <c:pt idx="1">
                  <c:v>2.8982839361976986</c:v>
                </c:pt>
                <c:pt idx="2">
                  <c:v>2.8423946089852179</c:v>
                </c:pt>
                <c:pt idx="3">
                  <c:v>2.2085202026752007</c:v>
                </c:pt>
                <c:pt idx="4">
                  <c:v>2.0120124282142009</c:v>
                </c:pt>
              </c:numCache>
            </c:numRef>
          </c:val>
          <c:extLst>
            <c:ext xmlns:c16="http://schemas.microsoft.com/office/drawing/2014/chart" uri="{C3380CC4-5D6E-409C-BE32-E72D297353CC}">
              <c16:uniqueId val="{00000007-B337-4D12-8D83-73711AAB8F14}"/>
            </c:ext>
          </c:extLst>
        </c:ser>
        <c:ser>
          <c:idx val="3"/>
          <c:order val="3"/>
          <c:tx>
            <c:strRef>
              <c:f>Sheet1!$B$8</c:f>
              <c:strCache>
                <c:ptCount val="1"/>
                <c:pt idx="0">
                  <c:v>Տոկոսավճարներ</c:v>
                </c:pt>
              </c:strCache>
            </c:strRef>
          </c:tx>
          <c:spPr>
            <a:scene3d>
              <a:camera prst="orthographicFront"/>
              <a:lightRig rig="threePt" dir="t"/>
            </a:scene3d>
            <a:sp3d>
              <a:bevelT/>
            </a:sp3d>
          </c:spPr>
          <c:invertIfNegative val="0"/>
          <c:dLbls>
            <c:spPr>
              <a:noFill/>
              <a:ln w="2538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2019 թ</c:v>
                </c:pt>
                <c:pt idx="1">
                  <c:v>2020 թ</c:v>
                </c:pt>
                <c:pt idx="2">
                  <c:v>2021 թ</c:v>
                </c:pt>
                <c:pt idx="3">
                  <c:v>2022 թ</c:v>
                </c:pt>
                <c:pt idx="4">
                  <c:v>2023 թ</c:v>
                </c:pt>
              </c:strCache>
            </c:strRef>
          </c:cat>
          <c:val>
            <c:numRef>
              <c:f>Sheet1!$C$8:$G$8</c:f>
              <c:numCache>
                <c:formatCode>_ * #,##0.0_)\ _ _ ;_ * \(#,##0.0\)\ _ _ ;_ * "-"??_)\ _ _ ;_ @_ </c:formatCode>
                <c:ptCount val="5"/>
                <c:pt idx="0">
                  <c:v>2.4078397672570526</c:v>
                </c:pt>
                <c:pt idx="1">
                  <c:v>2.6654207937309309</c:v>
                </c:pt>
                <c:pt idx="2">
                  <c:v>2.5897194017639129</c:v>
                </c:pt>
                <c:pt idx="3">
                  <c:v>2.7376578478582112</c:v>
                </c:pt>
                <c:pt idx="4">
                  <c:v>2.9292818434200871</c:v>
                </c:pt>
              </c:numCache>
            </c:numRef>
          </c:val>
          <c:extLst>
            <c:ext xmlns:c16="http://schemas.microsoft.com/office/drawing/2014/chart" uri="{C3380CC4-5D6E-409C-BE32-E72D297353CC}">
              <c16:uniqueId val="{00000008-B337-4D12-8D83-73711AAB8F14}"/>
            </c:ext>
          </c:extLst>
        </c:ser>
        <c:ser>
          <c:idx val="4"/>
          <c:order val="4"/>
          <c:tx>
            <c:strRef>
              <c:f>Sheet1!$B$9</c:f>
              <c:strCache>
                <c:ptCount val="1"/>
                <c:pt idx="0">
                  <c:v>Սուբսիդիաներ</c:v>
                </c:pt>
              </c:strCache>
            </c:strRef>
          </c:tx>
          <c:spPr>
            <a:scene3d>
              <a:camera prst="orthographicFront"/>
              <a:lightRig rig="threePt" dir="t"/>
            </a:scene3d>
            <a:sp3d>
              <a:bevelT/>
            </a:sp3d>
          </c:spPr>
          <c:invertIfNegative val="0"/>
          <c:dLbls>
            <c:spPr>
              <a:noFill/>
              <a:ln w="2538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2019 թ</c:v>
                </c:pt>
                <c:pt idx="1">
                  <c:v>2020 թ</c:v>
                </c:pt>
                <c:pt idx="2">
                  <c:v>2021 թ</c:v>
                </c:pt>
                <c:pt idx="3">
                  <c:v>2022 թ</c:v>
                </c:pt>
                <c:pt idx="4">
                  <c:v>2023 թ</c:v>
                </c:pt>
              </c:strCache>
            </c:strRef>
          </c:cat>
          <c:val>
            <c:numRef>
              <c:f>Sheet1!$C$9:$G$9</c:f>
              <c:numCache>
                <c:formatCode>_ * #,##0.0_)\ _ _ ;_ * \(#,##0.0\)\ _ _ ;_ * "-"??_)\ _ _ ;_ @_ </c:formatCode>
                <c:ptCount val="5"/>
                <c:pt idx="0">
                  <c:v>1.7326900153374698</c:v>
                </c:pt>
                <c:pt idx="1">
                  <c:v>1.9263290886348872</c:v>
                </c:pt>
                <c:pt idx="2">
                  <c:v>1.9587710128786096</c:v>
                </c:pt>
                <c:pt idx="3">
                  <c:v>1.8160016538120196</c:v>
                </c:pt>
                <c:pt idx="4">
                  <c:v>1.6258336861892431</c:v>
                </c:pt>
              </c:numCache>
            </c:numRef>
          </c:val>
          <c:extLst>
            <c:ext xmlns:c16="http://schemas.microsoft.com/office/drawing/2014/chart" uri="{C3380CC4-5D6E-409C-BE32-E72D297353CC}">
              <c16:uniqueId val="{00000009-B337-4D12-8D83-73711AAB8F14}"/>
            </c:ext>
          </c:extLst>
        </c:ser>
        <c:ser>
          <c:idx val="5"/>
          <c:order val="5"/>
          <c:tx>
            <c:strRef>
              <c:f>Sheet1!$B$10</c:f>
              <c:strCache>
                <c:ptCount val="1"/>
                <c:pt idx="0">
                  <c:v>Դրամաշնորհներ</c:v>
                </c:pt>
              </c:strCache>
            </c:strRef>
          </c:tx>
          <c:spPr>
            <a:scene3d>
              <a:camera prst="orthographicFront"/>
              <a:lightRig rig="threePt" dir="t"/>
            </a:scene3d>
            <a:sp3d>
              <a:bevelT/>
            </a:sp3d>
          </c:spPr>
          <c:invertIfNegative val="0"/>
          <c:dLbls>
            <c:spPr>
              <a:noFill/>
              <a:ln w="2538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2019 թ</c:v>
                </c:pt>
                <c:pt idx="1">
                  <c:v>2020 թ</c:v>
                </c:pt>
                <c:pt idx="2">
                  <c:v>2021 թ</c:v>
                </c:pt>
                <c:pt idx="3">
                  <c:v>2022 թ</c:v>
                </c:pt>
                <c:pt idx="4">
                  <c:v>2023 թ</c:v>
                </c:pt>
              </c:strCache>
            </c:strRef>
          </c:cat>
          <c:val>
            <c:numRef>
              <c:f>Sheet1!$C$10:$G$10</c:f>
              <c:numCache>
                <c:formatCode>_ * #,##0.0_)\ _ _ ;_ * \(#,##0.0\)\ _ _ ;_ * "-"??_)\ _ _ ;_ @_ </c:formatCode>
                <c:ptCount val="5"/>
                <c:pt idx="0">
                  <c:v>2.2924096962493881</c:v>
                </c:pt>
                <c:pt idx="1">
                  <c:v>3.0227166624922246</c:v>
                </c:pt>
                <c:pt idx="2">
                  <c:v>2.9313421542606513</c:v>
                </c:pt>
                <c:pt idx="3">
                  <c:v>2.9284544893395825</c:v>
                </c:pt>
                <c:pt idx="4">
                  <c:v>2.8795305667091977</c:v>
                </c:pt>
              </c:numCache>
            </c:numRef>
          </c:val>
          <c:extLst>
            <c:ext xmlns:c16="http://schemas.microsoft.com/office/drawing/2014/chart" uri="{C3380CC4-5D6E-409C-BE32-E72D297353CC}">
              <c16:uniqueId val="{0000000A-B337-4D12-8D83-73711AAB8F14}"/>
            </c:ext>
          </c:extLst>
        </c:ser>
        <c:ser>
          <c:idx val="6"/>
          <c:order val="6"/>
          <c:tx>
            <c:strRef>
              <c:f>Sheet1!$B$11</c:f>
              <c:strCache>
                <c:ptCount val="1"/>
                <c:pt idx="0">
                  <c:v>Սոցիալական նպաստներ և կենսաթոշակներ</c:v>
                </c:pt>
              </c:strCache>
            </c:strRef>
          </c:tx>
          <c:invertIfNegative val="0"/>
          <c:dLbls>
            <c:spPr>
              <a:noFill/>
              <a:ln w="2538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2019 թ</c:v>
                </c:pt>
                <c:pt idx="1">
                  <c:v>2020 թ</c:v>
                </c:pt>
                <c:pt idx="2">
                  <c:v>2021 թ</c:v>
                </c:pt>
                <c:pt idx="3">
                  <c:v>2022 թ</c:v>
                </c:pt>
                <c:pt idx="4">
                  <c:v>2023 թ</c:v>
                </c:pt>
              </c:strCache>
            </c:strRef>
          </c:cat>
          <c:val>
            <c:numRef>
              <c:f>Sheet1!$C$11:$G$11</c:f>
              <c:numCache>
                <c:formatCode>_ * #,##0.0_)\ _ _ ;_ * \(#,##0.0\)\ _ _ ;_ * "-"??_)\ _ _ ;_ @_ </c:formatCode>
                <c:ptCount val="5"/>
                <c:pt idx="0">
                  <c:v>6.9264304775595784</c:v>
                </c:pt>
                <c:pt idx="1">
                  <c:v>9.0440396344084757</c:v>
                </c:pt>
                <c:pt idx="2">
                  <c:v>8.8954797738275335</c:v>
                </c:pt>
                <c:pt idx="3">
                  <c:v>7.3236809639732652</c:v>
                </c:pt>
                <c:pt idx="4">
                  <c:v>7.0813486798468537</c:v>
                </c:pt>
              </c:numCache>
            </c:numRef>
          </c:val>
          <c:extLst>
            <c:ext xmlns:c16="http://schemas.microsoft.com/office/drawing/2014/chart" uri="{C3380CC4-5D6E-409C-BE32-E72D297353CC}">
              <c16:uniqueId val="{0000000B-B337-4D12-8D83-73711AAB8F14}"/>
            </c:ext>
          </c:extLst>
        </c:ser>
        <c:ser>
          <c:idx val="7"/>
          <c:order val="7"/>
          <c:tx>
            <c:strRef>
              <c:f>Sheet1!$B$12</c:f>
              <c:strCache>
                <c:ptCount val="1"/>
                <c:pt idx="0">
                  <c:v>Այլ ծախսեր</c:v>
                </c:pt>
              </c:strCache>
            </c:strRef>
          </c:tx>
          <c:spPr>
            <a:scene3d>
              <a:camera prst="orthographicFront"/>
              <a:lightRig rig="threePt" dir="t"/>
            </a:scene3d>
            <a:sp3d>
              <a:bevelT/>
            </a:sp3d>
          </c:spPr>
          <c:invertIfNegative val="0"/>
          <c:dLbls>
            <c:spPr>
              <a:noFill/>
              <a:ln w="25384">
                <a:noFill/>
              </a:ln>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Sheet1!$C$4:$G$4</c:f>
              <c:strCache>
                <c:ptCount val="5"/>
                <c:pt idx="0">
                  <c:v>2019 թ</c:v>
                </c:pt>
                <c:pt idx="1">
                  <c:v>2020 թ</c:v>
                </c:pt>
                <c:pt idx="2">
                  <c:v>2021 թ</c:v>
                </c:pt>
                <c:pt idx="3">
                  <c:v>2022 թ</c:v>
                </c:pt>
                <c:pt idx="4">
                  <c:v>2023 թ</c:v>
                </c:pt>
              </c:strCache>
            </c:strRef>
          </c:cat>
          <c:val>
            <c:numRef>
              <c:f>Sheet1!$C$12:$G$12</c:f>
              <c:numCache>
                <c:formatCode>_ * #,##0.0_)\ _ _ ;_ * \(#,##0.0\)\ _ _ ;_ * "-"??_)\ _ _ ;_ @_ </c:formatCode>
                <c:ptCount val="5"/>
                <c:pt idx="0">
                  <c:v>3.0305165428360867</c:v>
                </c:pt>
                <c:pt idx="1">
                  <c:v>4.5848812953133447</c:v>
                </c:pt>
                <c:pt idx="2">
                  <c:v>3.7894496380746339</c:v>
                </c:pt>
                <c:pt idx="3">
                  <c:v>4.2059049147092678</c:v>
                </c:pt>
                <c:pt idx="4">
                  <c:v>0.31999713637530147</c:v>
                </c:pt>
              </c:numCache>
            </c:numRef>
          </c:val>
          <c:extLst>
            <c:ext xmlns:c16="http://schemas.microsoft.com/office/drawing/2014/chart" uri="{C3380CC4-5D6E-409C-BE32-E72D297353CC}">
              <c16:uniqueId val="{0000000C-B337-4D12-8D83-73711AAB8F14}"/>
            </c:ext>
          </c:extLst>
        </c:ser>
        <c:dLbls>
          <c:showLegendKey val="0"/>
          <c:showVal val="0"/>
          <c:showCatName val="0"/>
          <c:showSerName val="0"/>
          <c:showPercent val="0"/>
          <c:showBubbleSize val="0"/>
        </c:dLbls>
        <c:gapWidth val="174"/>
        <c:overlap val="100"/>
        <c:axId val="349528832"/>
        <c:axId val="349530368"/>
      </c:barChart>
      <c:catAx>
        <c:axId val="349357184"/>
        <c:scaling>
          <c:orientation val="minMax"/>
        </c:scaling>
        <c:delete val="0"/>
        <c:axPos val="b"/>
        <c:numFmt formatCode="General" sourceLinked="1"/>
        <c:majorTickMark val="none"/>
        <c:minorTickMark val="none"/>
        <c:tickLblPos val="nextTo"/>
        <c:spPr>
          <a:noFill/>
          <a:ln w="25365" cap="flat" cmpd="sng" algn="ctr">
            <a:solidFill>
              <a:schemeClr val="tx2">
                <a:lumMod val="50000"/>
              </a:schemeClr>
            </a:solidFill>
            <a:round/>
          </a:ln>
          <a:effectLst/>
        </c:spPr>
        <c:txPr>
          <a:bodyPr rot="-60000000" spcFirstLastPara="1" vertOverflow="ellipsis" vert="horz" wrap="square" anchor="ctr" anchorCtr="1"/>
          <a:lstStyle/>
          <a:p>
            <a:pPr>
              <a:defRPr sz="1195" b="1" i="0" u="none" strike="noStrike" kern="1200" baseline="0">
                <a:solidFill>
                  <a:schemeClr val="tx1">
                    <a:lumMod val="65000"/>
                    <a:lumOff val="35000"/>
                  </a:schemeClr>
                </a:solidFill>
                <a:latin typeface="+mn-lt"/>
                <a:ea typeface="+mn-ea"/>
                <a:cs typeface="+mn-cs"/>
              </a:defRPr>
            </a:pPr>
            <a:endParaRPr lang="en-US"/>
          </a:p>
        </c:txPr>
        <c:crossAx val="349358720"/>
        <c:crosses val="autoZero"/>
        <c:auto val="1"/>
        <c:lblAlgn val="ctr"/>
        <c:lblOffset val="100"/>
        <c:noMultiLvlLbl val="0"/>
      </c:catAx>
      <c:valAx>
        <c:axId val="349358720"/>
        <c:scaling>
          <c:orientation val="minMax"/>
          <c:max val="30"/>
          <c:min val="0"/>
        </c:scaling>
        <c:delete val="0"/>
        <c:axPos val="l"/>
        <c:majorGridlines>
          <c:spPr>
            <a:ln w="9512" cap="flat" cmpd="sng" algn="ctr">
              <a:solidFill>
                <a:schemeClr val="tx1">
                  <a:lumMod val="15000"/>
                  <a:lumOff val="85000"/>
                </a:schemeClr>
              </a:solidFill>
              <a:round/>
            </a:ln>
            <a:effectLst/>
          </c:spPr>
        </c:majorGridlines>
        <c:title>
          <c:tx>
            <c:rich>
              <a:bodyPr/>
              <a:lstStyle/>
              <a:p>
                <a:pPr>
                  <a:defRPr sz="1099" b="0" i="0" u="none" strike="noStrike" baseline="0">
                    <a:solidFill>
                      <a:srgbClr val="000000"/>
                    </a:solidFill>
                    <a:latin typeface="Times Armenian"/>
                    <a:ea typeface="Times Armenian"/>
                    <a:cs typeface="Times Armenian"/>
                  </a:defRPr>
                </a:pPr>
                <a:r>
                  <a:rPr lang="en-US" sz="1324" b="1" i="0" u="none" strike="noStrike" baseline="0">
                    <a:solidFill>
                      <a:srgbClr val="003366"/>
                    </a:solidFill>
                    <a:latin typeface="GHEA Grapalat"/>
                  </a:rPr>
                  <a:t>%-ով</a:t>
                </a:r>
              </a:p>
            </c:rich>
          </c:tx>
          <c:layout>
            <c:manualLayout>
              <c:xMode val="edge"/>
              <c:yMode val="edge"/>
              <c:x val="6.3495455351039329E-2"/>
              <c:y val="0.34186785536105524"/>
            </c:manualLayout>
          </c:layout>
          <c:overlay val="0"/>
          <c:spPr>
            <a:noFill/>
            <a:ln w="25384">
              <a:noFill/>
            </a:ln>
          </c:spPr>
        </c:title>
        <c:numFmt formatCode="_ * #,##0.0_)\ _ _ ;_ * \(#,##0.0\)\ _ _ ;_ * &quot;-&quot;??_)\ _ _ ;_ @_ " sourceLinked="1"/>
        <c:majorTickMark val="none"/>
        <c:minorTickMark val="none"/>
        <c:tickLblPos val="nextTo"/>
        <c:spPr>
          <a:noFill/>
          <a:ln w="28535">
            <a:solidFill>
              <a:schemeClr val="tx2">
                <a:lumMod val="50000"/>
              </a:schemeClr>
            </a:solidFill>
          </a:ln>
          <a:effectLst/>
        </c:spPr>
        <c:txPr>
          <a:bodyPr rot="-60000000" spcFirstLastPara="1" vertOverflow="ellipsis" vert="horz" wrap="square" anchor="ctr" anchorCtr="1"/>
          <a:lstStyle/>
          <a:p>
            <a:pPr>
              <a:defRPr sz="1195" b="1" i="0" u="none" strike="noStrike" kern="1200" baseline="0">
                <a:solidFill>
                  <a:schemeClr val="tx1">
                    <a:lumMod val="65000"/>
                    <a:lumOff val="35000"/>
                  </a:schemeClr>
                </a:solidFill>
                <a:latin typeface="+mn-lt"/>
                <a:ea typeface="+mn-ea"/>
                <a:cs typeface="+mn-cs"/>
              </a:defRPr>
            </a:pPr>
            <a:endParaRPr lang="en-US"/>
          </a:p>
        </c:txPr>
        <c:crossAx val="349357184"/>
        <c:crosses val="autoZero"/>
        <c:crossBetween val="between"/>
        <c:majorUnit val="9"/>
      </c:valAx>
      <c:catAx>
        <c:axId val="349528832"/>
        <c:scaling>
          <c:orientation val="minMax"/>
        </c:scaling>
        <c:delete val="1"/>
        <c:axPos val="b"/>
        <c:numFmt formatCode="General" sourceLinked="1"/>
        <c:majorTickMark val="out"/>
        <c:minorTickMark val="none"/>
        <c:tickLblPos val="none"/>
        <c:crossAx val="349530368"/>
        <c:crosses val="autoZero"/>
        <c:auto val="1"/>
        <c:lblAlgn val="ctr"/>
        <c:lblOffset val="100"/>
        <c:noMultiLvlLbl val="0"/>
      </c:catAx>
      <c:valAx>
        <c:axId val="349530368"/>
        <c:scaling>
          <c:orientation val="minMax"/>
          <c:max val="1800"/>
          <c:min val="0"/>
        </c:scaling>
        <c:delete val="1"/>
        <c:axPos val="r"/>
        <c:numFmt formatCode="_ * #,##0.0_)\ _ _ ;_ * \(#,##0.0\)\ _ _ ;_ * &quot;-&quot;??_)\ _ _ ;_ @_ " sourceLinked="1"/>
        <c:majorTickMark val="out"/>
        <c:minorTickMark val="none"/>
        <c:tickLblPos val="none"/>
        <c:crossAx val="349528832"/>
        <c:crosses val="max"/>
        <c:crossBetween val="between"/>
        <c:majorUnit val="200"/>
      </c:valAx>
      <c:spPr>
        <a:noFill/>
        <a:ln w="25384">
          <a:noFill/>
        </a:ln>
      </c:spPr>
    </c:plotArea>
    <c:legend>
      <c:legendPos val="b"/>
      <c:legendEntry>
        <c:idx val="0"/>
        <c:delete val="1"/>
      </c:legendEntry>
      <c:layout>
        <c:manualLayout>
          <c:xMode val="edge"/>
          <c:yMode val="edge"/>
          <c:x val="2.6452641972808054E-3"/>
          <c:y val="0.73774320634163226"/>
          <c:w val="0.9827213881223047"/>
          <c:h val="0.26225678401770031"/>
        </c:manualLayout>
      </c:layout>
      <c:overlay val="0"/>
      <c:spPr>
        <a:noFill/>
        <a:ln w="25384">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c:spPr>
  <c:txPr>
    <a:bodyPr/>
    <a:lstStyle/>
    <a:p>
      <a:pPr>
        <a:defRPr/>
      </a:pPr>
      <a:endParaRPr lang="en-US"/>
    </a:p>
  </c:txPr>
  <c:externalData r:id="rId2">
    <c:autoUpdate val="0"/>
  </c:externalData>
  <c:userShapes r:id="rId3"/>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654904248080105"/>
          <c:y val="3.4598351262430223E-2"/>
          <c:w val="0.89231829274929153"/>
          <c:h val="0.71384989534536081"/>
        </c:manualLayout>
      </c:layout>
      <c:barChart>
        <c:barDir val="col"/>
        <c:grouping val="stacked"/>
        <c:varyColors val="0"/>
        <c:ser>
          <c:idx val="0"/>
          <c:order val="0"/>
          <c:tx>
            <c:strRef>
              <c:f>Sheet1!$B$7</c:f>
              <c:strCache>
                <c:ptCount val="1"/>
                <c:pt idx="0">
                  <c:v>Կապիտալ ծախսեր</c:v>
                </c:pt>
              </c:strCache>
            </c:strRef>
          </c:tx>
          <c:spPr>
            <a:solidFill>
              <a:schemeClr val="accent1">
                <a:lumMod val="75000"/>
                <a:alpha val="12000"/>
              </a:schemeClr>
            </a:solidFill>
            <a:ln>
              <a:solidFill>
                <a:schemeClr val="bg1"/>
              </a:solidFill>
            </a:ln>
            <a:effectLst/>
            <a:scene3d>
              <a:camera prst="orthographicFront"/>
              <a:lightRig rig="threePt" dir="t"/>
            </a:scene3d>
            <a:sp3d prstMaterial="metal">
              <a:bevelT/>
            </a:sp3d>
          </c:spPr>
          <c:invertIfNegative val="0"/>
          <c:dLbls>
            <c:dLbl>
              <c:idx val="0"/>
              <c:layout>
                <c:manualLayout>
                  <c:x val="-6.7083697871099482E-2"/>
                  <c:y val="-5.954407107562258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A3-4B4D-A77C-973D8346C737}"/>
                </c:ext>
              </c:extLst>
            </c:dLbl>
            <c:dLbl>
              <c:idx val="1"/>
              <c:layout>
                <c:manualLayout>
                  <c:x val="-8.9120089497009641E-2"/>
                  <c:y val="-7.312657346403128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A3-4B4D-A77C-973D8346C737}"/>
                </c:ext>
              </c:extLst>
            </c:dLbl>
            <c:dLbl>
              <c:idx val="2"/>
              <c:layout>
                <c:manualLayout>
                  <c:x val="-8.5656727335312599E-2"/>
                  <c:y val="4.076008356098345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A3-4B4D-A77C-973D8346C737}"/>
                </c:ext>
              </c:extLst>
            </c:dLbl>
            <c:dLbl>
              <c:idx val="3"/>
              <c:layout>
                <c:manualLayout>
                  <c:x val="-8.6370810206101281E-2"/>
                  <c:y val="4.48015426643091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A3-4B4D-A77C-973D8346C737}"/>
                </c:ext>
              </c:extLst>
            </c:dLbl>
            <c:dLbl>
              <c:idx val="4"/>
              <c:layout>
                <c:manualLayout>
                  <c:x val="-9.3828664859515507E-2"/>
                  <c:y val="0.1207536557930258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FA3-4B4D-A77C-973D8346C737}"/>
                </c:ext>
              </c:extLst>
            </c:dLbl>
            <c:spPr>
              <a:noFill/>
              <a:ln w="25383">
                <a:noFill/>
              </a:ln>
            </c:spPr>
            <c:txPr>
              <a:bodyPr rot="-5400000" spcFirstLastPara="1" vertOverflow="ellipsis" wrap="square" lIns="38100" tIns="19050" rIns="38100" bIns="19050" anchor="ctr" anchorCtr="1">
                <a:spAutoFit/>
              </a:bodyPr>
              <a:lstStyle/>
              <a:p>
                <a:pPr>
                  <a:defRPr sz="1196" b="1" i="0" u="none" strike="noStrike" kern="1200" baseline="0">
                    <a:solidFill>
                      <a:schemeClr val="tx2">
                        <a:lumMod val="50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2019 թ</c:v>
                </c:pt>
                <c:pt idx="1">
                  <c:v>2020թ</c:v>
                </c:pt>
                <c:pt idx="2">
                  <c:v>2021 թ</c:v>
                </c:pt>
                <c:pt idx="3">
                  <c:v>2022 թ</c:v>
                </c:pt>
                <c:pt idx="4">
                  <c:v>2023 թ</c:v>
                </c:pt>
              </c:strCache>
            </c:strRef>
          </c:cat>
          <c:val>
            <c:numRef>
              <c:f>Sheet1!$C$7:$G$7</c:f>
              <c:numCache>
                <c:formatCode>_(* #,##0.0_);_(* \(#,##0.0\);_(* "-"??_);_(@_)</c:formatCode>
                <c:ptCount val="5"/>
                <c:pt idx="0">
                  <c:v>193</c:v>
                </c:pt>
                <c:pt idx="1">
                  <c:v>227.7</c:v>
                </c:pt>
                <c:pt idx="2">
                  <c:v>214.51010110999997</c:v>
                </c:pt>
                <c:pt idx="3">
                  <c:v>351.94408249999992</c:v>
                </c:pt>
                <c:pt idx="4">
                  <c:v>557.70000000000005</c:v>
                </c:pt>
              </c:numCache>
            </c:numRef>
          </c:val>
          <c:extLst>
            <c:ext xmlns:c16="http://schemas.microsoft.com/office/drawing/2014/chart" uri="{C3380CC4-5D6E-409C-BE32-E72D297353CC}">
              <c16:uniqueId val="{00000005-9FA3-4B4D-A77C-973D8346C737}"/>
            </c:ext>
          </c:extLst>
        </c:ser>
        <c:dLbls>
          <c:showLegendKey val="0"/>
          <c:showVal val="0"/>
          <c:showCatName val="0"/>
          <c:showSerName val="0"/>
          <c:showPercent val="0"/>
          <c:showBubbleSize val="0"/>
        </c:dLbls>
        <c:gapWidth val="34"/>
        <c:overlap val="100"/>
        <c:axId val="349759360"/>
        <c:axId val="349760896"/>
      </c:barChart>
      <c:barChart>
        <c:barDir val="col"/>
        <c:grouping val="stacked"/>
        <c:varyColors val="0"/>
        <c:ser>
          <c:idx val="1"/>
          <c:order val="1"/>
          <c:tx>
            <c:strRef>
              <c:f>Sheet1!$B$8</c:f>
              <c:strCache>
                <c:ptCount val="1"/>
                <c:pt idx="0">
                  <c:v>արտաքին ռեսուրսների հաշվին իրականացվող ծրագրեր (ներառյալ ՀՀ կառավարության համաֆինանսավորումը)</c:v>
                </c:pt>
              </c:strCache>
            </c:strRef>
          </c:tx>
          <c:spPr>
            <a:solidFill>
              <a:schemeClr val="accent2">
                <a:lumMod val="75000"/>
              </a:schemeClr>
            </a:solidFill>
            <a:ln>
              <a:noFill/>
            </a:ln>
            <a:effectLst/>
            <a:scene3d>
              <a:camera prst="orthographicFront"/>
              <a:lightRig rig="threePt" dir="t"/>
            </a:scene3d>
            <a:sp3d prstMaterial="metal">
              <a:bevelT/>
            </a:sp3d>
          </c:spPr>
          <c:invertIfNegative val="0"/>
          <c:dLbls>
            <c:spPr>
              <a:noFill/>
              <a:ln w="25383">
                <a:noFill/>
              </a:ln>
            </c:spPr>
            <c:txPr>
              <a:bodyPr rot="-5400000" spcFirstLastPara="1" vertOverflow="ellipsis" vert="horz" wrap="square" lIns="38100" tIns="19050" rIns="38100" bIns="19050" anchor="ctr" anchorCtr="1">
                <a:spAutoFit/>
              </a:bodyPr>
              <a:lstStyle/>
              <a:p>
                <a:pPr>
                  <a:defRPr sz="1196"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2019 թ</c:v>
                </c:pt>
                <c:pt idx="1">
                  <c:v>2020թ</c:v>
                </c:pt>
                <c:pt idx="2">
                  <c:v>2021 թ</c:v>
                </c:pt>
                <c:pt idx="3">
                  <c:v>2022 թ</c:v>
                </c:pt>
                <c:pt idx="4">
                  <c:v>2023 թ</c:v>
                </c:pt>
              </c:strCache>
            </c:strRef>
          </c:cat>
          <c:val>
            <c:numRef>
              <c:f>Sheet1!$C$8:$G$8</c:f>
              <c:numCache>
                <c:formatCode>_(* #,##0.0_);_(* \(#,##0.0\);_(* "-"??_);_(@_)</c:formatCode>
                <c:ptCount val="5"/>
                <c:pt idx="0">
                  <c:v>71.599999999999994</c:v>
                </c:pt>
                <c:pt idx="1">
                  <c:v>44.3</c:v>
                </c:pt>
                <c:pt idx="2">
                  <c:v>80.496622910000013</c:v>
                </c:pt>
                <c:pt idx="3">
                  <c:v>130.35841989999997</c:v>
                </c:pt>
                <c:pt idx="4">
                  <c:v>121.9</c:v>
                </c:pt>
              </c:numCache>
            </c:numRef>
          </c:val>
          <c:extLst>
            <c:ext xmlns:c16="http://schemas.microsoft.com/office/drawing/2014/chart" uri="{C3380CC4-5D6E-409C-BE32-E72D297353CC}">
              <c16:uniqueId val="{00000006-9FA3-4B4D-A77C-973D8346C737}"/>
            </c:ext>
          </c:extLst>
        </c:ser>
        <c:ser>
          <c:idx val="2"/>
          <c:order val="2"/>
          <c:tx>
            <c:strRef>
              <c:f>Sheet1!$B$9</c:f>
              <c:strCache>
                <c:ptCount val="1"/>
                <c:pt idx="0">
                  <c:v>ներքին ռեսուրսների հաշվին իրականացվող ծրագրեր</c:v>
                </c:pt>
              </c:strCache>
            </c:strRef>
          </c:tx>
          <c:spPr>
            <a:solidFill>
              <a:schemeClr val="accent3">
                <a:lumMod val="75000"/>
              </a:schemeClr>
            </a:solidFill>
            <a:ln>
              <a:noFill/>
            </a:ln>
            <a:effectLst/>
            <a:scene3d>
              <a:camera prst="orthographicFront"/>
              <a:lightRig rig="threePt" dir="t"/>
            </a:scene3d>
            <a:sp3d prstMaterial="metal">
              <a:bevelT/>
            </a:sp3d>
          </c:spPr>
          <c:invertIfNegative val="0"/>
          <c:dLbls>
            <c:spPr>
              <a:noFill/>
              <a:ln w="25383">
                <a:noFill/>
              </a:ln>
            </c:spPr>
            <c:txPr>
              <a:bodyPr rot="-5400000" spcFirstLastPara="1" vertOverflow="ellipsis" vert="horz" wrap="square" lIns="38100" tIns="19050" rIns="38100" bIns="19050" anchor="ctr" anchorCtr="1">
                <a:spAutoFit/>
              </a:bodyPr>
              <a:lstStyle/>
              <a:p>
                <a:pPr>
                  <a:defRPr sz="1196"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2019 թ</c:v>
                </c:pt>
                <c:pt idx="1">
                  <c:v>2020թ</c:v>
                </c:pt>
                <c:pt idx="2">
                  <c:v>2021 թ</c:v>
                </c:pt>
                <c:pt idx="3">
                  <c:v>2022 թ</c:v>
                </c:pt>
                <c:pt idx="4">
                  <c:v>2023 թ</c:v>
                </c:pt>
              </c:strCache>
            </c:strRef>
          </c:cat>
          <c:val>
            <c:numRef>
              <c:f>Sheet1!$C$9:$G$9</c:f>
              <c:numCache>
                <c:formatCode>_(* #,##0.0_);_(* \(#,##0.0\);_(* "-"??_);_(@_)</c:formatCode>
                <c:ptCount val="5"/>
                <c:pt idx="0">
                  <c:v>121.4</c:v>
                </c:pt>
                <c:pt idx="1">
                  <c:v>183.4</c:v>
                </c:pt>
                <c:pt idx="2">
                  <c:v>134.01347819999995</c:v>
                </c:pt>
                <c:pt idx="3">
                  <c:v>221.58566259999998</c:v>
                </c:pt>
                <c:pt idx="4">
                  <c:v>435.8</c:v>
                </c:pt>
              </c:numCache>
            </c:numRef>
          </c:val>
          <c:extLst>
            <c:ext xmlns:c16="http://schemas.microsoft.com/office/drawing/2014/chart" uri="{C3380CC4-5D6E-409C-BE32-E72D297353CC}">
              <c16:uniqueId val="{00000007-9FA3-4B4D-A77C-973D8346C737}"/>
            </c:ext>
          </c:extLst>
        </c:ser>
        <c:dLbls>
          <c:showLegendKey val="0"/>
          <c:showVal val="0"/>
          <c:showCatName val="0"/>
          <c:showSerName val="0"/>
          <c:showPercent val="0"/>
          <c:showBubbleSize val="0"/>
        </c:dLbls>
        <c:gapWidth val="232"/>
        <c:overlap val="100"/>
        <c:axId val="350233728"/>
        <c:axId val="350235264"/>
      </c:barChart>
      <c:catAx>
        <c:axId val="349759360"/>
        <c:scaling>
          <c:orientation val="minMax"/>
        </c:scaling>
        <c:delete val="0"/>
        <c:axPos val="b"/>
        <c:numFmt formatCode="General" sourceLinked="1"/>
        <c:majorTickMark val="none"/>
        <c:minorTickMark val="none"/>
        <c:tickLblPos val="nextTo"/>
        <c:spPr>
          <a:noFill/>
          <a:ln w="25383" cap="flat" cmpd="sng" algn="ctr">
            <a:solidFill>
              <a:schemeClr val="tx2">
                <a:lumMod val="50000"/>
              </a:schemeClr>
            </a:solidFill>
            <a:round/>
          </a:ln>
          <a:effectLst/>
        </c:spPr>
        <c:txPr>
          <a:bodyPr rot="-60000000" spcFirstLastPara="1" vertOverflow="ellipsis" vert="horz" wrap="square" anchor="ctr" anchorCtr="1"/>
          <a:lstStyle/>
          <a:p>
            <a:pPr>
              <a:defRPr sz="1196" b="0" i="0" u="none" strike="noStrike" kern="1200" baseline="0">
                <a:solidFill>
                  <a:schemeClr val="tx1">
                    <a:lumMod val="65000"/>
                    <a:lumOff val="35000"/>
                  </a:schemeClr>
                </a:solidFill>
                <a:latin typeface="+mn-lt"/>
                <a:ea typeface="+mn-ea"/>
                <a:cs typeface="+mn-cs"/>
              </a:defRPr>
            </a:pPr>
            <a:endParaRPr lang="en-US"/>
          </a:p>
        </c:txPr>
        <c:crossAx val="349760896"/>
        <c:crosses val="autoZero"/>
        <c:auto val="1"/>
        <c:lblAlgn val="ctr"/>
        <c:lblOffset val="100"/>
        <c:noMultiLvlLbl val="0"/>
      </c:catAx>
      <c:valAx>
        <c:axId val="349760896"/>
        <c:scaling>
          <c:orientation val="minMax"/>
          <c:max val="400"/>
        </c:scaling>
        <c:delete val="0"/>
        <c:axPos val="l"/>
        <c:majorGridlines>
          <c:spPr>
            <a:ln w="9518" cap="flat" cmpd="sng" algn="ctr">
              <a:solidFill>
                <a:schemeClr val="tx1">
                  <a:lumMod val="15000"/>
                  <a:lumOff val="85000"/>
                </a:schemeClr>
              </a:solidFill>
              <a:round/>
            </a:ln>
            <a:effectLst/>
          </c:spPr>
        </c:majorGridlines>
        <c:numFmt formatCode="_(* #,##0.0_);_(* \(#,##0.0\);_(* &quot;-&quot;??_);_(@_)" sourceLinked="1"/>
        <c:majorTickMark val="none"/>
        <c:minorTickMark val="none"/>
        <c:tickLblPos val="nextTo"/>
        <c:spPr>
          <a:noFill/>
          <a:ln w="28555">
            <a:solidFill>
              <a:schemeClr val="tx2">
                <a:lumMod val="50000"/>
              </a:schemeClr>
            </a:solidFill>
          </a:ln>
          <a:effectLst/>
        </c:spPr>
        <c:txPr>
          <a:bodyPr rot="-60000000" spcFirstLastPara="1" vertOverflow="ellipsis" vert="horz" wrap="square" anchor="ctr" anchorCtr="1"/>
          <a:lstStyle/>
          <a:p>
            <a:pPr>
              <a:defRPr sz="1196" b="0" i="0" u="none" strike="noStrike" kern="1200" baseline="0">
                <a:solidFill>
                  <a:schemeClr val="tx1">
                    <a:lumMod val="65000"/>
                    <a:lumOff val="35000"/>
                  </a:schemeClr>
                </a:solidFill>
                <a:latin typeface="+mn-lt"/>
                <a:ea typeface="+mn-ea"/>
                <a:cs typeface="+mn-cs"/>
              </a:defRPr>
            </a:pPr>
            <a:endParaRPr lang="en-US"/>
          </a:p>
        </c:txPr>
        <c:crossAx val="349759360"/>
        <c:crosses val="autoZero"/>
        <c:crossBetween val="between"/>
        <c:majorUnit val="200"/>
      </c:valAx>
      <c:catAx>
        <c:axId val="350233728"/>
        <c:scaling>
          <c:orientation val="minMax"/>
        </c:scaling>
        <c:delete val="1"/>
        <c:axPos val="b"/>
        <c:numFmt formatCode="General" sourceLinked="1"/>
        <c:majorTickMark val="out"/>
        <c:minorTickMark val="none"/>
        <c:tickLblPos val="none"/>
        <c:crossAx val="350235264"/>
        <c:crosses val="autoZero"/>
        <c:auto val="1"/>
        <c:lblAlgn val="ctr"/>
        <c:lblOffset val="100"/>
        <c:noMultiLvlLbl val="0"/>
      </c:catAx>
      <c:valAx>
        <c:axId val="350235264"/>
        <c:scaling>
          <c:orientation val="minMax"/>
          <c:max val="1800"/>
          <c:min val="0"/>
        </c:scaling>
        <c:delete val="1"/>
        <c:axPos val="r"/>
        <c:numFmt formatCode="_(* #,##0.0_);_(* \(#,##0.0\);_(* &quot;-&quot;??_);_(@_)" sourceLinked="1"/>
        <c:majorTickMark val="out"/>
        <c:minorTickMark val="none"/>
        <c:tickLblPos val="none"/>
        <c:crossAx val="350233728"/>
        <c:crosses val="max"/>
        <c:crossBetween val="between"/>
        <c:majorUnit val="200"/>
      </c:valAx>
      <c:spPr>
        <a:noFill/>
        <a:ln w="25383">
          <a:noFill/>
        </a:ln>
      </c:spPr>
    </c:plotArea>
    <c:legend>
      <c:legendPos val="b"/>
      <c:legendEntry>
        <c:idx val="0"/>
        <c:delete val="1"/>
      </c:legendEntry>
      <c:layout>
        <c:manualLayout>
          <c:xMode val="edge"/>
          <c:yMode val="edge"/>
          <c:x val="8.8978571708387216E-2"/>
          <c:y val="0.82125816362506932"/>
          <c:w val="0.89454930074039252"/>
          <c:h val="0.16204041658971741"/>
        </c:manualLayout>
      </c:layout>
      <c:overlay val="0"/>
      <c:spPr>
        <a:noFill/>
        <a:ln w="25383">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a:noFill/>
    </a:ln>
  </c:spPr>
  <c:txPr>
    <a:bodyPr/>
    <a:lstStyle/>
    <a:p>
      <a:pPr>
        <a:defRPr/>
      </a:pPr>
      <a:endParaRPr lang="en-US"/>
    </a:p>
  </c:txPr>
  <c:externalData r:id="rId2">
    <c:autoUpdate val="0"/>
  </c:externalData>
  <c:userShapes r:id="rId3"/>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Sheet1!$A$2</c:f>
              <c:strCache>
                <c:ptCount val="1"/>
                <c:pt idx="0">
                  <c:v> 2018-2023թ․ ընդամենը ծախսեր</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Sheet1!$C$1:$F$1</c:f>
              <c:strCache>
                <c:ptCount val="4"/>
                <c:pt idx="0">
                  <c:v>2020թ․ փաստացի</c:v>
                </c:pt>
                <c:pt idx="1">
                  <c:v>2021թ․ փաստացի </c:v>
                </c:pt>
                <c:pt idx="2">
                  <c:v>2022թ․ հաստատված</c:v>
                </c:pt>
                <c:pt idx="3">
                  <c:v>2023թ. նախագիծ </c:v>
                </c:pt>
              </c:strCache>
            </c:strRef>
          </c:cat>
          <c:val>
            <c:numRef>
              <c:f>Sheet1!$C$2:$F$2</c:f>
              <c:numCache>
                <c:formatCode>_(* #,##0.0_);_(* \(#,##0.0\);_(* "-"??_);_(@_)</c:formatCode>
                <c:ptCount val="4"/>
                <c:pt idx="0">
                  <c:v>1894.6</c:v>
                </c:pt>
                <c:pt idx="1">
                  <c:v>2004.3</c:v>
                </c:pt>
                <c:pt idx="2">
                  <c:v>2184</c:v>
                </c:pt>
                <c:pt idx="3" formatCode="#,##0.0">
                  <c:v>2591</c:v>
                </c:pt>
              </c:numCache>
            </c:numRef>
          </c:val>
          <c:extLst>
            <c:ext xmlns:c16="http://schemas.microsoft.com/office/drawing/2014/chart" uri="{C3380CC4-5D6E-409C-BE32-E72D297353CC}">
              <c16:uniqueId val="{00000000-86BF-4484-AE73-0881C50ACDAF}"/>
            </c:ext>
          </c:extLst>
        </c:ser>
        <c:ser>
          <c:idx val="1"/>
          <c:order val="1"/>
          <c:tx>
            <c:strRef>
              <c:f>Sheet1!$A$3</c:f>
              <c:strCache>
                <c:ptCount val="1"/>
                <c:pt idx="0">
                  <c:v>տարբերությունը նախորդ տարվա համեմատությամբ</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Sheet1!$C$1:$F$1</c:f>
              <c:strCache>
                <c:ptCount val="4"/>
                <c:pt idx="0">
                  <c:v>2020թ․ փաստացի</c:v>
                </c:pt>
                <c:pt idx="1">
                  <c:v>2021թ․ փաստացի </c:v>
                </c:pt>
                <c:pt idx="2">
                  <c:v>2022թ․ հաստատված</c:v>
                </c:pt>
                <c:pt idx="3">
                  <c:v>2023թ. նախագիծ </c:v>
                </c:pt>
              </c:strCache>
            </c:strRef>
          </c:cat>
          <c:val>
            <c:numRef>
              <c:f>Sheet1!$C$3:$F$3</c:f>
              <c:numCache>
                <c:formatCode>_(* #,##0.00_);_(* \(#,##0.00\);_(* "-"??_);_(@_)</c:formatCode>
                <c:ptCount val="4"/>
                <c:pt idx="0" formatCode="_(* #,##0.0_);_(* \(#,##0.0\);_(* &quot;-&quot;?_);_(@_)">
                  <c:v>265.59999999999991</c:v>
                </c:pt>
                <c:pt idx="1">
                  <c:v>109.70000000000005</c:v>
                </c:pt>
                <c:pt idx="2" formatCode="_(* #,##0.0_);_(* \(#,##0.0\);_(* &quot;-&quot;??_);_(@_)">
                  <c:v>179.70000000000005</c:v>
                </c:pt>
                <c:pt idx="3" formatCode="_(* #,##0.0_);_(* \(#,##0.0\);_(* &quot;-&quot;??_);_(@_)">
                  <c:v>407</c:v>
                </c:pt>
              </c:numCache>
            </c:numRef>
          </c:val>
          <c:extLst>
            <c:ext xmlns:c16="http://schemas.microsoft.com/office/drawing/2014/chart" uri="{C3380CC4-5D6E-409C-BE32-E72D297353CC}">
              <c16:uniqueId val="{00000001-86BF-4484-AE73-0881C50ACDAF}"/>
            </c:ext>
          </c:extLst>
        </c:ser>
        <c:dLbls>
          <c:showLegendKey val="0"/>
          <c:showVal val="0"/>
          <c:showCatName val="0"/>
          <c:showSerName val="0"/>
          <c:showPercent val="0"/>
          <c:showBubbleSize val="0"/>
        </c:dLbls>
        <c:gapWidth val="100"/>
        <c:overlap val="-24"/>
        <c:axId val="350263552"/>
        <c:axId val="350269440"/>
      </c:barChart>
      <c:catAx>
        <c:axId val="350263552"/>
        <c:scaling>
          <c:orientation val="minMax"/>
        </c:scaling>
        <c:delete val="0"/>
        <c:axPos val="b"/>
        <c:numFmt formatCode="General" sourceLinked="0"/>
        <c:majorTickMark val="none"/>
        <c:minorTickMark val="none"/>
        <c:tickLblPos val="nextTo"/>
        <c:spPr>
          <a:noFill/>
          <a:ln w="9268" cap="flat" cmpd="sng" algn="ctr">
            <a:solidFill>
              <a:schemeClr val="tx2">
                <a:lumMod val="15000"/>
                <a:lumOff val="85000"/>
              </a:schemeClr>
            </a:solidFill>
            <a:round/>
          </a:ln>
          <a:effectLst/>
        </c:spPr>
        <c:txPr>
          <a:bodyPr rot="-60000000" spcFirstLastPara="1" vertOverflow="ellipsis" vert="horz" wrap="square" anchor="ctr" anchorCtr="1"/>
          <a:lstStyle/>
          <a:p>
            <a:pPr>
              <a:defRPr sz="1165" b="0" i="0" u="none" strike="noStrike" kern="1200" baseline="0">
                <a:solidFill>
                  <a:schemeClr val="tx2"/>
                </a:solidFill>
                <a:latin typeface="+mn-lt"/>
                <a:ea typeface="+mn-ea"/>
                <a:cs typeface="+mn-cs"/>
              </a:defRPr>
            </a:pPr>
            <a:endParaRPr lang="en-US"/>
          </a:p>
        </c:txPr>
        <c:crossAx val="350269440"/>
        <c:crosses val="autoZero"/>
        <c:auto val="1"/>
        <c:lblAlgn val="ctr"/>
        <c:lblOffset val="100"/>
        <c:noMultiLvlLbl val="0"/>
      </c:catAx>
      <c:valAx>
        <c:axId val="350269440"/>
        <c:scaling>
          <c:orientation val="minMax"/>
        </c:scaling>
        <c:delete val="0"/>
        <c:axPos val="l"/>
        <c:majorGridlines>
          <c:spPr>
            <a:ln w="9268" cap="flat" cmpd="sng" algn="ctr">
              <a:solidFill>
                <a:schemeClr val="tx2">
                  <a:lumMod val="15000"/>
                  <a:lumOff val="85000"/>
                </a:schemeClr>
              </a:solidFill>
              <a:round/>
            </a:ln>
            <a:effectLst/>
          </c:spPr>
        </c:majorGridlines>
        <c:numFmt formatCode="_(* #,##0.0_);_(* \(#,##0.0\);_(* &quot;-&quot;??_);_(@_)" sourceLinked="1"/>
        <c:majorTickMark val="none"/>
        <c:minorTickMark val="none"/>
        <c:tickLblPos val="nextTo"/>
        <c:spPr>
          <a:ln w="9268">
            <a:noFill/>
          </a:ln>
        </c:spPr>
        <c:txPr>
          <a:bodyPr rot="-60000000" spcFirstLastPara="1" vertOverflow="ellipsis" vert="horz" wrap="square" anchor="ctr" anchorCtr="1"/>
          <a:lstStyle/>
          <a:p>
            <a:pPr>
              <a:defRPr sz="1165" b="0" i="0" u="none" strike="noStrike" kern="1200" baseline="0">
                <a:solidFill>
                  <a:schemeClr val="tx2"/>
                </a:solidFill>
                <a:latin typeface="+mn-lt"/>
                <a:ea typeface="+mn-ea"/>
                <a:cs typeface="+mn-cs"/>
              </a:defRPr>
            </a:pPr>
            <a:endParaRPr lang="en-US"/>
          </a:p>
        </c:txPr>
        <c:crossAx val="350263552"/>
        <c:crosses val="autoZero"/>
        <c:crossBetween val="between"/>
      </c:valAx>
      <c:dTable>
        <c:showHorzBorder val="1"/>
        <c:showVertBorder val="1"/>
        <c:showOutline val="1"/>
        <c:showKeys val="0"/>
        <c:spPr>
          <a:noFill/>
          <a:ln w="9268">
            <a:solidFill>
              <a:schemeClr val="tx2">
                <a:lumMod val="15000"/>
                <a:lumOff val="85000"/>
              </a:schemeClr>
            </a:solidFill>
          </a:ln>
          <a:effectLst/>
        </c:spPr>
        <c:txPr>
          <a:bodyPr rot="0" spcFirstLastPara="1" vertOverflow="ellipsis" vert="horz" wrap="square" anchor="ctr" anchorCtr="1"/>
          <a:lstStyle/>
          <a:p>
            <a:pPr rtl="0">
              <a:defRPr sz="800" b="0" i="0" u="none" strike="noStrike" kern="1200" baseline="0">
                <a:solidFill>
                  <a:schemeClr val="tx2"/>
                </a:solidFill>
                <a:latin typeface="+mn-lt"/>
                <a:ea typeface="+mn-ea"/>
                <a:cs typeface="+mn-cs"/>
              </a:defRPr>
            </a:pPr>
            <a:endParaRPr lang="en-US"/>
          </a:p>
        </c:txPr>
      </c:dTable>
      <c:spPr>
        <a:noFill/>
        <a:ln w="25357">
          <a:noFill/>
        </a:ln>
      </c:spPr>
    </c:plotArea>
    <c:legend>
      <c:legendPos val="b"/>
      <c:layout>
        <c:manualLayout>
          <c:xMode val="edge"/>
          <c:yMode val="edge"/>
          <c:x val="4.6738665148153377E-2"/>
          <c:y val="0.91527637598916056"/>
          <c:w val="0.9"/>
          <c:h val="7.7194934411213542E-2"/>
        </c:manualLayout>
      </c:layout>
      <c:overlay val="0"/>
      <c:spPr>
        <a:noFill/>
        <a:ln w="24717">
          <a:noFill/>
        </a:ln>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a:noFill/>
    </a:ln>
  </c:spPr>
  <c:txPr>
    <a:bodyPr/>
    <a:lstStyle/>
    <a:p>
      <a:pPr>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2023</c:v>
                </c:pt>
              </c:strCache>
            </c:strRef>
          </c:tx>
          <c:spPr>
            <a:solidFill>
              <a:schemeClr val="accent1"/>
            </a:solidFill>
            <a:ln>
              <a:noFill/>
            </a:ln>
            <a:effectLst/>
          </c:spPr>
          <c:invertIfNegative val="0"/>
          <c:cat>
            <c:strRef>
              <c:f>Sheet1!$A$2:$A$5</c:f>
              <c:strCache>
                <c:ptCount val="4"/>
                <c:pt idx="0">
                  <c:v>ԸՆԴՀԱՆՈՒՐ ԲՆՈՒՅԹԻ ՀԱՆՐԱՅԻՆ ԾԱՌԱՅՈՒԹՅՈՒՆՆԵՐ, ԱՅԴ ԹՎՈՒՄ՝ ՀԻՄՆԱԿԱՆ ԲԱԺԻՆՆԵՐԻՆ ՉԴԱՍՎՈՂ ՊԱՀՈՒՍՏԱՅԻՆ ՖՈՆԴԵՐ</c:v>
                </c:pt>
                <c:pt idx="1">
                  <c:v>ՊԱՇՏՊԱՆՈՒԹՅՈՒՆ, ՀԱՍԱՐԱԿԱԿԱՆ ԿԱՐԳ,  ԱՆՎՏԱՆԳՈՒԹՅՈՒՆ ԵՎ ԴԱՏԱԿԱՆ ԳՈՐԾՈՒՆԵՈՒԹՅՈՒՆ</c:v>
                </c:pt>
                <c:pt idx="2">
                  <c:v>ՏՆՏԵՍԱԿԱՆ ՈԼՈՐՏ</c:v>
                </c:pt>
                <c:pt idx="3">
                  <c:v>ՍՈՑԻԱԼԱԿԱՆ ՈԼՈՐՏ</c:v>
                </c:pt>
              </c:strCache>
            </c:strRef>
          </c:cat>
          <c:val>
            <c:numRef>
              <c:f>Sheet1!$B$2:$B$5</c:f>
              <c:numCache>
                <c:formatCode>0.00%</c:formatCode>
                <c:ptCount val="4"/>
                <c:pt idx="0" formatCode="0%">
                  <c:v>0.21199999999999999</c:v>
                </c:pt>
                <c:pt idx="1">
                  <c:v>0.27900000000000003</c:v>
                </c:pt>
                <c:pt idx="2">
                  <c:v>0.10299999999999999</c:v>
                </c:pt>
                <c:pt idx="3">
                  <c:v>0.40550000000000003</c:v>
                </c:pt>
              </c:numCache>
            </c:numRef>
          </c:val>
          <c:extLst>
            <c:ext xmlns:c16="http://schemas.microsoft.com/office/drawing/2014/chart" uri="{C3380CC4-5D6E-409C-BE32-E72D297353CC}">
              <c16:uniqueId val="{00000000-39A3-4CCE-ABF0-56B116862AE1}"/>
            </c:ext>
          </c:extLst>
        </c:ser>
        <c:ser>
          <c:idx val="1"/>
          <c:order val="1"/>
          <c:tx>
            <c:strRef>
              <c:f>Sheet1!$C$1</c:f>
              <c:strCache>
                <c:ptCount val="1"/>
                <c:pt idx="0">
                  <c:v>2022</c:v>
                </c:pt>
              </c:strCache>
            </c:strRef>
          </c:tx>
          <c:spPr>
            <a:solidFill>
              <a:schemeClr val="accent2"/>
            </a:solidFill>
            <a:ln>
              <a:noFill/>
            </a:ln>
            <a:effectLst/>
          </c:spPr>
          <c:invertIfNegative val="0"/>
          <c:cat>
            <c:strRef>
              <c:f>Sheet1!$A$2:$A$5</c:f>
              <c:strCache>
                <c:ptCount val="4"/>
                <c:pt idx="0">
                  <c:v>ԸՆԴՀԱՆՈՒՐ ԲՆՈՒՅԹԻ ՀԱՆՐԱՅԻՆ ԾԱՌԱՅՈՒԹՅՈՒՆՆԵՐ, ԱՅԴ ԹՎՈՒՄ՝ ՀԻՄՆԱԿԱՆ ԲԱԺԻՆՆԵՐԻՆ ՉԴԱՍՎՈՂ ՊԱՀՈՒՍՏԱՅԻՆ ՖՈՆԴԵՐ</c:v>
                </c:pt>
                <c:pt idx="1">
                  <c:v>ՊԱՇՏՊԱՆՈՒԹՅՈՒՆ, ՀԱՍԱՐԱԿԱԿԱՆ ԿԱՐԳ,  ԱՆՎՏԱՆԳՈՒԹՅՈՒՆ ԵՎ ԴԱՏԱԿԱՆ ԳՈՐԾՈՒՆԵՈՒԹՅՈՒՆ</c:v>
                </c:pt>
                <c:pt idx="2">
                  <c:v>ՏՆՏԵՍԱԿԱՆ ՈԼՈՐՏ</c:v>
                </c:pt>
                <c:pt idx="3">
                  <c:v>ՍՈՑԻԱԼԱԿԱՆ ՈԼՈՐՏ</c:v>
                </c:pt>
              </c:strCache>
            </c:strRef>
          </c:cat>
          <c:val>
            <c:numRef>
              <c:f>Sheet1!$C$2:$C$5</c:f>
              <c:numCache>
                <c:formatCode>0%</c:formatCode>
                <c:ptCount val="4"/>
                <c:pt idx="0">
                  <c:v>0.22900000000000001</c:v>
                </c:pt>
                <c:pt idx="1">
                  <c:v>0.23699999999999999</c:v>
                </c:pt>
                <c:pt idx="2">
                  <c:v>0.109</c:v>
                </c:pt>
                <c:pt idx="3">
                  <c:v>0.42599999999999999</c:v>
                </c:pt>
              </c:numCache>
            </c:numRef>
          </c:val>
          <c:extLst>
            <c:ext xmlns:c16="http://schemas.microsoft.com/office/drawing/2014/chart" uri="{C3380CC4-5D6E-409C-BE32-E72D297353CC}">
              <c16:uniqueId val="{00000001-39A3-4CCE-ABF0-56B116862AE1}"/>
            </c:ext>
          </c:extLst>
        </c:ser>
        <c:ser>
          <c:idx val="2"/>
          <c:order val="2"/>
          <c:tx>
            <c:strRef>
              <c:f>Sheet1!$D$1</c:f>
              <c:strCache>
                <c:ptCount val="1"/>
                <c:pt idx="0">
                  <c:v>2021</c:v>
                </c:pt>
              </c:strCache>
            </c:strRef>
          </c:tx>
          <c:spPr>
            <a:solidFill>
              <a:schemeClr val="accent3"/>
            </a:solidFill>
            <a:ln>
              <a:noFill/>
            </a:ln>
            <a:effectLst/>
          </c:spPr>
          <c:invertIfNegative val="0"/>
          <c:cat>
            <c:strRef>
              <c:f>Sheet1!$A$2:$A$5</c:f>
              <c:strCache>
                <c:ptCount val="4"/>
                <c:pt idx="0">
                  <c:v>ԸՆԴՀԱՆՈՒՐ ԲՆՈՒՅԹԻ ՀԱՆՐԱՅԻՆ ԾԱՌԱՅՈՒԹՅՈՒՆՆԵՐ, ԱՅԴ ԹՎՈՒՄ՝ ՀԻՄՆԱԿԱՆ ԲԱԺԻՆՆԵՐԻՆ ՉԴԱՍՎՈՂ ՊԱՀՈՒՍՏԱՅԻՆ ՖՈՆԴԵՐ</c:v>
                </c:pt>
                <c:pt idx="1">
                  <c:v>ՊԱՇՏՊԱՆՈՒԹՅՈՒՆ, ՀԱՍԱՐԱԿԱԿԱՆ ԿԱՐԳ,  ԱՆՎՏԱՆԳՈՒԹՅՈՒՆ ԵՎ ԴԱՏԱԿԱՆ ԳՈՐԾՈՒՆԵՈՒԹՅՈՒՆ</c:v>
                </c:pt>
                <c:pt idx="2">
                  <c:v>ՏՆՏԵՍԱԿԱՆ ՈԼՈՐՏ</c:v>
                </c:pt>
                <c:pt idx="3">
                  <c:v>ՍՈՑԻԱԼԱԿԱՆ ՈԼՈՐՏ</c:v>
                </c:pt>
              </c:strCache>
            </c:strRef>
          </c:cat>
          <c:val>
            <c:numRef>
              <c:f>Sheet1!$D$2:$D$5</c:f>
              <c:numCache>
                <c:formatCode>0%</c:formatCode>
                <c:ptCount val="4"/>
                <c:pt idx="0">
                  <c:v>0.19</c:v>
                </c:pt>
                <c:pt idx="1">
                  <c:v>0.24740000000000001</c:v>
                </c:pt>
                <c:pt idx="2">
                  <c:v>8.3000000000000004E-2</c:v>
                </c:pt>
                <c:pt idx="3">
                  <c:v>0.47899999999999998</c:v>
                </c:pt>
              </c:numCache>
            </c:numRef>
          </c:val>
          <c:extLst>
            <c:ext xmlns:c16="http://schemas.microsoft.com/office/drawing/2014/chart" uri="{C3380CC4-5D6E-409C-BE32-E72D297353CC}">
              <c16:uniqueId val="{00000002-39A3-4CCE-ABF0-56B116862AE1}"/>
            </c:ext>
          </c:extLst>
        </c:ser>
        <c:ser>
          <c:idx val="3"/>
          <c:order val="3"/>
          <c:tx>
            <c:strRef>
              <c:f>Sheet1!$E$1</c:f>
              <c:strCache>
                <c:ptCount val="1"/>
                <c:pt idx="0">
                  <c:v>2020</c:v>
                </c:pt>
              </c:strCache>
            </c:strRef>
          </c:tx>
          <c:spPr>
            <a:solidFill>
              <a:schemeClr val="accent4"/>
            </a:solidFill>
            <a:ln>
              <a:noFill/>
            </a:ln>
            <a:effectLst/>
          </c:spPr>
          <c:invertIfNegative val="0"/>
          <c:cat>
            <c:strRef>
              <c:f>Sheet1!$A$2:$A$5</c:f>
              <c:strCache>
                <c:ptCount val="4"/>
                <c:pt idx="0">
                  <c:v>ԸՆԴՀԱՆՈՒՐ ԲՆՈՒՅԹԻ ՀԱՆՐԱՅԻՆ ԾԱՌԱՅՈՒԹՅՈՒՆՆԵՐ, ԱՅԴ ԹՎՈՒՄ՝ ՀԻՄՆԱԿԱՆ ԲԱԺԻՆՆԵՐԻՆ ՉԴԱՍՎՈՂ ՊԱՀՈՒՍՏԱՅԻՆ ՖՈՆԴԵՐ</c:v>
                </c:pt>
                <c:pt idx="1">
                  <c:v>ՊԱՇՏՊԱՆՈՒԹՅՈՒՆ, ՀԱՍԱՐԱԿԱԿԱՆ ԿԱՐԳ,  ԱՆՎՏԱՆԳՈՒԹՅՈՒՆ ԵՎ ԴԱՏԱԿԱՆ ԳՈՐԾՈՒՆԵՈՒԹՅՈՒՆ</c:v>
                </c:pt>
                <c:pt idx="2">
                  <c:v>ՏՆՏԵՍԱԿԱՆ ՈԼՈՐՏ</c:v>
                </c:pt>
                <c:pt idx="3">
                  <c:v>ՍՈՑԻԱԼԱԿԱՆ ՈԼՈՐՏ</c:v>
                </c:pt>
              </c:strCache>
            </c:strRef>
          </c:cat>
          <c:val>
            <c:numRef>
              <c:f>Sheet1!$E$2:$E$5</c:f>
              <c:numCache>
                <c:formatCode>0%</c:formatCode>
                <c:ptCount val="4"/>
                <c:pt idx="0">
                  <c:v>0.182</c:v>
                </c:pt>
                <c:pt idx="1">
                  <c:v>0.28499999999999998</c:v>
                </c:pt>
                <c:pt idx="2">
                  <c:v>7.2999999999999995E-2</c:v>
                </c:pt>
                <c:pt idx="3">
                  <c:v>0.46</c:v>
                </c:pt>
              </c:numCache>
            </c:numRef>
          </c:val>
          <c:extLst>
            <c:ext xmlns:c16="http://schemas.microsoft.com/office/drawing/2014/chart" uri="{C3380CC4-5D6E-409C-BE32-E72D297353CC}">
              <c16:uniqueId val="{00000003-39A3-4CCE-ABF0-56B116862AE1}"/>
            </c:ext>
          </c:extLst>
        </c:ser>
        <c:ser>
          <c:idx val="4"/>
          <c:order val="4"/>
          <c:tx>
            <c:strRef>
              <c:f>Sheet1!$F$1</c:f>
              <c:strCache>
                <c:ptCount val="1"/>
                <c:pt idx="0">
                  <c:v>2019</c:v>
                </c:pt>
              </c:strCache>
            </c:strRef>
          </c:tx>
          <c:spPr>
            <a:solidFill>
              <a:schemeClr val="accent5"/>
            </a:solidFill>
            <a:ln>
              <a:noFill/>
            </a:ln>
            <a:effectLst/>
          </c:spPr>
          <c:invertIfNegative val="0"/>
          <c:cat>
            <c:strRef>
              <c:f>Sheet1!$A$2:$A$5</c:f>
              <c:strCache>
                <c:ptCount val="4"/>
                <c:pt idx="0">
                  <c:v>ԸՆԴՀԱՆՈՒՐ ԲՆՈՒՅԹԻ ՀԱՆՐԱՅԻՆ ԾԱՌԱՅՈՒԹՅՈՒՆՆԵՐ, ԱՅԴ ԹՎՈՒՄ՝ ՀԻՄՆԱԿԱՆ ԲԱԺԻՆՆԵՐԻՆ ՉԴԱՍՎՈՂ ՊԱՀՈՒՍՏԱՅԻՆ ՖՈՆԴԵՐ</c:v>
                </c:pt>
                <c:pt idx="1">
                  <c:v>ՊԱՇՏՊԱՆՈՒԹՅՈՒՆ, ՀԱՍԱՐԱԿԱԿԱՆ ԿԱՐԳ,  ԱՆՎՏԱՆԳՈՒԹՅՈՒՆ ԵՎ ԴԱՏԱԿԱՆ ԳՈՐԾՈՒՆԵՈՒԹՅՈՒՆ</c:v>
                </c:pt>
                <c:pt idx="2">
                  <c:v>ՏՆՏԵՍԱԿԱՆ ՈԼՈՐՏ</c:v>
                </c:pt>
                <c:pt idx="3">
                  <c:v>ՍՈՑԻԱԼԱԿԱՆ ՈԼՈՐՏ</c:v>
                </c:pt>
              </c:strCache>
            </c:strRef>
          </c:cat>
          <c:val>
            <c:numRef>
              <c:f>Sheet1!$F$2:$F$5</c:f>
              <c:numCache>
                <c:formatCode>0.00%</c:formatCode>
                <c:ptCount val="4"/>
                <c:pt idx="0" formatCode="0%">
                  <c:v>0.19600000000000001</c:v>
                </c:pt>
                <c:pt idx="1">
                  <c:v>0.28199999999999997</c:v>
                </c:pt>
                <c:pt idx="2">
                  <c:v>8.2000000000000003E-2</c:v>
                </c:pt>
                <c:pt idx="3">
                  <c:v>0.44</c:v>
                </c:pt>
              </c:numCache>
            </c:numRef>
          </c:val>
          <c:extLst>
            <c:ext xmlns:c16="http://schemas.microsoft.com/office/drawing/2014/chart" uri="{C3380CC4-5D6E-409C-BE32-E72D297353CC}">
              <c16:uniqueId val="{00000004-39A3-4CCE-ABF0-56B116862AE1}"/>
            </c:ext>
          </c:extLst>
        </c:ser>
        <c:dLbls>
          <c:showLegendKey val="0"/>
          <c:showVal val="0"/>
          <c:showCatName val="0"/>
          <c:showSerName val="0"/>
          <c:showPercent val="0"/>
          <c:showBubbleSize val="0"/>
        </c:dLbls>
        <c:gapWidth val="182"/>
        <c:axId val="350675328"/>
        <c:axId val="350665344"/>
      </c:barChart>
      <c:valAx>
        <c:axId val="350665344"/>
        <c:scaling>
          <c:orientation val="minMax"/>
          <c:max val="0.5"/>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675328"/>
        <c:crosses val="autoZero"/>
        <c:crossBetween val="between"/>
      </c:valAx>
      <c:catAx>
        <c:axId val="350675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665344"/>
        <c:crossesAt val="0"/>
        <c:auto val="1"/>
        <c:lblAlgn val="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449406561046703"/>
          <c:y val="7.5671399729304159E-2"/>
          <c:w val="0.80945163008672649"/>
          <c:h val="0.63033650218477943"/>
        </c:manualLayout>
      </c:layout>
      <c:bar3DChart>
        <c:barDir val="col"/>
        <c:grouping val="percentStacked"/>
        <c:varyColors val="0"/>
        <c:ser>
          <c:idx val="0"/>
          <c:order val="0"/>
          <c:tx>
            <c:strRef>
              <c:f>UXERZ!$F$61</c:f>
              <c:strCache>
                <c:ptCount val="1"/>
                <c:pt idx="0">
                  <c:v>ներքին պարտք</c:v>
                </c:pt>
              </c:strCache>
            </c:strRef>
          </c:tx>
          <c:spPr>
            <a:solidFill>
              <a:schemeClr val="tx2">
                <a:lumMod val="60000"/>
                <a:lumOff val="40000"/>
              </a:schemeClr>
            </a:solidFill>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UXERZ!$G$59:$I$60</c:f>
              <c:strCache>
                <c:ptCount val="3"/>
                <c:pt idx="0">
                  <c:v>31.12.2021</c:v>
                </c:pt>
                <c:pt idx="1">
                  <c:v>31.12.2022</c:v>
                </c:pt>
                <c:pt idx="2">
                  <c:v>31.12.2023</c:v>
                </c:pt>
              </c:strCache>
            </c:strRef>
          </c:cat>
          <c:val>
            <c:numRef>
              <c:f>UXERZ!$G$61:$I$61</c:f>
              <c:numCache>
                <c:formatCode>_(* #,##0.0_);_(* \(#,##0.0\);_(* "-"??_);_(@_)</c:formatCode>
                <c:ptCount val="3"/>
                <c:pt idx="0">
                  <c:v>29.393985913807327</c:v>
                </c:pt>
                <c:pt idx="1">
                  <c:v>39.807716006002174</c:v>
                </c:pt>
                <c:pt idx="2">
                  <c:v>42.407310757918189</c:v>
                </c:pt>
              </c:numCache>
            </c:numRef>
          </c:val>
          <c:extLst>
            <c:ext xmlns:c16="http://schemas.microsoft.com/office/drawing/2014/chart" uri="{C3380CC4-5D6E-409C-BE32-E72D297353CC}">
              <c16:uniqueId val="{00000000-AEBF-44DA-BF26-B22176CFA7B4}"/>
            </c:ext>
          </c:extLst>
        </c:ser>
        <c:ser>
          <c:idx val="1"/>
          <c:order val="1"/>
          <c:tx>
            <c:strRef>
              <c:f>UXERZ!$F$62</c:f>
              <c:strCache>
                <c:ptCount val="1"/>
                <c:pt idx="0">
                  <c:v>արտաքին պարտք</c:v>
                </c:pt>
              </c:strCache>
            </c:strRef>
          </c:tx>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UXERZ!$G$59:$I$60</c:f>
              <c:strCache>
                <c:ptCount val="3"/>
                <c:pt idx="0">
                  <c:v>31.12.2021</c:v>
                </c:pt>
                <c:pt idx="1">
                  <c:v>31.12.2022</c:v>
                </c:pt>
                <c:pt idx="2">
                  <c:v>31.12.2023</c:v>
                </c:pt>
              </c:strCache>
            </c:strRef>
          </c:cat>
          <c:val>
            <c:numRef>
              <c:f>UXERZ!$G$62:$I$62</c:f>
              <c:numCache>
                <c:formatCode>_(* #,##0.0_);_(* \(#,##0.0\);_(* "-"??_);_(@_)</c:formatCode>
                <c:ptCount val="3"/>
                <c:pt idx="0">
                  <c:v>70.606014086192687</c:v>
                </c:pt>
                <c:pt idx="1">
                  <c:v>60.192283993997826</c:v>
                </c:pt>
                <c:pt idx="2">
                  <c:v>57.592689242081811</c:v>
                </c:pt>
              </c:numCache>
            </c:numRef>
          </c:val>
          <c:extLst>
            <c:ext xmlns:c16="http://schemas.microsoft.com/office/drawing/2014/chart" uri="{C3380CC4-5D6E-409C-BE32-E72D297353CC}">
              <c16:uniqueId val="{00000001-AEBF-44DA-BF26-B22176CFA7B4}"/>
            </c:ext>
          </c:extLst>
        </c:ser>
        <c:dLbls>
          <c:showLegendKey val="0"/>
          <c:showVal val="0"/>
          <c:showCatName val="0"/>
          <c:showSerName val="0"/>
          <c:showPercent val="0"/>
          <c:showBubbleSize val="0"/>
        </c:dLbls>
        <c:gapWidth val="121"/>
        <c:shape val="box"/>
        <c:axId val="350695424"/>
        <c:axId val="350696960"/>
        <c:axId val="0"/>
      </c:bar3DChart>
      <c:catAx>
        <c:axId val="35069542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50696960"/>
        <c:crosses val="autoZero"/>
        <c:auto val="1"/>
        <c:lblAlgn val="ctr"/>
        <c:lblOffset val="100"/>
        <c:noMultiLvlLbl val="0"/>
      </c:catAx>
      <c:valAx>
        <c:axId val="350696960"/>
        <c:scaling>
          <c:orientation val="minMax"/>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50695424"/>
        <c:crosses val="autoZero"/>
        <c:crossBetween val="between"/>
        <c:majorUnit val="0.2"/>
      </c:valAx>
      <c:spPr>
        <a:noFill/>
        <a:ln w="25400">
          <a:noFill/>
        </a:ln>
      </c:spPr>
    </c:plotArea>
    <c:legend>
      <c:legendPos val="b"/>
      <c:layout>
        <c:manualLayout>
          <c:xMode val="edge"/>
          <c:yMode val="edge"/>
          <c:x val="1.3850458775297716E-2"/>
          <c:y val="0.88207524059492559"/>
          <c:w val="0.97230052854963378"/>
          <c:h val="8.4905886764154448E-2"/>
        </c:manualLayout>
      </c:layout>
      <c:overlay val="0"/>
      <c:txPr>
        <a:bodyPr/>
        <a:lstStyle/>
        <a:p>
          <a:pPr>
            <a:defRPr sz="80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4"/>
    </mc:Choice>
    <mc:Fallback>
      <c:style val="4"/>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3288633384607099"/>
          <c:y val="7.4972696950913548E-2"/>
          <c:w val="0.8329078807974768"/>
          <c:h val="0.615263947363478"/>
        </c:manualLayout>
      </c:layout>
      <c:bar3DChart>
        <c:barDir val="col"/>
        <c:grouping val="percentStacked"/>
        <c:varyColors val="0"/>
        <c:ser>
          <c:idx val="0"/>
          <c:order val="0"/>
          <c:tx>
            <c:strRef>
              <c:f>UXERZ!$F$70</c:f>
              <c:strCache>
                <c:ptCount val="1"/>
                <c:pt idx="0">
                  <c:v>դրամով ներգրավված պարտք</c:v>
                </c:pt>
              </c:strCache>
            </c:strRef>
          </c:tx>
          <c:spPr>
            <a:solidFill>
              <a:srgbClr val="D92529"/>
            </a:solidFill>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UXERZ!$G$59:$I$60</c:f>
              <c:strCache>
                <c:ptCount val="3"/>
                <c:pt idx="0">
                  <c:v>31.12.2021</c:v>
                </c:pt>
                <c:pt idx="1">
                  <c:v>31.12.2022</c:v>
                </c:pt>
                <c:pt idx="2">
                  <c:v>31.12.2023</c:v>
                </c:pt>
              </c:strCache>
            </c:strRef>
          </c:cat>
          <c:val>
            <c:numRef>
              <c:f>UXERZ!$G$70:$I$70</c:f>
              <c:numCache>
                <c:formatCode>_(* #,##0.0_);_(* \(#,##0.0\);_(* "-"??_);_(@_)</c:formatCode>
                <c:ptCount val="3"/>
                <c:pt idx="0">
                  <c:v>28.842937457677703</c:v>
                </c:pt>
                <c:pt idx="1">
                  <c:v>36.153848991286104</c:v>
                </c:pt>
                <c:pt idx="2">
                  <c:v>39.336189580683602</c:v>
                </c:pt>
              </c:numCache>
            </c:numRef>
          </c:val>
          <c:extLst>
            <c:ext xmlns:c16="http://schemas.microsoft.com/office/drawing/2014/chart" uri="{C3380CC4-5D6E-409C-BE32-E72D297353CC}">
              <c16:uniqueId val="{00000000-73F8-4D8A-9E3F-D4E10887C807}"/>
            </c:ext>
          </c:extLst>
        </c:ser>
        <c:ser>
          <c:idx val="1"/>
          <c:order val="1"/>
          <c:tx>
            <c:strRef>
              <c:f>UXERZ!$F$71</c:f>
              <c:strCache>
                <c:ptCount val="1"/>
                <c:pt idx="0">
                  <c:v>արտարժութային պարտք</c:v>
                </c:pt>
              </c:strCache>
            </c:strRef>
          </c:tx>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UXERZ!$G$59:$I$60</c:f>
              <c:strCache>
                <c:ptCount val="3"/>
                <c:pt idx="0">
                  <c:v>31.12.2021</c:v>
                </c:pt>
                <c:pt idx="1">
                  <c:v>31.12.2022</c:v>
                </c:pt>
                <c:pt idx="2">
                  <c:v>31.12.2023</c:v>
                </c:pt>
              </c:strCache>
            </c:strRef>
          </c:cat>
          <c:val>
            <c:numRef>
              <c:f>UXERZ!$G$71:$I$71</c:f>
              <c:numCache>
                <c:formatCode>_(* #,##0.0_);_(* \(#,##0.0\);_(* "-"??_);_(@_)</c:formatCode>
                <c:ptCount val="3"/>
                <c:pt idx="0">
                  <c:v>71.157062542322308</c:v>
                </c:pt>
                <c:pt idx="1">
                  <c:v>63.846151008713882</c:v>
                </c:pt>
                <c:pt idx="2">
                  <c:v>60.663810419316391</c:v>
                </c:pt>
              </c:numCache>
            </c:numRef>
          </c:val>
          <c:extLst>
            <c:ext xmlns:c16="http://schemas.microsoft.com/office/drawing/2014/chart" uri="{C3380CC4-5D6E-409C-BE32-E72D297353CC}">
              <c16:uniqueId val="{00000001-73F8-4D8A-9E3F-D4E10887C807}"/>
            </c:ext>
          </c:extLst>
        </c:ser>
        <c:dLbls>
          <c:showLegendKey val="0"/>
          <c:showVal val="0"/>
          <c:showCatName val="0"/>
          <c:showSerName val="0"/>
          <c:showPercent val="0"/>
          <c:showBubbleSize val="0"/>
        </c:dLbls>
        <c:gapWidth val="106"/>
        <c:shape val="box"/>
        <c:axId val="350728960"/>
        <c:axId val="350730496"/>
        <c:axId val="0"/>
      </c:bar3DChart>
      <c:catAx>
        <c:axId val="350728960"/>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50730496"/>
        <c:crosses val="autoZero"/>
        <c:auto val="1"/>
        <c:lblAlgn val="ctr"/>
        <c:lblOffset val="100"/>
        <c:noMultiLvlLbl val="0"/>
      </c:catAx>
      <c:valAx>
        <c:axId val="350730496"/>
        <c:scaling>
          <c:orientation val="minMax"/>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50728960"/>
        <c:crosses val="autoZero"/>
        <c:crossBetween val="between"/>
        <c:majorUnit val="0.2"/>
      </c:valAx>
      <c:spPr>
        <a:noFill/>
        <a:ln w="25400">
          <a:noFill/>
        </a:ln>
      </c:spPr>
    </c:plotArea>
    <c:legend>
      <c:legendPos val="b"/>
      <c:layout>
        <c:manualLayout>
          <c:xMode val="edge"/>
          <c:yMode val="edge"/>
          <c:x val="1.3812281729246654E-2"/>
          <c:y val="0.83490589742632881"/>
          <c:w val="0.98618771827075336"/>
          <c:h val="0.15094326479332265"/>
        </c:manualLayout>
      </c:layout>
      <c:overlay val="0"/>
      <c:txPr>
        <a:bodyPr/>
        <a:lstStyle/>
        <a:p>
          <a:pPr>
            <a:defRPr sz="80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0187997151014203"/>
          <c:y val="5.0925940835542041E-2"/>
          <c:w val="0.87232174103237092"/>
          <c:h val="0.62478650920680734"/>
        </c:manualLayout>
      </c:layout>
      <c:bar3DChart>
        <c:barDir val="col"/>
        <c:grouping val="percentStacked"/>
        <c:varyColors val="0"/>
        <c:ser>
          <c:idx val="0"/>
          <c:order val="0"/>
          <c:tx>
            <c:strRef>
              <c:f>UXERZ!$F$64</c:f>
              <c:strCache>
                <c:ptCount val="1"/>
                <c:pt idx="0">
                  <c:v>արտաքին վարկեր</c:v>
                </c:pt>
              </c:strCache>
            </c:strRef>
          </c:tx>
          <c:spPr>
            <a:solidFill>
              <a:srgbClr val="FFC000"/>
            </a:solidFill>
          </c:spPr>
          <c:invertIfNegative val="0"/>
          <c:dLbls>
            <c:spPr>
              <a:solidFill>
                <a:srgbClr val="FFC000"/>
              </a:solidFill>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UXERZ!$G$59:$I$60</c:f>
              <c:strCache>
                <c:ptCount val="3"/>
                <c:pt idx="0">
                  <c:v>31.12.2021</c:v>
                </c:pt>
                <c:pt idx="1">
                  <c:v>31.12.2022</c:v>
                </c:pt>
                <c:pt idx="2">
                  <c:v>31.12.2023</c:v>
                </c:pt>
              </c:strCache>
            </c:strRef>
          </c:cat>
          <c:val>
            <c:numRef>
              <c:f>UXERZ!$G$64:$I$64</c:f>
              <c:numCache>
                <c:formatCode>_(* #,##0.0_);_(* \(#,##0.0\);_(* "-"??_);_(@_)</c:formatCode>
                <c:ptCount val="3"/>
                <c:pt idx="0">
                  <c:v>51.107756883540745</c:v>
                </c:pt>
                <c:pt idx="1">
                  <c:v>45.493619350815884</c:v>
                </c:pt>
                <c:pt idx="2">
                  <c:v>44.155750197858453</c:v>
                </c:pt>
              </c:numCache>
            </c:numRef>
          </c:val>
          <c:extLst>
            <c:ext xmlns:c16="http://schemas.microsoft.com/office/drawing/2014/chart" uri="{C3380CC4-5D6E-409C-BE32-E72D297353CC}">
              <c16:uniqueId val="{00000000-4145-45E7-8A8E-2633D8236F5D}"/>
            </c:ext>
          </c:extLst>
        </c:ser>
        <c:ser>
          <c:idx val="1"/>
          <c:order val="1"/>
          <c:tx>
            <c:strRef>
              <c:f>UXERZ!$F$65</c:f>
              <c:strCache>
                <c:ptCount val="1"/>
                <c:pt idx="0">
                  <c:v>պետ. գանձ. պարտ.</c:v>
                </c:pt>
              </c:strCache>
            </c:strRef>
          </c:tx>
          <c:spPr>
            <a:solidFill>
              <a:srgbClr val="D92529"/>
            </a:solidFill>
          </c:spPr>
          <c:invertIfNegative val="0"/>
          <c:dLbls>
            <c:spPr>
              <a:solidFill>
                <a:srgbClr val="D92529"/>
              </a:solidFill>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UXERZ!$G$59:$I$60</c:f>
              <c:strCache>
                <c:ptCount val="3"/>
                <c:pt idx="0">
                  <c:v>31.12.2021</c:v>
                </c:pt>
                <c:pt idx="1">
                  <c:v>31.12.2022</c:v>
                </c:pt>
                <c:pt idx="2">
                  <c:v>31.12.2023</c:v>
                </c:pt>
              </c:strCache>
            </c:strRef>
          </c:cat>
          <c:val>
            <c:numRef>
              <c:f>UXERZ!$G$65:$I$65</c:f>
              <c:numCache>
                <c:formatCode>_(* #,##0.0_);_(* \(#,##0.0\);_(* "-"??_);_(@_)</c:formatCode>
                <c:ptCount val="3"/>
                <c:pt idx="0">
                  <c:v>28.715750090456993</c:v>
                </c:pt>
                <c:pt idx="1">
                  <c:v>35.984448946745815</c:v>
                </c:pt>
                <c:pt idx="2">
                  <c:v>39.27541089672188</c:v>
                </c:pt>
              </c:numCache>
            </c:numRef>
          </c:val>
          <c:extLst>
            <c:ext xmlns:c16="http://schemas.microsoft.com/office/drawing/2014/chart" uri="{C3380CC4-5D6E-409C-BE32-E72D297353CC}">
              <c16:uniqueId val="{00000001-4145-45E7-8A8E-2633D8236F5D}"/>
            </c:ext>
          </c:extLst>
        </c:ser>
        <c:ser>
          <c:idx val="2"/>
          <c:order val="2"/>
          <c:tx>
            <c:strRef>
              <c:f>UXERZ!$F$66</c:f>
              <c:strCache>
                <c:ptCount val="1"/>
                <c:pt idx="0">
                  <c:v>արտարժ. պետ. պարտ.</c:v>
                </c:pt>
              </c:strCache>
            </c:strRef>
          </c:tx>
          <c:spPr>
            <a:solidFill>
              <a:schemeClr val="tx2">
                <a:lumMod val="60000"/>
                <a:lumOff val="40000"/>
              </a:schemeClr>
            </a:solidFill>
          </c:spPr>
          <c:invertIfNegative val="0"/>
          <c:dLbls>
            <c:spPr>
              <a:solidFill>
                <a:schemeClr val="tx2">
                  <a:lumMod val="60000"/>
                  <a:lumOff val="40000"/>
                </a:schemeClr>
              </a:solidFill>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UXERZ!$G$59:$I$60</c:f>
              <c:strCache>
                <c:ptCount val="3"/>
                <c:pt idx="0">
                  <c:v>31.12.2021</c:v>
                </c:pt>
                <c:pt idx="1">
                  <c:v>31.12.2022</c:v>
                </c:pt>
                <c:pt idx="2">
                  <c:v>31.12.2023</c:v>
                </c:pt>
              </c:strCache>
            </c:strRef>
          </c:cat>
          <c:val>
            <c:numRef>
              <c:f>UXERZ!$G$66:$I$66</c:f>
              <c:numCache>
                <c:formatCode>_(* #,##0.0_);_(* \(#,##0.0\);_(* "-"??_);_(@_)</c:formatCode>
                <c:ptCount val="3"/>
                <c:pt idx="0">
                  <c:v>19.959081994965064</c:v>
                </c:pt>
                <c:pt idx="1">
                  <c:v>18.279894990224324</c:v>
                </c:pt>
                <c:pt idx="2">
                  <c:v>16.445227083289758</c:v>
                </c:pt>
              </c:numCache>
            </c:numRef>
          </c:val>
          <c:extLst>
            <c:ext xmlns:c16="http://schemas.microsoft.com/office/drawing/2014/chart" uri="{C3380CC4-5D6E-409C-BE32-E72D297353CC}">
              <c16:uniqueId val="{00000002-4145-45E7-8A8E-2633D8236F5D}"/>
            </c:ext>
          </c:extLst>
        </c:ser>
        <c:ser>
          <c:idx val="3"/>
          <c:order val="3"/>
          <c:tx>
            <c:strRef>
              <c:f>UXERZ!$F$67</c:f>
              <c:strCache>
                <c:ptCount val="1"/>
                <c:pt idx="0">
                  <c:v>երաշխիքներ</c:v>
                </c:pt>
              </c:strCache>
            </c:strRef>
          </c:tx>
          <c:spPr>
            <a:solidFill>
              <a:schemeClr val="accent4">
                <a:lumMod val="20000"/>
                <a:lumOff val="80000"/>
              </a:schemeClr>
            </a:solidFill>
          </c:spPr>
          <c:invertIfNegative val="0"/>
          <c:dLbls>
            <c:dLbl>
              <c:idx val="0"/>
              <c:layout>
                <c:manualLayout>
                  <c:x val="8.3333333333333332E-3"/>
                  <c:y val="-3.2407407407407419E-2"/>
                </c:manualLayout>
              </c:layout>
              <c:spPr>
                <a:noFill/>
              </c:spPr>
              <c:txPr>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145-45E7-8A8E-2633D8236F5D}"/>
                </c:ext>
              </c:extLst>
            </c:dLbl>
            <c:dLbl>
              <c:idx val="1"/>
              <c:layout>
                <c:manualLayout>
                  <c:x val="1.1111111111111112E-2"/>
                  <c:y val="-3.2407407407407406E-2"/>
                </c:manualLayout>
              </c:layout>
              <c:spPr>
                <a:noFill/>
              </c:spPr>
              <c:txPr>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145-45E7-8A8E-2633D8236F5D}"/>
                </c:ext>
              </c:extLst>
            </c:dLbl>
            <c:dLbl>
              <c:idx val="2"/>
              <c:layout>
                <c:manualLayout>
                  <c:x val="1.1111111111111112E-2"/>
                  <c:y val="-3.2407407407407419E-2"/>
                </c:manualLayout>
              </c:layout>
              <c:spPr>
                <a:noFill/>
              </c:spPr>
              <c:txPr>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145-45E7-8A8E-2633D8236F5D}"/>
                </c:ext>
              </c:extLst>
            </c:dLbl>
            <c:spPr>
              <a:noFill/>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UXERZ!$G$59:$I$60</c:f>
              <c:strCache>
                <c:ptCount val="3"/>
                <c:pt idx="0">
                  <c:v>31.12.2021</c:v>
                </c:pt>
                <c:pt idx="1">
                  <c:v>31.12.2022</c:v>
                </c:pt>
                <c:pt idx="2">
                  <c:v>31.12.2023</c:v>
                </c:pt>
              </c:strCache>
            </c:strRef>
          </c:cat>
          <c:val>
            <c:numRef>
              <c:f>UXERZ!$G$67:$I$67</c:f>
              <c:numCache>
                <c:formatCode>_(* #,##0.0_);_(* \(#,##0.0\);_(* "-"??_);_(@_)</c:formatCode>
                <c:ptCount val="3"/>
                <c:pt idx="0">
                  <c:v>0.21741103103722159</c:v>
                </c:pt>
                <c:pt idx="1">
                  <c:v>0.24203671221397866</c:v>
                </c:pt>
                <c:pt idx="2">
                  <c:v>0.1236118221299132</c:v>
                </c:pt>
              </c:numCache>
            </c:numRef>
          </c:val>
          <c:extLst>
            <c:ext xmlns:c16="http://schemas.microsoft.com/office/drawing/2014/chart" uri="{C3380CC4-5D6E-409C-BE32-E72D297353CC}">
              <c16:uniqueId val="{00000006-4145-45E7-8A8E-2633D8236F5D}"/>
            </c:ext>
          </c:extLst>
        </c:ser>
        <c:dLbls>
          <c:showLegendKey val="0"/>
          <c:showVal val="0"/>
          <c:showCatName val="0"/>
          <c:showSerName val="0"/>
          <c:showPercent val="0"/>
          <c:showBubbleSize val="0"/>
        </c:dLbls>
        <c:gapWidth val="94"/>
        <c:shape val="box"/>
        <c:axId val="350764416"/>
        <c:axId val="350774400"/>
        <c:axId val="0"/>
      </c:bar3DChart>
      <c:catAx>
        <c:axId val="350764416"/>
        <c:scaling>
          <c:orientation val="minMax"/>
        </c:scaling>
        <c:delete val="0"/>
        <c:axPos val="b"/>
        <c:numFmt formatCode="General" sourceLinked="1"/>
        <c:majorTickMark val="out"/>
        <c:minorTickMark val="none"/>
        <c:tickLblPos val="nextTo"/>
        <c:txPr>
          <a:bodyPr rot="0" vert="horz"/>
          <a:lstStyle/>
          <a:p>
            <a:pPr>
              <a:defRPr sz="900" b="0" i="0" u="none" strike="noStrike" baseline="0">
                <a:solidFill>
                  <a:srgbClr val="000000"/>
                </a:solidFill>
                <a:latin typeface="Calibri"/>
                <a:ea typeface="Calibri"/>
                <a:cs typeface="Calibri"/>
              </a:defRPr>
            </a:pPr>
            <a:endParaRPr lang="en-US"/>
          </a:p>
        </c:txPr>
        <c:crossAx val="350774400"/>
        <c:crosses val="autoZero"/>
        <c:auto val="1"/>
        <c:lblAlgn val="ctr"/>
        <c:lblOffset val="100"/>
        <c:noMultiLvlLbl val="0"/>
      </c:catAx>
      <c:valAx>
        <c:axId val="350774400"/>
        <c:scaling>
          <c:orientation val="minMax"/>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50764416"/>
        <c:crosses val="autoZero"/>
        <c:crossBetween val="between"/>
        <c:majorUnit val="0.2"/>
      </c:valAx>
      <c:spPr>
        <a:noFill/>
        <a:ln w="25400">
          <a:noFill/>
        </a:ln>
      </c:spPr>
    </c:plotArea>
    <c:legend>
      <c:legendPos val="b"/>
      <c:layout>
        <c:manualLayout>
          <c:xMode val="edge"/>
          <c:yMode val="edge"/>
          <c:x val="1.3811992509200812E-2"/>
          <c:y val="0.81603761615106163"/>
          <c:w val="0.95856373325235167"/>
          <c:h val="0.15094376236145834"/>
        </c:manualLayout>
      </c:layout>
      <c:overlay val="0"/>
      <c:txPr>
        <a:bodyPr/>
        <a:lstStyle/>
        <a:p>
          <a:pPr>
            <a:defRPr sz="80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8"/>
    </mc:Choice>
    <mc:Fallback>
      <c:style val="8"/>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percentStacked"/>
        <c:varyColors val="0"/>
        <c:ser>
          <c:idx val="0"/>
          <c:order val="0"/>
          <c:tx>
            <c:strRef>
              <c:f>UXERZ!$F$73</c:f>
              <c:strCache>
                <c:ptCount val="1"/>
                <c:pt idx="0">
                  <c:v>լողացող տոկոսադրույքով</c:v>
                </c:pt>
              </c:strCache>
            </c:strRef>
          </c:tx>
          <c:spPr>
            <a:solidFill>
              <a:srgbClr val="FFC000"/>
            </a:solidFill>
          </c:spPr>
          <c:invertIfNegative val="0"/>
          <c:dLbls>
            <c:spPr>
              <a:noFill/>
              <a:ln w="25400">
                <a:noFill/>
              </a:ln>
            </c:spPr>
            <c:txPr>
              <a:bodyPr wrap="square" lIns="38100" tIns="19050" rIns="38100" bIns="19050" anchor="ctr">
                <a:spAutoFit/>
              </a:bodyPr>
              <a:lstStyle/>
              <a:p>
                <a:pPr>
                  <a:defRPr sz="9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UXERZ!$G$59:$I$60</c:f>
              <c:strCache>
                <c:ptCount val="3"/>
                <c:pt idx="0">
                  <c:v>31.12.2021</c:v>
                </c:pt>
                <c:pt idx="1">
                  <c:v>31.12.2022</c:v>
                </c:pt>
                <c:pt idx="2">
                  <c:v>31.12.2023</c:v>
                </c:pt>
              </c:strCache>
            </c:strRef>
          </c:cat>
          <c:val>
            <c:numRef>
              <c:f>UXERZ!$G$73:$I$73</c:f>
              <c:numCache>
                <c:formatCode>_(* #,##0.0_);_(* \(#,##0.0\);_(* "-"??_);_(@_)</c:formatCode>
                <c:ptCount val="3"/>
                <c:pt idx="0">
                  <c:v>17.055253400285523</c:v>
                </c:pt>
                <c:pt idx="1">
                  <c:v>17.491824408022957</c:v>
                </c:pt>
                <c:pt idx="2">
                  <c:v>17.957991560214605</c:v>
                </c:pt>
              </c:numCache>
            </c:numRef>
          </c:val>
          <c:extLst>
            <c:ext xmlns:c16="http://schemas.microsoft.com/office/drawing/2014/chart" uri="{C3380CC4-5D6E-409C-BE32-E72D297353CC}">
              <c16:uniqueId val="{00000000-5F52-4B85-B200-49FB15D1B2D1}"/>
            </c:ext>
          </c:extLst>
        </c:ser>
        <c:ser>
          <c:idx val="1"/>
          <c:order val="1"/>
          <c:tx>
            <c:strRef>
              <c:f>UXERZ!$F$74</c:f>
              <c:strCache>
                <c:ptCount val="1"/>
                <c:pt idx="0">
                  <c:v>ֆիքսված տոկոսադրույքով</c:v>
                </c:pt>
              </c:strCache>
            </c:strRef>
          </c:tx>
          <c:spPr>
            <a:solidFill>
              <a:schemeClr val="accent6">
                <a:lumMod val="40000"/>
                <a:lumOff val="60000"/>
              </a:schemeClr>
            </a:solidFill>
          </c:spPr>
          <c:invertIfNegative val="0"/>
          <c:dLbls>
            <c:spPr>
              <a:noFill/>
              <a:ln w="25400">
                <a:noFill/>
              </a:ln>
            </c:spPr>
            <c:txPr>
              <a:bodyPr wrap="square" lIns="38100" tIns="19050" rIns="38100" bIns="19050" anchor="ctr">
                <a:spAutoFit/>
              </a:bodyPr>
              <a:lstStyle/>
              <a:p>
                <a:pPr>
                  <a:defRPr sz="9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UXERZ!$G$59:$I$60</c:f>
              <c:strCache>
                <c:ptCount val="3"/>
                <c:pt idx="0">
                  <c:v>31.12.2021</c:v>
                </c:pt>
                <c:pt idx="1">
                  <c:v>31.12.2022</c:v>
                </c:pt>
                <c:pt idx="2">
                  <c:v>31.12.2023</c:v>
                </c:pt>
              </c:strCache>
            </c:strRef>
          </c:cat>
          <c:val>
            <c:numRef>
              <c:f>UXERZ!$G$74:$I$74</c:f>
              <c:numCache>
                <c:formatCode>_(* #,##0.0_);_(* \(#,##0.0\);_(* "-"??_);_(@_)</c:formatCode>
                <c:ptCount val="3"/>
                <c:pt idx="0">
                  <c:v>82.944746599714492</c:v>
                </c:pt>
                <c:pt idx="1">
                  <c:v>82.508175591977036</c:v>
                </c:pt>
                <c:pt idx="2">
                  <c:v>82.042008439785391</c:v>
                </c:pt>
              </c:numCache>
            </c:numRef>
          </c:val>
          <c:extLst>
            <c:ext xmlns:c16="http://schemas.microsoft.com/office/drawing/2014/chart" uri="{C3380CC4-5D6E-409C-BE32-E72D297353CC}">
              <c16:uniqueId val="{00000001-5F52-4B85-B200-49FB15D1B2D1}"/>
            </c:ext>
          </c:extLst>
        </c:ser>
        <c:dLbls>
          <c:showLegendKey val="0"/>
          <c:showVal val="0"/>
          <c:showCatName val="0"/>
          <c:showSerName val="0"/>
          <c:showPercent val="0"/>
          <c:showBubbleSize val="0"/>
        </c:dLbls>
        <c:gapWidth val="121"/>
        <c:shape val="box"/>
        <c:axId val="350798208"/>
        <c:axId val="350799744"/>
        <c:axId val="0"/>
      </c:bar3DChart>
      <c:catAx>
        <c:axId val="350798208"/>
        <c:scaling>
          <c:orientation val="minMax"/>
        </c:scaling>
        <c:delete val="0"/>
        <c:axPos val="b"/>
        <c:numFmt formatCode="General" sourceLinked="1"/>
        <c:majorTickMark val="out"/>
        <c:minorTickMark val="none"/>
        <c:tickLblPos val="nextTo"/>
        <c:txPr>
          <a:bodyPr rot="0" vert="horz"/>
          <a:lstStyle/>
          <a:p>
            <a:pPr>
              <a:defRPr sz="900" b="0" i="0" u="none" strike="noStrike" baseline="0">
                <a:solidFill>
                  <a:srgbClr val="000000"/>
                </a:solidFill>
                <a:latin typeface="Calibri"/>
                <a:ea typeface="Calibri"/>
                <a:cs typeface="Calibri"/>
              </a:defRPr>
            </a:pPr>
            <a:endParaRPr lang="en-US"/>
          </a:p>
        </c:txPr>
        <c:crossAx val="350799744"/>
        <c:crosses val="autoZero"/>
        <c:auto val="1"/>
        <c:lblAlgn val="ctr"/>
        <c:lblOffset val="100"/>
        <c:noMultiLvlLbl val="0"/>
      </c:catAx>
      <c:valAx>
        <c:axId val="350799744"/>
        <c:scaling>
          <c:orientation val="minMax"/>
        </c:scaling>
        <c:delete val="0"/>
        <c:axPos val="l"/>
        <c:majorGridlines/>
        <c:numFmt formatCode="0%" sourceLinked="1"/>
        <c:majorTickMark val="out"/>
        <c:minorTickMark val="none"/>
        <c:tickLblPos val="nextTo"/>
        <c:txPr>
          <a:bodyPr rot="0" vert="horz"/>
          <a:lstStyle/>
          <a:p>
            <a:pPr>
              <a:defRPr sz="900" b="0" i="0" u="none" strike="noStrike" baseline="0">
                <a:solidFill>
                  <a:srgbClr val="000000"/>
                </a:solidFill>
                <a:latin typeface="Calibri"/>
                <a:ea typeface="Calibri"/>
                <a:cs typeface="Calibri"/>
              </a:defRPr>
            </a:pPr>
            <a:endParaRPr lang="en-US"/>
          </a:p>
        </c:txPr>
        <c:crossAx val="350798208"/>
        <c:crosses val="autoZero"/>
        <c:crossBetween val="between"/>
      </c:valAx>
      <c:spPr>
        <a:noFill/>
        <a:ln w="25400">
          <a:noFill/>
        </a:ln>
      </c:spPr>
    </c:plotArea>
    <c:legend>
      <c:legendPos val="b"/>
      <c:layout>
        <c:manualLayout>
          <c:xMode val="edge"/>
          <c:yMode val="edge"/>
          <c:x val="1.3811864677136352E-2"/>
          <c:y val="0.85377368113346019"/>
          <c:w val="0.98066298342541436"/>
          <c:h val="0.1037738055254942"/>
        </c:manualLayout>
      </c:layout>
      <c:overlay val="0"/>
      <c:txPr>
        <a:bodyPr/>
        <a:lstStyle/>
        <a:p>
          <a:pPr>
            <a:defRPr sz="80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9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chemeClr val="accent3">
                <a:lumMod val="75000"/>
              </a:schemeClr>
            </a:solidFill>
            <a:effectLst>
              <a:outerShdw blurRad="50800" dist="38100" dir="2700000" algn="tl" rotWithShape="0">
                <a:prstClr val="black">
                  <a:alpha val="40000"/>
                </a:prstClr>
              </a:outerShdw>
            </a:effectLst>
            <a:scene3d>
              <a:camera prst="orthographicFront"/>
              <a:lightRig rig="threePt" dir="t"/>
            </a:scene3d>
            <a:sp3d>
              <a:bevelT w="101600" prst="riblet"/>
            </a:sp3d>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'Stock for Budget'!$B$265:$B$285</c:f>
              <c:strCache>
                <c:ptCount val="21"/>
                <c:pt idx="0">
                  <c:v>ԿԲՍ Բանկ (Բելգիա)</c:v>
                </c:pt>
                <c:pt idx="1">
                  <c:v>Աբու-Դաբիի Զարգացման Հիմնադրամ</c:v>
                </c:pt>
                <c:pt idx="2">
                  <c:v>Ռայֆայզն Բանկ (Ավստրիա)</c:v>
                </c:pt>
                <c:pt idx="3">
                  <c:v>Էռստե Բանկ (Ավստրիա)</c:v>
                </c:pt>
                <c:pt idx="4">
                  <c:v>ԱՄՆ</c:v>
                </c:pt>
                <c:pt idx="5">
                  <c:v>Չինաստանի Արտահանման-Ներմուծման Բանկ</c:v>
                </c:pt>
                <c:pt idx="6">
                  <c:v>Ենթակա է հստակեցման</c:v>
                </c:pt>
                <c:pt idx="7">
                  <c:v>Վերակառուցման և Զարգացման Եվրոպական Բանկ</c:v>
                </c:pt>
                <c:pt idx="8">
                  <c:v>Գյուղատնտեսության Զարգացման Միջազգային Հիմնադրամ</c:v>
                </c:pt>
                <c:pt idx="9">
                  <c:v>Եվրամիություն</c:v>
                </c:pt>
                <c:pt idx="10">
                  <c:v>ՕՊԵԿ-ի Միջազգային Զարգացման Հիմնադրամ </c:v>
                </c:pt>
                <c:pt idx="11">
                  <c:v>Եվրոպական Ներդրումային Բանկ</c:v>
                </c:pt>
                <c:pt idx="12">
                  <c:v>Ճապոնիա</c:v>
                </c:pt>
                <c:pt idx="13">
                  <c:v>Գերմանիա (ՎՎԲ)</c:v>
                </c:pt>
                <c:pt idx="14">
                  <c:v>Ֆրանսիա</c:v>
                </c:pt>
                <c:pt idx="15">
                  <c:v>Ռուսաստանի Դաշնություն</c:v>
                </c:pt>
                <c:pt idx="16">
                  <c:v>Արժույթի Միջազգային Հիմնադրամ</c:v>
                </c:pt>
                <c:pt idx="17">
                  <c:v>Եվրասիական Զարգացման Բանկ </c:v>
                </c:pt>
                <c:pt idx="18">
                  <c:v>Զարգացման Միջազգային Ընկերակցություն</c:v>
                </c:pt>
                <c:pt idx="19">
                  <c:v>Ասիական Զարգացման Բանկ</c:v>
                </c:pt>
                <c:pt idx="20">
                  <c:v>Վերակառուցման և Զարգացման Միջազգային Բանկ</c:v>
                </c:pt>
              </c:strCache>
            </c:strRef>
          </c:cat>
          <c:val>
            <c:numRef>
              <c:f>'Stock for Budget'!$D$265:$D$285</c:f>
              <c:numCache>
                <c:formatCode>0.00%</c:formatCode>
                <c:ptCount val="21"/>
                <c:pt idx="0">
                  <c:v>2.0698829721415166E-4</c:v>
                </c:pt>
                <c:pt idx="1">
                  <c:v>4.5928879159562024E-4</c:v>
                </c:pt>
                <c:pt idx="2">
                  <c:v>8.0115339912308038E-4</c:v>
                </c:pt>
                <c:pt idx="3">
                  <c:v>1.3033142134819199E-3</c:v>
                </c:pt>
                <c:pt idx="4">
                  <c:v>2.1763176925894108E-3</c:v>
                </c:pt>
                <c:pt idx="5">
                  <c:v>3.5188121794423135E-3</c:v>
                </c:pt>
                <c:pt idx="6">
                  <c:v>1.7396636796198753E-2</c:v>
                </c:pt>
                <c:pt idx="7">
                  <c:v>9.3831709530209015E-3</c:v>
                </c:pt>
                <c:pt idx="8">
                  <c:v>1.0582598028829715E-2</c:v>
                </c:pt>
                <c:pt idx="9">
                  <c:v>1.3742006168657422E-2</c:v>
                </c:pt>
                <c:pt idx="10">
                  <c:v>1.8195833672877221E-2</c:v>
                </c:pt>
                <c:pt idx="11">
                  <c:v>2.9337112048570702E-2</c:v>
                </c:pt>
                <c:pt idx="12">
                  <c:v>2.9084236719918218E-2</c:v>
                </c:pt>
                <c:pt idx="13">
                  <c:v>5.5708606209805604E-2</c:v>
                </c:pt>
                <c:pt idx="14">
                  <c:v>5.8236720134081238E-2</c:v>
                </c:pt>
                <c:pt idx="15">
                  <c:v>5.9461810308302998E-2</c:v>
                </c:pt>
                <c:pt idx="16">
                  <c:v>6.3251702614897987E-2</c:v>
                </c:pt>
                <c:pt idx="17">
                  <c:v>7.8678571675754441E-2</c:v>
                </c:pt>
                <c:pt idx="18">
                  <c:v>0.14979100905195872</c:v>
                </c:pt>
                <c:pt idx="19">
                  <c:v>0.19166957818895525</c:v>
                </c:pt>
                <c:pt idx="20">
                  <c:v>0.20701453285472426</c:v>
                </c:pt>
              </c:numCache>
            </c:numRef>
          </c:val>
          <c:extLst>
            <c:ext xmlns:c16="http://schemas.microsoft.com/office/drawing/2014/chart" uri="{C3380CC4-5D6E-409C-BE32-E72D297353CC}">
              <c16:uniqueId val="{00000000-542D-482E-97AA-55596B46CC83}"/>
            </c:ext>
          </c:extLst>
        </c:ser>
        <c:dLbls>
          <c:showLegendKey val="0"/>
          <c:showVal val="0"/>
          <c:showCatName val="0"/>
          <c:showSerName val="0"/>
          <c:showPercent val="0"/>
          <c:showBubbleSize val="0"/>
        </c:dLbls>
        <c:gapWidth val="21"/>
        <c:axId val="360070528"/>
        <c:axId val="360084608"/>
      </c:barChart>
      <c:catAx>
        <c:axId val="360070528"/>
        <c:scaling>
          <c:orientation val="minMax"/>
        </c:scaling>
        <c:delete val="0"/>
        <c:axPos val="l"/>
        <c:numFmt formatCode="General" sourceLinked="1"/>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n-US"/>
          </a:p>
        </c:txPr>
        <c:crossAx val="360084608"/>
        <c:crosses val="autoZero"/>
        <c:auto val="1"/>
        <c:lblAlgn val="ctr"/>
        <c:lblOffset val="100"/>
        <c:noMultiLvlLbl val="0"/>
      </c:catAx>
      <c:valAx>
        <c:axId val="360084608"/>
        <c:scaling>
          <c:orientation val="minMax"/>
        </c:scaling>
        <c:delete val="0"/>
        <c:axPos val="b"/>
        <c:majorGridlines/>
        <c:numFmt formatCode="0.00%" sourceLinked="1"/>
        <c:majorTickMark val="out"/>
        <c:minorTickMark val="none"/>
        <c:tickLblPos val="nextTo"/>
        <c:txPr>
          <a:bodyPr rot="0" vert="horz"/>
          <a:lstStyle/>
          <a:p>
            <a:pPr>
              <a:defRPr sz="900" b="0" i="0" u="none" strike="noStrike" baseline="0">
                <a:solidFill>
                  <a:srgbClr val="000000"/>
                </a:solidFill>
                <a:latin typeface="Calibri"/>
                <a:ea typeface="Calibri"/>
                <a:cs typeface="Calibri"/>
              </a:defRPr>
            </a:pPr>
            <a:endParaRPr lang="en-US"/>
          </a:p>
        </c:txPr>
        <c:crossAx val="360070528"/>
        <c:crosses val="autoZero"/>
        <c:crossBetween val="between"/>
      </c:valAx>
    </c:plotArea>
    <c:plotVisOnly val="1"/>
    <c:dispBlanksAs val="gap"/>
    <c:showDLblsOverMax val="0"/>
  </c:chart>
  <c:spPr>
    <a:effectLst>
      <a:outerShdw blurRad="63500" sx="102000" sy="102000" algn="ctr" rotWithShape="0">
        <a:prstClr val="black">
          <a:alpha val="40000"/>
        </a:prstClr>
      </a:outerShdw>
    </a:effectLst>
  </c:spPr>
  <c:txPr>
    <a:bodyPr/>
    <a:lstStyle/>
    <a:p>
      <a:pPr>
        <a:defRPr sz="9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01330725379073"/>
          <c:y val="3.2484228945066071E-2"/>
          <c:w val="0.72934918167076246"/>
          <c:h val="0.51943868858497955"/>
        </c:manualLayout>
      </c:layout>
      <c:lineChart>
        <c:grouping val="standard"/>
        <c:varyColors val="0"/>
        <c:ser>
          <c:idx val="0"/>
          <c:order val="0"/>
          <c:tx>
            <c:strRef>
              <c:f>Sheet1!$B$1</c:f>
              <c:strCache>
                <c:ptCount val="1"/>
                <c:pt idx="0">
                  <c:v>Հայաստան (2025թ.)</c:v>
                </c:pt>
              </c:strCache>
            </c:strRef>
          </c:tx>
          <c:spPr>
            <a:ln w="19050" cap="rnd">
              <a:solidFill>
                <a:schemeClr val="accent1"/>
              </a:solidFill>
              <a:round/>
            </a:ln>
            <a:effectLst/>
          </c:spPr>
          <c:marker>
            <c:symbol val="none"/>
          </c:marker>
          <c:cat>
            <c:numRef>
              <c:f>Sheet1!$A$2:$A$971</c:f>
              <c:numCache>
                <c:formatCode>m\/d\/yyyy</c:formatCode>
                <c:ptCount val="709"/>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pt idx="639">
                  <c:v>44726</c:v>
                </c:pt>
                <c:pt idx="640">
                  <c:v>44727</c:v>
                </c:pt>
                <c:pt idx="641">
                  <c:v>44728</c:v>
                </c:pt>
                <c:pt idx="642">
                  <c:v>44729</c:v>
                </c:pt>
                <c:pt idx="643">
                  <c:v>44732</c:v>
                </c:pt>
                <c:pt idx="644">
                  <c:v>44733</c:v>
                </c:pt>
                <c:pt idx="645">
                  <c:v>44734</c:v>
                </c:pt>
                <c:pt idx="646">
                  <c:v>44735</c:v>
                </c:pt>
                <c:pt idx="647">
                  <c:v>44736</c:v>
                </c:pt>
                <c:pt idx="648">
                  <c:v>44739</c:v>
                </c:pt>
                <c:pt idx="649">
                  <c:v>44740</c:v>
                </c:pt>
                <c:pt idx="650">
                  <c:v>44741</c:v>
                </c:pt>
                <c:pt idx="651">
                  <c:v>44742</c:v>
                </c:pt>
                <c:pt idx="652">
                  <c:v>44743</c:v>
                </c:pt>
                <c:pt idx="653">
                  <c:v>44746</c:v>
                </c:pt>
                <c:pt idx="654">
                  <c:v>44747</c:v>
                </c:pt>
                <c:pt idx="655">
                  <c:v>44748</c:v>
                </c:pt>
                <c:pt idx="656">
                  <c:v>44749</c:v>
                </c:pt>
                <c:pt idx="657">
                  <c:v>44750</c:v>
                </c:pt>
                <c:pt idx="658">
                  <c:v>44753</c:v>
                </c:pt>
                <c:pt idx="659">
                  <c:v>44754</c:v>
                </c:pt>
                <c:pt idx="660">
                  <c:v>44755</c:v>
                </c:pt>
                <c:pt idx="661">
                  <c:v>44756</c:v>
                </c:pt>
                <c:pt idx="662">
                  <c:v>44757</c:v>
                </c:pt>
                <c:pt idx="663">
                  <c:v>44760</c:v>
                </c:pt>
                <c:pt idx="664">
                  <c:v>44761</c:v>
                </c:pt>
                <c:pt idx="665">
                  <c:v>44762</c:v>
                </c:pt>
                <c:pt idx="666">
                  <c:v>44763</c:v>
                </c:pt>
                <c:pt idx="667">
                  <c:v>44764</c:v>
                </c:pt>
                <c:pt idx="668">
                  <c:v>44767</c:v>
                </c:pt>
                <c:pt idx="669">
                  <c:v>44768</c:v>
                </c:pt>
                <c:pt idx="670">
                  <c:v>44769</c:v>
                </c:pt>
                <c:pt idx="671">
                  <c:v>44770</c:v>
                </c:pt>
                <c:pt idx="672">
                  <c:v>44771</c:v>
                </c:pt>
                <c:pt idx="673">
                  <c:v>44774</c:v>
                </c:pt>
                <c:pt idx="674">
                  <c:v>44775</c:v>
                </c:pt>
                <c:pt idx="675">
                  <c:v>44776</c:v>
                </c:pt>
                <c:pt idx="676">
                  <c:v>44777</c:v>
                </c:pt>
                <c:pt idx="677">
                  <c:v>44778</c:v>
                </c:pt>
                <c:pt idx="678">
                  <c:v>44781</c:v>
                </c:pt>
                <c:pt idx="679">
                  <c:v>44782</c:v>
                </c:pt>
                <c:pt idx="680">
                  <c:v>44783</c:v>
                </c:pt>
                <c:pt idx="681">
                  <c:v>44784</c:v>
                </c:pt>
                <c:pt idx="682">
                  <c:v>44785</c:v>
                </c:pt>
                <c:pt idx="683">
                  <c:v>44788</c:v>
                </c:pt>
                <c:pt idx="684">
                  <c:v>44789</c:v>
                </c:pt>
                <c:pt idx="685">
                  <c:v>44790</c:v>
                </c:pt>
                <c:pt idx="686">
                  <c:v>44791</c:v>
                </c:pt>
                <c:pt idx="687">
                  <c:v>44792</c:v>
                </c:pt>
                <c:pt idx="688">
                  <c:v>44795</c:v>
                </c:pt>
                <c:pt idx="689">
                  <c:v>44796</c:v>
                </c:pt>
                <c:pt idx="690">
                  <c:v>44797</c:v>
                </c:pt>
                <c:pt idx="691">
                  <c:v>44798</c:v>
                </c:pt>
                <c:pt idx="692">
                  <c:v>44799</c:v>
                </c:pt>
                <c:pt idx="693">
                  <c:v>44802</c:v>
                </c:pt>
                <c:pt idx="694">
                  <c:v>44803</c:v>
                </c:pt>
                <c:pt idx="695">
                  <c:v>44804</c:v>
                </c:pt>
                <c:pt idx="696">
                  <c:v>44805</c:v>
                </c:pt>
                <c:pt idx="697">
                  <c:v>44806</c:v>
                </c:pt>
                <c:pt idx="698">
                  <c:v>44809</c:v>
                </c:pt>
                <c:pt idx="699">
                  <c:v>44810</c:v>
                </c:pt>
                <c:pt idx="700">
                  <c:v>44811</c:v>
                </c:pt>
                <c:pt idx="701">
                  <c:v>44812</c:v>
                </c:pt>
                <c:pt idx="702">
                  <c:v>44813</c:v>
                </c:pt>
                <c:pt idx="703">
                  <c:v>44816</c:v>
                </c:pt>
                <c:pt idx="704">
                  <c:v>44817</c:v>
                </c:pt>
                <c:pt idx="705">
                  <c:v>44818</c:v>
                </c:pt>
                <c:pt idx="706">
                  <c:v>44819</c:v>
                </c:pt>
                <c:pt idx="707">
                  <c:v>44820</c:v>
                </c:pt>
              </c:numCache>
            </c:numRef>
          </c:cat>
          <c:val>
            <c:numRef>
              <c:f>Sheet1!$B$2:$B$971</c:f>
              <c:numCache>
                <c:formatCode>0</c:formatCode>
                <c:ptCount val="709"/>
                <c:pt idx="0">
                  <c:v>1.6859</c:v>
                </c:pt>
                <c:pt idx="1">
                  <c:v>1.7477699999999998</c:v>
                </c:pt>
                <c:pt idx="2">
                  <c:v>1.82551</c:v>
                </c:pt>
                <c:pt idx="3">
                  <c:v>1.84619</c:v>
                </c:pt>
                <c:pt idx="4">
                  <c:v>1.8530099999999998</c:v>
                </c:pt>
                <c:pt idx="5">
                  <c:v>1.76298</c:v>
                </c:pt>
                <c:pt idx="6">
                  <c:v>1.71441</c:v>
                </c:pt>
                <c:pt idx="7">
                  <c:v>1.69597</c:v>
                </c:pt>
                <c:pt idx="8">
                  <c:v>1.68232</c:v>
                </c:pt>
                <c:pt idx="9">
                  <c:v>1.6440000000000001</c:v>
                </c:pt>
                <c:pt idx="10">
                  <c:v>1.65828</c:v>
                </c:pt>
                <c:pt idx="11">
                  <c:v>1.6056600000000001</c:v>
                </c:pt>
                <c:pt idx="12">
                  <c:v>1.6185800000000001</c:v>
                </c:pt>
                <c:pt idx="13">
                  <c:v>1.60589</c:v>
                </c:pt>
                <c:pt idx="14">
                  <c:v>1.6539599999999999</c:v>
                </c:pt>
                <c:pt idx="15">
                  <c:v>1.6646399999999999</c:v>
                </c:pt>
                <c:pt idx="16">
                  <c:v>1.7176800000000001</c:v>
                </c:pt>
                <c:pt idx="17">
                  <c:v>1.74583</c:v>
                </c:pt>
                <c:pt idx="18">
                  <c:v>1.8301699999999999</c:v>
                </c:pt>
                <c:pt idx="19">
                  <c:v>1.7846899999999999</c:v>
                </c:pt>
                <c:pt idx="20">
                  <c:v>1.83524</c:v>
                </c:pt>
                <c:pt idx="21">
                  <c:v>1.8591800000000001</c:v>
                </c:pt>
                <c:pt idx="22">
                  <c:v>1.8522900000000002</c:v>
                </c:pt>
                <c:pt idx="23">
                  <c:v>1.82233</c:v>
                </c:pt>
                <c:pt idx="24">
                  <c:v>1.8011299999999999</c:v>
                </c:pt>
                <c:pt idx="25">
                  <c:v>1.7584600000000001</c:v>
                </c:pt>
                <c:pt idx="26">
                  <c:v>1.7105299999999999</c:v>
                </c:pt>
                <c:pt idx="27">
                  <c:v>1.7858500000000002</c:v>
                </c:pt>
                <c:pt idx="28">
                  <c:v>1.8150200000000001</c:v>
                </c:pt>
                <c:pt idx="29">
                  <c:v>1.7945900000000001</c:v>
                </c:pt>
                <c:pt idx="30">
                  <c:v>1.76406</c:v>
                </c:pt>
                <c:pt idx="31">
                  <c:v>1.75101</c:v>
                </c:pt>
                <c:pt idx="32">
                  <c:v>1.7766</c:v>
                </c:pt>
                <c:pt idx="33">
                  <c:v>1.7423500000000001</c:v>
                </c:pt>
                <c:pt idx="34">
                  <c:v>1.77847</c:v>
                </c:pt>
                <c:pt idx="35">
                  <c:v>1.7563900000000001</c:v>
                </c:pt>
                <c:pt idx="36">
                  <c:v>1.75631</c:v>
                </c:pt>
                <c:pt idx="37">
                  <c:v>1.8122900000000002</c:v>
                </c:pt>
                <c:pt idx="38">
                  <c:v>1.8916300000000001</c:v>
                </c:pt>
                <c:pt idx="39">
                  <c:v>1.9592599999999998</c:v>
                </c:pt>
                <c:pt idx="40">
                  <c:v>1.9554900000000002</c:v>
                </c:pt>
                <c:pt idx="41">
                  <c:v>2.0955500000000002</c:v>
                </c:pt>
                <c:pt idx="42">
                  <c:v>2.3081100000000001</c:v>
                </c:pt>
                <c:pt idx="43">
                  <c:v>2.2382900000000001</c:v>
                </c:pt>
                <c:pt idx="44">
                  <c:v>2.1936400000000003</c:v>
                </c:pt>
                <c:pt idx="45">
                  <c:v>2.3379400000000001</c:v>
                </c:pt>
                <c:pt idx="46">
                  <c:v>2.38198</c:v>
                </c:pt>
                <c:pt idx="47">
                  <c:v>2.45668</c:v>
                </c:pt>
                <c:pt idx="48">
                  <c:v>3.2864100000000001</c:v>
                </c:pt>
                <c:pt idx="49">
                  <c:v>3.2430399999999997</c:v>
                </c:pt>
                <c:pt idx="50">
                  <c:v>3.35649</c:v>
                </c:pt>
                <c:pt idx="51">
                  <c:v>4.0519600000000002</c:v>
                </c:pt>
                <c:pt idx="52">
                  <c:v>4.0224200000000003</c:v>
                </c:pt>
                <c:pt idx="53">
                  <c:v>4.1732899999999997</c:v>
                </c:pt>
                <c:pt idx="54">
                  <c:v>4.3857100000000004</c:v>
                </c:pt>
                <c:pt idx="55">
                  <c:v>5.0128699999999995</c:v>
                </c:pt>
                <c:pt idx="56">
                  <c:v>5.7238899999999999</c:v>
                </c:pt>
                <c:pt idx="57">
                  <c:v>6.1408500000000004</c:v>
                </c:pt>
                <c:pt idx="58">
                  <c:v>6.7024499999999998</c:v>
                </c:pt>
                <c:pt idx="59">
                  <c:v>6.6089799999999999</c:v>
                </c:pt>
                <c:pt idx="60">
                  <c:v>6.27346</c:v>
                </c:pt>
                <c:pt idx="61">
                  <c:v>6.1350099999999994</c:v>
                </c:pt>
                <c:pt idx="62">
                  <c:v>6.0872599999999997</c:v>
                </c:pt>
                <c:pt idx="63">
                  <c:v>6.0945799999999997</c:v>
                </c:pt>
                <c:pt idx="64">
                  <c:v>6.08779</c:v>
                </c:pt>
                <c:pt idx="65">
                  <c:v>6.0872000000000002</c:v>
                </c:pt>
                <c:pt idx="66">
                  <c:v>6.0364800000000001</c:v>
                </c:pt>
                <c:pt idx="67">
                  <c:v>5.8486400000000005</c:v>
                </c:pt>
                <c:pt idx="68">
                  <c:v>5.71957</c:v>
                </c:pt>
                <c:pt idx="69">
                  <c:v>5.6973299999999991</c:v>
                </c:pt>
                <c:pt idx="70">
                  <c:v>5.7235199999999997</c:v>
                </c:pt>
                <c:pt idx="71">
                  <c:v>5.3898599999999997</c:v>
                </c:pt>
                <c:pt idx="72">
                  <c:v>5.3898599999999997</c:v>
                </c:pt>
                <c:pt idx="73">
                  <c:v>5.3898599999999997</c:v>
                </c:pt>
                <c:pt idx="74">
                  <c:v>5.1810400000000003</c:v>
                </c:pt>
                <c:pt idx="75">
                  <c:v>5.2589399999999999</c:v>
                </c:pt>
                <c:pt idx="76">
                  <c:v>5.2698599999999995</c:v>
                </c:pt>
                <c:pt idx="77">
                  <c:v>5.1793200000000006</c:v>
                </c:pt>
                <c:pt idx="78">
                  <c:v>5.2169100000000004</c:v>
                </c:pt>
                <c:pt idx="79">
                  <c:v>5.31013</c:v>
                </c:pt>
                <c:pt idx="80">
                  <c:v>5.3277599999999996</c:v>
                </c:pt>
                <c:pt idx="81">
                  <c:v>5.3096400000000008</c:v>
                </c:pt>
                <c:pt idx="82">
                  <c:v>5.2977800000000004</c:v>
                </c:pt>
                <c:pt idx="83">
                  <c:v>5.3167600000000004</c:v>
                </c:pt>
                <c:pt idx="84">
                  <c:v>5.3631899999999995</c:v>
                </c:pt>
                <c:pt idx="85">
                  <c:v>5.37202</c:v>
                </c:pt>
                <c:pt idx="86">
                  <c:v>5.2356699999999998</c:v>
                </c:pt>
                <c:pt idx="87">
                  <c:v>5.2660200000000001</c:v>
                </c:pt>
                <c:pt idx="88">
                  <c:v>5.1895500000000006</c:v>
                </c:pt>
                <c:pt idx="89">
                  <c:v>4.8594900000000001</c:v>
                </c:pt>
                <c:pt idx="90">
                  <c:v>4.8160300000000005</c:v>
                </c:pt>
                <c:pt idx="91">
                  <c:v>4.7640599999999997</c:v>
                </c:pt>
                <c:pt idx="92">
                  <c:v>4.7640599999999997</c:v>
                </c:pt>
                <c:pt idx="93">
                  <c:v>4.3402199999999995</c:v>
                </c:pt>
                <c:pt idx="94">
                  <c:v>4.3495600000000003</c:v>
                </c:pt>
                <c:pt idx="95">
                  <c:v>3.9028199999999997</c:v>
                </c:pt>
                <c:pt idx="96">
                  <c:v>3.73278</c:v>
                </c:pt>
                <c:pt idx="97">
                  <c:v>3.6306400000000001</c:v>
                </c:pt>
                <c:pt idx="98">
                  <c:v>3.4985599999999999</c:v>
                </c:pt>
                <c:pt idx="99">
                  <c:v>3.4788000000000001</c:v>
                </c:pt>
                <c:pt idx="100">
                  <c:v>3.4404000000000003</c:v>
                </c:pt>
                <c:pt idx="101">
                  <c:v>3.4206500000000002</c:v>
                </c:pt>
                <c:pt idx="102">
                  <c:v>3.4000499999999998</c:v>
                </c:pt>
                <c:pt idx="103">
                  <c:v>3.4000499999999998</c:v>
                </c:pt>
                <c:pt idx="104">
                  <c:v>3.42014</c:v>
                </c:pt>
                <c:pt idx="105">
                  <c:v>3.3954300000000002</c:v>
                </c:pt>
                <c:pt idx="106">
                  <c:v>3.3866100000000001</c:v>
                </c:pt>
                <c:pt idx="107">
                  <c:v>3.4058699999999997</c:v>
                </c:pt>
                <c:pt idx="108">
                  <c:v>3.3812000000000002</c:v>
                </c:pt>
                <c:pt idx="109">
                  <c:v>3.3576299999999999</c:v>
                </c:pt>
                <c:pt idx="110">
                  <c:v>3.3441699999999996</c:v>
                </c:pt>
                <c:pt idx="111">
                  <c:v>3.3216399999999999</c:v>
                </c:pt>
                <c:pt idx="112">
                  <c:v>3.1954399999999996</c:v>
                </c:pt>
                <c:pt idx="113">
                  <c:v>3.2696199999999997</c:v>
                </c:pt>
                <c:pt idx="114">
                  <c:v>3.4010599999999998</c:v>
                </c:pt>
                <c:pt idx="115">
                  <c:v>3.3069000000000002</c:v>
                </c:pt>
                <c:pt idx="116">
                  <c:v>3.5170699999999999</c:v>
                </c:pt>
                <c:pt idx="117">
                  <c:v>3.6090900000000001</c:v>
                </c:pt>
                <c:pt idx="118">
                  <c:v>3.9274100000000001</c:v>
                </c:pt>
                <c:pt idx="119">
                  <c:v>3.90069</c:v>
                </c:pt>
                <c:pt idx="120">
                  <c:v>3.9155399999999996</c:v>
                </c:pt>
                <c:pt idx="121">
                  <c:v>3.9113899999999999</c:v>
                </c:pt>
                <c:pt idx="122">
                  <c:v>3.8133900000000001</c:v>
                </c:pt>
                <c:pt idx="123">
                  <c:v>3.8786200000000002</c:v>
                </c:pt>
                <c:pt idx="124">
                  <c:v>3.87392</c:v>
                </c:pt>
                <c:pt idx="125">
                  <c:v>3.8611300000000002</c:v>
                </c:pt>
                <c:pt idx="126">
                  <c:v>3.9540499999999996</c:v>
                </c:pt>
                <c:pt idx="127">
                  <c:v>3.9254199999999999</c:v>
                </c:pt>
                <c:pt idx="128">
                  <c:v>3.9742099999999998</c:v>
                </c:pt>
                <c:pt idx="129">
                  <c:v>3.9412500000000001</c:v>
                </c:pt>
                <c:pt idx="130">
                  <c:v>3.8425700000000003</c:v>
                </c:pt>
                <c:pt idx="131">
                  <c:v>3.5997399999999997</c:v>
                </c:pt>
                <c:pt idx="132">
                  <c:v>3.5082499999999999</c:v>
                </c:pt>
                <c:pt idx="133">
                  <c:v>3.54074</c:v>
                </c:pt>
                <c:pt idx="134">
                  <c:v>3.5425</c:v>
                </c:pt>
                <c:pt idx="135">
                  <c:v>3.5669099999999996</c:v>
                </c:pt>
                <c:pt idx="136">
                  <c:v>3.58033</c:v>
                </c:pt>
                <c:pt idx="137">
                  <c:v>3.57924</c:v>
                </c:pt>
                <c:pt idx="138">
                  <c:v>3.5852999999999997</c:v>
                </c:pt>
                <c:pt idx="139">
                  <c:v>3.5625200000000001</c:v>
                </c:pt>
                <c:pt idx="140">
                  <c:v>3.56915</c:v>
                </c:pt>
                <c:pt idx="141">
                  <c:v>3.5693299999999999</c:v>
                </c:pt>
                <c:pt idx="142">
                  <c:v>3.60798</c:v>
                </c:pt>
                <c:pt idx="143">
                  <c:v>3.6467299999999998</c:v>
                </c:pt>
                <c:pt idx="144">
                  <c:v>3.65977</c:v>
                </c:pt>
                <c:pt idx="145">
                  <c:v>3.6255500000000001</c:v>
                </c:pt>
                <c:pt idx="146">
                  <c:v>3.5727899999999999</c:v>
                </c:pt>
                <c:pt idx="147">
                  <c:v>3.6133300000000004</c:v>
                </c:pt>
                <c:pt idx="148">
                  <c:v>3.5324200000000001</c:v>
                </c:pt>
                <c:pt idx="149">
                  <c:v>3.58433</c:v>
                </c:pt>
                <c:pt idx="150">
                  <c:v>3.5957600000000003</c:v>
                </c:pt>
                <c:pt idx="151">
                  <c:v>3.6127800000000003</c:v>
                </c:pt>
                <c:pt idx="152">
                  <c:v>3.5972899999999997</c:v>
                </c:pt>
                <c:pt idx="153">
                  <c:v>3.5765199999999999</c:v>
                </c:pt>
                <c:pt idx="154">
                  <c:v>3.5291000000000001</c:v>
                </c:pt>
                <c:pt idx="155">
                  <c:v>3.48115</c:v>
                </c:pt>
                <c:pt idx="156">
                  <c:v>3.4201899999999998</c:v>
                </c:pt>
                <c:pt idx="157">
                  <c:v>3.4097500000000003</c:v>
                </c:pt>
                <c:pt idx="158">
                  <c:v>3.41371</c:v>
                </c:pt>
                <c:pt idx="159">
                  <c:v>3.3065699999999998</c:v>
                </c:pt>
                <c:pt idx="160">
                  <c:v>3.2416500000000004</c:v>
                </c:pt>
                <c:pt idx="161">
                  <c:v>3.1546499999999997</c:v>
                </c:pt>
                <c:pt idx="162">
                  <c:v>3.1822000000000004</c:v>
                </c:pt>
                <c:pt idx="163">
                  <c:v>3.2836700000000003</c:v>
                </c:pt>
                <c:pt idx="164">
                  <c:v>3.26993</c:v>
                </c:pt>
                <c:pt idx="165">
                  <c:v>3.2781099999999999</c:v>
                </c:pt>
                <c:pt idx="166">
                  <c:v>3.2792399999999997</c:v>
                </c:pt>
                <c:pt idx="167">
                  <c:v>3.22919</c:v>
                </c:pt>
                <c:pt idx="168">
                  <c:v>3.2758300000000005</c:v>
                </c:pt>
                <c:pt idx="169">
                  <c:v>3.1957400000000002</c:v>
                </c:pt>
                <c:pt idx="170">
                  <c:v>3.23691</c:v>
                </c:pt>
                <c:pt idx="171">
                  <c:v>3.13733</c:v>
                </c:pt>
                <c:pt idx="172">
                  <c:v>3.2535700000000003</c:v>
                </c:pt>
                <c:pt idx="173">
                  <c:v>3.2535700000000003</c:v>
                </c:pt>
                <c:pt idx="174">
                  <c:v>3.1889699999999999</c:v>
                </c:pt>
                <c:pt idx="175">
                  <c:v>3.1729700000000003</c:v>
                </c:pt>
                <c:pt idx="176">
                  <c:v>3.1801400000000002</c:v>
                </c:pt>
                <c:pt idx="177">
                  <c:v>3.1379600000000001</c:v>
                </c:pt>
                <c:pt idx="178">
                  <c:v>3.1014499999999998</c:v>
                </c:pt>
                <c:pt idx="179">
                  <c:v>3.2462999999999997</c:v>
                </c:pt>
                <c:pt idx="180">
                  <c:v>3.1824400000000002</c:v>
                </c:pt>
                <c:pt idx="181">
                  <c:v>3.1961900000000001</c:v>
                </c:pt>
                <c:pt idx="182">
                  <c:v>3.1934699999999996</c:v>
                </c:pt>
                <c:pt idx="183">
                  <c:v>3.1857699999999998</c:v>
                </c:pt>
                <c:pt idx="184">
                  <c:v>3.1794500000000001</c:v>
                </c:pt>
                <c:pt idx="185">
                  <c:v>3.1475900000000001</c:v>
                </c:pt>
                <c:pt idx="186">
                  <c:v>3.1689999999999996</c:v>
                </c:pt>
                <c:pt idx="187">
                  <c:v>3.1254199999999996</c:v>
                </c:pt>
                <c:pt idx="188">
                  <c:v>3.2145600000000001</c:v>
                </c:pt>
                <c:pt idx="189">
                  <c:v>3.1876199999999999</c:v>
                </c:pt>
                <c:pt idx="190">
                  <c:v>3.3254000000000001</c:v>
                </c:pt>
                <c:pt idx="191">
                  <c:v>3.3633899999999999</c:v>
                </c:pt>
                <c:pt idx="192">
                  <c:v>3.3443400000000003</c:v>
                </c:pt>
                <c:pt idx="193">
                  <c:v>4.2612899999999998</c:v>
                </c:pt>
                <c:pt idx="194">
                  <c:v>4.5760100000000001</c:v>
                </c:pt>
                <c:pt idx="195">
                  <c:v>4.55877</c:v>
                </c:pt>
                <c:pt idx="196">
                  <c:v>4.2644600000000006</c:v>
                </c:pt>
                <c:pt idx="197">
                  <c:v>4.0815599999999996</c:v>
                </c:pt>
                <c:pt idx="198">
                  <c:v>4.1283700000000003</c:v>
                </c:pt>
                <c:pt idx="199">
                  <c:v>4.1028899999999995</c:v>
                </c:pt>
                <c:pt idx="200">
                  <c:v>4.1012700000000004</c:v>
                </c:pt>
                <c:pt idx="201">
                  <c:v>4.0822099999999999</c:v>
                </c:pt>
                <c:pt idx="202">
                  <c:v>4.0218799999999995</c:v>
                </c:pt>
                <c:pt idx="203">
                  <c:v>4.0381</c:v>
                </c:pt>
                <c:pt idx="204">
                  <c:v>4.0638199999999998</c:v>
                </c:pt>
                <c:pt idx="205">
                  <c:v>4.1706799999999999</c:v>
                </c:pt>
                <c:pt idx="206">
                  <c:v>4.1944799999999995</c:v>
                </c:pt>
                <c:pt idx="207">
                  <c:v>4.1690399999999999</c:v>
                </c:pt>
                <c:pt idx="208">
                  <c:v>4.1135700000000002</c:v>
                </c:pt>
                <c:pt idx="209">
                  <c:v>4.1735500000000005</c:v>
                </c:pt>
                <c:pt idx="210">
                  <c:v>4.2457700000000003</c:v>
                </c:pt>
                <c:pt idx="211">
                  <c:v>4.3036799999999999</c:v>
                </c:pt>
                <c:pt idx="212">
                  <c:v>4.3067000000000002</c:v>
                </c:pt>
                <c:pt idx="213">
                  <c:v>4.44773</c:v>
                </c:pt>
                <c:pt idx="214">
                  <c:v>4.4968900000000005</c:v>
                </c:pt>
                <c:pt idx="215">
                  <c:v>4.5446300000000006</c:v>
                </c:pt>
                <c:pt idx="216">
                  <c:v>4.62141</c:v>
                </c:pt>
                <c:pt idx="217">
                  <c:v>4.7405900000000001</c:v>
                </c:pt>
                <c:pt idx="218">
                  <c:v>4.8166899999999995</c:v>
                </c:pt>
                <c:pt idx="219">
                  <c:v>4.5529000000000002</c:v>
                </c:pt>
                <c:pt idx="220">
                  <c:v>4.5093899999999998</c:v>
                </c:pt>
                <c:pt idx="221">
                  <c:v>4.45817</c:v>
                </c:pt>
                <c:pt idx="222">
                  <c:v>4.3535300000000001</c:v>
                </c:pt>
                <c:pt idx="223">
                  <c:v>4.0021300000000002</c:v>
                </c:pt>
                <c:pt idx="224">
                  <c:v>3.48142</c:v>
                </c:pt>
                <c:pt idx="225">
                  <c:v>3.5032299999999998</c:v>
                </c:pt>
                <c:pt idx="226">
                  <c:v>3.4840100000000001</c:v>
                </c:pt>
                <c:pt idx="227">
                  <c:v>3.5190499999999996</c:v>
                </c:pt>
                <c:pt idx="228">
                  <c:v>3.4093200000000001</c:v>
                </c:pt>
                <c:pt idx="229">
                  <c:v>3.5037599999999998</c:v>
                </c:pt>
                <c:pt idx="230">
                  <c:v>3.49586</c:v>
                </c:pt>
                <c:pt idx="231">
                  <c:v>3.5369000000000002</c:v>
                </c:pt>
                <c:pt idx="232">
                  <c:v>3.5538099999999999</c:v>
                </c:pt>
                <c:pt idx="233">
                  <c:v>3.6341399999999999</c:v>
                </c:pt>
                <c:pt idx="234">
                  <c:v>3.5356400000000003</c:v>
                </c:pt>
                <c:pt idx="235">
                  <c:v>3.5569000000000002</c:v>
                </c:pt>
                <c:pt idx="236">
                  <c:v>3.62601</c:v>
                </c:pt>
                <c:pt idx="237">
                  <c:v>3.5594099999999997</c:v>
                </c:pt>
                <c:pt idx="238">
                  <c:v>3.60276</c:v>
                </c:pt>
                <c:pt idx="239">
                  <c:v>3.5872000000000002</c:v>
                </c:pt>
                <c:pt idx="240">
                  <c:v>3.6068000000000002</c:v>
                </c:pt>
                <c:pt idx="241">
                  <c:v>3.4394999999999998</c:v>
                </c:pt>
                <c:pt idx="242">
                  <c:v>3.00983</c:v>
                </c:pt>
                <c:pt idx="243">
                  <c:v>3.0683800000000003</c:v>
                </c:pt>
                <c:pt idx="244">
                  <c:v>3.07334</c:v>
                </c:pt>
                <c:pt idx="245">
                  <c:v>3.0583300000000002</c:v>
                </c:pt>
                <c:pt idx="246">
                  <c:v>3.1620900000000001</c:v>
                </c:pt>
                <c:pt idx="247">
                  <c:v>3.18621</c:v>
                </c:pt>
                <c:pt idx="248">
                  <c:v>3.2034400000000001</c:v>
                </c:pt>
                <c:pt idx="249">
                  <c:v>3.1088400000000003</c:v>
                </c:pt>
                <c:pt idx="250">
                  <c:v>3.0331400000000004</c:v>
                </c:pt>
                <c:pt idx="251">
                  <c:v>2.9569099999999997</c:v>
                </c:pt>
                <c:pt idx="252">
                  <c:v>2.9670800000000002</c:v>
                </c:pt>
                <c:pt idx="253">
                  <c:v>3.04637</c:v>
                </c:pt>
                <c:pt idx="254">
                  <c:v>2.9947900000000001</c:v>
                </c:pt>
                <c:pt idx="255">
                  <c:v>2.9796199999999997</c:v>
                </c:pt>
                <c:pt idx="256">
                  <c:v>2.8973899999999997</c:v>
                </c:pt>
                <c:pt idx="257">
                  <c:v>2.8973899999999997</c:v>
                </c:pt>
                <c:pt idx="258">
                  <c:v>2.8973899999999997</c:v>
                </c:pt>
                <c:pt idx="259">
                  <c:v>2.8551299999999999</c:v>
                </c:pt>
                <c:pt idx="260">
                  <c:v>2.83507</c:v>
                </c:pt>
                <c:pt idx="261">
                  <c:v>2.84999</c:v>
                </c:pt>
                <c:pt idx="262">
                  <c:v>2.84999</c:v>
                </c:pt>
                <c:pt idx="263">
                  <c:v>2.83026</c:v>
                </c:pt>
                <c:pt idx="264">
                  <c:v>2.7719400000000003</c:v>
                </c:pt>
                <c:pt idx="265">
                  <c:v>2.7272000000000003</c:v>
                </c:pt>
                <c:pt idx="266">
                  <c:v>2.7063999999999999</c:v>
                </c:pt>
                <c:pt idx="267">
                  <c:v>2.6563400000000001</c:v>
                </c:pt>
                <c:pt idx="268">
                  <c:v>2.6425599999999996</c:v>
                </c:pt>
                <c:pt idx="269">
                  <c:v>2.63748</c:v>
                </c:pt>
                <c:pt idx="270">
                  <c:v>2.5964200000000002</c:v>
                </c:pt>
                <c:pt idx="271">
                  <c:v>2.4563199999999998</c:v>
                </c:pt>
                <c:pt idx="272">
                  <c:v>2.3912</c:v>
                </c:pt>
                <c:pt idx="273">
                  <c:v>2.4177300000000002</c:v>
                </c:pt>
                <c:pt idx="274">
                  <c:v>2.4197000000000002</c:v>
                </c:pt>
                <c:pt idx="275">
                  <c:v>2.4509600000000002</c:v>
                </c:pt>
                <c:pt idx="276">
                  <c:v>2.41893</c:v>
                </c:pt>
                <c:pt idx="277">
                  <c:v>2.4547099999999999</c:v>
                </c:pt>
                <c:pt idx="278">
                  <c:v>2.6194299999999999</c:v>
                </c:pt>
                <c:pt idx="279">
                  <c:v>2.5180899999999999</c:v>
                </c:pt>
                <c:pt idx="280">
                  <c:v>2.6387</c:v>
                </c:pt>
                <c:pt idx="281">
                  <c:v>2.5921400000000001</c:v>
                </c:pt>
                <c:pt idx="282">
                  <c:v>2.5949599999999999</c:v>
                </c:pt>
                <c:pt idx="283">
                  <c:v>2.6556500000000001</c:v>
                </c:pt>
                <c:pt idx="284">
                  <c:v>2.6566000000000001</c:v>
                </c:pt>
                <c:pt idx="285">
                  <c:v>2.60467</c:v>
                </c:pt>
                <c:pt idx="286">
                  <c:v>2.6760700000000002</c:v>
                </c:pt>
                <c:pt idx="287">
                  <c:v>2.6442899999999998</c:v>
                </c:pt>
                <c:pt idx="288">
                  <c:v>2.65354</c:v>
                </c:pt>
                <c:pt idx="289">
                  <c:v>2.73909</c:v>
                </c:pt>
                <c:pt idx="290">
                  <c:v>2.7401400000000002</c:v>
                </c:pt>
                <c:pt idx="291">
                  <c:v>2.77976</c:v>
                </c:pt>
                <c:pt idx="292">
                  <c:v>2.77902</c:v>
                </c:pt>
                <c:pt idx="293">
                  <c:v>2.8184500000000003</c:v>
                </c:pt>
                <c:pt idx="294">
                  <c:v>2.8595299999999999</c:v>
                </c:pt>
                <c:pt idx="295">
                  <c:v>2.9311900000000004</c:v>
                </c:pt>
                <c:pt idx="296">
                  <c:v>2.9389400000000001</c:v>
                </c:pt>
                <c:pt idx="297">
                  <c:v>2.88747</c:v>
                </c:pt>
                <c:pt idx="298">
                  <c:v>2.9359300000000004</c:v>
                </c:pt>
                <c:pt idx="299">
                  <c:v>2.9451299999999998</c:v>
                </c:pt>
                <c:pt idx="300">
                  <c:v>2.9074800000000001</c:v>
                </c:pt>
                <c:pt idx="301">
                  <c:v>3.2785099999999998</c:v>
                </c:pt>
                <c:pt idx="302">
                  <c:v>3.2042599999999997</c:v>
                </c:pt>
                <c:pt idx="303">
                  <c:v>3.2022699999999999</c:v>
                </c:pt>
                <c:pt idx="304">
                  <c:v>3.2845800000000001</c:v>
                </c:pt>
                <c:pt idx="305">
                  <c:v>3.1831999999999998</c:v>
                </c:pt>
                <c:pt idx="306">
                  <c:v>3.21759</c:v>
                </c:pt>
                <c:pt idx="307">
                  <c:v>3.31419</c:v>
                </c:pt>
                <c:pt idx="308">
                  <c:v>3.3776999999999999</c:v>
                </c:pt>
                <c:pt idx="309">
                  <c:v>3.3266800000000001</c:v>
                </c:pt>
                <c:pt idx="310">
                  <c:v>3.3518500000000002</c:v>
                </c:pt>
                <c:pt idx="311">
                  <c:v>3.2787999999999999</c:v>
                </c:pt>
                <c:pt idx="312">
                  <c:v>3.2583600000000001</c:v>
                </c:pt>
                <c:pt idx="313">
                  <c:v>3.2419199999999999</c:v>
                </c:pt>
                <c:pt idx="314">
                  <c:v>3.2052499999999999</c:v>
                </c:pt>
                <c:pt idx="315">
                  <c:v>3.3919700000000002</c:v>
                </c:pt>
                <c:pt idx="316">
                  <c:v>3.45567</c:v>
                </c:pt>
                <c:pt idx="317">
                  <c:v>3.4133200000000001</c:v>
                </c:pt>
                <c:pt idx="318">
                  <c:v>3.47418</c:v>
                </c:pt>
                <c:pt idx="319">
                  <c:v>3.49051</c:v>
                </c:pt>
                <c:pt idx="320">
                  <c:v>3.5009699999999997</c:v>
                </c:pt>
                <c:pt idx="321">
                  <c:v>3.5038400000000003</c:v>
                </c:pt>
                <c:pt idx="322">
                  <c:v>3.4491000000000001</c:v>
                </c:pt>
                <c:pt idx="323">
                  <c:v>3.4088699999999998</c:v>
                </c:pt>
                <c:pt idx="324">
                  <c:v>3.4126499999999997</c:v>
                </c:pt>
                <c:pt idx="325">
                  <c:v>3.3776700000000002</c:v>
                </c:pt>
                <c:pt idx="326">
                  <c:v>3.3879999999999999</c:v>
                </c:pt>
                <c:pt idx="327">
                  <c:v>3.3879999999999999</c:v>
                </c:pt>
                <c:pt idx="328">
                  <c:v>3.3879999999999999</c:v>
                </c:pt>
                <c:pt idx="329">
                  <c:v>3.2984399999999998</c:v>
                </c:pt>
                <c:pt idx="330">
                  <c:v>3.3277699999999997</c:v>
                </c:pt>
                <c:pt idx="331">
                  <c:v>3.3539299999999996</c:v>
                </c:pt>
                <c:pt idx="332">
                  <c:v>3.2992300000000001</c:v>
                </c:pt>
                <c:pt idx="333">
                  <c:v>3.2917000000000001</c:v>
                </c:pt>
                <c:pt idx="334">
                  <c:v>3.2842599999999997</c:v>
                </c:pt>
                <c:pt idx="335">
                  <c:v>3.3097500000000002</c:v>
                </c:pt>
                <c:pt idx="336">
                  <c:v>3.32822</c:v>
                </c:pt>
                <c:pt idx="337">
                  <c:v>3.3182799999999997</c:v>
                </c:pt>
                <c:pt idx="338">
                  <c:v>3.2888500000000001</c:v>
                </c:pt>
                <c:pt idx="339">
                  <c:v>3.2685899999999997</c:v>
                </c:pt>
                <c:pt idx="340">
                  <c:v>3.2714999999999996</c:v>
                </c:pt>
                <c:pt idx="341">
                  <c:v>3.24702</c:v>
                </c:pt>
                <c:pt idx="342">
                  <c:v>3.2581700000000002</c:v>
                </c:pt>
                <c:pt idx="343">
                  <c:v>3.2035</c:v>
                </c:pt>
                <c:pt idx="344">
                  <c:v>3.17625</c:v>
                </c:pt>
                <c:pt idx="345">
                  <c:v>3.2614900000000002</c:v>
                </c:pt>
                <c:pt idx="346">
                  <c:v>3.2716000000000003</c:v>
                </c:pt>
                <c:pt idx="347">
                  <c:v>3.2848200000000003</c:v>
                </c:pt>
                <c:pt idx="348">
                  <c:v>3.2848200000000003</c:v>
                </c:pt>
                <c:pt idx="349">
                  <c:v>3.3122799999999999</c:v>
                </c:pt>
                <c:pt idx="350">
                  <c:v>3.1513900000000001</c:v>
                </c:pt>
                <c:pt idx="351">
                  <c:v>3.0332499999999998</c:v>
                </c:pt>
                <c:pt idx="352">
                  <c:v>2.87385</c:v>
                </c:pt>
                <c:pt idx="353">
                  <c:v>2.8301499999999997</c:v>
                </c:pt>
                <c:pt idx="354">
                  <c:v>2.9152300000000002</c:v>
                </c:pt>
                <c:pt idx="355">
                  <c:v>2.8899500000000002</c:v>
                </c:pt>
                <c:pt idx="356">
                  <c:v>2.9045399999999999</c:v>
                </c:pt>
                <c:pt idx="357">
                  <c:v>2.91865</c:v>
                </c:pt>
                <c:pt idx="358">
                  <c:v>2.9590800000000002</c:v>
                </c:pt>
                <c:pt idx="359">
                  <c:v>2.9363600000000001</c:v>
                </c:pt>
                <c:pt idx="360">
                  <c:v>2.8584800000000001</c:v>
                </c:pt>
                <c:pt idx="361">
                  <c:v>2.93574</c:v>
                </c:pt>
                <c:pt idx="362">
                  <c:v>2.9285899999999998</c:v>
                </c:pt>
                <c:pt idx="363">
                  <c:v>2.9451299999999998</c:v>
                </c:pt>
                <c:pt idx="364">
                  <c:v>2.94983</c:v>
                </c:pt>
                <c:pt idx="365">
                  <c:v>2.9536700000000002</c:v>
                </c:pt>
                <c:pt idx="366">
                  <c:v>2.9439100000000002</c:v>
                </c:pt>
                <c:pt idx="367">
                  <c:v>2.9498700000000002</c:v>
                </c:pt>
                <c:pt idx="368">
                  <c:v>2.9498700000000002</c:v>
                </c:pt>
                <c:pt idx="369">
                  <c:v>2.9679899999999999</c:v>
                </c:pt>
                <c:pt idx="370">
                  <c:v>2.9524699999999999</c:v>
                </c:pt>
                <c:pt idx="371">
                  <c:v>2.9184500000000004</c:v>
                </c:pt>
                <c:pt idx="372">
                  <c:v>2.9620899999999999</c:v>
                </c:pt>
                <c:pt idx="373">
                  <c:v>2.9576600000000002</c:v>
                </c:pt>
                <c:pt idx="374">
                  <c:v>3.0043299999999999</c:v>
                </c:pt>
                <c:pt idx="375">
                  <c:v>2.9546100000000002</c:v>
                </c:pt>
                <c:pt idx="376">
                  <c:v>2.8875599999999997</c:v>
                </c:pt>
                <c:pt idx="377">
                  <c:v>2.84348</c:v>
                </c:pt>
                <c:pt idx="378">
                  <c:v>2.83954</c:v>
                </c:pt>
                <c:pt idx="379">
                  <c:v>2.8419400000000001</c:v>
                </c:pt>
                <c:pt idx="380">
                  <c:v>2.81372</c:v>
                </c:pt>
                <c:pt idx="381">
                  <c:v>2.80301</c:v>
                </c:pt>
                <c:pt idx="382">
                  <c:v>2.81046</c:v>
                </c:pt>
                <c:pt idx="383">
                  <c:v>2.7508999999999997</c:v>
                </c:pt>
                <c:pt idx="384">
                  <c:v>2.6792099999999999</c:v>
                </c:pt>
                <c:pt idx="385">
                  <c:v>2.7357400000000003</c:v>
                </c:pt>
                <c:pt idx="386">
                  <c:v>2.5428299999999999</c:v>
                </c:pt>
                <c:pt idx="387">
                  <c:v>2.63822</c:v>
                </c:pt>
                <c:pt idx="388">
                  <c:v>2.54508</c:v>
                </c:pt>
                <c:pt idx="389">
                  <c:v>2.5514799999999997</c:v>
                </c:pt>
                <c:pt idx="390">
                  <c:v>2.53389</c:v>
                </c:pt>
                <c:pt idx="391">
                  <c:v>2.3795099999999998</c:v>
                </c:pt>
                <c:pt idx="392">
                  <c:v>2.45865</c:v>
                </c:pt>
                <c:pt idx="393">
                  <c:v>2.4207800000000002</c:v>
                </c:pt>
                <c:pt idx="394">
                  <c:v>2.5047000000000001</c:v>
                </c:pt>
                <c:pt idx="395">
                  <c:v>2.5322399999999998</c:v>
                </c:pt>
                <c:pt idx="396">
                  <c:v>2.5562899999999997</c:v>
                </c:pt>
                <c:pt idx="397">
                  <c:v>2.5099800000000001</c:v>
                </c:pt>
                <c:pt idx="398">
                  <c:v>2.5183300000000002</c:v>
                </c:pt>
                <c:pt idx="399">
                  <c:v>2.4238300000000002</c:v>
                </c:pt>
                <c:pt idx="400">
                  <c:v>2.5194700000000001</c:v>
                </c:pt>
                <c:pt idx="401">
                  <c:v>2.49146</c:v>
                </c:pt>
                <c:pt idx="402">
                  <c:v>2.53315</c:v>
                </c:pt>
                <c:pt idx="403">
                  <c:v>2.5258699999999998</c:v>
                </c:pt>
                <c:pt idx="404">
                  <c:v>2.57734</c:v>
                </c:pt>
                <c:pt idx="405">
                  <c:v>2.5060199999999999</c:v>
                </c:pt>
                <c:pt idx="406">
                  <c:v>2.5251900000000003</c:v>
                </c:pt>
                <c:pt idx="407">
                  <c:v>2.52006</c:v>
                </c:pt>
                <c:pt idx="408">
                  <c:v>2.5067900000000001</c:v>
                </c:pt>
                <c:pt idx="409">
                  <c:v>2.49248</c:v>
                </c:pt>
                <c:pt idx="410">
                  <c:v>2.48312</c:v>
                </c:pt>
                <c:pt idx="411">
                  <c:v>2.4671600000000002</c:v>
                </c:pt>
                <c:pt idx="412">
                  <c:v>2.5079799999999999</c:v>
                </c:pt>
                <c:pt idx="413">
                  <c:v>2.5399700000000003</c:v>
                </c:pt>
                <c:pt idx="414">
                  <c:v>2.4941200000000001</c:v>
                </c:pt>
                <c:pt idx="415">
                  <c:v>2.4313099999999999</c:v>
                </c:pt>
                <c:pt idx="416">
                  <c:v>2.3862700000000001</c:v>
                </c:pt>
                <c:pt idx="417">
                  <c:v>2.33053</c:v>
                </c:pt>
                <c:pt idx="418">
                  <c:v>2.34531</c:v>
                </c:pt>
                <c:pt idx="419">
                  <c:v>2.41465</c:v>
                </c:pt>
                <c:pt idx="420">
                  <c:v>2.4412700000000003</c:v>
                </c:pt>
                <c:pt idx="421">
                  <c:v>2.4442599999999999</c:v>
                </c:pt>
                <c:pt idx="422">
                  <c:v>2.40774</c:v>
                </c:pt>
                <c:pt idx="423">
                  <c:v>2.4554400000000003</c:v>
                </c:pt>
                <c:pt idx="424">
                  <c:v>2.44591</c:v>
                </c:pt>
                <c:pt idx="425">
                  <c:v>2.4270900000000002</c:v>
                </c:pt>
                <c:pt idx="426">
                  <c:v>2.4463900000000001</c:v>
                </c:pt>
                <c:pt idx="427">
                  <c:v>2.38707</c:v>
                </c:pt>
                <c:pt idx="428">
                  <c:v>2.2851400000000002</c:v>
                </c:pt>
                <c:pt idx="429">
                  <c:v>2.2503899999999999</c:v>
                </c:pt>
                <c:pt idx="430">
                  <c:v>2.2038199999999999</c:v>
                </c:pt>
                <c:pt idx="431">
                  <c:v>2.16012</c:v>
                </c:pt>
                <c:pt idx="432">
                  <c:v>2.1652</c:v>
                </c:pt>
                <c:pt idx="433">
                  <c:v>2.1652</c:v>
                </c:pt>
                <c:pt idx="434">
                  <c:v>2.1614300000000002</c:v>
                </c:pt>
                <c:pt idx="435">
                  <c:v>2.1033500000000003</c:v>
                </c:pt>
                <c:pt idx="436">
                  <c:v>2.0390899999999998</c:v>
                </c:pt>
                <c:pt idx="437">
                  <c:v>2.03546</c:v>
                </c:pt>
                <c:pt idx="438">
                  <c:v>2.0171199999999998</c:v>
                </c:pt>
                <c:pt idx="439">
                  <c:v>2.00949</c:v>
                </c:pt>
                <c:pt idx="440">
                  <c:v>2.0150999999999999</c:v>
                </c:pt>
                <c:pt idx="441">
                  <c:v>2.0003100000000003</c:v>
                </c:pt>
                <c:pt idx="442">
                  <c:v>1.8906200000000002</c:v>
                </c:pt>
                <c:pt idx="443">
                  <c:v>1.96061</c:v>
                </c:pt>
                <c:pt idx="444">
                  <c:v>1.9104099999999999</c:v>
                </c:pt>
                <c:pt idx="445">
                  <c:v>1.8746</c:v>
                </c:pt>
                <c:pt idx="446">
                  <c:v>1.8809800000000001</c:v>
                </c:pt>
                <c:pt idx="447">
                  <c:v>1.8297800000000002</c:v>
                </c:pt>
                <c:pt idx="448">
                  <c:v>1.8661799999999999</c:v>
                </c:pt>
                <c:pt idx="449">
                  <c:v>1.88466</c:v>
                </c:pt>
                <c:pt idx="450">
                  <c:v>1.9424199999999998</c:v>
                </c:pt>
                <c:pt idx="451">
                  <c:v>1.7988300000000002</c:v>
                </c:pt>
                <c:pt idx="452">
                  <c:v>1.91394</c:v>
                </c:pt>
                <c:pt idx="453">
                  <c:v>1.9331399999999999</c:v>
                </c:pt>
                <c:pt idx="454">
                  <c:v>1.9878499999999999</c:v>
                </c:pt>
                <c:pt idx="455">
                  <c:v>2.0474100000000002</c:v>
                </c:pt>
                <c:pt idx="456">
                  <c:v>2.0664799999999999</c:v>
                </c:pt>
                <c:pt idx="457">
                  <c:v>2.1705399999999999</c:v>
                </c:pt>
                <c:pt idx="458">
                  <c:v>2.2295599999999998</c:v>
                </c:pt>
                <c:pt idx="459">
                  <c:v>2.2271199999999998</c:v>
                </c:pt>
                <c:pt idx="460">
                  <c:v>2.2364799999999998</c:v>
                </c:pt>
                <c:pt idx="461">
                  <c:v>2.1903999999999999</c:v>
                </c:pt>
                <c:pt idx="462">
                  <c:v>2.16981</c:v>
                </c:pt>
                <c:pt idx="463">
                  <c:v>2.1356999999999999</c:v>
                </c:pt>
                <c:pt idx="464">
                  <c:v>2.1256599999999999</c:v>
                </c:pt>
                <c:pt idx="465">
                  <c:v>2.05308</c:v>
                </c:pt>
                <c:pt idx="466">
                  <c:v>1.9055099999999998</c:v>
                </c:pt>
                <c:pt idx="467">
                  <c:v>1.7738900000000002</c:v>
                </c:pt>
                <c:pt idx="468">
                  <c:v>1.7571199999999998</c:v>
                </c:pt>
                <c:pt idx="469">
                  <c:v>1.7713300000000001</c:v>
                </c:pt>
                <c:pt idx="470">
                  <c:v>1.7767900000000001</c:v>
                </c:pt>
                <c:pt idx="471">
                  <c:v>1.75149</c:v>
                </c:pt>
                <c:pt idx="472">
                  <c:v>1.7342299999999999</c:v>
                </c:pt>
                <c:pt idx="473">
                  <c:v>1.73034</c:v>
                </c:pt>
                <c:pt idx="474">
                  <c:v>1.7545200000000001</c:v>
                </c:pt>
                <c:pt idx="475">
                  <c:v>1.1887399999999999</c:v>
                </c:pt>
                <c:pt idx="476">
                  <c:v>1.7242599999999999</c:v>
                </c:pt>
                <c:pt idx="477">
                  <c:v>1.1964700000000001</c:v>
                </c:pt>
                <c:pt idx="478">
                  <c:v>1.9295900000000001</c:v>
                </c:pt>
                <c:pt idx="479">
                  <c:v>1.99007</c:v>
                </c:pt>
                <c:pt idx="480">
                  <c:v>1.9476100000000001</c:v>
                </c:pt>
                <c:pt idx="481">
                  <c:v>2.0501100000000001</c:v>
                </c:pt>
                <c:pt idx="482">
                  <c:v>1.9979900000000002</c:v>
                </c:pt>
                <c:pt idx="483">
                  <c:v>1.9412799999999999</c:v>
                </c:pt>
                <c:pt idx="484">
                  <c:v>1.96299</c:v>
                </c:pt>
                <c:pt idx="485">
                  <c:v>1.9281899999999998</c:v>
                </c:pt>
                <c:pt idx="486">
                  <c:v>1.86076</c:v>
                </c:pt>
                <c:pt idx="487">
                  <c:v>1.8740600000000001</c:v>
                </c:pt>
                <c:pt idx="488">
                  <c:v>1.8952500000000001</c:v>
                </c:pt>
                <c:pt idx="489">
                  <c:v>1.9382599999999999</c:v>
                </c:pt>
                <c:pt idx="490">
                  <c:v>1.9950399999999999</c:v>
                </c:pt>
                <c:pt idx="491">
                  <c:v>1.98482</c:v>
                </c:pt>
                <c:pt idx="492">
                  <c:v>1.9703299999999999</c:v>
                </c:pt>
                <c:pt idx="493">
                  <c:v>1.9231299999999998</c:v>
                </c:pt>
                <c:pt idx="494">
                  <c:v>2.0788099999999998</c:v>
                </c:pt>
                <c:pt idx="495">
                  <c:v>2.0350200000000003</c:v>
                </c:pt>
                <c:pt idx="496">
                  <c:v>2.0829599999999999</c:v>
                </c:pt>
                <c:pt idx="497">
                  <c:v>2.2760599999999998</c:v>
                </c:pt>
                <c:pt idx="498">
                  <c:v>2.19421</c:v>
                </c:pt>
                <c:pt idx="499">
                  <c:v>2.2818799999999997</c:v>
                </c:pt>
                <c:pt idx="500">
                  <c:v>2.24227</c:v>
                </c:pt>
                <c:pt idx="501">
                  <c:v>2.2231999999999998</c:v>
                </c:pt>
                <c:pt idx="502">
                  <c:v>2.2334399999999999</c:v>
                </c:pt>
                <c:pt idx="503">
                  <c:v>2.2657799999999999</c:v>
                </c:pt>
                <c:pt idx="504">
                  <c:v>2.1771100000000003</c:v>
                </c:pt>
                <c:pt idx="505">
                  <c:v>2.15456</c:v>
                </c:pt>
                <c:pt idx="506">
                  <c:v>2.1967500000000002</c:v>
                </c:pt>
                <c:pt idx="507">
                  <c:v>2.2311700000000001</c:v>
                </c:pt>
                <c:pt idx="508">
                  <c:v>2.2443499999999998</c:v>
                </c:pt>
                <c:pt idx="509">
                  <c:v>2.18946</c:v>
                </c:pt>
                <c:pt idx="510">
                  <c:v>2.2484999999999999</c:v>
                </c:pt>
                <c:pt idx="511">
                  <c:v>2.2805900000000001</c:v>
                </c:pt>
                <c:pt idx="512">
                  <c:v>2.28586</c:v>
                </c:pt>
                <c:pt idx="513">
                  <c:v>2.2999499999999999</c:v>
                </c:pt>
                <c:pt idx="514">
                  <c:v>2.29596</c:v>
                </c:pt>
                <c:pt idx="515">
                  <c:v>2.22688</c:v>
                </c:pt>
                <c:pt idx="516">
                  <c:v>2.2669600000000001</c:v>
                </c:pt>
                <c:pt idx="517">
                  <c:v>2.1954599999999997</c:v>
                </c:pt>
                <c:pt idx="518">
                  <c:v>2.1954599999999997</c:v>
                </c:pt>
                <c:pt idx="519">
                  <c:v>2.1954599999999997</c:v>
                </c:pt>
                <c:pt idx="520">
                  <c:v>2.2451499999999998</c:v>
                </c:pt>
                <c:pt idx="521">
                  <c:v>2.2543899999999999</c:v>
                </c:pt>
                <c:pt idx="522">
                  <c:v>2.2367699999999999</c:v>
                </c:pt>
                <c:pt idx="523">
                  <c:v>2.2367699999999999</c:v>
                </c:pt>
                <c:pt idx="524">
                  <c:v>2.26173</c:v>
                </c:pt>
                <c:pt idx="525">
                  <c:v>2.2271399999999999</c:v>
                </c:pt>
                <c:pt idx="526">
                  <c:v>2.2277</c:v>
                </c:pt>
                <c:pt idx="527">
                  <c:v>2.3199299999999998</c:v>
                </c:pt>
                <c:pt idx="528">
                  <c:v>2.24126</c:v>
                </c:pt>
                <c:pt idx="529">
                  <c:v>2.2431299999999998</c:v>
                </c:pt>
                <c:pt idx="530">
                  <c:v>2.28138</c:v>
                </c:pt>
                <c:pt idx="531">
                  <c:v>2.27521</c:v>
                </c:pt>
                <c:pt idx="532">
                  <c:v>2.2433800000000002</c:v>
                </c:pt>
                <c:pt idx="533">
                  <c:v>2.2196500000000001</c:v>
                </c:pt>
                <c:pt idx="534">
                  <c:v>2.3856899999999999</c:v>
                </c:pt>
                <c:pt idx="535">
                  <c:v>2.3886099999999999</c:v>
                </c:pt>
                <c:pt idx="536">
                  <c:v>2.3266900000000001</c:v>
                </c:pt>
                <c:pt idx="537">
                  <c:v>2.3484700000000003</c:v>
                </c:pt>
                <c:pt idx="538">
                  <c:v>2.4581599999999999</c:v>
                </c:pt>
                <c:pt idx="539">
                  <c:v>2.4218100000000002</c:v>
                </c:pt>
                <c:pt idx="540">
                  <c:v>2.4079600000000001</c:v>
                </c:pt>
                <c:pt idx="541">
                  <c:v>2.5264799999999998</c:v>
                </c:pt>
                <c:pt idx="542">
                  <c:v>2.4904799999999998</c:v>
                </c:pt>
                <c:pt idx="543">
                  <c:v>2.49865</c:v>
                </c:pt>
                <c:pt idx="544">
                  <c:v>2.5196199999999997</c:v>
                </c:pt>
                <c:pt idx="545">
                  <c:v>2.5208500000000003</c:v>
                </c:pt>
                <c:pt idx="546">
                  <c:v>2.4933299999999998</c:v>
                </c:pt>
                <c:pt idx="547">
                  <c:v>2.4350999999999998</c:v>
                </c:pt>
                <c:pt idx="548">
                  <c:v>2.5089199999999998</c:v>
                </c:pt>
                <c:pt idx="549">
                  <c:v>2.4993700000000003</c:v>
                </c:pt>
                <c:pt idx="550">
                  <c:v>2.43662</c:v>
                </c:pt>
                <c:pt idx="551">
                  <c:v>2.4508799999999997</c:v>
                </c:pt>
                <c:pt idx="552">
                  <c:v>2.5356299999999998</c:v>
                </c:pt>
                <c:pt idx="553">
                  <c:v>2.6017399999999999</c:v>
                </c:pt>
                <c:pt idx="554">
                  <c:v>2.6160300000000003</c:v>
                </c:pt>
                <c:pt idx="555">
                  <c:v>2.6282000000000001</c:v>
                </c:pt>
                <c:pt idx="556">
                  <c:v>2.69014</c:v>
                </c:pt>
                <c:pt idx="557">
                  <c:v>2.7256799999999997</c:v>
                </c:pt>
                <c:pt idx="558">
                  <c:v>2.7044600000000001</c:v>
                </c:pt>
                <c:pt idx="559">
                  <c:v>2.79806</c:v>
                </c:pt>
                <c:pt idx="560">
                  <c:v>2.7662599999999999</c:v>
                </c:pt>
                <c:pt idx="561">
                  <c:v>3.1890199999999997</c:v>
                </c:pt>
                <c:pt idx="562">
                  <c:v>2.9618200000000003</c:v>
                </c:pt>
                <c:pt idx="563">
                  <c:v>3.40205</c:v>
                </c:pt>
                <c:pt idx="564">
                  <c:v>4.1705800000000002</c:v>
                </c:pt>
                <c:pt idx="565">
                  <c:v>3.5303699999999996</c:v>
                </c:pt>
                <c:pt idx="566">
                  <c:v>4.0788099999999998</c:v>
                </c:pt>
                <c:pt idx="567">
                  <c:v>5.45092</c:v>
                </c:pt>
                <c:pt idx="568">
                  <c:v>6.0208599999999999</c:v>
                </c:pt>
                <c:pt idx="569">
                  <c:v>6.9082299999999996</c:v>
                </c:pt>
                <c:pt idx="570">
                  <c:v>7.4928599999999994</c:v>
                </c:pt>
                <c:pt idx="571">
                  <c:v>7.4293499999999995</c:v>
                </c:pt>
                <c:pt idx="572">
                  <c:v>7.5011599999999996</c:v>
                </c:pt>
                <c:pt idx="573">
                  <c:v>5.9519399999999996</c:v>
                </c:pt>
                <c:pt idx="574">
                  <c:v>5.9226599999999996</c:v>
                </c:pt>
                <c:pt idx="575">
                  <c:v>5.3771799999999992</c:v>
                </c:pt>
                <c:pt idx="576">
                  <c:v>5.5852200000000005</c:v>
                </c:pt>
                <c:pt idx="577">
                  <c:v>5.5207600000000001</c:v>
                </c:pt>
                <c:pt idx="578">
                  <c:v>4.9899000000000004</c:v>
                </c:pt>
                <c:pt idx="579">
                  <c:v>5.0343400000000003</c:v>
                </c:pt>
                <c:pt idx="580">
                  <c:v>5.0437700000000003</c:v>
                </c:pt>
                <c:pt idx="581">
                  <c:v>5.0941999999999998</c:v>
                </c:pt>
                <c:pt idx="582">
                  <c:v>4.81243</c:v>
                </c:pt>
                <c:pt idx="583">
                  <c:v>4.9851900000000002</c:v>
                </c:pt>
                <c:pt idx="584">
                  <c:v>4.9350300000000002</c:v>
                </c:pt>
                <c:pt idx="585">
                  <c:v>4.8435100000000002</c:v>
                </c:pt>
                <c:pt idx="586">
                  <c:v>4.9011700000000005</c:v>
                </c:pt>
                <c:pt idx="587">
                  <c:v>4.78308</c:v>
                </c:pt>
                <c:pt idx="588">
                  <c:v>4.79575</c:v>
                </c:pt>
                <c:pt idx="589">
                  <c:v>4.7033199999999997</c:v>
                </c:pt>
                <c:pt idx="590">
                  <c:v>4.8559000000000001</c:v>
                </c:pt>
                <c:pt idx="591">
                  <c:v>4.9384500000000005</c:v>
                </c:pt>
                <c:pt idx="592">
                  <c:v>4.8439999999999994</c:v>
                </c:pt>
                <c:pt idx="593">
                  <c:v>4.8574200000000003</c:v>
                </c:pt>
                <c:pt idx="594">
                  <c:v>4.8968299999999996</c:v>
                </c:pt>
                <c:pt idx="595">
                  <c:v>5.0629900000000001</c:v>
                </c:pt>
                <c:pt idx="596">
                  <c:v>4.9945399999999998</c:v>
                </c:pt>
                <c:pt idx="597">
                  <c:v>4.9945399999999998</c:v>
                </c:pt>
                <c:pt idx="598">
                  <c:v>4.9945399999999998</c:v>
                </c:pt>
                <c:pt idx="599">
                  <c:v>4.6792499999999997</c:v>
                </c:pt>
                <c:pt idx="600">
                  <c:v>4.7240399999999996</c:v>
                </c:pt>
                <c:pt idx="601">
                  <c:v>4.60222</c:v>
                </c:pt>
                <c:pt idx="602">
                  <c:v>4.7334500000000004</c:v>
                </c:pt>
                <c:pt idx="603">
                  <c:v>4.9345699999999999</c:v>
                </c:pt>
                <c:pt idx="604">
                  <c:v>4.9757299999999995</c:v>
                </c:pt>
                <c:pt idx="605">
                  <c:v>4.9638499999999999</c:v>
                </c:pt>
                <c:pt idx="606">
                  <c:v>5.0329100000000002</c:v>
                </c:pt>
                <c:pt idx="607">
                  <c:v>4.9652099999999999</c:v>
                </c:pt>
                <c:pt idx="608">
                  <c:v>4.9652099999999999</c:v>
                </c:pt>
                <c:pt idx="609">
                  <c:v>4.9614900000000004</c:v>
                </c:pt>
                <c:pt idx="610">
                  <c:v>5.0156099999999997</c:v>
                </c:pt>
                <c:pt idx="611">
                  <c:v>5.0481199999999999</c:v>
                </c:pt>
                <c:pt idx="612">
                  <c:v>5.0705999999999998</c:v>
                </c:pt>
                <c:pt idx="613">
                  <c:v>5.1238099999999998</c:v>
                </c:pt>
                <c:pt idx="614">
                  <c:v>5.15707</c:v>
                </c:pt>
                <c:pt idx="615">
                  <c:v>5.1090900000000001</c:v>
                </c:pt>
                <c:pt idx="616">
                  <c:v>5.1432899999999995</c:v>
                </c:pt>
                <c:pt idx="617">
                  <c:v>5.0451699999999997</c:v>
                </c:pt>
                <c:pt idx="618">
                  <c:v>5.1225500000000004</c:v>
                </c:pt>
                <c:pt idx="619">
                  <c:v>5.0343599999999995</c:v>
                </c:pt>
                <c:pt idx="620">
                  <c:v>5.0141499999999999</c:v>
                </c:pt>
                <c:pt idx="621">
                  <c:v>5.0519799999999995</c:v>
                </c:pt>
                <c:pt idx="622">
                  <c:v>5.0488900000000001</c:v>
                </c:pt>
                <c:pt idx="623">
                  <c:v>4.9655300000000002</c:v>
                </c:pt>
                <c:pt idx="624">
                  <c:v>4.9454099999999999</c:v>
                </c:pt>
                <c:pt idx="625">
                  <c:v>4.8875500000000001</c:v>
                </c:pt>
                <c:pt idx="626">
                  <c:v>4.9129399999999999</c:v>
                </c:pt>
                <c:pt idx="627">
                  <c:v>4.9470299999999998</c:v>
                </c:pt>
                <c:pt idx="628">
                  <c:v>4.8215300000000001</c:v>
                </c:pt>
                <c:pt idx="629">
                  <c:v>4.7726299999999995</c:v>
                </c:pt>
                <c:pt idx="630">
                  <c:v>4.6412399999999998</c:v>
                </c:pt>
                <c:pt idx="631">
                  <c:v>4.6412399999999998</c:v>
                </c:pt>
                <c:pt idx="632">
                  <c:v>4.6412399999999998</c:v>
                </c:pt>
                <c:pt idx="633">
                  <c:v>4.5723500000000001</c:v>
                </c:pt>
                <c:pt idx="634">
                  <c:v>4.5680100000000001</c:v>
                </c:pt>
                <c:pt idx="635">
                  <c:v>4.5444199999999997</c:v>
                </c:pt>
                <c:pt idx="636">
                  <c:v>4.5162900000000006</c:v>
                </c:pt>
                <c:pt idx="637">
                  <c:v>4.3266200000000001</c:v>
                </c:pt>
                <c:pt idx="638">
                  <c:v>4.2811300000000001</c:v>
                </c:pt>
                <c:pt idx="639">
                  <c:v>4.2660900000000002</c:v>
                </c:pt>
                <c:pt idx="640">
                  <c:v>4.37094</c:v>
                </c:pt>
                <c:pt idx="641">
                  <c:v>4.4075499999999996</c:v>
                </c:pt>
                <c:pt idx="642">
                  <c:v>4.4172399999999996</c:v>
                </c:pt>
                <c:pt idx="643">
                  <c:v>4.3921099999999997</c:v>
                </c:pt>
                <c:pt idx="644">
                  <c:v>4.3871500000000001</c:v>
                </c:pt>
                <c:pt idx="645">
                  <c:v>4.4583699999999995</c:v>
                </c:pt>
                <c:pt idx="646">
                  <c:v>4.4872500000000004</c:v>
                </c:pt>
                <c:pt idx="647">
                  <c:v>4.5117700000000003</c:v>
                </c:pt>
                <c:pt idx="648">
                  <c:v>4.4612999999999996</c:v>
                </c:pt>
                <c:pt idx="649">
                  <c:v>4.4579700000000004</c:v>
                </c:pt>
                <c:pt idx="650">
                  <c:v>4.5535700000000006</c:v>
                </c:pt>
                <c:pt idx="651">
                  <c:v>4.6656200000000005</c:v>
                </c:pt>
                <c:pt idx="652">
                  <c:v>4.8435899999999998</c:v>
                </c:pt>
                <c:pt idx="653">
                  <c:v>4.7359299999999998</c:v>
                </c:pt>
                <c:pt idx="654">
                  <c:v>4.7399200000000006</c:v>
                </c:pt>
                <c:pt idx="655">
                  <c:v>4.6573700000000002</c:v>
                </c:pt>
                <c:pt idx="656">
                  <c:v>4.6476699999999997</c:v>
                </c:pt>
                <c:pt idx="657">
                  <c:v>4.4951499999999998</c:v>
                </c:pt>
                <c:pt idx="658">
                  <c:v>4.5850900000000001</c:v>
                </c:pt>
                <c:pt idx="659">
                  <c:v>4.6518899999999999</c:v>
                </c:pt>
                <c:pt idx="660">
                  <c:v>4.6571199999999999</c:v>
                </c:pt>
                <c:pt idx="661">
                  <c:v>4.7264600000000003</c:v>
                </c:pt>
                <c:pt idx="662">
                  <c:v>4.7826699999999995</c:v>
                </c:pt>
                <c:pt idx="663">
                  <c:v>4.6898099999999996</c:v>
                </c:pt>
                <c:pt idx="664">
                  <c:v>4.5995699999999999</c:v>
                </c:pt>
                <c:pt idx="665">
                  <c:v>4.5763799999999994</c:v>
                </c:pt>
                <c:pt idx="666">
                  <c:v>4.6770199999999997</c:v>
                </c:pt>
                <c:pt idx="667">
                  <c:v>4.64107</c:v>
                </c:pt>
                <c:pt idx="668">
                  <c:v>4.5139100000000001</c:v>
                </c:pt>
                <c:pt idx="669">
                  <c:v>4.5037000000000003</c:v>
                </c:pt>
                <c:pt idx="670">
                  <c:v>4.5425800000000001</c:v>
                </c:pt>
                <c:pt idx="671">
                  <c:v>4.5483500000000001</c:v>
                </c:pt>
                <c:pt idx="672">
                  <c:v>4.50427</c:v>
                </c:pt>
                <c:pt idx="673">
                  <c:v>4.4598500000000003</c:v>
                </c:pt>
                <c:pt idx="674">
                  <c:v>4.3602600000000002</c:v>
                </c:pt>
                <c:pt idx="675">
                  <c:v>4.4186800000000002</c:v>
                </c:pt>
                <c:pt idx="676">
                  <c:v>4.3733300000000002</c:v>
                </c:pt>
                <c:pt idx="677">
                  <c:v>4.3008800000000003</c:v>
                </c:pt>
                <c:pt idx="678">
                  <c:v>4.2580200000000001</c:v>
                </c:pt>
                <c:pt idx="679">
                  <c:v>4.1030499999999996</c:v>
                </c:pt>
                <c:pt idx="680">
                  <c:v>4.1532799999999996</c:v>
                </c:pt>
                <c:pt idx="681">
                  <c:v>3.97139</c:v>
                </c:pt>
                <c:pt idx="682">
                  <c:v>3.9144099999999997</c:v>
                </c:pt>
                <c:pt idx="683">
                  <c:v>3.9285100000000002</c:v>
                </c:pt>
                <c:pt idx="684">
                  <c:v>3.8974599999999997</c:v>
                </c:pt>
                <c:pt idx="685">
                  <c:v>3.8936799999999998</c:v>
                </c:pt>
                <c:pt idx="686">
                  <c:v>3.9206300000000001</c:v>
                </c:pt>
                <c:pt idx="687">
                  <c:v>3.8726699999999998</c:v>
                </c:pt>
                <c:pt idx="688">
                  <c:v>3.8623599999999998</c:v>
                </c:pt>
                <c:pt idx="689">
                  <c:v>3.8171599999999999</c:v>
                </c:pt>
                <c:pt idx="690">
                  <c:v>3.85324</c:v>
                </c:pt>
                <c:pt idx="691">
                  <c:v>3.7338499999999999</c:v>
                </c:pt>
                <c:pt idx="692">
                  <c:v>3.7820400000000003</c:v>
                </c:pt>
                <c:pt idx="693">
                  <c:v>3.7820400000000003</c:v>
                </c:pt>
                <c:pt idx="694">
                  <c:v>3.5970200000000001</c:v>
                </c:pt>
                <c:pt idx="695">
                  <c:v>3.5019600000000004</c:v>
                </c:pt>
                <c:pt idx="696">
                  <c:v>3.5338499999999997</c:v>
                </c:pt>
                <c:pt idx="697">
                  <c:v>3.6394000000000002</c:v>
                </c:pt>
                <c:pt idx="698">
                  <c:v>3.6355500000000003</c:v>
                </c:pt>
                <c:pt idx="699">
                  <c:v>3.4923999999999999</c:v>
                </c:pt>
                <c:pt idx="700">
                  <c:v>3.4699200000000001</c:v>
                </c:pt>
                <c:pt idx="701">
                  <c:v>3.35379</c:v>
                </c:pt>
                <c:pt idx="702">
                  <c:v>3.3185799999999999</c:v>
                </c:pt>
                <c:pt idx="703">
                  <c:v>3.2735599999999998</c:v>
                </c:pt>
                <c:pt idx="704">
                  <c:v>3.4678500000000003</c:v>
                </c:pt>
                <c:pt idx="705">
                  <c:v>3.6237900000000001</c:v>
                </c:pt>
                <c:pt idx="706">
                  <c:v>3.9392800000000001</c:v>
                </c:pt>
                <c:pt idx="707">
                  <c:v>3.8303500000000001</c:v>
                </c:pt>
              </c:numCache>
            </c:numRef>
          </c:val>
          <c:smooth val="0"/>
          <c:extLst>
            <c:ext xmlns:c16="http://schemas.microsoft.com/office/drawing/2014/chart" uri="{C3380CC4-5D6E-409C-BE32-E72D297353CC}">
              <c16:uniqueId val="{00000000-F31E-4170-9322-6C48FF56580E}"/>
            </c:ext>
          </c:extLst>
        </c:ser>
        <c:ser>
          <c:idx val="1"/>
          <c:order val="1"/>
          <c:tx>
            <c:strRef>
              <c:f>Sheet1!$C$1</c:f>
              <c:strCache>
                <c:ptCount val="1"/>
                <c:pt idx="0">
                  <c:v>Ռուսաստան (2026թ.)</c:v>
                </c:pt>
              </c:strCache>
            </c:strRef>
          </c:tx>
          <c:spPr>
            <a:ln w="28575" cap="rnd">
              <a:solidFill>
                <a:schemeClr val="accent2"/>
              </a:solidFill>
              <a:round/>
            </a:ln>
            <a:effectLst/>
          </c:spPr>
          <c:marker>
            <c:symbol val="none"/>
          </c:marker>
          <c:cat>
            <c:numRef>
              <c:f>Sheet1!$A$2:$A$971</c:f>
              <c:numCache>
                <c:formatCode>m\/d\/yyyy</c:formatCode>
                <c:ptCount val="709"/>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pt idx="639">
                  <c:v>44726</c:v>
                </c:pt>
                <c:pt idx="640">
                  <c:v>44727</c:v>
                </c:pt>
                <c:pt idx="641">
                  <c:v>44728</c:v>
                </c:pt>
                <c:pt idx="642">
                  <c:v>44729</c:v>
                </c:pt>
                <c:pt idx="643">
                  <c:v>44732</c:v>
                </c:pt>
                <c:pt idx="644">
                  <c:v>44733</c:v>
                </c:pt>
                <c:pt idx="645">
                  <c:v>44734</c:v>
                </c:pt>
                <c:pt idx="646">
                  <c:v>44735</c:v>
                </c:pt>
                <c:pt idx="647">
                  <c:v>44736</c:v>
                </c:pt>
                <c:pt idx="648">
                  <c:v>44739</c:v>
                </c:pt>
                <c:pt idx="649">
                  <c:v>44740</c:v>
                </c:pt>
                <c:pt idx="650">
                  <c:v>44741</c:v>
                </c:pt>
                <c:pt idx="651">
                  <c:v>44742</c:v>
                </c:pt>
                <c:pt idx="652">
                  <c:v>44743</c:v>
                </c:pt>
                <c:pt idx="653">
                  <c:v>44746</c:v>
                </c:pt>
                <c:pt idx="654">
                  <c:v>44747</c:v>
                </c:pt>
                <c:pt idx="655">
                  <c:v>44748</c:v>
                </c:pt>
                <c:pt idx="656">
                  <c:v>44749</c:v>
                </c:pt>
                <c:pt idx="657">
                  <c:v>44750</c:v>
                </c:pt>
                <c:pt idx="658">
                  <c:v>44753</c:v>
                </c:pt>
                <c:pt idx="659">
                  <c:v>44754</c:v>
                </c:pt>
                <c:pt idx="660">
                  <c:v>44755</c:v>
                </c:pt>
                <c:pt idx="661">
                  <c:v>44756</c:v>
                </c:pt>
                <c:pt idx="662">
                  <c:v>44757</c:v>
                </c:pt>
                <c:pt idx="663">
                  <c:v>44760</c:v>
                </c:pt>
                <c:pt idx="664">
                  <c:v>44761</c:v>
                </c:pt>
                <c:pt idx="665">
                  <c:v>44762</c:v>
                </c:pt>
                <c:pt idx="666">
                  <c:v>44763</c:v>
                </c:pt>
                <c:pt idx="667">
                  <c:v>44764</c:v>
                </c:pt>
                <c:pt idx="668">
                  <c:v>44767</c:v>
                </c:pt>
                <c:pt idx="669">
                  <c:v>44768</c:v>
                </c:pt>
                <c:pt idx="670">
                  <c:v>44769</c:v>
                </c:pt>
                <c:pt idx="671">
                  <c:v>44770</c:v>
                </c:pt>
                <c:pt idx="672">
                  <c:v>44771</c:v>
                </c:pt>
                <c:pt idx="673">
                  <c:v>44774</c:v>
                </c:pt>
                <c:pt idx="674">
                  <c:v>44775</c:v>
                </c:pt>
                <c:pt idx="675">
                  <c:v>44776</c:v>
                </c:pt>
                <c:pt idx="676">
                  <c:v>44777</c:v>
                </c:pt>
                <c:pt idx="677">
                  <c:v>44778</c:v>
                </c:pt>
                <c:pt idx="678">
                  <c:v>44781</c:v>
                </c:pt>
                <c:pt idx="679">
                  <c:v>44782</c:v>
                </c:pt>
                <c:pt idx="680">
                  <c:v>44783</c:v>
                </c:pt>
                <c:pt idx="681">
                  <c:v>44784</c:v>
                </c:pt>
                <c:pt idx="682">
                  <c:v>44785</c:v>
                </c:pt>
                <c:pt idx="683">
                  <c:v>44788</c:v>
                </c:pt>
                <c:pt idx="684">
                  <c:v>44789</c:v>
                </c:pt>
                <c:pt idx="685">
                  <c:v>44790</c:v>
                </c:pt>
                <c:pt idx="686">
                  <c:v>44791</c:v>
                </c:pt>
                <c:pt idx="687">
                  <c:v>44792</c:v>
                </c:pt>
                <c:pt idx="688">
                  <c:v>44795</c:v>
                </c:pt>
                <c:pt idx="689">
                  <c:v>44796</c:v>
                </c:pt>
                <c:pt idx="690">
                  <c:v>44797</c:v>
                </c:pt>
                <c:pt idx="691">
                  <c:v>44798</c:v>
                </c:pt>
                <c:pt idx="692">
                  <c:v>44799</c:v>
                </c:pt>
                <c:pt idx="693">
                  <c:v>44802</c:v>
                </c:pt>
                <c:pt idx="694">
                  <c:v>44803</c:v>
                </c:pt>
                <c:pt idx="695">
                  <c:v>44804</c:v>
                </c:pt>
                <c:pt idx="696">
                  <c:v>44805</c:v>
                </c:pt>
                <c:pt idx="697">
                  <c:v>44806</c:v>
                </c:pt>
                <c:pt idx="698">
                  <c:v>44809</c:v>
                </c:pt>
                <c:pt idx="699">
                  <c:v>44810</c:v>
                </c:pt>
                <c:pt idx="700">
                  <c:v>44811</c:v>
                </c:pt>
                <c:pt idx="701">
                  <c:v>44812</c:v>
                </c:pt>
                <c:pt idx="702">
                  <c:v>44813</c:v>
                </c:pt>
                <c:pt idx="703">
                  <c:v>44816</c:v>
                </c:pt>
                <c:pt idx="704">
                  <c:v>44817</c:v>
                </c:pt>
                <c:pt idx="705">
                  <c:v>44818</c:v>
                </c:pt>
                <c:pt idx="706">
                  <c:v>44819</c:v>
                </c:pt>
                <c:pt idx="707">
                  <c:v>44820</c:v>
                </c:pt>
              </c:numCache>
            </c:numRef>
          </c:cat>
          <c:val>
            <c:numRef>
              <c:f>Sheet1!$C$2:$C$971</c:f>
              <c:numCache>
                <c:formatCode>0</c:formatCode>
                <c:ptCount val="709"/>
                <c:pt idx="0">
                  <c:v>1.18544</c:v>
                </c:pt>
                <c:pt idx="1">
                  <c:v>1.24397</c:v>
                </c:pt>
                <c:pt idx="2">
                  <c:v>1.3716200000000001</c:v>
                </c:pt>
                <c:pt idx="3">
                  <c:v>1.3917200000000001</c:v>
                </c:pt>
                <c:pt idx="4">
                  <c:v>1.3711600000000002</c:v>
                </c:pt>
                <c:pt idx="5">
                  <c:v>1.29209</c:v>
                </c:pt>
                <c:pt idx="6">
                  <c:v>1.2887999999999999</c:v>
                </c:pt>
                <c:pt idx="7">
                  <c:v>1.3050600000000001</c:v>
                </c:pt>
                <c:pt idx="8">
                  <c:v>1.2485899999999999</c:v>
                </c:pt>
                <c:pt idx="9">
                  <c:v>1.2646999999999999</c:v>
                </c:pt>
                <c:pt idx="10">
                  <c:v>1.2675400000000001</c:v>
                </c:pt>
                <c:pt idx="11">
                  <c:v>1.25423</c:v>
                </c:pt>
                <c:pt idx="12">
                  <c:v>1.24817</c:v>
                </c:pt>
                <c:pt idx="13">
                  <c:v>1.24817</c:v>
                </c:pt>
                <c:pt idx="14">
                  <c:v>1.26308</c:v>
                </c:pt>
                <c:pt idx="15">
                  <c:v>1.2609600000000001</c:v>
                </c:pt>
                <c:pt idx="16">
                  <c:v>1.2917599999999998</c:v>
                </c:pt>
                <c:pt idx="17">
                  <c:v>1.31291</c:v>
                </c:pt>
                <c:pt idx="18">
                  <c:v>1.3828399999999998</c:v>
                </c:pt>
                <c:pt idx="19">
                  <c:v>1.3215700000000001</c:v>
                </c:pt>
                <c:pt idx="20">
                  <c:v>1.3544999999999998</c:v>
                </c:pt>
                <c:pt idx="21">
                  <c:v>1.31863</c:v>
                </c:pt>
                <c:pt idx="22">
                  <c:v>1.3499299999999999</c:v>
                </c:pt>
                <c:pt idx="23">
                  <c:v>1.3478299999999999</c:v>
                </c:pt>
                <c:pt idx="24">
                  <c:v>1.3246199999999999</c:v>
                </c:pt>
                <c:pt idx="25">
                  <c:v>1.2850299999999999</c:v>
                </c:pt>
                <c:pt idx="26">
                  <c:v>1.28454</c:v>
                </c:pt>
                <c:pt idx="27">
                  <c:v>1.3418299999999999</c:v>
                </c:pt>
                <c:pt idx="28">
                  <c:v>1.3418700000000001</c:v>
                </c:pt>
                <c:pt idx="29">
                  <c:v>1.23492</c:v>
                </c:pt>
                <c:pt idx="30">
                  <c:v>1.2054499999999999</c:v>
                </c:pt>
                <c:pt idx="31">
                  <c:v>1.2175499999999999</c:v>
                </c:pt>
                <c:pt idx="32">
                  <c:v>1.2385899999999999</c:v>
                </c:pt>
                <c:pt idx="33">
                  <c:v>1.2385899999999999</c:v>
                </c:pt>
                <c:pt idx="34">
                  <c:v>1.2635700000000001</c:v>
                </c:pt>
                <c:pt idx="35">
                  <c:v>1.2473099999999999</c:v>
                </c:pt>
                <c:pt idx="36">
                  <c:v>1.2774099999999999</c:v>
                </c:pt>
                <c:pt idx="37">
                  <c:v>1.2747599999999999</c:v>
                </c:pt>
                <c:pt idx="38">
                  <c:v>1.2927000000000002</c:v>
                </c:pt>
                <c:pt idx="39">
                  <c:v>1.33754</c:v>
                </c:pt>
                <c:pt idx="40">
                  <c:v>1.3896999999999999</c:v>
                </c:pt>
                <c:pt idx="41">
                  <c:v>1.5402099999999999</c:v>
                </c:pt>
                <c:pt idx="42">
                  <c:v>1.7472099999999999</c:v>
                </c:pt>
                <c:pt idx="43">
                  <c:v>1.7464599999999999</c:v>
                </c:pt>
                <c:pt idx="44">
                  <c:v>1.7397200000000002</c:v>
                </c:pt>
                <c:pt idx="45">
                  <c:v>1.57951</c:v>
                </c:pt>
                <c:pt idx="46">
                  <c:v>1.66934</c:v>
                </c:pt>
                <c:pt idx="47">
                  <c:v>1.7666999999999999</c:v>
                </c:pt>
                <c:pt idx="48">
                  <c:v>2.33832</c:v>
                </c:pt>
                <c:pt idx="49">
                  <c:v>2.1477599999999999</c:v>
                </c:pt>
                <c:pt idx="50">
                  <c:v>2.1487400000000001</c:v>
                </c:pt>
                <c:pt idx="51">
                  <c:v>2.7117599999999999</c:v>
                </c:pt>
                <c:pt idx="52">
                  <c:v>2.6636700000000002</c:v>
                </c:pt>
                <c:pt idx="53">
                  <c:v>3.0865899999999997</c:v>
                </c:pt>
                <c:pt idx="54">
                  <c:v>3.0011099999999997</c:v>
                </c:pt>
                <c:pt idx="55">
                  <c:v>3.8112499999999998</c:v>
                </c:pt>
                <c:pt idx="56">
                  <c:v>4.2248200000000002</c:v>
                </c:pt>
                <c:pt idx="57">
                  <c:v>4.0363899999999999</c:v>
                </c:pt>
                <c:pt idx="58">
                  <c:v>4.0837700000000003</c:v>
                </c:pt>
                <c:pt idx="59">
                  <c:v>3.4874099999999997</c:v>
                </c:pt>
                <c:pt idx="60">
                  <c:v>3.2182600000000003</c:v>
                </c:pt>
                <c:pt idx="61">
                  <c:v>2.9489800000000002</c:v>
                </c:pt>
                <c:pt idx="62">
                  <c:v>3.1634699999999998</c:v>
                </c:pt>
                <c:pt idx="63">
                  <c:v>3.38673</c:v>
                </c:pt>
                <c:pt idx="64">
                  <c:v>3.2359500000000003</c:v>
                </c:pt>
                <c:pt idx="65">
                  <c:v>3.2908300000000001</c:v>
                </c:pt>
                <c:pt idx="66">
                  <c:v>3.2074900000000004</c:v>
                </c:pt>
                <c:pt idx="67">
                  <c:v>2.9151400000000001</c:v>
                </c:pt>
                <c:pt idx="68">
                  <c:v>2.7314499999999997</c:v>
                </c:pt>
                <c:pt idx="69">
                  <c:v>2.5560300000000002</c:v>
                </c:pt>
                <c:pt idx="70">
                  <c:v>2.6149100000000001</c:v>
                </c:pt>
                <c:pt idx="71">
                  <c:v>2.5115500000000002</c:v>
                </c:pt>
                <c:pt idx="72">
                  <c:v>2.5115500000000002</c:v>
                </c:pt>
                <c:pt idx="73">
                  <c:v>2.4967600000000001</c:v>
                </c:pt>
                <c:pt idx="74">
                  <c:v>2.4912000000000001</c:v>
                </c:pt>
                <c:pt idx="75">
                  <c:v>2.6633900000000001</c:v>
                </c:pt>
                <c:pt idx="76">
                  <c:v>2.6059899999999998</c:v>
                </c:pt>
                <c:pt idx="77">
                  <c:v>2.60229</c:v>
                </c:pt>
                <c:pt idx="78">
                  <c:v>2.6967399999999997</c:v>
                </c:pt>
                <c:pt idx="79">
                  <c:v>2.8136200000000002</c:v>
                </c:pt>
                <c:pt idx="80">
                  <c:v>2.7465499999999996</c:v>
                </c:pt>
                <c:pt idx="81">
                  <c:v>2.66269</c:v>
                </c:pt>
                <c:pt idx="82">
                  <c:v>2.6619700000000002</c:v>
                </c:pt>
                <c:pt idx="83">
                  <c:v>2.6496599999999999</c:v>
                </c:pt>
                <c:pt idx="84">
                  <c:v>2.6830599999999998</c:v>
                </c:pt>
                <c:pt idx="85">
                  <c:v>2.6452599999999999</c:v>
                </c:pt>
                <c:pt idx="86">
                  <c:v>2.5492300000000001</c:v>
                </c:pt>
                <c:pt idx="87">
                  <c:v>2.5664299999999995</c:v>
                </c:pt>
                <c:pt idx="88">
                  <c:v>2.5990800000000003</c:v>
                </c:pt>
                <c:pt idx="89">
                  <c:v>2.50162</c:v>
                </c:pt>
                <c:pt idx="90">
                  <c:v>2.5091600000000001</c:v>
                </c:pt>
                <c:pt idx="91">
                  <c:v>2.5396700000000001</c:v>
                </c:pt>
                <c:pt idx="92">
                  <c:v>2.5274000000000001</c:v>
                </c:pt>
                <c:pt idx="93">
                  <c:v>2.44428</c:v>
                </c:pt>
                <c:pt idx="94">
                  <c:v>2.4464899999999998</c:v>
                </c:pt>
                <c:pt idx="95">
                  <c:v>2.4529300000000003</c:v>
                </c:pt>
                <c:pt idx="96">
                  <c:v>2.4757699999999998</c:v>
                </c:pt>
                <c:pt idx="97">
                  <c:v>2.3743700000000003</c:v>
                </c:pt>
                <c:pt idx="98">
                  <c:v>2.19014</c:v>
                </c:pt>
                <c:pt idx="99">
                  <c:v>2.1497299999999999</c:v>
                </c:pt>
                <c:pt idx="100">
                  <c:v>2.0340500000000001</c:v>
                </c:pt>
                <c:pt idx="101">
                  <c:v>1.9702799999999998</c:v>
                </c:pt>
                <c:pt idx="102">
                  <c:v>1.9975299999999998</c:v>
                </c:pt>
                <c:pt idx="103">
                  <c:v>1.9975299999999998</c:v>
                </c:pt>
                <c:pt idx="104">
                  <c:v>1.93743</c:v>
                </c:pt>
                <c:pt idx="105">
                  <c:v>1.96332</c:v>
                </c:pt>
                <c:pt idx="106">
                  <c:v>1.94442</c:v>
                </c:pt>
                <c:pt idx="107">
                  <c:v>1.96071</c:v>
                </c:pt>
                <c:pt idx="108">
                  <c:v>1.9391</c:v>
                </c:pt>
                <c:pt idx="109">
                  <c:v>1.92171</c:v>
                </c:pt>
                <c:pt idx="110">
                  <c:v>1.8808500000000001</c:v>
                </c:pt>
                <c:pt idx="111">
                  <c:v>1.8936500000000001</c:v>
                </c:pt>
                <c:pt idx="112">
                  <c:v>1.8897200000000001</c:v>
                </c:pt>
                <c:pt idx="113">
                  <c:v>1.9284299999999999</c:v>
                </c:pt>
                <c:pt idx="114">
                  <c:v>1.9176900000000001</c:v>
                </c:pt>
                <c:pt idx="115">
                  <c:v>1.9692699999999999</c:v>
                </c:pt>
                <c:pt idx="116">
                  <c:v>2.0912299999999999</c:v>
                </c:pt>
                <c:pt idx="117">
                  <c:v>2.0506200000000003</c:v>
                </c:pt>
                <c:pt idx="118">
                  <c:v>2.0251900000000003</c:v>
                </c:pt>
                <c:pt idx="119">
                  <c:v>1.88741</c:v>
                </c:pt>
                <c:pt idx="120">
                  <c:v>1.89056</c:v>
                </c:pt>
                <c:pt idx="121">
                  <c:v>1.9218500000000001</c:v>
                </c:pt>
                <c:pt idx="122">
                  <c:v>1.92381</c:v>
                </c:pt>
                <c:pt idx="123">
                  <c:v>1.9243700000000001</c:v>
                </c:pt>
                <c:pt idx="124">
                  <c:v>1.90486</c:v>
                </c:pt>
                <c:pt idx="125">
                  <c:v>1.96214</c:v>
                </c:pt>
                <c:pt idx="126">
                  <c:v>1.98227</c:v>
                </c:pt>
                <c:pt idx="127">
                  <c:v>1.98841</c:v>
                </c:pt>
                <c:pt idx="128">
                  <c:v>2.0433699999999999</c:v>
                </c:pt>
                <c:pt idx="129">
                  <c:v>2.0513399999999997</c:v>
                </c:pt>
                <c:pt idx="130">
                  <c:v>1.9764699999999999</c:v>
                </c:pt>
                <c:pt idx="131">
                  <c:v>1.95689</c:v>
                </c:pt>
                <c:pt idx="132">
                  <c:v>1.95689</c:v>
                </c:pt>
                <c:pt idx="133">
                  <c:v>2.00387</c:v>
                </c:pt>
                <c:pt idx="134">
                  <c:v>2.0033400000000001</c:v>
                </c:pt>
                <c:pt idx="135">
                  <c:v>1.95852</c:v>
                </c:pt>
                <c:pt idx="136">
                  <c:v>1.9643999999999999</c:v>
                </c:pt>
                <c:pt idx="137">
                  <c:v>1.93123</c:v>
                </c:pt>
                <c:pt idx="138">
                  <c:v>1.9287200000000002</c:v>
                </c:pt>
                <c:pt idx="139">
                  <c:v>1.9185699999999999</c:v>
                </c:pt>
                <c:pt idx="140">
                  <c:v>1.8797300000000001</c:v>
                </c:pt>
                <c:pt idx="141">
                  <c:v>1.8812200000000001</c:v>
                </c:pt>
                <c:pt idx="142">
                  <c:v>1.84477</c:v>
                </c:pt>
                <c:pt idx="143">
                  <c:v>1.8383699999999998</c:v>
                </c:pt>
                <c:pt idx="144">
                  <c:v>1.83815</c:v>
                </c:pt>
                <c:pt idx="145">
                  <c:v>1.8503999999999998</c:v>
                </c:pt>
                <c:pt idx="146">
                  <c:v>1.79948</c:v>
                </c:pt>
                <c:pt idx="147">
                  <c:v>1.8074299999999999</c:v>
                </c:pt>
                <c:pt idx="148">
                  <c:v>1.7682599999999999</c:v>
                </c:pt>
                <c:pt idx="149">
                  <c:v>1.79925</c:v>
                </c:pt>
                <c:pt idx="150">
                  <c:v>1.7785900000000001</c:v>
                </c:pt>
                <c:pt idx="151">
                  <c:v>1.8174399999999999</c:v>
                </c:pt>
                <c:pt idx="152">
                  <c:v>1.8280000000000001</c:v>
                </c:pt>
                <c:pt idx="153">
                  <c:v>1.7756200000000002</c:v>
                </c:pt>
                <c:pt idx="154">
                  <c:v>1.7573599999999998</c:v>
                </c:pt>
                <c:pt idx="155">
                  <c:v>1.6257900000000001</c:v>
                </c:pt>
                <c:pt idx="156">
                  <c:v>1.62642</c:v>
                </c:pt>
                <c:pt idx="157">
                  <c:v>1.5840199999999998</c:v>
                </c:pt>
                <c:pt idx="158">
                  <c:v>1.50691</c:v>
                </c:pt>
                <c:pt idx="159">
                  <c:v>1.5212999999999999</c:v>
                </c:pt>
                <c:pt idx="160">
                  <c:v>1.52081</c:v>
                </c:pt>
                <c:pt idx="161">
                  <c:v>1.5303800000000001</c:v>
                </c:pt>
                <c:pt idx="162">
                  <c:v>1.58782</c:v>
                </c:pt>
                <c:pt idx="163">
                  <c:v>1.68102</c:v>
                </c:pt>
                <c:pt idx="164">
                  <c:v>1.6916599999999999</c:v>
                </c:pt>
                <c:pt idx="165">
                  <c:v>1.7038499999999999</c:v>
                </c:pt>
                <c:pt idx="166">
                  <c:v>1.7319499999999999</c:v>
                </c:pt>
                <c:pt idx="167">
                  <c:v>1.7591300000000001</c:v>
                </c:pt>
                <c:pt idx="168">
                  <c:v>1.7532099999999999</c:v>
                </c:pt>
                <c:pt idx="169">
                  <c:v>1.73552</c:v>
                </c:pt>
                <c:pt idx="170">
                  <c:v>1.7650700000000001</c:v>
                </c:pt>
                <c:pt idx="171">
                  <c:v>1.7396500000000001</c:v>
                </c:pt>
                <c:pt idx="172">
                  <c:v>1.7409800000000002</c:v>
                </c:pt>
                <c:pt idx="173">
                  <c:v>1.7550600000000001</c:v>
                </c:pt>
                <c:pt idx="174">
                  <c:v>1.7241399999999998</c:v>
                </c:pt>
                <c:pt idx="175">
                  <c:v>1.7416100000000001</c:v>
                </c:pt>
                <c:pt idx="176">
                  <c:v>1.76677</c:v>
                </c:pt>
                <c:pt idx="177">
                  <c:v>1.74607</c:v>
                </c:pt>
                <c:pt idx="178">
                  <c:v>1.74607</c:v>
                </c:pt>
                <c:pt idx="179">
                  <c:v>1.8187500000000001</c:v>
                </c:pt>
                <c:pt idx="180">
                  <c:v>1.7782200000000001</c:v>
                </c:pt>
                <c:pt idx="181">
                  <c:v>1.7858099999999999</c:v>
                </c:pt>
                <c:pt idx="182">
                  <c:v>1.7940100000000001</c:v>
                </c:pt>
                <c:pt idx="183">
                  <c:v>1.7916399999999999</c:v>
                </c:pt>
                <c:pt idx="184">
                  <c:v>1.7572399999999999</c:v>
                </c:pt>
                <c:pt idx="185">
                  <c:v>1.71726</c:v>
                </c:pt>
                <c:pt idx="186">
                  <c:v>1.72329</c:v>
                </c:pt>
                <c:pt idx="187">
                  <c:v>1.70916</c:v>
                </c:pt>
                <c:pt idx="188">
                  <c:v>1.7948200000000001</c:v>
                </c:pt>
                <c:pt idx="189">
                  <c:v>1.77078</c:v>
                </c:pt>
                <c:pt idx="190">
                  <c:v>1.7528600000000001</c:v>
                </c:pt>
                <c:pt idx="191">
                  <c:v>1.8127199999999999</c:v>
                </c:pt>
                <c:pt idx="192">
                  <c:v>1.80599</c:v>
                </c:pt>
                <c:pt idx="193">
                  <c:v>1.8189900000000001</c:v>
                </c:pt>
                <c:pt idx="194">
                  <c:v>1.82202</c:v>
                </c:pt>
                <c:pt idx="195">
                  <c:v>1.7897999999999998</c:v>
                </c:pt>
                <c:pt idx="196">
                  <c:v>1.7570699999999999</c:v>
                </c:pt>
                <c:pt idx="197">
                  <c:v>1.7750299999999999</c:v>
                </c:pt>
                <c:pt idx="198">
                  <c:v>1.75299</c:v>
                </c:pt>
                <c:pt idx="199">
                  <c:v>1.7668999999999999</c:v>
                </c:pt>
                <c:pt idx="200">
                  <c:v>1.74668</c:v>
                </c:pt>
                <c:pt idx="201">
                  <c:v>1.7287299999999999</c:v>
                </c:pt>
                <c:pt idx="202">
                  <c:v>1.6857300000000002</c:v>
                </c:pt>
                <c:pt idx="203">
                  <c:v>1.6857300000000002</c:v>
                </c:pt>
                <c:pt idx="204">
                  <c:v>1.71316</c:v>
                </c:pt>
                <c:pt idx="205">
                  <c:v>1.7138999999999998</c:v>
                </c:pt>
                <c:pt idx="206">
                  <c:v>1.69512</c:v>
                </c:pt>
                <c:pt idx="207">
                  <c:v>1.66368</c:v>
                </c:pt>
                <c:pt idx="208">
                  <c:v>1.6396100000000002</c:v>
                </c:pt>
                <c:pt idx="209">
                  <c:v>1.6423099999999999</c:v>
                </c:pt>
                <c:pt idx="210">
                  <c:v>1.6322900000000002</c:v>
                </c:pt>
                <c:pt idx="211">
                  <c:v>1.6180600000000001</c:v>
                </c:pt>
                <c:pt idx="212">
                  <c:v>1.62364</c:v>
                </c:pt>
                <c:pt idx="213">
                  <c:v>1.64734</c:v>
                </c:pt>
                <c:pt idx="214">
                  <c:v>1.6707799999999999</c:v>
                </c:pt>
                <c:pt idx="215">
                  <c:v>1.7406600000000001</c:v>
                </c:pt>
                <c:pt idx="216">
                  <c:v>1.7172700000000001</c:v>
                </c:pt>
                <c:pt idx="217">
                  <c:v>1.7133500000000002</c:v>
                </c:pt>
                <c:pt idx="218">
                  <c:v>1.7532300000000001</c:v>
                </c:pt>
                <c:pt idx="219">
                  <c:v>1.70204</c:v>
                </c:pt>
                <c:pt idx="220">
                  <c:v>1.6978899999999999</c:v>
                </c:pt>
                <c:pt idx="221">
                  <c:v>1.6144800000000001</c:v>
                </c:pt>
                <c:pt idx="222">
                  <c:v>1.6085900000000002</c:v>
                </c:pt>
                <c:pt idx="223">
                  <c:v>1.4905600000000001</c:v>
                </c:pt>
                <c:pt idx="224">
                  <c:v>1.5009600000000001</c:v>
                </c:pt>
                <c:pt idx="225">
                  <c:v>1.5009600000000001</c:v>
                </c:pt>
                <c:pt idx="226">
                  <c:v>1.5438800000000001</c:v>
                </c:pt>
                <c:pt idx="227">
                  <c:v>1.51163</c:v>
                </c:pt>
                <c:pt idx="228">
                  <c:v>1.4842</c:v>
                </c:pt>
                <c:pt idx="229">
                  <c:v>1.5234100000000002</c:v>
                </c:pt>
                <c:pt idx="230">
                  <c:v>1.5105899999999999</c:v>
                </c:pt>
                <c:pt idx="231">
                  <c:v>1.5280400000000001</c:v>
                </c:pt>
                <c:pt idx="232">
                  <c:v>1.5187700000000002</c:v>
                </c:pt>
                <c:pt idx="233">
                  <c:v>1.5147999999999999</c:v>
                </c:pt>
                <c:pt idx="234">
                  <c:v>1.4998899999999999</c:v>
                </c:pt>
                <c:pt idx="235">
                  <c:v>1.4956700000000001</c:v>
                </c:pt>
                <c:pt idx="236">
                  <c:v>1.4956700000000001</c:v>
                </c:pt>
                <c:pt idx="237">
                  <c:v>1.5220199999999999</c:v>
                </c:pt>
                <c:pt idx="238">
                  <c:v>1.5049600000000001</c:v>
                </c:pt>
                <c:pt idx="239">
                  <c:v>1.4532700000000001</c:v>
                </c:pt>
                <c:pt idx="240">
                  <c:v>1.45716</c:v>
                </c:pt>
                <c:pt idx="241">
                  <c:v>1.45343</c:v>
                </c:pt>
                <c:pt idx="242">
                  <c:v>1.4294100000000001</c:v>
                </c:pt>
                <c:pt idx="243">
                  <c:v>1.4643700000000002</c:v>
                </c:pt>
                <c:pt idx="244">
                  <c:v>1.4594300000000002</c:v>
                </c:pt>
                <c:pt idx="245">
                  <c:v>1.4592799999999999</c:v>
                </c:pt>
                <c:pt idx="246">
                  <c:v>1.45425</c:v>
                </c:pt>
                <c:pt idx="247">
                  <c:v>1.4490399999999999</c:v>
                </c:pt>
                <c:pt idx="248">
                  <c:v>1.4493100000000001</c:v>
                </c:pt>
                <c:pt idx="249">
                  <c:v>1.4244700000000001</c:v>
                </c:pt>
                <c:pt idx="250">
                  <c:v>1.41791</c:v>
                </c:pt>
                <c:pt idx="251">
                  <c:v>1.3862899999999998</c:v>
                </c:pt>
                <c:pt idx="252">
                  <c:v>1.3928499999999999</c:v>
                </c:pt>
                <c:pt idx="253">
                  <c:v>1.3915899999999999</c:v>
                </c:pt>
                <c:pt idx="254">
                  <c:v>1.4132</c:v>
                </c:pt>
                <c:pt idx="255">
                  <c:v>1.4040799999999998</c:v>
                </c:pt>
                <c:pt idx="256">
                  <c:v>1.4118299999999999</c:v>
                </c:pt>
                <c:pt idx="257">
                  <c:v>1.4118299999999999</c:v>
                </c:pt>
                <c:pt idx="258">
                  <c:v>1.4196700000000002</c:v>
                </c:pt>
                <c:pt idx="259">
                  <c:v>1.40761</c:v>
                </c:pt>
                <c:pt idx="260">
                  <c:v>1.4005699999999999</c:v>
                </c:pt>
                <c:pt idx="261">
                  <c:v>1.4074</c:v>
                </c:pt>
                <c:pt idx="262">
                  <c:v>1.4074</c:v>
                </c:pt>
                <c:pt idx="263">
                  <c:v>1.42079</c:v>
                </c:pt>
                <c:pt idx="264">
                  <c:v>1.4001300000000001</c:v>
                </c:pt>
                <c:pt idx="265">
                  <c:v>1.3792</c:v>
                </c:pt>
                <c:pt idx="266">
                  <c:v>1.3830899999999999</c:v>
                </c:pt>
                <c:pt idx="267">
                  <c:v>1.3572599999999999</c:v>
                </c:pt>
                <c:pt idx="268">
                  <c:v>1.3263800000000001</c:v>
                </c:pt>
                <c:pt idx="269">
                  <c:v>1.3440199999999998</c:v>
                </c:pt>
                <c:pt idx="270">
                  <c:v>1.37462</c:v>
                </c:pt>
                <c:pt idx="271">
                  <c:v>1.3372300000000001</c:v>
                </c:pt>
                <c:pt idx="272">
                  <c:v>1.3693600000000001</c:v>
                </c:pt>
                <c:pt idx="273">
                  <c:v>1.3693600000000001</c:v>
                </c:pt>
                <c:pt idx="274">
                  <c:v>1.3410400000000002</c:v>
                </c:pt>
                <c:pt idx="275">
                  <c:v>1.3351</c:v>
                </c:pt>
                <c:pt idx="276">
                  <c:v>1.3367500000000001</c:v>
                </c:pt>
                <c:pt idx="277">
                  <c:v>1.40733</c:v>
                </c:pt>
                <c:pt idx="278">
                  <c:v>1.4295800000000001</c:v>
                </c:pt>
                <c:pt idx="279">
                  <c:v>1.4189799999999999</c:v>
                </c:pt>
                <c:pt idx="280">
                  <c:v>1.4006299999999998</c:v>
                </c:pt>
                <c:pt idx="281">
                  <c:v>1.3781000000000001</c:v>
                </c:pt>
                <c:pt idx="282">
                  <c:v>1.38049</c:v>
                </c:pt>
                <c:pt idx="283">
                  <c:v>1.3702000000000001</c:v>
                </c:pt>
                <c:pt idx="284">
                  <c:v>1.3583799999999999</c:v>
                </c:pt>
                <c:pt idx="285">
                  <c:v>1.3438099999999999</c:v>
                </c:pt>
                <c:pt idx="286">
                  <c:v>1.3237700000000001</c:v>
                </c:pt>
                <c:pt idx="287">
                  <c:v>1.30541</c:v>
                </c:pt>
                <c:pt idx="288">
                  <c:v>1.2978700000000001</c:v>
                </c:pt>
                <c:pt idx="289">
                  <c:v>1.3010400000000002</c:v>
                </c:pt>
                <c:pt idx="290">
                  <c:v>1.3182</c:v>
                </c:pt>
                <c:pt idx="291">
                  <c:v>1.28512</c:v>
                </c:pt>
                <c:pt idx="292">
                  <c:v>1.25332</c:v>
                </c:pt>
                <c:pt idx="293">
                  <c:v>1.25332</c:v>
                </c:pt>
                <c:pt idx="294">
                  <c:v>1.1811</c:v>
                </c:pt>
                <c:pt idx="295">
                  <c:v>1.22376</c:v>
                </c:pt>
                <c:pt idx="296">
                  <c:v>1.1959200000000001</c:v>
                </c:pt>
                <c:pt idx="297">
                  <c:v>1.1668399999999999</c:v>
                </c:pt>
                <c:pt idx="298">
                  <c:v>1.1693800000000001</c:v>
                </c:pt>
                <c:pt idx="299">
                  <c:v>1.2004000000000001</c:v>
                </c:pt>
                <c:pt idx="300">
                  <c:v>1.17703</c:v>
                </c:pt>
                <c:pt idx="301">
                  <c:v>1.08809</c:v>
                </c:pt>
                <c:pt idx="302">
                  <c:v>1.08053</c:v>
                </c:pt>
                <c:pt idx="303">
                  <c:v>1.1006199999999999</c:v>
                </c:pt>
                <c:pt idx="304">
                  <c:v>1.1389100000000001</c:v>
                </c:pt>
                <c:pt idx="305">
                  <c:v>1.09477</c:v>
                </c:pt>
                <c:pt idx="306">
                  <c:v>1.04959</c:v>
                </c:pt>
                <c:pt idx="307">
                  <c:v>1.16181</c:v>
                </c:pt>
                <c:pt idx="308">
                  <c:v>1.2239199999999999</c:v>
                </c:pt>
                <c:pt idx="309">
                  <c:v>1.25159</c:v>
                </c:pt>
                <c:pt idx="310">
                  <c:v>1.2592700000000001</c:v>
                </c:pt>
                <c:pt idx="311">
                  <c:v>1.22184</c:v>
                </c:pt>
                <c:pt idx="312">
                  <c:v>1.2498</c:v>
                </c:pt>
                <c:pt idx="313">
                  <c:v>1.2471699999999999</c:v>
                </c:pt>
                <c:pt idx="314">
                  <c:v>1.2332099999999999</c:v>
                </c:pt>
                <c:pt idx="315">
                  <c:v>1.32107</c:v>
                </c:pt>
                <c:pt idx="316">
                  <c:v>1.33887</c:v>
                </c:pt>
                <c:pt idx="317">
                  <c:v>1.3180400000000001</c:v>
                </c:pt>
                <c:pt idx="318">
                  <c:v>1.3265100000000001</c:v>
                </c:pt>
                <c:pt idx="319">
                  <c:v>1.42577</c:v>
                </c:pt>
                <c:pt idx="320">
                  <c:v>1.4311500000000001</c:v>
                </c:pt>
                <c:pt idx="321">
                  <c:v>1.42394</c:v>
                </c:pt>
                <c:pt idx="322">
                  <c:v>1.4269800000000001</c:v>
                </c:pt>
                <c:pt idx="323">
                  <c:v>1.40011</c:v>
                </c:pt>
                <c:pt idx="324">
                  <c:v>1.4248400000000001</c:v>
                </c:pt>
                <c:pt idx="325">
                  <c:v>1.3774100000000002</c:v>
                </c:pt>
                <c:pt idx="326">
                  <c:v>1.4129499999999999</c:v>
                </c:pt>
                <c:pt idx="327">
                  <c:v>1.4316800000000001</c:v>
                </c:pt>
                <c:pt idx="328">
                  <c:v>1.38514</c:v>
                </c:pt>
                <c:pt idx="329">
                  <c:v>1.4790199999999998</c:v>
                </c:pt>
                <c:pt idx="330">
                  <c:v>1.5444</c:v>
                </c:pt>
                <c:pt idx="331">
                  <c:v>1.5644499999999999</c:v>
                </c:pt>
                <c:pt idx="332">
                  <c:v>1.5662399999999999</c:v>
                </c:pt>
                <c:pt idx="333">
                  <c:v>1.5516999999999999</c:v>
                </c:pt>
                <c:pt idx="334">
                  <c:v>1.6019700000000001</c:v>
                </c:pt>
                <c:pt idx="335">
                  <c:v>1.5242599999999999</c:v>
                </c:pt>
                <c:pt idx="336">
                  <c:v>1.5819999999999999</c:v>
                </c:pt>
                <c:pt idx="337">
                  <c:v>1.4250999999999998</c:v>
                </c:pt>
                <c:pt idx="338">
                  <c:v>1.40923</c:v>
                </c:pt>
                <c:pt idx="339">
                  <c:v>1.5030000000000001</c:v>
                </c:pt>
                <c:pt idx="340">
                  <c:v>1.4794</c:v>
                </c:pt>
                <c:pt idx="341">
                  <c:v>1.3904099999999999</c:v>
                </c:pt>
                <c:pt idx="342">
                  <c:v>1.3791499999999999</c:v>
                </c:pt>
                <c:pt idx="343">
                  <c:v>1.3500299999999998</c:v>
                </c:pt>
                <c:pt idx="344">
                  <c:v>1.32843</c:v>
                </c:pt>
                <c:pt idx="345">
                  <c:v>1.33249</c:v>
                </c:pt>
                <c:pt idx="346">
                  <c:v>1.2932900000000001</c:v>
                </c:pt>
                <c:pt idx="347">
                  <c:v>1.29478</c:v>
                </c:pt>
                <c:pt idx="348">
                  <c:v>1.3348100000000001</c:v>
                </c:pt>
                <c:pt idx="349">
                  <c:v>1.32117</c:v>
                </c:pt>
                <c:pt idx="350">
                  <c:v>1.3234299999999999</c:v>
                </c:pt>
                <c:pt idx="351">
                  <c:v>1.2564</c:v>
                </c:pt>
                <c:pt idx="352">
                  <c:v>1.2795999999999998</c:v>
                </c:pt>
                <c:pt idx="353">
                  <c:v>1.2901499999999999</c:v>
                </c:pt>
                <c:pt idx="354">
                  <c:v>1.29854</c:v>
                </c:pt>
                <c:pt idx="355">
                  <c:v>1.27677</c:v>
                </c:pt>
                <c:pt idx="356">
                  <c:v>1.2884200000000001</c:v>
                </c:pt>
                <c:pt idx="357">
                  <c:v>1.2624</c:v>
                </c:pt>
                <c:pt idx="358">
                  <c:v>1.2574399999999999</c:v>
                </c:pt>
                <c:pt idx="359">
                  <c:v>1.2650399999999999</c:v>
                </c:pt>
                <c:pt idx="360">
                  <c:v>1.2589600000000001</c:v>
                </c:pt>
                <c:pt idx="361">
                  <c:v>1.2495699999999998</c:v>
                </c:pt>
                <c:pt idx="362">
                  <c:v>1.2363899999999999</c:v>
                </c:pt>
                <c:pt idx="363">
                  <c:v>1.2572300000000001</c:v>
                </c:pt>
                <c:pt idx="364">
                  <c:v>1.27298</c:v>
                </c:pt>
                <c:pt idx="365">
                  <c:v>1.2469600000000001</c:v>
                </c:pt>
                <c:pt idx="366">
                  <c:v>1.2008700000000001</c:v>
                </c:pt>
                <c:pt idx="367">
                  <c:v>1.20512</c:v>
                </c:pt>
                <c:pt idx="368">
                  <c:v>1.20512</c:v>
                </c:pt>
                <c:pt idx="369">
                  <c:v>1.2011100000000001</c:v>
                </c:pt>
                <c:pt idx="370">
                  <c:v>1.2141999999999999</c:v>
                </c:pt>
                <c:pt idx="371">
                  <c:v>1.1854</c:v>
                </c:pt>
                <c:pt idx="372">
                  <c:v>1.24499</c:v>
                </c:pt>
                <c:pt idx="373">
                  <c:v>1.2045300000000001</c:v>
                </c:pt>
                <c:pt idx="374">
                  <c:v>1.1998</c:v>
                </c:pt>
                <c:pt idx="375">
                  <c:v>1.18367</c:v>
                </c:pt>
                <c:pt idx="376">
                  <c:v>1.2062600000000001</c:v>
                </c:pt>
                <c:pt idx="377">
                  <c:v>1.1548</c:v>
                </c:pt>
                <c:pt idx="378">
                  <c:v>1.1286100000000001</c:v>
                </c:pt>
                <c:pt idx="379">
                  <c:v>1.12259</c:v>
                </c:pt>
                <c:pt idx="380">
                  <c:v>1.12748</c:v>
                </c:pt>
                <c:pt idx="381">
                  <c:v>1.0875300000000001</c:v>
                </c:pt>
                <c:pt idx="382">
                  <c:v>1.07568</c:v>
                </c:pt>
                <c:pt idx="383">
                  <c:v>1.0607800000000001</c:v>
                </c:pt>
                <c:pt idx="384">
                  <c:v>1.0845799999999999</c:v>
                </c:pt>
                <c:pt idx="385">
                  <c:v>1.0633699999999999</c:v>
                </c:pt>
                <c:pt idx="386">
                  <c:v>1.0493899999999998</c:v>
                </c:pt>
                <c:pt idx="387">
                  <c:v>1.0417799999999999</c:v>
                </c:pt>
                <c:pt idx="388">
                  <c:v>1.0695000000000001</c:v>
                </c:pt>
                <c:pt idx="389">
                  <c:v>1.06125</c:v>
                </c:pt>
                <c:pt idx="390">
                  <c:v>1.08432</c:v>
                </c:pt>
                <c:pt idx="391">
                  <c:v>1.06175</c:v>
                </c:pt>
                <c:pt idx="392">
                  <c:v>1.0947499999999999</c:v>
                </c:pt>
                <c:pt idx="393">
                  <c:v>1.0947499999999999</c:v>
                </c:pt>
                <c:pt idx="394">
                  <c:v>1.1517200000000001</c:v>
                </c:pt>
                <c:pt idx="395">
                  <c:v>1.16029</c:v>
                </c:pt>
                <c:pt idx="396">
                  <c:v>1.1771500000000001</c:v>
                </c:pt>
                <c:pt idx="397">
                  <c:v>1.12683</c:v>
                </c:pt>
                <c:pt idx="398">
                  <c:v>1.1277200000000001</c:v>
                </c:pt>
                <c:pt idx="399">
                  <c:v>1.0773000000000001</c:v>
                </c:pt>
                <c:pt idx="400">
                  <c:v>1.1153199999999999</c:v>
                </c:pt>
                <c:pt idx="401">
                  <c:v>1.1262999999999999</c:v>
                </c:pt>
                <c:pt idx="402">
                  <c:v>1.1306399999999999</c:v>
                </c:pt>
                <c:pt idx="403">
                  <c:v>1.20624</c:v>
                </c:pt>
                <c:pt idx="404">
                  <c:v>1.1849499999999999</c:v>
                </c:pt>
                <c:pt idx="405">
                  <c:v>1.13375</c:v>
                </c:pt>
                <c:pt idx="406">
                  <c:v>1.13879</c:v>
                </c:pt>
                <c:pt idx="407">
                  <c:v>1.14263</c:v>
                </c:pt>
                <c:pt idx="408">
                  <c:v>1.1327700000000001</c:v>
                </c:pt>
                <c:pt idx="409">
                  <c:v>1.15333</c:v>
                </c:pt>
                <c:pt idx="410">
                  <c:v>1.1506999999999998</c:v>
                </c:pt>
                <c:pt idx="411">
                  <c:v>1.1145099999999999</c:v>
                </c:pt>
                <c:pt idx="412">
                  <c:v>1.1494599999999999</c:v>
                </c:pt>
                <c:pt idx="413">
                  <c:v>1.1637600000000001</c:v>
                </c:pt>
                <c:pt idx="414">
                  <c:v>1.1698500000000001</c:v>
                </c:pt>
                <c:pt idx="415">
                  <c:v>1.1140699999999999</c:v>
                </c:pt>
                <c:pt idx="416">
                  <c:v>1.0677099999999999</c:v>
                </c:pt>
                <c:pt idx="417">
                  <c:v>1.0387</c:v>
                </c:pt>
                <c:pt idx="418">
                  <c:v>1.03606</c:v>
                </c:pt>
                <c:pt idx="419">
                  <c:v>0.99513000000000007</c:v>
                </c:pt>
                <c:pt idx="420">
                  <c:v>1.0264199999999999</c:v>
                </c:pt>
                <c:pt idx="421">
                  <c:v>1.00543</c:v>
                </c:pt>
                <c:pt idx="422">
                  <c:v>1.0862000000000001</c:v>
                </c:pt>
                <c:pt idx="423">
                  <c:v>1.0851500000000001</c:v>
                </c:pt>
                <c:pt idx="424">
                  <c:v>1.08874</c:v>
                </c:pt>
                <c:pt idx="425">
                  <c:v>1.0738300000000001</c:v>
                </c:pt>
                <c:pt idx="426">
                  <c:v>1.08568</c:v>
                </c:pt>
                <c:pt idx="427">
                  <c:v>1.0687</c:v>
                </c:pt>
                <c:pt idx="428">
                  <c:v>1.07613</c:v>
                </c:pt>
                <c:pt idx="429">
                  <c:v>1.07653</c:v>
                </c:pt>
                <c:pt idx="430">
                  <c:v>1.05291</c:v>
                </c:pt>
                <c:pt idx="431">
                  <c:v>1.0390999999999999</c:v>
                </c:pt>
                <c:pt idx="432">
                  <c:v>1.10572</c:v>
                </c:pt>
                <c:pt idx="433">
                  <c:v>1.1116200000000001</c:v>
                </c:pt>
                <c:pt idx="434">
                  <c:v>1.12703</c:v>
                </c:pt>
                <c:pt idx="435">
                  <c:v>1.12029</c:v>
                </c:pt>
                <c:pt idx="436">
                  <c:v>1.10829</c:v>
                </c:pt>
                <c:pt idx="437">
                  <c:v>1.1137900000000001</c:v>
                </c:pt>
                <c:pt idx="438">
                  <c:v>1.1137900000000001</c:v>
                </c:pt>
                <c:pt idx="439">
                  <c:v>1.10229</c:v>
                </c:pt>
                <c:pt idx="440">
                  <c:v>1.09924</c:v>
                </c:pt>
                <c:pt idx="441">
                  <c:v>1.1032299999999999</c:v>
                </c:pt>
                <c:pt idx="442">
                  <c:v>1.08955</c:v>
                </c:pt>
                <c:pt idx="443">
                  <c:v>1.09395</c:v>
                </c:pt>
                <c:pt idx="444">
                  <c:v>1.09307</c:v>
                </c:pt>
                <c:pt idx="445">
                  <c:v>1.0783499999999999</c:v>
                </c:pt>
                <c:pt idx="446">
                  <c:v>1.0547599999999999</c:v>
                </c:pt>
                <c:pt idx="447">
                  <c:v>1.0379099999999999</c:v>
                </c:pt>
                <c:pt idx="448">
                  <c:v>1.1004800000000001</c:v>
                </c:pt>
                <c:pt idx="449">
                  <c:v>1.0722799999999999</c:v>
                </c:pt>
                <c:pt idx="450">
                  <c:v>1.0451300000000001</c:v>
                </c:pt>
                <c:pt idx="451">
                  <c:v>0.98246</c:v>
                </c:pt>
                <c:pt idx="452">
                  <c:v>1.02335</c:v>
                </c:pt>
                <c:pt idx="453">
                  <c:v>1.03556</c:v>
                </c:pt>
                <c:pt idx="454">
                  <c:v>1.0609500000000001</c:v>
                </c:pt>
                <c:pt idx="455">
                  <c:v>1.07283</c:v>
                </c:pt>
                <c:pt idx="456">
                  <c:v>1.0944</c:v>
                </c:pt>
                <c:pt idx="457">
                  <c:v>1.14002</c:v>
                </c:pt>
                <c:pt idx="458">
                  <c:v>1.16754</c:v>
                </c:pt>
                <c:pt idx="459">
                  <c:v>1.1671400000000001</c:v>
                </c:pt>
                <c:pt idx="460">
                  <c:v>1.18258</c:v>
                </c:pt>
                <c:pt idx="461">
                  <c:v>1.12222</c:v>
                </c:pt>
                <c:pt idx="462">
                  <c:v>1.0871999999999999</c:v>
                </c:pt>
                <c:pt idx="463">
                  <c:v>1.0871999999999999</c:v>
                </c:pt>
                <c:pt idx="464">
                  <c:v>1.0607500000000001</c:v>
                </c:pt>
                <c:pt idx="465">
                  <c:v>1.0401800000000001</c:v>
                </c:pt>
                <c:pt idx="466">
                  <c:v>1.0281</c:v>
                </c:pt>
                <c:pt idx="467">
                  <c:v>0.98638999999999999</c:v>
                </c:pt>
                <c:pt idx="468">
                  <c:v>0.97058999999999995</c:v>
                </c:pt>
                <c:pt idx="469">
                  <c:v>0.98382000000000003</c:v>
                </c:pt>
                <c:pt idx="470">
                  <c:v>0.97671999999999992</c:v>
                </c:pt>
                <c:pt idx="471">
                  <c:v>0.92474999999999996</c:v>
                </c:pt>
                <c:pt idx="472">
                  <c:v>0.94613000000000003</c:v>
                </c:pt>
                <c:pt idx="473">
                  <c:v>0.9670399999999999</c:v>
                </c:pt>
                <c:pt idx="474">
                  <c:v>0.95597999999999994</c:v>
                </c:pt>
                <c:pt idx="475">
                  <c:v>0.96061000000000007</c:v>
                </c:pt>
                <c:pt idx="476">
                  <c:v>0.98794999999999999</c:v>
                </c:pt>
                <c:pt idx="477">
                  <c:v>0.96066999999999991</c:v>
                </c:pt>
                <c:pt idx="478">
                  <c:v>0.97992000000000001</c:v>
                </c:pt>
                <c:pt idx="479">
                  <c:v>0.99060000000000004</c:v>
                </c:pt>
                <c:pt idx="480">
                  <c:v>0.92787000000000008</c:v>
                </c:pt>
                <c:pt idx="481">
                  <c:v>0.99302000000000001</c:v>
                </c:pt>
                <c:pt idx="482">
                  <c:v>1.01427</c:v>
                </c:pt>
                <c:pt idx="483">
                  <c:v>0.97384000000000004</c:v>
                </c:pt>
                <c:pt idx="484">
                  <c:v>0.99273</c:v>
                </c:pt>
                <c:pt idx="485">
                  <c:v>0.89894999999999992</c:v>
                </c:pt>
                <c:pt idx="486">
                  <c:v>0.89894999999999992</c:v>
                </c:pt>
                <c:pt idx="487">
                  <c:v>0.93869000000000002</c:v>
                </c:pt>
                <c:pt idx="488">
                  <c:v>1.0182599999999999</c:v>
                </c:pt>
                <c:pt idx="489">
                  <c:v>1.0843400000000001</c:v>
                </c:pt>
                <c:pt idx="490">
                  <c:v>1.1310200000000001</c:v>
                </c:pt>
                <c:pt idx="491">
                  <c:v>1.1161400000000001</c:v>
                </c:pt>
                <c:pt idx="492">
                  <c:v>1.1540900000000001</c:v>
                </c:pt>
                <c:pt idx="493">
                  <c:v>1.16059</c:v>
                </c:pt>
                <c:pt idx="494">
                  <c:v>1.26413</c:v>
                </c:pt>
                <c:pt idx="495">
                  <c:v>1.2544599999999999</c:v>
                </c:pt>
                <c:pt idx="496">
                  <c:v>1.2544599999999999</c:v>
                </c:pt>
                <c:pt idx="497">
                  <c:v>1.4303800000000002</c:v>
                </c:pt>
                <c:pt idx="498">
                  <c:v>1.4431700000000001</c:v>
                </c:pt>
                <c:pt idx="499">
                  <c:v>1.35629</c:v>
                </c:pt>
                <c:pt idx="500">
                  <c:v>1.3125100000000001</c:v>
                </c:pt>
                <c:pt idx="501">
                  <c:v>1.2776099999999999</c:v>
                </c:pt>
                <c:pt idx="502">
                  <c:v>1.3005699999999998</c:v>
                </c:pt>
                <c:pt idx="503">
                  <c:v>1.2480200000000001</c:v>
                </c:pt>
                <c:pt idx="504">
                  <c:v>1.2634399999999999</c:v>
                </c:pt>
                <c:pt idx="505">
                  <c:v>1.2371799999999999</c:v>
                </c:pt>
                <c:pt idx="506">
                  <c:v>1.2899</c:v>
                </c:pt>
                <c:pt idx="507">
                  <c:v>1.3300999999999998</c:v>
                </c:pt>
                <c:pt idx="508">
                  <c:v>1.3378700000000001</c:v>
                </c:pt>
                <c:pt idx="509">
                  <c:v>1.3221499999999999</c:v>
                </c:pt>
                <c:pt idx="510">
                  <c:v>1.3263100000000001</c:v>
                </c:pt>
                <c:pt idx="511">
                  <c:v>1.40465</c:v>
                </c:pt>
                <c:pt idx="512">
                  <c:v>1.4477099999999998</c:v>
                </c:pt>
                <c:pt idx="513">
                  <c:v>1.4712100000000001</c:v>
                </c:pt>
                <c:pt idx="514">
                  <c:v>1.4431100000000001</c:v>
                </c:pt>
                <c:pt idx="515">
                  <c:v>1.4347099999999999</c:v>
                </c:pt>
                <c:pt idx="516">
                  <c:v>1.39954</c:v>
                </c:pt>
                <c:pt idx="517">
                  <c:v>1.39954</c:v>
                </c:pt>
                <c:pt idx="518">
                  <c:v>1.3857200000000001</c:v>
                </c:pt>
                <c:pt idx="519">
                  <c:v>1.40035</c:v>
                </c:pt>
                <c:pt idx="520">
                  <c:v>1.3789699999999998</c:v>
                </c:pt>
                <c:pt idx="521">
                  <c:v>1.3867799999999999</c:v>
                </c:pt>
                <c:pt idx="522">
                  <c:v>1.3853599999999999</c:v>
                </c:pt>
                <c:pt idx="523">
                  <c:v>1.33307</c:v>
                </c:pt>
                <c:pt idx="524">
                  <c:v>1.35886</c:v>
                </c:pt>
                <c:pt idx="525">
                  <c:v>1.3296399999999999</c:v>
                </c:pt>
                <c:pt idx="526">
                  <c:v>1.3687200000000002</c:v>
                </c:pt>
                <c:pt idx="527">
                  <c:v>1.3764799999999999</c:v>
                </c:pt>
                <c:pt idx="528">
                  <c:v>1.3892800000000001</c:v>
                </c:pt>
                <c:pt idx="529">
                  <c:v>1.4071899999999999</c:v>
                </c:pt>
                <c:pt idx="530">
                  <c:v>1.42821</c:v>
                </c:pt>
                <c:pt idx="531">
                  <c:v>1.8472599999999999</c:v>
                </c:pt>
                <c:pt idx="532">
                  <c:v>1.9639800000000001</c:v>
                </c:pt>
                <c:pt idx="533">
                  <c:v>1.9639800000000001</c:v>
                </c:pt>
                <c:pt idx="534">
                  <c:v>2.2030000000000003</c:v>
                </c:pt>
                <c:pt idx="535">
                  <c:v>2.12283</c:v>
                </c:pt>
                <c:pt idx="536">
                  <c:v>2.4262700000000001</c:v>
                </c:pt>
                <c:pt idx="537">
                  <c:v>2.4251900000000002</c:v>
                </c:pt>
                <c:pt idx="538">
                  <c:v>2.9546300000000003</c:v>
                </c:pt>
                <c:pt idx="539">
                  <c:v>2.9951100000000004</c:v>
                </c:pt>
                <c:pt idx="540">
                  <c:v>2.9184399999999999</c:v>
                </c:pt>
                <c:pt idx="541">
                  <c:v>2.5604899999999997</c:v>
                </c:pt>
                <c:pt idx="542">
                  <c:v>2.6343700000000001</c:v>
                </c:pt>
                <c:pt idx="543">
                  <c:v>2.6248399999999998</c:v>
                </c:pt>
                <c:pt idx="544">
                  <c:v>2.5615699999999997</c:v>
                </c:pt>
                <c:pt idx="545">
                  <c:v>2.40029</c:v>
                </c:pt>
                <c:pt idx="546">
                  <c:v>2.3272999999999997</c:v>
                </c:pt>
                <c:pt idx="547">
                  <c:v>2.1916099999999998</c:v>
                </c:pt>
                <c:pt idx="548">
                  <c:v>2.1896</c:v>
                </c:pt>
                <c:pt idx="549">
                  <c:v>2.1207699999999998</c:v>
                </c:pt>
                <c:pt idx="550">
                  <c:v>1.93065</c:v>
                </c:pt>
                <c:pt idx="551">
                  <c:v>1.8392500000000001</c:v>
                </c:pt>
                <c:pt idx="552">
                  <c:v>2.0364100000000001</c:v>
                </c:pt>
                <c:pt idx="553">
                  <c:v>2.5050399999999997</c:v>
                </c:pt>
                <c:pt idx="554">
                  <c:v>2.1597499999999998</c:v>
                </c:pt>
                <c:pt idx="555">
                  <c:v>2.1068899999999999</c:v>
                </c:pt>
                <c:pt idx="556">
                  <c:v>2.4482200000000001</c:v>
                </c:pt>
                <c:pt idx="557">
                  <c:v>2.7140199999999997</c:v>
                </c:pt>
                <c:pt idx="558">
                  <c:v>2.7140199999999997</c:v>
                </c:pt>
                <c:pt idx="559">
                  <c:v>3.7783499999999997</c:v>
                </c:pt>
                <c:pt idx="560">
                  <c:v>5.1755399999999998</c:v>
                </c:pt>
                <c:pt idx="561">
                  <c:v>14.89709</c:v>
                </c:pt>
                <c:pt idx="562">
                  <c:v>8.29392</c:v>
                </c:pt>
                <c:pt idx="563">
                  <c:v>25.841889999999999</c:v>
                </c:pt>
                <c:pt idx="564">
                  <c:v>49.408590000000004</c:v>
                </c:pt>
                <c:pt idx="565">
                  <c:v>49.408590000000004</c:v>
                </c:pt>
                <c:pt idx="566">
                  <c:v>49.408590000000004</c:v>
                </c:pt>
                <c:pt idx="567">
                  <c:v>49.408590000000004</c:v>
                </c:pt>
                <c:pt idx="568">
                  <c:v>49.408590000000004</c:v>
                </c:pt>
                <c:pt idx="569">
                  <c:v>49.408590000000004</c:v>
                </c:pt>
                <c:pt idx="570">
                  <c:v>49.408590000000004</c:v>
                </c:pt>
                <c:pt idx="571">
                  <c:v>49.408590000000004</c:v>
                </c:pt>
                <c:pt idx="572">
                  <c:v>49.408590000000004</c:v>
                </c:pt>
                <c:pt idx="573">
                  <c:v>49.408590000000004</c:v>
                </c:pt>
                <c:pt idx="574">
                  <c:v>49.408590000000004</c:v>
                </c:pt>
                <c:pt idx="575">
                  <c:v>49.408590000000004</c:v>
                </c:pt>
                <c:pt idx="576">
                  <c:v>49.408590000000004</c:v>
                </c:pt>
                <c:pt idx="577">
                  <c:v>49.408590000000004</c:v>
                </c:pt>
                <c:pt idx="578">
                  <c:v>49.408590000000004</c:v>
                </c:pt>
                <c:pt idx="579">
                  <c:v>49.408590000000004</c:v>
                </c:pt>
                <c:pt idx="580">
                  <c:v>52.77084</c:v>
                </c:pt>
                <c:pt idx="581">
                  <c:v>57.705240000000003</c:v>
                </c:pt>
                <c:pt idx="582">
                  <c:v>54.168869999999998</c:v>
                </c:pt>
                <c:pt idx="583">
                  <c:v>50.836189999999995</c:v>
                </c:pt>
                <c:pt idx="584">
                  <c:v>45.440249999999999</c:v>
                </c:pt>
                <c:pt idx="585">
                  <c:v>41.209660000000007</c:v>
                </c:pt>
                <c:pt idx="586">
                  <c:v>41.356880000000004</c:v>
                </c:pt>
                <c:pt idx="587">
                  <c:v>41.299900000000001</c:v>
                </c:pt>
                <c:pt idx="588">
                  <c:v>41.426279999999998</c:v>
                </c:pt>
                <c:pt idx="589">
                  <c:v>51.130860000000006</c:v>
                </c:pt>
                <c:pt idx="590">
                  <c:v>51.943370000000002</c:v>
                </c:pt>
                <c:pt idx="591">
                  <c:v>53.725680000000004</c:v>
                </c:pt>
                <c:pt idx="592">
                  <c:v>52.964300000000001</c:v>
                </c:pt>
                <c:pt idx="593">
                  <c:v>51.899949999999997</c:v>
                </c:pt>
                <c:pt idx="594">
                  <c:v>51.024210000000004</c:v>
                </c:pt>
                <c:pt idx="595">
                  <c:v>51.210410000000003</c:v>
                </c:pt>
                <c:pt idx="596">
                  <c:v>50.812690000000003</c:v>
                </c:pt>
                <c:pt idx="597">
                  <c:v>50.785870000000003</c:v>
                </c:pt>
                <c:pt idx="598">
                  <c:v>50.82009</c:v>
                </c:pt>
                <c:pt idx="599">
                  <c:v>50.924469999999999</c:v>
                </c:pt>
                <c:pt idx="600">
                  <c:v>50.93947</c:v>
                </c:pt>
                <c:pt idx="601">
                  <c:v>50.867389999999993</c:v>
                </c:pt>
                <c:pt idx="602">
                  <c:v>51.077439999999996</c:v>
                </c:pt>
                <c:pt idx="603">
                  <c:v>50.826419999999999</c:v>
                </c:pt>
                <c:pt idx="604">
                  <c:v>53.356110000000001</c:v>
                </c:pt>
                <c:pt idx="605">
                  <c:v>54.032259999999994</c:v>
                </c:pt>
                <c:pt idx="606">
                  <c:v>53.457709999999999</c:v>
                </c:pt>
                <c:pt idx="607">
                  <c:v>44.357799999999997</c:v>
                </c:pt>
                <c:pt idx="608">
                  <c:v>44.373469999999998</c:v>
                </c:pt>
                <c:pt idx="609">
                  <c:v>41.79457</c:v>
                </c:pt>
                <c:pt idx="610">
                  <c:v>43.692740000000001</c:v>
                </c:pt>
                <c:pt idx="611">
                  <c:v>42.583269999999999</c:v>
                </c:pt>
                <c:pt idx="612">
                  <c:v>40.007460000000002</c:v>
                </c:pt>
                <c:pt idx="613">
                  <c:v>42.69135</c:v>
                </c:pt>
                <c:pt idx="614">
                  <c:v>40.901479999999999</c:v>
                </c:pt>
                <c:pt idx="615">
                  <c:v>43.279949999999999</c:v>
                </c:pt>
                <c:pt idx="616">
                  <c:v>44.362989999999996</c:v>
                </c:pt>
                <c:pt idx="617">
                  <c:v>44.699109999999997</c:v>
                </c:pt>
                <c:pt idx="618">
                  <c:v>45.218469999999996</c:v>
                </c:pt>
                <c:pt idx="619">
                  <c:v>46.703069999999997</c:v>
                </c:pt>
                <c:pt idx="620">
                  <c:v>61.544759999999997</c:v>
                </c:pt>
                <c:pt idx="621">
                  <c:v>61.066220000000001</c:v>
                </c:pt>
                <c:pt idx="622">
                  <c:v>61.349799999999995</c:v>
                </c:pt>
                <c:pt idx="623">
                  <c:v>58.664369999999998</c:v>
                </c:pt>
                <c:pt idx="624">
                  <c:v>58.678059999999995</c:v>
                </c:pt>
                <c:pt idx="625">
                  <c:v>60.066560000000003</c:v>
                </c:pt>
                <c:pt idx="626">
                  <c:v>60.197189999999999</c:v>
                </c:pt>
                <c:pt idx="627">
                  <c:v>58.972490000000001</c:v>
                </c:pt>
                <c:pt idx="628">
                  <c:v>57.312039999999996</c:v>
                </c:pt>
                <c:pt idx="629">
                  <c:v>59.15063</c:v>
                </c:pt>
                <c:pt idx="630">
                  <c:v>58.207540000000002</c:v>
                </c:pt>
                <c:pt idx="631">
                  <c:v>57.919340000000005</c:v>
                </c:pt>
                <c:pt idx="632">
                  <c:v>57.977349999999994</c:v>
                </c:pt>
                <c:pt idx="633">
                  <c:v>58.297619999999995</c:v>
                </c:pt>
                <c:pt idx="634">
                  <c:v>57.851779999999998</c:v>
                </c:pt>
                <c:pt idx="635">
                  <c:v>58.408519999999996</c:v>
                </c:pt>
                <c:pt idx="636">
                  <c:v>59.197369999999999</c:v>
                </c:pt>
                <c:pt idx="637">
                  <c:v>59.550620000000002</c:v>
                </c:pt>
                <c:pt idx="638">
                  <c:v>59.284109999999998</c:v>
                </c:pt>
                <c:pt idx="639">
                  <c:v>59.321599999999997</c:v>
                </c:pt>
                <c:pt idx="640">
                  <c:v>59.681440000000002</c:v>
                </c:pt>
                <c:pt idx="641">
                  <c:v>59.43524</c:v>
                </c:pt>
                <c:pt idx="642">
                  <c:v>58.691879999999998</c:v>
                </c:pt>
                <c:pt idx="643">
                  <c:v>58.790280000000003</c:v>
                </c:pt>
                <c:pt idx="644">
                  <c:v>58.544160000000005</c:v>
                </c:pt>
                <c:pt idx="645">
                  <c:v>58.298100000000005</c:v>
                </c:pt>
                <c:pt idx="646">
                  <c:v>58.88026</c:v>
                </c:pt>
                <c:pt idx="647">
                  <c:v>58.876159999999999</c:v>
                </c:pt>
                <c:pt idx="648">
                  <c:v>58.783000000000001</c:v>
                </c:pt>
                <c:pt idx="649">
                  <c:v>55.326369999999997</c:v>
                </c:pt>
                <c:pt idx="650">
                  <c:v>55.586260000000003</c:v>
                </c:pt>
                <c:pt idx="651">
                  <c:v>44.12688</c:v>
                </c:pt>
                <c:pt idx="652">
                  <c:v>48.51961</c:v>
                </c:pt>
                <c:pt idx="653">
                  <c:v>48.699219999999997</c:v>
                </c:pt>
                <c:pt idx="654">
                  <c:v>48.748360000000005</c:v>
                </c:pt>
                <c:pt idx="655">
                  <c:v>47.306459999999994</c:v>
                </c:pt>
                <c:pt idx="656">
                  <c:v>47.346170000000001</c:v>
                </c:pt>
                <c:pt idx="657">
                  <c:v>40.607080000000003</c:v>
                </c:pt>
                <c:pt idx="658">
                  <c:v>40.500329999999998</c:v>
                </c:pt>
                <c:pt idx="659">
                  <c:v>40.386809999999997</c:v>
                </c:pt>
                <c:pt idx="660">
                  <c:v>40.385849999999998</c:v>
                </c:pt>
                <c:pt idx="661">
                  <c:v>40.478180000000002</c:v>
                </c:pt>
                <c:pt idx="662">
                  <c:v>40.493739999999995</c:v>
                </c:pt>
                <c:pt idx="663">
                  <c:v>37.300510000000003</c:v>
                </c:pt>
                <c:pt idx="664">
                  <c:v>36.968679999999999</c:v>
                </c:pt>
                <c:pt idx="665">
                  <c:v>35.519149999999996</c:v>
                </c:pt>
                <c:pt idx="666">
                  <c:v>34.950620000000001</c:v>
                </c:pt>
                <c:pt idx="667">
                  <c:v>33.195369999999997</c:v>
                </c:pt>
                <c:pt idx="668">
                  <c:v>33.381689999999999</c:v>
                </c:pt>
                <c:pt idx="669">
                  <c:v>30.411149999999999</c:v>
                </c:pt>
                <c:pt idx="670">
                  <c:v>29.824270000000002</c:v>
                </c:pt>
                <c:pt idx="671">
                  <c:v>29.565160000000002</c:v>
                </c:pt>
                <c:pt idx="672">
                  <c:v>29.681799999999999</c:v>
                </c:pt>
                <c:pt idx="673">
                  <c:v>29.42474</c:v>
                </c:pt>
                <c:pt idx="674">
                  <c:v>29.157440000000001</c:v>
                </c:pt>
                <c:pt idx="675">
                  <c:v>29.233270000000001</c:v>
                </c:pt>
                <c:pt idx="676">
                  <c:v>27.36739</c:v>
                </c:pt>
                <c:pt idx="677">
                  <c:v>25.87182</c:v>
                </c:pt>
                <c:pt idx="678">
                  <c:v>25.834499999999998</c:v>
                </c:pt>
                <c:pt idx="679">
                  <c:v>25.74774</c:v>
                </c:pt>
                <c:pt idx="680">
                  <c:v>25.79523</c:v>
                </c:pt>
                <c:pt idx="681">
                  <c:v>25.076280000000001</c:v>
                </c:pt>
                <c:pt idx="682">
                  <c:v>25.016599999999997</c:v>
                </c:pt>
                <c:pt idx="683">
                  <c:v>24.72766</c:v>
                </c:pt>
                <c:pt idx="684">
                  <c:v>26.178649999999998</c:v>
                </c:pt>
                <c:pt idx="685">
                  <c:v>26.1035</c:v>
                </c:pt>
                <c:pt idx="686">
                  <c:v>25.27431</c:v>
                </c:pt>
                <c:pt idx="687">
                  <c:v>26.277370000000001</c:v>
                </c:pt>
                <c:pt idx="688">
                  <c:v>25.99408</c:v>
                </c:pt>
                <c:pt idx="689">
                  <c:v>25.44022</c:v>
                </c:pt>
                <c:pt idx="690">
                  <c:v>25.707420000000003</c:v>
                </c:pt>
                <c:pt idx="691">
                  <c:v>25.088789999999999</c:v>
                </c:pt>
                <c:pt idx="692">
                  <c:v>24.829259999999998</c:v>
                </c:pt>
                <c:pt idx="693">
                  <c:v>24.705839999999998</c:v>
                </c:pt>
                <c:pt idx="694">
                  <c:v>25.110720000000001</c:v>
                </c:pt>
                <c:pt idx="695">
                  <c:v>24.608690000000003</c:v>
                </c:pt>
                <c:pt idx="696">
                  <c:v>24.704989999999999</c:v>
                </c:pt>
                <c:pt idx="697">
                  <c:v>25.47317</c:v>
                </c:pt>
                <c:pt idx="698">
                  <c:v>25.495140000000003</c:v>
                </c:pt>
                <c:pt idx="699">
                  <c:v>25.401579999999999</c:v>
                </c:pt>
                <c:pt idx="700">
                  <c:v>25.78755</c:v>
                </c:pt>
                <c:pt idx="701">
                  <c:v>22.944659999999999</c:v>
                </c:pt>
                <c:pt idx="702">
                  <c:v>22.718249999999998</c:v>
                </c:pt>
                <c:pt idx="703">
                  <c:v>21.573829999999997</c:v>
                </c:pt>
                <c:pt idx="704">
                  <c:v>21.444569999999999</c:v>
                </c:pt>
                <c:pt idx="705">
                  <c:v>21.472510000000003</c:v>
                </c:pt>
                <c:pt idx="706">
                  <c:v>21.46566</c:v>
                </c:pt>
                <c:pt idx="707">
                  <c:v>21.488989999999998</c:v>
                </c:pt>
              </c:numCache>
            </c:numRef>
          </c:val>
          <c:smooth val="0"/>
          <c:extLst>
            <c:ext xmlns:c16="http://schemas.microsoft.com/office/drawing/2014/chart" uri="{C3380CC4-5D6E-409C-BE32-E72D297353CC}">
              <c16:uniqueId val="{00000001-F31E-4170-9322-6C48FF56580E}"/>
            </c:ext>
          </c:extLst>
        </c:ser>
        <c:ser>
          <c:idx val="3"/>
          <c:order val="3"/>
          <c:tx>
            <c:strRef>
              <c:f>Sheet1!$E$1</c:f>
              <c:strCache>
                <c:ptCount val="1"/>
                <c:pt idx="0">
                  <c:v>Հայաստան (2029թ.)</c:v>
                </c:pt>
              </c:strCache>
            </c:strRef>
          </c:tx>
          <c:spPr>
            <a:ln w="19050" cap="rnd">
              <a:solidFill>
                <a:srgbClr val="C00000"/>
              </a:solidFill>
              <a:round/>
            </a:ln>
            <a:effectLst/>
          </c:spPr>
          <c:marker>
            <c:symbol val="none"/>
          </c:marker>
          <c:cat>
            <c:numRef>
              <c:f>Sheet1!$A$2:$A$971</c:f>
              <c:numCache>
                <c:formatCode>m\/d\/yyyy</c:formatCode>
                <c:ptCount val="709"/>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pt idx="639">
                  <c:v>44726</c:v>
                </c:pt>
                <c:pt idx="640">
                  <c:v>44727</c:v>
                </c:pt>
                <c:pt idx="641">
                  <c:v>44728</c:v>
                </c:pt>
                <c:pt idx="642">
                  <c:v>44729</c:v>
                </c:pt>
                <c:pt idx="643">
                  <c:v>44732</c:v>
                </c:pt>
                <c:pt idx="644">
                  <c:v>44733</c:v>
                </c:pt>
                <c:pt idx="645">
                  <c:v>44734</c:v>
                </c:pt>
                <c:pt idx="646">
                  <c:v>44735</c:v>
                </c:pt>
                <c:pt idx="647">
                  <c:v>44736</c:v>
                </c:pt>
                <c:pt idx="648">
                  <c:v>44739</c:v>
                </c:pt>
                <c:pt idx="649">
                  <c:v>44740</c:v>
                </c:pt>
                <c:pt idx="650">
                  <c:v>44741</c:v>
                </c:pt>
                <c:pt idx="651">
                  <c:v>44742</c:v>
                </c:pt>
                <c:pt idx="652">
                  <c:v>44743</c:v>
                </c:pt>
                <c:pt idx="653">
                  <c:v>44746</c:v>
                </c:pt>
                <c:pt idx="654">
                  <c:v>44747</c:v>
                </c:pt>
                <c:pt idx="655">
                  <c:v>44748</c:v>
                </c:pt>
                <c:pt idx="656">
                  <c:v>44749</c:v>
                </c:pt>
                <c:pt idx="657">
                  <c:v>44750</c:v>
                </c:pt>
                <c:pt idx="658">
                  <c:v>44753</c:v>
                </c:pt>
                <c:pt idx="659">
                  <c:v>44754</c:v>
                </c:pt>
                <c:pt idx="660">
                  <c:v>44755</c:v>
                </c:pt>
                <c:pt idx="661">
                  <c:v>44756</c:v>
                </c:pt>
                <c:pt idx="662">
                  <c:v>44757</c:v>
                </c:pt>
                <c:pt idx="663">
                  <c:v>44760</c:v>
                </c:pt>
                <c:pt idx="664">
                  <c:v>44761</c:v>
                </c:pt>
                <c:pt idx="665">
                  <c:v>44762</c:v>
                </c:pt>
                <c:pt idx="666">
                  <c:v>44763</c:v>
                </c:pt>
                <c:pt idx="667">
                  <c:v>44764</c:v>
                </c:pt>
                <c:pt idx="668">
                  <c:v>44767</c:v>
                </c:pt>
                <c:pt idx="669">
                  <c:v>44768</c:v>
                </c:pt>
                <c:pt idx="670">
                  <c:v>44769</c:v>
                </c:pt>
                <c:pt idx="671">
                  <c:v>44770</c:v>
                </c:pt>
                <c:pt idx="672">
                  <c:v>44771</c:v>
                </c:pt>
                <c:pt idx="673">
                  <c:v>44774</c:v>
                </c:pt>
                <c:pt idx="674">
                  <c:v>44775</c:v>
                </c:pt>
                <c:pt idx="675">
                  <c:v>44776</c:v>
                </c:pt>
                <c:pt idx="676">
                  <c:v>44777</c:v>
                </c:pt>
                <c:pt idx="677">
                  <c:v>44778</c:v>
                </c:pt>
                <c:pt idx="678">
                  <c:v>44781</c:v>
                </c:pt>
                <c:pt idx="679">
                  <c:v>44782</c:v>
                </c:pt>
                <c:pt idx="680">
                  <c:v>44783</c:v>
                </c:pt>
                <c:pt idx="681">
                  <c:v>44784</c:v>
                </c:pt>
                <c:pt idx="682">
                  <c:v>44785</c:v>
                </c:pt>
                <c:pt idx="683">
                  <c:v>44788</c:v>
                </c:pt>
                <c:pt idx="684">
                  <c:v>44789</c:v>
                </c:pt>
                <c:pt idx="685">
                  <c:v>44790</c:v>
                </c:pt>
                <c:pt idx="686">
                  <c:v>44791</c:v>
                </c:pt>
                <c:pt idx="687">
                  <c:v>44792</c:v>
                </c:pt>
                <c:pt idx="688">
                  <c:v>44795</c:v>
                </c:pt>
                <c:pt idx="689">
                  <c:v>44796</c:v>
                </c:pt>
                <c:pt idx="690">
                  <c:v>44797</c:v>
                </c:pt>
                <c:pt idx="691">
                  <c:v>44798</c:v>
                </c:pt>
                <c:pt idx="692">
                  <c:v>44799</c:v>
                </c:pt>
                <c:pt idx="693">
                  <c:v>44802</c:v>
                </c:pt>
                <c:pt idx="694">
                  <c:v>44803</c:v>
                </c:pt>
                <c:pt idx="695">
                  <c:v>44804</c:v>
                </c:pt>
                <c:pt idx="696">
                  <c:v>44805</c:v>
                </c:pt>
                <c:pt idx="697">
                  <c:v>44806</c:v>
                </c:pt>
                <c:pt idx="698">
                  <c:v>44809</c:v>
                </c:pt>
                <c:pt idx="699">
                  <c:v>44810</c:v>
                </c:pt>
                <c:pt idx="700">
                  <c:v>44811</c:v>
                </c:pt>
                <c:pt idx="701">
                  <c:v>44812</c:v>
                </c:pt>
                <c:pt idx="702">
                  <c:v>44813</c:v>
                </c:pt>
                <c:pt idx="703">
                  <c:v>44816</c:v>
                </c:pt>
                <c:pt idx="704">
                  <c:v>44817</c:v>
                </c:pt>
                <c:pt idx="705">
                  <c:v>44818</c:v>
                </c:pt>
                <c:pt idx="706">
                  <c:v>44819</c:v>
                </c:pt>
                <c:pt idx="707">
                  <c:v>44820</c:v>
                </c:pt>
              </c:numCache>
            </c:numRef>
          </c:cat>
          <c:val>
            <c:numRef>
              <c:f>Sheet1!$E$2:$E$971</c:f>
              <c:numCache>
                <c:formatCode>0</c:formatCode>
                <c:ptCount val="709"/>
                <c:pt idx="0">
                  <c:v>2.14879</c:v>
                </c:pt>
                <c:pt idx="1">
                  <c:v>2.17462</c:v>
                </c:pt>
                <c:pt idx="2">
                  <c:v>2.2796500000000002</c:v>
                </c:pt>
                <c:pt idx="3">
                  <c:v>2.3125599999999999</c:v>
                </c:pt>
                <c:pt idx="4">
                  <c:v>2.28478</c:v>
                </c:pt>
                <c:pt idx="5">
                  <c:v>2.2079800000000001</c:v>
                </c:pt>
                <c:pt idx="6">
                  <c:v>2.17014</c:v>
                </c:pt>
                <c:pt idx="7">
                  <c:v>2.1423000000000001</c:v>
                </c:pt>
                <c:pt idx="8">
                  <c:v>2.1438100000000002</c:v>
                </c:pt>
                <c:pt idx="9">
                  <c:v>2.11435</c:v>
                </c:pt>
                <c:pt idx="10">
                  <c:v>2.1318299999999999</c:v>
                </c:pt>
                <c:pt idx="11">
                  <c:v>2.0242</c:v>
                </c:pt>
                <c:pt idx="12">
                  <c:v>2.0536099999999999</c:v>
                </c:pt>
                <c:pt idx="13">
                  <c:v>2.0533099999999997</c:v>
                </c:pt>
                <c:pt idx="14">
                  <c:v>2.0872999999999999</c:v>
                </c:pt>
                <c:pt idx="15">
                  <c:v>2.1050599999999999</c:v>
                </c:pt>
                <c:pt idx="16">
                  <c:v>2.1387499999999999</c:v>
                </c:pt>
                <c:pt idx="17">
                  <c:v>2.1884899999999998</c:v>
                </c:pt>
                <c:pt idx="18">
                  <c:v>2.2852299999999999</c:v>
                </c:pt>
                <c:pt idx="19">
                  <c:v>2.23034</c:v>
                </c:pt>
                <c:pt idx="20">
                  <c:v>2.2744499999999999</c:v>
                </c:pt>
                <c:pt idx="21">
                  <c:v>2.3092699999999997</c:v>
                </c:pt>
                <c:pt idx="22">
                  <c:v>2.3218100000000002</c:v>
                </c:pt>
                <c:pt idx="23">
                  <c:v>2.3416000000000001</c:v>
                </c:pt>
                <c:pt idx="24">
                  <c:v>2.2835300000000003</c:v>
                </c:pt>
                <c:pt idx="25">
                  <c:v>2.2241200000000001</c:v>
                </c:pt>
                <c:pt idx="26">
                  <c:v>2.1983899999999998</c:v>
                </c:pt>
                <c:pt idx="27">
                  <c:v>2.25813</c:v>
                </c:pt>
                <c:pt idx="28">
                  <c:v>2.2837200000000002</c:v>
                </c:pt>
                <c:pt idx="29">
                  <c:v>2.2543199999999999</c:v>
                </c:pt>
                <c:pt idx="30">
                  <c:v>2.21658</c:v>
                </c:pt>
                <c:pt idx="31">
                  <c:v>2.2236899999999999</c:v>
                </c:pt>
                <c:pt idx="32">
                  <c:v>2.2156000000000002</c:v>
                </c:pt>
                <c:pt idx="33">
                  <c:v>2.2041900000000001</c:v>
                </c:pt>
                <c:pt idx="34">
                  <c:v>2.2266300000000001</c:v>
                </c:pt>
                <c:pt idx="35">
                  <c:v>2.2074100000000003</c:v>
                </c:pt>
                <c:pt idx="36">
                  <c:v>2.2519200000000001</c:v>
                </c:pt>
                <c:pt idx="37">
                  <c:v>2.30186</c:v>
                </c:pt>
                <c:pt idx="38">
                  <c:v>2.3882699999999999</c:v>
                </c:pt>
                <c:pt idx="39">
                  <c:v>2.4224399999999999</c:v>
                </c:pt>
                <c:pt idx="40">
                  <c:v>2.3886799999999999</c:v>
                </c:pt>
                <c:pt idx="41">
                  <c:v>2.5421499999999999</c:v>
                </c:pt>
                <c:pt idx="42">
                  <c:v>2.86191</c:v>
                </c:pt>
                <c:pt idx="43">
                  <c:v>2.7976200000000002</c:v>
                </c:pt>
                <c:pt idx="44">
                  <c:v>2.6807400000000001</c:v>
                </c:pt>
                <c:pt idx="45">
                  <c:v>2.71387</c:v>
                </c:pt>
                <c:pt idx="46">
                  <c:v>2.7577499999999997</c:v>
                </c:pt>
                <c:pt idx="47">
                  <c:v>2.91065</c:v>
                </c:pt>
                <c:pt idx="48">
                  <c:v>3.6856499999999999</c:v>
                </c:pt>
                <c:pt idx="49">
                  <c:v>3.5303399999999998</c:v>
                </c:pt>
                <c:pt idx="50">
                  <c:v>3.5012799999999999</c:v>
                </c:pt>
                <c:pt idx="51">
                  <c:v>3.9326499999999998</c:v>
                </c:pt>
                <c:pt idx="52">
                  <c:v>3.7544900000000001</c:v>
                </c:pt>
                <c:pt idx="53">
                  <c:v>4.0647699999999993</c:v>
                </c:pt>
                <c:pt idx="54">
                  <c:v>4.1602800000000002</c:v>
                </c:pt>
                <c:pt idx="55">
                  <c:v>4.7949099999999998</c:v>
                </c:pt>
                <c:pt idx="56">
                  <c:v>4.9957600000000006</c:v>
                </c:pt>
                <c:pt idx="57">
                  <c:v>5.13253</c:v>
                </c:pt>
                <c:pt idx="58">
                  <c:v>5.4236500000000003</c:v>
                </c:pt>
                <c:pt idx="59">
                  <c:v>5.4101700000000008</c:v>
                </c:pt>
                <c:pt idx="60">
                  <c:v>5.1973400000000005</c:v>
                </c:pt>
                <c:pt idx="61">
                  <c:v>4.8066699999999996</c:v>
                </c:pt>
                <c:pt idx="62">
                  <c:v>4.8538499999999996</c:v>
                </c:pt>
                <c:pt idx="63">
                  <c:v>4.9688299999999996</c:v>
                </c:pt>
                <c:pt idx="64">
                  <c:v>4.8330799999999998</c:v>
                </c:pt>
                <c:pt idx="65">
                  <c:v>4.7562299999999995</c:v>
                </c:pt>
                <c:pt idx="66">
                  <c:v>4.7888900000000003</c:v>
                </c:pt>
                <c:pt idx="67">
                  <c:v>4.6257600000000005</c:v>
                </c:pt>
                <c:pt idx="68">
                  <c:v>4.4705000000000004</c:v>
                </c:pt>
                <c:pt idx="69">
                  <c:v>4.4051100000000005</c:v>
                </c:pt>
                <c:pt idx="70">
                  <c:v>4.3835800000000003</c:v>
                </c:pt>
                <c:pt idx="71">
                  <c:v>4.2461900000000004</c:v>
                </c:pt>
                <c:pt idx="72">
                  <c:v>4.2461900000000004</c:v>
                </c:pt>
                <c:pt idx="73">
                  <c:v>4.2461900000000004</c:v>
                </c:pt>
                <c:pt idx="74">
                  <c:v>4.1292399999999994</c:v>
                </c:pt>
                <c:pt idx="75">
                  <c:v>4.2454499999999999</c:v>
                </c:pt>
                <c:pt idx="76">
                  <c:v>4.2790499999999998</c:v>
                </c:pt>
                <c:pt idx="77">
                  <c:v>4.1992000000000003</c:v>
                </c:pt>
                <c:pt idx="78">
                  <c:v>4.1808499999999995</c:v>
                </c:pt>
                <c:pt idx="79">
                  <c:v>4.2344400000000002</c:v>
                </c:pt>
                <c:pt idx="80">
                  <c:v>4.2790800000000004</c:v>
                </c:pt>
                <c:pt idx="81">
                  <c:v>4.2931699999999999</c:v>
                </c:pt>
                <c:pt idx="82">
                  <c:v>4.3017500000000002</c:v>
                </c:pt>
                <c:pt idx="83">
                  <c:v>4.2674200000000004</c:v>
                </c:pt>
                <c:pt idx="84">
                  <c:v>4.3052000000000001</c:v>
                </c:pt>
                <c:pt idx="85">
                  <c:v>4.3018000000000001</c:v>
                </c:pt>
                <c:pt idx="86">
                  <c:v>4.1924400000000004</c:v>
                </c:pt>
                <c:pt idx="87">
                  <c:v>4.2353300000000003</c:v>
                </c:pt>
                <c:pt idx="88">
                  <c:v>4.2440699999999998</c:v>
                </c:pt>
                <c:pt idx="89">
                  <c:v>3.9804599999999999</c:v>
                </c:pt>
                <c:pt idx="90">
                  <c:v>3.9141300000000001</c:v>
                </c:pt>
                <c:pt idx="91">
                  <c:v>4.0500099999999994</c:v>
                </c:pt>
                <c:pt idx="92">
                  <c:v>4.0500099999999994</c:v>
                </c:pt>
                <c:pt idx="93">
                  <c:v>3.7751600000000001</c:v>
                </c:pt>
                <c:pt idx="94">
                  <c:v>3.7976299999999998</c:v>
                </c:pt>
                <c:pt idx="95">
                  <c:v>3.7895299999999996</c:v>
                </c:pt>
                <c:pt idx="96">
                  <c:v>3.7705200000000003</c:v>
                </c:pt>
                <c:pt idx="97">
                  <c:v>3.7708400000000002</c:v>
                </c:pt>
                <c:pt idx="98">
                  <c:v>3.52895</c:v>
                </c:pt>
                <c:pt idx="99">
                  <c:v>3.4916699999999996</c:v>
                </c:pt>
                <c:pt idx="100">
                  <c:v>3.3862099999999997</c:v>
                </c:pt>
                <c:pt idx="101">
                  <c:v>3.3828399999999998</c:v>
                </c:pt>
                <c:pt idx="102">
                  <c:v>3.3611500000000003</c:v>
                </c:pt>
                <c:pt idx="103">
                  <c:v>3.3611500000000003</c:v>
                </c:pt>
                <c:pt idx="104">
                  <c:v>3.32056</c:v>
                </c:pt>
                <c:pt idx="105">
                  <c:v>3.3105900000000004</c:v>
                </c:pt>
                <c:pt idx="106">
                  <c:v>3.3016199999999998</c:v>
                </c:pt>
                <c:pt idx="107">
                  <c:v>3.3260199999999998</c:v>
                </c:pt>
                <c:pt idx="108">
                  <c:v>3.3185500000000001</c:v>
                </c:pt>
                <c:pt idx="109">
                  <c:v>3.3119799999999997</c:v>
                </c:pt>
                <c:pt idx="110">
                  <c:v>3.2496399999999999</c:v>
                </c:pt>
                <c:pt idx="111">
                  <c:v>3.21801</c:v>
                </c:pt>
                <c:pt idx="112">
                  <c:v>3.08623</c:v>
                </c:pt>
                <c:pt idx="113">
                  <c:v>3.1623700000000001</c:v>
                </c:pt>
                <c:pt idx="114">
                  <c:v>3.2072400000000001</c:v>
                </c:pt>
                <c:pt idx="115">
                  <c:v>3.2355099999999997</c:v>
                </c:pt>
                <c:pt idx="116">
                  <c:v>3.4680900000000001</c:v>
                </c:pt>
                <c:pt idx="117">
                  <c:v>3.4871699999999999</c:v>
                </c:pt>
                <c:pt idx="118">
                  <c:v>3.7717399999999999</c:v>
                </c:pt>
                <c:pt idx="119">
                  <c:v>3.6460899999999996</c:v>
                </c:pt>
                <c:pt idx="120">
                  <c:v>3.6988099999999999</c:v>
                </c:pt>
                <c:pt idx="121">
                  <c:v>3.7496800000000001</c:v>
                </c:pt>
                <c:pt idx="122">
                  <c:v>3.7315800000000001</c:v>
                </c:pt>
                <c:pt idx="123">
                  <c:v>3.7484100000000002</c:v>
                </c:pt>
                <c:pt idx="124">
                  <c:v>3.7228300000000001</c:v>
                </c:pt>
                <c:pt idx="125">
                  <c:v>3.72906</c:v>
                </c:pt>
                <c:pt idx="126">
                  <c:v>3.8231200000000003</c:v>
                </c:pt>
                <c:pt idx="127">
                  <c:v>3.8363499999999999</c:v>
                </c:pt>
                <c:pt idx="128">
                  <c:v>3.8613099999999996</c:v>
                </c:pt>
                <c:pt idx="129">
                  <c:v>3.8593299999999999</c:v>
                </c:pt>
                <c:pt idx="130">
                  <c:v>3.8213699999999999</c:v>
                </c:pt>
                <c:pt idx="131">
                  <c:v>3.6245400000000001</c:v>
                </c:pt>
                <c:pt idx="132">
                  <c:v>3.5112999999999999</c:v>
                </c:pt>
                <c:pt idx="133">
                  <c:v>3.5611999999999999</c:v>
                </c:pt>
                <c:pt idx="134">
                  <c:v>3.6230000000000002</c:v>
                </c:pt>
                <c:pt idx="135">
                  <c:v>3.6366100000000001</c:v>
                </c:pt>
                <c:pt idx="136">
                  <c:v>3.6107400000000003</c:v>
                </c:pt>
                <c:pt idx="137">
                  <c:v>3.6284899999999998</c:v>
                </c:pt>
                <c:pt idx="138">
                  <c:v>3.6326100000000001</c:v>
                </c:pt>
                <c:pt idx="139">
                  <c:v>3.6208200000000001</c:v>
                </c:pt>
                <c:pt idx="140">
                  <c:v>3.6221199999999998</c:v>
                </c:pt>
                <c:pt idx="141">
                  <c:v>3.6325799999999999</c:v>
                </c:pt>
                <c:pt idx="142">
                  <c:v>3.66343</c:v>
                </c:pt>
                <c:pt idx="143">
                  <c:v>3.6617200000000003</c:v>
                </c:pt>
                <c:pt idx="144">
                  <c:v>3.6234199999999999</c:v>
                </c:pt>
                <c:pt idx="145">
                  <c:v>3.5771300000000004</c:v>
                </c:pt>
                <c:pt idx="146">
                  <c:v>3.56806</c:v>
                </c:pt>
                <c:pt idx="147">
                  <c:v>3.5600900000000002</c:v>
                </c:pt>
                <c:pt idx="148">
                  <c:v>3.5403600000000002</c:v>
                </c:pt>
                <c:pt idx="149">
                  <c:v>3.5191699999999999</c:v>
                </c:pt>
                <c:pt idx="150">
                  <c:v>3.5195600000000002</c:v>
                </c:pt>
                <c:pt idx="151">
                  <c:v>3.5380399999999996</c:v>
                </c:pt>
                <c:pt idx="152">
                  <c:v>3.5313699999999999</c:v>
                </c:pt>
                <c:pt idx="153">
                  <c:v>3.5316199999999998</c:v>
                </c:pt>
                <c:pt idx="154">
                  <c:v>3.4472800000000001</c:v>
                </c:pt>
                <c:pt idx="155">
                  <c:v>3.3496600000000001</c:v>
                </c:pt>
                <c:pt idx="156">
                  <c:v>3.3302199999999997</c:v>
                </c:pt>
                <c:pt idx="157">
                  <c:v>3.29834</c:v>
                </c:pt>
                <c:pt idx="158">
                  <c:v>3.2496199999999997</c:v>
                </c:pt>
                <c:pt idx="159">
                  <c:v>3.1898</c:v>
                </c:pt>
                <c:pt idx="160">
                  <c:v>3.1698399999999998</c:v>
                </c:pt>
                <c:pt idx="161">
                  <c:v>3.1161500000000002</c:v>
                </c:pt>
                <c:pt idx="162">
                  <c:v>3.0716899999999998</c:v>
                </c:pt>
                <c:pt idx="163">
                  <c:v>3.1462300000000001</c:v>
                </c:pt>
                <c:pt idx="164">
                  <c:v>3.1390800000000003</c:v>
                </c:pt>
                <c:pt idx="165">
                  <c:v>3.1376499999999998</c:v>
                </c:pt>
                <c:pt idx="166">
                  <c:v>3.1591699999999996</c:v>
                </c:pt>
                <c:pt idx="167">
                  <c:v>3.15964</c:v>
                </c:pt>
                <c:pt idx="168">
                  <c:v>3.16038</c:v>
                </c:pt>
                <c:pt idx="169">
                  <c:v>3.0980799999999999</c:v>
                </c:pt>
                <c:pt idx="170">
                  <c:v>3.0943000000000001</c:v>
                </c:pt>
                <c:pt idx="171">
                  <c:v>2.9858699999999998</c:v>
                </c:pt>
                <c:pt idx="172">
                  <c:v>2.9922800000000001</c:v>
                </c:pt>
                <c:pt idx="173">
                  <c:v>2.9922800000000001</c:v>
                </c:pt>
                <c:pt idx="174">
                  <c:v>3.0419400000000003</c:v>
                </c:pt>
                <c:pt idx="175">
                  <c:v>3.0747500000000003</c:v>
                </c:pt>
                <c:pt idx="176">
                  <c:v>3.0803500000000001</c:v>
                </c:pt>
                <c:pt idx="177">
                  <c:v>3.0134300000000001</c:v>
                </c:pt>
                <c:pt idx="178">
                  <c:v>2.9701900000000001</c:v>
                </c:pt>
                <c:pt idx="179">
                  <c:v>3.0564299999999998</c:v>
                </c:pt>
                <c:pt idx="180">
                  <c:v>3.0262900000000004</c:v>
                </c:pt>
                <c:pt idx="181">
                  <c:v>3.0443099999999998</c:v>
                </c:pt>
                <c:pt idx="182">
                  <c:v>3.0667800000000001</c:v>
                </c:pt>
                <c:pt idx="183">
                  <c:v>3.0752199999999998</c:v>
                </c:pt>
                <c:pt idx="184">
                  <c:v>3.0552800000000002</c:v>
                </c:pt>
                <c:pt idx="185">
                  <c:v>3.0535600000000001</c:v>
                </c:pt>
                <c:pt idx="186">
                  <c:v>3.0538799999999999</c:v>
                </c:pt>
                <c:pt idx="187">
                  <c:v>3.02834</c:v>
                </c:pt>
                <c:pt idx="188">
                  <c:v>3.1154199999999999</c:v>
                </c:pt>
                <c:pt idx="189">
                  <c:v>3.1242800000000002</c:v>
                </c:pt>
                <c:pt idx="190">
                  <c:v>3.13849</c:v>
                </c:pt>
                <c:pt idx="191">
                  <c:v>3.2041899999999996</c:v>
                </c:pt>
                <c:pt idx="192">
                  <c:v>3.1896199999999997</c:v>
                </c:pt>
                <c:pt idx="193">
                  <c:v>3.7126299999999999</c:v>
                </c:pt>
                <c:pt idx="194">
                  <c:v>3.9213099999999996</c:v>
                </c:pt>
                <c:pt idx="195">
                  <c:v>3.6451799999999999</c:v>
                </c:pt>
                <c:pt idx="196">
                  <c:v>3.4714</c:v>
                </c:pt>
                <c:pt idx="197">
                  <c:v>3.3928400000000001</c:v>
                </c:pt>
                <c:pt idx="198">
                  <c:v>3.3456400000000004</c:v>
                </c:pt>
                <c:pt idx="199">
                  <c:v>3.3366000000000002</c:v>
                </c:pt>
                <c:pt idx="200">
                  <c:v>3.3575099999999996</c:v>
                </c:pt>
                <c:pt idx="201">
                  <c:v>3.3536299999999999</c:v>
                </c:pt>
                <c:pt idx="202">
                  <c:v>3.2927599999999999</c:v>
                </c:pt>
                <c:pt idx="203">
                  <c:v>3.2936200000000002</c:v>
                </c:pt>
                <c:pt idx="204">
                  <c:v>3.3267599999999997</c:v>
                </c:pt>
                <c:pt idx="205">
                  <c:v>3.4458800000000003</c:v>
                </c:pt>
                <c:pt idx="206">
                  <c:v>3.5888600000000004</c:v>
                </c:pt>
                <c:pt idx="207">
                  <c:v>3.5673700000000004</c:v>
                </c:pt>
                <c:pt idx="208">
                  <c:v>3.48969</c:v>
                </c:pt>
                <c:pt idx="209">
                  <c:v>3.4986099999999998</c:v>
                </c:pt>
                <c:pt idx="210">
                  <c:v>3.5101499999999999</c:v>
                </c:pt>
                <c:pt idx="211">
                  <c:v>3.5485700000000002</c:v>
                </c:pt>
                <c:pt idx="212">
                  <c:v>3.5536099999999999</c:v>
                </c:pt>
                <c:pt idx="213">
                  <c:v>3.6854899999999997</c:v>
                </c:pt>
                <c:pt idx="214">
                  <c:v>3.7522699999999998</c:v>
                </c:pt>
                <c:pt idx="215">
                  <c:v>3.8217899999999996</c:v>
                </c:pt>
                <c:pt idx="216">
                  <c:v>3.8881599999999996</c:v>
                </c:pt>
                <c:pt idx="217">
                  <c:v>3.8740800000000002</c:v>
                </c:pt>
                <c:pt idx="218">
                  <c:v>4.0236499999999999</c:v>
                </c:pt>
                <c:pt idx="219">
                  <c:v>3.9161200000000003</c:v>
                </c:pt>
                <c:pt idx="220">
                  <c:v>3.93899</c:v>
                </c:pt>
                <c:pt idx="221">
                  <c:v>3.8626400000000003</c:v>
                </c:pt>
                <c:pt idx="222">
                  <c:v>3.8547500000000001</c:v>
                </c:pt>
                <c:pt idx="223">
                  <c:v>3.6699599999999997</c:v>
                </c:pt>
                <c:pt idx="224">
                  <c:v>3.2979000000000003</c:v>
                </c:pt>
                <c:pt idx="225">
                  <c:v>3.2522800000000003</c:v>
                </c:pt>
                <c:pt idx="226">
                  <c:v>3.3900200000000003</c:v>
                </c:pt>
                <c:pt idx="227">
                  <c:v>3.3529500000000003</c:v>
                </c:pt>
                <c:pt idx="228">
                  <c:v>3.3780700000000001</c:v>
                </c:pt>
                <c:pt idx="229">
                  <c:v>3.4543599999999999</c:v>
                </c:pt>
                <c:pt idx="230">
                  <c:v>3.4683999999999999</c:v>
                </c:pt>
                <c:pt idx="231">
                  <c:v>3.51512</c:v>
                </c:pt>
                <c:pt idx="232">
                  <c:v>3.5804100000000001</c:v>
                </c:pt>
                <c:pt idx="233">
                  <c:v>3.5558800000000002</c:v>
                </c:pt>
                <c:pt idx="234">
                  <c:v>3.4860500000000001</c:v>
                </c:pt>
                <c:pt idx="235">
                  <c:v>3.42265</c:v>
                </c:pt>
                <c:pt idx="236">
                  <c:v>3.45669</c:v>
                </c:pt>
                <c:pt idx="237">
                  <c:v>3.5367200000000003</c:v>
                </c:pt>
                <c:pt idx="238">
                  <c:v>3.5433400000000002</c:v>
                </c:pt>
                <c:pt idx="239">
                  <c:v>3.4745499999999998</c:v>
                </c:pt>
                <c:pt idx="240">
                  <c:v>3.4599299999999999</c:v>
                </c:pt>
                <c:pt idx="241">
                  <c:v>3.31088</c:v>
                </c:pt>
                <c:pt idx="242">
                  <c:v>3.0430000000000001</c:v>
                </c:pt>
                <c:pt idx="243">
                  <c:v>3.0615600000000001</c:v>
                </c:pt>
                <c:pt idx="244">
                  <c:v>3.0823300000000002</c:v>
                </c:pt>
                <c:pt idx="245">
                  <c:v>3.0535899999999998</c:v>
                </c:pt>
                <c:pt idx="246">
                  <c:v>3.12616</c:v>
                </c:pt>
                <c:pt idx="247">
                  <c:v>3.1555300000000002</c:v>
                </c:pt>
                <c:pt idx="248">
                  <c:v>3.1454500000000003</c:v>
                </c:pt>
                <c:pt idx="249">
                  <c:v>3.0667</c:v>
                </c:pt>
                <c:pt idx="250">
                  <c:v>3.0352699999999997</c:v>
                </c:pt>
                <c:pt idx="251">
                  <c:v>2.9950599999999996</c:v>
                </c:pt>
                <c:pt idx="252">
                  <c:v>2.9326499999999998</c:v>
                </c:pt>
                <c:pt idx="253">
                  <c:v>2.9688400000000001</c:v>
                </c:pt>
                <c:pt idx="254">
                  <c:v>3.0091300000000003</c:v>
                </c:pt>
                <c:pt idx="255">
                  <c:v>2.9545600000000003</c:v>
                </c:pt>
                <c:pt idx="256">
                  <c:v>2.9950599999999996</c:v>
                </c:pt>
                <c:pt idx="257">
                  <c:v>2.9950599999999996</c:v>
                </c:pt>
                <c:pt idx="258">
                  <c:v>2.9950599999999996</c:v>
                </c:pt>
                <c:pt idx="259">
                  <c:v>2.9982600000000001</c:v>
                </c:pt>
                <c:pt idx="260">
                  <c:v>3.0060700000000002</c:v>
                </c:pt>
                <c:pt idx="261">
                  <c:v>2.99743</c:v>
                </c:pt>
                <c:pt idx="262">
                  <c:v>2.99743</c:v>
                </c:pt>
                <c:pt idx="263">
                  <c:v>2.9788600000000001</c:v>
                </c:pt>
                <c:pt idx="264">
                  <c:v>2.9282999999999997</c:v>
                </c:pt>
                <c:pt idx="265">
                  <c:v>2.8459599999999998</c:v>
                </c:pt>
                <c:pt idx="266">
                  <c:v>2.82056</c:v>
                </c:pt>
                <c:pt idx="267">
                  <c:v>2.7642399999999996</c:v>
                </c:pt>
                <c:pt idx="268">
                  <c:v>2.7136100000000001</c:v>
                </c:pt>
                <c:pt idx="269">
                  <c:v>2.7103100000000002</c:v>
                </c:pt>
                <c:pt idx="270">
                  <c:v>2.7168700000000001</c:v>
                </c:pt>
                <c:pt idx="271">
                  <c:v>2.5497900000000002</c:v>
                </c:pt>
                <c:pt idx="272">
                  <c:v>2.5450200000000001</c:v>
                </c:pt>
                <c:pt idx="273">
                  <c:v>2.5785399999999998</c:v>
                </c:pt>
                <c:pt idx="274">
                  <c:v>2.5956299999999999</c:v>
                </c:pt>
                <c:pt idx="275">
                  <c:v>2.6229899999999997</c:v>
                </c:pt>
                <c:pt idx="276">
                  <c:v>2.6014499999999998</c:v>
                </c:pt>
                <c:pt idx="277">
                  <c:v>2.6240800000000002</c:v>
                </c:pt>
                <c:pt idx="278">
                  <c:v>2.79569</c:v>
                </c:pt>
                <c:pt idx="279">
                  <c:v>2.7212299999999998</c:v>
                </c:pt>
                <c:pt idx="280">
                  <c:v>2.7925499999999999</c:v>
                </c:pt>
                <c:pt idx="281">
                  <c:v>2.7655599999999998</c:v>
                </c:pt>
                <c:pt idx="282">
                  <c:v>2.7112799999999999</c:v>
                </c:pt>
                <c:pt idx="283">
                  <c:v>2.7031700000000001</c:v>
                </c:pt>
                <c:pt idx="284">
                  <c:v>2.6779099999999998</c:v>
                </c:pt>
                <c:pt idx="285">
                  <c:v>2.6100300000000001</c:v>
                </c:pt>
                <c:pt idx="286">
                  <c:v>2.6377100000000002</c:v>
                </c:pt>
                <c:pt idx="287">
                  <c:v>2.6432100000000003</c:v>
                </c:pt>
                <c:pt idx="288">
                  <c:v>2.6179800000000002</c:v>
                </c:pt>
                <c:pt idx="289">
                  <c:v>2.7119900000000001</c:v>
                </c:pt>
                <c:pt idx="290">
                  <c:v>2.6463299999999998</c:v>
                </c:pt>
                <c:pt idx="291">
                  <c:v>2.76586</c:v>
                </c:pt>
                <c:pt idx="292">
                  <c:v>2.7382299999999997</c:v>
                </c:pt>
                <c:pt idx="293">
                  <c:v>2.8201799999999997</c:v>
                </c:pt>
                <c:pt idx="294">
                  <c:v>2.8170800000000003</c:v>
                </c:pt>
                <c:pt idx="295">
                  <c:v>2.78308</c:v>
                </c:pt>
                <c:pt idx="296">
                  <c:v>2.8569299999999997</c:v>
                </c:pt>
                <c:pt idx="297">
                  <c:v>2.681</c:v>
                </c:pt>
                <c:pt idx="298">
                  <c:v>2.7654300000000003</c:v>
                </c:pt>
                <c:pt idx="299">
                  <c:v>2.7513400000000003</c:v>
                </c:pt>
                <c:pt idx="300">
                  <c:v>2.7378800000000001</c:v>
                </c:pt>
                <c:pt idx="301">
                  <c:v>2.9769400000000004</c:v>
                </c:pt>
                <c:pt idx="302">
                  <c:v>2.9453500000000004</c:v>
                </c:pt>
                <c:pt idx="303">
                  <c:v>2.8936999999999999</c:v>
                </c:pt>
                <c:pt idx="304">
                  <c:v>2.8837400000000004</c:v>
                </c:pt>
                <c:pt idx="305">
                  <c:v>2.7853399999999997</c:v>
                </c:pt>
                <c:pt idx="306">
                  <c:v>2.7695800000000004</c:v>
                </c:pt>
                <c:pt idx="307">
                  <c:v>2.9010099999999999</c:v>
                </c:pt>
                <c:pt idx="308">
                  <c:v>2.9535500000000003</c:v>
                </c:pt>
                <c:pt idx="309">
                  <c:v>2.9634800000000001</c:v>
                </c:pt>
                <c:pt idx="310">
                  <c:v>2.9782199999999999</c:v>
                </c:pt>
                <c:pt idx="311">
                  <c:v>2.91188</c:v>
                </c:pt>
                <c:pt idx="312">
                  <c:v>2.8578800000000002</c:v>
                </c:pt>
                <c:pt idx="313">
                  <c:v>2.8453900000000001</c:v>
                </c:pt>
                <c:pt idx="314">
                  <c:v>2.8749000000000002</c:v>
                </c:pt>
                <c:pt idx="315">
                  <c:v>3.09449</c:v>
                </c:pt>
                <c:pt idx="316">
                  <c:v>3.1298599999999999</c:v>
                </c:pt>
                <c:pt idx="317">
                  <c:v>3.02501</c:v>
                </c:pt>
                <c:pt idx="318">
                  <c:v>3.0788700000000002</c:v>
                </c:pt>
                <c:pt idx="319">
                  <c:v>3.1195900000000001</c:v>
                </c:pt>
                <c:pt idx="320">
                  <c:v>3.1289100000000003</c:v>
                </c:pt>
                <c:pt idx="321">
                  <c:v>3.1380500000000002</c:v>
                </c:pt>
                <c:pt idx="322">
                  <c:v>3.1548799999999999</c:v>
                </c:pt>
                <c:pt idx="323">
                  <c:v>3.0326299999999997</c:v>
                </c:pt>
                <c:pt idx="324">
                  <c:v>3.02068</c:v>
                </c:pt>
                <c:pt idx="325">
                  <c:v>3.0061300000000002</c:v>
                </c:pt>
                <c:pt idx="326">
                  <c:v>3.0270299999999999</c:v>
                </c:pt>
                <c:pt idx="327">
                  <c:v>3.0270299999999999</c:v>
                </c:pt>
                <c:pt idx="328">
                  <c:v>3.0270299999999999</c:v>
                </c:pt>
                <c:pt idx="329">
                  <c:v>3.0639600000000002</c:v>
                </c:pt>
                <c:pt idx="330">
                  <c:v>3.0337999999999998</c:v>
                </c:pt>
                <c:pt idx="331">
                  <c:v>3.0307299999999997</c:v>
                </c:pt>
                <c:pt idx="332">
                  <c:v>3.0693799999999998</c:v>
                </c:pt>
                <c:pt idx="333">
                  <c:v>3.0452699999999999</c:v>
                </c:pt>
                <c:pt idx="334">
                  <c:v>3.0436200000000002</c:v>
                </c:pt>
                <c:pt idx="335">
                  <c:v>3.0587099999999996</c:v>
                </c:pt>
                <c:pt idx="336">
                  <c:v>3.1326999999999998</c:v>
                </c:pt>
                <c:pt idx="337">
                  <c:v>3.0809199999999999</c:v>
                </c:pt>
                <c:pt idx="338">
                  <c:v>3.0550799999999998</c:v>
                </c:pt>
                <c:pt idx="339">
                  <c:v>2.9878500000000003</c:v>
                </c:pt>
                <c:pt idx="340">
                  <c:v>3.0235300000000001</c:v>
                </c:pt>
                <c:pt idx="341">
                  <c:v>3.0471499999999998</c:v>
                </c:pt>
                <c:pt idx="342">
                  <c:v>3.0378400000000001</c:v>
                </c:pt>
                <c:pt idx="343">
                  <c:v>2.9915099999999999</c:v>
                </c:pt>
                <c:pt idx="344">
                  <c:v>2.9767700000000001</c:v>
                </c:pt>
                <c:pt idx="345">
                  <c:v>3.0258400000000001</c:v>
                </c:pt>
                <c:pt idx="346">
                  <c:v>2.97051</c:v>
                </c:pt>
                <c:pt idx="347">
                  <c:v>3.0819299999999998</c:v>
                </c:pt>
                <c:pt idx="348">
                  <c:v>3.0819299999999998</c:v>
                </c:pt>
                <c:pt idx="349">
                  <c:v>3.1031999999999997</c:v>
                </c:pt>
                <c:pt idx="350">
                  <c:v>2.9906200000000003</c:v>
                </c:pt>
                <c:pt idx="351">
                  <c:v>2.9403100000000002</c:v>
                </c:pt>
                <c:pt idx="352">
                  <c:v>2.80783</c:v>
                </c:pt>
                <c:pt idx="353">
                  <c:v>2.7587999999999999</c:v>
                </c:pt>
                <c:pt idx="354">
                  <c:v>2.7968999999999999</c:v>
                </c:pt>
                <c:pt idx="355">
                  <c:v>2.7587799999999998</c:v>
                </c:pt>
                <c:pt idx="356">
                  <c:v>2.8547799999999999</c:v>
                </c:pt>
                <c:pt idx="357">
                  <c:v>2.8526199999999999</c:v>
                </c:pt>
                <c:pt idx="358">
                  <c:v>2.8939400000000002</c:v>
                </c:pt>
                <c:pt idx="359">
                  <c:v>2.9039999999999999</c:v>
                </c:pt>
                <c:pt idx="360">
                  <c:v>2.8517600000000001</c:v>
                </c:pt>
                <c:pt idx="361">
                  <c:v>2.9126499999999997</c:v>
                </c:pt>
                <c:pt idx="362">
                  <c:v>2.9082100000000004</c:v>
                </c:pt>
                <c:pt idx="363">
                  <c:v>2.9306900000000002</c:v>
                </c:pt>
                <c:pt idx="364">
                  <c:v>2.9479700000000002</c:v>
                </c:pt>
                <c:pt idx="365">
                  <c:v>2.94339</c:v>
                </c:pt>
                <c:pt idx="366">
                  <c:v>2.9116699999999995</c:v>
                </c:pt>
                <c:pt idx="367">
                  <c:v>2.9711799999999999</c:v>
                </c:pt>
                <c:pt idx="368">
                  <c:v>2.9711799999999999</c:v>
                </c:pt>
                <c:pt idx="369">
                  <c:v>2.8885800000000001</c:v>
                </c:pt>
                <c:pt idx="370">
                  <c:v>2.9550299999999998</c:v>
                </c:pt>
                <c:pt idx="371">
                  <c:v>2.92543</c:v>
                </c:pt>
                <c:pt idx="372">
                  <c:v>2.9559100000000003</c:v>
                </c:pt>
                <c:pt idx="373">
                  <c:v>2.97044</c:v>
                </c:pt>
                <c:pt idx="374">
                  <c:v>2.9860199999999999</c:v>
                </c:pt>
                <c:pt idx="375">
                  <c:v>2.99878</c:v>
                </c:pt>
                <c:pt idx="376">
                  <c:v>3.0228600000000001</c:v>
                </c:pt>
                <c:pt idx="377">
                  <c:v>2.9861800000000001</c:v>
                </c:pt>
                <c:pt idx="378">
                  <c:v>2.9668599999999996</c:v>
                </c:pt>
                <c:pt idx="379">
                  <c:v>2.9641199999999999</c:v>
                </c:pt>
                <c:pt idx="380">
                  <c:v>2.8959899999999998</c:v>
                </c:pt>
                <c:pt idx="381">
                  <c:v>2.9884900000000001</c:v>
                </c:pt>
                <c:pt idx="382">
                  <c:v>3.0250599999999999</c:v>
                </c:pt>
                <c:pt idx="383">
                  <c:v>2.8889200000000002</c:v>
                </c:pt>
                <c:pt idx="384">
                  <c:v>2.9272199999999997</c:v>
                </c:pt>
                <c:pt idx="385">
                  <c:v>2.8347600000000002</c:v>
                </c:pt>
                <c:pt idx="386">
                  <c:v>2.7431200000000002</c:v>
                </c:pt>
                <c:pt idx="387">
                  <c:v>2.6572199999999997</c:v>
                </c:pt>
                <c:pt idx="388">
                  <c:v>2.7382200000000001</c:v>
                </c:pt>
                <c:pt idx="389">
                  <c:v>2.75318</c:v>
                </c:pt>
                <c:pt idx="390">
                  <c:v>2.7776100000000001</c:v>
                </c:pt>
                <c:pt idx="391">
                  <c:v>2.6958800000000003</c:v>
                </c:pt>
                <c:pt idx="392">
                  <c:v>2.7923</c:v>
                </c:pt>
                <c:pt idx="393">
                  <c:v>2.7541000000000002</c:v>
                </c:pt>
                <c:pt idx="394">
                  <c:v>2.8191600000000001</c:v>
                </c:pt>
                <c:pt idx="395">
                  <c:v>2.7650299999999999</c:v>
                </c:pt>
                <c:pt idx="396">
                  <c:v>2.7971499999999998</c:v>
                </c:pt>
                <c:pt idx="397">
                  <c:v>2.7276699999999998</c:v>
                </c:pt>
                <c:pt idx="398">
                  <c:v>2.7250000000000001</c:v>
                </c:pt>
                <c:pt idx="399">
                  <c:v>2.6894900000000002</c:v>
                </c:pt>
                <c:pt idx="400">
                  <c:v>2.72471</c:v>
                </c:pt>
                <c:pt idx="401">
                  <c:v>2.7652600000000001</c:v>
                </c:pt>
                <c:pt idx="402">
                  <c:v>2.78335</c:v>
                </c:pt>
                <c:pt idx="403">
                  <c:v>2.9030100000000001</c:v>
                </c:pt>
                <c:pt idx="404">
                  <c:v>2.8401299999999998</c:v>
                </c:pt>
                <c:pt idx="405">
                  <c:v>2.8482499999999997</c:v>
                </c:pt>
                <c:pt idx="406">
                  <c:v>2.8919999999999999</c:v>
                </c:pt>
                <c:pt idx="407">
                  <c:v>2.8855599999999999</c:v>
                </c:pt>
                <c:pt idx="408">
                  <c:v>2.89235</c:v>
                </c:pt>
                <c:pt idx="409">
                  <c:v>2.91323</c:v>
                </c:pt>
                <c:pt idx="410">
                  <c:v>2.8931799999999996</c:v>
                </c:pt>
                <c:pt idx="411">
                  <c:v>2.8778600000000001</c:v>
                </c:pt>
                <c:pt idx="412">
                  <c:v>2.9047000000000001</c:v>
                </c:pt>
                <c:pt idx="413">
                  <c:v>2.9304800000000002</c:v>
                </c:pt>
                <c:pt idx="414">
                  <c:v>2.9410399999999997</c:v>
                </c:pt>
                <c:pt idx="415">
                  <c:v>2.94217</c:v>
                </c:pt>
                <c:pt idx="416">
                  <c:v>2.8948200000000002</c:v>
                </c:pt>
                <c:pt idx="417">
                  <c:v>2.8582799999999997</c:v>
                </c:pt>
                <c:pt idx="418">
                  <c:v>2.8556400000000002</c:v>
                </c:pt>
                <c:pt idx="419">
                  <c:v>2.8413200000000001</c:v>
                </c:pt>
                <c:pt idx="420">
                  <c:v>2.85995</c:v>
                </c:pt>
                <c:pt idx="421">
                  <c:v>2.8927899999999998</c:v>
                </c:pt>
                <c:pt idx="422">
                  <c:v>2.8878500000000003</c:v>
                </c:pt>
                <c:pt idx="423">
                  <c:v>2.9235600000000002</c:v>
                </c:pt>
                <c:pt idx="424">
                  <c:v>2.9170699999999998</c:v>
                </c:pt>
                <c:pt idx="425">
                  <c:v>2.9215100000000001</c:v>
                </c:pt>
                <c:pt idx="426">
                  <c:v>2.9240200000000001</c:v>
                </c:pt>
                <c:pt idx="427">
                  <c:v>2.9036</c:v>
                </c:pt>
                <c:pt idx="428">
                  <c:v>2.9247500000000004</c:v>
                </c:pt>
                <c:pt idx="429">
                  <c:v>2.9017899999999996</c:v>
                </c:pt>
                <c:pt idx="430">
                  <c:v>2.8480300000000001</c:v>
                </c:pt>
                <c:pt idx="431">
                  <c:v>2.8529</c:v>
                </c:pt>
                <c:pt idx="432">
                  <c:v>2.8592500000000003</c:v>
                </c:pt>
                <c:pt idx="433">
                  <c:v>2.8592500000000003</c:v>
                </c:pt>
                <c:pt idx="434">
                  <c:v>2.8686000000000003</c:v>
                </c:pt>
                <c:pt idx="435">
                  <c:v>2.8278099999999999</c:v>
                </c:pt>
                <c:pt idx="436">
                  <c:v>2.8006599999999997</c:v>
                </c:pt>
                <c:pt idx="437">
                  <c:v>2.7367300000000001</c:v>
                </c:pt>
                <c:pt idx="438">
                  <c:v>2.79027</c:v>
                </c:pt>
                <c:pt idx="439">
                  <c:v>2.7648200000000003</c:v>
                </c:pt>
                <c:pt idx="440">
                  <c:v>2.7221199999999999</c:v>
                </c:pt>
                <c:pt idx="441">
                  <c:v>2.7552699999999999</c:v>
                </c:pt>
                <c:pt idx="442">
                  <c:v>2.6864100000000004</c:v>
                </c:pt>
                <c:pt idx="443">
                  <c:v>2.7035500000000003</c:v>
                </c:pt>
                <c:pt idx="444">
                  <c:v>2.7300299999999997</c:v>
                </c:pt>
                <c:pt idx="445">
                  <c:v>2.68933</c:v>
                </c:pt>
                <c:pt idx="446">
                  <c:v>2.6720199999999998</c:v>
                </c:pt>
                <c:pt idx="447">
                  <c:v>2.67028</c:v>
                </c:pt>
                <c:pt idx="448">
                  <c:v>2.7572500000000004</c:v>
                </c:pt>
                <c:pt idx="449">
                  <c:v>2.7308400000000002</c:v>
                </c:pt>
                <c:pt idx="450">
                  <c:v>2.7346599999999999</c:v>
                </c:pt>
                <c:pt idx="451">
                  <c:v>2.6855599999999997</c:v>
                </c:pt>
                <c:pt idx="452">
                  <c:v>2.7381000000000002</c:v>
                </c:pt>
                <c:pt idx="453">
                  <c:v>2.7343099999999998</c:v>
                </c:pt>
                <c:pt idx="454">
                  <c:v>2.7881799999999997</c:v>
                </c:pt>
                <c:pt idx="455">
                  <c:v>2.8481999999999998</c:v>
                </c:pt>
                <c:pt idx="456">
                  <c:v>2.87262</c:v>
                </c:pt>
                <c:pt idx="457">
                  <c:v>2.9224900000000003</c:v>
                </c:pt>
                <c:pt idx="458">
                  <c:v>2.9633999999999996</c:v>
                </c:pt>
                <c:pt idx="459">
                  <c:v>2.9785500000000003</c:v>
                </c:pt>
                <c:pt idx="460">
                  <c:v>2.9831099999999999</c:v>
                </c:pt>
                <c:pt idx="461">
                  <c:v>2.9245800000000002</c:v>
                </c:pt>
                <c:pt idx="462">
                  <c:v>2.9174500000000001</c:v>
                </c:pt>
                <c:pt idx="463">
                  <c:v>2.89812</c:v>
                </c:pt>
                <c:pt idx="464">
                  <c:v>2.9007400000000003</c:v>
                </c:pt>
                <c:pt idx="465">
                  <c:v>2.8535000000000004</c:v>
                </c:pt>
                <c:pt idx="466">
                  <c:v>2.7111800000000001</c:v>
                </c:pt>
                <c:pt idx="467">
                  <c:v>2.7813400000000001</c:v>
                </c:pt>
                <c:pt idx="468">
                  <c:v>2.7224900000000001</c:v>
                </c:pt>
                <c:pt idx="469">
                  <c:v>2.73421</c:v>
                </c:pt>
                <c:pt idx="470">
                  <c:v>2.7480099999999998</c:v>
                </c:pt>
                <c:pt idx="471">
                  <c:v>2.6865499999999995</c:v>
                </c:pt>
                <c:pt idx="472">
                  <c:v>2.58968</c:v>
                </c:pt>
                <c:pt idx="473">
                  <c:v>2.7023000000000001</c:v>
                </c:pt>
                <c:pt idx="474">
                  <c:v>2.7173099999999999</c:v>
                </c:pt>
                <c:pt idx="475">
                  <c:v>2.7805900000000001</c:v>
                </c:pt>
                <c:pt idx="476">
                  <c:v>2.7747699999999997</c:v>
                </c:pt>
                <c:pt idx="477">
                  <c:v>2.7781400000000001</c:v>
                </c:pt>
                <c:pt idx="478">
                  <c:v>3.0287799999999998</c:v>
                </c:pt>
                <c:pt idx="479">
                  <c:v>3.0670199999999999</c:v>
                </c:pt>
                <c:pt idx="480">
                  <c:v>3.0307999999999997</c:v>
                </c:pt>
                <c:pt idx="481">
                  <c:v>3.06786</c:v>
                </c:pt>
                <c:pt idx="482">
                  <c:v>3.1458400000000002</c:v>
                </c:pt>
                <c:pt idx="483">
                  <c:v>3.0841399999999997</c:v>
                </c:pt>
                <c:pt idx="484">
                  <c:v>3.1056400000000002</c:v>
                </c:pt>
                <c:pt idx="485">
                  <c:v>3.0465300000000002</c:v>
                </c:pt>
                <c:pt idx="486">
                  <c:v>3.0342000000000002</c:v>
                </c:pt>
                <c:pt idx="487">
                  <c:v>3.03593</c:v>
                </c:pt>
                <c:pt idx="488">
                  <c:v>2.9813600000000005</c:v>
                </c:pt>
                <c:pt idx="489">
                  <c:v>2.9936200000000004</c:v>
                </c:pt>
                <c:pt idx="490">
                  <c:v>3.0868099999999998</c:v>
                </c:pt>
                <c:pt idx="491">
                  <c:v>3.1251799999999998</c:v>
                </c:pt>
                <c:pt idx="492">
                  <c:v>3.0879799999999999</c:v>
                </c:pt>
                <c:pt idx="493">
                  <c:v>3.0203100000000003</c:v>
                </c:pt>
                <c:pt idx="494">
                  <c:v>3.1241099999999999</c:v>
                </c:pt>
                <c:pt idx="495">
                  <c:v>3.11402</c:v>
                </c:pt>
                <c:pt idx="496">
                  <c:v>3.1183199999999998</c:v>
                </c:pt>
                <c:pt idx="497">
                  <c:v>3.3507400000000001</c:v>
                </c:pt>
                <c:pt idx="498">
                  <c:v>3.2997100000000001</c:v>
                </c:pt>
                <c:pt idx="499">
                  <c:v>3.3709600000000002</c:v>
                </c:pt>
                <c:pt idx="500">
                  <c:v>3.3325999999999998</c:v>
                </c:pt>
                <c:pt idx="501">
                  <c:v>3.2688299999999999</c:v>
                </c:pt>
                <c:pt idx="502">
                  <c:v>3.3465400000000001</c:v>
                </c:pt>
                <c:pt idx="503">
                  <c:v>3.2786399999999998</c:v>
                </c:pt>
                <c:pt idx="504">
                  <c:v>3.1503500000000004</c:v>
                </c:pt>
                <c:pt idx="505">
                  <c:v>3.1352999999999995</c:v>
                </c:pt>
                <c:pt idx="506">
                  <c:v>3.1491400000000001</c:v>
                </c:pt>
                <c:pt idx="507">
                  <c:v>3.1255700000000002</c:v>
                </c:pt>
                <c:pt idx="508">
                  <c:v>3.1629899999999997</c:v>
                </c:pt>
                <c:pt idx="509">
                  <c:v>3.1528300000000002</c:v>
                </c:pt>
                <c:pt idx="510">
                  <c:v>3.1496300000000002</c:v>
                </c:pt>
                <c:pt idx="511">
                  <c:v>3.1910000000000003</c:v>
                </c:pt>
                <c:pt idx="512">
                  <c:v>3.1676699999999998</c:v>
                </c:pt>
                <c:pt idx="513">
                  <c:v>3.1587700000000001</c:v>
                </c:pt>
                <c:pt idx="514">
                  <c:v>3.1240300000000003</c:v>
                </c:pt>
                <c:pt idx="515">
                  <c:v>3.1354099999999998</c:v>
                </c:pt>
                <c:pt idx="516">
                  <c:v>3.0960700000000001</c:v>
                </c:pt>
                <c:pt idx="517">
                  <c:v>3.0957100000000004</c:v>
                </c:pt>
                <c:pt idx="518">
                  <c:v>3.0957100000000004</c:v>
                </c:pt>
                <c:pt idx="519">
                  <c:v>3.0957100000000004</c:v>
                </c:pt>
                <c:pt idx="520">
                  <c:v>3.0774500000000002</c:v>
                </c:pt>
                <c:pt idx="521">
                  <c:v>3.1029599999999999</c:v>
                </c:pt>
                <c:pt idx="522">
                  <c:v>3.1067399999999998</c:v>
                </c:pt>
                <c:pt idx="523">
                  <c:v>3.1067399999999998</c:v>
                </c:pt>
                <c:pt idx="524">
                  <c:v>3.0067599999999999</c:v>
                </c:pt>
                <c:pt idx="525">
                  <c:v>2.9923299999999999</c:v>
                </c:pt>
                <c:pt idx="526">
                  <c:v>2.9454399999999996</c:v>
                </c:pt>
                <c:pt idx="527">
                  <c:v>2.9885800000000002</c:v>
                </c:pt>
                <c:pt idx="528">
                  <c:v>2.95634</c:v>
                </c:pt>
                <c:pt idx="529">
                  <c:v>2.9529399999999999</c:v>
                </c:pt>
                <c:pt idx="530">
                  <c:v>2.97512</c:v>
                </c:pt>
                <c:pt idx="531">
                  <c:v>3.0196499999999999</c:v>
                </c:pt>
                <c:pt idx="532">
                  <c:v>3.0511399999999997</c:v>
                </c:pt>
                <c:pt idx="533">
                  <c:v>3.0165300000000004</c:v>
                </c:pt>
                <c:pt idx="534">
                  <c:v>3.0055099999999997</c:v>
                </c:pt>
                <c:pt idx="535">
                  <c:v>3.0167799999999998</c:v>
                </c:pt>
                <c:pt idx="536">
                  <c:v>3.0294099999999999</c:v>
                </c:pt>
                <c:pt idx="537">
                  <c:v>3.1033999999999997</c:v>
                </c:pt>
                <c:pt idx="538">
                  <c:v>3.1575799999999998</c:v>
                </c:pt>
                <c:pt idx="539">
                  <c:v>3.15029</c:v>
                </c:pt>
                <c:pt idx="540">
                  <c:v>3.1257700000000002</c:v>
                </c:pt>
                <c:pt idx="541">
                  <c:v>3.1383899999999998</c:v>
                </c:pt>
                <c:pt idx="542">
                  <c:v>3.2063199999999998</c:v>
                </c:pt>
                <c:pt idx="543">
                  <c:v>3.2019199999999999</c:v>
                </c:pt>
                <c:pt idx="544">
                  <c:v>3.2093500000000001</c:v>
                </c:pt>
                <c:pt idx="545">
                  <c:v>3.2230099999999999</c:v>
                </c:pt>
                <c:pt idx="546">
                  <c:v>3.1845499999999998</c:v>
                </c:pt>
                <c:pt idx="547">
                  <c:v>3.2024900000000001</c:v>
                </c:pt>
                <c:pt idx="548">
                  <c:v>3.2090800000000002</c:v>
                </c:pt>
                <c:pt idx="549">
                  <c:v>3.2274700000000003</c:v>
                </c:pt>
                <c:pt idx="550">
                  <c:v>3.2235500000000004</c:v>
                </c:pt>
                <c:pt idx="551">
                  <c:v>3.2201600000000004</c:v>
                </c:pt>
                <c:pt idx="552">
                  <c:v>3.3590599999999999</c:v>
                </c:pt>
                <c:pt idx="553">
                  <c:v>3.3576299999999999</c:v>
                </c:pt>
                <c:pt idx="554">
                  <c:v>3.3218700000000001</c:v>
                </c:pt>
                <c:pt idx="555">
                  <c:v>3.29819</c:v>
                </c:pt>
                <c:pt idx="556">
                  <c:v>3.2996600000000003</c:v>
                </c:pt>
                <c:pt idx="557">
                  <c:v>3.38896</c:v>
                </c:pt>
                <c:pt idx="558">
                  <c:v>3.3905700000000003</c:v>
                </c:pt>
                <c:pt idx="559">
                  <c:v>3.3920999999999997</c:v>
                </c:pt>
                <c:pt idx="560">
                  <c:v>3.38971</c:v>
                </c:pt>
                <c:pt idx="561">
                  <c:v>3.4516199999999997</c:v>
                </c:pt>
                <c:pt idx="562">
                  <c:v>3.3362799999999999</c:v>
                </c:pt>
                <c:pt idx="563">
                  <c:v>3.6352100000000003</c:v>
                </c:pt>
                <c:pt idx="564">
                  <c:v>3.80382</c:v>
                </c:pt>
                <c:pt idx="565">
                  <c:v>4.0010700000000003</c:v>
                </c:pt>
                <c:pt idx="566">
                  <c:v>4.8164199999999999</c:v>
                </c:pt>
                <c:pt idx="567">
                  <c:v>5.1307299999999998</c:v>
                </c:pt>
                <c:pt idx="568">
                  <c:v>5.7621799999999999</c:v>
                </c:pt>
                <c:pt idx="569">
                  <c:v>6.0047199999999998</c:v>
                </c:pt>
                <c:pt idx="570">
                  <c:v>5.9446699999999995</c:v>
                </c:pt>
                <c:pt idx="571">
                  <c:v>5.9071000000000007</c:v>
                </c:pt>
                <c:pt idx="572">
                  <c:v>5.9185499999999998</c:v>
                </c:pt>
                <c:pt idx="573">
                  <c:v>5.52942</c:v>
                </c:pt>
                <c:pt idx="574">
                  <c:v>5.4410699999999999</c:v>
                </c:pt>
                <c:pt idx="575">
                  <c:v>4.8593799999999998</c:v>
                </c:pt>
                <c:pt idx="576">
                  <c:v>4.9437899999999999</c:v>
                </c:pt>
                <c:pt idx="577">
                  <c:v>4.6904899999999996</c:v>
                </c:pt>
                <c:pt idx="578">
                  <c:v>4.3383399999999996</c:v>
                </c:pt>
                <c:pt idx="579">
                  <c:v>4.3140200000000002</c:v>
                </c:pt>
                <c:pt idx="580">
                  <c:v>4.3630300000000002</c:v>
                </c:pt>
                <c:pt idx="581">
                  <c:v>4.3182999999999998</c:v>
                </c:pt>
                <c:pt idx="582">
                  <c:v>4.1802400000000004</c:v>
                </c:pt>
                <c:pt idx="583">
                  <c:v>4.2523799999999996</c:v>
                </c:pt>
                <c:pt idx="584">
                  <c:v>4.3168600000000001</c:v>
                </c:pt>
                <c:pt idx="585">
                  <c:v>4.3793899999999999</c:v>
                </c:pt>
                <c:pt idx="586">
                  <c:v>4.3879199999999994</c:v>
                </c:pt>
                <c:pt idx="587">
                  <c:v>4.3949400000000001</c:v>
                </c:pt>
                <c:pt idx="588">
                  <c:v>4.3795099999999998</c:v>
                </c:pt>
                <c:pt idx="589">
                  <c:v>4.1876999999999995</c:v>
                </c:pt>
                <c:pt idx="590">
                  <c:v>4.1924099999999997</c:v>
                </c:pt>
                <c:pt idx="591">
                  <c:v>4.1678500000000005</c:v>
                </c:pt>
                <c:pt idx="592">
                  <c:v>4.1380699999999999</c:v>
                </c:pt>
                <c:pt idx="593">
                  <c:v>4.1360299999999999</c:v>
                </c:pt>
                <c:pt idx="594">
                  <c:v>4.1788299999999996</c:v>
                </c:pt>
                <c:pt idx="595">
                  <c:v>4.2296499999999995</c:v>
                </c:pt>
                <c:pt idx="596">
                  <c:v>4.1470500000000001</c:v>
                </c:pt>
                <c:pt idx="597">
                  <c:v>4.1470500000000001</c:v>
                </c:pt>
                <c:pt idx="598">
                  <c:v>4.1470500000000001</c:v>
                </c:pt>
                <c:pt idx="599">
                  <c:v>4.12507</c:v>
                </c:pt>
                <c:pt idx="600">
                  <c:v>4.1905299999999999</c:v>
                </c:pt>
                <c:pt idx="601">
                  <c:v>4.19956</c:v>
                </c:pt>
                <c:pt idx="602">
                  <c:v>4.2505800000000002</c:v>
                </c:pt>
                <c:pt idx="603">
                  <c:v>4.3512000000000004</c:v>
                </c:pt>
                <c:pt idx="604">
                  <c:v>4.5565199999999999</c:v>
                </c:pt>
                <c:pt idx="605">
                  <c:v>4.5962399999999999</c:v>
                </c:pt>
                <c:pt idx="606">
                  <c:v>4.5063800000000001</c:v>
                </c:pt>
                <c:pt idx="607">
                  <c:v>4.5803199999999995</c:v>
                </c:pt>
                <c:pt idx="608">
                  <c:v>4.5803199999999995</c:v>
                </c:pt>
                <c:pt idx="609">
                  <c:v>4.4729899999999994</c:v>
                </c:pt>
                <c:pt idx="610">
                  <c:v>4.57273</c:v>
                </c:pt>
                <c:pt idx="611">
                  <c:v>4.5460500000000001</c:v>
                </c:pt>
                <c:pt idx="612">
                  <c:v>4.5775199999999998</c:v>
                </c:pt>
                <c:pt idx="613">
                  <c:v>4.63856</c:v>
                </c:pt>
                <c:pt idx="614">
                  <c:v>4.87981</c:v>
                </c:pt>
                <c:pt idx="615">
                  <c:v>4.9684600000000003</c:v>
                </c:pt>
                <c:pt idx="616">
                  <c:v>4.8840300000000001</c:v>
                </c:pt>
                <c:pt idx="617">
                  <c:v>4.88741</c:v>
                </c:pt>
                <c:pt idx="618">
                  <c:v>4.9926300000000001</c:v>
                </c:pt>
                <c:pt idx="619">
                  <c:v>4.8481399999999999</c:v>
                </c:pt>
                <c:pt idx="620">
                  <c:v>5.0001999999999995</c:v>
                </c:pt>
                <c:pt idx="621">
                  <c:v>5.0756499999999996</c:v>
                </c:pt>
                <c:pt idx="622">
                  <c:v>5.0596899999999998</c:v>
                </c:pt>
                <c:pt idx="623">
                  <c:v>5.0906700000000003</c:v>
                </c:pt>
                <c:pt idx="624">
                  <c:v>5.2213599999999998</c:v>
                </c:pt>
                <c:pt idx="625">
                  <c:v>5.2048699999999997</c:v>
                </c:pt>
                <c:pt idx="626">
                  <c:v>5.2293100000000008</c:v>
                </c:pt>
                <c:pt idx="627">
                  <c:v>5.2012999999999998</c:v>
                </c:pt>
                <c:pt idx="628">
                  <c:v>5.1247199999999999</c:v>
                </c:pt>
                <c:pt idx="629">
                  <c:v>5.08521</c:v>
                </c:pt>
                <c:pt idx="630">
                  <c:v>4.9706599999999996</c:v>
                </c:pt>
                <c:pt idx="631">
                  <c:v>4.9706599999999996</c:v>
                </c:pt>
                <c:pt idx="632">
                  <c:v>4.9706599999999996</c:v>
                </c:pt>
                <c:pt idx="633">
                  <c:v>4.8985500000000002</c:v>
                </c:pt>
                <c:pt idx="634">
                  <c:v>4.9142000000000001</c:v>
                </c:pt>
                <c:pt idx="635">
                  <c:v>4.90618</c:v>
                </c:pt>
                <c:pt idx="636">
                  <c:v>4.8822900000000002</c:v>
                </c:pt>
                <c:pt idx="637">
                  <c:v>4.8257300000000001</c:v>
                </c:pt>
                <c:pt idx="638">
                  <c:v>4.9284800000000004</c:v>
                </c:pt>
                <c:pt idx="639">
                  <c:v>4.8790100000000001</c:v>
                </c:pt>
                <c:pt idx="640">
                  <c:v>5.0086599999999999</c:v>
                </c:pt>
                <c:pt idx="641">
                  <c:v>5.2876199999999995</c:v>
                </c:pt>
                <c:pt idx="642">
                  <c:v>5.3649199999999997</c:v>
                </c:pt>
                <c:pt idx="643">
                  <c:v>5.4029600000000002</c:v>
                </c:pt>
                <c:pt idx="644">
                  <c:v>5.3223299999999991</c:v>
                </c:pt>
                <c:pt idx="645">
                  <c:v>5.5020199999999999</c:v>
                </c:pt>
                <c:pt idx="646">
                  <c:v>5.5810500000000003</c:v>
                </c:pt>
                <c:pt idx="647">
                  <c:v>5.6036199999999994</c:v>
                </c:pt>
                <c:pt idx="648">
                  <c:v>5.5240800000000005</c:v>
                </c:pt>
                <c:pt idx="649">
                  <c:v>5.5957799999999995</c:v>
                </c:pt>
                <c:pt idx="650">
                  <c:v>5.7539300000000004</c:v>
                </c:pt>
                <c:pt idx="651">
                  <c:v>6.0013899999999998</c:v>
                </c:pt>
                <c:pt idx="652">
                  <c:v>6.0959699999999994</c:v>
                </c:pt>
                <c:pt idx="653">
                  <c:v>6.0996900000000007</c:v>
                </c:pt>
                <c:pt idx="654">
                  <c:v>6.2218399999999994</c:v>
                </c:pt>
                <c:pt idx="655">
                  <c:v>6.0944600000000007</c:v>
                </c:pt>
                <c:pt idx="656">
                  <c:v>6.0019399999999994</c:v>
                </c:pt>
                <c:pt idx="657">
                  <c:v>6.0279699999999998</c:v>
                </c:pt>
                <c:pt idx="658">
                  <c:v>6.1540900000000001</c:v>
                </c:pt>
                <c:pt idx="659">
                  <c:v>6.2716700000000003</c:v>
                </c:pt>
                <c:pt idx="660">
                  <c:v>6.3963400000000004</c:v>
                </c:pt>
                <c:pt idx="661">
                  <c:v>6.4896799999999999</c:v>
                </c:pt>
                <c:pt idx="662">
                  <c:v>6.4923099999999998</c:v>
                </c:pt>
                <c:pt idx="663">
                  <c:v>6.4047400000000003</c:v>
                </c:pt>
                <c:pt idx="664">
                  <c:v>6.3546100000000001</c:v>
                </c:pt>
                <c:pt idx="665">
                  <c:v>6.2661800000000003</c:v>
                </c:pt>
                <c:pt idx="666">
                  <c:v>6.3629700000000007</c:v>
                </c:pt>
                <c:pt idx="667">
                  <c:v>6.3459000000000003</c:v>
                </c:pt>
                <c:pt idx="668">
                  <c:v>6.23184</c:v>
                </c:pt>
                <c:pt idx="669">
                  <c:v>6.2481500000000008</c:v>
                </c:pt>
                <c:pt idx="670">
                  <c:v>6.2713400000000004</c:v>
                </c:pt>
                <c:pt idx="671">
                  <c:v>6.2362400000000004</c:v>
                </c:pt>
                <c:pt idx="672">
                  <c:v>6.3011400000000002</c:v>
                </c:pt>
                <c:pt idx="673">
                  <c:v>6.2162499999999996</c:v>
                </c:pt>
                <c:pt idx="674">
                  <c:v>6.0796999999999999</c:v>
                </c:pt>
                <c:pt idx="675">
                  <c:v>6.0493899999999998</c:v>
                </c:pt>
                <c:pt idx="676">
                  <c:v>6.0947299999999993</c:v>
                </c:pt>
                <c:pt idx="677">
                  <c:v>5.8567399999999994</c:v>
                </c:pt>
                <c:pt idx="678">
                  <c:v>5.9645399999999995</c:v>
                </c:pt>
                <c:pt idx="679">
                  <c:v>5.9260199999999994</c:v>
                </c:pt>
                <c:pt idx="680">
                  <c:v>5.96828</c:v>
                </c:pt>
                <c:pt idx="681">
                  <c:v>5.6796199999999999</c:v>
                </c:pt>
                <c:pt idx="682">
                  <c:v>5.6890999999999998</c:v>
                </c:pt>
                <c:pt idx="683">
                  <c:v>5.7650100000000002</c:v>
                </c:pt>
                <c:pt idx="684">
                  <c:v>5.7203900000000001</c:v>
                </c:pt>
                <c:pt idx="685">
                  <c:v>5.6912699999999994</c:v>
                </c:pt>
                <c:pt idx="686">
                  <c:v>5.6389700000000005</c:v>
                </c:pt>
                <c:pt idx="687">
                  <c:v>5.6505399999999995</c:v>
                </c:pt>
                <c:pt idx="688">
                  <c:v>5.6730600000000004</c:v>
                </c:pt>
                <c:pt idx="689">
                  <c:v>5.6364200000000002</c:v>
                </c:pt>
                <c:pt idx="690">
                  <c:v>5.5926199999999993</c:v>
                </c:pt>
                <c:pt idx="691">
                  <c:v>5.5410299999999992</c:v>
                </c:pt>
                <c:pt idx="692">
                  <c:v>5.5391999999999992</c:v>
                </c:pt>
                <c:pt idx="693">
                  <c:v>5.5391999999999992</c:v>
                </c:pt>
                <c:pt idx="694">
                  <c:v>5.5065400000000002</c:v>
                </c:pt>
                <c:pt idx="695">
                  <c:v>5.47201</c:v>
                </c:pt>
                <c:pt idx="696">
                  <c:v>5.3087800000000005</c:v>
                </c:pt>
                <c:pt idx="697">
                  <c:v>5.3899699999999999</c:v>
                </c:pt>
                <c:pt idx="698">
                  <c:v>5.4482699999999999</c:v>
                </c:pt>
                <c:pt idx="699">
                  <c:v>5.1640200000000007</c:v>
                </c:pt>
                <c:pt idx="700">
                  <c:v>5.1860099999999996</c:v>
                </c:pt>
                <c:pt idx="701">
                  <c:v>5.1552200000000008</c:v>
                </c:pt>
                <c:pt idx="702">
                  <c:v>5.0030900000000003</c:v>
                </c:pt>
                <c:pt idx="703">
                  <c:v>5.0525000000000002</c:v>
                </c:pt>
                <c:pt idx="704">
                  <c:v>5.0787900000000006</c:v>
                </c:pt>
                <c:pt idx="705">
                  <c:v>5.3758399999999993</c:v>
                </c:pt>
                <c:pt idx="706">
                  <c:v>5.3167</c:v>
                </c:pt>
                <c:pt idx="707">
                  <c:v>5.4548800000000002</c:v>
                </c:pt>
              </c:numCache>
            </c:numRef>
          </c:val>
          <c:smooth val="0"/>
          <c:extLst>
            <c:ext xmlns:c16="http://schemas.microsoft.com/office/drawing/2014/chart" uri="{C3380CC4-5D6E-409C-BE32-E72D297353CC}">
              <c16:uniqueId val="{00000002-F31E-4170-9322-6C48FF56580E}"/>
            </c:ext>
          </c:extLst>
        </c:ser>
        <c:ser>
          <c:idx val="4"/>
          <c:order val="4"/>
          <c:tx>
            <c:strRef>
              <c:f>Sheet1!$F$1</c:f>
              <c:strCache>
                <c:ptCount val="1"/>
                <c:pt idx="0">
                  <c:v>Հայաստան (2031թ.)</c:v>
                </c:pt>
              </c:strCache>
            </c:strRef>
          </c:tx>
          <c:spPr>
            <a:ln w="19050" cap="rnd">
              <a:solidFill>
                <a:schemeClr val="accent6">
                  <a:lumMod val="75000"/>
                </a:schemeClr>
              </a:solidFill>
              <a:round/>
            </a:ln>
            <a:effectLst/>
          </c:spPr>
          <c:marker>
            <c:symbol val="none"/>
          </c:marker>
          <c:cat>
            <c:numRef>
              <c:f>Sheet1!$A$2:$A$971</c:f>
              <c:numCache>
                <c:formatCode>m\/d\/yyyy</c:formatCode>
                <c:ptCount val="709"/>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pt idx="639">
                  <c:v>44726</c:v>
                </c:pt>
                <c:pt idx="640">
                  <c:v>44727</c:v>
                </c:pt>
                <c:pt idx="641">
                  <c:v>44728</c:v>
                </c:pt>
                <c:pt idx="642">
                  <c:v>44729</c:v>
                </c:pt>
                <c:pt idx="643">
                  <c:v>44732</c:v>
                </c:pt>
                <c:pt idx="644">
                  <c:v>44733</c:v>
                </c:pt>
                <c:pt idx="645">
                  <c:v>44734</c:v>
                </c:pt>
                <c:pt idx="646">
                  <c:v>44735</c:v>
                </c:pt>
                <c:pt idx="647">
                  <c:v>44736</c:v>
                </c:pt>
                <c:pt idx="648">
                  <c:v>44739</c:v>
                </c:pt>
                <c:pt idx="649">
                  <c:v>44740</c:v>
                </c:pt>
                <c:pt idx="650">
                  <c:v>44741</c:v>
                </c:pt>
                <c:pt idx="651">
                  <c:v>44742</c:v>
                </c:pt>
                <c:pt idx="652">
                  <c:v>44743</c:v>
                </c:pt>
                <c:pt idx="653">
                  <c:v>44746</c:v>
                </c:pt>
                <c:pt idx="654">
                  <c:v>44747</c:v>
                </c:pt>
                <c:pt idx="655">
                  <c:v>44748</c:v>
                </c:pt>
                <c:pt idx="656">
                  <c:v>44749</c:v>
                </c:pt>
                <c:pt idx="657">
                  <c:v>44750</c:v>
                </c:pt>
                <c:pt idx="658">
                  <c:v>44753</c:v>
                </c:pt>
                <c:pt idx="659">
                  <c:v>44754</c:v>
                </c:pt>
                <c:pt idx="660">
                  <c:v>44755</c:v>
                </c:pt>
                <c:pt idx="661">
                  <c:v>44756</c:v>
                </c:pt>
                <c:pt idx="662">
                  <c:v>44757</c:v>
                </c:pt>
                <c:pt idx="663">
                  <c:v>44760</c:v>
                </c:pt>
                <c:pt idx="664">
                  <c:v>44761</c:v>
                </c:pt>
                <c:pt idx="665">
                  <c:v>44762</c:v>
                </c:pt>
                <c:pt idx="666">
                  <c:v>44763</c:v>
                </c:pt>
                <c:pt idx="667">
                  <c:v>44764</c:v>
                </c:pt>
                <c:pt idx="668">
                  <c:v>44767</c:v>
                </c:pt>
                <c:pt idx="669">
                  <c:v>44768</c:v>
                </c:pt>
                <c:pt idx="670">
                  <c:v>44769</c:v>
                </c:pt>
                <c:pt idx="671">
                  <c:v>44770</c:v>
                </c:pt>
                <c:pt idx="672">
                  <c:v>44771</c:v>
                </c:pt>
                <c:pt idx="673">
                  <c:v>44774</c:v>
                </c:pt>
                <c:pt idx="674">
                  <c:v>44775</c:v>
                </c:pt>
                <c:pt idx="675">
                  <c:v>44776</c:v>
                </c:pt>
                <c:pt idx="676">
                  <c:v>44777</c:v>
                </c:pt>
                <c:pt idx="677">
                  <c:v>44778</c:v>
                </c:pt>
                <c:pt idx="678">
                  <c:v>44781</c:v>
                </c:pt>
                <c:pt idx="679">
                  <c:v>44782</c:v>
                </c:pt>
                <c:pt idx="680">
                  <c:v>44783</c:v>
                </c:pt>
                <c:pt idx="681">
                  <c:v>44784</c:v>
                </c:pt>
                <c:pt idx="682">
                  <c:v>44785</c:v>
                </c:pt>
                <c:pt idx="683">
                  <c:v>44788</c:v>
                </c:pt>
                <c:pt idx="684">
                  <c:v>44789</c:v>
                </c:pt>
                <c:pt idx="685">
                  <c:v>44790</c:v>
                </c:pt>
                <c:pt idx="686">
                  <c:v>44791</c:v>
                </c:pt>
                <c:pt idx="687">
                  <c:v>44792</c:v>
                </c:pt>
                <c:pt idx="688">
                  <c:v>44795</c:v>
                </c:pt>
                <c:pt idx="689">
                  <c:v>44796</c:v>
                </c:pt>
                <c:pt idx="690">
                  <c:v>44797</c:v>
                </c:pt>
                <c:pt idx="691">
                  <c:v>44798</c:v>
                </c:pt>
                <c:pt idx="692">
                  <c:v>44799</c:v>
                </c:pt>
                <c:pt idx="693">
                  <c:v>44802</c:v>
                </c:pt>
                <c:pt idx="694">
                  <c:v>44803</c:v>
                </c:pt>
                <c:pt idx="695">
                  <c:v>44804</c:v>
                </c:pt>
                <c:pt idx="696">
                  <c:v>44805</c:v>
                </c:pt>
                <c:pt idx="697">
                  <c:v>44806</c:v>
                </c:pt>
                <c:pt idx="698">
                  <c:v>44809</c:v>
                </c:pt>
                <c:pt idx="699">
                  <c:v>44810</c:v>
                </c:pt>
                <c:pt idx="700">
                  <c:v>44811</c:v>
                </c:pt>
                <c:pt idx="701">
                  <c:v>44812</c:v>
                </c:pt>
                <c:pt idx="702">
                  <c:v>44813</c:v>
                </c:pt>
                <c:pt idx="703">
                  <c:v>44816</c:v>
                </c:pt>
                <c:pt idx="704">
                  <c:v>44817</c:v>
                </c:pt>
                <c:pt idx="705">
                  <c:v>44818</c:v>
                </c:pt>
                <c:pt idx="706">
                  <c:v>44819</c:v>
                </c:pt>
                <c:pt idx="707">
                  <c:v>44820</c:v>
                </c:pt>
              </c:numCache>
            </c:numRef>
          </c:cat>
          <c:val>
            <c:numRef>
              <c:f>Sheet1!$F$2:$F$971</c:f>
              <c:numCache>
                <c:formatCode>General</c:formatCode>
                <c:ptCount val="709"/>
                <c:pt idx="282" formatCode="0">
                  <c:v>2.8162799999999999</c:v>
                </c:pt>
                <c:pt idx="283" formatCode="0">
                  <c:v>2.81027</c:v>
                </c:pt>
                <c:pt idx="284" formatCode="0">
                  <c:v>2.7593900000000002</c:v>
                </c:pt>
                <c:pt idx="285" formatCode="0">
                  <c:v>2.7345800000000002</c:v>
                </c:pt>
                <c:pt idx="286" formatCode="0">
                  <c:v>2.7317</c:v>
                </c:pt>
                <c:pt idx="287" formatCode="0">
                  <c:v>2.7167599999999998</c:v>
                </c:pt>
                <c:pt idx="288" formatCode="0">
                  <c:v>2.7355</c:v>
                </c:pt>
                <c:pt idx="289" formatCode="0">
                  <c:v>2.7707899999999999</c:v>
                </c:pt>
                <c:pt idx="290" formatCode="0">
                  <c:v>2.8158499999999997</c:v>
                </c:pt>
                <c:pt idx="291" formatCode="0">
                  <c:v>2.8239199999999998</c:v>
                </c:pt>
                <c:pt idx="292" formatCode="0">
                  <c:v>2.7967200000000001</c:v>
                </c:pt>
                <c:pt idx="293" formatCode="0">
                  <c:v>2.7846600000000001</c:v>
                </c:pt>
                <c:pt idx="294" formatCode="0">
                  <c:v>2.7816500000000004</c:v>
                </c:pt>
                <c:pt idx="295" formatCode="0">
                  <c:v>2.8606400000000001</c:v>
                </c:pt>
                <c:pt idx="296" formatCode="0">
                  <c:v>2.8834599999999999</c:v>
                </c:pt>
                <c:pt idx="297" formatCode="0">
                  <c:v>2.8023000000000002</c:v>
                </c:pt>
                <c:pt idx="298" formatCode="0">
                  <c:v>2.8397699999999997</c:v>
                </c:pt>
                <c:pt idx="299" formatCode="0">
                  <c:v>2.8450500000000001</c:v>
                </c:pt>
                <c:pt idx="300" formatCode="0">
                  <c:v>2.8240099999999999</c:v>
                </c:pt>
                <c:pt idx="301" formatCode="0">
                  <c:v>3.0353699999999999</c:v>
                </c:pt>
                <c:pt idx="302" formatCode="0">
                  <c:v>3.01349</c:v>
                </c:pt>
                <c:pt idx="303" formatCode="0">
                  <c:v>2.9449999999999998</c:v>
                </c:pt>
                <c:pt idx="304" formatCode="0">
                  <c:v>2.9195899999999999</c:v>
                </c:pt>
                <c:pt idx="305" formatCode="0">
                  <c:v>2.8582100000000001</c:v>
                </c:pt>
                <c:pt idx="306" formatCode="0">
                  <c:v>2.8494900000000003</c:v>
                </c:pt>
                <c:pt idx="307" formatCode="0">
                  <c:v>2.94563</c:v>
                </c:pt>
                <c:pt idx="308" formatCode="0">
                  <c:v>2.9968900000000001</c:v>
                </c:pt>
                <c:pt idx="309" formatCode="0">
                  <c:v>2.99281</c:v>
                </c:pt>
                <c:pt idx="310" formatCode="0">
                  <c:v>2.9840300000000002</c:v>
                </c:pt>
                <c:pt idx="311" formatCode="0">
                  <c:v>2.87656</c:v>
                </c:pt>
                <c:pt idx="312" formatCode="0">
                  <c:v>2.8849</c:v>
                </c:pt>
                <c:pt idx="313" formatCode="0">
                  <c:v>2.8626200000000002</c:v>
                </c:pt>
                <c:pt idx="314" formatCode="0">
                  <c:v>2.9232100000000001</c:v>
                </c:pt>
                <c:pt idx="315" formatCode="0">
                  <c:v>2.9820199999999999</c:v>
                </c:pt>
                <c:pt idx="316" formatCode="0">
                  <c:v>2.9765600000000001</c:v>
                </c:pt>
                <c:pt idx="317" formatCode="0">
                  <c:v>2.8987400000000001</c:v>
                </c:pt>
                <c:pt idx="318" formatCode="0">
                  <c:v>2.9700099999999998</c:v>
                </c:pt>
                <c:pt idx="319" formatCode="0">
                  <c:v>3.02779</c:v>
                </c:pt>
                <c:pt idx="320" formatCode="0">
                  <c:v>2.9996399999999999</c:v>
                </c:pt>
                <c:pt idx="321" formatCode="0">
                  <c:v>2.9712700000000001</c:v>
                </c:pt>
                <c:pt idx="322" formatCode="0">
                  <c:v>2.9341300000000001</c:v>
                </c:pt>
                <c:pt idx="323" formatCode="0">
                  <c:v>2.8521699999999996</c:v>
                </c:pt>
                <c:pt idx="324" formatCode="0">
                  <c:v>2.87676</c:v>
                </c:pt>
                <c:pt idx="325" formatCode="0">
                  <c:v>2.8716000000000004</c:v>
                </c:pt>
                <c:pt idx="326" formatCode="0">
                  <c:v>2.8968700000000003</c:v>
                </c:pt>
                <c:pt idx="327" formatCode="0">
                  <c:v>2.8968700000000003</c:v>
                </c:pt>
                <c:pt idx="328" formatCode="0">
                  <c:v>2.8968700000000003</c:v>
                </c:pt>
                <c:pt idx="329" formatCode="0">
                  <c:v>2.9520200000000001</c:v>
                </c:pt>
                <c:pt idx="330" formatCode="0">
                  <c:v>2.93004</c:v>
                </c:pt>
                <c:pt idx="331" formatCode="0">
                  <c:v>2.9416500000000001</c:v>
                </c:pt>
                <c:pt idx="332" formatCode="0">
                  <c:v>2.9403199999999998</c:v>
                </c:pt>
                <c:pt idx="333" formatCode="0">
                  <c:v>2.9382600000000001</c:v>
                </c:pt>
                <c:pt idx="334" formatCode="0">
                  <c:v>2.9731400000000003</c:v>
                </c:pt>
                <c:pt idx="335" formatCode="0">
                  <c:v>2.9630299999999998</c:v>
                </c:pt>
                <c:pt idx="336" formatCode="0">
                  <c:v>3.0698799999999999</c:v>
                </c:pt>
                <c:pt idx="337" formatCode="0">
                  <c:v>3.0155700000000003</c:v>
                </c:pt>
                <c:pt idx="338" formatCode="0">
                  <c:v>2.9156200000000001</c:v>
                </c:pt>
                <c:pt idx="339" formatCode="0">
                  <c:v>2.9810700000000003</c:v>
                </c:pt>
                <c:pt idx="340" formatCode="0">
                  <c:v>3.0558399999999999</c:v>
                </c:pt>
                <c:pt idx="341" formatCode="0">
                  <c:v>3.0394200000000002</c:v>
                </c:pt>
                <c:pt idx="342" formatCode="0">
                  <c:v>3.05139</c:v>
                </c:pt>
                <c:pt idx="343" formatCode="0">
                  <c:v>3.0260400000000001</c:v>
                </c:pt>
                <c:pt idx="344" formatCode="0">
                  <c:v>2.9920499999999999</c:v>
                </c:pt>
                <c:pt idx="345" formatCode="0">
                  <c:v>3.0131000000000001</c:v>
                </c:pt>
                <c:pt idx="346" formatCode="0">
                  <c:v>3.0109399999999997</c:v>
                </c:pt>
                <c:pt idx="347" formatCode="0">
                  <c:v>3.0249900000000003</c:v>
                </c:pt>
                <c:pt idx="348" formatCode="0">
                  <c:v>3.0249900000000003</c:v>
                </c:pt>
                <c:pt idx="349" formatCode="0">
                  <c:v>3.0474999999999999</c:v>
                </c:pt>
                <c:pt idx="350" formatCode="0">
                  <c:v>2.9689100000000002</c:v>
                </c:pt>
                <c:pt idx="351" formatCode="0">
                  <c:v>2.9595899999999999</c:v>
                </c:pt>
                <c:pt idx="352" formatCode="0">
                  <c:v>2.8351299999999999</c:v>
                </c:pt>
                <c:pt idx="353" formatCode="0">
                  <c:v>2.7931699999999999</c:v>
                </c:pt>
                <c:pt idx="354" formatCode="0">
                  <c:v>2.8282600000000002</c:v>
                </c:pt>
                <c:pt idx="355" formatCode="0">
                  <c:v>2.8228399999999998</c:v>
                </c:pt>
                <c:pt idx="356" formatCode="0">
                  <c:v>2.8658399999999999</c:v>
                </c:pt>
                <c:pt idx="357" formatCode="0">
                  <c:v>2.87324</c:v>
                </c:pt>
                <c:pt idx="358" formatCode="0">
                  <c:v>2.92238</c:v>
                </c:pt>
                <c:pt idx="359" formatCode="0">
                  <c:v>2.92014</c:v>
                </c:pt>
                <c:pt idx="360" formatCode="0">
                  <c:v>2.9056500000000001</c:v>
                </c:pt>
                <c:pt idx="361" formatCode="0">
                  <c:v>2.9303300000000001</c:v>
                </c:pt>
                <c:pt idx="362" formatCode="0">
                  <c:v>2.9270700000000001</c:v>
                </c:pt>
                <c:pt idx="363" formatCode="0">
                  <c:v>2.9443700000000002</c:v>
                </c:pt>
                <c:pt idx="364" formatCode="0">
                  <c:v>2.97932</c:v>
                </c:pt>
                <c:pt idx="365" formatCode="0">
                  <c:v>2.9887700000000001</c:v>
                </c:pt>
                <c:pt idx="366" formatCode="0">
                  <c:v>2.9707999999999997</c:v>
                </c:pt>
                <c:pt idx="367" formatCode="0">
                  <c:v>2.9850599999999998</c:v>
                </c:pt>
                <c:pt idx="368" formatCode="0">
                  <c:v>2.9850599999999998</c:v>
                </c:pt>
                <c:pt idx="369" formatCode="0">
                  <c:v>2.9782600000000001</c:v>
                </c:pt>
                <c:pt idx="370" formatCode="0">
                  <c:v>2.9917399999999996</c:v>
                </c:pt>
                <c:pt idx="371" formatCode="0">
                  <c:v>2.9783600000000003</c:v>
                </c:pt>
                <c:pt idx="372" formatCode="0">
                  <c:v>2.9942599999999997</c:v>
                </c:pt>
                <c:pt idx="373" formatCode="0">
                  <c:v>3.0104799999999998</c:v>
                </c:pt>
                <c:pt idx="374" formatCode="0">
                  <c:v>3.01892</c:v>
                </c:pt>
                <c:pt idx="375" formatCode="0">
                  <c:v>3.0396300000000003</c:v>
                </c:pt>
                <c:pt idx="376" formatCode="0">
                  <c:v>3.0487900000000003</c:v>
                </c:pt>
                <c:pt idx="377" formatCode="0">
                  <c:v>3.0171300000000003</c:v>
                </c:pt>
                <c:pt idx="378" formatCode="0">
                  <c:v>2.98759</c:v>
                </c:pt>
                <c:pt idx="379" formatCode="0">
                  <c:v>2.9806499999999998</c:v>
                </c:pt>
                <c:pt idx="380" formatCode="0">
                  <c:v>3.0042500000000003</c:v>
                </c:pt>
                <c:pt idx="381" formatCode="0">
                  <c:v>3.0738099999999999</c:v>
                </c:pt>
                <c:pt idx="382" formatCode="0">
                  <c:v>3.1035199999999996</c:v>
                </c:pt>
                <c:pt idx="383" formatCode="0">
                  <c:v>3.0450599999999999</c:v>
                </c:pt>
                <c:pt idx="384" formatCode="0">
                  <c:v>2.9582299999999999</c:v>
                </c:pt>
                <c:pt idx="385" formatCode="0">
                  <c:v>2.9448599999999998</c:v>
                </c:pt>
                <c:pt idx="386" formatCode="0">
                  <c:v>2.8704399999999999</c:v>
                </c:pt>
                <c:pt idx="387" formatCode="0">
                  <c:v>2.8032299999999997</c:v>
                </c:pt>
                <c:pt idx="388" formatCode="0">
                  <c:v>2.84158</c:v>
                </c:pt>
                <c:pt idx="389" formatCode="0">
                  <c:v>2.8043299999999998</c:v>
                </c:pt>
                <c:pt idx="390" formatCode="0">
                  <c:v>2.8622000000000001</c:v>
                </c:pt>
                <c:pt idx="391" formatCode="0">
                  <c:v>2.8386300000000002</c:v>
                </c:pt>
                <c:pt idx="392" formatCode="0">
                  <c:v>2.8888799999999999</c:v>
                </c:pt>
                <c:pt idx="393" formatCode="0">
                  <c:v>2.8519299999999999</c:v>
                </c:pt>
                <c:pt idx="394" formatCode="0">
                  <c:v>2.9017399999999998</c:v>
                </c:pt>
                <c:pt idx="395" formatCode="0">
                  <c:v>2.8675599999999997</c:v>
                </c:pt>
                <c:pt idx="396" formatCode="0">
                  <c:v>2.8888600000000002</c:v>
                </c:pt>
                <c:pt idx="397" formatCode="0">
                  <c:v>2.8220100000000001</c:v>
                </c:pt>
                <c:pt idx="398" formatCode="0">
                  <c:v>2.8413400000000002</c:v>
                </c:pt>
                <c:pt idx="399" formatCode="0">
                  <c:v>2.7991699999999997</c:v>
                </c:pt>
                <c:pt idx="400" formatCode="0">
                  <c:v>2.8429799999999998</c:v>
                </c:pt>
                <c:pt idx="401" formatCode="0">
                  <c:v>2.9173899999999997</c:v>
                </c:pt>
                <c:pt idx="402" formatCode="0">
                  <c:v>2.9025099999999999</c:v>
                </c:pt>
                <c:pt idx="403" formatCode="0">
                  <c:v>3.04569</c:v>
                </c:pt>
                <c:pt idx="404" formatCode="0">
                  <c:v>3.0146499999999996</c:v>
                </c:pt>
                <c:pt idx="405" formatCode="0">
                  <c:v>2.9231799999999999</c:v>
                </c:pt>
                <c:pt idx="406" formatCode="0">
                  <c:v>2.9657799999999996</c:v>
                </c:pt>
                <c:pt idx="407" formatCode="0">
                  <c:v>2.9409300000000003</c:v>
                </c:pt>
                <c:pt idx="408" formatCode="0">
                  <c:v>2.9485199999999998</c:v>
                </c:pt>
                <c:pt idx="409" formatCode="0">
                  <c:v>2.9842399999999998</c:v>
                </c:pt>
                <c:pt idx="410" formatCode="0">
                  <c:v>2.9702899999999999</c:v>
                </c:pt>
                <c:pt idx="411" formatCode="0">
                  <c:v>2.92605</c:v>
                </c:pt>
                <c:pt idx="412" formatCode="0">
                  <c:v>2.9661500000000003</c:v>
                </c:pt>
                <c:pt idx="413" formatCode="0">
                  <c:v>3.0146199999999999</c:v>
                </c:pt>
                <c:pt idx="414" formatCode="0">
                  <c:v>3.0184600000000001</c:v>
                </c:pt>
                <c:pt idx="415" formatCode="0">
                  <c:v>3.0117599999999998</c:v>
                </c:pt>
                <c:pt idx="416" formatCode="0">
                  <c:v>2.97438</c:v>
                </c:pt>
                <c:pt idx="417" formatCode="0">
                  <c:v>2.9260299999999999</c:v>
                </c:pt>
                <c:pt idx="418" formatCode="0">
                  <c:v>2.9110500000000004</c:v>
                </c:pt>
                <c:pt idx="419" formatCode="0">
                  <c:v>2.89113</c:v>
                </c:pt>
                <c:pt idx="420" formatCode="0">
                  <c:v>2.9763799999999998</c:v>
                </c:pt>
                <c:pt idx="421" formatCode="0">
                  <c:v>2.9467500000000002</c:v>
                </c:pt>
                <c:pt idx="422" formatCode="0">
                  <c:v>2.9974799999999999</c:v>
                </c:pt>
                <c:pt idx="423" formatCode="0">
                  <c:v>3.0597000000000003</c:v>
                </c:pt>
                <c:pt idx="424" formatCode="0">
                  <c:v>3.05904</c:v>
                </c:pt>
                <c:pt idx="425" formatCode="0">
                  <c:v>3.0067000000000004</c:v>
                </c:pt>
                <c:pt idx="426" formatCode="0">
                  <c:v>3.05118</c:v>
                </c:pt>
                <c:pt idx="427" formatCode="0">
                  <c:v>3.0382499999999997</c:v>
                </c:pt>
                <c:pt idx="428" formatCode="0">
                  <c:v>3.0173800000000002</c:v>
                </c:pt>
                <c:pt idx="429" formatCode="0">
                  <c:v>2.9738099999999998</c:v>
                </c:pt>
                <c:pt idx="430" formatCode="0">
                  <c:v>2.90802</c:v>
                </c:pt>
                <c:pt idx="431" formatCode="0">
                  <c:v>2.8925200000000002</c:v>
                </c:pt>
                <c:pt idx="432" formatCode="0">
                  <c:v>2.9240599999999999</c:v>
                </c:pt>
                <c:pt idx="433" formatCode="0">
                  <c:v>2.9240599999999999</c:v>
                </c:pt>
                <c:pt idx="434" formatCode="0">
                  <c:v>2.9069199999999999</c:v>
                </c:pt>
                <c:pt idx="435" formatCode="0">
                  <c:v>2.87229</c:v>
                </c:pt>
                <c:pt idx="436" formatCode="0">
                  <c:v>2.82531</c:v>
                </c:pt>
                <c:pt idx="437" formatCode="0">
                  <c:v>2.7965499999999999</c:v>
                </c:pt>
                <c:pt idx="438" formatCode="0">
                  <c:v>2.7936299999999998</c:v>
                </c:pt>
                <c:pt idx="439" formatCode="0">
                  <c:v>2.76464</c:v>
                </c:pt>
                <c:pt idx="440" formatCode="0">
                  <c:v>2.7753500000000004</c:v>
                </c:pt>
                <c:pt idx="441" formatCode="0">
                  <c:v>2.8212099999999998</c:v>
                </c:pt>
                <c:pt idx="442" formatCode="0">
                  <c:v>2.7391899999999998</c:v>
                </c:pt>
                <c:pt idx="443" formatCode="0">
                  <c:v>2.7543400000000005</c:v>
                </c:pt>
                <c:pt idx="444" formatCode="0">
                  <c:v>2.7432100000000004</c:v>
                </c:pt>
                <c:pt idx="445" formatCode="0">
                  <c:v>2.6863799999999998</c:v>
                </c:pt>
                <c:pt idx="446" formatCode="0">
                  <c:v>2.59802</c:v>
                </c:pt>
                <c:pt idx="447" formatCode="0">
                  <c:v>2.5404800000000001</c:v>
                </c:pt>
                <c:pt idx="448" formatCode="0">
                  <c:v>2.6586399999999997</c:v>
                </c:pt>
                <c:pt idx="449" formatCode="0">
                  <c:v>2.6552499999999997</c:v>
                </c:pt>
                <c:pt idx="450" formatCode="0">
                  <c:v>2.7174900000000002</c:v>
                </c:pt>
                <c:pt idx="451" formatCode="0">
                  <c:v>2.6463099999999997</c:v>
                </c:pt>
                <c:pt idx="452" formatCode="0">
                  <c:v>2.6905599999999996</c:v>
                </c:pt>
                <c:pt idx="453" formatCode="0">
                  <c:v>2.6973099999999999</c:v>
                </c:pt>
                <c:pt idx="454" formatCode="0">
                  <c:v>2.72831</c:v>
                </c:pt>
                <c:pt idx="455" formatCode="0">
                  <c:v>2.7709699999999997</c:v>
                </c:pt>
                <c:pt idx="456" formatCode="0">
                  <c:v>2.82158</c:v>
                </c:pt>
                <c:pt idx="457" formatCode="0">
                  <c:v>2.9059399999999997</c:v>
                </c:pt>
                <c:pt idx="458" formatCode="0">
                  <c:v>2.9312799999999997</c:v>
                </c:pt>
                <c:pt idx="459" formatCode="0">
                  <c:v>2.9318900000000001</c:v>
                </c:pt>
                <c:pt idx="460" formatCode="0">
                  <c:v>2.9222000000000001</c:v>
                </c:pt>
                <c:pt idx="461" formatCode="0">
                  <c:v>2.8701400000000001</c:v>
                </c:pt>
                <c:pt idx="462" formatCode="0">
                  <c:v>2.8374299999999999</c:v>
                </c:pt>
                <c:pt idx="463" formatCode="0">
                  <c:v>2.81121</c:v>
                </c:pt>
                <c:pt idx="464" formatCode="0">
                  <c:v>2.8524900000000004</c:v>
                </c:pt>
                <c:pt idx="465" formatCode="0">
                  <c:v>2.8594200000000001</c:v>
                </c:pt>
                <c:pt idx="466" formatCode="0">
                  <c:v>2.7955099999999997</c:v>
                </c:pt>
                <c:pt idx="467" formatCode="0">
                  <c:v>2.77339</c:v>
                </c:pt>
                <c:pt idx="468" formatCode="0">
                  <c:v>2.7677800000000001</c:v>
                </c:pt>
                <c:pt idx="469" formatCode="0">
                  <c:v>2.7418099999999996</c:v>
                </c:pt>
                <c:pt idx="470" formatCode="0">
                  <c:v>2.74017</c:v>
                </c:pt>
                <c:pt idx="471" formatCode="0">
                  <c:v>2.7369699999999999</c:v>
                </c:pt>
                <c:pt idx="472" formatCode="0">
                  <c:v>2.7306400000000002</c:v>
                </c:pt>
                <c:pt idx="473" formatCode="0">
                  <c:v>2.8156499999999998</c:v>
                </c:pt>
                <c:pt idx="474" formatCode="0">
                  <c:v>2.8012099999999998</c:v>
                </c:pt>
                <c:pt idx="475" formatCode="0">
                  <c:v>2.8155000000000001</c:v>
                </c:pt>
                <c:pt idx="476" formatCode="0">
                  <c:v>2.8430599999999999</c:v>
                </c:pt>
                <c:pt idx="477" formatCode="0">
                  <c:v>2.8433199999999998</c:v>
                </c:pt>
                <c:pt idx="478" formatCode="0">
                  <c:v>3.1177899999999998</c:v>
                </c:pt>
                <c:pt idx="479" formatCode="0">
                  <c:v>3.13611</c:v>
                </c:pt>
                <c:pt idx="480" formatCode="0">
                  <c:v>3.1147500000000004</c:v>
                </c:pt>
                <c:pt idx="481" formatCode="0">
                  <c:v>3.1323799999999999</c:v>
                </c:pt>
                <c:pt idx="482" formatCode="0">
                  <c:v>3.2180499999999999</c:v>
                </c:pt>
                <c:pt idx="483" formatCode="0">
                  <c:v>3.1572699999999996</c:v>
                </c:pt>
                <c:pt idx="484" formatCode="0">
                  <c:v>3.19529</c:v>
                </c:pt>
                <c:pt idx="485" formatCode="0">
                  <c:v>3.1318999999999999</c:v>
                </c:pt>
                <c:pt idx="486" formatCode="0">
                  <c:v>3.1296499999999998</c:v>
                </c:pt>
                <c:pt idx="487" formatCode="0">
                  <c:v>3.1127100000000003</c:v>
                </c:pt>
                <c:pt idx="488" formatCode="0">
                  <c:v>3.0663099999999996</c:v>
                </c:pt>
                <c:pt idx="489" formatCode="0">
                  <c:v>3.06996</c:v>
                </c:pt>
                <c:pt idx="490" formatCode="0">
                  <c:v>3.1649099999999999</c:v>
                </c:pt>
                <c:pt idx="491" formatCode="0">
                  <c:v>3.1684100000000002</c:v>
                </c:pt>
                <c:pt idx="492" formatCode="0">
                  <c:v>3.1833999999999998</c:v>
                </c:pt>
                <c:pt idx="493" formatCode="0">
                  <c:v>3.1336700000000004</c:v>
                </c:pt>
                <c:pt idx="494" formatCode="0">
                  <c:v>3.1793200000000001</c:v>
                </c:pt>
                <c:pt idx="495" formatCode="0">
                  <c:v>3.1877599999999999</c:v>
                </c:pt>
                <c:pt idx="496" formatCode="0">
                  <c:v>3.1908999999999996</c:v>
                </c:pt>
                <c:pt idx="497" formatCode="0">
                  <c:v>3.4007900000000002</c:v>
                </c:pt>
                <c:pt idx="498" formatCode="0">
                  <c:v>3.3739600000000003</c:v>
                </c:pt>
                <c:pt idx="499" formatCode="0">
                  <c:v>3.4559100000000003</c:v>
                </c:pt>
                <c:pt idx="500" formatCode="0">
                  <c:v>3.43737</c:v>
                </c:pt>
                <c:pt idx="501" formatCode="0">
                  <c:v>3.3971</c:v>
                </c:pt>
                <c:pt idx="502" formatCode="0">
                  <c:v>3.4611399999999999</c:v>
                </c:pt>
                <c:pt idx="503" formatCode="0">
                  <c:v>3.3461500000000002</c:v>
                </c:pt>
                <c:pt idx="504" formatCode="0">
                  <c:v>3.2849599999999999</c:v>
                </c:pt>
                <c:pt idx="505" formatCode="0">
                  <c:v>3.2411700000000003</c:v>
                </c:pt>
                <c:pt idx="506" formatCode="0">
                  <c:v>3.2240699999999998</c:v>
                </c:pt>
                <c:pt idx="507" formatCode="0">
                  <c:v>3.24221</c:v>
                </c:pt>
                <c:pt idx="508" formatCode="0">
                  <c:v>3.2334100000000001</c:v>
                </c:pt>
                <c:pt idx="509" formatCode="0">
                  <c:v>3.2247699999999999</c:v>
                </c:pt>
                <c:pt idx="510" formatCode="0">
                  <c:v>3.2366100000000002</c:v>
                </c:pt>
                <c:pt idx="511" formatCode="0">
                  <c:v>3.25854</c:v>
                </c:pt>
                <c:pt idx="512" formatCode="0">
                  <c:v>3.25935</c:v>
                </c:pt>
                <c:pt idx="513" formatCode="0">
                  <c:v>3.2657600000000002</c:v>
                </c:pt>
                <c:pt idx="514" formatCode="0">
                  <c:v>3.2221600000000001</c:v>
                </c:pt>
                <c:pt idx="515" formatCode="0">
                  <c:v>3.2169400000000001</c:v>
                </c:pt>
                <c:pt idx="516" formatCode="0">
                  <c:v>3.2014</c:v>
                </c:pt>
                <c:pt idx="517" formatCode="0">
                  <c:v>3.2017099999999998</c:v>
                </c:pt>
                <c:pt idx="518" formatCode="0">
                  <c:v>3.2017099999999998</c:v>
                </c:pt>
                <c:pt idx="519" formatCode="0">
                  <c:v>3.2017099999999998</c:v>
                </c:pt>
                <c:pt idx="520" formatCode="0">
                  <c:v>3.1562200000000002</c:v>
                </c:pt>
                <c:pt idx="521" formatCode="0">
                  <c:v>3.19008</c:v>
                </c:pt>
                <c:pt idx="522" formatCode="0">
                  <c:v>3.19502</c:v>
                </c:pt>
                <c:pt idx="523" formatCode="0">
                  <c:v>3.19502</c:v>
                </c:pt>
                <c:pt idx="524" formatCode="0">
                  <c:v>3.1109500000000003</c:v>
                </c:pt>
                <c:pt idx="525" formatCode="0">
                  <c:v>3.1054899999999996</c:v>
                </c:pt>
                <c:pt idx="526" formatCode="0">
                  <c:v>3.0988500000000001</c:v>
                </c:pt>
                <c:pt idx="527" formatCode="0">
                  <c:v>3.0636700000000001</c:v>
                </c:pt>
                <c:pt idx="528" formatCode="0">
                  <c:v>3.0910000000000002</c:v>
                </c:pt>
                <c:pt idx="529" formatCode="0">
                  <c:v>3.0795400000000002</c:v>
                </c:pt>
                <c:pt idx="530" formatCode="0">
                  <c:v>3.1065199999999997</c:v>
                </c:pt>
                <c:pt idx="531" formatCode="0">
                  <c:v>3.14039</c:v>
                </c:pt>
                <c:pt idx="532" formatCode="0">
                  <c:v>3.13496</c:v>
                </c:pt>
                <c:pt idx="533" formatCode="0">
                  <c:v>3.1458699999999999</c:v>
                </c:pt>
                <c:pt idx="534" formatCode="0">
                  <c:v>3.1142300000000001</c:v>
                </c:pt>
                <c:pt idx="535" formatCode="0">
                  <c:v>3.1424700000000003</c:v>
                </c:pt>
                <c:pt idx="536" formatCode="0">
                  <c:v>3.1644600000000001</c:v>
                </c:pt>
                <c:pt idx="537" formatCode="0">
                  <c:v>3.1922199999999998</c:v>
                </c:pt>
                <c:pt idx="538" formatCode="0">
                  <c:v>3.3184399999999998</c:v>
                </c:pt>
                <c:pt idx="539" formatCode="0">
                  <c:v>3.3437099999999997</c:v>
                </c:pt>
                <c:pt idx="540" formatCode="0">
                  <c:v>3.2960700000000003</c:v>
                </c:pt>
                <c:pt idx="541" formatCode="0">
                  <c:v>3.3171300000000001</c:v>
                </c:pt>
                <c:pt idx="542" formatCode="0">
                  <c:v>3.3606400000000001</c:v>
                </c:pt>
                <c:pt idx="543" formatCode="0">
                  <c:v>3.3688500000000001</c:v>
                </c:pt>
                <c:pt idx="544" formatCode="0">
                  <c:v>3.3776999999999999</c:v>
                </c:pt>
                <c:pt idx="545" formatCode="0">
                  <c:v>3.4041899999999998</c:v>
                </c:pt>
                <c:pt idx="546" formatCode="0">
                  <c:v>3.3817399999999997</c:v>
                </c:pt>
                <c:pt idx="547" formatCode="0">
                  <c:v>3.3769200000000001</c:v>
                </c:pt>
                <c:pt idx="548" formatCode="0">
                  <c:v>3.4188000000000001</c:v>
                </c:pt>
                <c:pt idx="549" formatCode="0">
                  <c:v>3.40022</c:v>
                </c:pt>
                <c:pt idx="550" formatCode="0">
                  <c:v>3.4419799999999996</c:v>
                </c:pt>
                <c:pt idx="551" formatCode="0">
                  <c:v>3.39324</c:v>
                </c:pt>
                <c:pt idx="552" formatCode="0">
                  <c:v>3.4953500000000002</c:v>
                </c:pt>
                <c:pt idx="553" formatCode="0">
                  <c:v>3.62921</c:v>
                </c:pt>
                <c:pt idx="554" formatCode="0">
                  <c:v>3.5597699999999999</c:v>
                </c:pt>
                <c:pt idx="555" formatCode="0">
                  <c:v>3.5743200000000002</c:v>
                </c:pt>
                <c:pt idx="556" formatCode="0">
                  <c:v>3.6036299999999999</c:v>
                </c:pt>
                <c:pt idx="557" formatCode="0">
                  <c:v>3.6157900000000001</c:v>
                </c:pt>
                <c:pt idx="558" formatCode="0">
                  <c:v>3.6377300000000004</c:v>
                </c:pt>
                <c:pt idx="559" formatCode="0">
                  <c:v>3.6922600000000001</c:v>
                </c:pt>
                <c:pt idx="560" formatCode="0">
                  <c:v>3.6825700000000001</c:v>
                </c:pt>
                <c:pt idx="561" formatCode="0">
                  <c:v>3.8798500000000002</c:v>
                </c:pt>
                <c:pt idx="562" formatCode="0">
                  <c:v>3.7645400000000002</c:v>
                </c:pt>
                <c:pt idx="563" formatCode="0">
                  <c:v>4.0413199999999998</c:v>
                </c:pt>
                <c:pt idx="564" formatCode="0">
                  <c:v>4.7493999999999996</c:v>
                </c:pt>
                <c:pt idx="565" formatCode="0">
                  <c:v>4.7196899999999999</c:v>
                </c:pt>
                <c:pt idx="566" formatCode="0">
                  <c:v>4.9673300000000005</c:v>
                </c:pt>
                <c:pt idx="567" formatCode="0">
                  <c:v>5.6096000000000004</c:v>
                </c:pt>
                <c:pt idx="568" formatCode="0">
                  <c:v>6.1355399999999998</c:v>
                </c:pt>
                <c:pt idx="569" formatCode="0">
                  <c:v>6.46021</c:v>
                </c:pt>
                <c:pt idx="570" formatCode="0">
                  <c:v>6.3742200000000002</c:v>
                </c:pt>
                <c:pt idx="571" formatCode="0">
                  <c:v>6.1183799999999993</c:v>
                </c:pt>
                <c:pt idx="572" formatCode="0">
                  <c:v>6.1227999999999998</c:v>
                </c:pt>
                <c:pt idx="573" formatCode="0">
                  <c:v>5.7706799999999996</c:v>
                </c:pt>
                <c:pt idx="574" formatCode="0">
                  <c:v>5.7243499999999994</c:v>
                </c:pt>
                <c:pt idx="575" formatCode="0">
                  <c:v>4.9961200000000003</c:v>
                </c:pt>
                <c:pt idx="576" formatCode="0">
                  <c:v>5.0047100000000002</c:v>
                </c:pt>
                <c:pt idx="577" formatCode="0">
                  <c:v>5.0774699999999999</c:v>
                </c:pt>
                <c:pt idx="578" formatCode="0">
                  <c:v>4.6476799999999994</c:v>
                </c:pt>
                <c:pt idx="579" formatCode="0">
                  <c:v>4.5895200000000003</c:v>
                </c:pt>
                <c:pt idx="580" formatCode="0">
                  <c:v>4.6141399999999999</c:v>
                </c:pt>
                <c:pt idx="581" formatCode="0">
                  <c:v>4.5579900000000002</c:v>
                </c:pt>
                <c:pt idx="582" formatCode="0">
                  <c:v>4.4015899999999997</c:v>
                </c:pt>
                <c:pt idx="583" formatCode="0">
                  <c:v>4.5372399999999997</c:v>
                </c:pt>
                <c:pt idx="584" formatCode="0">
                  <c:v>4.5393999999999997</c:v>
                </c:pt>
                <c:pt idx="585" formatCode="0">
                  <c:v>4.5794199999999998</c:v>
                </c:pt>
                <c:pt idx="586" formatCode="0">
                  <c:v>4.6348700000000003</c:v>
                </c:pt>
                <c:pt idx="587" formatCode="0">
                  <c:v>4.5811299999999999</c:v>
                </c:pt>
                <c:pt idx="588" formatCode="0">
                  <c:v>4.57402</c:v>
                </c:pt>
                <c:pt idx="589" formatCode="0">
                  <c:v>4.4157700000000002</c:v>
                </c:pt>
                <c:pt idx="590" formatCode="0">
                  <c:v>4.38917</c:v>
                </c:pt>
                <c:pt idx="591" formatCode="0">
                  <c:v>4.3552999999999997</c:v>
                </c:pt>
                <c:pt idx="592" formatCode="0">
                  <c:v>4.2993699999999997</c:v>
                </c:pt>
                <c:pt idx="593" formatCode="0">
                  <c:v>4.2969499999999998</c:v>
                </c:pt>
                <c:pt idx="594" formatCode="0">
                  <c:v>4.3578700000000001</c:v>
                </c:pt>
                <c:pt idx="595" formatCode="0">
                  <c:v>4.3906400000000003</c:v>
                </c:pt>
                <c:pt idx="596" formatCode="0">
                  <c:v>4.32531</c:v>
                </c:pt>
                <c:pt idx="597" formatCode="0">
                  <c:v>4.32531</c:v>
                </c:pt>
                <c:pt idx="598" formatCode="0">
                  <c:v>4.32531</c:v>
                </c:pt>
                <c:pt idx="599" formatCode="0">
                  <c:v>4.3587099999999994</c:v>
                </c:pt>
                <c:pt idx="600" formatCode="0">
                  <c:v>4.5148299999999999</c:v>
                </c:pt>
                <c:pt idx="601" formatCode="0">
                  <c:v>4.4402400000000002</c:v>
                </c:pt>
                <c:pt idx="602" formatCode="0">
                  <c:v>4.5969499999999996</c:v>
                </c:pt>
                <c:pt idx="603" formatCode="0">
                  <c:v>4.7315100000000001</c:v>
                </c:pt>
                <c:pt idx="604" formatCode="0">
                  <c:v>4.9148800000000001</c:v>
                </c:pt>
                <c:pt idx="605" formatCode="0">
                  <c:v>4.8563799999999997</c:v>
                </c:pt>
                <c:pt idx="606" formatCode="0">
                  <c:v>4.9167700000000005</c:v>
                </c:pt>
                <c:pt idx="607" formatCode="0">
                  <c:v>4.8611700000000004</c:v>
                </c:pt>
                <c:pt idx="608" formatCode="0">
                  <c:v>4.8611700000000004</c:v>
                </c:pt>
                <c:pt idx="609" formatCode="0">
                  <c:v>5.0188099999999993</c:v>
                </c:pt>
                <c:pt idx="610" formatCode="0">
                  <c:v>4.9676600000000004</c:v>
                </c:pt>
                <c:pt idx="611" formatCode="0">
                  <c:v>4.8955200000000003</c:v>
                </c:pt>
                <c:pt idx="612" formatCode="0">
                  <c:v>4.89039</c:v>
                </c:pt>
                <c:pt idx="613" formatCode="0">
                  <c:v>5.04481</c:v>
                </c:pt>
                <c:pt idx="614" formatCode="0">
                  <c:v>5.1614200000000006</c:v>
                </c:pt>
                <c:pt idx="615" formatCode="0">
                  <c:v>5.18452</c:v>
                </c:pt>
                <c:pt idx="616" formatCode="0">
                  <c:v>5.2349699999999997</c:v>
                </c:pt>
                <c:pt idx="617" formatCode="0">
                  <c:v>5.1543799999999997</c:v>
                </c:pt>
                <c:pt idx="618" formatCode="0">
                  <c:v>5.2118700000000002</c:v>
                </c:pt>
                <c:pt idx="619" formatCode="0">
                  <c:v>5.1297900000000007</c:v>
                </c:pt>
                <c:pt idx="620" formatCode="0">
                  <c:v>5.2034900000000004</c:v>
                </c:pt>
                <c:pt idx="621" formatCode="0">
                  <c:v>5.2997199999999998</c:v>
                </c:pt>
                <c:pt idx="622" formatCode="0">
                  <c:v>5.33474</c:v>
                </c:pt>
                <c:pt idx="623" formatCode="0">
                  <c:v>5.3050999999999995</c:v>
                </c:pt>
                <c:pt idx="624" formatCode="0">
                  <c:v>5.3465400000000001</c:v>
                </c:pt>
                <c:pt idx="625" formatCode="0">
                  <c:v>5.3365400000000003</c:v>
                </c:pt>
                <c:pt idx="626" formatCode="0">
                  <c:v>5.3339700000000008</c:v>
                </c:pt>
                <c:pt idx="627" formatCode="0">
                  <c:v>5.2308399999999997</c:v>
                </c:pt>
                <c:pt idx="628" formatCode="0">
                  <c:v>5.2225000000000001</c:v>
                </c:pt>
                <c:pt idx="629" formatCode="0">
                  <c:v>5.21814</c:v>
                </c:pt>
                <c:pt idx="630" formatCode="0">
                  <c:v>5.1291499999999992</c:v>
                </c:pt>
                <c:pt idx="631" formatCode="0">
                  <c:v>5.1291499999999992</c:v>
                </c:pt>
                <c:pt idx="632" formatCode="0">
                  <c:v>5.1291499999999992</c:v>
                </c:pt>
                <c:pt idx="633" formatCode="0">
                  <c:v>5.0347400000000002</c:v>
                </c:pt>
                <c:pt idx="634" formatCode="0">
                  <c:v>5.1193400000000002</c:v>
                </c:pt>
                <c:pt idx="635" formatCode="0">
                  <c:v>5.0565100000000003</c:v>
                </c:pt>
                <c:pt idx="636" formatCode="0">
                  <c:v>5.0787700000000005</c:v>
                </c:pt>
                <c:pt idx="637" formatCode="0">
                  <c:v>4.9774000000000003</c:v>
                </c:pt>
                <c:pt idx="638" formatCode="0">
                  <c:v>5.0716299999999999</c:v>
                </c:pt>
                <c:pt idx="639" formatCode="0">
                  <c:v>5.0055700000000005</c:v>
                </c:pt>
                <c:pt idx="640" formatCode="0">
                  <c:v>5.0870999999999995</c:v>
                </c:pt>
                <c:pt idx="641" formatCode="0">
                  <c:v>5.27</c:v>
                </c:pt>
                <c:pt idx="642" formatCode="0">
                  <c:v>5.4304300000000003</c:v>
                </c:pt>
                <c:pt idx="643" formatCode="0">
                  <c:v>5.3914099999999996</c:v>
                </c:pt>
                <c:pt idx="644" formatCode="0">
                  <c:v>5.3486599999999997</c:v>
                </c:pt>
                <c:pt idx="645" formatCode="0">
                  <c:v>5.46652</c:v>
                </c:pt>
                <c:pt idx="646" formatCode="0">
                  <c:v>5.5279499999999997</c:v>
                </c:pt>
                <c:pt idx="647" formatCode="0">
                  <c:v>5.5276300000000003</c:v>
                </c:pt>
                <c:pt idx="648" formatCode="0">
                  <c:v>5.4647500000000004</c:v>
                </c:pt>
                <c:pt idx="649" formatCode="0">
                  <c:v>5.5697299999999998</c:v>
                </c:pt>
                <c:pt idx="650" formatCode="0">
                  <c:v>5.7431299999999998</c:v>
                </c:pt>
                <c:pt idx="651" formatCode="0">
                  <c:v>5.9547400000000001</c:v>
                </c:pt>
                <c:pt idx="652" formatCode="0">
                  <c:v>6.0107699999999999</c:v>
                </c:pt>
                <c:pt idx="653" formatCode="0">
                  <c:v>6.0135799999999993</c:v>
                </c:pt>
                <c:pt idx="654" formatCode="0">
                  <c:v>6.2188999999999997</c:v>
                </c:pt>
                <c:pt idx="655" formatCode="0">
                  <c:v>6.0557100000000004</c:v>
                </c:pt>
                <c:pt idx="656" formatCode="0">
                  <c:v>6.0152599999999996</c:v>
                </c:pt>
                <c:pt idx="657" formatCode="0">
                  <c:v>6.0366400000000002</c:v>
                </c:pt>
                <c:pt idx="658" formatCode="0">
                  <c:v>6.1228700000000007</c:v>
                </c:pt>
                <c:pt idx="659" formatCode="0">
                  <c:v>6.3231299999999999</c:v>
                </c:pt>
                <c:pt idx="660" formatCode="0">
                  <c:v>6.4320000000000004</c:v>
                </c:pt>
                <c:pt idx="661" formatCode="0">
                  <c:v>6.44475</c:v>
                </c:pt>
                <c:pt idx="662" formatCode="0">
                  <c:v>6.49838</c:v>
                </c:pt>
                <c:pt idx="663" formatCode="0">
                  <c:v>6.4186800000000002</c:v>
                </c:pt>
                <c:pt idx="664" formatCode="0">
                  <c:v>6.3620700000000001</c:v>
                </c:pt>
                <c:pt idx="665" formatCode="0">
                  <c:v>6.30898</c:v>
                </c:pt>
                <c:pt idx="666" formatCode="0">
                  <c:v>6.3936500000000001</c:v>
                </c:pt>
                <c:pt idx="667" formatCode="0">
                  <c:v>6.3651599999999995</c:v>
                </c:pt>
                <c:pt idx="668" formatCode="0">
                  <c:v>6.19665</c:v>
                </c:pt>
                <c:pt idx="669" formatCode="0">
                  <c:v>6.2222900000000001</c:v>
                </c:pt>
                <c:pt idx="670" formatCode="0">
                  <c:v>6.2367499999999998</c:v>
                </c:pt>
                <c:pt idx="671" formatCode="0">
                  <c:v>6.2295000000000007</c:v>
                </c:pt>
                <c:pt idx="672" formatCode="0">
                  <c:v>6.3157800000000002</c:v>
                </c:pt>
                <c:pt idx="673" formatCode="0">
                  <c:v>6.2165099999999995</c:v>
                </c:pt>
                <c:pt idx="674" formatCode="0">
                  <c:v>6.1013999999999999</c:v>
                </c:pt>
                <c:pt idx="675" formatCode="0">
                  <c:v>6.04528</c:v>
                </c:pt>
                <c:pt idx="676" formatCode="0">
                  <c:v>6.0882199999999997</c:v>
                </c:pt>
                <c:pt idx="677" formatCode="0">
                  <c:v>5.9766999999999992</c:v>
                </c:pt>
                <c:pt idx="678" formatCode="0">
                  <c:v>5.9969100000000006</c:v>
                </c:pt>
                <c:pt idx="679" formatCode="0">
                  <c:v>5.9801599999999997</c:v>
                </c:pt>
                <c:pt idx="680" formatCode="0">
                  <c:v>5.9445600000000001</c:v>
                </c:pt>
                <c:pt idx="681" formatCode="0">
                  <c:v>5.6528</c:v>
                </c:pt>
                <c:pt idx="682" formatCode="0">
                  <c:v>5.5689200000000003</c:v>
                </c:pt>
                <c:pt idx="683" formatCode="0">
                  <c:v>5.6862400000000006</c:v>
                </c:pt>
                <c:pt idx="684" formatCode="0">
                  <c:v>5.5549900000000001</c:v>
                </c:pt>
                <c:pt idx="685" formatCode="0">
                  <c:v>5.5476400000000003</c:v>
                </c:pt>
                <c:pt idx="686" formatCode="0">
                  <c:v>5.5056100000000008</c:v>
                </c:pt>
                <c:pt idx="687" formatCode="0">
                  <c:v>5.4992899999999993</c:v>
                </c:pt>
                <c:pt idx="688" formatCode="0">
                  <c:v>5.50075</c:v>
                </c:pt>
                <c:pt idx="689" formatCode="0">
                  <c:v>5.4770099999999999</c:v>
                </c:pt>
                <c:pt idx="690" formatCode="0">
                  <c:v>5.3622000000000005</c:v>
                </c:pt>
                <c:pt idx="691" formatCode="0">
                  <c:v>5.43872</c:v>
                </c:pt>
                <c:pt idx="692" formatCode="0">
                  <c:v>5.4387499999999998</c:v>
                </c:pt>
                <c:pt idx="693" formatCode="0">
                  <c:v>5.4387499999999998</c:v>
                </c:pt>
                <c:pt idx="694" formatCode="0">
                  <c:v>5.4043700000000001</c:v>
                </c:pt>
                <c:pt idx="695" formatCode="0">
                  <c:v>5.2943600000000002</c:v>
                </c:pt>
                <c:pt idx="696" formatCode="0">
                  <c:v>5.2636400000000005</c:v>
                </c:pt>
                <c:pt idx="697" formatCode="0">
                  <c:v>5.3097400000000006</c:v>
                </c:pt>
                <c:pt idx="698" formatCode="0">
                  <c:v>5.2986400000000007</c:v>
                </c:pt>
                <c:pt idx="699" formatCode="0">
                  <c:v>5.2119500000000007</c:v>
                </c:pt>
                <c:pt idx="700" formatCode="0">
                  <c:v>5.24376</c:v>
                </c:pt>
                <c:pt idx="701" formatCode="0">
                  <c:v>5.2206299999999999</c:v>
                </c:pt>
                <c:pt idx="702" formatCode="0">
                  <c:v>4.9378399999999996</c:v>
                </c:pt>
                <c:pt idx="703" formatCode="0">
                  <c:v>4.8765099999999997</c:v>
                </c:pt>
                <c:pt idx="704" formatCode="0">
                  <c:v>4.8869400000000001</c:v>
                </c:pt>
                <c:pt idx="705" formatCode="0">
                  <c:v>5.0764699999999996</c:v>
                </c:pt>
                <c:pt idx="706" formatCode="0">
                  <c:v>5.1374599999999999</c:v>
                </c:pt>
                <c:pt idx="707" formatCode="0">
                  <c:v>5.2088400000000004</c:v>
                </c:pt>
              </c:numCache>
            </c:numRef>
          </c:val>
          <c:smooth val="0"/>
          <c:extLst>
            <c:ext xmlns:c16="http://schemas.microsoft.com/office/drawing/2014/chart" uri="{C3380CC4-5D6E-409C-BE32-E72D297353CC}">
              <c16:uniqueId val="{00000003-F31E-4170-9322-6C48FF56580E}"/>
            </c:ext>
          </c:extLst>
        </c:ser>
        <c:ser>
          <c:idx val="5"/>
          <c:order val="5"/>
          <c:tx>
            <c:strRef>
              <c:f>Sheet1!$G$1</c:f>
              <c:strCache>
                <c:ptCount val="1"/>
                <c:pt idx="0">
                  <c:v>Ադրբեջան (2024թ.)</c:v>
                </c:pt>
              </c:strCache>
            </c:strRef>
          </c:tx>
          <c:spPr>
            <a:ln w="19050" cap="rnd">
              <a:solidFill>
                <a:schemeClr val="tx1"/>
              </a:solidFill>
              <a:round/>
            </a:ln>
            <a:effectLst/>
          </c:spPr>
          <c:marker>
            <c:symbol val="none"/>
          </c:marker>
          <c:cat>
            <c:numRef>
              <c:f>Sheet1!$A$2:$A$971</c:f>
              <c:numCache>
                <c:formatCode>m\/d\/yyyy</c:formatCode>
                <c:ptCount val="709"/>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pt idx="639">
                  <c:v>44726</c:v>
                </c:pt>
                <c:pt idx="640">
                  <c:v>44727</c:v>
                </c:pt>
                <c:pt idx="641">
                  <c:v>44728</c:v>
                </c:pt>
                <c:pt idx="642">
                  <c:v>44729</c:v>
                </c:pt>
                <c:pt idx="643">
                  <c:v>44732</c:v>
                </c:pt>
                <c:pt idx="644">
                  <c:v>44733</c:v>
                </c:pt>
                <c:pt idx="645">
                  <c:v>44734</c:v>
                </c:pt>
                <c:pt idx="646">
                  <c:v>44735</c:v>
                </c:pt>
                <c:pt idx="647">
                  <c:v>44736</c:v>
                </c:pt>
                <c:pt idx="648">
                  <c:v>44739</c:v>
                </c:pt>
                <c:pt idx="649">
                  <c:v>44740</c:v>
                </c:pt>
                <c:pt idx="650">
                  <c:v>44741</c:v>
                </c:pt>
                <c:pt idx="651">
                  <c:v>44742</c:v>
                </c:pt>
                <c:pt idx="652">
                  <c:v>44743</c:v>
                </c:pt>
                <c:pt idx="653">
                  <c:v>44746</c:v>
                </c:pt>
                <c:pt idx="654">
                  <c:v>44747</c:v>
                </c:pt>
                <c:pt idx="655">
                  <c:v>44748</c:v>
                </c:pt>
                <c:pt idx="656">
                  <c:v>44749</c:v>
                </c:pt>
                <c:pt idx="657">
                  <c:v>44750</c:v>
                </c:pt>
                <c:pt idx="658">
                  <c:v>44753</c:v>
                </c:pt>
                <c:pt idx="659">
                  <c:v>44754</c:v>
                </c:pt>
                <c:pt idx="660">
                  <c:v>44755</c:v>
                </c:pt>
                <c:pt idx="661">
                  <c:v>44756</c:v>
                </c:pt>
                <c:pt idx="662">
                  <c:v>44757</c:v>
                </c:pt>
                <c:pt idx="663">
                  <c:v>44760</c:v>
                </c:pt>
                <c:pt idx="664">
                  <c:v>44761</c:v>
                </c:pt>
                <c:pt idx="665">
                  <c:v>44762</c:v>
                </c:pt>
                <c:pt idx="666">
                  <c:v>44763</c:v>
                </c:pt>
                <c:pt idx="667">
                  <c:v>44764</c:v>
                </c:pt>
                <c:pt idx="668">
                  <c:v>44767</c:v>
                </c:pt>
                <c:pt idx="669">
                  <c:v>44768</c:v>
                </c:pt>
                <c:pt idx="670">
                  <c:v>44769</c:v>
                </c:pt>
                <c:pt idx="671">
                  <c:v>44770</c:v>
                </c:pt>
                <c:pt idx="672">
                  <c:v>44771</c:v>
                </c:pt>
                <c:pt idx="673">
                  <c:v>44774</c:v>
                </c:pt>
                <c:pt idx="674">
                  <c:v>44775</c:v>
                </c:pt>
                <c:pt idx="675">
                  <c:v>44776</c:v>
                </c:pt>
                <c:pt idx="676">
                  <c:v>44777</c:v>
                </c:pt>
                <c:pt idx="677">
                  <c:v>44778</c:v>
                </c:pt>
                <c:pt idx="678">
                  <c:v>44781</c:v>
                </c:pt>
                <c:pt idx="679">
                  <c:v>44782</c:v>
                </c:pt>
                <c:pt idx="680">
                  <c:v>44783</c:v>
                </c:pt>
                <c:pt idx="681">
                  <c:v>44784</c:v>
                </c:pt>
                <c:pt idx="682">
                  <c:v>44785</c:v>
                </c:pt>
                <c:pt idx="683">
                  <c:v>44788</c:v>
                </c:pt>
                <c:pt idx="684">
                  <c:v>44789</c:v>
                </c:pt>
                <c:pt idx="685">
                  <c:v>44790</c:v>
                </c:pt>
                <c:pt idx="686">
                  <c:v>44791</c:v>
                </c:pt>
                <c:pt idx="687">
                  <c:v>44792</c:v>
                </c:pt>
                <c:pt idx="688">
                  <c:v>44795</c:v>
                </c:pt>
                <c:pt idx="689">
                  <c:v>44796</c:v>
                </c:pt>
                <c:pt idx="690">
                  <c:v>44797</c:v>
                </c:pt>
                <c:pt idx="691">
                  <c:v>44798</c:v>
                </c:pt>
                <c:pt idx="692">
                  <c:v>44799</c:v>
                </c:pt>
                <c:pt idx="693">
                  <c:v>44802</c:v>
                </c:pt>
                <c:pt idx="694">
                  <c:v>44803</c:v>
                </c:pt>
                <c:pt idx="695">
                  <c:v>44804</c:v>
                </c:pt>
                <c:pt idx="696">
                  <c:v>44805</c:v>
                </c:pt>
                <c:pt idx="697">
                  <c:v>44806</c:v>
                </c:pt>
                <c:pt idx="698">
                  <c:v>44809</c:v>
                </c:pt>
                <c:pt idx="699">
                  <c:v>44810</c:v>
                </c:pt>
                <c:pt idx="700">
                  <c:v>44811</c:v>
                </c:pt>
                <c:pt idx="701">
                  <c:v>44812</c:v>
                </c:pt>
                <c:pt idx="702">
                  <c:v>44813</c:v>
                </c:pt>
                <c:pt idx="703">
                  <c:v>44816</c:v>
                </c:pt>
                <c:pt idx="704">
                  <c:v>44817</c:v>
                </c:pt>
                <c:pt idx="705">
                  <c:v>44818</c:v>
                </c:pt>
                <c:pt idx="706">
                  <c:v>44819</c:v>
                </c:pt>
                <c:pt idx="707">
                  <c:v>44820</c:v>
                </c:pt>
              </c:numCache>
            </c:numRef>
          </c:cat>
          <c:val>
            <c:numRef>
              <c:f>Sheet1!$G$2:$G$971</c:f>
              <c:numCache>
                <c:formatCode>0</c:formatCode>
                <c:ptCount val="709"/>
                <c:pt idx="0">
                  <c:v>1.21987</c:v>
                </c:pt>
                <c:pt idx="1">
                  <c:v>1.22933</c:v>
                </c:pt>
                <c:pt idx="2">
                  <c:v>1.2589700000000001</c:v>
                </c:pt>
                <c:pt idx="3">
                  <c:v>1.2745600000000001</c:v>
                </c:pt>
                <c:pt idx="4">
                  <c:v>1.2547299999999999</c:v>
                </c:pt>
                <c:pt idx="5">
                  <c:v>1.19208</c:v>
                </c:pt>
                <c:pt idx="6">
                  <c:v>1.2205699999999999</c:v>
                </c:pt>
                <c:pt idx="7">
                  <c:v>1.22742</c:v>
                </c:pt>
                <c:pt idx="8">
                  <c:v>1.2043600000000001</c:v>
                </c:pt>
                <c:pt idx="9">
                  <c:v>1.17774</c:v>
                </c:pt>
                <c:pt idx="10">
                  <c:v>1.18154</c:v>
                </c:pt>
                <c:pt idx="11">
                  <c:v>1.17723</c:v>
                </c:pt>
                <c:pt idx="12">
                  <c:v>1.17018</c:v>
                </c:pt>
                <c:pt idx="13">
                  <c:v>1.17954</c:v>
                </c:pt>
                <c:pt idx="14">
                  <c:v>1.1902999999999999</c:v>
                </c:pt>
                <c:pt idx="15">
                  <c:v>1.18605</c:v>
                </c:pt>
                <c:pt idx="16">
                  <c:v>1.22054</c:v>
                </c:pt>
                <c:pt idx="17">
                  <c:v>1.24817</c:v>
                </c:pt>
                <c:pt idx="18">
                  <c:v>1.37199</c:v>
                </c:pt>
                <c:pt idx="19">
                  <c:v>1.2959499999999999</c:v>
                </c:pt>
                <c:pt idx="20">
                  <c:v>1.36084</c:v>
                </c:pt>
                <c:pt idx="21">
                  <c:v>1.36581</c:v>
                </c:pt>
                <c:pt idx="22">
                  <c:v>1.3344300000000002</c:v>
                </c:pt>
                <c:pt idx="23">
                  <c:v>1.28304</c:v>
                </c:pt>
                <c:pt idx="24">
                  <c:v>1.18224</c:v>
                </c:pt>
                <c:pt idx="25">
                  <c:v>1.1286400000000001</c:v>
                </c:pt>
                <c:pt idx="26">
                  <c:v>1.0890500000000001</c:v>
                </c:pt>
                <c:pt idx="27">
                  <c:v>1.1197699999999999</c:v>
                </c:pt>
                <c:pt idx="28">
                  <c:v>1.15198</c:v>
                </c:pt>
                <c:pt idx="29">
                  <c:v>1.02041</c:v>
                </c:pt>
                <c:pt idx="30">
                  <c:v>0.98980000000000001</c:v>
                </c:pt>
                <c:pt idx="31">
                  <c:v>0.96821000000000002</c:v>
                </c:pt>
                <c:pt idx="32">
                  <c:v>0.99968000000000001</c:v>
                </c:pt>
                <c:pt idx="33">
                  <c:v>0.98498000000000008</c:v>
                </c:pt>
                <c:pt idx="34">
                  <c:v>1.0383599999999999</c:v>
                </c:pt>
                <c:pt idx="35">
                  <c:v>1.0198</c:v>
                </c:pt>
                <c:pt idx="36">
                  <c:v>1.0718699999999999</c:v>
                </c:pt>
                <c:pt idx="37">
                  <c:v>1.1058700000000001</c:v>
                </c:pt>
                <c:pt idx="38">
                  <c:v>1.23946</c:v>
                </c:pt>
                <c:pt idx="39">
                  <c:v>1.28163</c:v>
                </c:pt>
                <c:pt idx="40">
                  <c:v>1.35362</c:v>
                </c:pt>
                <c:pt idx="41">
                  <c:v>1.5719399999999999</c:v>
                </c:pt>
                <c:pt idx="42">
                  <c:v>1.90832</c:v>
                </c:pt>
                <c:pt idx="43">
                  <c:v>1.90663</c:v>
                </c:pt>
                <c:pt idx="44">
                  <c:v>1.82437</c:v>
                </c:pt>
                <c:pt idx="45">
                  <c:v>1.7864599999999999</c:v>
                </c:pt>
                <c:pt idx="46">
                  <c:v>1.73282</c:v>
                </c:pt>
                <c:pt idx="47">
                  <c:v>1.7976799999999999</c:v>
                </c:pt>
                <c:pt idx="48">
                  <c:v>3.1219099999999997</c:v>
                </c:pt>
                <c:pt idx="49">
                  <c:v>2.9146399999999999</c:v>
                </c:pt>
                <c:pt idx="50">
                  <c:v>3.1227399999999998</c:v>
                </c:pt>
                <c:pt idx="51">
                  <c:v>4.4816799999999999</c:v>
                </c:pt>
                <c:pt idx="52">
                  <c:v>4.3175599999999994</c:v>
                </c:pt>
                <c:pt idx="53">
                  <c:v>5.0939199999999998</c:v>
                </c:pt>
                <c:pt idx="54">
                  <c:v>4.7564799999999998</c:v>
                </c:pt>
                <c:pt idx="55">
                  <c:v>6.4136300000000004</c:v>
                </c:pt>
                <c:pt idx="56">
                  <c:v>6.8150699999999995</c:v>
                </c:pt>
                <c:pt idx="57">
                  <c:v>6.7039200000000001</c:v>
                </c:pt>
                <c:pt idx="58">
                  <c:v>7.3888099999999994</c:v>
                </c:pt>
                <c:pt idx="59">
                  <c:v>6.9058000000000002</c:v>
                </c:pt>
                <c:pt idx="60">
                  <c:v>6.0853099999999998</c:v>
                </c:pt>
                <c:pt idx="61">
                  <c:v>5.3894799999999998</c:v>
                </c:pt>
                <c:pt idx="62">
                  <c:v>4.8533200000000001</c:v>
                </c:pt>
                <c:pt idx="63">
                  <c:v>5.1164999999999994</c:v>
                </c:pt>
                <c:pt idx="64">
                  <c:v>5.0895299999999999</c:v>
                </c:pt>
                <c:pt idx="65">
                  <c:v>5.2236699999999994</c:v>
                </c:pt>
                <c:pt idx="66">
                  <c:v>4.6376200000000001</c:v>
                </c:pt>
                <c:pt idx="67">
                  <c:v>4.3277299999999999</c:v>
                </c:pt>
                <c:pt idx="68">
                  <c:v>3.7766199999999999</c:v>
                </c:pt>
                <c:pt idx="69">
                  <c:v>3.5764999999999998</c:v>
                </c:pt>
                <c:pt idx="70">
                  <c:v>3.6051500000000001</c:v>
                </c:pt>
                <c:pt idx="71">
                  <c:v>3.55993</c:v>
                </c:pt>
                <c:pt idx="72">
                  <c:v>3.55993</c:v>
                </c:pt>
                <c:pt idx="73">
                  <c:v>3.55993</c:v>
                </c:pt>
                <c:pt idx="74">
                  <c:v>3.3622300000000003</c:v>
                </c:pt>
                <c:pt idx="75">
                  <c:v>3.45635</c:v>
                </c:pt>
                <c:pt idx="76">
                  <c:v>3.4767899999999998</c:v>
                </c:pt>
                <c:pt idx="77">
                  <c:v>3.4426199999999998</c:v>
                </c:pt>
                <c:pt idx="78">
                  <c:v>3.4904099999999998</c:v>
                </c:pt>
                <c:pt idx="79">
                  <c:v>3.9043999999999999</c:v>
                </c:pt>
                <c:pt idx="80">
                  <c:v>3.9656400000000001</c:v>
                </c:pt>
                <c:pt idx="81">
                  <c:v>3.75556</c:v>
                </c:pt>
                <c:pt idx="82">
                  <c:v>3.88517</c:v>
                </c:pt>
                <c:pt idx="83">
                  <c:v>4.1304100000000004</c:v>
                </c:pt>
                <c:pt idx="84">
                  <c:v>4.1606899999999998</c:v>
                </c:pt>
                <c:pt idx="85">
                  <c:v>4.1427199999999997</c:v>
                </c:pt>
                <c:pt idx="86">
                  <c:v>3.9791500000000002</c:v>
                </c:pt>
                <c:pt idx="87">
                  <c:v>4.0334699999999994</c:v>
                </c:pt>
                <c:pt idx="88">
                  <c:v>4.32545</c:v>
                </c:pt>
                <c:pt idx="89">
                  <c:v>3.97478</c:v>
                </c:pt>
                <c:pt idx="90">
                  <c:v>3.98373</c:v>
                </c:pt>
                <c:pt idx="91">
                  <c:v>4.0831200000000001</c:v>
                </c:pt>
                <c:pt idx="92">
                  <c:v>4.0831200000000001</c:v>
                </c:pt>
                <c:pt idx="93">
                  <c:v>3.8700799999999997</c:v>
                </c:pt>
                <c:pt idx="94">
                  <c:v>3.59239</c:v>
                </c:pt>
                <c:pt idx="95">
                  <c:v>3.5731299999999999</c:v>
                </c:pt>
                <c:pt idx="96">
                  <c:v>3.6313600000000004</c:v>
                </c:pt>
                <c:pt idx="97">
                  <c:v>3.4672500000000004</c:v>
                </c:pt>
                <c:pt idx="98">
                  <c:v>3.1964199999999998</c:v>
                </c:pt>
                <c:pt idx="99">
                  <c:v>3.1659800000000002</c:v>
                </c:pt>
                <c:pt idx="100">
                  <c:v>3.1112799999999998</c:v>
                </c:pt>
                <c:pt idx="101">
                  <c:v>3.0182100000000003</c:v>
                </c:pt>
                <c:pt idx="102">
                  <c:v>3.0247899999999999</c:v>
                </c:pt>
                <c:pt idx="103">
                  <c:v>3.0247899999999999</c:v>
                </c:pt>
                <c:pt idx="104">
                  <c:v>2.8982799999999997</c:v>
                </c:pt>
                <c:pt idx="105">
                  <c:v>2.8381699999999999</c:v>
                </c:pt>
                <c:pt idx="106">
                  <c:v>2.8203800000000001</c:v>
                </c:pt>
                <c:pt idx="107">
                  <c:v>2.8847699999999996</c:v>
                </c:pt>
                <c:pt idx="108">
                  <c:v>2.8741699999999999</c:v>
                </c:pt>
                <c:pt idx="109">
                  <c:v>2.78945</c:v>
                </c:pt>
                <c:pt idx="110">
                  <c:v>2.6009199999999999</c:v>
                </c:pt>
                <c:pt idx="111">
                  <c:v>2.5543299999999998</c:v>
                </c:pt>
                <c:pt idx="112">
                  <c:v>2.3319200000000002</c:v>
                </c:pt>
                <c:pt idx="113">
                  <c:v>2.2892799999999998</c:v>
                </c:pt>
                <c:pt idx="114">
                  <c:v>2.3207100000000001</c:v>
                </c:pt>
                <c:pt idx="115">
                  <c:v>2.3388800000000001</c:v>
                </c:pt>
                <c:pt idx="116">
                  <c:v>2.5263300000000002</c:v>
                </c:pt>
                <c:pt idx="117">
                  <c:v>2.5232200000000002</c:v>
                </c:pt>
                <c:pt idx="118">
                  <c:v>2.7967599999999999</c:v>
                </c:pt>
                <c:pt idx="119">
                  <c:v>2.6001600000000002</c:v>
                </c:pt>
                <c:pt idx="120">
                  <c:v>2.69373</c:v>
                </c:pt>
                <c:pt idx="121">
                  <c:v>2.6814999999999998</c:v>
                </c:pt>
                <c:pt idx="122">
                  <c:v>2.6919600000000004</c:v>
                </c:pt>
                <c:pt idx="123">
                  <c:v>2.6798899999999999</c:v>
                </c:pt>
                <c:pt idx="124">
                  <c:v>2.4791799999999999</c:v>
                </c:pt>
                <c:pt idx="125">
                  <c:v>2.4884900000000001</c:v>
                </c:pt>
                <c:pt idx="126">
                  <c:v>2.5253000000000001</c:v>
                </c:pt>
                <c:pt idx="127">
                  <c:v>2.6008499999999999</c:v>
                </c:pt>
                <c:pt idx="128">
                  <c:v>2.6080999999999999</c:v>
                </c:pt>
                <c:pt idx="129">
                  <c:v>2.53078</c:v>
                </c:pt>
                <c:pt idx="130">
                  <c:v>2.5206</c:v>
                </c:pt>
                <c:pt idx="131">
                  <c:v>2.44245</c:v>
                </c:pt>
                <c:pt idx="132">
                  <c:v>2.5148999999999999</c:v>
                </c:pt>
                <c:pt idx="133">
                  <c:v>2.40083</c:v>
                </c:pt>
                <c:pt idx="134">
                  <c:v>2.4537399999999998</c:v>
                </c:pt>
                <c:pt idx="135">
                  <c:v>2.4316999999999998</c:v>
                </c:pt>
                <c:pt idx="136">
                  <c:v>2.3896700000000002</c:v>
                </c:pt>
                <c:pt idx="137">
                  <c:v>2.37114</c:v>
                </c:pt>
                <c:pt idx="138">
                  <c:v>2.4482900000000001</c:v>
                </c:pt>
                <c:pt idx="139">
                  <c:v>2.3127200000000001</c:v>
                </c:pt>
                <c:pt idx="140">
                  <c:v>2.3048799999999998</c:v>
                </c:pt>
                <c:pt idx="141">
                  <c:v>2.3014799999999997</c:v>
                </c:pt>
                <c:pt idx="142">
                  <c:v>2.2841</c:v>
                </c:pt>
                <c:pt idx="143">
                  <c:v>2.2848299999999999</c:v>
                </c:pt>
                <c:pt idx="144">
                  <c:v>2.2550699999999999</c:v>
                </c:pt>
                <c:pt idx="145">
                  <c:v>2.22112</c:v>
                </c:pt>
                <c:pt idx="146">
                  <c:v>2.2244800000000002</c:v>
                </c:pt>
                <c:pt idx="147">
                  <c:v>2.2168299999999999</c:v>
                </c:pt>
                <c:pt idx="148">
                  <c:v>2.19556</c:v>
                </c:pt>
                <c:pt idx="149">
                  <c:v>2.2163499999999998</c:v>
                </c:pt>
                <c:pt idx="150">
                  <c:v>2.2003499999999998</c:v>
                </c:pt>
                <c:pt idx="151">
                  <c:v>2.1938200000000001</c:v>
                </c:pt>
                <c:pt idx="152">
                  <c:v>2.1573599999999997</c:v>
                </c:pt>
                <c:pt idx="153">
                  <c:v>2.1146700000000003</c:v>
                </c:pt>
                <c:pt idx="154">
                  <c:v>2.0344500000000001</c:v>
                </c:pt>
                <c:pt idx="155">
                  <c:v>1.9119699999999999</c:v>
                </c:pt>
                <c:pt idx="156">
                  <c:v>1.8978999999999999</c:v>
                </c:pt>
                <c:pt idx="157">
                  <c:v>1.83226</c:v>
                </c:pt>
                <c:pt idx="158">
                  <c:v>1.7303899999999999</c:v>
                </c:pt>
                <c:pt idx="159">
                  <c:v>1.68363</c:v>
                </c:pt>
                <c:pt idx="160">
                  <c:v>1.69442</c:v>
                </c:pt>
                <c:pt idx="161">
                  <c:v>1.6463700000000001</c:v>
                </c:pt>
                <c:pt idx="162">
                  <c:v>1.6622700000000001</c:v>
                </c:pt>
                <c:pt idx="163">
                  <c:v>1.68936</c:v>
                </c:pt>
                <c:pt idx="164">
                  <c:v>1.66429</c:v>
                </c:pt>
                <c:pt idx="165">
                  <c:v>1.7660200000000001</c:v>
                </c:pt>
                <c:pt idx="166">
                  <c:v>1.8023099999999999</c:v>
                </c:pt>
                <c:pt idx="167">
                  <c:v>1.77424</c:v>
                </c:pt>
                <c:pt idx="168">
                  <c:v>1.7663900000000001</c:v>
                </c:pt>
                <c:pt idx="169">
                  <c:v>1.74204</c:v>
                </c:pt>
                <c:pt idx="170">
                  <c:v>1.80565</c:v>
                </c:pt>
                <c:pt idx="171">
                  <c:v>1.7945800000000001</c:v>
                </c:pt>
                <c:pt idx="172">
                  <c:v>1.8677199999999998</c:v>
                </c:pt>
                <c:pt idx="173">
                  <c:v>1.8677199999999998</c:v>
                </c:pt>
                <c:pt idx="174">
                  <c:v>1.8066399999999998</c:v>
                </c:pt>
                <c:pt idx="175">
                  <c:v>1.7768700000000002</c:v>
                </c:pt>
                <c:pt idx="176">
                  <c:v>1.7691699999999999</c:v>
                </c:pt>
                <c:pt idx="177">
                  <c:v>1.75684</c:v>
                </c:pt>
                <c:pt idx="178">
                  <c:v>1.7786000000000002</c:v>
                </c:pt>
                <c:pt idx="179">
                  <c:v>1.85439</c:v>
                </c:pt>
                <c:pt idx="180">
                  <c:v>1.8880299999999999</c:v>
                </c:pt>
                <c:pt idx="181">
                  <c:v>1.8742099999999999</c:v>
                </c:pt>
                <c:pt idx="182">
                  <c:v>1.9278</c:v>
                </c:pt>
                <c:pt idx="183">
                  <c:v>1.9365000000000001</c:v>
                </c:pt>
                <c:pt idx="184">
                  <c:v>1.91686</c:v>
                </c:pt>
                <c:pt idx="185">
                  <c:v>1.90421</c:v>
                </c:pt>
                <c:pt idx="186">
                  <c:v>1.95173</c:v>
                </c:pt>
                <c:pt idx="187">
                  <c:v>1.9382400000000002</c:v>
                </c:pt>
                <c:pt idx="188">
                  <c:v>2.1073200000000001</c:v>
                </c:pt>
                <c:pt idx="189">
                  <c:v>2.1919200000000001</c:v>
                </c:pt>
                <c:pt idx="190">
                  <c:v>2.3538399999999999</c:v>
                </c:pt>
                <c:pt idx="191">
                  <c:v>2.50074</c:v>
                </c:pt>
                <c:pt idx="192">
                  <c:v>2.5745299999999998</c:v>
                </c:pt>
                <c:pt idx="193">
                  <c:v>2.8098100000000001</c:v>
                </c:pt>
                <c:pt idx="194">
                  <c:v>3.0217899999999998</c:v>
                </c:pt>
                <c:pt idx="195">
                  <c:v>2.8565199999999997</c:v>
                </c:pt>
                <c:pt idx="196">
                  <c:v>2.73909</c:v>
                </c:pt>
                <c:pt idx="197">
                  <c:v>2.7068700000000003</c:v>
                </c:pt>
                <c:pt idx="198">
                  <c:v>2.6852499999999999</c:v>
                </c:pt>
                <c:pt idx="199">
                  <c:v>2.6313600000000004</c:v>
                </c:pt>
                <c:pt idx="200">
                  <c:v>2.5670500000000001</c:v>
                </c:pt>
                <c:pt idx="201">
                  <c:v>2.4636399999999998</c:v>
                </c:pt>
                <c:pt idx="202">
                  <c:v>2.2487900000000001</c:v>
                </c:pt>
                <c:pt idx="203">
                  <c:v>2.27345</c:v>
                </c:pt>
                <c:pt idx="204">
                  <c:v>2.25204</c:v>
                </c:pt>
                <c:pt idx="205">
                  <c:v>2.3036300000000001</c:v>
                </c:pt>
                <c:pt idx="206">
                  <c:v>2.4514900000000002</c:v>
                </c:pt>
                <c:pt idx="207">
                  <c:v>2.4238599999999999</c:v>
                </c:pt>
                <c:pt idx="208">
                  <c:v>2.4781999999999997</c:v>
                </c:pt>
                <c:pt idx="209">
                  <c:v>2.45377</c:v>
                </c:pt>
                <c:pt idx="210">
                  <c:v>2.4512700000000001</c:v>
                </c:pt>
                <c:pt idx="211">
                  <c:v>2.6375700000000002</c:v>
                </c:pt>
                <c:pt idx="212">
                  <c:v>2.6607499999999997</c:v>
                </c:pt>
                <c:pt idx="213">
                  <c:v>2.6775799999999998</c:v>
                </c:pt>
                <c:pt idx="214">
                  <c:v>2.71618</c:v>
                </c:pt>
                <c:pt idx="215">
                  <c:v>2.7431700000000001</c:v>
                </c:pt>
                <c:pt idx="216">
                  <c:v>2.62853</c:v>
                </c:pt>
                <c:pt idx="217">
                  <c:v>2.5234899999999998</c:v>
                </c:pt>
                <c:pt idx="218">
                  <c:v>2.62459</c:v>
                </c:pt>
                <c:pt idx="219">
                  <c:v>2.4571700000000001</c:v>
                </c:pt>
                <c:pt idx="220">
                  <c:v>2.36083</c:v>
                </c:pt>
                <c:pt idx="221">
                  <c:v>2.3687299999999998</c:v>
                </c:pt>
                <c:pt idx="222">
                  <c:v>2.1475499999999998</c:v>
                </c:pt>
                <c:pt idx="223">
                  <c:v>2.0354200000000002</c:v>
                </c:pt>
                <c:pt idx="224">
                  <c:v>1.8586199999999999</c:v>
                </c:pt>
                <c:pt idx="225">
                  <c:v>1.7538399999999998</c:v>
                </c:pt>
                <c:pt idx="226">
                  <c:v>1.67811</c:v>
                </c:pt>
                <c:pt idx="227">
                  <c:v>1.6906000000000001</c:v>
                </c:pt>
                <c:pt idx="228">
                  <c:v>1.6860499999999998</c:v>
                </c:pt>
                <c:pt idx="229">
                  <c:v>1.71106</c:v>
                </c:pt>
                <c:pt idx="230">
                  <c:v>1.7177500000000001</c:v>
                </c:pt>
                <c:pt idx="231">
                  <c:v>1.70482</c:v>
                </c:pt>
                <c:pt idx="232">
                  <c:v>1.7254800000000001</c:v>
                </c:pt>
                <c:pt idx="233">
                  <c:v>1.64036</c:v>
                </c:pt>
                <c:pt idx="234">
                  <c:v>1.6300299999999999</c:v>
                </c:pt>
                <c:pt idx="235">
                  <c:v>1.61981</c:v>
                </c:pt>
                <c:pt idx="236">
                  <c:v>1.6210200000000001</c:v>
                </c:pt>
                <c:pt idx="237">
                  <c:v>1.6242300000000001</c:v>
                </c:pt>
                <c:pt idx="238">
                  <c:v>1.5641399999999999</c:v>
                </c:pt>
                <c:pt idx="239">
                  <c:v>1.4838999999999998</c:v>
                </c:pt>
                <c:pt idx="240">
                  <c:v>1.4528999999999999</c:v>
                </c:pt>
                <c:pt idx="241">
                  <c:v>1.3245199999999999</c:v>
                </c:pt>
                <c:pt idx="242">
                  <c:v>1.3951499999999999</c:v>
                </c:pt>
                <c:pt idx="243">
                  <c:v>1.4474600000000002</c:v>
                </c:pt>
                <c:pt idx="244">
                  <c:v>1.45523</c:v>
                </c:pt>
                <c:pt idx="245">
                  <c:v>1.4615199999999999</c:v>
                </c:pt>
                <c:pt idx="246">
                  <c:v>1.46608</c:v>
                </c:pt>
                <c:pt idx="247">
                  <c:v>1.5464199999999999</c:v>
                </c:pt>
                <c:pt idx="248">
                  <c:v>1.4408699999999999</c:v>
                </c:pt>
                <c:pt idx="249">
                  <c:v>1.59795</c:v>
                </c:pt>
                <c:pt idx="250">
                  <c:v>1.5144</c:v>
                </c:pt>
                <c:pt idx="251">
                  <c:v>1.4031899999999999</c:v>
                </c:pt>
                <c:pt idx="252">
                  <c:v>1.41174</c:v>
                </c:pt>
                <c:pt idx="253">
                  <c:v>1.35975</c:v>
                </c:pt>
                <c:pt idx="254">
                  <c:v>1.4139699999999999</c:v>
                </c:pt>
                <c:pt idx="255">
                  <c:v>1.38365</c:v>
                </c:pt>
                <c:pt idx="256">
                  <c:v>1.4516</c:v>
                </c:pt>
                <c:pt idx="257">
                  <c:v>1.4516</c:v>
                </c:pt>
                <c:pt idx="258">
                  <c:v>1.4516</c:v>
                </c:pt>
                <c:pt idx="259">
                  <c:v>1.3703700000000001</c:v>
                </c:pt>
                <c:pt idx="260">
                  <c:v>1.3227500000000001</c:v>
                </c:pt>
                <c:pt idx="261">
                  <c:v>1.37713</c:v>
                </c:pt>
                <c:pt idx="262">
                  <c:v>1.37713</c:v>
                </c:pt>
                <c:pt idx="263">
                  <c:v>1.3724400000000001</c:v>
                </c:pt>
                <c:pt idx="264">
                  <c:v>1.3865100000000001</c:v>
                </c:pt>
                <c:pt idx="265">
                  <c:v>1.3871899999999999</c:v>
                </c:pt>
                <c:pt idx="266">
                  <c:v>1.4308500000000002</c:v>
                </c:pt>
                <c:pt idx="267">
                  <c:v>1.3430799999999998</c:v>
                </c:pt>
                <c:pt idx="268">
                  <c:v>1.39514</c:v>
                </c:pt>
                <c:pt idx="269">
                  <c:v>1.4483299999999999</c:v>
                </c:pt>
                <c:pt idx="270">
                  <c:v>1.4016</c:v>
                </c:pt>
                <c:pt idx="271">
                  <c:v>1.2775799999999999</c:v>
                </c:pt>
                <c:pt idx="272">
                  <c:v>1.3732800000000001</c:v>
                </c:pt>
                <c:pt idx="273">
                  <c:v>1.41368</c:v>
                </c:pt>
                <c:pt idx="274">
                  <c:v>1.4032100000000001</c:v>
                </c:pt>
                <c:pt idx="275">
                  <c:v>1.40903</c:v>
                </c:pt>
                <c:pt idx="276">
                  <c:v>1.42119</c:v>
                </c:pt>
                <c:pt idx="277">
                  <c:v>1.4618100000000001</c:v>
                </c:pt>
                <c:pt idx="278">
                  <c:v>1.49668</c:v>
                </c:pt>
                <c:pt idx="279">
                  <c:v>1.4753200000000002</c:v>
                </c:pt>
                <c:pt idx="280">
                  <c:v>1.3390199999999999</c:v>
                </c:pt>
                <c:pt idx="281">
                  <c:v>1.3487200000000001</c:v>
                </c:pt>
                <c:pt idx="282">
                  <c:v>1.3292200000000001</c:v>
                </c:pt>
                <c:pt idx="283">
                  <c:v>1.2546899999999999</c:v>
                </c:pt>
                <c:pt idx="284">
                  <c:v>1.18133</c:v>
                </c:pt>
                <c:pt idx="285">
                  <c:v>1.19207</c:v>
                </c:pt>
                <c:pt idx="286">
                  <c:v>1.15103</c:v>
                </c:pt>
                <c:pt idx="287">
                  <c:v>1.1670499999999999</c:v>
                </c:pt>
                <c:pt idx="288">
                  <c:v>1.1565799999999999</c:v>
                </c:pt>
                <c:pt idx="289">
                  <c:v>1.1575899999999999</c:v>
                </c:pt>
                <c:pt idx="290">
                  <c:v>1.1933199999999999</c:v>
                </c:pt>
                <c:pt idx="291">
                  <c:v>1.1730100000000001</c:v>
                </c:pt>
                <c:pt idx="292">
                  <c:v>1.22282</c:v>
                </c:pt>
                <c:pt idx="293">
                  <c:v>1.3296000000000001</c:v>
                </c:pt>
                <c:pt idx="294">
                  <c:v>1.39297</c:v>
                </c:pt>
                <c:pt idx="295">
                  <c:v>1.45025</c:v>
                </c:pt>
                <c:pt idx="296">
                  <c:v>1.3448199999999999</c:v>
                </c:pt>
                <c:pt idx="297">
                  <c:v>1.27386</c:v>
                </c:pt>
                <c:pt idx="298">
                  <c:v>1.32982</c:v>
                </c:pt>
                <c:pt idx="299">
                  <c:v>1.3483400000000001</c:v>
                </c:pt>
                <c:pt idx="300">
                  <c:v>1.2781</c:v>
                </c:pt>
                <c:pt idx="301">
                  <c:v>1.28792</c:v>
                </c:pt>
                <c:pt idx="302">
                  <c:v>1.3892599999999999</c:v>
                </c:pt>
                <c:pt idx="303">
                  <c:v>1.26735</c:v>
                </c:pt>
                <c:pt idx="304">
                  <c:v>1.1462699999999999</c:v>
                </c:pt>
                <c:pt idx="305">
                  <c:v>1.16225</c:v>
                </c:pt>
                <c:pt idx="306">
                  <c:v>1.14768</c:v>
                </c:pt>
                <c:pt idx="307">
                  <c:v>1.10358</c:v>
                </c:pt>
                <c:pt idx="308">
                  <c:v>1.36999</c:v>
                </c:pt>
                <c:pt idx="309">
                  <c:v>1.16221</c:v>
                </c:pt>
                <c:pt idx="310">
                  <c:v>1.17537</c:v>
                </c:pt>
                <c:pt idx="311">
                  <c:v>1.1651</c:v>
                </c:pt>
                <c:pt idx="312">
                  <c:v>1.2470399999999999</c:v>
                </c:pt>
                <c:pt idx="313">
                  <c:v>1.1920600000000001</c:v>
                </c:pt>
                <c:pt idx="314">
                  <c:v>1.12697</c:v>
                </c:pt>
                <c:pt idx="315">
                  <c:v>1.2293499999999999</c:v>
                </c:pt>
                <c:pt idx="316">
                  <c:v>1.2880199999999999</c:v>
                </c:pt>
                <c:pt idx="317">
                  <c:v>1.2784500000000001</c:v>
                </c:pt>
                <c:pt idx="318">
                  <c:v>1.20279</c:v>
                </c:pt>
                <c:pt idx="319">
                  <c:v>1.2690999999999999</c:v>
                </c:pt>
                <c:pt idx="320">
                  <c:v>1.2880699999999998</c:v>
                </c:pt>
                <c:pt idx="321">
                  <c:v>1.2821</c:v>
                </c:pt>
                <c:pt idx="322">
                  <c:v>1.3322999999999998</c:v>
                </c:pt>
                <c:pt idx="323">
                  <c:v>1.27894</c:v>
                </c:pt>
                <c:pt idx="324">
                  <c:v>1.4155199999999999</c:v>
                </c:pt>
                <c:pt idx="325">
                  <c:v>1.27475</c:v>
                </c:pt>
                <c:pt idx="326">
                  <c:v>1.2573300000000001</c:v>
                </c:pt>
                <c:pt idx="327">
                  <c:v>1.2573300000000001</c:v>
                </c:pt>
                <c:pt idx="328">
                  <c:v>1.2573300000000001</c:v>
                </c:pt>
                <c:pt idx="329">
                  <c:v>1.2660100000000001</c:v>
                </c:pt>
                <c:pt idx="330">
                  <c:v>1.25254</c:v>
                </c:pt>
                <c:pt idx="331">
                  <c:v>1.2578100000000001</c:v>
                </c:pt>
                <c:pt idx="332">
                  <c:v>1.2449699999999999</c:v>
                </c:pt>
                <c:pt idx="333">
                  <c:v>1.27877</c:v>
                </c:pt>
                <c:pt idx="334">
                  <c:v>1.27894</c:v>
                </c:pt>
                <c:pt idx="335">
                  <c:v>1.2711399999999999</c:v>
                </c:pt>
                <c:pt idx="336">
                  <c:v>1.1669799999999999</c:v>
                </c:pt>
                <c:pt idx="337">
                  <c:v>1.05111</c:v>
                </c:pt>
                <c:pt idx="338">
                  <c:v>1.0984499999999999</c:v>
                </c:pt>
                <c:pt idx="339">
                  <c:v>1.09585</c:v>
                </c:pt>
                <c:pt idx="340">
                  <c:v>1.1722600000000001</c:v>
                </c:pt>
                <c:pt idx="341">
                  <c:v>1.06</c:v>
                </c:pt>
                <c:pt idx="342">
                  <c:v>1.0465800000000001</c:v>
                </c:pt>
                <c:pt idx="343">
                  <c:v>1.0488500000000001</c:v>
                </c:pt>
                <c:pt idx="344">
                  <c:v>1.0728900000000001</c:v>
                </c:pt>
                <c:pt idx="345">
                  <c:v>1.0983700000000001</c:v>
                </c:pt>
                <c:pt idx="346">
                  <c:v>1.1036900000000001</c:v>
                </c:pt>
                <c:pt idx="347">
                  <c:v>1.1524399999999999</c:v>
                </c:pt>
                <c:pt idx="348">
                  <c:v>1.1524399999999999</c:v>
                </c:pt>
                <c:pt idx="349">
                  <c:v>1.14635</c:v>
                </c:pt>
                <c:pt idx="350">
                  <c:v>1.13994</c:v>
                </c:pt>
                <c:pt idx="351">
                  <c:v>1.0948099999999998</c:v>
                </c:pt>
                <c:pt idx="352">
                  <c:v>1.08283</c:v>
                </c:pt>
                <c:pt idx="353">
                  <c:v>1.0595000000000001</c:v>
                </c:pt>
                <c:pt idx="354">
                  <c:v>1.0541500000000001</c:v>
                </c:pt>
                <c:pt idx="355">
                  <c:v>1.12524</c:v>
                </c:pt>
                <c:pt idx="356">
                  <c:v>1.2557400000000001</c:v>
                </c:pt>
                <c:pt idx="357">
                  <c:v>1.2101600000000001</c:v>
                </c:pt>
                <c:pt idx="358">
                  <c:v>1.2349600000000001</c:v>
                </c:pt>
                <c:pt idx="359">
                  <c:v>1.2809200000000001</c:v>
                </c:pt>
                <c:pt idx="360">
                  <c:v>1.3293700000000002</c:v>
                </c:pt>
                <c:pt idx="361">
                  <c:v>1.2028400000000001</c:v>
                </c:pt>
                <c:pt idx="362">
                  <c:v>1.2351799999999999</c:v>
                </c:pt>
                <c:pt idx="363">
                  <c:v>1.2197899999999999</c:v>
                </c:pt>
                <c:pt idx="364">
                  <c:v>1.1962699999999999</c:v>
                </c:pt>
                <c:pt idx="365">
                  <c:v>1.22366</c:v>
                </c:pt>
                <c:pt idx="366">
                  <c:v>1.1985699999999999</c:v>
                </c:pt>
                <c:pt idx="367">
                  <c:v>1.10788</c:v>
                </c:pt>
                <c:pt idx="368">
                  <c:v>1.10788</c:v>
                </c:pt>
                <c:pt idx="369">
                  <c:v>1.1936199999999999</c:v>
                </c:pt>
                <c:pt idx="370">
                  <c:v>1.1648000000000001</c:v>
                </c:pt>
                <c:pt idx="371">
                  <c:v>1.1313200000000001</c:v>
                </c:pt>
                <c:pt idx="372">
                  <c:v>1.23125</c:v>
                </c:pt>
                <c:pt idx="373">
                  <c:v>1.11737</c:v>
                </c:pt>
                <c:pt idx="374">
                  <c:v>1.0825400000000001</c:v>
                </c:pt>
                <c:pt idx="375">
                  <c:v>1.0421</c:v>
                </c:pt>
                <c:pt idx="376">
                  <c:v>1.0309600000000001</c:v>
                </c:pt>
                <c:pt idx="377">
                  <c:v>0.94574000000000003</c:v>
                </c:pt>
                <c:pt idx="378">
                  <c:v>1.0144299999999999</c:v>
                </c:pt>
                <c:pt idx="379">
                  <c:v>0.95628000000000002</c:v>
                </c:pt>
                <c:pt idx="380">
                  <c:v>0.87927000000000011</c:v>
                </c:pt>
                <c:pt idx="381">
                  <c:v>1.0451699999999999</c:v>
                </c:pt>
                <c:pt idx="382">
                  <c:v>0.96406999999999998</c:v>
                </c:pt>
                <c:pt idx="383">
                  <c:v>1.0714399999999999</c:v>
                </c:pt>
                <c:pt idx="384">
                  <c:v>1.03426</c:v>
                </c:pt>
                <c:pt idx="385">
                  <c:v>0.97001999999999999</c:v>
                </c:pt>
                <c:pt idx="386">
                  <c:v>0.97126999999999997</c:v>
                </c:pt>
                <c:pt idx="387">
                  <c:v>0.98100999999999994</c:v>
                </c:pt>
                <c:pt idx="388">
                  <c:v>1.02701</c:v>
                </c:pt>
                <c:pt idx="389">
                  <c:v>0.98375000000000001</c:v>
                </c:pt>
                <c:pt idx="390">
                  <c:v>1.03576</c:v>
                </c:pt>
                <c:pt idx="391">
                  <c:v>1.02413</c:v>
                </c:pt>
                <c:pt idx="392">
                  <c:v>1.03308</c:v>
                </c:pt>
                <c:pt idx="393">
                  <c:v>1.06047</c:v>
                </c:pt>
                <c:pt idx="394">
                  <c:v>1.0613900000000001</c:v>
                </c:pt>
                <c:pt idx="395">
                  <c:v>1.0672199999999998</c:v>
                </c:pt>
                <c:pt idx="396">
                  <c:v>1.04535</c:v>
                </c:pt>
                <c:pt idx="397">
                  <c:v>1.06307</c:v>
                </c:pt>
                <c:pt idx="398">
                  <c:v>1.07067</c:v>
                </c:pt>
                <c:pt idx="399">
                  <c:v>1.03827</c:v>
                </c:pt>
                <c:pt idx="400">
                  <c:v>1.06545</c:v>
                </c:pt>
                <c:pt idx="401">
                  <c:v>1.08195</c:v>
                </c:pt>
                <c:pt idx="402">
                  <c:v>1.0673699999999999</c:v>
                </c:pt>
                <c:pt idx="403">
                  <c:v>1.0589500000000001</c:v>
                </c:pt>
                <c:pt idx="404">
                  <c:v>1.0781999999999998</c:v>
                </c:pt>
                <c:pt idx="405">
                  <c:v>1.0800700000000001</c:v>
                </c:pt>
                <c:pt idx="406">
                  <c:v>1.10669</c:v>
                </c:pt>
                <c:pt idx="407">
                  <c:v>1.1097299999999999</c:v>
                </c:pt>
                <c:pt idx="408">
                  <c:v>1.0807800000000001</c:v>
                </c:pt>
                <c:pt idx="409">
                  <c:v>1.1352599999999999</c:v>
                </c:pt>
                <c:pt idx="410">
                  <c:v>1.13361</c:v>
                </c:pt>
                <c:pt idx="411">
                  <c:v>1.0497400000000001</c:v>
                </c:pt>
                <c:pt idx="412">
                  <c:v>1.1048499999999999</c:v>
                </c:pt>
                <c:pt idx="413">
                  <c:v>1.0381199999999999</c:v>
                </c:pt>
                <c:pt idx="414">
                  <c:v>1.00695</c:v>
                </c:pt>
                <c:pt idx="415">
                  <c:v>0.97864999999999991</c:v>
                </c:pt>
                <c:pt idx="416">
                  <c:v>0.96097999999999995</c:v>
                </c:pt>
                <c:pt idx="417">
                  <c:v>0.99558000000000002</c:v>
                </c:pt>
                <c:pt idx="418">
                  <c:v>0.88095000000000001</c:v>
                </c:pt>
                <c:pt idx="419">
                  <c:v>0.90434999999999999</c:v>
                </c:pt>
                <c:pt idx="420">
                  <c:v>0.96194000000000002</c:v>
                </c:pt>
                <c:pt idx="421">
                  <c:v>0.94152000000000002</c:v>
                </c:pt>
                <c:pt idx="422">
                  <c:v>0.91313999999999995</c:v>
                </c:pt>
                <c:pt idx="423">
                  <c:v>0.93370999999999993</c:v>
                </c:pt>
                <c:pt idx="424">
                  <c:v>0.88580999999999999</c:v>
                </c:pt>
                <c:pt idx="425">
                  <c:v>0.88147000000000009</c:v>
                </c:pt>
                <c:pt idx="426">
                  <c:v>0.9405</c:v>
                </c:pt>
                <c:pt idx="427">
                  <c:v>0.85674000000000006</c:v>
                </c:pt>
                <c:pt idx="428">
                  <c:v>0.93935000000000002</c:v>
                </c:pt>
                <c:pt idx="429">
                  <c:v>0.93081999999999998</c:v>
                </c:pt>
                <c:pt idx="430">
                  <c:v>0.92344999999999999</c:v>
                </c:pt>
                <c:pt idx="431">
                  <c:v>0.90938000000000008</c:v>
                </c:pt>
                <c:pt idx="432">
                  <c:v>0.93790000000000007</c:v>
                </c:pt>
                <c:pt idx="433">
                  <c:v>0.93790000000000007</c:v>
                </c:pt>
                <c:pt idx="434">
                  <c:v>0.93228999999999995</c:v>
                </c:pt>
                <c:pt idx="435">
                  <c:v>0.93129999999999991</c:v>
                </c:pt>
                <c:pt idx="436">
                  <c:v>0.88885999999999998</c:v>
                </c:pt>
                <c:pt idx="437">
                  <c:v>0.83892999999999995</c:v>
                </c:pt>
                <c:pt idx="438">
                  <c:v>0.89043000000000005</c:v>
                </c:pt>
                <c:pt idx="439">
                  <c:v>0.88983999999999996</c:v>
                </c:pt>
                <c:pt idx="440">
                  <c:v>0.88612999999999997</c:v>
                </c:pt>
                <c:pt idx="441">
                  <c:v>0.88569999999999993</c:v>
                </c:pt>
                <c:pt idx="442">
                  <c:v>0.79608000000000001</c:v>
                </c:pt>
                <c:pt idx="443">
                  <c:v>0.82772000000000001</c:v>
                </c:pt>
                <c:pt idx="444">
                  <c:v>0.80313000000000001</c:v>
                </c:pt>
                <c:pt idx="445">
                  <c:v>0.81944000000000006</c:v>
                </c:pt>
                <c:pt idx="446">
                  <c:v>0.78638999999999992</c:v>
                </c:pt>
                <c:pt idx="447">
                  <c:v>0.81362999999999996</c:v>
                </c:pt>
                <c:pt idx="448">
                  <c:v>0.93708000000000002</c:v>
                </c:pt>
                <c:pt idx="449">
                  <c:v>0.94901999999999997</c:v>
                </c:pt>
                <c:pt idx="450">
                  <c:v>0.96829999999999994</c:v>
                </c:pt>
                <c:pt idx="451">
                  <c:v>0.93462999999999996</c:v>
                </c:pt>
                <c:pt idx="452">
                  <c:v>1.09595</c:v>
                </c:pt>
                <c:pt idx="453">
                  <c:v>1.0983700000000001</c:v>
                </c:pt>
                <c:pt idx="454">
                  <c:v>1.2865500000000001</c:v>
                </c:pt>
                <c:pt idx="455">
                  <c:v>1.2968199999999999</c:v>
                </c:pt>
                <c:pt idx="456">
                  <c:v>1.29182</c:v>
                </c:pt>
                <c:pt idx="457">
                  <c:v>1.4260400000000002</c:v>
                </c:pt>
                <c:pt idx="458">
                  <c:v>1.2684500000000001</c:v>
                </c:pt>
                <c:pt idx="459">
                  <c:v>1.22157</c:v>
                </c:pt>
                <c:pt idx="460">
                  <c:v>1.07375</c:v>
                </c:pt>
                <c:pt idx="461">
                  <c:v>1.10738</c:v>
                </c:pt>
                <c:pt idx="462">
                  <c:v>0.92793000000000003</c:v>
                </c:pt>
                <c:pt idx="463">
                  <c:v>1.2422499999999999</c:v>
                </c:pt>
                <c:pt idx="464">
                  <c:v>1.1001099999999999</c:v>
                </c:pt>
                <c:pt idx="465">
                  <c:v>1.0270600000000001</c:v>
                </c:pt>
                <c:pt idx="466">
                  <c:v>0.90264999999999995</c:v>
                </c:pt>
                <c:pt idx="467">
                  <c:v>0.70116000000000001</c:v>
                </c:pt>
                <c:pt idx="468">
                  <c:v>0.85246</c:v>
                </c:pt>
                <c:pt idx="469">
                  <c:v>0.93224000000000007</c:v>
                </c:pt>
                <c:pt idx="470">
                  <c:v>0.94724999999999993</c:v>
                </c:pt>
                <c:pt idx="471">
                  <c:v>-6.1200000000000004E-2</c:v>
                </c:pt>
                <c:pt idx="472">
                  <c:v>9.1479999999999992E-2</c:v>
                </c:pt>
                <c:pt idx="473">
                  <c:v>0.93558999999999992</c:v>
                </c:pt>
                <c:pt idx="474">
                  <c:v>0.89137</c:v>
                </c:pt>
                <c:pt idx="475">
                  <c:v>0.83683000000000007</c:v>
                </c:pt>
                <c:pt idx="476">
                  <c:v>0.83526999999999996</c:v>
                </c:pt>
                <c:pt idx="477">
                  <c:v>0.8940300000000001</c:v>
                </c:pt>
                <c:pt idx="478">
                  <c:v>1.0294400000000001</c:v>
                </c:pt>
                <c:pt idx="479">
                  <c:v>1.05427</c:v>
                </c:pt>
                <c:pt idx="480">
                  <c:v>1.03132</c:v>
                </c:pt>
                <c:pt idx="481">
                  <c:v>1.0195000000000001</c:v>
                </c:pt>
                <c:pt idx="482">
                  <c:v>1.05782</c:v>
                </c:pt>
                <c:pt idx="483">
                  <c:v>0.82614999999999994</c:v>
                </c:pt>
                <c:pt idx="484">
                  <c:v>0.70968000000000009</c:v>
                </c:pt>
                <c:pt idx="485">
                  <c:v>0.7774899999999999</c:v>
                </c:pt>
                <c:pt idx="486">
                  <c:v>0.79248000000000007</c:v>
                </c:pt>
                <c:pt idx="487">
                  <c:v>0.84506000000000003</c:v>
                </c:pt>
                <c:pt idx="488">
                  <c:v>0.87533000000000005</c:v>
                </c:pt>
                <c:pt idx="489">
                  <c:v>0.84275000000000011</c:v>
                </c:pt>
                <c:pt idx="490">
                  <c:v>1.01674</c:v>
                </c:pt>
                <c:pt idx="491">
                  <c:v>1.0285299999999999</c:v>
                </c:pt>
                <c:pt idx="492">
                  <c:v>0.99784000000000006</c:v>
                </c:pt>
                <c:pt idx="493">
                  <c:v>0.97155000000000002</c:v>
                </c:pt>
                <c:pt idx="494">
                  <c:v>1.2323600000000001</c:v>
                </c:pt>
                <c:pt idx="495">
                  <c:v>1.3134800000000002</c:v>
                </c:pt>
                <c:pt idx="496">
                  <c:v>1.33005</c:v>
                </c:pt>
                <c:pt idx="497">
                  <c:v>1.2951699999999999</c:v>
                </c:pt>
                <c:pt idx="498">
                  <c:v>1.47149</c:v>
                </c:pt>
                <c:pt idx="499">
                  <c:v>1.52085</c:v>
                </c:pt>
                <c:pt idx="500">
                  <c:v>1.38422</c:v>
                </c:pt>
                <c:pt idx="501">
                  <c:v>1.4162799999999998</c:v>
                </c:pt>
                <c:pt idx="502">
                  <c:v>1.0485800000000001</c:v>
                </c:pt>
                <c:pt idx="503">
                  <c:v>1.3057300000000001</c:v>
                </c:pt>
                <c:pt idx="504">
                  <c:v>1.2338500000000001</c:v>
                </c:pt>
                <c:pt idx="505">
                  <c:v>1.2448399999999999</c:v>
                </c:pt>
                <c:pt idx="506">
                  <c:v>1.1676900000000001</c:v>
                </c:pt>
                <c:pt idx="507">
                  <c:v>1.1234600000000001</c:v>
                </c:pt>
                <c:pt idx="508">
                  <c:v>1.2032499999999999</c:v>
                </c:pt>
                <c:pt idx="509">
                  <c:v>1.1515300000000002</c:v>
                </c:pt>
                <c:pt idx="510">
                  <c:v>1.2531399999999999</c:v>
                </c:pt>
                <c:pt idx="511">
                  <c:v>1.2932400000000002</c:v>
                </c:pt>
                <c:pt idx="512">
                  <c:v>1.2991599999999999</c:v>
                </c:pt>
                <c:pt idx="513">
                  <c:v>1.2621800000000001</c:v>
                </c:pt>
                <c:pt idx="514">
                  <c:v>1.26512</c:v>
                </c:pt>
                <c:pt idx="515">
                  <c:v>1.1364400000000001</c:v>
                </c:pt>
                <c:pt idx="516">
                  <c:v>1.1346400000000001</c:v>
                </c:pt>
                <c:pt idx="517">
                  <c:v>1.21502</c:v>
                </c:pt>
                <c:pt idx="518">
                  <c:v>1.21502</c:v>
                </c:pt>
                <c:pt idx="519">
                  <c:v>1.21502</c:v>
                </c:pt>
                <c:pt idx="520">
                  <c:v>1.2785200000000001</c:v>
                </c:pt>
                <c:pt idx="521">
                  <c:v>1.0704900000000002</c:v>
                </c:pt>
                <c:pt idx="522">
                  <c:v>1.14679</c:v>
                </c:pt>
                <c:pt idx="523">
                  <c:v>1.14679</c:v>
                </c:pt>
                <c:pt idx="524">
                  <c:v>1.16466</c:v>
                </c:pt>
                <c:pt idx="525">
                  <c:v>1.1314299999999999</c:v>
                </c:pt>
                <c:pt idx="526">
                  <c:v>1.3051499999999998</c:v>
                </c:pt>
                <c:pt idx="527">
                  <c:v>1.2025300000000001</c:v>
                </c:pt>
                <c:pt idx="528">
                  <c:v>1.22417</c:v>
                </c:pt>
                <c:pt idx="529">
                  <c:v>1.3322700000000001</c:v>
                </c:pt>
                <c:pt idx="530">
                  <c:v>1.2756100000000001</c:v>
                </c:pt>
                <c:pt idx="531">
                  <c:v>1.32111</c:v>
                </c:pt>
                <c:pt idx="532">
                  <c:v>1.25149</c:v>
                </c:pt>
                <c:pt idx="533">
                  <c:v>1.3178700000000001</c:v>
                </c:pt>
                <c:pt idx="534">
                  <c:v>1.2531600000000001</c:v>
                </c:pt>
                <c:pt idx="535">
                  <c:v>1.25027</c:v>
                </c:pt>
                <c:pt idx="536">
                  <c:v>1.21269</c:v>
                </c:pt>
                <c:pt idx="537">
                  <c:v>1.09148</c:v>
                </c:pt>
                <c:pt idx="538">
                  <c:v>1.2033199999999999</c:v>
                </c:pt>
                <c:pt idx="539">
                  <c:v>1.2045600000000001</c:v>
                </c:pt>
                <c:pt idx="540">
                  <c:v>0.99507999999999996</c:v>
                </c:pt>
                <c:pt idx="541">
                  <c:v>0.87356999999999996</c:v>
                </c:pt>
                <c:pt idx="542">
                  <c:v>0.83070999999999995</c:v>
                </c:pt>
                <c:pt idx="543">
                  <c:v>0.80657999999999996</c:v>
                </c:pt>
                <c:pt idx="544">
                  <c:v>0.81818000000000002</c:v>
                </c:pt>
                <c:pt idx="545">
                  <c:v>0.81745999999999996</c:v>
                </c:pt>
                <c:pt idx="546">
                  <c:v>0.70001999999999998</c:v>
                </c:pt>
                <c:pt idx="547">
                  <c:v>0.70227000000000006</c:v>
                </c:pt>
                <c:pt idx="548">
                  <c:v>0.69811000000000012</c:v>
                </c:pt>
                <c:pt idx="549">
                  <c:v>0.70367999999999997</c:v>
                </c:pt>
                <c:pt idx="550">
                  <c:v>0.65637000000000001</c:v>
                </c:pt>
                <c:pt idx="551">
                  <c:v>0.52512000000000003</c:v>
                </c:pt>
                <c:pt idx="552">
                  <c:v>0.77681</c:v>
                </c:pt>
                <c:pt idx="553">
                  <c:v>0.61151</c:v>
                </c:pt>
                <c:pt idx="554">
                  <c:v>0.60587000000000002</c:v>
                </c:pt>
                <c:pt idx="555">
                  <c:v>0.58365</c:v>
                </c:pt>
                <c:pt idx="556">
                  <c:v>0.72640000000000005</c:v>
                </c:pt>
                <c:pt idx="557">
                  <c:v>0.76654</c:v>
                </c:pt>
                <c:pt idx="558">
                  <c:v>0.71489999999999998</c:v>
                </c:pt>
                <c:pt idx="559">
                  <c:v>0.83349000000000006</c:v>
                </c:pt>
                <c:pt idx="560">
                  <c:v>0.88694999999999991</c:v>
                </c:pt>
                <c:pt idx="561">
                  <c:v>1.02424</c:v>
                </c:pt>
                <c:pt idx="562">
                  <c:v>1.0659999999999998</c:v>
                </c:pt>
                <c:pt idx="563">
                  <c:v>2.0891199999999999</c:v>
                </c:pt>
                <c:pt idx="564">
                  <c:v>3.2614900000000002</c:v>
                </c:pt>
                <c:pt idx="565">
                  <c:v>3.2314499999999997</c:v>
                </c:pt>
                <c:pt idx="566">
                  <c:v>3.2207499999999998</c:v>
                </c:pt>
                <c:pt idx="567">
                  <c:v>3.7336399999999998</c:v>
                </c:pt>
                <c:pt idx="568">
                  <c:v>4.2481200000000001</c:v>
                </c:pt>
                <c:pt idx="569">
                  <c:v>4.2469200000000003</c:v>
                </c:pt>
                <c:pt idx="570">
                  <c:v>4.02759</c:v>
                </c:pt>
                <c:pt idx="571">
                  <c:v>3.9143500000000002</c:v>
                </c:pt>
                <c:pt idx="572">
                  <c:v>4.0786800000000003</c:v>
                </c:pt>
                <c:pt idx="573">
                  <c:v>3.7556099999999999</c:v>
                </c:pt>
                <c:pt idx="574">
                  <c:v>3.7862099999999996</c:v>
                </c:pt>
                <c:pt idx="575">
                  <c:v>3.0625400000000003</c:v>
                </c:pt>
                <c:pt idx="576">
                  <c:v>2.7199800000000001</c:v>
                </c:pt>
                <c:pt idx="577">
                  <c:v>2.2980900000000002</c:v>
                </c:pt>
                <c:pt idx="578">
                  <c:v>1.5663</c:v>
                </c:pt>
                <c:pt idx="579">
                  <c:v>1.4290100000000001</c:v>
                </c:pt>
                <c:pt idx="580">
                  <c:v>1.3744399999999999</c:v>
                </c:pt>
                <c:pt idx="581">
                  <c:v>1.4347300000000001</c:v>
                </c:pt>
                <c:pt idx="582">
                  <c:v>1.38391</c:v>
                </c:pt>
                <c:pt idx="583">
                  <c:v>1.4709000000000001</c:v>
                </c:pt>
                <c:pt idx="584">
                  <c:v>1.4300600000000001</c:v>
                </c:pt>
                <c:pt idx="585">
                  <c:v>1.47536</c:v>
                </c:pt>
                <c:pt idx="586">
                  <c:v>1.39801</c:v>
                </c:pt>
                <c:pt idx="587">
                  <c:v>1.37199</c:v>
                </c:pt>
                <c:pt idx="588">
                  <c:v>1.42394</c:v>
                </c:pt>
                <c:pt idx="589">
                  <c:v>1.4456200000000001</c:v>
                </c:pt>
                <c:pt idx="590">
                  <c:v>1.4976099999999999</c:v>
                </c:pt>
                <c:pt idx="591">
                  <c:v>1.5551599999999999</c:v>
                </c:pt>
                <c:pt idx="592">
                  <c:v>1.4712499999999999</c:v>
                </c:pt>
                <c:pt idx="593">
                  <c:v>1.5424500000000001</c:v>
                </c:pt>
                <c:pt idx="594">
                  <c:v>1.7687600000000001</c:v>
                </c:pt>
                <c:pt idx="595">
                  <c:v>1.7802199999999999</c:v>
                </c:pt>
                <c:pt idx="596">
                  <c:v>1.6763300000000001</c:v>
                </c:pt>
                <c:pt idx="597">
                  <c:v>1.6763300000000001</c:v>
                </c:pt>
                <c:pt idx="598">
                  <c:v>1.6763300000000001</c:v>
                </c:pt>
                <c:pt idx="599">
                  <c:v>1.6828299999999998</c:v>
                </c:pt>
                <c:pt idx="600">
                  <c:v>1.8276499999999998</c:v>
                </c:pt>
                <c:pt idx="601">
                  <c:v>1.5830000000000002</c:v>
                </c:pt>
                <c:pt idx="602">
                  <c:v>1.7601499999999999</c:v>
                </c:pt>
                <c:pt idx="603">
                  <c:v>1.8889099999999999</c:v>
                </c:pt>
                <c:pt idx="604">
                  <c:v>2.02902</c:v>
                </c:pt>
                <c:pt idx="605">
                  <c:v>1.97576</c:v>
                </c:pt>
                <c:pt idx="606">
                  <c:v>2.0169900000000003</c:v>
                </c:pt>
                <c:pt idx="607">
                  <c:v>1.8974199999999999</c:v>
                </c:pt>
                <c:pt idx="608">
                  <c:v>1.8974199999999999</c:v>
                </c:pt>
                <c:pt idx="609">
                  <c:v>2.0475699999999999</c:v>
                </c:pt>
                <c:pt idx="610">
                  <c:v>2.40246</c:v>
                </c:pt>
                <c:pt idx="611">
                  <c:v>2.4031700000000003</c:v>
                </c:pt>
                <c:pt idx="612">
                  <c:v>2.3708</c:v>
                </c:pt>
                <c:pt idx="613">
                  <c:v>2.7225900000000003</c:v>
                </c:pt>
                <c:pt idx="614">
                  <c:v>2.6403699999999999</c:v>
                </c:pt>
                <c:pt idx="615">
                  <c:v>2.5934200000000001</c:v>
                </c:pt>
                <c:pt idx="616">
                  <c:v>2.6150500000000001</c:v>
                </c:pt>
                <c:pt idx="617">
                  <c:v>2.5567199999999999</c:v>
                </c:pt>
                <c:pt idx="618">
                  <c:v>2.4218199999999999</c:v>
                </c:pt>
                <c:pt idx="619">
                  <c:v>2.09741</c:v>
                </c:pt>
                <c:pt idx="620">
                  <c:v>2.2377799999999999</c:v>
                </c:pt>
                <c:pt idx="621">
                  <c:v>2.3034499999999998</c:v>
                </c:pt>
                <c:pt idx="622">
                  <c:v>2.33799</c:v>
                </c:pt>
                <c:pt idx="623">
                  <c:v>2.26796</c:v>
                </c:pt>
                <c:pt idx="624">
                  <c:v>2.35385</c:v>
                </c:pt>
                <c:pt idx="625">
                  <c:v>2.25617</c:v>
                </c:pt>
                <c:pt idx="626">
                  <c:v>2.0146299999999999</c:v>
                </c:pt>
                <c:pt idx="627">
                  <c:v>2.0625</c:v>
                </c:pt>
                <c:pt idx="628">
                  <c:v>1.9494800000000001</c:v>
                </c:pt>
                <c:pt idx="629">
                  <c:v>1.8669399999999998</c:v>
                </c:pt>
                <c:pt idx="630">
                  <c:v>1.81853</c:v>
                </c:pt>
                <c:pt idx="631">
                  <c:v>1.81853</c:v>
                </c:pt>
                <c:pt idx="632">
                  <c:v>1.81853</c:v>
                </c:pt>
                <c:pt idx="633">
                  <c:v>1.7644200000000001</c:v>
                </c:pt>
                <c:pt idx="634">
                  <c:v>1.66937</c:v>
                </c:pt>
                <c:pt idx="635">
                  <c:v>1.6151499999999999</c:v>
                </c:pt>
                <c:pt idx="636">
                  <c:v>1.5483099999999999</c:v>
                </c:pt>
                <c:pt idx="637">
                  <c:v>1.3659899999999998</c:v>
                </c:pt>
                <c:pt idx="638">
                  <c:v>1.3353999999999999</c:v>
                </c:pt>
                <c:pt idx="639">
                  <c:v>1.4329400000000001</c:v>
                </c:pt>
                <c:pt idx="640">
                  <c:v>1.52799</c:v>
                </c:pt>
                <c:pt idx="641">
                  <c:v>1.50207</c:v>
                </c:pt>
                <c:pt idx="642">
                  <c:v>1.7155</c:v>
                </c:pt>
                <c:pt idx="643">
                  <c:v>1.5435300000000001</c:v>
                </c:pt>
                <c:pt idx="644">
                  <c:v>1.5073599999999998</c:v>
                </c:pt>
                <c:pt idx="645">
                  <c:v>1.5353299999999999</c:v>
                </c:pt>
                <c:pt idx="646">
                  <c:v>1.58589</c:v>
                </c:pt>
                <c:pt idx="647">
                  <c:v>1.5340799999999999</c:v>
                </c:pt>
                <c:pt idx="648">
                  <c:v>1.5200200000000001</c:v>
                </c:pt>
                <c:pt idx="649">
                  <c:v>1.7292400000000001</c:v>
                </c:pt>
                <c:pt idx="650">
                  <c:v>2.0697999999999999</c:v>
                </c:pt>
                <c:pt idx="651">
                  <c:v>2.3416100000000002</c:v>
                </c:pt>
                <c:pt idx="652">
                  <c:v>2.6461099999999997</c:v>
                </c:pt>
                <c:pt idx="653">
                  <c:v>2.5125600000000001</c:v>
                </c:pt>
                <c:pt idx="654">
                  <c:v>2.5312899999999998</c:v>
                </c:pt>
                <c:pt idx="655">
                  <c:v>2.4110400000000003</c:v>
                </c:pt>
                <c:pt idx="656">
                  <c:v>2.47282</c:v>
                </c:pt>
                <c:pt idx="657">
                  <c:v>2.4260099999999998</c:v>
                </c:pt>
                <c:pt idx="658">
                  <c:v>2.5205000000000002</c:v>
                </c:pt>
                <c:pt idx="659">
                  <c:v>2.52657</c:v>
                </c:pt>
                <c:pt idx="660">
                  <c:v>2.44868</c:v>
                </c:pt>
                <c:pt idx="661">
                  <c:v>2.4058999999999999</c:v>
                </c:pt>
                <c:pt idx="662">
                  <c:v>2.4855199999999997</c:v>
                </c:pt>
                <c:pt idx="663">
                  <c:v>2.3920300000000001</c:v>
                </c:pt>
                <c:pt idx="664">
                  <c:v>2.1574599999999999</c:v>
                </c:pt>
                <c:pt idx="665">
                  <c:v>2.03267</c:v>
                </c:pt>
                <c:pt idx="666">
                  <c:v>1.67252</c:v>
                </c:pt>
                <c:pt idx="667">
                  <c:v>1.5522</c:v>
                </c:pt>
                <c:pt idx="668">
                  <c:v>1.30935</c:v>
                </c:pt>
                <c:pt idx="669">
                  <c:v>1.26593</c:v>
                </c:pt>
                <c:pt idx="670">
                  <c:v>1.4605299999999999</c:v>
                </c:pt>
                <c:pt idx="671">
                  <c:v>1.5505500000000001</c:v>
                </c:pt>
                <c:pt idx="672">
                  <c:v>1.6219999999999999</c:v>
                </c:pt>
                <c:pt idx="673">
                  <c:v>1.3212200000000001</c:v>
                </c:pt>
                <c:pt idx="674">
                  <c:v>1.3067199999999999</c:v>
                </c:pt>
                <c:pt idx="675">
                  <c:v>1.10042</c:v>
                </c:pt>
                <c:pt idx="676">
                  <c:v>1.0344899999999999</c:v>
                </c:pt>
                <c:pt idx="677">
                  <c:v>0.89863000000000004</c:v>
                </c:pt>
                <c:pt idx="678">
                  <c:v>0.99694000000000005</c:v>
                </c:pt>
                <c:pt idx="679">
                  <c:v>0.86923000000000006</c:v>
                </c:pt>
                <c:pt idx="680">
                  <c:v>0.85797999999999996</c:v>
                </c:pt>
                <c:pt idx="681">
                  <c:v>0.80405000000000004</c:v>
                </c:pt>
                <c:pt idx="682">
                  <c:v>0.83569000000000004</c:v>
                </c:pt>
                <c:pt idx="683">
                  <c:v>1.08142</c:v>
                </c:pt>
                <c:pt idx="684">
                  <c:v>1.0320799999999999</c:v>
                </c:pt>
                <c:pt idx="685">
                  <c:v>1.1183100000000001</c:v>
                </c:pt>
                <c:pt idx="686">
                  <c:v>1.2073</c:v>
                </c:pt>
                <c:pt idx="687">
                  <c:v>1.2616800000000001</c:v>
                </c:pt>
                <c:pt idx="688">
                  <c:v>1.1252</c:v>
                </c:pt>
                <c:pt idx="689">
                  <c:v>1.1979900000000001</c:v>
                </c:pt>
                <c:pt idx="690">
                  <c:v>1.17249</c:v>
                </c:pt>
                <c:pt idx="691">
                  <c:v>1.08406</c:v>
                </c:pt>
                <c:pt idx="692">
                  <c:v>1.07931</c:v>
                </c:pt>
                <c:pt idx="693">
                  <c:v>1.07931</c:v>
                </c:pt>
                <c:pt idx="694">
                  <c:v>1.1430200000000001</c:v>
                </c:pt>
                <c:pt idx="695">
                  <c:v>1.2067300000000001</c:v>
                </c:pt>
                <c:pt idx="696">
                  <c:v>1.27742</c:v>
                </c:pt>
                <c:pt idx="697">
                  <c:v>1.33161</c:v>
                </c:pt>
                <c:pt idx="698">
                  <c:v>1.3261000000000001</c:v>
                </c:pt>
                <c:pt idx="699">
                  <c:v>1.27152</c:v>
                </c:pt>
                <c:pt idx="700">
                  <c:v>1.2668300000000001</c:v>
                </c:pt>
                <c:pt idx="701">
                  <c:v>1.1429199999999999</c:v>
                </c:pt>
                <c:pt idx="702">
                  <c:v>1.0747499999999999</c:v>
                </c:pt>
                <c:pt idx="703">
                  <c:v>1.0411900000000001</c:v>
                </c:pt>
                <c:pt idx="704">
                  <c:v>1.1987099999999999</c:v>
                </c:pt>
                <c:pt idx="705">
                  <c:v>1.4264699999999999</c:v>
                </c:pt>
                <c:pt idx="706">
                  <c:v>1.5256200000000002</c:v>
                </c:pt>
                <c:pt idx="707">
                  <c:v>1.50369</c:v>
                </c:pt>
              </c:numCache>
            </c:numRef>
          </c:val>
          <c:smooth val="0"/>
          <c:extLst>
            <c:ext xmlns:c16="http://schemas.microsoft.com/office/drawing/2014/chart" uri="{C3380CC4-5D6E-409C-BE32-E72D297353CC}">
              <c16:uniqueId val="{00000004-F31E-4170-9322-6C48FF56580E}"/>
            </c:ext>
          </c:extLst>
        </c:ser>
        <c:ser>
          <c:idx val="7"/>
          <c:order val="7"/>
          <c:tx>
            <c:strRef>
              <c:f>Sheet1!$I$1</c:f>
              <c:strCache>
                <c:ptCount val="1"/>
                <c:pt idx="0">
                  <c:v>Վրաստան (2026)</c:v>
                </c:pt>
              </c:strCache>
            </c:strRef>
          </c:tx>
          <c:spPr>
            <a:ln w="19050" cap="rnd">
              <a:solidFill>
                <a:schemeClr val="accent4">
                  <a:lumMod val="75000"/>
                </a:schemeClr>
              </a:solidFill>
              <a:round/>
            </a:ln>
            <a:effectLst/>
          </c:spPr>
          <c:marker>
            <c:symbol val="none"/>
          </c:marker>
          <c:cat>
            <c:numRef>
              <c:f>Sheet1!$A$2:$A$971</c:f>
              <c:numCache>
                <c:formatCode>m\/d\/yyyy</c:formatCode>
                <c:ptCount val="709"/>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pt idx="639">
                  <c:v>44726</c:v>
                </c:pt>
                <c:pt idx="640">
                  <c:v>44727</c:v>
                </c:pt>
                <c:pt idx="641">
                  <c:v>44728</c:v>
                </c:pt>
                <c:pt idx="642">
                  <c:v>44729</c:v>
                </c:pt>
                <c:pt idx="643">
                  <c:v>44732</c:v>
                </c:pt>
                <c:pt idx="644">
                  <c:v>44733</c:v>
                </c:pt>
                <c:pt idx="645">
                  <c:v>44734</c:v>
                </c:pt>
                <c:pt idx="646">
                  <c:v>44735</c:v>
                </c:pt>
                <c:pt idx="647">
                  <c:v>44736</c:v>
                </c:pt>
                <c:pt idx="648">
                  <c:v>44739</c:v>
                </c:pt>
                <c:pt idx="649">
                  <c:v>44740</c:v>
                </c:pt>
                <c:pt idx="650">
                  <c:v>44741</c:v>
                </c:pt>
                <c:pt idx="651">
                  <c:v>44742</c:v>
                </c:pt>
                <c:pt idx="652">
                  <c:v>44743</c:v>
                </c:pt>
                <c:pt idx="653">
                  <c:v>44746</c:v>
                </c:pt>
                <c:pt idx="654">
                  <c:v>44747</c:v>
                </c:pt>
                <c:pt idx="655">
                  <c:v>44748</c:v>
                </c:pt>
                <c:pt idx="656">
                  <c:v>44749</c:v>
                </c:pt>
                <c:pt idx="657">
                  <c:v>44750</c:v>
                </c:pt>
                <c:pt idx="658">
                  <c:v>44753</c:v>
                </c:pt>
                <c:pt idx="659">
                  <c:v>44754</c:v>
                </c:pt>
                <c:pt idx="660">
                  <c:v>44755</c:v>
                </c:pt>
                <c:pt idx="661">
                  <c:v>44756</c:v>
                </c:pt>
                <c:pt idx="662">
                  <c:v>44757</c:v>
                </c:pt>
                <c:pt idx="663">
                  <c:v>44760</c:v>
                </c:pt>
                <c:pt idx="664">
                  <c:v>44761</c:v>
                </c:pt>
                <c:pt idx="665">
                  <c:v>44762</c:v>
                </c:pt>
                <c:pt idx="666">
                  <c:v>44763</c:v>
                </c:pt>
                <c:pt idx="667">
                  <c:v>44764</c:v>
                </c:pt>
                <c:pt idx="668">
                  <c:v>44767</c:v>
                </c:pt>
                <c:pt idx="669">
                  <c:v>44768</c:v>
                </c:pt>
                <c:pt idx="670">
                  <c:v>44769</c:v>
                </c:pt>
                <c:pt idx="671">
                  <c:v>44770</c:v>
                </c:pt>
                <c:pt idx="672">
                  <c:v>44771</c:v>
                </c:pt>
                <c:pt idx="673">
                  <c:v>44774</c:v>
                </c:pt>
                <c:pt idx="674">
                  <c:v>44775</c:v>
                </c:pt>
                <c:pt idx="675">
                  <c:v>44776</c:v>
                </c:pt>
                <c:pt idx="676">
                  <c:v>44777</c:v>
                </c:pt>
                <c:pt idx="677">
                  <c:v>44778</c:v>
                </c:pt>
                <c:pt idx="678">
                  <c:v>44781</c:v>
                </c:pt>
                <c:pt idx="679">
                  <c:v>44782</c:v>
                </c:pt>
                <c:pt idx="680">
                  <c:v>44783</c:v>
                </c:pt>
                <c:pt idx="681">
                  <c:v>44784</c:v>
                </c:pt>
                <c:pt idx="682">
                  <c:v>44785</c:v>
                </c:pt>
                <c:pt idx="683">
                  <c:v>44788</c:v>
                </c:pt>
                <c:pt idx="684">
                  <c:v>44789</c:v>
                </c:pt>
                <c:pt idx="685">
                  <c:v>44790</c:v>
                </c:pt>
                <c:pt idx="686">
                  <c:v>44791</c:v>
                </c:pt>
                <c:pt idx="687">
                  <c:v>44792</c:v>
                </c:pt>
                <c:pt idx="688">
                  <c:v>44795</c:v>
                </c:pt>
                <c:pt idx="689">
                  <c:v>44796</c:v>
                </c:pt>
                <c:pt idx="690">
                  <c:v>44797</c:v>
                </c:pt>
                <c:pt idx="691">
                  <c:v>44798</c:v>
                </c:pt>
                <c:pt idx="692">
                  <c:v>44799</c:v>
                </c:pt>
                <c:pt idx="693">
                  <c:v>44802</c:v>
                </c:pt>
                <c:pt idx="694">
                  <c:v>44803</c:v>
                </c:pt>
                <c:pt idx="695">
                  <c:v>44804</c:v>
                </c:pt>
                <c:pt idx="696">
                  <c:v>44805</c:v>
                </c:pt>
                <c:pt idx="697">
                  <c:v>44806</c:v>
                </c:pt>
                <c:pt idx="698">
                  <c:v>44809</c:v>
                </c:pt>
                <c:pt idx="699">
                  <c:v>44810</c:v>
                </c:pt>
                <c:pt idx="700">
                  <c:v>44811</c:v>
                </c:pt>
                <c:pt idx="701">
                  <c:v>44812</c:v>
                </c:pt>
                <c:pt idx="702">
                  <c:v>44813</c:v>
                </c:pt>
                <c:pt idx="703">
                  <c:v>44816</c:v>
                </c:pt>
                <c:pt idx="704">
                  <c:v>44817</c:v>
                </c:pt>
                <c:pt idx="705">
                  <c:v>44818</c:v>
                </c:pt>
                <c:pt idx="706">
                  <c:v>44819</c:v>
                </c:pt>
                <c:pt idx="707">
                  <c:v>44820</c:v>
                </c:pt>
              </c:numCache>
            </c:numRef>
          </c:cat>
          <c:val>
            <c:numRef>
              <c:f>Sheet1!$I$2:$I$971</c:f>
              <c:numCache>
                <c:formatCode>General</c:formatCode>
                <c:ptCount val="709"/>
                <c:pt idx="339" formatCode="0">
                  <c:v>1.86876</c:v>
                </c:pt>
                <c:pt idx="340" formatCode="0">
                  <c:v>1.8400299999999998</c:v>
                </c:pt>
                <c:pt idx="341" formatCode="0">
                  <c:v>1.8314599999999999</c:v>
                </c:pt>
                <c:pt idx="342" formatCode="0">
                  <c:v>1.81216</c:v>
                </c:pt>
                <c:pt idx="343" formatCode="0">
                  <c:v>1.7606600000000001</c:v>
                </c:pt>
                <c:pt idx="344" formatCode="0">
                  <c:v>1.74054</c:v>
                </c:pt>
                <c:pt idx="345" formatCode="0">
                  <c:v>1.6841999999999999</c:v>
                </c:pt>
                <c:pt idx="346" formatCode="0">
                  <c:v>1.6984399999999999</c:v>
                </c:pt>
                <c:pt idx="347" formatCode="0">
                  <c:v>1.6762999999999999</c:v>
                </c:pt>
                <c:pt idx="348" formatCode="0">
                  <c:v>1.6762999999999999</c:v>
                </c:pt>
                <c:pt idx="349" formatCode="0">
                  <c:v>1.7254700000000001</c:v>
                </c:pt>
                <c:pt idx="350" formatCode="0">
                  <c:v>1.71841</c:v>
                </c:pt>
                <c:pt idx="351" formatCode="0">
                  <c:v>1.70523</c:v>
                </c:pt>
                <c:pt idx="352" formatCode="0">
                  <c:v>1.7134499999999999</c:v>
                </c:pt>
                <c:pt idx="353" formatCode="0">
                  <c:v>1.7161000000000002</c:v>
                </c:pt>
                <c:pt idx="354" formatCode="0">
                  <c:v>1.7149000000000001</c:v>
                </c:pt>
                <c:pt idx="355" formatCode="0">
                  <c:v>1.6665100000000002</c:v>
                </c:pt>
                <c:pt idx="356" formatCode="0">
                  <c:v>1.7052699999999998</c:v>
                </c:pt>
                <c:pt idx="357" formatCode="0">
                  <c:v>1.7059299999999999</c:v>
                </c:pt>
                <c:pt idx="358" formatCode="0">
                  <c:v>1.7196500000000001</c:v>
                </c:pt>
                <c:pt idx="359" formatCode="0">
                  <c:v>1.6569999999999998</c:v>
                </c:pt>
                <c:pt idx="360" formatCode="0">
                  <c:v>1.6834</c:v>
                </c:pt>
                <c:pt idx="361" formatCode="0">
                  <c:v>1.6837500000000001</c:v>
                </c:pt>
                <c:pt idx="362" formatCode="0">
                  <c:v>1.6746799999999999</c:v>
                </c:pt>
                <c:pt idx="363" formatCode="0">
                  <c:v>1.7069900000000002</c:v>
                </c:pt>
                <c:pt idx="364" formatCode="0">
                  <c:v>1.7018700000000002</c:v>
                </c:pt>
                <c:pt idx="365" formatCode="0">
                  <c:v>1.7071399999999999</c:v>
                </c:pt>
                <c:pt idx="366" formatCode="0">
                  <c:v>1.6485300000000001</c:v>
                </c:pt>
                <c:pt idx="367" formatCode="0">
                  <c:v>1.61975</c:v>
                </c:pt>
                <c:pt idx="368" formatCode="0">
                  <c:v>1.61975</c:v>
                </c:pt>
                <c:pt idx="369" formatCode="0">
                  <c:v>1.6057599999999999</c:v>
                </c:pt>
                <c:pt idx="370" formatCode="0">
                  <c:v>1.6166200000000002</c:v>
                </c:pt>
                <c:pt idx="371" formatCode="0">
                  <c:v>1.5789800000000001</c:v>
                </c:pt>
                <c:pt idx="372" formatCode="0">
                  <c:v>1.61113</c:v>
                </c:pt>
                <c:pt idx="373" formatCode="0">
                  <c:v>1.6322000000000001</c:v>
                </c:pt>
                <c:pt idx="374" formatCode="0">
                  <c:v>1.6643100000000002</c:v>
                </c:pt>
                <c:pt idx="375" formatCode="0">
                  <c:v>1.65727</c:v>
                </c:pt>
                <c:pt idx="376" formatCode="0">
                  <c:v>1.6489400000000001</c:v>
                </c:pt>
                <c:pt idx="377" formatCode="0">
                  <c:v>1.4196600000000001</c:v>
                </c:pt>
                <c:pt idx="378" formatCode="0">
                  <c:v>1.43567</c:v>
                </c:pt>
                <c:pt idx="379" formatCode="0">
                  <c:v>1.4487299999999999</c:v>
                </c:pt>
                <c:pt idx="380" formatCode="0">
                  <c:v>1.4588700000000001</c:v>
                </c:pt>
                <c:pt idx="381" formatCode="0">
                  <c:v>1.4039299999999999</c:v>
                </c:pt>
                <c:pt idx="382" formatCode="0">
                  <c:v>1.3480400000000001</c:v>
                </c:pt>
                <c:pt idx="383" formatCode="0">
                  <c:v>1.42208</c:v>
                </c:pt>
                <c:pt idx="384" formatCode="0">
                  <c:v>1.4095500000000001</c:v>
                </c:pt>
                <c:pt idx="385" formatCode="0">
                  <c:v>1.4032800000000001</c:v>
                </c:pt>
                <c:pt idx="386" formatCode="0">
                  <c:v>1.40665</c:v>
                </c:pt>
                <c:pt idx="387" formatCode="0">
                  <c:v>1.38917</c:v>
                </c:pt>
                <c:pt idx="388" formatCode="0">
                  <c:v>1.40984</c:v>
                </c:pt>
                <c:pt idx="389" formatCode="0">
                  <c:v>1.37954</c:v>
                </c:pt>
                <c:pt idx="390" formatCode="0">
                  <c:v>1.34375</c:v>
                </c:pt>
                <c:pt idx="391" formatCode="0">
                  <c:v>1.3363</c:v>
                </c:pt>
                <c:pt idx="392" formatCode="0">
                  <c:v>1.3936299999999999</c:v>
                </c:pt>
                <c:pt idx="393" formatCode="0">
                  <c:v>1.40083</c:v>
                </c:pt>
                <c:pt idx="394" formatCode="0">
                  <c:v>1.4353800000000001</c:v>
                </c:pt>
                <c:pt idx="395" formatCode="0">
                  <c:v>1.42052</c:v>
                </c:pt>
                <c:pt idx="396" formatCode="0">
                  <c:v>1.44208</c:v>
                </c:pt>
                <c:pt idx="397" formatCode="0">
                  <c:v>1.4101499999999998</c:v>
                </c:pt>
                <c:pt idx="398" formatCode="0">
                  <c:v>1.3948700000000001</c:v>
                </c:pt>
                <c:pt idx="399" formatCode="0">
                  <c:v>1.3454200000000001</c:v>
                </c:pt>
                <c:pt idx="400" formatCode="0">
                  <c:v>1.3794399999999998</c:v>
                </c:pt>
                <c:pt idx="401" formatCode="0">
                  <c:v>1.4203899999999998</c:v>
                </c:pt>
                <c:pt idx="402" formatCode="0">
                  <c:v>1.4088700000000001</c:v>
                </c:pt>
                <c:pt idx="403" formatCode="0">
                  <c:v>1.5141999999999998</c:v>
                </c:pt>
                <c:pt idx="404" formatCode="0">
                  <c:v>1.5204</c:v>
                </c:pt>
                <c:pt idx="405" formatCode="0">
                  <c:v>1.4617099999999998</c:v>
                </c:pt>
                <c:pt idx="406" formatCode="0">
                  <c:v>1.50278</c:v>
                </c:pt>
                <c:pt idx="407" formatCode="0">
                  <c:v>1.4694499999999999</c:v>
                </c:pt>
                <c:pt idx="408" formatCode="0">
                  <c:v>1.50404</c:v>
                </c:pt>
                <c:pt idx="409" formatCode="0">
                  <c:v>1.5262100000000001</c:v>
                </c:pt>
                <c:pt idx="410" formatCode="0">
                  <c:v>1.52077</c:v>
                </c:pt>
                <c:pt idx="411" formatCode="0">
                  <c:v>1.4754800000000001</c:v>
                </c:pt>
                <c:pt idx="412" formatCode="0">
                  <c:v>1.50701</c:v>
                </c:pt>
                <c:pt idx="413" formatCode="0">
                  <c:v>1.53531</c:v>
                </c:pt>
                <c:pt idx="414" formatCode="0">
                  <c:v>1.55633</c:v>
                </c:pt>
                <c:pt idx="415" formatCode="0">
                  <c:v>1.51454</c:v>
                </c:pt>
                <c:pt idx="416" formatCode="0">
                  <c:v>1.4618899999999999</c:v>
                </c:pt>
                <c:pt idx="417" formatCode="0">
                  <c:v>1.413</c:v>
                </c:pt>
                <c:pt idx="418" formatCode="0">
                  <c:v>1.3905099999999999</c:v>
                </c:pt>
                <c:pt idx="419" formatCode="0">
                  <c:v>1.3403800000000001</c:v>
                </c:pt>
                <c:pt idx="420" formatCode="0">
                  <c:v>1.37324</c:v>
                </c:pt>
                <c:pt idx="421" formatCode="0">
                  <c:v>1.3726499999999999</c:v>
                </c:pt>
                <c:pt idx="422" formatCode="0">
                  <c:v>1.39344</c:v>
                </c:pt>
                <c:pt idx="423" formatCode="0">
                  <c:v>1.44024</c:v>
                </c:pt>
                <c:pt idx="424" formatCode="0">
                  <c:v>1.4474500000000001</c:v>
                </c:pt>
                <c:pt idx="425" formatCode="0">
                  <c:v>1.42588</c:v>
                </c:pt>
                <c:pt idx="426" formatCode="0">
                  <c:v>1.4268000000000001</c:v>
                </c:pt>
                <c:pt idx="427" formatCode="0">
                  <c:v>1.3788499999999999</c:v>
                </c:pt>
                <c:pt idx="428" formatCode="0">
                  <c:v>1.44387</c:v>
                </c:pt>
                <c:pt idx="429" formatCode="0">
                  <c:v>1.4131299999999998</c:v>
                </c:pt>
                <c:pt idx="430" formatCode="0">
                  <c:v>1.37761</c:v>
                </c:pt>
                <c:pt idx="431" formatCode="0">
                  <c:v>1.35625</c:v>
                </c:pt>
                <c:pt idx="432" formatCode="0">
                  <c:v>1.3999100000000002</c:v>
                </c:pt>
                <c:pt idx="433" formatCode="0">
                  <c:v>1.3999100000000002</c:v>
                </c:pt>
                <c:pt idx="434" formatCode="0">
                  <c:v>1.42303</c:v>
                </c:pt>
                <c:pt idx="435" formatCode="0">
                  <c:v>1.3903100000000002</c:v>
                </c:pt>
                <c:pt idx="436" formatCode="0">
                  <c:v>1.3928100000000001</c:v>
                </c:pt>
                <c:pt idx="437" formatCode="0">
                  <c:v>1.38896</c:v>
                </c:pt>
                <c:pt idx="438" formatCode="0">
                  <c:v>1.37548</c:v>
                </c:pt>
                <c:pt idx="439" formatCode="0">
                  <c:v>1.33039</c:v>
                </c:pt>
                <c:pt idx="440" formatCode="0">
                  <c:v>1.3197700000000001</c:v>
                </c:pt>
                <c:pt idx="441" formatCode="0">
                  <c:v>1.3320400000000001</c:v>
                </c:pt>
                <c:pt idx="442" formatCode="0">
                  <c:v>1.31287</c:v>
                </c:pt>
                <c:pt idx="443" formatCode="0">
                  <c:v>1.3028999999999999</c:v>
                </c:pt>
                <c:pt idx="444" formatCode="0">
                  <c:v>1.3138999999999998</c:v>
                </c:pt>
                <c:pt idx="445" formatCode="0">
                  <c:v>1.31013</c:v>
                </c:pt>
                <c:pt idx="446" formatCode="0">
                  <c:v>1.2575499999999999</c:v>
                </c:pt>
                <c:pt idx="447" formatCode="0">
                  <c:v>1.2513399999999999</c:v>
                </c:pt>
                <c:pt idx="448" formatCode="0">
                  <c:v>1.3448599999999999</c:v>
                </c:pt>
                <c:pt idx="449" formatCode="0">
                  <c:v>1.30437</c:v>
                </c:pt>
                <c:pt idx="450" formatCode="0">
                  <c:v>1.3083099999999999</c:v>
                </c:pt>
                <c:pt idx="451" formatCode="0">
                  <c:v>1.20644</c:v>
                </c:pt>
                <c:pt idx="452" formatCode="0">
                  <c:v>1.2395799999999999</c:v>
                </c:pt>
                <c:pt idx="453" formatCode="0">
                  <c:v>1.2852299999999999</c:v>
                </c:pt>
                <c:pt idx="454" formatCode="0">
                  <c:v>1.3765700000000001</c:v>
                </c:pt>
                <c:pt idx="455" formatCode="0">
                  <c:v>1.40584</c:v>
                </c:pt>
                <c:pt idx="456" formatCode="0">
                  <c:v>1.4631399999999999</c:v>
                </c:pt>
                <c:pt idx="457" formatCode="0">
                  <c:v>1.6361000000000001</c:v>
                </c:pt>
                <c:pt idx="458" formatCode="0">
                  <c:v>1.6448199999999999</c:v>
                </c:pt>
                <c:pt idx="459" formatCode="0">
                  <c:v>1.55823</c:v>
                </c:pt>
                <c:pt idx="460" formatCode="0">
                  <c:v>1.5763199999999999</c:v>
                </c:pt>
                <c:pt idx="461" formatCode="0">
                  <c:v>1.5292400000000002</c:v>
                </c:pt>
                <c:pt idx="462" formatCode="0">
                  <c:v>1.4664200000000001</c:v>
                </c:pt>
                <c:pt idx="463" formatCode="0">
                  <c:v>1.51525</c:v>
                </c:pt>
                <c:pt idx="464" formatCode="0">
                  <c:v>1.5141499999999999</c:v>
                </c:pt>
                <c:pt idx="465" formatCode="0">
                  <c:v>1.48081</c:v>
                </c:pt>
                <c:pt idx="466" formatCode="0">
                  <c:v>1.45852</c:v>
                </c:pt>
                <c:pt idx="467" formatCode="0">
                  <c:v>1.3781600000000001</c:v>
                </c:pt>
                <c:pt idx="468" formatCode="0">
                  <c:v>1.3244499999999999</c:v>
                </c:pt>
                <c:pt idx="469" formatCode="0">
                  <c:v>1.3656299999999999</c:v>
                </c:pt>
                <c:pt idx="470" formatCode="0">
                  <c:v>1.3545500000000001</c:v>
                </c:pt>
                <c:pt idx="471" formatCode="0">
                  <c:v>0.80608999999999997</c:v>
                </c:pt>
                <c:pt idx="472" formatCode="0">
                  <c:v>1.32752</c:v>
                </c:pt>
                <c:pt idx="473" formatCode="0">
                  <c:v>1.3393100000000002</c:v>
                </c:pt>
                <c:pt idx="474" formatCode="0">
                  <c:v>1.3212200000000001</c:v>
                </c:pt>
                <c:pt idx="475" formatCode="0">
                  <c:v>1.34667</c:v>
                </c:pt>
                <c:pt idx="476" formatCode="0">
                  <c:v>0.93819999999999992</c:v>
                </c:pt>
                <c:pt idx="477" formatCode="0">
                  <c:v>1.34138</c:v>
                </c:pt>
                <c:pt idx="478" formatCode="0">
                  <c:v>1.5861699999999999</c:v>
                </c:pt>
                <c:pt idx="479" formatCode="0">
                  <c:v>1.6447700000000001</c:v>
                </c:pt>
                <c:pt idx="480" formatCode="0">
                  <c:v>1.6369100000000001</c:v>
                </c:pt>
                <c:pt idx="481" formatCode="0">
                  <c:v>1.7061000000000002</c:v>
                </c:pt>
                <c:pt idx="482" formatCode="0">
                  <c:v>1.7566900000000001</c:v>
                </c:pt>
                <c:pt idx="483" formatCode="0">
                  <c:v>1.7037500000000001</c:v>
                </c:pt>
                <c:pt idx="484" formatCode="0">
                  <c:v>1.7441499999999999</c:v>
                </c:pt>
                <c:pt idx="485" formatCode="0">
                  <c:v>1.7309000000000001</c:v>
                </c:pt>
                <c:pt idx="486" formatCode="0">
                  <c:v>1.7689300000000001</c:v>
                </c:pt>
                <c:pt idx="487" formatCode="0">
                  <c:v>1.67587</c:v>
                </c:pt>
                <c:pt idx="488" formatCode="0">
                  <c:v>1.75861</c:v>
                </c:pt>
                <c:pt idx="489" formatCode="0">
                  <c:v>1.7996700000000001</c:v>
                </c:pt>
                <c:pt idx="490" formatCode="0">
                  <c:v>1.7514699999999999</c:v>
                </c:pt>
                <c:pt idx="491" formatCode="0">
                  <c:v>1.8433600000000001</c:v>
                </c:pt>
                <c:pt idx="492" formatCode="0">
                  <c:v>1.81488</c:v>
                </c:pt>
                <c:pt idx="493" formatCode="0">
                  <c:v>1.7538</c:v>
                </c:pt>
                <c:pt idx="494" formatCode="0">
                  <c:v>1.8492199999999999</c:v>
                </c:pt>
                <c:pt idx="495" formatCode="0">
                  <c:v>1.8020699999999998</c:v>
                </c:pt>
                <c:pt idx="496" formatCode="0">
                  <c:v>1.8653599999999999</c:v>
                </c:pt>
                <c:pt idx="497" formatCode="0">
                  <c:v>2.06521</c:v>
                </c:pt>
                <c:pt idx="498" formatCode="0">
                  <c:v>2.0194300000000003</c:v>
                </c:pt>
                <c:pt idx="499" formatCode="0">
                  <c:v>2.0775000000000001</c:v>
                </c:pt>
                <c:pt idx="500" formatCode="0">
                  <c:v>2.10514</c:v>
                </c:pt>
                <c:pt idx="501" formatCode="0">
                  <c:v>2.0537399999999999</c:v>
                </c:pt>
                <c:pt idx="502" formatCode="0">
                  <c:v>2.1061899999999998</c:v>
                </c:pt>
                <c:pt idx="503" formatCode="0">
                  <c:v>2.0198900000000002</c:v>
                </c:pt>
                <c:pt idx="504" formatCode="0">
                  <c:v>1.98858</c:v>
                </c:pt>
                <c:pt idx="505" formatCode="0">
                  <c:v>1.99919</c:v>
                </c:pt>
                <c:pt idx="506" formatCode="0">
                  <c:v>2.0033000000000003</c:v>
                </c:pt>
                <c:pt idx="507" formatCode="0">
                  <c:v>1.9872900000000002</c:v>
                </c:pt>
                <c:pt idx="508" formatCode="0">
                  <c:v>1.9495800000000001</c:v>
                </c:pt>
                <c:pt idx="509" formatCode="0">
                  <c:v>1.9505699999999999</c:v>
                </c:pt>
                <c:pt idx="510" formatCode="0">
                  <c:v>1.8400100000000001</c:v>
                </c:pt>
                <c:pt idx="511" formatCode="0">
                  <c:v>1.83927</c:v>
                </c:pt>
                <c:pt idx="512" formatCode="0">
                  <c:v>1.8130099999999998</c:v>
                </c:pt>
                <c:pt idx="513" formatCode="0">
                  <c:v>1.8615899999999999</c:v>
                </c:pt>
                <c:pt idx="514" formatCode="0">
                  <c:v>1.7658799999999999</c:v>
                </c:pt>
                <c:pt idx="515" formatCode="0">
                  <c:v>1.78332</c:v>
                </c:pt>
                <c:pt idx="516" formatCode="0">
                  <c:v>1.77064</c:v>
                </c:pt>
                <c:pt idx="517" formatCode="0">
                  <c:v>1.7685499999999998</c:v>
                </c:pt>
                <c:pt idx="518" formatCode="0">
                  <c:v>1.7685499999999998</c:v>
                </c:pt>
                <c:pt idx="519" formatCode="0">
                  <c:v>1.7685499999999998</c:v>
                </c:pt>
                <c:pt idx="520" formatCode="0">
                  <c:v>1.69889</c:v>
                </c:pt>
                <c:pt idx="521" formatCode="0">
                  <c:v>1.7177199999999999</c:v>
                </c:pt>
                <c:pt idx="522" formatCode="0">
                  <c:v>1.74844</c:v>
                </c:pt>
                <c:pt idx="523" formatCode="0">
                  <c:v>1.74844</c:v>
                </c:pt>
                <c:pt idx="524" formatCode="0">
                  <c:v>1.6784399999999999</c:v>
                </c:pt>
                <c:pt idx="525" formatCode="0">
                  <c:v>1.6316300000000001</c:v>
                </c:pt>
                <c:pt idx="526" formatCode="0">
                  <c:v>1.66716</c:v>
                </c:pt>
                <c:pt idx="527" formatCode="0">
                  <c:v>1.6640799999999998</c:v>
                </c:pt>
                <c:pt idx="528" formatCode="0">
                  <c:v>1.61202</c:v>
                </c:pt>
                <c:pt idx="529" formatCode="0">
                  <c:v>1.62965</c:v>
                </c:pt>
                <c:pt idx="530" formatCode="0">
                  <c:v>1.6453</c:v>
                </c:pt>
                <c:pt idx="531" formatCode="0">
                  <c:v>1.71058</c:v>
                </c:pt>
                <c:pt idx="532" formatCode="0">
                  <c:v>1.6618799999999998</c:v>
                </c:pt>
                <c:pt idx="533" formatCode="0">
                  <c:v>1.6472399999999998</c:v>
                </c:pt>
                <c:pt idx="534" formatCode="0">
                  <c:v>1.6351900000000001</c:v>
                </c:pt>
                <c:pt idx="535" formatCode="0">
                  <c:v>1.70079</c:v>
                </c:pt>
                <c:pt idx="536" formatCode="0">
                  <c:v>1.7535800000000001</c:v>
                </c:pt>
                <c:pt idx="537" formatCode="0">
                  <c:v>1.7963399999999998</c:v>
                </c:pt>
                <c:pt idx="538" formatCode="0">
                  <c:v>2.0007700000000002</c:v>
                </c:pt>
                <c:pt idx="539" formatCode="0">
                  <c:v>2.0347499999999998</c:v>
                </c:pt>
                <c:pt idx="540" formatCode="0">
                  <c:v>1.9903200000000001</c:v>
                </c:pt>
                <c:pt idx="541" formatCode="0">
                  <c:v>1.9917500000000001</c:v>
                </c:pt>
                <c:pt idx="542" formatCode="0">
                  <c:v>1.9912299999999998</c:v>
                </c:pt>
                <c:pt idx="543" formatCode="0">
                  <c:v>1.9963399999999998</c:v>
                </c:pt>
                <c:pt idx="544" formatCode="0">
                  <c:v>2.0240100000000001</c:v>
                </c:pt>
                <c:pt idx="545" formatCode="0">
                  <c:v>1.98156</c:v>
                </c:pt>
                <c:pt idx="546" formatCode="0">
                  <c:v>1.9446100000000002</c:v>
                </c:pt>
                <c:pt idx="547" formatCode="0">
                  <c:v>1.8426800000000001</c:v>
                </c:pt>
                <c:pt idx="548" formatCode="0">
                  <c:v>1.9809700000000001</c:v>
                </c:pt>
                <c:pt idx="549" formatCode="0">
                  <c:v>1.9810699999999999</c:v>
                </c:pt>
                <c:pt idx="550" formatCode="0">
                  <c:v>1.96191</c:v>
                </c:pt>
                <c:pt idx="551" formatCode="0">
                  <c:v>1.8669</c:v>
                </c:pt>
                <c:pt idx="552" formatCode="0">
                  <c:v>1.94319</c:v>
                </c:pt>
                <c:pt idx="553" formatCode="0">
                  <c:v>2.02338</c:v>
                </c:pt>
                <c:pt idx="554" formatCode="0">
                  <c:v>2.0358700000000001</c:v>
                </c:pt>
                <c:pt idx="555" formatCode="0">
                  <c:v>1.9994399999999999</c:v>
                </c:pt>
                <c:pt idx="556" formatCode="0">
                  <c:v>2.0665</c:v>
                </c:pt>
                <c:pt idx="557" formatCode="0">
                  <c:v>2.2408600000000001</c:v>
                </c:pt>
                <c:pt idx="558" formatCode="0">
                  <c:v>2.1051299999999999</c:v>
                </c:pt>
                <c:pt idx="559" formatCode="0">
                  <c:v>2.1995500000000003</c:v>
                </c:pt>
                <c:pt idx="560" formatCode="0">
                  <c:v>2.2984599999999999</c:v>
                </c:pt>
                <c:pt idx="561" formatCode="0">
                  <c:v>2.3751099999999998</c:v>
                </c:pt>
                <c:pt idx="562" formatCode="0">
                  <c:v>3.1683600000000003</c:v>
                </c:pt>
                <c:pt idx="563" formatCode="0">
                  <c:v>3.7837599999999996</c:v>
                </c:pt>
                <c:pt idx="564" formatCode="0">
                  <c:v>5.1835299999999993</c:v>
                </c:pt>
                <c:pt idx="565" formatCode="0">
                  <c:v>5.3956899999999992</c:v>
                </c:pt>
                <c:pt idx="566" formatCode="0">
                  <c:v>5.3956899999999992</c:v>
                </c:pt>
                <c:pt idx="567" formatCode="0">
                  <c:v>6.0038599999999995</c:v>
                </c:pt>
                <c:pt idx="568" formatCode="0">
                  <c:v>6.0038599999999995</c:v>
                </c:pt>
                <c:pt idx="569" formatCode="0">
                  <c:v>6.3362699999999998</c:v>
                </c:pt>
                <c:pt idx="570" formatCode="0">
                  <c:v>6.6086800000000006</c:v>
                </c:pt>
                <c:pt idx="571" formatCode="0">
                  <c:v>6.5615200000000007</c:v>
                </c:pt>
                <c:pt idx="572" formatCode="0">
                  <c:v>6.3608799999999999</c:v>
                </c:pt>
                <c:pt idx="573" formatCode="0">
                  <c:v>6.4239899999999999</c:v>
                </c:pt>
                <c:pt idx="574" formatCode="0">
                  <c:v>6.3764799999999999</c:v>
                </c:pt>
                <c:pt idx="575" formatCode="0">
                  <c:v>6.1533699999999998</c:v>
                </c:pt>
                <c:pt idx="576" formatCode="0">
                  <c:v>5.6670199999999999</c:v>
                </c:pt>
                <c:pt idx="577" formatCode="0">
                  <c:v>5.5049300000000008</c:v>
                </c:pt>
                <c:pt idx="578" formatCode="0">
                  <c:v>5.3155700000000001</c:v>
                </c:pt>
                <c:pt idx="579" formatCode="0">
                  <c:v>5.3288000000000002</c:v>
                </c:pt>
                <c:pt idx="580" formatCode="0">
                  <c:v>5.2879800000000001</c:v>
                </c:pt>
                <c:pt idx="581" formatCode="0">
                  <c:v>5.1725300000000001</c:v>
                </c:pt>
                <c:pt idx="582" formatCode="0">
                  <c:v>4.9787499999999998</c:v>
                </c:pt>
                <c:pt idx="583" formatCode="0">
                  <c:v>4.9392200000000006</c:v>
                </c:pt>
                <c:pt idx="584" formatCode="0">
                  <c:v>4.82301</c:v>
                </c:pt>
                <c:pt idx="585" formatCode="0">
                  <c:v>4.6210899999999997</c:v>
                </c:pt>
                <c:pt idx="586" formatCode="0">
                  <c:v>4.4275000000000002</c:v>
                </c:pt>
                <c:pt idx="587" formatCode="0">
                  <c:v>4.2231899999999998</c:v>
                </c:pt>
                <c:pt idx="588" formatCode="0">
                  <c:v>4.2769700000000004</c:v>
                </c:pt>
                <c:pt idx="589" formatCode="0">
                  <c:v>4.1157000000000004</c:v>
                </c:pt>
                <c:pt idx="590" formatCode="0">
                  <c:v>4.1642099999999997</c:v>
                </c:pt>
                <c:pt idx="591" formatCode="0">
                  <c:v>4.12209</c:v>
                </c:pt>
                <c:pt idx="592" formatCode="0">
                  <c:v>3.8842500000000002</c:v>
                </c:pt>
                <c:pt idx="593" formatCode="0">
                  <c:v>3.9261900000000001</c:v>
                </c:pt>
                <c:pt idx="594" formatCode="0">
                  <c:v>4.0492099999999995</c:v>
                </c:pt>
                <c:pt idx="595" formatCode="0">
                  <c:v>4.0012299999999996</c:v>
                </c:pt>
                <c:pt idx="596" formatCode="0">
                  <c:v>3.8130799999999998</c:v>
                </c:pt>
                <c:pt idx="597" formatCode="0">
                  <c:v>3.8130799999999998</c:v>
                </c:pt>
                <c:pt idx="598" formatCode="0">
                  <c:v>3.8130799999999998</c:v>
                </c:pt>
                <c:pt idx="599" formatCode="0">
                  <c:v>3.88</c:v>
                </c:pt>
                <c:pt idx="600" formatCode="0">
                  <c:v>3.8993900000000004</c:v>
                </c:pt>
                <c:pt idx="601" formatCode="0">
                  <c:v>3.75318</c:v>
                </c:pt>
                <c:pt idx="602" formatCode="0">
                  <c:v>3.7759300000000002</c:v>
                </c:pt>
                <c:pt idx="603" formatCode="0">
                  <c:v>4.0694600000000003</c:v>
                </c:pt>
                <c:pt idx="604" formatCode="0">
                  <c:v>4.1142399999999997</c:v>
                </c:pt>
                <c:pt idx="605" formatCode="0">
                  <c:v>4.1931500000000002</c:v>
                </c:pt>
                <c:pt idx="606" formatCode="0">
                  <c:v>4.0343599999999995</c:v>
                </c:pt>
                <c:pt idx="607" formatCode="0">
                  <c:v>3.9946800000000002</c:v>
                </c:pt>
                <c:pt idx="608" formatCode="0">
                  <c:v>3.9946800000000002</c:v>
                </c:pt>
                <c:pt idx="609" formatCode="0">
                  <c:v>3.9894600000000002</c:v>
                </c:pt>
                <c:pt idx="610" formatCode="0">
                  <c:v>3.86754</c:v>
                </c:pt>
                <c:pt idx="611" formatCode="0">
                  <c:v>3.9674999999999998</c:v>
                </c:pt>
                <c:pt idx="612" formatCode="0">
                  <c:v>3.8436500000000002</c:v>
                </c:pt>
                <c:pt idx="613" formatCode="0">
                  <c:v>4.05504</c:v>
                </c:pt>
                <c:pt idx="614" formatCode="0">
                  <c:v>4.18452</c:v>
                </c:pt>
                <c:pt idx="615" formatCode="0">
                  <c:v>4.2347799999999998</c:v>
                </c:pt>
                <c:pt idx="616" formatCode="0">
                  <c:v>4.2013099999999994</c:v>
                </c:pt>
                <c:pt idx="617" formatCode="0">
                  <c:v>3.9546199999999998</c:v>
                </c:pt>
                <c:pt idx="618" formatCode="0">
                  <c:v>4.1125699999999998</c:v>
                </c:pt>
                <c:pt idx="619" formatCode="0">
                  <c:v>4.1365800000000004</c:v>
                </c:pt>
                <c:pt idx="620" formatCode="0">
                  <c:v>4.0295499999999995</c:v>
                </c:pt>
                <c:pt idx="621" formatCode="0">
                  <c:v>4.2888799999999998</c:v>
                </c:pt>
                <c:pt idx="622" formatCode="0">
                  <c:v>4.1868499999999997</c:v>
                </c:pt>
                <c:pt idx="623" formatCode="0">
                  <c:v>4.2046999999999999</c:v>
                </c:pt>
                <c:pt idx="624" formatCode="0">
                  <c:v>4.3782199999999998</c:v>
                </c:pt>
                <c:pt idx="625" formatCode="0">
                  <c:v>4.3791000000000002</c:v>
                </c:pt>
                <c:pt idx="626" formatCode="0">
                  <c:v>4.4344700000000001</c:v>
                </c:pt>
                <c:pt idx="627" formatCode="0">
                  <c:v>4.0808600000000004</c:v>
                </c:pt>
                <c:pt idx="628" formatCode="0">
                  <c:v>4.2387300000000003</c:v>
                </c:pt>
                <c:pt idx="629" formatCode="0">
                  <c:v>4.2524600000000001</c:v>
                </c:pt>
                <c:pt idx="630" formatCode="0">
                  <c:v>4.1852100000000005</c:v>
                </c:pt>
                <c:pt idx="631" formatCode="0">
                  <c:v>4.1852100000000005</c:v>
                </c:pt>
                <c:pt idx="632" formatCode="0">
                  <c:v>4.1852100000000005</c:v>
                </c:pt>
                <c:pt idx="633" formatCode="0">
                  <c:v>4.0886700000000005</c:v>
                </c:pt>
                <c:pt idx="634" formatCode="0">
                  <c:v>4.1673499999999999</c:v>
                </c:pt>
                <c:pt idx="635" formatCode="0">
                  <c:v>4.1376900000000001</c:v>
                </c:pt>
                <c:pt idx="636" formatCode="0">
                  <c:v>4.0980999999999996</c:v>
                </c:pt>
                <c:pt idx="637" formatCode="0">
                  <c:v>3.9352100000000001</c:v>
                </c:pt>
                <c:pt idx="638" formatCode="0">
                  <c:v>3.8361800000000001</c:v>
                </c:pt>
                <c:pt idx="639" formatCode="0">
                  <c:v>3.7362700000000002</c:v>
                </c:pt>
                <c:pt idx="640" formatCode="0">
                  <c:v>4.06175</c:v>
                </c:pt>
                <c:pt idx="641" formatCode="0">
                  <c:v>4.3725500000000004</c:v>
                </c:pt>
                <c:pt idx="642" formatCode="0">
                  <c:v>4.4745600000000003</c:v>
                </c:pt>
                <c:pt idx="643" formatCode="0">
                  <c:v>4.1977399999999996</c:v>
                </c:pt>
                <c:pt idx="644" formatCode="0">
                  <c:v>4.63788</c:v>
                </c:pt>
                <c:pt idx="645" formatCode="0">
                  <c:v>4.7890300000000003</c:v>
                </c:pt>
                <c:pt idx="646" formatCode="0">
                  <c:v>4.8412600000000001</c:v>
                </c:pt>
                <c:pt idx="647" formatCode="0">
                  <c:v>4.8078199999999995</c:v>
                </c:pt>
                <c:pt idx="648" formatCode="0">
                  <c:v>4.73855</c:v>
                </c:pt>
                <c:pt idx="649" formatCode="0">
                  <c:v>4.7855999999999996</c:v>
                </c:pt>
                <c:pt idx="650" formatCode="0">
                  <c:v>4.9527400000000004</c:v>
                </c:pt>
                <c:pt idx="651" formatCode="0">
                  <c:v>5.4088699999999994</c:v>
                </c:pt>
                <c:pt idx="652" formatCode="0">
                  <c:v>5.3898999999999999</c:v>
                </c:pt>
                <c:pt idx="653" formatCode="0">
                  <c:v>5.2365700000000004</c:v>
                </c:pt>
                <c:pt idx="654" formatCode="0">
                  <c:v>5.3180100000000001</c:v>
                </c:pt>
                <c:pt idx="655" formatCode="0">
                  <c:v>5.2132199999999997</c:v>
                </c:pt>
                <c:pt idx="656" formatCode="0">
                  <c:v>5.1463400000000004</c:v>
                </c:pt>
                <c:pt idx="657" formatCode="0">
                  <c:v>4.9389000000000003</c:v>
                </c:pt>
                <c:pt idx="658" formatCode="0">
                  <c:v>5.1148400000000001</c:v>
                </c:pt>
                <c:pt idx="659" formatCode="0">
                  <c:v>5.1189200000000001</c:v>
                </c:pt>
                <c:pt idx="660" formatCode="0">
                  <c:v>5.2837199999999998</c:v>
                </c:pt>
                <c:pt idx="661" formatCode="0">
                  <c:v>5.2995600000000005</c:v>
                </c:pt>
                <c:pt idx="662" formatCode="0">
                  <c:v>5.4538500000000001</c:v>
                </c:pt>
                <c:pt idx="663" formatCode="0">
                  <c:v>5.6324199999999998</c:v>
                </c:pt>
                <c:pt idx="664" formatCode="0">
                  <c:v>5.2377200000000004</c:v>
                </c:pt>
                <c:pt idx="665" formatCode="0">
                  <c:v>5.0782999999999996</c:v>
                </c:pt>
                <c:pt idx="666" formatCode="0">
                  <c:v>5.2457500000000001</c:v>
                </c:pt>
                <c:pt idx="667" formatCode="0">
                  <c:v>5.0895299999999999</c:v>
                </c:pt>
                <c:pt idx="668" formatCode="0">
                  <c:v>5.0949999999999998</c:v>
                </c:pt>
                <c:pt idx="669" formatCode="0">
                  <c:v>4.70451</c:v>
                </c:pt>
                <c:pt idx="670" formatCode="0">
                  <c:v>4.96882</c:v>
                </c:pt>
                <c:pt idx="671" formatCode="0">
                  <c:v>4.75725</c:v>
                </c:pt>
                <c:pt idx="672" formatCode="0">
                  <c:v>4.8079700000000001</c:v>
                </c:pt>
                <c:pt idx="673" formatCode="0">
                  <c:v>4.7795999999999994</c:v>
                </c:pt>
                <c:pt idx="674" formatCode="0">
                  <c:v>4.5970899999999997</c:v>
                </c:pt>
                <c:pt idx="675" formatCode="0">
                  <c:v>4.3731799999999996</c:v>
                </c:pt>
                <c:pt idx="676" formatCode="0">
                  <c:v>4.3946199999999997</c:v>
                </c:pt>
                <c:pt idx="677" formatCode="0">
                  <c:v>4.1852</c:v>
                </c:pt>
                <c:pt idx="678" formatCode="0">
                  <c:v>3.9567800000000002</c:v>
                </c:pt>
                <c:pt idx="679" formatCode="0">
                  <c:v>4.0672500000000005</c:v>
                </c:pt>
                <c:pt idx="680" formatCode="0">
                  <c:v>3.79819</c:v>
                </c:pt>
                <c:pt idx="681" formatCode="0">
                  <c:v>3.7847899999999997</c:v>
                </c:pt>
                <c:pt idx="682" formatCode="0">
                  <c:v>3.7833699999999997</c:v>
                </c:pt>
                <c:pt idx="683" formatCode="0">
                  <c:v>4.0354899999999994</c:v>
                </c:pt>
                <c:pt idx="684" formatCode="0">
                  <c:v>3.9374099999999999</c:v>
                </c:pt>
                <c:pt idx="685" formatCode="0">
                  <c:v>3.9226299999999998</c:v>
                </c:pt>
                <c:pt idx="686" formatCode="0">
                  <c:v>3.7184200000000001</c:v>
                </c:pt>
                <c:pt idx="687" formatCode="0">
                  <c:v>3.90978</c:v>
                </c:pt>
                <c:pt idx="688" formatCode="0">
                  <c:v>3.8184399999999998</c:v>
                </c:pt>
                <c:pt idx="689" formatCode="0">
                  <c:v>3.7583699999999998</c:v>
                </c:pt>
                <c:pt idx="690" formatCode="0">
                  <c:v>3.6977199999999999</c:v>
                </c:pt>
                <c:pt idx="691" formatCode="0">
                  <c:v>3.7601299999999998</c:v>
                </c:pt>
                <c:pt idx="692" formatCode="0">
                  <c:v>3.7218099999999996</c:v>
                </c:pt>
                <c:pt idx="693" formatCode="0">
                  <c:v>3.7218099999999996</c:v>
                </c:pt>
                <c:pt idx="694" formatCode="0">
                  <c:v>3.4706200000000003</c:v>
                </c:pt>
                <c:pt idx="695" formatCode="0">
                  <c:v>3.45044</c:v>
                </c:pt>
                <c:pt idx="696" formatCode="0">
                  <c:v>3.45106</c:v>
                </c:pt>
                <c:pt idx="697" formatCode="0">
                  <c:v>3.49878</c:v>
                </c:pt>
                <c:pt idx="698" formatCode="0">
                  <c:v>3.47885</c:v>
                </c:pt>
                <c:pt idx="699" formatCode="0">
                  <c:v>3.4102899999999998</c:v>
                </c:pt>
                <c:pt idx="700" formatCode="0">
                  <c:v>3.54149</c:v>
                </c:pt>
                <c:pt idx="701" formatCode="0">
                  <c:v>3.4414299999999995</c:v>
                </c:pt>
                <c:pt idx="702" formatCode="0">
                  <c:v>3.4404599999999999</c:v>
                </c:pt>
                <c:pt idx="703" formatCode="0">
                  <c:v>3.3342200000000002</c:v>
                </c:pt>
                <c:pt idx="704" formatCode="0">
                  <c:v>3.3930500000000001</c:v>
                </c:pt>
                <c:pt idx="705" formatCode="0">
                  <c:v>3.2556799999999999</c:v>
                </c:pt>
                <c:pt idx="706" formatCode="0">
                  <c:v>3.25339</c:v>
                </c:pt>
                <c:pt idx="707" formatCode="0">
                  <c:v>3.30118</c:v>
                </c:pt>
              </c:numCache>
            </c:numRef>
          </c:val>
          <c:smooth val="0"/>
          <c:extLst>
            <c:ext xmlns:c16="http://schemas.microsoft.com/office/drawing/2014/chart" uri="{C3380CC4-5D6E-409C-BE32-E72D297353CC}">
              <c16:uniqueId val="{00000005-F31E-4170-9322-6C48FF56580E}"/>
            </c:ext>
          </c:extLst>
        </c:ser>
        <c:dLbls>
          <c:showLegendKey val="0"/>
          <c:showVal val="0"/>
          <c:showCatName val="0"/>
          <c:showSerName val="0"/>
          <c:showPercent val="0"/>
          <c:showBubbleSize val="0"/>
        </c:dLbls>
        <c:marker val="1"/>
        <c:smooth val="0"/>
        <c:axId val="216963712"/>
        <c:axId val="216965504"/>
      </c:lineChart>
      <c:lineChart>
        <c:grouping val="standard"/>
        <c:varyColors val="0"/>
        <c:ser>
          <c:idx val="2"/>
          <c:order val="2"/>
          <c:tx>
            <c:strRef>
              <c:f>Sheet1!$D$1</c:f>
              <c:strCache>
                <c:ptCount val="1"/>
                <c:pt idx="0">
                  <c:v>Ռուսաստան (2029թ.), աջ առանցք</c:v>
                </c:pt>
              </c:strCache>
            </c:strRef>
          </c:tx>
          <c:spPr>
            <a:ln w="19050" cap="rnd">
              <a:solidFill>
                <a:srgbClr val="7030A0"/>
              </a:solidFill>
              <a:round/>
            </a:ln>
            <a:effectLst/>
          </c:spPr>
          <c:marker>
            <c:symbol val="none"/>
          </c:marker>
          <c:cat>
            <c:numRef>
              <c:f>Sheet1!$A$2:$A$971</c:f>
              <c:numCache>
                <c:formatCode>m\/d\/yyyy</c:formatCode>
                <c:ptCount val="709"/>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pt idx="639">
                  <c:v>44726</c:v>
                </c:pt>
                <c:pt idx="640">
                  <c:v>44727</c:v>
                </c:pt>
                <c:pt idx="641">
                  <c:v>44728</c:v>
                </c:pt>
                <c:pt idx="642">
                  <c:v>44729</c:v>
                </c:pt>
                <c:pt idx="643">
                  <c:v>44732</c:v>
                </c:pt>
                <c:pt idx="644">
                  <c:v>44733</c:v>
                </c:pt>
                <c:pt idx="645">
                  <c:v>44734</c:v>
                </c:pt>
                <c:pt idx="646">
                  <c:v>44735</c:v>
                </c:pt>
                <c:pt idx="647">
                  <c:v>44736</c:v>
                </c:pt>
                <c:pt idx="648">
                  <c:v>44739</c:v>
                </c:pt>
                <c:pt idx="649">
                  <c:v>44740</c:v>
                </c:pt>
                <c:pt idx="650">
                  <c:v>44741</c:v>
                </c:pt>
                <c:pt idx="651">
                  <c:v>44742</c:v>
                </c:pt>
                <c:pt idx="652">
                  <c:v>44743</c:v>
                </c:pt>
                <c:pt idx="653">
                  <c:v>44746</c:v>
                </c:pt>
                <c:pt idx="654">
                  <c:v>44747</c:v>
                </c:pt>
                <c:pt idx="655">
                  <c:v>44748</c:v>
                </c:pt>
                <c:pt idx="656">
                  <c:v>44749</c:v>
                </c:pt>
                <c:pt idx="657">
                  <c:v>44750</c:v>
                </c:pt>
                <c:pt idx="658">
                  <c:v>44753</c:v>
                </c:pt>
                <c:pt idx="659">
                  <c:v>44754</c:v>
                </c:pt>
                <c:pt idx="660">
                  <c:v>44755</c:v>
                </c:pt>
                <c:pt idx="661">
                  <c:v>44756</c:v>
                </c:pt>
                <c:pt idx="662">
                  <c:v>44757</c:v>
                </c:pt>
                <c:pt idx="663">
                  <c:v>44760</c:v>
                </c:pt>
                <c:pt idx="664">
                  <c:v>44761</c:v>
                </c:pt>
                <c:pt idx="665">
                  <c:v>44762</c:v>
                </c:pt>
                <c:pt idx="666">
                  <c:v>44763</c:v>
                </c:pt>
                <c:pt idx="667">
                  <c:v>44764</c:v>
                </c:pt>
                <c:pt idx="668">
                  <c:v>44767</c:v>
                </c:pt>
                <c:pt idx="669">
                  <c:v>44768</c:v>
                </c:pt>
                <c:pt idx="670">
                  <c:v>44769</c:v>
                </c:pt>
                <c:pt idx="671">
                  <c:v>44770</c:v>
                </c:pt>
                <c:pt idx="672">
                  <c:v>44771</c:v>
                </c:pt>
                <c:pt idx="673">
                  <c:v>44774</c:v>
                </c:pt>
                <c:pt idx="674">
                  <c:v>44775</c:v>
                </c:pt>
                <c:pt idx="675">
                  <c:v>44776</c:v>
                </c:pt>
                <c:pt idx="676">
                  <c:v>44777</c:v>
                </c:pt>
                <c:pt idx="677">
                  <c:v>44778</c:v>
                </c:pt>
                <c:pt idx="678">
                  <c:v>44781</c:v>
                </c:pt>
                <c:pt idx="679">
                  <c:v>44782</c:v>
                </c:pt>
                <c:pt idx="680">
                  <c:v>44783</c:v>
                </c:pt>
                <c:pt idx="681">
                  <c:v>44784</c:v>
                </c:pt>
                <c:pt idx="682">
                  <c:v>44785</c:v>
                </c:pt>
                <c:pt idx="683">
                  <c:v>44788</c:v>
                </c:pt>
                <c:pt idx="684">
                  <c:v>44789</c:v>
                </c:pt>
                <c:pt idx="685">
                  <c:v>44790</c:v>
                </c:pt>
                <c:pt idx="686">
                  <c:v>44791</c:v>
                </c:pt>
                <c:pt idx="687">
                  <c:v>44792</c:v>
                </c:pt>
                <c:pt idx="688">
                  <c:v>44795</c:v>
                </c:pt>
                <c:pt idx="689">
                  <c:v>44796</c:v>
                </c:pt>
                <c:pt idx="690">
                  <c:v>44797</c:v>
                </c:pt>
                <c:pt idx="691">
                  <c:v>44798</c:v>
                </c:pt>
                <c:pt idx="692">
                  <c:v>44799</c:v>
                </c:pt>
                <c:pt idx="693">
                  <c:v>44802</c:v>
                </c:pt>
                <c:pt idx="694">
                  <c:v>44803</c:v>
                </c:pt>
                <c:pt idx="695">
                  <c:v>44804</c:v>
                </c:pt>
                <c:pt idx="696">
                  <c:v>44805</c:v>
                </c:pt>
                <c:pt idx="697">
                  <c:v>44806</c:v>
                </c:pt>
                <c:pt idx="698">
                  <c:v>44809</c:v>
                </c:pt>
                <c:pt idx="699">
                  <c:v>44810</c:v>
                </c:pt>
                <c:pt idx="700">
                  <c:v>44811</c:v>
                </c:pt>
                <c:pt idx="701">
                  <c:v>44812</c:v>
                </c:pt>
                <c:pt idx="702">
                  <c:v>44813</c:v>
                </c:pt>
                <c:pt idx="703">
                  <c:v>44816</c:v>
                </c:pt>
                <c:pt idx="704">
                  <c:v>44817</c:v>
                </c:pt>
                <c:pt idx="705">
                  <c:v>44818</c:v>
                </c:pt>
                <c:pt idx="706">
                  <c:v>44819</c:v>
                </c:pt>
                <c:pt idx="707">
                  <c:v>44820</c:v>
                </c:pt>
              </c:numCache>
            </c:numRef>
          </c:cat>
          <c:val>
            <c:numRef>
              <c:f>Sheet1!$D$2:$D$971</c:f>
              <c:numCache>
                <c:formatCode>0</c:formatCode>
                <c:ptCount val="709"/>
                <c:pt idx="0">
                  <c:v>1.3247399999999998</c:v>
                </c:pt>
                <c:pt idx="1">
                  <c:v>1.40144</c:v>
                </c:pt>
                <c:pt idx="2">
                  <c:v>1.50546</c:v>
                </c:pt>
                <c:pt idx="3">
                  <c:v>1.5353600000000001</c:v>
                </c:pt>
                <c:pt idx="4">
                  <c:v>1.5143799999999998</c:v>
                </c:pt>
                <c:pt idx="5">
                  <c:v>1.44008</c:v>
                </c:pt>
                <c:pt idx="6">
                  <c:v>1.4420200000000001</c:v>
                </c:pt>
                <c:pt idx="7">
                  <c:v>1.46929</c:v>
                </c:pt>
                <c:pt idx="8">
                  <c:v>1.43933</c:v>
                </c:pt>
                <c:pt idx="9">
                  <c:v>1.4438499999999999</c:v>
                </c:pt>
                <c:pt idx="10">
                  <c:v>1.44577</c:v>
                </c:pt>
                <c:pt idx="11">
                  <c:v>1.4306899999999998</c:v>
                </c:pt>
                <c:pt idx="12">
                  <c:v>1.42808</c:v>
                </c:pt>
                <c:pt idx="13">
                  <c:v>1.42808</c:v>
                </c:pt>
                <c:pt idx="14">
                  <c:v>1.4672100000000001</c:v>
                </c:pt>
                <c:pt idx="15">
                  <c:v>1.4660499999999999</c:v>
                </c:pt>
                <c:pt idx="16">
                  <c:v>1.49962</c:v>
                </c:pt>
                <c:pt idx="17">
                  <c:v>1.5279099999999999</c:v>
                </c:pt>
                <c:pt idx="18">
                  <c:v>1.61374</c:v>
                </c:pt>
                <c:pt idx="19">
                  <c:v>1.5315700000000001</c:v>
                </c:pt>
                <c:pt idx="20">
                  <c:v>1.56091</c:v>
                </c:pt>
                <c:pt idx="21">
                  <c:v>1.5565899999999999</c:v>
                </c:pt>
                <c:pt idx="22">
                  <c:v>1.5356200000000002</c:v>
                </c:pt>
                <c:pt idx="23">
                  <c:v>1.5149600000000001</c:v>
                </c:pt>
                <c:pt idx="24">
                  <c:v>1.4829599999999998</c:v>
                </c:pt>
                <c:pt idx="25">
                  <c:v>1.4473500000000001</c:v>
                </c:pt>
                <c:pt idx="26">
                  <c:v>1.43703</c:v>
                </c:pt>
                <c:pt idx="27">
                  <c:v>1.4956299999999998</c:v>
                </c:pt>
                <c:pt idx="28">
                  <c:v>1.48898</c:v>
                </c:pt>
                <c:pt idx="29">
                  <c:v>1.39662</c:v>
                </c:pt>
                <c:pt idx="30">
                  <c:v>1.3622399999999999</c:v>
                </c:pt>
                <c:pt idx="31">
                  <c:v>1.38208</c:v>
                </c:pt>
                <c:pt idx="32">
                  <c:v>1.39832</c:v>
                </c:pt>
                <c:pt idx="33">
                  <c:v>1.39832</c:v>
                </c:pt>
                <c:pt idx="34">
                  <c:v>1.4331499999999999</c:v>
                </c:pt>
                <c:pt idx="35">
                  <c:v>1.4141699999999999</c:v>
                </c:pt>
                <c:pt idx="36">
                  <c:v>1.43207</c:v>
                </c:pt>
                <c:pt idx="37">
                  <c:v>1.43954</c:v>
                </c:pt>
                <c:pt idx="38">
                  <c:v>1.50623</c:v>
                </c:pt>
                <c:pt idx="39">
                  <c:v>1.5752999999999999</c:v>
                </c:pt>
                <c:pt idx="40">
                  <c:v>1.6184499999999999</c:v>
                </c:pt>
                <c:pt idx="41">
                  <c:v>1.76857</c:v>
                </c:pt>
                <c:pt idx="42">
                  <c:v>2.0748599999999997</c:v>
                </c:pt>
                <c:pt idx="43">
                  <c:v>2.0376099999999999</c:v>
                </c:pt>
                <c:pt idx="44">
                  <c:v>1.9768600000000001</c:v>
                </c:pt>
                <c:pt idx="45">
                  <c:v>1.77579</c:v>
                </c:pt>
                <c:pt idx="46">
                  <c:v>1.8447100000000001</c:v>
                </c:pt>
                <c:pt idx="47">
                  <c:v>2.01193</c:v>
                </c:pt>
                <c:pt idx="48">
                  <c:v>2.7907700000000002</c:v>
                </c:pt>
                <c:pt idx="49">
                  <c:v>2.47505</c:v>
                </c:pt>
                <c:pt idx="50">
                  <c:v>2.4031500000000001</c:v>
                </c:pt>
                <c:pt idx="51">
                  <c:v>3.0551999999999997</c:v>
                </c:pt>
                <c:pt idx="52">
                  <c:v>2.9277899999999999</c:v>
                </c:pt>
                <c:pt idx="53">
                  <c:v>3.2992300000000001</c:v>
                </c:pt>
                <c:pt idx="54">
                  <c:v>3.1200700000000001</c:v>
                </c:pt>
                <c:pt idx="55">
                  <c:v>3.9554</c:v>
                </c:pt>
                <c:pt idx="56">
                  <c:v>3.7013799999999999</c:v>
                </c:pt>
                <c:pt idx="57">
                  <c:v>3.58263</c:v>
                </c:pt>
                <c:pt idx="58">
                  <c:v>3.4088600000000002</c:v>
                </c:pt>
                <c:pt idx="59">
                  <c:v>2.97885</c:v>
                </c:pt>
                <c:pt idx="60">
                  <c:v>2.7663500000000001</c:v>
                </c:pt>
                <c:pt idx="61">
                  <c:v>2.6994899999999999</c:v>
                </c:pt>
                <c:pt idx="62">
                  <c:v>2.9344900000000003</c:v>
                </c:pt>
                <c:pt idx="63">
                  <c:v>3.13266</c:v>
                </c:pt>
                <c:pt idx="64">
                  <c:v>2.99274</c:v>
                </c:pt>
                <c:pt idx="65">
                  <c:v>3.1303899999999998</c:v>
                </c:pt>
                <c:pt idx="66">
                  <c:v>2.94733</c:v>
                </c:pt>
                <c:pt idx="67">
                  <c:v>2.74376</c:v>
                </c:pt>
                <c:pt idx="68">
                  <c:v>2.5863400000000003</c:v>
                </c:pt>
                <c:pt idx="69">
                  <c:v>2.4793600000000002</c:v>
                </c:pt>
                <c:pt idx="70">
                  <c:v>2.5715499999999998</c:v>
                </c:pt>
                <c:pt idx="71">
                  <c:v>2.4576599999999997</c:v>
                </c:pt>
                <c:pt idx="72">
                  <c:v>2.4576599999999997</c:v>
                </c:pt>
                <c:pt idx="73">
                  <c:v>2.4511699999999998</c:v>
                </c:pt>
                <c:pt idx="74">
                  <c:v>2.4200299999999997</c:v>
                </c:pt>
                <c:pt idx="75">
                  <c:v>2.6402899999999998</c:v>
                </c:pt>
                <c:pt idx="76">
                  <c:v>2.6068700000000002</c:v>
                </c:pt>
                <c:pt idx="77">
                  <c:v>2.6244099999999997</c:v>
                </c:pt>
                <c:pt idx="78">
                  <c:v>2.7016100000000001</c:v>
                </c:pt>
                <c:pt idx="79">
                  <c:v>2.8557199999999998</c:v>
                </c:pt>
                <c:pt idx="80">
                  <c:v>2.7662200000000001</c:v>
                </c:pt>
                <c:pt idx="81">
                  <c:v>2.7085199999999996</c:v>
                </c:pt>
                <c:pt idx="82">
                  <c:v>2.7084100000000002</c:v>
                </c:pt>
                <c:pt idx="83">
                  <c:v>2.6855700000000002</c:v>
                </c:pt>
                <c:pt idx="84">
                  <c:v>2.75678</c:v>
                </c:pt>
                <c:pt idx="85">
                  <c:v>2.69225</c:v>
                </c:pt>
                <c:pt idx="86">
                  <c:v>2.68282</c:v>
                </c:pt>
                <c:pt idx="87">
                  <c:v>2.6942000000000004</c:v>
                </c:pt>
                <c:pt idx="88">
                  <c:v>2.7035899999999997</c:v>
                </c:pt>
                <c:pt idx="89">
                  <c:v>2.6272500000000001</c:v>
                </c:pt>
                <c:pt idx="90">
                  <c:v>2.6064499999999997</c:v>
                </c:pt>
                <c:pt idx="91">
                  <c:v>2.59355</c:v>
                </c:pt>
                <c:pt idx="92">
                  <c:v>2.593</c:v>
                </c:pt>
                <c:pt idx="93">
                  <c:v>2.5167099999999998</c:v>
                </c:pt>
                <c:pt idx="94">
                  <c:v>2.5040399999999998</c:v>
                </c:pt>
                <c:pt idx="95">
                  <c:v>2.5200399999999998</c:v>
                </c:pt>
                <c:pt idx="96">
                  <c:v>2.5570200000000001</c:v>
                </c:pt>
                <c:pt idx="97">
                  <c:v>2.4447000000000001</c:v>
                </c:pt>
                <c:pt idx="98">
                  <c:v>2.2584399999999998</c:v>
                </c:pt>
                <c:pt idx="99">
                  <c:v>2.1884000000000001</c:v>
                </c:pt>
                <c:pt idx="100">
                  <c:v>2.0825200000000001</c:v>
                </c:pt>
                <c:pt idx="101">
                  <c:v>2.0173700000000001</c:v>
                </c:pt>
                <c:pt idx="102">
                  <c:v>2.0758399999999999</c:v>
                </c:pt>
                <c:pt idx="103">
                  <c:v>2.0758399999999999</c:v>
                </c:pt>
                <c:pt idx="104">
                  <c:v>1.9949299999999999</c:v>
                </c:pt>
                <c:pt idx="105">
                  <c:v>2.0340500000000001</c:v>
                </c:pt>
                <c:pt idx="106">
                  <c:v>1.9878200000000001</c:v>
                </c:pt>
                <c:pt idx="107">
                  <c:v>2.0442</c:v>
                </c:pt>
                <c:pt idx="108">
                  <c:v>2.0224600000000001</c:v>
                </c:pt>
                <c:pt idx="109">
                  <c:v>1.98329</c:v>
                </c:pt>
                <c:pt idx="110">
                  <c:v>1.91553</c:v>
                </c:pt>
                <c:pt idx="111">
                  <c:v>1.9045799999999999</c:v>
                </c:pt>
                <c:pt idx="112">
                  <c:v>1.8913599999999999</c:v>
                </c:pt>
                <c:pt idx="113">
                  <c:v>1.9625999999999999</c:v>
                </c:pt>
                <c:pt idx="114">
                  <c:v>2.0119500000000001</c:v>
                </c:pt>
                <c:pt idx="115">
                  <c:v>2.08683</c:v>
                </c:pt>
                <c:pt idx="116">
                  <c:v>2.31793</c:v>
                </c:pt>
                <c:pt idx="117">
                  <c:v>2.2505299999999999</c:v>
                </c:pt>
                <c:pt idx="118">
                  <c:v>2.2153399999999999</c:v>
                </c:pt>
                <c:pt idx="119">
                  <c:v>2.0764900000000002</c:v>
                </c:pt>
                <c:pt idx="120">
                  <c:v>2.11104</c:v>
                </c:pt>
                <c:pt idx="121">
                  <c:v>2.1487400000000001</c:v>
                </c:pt>
                <c:pt idx="122">
                  <c:v>2.1382699999999999</c:v>
                </c:pt>
                <c:pt idx="123">
                  <c:v>2.10433</c:v>
                </c:pt>
                <c:pt idx="124">
                  <c:v>2.0664199999999999</c:v>
                </c:pt>
                <c:pt idx="125">
                  <c:v>2.12303</c:v>
                </c:pt>
                <c:pt idx="126">
                  <c:v>2.1618200000000001</c:v>
                </c:pt>
                <c:pt idx="127">
                  <c:v>2.1880099999999998</c:v>
                </c:pt>
                <c:pt idx="128">
                  <c:v>2.2537199999999999</c:v>
                </c:pt>
                <c:pt idx="129">
                  <c:v>2.28647</c:v>
                </c:pt>
                <c:pt idx="130">
                  <c:v>2.2131699999999999</c:v>
                </c:pt>
                <c:pt idx="131">
                  <c:v>2.1997900000000001</c:v>
                </c:pt>
                <c:pt idx="132">
                  <c:v>2.1997900000000001</c:v>
                </c:pt>
                <c:pt idx="133">
                  <c:v>2.2124299999999999</c:v>
                </c:pt>
                <c:pt idx="134">
                  <c:v>2.26389</c:v>
                </c:pt>
                <c:pt idx="135">
                  <c:v>2.2381000000000002</c:v>
                </c:pt>
                <c:pt idx="136">
                  <c:v>2.2364099999999998</c:v>
                </c:pt>
                <c:pt idx="137">
                  <c:v>2.2084000000000001</c:v>
                </c:pt>
                <c:pt idx="138">
                  <c:v>2.2086000000000001</c:v>
                </c:pt>
                <c:pt idx="139">
                  <c:v>2.2390600000000003</c:v>
                </c:pt>
                <c:pt idx="140">
                  <c:v>2.1969099999999999</c:v>
                </c:pt>
                <c:pt idx="141">
                  <c:v>2.20939</c:v>
                </c:pt>
                <c:pt idx="142">
                  <c:v>2.1715399999999998</c:v>
                </c:pt>
                <c:pt idx="143">
                  <c:v>2.2107900000000003</c:v>
                </c:pt>
                <c:pt idx="144">
                  <c:v>2.2041200000000001</c:v>
                </c:pt>
                <c:pt idx="145">
                  <c:v>2.20824</c:v>
                </c:pt>
                <c:pt idx="146">
                  <c:v>2.1807699999999999</c:v>
                </c:pt>
                <c:pt idx="147">
                  <c:v>2.2106399999999997</c:v>
                </c:pt>
                <c:pt idx="148">
                  <c:v>2.17693</c:v>
                </c:pt>
                <c:pt idx="149">
                  <c:v>2.2048199999999998</c:v>
                </c:pt>
                <c:pt idx="150">
                  <c:v>2.1784699999999999</c:v>
                </c:pt>
                <c:pt idx="151">
                  <c:v>2.23671</c:v>
                </c:pt>
                <c:pt idx="152">
                  <c:v>2.2338200000000001</c:v>
                </c:pt>
                <c:pt idx="153">
                  <c:v>2.1708400000000001</c:v>
                </c:pt>
                <c:pt idx="154">
                  <c:v>2.1478600000000001</c:v>
                </c:pt>
                <c:pt idx="155">
                  <c:v>2.0402</c:v>
                </c:pt>
                <c:pt idx="156">
                  <c:v>1.9876099999999999</c:v>
                </c:pt>
                <c:pt idx="157">
                  <c:v>1.9840100000000001</c:v>
                </c:pt>
                <c:pt idx="158">
                  <c:v>1.9269399999999999</c:v>
                </c:pt>
                <c:pt idx="159">
                  <c:v>1.84877</c:v>
                </c:pt>
                <c:pt idx="160">
                  <c:v>1.8714</c:v>
                </c:pt>
                <c:pt idx="161">
                  <c:v>1.85361</c:v>
                </c:pt>
                <c:pt idx="162">
                  <c:v>1.9384800000000002</c:v>
                </c:pt>
                <c:pt idx="163">
                  <c:v>2.0399700000000003</c:v>
                </c:pt>
                <c:pt idx="164">
                  <c:v>2.01898</c:v>
                </c:pt>
                <c:pt idx="165">
                  <c:v>2.01505</c:v>
                </c:pt>
                <c:pt idx="166">
                  <c:v>2.0614599999999998</c:v>
                </c:pt>
                <c:pt idx="167">
                  <c:v>2.0742500000000001</c:v>
                </c:pt>
                <c:pt idx="168">
                  <c:v>2.0559799999999999</c:v>
                </c:pt>
                <c:pt idx="169">
                  <c:v>2.01878</c:v>
                </c:pt>
                <c:pt idx="170">
                  <c:v>2.0402100000000001</c:v>
                </c:pt>
                <c:pt idx="171">
                  <c:v>1.96261</c:v>
                </c:pt>
                <c:pt idx="172">
                  <c:v>1.98078</c:v>
                </c:pt>
                <c:pt idx="173">
                  <c:v>1.99451</c:v>
                </c:pt>
                <c:pt idx="174">
                  <c:v>1.9737899999999999</c:v>
                </c:pt>
                <c:pt idx="175">
                  <c:v>1.9961099999999998</c:v>
                </c:pt>
                <c:pt idx="176">
                  <c:v>2.0407199999999999</c:v>
                </c:pt>
                <c:pt idx="177">
                  <c:v>2.0041700000000002</c:v>
                </c:pt>
                <c:pt idx="178">
                  <c:v>2.0041700000000002</c:v>
                </c:pt>
                <c:pt idx="179">
                  <c:v>2.0642300000000002</c:v>
                </c:pt>
                <c:pt idx="180">
                  <c:v>2.0187499999999998</c:v>
                </c:pt>
                <c:pt idx="181">
                  <c:v>2.0317599999999998</c:v>
                </c:pt>
                <c:pt idx="182">
                  <c:v>2.0192899999999998</c:v>
                </c:pt>
                <c:pt idx="183">
                  <c:v>2.0308000000000002</c:v>
                </c:pt>
                <c:pt idx="184">
                  <c:v>2.0043299999999999</c:v>
                </c:pt>
                <c:pt idx="185">
                  <c:v>1.9706000000000001</c:v>
                </c:pt>
                <c:pt idx="186">
                  <c:v>1.9903</c:v>
                </c:pt>
                <c:pt idx="187">
                  <c:v>1.9814699999999998</c:v>
                </c:pt>
                <c:pt idx="188">
                  <c:v>2.0707300000000002</c:v>
                </c:pt>
                <c:pt idx="189">
                  <c:v>2.0661</c:v>
                </c:pt>
                <c:pt idx="190">
                  <c:v>2.0547300000000002</c:v>
                </c:pt>
                <c:pt idx="191">
                  <c:v>2.0929099999999998</c:v>
                </c:pt>
                <c:pt idx="192">
                  <c:v>2.0826199999999999</c:v>
                </c:pt>
                <c:pt idx="193">
                  <c:v>2.0806999999999998</c:v>
                </c:pt>
                <c:pt idx="194">
                  <c:v>2.0755300000000001</c:v>
                </c:pt>
                <c:pt idx="195">
                  <c:v>2.0034899999999998</c:v>
                </c:pt>
                <c:pt idx="196">
                  <c:v>1.9554400000000001</c:v>
                </c:pt>
                <c:pt idx="197">
                  <c:v>1.95445</c:v>
                </c:pt>
                <c:pt idx="198">
                  <c:v>1.8916300000000001</c:v>
                </c:pt>
                <c:pt idx="199">
                  <c:v>1.9213900000000002</c:v>
                </c:pt>
                <c:pt idx="200">
                  <c:v>1.8979300000000001</c:v>
                </c:pt>
                <c:pt idx="201">
                  <c:v>1.8681000000000001</c:v>
                </c:pt>
                <c:pt idx="202">
                  <c:v>1.8281100000000001</c:v>
                </c:pt>
                <c:pt idx="203">
                  <c:v>1.8281100000000001</c:v>
                </c:pt>
                <c:pt idx="204">
                  <c:v>1.8578399999999999</c:v>
                </c:pt>
                <c:pt idx="205">
                  <c:v>1.8691300000000002</c:v>
                </c:pt>
                <c:pt idx="206">
                  <c:v>1.8526400000000001</c:v>
                </c:pt>
                <c:pt idx="207">
                  <c:v>1.8231600000000001</c:v>
                </c:pt>
                <c:pt idx="208">
                  <c:v>1.7922</c:v>
                </c:pt>
                <c:pt idx="209">
                  <c:v>1.8059700000000001</c:v>
                </c:pt>
                <c:pt idx="210">
                  <c:v>1.7870900000000001</c:v>
                </c:pt>
                <c:pt idx="211">
                  <c:v>1.7709000000000001</c:v>
                </c:pt>
                <c:pt idx="212">
                  <c:v>1.77817</c:v>
                </c:pt>
                <c:pt idx="213">
                  <c:v>1.83097</c:v>
                </c:pt>
                <c:pt idx="214">
                  <c:v>1.86833</c:v>
                </c:pt>
                <c:pt idx="215">
                  <c:v>1.9171500000000001</c:v>
                </c:pt>
                <c:pt idx="216">
                  <c:v>1.92201</c:v>
                </c:pt>
                <c:pt idx="217">
                  <c:v>1.9257599999999999</c:v>
                </c:pt>
                <c:pt idx="218">
                  <c:v>1.9764200000000001</c:v>
                </c:pt>
                <c:pt idx="219">
                  <c:v>1.9072800000000001</c:v>
                </c:pt>
                <c:pt idx="220">
                  <c:v>1.9178500000000001</c:v>
                </c:pt>
                <c:pt idx="221">
                  <c:v>1.8323700000000001</c:v>
                </c:pt>
                <c:pt idx="222">
                  <c:v>1.8064799999999999</c:v>
                </c:pt>
                <c:pt idx="223">
                  <c:v>1.6763699999999999</c:v>
                </c:pt>
                <c:pt idx="224">
                  <c:v>1.68357</c:v>
                </c:pt>
                <c:pt idx="225">
                  <c:v>1.68357</c:v>
                </c:pt>
                <c:pt idx="226">
                  <c:v>1.7498199999999999</c:v>
                </c:pt>
                <c:pt idx="227">
                  <c:v>1.7228700000000001</c:v>
                </c:pt>
                <c:pt idx="228">
                  <c:v>1.7077199999999999</c:v>
                </c:pt>
                <c:pt idx="229">
                  <c:v>1.74498</c:v>
                </c:pt>
                <c:pt idx="230">
                  <c:v>1.7219399999999998</c:v>
                </c:pt>
                <c:pt idx="231">
                  <c:v>1.76732</c:v>
                </c:pt>
                <c:pt idx="232">
                  <c:v>1.7758400000000001</c:v>
                </c:pt>
                <c:pt idx="233">
                  <c:v>1.75</c:v>
                </c:pt>
                <c:pt idx="234">
                  <c:v>1.7283999999999999</c:v>
                </c:pt>
                <c:pt idx="235">
                  <c:v>1.73078</c:v>
                </c:pt>
                <c:pt idx="236">
                  <c:v>1.73078</c:v>
                </c:pt>
                <c:pt idx="237">
                  <c:v>1.7551599999999998</c:v>
                </c:pt>
                <c:pt idx="238">
                  <c:v>1.7507400000000002</c:v>
                </c:pt>
                <c:pt idx="239">
                  <c:v>1.66689</c:v>
                </c:pt>
                <c:pt idx="240">
                  <c:v>1.67736</c:v>
                </c:pt>
                <c:pt idx="241">
                  <c:v>1.6849100000000001</c:v>
                </c:pt>
                <c:pt idx="242">
                  <c:v>1.64147</c:v>
                </c:pt>
                <c:pt idx="243">
                  <c:v>1.6657200000000001</c:v>
                </c:pt>
                <c:pt idx="244">
                  <c:v>1.6618600000000001</c:v>
                </c:pt>
                <c:pt idx="245">
                  <c:v>1.6368799999999999</c:v>
                </c:pt>
                <c:pt idx="246">
                  <c:v>1.6526799999999999</c:v>
                </c:pt>
                <c:pt idx="247">
                  <c:v>1.6472800000000001</c:v>
                </c:pt>
                <c:pt idx="248">
                  <c:v>1.6465700000000001</c:v>
                </c:pt>
                <c:pt idx="249">
                  <c:v>1.6063099999999999</c:v>
                </c:pt>
                <c:pt idx="250">
                  <c:v>1.5825200000000001</c:v>
                </c:pt>
                <c:pt idx="251">
                  <c:v>1.5449299999999999</c:v>
                </c:pt>
                <c:pt idx="252">
                  <c:v>1.5337499999999999</c:v>
                </c:pt>
                <c:pt idx="253">
                  <c:v>1.5483799999999999</c:v>
                </c:pt>
                <c:pt idx="254">
                  <c:v>1.5717300000000001</c:v>
                </c:pt>
                <c:pt idx="255">
                  <c:v>1.5571700000000002</c:v>
                </c:pt>
                <c:pt idx="256">
                  <c:v>1.5604199999999999</c:v>
                </c:pt>
                <c:pt idx="257">
                  <c:v>1.5604199999999999</c:v>
                </c:pt>
                <c:pt idx="258">
                  <c:v>1.5606800000000001</c:v>
                </c:pt>
                <c:pt idx="259">
                  <c:v>1.5461600000000002</c:v>
                </c:pt>
                <c:pt idx="260">
                  <c:v>1.5545599999999999</c:v>
                </c:pt>
                <c:pt idx="261">
                  <c:v>1.5704</c:v>
                </c:pt>
                <c:pt idx="262">
                  <c:v>1.5704</c:v>
                </c:pt>
                <c:pt idx="263">
                  <c:v>1.57775</c:v>
                </c:pt>
                <c:pt idx="264">
                  <c:v>1.5427000000000002</c:v>
                </c:pt>
                <c:pt idx="265">
                  <c:v>1.52275</c:v>
                </c:pt>
                <c:pt idx="266">
                  <c:v>1.52033</c:v>
                </c:pt>
                <c:pt idx="267">
                  <c:v>1.47475</c:v>
                </c:pt>
                <c:pt idx="268">
                  <c:v>1.44834</c:v>
                </c:pt>
                <c:pt idx="269">
                  <c:v>1.49393</c:v>
                </c:pt>
                <c:pt idx="270">
                  <c:v>1.5072099999999999</c:v>
                </c:pt>
                <c:pt idx="271">
                  <c:v>1.47333</c:v>
                </c:pt>
                <c:pt idx="272">
                  <c:v>1.5119300000000002</c:v>
                </c:pt>
                <c:pt idx="273">
                  <c:v>1.5119300000000002</c:v>
                </c:pt>
                <c:pt idx="274">
                  <c:v>1.50441</c:v>
                </c:pt>
                <c:pt idx="275">
                  <c:v>1.4999400000000001</c:v>
                </c:pt>
                <c:pt idx="276">
                  <c:v>1.52745</c:v>
                </c:pt>
                <c:pt idx="277">
                  <c:v>1.6343299999999998</c:v>
                </c:pt>
                <c:pt idx="278">
                  <c:v>1.6593199999999999</c:v>
                </c:pt>
                <c:pt idx="279">
                  <c:v>1.63537</c:v>
                </c:pt>
                <c:pt idx="280">
                  <c:v>1.63351</c:v>
                </c:pt>
                <c:pt idx="281">
                  <c:v>1.5980799999999999</c:v>
                </c:pt>
                <c:pt idx="282">
                  <c:v>1.56409</c:v>
                </c:pt>
                <c:pt idx="283">
                  <c:v>1.5402699999999998</c:v>
                </c:pt>
                <c:pt idx="284">
                  <c:v>1.51607</c:v>
                </c:pt>
                <c:pt idx="285">
                  <c:v>1.5063599999999999</c:v>
                </c:pt>
                <c:pt idx="286">
                  <c:v>1.4890600000000001</c:v>
                </c:pt>
                <c:pt idx="287">
                  <c:v>1.4672499999999999</c:v>
                </c:pt>
                <c:pt idx="288">
                  <c:v>1.4636600000000002</c:v>
                </c:pt>
                <c:pt idx="289">
                  <c:v>1.4684899999999999</c:v>
                </c:pt>
                <c:pt idx="290">
                  <c:v>1.4879</c:v>
                </c:pt>
                <c:pt idx="291">
                  <c:v>1.4524900000000001</c:v>
                </c:pt>
                <c:pt idx="292">
                  <c:v>1.4291</c:v>
                </c:pt>
                <c:pt idx="293">
                  <c:v>1.4291</c:v>
                </c:pt>
                <c:pt idx="294">
                  <c:v>1.3878999999999999</c:v>
                </c:pt>
                <c:pt idx="295">
                  <c:v>1.4252899999999999</c:v>
                </c:pt>
                <c:pt idx="296">
                  <c:v>1.3995</c:v>
                </c:pt>
                <c:pt idx="297">
                  <c:v>1.3574700000000002</c:v>
                </c:pt>
                <c:pt idx="298">
                  <c:v>1.3830199999999999</c:v>
                </c:pt>
                <c:pt idx="299">
                  <c:v>1.4208000000000001</c:v>
                </c:pt>
                <c:pt idx="300">
                  <c:v>1.41639</c:v>
                </c:pt>
                <c:pt idx="301">
                  <c:v>1.4009800000000001</c:v>
                </c:pt>
                <c:pt idx="302">
                  <c:v>1.4613800000000001</c:v>
                </c:pt>
                <c:pt idx="303">
                  <c:v>1.4351099999999999</c:v>
                </c:pt>
                <c:pt idx="304">
                  <c:v>1.49549</c:v>
                </c:pt>
                <c:pt idx="305">
                  <c:v>1.4585400000000002</c:v>
                </c:pt>
                <c:pt idx="306">
                  <c:v>1.3838599999999999</c:v>
                </c:pt>
                <c:pt idx="307">
                  <c:v>1.51742</c:v>
                </c:pt>
                <c:pt idx="308">
                  <c:v>1.6020599999999998</c:v>
                </c:pt>
                <c:pt idx="309">
                  <c:v>1.6284200000000002</c:v>
                </c:pt>
                <c:pt idx="310">
                  <c:v>1.63541</c:v>
                </c:pt>
                <c:pt idx="311">
                  <c:v>1.5646700000000002</c:v>
                </c:pt>
                <c:pt idx="312">
                  <c:v>1.56603</c:v>
                </c:pt>
                <c:pt idx="313">
                  <c:v>1.554</c:v>
                </c:pt>
                <c:pt idx="314">
                  <c:v>1.52569</c:v>
                </c:pt>
                <c:pt idx="315">
                  <c:v>1.6037999999999999</c:v>
                </c:pt>
                <c:pt idx="316">
                  <c:v>1.6123699999999999</c:v>
                </c:pt>
                <c:pt idx="317">
                  <c:v>1.5640799999999999</c:v>
                </c:pt>
                <c:pt idx="318">
                  <c:v>1.58518</c:v>
                </c:pt>
                <c:pt idx="319">
                  <c:v>1.71549</c:v>
                </c:pt>
                <c:pt idx="320">
                  <c:v>1.7296799999999999</c:v>
                </c:pt>
                <c:pt idx="321">
                  <c:v>1.7278200000000001</c:v>
                </c:pt>
                <c:pt idx="322">
                  <c:v>1.71329</c:v>
                </c:pt>
                <c:pt idx="323">
                  <c:v>1.6836600000000002</c:v>
                </c:pt>
                <c:pt idx="324">
                  <c:v>1.7421899999999999</c:v>
                </c:pt>
                <c:pt idx="325">
                  <c:v>1.6875</c:v>
                </c:pt>
                <c:pt idx="326">
                  <c:v>1.7315499999999999</c:v>
                </c:pt>
                <c:pt idx="327">
                  <c:v>1.7357900000000002</c:v>
                </c:pt>
                <c:pt idx="328">
                  <c:v>1.69095</c:v>
                </c:pt>
                <c:pt idx="329">
                  <c:v>1.7832699999999999</c:v>
                </c:pt>
                <c:pt idx="330">
                  <c:v>1.8034600000000001</c:v>
                </c:pt>
                <c:pt idx="331">
                  <c:v>1.7924799999999999</c:v>
                </c:pt>
                <c:pt idx="332">
                  <c:v>1.77186</c:v>
                </c:pt>
                <c:pt idx="333">
                  <c:v>1.7687899999999999</c:v>
                </c:pt>
                <c:pt idx="334">
                  <c:v>1.8213499999999998</c:v>
                </c:pt>
                <c:pt idx="335">
                  <c:v>1.7431299999999998</c:v>
                </c:pt>
                <c:pt idx="336">
                  <c:v>1.8027899999999999</c:v>
                </c:pt>
                <c:pt idx="337">
                  <c:v>1.6542400000000002</c:v>
                </c:pt>
                <c:pt idx="338">
                  <c:v>1.6408699999999998</c:v>
                </c:pt>
                <c:pt idx="339">
                  <c:v>1.7435</c:v>
                </c:pt>
                <c:pt idx="340">
                  <c:v>1.6930400000000001</c:v>
                </c:pt>
                <c:pt idx="341">
                  <c:v>1.57413</c:v>
                </c:pt>
                <c:pt idx="342">
                  <c:v>1.5563399999999998</c:v>
                </c:pt>
                <c:pt idx="343">
                  <c:v>1.5631999999999999</c:v>
                </c:pt>
                <c:pt idx="344">
                  <c:v>1.53382</c:v>
                </c:pt>
                <c:pt idx="345">
                  <c:v>1.5103</c:v>
                </c:pt>
                <c:pt idx="346">
                  <c:v>1.47153</c:v>
                </c:pt>
                <c:pt idx="347">
                  <c:v>1.47404</c:v>
                </c:pt>
                <c:pt idx="348">
                  <c:v>1.4964</c:v>
                </c:pt>
                <c:pt idx="349">
                  <c:v>1.5140799999999999</c:v>
                </c:pt>
                <c:pt idx="350">
                  <c:v>1.50983</c:v>
                </c:pt>
                <c:pt idx="351">
                  <c:v>1.4808600000000001</c:v>
                </c:pt>
                <c:pt idx="352">
                  <c:v>1.4900100000000001</c:v>
                </c:pt>
                <c:pt idx="353">
                  <c:v>1.49773</c:v>
                </c:pt>
                <c:pt idx="354">
                  <c:v>1.51911</c:v>
                </c:pt>
                <c:pt idx="355">
                  <c:v>1.49017</c:v>
                </c:pt>
                <c:pt idx="356">
                  <c:v>1.5426</c:v>
                </c:pt>
                <c:pt idx="357">
                  <c:v>1.5043700000000002</c:v>
                </c:pt>
                <c:pt idx="358">
                  <c:v>1.5013399999999999</c:v>
                </c:pt>
                <c:pt idx="359">
                  <c:v>1.51173</c:v>
                </c:pt>
                <c:pt idx="360">
                  <c:v>1.5115499999999999</c:v>
                </c:pt>
                <c:pt idx="361">
                  <c:v>1.5203100000000001</c:v>
                </c:pt>
                <c:pt idx="362">
                  <c:v>1.51396</c:v>
                </c:pt>
                <c:pt idx="363">
                  <c:v>1.5280199999999999</c:v>
                </c:pt>
                <c:pt idx="364">
                  <c:v>1.5603399999999998</c:v>
                </c:pt>
                <c:pt idx="365">
                  <c:v>1.5297000000000001</c:v>
                </c:pt>
                <c:pt idx="366">
                  <c:v>1.4770400000000001</c:v>
                </c:pt>
                <c:pt idx="367">
                  <c:v>1.47525</c:v>
                </c:pt>
                <c:pt idx="368">
                  <c:v>1.47525</c:v>
                </c:pt>
                <c:pt idx="369">
                  <c:v>1.4589500000000002</c:v>
                </c:pt>
                <c:pt idx="370">
                  <c:v>1.4725999999999999</c:v>
                </c:pt>
                <c:pt idx="371">
                  <c:v>1.4422200000000001</c:v>
                </c:pt>
                <c:pt idx="372">
                  <c:v>1.50349</c:v>
                </c:pt>
                <c:pt idx="373">
                  <c:v>1.46756</c:v>
                </c:pt>
                <c:pt idx="374">
                  <c:v>1.4811000000000001</c:v>
                </c:pt>
                <c:pt idx="375">
                  <c:v>1.4438800000000001</c:v>
                </c:pt>
                <c:pt idx="376">
                  <c:v>1.46732</c:v>
                </c:pt>
                <c:pt idx="377">
                  <c:v>1.4501400000000002</c:v>
                </c:pt>
                <c:pt idx="378">
                  <c:v>1.4246399999999999</c:v>
                </c:pt>
                <c:pt idx="379">
                  <c:v>1.4402900000000001</c:v>
                </c:pt>
                <c:pt idx="380">
                  <c:v>1.39045</c:v>
                </c:pt>
                <c:pt idx="381">
                  <c:v>1.4483699999999999</c:v>
                </c:pt>
                <c:pt idx="382">
                  <c:v>1.48451</c:v>
                </c:pt>
                <c:pt idx="383">
                  <c:v>1.4570799999999999</c:v>
                </c:pt>
                <c:pt idx="384">
                  <c:v>1.4803600000000001</c:v>
                </c:pt>
                <c:pt idx="385">
                  <c:v>1.4464900000000001</c:v>
                </c:pt>
                <c:pt idx="386">
                  <c:v>1.4716499999999999</c:v>
                </c:pt>
                <c:pt idx="387">
                  <c:v>1.4471499999999999</c:v>
                </c:pt>
                <c:pt idx="388">
                  <c:v>1.4866900000000001</c:v>
                </c:pt>
                <c:pt idx="389">
                  <c:v>1.48153</c:v>
                </c:pt>
                <c:pt idx="390">
                  <c:v>1.5049399999999999</c:v>
                </c:pt>
                <c:pt idx="391">
                  <c:v>1.4943299999999999</c:v>
                </c:pt>
                <c:pt idx="392">
                  <c:v>1.5293100000000002</c:v>
                </c:pt>
                <c:pt idx="393">
                  <c:v>1.5293100000000002</c:v>
                </c:pt>
                <c:pt idx="394">
                  <c:v>1.5996700000000001</c:v>
                </c:pt>
                <c:pt idx="395">
                  <c:v>1.6170599999999999</c:v>
                </c:pt>
                <c:pt idx="396">
                  <c:v>1.62965</c:v>
                </c:pt>
                <c:pt idx="397">
                  <c:v>1.5629599999999999</c:v>
                </c:pt>
                <c:pt idx="398">
                  <c:v>1.5537999999999998</c:v>
                </c:pt>
                <c:pt idx="399">
                  <c:v>1.5165700000000002</c:v>
                </c:pt>
                <c:pt idx="400">
                  <c:v>1.54809</c:v>
                </c:pt>
                <c:pt idx="401">
                  <c:v>1.5899000000000001</c:v>
                </c:pt>
                <c:pt idx="402">
                  <c:v>1.58165</c:v>
                </c:pt>
                <c:pt idx="403">
                  <c:v>1.6872</c:v>
                </c:pt>
                <c:pt idx="404">
                  <c:v>1.6249799999999999</c:v>
                </c:pt>
                <c:pt idx="405">
                  <c:v>1.5474100000000002</c:v>
                </c:pt>
                <c:pt idx="406">
                  <c:v>1.5451900000000001</c:v>
                </c:pt>
                <c:pt idx="407">
                  <c:v>1.5587</c:v>
                </c:pt>
                <c:pt idx="408">
                  <c:v>1.55202</c:v>
                </c:pt>
                <c:pt idx="409">
                  <c:v>1.5765799999999999</c:v>
                </c:pt>
                <c:pt idx="410">
                  <c:v>1.55087</c:v>
                </c:pt>
                <c:pt idx="411">
                  <c:v>1.5267299999999999</c:v>
                </c:pt>
                <c:pt idx="412">
                  <c:v>1.55891</c:v>
                </c:pt>
                <c:pt idx="413">
                  <c:v>1.5595500000000002</c:v>
                </c:pt>
                <c:pt idx="414">
                  <c:v>1.5522399999999998</c:v>
                </c:pt>
                <c:pt idx="415">
                  <c:v>1.4927699999999999</c:v>
                </c:pt>
                <c:pt idx="416">
                  <c:v>1.44662</c:v>
                </c:pt>
                <c:pt idx="417">
                  <c:v>1.4071</c:v>
                </c:pt>
                <c:pt idx="418">
                  <c:v>1.3780000000000001</c:v>
                </c:pt>
                <c:pt idx="419">
                  <c:v>1.33575</c:v>
                </c:pt>
                <c:pt idx="420">
                  <c:v>1.38809</c:v>
                </c:pt>
                <c:pt idx="421">
                  <c:v>1.3552500000000001</c:v>
                </c:pt>
                <c:pt idx="422">
                  <c:v>1.4059899999999999</c:v>
                </c:pt>
                <c:pt idx="423">
                  <c:v>1.41232</c:v>
                </c:pt>
                <c:pt idx="424">
                  <c:v>1.4078600000000001</c:v>
                </c:pt>
                <c:pt idx="425">
                  <c:v>1.3962700000000001</c:v>
                </c:pt>
                <c:pt idx="426">
                  <c:v>1.4147399999999999</c:v>
                </c:pt>
                <c:pt idx="427">
                  <c:v>1.39639</c:v>
                </c:pt>
                <c:pt idx="428">
                  <c:v>1.4097300000000001</c:v>
                </c:pt>
                <c:pt idx="429">
                  <c:v>1.3674700000000002</c:v>
                </c:pt>
                <c:pt idx="430">
                  <c:v>1.34077</c:v>
                </c:pt>
                <c:pt idx="431">
                  <c:v>1.33534</c:v>
                </c:pt>
                <c:pt idx="432">
                  <c:v>1.35826</c:v>
                </c:pt>
                <c:pt idx="433">
                  <c:v>1.3730000000000002</c:v>
                </c:pt>
                <c:pt idx="434">
                  <c:v>1.3620400000000001</c:v>
                </c:pt>
                <c:pt idx="435">
                  <c:v>1.3635499999999998</c:v>
                </c:pt>
                <c:pt idx="436">
                  <c:v>1.3577699999999999</c:v>
                </c:pt>
                <c:pt idx="437">
                  <c:v>1.33287</c:v>
                </c:pt>
                <c:pt idx="438">
                  <c:v>1.33287</c:v>
                </c:pt>
                <c:pt idx="439">
                  <c:v>1.2988599999999999</c:v>
                </c:pt>
                <c:pt idx="440">
                  <c:v>1.29653</c:v>
                </c:pt>
                <c:pt idx="441">
                  <c:v>1.3119100000000001</c:v>
                </c:pt>
                <c:pt idx="442">
                  <c:v>1.2716500000000002</c:v>
                </c:pt>
                <c:pt idx="443">
                  <c:v>1.27189</c:v>
                </c:pt>
                <c:pt idx="444">
                  <c:v>1.2758499999999999</c:v>
                </c:pt>
                <c:pt idx="445">
                  <c:v>1.24132</c:v>
                </c:pt>
                <c:pt idx="446">
                  <c:v>1.2259</c:v>
                </c:pt>
                <c:pt idx="447">
                  <c:v>1.2153</c:v>
                </c:pt>
                <c:pt idx="448">
                  <c:v>1.26936</c:v>
                </c:pt>
                <c:pt idx="449">
                  <c:v>1.2588299999999999</c:v>
                </c:pt>
                <c:pt idx="450">
                  <c:v>1.2582</c:v>
                </c:pt>
                <c:pt idx="451">
                  <c:v>1.19638</c:v>
                </c:pt>
                <c:pt idx="452">
                  <c:v>1.22343</c:v>
                </c:pt>
                <c:pt idx="453">
                  <c:v>1.23688</c:v>
                </c:pt>
                <c:pt idx="454">
                  <c:v>1.2734699999999999</c:v>
                </c:pt>
                <c:pt idx="455">
                  <c:v>1.2652700000000001</c:v>
                </c:pt>
                <c:pt idx="456">
                  <c:v>1.29694</c:v>
                </c:pt>
                <c:pt idx="457">
                  <c:v>1.3347200000000001</c:v>
                </c:pt>
                <c:pt idx="458">
                  <c:v>1.3669399999999998</c:v>
                </c:pt>
                <c:pt idx="459">
                  <c:v>1.3573500000000001</c:v>
                </c:pt>
                <c:pt idx="460">
                  <c:v>1.36436</c:v>
                </c:pt>
                <c:pt idx="461">
                  <c:v>1.2940100000000001</c:v>
                </c:pt>
                <c:pt idx="462">
                  <c:v>1.2567200000000001</c:v>
                </c:pt>
                <c:pt idx="463">
                  <c:v>1.2567200000000001</c:v>
                </c:pt>
                <c:pt idx="464">
                  <c:v>1.2646200000000001</c:v>
                </c:pt>
                <c:pt idx="465">
                  <c:v>1.2642800000000001</c:v>
                </c:pt>
                <c:pt idx="466">
                  <c:v>1.2705299999999999</c:v>
                </c:pt>
                <c:pt idx="467">
                  <c:v>1.2429300000000001</c:v>
                </c:pt>
                <c:pt idx="468">
                  <c:v>1.21682</c:v>
                </c:pt>
                <c:pt idx="469">
                  <c:v>1.21492</c:v>
                </c:pt>
                <c:pt idx="470">
                  <c:v>1.1950700000000001</c:v>
                </c:pt>
                <c:pt idx="471">
                  <c:v>1.16896</c:v>
                </c:pt>
                <c:pt idx="472">
                  <c:v>1.2071499999999999</c:v>
                </c:pt>
                <c:pt idx="473">
                  <c:v>1.2222299999999999</c:v>
                </c:pt>
                <c:pt idx="474">
                  <c:v>1.2177100000000001</c:v>
                </c:pt>
                <c:pt idx="475">
                  <c:v>1.2745</c:v>
                </c:pt>
                <c:pt idx="476">
                  <c:v>1.27779</c:v>
                </c:pt>
                <c:pt idx="477">
                  <c:v>1.2773999999999999</c:v>
                </c:pt>
                <c:pt idx="478">
                  <c:v>1.29043</c:v>
                </c:pt>
                <c:pt idx="479">
                  <c:v>1.2807400000000002</c:v>
                </c:pt>
                <c:pt idx="480">
                  <c:v>1.2381599999999999</c:v>
                </c:pt>
                <c:pt idx="481">
                  <c:v>1.27949</c:v>
                </c:pt>
                <c:pt idx="482">
                  <c:v>1.3022399999999998</c:v>
                </c:pt>
                <c:pt idx="483">
                  <c:v>1.2585</c:v>
                </c:pt>
                <c:pt idx="484">
                  <c:v>1.27321</c:v>
                </c:pt>
                <c:pt idx="485">
                  <c:v>1.18953</c:v>
                </c:pt>
                <c:pt idx="486">
                  <c:v>1.18953</c:v>
                </c:pt>
                <c:pt idx="487">
                  <c:v>1.21068</c:v>
                </c:pt>
                <c:pt idx="488">
                  <c:v>1.2643</c:v>
                </c:pt>
                <c:pt idx="489">
                  <c:v>1.2593399999999999</c:v>
                </c:pt>
                <c:pt idx="490">
                  <c:v>1.2918700000000001</c:v>
                </c:pt>
                <c:pt idx="491">
                  <c:v>1.3054599999999998</c:v>
                </c:pt>
                <c:pt idx="492">
                  <c:v>1.3629800000000001</c:v>
                </c:pt>
                <c:pt idx="493">
                  <c:v>1.3967599999999998</c:v>
                </c:pt>
                <c:pt idx="494">
                  <c:v>1.4699</c:v>
                </c:pt>
                <c:pt idx="495">
                  <c:v>1.4911500000000002</c:v>
                </c:pt>
                <c:pt idx="496">
                  <c:v>1.4911500000000002</c:v>
                </c:pt>
                <c:pt idx="497">
                  <c:v>1.6608699999999998</c:v>
                </c:pt>
                <c:pt idx="498">
                  <c:v>1.5893899999999999</c:v>
                </c:pt>
                <c:pt idx="499">
                  <c:v>1.52719</c:v>
                </c:pt>
                <c:pt idx="500">
                  <c:v>1.4960300000000002</c:v>
                </c:pt>
                <c:pt idx="501">
                  <c:v>1.4163300000000001</c:v>
                </c:pt>
                <c:pt idx="502">
                  <c:v>1.4584800000000002</c:v>
                </c:pt>
                <c:pt idx="503">
                  <c:v>1.39751</c:v>
                </c:pt>
                <c:pt idx="504">
                  <c:v>1.40537</c:v>
                </c:pt>
                <c:pt idx="505">
                  <c:v>1.37798</c:v>
                </c:pt>
                <c:pt idx="506">
                  <c:v>1.4124100000000002</c:v>
                </c:pt>
                <c:pt idx="507">
                  <c:v>1.4399100000000002</c:v>
                </c:pt>
                <c:pt idx="508">
                  <c:v>1.47763</c:v>
                </c:pt>
                <c:pt idx="509">
                  <c:v>1.4702999999999999</c:v>
                </c:pt>
                <c:pt idx="510">
                  <c:v>1.4891099999999999</c:v>
                </c:pt>
                <c:pt idx="511">
                  <c:v>1.5709899999999999</c:v>
                </c:pt>
                <c:pt idx="512">
                  <c:v>1.5992900000000001</c:v>
                </c:pt>
                <c:pt idx="513">
                  <c:v>1.6089099999999998</c:v>
                </c:pt>
                <c:pt idx="514">
                  <c:v>1.5732400000000002</c:v>
                </c:pt>
                <c:pt idx="515">
                  <c:v>1.5978600000000001</c:v>
                </c:pt>
                <c:pt idx="516">
                  <c:v>1.5697800000000002</c:v>
                </c:pt>
                <c:pt idx="517">
                  <c:v>1.5697800000000002</c:v>
                </c:pt>
                <c:pt idx="518">
                  <c:v>1.57823</c:v>
                </c:pt>
                <c:pt idx="519">
                  <c:v>1.5748900000000001</c:v>
                </c:pt>
                <c:pt idx="520">
                  <c:v>1.54802</c:v>
                </c:pt>
                <c:pt idx="521">
                  <c:v>1.5444399999999998</c:v>
                </c:pt>
                <c:pt idx="522">
                  <c:v>1.55732</c:v>
                </c:pt>
                <c:pt idx="523">
                  <c:v>1.4782300000000002</c:v>
                </c:pt>
                <c:pt idx="524">
                  <c:v>1.48299</c:v>
                </c:pt>
                <c:pt idx="525">
                  <c:v>1.4617800000000001</c:v>
                </c:pt>
                <c:pt idx="526">
                  <c:v>1.51203</c:v>
                </c:pt>
                <c:pt idx="527">
                  <c:v>1.5059</c:v>
                </c:pt>
                <c:pt idx="528">
                  <c:v>1.54654</c:v>
                </c:pt>
                <c:pt idx="529">
                  <c:v>1.57064</c:v>
                </c:pt>
                <c:pt idx="530">
                  <c:v>1.5987100000000001</c:v>
                </c:pt>
                <c:pt idx="531">
                  <c:v>1.8741300000000001</c:v>
                </c:pt>
                <c:pt idx="532">
                  <c:v>1.9750000000000001</c:v>
                </c:pt>
                <c:pt idx="533">
                  <c:v>1.9750000000000001</c:v>
                </c:pt>
                <c:pt idx="534">
                  <c:v>2.2095599999999997</c:v>
                </c:pt>
                <c:pt idx="535">
                  <c:v>2.1490299999999998</c:v>
                </c:pt>
                <c:pt idx="536">
                  <c:v>2.4245399999999999</c:v>
                </c:pt>
                <c:pt idx="537">
                  <c:v>2.3997200000000003</c:v>
                </c:pt>
                <c:pt idx="538">
                  <c:v>2.8786299999999998</c:v>
                </c:pt>
                <c:pt idx="539">
                  <c:v>2.8717899999999998</c:v>
                </c:pt>
                <c:pt idx="540">
                  <c:v>2.8089900000000001</c:v>
                </c:pt>
                <c:pt idx="541">
                  <c:v>2.6088799999999996</c:v>
                </c:pt>
                <c:pt idx="542">
                  <c:v>2.7577400000000001</c:v>
                </c:pt>
                <c:pt idx="543">
                  <c:v>2.8376900000000003</c:v>
                </c:pt>
                <c:pt idx="544">
                  <c:v>2.71469</c:v>
                </c:pt>
                <c:pt idx="545">
                  <c:v>2.4061400000000002</c:v>
                </c:pt>
                <c:pt idx="546">
                  <c:v>2.3709600000000002</c:v>
                </c:pt>
                <c:pt idx="547">
                  <c:v>2.3053499999999998</c:v>
                </c:pt>
                <c:pt idx="548">
                  <c:v>2.3210500000000001</c:v>
                </c:pt>
                <c:pt idx="549">
                  <c:v>2.2819500000000001</c:v>
                </c:pt>
                <c:pt idx="550">
                  <c:v>2.17652</c:v>
                </c:pt>
                <c:pt idx="551">
                  <c:v>2.1073500000000003</c:v>
                </c:pt>
                <c:pt idx="552">
                  <c:v>2.3452799999999998</c:v>
                </c:pt>
                <c:pt idx="553">
                  <c:v>2.6619999999999999</c:v>
                </c:pt>
                <c:pt idx="554">
                  <c:v>2.3808600000000002</c:v>
                </c:pt>
                <c:pt idx="555">
                  <c:v>2.28396</c:v>
                </c:pt>
                <c:pt idx="556">
                  <c:v>2.65882</c:v>
                </c:pt>
                <c:pt idx="557">
                  <c:v>2.8821099999999999</c:v>
                </c:pt>
                <c:pt idx="558">
                  <c:v>2.8821099999999999</c:v>
                </c:pt>
                <c:pt idx="559">
                  <c:v>3.7015800000000003</c:v>
                </c:pt>
                <c:pt idx="560">
                  <c:v>4.7587099999999998</c:v>
                </c:pt>
                <c:pt idx="561">
                  <c:v>14.798889999999998</c:v>
                </c:pt>
                <c:pt idx="562">
                  <c:v>7.14764</c:v>
                </c:pt>
                <c:pt idx="563">
                  <c:v>20.996640000000003</c:v>
                </c:pt>
                <c:pt idx="564">
                  <c:v>32.262830000000001</c:v>
                </c:pt>
                <c:pt idx="565">
                  <c:v>32.262830000000001</c:v>
                </c:pt>
                <c:pt idx="566">
                  <c:v>32.262830000000001</c:v>
                </c:pt>
                <c:pt idx="567">
                  <c:v>32.262830000000001</c:v>
                </c:pt>
                <c:pt idx="568">
                  <c:v>32.262830000000001</c:v>
                </c:pt>
                <c:pt idx="569">
                  <c:v>32.262830000000001</c:v>
                </c:pt>
                <c:pt idx="570">
                  <c:v>32.262830000000001</c:v>
                </c:pt>
                <c:pt idx="571">
                  <c:v>32.262830000000001</c:v>
                </c:pt>
                <c:pt idx="572">
                  <c:v>32.262830000000001</c:v>
                </c:pt>
                <c:pt idx="573">
                  <c:v>32.262830000000001</c:v>
                </c:pt>
                <c:pt idx="574">
                  <c:v>32.262830000000001</c:v>
                </c:pt>
                <c:pt idx="575">
                  <c:v>32.262830000000001</c:v>
                </c:pt>
                <c:pt idx="576">
                  <c:v>32.262830000000001</c:v>
                </c:pt>
                <c:pt idx="577">
                  <c:v>32.262830000000001</c:v>
                </c:pt>
                <c:pt idx="578">
                  <c:v>32.262830000000001</c:v>
                </c:pt>
                <c:pt idx="579">
                  <c:v>32.262830000000001</c:v>
                </c:pt>
                <c:pt idx="580">
                  <c:v>44.633950000000006</c:v>
                </c:pt>
                <c:pt idx="581">
                  <c:v>51.533180000000002</c:v>
                </c:pt>
                <c:pt idx="582">
                  <c:v>42.420609999999996</c:v>
                </c:pt>
                <c:pt idx="583">
                  <c:v>39.155909999999999</c:v>
                </c:pt>
                <c:pt idx="584">
                  <c:v>37.419499999999999</c:v>
                </c:pt>
                <c:pt idx="585">
                  <c:v>36.554169999999999</c:v>
                </c:pt>
                <c:pt idx="586">
                  <c:v>36.751619999999996</c:v>
                </c:pt>
                <c:pt idx="587">
                  <c:v>36.149630000000002</c:v>
                </c:pt>
                <c:pt idx="588">
                  <c:v>36.560830000000003</c:v>
                </c:pt>
                <c:pt idx="589">
                  <c:v>38.288890000000002</c:v>
                </c:pt>
                <c:pt idx="590">
                  <c:v>37.625869999999999</c:v>
                </c:pt>
                <c:pt idx="591">
                  <c:v>42.437539999999998</c:v>
                </c:pt>
                <c:pt idx="592">
                  <c:v>37.560270000000003</c:v>
                </c:pt>
                <c:pt idx="593">
                  <c:v>37.835639999999998</c:v>
                </c:pt>
                <c:pt idx="594">
                  <c:v>37.696739999999998</c:v>
                </c:pt>
                <c:pt idx="595">
                  <c:v>37.719619999999999</c:v>
                </c:pt>
                <c:pt idx="596">
                  <c:v>39.912040000000005</c:v>
                </c:pt>
                <c:pt idx="597">
                  <c:v>39.381060000000005</c:v>
                </c:pt>
                <c:pt idx="598">
                  <c:v>39.42165</c:v>
                </c:pt>
                <c:pt idx="599">
                  <c:v>39.559870000000004</c:v>
                </c:pt>
                <c:pt idx="600">
                  <c:v>39.600590000000004</c:v>
                </c:pt>
                <c:pt idx="601">
                  <c:v>38.558050000000001</c:v>
                </c:pt>
                <c:pt idx="602">
                  <c:v>40.798949999999998</c:v>
                </c:pt>
                <c:pt idx="603">
                  <c:v>39.058669999999999</c:v>
                </c:pt>
                <c:pt idx="604">
                  <c:v>41.060850000000002</c:v>
                </c:pt>
                <c:pt idx="605">
                  <c:v>42.250579999999999</c:v>
                </c:pt>
                <c:pt idx="606">
                  <c:v>41.235339999999994</c:v>
                </c:pt>
                <c:pt idx="607">
                  <c:v>37.402680000000004</c:v>
                </c:pt>
                <c:pt idx="608">
                  <c:v>37.148519999999998</c:v>
                </c:pt>
                <c:pt idx="609">
                  <c:v>38.39479</c:v>
                </c:pt>
                <c:pt idx="610">
                  <c:v>37.309950000000001</c:v>
                </c:pt>
                <c:pt idx="611">
                  <c:v>37.163499999999999</c:v>
                </c:pt>
                <c:pt idx="612">
                  <c:v>37.086860000000001</c:v>
                </c:pt>
                <c:pt idx="613">
                  <c:v>37.279820000000001</c:v>
                </c:pt>
                <c:pt idx="614">
                  <c:v>37.49335</c:v>
                </c:pt>
                <c:pt idx="615">
                  <c:v>37.545000000000002</c:v>
                </c:pt>
                <c:pt idx="616">
                  <c:v>38.52608</c:v>
                </c:pt>
                <c:pt idx="617">
                  <c:v>39.828870000000002</c:v>
                </c:pt>
                <c:pt idx="618">
                  <c:v>40.04495</c:v>
                </c:pt>
                <c:pt idx="619">
                  <c:v>40.047269999999997</c:v>
                </c:pt>
                <c:pt idx="620">
                  <c:v>48.844409999999996</c:v>
                </c:pt>
                <c:pt idx="621">
                  <c:v>45.607759999999999</c:v>
                </c:pt>
                <c:pt idx="622">
                  <c:v>44.913649999999997</c:v>
                </c:pt>
                <c:pt idx="623">
                  <c:v>43.54421</c:v>
                </c:pt>
                <c:pt idx="624">
                  <c:v>42.319830000000003</c:v>
                </c:pt>
                <c:pt idx="625">
                  <c:v>42.274309999999993</c:v>
                </c:pt>
                <c:pt idx="626">
                  <c:v>43.221000000000004</c:v>
                </c:pt>
                <c:pt idx="627">
                  <c:v>37.344229999999996</c:v>
                </c:pt>
                <c:pt idx="628">
                  <c:v>36.346179999999997</c:v>
                </c:pt>
                <c:pt idx="629">
                  <c:v>35.071799999999996</c:v>
                </c:pt>
                <c:pt idx="630">
                  <c:v>32.874569999999999</c:v>
                </c:pt>
                <c:pt idx="631">
                  <c:v>33.088830000000002</c:v>
                </c:pt>
                <c:pt idx="632">
                  <c:v>33.071210000000001</c:v>
                </c:pt>
                <c:pt idx="633">
                  <c:v>35.811109999999999</c:v>
                </c:pt>
                <c:pt idx="634">
                  <c:v>41.41601</c:v>
                </c:pt>
                <c:pt idx="635">
                  <c:v>41.601589999999995</c:v>
                </c:pt>
                <c:pt idx="636">
                  <c:v>42.522770000000001</c:v>
                </c:pt>
                <c:pt idx="637">
                  <c:v>42.325240000000001</c:v>
                </c:pt>
                <c:pt idx="638">
                  <c:v>42.0075</c:v>
                </c:pt>
                <c:pt idx="639">
                  <c:v>42.052259999999997</c:v>
                </c:pt>
                <c:pt idx="640">
                  <c:v>42.330119999999994</c:v>
                </c:pt>
                <c:pt idx="641">
                  <c:v>42.476099999999995</c:v>
                </c:pt>
                <c:pt idx="642">
                  <c:v>34.021509999999999</c:v>
                </c:pt>
                <c:pt idx="643">
                  <c:v>31.00094</c:v>
                </c:pt>
                <c:pt idx="644">
                  <c:v>33.238550000000004</c:v>
                </c:pt>
                <c:pt idx="645">
                  <c:v>36.239940000000004</c:v>
                </c:pt>
                <c:pt idx="646">
                  <c:v>35.848420000000004</c:v>
                </c:pt>
                <c:pt idx="647">
                  <c:v>35.684380000000004</c:v>
                </c:pt>
                <c:pt idx="648">
                  <c:v>35.519449999999999</c:v>
                </c:pt>
                <c:pt idx="649">
                  <c:v>34.7986</c:v>
                </c:pt>
                <c:pt idx="650">
                  <c:v>34.89087</c:v>
                </c:pt>
                <c:pt idx="651">
                  <c:v>30.343240000000002</c:v>
                </c:pt>
                <c:pt idx="652">
                  <c:v>30.491010000000003</c:v>
                </c:pt>
                <c:pt idx="653">
                  <c:v>29.880050000000001</c:v>
                </c:pt>
                <c:pt idx="654">
                  <c:v>30.516069999999999</c:v>
                </c:pt>
                <c:pt idx="655">
                  <c:v>29.38843</c:v>
                </c:pt>
                <c:pt idx="656">
                  <c:v>29.168780000000002</c:v>
                </c:pt>
                <c:pt idx="657">
                  <c:v>26.011260000000004</c:v>
                </c:pt>
                <c:pt idx="658">
                  <c:v>25.365410000000001</c:v>
                </c:pt>
                <c:pt idx="659">
                  <c:v>25.292260000000002</c:v>
                </c:pt>
                <c:pt idx="660">
                  <c:v>25.21819</c:v>
                </c:pt>
                <c:pt idx="661">
                  <c:v>24.657179999999997</c:v>
                </c:pt>
                <c:pt idx="662">
                  <c:v>24.677510000000002</c:v>
                </c:pt>
                <c:pt idx="663">
                  <c:v>23.620900000000002</c:v>
                </c:pt>
                <c:pt idx="664">
                  <c:v>23.38805</c:v>
                </c:pt>
                <c:pt idx="665">
                  <c:v>22.659420000000001</c:v>
                </c:pt>
                <c:pt idx="666">
                  <c:v>21.595030000000001</c:v>
                </c:pt>
                <c:pt idx="667">
                  <c:v>21.212289999999999</c:v>
                </c:pt>
                <c:pt idx="668">
                  <c:v>20.51304</c:v>
                </c:pt>
                <c:pt idx="669">
                  <c:v>19.581579999999999</c:v>
                </c:pt>
                <c:pt idx="670">
                  <c:v>19.257280000000002</c:v>
                </c:pt>
                <c:pt idx="671">
                  <c:v>18.805160000000001</c:v>
                </c:pt>
                <c:pt idx="672">
                  <c:v>19.269580000000001</c:v>
                </c:pt>
                <c:pt idx="673">
                  <c:v>18.58896</c:v>
                </c:pt>
                <c:pt idx="674">
                  <c:v>18.03098</c:v>
                </c:pt>
                <c:pt idx="675">
                  <c:v>18.208159999999999</c:v>
                </c:pt>
                <c:pt idx="676">
                  <c:v>17.29731</c:v>
                </c:pt>
                <c:pt idx="677">
                  <c:v>16.910070000000001</c:v>
                </c:pt>
                <c:pt idx="678">
                  <c:v>17.016639999999999</c:v>
                </c:pt>
                <c:pt idx="679">
                  <c:v>16.4953</c:v>
                </c:pt>
                <c:pt idx="680">
                  <c:v>16.334019999999999</c:v>
                </c:pt>
                <c:pt idx="681">
                  <c:v>16.78069</c:v>
                </c:pt>
                <c:pt idx="682">
                  <c:v>16.936360000000001</c:v>
                </c:pt>
                <c:pt idx="683">
                  <c:v>16.132000000000001</c:v>
                </c:pt>
                <c:pt idx="684">
                  <c:v>16.447970000000002</c:v>
                </c:pt>
                <c:pt idx="685">
                  <c:v>16.073640000000001</c:v>
                </c:pt>
                <c:pt idx="686">
                  <c:v>16.32704</c:v>
                </c:pt>
                <c:pt idx="687">
                  <c:v>16.286239999999999</c:v>
                </c:pt>
                <c:pt idx="688">
                  <c:v>16.180260000000001</c:v>
                </c:pt>
                <c:pt idx="689">
                  <c:v>16.134370000000001</c:v>
                </c:pt>
                <c:pt idx="690">
                  <c:v>16.252480000000002</c:v>
                </c:pt>
                <c:pt idx="691">
                  <c:v>16.448450000000001</c:v>
                </c:pt>
                <c:pt idx="692">
                  <c:v>16.43806</c:v>
                </c:pt>
                <c:pt idx="693">
                  <c:v>16.32283</c:v>
                </c:pt>
                <c:pt idx="694">
                  <c:v>16.722159999999999</c:v>
                </c:pt>
                <c:pt idx="695">
                  <c:v>16.612770000000001</c:v>
                </c:pt>
                <c:pt idx="696">
                  <c:v>16.640560000000001</c:v>
                </c:pt>
                <c:pt idx="697">
                  <c:v>16.765060000000002</c:v>
                </c:pt>
                <c:pt idx="698">
                  <c:v>16.75084</c:v>
                </c:pt>
                <c:pt idx="699">
                  <c:v>16.609960000000001</c:v>
                </c:pt>
                <c:pt idx="700">
                  <c:v>16.048970000000001</c:v>
                </c:pt>
                <c:pt idx="701">
                  <c:v>15.96003</c:v>
                </c:pt>
                <c:pt idx="702">
                  <c:v>16.545999999999999</c:v>
                </c:pt>
                <c:pt idx="703">
                  <c:v>16.085080000000001</c:v>
                </c:pt>
                <c:pt idx="704">
                  <c:v>16.00095</c:v>
                </c:pt>
                <c:pt idx="705">
                  <c:v>16.252089999999999</c:v>
                </c:pt>
                <c:pt idx="706">
                  <c:v>16.506270000000001</c:v>
                </c:pt>
                <c:pt idx="707">
                  <c:v>16.599450000000001</c:v>
                </c:pt>
              </c:numCache>
            </c:numRef>
          </c:val>
          <c:smooth val="0"/>
          <c:extLst>
            <c:ext xmlns:c16="http://schemas.microsoft.com/office/drawing/2014/chart" uri="{C3380CC4-5D6E-409C-BE32-E72D297353CC}">
              <c16:uniqueId val="{00000006-F31E-4170-9322-6C48FF56580E}"/>
            </c:ext>
          </c:extLst>
        </c:ser>
        <c:ser>
          <c:idx val="6"/>
          <c:order val="6"/>
          <c:tx>
            <c:strRef>
              <c:f>Sheet1!$H$1</c:f>
              <c:strCache>
                <c:ptCount val="1"/>
                <c:pt idx="0">
                  <c:v>Բելառուս (2031թ.), աջ առանցք</c:v>
                </c:pt>
              </c:strCache>
            </c:strRef>
          </c:tx>
          <c:spPr>
            <a:ln w="19050" cap="rnd">
              <a:solidFill>
                <a:schemeClr val="accent1">
                  <a:lumMod val="60000"/>
                </a:schemeClr>
              </a:solidFill>
              <a:round/>
            </a:ln>
            <a:effectLst/>
          </c:spPr>
          <c:marker>
            <c:symbol val="none"/>
          </c:marker>
          <c:cat>
            <c:numRef>
              <c:f>Sheet1!$A$2:$A$971</c:f>
              <c:numCache>
                <c:formatCode>m\/d\/yyyy</c:formatCode>
                <c:ptCount val="709"/>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pt idx="639">
                  <c:v>44726</c:v>
                </c:pt>
                <c:pt idx="640">
                  <c:v>44727</c:v>
                </c:pt>
                <c:pt idx="641">
                  <c:v>44728</c:v>
                </c:pt>
                <c:pt idx="642">
                  <c:v>44729</c:v>
                </c:pt>
                <c:pt idx="643">
                  <c:v>44732</c:v>
                </c:pt>
                <c:pt idx="644">
                  <c:v>44733</c:v>
                </c:pt>
                <c:pt idx="645">
                  <c:v>44734</c:v>
                </c:pt>
                <c:pt idx="646">
                  <c:v>44735</c:v>
                </c:pt>
                <c:pt idx="647">
                  <c:v>44736</c:v>
                </c:pt>
                <c:pt idx="648">
                  <c:v>44739</c:v>
                </c:pt>
                <c:pt idx="649">
                  <c:v>44740</c:v>
                </c:pt>
                <c:pt idx="650">
                  <c:v>44741</c:v>
                </c:pt>
                <c:pt idx="651">
                  <c:v>44742</c:v>
                </c:pt>
                <c:pt idx="652">
                  <c:v>44743</c:v>
                </c:pt>
                <c:pt idx="653">
                  <c:v>44746</c:v>
                </c:pt>
                <c:pt idx="654">
                  <c:v>44747</c:v>
                </c:pt>
                <c:pt idx="655">
                  <c:v>44748</c:v>
                </c:pt>
                <c:pt idx="656">
                  <c:v>44749</c:v>
                </c:pt>
                <c:pt idx="657">
                  <c:v>44750</c:v>
                </c:pt>
                <c:pt idx="658">
                  <c:v>44753</c:v>
                </c:pt>
                <c:pt idx="659">
                  <c:v>44754</c:v>
                </c:pt>
                <c:pt idx="660">
                  <c:v>44755</c:v>
                </c:pt>
                <c:pt idx="661">
                  <c:v>44756</c:v>
                </c:pt>
                <c:pt idx="662">
                  <c:v>44757</c:v>
                </c:pt>
                <c:pt idx="663">
                  <c:v>44760</c:v>
                </c:pt>
                <c:pt idx="664">
                  <c:v>44761</c:v>
                </c:pt>
                <c:pt idx="665">
                  <c:v>44762</c:v>
                </c:pt>
                <c:pt idx="666">
                  <c:v>44763</c:v>
                </c:pt>
                <c:pt idx="667">
                  <c:v>44764</c:v>
                </c:pt>
                <c:pt idx="668">
                  <c:v>44767</c:v>
                </c:pt>
                <c:pt idx="669">
                  <c:v>44768</c:v>
                </c:pt>
                <c:pt idx="670">
                  <c:v>44769</c:v>
                </c:pt>
                <c:pt idx="671">
                  <c:v>44770</c:v>
                </c:pt>
                <c:pt idx="672">
                  <c:v>44771</c:v>
                </c:pt>
                <c:pt idx="673">
                  <c:v>44774</c:v>
                </c:pt>
                <c:pt idx="674">
                  <c:v>44775</c:v>
                </c:pt>
                <c:pt idx="675">
                  <c:v>44776</c:v>
                </c:pt>
                <c:pt idx="676">
                  <c:v>44777</c:v>
                </c:pt>
                <c:pt idx="677">
                  <c:v>44778</c:v>
                </c:pt>
                <c:pt idx="678">
                  <c:v>44781</c:v>
                </c:pt>
                <c:pt idx="679">
                  <c:v>44782</c:v>
                </c:pt>
                <c:pt idx="680">
                  <c:v>44783</c:v>
                </c:pt>
                <c:pt idx="681">
                  <c:v>44784</c:v>
                </c:pt>
                <c:pt idx="682">
                  <c:v>44785</c:v>
                </c:pt>
                <c:pt idx="683">
                  <c:v>44788</c:v>
                </c:pt>
                <c:pt idx="684">
                  <c:v>44789</c:v>
                </c:pt>
                <c:pt idx="685">
                  <c:v>44790</c:v>
                </c:pt>
                <c:pt idx="686">
                  <c:v>44791</c:v>
                </c:pt>
                <c:pt idx="687">
                  <c:v>44792</c:v>
                </c:pt>
                <c:pt idx="688">
                  <c:v>44795</c:v>
                </c:pt>
                <c:pt idx="689">
                  <c:v>44796</c:v>
                </c:pt>
                <c:pt idx="690">
                  <c:v>44797</c:v>
                </c:pt>
                <c:pt idx="691">
                  <c:v>44798</c:v>
                </c:pt>
                <c:pt idx="692">
                  <c:v>44799</c:v>
                </c:pt>
                <c:pt idx="693">
                  <c:v>44802</c:v>
                </c:pt>
                <c:pt idx="694">
                  <c:v>44803</c:v>
                </c:pt>
                <c:pt idx="695">
                  <c:v>44804</c:v>
                </c:pt>
                <c:pt idx="696">
                  <c:v>44805</c:v>
                </c:pt>
                <c:pt idx="697">
                  <c:v>44806</c:v>
                </c:pt>
                <c:pt idx="698">
                  <c:v>44809</c:v>
                </c:pt>
                <c:pt idx="699">
                  <c:v>44810</c:v>
                </c:pt>
                <c:pt idx="700">
                  <c:v>44811</c:v>
                </c:pt>
                <c:pt idx="701">
                  <c:v>44812</c:v>
                </c:pt>
                <c:pt idx="702">
                  <c:v>44813</c:v>
                </c:pt>
                <c:pt idx="703">
                  <c:v>44816</c:v>
                </c:pt>
                <c:pt idx="704">
                  <c:v>44817</c:v>
                </c:pt>
                <c:pt idx="705">
                  <c:v>44818</c:v>
                </c:pt>
                <c:pt idx="706">
                  <c:v>44819</c:v>
                </c:pt>
                <c:pt idx="707">
                  <c:v>44820</c:v>
                </c:pt>
              </c:numCache>
            </c:numRef>
          </c:cat>
          <c:val>
            <c:numRef>
              <c:f>Sheet1!$H$2:$H$971</c:f>
              <c:numCache>
                <c:formatCode>General</c:formatCode>
                <c:ptCount val="709"/>
                <c:pt idx="123" formatCode="0">
                  <c:v>5.7911199999999994</c:v>
                </c:pt>
                <c:pt idx="124" formatCode="0">
                  <c:v>5.7933199999999996</c:v>
                </c:pt>
                <c:pt idx="125" formatCode="0">
                  <c:v>5.8886199999999995</c:v>
                </c:pt>
                <c:pt idx="126" formatCode="0">
                  <c:v>6.1676000000000002</c:v>
                </c:pt>
                <c:pt idx="127" formatCode="0">
                  <c:v>6.15822</c:v>
                </c:pt>
                <c:pt idx="128" formatCode="0">
                  <c:v>6.1721699999999995</c:v>
                </c:pt>
                <c:pt idx="129" formatCode="0">
                  <c:v>6.1311499999999999</c:v>
                </c:pt>
                <c:pt idx="130" formatCode="0">
                  <c:v>6.0888400000000003</c:v>
                </c:pt>
                <c:pt idx="131" formatCode="0">
                  <c:v>6.0370200000000001</c:v>
                </c:pt>
                <c:pt idx="132" formatCode="0">
                  <c:v>6.0098900000000004</c:v>
                </c:pt>
                <c:pt idx="133" formatCode="0">
                  <c:v>5.9989400000000002</c:v>
                </c:pt>
                <c:pt idx="134" formatCode="0">
                  <c:v>6.0920699999999997</c:v>
                </c:pt>
                <c:pt idx="135" formatCode="0">
                  <c:v>6.1114599999999992</c:v>
                </c:pt>
                <c:pt idx="136" formatCode="0">
                  <c:v>6.2154999999999996</c:v>
                </c:pt>
                <c:pt idx="137" formatCode="0">
                  <c:v>6.2531100000000004</c:v>
                </c:pt>
                <c:pt idx="138" formatCode="0">
                  <c:v>6.3123100000000001</c:v>
                </c:pt>
                <c:pt idx="139" formatCode="0">
                  <c:v>6.5488800000000005</c:v>
                </c:pt>
                <c:pt idx="140" formatCode="0">
                  <c:v>6.4997699999999998</c:v>
                </c:pt>
                <c:pt idx="141" formatCode="0">
                  <c:v>6.5520199999999997</c:v>
                </c:pt>
                <c:pt idx="142" formatCode="0">
                  <c:v>6.5865900000000002</c:v>
                </c:pt>
                <c:pt idx="143" formatCode="0">
                  <c:v>6.5936699999999995</c:v>
                </c:pt>
                <c:pt idx="144" formatCode="0">
                  <c:v>6.6473299999999993</c:v>
                </c:pt>
                <c:pt idx="145" formatCode="0">
                  <c:v>6.6594699999999998</c:v>
                </c:pt>
                <c:pt idx="146" formatCode="0">
                  <c:v>6.6749699999999992</c:v>
                </c:pt>
                <c:pt idx="147" formatCode="0">
                  <c:v>6.6683199999999996</c:v>
                </c:pt>
                <c:pt idx="148" formatCode="0">
                  <c:v>6.6172199999999997</c:v>
                </c:pt>
                <c:pt idx="149" formatCode="0">
                  <c:v>6.5430100000000007</c:v>
                </c:pt>
                <c:pt idx="150" formatCode="0">
                  <c:v>6.3382899999999998</c:v>
                </c:pt>
                <c:pt idx="151" formatCode="0">
                  <c:v>6.4215900000000001</c:v>
                </c:pt>
                <c:pt idx="152" formatCode="0">
                  <c:v>6.2316600000000006</c:v>
                </c:pt>
                <c:pt idx="153" formatCode="0">
                  <c:v>6.1628700000000007</c:v>
                </c:pt>
                <c:pt idx="154" formatCode="0">
                  <c:v>6.1222699999999994</c:v>
                </c:pt>
                <c:pt idx="155" formatCode="0">
                  <c:v>6.0443699999999998</c:v>
                </c:pt>
                <c:pt idx="156" formatCode="0">
                  <c:v>6.0818600000000007</c:v>
                </c:pt>
                <c:pt idx="157" formatCode="0">
                  <c:v>6.1533699999999998</c:v>
                </c:pt>
                <c:pt idx="158" formatCode="0">
                  <c:v>6.2499300000000009</c:v>
                </c:pt>
                <c:pt idx="159" formatCode="0">
                  <c:v>6.2365700000000004</c:v>
                </c:pt>
                <c:pt idx="160" formatCode="0">
                  <c:v>6.1988900000000005</c:v>
                </c:pt>
                <c:pt idx="161" formatCode="0">
                  <c:v>6.5377999999999998</c:v>
                </c:pt>
                <c:pt idx="162" formatCode="0">
                  <c:v>6.7490200000000007</c:v>
                </c:pt>
                <c:pt idx="163" formatCode="0">
                  <c:v>6.9719799999999994</c:v>
                </c:pt>
                <c:pt idx="164" formatCode="0">
                  <c:v>6.7603999999999997</c:v>
                </c:pt>
                <c:pt idx="165" formatCode="0">
                  <c:v>6.6781100000000002</c:v>
                </c:pt>
                <c:pt idx="166" formatCode="0">
                  <c:v>6.76004</c:v>
                </c:pt>
                <c:pt idx="167" formatCode="0">
                  <c:v>6.7371000000000008</c:v>
                </c:pt>
                <c:pt idx="168" formatCode="0">
                  <c:v>6.8751999999999995</c:v>
                </c:pt>
                <c:pt idx="169" formatCode="0">
                  <c:v>6.8418799999999997</c:v>
                </c:pt>
                <c:pt idx="170" formatCode="0">
                  <c:v>6.8509099999999998</c:v>
                </c:pt>
                <c:pt idx="171" formatCode="0">
                  <c:v>6.4626199999999994</c:v>
                </c:pt>
                <c:pt idx="172" formatCode="0">
                  <c:v>6.4603599999999997</c:v>
                </c:pt>
                <c:pt idx="173" formatCode="0">
                  <c:v>6.4603599999999997</c:v>
                </c:pt>
                <c:pt idx="174" formatCode="0">
                  <c:v>6.3467200000000004</c:v>
                </c:pt>
                <c:pt idx="175" formatCode="0">
                  <c:v>6.32376</c:v>
                </c:pt>
                <c:pt idx="176" formatCode="0">
                  <c:v>6.32477</c:v>
                </c:pt>
                <c:pt idx="177" formatCode="0">
                  <c:v>6.2167899999999996</c:v>
                </c:pt>
                <c:pt idx="178" formatCode="0">
                  <c:v>6.23895</c:v>
                </c:pt>
                <c:pt idx="179" formatCode="0">
                  <c:v>6.3394200000000005</c:v>
                </c:pt>
                <c:pt idx="180" formatCode="0">
                  <c:v>6.3900899999999998</c:v>
                </c:pt>
                <c:pt idx="181" formatCode="0">
                  <c:v>6.2991799999999998</c:v>
                </c:pt>
                <c:pt idx="182" formatCode="0">
                  <c:v>6.3959599999999996</c:v>
                </c:pt>
                <c:pt idx="183" formatCode="0">
                  <c:v>6.2878300000000005</c:v>
                </c:pt>
                <c:pt idx="184" formatCode="0">
                  <c:v>6.2592499999999998</c:v>
                </c:pt>
                <c:pt idx="185" formatCode="0">
                  <c:v>6.2731300000000001</c:v>
                </c:pt>
                <c:pt idx="186" formatCode="0">
                  <c:v>6.2703499999999996</c:v>
                </c:pt>
                <c:pt idx="187" formatCode="0">
                  <c:v>6.0674599999999996</c:v>
                </c:pt>
                <c:pt idx="188" formatCode="0">
                  <c:v>6.2721</c:v>
                </c:pt>
                <c:pt idx="189" formatCode="0">
                  <c:v>6.3087499999999999</c:v>
                </c:pt>
                <c:pt idx="190" formatCode="0">
                  <c:v>6.3599899999999998</c:v>
                </c:pt>
                <c:pt idx="191" formatCode="0">
                  <c:v>6.5511400000000002</c:v>
                </c:pt>
                <c:pt idx="192" formatCode="0">
                  <c:v>6.5670500000000001</c:v>
                </c:pt>
                <c:pt idx="193" formatCode="0">
                  <c:v>6.5134600000000002</c:v>
                </c:pt>
                <c:pt idx="194" formatCode="0">
                  <c:v>6.4980700000000002</c:v>
                </c:pt>
                <c:pt idx="195" formatCode="0">
                  <c:v>6.42448</c:v>
                </c:pt>
                <c:pt idx="196" formatCode="0">
                  <c:v>6.2960699999999994</c:v>
                </c:pt>
                <c:pt idx="197" formatCode="0">
                  <c:v>6.27182</c:v>
                </c:pt>
                <c:pt idx="198" formatCode="0">
                  <c:v>6.1711599999999995</c:v>
                </c:pt>
                <c:pt idx="199" formatCode="0">
                  <c:v>6.07585</c:v>
                </c:pt>
                <c:pt idx="200" formatCode="0">
                  <c:v>6.0220500000000001</c:v>
                </c:pt>
                <c:pt idx="201" formatCode="0">
                  <c:v>5.9705399999999997</c:v>
                </c:pt>
                <c:pt idx="202" formatCode="0">
                  <c:v>5.9243300000000003</c:v>
                </c:pt>
                <c:pt idx="203" formatCode="0">
                  <c:v>5.9494199999999999</c:v>
                </c:pt>
                <c:pt idx="204" formatCode="0">
                  <c:v>6.0502399999999996</c:v>
                </c:pt>
                <c:pt idx="205" formatCode="0">
                  <c:v>6.1841699999999999</c:v>
                </c:pt>
                <c:pt idx="206" formatCode="0">
                  <c:v>6.3334700000000002</c:v>
                </c:pt>
                <c:pt idx="207" formatCode="0">
                  <c:v>6.3072400000000002</c:v>
                </c:pt>
                <c:pt idx="208" formatCode="0">
                  <c:v>6.2454000000000001</c:v>
                </c:pt>
                <c:pt idx="209" formatCode="0">
                  <c:v>6.22715</c:v>
                </c:pt>
                <c:pt idx="210" formatCode="0">
                  <c:v>6.1960600000000001</c:v>
                </c:pt>
                <c:pt idx="211" formatCode="0">
                  <c:v>6.1910299999999996</c:v>
                </c:pt>
                <c:pt idx="212" formatCode="0">
                  <c:v>6.1564700000000006</c:v>
                </c:pt>
                <c:pt idx="213" formatCode="0">
                  <c:v>6.2302999999999997</c:v>
                </c:pt>
                <c:pt idx="214" formatCode="0">
                  <c:v>6.2528899999999998</c:v>
                </c:pt>
                <c:pt idx="215" formatCode="0">
                  <c:v>6.2757199999999997</c:v>
                </c:pt>
                <c:pt idx="216" formatCode="0">
                  <c:v>6.2465399999999995</c:v>
                </c:pt>
                <c:pt idx="217" formatCode="0">
                  <c:v>6.2134999999999998</c:v>
                </c:pt>
                <c:pt idx="218" formatCode="0">
                  <c:v>6.2846500000000001</c:v>
                </c:pt>
                <c:pt idx="219" formatCode="0">
                  <c:v>6.2332399999999994</c:v>
                </c:pt>
                <c:pt idx="220" formatCode="0">
                  <c:v>6.1816999999999993</c:v>
                </c:pt>
                <c:pt idx="221" formatCode="0">
                  <c:v>6.0821199999999997</c:v>
                </c:pt>
                <c:pt idx="222" formatCode="0">
                  <c:v>6.06114</c:v>
                </c:pt>
                <c:pt idx="223" formatCode="0">
                  <c:v>5.7415599999999998</c:v>
                </c:pt>
                <c:pt idx="224" formatCode="0">
                  <c:v>5.6982200000000001</c:v>
                </c:pt>
                <c:pt idx="225" formatCode="0">
                  <c:v>5.6464400000000001</c:v>
                </c:pt>
                <c:pt idx="226" formatCode="0">
                  <c:v>5.7695000000000007</c:v>
                </c:pt>
                <c:pt idx="227" formatCode="0">
                  <c:v>5.7735099999999999</c:v>
                </c:pt>
                <c:pt idx="228" formatCode="0">
                  <c:v>5.7953299999999999</c:v>
                </c:pt>
                <c:pt idx="229" formatCode="0">
                  <c:v>5.8904899999999998</c:v>
                </c:pt>
                <c:pt idx="230" formatCode="0">
                  <c:v>5.8554899999999996</c:v>
                </c:pt>
                <c:pt idx="231" formatCode="0">
                  <c:v>5.9340200000000003</c:v>
                </c:pt>
                <c:pt idx="232" formatCode="0">
                  <c:v>5.9200999999999997</c:v>
                </c:pt>
                <c:pt idx="233" formatCode="0">
                  <c:v>5.8678800000000004</c:v>
                </c:pt>
                <c:pt idx="234" formatCode="0">
                  <c:v>5.7869200000000003</c:v>
                </c:pt>
                <c:pt idx="235" formatCode="0">
                  <c:v>5.6790700000000003</c:v>
                </c:pt>
                <c:pt idx="236" formatCode="0">
                  <c:v>5.6643600000000003</c:v>
                </c:pt>
                <c:pt idx="237" formatCode="0">
                  <c:v>5.4353700000000007</c:v>
                </c:pt>
                <c:pt idx="238" formatCode="0">
                  <c:v>5.3710000000000004</c:v>
                </c:pt>
                <c:pt idx="239" formatCode="0">
                  <c:v>5.1890800000000006</c:v>
                </c:pt>
                <c:pt idx="240" formatCode="0">
                  <c:v>5.1559100000000004</c:v>
                </c:pt>
                <c:pt idx="241" formatCode="0">
                  <c:v>5.0428899999999999</c:v>
                </c:pt>
                <c:pt idx="242" formatCode="0">
                  <c:v>4.9340700000000002</c:v>
                </c:pt>
                <c:pt idx="243" formatCode="0">
                  <c:v>4.9991899999999996</c:v>
                </c:pt>
                <c:pt idx="244" formatCode="0">
                  <c:v>5.0077499999999997</c:v>
                </c:pt>
                <c:pt idx="245" formatCode="0">
                  <c:v>5.0509300000000001</c:v>
                </c:pt>
                <c:pt idx="246" formatCode="0">
                  <c:v>5.1342400000000001</c:v>
                </c:pt>
                <c:pt idx="247" formatCode="0">
                  <c:v>5.1434600000000001</c:v>
                </c:pt>
                <c:pt idx="248" formatCode="0">
                  <c:v>5.1357299999999997</c:v>
                </c:pt>
                <c:pt idx="249" formatCode="0">
                  <c:v>5.1310400000000005</c:v>
                </c:pt>
                <c:pt idx="250" formatCode="0">
                  <c:v>5.1454999999999993</c:v>
                </c:pt>
                <c:pt idx="251" formatCode="0">
                  <c:v>5.11158</c:v>
                </c:pt>
                <c:pt idx="252" formatCode="0">
                  <c:v>5.1039700000000003</c:v>
                </c:pt>
                <c:pt idx="253" formatCode="0">
                  <c:v>5.1124000000000001</c:v>
                </c:pt>
                <c:pt idx="254" formatCode="0">
                  <c:v>5.1729899999999995</c:v>
                </c:pt>
                <c:pt idx="255" formatCode="0">
                  <c:v>5.1736900000000006</c:v>
                </c:pt>
                <c:pt idx="256" formatCode="0">
                  <c:v>5.1873500000000003</c:v>
                </c:pt>
                <c:pt idx="257" formatCode="0">
                  <c:v>5.1873500000000003</c:v>
                </c:pt>
                <c:pt idx="258" formatCode="0">
                  <c:v>5.1873500000000003</c:v>
                </c:pt>
                <c:pt idx="259" formatCode="0">
                  <c:v>5.1575999999999995</c:v>
                </c:pt>
                <c:pt idx="260" formatCode="0">
                  <c:v>5.1443399999999997</c:v>
                </c:pt>
                <c:pt idx="261" formatCode="0">
                  <c:v>5.1274699999999998</c:v>
                </c:pt>
                <c:pt idx="262" formatCode="0">
                  <c:v>5.1274699999999998</c:v>
                </c:pt>
                <c:pt idx="263" formatCode="0">
                  <c:v>5.11998</c:v>
                </c:pt>
                <c:pt idx="264" formatCode="0">
                  <c:v>5.1170800000000005</c:v>
                </c:pt>
                <c:pt idx="265" formatCode="0">
                  <c:v>5.0369900000000003</c:v>
                </c:pt>
                <c:pt idx="266" formatCode="0">
                  <c:v>5.0317800000000004</c:v>
                </c:pt>
                <c:pt idx="267" formatCode="0">
                  <c:v>4.9873899999999995</c:v>
                </c:pt>
                <c:pt idx="268" formatCode="0">
                  <c:v>4.9784500000000005</c:v>
                </c:pt>
                <c:pt idx="269" formatCode="0">
                  <c:v>5.0394199999999998</c:v>
                </c:pt>
                <c:pt idx="270" formatCode="0">
                  <c:v>5.0480599999999995</c:v>
                </c:pt>
                <c:pt idx="271" formatCode="0">
                  <c:v>4.9955099999999995</c:v>
                </c:pt>
                <c:pt idx="272" formatCode="0">
                  <c:v>4.9954799999999997</c:v>
                </c:pt>
                <c:pt idx="273" formatCode="0">
                  <c:v>5.0154700000000005</c:v>
                </c:pt>
                <c:pt idx="274" formatCode="0">
                  <c:v>5.0045800000000007</c:v>
                </c:pt>
                <c:pt idx="275" formatCode="0">
                  <c:v>4.9923099999999998</c:v>
                </c:pt>
                <c:pt idx="276" formatCode="0">
                  <c:v>4.9795100000000003</c:v>
                </c:pt>
                <c:pt idx="277" formatCode="0">
                  <c:v>5.13645</c:v>
                </c:pt>
                <c:pt idx="278" formatCode="0">
                  <c:v>5.1333399999999996</c:v>
                </c:pt>
                <c:pt idx="279" formatCode="0">
                  <c:v>5.1306899999999995</c:v>
                </c:pt>
                <c:pt idx="280" formatCode="0">
                  <c:v>5.10466</c:v>
                </c:pt>
                <c:pt idx="281" formatCode="0">
                  <c:v>5.02597</c:v>
                </c:pt>
                <c:pt idx="282" formatCode="0">
                  <c:v>4.9904299999999999</c:v>
                </c:pt>
                <c:pt idx="283" formatCode="0">
                  <c:v>4.9750199999999998</c:v>
                </c:pt>
                <c:pt idx="284" formatCode="0">
                  <c:v>4.8908199999999997</c:v>
                </c:pt>
                <c:pt idx="285" formatCode="0">
                  <c:v>4.8819999999999997</c:v>
                </c:pt>
                <c:pt idx="286" formatCode="0">
                  <c:v>4.9012900000000004</c:v>
                </c:pt>
                <c:pt idx="287" formatCode="0">
                  <c:v>4.8860299999999999</c:v>
                </c:pt>
                <c:pt idx="288" formatCode="0">
                  <c:v>4.9484599999999999</c:v>
                </c:pt>
                <c:pt idx="289" formatCode="0">
                  <c:v>5.0767300000000004</c:v>
                </c:pt>
                <c:pt idx="290" formatCode="0">
                  <c:v>5.12263</c:v>
                </c:pt>
                <c:pt idx="291" formatCode="0">
                  <c:v>5.1072899999999999</c:v>
                </c:pt>
                <c:pt idx="292" formatCode="0">
                  <c:v>5.0808100000000005</c:v>
                </c:pt>
                <c:pt idx="293" formatCode="0">
                  <c:v>5.0401999999999996</c:v>
                </c:pt>
                <c:pt idx="294" formatCode="0">
                  <c:v>5.0199699999999998</c:v>
                </c:pt>
                <c:pt idx="295" formatCode="0">
                  <c:v>5.0485899999999999</c:v>
                </c:pt>
                <c:pt idx="296" formatCode="0">
                  <c:v>5.0210299999999997</c:v>
                </c:pt>
                <c:pt idx="297" formatCode="0">
                  <c:v>4.9380800000000002</c:v>
                </c:pt>
                <c:pt idx="298" formatCode="0">
                  <c:v>5.0240100000000005</c:v>
                </c:pt>
                <c:pt idx="299" formatCode="0">
                  <c:v>5.0327000000000002</c:v>
                </c:pt>
                <c:pt idx="300" formatCode="0">
                  <c:v>5.0154000000000005</c:v>
                </c:pt>
                <c:pt idx="301" formatCode="0">
                  <c:v>5.0133900000000002</c:v>
                </c:pt>
                <c:pt idx="302" formatCode="0">
                  <c:v>5.0781200000000002</c:v>
                </c:pt>
                <c:pt idx="303" formatCode="0">
                  <c:v>5.0415200000000002</c:v>
                </c:pt>
                <c:pt idx="304" formatCode="0">
                  <c:v>5.1736900000000006</c:v>
                </c:pt>
                <c:pt idx="305" formatCode="0">
                  <c:v>5.1934400000000007</c:v>
                </c:pt>
                <c:pt idx="306" formatCode="0">
                  <c:v>5.1505600000000005</c:v>
                </c:pt>
                <c:pt idx="307" formatCode="0">
                  <c:v>5.3702800000000002</c:v>
                </c:pt>
                <c:pt idx="308" formatCode="0">
                  <c:v>5.4845799999999993</c:v>
                </c:pt>
                <c:pt idx="309" formatCode="0">
                  <c:v>5.4359099999999998</c:v>
                </c:pt>
                <c:pt idx="310" formatCode="0">
                  <c:v>5.46394</c:v>
                </c:pt>
                <c:pt idx="311" formatCode="0">
                  <c:v>5.5166300000000001</c:v>
                </c:pt>
                <c:pt idx="312" formatCode="0">
                  <c:v>5.82768</c:v>
                </c:pt>
                <c:pt idx="313" formatCode="0">
                  <c:v>5.7614000000000001</c:v>
                </c:pt>
                <c:pt idx="314" formatCode="0">
                  <c:v>5.5973699999999997</c:v>
                </c:pt>
                <c:pt idx="315" formatCode="0">
                  <c:v>5.6426199999999991</c:v>
                </c:pt>
                <c:pt idx="316" formatCode="0">
                  <c:v>5.5928999999999993</c:v>
                </c:pt>
                <c:pt idx="317" formatCode="0">
                  <c:v>5.4029100000000003</c:v>
                </c:pt>
                <c:pt idx="318" formatCode="0">
                  <c:v>5.4459</c:v>
                </c:pt>
                <c:pt idx="319" formatCode="0">
                  <c:v>5.4984000000000002</c:v>
                </c:pt>
                <c:pt idx="320" formatCode="0">
                  <c:v>5.5724300000000007</c:v>
                </c:pt>
                <c:pt idx="321" formatCode="0">
                  <c:v>5.5813800000000002</c:v>
                </c:pt>
                <c:pt idx="322" formatCode="0">
                  <c:v>5.5662199999999995</c:v>
                </c:pt>
                <c:pt idx="323" formatCode="0">
                  <c:v>5.5136199999999995</c:v>
                </c:pt>
                <c:pt idx="324" formatCode="0">
                  <c:v>5.6571600000000002</c:v>
                </c:pt>
                <c:pt idx="325" formatCode="0">
                  <c:v>5.60067</c:v>
                </c:pt>
                <c:pt idx="326" formatCode="0">
                  <c:v>5.6905100000000006</c:v>
                </c:pt>
                <c:pt idx="327" formatCode="0">
                  <c:v>5.6905100000000006</c:v>
                </c:pt>
                <c:pt idx="328" formatCode="0">
                  <c:v>5.6905100000000006</c:v>
                </c:pt>
                <c:pt idx="329" formatCode="0">
                  <c:v>5.7697599999999998</c:v>
                </c:pt>
                <c:pt idx="330" formatCode="0">
                  <c:v>5.7962400000000001</c:v>
                </c:pt>
                <c:pt idx="331" formatCode="0">
                  <c:v>5.81996</c:v>
                </c:pt>
                <c:pt idx="332" formatCode="0">
                  <c:v>5.8606199999999999</c:v>
                </c:pt>
                <c:pt idx="333" formatCode="0">
                  <c:v>5.8399800000000006</c:v>
                </c:pt>
                <c:pt idx="334" formatCode="0">
                  <c:v>5.9047900000000002</c:v>
                </c:pt>
                <c:pt idx="335" formatCode="0">
                  <c:v>5.8659699999999999</c:v>
                </c:pt>
                <c:pt idx="336" formatCode="0">
                  <c:v>5.9606300000000001</c:v>
                </c:pt>
                <c:pt idx="337" formatCode="0">
                  <c:v>5.8339999999999996</c:v>
                </c:pt>
                <c:pt idx="338" formatCode="0">
                  <c:v>5.7788500000000003</c:v>
                </c:pt>
                <c:pt idx="339" formatCode="0">
                  <c:v>5.7398699999999998</c:v>
                </c:pt>
                <c:pt idx="340" formatCode="0">
                  <c:v>5.4947799999999996</c:v>
                </c:pt>
                <c:pt idx="341" formatCode="0">
                  <c:v>5.4615599999999995</c:v>
                </c:pt>
                <c:pt idx="342" formatCode="0">
                  <c:v>5.3589599999999997</c:v>
                </c:pt>
                <c:pt idx="343" formatCode="0">
                  <c:v>5.3680899999999996</c:v>
                </c:pt>
                <c:pt idx="344" formatCode="0">
                  <c:v>5.3869899999999999</c:v>
                </c:pt>
                <c:pt idx="345" formatCode="0">
                  <c:v>5.3600599999999998</c:v>
                </c:pt>
                <c:pt idx="346" formatCode="0">
                  <c:v>5.3553300000000004</c:v>
                </c:pt>
                <c:pt idx="347" formatCode="0">
                  <c:v>5.3553999999999995</c:v>
                </c:pt>
                <c:pt idx="348" formatCode="0">
                  <c:v>5.3553999999999995</c:v>
                </c:pt>
                <c:pt idx="349" formatCode="0">
                  <c:v>5.4738699999999998</c:v>
                </c:pt>
                <c:pt idx="350" formatCode="0">
                  <c:v>5.4756799999999997</c:v>
                </c:pt>
                <c:pt idx="351" formatCode="0">
                  <c:v>5.5022199999999994</c:v>
                </c:pt>
                <c:pt idx="352" formatCode="0">
                  <c:v>5.4903999999999993</c:v>
                </c:pt>
                <c:pt idx="353" formatCode="0">
                  <c:v>5.4822799999999994</c:v>
                </c:pt>
                <c:pt idx="354" formatCode="0">
                  <c:v>5.4924099999999996</c:v>
                </c:pt>
                <c:pt idx="355" formatCode="0">
                  <c:v>5.4293700000000005</c:v>
                </c:pt>
                <c:pt idx="356" formatCode="0">
                  <c:v>5.6046900000000006</c:v>
                </c:pt>
                <c:pt idx="357" formatCode="0">
                  <c:v>5.5878499999999995</c:v>
                </c:pt>
                <c:pt idx="358" formatCode="0">
                  <c:v>5.5678999999999998</c:v>
                </c:pt>
                <c:pt idx="359" formatCode="0">
                  <c:v>5.5664700000000007</c:v>
                </c:pt>
                <c:pt idx="360" formatCode="0">
                  <c:v>5.5766400000000003</c:v>
                </c:pt>
                <c:pt idx="361" formatCode="0">
                  <c:v>5.6946300000000001</c:v>
                </c:pt>
                <c:pt idx="362" formatCode="0">
                  <c:v>5.6036400000000004</c:v>
                </c:pt>
                <c:pt idx="363" formatCode="0">
                  <c:v>5.9732000000000003</c:v>
                </c:pt>
                <c:pt idx="364" formatCode="0">
                  <c:v>6.1041300000000005</c:v>
                </c:pt>
                <c:pt idx="365" formatCode="0">
                  <c:v>6.2470600000000003</c:v>
                </c:pt>
                <c:pt idx="366" formatCode="0">
                  <c:v>6.2370399999999995</c:v>
                </c:pt>
                <c:pt idx="367" formatCode="0">
                  <c:v>6.1999699999999995</c:v>
                </c:pt>
                <c:pt idx="368" formatCode="0">
                  <c:v>6.1999699999999995</c:v>
                </c:pt>
                <c:pt idx="369" formatCode="0">
                  <c:v>6.0654499999999993</c:v>
                </c:pt>
                <c:pt idx="370" formatCode="0">
                  <c:v>6.0352700000000006</c:v>
                </c:pt>
                <c:pt idx="371" formatCode="0">
                  <c:v>6.0026299999999999</c:v>
                </c:pt>
                <c:pt idx="372" formatCode="0">
                  <c:v>6.0470899999999999</c:v>
                </c:pt>
                <c:pt idx="373" formatCode="0">
                  <c:v>6.0391700000000004</c:v>
                </c:pt>
                <c:pt idx="374" formatCode="0">
                  <c:v>6.0575699999999992</c:v>
                </c:pt>
                <c:pt idx="375" formatCode="0">
                  <c:v>5.9362500000000002</c:v>
                </c:pt>
                <c:pt idx="376" formatCode="0">
                  <c:v>5.9783500000000007</c:v>
                </c:pt>
                <c:pt idx="377" formatCode="0">
                  <c:v>6.0303599999999991</c:v>
                </c:pt>
                <c:pt idx="378" formatCode="0">
                  <c:v>6.0092299999999996</c:v>
                </c:pt>
                <c:pt idx="379" formatCode="0">
                  <c:v>6.1172799999999992</c:v>
                </c:pt>
                <c:pt idx="380" formatCode="0">
                  <c:v>6.1358900000000007</c:v>
                </c:pt>
                <c:pt idx="381" formatCode="0">
                  <c:v>6.1646400000000003</c:v>
                </c:pt>
                <c:pt idx="382" formatCode="0">
                  <c:v>6.2714800000000004</c:v>
                </c:pt>
                <c:pt idx="383" formatCode="0">
                  <c:v>6.7567899999999996</c:v>
                </c:pt>
                <c:pt idx="384" formatCode="0">
                  <c:v>6.8512500000000003</c:v>
                </c:pt>
                <c:pt idx="385" formatCode="0">
                  <c:v>6.9166499999999997</c:v>
                </c:pt>
                <c:pt idx="386" formatCode="0">
                  <c:v>6.9438199999999997</c:v>
                </c:pt>
                <c:pt idx="387" formatCode="0">
                  <c:v>6.8172900000000007</c:v>
                </c:pt>
                <c:pt idx="388" formatCode="0">
                  <c:v>6.9306200000000002</c:v>
                </c:pt>
                <c:pt idx="389" formatCode="0">
                  <c:v>6.9610000000000003</c:v>
                </c:pt>
                <c:pt idx="390" formatCode="0">
                  <c:v>6.9969399999999995</c:v>
                </c:pt>
                <c:pt idx="391" formatCode="0">
                  <c:v>6.9565400000000004</c:v>
                </c:pt>
                <c:pt idx="392" formatCode="0">
                  <c:v>7.01586</c:v>
                </c:pt>
                <c:pt idx="393" formatCode="0">
                  <c:v>6.9533799999999992</c:v>
                </c:pt>
                <c:pt idx="394" formatCode="0">
                  <c:v>7.0697400000000004</c:v>
                </c:pt>
                <c:pt idx="395" formatCode="0">
                  <c:v>7.0987599999999995</c:v>
                </c:pt>
                <c:pt idx="396" formatCode="0">
                  <c:v>7.0717600000000003</c:v>
                </c:pt>
                <c:pt idx="397" formatCode="0">
                  <c:v>7.0453200000000002</c:v>
                </c:pt>
                <c:pt idx="398" formatCode="0">
                  <c:v>7.0537400000000003</c:v>
                </c:pt>
                <c:pt idx="399" formatCode="0">
                  <c:v>7.0261000000000005</c:v>
                </c:pt>
                <c:pt idx="400" formatCode="0">
                  <c:v>7.0785200000000001</c:v>
                </c:pt>
                <c:pt idx="401" formatCode="0">
                  <c:v>7.1425599999999996</c:v>
                </c:pt>
                <c:pt idx="402" formatCode="0">
                  <c:v>7.14886</c:v>
                </c:pt>
                <c:pt idx="403" formatCode="0">
                  <c:v>7.2923599999999995</c:v>
                </c:pt>
                <c:pt idx="404" formatCode="0">
                  <c:v>7.23081</c:v>
                </c:pt>
                <c:pt idx="405" formatCode="0">
                  <c:v>7.1429399999999994</c:v>
                </c:pt>
                <c:pt idx="406" formatCode="0">
                  <c:v>7.1325199999999995</c:v>
                </c:pt>
                <c:pt idx="407" formatCode="0">
                  <c:v>7.1006399999999994</c:v>
                </c:pt>
                <c:pt idx="408" formatCode="0">
                  <c:v>7.0980499999999997</c:v>
                </c:pt>
                <c:pt idx="409" formatCode="0">
                  <c:v>7.0971599999999997</c:v>
                </c:pt>
                <c:pt idx="410" formatCode="0">
                  <c:v>7.0297000000000001</c:v>
                </c:pt>
                <c:pt idx="411" formatCode="0">
                  <c:v>6.9742700000000006</c:v>
                </c:pt>
                <c:pt idx="412" formatCode="0">
                  <c:v>6.929829999999999</c:v>
                </c:pt>
                <c:pt idx="413" formatCode="0">
                  <c:v>6.88591</c:v>
                </c:pt>
                <c:pt idx="414" formatCode="0">
                  <c:v>6.9191499999999992</c:v>
                </c:pt>
                <c:pt idx="415" formatCode="0">
                  <c:v>6.9093600000000004</c:v>
                </c:pt>
                <c:pt idx="416" formatCode="0">
                  <c:v>6.8719799999999998</c:v>
                </c:pt>
                <c:pt idx="417" formatCode="0">
                  <c:v>6.8351599999999992</c:v>
                </c:pt>
                <c:pt idx="418" formatCode="0">
                  <c:v>6.8551299999999999</c:v>
                </c:pt>
                <c:pt idx="419" formatCode="0">
                  <c:v>6.9391499999999997</c:v>
                </c:pt>
                <c:pt idx="420" formatCode="0">
                  <c:v>6.9702999999999999</c:v>
                </c:pt>
                <c:pt idx="421" formatCode="0">
                  <c:v>6.9048499999999997</c:v>
                </c:pt>
                <c:pt idx="422" formatCode="0">
                  <c:v>6.9829999999999997</c:v>
                </c:pt>
                <c:pt idx="423" formatCode="0">
                  <c:v>7.0267600000000003</c:v>
                </c:pt>
                <c:pt idx="424" formatCode="0">
                  <c:v>7.0099199999999993</c:v>
                </c:pt>
                <c:pt idx="425" formatCode="0">
                  <c:v>7.0050400000000002</c:v>
                </c:pt>
                <c:pt idx="426" formatCode="0">
                  <c:v>7.0711900000000005</c:v>
                </c:pt>
                <c:pt idx="427" formatCode="0">
                  <c:v>7.0310199999999998</c:v>
                </c:pt>
                <c:pt idx="428" formatCode="0">
                  <c:v>7.1151300000000006</c:v>
                </c:pt>
                <c:pt idx="429" formatCode="0">
                  <c:v>7.0041700000000002</c:v>
                </c:pt>
                <c:pt idx="430" formatCode="0">
                  <c:v>6.93703</c:v>
                </c:pt>
                <c:pt idx="431" formatCode="0">
                  <c:v>6.9841600000000001</c:v>
                </c:pt>
                <c:pt idx="432" formatCode="0">
                  <c:v>7.0054999999999996</c:v>
                </c:pt>
                <c:pt idx="433" formatCode="0">
                  <c:v>7.0054999999999996</c:v>
                </c:pt>
                <c:pt idx="434" formatCode="0">
                  <c:v>6.9836800000000006</c:v>
                </c:pt>
                <c:pt idx="435" formatCode="0">
                  <c:v>6.8184299999999993</c:v>
                </c:pt>
                <c:pt idx="436" formatCode="0">
                  <c:v>6.7896900000000002</c:v>
                </c:pt>
                <c:pt idx="437" formatCode="0">
                  <c:v>6.6677</c:v>
                </c:pt>
                <c:pt idx="438" formatCode="0">
                  <c:v>6.6396100000000002</c:v>
                </c:pt>
                <c:pt idx="439" formatCode="0">
                  <c:v>6.5781100000000006</c:v>
                </c:pt>
                <c:pt idx="440" formatCode="0">
                  <c:v>6.4785699999999995</c:v>
                </c:pt>
                <c:pt idx="441" formatCode="0">
                  <c:v>6.5368300000000001</c:v>
                </c:pt>
                <c:pt idx="442" formatCode="0">
                  <c:v>6.4610900000000004</c:v>
                </c:pt>
                <c:pt idx="443" formatCode="0">
                  <c:v>6.4726499999999998</c:v>
                </c:pt>
                <c:pt idx="444" formatCode="0">
                  <c:v>6.5451199999999998</c:v>
                </c:pt>
                <c:pt idx="445" formatCode="0">
                  <c:v>6.4700800000000003</c:v>
                </c:pt>
                <c:pt idx="446" formatCode="0">
                  <c:v>6.4504100000000006</c:v>
                </c:pt>
                <c:pt idx="447" formatCode="0">
                  <c:v>6.3914599999999995</c:v>
                </c:pt>
                <c:pt idx="448" formatCode="0">
                  <c:v>6.5011400000000004</c:v>
                </c:pt>
                <c:pt idx="449" formatCode="0">
                  <c:v>6.4949300000000001</c:v>
                </c:pt>
                <c:pt idx="450" formatCode="0">
                  <c:v>6.4934500000000002</c:v>
                </c:pt>
                <c:pt idx="451" formatCode="0">
                  <c:v>6.4413999999999998</c:v>
                </c:pt>
                <c:pt idx="452" formatCode="0">
                  <c:v>6.4611800000000006</c:v>
                </c:pt>
                <c:pt idx="453" formatCode="0">
                  <c:v>6.5404499999999999</c:v>
                </c:pt>
                <c:pt idx="454" formatCode="0">
                  <c:v>6.6064300000000005</c:v>
                </c:pt>
                <c:pt idx="455" formatCode="0">
                  <c:v>6.6152999999999995</c:v>
                </c:pt>
                <c:pt idx="456" formatCode="0">
                  <c:v>6.7094800000000001</c:v>
                </c:pt>
                <c:pt idx="457" formatCode="0">
                  <c:v>6.8312199999999992</c:v>
                </c:pt>
                <c:pt idx="458" formatCode="0">
                  <c:v>6.8631100000000007</c:v>
                </c:pt>
                <c:pt idx="459" formatCode="0">
                  <c:v>6.8683500000000004</c:v>
                </c:pt>
                <c:pt idx="460" formatCode="0">
                  <c:v>6.8746600000000004</c:v>
                </c:pt>
                <c:pt idx="461" formatCode="0">
                  <c:v>6.8202599999999993</c:v>
                </c:pt>
                <c:pt idx="462" formatCode="0">
                  <c:v>6.8320799999999995</c:v>
                </c:pt>
                <c:pt idx="463" formatCode="0">
                  <c:v>6.7857899999999995</c:v>
                </c:pt>
                <c:pt idx="464" formatCode="0">
                  <c:v>6.8530499999999996</c:v>
                </c:pt>
                <c:pt idx="465" formatCode="0">
                  <c:v>6.90679</c:v>
                </c:pt>
                <c:pt idx="466" formatCode="0">
                  <c:v>6.8725699999999996</c:v>
                </c:pt>
                <c:pt idx="467" formatCode="0">
                  <c:v>6.8194799999999995</c:v>
                </c:pt>
                <c:pt idx="468" formatCode="0">
                  <c:v>6.8019600000000002</c:v>
                </c:pt>
                <c:pt idx="469" formatCode="0">
                  <c:v>6.7551800000000002</c:v>
                </c:pt>
                <c:pt idx="470" formatCode="0">
                  <c:v>6.8070300000000001</c:v>
                </c:pt>
                <c:pt idx="471" formatCode="0">
                  <c:v>6.7600999999999996</c:v>
                </c:pt>
                <c:pt idx="472" formatCode="0">
                  <c:v>6.7646600000000001</c:v>
                </c:pt>
                <c:pt idx="473" formatCode="0">
                  <c:v>6.7847200000000001</c:v>
                </c:pt>
                <c:pt idx="474" formatCode="0">
                  <c:v>6.7776399999999999</c:v>
                </c:pt>
                <c:pt idx="475" formatCode="0">
                  <c:v>6.8342899999999993</c:v>
                </c:pt>
                <c:pt idx="476" formatCode="0">
                  <c:v>6.8387199999999995</c:v>
                </c:pt>
                <c:pt idx="477" formatCode="0">
                  <c:v>6.8579400000000001</c:v>
                </c:pt>
                <c:pt idx="478" formatCode="0">
                  <c:v>7.1789399999999999</c:v>
                </c:pt>
                <c:pt idx="479" formatCode="0">
                  <c:v>7.1670500000000006</c:v>
                </c:pt>
                <c:pt idx="480" formatCode="0">
                  <c:v>7.1073599999999999</c:v>
                </c:pt>
                <c:pt idx="481" formatCode="0">
                  <c:v>7.1758600000000001</c:v>
                </c:pt>
                <c:pt idx="482" formatCode="0">
                  <c:v>7.2352099999999995</c:v>
                </c:pt>
                <c:pt idx="483" formatCode="0">
                  <c:v>7.1920299999999999</c:v>
                </c:pt>
                <c:pt idx="484" formatCode="0">
                  <c:v>7.3262</c:v>
                </c:pt>
                <c:pt idx="485" formatCode="0">
                  <c:v>7.2250199999999998</c:v>
                </c:pt>
                <c:pt idx="486" formatCode="0">
                  <c:v>7.5507000000000009</c:v>
                </c:pt>
                <c:pt idx="487" formatCode="0">
                  <c:v>7.5911499999999998</c:v>
                </c:pt>
                <c:pt idx="488" formatCode="0">
                  <c:v>7.6309699999999996</c:v>
                </c:pt>
                <c:pt idx="489" formatCode="0">
                  <c:v>8.0203500000000005</c:v>
                </c:pt>
                <c:pt idx="490" formatCode="0">
                  <c:v>8.0399799999999999</c:v>
                </c:pt>
                <c:pt idx="491" formatCode="0">
                  <c:v>7.9812599999999998</c:v>
                </c:pt>
                <c:pt idx="492" formatCode="0">
                  <c:v>7.9740099999999998</c:v>
                </c:pt>
                <c:pt idx="493" formatCode="0">
                  <c:v>7.8980300000000003</c:v>
                </c:pt>
                <c:pt idx="494" formatCode="0">
                  <c:v>7.8456799999999998</c:v>
                </c:pt>
                <c:pt idx="495" formatCode="0">
                  <c:v>7.7952700000000004</c:v>
                </c:pt>
                <c:pt idx="496" formatCode="0">
                  <c:v>7.8109000000000002</c:v>
                </c:pt>
                <c:pt idx="497" formatCode="0">
                  <c:v>8.0671299999999988</c:v>
                </c:pt>
                <c:pt idx="498" formatCode="0">
                  <c:v>7.9866899999999994</c:v>
                </c:pt>
                <c:pt idx="499" formatCode="0">
                  <c:v>8.1087500000000006</c:v>
                </c:pt>
                <c:pt idx="500" formatCode="0">
                  <c:v>8.0866399999999992</c:v>
                </c:pt>
                <c:pt idx="501" formatCode="0">
                  <c:v>8.1243600000000011</c:v>
                </c:pt>
                <c:pt idx="502" formatCode="0">
                  <c:v>8.2578300000000002</c:v>
                </c:pt>
                <c:pt idx="503" formatCode="0">
                  <c:v>8.2379700000000007</c:v>
                </c:pt>
                <c:pt idx="504" formatCode="0">
                  <c:v>8.3440399999999997</c:v>
                </c:pt>
                <c:pt idx="505" formatCode="0">
                  <c:v>8.3648100000000003</c:v>
                </c:pt>
                <c:pt idx="506" formatCode="0">
                  <c:v>8.5032600000000009</c:v>
                </c:pt>
                <c:pt idx="507" formatCode="0">
                  <c:v>8.590679999999999</c:v>
                </c:pt>
                <c:pt idx="508" formatCode="0">
                  <c:v>8.6232500000000005</c:v>
                </c:pt>
                <c:pt idx="509" formatCode="0">
                  <c:v>8.6593300000000006</c:v>
                </c:pt>
                <c:pt idx="510" formatCode="0">
                  <c:v>8.6795100000000005</c:v>
                </c:pt>
                <c:pt idx="511" formatCode="0">
                  <c:v>8.70885</c:v>
                </c:pt>
                <c:pt idx="512" formatCode="0">
                  <c:v>8.7247199999999996</c:v>
                </c:pt>
                <c:pt idx="513" formatCode="0">
                  <c:v>8.7189200000000007</c:v>
                </c:pt>
                <c:pt idx="514" formatCode="0">
                  <c:v>8.6558399999999995</c:v>
                </c:pt>
                <c:pt idx="515" formatCode="0">
                  <c:v>8.6918299999999995</c:v>
                </c:pt>
                <c:pt idx="516" formatCode="0">
                  <c:v>8.6339900000000007</c:v>
                </c:pt>
                <c:pt idx="517" formatCode="0">
                  <c:v>8.6369000000000007</c:v>
                </c:pt>
                <c:pt idx="518" formatCode="0">
                  <c:v>8.6369000000000007</c:v>
                </c:pt>
                <c:pt idx="519" formatCode="0">
                  <c:v>8.6369000000000007</c:v>
                </c:pt>
                <c:pt idx="520" formatCode="0">
                  <c:v>8.4100800000000007</c:v>
                </c:pt>
                <c:pt idx="521" formatCode="0">
                  <c:v>8.4093400000000003</c:v>
                </c:pt>
                <c:pt idx="522" formatCode="0">
                  <c:v>8.4319399999999991</c:v>
                </c:pt>
                <c:pt idx="523" formatCode="0">
                  <c:v>8.4319399999999991</c:v>
                </c:pt>
                <c:pt idx="524" formatCode="0">
                  <c:v>8.2548999999999992</c:v>
                </c:pt>
                <c:pt idx="525" formatCode="0">
                  <c:v>8.2335700000000003</c:v>
                </c:pt>
                <c:pt idx="526" formatCode="0">
                  <c:v>8.2297700000000003</c:v>
                </c:pt>
                <c:pt idx="527" formatCode="0">
                  <c:v>8.2256999999999998</c:v>
                </c:pt>
                <c:pt idx="528" formatCode="0">
                  <c:v>8.1940999999999988</c:v>
                </c:pt>
                <c:pt idx="529" formatCode="0">
                  <c:v>8.2454099999999997</c:v>
                </c:pt>
                <c:pt idx="530" formatCode="0">
                  <c:v>8.1866500000000002</c:v>
                </c:pt>
                <c:pt idx="531" formatCode="0">
                  <c:v>8.2197899999999997</c:v>
                </c:pt>
                <c:pt idx="532" formatCode="0">
                  <c:v>8.2403899999999997</c:v>
                </c:pt>
                <c:pt idx="533" formatCode="0">
                  <c:v>8.3396400000000011</c:v>
                </c:pt>
                <c:pt idx="534" formatCode="0">
                  <c:v>8.3783799999999999</c:v>
                </c:pt>
                <c:pt idx="535" formatCode="0">
                  <c:v>8.4636099999999992</c:v>
                </c:pt>
                <c:pt idx="536" formatCode="0">
                  <c:v>8.5357399999999988</c:v>
                </c:pt>
                <c:pt idx="537" formatCode="0">
                  <c:v>8.8365999999999989</c:v>
                </c:pt>
                <c:pt idx="538" formatCode="0">
                  <c:v>8.9568499999999993</c:v>
                </c:pt>
                <c:pt idx="539" formatCode="0">
                  <c:v>8.9568499999999993</c:v>
                </c:pt>
                <c:pt idx="540" formatCode="0">
                  <c:v>9.3783300000000001</c:v>
                </c:pt>
                <c:pt idx="541" formatCode="0">
                  <c:v>9.3517899999999994</c:v>
                </c:pt>
                <c:pt idx="542" formatCode="0">
                  <c:v>9.3388100000000005</c:v>
                </c:pt>
                <c:pt idx="543" formatCode="0">
                  <c:v>9.4002200000000009</c:v>
                </c:pt>
                <c:pt idx="544" formatCode="0">
                  <c:v>9.3892299999999995</c:v>
                </c:pt>
                <c:pt idx="545" formatCode="0">
                  <c:v>8.9755199999999995</c:v>
                </c:pt>
                <c:pt idx="546" formatCode="0">
                  <c:v>8.8632299999999997</c:v>
                </c:pt>
                <c:pt idx="547" formatCode="0">
                  <c:v>8.7717399999999994</c:v>
                </c:pt>
                <c:pt idx="548" formatCode="0">
                  <c:v>8.7880500000000001</c:v>
                </c:pt>
                <c:pt idx="549" formatCode="0">
                  <c:v>8.8709000000000007</c:v>
                </c:pt>
                <c:pt idx="550" formatCode="0">
                  <c:v>8.8450199999999999</c:v>
                </c:pt>
                <c:pt idx="551" formatCode="0">
                  <c:v>8.6883499999999998</c:v>
                </c:pt>
                <c:pt idx="552" formatCode="0">
                  <c:v>8.7874999999999996</c:v>
                </c:pt>
                <c:pt idx="553" formatCode="0">
                  <c:v>8.8197500000000009</c:v>
                </c:pt>
                <c:pt idx="554" formatCode="0">
                  <c:v>8.6758000000000006</c:v>
                </c:pt>
                <c:pt idx="555" formatCode="0">
                  <c:v>8.6778899999999997</c:v>
                </c:pt>
                <c:pt idx="556" formatCode="0">
                  <c:v>8.8165999999999993</c:v>
                </c:pt>
                <c:pt idx="557" formatCode="0">
                  <c:v>8.8556100000000004</c:v>
                </c:pt>
                <c:pt idx="558" formatCode="0">
                  <c:v>8.8266999999999989</c:v>
                </c:pt>
                <c:pt idx="559" formatCode="0">
                  <c:v>9.17563</c:v>
                </c:pt>
                <c:pt idx="560" formatCode="0">
                  <c:v>9.6981400000000004</c:v>
                </c:pt>
                <c:pt idx="561" formatCode="0">
                  <c:v>9.6981400000000004</c:v>
                </c:pt>
                <c:pt idx="562" formatCode="0">
                  <c:v>9.6981400000000004</c:v>
                </c:pt>
                <c:pt idx="563" formatCode="0">
                  <c:v>9.6981400000000004</c:v>
                </c:pt>
                <c:pt idx="564" formatCode="0">
                  <c:v>9.6981400000000004</c:v>
                </c:pt>
                <c:pt idx="565" formatCode="0">
                  <c:v>9.6981400000000004</c:v>
                </c:pt>
                <c:pt idx="566" formatCode="0">
                  <c:v>9.6981400000000004</c:v>
                </c:pt>
                <c:pt idx="567" formatCode="0">
                  <c:v>9.6981400000000004</c:v>
                </c:pt>
                <c:pt idx="568" formatCode="0">
                  <c:v>9.6981400000000004</c:v>
                </c:pt>
                <c:pt idx="569" formatCode="0">
                  <c:v>94.40428</c:v>
                </c:pt>
                <c:pt idx="570" formatCode="0">
                  <c:v>94.323400000000007</c:v>
                </c:pt>
                <c:pt idx="571" formatCode="0">
                  <c:v>94.323400000000007</c:v>
                </c:pt>
                <c:pt idx="572" formatCode="0">
                  <c:v>94.323400000000007</c:v>
                </c:pt>
                <c:pt idx="573" formatCode="0">
                  <c:v>81.097449999999995</c:v>
                </c:pt>
                <c:pt idx="574" formatCode="0">
                  <c:v>79.875630000000001</c:v>
                </c:pt>
                <c:pt idx="575" formatCode="0">
                  <c:v>72.824190000000002</c:v>
                </c:pt>
                <c:pt idx="576" formatCode="0">
                  <c:v>55.432049999999997</c:v>
                </c:pt>
                <c:pt idx="577" formatCode="0">
                  <c:v>55.432049999999997</c:v>
                </c:pt>
                <c:pt idx="578" formatCode="0">
                  <c:v>55.432049999999997</c:v>
                </c:pt>
                <c:pt idx="579" formatCode="0">
                  <c:v>50.273630000000004</c:v>
                </c:pt>
                <c:pt idx="580" formatCode="0">
                  <c:v>50.16722</c:v>
                </c:pt>
                <c:pt idx="581" formatCode="0">
                  <c:v>50.107569999999996</c:v>
                </c:pt>
                <c:pt idx="582" formatCode="0">
                  <c:v>50.107569999999996</c:v>
                </c:pt>
                <c:pt idx="583" formatCode="0">
                  <c:v>57.408149999999999</c:v>
                </c:pt>
                <c:pt idx="584" formatCode="0">
                  <c:v>57.381319999999995</c:v>
                </c:pt>
                <c:pt idx="585" formatCode="0">
                  <c:v>57.381319999999995</c:v>
                </c:pt>
                <c:pt idx="586" formatCode="0">
                  <c:v>57.381319999999995</c:v>
                </c:pt>
                <c:pt idx="587" formatCode="0">
                  <c:v>57.381319999999995</c:v>
                </c:pt>
                <c:pt idx="588" formatCode="0">
                  <c:v>57.381319999999995</c:v>
                </c:pt>
                <c:pt idx="589" formatCode="0">
                  <c:v>57.381319999999995</c:v>
                </c:pt>
                <c:pt idx="590" formatCode="0">
                  <c:v>46.592160000000007</c:v>
                </c:pt>
                <c:pt idx="591" formatCode="0">
                  <c:v>45.503630000000001</c:v>
                </c:pt>
                <c:pt idx="592" formatCode="0">
                  <c:v>46.493419999999993</c:v>
                </c:pt>
                <c:pt idx="593" formatCode="0">
                  <c:v>46.506610000000002</c:v>
                </c:pt>
                <c:pt idx="594" formatCode="0">
                  <c:v>46.620849999999997</c:v>
                </c:pt>
                <c:pt idx="595" formatCode="0">
                  <c:v>46.67474</c:v>
                </c:pt>
                <c:pt idx="596" formatCode="0">
                  <c:v>47.234570000000005</c:v>
                </c:pt>
                <c:pt idx="597" formatCode="0">
                  <c:v>47.234570000000005</c:v>
                </c:pt>
                <c:pt idx="598" formatCode="0">
                  <c:v>47.234570000000005</c:v>
                </c:pt>
                <c:pt idx="599" formatCode="0">
                  <c:v>48.344759999999994</c:v>
                </c:pt>
                <c:pt idx="600" formatCode="0">
                  <c:v>48.344759999999994</c:v>
                </c:pt>
                <c:pt idx="601" formatCode="0">
                  <c:v>46.694949999999999</c:v>
                </c:pt>
                <c:pt idx="602" formatCode="0">
                  <c:v>46.694949999999999</c:v>
                </c:pt>
                <c:pt idx="603" formatCode="0">
                  <c:v>46.592150000000004</c:v>
                </c:pt>
                <c:pt idx="604" formatCode="0">
                  <c:v>46.605020000000003</c:v>
                </c:pt>
                <c:pt idx="605" formatCode="0">
                  <c:v>47.174930000000003</c:v>
                </c:pt>
                <c:pt idx="606" formatCode="0">
                  <c:v>47.0899</c:v>
                </c:pt>
                <c:pt idx="607" formatCode="0">
                  <c:v>47.050290000000004</c:v>
                </c:pt>
                <c:pt idx="608" formatCode="0">
                  <c:v>47.050290000000004</c:v>
                </c:pt>
                <c:pt idx="609" formatCode="0">
                  <c:v>47.034770000000002</c:v>
                </c:pt>
                <c:pt idx="610" formatCode="0">
                  <c:v>48.642499999999998</c:v>
                </c:pt>
                <c:pt idx="611" formatCode="0">
                  <c:v>49.716340000000002</c:v>
                </c:pt>
                <c:pt idx="612" formatCode="0">
                  <c:v>50.116329999999998</c:v>
                </c:pt>
                <c:pt idx="613" formatCode="0">
                  <c:v>50.116329999999998</c:v>
                </c:pt>
                <c:pt idx="614" formatCode="0">
                  <c:v>48.505919999999996</c:v>
                </c:pt>
                <c:pt idx="615" formatCode="0">
                  <c:v>48.304899999999996</c:v>
                </c:pt>
                <c:pt idx="616" formatCode="0">
                  <c:v>47.617969999999993</c:v>
                </c:pt>
                <c:pt idx="617" formatCode="0">
                  <c:v>47.763480000000001</c:v>
                </c:pt>
                <c:pt idx="618" formatCode="0">
                  <c:v>47.513419999999996</c:v>
                </c:pt>
                <c:pt idx="619" formatCode="0">
                  <c:v>47.513419999999996</c:v>
                </c:pt>
                <c:pt idx="620" formatCode="0">
                  <c:v>49.344160000000002</c:v>
                </c:pt>
                <c:pt idx="621" formatCode="0">
                  <c:v>50.400959999999998</c:v>
                </c:pt>
                <c:pt idx="622" formatCode="0">
                  <c:v>50.089179999999999</c:v>
                </c:pt>
                <c:pt idx="623" formatCode="0">
                  <c:v>46.458909999999996</c:v>
                </c:pt>
                <c:pt idx="624" formatCode="0">
                  <c:v>46.726130000000005</c:v>
                </c:pt>
                <c:pt idx="625" formatCode="0">
                  <c:v>46.721379999999996</c:v>
                </c:pt>
                <c:pt idx="626" formatCode="0">
                  <c:v>46.635759999999998</c:v>
                </c:pt>
                <c:pt idx="627" formatCode="0">
                  <c:v>45.733800000000002</c:v>
                </c:pt>
                <c:pt idx="628" formatCode="0">
                  <c:v>45.129489999999997</c:v>
                </c:pt>
                <c:pt idx="629" formatCode="0">
                  <c:v>45.129489999999997</c:v>
                </c:pt>
                <c:pt idx="630" formatCode="0">
                  <c:v>45.476790000000001</c:v>
                </c:pt>
                <c:pt idx="631" formatCode="0">
                  <c:v>45.476790000000001</c:v>
                </c:pt>
                <c:pt idx="632" formatCode="0">
                  <c:v>45.476790000000001</c:v>
                </c:pt>
                <c:pt idx="633" formatCode="0">
                  <c:v>43.82244</c:v>
                </c:pt>
                <c:pt idx="634" formatCode="0">
                  <c:v>43.775439999999996</c:v>
                </c:pt>
                <c:pt idx="635" formatCode="0">
                  <c:v>43.760290000000005</c:v>
                </c:pt>
                <c:pt idx="636" formatCode="0">
                  <c:v>44.173220000000001</c:v>
                </c:pt>
                <c:pt idx="637" formatCode="0">
                  <c:v>44.902320000000003</c:v>
                </c:pt>
                <c:pt idx="638" formatCode="0">
                  <c:v>45.092290000000006</c:v>
                </c:pt>
                <c:pt idx="639" formatCode="0">
                  <c:v>45.985559999999992</c:v>
                </c:pt>
                <c:pt idx="640" formatCode="0">
                  <c:v>45.561239999999998</c:v>
                </c:pt>
                <c:pt idx="641" formatCode="0">
                  <c:v>45.625079999999997</c:v>
                </c:pt>
                <c:pt idx="642" formatCode="0">
                  <c:v>45.226970000000001</c:v>
                </c:pt>
                <c:pt idx="643" formatCode="0">
                  <c:v>45.252229999999997</c:v>
                </c:pt>
                <c:pt idx="644" formatCode="0">
                  <c:v>45.052600000000005</c:v>
                </c:pt>
                <c:pt idx="645" formatCode="0">
                  <c:v>45.189019999999999</c:v>
                </c:pt>
                <c:pt idx="646" formatCode="0">
                  <c:v>45.37265</c:v>
                </c:pt>
                <c:pt idx="647" formatCode="0">
                  <c:v>44.897449999999999</c:v>
                </c:pt>
                <c:pt idx="648" formatCode="0">
                  <c:v>44.826149999999998</c:v>
                </c:pt>
                <c:pt idx="649" formatCode="0">
                  <c:v>44.839790000000001</c:v>
                </c:pt>
                <c:pt idx="650" formatCode="0">
                  <c:v>43.297929999999994</c:v>
                </c:pt>
                <c:pt idx="651" formatCode="0">
                  <c:v>43.622929999999997</c:v>
                </c:pt>
                <c:pt idx="652" formatCode="0">
                  <c:v>43.737859999999998</c:v>
                </c:pt>
                <c:pt idx="653" formatCode="0">
                  <c:v>43.737859999999998</c:v>
                </c:pt>
                <c:pt idx="654" formatCode="0">
                  <c:v>43.737859999999998</c:v>
                </c:pt>
                <c:pt idx="655" formatCode="0">
                  <c:v>43.737859999999998</c:v>
                </c:pt>
                <c:pt idx="656" formatCode="0">
                  <c:v>45.449309999999997</c:v>
                </c:pt>
                <c:pt idx="657" formatCode="0">
                  <c:v>45.369799999999998</c:v>
                </c:pt>
                <c:pt idx="658" formatCode="0">
                  <c:v>45.369799999999998</c:v>
                </c:pt>
                <c:pt idx="659" formatCode="0">
                  <c:v>45.369799999999998</c:v>
                </c:pt>
                <c:pt idx="660" formatCode="0">
                  <c:v>44.54813</c:v>
                </c:pt>
                <c:pt idx="661" formatCode="0">
                  <c:v>45.54186</c:v>
                </c:pt>
                <c:pt idx="662" formatCode="0">
                  <c:v>45.839190000000002</c:v>
                </c:pt>
                <c:pt idx="663" formatCode="0">
                  <c:v>45.619769999999995</c:v>
                </c:pt>
                <c:pt idx="664" formatCode="0">
                  <c:v>45.41901</c:v>
                </c:pt>
                <c:pt idx="665" formatCode="0">
                  <c:v>47.317869999999999</c:v>
                </c:pt>
                <c:pt idx="666" formatCode="0">
                  <c:v>47.078280000000007</c:v>
                </c:pt>
                <c:pt idx="667" formatCode="0">
                  <c:v>50.829909999999998</c:v>
                </c:pt>
                <c:pt idx="668" formatCode="0">
                  <c:v>55.022460000000002</c:v>
                </c:pt>
                <c:pt idx="669" formatCode="0">
                  <c:v>55.022460000000002</c:v>
                </c:pt>
                <c:pt idx="670" formatCode="0">
                  <c:v>55.022460000000002</c:v>
                </c:pt>
                <c:pt idx="671" formatCode="0">
                  <c:v>54.424390000000002</c:v>
                </c:pt>
                <c:pt idx="672" formatCode="0">
                  <c:v>54.058329999999998</c:v>
                </c:pt>
                <c:pt idx="673" formatCode="0">
                  <c:v>54.058329999999998</c:v>
                </c:pt>
                <c:pt idx="674" formatCode="0">
                  <c:v>54.116409999999995</c:v>
                </c:pt>
                <c:pt idx="675" formatCode="0">
                  <c:v>54.116409999999995</c:v>
                </c:pt>
                <c:pt idx="676" formatCode="0">
                  <c:v>54.116409999999995</c:v>
                </c:pt>
                <c:pt idx="677" formatCode="0">
                  <c:v>54.116409999999995</c:v>
                </c:pt>
                <c:pt idx="678" formatCode="0">
                  <c:v>54.116409999999995</c:v>
                </c:pt>
                <c:pt idx="679" formatCode="0">
                  <c:v>54.116409999999995</c:v>
                </c:pt>
                <c:pt idx="680" formatCode="0">
                  <c:v>54.116409999999995</c:v>
                </c:pt>
                <c:pt idx="681" formatCode="0">
                  <c:v>54.116409999999995</c:v>
                </c:pt>
                <c:pt idx="682" formatCode="0">
                  <c:v>49.511159999999997</c:v>
                </c:pt>
                <c:pt idx="683" formatCode="0">
                  <c:v>48.698299999999996</c:v>
                </c:pt>
                <c:pt idx="684" formatCode="0">
                  <c:v>46.0122</c:v>
                </c:pt>
                <c:pt idx="685" formatCode="0">
                  <c:v>45.720339999999993</c:v>
                </c:pt>
                <c:pt idx="686" formatCode="0">
                  <c:v>45.461580000000005</c:v>
                </c:pt>
                <c:pt idx="687" formatCode="0">
                  <c:v>45.416559999999997</c:v>
                </c:pt>
                <c:pt idx="688" formatCode="0">
                  <c:v>43.595510000000004</c:v>
                </c:pt>
                <c:pt idx="689" formatCode="0">
                  <c:v>38.886200000000002</c:v>
                </c:pt>
                <c:pt idx="690" formatCode="0">
                  <c:v>38.605690000000003</c:v>
                </c:pt>
                <c:pt idx="691" formatCode="0">
                  <c:v>38.605690000000003</c:v>
                </c:pt>
                <c:pt idx="692" formatCode="0">
                  <c:v>38.605690000000003</c:v>
                </c:pt>
                <c:pt idx="693" formatCode="0">
                  <c:v>38.605690000000003</c:v>
                </c:pt>
                <c:pt idx="694" formatCode="0">
                  <c:v>38.605690000000003</c:v>
                </c:pt>
                <c:pt idx="695" formatCode="0">
                  <c:v>38.605690000000003</c:v>
                </c:pt>
                <c:pt idx="696" formatCode="0">
                  <c:v>38.605690000000003</c:v>
                </c:pt>
                <c:pt idx="697" formatCode="0">
                  <c:v>38.605690000000003</c:v>
                </c:pt>
                <c:pt idx="698" formatCode="0">
                  <c:v>38.605690000000003</c:v>
                </c:pt>
                <c:pt idx="699" formatCode="0">
                  <c:v>38.605690000000003</c:v>
                </c:pt>
                <c:pt idx="700" formatCode="0">
                  <c:v>32.539929999999998</c:v>
                </c:pt>
                <c:pt idx="701" formatCode="0">
                  <c:v>32.420360000000002</c:v>
                </c:pt>
                <c:pt idx="702" formatCode="0">
                  <c:v>32.420360000000002</c:v>
                </c:pt>
                <c:pt idx="703" formatCode="0">
                  <c:v>31.300830000000001</c:v>
                </c:pt>
                <c:pt idx="704" formatCode="0">
                  <c:v>29.747519999999998</c:v>
                </c:pt>
                <c:pt idx="705" formatCode="0">
                  <c:v>29.99897</c:v>
                </c:pt>
                <c:pt idx="706" formatCode="0">
                  <c:v>29.994980000000002</c:v>
                </c:pt>
                <c:pt idx="707" formatCode="0">
                  <c:v>29.939720000000001</c:v>
                </c:pt>
              </c:numCache>
            </c:numRef>
          </c:val>
          <c:smooth val="0"/>
          <c:extLst>
            <c:ext xmlns:c16="http://schemas.microsoft.com/office/drawing/2014/chart" uri="{C3380CC4-5D6E-409C-BE32-E72D297353CC}">
              <c16:uniqueId val="{00000007-F31E-4170-9322-6C48FF56580E}"/>
            </c:ext>
          </c:extLst>
        </c:ser>
        <c:ser>
          <c:idx val="8"/>
          <c:order val="8"/>
          <c:tx>
            <c:strRef>
              <c:f>Sheet1!$J$1</c:f>
              <c:strCache>
                <c:ptCount val="1"/>
                <c:pt idx="0">
                  <c:v>Ուկրաինա ( 2033 թ.), աջ առանցք</c:v>
                </c:pt>
              </c:strCache>
            </c:strRef>
          </c:tx>
          <c:spPr>
            <a:ln w="19050" cap="rnd">
              <a:solidFill>
                <a:schemeClr val="accent3">
                  <a:lumMod val="60000"/>
                </a:schemeClr>
              </a:solidFill>
              <a:round/>
            </a:ln>
            <a:effectLst/>
          </c:spPr>
          <c:marker>
            <c:symbol val="none"/>
          </c:marker>
          <c:cat>
            <c:numRef>
              <c:f>Sheet1!$A$2:$A$971</c:f>
              <c:numCache>
                <c:formatCode>m\/d\/yyyy</c:formatCode>
                <c:ptCount val="709"/>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pt idx="639">
                  <c:v>44726</c:v>
                </c:pt>
                <c:pt idx="640">
                  <c:v>44727</c:v>
                </c:pt>
                <c:pt idx="641">
                  <c:v>44728</c:v>
                </c:pt>
                <c:pt idx="642">
                  <c:v>44729</c:v>
                </c:pt>
                <c:pt idx="643">
                  <c:v>44732</c:v>
                </c:pt>
                <c:pt idx="644">
                  <c:v>44733</c:v>
                </c:pt>
                <c:pt idx="645">
                  <c:v>44734</c:v>
                </c:pt>
                <c:pt idx="646">
                  <c:v>44735</c:v>
                </c:pt>
                <c:pt idx="647">
                  <c:v>44736</c:v>
                </c:pt>
                <c:pt idx="648">
                  <c:v>44739</c:v>
                </c:pt>
                <c:pt idx="649">
                  <c:v>44740</c:v>
                </c:pt>
                <c:pt idx="650">
                  <c:v>44741</c:v>
                </c:pt>
                <c:pt idx="651">
                  <c:v>44742</c:v>
                </c:pt>
                <c:pt idx="652">
                  <c:v>44743</c:v>
                </c:pt>
                <c:pt idx="653">
                  <c:v>44746</c:v>
                </c:pt>
                <c:pt idx="654">
                  <c:v>44747</c:v>
                </c:pt>
                <c:pt idx="655">
                  <c:v>44748</c:v>
                </c:pt>
                <c:pt idx="656">
                  <c:v>44749</c:v>
                </c:pt>
                <c:pt idx="657">
                  <c:v>44750</c:v>
                </c:pt>
                <c:pt idx="658">
                  <c:v>44753</c:v>
                </c:pt>
                <c:pt idx="659">
                  <c:v>44754</c:v>
                </c:pt>
                <c:pt idx="660">
                  <c:v>44755</c:v>
                </c:pt>
                <c:pt idx="661">
                  <c:v>44756</c:v>
                </c:pt>
                <c:pt idx="662">
                  <c:v>44757</c:v>
                </c:pt>
                <c:pt idx="663">
                  <c:v>44760</c:v>
                </c:pt>
                <c:pt idx="664">
                  <c:v>44761</c:v>
                </c:pt>
                <c:pt idx="665">
                  <c:v>44762</c:v>
                </c:pt>
                <c:pt idx="666">
                  <c:v>44763</c:v>
                </c:pt>
                <c:pt idx="667">
                  <c:v>44764</c:v>
                </c:pt>
                <c:pt idx="668">
                  <c:v>44767</c:v>
                </c:pt>
                <c:pt idx="669">
                  <c:v>44768</c:v>
                </c:pt>
                <c:pt idx="670">
                  <c:v>44769</c:v>
                </c:pt>
                <c:pt idx="671">
                  <c:v>44770</c:v>
                </c:pt>
                <c:pt idx="672">
                  <c:v>44771</c:v>
                </c:pt>
                <c:pt idx="673">
                  <c:v>44774</c:v>
                </c:pt>
                <c:pt idx="674">
                  <c:v>44775</c:v>
                </c:pt>
                <c:pt idx="675">
                  <c:v>44776</c:v>
                </c:pt>
                <c:pt idx="676">
                  <c:v>44777</c:v>
                </c:pt>
                <c:pt idx="677">
                  <c:v>44778</c:v>
                </c:pt>
                <c:pt idx="678">
                  <c:v>44781</c:v>
                </c:pt>
                <c:pt idx="679">
                  <c:v>44782</c:v>
                </c:pt>
                <c:pt idx="680">
                  <c:v>44783</c:v>
                </c:pt>
                <c:pt idx="681">
                  <c:v>44784</c:v>
                </c:pt>
                <c:pt idx="682">
                  <c:v>44785</c:v>
                </c:pt>
                <c:pt idx="683">
                  <c:v>44788</c:v>
                </c:pt>
                <c:pt idx="684">
                  <c:v>44789</c:v>
                </c:pt>
                <c:pt idx="685">
                  <c:v>44790</c:v>
                </c:pt>
                <c:pt idx="686">
                  <c:v>44791</c:v>
                </c:pt>
                <c:pt idx="687">
                  <c:v>44792</c:v>
                </c:pt>
                <c:pt idx="688">
                  <c:v>44795</c:v>
                </c:pt>
                <c:pt idx="689">
                  <c:v>44796</c:v>
                </c:pt>
                <c:pt idx="690">
                  <c:v>44797</c:v>
                </c:pt>
                <c:pt idx="691">
                  <c:v>44798</c:v>
                </c:pt>
                <c:pt idx="692">
                  <c:v>44799</c:v>
                </c:pt>
                <c:pt idx="693">
                  <c:v>44802</c:v>
                </c:pt>
                <c:pt idx="694">
                  <c:v>44803</c:v>
                </c:pt>
                <c:pt idx="695">
                  <c:v>44804</c:v>
                </c:pt>
                <c:pt idx="696">
                  <c:v>44805</c:v>
                </c:pt>
                <c:pt idx="697">
                  <c:v>44806</c:v>
                </c:pt>
                <c:pt idx="698">
                  <c:v>44809</c:v>
                </c:pt>
                <c:pt idx="699">
                  <c:v>44810</c:v>
                </c:pt>
                <c:pt idx="700">
                  <c:v>44811</c:v>
                </c:pt>
                <c:pt idx="701">
                  <c:v>44812</c:v>
                </c:pt>
                <c:pt idx="702">
                  <c:v>44813</c:v>
                </c:pt>
                <c:pt idx="703">
                  <c:v>44816</c:v>
                </c:pt>
                <c:pt idx="704">
                  <c:v>44817</c:v>
                </c:pt>
                <c:pt idx="705">
                  <c:v>44818</c:v>
                </c:pt>
                <c:pt idx="706">
                  <c:v>44819</c:v>
                </c:pt>
                <c:pt idx="707">
                  <c:v>44820</c:v>
                </c:pt>
              </c:numCache>
            </c:numRef>
          </c:cat>
          <c:val>
            <c:numRef>
              <c:f>Sheet1!$J$2:$J$971</c:f>
              <c:numCache>
                <c:formatCode>General</c:formatCode>
                <c:ptCount val="709"/>
                <c:pt idx="148" formatCode="0">
                  <c:v>6.4962900000000001</c:v>
                </c:pt>
                <c:pt idx="149" formatCode="0">
                  <c:v>6.6388400000000001</c:v>
                </c:pt>
                <c:pt idx="150" formatCode="0">
                  <c:v>6.6700400000000002</c:v>
                </c:pt>
                <c:pt idx="151" formatCode="0">
                  <c:v>6.8829200000000004</c:v>
                </c:pt>
                <c:pt idx="152" formatCode="0">
                  <c:v>6.95601</c:v>
                </c:pt>
                <c:pt idx="153" formatCode="0">
                  <c:v>6.9543699999999999</c:v>
                </c:pt>
                <c:pt idx="154" formatCode="0">
                  <c:v>6.9034599999999999</c:v>
                </c:pt>
                <c:pt idx="155" formatCode="0">
                  <c:v>6.7551600000000001</c:v>
                </c:pt>
                <c:pt idx="156" formatCode="0">
                  <c:v>6.7847100000000005</c:v>
                </c:pt>
                <c:pt idx="157" formatCode="0">
                  <c:v>6.9432200000000002</c:v>
                </c:pt>
                <c:pt idx="158" formatCode="0">
                  <c:v>6.877089999999999</c:v>
                </c:pt>
                <c:pt idx="159" formatCode="0">
                  <c:v>6.6816800000000001</c:v>
                </c:pt>
                <c:pt idx="160" formatCode="0">
                  <c:v>6.5717999999999996</c:v>
                </c:pt>
                <c:pt idx="161" formatCode="0">
                  <c:v>6.5230399999999999</c:v>
                </c:pt>
                <c:pt idx="162" formatCode="0">
                  <c:v>6.5388300000000008</c:v>
                </c:pt>
                <c:pt idx="163" formatCode="0">
                  <c:v>6.5132099999999999</c:v>
                </c:pt>
                <c:pt idx="164" formatCode="0">
                  <c:v>6.5629900000000001</c:v>
                </c:pt>
                <c:pt idx="165" formatCode="0">
                  <c:v>6.4362699999999995</c:v>
                </c:pt>
                <c:pt idx="166" formatCode="0">
                  <c:v>6.5664499999999997</c:v>
                </c:pt>
                <c:pt idx="167" formatCode="0">
                  <c:v>6.5139099999999992</c:v>
                </c:pt>
                <c:pt idx="168" formatCode="0">
                  <c:v>6.4580100000000007</c:v>
                </c:pt>
                <c:pt idx="169" formatCode="0">
                  <c:v>6.4478</c:v>
                </c:pt>
                <c:pt idx="170" formatCode="0">
                  <c:v>6.5232600000000005</c:v>
                </c:pt>
                <c:pt idx="171" formatCode="0">
                  <c:v>6.406130000000001</c:v>
                </c:pt>
                <c:pt idx="172" formatCode="0">
                  <c:v>6.3380299999999998</c:v>
                </c:pt>
                <c:pt idx="173" formatCode="0">
                  <c:v>6.3380299999999998</c:v>
                </c:pt>
                <c:pt idx="174" formatCode="0">
                  <c:v>6.2814899999999998</c:v>
                </c:pt>
                <c:pt idx="175" formatCode="0">
                  <c:v>6.2625900000000003</c:v>
                </c:pt>
                <c:pt idx="176" formatCode="0">
                  <c:v>6.4144100000000002</c:v>
                </c:pt>
                <c:pt idx="177" formatCode="0">
                  <c:v>6.4106399999999999</c:v>
                </c:pt>
                <c:pt idx="178" formatCode="0">
                  <c:v>6.4288599999999994</c:v>
                </c:pt>
                <c:pt idx="179" formatCode="0">
                  <c:v>6.5707699999999996</c:v>
                </c:pt>
                <c:pt idx="180" formatCode="0">
                  <c:v>6.5049599999999996</c:v>
                </c:pt>
                <c:pt idx="181" formatCode="0">
                  <c:v>6.5665399999999998</c:v>
                </c:pt>
                <c:pt idx="182" formatCode="0">
                  <c:v>6.6017700000000001</c:v>
                </c:pt>
                <c:pt idx="183" formatCode="0">
                  <c:v>6.6333099999999998</c:v>
                </c:pt>
                <c:pt idx="184" formatCode="0">
                  <c:v>6.5522299999999998</c:v>
                </c:pt>
                <c:pt idx="185" formatCode="0">
                  <c:v>6.4960500000000003</c:v>
                </c:pt>
                <c:pt idx="186" formatCode="0">
                  <c:v>6.6055600000000005</c:v>
                </c:pt>
                <c:pt idx="187" formatCode="0">
                  <c:v>6.6276900000000003</c:v>
                </c:pt>
                <c:pt idx="188" formatCode="0">
                  <c:v>7.0627399999999998</c:v>
                </c:pt>
                <c:pt idx="189" formatCode="0">
                  <c:v>7.0548900000000003</c:v>
                </c:pt>
                <c:pt idx="190" formatCode="0">
                  <c:v>7.1478399999999995</c:v>
                </c:pt>
                <c:pt idx="191" formatCode="0">
                  <c:v>7.2715200000000006</c:v>
                </c:pt>
                <c:pt idx="192" formatCode="0">
                  <c:v>7.2770200000000003</c:v>
                </c:pt>
                <c:pt idx="193" formatCode="0">
                  <c:v>7.2373299999999992</c:v>
                </c:pt>
                <c:pt idx="194" formatCode="0">
                  <c:v>7.3787000000000003</c:v>
                </c:pt>
                <c:pt idx="195" formatCode="0">
                  <c:v>7.3778599999999992</c:v>
                </c:pt>
                <c:pt idx="196" formatCode="0">
                  <c:v>7.3026800000000005</c:v>
                </c:pt>
                <c:pt idx="197" formatCode="0">
                  <c:v>7.3091699999999999</c:v>
                </c:pt>
                <c:pt idx="198" formatCode="0">
                  <c:v>7.1274600000000001</c:v>
                </c:pt>
                <c:pt idx="199" formatCode="0">
                  <c:v>7.1724100000000002</c:v>
                </c:pt>
                <c:pt idx="200" formatCode="0">
                  <c:v>7.0099900000000002</c:v>
                </c:pt>
                <c:pt idx="201" formatCode="0">
                  <c:v>6.9193299999999995</c:v>
                </c:pt>
                <c:pt idx="202" formatCode="0">
                  <c:v>6.6726199999999993</c:v>
                </c:pt>
                <c:pt idx="203" formatCode="0">
                  <c:v>6.6736400000000007</c:v>
                </c:pt>
                <c:pt idx="204" formatCode="0">
                  <c:v>6.8805300000000003</c:v>
                </c:pt>
                <c:pt idx="205" formatCode="0">
                  <c:v>7.0713199999999992</c:v>
                </c:pt>
                <c:pt idx="206" formatCode="0">
                  <c:v>7.1188699999999994</c:v>
                </c:pt>
                <c:pt idx="207" formatCode="0">
                  <c:v>7.0459500000000004</c:v>
                </c:pt>
                <c:pt idx="208" formatCode="0">
                  <c:v>7.0262199999999995</c:v>
                </c:pt>
                <c:pt idx="209" formatCode="0">
                  <c:v>7.1330200000000001</c:v>
                </c:pt>
                <c:pt idx="210" formatCode="0">
                  <c:v>7.2061999999999999</c:v>
                </c:pt>
                <c:pt idx="211" formatCode="0">
                  <c:v>7.2469600000000005</c:v>
                </c:pt>
                <c:pt idx="212" formatCode="0">
                  <c:v>7.2045199999999996</c:v>
                </c:pt>
                <c:pt idx="213" formatCode="0">
                  <c:v>7.3493300000000001</c:v>
                </c:pt>
                <c:pt idx="214" formatCode="0">
                  <c:v>7.1735000000000007</c:v>
                </c:pt>
                <c:pt idx="215" formatCode="0">
                  <c:v>7.2534299999999998</c:v>
                </c:pt>
                <c:pt idx="216" formatCode="0">
                  <c:v>7.1318899999999994</c:v>
                </c:pt>
                <c:pt idx="217" formatCode="0">
                  <c:v>6.9360499999999998</c:v>
                </c:pt>
                <c:pt idx="218" formatCode="0">
                  <c:v>6.8840399999999997</c:v>
                </c:pt>
                <c:pt idx="219" formatCode="0">
                  <c:v>6.6248100000000001</c:v>
                </c:pt>
                <c:pt idx="220" formatCode="0">
                  <c:v>6.5331500000000009</c:v>
                </c:pt>
                <c:pt idx="221" formatCode="0">
                  <c:v>6.26356</c:v>
                </c:pt>
                <c:pt idx="222" formatCode="0">
                  <c:v>6.3152099999999995</c:v>
                </c:pt>
                <c:pt idx="223" formatCode="0">
                  <c:v>5.96333</c:v>
                </c:pt>
                <c:pt idx="224" formatCode="0">
                  <c:v>5.9858200000000004</c:v>
                </c:pt>
                <c:pt idx="225" formatCode="0">
                  <c:v>5.89384</c:v>
                </c:pt>
                <c:pt idx="226" formatCode="0">
                  <c:v>5.9928599999999994</c:v>
                </c:pt>
                <c:pt idx="227" formatCode="0">
                  <c:v>5.9688199999999991</c:v>
                </c:pt>
                <c:pt idx="228" formatCode="0">
                  <c:v>5.8013699999999995</c:v>
                </c:pt>
                <c:pt idx="229" formatCode="0">
                  <c:v>5.8863500000000002</c:v>
                </c:pt>
                <c:pt idx="230" formatCode="0">
                  <c:v>5.87242</c:v>
                </c:pt>
                <c:pt idx="231" formatCode="0">
                  <c:v>5.9110500000000004</c:v>
                </c:pt>
                <c:pt idx="232" formatCode="0">
                  <c:v>5.8420399999999999</c:v>
                </c:pt>
                <c:pt idx="233" formatCode="0">
                  <c:v>5.6799800000000005</c:v>
                </c:pt>
                <c:pt idx="234" formatCode="0">
                  <c:v>5.40543</c:v>
                </c:pt>
                <c:pt idx="235" formatCode="0">
                  <c:v>5.4670000000000005</c:v>
                </c:pt>
                <c:pt idx="236" formatCode="0">
                  <c:v>5.4642600000000003</c:v>
                </c:pt>
                <c:pt idx="237" formatCode="0">
                  <c:v>5.5244299999999997</c:v>
                </c:pt>
                <c:pt idx="238" formatCode="0">
                  <c:v>5.5006200000000005</c:v>
                </c:pt>
                <c:pt idx="239" formatCode="0">
                  <c:v>5.2171599999999998</c:v>
                </c:pt>
                <c:pt idx="240" formatCode="0">
                  <c:v>5.1740899999999996</c:v>
                </c:pt>
                <c:pt idx="241" formatCode="0">
                  <c:v>5.17326</c:v>
                </c:pt>
                <c:pt idx="242" formatCode="0">
                  <c:v>4.9961599999999997</c:v>
                </c:pt>
                <c:pt idx="243" formatCode="0">
                  <c:v>5.05288</c:v>
                </c:pt>
                <c:pt idx="244" formatCode="0">
                  <c:v>5.0780700000000003</c:v>
                </c:pt>
                <c:pt idx="245" formatCode="0">
                  <c:v>5.0242399999999998</c:v>
                </c:pt>
                <c:pt idx="246" formatCode="0">
                  <c:v>5.0698299999999996</c:v>
                </c:pt>
                <c:pt idx="247" formatCode="0">
                  <c:v>5.13734</c:v>
                </c:pt>
                <c:pt idx="248" formatCode="0">
                  <c:v>5.0428500000000005</c:v>
                </c:pt>
                <c:pt idx="249" formatCode="0">
                  <c:v>5.0019</c:v>
                </c:pt>
                <c:pt idx="250" formatCode="0">
                  <c:v>4.9925899999999999</c:v>
                </c:pt>
                <c:pt idx="251" formatCode="0">
                  <c:v>5.0069299999999997</c:v>
                </c:pt>
                <c:pt idx="252" formatCode="0">
                  <c:v>5.0731000000000002</c:v>
                </c:pt>
                <c:pt idx="253" formatCode="0">
                  <c:v>5.1487999999999996</c:v>
                </c:pt>
                <c:pt idx="254" formatCode="0">
                  <c:v>5.1873900000000006</c:v>
                </c:pt>
                <c:pt idx="255" formatCode="0">
                  <c:v>5.11768</c:v>
                </c:pt>
                <c:pt idx="256" formatCode="0">
                  <c:v>5.1317700000000004</c:v>
                </c:pt>
                <c:pt idx="257" formatCode="0">
                  <c:v>5.1317700000000004</c:v>
                </c:pt>
                <c:pt idx="258" formatCode="0">
                  <c:v>5.1317700000000004</c:v>
                </c:pt>
                <c:pt idx="259" formatCode="0">
                  <c:v>5.1093999999999999</c:v>
                </c:pt>
                <c:pt idx="260" formatCode="0">
                  <c:v>5.0668800000000003</c:v>
                </c:pt>
                <c:pt idx="261" formatCode="0">
                  <c:v>5.06473</c:v>
                </c:pt>
                <c:pt idx="262" formatCode="0">
                  <c:v>5.06473</c:v>
                </c:pt>
                <c:pt idx="263" formatCode="0">
                  <c:v>4.98787</c:v>
                </c:pt>
                <c:pt idx="264" formatCode="0">
                  <c:v>5.0278299999999998</c:v>
                </c:pt>
                <c:pt idx="265" formatCode="0">
                  <c:v>4.9863200000000001</c:v>
                </c:pt>
                <c:pt idx="266" formatCode="0">
                  <c:v>4.8863099999999999</c:v>
                </c:pt>
                <c:pt idx="267" formatCode="0">
                  <c:v>4.8785500000000006</c:v>
                </c:pt>
                <c:pt idx="268" formatCode="0">
                  <c:v>4.9281199999999998</c:v>
                </c:pt>
                <c:pt idx="269" formatCode="0">
                  <c:v>5.1647400000000001</c:v>
                </c:pt>
                <c:pt idx="270" formatCode="0">
                  <c:v>5.0995200000000001</c:v>
                </c:pt>
                <c:pt idx="271" formatCode="0">
                  <c:v>5.0357599999999998</c:v>
                </c:pt>
                <c:pt idx="272" formatCode="0">
                  <c:v>5.1684799999999997</c:v>
                </c:pt>
                <c:pt idx="273" formatCode="0">
                  <c:v>5.1708299999999996</c:v>
                </c:pt>
                <c:pt idx="274" formatCode="0">
                  <c:v>5.1793399999999998</c:v>
                </c:pt>
                <c:pt idx="275" formatCode="0">
                  <c:v>5.1611400000000005</c:v>
                </c:pt>
                <c:pt idx="276" formatCode="0">
                  <c:v>5.0460799999999999</c:v>
                </c:pt>
                <c:pt idx="277" formatCode="0">
                  <c:v>5.0624500000000001</c:v>
                </c:pt>
                <c:pt idx="278" formatCode="0">
                  <c:v>5.0925000000000002</c:v>
                </c:pt>
                <c:pt idx="279" formatCode="0">
                  <c:v>5.1042200000000006</c:v>
                </c:pt>
                <c:pt idx="280" formatCode="0">
                  <c:v>5.2260799999999996</c:v>
                </c:pt>
                <c:pt idx="281" formatCode="0">
                  <c:v>5.2389400000000004</c:v>
                </c:pt>
                <c:pt idx="282" formatCode="0">
                  <c:v>5.1789700000000005</c:v>
                </c:pt>
                <c:pt idx="283" formatCode="0">
                  <c:v>5.1659299999999995</c:v>
                </c:pt>
                <c:pt idx="284" formatCode="0">
                  <c:v>5.0961699999999999</c:v>
                </c:pt>
                <c:pt idx="285" formatCode="0">
                  <c:v>5.0196800000000001</c:v>
                </c:pt>
                <c:pt idx="286" formatCode="0">
                  <c:v>4.9081700000000001</c:v>
                </c:pt>
                <c:pt idx="287" formatCode="0">
                  <c:v>4.7431299999999998</c:v>
                </c:pt>
                <c:pt idx="288" formatCode="0">
                  <c:v>4.8083800000000005</c:v>
                </c:pt>
                <c:pt idx="289" formatCode="0">
                  <c:v>4.9094099999999994</c:v>
                </c:pt>
                <c:pt idx="290" formatCode="0">
                  <c:v>5.0682</c:v>
                </c:pt>
                <c:pt idx="291" formatCode="0">
                  <c:v>4.9358499999999994</c:v>
                </c:pt>
                <c:pt idx="292" formatCode="0">
                  <c:v>4.8890599999999997</c:v>
                </c:pt>
                <c:pt idx="293" formatCode="0">
                  <c:v>4.9411399999999999</c:v>
                </c:pt>
                <c:pt idx="294" formatCode="0">
                  <c:v>5.00108</c:v>
                </c:pt>
                <c:pt idx="295" formatCode="0">
                  <c:v>5.1447400000000005</c:v>
                </c:pt>
                <c:pt idx="296" formatCode="0">
                  <c:v>5.0820600000000002</c:v>
                </c:pt>
                <c:pt idx="297" formatCode="0">
                  <c:v>5.0853900000000003</c:v>
                </c:pt>
                <c:pt idx="298" formatCode="0">
                  <c:v>5.2226999999999997</c:v>
                </c:pt>
                <c:pt idx="299" formatCode="0">
                  <c:v>5.26614</c:v>
                </c:pt>
                <c:pt idx="300" formatCode="0">
                  <c:v>5.1338199999999992</c:v>
                </c:pt>
                <c:pt idx="301" formatCode="0">
                  <c:v>5.1473100000000001</c:v>
                </c:pt>
                <c:pt idx="302" formatCode="0">
                  <c:v>5.4330400000000001</c:v>
                </c:pt>
                <c:pt idx="303" formatCode="0">
                  <c:v>5.2383199999999999</c:v>
                </c:pt>
                <c:pt idx="304" formatCode="0">
                  <c:v>5.2844100000000003</c:v>
                </c:pt>
                <c:pt idx="305" formatCode="0">
                  <c:v>5.2753999999999994</c:v>
                </c:pt>
                <c:pt idx="306" formatCode="0">
                  <c:v>5.3191700000000006</c:v>
                </c:pt>
                <c:pt idx="307" formatCode="0">
                  <c:v>5.4925499999999996</c:v>
                </c:pt>
                <c:pt idx="308" formatCode="0">
                  <c:v>5.6868299999999996</c:v>
                </c:pt>
                <c:pt idx="309" formatCode="0">
                  <c:v>5.6340200000000005</c:v>
                </c:pt>
                <c:pt idx="310" formatCode="0">
                  <c:v>5.5686499999999999</c:v>
                </c:pt>
                <c:pt idx="311" formatCode="0">
                  <c:v>5.2340300000000006</c:v>
                </c:pt>
                <c:pt idx="312" formatCode="0">
                  <c:v>5.2853999999999992</c:v>
                </c:pt>
                <c:pt idx="313" formatCode="0">
                  <c:v>5.2215800000000003</c:v>
                </c:pt>
                <c:pt idx="314" formatCode="0">
                  <c:v>5.1445500000000006</c:v>
                </c:pt>
                <c:pt idx="315" formatCode="0">
                  <c:v>5.1728300000000003</c:v>
                </c:pt>
                <c:pt idx="316" formatCode="0">
                  <c:v>5.1722099999999998</c:v>
                </c:pt>
                <c:pt idx="317" formatCode="0">
                  <c:v>5.1769500000000006</c:v>
                </c:pt>
                <c:pt idx="318" formatCode="0">
                  <c:v>5.2116800000000003</c:v>
                </c:pt>
                <c:pt idx="319" formatCode="0">
                  <c:v>5.2413099999999995</c:v>
                </c:pt>
                <c:pt idx="320" formatCode="0">
                  <c:v>5.2203999999999997</c:v>
                </c:pt>
                <c:pt idx="321" formatCode="0">
                  <c:v>5.2403300000000002</c:v>
                </c:pt>
                <c:pt idx="322" formatCode="0">
                  <c:v>5.2213199999999995</c:v>
                </c:pt>
                <c:pt idx="323" formatCode="0">
                  <c:v>5.2064500000000002</c:v>
                </c:pt>
                <c:pt idx="324" formatCode="0">
                  <c:v>5.4195700000000002</c:v>
                </c:pt>
                <c:pt idx="325" formatCode="0">
                  <c:v>5.38225</c:v>
                </c:pt>
                <c:pt idx="326" formatCode="0">
                  <c:v>5.63063</c:v>
                </c:pt>
                <c:pt idx="327" formatCode="0">
                  <c:v>5.63063</c:v>
                </c:pt>
                <c:pt idx="328" formatCode="0">
                  <c:v>5.63063</c:v>
                </c:pt>
                <c:pt idx="329" formatCode="0">
                  <c:v>5.7606100000000007</c:v>
                </c:pt>
                <c:pt idx="330" formatCode="0">
                  <c:v>5.5388300000000008</c:v>
                </c:pt>
                <c:pt idx="331" formatCode="0">
                  <c:v>5.5091999999999999</c:v>
                </c:pt>
                <c:pt idx="332" formatCode="0">
                  <c:v>5.5379200000000006</c:v>
                </c:pt>
                <c:pt idx="333" formatCode="0">
                  <c:v>5.7522000000000002</c:v>
                </c:pt>
                <c:pt idx="334" formatCode="0">
                  <c:v>5.6652499999999995</c:v>
                </c:pt>
                <c:pt idx="335" formatCode="0">
                  <c:v>5.5055300000000003</c:v>
                </c:pt>
                <c:pt idx="336" formatCode="0">
                  <c:v>5.5329499999999996</c:v>
                </c:pt>
                <c:pt idx="337" formatCode="0">
                  <c:v>5.3929200000000002</c:v>
                </c:pt>
                <c:pt idx="338" formatCode="0">
                  <c:v>5.3991600000000002</c:v>
                </c:pt>
                <c:pt idx="339" formatCode="0">
                  <c:v>5.5926999999999998</c:v>
                </c:pt>
                <c:pt idx="340" formatCode="0">
                  <c:v>5.5002999999999993</c:v>
                </c:pt>
                <c:pt idx="341" formatCode="0">
                  <c:v>5.2174199999999997</c:v>
                </c:pt>
                <c:pt idx="342" formatCode="0">
                  <c:v>5.1389700000000005</c:v>
                </c:pt>
                <c:pt idx="343" formatCode="0">
                  <c:v>5.23264</c:v>
                </c:pt>
                <c:pt idx="344" formatCode="0">
                  <c:v>5.3989399999999996</c:v>
                </c:pt>
                <c:pt idx="345" formatCode="0">
                  <c:v>5.44963</c:v>
                </c:pt>
                <c:pt idx="346" formatCode="0">
                  <c:v>5.4307799999999995</c:v>
                </c:pt>
                <c:pt idx="347" formatCode="0">
                  <c:v>5.4296500000000005</c:v>
                </c:pt>
                <c:pt idx="348" formatCode="0">
                  <c:v>5.4296500000000005</c:v>
                </c:pt>
                <c:pt idx="349" formatCode="0">
                  <c:v>5.5203700000000007</c:v>
                </c:pt>
                <c:pt idx="350" formatCode="0">
                  <c:v>5.4991899999999996</c:v>
                </c:pt>
                <c:pt idx="351" formatCode="0">
                  <c:v>5.4299900000000001</c:v>
                </c:pt>
                <c:pt idx="352" formatCode="0">
                  <c:v>5.2526999999999999</c:v>
                </c:pt>
                <c:pt idx="353" formatCode="0">
                  <c:v>5.1442399999999999</c:v>
                </c:pt>
                <c:pt idx="354" formatCode="0">
                  <c:v>5.2263099999999998</c:v>
                </c:pt>
                <c:pt idx="355" formatCode="0">
                  <c:v>5.2493299999999996</c:v>
                </c:pt>
                <c:pt idx="356" formatCode="0">
                  <c:v>5.2824400000000002</c:v>
                </c:pt>
                <c:pt idx="357" formatCode="0">
                  <c:v>5.2291699999999999</c:v>
                </c:pt>
                <c:pt idx="358" formatCode="0">
                  <c:v>5.2287400000000002</c:v>
                </c:pt>
                <c:pt idx="359" formatCode="0">
                  <c:v>5.1341299999999999</c:v>
                </c:pt>
                <c:pt idx="360" formatCode="0">
                  <c:v>5.1769600000000002</c:v>
                </c:pt>
                <c:pt idx="361" formatCode="0">
                  <c:v>5.0854200000000001</c:v>
                </c:pt>
                <c:pt idx="362" formatCode="0">
                  <c:v>4.9942200000000003</c:v>
                </c:pt>
                <c:pt idx="363" formatCode="0">
                  <c:v>4.9664999999999999</c:v>
                </c:pt>
                <c:pt idx="364" formatCode="0">
                  <c:v>4.9441899999999999</c:v>
                </c:pt>
                <c:pt idx="365" formatCode="0">
                  <c:v>4.9528500000000006</c:v>
                </c:pt>
                <c:pt idx="366" formatCode="0">
                  <c:v>4.9065699999999994</c:v>
                </c:pt>
                <c:pt idx="367" formatCode="0">
                  <c:v>4.9014100000000003</c:v>
                </c:pt>
                <c:pt idx="368" formatCode="0">
                  <c:v>4.9014100000000003</c:v>
                </c:pt>
                <c:pt idx="369" formatCode="0">
                  <c:v>4.7927100000000005</c:v>
                </c:pt>
                <c:pt idx="370" formatCode="0">
                  <c:v>4.7713799999999997</c:v>
                </c:pt>
                <c:pt idx="371" formatCode="0">
                  <c:v>4.8219600000000007</c:v>
                </c:pt>
                <c:pt idx="372" formatCode="0">
                  <c:v>4.9181999999999997</c:v>
                </c:pt>
                <c:pt idx="373" formatCode="0">
                  <c:v>4.8988499999999995</c:v>
                </c:pt>
                <c:pt idx="374" formatCode="0">
                  <c:v>4.8972699999999998</c:v>
                </c:pt>
                <c:pt idx="375" formatCode="0">
                  <c:v>4.9238900000000001</c:v>
                </c:pt>
                <c:pt idx="376" formatCode="0">
                  <c:v>4.9966800000000005</c:v>
                </c:pt>
                <c:pt idx="377" formatCode="0">
                  <c:v>4.9587000000000003</c:v>
                </c:pt>
                <c:pt idx="378" formatCode="0">
                  <c:v>4.9854000000000003</c:v>
                </c:pt>
                <c:pt idx="379" formatCode="0">
                  <c:v>5.0499700000000001</c:v>
                </c:pt>
                <c:pt idx="380" formatCode="0">
                  <c:v>4.9954099999999997</c:v>
                </c:pt>
                <c:pt idx="381" formatCode="0">
                  <c:v>5.17591</c:v>
                </c:pt>
                <c:pt idx="382" formatCode="0">
                  <c:v>5.2916400000000001</c:v>
                </c:pt>
                <c:pt idx="383" formatCode="0">
                  <c:v>5.2993800000000002</c:v>
                </c:pt>
                <c:pt idx="384" formatCode="0">
                  <c:v>5.4173900000000001</c:v>
                </c:pt>
                <c:pt idx="385" formatCode="0">
                  <c:v>5.3097500000000002</c:v>
                </c:pt>
                <c:pt idx="386" formatCode="0">
                  <c:v>5.2874300000000005</c:v>
                </c:pt>
                <c:pt idx="387" formatCode="0">
                  <c:v>5.2276400000000001</c:v>
                </c:pt>
                <c:pt idx="388" formatCode="0">
                  <c:v>5.2649900000000001</c:v>
                </c:pt>
                <c:pt idx="389" formatCode="0">
                  <c:v>5.1951999999999998</c:v>
                </c:pt>
                <c:pt idx="390" formatCode="0">
                  <c:v>5.1684599999999996</c:v>
                </c:pt>
                <c:pt idx="391" formatCode="0">
                  <c:v>5.1963499999999998</c:v>
                </c:pt>
                <c:pt idx="392" formatCode="0">
                  <c:v>5.1958099999999998</c:v>
                </c:pt>
                <c:pt idx="393" formatCode="0">
                  <c:v>5.1103899999999998</c:v>
                </c:pt>
                <c:pt idx="394" formatCode="0">
                  <c:v>5.2960500000000001</c:v>
                </c:pt>
                <c:pt idx="395" formatCode="0">
                  <c:v>5.3624099999999997</c:v>
                </c:pt>
                <c:pt idx="396" formatCode="0">
                  <c:v>5.4448699999999999</c:v>
                </c:pt>
                <c:pt idx="397" formatCode="0">
                  <c:v>5.26288</c:v>
                </c:pt>
                <c:pt idx="398" formatCode="0">
                  <c:v>5.2564000000000002</c:v>
                </c:pt>
                <c:pt idx="399" formatCode="0">
                  <c:v>5.1964499999999996</c:v>
                </c:pt>
                <c:pt idx="400" formatCode="0">
                  <c:v>5.2582199999999997</c:v>
                </c:pt>
                <c:pt idx="401" formatCode="0">
                  <c:v>5.3233100000000002</c:v>
                </c:pt>
                <c:pt idx="402" formatCode="0">
                  <c:v>5.2874400000000001</c:v>
                </c:pt>
                <c:pt idx="403" formatCode="0">
                  <c:v>5.4807199999999998</c:v>
                </c:pt>
                <c:pt idx="404" formatCode="0">
                  <c:v>5.4263599999999999</c:v>
                </c:pt>
                <c:pt idx="405" formatCode="0">
                  <c:v>5.3236300000000005</c:v>
                </c:pt>
                <c:pt idx="406" formatCode="0">
                  <c:v>5.4046699999999994</c:v>
                </c:pt>
                <c:pt idx="407" formatCode="0">
                  <c:v>5.3786199999999997</c:v>
                </c:pt>
                <c:pt idx="408" formatCode="0">
                  <c:v>5.4177</c:v>
                </c:pt>
                <c:pt idx="409" formatCode="0">
                  <c:v>5.6003800000000004</c:v>
                </c:pt>
                <c:pt idx="410" formatCode="0">
                  <c:v>5.5325099999999994</c:v>
                </c:pt>
                <c:pt idx="411" formatCode="0">
                  <c:v>5.4339599999999999</c:v>
                </c:pt>
                <c:pt idx="412" formatCode="0">
                  <c:v>5.4819899999999997</c:v>
                </c:pt>
                <c:pt idx="413" formatCode="0">
                  <c:v>5.4667999999999992</c:v>
                </c:pt>
                <c:pt idx="414" formatCode="0">
                  <c:v>5.4683200000000003</c:v>
                </c:pt>
                <c:pt idx="415" formatCode="0">
                  <c:v>5.4872500000000004</c:v>
                </c:pt>
                <c:pt idx="416" formatCode="0">
                  <c:v>5.4356399999999994</c:v>
                </c:pt>
                <c:pt idx="417" formatCode="0">
                  <c:v>5.3946000000000005</c:v>
                </c:pt>
                <c:pt idx="418" formatCode="0">
                  <c:v>5.3736500000000005</c:v>
                </c:pt>
                <c:pt idx="419" formatCode="0">
                  <c:v>5.3497199999999996</c:v>
                </c:pt>
                <c:pt idx="420" formatCode="0">
                  <c:v>5.4237300000000008</c:v>
                </c:pt>
                <c:pt idx="421" formatCode="0">
                  <c:v>5.30044</c:v>
                </c:pt>
                <c:pt idx="422" formatCode="0">
                  <c:v>5.3409400000000007</c:v>
                </c:pt>
                <c:pt idx="423" formatCode="0">
                  <c:v>5.3833900000000003</c:v>
                </c:pt>
                <c:pt idx="424" formatCode="0">
                  <c:v>5.38375</c:v>
                </c:pt>
                <c:pt idx="425" formatCode="0">
                  <c:v>5.3520399999999997</c:v>
                </c:pt>
                <c:pt idx="426" formatCode="0">
                  <c:v>5.4103099999999991</c:v>
                </c:pt>
                <c:pt idx="427" formatCode="0">
                  <c:v>5.3967799999999997</c:v>
                </c:pt>
                <c:pt idx="428" formatCode="0">
                  <c:v>5.3931199999999997</c:v>
                </c:pt>
                <c:pt idx="429" formatCode="0">
                  <c:v>5.3064499999999999</c:v>
                </c:pt>
                <c:pt idx="430" formatCode="0">
                  <c:v>5.1972299999999994</c:v>
                </c:pt>
                <c:pt idx="431" formatCode="0">
                  <c:v>5.2025100000000002</c:v>
                </c:pt>
                <c:pt idx="432" formatCode="0">
                  <c:v>5.16615</c:v>
                </c:pt>
                <c:pt idx="433" formatCode="0">
                  <c:v>5.16615</c:v>
                </c:pt>
                <c:pt idx="434" formatCode="0">
                  <c:v>5.0626899999999999</c:v>
                </c:pt>
                <c:pt idx="435" formatCode="0">
                  <c:v>5.0322399999999998</c:v>
                </c:pt>
                <c:pt idx="436" formatCode="0">
                  <c:v>5.0268100000000002</c:v>
                </c:pt>
                <c:pt idx="437" formatCode="0">
                  <c:v>4.99857</c:v>
                </c:pt>
                <c:pt idx="438" formatCode="0">
                  <c:v>4.9992899999999993</c:v>
                </c:pt>
                <c:pt idx="439" formatCode="0">
                  <c:v>4.9694799999999999</c:v>
                </c:pt>
                <c:pt idx="440" formatCode="0">
                  <c:v>5.0535800000000002</c:v>
                </c:pt>
                <c:pt idx="441" formatCode="0">
                  <c:v>5.1908399999999997</c:v>
                </c:pt>
                <c:pt idx="442" formatCode="0">
                  <c:v>5.0664499999999997</c:v>
                </c:pt>
                <c:pt idx="443" formatCode="0">
                  <c:v>5.0450799999999996</c:v>
                </c:pt>
                <c:pt idx="444" formatCode="0">
                  <c:v>5.0870299999999995</c:v>
                </c:pt>
                <c:pt idx="445" formatCode="0">
                  <c:v>4.9999099999999999</c:v>
                </c:pt>
                <c:pt idx="446" formatCode="0">
                  <c:v>4.9602499999999994</c:v>
                </c:pt>
                <c:pt idx="447" formatCode="0">
                  <c:v>5.0327700000000002</c:v>
                </c:pt>
                <c:pt idx="448" formatCode="0">
                  <c:v>5.2427099999999998</c:v>
                </c:pt>
                <c:pt idx="449" formatCode="0">
                  <c:v>5.1851199999999995</c:v>
                </c:pt>
                <c:pt idx="450" formatCode="0">
                  <c:v>5.3039700000000005</c:v>
                </c:pt>
                <c:pt idx="451" formatCode="0">
                  <c:v>5.1681500000000007</c:v>
                </c:pt>
                <c:pt idx="452" formatCode="0">
                  <c:v>5.3627500000000001</c:v>
                </c:pt>
                <c:pt idx="453" formatCode="0">
                  <c:v>5.40273</c:v>
                </c:pt>
                <c:pt idx="454" formatCode="0">
                  <c:v>5.5054600000000002</c:v>
                </c:pt>
                <c:pt idx="455" formatCode="0">
                  <c:v>5.4570299999999996</c:v>
                </c:pt>
                <c:pt idx="456" formatCode="0">
                  <c:v>5.5216600000000007</c:v>
                </c:pt>
                <c:pt idx="457" formatCode="0">
                  <c:v>5.6623999999999999</c:v>
                </c:pt>
                <c:pt idx="458" formatCode="0">
                  <c:v>5.6933900000000008</c:v>
                </c:pt>
                <c:pt idx="459" formatCode="0">
                  <c:v>5.66561</c:v>
                </c:pt>
                <c:pt idx="460" formatCode="0">
                  <c:v>5.6584699999999994</c:v>
                </c:pt>
                <c:pt idx="461" formatCode="0">
                  <c:v>5.4352800000000006</c:v>
                </c:pt>
                <c:pt idx="462" formatCode="0">
                  <c:v>5.3856899999999994</c:v>
                </c:pt>
                <c:pt idx="463" formatCode="0">
                  <c:v>5.4445000000000006</c:v>
                </c:pt>
                <c:pt idx="464" formatCode="0">
                  <c:v>5.4880800000000001</c:v>
                </c:pt>
                <c:pt idx="465" formatCode="0">
                  <c:v>5.3601300000000007</c:v>
                </c:pt>
                <c:pt idx="466" formatCode="0">
                  <c:v>5.2230699999999999</c:v>
                </c:pt>
                <c:pt idx="467" formatCode="0">
                  <c:v>5.1431399999999998</c:v>
                </c:pt>
                <c:pt idx="468" formatCode="0">
                  <c:v>5.21</c:v>
                </c:pt>
                <c:pt idx="469" formatCode="0">
                  <c:v>5.1787000000000001</c:v>
                </c:pt>
                <c:pt idx="470" formatCode="0">
                  <c:v>5.1279399999999997</c:v>
                </c:pt>
                <c:pt idx="471" formatCode="0">
                  <c:v>5.2007399999999997</c:v>
                </c:pt>
                <c:pt idx="472" formatCode="0">
                  <c:v>5.28592</c:v>
                </c:pt>
                <c:pt idx="473" formatCode="0">
                  <c:v>5.3336600000000001</c:v>
                </c:pt>
                <c:pt idx="474" formatCode="0">
                  <c:v>5.31792</c:v>
                </c:pt>
                <c:pt idx="475" formatCode="0">
                  <c:v>5.3886400000000005</c:v>
                </c:pt>
                <c:pt idx="476" formatCode="0">
                  <c:v>5.3294500000000005</c:v>
                </c:pt>
                <c:pt idx="477" formatCode="0">
                  <c:v>5.3606400000000001</c:v>
                </c:pt>
                <c:pt idx="478" formatCode="0">
                  <c:v>5.7368699999999997</c:v>
                </c:pt>
                <c:pt idx="479" formatCode="0">
                  <c:v>5.83162</c:v>
                </c:pt>
                <c:pt idx="480" formatCode="0">
                  <c:v>5.8224</c:v>
                </c:pt>
                <c:pt idx="481" formatCode="0">
                  <c:v>5.8078200000000004</c:v>
                </c:pt>
                <c:pt idx="482" formatCode="0">
                  <c:v>5.6635299999999997</c:v>
                </c:pt>
                <c:pt idx="483" formatCode="0">
                  <c:v>5.5465200000000001</c:v>
                </c:pt>
                <c:pt idx="484" formatCode="0">
                  <c:v>5.6282699999999997</c:v>
                </c:pt>
                <c:pt idx="485" formatCode="0">
                  <c:v>5.6344200000000004</c:v>
                </c:pt>
                <c:pt idx="486" formatCode="0">
                  <c:v>5.6911199999999997</c:v>
                </c:pt>
                <c:pt idx="487" formatCode="0">
                  <c:v>5.8538999999999994</c:v>
                </c:pt>
                <c:pt idx="488" formatCode="0">
                  <c:v>5.9955100000000003</c:v>
                </c:pt>
                <c:pt idx="489" formatCode="0">
                  <c:v>6.1247400000000001</c:v>
                </c:pt>
                <c:pt idx="490" formatCode="0">
                  <c:v>6.0911400000000002</c:v>
                </c:pt>
                <c:pt idx="491" formatCode="0">
                  <c:v>5.9939099999999996</c:v>
                </c:pt>
                <c:pt idx="492" formatCode="0">
                  <c:v>6.0405800000000003</c:v>
                </c:pt>
                <c:pt idx="493" formatCode="0">
                  <c:v>6.4445100000000002</c:v>
                </c:pt>
                <c:pt idx="494" formatCode="0">
                  <c:v>6.4887699999999997</c:v>
                </c:pt>
                <c:pt idx="495" formatCode="0">
                  <c:v>6.5496000000000008</c:v>
                </c:pt>
                <c:pt idx="496" formatCode="0">
                  <c:v>6.6421000000000001</c:v>
                </c:pt>
                <c:pt idx="497" formatCode="0">
                  <c:v>6.9462300000000008</c:v>
                </c:pt>
                <c:pt idx="498" formatCode="0">
                  <c:v>6.9512800000000006</c:v>
                </c:pt>
                <c:pt idx="499" formatCode="0">
                  <c:v>6.8729600000000008</c:v>
                </c:pt>
                <c:pt idx="500" formatCode="0">
                  <c:v>6.6875800000000005</c:v>
                </c:pt>
                <c:pt idx="501" formatCode="0">
                  <c:v>6.5464500000000001</c:v>
                </c:pt>
                <c:pt idx="502" formatCode="0">
                  <c:v>6.6030100000000003</c:v>
                </c:pt>
                <c:pt idx="503" formatCode="0">
                  <c:v>6.6259400000000008</c:v>
                </c:pt>
                <c:pt idx="504" formatCode="0">
                  <c:v>6.5704600000000006</c:v>
                </c:pt>
                <c:pt idx="505" formatCode="0">
                  <c:v>6.4992999999999999</c:v>
                </c:pt>
                <c:pt idx="506" formatCode="0">
                  <c:v>6.6247100000000003</c:v>
                </c:pt>
                <c:pt idx="507" formatCode="0">
                  <c:v>6.6476199999999999</c:v>
                </c:pt>
                <c:pt idx="508" formatCode="0">
                  <c:v>6.7269000000000005</c:v>
                </c:pt>
                <c:pt idx="509" formatCode="0">
                  <c:v>6.9599199999999994</c:v>
                </c:pt>
                <c:pt idx="510" formatCode="0">
                  <c:v>7.0831200000000001</c:v>
                </c:pt>
                <c:pt idx="511" formatCode="0">
                  <c:v>7.1393700000000004</c:v>
                </c:pt>
                <c:pt idx="512" formatCode="0">
                  <c:v>7.4545599999999999</c:v>
                </c:pt>
                <c:pt idx="513" formatCode="0">
                  <c:v>7.6363000000000003</c:v>
                </c:pt>
                <c:pt idx="514" formatCode="0">
                  <c:v>7.6052499999999998</c:v>
                </c:pt>
                <c:pt idx="515" formatCode="0">
                  <c:v>7.6637199999999996</c:v>
                </c:pt>
                <c:pt idx="516" formatCode="0">
                  <c:v>7.5285900000000003</c:v>
                </c:pt>
                <c:pt idx="517" formatCode="0">
                  <c:v>7.4879600000000002</c:v>
                </c:pt>
                <c:pt idx="518" formatCode="0">
                  <c:v>7.4879600000000002</c:v>
                </c:pt>
                <c:pt idx="519" formatCode="0">
                  <c:v>7.4879600000000002</c:v>
                </c:pt>
                <c:pt idx="520" formatCode="0">
                  <c:v>7.5138199999999991</c:v>
                </c:pt>
                <c:pt idx="521" formatCode="0">
                  <c:v>7.53606</c:v>
                </c:pt>
                <c:pt idx="522" formatCode="0">
                  <c:v>7.5278900000000002</c:v>
                </c:pt>
                <c:pt idx="523" formatCode="0">
                  <c:v>7.5278900000000002</c:v>
                </c:pt>
                <c:pt idx="524" formatCode="0">
                  <c:v>7.3698100000000002</c:v>
                </c:pt>
                <c:pt idx="525" formatCode="0">
                  <c:v>7.3377800000000004</c:v>
                </c:pt>
                <c:pt idx="526" formatCode="0">
                  <c:v>7.5526700000000009</c:v>
                </c:pt>
                <c:pt idx="527" formatCode="0">
                  <c:v>7.5819200000000002</c:v>
                </c:pt>
                <c:pt idx="528" formatCode="0">
                  <c:v>7.8123500000000003</c:v>
                </c:pt>
                <c:pt idx="529" formatCode="0">
                  <c:v>7.5037400000000005</c:v>
                </c:pt>
                <c:pt idx="530" formatCode="0">
                  <c:v>7.5304799999999998</c:v>
                </c:pt>
                <c:pt idx="531" formatCode="0">
                  <c:v>8.3096800000000002</c:v>
                </c:pt>
                <c:pt idx="532" formatCode="0">
                  <c:v>8.876710000000001</c:v>
                </c:pt>
                <c:pt idx="533" formatCode="0">
                  <c:v>8.9900800000000007</c:v>
                </c:pt>
                <c:pt idx="534" formatCode="0">
                  <c:v>8.707279999999999</c:v>
                </c:pt>
                <c:pt idx="535" formatCode="0">
                  <c:v>8.0910900000000012</c:v>
                </c:pt>
                <c:pt idx="536" formatCode="0">
                  <c:v>8.139800000000001</c:v>
                </c:pt>
                <c:pt idx="537" formatCode="0">
                  <c:v>8.0735100000000006</c:v>
                </c:pt>
                <c:pt idx="538" formatCode="0">
                  <c:v>8.8006600000000006</c:v>
                </c:pt>
                <c:pt idx="539" formatCode="0">
                  <c:v>9.0237300000000005</c:v>
                </c:pt>
                <c:pt idx="540" formatCode="0">
                  <c:v>8.9098299999999995</c:v>
                </c:pt>
                <c:pt idx="541" formatCode="0">
                  <c:v>8.166269999999999</c:v>
                </c:pt>
                <c:pt idx="542" formatCode="0">
                  <c:v>8.0826999999999991</c:v>
                </c:pt>
                <c:pt idx="543" formatCode="0">
                  <c:v>7.9361699999999997</c:v>
                </c:pt>
                <c:pt idx="544" formatCode="0">
                  <c:v>7.8940400000000004</c:v>
                </c:pt>
                <c:pt idx="545" formatCode="0">
                  <c:v>7.6877999999999993</c:v>
                </c:pt>
                <c:pt idx="546" formatCode="0">
                  <c:v>7.78878</c:v>
                </c:pt>
                <c:pt idx="547" formatCode="0">
                  <c:v>7.7104699999999999</c:v>
                </c:pt>
                <c:pt idx="548" formatCode="0">
                  <c:v>7.8446199999999999</c:v>
                </c:pt>
                <c:pt idx="549" formatCode="0">
                  <c:v>7.8110600000000003</c:v>
                </c:pt>
                <c:pt idx="550" formatCode="0">
                  <c:v>7.7248400000000004</c:v>
                </c:pt>
                <c:pt idx="551" formatCode="0">
                  <c:v>7.7171000000000003</c:v>
                </c:pt>
                <c:pt idx="552" formatCode="0">
                  <c:v>8.41404</c:v>
                </c:pt>
                <c:pt idx="553" formatCode="0">
                  <c:v>8.9269099999999995</c:v>
                </c:pt>
                <c:pt idx="554" formatCode="0">
                  <c:v>8.2611600000000003</c:v>
                </c:pt>
                <c:pt idx="555" formatCode="0">
                  <c:v>8.0788700000000002</c:v>
                </c:pt>
                <c:pt idx="556" formatCode="0">
                  <c:v>8.7302099999999996</c:v>
                </c:pt>
                <c:pt idx="557" formatCode="0">
                  <c:v>9.1355299999999993</c:v>
                </c:pt>
                <c:pt idx="558" formatCode="0">
                  <c:v>9.6859199999999994</c:v>
                </c:pt>
                <c:pt idx="559" formatCode="0">
                  <c:v>10.220839999999999</c:v>
                </c:pt>
                <c:pt idx="560" formatCode="0">
                  <c:v>12.851330000000001</c:v>
                </c:pt>
                <c:pt idx="561" formatCode="0">
                  <c:v>21.39359</c:v>
                </c:pt>
                <c:pt idx="562" formatCode="0">
                  <c:v>17.16488</c:v>
                </c:pt>
                <c:pt idx="563" formatCode="0">
                  <c:v>23.36121</c:v>
                </c:pt>
                <c:pt idx="564" formatCode="0">
                  <c:v>24.387600000000003</c:v>
                </c:pt>
                <c:pt idx="565" formatCode="0">
                  <c:v>29.176860000000001</c:v>
                </c:pt>
                <c:pt idx="566" formatCode="0">
                  <c:v>29.071919999999999</c:v>
                </c:pt>
                <c:pt idx="567" formatCode="0">
                  <c:v>37.338299999999997</c:v>
                </c:pt>
                <c:pt idx="568" formatCode="0">
                  <c:v>35.873080000000002</c:v>
                </c:pt>
                <c:pt idx="569" formatCode="0">
                  <c:v>30.992519999999999</c:v>
                </c:pt>
                <c:pt idx="570" formatCode="0">
                  <c:v>26.348139999999997</c:v>
                </c:pt>
                <c:pt idx="571" formatCode="0">
                  <c:v>26.88476</c:v>
                </c:pt>
                <c:pt idx="572" formatCode="0">
                  <c:v>27.023139999999998</c:v>
                </c:pt>
                <c:pt idx="573" formatCode="0">
                  <c:v>25.994989999999998</c:v>
                </c:pt>
                <c:pt idx="574" formatCode="0">
                  <c:v>25.314329999999998</c:v>
                </c:pt>
                <c:pt idx="575" formatCode="0">
                  <c:v>19.861810000000002</c:v>
                </c:pt>
                <c:pt idx="576" formatCode="0">
                  <c:v>20.967420000000001</c:v>
                </c:pt>
                <c:pt idx="577" formatCode="0">
                  <c:v>21.846880000000002</c:v>
                </c:pt>
                <c:pt idx="578" formatCode="0">
                  <c:v>22.052409999999998</c:v>
                </c:pt>
                <c:pt idx="579" formatCode="0">
                  <c:v>22.246709999999997</c:v>
                </c:pt>
                <c:pt idx="580" formatCode="0">
                  <c:v>22.516579999999998</c:v>
                </c:pt>
                <c:pt idx="581" formatCode="0">
                  <c:v>22.45252</c:v>
                </c:pt>
                <c:pt idx="582" formatCode="0">
                  <c:v>20.807919999999999</c:v>
                </c:pt>
                <c:pt idx="583" formatCode="0">
                  <c:v>20.161179999999998</c:v>
                </c:pt>
                <c:pt idx="584" formatCode="0">
                  <c:v>17.411709999999999</c:v>
                </c:pt>
                <c:pt idx="585" formatCode="0">
                  <c:v>18.360779999999998</c:v>
                </c:pt>
                <c:pt idx="586" formatCode="0">
                  <c:v>18.478960000000001</c:v>
                </c:pt>
                <c:pt idx="587" formatCode="0">
                  <c:v>18.621089999999999</c:v>
                </c:pt>
                <c:pt idx="588" formatCode="0">
                  <c:v>18.649010000000001</c:v>
                </c:pt>
                <c:pt idx="589" formatCode="0">
                  <c:v>18.729839999999999</c:v>
                </c:pt>
                <c:pt idx="590" formatCode="0">
                  <c:v>19.29814</c:v>
                </c:pt>
                <c:pt idx="591" formatCode="0">
                  <c:v>19.67098</c:v>
                </c:pt>
                <c:pt idx="592" formatCode="0">
                  <c:v>19.815540000000002</c:v>
                </c:pt>
                <c:pt idx="593" formatCode="0">
                  <c:v>20.058019999999999</c:v>
                </c:pt>
                <c:pt idx="594" formatCode="0">
                  <c:v>21.024229999999999</c:v>
                </c:pt>
                <c:pt idx="595" formatCode="0">
                  <c:v>20.628350000000001</c:v>
                </c:pt>
                <c:pt idx="596" formatCode="0">
                  <c:v>21.17109</c:v>
                </c:pt>
                <c:pt idx="597" formatCode="0">
                  <c:v>21.17109</c:v>
                </c:pt>
                <c:pt idx="598" formatCode="0">
                  <c:v>21.17109</c:v>
                </c:pt>
                <c:pt idx="599" formatCode="0">
                  <c:v>22.648110000000003</c:v>
                </c:pt>
                <c:pt idx="600" formatCode="0">
                  <c:v>22.876580000000001</c:v>
                </c:pt>
                <c:pt idx="601" formatCode="0">
                  <c:v>22.844949999999997</c:v>
                </c:pt>
                <c:pt idx="602" formatCode="0">
                  <c:v>23.24663</c:v>
                </c:pt>
                <c:pt idx="603" formatCode="0">
                  <c:v>23.645189999999999</c:v>
                </c:pt>
                <c:pt idx="604" formatCode="0">
                  <c:v>24.272080000000003</c:v>
                </c:pt>
                <c:pt idx="605" formatCode="0">
                  <c:v>24.170450000000002</c:v>
                </c:pt>
                <c:pt idx="606" formatCode="0">
                  <c:v>23.936120000000003</c:v>
                </c:pt>
                <c:pt idx="607" formatCode="0">
                  <c:v>23.82197</c:v>
                </c:pt>
                <c:pt idx="608" formatCode="0">
                  <c:v>23.614409999999999</c:v>
                </c:pt>
                <c:pt idx="609" formatCode="0">
                  <c:v>23.92849</c:v>
                </c:pt>
                <c:pt idx="610" formatCode="0">
                  <c:v>23.595230000000001</c:v>
                </c:pt>
                <c:pt idx="611" formatCode="0">
                  <c:v>22.838229999999999</c:v>
                </c:pt>
                <c:pt idx="612" formatCode="0">
                  <c:v>22.305810000000001</c:v>
                </c:pt>
                <c:pt idx="613" formatCode="0">
                  <c:v>22.631509999999999</c:v>
                </c:pt>
                <c:pt idx="614" formatCode="0">
                  <c:v>22.23875</c:v>
                </c:pt>
                <c:pt idx="615" formatCode="0">
                  <c:v>21.474899999999998</c:v>
                </c:pt>
                <c:pt idx="616" formatCode="0">
                  <c:v>21.545960000000001</c:v>
                </c:pt>
                <c:pt idx="617" formatCode="0">
                  <c:v>21.24325</c:v>
                </c:pt>
                <c:pt idx="618" formatCode="0">
                  <c:v>21.298119999999997</c:v>
                </c:pt>
                <c:pt idx="619" formatCode="0">
                  <c:v>20.765180000000001</c:v>
                </c:pt>
                <c:pt idx="620" formatCode="0">
                  <c:v>19.461349999999999</c:v>
                </c:pt>
                <c:pt idx="621" formatCode="0">
                  <c:v>19.78227</c:v>
                </c:pt>
                <c:pt idx="622" formatCode="0">
                  <c:v>19.97682</c:v>
                </c:pt>
                <c:pt idx="623" formatCode="0">
                  <c:v>20.37959</c:v>
                </c:pt>
                <c:pt idx="624" formatCode="0">
                  <c:v>20.969009999999997</c:v>
                </c:pt>
                <c:pt idx="625" formatCode="0">
                  <c:v>21.051149999999996</c:v>
                </c:pt>
                <c:pt idx="626" formatCode="0">
                  <c:v>21.084720000000001</c:v>
                </c:pt>
                <c:pt idx="627" formatCode="0">
                  <c:v>21.19313</c:v>
                </c:pt>
                <c:pt idx="628" formatCode="0">
                  <c:v>21.026120000000002</c:v>
                </c:pt>
                <c:pt idx="629" formatCode="0">
                  <c:v>21.18036</c:v>
                </c:pt>
                <c:pt idx="630" formatCode="0">
                  <c:v>21.13824</c:v>
                </c:pt>
                <c:pt idx="631" formatCode="0">
                  <c:v>21.13824</c:v>
                </c:pt>
                <c:pt idx="632" formatCode="0">
                  <c:v>21.13824</c:v>
                </c:pt>
                <c:pt idx="633" formatCode="0">
                  <c:v>21.016939999999998</c:v>
                </c:pt>
                <c:pt idx="634" formatCode="0">
                  <c:v>21.415509999999998</c:v>
                </c:pt>
                <c:pt idx="635" formatCode="0">
                  <c:v>21.629850000000001</c:v>
                </c:pt>
                <c:pt idx="636" formatCode="0">
                  <c:v>21.782049999999998</c:v>
                </c:pt>
                <c:pt idx="637" formatCode="0">
                  <c:v>21.780090000000001</c:v>
                </c:pt>
                <c:pt idx="638" formatCode="0">
                  <c:v>22.641460000000002</c:v>
                </c:pt>
                <c:pt idx="639" formatCode="0">
                  <c:v>22.91431</c:v>
                </c:pt>
                <c:pt idx="640" formatCode="0">
                  <c:v>23.22364</c:v>
                </c:pt>
                <c:pt idx="641" formatCode="0">
                  <c:v>23.687550000000002</c:v>
                </c:pt>
                <c:pt idx="642" formatCode="0">
                  <c:v>23.737489999999998</c:v>
                </c:pt>
                <c:pt idx="643" formatCode="0">
                  <c:v>23.806629999999998</c:v>
                </c:pt>
                <c:pt idx="644" formatCode="0">
                  <c:v>24.004250000000003</c:v>
                </c:pt>
                <c:pt idx="645" formatCode="0">
                  <c:v>24.186579999999999</c:v>
                </c:pt>
                <c:pt idx="646" formatCode="0">
                  <c:v>26.533429999999999</c:v>
                </c:pt>
                <c:pt idx="647" formatCode="0">
                  <c:v>27.391480000000001</c:v>
                </c:pt>
                <c:pt idx="648" formatCode="0">
                  <c:v>27.731939999999998</c:v>
                </c:pt>
                <c:pt idx="649" formatCode="0">
                  <c:v>28.592649999999999</c:v>
                </c:pt>
                <c:pt idx="650" formatCode="0">
                  <c:v>29.195949999999996</c:v>
                </c:pt>
                <c:pt idx="651" formatCode="0">
                  <c:v>29.929850000000002</c:v>
                </c:pt>
                <c:pt idx="652" formatCode="0">
                  <c:v>29.276149999999998</c:v>
                </c:pt>
                <c:pt idx="653" formatCode="0">
                  <c:v>29.40596</c:v>
                </c:pt>
                <c:pt idx="654" formatCode="0">
                  <c:v>30.291819999999998</c:v>
                </c:pt>
                <c:pt idx="655" formatCode="0">
                  <c:v>32.025309999999998</c:v>
                </c:pt>
                <c:pt idx="656" formatCode="0">
                  <c:v>33.369909999999997</c:v>
                </c:pt>
                <c:pt idx="657" formatCode="0">
                  <c:v>33.865230000000004</c:v>
                </c:pt>
                <c:pt idx="658" formatCode="0">
                  <c:v>34.659469999999999</c:v>
                </c:pt>
                <c:pt idx="659" formatCode="0">
                  <c:v>41.42792</c:v>
                </c:pt>
                <c:pt idx="660" formatCode="0">
                  <c:v>43.454210000000003</c:v>
                </c:pt>
                <c:pt idx="661" formatCode="0">
                  <c:v>39.246870000000001</c:v>
                </c:pt>
                <c:pt idx="662" formatCode="0">
                  <c:v>37.57226</c:v>
                </c:pt>
                <c:pt idx="663" formatCode="0">
                  <c:v>36.899969999999996</c:v>
                </c:pt>
                <c:pt idx="664" formatCode="0">
                  <c:v>41.858680000000007</c:v>
                </c:pt>
                <c:pt idx="665" formatCode="0">
                  <c:v>39.144890000000004</c:v>
                </c:pt>
                <c:pt idx="666" formatCode="0">
                  <c:v>39.100569999999998</c:v>
                </c:pt>
                <c:pt idx="667" formatCode="0">
                  <c:v>39.04365</c:v>
                </c:pt>
                <c:pt idx="668" formatCode="0">
                  <c:v>35.871929999999999</c:v>
                </c:pt>
                <c:pt idx="669" formatCode="0">
                  <c:v>36.761249999999997</c:v>
                </c:pt>
                <c:pt idx="670" formatCode="0">
                  <c:v>36.878309999999999</c:v>
                </c:pt>
                <c:pt idx="671" formatCode="0">
                  <c:v>36.769100000000002</c:v>
                </c:pt>
                <c:pt idx="672" formatCode="0">
                  <c:v>36.75714</c:v>
                </c:pt>
                <c:pt idx="673" formatCode="0">
                  <c:v>37.324860000000001</c:v>
                </c:pt>
                <c:pt idx="674" formatCode="0">
                  <c:v>38.194180000000003</c:v>
                </c:pt>
                <c:pt idx="675" formatCode="0">
                  <c:v>39.96837</c:v>
                </c:pt>
                <c:pt idx="676" formatCode="0">
                  <c:v>40.810680000000005</c:v>
                </c:pt>
                <c:pt idx="677" formatCode="0">
                  <c:v>40.911320000000003</c:v>
                </c:pt>
                <c:pt idx="678" formatCode="0">
                  <c:v>41.099589999999999</c:v>
                </c:pt>
                <c:pt idx="679" formatCode="0">
                  <c:v>40.68141</c:v>
                </c:pt>
                <c:pt idx="680" formatCode="0">
                  <c:v>39.993659999999998</c:v>
                </c:pt>
                <c:pt idx="681" formatCode="0">
                  <c:v>35.724330000000002</c:v>
                </c:pt>
                <c:pt idx="682" formatCode="0">
                  <c:v>34.198409999999996</c:v>
                </c:pt>
                <c:pt idx="683" formatCode="0">
                  <c:v>23.84638</c:v>
                </c:pt>
                <c:pt idx="684" formatCode="0">
                  <c:v>22.394940000000002</c:v>
                </c:pt>
                <c:pt idx="685" formatCode="0">
                  <c:v>23.09984</c:v>
                </c:pt>
                <c:pt idx="686" formatCode="0">
                  <c:v>23.540649999999999</c:v>
                </c:pt>
                <c:pt idx="687" formatCode="0">
                  <c:v>22.053440000000002</c:v>
                </c:pt>
                <c:pt idx="688" formatCode="0">
                  <c:v>23.42953</c:v>
                </c:pt>
                <c:pt idx="689" formatCode="0">
                  <c:v>22.064050000000002</c:v>
                </c:pt>
                <c:pt idx="690" formatCode="0">
                  <c:v>22.718499999999999</c:v>
                </c:pt>
                <c:pt idx="691" formatCode="0">
                  <c:v>24.069609999999997</c:v>
                </c:pt>
                <c:pt idx="692" formatCode="0">
                  <c:v>22.114729999999998</c:v>
                </c:pt>
                <c:pt idx="693" formatCode="0">
                  <c:v>22.061489999999999</c:v>
                </c:pt>
                <c:pt idx="694" formatCode="0">
                  <c:v>26.4298</c:v>
                </c:pt>
                <c:pt idx="695" formatCode="0">
                  <c:v>26.439910000000001</c:v>
                </c:pt>
                <c:pt idx="696" formatCode="0">
                  <c:v>28.46922</c:v>
                </c:pt>
                <c:pt idx="697" formatCode="0">
                  <c:v>26.93056</c:v>
                </c:pt>
                <c:pt idx="698" formatCode="0">
                  <c:v>25.50339</c:v>
                </c:pt>
                <c:pt idx="699" formatCode="0">
                  <c:v>26.696350000000002</c:v>
                </c:pt>
                <c:pt idx="700" formatCode="0">
                  <c:v>26.083400000000001</c:v>
                </c:pt>
                <c:pt idx="701" formatCode="0">
                  <c:v>27.206390000000003</c:v>
                </c:pt>
                <c:pt idx="702" formatCode="0">
                  <c:v>26.972080000000002</c:v>
                </c:pt>
                <c:pt idx="703" formatCode="0">
                  <c:v>24.089389999999998</c:v>
                </c:pt>
                <c:pt idx="704" formatCode="0">
                  <c:v>25.227350000000001</c:v>
                </c:pt>
                <c:pt idx="705" formatCode="0">
                  <c:v>22.900940000000002</c:v>
                </c:pt>
                <c:pt idx="706" formatCode="0">
                  <c:v>24.757020000000001</c:v>
                </c:pt>
                <c:pt idx="707" formatCode="0">
                  <c:v>25.062269999999998</c:v>
                </c:pt>
              </c:numCache>
            </c:numRef>
          </c:val>
          <c:smooth val="0"/>
          <c:extLst>
            <c:ext xmlns:c16="http://schemas.microsoft.com/office/drawing/2014/chart" uri="{C3380CC4-5D6E-409C-BE32-E72D297353CC}">
              <c16:uniqueId val="{00000008-F31E-4170-9322-6C48FF56580E}"/>
            </c:ext>
          </c:extLst>
        </c:ser>
        <c:dLbls>
          <c:showLegendKey val="0"/>
          <c:showVal val="0"/>
          <c:showCatName val="0"/>
          <c:showSerName val="0"/>
          <c:showPercent val="0"/>
          <c:showBubbleSize val="0"/>
        </c:dLbls>
        <c:marker val="1"/>
        <c:smooth val="0"/>
        <c:axId val="216969216"/>
        <c:axId val="216967424"/>
      </c:lineChart>
      <c:dateAx>
        <c:axId val="216963712"/>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16965504"/>
        <c:crosses val="autoZero"/>
        <c:auto val="1"/>
        <c:lblOffset val="100"/>
        <c:baseTimeUnit val="days"/>
      </c:dateAx>
      <c:valAx>
        <c:axId val="216965504"/>
        <c:scaling>
          <c:orientation val="minMax"/>
          <c:max val="2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hy-AM" sz="900"/>
                  <a:t>տոկոսային կետ</a:t>
                </a:r>
                <a:endParaRPr lang="en-US" sz="900"/>
              </a:p>
            </c:rich>
          </c:tx>
          <c:layout>
            <c:manualLayout>
              <c:xMode val="edge"/>
              <c:yMode val="edge"/>
              <c:x val="0"/>
              <c:y val="0.2297901651182491"/>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963712"/>
        <c:crosses val="autoZero"/>
        <c:crossBetween val="between"/>
        <c:majorUnit val="5"/>
      </c:valAx>
      <c:valAx>
        <c:axId val="216967424"/>
        <c:scaling>
          <c:orientation val="minMax"/>
          <c:max val="100"/>
        </c:scaling>
        <c:delete val="0"/>
        <c:axPos val="r"/>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969216"/>
        <c:crosses val="max"/>
        <c:crossBetween val="between"/>
        <c:majorUnit val="20"/>
        <c:minorUnit val="5"/>
      </c:valAx>
      <c:dateAx>
        <c:axId val="216969216"/>
        <c:scaling>
          <c:orientation val="minMax"/>
        </c:scaling>
        <c:delete val="1"/>
        <c:axPos val="b"/>
        <c:numFmt formatCode="m\/d\/yyyy" sourceLinked="1"/>
        <c:majorTickMark val="out"/>
        <c:minorTickMark val="none"/>
        <c:tickLblPos val="nextTo"/>
        <c:crossAx val="216967424"/>
        <c:crosses val="autoZero"/>
        <c:auto val="1"/>
        <c:lblOffset val="100"/>
        <c:baseTimeUnit val="days"/>
      </c:dateAx>
      <c:spPr>
        <a:noFill/>
        <a:ln>
          <a:noFill/>
        </a:ln>
        <a:effectLst/>
      </c:spPr>
    </c:plotArea>
    <c:legend>
      <c:legendPos val="b"/>
      <c:layout>
        <c:manualLayout>
          <c:xMode val="edge"/>
          <c:yMode val="edge"/>
          <c:x val="0"/>
          <c:y val="0.83066432229951837"/>
          <c:w val="1"/>
          <c:h val="0.1693356777004816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40" b="1" i="0" u="none" strike="noStrike" baseline="0">
                <a:solidFill>
                  <a:srgbClr val="000000"/>
                </a:solidFill>
                <a:latin typeface="Calibri"/>
                <a:ea typeface="Calibri"/>
                <a:cs typeface="Calibri"/>
              </a:defRPr>
            </a:pPr>
            <a:r>
              <a:rPr lang="hy-AM"/>
              <a:t>Կառավարության պարտքի մարման ժամանակացույցը 31.12.202</a:t>
            </a:r>
            <a:r>
              <a:rPr lang="en-US"/>
              <a:t>3</a:t>
            </a:r>
            <a:r>
              <a:rPr lang="hy-AM"/>
              <a:t>թ. դրությամբ (մլրդ դրամ)</a:t>
            </a:r>
          </a:p>
        </c:rich>
      </c:tx>
      <c:layout>
        <c:manualLayout>
          <c:xMode val="edge"/>
          <c:yMode val="edge"/>
          <c:x val="0.19413432144511347"/>
          <c:y val="2.5714112658994551E-2"/>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UXERZ!$I$14</c:f>
              <c:strCache>
                <c:ptCount val="1"/>
                <c:pt idx="0">
                  <c:v>Արտաքին վարկեր</c:v>
                </c:pt>
              </c:strCache>
            </c:strRef>
          </c:tx>
          <c:spPr>
            <a:solidFill>
              <a:schemeClr val="tx2">
                <a:lumMod val="60000"/>
                <a:lumOff val="40000"/>
              </a:schemeClr>
            </a:solidFill>
          </c:spPr>
          <c:invertIfNegative val="0"/>
          <c:cat>
            <c:numRef>
              <c:f>UXERZ!$J$13:$AN$13</c:f>
              <c:numCache>
                <c:formatCode>General</c:formatCode>
                <c:ptCount val="31"/>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pt idx="20">
                  <c:v>2044</c:v>
                </c:pt>
                <c:pt idx="21">
                  <c:v>2045</c:v>
                </c:pt>
                <c:pt idx="22">
                  <c:v>2046</c:v>
                </c:pt>
                <c:pt idx="23">
                  <c:v>2047</c:v>
                </c:pt>
                <c:pt idx="24">
                  <c:v>2048</c:v>
                </c:pt>
                <c:pt idx="25">
                  <c:v>2049</c:v>
                </c:pt>
                <c:pt idx="26">
                  <c:v>2050</c:v>
                </c:pt>
                <c:pt idx="27">
                  <c:v>2051</c:v>
                </c:pt>
                <c:pt idx="28">
                  <c:v>2052</c:v>
                </c:pt>
                <c:pt idx="29">
                  <c:v>2053</c:v>
                </c:pt>
                <c:pt idx="30">
                  <c:v>2054</c:v>
                </c:pt>
              </c:numCache>
            </c:numRef>
          </c:cat>
          <c:val>
            <c:numRef>
              <c:f>UXERZ!$J$14:$AN$14</c:f>
              <c:numCache>
                <c:formatCode>_(* #,##0_);_(* \(#,##0\);_(* "-"??_);_(@_)</c:formatCode>
                <c:ptCount val="31"/>
                <c:pt idx="0">
                  <c:v>179.78000236853998</c:v>
                </c:pt>
                <c:pt idx="1">
                  <c:v>176.19873427259009</c:v>
                </c:pt>
                <c:pt idx="2">
                  <c:v>189.33204839194124</c:v>
                </c:pt>
                <c:pt idx="3">
                  <c:v>146.4745697041734</c:v>
                </c:pt>
                <c:pt idx="4">
                  <c:v>138.5854322637106</c:v>
                </c:pt>
                <c:pt idx="5">
                  <c:v>135.90972466762622</c:v>
                </c:pt>
                <c:pt idx="6">
                  <c:v>97.069236124987938</c:v>
                </c:pt>
                <c:pt idx="7">
                  <c:v>120.71975758248547</c:v>
                </c:pt>
                <c:pt idx="8">
                  <c:v>119.52198317986537</c:v>
                </c:pt>
                <c:pt idx="9">
                  <c:v>113.14877656062154</c:v>
                </c:pt>
                <c:pt idx="10">
                  <c:v>110.08971236106299</c:v>
                </c:pt>
                <c:pt idx="11">
                  <c:v>89.887456479812514</c:v>
                </c:pt>
                <c:pt idx="12">
                  <c:v>76.158982363700105</c:v>
                </c:pt>
                <c:pt idx="13">
                  <c:v>77.05785502872196</c:v>
                </c:pt>
                <c:pt idx="14">
                  <c:v>61.929668143928602</c:v>
                </c:pt>
                <c:pt idx="15">
                  <c:v>55.852243983709407</c:v>
                </c:pt>
                <c:pt idx="16">
                  <c:v>40.092828344381367</c:v>
                </c:pt>
                <c:pt idx="17">
                  <c:v>31.089770218422977</c:v>
                </c:pt>
                <c:pt idx="18">
                  <c:v>25.320854467160782</c:v>
                </c:pt>
                <c:pt idx="19">
                  <c:v>19.265839685826055</c:v>
                </c:pt>
                <c:pt idx="20">
                  <c:v>11.260710187532707</c:v>
                </c:pt>
                <c:pt idx="21">
                  <c:v>4.8999672827494942</c:v>
                </c:pt>
                <c:pt idx="22">
                  <c:v>1.5684402536298079</c:v>
                </c:pt>
                <c:pt idx="23">
                  <c:v>1.3549536278478576</c:v>
                </c:pt>
                <c:pt idx="24">
                  <c:v>0.75070823531756248</c:v>
                </c:pt>
                <c:pt idx="25">
                  <c:v>0.6985136908130134</c:v>
                </c:pt>
                <c:pt idx="26">
                  <c:v>0.43667105005434187</c:v>
                </c:pt>
                <c:pt idx="27">
                  <c:v>0.33141204808625374</c:v>
                </c:pt>
                <c:pt idx="28">
                  <c:v>0.17393305662771175</c:v>
                </c:pt>
                <c:pt idx="29">
                  <c:v>1.6454065169171639E-2</c:v>
                </c:pt>
                <c:pt idx="30">
                  <c:v>1.4517395235821717</c:v>
                </c:pt>
              </c:numCache>
            </c:numRef>
          </c:val>
          <c:extLst>
            <c:ext xmlns:c16="http://schemas.microsoft.com/office/drawing/2014/chart" uri="{C3380CC4-5D6E-409C-BE32-E72D297353CC}">
              <c16:uniqueId val="{00000000-36FD-44C6-8489-EBAEFCF8F666}"/>
            </c:ext>
          </c:extLst>
        </c:ser>
        <c:ser>
          <c:idx val="1"/>
          <c:order val="1"/>
          <c:tx>
            <c:strRef>
              <c:f>UXERZ!$I$15</c:f>
              <c:strCache>
                <c:ptCount val="1"/>
                <c:pt idx="0">
                  <c:v>Արտարժութային պարտատոմսեր</c:v>
                </c:pt>
              </c:strCache>
            </c:strRef>
          </c:tx>
          <c:spPr>
            <a:solidFill>
              <a:srgbClr val="FFC000"/>
            </a:solidFill>
          </c:spPr>
          <c:invertIfNegative val="0"/>
          <c:cat>
            <c:numRef>
              <c:f>UXERZ!$J$13:$AN$13</c:f>
              <c:numCache>
                <c:formatCode>General</c:formatCode>
                <c:ptCount val="31"/>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pt idx="20">
                  <c:v>2044</c:v>
                </c:pt>
                <c:pt idx="21">
                  <c:v>2045</c:v>
                </c:pt>
                <c:pt idx="22">
                  <c:v>2046</c:v>
                </c:pt>
                <c:pt idx="23">
                  <c:v>2047</c:v>
                </c:pt>
                <c:pt idx="24">
                  <c:v>2048</c:v>
                </c:pt>
                <c:pt idx="25">
                  <c:v>2049</c:v>
                </c:pt>
                <c:pt idx="26">
                  <c:v>2050</c:v>
                </c:pt>
                <c:pt idx="27">
                  <c:v>2051</c:v>
                </c:pt>
                <c:pt idx="28">
                  <c:v>2052</c:v>
                </c:pt>
                <c:pt idx="29">
                  <c:v>2053</c:v>
                </c:pt>
                <c:pt idx="30">
                  <c:v>2054</c:v>
                </c:pt>
              </c:numCache>
            </c:numRef>
          </c:cat>
          <c:val>
            <c:numRef>
              <c:f>UXERZ!$J$15:$AN$15</c:f>
              <c:numCache>
                <c:formatCode>_(* #,##0_);_(* \(#,##0\);_(* "-"??_);_(@_)</c:formatCode>
                <c:ptCount val="31"/>
                <c:pt idx="1">
                  <c:v>217.15</c:v>
                </c:pt>
                <c:pt idx="5">
                  <c:v>217.15</c:v>
                </c:pt>
                <c:pt idx="7">
                  <c:v>325.72500000000002</c:v>
                </c:pt>
              </c:numCache>
            </c:numRef>
          </c:val>
          <c:extLst>
            <c:ext xmlns:c16="http://schemas.microsoft.com/office/drawing/2014/chart" uri="{C3380CC4-5D6E-409C-BE32-E72D297353CC}">
              <c16:uniqueId val="{00000001-36FD-44C6-8489-EBAEFCF8F666}"/>
            </c:ext>
          </c:extLst>
        </c:ser>
        <c:ser>
          <c:idx val="2"/>
          <c:order val="2"/>
          <c:tx>
            <c:strRef>
              <c:f>UXERZ!$I$16</c:f>
              <c:strCache>
                <c:ptCount val="1"/>
                <c:pt idx="0">
                  <c:v>Երաշխիքներ</c:v>
                </c:pt>
              </c:strCache>
            </c:strRef>
          </c:tx>
          <c:spPr>
            <a:solidFill>
              <a:schemeClr val="accent4">
                <a:lumMod val="40000"/>
                <a:lumOff val="60000"/>
              </a:schemeClr>
            </a:solidFill>
          </c:spPr>
          <c:invertIfNegative val="0"/>
          <c:cat>
            <c:numRef>
              <c:f>UXERZ!$J$13:$AN$13</c:f>
              <c:numCache>
                <c:formatCode>General</c:formatCode>
                <c:ptCount val="31"/>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pt idx="20">
                  <c:v>2044</c:v>
                </c:pt>
                <c:pt idx="21">
                  <c:v>2045</c:v>
                </c:pt>
                <c:pt idx="22">
                  <c:v>2046</c:v>
                </c:pt>
                <c:pt idx="23">
                  <c:v>2047</c:v>
                </c:pt>
                <c:pt idx="24">
                  <c:v>2048</c:v>
                </c:pt>
                <c:pt idx="25">
                  <c:v>2049</c:v>
                </c:pt>
                <c:pt idx="26">
                  <c:v>2050</c:v>
                </c:pt>
                <c:pt idx="27">
                  <c:v>2051</c:v>
                </c:pt>
                <c:pt idx="28">
                  <c:v>2052</c:v>
                </c:pt>
                <c:pt idx="29">
                  <c:v>2053</c:v>
                </c:pt>
                <c:pt idx="30">
                  <c:v>2054</c:v>
                </c:pt>
              </c:numCache>
            </c:numRef>
          </c:cat>
          <c:val>
            <c:numRef>
              <c:f>UXERZ!$J$16:$AN$16</c:f>
              <c:numCache>
                <c:formatCode>_(* #,##0_);_(* \(#,##0\);_(* "-"??_);_(@_)</c:formatCode>
                <c:ptCount val="31"/>
                <c:pt idx="0">
                  <c:v>0.23420629739906534</c:v>
                </c:pt>
                <c:pt idx="1">
                  <c:v>0.23420629739906534</c:v>
                </c:pt>
                <c:pt idx="2">
                  <c:v>0.23420629739906534</c:v>
                </c:pt>
                <c:pt idx="3">
                  <c:v>0.23420629739906534</c:v>
                </c:pt>
                <c:pt idx="4">
                  <c:v>0.23420629739906534</c:v>
                </c:pt>
                <c:pt idx="5">
                  <c:v>0.23420629739906534</c:v>
                </c:pt>
                <c:pt idx="6">
                  <c:v>0.23420629739906534</c:v>
                </c:pt>
                <c:pt idx="7">
                  <c:v>0.23420629739906534</c:v>
                </c:pt>
                <c:pt idx="8">
                  <c:v>0.23420629739906534</c:v>
                </c:pt>
                <c:pt idx="9">
                  <c:v>0.23420629739906534</c:v>
                </c:pt>
                <c:pt idx="10">
                  <c:v>0.23420629739906534</c:v>
                </c:pt>
                <c:pt idx="11">
                  <c:v>0.23420629739906534</c:v>
                </c:pt>
                <c:pt idx="12">
                  <c:v>0.11710313967312556</c:v>
                </c:pt>
              </c:numCache>
            </c:numRef>
          </c:val>
          <c:extLst>
            <c:ext xmlns:c16="http://schemas.microsoft.com/office/drawing/2014/chart" uri="{C3380CC4-5D6E-409C-BE32-E72D297353CC}">
              <c16:uniqueId val="{00000002-36FD-44C6-8489-EBAEFCF8F666}"/>
            </c:ext>
          </c:extLst>
        </c:ser>
        <c:ser>
          <c:idx val="3"/>
          <c:order val="3"/>
          <c:tx>
            <c:strRef>
              <c:f>UXERZ!$I$17</c:f>
              <c:strCache>
                <c:ptCount val="1"/>
                <c:pt idx="0">
                  <c:v>Դրամային պարտատոմսեր</c:v>
                </c:pt>
              </c:strCache>
            </c:strRef>
          </c:tx>
          <c:spPr>
            <a:solidFill>
              <a:srgbClr val="D92529"/>
            </a:solidFill>
          </c:spPr>
          <c:invertIfNegative val="0"/>
          <c:cat>
            <c:numRef>
              <c:f>UXERZ!$J$13:$AN$13</c:f>
              <c:numCache>
                <c:formatCode>General</c:formatCode>
                <c:ptCount val="31"/>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pt idx="20">
                  <c:v>2044</c:v>
                </c:pt>
                <c:pt idx="21">
                  <c:v>2045</c:v>
                </c:pt>
                <c:pt idx="22">
                  <c:v>2046</c:v>
                </c:pt>
                <c:pt idx="23">
                  <c:v>2047</c:v>
                </c:pt>
                <c:pt idx="24">
                  <c:v>2048</c:v>
                </c:pt>
                <c:pt idx="25">
                  <c:v>2049</c:v>
                </c:pt>
                <c:pt idx="26">
                  <c:v>2050</c:v>
                </c:pt>
                <c:pt idx="27">
                  <c:v>2051</c:v>
                </c:pt>
                <c:pt idx="28">
                  <c:v>2052</c:v>
                </c:pt>
                <c:pt idx="29">
                  <c:v>2053</c:v>
                </c:pt>
                <c:pt idx="30">
                  <c:v>2054</c:v>
                </c:pt>
              </c:numCache>
            </c:numRef>
          </c:cat>
          <c:val>
            <c:numRef>
              <c:f>UXERZ!$J$17:$AN$17</c:f>
              <c:numCache>
                <c:formatCode>_(* #,##0.0_);_(* \(#,##0.0\);_(* "-"??_);_(@_)</c:formatCode>
                <c:ptCount val="31"/>
                <c:pt idx="0">
                  <c:v>183.57400202400001</c:v>
                </c:pt>
                <c:pt idx="1">
                  <c:v>211.46107850000001</c:v>
                </c:pt>
                <c:pt idx="2">
                  <c:v>189.8532735</c:v>
                </c:pt>
                <c:pt idx="3">
                  <c:v>155.64755600000001</c:v>
                </c:pt>
                <c:pt idx="4">
                  <c:v>106.69009</c:v>
                </c:pt>
                <c:pt idx="5">
                  <c:v>142.761459</c:v>
                </c:pt>
                <c:pt idx="6">
                  <c:v>194.804</c:v>
                </c:pt>
                <c:pt idx="7">
                  <c:v>35.5</c:v>
                </c:pt>
                <c:pt idx="8">
                  <c:v>163</c:v>
                </c:pt>
                <c:pt idx="9">
                  <c:v>71</c:v>
                </c:pt>
                <c:pt idx="10">
                  <c:v>75.266499999999994</c:v>
                </c:pt>
                <c:pt idx="11">
                  <c:v>109.700405</c:v>
                </c:pt>
                <c:pt idx="12">
                  <c:v>125.138363</c:v>
                </c:pt>
                <c:pt idx="13">
                  <c:v>60</c:v>
                </c:pt>
                <c:pt idx="23">
                  <c:v>115.700405</c:v>
                </c:pt>
                <c:pt idx="26">
                  <c:v>130.65384299999999</c:v>
                </c:pt>
                <c:pt idx="28" formatCode="_(* #,##0_);_(* \(#,##0\);_(* &quot;-&quot;??_);_(@_)">
                  <c:v>18</c:v>
                </c:pt>
              </c:numCache>
            </c:numRef>
          </c:val>
          <c:extLst>
            <c:ext xmlns:c16="http://schemas.microsoft.com/office/drawing/2014/chart" uri="{C3380CC4-5D6E-409C-BE32-E72D297353CC}">
              <c16:uniqueId val="{00000003-36FD-44C6-8489-EBAEFCF8F666}"/>
            </c:ext>
          </c:extLst>
        </c:ser>
        <c:dLbls>
          <c:showLegendKey val="0"/>
          <c:showVal val="0"/>
          <c:showCatName val="0"/>
          <c:showSerName val="0"/>
          <c:showPercent val="0"/>
          <c:showBubbleSize val="0"/>
        </c:dLbls>
        <c:gapWidth val="75"/>
        <c:shape val="box"/>
        <c:axId val="361742720"/>
        <c:axId val="361744256"/>
        <c:axId val="0"/>
      </c:bar3DChart>
      <c:catAx>
        <c:axId val="361742720"/>
        <c:scaling>
          <c:orientation val="minMax"/>
        </c:scaling>
        <c:delete val="0"/>
        <c:axPos val="b"/>
        <c:numFmt formatCode="General" sourceLinked="1"/>
        <c:majorTickMark val="none"/>
        <c:minorTickMark val="none"/>
        <c:tickLblPos val="nextTo"/>
        <c:txPr>
          <a:bodyPr rot="-3120000" vert="horz"/>
          <a:lstStyle/>
          <a:p>
            <a:pPr>
              <a:defRPr sz="600" b="0" i="0" u="none" strike="noStrike" baseline="0">
                <a:solidFill>
                  <a:srgbClr val="000000"/>
                </a:solidFill>
                <a:latin typeface="Calibri"/>
                <a:ea typeface="Calibri"/>
                <a:cs typeface="Calibri"/>
              </a:defRPr>
            </a:pPr>
            <a:endParaRPr lang="en-US"/>
          </a:p>
        </c:txPr>
        <c:crossAx val="361744256"/>
        <c:crosses val="autoZero"/>
        <c:auto val="1"/>
        <c:lblAlgn val="ctr"/>
        <c:lblOffset val="100"/>
        <c:noMultiLvlLbl val="0"/>
      </c:catAx>
      <c:valAx>
        <c:axId val="361744256"/>
        <c:scaling>
          <c:orientation val="minMax"/>
        </c:scaling>
        <c:delete val="0"/>
        <c:axPos val="l"/>
        <c:majorGridlines/>
        <c:numFmt formatCode="_(* #,##0_);_(* \(#,##0\);_(* &quot;-&quot;??_);_(@_)" sourceLinked="1"/>
        <c:majorTickMark val="none"/>
        <c:minorTickMark val="none"/>
        <c:tickLblPos val="nextTo"/>
        <c:spPr>
          <a:ln w="9525">
            <a:noFill/>
          </a:ln>
        </c:spPr>
        <c:txPr>
          <a:bodyPr rot="0" vert="horz"/>
          <a:lstStyle/>
          <a:p>
            <a:pPr>
              <a:defRPr sz="700" b="0" i="0" u="none" strike="noStrike" baseline="0">
                <a:solidFill>
                  <a:srgbClr val="000000"/>
                </a:solidFill>
                <a:latin typeface="Calibri"/>
                <a:ea typeface="Calibri"/>
                <a:cs typeface="Calibri"/>
              </a:defRPr>
            </a:pPr>
            <a:endParaRPr lang="en-US"/>
          </a:p>
        </c:txPr>
        <c:crossAx val="361742720"/>
        <c:crosses val="autoZero"/>
        <c:crossBetween val="between"/>
      </c:valAx>
      <c:spPr>
        <a:noFill/>
        <a:ln w="25400">
          <a:noFill/>
        </a:ln>
      </c:spPr>
    </c:plotArea>
    <c:legend>
      <c:legendPos val="b"/>
      <c:layout>
        <c:manualLayout>
          <c:xMode val="edge"/>
          <c:yMode val="edge"/>
          <c:x val="8.7565917005472359E-3"/>
          <c:y val="0.86100545124167172"/>
          <c:w val="0.97898519547801621"/>
          <c:h val="8.494245911568743E-2"/>
        </c:manualLayout>
      </c:layout>
      <c:overlay val="0"/>
      <c:txPr>
        <a:bodyPr/>
        <a:lstStyle/>
        <a:p>
          <a:pPr>
            <a:defRPr sz="800" b="0" i="0" u="none" strike="noStrike" baseline="0">
              <a:solidFill>
                <a:srgbClr val="000000"/>
              </a:solidFill>
              <a:latin typeface="Calibri"/>
              <a:ea typeface="Calibri"/>
              <a:cs typeface="Calibri"/>
            </a:defRPr>
          </a:pPr>
          <a:endParaRPr lang="en-US"/>
        </a:p>
      </c:txPr>
    </c:legend>
    <c:plotVisOnly val="1"/>
    <c:dispBlanksAs val="gap"/>
    <c:showDLblsOverMax val="0"/>
  </c:chart>
  <c:spPr>
    <a:ln>
      <a:noFill/>
    </a:ln>
    <a:effectLst>
      <a:outerShdw blurRad="63500" sx="102000" sy="102000" algn="ctr" rotWithShape="0">
        <a:prstClr val="black">
          <a:alpha val="40000"/>
        </a:prstClr>
      </a:outerShdw>
    </a:effectLst>
  </c:spPr>
  <c:txPr>
    <a:bodyPr/>
    <a:lstStyle/>
    <a:p>
      <a:pPr>
        <a:defRPr sz="7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80" b="1" i="0" u="none" strike="noStrike" baseline="0">
                <a:solidFill>
                  <a:srgbClr val="000000"/>
                </a:solidFill>
                <a:latin typeface="Calibri"/>
                <a:ea typeface="Calibri"/>
                <a:cs typeface="Calibri"/>
              </a:defRPr>
            </a:pPr>
            <a:r>
              <a:rPr lang="hy-AM"/>
              <a:t>Մասհանումների կառուցվածքն ըստ վարկատուների (%)</a:t>
            </a:r>
          </a:p>
        </c:rich>
      </c:tx>
      <c:layout>
        <c:manualLayout>
          <c:xMode val="edge"/>
          <c:yMode val="edge"/>
          <c:x val="0.22124402718890906"/>
          <c:y val="2.309777523866299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2517144491553941"/>
          <c:y val="0.20616408753322238"/>
          <c:w val="0.81388888888888888"/>
          <c:h val="0.6921908719743366"/>
        </c:manualLayout>
      </c:layout>
      <c:pie3DChart>
        <c:varyColors val="1"/>
        <c:ser>
          <c:idx val="0"/>
          <c:order val="0"/>
          <c:explosion val="20"/>
          <c:dPt>
            <c:idx val="0"/>
            <c:bubble3D val="0"/>
            <c:extLst>
              <c:ext xmlns:c16="http://schemas.microsoft.com/office/drawing/2014/chart" uri="{C3380CC4-5D6E-409C-BE32-E72D297353CC}">
                <c16:uniqueId val="{00000000-3436-4C71-B325-DE3E0AFB6C1B}"/>
              </c:ext>
            </c:extLst>
          </c:dPt>
          <c:dPt>
            <c:idx val="1"/>
            <c:bubble3D val="0"/>
            <c:extLst>
              <c:ext xmlns:c16="http://schemas.microsoft.com/office/drawing/2014/chart" uri="{C3380CC4-5D6E-409C-BE32-E72D297353CC}">
                <c16:uniqueId val="{00000001-3436-4C71-B325-DE3E0AFB6C1B}"/>
              </c:ext>
            </c:extLst>
          </c:dPt>
          <c:dPt>
            <c:idx val="2"/>
            <c:bubble3D val="0"/>
            <c:extLst>
              <c:ext xmlns:c16="http://schemas.microsoft.com/office/drawing/2014/chart" uri="{C3380CC4-5D6E-409C-BE32-E72D297353CC}">
                <c16:uniqueId val="{00000002-3436-4C71-B325-DE3E0AFB6C1B}"/>
              </c:ext>
            </c:extLst>
          </c:dPt>
          <c:dPt>
            <c:idx val="3"/>
            <c:bubble3D val="0"/>
            <c:extLst>
              <c:ext xmlns:c16="http://schemas.microsoft.com/office/drawing/2014/chart" uri="{C3380CC4-5D6E-409C-BE32-E72D297353CC}">
                <c16:uniqueId val="{00000003-3436-4C71-B325-DE3E0AFB6C1B}"/>
              </c:ext>
            </c:extLst>
          </c:dPt>
          <c:dPt>
            <c:idx val="4"/>
            <c:bubble3D val="0"/>
            <c:extLst>
              <c:ext xmlns:c16="http://schemas.microsoft.com/office/drawing/2014/chart" uri="{C3380CC4-5D6E-409C-BE32-E72D297353CC}">
                <c16:uniqueId val="{00000004-3436-4C71-B325-DE3E0AFB6C1B}"/>
              </c:ext>
            </c:extLst>
          </c:dPt>
          <c:dPt>
            <c:idx val="5"/>
            <c:bubble3D val="0"/>
            <c:extLst>
              <c:ext xmlns:c16="http://schemas.microsoft.com/office/drawing/2014/chart" uri="{C3380CC4-5D6E-409C-BE32-E72D297353CC}">
                <c16:uniqueId val="{00000005-3436-4C71-B325-DE3E0AFB6C1B}"/>
              </c:ext>
            </c:extLst>
          </c:dPt>
          <c:dPt>
            <c:idx val="6"/>
            <c:bubble3D val="0"/>
            <c:extLst>
              <c:ext xmlns:c16="http://schemas.microsoft.com/office/drawing/2014/chart" uri="{C3380CC4-5D6E-409C-BE32-E72D297353CC}">
                <c16:uniqueId val="{00000006-3436-4C71-B325-DE3E0AFB6C1B}"/>
              </c:ext>
            </c:extLst>
          </c:dPt>
          <c:dPt>
            <c:idx val="7"/>
            <c:bubble3D val="0"/>
            <c:extLst>
              <c:ext xmlns:c16="http://schemas.microsoft.com/office/drawing/2014/chart" uri="{C3380CC4-5D6E-409C-BE32-E72D297353CC}">
                <c16:uniqueId val="{00000007-3436-4C71-B325-DE3E0AFB6C1B}"/>
              </c:ext>
            </c:extLst>
          </c:dPt>
          <c:dPt>
            <c:idx val="8"/>
            <c:bubble3D val="0"/>
            <c:extLst>
              <c:ext xmlns:c16="http://schemas.microsoft.com/office/drawing/2014/chart" uri="{C3380CC4-5D6E-409C-BE32-E72D297353CC}">
                <c16:uniqueId val="{00000008-3436-4C71-B325-DE3E0AFB6C1B}"/>
              </c:ext>
            </c:extLst>
          </c:dPt>
          <c:dPt>
            <c:idx val="9"/>
            <c:bubble3D val="0"/>
            <c:extLst>
              <c:ext xmlns:c16="http://schemas.microsoft.com/office/drawing/2014/chart" uri="{C3380CC4-5D6E-409C-BE32-E72D297353CC}">
                <c16:uniqueId val="{00000009-3436-4C71-B325-DE3E0AFB6C1B}"/>
              </c:ext>
            </c:extLst>
          </c:dPt>
          <c:dPt>
            <c:idx val="10"/>
            <c:bubble3D val="0"/>
            <c:extLst>
              <c:ext xmlns:c16="http://schemas.microsoft.com/office/drawing/2014/chart" uri="{C3380CC4-5D6E-409C-BE32-E72D297353CC}">
                <c16:uniqueId val="{0000000A-3436-4C71-B325-DE3E0AFB6C1B}"/>
              </c:ext>
            </c:extLst>
          </c:dPt>
          <c:dLbls>
            <c:dLbl>
              <c:idx val="0"/>
              <c:layout>
                <c:manualLayout>
                  <c:x val="-2.6609967023352929E-2"/>
                  <c:y val="1.1739652417264877E-2"/>
                </c:manualLayout>
              </c:layout>
              <c:numFmt formatCode="0.0%" sourceLinked="0"/>
              <c:spPr/>
              <c:txPr>
                <a:bodyPr/>
                <a:lstStyle/>
                <a:p>
                  <a:pPr>
                    <a:defRPr sz="9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436-4C71-B325-DE3E0AFB6C1B}"/>
                </c:ext>
              </c:extLst>
            </c:dLbl>
            <c:dLbl>
              <c:idx val="1"/>
              <c:layout>
                <c:manualLayout>
                  <c:x val="-3.1337404939767298E-2"/>
                  <c:y val="-0.12406600594484049"/>
                </c:manualLayout>
              </c:layout>
              <c:numFmt formatCode="0.0%" sourceLinked="0"/>
              <c:spPr/>
              <c:txPr>
                <a:bodyPr/>
                <a:lstStyle/>
                <a:p>
                  <a:pPr>
                    <a:defRPr sz="9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436-4C71-B325-DE3E0AFB6C1B}"/>
                </c:ext>
              </c:extLst>
            </c:dLbl>
            <c:dLbl>
              <c:idx val="2"/>
              <c:layout>
                <c:manualLayout>
                  <c:x val="7.6100006729927991E-2"/>
                  <c:y val="-0.15218063041804317"/>
                </c:manualLayout>
              </c:layout>
              <c:numFmt formatCode="0.0%" sourceLinked="0"/>
              <c:spPr/>
              <c:txPr>
                <a:bodyPr/>
                <a:lstStyle/>
                <a:p>
                  <a:pPr>
                    <a:defRPr sz="9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436-4C71-B325-DE3E0AFB6C1B}"/>
                </c:ext>
              </c:extLst>
            </c:dLbl>
            <c:dLbl>
              <c:idx val="3"/>
              <c:layout>
                <c:manualLayout>
                  <c:x val="4.257015949929336E-2"/>
                  <c:y val="-7.0701209667403633E-2"/>
                </c:manualLayout>
              </c:layout>
              <c:numFmt formatCode="0.0%" sourceLinked="0"/>
              <c:spPr/>
              <c:txPr>
                <a:bodyPr/>
                <a:lstStyle/>
                <a:p>
                  <a:pPr>
                    <a:defRPr sz="9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436-4C71-B325-DE3E0AFB6C1B}"/>
                </c:ext>
              </c:extLst>
            </c:dLbl>
            <c:dLbl>
              <c:idx val="4"/>
              <c:layout>
                <c:manualLayout>
                  <c:x val="1.7532135406151155E-2"/>
                  <c:y val="3.684542586750781E-2"/>
                </c:manualLayout>
              </c:layout>
              <c:numFmt formatCode="0.0%" sourceLinked="0"/>
              <c:spPr/>
              <c:txPr>
                <a:bodyPr/>
                <a:lstStyle/>
                <a:p>
                  <a:pPr>
                    <a:defRPr sz="9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3436-4C71-B325-DE3E0AFB6C1B}"/>
                </c:ext>
              </c:extLst>
            </c:dLbl>
            <c:dLbl>
              <c:idx val="5"/>
              <c:layout>
                <c:manualLayout>
                  <c:x val="-4.3670313444341101E-2"/>
                  <c:y val="0.11829209365416887"/>
                </c:manualLayout>
              </c:layout>
              <c:numFmt formatCode="0.0%" sourceLinked="0"/>
              <c:spPr>
                <a:noFill/>
                <a:ln w="25400">
                  <a:noFill/>
                </a:ln>
              </c:spPr>
              <c:txPr>
                <a:bodyPr/>
                <a:lstStyle/>
                <a:p>
                  <a:pPr>
                    <a:defRPr sz="9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436-4C71-B325-DE3E0AFB6C1B}"/>
                </c:ext>
              </c:extLst>
            </c:dLbl>
            <c:dLbl>
              <c:idx val="6"/>
              <c:layout>
                <c:manualLayout>
                  <c:x val="-8.8600954700579423E-2"/>
                  <c:y val="9.0637421206524418E-2"/>
                </c:manualLayout>
              </c:layout>
              <c:numFmt formatCode="0.0%" sourceLinked="0"/>
              <c:spPr/>
              <c:txPr>
                <a:bodyPr/>
                <a:lstStyle/>
                <a:p>
                  <a:pPr>
                    <a:defRPr sz="9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3436-4C71-B325-DE3E0AFB6C1B}"/>
                </c:ext>
              </c:extLst>
            </c:dLbl>
            <c:dLbl>
              <c:idx val="7"/>
              <c:layout>
                <c:manualLayout>
                  <c:x val="-5.03269062521031E-2"/>
                  <c:y val="-9.8803248962964801E-2"/>
                </c:manualLayout>
              </c:layout>
              <c:numFmt formatCode="0.0%" sourceLinked="0"/>
              <c:spPr/>
              <c:txPr>
                <a:bodyPr/>
                <a:lstStyle/>
                <a:p>
                  <a:pPr>
                    <a:defRPr sz="9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436-4C71-B325-DE3E0AFB6C1B}"/>
                </c:ext>
              </c:extLst>
            </c:dLbl>
            <c:dLbl>
              <c:idx val="8"/>
              <c:layout>
                <c:manualLayout>
                  <c:x val="-7.3741934082955443E-2"/>
                  <c:y val="-7.6694014242862409E-3"/>
                </c:manualLayout>
              </c:layout>
              <c:numFmt formatCode="0.0%" sourceLinked="0"/>
              <c:spPr/>
              <c:txPr>
                <a:bodyPr/>
                <a:lstStyle/>
                <a:p>
                  <a:pPr>
                    <a:defRPr sz="9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3436-4C71-B325-DE3E0AFB6C1B}"/>
                </c:ext>
              </c:extLst>
            </c:dLbl>
            <c:dLbl>
              <c:idx val="9"/>
              <c:layout>
                <c:manualLayout>
                  <c:x val="-0.10742916750790767"/>
                  <c:y val="-2.9045265240898514E-4"/>
                </c:manualLayout>
              </c:layout>
              <c:numFmt formatCode="0.0%" sourceLinked="0"/>
              <c:spPr/>
              <c:txPr>
                <a:bodyPr/>
                <a:lstStyle/>
                <a:p>
                  <a:pPr>
                    <a:defRPr sz="9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436-4C71-B325-DE3E0AFB6C1B}"/>
                </c:ext>
              </c:extLst>
            </c:dLbl>
            <c:dLbl>
              <c:idx val="10"/>
              <c:layout>
                <c:manualLayout>
                  <c:x val="-5.3209176416941409E-2"/>
                  <c:y val="-1.9171320412003826E-2"/>
                </c:manualLayout>
              </c:layout>
              <c:numFmt formatCode="0.0%" sourceLinked="0"/>
              <c:spPr>
                <a:noFill/>
                <a:ln w="25400">
                  <a:noFill/>
                </a:ln>
              </c:spPr>
              <c:txPr>
                <a:bodyPr/>
                <a:lstStyle/>
                <a:p>
                  <a:pPr>
                    <a:defRPr sz="9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3436-4C71-B325-DE3E0AFB6C1B}"/>
                </c:ext>
              </c:extLst>
            </c:dLbl>
            <c:dLbl>
              <c:idx val="11"/>
              <c:layout>
                <c:manualLayout>
                  <c:x val="3.1334662724334647E-2"/>
                  <c:y val="5.1759545090025776E-2"/>
                </c:manualLayout>
              </c:layout>
              <c:numFmt formatCode="0.0%" sourceLinked="0"/>
              <c:spPr>
                <a:noFill/>
                <a:ln w="25400">
                  <a:noFill/>
                </a:ln>
              </c:spPr>
              <c:txPr>
                <a:bodyPr/>
                <a:lstStyle/>
                <a:p>
                  <a:pPr>
                    <a:defRPr sz="9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436-4C71-B325-DE3E0AFB6C1B}"/>
                </c:ext>
              </c:extLst>
            </c:dLbl>
            <c:numFmt formatCode="0.0%" sourceLinked="0"/>
            <c:spPr>
              <a:noFill/>
              <a:ln w="25400">
                <a:noFill/>
              </a:ln>
            </c:spPr>
            <c:txPr>
              <a:bodyPr wrap="square" lIns="38100" tIns="19050" rIns="38100" bIns="19050" anchor="ctr">
                <a:spAutoFit/>
              </a:bodyPr>
              <a:lstStyle/>
              <a:p>
                <a:pPr>
                  <a:defRPr sz="9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'Disbursement for Budget'!$C$135:$C$145</c:f>
              <c:strCache>
                <c:ptCount val="11"/>
                <c:pt idx="0">
                  <c:v>Ենթակա է հստակեցման</c:v>
                </c:pt>
                <c:pt idx="1">
                  <c:v>ՎԶՄԲ</c:v>
                </c:pt>
                <c:pt idx="2">
                  <c:v>ԶՄԸ</c:v>
                </c:pt>
                <c:pt idx="3">
                  <c:v>ՎԶԵԲ</c:v>
                </c:pt>
                <c:pt idx="4">
                  <c:v>ԵՆԲ</c:v>
                </c:pt>
                <c:pt idx="5">
                  <c:v>ԱԶԲ</c:v>
                </c:pt>
                <c:pt idx="6">
                  <c:v>ԵԶԲ (ԿԶԵՀ)</c:v>
                </c:pt>
                <c:pt idx="7">
                  <c:v>Ֆրանսիա</c:v>
                </c:pt>
                <c:pt idx="8">
                  <c:v>Գերմանիա (ՎՎԲ)</c:v>
                </c:pt>
                <c:pt idx="9">
                  <c:v>ՕՄԶՀ</c:v>
                </c:pt>
                <c:pt idx="10">
                  <c:v>ԳԶՄՀ</c:v>
                </c:pt>
              </c:strCache>
            </c:strRef>
          </c:cat>
          <c:val>
            <c:numRef>
              <c:f>'Disbursement for Budget'!$D$135:$D$145</c:f>
              <c:numCache>
                <c:formatCode>0.00</c:formatCode>
                <c:ptCount val="11"/>
                <c:pt idx="0">
                  <c:v>21.967937447809909</c:v>
                </c:pt>
                <c:pt idx="1">
                  <c:v>152.34877803813777</c:v>
                </c:pt>
                <c:pt idx="2">
                  <c:v>1.845558618323353</c:v>
                </c:pt>
                <c:pt idx="3">
                  <c:v>20.201928552071507</c:v>
                </c:pt>
                <c:pt idx="4">
                  <c:v>14.474504162554725</c:v>
                </c:pt>
                <c:pt idx="5">
                  <c:v>124.29856853665324</c:v>
                </c:pt>
                <c:pt idx="6">
                  <c:v>39.154575307981986</c:v>
                </c:pt>
                <c:pt idx="7">
                  <c:v>104.30653609656115</c:v>
                </c:pt>
                <c:pt idx="8">
                  <c:v>68.044478858270708</c:v>
                </c:pt>
                <c:pt idx="9">
                  <c:v>50.075357019321046</c:v>
                </c:pt>
                <c:pt idx="10">
                  <c:v>5.6022363470735557E-4</c:v>
                </c:pt>
              </c:numCache>
            </c:numRef>
          </c:val>
          <c:extLst>
            <c:ext xmlns:c16="http://schemas.microsoft.com/office/drawing/2014/chart" uri="{C3380CC4-5D6E-409C-BE32-E72D297353CC}">
              <c16:uniqueId val="{0000000C-3436-4C71-B325-DE3E0AFB6C1B}"/>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effectLst>
      <a:outerShdw blurRad="63500" sx="102000" sy="102000" algn="ctr" rotWithShape="0">
        <a:prstClr val="black">
          <a:alpha val="40000"/>
        </a:prstClr>
      </a:outerShdw>
    </a:effectLst>
  </c:spPr>
  <c:txPr>
    <a:bodyPr/>
    <a:lstStyle/>
    <a:p>
      <a:pPr>
        <a:defRPr sz="9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Calibri"/>
                <a:ea typeface="Calibri"/>
                <a:cs typeface="Calibri"/>
              </a:defRPr>
            </a:pPr>
            <a:r>
              <a:rPr lang="hy-AM"/>
              <a:t>Մասհանումների կառուցվածքն ըստ վարկի արժույթի (%)</a:t>
            </a:r>
          </a:p>
        </c:rich>
      </c:tx>
      <c:layout>
        <c:manualLayout>
          <c:xMode val="edge"/>
          <c:yMode val="edge"/>
          <c:x val="0.13704334255515357"/>
          <c:y val="6.7143220000725713E-3"/>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5.7416037779888879E-2"/>
          <c:y val="0.19712133453963124"/>
          <c:w val="0.87851867158069985"/>
          <c:h val="0.74683564513553902"/>
        </c:manualLayout>
      </c:layout>
      <c:pie3DChart>
        <c:varyColors val="1"/>
        <c:ser>
          <c:idx val="0"/>
          <c:order val="0"/>
          <c:dPt>
            <c:idx val="0"/>
            <c:bubble3D val="0"/>
            <c:spPr>
              <a:solidFill>
                <a:schemeClr val="accent2">
                  <a:lumMod val="75000"/>
                </a:schemeClr>
              </a:solidFill>
            </c:spPr>
            <c:extLst>
              <c:ext xmlns:c16="http://schemas.microsoft.com/office/drawing/2014/chart" uri="{C3380CC4-5D6E-409C-BE32-E72D297353CC}">
                <c16:uniqueId val="{00000001-9769-487A-98A5-419A1F4145A7}"/>
              </c:ext>
            </c:extLst>
          </c:dPt>
          <c:dPt>
            <c:idx val="1"/>
            <c:bubble3D val="0"/>
            <c:spPr>
              <a:solidFill>
                <a:schemeClr val="accent3">
                  <a:lumMod val="50000"/>
                </a:schemeClr>
              </a:solidFill>
            </c:spPr>
            <c:extLst>
              <c:ext xmlns:c16="http://schemas.microsoft.com/office/drawing/2014/chart" uri="{C3380CC4-5D6E-409C-BE32-E72D297353CC}">
                <c16:uniqueId val="{00000003-9769-487A-98A5-419A1F4145A7}"/>
              </c:ext>
            </c:extLst>
          </c:dPt>
          <c:dPt>
            <c:idx val="2"/>
            <c:bubble3D val="0"/>
            <c:spPr>
              <a:solidFill>
                <a:schemeClr val="accent6">
                  <a:lumMod val="40000"/>
                  <a:lumOff val="60000"/>
                </a:schemeClr>
              </a:solidFill>
            </c:spPr>
            <c:extLst>
              <c:ext xmlns:c16="http://schemas.microsoft.com/office/drawing/2014/chart" uri="{C3380CC4-5D6E-409C-BE32-E72D297353CC}">
                <c16:uniqueId val="{00000005-9769-487A-98A5-419A1F4145A7}"/>
              </c:ext>
            </c:extLst>
          </c:dPt>
          <c:dLbls>
            <c:dLbl>
              <c:idx val="0"/>
              <c:layout>
                <c:manualLayout>
                  <c:x val="7.6786311354227216E-3"/>
                  <c:y val="-0.34424339479324406"/>
                </c:manualLayout>
              </c:layout>
              <c:numFmt formatCode="0.0%" sourceLinked="0"/>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769-487A-98A5-419A1F4145A7}"/>
                </c:ext>
              </c:extLst>
            </c:dLbl>
            <c:dLbl>
              <c:idx val="1"/>
              <c:layout>
                <c:manualLayout>
                  <c:x val="-9.527676973536521E-2"/>
                  <c:y val="-8.9111710395003332E-2"/>
                </c:manualLayout>
              </c:layout>
              <c:numFmt formatCode="0.0%" sourceLinked="0"/>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769-487A-98A5-419A1F4145A7}"/>
                </c:ext>
              </c:extLst>
            </c:dLbl>
            <c:dLbl>
              <c:idx val="2"/>
              <c:layout>
                <c:manualLayout>
                  <c:x val="-6.4671308200933628E-2"/>
                  <c:y val="-0.10437444608949981"/>
                </c:manualLayout>
              </c:layout>
              <c:numFmt formatCode="0.0%" sourceLinked="0"/>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769-487A-98A5-419A1F4145A7}"/>
                </c:ext>
              </c:extLst>
            </c:dLbl>
            <c:numFmt formatCode="0.0%" sourceLinked="0"/>
            <c:spPr>
              <a:noFill/>
              <a:ln w="25400">
                <a:noFill/>
              </a:ln>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'Disbursement for Budget'!$C$174:$C$176</c:f>
              <c:strCache>
                <c:ptCount val="3"/>
                <c:pt idx="0">
                  <c:v>USD</c:v>
                </c:pt>
                <c:pt idx="1">
                  <c:v>SDR</c:v>
                </c:pt>
                <c:pt idx="2">
                  <c:v>EUR</c:v>
                </c:pt>
              </c:strCache>
            </c:strRef>
          </c:cat>
          <c:val>
            <c:numRef>
              <c:f>'Disbursement for Budget'!$D$174:$D$176</c:f>
              <c:numCache>
                <c:formatCode>_(* #,##0.0_);_(* \(#,##0.0\);_(* "-"??_);_(@_)</c:formatCode>
                <c:ptCount val="3"/>
                <c:pt idx="0">
                  <c:v>353.11013868987845</c:v>
                </c:pt>
                <c:pt idx="1">
                  <c:v>25.74817532111998</c:v>
                </c:pt>
                <c:pt idx="2">
                  <c:v>277.45046885032167</c:v>
                </c:pt>
              </c:numCache>
            </c:numRef>
          </c:val>
          <c:extLst>
            <c:ext xmlns:c16="http://schemas.microsoft.com/office/drawing/2014/chart" uri="{C3380CC4-5D6E-409C-BE32-E72D297353CC}">
              <c16:uniqueId val="{00000006-9769-487A-98A5-419A1F4145A7}"/>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effectLst>
      <a:outerShdw blurRad="63500" sx="102000" sy="102000" algn="ctr" rotWithShape="0">
        <a:prstClr val="black">
          <a:alpha val="40000"/>
        </a:prstClr>
      </a:outerShdw>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Calibri"/>
                <a:ea typeface="Calibri"/>
                <a:cs typeface="Calibri"/>
              </a:defRPr>
            </a:pPr>
            <a:r>
              <a:rPr lang="hy-AM"/>
              <a:t>Սպասարկման ծախսերի կառուցվածքը (%)</a:t>
            </a:r>
          </a:p>
        </c:rich>
      </c:tx>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8.6105170982270385E-2"/>
          <c:y val="0.20961392743416313"/>
          <c:w val="0.85489933817620689"/>
          <c:h val="0.68211979638797848"/>
        </c:manualLayout>
      </c:layout>
      <c:pie3DChart>
        <c:varyColors val="1"/>
        <c:ser>
          <c:idx val="0"/>
          <c:order val="0"/>
          <c:spPr>
            <a:scene3d>
              <a:camera prst="orthographicFront"/>
              <a:lightRig rig="threePt" dir="t"/>
            </a:scene3d>
            <a:sp3d>
              <a:bevelT/>
              <a:bevelB/>
            </a:sp3d>
          </c:spPr>
          <c:explosion val="19"/>
          <c:dPt>
            <c:idx val="0"/>
            <c:bubble3D val="0"/>
            <c:explosion val="0"/>
            <c:spPr>
              <a:solidFill>
                <a:srgbClr val="D92529"/>
              </a:solidFill>
              <a:scene3d>
                <a:camera prst="orthographicFront"/>
                <a:lightRig rig="threePt" dir="t"/>
              </a:scene3d>
              <a:sp3d>
                <a:bevelT/>
                <a:bevelB/>
              </a:sp3d>
            </c:spPr>
            <c:extLst>
              <c:ext xmlns:c16="http://schemas.microsoft.com/office/drawing/2014/chart" uri="{C3380CC4-5D6E-409C-BE32-E72D297353CC}">
                <c16:uniqueId val="{00000001-B42B-4714-96A6-7F94D512BC8D}"/>
              </c:ext>
            </c:extLst>
          </c:dPt>
          <c:dPt>
            <c:idx val="1"/>
            <c:bubble3D val="0"/>
            <c:spPr>
              <a:solidFill>
                <a:srgbClr val="FFC000"/>
              </a:solidFill>
              <a:scene3d>
                <a:camera prst="orthographicFront"/>
                <a:lightRig rig="threePt" dir="t"/>
              </a:scene3d>
              <a:sp3d>
                <a:bevelT/>
                <a:bevelB/>
              </a:sp3d>
            </c:spPr>
            <c:extLst>
              <c:ext xmlns:c16="http://schemas.microsoft.com/office/drawing/2014/chart" uri="{C3380CC4-5D6E-409C-BE32-E72D297353CC}">
                <c16:uniqueId val="{00000003-B42B-4714-96A6-7F94D512BC8D}"/>
              </c:ext>
            </c:extLst>
          </c:dPt>
          <c:dPt>
            <c:idx val="2"/>
            <c:bubble3D val="0"/>
            <c:spPr>
              <a:solidFill>
                <a:srgbClr val="00B0F0"/>
              </a:solidFill>
              <a:scene3d>
                <a:camera prst="orthographicFront"/>
                <a:lightRig rig="threePt" dir="t"/>
              </a:scene3d>
              <a:sp3d>
                <a:bevelT/>
                <a:bevelB/>
              </a:sp3d>
            </c:spPr>
            <c:extLst>
              <c:ext xmlns:c16="http://schemas.microsoft.com/office/drawing/2014/chart" uri="{C3380CC4-5D6E-409C-BE32-E72D297353CC}">
                <c16:uniqueId val="{00000005-B42B-4714-96A6-7F94D512BC8D}"/>
              </c:ext>
            </c:extLst>
          </c:dPt>
          <c:dLbls>
            <c:dLbl>
              <c:idx val="0"/>
              <c:layout>
                <c:manualLayout>
                  <c:x val="-4.3458516542925228E-2"/>
                  <c:y val="0.14475234177068069"/>
                </c:manualLayout>
              </c:layout>
              <c:numFmt formatCode="0.0%" sourceLinked="0"/>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42B-4714-96A6-7F94D512BC8D}"/>
                </c:ext>
              </c:extLst>
            </c:dLbl>
            <c:dLbl>
              <c:idx val="1"/>
              <c:layout>
                <c:manualLayout>
                  <c:x val="1.3430297593780611E-2"/>
                  <c:y val="0.10833740092508658"/>
                </c:manualLayout>
              </c:layout>
              <c:numFmt formatCode="0.0%" sourceLinked="0"/>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42B-4714-96A6-7F94D512BC8D}"/>
                </c:ext>
              </c:extLst>
            </c:dLbl>
            <c:dLbl>
              <c:idx val="2"/>
              <c:layout>
                <c:manualLayout>
                  <c:x val="-5.3039877619997275E-2"/>
                  <c:y val="3.4079910745415241E-2"/>
                </c:manualLayout>
              </c:layout>
              <c:numFmt formatCode="0.0%" sourceLinked="0"/>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42B-4714-96A6-7F94D512BC8D}"/>
                </c:ext>
              </c:extLst>
            </c:dLbl>
            <c:numFmt formatCode="0.0%" sourceLinked="0"/>
            <c:spPr>
              <a:noFill/>
              <a:ln w="25400">
                <a:noFill/>
              </a:ln>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UXERZ!$G$89:$G$91</c:f>
              <c:strCache>
                <c:ptCount val="3"/>
                <c:pt idx="0">
                  <c:v>պետ. գանձ. պարտ.</c:v>
                </c:pt>
                <c:pt idx="1">
                  <c:v>արտարժ. պետ. պարտ.</c:v>
                </c:pt>
                <c:pt idx="2">
                  <c:v>արտաքին վարկեր</c:v>
                </c:pt>
              </c:strCache>
            </c:strRef>
          </c:cat>
          <c:val>
            <c:numRef>
              <c:f>UXERZ!$H$89:$H$91</c:f>
              <c:numCache>
                <c:formatCode>General</c:formatCode>
                <c:ptCount val="3"/>
                <c:pt idx="0">
                  <c:v>355.1</c:v>
                </c:pt>
                <c:pt idx="1">
                  <c:v>36.700000000000003</c:v>
                </c:pt>
                <c:pt idx="2">
                  <c:v>213.8</c:v>
                </c:pt>
              </c:numCache>
            </c:numRef>
          </c:val>
          <c:extLst>
            <c:ext xmlns:c16="http://schemas.microsoft.com/office/drawing/2014/chart" uri="{C3380CC4-5D6E-409C-BE32-E72D297353CC}">
              <c16:uniqueId val="{00000006-B42B-4714-96A6-7F94D512BC8D}"/>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solidFill>
      <a:schemeClr val="bg1"/>
    </a:solidFill>
    <a:effectLst>
      <a:outerShdw blurRad="63500" sx="102000" sy="102000" algn="ctr" rotWithShape="0">
        <a:prstClr val="black">
          <a:alpha val="40000"/>
        </a:prstClr>
      </a:outerShdw>
    </a:effectLst>
  </c:spPr>
  <c:txPr>
    <a:bodyPr/>
    <a:lstStyle/>
    <a:p>
      <a:pPr>
        <a:defRPr sz="9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areaChart>
        <c:grouping val="stacked"/>
        <c:varyColors val="0"/>
        <c:ser>
          <c:idx val="0"/>
          <c:order val="0"/>
          <c:tx>
            <c:strRef>
              <c:f>'[FANCHART.xlsx]Budget 2023'!$B$3</c:f>
              <c:strCache>
                <c:ptCount val="1"/>
              </c:strCache>
            </c:strRef>
          </c:tx>
          <c:spPr>
            <a:no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2023'!$B$4:$B$91</c:f>
              <c:numCache>
                <c:formatCode>General</c:formatCode>
                <c:ptCount val="9"/>
                <c:pt idx="0">
                  <c:v>8.6471304773412214</c:v>
                </c:pt>
                <c:pt idx="1">
                  <c:v>16.389092714898766</c:v>
                </c:pt>
                <c:pt idx="2">
                  <c:v>-5.402548022928471</c:v>
                </c:pt>
                <c:pt idx="3">
                  <c:v>14.560636925162981</c:v>
                </c:pt>
                <c:pt idx="4">
                  <c:v>16.944190799661762</c:v>
                </c:pt>
                <c:pt idx="5">
                  <c:v>13.590575709249087</c:v>
                </c:pt>
                <c:pt idx="6">
                  <c:v>11.297069409813201</c:v>
                </c:pt>
                <c:pt idx="7">
                  <c:v>10.610578339529372</c:v>
                </c:pt>
                <c:pt idx="8">
                  <c:v>9.4437517478051198</c:v>
                </c:pt>
              </c:numCache>
            </c:numRef>
          </c:val>
          <c:extLst>
            <c:ext xmlns:c16="http://schemas.microsoft.com/office/drawing/2014/chart" uri="{C3380CC4-5D6E-409C-BE32-E72D297353CC}">
              <c16:uniqueId val="{00000000-60AA-4DAF-9AA1-C11B1A796E16}"/>
            </c:ext>
          </c:extLst>
        </c:ser>
        <c:ser>
          <c:idx val="1"/>
          <c:order val="1"/>
          <c:tx>
            <c:strRef>
              <c:f>'[FANCHART.xlsx]Budget 2023'!$C$3</c:f>
              <c:strCache>
                <c:ptCount val="1"/>
              </c:strCache>
            </c:strRef>
          </c:tx>
          <c:spPr>
            <a:solidFill>
              <a:srgbClr val="FF0000">
                <a:alpha val="2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2023'!$C$4:$C$91</c:f>
              <c:numCache>
                <c:formatCode>General</c:formatCode>
                <c:ptCount val="9"/>
                <c:pt idx="4">
                  <c:v>0.8937374070251991</c:v>
                </c:pt>
                <c:pt idx="5">
                  <c:v>1.1126151711837746</c:v>
                </c:pt>
                <c:pt idx="6">
                  <c:v>1.1475809452702173</c:v>
                </c:pt>
                <c:pt idx="7">
                  <c:v>1.1669637082217772</c:v>
                </c:pt>
                <c:pt idx="8">
                  <c:v>1.1778645144327946</c:v>
                </c:pt>
              </c:numCache>
            </c:numRef>
          </c:val>
          <c:extLst>
            <c:ext xmlns:c16="http://schemas.microsoft.com/office/drawing/2014/chart" uri="{C3380CC4-5D6E-409C-BE32-E72D297353CC}">
              <c16:uniqueId val="{00000001-60AA-4DAF-9AA1-C11B1A796E16}"/>
            </c:ext>
          </c:extLst>
        </c:ser>
        <c:ser>
          <c:idx val="2"/>
          <c:order val="2"/>
          <c:tx>
            <c:strRef>
              <c:f>'[FANCHART.xlsx]Budget 2023'!$D$3</c:f>
              <c:strCache>
                <c:ptCount val="1"/>
              </c:strCache>
            </c:strRef>
          </c:tx>
          <c:spPr>
            <a:solidFill>
              <a:srgbClr val="FF0000">
                <a:alpha val="3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2023'!$D$4:$D$91</c:f>
              <c:numCache>
                <c:formatCode>General</c:formatCode>
                <c:ptCount val="9"/>
                <c:pt idx="4">
                  <c:v>0.6030003854920416</c:v>
                </c:pt>
                <c:pt idx="5">
                  <c:v>0.7506761738453207</c:v>
                </c:pt>
                <c:pt idx="6">
                  <c:v>0.77426741562105938</c:v>
                </c:pt>
                <c:pt idx="7">
                  <c:v>0.78734487376460294</c:v>
                </c:pt>
                <c:pt idx="8">
                  <c:v>0.79469959596348261</c:v>
                </c:pt>
              </c:numCache>
            </c:numRef>
          </c:val>
          <c:extLst>
            <c:ext xmlns:c16="http://schemas.microsoft.com/office/drawing/2014/chart" uri="{C3380CC4-5D6E-409C-BE32-E72D297353CC}">
              <c16:uniqueId val="{00000002-60AA-4DAF-9AA1-C11B1A796E16}"/>
            </c:ext>
          </c:extLst>
        </c:ser>
        <c:ser>
          <c:idx val="3"/>
          <c:order val="3"/>
          <c:tx>
            <c:strRef>
              <c:f>'[FANCHART.xlsx]Budget 2023'!$E$3</c:f>
              <c:strCache>
                <c:ptCount val="1"/>
              </c:strCache>
            </c:strRef>
          </c:tx>
          <c:spPr>
            <a:solidFill>
              <a:srgbClr val="FF0000">
                <a:alpha val="4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2023'!$E$4:$E$91</c:f>
              <c:numCache>
                <c:formatCode>General</c:formatCode>
                <c:ptCount val="9"/>
                <c:pt idx="4">
                  <c:v>0.47924559088785301</c:v>
                </c:pt>
                <c:pt idx="5">
                  <c:v>0.59661362605327817</c:v>
                </c:pt>
                <c:pt idx="6">
                  <c:v>0.61536319715905208</c:v>
                </c:pt>
                <c:pt idx="7">
                  <c:v>0.62575674632768141</c:v>
                </c:pt>
                <c:pt idx="8">
                  <c:v>0.63160204638191253</c:v>
                </c:pt>
              </c:numCache>
            </c:numRef>
          </c:val>
          <c:extLst>
            <c:ext xmlns:c16="http://schemas.microsoft.com/office/drawing/2014/chart" uri="{C3380CC4-5D6E-409C-BE32-E72D297353CC}">
              <c16:uniqueId val="{00000003-60AA-4DAF-9AA1-C11B1A796E16}"/>
            </c:ext>
          </c:extLst>
        </c:ser>
        <c:ser>
          <c:idx val="4"/>
          <c:order val="4"/>
          <c:tx>
            <c:strRef>
              <c:f>'[FANCHART.xlsx]Budget 2023'!$F$3</c:f>
              <c:strCache>
                <c:ptCount val="1"/>
              </c:strCache>
            </c:strRef>
          </c:tx>
          <c:spPr>
            <a:solidFill>
              <a:srgbClr val="FF0000">
                <a:alpha val="5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2023'!$F$4:$F$91</c:f>
              <c:numCache>
                <c:formatCode>General</c:formatCode>
                <c:ptCount val="9"/>
                <c:pt idx="4">
                  <c:v>0.41115004414522005</c:v>
                </c:pt>
                <c:pt idx="5">
                  <c:v>0.51184136766914534</c:v>
                </c:pt>
                <c:pt idx="6">
                  <c:v>0.52792683018443043</c:v>
                </c:pt>
                <c:pt idx="7">
                  <c:v>0.53684356991194804</c:v>
                </c:pt>
                <c:pt idx="8">
                  <c:v>0.54185831688309349</c:v>
                </c:pt>
              </c:numCache>
            </c:numRef>
          </c:val>
          <c:extLst>
            <c:ext xmlns:c16="http://schemas.microsoft.com/office/drawing/2014/chart" uri="{C3380CC4-5D6E-409C-BE32-E72D297353CC}">
              <c16:uniqueId val="{00000004-60AA-4DAF-9AA1-C11B1A796E16}"/>
            </c:ext>
          </c:extLst>
        </c:ser>
        <c:ser>
          <c:idx val="5"/>
          <c:order val="5"/>
          <c:tx>
            <c:strRef>
              <c:f>'[FANCHART.xlsx]Budget 2023'!$G$3</c:f>
              <c:strCache>
                <c:ptCount val="1"/>
              </c:strCache>
            </c:strRef>
          </c:tx>
          <c:spPr>
            <a:solidFill>
              <a:srgbClr val="FF0000">
                <a:alpha val="6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2023'!$G$4:$G$91</c:f>
              <c:numCache>
                <c:formatCode>General</c:formatCode>
                <c:ptCount val="9"/>
                <c:pt idx="4">
                  <c:v>0.36922544676872349</c:v>
                </c:pt>
                <c:pt idx="5">
                  <c:v>0.4596493672893871</c:v>
                </c:pt>
                <c:pt idx="6">
                  <c:v>0.47409460977023343</c:v>
                </c:pt>
                <c:pt idx="7">
                  <c:v>0.48210211762897082</c:v>
                </c:pt>
                <c:pt idx="8">
                  <c:v>0.48660551539632912</c:v>
                </c:pt>
              </c:numCache>
            </c:numRef>
          </c:val>
          <c:extLst>
            <c:ext xmlns:c16="http://schemas.microsoft.com/office/drawing/2014/chart" uri="{C3380CC4-5D6E-409C-BE32-E72D297353CC}">
              <c16:uniqueId val="{00000005-60AA-4DAF-9AA1-C11B1A796E16}"/>
            </c:ext>
          </c:extLst>
        </c:ser>
        <c:ser>
          <c:idx val="6"/>
          <c:order val="6"/>
          <c:tx>
            <c:strRef>
              <c:f>'[FANCHART.xlsx]Budget 2023'!$H$3</c:f>
              <c:strCache>
                <c:ptCount val="1"/>
              </c:strCache>
            </c:strRef>
          </c:tx>
          <c:spPr>
            <a:solidFill>
              <a:srgbClr val="FF0000">
                <a:alpha val="7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2023'!$H$4:$H$91</c:f>
              <c:numCache>
                <c:formatCode>General</c:formatCode>
                <c:ptCount val="9"/>
                <c:pt idx="4">
                  <c:v>0.34214240202265245</c:v>
                </c:pt>
                <c:pt idx="5">
                  <c:v>0.42593364024309466</c:v>
                </c:pt>
                <c:pt idx="6">
                  <c:v>0.43931931017307413</c:v>
                </c:pt>
                <c:pt idx="7">
                  <c:v>0.44673945956142092</c:v>
                </c:pt>
                <c:pt idx="8">
                  <c:v>0.45091252873331022</c:v>
                </c:pt>
              </c:numCache>
            </c:numRef>
          </c:val>
          <c:extLst>
            <c:ext xmlns:c16="http://schemas.microsoft.com/office/drawing/2014/chart" uri="{C3380CC4-5D6E-409C-BE32-E72D297353CC}">
              <c16:uniqueId val="{00000006-60AA-4DAF-9AA1-C11B1A796E16}"/>
            </c:ext>
          </c:extLst>
        </c:ser>
        <c:ser>
          <c:idx val="7"/>
          <c:order val="7"/>
          <c:tx>
            <c:strRef>
              <c:f>'[FANCHART.xlsx]Budget 2023'!$I$3</c:f>
              <c:strCache>
                <c:ptCount val="1"/>
              </c:strCache>
            </c:strRef>
          </c:tx>
          <c:spPr>
            <a:solidFill>
              <a:srgbClr val="FF0000">
                <a:alpha val="8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2023'!$I$4:$I$91</c:f>
              <c:numCache>
                <c:formatCode>General</c:formatCode>
                <c:ptCount val="9"/>
                <c:pt idx="4">
                  <c:v>0.32465968134105694</c:v>
                </c:pt>
                <c:pt idx="5">
                  <c:v>0.40416937244919993</c:v>
                </c:pt>
                <c:pt idx="6">
                  <c:v>0.41687106422523712</c:v>
                </c:pt>
                <c:pt idx="7">
                  <c:v>0.42391206037678941</c:v>
                </c:pt>
                <c:pt idx="8">
                  <c:v>0.42787189493559019</c:v>
                </c:pt>
              </c:numCache>
            </c:numRef>
          </c:val>
          <c:extLst>
            <c:ext xmlns:c16="http://schemas.microsoft.com/office/drawing/2014/chart" uri="{C3380CC4-5D6E-409C-BE32-E72D297353CC}">
              <c16:uniqueId val="{00000007-60AA-4DAF-9AA1-C11B1A796E16}"/>
            </c:ext>
          </c:extLst>
        </c:ser>
        <c:ser>
          <c:idx val="8"/>
          <c:order val="8"/>
          <c:tx>
            <c:strRef>
              <c:f>'[FANCHART.xlsx]Budget 2023'!$J$3</c:f>
              <c:strCache>
                <c:ptCount val="1"/>
              </c:strCache>
            </c:strRef>
          </c:tx>
          <c:spPr>
            <a:solidFill>
              <a:srgbClr val="FF0000">
                <a:alpha val="9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2023'!$J$4:$J$91</c:f>
              <c:numCache>
                <c:formatCode>General</c:formatCode>
                <c:ptCount val="9"/>
                <c:pt idx="4">
                  <c:v>0.31411199895335429</c:v>
                </c:pt>
                <c:pt idx="5">
                  <c:v>0.39103854525864179</c:v>
                </c:pt>
                <c:pt idx="6">
                  <c:v>0.40332757904743843</c:v>
                </c:pt>
                <c:pt idx="7">
                  <c:v>0.41013982430885143</c:v>
                </c:pt>
                <c:pt idx="8">
                  <c:v>0.41397101007127901</c:v>
                </c:pt>
              </c:numCache>
            </c:numRef>
          </c:val>
          <c:extLst>
            <c:ext xmlns:c16="http://schemas.microsoft.com/office/drawing/2014/chart" uri="{C3380CC4-5D6E-409C-BE32-E72D297353CC}">
              <c16:uniqueId val="{00000008-60AA-4DAF-9AA1-C11B1A796E16}"/>
            </c:ext>
          </c:extLst>
        </c:ser>
        <c:ser>
          <c:idx val="9"/>
          <c:order val="9"/>
          <c:tx>
            <c:strRef>
              <c:f>'[FANCHART.xlsx]Budget 2023'!$K$3</c:f>
              <c:strCache>
                <c:ptCount val="1"/>
              </c:strCache>
            </c:strRef>
          </c:tx>
          <c:spPr>
            <a:solidFill>
              <a:srgbClr val="FF0000"/>
            </a:solidFill>
            <a:ln>
              <a:solidFill>
                <a:srgbClr val="FF0000"/>
              </a:solidFill>
              <a:prstDash val="solid"/>
            </a:ln>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2023'!$K$4:$K$91</c:f>
              <c:numCache>
                <c:formatCode>General</c:formatCode>
                <c:ptCount val="9"/>
                <c:pt idx="4">
                  <c:v>0.52349612061978945</c:v>
                </c:pt>
                <c:pt idx="5">
                  <c:v>0.60888837806041707</c:v>
                </c:pt>
                <c:pt idx="6">
                  <c:v>0.63307676966225657</c:v>
                </c:pt>
                <c:pt idx="7">
                  <c:v>0.64648524903522464</c:v>
                </c:pt>
                <c:pt idx="8">
                  <c:v>0.65402613655443176</c:v>
                </c:pt>
              </c:numCache>
            </c:numRef>
          </c:val>
          <c:extLst>
            <c:ext xmlns:c16="http://schemas.microsoft.com/office/drawing/2014/chart" uri="{C3380CC4-5D6E-409C-BE32-E72D297353CC}">
              <c16:uniqueId val="{00000009-60AA-4DAF-9AA1-C11B1A796E16}"/>
            </c:ext>
          </c:extLst>
        </c:ser>
        <c:ser>
          <c:idx val="10"/>
          <c:order val="10"/>
          <c:tx>
            <c:strRef>
              <c:f>'[FANCHART.xlsx]Budget 2023'!$L$3</c:f>
              <c:strCache>
                <c:ptCount val="1"/>
              </c:strCache>
            </c:strRef>
          </c:tx>
          <c:spPr>
            <a:solidFill>
              <a:srgbClr val="FF0000">
                <a:alpha val="9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2023'!$L$4:$L$91</c:f>
              <c:numCache>
                <c:formatCode>General</c:formatCode>
                <c:ptCount val="9"/>
                <c:pt idx="4">
                  <c:v>0.21781766553172943</c:v>
                </c:pt>
                <c:pt idx="5">
                  <c:v>0.22765904941900672</c:v>
                </c:pt>
                <c:pt idx="6">
                  <c:v>0.23994808320780336</c:v>
                </c:pt>
                <c:pt idx="7">
                  <c:v>0.24676032846921458</c:v>
                </c:pt>
                <c:pt idx="8">
                  <c:v>0.25059151423164572</c:v>
                </c:pt>
              </c:numCache>
            </c:numRef>
          </c:val>
          <c:extLst>
            <c:ext xmlns:c16="http://schemas.microsoft.com/office/drawing/2014/chart" uri="{C3380CC4-5D6E-409C-BE32-E72D297353CC}">
              <c16:uniqueId val="{0000000A-60AA-4DAF-9AA1-C11B1A796E16}"/>
            </c:ext>
          </c:extLst>
        </c:ser>
        <c:ser>
          <c:idx val="11"/>
          <c:order val="11"/>
          <c:tx>
            <c:strRef>
              <c:f>'[FANCHART.xlsx]Budget 2023'!$M$3</c:f>
              <c:strCache>
                <c:ptCount val="1"/>
              </c:strCache>
            </c:strRef>
          </c:tx>
          <c:spPr>
            <a:solidFill>
              <a:srgbClr val="FF0000">
                <a:alpha val="8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2023'!$M$4:$M$91</c:f>
              <c:numCache>
                <c:formatCode>General</c:formatCode>
                <c:ptCount val="9"/>
                <c:pt idx="4">
                  <c:v>0.22513184506678385</c:v>
                </c:pt>
                <c:pt idx="5">
                  <c:v>0.23530369640466731</c:v>
                </c:pt>
                <c:pt idx="6">
                  <c:v>0.24800538818070095</c:v>
                </c:pt>
                <c:pt idx="7">
                  <c:v>0.25504638433225324</c:v>
                </c:pt>
                <c:pt idx="8">
                  <c:v>0.25900621889105224</c:v>
                </c:pt>
              </c:numCache>
            </c:numRef>
          </c:val>
          <c:extLst>
            <c:ext xmlns:c16="http://schemas.microsoft.com/office/drawing/2014/chart" uri="{C3380CC4-5D6E-409C-BE32-E72D297353CC}">
              <c16:uniqueId val="{0000000B-60AA-4DAF-9AA1-C11B1A796E16}"/>
            </c:ext>
          </c:extLst>
        </c:ser>
        <c:ser>
          <c:idx val="12"/>
          <c:order val="12"/>
          <c:tx>
            <c:strRef>
              <c:f>'[FANCHART.xlsx]Budget 2023'!$N$3</c:f>
              <c:strCache>
                <c:ptCount val="1"/>
              </c:strCache>
            </c:strRef>
          </c:tx>
          <c:spPr>
            <a:solidFill>
              <a:srgbClr val="FF0000">
                <a:alpha val="7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2023'!$N$4:$N$91</c:f>
              <c:numCache>
                <c:formatCode>General</c:formatCode>
                <c:ptCount val="9"/>
                <c:pt idx="4">
                  <c:v>0.23725505404541991</c:v>
                </c:pt>
                <c:pt idx="5">
                  <c:v>0.24797465321272227</c:v>
                </c:pt>
                <c:pt idx="6">
                  <c:v>0.26136032314270707</c:v>
                </c:pt>
                <c:pt idx="7">
                  <c:v>0.26878047253105564</c:v>
                </c:pt>
                <c:pt idx="8">
                  <c:v>0.27295354170294495</c:v>
                </c:pt>
              </c:numCache>
            </c:numRef>
          </c:val>
          <c:extLst>
            <c:ext xmlns:c16="http://schemas.microsoft.com/office/drawing/2014/chart" uri="{C3380CC4-5D6E-409C-BE32-E72D297353CC}">
              <c16:uniqueId val="{0000000C-60AA-4DAF-9AA1-C11B1A796E16}"/>
            </c:ext>
          </c:extLst>
        </c:ser>
        <c:ser>
          <c:idx val="13"/>
          <c:order val="13"/>
          <c:tx>
            <c:strRef>
              <c:f>'[FANCHART.xlsx]Budget 2023'!$O$3</c:f>
              <c:strCache>
                <c:ptCount val="1"/>
              </c:strCache>
            </c:strRef>
          </c:tx>
          <c:spPr>
            <a:solidFill>
              <a:srgbClr val="FF0000">
                <a:alpha val="6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2023'!$O$4:$O$91</c:f>
              <c:numCache>
                <c:formatCode>General</c:formatCode>
                <c:ptCount val="9"/>
                <c:pt idx="4">
                  <c:v>0.25603550688306242</c:v>
                </c:pt>
                <c:pt idx="5">
                  <c:v>0.26760363982516466</c:v>
                </c:pt>
                <c:pt idx="6">
                  <c:v>0.282048882306011</c:v>
                </c:pt>
                <c:pt idx="7">
                  <c:v>0.2900563901647466</c:v>
                </c:pt>
                <c:pt idx="8">
                  <c:v>0.29455978793210491</c:v>
                </c:pt>
              </c:numCache>
            </c:numRef>
          </c:val>
          <c:extLst>
            <c:ext xmlns:c16="http://schemas.microsoft.com/office/drawing/2014/chart" uri="{C3380CC4-5D6E-409C-BE32-E72D297353CC}">
              <c16:uniqueId val="{0000000D-60AA-4DAF-9AA1-C11B1A796E16}"/>
            </c:ext>
          </c:extLst>
        </c:ser>
        <c:ser>
          <c:idx val="14"/>
          <c:order val="14"/>
          <c:tx>
            <c:strRef>
              <c:f>'[FANCHART.xlsx]Budget 2023'!$P$3</c:f>
              <c:strCache>
                <c:ptCount val="1"/>
              </c:strCache>
            </c:strRef>
          </c:tx>
          <c:spPr>
            <a:solidFill>
              <a:srgbClr val="FF0000">
                <a:alpha val="5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2023'!$P$4:$P$91</c:f>
              <c:numCache>
                <c:formatCode>General</c:formatCode>
                <c:ptCount val="9"/>
                <c:pt idx="4">
                  <c:v>0.28510767846305285</c:v>
                </c:pt>
                <c:pt idx="5">
                  <c:v>0.29798934307054026</c:v>
                </c:pt>
                <c:pt idx="6">
                  <c:v>0.31407480558582535</c:v>
                </c:pt>
                <c:pt idx="7">
                  <c:v>0.32299154531334651</c:v>
                </c:pt>
                <c:pt idx="8">
                  <c:v>0.32800629228449196</c:v>
                </c:pt>
              </c:numCache>
            </c:numRef>
          </c:val>
          <c:extLst>
            <c:ext xmlns:c16="http://schemas.microsoft.com/office/drawing/2014/chart" uri="{C3380CC4-5D6E-409C-BE32-E72D297353CC}">
              <c16:uniqueId val="{0000000E-60AA-4DAF-9AA1-C11B1A796E16}"/>
            </c:ext>
          </c:extLst>
        </c:ser>
        <c:ser>
          <c:idx val="15"/>
          <c:order val="15"/>
          <c:tx>
            <c:strRef>
              <c:f>'[FANCHART.xlsx]Budget 2023'!$Q$3</c:f>
              <c:strCache>
                <c:ptCount val="1"/>
              </c:strCache>
            </c:strRef>
          </c:tx>
          <c:spPr>
            <a:solidFill>
              <a:srgbClr val="FF0000">
                <a:alpha val="4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2023'!$Q$4:$Q$91</c:f>
              <c:numCache>
                <c:formatCode>General</c:formatCode>
                <c:ptCount val="9"/>
                <c:pt idx="4">
                  <c:v>0.33232781992218108</c:v>
                </c:pt>
                <c:pt idx="5">
                  <c:v>0.34734297328126473</c:v>
                </c:pt>
                <c:pt idx="6">
                  <c:v>0.36609254438703687</c:v>
                </c:pt>
                <c:pt idx="7">
                  <c:v>0.37648609355566265</c:v>
                </c:pt>
                <c:pt idx="8">
                  <c:v>0.38233139360989554</c:v>
                </c:pt>
              </c:numCache>
            </c:numRef>
          </c:val>
          <c:extLst>
            <c:ext xmlns:c16="http://schemas.microsoft.com/office/drawing/2014/chart" uri="{C3380CC4-5D6E-409C-BE32-E72D297353CC}">
              <c16:uniqueId val="{0000000F-60AA-4DAF-9AA1-C11B1A796E16}"/>
            </c:ext>
          </c:extLst>
        </c:ser>
        <c:ser>
          <c:idx val="16"/>
          <c:order val="16"/>
          <c:tx>
            <c:strRef>
              <c:f>'[FANCHART.xlsx]Budget 2023'!$R$3</c:f>
              <c:strCache>
                <c:ptCount val="1"/>
              </c:strCache>
            </c:strRef>
          </c:tx>
          <c:spPr>
            <a:solidFill>
              <a:srgbClr val="FF0000">
                <a:alpha val="3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2023'!$R$4:$R$91</c:f>
              <c:numCache>
                <c:formatCode>General</c:formatCode>
                <c:ptCount val="9"/>
                <c:pt idx="4">
                  <c:v>0.41814428204035181</c:v>
                </c:pt>
                <c:pt idx="5">
                  <c:v>0.4370367735643228</c:v>
                </c:pt>
                <c:pt idx="6">
                  <c:v>0.4606280153400597</c:v>
                </c:pt>
                <c:pt idx="7">
                  <c:v>0.47370547348360503</c:v>
                </c:pt>
                <c:pt idx="8">
                  <c:v>0.4810601956824847</c:v>
                </c:pt>
              </c:numCache>
            </c:numRef>
          </c:val>
          <c:extLst>
            <c:ext xmlns:c16="http://schemas.microsoft.com/office/drawing/2014/chart" uri="{C3380CC4-5D6E-409C-BE32-E72D297353CC}">
              <c16:uniqueId val="{00000010-60AA-4DAF-9AA1-C11B1A796E16}"/>
            </c:ext>
          </c:extLst>
        </c:ser>
        <c:ser>
          <c:idx val="17"/>
          <c:order val="17"/>
          <c:tx>
            <c:strRef>
              <c:f>'[FANCHART.xlsx]Budget 2023'!$S$3</c:f>
              <c:strCache>
                <c:ptCount val="1"/>
              </c:strCache>
            </c:strRef>
          </c:tx>
          <c:spPr>
            <a:solidFill>
              <a:srgbClr val="FF0000">
                <a:alpha val="2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2023'!$S$4:$S$91</c:f>
              <c:numCache>
                <c:formatCode>General</c:formatCode>
                <c:ptCount val="9"/>
                <c:pt idx="4">
                  <c:v>0.61975281506364865</c:v>
                </c:pt>
                <c:pt idx="5">
                  <c:v>0.64775433345919353</c:v>
                </c:pt>
                <c:pt idx="6">
                  <c:v>0.68272010754563794</c:v>
                </c:pt>
                <c:pt idx="7">
                  <c:v>0.70210287049719966</c:v>
                </c:pt>
                <c:pt idx="8">
                  <c:v>0.71300367670821529</c:v>
                </c:pt>
              </c:numCache>
            </c:numRef>
          </c:val>
          <c:extLst>
            <c:ext xmlns:c16="http://schemas.microsoft.com/office/drawing/2014/chart" uri="{C3380CC4-5D6E-409C-BE32-E72D297353CC}">
              <c16:uniqueId val="{00000011-60AA-4DAF-9AA1-C11B1A796E16}"/>
            </c:ext>
          </c:extLst>
        </c:ser>
        <c:dLbls>
          <c:showLegendKey val="0"/>
          <c:showVal val="0"/>
          <c:showCatName val="0"/>
          <c:showSerName val="0"/>
          <c:showPercent val="0"/>
          <c:showBubbleSize val="0"/>
        </c:dLbls>
        <c:axId val="363031552"/>
        <c:axId val="363057920"/>
      </c:areaChart>
      <c:catAx>
        <c:axId val="363031552"/>
        <c:scaling>
          <c:orientation val="minMax"/>
        </c:scaling>
        <c:delete val="0"/>
        <c:axPos val="b"/>
        <c:numFmt formatCode="General" sourceLinked="1"/>
        <c:majorTickMark val="out"/>
        <c:minorTickMark val="none"/>
        <c:tickLblPos val="nextTo"/>
        <c:crossAx val="363057920"/>
        <c:crosses val="autoZero"/>
        <c:auto val="1"/>
        <c:lblAlgn val="ctr"/>
        <c:lblOffset val="100"/>
        <c:noMultiLvlLbl val="0"/>
      </c:catAx>
      <c:valAx>
        <c:axId val="363057920"/>
        <c:scaling>
          <c:orientation val="minMax"/>
        </c:scaling>
        <c:delete val="0"/>
        <c:axPos val="l"/>
        <c:majorGridlines/>
        <c:numFmt formatCode="General" sourceLinked="1"/>
        <c:majorTickMark val="out"/>
        <c:minorTickMark val="none"/>
        <c:tickLblPos val="nextTo"/>
        <c:crossAx val="363031552"/>
        <c:crosses val="autoZero"/>
        <c:crossBetween val="between"/>
      </c:valAx>
    </c:plotArea>
    <c:plotVisOnly val="1"/>
    <c:dispBlanksAs val="gap"/>
    <c:showDLblsOverMax val="0"/>
  </c:chart>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doughnutChart>
        <c:varyColors val="1"/>
        <c:ser>
          <c:idx val="1"/>
          <c:order val="0"/>
          <c:spPr>
            <a:ln>
              <a:solidFill>
                <a:schemeClr val="accent1"/>
              </a:solidFill>
            </a:ln>
          </c:spPr>
          <c:dPt>
            <c:idx val="0"/>
            <c:bubble3D val="0"/>
            <c:spPr>
              <a:solidFill>
                <a:schemeClr val="accent1"/>
              </a:solidFill>
              <a:ln w="19050">
                <a:solidFill>
                  <a:schemeClr val="accent1"/>
                </a:solidFill>
              </a:ln>
              <a:effectLst/>
            </c:spPr>
            <c:extLst>
              <c:ext xmlns:c16="http://schemas.microsoft.com/office/drawing/2014/chart" uri="{C3380CC4-5D6E-409C-BE32-E72D297353CC}">
                <c16:uniqueId val="{00000001-3DB4-4EF6-9D94-5AA3FE0841F0}"/>
              </c:ext>
            </c:extLst>
          </c:dPt>
          <c:dPt>
            <c:idx val="1"/>
            <c:bubble3D val="0"/>
            <c:spPr>
              <a:solidFill>
                <a:schemeClr val="accent2"/>
              </a:solidFill>
              <a:ln w="19050">
                <a:solidFill>
                  <a:schemeClr val="accent1"/>
                </a:solidFill>
              </a:ln>
              <a:effectLst/>
            </c:spPr>
            <c:extLst>
              <c:ext xmlns:c16="http://schemas.microsoft.com/office/drawing/2014/chart" uri="{C3380CC4-5D6E-409C-BE32-E72D297353CC}">
                <c16:uniqueId val="{00000003-3DB4-4EF6-9D94-5AA3FE0841F0}"/>
              </c:ext>
            </c:extLst>
          </c:dPt>
          <c:dPt>
            <c:idx val="2"/>
            <c:bubble3D val="0"/>
            <c:spPr>
              <a:solidFill>
                <a:schemeClr val="accent3"/>
              </a:solidFill>
              <a:ln w="19050">
                <a:solidFill>
                  <a:schemeClr val="accent1"/>
                </a:solidFill>
              </a:ln>
              <a:effectLst/>
            </c:spPr>
            <c:extLst>
              <c:ext xmlns:c16="http://schemas.microsoft.com/office/drawing/2014/chart" uri="{C3380CC4-5D6E-409C-BE32-E72D297353CC}">
                <c16:uniqueId val="{00000005-3DB4-4EF6-9D94-5AA3FE0841F0}"/>
              </c:ext>
            </c:extLst>
          </c:dPt>
          <c:dPt>
            <c:idx val="3"/>
            <c:bubble3D val="0"/>
            <c:spPr>
              <a:solidFill>
                <a:schemeClr val="accent4"/>
              </a:solidFill>
              <a:ln w="19050">
                <a:solidFill>
                  <a:schemeClr val="accent1"/>
                </a:solidFill>
              </a:ln>
              <a:effectLst/>
            </c:spPr>
            <c:extLst>
              <c:ext xmlns:c16="http://schemas.microsoft.com/office/drawing/2014/chart" uri="{C3380CC4-5D6E-409C-BE32-E72D297353CC}">
                <c16:uniqueId val="{00000007-3DB4-4EF6-9D94-5AA3FE0841F0}"/>
              </c:ext>
            </c:extLst>
          </c:dPt>
          <c:dPt>
            <c:idx val="4"/>
            <c:bubble3D val="0"/>
            <c:spPr>
              <a:solidFill>
                <a:schemeClr val="accent5"/>
              </a:solidFill>
              <a:ln w="19050">
                <a:solidFill>
                  <a:schemeClr val="accent1"/>
                </a:solidFill>
              </a:ln>
              <a:effectLst/>
            </c:spPr>
            <c:extLst>
              <c:ext xmlns:c16="http://schemas.microsoft.com/office/drawing/2014/chart" uri="{C3380CC4-5D6E-409C-BE32-E72D297353CC}">
                <c16:uniqueId val="{00000009-3DB4-4EF6-9D94-5AA3FE0841F0}"/>
              </c:ext>
            </c:extLst>
          </c:dPt>
          <c:dLbls>
            <c:dLbl>
              <c:idx val="2"/>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5-3DB4-4EF6-9D94-5AA3FE0841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working!$B$145:$B$149</c:f>
              <c:strCache>
                <c:ptCount val="5"/>
                <c:pt idx="0">
                  <c:v>ՀՀ դրամ</c:v>
                </c:pt>
                <c:pt idx="1">
                  <c:v>ԱՄՆ դոլար</c:v>
                </c:pt>
                <c:pt idx="2">
                  <c:v>Ճապոնական իեն</c:v>
                </c:pt>
                <c:pt idx="3">
                  <c:v>Եվրո</c:v>
                </c:pt>
                <c:pt idx="4">
                  <c:v>ՀՓԻ</c:v>
                </c:pt>
              </c:strCache>
            </c:strRef>
          </c:cat>
          <c:val>
            <c:numRef>
              <c:f>working!$D$145:$D$149</c:f>
              <c:numCache>
                <c:formatCode>_(* #,##0_);_(* \(#,##0\);_(* "-"??_);_(@_)</c:formatCode>
                <c:ptCount val="5"/>
                <c:pt idx="0">
                  <c:v>108448.69320956047</c:v>
                </c:pt>
                <c:pt idx="1">
                  <c:v>111450.0191614646</c:v>
                </c:pt>
                <c:pt idx="2">
                  <c:v>67199.834212009722</c:v>
                </c:pt>
                <c:pt idx="3">
                  <c:v>36871.55505199109</c:v>
                </c:pt>
                <c:pt idx="4">
                  <c:v>8597.5042581013658</c:v>
                </c:pt>
              </c:numCache>
            </c:numRef>
          </c:val>
          <c:extLst>
            <c:ext xmlns:c16="http://schemas.microsoft.com/office/drawing/2014/chart" uri="{C3380CC4-5D6E-409C-BE32-E72D297353CC}">
              <c16:uniqueId val="{0000000A-3DB4-4EF6-9D94-5AA3FE0841F0}"/>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319550960154242"/>
          <c:y val="0.10619396507909203"/>
          <c:w val="0.7792190231945022"/>
          <c:h val="0.7439179288289062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459-4460-8026-74DAA918FF7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459-4460-8026-74DAA918FF7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459-4460-8026-74DAA918FF7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459-4460-8026-74DAA918FF7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459-4460-8026-74DAA918FF7A}"/>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B459-4460-8026-74DAA918FF7A}"/>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B459-4460-8026-74DAA918FF7A}"/>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B459-4460-8026-74DAA918FF7A}"/>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B459-4460-8026-74DAA918FF7A}"/>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B459-4460-8026-74DAA918FF7A}"/>
              </c:ext>
            </c:extLst>
          </c:dPt>
          <c:dLbls>
            <c:dLbl>
              <c:idx val="0"/>
              <c:delete val="1"/>
              <c:extLst>
                <c:ext xmlns:c15="http://schemas.microsoft.com/office/drawing/2012/chart" uri="{CE6537A1-D6FC-4f65-9D91-7224C49458BB}"/>
                <c:ext xmlns:c16="http://schemas.microsoft.com/office/drawing/2014/chart" uri="{C3380CC4-5D6E-409C-BE32-E72D297353CC}">
                  <c16:uniqueId val="{00000001-B459-4460-8026-74DAA918FF7A}"/>
                </c:ext>
              </c:extLst>
            </c:dLbl>
            <c:dLbl>
              <c:idx val="2"/>
              <c:delete val="1"/>
              <c:extLst>
                <c:ext xmlns:c15="http://schemas.microsoft.com/office/drawing/2012/chart" uri="{CE6537A1-D6FC-4f65-9D91-7224C49458BB}"/>
                <c:ext xmlns:c16="http://schemas.microsoft.com/office/drawing/2014/chart" uri="{C3380CC4-5D6E-409C-BE32-E72D297353CC}">
                  <c16:uniqueId val="{00000005-B459-4460-8026-74DAA918FF7A}"/>
                </c:ext>
              </c:extLst>
            </c:dLbl>
            <c:dLbl>
              <c:idx val="3"/>
              <c:delete val="1"/>
              <c:extLst>
                <c:ext xmlns:c15="http://schemas.microsoft.com/office/drawing/2012/chart" uri="{CE6537A1-D6FC-4f65-9D91-7224C49458BB}"/>
                <c:ext xmlns:c16="http://schemas.microsoft.com/office/drawing/2014/chart" uri="{C3380CC4-5D6E-409C-BE32-E72D297353CC}">
                  <c16:uniqueId val="{00000007-B459-4460-8026-74DAA918FF7A}"/>
                </c:ext>
              </c:extLst>
            </c:dLbl>
            <c:dLbl>
              <c:idx val="5"/>
              <c:layout>
                <c:manualLayout>
                  <c:x val="9.5571711830799728E-3"/>
                  <c:y val="-9.240794751698738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459-4460-8026-74DAA918FF7A}"/>
                </c:ext>
              </c:extLst>
            </c:dLbl>
            <c:dLbl>
              <c:idx val="7"/>
              <c:layout>
                <c:manualLayout>
                  <c:x val="0.23514204974212988"/>
                  <c:y val="-0.2991559868323311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B459-4460-8026-74DAA918FF7A}"/>
                </c:ext>
              </c:extLst>
            </c:dLbl>
            <c:dLbl>
              <c:idx val="9"/>
              <c:layout>
                <c:manualLayout>
                  <c:x val="0.17208865654147137"/>
                  <c:y val="1.9001003252971757E-7"/>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30786778618371258"/>
                      <c:h val="0.12015888778550149"/>
                    </c:manualLayout>
                  </c15:layout>
                </c:ext>
                <c:ext xmlns:c16="http://schemas.microsoft.com/office/drawing/2014/chart" uri="{C3380CC4-5D6E-409C-BE32-E72D297353CC}">
                  <c16:uniqueId val="{00000013-B459-4460-8026-74DAA918FF7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'by debitor and sector'!$A$63:$A$72</c:f>
              <c:strCache>
                <c:ptCount val="10"/>
                <c:pt idx="0">
                  <c:v>Մշակույթ</c:v>
                </c:pt>
                <c:pt idx="1">
                  <c:v>Էներգետիկա</c:v>
                </c:pt>
                <c:pt idx="2">
                  <c:v>Մունիցիպալ ծառայություններ</c:v>
                </c:pt>
                <c:pt idx="3">
                  <c:v>Քիմիա</c:v>
                </c:pt>
                <c:pt idx="4">
                  <c:v>Տրանսպորտ</c:v>
                </c:pt>
                <c:pt idx="5">
                  <c:v>Գյուղատնտեսություն</c:v>
                </c:pt>
                <c:pt idx="6">
                  <c:v>Առողջապահություն</c:v>
                </c:pt>
                <c:pt idx="7">
                  <c:v>Շինարարություն</c:v>
                </c:pt>
                <c:pt idx="8">
                  <c:v>Ֆինանսական </c:v>
                </c:pt>
                <c:pt idx="9">
                  <c:v>Այլ</c:v>
                </c:pt>
              </c:strCache>
            </c:strRef>
          </c:cat>
          <c:val>
            <c:numRef>
              <c:f>'by debitor and sector'!$B$63:$B$72</c:f>
              <c:numCache>
                <c:formatCode>_(* #,##0_);_(* \(#,##0\);_(* "-"??_);_(@_)</c:formatCode>
                <c:ptCount val="10"/>
                <c:pt idx="0">
                  <c:v>125.82017318690001</c:v>
                </c:pt>
                <c:pt idx="1">
                  <c:v>273453.97954914469</c:v>
                </c:pt>
                <c:pt idx="2">
                  <c:v>621.10695412049336</c:v>
                </c:pt>
                <c:pt idx="3">
                  <c:v>303.44419399999998</c:v>
                </c:pt>
                <c:pt idx="4">
                  <c:v>3221.7316967776537</c:v>
                </c:pt>
                <c:pt idx="5">
                  <c:v>10328.483606448599</c:v>
                </c:pt>
                <c:pt idx="6">
                  <c:v>2195.9667009999998</c:v>
                </c:pt>
                <c:pt idx="7">
                  <c:v>13455.826207034401</c:v>
                </c:pt>
                <c:pt idx="8">
                  <c:v>24721.766096699983</c:v>
                </c:pt>
                <c:pt idx="9">
                  <c:v>4139.4807147145129</c:v>
                </c:pt>
              </c:numCache>
            </c:numRef>
          </c:val>
          <c:extLst>
            <c:ext xmlns:c16="http://schemas.microsoft.com/office/drawing/2014/chart" uri="{C3380CC4-5D6E-409C-BE32-E72D297353CC}">
              <c16:uniqueId val="{00000014-B459-4460-8026-74DAA918FF7A}"/>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hy-AM" sz="1200">
                <a:latin typeface="Arial" panose="020B0604020202020204" pitchFamily="34" charset="0"/>
                <a:cs typeface="Arial" panose="020B0604020202020204" pitchFamily="34" charset="0"/>
              </a:rPr>
              <a:t>Երևան քաղաքում բնակարանների միջին գներ </a:t>
            </a:r>
            <a:r>
              <a:rPr lang="en-US" sz="1200">
                <a:latin typeface="Arial" panose="020B0604020202020204" pitchFamily="34" charset="0"/>
                <a:cs typeface="Arial" panose="020B0604020202020204" pitchFamily="34" charset="0"/>
              </a:rPr>
              <a:t>(</a:t>
            </a:r>
            <a:r>
              <a:rPr lang="hy-AM" sz="1200">
                <a:latin typeface="Arial" panose="020B0604020202020204" pitchFamily="34" charset="0"/>
                <a:cs typeface="Arial" panose="020B0604020202020204" pitchFamily="34" charset="0"/>
              </a:rPr>
              <a:t>դրամ/մ</a:t>
            </a:r>
            <a:r>
              <a:rPr lang="ru-RU" sz="1200" baseline="30000">
                <a:latin typeface="Arial" panose="020B0604020202020204" pitchFamily="34" charset="0"/>
                <a:cs typeface="Arial" panose="020B0604020202020204" pitchFamily="34" charset="0"/>
              </a:rPr>
              <a:t>2</a:t>
            </a:r>
            <a:r>
              <a:rPr lang="en-US" sz="1200">
                <a:latin typeface="Arial" panose="020B0604020202020204" pitchFamily="34" charset="0"/>
                <a:cs typeface="Arial" panose="020B0604020202020204" pitchFamily="34" charset="0"/>
              </a:rPr>
              <a:t>)</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spPr>
            <a:ln w="34925" cap="rnd">
              <a:solidFill>
                <a:srgbClr val="C00000"/>
              </a:solidFill>
              <a:round/>
            </a:ln>
            <a:effectLst>
              <a:outerShdw blurRad="57150" dist="19050" dir="5400000" algn="ctr" rotWithShape="0">
                <a:srgbClr val="000000">
                  <a:alpha val="63000"/>
                </a:srgbClr>
              </a:outerShdw>
            </a:effectLst>
          </c:spPr>
          <c:marker>
            <c:symbol val="none"/>
          </c:marker>
          <c:cat>
            <c:numRef>
              <c:f>'[Yerevan data (1).xlsx]Sheet1'!$A$2:$A$248</c:f>
              <c:numCache>
                <c:formatCode>m\/d\/yyyy</c:formatCode>
                <c:ptCount val="247"/>
                <c:pt idx="0">
                  <c:v>37287</c:v>
                </c:pt>
                <c:pt idx="1">
                  <c:v>37315</c:v>
                </c:pt>
                <c:pt idx="2">
                  <c:v>37346</c:v>
                </c:pt>
                <c:pt idx="3">
                  <c:v>37376</c:v>
                </c:pt>
                <c:pt idx="4">
                  <c:v>37407</c:v>
                </c:pt>
                <c:pt idx="5">
                  <c:v>37437</c:v>
                </c:pt>
                <c:pt idx="6">
                  <c:v>37468</c:v>
                </c:pt>
                <c:pt idx="7">
                  <c:v>37499</c:v>
                </c:pt>
                <c:pt idx="8">
                  <c:v>37529</c:v>
                </c:pt>
                <c:pt idx="9">
                  <c:v>37560</c:v>
                </c:pt>
                <c:pt idx="10">
                  <c:v>37590</c:v>
                </c:pt>
                <c:pt idx="11">
                  <c:v>37621</c:v>
                </c:pt>
                <c:pt idx="12">
                  <c:v>37652</c:v>
                </c:pt>
                <c:pt idx="13">
                  <c:v>37680</c:v>
                </c:pt>
                <c:pt idx="14">
                  <c:v>37711</c:v>
                </c:pt>
                <c:pt idx="15">
                  <c:v>37741</c:v>
                </c:pt>
                <c:pt idx="16">
                  <c:v>37772</c:v>
                </c:pt>
                <c:pt idx="17">
                  <c:v>37802</c:v>
                </c:pt>
                <c:pt idx="18">
                  <c:v>37833</c:v>
                </c:pt>
                <c:pt idx="19">
                  <c:v>37864</c:v>
                </c:pt>
                <c:pt idx="20">
                  <c:v>37894</c:v>
                </c:pt>
                <c:pt idx="21">
                  <c:v>37925</c:v>
                </c:pt>
                <c:pt idx="22">
                  <c:v>37955</c:v>
                </c:pt>
                <c:pt idx="23">
                  <c:v>37986</c:v>
                </c:pt>
                <c:pt idx="24">
                  <c:v>38017</c:v>
                </c:pt>
                <c:pt idx="25">
                  <c:v>38046</c:v>
                </c:pt>
                <c:pt idx="26">
                  <c:v>38077</c:v>
                </c:pt>
                <c:pt idx="27">
                  <c:v>38107</c:v>
                </c:pt>
                <c:pt idx="28">
                  <c:v>38138</c:v>
                </c:pt>
                <c:pt idx="29">
                  <c:v>38168</c:v>
                </c:pt>
                <c:pt idx="30">
                  <c:v>38199</c:v>
                </c:pt>
                <c:pt idx="31">
                  <c:v>38230</c:v>
                </c:pt>
                <c:pt idx="32">
                  <c:v>38260</c:v>
                </c:pt>
                <c:pt idx="33">
                  <c:v>38291</c:v>
                </c:pt>
                <c:pt idx="34">
                  <c:v>38321</c:v>
                </c:pt>
                <c:pt idx="35">
                  <c:v>38352</c:v>
                </c:pt>
                <c:pt idx="36">
                  <c:v>38383</c:v>
                </c:pt>
                <c:pt idx="37">
                  <c:v>38411</c:v>
                </c:pt>
                <c:pt idx="38">
                  <c:v>38442</c:v>
                </c:pt>
                <c:pt idx="39">
                  <c:v>38472</c:v>
                </c:pt>
                <c:pt idx="40">
                  <c:v>38503</c:v>
                </c:pt>
                <c:pt idx="41">
                  <c:v>38533</c:v>
                </c:pt>
                <c:pt idx="42">
                  <c:v>38564</c:v>
                </c:pt>
                <c:pt idx="43">
                  <c:v>38595</c:v>
                </c:pt>
                <c:pt idx="44">
                  <c:v>38625</c:v>
                </c:pt>
                <c:pt idx="45">
                  <c:v>38656</c:v>
                </c:pt>
                <c:pt idx="46">
                  <c:v>38686</c:v>
                </c:pt>
                <c:pt idx="47">
                  <c:v>38717</c:v>
                </c:pt>
                <c:pt idx="48">
                  <c:v>38748</c:v>
                </c:pt>
                <c:pt idx="49">
                  <c:v>38776</c:v>
                </c:pt>
                <c:pt idx="50">
                  <c:v>38807</c:v>
                </c:pt>
                <c:pt idx="51">
                  <c:v>38837</c:v>
                </c:pt>
                <c:pt idx="52">
                  <c:v>38868</c:v>
                </c:pt>
                <c:pt idx="53">
                  <c:v>38898</c:v>
                </c:pt>
                <c:pt idx="54">
                  <c:v>38929</c:v>
                </c:pt>
                <c:pt idx="55">
                  <c:v>38960</c:v>
                </c:pt>
                <c:pt idx="56">
                  <c:v>38990</c:v>
                </c:pt>
                <c:pt idx="57">
                  <c:v>39021</c:v>
                </c:pt>
                <c:pt idx="58">
                  <c:v>39051</c:v>
                </c:pt>
                <c:pt idx="59">
                  <c:v>39082</c:v>
                </c:pt>
                <c:pt idx="60">
                  <c:v>39113</c:v>
                </c:pt>
                <c:pt idx="61">
                  <c:v>39141</c:v>
                </c:pt>
                <c:pt idx="62">
                  <c:v>39172</c:v>
                </c:pt>
                <c:pt idx="63">
                  <c:v>39202</c:v>
                </c:pt>
                <c:pt idx="64">
                  <c:v>39233</c:v>
                </c:pt>
                <c:pt idx="65">
                  <c:v>39263</c:v>
                </c:pt>
                <c:pt idx="66">
                  <c:v>39294</c:v>
                </c:pt>
                <c:pt idx="67">
                  <c:v>39325</c:v>
                </c:pt>
                <c:pt idx="68">
                  <c:v>39355</c:v>
                </c:pt>
                <c:pt idx="69">
                  <c:v>39386</c:v>
                </c:pt>
                <c:pt idx="70">
                  <c:v>39416</c:v>
                </c:pt>
                <c:pt idx="71">
                  <c:v>39447</c:v>
                </c:pt>
                <c:pt idx="72">
                  <c:v>39478</c:v>
                </c:pt>
                <c:pt idx="73">
                  <c:v>39507</c:v>
                </c:pt>
                <c:pt idx="74">
                  <c:v>39538</c:v>
                </c:pt>
                <c:pt idx="75">
                  <c:v>39568</c:v>
                </c:pt>
                <c:pt idx="76">
                  <c:v>39599</c:v>
                </c:pt>
                <c:pt idx="77">
                  <c:v>39629</c:v>
                </c:pt>
                <c:pt idx="78">
                  <c:v>39660</c:v>
                </c:pt>
                <c:pt idx="79">
                  <c:v>39691</c:v>
                </c:pt>
                <c:pt idx="80">
                  <c:v>39721</c:v>
                </c:pt>
                <c:pt idx="81">
                  <c:v>39752</c:v>
                </c:pt>
                <c:pt idx="82">
                  <c:v>39782</c:v>
                </c:pt>
                <c:pt idx="83">
                  <c:v>39813</c:v>
                </c:pt>
                <c:pt idx="84">
                  <c:v>39844</c:v>
                </c:pt>
                <c:pt idx="85">
                  <c:v>39872</c:v>
                </c:pt>
                <c:pt idx="86">
                  <c:v>39903</c:v>
                </c:pt>
                <c:pt idx="87">
                  <c:v>39933</c:v>
                </c:pt>
                <c:pt idx="88">
                  <c:v>39964</c:v>
                </c:pt>
                <c:pt idx="89">
                  <c:v>39994</c:v>
                </c:pt>
                <c:pt idx="90">
                  <c:v>40025</c:v>
                </c:pt>
                <c:pt idx="91">
                  <c:v>40056</c:v>
                </c:pt>
                <c:pt idx="92">
                  <c:v>40086</c:v>
                </c:pt>
                <c:pt idx="93">
                  <c:v>40117</c:v>
                </c:pt>
                <c:pt idx="94">
                  <c:v>40147</c:v>
                </c:pt>
                <c:pt idx="95">
                  <c:v>40178</c:v>
                </c:pt>
                <c:pt idx="96">
                  <c:v>40209</c:v>
                </c:pt>
                <c:pt idx="97">
                  <c:v>40237</c:v>
                </c:pt>
                <c:pt idx="98">
                  <c:v>40268</c:v>
                </c:pt>
                <c:pt idx="99">
                  <c:v>40298</c:v>
                </c:pt>
                <c:pt idx="100">
                  <c:v>40329</c:v>
                </c:pt>
                <c:pt idx="101">
                  <c:v>40359</c:v>
                </c:pt>
                <c:pt idx="102">
                  <c:v>40390</c:v>
                </c:pt>
                <c:pt idx="103">
                  <c:v>40421</c:v>
                </c:pt>
                <c:pt idx="104">
                  <c:v>40451</c:v>
                </c:pt>
                <c:pt idx="105">
                  <c:v>40482</c:v>
                </c:pt>
                <c:pt idx="106">
                  <c:v>40512</c:v>
                </c:pt>
                <c:pt idx="107">
                  <c:v>40543</c:v>
                </c:pt>
                <c:pt idx="108">
                  <c:v>40574</c:v>
                </c:pt>
                <c:pt idx="109">
                  <c:v>40602</c:v>
                </c:pt>
                <c:pt idx="110">
                  <c:v>40633</c:v>
                </c:pt>
                <c:pt idx="111">
                  <c:v>40663</c:v>
                </c:pt>
                <c:pt idx="112">
                  <c:v>40694</c:v>
                </c:pt>
                <c:pt idx="113">
                  <c:v>40724</c:v>
                </c:pt>
                <c:pt idx="114">
                  <c:v>40755</c:v>
                </c:pt>
                <c:pt idx="115">
                  <c:v>40786</c:v>
                </c:pt>
                <c:pt idx="116">
                  <c:v>40816</c:v>
                </c:pt>
                <c:pt idx="117">
                  <c:v>40847</c:v>
                </c:pt>
                <c:pt idx="118">
                  <c:v>40877</c:v>
                </c:pt>
                <c:pt idx="119">
                  <c:v>40908</c:v>
                </c:pt>
                <c:pt idx="120">
                  <c:v>40939</c:v>
                </c:pt>
                <c:pt idx="121">
                  <c:v>40968</c:v>
                </c:pt>
                <c:pt idx="122">
                  <c:v>40999</c:v>
                </c:pt>
                <c:pt idx="123">
                  <c:v>41029</c:v>
                </c:pt>
                <c:pt idx="124">
                  <c:v>41060</c:v>
                </c:pt>
                <c:pt idx="125">
                  <c:v>41090</c:v>
                </c:pt>
                <c:pt idx="126">
                  <c:v>41121</c:v>
                </c:pt>
                <c:pt idx="127">
                  <c:v>41152</c:v>
                </c:pt>
                <c:pt idx="128">
                  <c:v>41182</c:v>
                </c:pt>
                <c:pt idx="129">
                  <c:v>41213</c:v>
                </c:pt>
                <c:pt idx="130">
                  <c:v>41243</c:v>
                </c:pt>
                <c:pt idx="131">
                  <c:v>41274</c:v>
                </c:pt>
                <c:pt idx="132">
                  <c:v>41305</c:v>
                </c:pt>
                <c:pt idx="133">
                  <c:v>41333</c:v>
                </c:pt>
                <c:pt idx="134">
                  <c:v>41364</c:v>
                </c:pt>
                <c:pt idx="135">
                  <c:v>41394</c:v>
                </c:pt>
                <c:pt idx="136">
                  <c:v>41425</c:v>
                </c:pt>
                <c:pt idx="137">
                  <c:v>41455</c:v>
                </c:pt>
                <c:pt idx="138">
                  <c:v>41486</c:v>
                </c:pt>
                <c:pt idx="139">
                  <c:v>41517</c:v>
                </c:pt>
                <c:pt idx="140">
                  <c:v>41547</c:v>
                </c:pt>
                <c:pt idx="141">
                  <c:v>41578</c:v>
                </c:pt>
                <c:pt idx="142">
                  <c:v>41608</c:v>
                </c:pt>
                <c:pt idx="143">
                  <c:v>41639</c:v>
                </c:pt>
                <c:pt idx="144">
                  <c:v>41670</c:v>
                </c:pt>
                <c:pt idx="145">
                  <c:v>41698</c:v>
                </c:pt>
                <c:pt idx="146">
                  <c:v>41729</c:v>
                </c:pt>
                <c:pt idx="147">
                  <c:v>41759</c:v>
                </c:pt>
                <c:pt idx="148">
                  <c:v>41790</c:v>
                </c:pt>
                <c:pt idx="149">
                  <c:v>41820</c:v>
                </c:pt>
                <c:pt idx="150">
                  <c:v>41851</c:v>
                </c:pt>
                <c:pt idx="151">
                  <c:v>41882</c:v>
                </c:pt>
                <c:pt idx="152">
                  <c:v>41912</c:v>
                </c:pt>
                <c:pt idx="153">
                  <c:v>41943</c:v>
                </c:pt>
                <c:pt idx="154">
                  <c:v>41973</c:v>
                </c:pt>
                <c:pt idx="155">
                  <c:v>42004</c:v>
                </c:pt>
                <c:pt idx="156">
                  <c:v>42035</c:v>
                </c:pt>
                <c:pt idx="157">
                  <c:v>42063</c:v>
                </c:pt>
                <c:pt idx="158">
                  <c:v>42094</c:v>
                </c:pt>
                <c:pt idx="159">
                  <c:v>42124</c:v>
                </c:pt>
                <c:pt idx="160">
                  <c:v>42155</c:v>
                </c:pt>
                <c:pt idx="161">
                  <c:v>42185</c:v>
                </c:pt>
                <c:pt idx="162">
                  <c:v>42216</c:v>
                </c:pt>
                <c:pt idx="163">
                  <c:v>42247</c:v>
                </c:pt>
                <c:pt idx="164">
                  <c:v>42277</c:v>
                </c:pt>
                <c:pt idx="165">
                  <c:v>42308</c:v>
                </c:pt>
                <c:pt idx="166">
                  <c:v>42338</c:v>
                </c:pt>
                <c:pt idx="167">
                  <c:v>42369</c:v>
                </c:pt>
                <c:pt idx="168">
                  <c:v>42400</c:v>
                </c:pt>
                <c:pt idx="169">
                  <c:v>42429</c:v>
                </c:pt>
                <c:pt idx="170">
                  <c:v>42460</c:v>
                </c:pt>
                <c:pt idx="171">
                  <c:v>42490</c:v>
                </c:pt>
                <c:pt idx="172">
                  <c:v>42521</c:v>
                </c:pt>
                <c:pt idx="173">
                  <c:v>42551</c:v>
                </c:pt>
                <c:pt idx="174">
                  <c:v>42582</c:v>
                </c:pt>
                <c:pt idx="175">
                  <c:v>42613</c:v>
                </c:pt>
                <c:pt idx="176">
                  <c:v>42643</c:v>
                </c:pt>
                <c:pt idx="177">
                  <c:v>42674</c:v>
                </c:pt>
                <c:pt idx="178">
                  <c:v>42704</c:v>
                </c:pt>
                <c:pt idx="179">
                  <c:v>42735</c:v>
                </c:pt>
                <c:pt idx="180">
                  <c:v>42766</c:v>
                </c:pt>
                <c:pt idx="181">
                  <c:v>42794</c:v>
                </c:pt>
                <c:pt idx="182">
                  <c:v>42825</c:v>
                </c:pt>
                <c:pt idx="183">
                  <c:v>42855</c:v>
                </c:pt>
                <c:pt idx="184">
                  <c:v>42886</c:v>
                </c:pt>
                <c:pt idx="185">
                  <c:v>42916</c:v>
                </c:pt>
                <c:pt idx="186">
                  <c:v>42947</c:v>
                </c:pt>
                <c:pt idx="187">
                  <c:v>42978</c:v>
                </c:pt>
                <c:pt idx="188">
                  <c:v>43008</c:v>
                </c:pt>
                <c:pt idx="189">
                  <c:v>43039</c:v>
                </c:pt>
                <c:pt idx="190">
                  <c:v>43069</c:v>
                </c:pt>
                <c:pt idx="191">
                  <c:v>43100</c:v>
                </c:pt>
                <c:pt idx="192">
                  <c:v>43131</c:v>
                </c:pt>
                <c:pt idx="193">
                  <c:v>43159</c:v>
                </c:pt>
                <c:pt idx="194">
                  <c:v>43190</c:v>
                </c:pt>
                <c:pt idx="195">
                  <c:v>43220</c:v>
                </c:pt>
                <c:pt idx="196">
                  <c:v>43251</c:v>
                </c:pt>
                <c:pt idx="197">
                  <c:v>43281</c:v>
                </c:pt>
                <c:pt idx="198">
                  <c:v>43312</c:v>
                </c:pt>
                <c:pt idx="199">
                  <c:v>43343</c:v>
                </c:pt>
                <c:pt idx="200">
                  <c:v>43373</c:v>
                </c:pt>
                <c:pt idx="201">
                  <c:v>43404</c:v>
                </c:pt>
                <c:pt idx="202">
                  <c:v>43434</c:v>
                </c:pt>
                <c:pt idx="203">
                  <c:v>43465</c:v>
                </c:pt>
                <c:pt idx="204">
                  <c:v>43496</c:v>
                </c:pt>
                <c:pt idx="205">
                  <c:v>43524</c:v>
                </c:pt>
                <c:pt idx="206">
                  <c:v>43555</c:v>
                </c:pt>
                <c:pt idx="207">
                  <c:v>43585</c:v>
                </c:pt>
                <c:pt idx="208">
                  <c:v>43616</c:v>
                </c:pt>
                <c:pt idx="209">
                  <c:v>43646</c:v>
                </c:pt>
                <c:pt idx="210">
                  <c:v>43677</c:v>
                </c:pt>
                <c:pt idx="211">
                  <c:v>43708</c:v>
                </c:pt>
                <c:pt idx="212">
                  <c:v>43738</c:v>
                </c:pt>
                <c:pt idx="213">
                  <c:v>43769</c:v>
                </c:pt>
                <c:pt idx="214">
                  <c:v>43799</c:v>
                </c:pt>
                <c:pt idx="215">
                  <c:v>43830</c:v>
                </c:pt>
                <c:pt idx="216">
                  <c:v>43861</c:v>
                </c:pt>
                <c:pt idx="217">
                  <c:v>43890</c:v>
                </c:pt>
                <c:pt idx="218">
                  <c:v>43921</c:v>
                </c:pt>
                <c:pt idx="219">
                  <c:v>43951</c:v>
                </c:pt>
                <c:pt idx="220">
                  <c:v>43982</c:v>
                </c:pt>
                <c:pt idx="221">
                  <c:v>44012</c:v>
                </c:pt>
                <c:pt idx="222">
                  <c:v>44043</c:v>
                </c:pt>
                <c:pt idx="223">
                  <c:v>44074</c:v>
                </c:pt>
                <c:pt idx="224">
                  <c:v>44104</c:v>
                </c:pt>
                <c:pt idx="225">
                  <c:v>44135</c:v>
                </c:pt>
                <c:pt idx="226">
                  <c:v>44165</c:v>
                </c:pt>
                <c:pt idx="227">
                  <c:v>44196</c:v>
                </c:pt>
                <c:pt idx="228">
                  <c:v>44227</c:v>
                </c:pt>
                <c:pt idx="229">
                  <c:v>44255</c:v>
                </c:pt>
                <c:pt idx="230">
                  <c:v>44286</c:v>
                </c:pt>
                <c:pt idx="231">
                  <c:v>44316</c:v>
                </c:pt>
                <c:pt idx="232">
                  <c:v>44347</c:v>
                </c:pt>
                <c:pt idx="233">
                  <c:v>44377</c:v>
                </c:pt>
                <c:pt idx="234">
                  <c:v>44408</c:v>
                </c:pt>
                <c:pt idx="235">
                  <c:v>44439</c:v>
                </c:pt>
                <c:pt idx="236">
                  <c:v>44469</c:v>
                </c:pt>
                <c:pt idx="237">
                  <c:v>44500</c:v>
                </c:pt>
                <c:pt idx="238">
                  <c:v>44530</c:v>
                </c:pt>
                <c:pt idx="239">
                  <c:v>44561</c:v>
                </c:pt>
                <c:pt idx="240">
                  <c:v>44592</c:v>
                </c:pt>
                <c:pt idx="241">
                  <c:v>44620</c:v>
                </c:pt>
                <c:pt idx="242">
                  <c:v>44651</c:v>
                </c:pt>
                <c:pt idx="243">
                  <c:v>44681</c:v>
                </c:pt>
                <c:pt idx="244">
                  <c:v>44712</c:v>
                </c:pt>
                <c:pt idx="245">
                  <c:v>44742</c:v>
                </c:pt>
                <c:pt idx="246">
                  <c:v>44773</c:v>
                </c:pt>
              </c:numCache>
            </c:numRef>
          </c:cat>
          <c:val>
            <c:numRef>
              <c:f>'[Yerevan data (1).xlsx]Sheet1'!$B$2:$B$248</c:f>
              <c:numCache>
                <c:formatCode>_(* #,##0_);_(* \(#,##0\);_(* "-"??_);_(@_)</c:formatCode>
                <c:ptCount val="247"/>
                <c:pt idx="0">
                  <c:v>57254.36</c:v>
                </c:pt>
                <c:pt idx="1">
                  <c:v>57828.24</c:v>
                </c:pt>
                <c:pt idx="2">
                  <c:v>59727.24</c:v>
                </c:pt>
                <c:pt idx="3">
                  <c:v>60201.8</c:v>
                </c:pt>
                <c:pt idx="4">
                  <c:v>61565.86</c:v>
                </c:pt>
                <c:pt idx="5">
                  <c:v>62886.51</c:v>
                </c:pt>
                <c:pt idx="6">
                  <c:v>65054.75</c:v>
                </c:pt>
                <c:pt idx="7">
                  <c:v>68411.56</c:v>
                </c:pt>
                <c:pt idx="8">
                  <c:v>71066.34</c:v>
                </c:pt>
                <c:pt idx="9">
                  <c:v>75654.66</c:v>
                </c:pt>
                <c:pt idx="10">
                  <c:v>77473.649999999994</c:v>
                </c:pt>
                <c:pt idx="11">
                  <c:v>80440.210000000006</c:v>
                </c:pt>
                <c:pt idx="12">
                  <c:v>84015.31</c:v>
                </c:pt>
                <c:pt idx="13">
                  <c:v>88945.09</c:v>
                </c:pt>
                <c:pt idx="14">
                  <c:v>93933.17</c:v>
                </c:pt>
                <c:pt idx="15">
                  <c:v>95332.63</c:v>
                </c:pt>
                <c:pt idx="16">
                  <c:v>97327.37</c:v>
                </c:pt>
                <c:pt idx="17">
                  <c:v>100009.83</c:v>
                </c:pt>
                <c:pt idx="18">
                  <c:v>101942.16</c:v>
                </c:pt>
                <c:pt idx="19">
                  <c:v>105047.33</c:v>
                </c:pt>
                <c:pt idx="20">
                  <c:v>107540.36</c:v>
                </c:pt>
                <c:pt idx="21">
                  <c:v>108036.08</c:v>
                </c:pt>
                <c:pt idx="22">
                  <c:v>109862.05</c:v>
                </c:pt>
                <c:pt idx="23">
                  <c:v>111243.17</c:v>
                </c:pt>
                <c:pt idx="24">
                  <c:v>114256.76</c:v>
                </c:pt>
                <c:pt idx="25">
                  <c:v>117046.98</c:v>
                </c:pt>
                <c:pt idx="26">
                  <c:v>118545.09</c:v>
                </c:pt>
                <c:pt idx="27">
                  <c:v>120394.02</c:v>
                </c:pt>
                <c:pt idx="28">
                  <c:v>122966.63</c:v>
                </c:pt>
                <c:pt idx="29">
                  <c:v>124008.47</c:v>
                </c:pt>
                <c:pt idx="30">
                  <c:v>121800</c:v>
                </c:pt>
                <c:pt idx="31">
                  <c:v>122000</c:v>
                </c:pt>
                <c:pt idx="32">
                  <c:v>123600</c:v>
                </c:pt>
                <c:pt idx="33">
                  <c:v>125500</c:v>
                </c:pt>
                <c:pt idx="34">
                  <c:v>127700</c:v>
                </c:pt>
                <c:pt idx="35">
                  <c:v>126200</c:v>
                </c:pt>
                <c:pt idx="36">
                  <c:v>131000</c:v>
                </c:pt>
                <c:pt idx="37">
                  <c:v>128600</c:v>
                </c:pt>
                <c:pt idx="38">
                  <c:v>135500</c:v>
                </c:pt>
                <c:pt idx="39">
                  <c:v>140300</c:v>
                </c:pt>
                <c:pt idx="40">
                  <c:v>145600</c:v>
                </c:pt>
                <c:pt idx="41">
                  <c:v>151000</c:v>
                </c:pt>
                <c:pt idx="42">
                  <c:v>154100</c:v>
                </c:pt>
                <c:pt idx="43">
                  <c:v>163200</c:v>
                </c:pt>
                <c:pt idx="44">
                  <c:v>163600</c:v>
                </c:pt>
                <c:pt idx="45">
                  <c:v>166100</c:v>
                </c:pt>
                <c:pt idx="46">
                  <c:v>173800</c:v>
                </c:pt>
                <c:pt idx="47">
                  <c:v>173700</c:v>
                </c:pt>
                <c:pt idx="48">
                  <c:v>180000</c:v>
                </c:pt>
                <c:pt idx="49">
                  <c:v>181900</c:v>
                </c:pt>
                <c:pt idx="50">
                  <c:v>184700</c:v>
                </c:pt>
                <c:pt idx="51">
                  <c:v>188900</c:v>
                </c:pt>
                <c:pt idx="52">
                  <c:v>188800</c:v>
                </c:pt>
                <c:pt idx="53">
                  <c:v>189100</c:v>
                </c:pt>
                <c:pt idx="54">
                  <c:v>191100</c:v>
                </c:pt>
                <c:pt idx="55">
                  <c:v>200300</c:v>
                </c:pt>
                <c:pt idx="56">
                  <c:v>207000</c:v>
                </c:pt>
                <c:pt idx="57">
                  <c:v>208900</c:v>
                </c:pt>
                <c:pt idx="58">
                  <c:v>218600</c:v>
                </c:pt>
                <c:pt idx="59">
                  <c:v>221900</c:v>
                </c:pt>
                <c:pt idx="60">
                  <c:v>227100</c:v>
                </c:pt>
                <c:pt idx="61">
                  <c:v>230000</c:v>
                </c:pt>
                <c:pt idx="62">
                  <c:v>236300</c:v>
                </c:pt>
                <c:pt idx="63">
                  <c:v>243700</c:v>
                </c:pt>
                <c:pt idx="64">
                  <c:v>252100</c:v>
                </c:pt>
                <c:pt idx="65">
                  <c:v>258800</c:v>
                </c:pt>
                <c:pt idx="66">
                  <c:v>262600</c:v>
                </c:pt>
                <c:pt idx="67">
                  <c:v>266400</c:v>
                </c:pt>
                <c:pt idx="68">
                  <c:v>270300</c:v>
                </c:pt>
                <c:pt idx="69">
                  <c:v>275300</c:v>
                </c:pt>
                <c:pt idx="70">
                  <c:v>279900</c:v>
                </c:pt>
                <c:pt idx="71">
                  <c:v>282600</c:v>
                </c:pt>
                <c:pt idx="72">
                  <c:v>284600</c:v>
                </c:pt>
                <c:pt idx="73">
                  <c:v>287400</c:v>
                </c:pt>
                <c:pt idx="74">
                  <c:v>286700</c:v>
                </c:pt>
                <c:pt idx="75">
                  <c:v>294800</c:v>
                </c:pt>
                <c:pt idx="76">
                  <c:v>298800</c:v>
                </c:pt>
                <c:pt idx="77">
                  <c:v>303300</c:v>
                </c:pt>
                <c:pt idx="78">
                  <c:v>306200</c:v>
                </c:pt>
                <c:pt idx="79">
                  <c:v>300800</c:v>
                </c:pt>
                <c:pt idx="80">
                  <c:v>301000</c:v>
                </c:pt>
                <c:pt idx="81">
                  <c:v>300000</c:v>
                </c:pt>
                <c:pt idx="82">
                  <c:v>299400</c:v>
                </c:pt>
                <c:pt idx="83">
                  <c:v>292000</c:v>
                </c:pt>
                <c:pt idx="84">
                  <c:v>283000</c:v>
                </c:pt>
                <c:pt idx="85">
                  <c:v>269000</c:v>
                </c:pt>
                <c:pt idx="86">
                  <c:v>289800</c:v>
                </c:pt>
                <c:pt idx="87">
                  <c:v>272600</c:v>
                </c:pt>
                <c:pt idx="88">
                  <c:v>259700</c:v>
                </c:pt>
                <c:pt idx="89">
                  <c:v>259300</c:v>
                </c:pt>
                <c:pt idx="90">
                  <c:v>255300</c:v>
                </c:pt>
                <c:pt idx="91">
                  <c:v>253100</c:v>
                </c:pt>
                <c:pt idx="92">
                  <c:v>255000</c:v>
                </c:pt>
                <c:pt idx="93">
                  <c:v>259900</c:v>
                </c:pt>
                <c:pt idx="94">
                  <c:v>264900</c:v>
                </c:pt>
                <c:pt idx="95">
                  <c:v>268500</c:v>
                </c:pt>
                <c:pt idx="96">
                  <c:v>269800</c:v>
                </c:pt>
                <c:pt idx="97">
                  <c:v>270300</c:v>
                </c:pt>
                <c:pt idx="98">
                  <c:v>274100</c:v>
                </c:pt>
                <c:pt idx="99">
                  <c:v>277300</c:v>
                </c:pt>
                <c:pt idx="100">
                  <c:v>279900</c:v>
                </c:pt>
                <c:pt idx="101">
                  <c:v>283000</c:v>
                </c:pt>
                <c:pt idx="102">
                  <c:v>278100</c:v>
                </c:pt>
                <c:pt idx="103">
                  <c:v>274200</c:v>
                </c:pt>
                <c:pt idx="104">
                  <c:v>270200</c:v>
                </c:pt>
                <c:pt idx="105">
                  <c:v>265900</c:v>
                </c:pt>
                <c:pt idx="106">
                  <c:v>264900</c:v>
                </c:pt>
                <c:pt idx="107">
                  <c:v>260700</c:v>
                </c:pt>
                <c:pt idx="108">
                  <c:v>258100</c:v>
                </c:pt>
                <c:pt idx="109">
                  <c:v>260000</c:v>
                </c:pt>
                <c:pt idx="110">
                  <c:v>257700</c:v>
                </c:pt>
                <c:pt idx="111">
                  <c:v>257100</c:v>
                </c:pt>
                <c:pt idx="112">
                  <c:v>257500</c:v>
                </c:pt>
                <c:pt idx="113">
                  <c:v>256800</c:v>
                </c:pt>
                <c:pt idx="114">
                  <c:v>257700</c:v>
                </c:pt>
                <c:pt idx="115">
                  <c:v>256600</c:v>
                </c:pt>
                <c:pt idx="116">
                  <c:v>256500</c:v>
                </c:pt>
                <c:pt idx="117">
                  <c:v>256700</c:v>
                </c:pt>
                <c:pt idx="118">
                  <c:v>258000</c:v>
                </c:pt>
                <c:pt idx="119">
                  <c:v>256400</c:v>
                </c:pt>
                <c:pt idx="120">
                  <c:v>251250</c:v>
                </c:pt>
                <c:pt idx="121">
                  <c:v>250100</c:v>
                </c:pt>
                <c:pt idx="122">
                  <c:v>249900</c:v>
                </c:pt>
                <c:pt idx="123">
                  <c:v>251900</c:v>
                </c:pt>
                <c:pt idx="124">
                  <c:v>255300</c:v>
                </c:pt>
                <c:pt idx="125">
                  <c:v>257400</c:v>
                </c:pt>
                <c:pt idx="126">
                  <c:v>258400</c:v>
                </c:pt>
                <c:pt idx="127">
                  <c:v>260000</c:v>
                </c:pt>
                <c:pt idx="128">
                  <c:v>261600</c:v>
                </c:pt>
                <c:pt idx="129">
                  <c:v>263000</c:v>
                </c:pt>
                <c:pt idx="130">
                  <c:v>264200</c:v>
                </c:pt>
                <c:pt idx="131">
                  <c:v>265300</c:v>
                </c:pt>
                <c:pt idx="132">
                  <c:v>266400</c:v>
                </c:pt>
                <c:pt idx="133">
                  <c:v>268000</c:v>
                </c:pt>
                <c:pt idx="134">
                  <c:v>269800</c:v>
                </c:pt>
                <c:pt idx="135">
                  <c:v>271400</c:v>
                </c:pt>
                <c:pt idx="136">
                  <c:v>271900</c:v>
                </c:pt>
                <c:pt idx="137">
                  <c:v>272000</c:v>
                </c:pt>
                <c:pt idx="138">
                  <c:v>272100</c:v>
                </c:pt>
                <c:pt idx="139">
                  <c:v>272463.64</c:v>
                </c:pt>
                <c:pt idx="140">
                  <c:v>272563.64</c:v>
                </c:pt>
                <c:pt idx="141">
                  <c:v>272900</c:v>
                </c:pt>
                <c:pt idx="142">
                  <c:v>273181.82</c:v>
                </c:pt>
                <c:pt idx="143">
                  <c:v>273327.27</c:v>
                </c:pt>
                <c:pt idx="144">
                  <c:v>273363.64</c:v>
                </c:pt>
                <c:pt idx="145">
                  <c:v>273404.55</c:v>
                </c:pt>
                <c:pt idx="146">
                  <c:v>273404.55</c:v>
                </c:pt>
                <c:pt idx="147">
                  <c:v>273504.55</c:v>
                </c:pt>
                <c:pt idx="148">
                  <c:v>273590.90999999997</c:v>
                </c:pt>
                <c:pt idx="149">
                  <c:v>273590.90999999997</c:v>
                </c:pt>
                <c:pt idx="150">
                  <c:v>273659.09000000003</c:v>
                </c:pt>
                <c:pt idx="151">
                  <c:v>273659.09000000003</c:v>
                </c:pt>
                <c:pt idx="152">
                  <c:v>273718.18</c:v>
                </c:pt>
                <c:pt idx="153">
                  <c:v>273750</c:v>
                </c:pt>
                <c:pt idx="154">
                  <c:v>273763.64</c:v>
                </c:pt>
                <c:pt idx="155">
                  <c:v>273809.09000000003</c:v>
                </c:pt>
                <c:pt idx="156">
                  <c:v>273745.45</c:v>
                </c:pt>
                <c:pt idx="157">
                  <c:v>274031.82</c:v>
                </c:pt>
                <c:pt idx="158">
                  <c:v>274081.82</c:v>
                </c:pt>
                <c:pt idx="159">
                  <c:v>274150</c:v>
                </c:pt>
                <c:pt idx="160">
                  <c:v>274195.45</c:v>
                </c:pt>
                <c:pt idx="161">
                  <c:v>274250</c:v>
                </c:pt>
                <c:pt idx="162">
                  <c:v>274268.18</c:v>
                </c:pt>
                <c:pt idx="163">
                  <c:v>274290.90999999997</c:v>
                </c:pt>
                <c:pt idx="164">
                  <c:v>274350</c:v>
                </c:pt>
                <c:pt idx="165">
                  <c:v>274404.55</c:v>
                </c:pt>
                <c:pt idx="166">
                  <c:v>274459.09000000003</c:v>
                </c:pt>
                <c:pt idx="167">
                  <c:v>274490.90999999997</c:v>
                </c:pt>
                <c:pt idx="168">
                  <c:v>274559.09000000003</c:v>
                </c:pt>
                <c:pt idx="169">
                  <c:v>274654.55</c:v>
                </c:pt>
                <c:pt idx="170">
                  <c:v>274718.18</c:v>
                </c:pt>
                <c:pt idx="171">
                  <c:v>274768.18</c:v>
                </c:pt>
                <c:pt idx="172">
                  <c:v>274809.09000000003</c:v>
                </c:pt>
                <c:pt idx="173">
                  <c:v>274890.90999999997</c:v>
                </c:pt>
                <c:pt idx="174">
                  <c:v>274909.09000000003</c:v>
                </c:pt>
                <c:pt idx="175">
                  <c:v>274950</c:v>
                </c:pt>
                <c:pt idx="176">
                  <c:v>274968.18</c:v>
                </c:pt>
                <c:pt idx="177">
                  <c:v>275050</c:v>
                </c:pt>
                <c:pt idx="178">
                  <c:v>275104.55</c:v>
                </c:pt>
                <c:pt idx="179">
                  <c:v>275218.18</c:v>
                </c:pt>
                <c:pt idx="180">
                  <c:v>274181.82</c:v>
                </c:pt>
                <c:pt idx="181">
                  <c:v>274040.90909090912</c:v>
                </c:pt>
                <c:pt idx="182">
                  <c:v>270050</c:v>
                </c:pt>
                <c:pt idx="183">
                  <c:v>261845.45454545456</c:v>
                </c:pt>
                <c:pt idx="184">
                  <c:v>261350</c:v>
                </c:pt>
                <c:pt idx="185">
                  <c:v>261618.18181818182</c:v>
                </c:pt>
                <c:pt idx="186">
                  <c:v>261868.18181818182</c:v>
                </c:pt>
                <c:pt idx="187">
                  <c:v>261613.63636363635</c:v>
                </c:pt>
                <c:pt idx="188">
                  <c:v>262190.90909090912</c:v>
                </c:pt>
                <c:pt idx="189">
                  <c:v>263772.72727272729</c:v>
                </c:pt>
                <c:pt idx="190">
                  <c:v>264095.45454545453</c:v>
                </c:pt>
                <c:pt idx="191">
                  <c:v>267181.81818181818</c:v>
                </c:pt>
                <c:pt idx="192">
                  <c:v>271568.18181818182</c:v>
                </c:pt>
                <c:pt idx="193">
                  <c:v>271568.18181818182</c:v>
                </c:pt>
                <c:pt idx="194">
                  <c:v>277177.27272727271</c:v>
                </c:pt>
                <c:pt idx="195">
                  <c:v>279045.45454545453</c:v>
                </c:pt>
                <c:pt idx="196">
                  <c:v>281418.18181818182</c:v>
                </c:pt>
                <c:pt idx="197">
                  <c:v>283827.27272727271</c:v>
                </c:pt>
                <c:pt idx="198">
                  <c:v>285759.09090909088</c:v>
                </c:pt>
                <c:pt idx="199">
                  <c:v>287713.63636363635</c:v>
                </c:pt>
                <c:pt idx="200">
                  <c:v>289968.18181818182</c:v>
                </c:pt>
                <c:pt idx="201">
                  <c:v>292490.90909090912</c:v>
                </c:pt>
                <c:pt idx="202">
                  <c:v>293436.36363636365</c:v>
                </c:pt>
                <c:pt idx="203">
                  <c:v>295490.41818181815</c:v>
                </c:pt>
                <c:pt idx="204">
                  <c:v>296081.39901818178</c:v>
                </c:pt>
                <c:pt idx="205">
                  <c:v>298153.96881130902</c:v>
                </c:pt>
                <c:pt idx="206">
                  <c:v>303818.89421872387</c:v>
                </c:pt>
                <c:pt idx="207">
                  <c:v>305034.16979559878</c:v>
                </c:pt>
                <c:pt idx="208">
                  <c:v>306559.34064457676</c:v>
                </c:pt>
                <c:pt idx="209">
                  <c:v>309011.81536973338</c:v>
                </c:pt>
                <c:pt idx="210">
                  <c:v>309320.82718510309</c:v>
                </c:pt>
                <c:pt idx="211">
                  <c:v>301452.72727272729</c:v>
                </c:pt>
                <c:pt idx="212">
                  <c:v>321381.81818181818</c:v>
                </c:pt>
                <c:pt idx="213">
                  <c:v>326990.90909090912</c:v>
                </c:pt>
                <c:pt idx="214">
                  <c:v>333681.81818181818</c:v>
                </c:pt>
                <c:pt idx="215">
                  <c:v>341450</c:v>
                </c:pt>
                <c:pt idx="216">
                  <c:v>343327.27272727271</c:v>
                </c:pt>
                <c:pt idx="217">
                  <c:v>347172.72727272729</c:v>
                </c:pt>
                <c:pt idx="218">
                  <c:v>349190.90909090912</c:v>
                </c:pt>
                <c:pt idx="219">
                  <c:v>349190.90909090912</c:v>
                </c:pt>
                <c:pt idx="220">
                  <c:v>345781.81818181818</c:v>
                </c:pt>
                <c:pt idx="221">
                  <c:v>342109.09090909088</c:v>
                </c:pt>
                <c:pt idx="222">
                  <c:v>336309.09090909088</c:v>
                </c:pt>
                <c:pt idx="223">
                  <c:v>332572.72727272729</c:v>
                </c:pt>
                <c:pt idx="224">
                  <c:v>332072.72727272729</c:v>
                </c:pt>
                <c:pt idx="225">
                  <c:v>329718.18181818182</c:v>
                </c:pt>
                <c:pt idx="226">
                  <c:v>327100</c:v>
                </c:pt>
                <c:pt idx="227">
                  <c:v>328122.72727272729</c:v>
                </c:pt>
                <c:pt idx="228">
                  <c:v>326563.63636363635</c:v>
                </c:pt>
                <c:pt idx="229">
                  <c:v>325445.45454545453</c:v>
                </c:pt>
                <c:pt idx="230">
                  <c:v>325827.27272727271</c:v>
                </c:pt>
                <c:pt idx="231">
                  <c:v>327495.45454545453</c:v>
                </c:pt>
                <c:pt idx="232">
                  <c:v>330340.90909090912</c:v>
                </c:pt>
                <c:pt idx="233">
                  <c:v>334631.81818181818</c:v>
                </c:pt>
                <c:pt idx="234">
                  <c:v>336690.90909090912</c:v>
                </c:pt>
                <c:pt idx="235">
                  <c:v>341400</c:v>
                </c:pt>
                <c:pt idx="236">
                  <c:v>346027.27272727271</c:v>
                </c:pt>
                <c:pt idx="237">
                  <c:v>350386.36363636365</c:v>
                </c:pt>
                <c:pt idx="238">
                  <c:v>357177.27272727271</c:v>
                </c:pt>
                <c:pt idx="239">
                  <c:v>359986.36363636365</c:v>
                </c:pt>
                <c:pt idx="240">
                  <c:v>360695.45454545453</c:v>
                </c:pt>
                <c:pt idx="241">
                  <c:v>363977.27272727271</c:v>
                </c:pt>
                <c:pt idx="242">
                  <c:v>374086.36363636365</c:v>
                </c:pt>
                <c:pt idx="243">
                  <c:v>381318.18181818182</c:v>
                </c:pt>
                <c:pt idx="244">
                  <c:v>387072.72727272729</c:v>
                </c:pt>
                <c:pt idx="245">
                  <c:v>390213.63636363635</c:v>
                </c:pt>
                <c:pt idx="246">
                  <c:v>390995.45454545453</c:v>
                </c:pt>
              </c:numCache>
            </c:numRef>
          </c:val>
          <c:smooth val="0"/>
          <c:extLst>
            <c:ext xmlns:c16="http://schemas.microsoft.com/office/drawing/2014/chart" uri="{C3380CC4-5D6E-409C-BE32-E72D297353CC}">
              <c16:uniqueId val="{00000000-AA91-4556-9AEF-670F630CD4F3}"/>
            </c:ext>
          </c:extLst>
        </c:ser>
        <c:dLbls>
          <c:showLegendKey val="0"/>
          <c:showVal val="0"/>
          <c:showCatName val="0"/>
          <c:showSerName val="0"/>
          <c:showPercent val="0"/>
          <c:showBubbleSize val="0"/>
        </c:dLbls>
        <c:smooth val="0"/>
        <c:axId val="365644032"/>
        <c:axId val="365649920"/>
      </c:lineChart>
      <c:dateAx>
        <c:axId val="365644032"/>
        <c:scaling>
          <c:orientation val="minMax"/>
        </c:scaling>
        <c:delete val="0"/>
        <c:axPos val="b"/>
        <c:numFmt formatCode="m\/d\/yyyy"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65649920"/>
        <c:crosses val="autoZero"/>
        <c:auto val="1"/>
        <c:lblOffset val="100"/>
        <c:baseTimeUnit val="months"/>
      </c:dateAx>
      <c:valAx>
        <c:axId val="365649920"/>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65644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y-AM" sz="800"/>
              <a:t>Տնտեսական աճ</a:t>
            </a:r>
          </a:p>
        </c:rich>
      </c:tx>
      <c:layout>
        <c:manualLayout>
          <c:xMode val="edge"/>
          <c:yMode val="edge"/>
          <c:x val="0.27528598291433759"/>
          <c:y val="1.1352679854947461E-2"/>
        </c:manualLayout>
      </c:layout>
      <c:overlay val="0"/>
    </c:title>
    <c:autoTitleDeleted val="0"/>
    <c:plotArea>
      <c:layout>
        <c:manualLayout>
          <c:layoutTarget val="inner"/>
          <c:xMode val="edge"/>
          <c:yMode val="edge"/>
          <c:x val="0.28344707483273185"/>
          <c:y val="8.9927010007141331E-2"/>
          <c:w val="0.66577439825902196"/>
          <c:h val="0.62287267095146681"/>
        </c:manualLayout>
      </c:layout>
      <c:barChart>
        <c:barDir val="col"/>
        <c:grouping val="clustered"/>
        <c:varyColors val="0"/>
        <c:ser>
          <c:idx val="0"/>
          <c:order val="0"/>
          <c:tx>
            <c:strRef>
              <c:f>Sheet1!$B$1</c:f>
              <c:strCache>
                <c:ptCount val="1"/>
                <c:pt idx="0">
                  <c:v>Տնտեսական աճ</c:v>
                </c:pt>
              </c:strCache>
            </c:strRef>
          </c:tx>
          <c:spPr>
            <a:solidFill>
              <a:srgbClr val="5B9BD5"/>
            </a:solidFill>
            <a:ln>
              <a:noFill/>
            </a:ln>
            <a:effectLst/>
          </c:spPr>
          <c:invertIfNegative val="0"/>
          <c:dPt>
            <c:idx val="1"/>
            <c:invertIfNegative val="0"/>
            <c:bubble3D val="0"/>
            <c:extLst>
              <c:ext xmlns:c16="http://schemas.microsoft.com/office/drawing/2014/chart" uri="{C3380CC4-5D6E-409C-BE32-E72D297353CC}">
                <c16:uniqueId val="{00000000-0453-4454-AD9F-7E574F03B855}"/>
              </c:ext>
            </c:extLst>
          </c:dPt>
          <c:dPt>
            <c:idx val="2"/>
            <c:invertIfNegative val="0"/>
            <c:bubble3D val="0"/>
            <c:extLst>
              <c:ext xmlns:c16="http://schemas.microsoft.com/office/drawing/2014/chart" uri="{C3380CC4-5D6E-409C-BE32-E72D297353CC}">
                <c16:uniqueId val="{00000001-0453-4454-AD9F-7E574F03B855}"/>
              </c:ext>
            </c:extLst>
          </c:dPt>
          <c:dPt>
            <c:idx val="3"/>
            <c:invertIfNegative val="0"/>
            <c:bubble3D val="0"/>
            <c:extLst>
              <c:ext xmlns:c16="http://schemas.microsoft.com/office/drawing/2014/chart" uri="{C3380CC4-5D6E-409C-BE32-E72D297353CC}">
                <c16:uniqueId val="{00000002-0453-4454-AD9F-7E574F03B855}"/>
              </c:ext>
            </c:extLst>
          </c:dPt>
          <c:dPt>
            <c:idx val="4"/>
            <c:invertIfNegative val="0"/>
            <c:bubble3D val="0"/>
            <c:extLst>
              <c:ext xmlns:c16="http://schemas.microsoft.com/office/drawing/2014/chart" uri="{C3380CC4-5D6E-409C-BE32-E72D297353CC}">
                <c16:uniqueId val="{00000003-0453-4454-AD9F-7E574F03B855}"/>
              </c:ext>
            </c:extLst>
          </c:dPt>
          <c:dPt>
            <c:idx val="5"/>
            <c:invertIfNegative val="0"/>
            <c:bubble3D val="0"/>
            <c:spPr>
              <a:solidFill>
                <a:srgbClr val="C00000"/>
              </a:solidFill>
              <a:ln>
                <a:noFill/>
              </a:ln>
              <a:effectLst/>
            </c:spPr>
            <c:extLst>
              <c:ext xmlns:c16="http://schemas.microsoft.com/office/drawing/2014/chart" uri="{C3380CC4-5D6E-409C-BE32-E72D297353CC}">
                <c16:uniqueId val="{00000005-0453-4454-AD9F-7E574F03B855}"/>
              </c:ext>
            </c:extLst>
          </c:dPt>
          <c:dPt>
            <c:idx val="6"/>
            <c:invertIfNegative val="0"/>
            <c:bubble3D val="0"/>
            <c:spPr>
              <a:solidFill>
                <a:srgbClr val="C00000"/>
              </a:solidFill>
              <a:ln>
                <a:noFill/>
              </a:ln>
              <a:effectLst/>
            </c:spPr>
            <c:extLst>
              <c:ext xmlns:c16="http://schemas.microsoft.com/office/drawing/2014/chart" uri="{C3380CC4-5D6E-409C-BE32-E72D297353CC}">
                <c16:uniqueId val="{00000007-0453-4454-AD9F-7E574F03B855}"/>
              </c:ext>
            </c:extLst>
          </c:dPt>
          <c:dPt>
            <c:idx val="7"/>
            <c:invertIfNegative val="0"/>
            <c:bubble3D val="0"/>
            <c:spPr>
              <a:solidFill>
                <a:srgbClr val="C00000"/>
              </a:solidFill>
              <a:ln>
                <a:noFill/>
              </a:ln>
              <a:effectLst/>
            </c:spPr>
            <c:extLst>
              <c:ext xmlns:c16="http://schemas.microsoft.com/office/drawing/2014/chart" uri="{C3380CC4-5D6E-409C-BE32-E72D297353CC}">
                <c16:uniqueId val="{00000009-0453-4454-AD9F-7E574F03B85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2009</c:v>
                </c:pt>
                <c:pt idx="1">
                  <c:v>2010</c:v>
                </c:pt>
                <c:pt idx="2">
                  <c:v>2011</c:v>
                </c:pt>
                <c:pt idx="3">
                  <c:v>2020</c:v>
                </c:pt>
                <c:pt idx="4">
                  <c:v>2021</c:v>
                </c:pt>
                <c:pt idx="5">
                  <c:v>2022 (հունվ․)</c:v>
                </c:pt>
                <c:pt idx="6">
                  <c:v>2022 (ապր․)</c:v>
                </c:pt>
                <c:pt idx="7">
                  <c:v>2022 (հուլ․)</c:v>
                </c:pt>
              </c:strCache>
            </c:strRef>
          </c:cat>
          <c:val>
            <c:numRef>
              <c:f>Sheet1!$B$2:$B$9</c:f>
              <c:numCache>
                <c:formatCode>0.0</c:formatCode>
                <c:ptCount val="8"/>
                <c:pt idx="0">
                  <c:v>-9.4E-2</c:v>
                </c:pt>
                <c:pt idx="1">
                  <c:v>5.4370000000000003</c:v>
                </c:pt>
                <c:pt idx="2">
                  <c:v>4</c:v>
                </c:pt>
                <c:pt idx="3">
                  <c:v>-3.17</c:v>
                </c:pt>
                <c:pt idx="4">
                  <c:v>6.1</c:v>
                </c:pt>
                <c:pt idx="5">
                  <c:v>4.4000000000000004</c:v>
                </c:pt>
                <c:pt idx="6">
                  <c:v>3.6</c:v>
                </c:pt>
                <c:pt idx="7">
                  <c:v>3.2</c:v>
                </c:pt>
              </c:numCache>
            </c:numRef>
          </c:val>
          <c:extLst>
            <c:ext xmlns:c16="http://schemas.microsoft.com/office/drawing/2014/chart" uri="{C3380CC4-5D6E-409C-BE32-E72D297353CC}">
              <c16:uniqueId val="{0000000A-0453-4454-AD9F-7E574F03B855}"/>
            </c:ext>
          </c:extLst>
        </c:ser>
        <c:dLbls>
          <c:showLegendKey val="0"/>
          <c:showVal val="1"/>
          <c:showCatName val="0"/>
          <c:showSerName val="0"/>
          <c:showPercent val="0"/>
          <c:showBubbleSize val="0"/>
        </c:dLbls>
        <c:gapWidth val="219"/>
        <c:overlap val="-27"/>
        <c:axId val="240921216"/>
        <c:axId val="240925312"/>
      </c:barChart>
      <c:catAx>
        <c:axId val="2409212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925312"/>
        <c:crosses val="autoZero"/>
        <c:auto val="1"/>
        <c:lblAlgn val="ctr"/>
        <c:lblOffset val="100"/>
        <c:noMultiLvlLbl val="0"/>
      </c:catAx>
      <c:valAx>
        <c:axId val="240925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r>
                  <a:rPr lang="en-US" sz="900" b="0" i="0" u="none" strike="noStrike" kern="1200" baseline="0">
                    <a:solidFill>
                      <a:sysClr val="windowText" lastClr="000000">
                        <a:lumMod val="65000"/>
                        <a:lumOff val="35000"/>
                      </a:sysClr>
                    </a:solidFill>
                    <a:latin typeface="GHEA Grapalat" panose="02000506050000020003" pitchFamily="50" charset="0"/>
                    <a:ea typeface="+mn-ea"/>
                    <a:cs typeface="+mn-cs"/>
                  </a:rPr>
                  <a:t>տոկոս</a:t>
                </a:r>
                <a:endParaRPr lang="hy-AM" sz="900">
                  <a:latin typeface="GHEA Grapalat" panose="02000506050000020003" pitchFamily="50" charset="0"/>
                </a:endParaRP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921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y-AM" sz="800"/>
              <a:t>Բյուջեի հաշվեկշիռ</a:t>
            </a:r>
          </a:p>
        </c:rich>
      </c:tx>
      <c:layout>
        <c:manualLayout>
          <c:xMode val="edge"/>
          <c:yMode val="edge"/>
          <c:x val="0.17973059653624118"/>
          <c:y val="0"/>
        </c:manualLayout>
      </c:layout>
      <c:overlay val="0"/>
    </c:title>
    <c:autoTitleDeleted val="0"/>
    <c:plotArea>
      <c:layout>
        <c:manualLayout>
          <c:layoutTarget val="inner"/>
          <c:xMode val="edge"/>
          <c:yMode val="edge"/>
          <c:x val="0.24421469445889502"/>
          <c:y val="0.1019355796073194"/>
          <c:w val="0.6928381306409821"/>
          <c:h val="0.56309062073954541"/>
        </c:manualLayout>
      </c:layout>
      <c:barChart>
        <c:barDir val="col"/>
        <c:grouping val="clustered"/>
        <c:varyColors val="0"/>
        <c:ser>
          <c:idx val="0"/>
          <c:order val="0"/>
          <c:tx>
            <c:strRef>
              <c:f>Sheet1!$B$1</c:f>
              <c:strCache>
                <c:ptCount val="1"/>
                <c:pt idx="0">
                  <c:v>Բյուջեի հաշվեկշռի փոփոխություն</c:v>
                </c:pt>
              </c:strCache>
            </c:strRef>
          </c:tx>
          <c:spPr>
            <a:solidFill>
              <a:srgbClr val="5B9BD5"/>
            </a:solidFill>
            <a:ln>
              <a:noFill/>
            </a:ln>
            <a:effectLst/>
          </c:spPr>
          <c:invertIfNegative val="0"/>
          <c:dPt>
            <c:idx val="0"/>
            <c:invertIfNegative val="0"/>
            <c:bubble3D val="0"/>
            <c:extLst>
              <c:ext xmlns:c16="http://schemas.microsoft.com/office/drawing/2014/chart" uri="{C3380CC4-5D6E-409C-BE32-E72D297353CC}">
                <c16:uniqueId val="{00000000-29AC-45E5-9EEF-5C97A87E46FA}"/>
              </c:ext>
            </c:extLst>
          </c:dPt>
          <c:dPt>
            <c:idx val="2"/>
            <c:invertIfNegative val="0"/>
            <c:bubble3D val="0"/>
            <c:extLst>
              <c:ext xmlns:c16="http://schemas.microsoft.com/office/drawing/2014/chart" uri="{C3380CC4-5D6E-409C-BE32-E72D297353CC}">
                <c16:uniqueId val="{00000001-29AC-45E5-9EEF-5C97A87E46FA}"/>
              </c:ext>
            </c:extLst>
          </c:dPt>
          <c:dPt>
            <c:idx val="3"/>
            <c:invertIfNegative val="0"/>
            <c:bubble3D val="0"/>
            <c:extLst>
              <c:ext xmlns:c16="http://schemas.microsoft.com/office/drawing/2014/chart" uri="{C3380CC4-5D6E-409C-BE32-E72D297353CC}">
                <c16:uniqueId val="{00000002-29AC-45E5-9EEF-5C97A87E46FA}"/>
              </c:ext>
            </c:extLst>
          </c:dPt>
          <c:dPt>
            <c:idx val="5"/>
            <c:invertIfNegative val="0"/>
            <c:bubble3D val="0"/>
            <c:spPr>
              <a:solidFill>
                <a:srgbClr val="C00000"/>
              </a:solidFill>
              <a:ln>
                <a:noFill/>
              </a:ln>
              <a:effectLst/>
            </c:spPr>
            <c:extLst>
              <c:ext xmlns:c16="http://schemas.microsoft.com/office/drawing/2014/chart" uri="{C3380CC4-5D6E-409C-BE32-E72D297353CC}">
                <c16:uniqueId val="{00000004-29AC-45E5-9EEF-5C97A87E46FA}"/>
              </c:ext>
            </c:extLst>
          </c:dPt>
          <c:dPt>
            <c:idx val="6"/>
            <c:invertIfNegative val="0"/>
            <c:bubble3D val="0"/>
            <c:spPr>
              <a:solidFill>
                <a:srgbClr val="C00000"/>
              </a:solidFill>
              <a:ln>
                <a:noFill/>
              </a:ln>
              <a:effectLst/>
            </c:spPr>
            <c:extLst>
              <c:ext xmlns:c16="http://schemas.microsoft.com/office/drawing/2014/chart" uri="{C3380CC4-5D6E-409C-BE32-E72D297353CC}">
                <c16:uniqueId val="{00000006-29AC-45E5-9EEF-5C97A87E46F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2009</c:v>
                </c:pt>
                <c:pt idx="1">
                  <c:v>2010</c:v>
                </c:pt>
                <c:pt idx="2">
                  <c:v>2011</c:v>
                </c:pt>
                <c:pt idx="3">
                  <c:v>2020</c:v>
                </c:pt>
                <c:pt idx="4">
                  <c:v>2021</c:v>
                </c:pt>
                <c:pt idx="5">
                  <c:v>2022 (հոկտ-21)</c:v>
                </c:pt>
                <c:pt idx="6">
                  <c:v>2022 (ապր․)</c:v>
                </c:pt>
              </c:strCache>
            </c:strRef>
          </c:cat>
          <c:val>
            <c:numRef>
              <c:f>Sheet1!$B$2:$B$8</c:f>
              <c:numCache>
                <c:formatCode>0.0</c:formatCode>
                <c:ptCount val="7"/>
                <c:pt idx="0">
                  <c:v>-7.3</c:v>
                </c:pt>
                <c:pt idx="1">
                  <c:v>-6</c:v>
                </c:pt>
                <c:pt idx="2">
                  <c:v>-4.5</c:v>
                </c:pt>
                <c:pt idx="3">
                  <c:v>-10.9</c:v>
                </c:pt>
                <c:pt idx="4">
                  <c:v>-9.9</c:v>
                </c:pt>
                <c:pt idx="5">
                  <c:v>-5.2</c:v>
                </c:pt>
                <c:pt idx="6">
                  <c:v>-6.4</c:v>
                </c:pt>
              </c:numCache>
            </c:numRef>
          </c:val>
          <c:extLst>
            <c:ext xmlns:c16="http://schemas.microsoft.com/office/drawing/2014/chart" uri="{C3380CC4-5D6E-409C-BE32-E72D297353CC}">
              <c16:uniqueId val="{00000007-29AC-45E5-9EEF-5C97A87E46FA}"/>
            </c:ext>
          </c:extLst>
        </c:ser>
        <c:dLbls>
          <c:showLegendKey val="0"/>
          <c:showVal val="0"/>
          <c:showCatName val="0"/>
          <c:showSerName val="0"/>
          <c:showPercent val="0"/>
          <c:showBubbleSize val="0"/>
        </c:dLbls>
        <c:gapWidth val="219"/>
        <c:overlap val="-27"/>
        <c:axId val="240937600"/>
        <c:axId val="240939392"/>
      </c:barChart>
      <c:catAx>
        <c:axId val="2409376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939392"/>
        <c:crosses val="autoZero"/>
        <c:auto val="1"/>
        <c:lblAlgn val="ctr"/>
        <c:lblOffset val="100"/>
        <c:noMultiLvlLbl val="0"/>
      </c:catAx>
      <c:valAx>
        <c:axId val="240939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r>
                  <a:rPr lang="en-US" sz="900" b="0" i="0" u="none" strike="noStrike" kern="1200" baseline="0">
                    <a:solidFill>
                      <a:sysClr val="windowText" lastClr="000000">
                        <a:lumMod val="65000"/>
                        <a:lumOff val="35000"/>
                      </a:sysClr>
                    </a:solidFill>
                    <a:latin typeface="GHEA Grapalat" panose="02000506050000020003" pitchFamily="50" charset="0"/>
                    <a:ea typeface="+mn-ea"/>
                    <a:cs typeface="+mn-cs"/>
                  </a:rPr>
                  <a:t>տոկոս</a:t>
                </a:r>
                <a:endParaRPr lang="en-US" sz="900">
                  <a:latin typeface="GHEA Grapalat" panose="02000506050000020003" pitchFamily="50" charset="0"/>
                </a:endParaRP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937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y-AM" sz="800"/>
              <a:t>Պետական պարտքի փոփոխություն</a:t>
            </a:r>
          </a:p>
        </c:rich>
      </c:tx>
      <c:layout>
        <c:manualLayout>
          <c:xMode val="edge"/>
          <c:yMode val="edge"/>
          <c:x val="0.16464149925184582"/>
          <c:y val="3.2387530506055163E-3"/>
        </c:manualLayout>
      </c:layout>
      <c:overlay val="0"/>
    </c:title>
    <c:autoTitleDeleted val="0"/>
    <c:plotArea>
      <c:layout>
        <c:manualLayout>
          <c:layoutTarget val="inner"/>
          <c:xMode val="edge"/>
          <c:yMode val="edge"/>
          <c:x val="0.29254740353717468"/>
          <c:y val="0.11492464502007921"/>
          <c:w val="0.64379081119532955"/>
          <c:h val="0.54140879033230394"/>
        </c:manualLayout>
      </c:layout>
      <c:barChart>
        <c:barDir val="col"/>
        <c:grouping val="clustered"/>
        <c:varyColors val="0"/>
        <c:ser>
          <c:idx val="0"/>
          <c:order val="0"/>
          <c:tx>
            <c:strRef>
              <c:f>Sheet1!$B$1</c:f>
              <c:strCache>
                <c:ptCount val="1"/>
                <c:pt idx="0">
                  <c:v>Պետական պարտքի փոփոխություն</c:v>
                </c:pt>
              </c:strCache>
            </c:strRef>
          </c:tx>
          <c:spPr>
            <a:solidFill>
              <a:srgbClr val="5B9BD5"/>
            </a:solidFill>
            <a:ln>
              <a:noFill/>
            </a:ln>
            <a:effectLst/>
          </c:spPr>
          <c:invertIfNegative val="0"/>
          <c:dPt>
            <c:idx val="0"/>
            <c:invertIfNegative val="0"/>
            <c:bubble3D val="0"/>
            <c:extLst>
              <c:ext xmlns:c16="http://schemas.microsoft.com/office/drawing/2014/chart" uri="{C3380CC4-5D6E-409C-BE32-E72D297353CC}">
                <c16:uniqueId val="{00000000-8583-4768-9D1B-F95D5BFEF6D0}"/>
              </c:ext>
            </c:extLst>
          </c:dPt>
          <c:dPt>
            <c:idx val="2"/>
            <c:invertIfNegative val="0"/>
            <c:bubble3D val="0"/>
            <c:extLst>
              <c:ext xmlns:c16="http://schemas.microsoft.com/office/drawing/2014/chart" uri="{C3380CC4-5D6E-409C-BE32-E72D297353CC}">
                <c16:uniqueId val="{00000001-8583-4768-9D1B-F95D5BFEF6D0}"/>
              </c:ext>
            </c:extLst>
          </c:dPt>
          <c:dPt>
            <c:idx val="3"/>
            <c:invertIfNegative val="0"/>
            <c:bubble3D val="0"/>
            <c:extLst>
              <c:ext xmlns:c16="http://schemas.microsoft.com/office/drawing/2014/chart" uri="{C3380CC4-5D6E-409C-BE32-E72D297353CC}">
                <c16:uniqueId val="{00000002-8583-4768-9D1B-F95D5BFEF6D0}"/>
              </c:ext>
            </c:extLst>
          </c:dPt>
          <c:dPt>
            <c:idx val="5"/>
            <c:invertIfNegative val="0"/>
            <c:bubble3D val="0"/>
            <c:spPr>
              <a:solidFill>
                <a:srgbClr val="C00000"/>
              </a:solidFill>
              <a:ln>
                <a:noFill/>
              </a:ln>
              <a:effectLst/>
            </c:spPr>
            <c:extLst>
              <c:ext xmlns:c16="http://schemas.microsoft.com/office/drawing/2014/chart" uri="{C3380CC4-5D6E-409C-BE32-E72D297353CC}">
                <c16:uniqueId val="{00000004-8583-4768-9D1B-F95D5BFEF6D0}"/>
              </c:ext>
            </c:extLst>
          </c:dPt>
          <c:dPt>
            <c:idx val="6"/>
            <c:invertIfNegative val="0"/>
            <c:bubble3D val="0"/>
            <c:spPr>
              <a:solidFill>
                <a:srgbClr val="C00000"/>
              </a:solidFill>
              <a:ln>
                <a:noFill/>
              </a:ln>
              <a:effectLst/>
            </c:spPr>
            <c:extLst>
              <c:ext xmlns:c16="http://schemas.microsoft.com/office/drawing/2014/chart" uri="{C3380CC4-5D6E-409C-BE32-E72D297353CC}">
                <c16:uniqueId val="{00000006-8583-4768-9D1B-F95D5BFEF6D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2009 GFC</c:v>
                </c:pt>
                <c:pt idx="1">
                  <c:v>2010</c:v>
                </c:pt>
                <c:pt idx="2">
                  <c:v>2011</c:v>
                </c:pt>
                <c:pt idx="3">
                  <c:v>2020 COVID-19</c:v>
                </c:pt>
                <c:pt idx="4">
                  <c:v>2021</c:v>
                </c:pt>
                <c:pt idx="5">
                  <c:v>2022 (հոկտ․-21)</c:v>
                </c:pt>
                <c:pt idx="6">
                  <c:v>2022 (ապր․)</c:v>
                </c:pt>
              </c:strCache>
            </c:strRef>
          </c:cat>
          <c:val>
            <c:numRef>
              <c:f>Sheet1!$B$2:$B$8</c:f>
              <c:numCache>
                <c:formatCode>General</c:formatCode>
                <c:ptCount val="7"/>
                <c:pt idx="0">
                  <c:v>10.400000000000006</c:v>
                </c:pt>
                <c:pt idx="1">
                  <c:v>2.2999999999999972</c:v>
                </c:pt>
                <c:pt idx="2">
                  <c:v>3.3999999999999915</c:v>
                </c:pt>
                <c:pt idx="3">
                  <c:v>13.299999999999997</c:v>
                </c:pt>
                <c:pt idx="4">
                  <c:v>-2.5999999999999943</c:v>
                </c:pt>
                <c:pt idx="5">
                  <c:v>0.89999999999999147</c:v>
                </c:pt>
                <c:pt idx="6">
                  <c:v>2.5999999999999943</c:v>
                </c:pt>
              </c:numCache>
            </c:numRef>
          </c:val>
          <c:extLst>
            <c:ext xmlns:c16="http://schemas.microsoft.com/office/drawing/2014/chart" uri="{C3380CC4-5D6E-409C-BE32-E72D297353CC}">
              <c16:uniqueId val="{00000007-8583-4768-9D1B-F95D5BFEF6D0}"/>
            </c:ext>
          </c:extLst>
        </c:ser>
        <c:dLbls>
          <c:showLegendKey val="0"/>
          <c:showVal val="1"/>
          <c:showCatName val="0"/>
          <c:showSerName val="0"/>
          <c:showPercent val="0"/>
          <c:showBubbleSize val="0"/>
        </c:dLbls>
        <c:gapWidth val="219"/>
        <c:overlap val="-27"/>
        <c:axId val="240990848"/>
        <c:axId val="240994560"/>
      </c:barChart>
      <c:catAx>
        <c:axId val="2409908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994560"/>
        <c:crosses val="autoZero"/>
        <c:auto val="1"/>
        <c:lblAlgn val="ctr"/>
        <c:lblOffset val="100"/>
        <c:noMultiLvlLbl val="0"/>
      </c:catAx>
      <c:valAx>
        <c:axId val="240994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r>
                  <a:rPr lang="en-US" sz="900" b="0" i="0" u="none" strike="noStrike" kern="1200" baseline="0">
                    <a:solidFill>
                      <a:sysClr val="windowText" lastClr="000000">
                        <a:lumMod val="65000"/>
                        <a:lumOff val="35000"/>
                      </a:sysClr>
                    </a:solidFill>
                    <a:latin typeface="GHEA Grapalat" panose="02000506050000020003" pitchFamily="50" charset="0"/>
                    <a:ea typeface="+mn-ea"/>
                    <a:cs typeface="+mn-cs"/>
                  </a:rPr>
                  <a:t>տոկոսային</a:t>
                </a:r>
                <a:r>
                  <a:rPr lang="hy-AM" sz="900">
                    <a:latin typeface="GHEA Grapalat" panose="02000506050000020003" pitchFamily="50" charset="0"/>
                  </a:rPr>
                  <a:t> կետ</a:t>
                </a:r>
                <a:endParaRPr lang="en-US" sz="900">
                  <a:latin typeface="GHEA Grapalat" panose="02000506050000020003" pitchFamily="50"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990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0.62006</cdr:x>
      <cdr:y>0.00474</cdr:y>
    </cdr:from>
    <cdr:to>
      <cdr:x>1</cdr:x>
      <cdr:y>0.85714</cdr:y>
    </cdr:to>
    <cdr:sp macro="" textlink="">
      <cdr:nvSpPr>
        <cdr:cNvPr id="2" name="Rectangle 1"/>
        <cdr:cNvSpPr/>
      </cdr:nvSpPr>
      <cdr:spPr>
        <a:xfrm xmlns:a="http://schemas.openxmlformats.org/drawingml/2006/main">
          <a:off x="1943100" y="8759"/>
          <a:ext cx="1190625" cy="1575107"/>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0.xml><?xml version="1.0" encoding="utf-8"?>
<c:userShapes xmlns:c="http://schemas.openxmlformats.org/drawingml/2006/chart">
  <cdr:relSizeAnchor xmlns:cdr="http://schemas.openxmlformats.org/drawingml/2006/chartDrawing">
    <cdr:from>
      <cdr:x>0.71289</cdr:x>
      <cdr:y>0.02213</cdr:y>
    </cdr:from>
    <cdr:to>
      <cdr:x>0.97974</cdr:x>
      <cdr:y>0.82819</cdr:y>
    </cdr:to>
    <cdr:sp macro="" textlink="">
      <cdr:nvSpPr>
        <cdr:cNvPr id="5" name="Rectangle 4"/>
        <cdr:cNvSpPr/>
      </cdr:nvSpPr>
      <cdr:spPr>
        <a:xfrm xmlns:a="http://schemas.openxmlformats.org/drawingml/2006/main">
          <a:off x="2091845" y="50104"/>
          <a:ext cx="783043" cy="1825263"/>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1.xml><?xml version="1.0" encoding="utf-8"?>
<c:userShapes xmlns:c="http://schemas.openxmlformats.org/drawingml/2006/chart">
  <cdr:relSizeAnchor xmlns:cdr="http://schemas.openxmlformats.org/drawingml/2006/chartDrawing">
    <cdr:from>
      <cdr:x>0.35093</cdr:x>
      <cdr:y>0.0766</cdr:y>
    </cdr:from>
    <cdr:to>
      <cdr:x>0.73913</cdr:x>
      <cdr:y>0.1895</cdr:y>
    </cdr:to>
    <cdr:sp macro="" textlink="">
      <cdr:nvSpPr>
        <cdr:cNvPr id="2" name="Text Box 1"/>
        <cdr:cNvSpPr txBox="1"/>
      </cdr:nvSpPr>
      <cdr:spPr>
        <a:xfrm xmlns:a="http://schemas.openxmlformats.org/drawingml/2006/main">
          <a:off x="1076325" y="171450"/>
          <a:ext cx="1190625" cy="2527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latin typeface="GHEA Grapalat" panose="02000506050000020003" pitchFamily="50"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0.38097</cdr:x>
      <cdr:y>0.07497</cdr:y>
    </cdr:from>
    <cdr:to>
      <cdr:x>0.80543</cdr:x>
      <cdr:y>0.21226</cdr:y>
    </cdr:to>
    <cdr:sp macro="" textlink="">
      <cdr:nvSpPr>
        <cdr:cNvPr id="2" name="Text Box 1"/>
        <cdr:cNvSpPr txBox="1"/>
      </cdr:nvSpPr>
      <cdr:spPr>
        <a:xfrm xmlns:a="http://schemas.openxmlformats.org/drawingml/2006/main">
          <a:off x="1128538" y="152092"/>
          <a:ext cx="1257361" cy="27855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latin typeface="GHEA Grapalat" panose="02000506050000020003" pitchFamily="50"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0.2209</cdr:x>
      <cdr:y>0</cdr:y>
    </cdr:from>
    <cdr:to>
      <cdr:x>0.5992</cdr:x>
      <cdr:y>0.1122</cdr:y>
    </cdr:to>
    <cdr:sp macro="" textlink="">
      <cdr:nvSpPr>
        <cdr:cNvPr id="3" name="Text Box 2"/>
        <cdr:cNvSpPr txBox="1"/>
      </cdr:nvSpPr>
      <cdr:spPr>
        <a:xfrm xmlns:a="http://schemas.openxmlformats.org/drawingml/2006/main">
          <a:off x="673303" y="0"/>
          <a:ext cx="1153059"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y-AM" sz="1000" b="1">
              <a:latin typeface="GHEA Grapalat" panose="02000506050000020003" pitchFamily="50" charset="0"/>
            </a:rPr>
            <a:t>Արտահանում</a:t>
          </a:r>
          <a:endParaRPr lang="en-US" sz="1000" b="1">
            <a:latin typeface="GHEA Grapalat" panose="02000506050000020003" pitchFamily="50" charset="0"/>
          </a:endParaRPr>
        </a:p>
      </cdr:txBody>
    </cdr:sp>
  </cdr:relSizeAnchor>
  <cdr:relSizeAnchor xmlns:cdr="http://schemas.openxmlformats.org/drawingml/2006/chartDrawing">
    <cdr:from>
      <cdr:x>0.75152</cdr:x>
      <cdr:y>0.00623</cdr:y>
    </cdr:from>
    <cdr:to>
      <cdr:x>0.98729</cdr:x>
      <cdr:y>0.83205</cdr:y>
    </cdr:to>
    <cdr:sp macro="" textlink="">
      <cdr:nvSpPr>
        <cdr:cNvPr id="4" name="Rectangle 3"/>
        <cdr:cNvSpPr/>
      </cdr:nvSpPr>
      <cdr:spPr>
        <a:xfrm xmlns:a="http://schemas.openxmlformats.org/drawingml/2006/main">
          <a:off x="2383680" y="12526"/>
          <a:ext cx="747826" cy="1659698"/>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4.xml><?xml version="1.0" encoding="utf-8"?>
<c:userShapes xmlns:c="http://schemas.openxmlformats.org/drawingml/2006/chart">
  <cdr:relSizeAnchor xmlns:cdr="http://schemas.openxmlformats.org/drawingml/2006/chartDrawing">
    <cdr:from>
      <cdr:x>0.19497</cdr:x>
      <cdr:y>0</cdr:y>
    </cdr:from>
    <cdr:to>
      <cdr:x>0.64951</cdr:x>
      <cdr:y>0.10455</cdr:y>
    </cdr:to>
    <cdr:sp macro="" textlink="">
      <cdr:nvSpPr>
        <cdr:cNvPr id="3" name="Text Box 2"/>
        <cdr:cNvSpPr txBox="1"/>
      </cdr:nvSpPr>
      <cdr:spPr>
        <a:xfrm xmlns:a="http://schemas.openxmlformats.org/drawingml/2006/main">
          <a:off x="633260" y="0"/>
          <a:ext cx="1476357" cy="2310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y-AM" sz="1000" b="1">
              <a:latin typeface="GHEA Grapalat" panose="02000506050000020003" pitchFamily="50" charset="0"/>
            </a:rPr>
            <a:t>Ներմուծում</a:t>
          </a:r>
          <a:endParaRPr lang="en-US" sz="1000" b="1">
            <a:latin typeface="GHEA Grapalat" panose="02000506050000020003" pitchFamily="50" charset="0"/>
          </a:endParaRPr>
        </a:p>
      </cdr:txBody>
    </cdr:sp>
  </cdr:relSizeAnchor>
  <cdr:relSizeAnchor xmlns:cdr="http://schemas.openxmlformats.org/drawingml/2006/chartDrawing">
    <cdr:from>
      <cdr:x>0.72768</cdr:x>
      <cdr:y>0.03191</cdr:y>
    </cdr:from>
    <cdr:to>
      <cdr:x>0.97753</cdr:x>
      <cdr:y>0.87064</cdr:y>
    </cdr:to>
    <cdr:sp macro="" textlink="">
      <cdr:nvSpPr>
        <cdr:cNvPr id="4" name="Rectangle 3"/>
        <cdr:cNvSpPr/>
      </cdr:nvSpPr>
      <cdr:spPr>
        <a:xfrm xmlns:a="http://schemas.openxmlformats.org/drawingml/2006/main">
          <a:off x="2231378" y="64124"/>
          <a:ext cx="766144" cy="1685659"/>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5.xml><?xml version="1.0" encoding="utf-8"?>
<c:userShapes xmlns:c="http://schemas.openxmlformats.org/drawingml/2006/chart">
  <cdr:relSizeAnchor xmlns:cdr="http://schemas.openxmlformats.org/drawingml/2006/chartDrawing">
    <cdr:from>
      <cdr:x>0.7407</cdr:x>
      <cdr:y>0.16295</cdr:y>
    </cdr:from>
    <cdr:to>
      <cdr:x>0.98395</cdr:x>
      <cdr:y>0.76789</cdr:y>
    </cdr:to>
    <cdr:sp macro="" textlink="">
      <cdr:nvSpPr>
        <cdr:cNvPr id="2" name="Rectangle 1"/>
        <cdr:cNvSpPr/>
      </cdr:nvSpPr>
      <cdr:spPr>
        <a:xfrm xmlns:a="http://schemas.openxmlformats.org/drawingml/2006/main">
          <a:off x="2314575" y="386060"/>
          <a:ext cx="760106" cy="1433216"/>
        </a:xfrm>
        <a:prstGeom xmlns:a="http://schemas.openxmlformats.org/drawingml/2006/main" prst="rect">
          <a:avLst/>
        </a:prstGeom>
        <a:solidFill xmlns:a="http://schemas.openxmlformats.org/drawingml/2006/main">
          <a:schemeClr val="accent1">
            <a:alpha val="20000"/>
          </a:schemeClr>
        </a:solidFill>
        <a:ln xmlns:a="http://schemas.openxmlformats.org/drawingml/2006/main">
          <a:solidFill>
            <a:schemeClr val="bg1">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hy-AM"/>
        </a:p>
      </cdr:txBody>
    </cdr:sp>
  </cdr:relSizeAnchor>
</c:userShapes>
</file>

<file path=word/drawings/drawing16.xml><?xml version="1.0" encoding="utf-8"?>
<c:userShapes xmlns:c="http://schemas.openxmlformats.org/drawingml/2006/chart">
  <cdr:relSizeAnchor xmlns:cdr="http://schemas.openxmlformats.org/drawingml/2006/chartDrawing">
    <cdr:from>
      <cdr:x>0.71661</cdr:x>
      <cdr:y>0.00474</cdr:y>
    </cdr:from>
    <cdr:to>
      <cdr:x>1</cdr:x>
      <cdr:y>0.8033</cdr:y>
    </cdr:to>
    <cdr:sp macro="" textlink="">
      <cdr:nvSpPr>
        <cdr:cNvPr id="2" name="Rounded Rectangle 1"/>
        <cdr:cNvSpPr/>
      </cdr:nvSpPr>
      <cdr:spPr>
        <a:xfrm xmlns:a="http://schemas.openxmlformats.org/drawingml/2006/main">
          <a:off x="2115047" y="13545"/>
          <a:ext cx="836433" cy="2281885"/>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7.xml><?xml version="1.0" encoding="utf-8"?>
<c:userShapes xmlns:c="http://schemas.openxmlformats.org/drawingml/2006/chart">
  <cdr:relSizeAnchor xmlns:cdr="http://schemas.openxmlformats.org/drawingml/2006/chartDrawing">
    <cdr:from>
      <cdr:x>0.71876</cdr:x>
      <cdr:y>0</cdr:y>
    </cdr:from>
    <cdr:to>
      <cdr:x>1</cdr:x>
      <cdr:y>0.77724</cdr:y>
    </cdr:to>
    <cdr:sp macro="" textlink="">
      <cdr:nvSpPr>
        <cdr:cNvPr id="2" name="Rounded Rectangle 1"/>
        <cdr:cNvSpPr/>
      </cdr:nvSpPr>
      <cdr:spPr>
        <a:xfrm xmlns:a="http://schemas.openxmlformats.org/drawingml/2006/main">
          <a:off x="2121408" y="0"/>
          <a:ext cx="830072" cy="2220963"/>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8.xml><?xml version="1.0" encoding="utf-8"?>
<c:userShapes xmlns:c="http://schemas.openxmlformats.org/drawingml/2006/chart">
  <cdr:relSizeAnchor xmlns:cdr="http://schemas.openxmlformats.org/drawingml/2006/chartDrawing">
    <cdr:from>
      <cdr:x>0.71489</cdr:x>
      <cdr:y>4.00713E-7</cdr:y>
    </cdr:from>
    <cdr:to>
      <cdr:x>1</cdr:x>
      <cdr:y>0.75318</cdr:y>
    </cdr:to>
    <cdr:sp macro="" textlink="">
      <cdr:nvSpPr>
        <cdr:cNvPr id="2" name="Rounded Rectangle 1"/>
        <cdr:cNvSpPr/>
      </cdr:nvSpPr>
      <cdr:spPr>
        <a:xfrm xmlns:a="http://schemas.openxmlformats.org/drawingml/2006/main">
          <a:off x="4267200" y="1"/>
          <a:ext cx="1701800" cy="1879597"/>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9.xml><?xml version="1.0" encoding="utf-8"?>
<c:userShapes xmlns:c="http://schemas.openxmlformats.org/drawingml/2006/chart">
  <cdr:relSizeAnchor xmlns:cdr="http://schemas.openxmlformats.org/drawingml/2006/chartDrawing">
    <cdr:from>
      <cdr:x>0.70557</cdr:x>
      <cdr:y>3.70455E-7</cdr:y>
    </cdr:from>
    <cdr:to>
      <cdr:x>1</cdr:x>
      <cdr:y>0.72218</cdr:y>
    </cdr:to>
    <cdr:sp macro="" textlink="">
      <cdr:nvSpPr>
        <cdr:cNvPr id="2" name="Rounded Rectangle 1"/>
        <cdr:cNvSpPr/>
      </cdr:nvSpPr>
      <cdr:spPr>
        <a:xfrm xmlns:a="http://schemas.openxmlformats.org/drawingml/2006/main">
          <a:off x="2057400" y="1"/>
          <a:ext cx="858520" cy="1949441"/>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0.65014</cdr:x>
      <cdr:y>0</cdr:y>
    </cdr:from>
    <cdr:to>
      <cdr:x>0.88159</cdr:x>
      <cdr:y>0.83491</cdr:y>
    </cdr:to>
    <cdr:sp macro="" textlink="">
      <cdr:nvSpPr>
        <cdr:cNvPr id="2" name="Rectangle 1"/>
        <cdr:cNvSpPr/>
      </cdr:nvSpPr>
      <cdr:spPr>
        <a:xfrm xmlns:a="http://schemas.openxmlformats.org/drawingml/2006/main">
          <a:off x="1987826" y="0"/>
          <a:ext cx="707657" cy="1542788"/>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0.xml><?xml version="1.0" encoding="utf-8"?>
<c:userShapes xmlns:c="http://schemas.openxmlformats.org/drawingml/2006/chart">
  <cdr:relSizeAnchor xmlns:cdr="http://schemas.openxmlformats.org/drawingml/2006/chartDrawing">
    <cdr:from>
      <cdr:x>0.68417</cdr:x>
      <cdr:y>0</cdr:y>
    </cdr:from>
    <cdr:to>
      <cdr:x>1</cdr:x>
      <cdr:y>0.69631</cdr:y>
    </cdr:to>
    <cdr:sp macro="" textlink="">
      <cdr:nvSpPr>
        <cdr:cNvPr id="2" name="Rounded Rectangle 1"/>
        <cdr:cNvSpPr/>
      </cdr:nvSpPr>
      <cdr:spPr>
        <a:xfrm xmlns:a="http://schemas.openxmlformats.org/drawingml/2006/main">
          <a:off x="1994985" y="0"/>
          <a:ext cx="920935" cy="1879608"/>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21.xml><?xml version="1.0" encoding="utf-8"?>
<c:userShapes xmlns:c="http://schemas.openxmlformats.org/drawingml/2006/chart">
  <cdr:relSizeAnchor xmlns:cdr="http://schemas.openxmlformats.org/drawingml/2006/chartDrawing">
    <cdr:from>
      <cdr:x>0.13909</cdr:x>
      <cdr:y>0.26693</cdr:y>
    </cdr:from>
    <cdr:to>
      <cdr:x>0.85372</cdr:x>
      <cdr:y>0.27169</cdr:y>
    </cdr:to>
    <cdr:cxnSp macro="">
      <cdr:nvCxnSpPr>
        <cdr:cNvPr id="3" name="Straight Connector 2"/>
        <cdr:cNvCxnSpPr/>
      </cdr:nvCxnSpPr>
      <cdr:spPr>
        <a:xfrm xmlns:a="http://schemas.openxmlformats.org/drawingml/2006/main" flipH="1">
          <a:off x="400541" y="768673"/>
          <a:ext cx="2057938" cy="13708"/>
        </a:xfrm>
        <a:prstGeom xmlns:a="http://schemas.openxmlformats.org/drawingml/2006/main" prst="line">
          <a:avLst/>
        </a:prstGeom>
        <a:ln xmlns:a="http://schemas.openxmlformats.org/drawingml/2006/main" w="28575">
          <a:solidFill>
            <a:srgbClr val="C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0.12891</cdr:x>
      <cdr:y>0.3423</cdr:y>
    </cdr:from>
    <cdr:to>
      <cdr:x>0.84354</cdr:x>
      <cdr:y>0.34706</cdr:y>
    </cdr:to>
    <cdr:cxnSp macro="">
      <cdr:nvCxnSpPr>
        <cdr:cNvPr id="4" name="Straight Connector 3"/>
        <cdr:cNvCxnSpPr/>
      </cdr:nvCxnSpPr>
      <cdr:spPr>
        <a:xfrm xmlns:a="http://schemas.openxmlformats.org/drawingml/2006/main" flipH="1">
          <a:off x="371234" y="985729"/>
          <a:ext cx="2057938" cy="13707"/>
        </a:xfrm>
        <a:prstGeom xmlns:a="http://schemas.openxmlformats.org/drawingml/2006/main" prst="line">
          <a:avLst/>
        </a:prstGeom>
        <a:ln xmlns:a="http://schemas.openxmlformats.org/drawingml/2006/main" w="28575">
          <a:solidFill>
            <a:schemeClr val="accent4"/>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0.67999</cdr:x>
      <cdr:y>0.18483</cdr:y>
    </cdr:from>
    <cdr:to>
      <cdr:x>0.87483</cdr:x>
      <cdr:y>0.68245</cdr:y>
    </cdr:to>
    <cdr:sp macro="" textlink="">
      <cdr:nvSpPr>
        <cdr:cNvPr id="2" name="Rectangle 1"/>
        <cdr:cNvSpPr/>
      </cdr:nvSpPr>
      <cdr:spPr>
        <a:xfrm xmlns:a="http://schemas.openxmlformats.org/drawingml/2006/main">
          <a:off x="1933575" y="532260"/>
          <a:ext cx="554030" cy="1433008"/>
        </a:xfrm>
        <a:prstGeom xmlns:a="http://schemas.openxmlformats.org/drawingml/2006/main" prst="rect">
          <a:avLst/>
        </a:prstGeom>
        <a:solidFill xmlns:a="http://schemas.openxmlformats.org/drawingml/2006/main">
          <a:schemeClr val="bg1">
            <a:lumMod val="85000"/>
            <a:alpha val="3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hy-AM"/>
        </a:p>
      </cdr:txBody>
    </cdr:sp>
  </cdr:relSizeAnchor>
</c:userShapes>
</file>

<file path=word/drawings/drawing22.xml><?xml version="1.0" encoding="utf-8"?>
<c:userShapes xmlns:c="http://schemas.openxmlformats.org/drawingml/2006/chart">
  <cdr:relSizeAnchor xmlns:cdr="http://schemas.openxmlformats.org/drawingml/2006/chartDrawing">
    <cdr:from>
      <cdr:x>0.44656</cdr:x>
      <cdr:y>0.21122</cdr:y>
    </cdr:from>
    <cdr:to>
      <cdr:x>0.62969</cdr:x>
      <cdr:y>0.88693</cdr:y>
    </cdr:to>
    <cdr:sp macro="" textlink="">
      <cdr:nvSpPr>
        <cdr:cNvPr id="2" name="Rectangle 1"/>
        <cdr:cNvSpPr/>
      </cdr:nvSpPr>
      <cdr:spPr>
        <a:xfrm xmlns:a="http://schemas.openxmlformats.org/drawingml/2006/main">
          <a:off x="1323975" y="609600"/>
          <a:ext cx="542936" cy="1950155"/>
        </a:xfrm>
        <a:prstGeom xmlns:a="http://schemas.openxmlformats.org/drawingml/2006/main" prst="rect">
          <a:avLst/>
        </a:prstGeom>
        <a:solidFill xmlns:a="http://schemas.openxmlformats.org/drawingml/2006/main">
          <a:schemeClr val="bg1">
            <a:lumMod val="85000"/>
            <a:alpha val="2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23.xml><?xml version="1.0" encoding="utf-8"?>
<c:userShapes xmlns:c="http://schemas.openxmlformats.org/drawingml/2006/chart">
  <cdr:relSizeAnchor xmlns:cdr="http://schemas.openxmlformats.org/drawingml/2006/chartDrawing">
    <cdr:from>
      <cdr:x>0.84657</cdr:x>
      <cdr:y>0.04689</cdr:y>
    </cdr:from>
    <cdr:to>
      <cdr:x>0.86296</cdr:x>
      <cdr:y>0.77778</cdr:y>
    </cdr:to>
    <cdr:sp macro="" textlink="">
      <cdr:nvSpPr>
        <cdr:cNvPr id="2" name="Left Brace 1"/>
        <cdr:cNvSpPr/>
      </cdr:nvSpPr>
      <cdr:spPr>
        <a:xfrm xmlns:a="http://schemas.openxmlformats.org/drawingml/2006/main">
          <a:off x="5201546" y="146051"/>
          <a:ext cx="100704" cy="2276482"/>
        </a:xfrm>
        <a:prstGeom xmlns:a="http://schemas.openxmlformats.org/drawingml/2006/main" prst="leftBrace">
          <a:avLst>
            <a:gd name="adj1" fmla="val 89859"/>
            <a:gd name="adj2" fmla="val 50000"/>
          </a:avLst>
        </a:prstGeom>
        <a:ln xmlns:a="http://schemas.openxmlformats.org/drawingml/2006/main" w="476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0.17801</cdr:x>
      <cdr:y>0.27115</cdr:y>
    </cdr:from>
    <cdr:to>
      <cdr:x>0.19119</cdr:x>
      <cdr:y>0.78591</cdr:y>
    </cdr:to>
    <cdr:sp macro="" textlink="">
      <cdr:nvSpPr>
        <cdr:cNvPr id="4" name="Left Brace 3"/>
        <cdr:cNvSpPr/>
      </cdr:nvSpPr>
      <cdr:spPr>
        <a:xfrm xmlns:a="http://schemas.openxmlformats.org/drawingml/2006/main">
          <a:off x="1093740" y="844551"/>
          <a:ext cx="81010" cy="1603304"/>
        </a:xfrm>
        <a:prstGeom xmlns:a="http://schemas.openxmlformats.org/drawingml/2006/main" prst="leftBrace">
          <a:avLst>
            <a:gd name="adj1" fmla="val 89859"/>
            <a:gd name="adj2" fmla="val 50000"/>
          </a:avLst>
        </a:prstGeom>
        <a:ln xmlns:a="http://schemas.openxmlformats.org/drawingml/2006/main" w="476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0.67968</cdr:x>
      <cdr:y>0.11009</cdr:y>
    </cdr:from>
    <cdr:to>
      <cdr:x>0.69243</cdr:x>
      <cdr:y>0.77158</cdr:y>
    </cdr:to>
    <cdr:sp macro="" textlink="">
      <cdr:nvSpPr>
        <cdr:cNvPr id="7" name="Left Brace 6"/>
        <cdr:cNvSpPr/>
      </cdr:nvSpPr>
      <cdr:spPr>
        <a:xfrm xmlns:a="http://schemas.openxmlformats.org/drawingml/2006/main">
          <a:off x="4176131" y="342900"/>
          <a:ext cx="78369" cy="2060321"/>
        </a:xfrm>
        <a:prstGeom xmlns:a="http://schemas.openxmlformats.org/drawingml/2006/main" prst="leftBrace">
          <a:avLst>
            <a:gd name="adj1" fmla="val 89859"/>
            <a:gd name="adj2" fmla="val 50000"/>
          </a:avLst>
        </a:prstGeom>
        <a:ln xmlns:a="http://schemas.openxmlformats.org/drawingml/2006/main" w="476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0.3401</cdr:x>
      <cdr:y>0.1896</cdr:y>
    </cdr:from>
    <cdr:to>
      <cdr:x>0.35862</cdr:x>
      <cdr:y>0.77991</cdr:y>
    </cdr:to>
    <cdr:sp macro="" textlink="">
      <cdr:nvSpPr>
        <cdr:cNvPr id="8" name="Left Brace 7"/>
        <cdr:cNvSpPr/>
      </cdr:nvSpPr>
      <cdr:spPr>
        <a:xfrm xmlns:a="http://schemas.openxmlformats.org/drawingml/2006/main">
          <a:off x="2089663" y="590550"/>
          <a:ext cx="113787" cy="1838616"/>
        </a:xfrm>
        <a:prstGeom xmlns:a="http://schemas.openxmlformats.org/drawingml/2006/main" prst="leftBrace">
          <a:avLst>
            <a:gd name="adj1" fmla="val 89859"/>
            <a:gd name="adj2" fmla="val 50411"/>
          </a:avLst>
        </a:prstGeom>
        <a:ln xmlns:a="http://schemas.openxmlformats.org/drawingml/2006/main" w="476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wrap="square">
          <a:no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0.50696</cdr:x>
      <cdr:y>0.1631</cdr:y>
    </cdr:from>
    <cdr:to>
      <cdr:x>0.52294</cdr:x>
      <cdr:y>0.78002</cdr:y>
    </cdr:to>
    <cdr:sp macro="" textlink="">
      <cdr:nvSpPr>
        <cdr:cNvPr id="6" name="Left Brace 5"/>
        <cdr:cNvSpPr/>
      </cdr:nvSpPr>
      <cdr:spPr>
        <a:xfrm xmlns:a="http://schemas.openxmlformats.org/drawingml/2006/main">
          <a:off x="3114894" y="508000"/>
          <a:ext cx="98206" cy="1921509"/>
        </a:xfrm>
        <a:prstGeom xmlns:a="http://schemas.openxmlformats.org/drawingml/2006/main" prst="leftBrace">
          <a:avLst>
            <a:gd name="adj1" fmla="val 89859"/>
            <a:gd name="adj2" fmla="val 50000"/>
          </a:avLst>
        </a:prstGeom>
        <a:ln xmlns:a="http://schemas.openxmlformats.org/drawingml/2006/main" w="476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4.xml><?xml version="1.0" encoding="utf-8"?>
<c:userShapes xmlns:c="http://schemas.openxmlformats.org/drawingml/2006/chart">
  <cdr:relSizeAnchor xmlns:cdr="http://schemas.openxmlformats.org/drawingml/2006/chartDrawing">
    <cdr:from>
      <cdr:x>0.30468</cdr:x>
      <cdr:y>0.08815</cdr:y>
    </cdr:from>
    <cdr:to>
      <cdr:x>0.33869</cdr:x>
      <cdr:y>0.66781</cdr:y>
    </cdr:to>
    <cdr:sp macro="" textlink="">
      <cdr:nvSpPr>
        <cdr:cNvPr id="2" name="Left Brace 1"/>
        <cdr:cNvSpPr/>
      </cdr:nvSpPr>
      <cdr:spPr>
        <a:xfrm xmlns:a="http://schemas.openxmlformats.org/drawingml/2006/main">
          <a:off x="1805092" y="406400"/>
          <a:ext cx="201508" cy="2672271"/>
        </a:xfrm>
        <a:prstGeom xmlns:a="http://schemas.openxmlformats.org/drawingml/2006/main" prst="leftBrace">
          <a:avLst>
            <a:gd name="adj1" fmla="val 89859"/>
            <a:gd name="adj2" fmla="val 50000"/>
          </a:avLst>
        </a:prstGeom>
        <a:ln xmlns:a="http://schemas.openxmlformats.org/drawingml/2006/main" w="222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0.15435</cdr:x>
      <cdr:y>0.21074</cdr:y>
    </cdr:from>
    <cdr:to>
      <cdr:x>0.17042</cdr:x>
      <cdr:y>0.67293</cdr:y>
    </cdr:to>
    <cdr:sp macro="" textlink="">
      <cdr:nvSpPr>
        <cdr:cNvPr id="4" name="Left Brace 3"/>
        <cdr:cNvSpPr/>
      </cdr:nvSpPr>
      <cdr:spPr>
        <a:xfrm xmlns:a="http://schemas.openxmlformats.org/drawingml/2006/main">
          <a:off x="914454" y="971549"/>
          <a:ext cx="95196" cy="2130725"/>
        </a:xfrm>
        <a:prstGeom xmlns:a="http://schemas.openxmlformats.org/drawingml/2006/main" prst="leftBrace">
          <a:avLst>
            <a:gd name="adj1" fmla="val 89859"/>
            <a:gd name="adj2" fmla="val 48978"/>
          </a:avLst>
        </a:prstGeom>
        <a:ln xmlns:a="http://schemas.openxmlformats.org/drawingml/2006/main" w="222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wrap="square">
          <a:no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0.64576</cdr:x>
      <cdr:y>0.16116</cdr:y>
    </cdr:from>
    <cdr:to>
      <cdr:x>0.67417</cdr:x>
      <cdr:y>0.65691</cdr:y>
    </cdr:to>
    <cdr:sp macro="" textlink="">
      <cdr:nvSpPr>
        <cdr:cNvPr id="5" name="Left Brace 4"/>
        <cdr:cNvSpPr/>
      </cdr:nvSpPr>
      <cdr:spPr>
        <a:xfrm xmlns:a="http://schemas.openxmlformats.org/drawingml/2006/main">
          <a:off x="3825836" y="742950"/>
          <a:ext cx="168313" cy="2285471"/>
        </a:xfrm>
        <a:prstGeom xmlns:a="http://schemas.openxmlformats.org/drawingml/2006/main" prst="leftBrace">
          <a:avLst>
            <a:gd name="adj1" fmla="val 89859"/>
            <a:gd name="adj2" fmla="val 50000"/>
          </a:avLst>
        </a:prstGeom>
        <a:ln xmlns:a="http://schemas.openxmlformats.org/drawingml/2006/main" w="222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0.82476</cdr:x>
      <cdr:y>0.19559</cdr:y>
    </cdr:from>
    <cdr:to>
      <cdr:x>0.8478</cdr:x>
      <cdr:y>0.67103</cdr:y>
    </cdr:to>
    <cdr:sp macro="" textlink="">
      <cdr:nvSpPr>
        <cdr:cNvPr id="6" name="Left Brace 5"/>
        <cdr:cNvSpPr/>
      </cdr:nvSpPr>
      <cdr:spPr>
        <a:xfrm xmlns:a="http://schemas.openxmlformats.org/drawingml/2006/main">
          <a:off x="4886332" y="901699"/>
          <a:ext cx="136518" cy="2191815"/>
        </a:xfrm>
        <a:prstGeom xmlns:a="http://schemas.openxmlformats.org/drawingml/2006/main" prst="leftBrace">
          <a:avLst>
            <a:gd name="adj1" fmla="val 89859"/>
            <a:gd name="adj2" fmla="val 50000"/>
          </a:avLst>
        </a:prstGeom>
        <a:ln xmlns:a="http://schemas.openxmlformats.org/drawingml/2006/main" w="222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0.48606</cdr:x>
      <cdr:y>0.1157</cdr:y>
    </cdr:from>
    <cdr:to>
      <cdr:x>0.51447</cdr:x>
      <cdr:y>0.67344</cdr:y>
    </cdr:to>
    <cdr:sp macro="" textlink="">
      <cdr:nvSpPr>
        <cdr:cNvPr id="7" name="Left Brace 6"/>
        <cdr:cNvSpPr/>
      </cdr:nvSpPr>
      <cdr:spPr>
        <a:xfrm xmlns:a="http://schemas.openxmlformats.org/drawingml/2006/main">
          <a:off x="2879686" y="533400"/>
          <a:ext cx="168313" cy="2571221"/>
        </a:xfrm>
        <a:prstGeom xmlns:a="http://schemas.openxmlformats.org/drawingml/2006/main" prst="leftBrace">
          <a:avLst>
            <a:gd name="adj1" fmla="val 89859"/>
            <a:gd name="adj2" fmla="val 50000"/>
          </a:avLst>
        </a:prstGeom>
        <a:ln xmlns:a="http://schemas.openxmlformats.org/drawingml/2006/main" w="222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userShapes>
</file>

<file path=word/drawings/drawing25.xml><?xml version="1.0" encoding="utf-8"?>
<c:userShapes xmlns:c="http://schemas.openxmlformats.org/drawingml/2006/chart">
  <cdr:relSizeAnchor xmlns:cdr="http://schemas.openxmlformats.org/drawingml/2006/chartDrawing">
    <cdr:from>
      <cdr:x>0.14809</cdr:x>
      <cdr:y>0.42007</cdr:y>
    </cdr:from>
    <cdr:to>
      <cdr:x>0.16503</cdr:x>
      <cdr:y>0.7449</cdr:y>
    </cdr:to>
    <cdr:sp macro="" textlink="">
      <cdr:nvSpPr>
        <cdr:cNvPr id="2" name="Left Brace 1"/>
        <cdr:cNvSpPr>
          <a:spLocks xmlns:a="http://schemas.openxmlformats.org/drawingml/2006/main"/>
        </cdr:cNvSpPr>
      </cdr:nvSpPr>
      <cdr:spPr>
        <a:xfrm xmlns:a="http://schemas.openxmlformats.org/drawingml/2006/main">
          <a:off x="860441" y="1568450"/>
          <a:ext cx="98410" cy="1212858"/>
        </a:xfrm>
        <a:prstGeom xmlns:a="http://schemas.openxmlformats.org/drawingml/2006/main" prst="leftBrace">
          <a:avLst>
            <a:gd name="adj1" fmla="val 89859"/>
            <a:gd name="adj2" fmla="val 50000"/>
          </a:avLst>
        </a:prstGeom>
        <a:ln xmlns:a="http://schemas.openxmlformats.org/drawingml/2006/main" w="476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0.66986</cdr:x>
      <cdr:y>0</cdr:y>
    </cdr:from>
    <cdr:to>
      <cdr:x>1</cdr:x>
      <cdr:y>0.71635</cdr:y>
    </cdr:to>
    <cdr:sp macro="" textlink="">
      <cdr:nvSpPr>
        <cdr:cNvPr id="2" name="Rectangle 1"/>
        <cdr:cNvSpPr/>
      </cdr:nvSpPr>
      <cdr:spPr>
        <a:xfrm xmlns:a="http://schemas.openxmlformats.org/drawingml/2006/main">
          <a:off x="1923482" y="0"/>
          <a:ext cx="947988" cy="1419225"/>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0.83458</cdr:x>
      <cdr:y>0</cdr:y>
    </cdr:from>
    <cdr:to>
      <cdr:x>0.90586</cdr:x>
      <cdr:y>0.87535</cdr:y>
    </cdr:to>
    <cdr:sp macro="" textlink="">
      <cdr:nvSpPr>
        <cdr:cNvPr id="2" name="Rectangle 1"/>
        <cdr:cNvSpPr/>
      </cdr:nvSpPr>
      <cdr:spPr>
        <a:xfrm xmlns:a="http://schemas.openxmlformats.org/drawingml/2006/main">
          <a:off x="2567634" y="0"/>
          <a:ext cx="219311" cy="1642529"/>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5.xml><?xml version="1.0" encoding="utf-8"?>
<c:userShapes xmlns:c="http://schemas.openxmlformats.org/drawingml/2006/chart">
  <cdr:relSizeAnchor xmlns:cdr="http://schemas.openxmlformats.org/drawingml/2006/chartDrawing">
    <cdr:from>
      <cdr:x>0.64143</cdr:x>
      <cdr:y>0</cdr:y>
    </cdr:from>
    <cdr:to>
      <cdr:x>0.98869</cdr:x>
      <cdr:y>0.71651</cdr:y>
    </cdr:to>
    <cdr:sp macro="" textlink="">
      <cdr:nvSpPr>
        <cdr:cNvPr id="2" name="Rectangle 1"/>
        <cdr:cNvSpPr/>
      </cdr:nvSpPr>
      <cdr:spPr>
        <a:xfrm xmlns:a="http://schemas.openxmlformats.org/drawingml/2006/main">
          <a:off x="1937981" y="0"/>
          <a:ext cx="1049177" cy="1290789"/>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6.xml><?xml version="1.0" encoding="utf-8"?>
<c:userShapes xmlns:c="http://schemas.openxmlformats.org/drawingml/2006/chart">
  <cdr:relSizeAnchor xmlns:cdr="http://schemas.openxmlformats.org/drawingml/2006/chartDrawing">
    <cdr:from>
      <cdr:x>0.62481</cdr:x>
      <cdr:y>0</cdr:y>
    </cdr:from>
    <cdr:to>
      <cdr:x>0.96722</cdr:x>
      <cdr:y>0.76567</cdr:y>
    </cdr:to>
    <cdr:sp macro="" textlink="">
      <cdr:nvSpPr>
        <cdr:cNvPr id="2" name="Rectangle 1"/>
        <cdr:cNvSpPr/>
      </cdr:nvSpPr>
      <cdr:spPr>
        <a:xfrm xmlns:a="http://schemas.openxmlformats.org/drawingml/2006/main">
          <a:off x="1951630" y="0"/>
          <a:ext cx="1069545" cy="1430402"/>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7.xml><?xml version="1.0" encoding="utf-8"?>
<c:userShapes xmlns:c="http://schemas.openxmlformats.org/drawingml/2006/chart">
  <cdr:relSizeAnchor xmlns:cdr="http://schemas.openxmlformats.org/drawingml/2006/chartDrawing">
    <cdr:from>
      <cdr:x>0.64026</cdr:x>
      <cdr:y>0.03501</cdr:y>
    </cdr:from>
    <cdr:to>
      <cdr:x>0.94714</cdr:x>
      <cdr:y>0.72003</cdr:y>
    </cdr:to>
    <cdr:sp macro="" textlink="">
      <cdr:nvSpPr>
        <cdr:cNvPr id="2" name="Rectangle 1"/>
        <cdr:cNvSpPr/>
      </cdr:nvSpPr>
      <cdr:spPr>
        <a:xfrm xmlns:a="http://schemas.openxmlformats.org/drawingml/2006/main">
          <a:off x="1992572" y="63293"/>
          <a:ext cx="955055" cy="1238410"/>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8.xml><?xml version="1.0" encoding="utf-8"?>
<c:userShapes xmlns:c="http://schemas.openxmlformats.org/drawingml/2006/chart">
  <cdr:relSizeAnchor xmlns:cdr="http://schemas.openxmlformats.org/drawingml/2006/chartDrawing">
    <cdr:from>
      <cdr:x>0.63307</cdr:x>
      <cdr:y>0</cdr:y>
    </cdr:from>
    <cdr:to>
      <cdr:x>0.93438</cdr:x>
      <cdr:y>0.72419</cdr:y>
    </cdr:to>
    <cdr:sp macro="" textlink="">
      <cdr:nvSpPr>
        <cdr:cNvPr id="2" name="Rectangle 1"/>
        <cdr:cNvSpPr/>
      </cdr:nvSpPr>
      <cdr:spPr>
        <a:xfrm xmlns:a="http://schemas.openxmlformats.org/drawingml/2006/main">
          <a:off x="1964160" y="0"/>
          <a:ext cx="934847" cy="1309223"/>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9.xml><?xml version="1.0" encoding="utf-8"?>
<c:userShapes xmlns:c="http://schemas.openxmlformats.org/drawingml/2006/chart">
  <cdr:relSizeAnchor xmlns:cdr="http://schemas.openxmlformats.org/drawingml/2006/chartDrawing">
    <cdr:from>
      <cdr:x>0.70766</cdr:x>
      <cdr:y>0.01456</cdr:y>
    </cdr:from>
    <cdr:to>
      <cdr:x>0.96238</cdr:x>
      <cdr:y>0.81039</cdr:y>
    </cdr:to>
    <cdr:sp macro="" textlink="">
      <cdr:nvSpPr>
        <cdr:cNvPr id="3" name="Rectangle 2"/>
        <cdr:cNvSpPr/>
      </cdr:nvSpPr>
      <cdr:spPr>
        <a:xfrm xmlns:a="http://schemas.openxmlformats.org/drawingml/2006/main">
          <a:off x="2204582" y="32976"/>
          <a:ext cx="793526" cy="1802088"/>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Աղյուսակ</b:Tag>
    <b:RefOrder>1</b:RefOrder>
  </b:Source>
  <b:Source>
    <b:Tag>Placeholder1</b:Tag>
    <b:SourceType>Book</b:SourceType>
    <b:Guid>{2AE0E246-06CA-492A-BE9E-19E05D9F8719}</b:Guid>
    <b:RefOrder>2</b:RefOrder>
  </b:Source>
</b:Sources>
</file>

<file path=customXml/itemProps1.xml><?xml version="1.0" encoding="utf-8"?>
<ds:datastoreItem xmlns:ds="http://schemas.openxmlformats.org/officeDocument/2006/customXml" ds:itemID="{672DED6F-DABD-4A83-B59D-868BB965F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244</Pages>
  <Words>81648</Words>
  <Characters>465395</Characters>
  <Application>Microsoft Office Word</Application>
  <DocSecurity>0</DocSecurity>
  <Lines>3878</Lines>
  <Paragraphs>1091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Մ Ա Ս   I</vt:lpstr>
      <vt:lpstr>Մ Ա Ս   I</vt:lpstr>
    </vt:vector>
  </TitlesOfParts>
  <Company>Compass</Company>
  <LinksUpToDate>false</LinksUpToDate>
  <CharactersWithSpaces>545952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Մ Ա Ս   I</dc:title>
  <dc:creator>User</dc:creator>
  <cp:keywords>https:/mul2-minfin.gov.am/tasks/532159/oneclick/2.Uxerdz_bacatragir2023.docx?token=dc3278bb7cb832647899c3d9954ed6e5</cp:keywords>
  <cp:lastModifiedBy>Narek Karapetyan </cp:lastModifiedBy>
  <cp:revision>68</cp:revision>
  <cp:lastPrinted>2022-11-30T06:12:00Z</cp:lastPrinted>
  <dcterms:created xsi:type="dcterms:W3CDTF">2022-11-29T15:34:00Z</dcterms:created>
  <dcterms:modified xsi:type="dcterms:W3CDTF">2022-12-07T11:00:00Z</dcterms:modified>
</cp:coreProperties>
</file>